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6082E4" w14:textId="77777777" w:rsidR="00B06FE8" w:rsidRPr="002B47C2" w:rsidRDefault="00B06FE8" w:rsidP="00B06FE8">
      <w:pPr>
        <w:spacing w:after="0" w:line="240" w:lineRule="auto"/>
        <w:ind w:firstLine="0"/>
        <w:rPr>
          <w:rFonts w:ascii="Arial" w:eastAsia="Calibri" w:hAnsi="Arial" w:cs="Arial"/>
          <w:color w:val="000000" w:themeColor="text1"/>
          <w:sz w:val="20"/>
          <w:szCs w:val="20"/>
        </w:rPr>
      </w:pPr>
      <w:bookmarkStart w:id="0" w:name="_Hlk89069020"/>
    </w:p>
    <w:p w14:paraId="098A4DA8" w14:textId="7B9659E0" w:rsidR="00B06FE8" w:rsidRPr="002B47C2" w:rsidRDefault="00B06FE8" w:rsidP="00B06FE8">
      <w:pPr>
        <w:spacing w:after="0" w:line="240" w:lineRule="auto"/>
        <w:ind w:firstLine="0"/>
        <w:rPr>
          <w:rFonts w:ascii="Arial" w:eastAsia="Calibri" w:hAnsi="Arial" w:cs="Arial"/>
          <w:color w:val="000000" w:themeColor="text1"/>
          <w:sz w:val="14"/>
          <w:szCs w:val="14"/>
          <w:lang w:val="es-MX"/>
        </w:rPr>
      </w:pPr>
      <w:r w:rsidRPr="002B47C2">
        <w:rPr>
          <w:rFonts w:ascii="Arial" w:eastAsia="Calibri" w:hAnsi="Arial" w:cs="Arial"/>
          <w:b/>
          <w:bCs/>
          <w:color w:val="000000" w:themeColor="text1"/>
          <w:lang w:val="es-MX"/>
        </w:rPr>
        <w:t xml:space="preserve">DOCUMENTOS TIPO </w:t>
      </w:r>
      <w:r w:rsidR="00623112">
        <w:rPr>
          <w:rFonts w:ascii="Arial" w:eastAsia="Calibri" w:hAnsi="Arial" w:cs="Arial"/>
          <w:b/>
          <w:bCs/>
          <w:color w:val="000000" w:themeColor="text1"/>
          <w:lang w:val="es-MX"/>
        </w:rPr>
        <w:t>– Fundamento normativo</w:t>
      </w:r>
    </w:p>
    <w:p w14:paraId="19D1DDEE" w14:textId="77777777" w:rsidR="00B06FE8" w:rsidRPr="002B47C2" w:rsidRDefault="00B06FE8" w:rsidP="00B06FE8">
      <w:pPr>
        <w:spacing w:after="0" w:line="240" w:lineRule="auto"/>
        <w:ind w:firstLine="0"/>
        <w:rPr>
          <w:rFonts w:ascii="Arial" w:eastAsia="Calibri" w:hAnsi="Arial" w:cs="Arial"/>
          <w:color w:val="000000" w:themeColor="text1"/>
          <w:lang w:val="es-MX"/>
        </w:rPr>
      </w:pPr>
    </w:p>
    <w:p w14:paraId="5EEAB742" w14:textId="6BBDCCA3" w:rsidR="00623112" w:rsidRPr="00643637" w:rsidRDefault="006E6461" w:rsidP="00623112">
      <w:pPr>
        <w:spacing w:after="0" w:line="240" w:lineRule="auto"/>
        <w:ind w:firstLine="0"/>
        <w:rPr>
          <w:rFonts w:ascii="Arial" w:hAnsi="Arial" w:cs="Arial"/>
          <w:color w:val="000000" w:themeColor="text1"/>
          <w:sz w:val="20"/>
          <w:szCs w:val="20"/>
          <w:lang w:val="es-MX"/>
        </w:rPr>
      </w:pPr>
      <w:r w:rsidRPr="006E6461">
        <w:rPr>
          <w:rFonts w:ascii="Arial" w:hAnsi="Arial" w:cs="Arial"/>
          <w:color w:val="000000" w:themeColor="text1"/>
          <w:sz w:val="20"/>
          <w:szCs w:val="20"/>
          <w:lang w:val="es-MX"/>
        </w:rPr>
        <w:t>La adopción de los documentos tipo obligatorios en el ordenamiento jurídico colombiano se incluyó por primera vez en el parágrafo 3 del artículo 2 de la Ley 1150 de 2007, que facultó al gobierno nacional para expedirlos, pero solo cuando se tratara de la adquisición o suministro de bienes y servicios de características técnicas uniformes y de común utilización. Sin embargo, esta facultad no ha sido ejercida hasta la actualidad.</w:t>
      </w:r>
    </w:p>
    <w:p w14:paraId="4565B57E" w14:textId="206DDFB1" w:rsidR="00B06FE8" w:rsidRPr="00643637" w:rsidRDefault="00623112" w:rsidP="00B06FE8">
      <w:pPr>
        <w:spacing w:after="0" w:line="240" w:lineRule="auto"/>
        <w:ind w:firstLine="0"/>
        <w:rPr>
          <w:rFonts w:ascii="Arial" w:hAnsi="Arial" w:cs="Arial"/>
          <w:color w:val="000000" w:themeColor="text1"/>
          <w:sz w:val="20"/>
          <w:szCs w:val="20"/>
          <w:lang w:val="es-MX"/>
        </w:rPr>
      </w:pPr>
      <w:r w:rsidRPr="00643637">
        <w:rPr>
          <w:rFonts w:ascii="Arial" w:hAnsi="Arial" w:cs="Arial"/>
          <w:color w:val="000000" w:themeColor="text1"/>
          <w:sz w:val="20"/>
          <w:szCs w:val="20"/>
          <w:lang w:val="es-MX"/>
        </w:rPr>
        <w:t>[…]</w:t>
      </w:r>
    </w:p>
    <w:p w14:paraId="4B7BD29A" w14:textId="70A469B4" w:rsidR="00B06FE8" w:rsidRPr="00643637" w:rsidRDefault="00C749F6" w:rsidP="00B06FE8">
      <w:pPr>
        <w:spacing w:after="0" w:line="240" w:lineRule="auto"/>
        <w:ind w:firstLine="0"/>
        <w:rPr>
          <w:rFonts w:ascii="Arial" w:eastAsia="Calibri" w:hAnsi="Arial" w:cs="Arial"/>
          <w:color w:val="000000" w:themeColor="text1"/>
          <w:sz w:val="20"/>
          <w:szCs w:val="20"/>
        </w:rPr>
      </w:pPr>
      <w:r w:rsidRPr="00C749F6">
        <w:rPr>
          <w:rFonts w:ascii="Arial" w:eastAsia="Calibri" w:hAnsi="Arial" w:cs="Arial"/>
          <w:color w:val="000000" w:themeColor="text1"/>
          <w:sz w:val="20"/>
          <w:szCs w:val="20"/>
        </w:rPr>
        <w:t>Por otra parte, debe tenerse en cuenta que la Ley 2022 de 2020 fue sancionada por el Presidente</w:t>
      </w:r>
      <w:r w:rsidR="00740715">
        <w:rPr>
          <w:rFonts w:ascii="Arial" w:eastAsia="Calibri" w:hAnsi="Arial" w:cs="Arial"/>
          <w:color w:val="000000" w:themeColor="text1"/>
          <w:sz w:val="20"/>
          <w:szCs w:val="20"/>
        </w:rPr>
        <w:t xml:space="preserve"> </w:t>
      </w:r>
      <w:r w:rsidRPr="00C749F6">
        <w:rPr>
          <w:rFonts w:ascii="Arial" w:eastAsia="Calibri" w:hAnsi="Arial" w:cs="Arial"/>
          <w:color w:val="000000" w:themeColor="text1"/>
          <w:sz w:val="20"/>
          <w:szCs w:val="20"/>
        </w:rPr>
        <w:t>de la República el 22 de julio del 2020, que en su artículo 1 modificó el artículo 4 de la Ley 1882 de 2018 y, por tanto, modificó el parágrafo 7 del artículo 2 de la Ley 1150 de 2007, asignando directamente a la Agencia Nacional de Contratación Pública – Colombia Compra Eficiente la facultad para adoptar los documentos tipo</w:t>
      </w:r>
      <w:r>
        <w:rPr>
          <w:rFonts w:ascii="Arial" w:eastAsia="Calibri" w:hAnsi="Arial" w:cs="Arial"/>
          <w:color w:val="000000" w:themeColor="text1"/>
          <w:sz w:val="20"/>
          <w:szCs w:val="20"/>
        </w:rPr>
        <w:t>.</w:t>
      </w:r>
      <w:r w:rsidRPr="00C749F6">
        <w:rPr>
          <w:rFonts w:ascii="Arial" w:eastAsia="Calibri" w:hAnsi="Arial" w:cs="Arial"/>
          <w:color w:val="000000" w:themeColor="text1"/>
          <w:sz w:val="20"/>
          <w:szCs w:val="20"/>
        </w:rPr>
        <w:t xml:space="preserve"> En este sentido, con la finalidad de realizar un desarrollo armónico y ajustado a la ley que otorga esta competencia, esta Agencia expidió la Resolución 160 del 15 de septiembre de 2020 «Por la cual se adopta el procedimiento para implementar los documentos tipo y se define el sistema para su revisión». Adicionalmente, en el transcurso del año 2021, esta Agencia expidió la Resolución 193 del 14 de julio de 2021, «Por la cual se adoptan los documentos tipo para los procesos de selección de concurso de méritos, para contratar la consultoría de estudios de ingeniería de infraestructura de transporte» cuya aplicación inició para convocatorias publicadas a partir del 9 de agosto de 2021.</w:t>
      </w:r>
    </w:p>
    <w:p w14:paraId="29D3800D" w14:textId="77777777" w:rsidR="00623112" w:rsidRPr="002B47C2" w:rsidRDefault="00623112" w:rsidP="00B06FE8">
      <w:pPr>
        <w:spacing w:after="0" w:line="240" w:lineRule="auto"/>
        <w:ind w:firstLine="0"/>
        <w:rPr>
          <w:rFonts w:ascii="Arial" w:eastAsia="Calibri" w:hAnsi="Arial" w:cs="Arial"/>
          <w:color w:val="000000" w:themeColor="text1"/>
        </w:rPr>
      </w:pPr>
    </w:p>
    <w:p w14:paraId="684B35D6" w14:textId="4255313E" w:rsidR="00B06FE8" w:rsidRPr="002B47C2" w:rsidRDefault="00B06FE8" w:rsidP="00B06FE8">
      <w:pPr>
        <w:spacing w:after="0" w:line="240" w:lineRule="auto"/>
        <w:ind w:firstLine="0"/>
        <w:rPr>
          <w:rFonts w:ascii="Arial" w:eastAsia="Calibri" w:hAnsi="Arial" w:cs="Arial"/>
          <w:b/>
          <w:bCs/>
          <w:color w:val="000000" w:themeColor="text1"/>
          <w:lang w:val="es-MX"/>
        </w:rPr>
      </w:pPr>
      <w:r w:rsidRPr="002B47C2">
        <w:rPr>
          <w:rFonts w:ascii="Arial" w:eastAsia="Calibri" w:hAnsi="Arial" w:cs="Arial"/>
          <w:b/>
          <w:bCs/>
          <w:color w:val="000000" w:themeColor="text1"/>
          <w:lang w:val="es-MX"/>
        </w:rPr>
        <w:t>DOCUMENTOS TIPO – Matriz 1 – Experiencia</w:t>
      </w:r>
      <w:r w:rsidR="00623112">
        <w:rPr>
          <w:rFonts w:ascii="Arial" w:eastAsia="Calibri" w:hAnsi="Arial" w:cs="Arial"/>
          <w:b/>
          <w:bCs/>
          <w:color w:val="000000" w:themeColor="text1"/>
          <w:lang w:val="es-MX"/>
        </w:rPr>
        <w:t xml:space="preserve"> – Aplicación</w:t>
      </w:r>
      <w:r w:rsidR="00643637">
        <w:rPr>
          <w:rFonts w:ascii="Arial" w:eastAsia="Calibri" w:hAnsi="Arial" w:cs="Arial"/>
          <w:b/>
          <w:bCs/>
          <w:color w:val="000000" w:themeColor="text1"/>
          <w:lang w:val="es-MX"/>
        </w:rPr>
        <w:t xml:space="preserve"> </w:t>
      </w:r>
      <w:r w:rsidR="006F0FA6">
        <w:rPr>
          <w:rFonts w:ascii="Arial" w:eastAsia="Calibri" w:hAnsi="Arial" w:cs="Arial"/>
          <w:b/>
          <w:bCs/>
          <w:color w:val="000000" w:themeColor="text1"/>
          <w:lang w:val="es-MX"/>
        </w:rPr>
        <w:t>de los documentos tipo</w:t>
      </w:r>
    </w:p>
    <w:p w14:paraId="285D2F0E" w14:textId="77777777" w:rsidR="00B06FE8" w:rsidRPr="002B47C2" w:rsidRDefault="00B06FE8" w:rsidP="00B06FE8">
      <w:pPr>
        <w:spacing w:after="0" w:line="240" w:lineRule="auto"/>
        <w:ind w:firstLine="0"/>
        <w:rPr>
          <w:rFonts w:ascii="Arial" w:eastAsia="Calibri" w:hAnsi="Arial" w:cs="Arial"/>
          <w:color w:val="000000" w:themeColor="text1"/>
          <w:lang w:val="es-MX"/>
        </w:rPr>
      </w:pPr>
    </w:p>
    <w:p w14:paraId="38E58F60" w14:textId="77777777" w:rsidR="006814E1" w:rsidRPr="006814E1" w:rsidRDefault="00B06FE8" w:rsidP="006814E1">
      <w:pPr>
        <w:spacing w:after="0" w:line="240" w:lineRule="auto"/>
        <w:ind w:firstLine="0"/>
        <w:rPr>
          <w:rFonts w:ascii="Arial" w:hAnsi="Arial" w:cs="Arial"/>
          <w:sz w:val="20"/>
          <w:szCs w:val="20"/>
        </w:rPr>
      </w:pPr>
      <w:r w:rsidRPr="00643637">
        <w:rPr>
          <w:rFonts w:ascii="Arial" w:eastAsia="Calibri" w:hAnsi="Arial" w:cs="Arial"/>
          <w:bCs/>
          <w:sz w:val="20"/>
          <w:szCs w:val="20"/>
          <w:lang w:val="es-MX"/>
        </w:rPr>
        <w:t>[…]</w:t>
      </w:r>
      <w:r w:rsidRPr="00643637">
        <w:rPr>
          <w:rFonts w:ascii="Arial" w:hAnsi="Arial" w:cs="Arial"/>
          <w:sz w:val="20"/>
          <w:szCs w:val="20"/>
        </w:rPr>
        <w:t xml:space="preserve"> </w:t>
      </w:r>
      <w:r w:rsidR="006814E1" w:rsidRPr="006814E1">
        <w:rPr>
          <w:rFonts w:ascii="Arial" w:hAnsi="Arial" w:cs="Arial"/>
          <w:sz w:val="20"/>
          <w:szCs w:val="20"/>
        </w:rPr>
        <w:t>la Matriz 1 está constituida por ocho (8) tipos de consultoría a obras de infraestructura de transporte, identificadas con un número y su descripción, los cuales son: 1) consultoría a obras en vías primarias o secundarias, 2) consultoría a obras en vías terciarias, 3) consultoría a obras marítimas y fluviales, 4) consultoría a obras en vías primarias o secundarias o terciarias para atención, prevención o mitigación de emergencias diferentes a contratación directa, 5) consultoría a obras férreas, 6) consultoría a obras de infraestructura vial urbana, 7) consultoría a obras en puentes y 8) consultoría a obras aeroportuarias. Estas determinan el marco para la aplicación de los documentos tipo, dado que comprenden todas aquellas actividades que constituyen consultoría de estudios de ingeniería de infraestructura de transporte y que han sido objeto de estandarización mediante la Resolución No. 193 del 14 de julio de 2021 para los procesos de concurso de méritos.</w:t>
      </w:r>
    </w:p>
    <w:p w14:paraId="18776DBD" w14:textId="77777777" w:rsidR="006814E1" w:rsidRDefault="006814E1" w:rsidP="006814E1">
      <w:pPr>
        <w:spacing w:after="0" w:line="240" w:lineRule="auto"/>
        <w:ind w:firstLine="0"/>
        <w:rPr>
          <w:rFonts w:ascii="Arial" w:hAnsi="Arial" w:cs="Arial"/>
          <w:sz w:val="20"/>
          <w:szCs w:val="20"/>
        </w:rPr>
      </w:pPr>
    </w:p>
    <w:p w14:paraId="1FD046DC" w14:textId="47B589DF" w:rsidR="00B06FE8" w:rsidRPr="00643637" w:rsidRDefault="006814E1" w:rsidP="006814E1">
      <w:pPr>
        <w:spacing w:after="0" w:line="240" w:lineRule="auto"/>
        <w:ind w:firstLine="0"/>
        <w:rPr>
          <w:rFonts w:ascii="Arial" w:eastAsia="Calibri" w:hAnsi="Arial" w:cs="Arial"/>
          <w:sz w:val="20"/>
          <w:szCs w:val="20"/>
        </w:rPr>
      </w:pPr>
      <w:r w:rsidRPr="006814E1">
        <w:rPr>
          <w:rFonts w:ascii="Arial" w:hAnsi="Arial" w:cs="Arial"/>
          <w:sz w:val="20"/>
          <w:szCs w:val="20"/>
        </w:rPr>
        <w:t>En ese sentido, de acuerdo con el «Documento Base», estos documentos tipo aplican a los procesos de consultoría de estudios de ingeniería de infraestructura de transporte celebrados en la modalidad de concurso de méritos, que correspondan con las actividades definidas en la «Matriz 1 – Experiencia». En los términos del numeral 10.1.1, literal B, también aplica a los componentes de consultorías integrales (predial, ambiental, social y seguridad y salud en el trabajo) que tengan otros componentes aparte del técnico descrito en la mencionada Matriz. Por tanto, no son aplicables en las actividades de consultoría de estudios de ingeniería de infraestructura de transporte no contempladas en la «Matriz 1 – Experiencia», sin perjuicio de lo previsto en el artículo 4 de la Resolución que adopta estos Documentos Tipo.</w:t>
      </w:r>
    </w:p>
    <w:p w14:paraId="143B37E5" w14:textId="289C1AB0" w:rsidR="00B06FE8" w:rsidRDefault="00B06FE8" w:rsidP="00B06FE8">
      <w:pPr>
        <w:spacing w:after="0" w:line="240" w:lineRule="auto"/>
        <w:ind w:firstLine="0"/>
        <w:rPr>
          <w:rFonts w:ascii="Arial" w:eastAsia="Calibri" w:hAnsi="Arial" w:cs="Arial"/>
          <w:bCs/>
          <w:color w:val="000000" w:themeColor="text1"/>
          <w:lang w:val="es-ES_tradnl"/>
        </w:rPr>
      </w:pPr>
    </w:p>
    <w:p w14:paraId="07B8AA0F" w14:textId="1B32CE66" w:rsidR="00357762" w:rsidRPr="00643637" w:rsidRDefault="00357762" w:rsidP="00B06FE8">
      <w:pPr>
        <w:spacing w:after="0" w:line="240" w:lineRule="auto"/>
        <w:ind w:firstLine="0"/>
        <w:rPr>
          <w:rFonts w:ascii="Arial" w:eastAsia="Calibri" w:hAnsi="Arial" w:cs="Arial"/>
          <w:b/>
          <w:color w:val="000000" w:themeColor="text1"/>
          <w:lang w:val="es-ES_tradnl"/>
        </w:rPr>
      </w:pPr>
      <w:r w:rsidRPr="00643637">
        <w:rPr>
          <w:rFonts w:ascii="Arial" w:eastAsia="Calibri" w:hAnsi="Arial" w:cs="Arial"/>
          <w:b/>
          <w:color w:val="000000" w:themeColor="text1"/>
          <w:lang w:val="es-ES_tradnl"/>
        </w:rPr>
        <w:t xml:space="preserve">DOCUMENTOS TIPO – Experiencia – </w:t>
      </w:r>
      <w:r w:rsidR="00BF443F">
        <w:rPr>
          <w:rFonts w:ascii="Arial" w:eastAsia="Calibri" w:hAnsi="Arial" w:cs="Arial"/>
          <w:b/>
          <w:color w:val="000000" w:themeColor="text1"/>
          <w:lang w:val="es-ES_tradnl"/>
        </w:rPr>
        <w:t xml:space="preserve">Complejidad – </w:t>
      </w:r>
      <w:r w:rsidR="00B766BE">
        <w:rPr>
          <w:rFonts w:ascii="Arial" w:eastAsia="Calibri" w:hAnsi="Arial" w:cs="Arial"/>
          <w:b/>
          <w:color w:val="000000" w:themeColor="text1"/>
          <w:lang w:val="es-ES_tradnl"/>
        </w:rPr>
        <w:t>Aplicación de la Matriz 1 – Experiencia</w:t>
      </w:r>
    </w:p>
    <w:p w14:paraId="3EDC1B17" w14:textId="77777777" w:rsidR="00B06FE8" w:rsidRPr="002B47C2" w:rsidRDefault="00B06FE8" w:rsidP="00B06FE8">
      <w:pPr>
        <w:spacing w:after="0" w:line="240" w:lineRule="auto"/>
        <w:ind w:firstLine="0"/>
        <w:rPr>
          <w:rFonts w:ascii="Arial" w:eastAsia="Calibri" w:hAnsi="Arial" w:cs="Arial"/>
          <w:bCs/>
          <w:color w:val="000000" w:themeColor="text1"/>
          <w:lang w:val="es-ES_tradnl"/>
        </w:rPr>
      </w:pPr>
    </w:p>
    <w:p w14:paraId="2652799D" w14:textId="0DE16035" w:rsidR="00740715" w:rsidRDefault="00740715" w:rsidP="00740715">
      <w:pPr>
        <w:spacing w:after="0" w:line="240" w:lineRule="auto"/>
        <w:ind w:firstLine="0"/>
        <w:rPr>
          <w:rFonts w:ascii="Arial" w:eastAsia="Calibri" w:hAnsi="Arial" w:cs="Arial"/>
          <w:bCs/>
          <w:color w:val="000000" w:themeColor="text1"/>
          <w:sz w:val="20"/>
          <w:szCs w:val="20"/>
          <w:lang w:val="es-ES_tradnl"/>
        </w:rPr>
      </w:pPr>
      <w:r>
        <w:rPr>
          <w:rFonts w:ascii="Arial" w:eastAsia="Calibri" w:hAnsi="Arial" w:cs="Arial"/>
          <w:bCs/>
          <w:color w:val="000000" w:themeColor="text1"/>
          <w:sz w:val="20"/>
          <w:szCs w:val="20"/>
          <w:lang w:val="es-ES_tradnl"/>
        </w:rPr>
        <w:lastRenderedPageBreak/>
        <w:t xml:space="preserve">[…] </w:t>
      </w:r>
      <w:r w:rsidRPr="00740715">
        <w:rPr>
          <w:rFonts w:ascii="Arial" w:eastAsia="Calibri" w:hAnsi="Arial" w:cs="Arial"/>
          <w:bCs/>
          <w:color w:val="000000" w:themeColor="text1"/>
          <w:sz w:val="20"/>
          <w:szCs w:val="20"/>
          <w:lang w:val="es-ES_tradnl"/>
        </w:rPr>
        <w:t xml:space="preserve">en el numeral «10.1 Acreditación de la experiencia del proponente» del «documento base» o pliego tipo adoptado, se establece que la entidad «debe justificar expresa y suficientemente la implementación de las condiciones para un proyecto de consultoría de baja-media, o alta complejidad técnica según la “Matriz 1 – Experiencia”». En otras palabras, en los documentos tipo de consultoría de estudios de ingeniería de infraestructura de transporte, se contemplan dos matrices de experiencia: i) para proyectos de baja o media complejidad técnica y </w:t>
      </w:r>
      <w:proofErr w:type="spellStart"/>
      <w:r w:rsidRPr="00740715">
        <w:rPr>
          <w:rFonts w:ascii="Arial" w:eastAsia="Calibri" w:hAnsi="Arial" w:cs="Arial"/>
          <w:bCs/>
          <w:color w:val="000000" w:themeColor="text1"/>
          <w:sz w:val="20"/>
          <w:szCs w:val="20"/>
          <w:lang w:val="es-ES_tradnl"/>
        </w:rPr>
        <w:t>ii</w:t>
      </w:r>
      <w:proofErr w:type="spellEnd"/>
      <w:r w:rsidRPr="00740715">
        <w:rPr>
          <w:rFonts w:ascii="Arial" w:eastAsia="Calibri" w:hAnsi="Arial" w:cs="Arial"/>
          <w:bCs/>
          <w:color w:val="000000" w:themeColor="text1"/>
          <w:sz w:val="20"/>
          <w:szCs w:val="20"/>
          <w:lang w:val="es-ES_tradnl"/>
        </w:rPr>
        <w:t xml:space="preserve">) para proyectos de alta complejidad técnica. En ese orden, la entidad deberá establecer si aplica la Matriz 1 de proyectos de complejidad media-baja o la de proyectos de complejidad alta, para luego subsumir el objeto contractual en alguno de los tipos de consultoría de obra y actividades incluidos en la matriz, estableciendo los requisitos de experiencia exigibles según la cantidad de SMMLV del presupuesto oficial del respectivo proceso de contratación. </w:t>
      </w:r>
    </w:p>
    <w:p w14:paraId="1A348422" w14:textId="77777777" w:rsidR="00740715" w:rsidRPr="00740715" w:rsidRDefault="00740715" w:rsidP="00740715">
      <w:pPr>
        <w:spacing w:after="0" w:line="240" w:lineRule="auto"/>
        <w:ind w:firstLine="0"/>
        <w:rPr>
          <w:rFonts w:ascii="Arial" w:eastAsia="Calibri" w:hAnsi="Arial" w:cs="Arial"/>
          <w:bCs/>
          <w:color w:val="000000" w:themeColor="text1"/>
          <w:sz w:val="20"/>
          <w:szCs w:val="20"/>
          <w:lang w:val="es-ES_tradnl"/>
        </w:rPr>
      </w:pPr>
    </w:p>
    <w:p w14:paraId="42A1BF5B" w14:textId="4510452A" w:rsidR="00B06FE8" w:rsidRPr="00066D53" w:rsidRDefault="00740715" w:rsidP="00740715">
      <w:pPr>
        <w:spacing w:after="0" w:line="240" w:lineRule="auto"/>
        <w:ind w:firstLine="0"/>
        <w:rPr>
          <w:rFonts w:ascii="Arial" w:eastAsia="Calibri" w:hAnsi="Arial" w:cs="Arial"/>
          <w:bCs/>
          <w:color w:val="000000" w:themeColor="text1"/>
          <w:sz w:val="20"/>
          <w:szCs w:val="20"/>
          <w:lang w:val="es-ES_tradnl"/>
        </w:rPr>
      </w:pPr>
      <w:r w:rsidRPr="00740715">
        <w:rPr>
          <w:rFonts w:ascii="Arial" w:eastAsia="Calibri" w:hAnsi="Arial" w:cs="Arial"/>
          <w:bCs/>
          <w:color w:val="000000" w:themeColor="text1"/>
          <w:sz w:val="20"/>
          <w:szCs w:val="20"/>
          <w:lang w:val="es-ES_tradnl"/>
        </w:rPr>
        <w:t>De esta manera, la entidad estatal que adelanta un proceso de contratación de consultoría de estudios de ingeniería de transporte debe definir la experiencia exigible, teniendo en cuenta las condiciones fijadas en la Matriz 1</w:t>
      </w:r>
    </w:p>
    <w:p w14:paraId="5236E212" w14:textId="252B7577" w:rsidR="00B06FE8" w:rsidRDefault="00B06FE8" w:rsidP="00B06FE8">
      <w:pPr>
        <w:spacing w:after="0" w:line="240" w:lineRule="auto"/>
        <w:ind w:firstLine="0"/>
        <w:rPr>
          <w:rFonts w:ascii="Arial" w:eastAsia="Calibri" w:hAnsi="Arial" w:cs="Arial"/>
          <w:bCs/>
          <w:color w:val="000000" w:themeColor="text1"/>
          <w:lang w:val="es-ES_tradnl"/>
        </w:rPr>
      </w:pPr>
    </w:p>
    <w:p w14:paraId="0F462535" w14:textId="77777777" w:rsidR="00B06FE8" w:rsidRPr="002B47C2" w:rsidRDefault="00B06FE8" w:rsidP="00B06FE8">
      <w:pPr>
        <w:spacing w:after="0" w:line="240" w:lineRule="auto"/>
        <w:ind w:firstLine="0"/>
        <w:rPr>
          <w:rFonts w:ascii="Arial" w:eastAsia="Calibri" w:hAnsi="Arial" w:cs="Arial"/>
          <w:bCs/>
          <w:color w:val="000000" w:themeColor="text1"/>
          <w:lang w:val="es-ES_tradnl"/>
        </w:rPr>
      </w:pPr>
    </w:p>
    <w:p w14:paraId="11ADC6BF" w14:textId="77777777" w:rsidR="00B06FE8" w:rsidRDefault="00B06FE8" w:rsidP="00B06FE8">
      <w:pPr>
        <w:spacing w:after="0" w:line="240" w:lineRule="auto"/>
        <w:ind w:firstLine="0"/>
        <w:jc w:val="left"/>
        <w:rPr>
          <w:rFonts w:ascii="Arial" w:eastAsia="Calibri" w:hAnsi="Arial" w:cs="Arial"/>
          <w:color w:val="000000" w:themeColor="text1"/>
          <w:szCs w:val="20"/>
          <w:lang w:val="es-MX"/>
        </w:rPr>
      </w:pPr>
    </w:p>
    <w:p w14:paraId="03AD3C6F" w14:textId="77777777" w:rsidR="00B06FE8" w:rsidRDefault="00B06FE8" w:rsidP="00B06FE8">
      <w:pPr>
        <w:spacing w:after="0" w:line="240" w:lineRule="auto"/>
        <w:ind w:firstLine="0"/>
        <w:jc w:val="left"/>
        <w:rPr>
          <w:rFonts w:ascii="Arial" w:eastAsia="Calibri" w:hAnsi="Arial" w:cs="Arial"/>
          <w:color w:val="000000" w:themeColor="text1"/>
          <w:szCs w:val="20"/>
          <w:lang w:val="es-MX"/>
        </w:rPr>
      </w:pPr>
    </w:p>
    <w:p w14:paraId="5A6B7688" w14:textId="77777777" w:rsidR="00B06FE8" w:rsidRDefault="00B06FE8" w:rsidP="00B06FE8">
      <w:pPr>
        <w:spacing w:after="0" w:line="240" w:lineRule="auto"/>
        <w:ind w:firstLine="0"/>
        <w:jc w:val="left"/>
        <w:rPr>
          <w:rFonts w:ascii="Arial" w:eastAsia="Calibri" w:hAnsi="Arial" w:cs="Arial"/>
          <w:color w:val="000000" w:themeColor="text1"/>
          <w:szCs w:val="20"/>
          <w:lang w:val="es-MX"/>
        </w:rPr>
      </w:pPr>
    </w:p>
    <w:p w14:paraId="27877C98" w14:textId="77777777" w:rsidR="00290A43" w:rsidRDefault="00290A43" w:rsidP="00B06FE8">
      <w:pPr>
        <w:spacing w:after="0" w:line="240" w:lineRule="auto"/>
        <w:ind w:firstLine="0"/>
        <w:jc w:val="left"/>
        <w:rPr>
          <w:rFonts w:ascii="Arial" w:eastAsia="Calibri" w:hAnsi="Arial" w:cs="Arial"/>
          <w:color w:val="000000" w:themeColor="text1"/>
          <w:szCs w:val="20"/>
          <w:lang w:val="es-MX"/>
        </w:rPr>
      </w:pPr>
    </w:p>
    <w:p w14:paraId="50831BC8" w14:textId="75F79175" w:rsidR="00290A43" w:rsidRDefault="00290A43" w:rsidP="00B06FE8">
      <w:pPr>
        <w:spacing w:after="0" w:line="240" w:lineRule="auto"/>
        <w:ind w:firstLine="0"/>
        <w:jc w:val="left"/>
        <w:rPr>
          <w:rFonts w:ascii="Arial" w:eastAsia="Calibri" w:hAnsi="Arial" w:cs="Arial"/>
          <w:color w:val="000000" w:themeColor="text1"/>
          <w:szCs w:val="20"/>
          <w:lang w:val="es-MX"/>
        </w:rPr>
      </w:pPr>
    </w:p>
    <w:p w14:paraId="3594375B" w14:textId="121C6FA9" w:rsidR="00643637" w:rsidRDefault="00643637" w:rsidP="00B06FE8">
      <w:pPr>
        <w:spacing w:after="0" w:line="240" w:lineRule="auto"/>
        <w:ind w:firstLine="0"/>
        <w:jc w:val="left"/>
        <w:rPr>
          <w:rFonts w:ascii="Arial" w:eastAsia="Calibri" w:hAnsi="Arial" w:cs="Arial"/>
          <w:color w:val="000000" w:themeColor="text1"/>
          <w:szCs w:val="20"/>
          <w:lang w:val="es-MX"/>
        </w:rPr>
      </w:pPr>
    </w:p>
    <w:p w14:paraId="67F45273" w14:textId="230BFE7D" w:rsidR="00643637" w:rsidRDefault="00643637" w:rsidP="00B06FE8">
      <w:pPr>
        <w:spacing w:after="0" w:line="240" w:lineRule="auto"/>
        <w:ind w:firstLine="0"/>
        <w:jc w:val="left"/>
        <w:rPr>
          <w:rFonts w:ascii="Arial" w:eastAsia="Calibri" w:hAnsi="Arial" w:cs="Arial"/>
          <w:color w:val="000000" w:themeColor="text1"/>
          <w:szCs w:val="20"/>
          <w:lang w:val="es-MX"/>
        </w:rPr>
      </w:pPr>
    </w:p>
    <w:p w14:paraId="1E2ECCCA" w14:textId="047330E3" w:rsidR="00643637" w:rsidRDefault="00643637" w:rsidP="00B06FE8">
      <w:pPr>
        <w:spacing w:after="0" w:line="240" w:lineRule="auto"/>
        <w:ind w:firstLine="0"/>
        <w:jc w:val="left"/>
        <w:rPr>
          <w:rFonts w:ascii="Arial" w:eastAsia="Calibri" w:hAnsi="Arial" w:cs="Arial"/>
          <w:color w:val="000000" w:themeColor="text1"/>
          <w:szCs w:val="20"/>
          <w:lang w:val="es-MX"/>
        </w:rPr>
      </w:pPr>
    </w:p>
    <w:p w14:paraId="52271D3A" w14:textId="41990CB7" w:rsidR="00643637" w:rsidRDefault="00643637" w:rsidP="00B06FE8">
      <w:pPr>
        <w:spacing w:after="0" w:line="240" w:lineRule="auto"/>
        <w:ind w:firstLine="0"/>
        <w:jc w:val="left"/>
        <w:rPr>
          <w:rFonts w:ascii="Arial" w:eastAsia="Calibri" w:hAnsi="Arial" w:cs="Arial"/>
          <w:color w:val="000000" w:themeColor="text1"/>
          <w:szCs w:val="20"/>
          <w:lang w:val="es-MX"/>
        </w:rPr>
      </w:pPr>
    </w:p>
    <w:p w14:paraId="2789AFBC" w14:textId="68277E4F" w:rsidR="00643637" w:rsidRDefault="00643637" w:rsidP="00B06FE8">
      <w:pPr>
        <w:spacing w:after="0" w:line="240" w:lineRule="auto"/>
        <w:ind w:firstLine="0"/>
        <w:jc w:val="left"/>
        <w:rPr>
          <w:rFonts w:ascii="Arial" w:eastAsia="Calibri" w:hAnsi="Arial" w:cs="Arial"/>
          <w:color w:val="000000" w:themeColor="text1"/>
          <w:szCs w:val="20"/>
          <w:lang w:val="es-MX"/>
        </w:rPr>
      </w:pPr>
    </w:p>
    <w:p w14:paraId="4E2593AF" w14:textId="129F8B80" w:rsidR="00643637" w:rsidRDefault="00643637" w:rsidP="00B06FE8">
      <w:pPr>
        <w:spacing w:after="0" w:line="240" w:lineRule="auto"/>
        <w:ind w:firstLine="0"/>
        <w:jc w:val="left"/>
        <w:rPr>
          <w:rFonts w:ascii="Arial" w:eastAsia="Calibri" w:hAnsi="Arial" w:cs="Arial"/>
          <w:color w:val="000000" w:themeColor="text1"/>
          <w:szCs w:val="20"/>
          <w:lang w:val="es-MX"/>
        </w:rPr>
      </w:pPr>
    </w:p>
    <w:p w14:paraId="0DB768B2" w14:textId="50383B2C" w:rsidR="00643637" w:rsidRDefault="00643637" w:rsidP="00B06FE8">
      <w:pPr>
        <w:spacing w:after="0" w:line="240" w:lineRule="auto"/>
        <w:ind w:firstLine="0"/>
        <w:jc w:val="left"/>
        <w:rPr>
          <w:rFonts w:ascii="Arial" w:eastAsia="Calibri" w:hAnsi="Arial" w:cs="Arial"/>
          <w:color w:val="000000" w:themeColor="text1"/>
          <w:szCs w:val="20"/>
          <w:lang w:val="es-MX"/>
        </w:rPr>
      </w:pPr>
    </w:p>
    <w:p w14:paraId="1842DDE7" w14:textId="5847B55E" w:rsidR="00643637" w:rsidRDefault="00643637" w:rsidP="00B06FE8">
      <w:pPr>
        <w:spacing w:after="0" w:line="240" w:lineRule="auto"/>
        <w:ind w:firstLine="0"/>
        <w:jc w:val="left"/>
        <w:rPr>
          <w:rFonts w:ascii="Arial" w:eastAsia="Calibri" w:hAnsi="Arial" w:cs="Arial"/>
          <w:color w:val="000000" w:themeColor="text1"/>
          <w:szCs w:val="20"/>
          <w:lang w:val="es-MX"/>
        </w:rPr>
      </w:pPr>
    </w:p>
    <w:p w14:paraId="5205B7CE" w14:textId="40693FD0" w:rsidR="00643637" w:rsidRDefault="00643637" w:rsidP="00B06FE8">
      <w:pPr>
        <w:spacing w:after="0" w:line="240" w:lineRule="auto"/>
        <w:ind w:firstLine="0"/>
        <w:jc w:val="left"/>
        <w:rPr>
          <w:rFonts w:ascii="Arial" w:eastAsia="Calibri" w:hAnsi="Arial" w:cs="Arial"/>
          <w:color w:val="000000" w:themeColor="text1"/>
          <w:szCs w:val="20"/>
          <w:lang w:val="es-MX"/>
        </w:rPr>
      </w:pPr>
    </w:p>
    <w:p w14:paraId="20C1F092" w14:textId="4B36DAFE" w:rsidR="00643637" w:rsidRDefault="00643637" w:rsidP="00B06FE8">
      <w:pPr>
        <w:spacing w:after="0" w:line="240" w:lineRule="auto"/>
        <w:ind w:firstLine="0"/>
        <w:jc w:val="left"/>
        <w:rPr>
          <w:rFonts w:ascii="Arial" w:eastAsia="Calibri" w:hAnsi="Arial" w:cs="Arial"/>
          <w:color w:val="000000" w:themeColor="text1"/>
          <w:szCs w:val="20"/>
          <w:lang w:val="es-MX"/>
        </w:rPr>
      </w:pPr>
    </w:p>
    <w:p w14:paraId="127C26D5" w14:textId="3FEA63B7" w:rsidR="00643637" w:rsidRDefault="00643637" w:rsidP="00B06FE8">
      <w:pPr>
        <w:spacing w:after="0" w:line="240" w:lineRule="auto"/>
        <w:ind w:firstLine="0"/>
        <w:jc w:val="left"/>
        <w:rPr>
          <w:rFonts w:ascii="Arial" w:eastAsia="Calibri" w:hAnsi="Arial" w:cs="Arial"/>
          <w:color w:val="000000" w:themeColor="text1"/>
          <w:szCs w:val="20"/>
          <w:lang w:val="es-MX"/>
        </w:rPr>
      </w:pPr>
    </w:p>
    <w:p w14:paraId="1E002F03" w14:textId="08183D2A" w:rsidR="00643637" w:rsidRDefault="00643637" w:rsidP="00B06FE8">
      <w:pPr>
        <w:spacing w:after="0" w:line="240" w:lineRule="auto"/>
        <w:ind w:firstLine="0"/>
        <w:jc w:val="left"/>
        <w:rPr>
          <w:rFonts w:ascii="Arial" w:eastAsia="Calibri" w:hAnsi="Arial" w:cs="Arial"/>
          <w:color w:val="000000" w:themeColor="text1"/>
          <w:szCs w:val="20"/>
          <w:lang w:val="es-MX"/>
        </w:rPr>
      </w:pPr>
    </w:p>
    <w:p w14:paraId="24EF3B24" w14:textId="08BCA77A" w:rsidR="00643637" w:rsidRDefault="00643637" w:rsidP="00B06FE8">
      <w:pPr>
        <w:spacing w:after="0" w:line="240" w:lineRule="auto"/>
        <w:ind w:firstLine="0"/>
        <w:jc w:val="left"/>
        <w:rPr>
          <w:rFonts w:ascii="Arial" w:eastAsia="Calibri" w:hAnsi="Arial" w:cs="Arial"/>
          <w:color w:val="000000" w:themeColor="text1"/>
          <w:szCs w:val="20"/>
          <w:lang w:val="es-MX"/>
        </w:rPr>
      </w:pPr>
    </w:p>
    <w:p w14:paraId="4871AD2A" w14:textId="4C0D06CA" w:rsidR="00643637" w:rsidRDefault="00643637" w:rsidP="00B06FE8">
      <w:pPr>
        <w:spacing w:after="0" w:line="240" w:lineRule="auto"/>
        <w:ind w:firstLine="0"/>
        <w:jc w:val="left"/>
        <w:rPr>
          <w:rFonts w:ascii="Arial" w:eastAsia="Calibri" w:hAnsi="Arial" w:cs="Arial"/>
          <w:color w:val="000000" w:themeColor="text1"/>
          <w:szCs w:val="20"/>
          <w:lang w:val="es-MX"/>
        </w:rPr>
      </w:pPr>
    </w:p>
    <w:p w14:paraId="2ACA47C1" w14:textId="2D2F7ED2" w:rsidR="00643637" w:rsidRDefault="00643637" w:rsidP="00B06FE8">
      <w:pPr>
        <w:spacing w:after="0" w:line="240" w:lineRule="auto"/>
        <w:ind w:firstLine="0"/>
        <w:jc w:val="left"/>
        <w:rPr>
          <w:rFonts w:ascii="Arial" w:eastAsia="Calibri" w:hAnsi="Arial" w:cs="Arial"/>
          <w:color w:val="000000" w:themeColor="text1"/>
          <w:szCs w:val="20"/>
          <w:lang w:val="es-MX"/>
        </w:rPr>
      </w:pPr>
    </w:p>
    <w:p w14:paraId="1221119D" w14:textId="19AD66EA" w:rsidR="00643637" w:rsidRDefault="00643637" w:rsidP="00B06FE8">
      <w:pPr>
        <w:spacing w:after="0" w:line="240" w:lineRule="auto"/>
        <w:ind w:firstLine="0"/>
        <w:jc w:val="left"/>
        <w:rPr>
          <w:rFonts w:ascii="Arial" w:eastAsia="Calibri" w:hAnsi="Arial" w:cs="Arial"/>
          <w:color w:val="000000" w:themeColor="text1"/>
          <w:szCs w:val="20"/>
          <w:lang w:val="es-MX"/>
        </w:rPr>
      </w:pPr>
    </w:p>
    <w:p w14:paraId="2C51DF4C" w14:textId="5BF03A9A" w:rsidR="00643637" w:rsidRDefault="00643637" w:rsidP="00B06FE8">
      <w:pPr>
        <w:spacing w:after="0" w:line="240" w:lineRule="auto"/>
        <w:ind w:firstLine="0"/>
        <w:jc w:val="left"/>
        <w:rPr>
          <w:rFonts w:ascii="Arial" w:eastAsia="Calibri" w:hAnsi="Arial" w:cs="Arial"/>
          <w:color w:val="000000" w:themeColor="text1"/>
          <w:szCs w:val="20"/>
          <w:lang w:val="es-MX"/>
        </w:rPr>
      </w:pPr>
    </w:p>
    <w:p w14:paraId="2A05178A" w14:textId="2064CAB3" w:rsidR="00643637" w:rsidRDefault="00643637" w:rsidP="00B06FE8">
      <w:pPr>
        <w:spacing w:after="0" w:line="240" w:lineRule="auto"/>
        <w:ind w:firstLine="0"/>
        <w:jc w:val="left"/>
        <w:rPr>
          <w:rFonts w:ascii="Arial" w:eastAsia="Calibri" w:hAnsi="Arial" w:cs="Arial"/>
          <w:color w:val="000000" w:themeColor="text1"/>
          <w:szCs w:val="20"/>
          <w:lang w:val="es-MX"/>
        </w:rPr>
      </w:pPr>
    </w:p>
    <w:p w14:paraId="55C0E608" w14:textId="644592CD" w:rsidR="00643637" w:rsidRDefault="00643637" w:rsidP="00B06FE8">
      <w:pPr>
        <w:spacing w:after="0" w:line="240" w:lineRule="auto"/>
        <w:ind w:firstLine="0"/>
        <w:jc w:val="left"/>
        <w:rPr>
          <w:rFonts w:ascii="Arial" w:eastAsia="Calibri" w:hAnsi="Arial" w:cs="Arial"/>
          <w:color w:val="000000" w:themeColor="text1"/>
          <w:szCs w:val="20"/>
          <w:lang w:val="es-MX"/>
        </w:rPr>
      </w:pPr>
    </w:p>
    <w:p w14:paraId="5C1DB0C4" w14:textId="7A13376D" w:rsidR="00643637" w:rsidRDefault="00643637" w:rsidP="00B06FE8">
      <w:pPr>
        <w:spacing w:after="0" w:line="240" w:lineRule="auto"/>
        <w:ind w:firstLine="0"/>
        <w:jc w:val="left"/>
        <w:rPr>
          <w:rFonts w:ascii="Arial" w:eastAsia="Calibri" w:hAnsi="Arial" w:cs="Arial"/>
          <w:color w:val="000000" w:themeColor="text1"/>
          <w:szCs w:val="20"/>
          <w:lang w:val="es-MX"/>
        </w:rPr>
      </w:pPr>
    </w:p>
    <w:p w14:paraId="4E4243D6" w14:textId="5F3150AB" w:rsidR="00643637" w:rsidRDefault="00643637" w:rsidP="00B06FE8">
      <w:pPr>
        <w:spacing w:after="0" w:line="240" w:lineRule="auto"/>
        <w:ind w:firstLine="0"/>
        <w:jc w:val="left"/>
        <w:rPr>
          <w:rFonts w:ascii="Arial" w:eastAsia="Calibri" w:hAnsi="Arial" w:cs="Arial"/>
          <w:color w:val="000000" w:themeColor="text1"/>
          <w:szCs w:val="20"/>
          <w:lang w:val="es-MX"/>
        </w:rPr>
      </w:pPr>
    </w:p>
    <w:p w14:paraId="01F0877E" w14:textId="038A9850" w:rsidR="00643637" w:rsidRDefault="00643637" w:rsidP="00B06FE8">
      <w:pPr>
        <w:spacing w:after="0" w:line="240" w:lineRule="auto"/>
        <w:ind w:firstLine="0"/>
        <w:jc w:val="left"/>
        <w:rPr>
          <w:rFonts w:ascii="Arial" w:eastAsia="Calibri" w:hAnsi="Arial" w:cs="Arial"/>
          <w:color w:val="000000" w:themeColor="text1"/>
          <w:szCs w:val="20"/>
          <w:lang w:val="es-MX"/>
        </w:rPr>
      </w:pPr>
    </w:p>
    <w:p w14:paraId="7D180707" w14:textId="5EFFC286" w:rsidR="00290A43" w:rsidRDefault="00290A43" w:rsidP="00B06FE8">
      <w:pPr>
        <w:spacing w:after="0" w:line="240" w:lineRule="auto"/>
        <w:ind w:firstLine="0"/>
        <w:jc w:val="left"/>
        <w:rPr>
          <w:rFonts w:ascii="Arial" w:eastAsia="Calibri" w:hAnsi="Arial" w:cs="Arial"/>
          <w:color w:val="000000" w:themeColor="text1"/>
          <w:szCs w:val="20"/>
          <w:lang w:val="es-MX"/>
        </w:rPr>
      </w:pPr>
    </w:p>
    <w:p w14:paraId="5DEE98B7" w14:textId="25657DA6" w:rsidR="00A331CA" w:rsidRDefault="00A331CA" w:rsidP="00B06FE8">
      <w:pPr>
        <w:spacing w:after="0" w:line="240" w:lineRule="auto"/>
        <w:ind w:firstLine="0"/>
        <w:jc w:val="left"/>
        <w:rPr>
          <w:rFonts w:ascii="Arial" w:eastAsia="Calibri" w:hAnsi="Arial" w:cs="Arial"/>
          <w:color w:val="000000" w:themeColor="text1"/>
          <w:szCs w:val="20"/>
          <w:lang w:val="es-MX"/>
        </w:rPr>
      </w:pPr>
    </w:p>
    <w:p w14:paraId="419219A1" w14:textId="31478ADE" w:rsidR="00A331CA" w:rsidRDefault="007B3FCB" w:rsidP="007B3FCB">
      <w:pPr>
        <w:spacing w:after="0" w:line="240" w:lineRule="auto"/>
        <w:ind w:firstLine="0"/>
        <w:jc w:val="right"/>
        <w:rPr>
          <w:rFonts w:ascii="Arial" w:eastAsia="Calibri" w:hAnsi="Arial" w:cs="Arial"/>
          <w:color w:val="000000" w:themeColor="text1"/>
          <w:szCs w:val="20"/>
          <w:lang w:val="es-MX"/>
        </w:rPr>
      </w:pPr>
      <w:r>
        <w:rPr>
          <w:rFonts w:ascii="Arial" w:eastAsia="Calibri" w:hAnsi="Arial" w:cs="Arial"/>
          <w:noProof/>
          <w:color w:val="000000" w:themeColor="text1"/>
          <w:szCs w:val="20"/>
          <w:lang w:val="es-MX"/>
        </w:rPr>
        <w:lastRenderedPageBreak/>
        <w:drawing>
          <wp:inline distT="0" distB="0" distL="0" distR="0" wp14:anchorId="20A7431D" wp14:editId="4C673565">
            <wp:extent cx="2851962" cy="749513"/>
            <wp:effectExtent l="0" t="0" r="5715" b="0"/>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10;&#10;Descripción generada automáticamente"/>
                    <pic:cNvPicPr/>
                  </pic:nvPicPr>
                  <pic:blipFill>
                    <a:blip r:embed="rId11">
                      <a:extLst>
                        <a:ext uri="{28A0092B-C50C-407E-A947-70E740481C1C}">
                          <a14:useLocalDpi xmlns:a14="http://schemas.microsoft.com/office/drawing/2010/main" val="0"/>
                        </a:ext>
                      </a:extLst>
                    </a:blip>
                    <a:stretch>
                      <a:fillRect/>
                    </a:stretch>
                  </pic:blipFill>
                  <pic:spPr>
                    <a:xfrm>
                      <a:off x="0" y="0"/>
                      <a:ext cx="2887573" cy="758872"/>
                    </a:xfrm>
                    <a:prstGeom prst="rect">
                      <a:avLst/>
                    </a:prstGeom>
                  </pic:spPr>
                </pic:pic>
              </a:graphicData>
            </a:graphic>
          </wp:inline>
        </w:drawing>
      </w:r>
    </w:p>
    <w:p w14:paraId="700541DF" w14:textId="77777777" w:rsidR="007B3FCB" w:rsidRDefault="007B3FCB" w:rsidP="00B06FE8">
      <w:pPr>
        <w:spacing w:after="0" w:line="240" w:lineRule="auto"/>
        <w:ind w:firstLine="0"/>
        <w:jc w:val="left"/>
        <w:rPr>
          <w:rFonts w:ascii="Arial" w:eastAsia="Calibri" w:hAnsi="Arial" w:cs="Arial"/>
          <w:color w:val="000000" w:themeColor="text1"/>
          <w:szCs w:val="20"/>
          <w:lang w:val="es-MX"/>
        </w:rPr>
      </w:pPr>
    </w:p>
    <w:p w14:paraId="1E8BA87A" w14:textId="5438C345" w:rsidR="00B06FE8" w:rsidRPr="002B47C2" w:rsidRDefault="00B06FE8" w:rsidP="00B06FE8">
      <w:pPr>
        <w:spacing w:after="0" w:line="240" w:lineRule="auto"/>
        <w:ind w:firstLine="0"/>
        <w:jc w:val="left"/>
        <w:rPr>
          <w:rFonts w:ascii="Arial" w:eastAsia="Calibri" w:hAnsi="Arial" w:cs="Arial"/>
          <w:color w:val="000000" w:themeColor="text1"/>
          <w:szCs w:val="20"/>
          <w:lang w:val="es-MX"/>
        </w:rPr>
      </w:pPr>
      <w:r w:rsidRPr="002B47C2">
        <w:rPr>
          <w:rFonts w:ascii="Arial" w:eastAsia="Calibri" w:hAnsi="Arial" w:cs="Arial"/>
          <w:color w:val="000000" w:themeColor="text1"/>
          <w:szCs w:val="20"/>
          <w:lang w:val="es-MX"/>
        </w:rPr>
        <w:t>Señor</w:t>
      </w:r>
    </w:p>
    <w:p w14:paraId="6ECB2549" w14:textId="6AAD1B22" w:rsidR="00B06FE8" w:rsidRPr="002B47C2" w:rsidRDefault="001123D1" w:rsidP="00B06FE8">
      <w:pPr>
        <w:spacing w:after="0" w:line="240" w:lineRule="auto"/>
        <w:ind w:firstLine="0"/>
        <w:jc w:val="left"/>
        <w:rPr>
          <w:rFonts w:ascii="Arial" w:eastAsia="Calibri" w:hAnsi="Arial" w:cs="Arial"/>
          <w:b/>
          <w:color w:val="000000" w:themeColor="text1"/>
          <w:szCs w:val="20"/>
          <w:lang w:val="es-MX"/>
        </w:rPr>
      </w:pPr>
      <w:r>
        <w:rPr>
          <w:rFonts w:ascii="Arial" w:eastAsia="Calibri" w:hAnsi="Arial" w:cs="Arial"/>
          <w:b/>
          <w:color w:val="000000" w:themeColor="text1"/>
          <w:szCs w:val="20"/>
          <w:lang w:val="es-MX"/>
        </w:rPr>
        <w:t>J</w:t>
      </w:r>
      <w:r w:rsidR="00BA365E">
        <w:rPr>
          <w:rFonts w:ascii="Arial" w:eastAsia="Calibri" w:hAnsi="Arial" w:cs="Arial"/>
          <w:b/>
          <w:color w:val="000000" w:themeColor="text1"/>
          <w:szCs w:val="20"/>
          <w:lang w:val="es-MX"/>
        </w:rPr>
        <w:t>ohnathan Cotacio</w:t>
      </w:r>
    </w:p>
    <w:p w14:paraId="026260FA" w14:textId="52DF525B" w:rsidR="00B06FE8" w:rsidRPr="002B47C2" w:rsidRDefault="000D5681" w:rsidP="00B06FE8">
      <w:pPr>
        <w:spacing w:after="0" w:line="240" w:lineRule="auto"/>
        <w:ind w:firstLine="0"/>
        <w:jc w:val="left"/>
        <w:rPr>
          <w:rFonts w:ascii="Arial" w:eastAsia="Calibri" w:hAnsi="Arial" w:cs="Arial"/>
          <w:color w:val="000000" w:themeColor="text1"/>
          <w:szCs w:val="20"/>
          <w:lang w:val="es-MX"/>
        </w:rPr>
      </w:pPr>
      <w:r>
        <w:rPr>
          <w:rFonts w:ascii="Arial" w:eastAsia="Calibri" w:hAnsi="Arial" w:cs="Arial"/>
          <w:color w:val="000000" w:themeColor="text1"/>
          <w:szCs w:val="20"/>
          <w:lang w:val="es-MX"/>
        </w:rPr>
        <w:t>Florencia, Caquetá</w:t>
      </w:r>
    </w:p>
    <w:p w14:paraId="132F0940" w14:textId="77777777" w:rsidR="00B06FE8" w:rsidRPr="002B47C2" w:rsidRDefault="00B06FE8" w:rsidP="00B06FE8">
      <w:pPr>
        <w:spacing w:after="0" w:line="240" w:lineRule="auto"/>
        <w:ind w:firstLine="0"/>
        <w:jc w:val="left"/>
        <w:rPr>
          <w:rFonts w:ascii="Arial" w:eastAsia="Calibri" w:hAnsi="Arial" w:cs="Arial"/>
          <w:color w:val="000000" w:themeColor="text1"/>
          <w:szCs w:val="20"/>
          <w:lang w:val="es-MX"/>
        </w:rPr>
      </w:pPr>
    </w:p>
    <w:p w14:paraId="0E829919" w14:textId="77777777" w:rsidR="00B06FE8" w:rsidRPr="002B47C2" w:rsidRDefault="00B06FE8" w:rsidP="00B06FE8">
      <w:pPr>
        <w:spacing w:after="0" w:line="240" w:lineRule="auto"/>
        <w:ind w:firstLine="0"/>
        <w:jc w:val="left"/>
        <w:rPr>
          <w:rFonts w:ascii="Arial" w:eastAsia="Calibri" w:hAnsi="Arial" w:cs="Arial"/>
          <w:color w:val="000000" w:themeColor="text1"/>
          <w:szCs w:val="20"/>
          <w:lang w:val="es-MX"/>
        </w:rPr>
      </w:pPr>
    </w:p>
    <w:p w14:paraId="43380B14" w14:textId="1B2DE987" w:rsidR="00B06FE8" w:rsidRPr="002B47C2" w:rsidRDefault="00B06FE8" w:rsidP="00B06FE8">
      <w:pPr>
        <w:spacing w:after="0" w:line="240" w:lineRule="auto"/>
        <w:ind w:firstLine="0"/>
        <w:jc w:val="left"/>
        <w:rPr>
          <w:rFonts w:ascii="Arial" w:eastAsia="Calibri" w:hAnsi="Arial" w:cs="Arial"/>
          <w:b/>
          <w:color w:val="000000" w:themeColor="text1"/>
          <w:lang w:val="es-MX"/>
        </w:rPr>
      </w:pPr>
      <w:r w:rsidRPr="002B47C2">
        <w:rPr>
          <w:rFonts w:ascii="Arial" w:eastAsia="Calibri" w:hAnsi="Arial" w:cs="Arial"/>
          <w:b/>
          <w:color w:val="000000" w:themeColor="text1"/>
          <w:lang w:val="es-MX"/>
        </w:rPr>
        <w:t xml:space="preserve">                                            Concepto C – </w:t>
      </w:r>
      <w:r w:rsidR="000D5681">
        <w:rPr>
          <w:rFonts w:ascii="Arial" w:eastAsia="Calibri" w:hAnsi="Arial" w:cs="Arial"/>
          <w:b/>
          <w:color w:val="000000" w:themeColor="text1"/>
          <w:lang w:val="es-MX"/>
        </w:rPr>
        <w:t>218</w:t>
      </w:r>
      <w:r w:rsidRPr="002B47C2">
        <w:rPr>
          <w:rFonts w:ascii="Arial" w:eastAsia="Calibri" w:hAnsi="Arial" w:cs="Arial"/>
          <w:b/>
          <w:color w:val="000000" w:themeColor="text1"/>
          <w:lang w:val="es-MX"/>
        </w:rPr>
        <w:t xml:space="preserve"> de 202</w:t>
      </w:r>
      <w:r w:rsidR="00743C06">
        <w:rPr>
          <w:rFonts w:ascii="Arial" w:eastAsia="Calibri" w:hAnsi="Arial" w:cs="Arial"/>
          <w:b/>
          <w:color w:val="000000" w:themeColor="text1"/>
          <w:lang w:val="es-MX"/>
        </w:rPr>
        <w:t>2</w:t>
      </w:r>
    </w:p>
    <w:p w14:paraId="580DE48B" w14:textId="77777777" w:rsidR="00B06FE8" w:rsidRPr="002B47C2" w:rsidRDefault="00B06FE8" w:rsidP="00B06FE8">
      <w:pPr>
        <w:spacing w:after="0" w:line="240" w:lineRule="auto"/>
        <w:ind w:firstLine="0"/>
        <w:jc w:val="left"/>
        <w:rPr>
          <w:rFonts w:ascii="Arial" w:eastAsia="Calibri" w:hAnsi="Arial" w:cs="Arial"/>
          <w:color w:val="000000" w:themeColor="text1"/>
          <w:lang w:val="es-MX"/>
        </w:rPr>
      </w:pPr>
    </w:p>
    <w:tbl>
      <w:tblPr>
        <w:tblStyle w:val="Tablaconcuadrcula1"/>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B06FE8" w:rsidRPr="002B47C2" w14:paraId="7AC04124" w14:textId="77777777" w:rsidTr="002E370F">
        <w:tc>
          <w:tcPr>
            <w:tcW w:w="2689" w:type="dxa"/>
            <w:hideMark/>
          </w:tcPr>
          <w:p w14:paraId="28058004" w14:textId="77777777" w:rsidR="00B06FE8" w:rsidRPr="002B47C2" w:rsidRDefault="00B06FE8" w:rsidP="002E370F">
            <w:pPr>
              <w:spacing w:after="0" w:line="240" w:lineRule="auto"/>
              <w:ind w:firstLine="0"/>
              <w:jc w:val="left"/>
              <w:rPr>
                <w:rFonts w:ascii="Arial" w:eastAsia="Calibri" w:hAnsi="Arial" w:cs="Arial"/>
                <w:color w:val="000000" w:themeColor="text1"/>
                <w:lang w:val="es-MX"/>
              </w:rPr>
            </w:pPr>
            <w:r w:rsidRPr="002B47C2">
              <w:rPr>
                <w:rFonts w:ascii="Arial" w:eastAsia="Calibri" w:hAnsi="Arial" w:cs="Arial"/>
                <w:b/>
                <w:color w:val="000000" w:themeColor="text1"/>
                <w:lang w:val="es-MX"/>
              </w:rPr>
              <w:t>Temas:</w:t>
            </w:r>
            <w:r w:rsidRPr="002B47C2">
              <w:rPr>
                <w:rFonts w:ascii="Arial" w:eastAsia="Calibri" w:hAnsi="Arial" w:cs="Arial"/>
                <w:color w:val="000000" w:themeColor="text1"/>
                <w:lang w:val="es-MX"/>
              </w:rPr>
              <w:t xml:space="preserve">           </w:t>
            </w:r>
          </w:p>
          <w:p w14:paraId="760CD2EC" w14:textId="77777777" w:rsidR="00B06FE8" w:rsidRPr="002B47C2" w:rsidRDefault="00B06FE8" w:rsidP="002E370F">
            <w:pPr>
              <w:spacing w:after="0" w:line="240" w:lineRule="auto"/>
              <w:ind w:firstLine="0"/>
              <w:jc w:val="left"/>
              <w:rPr>
                <w:rFonts w:ascii="Arial" w:eastAsia="Calibri" w:hAnsi="Arial" w:cs="Arial"/>
                <w:color w:val="000000" w:themeColor="text1"/>
                <w:lang w:val="es-MX"/>
              </w:rPr>
            </w:pPr>
            <w:r w:rsidRPr="002B47C2">
              <w:rPr>
                <w:rFonts w:ascii="Arial" w:eastAsia="Calibri" w:hAnsi="Arial" w:cs="Arial"/>
                <w:color w:val="000000" w:themeColor="text1"/>
                <w:lang w:val="es-MX"/>
              </w:rPr>
              <w:t xml:space="preserve">                           </w:t>
            </w:r>
          </w:p>
        </w:tc>
        <w:tc>
          <w:tcPr>
            <w:tcW w:w="6237" w:type="dxa"/>
            <w:hideMark/>
          </w:tcPr>
          <w:p w14:paraId="65048DC9" w14:textId="067263AA" w:rsidR="00B06FE8" w:rsidRPr="002B47C2" w:rsidRDefault="00A331CA" w:rsidP="002E370F">
            <w:pPr>
              <w:spacing w:line="240" w:lineRule="auto"/>
              <w:ind w:firstLine="0"/>
              <w:rPr>
                <w:rFonts w:ascii="Arial" w:eastAsia="Calibri" w:hAnsi="Arial" w:cs="Arial"/>
                <w:color w:val="000000" w:themeColor="text1"/>
                <w:lang w:val="es-MX"/>
              </w:rPr>
            </w:pPr>
            <w:r w:rsidRPr="0026586A">
              <w:rPr>
                <w:rFonts w:ascii="Arial" w:eastAsia="Calibri" w:hAnsi="Arial" w:cs="Arial"/>
                <w:color w:val="000000" w:themeColor="text1"/>
                <w:lang w:val="es-MX"/>
              </w:rPr>
              <w:t xml:space="preserve">DOCUMENTOS TIPO – Fundamento normativo </w:t>
            </w:r>
            <w:r w:rsidR="00B06FE8" w:rsidRPr="0026586A">
              <w:rPr>
                <w:rFonts w:ascii="Arial" w:eastAsia="Calibri" w:hAnsi="Arial" w:cs="Arial"/>
                <w:color w:val="000000" w:themeColor="text1"/>
                <w:lang w:val="es-MX"/>
              </w:rPr>
              <w:t xml:space="preserve">/ </w:t>
            </w:r>
            <w:r w:rsidR="008F1882" w:rsidRPr="0026586A">
              <w:rPr>
                <w:rFonts w:ascii="Arial" w:eastAsia="Calibri" w:hAnsi="Arial" w:cs="Arial"/>
                <w:color w:val="000000" w:themeColor="text1"/>
                <w:lang w:val="es-MX"/>
              </w:rPr>
              <w:t>DOCUMENTOS TIPO – Matriz 1 – Experiencia – Aplicación de los documentos tipo</w:t>
            </w:r>
            <w:r w:rsidR="0026586A" w:rsidRPr="0026586A">
              <w:rPr>
                <w:rFonts w:ascii="Arial" w:eastAsia="Calibri" w:hAnsi="Arial" w:cs="Arial"/>
                <w:color w:val="000000" w:themeColor="text1"/>
                <w:lang w:val="es-MX"/>
              </w:rPr>
              <w:t xml:space="preserve"> / DOCUMENTOS TIPO – Experiencia – Complejidad – Aplicación de la Matriz 1 – Experiencia</w:t>
            </w:r>
          </w:p>
        </w:tc>
      </w:tr>
      <w:tr w:rsidR="00B06FE8" w:rsidRPr="002B47C2" w14:paraId="6C0BBE00" w14:textId="77777777" w:rsidTr="002E370F">
        <w:tc>
          <w:tcPr>
            <w:tcW w:w="2689" w:type="dxa"/>
          </w:tcPr>
          <w:p w14:paraId="3C8FFC36" w14:textId="77777777" w:rsidR="00B06FE8" w:rsidRPr="002B47C2" w:rsidRDefault="00B06FE8" w:rsidP="002E370F">
            <w:pPr>
              <w:spacing w:after="0" w:line="240" w:lineRule="auto"/>
              <w:ind w:firstLine="0"/>
              <w:jc w:val="left"/>
              <w:rPr>
                <w:rFonts w:ascii="Arial" w:eastAsia="Calibri" w:hAnsi="Arial" w:cs="Arial"/>
                <w:b/>
                <w:color w:val="000000" w:themeColor="text1"/>
                <w:lang w:val="es-MX"/>
              </w:rPr>
            </w:pPr>
            <w:r w:rsidRPr="002B47C2">
              <w:rPr>
                <w:rFonts w:ascii="Arial" w:eastAsia="Calibri" w:hAnsi="Arial" w:cs="Arial"/>
                <w:b/>
                <w:color w:val="000000" w:themeColor="text1"/>
                <w:lang w:val="es-MX"/>
              </w:rPr>
              <w:t>Radicación:</w:t>
            </w:r>
            <w:r w:rsidRPr="002B47C2">
              <w:rPr>
                <w:rFonts w:ascii="Arial" w:eastAsia="Calibri" w:hAnsi="Arial" w:cs="Arial"/>
                <w:color w:val="000000" w:themeColor="text1"/>
                <w:lang w:val="es-MX"/>
              </w:rPr>
              <w:t xml:space="preserve">                              </w:t>
            </w:r>
          </w:p>
        </w:tc>
        <w:tc>
          <w:tcPr>
            <w:tcW w:w="6237" w:type="dxa"/>
          </w:tcPr>
          <w:p w14:paraId="7ACB8073" w14:textId="581E9619" w:rsidR="00B06FE8" w:rsidRPr="002B47C2" w:rsidRDefault="00B06FE8" w:rsidP="002E370F">
            <w:pPr>
              <w:spacing w:after="0" w:line="240" w:lineRule="auto"/>
              <w:ind w:firstLine="0"/>
              <w:rPr>
                <w:rFonts w:ascii="Arial" w:eastAsia="Calibri" w:hAnsi="Arial" w:cs="Arial"/>
                <w:color w:val="000000" w:themeColor="text1"/>
                <w:lang w:val="es-MX"/>
              </w:rPr>
            </w:pPr>
            <w:r w:rsidRPr="002B47C2">
              <w:rPr>
                <w:rFonts w:ascii="Arial" w:eastAsia="Calibri" w:hAnsi="Arial" w:cs="Arial"/>
                <w:color w:val="000000" w:themeColor="text1"/>
                <w:lang w:val="es-MX"/>
              </w:rPr>
              <w:t xml:space="preserve">Respuesta a consulta # </w:t>
            </w:r>
            <w:r w:rsidR="003157D7" w:rsidRPr="003157D7">
              <w:rPr>
                <w:rFonts w:ascii="Arial" w:eastAsia="Calibri" w:hAnsi="Arial" w:cs="Arial"/>
                <w:color w:val="000000" w:themeColor="text1"/>
                <w:lang w:val="es-MX"/>
              </w:rPr>
              <w:t>P20220308002251</w:t>
            </w:r>
          </w:p>
        </w:tc>
      </w:tr>
    </w:tbl>
    <w:p w14:paraId="1984FA84" w14:textId="77777777" w:rsidR="00B06FE8" w:rsidRPr="002B47C2" w:rsidRDefault="00B06FE8" w:rsidP="00B06FE8">
      <w:pPr>
        <w:spacing w:after="0"/>
        <w:ind w:firstLine="0"/>
        <w:rPr>
          <w:rFonts w:ascii="Arial" w:eastAsia="Calibri" w:hAnsi="Arial" w:cs="Arial"/>
          <w:color w:val="000000" w:themeColor="text1"/>
          <w:lang w:val="es-MX"/>
        </w:rPr>
      </w:pPr>
    </w:p>
    <w:p w14:paraId="1D8B5ED1" w14:textId="7FC9F75D" w:rsidR="00B06FE8" w:rsidRPr="002B47C2" w:rsidRDefault="00B06FE8" w:rsidP="00B06FE8">
      <w:pPr>
        <w:spacing w:before="120" w:after="0"/>
        <w:ind w:firstLine="0"/>
        <w:jc w:val="left"/>
        <w:rPr>
          <w:rFonts w:ascii="Arial" w:eastAsia="Calibri" w:hAnsi="Arial" w:cs="Arial"/>
          <w:color w:val="000000" w:themeColor="text1"/>
          <w:lang w:val="es-MX"/>
        </w:rPr>
      </w:pPr>
      <w:r w:rsidRPr="002B47C2">
        <w:rPr>
          <w:rFonts w:ascii="Arial" w:eastAsia="Calibri" w:hAnsi="Arial" w:cs="Arial"/>
          <w:color w:val="000000" w:themeColor="text1"/>
          <w:lang w:val="es-MX"/>
        </w:rPr>
        <w:t>Estimad</w:t>
      </w:r>
      <w:r w:rsidR="00C0527A">
        <w:rPr>
          <w:rFonts w:ascii="Arial" w:eastAsia="Calibri" w:hAnsi="Arial" w:cs="Arial"/>
          <w:color w:val="000000" w:themeColor="text1"/>
          <w:lang w:val="es-MX"/>
        </w:rPr>
        <w:t>o señor</w:t>
      </w:r>
      <w:r w:rsidR="000844F3">
        <w:rPr>
          <w:rFonts w:ascii="Arial" w:eastAsia="Calibri" w:hAnsi="Arial" w:cs="Arial"/>
          <w:color w:val="000000" w:themeColor="text1"/>
          <w:lang w:val="es-MX"/>
        </w:rPr>
        <w:t xml:space="preserve"> Cotacio</w:t>
      </w:r>
      <w:r w:rsidRPr="002B47C2">
        <w:rPr>
          <w:rFonts w:ascii="Arial" w:eastAsia="Calibri" w:hAnsi="Arial" w:cs="Arial"/>
          <w:color w:val="000000" w:themeColor="text1"/>
          <w:lang w:val="es-MX"/>
        </w:rPr>
        <w:t>:</w:t>
      </w:r>
    </w:p>
    <w:p w14:paraId="06C128A2" w14:textId="77777777" w:rsidR="00B06FE8" w:rsidRPr="002B47C2" w:rsidRDefault="00B06FE8" w:rsidP="00B06FE8">
      <w:pPr>
        <w:spacing w:after="0"/>
        <w:ind w:firstLine="0"/>
        <w:jc w:val="left"/>
        <w:rPr>
          <w:rFonts w:ascii="Arial" w:eastAsia="Calibri" w:hAnsi="Arial" w:cs="Arial"/>
          <w:color w:val="000000" w:themeColor="text1"/>
          <w:lang w:val="es-MX"/>
        </w:rPr>
      </w:pPr>
    </w:p>
    <w:p w14:paraId="3B4084E0" w14:textId="374AC695" w:rsidR="00B06FE8" w:rsidRPr="002B47C2" w:rsidRDefault="00B06FE8" w:rsidP="00B06FE8">
      <w:pPr>
        <w:spacing w:after="0"/>
        <w:ind w:right="51" w:firstLine="0"/>
        <w:rPr>
          <w:rFonts w:ascii="Arial" w:hAnsi="Arial" w:cs="Arial"/>
          <w:color w:val="000000" w:themeColor="text1"/>
          <w:lang w:val="es-MX"/>
        </w:rPr>
      </w:pPr>
      <w:r w:rsidRPr="002B47C2">
        <w:rPr>
          <w:rFonts w:ascii="Arial" w:hAnsi="Arial" w:cs="Arial"/>
          <w:color w:val="000000" w:themeColor="text1"/>
          <w:lang w:val="es-MX"/>
        </w:rPr>
        <w:t xml:space="preserve">La Agencia Nacional de Contratación Pública – Colombia Compra Eficiente responde su consulta del </w:t>
      </w:r>
      <w:r w:rsidR="00BA365E">
        <w:rPr>
          <w:rFonts w:ascii="Arial" w:hAnsi="Arial" w:cs="Arial"/>
          <w:color w:val="000000" w:themeColor="text1"/>
          <w:lang w:val="es-MX"/>
        </w:rPr>
        <w:t>8</w:t>
      </w:r>
      <w:r w:rsidRPr="002B47C2">
        <w:rPr>
          <w:rFonts w:ascii="Arial" w:hAnsi="Arial" w:cs="Arial"/>
          <w:color w:val="000000" w:themeColor="text1"/>
          <w:lang w:val="es-MX"/>
        </w:rPr>
        <w:t xml:space="preserve"> de </w:t>
      </w:r>
      <w:r w:rsidR="00BA365E">
        <w:rPr>
          <w:rFonts w:ascii="Arial" w:hAnsi="Arial" w:cs="Arial"/>
          <w:color w:val="000000" w:themeColor="text1"/>
          <w:lang w:val="es-MX"/>
        </w:rPr>
        <w:t>marz</w:t>
      </w:r>
      <w:r w:rsidR="00DE3A03">
        <w:rPr>
          <w:rFonts w:ascii="Arial" w:hAnsi="Arial" w:cs="Arial"/>
          <w:color w:val="000000" w:themeColor="text1"/>
          <w:lang w:val="es-MX"/>
        </w:rPr>
        <w:t>o</w:t>
      </w:r>
      <w:r w:rsidRPr="002B47C2">
        <w:rPr>
          <w:rFonts w:ascii="Arial" w:hAnsi="Arial" w:cs="Arial"/>
          <w:color w:val="000000" w:themeColor="text1"/>
          <w:lang w:val="es-MX"/>
        </w:rPr>
        <w:t xml:space="preserve"> de 202</w:t>
      </w:r>
      <w:r w:rsidR="00DE3A03">
        <w:rPr>
          <w:rFonts w:ascii="Arial" w:hAnsi="Arial" w:cs="Arial"/>
          <w:color w:val="000000" w:themeColor="text1"/>
          <w:lang w:val="es-MX"/>
        </w:rPr>
        <w:t>2</w:t>
      </w:r>
      <w:r w:rsidRPr="002B47C2">
        <w:rPr>
          <w:rFonts w:ascii="Arial" w:hAnsi="Arial" w:cs="Arial"/>
          <w:color w:val="000000" w:themeColor="text1"/>
          <w:lang w:val="es-MX"/>
        </w:rPr>
        <w:t xml:space="preserve">, en ejercicio de la competencia otorgada por el numeral 8 del artículo 11 y el numeral 5 del artículo 3 del Decreto Ley 4170 de 2011. </w:t>
      </w:r>
    </w:p>
    <w:p w14:paraId="35365DCB" w14:textId="77777777" w:rsidR="00B06FE8" w:rsidRPr="002B47C2" w:rsidRDefault="00B06FE8" w:rsidP="00B06FE8">
      <w:pPr>
        <w:spacing w:after="0"/>
        <w:rPr>
          <w:rFonts w:ascii="Arial" w:eastAsia="Calibri" w:hAnsi="Arial" w:cs="Arial"/>
          <w:color w:val="000000" w:themeColor="text1"/>
          <w:lang w:val="es-MX"/>
        </w:rPr>
      </w:pPr>
    </w:p>
    <w:p w14:paraId="01B8F51D" w14:textId="77777777" w:rsidR="00B06FE8" w:rsidRPr="002B47C2" w:rsidRDefault="00B06FE8" w:rsidP="00B06FE8">
      <w:pPr>
        <w:numPr>
          <w:ilvl w:val="0"/>
          <w:numId w:val="1"/>
        </w:numPr>
        <w:tabs>
          <w:tab w:val="left" w:pos="284"/>
        </w:tabs>
        <w:spacing w:after="0"/>
        <w:ind w:left="0" w:firstLine="0"/>
        <w:contextualSpacing/>
        <w:rPr>
          <w:rFonts w:ascii="Arial" w:eastAsia="Calibri" w:hAnsi="Arial" w:cs="Arial"/>
          <w:b/>
          <w:color w:val="000000" w:themeColor="text1"/>
          <w:lang w:val="es-MX"/>
        </w:rPr>
      </w:pPr>
      <w:r w:rsidRPr="002B47C2">
        <w:rPr>
          <w:rFonts w:ascii="Arial" w:eastAsia="Calibri" w:hAnsi="Arial" w:cs="Arial"/>
          <w:b/>
          <w:color w:val="000000" w:themeColor="text1"/>
          <w:lang w:val="es-MX"/>
        </w:rPr>
        <w:t>Problema planteado</w:t>
      </w:r>
    </w:p>
    <w:p w14:paraId="2FA00E23" w14:textId="77777777" w:rsidR="00B06FE8" w:rsidRPr="002B47C2" w:rsidRDefault="00B06FE8" w:rsidP="00B06FE8">
      <w:pPr>
        <w:autoSpaceDE w:val="0"/>
        <w:autoSpaceDN w:val="0"/>
        <w:adjustRightInd w:val="0"/>
        <w:spacing w:after="0"/>
        <w:rPr>
          <w:rFonts w:ascii="Arial" w:eastAsia="Calibri" w:hAnsi="Arial" w:cs="Arial"/>
          <w:color w:val="000000" w:themeColor="text1"/>
          <w:szCs w:val="24"/>
        </w:rPr>
      </w:pPr>
    </w:p>
    <w:p w14:paraId="2A4B1BD3" w14:textId="7EBCF908" w:rsidR="00B06FE8" w:rsidRPr="002B47C2" w:rsidRDefault="00B06FE8" w:rsidP="00B06FE8">
      <w:pPr>
        <w:tabs>
          <w:tab w:val="left" w:pos="426"/>
        </w:tabs>
        <w:spacing w:after="0"/>
        <w:ind w:firstLine="0"/>
        <w:rPr>
          <w:rFonts w:ascii="Arial" w:eastAsia="Times New Roman" w:hAnsi="Arial" w:cs="Arial"/>
          <w:color w:val="000000" w:themeColor="text1"/>
          <w:szCs w:val="24"/>
          <w:lang w:val="es-ES_tradnl" w:eastAsia="es-ES_tradnl"/>
        </w:rPr>
      </w:pPr>
      <w:bookmarkStart w:id="1" w:name="_Hlk91506495"/>
      <w:r w:rsidRPr="002B47C2">
        <w:rPr>
          <w:rFonts w:ascii="Arial" w:eastAsia="Times New Roman" w:hAnsi="Arial" w:cs="Arial"/>
          <w:color w:val="000000" w:themeColor="text1"/>
          <w:szCs w:val="24"/>
          <w:lang w:val="es-ES_tradnl" w:eastAsia="es-ES_tradnl"/>
        </w:rPr>
        <w:t>Usted realiza la siguiente pregunta</w:t>
      </w:r>
      <w:bookmarkEnd w:id="1"/>
      <w:r w:rsidR="00690CB6">
        <w:rPr>
          <w:rFonts w:ascii="Arial" w:eastAsia="Times New Roman" w:hAnsi="Arial" w:cs="Arial"/>
          <w:color w:val="000000" w:themeColor="text1"/>
          <w:szCs w:val="24"/>
          <w:lang w:val="es-ES_tradnl" w:eastAsia="es-ES_tradnl"/>
        </w:rPr>
        <w:t>:</w:t>
      </w:r>
    </w:p>
    <w:p w14:paraId="1E774698" w14:textId="77777777" w:rsidR="00B06FE8" w:rsidRPr="002B47C2" w:rsidRDefault="00B06FE8" w:rsidP="00B06FE8">
      <w:pPr>
        <w:tabs>
          <w:tab w:val="left" w:pos="426"/>
        </w:tabs>
        <w:spacing w:after="0"/>
        <w:ind w:firstLine="0"/>
        <w:rPr>
          <w:rFonts w:ascii="Arial" w:eastAsia="Times New Roman" w:hAnsi="Arial" w:cs="Arial"/>
          <w:color w:val="000000" w:themeColor="text1"/>
          <w:szCs w:val="24"/>
          <w:lang w:val="es-ES_tradnl" w:eastAsia="es-ES_tradnl"/>
        </w:rPr>
      </w:pPr>
    </w:p>
    <w:p w14:paraId="60DBFFFF" w14:textId="2FFBFFDD" w:rsidR="00B06FE8" w:rsidRPr="002B47C2" w:rsidRDefault="00B06FE8" w:rsidP="00B06FE8">
      <w:pPr>
        <w:tabs>
          <w:tab w:val="left" w:pos="426"/>
        </w:tabs>
        <w:spacing w:after="0" w:line="240" w:lineRule="auto"/>
        <w:ind w:left="709" w:right="758" w:firstLine="0"/>
        <w:rPr>
          <w:rFonts w:ascii="Arial" w:eastAsia="Calibri" w:hAnsi="Arial" w:cs="Arial"/>
          <w:color w:val="000000" w:themeColor="text1"/>
          <w:sz w:val="21"/>
          <w:szCs w:val="21"/>
          <w:lang w:eastAsia="es-ES_tradnl"/>
        </w:rPr>
      </w:pPr>
      <w:bookmarkStart w:id="2" w:name="_Hlk85793576"/>
      <w:r w:rsidRPr="002B47C2">
        <w:rPr>
          <w:rFonts w:ascii="Arial" w:eastAsia="Calibri" w:hAnsi="Arial" w:cs="Arial"/>
          <w:color w:val="000000" w:themeColor="text1"/>
          <w:sz w:val="21"/>
          <w:szCs w:val="21"/>
          <w:lang w:eastAsia="es-ES_tradnl"/>
        </w:rPr>
        <w:t>«</w:t>
      </w:r>
      <w:r w:rsidR="004A5617" w:rsidRPr="004A5617">
        <w:rPr>
          <w:rFonts w:ascii="Arial" w:eastAsia="Calibri" w:hAnsi="Arial" w:cs="Arial"/>
          <w:color w:val="000000" w:themeColor="text1"/>
          <w:sz w:val="21"/>
          <w:szCs w:val="21"/>
          <w:lang w:eastAsia="es-ES_tradnl"/>
        </w:rPr>
        <w:t>¿Deben las entidades estatales utilizar los Documentos tipo de consultoría de estudios de ingeniería de infraestructura de Transporte, para la contratación de estudios y diseños de obras de mitigación de riesgo (Levantamiento topográfico y batimétrico, Estudios Geológicos, Geomorfológicos, Estudio geotécnico, Estudios hidrológicos e hidráulicos, Diseño estructural, Gestión predial y servidumbres, Estudio ambiental) toda vez que estos no se realizan para garantizar la navegabilidad, sino para la prevención de inundaciones por desbordamiento de ríos?</w:t>
      </w:r>
      <w:r w:rsidR="004A5617">
        <w:rPr>
          <w:rFonts w:ascii="Arial" w:eastAsia="Calibri" w:hAnsi="Arial" w:cs="Arial"/>
          <w:color w:val="000000" w:themeColor="text1"/>
          <w:sz w:val="21"/>
          <w:szCs w:val="21"/>
          <w:lang w:eastAsia="es-ES_tradnl"/>
        </w:rPr>
        <w:t>»</w:t>
      </w:r>
    </w:p>
    <w:p w14:paraId="4BA24EA1" w14:textId="77777777" w:rsidR="00B06FE8" w:rsidRPr="002B47C2" w:rsidRDefault="00B06FE8" w:rsidP="00B06FE8">
      <w:pPr>
        <w:tabs>
          <w:tab w:val="left" w:pos="426"/>
        </w:tabs>
        <w:spacing w:after="0" w:line="240" w:lineRule="auto"/>
        <w:ind w:left="709" w:right="758" w:firstLine="0"/>
        <w:rPr>
          <w:rFonts w:ascii="Arial" w:eastAsia="Calibri" w:hAnsi="Arial" w:cs="Arial"/>
          <w:color w:val="000000" w:themeColor="text1"/>
          <w:sz w:val="21"/>
          <w:szCs w:val="21"/>
          <w:lang w:eastAsia="es-ES_tradnl"/>
        </w:rPr>
      </w:pPr>
    </w:p>
    <w:bookmarkEnd w:id="2"/>
    <w:p w14:paraId="2CAF4623" w14:textId="77777777" w:rsidR="00B06FE8" w:rsidRPr="002B47C2" w:rsidRDefault="00B06FE8" w:rsidP="00B06FE8">
      <w:pPr>
        <w:numPr>
          <w:ilvl w:val="0"/>
          <w:numId w:val="1"/>
        </w:numPr>
        <w:tabs>
          <w:tab w:val="left" w:pos="426"/>
        </w:tabs>
        <w:spacing w:before="240" w:after="0"/>
        <w:ind w:left="284" w:hanging="284"/>
        <w:contextualSpacing/>
        <w:jc w:val="left"/>
        <w:rPr>
          <w:rFonts w:ascii="Arial" w:eastAsia="Calibri" w:hAnsi="Arial" w:cs="Arial"/>
          <w:b/>
          <w:color w:val="000000" w:themeColor="text1"/>
          <w:lang w:val="es-MX"/>
        </w:rPr>
      </w:pPr>
      <w:r w:rsidRPr="002B47C2">
        <w:rPr>
          <w:rFonts w:ascii="Arial" w:eastAsia="Calibri" w:hAnsi="Arial" w:cs="Arial"/>
          <w:b/>
          <w:color w:val="000000" w:themeColor="text1"/>
          <w:lang w:val="es-MX"/>
        </w:rPr>
        <w:t>Consideraciones</w:t>
      </w:r>
    </w:p>
    <w:p w14:paraId="5B2289C6" w14:textId="77777777" w:rsidR="00B06FE8" w:rsidRPr="002B47C2" w:rsidRDefault="00B06FE8" w:rsidP="00B06FE8">
      <w:pPr>
        <w:tabs>
          <w:tab w:val="left" w:pos="426"/>
        </w:tabs>
        <w:spacing w:before="240" w:after="0"/>
        <w:ind w:firstLine="0"/>
        <w:contextualSpacing/>
        <w:rPr>
          <w:rFonts w:ascii="Arial" w:eastAsia="Calibri" w:hAnsi="Arial" w:cs="Arial"/>
          <w:b/>
          <w:color w:val="000000" w:themeColor="text1"/>
          <w:lang w:val="es-MX"/>
        </w:rPr>
      </w:pPr>
    </w:p>
    <w:p w14:paraId="570C61B2" w14:textId="650688B0" w:rsidR="00B06FE8" w:rsidRPr="002B47C2" w:rsidRDefault="00B06FE8" w:rsidP="00B06FE8">
      <w:pPr>
        <w:tabs>
          <w:tab w:val="left" w:pos="426"/>
        </w:tabs>
        <w:spacing w:before="240" w:after="0"/>
        <w:ind w:firstLine="0"/>
        <w:contextualSpacing/>
        <w:rPr>
          <w:rFonts w:ascii="Arial" w:eastAsia="Calibri" w:hAnsi="Arial" w:cs="Arial"/>
          <w:b/>
          <w:color w:val="000000" w:themeColor="text1"/>
          <w:lang w:val="es-MX"/>
        </w:rPr>
      </w:pPr>
      <w:bookmarkStart w:id="3" w:name="_Hlk91506531"/>
      <w:r w:rsidRPr="002B47C2">
        <w:rPr>
          <w:rFonts w:ascii="Arial" w:eastAsia="Calibri" w:hAnsi="Arial" w:cs="Arial"/>
          <w:color w:val="000000" w:themeColor="text1"/>
        </w:rPr>
        <w:lastRenderedPageBreak/>
        <w:t xml:space="preserve">Para responder a sus interrogantes, se estudiarán los siguientes temas: i) la expedición de los </w:t>
      </w:r>
      <w:r w:rsidR="00483D61">
        <w:rPr>
          <w:rFonts w:ascii="Arial" w:eastAsia="Calibri" w:hAnsi="Arial" w:cs="Arial"/>
          <w:color w:val="000000" w:themeColor="text1"/>
        </w:rPr>
        <w:t>documentos tipo de infraestructura de transporte,</w:t>
      </w:r>
      <w:r w:rsidRPr="002B47C2">
        <w:rPr>
          <w:rFonts w:ascii="Arial" w:eastAsia="Calibri" w:hAnsi="Arial" w:cs="Arial"/>
          <w:color w:val="000000" w:themeColor="text1"/>
        </w:rPr>
        <w:t xml:space="preserve"> y </w:t>
      </w:r>
      <w:proofErr w:type="spellStart"/>
      <w:r w:rsidRPr="002B47C2">
        <w:rPr>
          <w:rFonts w:ascii="Arial" w:eastAsia="Calibri" w:hAnsi="Arial" w:cs="Arial"/>
          <w:color w:val="000000" w:themeColor="text1"/>
        </w:rPr>
        <w:t>ii</w:t>
      </w:r>
      <w:proofErr w:type="spellEnd"/>
      <w:r w:rsidRPr="002B47C2">
        <w:rPr>
          <w:rFonts w:ascii="Arial" w:eastAsia="Calibri" w:hAnsi="Arial" w:cs="Arial"/>
          <w:color w:val="000000" w:themeColor="text1"/>
        </w:rPr>
        <w:t xml:space="preserve">) la aplicación de los documentos tipo de infraestructura de transporte a partir de la Matriz 1 – Experiencia. </w:t>
      </w:r>
    </w:p>
    <w:p w14:paraId="110CD1AB" w14:textId="1F02E134" w:rsidR="00B06FE8" w:rsidRPr="002B47C2" w:rsidRDefault="00B06FE8" w:rsidP="00B06FE8">
      <w:pPr>
        <w:spacing w:before="120" w:after="0"/>
        <w:rPr>
          <w:rFonts w:ascii="Arial" w:hAnsi="Arial" w:cs="Arial"/>
          <w:color w:val="000000" w:themeColor="text1"/>
        </w:rPr>
      </w:pPr>
      <w:r w:rsidRPr="002B47C2">
        <w:rPr>
          <w:rFonts w:ascii="Arial" w:hAnsi="Arial" w:cs="Arial"/>
          <w:color w:val="000000" w:themeColor="text1"/>
          <w:lang w:val="es-MX"/>
        </w:rPr>
        <w:t xml:space="preserve">La Agencia Nacional de Contratación Pública </w:t>
      </w:r>
      <w:r w:rsidRPr="002B47C2">
        <w:rPr>
          <w:rFonts w:ascii="Arial" w:eastAsia="Calibri" w:hAnsi="Arial" w:cs="Arial"/>
          <w:color w:val="000000" w:themeColor="text1"/>
          <w:lang w:val="es-MX"/>
        </w:rPr>
        <w:t>–</w:t>
      </w:r>
      <w:r w:rsidRPr="002B47C2">
        <w:rPr>
          <w:rFonts w:ascii="Arial" w:hAnsi="Arial" w:cs="Arial"/>
          <w:color w:val="000000" w:themeColor="text1"/>
          <w:lang w:val="es-MX"/>
        </w:rPr>
        <w:t xml:space="preserve"> Colombia Compra Eficiente se ha pronunciado sobre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C-698 del 19 de noviembre de 2020, C-713 del 2 de diciembre de 2020, C-076 del 17 de marzo de 2021, C-105 del 26 de marzo de 2021, C-152 del 12 de abril de 2021, C-171 del 20 de abril de 2021, C-279 del 25 de mayo de 2021, </w:t>
      </w:r>
      <w:r w:rsidR="00060343">
        <w:rPr>
          <w:rFonts w:ascii="Arial" w:hAnsi="Arial" w:cs="Arial"/>
          <w:color w:val="000000" w:themeColor="text1"/>
          <w:lang w:val="es-MX"/>
        </w:rPr>
        <w:t>C-</w:t>
      </w:r>
      <w:r w:rsidRPr="002B47C2">
        <w:rPr>
          <w:rFonts w:ascii="Arial" w:hAnsi="Arial" w:cs="Arial"/>
          <w:color w:val="000000" w:themeColor="text1"/>
          <w:lang w:val="es-MX"/>
        </w:rPr>
        <w:t>267 del 2 de junio de 2021</w:t>
      </w:r>
      <w:r w:rsidR="00060343">
        <w:rPr>
          <w:rFonts w:ascii="Arial" w:hAnsi="Arial" w:cs="Arial"/>
          <w:color w:val="000000" w:themeColor="text1"/>
          <w:lang w:val="es-MX"/>
        </w:rPr>
        <w:t>,</w:t>
      </w:r>
      <w:r w:rsidRPr="002B47C2">
        <w:rPr>
          <w:rFonts w:ascii="Arial" w:hAnsi="Arial" w:cs="Arial"/>
          <w:color w:val="000000" w:themeColor="text1"/>
          <w:lang w:val="es-MX"/>
        </w:rPr>
        <w:t xml:space="preserve"> C-361 del 10 de agosto de 2021</w:t>
      </w:r>
      <w:r w:rsidR="00CB099D">
        <w:rPr>
          <w:rFonts w:ascii="Arial" w:hAnsi="Arial" w:cs="Arial"/>
          <w:color w:val="000000" w:themeColor="text1"/>
          <w:lang w:val="es-MX"/>
        </w:rPr>
        <w:t>,</w:t>
      </w:r>
      <w:r w:rsidR="003854C0">
        <w:rPr>
          <w:rFonts w:ascii="Arial" w:hAnsi="Arial" w:cs="Arial"/>
          <w:color w:val="000000" w:themeColor="text1"/>
          <w:lang w:val="es-MX"/>
        </w:rPr>
        <w:t xml:space="preserve"> C-569 del 12 de octu</w:t>
      </w:r>
      <w:r w:rsidR="00587607">
        <w:rPr>
          <w:rFonts w:ascii="Arial" w:hAnsi="Arial" w:cs="Arial"/>
          <w:color w:val="000000" w:themeColor="text1"/>
          <w:lang w:val="es-MX"/>
        </w:rPr>
        <w:t>bre de 2021,</w:t>
      </w:r>
      <w:r w:rsidR="00CB099D">
        <w:rPr>
          <w:rFonts w:ascii="Arial" w:hAnsi="Arial" w:cs="Arial"/>
          <w:color w:val="000000" w:themeColor="text1"/>
          <w:lang w:val="es-MX"/>
        </w:rPr>
        <w:t xml:space="preserve"> </w:t>
      </w:r>
      <w:r w:rsidR="001A19E2">
        <w:rPr>
          <w:rFonts w:ascii="Arial" w:hAnsi="Arial" w:cs="Arial"/>
          <w:color w:val="000000" w:themeColor="text1"/>
          <w:lang w:val="es-MX"/>
        </w:rPr>
        <w:t>C</w:t>
      </w:r>
      <w:r w:rsidR="00CB099D">
        <w:rPr>
          <w:rFonts w:ascii="Arial" w:hAnsi="Arial" w:cs="Arial"/>
          <w:color w:val="000000" w:themeColor="text1"/>
          <w:lang w:val="es-MX"/>
        </w:rPr>
        <w:t>-690 del 27 de diciembre de 2021</w:t>
      </w:r>
      <w:r w:rsidR="00EE6D58">
        <w:rPr>
          <w:rFonts w:ascii="Arial" w:hAnsi="Arial" w:cs="Arial"/>
          <w:color w:val="000000" w:themeColor="text1"/>
          <w:lang w:val="es-MX"/>
        </w:rPr>
        <w:t>,</w:t>
      </w:r>
      <w:r w:rsidR="00587607">
        <w:rPr>
          <w:rFonts w:ascii="Arial" w:hAnsi="Arial" w:cs="Arial"/>
          <w:color w:val="000000" w:themeColor="text1"/>
          <w:lang w:val="es-MX"/>
        </w:rPr>
        <w:t xml:space="preserve"> </w:t>
      </w:r>
      <w:r w:rsidR="001A19E2">
        <w:rPr>
          <w:rFonts w:ascii="Arial" w:hAnsi="Arial" w:cs="Arial"/>
          <w:color w:val="000000" w:themeColor="text1"/>
          <w:lang w:val="es-MX"/>
        </w:rPr>
        <w:t>C-672 del 27 de diciembre de 2021</w:t>
      </w:r>
      <w:r w:rsidR="00EE6D58">
        <w:rPr>
          <w:rFonts w:ascii="Arial" w:hAnsi="Arial" w:cs="Arial"/>
          <w:color w:val="000000" w:themeColor="text1"/>
          <w:lang w:val="es-MX"/>
        </w:rPr>
        <w:t xml:space="preserve">, </w:t>
      </w:r>
      <w:r w:rsidR="006A5481">
        <w:rPr>
          <w:rFonts w:ascii="Arial" w:hAnsi="Arial" w:cs="Arial"/>
          <w:color w:val="000000" w:themeColor="text1"/>
          <w:lang w:val="es-MX"/>
        </w:rPr>
        <w:t xml:space="preserve">C-010 del 15 de febrero de 2022, </w:t>
      </w:r>
      <w:r w:rsidR="00EE6D58">
        <w:rPr>
          <w:rFonts w:ascii="Arial" w:hAnsi="Arial" w:cs="Arial"/>
          <w:color w:val="000000" w:themeColor="text1"/>
          <w:lang w:val="es-MX"/>
        </w:rPr>
        <w:t xml:space="preserve">C-018 del 22 de febrero de </w:t>
      </w:r>
      <w:r w:rsidR="00B450EC">
        <w:rPr>
          <w:rFonts w:ascii="Arial" w:hAnsi="Arial" w:cs="Arial"/>
          <w:color w:val="000000" w:themeColor="text1"/>
          <w:lang w:val="es-MX"/>
        </w:rPr>
        <w:t>2022</w:t>
      </w:r>
      <w:r w:rsidR="000B6329">
        <w:rPr>
          <w:rFonts w:ascii="Arial" w:hAnsi="Arial" w:cs="Arial"/>
          <w:color w:val="000000" w:themeColor="text1"/>
          <w:lang w:val="es-MX"/>
        </w:rPr>
        <w:t>,</w:t>
      </w:r>
      <w:r w:rsidR="00CD2225">
        <w:rPr>
          <w:rFonts w:ascii="Arial" w:hAnsi="Arial" w:cs="Arial"/>
          <w:color w:val="000000" w:themeColor="text1"/>
          <w:lang w:val="es-MX"/>
        </w:rPr>
        <w:t xml:space="preserve"> C-025 del </w:t>
      </w:r>
      <w:r w:rsidR="009A7C19">
        <w:rPr>
          <w:rFonts w:ascii="Arial" w:hAnsi="Arial" w:cs="Arial"/>
          <w:color w:val="000000" w:themeColor="text1"/>
          <w:lang w:val="es-MX"/>
        </w:rPr>
        <w:t>22 de febrero de 2022</w:t>
      </w:r>
      <w:r w:rsidR="000B6329">
        <w:rPr>
          <w:rFonts w:ascii="Arial" w:hAnsi="Arial" w:cs="Arial"/>
          <w:color w:val="000000" w:themeColor="text1"/>
          <w:lang w:val="es-MX"/>
        </w:rPr>
        <w:t xml:space="preserve"> y C-130 del </w:t>
      </w:r>
      <w:r w:rsidR="00327AE2">
        <w:rPr>
          <w:rFonts w:ascii="Arial" w:hAnsi="Arial" w:cs="Arial"/>
          <w:color w:val="000000" w:themeColor="text1"/>
          <w:lang w:val="es-MX"/>
        </w:rPr>
        <w:t>22 de marzo de 2022</w:t>
      </w:r>
      <w:r w:rsidR="00B92560">
        <w:rPr>
          <w:rFonts w:ascii="Arial" w:hAnsi="Arial" w:cs="Arial"/>
          <w:color w:val="000000" w:themeColor="text1"/>
          <w:lang w:val="es-MX"/>
        </w:rPr>
        <w:t xml:space="preserve">. </w:t>
      </w:r>
      <w:r w:rsidRPr="002B47C2">
        <w:rPr>
          <w:rFonts w:ascii="Arial" w:hAnsi="Arial" w:cs="Arial"/>
          <w:color w:val="000000" w:themeColor="text1"/>
          <w:lang w:val="es-MX"/>
        </w:rPr>
        <w:t>En lo pertinente, las tesis expuestas en estos conceptos se reiteran y complementan a continuación.</w:t>
      </w:r>
    </w:p>
    <w:p w14:paraId="33D44518" w14:textId="77777777" w:rsidR="00B06FE8" w:rsidRPr="002B47C2" w:rsidRDefault="00B06FE8" w:rsidP="00B06FE8">
      <w:pPr>
        <w:spacing w:after="0"/>
        <w:ind w:firstLine="0"/>
        <w:rPr>
          <w:rFonts w:ascii="Arial" w:hAnsi="Arial" w:cs="Arial"/>
          <w:color w:val="000000" w:themeColor="text1"/>
          <w:lang w:val="es-MX"/>
        </w:rPr>
      </w:pPr>
    </w:p>
    <w:p w14:paraId="716B777E" w14:textId="3F707D4D" w:rsidR="00B06FE8" w:rsidRPr="002B47C2" w:rsidRDefault="00B06FE8" w:rsidP="00B06FE8">
      <w:pPr>
        <w:spacing w:after="0"/>
        <w:ind w:firstLine="0"/>
        <w:rPr>
          <w:rFonts w:ascii="Arial" w:hAnsi="Arial" w:cs="Arial"/>
          <w:b/>
          <w:bCs/>
          <w:color w:val="000000" w:themeColor="text1"/>
          <w:lang w:val="es-MX"/>
        </w:rPr>
      </w:pPr>
      <w:r w:rsidRPr="002B47C2">
        <w:rPr>
          <w:rFonts w:ascii="Arial" w:hAnsi="Arial" w:cs="Arial"/>
          <w:b/>
          <w:bCs/>
          <w:color w:val="000000" w:themeColor="text1"/>
          <w:lang w:val="es-MX"/>
        </w:rPr>
        <w:t xml:space="preserve">2.1. </w:t>
      </w:r>
      <w:r w:rsidR="0017286C" w:rsidRPr="00E0681A">
        <w:rPr>
          <w:rFonts w:ascii="Arial" w:eastAsia="Arial" w:hAnsi="Arial" w:cs="Arial"/>
          <w:b/>
          <w:bCs/>
          <w:color w:val="000000"/>
          <w:lang w:val="es-ES_tradnl"/>
        </w:rPr>
        <w:t>Fundamento normativo de los documentos tipo</w:t>
      </w:r>
      <w:r w:rsidR="0017286C" w:rsidDel="0017286C">
        <w:rPr>
          <w:rFonts w:ascii="Arial" w:hAnsi="Arial" w:cs="Arial"/>
          <w:b/>
          <w:bCs/>
          <w:color w:val="000000" w:themeColor="text1"/>
          <w:lang w:val="es-MX"/>
        </w:rPr>
        <w:t xml:space="preserve"> </w:t>
      </w:r>
    </w:p>
    <w:p w14:paraId="42D40B71" w14:textId="77777777" w:rsidR="00B06FE8" w:rsidRPr="002B47C2" w:rsidRDefault="00B06FE8" w:rsidP="00B06FE8">
      <w:pPr>
        <w:spacing w:after="0"/>
        <w:ind w:firstLine="0"/>
        <w:rPr>
          <w:rFonts w:ascii="Arial" w:hAnsi="Arial" w:cs="Arial"/>
          <w:b/>
          <w:bCs/>
          <w:color w:val="000000" w:themeColor="text1"/>
          <w:lang w:val="es-MX"/>
        </w:rPr>
      </w:pPr>
      <w:bookmarkStart w:id="4" w:name="_Hlk98841772"/>
    </w:p>
    <w:p w14:paraId="16D59527" w14:textId="77777777" w:rsidR="0017286C" w:rsidRPr="0017286C" w:rsidRDefault="0017286C" w:rsidP="00F23176">
      <w:pPr>
        <w:ind w:firstLine="0"/>
        <w:rPr>
          <w:rFonts w:ascii="Arial" w:eastAsia="Calibri" w:hAnsi="Arial" w:cs="Arial"/>
          <w:bCs/>
          <w:lang w:eastAsia="es-MX"/>
        </w:rPr>
      </w:pPr>
      <w:r w:rsidRPr="0017286C">
        <w:rPr>
          <w:rFonts w:ascii="Arial" w:eastAsia="Calibri" w:hAnsi="Arial" w:cs="Arial"/>
          <w:bCs/>
          <w:lang w:eastAsia="es-MX"/>
        </w:rPr>
        <w:t>La adopción de los documentos tipo obligatorios en el ordenamiento jurídico colombiano se incluyó por primera vez en el parágrafo 3 del artículo 2 de la Ley 1150 de 2007</w:t>
      </w:r>
      <w:r w:rsidRPr="0017286C">
        <w:rPr>
          <w:rFonts w:ascii="Arial" w:eastAsia="Calibri" w:hAnsi="Arial" w:cs="Arial"/>
          <w:bCs/>
          <w:vertAlign w:val="superscript"/>
          <w:lang w:eastAsia="es-MX"/>
        </w:rPr>
        <w:footnoteReference w:id="1"/>
      </w:r>
      <w:r w:rsidRPr="0017286C">
        <w:rPr>
          <w:rFonts w:ascii="Arial" w:eastAsia="Calibri" w:hAnsi="Arial" w:cs="Arial"/>
          <w:bCs/>
          <w:lang w:eastAsia="es-MX"/>
        </w:rPr>
        <w:t xml:space="preserve">, que facultó al gobierno nacional para expedirlos, pero solo cuando se tratara de la adquisición o suministro de bienes y servicios de características técnicas uniformes y de común utilización. Sin embargo, esta facultad no ha sido ejercida hasta la actualidad. </w:t>
      </w:r>
    </w:p>
    <w:p w14:paraId="1AC7AB99" w14:textId="77777777" w:rsidR="0017286C" w:rsidRPr="0017286C" w:rsidRDefault="0017286C" w:rsidP="0017286C">
      <w:pPr>
        <w:spacing w:before="120"/>
        <w:ind w:firstLine="708"/>
        <w:rPr>
          <w:rFonts w:ascii="Arial" w:eastAsia="Calibri" w:hAnsi="Arial" w:cs="Arial"/>
          <w:bCs/>
          <w:lang w:eastAsia="es-MX"/>
        </w:rPr>
      </w:pPr>
      <w:r w:rsidRPr="0017286C">
        <w:rPr>
          <w:rFonts w:ascii="Arial" w:eastAsia="Calibri" w:hAnsi="Arial" w:cs="Arial"/>
          <w:bCs/>
          <w:lang w:eastAsia="es-MX"/>
        </w:rPr>
        <w:t xml:space="preserve">Debido a lo anterior, el artículo 4 de la Ley 1882 de 2018 es el antecedente más relevante de la expedición de documentos tipo con alcance obligatorio. A partir de esta norma se determinó la obligatoriedad por parte de todas las entidades sometidas al Estatuto </w:t>
      </w:r>
      <w:r w:rsidRPr="0017286C">
        <w:rPr>
          <w:rFonts w:ascii="Arial" w:eastAsia="Calibri" w:hAnsi="Arial" w:cs="Arial"/>
          <w:bCs/>
          <w:lang w:eastAsia="es-MX"/>
        </w:rPr>
        <w:lastRenderedPageBreak/>
        <w:t xml:space="preserve">General de Contratación de la Administración Pública de aplicar los documentos tipo adoptados por el gobierno nacional. En virtud de las competencias atribuidas por la Ley 1882 de 2018 se expidieron varios documentos tipo para el sector de infraestructura de transporte. </w:t>
      </w:r>
    </w:p>
    <w:p w14:paraId="790EC96C" w14:textId="77777777" w:rsidR="0017286C" w:rsidRPr="0017286C" w:rsidRDefault="0017286C" w:rsidP="0017286C">
      <w:pPr>
        <w:spacing w:before="120"/>
        <w:rPr>
          <w:rFonts w:ascii="Arial" w:eastAsia="Calibri" w:hAnsi="Arial" w:cs="Arial"/>
          <w:color w:val="000000"/>
          <w:lang w:val="es-ES_tradnl" w:eastAsia="es-ES"/>
        </w:rPr>
      </w:pPr>
      <w:r w:rsidRPr="0017286C">
        <w:rPr>
          <w:rFonts w:ascii="Arial" w:eastAsia="Calibri" w:hAnsi="Arial" w:cs="Arial"/>
          <w:bCs/>
          <w:lang w:eastAsia="es-MX"/>
        </w:rPr>
        <w:t>Por otra parte, debe tenerse en cuenta que la Ley 2022 de 2020 fue sancionada por el Presidente de la República el 22 de julio del 2020, que en su artículo 1 modificó el artículo 4 de la Ley 1882 de 2018 y, por tanto, modificó el parágrafo 7 del artículo 2 de la Ley 1150 de 2007, asignando directamente a la Agencia Nacional de Contratación Pública – Colombia Compra Eficiente la facultad para adoptar los documentos tipo</w:t>
      </w:r>
      <w:r w:rsidRPr="0017286C">
        <w:rPr>
          <w:rFonts w:ascii="Arial" w:eastAsia="Calibri" w:hAnsi="Arial" w:cs="Arial"/>
          <w:bCs/>
          <w:vertAlign w:val="superscript"/>
          <w:lang w:eastAsia="es-MX"/>
        </w:rPr>
        <w:footnoteReference w:id="2"/>
      </w:r>
      <w:r w:rsidRPr="0017286C">
        <w:rPr>
          <w:rFonts w:ascii="Arial" w:eastAsia="Calibri" w:hAnsi="Arial" w:cs="Arial"/>
          <w:bCs/>
          <w:lang w:eastAsia="es-MX"/>
        </w:rPr>
        <w:t>. En este sentido,</w:t>
      </w:r>
      <w:r w:rsidRPr="0017286C">
        <w:rPr>
          <w:rFonts w:ascii="Arial" w:eastAsia="Calibri" w:hAnsi="Arial" w:cs="Arial"/>
          <w:color w:val="000000"/>
          <w:lang w:val="es-ES" w:eastAsia="es-ES"/>
        </w:rPr>
        <w:t xml:space="preserve"> con la finalidad de realizar un desarrollo armónico y ajustado a la ley que otorga esta competencia, esta Agencia expidió la Resolución 160 del 15 de septiembre de 2020 «Por la cual se adopta el procedimiento para implementar los documentos tipo y se define el sistema para su revisión». Adicionalmente, en el transcurso del año 2021, esta Agencia expidió la Resolución 193 del 14 de julio de 2021, «Por la cual se adoptan los documentos tipo para los procesos de selección de concurso de méritos, para contratar la consultoría de estudios de ingeniería de infraestructura de transporte» cuya aplicación inició para convocatorias publicadas a partir del 9 de agosto de 2021. </w:t>
      </w:r>
    </w:p>
    <w:p w14:paraId="475220F5" w14:textId="77777777" w:rsidR="0017286C" w:rsidRPr="0017286C" w:rsidRDefault="0017286C" w:rsidP="0017286C">
      <w:pPr>
        <w:rPr>
          <w:rFonts w:ascii="Arial" w:eastAsia="Calibri" w:hAnsi="Arial" w:cs="Arial"/>
          <w:color w:val="000000"/>
          <w:lang w:val="es-ES_tradnl" w:eastAsia="es-ES"/>
        </w:rPr>
      </w:pPr>
      <w:r w:rsidRPr="0017286C">
        <w:rPr>
          <w:rFonts w:ascii="Arial" w:eastAsia="Calibri" w:hAnsi="Arial" w:cs="Arial"/>
          <w:color w:val="000000"/>
          <w:lang w:val="es-ES_tradnl" w:eastAsia="es-ES"/>
        </w:rPr>
        <w:t xml:space="preserve">La expedición de documentos tipo para procesos de selección de contratos estatales a cargo de la Agencia Nacional de Contratación Pública está precedida de un minucioso </w:t>
      </w:r>
      <w:r w:rsidRPr="0017286C">
        <w:rPr>
          <w:rFonts w:ascii="Arial" w:eastAsia="Calibri" w:hAnsi="Arial" w:cs="Arial"/>
          <w:color w:val="000000"/>
          <w:lang w:val="es-ES_tradnl" w:eastAsia="es-ES"/>
        </w:rPr>
        <w:lastRenderedPageBreak/>
        <w:t xml:space="preserve">desarrollo, en el cual se consideran las observaciones de las entidades técnicas y especializadas, con la finalidad de expedir documentos tipo que contengan las mejores prácticas contractuales que procuren el adecuado desarrollo de los principios que rigen la contratación pública. </w:t>
      </w:r>
    </w:p>
    <w:p w14:paraId="34C7200F" w14:textId="77777777" w:rsidR="0017286C" w:rsidRPr="0017286C" w:rsidRDefault="0017286C" w:rsidP="0017286C">
      <w:pPr>
        <w:spacing w:after="0"/>
        <w:rPr>
          <w:rFonts w:ascii="Arial" w:eastAsia="Calibri" w:hAnsi="Arial" w:cs="Arial"/>
          <w:color w:val="000000"/>
          <w:lang w:val="es-ES_tradnl" w:eastAsia="es-ES"/>
        </w:rPr>
      </w:pPr>
      <w:r w:rsidRPr="0017286C">
        <w:rPr>
          <w:rFonts w:ascii="Arial" w:eastAsia="Calibri" w:hAnsi="Arial" w:cs="Arial"/>
          <w:color w:val="000000"/>
          <w:lang w:val="es-ES_tradnl" w:eastAsia="es-ES"/>
        </w:rPr>
        <w:t>Después de que cobra vigencia el acto administrativo que adopta los referidos</w:t>
      </w:r>
      <w:r w:rsidRPr="0017286C">
        <w:rPr>
          <w:rFonts w:ascii="Arial" w:eastAsia="Calibri" w:hAnsi="Arial" w:cs="Arial"/>
          <w:color w:val="000000"/>
          <w:lang w:val="es-ES" w:eastAsia="es-ES"/>
        </w:rPr>
        <w:t xml:space="preserve"> documentos tipo, éstos </w:t>
      </w:r>
      <w:r w:rsidRPr="0017286C">
        <w:rPr>
          <w:rFonts w:ascii="Arial" w:eastAsia="Calibri" w:hAnsi="Arial" w:cs="Arial"/>
          <w:color w:val="000000"/>
          <w:lang w:val="es-ES_tradnl" w:eastAsia="es-ES"/>
        </w:rPr>
        <w:t>resultan obligatorios para todas las entidades sometidas al Estatuto General de Contratación de la Administración Pública, que adelanten procesos de concursos de méritos para contratar la consultoría de cualquiera de los proyectos señalados en la «Matriz 1 – Experiencia». Lo anterior se deriva de lo dispuesto en el «documento base» del documento tipo de consultoría, al prescribir que:</w:t>
      </w:r>
    </w:p>
    <w:p w14:paraId="5625BD1C" w14:textId="77777777" w:rsidR="0017286C" w:rsidRPr="0017286C" w:rsidRDefault="0017286C" w:rsidP="0017286C">
      <w:pPr>
        <w:spacing w:after="0"/>
        <w:rPr>
          <w:rFonts w:ascii="Arial" w:eastAsia="Calibri" w:hAnsi="Arial" w:cs="Arial"/>
          <w:color w:val="000000"/>
          <w:sz w:val="24"/>
          <w:szCs w:val="24"/>
          <w:lang w:val="es-ES_tradnl" w:eastAsia="es-ES"/>
        </w:rPr>
      </w:pPr>
    </w:p>
    <w:p w14:paraId="00D4B6F7" w14:textId="77777777" w:rsidR="0017286C" w:rsidRPr="0017286C" w:rsidRDefault="0017286C" w:rsidP="0017286C">
      <w:pPr>
        <w:spacing w:after="0" w:line="240" w:lineRule="auto"/>
        <w:ind w:left="709" w:right="709" w:firstLine="0"/>
        <w:rPr>
          <w:rFonts w:ascii="Arial" w:eastAsia="Calibri" w:hAnsi="Arial" w:cs="Arial"/>
          <w:color w:val="000000"/>
          <w:sz w:val="21"/>
          <w:szCs w:val="21"/>
          <w:lang w:val="es-ES_tradnl" w:eastAsia="es-ES"/>
        </w:rPr>
      </w:pPr>
      <w:r w:rsidRPr="0017286C">
        <w:rPr>
          <w:rFonts w:ascii="Arial" w:eastAsia="Calibri" w:hAnsi="Arial" w:cs="Arial"/>
          <w:color w:val="000000"/>
          <w:sz w:val="21"/>
          <w:szCs w:val="21"/>
          <w:lang w:val="es-ES_tradnl" w:eastAsia="es-ES"/>
        </w:rPr>
        <w:t xml:space="preserve">Este Documento Tipo aplica a los procesos de consultoría de estudios de ingeniería de infraestructura de transporte celebrados en la modalidad de concurso de méritos abierto, que correspondan con las actividades definidas en la “Matriz 1 – Experiencia”. En los términos del numeral 10.1.1, literal B, también aplica a los componentes de consultorías integrales (predial, ambiental, social y seguridad y salud en el trabajo) que tengan otros componentes aparte del técnico descrito en la mencionada Matriz. Por tanto, no son aplicables en las actividades de consultoría de estudios de ingeniería de infraestructura de transporte no contempladas en la “Matriz 1 – Experiencia”, sin perjuicio de lo previsto en el artículo 4 de la resolución que adopta estos Documentos Tipo.  </w:t>
      </w:r>
    </w:p>
    <w:p w14:paraId="7B7BC265" w14:textId="77777777" w:rsidR="0017286C" w:rsidRPr="0017286C" w:rsidRDefault="0017286C" w:rsidP="0017286C">
      <w:pPr>
        <w:spacing w:after="0"/>
        <w:ind w:firstLine="0"/>
        <w:rPr>
          <w:rFonts w:ascii="Arial" w:eastAsia="Calibri" w:hAnsi="Arial" w:cs="Arial"/>
          <w:color w:val="000000"/>
          <w:sz w:val="24"/>
          <w:szCs w:val="24"/>
          <w:lang w:val="es-ES_tradnl" w:eastAsia="es-ES"/>
        </w:rPr>
      </w:pPr>
    </w:p>
    <w:p w14:paraId="55DDA463" w14:textId="77777777" w:rsidR="0017286C" w:rsidRPr="0017286C" w:rsidRDefault="0017286C" w:rsidP="0017286C">
      <w:pPr>
        <w:spacing w:after="0"/>
        <w:rPr>
          <w:rFonts w:ascii="Arial" w:eastAsia="Calibri" w:hAnsi="Arial" w:cs="Arial"/>
          <w:color w:val="000000"/>
          <w:lang w:val="es-MX" w:eastAsia="es-ES"/>
        </w:rPr>
      </w:pPr>
      <w:r w:rsidRPr="0017286C">
        <w:rPr>
          <w:rFonts w:ascii="Arial" w:eastAsia="Calibri" w:hAnsi="Arial" w:cs="Arial"/>
          <w:color w:val="000000"/>
          <w:lang w:val="es-ES_tradnl" w:eastAsia="es-ES"/>
        </w:rPr>
        <w:t xml:space="preserve">En tal sentido, siempre que se vaya a contratar la consultoría de estudios de ingeniería de infraestructura de transporte de alguno de los proyectos señalados en la «Matriz 1 – Experiencia» y la modalidad de selección aplicable sea el concurso de méritos, las entidades estatales deben aplicar este documento tipo, acatando su contenido obligatorio. </w:t>
      </w:r>
      <w:r w:rsidRPr="0017286C">
        <w:rPr>
          <w:rFonts w:ascii="Arial" w:eastAsia="Calibri" w:hAnsi="Arial" w:cs="Arial"/>
          <w:color w:val="000000"/>
          <w:lang w:val="es-MX" w:eastAsia="es-ES"/>
        </w:rPr>
        <w:t>De esta manera, la Matriz 1 – Experiencia, entre otras finalidades, sirve como criterio para establecer el ámbito de aplicación de los documentos tipo, en los términos explicados con anterioridad.</w:t>
      </w:r>
    </w:p>
    <w:bookmarkEnd w:id="4"/>
    <w:p w14:paraId="5680EC6A" w14:textId="77777777" w:rsidR="00B06FE8" w:rsidRPr="002B47C2" w:rsidRDefault="00B06FE8" w:rsidP="00B06FE8">
      <w:pPr>
        <w:spacing w:after="0"/>
        <w:ind w:firstLine="0"/>
        <w:rPr>
          <w:rFonts w:ascii="Arial" w:eastAsia="Times New Roman" w:hAnsi="Arial" w:cs="Arial"/>
          <w:b/>
          <w:bCs/>
          <w:color w:val="000000" w:themeColor="text1"/>
          <w:bdr w:val="none" w:sz="0" w:space="0" w:color="auto" w:frame="1"/>
          <w:lang w:val="es-ES_tradnl" w:eastAsia="es-CO"/>
        </w:rPr>
      </w:pPr>
    </w:p>
    <w:p w14:paraId="2AFA7640" w14:textId="77777777" w:rsidR="00B06FE8" w:rsidRPr="002B47C2" w:rsidRDefault="00B06FE8" w:rsidP="00B06FE8">
      <w:pPr>
        <w:spacing w:after="0"/>
        <w:ind w:firstLine="0"/>
        <w:rPr>
          <w:rFonts w:ascii="Arial" w:eastAsia="Times New Roman" w:hAnsi="Arial" w:cs="Arial"/>
          <w:color w:val="000000" w:themeColor="text1"/>
          <w:bdr w:val="none" w:sz="0" w:space="0" w:color="auto" w:frame="1"/>
          <w:lang w:val="es-ES_tradnl" w:eastAsia="es-CO"/>
        </w:rPr>
      </w:pPr>
      <w:r w:rsidRPr="002B47C2">
        <w:rPr>
          <w:rFonts w:ascii="Arial" w:eastAsia="Times New Roman" w:hAnsi="Arial" w:cs="Arial"/>
          <w:b/>
          <w:bCs/>
          <w:color w:val="000000" w:themeColor="text1"/>
          <w:bdr w:val="none" w:sz="0" w:space="0" w:color="auto" w:frame="1"/>
          <w:lang w:val="es-ES_tradnl" w:eastAsia="es-CO"/>
        </w:rPr>
        <w:t>2.2. Aplicación de los documentos tipo de infraestructura de transporte a partir de la Matriz 1 – Experiencia</w:t>
      </w:r>
    </w:p>
    <w:p w14:paraId="6597439F" w14:textId="77777777" w:rsidR="00B06FE8" w:rsidRPr="002B47C2" w:rsidRDefault="00B06FE8" w:rsidP="00B06FE8">
      <w:pPr>
        <w:spacing w:after="0"/>
        <w:ind w:firstLine="0"/>
        <w:rPr>
          <w:rFonts w:ascii="Arial" w:eastAsia="Calibri" w:hAnsi="Arial" w:cs="Arial"/>
          <w:b/>
          <w:bCs/>
          <w:color w:val="000000" w:themeColor="text1"/>
          <w:lang w:val="es-ES_tradnl" w:eastAsia="es-ES"/>
        </w:rPr>
      </w:pPr>
    </w:p>
    <w:p w14:paraId="770A2AD0" w14:textId="113A0782" w:rsidR="00B06FE8" w:rsidRPr="002B47C2" w:rsidRDefault="00B06FE8" w:rsidP="00B06FE8">
      <w:pPr>
        <w:spacing w:after="0"/>
        <w:ind w:firstLine="0"/>
        <w:rPr>
          <w:rFonts w:ascii="Arial" w:hAnsi="Arial" w:cs="Arial"/>
          <w:color w:val="000000" w:themeColor="text1"/>
          <w:lang w:val="es-MX"/>
        </w:rPr>
      </w:pPr>
      <w:r w:rsidRPr="002B47C2">
        <w:rPr>
          <w:rFonts w:ascii="Arial" w:hAnsi="Arial" w:cs="Arial"/>
          <w:color w:val="000000" w:themeColor="text1"/>
          <w:lang w:val="es-MX"/>
        </w:rPr>
        <w:t>De conformidad con el marco normativo expuesto anteriormente y de acuerdo con las condiciones fijadas en el «Documento Base» de l</w:t>
      </w:r>
      <w:r w:rsidR="009F4910">
        <w:rPr>
          <w:rFonts w:ascii="Arial" w:hAnsi="Arial" w:cs="Arial"/>
          <w:color w:val="000000" w:themeColor="text1"/>
          <w:lang w:val="es-MX"/>
        </w:rPr>
        <w:t xml:space="preserve">os documentos tipo de consultoría de estudios de </w:t>
      </w:r>
      <w:r w:rsidR="00E4530F">
        <w:rPr>
          <w:rFonts w:ascii="Arial" w:hAnsi="Arial" w:cs="Arial"/>
          <w:color w:val="000000" w:themeColor="text1"/>
          <w:lang w:val="es-MX"/>
        </w:rPr>
        <w:t xml:space="preserve">ingeniería de </w:t>
      </w:r>
      <w:r w:rsidR="009F4910">
        <w:rPr>
          <w:rFonts w:ascii="Arial" w:hAnsi="Arial" w:cs="Arial"/>
          <w:color w:val="000000" w:themeColor="text1"/>
          <w:lang w:val="es-MX"/>
        </w:rPr>
        <w:t>infraestructura de transporte</w:t>
      </w:r>
      <w:r w:rsidRPr="002B47C2">
        <w:rPr>
          <w:rFonts w:ascii="Arial" w:hAnsi="Arial" w:cs="Arial"/>
          <w:color w:val="000000" w:themeColor="text1"/>
          <w:lang w:val="es-MX"/>
        </w:rPr>
        <w:t xml:space="preserve">, la acreditación del requisito habilitante de experiencia se aborda desde distintos criterios. En primer lugar, los contratos presentados por los proponentes deben corresponder a la actividad o actividades de experiencia general y específica que la entidad exija en el pliego de condiciones, de acuerdo con los parámetros señalados en la Matriz 1. En segundo lugar, los proponentes deben </w:t>
      </w:r>
      <w:r w:rsidRPr="002B47C2">
        <w:rPr>
          <w:rFonts w:ascii="Arial" w:hAnsi="Arial" w:cs="Arial"/>
          <w:color w:val="000000" w:themeColor="text1"/>
          <w:lang w:val="es-MX"/>
        </w:rPr>
        <w:lastRenderedPageBreak/>
        <w:t>acreditar el cumplimiento de las condiciones fijadas con mínimo uno (1) y máximo seis (6) contratos, que debieron terminar antes de la fecha de cierre del proceso de contratación. Por último, el número de contratos aportados por el proponente debe certificar un valor mínimo correspondiente a</w:t>
      </w:r>
      <w:r w:rsidR="00A81734">
        <w:rPr>
          <w:rFonts w:ascii="Arial" w:hAnsi="Arial" w:cs="Arial"/>
          <w:color w:val="000000" w:themeColor="text1"/>
          <w:lang w:val="es-MX"/>
        </w:rPr>
        <w:t>l 100%</w:t>
      </w:r>
      <w:r w:rsidR="001155DF">
        <w:rPr>
          <w:rFonts w:ascii="Arial" w:hAnsi="Arial" w:cs="Arial"/>
          <w:color w:val="000000" w:themeColor="text1"/>
          <w:lang w:val="es-MX"/>
        </w:rPr>
        <w:t xml:space="preserve"> o más</w:t>
      </w:r>
      <w:r w:rsidRPr="002B47C2">
        <w:rPr>
          <w:rFonts w:ascii="Arial" w:hAnsi="Arial" w:cs="Arial"/>
          <w:color w:val="000000" w:themeColor="text1"/>
          <w:lang w:val="es-MX"/>
        </w:rPr>
        <w:t xml:space="preserve"> del presupuesto oficial del proceso de obra expresado en SMMLV, cuya verificación se hará de acuerdo con la sumatoria de los valores totales ejecutados de los contratos que cumplan con los requisitos establecidos en el pliego de condiciones. </w:t>
      </w:r>
    </w:p>
    <w:p w14:paraId="5C1957A9" w14:textId="4E624F97" w:rsidR="00B06FE8" w:rsidRPr="002B47C2" w:rsidRDefault="00B06FE8" w:rsidP="00B06FE8">
      <w:pPr>
        <w:spacing w:before="120" w:after="0"/>
        <w:ind w:firstLine="708"/>
        <w:rPr>
          <w:rFonts w:ascii="Arial" w:hAnsi="Arial" w:cs="Arial"/>
          <w:color w:val="000000" w:themeColor="text1"/>
          <w:lang w:val="es-MX"/>
        </w:rPr>
      </w:pPr>
      <w:r w:rsidRPr="002B47C2">
        <w:rPr>
          <w:rFonts w:ascii="Arial" w:hAnsi="Arial" w:cs="Arial"/>
          <w:color w:val="000000" w:themeColor="text1"/>
          <w:lang w:val="es-MX"/>
        </w:rPr>
        <w:t xml:space="preserve">Para fijar las condiciones que deben cumplir los contratos aportados, en términos de actividades ejecutadas, las entidades deberán emplear la Matriz 1, documento que estandariza las condiciones de experiencia general y/o experiencia específica que deben requerir las entidades estatales de acuerdo con: i) el tipo </w:t>
      </w:r>
      <w:r w:rsidR="007135C0">
        <w:rPr>
          <w:rFonts w:ascii="Arial" w:hAnsi="Arial" w:cs="Arial"/>
          <w:color w:val="000000" w:themeColor="text1"/>
          <w:lang w:val="es-MX"/>
        </w:rPr>
        <w:t>consultoría a</w:t>
      </w:r>
      <w:r w:rsidRPr="002B47C2">
        <w:rPr>
          <w:rFonts w:ascii="Arial" w:hAnsi="Arial" w:cs="Arial"/>
          <w:color w:val="000000" w:themeColor="text1"/>
          <w:lang w:val="es-MX"/>
        </w:rPr>
        <w:t xml:space="preserve"> obra</w:t>
      </w:r>
      <w:r w:rsidR="007135C0">
        <w:rPr>
          <w:rFonts w:ascii="Arial" w:hAnsi="Arial" w:cs="Arial"/>
          <w:color w:val="000000" w:themeColor="text1"/>
          <w:lang w:val="es-MX"/>
        </w:rPr>
        <w:t>s</w:t>
      </w:r>
      <w:r w:rsidRPr="002B47C2">
        <w:rPr>
          <w:rFonts w:ascii="Arial" w:hAnsi="Arial" w:cs="Arial"/>
          <w:color w:val="000000" w:themeColor="text1"/>
          <w:lang w:val="es-MX"/>
        </w:rPr>
        <w:t xml:space="preserve"> de infraestructura de transporte; ii) la actividad a contratar, y iii) la cuantía del proceso de contratación.</w:t>
      </w:r>
    </w:p>
    <w:p w14:paraId="5344D006" w14:textId="30A5A4EE" w:rsidR="00B06FE8" w:rsidRDefault="00B06FE8" w:rsidP="00F23176">
      <w:pPr>
        <w:spacing w:before="120"/>
        <w:rPr>
          <w:rFonts w:ascii="Arial" w:hAnsi="Arial" w:cs="Arial"/>
          <w:color w:val="000000" w:themeColor="text1"/>
          <w:lang w:val="es-MX"/>
        </w:rPr>
      </w:pPr>
      <w:r w:rsidRPr="002B47C2">
        <w:rPr>
          <w:rFonts w:ascii="Arial" w:hAnsi="Arial" w:cs="Arial"/>
          <w:color w:val="000000" w:themeColor="text1"/>
          <w:lang w:val="es-MX"/>
        </w:rPr>
        <w:t xml:space="preserve">En relación con el primer aspecto, </w:t>
      </w:r>
      <w:bookmarkStart w:id="5" w:name="_Hlk98841595"/>
      <w:r w:rsidRPr="002B47C2">
        <w:rPr>
          <w:rFonts w:ascii="Arial" w:hAnsi="Arial" w:cs="Arial"/>
          <w:color w:val="000000" w:themeColor="text1"/>
          <w:lang w:val="es-MX"/>
        </w:rPr>
        <w:t>la Matriz 1 está constituida por ocho (8) tipos de</w:t>
      </w:r>
      <w:r w:rsidR="00572276">
        <w:rPr>
          <w:rFonts w:ascii="Arial" w:hAnsi="Arial" w:cs="Arial"/>
          <w:color w:val="000000" w:themeColor="text1"/>
          <w:lang w:val="es-MX"/>
        </w:rPr>
        <w:t xml:space="preserve"> consultoría a </w:t>
      </w:r>
      <w:r w:rsidRPr="002B47C2">
        <w:rPr>
          <w:rFonts w:ascii="Arial" w:hAnsi="Arial" w:cs="Arial"/>
          <w:color w:val="000000" w:themeColor="text1"/>
          <w:lang w:val="es-MX"/>
        </w:rPr>
        <w:t>obras de infraestructura de transporte, identificadas con un número y su descripción, los cuales son</w:t>
      </w:r>
      <w:r w:rsidR="00C639F6">
        <w:rPr>
          <w:rFonts w:ascii="Arial" w:hAnsi="Arial" w:cs="Arial"/>
          <w:color w:val="000000" w:themeColor="text1"/>
          <w:lang w:val="es-MX"/>
        </w:rPr>
        <w:t>:</w:t>
      </w:r>
      <w:r w:rsidR="00C639F6" w:rsidRPr="00C639F6">
        <w:rPr>
          <w:rFonts w:ascii="Arial" w:hAnsi="Arial" w:cs="Arial"/>
          <w:color w:val="000000" w:themeColor="text1"/>
          <w:lang w:val="es-MX"/>
        </w:rPr>
        <w:t xml:space="preserve"> 1</w:t>
      </w:r>
      <w:r w:rsidR="00C639F6">
        <w:rPr>
          <w:rFonts w:ascii="Arial" w:hAnsi="Arial" w:cs="Arial"/>
          <w:color w:val="000000" w:themeColor="text1"/>
          <w:lang w:val="es-MX"/>
        </w:rPr>
        <w:t xml:space="preserve">) </w:t>
      </w:r>
      <w:r w:rsidR="00C639F6" w:rsidRPr="00C639F6">
        <w:rPr>
          <w:rFonts w:ascii="Arial" w:hAnsi="Arial" w:cs="Arial"/>
          <w:color w:val="000000" w:themeColor="text1"/>
          <w:lang w:val="es-MX"/>
        </w:rPr>
        <w:t>consultoría a obras en vías primarias o secundarias, 2</w:t>
      </w:r>
      <w:r w:rsidR="00C639F6">
        <w:rPr>
          <w:rFonts w:ascii="Arial" w:hAnsi="Arial" w:cs="Arial"/>
          <w:color w:val="000000" w:themeColor="text1"/>
          <w:lang w:val="es-MX"/>
        </w:rPr>
        <w:t xml:space="preserve">) </w:t>
      </w:r>
      <w:r w:rsidR="00C639F6" w:rsidRPr="00C639F6">
        <w:rPr>
          <w:rFonts w:ascii="Arial" w:hAnsi="Arial" w:cs="Arial"/>
          <w:color w:val="000000" w:themeColor="text1"/>
          <w:lang w:val="es-MX"/>
        </w:rPr>
        <w:t>consultoría a obras en vías terciarias, 3</w:t>
      </w:r>
      <w:r w:rsidR="00C639F6">
        <w:rPr>
          <w:rFonts w:ascii="Arial" w:hAnsi="Arial" w:cs="Arial"/>
          <w:color w:val="000000" w:themeColor="text1"/>
          <w:lang w:val="es-MX"/>
        </w:rPr>
        <w:t>)</w:t>
      </w:r>
      <w:r w:rsidR="00C639F6" w:rsidRPr="00C639F6">
        <w:rPr>
          <w:rFonts w:ascii="Arial" w:hAnsi="Arial" w:cs="Arial"/>
          <w:color w:val="000000" w:themeColor="text1"/>
          <w:lang w:val="es-MX"/>
        </w:rPr>
        <w:t xml:space="preserve"> consultoría a obras marítimas y fluviales, 4</w:t>
      </w:r>
      <w:r w:rsidR="00C639F6">
        <w:rPr>
          <w:rFonts w:ascii="Arial" w:hAnsi="Arial" w:cs="Arial"/>
          <w:color w:val="000000" w:themeColor="text1"/>
          <w:lang w:val="es-MX"/>
        </w:rPr>
        <w:t xml:space="preserve">) </w:t>
      </w:r>
      <w:r w:rsidR="00C639F6" w:rsidRPr="00C639F6">
        <w:rPr>
          <w:rFonts w:ascii="Arial" w:hAnsi="Arial" w:cs="Arial"/>
          <w:color w:val="000000" w:themeColor="text1"/>
          <w:lang w:val="es-MX"/>
        </w:rPr>
        <w:t>consultoría a obras en vías primarias o secundarias o terciarias para atención, prevenció</w:t>
      </w:r>
      <w:r w:rsidR="00C639F6">
        <w:rPr>
          <w:rFonts w:ascii="Arial" w:hAnsi="Arial" w:cs="Arial"/>
          <w:color w:val="000000" w:themeColor="text1"/>
          <w:lang w:val="es-MX"/>
        </w:rPr>
        <w:t>n</w:t>
      </w:r>
      <w:r w:rsidR="00C639F6" w:rsidRPr="00C639F6">
        <w:rPr>
          <w:rFonts w:ascii="Arial" w:hAnsi="Arial" w:cs="Arial"/>
          <w:color w:val="000000" w:themeColor="text1"/>
          <w:lang w:val="es-MX"/>
        </w:rPr>
        <w:t xml:space="preserve"> o mitigación de emergencias diferentes a contratación directa, 5</w:t>
      </w:r>
      <w:r w:rsidR="00C639F6">
        <w:rPr>
          <w:rFonts w:ascii="Arial" w:hAnsi="Arial" w:cs="Arial"/>
          <w:color w:val="000000" w:themeColor="text1"/>
          <w:lang w:val="es-MX"/>
        </w:rPr>
        <w:t>)</w:t>
      </w:r>
      <w:r w:rsidR="00C639F6" w:rsidRPr="00C639F6">
        <w:rPr>
          <w:rFonts w:ascii="Arial" w:hAnsi="Arial" w:cs="Arial"/>
          <w:color w:val="000000" w:themeColor="text1"/>
          <w:lang w:val="es-MX"/>
        </w:rPr>
        <w:t xml:space="preserve"> consultoría a obras férreas, 6</w:t>
      </w:r>
      <w:r w:rsidR="00C639F6">
        <w:rPr>
          <w:rFonts w:ascii="Arial" w:hAnsi="Arial" w:cs="Arial"/>
          <w:color w:val="000000" w:themeColor="text1"/>
          <w:lang w:val="es-MX"/>
        </w:rPr>
        <w:t>)</w:t>
      </w:r>
      <w:r w:rsidR="00C639F6" w:rsidRPr="00C639F6">
        <w:rPr>
          <w:rFonts w:ascii="Arial" w:hAnsi="Arial" w:cs="Arial"/>
          <w:color w:val="000000" w:themeColor="text1"/>
          <w:lang w:val="es-MX"/>
        </w:rPr>
        <w:t xml:space="preserve"> consultoría a obras de infraestructura vial urbana, 7</w:t>
      </w:r>
      <w:r w:rsidR="00C639F6">
        <w:rPr>
          <w:rFonts w:ascii="Arial" w:hAnsi="Arial" w:cs="Arial"/>
          <w:color w:val="000000" w:themeColor="text1"/>
          <w:lang w:val="es-MX"/>
        </w:rPr>
        <w:t>)</w:t>
      </w:r>
      <w:r w:rsidR="00C639F6" w:rsidRPr="00C639F6">
        <w:rPr>
          <w:rFonts w:ascii="Arial" w:hAnsi="Arial" w:cs="Arial"/>
          <w:color w:val="000000" w:themeColor="text1"/>
          <w:lang w:val="es-MX"/>
        </w:rPr>
        <w:t xml:space="preserve"> consultoría a obras en puentes y 8</w:t>
      </w:r>
      <w:r w:rsidR="00C639F6">
        <w:rPr>
          <w:rFonts w:ascii="Arial" w:hAnsi="Arial" w:cs="Arial"/>
          <w:color w:val="000000" w:themeColor="text1"/>
          <w:lang w:val="es-MX"/>
        </w:rPr>
        <w:t>)</w:t>
      </w:r>
      <w:r w:rsidR="00C639F6" w:rsidRPr="00C639F6">
        <w:rPr>
          <w:rFonts w:ascii="Arial" w:hAnsi="Arial" w:cs="Arial"/>
          <w:color w:val="000000" w:themeColor="text1"/>
          <w:lang w:val="es-MX"/>
        </w:rPr>
        <w:t xml:space="preserve"> consultoría a obras aeroportuarias</w:t>
      </w:r>
      <w:r w:rsidRPr="002B47C2">
        <w:rPr>
          <w:rFonts w:ascii="Arial" w:hAnsi="Arial" w:cs="Arial"/>
          <w:color w:val="000000" w:themeColor="text1"/>
          <w:lang w:val="es-MX"/>
        </w:rPr>
        <w:t>. Estas determinan el marco para la aplicación de los documentos tipo, dado que comprenden todas aquellas actividades que constituyen</w:t>
      </w:r>
      <w:r w:rsidR="00C639F6">
        <w:rPr>
          <w:rFonts w:ascii="Arial" w:hAnsi="Arial" w:cs="Arial"/>
          <w:color w:val="000000" w:themeColor="text1"/>
          <w:lang w:val="es-MX"/>
        </w:rPr>
        <w:t xml:space="preserve"> consultoría </w:t>
      </w:r>
      <w:r w:rsidR="005A019B">
        <w:rPr>
          <w:rFonts w:ascii="Arial" w:hAnsi="Arial" w:cs="Arial"/>
          <w:color w:val="000000" w:themeColor="text1"/>
          <w:lang w:val="es-MX"/>
        </w:rPr>
        <w:t>de estudios de ingeniería de infraestructura de transporte</w:t>
      </w:r>
      <w:r w:rsidR="002E71A7">
        <w:rPr>
          <w:rFonts w:ascii="Arial" w:hAnsi="Arial" w:cs="Arial"/>
          <w:color w:val="000000" w:themeColor="text1"/>
          <w:lang w:val="es-MX"/>
        </w:rPr>
        <w:t xml:space="preserve"> y que han sido</w:t>
      </w:r>
      <w:r w:rsidR="00273744">
        <w:rPr>
          <w:rFonts w:ascii="Arial" w:hAnsi="Arial" w:cs="Arial"/>
          <w:color w:val="000000" w:themeColor="text1"/>
          <w:lang w:val="es-MX"/>
        </w:rPr>
        <w:t xml:space="preserve"> </w:t>
      </w:r>
      <w:r w:rsidRPr="002B47C2">
        <w:rPr>
          <w:rFonts w:ascii="Arial" w:hAnsi="Arial" w:cs="Arial"/>
          <w:color w:val="000000" w:themeColor="text1"/>
          <w:lang w:val="es-MX"/>
        </w:rPr>
        <w:t xml:space="preserve">objeto de estandarización mediante la Resolución No. </w:t>
      </w:r>
      <w:r w:rsidR="00273744">
        <w:rPr>
          <w:rFonts w:ascii="Arial" w:hAnsi="Arial" w:cs="Arial"/>
          <w:color w:val="000000" w:themeColor="text1"/>
          <w:lang w:val="es-MX"/>
        </w:rPr>
        <w:t>193</w:t>
      </w:r>
      <w:r w:rsidRPr="002B47C2">
        <w:rPr>
          <w:rFonts w:ascii="Arial" w:hAnsi="Arial" w:cs="Arial"/>
          <w:color w:val="000000" w:themeColor="text1"/>
          <w:lang w:val="es-MX"/>
        </w:rPr>
        <w:t xml:space="preserve"> del </w:t>
      </w:r>
      <w:r w:rsidR="00D762E6">
        <w:rPr>
          <w:rFonts w:ascii="Arial" w:hAnsi="Arial" w:cs="Arial"/>
          <w:color w:val="000000" w:themeColor="text1"/>
          <w:lang w:val="es-MX"/>
        </w:rPr>
        <w:t>14</w:t>
      </w:r>
      <w:r w:rsidRPr="002B47C2">
        <w:rPr>
          <w:rFonts w:ascii="Arial" w:hAnsi="Arial" w:cs="Arial"/>
          <w:color w:val="000000" w:themeColor="text1"/>
          <w:lang w:val="es-MX"/>
        </w:rPr>
        <w:t xml:space="preserve"> de </w:t>
      </w:r>
      <w:r w:rsidR="00D762E6">
        <w:rPr>
          <w:rFonts w:ascii="Arial" w:hAnsi="Arial" w:cs="Arial"/>
          <w:color w:val="000000" w:themeColor="text1"/>
          <w:lang w:val="es-MX"/>
        </w:rPr>
        <w:t xml:space="preserve">julio de 2021 </w:t>
      </w:r>
      <w:r w:rsidRPr="002B47C2">
        <w:rPr>
          <w:rFonts w:ascii="Arial" w:hAnsi="Arial" w:cs="Arial"/>
          <w:color w:val="000000" w:themeColor="text1"/>
          <w:lang w:val="es-MX"/>
        </w:rPr>
        <w:t xml:space="preserve">para los procesos </w:t>
      </w:r>
      <w:r w:rsidR="00D762E6">
        <w:rPr>
          <w:rFonts w:ascii="Arial" w:hAnsi="Arial" w:cs="Arial"/>
          <w:color w:val="000000" w:themeColor="text1"/>
          <w:lang w:val="es-MX"/>
        </w:rPr>
        <w:t xml:space="preserve">de concurso de </w:t>
      </w:r>
      <w:r w:rsidR="00036F2D">
        <w:rPr>
          <w:rFonts w:ascii="Arial" w:hAnsi="Arial" w:cs="Arial"/>
          <w:color w:val="000000" w:themeColor="text1"/>
          <w:lang w:val="es-MX"/>
        </w:rPr>
        <w:t>méritos</w:t>
      </w:r>
      <w:r w:rsidRPr="002B47C2">
        <w:rPr>
          <w:rFonts w:ascii="Arial" w:hAnsi="Arial" w:cs="Arial"/>
          <w:color w:val="000000" w:themeColor="text1"/>
          <w:lang w:val="es-MX"/>
        </w:rPr>
        <w:t>.</w:t>
      </w:r>
    </w:p>
    <w:p w14:paraId="5DB51EE4" w14:textId="401A6417" w:rsidR="009D4DA1" w:rsidRPr="0072586C" w:rsidRDefault="00ED5901" w:rsidP="0072586C">
      <w:pPr>
        <w:rPr>
          <w:rFonts w:ascii="Arial" w:hAnsi="Arial" w:cs="Arial"/>
        </w:rPr>
      </w:pPr>
      <w:r w:rsidRPr="0072586C">
        <w:rPr>
          <w:rFonts w:ascii="Arial" w:hAnsi="Arial" w:cs="Arial"/>
        </w:rPr>
        <w:t xml:space="preserve">En ese sentido, de acuerdo con el </w:t>
      </w:r>
      <w:r w:rsidR="00357B08" w:rsidRPr="0072586C">
        <w:rPr>
          <w:rFonts w:ascii="Arial" w:hAnsi="Arial" w:cs="Arial"/>
        </w:rPr>
        <w:t>«Documento Base», e</w:t>
      </w:r>
      <w:r w:rsidRPr="0072586C">
        <w:rPr>
          <w:rFonts w:ascii="Arial" w:hAnsi="Arial" w:cs="Arial"/>
        </w:rPr>
        <w:t>st</w:t>
      </w:r>
      <w:r w:rsidR="00357B08" w:rsidRPr="0072586C">
        <w:rPr>
          <w:rFonts w:ascii="Arial" w:hAnsi="Arial" w:cs="Arial"/>
        </w:rPr>
        <w:t xml:space="preserve">os documentos tipo </w:t>
      </w:r>
      <w:r w:rsidRPr="0072586C">
        <w:rPr>
          <w:rFonts w:ascii="Arial" w:hAnsi="Arial" w:cs="Arial"/>
        </w:rPr>
        <w:t>aplica</w:t>
      </w:r>
      <w:r w:rsidR="00357B08" w:rsidRPr="0072586C">
        <w:rPr>
          <w:rFonts w:ascii="Arial" w:hAnsi="Arial" w:cs="Arial"/>
        </w:rPr>
        <w:t>n</w:t>
      </w:r>
      <w:r w:rsidRPr="0072586C">
        <w:rPr>
          <w:rFonts w:ascii="Arial" w:hAnsi="Arial" w:cs="Arial"/>
        </w:rPr>
        <w:t xml:space="preserve"> a los procesos de consultoría de estudios de ingeniería de infraestructura de transporte</w:t>
      </w:r>
      <w:r w:rsidRPr="0072586C">
        <w:rPr>
          <w:rStyle w:val="Refdenotaalpie"/>
          <w:rFonts w:ascii="Arial" w:hAnsi="Arial" w:cs="Arial"/>
        </w:rPr>
        <w:footnoteReference w:id="3"/>
      </w:r>
      <w:r w:rsidRPr="0072586C">
        <w:rPr>
          <w:rFonts w:ascii="Arial" w:hAnsi="Arial" w:cs="Arial"/>
        </w:rPr>
        <w:t xml:space="preserve"> celebrados en la modalidad de concurso de méritos, que correspondan con las actividades definidas en la </w:t>
      </w:r>
      <w:r w:rsidR="00CB1966">
        <w:rPr>
          <w:rFonts w:ascii="Arial" w:hAnsi="Arial" w:cs="Arial"/>
        </w:rPr>
        <w:t>«</w:t>
      </w:r>
      <w:r w:rsidRPr="0072586C">
        <w:rPr>
          <w:rFonts w:ascii="Arial" w:hAnsi="Arial" w:cs="Arial"/>
        </w:rPr>
        <w:t>Matriz 1 – Experiencia</w:t>
      </w:r>
      <w:r w:rsidR="00CB1966">
        <w:rPr>
          <w:rFonts w:ascii="Arial" w:hAnsi="Arial" w:cs="Arial"/>
        </w:rPr>
        <w:t>»</w:t>
      </w:r>
      <w:r w:rsidRPr="0072586C">
        <w:rPr>
          <w:rFonts w:ascii="Arial" w:hAnsi="Arial" w:cs="Arial"/>
        </w:rPr>
        <w:t xml:space="preserve">. En los términos del numeral 10.1.1, literal B, también aplica a los componentes de consultorías integrales (predial, ambiental, social y seguridad y salud en el trabajo) que tengan otros componentes aparte del técnico descrito en la mencionada Matriz. Por tanto, no son aplicables en las actividades de consultoría de estudios de ingeniería de infraestructura de transporte no contempladas en </w:t>
      </w:r>
      <w:r w:rsidRPr="0072586C">
        <w:rPr>
          <w:rFonts w:ascii="Arial" w:hAnsi="Arial" w:cs="Arial"/>
        </w:rPr>
        <w:lastRenderedPageBreak/>
        <w:t xml:space="preserve">la </w:t>
      </w:r>
      <w:r w:rsidR="00CC6976" w:rsidRPr="0072586C">
        <w:rPr>
          <w:rFonts w:ascii="Arial" w:hAnsi="Arial" w:cs="Arial"/>
        </w:rPr>
        <w:t>«</w:t>
      </w:r>
      <w:r w:rsidRPr="0072586C">
        <w:rPr>
          <w:rFonts w:ascii="Arial" w:hAnsi="Arial" w:cs="Arial"/>
        </w:rPr>
        <w:t>Matriz 1 – Experiencia</w:t>
      </w:r>
      <w:r w:rsidR="00CC6976" w:rsidRPr="0072586C">
        <w:rPr>
          <w:rFonts w:ascii="Arial" w:hAnsi="Arial" w:cs="Arial"/>
        </w:rPr>
        <w:t>»</w:t>
      </w:r>
      <w:r w:rsidRPr="0072586C">
        <w:rPr>
          <w:rFonts w:ascii="Arial" w:hAnsi="Arial" w:cs="Arial"/>
        </w:rPr>
        <w:t>, sin perjuicio de lo previsto en el artículo 4</w:t>
      </w:r>
      <w:r w:rsidR="00CC6976" w:rsidRPr="0072586C">
        <w:rPr>
          <w:rStyle w:val="Refdenotaalpie"/>
          <w:rFonts w:ascii="Arial" w:hAnsi="Arial" w:cs="Arial"/>
        </w:rPr>
        <w:footnoteReference w:id="4"/>
      </w:r>
      <w:r w:rsidRPr="0072586C">
        <w:rPr>
          <w:rFonts w:ascii="Arial" w:hAnsi="Arial" w:cs="Arial"/>
        </w:rPr>
        <w:t xml:space="preserve"> de la </w:t>
      </w:r>
      <w:r w:rsidR="009C33EB" w:rsidRPr="0072586C">
        <w:rPr>
          <w:rFonts w:ascii="Arial" w:hAnsi="Arial" w:cs="Arial"/>
        </w:rPr>
        <w:t>R</w:t>
      </w:r>
      <w:r w:rsidRPr="0072586C">
        <w:rPr>
          <w:rFonts w:ascii="Arial" w:hAnsi="Arial" w:cs="Arial"/>
        </w:rPr>
        <w:t xml:space="preserve">esolución que adopta estos Documentos Tipo. </w:t>
      </w:r>
    </w:p>
    <w:bookmarkEnd w:id="5"/>
    <w:p w14:paraId="11ED6A06" w14:textId="295789C5" w:rsidR="00B06FE8" w:rsidRPr="002B47C2" w:rsidRDefault="00B06FE8" w:rsidP="0072586C">
      <w:pPr>
        <w:spacing w:before="120" w:after="0"/>
        <w:rPr>
          <w:rFonts w:ascii="Arial" w:hAnsi="Arial" w:cs="Arial"/>
          <w:color w:val="000000" w:themeColor="text1"/>
          <w:lang w:val="es-MX"/>
        </w:rPr>
      </w:pPr>
      <w:r w:rsidRPr="002B47C2">
        <w:rPr>
          <w:rFonts w:ascii="Arial" w:hAnsi="Arial" w:cs="Arial"/>
          <w:color w:val="000000" w:themeColor="text1"/>
          <w:lang w:val="es-MX"/>
        </w:rPr>
        <w:t xml:space="preserve">Con respecto a la actividad a contratar, la Matriz 1 establece cuáles son las que corresponden a cada uno de los tipos </w:t>
      </w:r>
      <w:r w:rsidR="00572276">
        <w:rPr>
          <w:rFonts w:ascii="Arial" w:hAnsi="Arial" w:cs="Arial"/>
          <w:color w:val="000000" w:themeColor="text1"/>
          <w:lang w:val="es-MX"/>
        </w:rPr>
        <w:t xml:space="preserve">consultoría </w:t>
      </w:r>
      <w:r w:rsidRPr="002B47C2">
        <w:rPr>
          <w:rFonts w:ascii="Arial" w:hAnsi="Arial" w:cs="Arial"/>
          <w:color w:val="000000" w:themeColor="text1"/>
          <w:lang w:val="es-MX"/>
        </w:rPr>
        <w:t>de infraestructura mencionados, con el fin de que la entidad identifique aquellas en las cuales puede encuadrarse, de mejor forma, el objeto que pretende ejecutar y determinar los requisitos de experiencia exigibles</w:t>
      </w:r>
      <w:r w:rsidR="009620A8">
        <w:rPr>
          <w:rFonts w:ascii="Arial" w:hAnsi="Arial" w:cs="Arial"/>
          <w:color w:val="000000" w:themeColor="text1"/>
          <w:lang w:val="es-MX"/>
        </w:rPr>
        <w:t xml:space="preserve"> de acuerdo con la legislación aplicable en la materia, como lo es la Ley </w:t>
      </w:r>
      <w:r w:rsidR="003B3E5B">
        <w:rPr>
          <w:rFonts w:ascii="Arial" w:hAnsi="Arial" w:cs="Arial"/>
          <w:color w:val="000000" w:themeColor="text1"/>
          <w:lang w:val="es-MX"/>
        </w:rPr>
        <w:t xml:space="preserve">1682 de 2013 por la cual se adoptan medidas y disposiciones para los proyectos de infraestructura de transporte y se </w:t>
      </w:r>
      <w:r w:rsidR="00430C1D">
        <w:rPr>
          <w:rFonts w:ascii="Arial" w:hAnsi="Arial" w:cs="Arial"/>
          <w:color w:val="000000" w:themeColor="text1"/>
          <w:lang w:val="es-MX"/>
        </w:rPr>
        <w:t>conceden facultades extraordinarias</w:t>
      </w:r>
      <w:r w:rsidRPr="002B47C2">
        <w:rPr>
          <w:rFonts w:ascii="Arial" w:hAnsi="Arial" w:cs="Arial"/>
          <w:color w:val="000000" w:themeColor="text1"/>
          <w:lang w:val="es-MX"/>
        </w:rPr>
        <w:t xml:space="preserve">. Por ejemplo, para el tipo </w:t>
      </w:r>
      <w:r w:rsidR="005412D2">
        <w:rPr>
          <w:rFonts w:ascii="Arial" w:hAnsi="Arial" w:cs="Arial"/>
          <w:color w:val="000000" w:themeColor="text1"/>
          <w:lang w:val="es-MX"/>
        </w:rPr>
        <w:t xml:space="preserve">de consultoría </w:t>
      </w:r>
      <w:r w:rsidRPr="002B47C2">
        <w:rPr>
          <w:rFonts w:ascii="Arial" w:hAnsi="Arial" w:cs="Arial"/>
          <w:color w:val="000000" w:themeColor="text1"/>
          <w:lang w:val="es-MX"/>
        </w:rPr>
        <w:t>de infraestructura «</w:t>
      </w:r>
      <w:r w:rsidR="00093ECF">
        <w:rPr>
          <w:rFonts w:ascii="Arial" w:hAnsi="Arial" w:cs="Arial"/>
          <w:color w:val="000000" w:themeColor="text1"/>
          <w:lang w:val="es-MX"/>
        </w:rPr>
        <w:t>4</w:t>
      </w:r>
      <w:r w:rsidRPr="002B47C2">
        <w:rPr>
          <w:rFonts w:ascii="Arial" w:hAnsi="Arial" w:cs="Arial"/>
          <w:color w:val="000000" w:themeColor="text1"/>
          <w:lang w:val="es-MX"/>
        </w:rPr>
        <w:t>.</w:t>
      </w:r>
      <w:r w:rsidR="000C2200">
        <w:rPr>
          <w:rFonts w:ascii="Arial" w:hAnsi="Arial" w:cs="Arial"/>
          <w:color w:val="000000" w:themeColor="text1"/>
          <w:lang w:val="es-MX"/>
        </w:rPr>
        <w:t xml:space="preserve"> </w:t>
      </w:r>
      <w:r w:rsidR="000C2200" w:rsidRPr="000C2200">
        <w:rPr>
          <w:rFonts w:ascii="Arial" w:hAnsi="Arial" w:cs="Arial"/>
          <w:color w:val="000000" w:themeColor="text1"/>
          <w:lang w:val="es-MX"/>
        </w:rPr>
        <w:t>CONSULTORÍA PARA OBRAS EN VIAS PRIMARIAS O SECUNDARIAS O TERCIARIAS O URBANAS PARA ATENCIÓN, PREVENCIÓN O MITIGACIÓN DE EMERGENCIAS DIFERENTES A CONTRATACIÓN DIRECTA</w:t>
      </w:r>
      <w:r w:rsidRPr="002B47C2">
        <w:rPr>
          <w:rFonts w:ascii="Arial" w:hAnsi="Arial" w:cs="Arial"/>
          <w:color w:val="000000" w:themeColor="text1"/>
          <w:lang w:val="es-MX"/>
        </w:rPr>
        <w:t xml:space="preserve">», la entidad podrá verificar la experiencia requerida en su proceso, de acuerdo con las siguientes actividades: </w:t>
      </w:r>
      <w:r w:rsidR="00C7723A" w:rsidRPr="002B47C2">
        <w:rPr>
          <w:rFonts w:ascii="Arial" w:hAnsi="Arial" w:cs="Arial"/>
          <w:color w:val="000000" w:themeColor="text1"/>
          <w:lang w:val="es-MX"/>
        </w:rPr>
        <w:t>«</w:t>
      </w:r>
      <w:r w:rsidR="00C7723A" w:rsidRPr="006C2325">
        <w:rPr>
          <w:rFonts w:ascii="Arial" w:hAnsi="Arial" w:cs="Arial"/>
          <w:color w:val="000000" w:themeColor="text1"/>
          <w:lang w:val="es-MX"/>
        </w:rPr>
        <w:t xml:space="preserve">4.1 </w:t>
      </w:r>
      <w:r w:rsidR="00C7723A">
        <w:rPr>
          <w:rFonts w:ascii="Arial" w:hAnsi="Arial" w:cs="Arial"/>
          <w:color w:val="000000" w:themeColor="text1"/>
          <w:lang w:val="es-MX"/>
        </w:rPr>
        <w:t>P</w:t>
      </w:r>
      <w:r w:rsidR="00C7723A" w:rsidRPr="006C2325">
        <w:rPr>
          <w:rFonts w:ascii="Arial" w:hAnsi="Arial" w:cs="Arial"/>
          <w:color w:val="000000" w:themeColor="text1"/>
          <w:lang w:val="es-MX"/>
        </w:rPr>
        <w:t>royectos de consultoría para: atenci</w:t>
      </w:r>
      <w:r w:rsidR="00C7723A">
        <w:rPr>
          <w:rFonts w:ascii="Arial" w:hAnsi="Arial" w:cs="Arial"/>
          <w:color w:val="000000" w:themeColor="text1"/>
          <w:lang w:val="es-MX"/>
        </w:rPr>
        <w:t>ó</w:t>
      </w:r>
      <w:r w:rsidR="00C7723A" w:rsidRPr="006C2325">
        <w:rPr>
          <w:rFonts w:ascii="Arial" w:hAnsi="Arial" w:cs="Arial"/>
          <w:color w:val="000000" w:themeColor="text1"/>
          <w:lang w:val="es-MX"/>
        </w:rPr>
        <w:t>n o prevención o mitigación de sitios de emergencias mediante montaje o desmontaje puentes met</w:t>
      </w:r>
      <w:r w:rsidR="00C7723A">
        <w:rPr>
          <w:rFonts w:ascii="Arial" w:hAnsi="Arial" w:cs="Arial"/>
          <w:color w:val="000000" w:themeColor="text1"/>
          <w:lang w:val="es-MX"/>
        </w:rPr>
        <w:t>á</w:t>
      </w:r>
      <w:r w:rsidR="00C7723A" w:rsidRPr="006C2325">
        <w:rPr>
          <w:rFonts w:ascii="Arial" w:hAnsi="Arial" w:cs="Arial"/>
          <w:color w:val="000000" w:themeColor="text1"/>
          <w:lang w:val="es-MX"/>
        </w:rPr>
        <w:t>licos modulares</w:t>
      </w:r>
      <w:r w:rsidR="00C7723A" w:rsidRPr="002B47C2">
        <w:rPr>
          <w:rFonts w:ascii="Arial" w:hAnsi="Arial" w:cs="Arial"/>
          <w:color w:val="000000" w:themeColor="text1"/>
          <w:lang w:val="es-MX"/>
        </w:rPr>
        <w:t>», «</w:t>
      </w:r>
      <w:r w:rsidR="00C7723A" w:rsidRPr="00B23E3C">
        <w:rPr>
          <w:rFonts w:ascii="Arial" w:hAnsi="Arial" w:cs="Arial"/>
          <w:color w:val="000000" w:themeColor="text1"/>
          <w:lang w:val="es-MX"/>
        </w:rPr>
        <w:t xml:space="preserve">4.2 </w:t>
      </w:r>
      <w:r w:rsidR="00C7723A">
        <w:rPr>
          <w:rFonts w:ascii="Arial" w:hAnsi="Arial" w:cs="Arial"/>
          <w:color w:val="000000" w:themeColor="text1"/>
          <w:lang w:val="es-MX"/>
        </w:rPr>
        <w:t>P</w:t>
      </w:r>
      <w:r w:rsidR="00C7723A" w:rsidRPr="00B23E3C">
        <w:rPr>
          <w:rFonts w:ascii="Arial" w:hAnsi="Arial" w:cs="Arial"/>
          <w:color w:val="000000" w:themeColor="text1"/>
          <w:lang w:val="es-MX"/>
        </w:rPr>
        <w:t>royectos de consultoría para: atenci</w:t>
      </w:r>
      <w:r w:rsidR="00C7723A">
        <w:rPr>
          <w:rFonts w:ascii="Arial" w:hAnsi="Arial" w:cs="Arial"/>
          <w:color w:val="000000" w:themeColor="text1"/>
          <w:lang w:val="es-MX"/>
        </w:rPr>
        <w:t>ó</w:t>
      </w:r>
      <w:r w:rsidR="00C7723A" w:rsidRPr="00B23E3C">
        <w:rPr>
          <w:rFonts w:ascii="Arial" w:hAnsi="Arial" w:cs="Arial"/>
          <w:color w:val="000000" w:themeColor="text1"/>
          <w:lang w:val="es-MX"/>
        </w:rPr>
        <w:t>n o prevención o mitigación de sitios de emergencias mediante obras de estabilizaci</w:t>
      </w:r>
      <w:r w:rsidR="00C7723A">
        <w:rPr>
          <w:rFonts w:ascii="Arial" w:hAnsi="Arial" w:cs="Arial"/>
          <w:color w:val="000000" w:themeColor="text1"/>
          <w:lang w:val="es-MX"/>
        </w:rPr>
        <w:t>ó</w:t>
      </w:r>
      <w:r w:rsidR="00C7723A" w:rsidRPr="00B23E3C">
        <w:rPr>
          <w:rFonts w:ascii="Arial" w:hAnsi="Arial" w:cs="Arial"/>
          <w:color w:val="000000" w:themeColor="text1"/>
          <w:lang w:val="es-MX"/>
        </w:rPr>
        <w:t>n de taludes o recuperaci</w:t>
      </w:r>
      <w:r w:rsidR="00C7723A">
        <w:rPr>
          <w:rFonts w:ascii="Arial" w:hAnsi="Arial" w:cs="Arial"/>
          <w:color w:val="000000" w:themeColor="text1"/>
          <w:lang w:val="es-MX"/>
        </w:rPr>
        <w:t>ó</w:t>
      </w:r>
      <w:r w:rsidR="00C7723A" w:rsidRPr="00B23E3C">
        <w:rPr>
          <w:rFonts w:ascii="Arial" w:hAnsi="Arial" w:cs="Arial"/>
          <w:color w:val="000000" w:themeColor="text1"/>
          <w:lang w:val="es-MX"/>
        </w:rPr>
        <w:t>n de banca</w:t>
      </w:r>
      <w:r w:rsidR="00C7723A" w:rsidRPr="002B47C2">
        <w:rPr>
          <w:rFonts w:ascii="Arial" w:hAnsi="Arial" w:cs="Arial"/>
          <w:color w:val="000000" w:themeColor="text1"/>
          <w:lang w:val="es-MX"/>
        </w:rPr>
        <w:t>»</w:t>
      </w:r>
      <w:r w:rsidR="00C7723A">
        <w:rPr>
          <w:rFonts w:ascii="Arial" w:hAnsi="Arial" w:cs="Arial"/>
          <w:color w:val="000000" w:themeColor="text1"/>
          <w:lang w:val="es-MX"/>
        </w:rPr>
        <w:t xml:space="preserve">, </w:t>
      </w:r>
      <w:r w:rsidR="00C7723A" w:rsidRPr="002B47C2">
        <w:rPr>
          <w:rFonts w:ascii="Arial" w:hAnsi="Arial" w:cs="Arial"/>
          <w:color w:val="000000" w:themeColor="text1"/>
          <w:lang w:val="es-MX"/>
        </w:rPr>
        <w:t>«</w:t>
      </w:r>
      <w:r w:rsidR="00C7723A" w:rsidRPr="00594AC3">
        <w:rPr>
          <w:rFonts w:ascii="Arial" w:hAnsi="Arial" w:cs="Arial"/>
          <w:color w:val="000000" w:themeColor="text1"/>
          <w:lang w:val="es-MX"/>
        </w:rPr>
        <w:t xml:space="preserve">4.3 </w:t>
      </w:r>
      <w:r w:rsidR="00C7723A">
        <w:rPr>
          <w:rFonts w:ascii="Arial" w:hAnsi="Arial" w:cs="Arial"/>
          <w:color w:val="000000" w:themeColor="text1"/>
          <w:lang w:val="es-MX"/>
        </w:rPr>
        <w:t>P</w:t>
      </w:r>
      <w:r w:rsidR="00C7723A" w:rsidRPr="00594AC3">
        <w:rPr>
          <w:rFonts w:ascii="Arial" w:hAnsi="Arial" w:cs="Arial"/>
          <w:color w:val="000000" w:themeColor="text1"/>
          <w:lang w:val="es-MX"/>
        </w:rPr>
        <w:t>royectos de consultoría para: atenci</w:t>
      </w:r>
      <w:r w:rsidR="00C7723A">
        <w:rPr>
          <w:rFonts w:ascii="Arial" w:hAnsi="Arial" w:cs="Arial"/>
          <w:color w:val="000000" w:themeColor="text1"/>
          <w:lang w:val="es-MX"/>
        </w:rPr>
        <w:t>ó</w:t>
      </w:r>
      <w:r w:rsidR="00C7723A" w:rsidRPr="00594AC3">
        <w:rPr>
          <w:rFonts w:ascii="Arial" w:hAnsi="Arial" w:cs="Arial"/>
          <w:color w:val="000000" w:themeColor="text1"/>
          <w:lang w:val="es-MX"/>
        </w:rPr>
        <w:t>n o prevención o mitigación de sitios de emergencias mediante obras de remoción de derrumbes</w:t>
      </w:r>
      <w:r w:rsidR="00C7723A" w:rsidRPr="002B47C2">
        <w:rPr>
          <w:rFonts w:ascii="Arial" w:hAnsi="Arial" w:cs="Arial"/>
          <w:color w:val="000000" w:themeColor="text1"/>
          <w:lang w:val="es-MX"/>
        </w:rPr>
        <w:t>»</w:t>
      </w:r>
      <w:r w:rsidR="00C7723A">
        <w:rPr>
          <w:rFonts w:ascii="Arial" w:hAnsi="Arial" w:cs="Arial"/>
          <w:color w:val="000000" w:themeColor="text1"/>
          <w:lang w:val="es-MX"/>
        </w:rPr>
        <w:t>, «</w:t>
      </w:r>
      <w:r w:rsidR="00C7723A" w:rsidRPr="001B3C2C">
        <w:rPr>
          <w:rFonts w:ascii="Arial" w:hAnsi="Arial" w:cs="Arial"/>
          <w:color w:val="000000" w:themeColor="text1"/>
          <w:lang w:val="es-MX"/>
        </w:rPr>
        <w:t xml:space="preserve">4.4 </w:t>
      </w:r>
      <w:r w:rsidR="00C7723A">
        <w:rPr>
          <w:rFonts w:ascii="Arial" w:hAnsi="Arial" w:cs="Arial"/>
          <w:color w:val="000000" w:themeColor="text1"/>
          <w:lang w:val="es-MX"/>
        </w:rPr>
        <w:t>P</w:t>
      </w:r>
      <w:r w:rsidR="00C7723A" w:rsidRPr="001B3C2C">
        <w:rPr>
          <w:rFonts w:ascii="Arial" w:hAnsi="Arial" w:cs="Arial"/>
          <w:color w:val="000000" w:themeColor="text1"/>
          <w:lang w:val="es-MX"/>
        </w:rPr>
        <w:t>royectos de consultoría para: atenci</w:t>
      </w:r>
      <w:r w:rsidR="00C7723A">
        <w:rPr>
          <w:rFonts w:ascii="Arial" w:hAnsi="Arial" w:cs="Arial"/>
          <w:color w:val="000000" w:themeColor="text1"/>
          <w:lang w:val="es-MX"/>
        </w:rPr>
        <w:t>ó</w:t>
      </w:r>
      <w:r w:rsidR="00C7723A" w:rsidRPr="001B3C2C">
        <w:rPr>
          <w:rFonts w:ascii="Arial" w:hAnsi="Arial" w:cs="Arial"/>
          <w:color w:val="000000" w:themeColor="text1"/>
          <w:lang w:val="es-MX"/>
        </w:rPr>
        <w:t>n o prevención o mitigación de sitios de emergencias mediante obras hidráulicas</w:t>
      </w:r>
      <w:r w:rsidR="00C7723A">
        <w:rPr>
          <w:rFonts w:ascii="Arial" w:hAnsi="Arial" w:cs="Arial"/>
          <w:color w:val="000000" w:themeColor="text1"/>
          <w:lang w:val="es-MX"/>
        </w:rPr>
        <w:t>», «</w:t>
      </w:r>
      <w:r w:rsidR="00C7723A" w:rsidRPr="00EF7A97">
        <w:rPr>
          <w:rFonts w:ascii="Arial" w:hAnsi="Arial" w:cs="Arial"/>
          <w:color w:val="000000" w:themeColor="text1"/>
          <w:lang w:val="es-MX"/>
        </w:rPr>
        <w:t xml:space="preserve">4.5 </w:t>
      </w:r>
      <w:r w:rsidR="00C7723A">
        <w:rPr>
          <w:rFonts w:ascii="Arial" w:hAnsi="Arial" w:cs="Arial"/>
          <w:color w:val="000000" w:themeColor="text1"/>
          <w:lang w:val="es-MX"/>
        </w:rPr>
        <w:t>P</w:t>
      </w:r>
      <w:r w:rsidR="00C7723A" w:rsidRPr="00EF7A97">
        <w:rPr>
          <w:rFonts w:ascii="Arial" w:hAnsi="Arial" w:cs="Arial"/>
          <w:color w:val="000000" w:themeColor="text1"/>
          <w:lang w:val="es-MX"/>
        </w:rPr>
        <w:t>royectos de consultoría para: atenci</w:t>
      </w:r>
      <w:r w:rsidR="00C7723A">
        <w:rPr>
          <w:rFonts w:ascii="Arial" w:hAnsi="Arial" w:cs="Arial"/>
          <w:color w:val="000000" w:themeColor="text1"/>
          <w:lang w:val="es-MX"/>
        </w:rPr>
        <w:t>ó</w:t>
      </w:r>
      <w:r w:rsidR="00C7723A" w:rsidRPr="00EF7A97">
        <w:rPr>
          <w:rFonts w:ascii="Arial" w:hAnsi="Arial" w:cs="Arial"/>
          <w:color w:val="000000" w:themeColor="text1"/>
          <w:lang w:val="es-MX"/>
        </w:rPr>
        <w:t>n o prevención o mitigación de canales hidráulicos, cuerpos de agua canalizados mediante obras hidráulicas</w:t>
      </w:r>
      <w:r w:rsidR="00C7723A">
        <w:rPr>
          <w:rFonts w:ascii="Arial" w:hAnsi="Arial" w:cs="Arial"/>
          <w:color w:val="000000" w:themeColor="text1"/>
          <w:lang w:val="es-MX"/>
        </w:rPr>
        <w:t>» y/o «</w:t>
      </w:r>
      <w:r w:rsidR="00C7723A" w:rsidRPr="00EE159F">
        <w:rPr>
          <w:rFonts w:ascii="Arial" w:hAnsi="Arial" w:cs="Arial"/>
          <w:color w:val="000000" w:themeColor="text1"/>
          <w:lang w:val="es-MX"/>
        </w:rPr>
        <w:t xml:space="preserve">4.6 </w:t>
      </w:r>
      <w:r w:rsidR="00C7723A">
        <w:rPr>
          <w:rFonts w:ascii="Arial" w:hAnsi="Arial" w:cs="Arial"/>
          <w:color w:val="000000" w:themeColor="text1"/>
          <w:lang w:val="es-MX"/>
        </w:rPr>
        <w:t>P</w:t>
      </w:r>
      <w:r w:rsidR="00C7723A" w:rsidRPr="00EE159F">
        <w:rPr>
          <w:rFonts w:ascii="Arial" w:hAnsi="Arial" w:cs="Arial"/>
          <w:color w:val="000000" w:themeColor="text1"/>
          <w:lang w:val="es-MX"/>
        </w:rPr>
        <w:t>royectos de consultoría para: atenci</w:t>
      </w:r>
      <w:r w:rsidR="00C7723A">
        <w:rPr>
          <w:rFonts w:ascii="Arial" w:hAnsi="Arial" w:cs="Arial"/>
          <w:color w:val="000000" w:themeColor="text1"/>
          <w:lang w:val="es-MX"/>
        </w:rPr>
        <w:t>ó</w:t>
      </w:r>
      <w:r w:rsidR="00C7723A" w:rsidRPr="00EE159F">
        <w:rPr>
          <w:rFonts w:ascii="Arial" w:hAnsi="Arial" w:cs="Arial"/>
          <w:color w:val="000000" w:themeColor="text1"/>
          <w:lang w:val="es-MX"/>
        </w:rPr>
        <w:t>n o prevención o mitigación de emergencias para la atención de sitios críticos en puentes vehiculares o peatonales o férreos</w:t>
      </w:r>
      <w:r w:rsidR="00C7723A">
        <w:rPr>
          <w:rFonts w:ascii="Arial" w:hAnsi="Arial" w:cs="Arial"/>
          <w:color w:val="000000" w:themeColor="text1"/>
          <w:lang w:val="es-MX"/>
        </w:rPr>
        <w:t>»</w:t>
      </w:r>
      <w:r w:rsidR="00B96251">
        <w:rPr>
          <w:rFonts w:ascii="Arial" w:hAnsi="Arial" w:cs="Arial"/>
          <w:color w:val="000000" w:themeColor="text1"/>
          <w:lang w:val="es-MX"/>
        </w:rPr>
        <w:t xml:space="preserve">; sin perjuicio que </w:t>
      </w:r>
      <w:r w:rsidR="00B96251">
        <w:rPr>
          <w:rFonts w:ascii="Arial" w:hAnsi="Arial" w:cs="Arial"/>
          <w:color w:val="000000" w:themeColor="text1"/>
          <w:lang w:val="es-MX"/>
        </w:rPr>
        <w:lastRenderedPageBreak/>
        <w:t xml:space="preserve">las actividades que sean requeridas puedan enmarcarse en el </w:t>
      </w:r>
      <w:r w:rsidR="00B6767A">
        <w:rPr>
          <w:rFonts w:ascii="Arial" w:hAnsi="Arial" w:cs="Arial"/>
          <w:color w:val="000000" w:themeColor="text1"/>
          <w:lang w:val="es-MX"/>
        </w:rPr>
        <w:t xml:space="preserve">tipo de infraestructura </w:t>
      </w:r>
      <w:r w:rsidR="00D26742">
        <w:rPr>
          <w:rFonts w:ascii="Arial" w:hAnsi="Arial" w:cs="Arial"/>
          <w:color w:val="000000" w:themeColor="text1"/>
          <w:lang w:val="es-MX"/>
        </w:rPr>
        <w:t>«</w:t>
      </w:r>
      <w:r w:rsidR="00D26742" w:rsidRPr="00D26742">
        <w:rPr>
          <w:rFonts w:ascii="Arial" w:hAnsi="Arial" w:cs="Arial"/>
          <w:color w:val="000000" w:themeColor="text1"/>
          <w:lang w:val="es-MX"/>
        </w:rPr>
        <w:t>3. CONSULTORÍA PARA OBRAS MARÍTIMAS Y FLUVIALES</w:t>
      </w:r>
      <w:r w:rsidR="00D26742">
        <w:rPr>
          <w:rFonts w:ascii="Arial" w:hAnsi="Arial" w:cs="Arial"/>
          <w:color w:val="000000" w:themeColor="text1"/>
          <w:lang w:val="es-MX"/>
        </w:rPr>
        <w:t>» según el análisis técnico y jurídico realizado por la entidad.</w:t>
      </w:r>
    </w:p>
    <w:p w14:paraId="5C09149C" w14:textId="1B074A01" w:rsidR="00B06FE8" w:rsidRPr="002B47C2" w:rsidRDefault="00B06FE8" w:rsidP="00B06FE8">
      <w:pPr>
        <w:spacing w:before="120" w:after="0"/>
        <w:ind w:firstLine="708"/>
        <w:rPr>
          <w:rFonts w:ascii="Arial" w:hAnsi="Arial" w:cs="Arial"/>
          <w:color w:val="000000" w:themeColor="text1"/>
          <w:lang w:val="es-MX"/>
        </w:rPr>
      </w:pPr>
      <w:r w:rsidRPr="002B47C2">
        <w:rPr>
          <w:rFonts w:ascii="Arial" w:hAnsi="Arial" w:cs="Arial"/>
          <w:color w:val="000000" w:themeColor="text1"/>
          <w:lang w:val="es-MX"/>
        </w:rPr>
        <w:t xml:space="preserve">Por último, el documento establece los rangos dentro de los cuales se debe identificar el presupuesto del proceso de contratación. Estos abarcan las cuantías mínimas y máximas que son frecuentes en los procesos de contratación de </w:t>
      </w:r>
      <w:r w:rsidR="00D70C51">
        <w:rPr>
          <w:rFonts w:ascii="Arial" w:hAnsi="Arial" w:cs="Arial"/>
          <w:color w:val="000000" w:themeColor="text1"/>
          <w:lang w:val="es-MX"/>
        </w:rPr>
        <w:t xml:space="preserve">consultoría de estudios de ingeniería de </w:t>
      </w:r>
      <w:r w:rsidRPr="002B47C2">
        <w:rPr>
          <w:rFonts w:ascii="Arial" w:hAnsi="Arial" w:cs="Arial"/>
          <w:color w:val="000000" w:themeColor="text1"/>
          <w:lang w:val="es-MX"/>
        </w:rPr>
        <w:t xml:space="preserve">obra pública de infraestructura de transporte, y son resultado de las exigencias señaladas en el inciso 3 del parágrafo 7 del artículo 2 de la Ley 1150 de 2007 –modificado por el artículo 1 de la Ley 2022 de 2020–, conforme al cual las condiciones fijadas en los documentos tipo deben tener en cuenta la cuantía, la naturaleza y la especialidad de la contratación. </w:t>
      </w:r>
    </w:p>
    <w:p w14:paraId="636899DC" w14:textId="30E39C80" w:rsidR="00B06FE8" w:rsidRPr="002B47C2" w:rsidRDefault="00B06FE8" w:rsidP="00B06FE8">
      <w:pPr>
        <w:spacing w:before="120"/>
        <w:rPr>
          <w:rFonts w:ascii="Arial" w:hAnsi="Arial" w:cs="Arial"/>
          <w:color w:val="000000" w:themeColor="text1"/>
          <w:lang w:val="es-MX"/>
        </w:rPr>
      </w:pPr>
      <w:r w:rsidRPr="002B47C2">
        <w:rPr>
          <w:rFonts w:ascii="Arial" w:hAnsi="Arial" w:cs="Arial"/>
          <w:color w:val="000000" w:themeColor="text1"/>
          <w:lang w:val="es-MX"/>
        </w:rPr>
        <w:t>Estos tres factores determinan el requisito de experiencia establecido en los documentos tipo desarrollados por la Agencia Nacional de Contratación Pública – Colombia Compra Eficiente, e incluido en la Matriz 1, que es resultado del mandato establecido en la Ley 2022 de 2020, por lo que son de obligatorio cumplimiento. Igualmente, se encuentran sometidos a la regulación prevista en la Resolución</w:t>
      </w:r>
      <w:r w:rsidR="00322B2C" w:rsidRPr="00322B2C">
        <w:t xml:space="preserve"> </w:t>
      </w:r>
      <w:r w:rsidR="00322B2C" w:rsidRPr="00322B2C">
        <w:rPr>
          <w:rFonts w:ascii="Arial" w:hAnsi="Arial" w:cs="Arial"/>
          <w:color w:val="000000" w:themeColor="text1"/>
          <w:lang w:val="es-MX"/>
        </w:rPr>
        <w:t xml:space="preserve">No. 193 del 14 de julio de 2021 </w:t>
      </w:r>
      <w:r w:rsidRPr="002B47C2">
        <w:rPr>
          <w:rFonts w:ascii="Arial" w:hAnsi="Arial" w:cs="Arial"/>
          <w:color w:val="000000" w:themeColor="text1"/>
          <w:lang w:val="es-MX"/>
        </w:rPr>
        <w:t xml:space="preserve">y, por tanto, la regla general es que no pueden ser alterados, modificados o adicionados en su contenido. </w:t>
      </w:r>
    </w:p>
    <w:p w14:paraId="356892D3" w14:textId="47B610A4" w:rsidR="00B06FE8" w:rsidRPr="002B47C2" w:rsidRDefault="00B06FE8" w:rsidP="00A10C95">
      <w:pPr>
        <w:spacing w:before="120"/>
        <w:rPr>
          <w:rFonts w:ascii="Arial" w:hAnsi="Arial" w:cs="Arial"/>
          <w:color w:val="000000" w:themeColor="text1"/>
          <w:lang w:val="es-MX"/>
        </w:rPr>
      </w:pPr>
      <w:bookmarkStart w:id="6" w:name="_Hlk99112538"/>
      <w:r w:rsidRPr="002B47C2">
        <w:rPr>
          <w:rFonts w:ascii="Arial" w:hAnsi="Arial" w:cs="Arial"/>
          <w:color w:val="000000" w:themeColor="text1"/>
          <w:lang w:val="es-MX"/>
        </w:rPr>
        <w:t>Ahora bien, e</w:t>
      </w:r>
      <w:r w:rsidR="00033C62">
        <w:rPr>
          <w:rFonts w:ascii="Arial" w:hAnsi="Arial" w:cs="Arial"/>
          <w:color w:val="000000" w:themeColor="text1"/>
          <w:lang w:val="es-MX"/>
        </w:rPr>
        <w:t xml:space="preserve">n el numeral </w:t>
      </w:r>
      <w:r w:rsidR="00872FFF">
        <w:rPr>
          <w:rFonts w:ascii="Arial" w:hAnsi="Arial" w:cs="Arial"/>
          <w:color w:val="000000" w:themeColor="text1"/>
          <w:lang w:val="es-MX"/>
        </w:rPr>
        <w:t>«</w:t>
      </w:r>
      <w:r w:rsidR="00033C62">
        <w:rPr>
          <w:rFonts w:ascii="Arial" w:hAnsi="Arial" w:cs="Arial"/>
          <w:color w:val="000000" w:themeColor="text1"/>
          <w:lang w:val="es-MX"/>
        </w:rPr>
        <w:t>10.1</w:t>
      </w:r>
      <w:r w:rsidR="005A0BF4">
        <w:rPr>
          <w:rFonts w:ascii="Arial" w:hAnsi="Arial" w:cs="Arial"/>
          <w:color w:val="000000" w:themeColor="text1"/>
          <w:lang w:val="es-MX"/>
        </w:rPr>
        <w:t xml:space="preserve"> Acreditación de la experiencia del proponente» del </w:t>
      </w:r>
      <w:r w:rsidRPr="002B47C2">
        <w:rPr>
          <w:rFonts w:ascii="Arial" w:hAnsi="Arial" w:cs="Arial"/>
          <w:color w:val="000000" w:themeColor="text1"/>
          <w:lang w:val="es-MX"/>
        </w:rPr>
        <w:t>«documento base» o pliego tipo adoptado</w:t>
      </w:r>
      <w:r w:rsidR="005A0BF4">
        <w:rPr>
          <w:rFonts w:ascii="Arial" w:hAnsi="Arial" w:cs="Arial"/>
          <w:color w:val="000000" w:themeColor="text1"/>
          <w:lang w:val="es-MX"/>
        </w:rPr>
        <w:t xml:space="preserve">, se establece que </w:t>
      </w:r>
      <w:r w:rsidR="007F33F9">
        <w:rPr>
          <w:rFonts w:ascii="Arial" w:hAnsi="Arial" w:cs="Arial"/>
          <w:color w:val="000000" w:themeColor="text1"/>
          <w:lang w:val="es-MX"/>
        </w:rPr>
        <w:t xml:space="preserve">la entidad </w:t>
      </w:r>
      <w:r w:rsidR="00D62FE1">
        <w:rPr>
          <w:rFonts w:ascii="Arial" w:hAnsi="Arial" w:cs="Arial"/>
          <w:color w:val="000000" w:themeColor="text1"/>
          <w:lang w:val="es-MX"/>
        </w:rPr>
        <w:t>«</w:t>
      </w:r>
      <w:r w:rsidR="007F33F9">
        <w:rPr>
          <w:rFonts w:ascii="Arial" w:hAnsi="Arial" w:cs="Arial"/>
          <w:color w:val="000000" w:themeColor="text1"/>
          <w:lang w:val="es-MX"/>
        </w:rPr>
        <w:t xml:space="preserve">debe justificar </w:t>
      </w:r>
      <w:r w:rsidR="00AD09B2">
        <w:rPr>
          <w:rFonts w:ascii="Arial" w:hAnsi="Arial" w:cs="Arial"/>
          <w:color w:val="000000" w:themeColor="text1"/>
          <w:lang w:val="es-MX"/>
        </w:rPr>
        <w:t xml:space="preserve">expresa y suficientemente la </w:t>
      </w:r>
      <w:r w:rsidR="000D4040">
        <w:rPr>
          <w:rFonts w:ascii="Arial" w:hAnsi="Arial" w:cs="Arial"/>
          <w:color w:val="000000" w:themeColor="text1"/>
          <w:lang w:val="es-MX"/>
        </w:rPr>
        <w:t xml:space="preserve">implementación de las condiciones para un proyecto de consultoría de baja-media, o alta </w:t>
      </w:r>
      <w:r w:rsidR="00E127AB">
        <w:rPr>
          <w:rFonts w:ascii="Arial" w:hAnsi="Arial" w:cs="Arial"/>
          <w:color w:val="000000" w:themeColor="text1"/>
          <w:lang w:val="es-MX"/>
        </w:rPr>
        <w:t xml:space="preserve">complejidad técnica según la “Matriz </w:t>
      </w:r>
      <w:r w:rsidR="00D62FE1">
        <w:rPr>
          <w:rFonts w:ascii="Arial" w:hAnsi="Arial" w:cs="Arial"/>
          <w:color w:val="000000" w:themeColor="text1"/>
          <w:lang w:val="es-MX"/>
        </w:rPr>
        <w:t>1 – Experiencia”»</w:t>
      </w:r>
      <w:r w:rsidRPr="002B47C2">
        <w:rPr>
          <w:rFonts w:ascii="Arial" w:hAnsi="Arial" w:cs="Arial"/>
          <w:color w:val="000000" w:themeColor="text1"/>
          <w:lang w:val="es-MX"/>
        </w:rPr>
        <w:t xml:space="preserve">. En otras palabras, </w:t>
      </w:r>
      <w:r w:rsidR="00525BC3">
        <w:rPr>
          <w:rFonts w:ascii="Arial" w:hAnsi="Arial" w:cs="Arial"/>
          <w:color w:val="000000" w:themeColor="text1"/>
          <w:lang w:val="es-MX"/>
        </w:rPr>
        <w:t>en los documentos tipo de consu</w:t>
      </w:r>
      <w:r w:rsidR="00524660">
        <w:rPr>
          <w:rFonts w:ascii="Arial" w:hAnsi="Arial" w:cs="Arial"/>
          <w:color w:val="000000" w:themeColor="text1"/>
          <w:lang w:val="es-MX"/>
        </w:rPr>
        <w:t xml:space="preserve">ltoría de estudios de ingeniería de infraestructura de transporte, </w:t>
      </w:r>
      <w:r w:rsidRPr="002B47C2">
        <w:rPr>
          <w:rFonts w:ascii="Arial" w:hAnsi="Arial" w:cs="Arial"/>
          <w:color w:val="000000" w:themeColor="text1"/>
          <w:lang w:val="es-MX"/>
        </w:rPr>
        <w:t xml:space="preserve">se </w:t>
      </w:r>
      <w:r w:rsidR="00524660">
        <w:rPr>
          <w:rFonts w:ascii="Arial" w:hAnsi="Arial" w:cs="Arial"/>
          <w:color w:val="000000" w:themeColor="text1"/>
          <w:lang w:val="es-MX"/>
        </w:rPr>
        <w:t>contemplan</w:t>
      </w:r>
      <w:r w:rsidRPr="002B47C2">
        <w:rPr>
          <w:rFonts w:ascii="Arial" w:hAnsi="Arial" w:cs="Arial"/>
          <w:color w:val="000000" w:themeColor="text1"/>
          <w:lang w:val="es-MX"/>
        </w:rPr>
        <w:t xml:space="preserve"> dos matrices de experiencia: i) para proyectos de baja o media complejidad técnica y ii) para proyectos de alta complejidad técnica. En ese orden, la entidad deberá establecer si aplica la Matriz 1 de proyectos de complejidad media-baja o la de proyectos de complejidad alta, para luego subsumir el objeto contractual en alguno de los tipos de</w:t>
      </w:r>
      <w:r w:rsidR="009A13F2">
        <w:rPr>
          <w:rFonts w:ascii="Arial" w:hAnsi="Arial" w:cs="Arial"/>
          <w:color w:val="000000" w:themeColor="text1"/>
          <w:lang w:val="es-MX"/>
        </w:rPr>
        <w:t xml:space="preserve"> consultoría de</w:t>
      </w:r>
      <w:r w:rsidRPr="002B47C2">
        <w:rPr>
          <w:rFonts w:ascii="Arial" w:hAnsi="Arial" w:cs="Arial"/>
          <w:color w:val="000000" w:themeColor="text1"/>
          <w:lang w:val="es-MX"/>
        </w:rPr>
        <w:t xml:space="preserve"> obra y actividades incluidos en la matriz, estableciendo los requisitos de experiencia exigibles según la cantidad de SMMLV del presupuesto oficial del respectivo proceso de contratación. </w:t>
      </w:r>
    </w:p>
    <w:p w14:paraId="07D5662C" w14:textId="0A11B7A5" w:rsidR="00B06FE8" w:rsidRPr="002B47C2" w:rsidRDefault="00B06FE8" w:rsidP="00B06FE8">
      <w:pPr>
        <w:spacing w:before="120" w:after="0"/>
        <w:ind w:firstLine="708"/>
        <w:rPr>
          <w:rFonts w:ascii="Arial" w:hAnsi="Arial" w:cs="Arial"/>
          <w:color w:val="000000" w:themeColor="text1"/>
          <w:lang w:val="es-MX"/>
        </w:rPr>
      </w:pPr>
      <w:r w:rsidRPr="002B47C2">
        <w:rPr>
          <w:rFonts w:ascii="Arial" w:hAnsi="Arial" w:cs="Arial"/>
          <w:color w:val="000000" w:themeColor="text1"/>
          <w:lang w:val="es-MX"/>
        </w:rPr>
        <w:t xml:space="preserve">De esta manera, la entidad estatal que adelanta un proceso de contratación </w:t>
      </w:r>
      <w:r w:rsidR="003D767A">
        <w:rPr>
          <w:rFonts w:ascii="Arial" w:hAnsi="Arial" w:cs="Arial"/>
          <w:color w:val="000000" w:themeColor="text1"/>
          <w:lang w:val="es-MX"/>
        </w:rPr>
        <w:t xml:space="preserve">de consultoría de estudios de ingeniería de </w:t>
      </w:r>
      <w:r w:rsidR="00D63C4B">
        <w:rPr>
          <w:rFonts w:ascii="Arial" w:hAnsi="Arial" w:cs="Arial"/>
          <w:color w:val="000000" w:themeColor="text1"/>
          <w:lang w:val="es-MX"/>
        </w:rPr>
        <w:t>transporte</w:t>
      </w:r>
      <w:r w:rsidRPr="002B47C2">
        <w:rPr>
          <w:rFonts w:ascii="Arial" w:hAnsi="Arial" w:cs="Arial"/>
          <w:color w:val="000000" w:themeColor="text1"/>
          <w:lang w:val="es-MX"/>
        </w:rPr>
        <w:t xml:space="preserve"> debe definir la experiencia exigible, teniendo en cuenta las condiciones fijadas en la Matriz 1, </w:t>
      </w:r>
      <w:bookmarkEnd w:id="6"/>
      <w:r w:rsidRPr="002B47C2">
        <w:rPr>
          <w:rFonts w:ascii="Arial" w:hAnsi="Arial" w:cs="Arial"/>
          <w:color w:val="000000" w:themeColor="text1"/>
          <w:lang w:val="es-MX"/>
        </w:rPr>
        <w:t>de acuerdo con los siguientes pasos:</w:t>
      </w:r>
    </w:p>
    <w:p w14:paraId="20BD5E55" w14:textId="77777777" w:rsidR="00B06FE8" w:rsidRPr="002B47C2" w:rsidRDefault="00B06FE8" w:rsidP="00B06FE8">
      <w:pPr>
        <w:spacing w:before="120" w:after="0"/>
        <w:ind w:firstLine="708"/>
        <w:rPr>
          <w:rFonts w:ascii="Arial" w:hAnsi="Arial" w:cs="Arial"/>
          <w:color w:val="000000" w:themeColor="text1"/>
          <w:lang w:val="es-MX"/>
        </w:rPr>
      </w:pPr>
      <w:r w:rsidRPr="002B47C2">
        <w:rPr>
          <w:rFonts w:ascii="Arial" w:hAnsi="Arial" w:cs="Arial"/>
          <w:color w:val="000000" w:themeColor="text1"/>
          <w:lang w:val="es-MX"/>
        </w:rPr>
        <w:t>a) Establecer si se trata de un proyecto de complejidad baja-media o alta, y en función de ello establecer la Matriz 1 aplicable.</w:t>
      </w:r>
    </w:p>
    <w:p w14:paraId="1BD8AD23" w14:textId="06DDB8F5" w:rsidR="00B06FE8" w:rsidRPr="002B47C2" w:rsidRDefault="00B06FE8" w:rsidP="00B06FE8">
      <w:pPr>
        <w:spacing w:before="120" w:after="0"/>
        <w:ind w:firstLine="708"/>
        <w:rPr>
          <w:rFonts w:ascii="Arial" w:hAnsi="Arial" w:cs="Arial"/>
          <w:color w:val="000000" w:themeColor="text1"/>
          <w:lang w:val="es-MX"/>
        </w:rPr>
      </w:pPr>
      <w:r w:rsidRPr="002B47C2">
        <w:rPr>
          <w:rFonts w:ascii="Arial" w:hAnsi="Arial" w:cs="Arial"/>
          <w:color w:val="000000" w:themeColor="text1"/>
          <w:lang w:val="es-MX"/>
        </w:rPr>
        <w:lastRenderedPageBreak/>
        <w:t xml:space="preserve"> b) Identificada la respectiva Matriz 1, la entidad deberá determinar el tipo</w:t>
      </w:r>
      <w:r w:rsidR="0028135D">
        <w:rPr>
          <w:rFonts w:ascii="Arial" w:hAnsi="Arial" w:cs="Arial"/>
          <w:color w:val="000000" w:themeColor="text1"/>
          <w:lang w:val="es-MX"/>
        </w:rPr>
        <w:t xml:space="preserve"> </w:t>
      </w:r>
      <w:r w:rsidRPr="002B47C2">
        <w:rPr>
          <w:rFonts w:ascii="Arial" w:hAnsi="Arial" w:cs="Arial"/>
          <w:color w:val="000000" w:themeColor="text1"/>
          <w:lang w:val="es-MX"/>
        </w:rPr>
        <w:t xml:space="preserve">de infraestructura sobre el cual recae </w:t>
      </w:r>
      <w:r w:rsidR="008F3926">
        <w:rPr>
          <w:rFonts w:ascii="Arial" w:hAnsi="Arial" w:cs="Arial"/>
          <w:color w:val="000000" w:themeColor="text1"/>
          <w:lang w:val="es-MX"/>
        </w:rPr>
        <w:t xml:space="preserve">la consultoría </w:t>
      </w:r>
      <w:r w:rsidRPr="002B47C2">
        <w:rPr>
          <w:rFonts w:ascii="Arial" w:hAnsi="Arial" w:cs="Arial"/>
          <w:color w:val="000000" w:themeColor="text1"/>
          <w:lang w:val="es-MX"/>
        </w:rPr>
        <w:t>a ejecutar. Al respecto, esta matriz contiene ocho (8) secciones que corresponden a los tipos de</w:t>
      </w:r>
      <w:r w:rsidR="008F3926">
        <w:rPr>
          <w:rFonts w:ascii="Arial" w:hAnsi="Arial" w:cs="Arial"/>
          <w:color w:val="000000" w:themeColor="text1"/>
          <w:lang w:val="es-MX"/>
        </w:rPr>
        <w:t xml:space="preserve"> consultoría de </w:t>
      </w:r>
      <w:r w:rsidRPr="002B47C2">
        <w:rPr>
          <w:rFonts w:ascii="Arial" w:hAnsi="Arial" w:cs="Arial"/>
          <w:color w:val="000000" w:themeColor="text1"/>
          <w:lang w:val="es-MX"/>
        </w:rPr>
        <w:t>infraestructura estandarizados.</w:t>
      </w:r>
    </w:p>
    <w:p w14:paraId="6276CB6A" w14:textId="3A8701D2" w:rsidR="00B06FE8" w:rsidRPr="002B47C2" w:rsidRDefault="00B06FE8" w:rsidP="00B06FE8">
      <w:pPr>
        <w:spacing w:before="120" w:after="0"/>
        <w:ind w:firstLine="708"/>
        <w:rPr>
          <w:rFonts w:ascii="Arial" w:hAnsi="Arial" w:cs="Arial"/>
          <w:color w:val="000000" w:themeColor="text1"/>
          <w:lang w:val="es-MX"/>
        </w:rPr>
      </w:pPr>
      <w:r w:rsidRPr="002B47C2">
        <w:rPr>
          <w:rFonts w:ascii="Arial" w:hAnsi="Arial" w:cs="Arial"/>
          <w:color w:val="000000" w:themeColor="text1"/>
          <w:lang w:val="es-MX"/>
        </w:rPr>
        <w:t>c) Definido el tipo de</w:t>
      </w:r>
      <w:r w:rsidR="008F3926">
        <w:rPr>
          <w:rFonts w:ascii="Arial" w:hAnsi="Arial" w:cs="Arial"/>
          <w:color w:val="000000" w:themeColor="text1"/>
          <w:lang w:val="es-MX"/>
        </w:rPr>
        <w:t xml:space="preserve"> consultoría de</w:t>
      </w:r>
      <w:r w:rsidRPr="002B47C2">
        <w:rPr>
          <w:rFonts w:ascii="Arial" w:hAnsi="Arial" w:cs="Arial"/>
          <w:color w:val="000000" w:themeColor="text1"/>
          <w:lang w:val="es-MX"/>
        </w:rPr>
        <w:t xml:space="preserve"> infraestructura, identificar la </w:t>
      </w:r>
      <w:r w:rsidRPr="002B47C2">
        <w:rPr>
          <w:rFonts w:ascii="Arial" w:eastAsia="Calibri" w:hAnsi="Arial" w:cs="Arial"/>
          <w:color w:val="000000" w:themeColor="text1"/>
          <w:lang w:val="es-MX"/>
        </w:rPr>
        <w:t>«</w:t>
      </w:r>
      <w:r w:rsidRPr="002B47C2">
        <w:rPr>
          <w:rFonts w:ascii="Arial" w:hAnsi="Arial" w:cs="Arial"/>
          <w:color w:val="000000" w:themeColor="text1"/>
          <w:lang w:val="es-MX"/>
        </w:rPr>
        <w:t>ACTIVIDAD A CONTRATAR</w:t>
      </w:r>
      <w:r w:rsidRPr="002B47C2">
        <w:rPr>
          <w:rFonts w:ascii="Arial" w:eastAsia="Calibri" w:hAnsi="Arial" w:cs="Arial"/>
          <w:color w:val="000000" w:themeColor="text1"/>
          <w:lang w:val="es-MX"/>
        </w:rPr>
        <w:t>»</w:t>
      </w:r>
      <w:r w:rsidRPr="002B47C2">
        <w:rPr>
          <w:rFonts w:ascii="Arial" w:hAnsi="Arial" w:cs="Arial"/>
          <w:color w:val="000000" w:themeColor="text1"/>
          <w:lang w:val="es-MX"/>
        </w:rPr>
        <w:t xml:space="preserve"> acorde con la Matriz 1. </w:t>
      </w:r>
    </w:p>
    <w:p w14:paraId="02668817" w14:textId="77777777" w:rsidR="00B06FE8" w:rsidRPr="002B47C2" w:rsidRDefault="00B06FE8" w:rsidP="00B06FE8">
      <w:pPr>
        <w:spacing w:before="120" w:after="0"/>
        <w:ind w:firstLine="708"/>
        <w:rPr>
          <w:rFonts w:ascii="Arial" w:hAnsi="Arial" w:cs="Arial"/>
          <w:color w:val="000000" w:themeColor="text1"/>
          <w:lang w:val="es-MX"/>
        </w:rPr>
      </w:pPr>
      <w:r w:rsidRPr="002B47C2">
        <w:rPr>
          <w:rFonts w:ascii="Arial" w:hAnsi="Arial" w:cs="Arial"/>
          <w:color w:val="000000" w:themeColor="text1"/>
          <w:lang w:val="es-MX"/>
        </w:rPr>
        <w:t xml:space="preserve">d) Luego, identificar el rango en el cual se encuentra el proceso de contratación de acuerdo con el presupuesto oficial. </w:t>
      </w:r>
    </w:p>
    <w:p w14:paraId="327F8105" w14:textId="77777777" w:rsidR="00B06FE8" w:rsidRPr="002B47C2" w:rsidRDefault="00B06FE8" w:rsidP="00B06FE8">
      <w:pPr>
        <w:spacing w:before="120"/>
        <w:rPr>
          <w:rFonts w:ascii="Arial" w:hAnsi="Arial" w:cs="Arial"/>
          <w:color w:val="000000" w:themeColor="text1"/>
          <w:lang w:val="es-MX"/>
        </w:rPr>
      </w:pPr>
      <w:r w:rsidRPr="002B47C2">
        <w:rPr>
          <w:rFonts w:ascii="Arial" w:hAnsi="Arial" w:cs="Arial"/>
          <w:color w:val="000000" w:themeColor="text1"/>
          <w:lang w:val="es-MX"/>
        </w:rPr>
        <w:t xml:space="preserve">e) Identificar la </w:t>
      </w:r>
      <w:r w:rsidRPr="002B47C2">
        <w:rPr>
          <w:rFonts w:ascii="Arial" w:eastAsia="Calibri" w:hAnsi="Arial" w:cs="Arial"/>
          <w:color w:val="000000" w:themeColor="text1"/>
          <w:lang w:val="es-MX"/>
        </w:rPr>
        <w:t>«</w:t>
      </w:r>
      <w:r w:rsidRPr="002B47C2">
        <w:rPr>
          <w:rFonts w:ascii="Arial" w:hAnsi="Arial" w:cs="Arial"/>
          <w:color w:val="000000" w:themeColor="text1"/>
          <w:lang w:val="es-MX"/>
        </w:rPr>
        <w:t>experiencia general</w:t>
      </w:r>
      <w:r w:rsidRPr="002B47C2">
        <w:rPr>
          <w:rFonts w:ascii="Arial" w:eastAsia="Calibri" w:hAnsi="Arial" w:cs="Arial"/>
          <w:color w:val="000000" w:themeColor="text1"/>
          <w:lang w:val="es-MX"/>
        </w:rPr>
        <w:t>»</w:t>
      </w:r>
      <w:r w:rsidRPr="002B47C2">
        <w:rPr>
          <w:rFonts w:ascii="Arial" w:hAnsi="Arial" w:cs="Arial"/>
          <w:color w:val="000000" w:themeColor="text1"/>
          <w:lang w:val="es-MX"/>
        </w:rPr>
        <w:t xml:space="preserve"> exigible acorde con la Matriz 1, teniendo en cuenta la actividad a contratar y el rango de la cuantía del Proceso de Contratación. </w:t>
      </w:r>
    </w:p>
    <w:p w14:paraId="60856C2B" w14:textId="12A8B333" w:rsidR="00B06FE8" w:rsidRPr="002B47C2" w:rsidRDefault="00B06FE8" w:rsidP="00B06FE8">
      <w:pPr>
        <w:rPr>
          <w:rFonts w:ascii="Arial" w:hAnsi="Arial" w:cs="Arial"/>
          <w:color w:val="000000" w:themeColor="text1"/>
          <w:lang w:val="es-MX"/>
        </w:rPr>
      </w:pPr>
      <w:r w:rsidRPr="002B47C2">
        <w:rPr>
          <w:rFonts w:ascii="Arial" w:hAnsi="Arial" w:cs="Arial"/>
          <w:color w:val="000000" w:themeColor="text1"/>
          <w:lang w:val="es-MX"/>
        </w:rPr>
        <w:t xml:space="preserve">f) Identificar la </w:t>
      </w:r>
      <w:r w:rsidRPr="002B47C2">
        <w:rPr>
          <w:rFonts w:ascii="Arial" w:eastAsia="Calibri" w:hAnsi="Arial" w:cs="Arial"/>
          <w:color w:val="000000" w:themeColor="text1"/>
          <w:lang w:val="es-MX"/>
        </w:rPr>
        <w:t>«</w:t>
      </w:r>
      <w:r w:rsidRPr="002B47C2">
        <w:rPr>
          <w:rFonts w:ascii="Arial" w:hAnsi="Arial" w:cs="Arial"/>
          <w:color w:val="000000" w:themeColor="text1"/>
          <w:lang w:val="es-MX"/>
        </w:rPr>
        <w:t>experiencia específica</w:t>
      </w:r>
      <w:r w:rsidRPr="002B47C2">
        <w:rPr>
          <w:rFonts w:ascii="Arial" w:eastAsia="Calibri" w:hAnsi="Arial" w:cs="Arial"/>
          <w:color w:val="000000" w:themeColor="text1"/>
          <w:lang w:val="es-MX"/>
        </w:rPr>
        <w:t>»</w:t>
      </w:r>
      <w:r w:rsidRPr="002B47C2">
        <w:rPr>
          <w:rFonts w:ascii="Arial" w:hAnsi="Arial" w:cs="Arial"/>
          <w:color w:val="000000" w:themeColor="text1"/>
          <w:lang w:val="es-MX"/>
        </w:rPr>
        <w:t xml:space="preserve"> exigible y el porcentaje de dimensionamiento que se puede solicitar acorde con la </w:t>
      </w:r>
      <w:r w:rsidR="00745999">
        <w:rPr>
          <w:rFonts w:ascii="Arial" w:hAnsi="Arial" w:cs="Arial"/>
          <w:color w:val="000000" w:themeColor="text1"/>
          <w:lang w:val="es-MX"/>
        </w:rPr>
        <w:t>magnitud requerida</w:t>
      </w:r>
      <w:r w:rsidRPr="002B47C2">
        <w:rPr>
          <w:rFonts w:ascii="Arial" w:hAnsi="Arial" w:cs="Arial"/>
          <w:color w:val="000000" w:themeColor="text1"/>
          <w:lang w:val="es-MX"/>
        </w:rPr>
        <w:t xml:space="preserve">, de acuerdo con la cuantía del proceso de contratación. Cuando en la </w:t>
      </w:r>
      <w:r w:rsidRPr="002B47C2">
        <w:rPr>
          <w:rFonts w:ascii="Arial" w:eastAsia="Calibri" w:hAnsi="Arial" w:cs="Arial"/>
          <w:color w:val="000000" w:themeColor="text1"/>
          <w:lang w:val="es-MX"/>
        </w:rPr>
        <w:t>«</w:t>
      </w:r>
      <w:r w:rsidRPr="002B47C2">
        <w:rPr>
          <w:rFonts w:ascii="Arial" w:hAnsi="Arial" w:cs="Arial"/>
          <w:color w:val="000000" w:themeColor="text1"/>
          <w:lang w:val="es-MX"/>
        </w:rPr>
        <w:t>experiencia específica</w:t>
      </w:r>
      <w:r w:rsidRPr="002B47C2">
        <w:rPr>
          <w:rFonts w:ascii="Arial" w:eastAsia="Calibri" w:hAnsi="Arial" w:cs="Arial"/>
          <w:color w:val="000000" w:themeColor="text1"/>
          <w:lang w:val="es-MX"/>
        </w:rPr>
        <w:t>»</w:t>
      </w:r>
      <w:r w:rsidRPr="002B47C2">
        <w:rPr>
          <w:rFonts w:ascii="Arial" w:hAnsi="Arial" w:cs="Arial"/>
          <w:color w:val="000000" w:themeColor="text1"/>
          <w:lang w:val="es-MX"/>
        </w:rPr>
        <w:t xml:space="preserve"> se indiquen las siglas </w:t>
      </w:r>
      <w:r w:rsidRPr="002B47C2">
        <w:rPr>
          <w:rFonts w:ascii="Arial" w:hAnsi="Arial" w:cs="Arial"/>
          <w:i/>
          <w:iCs/>
          <w:color w:val="000000" w:themeColor="text1"/>
          <w:lang w:val="es-MX"/>
        </w:rPr>
        <w:t>N.A,</w:t>
      </w:r>
      <w:r w:rsidRPr="002B47C2">
        <w:rPr>
          <w:rFonts w:ascii="Arial" w:hAnsi="Arial" w:cs="Arial"/>
          <w:color w:val="000000" w:themeColor="text1"/>
          <w:lang w:val="es-MX"/>
        </w:rPr>
        <w:t xml:space="preserve"> significa que la entidad estatal no puede exigir a los proponentes experiencia específica en los procesos de contratación. </w:t>
      </w:r>
    </w:p>
    <w:p w14:paraId="6B401D5E" w14:textId="5EA271C7" w:rsidR="00806646" w:rsidRPr="002B47C2" w:rsidRDefault="00B06FE8" w:rsidP="003D1091">
      <w:pPr>
        <w:rPr>
          <w:rFonts w:ascii="Arial" w:hAnsi="Arial" w:cs="Arial"/>
          <w:color w:val="000000" w:themeColor="text1"/>
          <w:lang w:val="es-MX"/>
        </w:rPr>
      </w:pPr>
      <w:r w:rsidRPr="002B47C2">
        <w:rPr>
          <w:rFonts w:ascii="Arial" w:hAnsi="Arial" w:cs="Arial"/>
          <w:color w:val="000000" w:themeColor="text1"/>
          <w:lang w:val="es-MX"/>
        </w:rPr>
        <w:t xml:space="preserve">g) Establecidos los requisitos de experiencia exigibles, la entidad deberá consignarlos en los apartados grises entre corchetes del literal A del numeral </w:t>
      </w:r>
      <w:r w:rsidR="009C73B4">
        <w:rPr>
          <w:rFonts w:ascii="Arial" w:hAnsi="Arial" w:cs="Arial"/>
          <w:color w:val="000000" w:themeColor="text1"/>
          <w:lang w:val="es-MX"/>
        </w:rPr>
        <w:t>10.1.1</w:t>
      </w:r>
      <w:r w:rsidRPr="002B47C2">
        <w:rPr>
          <w:rFonts w:ascii="Arial" w:hAnsi="Arial" w:cs="Arial"/>
          <w:color w:val="000000" w:themeColor="text1"/>
          <w:lang w:val="es-MX"/>
        </w:rPr>
        <w:t xml:space="preserve"> del documento base, para que los oferentes puedan conocer los requisitos de experiencia general y específica exigidos por la entidad.</w:t>
      </w:r>
    </w:p>
    <w:p w14:paraId="3F43F6D6" w14:textId="3674E679" w:rsidR="00B06FE8" w:rsidRPr="002B47C2" w:rsidRDefault="00B06FE8" w:rsidP="004B03A3">
      <w:pPr>
        <w:rPr>
          <w:rFonts w:ascii="Arial" w:eastAsia="Calibri" w:hAnsi="Arial" w:cs="Arial"/>
          <w:color w:val="000000" w:themeColor="text1"/>
        </w:rPr>
      </w:pPr>
      <w:r w:rsidRPr="002B47C2">
        <w:rPr>
          <w:rFonts w:ascii="Arial" w:eastAsia="Calibri" w:hAnsi="Arial" w:cs="Arial"/>
          <w:color w:val="000000" w:themeColor="text1"/>
        </w:rPr>
        <w:t xml:space="preserve">Es importante advertir que los </w:t>
      </w:r>
      <w:r w:rsidRPr="002B47C2">
        <w:rPr>
          <w:rFonts w:ascii="Arial" w:hAnsi="Arial" w:cs="Arial"/>
          <w:color w:val="000000" w:themeColor="text1"/>
          <w:lang w:val="es-MX"/>
        </w:rPr>
        <w:t xml:space="preserve">aspectos entre corchetes </w:t>
      </w:r>
      <w:r w:rsidRPr="002B47C2">
        <w:rPr>
          <w:rFonts w:ascii="Arial" w:eastAsia="Calibri" w:hAnsi="Arial" w:cs="Arial"/>
          <w:color w:val="000000" w:themeColor="text1"/>
        </w:rPr>
        <w:t>«[ ]» pueden modificarse  por la entidad contratante, según los lineamientos establecidos para tal fin por los documentos tipo.</w:t>
      </w:r>
      <w:r w:rsidR="004B03A3">
        <w:rPr>
          <w:rFonts w:ascii="Arial" w:hAnsi="Arial" w:cs="Arial"/>
          <w:color w:val="000000" w:themeColor="text1"/>
          <w:lang w:val="es-MX"/>
        </w:rPr>
        <w:t xml:space="preserve"> </w:t>
      </w:r>
      <w:r w:rsidRPr="002B47C2">
        <w:rPr>
          <w:rFonts w:ascii="Arial" w:eastAsia="Calibri" w:hAnsi="Arial" w:cs="Arial"/>
          <w:color w:val="000000" w:themeColor="text1"/>
        </w:rPr>
        <w:t xml:space="preserve">En </w:t>
      </w:r>
      <w:r w:rsidR="00C07A77">
        <w:rPr>
          <w:rFonts w:ascii="Arial" w:eastAsia="Calibri" w:hAnsi="Arial" w:cs="Arial"/>
          <w:color w:val="000000" w:themeColor="text1"/>
        </w:rPr>
        <w:t>todo caso</w:t>
      </w:r>
      <w:r w:rsidRPr="002B47C2">
        <w:rPr>
          <w:rFonts w:ascii="Arial" w:eastAsia="Calibri" w:hAnsi="Arial" w:cs="Arial"/>
          <w:color w:val="000000" w:themeColor="text1"/>
        </w:rPr>
        <w:t>, la «experiencia general» y la «experiencia específica» requerida es el resultado de aplicar los parámetros obligatorios fijados en los documentos tipo, de acuerdo con el tipo de</w:t>
      </w:r>
      <w:r w:rsidR="004B03A3">
        <w:rPr>
          <w:rFonts w:ascii="Arial" w:eastAsia="Calibri" w:hAnsi="Arial" w:cs="Arial"/>
          <w:color w:val="000000" w:themeColor="text1"/>
        </w:rPr>
        <w:t xml:space="preserve"> consultoría de</w:t>
      </w:r>
      <w:r w:rsidRPr="002B47C2">
        <w:rPr>
          <w:rFonts w:ascii="Arial" w:eastAsia="Calibri" w:hAnsi="Arial" w:cs="Arial"/>
          <w:color w:val="000000" w:themeColor="text1"/>
        </w:rPr>
        <w:t xml:space="preserve"> infraestructura</w:t>
      </w:r>
      <w:r w:rsidR="00D70C51">
        <w:rPr>
          <w:rFonts w:ascii="Arial" w:eastAsia="Calibri" w:hAnsi="Arial" w:cs="Arial"/>
          <w:color w:val="000000" w:themeColor="text1"/>
        </w:rPr>
        <w:t xml:space="preserve"> de transporte</w:t>
      </w:r>
      <w:r w:rsidRPr="002B47C2">
        <w:rPr>
          <w:rFonts w:ascii="Arial" w:eastAsia="Calibri" w:hAnsi="Arial" w:cs="Arial"/>
          <w:color w:val="000000" w:themeColor="text1"/>
        </w:rPr>
        <w:t xml:space="preserve">, la actividad a contratar y la cuantía del proceso de contratación. Por lo tanto, no se podrán exigir actividades o cantidades distintas a las previstas en la «Matriz 1 – Experiencia» o restringir a una actividad específica cuando dicho formato determine que la experiencia puede acreditarse mediante una de varias actividades. </w:t>
      </w:r>
    </w:p>
    <w:p w14:paraId="2D61361A" w14:textId="1308E0BD" w:rsidR="00B06FE8" w:rsidRPr="002B47C2" w:rsidRDefault="00B06FE8" w:rsidP="00B06FE8">
      <w:pPr>
        <w:ind w:firstLine="708"/>
        <w:rPr>
          <w:rFonts w:ascii="Arial" w:eastAsia="Calibri" w:hAnsi="Arial" w:cs="Arial"/>
          <w:color w:val="000000" w:themeColor="text1"/>
          <w:lang w:val="es-ES"/>
        </w:rPr>
      </w:pPr>
      <w:r w:rsidRPr="002B47C2">
        <w:rPr>
          <w:rFonts w:ascii="Arial" w:eastAsia="Calibri" w:hAnsi="Arial" w:cs="Arial"/>
          <w:color w:val="000000" w:themeColor="text1"/>
        </w:rPr>
        <w:t>De esta forma</w:t>
      </w:r>
      <w:r w:rsidRPr="002B47C2">
        <w:rPr>
          <w:rFonts w:ascii="Arial" w:eastAsia="Calibri" w:hAnsi="Arial" w:cs="Arial"/>
          <w:color w:val="000000" w:themeColor="text1"/>
          <w:lang w:val="es-ES"/>
        </w:rPr>
        <w:t>, cuando la entidad estatal –de acuerdo con el alcance del objeto contractual– identifique el tipo</w:t>
      </w:r>
      <w:r w:rsidR="007A424D">
        <w:rPr>
          <w:rFonts w:ascii="Arial" w:eastAsia="Calibri" w:hAnsi="Arial" w:cs="Arial"/>
          <w:color w:val="000000" w:themeColor="text1"/>
          <w:lang w:val="es-ES"/>
        </w:rPr>
        <w:t xml:space="preserve"> de consultoría</w:t>
      </w:r>
      <w:r w:rsidRPr="002B47C2">
        <w:rPr>
          <w:rFonts w:ascii="Arial" w:eastAsia="Calibri" w:hAnsi="Arial" w:cs="Arial"/>
          <w:color w:val="000000" w:themeColor="text1"/>
          <w:lang w:val="es-ES"/>
        </w:rPr>
        <w:t xml:space="preserve"> de infraestructura, la actividad a contratar y la cuantía del proceso de contratación, debe determinar la «experiencia general» y la «experiencia específica» con fundamento en la Matriz 1, conforme a la metodología previamente expuesta. Esta experiencia debe solicitarse en las condiciones allí previstas, con la descripción completa que corresponda a la experiencia general y específica.</w:t>
      </w:r>
    </w:p>
    <w:p w14:paraId="2BA326FF" w14:textId="77777777" w:rsidR="00BA52AC" w:rsidRDefault="002E6ACA" w:rsidP="00BA52AC">
      <w:pPr>
        <w:rPr>
          <w:rFonts w:ascii="Arial" w:eastAsia="Calibri" w:hAnsi="Arial" w:cs="Arial"/>
          <w:color w:val="000000" w:themeColor="text1"/>
          <w:lang w:val="es-MX"/>
        </w:rPr>
      </w:pPr>
      <w:r>
        <w:rPr>
          <w:rFonts w:ascii="Arial" w:eastAsia="Calibri" w:hAnsi="Arial" w:cs="Arial"/>
          <w:color w:val="000000" w:themeColor="text1"/>
          <w:lang w:val="es-MX"/>
        </w:rPr>
        <w:lastRenderedPageBreak/>
        <w:t>En todo caso</w:t>
      </w:r>
      <w:r w:rsidR="00B06FE8" w:rsidRPr="002B47C2">
        <w:rPr>
          <w:rFonts w:ascii="Arial" w:eastAsia="Calibri" w:hAnsi="Arial" w:cs="Arial"/>
          <w:color w:val="000000" w:themeColor="text1"/>
          <w:lang w:val="es-MX"/>
        </w:rPr>
        <w:t xml:space="preserve">, se reitera que, para el procedimiento </w:t>
      </w:r>
      <w:r w:rsidR="00895066">
        <w:rPr>
          <w:rFonts w:ascii="Arial" w:eastAsia="Calibri" w:hAnsi="Arial" w:cs="Arial"/>
          <w:color w:val="000000" w:themeColor="text1"/>
          <w:lang w:val="es-MX"/>
        </w:rPr>
        <w:t>de concurso de méritos</w:t>
      </w:r>
      <w:r w:rsidR="00B06FE8" w:rsidRPr="002B47C2">
        <w:rPr>
          <w:rFonts w:ascii="Arial" w:eastAsia="Calibri" w:hAnsi="Arial" w:cs="Arial"/>
          <w:color w:val="000000" w:themeColor="text1"/>
          <w:lang w:val="es-MX"/>
        </w:rPr>
        <w:t xml:space="preserve">, el artículo 3 de la Resolución No. </w:t>
      </w:r>
      <w:r w:rsidR="00986382">
        <w:rPr>
          <w:rFonts w:ascii="Arial" w:eastAsia="Calibri" w:hAnsi="Arial" w:cs="Arial"/>
          <w:color w:val="000000" w:themeColor="text1"/>
          <w:lang w:val="es-MX"/>
        </w:rPr>
        <w:t>193</w:t>
      </w:r>
      <w:r w:rsidR="00B06FE8" w:rsidRPr="002B47C2">
        <w:rPr>
          <w:rFonts w:ascii="Arial" w:eastAsia="Calibri" w:hAnsi="Arial" w:cs="Arial"/>
          <w:color w:val="000000" w:themeColor="text1"/>
          <w:lang w:val="es-MX"/>
        </w:rPr>
        <w:t xml:space="preserve"> del </w:t>
      </w:r>
      <w:r w:rsidR="00FA381A">
        <w:rPr>
          <w:rFonts w:ascii="Arial" w:eastAsia="Calibri" w:hAnsi="Arial" w:cs="Arial"/>
          <w:color w:val="000000" w:themeColor="text1"/>
          <w:lang w:val="es-MX"/>
        </w:rPr>
        <w:t>14</w:t>
      </w:r>
      <w:r w:rsidR="00B06FE8" w:rsidRPr="002B47C2">
        <w:rPr>
          <w:rFonts w:ascii="Arial" w:eastAsia="Calibri" w:hAnsi="Arial" w:cs="Arial"/>
          <w:color w:val="000000" w:themeColor="text1"/>
          <w:lang w:val="es-MX"/>
        </w:rPr>
        <w:t xml:space="preserve"> de </w:t>
      </w:r>
      <w:r w:rsidR="00FA381A">
        <w:rPr>
          <w:rFonts w:ascii="Arial" w:eastAsia="Calibri" w:hAnsi="Arial" w:cs="Arial"/>
          <w:color w:val="000000" w:themeColor="text1"/>
          <w:lang w:val="es-MX"/>
        </w:rPr>
        <w:t>julio</w:t>
      </w:r>
      <w:r w:rsidR="00B06FE8" w:rsidRPr="002B47C2">
        <w:rPr>
          <w:rFonts w:ascii="Arial" w:eastAsia="Calibri" w:hAnsi="Arial" w:cs="Arial"/>
          <w:color w:val="000000" w:themeColor="text1"/>
          <w:lang w:val="es-MX"/>
        </w:rPr>
        <w:t xml:space="preserve"> de 202</w:t>
      </w:r>
      <w:r w:rsidR="00FA381A">
        <w:rPr>
          <w:rFonts w:ascii="Arial" w:eastAsia="Calibri" w:hAnsi="Arial" w:cs="Arial"/>
          <w:color w:val="000000" w:themeColor="text1"/>
          <w:lang w:val="es-MX"/>
        </w:rPr>
        <w:t>1</w:t>
      </w:r>
      <w:r w:rsidR="00B06FE8" w:rsidRPr="002B47C2">
        <w:rPr>
          <w:rFonts w:ascii="Arial" w:eastAsia="Calibri" w:hAnsi="Arial" w:cs="Arial"/>
          <w:color w:val="000000" w:themeColor="text1"/>
          <w:lang w:val="es-MX"/>
        </w:rPr>
        <w:t xml:space="preserve"> dispone la inalterabilidad de los documentos tipo, la cual consiste en que las entidades estatales no pueden incluir o modificar en los </w:t>
      </w:r>
      <w:r w:rsidR="00B06FE8" w:rsidRPr="002B47C2">
        <w:rPr>
          <w:rFonts w:ascii="Arial" w:eastAsia="Calibri" w:hAnsi="Arial" w:cs="Arial"/>
          <w:i/>
          <w:iCs/>
          <w:color w:val="000000" w:themeColor="text1"/>
          <w:lang w:val="es-MX"/>
        </w:rPr>
        <w:t>Documentos del Proceso</w:t>
      </w:r>
      <w:r w:rsidR="00B06FE8" w:rsidRPr="002B47C2">
        <w:rPr>
          <w:rFonts w:ascii="Arial" w:eastAsia="Calibri" w:hAnsi="Arial" w:cs="Arial"/>
          <w:color w:val="000000" w:themeColor="text1"/>
          <w:lang w:val="es-MX"/>
        </w:rPr>
        <w:t xml:space="preserve"> las condiciones habilitantes, los factores técnicos y económicos de escogencia y los sistemas de ponderación distintos a los señalados en los documentos tipo. En consecuencia, las condiciones establecidas en los documentos que adopte Colombia Compra Eficiente, en ejercicio del mandato establecido en el artículo 1 de la Ley 2022 de 2020,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elaborar sus pliegos de condiciones, deben transcribir completamente la experiencia tal como se solicita en la Matriz 1, sin perjuicio de que haya unos aspectos que se encuentran en corchetes, los cuales sí se permiten modificar.</w:t>
      </w:r>
      <w:bookmarkStart w:id="7" w:name="_Hlk96331557"/>
    </w:p>
    <w:bookmarkEnd w:id="7"/>
    <w:p w14:paraId="4147FB55" w14:textId="32A4D0C4" w:rsidR="00D100F9" w:rsidRPr="00456CF5" w:rsidRDefault="00D100F9" w:rsidP="00456CF5">
      <w:pPr>
        <w:shd w:val="clear" w:color="auto" w:fill="FFFFFF"/>
        <w:spacing w:before="120" w:after="0"/>
        <w:rPr>
          <w:rFonts w:ascii="Arial" w:hAnsi="Arial" w:cs="Arial"/>
          <w:color w:val="0D0D0D"/>
          <w:bdr w:val="none" w:sz="0" w:space="0" w:color="auto" w:frame="1"/>
          <w:lang w:eastAsia="es-CO"/>
        </w:rPr>
      </w:pPr>
      <w:r>
        <w:rPr>
          <w:rFonts w:ascii="Arial" w:eastAsia="Calibri" w:hAnsi="Arial" w:cs="Arial"/>
          <w:color w:val="000000" w:themeColor="text1"/>
        </w:rPr>
        <w:t>Sin perjuicio de las aclaraciones anteriores</w:t>
      </w:r>
      <w:r w:rsidRPr="005C4DDA">
        <w:rPr>
          <w:rFonts w:ascii="Arial" w:hAnsi="Arial" w:cs="Arial"/>
        </w:rPr>
        <w:t xml:space="preserve">, debe advertirse que es la entidad contratante, al momento de </w:t>
      </w:r>
      <w:r>
        <w:rPr>
          <w:rFonts w:ascii="Arial" w:hAnsi="Arial" w:cs="Arial"/>
        </w:rPr>
        <w:t xml:space="preserve">adelantar sus actividades </w:t>
      </w:r>
      <w:r w:rsidR="009C19A7">
        <w:rPr>
          <w:rFonts w:ascii="Arial" w:hAnsi="Arial" w:cs="Arial"/>
        </w:rPr>
        <w:t xml:space="preserve">previas </w:t>
      </w:r>
      <w:r>
        <w:rPr>
          <w:rFonts w:ascii="Arial" w:hAnsi="Arial" w:cs="Arial"/>
        </w:rPr>
        <w:t>de planeación de cada proceso contractual</w:t>
      </w:r>
      <w:r w:rsidRPr="005C4DDA">
        <w:rPr>
          <w:rFonts w:ascii="Arial" w:hAnsi="Arial" w:cs="Arial"/>
        </w:rPr>
        <w:t xml:space="preserve">, quien debe determinar si de acuerdo con las particularidades del </w:t>
      </w:r>
      <w:r>
        <w:rPr>
          <w:rFonts w:ascii="Arial" w:hAnsi="Arial" w:cs="Arial"/>
        </w:rPr>
        <w:t>contrato a ejecutar</w:t>
      </w:r>
      <w:r w:rsidRPr="005C4DDA">
        <w:rPr>
          <w:rFonts w:ascii="Arial" w:hAnsi="Arial" w:cs="Arial"/>
        </w:rPr>
        <w:t xml:space="preserve">, este encaja o no dentro de alguna de las actividades de la Matriz </w:t>
      </w:r>
      <w:r w:rsidR="00270881">
        <w:rPr>
          <w:rFonts w:ascii="Arial" w:hAnsi="Arial" w:cs="Arial"/>
        </w:rPr>
        <w:t>de Experiencia</w:t>
      </w:r>
      <w:r w:rsidRPr="005C4DDA">
        <w:rPr>
          <w:rFonts w:ascii="Arial" w:hAnsi="Arial" w:cs="Arial"/>
        </w:rPr>
        <w:t>, y si en consecuencia deben aplicarse o no</w:t>
      </w:r>
      <w:r w:rsidR="00E92A1F">
        <w:rPr>
          <w:rFonts w:ascii="Arial" w:hAnsi="Arial" w:cs="Arial"/>
        </w:rPr>
        <w:t xml:space="preserve"> los documentos tipo de consultoría de estudios de infraestructura de transporte</w:t>
      </w:r>
      <w:r w:rsidR="00340941">
        <w:rPr>
          <w:rFonts w:ascii="Arial" w:hAnsi="Arial" w:cs="Arial"/>
        </w:rPr>
        <w:t>, identificando el tipo de infraestructura que se pretende realizar la consultoría</w:t>
      </w:r>
      <w:r w:rsidR="00E92A1F">
        <w:rPr>
          <w:rFonts w:ascii="Arial" w:hAnsi="Arial" w:cs="Arial"/>
        </w:rPr>
        <w:t xml:space="preserve">. Esto, </w:t>
      </w:r>
      <w:r w:rsidRPr="005C4DDA">
        <w:rPr>
          <w:rFonts w:ascii="Arial" w:hAnsi="Arial" w:cs="Arial"/>
        </w:rPr>
        <w:t xml:space="preserve">sin que pueda </w:t>
      </w:r>
      <w:r w:rsidRPr="00584F4E">
        <w:rPr>
          <w:rFonts w:ascii="Arial" w:hAnsi="Arial" w:cs="Arial"/>
        </w:rPr>
        <w:t>apartarse de</w:t>
      </w:r>
      <w:r w:rsidRPr="005C4DDA">
        <w:rPr>
          <w:rFonts w:ascii="Arial" w:hAnsi="Arial" w:cs="Arial"/>
        </w:rPr>
        <w:t xml:space="preserve"> su aplicación cuando materialmente el objeto a contratar corresponde con alguna actividad contemplada en dicha matriz</w:t>
      </w:r>
      <w:r w:rsidR="00456CF5">
        <w:rPr>
          <w:rFonts w:ascii="Arial" w:hAnsi="Arial" w:cs="Arial"/>
        </w:rPr>
        <w:t>.</w:t>
      </w:r>
      <w:r w:rsidR="00F43B53">
        <w:rPr>
          <w:rFonts w:ascii="Arial" w:hAnsi="Arial" w:cs="Arial"/>
        </w:rPr>
        <w:t xml:space="preserve"> </w:t>
      </w:r>
      <w:r w:rsidR="000345FC">
        <w:rPr>
          <w:rFonts w:ascii="Arial" w:hAnsi="Arial" w:cs="Arial"/>
        </w:rPr>
        <w:t>En aquellos eventos en que el contrato a ejecutar no se enmarque en algunas de las actividades contempladas en la matriz de experiencia, no procederá la aplicación obligatoria de los documentos tipo, pues, como se expresó</w:t>
      </w:r>
      <w:r w:rsidR="004461D3">
        <w:rPr>
          <w:rFonts w:ascii="Arial" w:hAnsi="Arial" w:cs="Arial"/>
        </w:rPr>
        <w:t>,</w:t>
      </w:r>
      <w:r w:rsidR="000345FC">
        <w:rPr>
          <w:rFonts w:ascii="Arial" w:hAnsi="Arial" w:cs="Arial"/>
        </w:rPr>
        <w:t xml:space="preserve"> dicha matriz delimita el ámbito de aplicación de </w:t>
      </w:r>
      <w:r w:rsidR="004461D3">
        <w:rPr>
          <w:rFonts w:ascii="Arial" w:hAnsi="Arial" w:cs="Arial"/>
        </w:rPr>
        <w:t>dichos documentos</w:t>
      </w:r>
      <w:r w:rsidR="00FA3D26">
        <w:rPr>
          <w:rFonts w:ascii="Arial" w:hAnsi="Arial" w:cs="Arial"/>
        </w:rPr>
        <w:t xml:space="preserve">; sin perjuicio de que </w:t>
      </w:r>
      <w:r w:rsidR="004461D3">
        <w:rPr>
          <w:rFonts w:ascii="Arial" w:hAnsi="Arial" w:cs="Arial"/>
        </w:rPr>
        <w:t>en estos últimos eventos se decida facultativamente aplicar los documentos tipo</w:t>
      </w:r>
      <w:r w:rsidR="00E05C0B">
        <w:rPr>
          <w:rFonts w:ascii="Arial" w:hAnsi="Arial" w:cs="Arial"/>
        </w:rPr>
        <w:t xml:space="preserve"> como una </w:t>
      </w:r>
      <w:r w:rsidR="004461D3">
        <w:rPr>
          <w:rFonts w:ascii="Arial" w:hAnsi="Arial" w:cs="Arial"/>
        </w:rPr>
        <w:t>buena práctica contractual</w:t>
      </w:r>
      <w:r w:rsidR="00377152">
        <w:rPr>
          <w:rFonts w:ascii="Arial" w:hAnsi="Arial" w:cs="Arial"/>
        </w:rPr>
        <w:t>.</w:t>
      </w:r>
    </w:p>
    <w:bookmarkEnd w:id="3"/>
    <w:p w14:paraId="1A31C84B" w14:textId="77777777" w:rsidR="00B06FE8" w:rsidRPr="002B47C2" w:rsidRDefault="00B06FE8" w:rsidP="00B06FE8">
      <w:pPr>
        <w:spacing w:after="0"/>
        <w:ind w:firstLine="0"/>
        <w:rPr>
          <w:rFonts w:ascii="Arial" w:eastAsia="Calibri" w:hAnsi="Arial" w:cs="Arial"/>
          <w:color w:val="000000" w:themeColor="text1"/>
          <w:lang w:val="es-MX"/>
        </w:rPr>
      </w:pPr>
    </w:p>
    <w:p w14:paraId="02DD9ECC" w14:textId="77777777" w:rsidR="00B06FE8" w:rsidRPr="002B47C2" w:rsidRDefault="00B06FE8" w:rsidP="00B06FE8">
      <w:pPr>
        <w:pStyle w:val="Prrafodelista"/>
        <w:numPr>
          <w:ilvl w:val="0"/>
          <w:numId w:val="1"/>
        </w:numPr>
        <w:tabs>
          <w:tab w:val="left" w:pos="284"/>
        </w:tabs>
        <w:spacing w:line="276" w:lineRule="auto"/>
        <w:ind w:left="0" w:firstLine="0"/>
        <w:jc w:val="both"/>
        <w:rPr>
          <w:rFonts w:ascii="Arial" w:eastAsia="Calibri" w:hAnsi="Arial" w:cs="Arial"/>
          <w:color w:val="000000" w:themeColor="text1"/>
          <w:sz w:val="22"/>
          <w:lang w:val="es-CO"/>
        </w:rPr>
      </w:pPr>
      <w:r w:rsidRPr="002B47C2">
        <w:rPr>
          <w:rFonts w:ascii="Arial" w:eastAsia="Calibri" w:hAnsi="Arial" w:cs="Arial"/>
          <w:b/>
          <w:color w:val="000000" w:themeColor="text1"/>
          <w:sz w:val="22"/>
          <w:lang w:val="es-CO"/>
        </w:rPr>
        <w:t>Respuesta</w:t>
      </w:r>
    </w:p>
    <w:p w14:paraId="0B219868" w14:textId="77777777" w:rsidR="00B06FE8" w:rsidRPr="002B47C2" w:rsidRDefault="00B06FE8" w:rsidP="00B06FE8">
      <w:pPr>
        <w:tabs>
          <w:tab w:val="left" w:pos="1306"/>
        </w:tabs>
        <w:spacing w:after="0"/>
        <w:ind w:right="758" w:firstLine="0"/>
        <w:rPr>
          <w:rFonts w:ascii="Arial" w:eastAsia="Calibri" w:hAnsi="Arial" w:cs="Arial"/>
          <w:iCs/>
          <w:color w:val="000000" w:themeColor="text1"/>
        </w:rPr>
      </w:pPr>
      <w:r w:rsidRPr="002B47C2">
        <w:rPr>
          <w:rFonts w:ascii="Arial" w:eastAsia="Calibri" w:hAnsi="Arial" w:cs="Arial"/>
          <w:iCs/>
          <w:color w:val="000000" w:themeColor="text1"/>
        </w:rPr>
        <w:tab/>
      </w:r>
    </w:p>
    <w:p w14:paraId="22E08C47" w14:textId="59EFF5F7" w:rsidR="00B06FE8" w:rsidRPr="00F23176" w:rsidRDefault="005A6184" w:rsidP="00B06FE8">
      <w:pPr>
        <w:tabs>
          <w:tab w:val="left" w:pos="426"/>
        </w:tabs>
        <w:spacing w:after="0" w:line="240" w:lineRule="auto"/>
        <w:ind w:left="652" w:right="709" w:firstLine="0"/>
        <w:rPr>
          <w:rFonts w:ascii="Arial" w:eastAsia="Calibri" w:hAnsi="Arial" w:cs="Arial"/>
          <w:color w:val="000000" w:themeColor="text1"/>
          <w:sz w:val="21"/>
          <w:szCs w:val="21"/>
        </w:rPr>
      </w:pPr>
      <w:r w:rsidRPr="00F23176">
        <w:rPr>
          <w:rFonts w:ascii="Arial" w:eastAsia="Calibri" w:hAnsi="Arial" w:cs="Arial"/>
          <w:color w:val="000000" w:themeColor="text1"/>
          <w:sz w:val="21"/>
          <w:szCs w:val="21"/>
          <w:lang w:eastAsia="es-ES_tradnl"/>
        </w:rPr>
        <w:t>«</w:t>
      </w:r>
      <w:r w:rsidR="00DB5D0B" w:rsidRPr="00F23176">
        <w:rPr>
          <w:rFonts w:ascii="Arial" w:eastAsia="Calibri" w:hAnsi="Arial" w:cs="Arial"/>
          <w:color w:val="000000" w:themeColor="text1"/>
          <w:sz w:val="21"/>
          <w:szCs w:val="21"/>
          <w:lang w:eastAsia="es-ES_tradnl"/>
        </w:rPr>
        <w:t>¿Deben las entidades estatales utilizar los Documentos tipo de consultoría de estudios de ingeniería de infraestructura de Transporte, para la contratación de estudios y diseños de obras de mitigación de riesgo (Levantamiento topográfico y batimétrico, Estudios Geológicos, Geomorfológicos, Estudio geotécnico, Estudios hidrológicos e hidráulicos, Diseño estructural, Gestión predial y servidumbres, Estudio ambiental) toda vez que estos no se realizan para garantizar la navegabilidad, sino para la prevención de inundaciones por desbordamiento de ríos?»</w:t>
      </w:r>
    </w:p>
    <w:p w14:paraId="1B7236A2" w14:textId="77777777" w:rsidR="00B06FE8" w:rsidRPr="00F23176" w:rsidRDefault="00B06FE8" w:rsidP="00B06FE8">
      <w:pPr>
        <w:tabs>
          <w:tab w:val="left" w:pos="426"/>
        </w:tabs>
        <w:spacing w:after="0"/>
        <w:ind w:right="-93"/>
        <w:rPr>
          <w:rFonts w:ascii="Arial" w:eastAsia="Calibri" w:hAnsi="Arial" w:cs="Arial"/>
          <w:color w:val="000000" w:themeColor="text1"/>
          <w:sz w:val="21"/>
          <w:szCs w:val="21"/>
        </w:rPr>
      </w:pPr>
    </w:p>
    <w:p w14:paraId="3EB63678" w14:textId="5E1C7317" w:rsidR="006E3403" w:rsidRPr="00F23176" w:rsidRDefault="00310FA5" w:rsidP="00AC0A10">
      <w:pPr>
        <w:ind w:firstLine="0"/>
        <w:rPr>
          <w:rFonts w:ascii="Arial" w:hAnsi="Arial" w:cs="Arial"/>
          <w:color w:val="000000" w:themeColor="text1"/>
          <w:lang w:val="es-MX"/>
        </w:rPr>
      </w:pPr>
      <w:bookmarkStart w:id="8" w:name="_Hlk91506550"/>
      <w:r w:rsidRPr="00F23176">
        <w:rPr>
          <w:rFonts w:ascii="Arial" w:hAnsi="Arial" w:cs="Arial"/>
          <w:color w:val="000000" w:themeColor="text1"/>
          <w:lang w:val="es-MX"/>
        </w:rPr>
        <w:t xml:space="preserve">La </w:t>
      </w:r>
      <w:r w:rsidR="0024161D" w:rsidRPr="00F23176">
        <w:rPr>
          <w:rFonts w:ascii="Arial" w:hAnsi="Arial" w:cs="Arial"/>
          <w:color w:val="000000" w:themeColor="text1"/>
          <w:lang w:val="es-MX"/>
        </w:rPr>
        <w:t>«</w:t>
      </w:r>
      <w:r w:rsidRPr="00F23176">
        <w:rPr>
          <w:rFonts w:ascii="Arial" w:hAnsi="Arial" w:cs="Arial"/>
          <w:color w:val="000000" w:themeColor="text1"/>
          <w:lang w:val="es-MX"/>
        </w:rPr>
        <w:t>Matriz 1 – Experiencia</w:t>
      </w:r>
      <w:r w:rsidR="0024161D" w:rsidRPr="00F23176">
        <w:rPr>
          <w:rFonts w:ascii="Arial" w:hAnsi="Arial" w:cs="Arial"/>
          <w:color w:val="000000" w:themeColor="text1"/>
          <w:lang w:val="es-MX"/>
        </w:rPr>
        <w:t>»</w:t>
      </w:r>
      <w:r w:rsidRPr="00F23176">
        <w:rPr>
          <w:rFonts w:ascii="Arial" w:hAnsi="Arial" w:cs="Arial"/>
          <w:color w:val="000000" w:themeColor="text1"/>
          <w:lang w:val="es-MX"/>
        </w:rPr>
        <w:t xml:space="preserve"> </w:t>
      </w:r>
      <w:r w:rsidR="002733E2" w:rsidRPr="00F23176">
        <w:rPr>
          <w:rFonts w:ascii="Arial" w:hAnsi="Arial" w:cs="Arial"/>
          <w:color w:val="000000" w:themeColor="text1"/>
          <w:lang w:val="es-MX"/>
        </w:rPr>
        <w:t xml:space="preserve">de los documentos tipo de consultoría de estudios de ingeniería de transporte, </w:t>
      </w:r>
      <w:r w:rsidRPr="00F23176">
        <w:rPr>
          <w:rFonts w:ascii="Arial" w:hAnsi="Arial" w:cs="Arial"/>
          <w:color w:val="000000" w:themeColor="text1"/>
          <w:lang w:val="es-MX"/>
        </w:rPr>
        <w:t xml:space="preserve">está constituida por ocho (8) tipos de consultoría a obras de infraestructura </w:t>
      </w:r>
      <w:r w:rsidRPr="00F23176">
        <w:rPr>
          <w:rFonts w:ascii="Arial" w:hAnsi="Arial" w:cs="Arial"/>
          <w:color w:val="000000" w:themeColor="text1"/>
          <w:lang w:val="es-MX"/>
        </w:rPr>
        <w:lastRenderedPageBreak/>
        <w:t xml:space="preserve">de transporte, identificadas con un número y su descripción, los cuales son: 1) consultoría a obras en vías primarias o secundarias, 2) consultoría a obras en vías terciarias, 3) consultoría a obras marítimas y fluviales, 4) consultoría a obras en vías primarias o secundarias o terciarias para atención, prevención o mitigación de emergencias diferentes a contratación directa, 5) consultoría a obras férreas, 6) consultoría a obras de infraestructura vial urbana, 7) consultoría a obras en puentes y 8) consultoría a obras aeroportuarias. </w:t>
      </w:r>
      <w:r w:rsidR="00A33C2E" w:rsidRPr="00F23176">
        <w:rPr>
          <w:rFonts w:ascii="Arial" w:hAnsi="Arial" w:cs="Arial"/>
          <w:color w:val="000000" w:themeColor="text1"/>
          <w:lang w:val="es-MX"/>
        </w:rPr>
        <w:t>A su vez, cada uno de los tipos de consultorías detalla las actividades</w:t>
      </w:r>
      <w:r w:rsidR="00FA3D26" w:rsidRPr="00F23176">
        <w:rPr>
          <w:rFonts w:ascii="Arial" w:hAnsi="Arial" w:cs="Arial"/>
          <w:color w:val="000000" w:themeColor="text1"/>
          <w:lang w:val="es-MX"/>
        </w:rPr>
        <w:t xml:space="preserve"> o proyectos</w:t>
      </w:r>
      <w:r w:rsidR="00A33C2E" w:rsidRPr="00F23176">
        <w:rPr>
          <w:rFonts w:ascii="Arial" w:hAnsi="Arial" w:cs="Arial"/>
          <w:color w:val="000000" w:themeColor="text1"/>
          <w:lang w:val="es-MX"/>
        </w:rPr>
        <w:t xml:space="preserve"> concret</w:t>
      </w:r>
      <w:r w:rsidR="00FA3D26" w:rsidRPr="00F23176">
        <w:rPr>
          <w:rFonts w:ascii="Arial" w:hAnsi="Arial" w:cs="Arial"/>
          <w:color w:val="000000" w:themeColor="text1"/>
          <w:lang w:val="es-MX"/>
        </w:rPr>
        <w:t>o</w:t>
      </w:r>
      <w:r w:rsidR="00A33C2E" w:rsidRPr="00F23176">
        <w:rPr>
          <w:rFonts w:ascii="Arial" w:hAnsi="Arial" w:cs="Arial"/>
          <w:color w:val="000000" w:themeColor="text1"/>
          <w:lang w:val="es-MX"/>
        </w:rPr>
        <w:t xml:space="preserve">s a las cuales resultan aplicables los documentos tipo, además de establecer los requisitos de experiencia </w:t>
      </w:r>
      <w:r w:rsidR="00FA3D26" w:rsidRPr="00F23176">
        <w:rPr>
          <w:rFonts w:ascii="Arial" w:hAnsi="Arial" w:cs="Arial"/>
          <w:color w:val="000000" w:themeColor="text1"/>
          <w:lang w:val="es-MX"/>
        </w:rPr>
        <w:t>exigibles</w:t>
      </w:r>
      <w:r w:rsidR="00A33C2E" w:rsidRPr="00F23176">
        <w:rPr>
          <w:rFonts w:ascii="Arial" w:hAnsi="Arial" w:cs="Arial"/>
          <w:color w:val="000000" w:themeColor="text1"/>
          <w:lang w:val="es-MX"/>
        </w:rPr>
        <w:t xml:space="preserve">. En este sentido, las actividades señaladas en dicha matriz </w:t>
      </w:r>
      <w:r w:rsidRPr="00F23176">
        <w:rPr>
          <w:rFonts w:ascii="Arial" w:hAnsi="Arial" w:cs="Arial"/>
          <w:color w:val="000000" w:themeColor="text1"/>
          <w:lang w:val="es-MX"/>
        </w:rPr>
        <w:t xml:space="preserve">determinan el </w:t>
      </w:r>
      <w:r w:rsidR="00FA3D26" w:rsidRPr="00F23176">
        <w:rPr>
          <w:rFonts w:ascii="Arial" w:hAnsi="Arial" w:cs="Arial"/>
          <w:color w:val="000000" w:themeColor="text1"/>
          <w:lang w:val="es-MX"/>
        </w:rPr>
        <w:t>ámbito de</w:t>
      </w:r>
      <w:r w:rsidRPr="00F23176">
        <w:rPr>
          <w:rFonts w:ascii="Arial" w:hAnsi="Arial" w:cs="Arial"/>
          <w:color w:val="000000" w:themeColor="text1"/>
          <w:lang w:val="es-MX"/>
        </w:rPr>
        <w:t xml:space="preserve"> la aplicación de los documentos tipo, dado que comprenden todas aquellas actividades que constituyen consultoría de estudios de ingeniería de infraestructura de transporte y que han sido objeto de estandarización mediante la Resolución No. 193 del 14 de julio de 2021 para los procesos de concurso de méritos.</w:t>
      </w:r>
      <w:r w:rsidR="002A6D69" w:rsidRPr="00F23176">
        <w:rPr>
          <w:rFonts w:ascii="Arial" w:hAnsi="Arial" w:cs="Arial"/>
          <w:color w:val="000000" w:themeColor="text1"/>
          <w:lang w:val="es-MX"/>
        </w:rPr>
        <w:t xml:space="preserve"> </w:t>
      </w:r>
    </w:p>
    <w:p w14:paraId="62BB3711" w14:textId="0E5CCD24" w:rsidR="00E4382D" w:rsidRPr="00F23176" w:rsidRDefault="00E4382D" w:rsidP="00E4382D">
      <w:pPr>
        <w:rPr>
          <w:rFonts w:ascii="Arial" w:hAnsi="Arial" w:cs="Arial"/>
        </w:rPr>
      </w:pPr>
      <w:r w:rsidRPr="00F23176">
        <w:rPr>
          <w:rFonts w:ascii="Arial" w:hAnsi="Arial" w:cs="Arial"/>
        </w:rPr>
        <w:t xml:space="preserve">En ese sentido, de acuerdo con el «Documento Base», estos documentos tipo aplican a los procesos de consultoría de estudios de ingeniería de infraestructura de transporte celebrados en la modalidad de concurso de méritos, que correspondan con las actividades definidas en la </w:t>
      </w:r>
      <w:r w:rsidR="00FA3D26" w:rsidRPr="00F23176">
        <w:rPr>
          <w:rFonts w:ascii="Arial" w:hAnsi="Arial" w:cs="Arial"/>
        </w:rPr>
        <w:t>«Matriz 1 – Experiencia»</w:t>
      </w:r>
      <w:r w:rsidRPr="00F23176">
        <w:rPr>
          <w:rFonts w:ascii="Arial" w:hAnsi="Arial" w:cs="Arial"/>
        </w:rPr>
        <w:t>. En los términos del numeral 10.1.1, literal B, también aplica a los componentes de consultorías integrales (predial, ambiental, social y seguridad y salud en el trabajo) que tengan otros componentes aparte del técnico descrito en la mencionada Matriz. Por tanto, no son aplicables en las actividades de consultoría de estudios de ingeniería de infraestructura de transporte no contempladas en la «Matriz 1 – Experiencia», sin perjuicio de lo previsto en el artículo 4</w:t>
      </w:r>
      <w:r w:rsidR="00203019" w:rsidRPr="00F23176">
        <w:rPr>
          <w:rFonts w:ascii="Arial" w:hAnsi="Arial" w:cs="Arial"/>
        </w:rPr>
        <w:t xml:space="preserve"> </w:t>
      </w:r>
      <w:r w:rsidRPr="00F23176">
        <w:rPr>
          <w:rFonts w:ascii="Arial" w:hAnsi="Arial" w:cs="Arial"/>
        </w:rPr>
        <w:t xml:space="preserve">de la Resolución que adopta estos Documentos Tipo. </w:t>
      </w:r>
    </w:p>
    <w:p w14:paraId="26106A3E" w14:textId="0B33D3B7" w:rsidR="004461D3" w:rsidRPr="00456CF5" w:rsidRDefault="00B11CA3" w:rsidP="004461D3">
      <w:pPr>
        <w:shd w:val="clear" w:color="auto" w:fill="FFFFFF"/>
        <w:spacing w:before="120" w:after="0"/>
        <w:rPr>
          <w:rFonts w:ascii="Arial" w:hAnsi="Arial" w:cs="Arial"/>
          <w:color w:val="0D0D0D"/>
          <w:bdr w:val="none" w:sz="0" w:space="0" w:color="auto" w:frame="1"/>
          <w:lang w:eastAsia="es-CO"/>
        </w:rPr>
      </w:pPr>
      <w:r w:rsidRPr="00F23176">
        <w:rPr>
          <w:rFonts w:ascii="Arial" w:hAnsi="Arial" w:cs="Arial"/>
          <w:color w:val="0D0D0D" w:themeColor="text1" w:themeTint="F2"/>
          <w:lang w:val="es-MX"/>
        </w:rPr>
        <w:t>De esta manera, u</w:t>
      </w:r>
      <w:r w:rsidR="002A6D69" w:rsidRPr="00F23176">
        <w:rPr>
          <w:rFonts w:ascii="Arial" w:hAnsi="Arial" w:cs="Arial"/>
          <w:color w:val="0D0D0D" w:themeColor="text1" w:themeTint="F2"/>
          <w:lang w:val="es-MX"/>
        </w:rPr>
        <w:t>tilizando est</w:t>
      </w:r>
      <w:r w:rsidRPr="00F23176">
        <w:rPr>
          <w:rFonts w:ascii="Arial" w:hAnsi="Arial" w:cs="Arial"/>
          <w:color w:val="0D0D0D" w:themeColor="text1" w:themeTint="F2"/>
          <w:lang w:val="es-MX"/>
        </w:rPr>
        <w:t>a Matriz</w:t>
      </w:r>
      <w:r w:rsidR="002A6D69" w:rsidRPr="00F23176">
        <w:rPr>
          <w:rFonts w:ascii="Arial" w:hAnsi="Arial" w:cs="Arial"/>
          <w:color w:val="0D0D0D" w:themeColor="text1" w:themeTint="F2"/>
          <w:lang w:val="es-MX"/>
        </w:rPr>
        <w:t>, la entidad estatal puede definir si el objeto a contratarse</w:t>
      </w:r>
      <w:r w:rsidR="004C5BC9" w:rsidRPr="00F23176">
        <w:rPr>
          <w:rFonts w:ascii="Arial" w:hAnsi="Arial" w:cs="Arial"/>
          <w:color w:val="0D0D0D" w:themeColor="text1" w:themeTint="F2"/>
          <w:lang w:val="es-MX"/>
        </w:rPr>
        <w:t xml:space="preserve"> </w:t>
      </w:r>
      <w:r w:rsidR="002A6D69" w:rsidRPr="00F23176">
        <w:rPr>
          <w:rFonts w:ascii="Arial" w:hAnsi="Arial" w:cs="Arial"/>
          <w:color w:val="0D0D0D" w:themeColor="text1" w:themeTint="F2"/>
          <w:lang w:val="es-MX"/>
        </w:rPr>
        <w:t>debe emplear los documentos tipo.</w:t>
      </w:r>
      <w:r w:rsidR="00980536" w:rsidRPr="00F23176">
        <w:rPr>
          <w:rFonts w:ascii="Arial" w:hAnsi="Arial" w:cs="Arial"/>
          <w:color w:val="0D0D0D" w:themeColor="text1" w:themeTint="F2"/>
          <w:lang w:val="es-MX"/>
        </w:rPr>
        <w:t xml:space="preserve"> En todo caso,</w:t>
      </w:r>
      <w:r w:rsidR="002A6D69" w:rsidRPr="00F23176">
        <w:rPr>
          <w:rFonts w:ascii="Arial" w:hAnsi="Arial" w:cs="Arial"/>
          <w:color w:val="0D0D0D" w:themeColor="text1" w:themeTint="F2"/>
          <w:lang w:val="es-MX"/>
        </w:rPr>
        <w:t xml:space="preserve"> </w:t>
      </w:r>
      <w:r w:rsidR="00980536" w:rsidRPr="00F23176">
        <w:rPr>
          <w:rFonts w:ascii="Arial" w:hAnsi="Arial" w:cs="Arial"/>
        </w:rPr>
        <w:t xml:space="preserve">es la entidad contratante, al momento de adelantar sus actividades de planeación de cada proceso contractual, quien debe determinar si de acuerdo con las particularidades del contrato a ejecutar, este encaja o no dentro de alguna de las actividades de la Matriz </w:t>
      </w:r>
      <w:r w:rsidR="00FA3D26" w:rsidRPr="00F23176">
        <w:rPr>
          <w:rFonts w:ascii="Arial" w:hAnsi="Arial" w:cs="Arial"/>
        </w:rPr>
        <w:t>de Experiencia</w:t>
      </w:r>
      <w:r w:rsidR="00980536" w:rsidRPr="00F23176">
        <w:rPr>
          <w:rFonts w:ascii="Arial" w:hAnsi="Arial" w:cs="Arial"/>
        </w:rPr>
        <w:t xml:space="preserve">, y si en consecuencia deben aplicarse o no los documentos tipo de consultoría de estudios de </w:t>
      </w:r>
      <w:r w:rsidR="00003A47" w:rsidRPr="00F23176">
        <w:rPr>
          <w:rFonts w:ascii="Arial" w:hAnsi="Arial" w:cs="Arial"/>
        </w:rPr>
        <w:t xml:space="preserve">ingeniería de </w:t>
      </w:r>
      <w:r w:rsidR="00980536" w:rsidRPr="00F23176">
        <w:rPr>
          <w:rFonts w:ascii="Arial" w:hAnsi="Arial" w:cs="Arial"/>
        </w:rPr>
        <w:t>infraestructura de transporte. Esto, sin que pueda apartarse de su aplicación cuando materialmente el objeto a contratar corresponde con alguna actividad de contemplada en dicha matriz.</w:t>
      </w:r>
      <w:r w:rsidR="004461D3" w:rsidRPr="00F23176">
        <w:rPr>
          <w:rFonts w:ascii="Arial" w:hAnsi="Arial" w:cs="Arial"/>
        </w:rPr>
        <w:t xml:space="preserve"> En aquellos eventos en que el contrato a ejecutar no se enmarque en algunas de las actividades contempladas en la matriz de experiencia, no procederá la aplicación obligatoria de los documentos tipo, pues, como se expresó, dicha matriz delimita el ámbito de aplicación de dichos documentos; </w:t>
      </w:r>
      <w:r w:rsidR="003B5DD3" w:rsidRPr="00F23176">
        <w:rPr>
          <w:rFonts w:ascii="Arial" w:hAnsi="Arial" w:cs="Arial"/>
        </w:rPr>
        <w:t>sin perjuicio de que en estos últimos eventos se decida facultativamente aplicar los documentos tipo como una buena práctica contractual</w:t>
      </w:r>
      <w:r w:rsidR="004461D3" w:rsidRPr="00F23176">
        <w:rPr>
          <w:rFonts w:ascii="Arial" w:hAnsi="Arial" w:cs="Arial"/>
        </w:rPr>
        <w:t>.</w:t>
      </w:r>
    </w:p>
    <w:bookmarkEnd w:id="8"/>
    <w:p w14:paraId="59EE00A8" w14:textId="77777777" w:rsidR="00FF38B8" w:rsidRDefault="00FF38B8" w:rsidP="00B06FE8">
      <w:pPr>
        <w:ind w:firstLine="0"/>
        <w:rPr>
          <w:rFonts w:ascii="Arial" w:eastAsia="Calibri" w:hAnsi="Arial" w:cs="Arial"/>
          <w:color w:val="000000" w:themeColor="text1"/>
          <w:lang w:val="es-MX"/>
        </w:rPr>
      </w:pPr>
    </w:p>
    <w:p w14:paraId="3ECC8137" w14:textId="3F4BCC6B" w:rsidR="00B06FE8" w:rsidRDefault="00B06FE8" w:rsidP="00FF38B8">
      <w:pPr>
        <w:spacing w:after="0"/>
        <w:ind w:firstLine="0"/>
        <w:rPr>
          <w:rFonts w:ascii="Arial" w:eastAsia="Calibri" w:hAnsi="Arial" w:cs="Arial"/>
          <w:color w:val="000000" w:themeColor="text1"/>
        </w:rPr>
      </w:pPr>
      <w:r w:rsidRPr="002B47C2">
        <w:rPr>
          <w:rFonts w:ascii="Arial" w:eastAsia="Calibri" w:hAnsi="Arial" w:cs="Arial"/>
          <w:color w:val="000000" w:themeColor="text1"/>
        </w:rPr>
        <w:lastRenderedPageBreak/>
        <w:t>Este concepto tiene el alcance previsto en el artículo 28 del Código de Procedimiento Administrativo y de lo Contencioso Administrativo.</w:t>
      </w:r>
    </w:p>
    <w:p w14:paraId="3554D158" w14:textId="427AB8C4" w:rsidR="00203019" w:rsidRDefault="00203019" w:rsidP="00B06FE8">
      <w:pPr>
        <w:ind w:firstLine="0"/>
        <w:rPr>
          <w:rFonts w:ascii="Arial" w:eastAsia="Calibri" w:hAnsi="Arial" w:cs="Arial"/>
          <w:color w:val="000000" w:themeColor="text1"/>
        </w:rPr>
      </w:pPr>
    </w:p>
    <w:p w14:paraId="790F099F" w14:textId="0F41A668" w:rsidR="00203019" w:rsidRPr="002B47C2" w:rsidRDefault="00203019" w:rsidP="00B06FE8">
      <w:pPr>
        <w:ind w:firstLine="0"/>
        <w:rPr>
          <w:rFonts w:ascii="Arial" w:eastAsia="Calibri" w:hAnsi="Arial" w:cs="Arial"/>
          <w:color w:val="000000" w:themeColor="text1"/>
        </w:rPr>
      </w:pPr>
      <w:r>
        <w:rPr>
          <w:rFonts w:ascii="Arial" w:eastAsia="Calibri" w:hAnsi="Arial" w:cs="Arial"/>
          <w:color w:val="000000" w:themeColor="text1"/>
        </w:rPr>
        <w:t>Atentamente,</w:t>
      </w:r>
    </w:p>
    <w:p w14:paraId="4685EA08" w14:textId="02AC3FA6" w:rsidR="00B06FE8" w:rsidRPr="002B47C2" w:rsidRDefault="001A63B9" w:rsidP="00B06FE8">
      <w:pPr>
        <w:spacing w:after="0" w:line="240" w:lineRule="auto"/>
        <w:ind w:firstLine="0"/>
        <w:jc w:val="center"/>
        <w:rPr>
          <w:rFonts w:ascii="Arial" w:hAnsi="Arial" w:cs="Arial"/>
          <w:color w:val="000000" w:themeColor="text1"/>
          <w:sz w:val="18"/>
          <w:szCs w:val="20"/>
          <w:lang w:val="es-ES_tradnl" w:eastAsia="es-CO"/>
        </w:rPr>
      </w:pPr>
      <w:r>
        <w:rPr>
          <w:rFonts w:ascii="Arial" w:hAnsi="Arial" w:cs="Arial"/>
          <w:noProof/>
          <w:lang w:eastAsia="es-CO"/>
        </w:rPr>
        <w:drawing>
          <wp:inline distT="0" distB="0" distL="0" distR="0" wp14:anchorId="251278E1" wp14:editId="3FE52BE1">
            <wp:extent cx="2573655" cy="1079855"/>
            <wp:effectExtent l="0" t="0" r="0" b="6350"/>
            <wp:docPr id="2"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Texto&#10;&#10;Descripción generada automáticamente"/>
                    <pic:cNvPicPr/>
                  </pic:nvPicPr>
                  <pic:blipFill>
                    <a:blip r:embed="rId12">
                      <a:extLst>
                        <a:ext uri="{28A0092B-C50C-407E-A947-70E740481C1C}">
                          <a14:useLocalDpi xmlns:a14="http://schemas.microsoft.com/office/drawing/2010/main" val="0"/>
                        </a:ext>
                      </a:extLst>
                    </a:blip>
                    <a:stretch>
                      <a:fillRect/>
                    </a:stretch>
                  </pic:blipFill>
                  <pic:spPr>
                    <a:xfrm>
                      <a:off x="0" y="0"/>
                      <a:ext cx="2582316" cy="1083489"/>
                    </a:xfrm>
                    <a:prstGeom prst="rect">
                      <a:avLst/>
                    </a:prstGeom>
                  </pic:spPr>
                </pic:pic>
              </a:graphicData>
            </a:graphic>
          </wp:inline>
        </w:drawing>
      </w:r>
    </w:p>
    <w:p w14:paraId="1A700096" w14:textId="77777777" w:rsidR="00B06FE8" w:rsidRPr="002B47C2" w:rsidRDefault="00B06FE8" w:rsidP="00B06FE8">
      <w:pPr>
        <w:spacing w:after="0" w:line="240" w:lineRule="auto"/>
        <w:ind w:firstLine="0"/>
        <w:jc w:val="center"/>
        <w:rPr>
          <w:rFonts w:ascii="Arial" w:hAnsi="Arial" w:cs="Arial"/>
          <w:color w:val="000000" w:themeColor="text1"/>
          <w:sz w:val="18"/>
          <w:szCs w:val="20"/>
          <w:lang w:val="es-ES_tradnl"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4"/>
        <w:gridCol w:w="4413"/>
      </w:tblGrid>
      <w:tr w:rsidR="00B06FE8" w:rsidRPr="002B47C2" w14:paraId="066030E5" w14:textId="77777777" w:rsidTr="002E370F">
        <w:trPr>
          <w:trHeight w:val="315"/>
        </w:trPr>
        <w:tc>
          <w:tcPr>
            <w:tcW w:w="1044" w:type="dxa"/>
            <w:vAlign w:val="center"/>
          </w:tcPr>
          <w:p w14:paraId="55D33F80" w14:textId="77777777" w:rsidR="00B06FE8" w:rsidRPr="002B47C2" w:rsidRDefault="00B06FE8" w:rsidP="002E370F">
            <w:pPr>
              <w:spacing w:after="0" w:line="240" w:lineRule="auto"/>
              <w:ind w:firstLine="0"/>
              <w:rPr>
                <w:rFonts w:ascii="Arial" w:hAnsi="Arial" w:cs="Arial"/>
                <w:color w:val="000000" w:themeColor="text1"/>
                <w:sz w:val="16"/>
                <w:szCs w:val="16"/>
                <w:lang w:val="es-ES_tradnl" w:eastAsia="es-ES"/>
              </w:rPr>
            </w:pPr>
            <w:r w:rsidRPr="002B47C2">
              <w:rPr>
                <w:rFonts w:ascii="Arial" w:hAnsi="Arial" w:cs="Arial"/>
                <w:color w:val="000000" w:themeColor="text1"/>
                <w:sz w:val="16"/>
                <w:szCs w:val="16"/>
                <w:lang w:val="es-ES_tradnl" w:eastAsia="es-ES"/>
              </w:rPr>
              <w:t>Elaboró:</w:t>
            </w:r>
          </w:p>
        </w:tc>
        <w:tc>
          <w:tcPr>
            <w:tcW w:w="4413" w:type="dxa"/>
            <w:tcBorders>
              <w:top w:val="nil"/>
              <w:left w:val="nil"/>
              <w:bottom w:val="dotted" w:sz="4" w:space="0" w:color="7F7F7F" w:themeColor="text1" w:themeTint="80"/>
              <w:right w:val="nil"/>
            </w:tcBorders>
            <w:vAlign w:val="center"/>
          </w:tcPr>
          <w:p w14:paraId="2437F681" w14:textId="77777777" w:rsidR="00B06FE8" w:rsidRPr="002B47C2" w:rsidRDefault="00B06FE8" w:rsidP="002E370F">
            <w:pPr>
              <w:spacing w:after="0" w:line="240" w:lineRule="auto"/>
              <w:ind w:firstLine="0"/>
              <w:rPr>
                <w:rFonts w:ascii="Arial" w:hAnsi="Arial" w:cs="Arial"/>
                <w:color w:val="000000" w:themeColor="text1"/>
                <w:sz w:val="16"/>
                <w:szCs w:val="16"/>
                <w:lang w:val="es-ES_tradnl" w:eastAsia="es-ES"/>
              </w:rPr>
            </w:pPr>
            <w:r w:rsidRPr="002B47C2">
              <w:rPr>
                <w:rFonts w:ascii="Arial" w:hAnsi="Arial" w:cs="Arial"/>
                <w:color w:val="000000" w:themeColor="text1"/>
                <w:sz w:val="16"/>
                <w:szCs w:val="16"/>
                <w:lang w:val="es-ES_tradnl" w:eastAsia="es-ES"/>
              </w:rPr>
              <w:t>Kevin Arlid Herrera Santa</w:t>
            </w:r>
          </w:p>
          <w:p w14:paraId="11F88703" w14:textId="77777777" w:rsidR="00B06FE8" w:rsidRPr="002B47C2" w:rsidRDefault="00B06FE8" w:rsidP="002E370F">
            <w:pPr>
              <w:spacing w:after="0" w:line="240" w:lineRule="auto"/>
              <w:ind w:firstLine="0"/>
              <w:rPr>
                <w:rFonts w:ascii="Arial" w:hAnsi="Arial" w:cs="Arial"/>
                <w:color w:val="000000" w:themeColor="text1"/>
                <w:sz w:val="16"/>
                <w:szCs w:val="16"/>
                <w:lang w:val="es-ES_tradnl" w:eastAsia="es-ES"/>
              </w:rPr>
            </w:pPr>
            <w:r w:rsidRPr="002B47C2">
              <w:rPr>
                <w:rFonts w:ascii="Arial" w:hAnsi="Arial" w:cs="Arial"/>
                <w:color w:val="000000" w:themeColor="text1"/>
                <w:sz w:val="16"/>
                <w:szCs w:val="16"/>
                <w:lang w:val="es-ES_tradnl" w:eastAsia="es-ES"/>
              </w:rPr>
              <w:t>Analista T2–04 de la Subdirección de Gestión Contractual</w:t>
            </w:r>
          </w:p>
        </w:tc>
      </w:tr>
      <w:tr w:rsidR="00B06FE8" w:rsidRPr="002B47C2" w14:paraId="6C17EE03" w14:textId="77777777" w:rsidTr="002E370F">
        <w:trPr>
          <w:trHeight w:val="411"/>
        </w:trPr>
        <w:tc>
          <w:tcPr>
            <w:tcW w:w="1044" w:type="dxa"/>
            <w:vAlign w:val="center"/>
          </w:tcPr>
          <w:p w14:paraId="33407A83" w14:textId="77777777" w:rsidR="00B06FE8" w:rsidRPr="002B47C2" w:rsidRDefault="00B06FE8" w:rsidP="002E370F">
            <w:pPr>
              <w:spacing w:after="0" w:line="240" w:lineRule="auto"/>
              <w:ind w:firstLine="0"/>
              <w:rPr>
                <w:rFonts w:ascii="Arial" w:hAnsi="Arial" w:cs="Arial"/>
                <w:color w:val="000000" w:themeColor="text1"/>
                <w:sz w:val="16"/>
                <w:szCs w:val="16"/>
                <w:lang w:val="es-ES_tradnl" w:eastAsia="es-ES"/>
              </w:rPr>
            </w:pPr>
            <w:r w:rsidRPr="002B47C2">
              <w:rPr>
                <w:rFonts w:ascii="Arial" w:hAnsi="Arial" w:cs="Arial"/>
                <w:color w:val="000000" w:themeColor="text1"/>
                <w:sz w:val="16"/>
                <w:szCs w:val="16"/>
                <w:lang w:val="es-ES_tradnl" w:eastAsia="es-ES"/>
              </w:rPr>
              <w:t>Revisó:</w:t>
            </w:r>
          </w:p>
        </w:tc>
        <w:tc>
          <w:tcPr>
            <w:tcW w:w="4413" w:type="dxa"/>
            <w:tcBorders>
              <w:top w:val="dotted" w:sz="4" w:space="0" w:color="7F7F7F" w:themeColor="text1" w:themeTint="80"/>
              <w:left w:val="nil"/>
              <w:right w:val="nil"/>
            </w:tcBorders>
            <w:vAlign w:val="center"/>
          </w:tcPr>
          <w:p w14:paraId="4BA8CBB5" w14:textId="5E4DD7BD" w:rsidR="00B06FE8" w:rsidRPr="002B47C2" w:rsidRDefault="00F13EB4" w:rsidP="002E370F">
            <w:pPr>
              <w:spacing w:after="0" w:line="240" w:lineRule="auto"/>
              <w:ind w:firstLine="0"/>
              <w:rPr>
                <w:rFonts w:ascii="Arial" w:hAnsi="Arial" w:cs="Arial"/>
                <w:color w:val="000000" w:themeColor="text1"/>
                <w:sz w:val="16"/>
                <w:szCs w:val="16"/>
                <w:lang w:val="es-ES_tradnl" w:eastAsia="es-ES"/>
              </w:rPr>
            </w:pPr>
            <w:r>
              <w:rPr>
                <w:rFonts w:ascii="Arial" w:hAnsi="Arial" w:cs="Arial"/>
                <w:color w:val="000000" w:themeColor="text1"/>
                <w:sz w:val="16"/>
                <w:szCs w:val="16"/>
                <w:lang w:val="es-ES_tradnl" w:eastAsia="es-ES"/>
              </w:rPr>
              <w:t>Sebastián Ramírez Grisales</w:t>
            </w:r>
          </w:p>
          <w:p w14:paraId="36583697" w14:textId="6B5A59B4" w:rsidR="00B06FE8" w:rsidRDefault="00F13EB4" w:rsidP="002E370F">
            <w:pPr>
              <w:spacing w:after="0" w:line="240" w:lineRule="auto"/>
              <w:ind w:firstLine="0"/>
              <w:rPr>
                <w:rFonts w:ascii="Arial" w:hAnsi="Arial" w:cs="Arial"/>
                <w:color w:val="000000" w:themeColor="text1"/>
                <w:sz w:val="16"/>
                <w:szCs w:val="16"/>
                <w:lang w:val="es-ES_tradnl" w:eastAsia="es-ES"/>
              </w:rPr>
            </w:pPr>
            <w:r>
              <w:rPr>
                <w:rFonts w:ascii="Arial" w:hAnsi="Arial" w:cs="Arial"/>
                <w:color w:val="000000" w:themeColor="text1"/>
                <w:sz w:val="16"/>
                <w:szCs w:val="16"/>
                <w:lang w:val="es-ES_tradnl" w:eastAsia="es-ES"/>
              </w:rPr>
              <w:t>Contratista</w:t>
            </w:r>
            <w:r w:rsidR="00B06FE8" w:rsidRPr="002B47C2">
              <w:rPr>
                <w:rFonts w:ascii="Arial" w:hAnsi="Arial" w:cs="Arial"/>
                <w:color w:val="000000" w:themeColor="text1"/>
                <w:sz w:val="16"/>
                <w:szCs w:val="16"/>
                <w:lang w:val="es-ES_tradnl" w:eastAsia="es-ES"/>
              </w:rPr>
              <w:t xml:space="preserve"> de la Subdirección de Gestión Contractual</w:t>
            </w:r>
          </w:p>
          <w:p w14:paraId="65D14DEF" w14:textId="77777777" w:rsidR="003B5DD3" w:rsidRDefault="003B5DD3" w:rsidP="002E370F">
            <w:pPr>
              <w:spacing w:after="0" w:line="240" w:lineRule="auto"/>
              <w:ind w:firstLine="0"/>
              <w:rPr>
                <w:rFonts w:ascii="Arial" w:hAnsi="Arial" w:cs="Arial"/>
                <w:color w:val="000000" w:themeColor="text1"/>
                <w:sz w:val="16"/>
                <w:szCs w:val="16"/>
                <w:lang w:val="es-ES_tradnl" w:eastAsia="es-ES"/>
              </w:rPr>
            </w:pPr>
            <w:proofErr w:type="spellStart"/>
            <w:r>
              <w:rPr>
                <w:rFonts w:ascii="Arial" w:hAnsi="Arial" w:cs="Arial"/>
                <w:color w:val="000000" w:themeColor="text1"/>
                <w:sz w:val="16"/>
                <w:szCs w:val="16"/>
                <w:lang w:val="es-ES_tradnl" w:eastAsia="es-ES"/>
              </w:rPr>
              <w:t>Karlo</w:t>
            </w:r>
            <w:proofErr w:type="spellEnd"/>
            <w:r>
              <w:rPr>
                <w:rFonts w:ascii="Arial" w:hAnsi="Arial" w:cs="Arial"/>
                <w:color w:val="000000" w:themeColor="text1"/>
                <w:sz w:val="16"/>
                <w:szCs w:val="16"/>
                <w:lang w:val="es-ES_tradnl" w:eastAsia="es-ES"/>
              </w:rPr>
              <w:t xml:space="preserve"> Fernández Cala</w:t>
            </w:r>
          </w:p>
          <w:p w14:paraId="5EC5FA15" w14:textId="5BC75A3F" w:rsidR="003B5DD3" w:rsidRPr="002B47C2" w:rsidRDefault="003B5DD3" w:rsidP="002E370F">
            <w:pPr>
              <w:spacing w:after="0" w:line="240" w:lineRule="auto"/>
              <w:ind w:firstLine="0"/>
              <w:rPr>
                <w:rFonts w:ascii="Arial" w:hAnsi="Arial" w:cs="Arial"/>
                <w:color w:val="000000" w:themeColor="text1"/>
                <w:sz w:val="16"/>
                <w:szCs w:val="16"/>
                <w:lang w:val="es-ES_tradnl" w:eastAsia="es-ES"/>
              </w:rPr>
            </w:pPr>
            <w:r>
              <w:rPr>
                <w:rFonts w:ascii="Arial" w:hAnsi="Arial" w:cs="Arial"/>
                <w:color w:val="000000" w:themeColor="text1"/>
                <w:sz w:val="16"/>
                <w:szCs w:val="16"/>
                <w:lang w:val="es-ES_tradnl" w:eastAsia="es-ES"/>
              </w:rPr>
              <w:t>Gestor T1-15 de la Dirección General</w:t>
            </w:r>
          </w:p>
        </w:tc>
      </w:tr>
      <w:tr w:rsidR="00B06FE8" w:rsidRPr="002B47C2" w14:paraId="6BB76B03" w14:textId="77777777" w:rsidTr="002E370F">
        <w:trPr>
          <w:trHeight w:val="300"/>
        </w:trPr>
        <w:tc>
          <w:tcPr>
            <w:tcW w:w="1044" w:type="dxa"/>
            <w:vAlign w:val="center"/>
            <w:hideMark/>
          </w:tcPr>
          <w:p w14:paraId="6D12E8FD" w14:textId="77777777" w:rsidR="00B06FE8" w:rsidRPr="002B47C2" w:rsidRDefault="00B06FE8" w:rsidP="002E370F">
            <w:pPr>
              <w:spacing w:after="0" w:line="240" w:lineRule="auto"/>
              <w:ind w:firstLine="0"/>
              <w:rPr>
                <w:rFonts w:ascii="Arial" w:hAnsi="Arial" w:cs="Arial"/>
                <w:color w:val="000000" w:themeColor="text1"/>
                <w:sz w:val="16"/>
                <w:szCs w:val="16"/>
                <w:lang w:val="es-ES_tradnl" w:eastAsia="es-ES"/>
              </w:rPr>
            </w:pPr>
            <w:r w:rsidRPr="002B47C2">
              <w:rPr>
                <w:rFonts w:ascii="Arial" w:hAnsi="Arial" w:cs="Arial"/>
                <w:color w:val="000000" w:themeColor="text1"/>
                <w:sz w:val="16"/>
                <w:szCs w:val="16"/>
                <w:lang w:val="es-ES_tradnl"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09813484" w14:textId="77777777" w:rsidR="00B06FE8" w:rsidRPr="002B47C2" w:rsidRDefault="00B06FE8" w:rsidP="002E370F">
            <w:pPr>
              <w:spacing w:after="0" w:line="240" w:lineRule="auto"/>
              <w:ind w:firstLine="0"/>
              <w:rPr>
                <w:rFonts w:ascii="Arial" w:hAnsi="Arial" w:cs="Arial"/>
                <w:color w:val="000000" w:themeColor="text1"/>
                <w:sz w:val="16"/>
                <w:szCs w:val="16"/>
                <w:lang w:val="es-ES_tradnl" w:eastAsia="es-ES"/>
              </w:rPr>
            </w:pPr>
            <w:r w:rsidRPr="002B47C2">
              <w:rPr>
                <w:rFonts w:ascii="Arial" w:hAnsi="Arial" w:cs="Arial"/>
                <w:color w:val="000000" w:themeColor="text1"/>
                <w:sz w:val="16"/>
                <w:szCs w:val="16"/>
                <w:lang w:val="es-ES_tradnl" w:eastAsia="es-ES"/>
              </w:rPr>
              <w:t>Jorge Augusto Tirado Navarro</w:t>
            </w:r>
          </w:p>
          <w:p w14:paraId="3CC85025" w14:textId="77777777" w:rsidR="00B06FE8" w:rsidRPr="002B47C2" w:rsidRDefault="00B06FE8" w:rsidP="002E370F">
            <w:pPr>
              <w:spacing w:after="0" w:line="240" w:lineRule="auto"/>
              <w:ind w:firstLine="0"/>
              <w:rPr>
                <w:rFonts w:ascii="Arial" w:hAnsi="Arial" w:cs="Arial"/>
                <w:color w:val="000000" w:themeColor="text1"/>
                <w:sz w:val="16"/>
                <w:szCs w:val="16"/>
                <w:lang w:val="es-ES_tradnl" w:eastAsia="es-ES"/>
              </w:rPr>
            </w:pPr>
            <w:r w:rsidRPr="002B47C2">
              <w:rPr>
                <w:rFonts w:ascii="Arial" w:hAnsi="Arial" w:cs="Arial"/>
                <w:color w:val="000000" w:themeColor="text1"/>
                <w:sz w:val="16"/>
                <w:szCs w:val="16"/>
                <w:lang w:val="es-ES_tradnl" w:eastAsia="es-ES"/>
              </w:rPr>
              <w:t>Subdirector de Gestión Contractual ANCP - CCE</w:t>
            </w:r>
          </w:p>
        </w:tc>
      </w:tr>
      <w:bookmarkEnd w:id="0"/>
    </w:tbl>
    <w:p w14:paraId="76914E8B" w14:textId="77777777" w:rsidR="00B06FE8" w:rsidRPr="002B47C2" w:rsidRDefault="00B06FE8" w:rsidP="00B06FE8">
      <w:pPr>
        <w:ind w:firstLine="0"/>
        <w:rPr>
          <w:color w:val="000000" w:themeColor="text1"/>
        </w:rPr>
      </w:pPr>
    </w:p>
    <w:p w14:paraId="56A31A0B" w14:textId="77777777" w:rsidR="00B06FE8" w:rsidRDefault="00B06FE8"/>
    <w:sectPr w:rsidR="00B06FE8" w:rsidSect="004557F0">
      <w:headerReference w:type="default" r:id="rId13"/>
      <w:footerReference w:type="default" r:id="rId14"/>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D1F773" w14:textId="77777777" w:rsidR="00957B4B" w:rsidRDefault="00957B4B" w:rsidP="00B06FE8">
      <w:pPr>
        <w:spacing w:after="0" w:line="240" w:lineRule="auto"/>
      </w:pPr>
      <w:r>
        <w:separator/>
      </w:r>
    </w:p>
  </w:endnote>
  <w:endnote w:type="continuationSeparator" w:id="0">
    <w:p w14:paraId="752F4604" w14:textId="77777777" w:rsidR="00957B4B" w:rsidRDefault="00957B4B" w:rsidP="00B06F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E3B3E2" w14:textId="77777777" w:rsidR="007B15C3" w:rsidRDefault="00645C01" w:rsidP="007B15C3">
    <w:pPr>
      <w:pStyle w:val="Sinespaciado"/>
      <w:jc w:val="right"/>
      <w:rPr>
        <w:rFonts w:ascii="Arial" w:hAnsi="Arial" w:cs="Arial"/>
        <w:sz w:val="18"/>
        <w:szCs w:val="18"/>
      </w:rPr>
    </w:pPr>
  </w:p>
  <w:p w14:paraId="7178BB0B" w14:textId="77777777" w:rsidR="007B15C3" w:rsidRPr="008217B7" w:rsidRDefault="00B06FE8" w:rsidP="007B15C3">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Pr>
        <w:rFonts w:ascii="Arial" w:hAnsi="Arial" w:cs="Arial"/>
        <w:b/>
        <w:bCs/>
        <w:color w:val="7F7F7F" w:themeColor="text1" w:themeTint="80"/>
        <w:sz w:val="16"/>
        <w:szCs w:val="16"/>
      </w:rPr>
      <w:t>1</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Pr>
        <w:rFonts w:ascii="Arial" w:hAnsi="Arial" w:cs="Arial"/>
        <w:b/>
        <w:bCs/>
        <w:color w:val="7F7F7F" w:themeColor="text1" w:themeTint="80"/>
        <w:sz w:val="16"/>
        <w:szCs w:val="16"/>
      </w:rPr>
      <w:t>21</w:t>
    </w:r>
    <w:r w:rsidRPr="00084B97">
      <w:rPr>
        <w:rFonts w:ascii="Arial" w:hAnsi="Arial" w:cs="Arial"/>
        <w:b/>
        <w:bCs/>
        <w:color w:val="7F7F7F" w:themeColor="text1" w:themeTint="80"/>
        <w:sz w:val="16"/>
        <w:szCs w:val="16"/>
      </w:rPr>
      <w:fldChar w:fldCharType="end"/>
    </w:r>
  </w:p>
  <w:p w14:paraId="3FAC7BF3" w14:textId="77777777" w:rsidR="007B15C3" w:rsidRDefault="00B06FE8" w:rsidP="007B15C3">
    <w:pPr>
      <w:pStyle w:val="Piedepgina"/>
      <w:jc w:val="center"/>
      <w:rPr>
        <w:lang w:val="es-ES"/>
      </w:rPr>
    </w:pPr>
    <w:r>
      <w:rPr>
        <w:noProof/>
      </w:rPr>
      <w:drawing>
        <wp:inline distT="0" distB="0" distL="0" distR="0" wp14:anchorId="2801247D" wp14:editId="4EE19BFC">
          <wp:extent cx="3700130" cy="519139"/>
          <wp:effectExtent l="0" t="0" r="0" b="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Text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3700130" cy="519139"/>
                  </a:xfrm>
                  <a:prstGeom prst="rect">
                    <a:avLst/>
                  </a:prstGeom>
                </pic:spPr>
              </pic:pic>
            </a:graphicData>
          </a:graphic>
        </wp:inline>
      </w:drawing>
    </w:r>
  </w:p>
  <w:p w14:paraId="571BE2EE" w14:textId="77777777" w:rsidR="007B15C3" w:rsidRDefault="00645C01" w:rsidP="007B15C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B333B0" w14:textId="77777777" w:rsidR="00957B4B" w:rsidRDefault="00957B4B" w:rsidP="00B06FE8">
      <w:pPr>
        <w:spacing w:after="0" w:line="240" w:lineRule="auto"/>
      </w:pPr>
      <w:r>
        <w:separator/>
      </w:r>
    </w:p>
  </w:footnote>
  <w:footnote w:type="continuationSeparator" w:id="0">
    <w:p w14:paraId="5E743866" w14:textId="77777777" w:rsidR="00957B4B" w:rsidRDefault="00957B4B" w:rsidP="00B06FE8">
      <w:pPr>
        <w:spacing w:after="0" w:line="240" w:lineRule="auto"/>
      </w:pPr>
      <w:r>
        <w:continuationSeparator/>
      </w:r>
    </w:p>
  </w:footnote>
  <w:footnote w:id="1">
    <w:p w14:paraId="32F84D8C" w14:textId="77777777" w:rsidR="0017286C" w:rsidRPr="000549D1" w:rsidRDefault="0017286C" w:rsidP="0017286C">
      <w:pPr>
        <w:pStyle w:val="Textonotapie"/>
        <w:ind w:firstLine="709"/>
        <w:jc w:val="both"/>
        <w:rPr>
          <w:rFonts w:ascii="Arial" w:hAnsi="Arial" w:cs="Arial"/>
          <w:color w:val="000000"/>
          <w:sz w:val="19"/>
          <w:szCs w:val="19"/>
        </w:rPr>
      </w:pPr>
      <w:r w:rsidRPr="000549D1">
        <w:rPr>
          <w:rStyle w:val="Refdenotaalpie"/>
          <w:rFonts w:ascii="Arial" w:hAnsi="Arial" w:cs="Arial"/>
          <w:color w:val="000000"/>
          <w:sz w:val="19"/>
          <w:szCs w:val="19"/>
        </w:rPr>
        <w:footnoteRef/>
      </w:r>
      <w:r w:rsidRPr="000549D1">
        <w:rPr>
          <w:rFonts w:ascii="Arial" w:hAnsi="Arial" w:cs="Arial"/>
          <w:color w:val="000000"/>
          <w:sz w:val="19"/>
          <w:szCs w:val="19"/>
        </w:rPr>
        <w:t xml:space="preserve"> «Parágrafo 3. El Gobierno Nacional tendrá la facultad de estandarizar las condiciones generales de los pliegos de condiciones y los contratos de las entidades estatales, cuando se trate de la adquisición o suministro de bienes y servicios de características técnicas uniformes y de común utilización por parte de las entidades».</w:t>
      </w:r>
    </w:p>
    <w:p w14:paraId="7AC3B6B1" w14:textId="77777777" w:rsidR="0017286C" w:rsidRPr="000549D1" w:rsidRDefault="0017286C" w:rsidP="0017286C">
      <w:pPr>
        <w:pStyle w:val="Textonotapie"/>
        <w:ind w:firstLine="709"/>
        <w:jc w:val="both"/>
        <w:rPr>
          <w:rFonts w:ascii="Arial" w:hAnsi="Arial" w:cs="Arial"/>
          <w:color w:val="000000"/>
          <w:sz w:val="19"/>
          <w:szCs w:val="19"/>
          <w:lang w:val="es-CO"/>
        </w:rPr>
      </w:pPr>
    </w:p>
  </w:footnote>
  <w:footnote w:id="2">
    <w:p w14:paraId="4144A567" w14:textId="77777777" w:rsidR="0017286C" w:rsidRPr="000549D1" w:rsidRDefault="0017286C" w:rsidP="0017286C">
      <w:pPr>
        <w:pStyle w:val="Textonotapie"/>
        <w:ind w:firstLine="708"/>
        <w:jc w:val="both"/>
        <w:rPr>
          <w:rFonts w:ascii="Arial" w:hAnsi="Arial" w:cs="Arial"/>
          <w:color w:val="000000"/>
          <w:sz w:val="19"/>
          <w:szCs w:val="19"/>
        </w:rPr>
      </w:pPr>
      <w:r w:rsidRPr="000549D1">
        <w:rPr>
          <w:rStyle w:val="Refdenotaalpie"/>
          <w:rFonts w:ascii="Arial" w:hAnsi="Arial" w:cs="Arial"/>
          <w:color w:val="000000"/>
          <w:sz w:val="19"/>
          <w:szCs w:val="19"/>
        </w:rPr>
        <w:footnoteRef/>
      </w:r>
      <w:r w:rsidRPr="000549D1">
        <w:rPr>
          <w:rFonts w:ascii="Arial" w:hAnsi="Arial" w:cs="Arial"/>
          <w:color w:val="000000"/>
          <w:sz w:val="19"/>
          <w:szCs w:val="19"/>
        </w:rPr>
        <w:t xml:space="preserve"> «ARTÍCULO 1o. Modifíquese el artículo 4o de la Ley 1882 de 2018, el cual quedará así:</w:t>
      </w:r>
    </w:p>
    <w:p w14:paraId="018A3910" w14:textId="77777777" w:rsidR="0017286C" w:rsidRPr="000549D1" w:rsidRDefault="0017286C" w:rsidP="0017286C">
      <w:pPr>
        <w:pStyle w:val="Textonotapie"/>
        <w:ind w:firstLine="708"/>
        <w:jc w:val="both"/>
        <w:rPr>
          <w:rFonts w:ascii="Arial" w:hAnsi="Arial" w:cs="Arial"/>
          <w:color w:val="000000"/>
          <w:sz w:val="19"/>
          <w:szCs w:val="19"/>
        </w:rPr>
      </w:pPr>
      <w:r w:rsidRPr="000549D1">
        <w:rPr>
          <w:rFonts w:ascii="Arial" w:hAnsi="Arial" w:cs="Arial"/>
          <w:color w:val="000000"/>
          <w:sz w:val="19"/>
          <w:szCs w:val="19"/>
        </w:rPr>
        <w:t>»Artículo 4o. Adiciónese el siguiente parágrafo al artículo 2o de la Ley 1150 de 2007.</w:t>
      </w:r>
    </w:p>
    <w:p w14:paraId="2EBBC9B8" w14:textId="77777777" w:rsidR="0017286C" w:rsidRPr="000549D1" w:rsidRDefault="0017286C" w:rsidP="0017286C">
      <w:pPr>
        <w:pStyle w:val="Textonotapie"/>
        <w:ind w:firstLine="708"/>
        <w:jc w:val="both"/>
        <w:rPr>
          <w:rFonts w:ascii="Arial" w:hAnsi="Arial" w:cs="Arial"/>
          <w:color w:val="000000"/>
          <w:sz w:val="19"/>
          <w:szCs w:val="19"/>
        </w:rPr>
      </w:pPr>
      <w:r w:rsidRPr="000549D1">
        <w:rPr>
          <w:rFonts w:ascii="Arial" w:hAnsi="Arial" w:cs="Arial"/>
          <w:color w:val="000000"/>
          <w:sz w:val="19"/>
          <w:szCs w:val="19"/>
        </w:rPr>
        <w:t>»PARÁGRAFO 7o.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75366671" w14:textId="77777777" w:rsidR="0017286C" w:rsidRPr="000549D1" w:rsidRDefault="0017286C" w:rsidP="0017286C">
      <w:pPr>
        <w:pStyle w:val="Textonotapie"/>
        <w:ind w:firstLine="708"/>
        <w:jc w:val="both"/>
        <w:rPr>
          <w:rFonts w:ascii="Arial" w:hAnsi="Arial" w:cs="Arial"/>
          <w:color w:val="000000"/>
          <w:sz w:val="19"/>
          <w:szCs w:val="19"/>
        </w:rPr>
      </w:pPr>
      <w:r w:rsidRPr="000549D1">
        <w:rPr>
          <w:rFonts w:ascii="Arial" w:hAnsi="Arial" w:cs="Arial"/>
          <w:color w:val="000000"/>
          <w:sz w:val="19"/>
          <w:szCs w:val="19"/>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4304F726" w14:textId="77777777" w:rsidR="0017286C" w:rsidRPr="000549D1" w:rsidRDefault="0017286C" w:rsidP="0017286C">
      <w:pPr>
        <w:pStyle w:val="Textonotapie"/>
        <w:ind w:firstLine="708"/>
        <w:jc w:val="both"/>
        <w:rPr>
          <w:rFonts w:ascii="Arial" w:hAnsi="Arial" w:cs="Arial"/>
          <w:color w:val="000000"/>
          <w:sz w:val="19"/>
          <w:szCs w:val="19"/>
        </w:rPr>
      </w:pPr>
      <w:r w:rsidRPr="000549D1">
        <w:rPr>
          <w:rFonts w:ascii="Arial" w:hAnsi="Arial" w:cs="Arial"/>
          <w:color w:val="000000"/>
          <w:sz w:val="19"/>
          <w:szCs w:val="19"/>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308A32DD" w14:textId="77777777" w:rsidR="0017286C" w:rsidRPr="000549D1" w:rsidRDefault="0017286C" w:rsidP="0017286C">
      <w:pPr>
        <w:pStyle w:val="Textonotapie"/>
        <w:ind w:firstLine="708"/>
        <w:jc w:val="both"/>
        <w:rPr>
          <w:rFonts w:ascii="Arial" w:hAnsi="Arial" w:cs="Arial"/>
          <w:color w:val="000000"/>
          <w:sz w:val="19"/>
          <w:szCs w:val="19"/>
        </w:rPr>
      </w:pPr>
      <w:r w:rsidRPr="000549D1">
        <w:rPr>
          <w:rFonts w:ascii="Arial" w:hAnsi="Arial" w:cs="Arial"/>
          <w:color w:val="000000"/>
          <w:sz w:val="19"/>
          <w:szCs w:val="19"/>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40CE1BC1" w14:textId="77777777" w:rsidR="0017286C" w:rsidRPr="000549D1" w:rsidRDefault="0017286C" w:rsidP="0017286C">
      <w:pPr>
        <w:pStyle w:val="Textonotapie"/>
        <w:ind w:firstLine="708"/>
        <w:jc w:val="both"/>
        <w:rPr>
          <w:rFonts w:ascii="Arial" w:hAnsi="Arial" w:cs="Arial"/>
          <w:color w:val="000000"/>
          <w:sz w:val="19"/>
          <w:szCs w:val="19"/>
          <w:lang w:val="es-CO"/>
        </w:rPr>
      </w:pPr>
      <w:r w:rsidRPr="000549D1">
        <w:rPr>
          <w:rFonts w:ascii="Arial" w:hAnsi="Arial" w:cs="Arial"/>
          <w:color w:val="000000"/>
          <w:sz w:val="19"/>
          <w:szCs w:val="19"/>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3">
    <w:p w14:paraId="501B910F" w14:textId="073DC56C" w:rsidR="00ED5901" w:rsidRDefault="00ED5901" w:rsidP="004E6224">
      <w:pPr>
        <w:pStyle w:val="Textonotapie"/>
        <w:ind w:firstLine="709"/>
        <w:jc w:val="both"/>
        <w:rPr>
          <w:rFonts w:ascii="Arial" w:hAnsi="Arial" w:cs="Arial"/>
          <w:sz w:val="19"/>
          <w:szCs w:val="19"/>
          <w:lang w:val="es-CO"/>
        </w:rPr>
      </w:pPr>
      <w:r w:rsidRPr="004E6224">
        <w:rPr>
          <w:rStyle w:val="Refdenotaalpie"/>
          <w:rFonts w:ascii="Arial" w:hAnsi="Arial" w:cs="Arial"/>
          <w:sz w:val="19"/>
          <w:szCs w:val="19"/>
        </w:rPr>
        <w:footnoteRef/>
      </w:r>
      <w:r w:rsidRPr="004E6224">
        <w:rPr>
          <w:rFonts w:ascii="Arial" w:hAnsi="Arial" w:cs="Arial"/>
          <w:sz w:val="19"/>
          <w:szCs w:val="19"/>
        </w:rPr>
        <w:t xml:space="preserve"> </w:t>
      </w:r>
      <w:r w:rsidRPr="004E6224">
        <w:rPr>
          <w:rFonts w:ascii="Arial" w:hAnsi="Arial" w:cs="Arial"/>
          <w:sz w:val="19"/>
          <w:szCs w:val="19"/>
          <w:lang w:val="es-CO"/>
        </w:rPr>
        <w:t xml:space="preserve">Consultoría de estudios y diseños de ingeniería en sus diferentes fases (1, 2 o 3) entendido en los términos de la definición de </w:t>
      </w:r>
      <w:r w:rsidRPr="004E6224">
        <w:rPr>
          <w:rFonts w:ascii="Arial" w:hAnsi="Arial" w:cs="Arial"/>
          <w:i/>
          <w:iCs/>
          <w:sz w:val="19"/>
          <w:szCs w:val="19"/>
          <w:lang w:val="es-CO"/>
        </w:rPr>
        <w:t>“estudios de ingeniería”</w:t>
      </w:r>
      <w:r w:rsidRPr="004E6224">
        <w:rPr>
          <w:rFonts w:ascii="Arial" w:hAnsi="Arial" w:cs="Arial"/>
          <w:sz w:val="19"/>
          <w:szCs w:val="19"/>
          <w:lang w:val="es-CO"/>
        </w:rPr>
        <w:t xml:space="preserve"> del artículo 12 de la Ley 1682 de 2013.</w:t>
      </w:r>
    </w:p>
    <w:p w14:paraId="67CB77E7" w14:textId="77777777" w:rsidR="004E6224" w:rsidRPr="004E6224" w:rsidRDefault="004E6224" w:rsidP="004E6224">
      <w:pPr>
        <w:pStyle w:val="Textonotapie"/>
        <w:ind w:firstLine="709"/>
        <w:jc w:val="both"/>
        <w:rPr>
          <w:rFonts w:ascii="Arial" w:hAnsi="Arial" w:cs="Arial"/>
          <w:sz w:val="19"/>
          <w:szCs w:val="19"/>
          <w:lang w:val="es-CO"/>
        </w:rPr>
      </w:pPr>
    </w:p>
  </w:footnote>
  <w:footnote w:id="4">
    <w:p w14:paraId="3499AC4A" w14:textId="6BDB0716" w:rsidR="00EA167B" w:rsidRPr="004E6224" w:rsidRDefault="00CC6976" w:rsidP="004E6224">
      <w:pPr>
        <w:pStyle w:val="Textonotapie"/>
        <w:ind w:firstLine="709"/>
        <w:jc w:val="both"/>
        <w:rPr>
          <w:rFonts w:ascii="Arial" w:hAnsi="Arial" w:cs="Arial"/>
          <w:sz w:val="19"/>
          <w:szCs w:val="19"/>
        </w:rPr>
      </w:pPr>
      <w:r w:rsidRPr="004E6224">
        <w:rPr>
          <w:rStyle w:val="Refdenotaalpie"/>
          <w:rFonts w:ascii="Arial" w:hAnsi="Arial" w:cs="Arial"/>
          <w:sz w:val="19"/>
          <w:szCs w:val="19"/>
        </w:rPr>
        <w:footnoteRef/>
      </w:r>
      <w:r w:rsidRPr="004E6224">
        <w:rPr>
          <w:rFonts w:ascii="Arial" w:hAnsi="Arial" w:cs="Arial"/>
          <w:sz w:val="19"/>
          <w:szCs w:val="19"/>
        </w:rPr>
        <w:t xml:space="preserve"> El artículo 4 de la Resolución </w:t>
      </w:r>
      <w:r w:rsidR="00477CB9" w:rsidRPr="004E6224">
        <w:rPr>
          <w:rFonts w:ascii="Arial" w:hAnsi="Arial" w:cs="Arial"/>
          <w:sz w:val="19"/>
          <w:szCs w:val="19"/>
        </w:rPr>
        <w:t>No. 193 del 14 de julio de 2021, dispone los siguiente: «</w:t>
      </w:r>
      <w:r w:rsidR="00100AB6" w:rsidRPr="00F23176">
        <w:rPr>
          <w:rFonts w:ascii="Arial" w:hAnsi="Arial" w:cs="Arial"/>
          <w:sz w:val="19"/>
          <w:szCs w:val="19"/>
        </w:rPr>
        <w:t>Servicios adicionales a la consultoría de estudios de ingeniería de infraestructura de transporte.</w:t>
      </w:r>
      <w:r w:rsidR="00100AB6" w:rsidRPr="004E6224">
        <w:rPr>
          <w:rFonts w:ascii="Arial" w:hAnsi="Arial" w:cs="Arial"/>
          <w:sz w:val="19"/>
          <w:szCs w:val="19"/>
        </w:rPr>
        <w:t xml:space="preserve"> </w:t>
      </w:r>
      <w:r w:rsidR="00DA5C21" w:rsidRPr="004E6224">
        <w:rPr>
          <w:rFonts w:ascii="Arial" w:hAnsi="Arial" w:cs="Arial"/>
          <w:sz w:val="19"/>
          <w:szCs w:val="19"/>
        </w:rPr>
        <w:t xml:space="preserve">Sin </w:t>
      </w:r>
      <w:r w:rsidR="000F2FA9" w:rsidRPr="004E6224">
        <w:rPr>
          <w:rFonts w:ascii="Arial" w:hAnsi="Arial" w:cs="Arial"/>
          <w:sz w:val="19"/>
          <w:szCs w:val="19"/>
        </w:rPr>
        <w:t xml:space="preserve">perjuicio de lo previsto en el pliego de condiciones para los componentes </w:t>
      </w:r>
      <w:r w:rsidR="003478DE" w:rsidRPr="004E6224">
        <w:rPr>
          <w:rFonts w:ascii="Arial" w:hAnsi="Arial" w:cs="Arial"/>
          <w:sz w:val="19"/>
          <w:szCs w:val="19"/>
        </w:rPr>
        <w:t xml:space="preserve">de las consultorías integrales, cuando el objeto contractual incluya servicios </w:t>
      </w:r>
      <w:r w:rsidR="004765E9" w:rsidRPr="004E6224">
        <w:rPr>
          <w:rFonts w:ascii="Arial" w:hAnsi="Arial" w:cs="Arial"/>
          <w:sz w:val="19"/>
          <w:szCs w:val="19"/>
        </w:rPr>
        <w:t xml:space="preserve">adicionales a los estudios de ingeniería de infraestructura de transporte, la entidad estatal deberá aplicar </w:t>
      </w:r>
      <w:r w:rsidR="00EA167B" w:rsidRPr="004E6224">
        <w:rPr>
          <w:rFonts w:ascii="Arial" w:hAnsi="Arial" w:cs="Arial"/>
          <w:sz w:val="19"/>
          <w:szCs w:val="19"/>
        </w:rPr>
        <w:t xml:space="preserve">los documentos tipo. Si de manera excepcional requiere incluir experiencia adicional para evaluar la idoneidad respecto </w:t>
      </w:r>
      <w:r w:rsidR="00DB2CCB" w:rsidRPr="004E6224">
        <w:rPr>
          <w:rFonts w:ascii="Arial" w:hAnsi="Arial" w:cs="Arial"/>
          <w:sz w:val="19"/>
          <w:szCs w:val="19"/>
        </w:rPr>
        <w:t xml:space="preserve">de la consultoría de obras, bienes o servicios adicionales a la consultoría de estudios de </w:t>
      </w:r>
      <w:r w:rsidR="00E92C0A" w:rsidRPr="004E6224">
        <w:rPr>
          <w:rFonts w:ascii="Arial" w:hAnsi="Arial" w:cs="Arial"/>
          <w:sz w:val="19"/>
          <w:szCs w:val="19"/>
        </w:rPr>
        <w:t xml:space="preserve">ingeniería de </w:t>
      </w:r>
      <w:r w:rsidR="005F0A83" w:rsidRPr="004E6224">
        <w:rPr>
          <w:rFonts w:ascii="Arial" w:hAnsi="Arial" w:cs="Arial"/>
          <w:sz w:val="19"/>
          <w:szCs w:val="19"/>
        </w:rPr>
        <w:t xml:space="preserve">infraestructura de transporte, </w:t>
      </w:r>
      <w:r w:rsidR="00986D42" w:rsidRPr="004E6224">
        <w:rPr>
          <w:rFonts w:ascii="Arial" w:hAnsi="Arial" w:cs="Arial"/>
          <w:sz w:val="19"/>
          <w:szCs w:val="19"/>
        </w:rPr>
        <w:t>deberá seguir los siguientes parámetros:</w:t>
      </w:r>
    </w:p>
    <w:p w14:paraId="4CABD9E4" w14:textId="2CD07FAB" w:rsidR="00CF7C0E" w:rsidRPr="004E6224" w:rsidRDefault="006E7D87" w:rsidP="004E6224">
      <w:pPr>
        <w:pStyle w:val="Textonotapie"/>
        <w:ind w:firstLine="709"/>
        <w:jc w:val="both"/>
        <w:rPr>
          <w:rFonts w:ascii="Arial" w:hAnsi="Arial" w:cs="Arial"/>
          <w:sz w:val="19"/>
          <w:szCs w:val="19"/>
        </w:rPr>
      </w:pPr>
      <w:r w:rsidRPr="004E6224">
        <w:rPr>
          <w:rFonts w:ascii="Arial" w:hAnsi="Arial" w:cs="Arial"/>
          <w:sz w:val="19"/>
          <w:szCs w:val="19"/>
        </w:rPr>
        <w:t>»</w:t>
      </w:r>
      <w:r w:rsidR="00CF7C0E" w:rsidRPr="004E6224">
        <w:rPr>
          <w:rFonts w:ascii="Arial" w:hAnsi="Arial" w:cs="Arial"/>
          <w:sz w:val="19"/>
          <w:szCs w:val="19"/>
        </w:rPr>
        <w:t>[…]</w:t>
      </w:r>
    </w:p>
    <w:p w14:paraId="54E5E25D" w14:textId="40EA1917" w:rsidR="00CF7C0E" w:rsidRPr="004E6224" w:rsidRDefault="006E7D87" w:rsidP="004E6224">
      <w:pPr>
        <w:pStyle w:val="Textonotapie"/>
        <w:ind w:firstLine="709"/>
        <w:jc w:val="both"/>
        <w:rPr>
          <w:rFonts w:ascii="Arial" w:hAnsi="Arial" w:cs="Arial"/>
          <w:sz w:val="19"/>
          <w:szCs w:val="19"/>
        </w:rPr>
      </w:pPr>
      <w:r w:rsidRPr="004E6224">
        <w:rPr>
          <w:rFonts w:ascii="Arial" w:hAnsi="Arial" w:cs="Arial"/>
          <w:sz w:val="19"/>
          <w:szCs w:val="19"/>
        </w:rPr>
        <w:t>»</w:t>
      </w:r>
      <w:r w:rsidR="00597DA5" w:rsidRPr="004E6224">
        <w:rPr>
          <w:rFonts w:ascii="Arial" w:hAnsi="Arial" w:cs="Arial"/>
          <w:sz w:val="19"/>
          <w:szCs w:val="19"/>
        </w:rPr>
        <w:t xml:space="preserve">Parágrafo 1. Para </w:t>
      </w:r>
      <w:r w:rsidR="008D7215" w:rsidRPr="004E6224">
        <w:rPr>
          <w:rFonts w:ascii="Arial" w:hAnsi="Arial" w:cs="Arial"/>
          <w:sz w:val="19"/>
          <w:szCs w:val="19"/>
        </w:rPr>
        <w:t xml:space="preserve">la aplicación de este artículo, se entiende por “servicios adicionales” </w:t>
      </w:r>
      <w:r w:rsidR="00161EC2" w:rsidRPr="004E6224">
        <w:rPr>
          <w:rFonts w:ascii="Arial" w:hAnsi="Arial" w:cs="Arial"/>
          <w:sz w:val="19"/>
          <w:szCs w:val="19"/>
        </w:rPr>
        <w:t xml:space="preserve">aquellas actividades que no están incluidas en la “Matriz 1 – Experiencia” de estos documentos tipo, </w:t>
      </w:r>
      <w:r w:rsidR="00E17033" w:rsidRPr="004E6224">
        <w:rPr>
          <w:rFonts w:ascii="Arial" w:hAnsi="Arial" w:cs="Arial"/>
          <w:sz w:val="19"/>
          <w:szCs w:val="19"/>
        </w:rPr>
        <w:t xml:space="preserve">pero que están relacionadas con el contrato a ejecutar. Por ejemplo, en el caso de que el proyecto </w:t>
      </w:r>
      <w:r w:rsidR="002C0BFE" w:rsidRPr="004E6224">
        <w:rPr>
          <w:rFonts w:ascii="Arial" w:hAnsi="Arial" w:cs="Arial"/>
          <w:sz w:val="19"/>
          <w:szCs w:val="19"/>
        </w:rPr>
        <w:t xml:space="preserve">de consultoría a ejecutar esté relacionado con infraestructura de transporte, pero además, con proyectos de agua potable </w:t>
      </w:r>
      <w:r w:rsidR="004E6224" w:rsidRPr="004E6224">
        <w:rPr>
          <w:rFonts w:ascii="Arial" w:hAnsi="Arial" w:cs="Arial"/>
          <w:sz w:val="19"/>
          <w:szCs w:val="19"/>
        </w:rPr>
        <w:t>y</w:t>
      </w:r>
      <w:r w:rsidR="002C0BFE" w:rsidRPr="004E6224">
        <w:rPr>
          <w:rFonts w:ascii="Arial" w:hAnsi="Arial" w:cs="Arial"/>
          <w:sz w:val="19"/>
          <w:szCs w:val="19"/>
        </w:rPr>
        <w:t xml:space="preserve"> saneamiento </w:t>
      </w:r>
      <w:r w:rsidR="00D3756C" w:rsidRPr="004E6224">
        <w:rPr>
          <w:rFonts w:ascii="Arial" w:hAnsi="Arial" w:cs="Arial"/>
          <w:sz w:val="19"/>
          <w:szCs w:val="19"/>
        </w:rPr>
        <w:t xml:space="preserve">básico o con proyectos en la construcción de un parque, el servicio adicional serán las actividades </w:t>
      </w:r>
      <w:r w:rsidR="00E114F3" w:rsidRPr="004E6224">
        <w:rPr>
          <w:rFonts w:ascii="Arial" w:hAnsi="Arial" w:cs="Arial"/>
          <w:sz w:val="19"/>
          <w:szCs w:val="19"/>
        </w:rPr>
        <w:t>de estudios y diseños en infraestructura de agua potable y saneamiento básico</w:t>
      </w:r>
      <w:r w:rsidR="005030EE" w:rsidRPr="004E6224">
        <w:rPr>
          <w:rFonts w:ascii="Arial" w:hAnsi="Arial" w:cs="Arial"/>
          <w:sz w:val="19"/>
          <w:szCs w:val="19"/>
        </w:rPr>
        <w:t xml:space="preserve"> o las relacionadas con los estudios y diseños para la construcción del parque. </w:t>
      </w:r>
    </w:p>
    <w:p w14:paraId="224FBB69" w14:textId="794C82AB" w:rsidR="005030EE" w:rsidRDefault="006E7D87" w:rsidP="004E6224">
      <w:pPr>
        <w:pStyle w:val="Textonotapie"/>
        <w:ind w:firstLine="709"/>
        <w:jc w:val="both"/>
      </w:pPr>
      <w:r w:rsidRPr="004E6224">
        <w:rPr>
          <w:rFonts w:ascii="Arial" w:hAnsi="Arial" w:cs="Arial"/>
          <w:sz w:val="19"/>
          <w:szCs w:val="19"/>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FEDC4F" w14:textId="77777777" w:rsidR="007B15C3" w:rsidRDefault="00645C01" w:rsidP="007B15C3">
    <w:pPr>
      <w:pStyle w:val="Encabezado"/>
      <w:jc w:val="right"/>
    </w:pPr>
    <w:bookmarkStart w:id="9" w:name="_Hlk87951133"/>
    <w:bookmarkStart w:id="10" w:name="_Hlk87951134"/>
  </w:p>
  <w:bookmarkEnd w:id="9"/>
  <w:bookmarkEnd w:id="10"/>
  <w:p w14:paraId="0D568204" w14:textId="77777777" w:rsidR="007B15C3" w:rsidRDefault="00B06FE8" w:rsidP="007B15C3">
    <w:pPr>
      <w:pStyle w:val="Encabezado"/>
      <w:jc w:val="right"/>
    </w:pPr>
    <w:r>
      <w:rPr>
        <w:noProof/>
        <w:lang w:val="es-ES_tradnl" w:eastAsia="es-ES_tradnl"/>
      </w:rPr>
      <w:drawing>
        <wp:anchor distT="0" distB="0" distL="114300" distR="114300" simplePos="0" relativeHeight="251659264" behindDoc="1" locked="0" layoutInCell="1" allowOverlap="1" wp14:anchorId="4B3C3D0B" wp14:editId="60FEBF63">
          <wp:simplePos x="0" y="0"/>
          <wp:positionH relativeFrom="margin">
            <wp:align>right</wp:align>
          </wp:positionH>
          <wp:positionV relativeFrom="paragraph">
            <wp:posOffset>38792</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5" name="0 Imagen" descr="For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0 Imagen" descr="Form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AC69996" w14:textId="77777777" w:rsidR="007B15C3" w:rsidRDefault="00645C01">
    <w:pPr>
      <w:pStyle w:val="Encabezado"/>
    </w:pPr>
  </w:p>
  <w:p w14:paraId="3FFEE9EE" w14:textId="20B5AC88" w:rsidR="001C0A90" w:rsidRDefault="00645C01">
    <w:pPr>
      <w:pStyle w:val="Encabezado"/>
    </w:pPr>
  </w:p>
  <w:p w14:paraId="74A8AE53" w14:textId="77777777" w:rsidR="00B06FE8" w:rsidRDefault="00B06FE8">
    <w:pPr>
      <w:pStyle w:val="Encabezado"/>
    </w:pPr>
  </w:p>
  <w:p w14:paraId="31613284" w14:textId="77777777" w:rsidR="001C0A90" w:rsidRDefault="00645C0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FBB287E8"/>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num w:numId="1" w16cid:durableId="1392071983">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6FE8"/>
    <w:rsid w:val="00003A47"/>
    <w:rsid w:val="00032DF1"/>
    <w:rsid w:val="00033C62"/>
    <w:rsid w:val="000340FF"/>
    <w:rsid w:val="000345FC"/>
    <w:rsid w:val="00036F2D"/>
    <w:rsid w:val="000430EC"/>
    <w:rsid w:val="00060343"/>
    <w:rsid w:val="00066D53"/>
    <w:rsid w:val="000707A2"/>
    <w:rsid w:val="000844F3"/>
    <w:rsid w:val="000849AA"/>
    <w:rsid w:val="00093ECF"/>
    <w:rsid w:val="00093F55"/>
    <w:rsid w:val="000B57A8"/>
    <w:rsid w:val="000B6329"/>
    <w:rsid w:val="000C2200"/>
    <w:rsid w:val="000C53D9"/>
    <w:rsid w:val="000D4040"/>
    <w:rsid w:val="000D5681"/>
    <w:rsid w:val="000F2FA9"/>
    <w:rsid w:val="000F3C41"/>
    <w:rsid w:val="00100AB6"/>
    <w:rsid w:val="00107843"/>
    <w:rsid w:val="001123D1"/>
    <w:rsid w:val="001155DF"/>
    <w:rsid w:val="0013097B"/>
    <w:rsid w:val="001532CA"/>
    <w:rsid w:val="001570A9"/>
    <w:rsid w:val="00161EC2"/>
    <w:rsid w:val="00166F28"/>
    <w:rsid w:val="0017286C"/>
    <w:rsid w:val="0019126E"/>
    <w:rsid w:val="001A19E2"/>
    <w:rsid w:val="001A63B9"/>
    <w:rsid w:val="001B3C2C"/>
    <w:rsid w:val="00203019"/>
    <w:rsid w:val="00217B79"/>
    <w:rsid w:val="0024161D"/>
    <w:rsid w:val="00255991"/>
    <w:rsid w:val="00257414"/>
    <w:rsid w:val="002622F0"/>
    <w:rsid w:val="0026285F"/>
    <w:rsid w:val="00263FA1"/>
    <w:rsid w:val="0026586A"/>
    <w:rsid w:val="00266C92"/>
    <w:rsid w:val="00270881"/>
    <w:rsid w:val="002733E2"/>
    <w:rsid w:val="00273744"/>
    <w:rsid w:val="0028135D"/>
    <w:rsid w:val="0028273A"/>
    <w:rsid w:val="00290A43"/>
    <w:rsid w:val="002A6D69"/>
    <w:rsid w:val="002A76D4"/>
    <w:rsid w:val="002C0BFE"/>
    <w:rsid w:val="002C47BA"/>
    <w:rsid w:val="002E6ACA"/>
    <w:rsid w:val="002E71A7"/>
    <w:rsid w:val="002F4367"/>
    <w:rsid w:val="00310FA5"/>
    <w:rsid w:val="003157D7"/>
    <w:rsid w:val="003172D1"/>
    <w:rsid w:val="00322B2C"/>
    <w:rsid w:val="00327AE2"/>
    <w:rsid w:val="003374D9"/>
    <w:rsid w:val="00340941"/>
    <w:rsid w:val="00340F97"/>
    <w:rsid w:val="0034483C"/>
    <w:rsid w:val="003478DE"/>
    <w:rsid w:val="00357762"/>
    <w:rsid w:val="00357B08"/>
    <w:rsid w:val="00377152"/>
    <w:rsid w:val="003854C0"/>
    <w:rsid w:val="003A2BF9"/>
    <w:rsid w:val="003B3E5B"/>
    <w:rsid w:val="003B5DD3"/>
    <w:rsid w:val="003D1091"/>
    <w:rsid w:val="003D767A"/>
    <w:rsid w:val="00414AED"/>
    <w:rsid w:val="00430C1D"/>
    <w:rsid w:val="00434DB8"/>
    <w:rsid w:val="004461D3"/>
    <w:rsid w:val="00456CF5"/>
    <w:rsid w:val="004676A0"/>
    <w:rsid w:val="004765E9"/>
    <w:rsid w:val="00477CB9"/>
    <w:rsid w:val="00482602"/>
    <w:rsid w:val="00483D61"/>
    <w:rsid w:val="004A5617"/>
    <w:rsid w:val="004B03A3"/>
    <w:rsid w:val="004C5BC9"/>
    <w:rsid w:val="004D3A6E"/>
    <w:rsid w:val="004E128D"/>
    <w:rsid w:val="004E6224"/>
    <w:rsid w:val="005030EE"/>
    <w:rsid w:val="00523FC7"/>
    <w:rsid w:val="00524660"/>
    <w:rsid w:val="00525168"/>
    <w:rsid w:val="00525BC3"/>
    <w:rsid w:val="005412D2"/>
    <w:rsid w:val="00572276"/>
    <w:rsid w:val="00585396"/>
    <w:rsid w:val="00587607"/>
    <w:rsid w:val="005927BE"/>
    <w:rsid w:val="00594AC3"/>
    <w:rsid w:val="00597DA5"/>
    <w:rsid w:val="005A019B"/>
    <w:rsid w:val="005A0BF4"/>
    <w:rsid w:val="005A6184"/>
    <w:rsid w:val="005E1318"/>
    <w:rsid w:val="005F0A83"/>
    <w:rsid w:val="005F18CA"/>
    <w:rsid w:val="006035E0"/>
    <w:rsid w:val="00621F5D"/>
    <w:rsid w:val="00623112"/>
    <w:rsid w:val="00630855"/>
    <w:rsid w:val="00643637"/>
    <w:rsid w:val="00645C01"/>
    <w:rsid w:val="00660C8A"/>
    <w:rsid w:val="006814E1"/>
    <w:rsid w:val="00684F30"/>
    <w:rsid w:val="0068756B"/>
    <w:rsid w:val="00690CB6"/>
    <w:rsid w:val="006A5481"/>
    <w:rsid w:val="006C2325"/>
    <w:rsid w:val="006E3403"/>
    <w:rsid w:val="006E6461"/>
    <w:rsid w:val="006E668C"/>
    <w:rsid w:val="006E7D87"/>
    <w:rsid w:val="006F0FA6"/>
    <w:rsid w:val="00705755"/>
    <w:rsid w:val="007135C0"/>
    <w:rsid w:val="00717C1D"/>
    <w:rsid w:val="007222F2"/>
    <w:rsid w:val="00722547"/>
    <w:rsid w:val="00723290"/>
    <w:rsid w:val="0072586C"/>
    <w:rsid w:val="00740715"/>
    <w:rsid w:val="00743C06"/>
    <w:rsid w:val="00745999"/>
    <w:rsid w:val="00782275"/>
    <w:rsid w:val="007A424D"/>
    <w:rsid w:val="007B3FCB"/>
    <w:rsid w:val="007F33F9"/>
    <w:rsid w:val="007F6078"/>
    <w:rsid w:val="00806646"/>
    <w:rsid w:val="00824022"/>
    <w:rsid w:val="008315BB"/>
    <w:rsid w:val="0084749A"/>
    <w:rsid w:val="00860D4A"/>
    <w:rsid w:val="00872FFF"/>
    <w:rsid w:val="00895066"/>
    <w:rsid w:val="008A24A0"/>
    <w:rsid w:val="008B4F71"/>
    <w:rsid w:val="008D3951"/>
    <w:rsid w:val="008D7215"/>
    <w:rsid w:val="008F1882"/>
    <w:rsid w:val="008F3926"/>
    <w:rsid w:val="008F63D6"/>
    <w:rsid w:val="0094211D"/>
    <w:rsid w:val="00957B4B"/>
    <w:rsid w:val="009620A8"/>
    <w:rsid w:val="00963E3D"/>
    <w:rsid w:val="00980536"/>
    <w:rsid w:val="00986382"/>
    <w:rsid w:val="00986D42"/>
    <w:rsid w:val="009A13F2"/>
    <w:rsid w:val="009A7C19"/>
    <w:rsid w:val="009C19A7"/>
    <w:rsid w:val="009C33EB"/>
    <w:rsid w:val="009C73B4"/>
    <w:rsid w:val="009D4DA1"/>
    <w:rsid w:val="009E5F31"/>
    <w:rsid w:val="009F4910"/>
    <w:rsid w:val="009F7D4E"/>
    <w:rsid w:val="00A10C95"/>
    <w:rsid w:val="00A31EF5"/>
    <w:rsid w:val="00A331CA"/>
    <w:rsid w:val="00A33C2E"/>
    <w:rsid w:val="00A539E2"/>
    <w:rsid w:val="00A81734"/>
    <w:rsid w:val="00A86466"/>
    <w:rsid w:val="00AA2BF6"/>
    <w:rsid w:val="00AB0EFA"/>
    <w:rsid w:val="00AC0A10"/>
    <w:rsid w:val="00AD09B2"/>
    <w:rsid w:val="00AE2643"/>
    <w:rsid w:val="00AF2EEC"/>
    <w:rsid w:val="00AF7089"/>
    <w:rsid w:val="00B06FE8"/>
    <w:rsid w:val="00B11CA3"/>
    <w:rsid w:val="00B21ED7"/>
    <w:rsid w:val="00B23E3C"/>
    <w:rsid w:val="00B335D4"/>
    <w:rsid w:val="00B450EC"/>
    <w:rsid w:val="00B6767A"/>
    <w:rsid w:val="00B766BE"/>
    <w:rsid w:val="00B86D3E"/>
    <w:rsid w:val="00B92560"/>
    <w:rsid w:val="00B96251"/>
    <w:rsid w:val="00BA365E"/>
    <w:rsid w:val="00BA52AC"/>
    <w:rsid w:val="00BB036A"/>
    <w:rsid w:val="00BB103A"/>
    <w:rsid w:val="00BB1655"/>
    <w:rsid w:val="00BF443F"/>
    <w:rsid w:val="00C0527A"/>
    <w:rsid w:val="00C07A77"/>
    <w:rsid w:val="00C1299B"/>
    <w:rsid w:val="00C226FB"/>
    <w:rsid w:val="00C23D0A"/>
    <w:rsid w:val="00C34BEF"/>
    <w:rsid w:val="00C53532"/>
    <w:rsid w:val="00C5551E"/>
    <w:rsid w:val="00C639F6"/>
    <w:rsid w:val="00C710FE"/>
    <w:rsid w:val="00C74912"/>
    <w:rsid w:val="00C749F6"/>
    <w:rsid w:val="00C7723A"/>
    <w:rsid w:val="00CB099D"/>
    <w:rsid w:val="00CB1966"/>
    <w:rsid w:val="00CC6976"/>
    <w:rsid w:val="00CD2225"/>
    <w:rsid w:val="00CD2875"/>
    <w:rsid w:val="00CD72A3"/>
    <w:rsid w:val="00CE2971"/>
    <w:rsid w:val="00CF3A4F"/>
    <w:rsid w:val="00CF7C0E"/>
    <w:rsid w:val="00D01DF5"/>
    <w:rsid w:val="00D100F9"/>
    <w:rsid w:val="00D2016C"/>
    <w:rsid w:val="00D249F1"/>
    <w:rsid w:val="00D26742"/>
    <w:rsid w:val="00D3756C"/>
    <w:rsid w:val="00D545BA"/>
    <w:rsid w:val="00D62FE1"/>
    <w:rsid w:val="00D63C4B"/>
    <w:rsid w:val="00D70C51"/>
    <w:rsid w:val="00D746F7"/>
    <w:rsid w:val="00D762E6"/>
    <w:rsid w:val="00D87CCB"/>
    <w:rsid w:val="00DA5C21"/>
    <w:rsid w:val="00DB2CCB"/>
    <w:rsid w:val="00DB5D0B"/>
    <w:rsid w:val="00DD72EF"/>
    <w:rsid w:val="00DE3A03"/>
    <w:rsid w:val="00DF679A"/>
    <w:rsid w:val="00E05C0B"/>
    <w:rsid w:val="00E114F3"/>
    <w:rsid w:val="00E127AB"/>
    <w:rsid w:val="00E17033"/>
    <w:rsid w:val="00E22326"/>
    <w:rsid w:val="00E26CD9"/>
    <w:rsid w:val="00E4382D"/>
    <w:rsid w:val="00E4530F"/>
    <w:rsid w:val="00E56EA2"/>
    <w:rsid w:val="00E637C3"/>
    <w:rsid w:val="00E71A05"/>
    <w:rsid w:val="00E923DF"/>
    <w:rsid w:val="00E92A1F"/>
    <w:rsid w:val="00E92C0A"/>
    <w:rsid w:val="00E92E2F"/>
    <w:rsid w:val="00EA167B"/>
    <w:rsid w:val="00EA4CD1"/>
    <w:rsid w:val="00EB0127"/>
    <w:rsid w:val="00ED5901"/>
    <w:rsid w:val="00EE159F"/>
    <w:rsid w:val="00EE6D58"/>
    <w:rsid w:val="00EF7A97"/>
    <w:rsid w:val="00F13EB4"/>
    <w:rsid w:val="00F23176"/>
    <w:rsid w:val="00F43B53"/>
    <w:rsid w:val="00F654C8"/>
    <w:rsid w:val="00F90781"/>
    <w:rsid w:val="00F96438"/>
    <w:rsid w:val="00FA381A"/>
    <w:rsid w:val="00FA3D26"/>
    <w:rsid w:val="00FB6EEE"/>
    <w:rsid w:val="00FE696F"/>
    <w:rsid w:val="00FF0DA5"/>
    <w:rsid w:val="00FF38B8"/>
    <w:rsid w:val="00FF3F78"/>
    <w:rsid w:val="00FF50D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D589E"/>
  <w15:chartTrackingRefBased/>
  <w15:docId w15:val="{51E74A1F-3C46-4BAA-8253-9EB8A514A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6FE8"/>
    <w:pPr>
      <w:spacing w:after="120" w:line="276" w:lineRule="auto"/>
      <w:ind w:firstLine="709"/>
      <w:jc w:val="both"/>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B06F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06FE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B06FE8"/>
    <w:pPr>
      <w:spacing w:after="0" w:line="240" w:lineRule="auto"/>
      <w:ind w:firstLine="0"/>
      <w:jc w:val="left"/>
    </w:pPr>
    <w:rPr>
      <w:sz w:val="20"/>
      <w:szCs w:val="20"/>
      <w:lang w:val="es-MX"/>
    </w:rPr>
  </w:style>
  <w:style w:type="character" w:customStyle="1" w:styleId="TextonotapieCar1">
    <w:name w:val="Texto nota pie Car1"/>
    <w:basedOn w:val="Fuentedeprrafopredeter"/>
    <w:uiPriority w:val="99"/>
    <w:semiHidden/>
    <w:rsid w:val="00B06FE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B06FE8"/>
    <w:rPr>
      <w:vertAlign w:val="superscript"/>
    </w:rPr>
  </w:style>
  <w:style w:type="paragraph" w:customStyle="1" w:styleId="Appelnotedebasde">
    <w:name w:val="Appel note de bas de..."/>
    <w:basedOn w:val="Normal"/>
    <w:link w:val="Refdenotaalpie"/>
    <w:uiPriority w:val="99"/>
    <w:rsid w:val="00B06FE8"/>
    <w:pPr>
      <w:spacing w:after="160" w:line="240" w:lineRule="exact"/>
      <w:ind w:firstLine="0"/>
      <w:jc w:val="left"/>
    </w:pPr>
    <w:rPr>
      <w:vertAlign w:val="superscript"/>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B06FE8"/>
    <w:pPr>
      <w:spacing w:after="0" w:line="240" w:lineRule="auto"/>
      <w:ind w:left="720" w:firstLine="0"/>
      <w:contextualSpacing/>
      <w:jc w:val="left"/>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06FE8"/>
    <w:rPr>
      <w:sz w:val="24"/>
      <w:lang w:val="es-MX"/>
    </w:rPr>
  </w:style>
  <w:style w:type="paragraph" w:styleId="Encabezado">
    <w:name w:val="header"/>
    <w:basedOn w:val="Normal"/>
    <w:link w:val="EncabezadoCar"/>
    <w:uiPriority w:val="99"/>
    <w:unhideWhenUsed/>
    <w:rsid w:val="00B06FE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06FE8"/>
  </w:style>
  <w:style w:type="paragraph" w:styleId="Piedepgina">
    <w:name w:val="footer"/>
    <w:basedOn w:val="Normal"/>
    <w:link w:val="PiedepginaCar"/>
    <w:uiPriority w:val="99"/>
    <w:unhideWhenUsed/>
    <w:rsid w:val="00B06FE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06FE8"/>
  </w:style>
  <w:style w:type="paragraph" w:styleId="Sinespaciado">
    <w:name w:val="No Spacing"/>
    <w:aliases w:val="No Indent"/>
    <w:uiPriority w:val="3"/>
    <w:qFormat/>
    <w:rsid w:val="00B06FE8"/>
    <w:pPr>
      <w:spacing w:after="0" w:line="240" w:lineRule="auto"/>
    </w:pPr>
    <w:rPr>
      <w:sz w:val="24"/>
      <w:lang w:val="es-MX"/>
    </w:rPr>
  </w:style>
  <w:style w:type="table" w:customStyle="1" w:styleId="Tablaconcuadrcula1">
    <w:name w:val="Tabla con cuadrícula1"/>
    <w:basedOn w:val="Tablanormal"/>
    <w:next w:val="Tablaconcuadrcula"/>
    <w:uiPriority w:val="59"/>
    <w:rsid w:val="00B06F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1pt">
    <w:name w:val="Normal + 11 pt"/>
    <w:aliases w:val="Negro,Justificado,Izquierda:  -0,95 cm,Derecha:  0,04 cm"/>
    <w:basedOn w:val="Normal"/>
    <w:uiPriority w:val="99"/>
    <w:rsid w:val="00B06FE8"/>
    <w:pPr>
      <w:spacing w:after="0" w:line="240" w:lineRule="auto"/>
      <w:ind w:left="-540" w:firstLine="0"/>
    </w:pPr>
    <w:rPr>
      <w:rFonts w:ascii="Arial" w:eastAsia="Times New Roman" w:hAnsi="Arial" w:cs="Arial"/>
      <w:color w:val="000000"/>
      <w:lang w:val="es-ES_tradnl" w:eastAsia="es-ES"/>
    </w:rPr>
  </w:style>
  <w:style w:type="paragraph" w:styleId="Revisin">
    <w:name w:val="Revision"/>
    <w:hidden/>
    <w:uiPriority w:val="99"/>
    <w:semiHidden/>
    <w:rsid w:val="00AF2EEC"/>
    <w:pPr>
      <w:spacing w:after="0" w:line="240" w:lineRule="auto"/>
    </w:pPr>
  </w:style>
  <w:style w:type="character" w:styleId="Refdecomentario">
    <w:name w:val="annotation reference"/>
    <w:basedOn w:val="Fuentedeprrafopredeter"/>
    <w:uiPriority w:val="99"/>
    <w:semiHidden/>
    <w:unhideWhenUsed/>
    <w:rsid w:val="00D01DF5"/>
    <w:rPr>
      <w:sz w:val="16"/>
      <w:szCs w:val="16"/>
    </w:rPr>
  </w:style>
  <w:style w:type="paragraph" w:styleId="Textocomentario">
    <w:name w:val="annotation text"/>
    <w:basedOn w:val="Normal"/>
    <w:link w:val="TextocomentarioCar"/>
    <w:uiPriority w:val="99"/>
    <w:unhideWhenUsed/>
    <w:rsid w:val="00D01DF5"/>
    <w:pPr>
      <w:spacing w:line="240" w:lineRule="auto"/>
    </w:pPr>
    <w:rPr>
      <w:sz w:val="20"/>
      <w:szCs w:val="20"/>
    </w:rPr>
  </w:style>
  <w:style w:type="character" w:customStyle="1" w:styleId="TextocomentarioCar">
    <w:name w:val="Texto comentario Car"/>
    <w:basedOn w:val="Fuentedeprrafopredeter"/>
    <w:link w:val="Textocomentario"/>
    <w:uiPriority w:val="99"/>
    <w:rsid w:val="00D01DF5"/>
    <w:rPr>
      <w:sz w:val="20"/>
      <w:szCs w:val="20"/>
    </w:rPr>
  </w:style>
  <w:style w:type="paragraph" w:styleId="Asuntodelcomentario">
    <w:name w:val="annotation subject"/>
    <w:basedOn w:val="Textocomentario"/>
    <w:next w:val="Textocomentario"/>
    <w:link w:val="AsuntodelcomentarioCar"/>
    <w:uiPriority w:val="99"/>
    <w:semiHidden/>
    <w:unhideWhenUsed/>
    <w:rsid w:val="00D01DF5"/>
    <w:rPr>
      <w:b/>
      <w:bCs/>
    </w:rPr>
  </w:style>
  <w:style w:type="character" w:customStyle="1" w:styleId="AsuntodelcomentarioCar">
    <w:name w:val="Asunto del comentario Car"/>
    <w:basedOn w:val="TextocomentarioCar"/>
    <w:link w:val="Asuntodelcomentario"/>
    <w:uiPriority w:val="99"/>
    <w:semiHidden/>
    <w:rsid w:val="00D01DF5"/>
    <w:rPr>
      <w:b/>
      <w:bCs/>
      <w:sz w:val="20"/>
      <w:szCs w:val="20"/>
    </w:rPr>
  </w:style>
  <w:style w:type="paragraph" w:customStyle="1" w:styleId="xmsonospacing">
    <w:name w:val="x_msonospacing"/>
    <w:basedOn w:val="Normal"/>
    <w:rsid w:val="00660C8A"/>
    <w:pPr>
      <w:spacing w:before="100" w:beforeAutospacing="1" w:after="100" w:afterAutospacing="1" w:line="240" w:lineRule="auto"/>
      <w:ind w:firstLine="0"/>
      <w:jc w:val="left"/>
    </w:pPr>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3" ma:contentTypeDescription="Crear nuevo documento." ma:contentTypeScope="" ma:versionID="5ce307a3737c73d7fc56b8c56af85e2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23b5beffdcd85b5c8f742a4950b070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099513C-779A-447F-88C0-AF6D5DD63B10}">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D356FE2A-34EE-471D-98D4-392FFFB4B12D}">
  <ds:schemaRefs>
    <ds:schemaRef ds:uri="http://schemas.openxmlformats.org/officeDocument/2006/bibliography"/>
  </ds:schemaRefs>
</ds:datastoreItem>
</file>

<file path=customXml/itemProps3.xml><?xml version="1.0" encoding="utf-8"?>
<ds:datastoreItem xmlns:ds="http://schemas.openxmlformats.org/officeDocument/2006/customXml" ds:itemID="{CF45D964-8CD3-4ED3-924B-4D38F2EB27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CFEC79D-E0AC-48CC-BAE4-F7EA9305449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4604</Words>
  <Characters>25328</Characters>
  <Application>Microsoft Office Word</Application>
  <DocSecurity>0</DocSecurity>
  <Lines>211</Lines>
  <Paragraphs>59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Arlid Herrera Santa</dc:creator>
  <cp:keywords/>
  <dc:description/>
  <cp:lastModifiedBy>MARIA CLAUDIA DE LA OSSA BOBADILLA</cp:lastModifiedBy>
  <cp:revision>2</cp:revision>
  <dcterms:created xsi:type="dcterms:W3CDTF">2022-05-26T14:42:00Z</dcterms:created>
  <dcterms:modified xsi:type="dcterms:W3CDTF">2022-05-26T14:42:00Z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