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3FC5F" w14:textId="1D027755" w:rsidR="005F0CF8" w:rsidRPr="005F0CF8" w:rsidRDefault="005F0CF8" w:rsidP="00443AF1">
      <w:pPr>
        <w:spacing w:after="0" w:line="240" w:lineRule="auto"/>
        <w:jc w:val="right"/>
        <w:rPr>
          <w:rFonts w:ascii="Arial" w:eastAsia="Times New Roman" w:hAnsi="Arial" w:cs="Arial"/>
          <w:b/>
          <w:color w:val="000000" w:themeColor="text1"/>
          <w:sz w:val="16"/>
          <w:szCs w:val="16"/>
          <w:lang w:eastAsia="es-ES"/>
        </w:rPr>
      </w:pPr>
      <w:r w:rsidRPr="005F0CF8">
        <w:rPr>
          <w:rFonts w:ascii="Arial" w:eastAsia="Times New Roman" w:hAnsi="Arial" w:cs="Arial"/>
          <w:b/>
          <w:color w:val="000000" w:themeColor="text1"/>
          <w:sz w:val="16"/>
          <w:szCs w:val="16"/>
          <w:lang w:eastAsia="es-ES"/>
        </w:rPr>
        <w:tab/>
        <w:t>CCE-DES-FM-17</w:t>
      </w:r>
    </w:p>
    <w:p w14:paraId="645FF5B4" w14:textId="77777777" w:rsidR="00443AF1" w:rsidRPr="00443AF1" w:rsidRDefault="00443AF1" w:rsidP="00443AF1">
      <w:pPr>
        <w:spacing w:after="0" w:line="240" w:lineRule="auto"/>
        <w:jc w:val="both"/>
        <w:rPr>
          <w:rFonts w:ascii="Arial" w:eastAsia="Calibri" w:hAnsi="Arial" w:cs="Arial"/>
          <w:b/>
          <w:bCs/>
          <w:color w:val="000000" w:themeColor="text1"/>
          <w:sz w:val="20"/>
          <w:szCs w:val="20"/>
          <w:lang w:val="es-ES_tradnl"/>
        </w:rPr>
      </w:pPr>
    </w:p>
    <w:p w14:paraId="2FBC68CA" w14:textId="765635EE" w:rsidR="0065050F" w:rsidRPr="00443AF1" w:rsidRDefault="0065050F" w:rsidP="00AB0BA8">
      <w:pPr>
        <w:spacing w:after="0" w:line="240" w:lineRule="auto"/>
        <w:jc w:val="both"/>
        <w:rPr>
          <w:rFonts w:ascii="Arial" w:eastAsia="Calibri" w:hAnsi="Arial" w:cs="Arial"/>
          <w:b/>
          <w:bCs/>
          <w:color w:val="000000" w:themeColor="text1"/>
          <w:lang w:val="es-ES_tradnl"/>
        </w:rPr>
      </w:pPr>
      <w:r w:rsidRPr="00443AF1">
        <w:rPr>
          <w:rFonts w:ascii="Arial" w:eastAsia="Calibri" w:hAnsi="Arial" w:cs="Arial"/>
          <w:b/>
          <w:bCs/>
          <w:color w:val="000000" w:themeColor="text1"/>
          <w:lang w:val="es-ES_tradnl"/>
        </w:rPr>
        <w:t>DOCUMENTOS TIPO – Fundamento normativo</w:t>
      </w:r>
      <w:r w:rsidRPr="00443AF1">
        <w:rPr>
          <w:rFonts w:ascii="Arial" w:eastAsia="Calibri" w:hAnsi="Arial" w:cs="Arial"/>
          <w:b/>
          <w:color w:val="000000" w:themeColor="text1"/>
        </w:rPr>
        <w:t xml:space="preserve"> </w:t>
      </w:r>
    </w:p>
    <w:p w14:paraId="6A0CD11E" w14:textId="77777777" w:rsidR="0065050F" w:rsidRPr="00443AF1" w:rsidRDefault="0065050F" w:rsidP="00AB0BA8">
      <w:pPr>
        <w:spacing w:after="0" w:line="240" w:lineRule="auto"/>
        <w:jc w:val="both"/>
        <w:rPr>
          <w:rFonts w:ascii="Arial" w:eastAsia="Calibri" w:hAnsi="Arial" w:cs="Arial"/>
          <w:b/>
          <w:bCs/>
          <w:color w:val="000000" w:themeColor="text1"/>
          <w:sz w:val="20"/>
          <w:szCs w:val="20"/>
          <w:lang w:val="es-ES_tradnl"/>
        </w:rPr>
      </w:pPr>
    </w:p>
    <w:p w14:paraId="7F9A6D0A" w14:textId="4BAAED4E" w:rsidR="00AB0BA8" w:rsidRPr="00AB0BA8" w:rsidRDefault="0065050F" w:rsidP="00AB0BA8">
      <w:pPr>
        <w:pStyle w:val="Normal11pt"/>
        <w:ind w:left="0"/>
        <w:rPr>
          <w:rFonts w:eastAsia="Calibri"/>
          <w:color w:val="auto"/>
          <w:sz w:val="20"/>
          <w:szCs w:val="20"/>
        </w:rPr>
      </w:pPr>
      <w:r w:rsidRPr="00AB0BA8">
        <w:rPr>
          <w:color w:val="0D0D0D"/>
          <w:sz w:val="20"/>
          <w:szCs w:val="20"/>
          <w:bdr w:val="none" w:sz="0" w:space="0" w:color="auto" w:frame="1"/>
          <w:lang w:val="es-MX" w:eastAsia="es-CO"/>
        </w:rPr>
        <w:t xml:space="preserve">[…] </w:t>
      </w:r>
      <w:r w:rsidR="00AB0BA8" w:rsidRPr="00AB0BA8">
        <w:rPr>
          <w:rFonts w:eastAsia="Calibri"/>
          <w:color w:val="auto"/>
          <w:sz w:val="20"/>
          <w:szCs w:val="20"/>
        </w:rPr>
        <w:t xml:space="preserve">Con posterioridad a la adopción de los anteriores documentos tipo, se expidió la Ley 2022 de 2020, norma que modificó el parágrafo 7 del artículo 2 de la Ley 1150 de 2007, que había sido adicionado por la Ley 1882 de 2018. Con esta modificación, si bien se mantuvo el mandato de aplicación obligatoria de los documentos tipo por parte de las entidades sometidas al Estatuto General de Contratación de la Administración Pública, se atribuyó, específicamente, a la </w:t>
      </w:r>
      <w:r w:rsidR="00AB0BA8" w:rsidRPr="00AB0BA8">
        <w:rPr>
          <w:rFonts w:eastAsia="Calibri"/>
          <w:color w:val="auto"/>
          <w:sz w:val="20"/>
          <w:szCs w:val="20"/>
          <w:lang w:eastAsia="en-US"/>
        </w:rPr>
        <w:t xml:space="preserve">Agencia Nacional de Contratación Pública – Colombia Compra Eficiente la competencia para su adopción. </w:t>
      </w:r>
      <w:r w:rsidR="00AB0BA8" w:rsidRPr="00AB0BA8">
        <w:rPr>
          <w:rFonts w:eastAsia="Calibri"/>
          <w:color w:val="auto"/>
          <w:sz w:val="20"/>
          <w:szCs w:val="20"/>
        </w:rPr>
        <w:t xml:space="preserve">En este marco, con la finalidad de realizar un desarrollo armónico y ajustado a la ley que otorgó esta competencia, esta Agencia emitió la Resolución 160 de 2020 «Por la cual se adopta el procedimiento para implementar los documentos tipo y se define el sistema para su revisión». Asimismo, con fundamento en dicha Ley, se profirió la Resolución 240 de 2020, «Por la cual se actualizan los Documentos Tipo para los procesos de selección de licitación de obra pública de infraestructura de transporte y se deroga la Resolución 0045 de 2020». </w:t>
      </w:r>
    </w:p>
    <w:p w14:paraId="066A1CA4" w14:textId="77777777" w:rsidR="005F0CF8" w:rsidRPr="00443AF1" w:rsidRDefault="005F0CF8" w:rsidP="00AB0BA8">
      <w:pPr>
        <w:widowControl w:val="0"/>
        <w:autoSpaceDE w:val="0"/>
        <w:autoSpaceDN w:val="0"/>
        <w:spacing w:after="0" w:line="240" w:lineRule="auto"/>
        <w:jc w:val="both"/>
        <w:rPr>
          <w:rFonts w:ascii="Arial" w:eastAsia="Calibri" w:hAnsi="Arial" w:cs="Arial"/>
          <w:b/>
          <w:bCs/>
          <w:sz w:val="20"/>
          <w:szCs w:val="20"/>
        </w:rPr>
      </w:pPr>
    </w:p>
    <w:p w14:paraId="1E6D1884" w14:textId="77777777" w:rsidR="001430A6" w:rsidRPr="00443AF1" w:rsidRDefault="001430A6" w:rsidP="00AB0BA8">
      <w:pPr>
        <w:spacing w:after="0" w:line="240" w:lineRule="auto"/>
        <w:jc w:val="both"/>
        <w:rPr>
          <w:rFonts w:ascii="Arial" w:eastAsia="Calibri" w:hAnsi="Arial" w:cs="Arial"/>
          <w:b/>
          <w:bCs/>
          <w:color w:val="000000" w:themeColor="text1"/>
          <w:lang w:eastAsia="es-MX"/>
        </w:rPr>
      </w:pPr>
      <w:r w:rsidRPr="00443AF1">
        <w:rPr>
          <w:rFonts w:ascii="Arial" w:eastAsia="Calibri" w:hAnsi="Arial" w:cs="Arial"/>
          <w:b/>
          <w:bCs/>
          <w:color w:val="000000" w:themeColor="text1"/>
          <w:lang w:eastAsia="es-MX"/>
        </w:rPr>
        <w:t>DOCUMENTOS TIPO – Aplicación – Matriz 1 - Experiencia</w:t>
      </w:r>
    </w:p>
    <w:p w14:paraId="5A52494F" w14:textId="77777777" w:rsidR="001430A6" w:rsidRPr="00443AF1" w:rsidRDefault="001430A6" w:rsidP="00AB0BA8">
      <w:pPr>
        <w:spacing w:after="0" w:line="240" w:lineRule="auto"/>
        <w:jc w:val="both"/>
        <w:rPr>
          <w:rFonts w:ascii="Arial" w:eastAsia="Calibri" w:hAnsi="Arial" w:cs="Arial"/>
          <w:color w:val="000000" w:themeColor="text1"/>
          <w:sz w:val="20"/>
          <w:szCs w:val="20"/>
          <w:lang w:eastAsia="es-MX"/>
        </w:rPr>
      </w:pPr>
    </w:p>
    <w:p w14:paraId="7C397023" w14:textId="77777777" w:rsidR="00AB0BA8" w:rsidRPr="00AB0BA8" w:rsidRDefault="00AB0BA8" w:rsidP="00AB0BA8">
      <w:pPr>
        <w:spacing w:after="120" w:line="240" w:lineRule="auto"/>
        <w:jc w:val="both"/>
        <w:rPr>
          <w:rFonts w:ascii="Arial" w:eastAsia="Calibri" w:hAnsi="Arial" w:cs="Arial"/>
          <w:color w:val="0D0D0D"/>
          <w:sz w:val="20"/>
          <w:szCs w:val="20"/>
          <w:lang w:val="es-MX"/>
        </w:rPr>
      </w:pPr>
      <w:r w:rsidRPr="00AB0BA8">
        <w:rPr>
          <w:rFonts w:ascii="Arial" w:eastAsia="Calibri" w:hAnsi="Arial" w:cs="Arial"/>
          <w:color w:val="0D0D0D"/>
          <w:sz w:val="20"/>
          <w:szCs w:val="20"/>
          <w:lang w:val="es-MX"/>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428FE04E" w14:textId="77777777" w:rsidR="00AB0BA8" w:rsidRPr="00AB0BA8" w:rsidRDefault="00AB0BA8" w:rsidP="00AB0BA8">
      <w:pPr>
        <w:spacing w:after="0" w:line="240" w:lineRule="auto"/>
        <w:jc w:val="both"/>
        <w:rPr>
          <w:rFonts w:ascii="Arial" w:eastAsia="Calibri" w:hAnsi="Arial" w:cs="Arial"/>
          <w:color w:val="0D0D0D"/>
          <w:sz w:val="20"/>
          <w:szCs w:val="20"/>
          <w:lang w:val="es-MX"/>
        </w:rPr>
      </w:pPr>
      <w:r w:rsidRPr="00AB0BA8">
        <w:rPr>
          <w:rFonts w:ascii="Arial" w:eastAsia="Calibri" w:hAnsi="Arial" w:cs="Arial"/>
          <w:color w:val="0D0D0D"/>
          <w:sz w:val="20"/>
          <w:szCs w:val="20"/>
          <w:lang w:val="es-MX"/>
        </w:rPr>
        <w:t>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0ABA7F5" w14:textId="77777777" w:rsidR="001430A6" w:rsidRPr="00443AF1" w:rsidRDefault="001430A6" w:rsidP="00AB0BA8">
      <w:pPr>
        <w:spacing w:after="0" w:line="240" w:lineRule="auto"/>
        <w:jc w:val="both"/>
        <w:rPr>
          <w:rFonts w:ascii="Arial" w:eastAsia="Calibri" w:hAnsi="Arial" w:cs="Arial"/>
          <w:color w:val="0D0D0D"/>
          <w:sz w:val="20"/>
          <w:szCs w:val="20"/>
          <w:lang w:val="es-MX"/>
        </w:rPr>
      </w:pPr>
    </w:p>
    <w:p w14:paraId="7457353F" w14:textId="77777777" w:rsidR="001430A6" w:rsidRPr="00443AF1" w:rsidRDefault="001430A6" w:rsidP="00AB0BA8">
      <w:pPr>
        <w:spacing w:after="0" w:line="240" w:lineRule="auto"/>
        <w:jc w:val="both"/>
        <w:rPr>
          <w:rFonts w:ascii="Arial" w:eastAsia="Calibri" w:hAnsi="Arial" w:cs="Arial"/>
          <w:b/>
          <w:bCs/>
          <w:color w:val="000000" w:themeColor="text1"/>
          <w:sz w:val="20"/>
          <w:szCs w:val="20"/>
          <w:lang w:eastAsia="es-MX"/>
        </w:rPr>
      </w:pPr>
      <w:r w:rsidRPr="00443AF1">
        <w:rPr>
          <w:rFonts w:ascii="Arial" w:eastAsia="Calibri" w:hAnsi="Arial" w:cs="Arial"/>
          <w:b/>
          <w:bCs/>
          <w:color w:val="000000" w:themeColor="text1"/>
          <w:sz w:val="20"/>
          <w:szCs w:val="20"/>
          <w:lang w:eastAsia="es-MX"/>
        </w:rPr>
        <w:t>DOCUMENTOS TIPO – Experiencia General – Experiencia específica</w:t>
      </w:r>
    </w:p>
    <w:p w14:paraId="50A2AA85" w14:textId="77777777" w:rsidR="001430A6" w:rsidRPr="00443AF1" w:rsidRDefault="001430A6" w:rsidP="00AB0BA8">
      <w:pPr>
        <w:spacing w:after="0" w:line="240" w:lineRule="auto"/>
        <w:jc w:val="both"/>
        <w:rPr>
          <w:rFonts w:ascii="Arial" w:eastAsia="Calibri" w:hAnsi="Arial" w:cs="Arial"/>
          <w:color w:val="0D0D0D"/>
          <w:sz w:val="20"/>
          <w:szCs w:val="20"/>
          <w:lang w:val="es-MX"/>
        </w:rPr>
      </w:pPr>
    </w:p>
    <w:p w14:paraId="60D4298D" w14:textId="338F2828" w:rsidR="00AB0BA8" w:rsidRPr="00AB0BA8" w:rsidRDefault="001430A6" w:rsidP="00AB0BA8">
      <w:pPr>
        <w:spacing w:after="120" w:line="240" w:lineRule="auto"/>
        <w:jc w:val="both"/>
        <w:rPr>
          <w:rFonts w:ascii="Arial" w:eastAsia="Times New Roman" w:hAnsi="Arial" w:cs="Arial"/>
          <w:color w:val="000000"/>
          <w:sz w:val="20"/>
          <w:szCs w:val="20"/>
          <w:bdr w:val="none" w:sz="0" w:space="0" w:color="auto" w:frame="1"/>
          <w:lang w:val="es-ES_tradnl" w:eastAsia="es-MX"/>
        </w:rPr>
      </w:pPr>
      <w:r w:rsidRPr="00AB0BA8">
        <w:rPr>
          <w:rFonts w:ascii="Arial" w:eastAsia="Calibri" w:hAnsi="Arial" w:cs="Arial"/>
          <w:color w:val="0D0D0D"/>
          <w:sz w:val="20"/>
          <w:szCs w:val="20"/>
          <w:lang w:val="es-MX"/>
        </w:rPr>
        <w:t xml:space="preserve">[…] </w:t>
      </w:r>
      <w:r w:rsidR="00AB0BA8" w:rsidRPr="00AB0BA8">
        <w:rPr>
          <w:rFonts w:ascii="Arial" w:eastAsia="Calibri" w:hAnsi="Arial" w:cs="Arial"/>
          <w:color w:val="0D0D0D"/>
          <w:sz w:val="20"/>
          <w:szCs w:val="20"/>
          <w:lang w:val="es-MX"/>
        </w:rPr>
        <w:t>l</w:t>
      </w:r>
      <w:r w:rsidR="00AB0BA8" w:rsidRPr="00AB0BA8">
        <w:rPr>
          <w:rFonts w:ascii="Arial" w:eastAsia="Times New Roman" w:hAnsi="Arial" w:cs="Arial"/>
          <w:color w:val="000000"/>
          <w:sz w:val="20"/>
          <w:szCs w:val="20"/>
          <w:bdr w:val="none" w:sz="0" w:space="0" w:color="auto" w:frame="1"/>
          <w:lang w:val="es-ES_tradnl" w:eastAsia="es-MX"/>
        </w:rPr>
        <w:t xml:space="preserve">a experiencia general y específica que puede exigir la entidad estatal y que deben acreditar los proponentes están detalladas de manera expresa en la Matriz 1 </w:t>
      </w:r>
      <w:r w:rsidR="00AB0BA8" w:rsidRPr="00AB0BA8">
        <w:rPr>
          <w:rFonts w:ascii="Arial" w:eastAsia="Calibri" w:hAnsi="Arial" w:cs="Arial"/>
          <w:sz w:val="20"/>
          <w:szCs w:val="20"/>
          <w:lang w:val="es-MX"/>
        </w:rPr>
        <w:t>adoptada para cada documento tipo</w:t>
      </w:r>
      <w:r w:rsidR="00AB0BA8" w:rsidRPr="00AB0BA8">
        <w:rPr>
          <w:rFonts w:ascii="Arial" w:eastAsia="Times New Roman" w:hAnsi="Arial" w:cs="Arial"/>
          <w:color w:val="000000"/>
          <w:sz w:val="20"/>
          <w:szCs w:val="20"/>
          <w:bdr w:val="none" w:sz="0" w:space="0" w:color="auto" w:frame="1"/>
          <w:lang w:val="es-ES_tradnl" w:eastAsia="es-MX"/>
        </w:rPr>
        <w:t>. Po ejemplo, para el caso de los documentos tipo de licitación de obra pública de infraestructura de transporte, el numeral 3.5.1 del documento base establece que «La entidad debe indicar en esta sección las condiciones de experiencia que serán requeridas en el proceso de selección de acuerdo con las condiciones establecidas en la Matriz 1 – Experiencia. […]» y el numeral 3.5.2 regula las características de los contratos que se deben presentar para acreditar la experiencia.</w:t>
      </w:r>
    </w:p>
    <w:p w14:paraId="464B030E" w14:textId="77777777" w:rsidR="00AB0BA8" w:rsidRPr="005F0CF8" w:rsidRDefault="00AB0BA8" w:rsidP="00AB0BA8">
      <w:pPr>
        <w:spacing w:after="120" w:line="240" w:lineRule="auto"/>
        <w:jc w:val="both"/>
        <w:rPr>
          <w:rFonts w:ascii="Arial" w:eastAsia="Times New Roman" w:hAnsi="Arial" w:cs="Arial"/>
          <w:color w:val="000000"/>
          <w:bdr w:val="none" w:sz="0" w:space="0" w:color="auto" w:frame="1"/>
          <w:lang w:val="es-ES_tradnl" w:eastAsia="es-MX"/>
        </w:rPr>
      </w:pPr>
      <w:r w:rsidRPr="00AB0BA8">
        <w:rPr>
          <w:rFonts w:ascii="Arial" w:eastAsia="Times New Roman" w:hAnsi="Arial" w:cs="Arial"/>
          <w:color w:val="000000"/>
          <w:sz w:val="20"/>
          <w:szCs w:val="20"/>
          <w:bdr w:val="none" w:sz="0" w:space="0" w:color="auto" w:frame="1"/>
          <w:lang w:val="es-ES_tradnl" w:eastAsia="es-MX"/>
        </w:rPr>
        <w:t>Siguiendo el procedimiento referido,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1. De esta manera, deberá aplicar estrictamente lo contenido en dicha matriz y, por tanto, no podrá incluir, modificar, suprimir o alterar las condiciones de experiencia allí establecidas, salvo cuando de forma expresa esta lo determine</w:t>
      </w:r>
      <w:r>
        <w:rPr>
          <w:rFonts w:ascii="Arial" w:eastAsia="Times New Roman" w:hAnsi="Arial" w:cs="Arial"/>
          <w:color w:val="000000"/>
          <w:bdr w:val="none" w:sz="0" w:space="0" w:color="auto" w:frame="1"/>
          <w:lang w:val="es-ES_tradnl" w:eastAsia="es-MX"/>
        </w:rPr>
        <w:t>.</w:t>
      </w:r>
    </w:p>
    <w:p w14:paraId="4A529C9D" w14:textId="77777777" w:rsidR="001430A6" w:rsidRPr="00443AF1" w:rsidRDefault="001430A6" w:rsidP="00443AF1">
      <w:pPr>
        <w:spacing w:after="0" w:line="240" w:lineRule="auto"/>
        <w:jc w:val="both"/>
        <w:rPr>
          <w:rFonts w:ascii="Arial" w:eastAsia="Calibri" w:hAnsi="Arial" w:cs="Arial"/>
          <w:b/>
          <w:bCs/>
        </w:rPr>
      </w:pPr>
      <w:r w:rsidRPr="00443AF1">
        <w:rPr>
          <w:rFonts w:ascii="Arial" w:eastAsia="Calibri" w:hAnsi="Arial" w:cs="Arial"/>
          <w:b/>
          <w:bCs/>
        </w:rPr>
        <w:t>EXPERIENCIA ADICIONAL – Documentos tipo – Bienes y servicios adicionales</w:t>
      </w:r>
    </w:p>
    <w:p w14:paraId="5E4F017C" w14:textId="77777777" w:rsidR="001430A6" w:rsidRPr="00443AF1" w:rsidRDefault="001430A6" w:rsidP="00443AF1">
      <w:pPr>
        <w:spacing w:after="0" w:line="240" w:lineRule="auto"/>
        <w:jc w:val="both"/>
        <w:rPr>
          <w:rFonts w:ascii="Arial" w:eastAsia="Times New Roman" w:hAnsi="Arial" w:cs="Arial"/>
          <w:color w:val="000000"/>
          <w:sz w:val="20"/>
          <w:szCs w:val="20"/>
          <w:bdr w:val="none" w:sz="0" w:space="0" w:color="auto" w:frame="1"/>
          <w:lang w:val="es-ES_tradnl" w:eastAsia="es-MX"/>
        </w:rPr>
      </w:pPr>
    </w:p>
    <w:p w14:paraId="5735C559" w14:textId="77777777" w:rsidR="00AB0BA8" w:rsidRPr="00AB0BA8" w:rsidRDefault="00AB0BA8" w:rsidP="00AB0BA8">
      <w:pPr>
        <w:spacing w:after="120" w:line="240" w:lineRule="auto"/>
        <w:jc w:val="both"/>
        <w:rPr>
          <w:rFonts w:ascii="Arial" w:eastAsia="Calibri" w:hAnsi="Arial" w:cs="Arial"/>
          <w:color w:val="000000"/>
          <w:sz w:val="20"/>
          <w:szCs w:val="20"/>
          <w:lang w:val="es-ES_tradnl" w:eastAsia="es-ES"/>
        </w:rPr>
      </w:pPr>
      <w:r w:rsidRPr="00AB0BA8">
        <w:rPr>
          <w:rFonts w:ascii="Arial" w:eastAsia="Times New Roman" w:hAnsi="Arial" w:cs="Arial"/>
          <w:color w:val="000000"/>
          <w:sz w:val="20"/>
          <w:szCs w:val="20"/>
          <w:lang w:val="es-ES_tradnl" w:eastAsia="es-ES"/>
        </w:rPr>
        <w:t xml:space="preserve">De otro lado, en la aplicación de los documentos tipo, la posibilidad de exigir experiencia adicional a la estandarizada en la Matriz 1 se refiere a bienes y servicios adicionales a la obra pública, la interventoría o a la consultoría de estudios de ingeniería de infraestructura de transporte. Esta posibilidad surge cuando en el marco de la contratación de una de las actividades enlistadas en la Matriz 1, también se requieren contratar bienes y servicios adicionales cuya contratación, en principio, se encuentra excluida de la aplicación de los documentos tipo de infraestructura de transporte y respecto a los cuales la entidad requiere que los proponentes acrediten cierta idoneidad. Ante estos supuestos, debe aplicarse </w:t>
      </w:r>
      <w:r w:rsidRPr="00AB0BA8">
        <w:rPr>
          <w:rFonts w:ascii="Arial" w:eastAsia="Calibri" w:hAnsi="Arial" w:cs="Arial"/>
          <w:color w:val="000000"/>
          <w:sz w:val="20"/>
          <w:szCs w:val="20"/>
          <w:lang w:val="es-ES_tradnl" w:eastAsia="es-ES"/>
        </w:rPr>
        <w:t>lo dispuesto en el artículo 4 de las Resoluciones 240, 256 de 2020 y 193 de 2021. Esta norma prevé que en estos eventos la entidad puede incluir experiencia adicional para evaluar la idoneidad respecto de los bienes o servicios adicionales a la obra pública,</w:t>
      </w:r>
      <w:r w:rsidRPr="00AB0BA8">
        <w:rPr>
          <w:rFonts w:ascii="Arial" w:eastAsia="Times New Roman" w:hAnsi="Arial" w:cs="Arial"/>
          <w:color w:val="000000"/>
          <w:sz w:val="20"/>
          <w:szCs w:val="20"/>
          <w:lang w:val="es-ES_tradnl" w:eastAsia="es-ES"/>
        </w:rPr>
        <w:t xml:space="preserve"> la interventoría o a la consultoría de estudios de ingeniería de infraestructura de transporte</w:t>
      </w:r>
      <w:r w:rsidRPr="00AB0BA8">
        <w:rPr>
          <w:rFonts w:ascii="Arial" w:eastAsia="Calibri" w:hAnsi="Arial" w:cs="Arial"/>
          <w:color w:val="000000"/>
          <w:sz w:val="20"/>
          <w:szCs w:val="20"/>
          <w:lang w:val="es-ES_tradnl" w:eastAsia="es-ES"/>
        </w:rPr>
        <w:t xml:space="preserve">, según corresponda. </w:t>
      </w:r>
    </w:p>
    <w:p w14:paraId="44E0D10E" w14:textId="5F11167D" w:rsidR="00AB0BA8" w:rsidRPr="00AB0BA8" w:rsidRDefault="00AB0BA8" w:rsidP="00AB0BA8">
      <w:pPr>
        <w:spacing w:before="120" w:after="120" w:line="240" w:lineRule="auto"/>
        <w:jc w:val="both"/>
        <w:rPr>
          <w:rFonts w:ascii="Arial" w:eastAsia="Calibri" w:hAnsi="Arial" w:cs="Arial"/>
          <w:sz w:val="20"/>
          <w:szCs w:val="20"/>
          <w:lang w:eastAsia="es-MX"/>
        </w:rPr>
      </w:pPr>
      <w:r w:rsidRPr="00AB0BA8">
        <w:rPr>
          <w:rFonts w:ascii="Arial" w:eastAsia="Calibri" w:hAnsi="Arial" w:cs="Arial"/>
          <w:sz w:val="20"/>
          <w:szCs w:val="20"/>
          <w:lang w:eastAsia="es-MX"/>
        </w:rPr>
        <w:t>Por ejemplo, tratándose de los documentos tipo de licitación pública, deben seguirse estos parámetros: i) demostrar en los estudios previos que ha verificado las condiciones de mercado para la adquisición de las obras, bienes o servicios adicionales al componente de obra pública</w:t>
      </w:r>
      <w:r w:rsidRPr="00AB0BA8">
        <w:rPr>
          <w:rFonts w:ascii="Arial" w:eastAsia="Calibri" w:hAnsi="Arial" w:cs="Arial"/>
          <w:color w:val="000000"/>
          <w:sz w:val="20"/>
          <w:szCs w:val="20"/>
          <w:lang w:val="es-ES_tradnl" w:eastAsia="es-ES"/>
        </w:rPr>
        <w:t xml:space="preserve">, </w:t>
      </w:r>
      <w:r w:rsidRPr="00AB0BA8">
        <w:rPr>
          <w:rFonts w:ascii="Arial" w:eastAsia="Calibri" w:hAnsi="Arial" w:cs="Arial"/>
          <w:sz w:val="20"/>
          <w:szCs w:val="20"/>
          <w:lang w:eastAsia="es-MX"/>
        </w:rPr>
        <w:t xml:space="preserve">de tal forma que la experiencia adicional garantiza la pluralidad de oferentes, </w:t>
      </w:r>
      <w:proofErr w:type="spellStart"/>
      <w:r w:rsidRPr="00AB0BA8">
        <w:rPr>
          <w:rFonts w:ascii="Arial" w:eastAsia="Calibri" w:hAnsi="Arial" w:cs="Arial"/>
          <w:sz w:val="20"/>
          <w:szCs w:val="20"/>
          <w:lang w:eastAsia="es-MX"/>
        </w:rPr>
        <w:t>ii</w:t>
      </w:r>
      <w:proofErr w:type="spellEnd"/>
      <w:r w:rsidRPr="00AB0BA8">
        <w:rPr>
          <w:rFonts w:ascii="Arial" w:eastAsia="Calibri" w:hAnsi="Arial" w:cs="Arial"/>
          <w:sz w:val="20"/>
          <w:szCs w:val="20"/>
          <w:lang w:eastAsia="es-MX"/>
        </w:rPr>
        <w:t xml:space="preserve">) conservar los requisitos exigidos en los Documentos Tipo, </w:t>
      </w:r>
      <w:proofErr w:type="spellStart"/>
      <w:r w:rsidRPr="00AB0BA8">
        <w:rPr>
          <w:rFonts w:ascii="Arial" w:eastAsia="Calibri" w:hAnsi="Arial" w:cs="Arial"/>
          <w:sz w:val="20"/>
          <w:szCs w:val="20"/>
          <w:lang w:eastAsia="es-MX"/>
        </w:rPr>
        <w:t>iii</w:t>
      </w:r>
      <w:proofErr w:type="spellEnd"/>
      <w:r w:rsidRPr="00AB0BA8">
        <w:rPr>
          <w:rFonts w:ascii="Arial" w:eastAsia="Calibri" w:hAnsi="Arial" w:cs="Arial"/>
          <w:sz w:val="20"/>
          <w:szCs w:val="20"/>
          <w:lang w:eastAsia="es-MX"/>
        </w:rPr>
        <w:t xml:space="preserve">) abstenerse de pedir experiencia exclusiva con entidades estatales, experiencia previa en un territorio específico, limitada en el tiempo o que incluya volúmenes o cantidades de obra específica, </w:t>
      </w:r>
      <w:proofErr w:type="spellStart"/>
      <w:r w:rsidRPr="00AB0BA8">
        <w:rPr>
          <w:rFonts w:ascii="Arial" w:eastAsia="Calibri" w:hAnsi="Arial" w:cs="Arial"/>
          <w:sz w:val="20"/>
          <w:szCs w:val="20"/>
          <w:lang w:eastAsia="es-MX"/>
        </w:rPr>
        <w:t>iv</w:t>
      </w:r>
      <w:proofErr w:type="spellEnd"/>
      <w:r w:rsidRPr="00AB0BA8">
        <w:rPr>
          <w:rFonts w:ascii="Arial" w:eastAsia="Calibri" w:hAnsi="Arial" w:cs="Arial"/>
          <w:sz w:val="20"/>
          <w:szCs w:val="20"/>
          <w:lang w:eastAsia="es-MX"/>
        </w:rPr>
        <w:t>) clasificar la experiencia requerida solo hasta el tercer nivel del Clasificador de Bienes y Servicios e incluir exclusivamente los códigos que estén relacionados directamente con el objeto a contratar.</w:t>
      </w:r>
    </w:p>
    <w:p w14:paraId="315E0B30" w14:textId="376DABEF" w:rsidR="000D00C8" w:rsidRDefault="000D00C8" w:rsidP="000D00C8">
      <w:pPr>
        <w:widowControl w:val="0"/>
        <w:autoSpaceDE w:val="0"/>
        <w:autoSpaceDN w:val="0"/>
        <w:spacing w:after="0" w:line="276" w:lineRule="auto"/>
        <w:rPr>
          <w:rFonts w:ascii="Arial" w:eastAsia="Times New Roman" w:hAnsi="Arial" w:cs="Arial"/>
          <w:lang w:val="es-ES" w:eastAsia="es-ES"/>
        </w:rPr>
      </w:pPr>
    </w:p>
    <w:p w14:paraId="0569C433" w14:textId="459879DF" w:rsidR="00AB0BA8" w:rsidRDefault="00AB0BA8" w:rsidP="000D00C8">
      <w:pPr>
        <w:widowControl w:val="0"/>
        <w:autoSpaceDE w:val="0"/>
        <w:autoSpaceDN w:val="0"/>
        <w:spacing w:after="0" w:line="276" w:lineRule="auto"/>
        <w:rPr>
          <w:rFonts w:ascii="Arial" w:eastAsia="Times New Roman" w:hAnsi="Arial" w:cs="Arial"/>
          <w:lang w:val="es-ES" w:eastAsia="es-ES"/>
        </w:rPr>
      </w:pPr>
    </w:p>
    <w:p w14:paraId="05883356" w14:textId="55261D1E" w:rsidR="00AB0BA8" w:rsidRDefault="00AB0BA8" w:rsidP="000D00C8">
      <w:pPr>
        <w:widowControl w:val="0"/>
        <w:autoSpaceDE w:val="0"/>
        <w:autoSpaceDN w:val="0"/>
        <w:spacing w:after="0" w:line="276" w:lineRule="auto"/>
        <w:rPr>
          <w:rFonts w:ascii="Arial" w:eastAsia="Times New Roman" w:hAnsi="Arial" w:cs="Arial"/>
          <w:lang w:val="es-ES" w:eastAsia="es-ES"/>
        </w:rPr>
      </w:pPr>
    </w:p>
    <w:p w14:paraId="3237EE8D" w14:textId="26C76B38" w:rsidR="00AB0BA8" w:rsidRDefault="00AB0BA8" w:rsidP="000D00C8">
      <w:pPr>
        <w:widowControl w:val="0"/>
        <w:autoSpaceDE w:val="0"/>
        <w:autoSpaceDN w:val="0"/>
        <w:spacing w:after="0" w:line="276" w:lineRule="auto"/>
        <w:rPr>
          <w:rFonts w:ascii="Arial" w:eastAsia="Times New Roman" w:hAnsi="Arial" w:cs="Arial"/>
          <w:lang w:val="es-ES" w:eastAsia="es-ES"/>
        </w:rPr>
      </w:pPr>
    </w:p>
    <w:p w14:paraId="4B690E92" w14:textId="1860DEF8" w:rsidR="00AB0BA8" w:rsidRDefault="00AB0BA8" w:rsidP="000D00C8">
      <w:pPr>
        <w:widowControl w:val="0"/>
        <w:autoSpaceDE w:val="0"/>
        <w:autoSpaceDN w:val="0"/>
        <w:spacing w:after="0" w:line="276" w:lineRule="auto"/>
        <w:rPr>
          <w:rFonts w:ascii="Arial" w:eastAsia="Times New Roman" w:hAnsi="Arial" w:cs="Arial"/>
          <w:lang w:val="es-ES" w:eastAsia="es-ES"/>
        </w:rPr>
      </w:pPr>
    </w:p>
    <w:p w14:paraId="57568119" w14:textId="77777777" w:rsidR="00AB0BA8" w:rsidRDefault="00AB0BA8" w:rsidP="000D00C8">
      <w:pPr>
        <w:widowControl w:val="0"/>
        <w:autoSpaceDE w:val="0"/>
        <w:autoSpaceDN w:val="0"/>
        <w:spacing w:after="0" w:line="276" w:lineRule="auto"/>
        <w:rPr>
          <w:rFonts w:ascii="Arial" w:eastAsia="Times New Roman" w:hAnsi="Arial" w:cs="Arial"/>
          <w:lang w:val="es-ES" w:eastAsia="es-ES"/>
        </w:rPr>
      </w:pPr>
    </w:p>
    <w:p w14:paraId="4E8A3366" w14:textId="38BE695A" w:rsidR="000D00C8" w:rsidRDefault="000D00C8" w:rsidP="000D00C8">
      <w:pPr>
        <w:widowControl w:val="0"/>
        <w:autoSpaceDE w:val="0"/>
        <w:autoSpaceDN w:val="0"/>
        <w:spacing w:after="0" w:line="276" w:lineRule="auto"/>
        <w:rPr>
          <w:rFonts w:ascii="Arial" w:eastAsia="Times New Roman" w:hAnsi="Arial" w:cs="Arial"/>
          <w:lang w:val="es-ES" w:eastAsia="es-ES"/>
        </w:rPr>
      </w:pPr>
    </w:p>
    <w:p w14:paraId="7BDC7157" w14:textId="27541455" w:rsidR="001430A6" w:rsidRDefault="001430A6" w:rsidP="000D00C8">
      <w:pPr>
        <w:widowControl w:val="0"/>
        <w:autoSpaceDE w:val="0"/>
        <w:autoSpaceDN w:val="0"/>
        <w:spacing w:after="0" w:line="276" w:lineRule="auto"/>
        <w:rPr>
          <w:rFonts w:ascii="Arial" w:eastAsia="Times New Roman" w:hAnsi="Arial" w:cs="Arial"/>
          <w:lang w:val="es-ES" w:eastAsia="es-ES"/>
        </w:rPr>
      </w:pPr>
    </w:p>
    <w:p w14:paraId="5F9CC357" w14:textId="1BFEBEDE" w:rsidR="00443AF1" w:rsidRDefault="00443AF1" w:rsidP="000D00C8">
      <w:pPr>
        <w:widowControl w:val="0"/>
        <w:autoSpaceDE w:val="0"/>
        <w:autoSpaceDN w:val="0"/>
        <w:spacing w:after="0" w:line="276" w:lineRule="auto"/>
        <w:rPr>
          <w:rFonts w:ascii="Arial" w:eastAsia="Times New Roman" w:hAnsi="Arial" w:cs="Arial"/>
          <w:lang w:val="es-ES" w:eastAsia="es-ES"/>
        </w:rPr>
      </w:pPr>
    </w:p>
    <w:p w14:paraId="16ED1175" w14:textId="1FC381EF" w:rsidR="00443AF1" w:rsidRDefault="00443AF1" w:rsidP="000D00C8">
      <w:pPr>
        <w:widowControl w:val="0"/>
        <w:autoSpaceDE w:val="0"/>
        <w:autoSpaceDN w:val="0"/>
        <w:spacing w:after="0" w:line="276" w:lineRule="auto"/>
        <w:rPr>
          <w:rFonts w:ascii="Arial" w:eastAsia="Times New Roman" w:hAnsi="Arial" w:cs="Arial"/>
          <w:lang w:val="es-ES" w:eastAsia="es-ES"/>
        </w:rPr>
      </w:pPr>
    </w:p>
    <w:p w14:paraId="2A5C6BCB" w14:textId="36A0068A" w:rsidR="00443AF1" w:rsidRDefault="00443AF1" w:rsidP="000D00C8">
      <w:pPr>
        <w:widowControl w:val="0"/>
        <w:autoSpaceDE w:val="0"/>
        <w:autoSpaceDN w:val="0"/>
        <w:spacing w:after="0" w:line="276" w:lineRule="auto"/>
        <w:rPr>
          <w:rFonts w:ascii="Arial" w:eastAsia="Times New Roman" w:hAnsi="Arial" w:cs="Arial"/>
          <w:lang w:val="es-ES" w:eastAsia="es-ES"/>
        </w:rPr>
      </w:pPr>
    </w:p>
    <w:p w14:paraId="3427B406" w14:textId="7232267D" w:rsidR="00443AF1" w:rsidRDefault="00443AF1" w:rsidP="000D00C8">
      <w:pPr>
        <w:widowControl w:val="0"/>
        <w:autoSpaceDE w:val="0"/>
        <w:autoSpaceDN w:val="0"/>
        <w:spacing w:after="0" w:line="276" w:lineRule="auto"/>
        <w:rPr>
          <w:rFonts w:ascii="Arial" w:eastAsia="Times New Roman" w:hAnsi="Arial" w:cs="Arial"/>
          <w:lang w:val="es-ES" w:eastAsia="es-ES"/>
        </w:rPr>
      </w:pPr>
    </w:p>
    <w:p w14:paraId="08FB8139" w14:textId="33992C44" w:rsidR="00443AF1" w:rsidRDefault="00443AF1" w:rsidP="000D00C8">
      <w:pPr>
        <w:widowControl w:val="0"/>
        <w:autoSpaceDE w:val="0"/>
        <w:autoSpaceDN w:val="0"/>
        <w:spacing w:after="0" w:line="276" w:lineRule="auto"/>
        <w:rPr>
          <w:rFonts w:ascii="Arial" w:eastAsia="Times New Roman" w:hAnsi="Arial" w:cs="Arial"/>
          <w:lang w:val="es-ES" w:eastAsia="es-ES"/>
        </w:rPr>
      </w:pPr>
    </w:p>
    <w:p w14:paraId="16440E43" w14:textId="4BE3E6D9" w:rsidR="00443AF1" w:rsidRDefault="00443AF1" w:rsidP="000D00C8">
      <w:pPr>
        <w:widowControl w:val="0"/>
        <w:autoSpaceDE w:val="0"/>
        <w:autoSpaceDN w:val="0"/>
        <w:spacing w:after="0" w:line="276" w:lineRule="auto"/>
        <w:rPr>
          <w:rFonts w:ascii="Arial" w:eastAsia="Times New Roman" w:hAnsi="Arial" w:cs="Arial"/>
          <w:lang w:val="es-ES" w:eastAsia="es-ES"/>
        </w:rPr>
      </w:pPr>
    </w:p>
    <w:p w14:paraId="011BE9C1" w14:textId="77777777" w:rsidR="00443AF1" w:rsidRDefault="00443AF1" w:rsidP="000D00C8">
      <w:pPr>
        <w:widowControl w:val="0"/>
        <w:autoSpaceDE w:val="0"/>
        <w:autoSpaceDN w:val="0"/>
        <w:spacing w:after="0" w:line="276" w:lineRule="auto"/>
        <w:rPr>
          <w:rFonts w:ascii="Arial" w:eastAsia="Times New Roman" w:hAnsi="Arial" w:cs="Arial"/>
          <w:lang w:val="es-ES" w:eastAsia="es-ES"/>
        </w:rPr>
      </w:pPr>
    </w:p>
    <w:p w14:paraId="1FF46F76" w14:textId="7F64D170" w:rsidR="001430A6" w:rsidRDefault="001430A6" w:rsidP="000D00C8">
      <w:pPr>
        <w:widowControl w:val="0"/>
        <w:autoSpaceDE w:val="0"/>
        <w:autoSpaceDN w:val="0"/>
        <w:spacing w:after="0" w:line="276" w:lineRule="auto"/>
        <w:rPr>
          <w:rFonts w:ascii="Arial" w:eastAsia="Times New Roman" w:hAnsi="Arial" w:cs="Arial"/>
          <w:lang w:val="es-ES" w:eastAsia="es-ES"/>
        </w:rPr>
      </w:pPr>
    </w:p>
    <w:p w14:paraId="59C3B224" w14:textId="4396040B" w:rsidR="001430A6" w:rsidRDefault="001430A6" w:rsidP="000D00C8">
      <w:pPr>
        <w:widowControl w:val="0"/>
        <w:autoSpaceDE w:val="0"/>
        <w:autoSpaceDN w:val="0"/>
        <w:spacing w:after="0" w:line="276" w:lineRule="auto"/>
        <w:rPr>
          <w:rFonts w:ascii="Arial" w:eastAsia="Times New Roman" w:hAnsi="Arial" w:cs="Arial"/>
          <w:lang w:val="es-ES" w:eastAsia="es-ES"/>
        </w:rPr>
      </w:pPr>
    </w:p>
    <w:p w14:paraId="6D25E239" w14:textId="6164A8CE" w:rsidR="001430A6" w:rsidRDefault="001430A6" w:rsidP="000D00C8">
      <w:pPr>
        <w:widowControl w:val="0"/>
        <w:autoSpaceDE w:val="0"/>
        <w:autoSpaceDN w:val="0"/>
        <w:spacing w:after="0" w:line="276" w:lineRule="auto"/>
        <w:rPr>
          <w:rFonts w:ascii="Arial" w:eastAsia="Times New Roman" w:hAnsi="Arial" w:cs="Arial"/>
          <w:lang w:val="es-ES" w:eastAsia="es-ES"/>
        </w:rPr>
      </w:pPr>
    </w:p>
    <w:p w14:paraId="6DACC9AA" w14:textId="18C16F01" w:rsidR="001430A6" w:rsidRDefault="001430A6" w:rsidP="000D00C8">
      <w:pPr>
        <w:widowControl w:val="0"/>
        <w:autoSpaceDE w:val="0"/>
        <w:autoSpaceDN w:val="0"/>
        <w:spacing w:after="0" w:line="276" w:lineRule="auto"/>
        <w:rPr>
          <w:rFonts w:ascii="Arial" w:eastAsia="Times New Roman" w:hAnsi="Arial" w:cs="Arial"/>
          <w:lang w:val="es-ES" w:eastAsia="es-ES"/>
        </w:rPr>
      </w:pPr>
    </w:p>
    <w:p w14:paraId="4FCC30BC" w14:textId="67767F0D" w:rsidR="001430A6" w:rsidRDefault="001430A6" w:rsidP="000D00C8">
      <w:pPr>
        <w:widowControl w:val="0"/>
        <w:autoSpaceDE w:val="0"/>
        <w:autoSpaceDN w:val="0"/>
        <w:spacing w:after="0" w:line="276" w:lineRule="auto"/>
        <w:rPr>
          <w:rFonts w:ascii="Arial" w:eastAsia="Times New Roman" w:hAnsi="Arial" w:cs="Arial"/>
          <w:lang w:val="es-ES" w:eastAsia="es-ES"/>
        </w:rPr>
      </w:pPr>
    </w:p>
    <w:p w14:paraId="47F4FEFF" w14:textId="1CE75E58" w:rsidR="001430A6" w:rsidRDefault="001430A6" w:rsidP="000D00C8">
      <w:pPr>
        <w:widowControl w:val="0"/>
        <w:autoSpaceDE w:val="0"/>
        <w:autoSpaceDN w:val="0"/>
        <w:spacing w:after="0" w:line="276" w:lineRule="auto"/>
        <w:rPr>
          <w:rFonts w:ascii="Arial" w:eastAsia="Times New Roman" w:hAnsi="Arial" w:cs="Arial"/>
          <w:lang w:val="es-ES" w:eastAsia="es-ES"/>
        </w:rPr>
      </w:pPr>
    </w:p>
    <w:p w14:paraId="23776D21" w14:textId="6E75D869" w:rsidR="005F0CF8" w:rsidRDefault="00996F5F" w:rsidP="005F0CF8">
      <w:pPr>
        <w:spacing w:after="0" w:line="276" w:lineRule="auto"/>
        <w:jc w:val="right"/>
        <w:rPr>
          <w:rFonts w:ascii="Arial" w:eastAsia="Times New Roman" w:hAnsi="Arial" w:cs="Arial"/>
          <w:b/>
          <w:bCs/>
          <w:szCs w:val="24"/>
          <w:lang w:eastAsia="es-MX"/>
        </w:rPr>
      </w:pPr>
      <w:r>
        <w:rPr>
          <w:noProof/>
        </w:rPr>
        <w:lastRenderedPageBreak/>
        <w:drawing>
          <wp:inline distT="0" distB="0" distL="0" distR="0" wp14:anchorId="39FC2690" wp14:editId="30BA7C4B">
            <wp:extent cx="2564837" cy="733246"/>
            <wp:effectExtent l="0" t="0" r="6985" b="0"/>
            <wp:docPr id="5" name="Imagen 5"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nterfaz de usuario gráfica&#10;&#10;Descripción generada automáticamente"/>
                    <pic:cNvPicPr/>
                  </pic:nvPicPr>
                  <pic:blipFill rotWithShape="1">
                    <a:blip r:embed="rId8"/>
                    <a:srcRect l="46740" t="47844" r="19917" b="35202"/>
                    <a:stretch/>
                  </pic:blipFill>
                  <pic:spPr bwMode="auto">
                    <a:xfrm>
                      <a:off x="0" y="0"/>
                      <a:ext cx="2577241" cy="736792"/>
                    </a:xfrm>
                    <a:prstGeom prst="rect">
                      <a:avLst/>
                    </a:prstGeom>
                    <a:ln>
                      <a:noFill/>
                    </a:ln>
                    <a:extLst>
                      <a:ext uri="{53640926-AAD7-44D8-BBD7-CCE9431645EC}">
                        <a14:shadowObscured xmlns:a14="http://schemas.microsoft.com/office/drawing/2010/main"/>
                      </a:ext>
                    </a:extLst>
                  </pic:spPr>
                </pic:pic>
              </a:graphicData>
            </a:graphic>
          </wp:inline>
        </w:drawing>
      </w:r>
    </w:p>
    <w:p w14:paraId="1D5507AD" w14:textId="585EE266" w:rsidR="0094177D" w:rsidRPr="00996F5F" w:rsidRDefault="00996F5F" w:rsidP="00996F5F">
      <w:pPr>
        <w:spacing w:after="0" w:line="276" w:lineRule="auto"/>
        <w:rPr>
          <w:rFonts w:ascii="Arial" w:hAnsi="Arial" w:cs="Arial"/>
        </w:rPr>
      </w:pPr>
      <w:r w:rsidRPr="00996F5F">
        <w:rPr>
          <w:rFonts w:ascii="Arial" w:hAnsi="Arial" w:cs="Arial"/>
        </w:rPr>
        <w:t xml:space="preserve">Bogotá, 16 </w:t>
      </w:r>
      <w:proofErr w:type="gramStart"/>
      <w:r w:rsidRPr="00996F5F">
        <w:rPr>
          <w:rFonts w:ascii="Arial" w:hAnsi="Arial" w:cs="Arial"/>
        </w:rPr>
        <w:t>Mayo</w:t>
      </w:r>
      <w:proofErr w:type="gramEnd"/>
      <w:r w:rsidRPr="00996F5F">
        <w:rPr>
          <w:rFonts w:ascii="Arial" w:hAnsi="Arial" w:cs="Arial"/>
        </w:rPr>
        <w:t xml:space="preserve"> 2022</w:t>
      </w:r>
    </w:p>
    <w:p w14:paraId="4B204B6F" w14:textId="77777777" w:rsidR="00996F5F" w:rsidRPr="005F0CF8" w:rsidRDefault="00996F5F" w:rsidP="00996F5F">
      <w:pPr>
        <w:spacing w:after="0" w:line="276" w:lineRule="auto"/>
        <w:rPr>
          <w:rFonts w:ascii="Arial" w:eastAsia="Times New Roman" w:hAnsi="Arial" w:cs="Arial"/>
          <w:b/>
          <w:bCs/>
          <w:szCs w:val="24"/>
          <w:lang w:eastAsia="es-MX"/>
        </w:rPr>
      </w:pPr>
    </w:p>
    <w:p w14:paraId="37A2467B" w14:textId="772735BE" w:rsidR="005F0CF8" w:rsidRPr="005F0CF8" w:rsidRDefault="005F0CF8" w:rsidP="005F0CF8">
      <w:pPr>
        <w:spacing w:after="0" w:line="276" w:lineRule="auto"/>
        <w:rPr>
          <w:rFonts w:ascii="Arial" w:eastAsia="Calibri" w:hAnsi="Arial" w:cs="Arial"/>
          <w:color w:val="000000" w:themeColor="text1"/>
          <w:szCs w:val="24"/>
          <w:lang w:eastAsia="es-MX"/>
        </w:rPr>
      </w:pPr>
      <w:r w:rsidRPr="005F0CF8">
        <w:rPr>
          <w:rFonts w:ascii="Arial" w:eastAsia="Calibri" w:hAnsi="Arial" w:cs="Arial"/>
          <w:color w:val="000000" w:themeColor="text1"/>
          <w:szCs w:val="24"/>
          <w:lang w:eastAsia="es-MX"/>
        </w:rPr>
        <w:t>Señora</w:t>
      </w:r>
    </w:p>
    <w:p w14:paraId="60BBAE05" w14:textId="77777777" w:rsidR="005F0CF8" w:rsidRPr="005F0CF8" w:rsidRDefault="005F0CF8" w:rsidP="005F0CF8">
      <w:pPr>
        <w:spacing w:after="0" w:line="276" w:lineRule="auto"/>
        <w:rPr>
          <w:rFonts w:ascii="Arial" w:hAnsi="Arial" w:cs="Arial"/>
          <w:b/>
          <w:bCs/>
        </w:rPr>
      </w:pPr>
      <w:r w:rsidRPr="005F0CF8">
        <w:rPr>
          <w:rFonts w:ascii="Arial" w:hAnsi="Arial" w:cs="Arial"/>
          <w:b/>
          <w:bCs/>
        </w:rPr>
        <w:t xml:space="preserve">Johana Paola Restrepo Sierra </w:t>
      </w:r>
    </w:p>
    <w:p w14:paraId="1EE000BE" w14:textId="64D6ADBD" w:rsidR="005F0CF8" w:rsidRPr="005F0CF8" w:rsidRDefault="005F0CF8" w:rsidP="005F0CF8">
      <w:pPr>
        <w:spacing w:after="0" w:line="276" w:lineRule="auto"/>
        <w:rPr>
          <w:rFonts w:ascii="Arial" w:eastAsia="Calibri" w:hAnsi="Arial" w:cs="Arial"/>
          <w:color w:val="000000" w:themeColor="text1"/>
          <w:szCs w:val="24"/>
          <w:lang w:eastAsia="es-MX"/>
        </w:rPr>
      </w:pPr>
      <w:r w:rsidRPr="005F0CF8">
        <w:rPr>
          <w:rFonts w:ascii="Arial" w:eastAsia="Calibri" w:hAnsi="Arial" w:cs="Arial"/>
          <w:color w:val="000000" w:themeColor="text1"/>
          <w:szCs w:val="24"/>
          <w:lang w:eastAsia="es-MX"/>
        </w:rPr>
        <w:t xml:space="preserve">Bogotá D.C </w:t>
      </w:r>
    </w:p>
    <w:p w14:paraId="4A3C1F14" w14:textId="77777777" w:rsidR="005F0CF8" w:rsidRPr="005F0CF8" w:rsidRDefault="005F0CF8" w:rsidP="005F0CF8">
      <w:pPr>
        <w:spacing w:after="0" w:line="240" w:lineRule="auto"/>
        <w:rPr>
          <w:rFonts w:ascii="Arial" w:eastAsia="Calibri" w:hAnsi="Arial" w:cs="Arial"/>
          <w:color w:val="000000" w:themeColor="text1"/>
          <w:szCs w:val="24"/>
          <w:lang w:eastAsia="es-MX"/>
        </w:rPr>
      </w:pPr>
    </w:p>
    <w:p w14:paraId="4A853355" w14:textId="621430B7" w:rsidR="005F0CF8" w:rsidRDefault="005F0CF8" w:rsidP="005F0CF8">
      <w:pPr>
        <w:spacing w:after="0" w:line="240" w:lineRule="auto"/>
        <w:rPr>
          <w:rFonts w:ascii="Arial" w:eastAsia="Calibri" w:hAnsi="Arial" w:cs="Arial"/>
          <w:b/>
          <w:color w:val="000000" w:themeColor="text1"/>
          <w:szCs w:val="24"/>
          <w:lang w:eastAsia="es-MX"/>
        </w:rPr>
      </w:pPr>
    </w:p>
    <w:p w14:paraId="3B9DD783" w14:textId="77777777" w:rsidR="0094177D" w:rsidRPr="005F0CF8" w:rsidRDefault="0094177D" w:rsidP="005F0CF8">
      <w:pPr>
        <w:spacing w:after="0" w:line="240" w:lineRule="auto"/>
        <w:rPr>
          <w:rFonts w:ascii="Arial" w:eastAsia="Calibri" w:hAnsi="Arial" w:cs="Arial"/>
          <w:b/>
          <w:color w:val="000000" w:themeColor="text1"/>
          <w:szCs w:val="24"/>
          <w:lang w:eastAsia="es-MX"/>
        </w:rPr>
      </w:pPr>
    </w:p>
    <w:p w14:paraId="730F2429" w14:textId="55DEBE04" w:rsidR="005F0CF8" w:rsidRPr="005F0CF8" w:rsidRDefault="005F0CF8" w:rsidP="005F0CF8">
      <w:pPr>
        <w:spacing w:after="0" w:line="240" w:lineRule="auto"/>
        <w:rPr>
          <w:rFonts w:ascii="Arial" w:eastAsia="Calibri" w:hAnsi="Arial" w:cs="Arial"/>
          <w:b/>
          <w:color w:val="000000" w:themeColor="text1"/>
          <w:szCs w:val="24"/>
          <w:lang w:eastAsia="es-MX"/>
        </w:rPr>
      </w:pPr>
      <w:r w:rsidRPr="005F0CF8">
        <w:rPr>
          <w:rFonts w:ascii="Arial" w:eastAsia="Calibri" w:hAnsi="Arial" w:cs="Arial"/>
          <w:b/>
          <w:color w:val="000000" w:themeColor="text1"/>
          <w:szCs w:val="24"/>
          <w:lang w:eastAsia="es-MX"/>
        </w:rPr>
        <w:t xml:space="preserve">                                         Concepto C – 3</w:t>
      </w:r>
      <w:r>
        <w:rPr>
          <w:rFonts w:ascii="Arial" w:eastAsia="Calibri" w:hAnsi="Arial" w:cs="Arial"/>
          <w:b/>
          <w:color w:val="000000" w:themeColor="text1"/>
          <w:szCs w:val="24"/>
          <w:lang w:eastAsia="es-MX"/>
        </w:rPr>
        <w:t>11</w:t>
      </w:r>
      <w:r w:rsidRPr="005F0CF8">
        <w:rPr>
          <w:rFonts w:ascii="Arial" w:eastAsia="Calibri" w:hAnsi="Arial" w:cs="Arial"/>
          <w:b/>
          <w:color w:val="000000" w:themeColor="text1"/>
          <w:szCs w:val="24"/>
          <w:lang w:eastAsia="es-MX"/>
        </w:rPr>
        <w:t xml:space="preserve"> de 202</w:t>
      </w:r>
      <w:r>
        <w:rPr>
          <w:rFonts w:ascii="Arial" w:eastAsia="Calibri" w:hAnsi="Arial" w:cs="Arial"/>
          <w:b/>
          <w:color w:val="000000" w:themeColor="text1"/>
          <w:szCs w:val="24"/>
          <w:lang w:eastAsia="es-MX"/>
        </w:rPr>
        <w:t>2</w:t>
      </w:r>
      <w:r w:rsidRPr="005F0CF8">
        <w:rPr>
          <w:rFonts w:ascii="Arial" w:eastAsia="Calibri" w:hAnsi="Arial" w:cs="Arial"/>
          <w:b/>
          <w:color w:val="000000" w:themeColor="text1"/>
          <w:szCs w:val="24"/>
          <w:lang w:eastAsia="es-MX"/>
        </w:rPr>
        <w:t xml:space="preserve"> </w:t>
      </w:r>
    </w:p>
    <w:p w14:paraId="25934CF1" w14:textId="77777777" w:rsidR="005F0CF8" w:rsidRPr="005F0CF8" w:rsidRDefault="005F0CF8" w:rsidP="005F0CF8">
      <w:pPr>
        <w:spacing w:after="0" w:line="240" w:lineRule="auto"/>
        <w:rPr>
          <w:rFonts w:ascii="Arial" w:eastAsia="Calibri" w:hAnsi="Arial" w:cs="Arial"/>
          <w:b/>
          <w:color w:val="000000" w:themeColor="text1"/>
          <w:szCs w:val="24"/>
          <w:lang w:eastAsia="es-MX"/>
        </w:rPr>
      </w:pPr>
    </w:p>
    <w:tbl>
      <w:tblPr>
        <w:tblStyle w:val="Tablaconcuadrcula"/>
        <w:tblW w:w="8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17"/>
        <w:gridCol w:w="6165"/>
      </w:tblGrid>
      <w:tr w:rsidR="005F0CF8" w:rsidRPr="005F0CF8" w14:paraId="3998124E" w14:textId="77777777" w:rsidTr="005F0CF8">
        <w:trPr>
          <w:trHeight w:val="1120"/>
        </w:trPr>
        <w:tc>
          <w:tcPr>
            <w:tcW w:w="2517" w:type="dxa"/>
          </w:tcPr>
          <w:p w14:paraId="1EFB81A2" w14:textId="77777777" w:rsidR="005F0CF8" w:rsidRPr="005F0CF8" w:rsidRDefault="005F0CF8" w:rsidP="005F0CF8">
            <w:pPr>
              <w:widowControl w:val="0"/>
              <w:autoSpaceDE w:val="0"/>
              <w:autoSpaceDN w:val="0"/>
              <w:spacing w:line="276" w:lineRule="auto"/>
              <w:jc w:val="both"/>
              <w:rPr>
                <w:rFonts w:ascii="Arial" w:eastAsia="Calibri" w:hAnsi="Arial" w:cs="Arial"/>
                <w:b/>
                <w:bCs/>
              </w:rPr>
            </w:pPr>
            <w:r w:rsidRPr="005F0CF8">
              <w:rPr>
                <w:rFonts w:ascii="Arial" w:eastAsia="Calibri" w:hAnsi="Arial" w:cs="Arial"/>
                <w:b/>
                <w:color w:val="000000" w:themeColor="text1"/>
                <w:lang w:val="es-ES"/>
              </w:rPr>
              <w:t>Temas:</w:t>
            </w:r>
            <w:r w:rsidRPr="005F0CF8">
              <w:rPr>
                <w:rFonts w:ascii="Arial" w:eastAsia="Calibri" w:hAnsi="Arial" w:cs="Arial"/>
                <w:color w:val="000000" w:themeColor="text1"/>
                <w:sz w:val="20"/>
                <w:szCs w:val="20"/>
                <w:lang w:val="es-ES"/>
              </w:rPr>
              <w:t xml:space="preserve">   </w:t>
            </w:r>
          </w:p>
        </w:tc>
        <w:tc>
          <w:tcPr>
            <w:tcW w:w="6165" w:type="dxa"/>
          </w:tcPr>
          <w:p w14:paraId="02E2964D" w14:textId="0D439DA6" w:rsidR="0094177D" w:rsidRPr="00407E42" w:rsidRDefault="000D00C8" w:rsidP="0094177D">
            <w:pPr>
              <w:spacing w:before="120" w:line="276" w:lineRule="auto"/>
              <w:jc w:val="both"/>
              <w:rPr>
                <w:rFonts w:ascii="Arial" w:eastAsia="Calibri" w:hAnsi="Arial" w:cs="Arial"/>
                <w:color w:val="000000" w:themeColor="text1"/>
                <w:lang w:eastAsia="es-MX"/>
              </w:rPr>
            </w:pPr>
            <w:r w:rsidRPr="00407E42">
              <w:rPr>
                <w:rFonts w:ascii="Arial" w:eastAsia="Calibri" w:hAnsi="Arial" w:cs="Arial"/>
                <w:lang w:eastAsia="es-MX"/>
              </w:rPr>
              <w:t xml:space="preserve">DOCUMENTOS TIPO </w:t>
            </w:r>
            <w:r w:rsidR="005F0CF8" w:rsidRPr="00407E42">
              <w:rPr>
                <w:rFonts w:ascii="Arial" w:eastAsia="Calibri" w:hAnsi="Arial" w:cs="Arial"/>
                <w:lang w:eastAsia="es-MX"/>
              </w:rPr>
              <w:t xml:space="preserve">– </w:t>
            </w:r>
            <w:r w:rsidRPr="00407E42">
              <w:rPr>
                <w:rFonts w:ascii="Arial" w:eastAsia="Calibri" w:hAnsi="Arial" w:cs="Arial"/>
                <w:color w:val="000000" w:themeColor="text1"/>
                <w:lang w:val="es-ES_tradnl"/>
              </w:rPr>
              <w:t>Fundamento normativo</w:t>
            </w:r>
            <w:r w:rsidRPr="00407E42">
              <w:rPr>
                <w:rFonts w:ascii="Arial" w:eastAsia="Calibri" w:hAnsi="Arial" w:cs="Arial"/>
                <w:color w:val="000000" w:themeColor="text1"/>
              </w:rPr>
              <w:t xml:space="preserve"> </w:t>
            </w:r>
            <w:r w:rsidR="005F0CF8" w:rsidRPr="00407E42">
              <w:rPr>
                <w:rFonts w:ascii="Arial" w:eastAsia="Calibri" w:hAnsi="Arial" w:cs="Arial"/>
                <w:lang w:eastAsia="es-MX"/>
              </w:rPr>
              <w:t xml:space="preserve">/ </w:t>
            </w:r>
            <w:r w:rsidR="0094177D" w:rsidRPr="00407E42">
              <w:rPr>
                <w:rFonts w:ascii="Arial" w:eastAsia="Calibri" w:hAnsi="Arial" w:cs="Arial"/>
                <w:color w:val="000000" w:themeColor="text1"/>
                <w:lang w:eastAsia="es-MX"/>
              </w:rPr>
              <w:t xml:space="preserve">DOCUMENTOS TIPO – Aplicación – Matriz 1 </w:t>
            </w:r>
            <w:r w:rsidR="00407E42" w:rsidRPr="00407E42">
              <w:rPr>
                <w:rFonts w:ascii="Arial" w:eastAsia="Calibri" w:hAnsi="Arial" w:cs="Arial"/>
                <w:color w:val="000000" w:themeColor="text1"/>
                <w:lang w:eastAsia="es-MX"/>
              </w:rPr>
              <w:t>–</w:t>
            </w:r>
            <w:r w:rsidR="0094177D" w:rsidRPr="00407E42">
              <w:rPr>
                <w:rFonts w:ascii="Arial" w:eastAsia="Calibri" w:hAnsi="Arial" w:cs="Arial"/>
                <w:color w:val="000000" w:themeColor="text1"/>
                <w:lang w:eastAsia="es-MX"/>
              </w:rPr>
              <w:t xml:space="preserve"> Experiencia</w:t>
            </w:r>
            <w:r w:rsidR="00407E42" w:rsidRPr="00407E42">
              <w:rPr>
                <w:rFonts w:ascii="Arial" w:eastAsia="Calibri" w:hAnsi="Arial" w:cs="Arial"/>
                <w:color w:val="000000" w:themeColor="text1"/>
                <w:lang w:eastAsia="es-MX"/>
              </w:rPr>
              <w:t xml:space="preserve"> /</w:t>
            </w:r>
          </w:p>
          <w:p w14:paraId="31A8F3A7" w14:textId="2E5FCE7C" w:rsidR="005F0CF8" w:rsidRPr="005F0CF8" w:rsidRDefault="00407E42" w:rsidP="00AB0BA8">
            <w:pPr>
              <w:spacing w:after="120" w:line="276" w:lineRule="auto"/>
              <w:jc w:val="both"/>
              <w:rPr>
                <w:rFonts w:ascii="Arial" w:eastAsia="Times New Roman" w:hAnsi="Arial" w:cs="Arial"/>
                <w:lang w:eastAsia="es-MX"/>
              </w:rPr>
            </w:pPr>
            <w:r w:rsidRPr="00407E42">
              <w:rPr>
                <w:rFonts w:ascii="Arial" w:eastAsia="Calibri" w:hAnsi="Arial" w:cs="Arial"/>
                <w:color w:val="000000" w:themeColor="text1"/>
                <w:lang w:eastAsia="es-MX"/>
              </w:rPr>
              <w:t xml:space="preserve">DOCUMENTOS TIPO – Experiencia General – Experiencia específica / </w:t>
            </w:r>
            <w:r w:rsidR="005F0CF8" w:rsidRPr="00407E42">
              <w:rPr>
                <w:rFonts w:ascii="Arial" w:eastAsia="Calibri" w:hAnsi="Arial" w:cs="Arial"/>
                <w:lang w:eastAsia="es-MX"/>
              </w:rPr>
              <w:t>EXPERIENCIA ADICIONAL – Documentos tipo – Bienes y servicios adicionales</w:t>
            </w:r>
          </w:p>
        </w:tc>
      </w:tr>
      <w:tr w:rsidR="005F0CF8" w:rsidRPr="005F0CF8" w14:paraId="57CCE7C1" w14:textId="77777777" w:rsidTr="005F0CF8">
        <w:trPr>
          <w:trHeight w:val="126"/>
        </w:trPr>
        <w:tc>
          <w:tcPr>
            <w:tcW w:w="2517" w:type="dxa"/>
          </w:tcPr>
          <w:p w14:paraId="1A02FC80" w14:textId="77777777" w:rsidR="005F0CF8" w:rsidRPr="005F0CF8" w:rsidRDefault="005F0CF8" w:rsidP="005F0CF8">
            <w:pPr>
              <w:jc w:val="both"/>
              <w:rPr>
                <w:rFonts w:ascii="Arial" w:eastAsia="Calibri" w:hAnsi="Arial" w:cs="Arial"/>
                <w:color w:val="000000" w:themeColor="text1"/>
                <w:lang w:eastAsia="es-MX"/>
              </w:rPr>
            </w:pPr>
            <w:r w:rsidRPr="005F0CF8">
              <w:rPr>
                <w:rFonts w:ascii="Arial" w:eastAsia="Calibri" w:hAnsi="Arial" w:cs="Arial"/>
                <w:b/>
                <w:color w:val="000000" w:themeColor="text1"/>
                <w:lang w:eastAsia="es-MX"/>
              </w:rPr>
              <w:t>Radicación:</w:t>
            </w:r>
            <w:r w:rsidRPr="005F0CF8">
              <w:rPr>
                <w:rFonts w:ascii="Arial" w:eastAsia="Calibri" w:hAnsi="Arial" w:cs="Arial"/>
                <w:color w:val="000000" w:themeColor="text1"/>
                <w:lang w:eastAsia="es-MX"/>
              </w:rPr>
              <w:t xml:space="preserve">                              </w:t>
            </w:r>
          </w:p>
        </w:tc>
        <w:tc>
          <w:tcPr>
            <w:tcW w:w="6165" w:type="dxa"/>
          </w:tcPr>
          <w:p w14:paraId="7F9D7CE2" w14:textId="76039309" w:rsidR="005F0CF8" w:rsidRPr="005F0CF8" w:rsidRDefault="005F0CF8" w:rsidP="005F0CF8">
            <w:pPr>
              <w:jc w:val="both"/>
              <w:rPr>
                <w:rFonts w:ascii="Arial" w:eastAsia="Calibri" w:hAnsi="Arial" w:cs="Arial"/>
                <w:color w:val="000000" w:themeColor="text1"/>
                <w:lang w:eastAsia="es-MX"/>
              </w:rPr>
            </w:pPr>
            <w:r w:rsidRPr="005F0CF8">
              <w:rPr>
                <w:rFonts w:ascii="Arial" w:eastAsia="Calibri" w:hAnsi="Arial" w:cs="Arial"/>
                <w:color w:val="000000" w:themeColor="text1"/>
                <w:lang w:eastAsia="es-MX"/>
              </w:rPr>
              <w:t xml:space="preserve">Respuesta a consulta </w:t>
            </w:r>
            <w:r w:rsidR="002240BD" w:rsidRPr="002240BD">
              <w:rPr>
                <w:rFonts w:ascii="Arial" w:eastAsia="Calibri" w:hAnsi="Arial" w:cs="Arial"/>
                <w:color w:val="000000" w:themeColor="text1"/>
                <w:lang w:eastAsia="es-MX"/>
              </w:rPr>
              <w:t>P20220401003301</w:t>
            </w:r>
          </w:p>
        </w:tc>
      </w:tr>
    </w:tbl>
    <w:p w14:paraId="3F8EE9B4" w14:textId="351CBAF5" w:rsidR="005F0CF8" w:rsidRDefault="005F0CF8" w:rsidP="005F0CF8">
      <w:pPr>
        <w:spacing w:after="0" w:line="276" w:lineRule="auto"/>
        <w:rPr>
          <w:rFonts w:ascii="Times New Roman" w:eastAsia="Times New Roman" w:hAnsi="Times New Roman" w:cs="Times New Roman"/>
          <w:sz w:val="24"/>
          <w:szCs w:val="24"/>
          <w:lang w:eastAsia="es-MX"/>
        </w:rPr>
      </w:pPr>
    </w:p>
    <w:p w14:paraId="2A3D11E9" w14:textId="77777777" w:rsidR="00E84A9E" w:rsidRPr="005F0CF8" w:rsidRDefault="00E84A9E" w:rsidP="005F0CF8">
      <w:pPr>
        <w:spacing w:after="0" w:line="276" w:lineRule="auto"/>
        <w:rPr>
          <w:rFonts w:ascii="Times New Roman" w:eastAsia="Times New Roman" w:hAnsi="Times New Roman" w:cs="Times New Roman"/>
          <w:sz w:val="24"/>
          <w:szCs w:val="24"/>
          <w:lang w:eastAsia="es-MX"/>
        </w:rPr>
      </w:pPr>
    </w:p>
    <w:p w14:paraId="68A8821E" w14:textId="33EDD163" w:rsidR="005F0CF8" w:rsidRPr="005F0CF8" w:rsidRDefault="005F0CF8" w:rsidP="005F0CF8">
      <w:pPr>
        <w:tabs>
          <w:tab w:val="left" w:pos="3736"/>
        </w:tabs>
        <w:spacing w:after="0" w:line="276" w:lineRule="auto"/>
        <w:rPr>
          <w:rFonts w:ascii="Arial" w:eastAsia="Calibri" w:hAnsi="Arial" w:cs="Arial"/>
          <w:color w:val="000000" w:themeColor="text1"/>
          <w:szCs w:val="24"/>
          <w:lang w:eastAsia="es-MX"/>
        </w:rPr>
      </w:pPr>
      <w:r w:rsidRPr="005F0CF8">
        <w:rPr>
          <w:rFonts w:ascii="Arial" w:eastAsia="Calibri" w:hAnsi="Arial" w:cs="Arial"/>
          <w:color w:val="000000" w:themeColor="text1"/>
          <w:szCs w:val="24"/>
          <w:lang w:eastAsia="es-MX"/>
        </w:rPr>
        <w:t>Estimad</w:t>
      </w:r>
      <w:r>
        <w:rPr>
          <w:rFonts w:ascii="Arial" w:eastAsia="Calibri" w:hAnsi="Arial" w:cs="Arial"/>
          <w:color w:val="000000" w:themeColor="text1"/>
          <w:szCs w:val="24"/>
          <w:lang w:eastAsia="es-MX"/>
        </w:rPr>
        <w:t>a</w:t>
      </w:r>
      <w:r w:rsidRPr="005F0CF8">
        <w:rPr>
          <w:rFonts w:ascii="Arial" w:eastAsia="Calibri" w:hAnsi="Arial" w:cs="Arial"/>
          <w:color w:val="000000" w:themeColor="text1"/>
          <w:szCs w:val="24"/>
          <w:lang w:eastAsia="es-MX"/>
        </w:rPr>
        <w:t xml:space="preserve"> Señor</w:t>
      </w:r>
      <w:r>
        <w:rPr>
          <w:rFonts w:ascii="Arial" w:eastAsia="Calibri" w:hAnsi="Arial" w:cs="Arial"/>
          <w:color w:val="000000" w:themeColor="text1"/>
          <w:szCs w:val="24"/>
          <w:lang w:eastAsia="es-MX"/>
        </w:rPr>
        <w:t>a</w:t>
      </w:r>
      <w:r w:rsidRPr="005F0CF8">
        <w:rPr>
          <w:rFonts w:ascii="Arial" w:hAnsi="Arial" w:cs="Arial"/>
          <w:b/>
          <w:bCs/>
        </w:rPr>
        <w:t xml:space="preserve"> </w:t>
      </w:r>
      <w:r w:rsidRPr="005F0CF8">
        <w:rPr>
          <w:rFonts w:ascii="Arial" w:hAnsi="Arial" w:cs="Arial"/>
        </w:rPr>
        <w:t>Restrepo Sierra</w:t>
      </w:r>
      <w:r w:rsidRPr="005F0CF8">
        <w:rPr>
          <w:rFonts w:ascii="Arial" w:eastAsia="Calibri" w:hAnsi="Arial" w:cs="Arial"/>
          <w:color w:val="000000" w:themeColor="text1"/>
          <w:szCs w:val="24"/>
          <w:lang w:eastAsia="es-MX"/>
        </w:rPr>
        <w:t xml:space="preserve">, </w:t>
      </w:r>
      <w:r w:rsidRPr="005F0CF8">
        <w:rPr>
          <w:rFonts w:ascii="Arial" w:eastAsia="Calibri" w:hAnsi="Arial" w:cs="Arial"/>
          <w:color w:val="000000" w:themeColor="text1"/>
          <w:szCs w:val="24"/>
          <w:lang w:eastAsia="es-MX"/>
        </w:rPr>
        <w:tab/>
      </w:r>
    </w:p>
    <w:p w14:paraId="2394B009" w14:textId="77777777" w:rsidR="005F0CF8" w:rsidRPr="005F0CF8" w:rsidRDefault="005F0CF8" w:rsidP="005F0CF8">
      <w:pPr>
        <w:spacing w:after="0" w:line="276" w:lineRule="auto"/>
        <w:rPr>
          <w:rFonts w:ascii="Arial" w:eastAsia="Calibri" w:hAnsi="Arial" w:cs="Arial"/>
          <w:color w:val="000000" w:themeColor="text1"/>
          <w:lang w:eastAsia="es-MX"/>
        </w:rPr>
      </w:pPr>
    </w:p>
    <w:p w14:paraId="1A321BC5" w14:textId="60904CF4" w:rsidR="005F0CF8" w:rsidRPr="005F0CF8" w:rsidRDefault="005F0CF8" w:rsidP="005F0CF8">
      <w:pPr>
        <w:spacing w:after="0" w:line="276" w:lineRule="auto"/>
        <w:jc w:val="both"/>
        <w:rPr>
          <w:rFonts w:ascii="Arial" w:eastAsia="Calibri" w:hAnsi="Arial" w:cs="Arial"/>
          <w:color w:val="000000" w:themeColor="text1"/>
          <w:lang w:eastAsia="es-MX"/>
        </w:rPr>
      </w:pPr>
      <w:r w:rsidRPr="005F0CF8">
        <w:rPr>
          <w:rFonts w:ascii="Arial" w:eastAsia="Calibri" w:hAnsi="Arial" w:cs="Arial"/>
          <w:lang w:val="es-MX" w:eastAsia="es-MX"/>
        </w:rPr>
        <w:t>En ejercicio de la competencia otorgada por los artículos 11, numeral 8º, y 3º, numeral 5º, del Decreto Ley 4170 de 2011,</w:t>
      </w:r>
      <w:r w:rsidRPr="005F0CF8">
        <w:rPr>
          <w:rFonts w:ascii="Arial" w:eastAsia="Calibri" w:hAnsi="Arial" w:cs="Arial"/>
          <w:color w:val="000000" w:themeColor="text1"/>
          <w:lang w:val="es-ES_tradnl" w:eastAsia="es-MX"/>
        </w:rPr>
        <w:t xml:space="preserve"> </w:t>
      </w:r>
      <w:r w:rsidRPr="005F0CF8">
        <w:rPr>
          <w:rFonts w:ascii="Arial" w:eastAsia="Calibri" w:hAnsi="Arial" w:cs="Arial"/>
          <w:lang w:val="es-MX" w:eastAsia="es-MX"/>
        </w:rPr>
        <w:t xml:space="preserve">la Agencia Nacional de Contratación Pública − Colombia Compra Eficiente responde su consulta </w:t>
      </w:r>
      <w:r w:rsidRPr="005F0CF8">
        <w:rPr>
          <w:rFonts w:ascii="Arial" w:eastAsia="Calibri" w:hAnsi="Arial" w:cs="Arial"/>
          <w:color w:val="000000" w:themeColor="text1"/>
          <w:lang w:eastAsia="es-MX"/>
        </w:rPr>
        <w:t xml:space="preserve">del </w:t>
      </w:r>
      <w:r w:rsidR="00A23821">
        <w:rPr>
          <w:rFonts w:ascii="Arial" w:eastAsia="Calibri" w:hAnsi="Arial" w:cs="Arial"/>
          <w:color w:val="000000" w:themeColor="text1"/>
          <w:lang w:eastAsia="es-MX"/>
        </w:rPr>
        <w:t>31</w:t>
      </w:r>
      <w:r w:rsidRPr="005F0CF8">
        <w:rPr>
          <w:rFonts w:ascii="Arial" w:eastAsia="Calibri" w:hAnsi="Arial" w:cs="Arial"/>
          <w:color w:val="000000" w:themeColor="text1"/>
          <w:lang w:eastAsia="es-MX"/>
        </w:rPr>
        <w:t xml:space="preserve"> de </w:t>
      </w:r>
      <w:r w:rsidR="00A23821">
        <w:rPr>
          <w:rFonts w:ascii="Arial" w:eastAsia="Calibri" w:hAnsi="Arial" w:cs="Arial"/>
          <w:color w:val="000000" w:themeColor="text1"/>
          <w:lang w:eastAsia="es-MX"/>
        </w:rPr>
        <w:t xml:space="preserve">marzo </w:t>
      </w:r>
      <w:r w:rsidRPr="005F0CF8">
        <w:rPr>
          <w:rFonts w:ascii="Arial" w:eastAsia="Calibri" w:hAnsi="Arial" w:cs="Arial"/>
          <w:color w:val="000000" w:themeColor="text1"/>
          <w:lang w:eastAsia="es-MX"/>
        </w:rPr>
        <w:t>de 202</w:t>
      </w:r>
      <w:r w:rsidR="00F223F5">
        <w:rPr>
          <w:rFonts w:ascii="Arial" w:eastAsia="Calibri" w:hAnsi="Arial" w:cs="Arial"/>
          <w:color w:val="000000" w:themeColor="text1"/>
          <w:lang w:eastAsia="es-MX"/>
        </w:rPr>
        <w:t>2</w:t>
      </w:r>
      <w:r w:rsidRPr="005F0CF8">
        <w:rPr>
          <w:rFonts w:ascii="Arial" w:eastAsia="Calibri" w:hAnsi="Arial" w:cs="Arial"/>
          <w:color w:val="000000" w:themeColor="text1"/>
          <w:lang w:eastAsia="es-MX"/>
        </w:rPr>
        <w:t xml:space="preserve">. </w:t>
      </w:r>
    </w:p>
    <w:p w14:paraId="0F600785" w14:textId="77777777" w:rsidR="005F0CF8" w:rsidRPr="005F0CF8" w:rsidRDefault="005F0CF8" w:rsidP="005F0CF8">
      <w:pPr>
        <w:spacing w:after="0" w:line="276" w:lineRule="auto"/>
        <w:contextualSpacing/>
        <w:rPr>
          <w:rFonts w:ascii="Arial" w:eastAsia="Calibri" w:hAnsi="Arial" w:cs="Arial"/>
          <w:color w:val="000000" w:themeColor="text1"/>
          <w:lang w:val="es-MX"/>
        </w:rPr>
      </w:pPr>
    </w:p>
    <w:p w14:paraId="720D4092" w14:textId="77777777" w:rsidR="005F0CF8" w:rsidRPr="005F0CF8" w:rsidRDefault="005F0CF8" w:rsidP="005F0CF8">
      <w:pPr>
        <w:tabs>
          <w:tab w:val="left" w:pos="0"/>
        </w:tabs>
        <w:spacing w:after="0" w:line="276" w:lineRule="auto"/>
        <w:jc w:val="both"/>
        <w:rPr>
          <w:rFonts w:ascii="Arial" w:eastAsia="Calibri" w:hAnsi="Arial" w:cs="Arial"/>
          <w:b/>
          <w:color w:val="000000" w:themeColor="text1"/>
          <w:szCs w:val="24"/>
          <w:lang w:eastAsia="es-MX"/>
        </w:rPr>
      </w:pPr>
      <w:r w:rsidRPr="005F0CF8">
        <w:rPr>
          <w:rFonts w:ascii="Arial" w:eastAsia="Calibri" w:hAnsi="Arial" w:cs="Arial"/>
          <w:b/>
          <w:color w:val="000000" w:themeColor="text1"/>
          <w:szCs w:val="24"/>
          <w:lang w:eastAsia="es-MX"/>
        </w:rPr>
        <w:t>1. Problemas planteados</w:t>
      </w:r>
    </w:p>
    <w:p w14:paraId="01731748" w14:textId="197DC093" w:rsidR="005F0CF8" w:rsidRDefault="005F0CF8" w:rsidP="005F0CF8">
      <w:pPr>
        <w:spacing w:after="0" w:line="240" w:lineRule="auto"/>
        <w:rPr>
          <w:rFonts w:ascii="Arial" w:eastAsia="Calibri" w:hAnsi="Arial" w:cs="Arial"/>
          <w:color w:val="000000" w:themeColor="text1"/>
          <w:szCs w:val="24"/>
          <w:lang w:eastAsia="es-MX"/>
        </w:rPr>
      </w:pPr>
    </w:p>
    <w:p w14:paraId="3750CA8C" w14:textId="19698964" w:rsidR="005F0CF8" w:rsidRPr="00A23821" w:rsidRDefault="00347BF1" w:rsidP="00407E42">
      <w:pPr>
        <w:spacing w:after="0" w:line="276" w:lineRule="auto"/>
        <w:jc w:val="both"/>
        <w:rPr>
          <w:rFonts w:ascii="Arial" w:eastAsia="Calibri" w:hAnsi="Arial" w:cs="Arial"/>
          <w:lang w:eastAsia="es-MX"/>
        </w:rPr>
      </w:pPr>
      <w:r>
        <w:rPr>
          <w:rFonts w:ascii="Arial" w:eastAsia="Calibri" w:hAnsi="Arial" w:cs="Arial"/>
          <w:color w:val="000000" w:themeColor="text1"/>
          <w:szCs w:val="24"/>
          <w:lang w:eastAsia="es-MX"/>
        </w:rPr>
        <w:t xml:space="preserve">Usted </w:t>
      </w:r>
      <w:r w:rsidR="00A23821" w:rsidRPr="00A23821">
        <w:rPr>
          <w:rFonts w:ascii="Arial" w:eastAsia="Calibri" w:hAnsi="Arial" w:cs="Arial"/>
          <w:color w:val="000000" w:themeColor="text1"/>
          <w:szCs w:val="24"/>
          <w:lang w:eastAsia="es-MX"/>
        </w:rPr>
        <w:t>menciona que</w:t>
      </w:r>
      <w:r w:rsidR="00F223F5">
        <w:rPr>
          <w:rFonts w:ascii="Arial" w:eastAsia="Calibri" w:hAnsi="Arial" w:cs="Arial"/>
          <w:color w:val="000000" w:themeColor="text1"/>
          <w:szCs w:val="24"/>
          <w:lang w:eastAsia="es-MX"/>
        </w:rPr>
        <w:t xml:space="preserve"> </w:t>
      </w:r>
      <w:r w:rsidR="00A23821" w:rsidRPr="00A23821">
        <w:rPr>
          <w:rFonts w:ascii="Arial" w:hAnsi="Arial" w:cs="Arial"/>
        </w:rPr>
        <w:t>eleva</w:t>
      </w:r>
      <w:r w:rsidR="0067088B">
        <w:rPr>
          <w:rFonts w:ascii="Arial" w:hAnsi="Arial" w:cs="Arial"/>
        </w:rPr>
        <w:t xml:space="preserve"> una</w:t>
      </w:r>
      <w:r w:rsidR="00A23821" w:rsidRPr="00A23821">
        <w:rPr>
          <w:rFonts w:ascii="Arial" w:hAnsi="Arial" w:cs="Arial"/>
        </w:rPr>
        <w:t xml:space="preserve"> «[…] consulta acerca de la aplicación de pliegos tipo para infraestructura de transporte, en virtud de la necesidad de adelantar el proceso de selección para el “Diseño, Suministro, Instalación e Implementación de Paneles de Señalización Variable». Conforme con lo anterior, </w:t>
      </w:r>
      <w:r w:rsidR="00A23821" w:rsidRPr="00A23821">
        <w:rPr>
          <w:rFonts w:ascii="Arial" w:eastAsia="Calibri" w:hAnsi="Arial" w:cs="Arial"/>
          <w:lang w:eastAsia="es-MX"/>
        </w:rPr>
        <w:t>u</w:t>
      </w:r>
      <w:r w:rsidR="005F0CF8" w:rsidRPr="005F0CF8">
        <w:rPr>
          <w:rFonts w:ascii="Arial" w:eastAsia="Calibri" w:hAnsi="Arial" w:cs="Arial"/>
          <w:lang w:eastAsia="es-MX"/>
        </w:rPr>
        <w:t>sted</w:t>
      </w:r>
      <w:r w:rsidR="00A23821" w:rsidRPr="00A23821">
        <w:rPr>
          <w:rFonts w:ascii="Arial" w:eastAsia="Calibri" w:hAnsi="Arial" w:cs="Arial"/>
          <w:lang w:eastAsia="es-MX"/>
        </w:rPr>
        <w:t xml:space="preserve"> realiza las siguientes preguntas</w:t>
      </w:r>
      <w:r w:rsidR="005F0CF8" w:rsidRPr="005F0CF8">
        <w:rPr>
          <w:rFonts w:ascii="Arial" w:eastAsia="Calibri" w:hAnsi="Arial" w:cs="Arial"/>
          <w:lang w:eastAsia="es-MX"/>
        </w:rPr>
        <w:t xml:space="preserve">: </w:t>
      </w:r>
    </w:p>
    <w:p w14:paraId="2D3BE05C" w14:textId="6D1AF1F3" w:rsidR="00A23821" w:rsidRDefault="00A23821" w:rsidP="005F0CF8">
      <w:pPr>
        <w:spacing w:after="0" w:line="276" w:lineRule="auto"/>
        <w:jc w:val="both"/>
        <w:rPr>
          <w:rFonts w:ascii="Arial" w:eastAsia="Calibri" w:hAnsi="Arial" w:cs="Arial"/>
          <w:lang w:eastAsia="es-MX"/>
        </w:rPr>
      </w:pPr>
    </w:p>
    <w:p w14:paraId="5F2ED138" w14:textId="77777777" w:rsidR="00A23821" w:rsidRPr="00A23821" w:rsidRDefault="00A23821" w:rsidP="00A23821">
      <w:pPr>
        <w:spacing w:after="120" w:line="240" w:lineRule="auto"/>
        <w:ind w:left="709" w:right="709"/>
        <w:jc w:val="both"/>
        <w:rPr>
          <w:rFonts w:ascii="Arial" w:hAnsi="Arial" w:cs="Arial"/>
          <w:sz w:val="21"/>
          <w:szCs w:val="21"/>
        </w:rPr>
      </w:pPr>
      <w:r w:rsidRPr="00A23821">
        <w:rPr>
          <w:rFonts w:ascii="Arial" w:hAnsi="Arial" w:cs="Arial"/>
          <w:sz w:val="21"/>
          <w:szCs w:val="21"/>
        </w:rPr>
        <w:t xml:space="preserve">1. ¿Es posible incluir experiencia adicional a la ya establecida en las matrices de experiencia de los Pliegos Tipo de consultoría, licitación de obra pública, e interventoría para infraestructura de Transporte? </w:t>
      </w:r>
    </w:p>
    <w:p w14:paraId="35280D29" w14:textId="77777777" w:rsidR="00A23821" w:rsidRPr="00A23821" w:rsidRDefault="00A23821" w:rsidP="00A23821">
      <w:pPr>
        <w:spacing w:after="120" w:line="240" w:lineRule="auto"/>
        <w:ind w:left="709" w:right="709"/>
        <w:jc w:val="both"/>
        <w:rPr>
          <w:rFonts w:ascii="Arial" w:hAnsi="Arial" w:cs="Arial"/>
          <w:sz w:val="21"/>
          <w:szCs w:val="21"/>
        </w:rPr>
      </w:pPr>
      <w:r w:rsidRPr="00A23821">
        <w:rPr>
          <w:rFonts w:ascii="Arial" w:hAnsi="Arial" w:cs="Arial"/>
          <w:sz w:val="21"/>
          <w:szCs w:val="21"/>
        </w:rPr>
        <w:lastRenderedPageBreak/>
        <w:t xml:space="preserve">2. ¿Teniendo en cuenta los requerimientos específicos frente a la experiencia a acreditar, puede la entidad apartarse de la utilización de pliegos tipo, y hacer uso de sus propios documentos precontractuales? </w:t>
      </w:r>
    </w:p>
    <w:p w14:paraId="3DC0F0E3" w14:textId="449C2444" w:rsidR="00A23821" w:rsidRPr="005F0CF8" w:rsidRDefault="00A23821" w:rsidP="00A23821">
      <w:pPr>
        <w:spacing w:after="0" w:line="240" w:lineRule="auto"/>
        <w:ind w:left="709" w:right="709"/>
        <w:jc w:val="both"/>
        <w:rPr>
          <w:rFonts w:ascii="Arial" w:eastAsia="Calibri" w:hAnsi="Arial" w:cs="Arial"/>
          <w:sz w:val="21"/>
          <w:szCs w:val="21"/>
          <w:lang w:eastAsia="es-MX"/>
        </w:rPr>
      </w:pPr>
      <w:r w:rsidRPr="00A23821">
        <w:rPr>
          <w:rFonts w:ascii="Arial" w:hAnsi="Arial" w:cs="Arial"/>
          <w:sz w:val="21"/>
          <w:szCs w:val="21"/>
        </w:rPr>
        <w:t>3. ¿Puede hacerse uso de los pliegos tipo, para adelantar un solo proceso que involucre consultoría, obra, compraventa, y prestación de servicios relativos a infraestructura de transporte?</w:t>
      </w:r>
    </w:p>
    <w:p w14:paraId="77449CF2" w14:textId="77777777" w:rsidR="005F0CF8" w:rsidRPr="005F0CF8" w:rsidRDefault="005F0CF8" w:rsidP="00A23821">
      <w:pPr>
        <w:spacing w:after="0" w:line="276" w:lineRule="auto"/>
        <w:jc w:val="both"/>
        <w:rPr>
          <w:rFonts w:ascii="Arial" w:eastAsia="Calibri" w:hAnsi="Arial" w:cs="Arial"/>
          <w:lang w:eastAsia="es-MX"/>
        </w:rPr>
      </w:pPr>
    </w:p>
    <w:p w14:paraId="1E45E627" w14:textId="77777777" w:rsidR="005F0CF8" w:rsidRPr="005F0CF8" w:rsidRDefault="005F0CF8" w:rsidP="005F0CF8">
      <w:pPr>
        <w:spacing w:after="0" w:line="276" w:lineRule="auto"/>
        <w:jc w:val="both"/>
        <w:rPr>
          <w:rFonts w:ascii="Arial" w:eastAsia="Calibri" w:hAnsi="Arial" w:cs="Arial"/>
          <w:color w:val="000000" w:themeColor="text1"/>
          <w:szCs w:val="24"/>
          <w:lang w:eastAsia="es-MX"/>
        </w:rPr>
      </w:pPr>
      <w:r w:rsidRPr="005F0CF8">
        <w:rPr>
          <w:rFonts w:ascii="Arial" w:eastAsia="Calibri" w:hAnsi="Arial" w:cs="Arial"/>
          <w:b/>
          <w:color w:val="000000" w:themeColor="text1"/>
          <w:szCs w:val="24"/>
          <w:lang w:eastAsia="es-MX"/>
        </w:rPr>
        <w:t>2. Consideraciones</w:t>
      </w:r>
    </w:p>
    <w:p w14:paraId="7A9B31EB" w14:textId="3948145A" w:rsidR="005F0CF8" w:rsidRDefault="005F0CF8" w:rsidP="005F0CF8">
      <w:pPr>
        <w:spacing w:after="0" w:line="276" w:lineRule="auto"/>
        <w:jc w:val="both"/>
        <w:rPr>
          <w:rFonts w:ascii="Arial" w:eastAsia="Calibri" w:hAnsi="Arial" w:cs="Arial"/>
          <w:color w:val="000000" w:themeColor="text1"/>
          <w:szCs w:val="24"/>
          <w:lang w:eastAsia="es-MX"/>
        </w:rPr>
      </w:pPr>
    </w:p>
    <w:p w14:paraId="600B1A10" w14:textId="694A4758" w:rsidR="00165C55" w:rsidRPr="00165C55" w:rsidRDefault="00165C55" w:rsidP="00AB0BA8">
      <w:pPr>
        <w:spacing w:after="120" w:line="276" w:lineRule="auto"/>
        <w:jc w:val="both"/>
        <w:rPr>
          <w:rFonts w:ascii="Arial" w:eastAsia="Calibri" w:hAnsi="Arial" w:cs="Arial"/>
          <w:lang w:val="es-ES_tradnl" w:eastAsia="es-ES_tradnl"/>
        </w:rPr>
      </w:pPr>
      <w:r w:rsidRPr="00165C55">
        <w:rPr>
          <w:rFonts w:ascii="Arial" w:eastAsia="Calibri" w:hAnsi="Arial" w:cs="Arial"/>
          <w:lang w:val="es-ES_tradnl"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0085488E">
        <w:rPr>
          <w:rFonts w:ascii="Arial" w:eastAsia="Calibri" w:hAnsi="Arial" w:cs="Arial"/>
          <w:lang w:val="es-ES_tradnl" w:eastAsia="es-ES_tradnl"/>
        </w:rPr>
        <w:t xml:space="preserve"> </w:t>
      </w:r>
      <w:r w:rsidRPr="00165C55">
        <w:rPr>
          <w:rFonts w:ascii="Arial" w:eastAsia="Calibri" w:hAnsi="Arial" w:cs="Arial"/>
          <w:lang w:val="es-ES_tradnl" w:eastAsia="es-ES_tradnl"/>
        </w:rPr>
        <w:t xml:space="preserve">Es necesario tener en cuenta que esta entidad solo tiene </w:t>
      </w:r>
      <w:r w:rsidR="0085488E">
        <w:rPr>
          <w:rFonts w:ascii="Arial" w:eastAsia="Calibri" w:hAnsi="Arial" w:cs="Arial"/>
          <w:lang w:val="es-ES_tradnl" w:eastAsia="es-ES_tradnl"/>
        </w:rPr>
        <w:t>atribuciones</w:t>
      </w:r>
      <w:r w:rsidR="0085488E" w:rsidRPr="00165C55">
        <w:rPr>
          <w:rFonts w:ascii="Arial" w:eastAsia="Calibri" w:hAnsi="Arial" w:cs="Arial"/>
          <w:lang w:val="es-ES_tradnl" w:eastAsia="es-ES_tradnl"/>
        </w:rPr>
        <w:t xml:space="preserve"> </w:t>
      </w:r>
      <w:r w:rsidRPr="00165C55">
        <w:rPr>
          <w:rFonts w:ascii="Arial" w:eastAsia="Calibri" w:hAnsi="Arial" w:cs="Arial"/>
          <w:lang w:val="es-ES_tradnl" w:eastAsia="es-ES_tradnl"/>
        </w:rPr>
        <w:t xml:space="preserve">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sidR="004764A5">
        <w:rPr>
          <w:rFonts w:ascii="Arial" w:eastAsia="Calibri" w:hAnsi="Arial" w:cs="Arial"/>
          <w:lang w:val="es-ES_tradnl" w:eastAsia="es-ES_tradnl"/>
        </w:rPr>
        <w:t>concretos</w:t>
      </w:r>
      <w:r w:rsidR="004764A5" w:rsidRPr="00165C55">
        <w:rPr>
          <w:rFonts w:ascii="Arial" w:eastAsia="Calibri" w:hAnsi="Arial" w:cs="Arial"/>
          <w:lang w:val="es-ES_tradnl" w:eastAsia="es-ES_tradnl"/>
        </w:rPr>
        <w:t xml:space="preserve"> </w:t>
      </w:r>
      <w:r w:rsidRPr="00165C55">
        <w:rPr>
          <w:rFonts w:ascii="Arial" w:eastAsia="Calibri" w:hAnsi="Arial" w:cs="Arial"/>
          <w:lang w:val="es-ES_tradnl" w:eastAsia="es-ES_tradnl"/>
        </w:rPr>
        <w:t>de todos los partícipes de la contratación estatal.</w:t>
      </w:r>
    </w:p>
    <w:p w14:paraId="24F3C37D" w14:textId="2AAC5916" w:rsidR="00165C55" w:rsidRDefault="00F428EF" w:rsidP="007C6779">
      <w:pPr>
        <w:tabs>
          <w:tab w:val="left" w:pos="426"/>
        </w:tabs>
        <w:spacing w:after="120" w:line="276" w:lineRule="auto"/>
        <w:jc w:val="both"/>
        <w:rPr>
          <w:rFonts w:ascii="Arial" w:eastAsia="Calibri" w:hAnsi="Arial" w:cs="Arial"/>
          <w:bCs/>
        </w:rPr>
      </w:pPr>
      <w:r>
        <w:rPr>
          <w:rFonts w:ascii="Arial" w:eastAsia="Calibri" w:hAnsi="Arial" w:cs="Arial"/>
          <w:lang w:val="es-ES_tradnl" w:eastAsia="es-ES_tradnl"/>
        </w:rPr>
        <w:tab/>
      </w:r>
      <w:r>
        <w:rPr>
          <w:rFonts w:ascii="Arial" w:eastAsia="Calibri" w:hAnsi="Arial" w:cs="Arial"/>
          <w:lang w:val="es-ES_tradnl" w:eastAsia="es-ES_tradnl"/>
        </w:rPr>
        <w:tab/>
      </w:r>
      <w:r w:rsidR="00165C55" w:rsidRPr="00165C55">
        <w:rPr>
          <w:rFonts w:ascii="Arial" w:eastAsia="Calibri" w:hAnsi="Arial" w:cs="Arial"/>
          <w:lang w:val="es-ES_tradnl" w:eastAsia="es-ES_tradnl"/>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w:t>
      </w:r>
      <w:proofErr w:type="gramStart"/>
      <w:r w:rsidR="00165C55" w:rsidRPr="00165C55">
        <w:rPr>
          <w:rFonts w:ascii="Arial" w:eastAsia="Calibri" w:hAnsi="Arial" w:cs="Arial"/>
          <w:lang w:val="es-ES_tradnl" w:eastAsia="es-ES_tradnl"/>
        </w:rPr>
        <w:t>que</w:t>
      </w:r>
      <w:proofErr w:type="gramEnd"/>
      <w:r w:rsidR="00165C55" w:rsidRPr="00165C55">
        <w:rPr>
          <w:rFonts w:ascii="Arial" w:eastAsia="Calibri" w:hAnsi="Arial" w:cs="Arial"/>
          <w:lang w:val="es-ES_tradnl" w:eastAsia="es-ES_tradnl"/>
        </w:rPr>
        <w:t xml:space="preserv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w:t>
      </w:r>
      <w:r w:rsidR="00165C55" w:rsidRPr="00165C55">
        <w:rPr>
          <w:rFonts w:ascii="Arial" w:eastAsia="Calibri" w:hAnsi="Arial" w:cs="Arial"/>
          <w:bCs/>
        </w:rPr>
        <w:t>que adelanta el procedimiento de selección y, en caso de conflicto, a las autoridades judiciales, fiscales y disciplinarias.</w:t>
      </w:r>
    </w:p>
    <w:p w14:paraId="131EEAB1" w14:textId="0C30949D" w:rsidR="00A16DD4" w:rsidRPr="00A16DD4" w:rsidRDefault="00A16DD4" w:rsidP="00A16DD4">
      <w:pPr>
        <w:tabs>
          <w:tab w:val="left" w:pos="426"/>
        </w:tabs>
        <w:spacing w:after="120" w:line="276" w:lineRule="auto"/>
        <w:jc w:val="both"/>
        <w:rPr>
          <w:rFonts w:ascii="Arial" w:eastAsia="Calibri" w:hAnsi="Arial" w:cs="Arial"/>
          <w:bCs/>
        </w:rPr>
      </w:pPr>
      <w:r>
        <w:rPr>
          <w:rFonts w:ascii="Arial" w:eastAsia="Calibri" w:hAnsi="Arial" w:cs="Arial"/>
          <w:bCs/>
        </w:rPr>
        <w:tab/>
      </w:r>
      <w:r>
        <w:rPr>
          <w:rFonts w:ascii="Arial" w:eastAsia="Calibri" w:hAnsi="Arial" w:cs="Arial"/>
          <w:bCs/>
        </w:rPr>
        <w:tab/>
      </w:r>
      <w:r w:rsidRPr="00A16DD4">
        <w:rPr>
          <w:rFonts w:ascii="Arial" w:eastAsia="Calibri" w:hAnsi="Arial" w:cs="Arial"/>
          <w:bCs/>
        </w:rPr>
        <w:t>Bajo estas consideraciones,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3D55DB17" w14:textId="03124595" w:rsidR="00F76E7B" w:rsidRDefault="005F0CF8" w:rsidP="00F76E7B">
      <w:pPr>
        <w:spacing w:after="120" w:line="276" w:lineRule="auto"/>
        <w:jc w:val="both"/>
        <w:rPr>
          <w:rFonts w:ascii="Arial" w:eastAsia="Times New Roman" w:hAnsi="Arial" w:cs="Arial"/>
          <w:b/>
          <w:bCs/>
          <w:lang w:eastAsia="es-MX"/>
        </w:rPr>
      </w:pPr>
      <w:r w:rsidRPr="005F0CF8">
        <w:rPr>
          <w:rFonts w:ascii="Arial" w:eastAsia="Calibri" w:hAnsi="Arial" w:cs="Arial"/>
          <w:bCs/>
        </w:rPr>
        <w:tab/>
        <w:t>Por</w:t>
      </w:r>
      <w:r w:rsidRPr="005F0CF8">
        <w:rPr>
          <w:rFonts w:ascii="Arial" w:eastAsia="Calibri" w:hAnsi="Arial" w:cs="Arial"/>
          <w:color w:val="000000" w:themeColor="text1"/>
          <w:lang w:val="es-ES"/>
        </w:rPr>
        <w:t xml:space="preserve"> ello, la Subdirección, dentro de los límites de sus atribuciones, resolverá la consulta conforme a las normas generales en materia de contratación estatal. Con este objetivo se analizarán los siguientes temas:</w:t>
      </w:r>
      <w:r w:rsidRPr="005F0CF8">
        <w:rPr>
          <w:rFonts w:ascii="Arial" w:eastAsia="Calibri" w:hAnsi="Arial" w:cs="Arial"/>
          <w:bCs/>
        </w:rPr>
        <w:t xml:space="preserve"> </w:t>
      </w:r>
      <w:r w:rsidR="00165C55">
        <w:rPr>
          <w:rFonts w:ascii="Arial" w:eastAsia="Calibri" w:hAnsi="Arial" w:cs="Arial"/>
          <w:bCs/>
        </w:rPr>
        <w:t>i) fundamento normativo de los documentos tipo</w:t>
      </w:r>
      <w:r w:rsidR="00F76E7B">
        <w:rPr>
          <w:rFonts w:ascii="Arial" w:eastAsia="Calibri" w:hAnsi="Arial" w:cs="Arial"/>
          <w:bCs/>
        </w:rPr>
        <w:t xml:space="preserve"> </w:t>
      </w:r>
      <w:r w:rsidR="00165C55">
        <w:rPr>
          <w:rFonts w:ascii="Arial" w:eastAsia="Calibri" w:hAnsi="Arial" w:cs="Arial"/>
          <w:bCs/>
        </w:rPr>
        <w:t xml:space="preserve">y </w:t>
      </w:r>
      <w:proofErr w:type="spellStart"/>
      <w:r w:rsidR="00165C55">
        <w:rPr>
          <w:rFonts w:ascii="Arial" w:eastAsia="Calibri" w:hAnsi="Arial" w:cs="Arial"/>
          <w:bCs/>
        </w:rPr>
        <w:t>ii</w:t>
      </w:r>
      <w:r w:rsidR="00C717AE">
        <w:rPr>
          <w:rFonts w:ascii="Arial" w:eastAsia="Calibri" w:hAnsi="Arial" w:cs="Arial"/>
          <w:bCs/>
        </w:rPr>
        <w:t>i</w:t>
      </w:r>
      <w:proofErr w:type="spellEnd"/>
      <w:r w:rsidRPr="005F0CF8">
        <w:rPr>
          <w:rFonts w:ascii="Arial" w:eastAsia="Calibri" w:hAnsi="Arial" w:cs="Arial"/>
          <w:bCs/>
        </w:rPr>
        <w:t xml:space="preserve">) </w:t>
      </w:r>
      <w:r w:rsidR="00F76E7B">
        <w:rPr>
          <w:rFonts w:ascii="Arial" w:eastAsia="Times New Roman" w:hAnsi="Arial" w:cs="Arial"/>
          <w:lang w:eastAsia="es-MX"/>
        </w:rPr>
        <w:t>a</w:t>
      </w:r>
      <w:r w:rsidR="00F76E7B" w:rsidRPr="00F76E7B">
        <w:rPr>
          <w:rFonts w:ascii="Arial" w:eastAsia="Times New Roman" w:hAnsi="Arial" w:cs="Arial"/>
          <w:lang w:eastAsia="es-MX"/>
        </w:rPr>
        <w:t>plicación de la Matriz 1 – Experiencia y experiencia adicional para bienes o servicios adicionales en los documentos tipo.</w:t>
      </w:r>
      <w:r w:rsidR="00F76E7B">
        <w:rPr>
          <w:rFonts w:ascii="Arial" w:eastAsia="Times New Roman" w:hAnsi="Arial" w:cs="Arial"/>
          <w:b/>
          <w:bCs/>
          <w:lang w:eastAsia="es-MX"/>
        </w:rPr>
        <w:t xml:space="preserve"> </w:t>
      </w:r>
    </w:p>
    <w:p w14:paraId="308917A7" w14:textId="0B54FFA6" w:rsidR="00C268C4" w:rsidRPr="008F216D" w:rsidRDefault="00C268C4" w:rsidP="00F76E7B">
      <w:pPr>
        <w:spacing w:after="120" w:line="276" w:lineRule="auto"/>
        <w:ind w:firstLine="708"/>
        <w:jc w:val="both"/>
        <w:rPr>
          <w:rFonts w:ascii="Arial" w:eastAsia="Calibri" w:hAnsi="Arial" w:cs="Arial"/>
          <w:lang w:val="es-ES_tradnl" w:eastAsia="es-ES_tradnl"/>
        </w:rPr>
      </w:pPr>
      <w:r w:rsidRPr="008F216D">
        <w:rPr>
          <w:rFonts w:ascii="Arial" w:eastAsia="Calibri" w:hAnsi="Arial" w:cs="Arial"/>
          <w:lang w:val="es-ES_tradnl" w:eastAsia="es-ES_tradnl"/>
        </w:rPr>
        <w:t xml:space="preserve">La Agencia Nacional de Contratación Pública – Colombia Compra Eficiente analizó el fundamento normativo de los pliegos de condiciones tipo en la contratación estatal, entre otros, en los siguientes conceptos: </w:t>
      </w:r>
      <w:r w:rsidRPr="008F216D">
        <w:rPr>
          <w:rFonts w:ascii="Arial" w:eastAsia="Times New Roman" w:hAnsi="Arial" w:cs="Arial"/>
          <w:lang w:val="es-ES_tradnl" w:eastAsia="es-ES_tradnl"/>
        </w:rPr>
        <w:t>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w:t>
      </w:r>
      <w:r w:rsidRPr="008F216D">
        <w:rPr>
          <w:rFonts w:ascii="Arial" w:eastAsia="Calibri" w:hAnsi="Arial" w:cs="Arial"/>
          <w:lang w:val="es-ES_tradnl" w:eastAsia="es-ES_tradnl"/>
        </w:rPr>
        <w:t>,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y C-643 del 17 de noviembre de 2021, C-690 del 27 de diciembre de 2022, C-706 del 17 de enero de 2022, C-679 del 24 de enero de 2022, C-066 del 28 de enero de 2022, C-705 del 5 de enero de 2022</w:t>
      </w:r>
      <w:r w:rsidR="008F216D" w:rsidRPr="008F216D">
        <w:rPr>
          <w:rFonts w:ascii="Arial" w:eastAsia="Calibri" w:hAnsi="Arial" w:cs="Arial"/>
          <w:lang w:val="es-ES_tradnl" w:eastAsia="es-ES_tradnl"/>
        </w:rPr>
        <w:t xml:space="preserve">, </w:t>
      </w:r>
      <w:r w:rsidRPr="008F216D">
        <w:rPr>
          <w:rFonts w:ascii="Arial" w:eastAsia="Calibri" w:hAnsi="Arial" w:cs="Arial"/>
          <w:lang w:val="es-ES_tradnl" w:eastAsia="es-ES_tradnl"/>
        </w:rPr>
        <w:t>C-753 del 6 de febrero de 2022</w:t>
      </w:r>
      <w:r w:rsidR="008F216D" w:rsidRPr="008F216D">
        <w:rPr>
          <w:rFonts w:ascii="Arial" w:eastAsia="Calibri" w:hAnsi="Arial" w:cs="Arial"/>
          <w:lang w:val="es-ES_tradnl" w:eastAsia="es-ES_tradnl"/>
        </w:rPr>
        <w:t xml:space="preserve">, C-011 del 18 de febrero de 2022, C-033 del 4 de marzo de 2022, C-060 del 10 de marzo de 2022, C-086 del 15 de marzo de 2022, C-130 del 22 de marzo de 2022, C-110 del 23 de marzo de 2022 y C-137 del 29 de marzo de 2022. </w:t>
      </w:r>
    </w:p>
    <w:p w14:paraId="7E91FD23" w14:textId="77777777" w:rsidR="00F428EF" w:rsidRPr="000370F9" w:rsidRDefault="00165C55" w:rsidP="00AB0BA8">
      <w:pPr>
        <w:spacing w:after="0" w:line="276" w:lineRule="auto"/>
        <w:ind w:firstLine="708"/>
        <w:jc w:val="both"/>
        <w:rPr>
          <w:rFonts w:ascii="Arial" w:eastAsia="Calibri" w:hAnsi="Arial" w:cs="Arial"/>
          <w:color w:val="000000" w:themeColor="text1"/>
          <w:lang w:val="es-ES"/>
        </w:rPr>
      </w:pPr>
      <w:r w:rsidRPr="00165C55">
        <w:rPr>
          <w:rFonts w:ascii="Arial" w:eastAsia="Times New Roman" w:hAnsi="Arial" w:cs="Arial"/>
          <w:noProof/>
          <w:color w:val="000000"/>
          <w:szCs w:val="24"/>
          <w:lang w:val="es-MX" w:eastAsia="es-ES_tradnl"/>
        </w:rPr>
        <w:t xml:space="preserve">De otra parte, </w:t>
      </w:r>
      <w:r w:rsidRPr="00165C55">
        <w:rPr>
          <w:rFonts w:ascii="Arial" w:eastAsia="Times New Roman" w:hAnsi="Arial" w:cs="Arial"/>
          <w:noProof/>
          <w:color w:val="000000"/>
          <w:szCs w:val="24"/>
          <w:lang w:val="es-ES" w:eastAsia="es-ES_tradnl"/>
        </w:rPr>
        <w:t xml:space="preserve">la Agencia Nacional de Contratación Pública −Colombia Compra Eficiente−, </w:t>
      </w:r>
      <w:r w:rsidRPr="00165C55">
        <w:rPr>
          <w:rFonts w:ascii="Arial" w:eastAsia="Times New Roman" w:hAnsi="Arial" w:cs="Arial"/>
          <w:noProof/>
          <w:color w:val="000000"/>
          <w:szCs w:val="24"/>
          <w:lang w:val="es-MX" w:eastAsia="es-ES_tradnl"/>
        </w:rPr>
        <w:t xml:space="preserve">en el concepto </w:t>
      </w:r>
      <w:r w:rsidRPr="00165C55">
        <w:rPr>
          <w:rFonts w:ascii="Arial" w:eastAsia="Times New Roman" w:hAnsi="Arial" w:cs="Arial"/>
          <w:noProof/>
          <w:color w:val="000000"/>
          <w:szCs w:val="24"/>
          <w:lang w:val="es-ES" w:eastAsia="es-ES_tradnl"/>
        </w:rPr>
        <w:t xml:space="preserve">No. 4201912000004855 del 13 de agosto de 2019, reiterado y desarrollado en los conceptos No. 4201912000006117 del 7 de septiembre de 2019, 4201912000005786 del 7 de octubre de 2019, 4201912000006928, 4201912000006929 y </w:t>
      </w:r>
      <w:r w:rsidRPr="00165C55">
        <w:rPr>
          <w:rFonts w:ascii="Arial" w:eastAsia="Times New Roman" w:hAnsi="Arial" w:cs="Arial"/>
          <w:noProof/>
          <w:color w:val="000000"/>
          <w:szCs w:val="24"/>
          <w:lang w:val="es-ES" w:eastAsia="es-ES_tradnl"/>
        </w:rPr>
        <w:lastRenderedPageBreak/>
        <w:t xml:space="preserve">4201913000006952 del 8 de octubre de 2019, 4201912000006613 del 24 de octubre de 2019, 4201912000006576 del 6 de noviembre de 2019, 4201912000007375 y 4201912000007452 del 14 de noviembre de 2019, 4201912000007166 del 2 de diciembre de 2019, 4201912000007996 del 9 de diciembre de 2019, 4201912000007465 del 13 de diciembre de 2019, 4201912000007755 y 4201912000007931 del 20 de diciembre de 2019, 4201912000008017 del 26 de diciembre de 2019, 4201912000008465 del 8 de enero de 2020, C-133 del 30 de marzo de 2020, C-144 del 2 de marzo de 2020, C-341 del 22 de mayo de 2020, C-596 del 8 de septiembre de 2020, C-588 del 14 de septiembre de 2020, C-440 del 21 de octubre de 2020, C-649 del 27 de octubre de 2020, C-736 del 15 de diciembre 2020, C-801 del 21 de enero de 2021, C-109 del 29 de marzo de 2021, C-142 del 7 de abril de 2021, C-152 del 12 de abril de 2021, </w:t>
      </w:r>
      <w:r w:rsidR="00B70D06">
        <w:rPr>
          <w:rFonts w:ascii="Arial" w:eastAsia="Times New Roman" w:hAnsi="Arial" w:cs="Arial"/>
          <w:noProof/>
          <w:color w:val="000000"/>
          <w:szCs w:val="24"/>
          <w:lang w:val="es-ES" w:eastAsia="es-ES_tradnl"/>
        </w:rPr>
        <w:t xml:space="preserve">C-225 del 1 de junio de 2021, </w:t>
      </w:r>
      <w:r w:rsidRPr="00165C55">
        <w:rPr>
          <w:rFonts w:ascii="Arial" w:eastAsia="Times New Roman" w:hAnsi="Arial" w:cs="Arial"/>
          <w:noProof/>
          <w:color w:val="000000"/>
          <w:szCs w:val="24"/>
          <w:lang w:val="es-ES" w:eastAsia="es-ES_tradnl"/>
        </w:rPr>
        <w:t>C-287 del 18 de junio de 2021</w:t>
      </w:r>
      <w:r w:rsidR="00B70D06">
        <w:rPr>
          <w:rFonts w:ascii="Arial" w:eastAsia="Times New Roman" w:hAnsi="Arial" w:cs="Arial"/>
          <w:noProof/>
          <w:color w:val="000000"/>
          <w:szCs w:val="24"/>
          <w:lang w:val="es-ES" w:eastAsia="es-ES_tradnl"/>
        </w:rPr>
        <w:t>,</w:t>
      </w:r>
      <w:r w:rsidRPr="00165C55">
        <w:rPr>
          <w:rFonts w:ascii="Arial" w:eastAsia="Times New Roman" w:hAnsi="Arial" w:cs="Arial"/>
          <w:noProof/>
          <w:color w:val="000000"/>
          <w:szCs w:val="24"/>
          <w:lang w:val="es-ES" w:eastAsia="es-ES_tradnl"/>
        </w:rPr>
        <w:t xml:space="preserve"> C-330 del 8 de julio de 2021,</w:t>
      </w:r>
      <w:r w:rsidR="008F216D">
        <w:rPr>
          <w:rFonts w:ascii="Arial" w:eastAsia="Times New Roman" w:hAnsi="Arial" w:cs="Arial"/>
          <w:noProof/>
          <w:color w:val="000000"/>
          <w:szCs w:val="24"/>
          <w:lang w:val="es-ES" w:eastAsia="es-ES_tradnl"/>
        </w:rPr>
        <w:t xml:space="preserve"> C-399 del 28 de septiembre de 2021, </w:t>
      </w:r>
      <w:r w:rsidR="00B70D06">
        <w:rPr>
          <w:rFonts w:ascii="Arial" w:eastAsia="Times New Roman" w:hAnsi="Arial" w:cs="Arial"/>
          <w:noProof/>
          <w:color w:val="000000"/>
          <w:szCs w:val="24"/>
          <w:lang w:val="es-ES" w:eastAsia="es-ES_tradnl"/>
        </w:rPr>
        <w:t xml:space="preserve">C-039 del 21 de febrero de 2022, </w:t>
      </w:r>
      <w:r w:rsidRPr="00165C55">
        <w:rPr>
          <w:rFonts w:ascii="Arial" w:eastAsia="Times New Roman" w:hAnsi="Arial" w:cs="Arial"/>
          <w:noProof/>
          <w:color w:val="000000"/>
          <w:szCs w:val="24"/>
          <w:lang w:val="es-ES" w:eastAsia="es-ES_tradnl"/>
        </w:rPr>
        <w:t>entre otros, estudió la posibilidad de solicitar experiencia adicional cuando se requiere contratar en contratos de obra pública, bienes o servicios adicionales a la obra pública de infraestructura de transporte.</w:t>
      </w:r>
      <w:r w:rsidRPr="00165C55">
        <w:rPr>
          <w:rFonts w:ascii="Arial" w:eastAsia="Times New Roman" w:hAnsi="Arial" w:cs="Arial"/>
          <w:noProof/>
          <w:color w:val="000000"/>
          <w:szCs w:val="24"/>
          <w:lang w:eastAsia="es-ES_tradnl"/>
        </w:rPr>
        <w:t xml:space="preserve"> </w:t>
      </w:r>
      <w:r w:rsidR="00F428EF">
        <w:rPr>
          <w:rFonts w:ascii="Arial" w:hAnsi="Arial" w:cs="Arial"/>
          <w:color w:val="000000" w:themeColor="text1"/>
        </w:rPr>
        <w:t>La tesis expuesta en estos conceptos se reitera a continuación y se complementa en lo pertinente:</w:t>
      </w:r>
    </w:p>
    <w:p w14:paraId="17837CB2" w14:textId="7599B370" w:rsidR="0059265C" w:rsidRDefault="0059265C">
      <w:pPr>
        <w:spacing w:after="0" w:line="240" w:lineRule="auto"/>
        <w:jc w:val="both"/>
        <w:rPr>
          <w:rFonts w:ascii="Arial" w:eastAsia="Calibri" w:hAnsi="Arial" w:cs="Arial"/>
          <w:color w:val="000000"/>
          <w:lang w:val="es-ES_tradnl"/>
        </w:rPr>
      </w:pPr>
    </w:p>
    <w:p w14:paraId="3A2F4A7A" w14:textId="424E3438" w:rsidR="004D387A" w:rsidRPr="009E3B79" w:rsidRDefault="004D387A" w:rsidP="00407E42">
      <w:pPr>
        <w:spacing w:after="0" w:line="276" w:lineRule="auto"/>
        <w:jc w:val="both"/>
        <w:rPr>
          <w:rFonts w:ascii="Arial" w:eastAsia="Calibri" w:hAnsi="Arial" w:cs="Arial"/>
          <w:b/>
          <w:bCs/>
          <w:color w:val="000000" w:themeColor="text1"/>
          <w:lang w:val="es-ES_tradnl"/>
        </w:rPr>
      </w:pPr>
      <w:r w:rsidRPr="009E3B79">
        <w:rPr>
          <w:rFonts w:ascii="Arial" w:eastAsia="Calibri" w:hAnsi="Arial" w:cs="Arial"/>
          <w:b/>
          <w:bCs/>
          <w:color w:val="000000" w:themeColor="text1"/>
          <w:lang w:val="es-ES_tradnl"/>
        </w:rPr>
        <w:t xml:space="preserve">2.1. Antecedentes y fundamentos de los documentos </w:t>
      </w:r>
      <w:r>
        <w:rPr>
          <w:rFonts w:ascii="Arial" w:eastAsia="Calibri" w:hAnsi="Arial" w:cs="Arial"/>
          <w:b/>
          <w:bCs/>
          <w:color w:val="000000" w:themeColor="text1"/>
          <w:lang w:val="es-ES_tradnl"/>
        </w:rPr>
        <w:t xml:space="preserve">del sector de infraestructura </w:t>
      </w:r>
      <w:r w:rsidRPr="009E3B79">
        <w:rPr>
          <w:rFonts w:ascii="Arial" w:eastAsia="Calibri" w:hAnsi="Arial" w:cs="Arial"/>
          <w:b/>
          <w:bCs/>
          <w:color w:val="000000" w:themeColor="text1"/>
          <w:lang w:val="es-ES_tradnl"/>
        </w:rPr>
        <w:t>de transporte</w:t>
      </w:r>
    </w:p>
    <w:p w14:paraId="4348F181" w14:textId="77777777" w:rsidR="004D387A" w:rsidRPr="009E3B79" w:rsidRDefault="004D387A" w:rsidP="00407E42">
      <w:pPr>
        <w:spacing w:after="0" w:line="276" w:lineRule="auto"/>
        <w:jc w:val="both"/>
        <w:rPr>
          <w:rFonts w:ascii="Arial" w:eastAsia="Calibri" w:hAnsi="Arial" w:cs="Arial"/>
          <w:b/>
          <w:bCs/>
          <w:color w:val="000000" w:themeColor="text1"/>
          <w:lang w:val="es-ES_tradnl"/>
        </w:rPr>
      </w:pPr>
    </w:p>
    <w:p w14:paraId="0335E567" w14:textId="70D27AA3" w:rsidR="00AF38B1" w:rsidRPr="00E858D2" w:rsidRDefault="00AF38B1" w:rsidP="00AF38B1">
      <w:pPr>
        <w:spacing w:after="120" w:line="276" w:lineRule="auto"/>
        <w:jc w:val="both"/>
        <w:rPr>
          <w:rFonts w:ascii="Arial" w:eastAsia="Calibri" w:hAnsi="Arial" w:cs="Arial"/>
          <w:lang w:val="es-ES_tradnl"/>
        </w:rPr>
      </w:pPr>
      <w:r w:rsidRPr="00E858D2">
        <w:rPr>
          <w:rFonts w:ascii="Arial" w:eastAsia="Calibri" w:hAnsi="Arial" w:cs="Arial"/>
          <w:lang w:val="es-ES_tradnl"/>
        </w:rPr>
        <w:t>La adopción de los documentos tipo obligatorios en el ordenamiento jurídico colombiano se incluyó por primera vez en el parágrafo 3 del artículo 2 de la Ley 1150 de 2007</w:t>
      </w:r>
      <w:r w:rsidRPr="00E858D2">
        <w:rPr>
          <w:rStyle w:val="Refdenotaalpie"/>
          <w:rFonts w:ascii="Arial" w:eastAsia="Calibri" w:hAnsi="Arial" w:cs="Arial"/>
        </w:rPr>
        <w:footnoteReference w:id="1"/>
      </w:r>
      <w:r w:rsidR="006364FD">
        <w:rPr>
          <w:rFonts w:ascii="Arial" w:eastAsia="Calibri" w:hAnsi="Arial" w:cs="Arial"/>
        </w:rPr>
        <w:t xml:space="preserve">. Esta norma </w:t>
      </w:r>
      <w:r w:rsidRPr="00E858D2">
        <w:rPr>
          <w:rFonts w:ascii="Arial" w:eastAsia="Calibri" w:hAnsi="Arial" w:cs="Arial"/>
          <w:lang w:val="es-ES_tradnl"/>
        </w:rPr>
        <w:t xml:space="preserve">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45AE4F06" w14:textId="77777777" w:rsidR="00AF38B1" w:rsidRPr="00E858D2" w:rsidRDefault="00AF38B1" w:rsidP="00AF38B1">
      <w:pPr>
        <w:spacing w:line="276" w:lineRule="auto"/>
        <w:ind w:firstLine="708"/>
        <w:jc w:val="both"/>
        <w:rPr>
          <w:rFonts w:ascii="Arial" w:eastAsia="Calibri" w:hAnsi="Arial" w:cs="Arial"/>
          <w:lang w:val="es-ES_tradnl"/>
        </w:rPr>
      </w:pPr>
      <w:r w:rsidRPr="00E858D2">
        <w:rPr>
          <w:rFonts w:ascii="Arial" w:eastAsia="Calibri" w:hAnsi="Arial" w:cs="Arial"/>
          <w:lang w:val="es-ES_tradnl"/>
        </w:rPr>
        <w:t xml:space="preserve">Debido a lo anterior, el artículo 4 de la Ley 1882 de 2018 es el antecedente más relevante respecto a los documentos tipo. A partir de esta norma se determinó la obligatoriedad para todas las entidades sometidas al Estatuto General de Contratación de la Administración Pública de aplicar los documentos tipo adoptados por el Gobierno Nacional. Debe señalarse que en virtud de la Ley 1882 de 2018 se expidieron varios documentos tipo para el sector de infraestructura de transporte y, por tanto, es importante explicar el proceso previsto en dicho cuerpo normativo. </w:t>
      </w:r>
    </w:p>
    <w:p w14:paraId="4B1A7245" w14:textId="77777777" w:rsidR="00AF38B1" w:rsidRPr="00E858D2" w:rsidRDefault="00AF38B1" w:rsidP="00AF38B1">
      <w:pPr>
        <w:spacing w:before="120" w:after="120" w:line="276" w:lineRule="auto"/>
        <w:ind w:firstLine="708"/>
        <w:jc w:val="both"/>
        <w:rPr>
          <w:rFonts w:ascii="Arial" w:eastAsia="Calibri" w:hAnsi="Arial" w:cs="Arial"/>
          <w:lang w:val="es-ES_tradnl"/>
        </w:rPr>
      </w:pPr>
      <w:r w:rsidRPr="00E858D2">
        <w:rPr>
          <w:rFonts w:ascii="Arial" w:eastAsia="Calibri" w:hAnsi="Arial" w:cs="Arial"/>
          <w:lang w:val="es-ES_tradnl"/>
        </w:rPr>
        <w:t xml:space="preserve">El artículo 4 de la Ley 1882 de 2018 establecía que el Gobierno Nacional adoptaría los documentos tipo para los pliegos de condiciones de los procesos de selección de obras públicas, interventoría para las obras públicas, interventoría para consultoría de estudios y </w:t>
      </w:r>
      <w:r w:rsidRPr="00E858D2">
        <w:rPr>
          <w:rFonts w:ascii="Arial" w:eastAsia="Calibri" w:hAnsi="Arial" w:cs="Arial"/>
          <w:lang w:val="es-ES_tradnl"/>
        </w:rPr>
        <w:lastRenderedPageBreak/>
        <w:t>diseños para obras públicas y consultoría en ingeniería para obras, los cuales debían ser utilizados por todas las entidades sometidas al Estatuto General de Contratación de la Administración Pública en los Procesos de Contratación que adelantaran</w:t>
      </w:r>
      <w:r w:rsidRPr="00E858D2">
        <w:rPr>
          <w:rStyle w:val="Refdenotaalpie"/>
          <w:rFonts w:ascii="Arial" w:eastAsia="Calibri" w:hAnsi="Arial" w:cs="Arial"/>
        </w:rPr>
        <w:footnoteReference w:id="2"/>
      </w:r>
      <w:r w:rsidRPr="00E858D2">
        <w:rPr>
          <w:rFonts w:ascii="Arial" w:eastAsia="Calibri" w:hAnsi="Arial" w:cs="Arial"/>
          <w:lang w:val="es-ES_tradnl"/>
        </w:rPr>
        <w:t>.</w:t>
      </w:r>
    </w:p>
    <w:p w14:paraId="509EB0C9" w14:textId="77777777" w:rsidR="00AF38B1" w:rsidRPr="00E858D2" w:rsidRDefault="00AF38B1" w:rsidP="00AF38B1">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72F0E230" w14:textId="77777777" w:rsidR="00AF38B1" w:rsidRPr="00E858D2" w:rsidRDefault="00AF38B1" w:rsidP="00AF38B1">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De la norma descrita se concluía lo siguiente: i) la adopción de los documentos tipo estaba en cabeza del Gobierno Nacional. </w:t>
      </w:r>
      <w:proofErr w:type="spellStart"/>
      <w:r w:rsidRPr="00E858D2">
        <w:rPr>
          <w:rFonts w:ascii="Arial" w:eastAsia="Calibri" w:hAnsi="Arial" w:cs="Arial"/>
          <w:lang w:val="es-ES_tradnl"/>
        </w:rPr>
        <w:t>ii</w:t>
      </w:r>
      <w:proofErr w:type="spellEnd"/>
      <w:r w:rsidRPr="00E858D2">
        <w:rPr>
          <w:rFonts w:ascii="Arial" w:eastAsia="Calibri" w:hAnsi="Arial" w:cs="Arial"/>
          <w:lang w:val="es-ES_tradnl"/>
        </w:rPr>
        <w:t xml:space="preserve">) Estos debían relacionarse con procesos de obra públicas, interventoría para las obras públicas, interventoría para consultoría de estudios y diseños y, finalmente, consultoría en ingeniería para obras. </w:t>
      </w:r>
      <w:proofErr w:type="spellStart"/>
      <w:r w:rsidRPr="00E858D2">
        <w:rPr>
          <w:rFonts w:ascii="Arial" w:eastAsia="Calibri" w:hAnsi="Arial" w:cs="Arial"/>
          <w:lang w:val="es-ES_tradnl"/>
        </w:rPr>
        <w:t>iii</w:t>
      </w:r>
      <w:proofErr w:type="spellEnd"/>
      <w:r w:rsidRPr="00E858D2">
        <w:rPr>
          <w:rFonts w:ascii="Arial" w:eastAsia="Calibri" w:hAnsi="Arial" w:cs="Arial"/>
          <w:lang w:val="es-ES_tradnl"/>
        </w:rPr>
        <w:t xml:space="preserve">) Eran de obligatorio cumplimiento por parte de todas las entidades sometidas al Estatuto General de Contratación de la Administración Pública. </w:t>
      </w:r>
      <w:proofErr w:type="spellStart"/>
      <w:r w:rsidRPr="00E858D2">
        <w:rPr>
          <w:rFonts w:ascii="Arial" w:eastAsia="Calibri" w:hAnsi="Arial" w:cs="Arial"/>
          <w:lang w:val="es-ES_tradnl"/>
        </w:rPr>
        <w:t>iv</w:t>
      </w:r>
      <w:proofErr w:type="spellEnd"/>
      <w:r w:rsidRPr="00E858D2">
        <w:rPr>
          <w:rFonts w:ascii="Arial" w:eastAsia="Calibri" w:hAnsi="Arial" w:cs="Arial"/>
          <w:lang w:val="es-ES_tradnl"/>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1E223D1B" w14:textId="77777777" w:rsidR="00AF38B1" w:rsidRPr="00E858D2" w:rsidRDefault="00AF38B1" w:rsidP="00AF38B1">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Esta norma fue estudiada por la Corte Constitucional en la Sentencia C-119 de 2020. Al respecto, indicó que la adopción de los documentos tipo no afectaba la autonomía de las </w:t>
      </w:r>
      <w:r w:rsidRPr="00E858D2">
        <w:rPr>
          <w:rFonts w:ascii="Arial" w:eastAsia="Calibri" w:hAnsi="Arial" w:cs="Arial"/>
          <w:lang w:val="es-ES_tradnl"/>
        </w:rPr>
        <w:lastRenderedPageBreak/>
        <w:t xml:space="preserve">entidades territoriales, en cuanto la estandarización se predicaba únicamente de los requisitos habilitantes </w:t>
      </w:r>
      <w:bookmarkStart w:id="0" w:name="_Hlk48665985"/>
      <w:r w:rsidRPr="00E858D2">
        <w:rPr>
          <w:rFonts w:ascii="Arial" w:eastAsia="Calibri" w:hAnsi="Arial" w:cs="Arial"/>
          <w:lang w:val="es-ES_tradnl"/>
        </w:rPr>
        <w:t>y los criterios de escogencia, elementos propios del procedimiento de selección del contratista, materia en la que existe reserva de ley y que no se encuentra atribuida a la regulación de las entidades territoriales</w:t>
      </w:r>
      <w:bookmarkEnd w:id="0"/>
      <w:r w:rsidRPr="00E858D2">
        <w:rPr>
          <w:rFonts w:ascii="Arial" w:eastAsia="Calibri" w:hAnsi="Arial" w:cs="Arial"/>
          <w:lang w:val="es-ES_tradnl"/>
        </w:rPr>
        <w:t>. De igual manera, se establece que esta autonomía se garantiza con la identificación autónoma de sus necesidades y la configuración de los elementos del contrato</w:t>
      </w:r>
      <w:r w:rsidRPr="00E858D2">
        <w:rPr>
          <w:rStyle w:val="Refdenotaalpie"/>
          <w:rFonts w:ascii="Arial" w:eastAsia="Calibri" w:hAnsi="Arial" w:cs="Arial"/>
        </w:rPr>
        <w:footnoteReference w:id="3"/>
      </w:r>
      <w:r w:rsidRPr="00E858D2">
        <w:rPr>
          <w:rFonts w:ascii="Arial" w:eastAsia="Calibri" w:hAnsi="Arial" w:cs="Arial"/>
          <w:lang w:val="es-ES_tradnl"/>
        </w:rPr>
        <w:t>.</w:t>
      </w:r>
    </w:p>
    <w:p w14:paraId="228EFD6B" w14:textId="77777777" w:rsidR="00AF38B1" w:rsidRPr="00E858D2" w:rsidRDefault="00AF38B1" w:rsidP="00AF38B1">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De este modo, los documentos tipo no afectan la autonomía de las entidades territoriales. Lo anterior, debido a que la definición de los requisitos habilitantes y de aspectos técnicos de la escogencia del contratista en los Procesos de Contratación, son aspectos en los que el legislador tiene amplia libertad de configuración normativa y, por tanto, puede atribuir dicha regulación al Gobierno Nacional. Ahora, dicha autonomía se materializa cuando las entidades territoriales deciden iniciar una convocatoria para satisfacer sus necesidades para la adquisición de un bien, obra o servicio, y además se incluyen en la minuta del contrato las condiciones particulares del negocio jurídico a celebrar.</w:t>
      </w:r>
    </w:p>
    <w:p w14:paraId="629CA5B8" w14:textId="77777777" w:rsidR="00AF38B1" w:rsidRPr="00E858D2" w:rsidRDefault="00AF38B1" w:rsidP="00AF38B1">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de documentos tipo mediante el Decreto 342 de 2019, relacionado con los documentos tipo para los procesos de selección de licitación de obra pública de infraestructura de transporte. Luego se expidió el Decreto 2096 de 2019, que permitió el desarrollo de los documentos tipo para los pliegos de condiciones de los procesos de obras públicas de infraestructura de transporte que se adelantaran por la modalidad de selección abreviada de menor cuantía. </w:t>
      </w:r>
    </w:p>
    <w:p w14:paraId="2E8E785C" w14:textId="77777777" w:rsidR="00AF38B1" w:rsidRPr="00E858D2" w:rsidRDefault="00AF38B1" w:rsidP="00AF38B1">
      <w:pPr>
        <w:spacing w:before="120" w:after="120" w:line="276" w:lineRule="auto"/>
        <w:ind w:firstLine="708"/>
        <w:jc w:val="both"/>
        <w:rPr>
          <w:rFonts w:ascii="Arial" w:eastAsia="Calibri" w:hAnsi="Arial" w:cs="Arial"/>
          <w:lang w:val="es-ES_tradnl"/>
        </w:rPr>
      </w:pPr>
      <w:r w:rsidRPr="00E858D2">
        <w:rPr>
          <w:rFonts w:ascii="Arial" w:eastAsia="Calibri" w:hAnsi="Arial" w:cs="Arial"/>
          <w:lang w:val="es-ES_tradnl"/>
        </w:rPr>
        <w:t>Finalmente, se profirió el Decreto 594 de 2020, frente a los documentos tipo para los contratos de obra pública</w:t>
      </w:r>
      <w:r w:rsidRPr="00E858D2" w:rsidDel="00A434AB">
        <w:rPr>
          <w:rFonts w:ascii="Arial" w:eastAsia="Calibri" w:hAnsi="Arial" w:cs="Arial"/>
          <w:lang w:val="es-ES_tradnl"/>
        </w:rPr>
        <w:t xml:space="preserve"> </w:t>
      </w:r>
      <w:r w:rsidRPr="00E858D2">
        <w:rPr>
          <w:rFonts w:ascii="Arial" w:eastAsia="Calibri" w:hAnsi="Arial" w:cs="Arial"/>
          <w:lang w:val="es-ES_tradnl"/>
        </w:rPr>
        <w:t xml:space="preserve">de infraestructura de transporte que se surtieran por la modalidad de mínima cuantía. Estos documentos fueron implementados y desarrollados por la Agencia Nacional de Contratación Pública </w:t>
      </w:r>
      <w:bookmarkStart w:id="1" w:name="_Hlk37841850"/>
      <w:r w:rsidRPr="00E858D2">
        <w:rPr>
          <w:rFonts w:ascii="Arial" w:eastAsia="Calibri" w:hAnsi="Arial" w:cs="Arial"/>
          <w:lang w:val="es-ES_tradnl"/>
        </w:rPr>
        <w:t xml:space="preserve">– Colombia Compra Eficiente, </w:t>
      </w:r>
      <w:bookmarkEnd w:id="1"/>
      <w:r w:rsidRPr="00E858D2">
        <w:rPr>
          <w:rFonts w:ascii="Arial" w:eastAsia="Calibri" w:hAnsi="Arial" w:cs="Arial"/>
          <w:lang w:val="es-ES_tradnl"/>
        </w:rPr>
        <w:t>por medio de la Resolución 1798 de 2019 –derogada por la Resolución 045 de 2020–, la Resolución 044 de 2020 y la Resolución 094 de 2020.</w:t>
      </w:r>
    </w:p>
    <w:p w14:paraId="2AAC2635" w14:textId="77777777" w:rsidR="00AF38B1" w:rsidRPr="00E858D2" w:rsidRDefault="00AF38B1" w:rsidP="00AF38B1">
      <w:pPr>
        <w:pStyle w:val="Normal11pt"/>
        <w:spacing w:before="120" w:line="276" w:lineRule="auto"/>
        <w:ind w:left="0" w:firstLine="709"/>
        <w:rPr>
          <w:rFonts w:eastAsia="Calibri"/>
          <w:color w:val="auto"/>
        </w:rPr>
      </w:pPr>
      <w:r w:rsidRPr="00E858D2">
        <w:rPr>
          <w:rFonts w:eastAsia="Calibri"/>
          <w:color w:val="auto"/>
        </w:rPr>
        <w:lastRenderedPageBreak/>
        <w:t>Con posterioridad a la adopción de los anteriores documentos tipo, se expidió la Ley 2022 de 2020, norma que modificó el parágrafo 7 del artículo 2 de la Ley 1150 de 2007, que había sido adicionado por la Ley 1882 de 2018</w:t>
      </w:r>
      <w:r w:rsidRPr="00E858D2">
        <w:rPr>
          <w:rStyle w:val="Refdenotaalpie"/>
          <w:rFonts w:eastAsia="Calibri"/>
        </w:rPr>
        <w:footnoteReference w:id="4"/>
      </w:r>
      <w:r w:rsidRPr="00E858D2">
        <w:rPr>
          <w:rFonts w:eastAsia="Calibri"/>
          <w:color w:val="auto"/>
        </w:rPr>
        <w:t xml:space="preserve">. Con esta modificación, si bien se mantuvo el mandato de aplicación obligatoria de los documentos tipo por parte de las entidades sometidas al Estatuto General de Contratación de la Administración Pública, se atribuyó, específicamente, a la </w:t>
      </w:r>
      <w:r w:rsidRPr="00E858D2">
        <w:rPr>
          <w:rFonts w:eastAsia="Calibri"/>
          <w:color w:val="auto"/>
          <w:lang w:eastAsia="en-US"/>
        </w:rPr>
        <w:t xml:space="preserve">Agencia Nacional de Contratación Pública – Colombia Compra Eficiente la competencia para su adopción. </w:t>
      </w:r>
      <w:r w:rsidRPr="00E858D2">
        <w:rPr>
          <w:rFonts w:eastAsia="Calibri"/>
          <w:color w:val="auto"/>
        </w:rPr>
        <w:t xml:space="preserve">En este marco, con la finalidad de realizar un desarrollo armónico y ajustado a la ley que otorgó esta competencia, esta Agencia emitió la Resolución 160 de 2020 «Por la cual se adopta el procedimiento para implementar los documentos tipo y se define el sistema para su revisión». Asimismo, con fundamento en dicha Ley, se profirió la Resolución 240 de 2020, «Por la cual se actualizan los Documentos Tipo para los procesos de selección de licitación de obra pública de infraestructura de transporte y se deroga la Resolución 0045 de 2020». </w:t>
      </w:r>
    </w:p>
    <w:p w14:paraId="29428F5B" w14:textId="43E87036" w:rsidR="00AF38B1" w:rsidRDefault="00AF38B1" w:rsidP="00AF38B1">
      <w:pPr>
        <w:pStyle w:val="Normal11pt"/>
        <w:spacing w:before="120" w:line="276" w:lineRule="auto"/>
        <w:ind w:left="0" w:firstLine="709"/>
        <w:rPr>
          <w:color w:val="auto"/>
        </w:rPr>
      </w:pPr>
      <w:r w:rsidRPr="00E858D2">
        <w:rPr>
          <w:rFonts w:eastAsia="Calibri"/>
          <w:color w:val="auto"/>
        </w:rPr>
        <w:t xml:space="preserve">De igual manera, se expidió la Resolución 241 de 2020, «Por la cual se actualizan los Documentos Tipo para los procesos de selección abreviada de menor cuantía de obra pública de infraestructura de transporte y se deroga la Resolución 0044 de 2020». </w:t>
      </w:r>
      <w:r w:rsidR="00131119">
        <w:rPr>
          <w:rFonts w:eastAsia="Calibri"/>
          <w:color w:val="auto"/>
        </w:rPr>
        <w:t xml:space="preserve">También </w:t>
      </w:r>
      <w:proofErr w:type="gramStart"/>
      <w:r w:rsidRPr="00E858D2">
        <w:rPr>
          <w:rFonts w:eastAsia="Calibri"/>
          <w:color w:val="auto"/>
        </w:rPr>
        <w:t>entró en vigencia</w:t>
      </w:r>
      <w:proofErr w:type="gramEnd"/>
      <w:r w:rsidRPr="00E858D2">
        <w:rPr>
          <w:rFonts w:eastAsia="Calibri"/>
          <w:color w:val="auto"/>
        </w:rPr>
        <w:t xml:space="preserve"> la Resolución 256 de 2020, «Por la cual se adoptan los documentos tipo para los procesos de selección de concursos de méritos, para contratar la interventoría de obras públicas de infraestructura de transporte»</w:t>
      </w:r>
      <w:r>
        <w:rPr>
          <w:rFonts w:eastAsia="Calibri"/>
          <w:color w:val="auto"/>
        </w:rPr>
        <w:t xml:space="preserve">, así como </w:t>
      </w:r>
      <w:r w:rsidRPr="00E858D2">
        <w:rPr>
          <w:rFonts w:eastAsia="Calibri"/>
          <w:color w:val="auto"/>
        </w:rPr>
        <w:t xml:space="preserve">la Resolución 193 de 2021, </w:t>
      </w:r>
      <w:r w:rsidRPr="00E858D2">
        <w:rPr>
          <w:color w:val="auto"/>
        </w:rPr>
        <w:t xml:space="preserve">«Por la cual se adoptan los documentos tipo para los procesos de selección de concurso de </w:t>
      </w:r>
      <w:r w:rsidRPr="00E858D2">
        <w:rPr>
          <w:color w:val="auto"/>
        </w:rPr>
        <w:lastRenderedPageBreak/>
        <w:t>méritos, para contratar la consultoría de estudios de ingeniería de infraestructura de transporte»</w:t>
      </w:r>
      <w:r>
        <w:rPr>
          <w:color w:val="auto"/>
        </w:rPr>
        <w:t>.</w:t>
      </w:r>
    </w:p>
    <w:p w14:paraId="7C0289A6" w14:textId="1979B98B" w:rsidR="00847B07" w:rsidRPr="00F00086" w:rsidRDefault="005E71B5" w:rsidP="00AF38B1">
      <w:pPr>
        <w:pStyle w:val="Normal11pt"/>
        <w:spacing w:before="120" w:line="276" w:lineRule="auto"/>
        <w:ind w:left="0" w:firstLine="709"/>
        <w:rPr>
          <w:rFonts w:eastAsia="Calibri"/>
          <w:color w:val="auto"/>
        </w:rPr>
      </w:pPr>
      <w:r>
        <w:rPr>
          <w:color w:val="auto"/>
        </w:rPr>
        <w:t>L</w:t>
      </w:r>
      <w:r w:rsidR="00847B07">
        <w:rPr>
          <w:color w:val="auto"/>
        </w:rPr>
        <w:t xml:space="preserve">os documentos tipo </w:t>
      </w:r>
      <w:r w:rsidR="002E69C8">
        <w:rPr>
          <w:color w:val="auto"/>
        </w:rPr>
        <w:t>también han sid</w:t>
      </w:r>
      <w:r>
        <w:rPr>
          <w:color w:val="auto"/>
        </w:rPr>
        <w:t>o objeto de modificaciones para adecuarlos a los factores de desempate del artículo 35 de la Ley 2069 de 2020</w:t>
      </w:r>
      <w:r w:rsidR="007129B4">
        <w:rPr>
          <w:color w:val="auto"/>
        </w:rPr>
        <w:t xml:space="preserve"> </w:t>
      </w:r>
      <w:r w:rsidR="001A77E0">
        <w:rPr>
          <w:color w:val="auto"/>
        </w:rPr>
        <w:t>–</w:t>
      </w:r>
      <w:r w:rsidR="007129B4">
        <w:rPr>
          <w:color w:val="auto"/>
        </w:rPr>
        <w:t xml:space="preserve">Resolución </w:t>
      </w:r>
      <w:r w:rsidR="00B10BD5">
        <w:rPr>
          <w:color w:val="auto"/>
        </w:rPr>
        <w:t>161 del 17 de junio de 2021</w:t>
      </w:r>
      <w:r w:rsidR="001A77E0">
        <w:rPr>
          <w:color w:val="auto"/>
        </w:rPr>
        <w:t xml:space="preserve">–, así como la regla de origen del Decreto </w:t>
      </w:r>
      <w:r w:rsidR="000E36BD">
        <w:rPr>
          <w:color w:val="auto"/>
        </w:rPr>
        <w:t>6</w:t>
      </w:r>
      <w:r w:rsidR="001A77E0">
        <w:rPr>
          <w:color w:val="auto"/>
        </w:rPr>
        <w:t xml:space="preserve">80 de </w:t>
      </w:r>
      <w:r w:rsidR="000E36BD">
        <w:rPr>
          <w:color w:val="auto"/>
        </w:rPr>
        <w:t>2021</w:t>
      </w:r>
      <w:r w:rsidR="005A64AD">
        <w:rPr>
          <w:color w:val="auto"/>
        </w:rPr>
        <w:t xml:space="preserve"> –Resolución </w:t>
      </w:r>
      <w:r w:rsidR="00CA577F">
        <w:rPr>
          <w:color w:val="auto"/>
        </w:rPr>
        <w:t xml:space="preserve">304 del 13 de octubre de 2021–. Recientemente, el documento tipo de </w:t>
      </w:r>
      <w:r w:rsidR="003A0D8F">
        <w:rPr>
          <w:color w:val="auto"/>
        </w:rPr>
        <w:t>mínima cuantía para obra pública de infraestructura de transporte también fue</w:t>
      </w:r>
      <w:r w:rsidR="00016D7A">
        <w:rPr>
          <w:color w:val="auto"/>
        </w:rPr>
        <w:t xml:space="preserve"> ajustado mediante la Resolución </w:t>
      </w:r>
      <w:r w:rsidR="0057508C">
        <w:rPr>
          <w:color w:val="auto"/>
        </w:rPr>
        <w:t>146 del 25 de marzo de 2022.</w:t>
      </w:r>
      <w:r>
        <w:rPr>
          <w:color w:val="auto"/>
        </w:rPr>
        <w:t xml:space="preserve"> </w:t>
      </w:r>
    </w:p>
    <w:p w14:paraId="79825033" w14:textId="77777777" w:rsidR="00AF38B1" w:rsidRPr="00E858D2" w:rsidRDefault="00AF38B1" w:rsidP="00AB0BA8">
      <w:pPr>
        <w:pStyle w:val="Normal11pt"/>
        <w:spacing w:before="120" w:after="120" w:line="276" w:lineRule="auto"/>
        <w:ind w:left="0" w:firstLine="708"/>
        <w:rPr>
          <w:color w:val="auto"/>
        </w:rPr>
      </w:pPr>
      <w:r w:rsidRPr="00E858D2">
        <w:rPr>
          <w:color w:val="auto"/>
        </w:rPr>
        <w:t xml:space="preserve">En cuanto al ámbito de aplicación de estos documentos, es preciso explicar que cada una de estas resoluciones está relacionada con un sector, un objeto contractual y una modalidad de selección específica. 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aquellos. De ser esto así, la entidad estará obligada a adelantar el proceso de contratación aplicando los documentos tipo del caso. </w:t>
      </w:r>
    </w:p>
    <w:p w14:paraId="174BB2EF" w14:textId="77777777" w:rsidR="00AF38B1" w:rsidRPr="00E858D2" w:rsidRDefault="00AF38B1" w:rsidP="000B50F9">
      <w:pPr>
        <w:spacing w:line="276" w:lineRule="auto"/>
        <w:ind w:firstLine="708"/>
        <w:jc w:val="both"/>
        <w:rPr>
          <w:rFonts w:ascii="Arial" w:hAnsi="Arial" w:cs="Arial"/>
          <w:shd w:val="clear" w:color="auto" w:fill="FFFFFF"/>
          <w:lang w:val="es-ES_tradnl"/>
        </w:rPr>
      </w:pPr>
      <w:r w:rsidRPr="00E858D2">
        <w:rPr>
          <w:rFonts w:ascii="Arial" w:hAnsi="Arial" w:cs="Arial"/>
          <w:shd w:val="clear" w:color="auto" w:fill="FFFFFF"/>
          <w:lang w:val="es-ES_tradnl"/>
        </w:rPr>
        <w:t xml:space="preserve">Es importante advertir que todas las resoluciones mediante las que se han adoptado documentos tipo consagran la regla de la inalterabilidad. Esta prohibición consiste en que las entidades estatales no pueden incluir o modificar en los </w:t>
      </w:r>
      <w:r w:rsidRPr="00E858D2">
        <w:rPr>
          <w:rFonts w:ascii="Arial" w:hAnsi="Arial" w:cs="Arial"/>
          <w:i/>
          <w:iCs/>
          <w:shd w:val="clear" w:color="auto" w:fill="FFFFFF"/>
          <w:lang w:val="es-ES_tradnl"/>
        </w:rPr>
        <w:t>Documentos del Proceso</w:t>
      </w:r>
      <w:r w:rsidRPr="00E858D2">
        <w:rPr>
          <w:rFonts w:ascii="Arial" w:hAnsi="Arial" w:cs="Arial"/>
          <w:shd w:val="clear" w:color="auto" w:fill="FFFFFF"/>
          <w:lang w:val="es-ES_tradnl"/>
        </w:rPr>
        <w:t xml:space="preserve"> los requisitos habilitantes, los factores técnicos y económicos de escogencia y los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E1C3EC9" w14:textId="77777777" w:rsidR="00AF38B1" w:rsidRPr="00F00086" w:rsidRDefault="00AF38B1" w:rsidP="00AB0BA8">
      <w:pPr>
        <w:pStyle w:val="Normal11pt"/>
        <w:spacing w:before="120" w:line="276" w:lineRule="auto"/>
        <w:ind w:left="0" w:firstLine="709"/>
        <w:rPr>
          <w:rFonts w:eastAsia="Calibri"/>
        </w:rPr>
      </w:pPr>
      <w:r w:rsidRPr="00E858D2">
        <w:rPr>
          <w:rFonts w:eastAsia="Calibri"/>
          <w:color w:val="auto"/>
        </w:rPr>
        <w:t>Por último, cabe aclarar que la Agencia Nacional de Contratación Pública sigue avanzando en nuevos documentos tipo. Sin embargo, debe tenerse en cuenta que estos exigen un minucioso desarrollo en el cual se consideran las observaciones de las entidades técnicas y especializadas con la finalidad de adoptar documentos tipo que contengan las mejores prácticas contractuales que procuren el adecuado desarrollo de los principios que rigen la contratación pública.</w:t>
      </w:r>
    </w:p>
    <w:p w14:paraId="72368277" w14:textId="2158AB57" w:rsidR="005E4B4F" w:rsidRDefault="005E4B4F" w:rsidP="005E4B4F">
      <w:pPr>
        <w:spacing w:after="0" w:line="276" w:lineRule="auto"/>
        <w:ind w:firstLine="709"/>
        <w:jc w:val="both"/>
        <w:rPr>
          <w:rFonts w:ascii="Arial" w:eastAsia="Arial" w:hAnsi="Arial" w:cs="Arial"/>
          <w:bCs/>
          <w:lang w:val="es-ES_tradnl" w:eastAsia="es-ES" w:bidi="es-ES"/>
        </w:rPr>
      </w:pPr>
    </w:p>
    <w:p w14:paraId="4E6BD96B" w14:textId="77777777" w:rsidR="00F76E7B" w:rsidRDefault="00F76E7B" w:rsidP="00F76E7B">
      <w:pPr>
        <w:spacing w:after="0" w:line="276" w:lineRule="auto"/>
        <w:jc w:val="both"/>
        <w:rPr>
          <w:rFonts w:ascii="Arial" w:eastAsia="Times New Roman" w:hAnsi="Arial" w:cs="Arial"/>
          <w:b/>
          <w:bCs/>
          <w:lang w:eastAsia="es-MX"/>
        </w:rPr>
      </w:pPr>
      <w:r w:rsidRPr="00300E95">
        <w:rPr>
          <w:rFonts w:ascii="Arial" w:eastAsia="Calibri" w:hAnsi="Arial" w:cs="Arial"/>
          <w:b/>
          <w:color w:val="000000"/>
          <w:lang w:eastAsia="es-ES_tradnl"/>
        </w:rPr>
        <w:lastRenderedPageBreak/>
        <w:t>2.</w:t>
      </w:r>
      <w:r>
        <w:rPr>
          <w:rFonts w:ascii="Arial" w:eastAsia="Calibri" w:hAnsi="Arial" w:cs="Arial"/>
          <w:b/>
          <w:color w:val="000000"/>
          <w:lang w:eastAsia="es-ES_tradnl"/>
        </w:rPr>
        <w:t>2</w:t>
      </w:r>
      <w:r w:rsidRPr="00300E95">
        <w:rPr>
          <w:rFonts w:ascii="Arial" w:eastAsia="Calibri" w:hAnsi="Arial" w:cs="Arial"/>
          <w:b/>
          <w:color w:val="000000"/>
          <w:lang w:eastAsia="es-ES_tradnl"/>
        </w:rPr>
        <w:t xml:space="preserve">. </w:t>
      </w:r>
      <w:r>
        <w:rPr>
          <w:rFonts w:ascii="Arial" w:eastAsia="Times New Roman" w:hAnsi="Arial" w:cs="Arial"/>
          <w:b/>
          <w:bCs/>
          <w:lang w:eastAsia="es-MX"/>
        </w:rPr>
        <w:t>Aplicación de la Matriz 1 – Experiencia y e</w:t>
      </w:r>
      <w:r w:rsidRPr="005F0CF8">
        <w:rPr>
          <w:rFonts w:ascii="Arial" w:eastAsia="Times New Roman" w:hAnsi="Arial" w:cs="Arial"/>
          <w:b/>
          <w:bCs/>
          <w:lang w:eastAsia="es-MX"/>
        </w:rPr>
        <w:t xml:space="preserve">xperiencia adicional para bienes o servicios adicionales </w:t>
      </w:r>
      <w:r>
        <w:rPr>
          <w:rFonts w:ascii="Arial" w:eastAsia="Times New Roman" w:hAnsi="Arial" w:cs="Arial"/>
          <w:b/>
          <w:bCs/>
          <w:lang w:eastAsia="es-MX"/>
        </w:rPr>
        <w:t xml:space="preserve">en los documentos tipo </w:t>
      </w:r>
    </w:p>
    <w:p w14:paraId="1A80CFC4" w14:textId="77777777" w:rsidR="00F76E7B" w:rsidRPr="00300E95" w:rsidRDefault="00F76E7B" w:rsidP="00F76E7B">
      <w:pPr>
        <w:shd w:val="clear" w:color="auto" w:fill="FFFFFF"/>
        <w:spacing w:after="0" w:line="276" w:lineRule="auto"/>
        <w:jc w:val="both"/>
        <w:rPr>
          <w:rFonts w:ascii="Arial" w:eastAsia="Calibri" w:hAnsi="Arial" w:cs="Arial"/>
          <w:lang w:val="es-MX"/>
        </w:rPr>
      </w:pPr>
    </w:p>
    <w:p w14:paraId="5AAF4946" w14:textId="4DE0DE16" w:rsidR="00F76E7B" w:rsidRPr="00300E95" w:rsidRDefault="009C2FC3" w:rsidP="00535043">
      <w:pPr>
        <w:spacing w:after="0" w:line="276" w:lineRule="auto"/>
        <w:jc w:val="both"/>
        <w:rPr>
          <w:rFonts w:ascii="Arial" w:eastAsia="Calibri" w:hAnsi="Arial" w:cs="Arial"/>
          <w:color w:val="0D0D0D"/>
          <w:lang w:val="es-MX"/>
        </w:rPr>
      </w:pPr>
      <w:r>
        <w:rPr>
          <w:rFonts w:ascii="Arial" w:eastAsia="Calibri" w:hAnsi="Arial" w:cs="Arial"/>
          <w:color w:val="0D0D0D"/>
          <w:lang w:val="es-MX"/>
        </w:rPr>
        <w:t>L</w:t>
      </w:r>
      <w:r w:rsidR="00F76E7B" w:rsidRPr="00300E95">
        <w:rPr>
          <w:rFonts w:ascii="Arial" w:eastAsia="Calibri" w:hAnsi="Arial" w:cs="Arial"/>
          <w:color w:val="0D0D0D"/>
          <w:lang w:val="es-MX"/>
        </w:rPr>
        <w:t>os documentos tipo establecen las condiciones habilitantes,</w:t>
      </w:r>
      <w:r w:rsidR="00F76E7B">
        <w:rPr>
          <w:rFonts w:ascii="Arial" w:eastAsia="Calibri" w:hAnsi="Arial" w:cs="Arial"/>
          <w:color w:val="0D0D0D"/>
          <w:lang w:val="es-MX"/>
        </w:rPr>
        <w:t xml:space="preserve"> </w:t>
      </w:r>
      <w:r w:rsidR="00F76E7B" w:rsidRPr="00300E95">
        <w:rPr>
          <w:rFonts w:ascii="Arial" w:eastAsia="Calibri" w:hAnsi="Arial" w:cs="Arial"/>
          <w:color w:val="0D0D0D"/>
          <w:lang w:val="es-MX"/>
        </w:rPr>
        <w:t>los factores técnicos y económicos de escogencia y los sistemas de ponderación de carácter obligatorio para las entidades estatales sometidas al Estatuto General de la Contratación Pública que</w:t>
      </w:r>
      <w:r w:rsidR="00F76E7B">
        <w:rPr>
          <w:rFonts w:ascii="Arial" w:eastAsia="Calibri" w:hAnsi="Arial" w:cs="Arial"/>
          <w:color w:val="000000"/>
          <w:bdr w:val="none" w:sz="0" w:space="0" w:color="auto" w:frame="1"/>
        </w:rPr>
        <w:t xml:space="preserve"> </w:t>
      </w:r>
      <w:r w:rsidR="00F76E7B" w:rsidRPr="004F0480">
        <w:rPr>
          <w:rFonts w:ascii="Arial" w:eastAsia="Calibri" w:hAnsi="Arial" w:cs="Arial"/>
          <w:color w:val="000000"/>
          <w:bdr w:val="none" w:sz="0" w:space="0" w:color="auto" w:frame="1"/>
        </w:rPr>
        <w:t>adelanten procesos de contratación mediante la modalidad que establecen los documentos tipo para cada sector</w:t>
      </w:r>
      <w:r w:rsidR="00F76E7B" w:rsidRPr="00300E95">
        <w:rPr>
          <w:rFonts w:ascii="Arial" w:eastAsia="Calibri" w:hAnsi="Arial" w:cs="Arial"/>
          <w:color w:val="0D0D0D"/>
          <w:lang w:val="es-MX"/>
        </w:rPr>
        <w:t>.</w:t>
      </w:r>
      <w:r w:rsidR="00F76E7B">
        <w:rPr>
          <w:rFonts w:ascii="Arial" w:eastAsia="Calibri" w:hAnsi="Arial" w:cs="Arial"/>
          <w:color w:val="0D0D0D"/>
          <w:lang w:val="es-MX"/>
        </w:rPr>
        <w:t xml:space="preserve"> </w:t>
      </w:r>
      <w:r w:rsidR="00F76E7B" w:rsidRPr="00300E95">
        <w:rPr>
          <w:rFonts w:ascii="Arial" w:eastAsia="Calibri" w:hAnsi="Arial" w:cs="Arial"/>
          <w:color w:val="0D0D0D"/>
          <w:lang w:val="es-MX"/>
        </w:rPr>
        <w:t>Estos consisten en un grupo de documentos, conformados por un documento base, anexos, matrices, formatos y formularios, que sirven tanto a las entidades para elaborar los documentos del proceso, como a los proponentes para conformar y presentar sus ofertas.</w:t>
      </w:r>
    </w:p>
    <w:p w14:paraId="119AEFAE" w14:textId="46B4D9FE" w:rsidR="00F76E7B" w:rsidRPr="00300E95" w:rsidRDefault="00A27589" w:rsidP="00535043">
      <w:pPr>
        <w:spacing w:before="120" w:after="0" w:line="276" w:lineRule="auto"/>
        <w:ind w:firstLine="709"/>
        <w:jc w:val="both"/>
        <w:rPr>
          <w:rFonts w:ascii="Arial" w:eastAsia="Calibri" w:hAnsi="Arial" w:cs="Arial"/>
          <w:color w:val="0D0D0D"/>
          <w:lang w:val="es-MX"/>
        </w:rPr>
      </w:pPr>
      <w:r>
        <w:rPr>
          <w:rFonts w:ascii="Arial" w:eastAsia="Calibri" w:hAnsi="Arial" w:cs="Arial"/>
          <w:color w:val="0D0D0D"/>
          <w:lang w:val="es-MX"/>
        </w:rPr>
        <w:t>U</w:t>
      </w:r>
      <w:r w:rsidR="00F76E7B" w:rsidRPr="00300E95">
        <w:rPr>
          <w:rFonts w:ascii="Arial" w:eastAsia="Calibri" w:hAnsi="Arial" w:cs="Arial"/>
          <w:color w:val="0D0D0D"/>
          <w:lang w:val="es-MX"/>
        </w:rPr>
        <w:t xml:space="preserve">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w:t>
      </w:r>
      <w:r w:rsidR="00F76E7B">
        <w:rPr>
          <w:rFonts w:ascii="Arial" w:eastAsia="Calibri" w:hAnsi="Arial" w:cs="Arial"/>
          <w:color w:val="0D0D0D"/>
          <w:lang w:val="es-MX"/>
        </w:rPr>
        <w:t xml:space="preserve">cada sector </w:t>
      </w:r>
      <w:r w:rsidR="00F76E7B" w:rsidRPr="00300E95">
        <w:rPr>
          <w:rFonts w:ascii="Arial" w:eastAsia="Calibri" w:hAnsi="Arial" w:cs="Arial"/>
          <w:color w:val="0D0D0D"/>
          <w:lang w:val="es-MX"/>
        </w:rPr>
        <w:t>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w:t>
      </w:r>
      <w:r w:rsidR="00F76E7B">
        <w:rPr>
          <w:rFonts w:ascii="Arial" w:eastAsia="Calibri" w:hAnsi="Arial" w:cs="Arial"/>
          <w:color w:val="0D0D0D"/>
          <w:lang w:val="es-MX"/>
        </w:rPr>
        <w:t xml:space="preserve"> adoptados por esta Agencia</w:t>
      </w:r>
      <w:r w:rsidR="00F76E7B" w:rsidRPr="00300E95">
        <w:rPr>
          <w:rFonts w:ascii="Arial" w:eastAsia="Calibri" w:hAnsi="Arial" w:cs="Arial"/>
          <w:color w:val="0D0D0D"/>
          <w:lang w:val="es-MX"/>
        </w:rPr>
        <w:t>.</w:t>
      </w:r>
    </w:p>
    <w:p w14:paraId="7FE9933D" w14:textId="231BC39C" w:rsidR="00F76E7B" w:rsidRPr="00300E95" w:rsidRDefault="00F76E7B" w:rsidP="00F76E7B">
      <w:pPr>
        <w:spacing w:before="120" w:after="120" w:line="276" w:lineRule="auto"/>
        <w:ind w:firstLine="709"/>
        <w:jc w:val="both"/>
        <w:rPr>
          <w:rFonts w:ascii="Arial" w:eastAsia="Calibri" w:hAnsi="Arial" w:cs="Arial"/>
          <w:color w:val="0D0D0D"/>
          <w:lang w:val="es-MX"/>
        </w:rPr>
      </w:pPr>
      <w:r w:rsidRPr="00300E95">
        <w:rPr>
          <w:rFonts w:ascii="Arial" w:eastAsia="Calibri" w:hAnsi="Arial" w:cs="Arial"/>
          <w:color w:val="0D0D0D"/>
          <w:lang w:val="es-MX"/>
        </w:rPr>
        <w:t>Conforme a lo anterior, la Matriz 1, cumple una doble función</w:t>
      </w:r>
      <w:r w:rsidR="00DC20C9">
        <w:rPr>
          <w:rFonts w:ascii="Arial" w:eastAsia="Calibri" w:hAnsi="Arial" w:cs="Arial"/>
          <w:color w:val="0D0D0D"/>
          <w:lang w:val="es-MX"/>
        </w:rPr>
        <w:t>.</w:t>
      </w:r>
      <w:r w:rsidRPr="00300E95">
        <w:rPr>
          <w:rFonts w:ascii="Arial" w:eastAsia="Calibri" w:hAnsi="Arial" w:cs="Arial"/>
          <w:color w:val="0D0D0D"/>
          <w:lang w:val="es-MX"/>
        </w:rPr>
        <w:t xml:space="preserve">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3EC291BB" w14:textId="7B2C0572" w:rsidR="00F76E7B" w:rsidRDefault="00F76E7B" w:rsidP="00F76E7B">
      <w:pPr>
        <w:spacing w:before="120" w:after="120" w:line="276" w:lineRule="auto"/>
        <w:ind w:firstLine="709"/>
        <w:jc w:val="both"/>
        <w:rPr>
          <w:rFonts w:ascii="Arial" w:eastAsia="Calibri" w:hAnsi="Arial" w:cs="Arial"/>
          <w:color w:val="0D0D0D"/>
          <w:lang w:val="es-MX"/>
        </w:rPr>
      </w:pPr>
      <w:r w:rsidRPr="00300E95">
        <w:rPr>
          <w:rFonts w:ascii="Arial" w:eastAsia="Calibri" w:hAnsi="Arial" w:cs="Arial"/>
          <w:color w:val="0D0D0D"/>
          <w:lang w:val="es-MX"/>
        </w:rPr>
        <w:t xml:space="preserve">De esta manera, </w:t>
      </w:r>
      <w:r w:rsidRPr="00FA7C56">
        <w:rPr>
          <w:rFonts w:ascii="Arial" w:eastAsia="Calibri" w:hAnsi="Arial" w:cs="Arial"/>
          <w:color w:val="0D0D0D"/>
          <w:lang w:val="es-MX"/>
        </w:rPr>
        <w:t xml:space="preserve">para saber a qué actividades se deben aplicar los documentos tipo expedidos por esta Agencia, </w:t>
      </w:r>
      <w:r w:rsidRPr="00300E95">
        <w:rPr>
          <w:rFonts w:ascii="Arial" w:eastAsia="Calibri" w:hAnsi="Arial" w:cs="Arial"/>
          <w:color w:val="0D0D0D"/>
          <w:lang w:val="es-MX"/>
        </w:rPr>
        <w:t xml:space="preserve">la entidad debe verificar los que se hayan expedido para la modalidad de selección en la que debe celebrarse el proceso, subsumiendo el objeto a contratar en los tipos de proyectos de infraestructura a contratarse. </w:t>
      </w:r>
      <w:r w:rsidR="004308FD">
        <w:rPr>
          <w:rFonts w:ascii="Arial" w:eastAsia="Calibri" w:hAnsi="Arial" w:cs="Arial"/>
          <w:color w:val="0D0D0D"/>
          <w:lang w:val="es-MX"/>
        </w:rPr>
        <w:t>Por tanto</w:t>
      </w:r>
      <w:r w:rsidRPr="00300E95">
        <w:rPr>
          <w:rFonts w:ascii="Arial" w:eastAsia="Calibri" w:hAnsi="Arial" w:cs="Arial"/>
          <w:color w:val="0D0D0D"/>
          <w:lang w:val="es-MX"/>
        </w:rPr>
        <w:t>, si el objeto contractual a ejecutar se encuadra materialmente dentro de alguno de los tipos</w:t>
      </w:r>
      <w:r w:rsidRPr="00FA7C56">
        <w:rPr>
          <w:rFonts w:ascii="Arial" w:eastAsia="Calibri" w:hAnsi="Arial" w:cs="Arial"/>
          <w:color w:val="0D0D0D"/>
          <w:lang w:val="es-MX"/>
        </w:rPr>
        <w:t xml:space="preserve"> </w:t>
      </w:r>
      <w:r w:rsidRPr="00300E95">
        <w:rPr>
          <w:rFonts w:ascii="Arial" w:eastAsia="Calibri" w:hAnsi="Arial" w:cs="Arial"/>
          <w:color w:val="0D0D0D"/>
          <w:lang w:val="es-MX"/>
        </w:rPr>
        <w:t xml:space="preserve">actividades concretas señaladas en cada una de las </w:t>
      </w:r>
      <w:r>
        <w:rPr>
          <w:rFonts w:ascii="Arial" w:eastAsia="Calibri" w:hAnsi="Arial" w:cs="Arial"/>
          <w:color w:val="0D0D0D"/>
          <w:lang w:val="es-MX"/>
        </w:rPr>
        <w:t>m</w:t>
      </w:r>
      <w:r w:rsidRPr="00300E95">
        <w:rPr>
          <w:rFonts w:ascii="Arial" w:eastAsia="Calibri" w:hAnsi="Arial" w:cs="Arial"/>
          <w:color w:val="0D0D0D"/>
          <w:lang w:val="es-MX"/>
        </w:rPr>
        <w:t>atrices de experiencia, se tendrán que aplicar los documentos tipo, mientras que en el caso contrario no será forzosa su aplicación</w:t>
      </w:r>
      <w:r>
        <w:rPr>
          <w:rFonts w:ascii="Arial" w:eastAsia="Calibri" w:hAnsi="Arial" w:cs="Arial"/>
          <w:color w:val="0D0D0D"/>
          <w:lang w:val="es-MX"/>
        </w:rPr>
        <w:t>.</w:t>
      </w:r>
    </w:p>
    <w:p w14:paraId="495D9577" w14:textId="62D9D515" w:rsidR="00F76E7B" w:rsidRPr="005F0CF8" w:rsidRDefault="00F76E7B" w:rsidP="00F76E7B">
      <w:pPr>
        <w:spacing w:after="0" w:line="276" w:lineRule="auto"/>
        <w:ind w:firstLine="708"/>
        <w:jc w:val="both"/>
        <w:rPr>
          <w:rFonts w:ascii="Arial" w:eastAsia="Times New Roman" w:hAnsi="Arial" w:cs="Arial"/>
          <w:color w:val="000000"/>
          <w:bdr w:val="none" w:sz="0" w:space="0" w:color="auto" w:frame="1"/>
          <w:lang w:val="es-ES_tradnl" w:eastAsia="es-MX"/>
        </w:rPr>
      </w:pPr>
      <w:r>
        <w:rPr>
          <w:rFonts w:ascii="Arial" w:eastAsia="Calibri" w:hAnsi="Arial" w:cs="Arial"/>
          <w:color w:val="0D0D0D"/>
          <w:lang w:val="es-MX"/>
        </w:rPr>
        <w:t>En este sentido, l</w:t>
      </w:r>
      <w:r w:rsidRPr="005F0CF8">
        <w:rPr>
          <w:rFonts w:ascii="Arial" w:eastAsia="Times New Roman" w:hAnsi="Arial" w:cs="Arial"/>
          <w:color w:val="000000"/>
          <w:bdr w:val="none" w:sz="0" w:space="0" w:color="auto" w:frame="1"/>
          <w:lang w:val="es-ES_tradnl" w:eastAsia="es-MX"/>
        </w:rPr>
        <w:t xml:space="preserve">a experiencia general y específica que puede exigir la entidad estatal y que deben acreditar los proponentes están detalladas de manera expresa en la Matriz </w:t>
      </w:r>
      <w:r>
        <w:rPr>
          <w:rFonts w:ascii="Arial" w:eastAsia="Times New Roman" w:hAnsi="Arial" w:cs="Arial"/>
          <w:color w:val="000000"/>
          <w:bdr w:val="none" w:sz="0" w:space="0" w:color="auto" w:frame="1"/>
          <w:lang w:val="es-ES_tradnl" w:eastAsia="es-MX"/>
        </w:rPr>
        <w:t xml:space="preserve">1 </w:t>
      </w:r>
      <w:r w:rsidRPr="00BC0F9B">
        <w:rPr>
          <w:rFonts w:ascii="Arial" w:eastAsia="Calibri" w:hAnsi="Arial" w:cs="Arial"/>
          <w:lang w:val="es-MX"/>
        </w:rPr>
        <w:t>adoptada para cada documento tipo</w:t>
      </w:r>
      <w:r w:rsidRPr="005F0CF8">
        <w:rPr>
          <w:rFonts w:ascii="Arial" w:eastAsia="Times New Roman" w:hAnsi="Arial" w:cs="Arial"/>
          <w:color w:val="000000"/>
          <w:bdr w:val="none" w:sz="0" w:space="0" w:color="auto" w:frame="1"/>
          <w:lang w:val="es-ES_tradnl" w:eastAsia="es-MX"/>
        </w:rPr>
        <w:t xml:space="preserve">. </w:t>
      </w:r>
      <w:r>
        <w:rPr>
          <w:rFonts w:ascii="Arial" w:eastAsia="Times New Roman" w:hAnsi="Arial" w:cs="Arial"/>
          <w:color w:val="000000"/>
          <w:bdr w:val="none" w:sz="0" w:space="0" w:color="auto" w:frame="1"/>
          <w:lang w:val="es-ES_tradnl" w:eastAsia="es-MX"/>
        </w:rPr>
        <w:t>P</w:t>
      </w:r>
      <w:r w:rsidR="00B87D2B">
        <w:rPr>
          <w:rFonts w:ascii="Arial" w:eastAsia="Times New Roman" w:hAnsi="Arial" w:cs="Arial"/>
          <w:color w:val="000000"/>
          <w:bdr w:val="none" w:sz="0" w:space="0" w:color="auto" w:frame="1"/>
          <w:lang w:val="es-ES_tradnl" w:eastAsia="es-MX"/>
        </w:rPr>
        <w:t>o ejemplo, p</w:t>
      </w:r>
      <w:r>
        <w:rPr>
          <w:rFonts w:ascii="Arial" w:eastAsia="Times New Roman" w:hAnsi="Arial" w:cs="Arial"/>
          <w:color w:val="000000"/>
          <w:bdr w:val="none" w:sz="0" w:space="0" w:color="auto" w:frame="1"/>
          <w:lang w:val="es-ES_tradnl" w:eastAsia="es-MX"/>
        </w:rPr>
        <w:t xml:space="preserve">ara el caso de los documentos tipo de licitación de obra pública de infraestructura de transporte, </w:t>
      </w:r>
      <w:r w:rsidRPr="005F0CF8">
        <w:rPr>
          <w:rFonts w:ascii="Arial" w:eastAsia="Times New Roman" w:hAnsi="Arial" w:cs="Arial"/>
          <w:color w:val="000000"/>
          <w:bdr w:val="none" w:sz="0" w:space="0" w:color="auto" w:frame="1"/>
          <w:lang w:val="es-ES_tradnl" w:eastAsia="es-MX"/>
        </w:rPr>
        <w:t xml:space="preserve">el numeral 3.5.1 del documento base </w:t>
      </w:r>
      <w:r>
        <w:rPr>
          <w:rFonts w:ascii="Arial" w:eastAsia="Times New Roman" w:hAnsi="Arial" w:cs="Arial"/>
          <w:color w:val="000000"/>
          <w:bdr w:val="none" w:sz="0" w:space="0" w:color="auto" w:frame="1"/>
          <w:lang w:val="es-ES_tradnl" w:eastAsia="es-MX"/>
        </w:rPr>
        <w:t>e</w:t>
      </w:r>
      <w:r w:rsidRPr="005F0CF8">
        <w:rPr>
          <w:rFonts w:ascii="Arial" w:eastAsia="Times New Roman" w:hAnsi="Arial" w:cs="Arial"/>
          <w:color w:val="000000"/>
          <w:bdr w:val="none" w:sz="0" w:space="0" w:color="auto" w:frame="1"/>
          <w:lang w:val="es-ES_tradnl" w:eastAsia="es-MX"/>
        </w:rPr>
        <w:t xml:space="preserve">stablece que «La entidad debe indicar en esta sección las condiciones </w:t>
      </w:r>
      <w:r w:rsidRPr="005F0CF8">
        <w:rPr>
          <w:rFonts w:ascii="Arial" w:eastAsia="Times New Roman" w:hAnsi="Arial" w:cs="Arial"/>
          <w:color w:val="000000"/>
          <w:bdr w:val="none" w:sz="0" w:space="0" w:color="auto" w:frame="1"/>
          <w:lang w:val="es-ES_tradnl" w:eastAsia="es-MX"/>
        </w:rPr>
        <w:lastRenderedPageBreak/>
        <w:t>de experiencia que serán requeridas en el proceso de selección de acuerdo con las condiciones establecidas en la Matriz 1 – Experiencia. […]» y el numeral 3.5.2 regula las características de los contratos que se deben presentar para acreditar la experiencia</w:t>
      </w:r>
      <w:r>
        <w:rPr>
          <w:rStyle w:val="Refdenotaalpie"/>
          <w:rFonts w:ascii="Arial" w:eastAsia="Times New Roman" w:hAnsi="Arial" w:cs="Arial"/>
          <w:color w:val="000000"/>
          <w:bdr w:val="none" w:sz="0" w:space="0" w:color="auto" w:frame="1"/>
          <w:lang w:val="es-ES_tradnl" w:eastAsia="es-MX"/>
        </w:rPr>
        <w:footnoteReference w:id="5"/>
      </w:r>
      <w:r w:rsidRPr="005F0CF8">
        <w:rPr>
          <w:rFonts w:ascii="Arial" w:eastAsia="Times New Roman" w:hAnsi="Arial" w:cs="Arial"/>
          <w:color w:val="000000"/>
          <w:bdr w:val="none" w:sz="0" w:space="0" w:color="auto" w:frame="1"/>
          <w:lang w:val="es-ES_tradnl" w:eastAsia="es-MX"/>
        </w:rPr>
        <w:t>.</w:t>
      </w:r>
    </w:p>
    <w:p w14:paraId="263BCA9A" w14:textId="322FBE61" w:rsidR="00F76E7B" w:rsidRPr="005F0CF8" w:rsidRDefault="00226965" w:rsidP="00F76E7B">
      <w:pPr>
        <w:spacing w:before="120" w:after="120" w:line="276" w:lineRule="auto"/>
        <w:ind w:firstLine="708"/>
        <w:jc w:val="both"/>
        <w:rPr>
          <w:rFonts w:ascii="Arial" w:eastAsia="Times New Roman" w:hAnsi="Arial" w:cs="Arial"/>
          <w:color w:val="000000"/>
          <w:bdr w:val="none" w:sz="0" w:space="0" w:color="auto" w:frame="1"/>
          <w:lang w:val="es-ES_tradnl" w:eastAsia="es-MX"/>
        </w:rPr>
      </w:pPr>
      <w:r>
        <w:rPr>
          <w:rFonts w:ascii="Arial" w:eastAsia="Times New Roman" w:hAnsi="Arial" w:cs="Arial"/>
          <w:color w:val="000000"/>
          <w:bdr w:val="none" w:sz="0" w:space="0" w:color="auto" w:frame="1"/>
          <w:lang w:val="es-ES_tradnl" w:eastAsia="es-MX"/>
        </w:rPr>
        <w:t>S</w:t>
      </w:r>
      <w:r w:rsidR="00F76E7B" w:rsidRPr="005F0CF8">
        <w:rPr>
          <w:rFonts w:ascii="Arial" w:eastAsia="Times New Roman" w:hAnsi="Arial" w:cs="Arial"/>
          <w:color w:val="000000"/>
          <w:bdr w:val="none" w:sz="0" w:space="0" w:color="auto" w:frame="1"/>
          <w:lang w:val="es-ES_tradnl" w:eastAsia="es-MX"/>
        </w:rPr>
        <w:t>iguiendo el procedimiento referido, cada entidad estatal deberá determinar la experiencia general y específica que debe acreditarse en cada procedimiento de selección, en función del objeto contractual. En desarrollo de ese análisis,</w:t>
      </w:r>
      <w:r w:rsidR="0017061F">
        <w:rPr>
          <w:rFonts w:ascii="Arial" w:eastAsia="Times New Roman" w:hAnsi="Arial" w:cs="Arial"/>
          <w:color w:val="000000"/>
          <w:bdr w:val="none" w:sz="0" w:space="0" w:color="auto" w:frame="1"/>
          <w:lang w:val="es-ES_tradnl" w:eastAsia="es-MX"/>
        </w:rPr>
        <w:t xml:space="preserve"> teniendo en cuenta también las definiciones</w:t>
      </w:r>
      <w:r w:rsidR="00F76E7B" w:rsidRPr="005F0CF8">
        <w:rPr>
          <w:rFonts w:ascii="Arial" w:eastAsia="Times New Roman" w:hAnsi="Arial" w:cs="Arial"/>
          <w:color w:val="000000"/>
          <w:bdr w:val="none" w:sz="0" w:space="0" w:color="auto" w:frame="1"/>
          <w:lang w:val="es-ES_tradnl" w:eastAsia="es-MX"/>
        </w:rPr>
        <w:t xml:space="preserve"> </w:t>
      </w:r>
      <w:r w:rsidR="0017061F">
        <w:rPr>
          <w:rFonts w:ascii="Arial" w:eastAsia="Times New Roman" w:hAnsi="Arial" w:cs="Arial"/>
          <w:color w:val="000000"/>
          <w:bdr w:val="none" w:sz="0" w:space="0" w:color="auto" w:frame="1"/>
          <w:lang w:val="es-ES_tradnl" w:eastAsia="es-MX"/>
        </w:rPr>
        <w:t>d</w:t>
      </w:r>
      <w:r w:rsidR="00F76E7B" w:rsidRPr="005F0CF8">
        <w:rPr>
          <w:rFonts w:ascii="Arial" w:eastAsia="Times New Roman" w:hAnsi="Arial" w:cs="Arial"/>
          <w:color w:val="000000"/>
          <w:bdr w:val="none" w:sz="0" w:space="0" w:color="auto" w:frame="1"/>
          <w:lang w:val="es-ES_tradnl" w:eastAsia="es-MX"/>
        </w:rPr>
        <w:t>el Glosario, la entidad estatal</w:t>
      </w:r>
      <w:r w:rsidR="00FB605E">
        <w:rPr>
          <w:rFonts w:ascii="Arial" w:eastAsia="Times New Roman" w:hAnsi="Arial" w:cs="Arial"/>
          <w:color w:val="000000"/>
          <w:bdr w:val="none" w:sz="0" w:space="0" w:color="auto" w:frame="1"/>
          <w:lang w:val="es-ES_tradnl" w:eastAsia="es-MX"/>
        </w:rPr>
        <w:t xml:space="preserve"> </w:t>
      </w:r>
      <w:r w:rsidR="00F76E7B" w:rsidRPr="005F0CF8">
        <w:rPr>
          <w:rFonts w:ascii="Arial" w:eastAsia="Times New Roman" w:hAnsi="Arial" w:cs="Arial"/>
          <w:color w:val="000000"/>
          <w:bdr w:val="none" w:sz="0" w:space="0" w:color="auto" w:frame="1"/>
          <w:lang w:val="es-ES_tradnl" w:eastAsia="es-MX"/>
        </w:rPr>
        <w:t xml:space="preserve">deberá determinar si el objeto contractual se enmarca en alguno de </w:t>
      </w:r>
      <w:r w:rsidR="00F76E7B">
        <w:rPr>
          <w:rFonts w:ascii="Arial" w:eastAsia="Times New Roman" w:hAnsi="Arial" w:cs="Arial"/>
          <w:color w:val="000000"/>
          <w:bdr w:val="none" w:sz="0" w:space="0" w:color="auto" w:frame="1"/>
          <w:lang w:val="es-ES_tradnl" w:eastAsia="es-MX"/>
        </w:rPr>
        <w:t xml:space="preserve">los </w:t>
      </w:r>
      <w:r w:rsidR="00F76E7B" w:rsidRPr="005F0CF8">
        <w:rPr>
          <w:rFonts w:ascii="Arial" w:eastAsia="Times New Roman" w:hAnsi="Arial" w:cs="Arial"/>
          <w:color w:val="000000"/>
          <w:bdr w:val="none" w:sz="0" w:space="0" w:color="auto" w:frame="1"/>
          <w:lang w:val="es-ES_tradnl" w:eastAsia="es-MX"/>
        </w:rPr>
        <w:t>tipos</w:t>
      </w:r>
      <w:r w:rsidR="00F76E7B">
        <w:rPr>
          <w:rFonts w:ascii="Arial" w:eastAsia="Times New Roman" w:hAnsi="Arial" w:cs="Arial"/>
          <w:color w:val="000000"/>
          <w:bdr w:val="none" w:sz="0" w:space="0" w:color="auto" w:frame="1"/>
          <w:lang w:val="es-ES_tradnl" w:eastAsia="es-MX"/>
        </w:rPr>
        <w:t xml:space="preserve"> de actividades</w:t>
      </w:r>
      <w:r w:rsidR="00F76E7B" w:rsidRPr="005F0CF8">
        <w:rPr>
          <w:rFonts w:ascii="Arial" w:eastAsia="Times New Roman" w:hAnsi="Arial" w:cs="Arial"/>
          <w:color w:val="000000"/>
          <w:bdr w:val="none" w:sz="0" w:space="0" w:color="auto" w:frame="1"/>
          <w:lang w:val="es-ES_tradnl" w:eastAsia="es-MX"/>
        </w:rPr>
        <w:t xml:space="preserve">, identificadas con un número y su descripción en la Matriz 1. </w:t>
      </w:r>
      <w:r w:rsidR="00FB605E">
        <w:rPr>
          <w:rFonts w:ascii="Arial" w:eastAsia="Times New Roman" w:hAnsi="Arial" w:cs="Arial"/>
          <w:color w:val="000000"/>
          <w:bdr w:val="none" w:sz="0" w:space="0" w:color="auto" w:frame="1"/>
          <w:lang w:val="es-ES_tradnl" w:eastAsia="es-MX"/>
        </w:rPr>
        <w:t>De esta manera</w:t>
      </w:r>
      <w:r w:rsidR="00F76E7B" w:rsidRPr="005F0CF8">
        <w:rPr>
          <w:rFonts w:ascii="Arial" w:eastAsia="Times New Roman" w:hAnsi="Arial" w:cs="Arial"/>
          <w:color w:val="000000"/>
          <w:bdr w:val="none" w:sz="0" w:space="0" w:color="auto" w:frame="1"/>
          <w:lang w:val="es-ES_tradnl" w:eastAsia="es-MX"/>
        </w:rPr>
        <w:t>, deberá aplica</w:t>
      </w:r>
      <w:r w:rsidR="00FB605E">
        <w:rPr>
          <w:rFonts w:ascii="Arial" w:eastAsia="Times New Roman" w:hAnsi="Arial" w:cs="Arial"/>
          <w:color w:val="000000"/>
          <w:bdr w:val="none" w:sz="0" w:space="0" w:color="auto" w:frame="1"/>
          <w:lang w:val="es-ES_tradnl" w:eastAsia="es-MX"/>
        </w:rPr>
        <w:t>r estrictamente</w:t>
      </w:r>
      <w:r w:rsidR="00F76E7B" w:rsidRPr="005F0CF8">
        <w:rPr>
          <w:rFonts w:ascii="Arial" w:eastAsia="Times New Roman" w:hAnsi="Arial" w:cs="Arial"/>
          <w:color w:val="000000"/>
          <w:bdr w:val="none" w:sz="0" w:space="0" w:color="auto" w:frame="1"/>
          <w:lang w:val="es-ES_tradnl" w:eastAsia="es-MX"/>
        </w:rPr>
        <w:t xml:space="preserve"> lo contenido en dicha matriz y, por tanto, no podrá incluir, modificar, suprimir o alterar las condiciones de experiencia allí establecidas, salvo cuando de forma expresa esta lo determine</w:t>
      </w:r>
      <w:r w:rsidR="00274052">
        <w:rPr>
          <w:rFonts w:ascii="Arial" w:eastAsia="Times New Roman" w:hAnsi="Arial" w:cs="Arial"/>
          <w:color w:val="000000"/>
          <w:bdr w:val="none" w:sz="0" w:space="0" w:color="auto" w:frame="1"/>
          <w:lang w:val="es-ES_tradnl" w:eastAsia="es-MX"/>
        </w:rPr>
        <w:t>.</w:t>
      </w:r>
    </w:p>
    <w:p w14:paraId="5ED83DA6" w14:textId="07CC328A" w:rsidR="00F76E7B" w:rsidRPr="005F0CF8" w:rsidRDefault="00F76E7B" w:rsidP="00F76E7B">
      <w:pPr>
        <w:spacing w:after="120" w:line="276" w:lineRule="auto"/>
        <w:ind w:firstLine="708"/>
        <w:jc w:val="both"/>
        <w:rPr>
          <w:rFonts w:ascii="Arial" w:eastAsia="Calibri" w:hAnsi="Arial" w:cs="Arial"/>
          <w:color w:val="000000"/>
          <w:lang w:val="es-ES_tradnl" w:eastAsia="es-ES"/>
        </w:rPr>
      </w:pPr>
      <w:r w:rsidRPr="007C6779">
        <w:rPr>
          <w:rFonts w:ascii="Arial" w:eastAsia="Times New Roman" w:hAnsi="Arial" w:cs="Arial"/>
          <w:color w:val="000000"/>
          <w:lang w:val="es-ES_tradnl" w:eastAsia="es-ES"/>
        </w:rPr>
        <w:t xml:space="preserve">De </w:t>
      </w:r>
      <w:bookmarkStart w:id="4" w:name="_Hlk101876973"/>
      <w:r w:rsidRPr="007C6779">
        <w:rPr>
          <w:rFonts w:ascii="Arial" w:eastAsia="Times New Roman" w:hAnsi="Arial" w:cs="Arial"/>
          <w:color w:val="000000"/>
          <w:lang w:val="es-ES_tradnl" w:eastAsia="es-ES"/>
        </w:rPr>
        <w:t xml:space="preserve">otro lado, en la aplicación de los documentos tipo, la posibilidad de exigir experiencia adicional a la estandarizada </w:t>
      </w:r>
      <w:r w:rsidR="00033B5F">
        <w:rPr>
          <w:rFonts w:ascii="Arial" w:eastAsia="Times New Roman" w:hAnsi="Arial" w:cs="Arial"/>
          <w:color w:val="000000"/>
          <w:lang w:val="es-ES_tradnl" w:eastAsia="es-ES"/>
        </w:rPr>
        <w:t>en</w:t>
      </w:r>
      <w:r w:rsidR="00033B5F" w:rsidRPr="007C6779">
        <w:rPr>
          <w:rFonts w:ascii="Arial" w:eastAsia="Times New Roman" w:hAnsi="Arial" w:cs="Arial"/>
          <w:color w:val="000000"/>
          <w:lang w:val="es-ES_tradnl" w:eastAsia="es-ES"/>
        </w:rPr>
        <w:t xml:space="preserve"> </w:t>
      </w:r>
      <w:r w:rsidRPr="007C6779">
        <w:rPr>
          <w:rFonts w:ascii="Arial" w:eastAsia="Times New Roman" w:hAnsi="Arial" w:cs="Arial"/>
          <w:color w:val="000000"/>
          <w:lang w:val="es-ES_tradnl" w:eastAsia="es-ES"/>
        </w:rPr>
        <w:t>la Matriz 1 se</w:t>
      </w:r>
      <w:r w:rsidRPr="009F2707">
        <w:rPr>
          <w:rFonts w:ascii="Arial" w:eastAsia="Times New Roman" w:hAnsi="Arial" w:cs="Arial"/>
          <w:color w:val="000000"/>
          <w:lang w:val="es-ES_tradnl" w:eastAsia="es-ES"/>
        </w:rPr>
        <w:t xml:space="preserve"> </w:t>
      </w:r>
      <w:r w:rsidR="000A5F07">
        <w:rPr>
          <w:rFonts w:ascii="Arial" w:eastAsia="Times New Roman" w:hAnsi="Arial" w:cs="Arial"/>
          <w:color w:val="000000"/>
          <w:lang w:val="es-ES_tradnl" w:eastAsia="es-ES"/>
        </w:rPr>
        <w:t>refiere</w:t>
      </w:r>
      <w:r w:rsidRPr="009F2707">
        <w:rPr>
          <w:rFonts w:ascii="Arial" w:eastAsia="Times New Roman" w:hAnsi="Arial" w:cs="Arial"/>
          <w:color w:val="000000"/>
          <w:lang w:val="es-ES_tradnl" w:eastAsia="es-ES"/>
        </w:rPr>
        <w:t xml:space="preserve"> a </w:t>
      </w:r>
      <w:r w:rsidRPr="007C6779">
        <w:rPr>
          <w:rFonts w:ascii="Arial" w:eastAsia="Times New Roman" w:hAnsi="Arial" w:cs="Arial"/>
          <w:color w:val="000000"/>
          <w:lang w:val="es-ES_tradnl" w:eastAsia="es-ES"/>
        </w:rPr>
        <w:t xml:space="preserve">bienes y servicios adicionales a la obra pública, </w:t>
      </w:r>
      <w:r w:rsidRPr="009F2707">
        <w:rPr>
          <w:rFonts w:ascii="Arial" w:eastAsia="Times New Roman" w:hAnsi="Arial" w:cs="Arial"/>
          <w:color w:val="000000"/>
          <w:lang w:val="es-ES_tradnl" w:eastAsia="es-ES"/>
        </w:rPr>
        <w:t>la interventoría</w:t>
      </w:r>
      <w:r>
        <w:rPr>
          <w:rFonts w:ascii="Arial" w:eastAsia="Times New Roman" w:hAnsi="Arial" w:cs="Arial"/>
          <w:color w:val="000000"/>
          <w:lang w:val="es-ES_tradnl" w:eastAsia="es-ES"/>
        </w:rPr>
        <w:t xml:space="preserve"> </w:t>
      </w:r>
      <w:r w:rsidRPr="007C6779">
        <w:rPr>
          <w:rFonts w:ascii="Arial" w:eastAsia="Times New Roman" w:hAnsi="Arial" w:cs="Arial"/>
          <w:color w:val="000000"/>
          <w:lang w:val="es-ES_tradnl" w:eastAsia="es-ES"/>
        </w:rPr>
        <w:t xml:space="preserve">o a la consultoría </w:t>
      </w:r>
      <w:r w:rsidRPr="009F2707">
        <w:rPr>
          <w:rFonts w:ascii="Arial" w:eastAsia="Times New Roman" w:hAnsi="Arial" w:cs="Arial"/>
          <w:color w:val="000000"/>
          <w:lang w:val="es-ES_tradnl" w:eastAsia="es-ES"/>
        </w:rPr>
        <w:t>de</w:t>
      </w:r>
      <w:r w:rsidR="00C16965">
        <w:rPr>
          <w:rFonts w:ascii="Arial" w:eastAsia="Times New Roman" w:hAnsi="Arial" w:cs="Arial"/>
          <w:color w:val="000000"/>
          <w:lang w:val="es-ES_tradnl" w:eastAsia="es-ES"/>
        </w:rPr>
        <w:t xml:space="preserve"> estudios de ingeniería de</w:t>
      </w:r>
      <w:r w:rsidRPr="009F2707">
        <w:rPr>
          <w:rFonts w:ascii="Arial" w:eastAsia="Times New Roman" w:hAnsi="Arial" w:cs="Arial"/>
          <w:color w:val="000000"/>
          <w:lang w:val="es-ES_tradnl" w:eastAsia="es-ES"/>
        </w:rPr>
        <w:t xml:space="preserve"> infraestructura de transporte. Esta posibilidad surge cuando en el marco de la contratación de una de las actividades enlistadas en la Matriz 1, también se requieren contratar bienes y servicios adicionales cuya contratación, en principio, se encuentra excluida de la aplicación de los documentos tipo de infraestructura de transporte y respecto a los cuales la entidad requiere</w:t>
      </w:r>
      <w:r w:rsidR="008C7808">
        <w:rPr>
          <w:rFonts w:ascii="Arial" w:eastAsia="Times New Roman" w:hAnsi="Arial" w:cs="Arial"/>
          <w:color w:val="000000"/>
          <w:lang w:val="es-ES_tradnl" w:eastAsia="es-ES"/>
        </w:rPr>
        <w:t xml:space="preserve"> que los proponentes</w:t>
      </w:r>
      <w:r w:rsidRPr="009F2707">
        <w:rPr>
          <w:rFonts w:ascii="Arial" w:eastAsia="Times New Roman" w:hAnsi="Arial" w:cs="Arial"/>
          <w:color w:val="000000"/>
          <w:lang w:val="es-ES_tradnl" w:eastAsia="es-ES"/>
        </w:rPr>
        <w:t xml:space="preserve"> acredit</w:t>
      </w:r>
      <w:r w:rsidR="008C7808">
        <w:rPr>
          <w:rFonts w:ascii="Arial" w:eastAsia="Times New Roman" w:hAnsi="Arial" w:cs="Arial"/>
          <w:color w:val="000000"/>
          <w:lang w:val="es-ES_tradnl" w:eastAsia="es-ES"/>
        </w:rPr>
        <w:t>en</w:t>
      </w:r>
      <w:r w:rsidRPr="009F2707">
        <w:rPr>
          <w:rFonts w:ascii="Arial" w:eastAsia="Times New Roman" w:hAnsi="Arial" w:cs="Arial"/>
          <w:color w:val="000000"/>
          <w:lang w:val="es-ES_tradnl" w:eastAsia="es-ES"/>
        </w:rPr>
        <w:t xml:space="preserve"> cierta idoneidad. Ante estos supuestos, debe aplicarse </w:t>
      </w:r>
      <w:r w:rsidRPr="009F2707">
        <w:rPr>
          <w:rFonts w:ascii="Arial" w:eastAsia="Calibri" w:hAnsi="Arial" w:cs="Arial"/>
          <w:color w:val="000000"/>
          <w:lang w:val="es-ES_tradnl" w:eastAsia="es-ES"/>
        </w:rPr>
        <w:t xml:space="preserve">lo dispuesto en </w:t>
      </w:r>
      <w:r>
        <w:rPr>
          <w:rFonts w:ascii="Arial" w:eastAsia="Calibri" w:hAnsi="Arial" w:cs="Arial"/>
          <w:color w:val="000000"/>
          <w:lang w:val="es-ES_tradnl" w:eastAsia="es-ES"/>
        </w:rPr>
        <w:t xml:space="preserve">el artículo </w:t>
      </w:r>
      <w:r w:rsidRPr="009F2707">
        <w:rPr>
          <w:rFonts w:ascii="Arial" w:eastAsia="Calibri" w:hAnsi="Arial" w:cs="Arial"/>
          <w:color w:val="000000"/>
          <w:lang w:val="es-ES_tradnl" w:eastAsia="es-ES"/>
        </w:rPr>
        <w:t>4 de la</w:t>
      </w:r>
      <w:r>
        <w:rPr>
          <w:rFonts w:ascii="Arial" w:eastAsia="Calibri" w:hAnsi="Arial" w:cs="Arial"/>
          <w:color w:val="000000"/>
          <w:lang w:val="es-ES_tradnl" w:eastAsia="es-ES"/>
        </w:rPr>
        <w:t>s</w:t>
      </w:r>
      <w:r w:rsidRPr="007C6779">
        <w:rPr>
          <w:rFonts w:ascii="Arial" w:eastAsia="Calibri" w:hAnsi="Arial" w:cs="Arial"/>
          <w:color w:val="000000"/>
          <w:lang w:val="es-ES_tradnl" w:eastAsia="es-ES"/>
        </w:rPr>
        <w:t xml:space="preserve"> Resoluci</w:t>
      </w:r>
      <w:r>
        <w:rPr>
          <w:rFonts w:ascii="Arial" w:eastAsia="Calibri" w:hAnsi="Arial" w:cs="Arial"/>
          <w:color w:val="000000"/>
          <w:lang w:val="es-ES_tradnl" w:eastAsia="es-ES"/>
        </w:rPr>
        <w:t>ones</w:t>
      </w:r>
      <w:r w:rsidRPr="009F2707">
        <w:rPr>
          <w:rFonts w:ascii="Arial" w:eastAsia="Calibri" w:hAnsi="Arial" w:cs="Arial"/>
          <w:color w:val="000000"/>
          <w:lang w:val="es-ES_tradnl" w:eastAsia="es-ES"/>
        </w:rPr>
        <w:t xml:space="preserve"> 240</w:t>
      </w:r>
      <w:r>
        <w:rPr>
          <w:rFonts w:ascii="Arial" w:eastAsia="Calibri" w:hAnsi="Arial" w:cs="Arial"/>
          <w:color w:val="000000"/>
          <w:lang w:val="es-ES_tradnl" w:eastAsia="es-ES"/>
        </w:rPr>
        <w:t xml:space="preserve">, 256 de </w:t>
      </w:r>
      <w:r w:rsidRPr="009F2707">
        <w:rPr>
          <w:rFonts w:ascii="Arial" w:eastAsia="Calibri" w:hAnsi="Arial" w:cs="Arial"/>
          <w:color w:val="000000"/>
          <w:lang w:val="es-ES_tradnl" w:eastAsia="es-ES"/>
        </w:rPr>
        <w:t>2020 y 193 de 2021</w:t>
      </w:r>
      <w:r w:rsidR="00DD7994">
        <w:rPr>
          <w:rFonts w:ascii="Arial" w:eastAsia="Calibri" w:hAnsi="Arial" w:cs="Arial"/>
          <w:color w:val="000000"/>
          <w:lang w:val="es-ES_tradnl" w:eastAsia="es-ES"/>
        </w:rPr>
        <w:t xml:space="preserve">. </w:t>
      </w:r>
      <w:r w:rsidRPr="007C6779">
        <w:rPr>
          <w:rFonts w:ascii="Arial" w:eastAsia="Calibri" w:hAnsi="Arial" w:cs="Arial"/>
          <w:color w:val="000000"/>
          <w:lang w:val="es-ES_tradnl" w:eastAsia="es-ES"/>
        </w:rPr>
        <w:t xml:space="preserve">Esta norma prevé que </w:t>
      </w:r>
      <w:r w:rsidRPr="007C6779">
        <w:rPr>
          <w:rFonts w:ascii="Arial" w:eastAsia="Calibri" w:hAnsi="Arial" w:cs="Arial"/>
          <w:color w:val="000000"/>
          <w:lang w:val="es-ES_tradnl" w:eastAsia="es-ES"/>
        </w:rPr>
        <w:lastRenderedPageBreak/>
        <w:t>en estos eventos la entidad puede incluir experiencia adicional para evaluar la idoneidad respecto de los bienes</w:t>
      </w:r>
      <w:r w:rsidRPr="005F0CF8">
        <w:rPr>
          <w:rFonts w:ascii="Arial" w:eastAsia="Calibri" w:hAnsi="Arial" w:cs="Arial"/>
          <w:color w:val="000000"/>
          <w:lang w:val="es-ES_tradnl" w:eastAsia="es-ES"/>
        </w:rPr>
        <w:t xml:space="preserve"> o servicios adicionales a la obra </w:t>
      </w:r>
      <w:r w:rsidRPr="007C6779">
        <w:rPr>
          <w:rFonts w:ascii="Arial" w:eastAsia="Calibri" w:hAnsi="Arial" w:cs="Arial"/>
          <w:color w:val="000000"/>
          <w:lang w:val="es-ES_tradnl" w:eastAsia="es-ES"/>
        </w:rPr>
        <w:t>pública,</w:t>
      </w:r>
      <w:r w:rsidRPr="00557D5C">
        <w:rPr>
          <w:rFonts w:ascii="Arial" w:eastAsia="Times New Roman" w:hAnsi="Arial" w:cs="Arial"/>
          <w:color w:val="000000"/>
          <w:lang w:val="es-ES_tradnl" w:eastAsia="es-ES"/>
        </w:rPr>
        <w:t xml:space="preserve"> la interventoría o a la consultoría de </w:t>
      </w:r>
      <w:r w:rsidR="00CC149E">
        <w:rPr>
          <w:rFonts w:ascii="Arial" w:eastAsia="Times New Roman" w:hAnsi="Arial" w:cs="Arial"/>
          <w:color w:val="000000"/>
          <w:lang w:val="es-ES_tradnl" w:eastAsia="es-ES"/>
        </w:rPr>
        <w:t xml:space="preserve">estudios de ingeniería de </w:t>
      </w:r>
      <w:r w:rsidRPr="00557D5C">
        <w:rPr>
          <w:rFonts w:ascii="Arial" w:eastAsia="Times New Roman" w:hAnsi="Arial" w:cs="Arial"/>
          <w:color w:val="000000"/>
          <w:lang w:val="es-ES_tradnl" w:eastAsia="es-ES"/>
        </w:rPr>
        <w:t>infraestructura de transporte</w:t>
      </w:r>
      <w:r w:rsidR="00CC149E">
        <w:rPr>
          <w:rFonts w:ascii="Arial" w:eastAsia="Calibri" w:hAnsi="Arial" w:cs="Arial"/>
          <w:color w:val="000000"/>
          <w:lang w:val="es-ES_tradnl" w:eastAsia="es-ES"/>
        </w:rPr>
        <w:t xml:space="preserve">, </w:t>
      </w:r>
      <w:r w:rsidRPr="004761BD">
        <w:rPr>
          <w:rFonts w:ascii="Arial" w:eastAsia="Calibri" w:hAnsi="Arial" w:cs="Arial"/>
          <w:color w:val="000000"/>
          <w:lang w:val="es-ES_tradnl" w:eastAsia="es-ES"/>
        </w:rPr>
        <w:t>según corresponda.</w:t>
      </w:r>
      <w:r>
        <w:rPr>
          <w:rFonts w:ascii="Arial" w:eastAsia="Calibri" w:hAnsi="Arial" w:cs="Arial"/>
          <w:color w:val="000000"/>
          <w:lang w:val="es-ES_tradnl" w:eastAsia="es-ES"/>
        </w:rPr>
        <w:t xml:space="preserve"> </w:t>
      </w:r>
    </w:p>
    <w:p w14:paraId="28C202FD" w14:textId="1AF9B1F9" w:rsidR="00F76E7B" w:rsidRPr="005F0CF8" w:rsidRDefault="00C04EC0" w:rsidP="00F76E7B">
      <w:pPr>
        <w:spacing w:before="120" w:after="120" w:line="276" w:lineRule="auto"/>
        <w:ind w:firstLine="709"/>
        <w:jc w:val="both"/>
        <w:rPr>
          <w:rFonts w:ascii="Arial" w:eastAsia="Calibri" w:hAnsi="Arial" w:cs="Arial"/>
          <w:szCs w:val="24"/>
          <w:lang w:eastAsia="es-MX"/>
        </w:rPr>
      </w:pPr>
      <w:r>
        <w:rPr>
          <w:rFonts w:ascii="Arial" w:eastAsia="Calibri" w:hAnsi="Arial" w:cs="Arial"/>
          <w:szCs w:val="24"/>
          <w:lang w:eastAsia="es-MX"/>
        </w:rPr>
        <w:t xml:space="preserve">Por ejemplo, </w:t>
      </w:r>
      <w:r w:rsidR="00087FA0">
        <w:rPr>
          <w:rFonts w:ascii="Arial" w:eastAsia="Calibri" w:hAnsi="Arial" w:cs="Arial"/>
          <w:szCs w:val="24"/>
          <w:lang w:eastAsia="es-MX"/>
        </w:rPr>
        <w:t>tratándose de los documentos tipo de licitación pública</w:t>
      </w:r>
      <w:r w:rsidR="00F76E7B" w:rsidRPr="005F0CF8">
        <w:rPr>
          <w:rFonts w:ascii="Arial" w:eastAsia="Calibri" w:hAnsi="Arial" w:cs="Arial"/>
          <w:szCs w:val="24"/>
          <w:lang w:eastAsia="es-MX"/>
        </w:rPr>
        <w:t>, deben seguir</w:t>
      </w:r>
      <w:r w:rsidR="00087FA0">
        <w:rPr>
          <w:rFonts w:ascii="Arial" w:eastAsia="Calibri" w:hAnsi="Arial" w:cs="Arial"/>
          <w:szCs w:val="24"/>
          <w:lang w:eastAsia="es-MX"/>
        </w:rPr>
        <w:t>se</w:t>
      </w:r>
      <w:r w:rsidR="00F76E7B" w:rsidRPr="005F0CF8">
        <w:rPr>
          <w:rFonts w:ascii="Arial" w:eastAsia="Calibri" w:hAnsi="Arial" w:cs="Arial"/>
          <w:szCs w:val="24"/>
          <w:lang w:eastAsia="es-MX"/>
        </w:rPr>
        <w:t xml:space="preserve"> estos parámetros: i) demostrar en los estudios previos que ha verificado las condiciones de mercado para la </w:t>
      </w:r>
      <w:r w:rsidR="00F76E7B" w:rsidRPr="007C6779">
        <w:rPr>
          <w:rFonts w:ascii="Arial" w:eastAsia="Calibri" w:hAnsi="Arial" w:cs="Arial"/>
          <w:szCs w:val="24"/>
          <w:lang w:eastAsia="es-MX"/>
        </w:rPr>
        <w:t>adquisición de l</w:t>
      </w:r>
      <w:r w:rsidR="00F76E7B">
        <w:rPr>
          <w:rFonts w:ascii="Arial" w:eastAsia="Calibri" w:hAnsi="Arial" w:cs="Arial"/>
          <w:szCs w:val="24"/>
          <w:lang w:eastAsia="es-MX"/>
        </w:rPr>
        <w:t>a</w:t>
      </w:r>
      <w:r w:rsidR="00F76E7B" w:rsidRPr="004761BD">
        <w:rPr>
          <w:rFonts w:ascii="Arial" w:eastAsia="Calibri" w:hAnsi="Arial" w:cs="Arial"/>
          <w:szCs w:val="24"/>
          <w:lang w:eastAsia="es-MX"/>
        </w:rPr>
        <w:t xml:space="preserve">s </w:t>
      </w:r>
      <w:r w:rsidR="00F76E7B">
        <w:rPr>
          <w:rFonts w:ascii="Arial" w:eastAsia="Calibri" w:hAnsi="Arial" w:cs="Arial"/>
          <w:szCs w:val="24"/>
          <w:lang w:eastAsia="es-MX"/>
        </w:rPr>
        <w:t xml:space="preserve">obras, </w:t>
      </w:r>
      <w:r w:rsidR="00F76E7B" w:rsidRPr="007C6779">
        <w:rPr>
          <w:rFonts w:ascii="Arial" w:eastAsia="Calibri" w:hAnsi="Arial" w:cs="Arial"/>
          <w:szCs w:val="24"/>
          <w:lang w:eastAsia="es-MX"/>
        </w:rPr>
        <w:t>bienes o servicios adicionales al componente de obra pública</w:t>
      </w:r>
      <w:r w:rsidR="00F76E7B">
        <w:rPr>
          <w:rFonts w:ascii="Arial" w:eastAsia="Calibri" w:hAnsi="Arial" w:cs="Arial"/>
          <w:color w:val="000000"/>
          <w:lang w:val="es-ES_tradnl" w:eastAsia="es-ES"/>
        </w:rPr>
        <w:t xml:space="preserve">, </w:t>
      </w:r>
      <w:r w:rsidR="00F76E7B" w:rsidRPr="005F0CF8">
        <w:rPr>
          <w:rFonts w:ascii="Arial" w:eastAsia="Calibri" w:hAnsi="Arial" w:cs="Arial"/>
          <w:szCs w:val="24"/>
          <w:lang w:eastAsia="es-MX"/>
        </w:rPr>
        <w:t xml:space="preserve">de tal forma que la experiencia adicional garantiza la pluralidad de oferentes, </w:t>
      </w:r>
      <w:proofErr w:type="spellStart"/>
      <w:r w:rsidR="00F76E7B" w:rsidRPr="005F0CF8">
        <w:rPr>
          <w:rFonts w:ascii="Arial" w:eastAsia="Calibri" w:hAnsi="Arial" w:cs="Arial"/>
          <w:szCs w:val="24"/>
          <w:lang w:eastAsia="es-MX"/>
        </w:rPr>
        <w:t>ii</w:t>
      </w:r>
      <w:proofErr w:type="spellEnd"/>
      <w:r w:rsidR="00F76E7B" w:rsidRPr="005F0CF8">
        <w:rPr>
          <w:rFonts w:ascii="Arial" w:eastAsia="Calibri" w:hAnsi="Arial" w:cs="Arial"/>
          <w:szCs w:val="24"/>
          <w:lang w:eastAsia="es-MX"/>
        </w:rPr>
        <w:t xml:space="preserve">) conservar los requisitos exigidos en los Documentos Tipo, </w:t>
      </w:r>
      <w:proofErr w:type="spellStart"/>
      <w:r w:rsidR="00F76E7B" w:rsidRPr="005F0CF8">
        <w:rPr>
          <w:rFonts w:ascii="Arial" w:eastAsia="Calibri" w:hAnsi="Arial" w:cs="Arial"/>
          <w:szCs w:val="24"/>
          <w:lang w:eastAsia="es-MX"/>
        </w:rPr>
        <w:t>iii</w:t>
      </w:r>
      <w:proofErr w:type="spellEnd"/>
      <w:r w:rsidR="00F76E7B" w:rsidRPr="005F0CF8">
        <w:rPr>
          <w:rFonts w:ascii="Arial" w:eastAsia="Calibri" w:hAnsi="Arial" w:cs="Arial"/>
          <w:szCs w:val="24"/>
          <w:lang w:eastAsia="es-MX"/>
        </w:rPr>
        <w:t xml:space="preserve">) abstenerse de pedir experiencia exclusiva con entidades estatales, experiencia previa en un territorio específico, limitada en el tiempo o que incluya volúmenes o cantidades de obra específica, </w:t>
      </w:r>
      <w:proofErr w:type="spellStart"/>
      <w:r w:rsidR="00F76E7B" w:rsidRPr="005F0CF8">
        <w:rPr>
          <w:rFonts w:ascii="Arial" w:eastAsia="Calibri" w:hAnsi="Arial" w:cs="Arial"/>
          <w:szCs w:val="24"/>
          <w:lang w:eastAsia="es-MX"/>
        </w:rPr>
        <w:t>iv</w:t>
      </w:r>
      <w:proofErr w:type="spellEnd"/>
      <w:r w:rsidR="00F76E7B" w:rsidRPr="005F0CF8">
        <w:rPr>
          <w:rFonts w:ascii="Arial" w:eastAsia="Calibri" w:hAnsi="Arial" w:cs="Arial"/>
          <w:szCs w:val="24"/>
          <w:lang w:eastAsia="es-MX"/>
        </w:rPr>
        <w:t>) clasificar la experiencia requerida solo hasta el tercer nivel del Clasificador de Bienes y Servicios e incluir exclusivamente los códigos que estén relacionados directamente con el objeto a contratar</w:t>
      </w:r>
      <w:r w:rsidR="00D577A2" w:rsidRPr="007C6779">
        <w:rPr>
          <w:rFonts w:ascii="Arial" w:eastAsia="Calibri" w:hAnsi="Arial" w:cs="Arial"/>
          <w:color w:val="000000"/>
          <w:vertAlign w:val="superscript"/>
          <w:lang w:val="es-ES_tradnl" w:eastAsia="es-ES"/>
        </w:rPr>
        <w:footnoteReference w:id="6"/>
      </w:r>
      <w:r w:rsidR="00F76E7B" w:rsidRPr="005F0CF8">
        <w:rPr>
          <w:rFonts w:ascii="Arial" w:eastAsia="Calibri" w:hAnsi="Arial" w:cs="Arial"/>
          <w:szCs w:val="24"/>
          <w:lang w:eastAsia="es-MX"/>
        </w:rPr>
        <w:t>.</w:t>
      </w:r>
    </w:p>
    <w:p w14:paraId="35F97D27" w14:textId="2CDE306A" w:rsidR="00F76E7B" w:rsidRPr="00010A72" w:rsidRDefault="005C37DF" w:rsidP="00F76E7B">
      <w:pPr>
        <w:spacing w:after="120" w:line="276" w:lineRule="auto"/>
        <w:ind w:firstLine="708"/>
        <w:jc w:val="both"/>
        <w:rPr>
          <w:rFonts w:ascii="Arial" w:eastAsia="Arial" w:hAnsi="Arial" w:cs="Arial"/>
          <w:lang w:val="es-ES"/>
        </w:rPr>
      </w:pPr>
      <w:r>
        <w:rPr>
          <w:rStyle w:val="normaltextrun"/>
          <w:rFonts w:ascii="Arial" w:hAnsi="Arial" w:cs="Arial"/>
          <w:color w:val="000000"/>
          <w:shd w:val="clear" w:color="auto" w:fill="FFFFFF"/>
          <w:lang w:val="es-ES"/>
        </w:rPr>
        <w:t xml:space="preserve">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los bienes o servicios no afecta significativamente la pluralidad de oferentes. Es decir, la entidad debe </w:t>
      </w:r>
      <w:r>
        <w:rPr>
          <w:rStyle w:val="normaltextrun"/>
          <w:rFonts w:ascii="Arial" w:hAnsi="Arial" w:cs="Arial"/>
          <w:color w:val="000000"/>
          <w:shd w:val="clear" w:color="auto" w:fill="FFFFFF"/>
          <w:lang w:val="es-ES"/>
        </w:rPr>
        <w:lastRenderedPageBreak/>
        <w:t>revisar que al solicitar esta experiencia existen suficientes potenciales proponentes que puedan acreditar estas condiciones</w:t>
      </w:r>
      <w:r w:rsidR="00F76E7B" w:rsidRPr="005F0CF8">
        <w:rPr>
          <w:rFonts w:ascii="Arial" w:eastAsia="Calibri" w:hAnsi="Arial" w:cs="Arial"/>
          <w:szCs w:val="24"/>
          <w:lang w:eastAsia="es-MX"/>
        </w:rPr>
        <w:t xml:space="preserve">. </w:t>
      </w:r>
      <w:r w:rsidR="00F76E7B" w:rsidRPr="00010A72">
        <w:rPr>
          <w:rFonts w:ascii="Arial" w:eastAsia="Arial" w:hAnsi="Arial" w:cs="Arial"/>
          <w:lang w:val="es-ES"/>
        </w:rPr>
        <w:t>En segundo lugar, la solicitud de esta experiencia no permite que la entidad modifique los requisitos habilitantes y de ponderación de la propuesta, por lo cual se deben mantener los establecidos en los documentos tipo.</w:t>
      </w:r>
    </w:p>
    <w:p w14:paraId="3F430175" w14:textId="77777777" w:rsidR="00F76E7B" w:rsidRPr="00010A72" w:rsidRDefault="00F76E7B" w:rsidP="00F76E7B">
      <w:pPr>
        <w:widowControl w:val="0"/>
        <w:autoSpaceDE w:val="0"/>
        <w:autoSpaceDN w:val="0"/>
        <w:spacing w:after="120" w:line="276" w:lineRule="auto"/>
        <w:ind w:firstLine="709"/>
        <w:jc w:val="both"/>
        <w:rPr>
          <w:rFonts w:ascii="Arial" w:eastAsia="Arial" w:hAnsi="Arial" w:cs="Arial"/>
          <w:lang w:val="es-ES"/>
        </w:rPr>
      </w:pPr>
      <w:r w:rsidRPr="00010A72">
        <w:rPr>
          <w:rFonts w:ascii="Arial" w:eastAsia="Arial" w:hAnsi="Arial" w:cs="Arial"/>
          <w:lang w:val="es-ES"/>
        </w:rPr>
        <w:t>En tercer lugar, la experiencia adicional solicitada debe relacionarse con los bienes y servicios sobre los cuales la entidad requiere que se demuestre idoneidad por parte de los proponentes. Esta experiencia no puede estar limitada o referida a que se haya</w:t>
      </w:r>
      <w:r w:rsidRPr="00010A72">
        <w:rPr>
          <w:rFonts w:ascii="Arial" w:eastAsia="Arial" w:hAnsi="Arial" w:cs="Arial"/>
          <w:spacing w:val="-19"/>
          <w:lang w:val="es-ES"/>
        </w:rPr>
        <w:t xml:space="preserve"> </w:t>
      </w:r>
      <w:r w:rsidRPr="00010A72">
        <w:rPr>
          <w:rFonts w:ascii="Arial" w:eastAsia="Arial" w:hAnsi="Arial" w:cs="Arial"/>
          <w:lang w:val="es-ES"/>
        </w:rPr>
        <w:t>adquirido</w:t>
      </w:r>
      <w:r w:rsidRPr="00010A72">
        <w:rPr>
          <w:rFonts w:ascii="Arial" w:eastAsia="Arial" w:hAnsi="Arial" w:cs="Arial"/>
          <w:spacing w:val="-19"/>
          <w:lang w:val="es-ES"/>
        </w:rPr>
        <w:t xml:space="preserve"> </w:t>
      </w:r>
      <w:r w:rsidRPr="00010A72">
        <w:rPr>
          <w:rFonts w:ascii="Arial" w:eastAsia="Arial" w:hAnsi="Arial" w:cs="Arial"/>
          <w:lang w:val="es-ES"/>
        </w:rPr>
        <w:t>en</w:t>
      </w:r>
      <w:r w:rsidRPr="00010A72">
        <w:rPr>
          <w:rFonts w:ascii="Arial" w:eastAsia="Arial" w:hAnsi="Arial" w:cs="Arial"/>
          <w:spacing w:val="-19"/>
          <w:lang w:val="es-ES"/>
        </w:rPr>
        <w:t xml:space="preserve"> </w:t>
      </w:r>
      <w:r w:rsidRPr="00010A72">
        <w:rPr>
          <w:rFonts w:ascii="Arial" w:eastAsia="Arial" w:hAnsi="Arial" w:cs="Arial"/>
          <w:lang w:val="es-ES"/>
        </w:rPr>
        <w:t>un</w:t>
      </w:r>
      <w:r w:rsidRPr="00010A72">
        <w:rPr>
          <w:rFonts w:ascii="Arial" w:eastAsia="Arial" w:hAnsi="Arial" w:cs="Arial"/>
          <w:spacing w:val="-19"/>
          <w:lang w:val="es-ES"/>
        </w:rPr>
        <w:t xml:space="preserve"> </w:t>
      </w:r>
      <w:r w:rsidRPr="00010A72">
        <w:rPr>
          <w:rFonts w:ascii="Arial" w:eastAsia="Arial" w:hAnsi="Arial" w:cs="Arial"/>
          <w:lang w:val="es-ES"/>
        </w:rPr>
        <w:t>territorio</w:t>
      </w:r>
      <w:r w:rsidRPr="00010A72">
        <w:rPr>
          <w:rFonts w:ascii="Arial" w:eastAsia="Arial" w:hAnsi="Arial" w:cs="Arial"/>
          <w:spacing w:val="-17"/>
          <w:lang w:val="es-ES"/>
        </w:rPr>
        <w:t xml:space="preserve"> </w:t>
      </w:r>
      <w:r w:rsidRPr="00010A72">
        <w:rPr>
          <w:rFonts w:ascii="Arial" w:eastAsia="Arial" w:hAnsi="Arial" w:cs="Arial"/>
          <w:lang w:val="es-ES"/>
        </w:rPr>
        <w:t>o</w:t>
      </w:r>
      <w:r w:rsidRPr="00010A72">
        <w:rPr>
          <w:rFonts w:ascii="Arial" w:eastAsia="Arial" w:hAnsi="Arial" w:cs="Arial"/>
          <w:spacing w:val="-19"/>
          <w:lang w:val="es-ES"/>
        </w:rPr>
        <w:t xml:space="preserve"> </w:t>
      </w:r>
      <w:r w:rsidRPr="00010A72">
        <w:rPr>
          <w:rFonts w:ascii="Arial" w:eastAsia="Arial" w:hAnsi="Arial" w:cs="Arial"/>
          <w:lang w:val="es-ES"/>
        </w:rPr>
        <w:t>con</w:t>
      </w:r>
      <w:r w:rsidRPr="00010A72">
        <w:rPr>
          <w:rFonts w:ascii="Arial" w:eastAsia="Arial" w:hAnsi="Arial" w:cs="Arial"/>
          <w:spacing w:val="-19"/>
          <w:lang w:val="es-ES"/>
        </w:rPr>
        <w:t xml:space="preserve"> </w:t>
      </w:r>
      <w:r w:rsidRPr="00010A72">
        <w:rPr>
          <w:rFonts w:ascii="Arial" w:eastAsia="Arial" w:hAnsi="Arial" w:cs="Arial"/>
          <w:lang w:val="es-ES"/>
        </w:rPr>
        <w:t>alguna</w:t>
      </w:r>
      <w:r w:rsidRPr="00010A72">
        <w:rPr>
          <w:rFonts w:ascii="Arial" w:eastAsia="Arial" w:hAnsi="Arial" w:cs="Arial"/>
          <w:spacing w:val="-19"/>
          <w:lang w:val="es-ES"/>
        </w:rPr>
        <w:t xml:space="preserve"> </w:t>
      </w:r>
      <w:r w:rsidRPr="00010A72">
        <w:rPr>
          <w:rFonts w:ascii="Arial" w:eastAsia="Arial" w:hAnsi="Arial" w:cs="Arial"/>
          <w:lang w:val="es-ES"/>
        </w:rPr>
        <w:t>entidad</w:t>
      </w:r>
      <w:r w:rsidRPr="00010A72">
        <w:rPr>
          <w:rFonts w:ascii="Arial" w:eastAsia="Arial" w:hAnsi="Arial" w:cs="Arial"/>
          <w:spacing w:val="-18"/>
          <w:lang w:val="es-ES"/>
        </w:rPr>
        <w:t xml:space="preserve"> </w:t>
      </w:r>
      <w:r w:rsidRPr="00010A72">
        <w:rPr>
          <w:rFonts w:ascii="Arial" w:eastAsia="Arial" w:hAnsi="Arial" w:cs="Arial"/>
          <w:lang w:val="es-ES"/>
        </w:rPr>
        <w:t>determinada,</w:t>
      </w:r>
      <w:r w:rsidRPr="00010A72">
        <w:rPr>
          <w:rFonts w:ascii="Arial" w:eastAsia="Arial" w:hAnsi="Arial" w:cs="Arial"/>
          <w:spacing w:val="-19"/>
          <w:lang w:val="es-ES"/>
        </w:rPr>
        <w:t xml:space="preserve"> </w:t>
      </w:r>
      <w:r w:rsidRPr="00010A72">
        <w:rPr>
          <w:rFonts w:ascii="Arial" w:eastAsia="Arial" w:hAnsi="Arial" w:cs="Arial"/>
          <w:lang w:val="es-ES"/>
        </w:rPr>
        <w:t>ni</w:t>
      </w:r>
      <w:r w:rsidRPr="00010A72">
        <w:rPr>
          <w:rFonts w:ascii="Arial" w:eastAsia="Arial" w:hAnsi="Arial" w:cs="Arial"/>
          <w:spacing w:val="-19"/>
          <w:lang w:val="es-ES"/>
        </w:rPr>
        <w:t xml:space="preserve"> </w:t>
      </w:r>
      <w:r w:rsidRPr="00010A72">
        <w:rPr>
          <w:rFonts w:ascii="Arial" w:eastAsia="Arial" w:hAnsi="Arial" w:cs="Arial"/>
          <w:lang w:val="es-ES"/>
        </w:rPr>
        <w:t>establecer</w:t>
      </w:r>
      <w:r w:rsidRPr="00010A72">
        <w:rPr>
          <w:rFonts w:ascii="Arial" w:eastAsia="Arial" w:hAnsi="Arial" w:cs="Arial"/>
          <w:spacing w:val="-19"/>
          <w:lang w:val="es-ES"/>
        </w:rPr>
        <w:t xml:space="preserve"> </w:t>
      </w:r>
      <w:r w:rsidRPr="00010A72">
        <w:rPr>
          <w:rFonts w:ascii="Arial" w:eastAsia="Arial" w:hAnsi="Arial" w:cs="Arial"/>
          <w:lang w:val="es-ES"/>
        </w:rPr>
        <w:t>limitantes temporales</w:t>
      </w:r>
      <w:r w:rsidRPr="00010A72">
        <w:rPr>
          <w:rFonts w:ascii="Arial" w:eastAsia="Arial" w:hAnsi="Arial" w:cs="Arial"/>
          <w:spacing w:val="-18"/>
          <w:lang w:val="es-ES"/>
        </w:rPr>
        <w:t xml:space="preserve"> </w:t>
      </w:r>
      <w:r w:rsidRPr="00010A72">
        <w:rPr>
          <w:rFonts w:ascii="Arial" w:eastAsia="Arial" w:hAnsi="Arial" w:cs="Arial"/>
          <w:lang w:val="es-ES"/>
        </w:rPr>
        <w:t>o</w:t>
      </w:r>
      <w:r w:rsidRPr="00010A72">
        <w:rPr>
          <w:rFonts w:ascii="Arial" w:eastAsia="Arial" w:hAnsi="Arial" w:cs="Arial"/>
          <w:spacing w:val="-20"/>
          <w:lang w:val="es-ES"/>
        </w:rPr>
        <w:t xml:space="preserve"> </w:t>
      </w:r>
      <w:r w:rsidRPr="00010A72">
        <w:rPr>
          <w:rFonts w:ascii="Arial" w:eastAsia="Arial" w:hAnsi="Arial" w:cs="Arial"/>
          <w:lang w:val="es-ES"/>
        </w:rPr>
        <w:t>la</w:t>
      </w:r>
      <w:r w:rsidRPr="00010A72">
        <w:rPr>
          <w:rFonts w:ascii="Arial" w:eastAsia="Arial" w:hAnsi="Arial" w:cs="Arial"/>
          <w:spacing w:val="-19"/>
          <w:lang w:val="es-ES"/>
        </w:rPr>
        <w:t xml:space="preserve"> </w:t>
      </w:r>
      <w:r w:rsidRPr="00010A72">
        <w:rPr>
          <w:rFonts w:ascii="Arial" w:eastAsia="Arial" w:hAnsi="Arial" w:cs="Arial"/>
          <w:lang w:val="es-ES"/>
        </w:rPr>
        <w:t>acreditación</w:t>
      </w:r>
      <w:r w:rsidRPr="00010A72">
        <w:rPr>
          <w:rFonts w:ascii="Arial" w:eastAsia="Arial" w:hAnsi="Arial" w:cs="Arial"/>
          <w:spacing w:val="-19"/>
          <w:lang w:val="es-ES"/>
        </w:rPr>
        <w:t xml:space="preserve"> </w:t>
      </w:r>
      <w:r w:rsidRPr="00010A72">
        <w:rPr>
          <w:rFonts w:ascii="Arial" w:eastAsia="Arial" w:hAnsi="Arial" w:cs="Arial"/>
          <w:lang w:val="es-ES"/>
        </w:rPr>
        <w:t>de</w:t>
      </w:r>
      <w:r w:rsidRPr="00010A72">
        <w:rPr>
          <w:rFonts w:ascii="Arial" w:eastAsia="Arial" w:hAnsi="Arial" w:cs="Arial"/>
          <w:spacing w:val="-19"/>
          <w:lang w:val="es-ES"/>
        </w:rPr>
        <w:t xml:space="preserve"> </w:t>
      </w:r>
      <w:r w:rsidRPr="00010A72">
        <w:rPr>
          <w:rFonts w:ascii="Arial" w:eastAsia="Arial" w:hAnsi="Arial" w:cs="Arial"/>
          <w:lang w:val="es-ES"/>
        </w:rPr>
        <w:t>volúmenes</w:t>
      </w:r>
      <w:r w:rsidRPr="00010A72">
        <w:rPr>
          <w:rFonts w:ascii="Arial" w:eastAsia="Arial" w:hAnsi="Arial" w:cs="Arial"/>
          <w:spacing w:val="-20"/>
          <w:lang w:val="es-ES"/>
        </w:rPr>
        <w:t xml:space="preserve"> </w:t>
      </w:r>
      <w:r w:rsidRPr="00010A72">
        <w:rPr>
          <w:rFonts w:ascii="Arial" w:eastAsia="Arial" w:hAnsi="Arial" w:cs="Arial"/>
          <w:lang w:val="es-ES"/>
        </w:rPr>
        <w:t>o</w:t>
      </w:r>
      <w:r w:rsidRPr="00010A72">
        <w:rPr>
          <w:rFonts w:ascii="Arial" w:eastAsia="Arial" w:hAnsi="Arial" w:cs="Arial"/>
          <w:spacing w:val="-19"/>
          <w:lang w:val="es-ES"/>
        </w:rPr>
        <w:t xml:space="preserve"> </w:t>
      </w:r>
      <w:r w:rsidRPr="00010A72">
        <w:rPr>
          <w:rFonts w:ascii="Arial" w:eastAsia="Arial" w:hAnsi="Arial" w:cs="Arial"/>
          <w:lang w:val="es-ES"/>
        </w:rPr>
        <w:t>cantidades.</w:t>
      </w:r>
      <w:r w:rsidRPr="00010A72">
        <w:rPr>
          <w:rFonts w:ascii="Arial" w:eastAsia="Arial" w:hAnsi="Arial" w:cs="Arial"/>
          <w:spacing w:val="-20"/>
          <w:lang w:val="es-ES"/>
        </w:rPr>
        <w:t xml:space="preserve"> </w:t>
      </w:r>
      <w:r w:rsidRPr="00010A72">
        <w:rPr>
          <w:rFonts w:ascii="Arial" w:eastAsia="Arial" w:hAnsi="Arial" w:cs="Arial"/>
          <w:lang w:val="es-ES"/>
        </w:rPr>
        <w:t>Este</w:t>
      </w:r>
      <w:r w:rsidRPr="00010A72">
        <w:rPr>
          <w:rFonts w:ascii="Arial" w:eastAsia="Arial" w:hAnsi="Arial" w:cs="Arial"/>
          <w:spacing w:val="-18"/>
          <w:lang w:val="es-ES"/>
        </w:rPr>
        <w:t xml:space="preserve"> </w:t>
      </w:r>
      <w:r w:rsidRPr="00010A72">
        <w:rPr>
          <w:rFonts w:ascii="Arial" w:eastAsia="Arial" w:hAnsi="Arial" w:cs="Arial"/>
          <w:lang w:val="es-ES"/>
        </w:rPr>
        <w:t>parámetro</w:t>
      </w:r>
      <w:r w:rsidRPr="00010A72">
        <w:rPr>
          <w:rFonts w:ascii="Arial" w:eastAsia="Arial" w:hAnsi="Arial" w:cs="Arial"/>
          <w:spacing w:val="-19"/>
          <w:lang w:val="es-ES"/>
        </w:rPr>
        <w:t xml:space="preserve"> </w:t>
      </w:r>
      <w:r w:rsidRPr="00010A72">
        <w:rPr>
          <w:rFonts w:ascii="Arial" w:eastAsia="Arial" w:hAnsi="Arial" w:cs="Arial"/>
          <w:lang w:val="es-ES"/>
        </w:rPr>
        <w:t>va</w:t>
      </w:r>
      <w:r w:rsidRPr="00010A72">
        <w:rPr>
          <w:rFonts w:ascii="Arial" w:eastAsia="Arial" w:hAnsi="Arial" w:cs="Arial"/>
          <w:spacing w:val="-20"/>
          <w:lang w:val="es-ES"/>
        </w:rPr>
        <w:t xml:space="preserve"> </w:t>
      </w:r>
      <w:r w:rsidRPr="00010A72">
        <w:rPr>
          <w:rFonts w:ascii="Arial" w:eastAsia="Arial" w:hAnsi="Arial" w:cs="Arial"/>
          <w:lang w:val="es-ES"/>
        </w:rPr>
        <w:t>encaminado a determinar si la experiencia solicitada es acorde, adecuada y proporcional a la necesidad identificada por la entidad, por lo cual no puede desbordar los límites racionales ni solicitar experiencias de imposible</w:t>
      </w:r>
      <w:r w:rsidRPr="00010A72">
        <w:rPr>
          <w:rFonts w:ascii="Arial" w:eastAsia="Arial" w:hAnsi="Arial" w:cs="Arial"/>
          <w:spacing w:val="-8"/>
          <w:lang w:val="es-ES"/>
        </w:rPr>
        <w:t xml:space="preserve"> </w:t>
      </w:r>
      <w:r w:rsidRPr="00010A72">
        <w:rPr>
          <w:rFonts w:ascii="Arial" w:eastAsia="Arial" w:hAnsi="Arial" w:cs="Arial"/>
          <w:lang w:val="es-ES"/>
        </w:rPr>
        <w:t>cumplimiento. Por último, la experiencia requerida debe clasificarse hasta el tercer nivel del clasificador de bienes y servicios. Por lo tanto, la entidad no puede requerir que se acredite el «producto» de este clasificador.</w:t>
      </w:r>
    </w:p>
    <w:p w14:paraId="089BB981" w14:textId="185B4B98" w:rsidR="00F76E7B" w:rsidRDefault="00395B7C" w:rsidP="00F76E7B">
      <w:pPr>
        <w:spacing w:after="120" w:line="276" w:lineRule="auto"/>
        <w:ind w:firstLine="709"/>
        <w:jc w:val="both"/>
        <w:rPr>
          <w:rFonts w:ascii="Arial" w:eastAsia="Calibri" w:hAnsi="Arial" w:cs="Arial"/>
          <w:szCs w:val="24"/>
          <w:lang w:eastAsia="es-MX"/>
        </w:rPr>
      </w:pPr>
      <w:r>
        <w:rPr>
          <w:rStyle w:val="normaltextrun"/>
          <w:rFonts w:ascii="Arial" w:hAnsi="Arial" w:cs="Arial"/>
          <w:color w:val="000000"/>
          <w:shd w:val="clear" w:color="auto" w:fill="FFFFFF"/>
          <w:lang w:val="es-ES"/>
        </w:rPr>
        <w:t xml:space="preserve">Tratándose de los documentos tipo </w:t>
      </w:r>
      <w:r w:rsidR="00D32531">
        <w:rPr>
          <w:rStyle w:val="normaltextrun"/>
          <w:rFonts w:ascii="Arial" w:hAnsi="Arial" w:cs="Arial"/>
          <w:color w:val="000000"/>
          <w:shd w:val="clear" w:color="auto" w:fill="FFFFFF"/>
          <w:lang w:val="es-ES"/>
        </w:rPr>
        <w:t xml:space="preserve">de </w:t>
      </w:r>
      <w:r w:rsidR="00F22098">
        <w:rPr>
          <w:rStyle w:val="normaltextrun"/>
          <w:rFonts w:ascii="Arial" w:hAnsi="Arial" w:cs="Arial"/>
          <w:color w:val="000000"/>
          <w:shd w:val="clear" w:color="auto" w:fill="FFFFFF"/>
          <w:lang w:val="es-ES"/>
        </w:rPr>
        <w:t>licitación</w:t>
      </w:r>
      <w:r>
        <w:rPr>
          <w:rStyle w:val="normaltextrun"/>
          <w:rFonts w:ascii="Arial" w:hAnsi="Arial" w:cs="Arial"/>
          <w:color w:val="000000"/>
          <w:shd w:val="clear" w:color="auto" w:fill="FFFFFF"/>
          <w:lang w:val="es-ES"/>
        </w:rPr>
        <w:t xml:space="preserve">, la posibilidad de solicitar experiencia adicional ocurre cuando el objeto contractual incluye bienes o servicios adicionales a la obra pública de infraestructura de transporte. Esto implica que: i) la actividad que se requiere, si bien es una labor de obra, no está relacionada con la infraestructura de transporte, por ejemplo, la construcción de un parque cerca de la vía, y </w:t>
      </w:r>
      <w:proofErr w:type="spellStart"/>
      <w:r>
        <w:rPr>
          <w:rStyle w:val="normaltextrun"/>
          <w:rFonts w:ascii="Arial" w:hAnsi="Arial" w:cs="Arial"/>
          <w:color w:val="000000"/>
          <w:shd w:val="clear" w:color="auto" w:fill="FFFFFF"/>
          <w:lang w:val="es-ES"/>
        </w:rPr>
        <w:t>ii</w:t>
      </w:r>
      <w:proofErr w:type="spellEnd"/>
      <w:r>
        <w:rPr>
          <w:rStyle w:val="normaltextrun"/>
          <w:rFonts w:ascii="Arial" w:hAnsi="Arial" w:cs="Arial"/>
          <w:color w:val="000000"/>
          <w:shd w:val="clear" w:color="auto" w:fill="FFFFFF"/>
          <w:lang w:val="es-ES"/>
        </w:rPr>
        <w:t xml:space="preserve">) el bien o servicio adicional es distinto a la actividad principal, aun cuando se relaciona con la infraestructura de transporte, </w:t>
      </w:r>
      <w:r>
        <w:rPr>
          <w:rStyle w:val="normaltextrun"/>
          <w:rFonts w:ascii="Arial" w:hAnsi="Arial" w:cs="Arial"/>
          <w:i/>
          <w:iCs/>
          <w:color w:val="000000"/>
          <w:shd w:val="clear" w:color="auto" w:fill="FFFFFF"/>
          <w:lang w:val="es-ES"/>
        </w:rPr>
        <w:t>v. gr</w:t>
      </w:r>
      <w:r>
        <w:rPr>
          <w:rStyle w:val="normaltextrun"/>
          <w:rFonts w:ascii="Arial" w:hAnsi="Arial" w:cs="Arial"/>
          <w:color w:val="000000"/>
          <w:shd w:val="clear" w:color="auto" w:fill="FFFFFF"/>
          <w:lang w:val="es-ES"/>
        </w:rPr>
        <w:t>., cuando se requiere que el contratista ejecute actividades de consultoría como la realización, revisión o actualización de los estudios y diseños de la obra. En supuestos como los indicados es posible que la entidad exija experiencia adicional para acreditar la idoneidad del contratista en la ejecución de estos bienes o servicios adicionales a la obra de infraestructura de transporte</w:t>
      </w:r>
      <w:r w:rsidR="00F76E7B" w:rsidRPr="005F0CF8">
        <w:rPr>
          <w:rFonts w:ascii="Arial" w:eastAsia="Calibri" w:hAnsi="Arial" w:cs="Arial"/>
          <w:szCs w:val="24"/>
          <w:lang w:eastAsia="es-MX"/>
        </w:rPr>
        <w:t xml:space="preserve">. </w:t>
      </w:r>
    </w:p>
    <w:p w14:paraId="59282EBA" w14:textId="77A0325D" w:rsidR="00F76E7B" w:rsidRPr="00010A72" w:rsidRDefault="00F76E7B" w:rsidP="008A4D5D">
      <w:pPr>
        <w:spacing w:before="120" w:after="120" w:line="276" w:lineRule="auto"/>
        <w:ind w:firstLine="709"/>
        <w:jc w:val="both"/>
        <w:rPr>
          <w:rFonts w:ascii="Arial" w:eastAsia="Calibri" w:hAnsi="Arial" w:cs="Arial"/>
          <w:lang w:val="es-MX"/>
        </w:rPr>
      </w:pPr>
      <w:r w:rsidRPr="00010A72">
        <w:rPr>
          <w:rFonts w:ascii="Arial" w:eastAsia="Calibri" w:hAnsi="Arial" w:cs="Arial"/>
          <w:lang w:val="es-MX"/>
        </w:rPr>
        <w:t xml:space="preserve">Además de lo anterior, debe tenerse presente la regla de la inalterabilidad de los Documentos Tipo, que se fundamenta </w:t>
      </w:r>
      <w:r w:rsidR="00AE6C12">
        <w:rPr>
          <w:rFonts w:ascii="Arial" w:eastAsia="Calibri" w:hAnsi="Arial" w:cs="Arial"/>
          <w:lang w:val="es-MX"/>
        </w:rPr>
        <w:t>el artículo 3 de las Resoluciones 240 de 2020,</w:t>
      </w:r>
      <w:r w:rsidR="002F7DC4">
        <w:rPr>
          <w:rFonts w:ascii="Arial" w:eastAsia="Calibri" w:hAnsi="Arial" w:cs="Arial"/>
          <w:lang w:val="es-MX"/>
        </w:rPr>
        <w:t xml:space="preserve"> 256 de 2020 y 193 de 2021</w:t>
      </w:r>
      <w:r w:rsidR="00F217D5">
        <w:rPr>
          <w:rFonts w:ascii="Arial" w:eastAsia="Calibri" w:hAnsi="Arial" w:cs="Arial"/>
          <w:lang w:val="es-MX"/>
        </w:rPr>
        <w:t xml:space="preserve">. La norma citada dispone </w:t>
      </w:r>
      <w:r w:rsidRPr="00010A72">
        <w:rPr>
          <w:rFonts w:ascii="Arial" w:eastAsia="Calibri" w:hAnsi="Arial" w:cs="Arial"/>
          <w:lang w:val="es-MX"/>
        </w:rPr>
        <w:t xml:space="preserve">que las entidades contratantes no podrán incluir o modificar dentro de los documentos del proceso las condiciones habilitantes, los factores técnicos y económicos de escogencia y los sistemas de ponderación señalados en los documentos tipo. </w:t>
      </w:r>
      <w:r w:rsidR="00F33A62">
        <w:rPr>
          <w:rFonts w:ascii="Arial" w:eastAsia="Calibri" w:hAnsi="Arial" w:cs="Arial"/>
        </w:rPr>
        <w:t>E</w:t>
      </w:r>
      <w:r w:rsidR="008A4D5D" w:rsidRPr="008A4D5D">
        <w:rPr>
          <w:rFonts w:ascii="Arial" w:eastAsia="Calibri" w:hAnsi="Arial" w:cs="Arial"/>
        </w:rPr>
        <w:t>n consecuencia, las entidades estatales al adelantar sus procedimientos de selección solo podrán modificarlos en los aspectos en que los documentos tipo lo permitan</w:t>
      </w:r>
      <w:r w:rsidR="00F33A62">
        <w:rPr>
          <w:rFonts w:ascii="Arial" w:eastAsia="Calibri" w:hAnsi="Arial" w:cs="Arial"/>
        </w:rPr>
        <w:t>.</w:t>
      </w:r>
    </w:p>
    <w:bookmarkEnd w:id="4"/>
    <w:p w14:paraId="75957D7E" w14:textId="77777777" w:rsidR="00F76E7B" w:rsidRDefault="00F76E7B" w:rsidP="00F76E7B">
      <w:pPr>
        <w:spacing w:after="0" w:line="276" w:lineRule="auto"/>
        <w:ind w:firstLine="709"/>
        <w:jc w:val="both"/>
        <w:rPr>
          <w:rFonts w:ascii="Arial" w:eastAsia="Calibri" w:hAnsi="Arial" w:cs="Arial"/>
          <w:szCs w:val="24"/>
          <w:lang w:eastAsia="es-MX"/>
        </w:rPr>
      </w:pPr>
      <w:r w:rsidRPr="00010A72">
        <w:rPr>
          <w:rFonts w:ascii="Arial" w:eastAsia="Calibri" w:hAnsi="Arial" w:cs="Arial"/>
          <w:lang w:val="es-MX"/>
        </w:rPr>
        <w:t xml:space="preserve">Adicionalmente,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último de acuerdo con su necesidad y las instrucciones que precise el pliego. </w:t>
      </w:r>
      <w:r w:rsidRPr="00010A72">
        <w:rPr>
          <w:rFonts w:ascii="Arial" w:eastAsia="Arial" w:hAnsi="Arial" w:cs="Arial"/>
          <w:lang w:val="es-ES"/>
        </w:rPr>
        <w:t>Por tanto, para solicitar experiencia</w:t>
      </w:r>
      <w:r w:rsidRPr="00010A72">
        <w:rPr>
          <w:rFonts w:ascii="Arial" w:eastAsia="Arial" w:hAnsi="Arial" w:cs="Arial"/>
          <w:spacing w:val="-6"/>
          <w:lang w:val="es-ES"/>
        </w:rPr>
        <w:t xml:space="preserve"> </w:t>
      </w:r>
      <w:r w:rsidRPr="00010A72">
        <w:rPr>
          <w:rFonts w:ascii="Arial" w:eastAsia="Arial" w:hAnsi="Arial" w:cs="Arial"/>
          <w:lang w:val="es-ES"/>
        </w:rPr>
        <w:t>frente</w:t>
      </w:r>
      <w:r w:rsidRPr="00010A72">
        <w:rPr>
          <w:rFonts w:ascii="Arial" w:eastAsia="Arial" w:hAnsi="Arial" w:cs="Arial"/>
          <w:spacing w:val="-5"/>
          <w:lang w:val="es-ES"/>
        </w:rPr>
        <w:t xml:space="preserve"> </w:t>
      </w:r>
      <w:r w:rsidRPr="00010A72">
        <w:rPr>
          <w:rFonts w:ascii="Arial" w:eastAsia="Arial" w:hAnsi="Arial" w:cs="Arial"/>
          <w:lang w:val="es-ES"/>
        </w:rPr>
        <w:t>a</w:t>
      </w:r>
      <w:r w:rsidRPr="00010A72">
        <w:rPr>
          <w:rFonts w:ascii="Arial" w:eastAsia="Arial" w:hAnsi="Arial" w:cs="Arial"/>
          <w:spacing w:val="-5"/>
          <w:lang w:val="es-ES"/>
        </w:rPr>
        <w:t xml:space="preserve"> </w:t>
      </w:r>
      <w:r w:rsidRPr="00010A72">
        <w:rPr>
          <w:rFonts w:ascii="Arial" w:eastAsia="Arial" w:hAnsi="Arial" w:cs="Arial"/>
          <w:lang w:val="es-ES"/>
        </w:rPr>
        <w:t>bienes</w:t>
      </w:r>
      <w:r w:rsidRPr="00010A72">
        <w:rPr>
          <w:rFonts w:ascii="Arial" w:eastAsia="Arial" w:hAnsi="Arial" w:cs="Arial"/>
          <w:spacing w:val="-6"/>
          <w:lang w:val="es-ES"/>
        </w:rPr>
        <w:t xml:space="preserve"> </w:t>
      </w:r>
      <w:r w:rsidRPr="00010A72">
        <w:rPr>
          <w:rFonts w:ascii="Arial" w:eastAsia="Arial" w:hAnsi="Arial" w:cs="Arial"/>
          <w:lang w:val="es-ES"/>
        </w:rPr>
        <w:t>o</w:t>
      </w:r>
      <w:r w:rsidRPr="00010A72">
        <w:rPr>
          <w:rFonts w:ascii="Arial" w:eastAsia="Arial" w:hAnsi="Arial" w:cs="Arial"/>
          <w:spacing w:val="-5"/>
          <w:lang w:val="es-ES"/>
        </w:rPr>
        <w:t xml:space="preserve"> </w:t>
      </w:r>
      <w:r w:rsidRPr="00010A72">
        <w:rPr>
          <w:rFonts w:ascii="Arial" w:eastAsia="Arial" w:hAnsi="Arial" w:cs="Arial"/>
          <w:lang w:val="es-ES"/>
        </w:rPr>
        <w:t>servicios</w:t>
      </w:r>
      <w:r w:rsidRPr="00010A72">
        <w:rPr>
          <w:rFonts w:ascii="Arial" w:eastAsia="Arial" w:hAnsi="Arial" w:cs="Arial"/>
          <w:spacing w:val="-6"/>
          <w:lang w:val="es-ES"/>
        </w:rPr>
        <w:t xml:space="preserve"> </w:t>
      </w:r>
      <w:r w:rsidRPr="00010A72">
        <w:rPr>
          <w:rFonts w:ascii="Arial" w:eastAsia="Arial" w:hAnsi="Arial" w:cs="Arial"/>
          <w:lang w:val="es-ES"/>
        </w:rPr>
        <w:t>adicionales</w:t>
      </w:r>
      <w:r w:rsidRPr="00010A72">
        <w:rPr>
          <w:rFonts w:ascii="Arial" w:eastAsia="Arial" w:hAnsi="Arial" w:cs="Arial"/>
          <w:spacing w:val="-6"/>
          <w:lang w:val="es-ES"/>
        </w:rPr>
        <w:t xml:space="preserve"> </w:t>
      </w:r>
      <w:r w:rsidRPr="00010A72">
        <w:rPr>
          <w:rFonts w:ascii="Arial" w:eastAsia="Arial" w:hAnsi="Arial" w:cs="Arial"/>
          <w:lang w:val="es-ES"/>
        </w:rPr>
        <w:t>que</w:t>
      </w:r>
      <w:r w:rsidRPr="00010A72">
        <w:rPr>
          <w:rFonts w:ascii="Arial" w:eastAsia="Arial" w:hAnsi="Arial" w:cs="Arial"/>
          <w:spacing w:val="-5"/>
          <w:lang w:val="es-ES"/>
        </w:rPr>
        <w:t xml:space="preserve"> </w:t>
      </w:r>
      <w:r w:rsidRPr="00010A72">
        <w:rPr>
          <w:rFonts w:ascii="Arial" w:eastAsia="Arial" w:hAnsi="Arial" w:cs="Arial"/>
          <w:lang w:val="es-ES"/>
        </w:rPr>
        <w:t>no</w:t>
      </w:r>
      <w:r w:rsidRPr="00010A72">
        <w:rPr>
          <w:rFonts w:ascii="Arial" w:eastAsia="Arial" w:hAnsi="Arial" w:cs="Arial"/>
          <w:spacing w:val="-6"/>
          <w:lang w:val="es-ES"/>
        </w:rPr>
        <w:t xml:space="preserve"> </w:t>
      </w:r>
      <w:r w:rsidRPr="00010A72">
        <w:rPr>
          <w:rFonts w:ascii="Arial" w:eastAsia="Arial" w:hAnsi="Arial" w:cs="Arial"/>
          <w:lang w:val="es-ES"/>
        </w:rPr>
        <w:t>se</w:t>
      </w:r>
      <w:r w:rsidRPr="00010A72">
        <w:rPr>
          <w:rFonts w:ascii="Arial" w:eastAsia="Arial" w:hAnsi="Arial" w:cs="Arial"/>
          <w:spacing w:val="-5"/>
          <w:lang w:val="es-ES"/>
        </w:rPr>
        <w:t xml:space="preserve"> </w:t>
      </w:r>
      <w:r w:rsidRPr="00010A72">
        <w:rPr>
          <w:rFonts w:ascii="Arial" w:eastAsia="Arial" w:hAnsi="Arial" w:cs="Arial"/>
          <w:lang w:val="es-ES"/>
        </w:rPr>
        <w:t>encuentren</w:t>
      </w:r>
      <w:r w:rsidRPr="00010A72">
        <w:rPr>
          <w:rFonts w:ascii="Arial" w:eastAsia="Arial" w:hAnsi="Arial" w:cs="Arial"/>
          <w:spacing w:val="-6"/>
          <w:lang w:val="es-ES"/>
        </w:rPr>
        <w:t xml:space="preserve"> </w:t>
      </w:r>
      <w:r w:rsidRPr="00010A72">
        <w:rPr>
          <w:rFonts w:ascii="Arial" w:eastAsia="Arial" w:hAnsi="Arial" w:cs="Arial"/>
          <w:lang w:val="es-ES"/>
        </w:rPr>
        <w:t>contemplados en</w:t>
      </w:r>
      <w:r w:rsidRPr="00010A72">
        <w:rPr>
          <w:rFonts w:ascii="Arial" w:eastAsia="Arial" w:hAnsi="Arial" w:cs="Arial"/>
          <w:spacing w:val="-17"/>
          <w:lang w:val="es-ES"/>
        </w:rPr>
        <w:t xml:space="preserve"> </w:t>
      </w:r>
      <w:r w:rsidRPr="00010A72">
        <w:rPr>
          <w:rFonts w:ascii="Arial" w:eastAsia="Arial" w:hAnsi="Arial" w:cs="Arial"/>
          <w:lang w:val="es-ES"/>
        </w:rPr>
        <w:t>la</w:t>
      </w:r>
      <w:r w:rsidRPr="00010A72">
        <w:rPr>
          <w:rFonts w:ascii="Arial" w:eastAsia="Arial" w:hAnsi="Arial" w:cs="Arial"/>
          <w:spacing w:val="-17"/>
          <w:lang w:val="es-ES"/>
        </w:rPr>
        <w:t xml:space="preserve"> </w:t>
      </w:r>
      <w:r w:rsidRPr="00010A72">
        <w:rPr>
          <w:rFonts w:ascii="Arial" w:eastAsia="Arial" w:hAnsi="Arial" w:cs="Arial"/>
          <w:lang w:val="es-ES"/>
        </w:rPr>
        <w:t>«Matriz</w:t>
      </w:r>
      <w:r w:rsidRPr="00010A72">
        <w:rPr>
          <w:rFonts w:ascii="Arial" w:eastAsia="Arial" w:hAnsi="Arial" w:cs="Arial"/>
          <w:spacing w:val="-16"/>
          <w:lang w:val="es-ES"/>
        </w:rPr>
        <w:t xml:space="preserve"> </w:t>
      </w:r>
      <w:r w:rsidRPr="00010A72">
        <w:rPr>
          <w:rFonts w:ascii="Arial" w:eastAsia="Arial" w:hAnsi="Arial" w:cs="Arial"/>
          <w:lang w:val="es-ES"/>
        </w:rPr>
        <w:t>1</w:t>
      </w:r>
      <w:r w:rsidRPr="00010A72">
        <w:rPr>
          <w:rFonts w:ascii="Arial" w:eastAsia="Arial" w:hAnsi="Arial" w:cs="Arial"/>
          <w:spacing w:val="-17"/>
          <w:lang w:val="es-ES"/>
        </w:rPr>
        <w:t xml:space="preserve"> </w:t>
      </w:r>
      <w:r w:rsidRPr="00010A72">
        <w:rPr>
          <w:rFonts w:ascii="Arial" w:eastAsia="Arial" w:hAnsi="Arial" w:cs="Arial"/>
          <w:lang w:val="es-ES"/>
        </w:rPr>
        <w:t>–</w:t>
      </w:r>
      <w:r w:rsidRPr="00010A72">
        <w:rPr>
          <w:rFonts w:ascii="Arial" w:eastAsia="Arial" w:hAnsi="Arial" w:cs="Arial"/>
          <w:spacing w:val="-17"/>
          <w:lang w:val="es-ES"/>
        </w:rPr>
        <w:t xml:space="preserve"> </w:t>
      </w:r>
      <w:r w:rsidRPr="00010A72">
        <w:rPr>
          <w:rFonts w:ascii="Arial" w:eastAsia="Arial" w:hAnsi="Arial" w:cs="Arial"/>
          <w:lang w:val="es-ES"/>
        </w:rPr>
        <w:t>Experiencia»,</w:t>
      </w:r>
      <w:r w:rsidRPr="00010A72">
        <w:rPr>
          <w:rFonts w:ascii="Arial" w:eastAsia="Arial" w:hAnsi="Arial" w:cs="Arial"/>
          <w:spacing w:val="-14"/>
          <w:lang w:val="es-ES"/>
        </w:rPr>
        <w:t xml:space="preserve"> </w:t>
      </w:r>
      <w:r w:rsidRPr="005F0CF8">
        <w:rPr>
          <w:rFonts w:ascii="Arial" w:eastAsia="Calibri" w:hAnsi="Arial" w:cs="Arial"/>
          <w:szCs w:val="24"/>
          <w:lang w:eastAsia="es-MX"/>
        </w:rPr>
        <w:t xml:space="preserve">el «documento base» de los documentos tipo </w:t>
      </w:r>
      <w:r>
        <w:rPr>
          <w:rFonts w:ascii="Arial" w:eastAsia="Calibri" w:hAnsi="Arial" w:cs="Arial"/>
          <w:szCs w:val="24"/>
          <w:lang w:eastAsia="es-MX"/>
        </w:rPr>
        <w:t xml:space="preserve">de licitación de obra pública de infraestructura de transporte – versión 3, se </w:t>
      </w:r>
      <w:r w:rsidRPr="005F0CF8">
        <w:rPr>
          <w:rFonts w:ascii="Arial" w:eastAsia="Calibri" w:hAnsi="Arial" w:cs="Arial"/>
          <w:szCs w:val="24"/>
          <w:lang w:eastAsia="es-MX"/>
        </w:rPr>
        <w:t>establece en el literal h), del numeral 3.5.2.</w:t>
      </w:r>
      <w:r>
        <w:rPr>
          <w:rStyle w:val="Refdenotaalpie"/>
          <w:rFonts w:ascii="Arial" w:eastAsia="Calibri" w:hAnsi="Arial" w:cs="Arial"/>
          <w:szCs w:val="24"/>
          <w:lang w:eastAsia="es-MX"/>
        </w:rPr>
        <w:footnoteReference w:id="7"/>
      </w:r>
      <w:r w:rsidRPr="005F0CF8">
        <w:rPr>
          <w:rFonts w:ascii="Arial" w:eastAsia="Calibri" w:hAnsi="Arial" w:cs="Arial"/>
          <w:szCs w:val="24"/>
          <w:lang w:eastAsia="es-MX"/>
        </w:rPr>
        <w:t xml:space="preserve"> lo siguiente:</w:t>
      </w:r>
    </w:p>
    <w:p w14:paraId="02FC4882" w14:textId="77777777" w:rsidR="00F76E7B" w:rsidRPr="005F0CF8" w:rsidRDefault="00F76E7B" w:rsidP="00F76E7B">
      <w:pPr>
        <w:spacing w:after="0" w:line="276" w:lineRule="auto"/>
        <w:ind w:firstLine="708"/>
        <w:jc w:val="both"/>
        <w:rPr>
          <w:rFonts w:ascii="Arial" w:eastAsia="Calibri" w:hAnsi="Arial" w:cs="Arial"/>
          <w:szCs w:val="24"/>
          <w:lang w:eastAsia="es-MX"/>
        </w:rPr>
      </w:pPr>
    </w:p>
    <w:p w14:paraId="23764EE9" w14:textId="77777777" w:rsidR="00F76E7B" w:rsidRPr="00AB0BA8" w:rsidRDefault="00F76E7B" w:rsidP="00F76E7B">
      <w:pPr>
        <w:spacing w:after="120" w:line="240" w:lineRule="auto"/>
        <w:ind w:left="709" w:right="709"/>
        <w:jc w:val="both"/>
        <w:rPr>
          <w:rFonts w:ascii="Arial" w:eastAsia="Times New Roman" w:hAnsi="Arial" w:cs="Arial"/>
          <w:sz w:val="21"/>
          <w:szCs w:val="21"/>
          <w:highlight w:val="lightGray"/>
          <w:lang w:val="es-MX" w:eastAsia="es-MX"/>
        </w:rPr>
      </w:pPr>
      <w:r w:rsidRPr="00AB0BA8">
        <w:rPr>
          <w:rFonts w:ascii="Arial" w:hAnsi="Arial" w:cs="Arial"/>
          <w:sz w:val="21"/>
          <w:szCs w:val="21"/>
          <w:lang w:val="es-MX"/>
        </w:rPr>
        <w:t>H. [</w:t>
      </w:r>
      <w:r w:rsidRPr="00AB0BA8">
        <w:rPr>
          <w:rFonts w:ascii="Arial" w:hAnsi="Arial" w:cs="Arial"/>
          <w:sz w:val="21"/>
          <w:szCs w:val="21"/>
          <w:highlight w:val="lightGray"/>
          <w:lang w:val="es-MX"/>
        </w:rPr>
        <w:t>Cuando el objeto contractual incluya bienes o servicios ajenos a la obra pública de infraestructura de transporte y de manera excepcional requiere incluir experiencia adicional para evaluar la idoneidad respecto de los bienes o servicios ajenos a la obra pública, la entidad estatal deberá seguir los parámetros establecidos en el artículo 2.2.1.2</w:t>
      </w:r>
      <w:r w:rsidRPr="00AB0BA8">
        <w:rPr>
          <w:rFonts w:ascii="Arial" w:eastAsia="Times New Roman" w:hAnsi="Arial" w:cs="Arial"/>
          <w:sz w:val="21"/>
          <w:szCs w:val="21"/>
          <w:highlight w:val="lightGray"/>
          <w:lang w:val="es-MX" w:eastAsia="es-MX"/>
        </w:rPr>
        <w:t>.6.1.5 del Decreto 1082 de 2015.</w:t>
      </w:r>
    </w:p>
    <w:p w14:paraId="0CBE1685" w14:textId="77777777" w:rsidR="00F76E7B" w:rsidRPr="00AB0BA8" w:rsidRDefault="00F76E7B" w:rsidP="00F76E7B">
      <w:pPr>
        <w:spacing w:after="120" w:line="240" w:lineRule="auto"/>
        <w:ind w:left="709" w:right="709"/>
        <w:jc w:val="both"/>
        <w:rPr>
          <w:rFonts w:ascii="Arial" w:eastAsia="Times New Roman" w:hAnsi="Arial" w:cs="Arial"/>
          <w:sz w:val="21"/>
          <w:szCs w:val="21"/>
          <w:highlight w:val="lightGray"/>
          <w:lang w:val="es-MX" w:eastAsia="es-MX"/>
        </w:rPr>
      </w:pPr>
      <w:r w:rsidRPr="00AB0BA8">
        <w:rPr>
          <w:rFonts w:ascii="Arial" w:eastAsia="Times New Roman" w:hAnsi="Arial" w:cs="Arial"/>
          <w:sz w:val="21"/>
          <w:szCs w:val="21"/>
          <w:highlight w:val="lightGray"/>
          <w:lang w:val="es-MX" w:eastAsia="es-MX"/>
        </w:rPr>
        <w:t>Conforme a esta disposición, la entidad no puede requerir experiencia adicional que incluya volúmenes o cantidades de obra específica expresadas en SMMLV]</w:t>
      </w:r>
    </w:p>
    <w:p w14:paraId="73729693" w14:textId="77777777" w:rsidR="00F76E7B" w:rsidRPr="00AB0BA8" w:rsidRDefault="00F76E7B" w:rsidP="00F76E7B">
      <w:pPr>
        <w:spacing w:after="0" w:line="276" w:lineRule="auto"/>
        <w:ind w:left="709" w:right="709"/>
        <w:jc w:val="both"/>
        <w:rPr>
          <w:rFonts w:ascii="Arial" w:eastAsia="Times New Roman" w:hAnsi="Arial" w:cs="Arial"/>
          <w:sz w:val="21"/>
          <w:szCs w:val="21"/>
          <w:lang w:val="es-MX" w:eastAsia="es-MX"/>
        </w:rPr>
      </w:pPr>
      <w:r w:rsidRPr="00AB0BA8">
        <w:rPr>
          <w:rFonts w:ascii="Arial" w:eastAsia="Times New Roman" w:hAnsi="Arial" w:cs="Arial"/>
          <w:sz w:val="21"/>
          <w:szCs w:val="21"/>
          <w:highlight w:val="lightGray"/>
          <w:lang w:val="es-MX" w:eastAsia="es-MX"/>
        </w:rPr>
        <w:lastRenderedPageBreak/>
        <w:t>La entidad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p>
    <w:p w14:paraId="0E077054" w14:textId="77777777" w:rsidR="00F76E7B" w:rsidRDefault="00F76E7B" w:rsidP="00F76E7B">
      <w:pPr>
        <w:spacing w:after="0" w:line="276" w:lineRule="auto"/>
        <w:ind w:right="709"/>
        <w:jc w:val="both"/>
        <w:rPr>
          <w:rFonts w:ascii="Arial" w:eastAsia="Calibri" w:hAnsi="Arial" w:cs="Arial"/>
          <w:sz w:val="19"/>
          <w:szCs w:val="19"/>
          <w:lang w:eastAsia="es-MX"/>
        </w:rPr>
      </w:pPr>
    </w:p>
    <w:p w14:paraId="4E6D01C9" w14:textId="5B77A9F4" w:rsidR="00F76E7B" w:rsidRDefault="00F76E7B" w:rsidP="00F76E7B">
      <w:pPr>
        <w:widowControl w:val="0"/>
        <w:autoSpaceDE w:val="0"/>
        <w:autoSpaceDN w:val="0"/>
        <w:spacing w:after="0" w:line="276" w:lineRule="auto"/>
        <w:ind w:firstLine="709"/>
        <w:jc w:val="both"/>
        <w:rPr>
          <w:rFonts w:ascii="Arial" w:eastAsia="Arial" w:hAnsi="Arial" w:cs="Arial"/>
          <w:lang w:val="es-ES"/>
        </w:rPr>
      </w:pPr>
      <w:r w:rsidRPr="00633B24">
        <w:rPr>
          <w:rFonts w:ascii="Arial" w:eastAsia="Arial" w:hAnsi="Arial" w:cs="Arial"/>
          <w:lang w:val="es-ES"/>
        </w:rPr>
        <w:t>De</w:t>
      </w:r>
      <w:r w:rsidRPr="00633B24">
        <w:rPr>
          <w:rFonts w:ascii="Arial" w:eastAsia="Arial" w:hAnsi="Arial" w:cs="Arial"/>
          <w:spacing w:val="-12"/>
          <w:lang w:val="es-ES"/>
        </w:rPr>
        <w:t xml:space="preserve"> </w:t>
      </w:r>
      <w:r w:rsidRPr="00633B24">
        <w:rPr>
          <w:rFonts w:ascii="Arial" w:eastAsia="Arial" w:hAnsi="Arial" w:cs="Arial"/>
          <w:lang w:val="es-ES"/>
        </w:rPr>
        <w:t>esta</w:t>
      </w:r>
      <w:r w:rsidRPr="00633B24">
        <w:rPr>
          <w:rFonts w:ascii="Arial" w:eastAsia="Arial" w:hAnsi="Arial" w:cs="Arial"/>
          <w:spacing w:val="-12"/>
          <w:lang w:val="es-ES"/>
        </w:rPr>
        <w:t xml:space="preserve"> </w:t>
      </w:r>
      <w:r w:rsidRPr="00633B24">
        <w:rPr>
          <w:rFonts w:ascii="Arial" w:eastAsia="Arial" w:hAnsi="Arial" w:cs="Arial"/>
          <w:lang w:val="es-ES"/>
        </w:rPr>
        <w:t>manera,</w:t>
      </w:r>
      <w:r w:rsidRPr="00633B24">
        <w:rPr>
          <w:rFonts w:ascii="Arial" w:eastAsia="Arial" w:hAnsi="Arial" w:cs="Arial"/>
          <w:spacing w:val="-11"/>
          <w:lang w:val="es-ES"/>
        </w:rPr>
        <w:t xml:space="preserve"> </w:t>
      </w:r>
      <w:r w:rsidRPr="00633B24">
        <w:rPr>
          <w:rFonts w:ascii="Arial" w:eastAsia="Arial" w:hAnsi="Arial" w:cs="Arial"/>
          <w:lang w:val="es-ES"/>
        </w:rPr>
        <w:t>la</w:t>
      </w:r>
      <w:r w:rsidRPr="00633B24">
        <w:rPr>
          <w:rFonts w:ascii="Arial" w:eastAsia="Arial" w:hAnsi="Arial" w:cs="Arial"/>
          <w:spacing w:val="-12"/>
          <w:lang w:val="es-ES"/>
        </w:rPr>
        <w:t xml:space="preserve"> </w:t>
      </w:r>
      <w:r w:rsidRPr="00633B24">
        <w:rPr>
          <w:rFonts w:ascii="Arial" w:eastAsia="Arial" w:hAnsi="Arial" w:cs="Arial"/>
          <w:lang w:val="es-ES"/>
        </w:rPr>
        <w:t>regla</w:t>
      </w:r>
      <w:r w:rsidRPr="00633B24">
        <w:rPr>
          <w:rFonts w:ascii="Arial" w:eastAsia="Arial" w:hAnsi="Arial" w:cs="Arial"/>
          <w:spacing w:val="-12"/>
          <w:lang w:val="es-ES"/>
        </w:rPr>
        <w:t xml:space="preserve"> </w:t>
      </w:r>
      <w:r w:rsidRPr="00633B24">
        <w:rPr>
          <w:rFonts w:ascii="Arial" w:eastAsia="Arial" w:hAnsi="Arial" w:cs="Arial"/>
          <w:lang w:val="es-ES"/>
        </w:rPr>
        <w:t>general</w:t>
      </w:r>
      <w:r w:rsidRPr="00633B24">
        <w:rPr>
          <w:rFonts w:ascii="Arial" w:eastAsia="Arial" w:hAnsi="Arial" w:cs="Arial"/>
          <w:spacing w:val="-11"/>
          <w:lang w:val="es-ES"/>
        </w:rPr>
        <w:t xml:space="preserve"> </w:t>
      </w:r>
      <w:r w:rsidRPr="00633B24">
        <w:rPr>
          <w:rFonts w:ascii="Arial" w:eastAsia="Arial" w:hAnsi="Arial" w:cs="Arial"/>
          <w:lang w:val="es-ES"/>
        </w:rPr>
        <w:t>frente</w:t>
      </w:r>
      <w:r w:rsidRPr="00633B24">
        <w:rPr>
          <w:rFonts w:ascii="Arial" w:eastAsia="Arial" w:hAnsi="Arial" w:cs="Arial"/>
          <w:spacing w:val="-11"/>
          <w:lang w:val="es-ES"/>
        </w:rPr>
        <w:t xml:space="preserve"> </w:t>
      </w:r>
      <w:r w:rsidRPr="00633B24">
        <w:rPr>
          <w:rFonts w:ascii="Arial" w:eastAsia="Arial" w:hAnsi="Arial" w:cs="Arial"/>
          <w:lang w:val="es-ES"/>
        </w:rPr>
        <w:t>a</w:t>
      </w:r>
      <w:r w:rsidRPr="00633B24">
        <w:rPr>
          <w:rFonts w:ascii="Arial" w:eastAsia="Arial" w:hAnsi="Arial" w:cs="Arial"/>
          <w:spacing w:val="-12"/>
          <w:lang w:val="es-ES"/>
        </w:rPr>
        <w:t xml:space="preserve"> </w:t>
      </w:r>
      <w:r w:rsidRPr="00633B24">
        <w:rPr>
          <w:rFonts w:ascii="Arial" w:eastAsia="Arial" w:hAnsi="Arial" w:cs="Arial"/>
          <w:lang w:val="es-ES"/>
        </w:rPr>
        <w:t>la</w:t>
      </w:r>
      <w:r w:rsidRPr="00633B24">
        <w:rPr>
          <w:rFonts w:ascii="Arial" w:eastAsia="Arial" w:hAnsi="Arial" w:cs="Arial"/>
          <w:spacing w:val="-12"/>
          <w:lang w:val="es-ES"/>
        </w:rPr>
        <w:t xml:space="preserve"> </w:t>
      </w:r>
      <w:r w:rsidRPr="00633B24">
        <w:rPr>
          <w:rFonts w:ascii="Arial" w:eastAsia="Arial" w:hAnsi="Arial" w:cs="Arial"/>
          <w:lang w:val="es-ES"/>
        </w:rPr>
        <w:t>aplicación</w:t>
      </w:r>
      <w:r w:rsidRPr="00633B24">
        <w:rPr>
          <w:rFonts w:ascii="Arial" w:eastAsia="Arial" w:hAnsi="Arial" w:cs="Arial"/>
          <w:spacing w:val="-11"/>
          <w:lang w:val="es-ES"/>
        </w:rPr>
        <w:t xml:space="preserve"> </w:t>
      </w:r>
      <w:r w:rsidRPr="00633B24">
        <w:rPr>
          <w:rFonts w:ascii="Arial" w:eastAsia="Arial" w:hAnsi="Arial" w:cs="Arial"/>
          <w:lang w:val="es-ES"/>
        </w:rPr>
        <w:t>del</w:t>
      </w:r>
      <w:r w:rsidRPr="00633B24">
        <w:rPr>
          <w:rFonts w:ascii="Arial" w:eastAsia="Arial" w:hAnsi="Arial" w:cs="Arial"/>
          <w:spacing w:val="-12"/>
          <w:lang w:val="es-ES"/>
        </w:rPr>
        <w:t xml:space="preserve"> </w:t>
      </w:r>
      <w:r w:rsidRPr="00633B24">
        <w:rPr>
          <w:rFonts w:ascii="Arial" w:eastAsia="Arial" w:hAnsi="Arial" w:cs="Arial"/>
          <w:lang w:val="es-ES"/>
        </w:rPr>
        <w:t>documento</w:t>
      </w:r>
      <w:r w:rsidRPr="00633B24">
        <w:rPr>
          <w:rFonts w:ascii="Arial" w:eastAsia="Arial" w:hAnsi="Arial" w:cs="Arial"/>
          <w:spacing w:val="-12"/>
          <w:lang w:val="es-ES"/>
        </w:rPr>
        <w:t xml:space="preserve"> </w:t>
      </w:r>
      <w:r w:rsidRPr="00633B24">
        <w:rPr>
          <w:rFonts w:ascii="Arial" w:eastAsia="Arial" w:hAnsi="Arial" w:cs="Arial"/>
          <w:lang w:val="es-ES"/>
        </w:rPr>
        <w:t>base</w:t>
      </w:r>
      <w:r w:rsidRPr="00633B24">
        <w:rPr>
          <w:rFonts w:ascii="Arial" w:eastAsia="Arial" w:hAnsi="Arial" w:cs="Arial"/>
          <w:spacing w:val="-11"/>
          <w:lang w:val="es-ES"/>
        </w:rPr>
        <w:t xml:space="preserve"> </w:t>
      </w:r>
      <w:r w:rsidRPr="00633B24">
        <w:rPr>
          <w:rFonts w:ascii="Arial" w:eastAsia="Arial" w:hAnsi="Arial" w:cs="Arial"/>
          <w:lang w:val="es-ES"/>
        </w:rPr>
        <w:t>es</w:t>
      </w:r>
      <w:r w:rsidRPr="00633B24">
        <w:rPr>
          <w:rFonts w:ascii="Arial" w:eastAsia="Arial" w:hAnsi="Arial" w:cs="Arial"/>
          <w:spacing w:val="-12"/>
          <w:lang w:val="es-ES"/>
        </w:rPr>
        <w:t xml:space="preserve"> </w:t>
      </w:r>
      <w:r w:rsidRPr="00633B24">
        <w:rPr>
          <w:rFonts w:ascii="Arial" w:eastAsia="Arial" w:hAnsi="Arial" w:cs="Arial"/>
          <w:lang w:val="es-ES"/>
        </w:rPr>
        <w:t xml:space="preserve">su inalterabilidad. Por lo tanto, no se podrán incluir o modificar dentro de los documentos del proceso las condiciones habilitantes, los factores técnicos y económicos de escogencia y los sistemas </w:t>
      </w:r>
      <w:r w:rsidRPr="00557D5C">
        <w:rPr>
          <w:rFonts w:ascii="Arial" w:eastAsia="Calibri" w:hAnsi="Arial" w:cs="Arial"/>
          <w:color w:val="000000"/>
          <w:lang w:val="es-ES_tradnl" w:eastAsia="es-ES"/>
        </w:rPr>
        <w:t xml:space="preserve">de ponderación señalados en los documentos tipo, salvo lo previsto en el artículo 4 </w:t>
      </w:r>
      <w:r w:rsidRPr="004D5716">
        <w:rPr>
          <w:rFonts w:ascii="Arial" w:eastAsia="Calibri" w:hAnsi="Arial" w:cs="Arial"/>
          <w:color w:val="000000"/>
          <w:lang w:val="es-ES_tradnl" w:eastAsia="es-ES"/>
        </w:rPr>
        <w:t>de la</w:t>
      </w:r>
      <w:r>
        <w:rPr>
          <w:rFonts w:ascii="Arial" w:eastAsia="Calibri" w:hAnsi="Arial" w:cs="Arial"/>
          <w:color w:val="000000"/>
          <w:lang w:val="es-ES_tradnl" w:eastAsia="es-ES"/>
        </w:rPr>
        <w:t>s</w:t>
      </w:r>
      <w:r w:rsidRPr="007C6779">
        <w:rPr>
          <w:rFonts w:ascii="Arial" w:eastAsia="Calibri" w:hAnsi="Arial" w:cs="Arial"/>
          <w:color w:val="000000"/>
          <w:lang w:val="es-ES_tradnl" w:eastAsia="es-ES"/>
        </w:rPr>
        <w:t xml:space="preserve"> Resoluci</w:t>
      </w:r>
      <w:r>
        <w:rPr>
          <w:rFonts w:ascii="Arial" w:eastAsia="Calibri" w:hAnsi="Arial" w:cs="Arial"/>
          <w:color w:val="000000"/>
          <w:lang w:val="es-ES_tradnl" w:eastAsia="es-ES"/>
        </w:rPr>
        <w:t>ones</w:t>
      </w:r>
      <w:r w:rsidRPr="004D5716">
        <w:rPr>
          <w:rFonts w:ascii="Arial" w:eastAsia="Calibri" w:hAnsi="Arial" w:cs="Arial"/>
          <w:color w:val="000000"/>
          <w:lang w:val="es-ES_tradnl" w:eastAsia="es-ES"/>
        </w:rPr>
        <w:t xml:space="preserve"> 240</w:t>
      </w:r>
      <w:r>
        <w:rPr>
          <w:rFonts w:ascii="Arial" w:eastAsia="Calibri" w:hAnsi="Arial" w:cs="Arial"/>
          <w:color w:val="000000"/>
          <w:lang w:val="es-ES_tradnl" w:eastAsia="es-ES"/>
        </w:rPr>
        <w:t xml:space="preserve">, 256 de </w:t>
      </w:r>
      <w:r w:rsidRPr="004D5716">
        <w:rPr>
          <w:rFonts w:ascii="Arial" w:eastAsia="Calibri" w:hAnsi="Arial" w:cs="Arial"/>
          <w:color w:val="000000"/>
          <w:lang w:val="es-ES_tradnl" w:eastAsia="es-ES"/>
        </w:rPr>
        <w:t>2020 y 193 de 2021</w:t>
      </w:r>
      <w:r>
        <w:rPr>
          <w:rFonts w:ascii="Arial" w:eastAsia="Calibri" w:hAnsi="Arial" w:cs="Arial"/>
          <w:color w:val="000000"/>
          <w:lang w:val="es-ES_tradnl" w:eastAsia="es-ES"/>
        </w:rPr>
        <w:t xml:space="preserve">. </w:t>
      </w:r>
      <w:r w:rsidRPr="00557D5C">
        <w:rPr>
          <w:rFonts w:ascii="Arial" w:eastAsia="Calibri" w:hAnsi="Arial" w:cs="Arial"/>
          <w:color w:val="000000"/>
          <w:lang w:val="es-ES_tradnl" w:eastAsia="es-ES"/>
        </w:rPr>
        <w:t xml:space="preserve">Por tanto, si el objeto contractual incluye bienes o servicios ajenos a la obra pública, a la </w:t>
      </w:r>
      <w:r w:rsidRPr="00B56474">
        <w:rPr>
          <w:rFonts w:ascii="Arial" w:eastAsia="Calibri" w:hAnsi="Arial" w:cs="Arial"/>
          <w:color w:val="000000"/>
          <w:lang w:val="es-ES_tradnl" w:eastAsia="es-ES"/>
        </w:rPr>
        <w:t>interventoría</w:t>
      </w:r>
      <w:r w:rsidRPr="00557D5C">
        <w:rPr>
          <w:rFonts w:ascii="Arial" w:eastAsia="Calibri" w:hAnsi="Arial" w:cs="Arial"/>
          <w:color w:val="000000"/>
          <w:lang w:val="es-ES_tradnl" w:eastAsia="es-ES"/>
        </w:rPr>
        <w:t xml:space="preserve"> de la obra pública o a la consultoría de estudios de ingeniería de infraestructura de transporte, de allí solo se deriva que podrá incluirse la experiencia adicional que se considere conveniente, atendiendo a las reglas </w:t>
      </w:r>
      <w:r w:rsidR="00C942BE">
        <w:rPr>
          <w:rFonts w:ascii="Arial" w:eastAsia="Calibri" w:hAnsi="Arial" w:cs="Arial"/>
          <w:color w:val="000000"/>
          <w:lang w:val="es-ES_tradnl" w:eastAsia="es-ES"/>
        </w:rPr>
        <w:t>cada uno de los actos administrativos citados</w:t>
      </w:r>
      <w:r w:rsidRPr="00557D5C">
        <w:rPr>
          <w:rFonts w:ascii="Arial" w:eastAsia="Calibri" w:hAnsi="Arial" w:cs="Arial"/>
          <w:color w:val="000000"/>
          <w:lang w:val="es-ES_tradnl" w:eastAsia="es-ES"/>
        </w:rPr>
        <w:t>.</w:t>
      </w:r>
    </w:p>
    <w:p w14:paraId="1CF3DB43" w14:textId="31C5E331" w:rsidR="00FD758D" w:rsidRPr="00F41978" w:rsidRDefault="00F76E7B" w:rsidP="00AB0BA8">
      <w:pPr>
        <w:spacing w:before="120" w:after="120" w:line="276" w:lineRule="auto"/>
        <w:ind w:firstLine="708"/>
        <w:jc w:val="both"/>
        <w:rPr>
          <w:rFonts w:ascii="Arial" w:hAnsi="Arial" w:cs="Arial"/>
          <w:b/>
          <w:bCs/>
          <w:lang w:eastAsia="es-CO"/>
        </w:rPr>
      </w:pPr>
      <w:r w:rsidRPr="00557D5C">
        <w:rPr>
          <w:rFonts w:ascii="Arial" w:eastAsia="Calibri" w:hAnsi="Arial" w:cs="Arial"/>
          <w:color w:val="000000"/>
          <w:lang w:eastAsia="es-ES_tradnl"/>
        </w:rPr>
        <w:t>Sin perjuicio de las consideraciones anteriores</w:t>
      </w:r>
      <w:r w:rsidRPr="00557D5C">
        <w:rPr>
          <w:rFonts w:ascii="Arial" w:eastAsia="Times New Roman" w:hAnsi="Arial" w:cs="Arial"/>
          <w:szCs w:val="24"/>
          <w:lang w:eastAsia="es-ES_tradnl"/>
        </w:rPr>
        <w:t xml:space="preserve">,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que contemplada en dicha matriz. </w:t>
      </w:r>
      <w:r w:rsidR="00FD758D">
        <w:rPr>
          <w:rFonts w:ascii="Arial" w:eastAsia="Calibri" w:hAnsi="Arial" w:cs="Arial"/>
        </w:rPr>
        <w:t>As</w:t>
      </w:r>
      <w:r w:rsidR="00B16572">
        <w:rPr>
          <w:rFonts w:ascii="Arial" w:eastAsia="Calibri" w:hAnsi="Arial" w:cs="Arial"/>
        </w:rPr>
        <w:t>i</w:t>
      </w:r>
      <w:r w:rsidR="00FD758D">
        <w:rPr>
          <w:rFonts w:ascii="Arial" w:eastAsia="Calibri" w:hAnsi="Arial" w:cs="Arial"/>
        </w:rPr>
        <w:t>mismo</w:t>
      </w:r>
      <w:r w:rsidR="00FD758D" w:rsidRPr="00F41978">
        <w:rPr>
          <w:rFonts w:ascii="Arial" w:eastAsia="Calibri" w:hAnsi="Arial" w:cs="Arial"/>
        </w:rPr>
        <w:t xml:space="preserve">, si </w:t>
      </w:r>
      <w:r w:rsidR="00B16572">
        <w:rPr>
          <w:rFonts w:ascii="Arial" w:eastAsia="Calibri" w:hAnsi="Arial" w:cs="Arial"/>
        </w:rPr>
        <w:t>el bien</w:t>
      </w:r>
      <w:r w:rsidR="00FD758D" w:rsidRPr="00F41978">
        <w:rPr>
          <w:rFonts w:ascii="Arial" w:eastAsia="Calibri" w:hAnsi="Arial" w:cs="Arial"/>
        </w:rPr>
        <w:t xml:space="preserve"> o servicio adicional está asociad</w:t>
      </w:r>
      <w:r w:rsidR="00B16572">
        <w:rPr>
          <w:rFonts w:ascii="Arial" w:eastAsia="Calibri" w:hAnsi="Arial" w:cs="Arial"/>
        </w:rPr>
        <w:t>o</w:t>
      </w:r>
      <w:r w:rsidR="00FD758D" w:rsidRPr="00F41978">
        <w:rPr>
          <w:rFonts w:ascii="Arial" w:eastAsia="Calibri" w:hAnsi="Arial" w:cs="Arial"/>
        </w:rPr>
        <w:t xml:space="preserve"> a un proyecto del sector transporte</w:t>
      </w:r>
      <w:r w:rsidR="00FD758D">
        <w:rPr>
          <w:rFonts w:ascii="Arial" w:eastAsia="Calibri" w:hAnsi="Arial" w:cs="Arial"/>
        </w:rPr>
        <w:t xml:space="preserve">, </w:t>
      </w:r>
      <w:r w:rsidR="00FD758D" w:rsidRPr="00F41978">
        <w:rPr>
          <w:rFonts w:ascii="Arial" w:eastAsia="Calibri" w:hAnsi="Arial" w:cs="Arial"/>
        </w:rPr>
        <w:t xml:space="preserve">la entidad contratante </w:t>
      </w:r>
      <w:r w:rsidR="00677A02">
        <w:rPr>
          <w:rFonts w:ascii="Arial" w:eastAsia="Calibri" w:hAnsi="Arial" w:cs="Arial"/>
        </w:rPr>
        <w:t>aplicará</w:t>
      </w:r>
      <w:r w:rsidR="00FD758D" w:rsidRPr="00F41978">
        <w:rPr>
          <w:rFonts w:ascii="Arial" w:eastAsia="Calibri" w:hAnsi="Arial" w:cs="Arial"/>
        </w:rPr>
        <w:t xml:space="preserve"> los parámetros </w:t>
      </w:r>
      <w:r w:rsidR="00FD758D" w:rsidRPr="00F41978">
        <w:rPr>
          <w:rFonts w:ascii="Arial" w:hAnsi="Arial" w:cs="Arial"/>
        </w:rPr>
        <w:t xml:space="preserve">y reglas estandarizadas en el documento tipo, teniendo en cuenta además las reglas de experiencia adicional previstas en el artículo 4 de las Resoluciones 240, 256 de 2020 y 193 de 2021.  </w:t>
      </w:r>
    </w:p>
    <w:p w14:paraId="2DF31B47" w14:textId="77777777" w:rsidR="005F0CF8" w:rsidRPr="005F0CF8" w:rsidRDefault="005F0CF8" w:rsidP="00FD758D">
      <w:pPr>
        <w:spacing w:after="0" w:line="276" w:lineRule="auto"/>
        <w:jc w:val="both"/>
        <w:rPr>
          <w:rFonts w:ascii="Arial" w:eastAsia="Times New Roman" w:hAnsi="Arial" w:cs="Arial"/>
          <w:b/>
          <w:bCs/>
          <w:lang w:eastAsia="es-MX"/>
        </w:rPr>
      </w:pPr>
    </w:p>
    <w:p w14:paraId="626A41C4" w14:textId="77777777" w:rsidR="005F0CF8" w:rsidRPr="005F0CF8" w:rsidRDefault="005F0CF8" w:rsidP="00F76E7B">
      <w:pPr>
        <w:spacing w:after="0" w:line="276" w:lineRule="auto"/>
        <w:jc w:val="both"/>
        <w:rPr>
          <w:rFonts w:ascii="Arial" w:eastAsia="Times New Roman" w:hAnsi="Arial" w:cs="Arial"/>
          <w:b/>
          <w:bCs/>
          <w:lang w:eastAsia="es-MX"/>
        </w:rPr>
      </w:pPr>
      <w:r w:rsidRPr="005F0CF8">
        <w:rPr>
          <w:rFonts w:ascii="Arial" w:eastAsia="Times New Roman" w:hAnsi="Arial" w:cs="Arial"/>
          <w:b/>
          <w:bCs/>
          <w:lang w:eastAsia="es-MX"/>
        </w:rPr>
        <w:t xml:space="preserve">Respuesta: </w:t>
      </w:r>
    </w:p>
    <w:p w14:paraId="2169E747" w14:textId="77777777" w:rsidR="005F0CF8" w:rsidRPr="005F0CF8" w:rsidRDefault="005F0CF8" w:rsidP="005F0CF8">
      <w:pPr>
        <w:spacing w:after="0" w:line="276" w:lineRule="auto"/>
        <w:jc w:val="both"/>
        <w:rPr>
          <w:rFonts w:ascii="Arial" w:eastAsia="Times New Roman" w:hAnsi="Arial" w:cs="Arial"/>
          <w:b/>
          <w:bCs/>
          <w:sz w:val="21"/>
          <w:szCs w:val="21"/>
          <w:lang w:eastAsia="es-MX"/>
        </w:rPr>
      </w:pPr>
    </w:p>
    <w:p w14:paraId="1F742962" w14:textId="76068F0E" w:rsidR="00D1179E" w:rsidRPr="0037227A" w:rsidRDefault="000D00C8" w:rsidP="00AB0BA8">
      <w:pPr>
        <w:pStyle w:val="Prrafodelista"/>
        <w:numPr>
          <w:ilvl w:val="0"/>
          <w:numId w:val="4"/>
        </w:numPr>
        <w:spacing w:after="0" w:line="240" w:lineRule="auto"/>
        <w:ind w:right="709"/>
        <w:jc w:val="both"/>
        <w:rPr>
          <w:rFonts w:eastAsia="Calibri"/>
          <w:color w:val="000000"/>
          <w:lang w:eastAsia="es-ES_tradnl"/>
        </w:rPr>
      </w:pPr>
      <w:r w:rsidRPr="0037227A">
        <w:rPr>
          <w:rFonts w:ascii="Arial" w:hAnsi="Arial" w:cs="Arial"/>
          <w:sz w:val="21"/>
          <w:szCs w:val="21"/>
        </w:rPr>
        <w:t xml:space="preserve">¿Es posible incluir experiencia adicional a la ya establecida en las matrices de experiencia de los Pliegos Tipo de consultoría, licitación de obra pública, e interventoría para infraestructura de Transporte? </w:t>
      </w:r>
    </w:p>
    <w:p w14:paraId="1B2D3C9B" w14:textId="77777777" w:rsidR="00E5027A" w:rsidRDefault="00E5027A" w:rsidP="00AB0BA8">
      <w:pPr>
        <w:pStyle w:val="Prrafodelista"/>
        <w:spacing w:before="120" w:after="120" w:line="240" w:lineRule="auto"/>
        <w:ind w:left="1066" w:right="709"/>
        <w:jc w:val="both"/>
        <w:rPr>
          <w:rFonts w:ascii="Arial" w:hAnsi="Arial" w:cs="Arial"/>
          <w:sz w:val="21"/>
          <w:szCs w:val="21"/>
        </w:rPr>
      </w:pPr>
    </w:p>
    <w:p w14:paraId="225A904E" w14:textId="5F3F51AD" w:rsidR="00D1179E" w:rsidRDefault="000D00C8" w:rsidP="002A25EA">
      <w:pPr>
        <w:pStyle w:val="Prrafodelista"/>
        <w:numPr>
          <w:ilvl w:val="0"/>
          <w:numId w:val="4"/>
        </w:numPr>
        <w:spacing w:before="120" w:after="120" w:line="240" w:lineRule="auto"/>
        <w:ind w:left="1066" w:right="709" w:hanging="357"/>
        <w:jc w:val="both"/>
        <w:rPr>
          <w:rFonts w:ascii="Arial" w:hAnsi="Arial" w:cs="Arial"/>
          <w:sz w:val="21"/>
          <w:szCs w:val="21"/>
        </w:rPr>
      </w:pPr>
      <w:r w:rsidRPr="00D1179E">
        <w:rPr>
          <w:rFonts w:ascii="Arial" w:hAnsi="Arial" w:cs="Arial"/>
          <w:sz w:val="21"/>
          <w:szCs w:val="21"/>
        </w:rPr>
        <w:t>¿Teniendo en cuenta los requerimientos específicos frente a la experiencia a acreditar, puede la entidad apartarse de la utilización de pliegos tipo, y hacer uso de sus propios documentos precontractuales?</w:t>
      </w:r>
    </w:p>
    <w:p w14:paraId="7D2FCCAC" w14:textId="77777777" w:rsidR="002A25EA" w:rsidRPr="002A25EA" w:rsidRDefault="002A25EA" w:rsidP="002A25EA">
      <w:pPr>
        <w:pStyle w:val="Prrafodelista"/>
        <w:spacing w:before="120" w:after="120" w:line="240" w:lineRule="auto"/>
        <w:ind w:left="1066" w:right="709"/>
        <w:jc w:val="both"/>
        <w:rPr>
          <w:rFonts w:ascii="Arial" w:eastAsia="Calibri" w:hAnsi="Arial" w:cs="Arial"/>
          <w:sz w:val="21"/>
          <w:szCs w:val="21"/>
          <w:lang w:eastAsia="es-MX"/>
        </w:rPr>
      </w:pPr>
    </w:p>
    <w:p w14:paraId="29CC0239" w14:textId="76718CB4" w:rsidR="00FD31A3" w:rsidRPr="00D1179E" w:rsidRDefault="00FD31A3" w:rsidP="002A25EA">
      <w:pPr>
        <w:pStyle w:val="Prrafodelista"/>
        <w:numPr>
          <w:ilvl w:val="0"/>
          <w:numId w:val="4"/>
        </w:numPr>
        <w:spacing w:before="120" w:after="120" w:line="240" w:lineRule="auto"/>
        <w:ind w:left="1066" w:right="709" w:hanging="357"/>
        <w:jc w:val="both"/>
        <w:rPr>
          <w:rFonts w:ascii="Arial" w:eastAsia="Calibri" w:hAnsi="Arial" w:cs="Arial"/>
          <w:sz w:val="21"/>
          <w:szCs w:val="21"/>
          <w:lang w:eastAsia="es-MX"/>
        </w:rPr>
      </w:pPr>
      <w:r w:rsidRPr="00D1179E">
        <w:rPr>
          <w:rFonts w:ascii="Arial" w:hAnsi="Arial" w:cs="Arial"/>
          <w:sz w:val="21"/>
          <w:szCs w:val="21"/>
        </w:rPr>
        <w:t>¿Puede hacerse uso de los pliegos tipo, para adelantar un solo proceso que involucre consultoría, obra, compraventa, y prestación de servicios relativos a infraestructura de transporte?</w:t>
      </w:r>
    </w:p>
    <w:p w14:paraId="2C43F6B4" w14:textId="77777777" w:rsidR="00F41978" w:rsidRPr="00AB0BA8" w:rsidRDefault="00F41978" w:rsidP="00AB0BA8">
      <w:pPr>
        <w:pStyle w:val="Prrafodelista"/>
        <w:spacing w:after="0" w:line="240" w:lineRule="auto"/>
        <w:ind w:left="1069" w:right="709"/>
        <w:jc w:val="both"/>
        <w:rPr>
          <w:rFonts w:ascii="Arial" w:hAnsi="Arial" w:cs="Arial"/>
        </w:rPr>
      </w:pPr>
    </w:p>
    <w:p w14:paraId="332DF46E" w14:textId="29AE7D75" w:rsidR="00B44B2C" w:rsidRDefault="00062E80" w:rsidP="00062E80">
      <w:pPr>
        <w:spacing w:after="120" w:line="276" w:lineRule="auto"/>
        <w:jc w:val="both"/>
        <w:rPr>
          <w:rFonts w:ascii="Arial" w:eastAsia="Times New Roman" w:hAnsi="Arial" w:cs="Arial"/>
          <w:lang w:eastAsia="es-MX"/>
        </w:rPr>
      </w:pPr>
      <w:r>
        <w:rPr>
          <w:rFonts w:ascii="Arial" w:eastAsia="Times New Roman" w:hAnsi="Arial" w:cs="Arial"/>
          <w:lang w:eastAsia="es-MX"/>
        </w:rPr>
        <w:t>De acuerdo con la interpretación de las normas generales del sistema de compras públicas</w:t>
      </w:r>
      <w:r w:rsidR="00C73539">
        <w:rPr>
          <w:rFonts w:ascii="Arial" w:eastAsia="Times New Roman" w:hAnsi="Arial" w:cs="Arial"/>
          <w:lang w:eastAsia="es-MX"/>
        </w:rPr>
        <w:t xml:space="preserve">, </w:t>
      </w:r>
      <w:r w:rsidR="00342D95" w:rsidRPr="00342D95">
        <w:rPr>
          <w:rFonts w:ascii="Arial" w:eastAsia="Times New Roman" w:hAnsi="Arial" w:cs="Arial"/>
          <w:lang w:eastAsia="es-MX"/>
        </w:rPr>
        <w:t xml:space="preserve">cada una de </w:t>
      </w:r>
      <w:r w:rsidR="000737AA">
        <w:rPr>
          <w:rFonts w:ascii="Arial" w:eastAsia="Times New Roman" w:hAnsi="Arial" w:cs="Arial"/>
          <w:lang w:eastAsia="es-MX"/>
        </w:rPr>
        <w:t xml:space="preserve">las </w:t>
      </w:r>
      <w:r w:rsidR="00342D95" w:rsidRPr="00342D95">
        <w:rPr>
          <w:rFonts w:ascii="Arial" w:eastAsia="Times New Roman" w:hAnsi="Arial" w:cs="Arial"/>
          <w:lang w:eastAsia="es-MX"/>
        </w:rPr>
        <w:t xml:space="preserve">resoluciones </w:t>
      </w:r>
      <w:r w:rsidR="00342D95">
        <w:rPr>
          <w:rFonts w:ascii="Arial" w:eastAsia="Times New Roman" w:hAnsi="Arial" w:cs="Arial"/>
          <w:lang w:eastAsia="es-MX"/>
        </w:rPr>
        <w:t xml:space="preserve">por las cuales se han adoptado los documentos tipo </w:t>
      </w:r>
      <w:r w:rsidR="00342D95" w:rsidRPr="00342D95">
        <w:rPr>
          <w:rFonts w:ascii="Arial" w:eastAsia="Times New Roman" w:hAnsi="Arial" w:cs="Arial"/>
          <w:lang w:eastAsia="es-MX"/>
        </w:rPr>
        <w:t>está</w:t>
      </w:r>
      <w:r w:rsidR="002E3354">
        <w:rPr>
          <w:rFonts w:ascii="Arial" w:eastAsia="Times New Roman" w:hAnsi="Arial" w:cs="Arial"/>
          <w:lang w:eastAsia="es-MX"/>
        </w:rPr>
        <w:t>n</w:t>
      </w:r>
      <w:r w:rsidR="00342D95" w:rsidRPr="00342D95">
        <w:rPr>
          <w:rFonts w:ascii="Arial" w:eastAsia="Times New Roman" w:hAnsi="Arial" w:cs="Arial"/>
          <w:lang w:eastAsia="es-MX"/>
        </w:rPr>
        <w:t xml:space="preserve"> relacionada</w:t>
      </w:r>
      <w:r w:rsidR="002E3354">
        <w:rPr>
          <w:rFonts w:ascii="Arial" w:eastAsia="Times New Roman" w:hAnsi="Arial" w:cs="Arial"/>
          <w:lang w:eastAsia="es-MX"/>
        </w:rPr>
        <w:t>s</w:t>
      </w:r>
      <w:r w:rsidR="00342D95" w:rsidRPr="00342D95">
        <w:rPr>
          <w:rFonts w:ascii="Arial" w:eastAsia="Times New Roman" w:hAnsi="Arial" w:cs="Arial"/>
          <w:lang w:eastAsia="es-MX"/>
        </w:rPr>
        <w:t xml:space="preserve"> con un sector, un objeto contractual y una modalidad de selección específica. 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 para determinar si la modalidad de escogencia y el objeto a contratar son o no subsumibles dentro de lo dispuesto en aquellos. De ser esto así, la entidad estará obligada a adelantar el proceso de contratación aplicando los documentos tipo del caso</w:t>
      </w:r>
      <w:r w:rsidR="002E3354">
        <w:rPr>
          <w:rFonts w:ascii="Arial" w:eastAsia="Times New Roman" w:hAnsi="Arial" w:cs="Arial"/>
          <w:lang w:eastAsia="es-MX"/>
        </w:rPr>
        <w:t>.</w:t>
      </w:r>
    </w:p>
    <w:p w14:paraId="1C2F07AB" w14:textId="1C60D42D" w:rsidR="00544BD5" w:rsidRDefault="00544BD5" w:rsidP="00544BD5">
      <w:pPr>
        <w:spacing w:before="120" w:after="0" w:line="276" w:lineRule="auto"/>
        <w:ind w:firstLine="709"/>
        <w:jc w:val="both"/>
        <w:rPr>
          <w:rFonts w:ascii="Arial" w:eastAsia="Calibri" w:hAnsi="Arial" w:cs="Arial"/>
          <w:color w:val="0D0D0D"/>
          <w:lang w:val="es-MX"/>
        </w:rPr>
      </w:pPr>
      <w:r>
        <w:rPr>
          <w:rFonts w:ascii="Arial" w:eastAsia="Calibri" w:hAnsi="Arial" w:cs="Arial"/>
          <w:color w:val="0D0D0D"/>
          <w:lang w:val="es-MX"/>
        </w:rPr>
        <w:t>U</w:t>
      </w:r>
      <w:r w:rsidRPr="00300E95">
        <w:rPr>
          <w:rFonts w:ascii="Arial" w:eastAsia="Calibri" w:hAnsi="Arial" w:cs="Arial"/>
          <w:color w:val="0D0D0D"/>
          <w:lang w:val="es-MX"/>
        </w:rPr>
        <w:t xml:space="preserve">no de los elementos comunes a los diferentes documentos tipo es la «Matriz 1 – Experiencia». Esta consta de unas celdas en las que se describe la experiencia requerida en relación con el objeto a contratar, definiendo además qué tipo de actividades relacionadas con </w:t>
      </w:r>
      <w:r>
        <w:rPr>
          <w:rFonts w:ascii="Arial" w:eastAsia="Calibri" w:hAnsi="Arial" w:cs="Arial"/>
          <w:color w:val="0D0D0D"/>
          <w:lang w:val="es-MX"/>
        </w:rPr>
        <w:t xml:space="preserve">cada sector </w:t>
      </w:r>
      <w:r w:rsidRPr="00300E95">
        <w:rPr>
          <w:rFonts w:ascii="Arial" w:eastAsia="Calibri" w:hAnsi="Arial" w:cs="Arial"/>
          <w:color w:val="0D0D0D"/>
          <w:lang w:val="es-MX"/>
        </w:rPr>
        <w:t>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w:t>
      </w:r>
      <w:r>
        <w:rPr>
          <w:rFonts w:ascii="Arial" w:eastAsia="Calibri" w:hAnsi="Arial" w:cs="Arial"/>
          <w:color w:val="0D0D0D"/>
          <w:lang w:val="es-MX"/>
        </w:rPr>
        <w:t xml:space="preserve"> adoptados por esta Agencia</w:t>
      </w:r>
      <w:r w:rsidRPr="00300E95">
        <w:rPr>
          <w:rFonts w:ascii="Arial" w:eastAsia="Calibri" w:hAnsi="Arial" w:cs="Arial"/>
          <w:color w:val="0D0D0D"/>
          <w:lang w:val="es-MX"/>
        </w:rPr>
        <w:t>.</w:t>
      </w:r>
    </w:p>
    <w:p w14:paraId="1E8FBEA0" w14:textId="5F3B2923" w:rsidR="00AB341A" w:rsidRDefault="00AB341A" w:rsidP="00AB341A">
      <w:pPr>
        <w:spacing w:before="120" w:after="120" w:line="276" w:lineRule="auto"/>
        <w:ind w:firstLine="709"/>
        <w:jc w:val="both"/>
        <w:rPr>
          <w:rFonts w:ascii="Arial" w:eastAsia="Calibri" w:hAnsi="Arial" w:cs="Arial"/>
          <w:color w:val="0D0D0D"/>
          <w:lang w:val="es-MX"/>
        </w:rPr>
      </w:pPr>
      <w:r w:rsidRPr="00300E95">
        <w:rPr>
          <w:rFonts w:ascii="Arial" w:eastAsia="Calibri" w:hAnsi="Arial" w:cs="Arial"/>
          <w:color w:val="0D0D0D"/>
          <w:lang w:val="es-MX"/>
        </w:rPr>
        <w:t xml:space="preserve">De esta manera, </w:t>
      </w:r>
      <w:r w:rsidRPr="00FA7C56">
        <w:rPr>
          <w:rFonts w:ascii="Arial" w:eastAsia="Calibri" w:hAnsi="Arial" w:cs="Arial"/>
          <w:color w:val="0D0D0D"/>
          <w:lang w:val="es-MX"/>
        </w:rPr>
        <w:t xml:space="preserve">para saber a qué actividades se deben aplicar los documentos tipo expedidos por esta Agencia, </w:t>
      </w:r>
      <w:r w:rsidRPr="00300E95">
        <w:rPr>
          <w:rFonts w:ascii="Arial" w:eastAsia="Calibri" w:hAnsi="Arial" w:cs="Arial"/>
          <w:color w:val="0D0D0D"/>
          <w:lang w:val="es-MX"/>
        </w:rPr>
        <w:t xml:space="preserve">la entidad debe verificar los que se hayan expedido para la modalidad de selección en la que debe celebrarse el proceso, subsumiendo el objeto a contratar en los tipos de proyectos de infraestructura a contratarse. </w:t>
      </w:r>
      <w:r>
        <w:rPr>
          <w:rFonts w:ascii="Arial" w:eastAsia="Calibri" w:hAnsi="Arial" w:cs="Arial"/>
          <w:color w:val="0D0D0D"/>
          <w:lang w:val="es-MX"/>
        </w:rPr>
        <w:t>Por tanto</w:t>
      </w:r>
      <w:r w:rsidRPr="00300E95">
        <w:rPr>
          <w:rFonts w:ascii="Arial" w:eastAsia="Calibri" w:hAnsi="Arial" w:cs="Arial"/>
          <w:color w:val="0D0D0D"/>
          <w:lang w:val="es-MX"/>
        </w:rPr>
        <w:t>, si el objeto contractual a ejecutar se encuadra materialmente dentro de alguno de los tipos</w:t>
      </w:r>
      <w:r w:rsidRPr="00FA7C56">
        <w:rPr>
          <w:rFonts w:ascii="Arial" w:eastAsia="Calibri" w:hAnsi="Arial" w:cs="Arial"/>
          <w:color w:val="0D0D0D"/>
          <w:lang w:val="es-MX"/>
        </w:rPr>
        <w:t xml:space="preserve"> </w:t>
      </w:r>
      <w:r w:rsidRPr="00300E95">
        <w:rPr>
          <w:rFonts w:ascii="Arial" w:eastAsia="Calibri" w:hAnsi="Arial" w:cs="Arial"/>
          <w:color w:val="0D0D0D"/>
          <w:lang w:val="es-MX"/>
        </w:rPr>
        <w:t xml:space="preserve">actividades concretas señaladas en cada una de las </w:t>
      </w:r>
      <w:r>
        <w:rPr>
          <w:rFonts w:ascii="Arial" w:eastAsia="Calibri" w:hAnsi="Arial" w:cs="Arial"/>
          <w:color w:val="0D0D0D"/>
          <w:lang w:val="es-MX"/>
        </w:rPr>
        <w:t>m</w:t>
      </w:r>
      <w:r w:rsidRPr="00300E95">
        <w:rPr>
          <w:rFonts w:ascii="Arial" w:eastAsia="Calibri" w:hAnsi="Arial" w:cs="Arial"/>
          <w:color w:val="0D0D0D"/>
          <w:lang w:val="es-MX"/>
        </w:rPr>
        <w:t>atrices de experiencia, se tendrán que aplicar los documentos tipo, mientras que en el caso contrario no será forzosa su aplicación</w:t>
      </w:r>
      <w:r>
        <w:rPr>
          <w:rFonts w:ascii="Arial" w:eastAsia="Calibri" w:hAnsi="Arial" w:cs="Arial"/>
          <w:color w:val="0D0D0D"/>
          <w:lang w:val="es-MX"/>
        </w:rPr>
        <w:t>.</w:t>
      </w:r>
    </w:p>
    <w:p w14:paraId="1E483B77" w14:textId="3F025EE8" w:rsidR="007E5185" w:rsidRDefault="007E5185" w:rsidP="007E5185">
      <w:pPr>
        <w:spacing w:after="120" w:line="276" w:lineRule="auto"/>
        <w:ind w:firstLine="708"/>
        <w:jc w:val="both"/>
        <w:rPr>
          <w:rFonts w:ascii="Arial" w:eastAsia="Calibri" w:hAnsi="Arial" w:cs="Arial"/>
          <w:color w:val="000000"/>
          <w:lang w:val="es-ES_tradnl" w:eastAsia="es-ES"/>
        </w:rPr>
      </w:pPr>
      <w:r w:rsidRPr="007C6779">
        <w:rPr>
          <w:rFonts w:ascii="Arial" w:eastAsia="Times New Roman" w:hAnsi="Arial" w:cs="Arial"/>
          <w:color w:val="000000"/>
          <w:lang w:val="es-ES_tradnl" w:eastAsia="es-ES"/>
        </w:rPr>
        <w:lastRenderedPageBreak/>
        <w:t xml:space="preserve">De otro lado, en la aplicación de los documentos tipo, la posibilidad de exigir experiencia adicional a la estandarizada </w:t>
      </w:r>
      <w:r>
        <w:rPr>
          <w:rFonts w:ascii="Arial" w:eastAsia="Times New Roman" w:hAnsi="Arial" w:cs="Arial"/>
          <w:color w:val="000000"/>
          <w:lang w:val="es-ES_tradnl" w:eastAsia="es-ES"/>
        </w:rPr>
        <w:t>en</w:t>
      </w:r>
      <w:r w:rsidRPr="007C6779">
        <w:rPr>
          <w:rFonts w:ascii="Arial" w:eastAsia="Times New Roman" w:hAnsi="Arial" w:cs="Arial"/>
          <w:color w:val="000000"/>
          <w:lang w:val="es-ES_tradnl" w:eastAsia="es-ES"/>
        </w:rPr>
        <w:t xml:space="preserve"> la Matriz 1 se</w:t>
      </w:r>
      <w:r w:rsidRPr="009F2707">
        <w:rPr>
          <w:rFonts w:ascii="Arial" w:eastAsia="Times New Roman" w:hAnsi="Arial" w:cs="Arial"/>
          <w:color w:val="000000"/>
          <w:lang w:val="es-ES_tradnl" w:eastAsia="es-ES"/>
        </w:rPr>
        <w:t xml:space="preserve"> </w:t>
      </w:r>
      <w:r>
        <w:rPr>
          <w:rFonts w:ascii="Arial" w:eastAsia="Times New Roman" w:hAnsi="Arial" w:cs="Arial"/>
          <w:color w:val="000000"/>
          <w:lang w:val="es-ES_tradnl" w:eastAsia="es-ES"/>
        </w:rPr>
        <w:t>refiere</w:t>
      </w:r>
      <w:r w:rsidRPr="009F2707">
        <w:rPr>
          <w:rFonts w:ascii="Arial" w:eastAsia="Times New Roman" w:hAnsi="Arial" w:cs="Arial"/>
          <w:color w:val="000000"/>
          <w:lang w:val="es-ES_tradnl" w:eastAsia="es-ES"/>
        </w:rPr>
        <w:t xml:space="preserve"> a </w:t>
      </w:r>
      <w:r w:rsidRPr="007C6779">
        <w:rPr>
          <w:rFonts w:ascii="Arial" w:eastAsia="Times New Roman" w:hAnsi="Arial" w:cs="Arial"/>
          <w:color w:val="000000"/>
          <w:lang w:val="es-ES_tradnl" w:eastAsia="es-ES"/>
        </w:rPr>
        <w:t xml:space="preserve">bienes y servicios adicionales a la obra pública, </w:t>
      </w:r>
      <w:r w:rsidRPr="009F2707">
        <w:rPr>
          <w:rFonts w:ascii="Arial" w:eastAsia="Times New Roman" w:hAnsi="Arial" w:cs="Arial"/>
          <w:color w:val="000000"/>
          <w:lang w:val="es-ES_tradnl" w:eastAsia="es-ES"/>
        </w:rPr>
        <w:t>la interventoría</w:t>
      </w:r>
      <w:r>
        <w:rPr>
          <w:rFonts w:ascii="Arial" w:eastAsia="Times New Roman" w:hAnsi="Arial" w:cs="Arial"/>
          <w:color w:val="000000"/>
          <w:lang w:val="es-ES_tradnl" w:eastAsia="es-ES"/>
        </w:rPr>
        <w:t xml:space="preserve"> </w:t>
      </w:r>
      <w:r w:rsidRPr="007C6779">
        <w:rPr>
          <w:rFonts w:ascii="Arial" w:eastAsia="Times New Roman" w:hAnsi="Arial" w:cs="Arial"/>
          <w:color w:val="000000"/>
          <w:lang w:val="es-ES_tradnl" w:eastAsia="es-ES"/>
        </w:rPr>
        <w:t xml:space="preserve">o a la consultoría </w:t>
      </w:r>
      <w:r w:rsidRPr="009F2707">
        <w:rPr>
          <w:rFonts w:ascii="Arial" w:eastAsia="Times New Roman" w:hAnsi="Arial" w:cs="Arial"/>
          <w:color w:val="000000"/>
          <w:lang w:val="es-ES_tradnl" w:eastAsia="es-ES"/>
        </w:rPr>
        <w:t>de</w:t>
      </w:r>
      <w:r>
        <w:rPr>
          <w:rFonts w:ascii="Arial" w:eastAsia="Times New Roman" w:hAnsi="Arial" w:cs="Arial"/>
          <w:color w:val="000000"/>
          <w:lang w:val="es-ES_tradnl" w:eastAsia="es-ES"/>
        </w:rPr>
        <w:t xml:space="preserve"> estudios de ingeniería de</w:t>
      </w:r>
      <w:r w:rsidRPr="009F2707">
        <w:rPr>
          <w:rFonts w:ascii="Arial" w:eastAsia="Times New Roman" w:hAnsi="Arial" w:cs="Arial"/>
          <w:color w:val="000000"/>
          <w:lang w:val="es-ES_tradnl" w:eastAsia="es-ES"/>
        </w:rPr>
        <w:t xml:space="preserve"> infraestructura de transporte. Esta posibilidad surge cuando en el marco de la contratación de una de las actividades enlistadas en la Matriz 1, también se requieren contratar bienes y servicios adicionales cuya contratación, en principio, se encuentra excluida de la aplicación de los documentos tipo de infraestructura de transporte y respecto a los cuales la entidad requiere</w:t>
      </w:r>
      <w:r>
        <w:rPr>
          <w:rFonts w:ascii="Arial" w:eastAsia="Times New Roman" w:hAnsi="Arial" w:cs="Arial"/>
          <w:color w:val="000000"/>
          <w:lang w:val="es-ES_tradnl" w:eastAsia="es-ES"/>
        </w:rPr>
        <w:t xml:space="preserve"> que los proponentes</w:t>
      </w:r>
      <w:r w:rsidRPr="009F2707">
        <w:rPr>
          <w:rFonts w:ascii="Arial" w:eastAsia="Times New Roman" w:hAnsi="Arial" w:cs="Arial"/>
          <w:color w:val="000000"/>
          <w:lang w:val="es-ES_tradnl" w:eastAsia="es-ES"/>
        </w:rPr>
        <w:t xml:space="preserve"> acredit</w:t>
      </w:r>
      <w:r>
        <w:rPr>
          <w:rFonts w:ascii="Arial" w:eastAsia="Times New Roman" w:hAnsi="Arial" w:cs="Arial"/>
          <w:color w:val="000000"/>
          <w:lang w:val="es-ES_tradnl" w:eastAsia="es-ES"/>
        </w:rPr>
        <w:t>en</w:t>
      </w:r>
      <w:r w:rsidRPr="009F2707">
        <w:rPr>
          <w:rFonts w:ascii="Arial" w:eastAsia="Times New Roman" w:hAnsi="Arial" w:cs="Arial"/>
          <w:color w:val="000000"/>
          <w:lang w:val="es-ES_tradnl" w:eastAsia="es-ES"/>
        </w:rPr>
        <w:t xml:space="preserve"> cierta idoneidad. Ante estos supuestos, debe aplicarse </w:t>
      </w:r>
      <w:r w:rsidRPr="009F2707">
        <w:rPr>
          <w:rFonts w:ascii="Arial" w:eastAsia="Calibri" w:hAnsi="Arial" w:cs="Arial"/>
          <w:color w:val="000000"/>
          <w:lang w:val="es-ES_tradnl" w:eastAsia="es-ES"/>
        </w:rPr>
        <w:t xml:space="preserve">lo dispuesto en </w:t>
      </w:r>
      <w:r>
        <w:rPr>
          <w:rFonts w:ascii="Arial" w:eastAsia="Calibri" w:hAnsi="Arial" w:cs="Arial"/>
          <w:color w:val="000000"/>
          <w:lang w:val="es-ES_tradnl" w:eastAsia="es-ES"/>
        </w:rPr>
        <w:t xml:space="preserve">el artículo </w:t>
      </w:r>
      <w:r w:rsidRPr="009F2707">
        <w:rPr>
          <w:rFonts w:ascii="Arial" w:eastAsia="Calibri" w:hAnsi="Arial" w:cs="Arial"/>
          <w:color w:val="000000"/>
          <w:lang w:val="es-ES_tradnl" w:eastAsia="es-ES"/>
        </w:rPr>
        <w:t>4 de la</w:t>
      </w:r>
      <w:r>
        <w:rPr>
          <w:rFonts w:ascii="Arial" w:eastAsia="Calibri" w:hAnsi="Arial" w:cs="Arial"/>
          <w:color w:val="000000"/>
          <w:lang w:val="es-ES_tradnl" w:eastAsia="es-ES"/>
        </w:rPr>
        <w:t>s</w:t>
      </w:r>
      <w:r w:rsidRPr="007C6779">
        <w:rPr>
          <w:rFonts w:ascii="Arial" w:eastAsia="Calibri" w:hAnsi="Arial" w:cs="Arial"/>
          <w:color w:val="000000"/>
          <w:lang w:val="es-ES_tradnl" w:eastAsia="es-ES"/>
        </w:rPr>
        <w:t xml:space="preserve"> Resoluci</w:t>
      </w:r>
      <w:r>
        <w:rPr>
          <w:rFonts w:ascii="Arial" w:eastAsia="Calibri" w:hAnsi="Arial" w:cs="Arial"/>
          <w:color w:val="000000"/>
          <w:lang w:val="es-ES_tradnl" w:eastAsia="es-ES"/>
        </w:rPr>
        <w:t>ones</w:t>
      </w:r>
      <w:r w:rsidRPr="009F2707">
        <w:rPr>
          <w:rFonts w:ascii="Arial" w:eastAsia="Calibri" w:hAnsi="Arial" w:cs="Arial"/>
          <w:color w:val="000000"/>
          <w:lang w:val="es-ES_tradnl" w:eastAsia="es-ES"/>
        </w:rPr>
        <w:t xml:space="preserve"> 240</w:t>
      </w:r>
      <w:r>
        <w:rPr>
          <w:rFonts w:ascii="Arial" w:eastAsia="Calibri" w:hAnsi="Arial" w:cs="Arial"/>
          <w:color w:val="000000"/>
          <w:lang w:val="es-ES_tradnl" w:eastAsia="es-ES"/>
        </w:rPr>
        <w:t xml:space="preserve">, 256 de </w:t>
      </w:r>
      <w:r w:rsidRPr="009F2707">
        <w:rPr>
          <w:rFonts w:ascii="Arial" w:eastAsia="Calibri" w:hAnsi="Arial" w:cs="Arial"/>
          <w:color w:val="000000"/>
          <w:lang w:val="es-ES_tradnl" w:eastAsia="es-ES"/>
        </w:rPr>
        <w:t>2020 y 193 de 2021</w:t>
      </w:r>
      <w:r w:rsidRPr="007C6779">
        <w:rPr>
          <w:rFonts w:ascii="Arial" w:eastAsia="Calibri" w:hAnsi="Arial" w:cs="Arial"/>
          <w:color w:val="000000"/>
          <w:lang w:val="es-ES_tradnl" w:eastAsia="es-ES"/>
        </w:rPr>
        <w:t>. Esta norma prevé que en estos eventos la entidad puede incluir experiencia adicional para evaluar la idoneidad respecto de los bienes</w:t>
      </w:r>
      <w:r w:rsidRPr="005F0CF8">
        <w:rPr>
          <w:rFonts w:ascii="Arial" w:eastAsia="Calibri" w:hAnsi="Arial" w:cs="Arial"/>
          <w:color w:val="000000"/>
          <w:lang w:val="es-ES_tradnl" w:eastAsia="es-ES"/>
        </w:rPr>
        <w:t xml:space="preserve"> o servicios adicionales a la obra </w:t>
      </w:r>
      <w:r w:rsidRPr="007C6779">
        <w:rPr>
          <w:rFonts w:ascii="Arial" w:eastAsia="Calibri" w:hAnsi="Arial" w:cs="Arial"/>
          <w:color w:val="000000"/>
          <w:lang w:val="es-ES_tradnl" w:eastAsia="es-ES"/>
        </w:rPr>
        <w:t>pública,</w:t>
      </w:r>
      <w:r w:rsidRPr="00557D5C">
        <w:rPr>
          <w:rFonts w:ascii="Arial" w:eastAsia="Times New Roman" w:hAnsi="Arial" w:cs="Arial"/>
          <w:color w:val="000000"/>
          <w:lang w:val="es-ES_tradnl" w:eastAsia="es-ES"/>
        </w:rPr>
        <w:t xml:space="preserve"> la interventoría o a la consultoría de </w:t>
      </w:r>
      <w:r>
        <w:rPr>
          <w:rFonts w:ascii="Arial" w:eastAsia="Times New Roman" w:hAnsi="Arial" w:cs="Arial"/>
          <w:color w:val="000000"/>
          <w:lang w:val="es-ES_tradnl" w:eastAsia="es-ES"/>
        </w:rPr>
        <w:t xml:space="preserve">estudios de ingeniería de </w:t>
      </w:r>
      <w:r w:rsidRPr="00557D5C">
        <w:rPr>
          <w:rFonts w:ascii="Arial" w:eastAsia="Times New Roman" w:hAnsi="Arial" w:cs="Arial"/>
          <w:color w:val="000000"/>
          <w:lang w:val="es-ES_tradnl" w:eastAsia="es-ES"/>
        </w:rPr>
        <w:t>infraestructura de transporte</w:t>
      </w:r>
      <w:r>
        <w:rPr>
          <w:rFonts w:ascii="Arial" w:eastAsia="Calibri" w:hAnsi="Arial" w:cs="Arial"/>
          <w:color w:val="000000"/>
          <w:lang w:val="es-ES_tradnl" w:eastAsia="es-ES"/>
        </w:rPr>
        <w:t xml:space="preserve">, </w:t>
      </w:r>
      <w:r w:rsidRPr="004761BD">
        <w:rPr>
          <w:rFonts w:ascii="Arial" w:eastAsia="Calibri" w:hAnsi="Arial" w:cs="Arial"/>
          <w:color w:val="000000"/>
          <w:lang w:val="es-ES_tradnl" w:eastAsia="es-ES"/>
        </w:rPr>
        <w:t>según corresponda.</w:t>
      </w:r>
      <w:r>
        <w:rPr>
          <w:rFonts w:ascii="Arial" w:eastAsia="Calibri" w:hAnsi="Arial" w:cs="Arial"/>
          <w:color w:val="000000"/>
          <w:lang w:val="es-ES_tradnl" w:eastAsia="es-ES"/>
        </w:rPr>
        <w:t xml:space="preserve"> </w:t>
      </w:r>
    </w:p>
    <w:p w14:paraId="0E4BB418" w14:textId="373C80DA" w:rsidR="00C121D2" w:rsidRDefault="00C121D2" w:rsidP="004A1740">
      <w:pPr>
        <w:widowControl w:val="0"/>
        <w:autoSpaceDE w:val="0"/>
        <w:autoSpaceDN w:val="0"/>
        <w:spacing w:after="120" w:line="276" w:lineRule="auto"/>
        <w:ind w:firstLine="709"/>
        <w:jc w:val="both"/>
        <w:rPr>
          <w:rFonts w:ascii="Arial" w:eastAsia="Calibri" w:hAnsi="Arial" w:cs="Arial"/>
          <w:color w:val="000000"/>
          <w:lang w:val="es-ES_tradnl" w:eastAsia="es-ES"/>
        </w:rPr>
      </w:pPr>
      <w:r w:rsidRPr="00633B24">
        <w:rPr>
          <w:rFonts w:ascii="Arial" w:eastAsia="Arial" w:hAnsi="Arial" w:cs="Arial"/>
          <w:lang w:val="es-ES"/>
        </w:rPr>
        <w:t>De</w:t>
      </w:r>
      <w:r w:rsidRPr="00633B24">
        <w:rPr>
          <w:rFonts w:ascii="Arial" w:eastAsia="Arial" w:hAnsi="Arial" w:cs="Arial"/>
          <w:spacing w:val="-12"/>
          <w:lang w:val="es-ES"/>
        </w:rPr>
        <w:t xml:space="preserve"> </w:t>
      </w:r>
      <w:r w:rsidRPr="00633B24">
        <w:rPr>
          <w:rFonts w:ascii="Arial" w:eastAsia="Arial" w:hAnsi="Arial" w:cs="Arial"/>
          <w:lang w:val="es-ES"/>
        </w:rPr>
        <w:t>esta</w:t>
      </w:r>
      <w:r w:rsidRPr="00633B24">
        <w:rPr>
          <w:rFonts w:ascii="Arial" w:eastAsia="Arial" w:hAnsi="Arial" w:cs="Arial"/>
          <w:spacing w:val="-12"/>
          <w:lang w:val="es-ES"/>
        </w:rPr>
        <w:t xml:space="preserve"> </w:t>
      </w:r>
      <w:r w:rsidRPr="00633B24">
        <w:rPr>
          <w:rFonts w:ascii="Arial" w:eastAsia="Arial" w:hAnsi="Arial" w:cs="Arial"/>
          <w:lang w:val="es-ES"/>
        </w:rPr>
        <w:t>manera,</w:t>
      </w:r>
      <w:r w:rsidRPr="00633B24">
        <w:rPr>
          <w:rFonts w:ascii="Arial" w:eastAsia="Arial" w:hAnsi="Arial" w:cs="Arial"/>
          <w:spacing w:val="-11"/>
          <w:lang w:val="es-ES"/>
        </w:rPr>
        <w:t xml:space="preserve"> </w:t>
      </w:r>
      <w:r w:rsidRPr="00633B24">
        <w:rPr>
          <w:rFonts w:ascii="Arial" w:eastAsia="Arial" w:hAnsi="Arial" w:cs="Arial"/>
          <w:lang w:val="es-ES"/>
        </w:rPr>
        <w:t>la</w:t>
      </w:r>
      <w:r w:rsidRPr="00633B24">
        <w:rPr>
          <w:rFonts w:ascii="Arial" w:eastAsia="Arial" w:hAnsi="Arial" w:cs="Arial"/>
          <w:spacing w:val="-12"/>
          <w:lang w:val="es-ES"/>
        </w:rPr>
        <w:t xml:space="preserve"> </w:t>
      </w:r>
      <w:r w:rsidRPr="00633B24">
        <w:rPr>
          <w:rFonts w:ascii="Arial" w:eastAsia="Arial" w:hAnsi="Arial" w:cs="Arial"/>
          <w:lang w:val="es-ES"/>
        </w:rPr>
        <w:t>regla</w:t>
      </w:r>
      <w:r w:rsidRPr="00633B24">
        <w:rPr>
          <w:rFonts w:ascii="Arial" w:eastAsia="Arial" w:hAnsi="Arial" w:cs="Arial"/>
          <w:spacing w:val="-12"/>
          <w:lang w:val="es-ES"/>
        </w:rPr>
        <w:t xml:space="preserve"> </w:t>
      </w:r>
      <w:r w:rsidRPr="00633B24">
        <w:rPr>
          <w:rFonts w:ascii="Arial" w:eastAsia="Arial" w:hAnsi="Arial" w:cs="Arial"/>
          <w:lang w:val="es-ES"/>
        </w:rPr>
        <w:t>general</w:t>
      </w:r>
      <w:r w:rsidRPr="00633B24">
        <w:rPr>
          <w:rFonts w:ascii="Arial" w:eastAsia="Arial" w:hAnsi="Arial" w:cs="Arial"/>
          <w:spacing w:val="-11"/>
          <w:lang w:val="es-ES"/>
        </w:rPr>
        <w:t xml:space="preserve"> </w:t>
      </w:r>
      <w:r w:rsidRPr="00633B24">
        <w:rPr>
          <w:rFonts w:ascii="Arial" w:eastAsia="Arial" w:hAnsi="Arial" w:cs="Arial"/>
          <w:lang w:val="es-ES"/>
        </w:rPr>
        <w:t>frente</w:t>
      </w:r>
      <w:r w:rsidRPr="00633B24">
        <w:rPr>
          <w:rFonts w:ascii="Arial" w:eastAsia="Arial" w:hAnsi="Arial" w:cs="Arial"/>
          <w:spacing w:val="-11"/>
          <w:lang w:val="es-ES"/>
        </w:rPr>
        <w:t xml:space="preserve"> </w:t>
      </w:r>
      <w:r w:rsidRPr="00633B24">
        <w:rPr>
          <w:rFonts w:ascii="Arial" w:eastAsia="Arial" w:hAnsi="Arial" w:cs="Arial"/>
          <w:lang w:val="es-ES"/>
        </w:rPr>
        <w:t>a</w:t>
      </w:r>
      <w:r w:rsidRPr="00633B24">
        <w:rPr>
          <w:rFonts w:ascii="Arial" w:eastAsia="Arial" w:hAnsi="Arial" w:cs="Arial"/>
          <w:spacing w:val="-12"/>
          <w:lang w:val="es-ES"/>
        </w:rPr>
        <w:t xml:space="preserve"> </w:t>
      </w:r>
      <w:r w:rsidRPr="00633B24">
        <w:rPr>
          <w:rFonts w:ascii="Arial" w:eastAsia="Arial" w:hAnsi="Arial" w:cs="Arial"/>
          <w:lang w:val="es-ES"/>
        </w:rPr>
        <w:t>la</w:t>
      </w:r>
      <w:r w:rsidRPr="00633B24">
        <w:rPr>
          <w:rFonts w:ascii="Arial" w:eastAsia="Arial" w:hAnsi="Arial" w:cs="Arial"/>
          <w:spacing w:val="-12"/>
          <w:lang w:val="es-ES"/>
        </w:rPr>
        <w:t xml:space="preserve"> </w:t>
      </w:r>
      <w:r w:rsidRPr="00633B24">
        <w:rPr>
          <w:rFonts w:ascii="Arial" w:eastAsia="Arial" w:hAnsi="Arial" w:cs="Arial"/>
          <w:lang w:val="es-ES"/>
        </w:rPr>
        <w:t>aplicación</w:t>
      </w:r>
      <w:r w:rsidRPr="00633B24">
        <w:rPr>
          <w:rFonts w:ascii="Arial" w:eastAsia="Arial" w:hAnsi="Arial" w:cs="Arial"/>
          <w:spacing w:val="-11"/>
          <w:lang w:val="es-ES"/>
        </w:rPr>
        <w:t xml:space="preserve"> </w:t>
      </w:r>
      <w:r w:rsidRPr="00633B24">
        <w:rPr>
          <w:rFonts w:ascii="Arial" w:eastAsia="Arial" w:hAnsi="Arial" w:cs="Arial"/>
          <w:lang w:val="es-ES"/>
        </w:rPr>
        <w:t>del</w:t>
      </w:r>
      <w:r w:rsidRPr="00633B24">
        <w:rPr>
          <w:rFonts w:ascii="Arial" w:eastAsia="Arial" w:hAnsi="Arial" w:cs="Arial"/>
          <w:spacing w:val="-12"/>
          <w:lang w:val="es-ES"/>
        </w:rPr>
        <w:t xml:space="preserve"> </w:t>
      </w:r>
      <w:r w:rsidRPr="00633B24">
        <w:rPr>
          <w:rFonts w:ascii="Arial" w:eastAsia="Arial" w:hAnsi="Arial" w:cs="Arial"/>
          <w:lang w:val="es-ES"/>
        </w:rPr>
        <w:t>documento</w:t>
      </w:r>
      <w:r w:rsidRPr="00633B24">
        <w:rPr>
          <w:rFonts w:ascii="Arial" w:eastAsia="Arial" w:hAnsi="Arial" w:cs="Arial"/>
          <w:spacing w:val="-12"/>
          <w:lang w:val="es-ES"/>
        </w:rPr>
        <w:t xml:space="preserve"> </w:t>
      </w:r>
      <w:r w:rsidRPr="00633B24">
        <w:rPr>
          <w:rFonts w:ascii="Arial" w:eastAsia="Arial" w:hAnsi="Arial" w:cs="Arial"/>
          <w:lang w:val="es-ES"/>
        </w:rPr>
        <w:t>base</w:t>
      </w:r>
      <w:r w:rsidRPr="00633B24">
        <w:rPr>
          <w:rFonts w:ascii="Arial" w:eastAsia="Arial" w:hAnsi="Arial" w:cs="Arial"/>
          <w:spacing w:val="-11"/>
          <w:lang w:val="es-ES"/>
        </w:rPr>
        <w:t xml:space="preserve"> </w:t>
      </w:r>
      <w:r w:rsidRPr="00633B24">
        <w:rPr>
          <w:rFonts w:ascii="Arial" w:eastAsia="Arial" w:hAnsi="Arial" w:cs="Arial"/>
          <w:lang w:val="es-ES"/>
        </w:rPr>
        <w:t>es</w:t>
      </w:r>
      <w:r w:rsidRPr="00633B24">
        <w:rPr>
          <w:rFonts w:ascii="Arial" w:eastAsia="Arial" w:hAnsi="Arial" w:cs="Arial"/>
          <w:spacing w:val="-12"/>
          <w:lang w:val="es-ES"/>
        </w:rPr>
        <w:t xml:space="preserve"> </w:t>
      </w:r>
      <w:r w:rsidRPr="00633B24">
        <w:rPr>
          <w:rFonts w:ascii="Arial" w:eastAsia="Arial" w:hAnsi="Arial" w:cs="Arial"/>
          <w:lang w:val="es-ES"/>
        </w:rPr>
        <w:t xml:space="preserve">su inalterabilidad. Por lo tanto, no se podrán incluir o modificar dentro de los documentos del proceso las condiciones habilitantes, los factores técnicos y económicos de escogencia y los sistemas </w:t>
      </w:r>
      <w:r w:rsidRPr="00557D5C">
        <w:rPr>
          <w:rFonts w:ascii="Arial" w:eastAsia="Calibri" w:hAnsi="Arial" w:cs="Arial"/>
          <w:color w:val="000000"/>
          <w:lang w:val="es-ES_tradnl" w:eastAsia="es-ES"/>
        </w:rPr>
        <w:t xml:space="preserve">de ponderación señalados en los documentos tipo, salvo lo previsto en el artículo 4 </w:t>
      </w:r>
      <w:r w:rsidRPr="004D5716">
        <w:rPr>
          <w:rFonts w:ascii="Arial" w:eastAsia="Calibri" w:hAnsi="Arial" w:cs="Arial"/>
          <w:color w:val="000000"/>
          <w:lang w:val="es-ES_tradnl" w:eastAsia="es-ES"/>
        </w:rPr>
        <w:t>de la</w:t>
      </w:r>
      <w:r>
        <w:rPr>
          <w:rFonts w:ascii="Arial" w:eastAsia="Calibri" w:hAnsi="Arial" w:cs="Arial"/>
          <w:color w:val="000000"/>
          <w:lang w:val="es-ES_tradnl" w:eastAsia="es-ES"/>
        </w:rPr>
        <w:t>s</w:t>
      </w:r>
      <w:r w:rsidRPr="007C6779">
        <w:rPr>
          <w:rFonts w:ascii="Arial" w:eastAsia="Calibri" w:hAnsi="Arial" w:cs="Arial"/>
          <w:color w:val="000000"/>
          <w:lang w:val="es-ES_tradnl" w:eastAsia="es-ES"/>
        </w:rPr>
        <w:t xml:space="preserve"> Resoluci</w:t>
      </w:r>
      <w:r>
        <w:rPr>
          <w:rFonts w:ascii="Arial" w:eastAsia="Calibri" w:hAnsi="Arial" w:cs="Arial"/>
          <w:color w:val="000000"/>
          <w:lang w:val="es-ES_tradnl" w:eastAsia="es-ES"/>
        </w:rPr>
        <w:t>ones</w:t>
      </w:r>
      <w:r w:rsidRPr="004D5716">
        <w:rPr>
          <w:rFonts w:ascii="Arial" w:eastAsia="Calibri" w:hAnsi="Arial" w:cs="Arial"/>
          <w:color w:val="000000"/>
          <w:lang w:val="es-ES_tradnl" w:eastAsia="es-ES"/>
        </w:rPr>
        <w:t xml:space="preserve"> 240</w:t>
      </w:r>
      <w:r>
        <w:rPr>
          <w:rFonts w:ascii="Arial" w:eastAsia="Calibri" w:hAnsi="Arial" w:cs="Arial"/>
          <w:color w:val="000000"/>
          <w:lang w:val="es-ES_tradnl" w:eastAsia="es-ES"/>
        </w:rPr>
        <w:t xml:space="preserve">, 256 de </w:t>
      </w:r>
      <w:r w:rsidRPr="004D5716">
        <w:rPr>
          <w:rFonts w:ascii="Arial" w:eastAsia="Calibri" w:hAnsi="Arial" w:cs="Arial"/>
          <w:color w:val="000000"/>
          <w:lang w:val="es-ES_tradnl" w:eastAsia="es-ES"/>
        </w:rPr>
        <w:t>2020 y 193 de 2021</w:t>
      </w:r>
      <w:r>
        <w:rPr>
          <w:rFonts w:ascii="Arial" w:eastAsia="Calibri" w:hAnsi="Arial" w:cs="Arial"/>
          <w:color w:val="000000"/>
          <w:lang w:val="es-ES_tradnl" w:eastAsia="es-ES"/>
        </w:rPr>
        <w:t xml:space="preserve">. </w:t>
      </w:r>
      <w:r w:rsidRPr="00557D5C">
        <w:rPr>
          <w:rFonts w:ascii="Arial" w:eastAsia="Calibri" w:hAnsi="Arial" w:cs="Arial"/>
          <w:color w:val="000000"/>
          <w:lang w:val="es-ES_tradnl" w:eastAsia="es-ES"/>
        </w:rPr>
        <w:t xml:space="preserve">Por tanto, si el objeto contractual incluye bienes o servicios ajenos a la obra pública, a la </w:t>
      </w:r>
      <w:r w:rsidRPr="00B56474">
        <w:rPr>
          <w:rFonts w:ascii="Arial" w:eastAsia="Calibri" w:hAnsi="Arial" w:cs="Arial"/>
          <w:color w:val="000000"/>
          <w:lang w:val="es-ES_tradnl" w:eastAsia="es-ES"/>
        </w:rPr>
        <w:t>interventoría</w:t>
      </w:r>
      <w:r w:rsidRPr="00557D5C">
        <w:rPr>
          <w:rFonts w:ascii="Arial" w:eastAsia="Calibri" w:hAnsi="Arial" w:cs="Arial"/>
          <w:color w:val="000000"/>
          <w:lang w:val="es-ES_tradnl" w:eastAsia="es-ES"/>
        </w:rPr>
        <w:t xml:space="preserve"> de la obra pública o a la consultoría de estudios de ingeniería de infraestructura de transporte, de allí solo se deriva que podrá incluirse la experiencia adicional que se considere conveniente, atendiendo a las reglas </w:t>
      </w:r>
      <w:r>
        <w:rPr>
          <w:rFonts w:ascii="Arial" w:eastAsia="Calibri" w:hAnsi="Arial" w:cs="Arial"/>
          <w:color w:val="000000"/>
          <w:lang w:val="es-ES_tradnl" w:eastAsia="es-ES"/>
        </w:rPr>
        <w:t>cada uno de los actos administrativos citados</w:t>
      </w:r>
      <w:r w:rsidRPr="00557D5C">
        <w:rPr>
          <w:rFonts w:ascii="Arial" w:eastAsia="Calibri" w:hAnsi="Arial" w:cs="Arial"/>
          <w:color w:val="000000"/>
          <w:lang w:val="es-ES_tradnl" w:eastAsia="es-ES"/>
        </w:rPr>
        <w:t>.</w:t>
      </w:r>
    </w:p>
    <w:p w14:paraId="2727FA8C" w14:textId="67370964" w:rsidR="000E249A" w:rsidRPr="00AB0BA8" w:rsidRDefault="000E249A" w:rsidP="00AB0BA8">
      <w:pPr>
        <w:widowControl w:val="0"/>
        <w:autoSpaceDE w:val="0"/>
        <w:autoSpaceDN w:val="0"/>
        <w:spacing w:after="120" w:line="276" w:lineRule="auto"/>
        <w:ind w:firstLine="709"/>
        <w:jc w:val="both"/>
        <w:rPr>
          <w:rFonts w:ascii="Arial" w:eastAsia="Arial" w:hAnsi="Arial" w:cs="Arial"/>
          <w:lang w:val="es-ES"/>
        </w:rPr>
      </w:pPr>
      <w:r w:rsidRPr="00557D5C">
        <w:rPr>
          <w:rFonts w:ascii="Arial" w:eastAsia="Calibri" w:hAnsi="Arial" w:cs="Arial"/>
          <w:color w:val="000000"/>
          <w:lang w:eastAsia="es-ES_tradnl"/>
        </w:rPr>
        <w:t>Sin perjuicio de las consideraciones anteriores</w:t>
      </w:r>
      <w:r w:rsidRPr="00557D5C">
        <w:rPr>
          <w:rFonts w:ascii="Arial" w:eastAsia="Times New Roman" w:hAnsi="Arial" w:cs="Arial"/>
          <w:szCs w:val="24"/>
          <w:lang w:eastAsia="es-ES_tradnl"/>
        </w:rPr>
        <w:t xml:space="preserve">,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que contemplada en dicha matriz. </w:t>
      </w:r>
      <w:r>
        <w:rPr>
          <w:rFonts w:ascii="Arial" w:eastAsia="Calibri" w:hAnsi="Arial" w:cs="Arial"/>
        </w:rPr>
        <w:t>Asimismo</w:t>
      </w:r>
      <w:r w:rsidRPr="00F41978">
        <w:rPr>
          <w:rFonts w:ascii="Arial" w:eastAsia="Calibri" w:hAnsi="Arial" w:cs="Arial"/>
        </w:rPr>
        <w:t xml:space="preserve">, si </w:t>
      </w:r>
      <w:r>
        <w:rPr>
          <w:rFonts w:ascii="Arial" w:eastAsia="Calibri" w:hAnsi="Arial" w:cs="Arial"/>
        </w:rPr>
        <w:t>el bien</w:t>
      </w:r>
      <w:r w:rsidRPr="00F41978">
        <w:rPr>
          <w:rFonts w:ascii="Arial" w:eastAsia="Calibri" w:hAnsi="Arial" w:cs="Arial"/>
        </w:rPr>
        <w:t xml:space="preserve"> o servicio adicional está asociad</w:t>
      </w:r>
      <w:r>
        <w:rPr>
          <w:rFonts w:ascii="Arial" w:eastAsia="Calibri" w:hAnsi="Arial" w:cs="Arial"/>
        </w:rPr>
        <w:t>o</w:t>
      </w:r>
      <w:r w:rsidRPr="00F41978">
        <w:rPr>
          <w:rFonts w:ascii="Arial" w:eastAsia="Calibri" w:hAnsi="Arial" w:cs="Arial"/>
        </w:rPr>
        <w:t xml:space="preserve"> a un proyecto del sector transporte</w:t>
      </w:r>
      <w:r>
        <w:rPr>
          <w:rFonts w:ascii="Arial" w:eastAsia="Calibri" w:hAnsi="Arial" w:cs="Arial"/>
        </w:rPr>
        <w:t xml:space="preserve">, </w:t>
      </w:r>
      <w:r w:rsidRPr="00F41978">
        <w:rPr>
          <w:rFonts w:ascii="Arial" w:eastAsia="Calibri" w:hAnsi="Arial" w:cs="Arial"/>
        </w:rPr>
        <w:t xml:space="preserve">la entidad contratante </w:t>
      </w:r>
      <w:r>
        <w:rPr>
          <w:rFonts w:ascii="Arial" w:eastAsia="Calibri" w:hAnsi="Arial" w:cs="Arial"/>
        </w:rPr>
        <w:t>aplicará</w:t>
      </w:r>
      <w:r w:rsidRPr="00F41978">
        <w:rPr>
          <w:rFonts w:ascii="Arial" w:eastAsia="Calibri" w:hAnsi="Arial" w:cs="Arial"/>
        </w:rPr>
        <w:t xml:space="preserve"> los parámetros </w:t>
      </w:r>
      <w:r w:rsidRPr="00F41978">
        <w:rPr>
          <w:rFonts w:ascii="Arial" w:hAnsi="Arial" w:cs="Arial"/>
        </w:rPr>
        <w:t>y reglas estandarizadas en el documento tipo, teniendo en cuenta además las reglas de experiencia adicional previstas en el artículo 4 de las Resoluciones 240, 256 de 2020 y 193 de 2021.</w:t>
      </w:r>
    </w:p>
    <w:p w14:paraId="5041E522" w14:textId="62763C69" w:rsidR="00637DBA" w:rsidRPr="00A16DD4" w:rsidRDefault="00637DBA" w:rsidP="00AB0BA8">
      <w:pPr>
        <w:tabs>
          <w:tab w:val="left" w:pos="426"/>
        </w:tabs>
        <w:spacing w:after="0" w:line="276" w:lineRule="auto"/>
        <w:jc w:val="both"/>
        <w:rPr>
          <w:rFonts w:ascii="Arial" w:eastAsia="Calibri" w:hAnsi="Arial" w:cs="Arial"/>
          <w:bCs/>
        </w:rPr>
      </w:pPr>
      <w:r>
        <w:rPr>
          <w:rFonts w:ascii="Arial" w:eastAsia="Calibri" w:hAnsi="Arial" w:cs="Arial"/>
          <w:bCs/>
        </w:rPr>
        <w:tab/>
      </w:r>
      <w:r>
        <w:rPr>
          <w:rFonts w:ascii="Arial" w:eastAsia="Calibri" w:hAnsi="Arial" w:cs="Arial"/>
          <w:bCs/>
        </w:rPr>
        <w:tab/>
      </w:r>
      <w:r w:rsidR="000E249A">
        <w:rPr>
          <w:rFonts w:ascii="Arial" w:eastAsia="Calibri" w:hAnsi="Arial" w:cs="Arial"/>
          <w:bCs/>
        </w:rPr>
        <w:t>En este contexto</w:t>
      </w:r>
      <w:r w:rsidRPr="00A16DD4">
        <w:rPr>
          <w:rFonts w:ascii="Arial" w:eastAsia="Calibri" w:hAnsi="Arial" w:cs="Arial"/>
          <w:bCs/>
        </w:rPr>
        <w:t xml:space="preserve">,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w:t>
      </w:r>
      <w:r w:rsidRPr="00A16DD4">
        <w:rPr>
          <w:rFonts w:ascii="Arial" w:eastAsia="Calibri" w:hAnsi="Arial" w:cs="Arial"/>
          <w:bCs/>
        </w:rPr>
        <w:lastRenderedPageBreak/>
        <w:t>carácter general para que los partícipes del sistema de compras y contratación pública adopten la decisión que corresponda, lo cual es acorde con el principio de juridicidad.</w:t>
      </w:r>
    </w:p>
    <w:p w14:paraId="3A311A8A" w14:textId="6181C265" w:rsidR="00D1179E" w:rsidRPr="009843FC" w:rsidRDefault="00D1179E" w:rsidP="00637DBA">
      <w:pPr>
        <w:spacing w:after="120" w:line="240" w:lineRule="auto"/>
        <w:ind w:right="709"/>
        <w:jc w:val="both"/>
        <w:rPr>
          <w:rFonts w:ascii="Arial" w:eastAsia="Calibri" w:hAnsi="Arial" w:cs="Arial"/>
          <w:sz w:val="21"/>
          <w:szCs w:val="21"/>
          <w:lang w:eastAsia="es-MX"/>
        </w:rPr>
      </w:pPr>
    </w:p>
    <w:p w14:paraId="0C853A79" w14:textId="77777777" w:rsidR="005F0CF8" w:rsidRPr="005F0CF8" w:rsidRDefault="005F0CF8" w:rsidP="00637DBA">
      <w:pPr>
        <w:spacing w:after="0" w:line="276" w:lineRule="auto"/>
        <w:jc w:val="both"/>
        <w:rPr>
          <w:rFonts w:ascii="Arial" w:eastAsia="Calibri" w:hAnsi="Arial" w:cs="Arial"/>
          <w:color w:val="000000" w:themeColor="text1"/>
          <w:szCs w:val="24"/>
          <w:lang w:eastAsia="es-MX"/>
        </w:rPr>
      </w:pPr>
      <w:r w:rsidRPr="005F0CF8">
        <w:rPr>
          <w:rFonts w:ascii="Arial" w:eastAsia="Calibri" w:hAnsi="Arial" w:cs="Arial"/>
          <w:color w:val="000000" w:themeColor="text1"/>
          <w:lang w:eastAsia="es-MX"/>
        </w:rPr>
        <w:t>Este concepto tiene el alcance previsto en el artículo 28 del Cód</w:t>
      </w:r>
      <w:r w:rsidRPr="005F0CF8">
        <w:rPr>
          <w:rFonts w:ascii="Arial" w:eastAsia="Calibri" w:hAnsi="Arial" w:cs="Arial"/>
          <w:color w:val="000000" w:themeColor="text1"/>
          <w:szCs w:val="24"/>
          <w:lang w:eastAsia="es-MX"/>
        </w:rPr>
        <w:t>igo de Procedimiento Administrativo y de lo Contencioso Administrativo.</w:t>
      </w:r>
    </w:p>
    <w:p w14:paraId="5A75F549" w14:textId="77777777" w:rsidR="00443AF1" w:rsidRPr="00295D8A" w:rsidRDefault="00443AF1" w:rsidP="00443AF1">
      <w:pPr>
        <w:spacing w:line="276" w:lineRule="auto"/>
        <w:jc w:val="both"/>
        <w:rPr>
          <w:rFonts w:ascii="Arial" w:hAnsi="Arial" w:cs="Arial"/>
          <w:noProof/>
          <w:lang w:val="es-ES_tradnl"/>
        </w:rPr>
      </w:pPr>
    </w:p>
    <w:p w14:paraId="2F3D8944" w14:textId="77777777" w:rsidR="00443AF1" w:rsidRDefault="00443AF1" w:rsidP="00443AF1">
      <w:pPr>
        <w:spacing w:line="276" w:lineRule="auto"/>
        <w:jc w:val="both"/>
        <w:rPr>
          <w:rFonts w:ascii="Arial" w:eastAsia="Times New Roman" w:hAnsi="Arial" w:cs="Arial"/>
          <w:color w:val="000000" w:themeColor="text1"/>
          <w:szCs w:val="24"/>
          <w:lang w:eastAsia="es-CO"/>
        </w:rPr>
      </w:pPr>
      <w:r w:rsidRPr="00295D8A">
        <w:rPr>
          <w:rFonts w:ascii="Arial" w:hAnsi="Arial" w:cs="Arial"/>
          <w:noProof/>
          <w:lang w:val="en-US"/>
        </w:rPr>
        <mc:AlternateContent>
          <mc:Choice Requires="wps">
            <w:drawing>
              <wp:anchor distT="0" distB="0" distL="114300" distR="114300" simplePos="0" relativeHeight="251659264" behindDoc="0" locked="0" layoutInCell="1" allowOverlap="1" wp14:anchorId="34FA1636" wp14:editId="7932DAB3">
                <wp:simplePos x="0" y="0"/>
                <wp:positionH relativeFrom="page">
                  <wp:posOffset>1514475</wp:posOffset>
                </wp:positionH>
                <wp:positionV relativeFrom="paragraph">
                  <wp:posOffset>10160</wp:posOffset>
                </wp:positionV>
                <wp:extent cx="4686300" cy="0"/>
                <wp:effectExtent l="0" t="0" r="0" b="0"/>
                <wp:wrapNone/>
                <wp:docPr id="4" name="Conector recto 4"/>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C576233" id="Conector recto 4"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p>
    <w:p w14:paraId="7F5B5EFE" w14:textId="0FBF0C0A" w:rsidR="005F0CF8" w:rsidRPr="005F0CF8" w:rsidRDefault="005F0CF8" w:rsidP="00443AF1">
      <w:pPr>
        <w:spacing w:line="276" w:lineRule="auto"/>
        <w:jc w:val="both"/>
        <w:rPr>
          <w:rFonts w:ascii="Arial" w:eastAsia="Times New Roman" w:hAnsi="Arial" w:cs="Arial"/>
          <w:color w:val="000000" w:themeColor="text1"/>
          <w:szCs w:val="24"/>
          <w:lang w:eastAsia="es-CO"/>
        </w:rPr>
      </w:pPr>
      <w:r w:rsidRPr="005F0CF8">
        <w:rPr>
          <w:rFonts w:ascii="Arial" w:eastAsia="Times New Roman" w:hAnsi="Arial" w:cs="Arial"/>
          <w:color w:val="000000" w:themeColor="text1"/>
          <w:szCs w:val="24"/>
          <w:lang w:eastAsia="es-CO"/>
        </w:rPr>
        <w:t>Atentamente,</w:t>
      </w:r>
    </w:p>
    <w:p w14:paraId="6F58362C" w14:textId="4401C499" w:rsidR="005F0CF8" w:rsidRPr="005F0CF8" w:rsidRDefault="00996F5F" w:rsidP="005F0CF8">
      <w:pPr>
        <w:spacing w:after="0" w:line="240" w:lineRule="auto"/>
        <w:jc w:val="center"/>
        <w:rPr>
          <w:rFonts w:ascii="Arial" w:eastAsia="Times New Roman" w:hAnsi="Arial" w:cs="Arial"/>
          <w:color w:val="000000" w:themeColor="text1"/>
          <w:sz w:val="18"/>
          <w:szCs w:val="20"/>
          <w:lang w:eastAsia="es-CO"/>
        </w:rPr>
      </w:pPr>
      <w:r>
        <w:rPr>
          <w:rFonts w:ascii="Arial" w:hAnsi="Arial" w:cs="Arial"/>
          <w:noProof/>
          <w:color w:val="000000" w:themeColor="text1"/>
          <w:sz w:val="18"/>
          <w:szCs w:val="20"/>
        </w:rPr>
        <w:drawing>
          <wp:inline distT="0" distB="0" distL="0" distR="0" wp14:anchorId="12DFF6C7" wp14:editId="344DC4CC">
            <wp:extent cx="2456757" cy="1086929"/>
            <wp:effectExtent l="0" t="0" r="127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1001" cy="1102079"/>
                    </a:xfrm>
                    <a:prstGeom prst="rect">
                      <a:avLst/>
                    </a:prstGeom>
                    <a:noFill/>
                    <a:ln>
                      <a:noFill/>
                    </a:ln>
                  </pic:spPr>
                </pic:pic>
              </a:graphicData>
            </a:graphic>
          </wp:inline>
        </w:drawing>
      </w:r>
    </w:p>
    <w:p w14:paraId="7E0EB620" w14:textId="77777777" w:rsidR="005F0CF8" w:rsidRPr="005F0CF8" w:rsidRDefault="005F0CF8" w:rsidP="005F0CF8">
      <w:pPr>
        <w:spacing w:before="120" w:after="0" w:line="276" w:lineRule="auto"/>
        <w:jc w:val="both"/>
        <w:rPr>
          <w:rFonts w:ascii="Arial" w:eastAsia="Calibri" w:hAnsi="Arial" w:cs="Arial"/>
          <w:color w:val="000000" w:themeColor="text1"/>
          <w:lang w:eastAsia="es-ES"/>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65050F" w:rsidRPr="00B749D1" w14:paraId="74AD2B68" w14:textId="77777777" w:rsidTr="004D5716">
        <w:trPr>
          <w:trHeight w:val="315"/>
        </w:trPr>
        <w:tc>
          <w:tcPr>
            <w:tcW w:w="812" w:type="dxa"/>
            <w:vAlign w:val="center"/>
            <w:hideMark/>
          </w:tcPr>
          <w:p w14:paraId="1295C470" w14:textId="77777777" w:rsidR="0065050F" w:rsidRPr="00B749D1" w:rsidRDefault="0065050F" w:rsidP="004D5716">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169DC7C5" w14:textId="77777777" w:rsidR="0065050F" w:rsidRPr="00B749D1" w:rsidRDefault="0065050F" w:rsidP="004D5716">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Carlos Mario Castrillón Endo</w:t>
            </w:r>
          </w:p>
          <w:p w14:paraId="3E058431" w14:textId="77777777" w:rsidR="0065050F" w:rsidRPr="00B749D1" w:rsidRDefault="0065050F" w:rsidP="004D5716">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Contratista de la Subdirección de Gestión Contractual</w:t>
            </w:r>
          </w:p>
        </w:tc>
      </w:tr>
      <w:tr w:rsidR="0065050F" w:rsidRPr="00B749D1" w14:paraId="5EFC36E4" w14:textId="77777777" w:rsidTr="004D5716">
        <w:trPr>
          <w:trHeight w:val="330"/>
        </w:trPr>
        <w:tc>
          <w:tcPr>
            <w:tcW w:w="812" w:type="dxa"/>
            <w:vAlign w:val="center"/>
            <w:hideMark/>
          </w:tcPr>
          <w:p w14:paraId="32672C4B" w14:textId="77777777" w:rsidR="0065050F" w:rsidRPr="00B749D1" w:rsidRDefault="0065050F" w:rsidP="004D5716">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B1B084C" w14:textId="77777777" w:rsidR="0065050F" w:rsidRDefault="0065050F" w:rsidP="004D5716">
            <w:pPr>
              <w:rPr>
                <w:rFonts w:ascii="Arial" w:eastAsia="Calibri" w:hAnsi="Arial" w:cs="Arial"/>
                <w:sz w:val="16"/>
                <w:szCs w:val="16"/>
                <w:lang w:val="es-ES_tradnl" w:eastAsia="es-ES"/>
              </w:rPr>
            </w:pPr>
            <w:r>
              <w:rPr>
                <w:rFonts w:ascii="Arial" w:eastAsia="Calibri" w:hAnsi="Arial" w:cs="Arial"/>
                <w:sz w:val="16"/>
                <w:szCs w:val="16"/>
                <w:lang w:val="es-ES_tradnl" w:eastAsia="es-ES"/>
              </w:rPr>
              <w:t>Juan David Montoya Penagos</w:t>
            </w:r>
          </w:p>
          <w:p w14:paraId="171A174A" w14:textId="77777777" w:rsidR="0065050F" w:rsidRPr="00B749D1" w:rsidRDefault="0065050F" w:rsidP="004D5716">
            <w:pPr>
              <w:rPr>
                <w:rFonts w:ascii="Arial" w:eastAsia="Calibri" w:hAnsi="Arial" w:cs="Arial"/>
                <w:sz w:val="16"/>
                <w:szCs w:val="16"/>
                <w:lang w:val="es-ES_tradnl" w:eastAsia="es-ES"/>
              </w:rPr>
            </w:pPr>
            <w:r w:rsidRPr="00827918">
              <w:rPr>
                <w:rFonts w:ascii="Arial" w:hAnsi="Arial" w:cs="Arial"/>
                <w:color w:val="000000" w:themeColor="text1"/>
                <w:sz w:val="16"/>
                <w:szCs w:val="16"/>
                <w:lang w:val="es-ES_tradnl" w:eastAsia="es-ES"/>
              </w:rPr>
              <w:t xml:space="preserve">Gestor T1-15 de la Subdirección de Gestión Contractual  </w:t>
            </w:r>
          </w:p>
        </w:tc>
      </w:tr>
      <w:tr w:rsidR="0065050F" w:rsidRPr="00B749D1" w14:paraId="27BBAF27" w14:textId="77777777" w:rsidTr="004D5716">
        <w:trPr>
          <w:trHeight w:val="300"/>
        </w:trPr>
        <w:tc>
          <w:tcPr>
            <w:tcW w:w="812" w:type="dxa"/>
            <w:vAlign w:val="center"/>
            <w:hideMark/>
          </w:tcPr>
          <w:p w14:paraId="0CD2ADD6" w14:textId="77777777" w:rsidR="0065050F" w:rsidRPr="00B749D1" w:rsidRDefault="0065050F" w:rsidP="004D5716">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09639887" w14:textId="77777777" w:rsidR="0065050F" w:rsidRPr="00B749D1" w:rsidRDefault="0065050F" w:rsidP="004D5716">
            <w:pPr>
              <w:rPr>
                <w:rFonts w:ascii="Arial" w:eastAsia="Calibri" w:hAnsi="Arial" w:cs="Arial"/>
                <w:sz w:val="16"/>
                <w:szCs w:val="16"/>
                <w:lang w:val="pt-BR" w:eastAsia="es-ES"/>
              </w:rPr>
            </w:pPr>
            <w:r w:rsidRPr="00B749D1">
              <w:rPr>
                <w:rFonts w:ascii="Arial" w:eastAsia="Calibri" w:hAnsi="Arial" w:cs="Arial"/>
                <w:sz w:val="16"/>
                <w:szCs w:val="16"/>
                <w:lang w:val="pt-BR" w:eastAsia="es-ES"/>
              </w:rPr>
              <w:t>Jorge Augusto Tirado Navarro</w:t>
            </w:r>
          </w:p>
          <w:p w14:paraId="4CDF25D8" w14:textId="77777777" w:rsidR="0065050F" w:rsidRPr="00B749D1" w:rsidRDefault="0065050F" w:rsidP="004D5716">
            <w:pPr>
              <w:rPr>
                <w:rFonts w:ascii="Arial" w:eastAsia="Calibri" w:hAnsi="Arial" w:cs="Arial"/>
                <w:sz w:val="16"/>
                <w:szCs w:val="16"/>
                <w:lang w:val="pt-BR" w:eastAsia="es-ES"/>
              </w:rPr>
            </w:pPr>
            <w:proofErr w:type="spellStart"/>
            <w:r w:rsidRPr="00B749D1">
              <w:rPr>
                <w:rFonts w:ascii="Arial" w:eastAsia="Calibri" w:hAnsi="Arial" w:cs="Arial"/>
                <w:sz w:val="16"/>
                <w:szCs w:val="16"/>
                <w:lang w:val="pt-BR" w:eastAsia="es-ES"/>
              </w:rPr>
              <w:t>Subdirector</w:t>
            </w:r>
            <w:proofErr w:type="spellEnd"/>
            <w:r w:rsidRPr="00B749D1">
              <w:rPr>
                <w:rFonts w:ascii="Arial" w:eastAsia="Calibri" w:hAnsi="Arial" w:cs="Arial"/>
                <w:sz w:val="16"/>
                <w:szCs w:val="16"/>
                <w:lang w:val="pt-BR" w:eastAsia="es-ES"/>
              </w:rPr>
              <w:t xml:space="preserve"> de Gestión Contractual</w:t>
            </w:r>
            <w:r>
              <w:rPr>
                <w:rFonts w:ascii="Arial" w:eastAsia="Calibri" w:hAnsi="Arial" w:cs="Arial"/>
                <w:sz w:val="16"/>
                <w:szCs w:val="16"/>
                <w:lang w:val="pt-BR" w:eastAsia="es-ES"/>
              </w:rPr>
              <w:t xml:space="preserve"> ANCP – CCE</w:t>
            </w:r>
          </w:p>
        </w:tc>
      </w:tr>
    </w:tbl>
    <w:p w14:paraId="1FC6294C" w14:textId="77777777" w:rsidR="00FB347B" w:rsidRDefault="00FB347B"/>
    <w:sectPr w:rsidR="00FB347B" w:rsidSect="007F1895">
      <w:headerReference w:type="default" r:id="rId10"/>
      <w:footerReference w:type="default" r:id="rId11"/>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B1BEE" w14:textId="77777777" w:rsidR="007B71FA" w:rsidRDefault="007B71FA" w:rsidP="005F0CF8">
      <w:pPr>
        <w:spacing w:after="0" w:line="240" w:lineRule="auto"/>
      </w:pPr>
      <w:r>
        <w:separator/>
      </w:r>
    </w:p>
  </w:endnote>
  <w:endnote w:type="continuationSeparator" w:id="0">
    <w:p w14:paraId="521FE631" w14:textId="77777777" w:rsidR="007B71FA" w:rsidRDefault="007B71FA" w:rsidP="005F0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A0495" w14:textId="77777777" w:rsidR="00387886" w:rsidRPr="008217B7" w:rsidRDefault="002240BD" w:rsidP="007F189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746E6D97" w14:textId="77777777" w:rsidR="00387886" w:rsidRDefault="002240BD" w:rsidP="007F1895">
    <w:pPr>
      <w:pStyle w:val="Piedepgina"/>
      <w:jc w:val="center"/>
      <w:rPr>
        <w:lang w:val="es-ES"/>
      </w:rPr>
    </w:pPr>
    <w:r>
      <w:rPr>
        <w:noProof/>
      </w:rPr>
      <w:drawing>
        <wp:inline distT="0" distB="0" distL="0" distR="0" wp14:anchorId="290A84DF" wp14:editId="13982F6A">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4B6F332A" w14:textId="77777777" w:rsidR="00387886" w:rsidRPr="00E756AC" w:rsidRDefault="00996F5F" w:rsidP="007F1895">
    <w:pPr>
      <w:pStyle w:val="Piedepgina"/>
      <w:jc w:val="center"/>
      <w:rPr>
        <w:sz w:val="18"/>
        <w:szCs w:val="18"/>
        <w:lang w:val="es-ES"/>
      </w:rPr>
    </w:pPr>
  </w:p>
  <w:p w14:paraId="040AAF19" w14:textId="77777777" w:rsidR="00387886" w:rsidRPr="00E756AC" w:rsidRDefault="00996F5F" w:rsidP="007F1895">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B1304" w14:textId="77777777" w:rsidR="007B71FA" w:rsidRDefault="007B71FA" w:rsidP="005F0CF8">
      <w:pPr>
        <w:spacing w:after="0" w:line="240" w:lineRule="auto"/>
      </w:pPr>
      <w:r>
        <w:separator/>
      </w:r>
    </w:p>
  </w:footnote>
  <w:footnote w:type="continuationSeparator" w:id="0">
    <w:p w14:paraId="439ABDD0" w14:textId="77777777" w:rsidR="007B71FA" w:rsidRDefault="007B71FA" w:rsidP="005F0CF8">
      <w:pPr>
        <w:spacing w:after="0" w:line="240" w:lineRule="auto"/>
      </w:pPr>
      <w:r>
        <w:continuationSeparator/>
      </w:r>
    </w:p>
  </w:footnote>
  <w:footnote w:id="1">
    <w:p w14:paraId="2CA17532" w14:textId="77777777" w:rsidR="00AF38B1" w:rsidRPr="00640E20" w:rsidRDefault="00AF38B1" w:rsidP="00AF38B1">
      <w:pPr>
        <w:pStyle w:val="Textonotapie"/>
        <w:ind w:firstLine="709"/>
        <w:jc w:val="both"/>
        <w:rPr>
          <w:rFonts w:ascii="Arial" w:hAnsi="Arial" w:cs="Arial"/>
          <w:color w:val="000000" w:themeColor="text1"/>
          <w:sz w:val="19"/>
          <w:szCs w:val="19"/>
          <w:lang w:val="es-CO"/>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w:t>
      </w:r>
      <w:r w:rsidRPr="00640E20">
        <w:rPr>
          <w:rFonts w:ascii="Arial" w:hAnsi="Arial" w:cs="Arial"/>
          <w:color w:val="000000" w:themeColor="text1"/>
          <w:sz w:val="19"/>
          <w:szCs w:val="19"/>
        </w:rPr>
        <w:t>as técnicas uniformes y de común utilización por parte de las entidades».</w:t>
      </w:r>
    </w:p>
  </w:footnote>
  <w:footnote w:id="2">
    <w:p w14:paraId="4919C047" w14:textId="77777777" w:rsidR="00AF38B1" w:rsidRPr="00640E20" w:rsidRDefault="00AF38B1" w:rsidP="00AF38B1">
      <w:pPr>
        <w:pStyle w:val="Textonotapie"/>
        <w:spacing w:after="120"/>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w:t>
      </w:r>
      <w:r w:rsidRPr="00A83DE5">
        <w:rPr>
          <w:rFonts w:ascii="Arial" w:hAnsi="Arial" w:cs="Arial"/>
          <w:color w:val="000000" w:themeColor="text1"/>
          <w:sz w:val="19"/>
          <w:szCs w:val="19"/>
          <w:lang w:val="es-CO"/>
        </w:rPr>
        <w:t>Ley 1882 de 2018: «Artículo 4.</w:t>
      </w:r>
      <w:r w:rsidRPr="00640E20">
        <w:rPr>
          <w:rFonts w:ascii="Arial" w:hAnsi="Arial" w:cs="Arial"/>
          <w:color w:val="000000" w:themeColor="text1"/>
          <w:sz w:val="19"/>
          <w:szCs w:val="19"/>
          <w:lang w:val="es-CO"/>
        </w:rPr>
        <w:t xml:space="preserve"> </w:t>
      </w:r>
      <w:r w:rsidRPr="00640E20">
        <w:rPr>
          <w:rFonts w:ascii="Arial" w:hAnsi="Arial" w:cs="Arial"/>
          <w:color w:val="000000" w:themeColor="text1"/>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7BF237B6" w14:textId="77777777" w:rsidR="00AF38B1" w:rsidRPr="00640E20" w:rsidRDefault="00AF38B1" w:rsidP="00AF38B1">
      <w:pPr>
        <w:pStyle w:val="Textonotapie"/>
        <w:spacing w:after="120"/>
        <w:ind w:firstLine="709"/>
        <w:jc w:val="both"/>
        <w:rPr>
          <w:rFonts w:ascii="Arial" w:hAnsi="Arial" w:cs="Arial"/>
          <w:color w:val="000000" w:themeColor="text1"/>
          <w:sz w:val="19"/>
          <w:szCs w:val="19"/>
          <w:lang w:val="es-CO"/>
        </w:rPr>
      </w:pPr>
      <w:proofErr w:type="gramStart"/>
      <w:r w:rsidRPr="00640E20">
        <w:rPr>
          <w:rFonts w:ascii="Arial" w:hAnsi="Arial" w:cs="Arial"/>
          <w:color w:val="000000" w:themeColor="text1"/>
          <w:sz w:val="19"/>
          <w:szCs w:val="19"/>
          <w:lang w:val="es-CO"/>
        </w:rPr>
        <w:t>»La</w:t>
      </w:r>
      <w:proofErr w:type="gramEnd"/>
      <w:r w:rsidRPr="00640E20">
        <w:rPr>
          <w:rFonts w:ascii="Arial" w:hAnsi="Arial" w:cs="Arial"/>
          <w:color w:val="000000" w:themeColor="text1"/>
          <w:sz w:val="19"/>
          <w:szCs w:val="19"/>
          <w:lang w:val="es-CO"/>
        </w:rPr>
        <w:t xml:space="preserve"> facultad de adoptar documentos tipo la tendrá el Gobierno nacional, cuando lo considere necesario, en relación con otros contratos o procesos de selección.</w:t>
      </w:r>
    </w:p>
    <w:p w14:paraId="16502BBE" w14:textId="77777777" w:rsidR="00AF38B1" w:rsidRPr="00640E20" w:rsidRDefault="00AF38B1" w:rsidP="00AF38B1">
      <w:pPr>
        <w:pStyle w:val="Textonotapie"/>
        <w:ind w:firstLine="709"/>
        <w:jc w:val="both"/>
        <w:rPr>
          <w:rFonts w:ascii="Arial" w:hAnsi="Arial" w:cs="Arial"/>
          <w:color w:val="000000" w:themeColor="text1"/>
          <w:sz w:val="19"/>
          <w:szCs w:val="19"/>
          <w:lang w:val="es-CO"/>
        </w:rPr>
      </w:pPr>
      <w:proofErr w:type="gramStart"/>
      <w:r w:rsidRPr="00640E20">
        <w:rPr>
          <w:rFonts w:ascii="Arial" w:hAnsi="Arial" w:cs="Arial"/>
          <w:color w:val="000000" w:themeColor="text1"/>
          <w:sz w:val="19"/>
          <w:szCs w:val="19"/>
          <w:lang w:val="es-CO"/>
        </w:rPr>
        <w:t>»Los</w:t>
      </w:r>
      <w:proofErr w:type="gramEnd"/>
      <w:r w:rsidRPr="00640E20">
        <w:rPr>
          <w:rFonts w:ascii="Arial" w:hAnsi="Arial" w:cs="Arial"/>
          <w:color w:val="000000" w:themeColor="text1"/>
          <w:sz w:val="19"/>
          <w:szCs w:val="19"/>
          <w:lang w:val="es-CO"/>
        </w:rPr>
        <w:t xml:space="preserve"> pliegos tipo se adoptarán por categorías de acuerdo con la cuantía de la contratación, según la reglamentación que expida el Gobierno nacional».</w:t>
      </w:r>
    </w:p>
  </w:footnote>
  <w:footnote w:id="3">
    <w:p w14:paraId="1CAADDC9" w14:textId="77777777" w:rsidR="00AF38B1" w:rsidRPr="00640E20" w:rsidRDefault="00AF38B1" w:rsidP="00AF38B1">
      <w:pPr>
        <w:pStyle w:val="Textonotapie"/>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w:t>
      </w:r>
      <w:r w:rsidRPr="00640E20">
        <w:rPr>
          <w:rFonts w:ascii="Arial" w:hAnsi="Arial" w:cs="Arial"/>
          <w:color w:val="000000" w:themeColor="text1"/>
          <w:sz w:val="19"/>
          <w:szCs w:val="19"/>
        </w:rPr>
        <w:t>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620B1F9D" w14:textId="77777777" w:rsidR="00AF38B1" w:rsidRPr="00640E20" w:rsidRDefault="00AF38B1" w:rsidP="00AF38B1">
      <w:pPr>
        <w:pStyle w:val="Textonotapie"/>
        <w:ind w:firstLine="709"/>
        <w:jc w:val="both"/>
        <w:rPr>
          <w:rFonts w:ascii="Arial" w:hAnsi="Arial" w:cs="Arial"/>
          <w:color w:val="000000" w:themeColor="text1"/>
          <w:sz w:val="19"/>
          <w:szCs w:val="19"/>
        </w:rPr>
      </w:pPr>
    </w:p>
  </w:footnote>
  <w:footnote w:id="4">
    <w:p w14:paraId="5FC8C1B2" w14:textId="77777777" w:rsidR="00AF38B1" w:rsidRPr="00640E20" w:rsidRDefault="00AF38B1" w:rsidP="00AF38B1">
      <w:pPr>
        <w:pStyle w:val="NormalWeb"/>
        <w:spacing w:before="0" w:beforeAutospacing="0" w:after="0" w:afterAutospacing="0"/>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Ley 2022 de 2020: «</w:t>
      </w:r>
      <w:r w:rsidRPr="00A83DE5">
        <w:rPr>
          <w:rStyle w:val="Textoennegrita"/>
          <w:rFonts w:ascii="Arial" w:hAnsi="Arial" w:cs="Arial"/>
          <w:color w:val="000000" w:themeColor="text1"/>
          <w:sz w:val="19"/>
          <w:szCs w:val="19"/>
        </w:rPr>
        <w:t>Artículo 1º.</w:t>
      </w:r>
      <w:r w:rsidRPr="00640E20">
        <w:rPr>
          <w:rFonts w:ascii="Arial" w:hAnsi="Arial" w:cs="Arial"/>
          <w:color w:val="000000" w:themeColor="text1"/>
          <w:sz w:val="19"/>
          <w:szCs w:val="19"/>
        </w:rPr>
        <w:t> Modifíquese el artículo 4º de la Ley 1882 de 2018, el cual quedará así: </w:t>
      </w:r>
    </w:p>
    <w:p w14:paraId="33BBA694" w14:textId="77777777" w:rsidR="00AF38B1" w:rsidRPr="00640E20" w:rsidRDefault="00AF38B1" w:rsidP="00AF38B1">
      <w:pPr>
        <w:pStyle w:val="NormalWeb"/>
        <w:spacing w:before="0" w:beforeAutospacing="0" w:after="0" w:afterAutospacing="0"/>
        <w:ind w:firstLine="709"/>
        <w:jc w:val="both"/>
        <w:rPr>
          <w:rFonts w:ascii="Arial" w:hAnsi="Arial" w:cs="Arial"/>
          <w:color w:val="000000" w:themeColor="text1"/>
          <w:sz w:val="19"/>
          <w:szCs w:val="19"/>
        </w:rPr>
      </w:pPr>
      <w:proofErr w:type="gramStart"/>
      <w:r w:rsidRPr="00640E20">
        <w:rPr>
          <w:rStyle w:val="Textoennegrita"/>
          <w:rFonts w:ascii="Arial" w:hAnsi="Arial" w:cs="Arial"/>
          <w:color w:val="000000" w:themeColor="text1"/>
          <w:sz w:val="19"/>
          <w:szCs w:val="19"/>
        </w:rPr>
        <w:t>»Artículo</w:t>
      </w:r>
      <w:proofErr w:type="gramEnd"/>
      <w:r w:rsidRPr="00640E20">
        <w:rPr>
          <w:rStyle w:val="Textoennegrita"/>
          <w:rFonts w:ascii="Arial" w:hAnsi="Arial" w:cs="Arial"/>
          <w:color w:val="000000" w:themeColor="text1"/>
          <w:sz w:val="19"/>
          <w:szCs w:val="19"/>
        </w:rPr>
        <w:t xml:space="preserve"> 4º.</w:t>
      </w:r>
      <w:r w:rsidRPr="00640E20">
        <w:rPr>
          <w:rFonts w:ascii="Arial" w:hAnsi="Arial" w:cs="Arial"/>
          <w:color w:val="000000" w:themeColor="text1"/>
          <w:sz w:val="19"/>
          <w:szCs w:val="19"/>
        </w:rPr>
        <w:t> Adiciónese el siguiente parágrafo al artículo 2º de la Ley 1150 de 2007. </w:t>
      </w:r>
    </w:p>
    <w:p w14:paraId="40F2383C" w14:textId="77777777" w:rsidR="00AF38B1" w:rsidRPr="00640E20" w:rsidRDefault="00AF38B1" w:rsidP="00AF38B1">
      <w:pPr>
        <w:pStyle w:val="NormalWeb"/>
        <w:spacing w:before="0" w:beforeAutospacing="0" w:after="0" w:afterAutospacing="0"/>
        <w:ind w:firstLine="709"/>
        <w:jc w:val="both"/>
        <w:rPr>
          <w:rFonts w:ascii="Arial" w:hAnsi="Arial" w:cs="Arial"/>
          <w:color w:val="000000" w:themeColor="text1"/>
          <w:sz w:val="19"/>
          <w:szCs w:val="19"/>
        </w:rPr>
      </w:pPr>
      <w:proofErr w:type="gramStart"/>
      <w:r w:rsidRPr="00640E20">
        <w:rPr>
          <w:rStyle w:val="Textoennegrita"/>
          <w:rFonts w:ascii="Arial" w:hAnsi="Arial" w:cs="Arial"/>
          <w:color w:val="000000" w:themeColor="text1"/>
          <w:sz w:val="19"/>
          <w:szCs w:val="19"/>
        </w:rPr>
        <w:t>»Parágrafo</w:t>
      </w:r>
      <w:proofErr w:type="gramEnd"/>
      <w:r w:rsidRPr="00640E20">
        <w:rPr>
          <w:rStyle w:val="Textoennegrita"/>
          <w:rFonts w:ascii="Arial" w:hAnsi="Arial" w:cs="Arial"/>
          <w:color w:val="000000" w:themeColor="text1"/>
          <w:sz w:val="19"/>
          <w:szCs w:val="19"/>
        </w:rPr>
        <w:t xml:space="preserve"> 7º.</w:t>
      </w:r>
      <w:r w:rsidRPr="00640E20">
        <w:rPr>
          <w:rFonts w:ascii="Arial" w:hAnsi="Arial" w:cs="Arial"/>
          <w:color w:val="000000" w:themeColor="text1"/>
          <w:sz w:val="19"/>
          <w:szCs w:val="19"/>
        </w:rPr>
        <w:t>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27641FAE" w14:textId="77777777" w:rsidR="00AF38B1" w:rsidRPr="00640E20" w:rsidRDefault="00AF38B1" w:rsidP="00AF38B1">
      <w:pPr>
        <w:pStyle w:val="NormalWeb"/>
        <w:spacing w:before="0" w:beforeAutospacing="0" w:after="0" w:afterAutospacing="0"/>
        <w:ind w:firstLine="709"/>
        <w:jc w:val="both"/>
        <w:rPr>
          <w:rFonts w:ascii="Arial" w:hAnsi="Arial" w:cs="Arial"/>
          <w:color w:val="000000" w:themeColor="text1"/>
          <w:sz w:val="19"/>
          <w:szCs w:val="19"/>
        </w:rPr>
      </w:pPr>
      <w:proofErr w:type="gramStart"/>
      <w:r w:rsidRPr="00640E20">
        <w:rPr>
          <w:rFonts w:ascii="Arial" w:hAnsi="Arial" w:cs="Arial"/>
          <w:color w:val="000000" w:themeColor="text1"/>
          <w:sz w:val="19"/>
          <w:szCs w:val="19"/>
        </w:rPr>
        <w:t>»Dentro</w:t>
      </w:r>
      <w:proofErr w:type="gramEnd"/>
      <w:r w:rsidRPr="00640E20">
        <w:rPr>
          <w:rFonts w:ascii="Arial" w:hAnsi="Arial" w:cs="Arial"/>
          <w:color w:val="000000" w:themeColor="text1"/>
          <w:sz w:val="19"/>
          <w:szCs w:val="19"/>
        </w:rPr>
        <w:t xml:space="preserve">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47200D6F" w14:textId="77777777" w:rsidR="00AF38B1" w:rsidRPr="00640E20" w:rsidRDefault="00AF38B1" w:rsidP="00AF38B1">
      <w:pPr>
        <w:pStyle w:val="NormalWeb"/>
        <w:spacing w:before="0" w:beforeAutospacing="0" w:after="0" w:afterAutospacing="0"/>
        <w:ind w:firstLine="709"/>
        <w:jc w:val="both"/>
        <w:rPr>
          <w:rFonts w:ascii="Arial" w:hAnsi="Arial" w:cs="Arial"/>
          <w:color w:val="000000" w:themeColor="text1"/>
          <w:sz w:val="19"/>
          <w:szCs w:val="19"/>
        </w:rPr>
      </w:pPr>
      <w:proofErr w:type="gramStart"/>
      <w:r w:rsidRPr="00640E20">
        <w:rPr>
          <w:rFonts w:ascii="Arial" w:hAnsi="Arial" w:cs="Arial"/>
          <w:color w:val="000000" w:themeColor="text1"/>
          <w:sz w:val="19"/>
          <w:szCs w:val="19"/>
        </w:rPr>
        <w:t>»Con</w:t>
      </w:r>
      <w:proofErr w:type="gramEnd"/>
      <w:r w:rsidRPr="00640E20">
        <w:rPr>
          <w:rFonts w:ascii="Arial" w:hAnsi="Arial" w:cs="Arial"/>
          <w:color w:val="000000" w:themeColor="text1"/>
          <w:sz w:val="19"/>
          <w:szCs w:val="19"/>
        </w:rPr>
        <w:t xml:space="preserve">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33B03025" w14:textId="77777777" w:rsidR="00AF38B1" w:rsidRPr="00640E20" w:rsidRDefault="00AF38B1" w:rsidP="00AF38B1">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0933C699" w14:textId="77777777" w:rsidR="00AF38B1" w:rsidRPr="00640E20" w:rsidRDefault="00AF38B1" w:rsidP="00AF38B1">
      <w:pPr>
        <w:pStyle w:val="NormalWeb"/>
        <w:spacing w:before="0" w:beforeAutospacing="0" w:after="0" w:afterAutospacing="0"/>
        <w:ind w:firstLine="709"/>
        <w:jc w:val="both"/>
        <w:rPr>
          <w:rFonts w:ascii="Arial" w:hAnsi="Arial" w:cs="Arial"/>
          <w:color w:val="000000" w:themeColor="text1"/>
          <w:sz w:val="19"/>
          <w:szCs w:val="19"/>
        </w:rPr>
      </w:pPr>
      <w:proofErr w:type="gramStart"/>
      <w:r w:rsidRPr="00640E20">
        <w:rPr>
          <w:rFonts w:ascii="Arial" w:hAnsi="Arial" w:cs="Arial"/>
          <w:color w:val="000000" w:themeColor="text1"/>
          <w:sz w:val="19"/>
          <w:szCs w:val="19"/>
        </w:rPr>
        <w:t>»En</w:t>
      </w:r>
      <w:proofErr w:type="gramEnd"/>
      <w:r w:rsidRPr="00640E20">
        <w:rPr>
          <w:rFonts w:ascii="Arial" w:hAnsi="Arial" w:cs="Arial"/>
          <w:color w:val="000000" w:themeColor="text1"/>
          <w:sz w:val="19"/>
          <w:szCs w:val="19"/>
        </w:rPr>
        <w:t xml:space="preserve">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5">
    <w:p w14:paraId="4CF722A6" w14:textId="77777777" w:rsidR="00F76E7B" w:rsidRPr="00557D5C" w:rsidRDefault="00F76E7B" w:rsidP="00F76E7B">
      <w:pPr>
        <w:spacing w:line="240" w:lineRule="auto"/>
        <w:jc w:val="both"/>
        <w:rPr>
          <w:rFonts w:ascii="Arial" w:hAnsi="Arial" w:cs="Arial"/>
          <w:sz w:val="19"/>
          <w:szCs w:val="19"/>
        </w:rPr>
      </w:pPr>
      <w:r>
        <w:tab/>
      </w:r>
      <w:r w:rsidRPr="00557D5C">
        <w:rPr>
          <w:rStyle w:val="Refdenotaalpie"/>
          <w:rFonts w:ascii="Arial" w:hAnsi="Arial" w:cs="Arial"/>
          <w:color w:val="000000" w:themeColor="text1"/>
          <w:sz w:val="19"/>
          <w:szCs w:val="19"/>
          <w:lang w:val="es-MX"/>
        </w:rPr>
        <w:footnoteRef/>
      </w:r>
      <w:r>
        <w:t xml:space="preserve"> </w:t>
      </w:r>
      <w:r w:rsidRPr="00614F86">
        <w:rPr>
          <w:rFonts w:ascii="Arial" w:hAnsi="Arial" w:cs="Arial"/>
          <w:color w:val="000000" w:themeColor="text1"/>
          <w:sz w:val="19"/>
          <w:szCs w:val="19"/>
          <w:lang w:val="es-MX"/>
        </w:rPr>
        <w:t xml:space="preserve">En relación con los documentos </w:t>
      </w:r>
      <w:r w:rsidRPr="00557D5C">
        <w:rPr>
          <w:rFonts w:ascii="Arial" w:hAnsi="Arial" w:cs="Arial"/>
          <w:color w:val="000000" w:themeColor="text1"/>
          <w:sz w:val="19"/>
          <w:szCs w:val="19"/>
          <w:lang w:val="es-MX"/>
        </w:rPr>
        <w:t>tipo de interventoría de obra pública de infraestructura de transporte</w:t>
      </w:r>
      <w:r w:rsidRPr="00614F86">
        <w:rPr>
          <w:rFonts w:ascii="Arial" w:hAnsi="Arial" w:cs="Arial"/>
          <w:color w:val="000000" w:themeColor="text1"/>
          <w:sz w:val="19"/>
          <w:szCs w:val="19"/>
          <w:lang w:val="es-MX"/>
        </w:rPr>
        <w:t xml:space="preserve"> y el de consultoría de estudios de ingeniería de infraestructura de transporte, estos numerales corresponden </w:t>
      </w:r>
      <w:bookmarkStart w:id="2" w:name="_Toc84415882"/>
      <w:r w:rsidRPr="00614F86">
        <w:rPr>
          <w:rFonts w:ascii="Arial" w:hAnsi="Arial" w:cs="Arial"/>
          <w:color w:val="000000" w:themeColor="text1"/>
          <w:sz w:val="19"/>
          <w:szCs w:val="19"/>
          <w:lang w:val="es-MX"/>
        </w:rPr>
        <w:t xml:space="preserve">al </w:t>
      </w:r>
      <w:r w:rsidRPr="00557D5C">
        <w:rPr>
          <w:rFonts w:ascii="Arial" w:hAnsi="Arial" w:cs="Arial"/>
          <w:color w:val="000000" w:themeColor="text1"/>
          <w:sz w:val="19"/>
          <w:szCs w:val="19"/>
          <w:lang w:val="es-MX"/>
        </w:rPr>
        <w:t>10.1 ACREDITACIÓN DE LA EXPERIENCIA DEL PROPONENTE</w:t>
      </w:r>
      <w:bookmarkEnd w:id="2"/>
      <w:r w:rsidRPr="00557D5C">
        <w:rPr>
          <w:rFonts w:ascii="Arial" w:hAnsi="Arial" w:cs="Arial"/>
          <w:color w:val="000000" w:themeColor="text1"/>
          <w:sz w:val="19"/>
          <w:szCs w:val="19"/>
          <w:lang w:val="es-MX"/>
        </w:rPr>
        <w:t xml:space="preserve"> y 10.1.1 </w:t>
      </w:r>
      <w:bookmarkStart w:id="3" w:name="_Toc84415883"/>
      <w:r w:rsidRPr="00557D5C">
        <w:rPr>
          <w:rFonts w:ascii="Arial" w:hAnsi="Arial" w:cs="Arial"/>
          <w:color w:val="000000" w:themeColor="text1"/>
          <w:sz w:val="19"/>
          <w:szCs w:val="19"/>
          <w:lang w:val="es-MX"/>
        </w:rPr>
        <w:t>CARACTERÍSTICAS DE LOS CONTRATOS PRESENTADOS PARA ACREDITAR LA EXPERIENCIA DEL PROPONENTE</w:t>
      </w:r>
      <w:bookmarkEnd w:id="3"/>
      <w:r>
        <w:rPr>
          <w:rFonts w:ascii="Arial" w:hAnsi="Arial" w:cs="Arial"/>
          <w:color w:val="000000" w:themeColor="text1"/>
          <w:sz w:val="19"/>
          <w:szCs w:val="19"/>
          <w:lang w:val="es-MX"/>
        </w:rPr>
        <w:t xml:space="preserve"> del Documento Base</w:t>
      </w:r>
      <w:r w:rsidRPr="00614F86">
        <w:rPr>
          <w:rFonts w:ascii="Arial" w:hAnsi="Arial" w:cs="Arial"/>
          <w:color w:val="000000" w:themeColor="text1"/>
          <w:sz w:val="19"/>
          <w:szCs w:val="19"/>
          <w:lang w:val="es-MX"/>
        </w:rPr>
        <w:t xml:space="preserve">. </w:t>
      </w:r>
    </w:p>
  </w:footnote>
  <w:footnote w:id="6">
    <w:p w14:paraId="34110DF1" w14:textId="77777777" w:rsidR="00D577A2" w:rsidRPr="00B96E7C" w:rsidRDefault="00D577A2" w:rsidP="00D577A2">
      <w:pPr>
        <w:pStyle w:val="Textonotapie"/>
        <w:ind w:firstLine="708"/>
        <w:jc w:val="both"/>
        <w:rPr>
          <w:rFonts w:ascii="Arial" w:hAnsi="Arial" w:cs="Arial"/>
          <w:color w:val="000000" w:themeColor="text1"/>
          <w:sz w:val="19"/>
          <w:szCs w:val="19"/>
        </w:rPr>
      </w:pPr>
      <w:r w:rsidRPr="00B96E7C">
        <w:rPr>
          <w:rStyle w:val="Refdenotaalpie"/>
          <w:rFonts w:ascii="Arial" w:hAnsi="Arial" w:cs="Arial"/>
          <w:color w:val="000000" w:themeColor="text1"/>
          <w:sz w:val="19"/>
          <w:szCs w:val="19"/>
        </w:rPr>
        <w:footnoteRef/>
      </w:r>
      <w:r w:rsidRPr="00B96E7C">
        <w:rPr>
          <w:rFonts w:ascii="Arial" w:hAnsi="Arial" w:cs="Arial"/>
          <w:color w:val="000000" w:themeColor="text1"/>
          <w:sz w:val="19"/>
          <w:szCs w:val="19"/>
        </w:rPr>
        <w:t xml:space="preserve"> Agencia Nacional de Contratación Pública – Colombia Compra Eficiente. Resolución No. 240 de 2020: «Articulo 4- Bienes o servicios adicionales a la de obra pública. Cuando el objeto contractual incluya bienes o servicios ajenos a la obra pública de infraestructura de transporte, la entidad estatal deberá aplicar los Documentos Tipo, Si de manera excepcional requiere incluir experiencia adicional para evaluar la idoneidad respecto de los bienes o servicios ajenos a la obra pública, deberá seguir los siguientes parámetros: </w:t>
      </w:r>
    </w:p>
    <w:p w14:paraId="0D509CFD" w14:textId="77777777" w:rsidR="00D577A2" w:rsidRPr="00B96E7C" w:rsidRDefault="00D577A2" w:rsidP="00D577A2">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»1. Demostrar en los estudios previos que ha verificado las condiciones de mercado para la adquisición de los bienes o servicios adicionales al componente de obra pública, de tal manera que la experiencia adicional que se exija para tales bienes o servicios procure la pluralidad de oferentes, y no limite la concurrencia de proponentes al proceso de contratación. </w:t>
      </w:r>
    </w:p>
    <w:p w14:paraId="68A33F7E" w14:textId="77777777" w:rsidR="00D577A2" w:rsidRPr="00B96E7C" w:rsidRDefault="00D577A2" w:rsidP="00D577A2">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»2. Conservar los requisitos exigidos en los Documentos Tipo. </w:t>
      </w:r>
    </w:p>
    <w:p w14:paraId="59C7BDB5" w14:textId="77777777" w:rsidR="00D577A2" w:rsidRPr="00B96E7C" w:rsidRDefault="00D577A2" w:rsidP="00D577A2">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»3. Abstenerse de pedir experiencia exclusiva con entidades estatales, experiencia previa en un territorio específico, limitada en el tiempo o que incluya volúmenes o cantidades de obra específica. </w:t>
      </w:r>
    </w:p>
    <w:p w14:paraId="5FF2A7C4" w14:textId="3F88D261" w:rsidR="00D577A2" w:rsidRPr="00B96E7C" w:rsidRDefault="00D577A2" w:rsidP="00D577A2">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»4. Clasificar la experiencia requerida solo hasta el tercer nivel del Clasificador de Bienes y Servicios e incluir exclusivamente los códigos que estén relacionados directamente con el objeto a contratar». </w:t>
      </w:r>
    </w:p>
  </w:footnote>
  <w:footnote w:id="7">
    <w:p w14:paraId="5F8BE566" w14:textId="77777777" w:rsidR="00F76E7B" w:rsidRPr="004D5716" w:rsidRDefault="00F76E7B" w:rsidP="00F76E7B">
      <w:pPr>
        <w:spacing w:line="240" w:lineRule="auto"/>
        <w:ind w:firstLine="708"/>
        <w:jc w:val="both"/>
      </w:pPr>
      <w:r>
        <w:rPr>
          <w:rStyle w:val="Refdenotaalpie"/>
        </w:rPr>
        <w:footnoteRef/>
      </w:r>
      <w:r>
        <w:t xml:space="preserve"> </w:t>
      </w:r>
      <w:r>
        <w:rPr>
          <w:rFonts w:ascii="Arial" w:hAnsi="Arial" w:cs="Arial"/>
          <w:color w:val="000000" w:themeColor="text1"/>
          <w:sz w:val="19"/>
          <w:szCs w:val="19"/>
          <w:lang w:val="es-MX"/>
        </w:rPr>
        <w:t xml:space="preserve">En relación con los documentos </w:t>
      </w:r>
      <w:r w:rsidRPr="004D5716">
        <w:rPr>
          <w:rFonts w:ascii="Arial" w:hAnsi="Arial" w:cs="Arial"/>
          <w:color w:val="000000" w:themeColor="text1"/>
          <w:sz w:val="19"/>
          <w:szCs w:val="19"/>
          <w:lang w:val="es-MX"/>
        </w:rPr>
        <w:t>tipo de interventoría de obra pública de infraestructura de transporte</w:t>
      </w:r>
      <w:r>
        <w:rPr>
          <w:rFonts w:ascii="Arial" w:hAnsi="Arial" w:cs="Arial"/>
          <w:color w:val="000000" w:themeColor="text1"/>
          <w:sz w:val="19"/>
          <w:szCs w:val="19"/>
          <w:lang w:val="es-MX"/>
        </w:rPr>
        <w:t xml:space="preserve">, estos numerales corresponde al literal H) del numeral </w:t>
      </w:r>
      <w:r w:rsidRPr="004D5716">
        <w:rPr>
          <w:rFonts w:ascii="Arial" w:hAnsi="Arial" w:cs="Arial"/>
          <w:color w:val="000000" w:themeColor="text1"/>
          <w:sz w:val="19"/>
          <w:szCs w:val="19"/>
          <w:lang w:val="es-MX"/>
        </w:rPr>
        <w:t>10.1 ACREDITACIÓN DE LA EXPERIENCIA DEL PROPONENTE</w:t>
      </w:r>
      <w:r>
        <w:rPr>
          <w:rFonts w:ascii="Arial" w:hAnsi="Arial" w:cs="Arial"/>
          <w:color w:val="000000" w:themeColor="text1"/>
          <w:sz w:val="19"/>
          <w:szCs w:val="19"/>
          <w:lang w:val="es-MX"/>
        </w:rPr>
        <w:t xml:space="preserve"> del Documento Base. Respecto de los y documentos tipo de consultoría de estudios de ingeniería de infraestructura de transporte, corresponde al literal J) del numeral </w:t>
      </w:r>
      <w:r w:rsidRPr="004D5716">
        <w:rPr>
          <w:rFonts w:ascii="Arial" w:hAnsi="Arial" w:cs="Arial"/>
          <w:color w:val="000000" w:themeColor="text1"/>
          <w:sz w:val="19"/>
          <w:szCs w:val="19"/>
          <w:lang w:val="es-MX"/>
        </w:rPr>
        <w:t>ACREDITACIÓN DE LA EXPERIENCIA DEL PROPONENTE</w:t>
      </w:r>
      <w:r>
        <w:rPr>
          <w:rFonts w:ascii="Arial" w:hAnsi="Arial" w:cs="Arial"/>
          <w:color w:val="000000" w:themeColor="text1"/>
          <w:sz w:val="19"/>
          <w:szCs w:val="19"/>
          <w:lang w:val="es-MX"/>
        </w:rPr>
        <w:t xml:space="preserve"> del Documento Base.</w:t>
      </w:r>
    </w:p>
    <w:p w14:paraId="14EC5E3D" w14:textId="77777777" w:rsidR="00F76E7B" w:rsidRPr="00557D5C" w:rsidRDefault="00F76E7B" w:rsidP="00F76E7B">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5FDC0" w14:textId="77777777" w:rsidR="00387886" w:rsidRDefault="002240BD">
    <w:pPr>
      <w:pStyle w:val="Encabezado"/>
    </w:pPr>
    <w:r>
      <w:rPr>
        <w:noProof/>
        <w:lang w:eastAsia="es-CO"/>
      </w:rPr>
      <w:drawing>
        <wp:anchor distT="0" distB="0" distL="114300" distR="114300" simplePos="0" relativeHeight="251659264" behindDoc="1" locked="0" layoutInCell="1" allowOverlap="1" wp14:anchorId="01EBAD22" wp14:editId="2033CD74">
          <wp:simplePos x="0" y="0"/>
          <wp:positionH relativeFrom="column">
            <wp:posOffset>4459653</wp:posOffset>
          </wp:positionH>
          <wp:positionV relativeFrom="paragraph">
            <wp:posOffset>335460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F61E0E"/>
    <w:multiLevelType w:val="hybridMultilevel"/>
    <w:tmpl w:val="862E06D6"/>
    <w:lvl w:ilvl="0" w:tplc="6036763E">
      <w:start w:val="1"/>
      <w:numFmt w:val="low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D7E4538"/>
    <w:multiLevelType w:val="hybridMultilevel"/>
    <w:tmpl w:val="CE54EC6A"/>
    <w:lvl w:ilvl="0" w:tplc="62886D0C">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5762CA8"/>
    <w:multiLevelType w:val="hybridMultilevel"/>
    <w:tmpl w:val="84DEB72C"/>
    <w:lvl w:ilvl="0" w:tplc="5372CD4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73473322"/>
    <w:multiLevelType w:val="multilevel"/>
    <w:tmpl w:val="7012F0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ascii="Arial" w:hAnsi="Arial" w:cs="Arial" w:hint="default"/>
        <w:b/>
        <w:bCs/>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348403280">
    <w:abstractNumId w:val="1"/>
  </w:num>
  <w:num w:numId="2" w16cid:durableId="414061456">
    <w:abstractNumId w:val="0"/>
  </w:num>
  <w:num w:numId="3" w16cid:durableId="375273294">
    <w:abstractNumId w:val="3"/>
  </w:num>
  <w:num w:numId="4" w16cid:durableId="6432363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CF8"/>
    <w:rsid w:val="00010A72"/>
    <w:rsid w:val="0001661D"/>
    <w:rsid w:val="00016D7A"/>
    <w:rsid w:val="00033B5F"/>
    <w:rsid w:val="00045A3D"/>
    <w:rsid w:val="00062E80"/>
    <w:rsid w:val="000737AA"/>
    <w:rsid w:val="00087FA0"/>
    <w:rsid w:val="000A5F07"/>
    <w:rsid w:val="000B50F9"/>
    <w:rsid w:val="000D00C8"/>
    <w:rsid w:val="000E249A"/>
    <w:rsid w:val="000E36BD"/>
    <w:rsid w:val="00131119"/>
    <w:rsid w:val="001425C6"/>
    <w:rsid w:val="001430A6"/>
    <w:rsid w:val="00165C55"/>
    <w:rsid w:val="00167627"/>
    <w:rsid w:val="0017061F"/>
    <w:rsid w:val="00181A0F"/>
    <w:rsid w:val="001A4691"/>
    <w:rsid w:val="001A5C14"/>
    <w:rsid w:val="001A77E0"/>
    <w:rsid w:val="002213FD"/>
    <w:rsid w:val="002240BD"/>
    <w:rsid w:val="00226965"/>
    <w:rsid w:val="00274052"/>
    <w:rsid w:val="002846E3"/>
    <w:rsid w:val="002A25EA"/>
    <w:rsid w:val="002C5159"/>
    <w:rsid w:val="002E19FF"/>
    <w:rsid w:val="002E3354"/>
    <w:rsid w:val="002E69C8"/>
    <w:rsid w:val="002F7DC4"/>
    <w:rsid w:val="00342D95"/>
    <w:rsid w:val="00347BF1"/>
    <w:rsid w:val="0037227A"/>
    <w:rsid w:val="003812F2"/>
    <w:rsid w:val="00395B7C"/>
    <w:rsid w:val="003A0D8F"/>
    <w:rsid w:val="003C3534"/>
    <w:rsid w:val="00407E42"/>
    <w:rsid w:val="004308FD"/>
    <w:rsid w:val="00443AF1"/>
    <w:rsid w:val="004522F6"/>
    <w:rsid w:val="004734D6"/>
    <w:rsid w:val="004761BD"/>
    <w:rsid w:val="004764A5"/>
    <w:rsid w:val="004A1740"/>
    <w:rsid w:val="004C0D55"/>
    <w:rsid w:val="004D387A"/>
    <w:rsid w:val="00535043"/>
    <w:rsid w:val="00544BD5"/>
    <w:rsid w:val="0057508C"/>
    <w:rsid w:val="0059265C"/>
    <w:rsid w:val="005A1853"/>
    <w:rsid w:val="005A3892"/>
    <w:rsid w:val="005A3D47"/>
    <w:rsid w:val="005A64AD"/>
    <w:rsid w:val="005C1AE6"/>
    <w:rsid w:val="005C37DF"/>
    <w:rsid w:val="005D7F17"/>
    <w:rsid w:val="005E4B4F"/>
    <w:rsid w:val="005E71B5"/>
    <w:rsid w:val="005F0CF8"/>
    <w:rsid w:val="00614F86"/>
    <w:rsid w:val="006364FD"/>
    <w:rsid w:val="00637DBA"/>
    <w:rsid w:val="0065050F"/>
    <w:rsid w:val="0066756A"/>
    <w:rsid w:val="0067088B"/>
    <w:rsid w:val="00677A02"/>
    <w:rsid w:val="00687B65"/>
    <w:rsid w:val="007129B4"/>
    <w:rsid w:val="0072631E"/>
    <w:rsid w:val="0075282C"/>
    <w:rsid w:val="00781D86"/>
    <w:rsid w:val="007B71FA"/>
    <w:rsid w:val="007B7258"/>
    <w:rsid w:val="007C6779"/>
    <w:rsid w:val="007E5185"/>
    <w:rsid w:val="007F27AC"/>
    <w:rsid w:val="008123F4"/>
    <w:rsid w:val="00847B07"/>
    <w:rsid w:val="0085488E"/>
    <w:rsid w:val="008756C4"/>
    <w:rsid w:val="008A4D5D"/>
    <w:rsid w:val="008A6991"/>
    <w:rsid w:val="008A7A0D"/>
    <w:rsid w:val="008C588E"/>
    <w:rsid w:val="008C6235"/>
    <w:rsid w:val="008C7808"/>
    <w:rsid w:val="008D030F"/>
    <w:rsid w:val="008F216D"/>
    <w:rsid w:val="0094177D"/>
    <w:rsid w:val="009843FC"/>
    <w:rsid w:val="00987A6D"/>
    <w:rsid w:val="00996F5F"/>
    <w:rsid w:val="009A6A07"/>
    <w:rsid w:val="009C2FC3"/>
    <w:rsid w:val="009F2707"/>
    <w:rsid w:val="00A16DD4"/>
    <w:rsid w:val="00A23821"/>
    <w:rsid w:val="00A27589"/>
    <w:rsid w:val="00A420C3"/>
    <w:rsid w:val="00AB0BA8"/>
    <w:rsid w:val="00AB341A"/>
    <w:rsid w:val="00AB7499"/>
    <w:rsid w:val="00AE6C12"/>
    <w:rsid w:val="00AF38B1"/>
    <w:rsid w:val="00B10BD5"/>
    <w:rsid w:val="00B16572"/>
    <w:rsid w:val="00B44530"/>
    <w:rsid w:val="00B44B2C"/>
    <w:rsid w:val="00B56474"/>
    <w:rsid w:val="00B70D06"/>
    <w:rsid w:val="00B87D2B"/>
    <w:rsid w:val="00BE71D9"/>
    <w:rsid w:val="00C04EC0"/>
    <w:rsid w:val="00C121D2"/>
    <w:rsid w:val="00C16965"/>
    <w:rsid w:val="00C268C4"/>
    <w:rsid w:val="00C50C73"/>
    <w:rsid w:val="00C717AE"/>
    <w:rsid w:val="00C73539"/>
    <w:rsid w:val="00C8120C"/>
    <w:rsid w:val="00C942BE"/>
    <w:rsid w:val="00CA577F"/>
    <w:rsid w:val="00CA782C"/>
    <w:rsid w:val="00CB0DEF"/>
    <w:rsid w:val="00CB6274"/>
    <w:rsid w:val="00CC149E"/>
    <w:rsid w:val="00CE7C6E"/>
    <w:rsid w:val="00D1179E"/>
    <w:rsid w:val="00D32531"/>
    <w:rsid w:val="00D42A06"/>
    <w:rsid w:val="00D577A2"/>
    <w:rsid w:val="00DC20C9"/>
    <w:rsid w:val="00DD7994"/>
    <w:rsid w:val="00DE16E8"/>
    <w:rsid w:val="00DE4C69"/>
    <w:rsid w:val="00E0082F"/>
    <w:rsid w:val="00E04F71"/>
    <w:rsid w:val="00E5027A"/>
    <w:rsid w:val="00E51DE1"/>
    <w:rsid w:val="00E5724F"/>
    <w:rsid w:val="00E7651E"/>
    <w:rsid w:val="00E84A9E"/>
    <w:rsid w:val="00EB7159"/>
    <w:rsid w:val="00F217D5"/>
    <w:rsid w:val="00F22098"/>
    <w:rsid w:val="00F223F5"/>
    <w:rsid w:val="00F33A62"/>
    <w:rsid w:val="00F41978"/>
    <w:rsid w:val="00F428EF"/>
    <w:rsid w:val="00F76E7B"/>
    <w:rsid w:val="00FB347B"/>
    <w:rsid w:val="00FB605E"/>
    <w:rsid w:val="00FC359C"/>
    <w:rsid w:val="00FD31A3"/>
    <w:rsid w:val="00FD758D"/>
    <w:rsid w:val="00FF696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5B411"/>
  <w15:chartTrackingRefBased/>
  <w15:docId w15:val="{CB7A68D3-6ADB-4766-AB4E-CFE2FA26D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F0C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F0CF8"/>
  </w:style>
  <w:style w:type="paragraph" w:styleId="Piedepgina">
    <w:name w:val="footer"/>
    <w:basedOn w:val="Normal"/>
    <w:link w:val="PiedepginaCar"/>
    <w:uiPriority w:val="99"/>
    <w:unhideWhenUsed/>
    <w:rsid w:val="005F0C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F0CF8"/>
  </w:style>
  <w:style w:type="paragraph" w:styleId="Sinespaciado">
    <w:name w:val="No Spacing"/>
    <w:uiPriority w:val="1"/>
    <w:qFormat/>
    <w:rsid w:val="005F0CF8"/>
    <w:pPr>
      <w:spacing w:after="0" w:line="240" w:lineRule="auto"/>
    </w:pPr>
  </w:style>
  <w:style w:type="table" w:styleId="Tablaconcuadrcula">
    <w:name w:val="Table Grid"/>
    <w:basedOn w:val="Tablanormal"/>
    <w:uiPriority w:val="39"/>
    <w:qFormat/>
    <w:rsid w:val="005F0C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F0C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5F0CF8"/>
    <w:pPr>
      <w:spacing w:after="0" w:line="240" w:lineRule="auto"/>
    </w:pPr>
    <w:rPr>
      <w:sz w:val="20"/>
      <w:szCs w:val="20"/>
      <w:lang w:val="es-MX"/>
    </w:rPr>
  </w:style>
  <w:style w:type="character" w:customStyle="1" w:styleId="TextonotapieCar1">
    <w:name w:val="Texto nota pie Car1"/>
    <w:basedOn w:val="Fuentedeprrafopredeter"/>
    <w:uiPriority w:val="99"/>
    <w:semiHidden/>
    <w:rsid w:val="005F0C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5F0CF8"/>
    <w:rPr>
      <w:vertAlign w:val="superscript"/>
    </w:rPr>
  </w:style>
  <w:style w:type="paragraph" w:customStyle="1" w:styleId="Appelnotedebasde">
    <w:name w:val="Appel note de bas de..."/>
    <w:basedOn w:val="Normal"/>
    <w:link w:val="Refdenotaalpie"/>
    <w:uiPriority w:val="99"/>
    <w:rsid w:val="005F0CF8"/>
    <w:pPr>
      <w:spacing w:line="240" w:lineRule="exact"/>
    </w:pPr>
    <w:rPr>
      <w:vertAlign w:val="superscript"/>
    </w:rPr>
  </w:style>
  <w:style w:type="character" w:styleId="Hipervnculo">
    <w:name w:val="Hyperlink"/>
    <w:basedOn w:val="Fuentedeprrafopredeter"/>
    <w:uiPriority w:val="99"/>
    <w:unhideWhenUsed/>
    <w:rsid w:val="005F0CF8"/>
    <w:rPr>
      <w:color w:val="0000FF"/>
      <w:u w:val="single"/>
    </w:rPr>
  </w:style>
  <w:style w:type="paragraph" w:customStyle="1" w:styleId="InviasNormal">
    <w:name w:val="Invias Normal"/>
    <w:basedOn w:val="Normal"/>
    <w:link w:val="InviasNormalCar"/>
    <w:qFormat/>
    <w:rsid w:val="002C5159"/>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2C5159"/>
    <w:rPr>
      <w:rFonts w:ascii="Arial Narrow" w:eastAsia="Times New Roman" w:hAnsi="Arial Narrow" w:cs="Times New Roman"/>
      <w:sz w:val="24"/>
      <w:szCs w:val="24"/>
      <w:lang w:val="x-none" w:eastAsia="es-ES"/>
    </w:rPr>
  </w:style>
  <w:style w:type="paragraph" w:customStyle="1" w:styleId="Car1">
    <w:name w:val="Car1"/>
    <w:basedOn w:val="Normal"/>
    <w:next w:val="Textonotapie"/>
    <w:uiPriority w:val="99"/>
    <w:unhideWhenUsed/>
    <w:qFormat/>
    <w:rsid w:val="00010A72"/>
    <w:pPr>
      <w:spacing w:after="0" w:line="240" w:lineRule="auto"/>
    </w:pPr>
    <w:rPr>
      <w:rFonts w:ascii="Calibri" w:eastAsia="Calibri" w:hAnsi="Calibri" w:cs="Times New Roman"/>
      <w:sz w:val="20"/>
      <w:szCs w:val="20"/>
      <w:lang w:val="es-MX"/>
    </w:rPr>
  </w:style>
  <w:style w:type="table" w:customStyle="1" w:styleId="Tablaconcuadrcula1">
    <w:name w:val="Tabla con cuadrícula1"/>
    <w:basedOn w:val="Tablanormal"/>
    <w:next w:val="Tablaconcuadrcula"/>
    <w:uiPriority w:val="39"/>
    <w:rsid w:val="006505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7227A"/>
    <w:pPr>
      <w:ind w:left="720"/>
      <w:contextualSpacing/>
    </w:pPr>
  </w:style>
  <w:style w:type="paragraph" w:styleId="Revisin">
    <w:name w:val="Revision"/>
    <w:hidden/>
    <w:uiPriority w:val="99"/>
    <w:semiHidden/>
    <w:rsid w:val="00E84A9E"/>
    <w:pPr>
      <w:spacing w:after="0" w:line="240" w:lineRule="auto"/>
    </w:pPr>
  </w:style>
  <w:style w:type="paragraph" w:styleId="NormalWeb">
    <w:name w:val="Normal (Web)"/>
    <w:basedOn w:val="Normal"/>
    <w:link w:val="NormalWebCar"/>
    <w:uiPriority w:val="99"/>
    <w:unhideWhenUsed/>
    <w:rsid w:val="00AF38B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AF38B1"/>
    <w:rPr>
      <w:b/>
      <w:bCs/>
    </w:rPr>
  </w:style>
  <w:style w:type="character" w:customStyle="1" w:styleId="NormalWebCar">
    <w:name w:val="Normal (Web) Car"/>
    <w:link w:val="NormalWeb"/>
    <w:uiPriority w:val="99"/>
    <w:rsid w:val="00AF38B1"/>
    <w:rPr>
      <w:rFonts w:ascii="Times New Roman" w:eastAsia="Times New Roman" w:hAnsi="Times New Roman" w:cs="Times New Roman"/>
      <w:sz w:val="24"/>
      <w:szCs w:val="24"/>
      <w:lang w:eastAsia="es-CO"/>
    </w:rPr>
  </w:style>
  <w:style w:type="paragraph" w:customStyle="1" w:styleId="Normal11pt">
    <w:name w:val="Normal + 11 pt"/>
    <w:aliases w:val="Negro,Justificado,Izquierda:  -0,95 cm,Derecha:  0,04 cm"/>
    <w:basedOn w:val="Normal"/>
    <w:uiPriority w:val="99"/>
    <w:rsid w:val="00AF38B1"/>
    <w:pPr>
      <w:spacing w:after="0" w:line="240" w:lineRule="auto"/>
      <w:ind w:left="-540"/>
      <w:jc w:val="both"/>
    </w:pPr>
    <w:rPr>
      <w:rFonts w:ascii="Arial" w:eastAsia="Times New Roman" w:hAnsi="Arial" w:cs="Arial"/>
      <w:color w:val="000000"/>
      <w:lang w:val="es-ES_tradnl" w:eastAsia="es-ES"/>
    </w:rPr>
  </w:style>
  <w:style w:type="character" w:customStyle="1" w:styleId="normaltextrun">
    <w:name w:val="normaltextrun"/>
    <w:basedOn w:val="Fuentedeprrafopredeter"/>
    <w:rsid w:val="005C37DF"/>
  </w:style>
  <w:style w:type="character" w:customStyle="1" w:styleId="eop">
    <w:name w:val="eop"/>
    <w:basedOn w:val="Fuentedeprrafopredeter"/>
    <w:rsid w:val="005C37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4206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A2DA87-EF2B-44ED-88A1-0C6469A579A4}">
  <ds:schemaRefs>
    <ds:schemaRef ds:uri="http://schemas.openxmlformats.org/officeDocument/2006/bibliography"/>
  </ds:schemaRefs>
</ds:datastoreItem>
</file>

<file path=customXml/itemProps2.xml><?xml version="1.0" encoding="utf-8"?>
<ds:datastoreItem xmlns:ds="http://schemas.openxmlformats.org/officeDocument/2006/customXml" ds:itemID="{8E9F791A-6F98-487E-9247-C1E710E444B4}"/>
</file>

<file path=customXml/itemProps3.xml><?xml version="1.0" encoding="utf-8"?>
<ds:datastoreItem xmlns:ds="http://schemas.openxmlformats.org/officeDocument/2006/customXml" ds:itemID="{DBAC4464-69C7-4BBA-86A8-476DA0CA8E48}"/>
</file>

<file path=customXml/itemProps4.xml><?xml version="1.0" encoding="utf-8"?>
<ds:datastoreItem xmlns:ds="http://schemas.openxmlformats.org/officeDocument/2006/customXml" ds:itemID="{ACDEC434-8BE8-436A-AEFD-4485819F35C9}"/>
</file>

<file path=docProps/app.xml><?xml version="1.0" encoding="utf-8"?>
<Properties xmlns="http://schemas.openxmlformats.org/officeDocument/2006/extended-properties" xmlns:vt="http://schemas.openxmlformats.org/officeDocument/2006/docPropsVTypes">
  <Template>Normal</Template>
  <TotalTime>2</TotalTime>
  <Pages>17</Pages>
  <Words>6730</Words>
  <Characters>37016</Characters>
  <Application>Microsoft Office Word</Application>
  <DocSecurity>4</DocSecurity>
  <Lines>308</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Carlos Mario Castrillon Endo</cp:lastModifiedBy>
  <cp:revision>2</cp:revision>
  <dcterms:created xsi:type="dcterms:W3CDTF">2022-05-17T00:21:00Z</dcterms:created>
  <dcterms:modified xsi:type="dcterms:W3CDTF">2022-05-17T00:21:00Z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