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8BE577" w14:textId="711EDC1B" w:rsidR="000C0444" w:rsidRPr="00AC19AC" w:rsidRDefault="002411DE" w:rsidP="000277A2">
      <w:pPr>
        <w:jc w:val="right"/>
        <w:rPr>
          <w:rFonts w:ascii="Arial" w:eastAsia="Calibri" w:hAnsi="Arial" w:cs="Arial"/>
          <w:b/>
          <w:color w:val="000000" w:themeColor="text1"/>
          <w:sz w:val="20"/>
          <w:szCs w:val="20"/>
          <w:lang w:val="es-ES_tradnl"/>
        </w:rPr>
      </w:pPr>
      <w:bookmarkStart w:id="0" w:name="_Hlk28946138"/>
      <w:bookmarkStart w:id="1" w:name="_Hlk29548183"/>
      <w:r>
        <w:rPr>
          <w:rFonts w:ascii="Arial" w:hAnsi="Arial" w:cs="Arial"/>
          <w:b/>
          <w:color w:val="000000" w:themeColor="text1"/>
          <w:sz w:val="16"/>
          <w:szCs w:val="16"/>
          <w:lang w:val="es-ES_tradnl" w:eastAsia="es-ES"/>
        </w:rPr>
        <w:t xml:space="preserve"> </w:t>
      </w:r>
      <w:r w:rsidR="00B55C69" w:rsidRPr="00AC19AC">
        <w:rPr>
          <w:rFonts w:ascii="Arial" w:hAnsi="Arial" w:cs="Arial"/>
          <w:b/>
          <w:color w:val="000000" w:themeColor="text1"/>
          <w:sz w:val="16"/>
          <w:szCs w:val="16"/>
          <w:lang w:val="es-ES_tradnl" w:eastAsia="es-ES"/>
        </w:rPr>
        <w:t>CCE-DES-FM-17</w:t>
      </w:r>
      <w:bookmarkStart w:id="2" w:name="_Hlk50481752"/>
      <w:bookmarkEnd w:id="0"/>
      <w:bookmarkEnd w:id="1"/>
    </w:p>
    <w:p w14:paraId="47EEE62E" w14:textId="77777777" w:rsidR="000277A2" w:rsidRPr="00AC19AC" w:rsidRDefault="000277A2" w:rsidP="000277A2">
      <w:pPr>
        <w:jc w:val="right"/>
        <w:rPr>
          <w:rFonts w:ascii="Arial" w:eastAsia="Calibri" w:hAnsi="Arial" w:cs="Arial"/>
          <w:b/>
          <w:color w:val="000000" w:themeColor="text1"/>
          <w:sz w:val="20"/>
          <w:szCs w:val="20"/>
          <w:lang w:val="es-ES_tradnl"/>
        </w:rPr>
      </w:pPr>
    </w:p>
    <w:bookmarkEnd w:id="2"/>
    <w:p w14:paraId="664197F1" w14:textId="0C70CC80" w:rsidR="00AD0852" w:rsidRPr="00AC19AC" w:rsidRDefault="00AD0852" w:rsidP="00AD0852">
      <w:pPr>
        <w:jc w:val="both"/>
        <w:rPr>
          <w:rFonts w:ascii="Arial" w:hAnsi="Arial" w:cs="Arial"/>
          <w:b/>
          <w:bCs/>
          <w:color w:val="000000" w:themeColor="text1"/>
          <w:sz w:val="22"/>
          <w:lang w:val="es-ES_tradnl"/>
        </w:rPr>
      </w:pPr>
      <w:r w:rsidRPr="00AC19AC">
        <w:rPr>
          <w:rFonts w:ascii="Arial" w:hAnsi="Arial" w:cs="Arial"/>
          <w:b/>
          <w:bCs/>
          <w:color w:val="000000" w:themeColor="text1"/>
          <w:sz w:val="22"/>
          <w:lang w:val="es-ES_tradnl"/>
        </w:rPr>
        <w:t xml:space="preserve">DOCUMENTOS TIPO – Fundamento normativo </w:t>
      </w:r>
    </w:p>
    <w:p w14:paraId="7D6EE5A5" w14:textId="77777777" w:rsidR="00AD0852" w:rsidRPr="00AC19AC" w:rsidRDefault="00AD0852" w:rsidP="00AD0852">
      <w:pPr>
        <w:jc w:val="both"/>
        <w:rPr>
          <w:rFonts w:ascii="Arial" w:eastAsia="Calibri" w:hAnsi="Arial" w:cs="Arial"/>
          <w:color w:val="000000"/>
          <w:sz w:val="20"/>
          <w:szCs w:val="20"/>
          <w:lang w:val="es-ES_tradnl"/>
        </w:rPr>
      </w:pPr>
    </w:p>
    <w:p w14:paraId="6A894E94" w14:textId="39556986" w:rsidR="0094520B" w:rsidRPr="00AC19AC" w:rsidRDefault="0094520B" w:rsidP="00AD0852">
      <w:pPr>
        <w:jc w:val="both"/>
        <w:rPr>
          <w:rFonts w:ascii="Arial" w:eastAsia="Calibri" w:hAnsi="Arial" w:cs="Arial"/>
          <w:color w:val="000000"/>
          <w:sz w:val="20"/>
          <w:szCs w:val="20"/>
          <w:lang w:val="es-ES_tradnl"/>
        </w:rPr>
      </w:pPr>
      <w:r w:rsidRPr="00AC19AC">
        <w:rPr>
          <w:rFonts w:ascii="Arial" w:hAnsi="Arial" w:cs="Arial"/>
          <w:sz w:val="22"/>
          <w:szCs w:val="22"/>
        </w:rPr>
        <w:t xml:space="preserve">[…] </w:t>
      </w:r>
      <w:r w:rsidRPr="0094520B">
        <w:rPr>
          <w:rFonts w:ascii="Arial" w:eastAsia="Calibri" w:hAnsi="Arial" w:cs="Arial"/>
          <w:color w:val="000000"/>
          <w:sz w:val="20"/>
          <w:szCs w:val="20"/>
          <w:lang w:val="es-ES_tradnl"/>
        </w:rPr>
        <w:t>el artículo 4 de la Ley 1882 de 2018 es el antecedente más relevante respecto a los documentos tipo. A partir de esta norma se determinó la obligatoriedad para todas las entidades sometidas al Estatuto General de Contratación de la Administración Pública de aplicar los documentos tipo adoptados por el Gobierno Nacional. Debe señalarse que en virtud de la Ley 1882 de 2018 se expidieron varios documentos tipo para el sector de infraestructura de transporte</w:t>
      </w:r>
      <w:r>
        <w:rPr>
          <w:rFonts w:ascii="Arial" w:eastAsia="Calibri" w:hAnsi="Arial" w:cs="Arial"/>
          <w:color w:val="000000"/>
          <w:sz w:val="20"/>
          <w:szCs w:val="20"/>
          <w:lang w:val="es-ES_tradnl"/>
        </w:rPr>
        <w:t xml:space="preserve"> </w:t>
      </w:r>
      <w:r w:rsidRPr="00AC19AC">
        <w:rPr>
          <w:rFonts w:ascii="Arial" w:hAnsi="Arial" w:cs="Arial"/>
          <w:sz w:val="22"/>
          <w:szCs w:val="22"/>
        </w:rPr>
        <w:t>[…]</w:t>
      </w:r>
    </w:p>
    <w:p w14:paraId="4477DF5D" w14:textId="77777777" w:rsidR="00AD0852" w:rsidRPr="00AC19AC" w:rsidRDefault="00AD0852" w:rsidP="00AD0852">
      <w:pPr>
        <w:jc w:val="both"/>
        <w:rPr>
          <w:rFonts w:ascii="Arial" w:eastAsia="Calibri" w:hAnsi="Arial" w:cs="Arial"/>
          <w:b/>
          <w:sz w:val="22"/>
          <w:lang w:val="es-ES_tradnl"/>
        </w:rPr>
      </w:pPr>
    </w:p>
    <w:p w14:paraId="6C503A6F" w14:textId="77777777" w:rsidR="00B02C4A" w:rsidRPr="00AC19AC" w:rsidRDefault="00B02C4A" w:rsidP="00B84866">
      <w:pPr>
        <w:jc w:val="both"/>
        <w:rPr>
          <w:rFonts w:ascii="Arial" w:eastAsia="Calibri" w:hAnsi="Arial" w:cs="Arial"/>
          <w:sz w:val="20"/>
          <w:szCs w:val="20"/>
          <w:lang w:val="es-ES_tradnl"/>
        </w:rPr>
      </w:pPr>
      <w:r w:rsidRPr="00AC19AC">
        <w:rPr>
          <w:rFonts w:ascii="Arial" w:eastAsia="Calibri" w:hAnsi="Arial" w:cs="Arial"/>
          <w:b/>
          <w:sz w:val="22"/>
          <w:lang w:val="es-ES_tradnl"/>
        </w:rPr>
        <w:t>DOCUMENTOS TIPO – Ámbito de aplicación</w:t>
      </w:r>
    </w:p>
    <w:p w14:paraId="5CDE932F" w14:textId="77777777" w:rsidR="00B02C4A" w:rsidRPr="00AC19AC" w:rsidRDefault="00B02C4A" w:rsidP="00B84866">
      <w:pPr>
        <w:jc w:val="both"/>
        <w:rPr>
          <w:rFonts w:ascii="Arial" w:eastAsia="Calibri" w:hAnsi="Arial" w:cs="Arial"/>
          <w:sz w:val="20"/>
          <w:szCs w:val="20"/>
          <w:lang w:val="es-ES_tradnl"/>
        </w:rPr>
      </w:pPr>
    </w:p>
    <w:p w14:paraId="79DB67AF" w14:textId="4B81DBD8" w:rsidR="00B02C4A" w:rsidRPr="00AC19AC" w:rsidRDefault="00B02C4A" w:rsidP="00B84866">
      <w:pPr>
        <w:jc w:val="both"/>
        <w:rPr>
          <w:rFonts w:ascii="Arial" w:eastAsia="Calibri" w:hAnsi="Arial" w:cs="Arial"/>
          <w:sz w:val="20"/>
          <w:szCs w:val="20"/>
          <w:lang w:val="es-ES_tradnl"/>
        </w:rPr>
      </w:pPr>
      <w:r w:rsidRPr="00AC19AC">
        <w:rPr>
          <w:rFonts w:ascii="Arial" w:eastAsia="Calibri" w:hAnsi="Arial" w:cs="Arial"/>
          <w:sz w:val="20"/>
          <w:szCs w:val="20"/>
          <w:lang w:val="es-ES_tradnl"/>
        </w:rPr>
        <w:t>En cuanto al ámbito de aplicación de estos documentos, es preciso explicar que cada una de estas resoluciones están relacionadas con un sector, un objeto contractual y una modalidad de selección en específico. Esto de tal manera que las entidades estatales regidas por el Estatuto General de Contratación de la Administración Pública, al momento de adelantar un proceso de contratación asociado a uno de los sectores para los que se han implementado documentos tipo, deben consultar el contenido de los respectivos documentos tipo para determinar si la modalidad de escogencia y el objeto a contratar son o no subsumibles dentro de lo dispuesto en el documento tipo. De ser esto así, la entidad estará obligada a adelantar el proceso de contratación aplicando los documentos tipo del caso.</w:t>
      </w:r>
    </w:p>
    <w:p w14:paraId="4FDBBC98" w14:textId="3BDEE5DE" w:rsidR="00B84866" w:rsidRPr="00AC19AC" w:rsidRDefault="00B84866" w:rsidP="00B84866">
      <w:pPr>
        <w:jc w:val="both"/>
        <w:rPr>
          <w:rFonts w:ascii="Arial" w:eastAsia="Calibri" w:hAnsi="Arial" w:cs="Arial"/>
          <w:sz w:val="20"/>
          <w:szCs w:val="20"/>
          <w:lang w:val="es-ES_tradnl"/>
        </w:rPr>
      </w:pPr>
    </w:p>
    <w:p w14:paraId="5874F8A1" w14:textId="7BB8BBF6" w:rsidR="000277A2" w:rsidRPr="00AC19AC" w:rsidRDefault="000277A2" w:rsidP="00B84866">
      <w:pPr>
        <w:jc w:val="both"/>
        <w:rPr>
          <w:rFonts w:ascii="Arial" w:eastAsia="Calibri" w:hAnsi="Arial" w:cs="Arial"/>
          <w:b/>
          <w:sz w:val="22"/>
          <w:lang w:val="es-ES_tradnl"/>
        </w:rPr>
      </w:pPr>
      <w:r w:rsidRPr="00AC19AC">
        <w:rPr>
          <w:rFonts w:ascii="Arial" w:eastAsia="Calibri" w:hAnsi="Arial" w:cs="Arial"/>
          <w:b/>
          <w:sz w:val="22"/>
          <w:lang w:val="es-ES_tradnl"/>
        </w:rPr>
        <w:t>LEY 2195 DE 2022 –</w:t>
      </w:r>
      <w:r w:rsidR="00800C3D" w:rsidRPr="00AC19AC">
        <w:rPr>
          <w:rFonts w:ascii="Arial" w:eastAsia="Calibri" w:hAnsi="Arial" w:cs="Arial"/>
          <w:b/>
          <w:sz w:val="22"/>
          <w:lang w:val="es-ES_tradnl"/>
        </w:rPr>
        <w:t xml:space="preserve"> Aplicación</w:t>
      </w:r>
      <w:r w:rsidRPr="00AC19AC">
        <w:rPr>
          <w:rFonts w:ascii="Arial" w:eastAsia="Calibri" w:hAnsi="Arial" w:cs="Arial"/>
          <w:b/>
          <w:sz w:val="22"/>
          <w:lang w:val="es-ES_tradnl"/>
        </w:rPr>
        <w:t xml:space="preserve"> – </w:t>
      </w:r>
      <w:r w:rsidR="00800C3D" w:rsidRPr="00AC19AC">
        <w:rPr>
          <w:rFonts w:ascii="Arial" w:eastAsia="Calibri" w:hAnsi="Arial" w:cs="Arial"/>
          <w:b/>
          <w:sz w:val="22"/>
          <w:lang w:val="es-ES_tradnl"/>
        </w:rPr>
        <w:t>Artículo 56</w:t>
      </w:r>
    </w:p>
    <w:p w14:paraId="1A73212A" w14:textId="77777777" w:rsidR="000277A2" w:rsidRPr="00AC19AC" w:rsidRDefault="000277A2" w:rsidP="00B84866">
      <w:pPr>
        <w:jc w:val="both"/>
        <w:rPr>
          <w:rFonts w:ascii="Arial" w:eastAsia="Calibri" w:hAnsi="Arial" w:cs="Arial"/>
          <w:b/>
          <w:sz w:val="22"/>
          <w:lang w:val="es-ES_tradnl"/>
        </w:rPr>
      </w:pPr>
    </w:p>
    <w:p w14:paraId="29DD5AD8" w14:textId="28722A35" w:rsidR="00800C3D" w:rsidRPr="00AC19AC" w:rsidRDefault="00800C3D" w:rsidP="00AC37D3">
      <w:pPr>
        <w:tabs>
          <w:tab w:val="left" w:pos="0"/>
        </w:tabs>
        <w:jc w:val="both"/>
        <w:rPr>
          <w:rFonts w:ascii="Arial" w:eastAsia="Calibri" w:hAnsi="Arial" w:cs="Arial"/>
          <w:color w:val="000000"/>
          <w:sz w:val="20"/>
          <w:szCs w:val="20"/>
          <w:lang w:val="es-ES_tradnl"/>
        </w:rPr>
      </w:pPr>
      <w:r w:rsidRPr="00AC19AC">
        <w:rPr>
          <w:rFonts w:ascii="Arial" w:eastAsia="Calibri" w:hAnsi="Arial" w:cs="Arial"/>
          <w:bCs/>
          <w:sz w:val="20"/>
          <w:szCs w:val="22"/>
          <w:lang w:val="es-ES_tradnl"/>
        </w:rPr>
        <w:t xml:space="preserve">[…] </w:t>
      </w:r>
      <w:r w:rsidRPr="00AC19AC">
        <w:rPr>
          <w:rFonts w:ascii="Arial" w:eastAsia="Calibri" w:hAnsi="Arial" w:cs="Arial"/>
          <w:color w:val="000000"/>
          <w:sz w:val="20"/>
          <w:szCs w:val="20"/>
          <w:lang w:val="es-ES_tradnl"/>
        </w:rPr>
        <w:t xml:space="preserve">en virtud de la Ley 2022 de 2020, los documentos tipo expedidos por la Agencia Nacional de Contratación Pública son de aplicación obligatoria para las entidades estatales sometidas al Estatuto General de Contratación de la Administración Pública. En ese sentido, el contenido normativo de la Ley 2022 de 2020, y en su momento también la Ley 1882 de 2018, en principio, excluyen del ámbito de aplicación de los documentos tipo la contratación de entidades estatales de régimen exceptuado, por lo general, sujetas al derecho privado. </w:t>
      </w:r>
    </w:p>
    <w:p w14:paraId="205BB2A6" w14:textId="02EBD195" w:rsidR="00800C3D" w:rsidRPr="00AC19AC" w:rsidRDefault="00800C3D" w:rsidP="00AC37D3">
      <w:pPr>
        <w:jc w:val="both"/>
        <w:rPr>
          <w:rFonts w:ascii="Arial" w:eastAsia="Calibri" w:hAnsi="Arial" w:cs="Arial"/>
          <w:bCs/>
          <w:sz w:val="20"/>
          <w:szCs w:val="22"/>
          <w:lang w:val="es-ES_tradnl"/>
        </w:rPr>
      </w:pPr>
    </w:p>
    <w:p w14:paraId="7F8F16A2" w14:textId="35000061" w:rsidR="00AC37D3" w:rsidRPr="00AC19AC" w:rsidRDefault="00AC37D3" w:rsidP="00AC37D3">
      <w:pPr>
        <w:tabs>
          <w:tab w:val="left" w:pos="0"/>
        </w:tabs>
        <w:jc w:val="both"/>
        <w:rPr>
          <w:rFonts w:ascii="Arial" w:eastAsia="Calibri" w:hAnsi="Arial" w:cs="Arial"/>
          <w:color w:val="000000"/>
          <w:sz w:val="20"/>
          <w:szCs w:val="20"/>
          <w:lang w:val="es-ES_tradnl"/>
        </w:rPr>
      </w:pPr>
      <w:r w:rsidRPr="00AC19AC">
        <w:rPr>
          <w:rFonts w:ascii="Arial" w:hAnsi="Arial" w:cs="Arial"/>
          <w:sz w:val="22"/>
          <w:szCs w:val="22"/>
        </w:rPr>
        <w:t xml:space="preserve">[…] </w:t>
      </w:r>
      <w:r w:rsidRPr="00AC19AC">
        <w:rPr>
          <w:rFonts w:ascii="Arial" w:eastAsia="Calibri" w:hAnsi="Arial" w:cs="Arial"/>
          <w:color w:val="000000"/>
          <w:sz w:val="20"/>
          <w:szCs w:val="20"/>
          <w:lang w:val="es-ES_tradnl"/>
        </w:rPr>
        <w:t>No obstante, este panorama ha variado de manera sustancial con la reciente expedición de la Ley 2195 de 2022, «Por medio de la cual se adoptan medidas en materia de transparencia, prevención y lucha contra la corrupción y se dictan otras disposiciones.</w:t>
      </w:r>
      <w:r w:rsidR="008F0B35">
        <w:rPr>
          <w:rFonts w:ascii="Arial" w:eastAsia="Calibri" w:hAnsi="Arial" w:cs="Arial"/>
          <w:color w:val="000000"/>
          <w:sz w:val="20"/>
          <w:szCs w:val="20"/>
          <w:lang w:val="es-ES_tradnl"/>
        </w:rPr>
        <w:t xml:space="preserve"> </w:t>
      </w:r>
      <w:r w:rsidR="008F0B35" w:rsidRPr="00AC19AC">
        <w:rPr>
          <w:rFonts w:ascii="Arial" w:hAnsi="Arial" w:cs="Arial"/>
          <w:sz w:val="22"/>
          <w:szCs w:val="22"/>
        </w:rPr>
        <w:t xml:space="preserve">[…] </w:t>
      </w:r>
      <w:r w:rsidR="008F0B35" w:rsidRPr="008F0B35">
        <w:rPr>
          <w:rFonts w:ascii="Arial" w:eastAsia="Calibri" w:hAnsi="Arial" w:cs="Arial"/>
          <w:color w:val="000000"/>
          <w:sz w:val="20"/>
          <w:szCs w:val="20"/>
          <w:lang w:val="es-ES_tradnl"/>
        </w:rPr>
        <w:t xml:space="preserve">Entre las medidas adoptadas por la Ley mencionada se destaca el artículo 56, norma sobre la que versa la presente consulta. Esta disposición se refiere de manera expresa a los documentos tipo y a su aplicabilidad a sujetos diferentes de las entidades estatales sometidas al Estatuto General de Contratación de la Administración Pública. </w:t>
      </w:r>
      <w:r w:rsidRPr="00AC19AC">
        <w:rPr>
          <w:rFonts w:ascii="Arial" w:eastAsia="Calibri" w:hAnsi="Arial" w:cs="Arial"/>
          <w:color w:val="000000"/>
          <w:sz w:val="20"/>
          <w:szCs w:val="20"/>
          <w:lang w:val="es-ES_tradnl"/>
        </w:rPr>
        <w:t xml:space="preserve"> </w:t>
      </w:r>
    </w:p>
    <w:p w14:paraId="2BD4034B" w14:textId="77777777" w:rsidR="00AC37D3" w:rsidRPr="00AC19AC" w:rsidRDefault="00AC37D3" w:rsidP="00AC37D3">
      <w:pPr>
        <w:jc w:val="both"/>
        <w:rPr>
          <w:rFonts w:ascii="Arial" w:eastAsia="Calibri" w:hAnsi="Arial" w:cs="Arial"/>
          <w:bCs/>
          <w:sz w:val="20"/>
          <w:szCs w:val="22"/>
          <w:lang w:val="es-ES_tradnl"/>
        </w:rPr>
      </w:pPr>
    </w:p>
    <w:p w14:paraId="59003F63" w14:textId="644DEC06" w:rsidR="000277A2" w:rsidRPr="00AC19AC" w:rsidRDefault="002064A6" w:rsidP="00B84866">
      <w:pPr>
        <w:jc w:val="both"/>
        <w:rPr>
          <w:rFonts w:ascii="Arial" w:eastAsia="Calibri" w:hAnsi="Arial" w:cs="Arial"/>
          <w:bCs/>
          <w:sz w:val="20"/>
          <w:szCs w:val="22"/>
          <w:lang w:val="es-ES_tradnl"/>
        </w:rPr>
      </w:pPr>
      <w:r w:rsidRPr="00AC19AC">
        <w:rPr>
          <w:rFonts w:ascii="Arial" w:eastAsia="Calibri" w:hAnsi="Arial" w:cs="Arial"/>
          <w:bCs/>
          <w:sz w:val="20"/>
          <w:szCs w:val="22"/>
          <w:lang w:val="es-ES_tradnl"/>
        </w:rPr>
        <w:t>[…]</w:t>
      </w:r>
      <w:r w:rsidR="00E729DC" w:rsidRPr="00AC19AC">
        <w:rPr>
          <w:rFonts w:ascii="Arial" w:eastAsia="Calibri" w:hAnsi="Arial" w:cs="Arial"/>
          <w:bCs/>
          <w:sz w:val="20"/>
          <w:szCs w:val="22"/>
          <w:lang w:val="es-ES_tradnl"/>
        </w:rPr>
        <w:t xml:space="preserve"> el primer inciso del artículo 56 de la Ley 2195 de 2022 surge como una disposición complementaria de la Ley 2022 de 2020, en la medida en que, según se desprende de su texto, de una parte, la norma busca extender la aplicación obligatoria de los documentos tipo a la celebración de contratos o convenios interadministrativos entre entidades regidas por EGCAP y otros sujetos cuyo régimen de contratación prevalente es el derecho privado. Esto de tal forma que cuando una entidad estatal regida por el EGCAP celebre contratos o convenios con otra i) entidad estatal de régimen especial o con ii) patrimonios autónomos o iii) con personas naturales o jurídicas de derecho privado, tenga que hacerlo aplicando documentos tipo. Los efectos del primer inciso del artículo 56 se proyectarían entonces a los contratos o convenios que se deban celebrar con estos sujetos, cuyos objetos comprendan la adquisición de bienes, obras o servicios, que, al tenor de lo dispuesto en el apartado normativo bajo examen, deberán celebrarse mediante documentos tipo</w:t>
      </w:r>
      <w:r w:rsidRPr="00AC19AC">
        <w:rPr>
          <w:rFonts w:ascii="Arial" w:eastAsia="Calibri" w:hAnsi="Arial" w:cs="Arial"/>
          <w:bCs/>
          <w:sz w:val="20"/>
          <w:szCs w:val="22"/>
          <w:lang w:val="es-ES_tradnl"/>
        </w:rPr>
        <w:t>.</w:t>
      </w:r>
      <w:r w:rsidR="009B01D3" w:rsidRPr="00AC19AC">
        <w:rPr>
          <w:rFonts w:ascii="Arial" w:eastAsia="Calibri" w:hAnsi="Arial" w:cs="Arial"/>
          <w:bCs/>
          <w:sz w:val="20"/>
          <w:szCs w:val="22"/>
          <w:lang w:val="es-ES_tradnl"/>
        </w:rPr>
        <w:t xml:space="preserve"> [….]</w:t>
      </w:r>
      <w:r w:rsidRPr="00AC19AC">
        <w:rPr>
          <w:rFonts w:ascii="Arial" w:eastAsia="Calibri" w:hAnsi="Arial" w:cs="Arial"/>
          <w:bCs/>
          <w:sz w:val="20"/>
          <w:szCs w:val="22"/>
          <w:lang w:val="es-ES_tradnl"/>
        </w:rPr>
        <w:t xml:space="preserve">   </w:t>
      </w:r>
    </w:p>
    <w:p w14:paraId="32C69F60" w14:textId="5BCB6EEF" w:rsidR="00EE79E7" w:rsidRDefault="0070311B" w:rsidP="0070311B">
      <w:pPr>
        <w:jc w:val="right"/>
        <w:rPr>
          <w:rFonts w:ascii="Arial" w:hAnsi="Arial" w:cs="Arial"/>
          <w:b/>
          <w:color w:val="000000" w:themeColor="text1"/>
          <w:sz w:val="22"/>
          <w:lang w:val="pt-BR"/>
        </w:rPr>
      </w:pPr>
      <w:bookmarkStart w:id="3" w:name="_Hlk103862634"/>
      <w:r>
        <w:rPr>
          <w:noProof/>
        </w:rPr>
        <w:lastRenderedPageBreak/>
        <w:drawing>
          <wp:inline distT="0" distB="0" distL="0" distR="0" wp14:anchorId="266BAA1B" wp14:editId="0F48A8AF">
            <wp:extent cx="3581400" cy="933450"/>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2376" t="58261" r="33808" b="12155"/>
                    <a:stretch/>
                  </pic:blipFill>
                  <pic:spPr bwMode="auto">
                    <a:xfrm>
                      <a:off x="0" y="0"/>
                      <a:ext cx="3581400" cy="933450"/>
                    </a:xfrm>
                    <a:prstGeom prst="rect">
                      <a:avLst/>
                    </a:prstGeom>
                    <a:ln>
                      <a:noFill/>
                    </a:ln>
                    <a:extLst>
                      <a:ext uri="{53640926-AAD7-44D8-BBD7-CCE9431645EC}">
                        <a14:shadowObscured xmlns:a14="http://schemas.microsoft.com/office/drawing/2010/main"/>
                      </a:ext>
                    </a:extLst>
                  </pic:spPr>
                </pic:pic>
              </a:graphicData>
            </a:graphic>
          </wp:inline>
        </w:drawing>
      </w:r>
    </w:p>
    <w:p w14:paraId="50EE9FB5" w14:textId="72B49953" w:rsidR="00EE79E7" w:rsidRDefault="00EE79E7" w:rsidP="00B95C30">
      <w:pPr>
        <w:jc w:val="both"/>
        <w:rPr>
          <w:rFonts w:ascii="Arial" w:hAnsi="Arial" w:cs="Arial"/>
          <w:b/>
          <w:color w:val="000000" w:themeColor="text1"/>
          <w:sz w:val="22"/>
          <w:lang w:val="pt-BR"/>
        </w:rPr>
      </w:pPr>
    </w:p>
    <w:p w14:paraId="156AFCAA" w14:textId="43496771" w:rsidR="00632E28" w:rsidRDefault="00632E28" w:rsidP="00B95C30">
      <w:pPr>
        <w:jc w:val="both"/>
        <w:rPr>
          <w:rFonts w:ascii="Arial" w:hAnsi="Arial" w:cs="Arial"/>
          <w:b/>
          <w:color w:val="000000" w:themeColor="text1"/>
          <w:sz w:val="22"/>
          <w:lang w:val="pt-BR"/>
        </w:rPr>
      </w:pPr>
    </w:p>
    <w:p w14:paraId="55C007D0" w14:textId="7B043BD7" w:rsidR="00632E28" w:rsidRPr="00EE79E7" w:rsidRDefault="00632E28" w:rsidP="00632E28">
      <w:pPr>
        <w:jc w:val="both"/>
        <w:rPr>
          <w:rFonts w:ascii="Arial" w:hAnsi="Arial" w:cs="Arial"/>
          <w:bCs/>
          <w:color w:val="000000" w:themeColor="text1"/>
          <w:sz w:val="22"/>
          <w:lang w:val="pt-BR"/>
        </w:rPr>
      </w:pPr>
      <w:r w:rsidRPr="00EE79E7">
        <w:rPr>
          <w:rFonts w:ascii="Arial" w:hAnsi="Arial" w:cs="Arial"/>
          <w:bCs/>
          <w:color w:val="000000" w:themeColor="text1"/>
          <w:sz w:val="22"/>
          <w:lang w:val="pt-BR"/>
        </w:rPr>
        <w:t xml:space="preserve">Bogotá, 19 </w:t>
      </w:r>
      <w:r>
        <w:rPr>
          <w:rFonts w:ascii="Arial" w:hAnsi="Arial" w:cs="Arial"/>
          <w:bCs/>
          <w:color w:val="000000" w:themeColor="text1"/>
          <w:sz w:val="22"/>
          <w:lang w:val="pt-BR"/>
        </w:rPr>
        <w:t>M</w:t>
      </w:r>
      <w:r w:rsidRPr="00EE79E7">
        <w:rPr>
          <w:rFonts w:ascii="Arial" w:hAnsi="Arial" w:cs="Arial"/>
          <w:bCs/>
          <w:color w:val="000000" w:themeColor="text1"/>
          <w:sz w:val="22"/>
          <w:lang w:val="pt-BR"/>
        </w:rPr>
        <w:t>ayo</w:t>
      </w:r>
      <w:r w:rsidRPr="00EE79E7">
        <w:rPr>
          <w:rFonts w:ascii="Arial" w:hAnsi="Arial" w:cs="Arial"/>
          <w:bCs/>
          <w:color w:val="000000" w:themeColor="text1"/>
          <w:sz w:val="22"/>
          <w:lang w:val="pt-BR"/>
        </w:rPr>
        <w:t xml:space="preserve"> 2022</w:t>
      </w:r>
    </w:p>
    <w:p w14:paraId="42F89FFD" w14:textId="77777777" w:rsidR="00632E28" w:rsidRDefault="00632E28" w:rsidP="00632E28">
      <w:pPr>
        <w:jc w:val="both"/>
        <w:rPr>
          <w:rFonts w:ascii="Arial" w:hAnsi="Arial" w:cs="Arial"/>
          <w:b/>
          <w:color w:val="000000" w:themeColor="text1"/>
          <w:sz w:val="22"/>
          <w:lang w:val="pt-BR"/>
        </w:rPr>
      </w:pPr>
    </w:p>
    <w:p w14:paraId="72124439" w14:textId="77777777" w:rsidR="00632E28" w:rsidRPr="00AC19AC" w:rsidRDefault="00632E28" w:rsidP="00B95C30">
      <w:pPr>
        <w:jc w:val="both"/>
        <w:rPr>
          <w:rFonts w:ascii="Arial" w:hAnsi="Arial" w:cs="Arial"/>
          <w:b/>
          <w:color w:val="000000" w:themeColor="text1"/>
          <w:sz w:val="22"/>
          <w:lang w:val="pt-BR"/>
        </w:rPr>
      </w:pPr>
    </w:p>
    <w:p w14:paraId="5F5AE9EF" w14:textId="3073095F" w:rsidR="00B95C30" w:rsidRPr="00AC19AC" w:rsidRDefault="00B95C30" w:rsidP="00B95C30">
      <w:pPr>
        <w:jc w:val="both"/>
        <w:rPr>
          <w:rFonts w:ascii="Arial" w:eastAsia="Calibri" w:hAnsi="Arial" w:cs="Arial"/>
          <w:color w:val="000000" w:themeColor="text1"/>
          <w:sz w:val="22"/>
        </w:rPr>
      </w:pPr>
      <w:bookmarkStart w:id="4" w:name="_Hlk100051121"/>
      <w:r w:rsidRPr="00AC19AC">
        <w:rPr>
          <w:rFonts w:ascii="Arial" w:eastAsia="Calibri" w:hAnsi="Arial" w:cs="Arial"/>
          <w:color w:val="000000" w:themeColor="text1"/>
          <w:sz w:val="22"/>
        </w:rPr>
        <w:t>Señor</w:t>
      </w:r>
      <w:r w:rsidR="00BD7E01" w:rsidRPr="00AC19AC">
        <w:rPr>
          <w:rFonts w:ascii="Arial" w:eastAsia="Calibri" w:hAnsi="Arial" w:cs="Arial"/>
          <w:color w:val="000000" w:themeColor="text1"/>
          <w:sz w:val="22"/>
        </w:rPr>
        <w:t>a</w:t>
      </w:r>
    </w:p>
    <w:p w14:paraId="798A20AC" w14:textId="0742ADC1" w:rsidR="005F5F37" w:rsidRPr="00AC19AC" w:rsidRDefault="00BD7E01" w:rsidP="00BF4EC5">
      <w:pPr>
        <w:jc w:val="both"/>
        <w:rPr>
          <w:rFonts w:ascii="Arial" w:eastAsia="Calibri" w:hAnsi="Arial" w:cs="Arial"/>
          <w:b/>
          <w:color w:val="000000" w:themeColor="text1"/>
          <w:sz w:val="22"/>
        </w:rPr>
      </w:pPr>
      <w:r w:rsidRPr="00AC19AC">
        <w:rPr>
          <w:rFonts w:ascii="Arial" w:eastAsia="Calibri" w:hAnsi="Arial" w:cs="Arial"/>
          <w:b/>
          <w:color w:val="000000" w:themeColor="text1"/>
          <w:sz w:val="22"/>
        </w:rPr>
        <w:t>Alicia Patricia Mestra Petro</w:t>
      </w:r>
    </w:p>
    <w:p w14:paraId="411CBCE1" w14:textId="3C5A69C0" w:rsidR="00BF4EC5" w:rsidRPr="00AC19AC" w:rsidRDefault="00E803A6" w:rsidP="00BF4EC5">
      <w:pPr>
        <w:jc w:val="both"/>
        <w:rPr>
          <w:rFonts w:ascii="Arial" w:eastAsia="Calibri" w:hAnsi="Arial" w:cs="Arial"/>
          <w:bCs/>
          <w:color w:val="000000" w:themeColor="text1"/>
          <w:sz w:val="22"/>
        </w:rPr>
      </w:pPr>
      <w:r w:rsidRPr="00AC19AC">
        <w:rPr>
          <w:rFonts w:ascii="Arial" w:eastAsia="Calibri" w:hAnsi="Arial" w:cs="Arial"/>
          <w:bCs/>
          <w:color w:val="000000" w:themeColor="text1"/>
          <w:sz w:val="22"/>
        </w:rPr>
        <w:t>Bogotá D.C.</w:t>
      </w:r>
      <w:r w:rsidR="00BF4EC5" w:rsidRPr="00AC19AC">
        <w:rPr>
          <w:rFonts w:ascii="Arial" w:eastAsia="Calibri" w:hAnsi="Arial" w:cs="Arial"/>
          <w:bCs/>
          <w:color w:val="000000" w:themeColor="text1"/>
          <w:sz w:val="22"/>
        </w:rPr>
        <w:t xml:space="preserve"> </w:t>
      </w:r>
    </w:p>
    <w:p w14:paraId="4A1C8FFE" w14:textId="127AF552" w:rsidR="008120C4" w:rsidRPr="00AC19AC" w:rsidRDefault="008120C4" w:rsidP="003C0791">
      <w:pPr>
        <w:rPr>
          <w:rFonts w:ascii="Arial" w:eastAsia="Calibri" w:hAnsi="Arial" w:cs="Arial"/>
          <w:b/>
          <w:bCs/>
          <w:color w:val="000000" w:themeColor="text1"/>
          <w:sz w:val="22"/>
        </w:rPr>
      </w:pPr>
    </w:p>
    <w:p w14:paraId="122205C3" w14:textId="77777777" w:rsidR="000277A2" w:rsidRPr="00AC19AC" w:rsidRDefault="000277A2" w:rsidP="0070311B">
      <w:pPr>
        <w:jc w:val="right"/>
        <w:rPr>
          <w:rFonts w:ascii="Arial" w:eastAsia="Calibri" w:hAnsi="Arial" w:cs="Arial"/>
          <w:b/>
          <w:bCs/>
          <w:color w:val="000000" w:themeColor="text1"/>
          <w:sz w:val="22"/>
        </w:rPr>
      </w:pPr>
    </w:p>
    <w:p w14:paraId="1BD594F9" w14:textId="3D521129" w:rsidR="00B95C30" w:rsidRPr="00AC19AC" w:rsidRDefault="005B1504" w:rsidP="003C0791">
      <w:pPr>
        <w:rPr>
          <w:rFonts w:ascii="Arial" w:eastAsia="Calibri" w:hAnsi="Arial" w:cs="Arial"/>
          <w:b/>
          <w:bCs/>
          <w:color w:val="000000" w:themeColor="text1"/>
          <w:sz w:val="22"/>
          <w:lang w:val="pt-BR"/>
        </w:rPr>
      </w:pPr>
      <w:r w:rsidRPr="00AC19AC">
        <w:rPr>
          <w:rFonts w:ascii="Arial" w:eastAsia="Calibri" w:hAnsi="Arial" w:cs="Arial"/>
          <w:b/>
          <w:bCs/>
          <w:color w:val="000000" w:themeColor="text1"/>
          <w:sz w:val="22"/>
        </w:rPr>
        <w:t xml:space="preserve">                     </w:t>
      </w:r>
      <w:r w:rsidR="00923FA6" w:rsidRPr="00AC19AC">
        <w:rPr>
          <w:rFonts w:ascii="Arial" w:eastAsia="Calibri" w:hAnsi="Arial" w:cs="Arial"/>
          <w:b/>
          <w:bCs/>
          <w:color w:val="000000" w:themeColor="text1"/>
          <w:sz w:val="22"/>
        </w:rPr>
        <w:t xml:space="preserve">                      </w:t>
      </w:r>
      <w:r w:rsidRPr="00AC19AC">
        <w:rPr>
          <w:rFonts w:ascii="Arial" w:eastAsia="Calibri" w:hAnsi="Arial" w:cs="Arial"/>
          <w:b/>
          <w:bCs/>
          <w:color w:val="000000" w:themeColor="text1"/>
          <w:sz w:val="22"/>
        </w:rPr>
        <w:t xml:space="preserve"> </w:t>
      </w:r>
      <w:r w:rsidR="00023FA5" w:rsidRPr="00AC19AC">
        <w:rPr>
          <w:rFonts w:ascii="Arial" w:eastAsia="Calibri" w:hAnsi="Arial" w:cs="Arial"/>
          <w:b/>
          <w:bCs/>
          <w:color w:val="000000" w:themeColor="text1"/>
          <w:sz w:val="22"/>
          <w:lang w:val="pt-BR"/>
        </w:rPr>
        <w:t xml:space="preserve">Concepto C ‒ </w:t>
      </w:r>
      <w:r w:rsidR="00050705" w:rsidRPr="00AC19AC">
        <w:rPr>
          <w:rFonts w:ascii="Arial" w:eastAsia="Calibri" w:hAnsi="Arial" w:cs="Arial"/>
          <w:b/>
          <w:bCs/>
          <w:color w:val="000000" w:themeColor="text1"/>
          <w:sz w:val="22"/>
          <w:lang w:val="pt-BR"/>
        </w:rPr>
        <w:t>339</w:t>
      </w:r>
      <w:r w:rsidR="000277A2" w:rsidRPr="00AC19AC">
        <w:rPr>
          <w:rFonts w:ascii="Arial" w:eastAsia="Calibri" w:hAnsi="Arial" w:cs="Arial"/>
          <w:b/>
          <w:bCs/>
          <w:color w:val="000000" w:themeColor="text1"/>
          <w:sz w:val="22"/>
          <w:lang w:val="pt-BR"/>
        </w:rPr>
        <w:t xml:space="preserve"> </w:t>
      </w:r>
      <w:r w:rsidR="00275FBF" w:rsidRPr="00AC19AC">
        <w:rPr>
          <w:rFonts w:ascii="Arial" w:eastAsia="Calibri" w:hAnsi="Arial" w:cs="Arial"/>
          <w:b/>
          <w:bCs/>
          <w:color w:val="000000" w:themeColor="text1"/>
          <w:sz w:val="22"/>
          <w:lang w:val="pt-BR"/>
        </w:rPr>
        <w:t>de 202</w:t>
      </w:r>
      <w:r w:rsidR="00BF4EC5" w:rsidRPr="00AC19AC">
        <w:rPr>
          <w:rFonts w:ascii="Arial" w:eastAsia="Calibri" w:hAnsi="Arial" w:cs="Arial"/>
          <w:b/>
          <w:bCs/>
          <w:color w:val="000000" w:themeColor="text1"/>
          <w:sz w:val="22"/>
          <w:lang w:val="pt-BR"/>
        </w:rPr>
        <w:t>2</w:t>
      </w:r>
    </w:p>
    <w:p w14:paraId="7063750E" w14:textId="77777777" w:rsidR="005F5F37" w:rsidRPr="00AC19AC" w:rsidRDefault="005F5F37" w:rsidP="003C0791">
      <w:pPr>
        <w:rPr>
          <w:rFonts w:ascii="Arial" w:eastAsia="Calibri" w:hAnsi="Arial" w:cs="Arial"/>
          <w:b/>
          <w:bCs/>
          <w:color w:val="000000" w:themeColor="text1"/>
          <w:sz w:val="22"/>
          <w:lang w:val="pt-BR"/>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B95C30" w:rsidRPr="00AC19AC" w14:paraId="19DFC051" w14:textId="77777777" w:rsidTr="007C2C49">
        <w:tc>
          <w:tcPr>
            <w:tcW w:w="2689" w:type="dxa"/>
          </w:tcPr>
          <w:p w14:paraId="6BC0D1AC" w14:textId="569BAEB9" w:rsidR="00B95C30" w:rsidRPr="00AC19AC" w:rsidRDefault="00B95C30" w:rsidP="00D15356">
            <w:pPr>
              <w:jc w:val="both"/>
              <w:rPr>
                <w:rFonts w:ascii="Arial" w:eastAsia="Calibri" w:hAnsi="Arial" w:cs="Arial"/>
                <w:color w:val="000000" w:themeColor="text1"/>
                <w:sz w:val="22"/>
                <w:lang w:val="es-ES_tradnl"/>
              </w:rPr>
            </w:pPr>
            <w:r w:rsidRPr="00AC19AC">
              <w:rPr>
                <w:rFonts w:ascii="Arial" w:eastAsia="Calibri" w:hAnsi="Arial" w:cs="Arial"/>
                <w:b/>
                <w:color w:val="000000" w:themeColor="text1"/>
                <w:sz w:val="22"/>
                <w:lang w:val="es-ES_tradnl"/>
              </w:rPr>
              <w:t>Temas:</w:t>
            </w:r>
            <w:r w:rsidR="005B1504" w:rsidRPr="00AC19AC">
              <w:rPr>
                <w:rFonts w:ascii="Arial" w:eastAsia="Calibri" w:hAnsi="Arial" w:cs="Arial"/>
                <w:color w:val="000000" w:themeColor="text1"/>
                <w:sz w:val="22"/>
                <w:lang w:val="es-ES_tradnl"/>
              </w:rPr>
              <w:t xml:space="preserve">                   </w:t>
            </w:r>
          </w:p>
        </w:tc>
        <w:tc>
          <w:tcPr>
            <w:tcW w:w="6100" w:type="dxa"/>
          </w:tcPr>
          <w:p w14:paraId="5F389CAF" w14:textId="330F9074" w:rsidR="00B95C30" w:rsidRPr="00AC19AC" w:rsidRDefault="00AD0852" w:rsidP="00AC37D3">
            <w:pPr>
              <w:tabs>
                <w:tab w:val="left" w:pos="0"/>
              </w:tabs>
              <w:jc w:val="both"/>
              <w:rPr>
                <w:rFonts w:ascii="Arial" w:eastAsia="Calibri" w:hAnsi="Arial" w:cs="Arial"/>
                <w:bCs/>
                <w:sz w:val="22"/>
                <w:lang w:val="es-ES_tradnl"/>
              </w:rPr>
            </w:pPr>
            <w:r w:rsidRPr="00AC19AC">
              <w:rPr>
                <w:rFonts w:ascii="Arial" w:hAnsi="Arial" w:cs="Arial"/>
                <w:bCs/>
                <w:color w:val="000000" w:themeColor="text1"/>
                <w:sz w:val="22"/>
                <w:lang w:val="es-ES_tradnl"/>
              </w:rPr>
              <w:t>DOCUMENTOS TIPO – Fundamento normativo /</w:t>
            </w:r>
            <w:r w:rsidRPr="00AC19AC">
              <w:rPr>
                <w:rFonts w:ascii="Arial" w:hAnsi="Arial" w:cs="Arial"/>
                <w:b/>
                <w:bCs/>
                <w:color w:val="000000" w:themeColor="text1"/>
                <w:sz w:val="22"/>
                <w:lang w:val="es-ES_tradnl"/>
              </w:rPr>
              <w:t xml:space="preserve"> </w:t>
            </w:r>
            <w:r w:rsidRPr="00AC19AC">
              <w:rPr>
                <w:rFonts w:ascii="Arial" w:eastAsia="Calibri" w:hAnsi="Arial" w:cs="Arial"/>
                <w:bCs/>
                <w:sz w:val="22"/>
                <w:lang w:val="es-ES_tradnl"/>
              </w:rPr>
              <w:t xml:space="preserve"> </w:t>
            </w:r>
            <w:r w:rsidR="00F90FA8" w:rsidRPr="00AC19AC">
              <w:rPr>
                <w:rFonts w:ascii="Arial" w:eastAsia="Calibri" w:hAnsi="Arial" w:cs="Arial"/>
                <w:bCs/>
                <w:sz w:val="22"/>
                <w:lang w:val="es-ES_tradnl"/>
              </w:rPr>
              <w:t xml:space="preserve">DOCUMENTOS TIPO – Ámbito de aplicación / </w:t>
            </w:r>
            <w:r w:rsidR="000277A2" w:rsidRPr="00AC19AC">
              <w:rPr>
                <w:rFonts w:ascii="Arial" w:eastAsia="Calibri" w:hAnsi="Arial" w:cs="Arial"/>
                <w:bCs/>
                <w:sz w:val="22"/>
                <w:lang w:val="es-ES_tradnl"/>
              </w:rPr>
              <w:t xml:space="preserve">LEY 2195 DE 2022 – </w:t>
            </w:r>
            <w:r w:rsidR="00AC37D3" w:rsidRPr="00AC19AC">
              <w:rPr>
                <w:rFonts w:ascii="Arial" w:eastAsia="Calibri" w:hAnsi="Arial" w:cs="Arial"/>
                <w:bCs/>
                <w:sz w:val="22"/>
                <w:lang w:val="es-ES_tradnl"/>
              </w:rPr>
              <w:t xml:space="preserve">Aplicación – </w:t>
            </w:r>
            <w:r w:rsidR="000277A2" w:rsidRPr="00AC19AC">
              <w:rPr>
                <w:rFonts w:ascii="Arial" w:eastAsia="Calibri" w:hAnsi="Arial" w:cs="Arial"/>
                <w:bCs/>
                <w:sz w:val="22"/>
                <w:lang w:val="es-ES_tradnl"/>
              </w:rPr>
              <w:t xml:space="preserve">Artículo 56 </w:t>
            </w:r>
          </w:p>
        </w:tc>
      </w:tr>
      <w:tr w:rsidR="00B95C30" w:rsidRPr="00AC19AC" w14:paraId="27CD52AB" w14:textId="77777777" w:rsidTr="007C2C49">
        <w:tc>
          <w:tcPr>
            <w:tcW w:w="2689" w:type="dxa"/>
          </w:tcPr>
          <w:p w14:paraId="37E195A1" w14:textId="017D9507" w:rsidR="00B95C30" w:rsidRPr="00AC19AC" w:rsidRDefault="00B95C30" w:rsidP="00D15356">
            <w:pPr>
              <w:spacing w:before="120"/>
              <w:jc w:val="both"/>
              <w:rPr>
                <w:rFonts w:ascii="Arial" w:eastAsia="Calibri" w:hAnsi="Arial" w:cs="Arial"/>
                <w:b/>
                <w:color w:val="000000" w:themeColor="text1"/>
                <w:sz w:val="22"/>
                <w:lang w:val="es-ES_tradnl"/>
              </w:rPr>
            </w:pPr>
            <w:r w:rsidRPr="00AC19AC">
              <w:rPr>
                <w:rFonts w:ascii="Arial" w:eastAsia="Calibri" w:hAnsi="Arial" w:cs="Arial"/>
                <w:b/>
                <w:color w:val="000000" w:themeColor="text1"/>
                <w:sz w:val="22"/>
                <w:lang w:val="es-ES_tradnl"/>
              </w:rPr>
              <w:t>Radicación:</w:t>
            </w:r>
            <w:r w:rsidR="005B1504" w:rsidRPr="00AC19AC">
              <w:rPr>
                <w:rFonts w:ascii="Arial" w:eastAsia="Calibri" w:hAnsi="Arial" w:cs="Arial"/>
                <w:color w:val="000000" w:themeColor="text1"/>
                <w:sz w:val="22"/>
                <w:lang w:val="es-ES_tradnl"/>
              </w:rPr>
              <w:t xml:space="preserve">               </w:t>
            </w:r>
          </w:p>
        </w:tc>
        <w:tc>
          <w:tcPr>
            <w:tcW w:w="6100" w:type="dxa"/>
          </w:tcPr>
          <w:p w14:paraId="09088B1B" w14:textId="677487F4" w:rsidR="00B95C30" w:rsidRPr="00AC19AC" w:rsidRDefault="00B95C30" w:rsidP="00FF7134">
            <w:pPr>
              <w:spacing w:before="120"/>
              <w:jc w:val="both"/>
              <w:rPr>
                <w:rFonts w:ascii="Arial" w:eastAsia="Calibri" w:hAnsi="Arial" w:cs="Arial"/>
                <w:color w:val="000000" w:themeColor="text1"/>
                <w:sz w:val="22"/>
                <w:lang w:val="es-ES_tradnl"/>
              </w:rPr>
            </w:pPr>
            <w:r w:rsidRPr="00AC19AC">
              <w:rPr>
                <w:rFonts w:ascii="Arial" w:eastAsia="Calibri" w:hAnsi="Arial" w:cs="Arial"/>
                <w:color w:val="000000" w:themeColor="text1"/>
                <w:sz w:val="22"/>
                <w:lang w:val="es-ES_tradnl"/>
              </w:rPr>
              <w:t>Respuesta a consulta</w:t>
            </w:r>
            <w:r w:rsidR="00F21D6D" w:rsidRPr="00AC19AC">
              <w:rPr>
                <w:rFonts w:ascii="Arial" w:eastAsia="Calibri" w:hAnsi="Arial" w:cs="Arial"/>
                <w:color w:val="000000" w:themeColor="text1"/>
                <w:sz w:val="22"/>
                <w:lang w:val="es-ES_tradnl"/>
              </w:rPr>
              <w:t xml:space="preserve"> </w:t>
            </w:r>
            <w:r w:rsidR="007F120F" w:rsidRPr="00AC19AC">
              <w:rPr>
                <w:rFonts w:ascii="Arial" w:eastAsia="Calibri" w:hAnsi="Arial" w:cs="Arial"/>
                <w:color w:val="000000" w:themeColor="text1"/>
                <w:sz w:val="22"/>
              </w:rPr>
              <w:t>P20220412003707</w:t>
            </w:r>
          </w:p>
        </w:tc>
      </w:tr>
    </w:tbl>
    <w:p w14:paraId="234C0002" w14:textId="77777777" w:rsidR="005F5F37" w:rsidRPr="00AC19AC" w:rsidRDefault="005F5F37" w:rsidP="00E77523">
      <w:pPr>
        <w:jc w:val="both"/>
        <w:rPr>
          <w:rFonts w:ascii="Arial" w:eastAsia="Calibri" w:hAnsi="Arial" w:cs="Arial"/>
          <w:color w:val="000000" w:themeColor="text1"/>
          <w:sz w:val="22"/>
          <w:lang w:val="es-ES_tradnl"/>
        </w:rPr>
      </w:pPr>
    </w:p>
    <w:p w14:paraId="1EAE5543" w14:textId="1CAC64E6" w:rsidR="00DD5B04" w:rsidRPr="00AC19AC" w:rsidRDefault="003C3339" w:rsidP="00E77523">
      <w:pPr>
        <w:spacing w:before="240"/>
        <w:jc w:val="both"/>
        <w:rPr>
          <w:rFonts w:ascii="Arial" w:eastAsia="Calibri" w:hAnsi="Arial" w:cs="Arial"/>
          <w:color w:val="000000" w:themeColor="text1"/>
          <w:sz w:val="22"/>
          <w:lang w:val="es-ES_tradnl"/>
        </w:rPr>
      </w:pPr>
      <w:r w:rsidRPr="00AC19AC">
        <w:rPr>
          <w:rFonts w:ascii="Arial" w:eastAsia="Calibri" w:hAnsi="Arial" w:cs="Arial"/>
          <w:color w:val="000000" w:themeColor="text1"/>
          <w:sz w:val="22"/>
          <w:lang w:val="es-ES_tradnl"/>
        </w:rPr>
        <w:t>Estimad</w:t>
      </w:r>
      <w:r w:rsidR="00BD7E01" w:rsidRPr="00AC19AC">
        <w:rPr>
          <w:rFonts w:ascii="Arial" w:eastAsia="Calibri" w:hAnsi="Arial" w:cs="Arial"/>
          <w:color w:val="000000" w:themeColor="text1"/>
          <w:sz w:val="22"/>
          <w:lang w:val="es-ES_tradnl"/>
        </w:rPr>
        <w:t>a</w:t>
      </w:r>
      <w:r w:rsidRPr="00AC19AC">
        <w:rPr>
          <w:rFonts w:ascii="Arial" w:eastAsia="Calibri" w:hAnsi="Arial" w:cs="Arial"/>
          <w:color w:val="000000" w:themeColor="text1"/>
          <w:sz w:val="22"/>
          <w:lang w:val="es-ES_tradnl"/>
        </w:rPr>
        <w:t xml:space="preserve"> señor</w:t>
      </w:r>
      <w:r w:rsidR="00BD7E01" w:rsidRPr="00AC19AC">
        <w:rPr>
          <w:rFonts w:ascii="Arial" w:eastAsia="Calibri" w:hAnsi="Arial" w:cs="Arial"/>
          <w:color w:val="000000" w:themeColor="text1"/>
          <w:sz w:val="22"/>
          <w:lang w:val="es-ES_tradnl"/>
        </w:rPr>
        <w:t>a</w:t>
      </w:r>
      <w:r w:rsidR="00BF4EC5" w:rsidRPr="00AC19AC">
        <w:rPr>
          <w:rFonts w:ascii="Arial" w:eastAsia="Calibri" w:hAnsi="Arial" w:cs="Arial"/>
          <w:color w:val="000000" w:themeColor="text1"/>
          <w:sz w:val="22"/>
          <w:lang w:val="es-ES_tradnl"/>
        </w:rPr>
        <w:t xml:space="preserve"> </w:t>
      </w:r>
      <w:r w:rsidR="00BD7E01" w:rsidRPr="00AC19AC">
        <w:rPr>
          <w:rFonts w:ascii="Arial" w:eastAsia="Calibri" w:hAnsi="Arial" w:cs="Arial"/>
          <w:color w:val="000000" w:themeColor="text1"/>
          <w:sz w:val="22"/>
          <w:lang w:val="es-ES_tradnl"/>
        </w:rPr>
        <w:t>Mestra</w:t>
      </w:r>
      <w:r w:rsidR="008C3FFC" w:rsidRPr="00AC19AC">
        <w:rPr>
          <w:rFonts w:ascii="Arial" w:eastAsia="Calibri" w:hAnsi="Arial" w:cs="Arial"/>
          <w:color w:val="000000" w:themeColor="text1"/>
          <w:sz w:val="22"/>
          <w:lang w:val="es-ES_tradnl"/>
        </w:rPr>
        <w:t xml:space="preserve">: </w:t>
      </w:r>
    </w:p>
    <w:p w14:paraId="0C1E0712" w14:textId="767119FE" w:rsidR="00DD5B04" w:rsidRPr="00AC19AC" w:rsidRDefault="00DD5B04" w:rsidP="00E77523">
      <w:pPr>
        <w:spacing w:before="240" w:line="276" w:lineRule="auto"/>
        <w:jc w:val="both"/>
        <w:rPr>
          <w:rFonts w:ascii="Arial" w:eastAsia="Calibri" w:hAnsi="Arial" w:cs="Arial"/>
          <w:color w:val="000000" w:themeColor="text1"/>
          <w:sz w:val="22"/>
          <w:lang w:val="es-ES_tradnl"/>
        </w:rPr>
      </w:pPr>
      <w:r w:rsidRPr="00AC19AC">
        <w:rPr>
          <w:rFonts w:ascii="Arial" w:eastAsia="Calibri" w:hAnsi="Arial" w:cs="Arial"/>
          <w:color w:val="000000" w:themeColor="text1"/>
          <w:sz w:val="22"/>
          <w:lang w:val="es-ES_tradnl"/>
        </w:rPr>
        <w:t>En ejercicio de la competencia otorgada por el numeral 8 del artículo 11 y el numeral 5 del artículo 3 del Decreto Ley 4170 de 2011,</w:t>
      </w:r>
      <w:r w:rsidR="00B24D49" w:rsidRPr="00AC19AC">
        <w:rPr>
          <w:rFonts w:ascii="Arial MT" w:eastAsia="Arial MT" w:hAnsi="Arial MT" w:cs="Arial MT"/>
          <w:sz w:val="22"/>
          <w:lang w:val="es-ES"/>
        </w:rPr>
        <w:t xml:space="preserve"> </w:t>
      </w:r>
      <w:r w:rsidR="00B24D49" w:rsidRPr="00AC19AC">
        <w:rPr>
          <w:rFonts w:ascii="Arial" w:eastAsia="Calibri" w:hAnsi="Arial" w:cs="Arial"/>
          <w:color w:val="000000" w:themeColor="text1"/>
          <w:sz w:val="22"/>
          <w:lang w:val="es-ES"/>
        </w:rPr>
        <w:t>y dentro de los términos establecidos en el artículo 14 de la Ley 1437 de 2011</w:t>
      </w:r>
      <w:r w:rsidR="007917AD" w:rsidRPr="00AC19AC">
        <w:rPr>
          <w:rFonts w:ascii="Arial" w:eastAsia="Calibri" w:hAnsi="Arial" w:cs="Arial"/>
          <w:color w:val="000000" w:themeColor="text1"/>
          <w:sz w:val="22"/>
          <w:lang w:val="es-ES"/>
        </w:rPr>
        <w:t>,</w:t>
      </w:r>
      <w:r w:rsidRPr="00AC19AC">
        <w:rPr>
          <w:rFonts w:ascii="Arial" w:eastAsia="Calibri" w:hAnsi="Arial" w:cs="Arial"/>
          <w:color w:val="000000" w:themeColor="text1"/>
          <w:sz w:val="22"/>
          <w:lang w:val="es-ES_tradnl"/>
        </w:rPr>
        <w:t xml:space="preserve"> la Agencia Nacional de Contratación Pública ― Colombia Compra Eficiente</w:t>
      </w:r>
      <w:r w:rsidR="00CE69CC" w:rsidRPr="00AC19AC">
        <w:rPr>
          <w:rFonts w:ascii="Arial" w:eastAsia="Calibri" w:hAnsi="Arial" w:cs="Arial"/>
          <w:color w:val="000000" w:themeColor="text1"/>
          <w:sz w:val="22"/>
          <w:lang w:val="es-ES_tradnl"/>
        </w:rPr>
        <w:t xml:space="preserve">, </w:t>
      </w:r>
      <w:r w:rsidRPr="00AC19AC">
        <w:rPr>
          <w:rFonts w:ascii="Arial" w:eastAsia="Calibri" w:hAnsi="Arial" w:cs="Arial"/>
          <w:color w:val="000000" w:themeColor="text1"/>
          <w:sz w:val="22"/>
          <w:lang w:val="es-ES_tradnl"/>
        </w:rPr>
        <w:t>responde su consulta</w:t>
      </w:r>
      <w:r w:rsidR="00E8414B" w:rsidRPr="00AC19AC">
        <w:rPr>
          <w:rFonts w:ascii="Arial" w:eastAsia="Calibri" w:hAnsi="Arial" w:cs="Arial"/>
          <w:color w:val="000000" w:themeColor="text1"/>
          <w:sz w:val="22"/>
          <w:lang w:val="es-ES_tradnl"/>
        </w:rPr>
        <w:t xml:space="preserve"> </w:t>
      </w:r>
      <w:r w:rsidRPr="00AC19AC">
        <w:rPr>
          <w:rFonts w:ascii="Arial" w:eastAsia="Calibri" w:hAnsi="Arial" w:cs="Arial"/>
          <w:color w:val="000000" w:themeColor="text1"/>
          <w:sz w:val="22"/>
          <w:lang w:val="es-ES_tradnl"/>
        </w:rPr>
        <w:t xml:space="preserve">del </w:t>
      </w:r>
      <w:r w:rsidR="008843C0" w:rsidRPr="00AC19AC">
        <w:rPr>
          <w:rFonts w:ascii="Arial" w:eastAsia="Calibri" w:hAnsi="Arial" w:cs="Arial"/>
          <w:color w:val="000000" w:themeColor="text1"/>
          <w:sz w:val="22"/>
          <w:lang w:val="es-ES_tradnl"/>
        </w:rPr>
        <w:t>12</w:t>
      </w:r>
      <w:r w:rsidR="008C3FFC" w:rsidRPr="00AC19AC">
        <w:rPr>
          <w:rFonts w:ascii="Arial" w:eastAsia="Calibri" w:hAnsi="Arial" w:cs="Arial"/>
          <w:color w:val="000000" w:themeColor="text1"/>
          <w:sz w:val="22"/>
          <w:lang w:val="es-ES_tradnl"/>
        </w:rPr>
        <w:t xml:space="preserve"> </w:t>
      </w:r>
      <w:r w:rsidR="00F21D6D" w:rsidRPr="00AC19AC">
        <w:rPr>
          <w:rFonts w:ascii="Arial" w:eastAsia="Calibri" w:hAnsi="Arial" w:cs="Arial"/>
          <w:color w:val="000000" w:themeColor="text1"/>
          <w:sz w:val="22"/>
          <w:lang w:val="es-ES_tradnl"/>
        </w:rPr>
        <w:t xml:space="preserve">de </w:t>
      </w:r>
      <w:r w:rsidR="008843C0" w:rsidRPr="00AC19AC">
        <w:rPr>
          <w:rFonts w:ascii="Arial" w:eastAsia="Calibri" w:hAnsi="Arial" w:cs="Arial"/>
          <w:color w:val="000000" w:themeColor="text1"/>
          <w:sz w:val="22"/>
          <w:lang w:val="es-ES_tradnl"/>
        </w:rPr>
        <w:t>abril</w:t>
      </w:r>
      <w:r w:rsidR="00F21D6D" w:rsidRPr="00AC19AC">
        <w:rPr>
          <w:rFonts w:ascii="Arial" w:eastAsia="Calibri" w:hAnsi="Arial" w:cs="Arial"/>
          <w:color w:val="000000" w:themeColor="text1"/>
          <w:sz w:val="22"/>
          <w:lang w:val="es-ES_tradnl"/>
        </w:rPr>
        <w:t xml:space="preserve"> </w:t>
      </w:r>
      <w:r w:rsidR="00990BC7" w:rsidRPr="00AC19AC">
        <w:rPr>
          <w:rFonts w:ascii="Arial" w:eastAsia="Calibri" w:hAnsi="Arial" w:cs="Arial"/>
          <w:color w:val="000000" w:themeColor="text1"/>
          <w:sz w:val="22"/>
          <w:lang w:val="es-ES_tradnl"/>
        </w:rPr>
        <w:t xml:space="preserve">de </w:t>
      </w:r>
      <w:r w:rsidR="00F21D6D" w:rsidRPr="00AC19AC">
        <w:rPr>
          <w:rFonts w:ascii="Arial" w:eastAsia="Calibri" w:hAnsi="Arial" w:cs="Arial"/>
          <w:color w:val="000000" w:themeColor="text1"/>
          <w:sz w:val="22"/>
          <w:lang w:val="es-ES_tradnl"/>
        </w:rPr>
        <w:t>202</w:t>
      </w:r>
      <w:r w:rsidR="00BF4EC5" w:rsidRPr="00AC19AC">
        <w:rPr>
          <w:rFonts w:ascii="Arial" w:eastAsia="Calibri" w:hAnsi="Arial" w:cs="Arial"/>
          <w:color w:val="000000" w:themeColor="text1"/>
          <w:sz w:val="22"/>
          <w:lang w:val="es-ES_tradnl"/>
        </w:rPr>
        <w:t>2</w:t>
      </w:r>
      <w:r w:rsidR="00F21D6D" w:rsidRPr="00AC19AC">
        <w:rPr>
          <w:rFonts w:ascii="Arial" w:eastAsia="Calibri" w:hAnsi="Arial" w:cs="Arial"/>
          <w:color w:val="000000" w:themeColor="text1"/>
          <w:sz w:val="22"/>
          <w:lang w:val="es-ES_tradnl"/>
        </w:rPr>
        <w:t>.</w:t>
      </w:r>
    </w:p>
    <w:p w14:paraId="224B43D3" w14:textId="213EA6B5" w:rsidR="00DD5B04" w:rsidRPr="00AC19AC" w:rsidRDefault="00DD5B04" w:rsidP="00E77523">
      <w:pPr>
        <w:pStyle w:val="Prrafodelista"/>
        <w:numPr>
          <w:ilvl w:val="0"/>
          <w:numId w:val="8"/>
        </w:numPr>
        <w:tabs>
          <w:tab w:val="left" w:pos="0"/>
          <w:tab w:val="left" w:pos="142"/>
          <w:tab w:val="left" w:pos="284"/>
        </w:tabs>
        <w:spacing w:before="240" w:line="276" w:lineRule="auto"/>
        <w:ind w:left="0" w:firstLine="0"/>
        <w:jc w:val="both"/>
        <w:rPr>
          <w:rFonts w:ascii="Arial" w:eastAsia="Calibri" w:hAnsi="Arial" w:cs="Arial"/>
          <w:b/>
          <w:color w:val="000000" w:themeColor="text1"/>
          <w:sz w:val="22"/>
          <w:lang w:val="es-ES_tradnl"/>
        </w:rPr>
      </w:pPr>
      <w:r w:rsidRPr="00AC19AC">
        <w:rPr>
          <w:rFonts w:ascii="Arial" w:eastAsia="Calibri" w:hAnsi="Arial" w:cs="Arial"/>
          <w:b/>
          <w:color w:val="000000" w:themeColor="text1"/>
          <w:sz w:val="22"/>
          <w:lang w:val="es-ES_tradnl"/>
        </w:rPr>
        <w:t xml:space="preserve">Problema planteado </w:t>
      </w:r>
    </w:p>
    <w:p w14:paraId="6DBBF65B" w14:textId="7B8E2FD6" w:rsidR="00855F52" w:rsidRPr="00AC19AC" w:rsidRDefault="00653FD4" w:rsidP="00E77523">
      <w:pPr>
        <w:spacing w:before="240" w:line="276" w:lineRule="auto"/>
        <w:jc w:val="both"/>
        <w:rPr>
          <w:rFonts w:ascii="Arial" w:hAnsi="Arial" w:cs="Arial"/>
          <w:sz w:val="22"/>
          <w:szCs w:val="22"/>
          <w:lang w:val="es-ES_tradnl"/>
        </w:rPr>
      </w:pPr>
      <w:r w:rsidRPr="00AC19AC">
        <w:rPr>
          <w:rFonts w:ascii="Arial" w:hAnsi="Arial" w:cs="Arial"/>
          <w:sz w:val="22"/>
          <w:szCs w:val="22"/>
          <w:lang w:val="es-ES_tradnl"/>
        </w:rPr>
        <w:t>Usted formula la siguiente consulta</w:t>
      </w:r>
    </w:p>
    <w:p w14:paraId="3B7980AE" w14:textId="189D6C9C" w:rsidR="00855F52" w:rsidRPr="00AC19AC" w:rsidRDefault="000037D0" w:rsidP="00E77523">
      <w:pPr>
        <w:spacing w:before="240"/>
        <w:ind w:left="709" w:right="851"/>
        <w:jc w:val="both"/>
        <w:rPr>
          <w:rFonts w:ascii="Arial" w:eastAsia="Calibri" w:hAnsi="Arial" w:cs="Arial"/>
          <w:color w:val="000000" w:themeColor="text1"/>
          <w:sz w:val="21"/>
          <w:szCs w:val="21"/>
          <w:lang w:eastAsia="es-CO"/>
        </w:rPr>
      </w:pPr>
      <w:bookmarkStart w:id="5" w:name="_Hlk99125763"/>
      <w:r w:rsidRPr="00AC19AC">
        <w:rPr>
          <w:rFonts w:ascii="Arial" w:hAnsi="Arial" w:cs="Arial"/>
          <w:iCs/>
          <w:color w:val="000000" w:themeColor="text1"/>
          <w:sz w:val="21"/>
          <w:szCs w:val="21"/>
          <w:lang w:val="es-ES_tradnl"/>
        </w:rPr>
        <w:t>«</w:t>
      </w:r>
      <w:bookmarkEnd w:id="5"/>
      <w:r w:rsidR="00855F52" w:rsidRPr="00AC19AC">
        <w:rPr>
          <w:rFonts w:ascii="Arial" w:hAnsi="Arial" w:cs="Arial"/>
          <w:sz w:val="21"/>
          <w:szCs w:val="21"/>
        </w:rPr>
        <w:t>[…]</w:t>
      </w:r>
      <w:r w:rsidR="00855F52" w:rsidRPr="00AC19AC">
        <w:rPr>
          <w:rFonts w:ascii="Arial" w:hAnsi="Arial" w:cs="Arial"/>
          <w:color w:val="000000"/>
          <w:sz w:val="21"/>
          <w:szCs w:val="21"/>
        </w:rPr>
        <w:t xml:space="preserve"> </w:t>
      </w:r>
      <w:r w:rsidR="00855F52" w:rsidRPr="00AC19AC">
        <w:rPr>
          <w:rFonts w:ascii="Arial" w:eastAsia="Calibri" w:hAnsi="Arial" w:cs="Arial"/>
          <w:color w:val="000000" w:themeColor="text1"/>
          <w:sz w:val="21"/>
          <w:szCs w:val="21"/>
          <w:lang w:eastAsia="es-CO"/>
        </w:rPr>
        <w:t xml:space="preserve">Sírvase indicar si el precepto normativo reseñado debe ser aplicado en el marco de contratos interadministrativo </w:t>
      </w:r>
      <w:r w:rsidR="0083218B" w:rsidRPr="00AC19AC">
        <w:rPr>
          <w:rFonts w:ascii="Arial" w:eastAsia="Calibri" w:hAnsi="Arial" w:cs="Arial"/>
          <w:color w:val="000000" w:themeColor="text1"/>
          <w:sz w:val="21"/>
          <w:szCs w:val="21"/>
          <w:lang w:eastAsia="es-CO"/>
        </w:rPr>
        <w:t xml:space="preserve">–sic- </w:t>
      </w:r>
      <w:r w:rsidR="00855F52" w:rsidRPr="00AC19AC">
        <w:rPr>
          <w:rFonts w:ascii="Arial" w:eastAsia="Calibri" w:hAnsi="Arial" w:cs="Arial"/>
          <w:color w:val="000000" w:themeColor="text1"/>
          <w:sz w:val="21"/>
          <w:szCs w:val="21"/>
          <w:lang w:eastAsia="es-CO"/>
        </w:rPr>
        <w:t xml:space="preserve">entre dos entidades estatales, cuya ejecución implica la creación de un patrimonio autónomo a través de cual se contratarán diversos bienes servicios y obras. </w:t>
      </w:r>
    </w:p>
    <w:p w14:paraId="5A9E4F83" w14:textId="703B6CAF" w:rsidR="00991805" w:rsidRPr="00AC19AC" w:rsidRDefault="00855F52" w:rsidP="00E77523">
      <w:pPr>
        <w:spacing w:before="240"/>
        <w:ind w:left="709" w:right="851"/>
        <w:jc w:val="both"/>
        <w:rPr>
          <w:rFonts w:ascii="Arial" w:hAnsi="Arial" w:cs="Arial"/>
          <w:color w:val="000000" w:themeColor="text1"/>
          <w:sz w:val="21"/>
          <w:szCs w:val="21"/>
          <w:lang w:val="es-ES"/>
        </w:rPr>
      </w:pPr>
      <w:r w:rsidRPr="00AC19AC">
        <w:rPr>
          <w:rFonts w:ascii="Arial" w:eastAsia="Calibri" w:hAnsi="Arial" w:cs="Arial"/>
          <w:color w:val="000000" w:themeColor="text1"/>
          <w:sz w:val="21"/>
          <w:szCs w:val="21"/>
          <w:lang w:eastAsia="es-CO"/>
        </w:rPr>
        <w:t xml:space="preserve">La información es requerida como insumo para un estudio adelantado en relación con a </w:t>
      </w:r>
      <w:r w:rsidR="0083218B" w:rsidRPr="00AC19AC">
        <w:rPr>
          <w:rFonts w:ascii="Arial" w:eastAsia="Calibri" w:hAnsi="Arial" w:cs="Arial"/>
          <w:color w:val="000000" w:themeColor="text1"/>
          <w:sz w:val="21"/>
          <w:szCs w:val="21"/>
          <w:lang w:eastAsia="es-CO"/>
        </w:rPr>
        <w:t xml:space="preserve">–sic- </w:t>
      </w:r>
      <w:r w:rsidRPr="00AC19AC">
        <w:rPr>
          <w:rFonts w:ascii="Arial" w:eastAsia="Calibri" w:hAnsi="Arial" w:cs="Arial"/>
          <w:color w:val="000000" w:themeColor="text1"/>
          <w:sz w:val="21"/>
          <w:szCs w:val="21"/>
          <w:lang w:eastAsia="es-CO"/>
        </w:rPr>
        <w:t xml:space="preserve">contratos o convenios interadministrativo </w:t>
      </w:r>
      <w:r w:rsidR="0083218B" w:rsidRPr="00AC19AC">
        <w:rPr>
          <w:rFonts w:ascii="Arial" w:eastAsia="Calibri" w:hAnsi="Arial" w:cs="Arial"/>
          <w:color w:val="000000" w:themeColor="text1"/>
          <w:sz w:val="21"/>
          <w:szCs w:val="21"/>
          <w:lang w:eastAsia="es-CO"/>
        </w:rPr>
        <w:t xml:space="preserve">–sic- </w:t>
      </w:r>
      <w:r w:rsidRPr="00AC19AC">
        <w:rPr>
          <w:rFonts w:ascii="Arial" w:eastAsia="Calibri" w:hAnsi="Arial" w:cs="Arial"/>
          <w:color w:val="000000" w:themeColor="text1"/>
          <w:sz w:val="21"/>
          <w:szCs w:val="21"/>
          <w:lang w:eastAsia="es-CO"/>
        </w:rPr>
        <w:t>entre entidades Estatales o patrimonios autónomos o con personas naturales o jurídicas de derecho privado.</w:t>
      </w:r>
      <w:r w:rsidR="00653FD4" w:rsidRPr="00AC19AC">
        <w:rPr>
          <w:rFonts w:ascii="Arial" w:eastAsia="Calibri" w:hAnsi="Arial" w:cs="Arial"/>
          <w:sz w:val="21"/>
          <w:szCs w:val="21"/>
          <w:lang w:val="es-ES"/>
        </w:rPr>
        <w:t>»</w:t>
      </w:r>
    </w:p>
    <w:p w14:paraId="7FB25649" w14:textId="2C3EEAD7" w:rsidR="00E07AAA" w:rsidRPr="00AC19AC" w:rsidRDefault="00DD5B04" w:rsidP="0083218B">
      <w:pPr>
        <w:pStyle w:val="Prrafodelista"/>
        <w:numPr>
          <w:ilvl w:val="0"/>
          <w:numId w:val="8"/>
        </w:numPr>
        <w:tabs>
          <w:tab w:val="left" w:pos="0"/>
          <w:tab w:val="left" w:pos="284"/>
        </w:tabs>
        <w:spacing w:before="240"/>
        <w:ind w:left="0" w:firstLine="0"/>
        <w:jc w:val="both"/>
        <w:rPr>
          <w:rFonts w:ascii="Arial" w:eastAsia="Calibri" w:hAnsi="Arial" w:cs="Arial"/>
          <w:b/>
          <w:color w:val="000000" w:themeColor="text1"/>
          <w:sz w:val="22"/>
          <w:lang w:val="es-ES_tradnl"/>
        </w:rPr>
      </w:pPr>
      <w:r w:rsidRPr="00AC19AC">
        <w:rPr>
          <w:rFonts w:ascii="Arial" w:eastAsia="Calibri" w:hAnsi="Arial" w:cs="Arial"/>
          <w:b/>
          <w:color w:val="000000" w:themeColor="text1"/>
          <w:sz w:val="22"/>
          <w:lang w:val="es-ES_tradnl"/>
        </w:rPr>
        <w:lastRenderedPageBreak/>
        <w:t>Consideraciones</w:t>
      </w:r>
    </w:p>
    <w:p w14:paraId="21C1A81C" w14:textId="6BFF113E" w:rsidR="00014207" w:rsidRPr="00AC19AC" w:rsidRDefault="00014207" w:rsidP="00AC19AC">
      <w:pPr>
        <w:spacing w:before="120" w:line="276" w:lineRule="auto"/>
        <w:jc w:val="both"/>
        <w:rPr>
          <w:rFonts w:ascii="Arial" w:hAnsi="Arial" w:cs="Arial"/>
          <w:bCs/>
          <w:sz w:val="22"/>
        </w:rPr>
      </w:pPr>
      <w:r w:rsidRPr="00AC19AC">
        <w:rPr>
          <w:rFonts w:ascii="Arial" w:hAnsi="Arial" w:cs="Arial"/>
          <w:sz w:val="22"/>
          <w:lang w:val="es-ES"/>
        </w:rPr>
        <w:t xml:space="preserve">Es necesario tener en cuenta que esta entidad solo tiene competencia para responder solicitudes sobre la aplicación de normas de carácter general en materia de compras y contratación pública. En ese sentido, resolver casos </w:t>
      </w:r>
      <w:r w:rsidR="005E7FC2" w:rsidRPr="00AC19AC">
        <w:rPr>
          <w:rFonts w:ascii="Arial" w:hAnsi="Arial" w:cs="Arial"/>
          <w:sz w:val="22"/>
          <w:lang w:val="es-ES"/>
        </w:rPr>
        <w:t>particulares</w:t>
      </w:r>
      <w:r w:rsidRPr="00AC19AC">
        <w:rPr>
          <w:rFonts w:ascii="Arial" w:hAnsi="Arial" w:cs="Arial"/>
          <w:sz w:val="22"/>
          <w:lang w:val="es-ES"/>
        </w:rPr>
        <w:t xml:space="preserve"> desborda las atribuciones asignadas por el legislador extraordinario, que no concibió a Colombia Compra Eficiente como una autoridad para solucionar problemas jurídicos particulares</w:t>
      </w:r>
      <w:r w:rsidR="005E7FC2" w:rsidRPr="00AC19AC">
        <w:rPr>
          <w:rFonts w:ascii="Arial" w:hAnsi="Arial" w:cs="Arial"/>
          <w:sz w:val="22"/>
          <w:lang w:val="es-ES"/>
        </w:rPr>
        <w:t xml:space="preserve"> de todos los partícipes del sistema de compra pública</w:t>
      </w:r>
      <w:r w:rsidRPr="00AC19AC">
        <w:rPr>
          <w:rFonts w:ascii="Arial" w:hAnsi="Arial" w:cs="Arial"/>
          <w:bCs/>
          <w:sz w:val="22"/>
        </w:rPr>
        <w:t>.</w:t>
      </w:r>
    </w:p>
    <w:p w14:paraId="1D5AFBBD" w14:textId="628AD5FD" w:rsidR="00014207" w:rsidRPr="00AC19AC" w:rsidRDefault="00014207" w:rsidP="00AC19AC">
      <w:pPr>
        <w:spacing w:before="120" w:line="276" w:lineRule="auto"/>
        <w:ind w:firstLine="709"/>
        <w:jc w:val="both"/>
        <w:rPr>
          <w:rFonts w:ascii="Arial" w:eastAsia="Calibri" w:hAnsi="Arial" w:cs="Arial"/>
          <w:color w:val="161616" w:themeColor="background1" w:themeShade="1A"/>
          <w:sz w:val="22"/>
          <w:szCs w:val="22"/>
          <w:lang w:val="es-ES_tradnl"/>
        </w:rPr>
      </w:pPr>
      <w:r w:rsidRPr="00AC19AC">
        <w:rPr>
          <w:rFonts w:ascii="Arial" w:hAnsi="Arial" w:cs="Arial"/>
          <w:sz w:val="22"/>
          <w:lang w:val="es-ES"/>
        </w:rPr>
        <w:t>La competencia de esta entidad se fija con límites claros, con el objeto de evitar que la Agencia actúe como una instancia de validación de las actuaciones de las entidades sujetas a la Ley 80 de 1993 o de los demás participantes de la contratación pública</w:t>
      </w:r>
      <w:r w:rsidRPr="00AC19AC">
        <w:rPr>
          <w:rStyle w:val="Refdenotaalpie"/>
          <w:rFonts w:ascii="Arial" w:hAnsi="Arial" w:cs="Arial"/>
          <w:sz w:val="22"/>
          <w:lang w:val="es-ES"/>
        </w:rPr>
        <w:footnoteReference w:id="2"/>
      </w:r>
      <w:r w:rsidRPr="00AC19AC">
        <w:rPr>
          <w:rFonts w:ascii="Arial" w:hAnsi="Arial" w:cs="Arial"/>
          <w:sz w:val="22"/>
          <w:lang w:val="es-ES"/>
        </w:rPr>
        <w:t xml:space="preserve">. Esta competencia de interpretación de normas generales, por definición, no puede extenderse a la resolución de controversias, ni a brindar asesorías sobre casos puntuales. </w:t>
      </w:r>
    </w:p>
    <w:p w14:paraId="467832AA" w14:textId="77777777" w:rsidR="00014207" w:rsidRPr="00AC19AC" w:rsidRDefault="00014207" w:rsidP="00AC19AC">
      <w:pPr>
        <w:tabs>
          <w:tab w:val="left" w:pos="426"/>
        </w:tabs>
        <w:spacing w:before="120" w:line="276" w:lineRule="auto"/>
        <w:ind w:firstLine="709"/>
        <w:jc w:val="both"/>
        <w:rPr>
          <w:rFonts w:ascii="Arial" w:hAnsi="Arial" w:cs="Arial"/>
          <w:color w:val="161616" w:themeColor="background1" w:themeShade="1A"/>
          <w:sz w:val="22"/>
          <w:szCs w:val="22"/>
          <w:lang w:val="es-ES_tradnl"/>
        </w:rPr>
      </w:pPr>
      <w:r w:rsidRPr="00AC19AC">
        <w:rPr>
          <w:rFonts w:ascii="Arial" w:eastAsia="Calibri" w:hAnsi="Arial" w:cs="Arial"/>
          <w:color w:val="161616" w:themeColor="background1" w:themeShade="1A"/>
          <w:sz w:val="22"/>
          <w:szCs w:val="22"/>
          <w:lang w:val="es-ES_tradnl"/>
        </w:rPr>
        <w:t xml:space="preserve">Es preciso advertir que los conceptos contienen la posición hermenéutica de la Subdirección de Gestión Contractual, en relación con determinado aspecto del ordenamiento jurídico. Esta competencia de interpretación de normas generales, por definición, no puede extenderse a la resolución de controversias, ni a brindar asesorías sobre casos puntuales. En otras palabras, los conceptos de esta Agencia tienen como objeto la interpretación de normas de carácter general, esto es, del ordenamiento jurídico en abstracto, no la resolución de controversias o la asesoría para casos concretos, de acuerdo con lo indicado respecto a las normas que otorgan competencia consultiva a esta Subdirección. Además, no son vinculantes o </w:t>
      </w:r>
      <w:r w:rsidRPr="00AC19AC">
        <w:rPr>
          <w:rFonts w:ascii="Arial" w:eastAsia="Arial" w:hAnsi="Arial" w:cs="Arial"/>
          <w:color w:val="161616" w:themeColor="background1" w:themeShade="1A"/>
          <w:sz w:val="22"/>
          <w:szCs w:val="22"/>
          <w:lang w:val="es-ES_tradnl"/>
        </w:rPr>
        <w:t>de obligatorio cumplimiento para el destinatario, sino que expresan la posición interpretativa del ente que elabora el concepto.</w:t>
      </w:r>
    </w:p>
    <w:p w14:paraId="2CE0BD83" w14:textId="33456DFC" w:rsidR="00031AD9" w:rsidRPr="00AC19AC" w:rsidRDefault="00B04A56" w:rsidP="00AC19AC">
      <w:pPr>
        <w:spacing w:before="120" w:line="276" w:lineRule="auto"/>
        <w:ind w:firstLine="709"/>
        <w:jc w:val="both"/>
        <w:rPr>
          <w:rFonts w:ascii="Arial" w:eastAsia="Calibri" w:hAnsi="Arial" w:cs="Arial"/>
          <w:sz w:val="22"/>
          <w:szCs w:val="22"/>
          <w:lang w:val="es-ES_tradnl"/>
        </w:rPr>
      </w:pPr>
      <w:r w:rsidRPr="00AC19AC">
        <w:rPr>
          <w:rFonts w:ascii="Arial" w:eastAsia="Calibri" w:hAnsi="Arial" w:cs="Arial"/>
          <w:color w:val="000000" w:themeColor="text1"/>
          <w:sz w:val="22"/>
          <w:lang w:val="es-ES_tradnl"/>
        </w:rPr>
        <w:t xml:space="preserve">Sin perjuicio de lo anterior, la Agencia –dentro de los límites de sus atribuciones– resolverá la consulta conforme a las normas generales en materia de contratación estatal. </w:t>
      </w:r>
      <w:r w:rsidRPr="00AC19AC">
        <w:rPr>
          <w:rFonts w:ascii="Arial" w:eastAsia="Calibri" w:hAnsi="Arial" w:cs="Arial"/>
          <w:sz w:val="22"/>
          <w:szCs w:val="22"/>
          <w:lang w:val="es-ES_tradnl" w:eastAsia="en-US"/>
        </w:rPr>
        <w:t>En este sentido, p</w:t>
      </w:r>
      <w:r w:rsidR="005A3A52" w:rsidRPr="00AC19AC">
        <w:rPr>
          <w:rFonts w:ascii="Arial" w:hAnsi="Arial" w:cs="Arial"/>
          <w:sz w:val="22"/>
          <w:szCs w:val="22"/>
        </w:rPr>
        <w:t>ara resolver su consulta se desarrollarán los siguientes temas:</w:t>
      </w:r>
      <w:r w:rsidR="00C3543E" w:rsidRPr="00AC19AC">
        <w:rPr>
          <w:rFonts w:ascii="Arial" w:eastAsia="Calibri" w:hAnsi="Arial" w:cs="Arial"/>
          <w:bCs/>
          <w:color w:val="000000" w:themeColor="text1"/>
          <w:sz w:val="22"/>
        </w:rPr>
        <w:t xml:space="preserve"> </w:t>
      </w:r>
      <w:r w:rsidR="00031AD9" w:rsidRPr="00AC19AC">
        <w:rPr>
          <w:rFonts w:ascii="Arial" w:eastAsia="Calibri" w:hAnsi="Arial" w:cs="Arial"/>
          <w:sz w:val="22"/>
          <w:szCs w:val="22"/>
          <w:lang w:val="es-ES_tradnl"/>
        </w:rPr>
        <w:t>i) fundamento normativo y ámbito de aplicación de los documentos tipo</w:t>
      </w:r>
      <w:r w:rsidR="00DE3F23" w:rsidRPr="00AC19AC">
        <w:rPr>
          <w:rFonts w:ascii="Arial" w:eastAsia="Calibri" w:hAnsi="Arial" w:cs="Arial"/>
          <w:sz w:val="22"/>
          <w:szCs w:val="22"/>
          <w:lang w:val="es-ES_tradnl"/>
        </w:rPr>
        <w:t>,</w:t>
      </w:r>
      <w:r w:rsidR="002C0471" w:rsidRPr="00AC19AC">
        <w:rPr>
          <w:rFonts w:ascii="Arial" w:eastAsia="Calibri" w:hAnsi="Arial" w:cs="Arial"/>
          <w:sz w:val="22"/>
          <w:szCs w:val="22"/>
          <w:lang w:val="es-ES_tradnl"/>
        </w:rPr>
        <w:t xml:space="preserve"> y</w:t>
      </w:r>
      <w:r w:rsidR="00DE3F23" w:rsidRPr="00AC19AC">
        <w:rPr>
          <w:rFonts w:ascii="Arial" w:eastAsia="Calibri" w:hAnsi="Arial" w:cs="Arial"/>
          <w:sz w:val="22"/>
          <w:szCs w:val="22"/>
          <w:lang w:val="es-ES_tradnl"/>
        </w:rPr>
        <w:t xml:space="preserve"> </w:t>
      </w:r>
      <w:r w:rsidR="00031AD9" w:rsidRPr="00AC19AC">
        <w:rPr>
          <w:rFonts w:ascii="Arial" w:eastAsia="Calibri" w:hAnsi="Arial" w:cs="Arial"/>
          <w:sz w:val="22"/>
          <w:szCs w:val="22"/>
          <w:lang w:val="es-ES_tradnl"/>
        </w:rPr>
        <w:t>ii)</w:t>
      </w:r>
      <w:r w:rsidR="00031AD9" w:rsidRPr="00AC19AC">
        <w:rPr>
          <w:rFonts w:ascii="Arial" w:hAnsi="Arial" w:cs="Arial"/>
          <w:lang w:val="es-ES_tradnl"/>
        </w:rPr>
        <w:t xml:space="preserve"> </w:t>
      </w:r>
      <w:r w:rsidR="00031AD9" w:rsidRPr="00AC19AC">
        <w:rPr>
          <w:rFonts w:ascii="Arial" w:eastAsia="Calibri" w:hAnsi="Arial" w:cs="Arial"/>
          <w:sz w:val="22"/>
          <w:szCs w:val="22"/>
          <w:lang w:val="es-ES_tradnl"/>
        </w:rPr>
        <w:t>alcance del artículo 56 de la Ley 2195 de 2022 frente a la</w:t>
      </w:r>
      <w:r w:rsidR="005E7FC2" w:rsidRPr="00AC19AC">
        <w:rPr>
          <w:rFonts w:ascii="Arial" w:eastAsia="Calibri" w:hAnsi="Arial" w:cs="Arial"/>
          <w:sz w:val="22"/>
          <w:szCs w:val="22"/>
          <w:lang w:val="es-ES_tradnl"/>
        </w:rPr>
        <w:t xml:space="preserve"> eventual</w:t>
      </w:r>
      <w:r w:rsidR="00031AD9" w:rsidRPr="00AC19AC">
        <w:rPr>
          <w:rFonts w:ascii="Arial" w:eastAsia="Calibri" w:hAnsi="Arial" w:cs="Arial"/>
          <w:sz w:val="22"/>
          <w:szCs w:val="22"/>
          <w:lang w:val="es-ES_tradnl"/>
        </w:rPr>
        <w:t xml:space="preserve"> implementación obligatoria del Estatuto General de Contratación de la Administración Pública y de los documentos tipo en la contratación de las entidades estatales exceptuadas</w:t>
      </w:r>
      <w:r w:rsidR="005E7FC2" w:rsidRPr="00AC19AC">
        <w:rPr>
          <w:rFonts w:ascii="Arial" w:eastAsia="Calibri" w:hAnsi="Arial" w:cs="Arial"/>
          <w:sz w:val="22"/>
          <w:szCs w:val="22"/>
          <w:lang w:val="es-ES_tradnl"/>
        </w:rPr>
        <w:t>, patrimonios autónomos y</w:t>
      </w:r>
      <w:r w:rsidR="00031AD9" w:rsidRPr="00AC19AC">
        <w:rPr>
          <w:rFonts w:ascii="Arial" w:eastAsia="Calibri" w:hAnsi="Arial" w:cs="Arial"/>
          <w:sz w:val="22"/>
          <w:szCs w:val="22"/>
          <w:lang w:val="es-ES_tradnl"/>
        </w:rPr>
        <w:t xml:space="preserve"> particulares</w:t>
      </w:r>
      <w:r w:rsidR="00DE3F23" w:rsidRPr="00AC19AC">
        <w:rPr>
          <w:rFonts w:ascii="Arial" w:eastAsia="Calibri" w:hAnsi="Arial" w:cs="Arial"/>
          <w:bCs/>
          <w:sz w:val="22"/>
          <w:lang w:val="es-ES_tradnl"/>
        </w:rPr>
        <w:t>.</w:t>
      </w:r>
    </w:p>
    <w:p w14:paraId="290CD33A" w14:textId="77777777" w:rsidR="00665374" w:rsidRPr="00AC19AC" w:rsidRDefault="00031AD9" w:rsidP="00AC19AC">
      <w:pPr>
        <w:spacing w:before="120" w:line="276" w:lineRule="auto"/>
        <w:ind w:firstLine="709"/>
        <w:jc w:val="both"/>
        <w:rPr>
          <w:rFonts w:ascii="Arial" w:eastAsia="Calibri" w:hAnsi="Arial" w:cs="Arial"/>
          <w:color w:val="000000"/>
          <w:sz w:val="22"/>
          <w:szCs w:val="22"/>
          <w:lang w:val="es-ES_tradnl"/>
        </w:rPr>
      </w:pPr>
      <w:r w:rsidRPr="00AC19AC">
        <w:rPr>
          <w:rFonts w:ascii="Arial" w:hAnsi="Arial" w:cs="Arial"/>
          <w:noProof/>
          <w:sz w:val="22"/>
          <w:lang w:val="es-ES_tradnl"/>
        </w:rPr>
        <w:lastRenderedPageBreak/>
        <w:t xml:space="preserve">La Agencia Nacional de Contratación Pública – Colombia Compra Eficiente se ha pronunciado sobre el ámbito de aplicación de </w:t>
      </w:r>
      <w:r w:rsidRPr="00AC19AC">
        <w:rPr>
          <w:rFonts w:ascii="Arial" w:eastAsia="Arial" w:hAnsi="Arial" w:cs="Arial"/>
          <w:sz w:val="22"/>
          <w:lang w:val="es-ES_tradnl"/>
        </w:rPr>
        <w:t xml:space="preserve">los documentos tipo en la contratación estatal, entre otros, en los siguientes conceptos: C-294 del 18 de mayo de 2020, C-276 y C-277 del 26 de mayo de 2020; C–380 y C–381 del 1 de junio de 2020; C-404 del 12 de junio de 2020, C-352 del 30 de junio de 2020, C-430 del 7 de julio de 2020, C-481 del 27 de julio de 2020, C-502 del 29 de julio de 2020, C-500 del 3 de agosto de 2020, C-563 del 26 de agosto de 2020, C-570 del 27 de agosto de 2020, </w:t>
      </w:r>
      <w:r w:rsidR="00665374" w:rsidRPr="00AC19AC">
        <w:rPr>
          <w:rFonts w:ascii="Arial" w:eastAsia="Calibri" w:hAnsi="Arial" w:cs="Arial"/>
          <w:color w:val="000000"/>
          <w:sz w:val="22"/>
          <w:szCs w:val="22"/>
          <w:lang w:val="es-ES_tradnl"/>
        </w:rPr>
        <w:t xml:space="preserve">C-645 del 6 de noviembre de 2020, C-673 del 11 de noviembre de 2020, C-692 del 27 de noviembre de 2020, </w:t>
      </w:r>
      <w:r w:rsidRPr="00AC19AC">
        <w:rPr>
          <w:rFonts w:ascii="Arial" w:eastAsia="Arial" w:hAnsi="Arial" w:cs="Arial"/>
          <w:sz w:val="22"/>
          <w:lang w:val="es-ES_tradnl"/>
        </w:rPr>
        <w:t>C-</w:t>
      </w:r>
      <w:r w:rsidR="00665374" w:rsidRPr="00AC19AC">
        <w:rPr>
          <w:rFonts w:ascii="Arial" w:eastAsia="Arial" w:hAnsi="Arial" w:cs="Arial"/>
          <w:sz w:val="22"/>
          <w:lang w:val="es-ES_tradnl"/>
        </w:rPr>
        <w:t>713 del 2 de diciembre de 2020,</w:t>
      </w:r>
      <w:r w:rsidRPr="00AC19AC">
        <w:rPr>
          <w:rFonts w:ascii="Arial" w:eastAsia="Arial" w:hAnsi="Arial" w:cs="Arial"/>
          <w:sz w:val="22"/>
          <w:lang w:val="es-ES_tradnl"/>
        </w:rPr>
        <w:t xml:space="preserve"> C-744 del 22 de diciembre de 2020</w:t>
      </w:r>
      <w:r w:rsidR="00665374" w:rsidRPr="00AC19AC">
        <w:rPr>
          <w:rFonts w:ascii="Arial" w:eastAsia="Arial" w:hAnsi="Arial" w:cs="Arial"/>
          <w:sz w:val="22"/>
          <w:lang w:val="es-ES_tradnl"/>
        </w:rPr>
        <w:t xml:space="preserve">, </w:t>
      </w:r>
      <w:r w:rsidR="00665374" w:rsidRPr="00AC19AC">
        <w:rPr>
          <w:rFonts w:ascii="Arial" w:eastAsia="Calibri" w:hAnsi="Arial" w:cs="Arial"/>
          <w:color w:val="000000"/>
          <w:sz w:val="22"/>
          <w:szCs w:val="22"/>
          <w:lang w:val="es-ES_tradnl"/>
        </w:rPr>
        <w:t xml:space="preserve">C-778 del 18 de enero de 2021, C-021 del 22 de febrero de 2021, C-091 del 23 de marzo de 2021, C-200 del 14 de mayo de 2021, C-231 del 24 de mayo de 2021, C-267 de 2 de junio de 2021, C-370 del 28 de julio de 2021, C-380 del 29 de julio de 2021 y C-643 del 17 de noviembre de 2021. </w:t>
      </w:r>
    </w:p>
    <w:p w14:paraId="44D323E8" w14:textId="5323809D" w:rsidR="00031AD9" w:rsidRPr="00AC19AC" w:rsidRDefault="00031AD9" w:rsidP="00AC19AC">
      <w:pPr>
        <w:spacing w:before="120" w:line="276" w:lineRule="auto"/>
        <w:ind w:firstLine="709"/>
        <w:jc w:val="both"/>
        <w:rPr>
          <w:rFonts w:ascii="Arial" w:eastAsia="Calibri" w:hAnsi="Arial" w:cs="Arial"/>
          <w:noProof/>
          <w:sz w:val="22"/>
          <w:lang w:val="es-ES_tradnl"/>
        </w:rPr>
      </w:pPr>
      <w:r w:rsidRPr="00AC19AC">
        <w:rPr>
          <w:rFonts w:ascii="Arial" w:eastAsia="Arial" w:hAnsi="Arial" w:cs="Arial"/>
          <w:sz w:val="22"/>
          <w:lang w:val="es-ES_tradnl"/>
        </w:rPr>
        <w:t>De otra parte, en el concepto C-066 del 28 de enero de 2022</w:t>
      </w:r>
      <w:r w:rsidR="00665374" w:rsidRPr="00AC19AC">
        <w:rPr>
          <w:rFonts w:ascii="Arial" w:eastAsia="Arial" w:hAnsi="Arial" w:cs="Arial"/>
          <w:sz w:val="22"/>
          <w:lang w:val="es-ES_tradnl"/>
        </w:rPr>
        <w:t>,</w:t>
      </w:r>
      <w:r w:rsidR="002D1866" w:rsidRPr="00AC19AC">
        <w:rPr>
          <w:rFonts w:ascii="Arial" w:eastAsia="Arial" w:hAnsi="Arial" w:cs="Arial"/>
          <w:sz w:val="22"/>
          <w:lang w:val="es-ES_tradnl"/>
        </w:rPr>
        <w:t xml:space="preserve"> C-082 del </w:t>
      </w:r>
      <w:r w:rsidR="00650DE0" w:rsidRPr="00AC19AC">
        <w:rPr>
          <w:rFonts w:ascii="Arial" w:eastAsia="Arial" w:hAnsi="Arial" w:cs="Arial"/>
          <w:sz w:val="22"/>
          <w:lang w:val="es-ES_tradnl"/>
        </w:rPr>
        <w:t>2 de marzo de 2022</w:t>
      </w:r>
      <w:r w:rsidR="00F617C6" w:rsidRPr="00AC19AC">
        <w:rPr>
          <w:rFonts w:ascii="Arial" w:eastAsia="Arial" w:hAnsi="Arial" w:cs="Arial"/>
          <w:sz w:val="22"/>
          <w:lang w:val="es-ES_tradnl"/>
        </w:rPr>
        <w:t xml:space="preserve">, C-065 del </w:t>
      </w:r>
      <w:r w:rsidR="00014207" w:rsidRPr="00AC19AC">
        <w:rPr>
          <w:rFonts w:ascii="Arial" w:eastAsia="Arial" w:hAnsi="Arial" w:cs="Arial"/>
          <w:sz w:val="22"/>
          <w:lang w:val="es-ES_tradnl"/>
        </w:rPr>
        <w:t>9</w:t>
      </w:r>
      <w:r w:rsidR="00F617C6" w:rsidRPr="00AC19AC">
        <w:rPr>
          <w:rFonts w:ascii="Arial" w:eastAsia="Arial" w:hAnsi="Arial" w:cs="Arial"/>
          <w:sz w:val="22"/>
          <w:lang w:val="es-ES_tradnl"/>
        </w:rPr>
        <w:t xml:space="preserve"> de marzo de 2022, C-086 del 1</w:t>
      </w:r>
      <w:r w:rsidR="00014207" w:rsidRPr="00AC19AC">
        <w:rPr>
          <w:rFonts w:ascii="Arial" w:eastAsia="Arial" w:hAnsi="Arial" w:cs="Arial"/>
          <w:sz w:val="22"/>
          <w:lang w:val="es-ES_tradnl"/>
        </w:rPr>
        <w:t>5</w:t>
      </w:r>
      <w:r w:rsidR="00F617C6" w:rsidRPr="00AC19AC">
        <w:rPr>
          <w:rFonts w:ascii="Arial" w:eastAsia="Arial" w:hAnsi="Arial" w:cs="Arial"/>
          <w:sz w:val="22"/>
          <w:lang w:val="es-ES_tradnl"/>
        </w:rPr>
        <w:t xml:space="preserve"> de marzo de 2022, C-089 del 22 de marzo de 2022,</w:t>
      </w:r>
      <w:r w:rsidR="00665374" w:rsidRPr="00AC19AC">
        <w:rPr>
          <w:rFonts w:ascii="Arial" w:eastAsia="Arial" w:hAnsi="Arial" w:cs="Arial"/>
          <w:sz w:val="22"/>
          <w:lang w:val="es-ES_tradnl"/>
        </w:rPr>
        <w:t xml:space="preserve"> C-110 del 23 de marzo de 2022</w:t>
      </w:r>
      <w:r w:rsidR="0008649B" w:rsidRPr="00AC19AC">
        <w:rPr>
          <w:rFonts w:ascii="Arial" w:eastAsia="Arial" w:hAnsi="Arial" w:cs="Arial"/>
          <w:sz w:val="22"/>
          <w:lang w:val="es-ES_tradnl"/>
        </w:rPr>
        <w:t>,</w:t>
      </w:r>
      <w:r w:rsidR="00F617C6" w:rsidRPr="00AC19AC">
        <w:rPr>
          <w:rFonts w:ascii="Arial" w:eastAsia="Arial" w:hAnsi="Arial" w:cs="Arial"/>
          <w:sz w:val="22"/>
          <w:lang w:val="es-ES_tradnl"/>
        </w:rPr>
        <w:t xml:space="preserve"> C-160 del </w:t>
      </w:r>
      <w:r w:rsidR="0008649B" w:rsidRPr="00AC19AC">
        <w:rPr>
          <w:rFonts w:ascii="Arial" w:eastAsia="Arial" w:hAnsi="Arial" w:cs="Arial"/>
          <w:sz w:val="22"/>
          <w:lang w:val="es-ES_tradnl"/>
        </w:rPr>
        <w:t>5</w:t>
      </w:r>
      <w:r w:rsidR="00F617C6" w:rsidRPr="00AC19AC">
        <w:rPr>
          <w:rFonts w:ascii="Arial" w:eastAsia="Arial" w:hAnsi="Arial" w:cs="Arial"/>
          <w:sz w:val="22"/>
          <w:lang w:val="es-ES_tradnl"/>
        </w:rPr>
        <w:t xml:space="preserve"> de abril de 2022</w:t>
      </w:r>
      <w:r w:rsidR="0008649B" w:rsidRPr="00AC19AC">
        <w:rPr>
          <w:rFonts w:ascii="Arial" w:eastAsia="Arial" w:hAnsi="Arial" w:cs="Arial"/>
          <w:sz w:val="22"/>
          <w:lang w:val="es-ES_tradnl"/>
        </w:rPr>
        <w:t>, C-168 del 5 de abril de 2022</w:t>
      </w:r>
      <w:r w:rsidR="00334B73" w:rsidRPr="00AC19AC">
        <w:rPr>
          <w:rFonts w:ascii="Arial" w:eastAsia="Arial" w:hAnsi="Arial" w:cs="Arial"/>
          <w:sz w:val="22"/>
          <w:lang w:val="es-ES_tradnl"/>
        </w:rPr>
        <w:t xml:space="preserve"> y C-197 del 12 de abril de 2022,</w:t>
      </w:r>
      <w:r w:rsidRPr="00AC19AC">
        <w:rPr>
          <w:rFonts w:ascii="Arial" w:eastAsia="Arial" w:hAnsi="Arial" w:cs="Arial"/>
          <w:sz w:val="22"/>
          <w:lang w:val="es-ES_tradnl"/>
        </w:rPr>
        <w:t xml:space="preserve"> la Agencia se refirió al alcance de lo dispuesto en el artículo 56 de la Ley 2195 de 2022. Algunas de las ideas expuestas en dichas oportunidades se retoman y complementan a continuación para desarrollar la tesis del presente concepto.    </w:t>
      </w:r>
    </w:p>
    <w:p w14:paraId="361A7647" w14:textId="55FB1F9E" w:rsidR="00031AD9" w:rsidRPr="00AC19AC" w:rsidRDefault="00031AD9" w:rsidP="00E77523">
      <w:pPr>
        <w:spacing w:before="240" w:line="276" w:lineRule="auto"/>
        <w:jc w:val="both"/>
        <w:rPr>
          <w:rFonts w:ascii="Arial" w:eastAsia="Arial" w:hAnsi="Arial" w:cs="Arial"/>
          <w:b/>
          <w:bCs/>
          <w:sz w:val="22"/>
          <w:lang w:val="es-ES_tradnl"/>
        </w:rPr>
      </w:pPr>
      <w:r w:rsidRPr="00AC19AC">
        <w:rPr>
          <w:rFonts w:ascii="Arial" w:eastAsia="Arial" w:hAnsi="Arial" w:cs="Arial"/>
          <w:b/>
          <w:bCs/>
          <w:sz w:val="22"/>
          <w:lang w:val="es-ES_tradnl"/>
        </w:rPr>
        <w:t xml:space="preserve">2.1. Fundamento normativo y ámbito de aplicación de los documentos tipo </w:t>
      </w:r>
    </w:p>
    <w:p w14:paraId="6DC40FC6" w14:textId="77777777" w:rsidR="00E22F82" w:rsidRPr="00AC19AC" w:rsidRDefault="00E22F82" w:rsidP="00E22F82">
      <w:pPr>
        <w:spacing w:line="276" w:lineRule="auto"/>
        <w:jc w:val="both"/>
        <w:rPr>
          <w:rFonts w:ascii="Arial" w:eastAsia="Calibri" w:hAnsi="Arial" w:cs="Arial"/>
          <w:sz w:val="22"/>
          <w:lang w:val="es-ES_tradnl"/>
        </w:rPr>
      </w:pPr>
    </w:p>
    <w:p w14:paraId="30385650" w14:textId="71874737" w:rsidR="00031AD9" w:rsidRPr="00AC19AC" w:rsidRDefault="00031AD9" w:rsidP="00AC19AC">
      <w:pPr>
        <w:spacing w:line="276" w:lineRule="auto"/>
        <w:jc w:val="both"/>
        <w:rPr>
          <w:rFonts w:ascii="Arial" w:eastAsia="Calibri" w:hAnsi="Arial" w:cs="Arial"/>
          <w:sz w:val="22"/>
          <w:lang w:val="es-ES_tradnl"/>
        </w:rPr>
      </w:pPr>
      <w:r w:rsidRPr="00AC19AC">
        <w:rPr>
          <w:rFonts w:ascii="Arial" w:eastAsia="Calibri" w:hAnsi="Arial" w:cs="Arial"/>
          <w:sz w:val="22"/>
          <w:lang w:val="es-ES_tradnl"/>
        </w:rPr>
        <w:t>La adopción de los documentos tipo obligatorios en el ordenamiento jurídico colombiano se incluyó por primera vez en el parágrafo 3 del artículo 2 de la Ley 1150 de 2007</w:t>
      </w:r>
      <w:r w:rsidRPr="00AC19AC">
        <w:rPr>
          <w:rStyle w:val="Refdenotaalpie"/>
          <w:rFonts w:ascii="Arial" w:eastAsia="Calibri" w:hAnsi="Arial" w:cs="Arial"/>
        </w:rPr>
        <w:footnoteReference w:id="3"/>
      </w:r>
      <w:r w:rsidRPr="00AC19AC">
        <w:rPr>
          <w:rFonts w:ascii="Arial" w:eastAsia="Calibri" w:hAnsi="Arial" w:cs="Arial"/>
          <w:sz w:val="22"/>
          <w:lang w:val="es-ES_tradnl"/>
        </w:rPr>
        <w:t xml:space="preserve">, que facultó al Gobierno Nacional para expedirlos, pero solo cuando se tratara de la adquisición o suministro de bienes y servicios de características técnicas uniformes y de común utilización. Sin embargo, esta facultad no ha sido ejercida hasta la actualidad. </w:t>
      </w:r>
    </w:p>
    <w:p w14:paraId="7C5410B4" w14:textId="77777777" w:rsidR="00031AD9" w:rsidRPr="00AC19AC" w:rsidRDefault="00031AD9" w:rsidP="00AC19AC">
      <w:pPr>
        <w:spacing w:before="120" w:line="276" w:lineRule="auto"/>
        <w:ind w:firstLine="709"/>
        <w:jc w:val="both"/>
        <w:rPr>
          <w:rFonts w:ascii="Arial" w:eastAsia="Calibri" w:hAnsi="Arial" w:cs="Arial"/>
          <w:sz w:val="22"/>
          <w:lang w:val="es-ES_tradnl"/>
        </w:rPr>
      </w:pPr>
      <w:r w:rsidRPr="00AC19AC">
        <w:rPr>
          <w:rFonts w:ascii="Arial" w:eastAsia="Calibri" w:hAnsi="Arial" w:cs="Arial"/>
          <w:sz w:val="22"/>
          <w:lang w:val="es-ES_tradnl"/>
        </w:rPr>
        <w:t xml:space="preserve">Debido a lo anterior, el artículo 4 de la Ley 1882 de 2018 es el antecedente más relevante respecto a los documentos tipo. A partir de esta norma se determinó la obligatoriedad para todas las entidades sometidas al Estatuto General de Contratación de la Administración Pública de aplicar los documentos tipo adoptados por el Gobierno Nacional. Debe señalarse que en virtud de la Ley 1882 de 2018 se expidieron varios documentos tipo para el sector de infraestructura de transporte y, por tanto, es importante explicar el proceso previsto en dicho cuerpo normativo. </w:t>
      </w:r>
    </w:p>
    <w:p w14:paraId="4011BAD5" w14:textId="77777777" w:rsidR="00031AD9" w:rsidRPr="00AC19AC" w:rsidRDefault="00031AD9" w:rsidP="00AC19AC">
      <w:pPr>
        <w:spacing w:before="120" w:line="276" w:lineRule="auto"/>
        <w:ind w:firstLine="708"/>
        <w:jc w:val="both"/>
        <w:rPr>
          <w:rFonts w:ascii="Arial" w:eastAsia="Calibri" w:hAnsi="Arial" w:cs="Arial"/>
          <w:sz w:val="22"/>
          <w:lang w:val="es-ES_tradnl"/>
        </w:rPr>
      </w:pPr>
      <w:r w:rsidRPr="00AC19AC">
        <w:rPr>
          <w:rFonts w:ascii="Arial" w:eastAsia="Calibri" w:hAnsi="Arial" w:cs="Arial"/>
          <w:sz w:val="22"/>
          <w:lang w:val="es-ES_tradnl"/>
        </w:rPr>
        <w:lastRenderedPageBreak/>
        <w:t>El artículo 4 de la Ley 1882 de 2018 establecía que el Gobierno Nacional adoptaría los documentos tipo para los pliegos de condiciones de los procesos de selección de obras públicas, interventoría para las obras públicas, interventoría para consultoría de estudios y diseños para obras públicas y consultoría en ingeniería para obras, los cuales debían ser utilizados por todas las entidades sometidas al Estatuto General de Contratación de la Administración Pública en los Procesos de Contratación que adelantaran</w:t>
      </w:r>
      <w:r w:rsidRPr="00AC19AC">
        <w:rPr>
          <w:rStyle w:val="Refdenotaalpie"/>
          <w:rFonts w:ascii="Arial" w:eastAsia="Calibri" w:hAnsi="Arial" w:cs="Arial"/>
        </w:rPr>
        <w:footnoteReference w:id="4"/>
      </w:r>
      <w:r w:rsidRPr="00AC19AC">
        <w:rPr>
          <w:rFonts w:ascii="Arial" w:eastAsia="Calibri" w:hAnsi="Arial" w:cs="Arial"/>
          <w:sz w:val="22"/>
          <w:lang w:val="es-ES_tradnl"/>
        </w:rPr>
        <w:t>.</w:t>
      </w:r>
    </w:p>
    <w:p w14:paraId="03395786" w14:textId="0BCDF081" w:rsidR="00031AD9" w:rsidRPr="00AC19AC" w:rsidRDefault="00031AD9" w:rsidP="00AC19AC">
      <w:pPr>
        <w:spacing w:before="120" w:line="276" w:lineRule="auto"/>
        <w:jc w:val="both"/>
        <w:rPr>
          <w:rFonts w:ascii="Arial" w:eastAsia="Calibri" w:hAnsi="Arial" w:cs="Arial"/>
          <w:sz w:val="22"/>
          <w:lang w:val="es-ES_tradnl"/>
        </w:rPr>
      </w:pPr>
      <w:r w:rsidRPr="00AC19AC">
        <w:rPr>
          <w:rFonts w:ascii="Arial" w:eastAsia="Calibri" w:hAnsi="Arial" w:cs="Arial"/>
          <w:sz w:val="22"/>
          <w:lang w:val="es-ES_tradnl"/>
        </w:rPr>
        <w:tab/>
        <w:t>As</w:t>
      </w:r>
      <w:r w:rsidR="00285ACD" w:rsidRPr="00AC19AC">
        <w:rPr>
          <w:rFonts w:ascii="Arial" w:eastAsia="Calibri" w:hAnsi="Arial" w:cs="Arial"/>
          <w:sz w:val="22"/>
          <w:lang w:val="es-ES_tradnl"/>
        </w:rPr>
        <w:t xml:space="preserve">í </w:t>
      </w:r>
      <w:r w:rsidRPr="00AC19AC">
        <w:rPr>
          <w:rFonts w:ascii="Arial" w:eastAsia="Calibri" w:hAnsi="Arial" w:cs="Arial"/>
          <w:sz w:val="22"/>
          <w:lang w:val="es-ES_tradnl"/>
        </w:rPr>
        <w:t xml:space="preserve">mismo, señalaba que, dentro de los documentos tipo, el gobierno adoptaría de manera general y con alcance obligatorio para todas las entidades las condiciones habilitantes, así como los factores técnicos y económicos de escogencia, según correspondiera a cada modalidad de selección y la ponderación precisa y detallada de los mismos, teniendo en cuenta la naturaleza y cuantía de los contratos. Para la adopción de esta reglamentación el gobierno tendría en cuenta las características propias de las regiones con el ánimo de promover el empleo local. Por último, se facultaba al gobierno para adoptar los documentos tipo cuando lo considerara necesario en relación con otros contratos o procesos de selección. </w:t>
      </w:r>
    </w:p>
    <w:p w14:paraId="49DF507F" w14:textId="77777777" w:rsidR="00031AD9" w:rsidRPr="00AC19AC" w:rsidRDefault="00031AD9" w:rsidP="00AC19AC">
      <w:pPr>
        <w:spacing w:before="120" w:line="276" w:lineRule="auto"/>
        <w:jc w:val="both"/>
        <w:rPr>
          <w:rFonts w:ascii="Arial" w:eastAsia="Calibri" w:hAnsi="Arial" w:cs="Arial"/>
          <w:sz w:val="22"/>
          <w:lang w:val="es-ES_tradnl"/>
        </w:rPr>
      </w:pPr>
      <w:r w:rsidRPr="00AC19AC">
        <w:rPr>
          <w:rFonts w:ascii="Arial" w:eastAsia="Calibri" w:hAnsi="Arial" w:cs="Arial"/>
          <w:sz w:val="22"/>
          <w:lang w:val="es-ES_tradnl"/>
        </w:rPr>
        <w:tab/>
        <w:t xml:space="preserve">De la norma descrita se concluía lo siguiente: i) la adopción de los documentos tipo estaba en cabeza del Gobierno Nacional. ii) Estos debían relacionarse con procesos de obra públicas, interventoría para las obras públicas, interventoría para consultoría de estudios y diseños y, finalmente, consultoría en ingeniería para obras. iii) Eran de obligatorio cumplimiento por parte de todas las entidades sometidas al Estatuto General de Contratación de la Administración Pública. iv) En los documentos tipo se indicarían las condiciones generales de los requisitos habilitantes, así como los factores técnicos y económicos de escogencia, según correspondiera para cada modalidad de selección. v) El Gobierno Nacional tenía la facultad de adoptar documentos tipo en otros contratos o procesos de selección. Por último, vi) los documentos tipo serían adoptados por categorías de acuerdo con la cuantía de la contratación. </w:t>
      </w:r>
    </w:p>
    <w:p w14:paraId="17200769" w14:textId="77777777" w:rsidR="00031AD9" w:rsidRPr="00AC19AC" w:rsidRDefault="00031AD9" w:rsidP="00AC19AC">
      <w:pPr>
        <w:spacing w:before="120" w:line="276" w:lineRule="auto"/>
        <w:jc w:val="both"/>
        <w:rPr>
          <w:rFonts w:ascii="Arial" w:eastAsia="Calibri" w:hAnsi="Arial" w:cs="Arial"/>
          <w:sz w:val="22"/>
          <w:lang w:val="es-ES_tradnl"/>
        </w:rPr>
      </w:pPr>
      <w:r w:rsidRPr="00AC19AC">
        <w:rPr>
          <w:rFonts w:ascii="Arial" w:eastAsia="Calibri" w:hAnsi="Arial" w:cs="Arial"/>
          <w:sz w:val="22"/>
          <w:lang w:val="es-ES_tradnl"/>
        </w:rPr>
        <w:lastRenderedPageBreak/>
        <w:tab/>
        <w:t xml:space="preserve">Esta norma fue estudiada por la Corte Constitucional en la Sentencia C-119 de 2020. Al respecto, indicó que la adopción de los documentos tipo no afectaba la autonomía de las entidades territoriales, en cuanto la estandarización se predicaba únicamente de los requisitos habilitantes </w:t>
      </w:r>
      <w:bookmarkStart w:id="6" w:name="_Hlk48665985"/>
      <w:r w:rsidRPr="00AC19AC">
        <w:rPr>
          <w:rFonts w:ascii="Arial" w:eastAsia="Calibri" w:hAnsi="Arial" w:cs="Arial"/>
          <w:sz w:val="22"/>
          <w:lang w:val="es-ES_tradnl"/>
        </w:rPr>
        <w:t>y los criterios de escogencia, elementos propios del procedimiento de selección del contratista, materia en la que existe reserva de ley y que no se encuentra atribuida a la regulación de las entidades territoriales</w:t>
      </w:r>
      <w:bookmarkEnd w:id="6"/>
      <w:r w:rsidRPr="00AC19AC">
        <w:rPr>
          <w:rFonts w:ascii="Arial" w:eastAsia="Calibri" w:hAnsi="Arial" w:cs="Arial"/>
          <w:sz w:val="22"/>
          <w:lang w:val="es-ES_tradnl"/>
        </w:rPr>
        <w:t>. De igual manera, se establece que esta autonomía se garantiza con la identificación autónoma de sus necesidades y la configuración de los elementos del contrato</w:t>
      </w:r>
      <w:r w:rsidRPr="00AC19AC">
        <w:rPr>
          <w:rStyle w:val="Refdenotaalpie"/>
          <w:rFonts w:ascii="Arial" w:eastAsia="Calibri" w:hAnsi="Arial" w:cs="Arial"/>
        </w:rPr>
        <w:footnoteReference w:id="5"/>
      </w:r>
      <w:r w:rsidRPr="00AC19AC">
        <w:rPr>
          <w:rFonts w:ascii="Arial" w:eastAsia="Calibri" w:hAnsi="Arial" w:cs="Arial"/>
          <w:sz w:val="22"/>
          <w:lang w:val="es-ES_tradnl"/>
        </w:rPr>
        <w:t>.</w:t>
      </w:r>
    </w:p>
    <w:p w14:paraId="42C90782" w14:textId="09993D22" w:rsidR="00031AD9" w:rsidRPr="00AC19AC" w:rsidRDefault="00031AD9" w:rsidP="00AC19AC">
      <w:pPr>
        <w:spacing w:before="120" w:line="276" w:lineRule="auto"/>
        <w:jc w:val="both"/>
        <w:rPr>
          <w:rFonts w:ascii="Arial" w:eastAsia="Calibri" w:hAnsi="Arial" w:cs="Arial"/>
          <w:sz w:val="22"/>
          <w:lang w:val="es-ES_tradnl"/>
        </w:rPr>
      </w:pPr>
      <w:r w:rsidRPr="00AC19AC">
        <w:rPr>
          <w:rFonts w:ascii="Arial" w:eastAsia="Calibri" w:hAnsi="Arial" w:cs="Arial"/>
          <w:sz w:val="22"/>
          <w:lang w:val="es-ES_tradnl"/>
        </w:rPr>
        <w:tab/>
        <w:t xml:space="preserve">De este modo, los documentos tipo no afectan la autonomía de las entidades territoriales. Lo anterior, debido a que la definición de los requisitos habilitantes y de aspectos técnicos de la escogencia del contratista en los Procesos de Contratación, son </w:t>
      </w:r>
      <w:r w:rsidR="00E22F82" w:rsidRPr="00AC19AC">
        <w:rPr>
          <w:rFonts w:ascii="Arial" w:eastAsia="Calibri" w:hAnsi="Arial" w:cs="Arial"/>
          <w:sz w:val="22"/>
          <w:lang w:val="es-ES_tradnl"/>
        </w:rPr>
        <w:t xml:space="preserve">contenidos </w:t>
      </w:r>
      <w:r w:rsidRPr="00AC19AC">
        <w:rPr>
          <w:rFonts w:ascii="Arial" w:eastAsia="Calibri" w:hAnsi="Arial" w:cs="Arial"/>
          <w:sz w:val="22"/>
          <w:lang w:val="es-ES_tradnl"/>
        </w:rPr>
        <w:t>en los que el legislador tiene amplia libertad de configuración normativa y, por tanto, puede atribuir dicha regulación al Gobierno Nacional. Ahora, dicha autonomía se materializa cuando las entidades territoriales deciden iniciar una convocatoria para satisfacer sus necesidades para la adquisición de un bien, obra o servicio, y además se incluyen en la minuta del contrato las condiciones particulares del negocio jurídico a celebrar.</w:t>
      </w:r>
    </w:p>
    <w:p w14:paraId="3531E131" w14:textId="4701879E" w:rsidR="00031AD9" w:rsidRPr="00AC19AC" w:rsidRDefault="00031AD9" w:rsidP="00AC19AC">
      <w:pPr>
        <w:spacing w:before="120" w:line="276" w:lineRule="auto"/>
        <w:jc w:val="both"/>
        <w:rPr>
          <w:rFonts w:ascii="Arial" w:eastAsia="Calibri" w:hAnsi="Arial" w:cs="Arial"/>
          <w:sz w:val="22"/>
          <w:szCs w:val="22"/>
          <w:lang w:val="es-ES_tradnl" w:eastAsia="en-US"/>
        </w:rPr>
      </w:pPr>
      <w:r w:rsidRPr="00AC19AC">
        <w:rPr>
          <w:rFonts w:ascii="Arial" w:eastAsia="Calibri" w:hAnsi="Arial" w:cs="Arial"/>
          <w:sz w:val="22"/>
          <w:szCs w:val="22"/>
          <w:lang w:val="es-ES_tradnl"/>
        </w:rPr>
        <w:tab/>
      </w:r>
      <w:r w:rsidR="00285ACD" w:rsidRPr="00AC19AC">
        <w:rPr>
          <w:rFonts w:ascii="Arial" w:eastAsia="Calibri" w:hAnsi="Arial" w:cs="Arial"/>
          <w:color w:val="000000"/>
          <w:sz w:val="22"/>
          <w:szCs w:val="22"/>
          <w:lang w:val="es-ES"/>
        </w:rPr>
        <w:t xml:space="preserve">Explicado el proceso para adoptar los documentos tipo en virtud de la Ley 1882 de 2018 y estudiada su constitucionalidad, de acuerdo con el pronunciamiento de la Corte Constitucional, a continuación, se identificarán los documentos tipo adoptados por el gobierno nacional en virtud de esta ley. </w:t>
      </w:r>
      <w:r w:rsidRPr="00AC19AC">
        <w:rPr>
          <w:rFonts w:ascii="Arial" w:eastAsia="Calibri" w:hAnsi="Arial" w:cs="Arial"/>
          <w:sz w:val="22"/>
          <w:szCs w:val="22"/>
          <w:lang w:val="es-ES_tradnl" w:eastAsia="en-US"/>
        </w:rPr>
        <w:t xml:space="preserve">Dada la relevancia económica y el impacto que tienen en el nivel territorial los proyectos de obra en el sector transporte, el Gobierno Nacional, en vigencia del artículo 4 de la Ley 1882 de 2018, por el cual se adicionó el parágrafo 7 del artículo 2 de la Ley 1150 de 2007, inició la implementación gradual de documentos tipo mediante el Decreto 342 de 2019, relacionado con los documentos tipo para los procesos de selección de licitación de obra pública de infraestructura de transporte. Luego se expidió el Decreto 2096 </w:t>
      </w:r>
      <w:r w:rsidR="00285ACD" w:rsidRPr="00AC19AC">
        <w:rPr>
          <w:rFonts w:ascii="Arial" w:eastAsia="Calibri" w:hAnsi="Arial" w:cs="Arial"/>
          <w:sz w:val="22"/>
          <w:szCs w:val="22"/>
          <w:lang w:val="es-ES"/>
        </w:rPr>
        <w:t>del 21 de noviembre de 2019</w:t>
      </w:r>
      <w:r w:rsidRPr="00AC19AC">
        <w:rPr>
          <w:rFonts w:ascii="Arial" w:eastAsia="Calibri" w:hAnsi="Arial" w:cs="Arial"/>
          <w:sz w:val="22"/>
          <w:szCs w:val="22"/>
          <w:lang w:val="es-ES_tradnl" w:eastAsia="en-US"/>
        </w:rPr>
        <w:t xml:space="preserve">, que permitió el desarrollo de los documentos tipo para los pliegos de condiciones de los procesos de obras públicas de infraestructura de transporte que se adelantaran por la modalidad de selección abreviada de menor cuantía. </w:t>
      </w:r>
    </w:p>
    <w:p w14:paraId="5598DBE8" w14:textId="77777777" w:rsidR="00031AD9" w:rsidRPr="00AC19AC" w:rsidRDefault="00031AD9" w:rsidP="00AC19AC">
      <w:pPr>
        <w:spacing w:before="120" w:line="276" w:lineRule="auto"/>
        <w:ind w:firstLine="708"/>
        <w:jc w:val="both"/>
        <w:rPr>
          <w:rFonts w:ascii="Arial" w:eastAsia="Calibri" w:hAnsi="Arial" w:cs="Arial"/>
          <w:sz w:val="22"/>
          <w:szCs w:val="22"/>
          <w:lang w:val="es-ES_tradnl"/>
        </w:rPr>
      </w:pPr>
      <w:r w:rsidRPr="00AC19AC">
        <w:rPr>
          <w:rFonts w:ascii="Arial" w:eastAsia="Calibri" w:hAnsi="Arial" w:cs="Arial"/>
          <w:sz w:val="22"/>
          <w:szCs w:val="22"/>
          <w:lang w:val="es-ES_tradnl" w:eastAsia="en-US"/>
        </w:rPr>
        <w:lastRenderedPageBreak/>
        <w:t>Finalmente, se profirió el Decreto 594 de 2020, frente a los documentos tipo para los contratos de obra pública</w:t>
      </w:r>
      <w:r w:rsidRPr="00AC19AC" w:rsidDel="00A434AB">
        <w:rPr>
          <w:rFonts w:ascii="Arial" w:eastAsia="Calibri" w:hAnsi="Arial" w:cs="Arial"/>
          <w:sz w:val="22"/>
          <w:szCs w:val="22"/>
          <w:lang w:val="es-ES_tradnl" w:eastAsia="en-US"/>
        </w:rPr>
        <w:t xml:space="preserve"> </w:t>
      </w:r>
      <w:r w:rsidRPr="00AC19AC">
        <w:rPr>
          <w:rFonts w:ascii="Arial" w:eastAsia="Calibri" w:hAnsi="Arial" w:cs="Arial"/>
          <w:sz w:val="22"/>
          <w:szCs w:val="22"/>
          <w:lang w:val="es-ES_tradnl" w:eastAsia="en-US"/>
        </w:rPr>
        <w:t xml:space="preserve">de infraestructura de transporte que se surtieran por la modalidad de mínima cuantía. Estos documentos fueron implementados y desarrollados por la Agencia Nacional de Contratación Pública </w:t>
      </w:r>
      <w:bookmarkStart w:id="7" w:name="_Hlk37841850"/>
      <w:r w:rsidRPr="00AC19AC">
        <w:rPr>
          <w:rFonts w:ascii="Arial" w:eastAsia="Calibri" w:hAnsi="Arial" w:cs="Arial"/>
          <w:sz w:val="22"/>
          <w:szCs w:val="22"/>
          <w:lang w:val="es-ES_tradnl" w:eastAsia="en-US"/>
        </w:rPr>
        <w:t xml:space="preserve">– Colombia Compra Eficiente, </w:t>
      </w:r>
      <w:bookmarkEnd w:id="7"/>
      <w:r w:rsidRPr="00AC19AC">
        <w:rPr>
          <w:rFonts w:ascii="Arial" w:eastAsia="Calibri" w:hAnsi="Arial" w:cs="Arial"/>
          <w:sz w:val="22"/>
          <w:szCs w:val="22"/>
          <w:lang w:val="es-ES_tradnl" w:eastAsia="en-US"/>
        </w:rPr>
        <w:t>por medio de la Resolución 1798 de 2019 –derogada por la Resolución 045 de 2020–, la Resolución 044 de 2020 y la Resolución 094 de 2020.</w:t>
      </w:r>
    </w:p>
    <w:p w14:paraId="64393B94" w14:textId="4B97BF1B" w:rsidR="00031AD9" w:rsidRPr="00AC19AC" w:rsidRDefault="00031AD9" w:rsidP="00AC19AC">
      <w:pPr>
        <w:pStyle w:val="Normal11pt"/>
        <w:spacing w:before="120" w:line="276" w:lineRule="auto"/>
        <w:ind w:left="0" w:firstLine="709"/>
        <w:rPr>
          <w:rFonts w:eastAsia="Calibri"/>
          <w:color w:val="auto"/>
        </w:rPr>
      </w:pPr>
      <w:r w:rsidRPr="00AC19AC">
        <w:rPr>
          <w:rFonts w:eastAsia="Calibri"/>
          <w:color w:val="auto"/>
        </w:rPr>
        <w:t>Con posterioridad a la adopción de los anteriores documentos tipo, se expidió la Ley 2022 de</w:t>
      </w:r>
      <w:r w:rsidR="00285ACD" w:rsidRPr="00AC19AC">
        <w:rPr>
          <w:rFonts w:eastAsia="Calibri"/>
          <w:color w:val="auto"/>
        </w:rPr>
        <w:t xml:space="preserve">l </w:t>
      </w:r>
      <w:r w:rsidR="00285ACD" w:rsidRPr="00AC19AC">
        <w:rPr>
          <w:rFonts w:eastAsia="Calibri"/>
          <w:lang w:val="es-ES"/>
        </w:rPr>
        <w:t>22 de julio de 2020</w:t>
      </w:r>
      <w:r w:rsidRPr="00AC19AC">
        <w:rPr>
          <w:rFonts w:eastAsia="Calibri"/>
          <w:color w:val="auto"/>
        </w:rPr>
        <w:t>, norma que modificó el parágrafo 7 del artículo 2 de la Ley 1150 de 2007, que había sido adicionado por la Ley 1882 de 2018</w:t>
      </w:r>
      <w:r w:rsidRPr="00AC19AC">
        <w:rPr>
          <w:rStyle w:val="Refdenotaalpie"/>
          <w:rFonts w:eastAsia="Calibri"/>
        </w:rPr>
        <w:footnoteReference w:id="6"/>
      </w:r>
      <w:r w:rsidRPr="00AC19AC">
        <w:rPr>
          <w:rFonts w:eastAsia="Calibri"/>
          <w:color w:val="auto"/>
        </w:rPr>
        <w:t xml:space="preserve">. Con esta modificación, si bien se mantuvo el mandato de aplicación obligatoria de los documentos tipo por parte de las entidades sometidas al Estatuto General de Contratación de la Administración Pública, se atribuyó, específicamente, a la </w:t>
      </w:r>
      <w:r w:rsidRPr="00AC19AC">
        <w:rPr>
          <w:rFonts w:eastAsia="Calibri"/>
          <w:color w:val="auto"/>
          <w:lang w:eastAsia="en-US"/>
        </w:rPr>
        <w:t xml:space="preserve">Agencia Nacional de Contratación Pública – Colombia Compra Eficiente la competencia para su adopción. </w:t>
      </w:r>
      <w:r w:rsidRPr="00AC19AC">
        <w:rPr>
          <w:rFonts w:eastAsia="Calibri"/>
          <w:color w:val="auto"/>
        </w:rPr>
        <w:t>En este marco, con la finalidad de realizar un desarrollo armónico y ajustado a la ley que otorgó esta competencia, esta Agencia emitió la Resolución 160 de 2020 «Por la cual se adopta el procedimiento para implementar los documentos tipo y se define el sistema para su revisión». As</w:t>
      </w:r>
      <w:r w:rsidR="00285ACD" w:rsidRPr="00AC19AC">
        <w:rPr>
          <w:rFonts w:eastAsia="Calibri"/>
          <w:color w:val="auto"/>
        </w:rPr>
        <w:t xml:space="preserve">í </w:t>
      </w:r>
      <w:r w:rsidRPr="00AC19AC">
        <w:rPr>
          <w:rFonts w:eastAsia="Calibri"/>
          <w:color w:val="auto"/>
        </w:rPr>
        <w:t xml:space="preserve">mismo, con fundamento en dicha Ley, se profirió la Resolución 240 de 2020, «Por la cual se actualizan los Documentos Tipo para los procesos de selección de licitación de obra pública de infraestructura de transporte y se deroga la Resolución 0045 de 2020». </w:t>
      </w:r>
    </w:p>
    <w:p w14:paraId="02AF96FA" w14:textId="77777777" w:rsidR="00031AD9" w:rsidRPr="00AC19AC" w:rsidRDefault="00031AD9" w:rsidP="00AC19AC">
      <w:pPr>
        <w:pStyle w:val="Normal11pt"/>
        <w:spacing w:before="120" w:line="276" w:lineRule="auto"/>
        <w:ind w:left="0" w:firstLine="709"/>
        <w:rPr>
          <w:rFonts w:eastAsia="Calibri"/>
          <w:color w:val="auto"/>
        </w:rPr>
      </w:pPr>
      <w:r w:rsidRPr="00AC19AC">
        <w:rPr>
          <w:rFonts w:eastAsia="Calibri"/>
          <w:color w:val="auto"/>
        </w:rPr>
        <w:lastRenderedPageBreak/>
        <w:t>De igual manera, se expidió la Resolución 241 de 2020, «Por la cual se actualizan los Documentos Tipo para los procesos de selección abreviada de menor cuantía de obra pública de infraestructura de transporte y se deroga la Resolución 0044 de 2020». Adicionalmente, entró en vigencia la Resolución 256 de 2020, «Por la cual se adoptan los documentos tipo para los procesos de selección de concursos de méritos, para contratar la interventoría de obras públicas de infraestructura de transporte». Por otra parte, se expidió la Resolución 248 de 2020, «Por la cual se adoptan los documentos tipo para los procesos de licitación pública para obras de infraestructura de agua potable y saneamiento básico», la Resolución 249 de 2020, «Por la cual se adoptan los documentos tipo para los procesos de licitación pública para obras de infraestructura de agua potable y saneamiento básico en la modalidad llave en mano», y la Resolución 269 de 2020, «Por la cual se adopta el documento tipo para los procesos de gestión catastral con enfoque multipropósito que se celebren a través de contratos interadministrativos».</w:t>
      </w:r>
    </w:p>
    <w:p w14:paraId="253FB21D" w14:textId="1D7B36E1" w:rsidR="00031AD9" w:rsidRPr="00AC19AC" w:rsidRDefault="00031AD9" w:rsidP="00AC19AC">
      <w:pPr>
        <w:pStyle w:val="Normal11pt"/>
        <w:spacing w:before="120" w:line="276" w:lineRule="auto"/>
        <w:ind w:left="0" w:firstLine="709"/>
        <w:rPr>
          <w:color w:val="auto"/>
        </w:rPr>
      </w:pPr>
      <w:r w:rsidRPr="00AC19AC">
        <w:rPr>
          <w:rFonts w:eastAsia="Calibri"/>
          <w:color w:val="auto"/>
        </w:rPr>
        <w:t xml:space="preserve">A los actos administrativos mencionados se suman: i) la Resolución 193 de 2021, </w:t>
      </w:r>
      <w:r w:rsidRPr="00AC19AC">
        <w:rPr>
          <w:color w:val="auto"/>
        </w:rPr>
        <w:t>«Por la cual se adoptan los documentos tipo para los procesos de selección de concurso de méritos, para contratar la consultoría de estudios de ingeniería de infraestructura de transporte»,</w:t>
      </w:r>
      <w:r w:rsidRPr="00AC19AC">
        <w:rPr>
          <w:rFonts w:eastAsia="Calibri"/>
          <w:color w:val="auto"/>
        </w:rPr>
        <w:t xml:space="preserve"> ii) la Resolución 219 de 2020,</w:t>
      </w:r>
      <w:r w:rsidRPr="00AC19AC">
        <w:rPr>
          <w:color w:val="auto"/>
        </w:rPr>
        <w:t xml:space="preserve"> «Por la cual se adoptan los documentos tipo para los procesos de licitación de obra pública de infraestructura social», iii) la Resolución 220 de 2021, «Por la cual se adoptan los documentos tipo complementarios para los procesos de licitación de obra pública de infraestructura social relacionados con el sector educativo», iv) </w:t>
      </w:r>
      <w:r w:rsidR="00F84A63" w:rsidRPr="00AC19AC">
        <w:rPr>
          <w:rFonts w:eastAsia="Arial"/>
          <w:bCs/>
          <w:lang w:bidi="es-ES"/>
        </w:rPr>
        <w:t>la Resolución 304 del 2021</w:t>
      </w:r>
      <w:r w:rsidR="00F84A63" w:rsidRPr="00AC19AC">
        <w:rPr>
          <w:rFonts w:eastAsia="Arial"/>
          <w:lang w:bidi="es-ES"/>
        </w:rPr>
        <w:t xml:space="preserve"> </w:t>
      </w:r>
      <w:r w:rsidR="00F84A63" w:rsidRPr="00AC19AC">
        <w:rPr>
          <w:rFonts w:eastAsia="Arial"/>
          <w:bCs/>
          <w:lang w:bidi="es-ES"/>
        </w:rPr>
        <w:t>«Por la cual se modifican los Documentos Tipo adoptados por la Agencia Nacional de Contratación Pública – Colombia Compra Eficiente»</w:t>
      </w:r>
      <w:r w:rsidRPr="00AC19AC">
        <w:rPr>
          <w:color w:val="auto"/>
        </w:rPr>
        <w:t>, v)</w:t>
      </w:r>
      <w:r w:rsidR="00F84A63" w:rsidRPr="00AC19AC">
        <w:rPr>
          <w:color w:val="auto"/>
        </w:rPr>
        <w:t xml:space="preserve"> la Resolución 392 de 2021, «Por la cual se adoptan los documentos tipo complementarios para los procesos de licitación de obra pública de infraestructura social relacionados con el sector salud»</w:t>
      </w:r>
      <w:r w:rsidR="00285ACD" w:rsidRPr="00AC19AC">
        <w:rPr>
          <w:rFonts w:eastAsia="Arial"/>
          <w:bCs/>
          <w:lang w:bidi="es-ES"/>
        </w:rPr>
        <w:t xml:space="preserve">, y vi) </w:t>
      </w:r>
      <w:r w:rsidRPr="00AC19AC">
        <w:rPr>
          <w:color w:val="auto"/>
        </w:rPr>
        <w:t xml:space="preserve">la Resolución 454 de 2021, «Por la cual se adoptan los documentos tipo complementarios para los procesos de licitación de obra pública de infraestructura social relacionados con el sector cultura, recreación y deporte». </w:t>
      </w:r>
    </w:p>
    <w:p w14:paraId="13C256B7" w14:textId="21855F4F" w:rsidR="00F84A63" w:rsidRPr="00AC19AC" w:rsidRDefault="00F84A63" w:rsidP="00AC19AC">
      <w:pPr>
        <w:pStyle w:val="Normal11pt"/>
        <w:spacing w:before="120" w:line="276" w:lineRule="auto"/>
        <w:ind w:left="0" w:firstLine="709"/>
        <w:rPr>
          <w:color w:val="auto"/>
        </w:rPr>
      </w:pPr>
      <w:r w:rsidRPr="00AC19AC">
        <w:rPr>
          <w:rFonts w:eastAsia="Calibri"/>
        </w:rPr>
        <w:t xml:space="preserve">Las resoluciones señaladas </w:t>
      </w:r>
      <w:r w:rsidRPr="00AC19AC">
        <w:rPr>
          <w:bdr w:val="none" w:sz="0" w:space="0" w:color="auto" w:frame="1"/>
        </w:rPr>
        <w:t>reiteran el alcance de la obligatoriedad de los documentos tipo en la materia</w:t>
      </w:r>
      <w:r w:rsidRPr="00AC19AC">
        <w:rPr>
          <w:rFonts w:eastAsia="Calibri"/>
        </w:rPr>
        <w:t xml:space="preserve"> y establecen parámetros obligatorios para las entidades estatales cuya contratación se rija por el Estatuto General de Contratación de la Administración Pública, siempre que las actividades que se contraten estén incluidas en la «Matriz 1 – Experiencia», de acuerdo con el documento tipo a aplicar. </w:t>
      </w:r>
      <w:r w:rsidRPr="00AC19AC">
        <w:rPr>
          <w:rFonts w:eastAsia="Calibri"/>
          <w:color w:val="000000" w:themeColor="text1"/>
        </w:rPr>
        <w:t>Así, para determinar el ámbito de aplicación de los documentos tipo debe acudirse a la «Matriz 1 – Experiencia», en la que se contemplan las clases de obra aplicables al sector, sean de infraestructura de transporte, agua potable y saneamiento básico o infraestructura social.</w:t>
      </w:r>
    </w:p>
    <w:p w14:paraId="17A0CC58" w14:textId="77777777" w:rsidR="00031AD9" w:rsidRPr="00AC19AC" w:rsidRDefault="00031AD9" w:rsidP="00AC19AC">
      <w:pPr>
        <w:pStyle w:val="Normal11pt"/>
        <w:spacing w:before="120" w:line="276" w:lineRule="auto"/>
        <w:ind w:left="0" w:firstLine="709"/>
        <w:rPr>
          <w:color w:val="auto"/>
        </w:rPr>
      </w:pPr>
      <w:r w:rsidRPr="00AC19AC">
        <w:rPr>
          <w:color w:val="auto"/>
        </w:rPr>
        <w:t xml:space="preserve">En cuanto al ámbito de aplicación de estos documentos, es preciso explicar que cada una de estas resoluciones está relacionada con un sector, un objeto contractual y una modalidad de selección específica. Esto de tal manera que las entidades estatales regidas por el Estatuto General de Contratación de la Administración Pública, al momento de </w:t>
      </w:r>
      <w:r w:rsidRPr="00AC19AC">
        <w:rPr>
          <w:color w:val="auto"/>
        </w:rPr>
        <w:lastRenderedPageBreak/>
        <w:t xml:space="preserve">adelantar un proceso de contratación asociado a uno de los sectores para los que se han implementado documentos tipo, deben consultar el contenido de los respectivos documentos tipo, para determinar si la modalidad de escogencia y el objeto a contratar son o no subsumibles dentro de lo dispuesto en aquellos. De ser esto así, la entidad estará obligada a adelantar el proceso de contratación aplicando los documentos tipo del caso. </w:t>
      </w:r>
    </w:p>
    <w:p w14:paraId="0ECC133B" w14:textId="27E920EC" w:rsidR="00031AD9" w:rsidRPr="00AC19AC" w:rsidRDefault="00031AD9" w:rsidP="00E22F82">
      <w:pPr>
        <w:spacing w:before="120" w:line="276" w:lineRule="auto"/>
        <w:ind w:firstLine="708"/>
        <w:jc w:val="both"/>
        <w:rPr>
          <w:rFonts w:ascii="Arial" w:hAnsi="Arial" w:cs="Arial"/>
          <w:sz w:val="22"/>
          <w:shd w:val="clear" w:color="auto" w:fill="FFFFFF"/>
          <w:lang w:val="es-ES_tradnl"/>
        </w:rPr>
      </w:pPr>
      <w:r w:rsidRPr="00AC19AC">
        <w:rPr>
          <w:rFonts w:ascii="Arial" w:hAnsi="Arial" w:cs="Arial"/>
          <w:sz w:val="22"/>
          <w:shd w:val="clear" w:color="auto" w:fill="FFFFFF"/>
          <w:lang w:val="es-ES_tradnl"/>
        </w:rPr>
        <w:t>Es importante advertir que</w:t>
      </w:r>
      <w:r w:rsidR="00F84A63" w:rsidRPr="00AC19AC">
        <w:rPr>
          <w:rFonts w:ascii="Arial" w:hAnsi="Arial" w:cs="Arial"/>
          <w:sz w:val="22"/>
          <w:shd w:val="clear" w:color="auto" w:fill="FFFFFF"/>
          <w:lang w:val="es-ES_tradnl"/>
        </w:rPr>
        <w:t>, como se mencionó en los apartes anteriores,</w:t>
      </w:r>
      <w:r w:rsidRPr="00AC19AC">
        <w:rPr>
          <w:rFonts w:ascii="Arial" w:hAnsi="Arial" w:cs="Arial"/>
          <w:sz w:val="22"/>
          <w:shd w:val="clear" w:color="auto" w:fill="FFFFFF"/>
          <w:lang w:val="es-ES_tradnl"/>
        </w:rPr>
        <w:t xml:space="preserve"> todas las resoluciones mediante las que se han adoptado documentos tipo consagran la regla de la inalterabilidad. Esta prohibición consiste en que las entidades estatales no pueden incluir o modificar en los </w:t>
      </w:r>
      <w:r w:rsidRPr="00AC19AC">
        <w:rPr>
          <w:rFonts w:ascii="Arial" w:hAnsi="Arial" w:cs="Arial"/>
          <w:i/>
          <w:iCs/>
          <w:sz w:val="22"/>
          <w:shd w:val="clear" w:color="auto" w:fill="FFFFFF"/>
          <w:lang w:val="es-ES_tradnl"/>
        </w:rPr>
        <w:t>Documentos del Proceso</w:t>
      </w:r>
      <w:r w:rsidRPr="00AC19AC">
        <w:rPr>
          <w:rFonts w:ascii="Arial" w:hAnsi="Arial" w:cs="Arial"/>
          <w:sz w:val="22"/>
          <w:shd w:val="clear" w:color="auto" w:fill="FFFFFF"/>
          <w:lang w:val="es-ES_tradnl"/>
        </w:rPr>
        <w:t xml:space="preserve"> los requisitos habilitantes, los factores técnicos y económicos de escogencia y los sistemas de ponderación distintos a los señalados en los documentos tipo. En consecuencia, las condiciones establecidas en dichos documentos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16B1693D" w14:textId="77777777" w:rsidR="004E40A3" w:rsidRPr="00AC19AC" w:rsidRDefault="004E40A3" w:rsidP="004E40A3">
      <w:pPr>
        <w:spacing w:before="120" w:line="276" w:lineRule="auto"/>
        <w:ind w:firstLine="709"/>
        <w:jc w:val="both"/>
        <w:rPr>
          <w:rFonts w:ascii="Arial" w:eastAsia="Calibri" w:hAnsi="Arial" w:cs="Arial"/>
          <w:color w:val="000000"/>
          <w:sz w:val="22"/>
          <w:szCs w:val="22"/>
          <w:lang w:val="es-ES" w:eastAsia="es-ES"/>
        </w:rPr>
      </w:pPr>
      <w:r w:rsidRPr="00AC19AC">
        <w:rPr>
          <w:rFonts w:ascii="Arial" w:eastAsia="Calibri" w:hAnsi="Arial" w:cs="Arial"/>
          <w:color w:val="000000"/>
          <w:sz w:val="22"/>
          <w:szCs w:val="22"/>
          <w:lang w:val="es-ES" w:eastAsia="es-ES"/>
        </w:rPr>
        <w:t xml:space="preserve">En síntesis, hasta el momento se han expedido los siguientes documentos tipo que son obligatorios para todas las entidades sometidas al Estatuto General de Contratación de la Administración Pública: </w:t>
      </w:r>
    </w:p>
    <w:p w14:paraId="2F1F08B3" w14:textId="77777777" w:rsidR="004E40A3" w:rsidRPr="00AC19AC" w:rsidRDefault="004E40A3" w:rsidP="004E40A3">
      <w:pPr>
        <w:spacing w:before="120" w:line="276" w:lineRule="auto"/>
        <w:ind w:firstLine="709"/>
        <w:jc w:val="both"/>
        <w:rPr>
          <w:rFonts w:ascii="Arial" w:eastAsia="Calibri" w:hAnsi="Arial" w:cs="Arial"/>
          <w:color w:val="000000"/>
          <w:sz w:val="22"/>
          <w:szCs w:val="22"/>
          <w:lang w:val="es-ES" w:eastAsia="es-ES"/>
        </w:rPr>
      </w:pPr>
      <w:r w:rsidRPr="00AC19AC">
        <w:rPr>
          <w:rFonts w:ascii="Arial" w:eastAsia="Calibri" w:hAnsi="Arial" w:cs="Arial"/>
          <w:color w:val="000000"/>
          <w:sz w:val="22"/>
          <w:szCs w:val="22"/>
          <w:lang w:val="es-ES" w:eastAsia="es-ES"/>
        </w:rPr>
        <w:t xml:space="preserve">i) Documentos tipo para licitación de obra pública de infraestructura de transporte –versión 1–, obligatorios para los procesos cuyo aviso de convocatoria se haya publicado desde el 1 de abril de 2019. </w:t>
      </w:r>
    </w:p>
    <w:p w14:paraId="549D9610" w14:textId="77777777" w:rsidR="004E40A3" w:rsidRPr="00AC19AC" w:rsidRDefault="004E40A3" w:rsidP="004E40A3">
      <w:pPr>
        <w:spacing w:before="120" w:line="276" w:lineRule="auto"/>
        <w:ind w:firstLine="709"/>
        <w:jc w:val="both"/>
        <w:rPr>
          <w:rFonts w:ascii="Arial" w:eastAsia="Calibri" w:hAnsi="Arial" w:cs="Arial"/>
          <w:color w:val="000000"/>
          <w:sz w:val="22"/>
          <w:szCs w:val="22"/>
          <w:lang w:val="es-ES" w:eastAsia="es-ES"/>
        </w:rPr>
      </w:pPr>
      <w:r w:rsidRPr="00AC19AC">
        <w:rPr>
          <w:rFonts w:ascii="Arial" w:eastAsia="Calibri" w:hAnsi="Arial" w:cs="Arial"/>
          <w:color w:val="000000"/>
          <w:sz w:val="22"/>
          <w:szCs w:val="22"/>
          <w:lang w:val="es-ES" w:eastAsia="es-ES"/>
        </w:rPr>
        <w:t>ii) Documentos tipo para licitación de obra pública de infraestructura de transporte –versión 2–, obligatorios para los procesos cuyo aviso de convocatoria se haya publicado desde el 10 de marzo de 2020.</w:t>
      </w:r>
    </w:p>
    <w:p w14:paraId="3C92D840" w14:textId="77777777" w:rsidR="004E40A3" w:rsidRPr="00AC19AC" w:rsidRDefault="004E40A3" w:rsidP="004E40A3">
      <w:pPr>
        <w:spacing w:before="120" w:line="276" w:lineRule="auto"/>
        <w:ind w:firstLine="709"/>
        <w:jc w:val="both"/>
        <w:rPr>
          <w:rFonts w:ascii="Arial" w:eastAsia="Calibri" w:hAnsi="Arial" w:cs="Arial"/>
          <w:color w:val="000000"/>
          <w:sz w:val="22"/>
          <w:szCs w:val="22"/>
          <w:lang w:val="es-ES" w:eastAsia="es-ES"/>
        </w:rPr>
      </w:pPr>
      <w:r w:rsidRPr="00AC19AC">
        <w:rPr>
          <w:rFonts w:ascii="Arial" w:eastAsia="Calibri" w:hAnsi="Arial" w:cs="Arial"/>
          <w:color w:val="000000"/>
          <w:sz w:val="22"/>
          <w:szCs w:val="22"/>
          <w:lang w:val="es-ES" w:eastAsia="es-ES"/>
        </w:rPr>
        <w:t>iii) Documentos tipo para licitación de obra pública de infraestructura de transporte –versión 3–, obligatorios para los procesos cuyo aviso de convocatoria se haya publicado desde el 1 de enero de 2021.</w:t>
      </w:r>
    </w:p>
    <w:p w14:paraId="687EF36D" w14:textId="77777777" w:rsidR="004E40A3" w:rsidRPr="00AC19AC" w:rsidRDefault="004E40A3" w:rsidP="004E40A3">
      <w:pPr>
        <w:spacing w:before="120" w:line="276" w:lineRule="auto"/>
        <w:ind w:firstLine="709"/>
        <w:jc w:val="both"/>
        <w:rPr>
          <w:rFonts w:ascii="Arial" w:eastAsia="Calibri" w:hAnsi="Arial" w:cs="Arial"/>
          <w:color w:val="000000"/>
          <w:sz w:val="22"/>
          <w:szCs w:val="22"/>
          <w:lang w:val="es-ES" w:eastAsia="es-ES"/>
        </w:rPr>
      </w:pPr>
      <w:r w:rsidRPr="00AC19AC">
        <w:rPr>
          <w:rFonts w:ascii="Arial" w:eastAsia="Calibri" w:hAnsi="Arial" w:cs="Arial"/>
          <w:color w:val="000000"/>
          <w:sz w:val="22"/>
          <w:szCs w:val="22"/>
          <w:lang w:val="es-ES" w:eastAsia="es-ES"/>
        </w:rPr>
        <w:t>iv) Documentos tipo para procesos de selección abreviada de menor cuantía de infraestructura de transporte –versión 1–, obligatorios para los procesos cuyo aviso de convocatoria se haya publicado desde el 17 de febrero de 2020.</w:t>
      </w:r>
    </w:p>
    <w:p w14:paraId="694D972E" w14:textId="77777777" w:rsidR="004E40A3" w:rsidRPr="00AC19AC" w:rsidRDefault="004E40A3" w:rsidP="004E40A3">
      <w:pPr>
        <w:spacing w:before="120" w:line="276" w:lineRule="auto"/>
        <w:ind w:firstLine="709"/>
        <w:jc w:val="both"/>
        <w:rPr>
          <w:rFonts w:ascii="Arial" w:eastAsia="Calibri" w:hAnsi="Arial" w:cs="Arial"/>
          <w:color w:val="000000"/>
          <w:sz w:val="22"/>
          <w:szCs w:val="22"/>
          <w:lang w:val="es-ES" w:eastAsia="es-ES"/>
        </w:rPr>
      </w:pPr>
      <w:r w:rsidRPr="00AC19AC">
        <w:rPr>
          <w:rFonts w:ascii="Arial" w:eastAsia="Calibri" w:hAnsi="Arial" w:cs="Arial"/>
          <w:color w:val="000000"/>
          <w:sz w:val="22"/>
          <w:szCs w:val="22"/>
          <w:lang w:val="es-ES" w:eastAsia="es-ES"/>
        </w:rPr>
        <w:t xml:space="preserve">v) Documentos tipo para procesos de selección abreviada de menor cuantía de infraestructura de transporte –versión 2–, obligatorios para los procesos cuyo aviso de convocatoria se haya publicado desde el 1 de enero de 2021. </w:t>
      </w:r>
    </w:p>
    <w:p w14:paraId="60AD9FD8" w14:textId="77777777" w:rsidR="004E40A3" w:rsidRPr="00AC19AC" w:rsidRDefault="004E40A3" w:rsidP="004E40A3">
      <w:pPr>
        <w:spacing w:before="120" w:line="276" w:lineRule="auto"/>
        <w:ind w:firstLine="709"/>
        <w:jc w:val="both"/>
        <w:rPr>
          <w:rFonts w:ascii="Arial" w:eastAsia="Calibri" w:hAnsi="Arial" w:cs="Arial"/>
          <w:color w:val="000000"/>
          <w:sz w:val="22"/>
          <w:szCs w:val="22"/>
          <w:lang w:val="es-ES" w:eastAsia="es-ES"/>
        </w:rPr>
      </w:pPr>
      <w:r w:rsidRPr="00AC19AC">
        <w:rPr>
          <w:rFonts w:ascii="Arial" w:eastAsia="Calibri" w:hAnsi="Arial" w:cs="Arial"/>
          <w:color w:val="000000"/>
          <w:sz w:val="22"/>
          <w:szCs w:val="22"/>
          <w:lang w:val="es-ES" w:eastAsia="es-ES"/>
        </w:rPr>
        <w:t>vi) Documentos tipo para procesos de mínima cuantía de infraestructura de transporte, obligatorios para los procesos cuya invitación pública se haya publicado a partir del 10 de junio de 2020.</w:t>
      </w:r>
    </w:p>
    <w:p w14:paraId="7FD9FD07" w14:textId="77777777" w:rsidR="004E40A3" w:rsidRPr="00AC19AC" w:rsidRDefault="004E40A3" w:rsidP="004E40A3">
      <w:pPr>
        <w:spacing w:before="120" w:line="276" w:lineRule="auto"/>
        <w:ind w:firstLine="709"/>
        <w:jc w:val="both"/>
        <w:rPr>
          <w:rFonts w:ascii="Arial" w:eastAsia="Calibri" w:hAnsi="Arial" w:cs="Arial"/>
          <w:color w:val="000000"/>
          <w:sz w:val="22"/>
          <w:szCs w:val="22"/>
          <w:lang w:val="es-ES" w:eastAsia="es-ES"/>
        </w:rPr>
      </w:pPr>
      <w:r w:rsidRPr="00AC19AC">
        <w:rPr>
          <w:rFonts w:ascii="Arial" w:eastAsia="Calibri" w:hAnsi="Arial" w:cs="Arial"/>
          <w:color w:val="000000"/>
          <w:sz w:val="22"/>
          <w:szCs w:val="22"/>
          <w:lang w:val="es-ES" w:eastAsia="es-ES"/>
        </w:rPr>
        <w:lastRenderedPageBreak/>
        <w:t>vii) Documentos tipo para procesos de concurso de méritos para contratar la interventoría de obras públicas de infraestructura de transporte, obligatorios para los procesos cuyo aviso de convocatoria se haya publicado desde el 1 de enero de 2021.</w:t>
      </w:r>
    </w:p>
    <w:p w14:paraId="68CCF465" w14:textId="77777777" w:rsidR="004E40A3" w:rsidRPr="00AC19AC" w:rsidRDefault="004E40A3" w:rsidP="004E40A3">
      <w:pPr>
        <w:spacing w:before="120" w:line="276" w:lineRule="auto"/>
        <w:ind w:firstLine="709"/>
        <w:jc w:val="both"/>
        <w:rPr>
          <w:rFonts w:ascii="Arial" w:eastAsia="Calibri" w:hAnsi="Arial" w:cs="Arial"/>
          <w:color w:val="000000"/>
          <w:sz w:val="22"/>
          <w:szCs w:val="22"/>
          <w:lang w:val="es-ES" w:eastAsia="es-ES"/>
        </w:rPr>
      </w:pPr>
      <w:r w:rsidRPr="00AC19AC">
        <w:rPr>
          <w:rFonts w:ascii="Arial" w:eastAsia="Calibri" w:hAnsi="Arial" w:cs="Arial"/>
          <w:color w:val="000000"/>
          <w:sz w:val="22"/>
          <w:szCs w:val="22"/>
          <w:lang w:val="es-ES" w:eastAsia="es-ES"/>
        </w:rPr>
        <w:t>viii) Documentos tipo para procesos de licitación pública para obras de infraestructura de agua potable y saneamiento básico, obligatorios para los procesos cuyo aviso de convocatoria se haya publicado desde el 11 de diciembre de 2020.</w:t>
      </w:r>
    </w:p>
    <w:p w14:paraId="19C8B477" w14:textId="77777777" w:rsidR="004E40A3" w:rsidRPr="00AC19AC" w:rsidRDefault="004E40A3" w:rsidP="004E40A3">
      <w:pPr>
        <w:spacing w:before="120" w:line="276" w:lineRule="auto"/>
        <w:ind w:firstLine="709"/>
        <w:jc w:val="both"/>
        <w:rPr>
          <w:rFonts w:ascii="Arial" w:eastAsia="Calibri" w:hAnsi="Arial" w:cs="Arial"/>
          <w:color w:val="000000"/>
          <w:sz w:val="22"/>
          <w:szCs w:val="22"/>
          <w:lang w:val="es-ES" w:eastAsia="es-ES"/>
        </w:rPr>
      </w:pPr>
      <w:r w:rsidRPr="00AC19AC">
        <w:rPr>
          <w:rFonts w:ascii="Arial" w:eastAsia="Calibri" w:hAnsi="Arial" w:cs="Arial"/>
          <w:color w:val="000000"/>
          <w:sz w:val="22"/>
          <w:szCs w:val="22"/>
          <w:lang w:val="es-ES" w:eastAsia="es-ES"/>
        </w:rPr>
        <w:t>ix) Documentos tipo para procesos de licitación pública para obras de infraestructura de agua potable y saneamiento básico en la modalidad llave en mano, obligatorios para los procesos cuyo aviso de convocatoria se haya publicado desde el 11 de diciembre de 2020.</w:t>
      </w:r>
    </w:p>
    <w:p w14:paraId="43BFF0AD" w14:textId="77777777" w:rsidR="004E40A3" w:rsidRPr="00AC19AC" w:rsidRDefault="004E40A3" w:rsidP="004E40A3">
      <w:pPr>
        <w:spacing w:before="120" w:line="276" w:lineRule="auto"/>
        <w:ind w:firstLine="709"/>
        <w:jc w:val="both"/>
        <w:rPr>
          <w:rFonts w:ascii="Arial" w:eastAsia="Calibri" w:hAnsi="Arial" w:cs="Arial"/>
          <w:color w:val="000000"/>
          <w:sz w:val="22"/>
          <w:szCs w:val="22"/>
          <w:lang w:val="es-ES" w:eastAsia="es-ES"/>
        </w:rPr>
      </w:pPr>
      <w:r w:rsidRPr="00AC19AC">
        <w:rPr>
          <w:rFonts w:ascii="Arial" w:eastAsia="Calibri" w:hAnsi="Arial" w:cs="Arial"/>
          <w:color w:val="000000"/>
          <w:sz w:val="22"/>
          <w:szCs w:val="22"/>
          <w:lang w:val="es-ES" w:eastAsia="es-ES"/>
        </w:rPr>
        <w:t>x) Documentos tipo para procesos de gestión catastral con enfoque multipropósito que se celebren a través de contratos interadministrativos, a partir del 1 de febrero de 2021.</w:t>
      </w:r>
    </w:p>
    <w:p w14:paraId="35810693" w14:textId="77777777" w:rsidR="004E40A3" w:rsidRPr="00AC19AC" w:rsidRDefault="004E40A3" w:rsidP="004E40A3">
      <w:pPr>
        <w:spacing w:before="120" w:after="120" w:line="276" w:lineRule="auto"/>
        <w:ind w:firstLine="709"/>
        <w:jc w:val="both"/>
        <w:rPr>
          <w:rFonts w:ascii="Arial" w:eastAsia="Calibri" w:hAnsi="Arial" w:cs="Arial"/>
          <w:color w:val="000000"/>
          <w:sz w:val="22"/>
          <w:szCs w:val="22"/>
          <w:lang w:val="es-ES" w:eastAsia="es-ES"/>
        </w:rPr>
      </w:pPr>
      <w:r w:rsidRPr="00AC19AC">
        <w:rPr>
          <w:rFonts w:ascii="Arial" w:eastAsia="Calibri" w:hAnsi="Arial" w:cs="Arial"/>
          <w:color w:val="000000"/>
          <w:sz w:val="22"/>
          <w:szCs w:val="22"/>
          <w:lang w:val="es-ES" w:eastAsia="es-ES"/>
        </w:rPr>
        <w:t>xi) Documentos tipo para procesos de selección de concurso de méritos, para contratar la consultoría de estudios de ingeniería de infraestructura de transporte, para los procesos cuyo aviso de convocatoria se haya publicado desde 9 de agosto de 2021</w:t>
      </w:r>
    </w:p>
    <w:p w14:paraId="31E5F432" w14:textId="77777777" w:rsidR="004E40A3" w:rsidRPr="00AC19AC" w:rsidRDefault="004E40A3" w:rsidP="004E40A3">
      <w:pPr>
        <w:spacing w:after="120" w:line="276" w:lineRule="auto"/>
        <w:ind w:firstLine="708"/>
        <w:jc w:val="both"/>
        <w:rPr>
          <w:rFonts w:ascii="Arial" w:eastAsia="Calibri" w:hAnsi="Arial" w:cs="Arial"/>
          <w:sz w:val="22"/>
          <w:szCs w:val="22"/>
          <w:lang w:val="es-ES_tradnl"/>
        </w:rPr>
      </w:pPr>
      <w:r w:rsidRPr="00AC19AC">
        <w:rPr>
          <w:rFonts w:ascii="Arial" w:eastAsia="Calibri" w:hAnsi="Arial" w:cs="Arial"/>
          <w:color w:val="000000"/>
          <w:sz w:val="22"/>
          <w:szCs w:val="22"/>
          <w:lang w:val="es-ES" w:eastAsia="es-ES"/>
        </w:rPr>
        <w:t xml:space="preserve">xii) Documentos tipo para procesos de licitación de obra pública de infraestructura social, que </w:t>
      </w:r>
      <w:r w:rsidRPr="00AC19AC">
        <w:rPr>
          <w:rFonts w:ascii="Arial" w:hAnsi="Arial" w:cs="Arial"/>
          <w:sz w:val="22"/>
          <w:szCs w:val="22"/>
          <w:lang w:val="es-ES_tradnl"/>
        </w:rPr>
        <w:t>entrarán a regir de acuerdo con los términos establecidos en el artículo 6 de la Resolución 219 de 2021 −modificado por el artículo 1 de la Resolución 336 del 2 de noviembre de 2021−</w:t>
      </w:r>
      <w:r w:rsidRPr="00AC19AC">
        <w:rPr>
          <w:rFonts w:ascii="Arial" w:eastAsia="Calibri" w:hAnsi="Arial" w:cs="Arial"/>
          <w:sz w:val="22"/>
          <w:szCs w:val="22"/>
          <w:lang w:val="es-ES_tradnl"/>
        </w:rPr>
        <w:t>.</w:t>
      </w:r>
    </w:p>
    <w:p w14:paraId="5DD5DDE1" w14:textId="77777777" w:rsidR="004E40A3" w:rsidRPr="00AC19AC" w:rsidRDefault="004E40A3" w:rsidP="004E40A3">
      <w:pPr>
        <w:spacing w:after="120" w:line="276" w:lineRule="auto"/>
        <w:ind w:firstLine="708"/>
        <w:jc w:val="both"/>
        <w:rPr>
          <w:rFonts w:ascii="Arial" w:eastAsia="Calibri" w:hAnsi="Arial" w:cs="Arial"/>
          <w:sz w:val="22"/>
          <w:szCs w:val="22"/>
          <w:lang w:val="es-ES_tradnl"/>
        </w:rPr>
      </w:pPr>
      <w:r w:rsidRPr="00AC19AC">
        <w:rPr>
          <w:rFonts w:ascii="Arial" w:eastAsia="Calibri" w:hAnsi="Arial" w:cs="Arial"/>
          <w:color w:val="000000"/>
          <w:sz w:val="22"/>
          <w:szCs w:val="22"/>
          <w:lang w:val="es-ES" w:eastAsia="es-ES"/>
        </w:rPr>
        <w:t xml:space="preserve">xiii) Documentos tipo complementarios para los procesos de licitación de obra pública de infraestructura social relacionados con el sector educativo, que </w:t>
      </w:r>
      <w:r w:rsidRPr="00AC19AC">
        <w:rPr>
          <w:rFonts w:ascii="Arial" w:hAnsi="Arial" w:cs="Arial"/>
          <w:sz w:val="22"/>
          <w:szCs w:val="22"/>
          <w:lang w:val="es-ES_tradnl"/>
        </w:rPr>
        <w:t>entrarán a regir de acuerdo con los términos establecidos en el artículo 6 de la Resolución 219 de 2021 −modificado por el artículo 1 de la Resolución 336 del 2 de noviembre de 2021−.</w:t>
      </w:r>
    </w:p>
    <w:p w14:paraId="70ADF805" w14:textId="77777777" w:rsidR="004E40A3" w:rsidRPr="00AC19AC" w:rsidRDefault="004E40A3" w:rsidP="004E40A3">
      <w:pPr>
        <w:spacing w:after="120" w:line="276" w:lineRule="auto"/>
        <w:ind w:firstLine="708"/>
        <w:jc w:val="both"/>
        <w:rPr>
          <w:rFonts w:ascii="Arial" w:eastAsia="Calibri" w:hAnsi="Arial" w:cs="Arial"/>
          <w:sz w:val="22"/>
          <w:szCs w:val="22"/>
          <w:lang w:val="es-ES_tradnl"/>
        </w:rPr>
      </w:pPr>
      <w:r w:rsidRPr="00AC19AC">
        <w:rPr>
          <w:rFonts w:ascii="Arial" w:eastAsia="Calibri" w:hAnsi="Arial" w:cs="Arial"/>
          <w:color w:val="000000"/>
          <w:sz w:val="22"/>
          <w:szCs w:val="22"/>
          <w:lang w:val="es-ES" w:eastAsia="es-ES"/>
        </w:rPr>
        <w:t xml:space="preserve">xiv) Documentos tipo complementarios para los procesos de licitación de obra pública de infraestructura social relacionados con el sector salud, que entrarán a regir </w:t>
      </w:r>
      <w:r w:rsidRPr="00AC19AC">
        <w:rPr>
          <w:rFonts w:ascii="Arial" w:hAnsi="Arial" w:cs="Arial"/>
          <w:sz w:val="22"/>
          <w:szCs w:val="22"/>
          <w:lang w:val="es-ES_tradnl"/>
        </w:rPr>
        <w:t>de acuerdo con los términos establecidos en el artículo 6 de la Resolución 219 de 2021 −modificado por el artículo 1 de la Resolución 336 del 2 de noviembre de 2021− y en el artículo 4 de la Resolución 392 de 18 de noviembre de 2021</w:t>
      </w:r>
      <w:r w:rsidRPr="00AC19AC">
        <w:rPr>
          <w:rFonts w:ascii="Arial" w:eastAsia="Calibri" w:hAnsi="Arial" w:cs="Arial"/>
          <w:sz w:val="22"/>
          <w:szCs w:val="22"/>
          <w:lang w:val="es-ES_tradnl"/>
        </w:rPr>
        <w:t>.</w:t>
      </w:r>
    </w:p>
    <w:p w14:paraId="5D10DE9C" w14:textId="36C1AF37" w:rsidR="004E40A3" w:rsidRPr="00AC19AC" w:rsidRDefault="004E40A3" w:rsidP="004E40A3">
      <w:pPr>
        <w:spacing w:after="120" w:line="276" w:lineRule="auto"/>
        <w:ind w:firstLine="708"/>
        <w:jc w:val="both"/>
        <w:rPr>
          <w:rFonts w:ascii="Arial" w:eastAsia="Calibri" w:hAnsi="Arial" w:cs="Arial"/>
          <w:sz w:val="22"/>
          <w:szCs w:val="22"/>
          <w:lang w:val="es-ES_tradnl"/>
        </w:rPr>
      </w:pPr>
      <w:r w:rsidRPr="00AC19AC">
        <w:rPr>
          <w:rFonts w:ascii="Arial" w:eastAsia="Calibri" w:hAnsi="Arial" w:cs="Arial"/>
          <w:sz w:val="22"/>
          <w:szCs w:val="22"/>
          <w:lang w:val="es-ES_tradnl"/>
        </w:rPr>
        <w:t xml:space="preserve">xv) </w:t>
      </w:r>
      <w:r w:rsidRPr="00AC19AC">
        <w:rPr>
          <w:rFonts w:ascii="Arial" w:eastAsia="Calibri" w:hAnsi="Arial" w:cs="Arial"/>
          <w:color w:val="000000"/>
          <w:sz w:val="22"/>
          <w:szCs w:val="22"/>
          <w:lang w:val="es-ES" w:eastAsia="es-ES"/>
        </w:rPr>
        <w:t>Documentos tipo complementarios para los procesos de licitación de obra pública de infraestructura social relacionados con el sector cultura, recreación y deporte</w:t>
      </w:r>
      <w:r w:rsidRPr="00AC19AC">
        <w:rPr>
          <w:rFonts w:ascii="Arial" w:eastAsia="Calibri" w:hAnsi="Arial" w:cs="Arial"/>
          <w:sz w:val="22"/>
          <w:szCs w:val="22"/>
          <w:lang w:val="es-ES_tradnl"/>
        </w:rPr>
        <w:t xml:space="preserve">, </w:t>
      </w:r>
      <w:r w:rsidRPr="00AC19AC">
        <w:rPr>
          <w:rFonts w:ascii="Arial" w:eastAsia="Calibri" w:hAnsi="Arial" w:cs="Arial"/>
          <w:color w:val="000000"/>
          <w:sz w:val="22"/>
          <w:szCs w:val="22"/>
          <w:lang w:val="es-ES" w:eastAsia="es-ES"/>
        </w:rPr>
        <w:t xml:space="preserve">que entrarán a regir </w:t>
      </w:r>
      <w:r w:rsidRPr="00AC19AC">
        <w:rPr>
          <w:rFonts w:ascii="Arial" w:hAnsi="Arial" w:cs="Arial"/>
          <w:sz w:val="22"/>
          <w:szCs w:val="22"/>
          <w:lang w:val="es-ES_tradnl"/>
        </w:rPr>
        <w:t>de acuerdo con los términos establecidos en el artículo 4 de la Resolución 454 de 2021</w:t>
      </w:r>
      <w:r w:rsidR="00910FF7" w:rsidRPr="00AC19AC">
        <w:rPr>
          <w:rStyle w:val="Refdenotaalpie"/>
          <w:rFonts w:ascii="Arial" w:hAnsi="Arial" w:cs="Arial"/>
          <w:sz w:val="22"/>
          <w:szCs w:val="22"/>
          <w:lang w:val="es-ES_tradnl"/>
        </w:rPr>
        <w:footnoteReference w:id="7"/>
      </w:r>
      <w:r w:rsidR="00910FF7" w:rsidRPr="00AC19AC">
        <w:rPr>
          <w:rFonts w:ascii="Arial" w:hAnsi="Arial" w:cs="Arial"/>
          <w:sz w:val="22"/>
          <w:szCs w:val="22"/>
          <w:lang w:val="es-ES_tradnl"/>
        </w:rPr>
        <w:t>.</w:t>
      </w:r>
    </w:p>
    <w:p w14:paraId="6B38FE2E" w14:textId="77777777" w:rsidR="004E40A3" w:rsidRPr="00AC19AC" w:rsidRDefault="004E40A3" w:rsidP="004E40A3">
      <w:pPr>
        <w:shd w:val="clear" w:color="auto" w:fill="FFFFFF"/>
        <w:spacing w:line="276" w:lineRule="auto"/>
        <w:ind w:firstLine="709"/>
        <w:jc w:val="both"/>
        <w:textAlignment w:val="baseline"/>
        <w:rPr>
          <w:rFonts w:ascii="Arial" w:eastAsia="Calibri" w:hAnsi="Arial" w:cs="Arial"/>
          <w:color w:val="000000"/>
          <w:sz w:val="22"/>
          <w:szCs w:val="22"/>
          <w:bdr w:val="none" w:sz="0" w:space="0" w:color="auto" w:frame="1"/>
          <w:lang w:val="es-ES_tradnl"/>
        </w:rPr>
      </w:pPr>
      <w:r w:rsidRPr="00AC19AC">
        <w:rPr>
          <w:rFonts w:ascii="Arial" w:eastAsia="Calibri" w:hAnsi="Arial" w:cs="Arial"/>
          <w:sz w:val="22"/>
          <w:szCs w:val="22"/>
        </w:rPr>
        <w:t xml:space="preserve">De acuerdo con lo expuesto, </w:t>
      </w:r>
      <w:r w:rsidRPr="00AC19AC">
        <w:rPr>
          <w:rFonts w:ascii="Arial" w:eastAsia="Calibri" w:hAnsi="Arial" w:cs="Arial"/>
          <w:color w:val="000000"/>
          <w:sz w:val="22"/>
          <w:szCs w:val="22"/>
          <w:bdr w:val="none" w:sz="0" w:space="0" w:color="auto" w:frame="1"/>
        </w:rPr>
        <w:t xml:space="preserve">los documentos tipo adoptados son obligatorios para las entidades estatales cuyos contratos se rijan por el Estatuto General de la Contratación de la Administración Pública, que adelanten procesos de contratación mediante la </w:t>
      </w:r>
      <w:r w:rsidRPr="00AC19AC">
        <w:rPr>
          <w:rFonts w:ascii="Arial" w:eastAsia="Calibri" w:hAnsi="Arial" w:cs="Arial"/>
          <w:color w:val="000000"/>
          <w:sz w:val="22"/>
          <w:szCs w:val="22"/>
          <w:bdr w:val="none" w:sz="0" w:space="0" w:color="auto" w:frame="1"/>
        </w:rPr>
        <w:lastRenderedPageBreak/>
        <w:t xml:space="preserve">modalidad que establecen los documentos tipo para cada sector y teniendo en cuenta el ámbito de aplicación determinado en la Matriz de Experiencia de cada documento tipo. </w:t>
      </w:r>
      <w:r w:rsidRPr="00AC19AC">
        <w:rPr>
          <w:rFonts w:ascii="Arial" w:eastAsia="Calibri" w:hAnsi="Arial" w:cs="Arial"/>
          <w:color w:val="000000"/>
          <w:sz w:val="22"/>
          <w:szCs w:val="22"/>
          <w:bdr w:val="none" w:sz="0" w:space="0" w:color="auto" w:frame="1"/>
          <w:lang w:val="es-ES_tradnl"/>
        </w:rPr>
        <w:t xml:space="preserve">Esto de tal manera que las entidades estatales regidas por el Estatuto General de Contratación de la Administración Pública, al momento de adelantar un proceso de contratación asociado a uno de los sectores para los que se han implementado documentos tipo, deben consultar el contenido de los respectivos documentos tipo, para determinar si la modalidad de escogencia y el objeto a contratar son o no subsumibles dentro de lo dispuesto en el documento tipo. De ser esto así, la entidad estará obligada a adelantar el proceso de contratación aplicando los documentos tipo del caso. </w:t>
      </w:r>
    </w:p>
    <w:p w14:paraId="18427A85" w14:textId="01EEC7F5" w:rsidR="00031AD9" w:rsidRPr="00AC19AC" w:rsidRDefault="00031AD9" w:rsidP="00AC19AC">
      <w:pPr>
        <w:pStyle w:val="Normal11pt"/>
        <w:spacing w:before="120" w:line="276" w:lineRule="auto"/>
        <w:ind w:left="0" w:firstLine="709"/>
        <w:rPr>
          <w:rFonts w:eastAsia="Calibri"/>
          <w:color w:val="auto"/>
          <w:lang w:eastAsia="en-US"/>
        </w:rPr>
      </w:pPr>
      <w:r w:rsidRPr="00AC19AC">
        <w:rPr>
          <w:rFonts w:eastAsia="Calibri"/>
          <w:color w:val="auto"/>
        </w:rPr>
        <w:t>Por último, cabe aclarar que la Agencia Nacional de Contratación Pública sigue avanzando en nuevos documentos tipo. Sin embargo, debe tenerse en cuenta que estos exigen un minucioso desarrollo en el cual se consideran las observaciones de las entidades técnicas y especializadas con la finalidad de adoptar documentos tipo que contengan las mejores prácticas contractuales que procuren el adecuado desarrollo de los principios que rigen la contratación pública.</w:t>
      </w:r>
    </w:p>
    <w:p w14:paraId="75C4D22E" w14:textId="1CFFA4CF" w:rsidR="00031AD9" w:rsidRPr="00AC19AC" w:rsidRDefault="00031AD9" w:rsidP="00E77523">
      <w:pPr>
        <w:tabs>
          <w:tab w:val="left" w:pos="0"/>
        </w:tabs>
        <w:spacing w:before="240" w:line="276" w:lineRule="auto"/>
        <w:jc w:val="both"/>
        <w:rPr>
          <w:rFonts w:ascii="Arial" w:eastAsia="Calibri" w:hAnsi="Arial" w:cs="Arial"/>
          <w:b/>
          <w:sz w:val="22"/>
          <w:lang w:val="es-ES_tradnl"/>
        </w:rPr>
      </w:pPr>
      <w:r w:rsidRPr="00AC19AC">
        <w:rPr>
          <w:rFonts w:ascii="Arial" w:eastAsia="Calibri" w:hAnsi="Arial" w:cs="Arial"/>
          <w:b/>
          <w:sz w:val="22"/>
          <w:lang w:val="es-ES_tradnl"/>
        </w:rPr>
        <w:t xml:space="preserve">2.2. </w:t>
      </w:r>
      <w:bookmarkStart w:id="8" w:name="_Hlk95322387"/>
      <w:r w:rsidRPr="00AC19AC">
        <w:rPr>
          <w:rFonts w:ascii="Arial" w:eastAsia="Calibri" w:hAnsi="Arial" w:cs="Arial"/>
          <w:b/>
          <w:sz w:val="22"/>
          <w:lang w:val="es-ES_tradnl"/>
        </w:rPr>
        <w:t>Análisis del art</w:t>
      </w:r>
      <w:r w:rsidR="00103474" w:rsidRPr="00AC19AC">
        <w:rPr>
          <w:rFonts w:ascii="Arial" w:eastAsia="Calibri" w:hAnsi="Arial" w:cs="Arial"/>
          <w:b/>
          <w:sz w:val="22"/>
          <w:lang w:val="es-ES_tradnl"/>
        </w:rPr>
        <w:t xml:space="preserve">ículo 56 de la Ley 2195 de 2022 y </w:t>
      </w:r>
      <w:r w:rsidR="004E40A3" w:rsidRPr="00AC19AC">
        <w:rPr>
          <w:rFonts w:ascii="Arial" w:eastAsia="Calibri" w:hAnsi="Arial" w:cs="Arial"/>
          <w:b/>
          <w:sz w:val="22"/>
          <w:lang w:val="es-ES_tradnl"/>
        </w:rPr>
        <w:t xml:space="preserve">la eventual </w:t>
      </w:r>
      <w:r w:rsidR="00103474" w:rsidRPr="00AC19AC">
        <w:rPr>
          <w:rFonts w:ascii="Arial" w:eastAsia="Calibri" w:hAnsi="Arial" w:cs="Arial"/>
          <w:b/>
          <w:sz w:val="22"/>
          <w:lang w:val="es-ES_tradnl"/>
        </w:rPr>
        <w:t>a</w:t>
      </w:r>
      <w:r w:rsidRPr="00AC19AC">
        <w:rPr>
          <w:rFonts w:ascii="Arial" w:eastAsia="Calibri" w:hAnsi="Arial" w:cs="Arial"/>
          <w:b/>
          <w:sz w:val="22"/>
          <w:lang w:val="es-ES_tradnl"/>
        </w:rPr>
        <w:t>plicación obligatoria del Estatuto General de Contratación de la Administración Pública y de los documentos tipo en la contratación de las entidades estatales exceptuadas</w:t>
      </w:r>
      <w:r w:rsidR="004E40A3" w:rsidRPr="00AC19AC">
        <w:rPr>
          <w:rFonts w:ascii="Arial" w:eastAsia="Calibri" w:hAnsi="Arial" w:cs="Arial"/>
          <w:b/>
          <w:sz w:val="22"/>
          <w:lang w:val="es-ES_tradnl"/>
        </w:rPr>
        <w:t>, de los patrimonios autónomos y</w:t>
      </w:r>
      <w:r w:rsidRPr="00AC19AC">
        <w:rPr>
          <w:rFonts w:ascii="Arial" w:eastAsia="Calibri" w:hAnsi="Arial" w:cs="Arial"/>
          <w:b/>
          <w:sz w:val="22"/>
          <w:lang w:val="es-ES_tradnl"/>
        </w:rPr>
        <w:t xml:space="preserve"> de los particulares </w:t>
      </w:r>
      <w:bookmarkEnd w:id="8"/>
    </w:p>
    <w:p w14:paraId="1AC028D9" w14:textId="77777777" w:rsidR="00031AD9" w:rsidRPr="00AC19AC" w:rsidRDefault="00031AD9" w:rsidP="00E77523">
      <w:pPr>
        <w:tabs>
          <w:tab w:val="left" w:pos="0"/>
        </w:tabs>
        <w:spacing w:before="240" w:line="276" w:lineRule="auto"/>
        <w:jc w:val="both"/>
        <w:rPr>
          <w:rFonts w:ascii="Arial" w:eastAsia="Calibri" w:hAnsi="Arial" w:cs="Arial"/>
          <w:bCs/>
          <w:sz w:val="22"/>
          <w:lang w:val="es-ES_tradnl"/>
        </w:rPr>
      </w:pPr>
      <w:r w:rsidRPr="00AC19AC">
        <w:rPr>
          <w:rFonts w:ascii="Arial" w:eastAsia="Calibri" w:hAnsi="Arial" w:cs="Arial"/>
          <w:bCs/>
          <w:sz w:val="22"/>
          <w:lang w:val="es-ES_tradnl"/>
        </w:rPr>
        <w:t xml:space="preserve">Conforme se explicó en el acápite anterior, en virtud de la Ley 2022 de 2020, los documentos tipo expedidos por la Agencia Nacional de Contratación Pública son de aplicación obligatoria para las entidades estatales sometidas al Estatuto General de Contratación de la Administración Pública. En ese sentido, el contenido normativo de la Ley 2022 de 2020, y en su momento también la Ley 1882 de 2018 excluían del ámbito de aplicación de los documentos tipo la contratación de entidades estatales de régimen exceptuado, por lo general, sujetas al derecho privado. </w:t>
      </w:r>
    </w:p>
    <w:p w14:paraId="58EBC34E" w14:textId="77777777" w:rsidR="00031AD9" w:rsidRPr="00AC19AC" w:rsidRDefault="00031AD9" w:rsidP="00AC19AC">
      <w:pPr>
        <w:tabs>
          <w:tab w:val="left" w:pos="0"/>
        </w:tabs>
        <w:spacing w:before="120" w:line="276" w:lineRule="auto"/>
        <w:jc w:val="both"/>
        <w:rPr>
          <w:rFonts w:ascii="Arial" w:eastAsia="Calibri" w:hAnsi="Arial" w:cs="Arial"/>
          <w:bCs/>
          <w:sz w:val="22"/>
          <w:lang w:val="es-ES_tradnl"/>
        </w:rPr>
      </w:pPr>
      <w:r w:rsidRPr="00AC19AC">
        <w:rPr>
          <w:rFonts w:ascii="Arial" w:eastAsia="Calibri" w:hAnsi="Arial" w:cs="Arial"/>
          <w:b/>
          <w:sz w:val="22"/>
          <w:lang w:val="es-ES_tradnl"/>
        </w:rPr>
        <w:tab/>
      </w:r>
      <w:r w:rsidRPr="00AC19AC">
        <w:rPr>
          <w:rFonts w:ascii="Arial" w:eastAsia="Calibri" w:hAnsi="Arial" w:cs="Arial"/>
          <w:bCs/>
          <w:sz w:val="22"/>
          <w:lang w:val="es-ES_tradnl"/>
        </w:rPr>
        <w:t xml:space="preserve">No obstante, este panorama ha variado con la reciente expedición de la Ley 2195 de 2022, «Por medio de la cual se adoptan medidas en materia de transparencia, prevención y lucha contra la corrupción y se dictan otras disposiciones». De conformidad con su artículo 1, esta norma tiene por objeto la adopción de diferentes medidas tendientes a prevenir los actos de corrupción, reforzar la articulación de las entidades del Estado y a recuperar los daños ocasionados por la corrupción, promoviendo la cultura de la legalidad e integridad. </w:t>
      </w:r>
    </w:p>
    <w:p w14:paraId="74DA6986" w14:textId="2F3CFEEC" w:rsidR="00031AD9" w:rsidRPr="00AC19AC" w:rsidRDefault="00031AD9" w:rsidP="00AC19AC">
      <w:pPr>
        <w:tabs>
          <w:tab w:val="left" w:pos="0"/>
        </w:tabs>
        <w:spacing w:before="120" w:line="276" w:lineRule="auto"/>
        <w:jc w:val="both"/>
        <w:rPr>
          <w:rFonts w:ascii="Arial" w:eastAsia="Calibri" w:hAnsi="Arial" w:cs="Arial"/>
          <w:bCs/>
          <w:sz w:val="22"/>
          <w:lang w:val="es-ES_tradnl"/>
        </w:rPr>
      </w:pPr>
      <w:r w:rsidRPr="00AC19AC">
        <w:rPr>
          <w:rFonts w:ascii="Arial" w:eastAsia="Calibri" w:hAnsi="Arial" w:cs="Arial"/>
          <w:bCs/>
          <w:sz w:val="22"/>
          <w:lang w:val="es-ES_tradnl"/>
        </w:rPr>
        <w:tab/>
        <w:t xml:space="preserve">Entre las medidas adoptadas por la Ley mencionada se destaca el artículo 56, norma sobre la que versa la presente consulta. Esta disposición se refiere de manera expresa a los documentos tipo y a su aplicabilidad a sujetos diferentes de las entidades estatales </w:t>
      </w:r>
      <w:r w:rsidRPr="00AC19AC">
        <w:rPr>
          <w:rFonts w:ascii="Arial" w:eastAsia="Calibri" w:hAnsi="Arial" w:cs="Arial"/>
          <w:bCs/>
          <w:sz w:val="22"/>
          <w:lang w:val="es-ES_tradnl"/>
        </w:rPr>
        <w:lastRenderedPageBreak/>
        <w:t>sometidas al Estatuto General de Contratación de la Administración Pública. El tenor literal de este precepto prescribe lo siguiente:</w:t>
      </w:r>
    </w:p>
    <w:p w14:paraId="7A0F3D40" w14:textId="77777777" w:rsidR="00031AD9" w:rsidRPr="00AC19AC" w:rsidRDefault="00031AD9" w:rsidP="00E77523">
      <w:pPr>
        <w:tabs>
          <w:tab w:val="left" w:pos="0"/>
        </w:tabs>
        <w:spacing w:before="240"/>
        <w:ind w:left="709" w:right="709"/>
        <w:jc w:val="both"/>
        <w:rPr>
          <w:rFonts w:ascii="Arial" w:hAnsi="Arial" w:cs="Arial"/>
          <w:sz w:val="21"/>
          <w:szCs w:val="21"/>
          <w:lang w:val="es-ES_tradnl"/>
        </w:rPr>
      </w:pPr>
      <w:r w:rsidRPr="00AC19AC">
        <w:rPr>
          <w:rFonts w:ascii="Arial" w:hAnsi="Arial" w:cs="Arial"/>
          <w:sz w:val="21"/>
          <w:szCs w:val="21"/>
          <w:lang w:val="es-ES_tradnl"/>
        </w:rPr>
        <w:t xml:space="preserve">Artículo 56. Aplicación de los documentos tipo a entidades de régimen especial. Para la adquisición de bienes, obras o servicios, las entidades estatales sometidas al Estatuto General de Contratación de la Administración Pública que celebren contratos o convenios interadministrativos o de cualquier otra índole, con otra entidad estatal o con patrimonios autónomos o con personas naturales o jurídicas de derecho privado, cuyo régimen de contratación sea especial o de derecho privado, deberán aplicar los documentos tipo adoptados por la Agencia Nacional de Contratación Pública - Colombia Compra Eficiente o quien haga sus veces, conforme al parágrafo 7 del artículo 2 de la Ley 1150 de 2007 o las normas que lo modifiquen o sustituyan. </w:t>
      </w:r>
    </w:p>
    <w:p w14:paraId="7F64E601" w14:textId="61C8C74E" w:rsidR="00031AD9" w:rsidRPr="00AC19AC" w:rsidRDefault="00031AD9" w:rsidP="00467707">
      <w:pPr>
        <w:tabs>
          <w:tab w:val="left" w:pos="0"/>
        </w:tabs>
        <w:spacing w:before="240"/>
        <w:ind w:left="709" w:right="709"/>
        <w:jc w:val="both"/>
        <w:rPr>
          <w:rFonts w:ascii="Arial" w:hAnsi="Arial" w:cs="Arial"/>
          <w:sz w:val="21"/>
          <w:szCs w:val="21"/>
          <w:lang w:val="es-ES_tradnl"/>
        </w:rPr>
      </w:pPr>
      <w:r w:rsidRPr="00AC19AC">
        <w:rPr>
          <w:rFonts w:ascii="Arial" w:hAnsi="Arial" w:cs="Arial"/>
          <w:sz w:val="21"/>
          <w:szCs w:val="21"/>
          <w:lang w:val="es-ES_tradnl"/>
        </w:rPr>
        <w:t xml:space="preserve">Los procedimientos de selección y los contratos que realicen en desarrollo de los anteriores negocios jurídicos, donde apliquen los documentos tipo se regirán por el Estatuto General de Contratación de la Administración Pública. </w:t>
      </w:r>
    </w:p>
    <w:p w14:paraId="02D8964E" w14:textId="6E92E4FB" w:rsidR="00031AD9" w:rsidRPr="00AC19AC" w:rsidRDefault="00031AD9" w:rsidP="00467707">
      <w:pPr>
        <w:tabs>
          <w:tab w:val="left" w:pos="0"/>
        </w:tabs>
        <w:spacing w:before="240"/>
        <w:ind w:left="709" w:right="709"/>
        <w:jc w:val="both"/>
        <w:rPr>
          <w:rFonts w:ascii="Arial" w:eastAsia="Calibri" w:hAnsi="Arial" w:cs="Arial"/>
          <w:bCs/>
          <w:sz w:val="21"/>
          <w:szCs w:val="21"/>
          <w:lang w:val="es-ES_tradnl"/>
        </w:rPr>
      </w:pPr>
      <w:r w:rsidRPr="00AC19AC">
        <w:rPr>
          <w:rFonts w:ascii="Arial" w:hAnsi="Arial" w:cs="Arial"/>
          <w:sz w:val="21"/>
          <w:szCs w:val="21"/>
          <w:lang w:val="es-ES_tradnl"/>
        </w:rPr>
        <w:t xml:space="preserve">Parágrafo. Se exceptúan del presente artículo las Instituciones de Educación Superior públicas, las empresas sociales del Estado, las sociedades de economía mixta y las empresas industriales y comerciales del Estado, únicamente en cuanto a la contratación de su </w:t>
      </w:r>
      <w:r w:rsidRPr="00AC19AC">
        <w:rPr>
          <w:rFonts w:ascii="Arial" w:hAnsi="Arial" w:cs="Arial"/>
          <w:i/>
          <w:iCs/>
          <w:sz w:val="21"/>
          <w:szCs w:val="21"/>
          <w:lang w:val="es-ES_tradnl"/>
        </w:rPr>
        <w:t>giro ordinario</w:t>
      </w:r>
      <w:r w:rsidRPr="00AC19AC">
        <w:rPr>
          <w:rFonts w:ascii="Arial" w:hAnsi="Arial" w:cs="Arial"/>
          <w:sz w:val="21"/>
          <w:szCs w:val="21"/>
          <w:lang w:val="es-ES_tradnl"/>
        </w:rPr>
        <w:t>. En estos casos, en los manuales de contratación de estas entidades, se fomentará como buena práctica la aplicación de los pliegos tipo.</w:t>
      </w:r>
    </w:p>
    <w:p w14:paraId="1B7ABD49" w14:textId="146775BC" w:rsidR="00031AD9" w:rsidRPr="00AC19AC" w:rsidRDefault="00031AD9" w:rsidP="00E77523">
      <w:pPr>
        <w:tabs>
          <w:tab w:val="left" w:pos="0"/>
        </w:tabs>
        <w:spacing w:before="240" w:line="276" w:lineRule="auto"/>
        <w:jc w:val="both"/>
        <w:rPr>
          <w:rFonts w:ascii="Arial" w:eastAsia="Calibri" w:hAnsi="Arial" w:cs="Arial"/>
          <w:bCs/>
          <w:sz w:val="22"/>
          <w:lang w:val="es-ES_tradnl"/>
        </w:rPr>
      </w:pPr>
      <w:r w:rsidRPr="00AC19AC">
        <w:rPr>
          <w:rFonts w:ascii="Arial" w:eastAsia="Calibri" w:hAnsi="Arial" w:cs="Arial"/>
          <w:bCs/>
          <w:sz w:val="22"/>
          <w:lang w:val="es-ES_tradnl"/>
        </w:rPr>
        <w:tab/>
        <w:t xml:space="preserve">Las implicaciones de lo establecido en esta norma son variadas y se presentan en múltiples ámbitos de la actividad contractual de las entidades estatales, que como consecuencia de la entrada en vigor de la disposición en cita, ven alterado su régimen jurídico. Es por esto por lo que una interpretación adecuada de esta disposición, orientada a establecer con precisión el alcance de sus efectos, exige detenerse sobre ciertos aspectos que, a juicio de esta Agencia, resulta indispensable analizar para la comprensión de la norma materia de consulta, los cuales se desarrollan a continuación.     </w:t>
      </w:r>
    </w:p>
    <w:p w14:paraId="4EBC67D2" w14:textId="77777777" w:rsidR="00031AD9" w:rsidRPr="00AC19AC" w:rsidRDefault="00031AD9" w:rsidP="00E77523">
      <w:pPr>
        <w:tabs>
          <w:tab w:val="left" w:pos="426"/>
        </w:tabs>
        <w:spacing w:before="240" w:line="276" w:lineRule="auto"/>
        <w:jc w:val="both"/>
        <w:rPr>
          <w:rFonts w:ascii="Arial" w:eastAsia="Calibri" w:hAnsi="Arial" w:cs="Arial"/>
          <w:b/>
          <w:i/>
          <w:iCs/>
          <w:sz w:val="22"/>
          <w:lang w:val="es-ES_tradnl"/>
        </w:rPr>
      </w:pPr>
      <w:r w:rsidRPr="00AC19AC">
        <w:rPr>
          <w:rFonts w:ascii="Arial" w:eastAsia="Calibri" w:hAnsi="Arial" w:cs="Arial"/>
          <w:b/>
          <w:iCs/>
          <w:sz w:val="22"/>
          <w:lang w:val="es-ES_tradnl"/>
        </w:rPr>
        <w:t>2.2.1.</w:t>
      </w:r>
      <w:r w:rsidRPr="00AC19AC">
        <w:rPr>
          <w:rFonts w:ascii="Arial" w:eastAsia="Calibri" w:hAnsi="Arial" w:cs="Arial"/>
          <w:b/>
          <w:i/>
          <w:iCs/>
          <w:sz w:val="22"/>
          <w:lang w:val="es-ES_tradnl"/>
        </w:rPr>
        <w:t xml:space="preserve"> </w:t>
      </w:r>
      <w:r w:rsidRPr="00AC19AC">
        <w:rPr>
          <w:rFonts w:ascii="Arial" w:eastAsia="Calibri" w:hAnsi="Arial" w:cs="Arial"/>
          <w:b/>
          <w:sz w:val="22"/>
          <w:lang w:val="es-ES_tradnl"/>
        </w:rPr>
        <w:t>Ámbito de aplicación y finalidad de la norma</w:t>
      </w:r>
    </w:p>
    <w:p w14:paraId="2CE7B603" w14:textId="1662554B" w:rsidR="00031AD9" w:rsidRPr="00AC19AC" w:rsidRDefault="00031AD9" w:rsidP="00E77523">
      <w:pPr>
        <w:tabs>
          <w:tab w:val="left" w:pos="0"/>
        </w:tabs>
        <w:spacing w:before="240" w:line="276" w:lineRule="auto"/>
        <w:jc w:val="both"/>
        <w:rPr>
          <w:rFonts w:ascii="Arial" w:eastAsia="Calibri" w:hAnsi="Arial" w:cs="Arial"/>
          <w:bCs/>
          <w:sz w:val="22"/>
          <w:lang w:val="es-ES_tradnl"/>
        </w:rPr>
      </w:pPr>
      <w:r w:rsidRPr="00AC19AC">
        <w:rPr>
          <w:rFonts w:ascii="Arial" w:eastAsia="Calibri" w:hAnsi="Arial" w:cs="Arial"/>
          <w:bCs/>
          <w:sz w:val="22"/>
          <w:lang w:val="es-ES_tradnl"/>
        </w:rPr>
        <w:t xml:space="preserve">Como se desprende de la parte inicial de la norma citada, </w:t>
      </w:r>
      <w:r w:rsidR="004136F2" w:rsidRPr="00AC19AC">
        <w:rPr>
          <w:rFonts w:ascii="Arial" w:eastAsia="Calibri" w:hAnsi="Arial" w:cs="Arial"/>
          <w:bCs/>
          <w:sz w:val="22"/>
          <w:szCs w:val="22"/>
          <w:lang w:val="es-ES_tradnl"/>
        </w:rPr>
        <w:t>esta</w:t>
      </w:r>
      <w:r w:rsidR="00467707" w:rsidRPr="00AC19AC">
        <w:rPr>
          <w:rFonts w:ascii="Arial" w:eastAsia="Calibri" w:hAnsi="Arial" w:cs="Arial"/>
          <w:bCs/>
          <w:sz w:val="22"/>
          <w:szCs w:val="22"/>
          <w:lang w:val="es-ES_tradnl"/>
        </w:rPr>
        <w:t xml:space="preserve"> se refiere a los contratos, convenios interadministrativos o de cualquier otra índole, celebrados entre entidades estatales sometidas al EGCAP con entidades estatales exceptuadas, patrimonios autónomos, personas naturales o jurídicas de derecho privado.</w:t>
      </w:r>
      <w:r w:rsidRPr="00AC19AC">
        <w:rPr>
          <w:rFonts w:ascii="Arial" w:eastAsia="Calibri" w:hAnsi="Arial" w:cs="Arial"/>
          <w:bCs/>
          <w:sz w:val="22"/>
          <w:lang w:val="es-ES_tradnl"/>
        </w:rPr>
        <w:t xml:space="preserve"> En ese sentido, este primer inciso formula un mandato dirigido a las entidades sometidas al EGCAP, para que, en la adquisición de bienes, obras o servicios, apliquen los documentos tipo expedidos por esta Agencia, cuando celebren contratos o convenios interadministrativos o de cualquier otra índole, con otra entidad estatal, o con patrimonios autónomos o con personas naturales o jurídicas, cuyo régimen de contratación sea especial o de derecho privado.  </w:t>
      </w:r>
    </w:p>
    <w:p w14:paraId="503E58F2" w14:textId="77777777" w:rsidR="00031AD9" w:rsidRPr="00AC19AC" w:rsidRDefault="00031AD9" w:rsidP="00AC19AC">
      <w:pPr>
        <w:tabs>
          <w:tab w:val="left" w:pos="0"/>
        </w:tabs>
        <w:spacing w:before="120" w:line="276" w:lineRule="auto"/>
        <w:jc w:val="both"/>
        <w:rPr>
          <w:rFonts w:ascii="Arial" w:eastAsia="Calibri" w:hAnsi="Arial" w:cs="Arial"/>
          <w:bCs/>
          <w:sz w:val="22"/>
          <w:lang w:val="es-ES_tradnl"/>
        </w:rPr>
      </w:pPr>
      <w:r w:rsidRPr="00AC19AC">
        <w:rPr>
          <w:rFonts w:ascii="Arial" w:eastAsia="Calibri" w:hAnsi="Arial" w:cs="Arial"/>
          <w:bCs/>
          <w:sz w:val="22"/>
          <w:lang w:val="es-ES_tradnl"/>
        </w:rPr>
        <w:lastRenderedPageBreak/>
        <w:tab/>
        <w:t xml:space="preserve">De acuerdo con esto, el artículo 56 de la Ley 2195 de 2022 es una norma que complementa al parágrafo 7 del artículo 2 de la Ley 1150 de 2007, modificado por la Ley 2022 de 2020, que establece el mandato de aplicación obligatoria de los documentos tipo para las entidades sometidas al EGCAP. Si bien el texto de la Ley 2022 de 2020 establece con claridad la regla de aplicación obligatoria de los documentos tipo en los Procesos de Contratación adelantados por las entidades estatales regidas por el EGCAP, lo cierto es que sus efectos no eran los mismos en los procesos de selección adelantados por entidades exceptuadas o con regímenes especiales.  </w:t>
      </w:r>
    </w:p>
    <w:p w14:paraId="02E71D2D" w14:textId="1BED86A9" w:rsidR="00031AD9" w:rsidRPr="00AC19AC" w:rsidRDefault="00031AD9" w:rsidP="00AC19AC">
      <w:pPr>
        <w:tabs>
          <w:tab w:val="left" w:pos="0"/>
        </w:tabs>
        <w:spacing w:before="120" w:line="276" w:lineRule="auto"/>
        <w:jc w:val="both"/>
        <w:rPr>
          <w:rFonts w:ascii="Arial" w:eastAsia="Calibri" w:hAnsi="Arial" w:cs="Arial"/>
          <w:bCs/>
          <w:sz w:val="22"/>
          <w:lang w:val="es-ES_tradnl"/>
        </w:rPr>
      </w:pPr>
      <w:r w:rsidRPr="00AC19AC">
        <w:rPr>
          <w:rFonts w:ascii="Arial" w:eastAsia="Calibri" w:hAnsi="Arial" w:cs="Arial"/>
          <w:bCs/>
          <w:sz w:val="22"/>
          <w:lang w:val="es-ES_tradnl"/>
        </w:rPr>
        <w:tab/>
        <w:t xml:space="preserve">Antes de la expedición del artículo 56 </w:t>
      </w:r>
      <w:r w:rsidRPr="00AC19AC">
        <w:rPr>
          <w:rFonts w:ascii="Arial" w:eastAsia="Calibri" w:hAnsi="Arial" w:cs="Arial"/>
          <w:bCs/>
          <w:i/>
          <w:iCs/>
          <w:sz w:val="22"/>
          <w:lang w:val="es-ES_tradnl"/>
        </w:rPr>
        <w:t>ibídem</w:t>
      </w:r>
      <w:r w:rsidR="00113FF2" w:rsidRPr="00AC19AC">
        <w:rPr>
          <w:rFonts w:ascii="Arial" w:eastAsia="Calibri" w:hAnsi="Arial" w:cs="Arial"/>
          <w:bCs/>
          <w:i/>
          <w:iCs/>
          <w:sz w:val="22"/>
          <w:lang w:val="es-ES_tradnl"/>
        </w:rPr>
        <w:t>,</w:t>
      </w:r>
      <w:r w:rsidRPr="00AC19AC">
        <w:rPr>
          <w:rFonts w:ascii="Arial" w:eastAsia="Calibri" w:hAnsi="Arial" w:cs="Arial"/>
          <w:bCs/>
          <w:sz w:val="22"/>
          <w:lang w:val="es-ES_tradnl"/>
        </w:rPr>
        <w:t xml:space="preserve"> la Ley 2022 de 2020 ya había establecido el mandato de aplicación obligatoria de los documentos tipo, atribuyendo a esta a Agencia la competencia para expedirlos. Dicha Ley restringe su aplicación en los Procesos de Contratación a través de los que una entidad estatal regida por el EGCAP debe adquirir una obra o servicio, por supuesto siempre que el objeto a contratar, al igual que la modalidad que se requiere emplear, estén cobijados por algún documento tipo vigente. Por el contrario, la aplicación de documentos tipo por parte de entidades con regímenes especiales o de derecho privado era un asunto que escapaba del ámbito de aplicación de lo establecido por la Ley 2022 de 202</w:t>
      </w:r>
      <w:r w:rsidR="00113FF2" w:rsidRPr="00AC19AC">
        <w:rPr>
          <w:rFonts w:ascii="Arial" w:eastAsia="Calibri" w:hAnsi="Arial" w:cs="Arial"/>
          <w:bCs/>
          <w:sz w:val="22"/>
          <w:lang w:val="es-ES_tradnl"/>
        </w:rPr>
        <w:t>0</w:t>
      </w:r>
      <w:r w:rsidRPr="00AC19AC">
        <w:rPr>
          <w:rFonts w:ascii="Arial" w:eastAsia="Calibri" w:hAnsi="Arial" w:cs="Arial"/>
          <w:bCs/>
          <w:sz w:val="22"/>
          <w:lang w:val="es-ES_tradnl"/>
        </w:rPr>
        <w:t>, incluso tratándose de obras o servicios para cuya contratación hubieren documentos tipo vigentes, como</w:t>
      </w:r>
      <w:r w:rsidR="00CE2A62" w:rsidRPr="00AC19AC">
        <w:rPr>
          <w:rFonts w:ascii="Arial" w:eastAsia="Calibri" w:hAnsi="Arial" w:cs="Arial"/>
          <w:bCs/>
          <w:sz w:val="22"/>
          <w:lang w:val="es-ES_tradnl"/>
        </w:rPr>
        <w:t xml:space="preserve"> </w:t>
      </w:r>
      <w:r w:rsidRPr="00AC19AC">
        <w:rPr>
          <w:rFonts w:ascii="Arial" w:eastAsia="Calibri" w:hAnsi="Arial" w:cs="Arial"/>
          <w:bCs/>
          <w:sz w:val="22"/>
          <w:lang w:val="es-ES_tradnl"/>
        </w:rPr>
        <w:t xml:space="preserve">quiera que la aplicación de estos solo era procedente cuando el régimen de la entidad contratante </w:t>
      </w:r>
      <w:r w:rsidR="00113FF2" w:rsidRPr="00AC19AC">
        <w:rPr>
          <w:rFonts w:ascii="Arial" w:eastAsia="Calibri" w:hAnsi="Arial" w:cs="Arial"/>
          <w:bCs/>
          <w:sz w:val="22"/>
          <w:lang w:val="es-ES_tradnl"/>
        </w:rPr>
        <w:t xml:space="preserve">fuera </w:t>
      </w:r>
      <w:r w:rsidRPr="00AC19AC">
        <w:rPr>
          <w:rFonts w:ascii="Arial" w:eastAsia="Calibri" w:hAnsi="Arial" w:cs="Arial"/>
          <w:bCs/>
          <w:sz w:val="22"/>
          <w:lang w:val="es-ES_tradnl"/>
        </w:rPr>
        <w:t xml:space="preserve">el EGCAP, toda vez que el parágrafo 7 del artículo 2 de la Ley 1150 de 2007 solo se refiere a la obligación de aplicar los documentos tipo en los Procesos de Contratación que adelanten las entidades sometidas al EGCAP. </w:t>
      </w:r>
    </w:p>
    <w:p w14:paraId="7756F1FB" w14:textId="77777777" w:rsidR="00031AD9" w:rsidRPr="00AC19AC" w:rsidRDefault="00031AD9" w:rsidP="00AC19AC">
      <w:pPr>
        <w:tabs>
          <w:tab w:val="left" w:pos="0"/>
        </w:tabs>
        <w:spacing w:before="120" w:line="276" w:lineRule="auto"/>
        <w:jc w:val="both"/>
        <w:rPr>
          <w:rFonts w:ascii="Arial" w:eastAsia="Calibri" w:hAnsi="Arial" w:cs="Arial"/>
          <w:bCs/>
          <w:sz w:val="22"/>
          <w:lang w:val="es-ES_tradnl"/>
        </w:rPr>
      </w:pPr>
      <w:r w:rsidRPr="00AC19AC">
        <w:rPr>
          <w:rFonts w:ascii="Arial" w:eastAsia="Calibri" w:hAnsi="Arial" w:cs="Arial"/>
          <w:bCs/>
          <w:sz w:val="22"/>
          <w:lang w:val="es-ES_tradnl"/>
        </w:rPr>
        <w:tab/>
        <w:t>Por tanto, la norma, por el hecho de estar dirigida únicamente a las entidades sometidas a la Ley 80 de 1993 y la Ley 1150 de 2007, solo permitía que los documentos tipo tuvieran que aplicarse de manera obligatoria cuando este era el régimen general de la contratación de la entidad que adelantaba el Proceso de Contratación. En estos términos, si bien la Ley 2022 de 2020 no limitó la aplicabilidad de los documentos tipo expedidos por esta Agencia a una modalidad en específico, sí estableció que su implementación debía hacerse en el marco del EGCAP.</w:t>
      </w:r>
    </w:p>
    <w:p w14:paraId="5D8E1196" w14:textId="77777777" w:rsidR="00031AD9" w:rsidRPr="00AC19AC" w:rsidRDefault="00031AD9" w:rsidP="00AC19AC">
      <w:pPr>
        <w:tabs>
          <w:tab w:val="left" w:pos="0"/>
        </w:tabs>
        <w:spacing w:before="120" w:line="276" w:lineRule="auto"/>
        <w:jc w:val="both"/>
        <w:rPr>
          <w:rFonts w:ascii="Arial" w:eastAsia="Calibri" w:hAnsi="Arial" w:cs="Arial"/>
          <w:bCs/>
          <w:sz w:val="22"/>
          <w:lang w:val="es-ES_tradnl"/>
        </w:rPr>
      </w:pPr>
      <w:r w:rsidRPr="00AC19AC">
        <w:rPr>
          <w:rFonts w:ascii="Arial" w:eastAsia="Calibri" w:hAnsi="Arial" w:cs="Arial"/>
          <w:bCs/>
          <w:sz w:val="22"/>
          <w:lang w:val="es-ES_tradnl"/>
        </w:rPr>
        <w:tab/>
        <w:t xml:space="preserve">En este escenario, </w:t>
      </w:r>
      <w:bookmarkStart w:id="9" w:name="_Hlk99351345"/>
      <w:r w:rsidRPr="00AC19AC">
        <w:rPr>
          <w:rFonts w:ascii="Arial" w:eastAsia="Calibri" w:hAnsi="Arial" w:cs="Arial"/>
          <w:bCs/>
          <w:sz w:val="22"/>
          <w:lang w:val="es-ES_tradnl"/>
        </w:rPr>
        <w:t xml:space="preserve">el primer inciso del artículo 56 de la Ley 2195 de 2022 surge como una disposición complementaria de la Ley 2022 de 2020, en la medida en que, según se desprende de su texto, de una parte, la norma busca extender la aplicación obligatoria de los documentos tipo a la celebración de contratos o convenios interadministrativos entre entidades regidas por EGCAP y otros sujetos cuyo régimen de contratación prevalente es el derecho privado. Esto de tal forma que cuando una entidad estatal regida por el EGCAP celebre contratos o convenios con otra i) entidad estatal de régimen especial o con ii) patrimonios autónomos o iii) con personas naturales o jurídicas de derecho privado, tenga que hacerlo aplicando documentos tipo. Los efectos del primer inciso del artículo 56 se proyectarían entonces a los contratos o convenios que se deban celebrar con estos sujetos, </w:t>
      </w:r>
      <w:r w:rsidRPr="00AC19AC">
        <w:rPr>
          <w:rFonts w:ascii="Arial" w:eastAsia="Calibri" w:hAnsi="Arial" w:cs="Arial"/>
          <w:bCs/>
          <w:sz w:val="22"/>
          <w:lang w:val="es-ES_tradnl"/>
        </w:rPr>
        <w:lastRenderedPageBreak/>
        <w:t xml:space="preserve">cuyos objetos comprendan la adquisición de bienes, obras o servicios, que, al tenor de lo dispuesto en el apartado normativo bajo examen, deberán celebrarse mediante documentos tipo.      </w:t>
      </w:r>
    </w:p>
    <w:bookmarkEnd w:id="9"/>
    <w:p w14:paraId="2E458B86" w14:textId="556EEBA5" w:rsidR="00031AD9" w:rsidRPr="00AC19AC" w:rsidRDefault="00031AD9" w:rsidP="00AC19AC">
      <w:pPr>
        <w:tabs>
          <w:tab w:val="left" w:pos="0"/>
        </w:tabs>
        <w:spacing w:before="120" w:line="276" w:lineRule="auto"/>
        <w:jc w:val="both"/>
        <w:rPr>
          <w:rFonts w:ascii="Arial" w:eastAsia="Calibri" w:hAnsi="Arial" w:cs="Arial"/>
          <w:bCs/>
          <w:sz w:val="22"/>
          <w:lang w:val="es-ES_tradnl"/>
        </w:rPr>
      </w:pPr>
      <w:r w:rsidRPr="00AC19AC">
        <w:rPr>
          <w:rFonts w:ascii="Arial" w:eastAsia="Calibri" w:hAnsi="Arial" w:cs="Arial"/>
          <w:bCs/>
          <w:sz w:val="22"/>
          <w:lang w:val="es-ES_tradnl"/>
        </w:rPr>
        <w:tab/>
        <w:t>Sin perjuicio de lo anterior, solo es posible comprender los efectos de lo dispuesto en el artículo 56 de la Ley 2195 de 202</w:t>
      </w:r>
      <w:r w:rsidR="00825491" w:rsidRPr="00AC19AC">
        <w:rPr>
          <w:rFonts w:ascii="Arial" w:eastAsia="Calibri" w:hAnsi="Arial" w:cs="Arial"/>
          <w:bCs/>
          <w:sz w:val="22"/>
          <w:lang w:val="es-ES_tradnl"/>
        </w:rPr>
        <w:t>2</w:t>
      </w:r>
      <w:r w:rsidRPr="00AC19AC">
        <w:rPr>
          <w:rFonts w:ascii="Arial" w:eastAsia="Calibri" w:hAnsi="Arial" w:cs="Arial"/>
          <w:bCs/>
          <w:sz w:val="22"/>
          <w:lang w:val="es-ES_tradnl"/>
        </w:rPr>
        <w:t xml:space="preserve"> cuando se interpretan en conjunto todos sus componentes. Esto comoquiera que, a lo anterior se le suman las implicaciones de lo ordenado por el segundo inciso de la norma, en referencia a los procedimientos de selección y contratos que deban celebrarse en desarrollo de los negocios a los que se refiere el primer inciso, en los que, además de la aplicación de los documentos tipo, se dispone la aplicación del EGCAP. </w:t>
      </w:r>
    </w:p>
    <w:p w14:paraId="3D0659F7" w14:textId="04E02920" w:rsidR="00031AD9" w:rsidRPr="00AC19AC" w:rsidRDefault="00031AD9" w:rsidP="00AC19AC">
      <w:pPr>
        <w:tabs>
          <w:tab w:val="left" w:pos="0"/>
        </w:tabs>
        <w:spacing w:before="120" w:line="276" w:lineRule="auto"/>
        <w:jc w:val="both"/>
        <w:rPr>
          <w:rFonts w:ascii="Arial" w:eastAsia="Calibri" w:hAnsi="Arial" w:cs="Arial"/>
          <w:bCs/>
          <w:sz w:val="22"/>
          <w:lang w:val="es-ES_tradnl"/>
        </w:rPr>
      </w:pPr>
      <w:r w:rsidRPr="00AC19AC">
        <w:rPr>
          <w:rFonts w:ascii="Arial" w:eastAsia="Calibri" w:hAnsi="Arial" w:cs="Arial"/>
          <w:bCs/>
          <w:sz w:val="22"/>
          <w:lang w:val="es-ES_tradnl"/>
        </w:rPr>
        <w:tab/>
        <w:t xml:space="preserve">De acuerdo con esto, el cambio normativo que supone el artículo en comento no se agota con el mandato de aplicación obligatoria de los documentos tipo en los convenios o contratos que celebren las entidades estatales regidas por el EGCAP con otras entidades de régimen especial, patrimonios autónomos, personas naturales o jurídicas de derecho privado, pues, según se desprende del segundo inciso de la norma, esta además ordena la aplicación del EGCAP a los Procesos de Contratación que se adelanten y a los contratos que se celebren con ocasión de los contratos o convenios a los que se refiere el primer inciso. Esto significa que, ya sea una entidad estatal de régimen especial, un patrimonio autónomo o una persona natural o jurídica de derecho privado, en virtud de lo dispuesto en los incisos primero y segundo del artículo 56 </w:t>
      </w:r>
      <w:r w:rsidRPr="00AC19AC">
        <w:rPr>
          <w:rFonts w:ascii="Arial" w:eastAsia="Calibri" w:hAnsi="Arial" w:cs="Arial"/>
          <w:bCs/>
          <w:i/>
          <w:iCs/>
          <w:sz w:val="22"/>
          <w:lang w:val="es-ES_tradnl"/>
        </w:rPr>
        <w:t xml:space="preserve">ejusdem, </w:t>
      </w:r>
      <w:r w:rsidRPr="00AC19AC">
        <w:rPr>
          <w:rFonts w:ascii="Arial" w:eastAsia="Calibri" w:hAnsi="Arial" w:cs="Arial"/>
          <w:bCs/>
          <w:sz w:val="22"/>
          <w:lang w:val="es-ES_tradnl"/>
        </w:rPr>
        <w:t>si,</w:t>
      </w:r>
      <w:r w:rsidRPr="00AC19AC">
        <w:rPr>
          <w:rFonts w:ascii="Arial" w:eastAsia="Calibri" w:hAnsi="Arial" w:cs="Arial"/>
          <w:bCs/>
          <w:i/>
          <w:iCs/>
          <w:sz w:val="22"/>
          <w:lang w:val="es-ES_tradnl"/>
        </w:rPr>
        <w:t xml:space="preserve"> </w:t>
      </w:r>
      <w:r w:rsidRPr="00AC19AC">
        <w:rPr>
          <w:rFonts w:ascii="Arial" w:eastAsia="Calibri" w:hAnsi="Arial" w:cs="Arial"/>
          <w:bCs/>
          <w:sz w:val="22"/>
          <w:lang w:val="es-ES_tradnl"/>
        </w:rPr>
        <w:t xml:space="preserve">en efecto, deben subcontratar bienes, obras o servicios, en cumplimiento de un contrato o convenio con una entidad estatal sometida a la Ley 80 de 1993, deberá adelantar el procedimiento de selección, así como celebrar el respectivo contrato, implementando los documentos tipo  y aplicando las disposiciones del EGCAP. </w:t>
      </w:r>
    </w:p>
    <w:p w14:paraId="37B61ABE" w14:textId="77777777" w:rsidR="00031AD9" w:rsidRPr="00AC19AC" w:rsidRDefault="00031AD9" w:rsidP="00AC19AC">
      <w:pPr>
        <w:tabs>
          <w:tab w:val="left" w:pos="0"/>
        </w:tabs>
        <w:spacing w:before="120" w:line="276" w:lineRule="auto"/>
        <w:jc w:val="both"/>
        <w:rPr>
          <w:rFonts w:ascii="Arial" w:eastAsia="Calibri" w:hAnsi="Arial" w:cs="Arial"/>
          <w:bCs/>
          <w:sz w:val="22"/>
          <w:lang w:val="es-ES_tradnl"/>
        </w:rPr>
      </w:pPr>
      <w:r w:rsidRPr="00AC19AC">
        <w:rPr>
          <w:rFonts w:ascii="Arial" w:eastAsia="Calibri" w:hAnsi="Arial" w:cs="Arial"/>
          <w:bCs/>
          <w:sz w:val="22"/>
          <w:lang w:val="es-ES_tradnl"/>
        </w:rPr>
        <w:tab/>
        <w:t xml:space="preserve">Esta, además, es la interpretación que se desprende de la justificación del proyecto normativo que se convirtió en la Ley 2195 de 2022, en la que, respecto de los contratos ejecutados por entidades de derecho privado, se refirió a la «[..] obligatoriedad de aplicar los documentos tipo, aun si son ejecutados con entidades de régimen especial», como uno de los propósitos de la Ley.  Conforme se indica en la justificación jurídica del proyecto ley, este: </w:t>
      </w:r>
    </w:p>
    <w:p w14:paraId="25A16519" w14:textId="0253CCB4" w:rsidR="00AA42E3" w:rsidRPr="00AC19AC" w:rsidRDefault="00031AD9" w:rsidP="00CE2A62">
      <w:pPr>
        <w:tabs>
          <w:tab w:val="left" w:pos="0"/>
        </w:tabs>
        <w:spacing w:before="240"/>
        <w:ind w:left="709" w:right="709"/>
        <w:jc w:val="both"/>
        <w:rPr>
          <w:rFonts w:ascii="Arial" w:eastAsia="Calibri" w:hAnsi="Arial" w:cs="Arial"/>
          <w:bCs/>
          <w:sz w:val="21"/>
          <w:szCs w:val="21"/>
          <w:lang w:val="es-ES_tradnl"/>
        </w:rPr>
      </w:pPr>
      <w:r w:rsidRPr="00AC19AC">
        <w:rPr>
          <w:rFonts w:ascii="Arial" w:eastAsia="Calibri" w:hAnsi="Arial" w:cs="Arial"/>
          <w:bCs/>
          <w:sz w:val="21"/>
          <w:szCs w:val="21"/>
          <w:lang w:val="es-ES_tradnl"/>
        </w:rPr>
        <w:t xml:space="preserve">«[…] determina la aplicación de documentos tipo, en los términos del parágrafo 7 del artículo 2 de la Ley 1150 de 2007 o las normas que lo modifiquen o sustituyan, en los eventos en que entidades públicas sometidas al Estatuto General de Contratación de la Administración Pública celebren contratos o convenios interadministrativos o de cualquier otra índole con otras entidades estatales, patrimonios autónomos o personas naturales o jurídicas de derecho privado. Así mismo, se determina que los procedimientos de selección y los </w:t>
      </w:r>
      <w:r w:rsidRPr="00AC19AC">
        <w:rPr>
          <w:rFonts w:ascii="Arial" w:eastAsia="Calibri" w:hAnsi="Arial" w:cs="Arial"/>
          <w:bCs/>
          <w:sz w:val="21"/>
          <w:szCs w:val="21"/>
          <w:lang w:val="es-ES_tradnl"/>
        </w:rPr>
        <w:lastRenderedPageBreak/>
        <w:t>contratos realizados en dichos negocios jurídicos deben regirse por las normas de contratación pública»</w:t>
      </w:r>
      <w:r w:rsidRPr="00AC19AC">
        <w:rPr>
          <w:rStyle w:val="Refdenotaalpie"/>
          <w:rFonts w:ascii="Arial" w:eastAsia="Calibri" w:hAnsi="Arial" w:cs="Arial"/>
          <w:sz w:val="21"/>
          <w:szCs w:val="21"/>
        </w:rPr>
        <w:footnoteReference w:id="8"/>
      </w:r>
      <w:r w:rsidRPr="00AC19AC">
        <w:rPr>
          <w:rFonts w:ascii="Arial" w:eastAsia="Calibri" w:hAnsi="Arial" w:cs="Arial"/>
          <w:bCs/>
          <w:sz w:val="21"/>
          <w:szCs w:val="21"/>
          <w:lang w:val="es-ES_tradnl"/>
        </w:rPr>
        <w:t xml:space="preserve">. </w:t>
      </w:r>
    </w:p>
    <w:p w14:paraId="593E1767" w14:textId="63E0B78E" w:rsidR="002402A8" w:rsidRPr="00AC19AC" w:rsidRDefault="00031AD9" w:rsidP="00E77523">
      <w:pPr>
        <w:tabs>
          <w:tab w:val="left" w:pos="0"/>
        </w:tabs>
        <w:spacing w:before="240" w:line="276" w:lineRule="auto"/>
        <w:jc w:val="both"/>
        <w:rPr>
          <w:rFonts w:ascii="Arial" w:eastAsia="Calibri" w:hAnsi="Arial" w:cs="Arial"/>
          <w:bCs/>
          <w:sz w:val="22"/>
          <w:lang w:val="es-ES_tradnl"/>
        </w:rPr>
      </w:pPr>
      <w:r w:rsidRPr="00AC19AC">
        <w:rPr>
          <w:rFonts w:ascii="Arial" w:eastAsia="Calibri" w:hAnsi="Arial" w:cs="Arial"/>
          <w:bCs/>
          <w:sz w:val="22"/>
          <w:lang w:val="es-ES_tradnl"/>
        </w:rPr>
        <w:tab/>
        <w:t xml:space="preserve">De lo anterior se desprende que el propósito del legislador con la expedición de la norma objeto de consulta, tal como se ha explicado, es que las entidades estatales que tienen como régimen </w:t>
      </w:r>
      <w:r w:rsidR="00113FF2" w:rsidRPr="00AC19AC">
        <w:rPr>
          <w:rFonts w:ascii="Arial" w:eastAsia="Calibri" w:hAnsi="Arial" w:cs="Arial"/>
          <w:bCs/>
          <w:sz w:val="22"/>
          <w:lang w:val="es-ES_tradnl"/>
        </w:rPr>
        <w:t xml:space="preserve">contractual </w:t>
      </w:r>
      <w:r w:rsidRPr="00AC19AC">
        <w:rPr>
          <w:rFonts w:ascii="Arial" w:eastAsia="Calibri" w:hAnsi="Arial" w:cs="Arial"/>
          <w:bCs/>
          <w:sz w:val="22"/>
          <w:lang w:val="es-ES_tradnl"/>
        </w:rPr>
        <w:t xml:space="preserve">el EGCAP no puedan eludir su aplicación, ni la de los documentos tipo que resulten obligatorios, celebrando convenios o contratos con entidades exceptuadas o particulares sometidos al derecho privado, para que sean estos últimos quienes, en el marco de sus regímenes especiales o de derecho privado, realicen la subcontratación de los bienes, obras o servicios que demanda la entidad estatal, en una suerte de tercerización de la contratación. Lo anterior teniendo en cuenta que, a la luz de lo dispuesto en el artículo 56 de la Ley 2195 de 2022, tales entidades exceptuadas, patrimonios autónomos o particulares, que han suscrito convenios o contratos de cualquier índole con entidades sometidas al EGCAP, estarán obligadas a aplicar dicho estatuto para la subcontratación derivada de obras, bienes, obras o servicios, siempre que exista documento tipo en el sector en el que se adelanta la contratación.  </w:t>
      </w:r>
    </w:p>
    <w:p w14:paraId="5FC7E762" w14:textId="39B84423" w:rsidR="00031AD9" w:rsidRPr="00AC19AC" w:rsidRDefault="00031AD9" w:rsidP="00E77523">
      <w:pPr>
        <w:tabs>
          <w:tab w:val="left" w:pos="0"/>
        </w:tabs>
        <w:spacing w:before="240" w:line="276" w:lineRule="auto"/>
        <w:jc w:val="both"/>
        <w:rPr>
          <w:rFonts w:ascii="Arial" w:eastAsia="Calibri" w:hAnsi="Arial" w:cs="Arial"/>
          <w:bCs/>
          <w:sz w:val="22"/>
          <w:lang w:val="es-ES_tradnl"/>
        </w:rPr>
      </w:pPr>
      <w:r w:rsidRPr="00AC19AC">
        <w:rPr>
          <w:rFonts w:ascii="Arial" w:eastAsia="Calibri" w:hAnsi="Arial" w:cs="Arial"/>
          <w:b/>
          <w:i/>
          <w:iCs/>
          <w:sz w:val="22"/>
          <w:lang w:val="es-ES_tradnl"/>
        </w:rPr>
        <w:t>2.2.2.</w:t>
      </w:r>
      <w:r w:rsidRPr="00AC19AC">
        <w:rPr>
          <w:rFonts w:ascii="Arial" w:eastAsia="Calibri" w:hAnsi="Arial" w:cs="Arial"/>
          <w:bCs/>
          <w:sz w:val="22"/>
          <w:lang w:val="es-ES_tradnl"/>
        </w:rPr>
        <w:t xml:space="preserve"> </w:t>
      </w:r>
      <w:r w:rsidRPr="00AC19AC">
        <w:rPr>
          <w:rFonts w:ascii="Arial" w:eastAsia="Calibri" w:hAnsi="Arial" w:cs="Arial"/>
          <w:b/>
          <w:sz w:val="22"/>
          <w:lang w:val="es-ES_tradnl"/>
        </w:rPr>
        <w:t>Aplicación prevalente del Estatuto General de Contratación de la Administración Pública por parte entidades exceptuadas. Aparente tensión con el literal c) del artículo 2, numeral 4, de la Ley 1150 de 2007.</w:t>
      </w:r>
    </w:p>
    <w:p w14:paraId="130493D7" w14:textId="77777777" w:rsidR="00031AD9" w:rsidRPr="00AC19AC" w:rsidRDefault="00031AD9" w:rsidP="00E77523">
      <w:pPr>
        <w:tabs>
          <w:tab w:val="left" w:pos="0"/>
        </w:tabs>
        <w:spacing w:before="240" w:line="276" w:lineRule="auto"/>
        <w:jc w:val="both"/>
        <w:rPr>
          <w:rFonts w:ascii="Arial" w:eastAsia="Calibri" w:hAnsi="Arial" w:cs="Arial"/>
          <w:bCs/>
          <w:sz w:val="22"/>
          <w:lang w:val="es-ES_tradnl"/>
        </w:rPr>
      </w:pPr>
      <w:r w:rsidRPr="00AC19AC">
        <w:rPr>
          <w:rFonts w:ascii="Arial" w:eastAsia="Calibri" w:hAnsi="Arial" w:cs="Arial"/>
          <w:bCs/>
          <w:sz w:val="22"/>
          <w:lang w:val="es-ES_tradnl"/>
        </w:rPr>
        <w:t>En este punto es necesario analizar los efectos del artículo 56 de la Ley 2195 de 2022, respecto de lo dispuesto en el artículo 2, numeral 4, de la Ley 1150 de 2007, particularmente, de lo establecido en el tercer inciso del literal c)</w:t>
      </w:r>
      <w:r w:rsidRPr="00AC19AC">
        <w:rPr>
          <w:rStyle w:val="Refdenotaalpie"/>
          <w:rFonts w:ascii="Arial" w:eastAsia="Calibri" w:hAnsi="Arial" w:cs="Arial"/>
        </w:rPr>
        <w:footnoteReference w:id="9"/>
      </w:r>
      <w:r w:rsidRPr="00AC19AC">
        <w:rPr>
          <w:rFonts w:ascii="Arial" w:eastAsia="Calibri" w:hAnsi="Arial" w:cs="Arial"/>
          <w:bCs/>
          <w:sz w:val="22"/>
          <w:lang w:val="es-ES_tradnl"/>
        </w:rPr>
        <w:t xml:space="preserve">. Lo anterior por cuanto </w:t>
      </w:r>
      <w:r w:rsidRPr="00AC19AC">
        <w:rPr>
          <w:rFonts w:ascii="Arial" w:eastAsia="Calibri" w:hAnsi="Arial" w:cs="Arial"/>
          <w:bCs/>
          <w:sz w:val="22"/>
          <w:lang w:val="es-ES_tradnl"/>
        </w:rPr>
        <w:lastRenderedPageBreak/>
        <w:t xml:space="preserve">esta norma, al establecer como causal de contratación directa la celebración de convenios o contratos interadministrativos regulaba la normativa aplicable a estos cuando el régimen prevalente de la entidad encargada de la ejecución no fuera el de la Ley 80 de 1993, casos en los que la norma imponía la aplicación de esta normativa, a menos que la entidad ejecutora desarrollara su actividad en competencia con el sector privado, o cuando la ejecución del contrato tuviere relación directa con el desarrollo de su actividad, evento en los que se imponía el derecho privado. En ese sentido, en este último evento el tercer inciso del literal c) del artículo 2-4 de la Ley 1150 de 2007, daba pie a la aplicación de normas de derecho privado, lo que evidencia una aparente tensión entre este y el artículo 56 de la Ley 2195 de 2022, en lo que se refiere al régimen aplicable en estas situaciones, comoquiera que en estos eventos, al tenor de lo dispuesto en esta última norma, deben aplicarse el EGCAP y los documentos tipo. </w:t>
      </w:r>
    </w:p>
    <w:p w14:paraId="31A84E89" w14:textId="77777777" w:rsidR="00031AD9" w:rsidRPr="00AC19AC" w:rsidRDefault="00031AD9" w:rsidP="00AC19AC">
      <w:pPr>
        <w:tabs>
          <w:tab w:val="left" w:pos="0"/>
        </w:tabs>
        <w:spacing w:before="120" w:line="276" w:lineRule="auto"/>
        <w:jc w:val="both"/>
        <w:rPr>
          <w:rFonts w:ascii="Arial" w:eastAsia="Calibri" w:hAnsi="Arial" w:cs="Arial"/>
          <w:bCs/>
          <w:sz w:val="22"/>
          <w:lang w:val="es-ES_tradnl"/>
        </w:rPr>
      </w:pPr>
      <w:r w:rsidRPr="00AC19AC">
        <w:rPr>
          <w:rFonts w:ascii="Arial" w:eastAsia="Calibri" w:hAnsi="Arial" w:cs="Arial"/>
          <w:bCs/>
          <w:sz w:val="22"/>
          <w:lang w:val="es-ES_tradnl"/>
        </w:rPr>
        <w:tab/>
        <w:t xml:space="preserve">Esto supone una aparente antinomia entre el literal c) del artículo 2, numeral 4, de la Ley 1150 de 2007 y el artículo 56 de la Ley 2195 de 2022, en la medida en que para un mismo supuesto de hecho –la celebración de un convenio interadministrativo entre una entidad sometida al EGCAP y otra exceptuada, en la que la última es la ejecutora y desarrolla su actividad en competencia con el sector privado–, se establecen diferentes consecuencias jurídicas, ya que mientras que la primera norma dispone la aplicación del derecho privado, la última impone la aplicación de documentos tipo y del EGCAP. Esta aparente contradicción, necesariamente debe ser resuelta en favor del artículo 56 de la Ley 2195 de 2022, cuya aplicación debe ser privilegiada, al ser esta la norma expedida más recientemente. </w:t>
      </w:r>
    </w:p>
    <w:p w14:paraId="20D9B6C9" w14:textId="6A235720" w:rsidR="00031AD9" w:rsidRPr="00AC19AC" w:rsidRDefault="00031AD9" w:rsidP="00AC19AC">
      <w:pPr>
        <w:tabs>
          <w:tab w:val="left" w:pos="0"/>
        </w:tabs>
        <w:spacing w:before="120" w:line="276" w:lineRule="auto"/>
        <w:jc w:val="both"/>
        <w:rPr>
          <w:rFonts w:ascii="Arial" w:eastAsia="Calibri" w:hAnsi="Arial" w:cs="Arial"/>
          <w:bCs/>
          <w:sz w:val="22"/>
          <w:lang w:val="es-ES_tradnl"/>
        </w:rPr>
      </w:pPr>
      <w:r w:rsidRPr="00AC19AC">
        <w:rPr>
          <w:rFonts w:ascii="Arial" w:eastAsia="Calibri" w:hAnsi="Arial" w:cs="Arial"/>
          <w:bCs/>
          <w:sz w:val="22"/>
          <w:lang w:val="es-ES_tradnl"/>
        </w:rPr>
        <w:tab/>
        <w:t>En efecto, tratándose de disposiciones de igual jerarquía normativa</w:t>
      </w:r>
      <w:r w:rsidRPr="00AC19AC">
        <w:rPr>
          <w:rStyle w:val="Refdenotaalpie"/>
          <w:rFonts w:ascii="Arial" w:eastAsia="Calibri" w:hAnsi="Arial" w:cs="Arial"/>
        </w:rPr>
        <w:footnoteReference w:id="10"/>
      </w:r>
      <w:r w:rsidR="00825491" w:rsidRPr="00AC19AC">
        <w:rPr>
          <w:rFonts w:ascii="Arial" w:eastAsia="Calibri" w:hAnsi="Arial" w:cs="Arial"/>
          <w:bCs/>
          <w:sz w:val="22"/>
          <w:lang w:val="es-ES_tradnl"/>
        </w:rPr>
        <w:t xml:space="preserve"> </w:t>
      </w:r>
      <w:r w:rsidRPr="00AC19AC">
        <w:rPr>
          <w:rFonts w:ascii="Arial" w:eastAsia="Calibri" w:hAnsi="Arial" w:cs="Arial"/>
          <w:bCs/>
          <w:sz w:val="22"/>
          <w:lang w:val="es-ES_tradnl"/>
        </w:rPr>
        <w:t xml:space="preserve">–ambas son leyes ordinarias–, que coinciden en su ámbito de aplicación, debe colegirse que, en lo que </w:t>
      </w:r>
      <w:r w:rsidRPr="00AC19AC">
        <w:rPr>
          <w:rFonts w:ascii="Arial" w:eastAsia="Calibri" w:hAnsi="Arial" w:cs="Arial"/>
          <w:bCs/>
          <w:sz w:val="22"/>
          <w:lang w:val="es-ES_tradnl"/>
        </w:rPr>
        <w:lastRenderedPageBreak/>
        <w:t xml:space="preserve">respecta al régimen aplicable a los contratos con entidades exceptuadas ejecutoras de contratos o convenios interadministrativos, que desarrollen su actividad en competencia con el sector privado, el artículo 56 de la Ley 2195 de 2022 supuso una modificación tácita del artículo 2, numeral 4, literal c), de la Ley 1150 de 2007. De acuerdo con lo expuesto, los efectos de esta modificación no solo se proyectan a la celebración propiamente dicha del contrato o convenio entre la entidad sometida y la exceptuada, sino que se extienden a todos los contratos y procedimientos de selección que adelanten estos últimos en desarrollo de la relación primigenia, en los que deberán aplicarse el EGCAP y los documentos tipo vigentes. </w:t>
      </w:r>
    </w:p>
    <w:p w14:paraId="5B460EC4" w14:textId="77777777" w:rsidR="00031AD9" w:rsidRPr="00AC19AC" w:rsidRDefault="00031AD9" w:rsidP="00AC19AC">
      <w:pPr>
        <w:tabs>
          <w:tab w:val="left" w:pos="0"/>
        </w:tabs>
        <w:spacing w:before="120" w:line="276" w:lineRule="auto"/>
        <w:jc w:val="both"/>
        <w:rPr>
          <w:rFonts w:ascii="Arial" w:eastAsia="Calibri" w:hAnsi="Arial" w:cs="Arial"/>
          <w:bCs/>
          <w:sz w:val="22"/>
          <w:lang w:val="es-ES_tradnl"/>
        </w:rPr>
      </w:pPr>
      <w:r w:rsidRPr="00AC19AC">
        <w:rPr>
          <w:rFonts w:ascii="Arial" w:eastAsia="Calibri" w:hAnsi="Arial" w:cs="Arial"/>
          <w:bCs/>
          <w:sz w:val="22"/>
          <w:lang w:val="es-ES_tradnl"/>
        </w:rPr>
        <w:tab/>
        <w:t xml:space="preserve">En tales términos, de lo analizado hasta aquí es posible concluir que un efecto importante de la norma bajo estudio es la ampliación del ámbito de aplicación de los documentos tipo, al hacerlos obligatorios para unos sujetos que, en principio, de acuerdo con la Ley 2022 de 2020, no estarían sometidos a esos documentos. Para complementar esta medida, la disposición además hace extensiva la aplicación del EGCAP a esto sujetos que, en virtud de su naturaleza jurídica, tienen, como regla general, un régimen de contratación diferente, tales como las entidades exceptuadas, los patrimonios autónomos y las personas naturales y jurídicas de derecho privado, a los que expresamente hace alusión el artículo 56.  De esta forma, independientemente de que el inciso tercero del literal c) del artículo 2, numeral 4, de la Ley 1150 de 2007 parezca indicar que se debe aplicar el derecho privado, por ser este el régimen que por regla general aplica la entidad ejecutora, tratándose de objetos cobijados por documentos tipo, los mismos deberán ser contratados aplicando tales pliegos tipo y las disposiciones del EGCAP.  </w:t>
      </w:r>
    </w:p>
    <w:p w14:paraId="29B15590" w14:textId="30087DB5" w:rsidR="00031AD9" w:rsidRPr="00AC19AC" w:rsidRDefault="00031AD9" w:rsidP="00AC19AC">
      <w:pPr>
        <w:tabs>
          <w:tab w:val="left" w:pos="0"/>
        </w:tabs>
        <w:spacing w:before="120" w:line="276" w:lineRule="auto"/>
        <w:jc w:val="both"/>
        <w:rPr>
          <w:rFonts w:ascii="Arial" w:eastAsia="Calibri" w:hAnsi="Arial" w:cs="Arial"/>
          <w:bCs/>
          <w:sz w:val="22"/>
          <w:lang w:val="es-ES_tradnl"/>
        </w:rPr>
      </w:pPr>
      <w:r w:rsidRPr="00AC19AC">
        <w:rPr>
          <w:rFonts w:ascii="Arial" w:eastAsia="Calibri" w:hAnsi="Arial" w:cs="Arial"/>
          <w:bCs/>
          <w:sz w:val="22"/>
          <w:lang w:val="es-ES_tradnl"/>
        </w:rPr>
        <w:tab/>
        <w:t xml:space="preserve">En este punto conviene precisar que, de conformidad con el artículo 56, el hecho de que una entidad exceptuada, un patrimonio autónomo, una persona natural o una persona jurídica, tenga suscrito un contrato o convenio con una entidad sometida al EGCAP, no significa que mute su régimen jurídico de manera permanente. Al respecto, de una lectura conjunta de los incisos primero y segundo se desprende que estos introducen el mandato de aplicación obligatoria del EGCAP por parte de los mencionados sujetos de régimen de derecho privado solo en lo referido a la subcontratación de bienes, obras y servicios relacionados con un contrato o convenio suscrito con una entidad sometida al EGCAP, siempre que exista documento tipo </w:t>
      </w:r>
      <w:r w:rsidR="00113FF2" w:rsidRPr="00AC19AC">
        <w:rPr>
          <w:rFonts w:ascii="Arial" w:eastAsia="Calibri" w:hAnsi="Arial" w:cs="Arial"/>
          <w:bCs/>
          <w:sz w:val="22"/>
          <w:lang w:val="es-ES_tradnl"/>
        </w:rPr>
        <w:t>aplicable al objeto contractual</w:t>
      </w:r>
      <w:r w:rsidRPr="00AC19AC">
        <w:rPr>
          <w:rFonts w:ascii="Arial" w:eastAsia="Calibri" w:hAnsi="Arial" w:cs="Arial"/>
          <w:bCs/>
          <w:sz w:val="22"/>
          <w:lang w:val="es-ES_tradnl"/>
        </w:rPr>
        <w:t xml:space="preserve"> que se planea contratar. Esto significa que los contratos no relacionados con los compromisos adquiridos con la entidad sometida al EGCAP no tendrían que aplicar el régimen contractual público ni los documentos tipo, salvo que quieran hacerlo como una buena práctica de contratación. </w:t>
      </w:r>
    </w:p>
    <w:p w14:paraId="02A2DE71" w14:textId="0CA5CF95" w:rsidR="002813C6" w:rsidRPr="00AC19AC" w:rsidRDefault="00031AD9" w:rsidP="00AC19AC">
      <w:pPr>
        <w:tabs>
          <w:tab w:val="left" w:pos="0"/>
        </w:tabs>
        <w:spacing w:before="120" w:line="276" w:lineRule="auto"/>
        <w:jc w:val="both"/>
        <w:rPr>
          <w:rFonts w:ascii="Arial" w:eastAsia="Calibri" w:hAnsi="Arial" w:cs="Arial"/>
          <w:bCs/>
          <w:sz w:val="22"/>
          <w:lang w:val="es-ES_tradnl"/>
        </w:rPr>
      </w:pPr>
      <w:r w:rsidRPr="00AC19AC">
        <w:rPr>
          <w:rFonts w:ascii="Arial" w:eastAsia="Calibri" w:hAnsi="Arial" w:cs="Arial"/>
          <w:bCs/>
          <w:sz w:val="22"/>
          <w:lang w:val="es-ES_tradnl"/>
        </w:rPr>
        <w:tab/>
        <w:t>De acuerdo con esto, respecto de la aplicación del EGCAP por parte de entidades exceptuadas</w:t>
      </w:r>
      <w:r w:rsidR="003F4C8B" w:rsidRPr="00AC19AC">
        <w:rPr>
          <w:rFonts w:ascii="Arial" w:eastAsia="Calibri" w:hAnsi="Arial" w:cs="Arial"/>
          <w:bCs/>
          <w:sz w:val="22"/>
          <w:lang w:val="es-ES_tradnl"/>
        </w:rPr>
        <w:t>, patrimonios autónomos</w:t>
      </w:r>
      <w:r w:rsidRPr="00AC19AC">
        <w:rPr>
          <w:rFonts w:ascii="Arial" w:eastAsia="Calibri" w:hAnsi="Arial" w:cs="Arial"/>
          <w:bCs/>
          <w:sz w:val="22"/>
          <w:lang w:val="es-ES_tradnl"/>
        </w:rPr>
        <w:t xml:space="preserve"> y particulares, es necesario recalcar que, conforme se interpreta de la redacción de la norma, esta solo es obligatoria en los casos en los que el objeto contractual derivado que se pretende contratar esté cobijado y sometido a algún documento tipo. Esto significa que la aplicación del EGCAP solo será forzosa cuando existe </w:t>
      </w:r>
      <w:r w:rsidRPr="00AC19AC">
        <w:rPr>
          <w:rFonts w:ascii="Arial" w:eastAsia="Calibri" w:hAnsi="Arial" w:cs="Arial"/>
          <w:bCs/>
          <w:sz w:val="22"/>
          <w:lang w:val="es-ES_tradnl"/>
        </w:rPr>
        <w:lastRenderedPageBreak/>
        <w:t xml:space="preserve">un documento tipo que contempla bienes, obras y servicios dentro de las que se subsume la actividad a contratar por parte de la entidad de régimen especial, patrimonio autónomo o particular. </w:t>
      </w:r>
    </w:p>
    <w:p w14:paraId="65ACAD18" w14:textId="77777777" w:rsidR="002813C6" w:rsidRPr="00AC19AC" w:rsidRDefault="002813C6" w:rsidP="00AC19AC">
      <w:pPr>
        <w:spacing w:before="120" w:line="276" w:lineRule="auto"/>
        <w:ind w:firstLine="709"/>
        <w:jc w:val="both"/>
        <w:rPr>
          <w:rFonts w:ascii="Arial" w:eastAsia="Calibri" w:hAnsi="Arial" w:cs="Arial"/>
          <w:color w:val="0D0D0D"/>
          <w:sz w:val="22"/>
          <w:szCs w:val="22"/>
          <w:lang w:val="es-MX"/>
        </w:rPr>
      </w:pPr>
      <w:r w:rsidRPr="00AC19AC">
        <w:rPr>
          <w:rFonts w:ascii="Arial" w:eastAsia="Calibri" w:hAnsi="Arial" w:cs="Arial"/>
          <w:bCs/>
          <w:sz w:val="22"/>
          <w:lang w:val="es-ES_tradnl"/>
        </w:rPr>
        <w:t xml:space="preserve">Para ello, </w:t>
      </w:r>
      <w:r w:rsidRPr="00AC19AC">
        <w:rPr>
          <w:rFonts w:ascii="Arial" w:eastAsia="Calibri" w:hAnsi="Arial" w:cs="Arial"/>
          <w:color w:val="0D0D0D"/>
          <w:sz w:val="22"/>
          <w:szCs w:val="22"/>
          <w:lang w:val="es-MX"/>
        </w:rPr>
        <w:t>los documentos tipo establecen un grupo de documentos, conformados por un documento base, anexos, matrices, formatos y formularios, que sirven tanto a las entidades para elaborar los documentos del proceso, como a los proponentes para conformar y presentar sus ofertas.</w:t>
      </w:r>
    </w:p>
    <w:p w14:paraId="2C794EEE" w14:textId="35EC66E7" w:rsidR="002813C6" w:rsidRPr="00AC19AC" w:rsidRDefault="002813C6" w:rsidP="004136F2">
      <w:pPr>
        <w:spacing w:before="120" w:line="276" w:lineRule="auto"/>
        <w:ind w:firstLine="709"/>
        <w:jc w:val="both"/>
        <w:rPr>
          <w:rFonts w:ascii="Arial" w:eastAsia="Calibri" w:hAnsi="Arial" w:cs="Arial"/>
          <w:color w:val="0D0D0D"/>
          <w:sz w:val="22"/>
          <w:szCs w:val="22"/>
          <w:lang w:val="es-MX"/>
        </w:rPr>
      </w:pPr>
      <w:r w:rsidRPr="00AC19AC">
        <w:rPr>
          <w:rFonts w:ascii="Arial" w:eastAsia="Calibri" w:hAnsi="Arial" w:cs="Arial"/>
          <w:color w:val="0D0D0D"/>
          <w:sz w:val="22"/>
          <w:szCs w:val="22"/>
          <w:lang w:val="es-MX"/>
        </w:rPr>
        <w:t>Ahora bien, uno de los elementos comunes a los diferentes documentos tipo es la «Matriz</w:t>
      </w:r>
      <w:r w:rsidR="003F4C8B" w:rsidRPr="00AC19AC">
        <w:rPr>
          <w:rFonts w:ascii="Arial" w:eastAsia="Calibri" w:hAnsi="Arial" w:cs="Arial"/>
          <w:color w:val="0D0D0D"/>
          <w:sz w:val="22"/>
          <w:szCs w:val="22"/>
          <w:lang w:val="es-MX"/>
        </w:rPr>
        <w:t xml:space="preserve"> de</w:t>
      </w:r>
      <w:r w:rsidRPr="00AC19AC">
        <w:rPr>
          <w:rFonts w:ascii="Arial" w:eastAsia="Calibri" w:hAnsi="Arial" w:cs="Arial"/>
          <w:color w:val="0D0D0D"/>
          <w:sz w:val="22"/>
          <w:szCs w:val="22"/>
          <w:lang w:val="es-MX"/>
        </w:rPr>
        <w:t xml:space="preserve"> Experiencia». Esta consta de unas celdas en las que se describe la experiencia requerida en relación con el objeto a contratar, definiendo además qué tipo de actividades relacionadas con cada sector deben acogerse a los pliegos tipo. Por otro lado, encontramos el «Anexo – Glosario», </w:t>
      </w:r>
      <w:r w:rsidR="003F4C8B" w:rsidRPr="00AC19AC">
        <w:rPr>
          <w:rFonts w:ascii="Arial" w:eastAsia="Calibri" w:hAnsi="Arial" w:cs="Arial"/>
          <w:color w:val="0D0D0D"/>
          <w:sz w:val="22"/>
          <w:szCs w:val="22"/>
          <w:lang w:val="es-MX"/>
        </w:rPr>
        <w:t>de cada documento tipo,</w:t>
      </w:r>
      <w:r w:rsidRPr="00AC19AC">
        <w:rPr>
          <w:rFonts w:ascii="Arial" w:eastAsia="Calibri" w:hAnsi="Arial" w:cs="Arial"/>
          <w:color w:val="0D0D0D"/>
          <w:sz w:val="22"/>
          <w:szCs w:val="22"/>
          <w:lang w:val="es-MX"/>
        </w:rPr>
        <w:t xml:space="preserve"> contiene las definiciones de los términos usados en los documentos del proceso. Utilizando estos dos documentos, </w:t>
      </w:r>
      <w:r w:rsidR="003F4C8B" w:rsidRPr="00AC19AC">
        <w:rPr>
          <w:rFonts w:ascii="Arial" w:eastAsia="Calibri" w:hAnsi="Arial" w:cs="Arial"/>
          <w:color w:val="0D0D0D"/>
          <w:sz w:val="22"/>
          <w:szCs w:val="22"/>
          <w:lang w:val="es-MX"/>
        </w:rPr>
        <w:t>quien adelanta el procedimiento de selección</w:t>
      </w:r>
      <w:r w:rsidRPr="00AC19AC">
        <w:rPr>
          <w:rFonts w:ascii="Arial" w:eastAsia="Calibri" w:hAnsi="Arial" w:cs="Arial"/>
          <w:color w:val="0D0D0D"/>
          <w:sz w:val="22"/>
          <w:szCs w:val="22"/>
          <w:lang w:val="es-MX"/>
        </w:rPr>
        <w:t xml:space="preserve"> puede definir si el objeto a contratarse debe emplear los documentos tipo adoptados por esta Agencia.</w:t>
      </w:r>
    </w:p>
    <w:p w14:paraId="44D5D8CD" w14:textId="2785F094" w:rsidR="002813C6" w:rsidRPr="00AC19AC" w:rsidRDefault="002813C6" w:rsidP="00AC19AC">
      <w:pPr>
        <w:spacing w:before="120" w:line="276" w:lineRule="auto"/>
        <w:ind w:firstLine="709"/>
        <w:jc w:val="both"/>
        <w:rPr>
          <w:rFonts w:ascii="Arial" w:eastAsia="Calibri" w:hAnsi="Arial" w:cs="Arial"/>
          <w:color w:val="0D0D0D"/>
          <w:sz w:val="22"/>
          <w:szCs w:val="22"/>
          <w:lang w:val="es-MX"/>
        </w:rPr>
      </w:pPr>
      <w:r w:rsidRPr="00AC19AC">
        <w:rPr>
          <w:rFonts w:ascii="Arial" w:eastAsia="Calibri" w:hAnsi="Arial" w:cs="Arial"/>
          <w:color w:val="0D0D0D"/>
          <w:sz w:val="22"/>
          <w:szCs w:val="22"/>
          <w:lang w:val="es-MX"/>
        </w:rPr>
        <w:t xml:space="preserve">Conforme a lo anterior, la Matriz </w:t>
      </w:r>
      <w:r w:rsidR="003F4C8B" w:rsidRPr="00AC19AC">
        <w:rPr>
          <w:rFonts w:ascii="Arial" w:eastAsia="Calibri" w:hAnsi="Arial" w:cs="Arial"/>
          <w:color w:val="0D0D0D"/>
          <w:sz w:val="22"/>
          <w:szCs w:val="22"/>
          <w:lang w:val="es-MX"/>
        </w:rPr>
        <w:t>de experiencia</w:t>
      </w:r>
      <w:r w:rsidRPr="00AC19AC">
        <w:rPr>
          <w:rFonts w:ascii="Arial" w:eastAsia="Calibri" w:hAnsi="Arial" w:cs="Arial"/>
          <w:color w:val="0D0D0D"/>
          <w:sz w:val="22"/>
          <w:szCs w:val="22"/>
          <w:lang w:val="es-MX"/>
        </w:rPr>
        <w:t xml:space="preserve"> cumple una doble función: </w:t>
      </w:r>
      <w:r w:rsidR="003F4C8B" w:rsidRPr="00AC19AC">
        <w:rPr>
          <w:rFonts w:ascii="Arial" w:eastAsia="Calibri" w:hAnsi="Arial" w:cs="Arial"/>
          <w:color w:val="0D0D0D"/>
          <w:sz w:val="22"/>
          <w:szCs w:val="22"/>
          <w:lang w:val="es-MX"/>
        </w:rPr>
        <w:t>p</w:t>
      </w:r>
      <w:r w:rsidRPr="00AC19AC">
        <w:rPr>
          <w:rFonts w:ascii="Arial" w:eastAsia="Calibri" w:hAnsi="Arial" w:cs="Arial"/>
          <w:color w:val="0D0D0D"/>
          <w:sz w:val="22"/>
          <w:szCs w:val="22"/>
          <w:lang w:val="es-MX"/>
        </w:rPr>
        <w:t>or un lado, sirve para estandarizar las condiciones de experiencia. De otro lado, dicha matriz permite determinar el ámbito de aplicación de los documentos tipo respecto de objetos contractuales asociados, ya que son las actividades descritas en esta las que</w:t>
      </w:r>
      <w:r w:rsidR="003F4C8B" w:rsidRPr="00AC19AC">
        <w:rPr>
          <w:rFonts w:ascii="Arial" w:eastAsia="Calibri" w:hAnsi="Arial" w:cs="Arial"/>
          <w:color w:val="0D0D0D"/>
          <w:sz w:val="22"/>
          <w:szCs w:val="22"/>
          <w:lang w:val="es-MX"/>
        </w:rPr>
        <w:t xml:space="preserve"> </w:t>
      </w:r>
      <w:r w:rsidRPr="00AC19AC">
        <w:rPr>
          <w:rFonts w:ascii="Arial" w:eastAsia="Calibri" w:hAnsi="Arial" w:cs="Arial"/>
          <w:color w:val="0D0D0D"/>
          <w:sz w:val="22"/>
          <w:szCs w:val="22"/>
          <w:lang w:val="es-MX"/>
        </w:rPr>
        <w:t>deben contratarse aplicando documentos tipo.</w:t>
      </w:r>
    </w:p>
    <w:p w14:paraId="45C4DFA1" w14:textId="4499E09D" w:rsidR="002813C6" w:rsidRPr="00AC19AC" w:rsidRDefault="002813C6" w:rsidP="00AC19AC">
      <w:pPr>
        <w:tabs>
          <w:tab w:val="left" w:pos="0"/>
        </w:tabs>
        <w:spacing w:before="120" w:line="276" w:lineRule="auto"/>
        <w:ind w:firstLine="709"/>
        <w:jc w:val="both"/>
        <w:rPr>
          <w:rFonts w:ascii="Arial" w:eastAsia="Calibri" w:hAnsi="Arial" w:cs="Arial"/>
          <w:bCs/>
          <w:sz w:val="22"/>
          <w:lang w:val="es-ES_tradnl"/>
        </w:rPr>
      </w:pPr>
      <w:r w:rsidRPr="00AC19AC">
        <w:rPr>
          <w:rFonts w:ascii="Arial" w:eastAsia="Calibri" w:hAnsi="Arial" w:cs="Arial"/>
          <w:color w:val="0D0D0D"/>
          <w:sz w:val="22"/>
          <w:szCs w:val="22"/>
          <w:lang w:val="es-MX"/>
        </w:rPr>
        <w:t xml:space="preserve">De esta manera, para saber a qué actividades se deben aplicar los documentos tipo expedidos por esta Agencia, </w:t>
      </w:r>
      <w:r w:rsidR="003F4C8B" w:rsidRPr="00AC19AC">
        <w:rPr>
          <w:rFonts w:ascii="Arial" w:eastAsia="Calibri" w:hAnsi="Arial" w:cs="Arial"/>
          <w:color w:val="0D0D0D"/>
          <w:sz w:val="22"/>
          <w:szCs w:val="22"/>
          <w:lang w:val="es-MX"/>
        </w:rPr>
        <w:t>quien adelanta el procedimiento de selección</w:t>
      </w:r>
      <w:r w:rsidRPr="00AC19AC">
        <w:rPr>
          <w:rFonts w:ascii="Arial" w:eastAsia="Calibri" w:hAnsi="Arial" w:cs="Arial"/>
          <w:color w:val="0D0D0D"/>
          <w:sz w:val="22"/>
          <w:szCs w:val="22"/>
          <w:lang w:val="es-MX"/>
        </w:rPr>
        <w:t xml:space="preserve"> debe verificar los </w:t>
      </w:r>
      <w:r w:rsidR="003F4C8B" w:rsidRPr="00AC19AC">
        <w:rPr>
          <w:rFonts w:ascii="Arial" w:eastAsia="Calibri" w:hAnsi="Arial" w:cs="Arial"/>
          <w:color w:val="0D0D0D"/>
          <w:sz w:val="22"/>
          <w:szCs w:val="22"/>
          <w:lang w:val="es-MX"/>
        </w:rPr>
        <w:t xml:space="preserve">documentos tipo </w:t>
      </w:r>
      <w:r w:rsidRPr="00AC19AC">
        <w:rPr>
          <w:rFonts w:ascii="Arial" w:eastAsia="Calibri" w:hAnsi="Arial" w:cs="Arial"/>
          <w:color w:val="0D0D0D"/>
          <w:sz w:val="22"/>
          <w:szCs w:val="22"/>
          <w:lang w:val="es-MX"/>
        </w:rPr>
        <w:t xml:space="preserve">que se hayan expedido para la modalidad de selección </w:t>
      </w:r>
      <w:r w:rsidR="003F4C8B" w:rsidRPr="00AC19AC">
        <w:rPr>
          <w:rFonts w:ascii="Arial" w:eastAsia="Calibri" w:hAnsi="Arial" w:cs="Arial"/>
          <w:color w:val="0D0D0D"/>
          <w:sz w:val="22"/>
          <w:szCs w:val="22"/>
          <w:lang w:val="es-MX"/>
        </w:rPr>
        <w:t>aplicable</w:t>
      </w:r>
      <w:r w:rsidRPr="00AC19AC">
        <w:rPr>
          <w:rFonts w:ascii="Arial" w:eastAsia="Calibri" w:hAnsi="Arial" w:cs="Arial"/>
          <w:color w:val="0D0D0D"/>
          <w:sz w:val="22"/>
          <w:szCs w:val="22"/>
          <w:lang w:val="es-MX"/>
        </w:rPr>
        <w:t xml:space="preserve">, subsumiendo el objeto a contratar en los tipos de proyectos </w:t>
      </w:r>
      <w:r w:rsidR="00A21BA9" w:rsidRPr="00AC19AC">
        <w:rPr>
          <w:rFonts w:ascii="Arial" w:eastAsia="Calibri" w:hAnsi="Arial" w:cs="Arial"/>
          <w:color w:val="0D0D0D"/>
          <w:sz w:val="22"/>
          <w:szCs w:val="22"/>
          <w:lang w:val="es-MX"/>
        </w:rPr>
        <w:t>o actividades</w:t>
      </w:r>
      <w:r w:rsidRPr="00AC19AC">
        <w:rPr>
          <w:rFonts w:ascii="Arial" w:eastAsia="Calibri" w:hAnsi="Arial" w:cs="Arial"/>
          <w:color w:val="0D0D0D"/>
          <w:sz w:val="22"/>
          <w:szCs w:val="22"/>
          <w:lang w:val="es-MX"/>
        </w:rPr>
        <w:t xml:space="preserve"> a contratarse</w:t>
      </w:r>
      <w:r w:rsidR="00A21BA9" w:rsidRPr="00AC19AC">
        <w:rPr>
          <w:rFonts w:ascii="Arial" w:eastAsia="Calibri" w:hAnsi="Arial" w:cs="Arial"/>
          <w:color w:val="0D0D0D"/>
          <w:sz w:val="22"/>
          <w:szCs w:val="22"/>
          <w:lang w:val="es-MX"/>
        </w:rPr>
        <w:t>, de acuerdo con las actividades señaladas en la matriz de experiencia</w:t>
      </w:r>
      <w:r w:rsidRPr="00AC19AC">
        <w:rPr>
          <w:rFonts w:ascii="Arial" w:eastAsia="Calibri" w:hAnsi="Arial" w:cs="Arial"/>
          <w:color w:val="0D0D0D"/>
          <w:sz w:val="22"/>
          <w:szCs w:val="22"/>
          <w:lang w:val="es-MX"/>
        </w:rPr>
        <w:t>. De esta manera, si el objeto contractual a ejecutar se encuadra materialmente dentro de alguno de los tipos actividades concretas señaladas en cada una de las matrices de experiencia, se tendrán que aplicar los documentos tipo, mientras que en el caso contrario no será forzosa su aplicación. En este sentido, en los documentos base de los documentos tipo</w:t>
      </w:r>
      <w:r w:rsidRPr="00AC19AC">
        <w:rPr>
          <w:rFonts w:ascii="Arial" w:eastAsia="Calibri" w:hAnsi="Arial" w:cs="Arial"/>
          <w:sz w:val="22"/>
          <w:szCs w:val="22"/>
          <w:lang w:val="es-MX"/>
        </w:rPr>
        <w:t>, se indica que la entidad establecerá las condiciones de experiencia, tanto general como específica en las actividades que van a contratar. En este contexto, la entidad no podrá incluir condiciones distintas a las previstas en la matriz de experiencia y, por tanto, deberá transcribir textualmente lo indicado en ésta.</w:t>
      </w:r>
    </w:p>
    <w:p w14:paraId="132C3F6B" w14:textId="74718792" w:rsidR="00031AD9" w:rsidRPr="00AC19AC" w:rsidRDefault="006A6AA7" w:rsidP="00AC19AC">
      <w:pPr>
        <w:tabs>
          <w:tab w:val="left" w:pos="0"/>
        </w:tabs>
        <w:spacing w:before="120" w:line="276" w:lineRule="auto"/>
        <w:ind w:firstLine="426"/>
        <w:jc w:val="both"/>
        <w:rPr>
          <w:rFonts w:ascii="Arial" w:eastAsia="Calibri" w:hAnsi="Arial" w:cs="Arial"/>
          <w:bCs/>
          <w:sz w:val="22"/>
          <w:lang w:val="es-ES_tradnl"/>
        </w:rPr>
      </w:pPr>
      <w:r w:rsidRPr="00AC19AC">
        <w:rPr>
          <w:rFonts w:ascii="Arial" w:eastAsia="Calibri" w:hAnsi="Arial" w:cs="Arial"/>
          <w:bCs/>
          <w:sz w:val="22"/>
          <w:lang w:val="es-ES_tradnl"/>
        </w:rPr>
        <w:tab/>
      </w:r>
      <w:r w:rsidR="0035406D" w:rsidRPr="00AC19AC">
        <w:rPr>
          <w:rFonts w:ascii="Arial" w:eastAsia="Calibri" w:hAnsi="Arial" w:cs="Arial"/>
          <w:bCs/>
          <w:sz w:val="22"/>
          <w:lang w:val="es-ES_tradnl"/>
        </w:rPr>
        <w:t>Bajo este contexto, p</w:t>
      </w:r>
      <w:r w:rsidR="00031AD9" w:rsidRPr="00AC19AC">
        <w:rPr>
          <w:rFonts w:ascii="Arial" w:eastAsia="Calibri" w:hAnsi="Arial" w:cs="Arial"/>
          <w:bCs/>
          <w:sz w:val="22"/>
          <w:lang w:val="es-ES_tradnl"/>
        </w:rPr>
        <w:t>or ejemplo, si en cumplimiento de un convenio con una entidad sometida al EGCAP, un</w:t>
      </w:r>
      <w:r w:rsidR="00113FF2" w:rsidRPr="00AC19AC">
        <w:rPr>
          <w:rFonts w:ascii="Arial" w:eastAsia="Calibri" w:hAnsi="Arial" w:cs="Arial"/>
          <w:bCs/>
          <w:sz w:val="22"/>
          <w:lang w:val="es-ES_tradnl"/>
        </w:rPr>
        <w:t>a</w:t>
      </w:r>
      <w:r w:rsidR="00031AD9" w:rsidRPr="00AC19AC">
        <w:rPr>
          <w:rFonts w:ascii="Arial" w:eastAsia="Calibri" w:hAnsi="Arial" w:cs="Arial"/>
          <w:bCs/>
          <w:sz w:val="22"/>
          <w:lang w:val="es-ES_tradnl"/>
        </w:rPr>
        <w:t xml:space="preserve"> </w:t>
      </w:r>
      <w:r w:rsidR="00113FF2" w:rsidRPr="00AC19AC">
        <w:rPr>
          <w:rFonts w:ascii="Arial" w:eastAsia="Calibri" w:hAnsi="Arial" w:cs="Arial"/>
          <w:bCs/>
          <w:sz w:val="22"/>
          <w:lang w:val="es-ES_tradnl"/>
        </w:rPr>
        <w:t xml:space="preserve">entidad exceptuada </w:t>
      </w:r>
      <w:r w:rsidR="00031AD9" w:rsidRPr="00AC19AC">
        <w:rPr>
          <w:rFonts w:ascii="Arial" w:eastAsia="Calibri" w:hAnsi="Arial" w:cs="Arial"/>
          <w:bCs/>
          <w:sz w:val="22"/>
          <w:lang w:val="es-ES_tradnl"/>
        </w:rPr>
        <w:t xml:space="preserve">debe contratar el desarrollo de un software o la compra de unos buses, no estará obligado a </w:t>
      </w:r>
      <w:r w:rsidRPr="00AC19AC">
        <w:rPr>
          <w:rFonts w:ascii="Arial" w:eastAsia="Calibri" w:hAnsi="Arial" w:cs="Arial"/>
          <w:bCs/>
          <w:sz w:val="22"/>
          <w:lang w:val="es-ES_tradnl"/>
        </w:rPr>
        <w:t xml:space="preserve">regirse </w:t>
      </w:r>
      <w:r w:rsidR="00031AD9" w:rsidRPr="00AC19AC">
        <w:rPr>
          <w:rFonts w:ascii="Arial" w:eastAsia="Calibri" w:hAnsi="Arial" w:cs="Arial"/>
          <w:bCs/>
          <w:sz w:val="22"/>
          <w:lang w:val="es-ES_tradnl"/>
        </w:rPr>
        <w:t xml:space="preserve">por el EGCAP, al no </w:t>
      </w:r>
      <w:r w:rsidRPr="00AC19AC">
        <w:rPr>
          <w:rFonts w:ascii="Arial" w:eastAsia="Calibri" w:hAnsi="Arial" w:cs="Arial"/>
          <w:bCs/>
          <w:sz w:val="22"/>
          <w:lang w:val="es-ES_tradnl"/>
        </w:rPr>
        <w:t xml:space="preserve">estar </w:t>
      </w:r>
      <w:r w:rsidR="00031AD9" w:rsidRPr="00AC19AC">
        <w:rPr>
          <w:rFonts w:ascii="Arial" w:eastAsia="Calibri" w:hAnsi="Arial" w:cs="Arial"/>
          <w:bCs/>
          <w:sz w:val="22"/>
          <w:lang w:val="es-ES_tradnl"/>
        </w:rPr>
        <w:t>estos objetos cobijados por los documentos tipo vigentes, mientras que si lo que requiere es el mantenimiento o la rehabilitación de una vía secundaría, por el contrario</w:t>
      </w:r>
      <w:r w:rsidRPr="00AC19AC">
        <w:rPr>
          <w:rFonts w:ascii="Arial" w:eastAsia="Calibri" w:hAnsi="Arial" w:cs="Arial"/>
          <w:bCs/>
          <w:sz w:val="22"/>
          <w:lang w:val="es-ES_tradnl"/>
        </w:rPr>
        <w:t>,</w:t>
      </w:r>
      <w:r w:rsidR="00031AD9" w:rsidRPr="00AC19AC">
        <w:rPr>
          <w:rFonts w:ascii="Arial" w:eastAsia="Calibri" w:hAnsi="Arial" w:cs="Arial"/>
          <w:bCs/>
          <w:sz w:val="22"/>
          <w:lang w:val="es-ES_tradnl"/>
        </w:rPr>
        <w:t xml:space="preserve"> sí estará sometido </w:t>
      </w:r>
      <w:r w:rsidR="00031AD9" w:rsidRPr="00AC19AC">
        <w:rPr>
          <w:rFonts w:ascii="Arial" w:eastAsia="Calibri" w:hAnsi="Arial" w:cs="Arial"/>
          <w:bCs/>
          <w:sz w:val="22"/>
          <w:lang w:val="es-ES_tradnl"/>
        </w:rPr>
        <w:lastRenderedPageBreak/>
        <w:t xml:space="preserve">al EGCAP, al estar tales actividades incluidas dentro de los documentos tipo de infraestructura de transporte. Esto por supuesto puede cambiar si la Agencia, en el futuro, adopta más documentos tipo que incluyan los objetos mencionados. </w:t>
      </w:r>
    </w:p>
    <w:p w14:paraId="6C900AAB" w14:textId="19830908" w:rsidR="0035406D" w:rsidRPr="00AC19AC" w:rsidRDefault="0080548F" w:rsidP="00AC19AC">
      <w:pPr>
        <w:tabs>
          <w:tab w:val="left" w:pos="0"/>
        </w:tabs>
        <w:spacing w:before="120" w:line="276" w:lineRule="auto"/>
        <w:ind w:firstLine="709"/>
        <w:jc w:val="both"/>
        <w:rPr>
          <w:rFonts w:ascii="Arial" w:eastAsia="Calibri" w:hAnsi="Arial" w:cs="Arial"/>
          <w:bCs/>
          <w:sz w:val="22"/>
          <w:lang w:val="es-ES_tradnl"/>
        </w:rPr>
      </w:pPr>
      <w:r w:rsidRPr="00AC19AC">
        <w:rPr>
          <w:rFonts w:ascii="Arial" w:eastAsia="Calibri" w:hAnsi="Arial" w:cs="Arial"/>
          <w:bCs/>
          <w:sz w:val="22"/>
          <w:lang w:val="es-ES_tradnl"/>
        </w:rPr>
        <w:t>En tal sentido</w:t>
      </w:r>
      <w:r w:rsidR="0035406D" w:rsidRPr="00AC19AC">
        <w:rPr>
          <w:rFonts w:ascii="Arial" w:eastAsia="Calibri" w:hAnsi="Arial" w:cs="Arial"/>
          <w:bCs/>
          <w:sz w:val="22"/>
          <w:lang w:val="es-ES_tradnl"/>
        </w:rPr>
        <w:t xml:space="preserve">, </w:t>
      </w:r>
      <w:r w:rsidR="0035406D" w:rsidRPr="00AC19AC">
        <w:rPr>
          <w:rFonts w:ascii="Arial" w:hAnsi="Arial" w:cs="Arial"/>
          <w:sz w:val="22"/>
          <w:szCs w:val="22"/>
        </w:rPr>
        <w:t xml:space="preserve">debe advertirse que es </w:t>
      </w:r>
      <w:r w:rsidR="006A6AA7" w:rsidRPr="00AC19AC">
        <w:rPr>
          <w:rFonts w:ascii="Arial" w:hAnsi="Arial" w:cs="Arial"/>
          <w:sz w:val="22"/>
          <w:szCs w:val="22"/>
        </w:rPr>
        <w:t>el encargado de adelantar el procedimiento de selección</w:t>
      </w:r>
      <w:r w:rsidR="0035406D" w:rsidRPr="00AC19AC">
        <w:rPr>
          <w:rFonts w:ascii="Arial" w:hAnsi="Arial" w:cs="Arial"/>
          <w:sz w:val="22"/>
          <w:szCs w:val="22"/>
        </w:rPr>
        <w:t xml:space="preserve">, al momento de adelantar sus actividades de planeación de cada proceso contractual, quien debe determinar si de acuerdo con las particularidades del contrato a ejecutar, este encaja o no dentro de alguna de las actividades de la matriz </w:t>
      </w:r>
      <w:r w:rsidR="006A6AA7" w:rsidRPr="00AC19AC">
        <w:rPr>
          <w:rFonts w:ascii="Arial" w:hAnsi="Arial" w:cs="Arial"/>
          <w:sz w:val="22"/>
          <w:szCs w:val="22"/>
        </w:rPr>
        <w:t>de experiencia</w:t>
      </w:r>
      <w:r w:rsidR="0035406D" w:rsidRPr="00AC19AC">
        <w:rPr>
          <w:rFonts w:ascii="Arial" w:hAnsi="Arial" w:cs="Arial"/>
          <w:sz w:val="22"/>
          <w:szCs w:val="22"/>
        </w:rPr>
        <w:t xml:space="preserve"> de cada documento tipo, y si en consecuencia deben aplicarse o no determinados documentos tipo, conforme a los parámetros indicados en este concepto. Lo anterior sin que pueda apartarse de su aplicación cuando materialmente el objeto a contratar corresponde con alguna actividad de contemplada en dicha matriz.</w:t>
      </w:r>
    </w:p>
    <w:p w14:paraId="6A043097" w14:textId="581FEA1A" w:rsidR="00235D5E" w:rsidRPr="00AC19AC" w:rsidRDefault="0080548F" w:rsidP="00AC19AC">
      <w:pPr>
        <w:tabs>
          <w:tab w:val="left" w:pos="0"/>
        </w:tabs>
        <w:spacing w:before="120" w:line="276" w:lineRule="auto"/>
        <w:ind w:firstLine="709"/>
        <w:jc w:val="both"/>
        <w:rPr>
          <w:rFonts w:ascii="Arial" w:eastAsia="Calibri" w:hAnsi="Arial" w:cs="Arial"/>
          <w:bCs/>
          <w:sz w:val="22"/>
          <w:szCs w:val="22"/>
          <w:lang w:val="es-ES_tradnl"/>
        </w:rPr>
      </w:pPr>
      <w:r w:rsidRPr="00AC19AC">
        <w:rPr>
          <w:rFonts w:ascii="Arial" w:eastAsia="Calibri" w:hAnsi="Arial" w:cs="Arial"/>
          <w:bCs/>
          <w:sz w:val="22"/>
          <w:szCs w:val="22"/>
          <w:lang w:val="es-ES_tradnl"/>
        </w:rPr>
        <w:t>Finalmente, s</w:t>
      </w:r>
      <w:r w:rsidR="00FF0DF5" w:rsidRPr="00AC19AC">
        <w:rPr>
          <w:rFonts w:ascii="Arial" w:eastAsia="Calibri" w:hAnsi="Arial" w:cs="Arial"/>
          <w:bCs/>
          <w:sz w:val="22"/>
          <w:szCs w:val="22"/>
          <w:lang w:val="es-ES_tradnl"/>
        </w:rPr>
        <w:t xml:space="preserve">in perjuicio de lo anterior, es importante tener en cuenta que, el parágrafo del artículo en comento, exceptúa de la aplicación de lo señalado en los dos primeros incisos a las Instituciones de Educación Superior públicas, las empresas sociales del Estado, las sociedades de economía mixta y las empresas industriales y comerciales del Estado, únicamente, en la contratación relacionada con el giro ordinario de sus asuntos, por lo que no tendrían que aplicar de manera obligatoria documentos tipo ni el EGCAP. No obstante, la norma dispone el deber de fomentar en los manuales de contratación la aplicación de los pliegos tipo, a modo de buena práctica contractual. </w:t>
      </w:r>
    </w:p>
    <w:p w14:paraId="49375CFA" w14:textId="084B3719" w:rsidR="00D633AC" w:rsidRPr="00AC19AC" w:rsidRDefault="004177A6" w:rsidP="00FF0DF5">
      <w:pPr>
        <w:tabs>
          <w:tab w:val="left" w:pos="0"/>
        </w:tabs>
        <w:spacing w:before="240"/>
        <w:jc w:val="both"/>
        <w:rPr>
          <w:rFonts w:ascii="Arial" w:eastAsia="Calibri" w:hAnsi="Arial" w:cs="Arial"/>
          <w:b/>
          <w:color w:val="000000" w:themeColor="text1"/>
          <w:sz w:val="22"/>
          <w:lang w:val="es-ES_tradnl"/>
        </w:rPr>
      </w:pPr>
      <w:r w:rsidRPr="00AC19AC">
        <w:rPr>
          <w:rFonts w:ascii="Arial" w:eastAsia="Calibri" w:hAnsi="Arial" w:cs="Arial"/>
          <w:b/>
          <w:color w:val="000000" w:themeColor="text1"/>
          <w:sz w:val="22"/>
          <w:lang w:val="es-ES_tradnl"/>
        </w:rPr>
        <w:t>3</w:t>
      </w:r>
      <w:r w:rsidR="00B011A9" w:rsidRPr="00AC19AC">
        <w:rPr>
          <w:rFonts w:ascii="Arial" w:eastAsia="Calibri" w:hAnsi="Arial" w:cs="Arial"/>
          <w:b/>
          <w:color w:val="000000" w:themeColor="text1"/>
          <w:sz w:val="22"/>
          <w:lang w:val="es-ES_tradnl"/>
        </w:rPr>
        <w:t xml:space="preserve">. </w:t>
      </w:r>
      <w:r w:rsidR="00DD5B04" w:rsidRPr="00AC19AC">
        <w:rPr>
          <w:rFonts w:ascii="Arial" w:eastAsia="Calibri" w:hAnsi="Arial" w:cs="Arial"/>
          <w:b/>
          <w:color w:val="000000" w:themeColor="text1"/>
          <w:sz w:val="22"/>
          <w:lang w:val="es-ES_tradnl"/>
        </w:rPr>
        <w:t>Respuesta</w:t>
      </w:r>
    </w:p>
    <w:p w14:paraId="5A83B937" w14:textId="77777777" w:rsidR="00120D3F" w:rsidRPr="00AC19AC" w:rsidRDefault="00120D3F" w:rsidP="00120D3F">
      <w:pPr>
        <w:spacing w:before="240"/>
        <w:ind w:left="709" w:right="851"/>
        <w:jc w:val="both"/>
        <w:rPr>
          <w:rFonts w:ascii="Arial" w:eastAsia="Calibri" w:hAnsi="Arial" w:cs="Arial"/>
          <w:color w:val="000000" w:themeColor="text1"/>
          <w:sz w:val="21"/>
          <w:szCs w:val="21"/>
          <w:lang w:eastAsia="es-CO"/>
        </w:rPr>
      </w:pPr>
      <w:r w:rsidRPr="00AC19AC">
        <w:rPr>
          <w:rFonts w:ascii="Arial" w:hAnsi="Arial" w:cs="Arial"/>
          <w:iCs/>
          <w:color w:val="000000" w:themeColor="text1"/>
          <w:sz w:val="21"/>
          <w:szCs w:val="21"/>
          <w:lang w:val="es-ES_tradnl"/>
        </w:rPr>
        <w:t>«</w:t>
      </w:r>
      <w:r w:rsidRPr="00AC19AC">
        <w:rPr>
          <w:rFonts w:ascii="Arial" w:hAnsi="Arial" w:cs="Arial"/>
          <w:sz w:val="21"/>
          <w:szCs w:val="21"/>
        </w:rPr>
        <w:t>[…]</w:t>
      </w:r>
      <w:r w:rsidRPr="00AC19AC">
        <w:rPr>
          <w:rFonts w:ascii="Arial" w:hAnsi="Arial" w:cs="Arial"/>
          <w:color w:val="000000"/>
          <w:sz w:val="21"/>
          <w:szCs w:val="21"/>
        </w:rPr>
        <w:t xml:space="preserve"> </w:t>
      </w:r>
      <w:r w:rsidRPr="00AC19AC">
        <w:rPr>
          <w:rFonts w:ascii="Arial" w:eastAsia="Calibri" w:hAnsi="Arial" w:cs="Arial"/>
          <w:color w:val="000000" w:themeColor="text1"/>
          <w:sz w:val="21"/>
          <w:szCs w:val="21"/>
          <w:lang w:eastAsia="es-CO"/>
        </w:rPr>
        <w:t xml:space="preserve">Sírvase indicar si el precepto normativo reseñado debe ser aplicado en el marco de contratos interadministrativo –sic- entre dos entidades estatales, cuya ejecución implica la creación de un patrimonio autónomo a través de cual se contratarán diversos bienes servicios y obras. </w:t>
      </w:r>
    </w:p>
    <w:p w14:paraId="37ABDE70" w14:textId="0A654A0D" w:rsidR="0073000A" w:rsidRPr="00AC19AC" w:rsidRDefault="00120D3F" w:rsidP="00120D3F">
      <w:pPr>
        <w:spacing w:before="240"/>
        <w:ind w:left="709" w:right="618"/>
        <w:jc w:val="both"/>
        <w:rPr>
          <w:rFonts w:ascii="Arial" w:hAnsi="Arial" w:cs="Arial"/>
          <w:color w:val="000000" w:themeColor="text1"/>
          <w:sz w:val="22"/>
          <w:szCs w:val="22"/>
          <w:lang w:val="es-ES"/>
        </w:rPr>
      </w:pPr>
      <w:r w:rsidRPr="00AC19AC">
        <w:rPr>
          <w:rFonts w:ascii="Arial" w:eastAsia="Calibri" w:hAnsi="Arial" w:cs="Arial"/>
          <w:color w:val="000000" w:themeColor="text1"/>
          <w:sz w:val="21"/>
          <w:szCs w:val="21"/>
          <w:lang w:eastAsia="es-CO"/>
        </w:rPr>
        <w:t>La información es requerida como insumo para un estudio adelantado en relación con a –sic- contratos o convenios interadministrativo –sic- entre entidades Estatales o patrimonios autónomos o con personas naturales o jurídicas de derecho privado.</w:t>
      </w:r>
      <w:r w:rsidRPr="00AC19AC">
        <w:rPr>
          <w:rFonts w:ascii="Arial" w:eastAsia="Calibri" w:hAnsi="Arial" w:cs="Arial"/>
          <w:sz w:val="21"/>
          <w:szCs w:val="21"/>
          <w:lang w:val="es-ES"/>
        </w:rPr>
        <w:t>»</w:t>
      </w:r>
      <w:r w:rsidR="00031AD9" w:rsidRPr="00AC19AC">
        <w:rPr>
          <w:rFonts w:ascii="Arial" w:hAnsi="Arial" w:cs="Arial"/>
          <w:color w:val="000000" w:themeColor="text1"/>
          <w:sz w:val="22"/>
          <w:szCs w:val="22"/>
          <w:lang w:val="es-ES"/>
        </w:rPr>
        <w:t xml:space="preserve"> </w:t>
      </w:r>
    </w:p>
    <w:p w14:paraId="21F9DC2D" w14:textId="52FE3366" w:rsidR="00674478" w:rsidRPr="00AC19AC" w:rsidRDefault="0073000A" w:rsidP="00674478">
      <w:pPr>
        <w:tabs>
          <w:tab w:val="left" w:pos="0"/>
        </w:tabs>
        <w:spacing w:before="240" w:line="276" w:lineRule="auto"/>
        <w:jc w:val="both"/>
        <w:rPr>
          <w:rFonts w:ascii="Arial" w:eastAsia="Calibri" w:hAnsi="Arial" w:cs="Arial"/>
          <w:bCs/>
          <w:sz w:val="22"/>
        </w:rPr>
      </w:pPr>
      <w:r w:rsidRPr="00AC19AC">
        <w:rPr>
          <w:rFonts w:ascii="Arial" w:eastAsia="Calibri" w:hAnsi="Arial" w:cs="Arial"/>
          <w:bCs/>
          <w:sz w:val="22"/>
        </w:rPr>
        <w:t xml:space="preserve">De conformidad con las consideraciones expuestas en este concepto, es posible concluir que el artículo 56 de la Ley 2195 de 2022 </w:t>
      </w:r>
      <w:r w:rsidR="00674478" w:rsidRPr="00AC19AC">
        <w:rPr>
          <w:rFonts w:ascii="Arial" w:hAnsi="Arial" w:cs="Arial"/>
          <w:sz w:val="22"/>
          <w:szCs w:val="22"/>
          <w:lang w:val="es-ES"/>
        </w:rPr>
        <w:t xml:space="preserve">amplió el ámbito de aplicación de los documentos tipo, disponiendo su aplicación obligatoria por parte de entidades estatales de régimen especial, patrimonios autónomos, personas naturales y jurídicas de derecho privado, en los casos en los que deban contratar objetos contractuales cobijados por los documentos tipo vigentes, en cumplimiento de compromisos derivados de convenios o contratos </w:t>
      </w:r>
      <w:r w:rsidR="00910FF7" w:rsidRPr="00AC19AC">
        <w:rPr>
          <w:rFonts w:ascii="Arial" w:hAnsi="Arial" w:cs="Arial"/>
          <w:sz w:val="22"/>
          <w:szCs w:val="22"/>
          <w:lang w:val="es-ES"/>
        </w:rPr>
        <w:t xml:space="preserve">celebrados </w:t>
      </w:r>
      <w:r w:rsidR="00674478" w:rsidRPr="00AC19AC">
        <w:rPr>
          <w:rFonts w:ascii="Arial" w:hAnsi="Arial" w:cs="Arial"/>
          <w:sz w:val="22"/>
          <w:szCs w:val="22"/>
          <w:lang w:val="es-ES"/>
        </w:rPr>
        <w:t xml:space="preserve">con entidades </w:t>
      </w:r>
      <w:r w:rsidR="00417AB3" w:rsidRPr="00AC19AC">
        <w:rPr>
          <w:rFonts w:ascii="Arial" w:hAnsi="Arial" w:cs="Arial"/>
          <w:sz w:val="22"/>
          <w:szCs w:val="22"/>
          <w:lang w:val="es-ES"/>
        </w:rPr>
        <w:t xml:space="preserve">estatales </w:t>
      </w:r>
      <w:r w:rsidR="00674478" w:rsidRPr="00AC19AC">
        <w:rPr>
          <w:rFonts w:ascii="Arial" w:hAnsi="Arial" w:cs="Arial"/>
          <w:sz w:val="22"/>
          <w:szCs w:val="22"/>
          <w:lang w:val="es-ES"/>
        </w:rPr>
        <w:t>sometidas a la Ley 80 de 1993. Conforme a la norma indicada, en estos procesos, además deberá aplicarse el Estatuto General de Contratación de la Administración Pública.</w:t>
      </w:r>
    </w:p>
    <w:p w14:paraId="7337F818" w14:textId="279B9FE6" w:rsidR="0073000A" w:rsidRPr="00AC19AC" w:rsidRDefault="0073000A" w:rsidP="00AC19AC">
      <w:pPr>
        <w:tabs>
          <w:tab w:val="left" w:pos="0"/>
        </w:tabs>
        <w:spacing w:before="120" w:line="276" w:lineRule="auto"/>
        <w:ind w:firstLine="709"/>
        <w:jc w:val="both"/>
        <w:rPr>
          <w:rFonts w:ascii="Arial" w:eastAsia="Calibri" w:hAnsi="Arial" w:cs="Arial"/>
          <w:bCs/>
          <w:sz w:val="22"/>
        </w:rPr>
      </w:pPr>
      <w:r w:rsidRPr="00AC19AC">
        <w:rPr>
          <w:rFonts w:ascii="Arial" w:eastAsia="Calibri" w:hAnsi="Arial" w:cs="Arial"/>
          <w:bCs/>
          <w:sz w:val="22"/>
        </w:rPr>
        <w:lastRenderedPageBreak/>
        <w:t xml:space="preserve">Esta postura se estima adecuada y se ajusta al propósito de la norma en la medida en que, como se explicó, </w:t>
      </w:r>
      <w:r w:rsidRPr="00AC19AC">
        <w:rPr>
          <w:rFonts w:ascii="Arial" w:eastAsia="Calibri" w:hAnsi="Arial" w:cs="Arial"/>
          <w:bCs/>
          <w:sz w:val="22"/>
          <w:lang w:val="es-ES_tradnl"/>
        </w:rPr>
        <w:t xml:space="preserve">un efecto importante de esta norma es la ampliación del ámbito de aplicación de los documentos tipo, al hacerlos obligatorios para unos sujetos que, en principio, de acuerdo con la Ley 2022 de 2020, no estarían sometidos a </w:t>
      </w:r>
      <w:r w:rsidR="00D81718" w:rsidRPr="00AC19AC">
        <w:rPr>
          <w:rFonts w:ascii="Arial" w:eastAsia="Calibri" w:hAnsi="Arial" w:cs="Arial"/>
          <w:bCs/>
          <w:sz w:val="22"/>
          <w:lang w:val="es-ES_tradnl"/>
        </w:rPr>
        <w:t>ellos</w:t>
      </w:r>
      <w:r w:rsidRPr="00AC19AC">
        <w:rPr>
          <w:rFonts w:ascii="Arial" w:eastAsia="Calibri" w:hAnsi="Arial" w:cs="Arial"/>
          <w:bCs/>
          <w:sz w:val="22"/>
        </w:rPr>
        <w:t xml:space="preserve">. </w:t>
      </w:r>
    </w:p>
    <w:p w14:paraId="35A03E4D" w14:textId="771FF831" w:rsidR="00D91570" w:rsidRPr="00AC19AC" w:rsidRDefault="00D91570" w:rsidP="00AC19AC">
      <w:pPr>
        <w:tabs>
          <w:tab w:val="left" w:pos="0"/>
        </w:tabs>
        <w:spacing w:before="120" w:line="276" w:lineRule="auto"/>
        <w:ind w:firstLine="709"/>
        <w:jc w:val="both"/>
        <w:rPr>
          <w:rFonts w:ascii="Arial" w:eastAsia="Calibri" w:hAnsi="Arial" w:cs="Arial"/>
          <w:bCs/>
          <w:sz w:val="22"/>
          <w:szCs w:val="22"/>
          <w:lang w:val="es-ES_tradnl"/>
        </w:rPr>
      </w:pPr>
      <w:r w:rsidRPr="00AC19AC">
        <w:rPr>
          <w:rFonts w:ascii="Arial" w:eastAsia="Calibri" w:hAnsi="Arial" w:cs="Arial"/>
          <w:bCs/>
          <w:sz w:val="22"/>
          <w:szCs w:val="22"/>
          <w:lang w:val="es-ES_tradnl"/>
        </w:rPr>
        <w:t xml:space="preserve">Lo anterior, sin perjuicio de las excepciones establecidas en el parágrafo del artículo en comento, que exceptúa de la aplicación de lo señalado en los dos primeros incisos a las Instituciones de Educación Superior públicas, las empresas sociales del Estado, las sociedades de economía mixta y las empresas industriales y comerciales del Estado, únicamente, en la contratación relacionada con el giro ordinario de sus asuntos, por lo que no tendrían que aplicar de manera obligatoria documentos tipo ni el EGCAP. No obstante, la norma dispone el deber de fomentar en los manuales de contratación la aplicación de los pliegos tipo, a modo de buena práctica contractual. </w:t>
      </w:r>
    </w:p>
    <w:p w14:paraId="584E613A" w14:textId="5D7B3557" w:rsidR="00D91570" w:rsidRPr="00AC19AC" w:rsidRDefault="00D91570" w:rsidP="00AC19AC">
      <w:pPr>
        <w:spacing w:before="120" w:line="276" w:lineRule="auto"/>
        <w:ind w:firstLine="709"/>
        <w:jc w:val="both"/>
        <w:rPr>
          <w:rFonts w:ascii="Arial" w:eastAsia="Calibri" w:hAnsi="Arial" w:cs="Arial"/>
          <w:sz w:val="22"/>
          <w:szCs w:val="22"/>
          <w:lang w:val="es-MX"/>
        </w:rPr>
      </w:pPr>
      <w:r w:rsidRPr="00AC19AC">
        <w:rPr>
          <w:rFonts w:ascii="Arial" w:eastAsia="Calibri" w:hAnsi="Arial" w:cs="Arial"/>
          <w:sz w:val="22"/>
          <w:szCs w:val="22"/>
          <w:lang w:val="es-ES" w:eastAsia="es-ES" w:bidi="es-ES"/>
        </w:rPr>
        <w:t xml:space="preserve">En tal sentido, siempre que se den los presupuestos anteriormente mencionados para la aplicación del mandato establecido en </w:t>
      </w:r>
      <w:r w:rsidRPr="00AC19AC">
        <w:rPr>
          <w:rFonts w:ascii="Arial" w:eastAsia="Calibri" w:hAnsi="Arial" w:cs="Arial"/>
          <w:bCs/>
          <w:sz w:val="22"/>
        </w:rPr>
        <w:t xml:space="preserve">el artículo 56 de la Ley 2195 de 2022, </w:t>
      </w:r>
      <w:r w:rsidR="00B427D0" w:rsidRPr="00AC19AC">
        <w:rPr>
          <w:rFonts w:ascii="Arial" w:eastAsia="Calibri" w:hAnsi="Arial" w:cs="Arial"/>
          <w:bCs/>
          <w:sz w:val="22"/>
        </w:rPr>
        <w:t xml:space="preserve">procederá la aplicación de los documentos tipo. De esta manera, </w:t>
      </w:r>
      <w:r w:rsidRPr="00AC19AC">
        <w:rPr>
          <w:rFonts w:ascii="Arial" w:eastAsia="Calibri" w:hAnsi="Arial" w:cs="Arial"/>
          <w:sz w:val="22"/>
          <w:szCs w:val="22"/>
          <w:lang w:val="es-ES" w:eastAsia="es-ES" w:bidi="es-ES"/>
        </w:rPr>
        <w:t xml:space="preserve">se precisa que los diferentes documentos tipo expedidos por esta Agencia, se deberán adoptar </w:t>
      </w:r>
      <w:r w:rsidRPr="00AC19AC">
        <w:rPr>
          <w:rFonts w:ascii="Arial" w:eastAsia="Calibri" w:hAnsi="Arial" w:cs="Arial"/>
          <w:color w:val="000000"/>
          <w:sz w:val="22"/>
          <w:szCs w:val="22"/>
          <w:shd w:val="clear" w:color="auto" w:fill="FFFFFF"/>
          <w:lang w:val="es-MX"/>
        </w:rPr>
        <w:t xml:space="preserve">siempre que el objeto esté relacionado con alguna de las actividades mencionadas en la «Matriz </w:t>
      </w:r>
      <w:r w:rsidR="00910FF7" w:rsidRPr="00AC19AC">
        <w:rPr>
          <w:rFonts w:ascii="Arial" w:eastAsia="Calibri" w:hAnsi="Arial" w:cs="Arial"/>
          <w:color w:val="000000"/>
          <w:sz w:val="22"/>
          <w:szCs w:val="22"/>
          <w:shd w:val="clear" w:color="auto" w:fill="FFFFFF"/>
          <w:lang w:val="es-MX"/>
        </w:rPr>
        <w:t>de</w:t>
      </w:r>
      <w:r w:rsidRPr="00AC19AC">
        <w:rPr>
          <w:rFonts w:ascii="Arial" w:eastAsia="Calibri" w:hAnsi="Arial" w:cs="Arial"/>
          <w:color w:val="000000"/>
          <w:sz w:val="22"/>
          <w:szCs w:val="22"/>
          <w:shd w:val="clear" w:color="auto" w:fill="FFFFFF"/>
          <w:lang w:val="es-MX"/>
        </w:rPr>
        <w:t xml:space="preserve"> Experiencia»</w:t>
      </w:r>
      <w:r w:rsidR="000A2115" w:rsidRPr="00AC19AC">
        <w:rPr>
          <w:rFonts w:ascii="Arial" w:eastAsia="Calibri" w:hAnsi="Arial" w:cs="Arial"/>
          <w:color w:val="000000"/>
          <w:sz w:val="22"/>
          <w:szCs w:val="22"/>
          <w:shd w:val="clear" w:color="auto" w:fill="FFFFFF"/>
          <w:lang w:val="es-MX"/>
        </w:rPr>
        <w:t xml:space="preserve"> de cada documento tipo</w:t>
      </w:r>
      <w:r w:rsidRPr="00AC19AC">
        <w:rPr>
          <w:rFonts w:ascii="Arial" w:eastAsia="Calibri" w:hAnsi="Arial" w:cs="Arial"/>
          <w:color w:val="000000"/>
          <w:sz w:val="22"/>
          <w:szCs w:val="22"/>
          <w:shd w:val="clear" w:color="auto" w:fill="FFFFFF"/>
          <w:lang w:val="es-MX"/>
        </w:rPr>
        <w:t xml:space="preserve">. Por tanto, </w:t>
      </w:r>
      <w:r w:rsidRPr="00AC19AC">
        <w:rPr>
          <w:rFonts w:ascii="Arial" w:eastAsia="Arial" w:hAnsi="Arial" w:cs="Arial"/>
          <w:color w:val="000000"/>
          <w:sz w:val="22"/>
          <w:szCs w:val="22"/>
          <w:lang w:val="es-ES" w:eastAsia="es-ES" w:bidi="es-ES"/>
        </w:rPr>
        <w:t xml:space="preserve">le corresponde </w:t>
      </w:r>
      <w:r w:rsidR="00910FF7" w:rsidRPr="00AC19AC">
        <w:rPr>
          <w:rFonts w:ascii="Arial" w:eastAsia="Arial" w:hAnsi="Arial" w:cs="Arial"/>
          <w:color w:val="000000"/>
          <w:sz w:val="22"/>
          <w:szCs w:val="22"/>
          <w:lang w:val="es-ES" w:eastAsia="es-ES" w:bidi="es-ES"/>
        </w:rPr>
        <w:t xml:space="preserve">al encargado de adelantar el procedimiento de selección </w:t>
      </w:r>
      <w:r w:rsidRPr="00AC19AC">
        <w:rPr>
          <w:rFonts w:ascii="Arial" w:eastAsia="Arial" w:hAnsi="Arial" w:cs="Arial"/>
          <w:color w:val="000000"/>
          <w:sz w:val="22"/>
          <w:szCs w:val="22"/>
          <w:lang w:val="es-ES" w:eastAsia="es-ES" w:bidi="es-ES"/>
        </w:rPr>
        <w:t xml:space="preserve">identificar de manera preliminar el tipo de actividad sobre la cual recae el objeto a contratar, acorde con lo señalado en la </w:t>
      </w:r>
      <w:r w:rsidRPr="00AC19AC">
        <w:rPr>
          <w:rFonts w:ascii="Arial" w:eastAsia="Calibri" w:hAnsi="Arial" w:cs="Arial"/>
          <w:sz w:val="22"/>
          <w:szCs w:val="22"/>
          <w:lang w:val="es-MX"/>
        </w:rPr>
        <w:t xml:space="preserve">«Matriz </w:t>
      </w:r>
      <w:r w:rsidR="00910FF7" w:rsidRPr="00AC19AC">
        <w:rPr>
          <w:rFonts w:ascii="Arial" w:eastAsia="Calibri" w:hAnsi="Arial" w:cs="Arial"/>
          <w:sz w:val="22"/>
          <w:szCs w:val="22"/>
          <w:lang w:val="es-MX"/>
        </w:rPr>
        <w:t>de</w:t>
      </w:r>
      <w:r w:rsidRPr="00AC19AC">
        <w:rPr>
          <w:rFonts w:ascii="Arial" w:eastAsia="Calibri" w:hAnsi="Arial" w:cs="Arial"/>
          <w:sz w:val="22"/>
          <w:szCs w:val="22"/>
          <w:lang w:val="es-MX"/>
        </w:rPr>
        <w:t xml:space="preserve"> Experiencia», en la que se contemplan las clases de obra aplicables al sector, sean de infraestructura de transporte, agua potable y saneamiento básico o infraestructura social</w:t>
      </w:r>
      <w:r w:rsidR="00B427D0" w:rsidRPr="00AC19AC">
        <w:rPr>
          <w:rFonts w:ascii="Arial" w:eastAsia="Calibri" w:hAnsi="Arial" w:cs="Arial"/>
          <w:color w:val="000000" w:themeColor="text1"/>
          <w:sz w:val="22"/>
          <w:szCs w:val="22"/>
          <w:lang w:val="es-ES_tradnl" w:eastAsia="es-ES"/>
        </w:rPr>
        <w:t xml:space="preserve">, de acuerdo con lo explicado en las consideraciones. Además, se precisa que los documentos tipo adoptados hasta la actualidad se pueden consultar en el siguiente enlace: </w:t>
      </w:r>
      <w:hyperlink r:id="rId12" w:history="1">
        <w:r w:rsidR="00B427D0" w:rsidRPr="00AC19AC">
          <w:rPr>
            <w:rFonts w:eastAsia="Calibri"/>
            <w:color w:val="000000" w:themeColor="text1"/>
          </w:rPr>
          <w:t>https://www.colombiacompra.gov.co/documentos-tipo/documentos-tipo</w:t>
        </w:r>
      </w:hyperlink>
      <w:r w:rsidR="00B427D0" w:rsidRPr="00AC19AC">
        <w:rPr>
          <w:rFonts w:ascii="Arial" w:eastAsia="Calibri" w:hAnsi="Arial" w:cs="Arial"/>
          <w:color w:val="000000" w:themeColor="text1"/>
          <w:sz w:val="22"/>
          <w:szCs w:val="22"/>
          <w:lang w:val="es-ES_tradnl" w:eastAsia="es-ES"/>
        </w:rPr>
        <w:t>.</w:t>
      </w:r>
    </w:p>
    <w:p w14:paraId="17773849" w14:textId="7F78FB75" w:rsidR="00B21AD4" w:rsidRPr="00AC19AC" w:rsidRDefault="00D91570" w:rsidP="00AC19AC">
      <w:pPr>
        <w:spacing w:before="120" w:after="120" w:line="276" w:lineRule="auto"/>
        <w:ind w:firstLine="709"/>
        <w:jc w:val="both"/>
        <w:rPr>
          <w:rFonts w:ascii="Arial" w:hAnsi="Arial" w:cs="Arial"/>
          <w:sz w:val="22"/>
          <w:szCs w:val="22"/>
        </w:rPr>
      </w:pPr>
      <w:r w:rsidRPr="00AC19AC">
        <w:rPr>
          <w:rFonts w:ascii="Arial" w:eastAsia="Calibri" w:hAnsi="Arial" w:cs="Arial"/>
          <w:sz w:val="22"/>
          <w:szCs w:val="22"/>
          <w:lang w:val="es-MX"/>
        </w:rPr>
        <w:t>E</w:t>
      </w:r>
      <w:r w:rsidRPr="00AC19AC">
        <w:rPr>
          <w:rFonts w:ascii="Arial" w:eastAsia="Calibri" w:hAnsi="Arial" w:cs="Arial"/>
          <w:color w:val="000000"/>
          <w:sz w:val="22"/>
          <w:szCs w:val="22"/>
        </w:rPr>
        <w:t>n todo caso</w:t>
      </w:r>
      <w:r w:rsidRPr="00AC19AC">
        <w:rPr>
          <w:rFonts w:ascii="Arial" w:hAnsi="Arial" w:cs="Arial"/>
          <w:sz w:val="22"/>
          <w:szCs w:val="22"/>
        </w:rPr>
        <w:t xml:space="preserve">, debe advertirse que es </w:t>
      </w:r>
      <w:r w:rsidR="00B427D0" w:rsidRPr="00AC19AC">
        <w:rPr>
          <w:rFonts w:ascii="Arial" w:hAnsi="Arial" w:cs="Arial"/>
          <w:sz w:val="22"/>
          <w:szCs w:val="22"/>
        </w:rPr>
        <w:t>el encargado de adelantar el procedimiento de selección</w:t>
      </w:r>
      <w:r w:rsidRPr="00AC19AC">
        <w:rPr>
          <w:rFonts w:ascii="Arial" w:hAnsi="Arial" w:cs="Arial"/>
          <w:sz w:val="22"/>
          <w:szCs w:val="22"/>
        </w:rPr>
        <w:t xml:space="preserve">, al momento de adelantar sus actividades de planeación de cada proceso contractual, quien debe determinar si de acuerdo con las particularidades del contrato a ejecutar, este se encuadra o no dentro de alguna de las actividades de la matriz </w:t>
      </w:r>
      <w:r w:rsidR="00B427D0" w:rsidRPr="00AC19AC">
        <w:rPr>
          <w:rFonts w:ascii="Arial" w:hAnsi="Arial" w:cs="Arial"/>
          <w:sz w:val="22"/>
          <w:szCs w:val="22"/>
        </w:rPr>
        <w:t>de experiencia</w:t>
      </w:r>
      <w:r w:rsidRPr="00AC19AC">
        <w:rPr>
          <w:rFonts w:ascii="Arial" w:hAnsi="Arial" w:cs="Arial"/>
          <w:sz w:val="22"/>
          <w:szCs w:val="22"/>
        </w:rPr>
        <w:t xml:space="preserve"> de cada documento tipo, y si en consecuencia deben aplicarse o no determinados documentos tipo. </w:t>
      </w:r>
    </w:p>
    <w:p w14:paraId="056816F7" w14:textId="36C087E7" w:rsidR="00D40F8B" w:rsidRPr="00AC19AC" w:rsidRDefault="00DD5B04" w:rsidP="00E77523">
      <w:pPr>
        <w:widowControl w:val="0"/>
        <w:autoSpaceDE w:val="0"/>
        <w:autoSpaceDN w:val="0"/>
        <w:spacing w:before="240" w:line="276" w:lineRule="auto"/>
        <w:jc w:val="both"/>
        <w:rPr>
          <w:rFonts w:ascii="Arial" w:hAnsi="Arial" w:cs="Arial"/>
          <w:sz w:val="22"/>
          <w:szCs w:val="22"/>
          <w:lang w:val="es-ES_tradnl" w:bidi="es-ES"/>
        </w:rPr>
      </w:pPr>
      <w:r w:rsidRPr="00AC19AC">
        <w:rPr>
          <w:rFonts w:ascii="Arial" w:hAnsi="Arial" w:cs="Arial"/>
          <w:color w:val="000000" w:themeColor="text1"/>
          <w:sz w:val="22"/>
          <w:szCs w:val="22"/>
          <w:lang w:val="es-ES_tradnl"/>
        </w:rPr>
        <w:t>Este concepto tiene el alcance previsto en el artículo 28 del</w:t>
      </w:r>
      <w:r w:rsidRPr="00AC19AC">
        <w:rPr>
          <w:rFonts w:ascii="Arial" w:hAnsi="Arial" w:cs="Arial"/>
          <w:color w:val="000000" w:themeColor="text1"/>
          <w:sz w:val="22"/>
          <w:lang w:val="es-ES_tradnl"/>
        </w:rPr>
        <w:t xml:space="preserve"> Código de Procedimiento Administrativo y de</w:t>
      </w:r>
      <w:r w:rsidR="00D40F8B" w:rsidRPr="00AC19AC">
        <w:rPr>
          <w:rFonts w:ascii="Arial" w:hAnsi="Arial" w:cs="Arial"/>
          <w:color w:val="000000" w:themeColor="text1"/>
          <w:sz w:val="22"/>
          <w:lang w:val="es-ES_tradnl"/>
        </w:rPr>
        <w:t xml:space="preserve"> lo Contencioso Administrativo.</w:t>
      </w:r>
    </w:p>
    <w:p w14:paraId="6F54E9C9" w14:textId="77777777" w:rsidR="00003233" w:rsidRPr="00AC19AC" w:rsidRDefault="00003233" w:rsidP="00D40F8B">
      <w:pPr>
        <w:spacing w:before="120" w:line="276" w:lineRule="auto"/>
        <w:jc w:val="both"/>
        <w:rPr>
          <w:rFonts w:ascii="Arial" w:hAnsi="Arial" w:cs="Arial"/>
          <w:color w:val="000000" w:themeColor="text1"/>
          <w:sz w:val="22"/>
          <w:lang w:val="es-ES_tradnl"/>
        </w:rPr>
      </w:pPr>
    </w:p>
    <w:p w14:paraId="349855C9" w14:textId="5A23DEC6" w:rsidR="00D40F8B" w:rsidRDefault="00861F0F" w:rsidP="00DF76A2">
      <w:pPr>
        <w:pStyle w:val="NormalWeb"/>
        <w:spacing w:before="0" w:beforeAutospacing="0" w:after="0" w:afterAutospacing="0" w:line="276" w:lineRule="auto"/>
        <w:jc w:val="both"/>
        <w:rPr>
          <w:rFonts w:ascii="Arial" w:hAnsi="Arial" w:cs="Arial"/>
          <w:color w:val="000000" w:themeColor="text1"/>
          <w:sz w:val="22"/>
          <w:szCs w:val="22"/>
          <w:lang w:val="es-ES_tradnl"/>
        </w:rPr>
      </w:pPr>
      <w:r w:rsidRPr="00AC19AC">
        <w:rPr>
          <w:rFonts w:ascii="Arial" w:hAnsi="Arial" w:cs="Arial"/>
          <w:color w:val="000000" w:themeColor="text1"/>
          <w:sz w:val="22"/>
          <w:szCs w:val="22"/>
          <w:lang w:val="es-ES_tradnl"/>
        </w:rPr>
        <w:t>Atentamente,</w:t>
      </w:r>
    </w:p>
    <w:p w14:paraId="2D2631EA" w14:textId="2D55ABA3" w:rsidR="00063EA2" w:rsidRDefault="00063EA2" w:rsidP="00DF76A2">
      <w:pPr>
        <w:pStyle w:val="NormalWeb"/>
        <w:spacing w:before="0" w:beforeAutospacing="0" w:after="0" w:afterAutospacing="0" w:line="276" w:lineRule="auto"/>
        <w:jc w:val="both"/>
        <w:rPr>
          <w:rFonts w:ascii="Arial" w:hAnsi="Arial" w:cs="Arial"/>
          <w:color w:val="000000" w:themeColor="text1"/>
          <w:sz w:val="22"/>
          <w:szCs w:val="22"/>
          <w:lang w:val="es-ES_tradnl"/>
        </w:rPr>
      </w:pPr>
    </w:p>
    <w:p w14:paraId="4AA64695" w14:textId="67EEAF13" w:rsidR="00063EA2" w:rsidRDefault="00063EA2" w:rsidP="00DF76A2">
      <w:pPr>
        <w:pStyle w:val="NormalWeb"/>
        <w:spacing w:before="0" w:beforeAutospacing="0" w:after="0" w:afterAutospacing="0" w:line="276" w:lineRule="auto"/>
        <w:jc w:val="both"/>
        <w:rPr>
          <w:rFonts w:ascii="Arial" w:hAnsi="Arial" w:cs="Arial"/>
          <w:color w:val="000000" w:themeColor="text1"/>
          <w:sz w:val="22"/>
          <w:szCs w:val="22"/>
          <w:lang w:val="es-ES_tradnl"/>
        </w:rPr>
      </w:pPr>
    </w:p>
    <w:p w14:paraId="4ABF49CA" w14:textId="52B6CD28" w:rsidR="00063EA2" w:rsidRDefault="00063EA2" w:rsidP="00DF76A2">
      <w:pPr>
        <w:pStyle w:val="NormalWeb"/>
        <w:spacing w:before="0" w:beforeAutospacing="0" w:after="0" w:afterAutospacing="0" w:line="276" w:lineRule="auto"/>
        <w:jc w:val="both"/>
        <w:rPr>
          <w:rFonts w:ascii="Arial" w:hAnsi="Arial" w:cs="Arial"/>
          <w:color w:val="000000" w:themeColor="text1"/>
          <w:sz w:val="22"/>
          <w:szCs w:val="22"/>
          <w:lang w:val="es-ES_tradnl"/>
        </w:rPr>
      </w:pPr>
      <w:r w:rsidRPr="00827DBF">
        <w:rPr>
          <w:rFonts w:ascii="Arial" w:hAnsi="Arial" w:cs="Arial"/>
          <w:noProof/>
          <w:color w:val="000000" w:themeColor="text1"/>
          <w:sz w:val="22"/>
        </w:rPr>
        <w:lastRenderedPageBreak/>
        <w:drawing>
          <wp:anchor distT="0" distB="0" distL="114300" distR="114300" simplePos="0" relativeHeight="251659264" behindDoc="0" locked="0" layoutInCell="1" allowOverlap="1" wp14:anchorId="19B96C67" wp14:editId="04BD1C2F">
            <wp:simplePos x="0" y="0"/>
            <wp:positionH relativeFrom="margin">
              <wp:posOffset>1485900</wp:posOffset>
            </wp:positionH>
            <wp:positionV relativeFrom="paragraph">
              <wp:posOffset>0</wp:posOffset>
            </wp:positionV>
            <wp:extent cx="2193290" cy="930910"/>
            <wp:effectExtent l="0" t="0" r="0" b="2540"/>
            <wp:wrapSquare wrapText="bothSides"/>
            <wp:docPr id="7" name="Imagen 7"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Texto&#10;&#10;Descripción generada automáticamente"/>
                    <pic:cNvPicPr/>
                  </pic:nvPicPr>
                  <pic:blipFill>
                    <a:blip r:embed="rId13">
                      <a:extLst>
                        <a:ext uri="{28A0092B-C50C-407E-A947-70E740481C1C}">
                          <a14:useLocalDpi xmlns:a14="http://schemas.microsoft.com/office/drawing/2010/main" val="0"/>
                        </a:ext>
                      </a:extLst>
                    </a:blip>
                    <a:stretch>
                      <a:fillRect/>
                    </a:stretch>
                  </pic:blipFill>
                  <pic:spPr>
                    <a:xfrm>
                      <a:off x="0" y="0"/>
                      <a:ext cx="2193290" cy="930910"/>
                    </a:xfrm>
                    <a:prstGeom prst="rect">
                      <a:avLst/>
                    </a:prstGeom>
                  </pic:spPr>
                </pic:pic>
              </a:graphicData>
            </a:graphic>
            <wp14:sizeRelH relativeFrom="page">
              <wp14:pctWidth>0</wp14:pctWidth>
            </wp14:sizeRelH>
            <wp14:sizeRelV relativeFrom="page">
              <wp14:pctHeight>0</wp14:pctHeight>
            </wp14:sizeRelV>
          </wp:anchor>
        </w:drawing>
      </w:r>
    </w:p>
    <w:p w14:paraId="3E1BEB26" w14:textId="77777777" w:rsidR="00063EA2" w:rsidRPr="00AC19AC" w:rsidRDefault="00063EA2" w:rsidP="00DF76A2">
      <w:pPr>
        <w:pStyle w:val="NormalWeb"/>
        <w:spacing w:before="0" w:beforeAutospacing="0" w:after="0" w:afterAutospacing="0" w:line="276" w:lineRule="auto"/>
        <w:jc w:val="both"/>
        <w:rPr>
          <w:rFonts w:ascii="Arial" w:hAnsi="Arial" w:cs="Arial"/>
          <w:color w:val="000000" w:themeColor="text1"/>
          <w:sz w:val="22"/>
          <w:szCs w:val="22"/>
          <w:lang w:val="es-ES_tradnl"/>
        </w:rPr>
      </w:pPr>
    </w:p>
    <w:p w14:paraId="0D06BCF2" w14:textId="1F11D3D9" w:rsidR="00496AF2" w:rsidRDefault="00496AF2" w:rsidP="00AD5EC3">
      <w:pPr>
        <w:pStyle w:val="NormalWeb"/>
        <w:spacing w:before="0" w:beforeAutospacing="0" w:after="0" w:afterAutospacing="0" w:line="276" w:lineRule="auto"/>
        <w:jc w:val="center"/>
        <w:rPr>
          <w:rFonts w:ascii="Arial" w:hAnsi="Arial" w:cs="Arial"/>
          <w:color w:val="000000" w:themeColor="text1"/>
          <w:sz w:val="22"/>
          <w:szCs w:val="22"/>
          <w:lang w:val="es-ES_tradnl"/>
        </w:rPr>
      </w:pPr>
    </w:p>
    <w:p w14:paraId="571AEB64" w14:textId="7F6AEEA4" w:rsidR="00063EA2" w:rsidRDefault="00063EA2" w:rsidP="00AD5EC3">
      <w:pPr>
        <w:pStyle w:val="NormalWeb"/>
        <w:spacing w:before="0" w:beforeAutospacing="0" w:after="0" w:afterAutospacing="0" w:line="276" w:lineRule="auto"/>
        <w:jc w:val="center"/>
        <w:rPr>
          <w:rFonts w:ascii="Arial" w:hAnsi="Arial" w:cs="Arial"/>
          <w:color w:val="000000" w:themeColor="text1"/>
          <w:sz w:val="22"/>
          <w:szCs w:val="22"/>
          <w:lang w:val="es-ES_tradnl"/>
        </w:rPr>
      </w:pPr>
    </w:p>
    <w:p w14:paraId="44521159" w14:textId="62903E66" w:rsidR="00063EA2" w:rsidRPr="00AC19AC" w:rsidRDefault="00063EA2" w:rsidP="00AD5EC3">
      <w:pPr>
        <w:pStyle w:val="NormalWeb"/>
        <w:spacing w:before="0" w:beforeAutospacing="0" w:after="0" w:afterAutospacing="0" w:line="276" w:lineRule="auto"/>
        <w:jc w:val="center"/>
        <w:rPr>
          <w:rFonts w:ascii="Arial" w:hAnsi="Arial" w:cs="Arial"/>
          <w:color w:val="000000" w:themeColor="text1"/>
          <w:sz w:val="22"/>
          <w:szCs w:val="22"/>
          <w:lang w:val="es-ES_tradnl"/>
        </w:rPr>
      </w:pPr>
    </w:p>
    <w:tbl>
      <w:tblPr>
        <w:tblStyle w:val="Tablaconcuadrcula1"/>
        <w:tblpPr w:leftFromText="141" w:rightFromText="141" w:vertAnchor="text" w:horzAnchor="margin" w:tblpY="26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7"/>
        <w:gridCol w:w="4445"/>
      </w:tblGrid>
      <w:tr w:rsidR="00496AF2" w:rsidRPr="00AC19AC" w14:paraId="4416311F" w14:textId="77777777" w:rsidTr="000F5D7A">
        <w:trPr>
          <w:trHeight w:val="286"/>
        </w:trPr>
        <w:tc>
          <w:tcPr>
            <w:tcW w:w="817" w:type="dxa"/>
            <w:vAlign w:val="center"/>
          </w:tcPr>
          <w:p w14:paraId="460FFEBD" w14:textId="77777777" w:rsidR="00496AF2" w:rsidRPr="00AC19AC" w:rsidRDefault="00496AF2" w:rsidP="000F5D7A">
            <w:pPr>
              <w:rPr>
                <w:rFonts w:ascii="Arial" w:hAnsi="Arial" w:cs="Arial"/>
                <w:sz w:val="16"/>
                <w:szCs w:val="16"/>
                <w:lang w:eastAsia="es-ES"/>
              </w:rPr>
            </w:pPr>
            <w:r w:rsidRPr="00AC19AC">
              <w:rPr>
                <w:rFonts w:ascii="Arial" w:hAnsi="Arial" w:cs="Arial"/>
                <w:sz w:val="16"/>
                <w:szCs w:val="16"/>
                <w:lang w:eastAsia="es-ES"/>
              </w:rPr>
              <w:t>Elaboró:</w:t>
            </w:r>
          </w:p>
        </w:tc>
        <w:tc>
          <w:tcPr>
            <w:tcW w:w="4445" w:type="dxa"/>
            <w:tcBorders>
              <w:bottom w:val="dotted" w:sz="4" w:space="0" w:color="7F7F7F"/>
            </w:tcBorders>
            <w:vAlign w:val="center"/>
          </w:tcPr>
          <w:p w14:paraId="6EAC72B9" w14:textId="77777777" w:rsidR="00496AF2" w:rsidRPr="00AC19AC" w:rsidRDefault="00496AF2" w:rsidP="000F5D7A">
            <w:pPr>
              <w:rPr>
                <w:rFonts w:ascii="Arial" w:hAnsi="Arial" w:cs="Arial"/>
                <w:sz w:val="16"/>
                <w:szCs w:val="16"/>
                <w:lang w:eastAsia="es-ES"/>
              </w:rPr>
            </w:pPr>
            <w:r w:rsidRPr="00AC19AC">
              <w:rPr>
                <w:rFonts w:ascii="Arial" w:hAnsi="Arial" w:cs="Arial"/>
                <w:sz w:val="16"/>
                <w:szCs w:val="16"/>
                <w:lang w:eastAsia="es-ES"/>
              </w:rPr>
              <w:t xml:space="preserve">Diana Fabiola Herrera Hernández </w:t>
            </w:r>
          </w:p>
          <w:p w14:paraId="68BA09C8" w14:textId="77777777" w:rsidR="00496AF2" w:rsidRPr="00AC19AC" w:rsidRDefault="00496AF2" w:rsidP="000F5D7A">
            <w:pPr>
              <w:rPr>
                <w:rFonts w:ascii="Arial" w:hAnsi="Arial" w:cs="Arial"/>
                <w:sz w:val="16"/>
                <w:szCs w:val="16"/>
                <w:lang w:eastAsia="es-ES"/>
              </w:rPr>
            </w:pPr>
            <w:r w:rsidRPr="00AC19AC">
              <w:rPr>
                <w:rFonts w:ascii="Arial" w:hAnsi="Arial" w:cs="Arial"/>
                <w:sz w:val="16"/>
                <w:szCs w:val="16"/>
                <w:lang w:eastAsia="es-ES"/>
              </w:rPr>
              <w:t>Contratista de la Subdirección de Gestión Contractual</w:t>
            </w:r>
          </w:p>
        </w:tc>
      </w:tr>
      <w:tr w:rsidR="00496AF2" w:rsidRPr="00AC19AC" w14:paraId="0C114EBB" w14:textId="77777777" w:rsidTr="000F5D7A">
        <w:trPr>
          <w:trHeight w:val="299"/>
        </w:trPr>
        <w:tc>
          <w:tcPr>
            <w:tcW w:w="817" w:type="dxa"/>
            <w:vAlign w:val="center"/>
          </w:tcPr>
          <w:p w14:paraId="22674895" w14:textId="77777777" w:rsidR="00496AF2" w:rsidRPr="00AC19AC" w:rsidRDefault="00496AF2" w:rsidP="000F5D7A">
            <w:pPr>
              <w:rPr>
                <w:rFonts w:ascii="Arial" w:hAnsi="Arial" w:cs="Arial"/>
                <w:sz w:val="16"/>
                <w:szCs w:val="16"/>
                <w:lang w:eastAsia="es-ES"/>
              </w:rPr>
            </w:pPr>
            <w:r w:rsidRPr="00AC19AC">
              <w:rPr>
                <w:rFonts w:ascii="Arial" w:hAnsi="Arial" w:cs="Arial"/>
                <w:sz w:val="16"/>
                <w:szCs w:val="16"/>
                <w:lang w:eastAsia="es-ES"/>
              </w:rPr>
              <w:t>Revisó:</w:t>
            </w:r>
          </w:p>
        </w:tc>
        <w:tc>
          <w:tcPr>
            <w:tcW w:w="4445" w:type="dxa"/>
            <w:tcBorders>
              <w:top w:val="dotted" w:sz="4" w:space="0" w:color="7F7F7F"/>
              <w:bottom w:val="dotted" w:sz="4" w:space="0" w:color="7F7F7F"/>
            </w:tcBorders>
            <w:vAlign w:val="center"/>
          </w:tcPr>
          <w:p w14:paraId="20553135" w14:textId="77777777" w:rsidR="00496AF2" w:rsidRPr="00AC19AC" w:rsidRDefault="00496AF2" w:rsidP="00496AF2">
            <w:pPr>
              <w:rPr>
                <w:rFonts w:ascii="Arial" w:hAnsi="Arial" w:cs="Arial"/>
                <w:sz w:val="16"/>
                <w:szCs w:val="16"/>
                <w:lang w:eastAsia="es-ES"/>
              </w:rPr>
            </w:pPr>
            <w:r w:rsidRPr="00AC19AC">
              <w:rPr>
                <w:rFonts w:ascii="Arial" w:hAnsi="Arial" w:cs="Arial"/>
                <w:sz w:val="16"/>
                <w:szCs w:val="16"/>
                <w:lang w:eastAsia="es-ES"/>
              </w:rPr>
              <w:t>Sebastián Ramírez Grisales</w:t>
            </w:r>
          </w:p>
          <w:p w14:paraId="26970E6E" w14:textId="7F4D82BC" w:rsidR="00496AF2" w:rsidRPr="00AC19AC" w:rsidRDefault="00496AF2" w:rsidP="00496AF2">
            <w:pPr>
              <w:rPr>
                <w:rFonts w:ascii="Arial" w:hAnsi="Arial" w:cs="Arial"/>
                <w:sz w:val="16"/>
                <w:szCs w:val="16"/>
                <w:lang w:eastAsia="es-ES"/>
              </w:rPr>
            </w:pPr>
            <w:r w:rsidRPr="00AC19AC">
              <w:rPr>
                <w:rFonts w:ascii="Arial" w:hAnsi="Arial" w:cs="Arial"/>
                <w:sz w:val="16"/>
                <w:szCs w:val="16"/>
                <w:lang w:eastAsia="es-ES"/>
              </w:rPr>
              <w:t>Contratista de la Subdirección de Gestión Contractual</w:t>
            </w:r>
          </w:p>
        </w:tc>
      </w:tr>
      <w:tr w:rsidR="00496AF2" w:rsidRPr="00776161" w14:paraId="094660E5" w14:textId="77777777" w:rsidTr="000F5D7A">
        <w:trPr>
          <w:trHeight w:val="272"/>
        </w:trPr>
        <w:tc>
          <w:tcPr>
            <w:tcW w:w="817" w:type="dxa"/>
            <w:vAlign w:val="center"/>
          </w:tcPr>
          <w:p w14:paraId="0F061B54" w14:textId="77777777" w:rsidR="00496AF2" w:rsidRPr="00AC19AC" w:rsidRDefault="00496AF2" w:rsidP="000F5D7A">
            <w:pPr>
              <w:rPr>
                <w:rFonts w:ascii="Arial" w:hAnsi="Arial" w:cs="Arial"/>
                <w:sz w:val="16"/>
                <w:szCs w:val="16"/>
                <w:lang w:eastAsia="es-ES"/>
              </w:rPr>
            </w:pPr>
            <w:r w:rsidRPr="00AC19AC">
              <w:rPr>
                <w:rFonts w:ascii="Arial" w:hAnsi="Arial" w:cs="Arial"/>
                <w:sz w:val="16"/>
                <w:szCs w:val="16"/>
                <w:lang w:eastAsia="es-ES"/>
              </w:rPr>
              <w:t>Aprobó:</w:t>
            </w:r>
          </w:p>
        </w:tc>
        <w:tc>
          <w:tcPr>
            <w:tcW w:w="4445" w:type="dxa"/>
            <w:tcBorders>
              <w:top w:val="dotted" w:sz="4" w:space="0" w:color="7F7F7F"/>
              <w:bottom w:val="dotted" w:sz="4" w:space="0" w:color="7F7F7F"/>
            </w:tcBorders>
            <w:vAlign w:val="center"/>
          </w:tcPr>
          <w:p w14:paraId="78530C40" w14:textId="77777777" w:rsidR="00496AF2" w:rsidRPr="00AC19AC" w:rsidRDefault="00496AF2" w:rsidP="000F5D7A">
            <w:pPr>
              <w:rPr>
                <w:rFonts w:ascii="Arial" w:hAnsi="Arial" w:cs="Arial"/>
                <w:sz w:val="16"/>
                <w:szCs w:val="16"/>
                <w:lang w:eastAsia="es-ES"/>
              </w:rPr>
            </w:pPr>
            <w:r w:rsidRPr="00AC19AC">
              <w:rPr>
                <w:rFonts w:ascii="Arial" w:hAnsi="Arial" w:cs="Arial"/>
                <w:sz w:val="16"/>
                <w:szCs w:val="16"/>
                <w:lang w:eastAsia="es-ES"/>
              </w:rPr>
              <w:t>Jorge Augusto Tirado Navarro</w:t>
            </w:r>
          </w:p>
          <w:p w14:paraId="2509EFEF" w14:textId="77777777" w:rsidR="00496AF2" w:rsidRPr="00AC19AC" w:rsidRDefault="00496AF2" w:rsidP="000F5D7A">
            <w:pPr>
              <w:rPr>
                <w:rFonts w:ascii="Arial" w:hAnsi="Arial" w:cs="Arial"/>
                <w:sz w:val="16"/>
                <w:szCs w:val="16"/>
                <w:lang w:eastAsia="es-ES"/>
              </w:rPr>
            </w:pPr>
            <w:r w:rsidRPr="00AC19AC">
              <w:rPr>
                <w:rFonts w:ascii="Arial" w:hAnsi="Arial" w:cs="Arial"/>
                <w:sz w:val="16"/>
                <w:szCs w:val="16"/>
                <w:lang w:eastAsia="es-ES"/>
              </w:rPr>
              <w:t>Subdirector de Gestión Contractual ANCP – CCE</w:t>
            </w:r>
          </w:p>
        </w:tc>
      </w:tr>
    </w:tbl>
    <w:p w14:paraId="789A2343" w14:textId="77777777" w:rsidR="00496AF2" w:rsidRDefault="00496AF2" w:rsidP="00496AF2">
      <w:pPr>
        <w:jc w:val="both"/>
        <w:rPr>
          <w:rFonts w:ascii="Arial" w:hAnsi="Arial" w:cs="Arial"/>
          <w:color w:val="000000" w:themeColor="text1"/>
          <w:sz w:val="16"/>
          <w:szCs w:val="16"/>
          <w:lang w:val="es-ES_tradnl" w:eastAsia="es-ES"/>
        </w:rPr>
      </w:pPr>
    </w:p>
    <w:p w14:paraId="4C47ABD0" w14:textId="77777777" w:rsidR="00496AF2" w:rsidRDefault="00496AF2" w:rsidP="00496AF2">
      <w:pPr>
        <w:jc w:val="both"/>
        <w:rPr>
          <w:rFonts w:ascii="Arial" w:hAnsi="Arial" w:cs="Arial"/>
          <w:color w:val="000000" w:themeColor="text1"/>
          <w:sz w:val="16"/>
          <w:szCs w:val="16"/>
          <w:lang w:val="es-ES_tradnl" w:eastAsia="es-ES"/>
        </w:rPr>
      </w:pPr>
    </w:p>
    <w:p w14:paraId="39E2ECD0" w14:textId="2F603222" w:rsidR="00496AF2" w:rsidRDefault="00496AF2" w:rsidP="00496AF2">
      <w:pPr>
        <w:pStyle w:val="NormalWeb"/>
        <w:spacing w:before="0" w:beforeAutospacing="0" w:after="0" w:afterAutospacing="0" w:line="276" w:lineRule="auto"/>
        <w:rPr>
          <w:rFonts w:ascii="Arial" w:hAnsi="Arial" w:cs="Arial"/>
          <w:color w:val="000000" w:themeColor="text1"/>
          <w:sz w:val="22"/>
          <w:szCs w:val="22"/>
          <w:lang w:val="es-ES_tradnl"/>
        </w:rPr>
      </w:pPr>
    </w:p>
    <w:p w14:paraId="62A9C657" w14:textId="77777777" w:rsidR="00453A53" w:rsidRDefault="00453A53" w:rsidP="00215B8E">
      <w:pPr>
        <w:jc w:val="both"/>
        <w:rPr>
          <w:rFonts w:ascii="Arial" w:hAnsi="Arial" w:cs="Arial"/>
          <w:lang w:val="es-ES_tradnl"/>
        </w:rPr>
      </w:pPr>
    </w:p>
    <w:p w14:paraId="3F7284BE" w14:textId="3AD023D9" w:rsidR="008351F8" w:rsidRPr="009D3964" w:rsidRDefault="008351F8" w:rsidP="00215B8E">
      <w:pPr>
        <w:jc w:val="both"/>
        <w:rPr>
          <w:rFonts w:ascii="Arial" w:hAnsi="Arial" w:cs="Arial"/>
          <w:lang w:val="es-ES_tradnl"/>
        </w:rPr>
      </w:pPr>
    </w:p>
    <w:bookmarkEnd w:id="3"/>
    <w:bookmarkEnd w:id="4"/>
    <w:p w14:paraId="4D3D318F" w14:textId="77777777" w:rsidR="00FC710F" w:rsidRPr="009D3964" w:rsidRDefault="00FC710F">
      <w:pPr>
        <w:jc w:val="both"/>
        <w:rPr>
          <w:rFonts w:ascii="Arial" w:hAnsi="Arial" w:cs="Arial"/>
          <w:lang w:val="es-ES_tradnl"/>
        </w:rPr>
      </w:pPr>
    </w:p>
    <w:sectPr w:rsidR="00FC710F" w:rsidRPr="009D3964" w:rsidSect="00AC19AC">
      <w:headerReference w:type="default" r:id="rId14"/>
      <w:footerReference w:type="default" r:id="rId15"/>
      <w:pgSz w:w="12240" w:h="15840"/>
      <w:pgMar w:top="2041" w:right="1701" w:bottom="1418" w:left="1701"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559A7D" w14:textId="77777777" w:rsidR="007A08F2" w:rsidRDefault="007A08F2">
      <w:r>
        <w:separator/>
      </w:r>
    </w:p>
  </w:endnote>
  <w:endnote w:type="continuationSeparator" w:id="0">
    <w:p w14:paraId="5392688A" w14:textId="77777777" w:rsidR="007A08F2" w:rsidRDefault="007A08F2">
      <w:r>
        <w:continuationSeparator/>
      </w:r>
    </w:p>
  </w:endnote>
  <w:endnote w:type="continuationNotice" w:id="1">
    <w:p w14:paraId="403F316F" w14:textId="77777777" w:rsidR="007A08F2" w:rsidRDefault="007A08F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Narrow">
    <w:panose1 w:val="020B0606020202030204"/>
    <w:charset w:val="00"/>
    <w:family w:val="swiss"/>
    <w:pitch w:val="variable"/>
    <w:sig w:usb0="00000287" w:usb1="00000800" w:usb2="00000000" w:usb3="00000000" w:csb0="0000009F" w:csb1="00000000"/>
  </w:font>
  <w:font w:name="Arial MT">
    <w:altName w:val="Arial"/>
    <w:charset w:val="01"/>
    <w:family w:val="swiss"/>
    <w:pitch w:val="variable"/>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3785F3" w14:textId="2EF28465" w:rsidR="00E2520A" w:rsidRPr="00EC6D8D" w:rsidRDefault="00E2520A" w:rsidP="00FE42ED">
    <w:pPr>
      <w:pStyle w:val="Piedepgina"/>
      <w:jc w:val="right"/>
      <w:rPr>
        <w:rFonts w:ascii="Arial" w:hAnsi="Arial" w:cs="Arial"/>
        <w:color w:val="7F7F7F"/>
        <w:sz w:val="16"/>
        <w:szCs w:val="16"/>
      </w:rPr>
    </w:pPr>
    <w:r w:rsidRPr="00EC6D8D">
      <w:rPr>
        <w:rFonts w:ascii="Arial" w:hAnsi="Arial" w:cs="Arial"/>
        <w:bCs/>
        <w:color w:val="7F7F7F"/>
        <w:sz w:val="16"/>
        <w:szCs w:val="16"/>
      </w:rPr>
      <w:t xml:space="preserve">Página </w:t>
    </w:r>
    <w:r w:rsidRPr="00EC6D8D">
      <w:rPr>
        <w:rFonts w:ascii="Arial" w:hAnsi="Arial" w:cs="Arial"/>
        <w:b/>
        <w:bCs/>
        <w:color w:val="7F7F7F"/>
        <w:sz w:val="16"/>
        <w:szCs w:val="16"/>
      </w:rPr>
      <w:fldChar w:fldCharType="begin"/>
    </w:r>
    <w:r w:rsidRPr="00EC6D8D">
      <w:rPr>
        <w:rFonts w:ascii="Arial" w:hAnsi="Arial" w:cs="Arial"/>
        <w:b/>
        <w:bCs/>
        <w:color w:val="7F7F7F"/>
        <w:sz w:val="16"/>
        <w:szCs w:val="16"/>
      </w:rPr>
      <w:instrText>PAGE  \* Arabic  \* MERGEFORMAT</w:instrText>
    </w:r>
    <w:r w:rsidRPr="00EC6D8D">
      <w:rPr>
        <w:rFonts w:ascii="Arial" w:hAnsi="Arial" w:cs="Arial"/>
        <w:b/>
        <w:bCs/>
        <w:color w:val="7F7F7F"/>
        <w:sz w:val="16"/>
        <w:szCs w:val="16"/>
      </w:rPr>
      <w:fldChar w:fldCharType="separate"/>
    </w:r>
    <w:r w:rsidR="00012E96">
      <w:rPr>
        <w:rFonts w:ascii="Arial" w:hAnsi="Arial" w:cs="Arial"/>
        <w:b/>
        <w:bCs/>
        <w:noProof/>
        <w:color w:val="7F7F7F"/>
        <w:sz w:val="16"/>
        <w:szCs w:val="16"/>
      </w:rPr>
      <w:t>21</w:t>
    </w:r>
    <w:r w:rsidRPr="00EC6D8D">
      <w:rPr>
        <w:rFonts w:ascii="Arial" w:hAnsi="Arial" w:cs="Arial"/>
        <w:b/>
        <w:bCs/>
        <w:color w:val="7F7F7F"/>
        <w:sz w:val="16"/>
        <w:szCs w:val="16"/>
      </w:rPr>
      <w:fldChar w:fldCharType="end"/>
    </w:r>
    <w:r w:rsidRPr="00EC6D8D">
      <w:rPr>
        <w:rFonts w:ascii="Arial" w:hAnsi="Arial" w:cs="Arial"/>
        <w:color w:val="7F7F7F"/>
        <w:sz w:val="16"/>
        <w:szCs w:val="16"/>
      </w:rPr>
      <w:t xml:space="preserve"> de </w:t>
    </w:r>
    <w:r w:rsidRPr="00EC6D8D">
      <w:rPr>
        <w:rFonts w:ascii="Arial" w:hAnsi="Arial" w:cs="Arial"/>
        <w:b/>
        <w:bCs/>
        <w:color w:val="7F7F7F"/>
        <w:sz w:val="16"/>
        <w:szCs w:val="16"/>
      </w:rPr>
      <w:fldChar w:fldCharType="begin"/>
    </w:r>
    <w:r w:rsidRPr="00EC6D8D">
      <w:rPr>
        <w:rFonts w:ascii="Arial" w:hAnsi="Arial" w:cs="Arial"/>
        <w:b/>
        <w:bCs/>
        <w:color w:val="7F7F7F"/>
        <w:sz w:val="16"/>
        <w:szCs w:val="16"/>
      </w:rPr>
      <w:instrText>NUMPAGES  \* Arabic  \* MERGEFORMAT</w:instrText>
    </w:r>
    <w:r w:rsidRPr="00EC6D8D">
      <w:rPr>
        <w:rFonts w:ascii="Arial" w:hAnsi="Arial" w:cs="Arial"/>
        <w:b/>
        <w:bCs/>
        <w:color w:val="7F7F7F"/>
        <w:sz w:val="16"/>
        <w:szCs w:val="16"/>
      </w:rPr>
      <w:fldChar w:fldCharType="separate"/>
    </w:r>
    <w:r w:rsidR="00012E96">
      <w:rPr>
        <w:rFonts w:ascii="Arial" w:hAnsi="Arial" w:cs="Arial"/>
        <w:b/>
        <w:bCs/>
        <w:noProof/>
        <w:color w:val="7F7F7F"/>
        <w:sz w:val="16"/>
        <w:szCs w:val="16"/>
      </w:rPr>
      <w:t>21</w:t>
    </w:r>
    <w:r w:rsidRPr="00EC6D8D">
      <w:rPr>
        <w:rFonts w:ascii="Arial" w:hAnsi="Arial" w:cs="Arial"/>
        <w:b/>
        <w:bCs/>
        <w:color w:val="7F7F7F"/>
        <w:sz w:val="16"/>
        <w:szCs w:val="16"/>
      </w:rPr>
      <w:fldChar w:fldCharType="end"/>
    </w:r>
  </w:p>
  <w:p w14:paraId="48FC6A04" w14:textId="5FD1A7C9" w:rsidR="00E2520A" w:rsidRDefault="00E2520A" w:rsidP="00322937">
    <w:pPr>
      <w:pStyle w:val="Piedepgina"/>
      <w:jc w:val="center"/>
      <w:rPr>
        <w:lang w:val="es-ES"/>
      </w:rPr>
    </w:pPr>
    <w:r>
      <w:rPr>
        <w:noProof/>
        <w:lang w:val="es-CO" w:eastAsia="es-CO"/>
      </w:rPr>
      <w:drawing>
        <wp:inline distT="0" distB="0" distL="0" distR="0" wp14:anchorId="608B196D" wp14:editId="0DC5B948">
          <wp:extent cx="3700130" cy="519139"/>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e_pagina_pie_pagina_excel.png"/>
                  <pic:cNvPicPr/>
                </pic:nvPicPr>
                <pic:blipFill>
                  <a:blip r:embed="rId1">
                    <a:extLst>
                      <a:ext uri="{28A0092B-C50C-407E-A947-70E740481C1C}">
                        <a14:useLocalDpi xmlns:a14="http://schemas.microsoft.com/office/drawing/2010/main" val="0"/>
                      </a:ext>
                    </a:extLst>
                  </a:blip>
                  <a:stretch>
                    <a:fillRect/>
                  </a:stretch>
                </pic:blipFill>
                <pic:spPr>
                  <a:xfrm>
                    <a:off x="0" y="0"/>
                    <a:ext cx="3779589" cy="530287"/>
                  </a:xfrm>
                  <a:prstGeom prst="rect">
                    <a:avLst/>
                  </a:prstGeom>
                </pic:spPr>
              </pic:pic>
            </a:graphicData>
          </a:graphic>
        </wp:inline>
      </w:drawing>
    </w:r>
  </w:p>
  <w:p w14:paraId="5D0E988C" w14:textId="77777777" w:rsidR="00E2520A" w:rsidRDefault="00E2520A" w:rsidP="007B0854">
    <w:pPr>
      <w:pStyle w:val="Piedepgina"/>
      <w:jc w:val="center"/>
      <w:rPr>
        <w:lang w:val="es-ES"/>
      </w:rPr>
    </w:pPr>
  </w:p>
  <w:p w14:paraId="1963EBF8" w14:textId="77777777" w:rsidR="00E2520A" w:rsidRDefault="00E2520A"/>
  <w:p w14:paraId="2CCD54A3" w14:textId="77777777" w:rsidR="00E2520A" w:rsidRDefault="00E2520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FB0D74" w14:textId="77777777" w:rsidR="007A08F2" w:rsidRDefault="007A08F2">
      <w:r>
        <w:separator/>
      </w:r>
    </w:p>
  </w:footnote>
  <w:footnote w:type="continuationSeparator" w:id="0">
    <w:p w14:paraId="24A2B075" w14:textId="77777777" w:rsidR="007A08F2" w:rsidRDefault="007A08F2">
      <w:r>
        <w:continuationSeparator/>
      </w:r>
    </w:p>
  </w:footnote>
  <w:footnote w:type="continuationNotice" w:id="1">
    <w:p w14:paraId="23FD7271" w14:textId="77777777" w:rsidR="007A08F2" w:rsidRDefault="007A08F2"/>
  </w:footnote>
  <w:footnote w:id="2">
    <w:p w14:paraId="0C3C75A8" w14:textId="77777777" w:rsidR="00014207" w:rsidRPr="004102D2" w:rsidRDefault="00014207" w:rsidP="00012E96">
      <w:pPr>
        <w:pStyle w:val="Textonotapie"/>
        <w:ind w:firstLine="709"/>
        <w:jc w:val="both"/>
        <w:rPr>
          <w:rFonts w:ascii="Arial" w:hAnsi="Arial" w:cs="Arial"/>
          <w:sz w:val="19"/>
          <w:szCs w:val="19"/>
        </w:rPr>
      </w:pPr>
      <w:r w:rsidRPr="004102D2">
        <w:rPr>
          <w:rStyle w:val="Refdenotaalpie"/>
          <w:rFonts w:ascii="Arial" w:hAnsi="Arial" w:cs="Arial"/>
          <w:sz w:val="19"/>
          <w:szCs w:val="19"/>
        </w:rPr>
        <w:footnoteRef/>
      </w:r>
      <w:r w:rsidRPr="004102D2">
        <w:rPr>
          <w:rFonts w:ascii="Arial" w:hAnsi="Arial" w:cs="Arial"/>
          <w:sz w:val="19"/>
          <w:szCs w:val="19"/>
        </w:rPr>
        <w:t xml:space="preserve"> </w:t>
      </w:r>
      <w:r w:rsidRPr="00F223B3">
        <w:rPr>
          <w:rFonts w:ascii="Arial" w:hAnsi="Arial" w:cs="Arial"/>
          <w:sz w:val="19"/>
          <w:szCs w:val="19"/>
        </w:rPr>
        <w:t xml:space="preserve">La Agencia Nacional de Contratación Pública ‒ Colombia Compra Eficiente fue creada por el Decreto Ley 4170 de 2011. Su objetivo es servir como ente rector de la política de compras y contratación del Estado. Para tales fines, como órgano técnico especializado, le corresponde formular políticas públicas y normas y unificar los procesos de contratación estatal, con el fin de lograr una mayor eficiencia, transparencia y optimización de los recursos del Estado. El artículo 3 </w:t>
      </w:r>
      <w:r w:rsidRPr="00F223B3">
        <w:rPr>
          <w:rFonts w:ascii="Arial" w:hAnsi="Arial" w:cs="Arial"/>
          <w:i/>
          <w:iCs/>
          <w:sz w:val="19"/>
          <w:szCs w:val="19"/>
        </w:rPr>
        <w:t xml:space="preserve">ibidem </w:t>
      </w:r>
      <w:r w:rsidRPr="00F223B3">
        <w:rPr>
          <w:rFonts w:ascii="Arial" w:hAnsi="Arial" w:cs="Arial"/>
          <w:sz w:val="19"/>
          <w:szCs w:val="19"/>
        </w:rPr>
        <w:t>señala, de manera precisa, las funciones de Colombia Compra Eficiente. Concretamente, el numeral 5º de este artículo establece que le corresponde a esta entidad: «[a]bsolver consultas sobre la aplicación de normas de carácter general y expedir circulares externas en materia de compras y contratación pública». Seguidamente, el numeral 8º del artículo 11 ibidem señala que es función de la Subdirección de Gestión Contractual: «[a]bsolver consultas sobre la aplicación de normas de carácter general».</w:t>
      </w:r>
    </w:p>
  </w:footnote>
  <w:footnote w:id="3">
    <w:p w14:paraId="32FD0B6F" w14:textId="77777777" w:rsidR="00031AD9" w:rsidRPr="00640E20" w:rsidRDefault="00031AD9" w:rsidP="00012E96">
      <w:pPr>
        <w:pStyle w:val="Textonotapie"/>
        <w:ind w:firstLine="709"/>
        <w:jc w:val="both"/>
        <w:rPr>
          <w:rFonts w:ascii="Arial" w:hAnsi="Arial" w:cs="Arial"/>
          <w:color w:val="000000" w:themeColor="text1"/>
          <w:sz w:val="19"/>
          <w:szCs w:val="19"/>
          <w:lang w:val="es-CO"/>
        </w:rPr>
      </w:pPr>
      <w:r w:rsidRPr="00E858D2">
        <w:rPr>
          <w:rStyle w:val="Refdenotaalpie"/>
          <w:rFonts w:ascii="Arial" w:hAnsi="Arial" w:cs="Arial"/>
          <w:sz w:val="19"/>
          <w:szCs w:val="19"/>
        </w:rPr>
        <w:footnoteRef/>
      </w:r>
      <w:r w:rsidRPr="00A83DE5">
        <w:rPr>
          <w:rFonts w:ascii="Arial" w:hAnsi="Arial" w:cs="Arial"/>
          <w:color w:val="000000" w:themeColor="text1"/>
          <w:sz w:val="19"/>
          <w:szCs w:val="19"/>
        </w:rPr>
        <w:t xml:space="preserve"> «Parágrafo 3. El Gobierno Nacional tendrá la facultad de estandarizar las condiciones generales de los pliegos de condiciones y los contratos de las entidades estatales, cuando se trate de la adquisición o suministro de bienes y servicios de característic</w:t>
      </w:r>
      <w:r w:rsidRPr="00640E20">
        <w:rPr>
          <w:rFonts w:ascii="Arial" w:hAnsi="Arial" w:cs="Arial"/>
          <w:color w:val="000000" w:themeColor="text1"/>
          <w:sz w:val="19"/>
          <w:szCs w:val="19"/>
        </w:rPr>
        <w:t>as técnicas uniformes y de común utilización por parte de las entidades».</w:t>
      </w:r>
    </w:p>
  </w:footnote>
  <w:footnote w:id="4">
    <w:p w14:paraId="30AC710D" w14:textId="77777777" w:rsidR="00031AD9" w:rsidRPr="00640E20" w:rsidRDefault="00031AD9" w:rsidP="00012E96">
      <w:pPr>
        <w:pStyle w:val="Textonotapie"/>
        <w:ind w:firstLine="709"/>
        <w:jc w:val="both"/>
        <w:rPr>
          <w:rFonts w:ascii="Arial" w:hAnsi="Arial" w:cs="Arial"/>
          <w:color w:val="000000" w:themeColor="text1"/>
          <w:sz w:val="19"/>
          <w:szCs w:val="19"/>
        </w:rPr>
      </w:pPr>
      <w:r w:rsidRPr="00E858D2">
        <w:rPr>
          <w:rStyle w:val="Refdenotaalpie"/>
          <w:rFonts w:ascii="Arial" w:hAnsi="Arial" w:cs="Arial"/>
          <w:sz w:val="19"/>
          <w:szCs w:val="19"/>
        </w:rPr>
        <w:footnoteRef/>
      </w:r>
      <w:r w:rsidRPr="00A83DE5">
        <w:rPr>
          <w:rFonts w:ascii="Arial" w:hAnsi="Arial" w:cs="Arial"/>
          <w:color w:val="000000" w:themeColor="text1"/>
          <w:sz w:val="19"/>
          <w:szCs w:val="19"/>
        </w:rPr>
        <w:t xml:space="preserve"> </w:t>
      </w:r>
      <w:r w:rsidRPr="00A83DE5">
        <w:rPr>
          <w:rFonts w:ascii="Arial" w:hAnsi="Arial" w:cs="Arial"/>
          <w:color w:val="000000" w:themeColor="text1"/>
          <w:sz w:val="19"/>
          <w:szCs w:val="19"/>
          <w:lang w:val="es-CO"/>
        </w:rPr>
        <w:t>Ley 1882 de 2018: «Artículo 4.</w:t>
      </w:r>
      <w:r w:rsidRPr="00640E20">
        <w:rPr>
          <w:rFonts w:ascii="Arial" w:hAnsi="Arial" w:cs="Arial"/>
          <w:color w:val="000000" w:themeColor="text1"/>
          <w:sz w:val="19"/>
          <w:szCs w:val="19"/>
          <w:lang w:val="es-CO"/>
        </w:rPr>
        <w:t xml:space="preserve"> </w:t>
      </w:r>
      <w:r w:rsidRPr="00640E20">
        <w:rPr>
          <w:rFonts w:ascii="Arial" w:hAnsi="Arial" w:cs="Arial"/>
          <w:color w:val="000000" w:themeColor="text1"/>
          <w:sz w:val="19"/>
          <w:szCs w:val="19"/>
        </w:rPr>
        <w:t>El Gobierno nacional adoptará documentos tipo para los pliegos de condiciones de los procesos de selección de obras públicas, interventoría para las obras públicas, interventoría para consultoría de estudios y diseños para obras públicas, consultoría en ingeniería para obras, los cuales deberán ser utilizados por todas las entidades sometidas al Estatuto General de la Contratación de la Administración Pública en los procesos de selección que adelanten. Dentro de los documentos tipo el Gobierno adoptará de manera general y con alcance obligatorio para todas las entidades sometidas al Estatuto General de Contratación de la Administración Pública, las condiciones habilitantes, así como los factores técnicos y económicos de escogencia, según corresponda a cada modalidad de selección y la ponderación precisa y detallada de los mismos, que deberán incluirse en los pliegos de condiciones, teniendo en cuenta la naturaleza y cuantía de los contratos. Para la adopción de esta reglamentación el Gobierno tendrá en cuenta las características propias de las regiones con el ánimo de promover el empleo local.</w:t>
      </w:r>
    </w:p>
    <w:p w14:paraId="6279BD63" w14:textId="77777777" w:rsidR="00031AD9" w:rsidRPr="00640E20" w:rsidRDefault="00031AD9" w:rsidP="00012E96">
      <w:pPr>
        <w:pStyle w:val="Textonotapie"/>
        <w:ind w:firstLine="709"/>
        <w:jc w:val="both"/>
        <w:rPr>
          <w:rFonts w:ascii="Arial" w:hAnsi="Arial" w:cs="Arial"/>
          <w:color w:val="000000" w:themeColor="text1"/>
          <w:sz w:val="19"/>
          <w:szCs w:val="19"/>
          <w:lang w:val="es-CO"/>
        </w:rPr>
      </w:pPr>
      <w:r w:rsidRPr="00640E20">
        <w:rPr>
          <w:rFonts w:ascii="Arial" w:hAnsi="Arial" w:cs="Arial"/>
          <w:color w:val="000000" w:themeColor="text1"/>
          <w:sz w:val="19"/>
          <w:szCs w:val="19"/>
          <w:lang w:val="es-CO"/>
        </w:rPr>
        <w:t>»La facultad de adoptar documentos tipo la tendrá el Gobierno nacional, cuando lo considere necesario, en relación con otros contratos o procesos de selección.</w:t>
      </w:r>
    </w:p>
    <w:p w14:paraId="73636B9C" w14:textId="77777777" w:rsidR="00031AD9" w:rsidRPr="00640E20" w:rsidRDefault="00031AD9" w:rsidP="00012E96">
      <w:pPr>
        <w:pStyle w:val="Textonotapie"/>
        <w:ind w:firstLine="709"/>
        <w:jc w:val="both"/>
        <w:rPr>
          <w:rFonts w:ascii="Arial" w:hAnsi="Arial" w:cs="Arial"/>
          <w:color w:val="000000" w:themeColor="text1"/>
          <w:sz w:val="19"/>
          <w:szCs w:val="19"/>
          <w:lang w:val="es-CO"/>
        </w:rPr>
      </w:pPr>
      <w:r w:rsidRPr="00640E20">
        <w:rPr>
          <w:rFonts w:ascii="Arial" w:hAnsi="Arial" w:cs="Arial"/>
          <w:color w:val="000000" w:themeColor="text1"/>
          <w:sz w:val="19"/>
          <w:szCs w:val="19"/>
          <w:lang w:val="es-CO"/>
        </w:rPr>
        <w:t>»Los pliegos tipo se adoptarán por categorías de acuerdo con la cuantía de la contratación, según la reglamentación que expida el Gobierno nacional».</w:t>
      </w:r>
    </w:p>
  </w:footnote>
  <w:footnote w:id="5">
    <w:p w14:paraId="2E212F40" w14:textId="10FF83E7" w:rsidR="00031AD9" w:rsidRPr="00640E20" w:rsidRDefault="00031AD9" w:rsidP="00012E96">
      <w:pPr>
        <w:pStyle w:val="Textonotapie"/>
        <w:ind w:firstLine="709"/>
        <w:jc w:val="both"/>
        <w:rPr>
          <w:rFonts w:ascii="Arial" w:hAnsi="Arial" w:cs="Arial"/>
          <w:color w:val="000000" w:themeColor="text1"/>
          <w:sz w:val="19"/>
          <w:szCs w:val="19"/>
        </w:rPr>
      </w:pPr>
      <w:r w:rsidRPr="00E858D2">
        <w:rPr>
          <w:rStyle w:val="Refdenotaalpie"/>
          <w:rFonts w:ascii="Arial" w:hAnsi="Arial" w:cs="Arial"/>
          <w:sz w:val="19"/>
          <w:szCs w:val="19"/>
        </w:rPr>
        <w:footnoteRef/>
      </w:r>
      <w:r w:rsidRPr="00A83DE5">
        <w:rPr>
          <w:rFonts w:ascii="Arial" w:hAnsi="Arial" w:cs="Arial"/>
          <w:color w:val="000000" w:themeColor="text1"/>
          <w:sz w:val="19"/>
          <w:szCs w:val="19"/>
        </w:rPr>
        <w:t xml:space="preserve"> Corte Constitucional. Sentencia C-119 de 2020. M.P. Alejandro Linares Cantillo. «Encontró la Corte en el control abstracto de constitucionalidad, que de la norma no surge vulneración alguna de la autonomía de los entes territoriales, en cuanto que la estandariza</w:t>
      </w:r>
      <w:r w:rsidRPr="00640E20">
        <w:rPr>
          <w:rFonts w:ascii="Arial" w:hAnsi="Arial" w:cs="Arial"/>
          <w:color w:val="000000" w:themeColor="text1"/>
          <w:sz w:val="19"/>
          <w:szCs w:val="19"/>
        </w:rPr>
        <w:t>ción se predica únicamente de los requisitos habilitantes y los criterios de escogencia, elementos propios del procedimiento de selección de contratistas, materia en la que existe reserva de ley, el Legislador goza de un amplio margen de configuración normativa y que no se encuentra atribuida a la regulación de las entidades territoriales. Resaltó que la norma cuestionada no interfiere en la facultad de las entidades territoriales para gestionar sus propios intereses, la que, en materia contractual, se predica particularmente de la identificación autónoma de sus necesidades y la configuración de los elementos del contrato».</w:t>
      </w:r>
    </w:p>
  </w:footnote>
  <w:footnote w:id="6">
    <w:p w14:paraId="4A1E6A63" w14:textId="77777777" w:rsidR="00031AD9" w:rsidRPr="00012E96" w:rsidRDefault="00031AD9" w:rsidP="00012E96">
      <w:pPr>
        <w:pStyle w:val="NormalWeb"/>
        <w:spacing w:before="0" w:beforeAutospacing="0" w:after="0" w:afterAutospacing="0"/>
        <w:ind w:firstLine="709"/>
        <w:jc w:val="both"/>
        <w:rPr>
          <w:rFonts w:ascii="Arial" w:hAnsi="Arial" w:cs="Arial"/>
          <w:color w:val="000000" w:themeColor="text1"/>
          <w:sz w:val="19"/>
          <w:szCs w:val="19"/>
        </w:rPr>
      </w:pPr>
      <w:r w:rsidRPr="00285ACD">
        <w:rPr>
          <w:rStyle w:val="Refdenotaalpie"/>
          <w:rFonts w:ascii="Arial" w:hAnsi="Arial" w:cs="Arial"/>
          <w:sz w:val="19"/>
          <w:szCs w:val="19"/>
        </w:rPr>
        <w:footnoteRef/>
      </w:r>
      <w:r w:rsidRPr="00285ACD">
        <w:rPr>
          <w:rFonts w:ascii="Arial" w:hAnsi="Arial" w:cs="Arial"/>
          <w:color w:val="000000" w:themeColor="text1"/>
          <w:sz w:val="19"/>
          <w:szCs w:val="19"/>
        </w:rPr>
        <w:t xml:space="preserve"> </w:t>
      </w:r>
      <w:r w:rsidRPr="00012E96">
        <w:rPr>
          <w:rFonts w:ascii="Arial" w:hAnsi="Arial" w:cs="Arial"/>
          <w:color w:val="000000" w:themeColor="text1"/>
          <w:sz w:val="19"/>
          <w:szCs w:val="19"/>
        </w:rPr>
        <w:t>Ley 2022 de 2020: «</w:t>
      </w:r>
      <w:r w:rsidRPr="00012E96">
        <w:rPr>
          <w:rStyle w:val="Textoennegrita"/>
          <w:rFonts w:ascii="Arial" w:hAnsi="Arial" w:cs="Arial"/>
          <w:b w:val="0"/>
          <w:color w:val="000000" w:themeColor="text1"/>
          <w:sz w:val="19"/>
          <w:szCs w:val="19"/>
        </w:rPr>
        <w:t>Artículo 1º.</w:t>
      </w:r>
      <w:r w:rsidRPr="00012E96">
        <w:rPr>
          <w:rFonts w:ascii="Arial" w:hAnsi="Arial" w:cs="Arial"/>
          <w:color w:val="000000" w:themeColor="text1"/>
          <w:sz w:val="19"/>
          <w:szCs w:val="19"/>
        </w:rPr>
        <w:t> Modifíquese el artículo 4º de la Ley 1882 de 2018, el cual quedará así: </w:t>
      </w:r>
    </w:p>
    <w:p w14:paraId="0BE44464" w14:textId="77777777" w:rsidR="00031AD9" w:rsidRPr="00012E96" w:rsidRDefault="00031AD9" w:rsidP="00012E96">
      <w:pPr>
        <w:pStyle w:val="NormalWeb"/>
        <w:spacing w:before="0" w:beforeAutospacing="0" w:after="0" w:afterAutospacing="0"/>
        <w:ind w:firstLine="709"/>
        <w:jc w:val="both"/>
        <w:rPr>
          <w:rFonts w:ascii="Arial" w:hAnsi="Arial" w:cs="Arial"/>
          <w:color w:val="000000" w:themeColor="text1"/>
          <w:sz w:val="19"/>
          <w:szCs w:val="19"/>
        </w:rPr>
      </w:pPr>
      <w:r w:rsidRPr="00012E96">
        <w:rPr>
          <w:rStyle w:val="Textoennegrita"/>
          <w:rFonts w:ascii="Arial" w:hAnsi="Arial" w:cs="Arial"/>
          <w:b w:val="0"/>
          <w:color w:val="000000" w:themeColor="text1"/>
          <w:sz w:val="19"/>
          <w:szCs w:val="19"/>
        </w:rPr>
        <w:t>»Artículo 4º.</w:t>
      </w:r>
      <w:r w:rsidRPr="00012E96">
        <w:rPr>
          <w:rFonts w:ascii="Arial" w:hAnsi="Arial" w:cs="Arial"/>
          <w:color w:val="000000" w:themeColor="text1"/>
          <w:sz w:val="19"/>
          <w:szCs w:val="19"/>
        </w:rPr>
        <w:t> Adiciónese el siguiente parágrafo al artículo 2º de la Ley 1150 de 2007. </w:t>
      </w:r>
    </w:p>
    <w:p w14:paraId="4F205D6F" w14:textId="77777777" w:rsidR="00031AD9" w:rsidRPr="00285ACD" w:rsidRDefault="00031AD9" w:rsidP="00012E96">
      <w:pPr>
        <w:pStyle w:val="NormalWeb"/>
        <w:spacing w:before="0" w:beforeAutospacing="0" w:after="0" w:afterAutospacing="0"/>
        <w:ind w:firstLine="709"/>
        <w:jc w:val="both"/>
        <w:rPr>
          <w:rFonts w:ascii="Arial" w:hAnsi="Arial" w:cs="Arial"/>
          <w:color w:val="000000" w:themeColor="text1"/>
          <w:sz w:val="19"/>
          <w:szCs w:val="19"/>
        </w:rPr>
      </w:pPr>
      <w:r w:rsidRPr="00012E96">
        <w:rPr>
          <w:rStyle w:val="Textoennegrita"/>
          <w:rFonts w:ascii="Arial" w:hAnsi="Arial" w:cs="Arial"/>
          <w:b w:val="0"/>
          <w:color w:val="000000" w:themeColor="text1"/>
          <w:sz w:val="19"/>
          <w:szCs w:val="19"/>
        </w:rPr>
        <w:t>»Parágrafo 7º.</w:t>
      </w:r>
      <w:r w:rsidRPr="00012E96">
        <w:rPr>
          <w:rFonts w:ascii="Arial" w:hAnsi="Arial" w:cs="Arial"/>
          <w:color w:val="000000" w:themeColor="text1"/>
          <w:sz w:val="19"/>
          <w:szCs w:val="19"/>
        </w:rPr>
        <w:t> La Agencia Nacional de Contratación Pública Colombia Compra Eficiente o quien haga sus veces,</w:t>
      </w:r>
      <w:r w:rsidRPr="00285ACD">
        <w:rPr>
          <w:rFonts w:ascii="Arial" w:hAnsi="Arial" w:cs="Arial"/>
          <w:color w:val="000000" w:themeColor="text1"/>
          <w:sz w:val="19"/>
          <w:szCs w:val="19"/>
        </w:rPr>
        <w:t xml:space="preserve"> adoptará documentos tipo que serán de obligatorio cumplimiento en la actividad contractual de todas las entidades sometidas al Estatuto General de Contratación de la Administración Pública. </w:t>
      </w:r>
    </w:p>
    <w:p w14:paraId="27AD5281" w14:textId="77777777" w:rsidR="00031AD9" w:rsidRPr="00285ACD" w:rsidRDefault="00031AD9" w:rsidP="00012E96">
      <w:pPr>
        <w:pStyle w:val="NormalWeb"/>
        <w:spacing w:before="0" w:beforeAutospacing="0" w:after="0" w:afterAutospacing="0"/>
        <w:ind w:firstLine="709"/>
        <w:jc w:val="both"/>
        <w:rPr>
          <w:rFonts w:ascii="Arial" w:hAnsi="Arial" w:cs="Arial"/>
          <w:color w:val="000000" w:themeColor="text1"/>
          <w:sz w:val="19"/>
          <w:szCs w:val="19"/>
        </w:rPr>
      </w:pPr>
      <w:r w:rsidRPr="00285ACD">
        <w:rPr>
          <w:rFonts w:ascii="Arial" w:hAnsi="Arial" w:cs="Arial"/>
          <w:color w:val="000000" w:themeColor="text1"/>
          <w:sz w:val="19"/>
          <w:szCs w:val="19"/>
        </w:rPr>
        <w:t>»Dentro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 </w:t>
      </w:r>
    </w:p>
    <w:p w14:paraId="3F42D6E9" w14:textId="77777777" w:rsidR="00031AD9" w:rsidRPr="00285ACD" w:rsidRDefault="00031AD9" w:rsidP="00012E96">
      <w:pPr>
        <w:pStyle w:val="NormalWeb"/>
        <w:spacing w:before="0" w:beforeAutospacing="0" w:after="0" w:afterAutospacing="0"/>
        <w:ind w:firstLine="709"/>
        <w:jc w:val="both"/>
        <w:rPr>
          <w:rFonts w:ascii="Arial" w:hAnsi="Arial" w:cs="Arial"/>
          <w:color w:val="000000" w:themeColor="text1"/>
          <w:sz w:val="19"/>
          <w:szCs w:val="19"/>
        </w:rPr>
      </w:pPr>
      <w:r w:rsidRPr="00285ACD">
        <w:rPr>
          <w:rFonts w:ascii="Arial" w:hAnsi="Arial" w:cs="Arial"/>
          <w:color w:val="000000" w:themeColor="text1"/>
          <w:sz w:val="19"/>
          <w:szCs w:val="19"/>
        </w:rPr>
        <w:t>»Con el ánimo de promover la descentralización, el empleo local, el desarrollo, los servicios e industria local, en la adopción de los documentos tipo, se tendrá en cuenta las características propias de las regiones, la cuantía, el fomento de la economía local y la naturaleza y especialidad de la contratación. Para tal efecto se deberá llevar a cabo un proceso de capacitación para los municipios. </w:t>
      </w:r>
    </w:p>
    <w:p w14:paraId="023B7D64" w14:textId="77777777" w:rsidR="00031AD9" w:rsidRPr="00285ACD" w:rsidRDefault="00031AD9" w:rsidP="00012E96">
      <w:pPr>
        <w:pStyle w:val="NormalWeb"/>
        <w:spacing w:before="0" w:beforeAutospacing="0" w:after="0" w:afterAutospacing="0"/>
        <w:ind w:firstLine="709"/>
        <w:jc w:val="both"/>
        <w:rPr>
          <w:rFonts w:ascii="Arial" w:hAnsi="Arial" w:cs="Arial"/>
          <w:color w:val="000000" w:themeColor="text1"/>
          <w:sz w:val="19"/>
          <w:szCs w:val="19"/>
        </w:rPr>
      </w:pPr>
      <w:r w:rsidRPr="00285ACD">
        <w:rPr>
          <w:rFonts w:ascii="Arial" w:hAnsi="Arial" w:cs="Arial"/>
          <w:color w:val="000000" w:themeColor="text1"/>
          <w:sz w:val="19"/>
          <w:szCs w:val="19"/>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 </w:t>
      </w:r>
    </w:p>
    <w:p w14:paraId="3F462983" w14:textId="77777777" w:rsidR="00031AD9" w:rsidRPr="00640E20" w:rsidRDefault="00031AD9" w:rsidP="00012E96">
      <w:pPr>
        <w:pStyle w:val="NormalWeb"/>
        <w:spacing w:before="0" w:beforeAutospacing="0" w:after="0" w:afterAutospacing="0"/>
        <w:ind w:firstLine="709"/>
        <w:jc w:val="both"/>
        <w:rPr>
          <w:rFonts w:ascii="Arial" w:hAnsi="Arial" w:cs="Arial"/>
          <w:color w:val="000000" w:themeColor="text1"/>
          <w:sz w:val="19"/>
          <w:szCs w:val="19"/>
        </w:rPr>
      </w:pPr>
      <w:r w:rsidRPr="00285ACD">
        <w:rPr>
          <w:rFonts w:ascii="Arial" w:hAnsi="Arial" w:cs="Arial"/>
          <w:color w:val="000000" w:themeColor="text1"/>
          <w:sz w:val="19"/>
          <w:szCs w:val="19"/>
        </w:rPr>
        <w:t>»En todo caso, serán de uso obligatorio los documentos tipo para los pliegos de condiciones de los procesos de selección de obras públicas, interventoría para las obras públicas interventoría para consultoría de estudios y diseños para obras públicas, consultoría en ingeniería para obras, que lleven a cabo todas las entidades sometidas al Estatuto General de Contratación de la Administración Pública, en los términos fijados mediante la reglamentación correspondiente».</w:t>
      </w:r>
    </w:p>
  </w:footnote>
  <w:footnote w:id="7">
    <w:p w14:paraId="3F6B9BAF" w14:textId="60A91817" w:rsidR="00910FF7" w:rsidRPr="00AC19AC" w:rsidRDefault="00910FF7" w:rsidP="00AC19AC">
      <w:pPr>
        <w:pStyle w:val="Textonotapie"/>
        <w:ind w:firstLine="708"/>
        <w:jc w:val="both"/>
        <w:rPr>
          <w:rFonts w:ascii="Arial" w:hAnsi="Arial" w:cs="Arial"/>
          <w:sz w:val="19"/>
          <w:szCs w:val="19"/>
        </w:rPr>
      </w:pPr>
      <w:r w:rsidRPr="00AC19AC">
        <w:rPr>
          <w:rStyle w:val="Refdenotaalpie"/>
          <w:rFonts w:ascii="Arial" w:hAnsi="Arial" w:cs="Arial"/>
          <w:sz w:val="19"/>
          <w:szCs w:val="19"/>
        </w:rPr>
        <w:footnoteRef/>
      </w:r>
      <w:r w:rsidRPr="00AC19AC">
        <w:rPr>
          <w:rFonts w:ascii="Arial" w:hAnsi="Arial" w:cs="Arial"/>
          <w:sz w:val="19"/>
          <w:szCs w:val="19"/>
        </w:rPr>
        <w:t xml:space="preserve"> Dichos documentos tipo pueden consultarse en el siguiente enlace: </w:t>
      </w:r>
      <w:r w:rsidR="00EE570D" w:rsidRPr="00AC19AC">
        <w:rPr>
          <w:rFonts w:ascii="Arial" w:hAnsi="Arial" w:cs="Arial"/>
          <w:sz w:val="19"/>
          <w:szCs w:val="19"/>
        </w:rPr>
        <w:t>https://www.colombiacompra.gov.co/documentos-tipo/documentos-tipo</w:t>
      </w:r>
    </w:p>
  </w:footnote>
  <w:footnote w:id="8">
    <w:p w14:paraId="01B36BAD" w14:textId="6B185306" w:rsidR="00031AD9" w:rsidRPr="00B06FD5" w:rsidRDefault="00031AD9" w:rsidP="00012E96">
      <w:pPr>
        <w:pStyle w:val="Textonotapie"/>
        <w:ind w:firstLine="709"/>
        <w:jc w:val="both"/>
        <w:rPr>
          <w:rFonts w:ascii="Arial" w:hAnsi="Arial" w:cs="Arial"/>
          <w:color w:val="000000" w:themeColor="text1"/>
          <w:sz w:val="19"/>
          <w:szCs w:val="19"/>
        </w:rPr>
      </w:pPr>
      <w:r w:rsidRPr="00E858D2">
        <w:rPr>
          <w:rStyle w:val="Refdenotaalpie"/>
          <w:rFonts w:ascii="Arial" w:hAnsi="Arial" w:cs="Arial"/>
          <w:sz w:val="19"/>
          <w:szCs w:val="19"/>
        </w:rPr>
        <w:footnoteRef/>
      </w:r>
      <w:r w:rsidRPr="00640E20">
        <w:rPr>
          <w:rFonts w:ascii="Arial" w:hAnsi="Arial" w:cs="Arial"/>
          <w:color w:val="000000" w:themeColor="text1"/>
          <w:sz w:val="19"/>
          <w:szCs w:val="19"/>
        </w:rPr>
        <w:t xml:space="preserve"> ». CONGRESO DE LA REPÚBLICA. Gaceta Nº 1677 del 23 de noviembre de 2021. Justificación jurídica del Proyecto de Ley</w:t>
      </w:r>
      <w:r w:rsidR="00012E96">
        <w:rPr>
          <w:rFonts w:ascii="Arial" w:hAnsi="Arial" w:cs="Arial"/>
          <w:color w:val="000000" w:themeColor="text1"/>
          <w:sz w:val="19"/>
          <w:szCs w:val="19"/>
        </w:rPr>
        <w:t xml:space="preserve"> No. 226 de 2021 Cámara. p. 15.</w:t>
      </w:r>
    </w:p>
  </w:footnote>
  <w:footnote w:id="9">
    <w:p w14:paraId="5B36713C" w14:textId="77777777" w:rsidR="00031AD9" w:rsidRPr="00640E20" w:rsidRDefault="00031AD9" w:rsidP="00012E96">
      <w:pPr>
        <w:pStyle w:val="NormalWeb"/>
        <w:spacing w:before="0" w:beforeAutospacing="0" w:after="0" w:afterAutospacing="0"/>
        <w:ind w:firstLine="708"/>
        <w:jc w:val="both"/>
        <w:rPr>
          <w:rFonts w:ascii="Arial" w:hAnsi="Arial" w:cs="Arial"/>
          <w:color w:val="000000"/>
          <w:sz w:val="19"/>
          <w:szCs w:val="19"/>
        </w:rPr>
      </w:pPr>
      <w:r w:rsidRPr="00012E96">
        <w:rPr>
          <w:rStyle w:val="Refdenotaalpie"/>
          <w:rFonts w:ascii="Arial" w:hAnsi="Arial" w:cs="Arial"/>
          <w:b/>
          <w:sz w:val="19"/>
          <w:szCs w:val="19"/>
        </w:rPr>
        <w:footnoteRef/>
      </w:r>
      <w:r w:rsidRPr="00012E96">
        <w:rPr>
          <w:rFonts w:ascii="Arial" w:hAnsi="Arial" w:cs="Arial"/>
          <w:b/>
          <w:sz w:val="19"/>
          <w:szCs w:val="19"/>
        </w:rPr>
        <w:t xml:space="preserve"> «</w:t>
      </w:r>
      <w:r w:rsidRPr="00012E96">
        <w:rPr>
          <w:rStyle w:val="Textoennegrita"/>
          <w:rFonts w:ascii="Arial" w:hAnsi="Arial" w:cs="Arial"/>
          <w:b w:val="0"/>
          <w:color w:val="000000"/>
          <w:sz w:val="19"/>
          <w:szCs w:val="19"/>
        </w:rPr>
        <w:t>Artículo 2°.</w:t>
      </w:r>
      <w:r w:rsidRPr="00012E96">
        <w:rPr>
          <w:rStyle w:val="nfasis"/>
          <w:rFonts w:ascii="Arial" w:hAnsi="Arial" w:cs="Arial"/>
          <w:color w:val="000000"/>
          <w:sz w:val="19"/>
          <w:szCs w:val="19"/>
        </w:rPr>
        <w:t>De</w:t>
      </w:r>
      <w:r w:rsidRPr="00B06FD5">
        <w:rPr>
          <w:rStyle w:val="nfasis"/>
          <w:rFonts w:ascii="Arial" w:hAnsi="Arial" w:cs="Arial"/>
          <w:color w:val="000000"/>
          <w:sz w:val="19"/>
          <w:szCs w:val="19"/>
        </w:rPr>
        <w:t xml:space="preserve"> las modalidades de selección. </w:t>
      </w:r>
      <w:r w:rsidRPr="00B06FD5">
        <w:rPr>
          <w:rFonts w:ascii="Arial" w:hAnsi="Arial" w:cs="Arial"/>
          <w:color w:val="000000"/>
          <w:sz w:val="19"/>
          <w:szCs w:val="19"/>
        </w:rPr>
        <w:t xml:space="preserve">La escogencia del contratista se efectuará con arreglo a las modalidades de selección de licitación pública, selección abreviada, concurso de méritos y contratación directa, con base en las siguientes reglas:  </w:t>
      </w:r>
    </w:p>
    <w:p w14:paraId="52A2FD24" w14:textId="77777777" w:rsidR="00031AD9" w:rsidRPr="00640E20" w:rsidRDefault="00031AD9" w:rsidP="00012E96">
      <w:pPr>
        <w:pStyle w:val="NormalWeb"/>
        <w:spacing w:before="0" w:beforeAutospacing="0" w:after="0" w:afterAutospacing="0"/>
        <w:ind w:firstLine="708"/>
        <w:jc w:val="both"/>
        <w:rPr>
          <w:rFonts w:ascii="Arial" w:hAnsi="Arial" w:cs="Arial"/>
          <w:color w:val="000000"/>
          <w:sz w:val="19"/>
          <w:szCs w:val="19"/>
        </w:rPr>
      </w:pPr>
      <w:r w:rsidRPr="00640E20">
        <w:rPr>
          <w:rFonts w:ascii="Arial" w:hAnsi="Arial" w:cs="Arial"/>
          <w:color w:val="000000"/>
          <w:sz w:val="19"/>
          <w:szCs w:val="19"/>
        </w:rPr>
        <w:t>[…]</w:t>
      </w:r>
    </w:p>
    <w:p w14:paraId="51D61F99" w14:textId="77777777" w:rsidR="00031AD9" w:rsidRPr="00640E20" w:rsidRDefault="00031AD9" w:rsidP="00012E96">
      <w:pPr>
        <w:pStyle w:val="NormalWeb"/>
        <w:spacing w:before="0" w:beforeAutospacing="0" w:after="0" w:afterAutospacing="0"/>
        <w:ind w:firstLine="708"/>
        <w:jc w:val="both"/>
        <w:rPr>
          <w:rFonts w:ascii="Arial" w:hAnsi="Arial" w:cs="Arial"/>
          <w:color w:val="000000"/>
          <w:sz w:val="19"/>
          <w:szCs w:val="19"/>
        </w:rPr>
      </w:pPr>
      <w:r w:rsidRPr="00640E20">
        <w:rPr>
          <w:rFonts w:ascii="Arial" w:hAnsi="Arial" w:cs="Arial"/>
          <w:color w:val="000000"/>
          <w:sz w:val="19"/>
          <w:szCs w:val="19"/>
        </w:rPr>
        <w:t>»4. Contratación directa</w:t>
      </w:r>
      <w:r w:rsidRPr="00640E20">
        <w:rPr>
          <w:rFonts w:ascii="Arial" w:hAnsi="Arial" w:cs="Arial"/>
          <w:b/>
          <w:bCs/>
          <w:color w:val="000000"/>
          <w:sz w:val="19"/>
          <w:szCs w:val="19"/>
        </w:rPr>
        <w:t>. </w:t>
      </w:r>
      <w:r w:rsidRPr="00640E20">
        <w:rPr>
          <w:rFonts w:ascii="Arial" w:hAnsi="Arial" w:cs="Arial"/>
          <w:color w:val="000000"/>
          <w:sz w:val="19"/>
          <w:szCs w:val="19"/>
        </w:rPr>
        <w:t>La modalidad de selección de contratación directa, solamente procederá en los siguientes casos: </w:t>
      </w:r>
    </w:p>
    <w:p w14:paraId="1E872267" w14:textId="77777777" w:rsidR="00031AD9" w:rsidRPr="00640E20" w:rsidRDefault="00031AD9" w:rsidP="00012E96">
      <w:pPr>
        <w:jc w:val="both"/>
        <w:rPr>
          <w:rFonts w:ascii="Arial" w:hAnsi="Arial" w:cs="Arial"/>
          <w:color w:val="000000"/>
          <w:sz w:val="19"/>
          <w:szCs w:val="19"/>
          <w:lang w:eastAsia="es-CO"/>
        </w:rPr>
      </w:pPr>
      <w:r w:rsidRPr="00640E20">
        <w:rPr>
          <w:rFonts w:ascii="Arial" w:hAnsi="Arial" w:cs="Arial"/>
          <w:color w:val="000000"/>
          <w:sz w:val="19"/>
          <w:szCs w:val="19"/>
          <w:lang w:eastAsia="es-CO"/>
        </w:rPr>
        <w:t>  […]  </w:t>
      </w:r>
    </w:p>
    <w:p w14:paraId="413F7986" w14:textId="77777777" w:rsidR="00031AD9" w:rsidRPr="00640E20" w:rsidRDefault="00031AD9" w:rsidP="00012E96">
      <w:pPr>
        <w:ind w:firstLine="708"/>
        <w:jc w:val="both"/>
        <w:rPr>
          <w:rFonts w:ascii="Arial" w:hAnsi="Arial" w:cs="Arial"/>
          <w:color w:val="000000"/>
          <w:sz w:val="19"/>
          <w:szCs w:val="19"/>
          <w:lang w:eastAsia="es-CO"/>
        </w:rPr>
      </w:pPr>
      <w:r w:rsidRPr="00640E20">
        <w:rPr>
          <w:rFonts w:ascii="Arial" w:hAnsi="Arial" w:cs="Arial"/>
          <w:color w:val="000000"/>
          <w:sz w:val="19"/>
          <w:szCs w:val="19"/>
          <w:lang w:eastAsia="es-CO"/>
        </w:rPr>
        <w:t>»c) Contratos interadministrativos, siempre que las obligaciones derivadas del mismo tengan relación directa con el objeto de la entidad ejecutora señalado en la ley o en sus reglamentos.  </w:t>
      </w:r>
    </w:p>
    <w:p w14:paraId="3B25D4AF" w14:textId="77777777" w:rsidR="00031AD9" w:rsidRPr="00640E20" w:rsidRDefault="00031AD9" w:rsidP="00012E96">
      <w:pPr>
        <w:jc w:val="both"/>
        <w:rPr>
          <w:rFonts w:ascii="Arial" w:hAnsi="Arial" w:cs="Arial"/>
          <w:color w:val="000000"/>
          <w:sz w:val="19"/>
          <w:szCs w:val="19"/>
          <w:lang w:eastAsia="es-CO"/>
        </w:rPr>
      </w:pPr>
      <w:r w:rsidRPr="00640E20">
        <w:rPr>
          <w:rFonts w:ascii="Arial" w:hAnsi="Arial" w:cs="Arial"/>
          <w:color w:val="000000"/>
          <w:sz w:val="19"/>
          <w:szCs w:val="19"/>
          <w:lang w:eastAsia="es-CO"/>
        </w:rPr>
        <w:t>  </w:t>
      </w:r>
      <w:r w:rsidRPr="00640E20">
        <w:rPr>
          <w:rFonts w:ascii="Arial" w:hAnsi="Arial" w:cs="Arial"/>
          <w:color w:val="000000"/>
          <w:sz w:val="19"/>
          <w:szCs w:val="19"/>
          <w:lang w:eastAsia="es-CO"/>
        </w:rPr>
        <w:tab/>
        <w:t>»Se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  </w:t>
      </w:r>
    </w:p>
    <w:p w14:paraId="355D1099" w14:textId="77777777" w:rsidR="00031AD9" w:rsidRPr="00640E20" w:rsidRDefault="00031AD9" w:rsidP="00012E96">
      <w:pPr>
        <w:jc w:val="both"/>
        <w:rPr>
          <w:rFonts w:ascii="Arial" w:hAnsi="Arial" w:cs="Arial"/>
          <w:color w:val="000000"/>
          <w:sz w:val="19"/>
          <w:szCs w:val="19"/>
          <w:lang w:eastAsia="es-CO"/>
        </w:rPr>
      </w:pPr>
      <w:r w:rsidRPr="00640E20">
        <w:rPr>
          <w:rFonts w:ascii="Arial" w:hAnsi="Arial" w:cs="Arial"/>
          <w:color w:val="000000"/>
          <w:sz w:val="19"/>
          <w:szCs w:val="19"/>
          <w:lang w:eastAsia="es-CO"/>
        </w:rPr>
        <w:t>  </w:t>
      </w:r>
      <w:r w:rsidRPr="00640E20">
        <w:rPr>
          <w:rFonts w:ascii="Arial" w:hAnsi="Arial" w:cs="Arial"/>
          <w:color w:val="000000"/>
          <w:sz w:val="19"/>
          <w:szCs w:val="19"/>
          <w:lang w:eastAsia="es-CO"/>
        </w:rPr>
        <w:tab/>
        <w:t>»En aquellos eventos en que el régimen aplicable a la contratación de la entidad ejecutora no sea el de la Ley 80 de 1993, la ejecución de dichos contratos estará en todo caso sometida a esta ley, salvo que la entidad ejecutora desarrolle su actividad en competencia con el sector privado o cuando la ejecución del contrato interadministrativo tenga relación directa con el desarrollo de su actividad.  </w:t>
      </w:r>
    </w:p>
    <w:p w14:paraId="4E527AF3" w14:textId="77777777" w:rsidR="00031AD9" w:rsidRPr="00640E20" w:rsidRDefault="00031AD9" w:rsidP="00012E96">
      <w:pPr>
        <w:jc w:val="both"/>
        <w:rPr>
          <w:rFonts w:ascii="Arial" w:hAnsi="Arial" w:cs="Arial"/>
          <w:color w:val="000000"/>
          <w:sz w:val="19"/>
          <w:szCs w:val="19"/>
          <w:lang w:eastAsia="es-CO"/>
        </w:rPr>
      </w:pPr>
      <w:r w:rsidRPr="00640E20">
        <w:rPr>
          <w:rFonts w:ascii="Arial" w:hAnsi="Arial" w:cs="Arial"/>
          <w:color w:val="000000"/>
          <w:sz w:val="19"/>
          <w:szCs w:val="19"/>
          <w:lang w:eastAsia="es-CO"/>
        </w:rPr>
        <w:t>  </w:t>
      </w:r>
      <w:r w:rsidRPr="00640E20">
        <w:rPr>
          <w:rFonts w:ascii="Arial" w:hAnsi="Arial" w:cs="Arial"/>
          <w:color w:val="000000"/>
          <w:sz w:val="19"/>
          <w:szCs w:val="19"/>
          <w:lang w:eastAsia="es-CO"/>
        </w:rPr>
        <w:tab/>
        <w:t>»En aquellos casos en que la entidad estatal ejecutora deba subcontratar algunas de las actividades derivadas del contrato principal, no podrá ni ella ni el subcontratista, contratar o vincular a las personas naturales o jurídicas que hayan participado en la elaboración de los estudios, diseños y proyectos que tengan relación directa con el objeto del contrato principal. </w:t>
      </w:r>
    </w:p>
    <w:p w14:paraId="4D438D0D" w14:textId="4F9E2FF6" w:rsidR="00031AD9" w:rsidRPr="00640E20" w:rsidRDefault="00031AD9" w:rsidP="00012E96">
      <w:pPr>
        <w:jc w:val="both"/>
        <w:rPr>
          <w:rFonts w:ascii="Arial" w:hAnsi="Arial" w:cs="Arial"/>
          <w:sz w:val="19"/>
          <w:szCs w:val="19"/>
        </w:rPr>
      </w:pPr>
      <w:r w:rsidRPr="00640E20">
        <w:rPr>
          <w:rFonts w:ascii="Arial" w:hAnsi="Arial" w:cs="Arial"/>
          <w:color w:val="000000"/>
          <w:sz w:val="19"/>
          <w:szCs w:val="19"/>
          <w:lang w:eastAsia="es-CO"/>
        </w:rPr>
        <w:t>  </w:t>
      </w:r>
      <w:r w:rsidRPr="00640E20">
        <w:rPr>
          <w:rFonts w:ascii="Arial" w:hAnsi="Arial" w:cs="Arial"/>
          <w:color w:val="000000"/>
          <w:sz w:val="19"/>
          <w:szCs w:val="19"/>
          <w:lang w:eastAsia="es-CO"/>
        </w:rPr>
        <w:tab/>
        <w:t>»Estarán exceptuados de la figura del contrato interadministrativo, los contratos de seguro de las entidades estatales</w:t>
      </w:r>
      <w:r w:rsidR="002813C6">
        <w:rPr>
          <w:rFonts w:ascii="Arial" w:hAnsi="Arial" w:cs="Arial"/>
          <w:color w:val="000000"/>
          <w:sz w:val="19"/>
          <w:szCs w:val="19"/>
          <w:lang w:eastAsia="es-CO"/>
        </w:rPr>
        <w:t xml:space="preserve"> </w:t>
      </w:r>
      <w:r w:rsidRPr="00640E20">
        <w:rPr>
          <w:rFonts w:ascii="Arial" w:hAnsi="Arial" w:cs="Arial"/>
          <w:color w:val="000000"/>
          <w:sz w:val="19"/>
          <w:szCs w:val="19"/>
          <w:lang w:eastAsia="es-CO"/>
        </w:rPr>
        <w:t>[…]». </w:t>
      </w:r>
      <w:r w:rsidRPr="00640E20">
        <w:rPr>
          <w:rFonts w:ascii="Arial" w:hAnsi="Arial" w:cs="Arial"/>
          <w:sz w:val="19"/>
          <w:szCs w:val="19"/>
        </w:rPr>
        <w:t xml:space="preserve"> </w:t>
      </w:r>
    </w:p>
  </w:footnote>
  <w:footnote w:id="10">
    <w:p w14:paraId="3386FE38" w14:textId="77777777" w:rsidR="00031AD9" w:rsidRPr="00640E20" w:rsidRDefault="00031AD9" w:rsidP="00012E96">
      <w:pPr>
        <w:pStyle w:val="Textonotapie"/>
        <w:ind w:firstLine="708"/>
        <w:jc w:val="both"/>
        <w:rPr>
          <w:rFonts w:ascii="Arial" w:hAnsi="Arial" w:cs="Arial"/>
          <w:sz w:val="19"/>
          <w:szCs w:val="19"/>
          <w:lang w:val="es-CO"/>
        </w:rPr>
      </w:pPr>
      <w:r w:rsidRPr="00E858D2">
        <w:rPr>
          <w:rStyle w:val="Refdenotaalpie"/>
          <w:rFonts w:ascii="Arial" w:hAnsi="Arial" w:cs="Arial"/>
          <w:sz w:val="19"/>
          <w:szCs w:val="19"/>
        </w:rPr>
        <w:footnoteRef/>
      </w:r>
      <w:r w:rsidRPr="00640E20">
        <w:rPr>
          <w:rFonts w:ascii="Arial" w:hAnsi="Arial" w:cs="Arial"/>
          <w:sz w:val="19"/>
          <w:szCs w:val="19"/>
        </w:rPr>
        <w:t xml:space="preserve"> Este es uno de los casos típicos de antinomias que ha identificado la doctrina, que al respecto ha señalado: «Segundo caso: antinomias entre normas provenientes de dos fuentes distintas, pero del mismo tipo (por ejemplo, dos leyes estatales ordinarias) Ahora bien, dos fuentes del mismo tipo por lo general habrán sido promulgadas o emanadas en momentos distintos. En estos casos, la antinomia se resuelve dando la preferencia a la norma más reciente en el tiempo. La norma sucesiva debe ser aplicada, la anterior debe considerarse abrogada, ya no en vigencia […] Este modo de razonar constituye aplicación del principio cronológico: la norma sucesiva abroga la precedente («</w:t>
      </w:r>
      <w:r w:rsidRPr="00640E20">
        <w:rPr>
          <w:rFonts w:ascii="Arial" w:hAnsi="Arial" w:cs="Arial"/>
          <w:i/>
          <w:iCs/>
          <w:sz w:val="19"/>
          <w:szCs w:val="19"/>
        </w:rPr>
        <w:t>lex posterior derogat legi priori</w:t>
      </w:r>
      <w:r w:rsidRPr="00640E20">
        <w:rPr>
          <w:rFonts w:ascii="Arial" w:hAnsi="Arial" w:cs="Arial"/>
          <w:sz w:val="19"/>
          <w:szCs w:val="19"/>
        </w:rPr>
        <w:t xml:space="preserve">»)». GUASTINI, Ricardo. La interpretación de los documentos normativos. Trad. Cesar E. Moreno Primera Edición, Centro Iberoamericano de Investigaciones Jurídicas y Sociales: Derecho Global Editores, México, 2018. pp. 423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20770B" w14:textId="7847B1C0" w:rsidR="00E2520A" w:rsidRDefault="00E2520A">
    <w:pPr>
      <w:pStyle w:val="Encabezado"/>
    </w:pPr>
  </w:p>
  <w:p w14:paraId="2A80E31D" w14:textId="184E2E56" w:rsidR="00E2520A" w:rsidRDefault="00496AF2">
    <w:r>
      <w:rPr>
        <w:noProof/>
        <w:lang w:eastAsia="es-CO"/>
      </w:rPr>
      <w:drawing>
        <wp:anchor distT="0" distB="0" distL="114300" distR="114300" simplePos="0" relativeHeight="251659264" behindDoc="1" locked="0" layoutInCell="1" allowOverlap="1" wp14:anchorId="0FF83FFE" wp14:editId="5CE01BD8">
          <wp:simplePos x="0" y="0"/>
          <wp:positionH relativeFrom="margin">
            <wp:align>right</wp:align>
          </wp:positionH>
          <wp:positionV relativeFrom="paragraph">
            <wp:posOffset>158088</wp:posOffset>
          </wp:positionV>
          <wp:extent cx="1257300" cy="516255"/>
          <wp:effectExtent l="0" t="0" r="0" b="0"/>
          <wp:wrapTight wrapText="bothSides">
            <wp:wrapPolygon edited="0">
              <wp:start x="327" y="0"/>
              <wp:lineTo x="327" y="18332"/>
              <wp:lineTo x="1964" y="19129"/>
              <wp:lineTo x="11127" y="20723"/>
              <wp:lineTo x="12764" y="20723"/>
              <wp:lineTo x="19636" y="19129"/>
              <wp:lineTo x="21273" y="18332"/>
              <wp:lineTo x="20945" y="0"/>
              <wp:lineTo x="327" y="0"/>
            </wp:wrapPolygon>
          </wp:wrapTight>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257300" cy="5162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DBE9C96" w14:textId="489F09F7" w:rsidR="00E2520A" w:rsidRDefault="00E2520A"/>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E51AD"/>
    <w:multiLevelType w:val="hybridMultilevel"/>
    <w:tmpl w:val="BA722234"/>
    <w:lvl w:ilvl="0" w:tplc="1D4060DE">
      <w:start w:val="1"/>
      <w:numFmt w:val="decimal"/>
      <w:pStyle w:val="Capitulo8"/>
      <w:lvlText w:val="8.%1."/>
      <w:lvlJc w:val="left"/>
      <w:pPr>
        <w:ind w:left="1004" w:hanging="360"/>
      </w:pPr>
    </w:lvl>
    <w:lvl w:ilvl="1" w:tplc="240A0019">
      <w:start w:val="1"/>
      <w:numFmt w:val="lowerLetter"/>
      <w:lvlText w:val="%2."/>
      <w:lvlJc w:val="left"/>
      <w:pPr>
        <w:ind w:left="1724" w:hanging="360"/>
      </w:pPr>
    </w:lvl>
    <w:lvl w:ilvl="2" w:tplc="240A001B">
      <w:start w:val="1"/>
      <w:numFmt w:val="lowerRoman"/>
      <w:lvlText w:val="%3."/>
      <w:lvlJc w:val="right"/>
      <w:pPr>
        <w:ind w:left="2444" w:hanging="180"/>
      </w:pPr>
    </w:lvl>
    <w:lvl w:ilvl="3" w:tplc="240A000F">
      <w:start w:val="1"/>
      <w:numFmt w:val="decimal"/>
      <w:lvlText w:val="%4."/>
      <w:lvlJc w:val="left"/>
      <w:pPr>
        <w:ind w:left="3164" w:hanging="360"/>
      </w:pPr>
    </w:lvl>
    <w:lvl w:ilvl="4" w:tplc="240A0019">
      <w:start w:val="1"/>
      <w:numFmt w:val="lowerLetter"/>
      <w:lvlText w:val="%5."/>
      <w:lvlJc w:val="left"/>
      <w:pPr>
        <w:ind w:left="3884" w:hanging="360"/>
      </w:pPr>
    </w:lvl>
    <w:lvl w:ilvl="5" w:tplc="240A001B">
      <w:start w:val="1"/>
      <w:numFmt w:val="lowerRoman"/>
      <w:lvlText w:val="%6."/>
      <w:lvlJc w:val="right"/>
      <w:pPr>
        <w:ind w:left="4604" w:hanging="180"/>
      </w:pPr>
    </w:lvl>
    <w:lvl w:ilvl="6" w:tplc="240A000F">
      <w:start w:val="1"/>
      <w:numFmt w:val="decimal"/>
      <w:lvlText w:val="%7."/>
      <w:lvlJc w:val="left"/>
      <w:pPr>
        <w:ind w:left="5324" w:hanging="360"/>
      </w:pPr>
    </w:lvl>
    <w:lvl w:ilvl="7" w:tplc="240A0019">
      <w:start w:val="1"/>
      <w:numFmt w:val="lowerLetter"/>
      <w:lvlText w:val="%8."/>
      <w:lvlJc w:val="left"/>
      <w:pPr>
        <w:ind w:left="6044" w:hanging="360"/>
      </w:pPr>
    </w:lvl>
    <w:lvl w:ilvl="8" w:tplc="240A001B">
      <w:start w:val="1"/>
      <w:numFmt w:val="lowerRoman"/>
      <w:lvlText w:val="%9."/>
      <w:lvlJc w:val="right"/>
      <w:pPr>
        <w:ind w:left="6764" w:hanging="180"/>
      </w:pPr>
    </w:lvl>
  </w:abstractNum>
  <w:abstractNum w:abstractNumId="1" w15:restartNumberingAfterBreak="0">
    <w:nsid w:val="00BB42F9"/>
    <w:multiLevelType w:val="hybridMultilevel"/>
    <w:tmpl w:val="F52E8786"/>
    <w:lvl w:ilvl="0" w:tplc="240A0013">
      <w:start w:val="1"/>
      <w:numFmt w:val="upperRoman"/>
      <w:lvlText w:val="%1."/>
      <w:lvlJc w:val="righ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0171731F"/>
    <w:multiLevelType w:val="multilevel"/>
    <w:tmpl w:val="583EADE0"/>
    <w:lvl w:ilvl="0">
      <w:start w:val="2"/>
      <w:numFmt w:val="decimal"/>
      <w:lvlText w:val="%1."/>
      <w:lvlJc w:val="left"/>
      <w:pPr>
        <w:ind w:left="367" w:hanging="367"/>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4" w15:restartNumberingAfterBreak="0">
    <w:nsid w:val="042F300C"/>
    <w:multiLevelType w:val="multilevel"/>
    <w:tmpl w:val="0846C6D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09540ACA"/>
    <w:multiLevelType w:val="hybridMultilevel"/>
    <w:tmpl w:val="57327B6C"/>
    <w:lvl w:ilvl="0" w:tplc="240A000F">
      <w:start w:val="1"/>
      <w:numFmt w:val="decimal"/>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6" w15:restartNumberingAfterBreak="0">
    <w:nsid w:val="0D827428"/>
    <w:multiLevelType w:val="hybridMultilevel"/>
    <w:tmpl w:val="C5828120"/>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7" w15:restartNumberingAfterBreak="0">
    <w:nsid w:val="10442D24"/>
    <w:multiLevelType w:val="multilevel"/>
    <w:tmpl w:val="B41AF78C"/>
    <w:lvl w:ilvl="0">
      <w:start w:val="1"/>
      <w:numFmt w:val="decimal"/>
      <w:lvlText w:val="%1."/>
      <w:lvlJc w:val="left"/>
      <w:pPr>
        <w:ind w:left="360" w:hanging="360"/>
      </w:pPr>
      <w:rPr>
        <w:color w:val="auto"/>
        <w:sz w:val="20"/>
        <w:szCs w:val="20"/>
      </w:rPr>
    </w:lvl>
    <w:lvl w:ilvl="1">
      <w:start w:val="1"/>
      <w:numFmt w:val="decimal"/>
      <w:lvlText w:val="3.%2."/>
      <w:lvlJc w:val="left"/>
      <w:pPr>
        <w:ind w:left="1004" w:hanging="720"/>
      </w:pPr>
      <w:rPr>
        <w:b/>
        <w:i w:val="0"/>
        <w:color w:val="000000"/>
      </w:rPr>
    </w:lvl>
    <w:lvl w:ilvl="2">
      <w:start w:val="1"/>
      <w:numFmt w:val="decimal"/>
      <w:lvlText w:val="4.1.%3."/>
      <w:lvlJc w:val="left"/>
      <w:pPr>
        <w:ind w:left="964" w:hanging="624"/>
      </w:pPr>
      <w:rPr>
        <w:b/>
        <w:i w:val="0"/>
      </w:rPr>
    </w:lvl>
    <w:lvl w:ilvl="3">
      <w:start w:val="1"/>
      <w:numFmt w:val="decimal"/>
      <w:lvlText w:val="%1.%2.%3.%4."/>
      <w:lvlJc w:val="left"/>
      <w:pPr>
        <w:ind w:left="1080" w:hanging="1080"/>
      </w:pPr>
      <w:rPr>
        <w:b/>
      </w:r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8" w15:restartNumberingAfterBreak="0">
    <w:nsid w:val="17E60FA7"/>
    <w:multiLevelType w:val="hybridMultilevel"/>
    <w:tmpl w:val="DD2C679A"/>
    <w:lvl w:ilvl="0" w:tplc="6010BCE2">
      <w:start w:val="1"/>
      <w:numFmt w:val="lowerRoman"/>
      <w:lvlText w:val="%1)"/>
      <w:lvlJc w:val="left"/>
      <w:pPr>
        <w:ind w:left="1425" w:hanging="720"/>
      </w:pPr>
      <w:rPr>
        <w:rFonts w:hint="default"/>
      </w:rPr>
    </w:lvl>
    <w:lvl w:ilvl="1" w:tplc="240A0019" w:tentative="1">
      <w:start w:val="1"/>
      <w:numFmt w:val="lowerLetter"/>
      <w:lvlText w:val="%2."/>
      <w:lvlJc w:val="left"/>
      <w:pPr>
        <w:ind w:left="1785" w:hanging="360"/>
      </w:pPr>
    </w:lvl>
    <w:lvl w:ilvl="2" w:tplc="240A001B" w:tentative="1">
      <w:start w:val="1"/>
      <w:numFmt w:val="lowerRoman"/>
      <w:lvlText w:val="%3."/>
      <w:lvlJc w:val="right"/>
      <w:pPr>
        <w:ind w:left="2505" w:hanging="180"/>
      </w:pPr>
    </w:lvl>
    <w:lvl w:ilvl="3" w:tplc="240A000F" w:tentative="1">
      <w:start w:val="1"/>
      <w:numFmt w:val="decimal"/>
      <w:lvlText w:val="%4."/>
      <w:lvlJc w:val="left"/>
      <w:pPr>
        <w:ind w:left="3225" w:hanging="360"/>
      </w:pPr>
    </w:lvl>
    <w:lvl w:ilvl="4" w:tplc="240A0019" w:tentative="1">
      <w:start w:val="1"/>
      <w:numFmt w:val="lowerLetter"/>
      <w:lvlText w:val="%5."/>
      <w:lvlJc w:val="left"/>
      <w:pPr>
        <w:ind w:left="3945" w:hanging="360"/>
      </w:pPr>
    </w:lvl>
    <w:lvl w:ilvl="5" w:tplc="240A001B" w:tentative="1">
      <w:start w:val="1"/>
      <w:numFmt w:val="lowerRoman"/>
      <w:lvlText w:val="%6."/>
      <w:lvlJc w:val="right"/>
      <w:pPr>
        <w:ind w:left="4665" w:hanging="180"/>
      </w:pPr>
    </w:lvl>
    <w:lvl w:ilvl="6" w:tplc="240A000F" w:tentative="1">
      <w:start w:val="1"/>
      <w:numFmt w:val="decimal"/>
      <w:lvlText w:val="%7."/>
      <w:lvlJc w:val="left"/>
      <w:pPr>
        <w:ind w:left="5385" w:hanging="360"/>
      </w:pPr>
    </w:lvl>
    <w:lvl w:ilvl="7" w:tplc="240A0019" w:tentative="1">
      <w:start w:val="1"/>
      <w:numFmt w:val="lowerLetter"/>
      <w:lvlText w:val="%8."/>
      <w:lvlJc w:val="left"/>
      <w:pPr>
        <w:ind w:left="6105" w:hanging="360"/>
      </w:pPr>
    </w:lvl>
    <w:lvl w:ilvl="8" w:tplc="240A001B" w:tentative="1">
      <w:start w:val="1"/>
      <w:numFmt w:val="lowerRoman"/>
      <w:lvlText w:val="%9."/>
      <w:lvlJc w:val="right"/>
      <w:pPr>
        <w:ind w:left="6825" w:hanging="180"/>
      </w:pPr>
    </w:lvl>
  </w:abstractNum>
  <w:abstractNum w:abstractNumId="9" w15:restartNumberingAfterBreak="0">
    <w:nsid w:val="1D712575"/>
    <w:multiLevelType w:val="multilevel"/>
    <w:tmpl w:val="7D6622D2"/>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1D9E6E3F"/>
    <w:multiLevelType w:val="hybridMultilevel"/>
    <w:tmpl w:val="854EA874"/>
    <w:lvl w:ilvl="0" w:tplc="1AD6EBD2">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22A53DDF"/>
    <w:multiLevelType w:val="multilevel"/>
    <w:tmpl w:val="A99C5180"/>
    <w:lvl w:ilvl="0">
      <w:start w:val="1"/>
      <w:numFmt w:val="decimal"/>
      <w:lvlText w:val="%1."/>
      <w:lvlJc w:val="left"/>
      <w:pPr>
        <w:ind w:left="660" w:hanging="360"/>
      </w:pPr>
      <w:rPr>
        <w:rFonts w:ascii="Arial" w:eastAsia="Arial" w:hAnsi="Arial" w:cs="Arial" w:hint="default"/>
        <w:b/>
        <w:bCs/>
        <w:color w:val="auto"/>
        <w:spacing w:val="-8"/>
        <w:w w:val="100"/>
        <w:sz w:val="22"/>
        <w:szCs w:val="22"/>
        <w:lang w:val="es-ES" w:eastAsia="en-US" w:bidi="ar-SA"/>
      </w:rPr>
    </w:lvl>
    <w:lvl w:ilvl="1">
      <w:start w:val="1"/>
      <w:numFmt w:val="decimal"/>
      <w:lvlText w:val="%1.%2"/>
      <w:lvlJc w:val="left"/>
      <w:pPr>
        <w:ind w:left="665" w:hanging="365"/>
      </w:pPr>
      <w:rPr>
        <w:rFonts w:ascii="Arial" w:eastAsia="Arial" w:hAnsi="Arial" w:cs="Arial" w:hint="default"/>
        <w:b/>
        <w:bCs/>
        <w:color w:val="auto"/>
        <w:spacing w:val="-1"/>
        <w:w w:val="100"/>
        <w:sz w:val="22"/>
        <w:szCs w:val="22"/>
        <w:lang w:val="es-ES" w:eastAsia="en-US" w:bidi="ar-SA"/>
      </w:rPr>
    </w:lvl>
    <w:lvl w:ilvl="2">
      <w:start w:val="1"/>
      <w:numFmt w:val="decimal"/>
      <w:lvlText w:val="%3)"/>
      <w:lvlJc w:val="left"/>
      <w:pPr>
        <w:ind w:left="1008" w:hanging="265"/>
      </w:pPr>
      <w:rPr>
        <w:rFonts w:ascii="Arial" w:eastAsia="Arial" w:hAnsi="Arial" w:cs="Arial" w:hint="default"/>
        <w:color w:val="auto"/>
        <w:w w:val="100"/>
        <w:sz w:val="21"/>
        <w:szCs w:val="21"/>
        <w:lang w:val="es-ES" w:eastAsia="en-US" w:bidi="ar-SA"/>
      </w:rPr>
    </w:lvl>
    <w:lvl w:ilvl="3">
      <w:numFmt w:val="bullet"/>
      <w:lvlText w:val="•"/>
      <w:lvlJc w:val="left"/>
      <w:pPr>
        <w:ind w:left="2853" w:hanging="265"/>
      </w:pPr>
      <w:rPr>
        <w:rFonts w:hint="default"/>
        <w:lang w:val="es-ES" w:eastAsia="en-US" w:bidi="ar-SA"/>
      </w:rPr>
    </w:lvl>
    <w:lvl w:ilvl="4">
      <w:numFmt w:val="bullet"/>
      <w:lvlText w:val="•"/>
      <w:lvlJc w:val="left"/>
      <w:pPr>
        <w:ind w:left="3780" w:hanging="265"/>
      </w:pPr>
      <w:rPr>
        <w:rFonts w:hint="default"/>
        <w:lang w:val="es-ES" w:eastAsia="en-US" w:bidi="ar-SA"/>
      </w:rPr>
    </w:lvl>
    <w:lvl w:ilvl="5">
      <w:numFmt w:val="bullet"/>
      <w:lvlText w:val="•"/>
      <w:lvlJc w:val="left"/>
      <w:pPr>
        <w:ind w:left="4706" w:hanging="265"/>
      </w:pPr>
      <w:rPr>
        <w:rFonts w:hint="default"/>
        <w:lang w:val="es-ES" w:eastAsia="en-US" w:bidi="ar-SA"/>
      </w:rPr>
    </w:lvl>
    <w:lvl w:ilvl="6">
      <w:numFmt w:val="bullet"/>
      <w:lvlText w:val="•"/>
      <w:lvlJc w:val="left"/>
      <w:pPr>
        <w:ind w:left="5633" w:hanging="265"/>
      </w:pPr>
      <w:rPr>
        <w:rFonts w:hint="default"/>
        <w:lang w:val="es-ES" w:eastAsia="en-US" w:bidi="ar-SA"/>
      </w:rPr>
    </w:lvl>
    <w:lvl w:ilvl="7">
      <w:numFmt w:val="bullet"/>
      <w:lvlText w:val="•"/>
      <w:lvlJc w:val="left"/>
      <w:pPr>
        <w:ind w:left="6560" w:hanging="265"/>
      </w:pPr>
      <w:rPr>
        <w:rFonts w:hint="default"/>
        <w:lang w:val="es-ES" w:eastAsia="en-US" w:bidi="ar-SA"/>
      </w:rPr>
    </w:lvl>
    <w:lvl w:ilvl="8">
      <w:numFmt w:val="bullet"/>
      <w:lvlText w:val="•"/>
      <w:lvlJc w:val="left"/>
      <w:pPr>
        <w:ind w:left="7486" w:hanging="265"/>
      </w:pPr>
      <w:rPr>
        <w:rFonts w:hint="default"/>
        <w:lang w:val="es-ES" w:eastAsia="en-US" w:bidi="ar-SA"/>
      </w:rPr>
    </w:lvl>
  </w:abstractNum>
  <w:abstractNum w:abstractNumId="12" w15:restartNumberingAfterBreak="0">
    <w:nsid w:val="2D96052C"/>
    <w:multiLevelType w:val="hybridMultilevel"/>
    <w:tmpl w:val="ACA0114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2EDC5E4E"/>
    <w:multiLevelType w:val="hybridMultilevel"/>
    <w:tmpl w:val="B32A09AC"/>
    <w:lvl w:ilvl="0" w:tplc="240A0019">
      <w:start w:val="1"/>
      <w:numFmt w:val="lowerLetter"/>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14" w15:restartNumberingAfterBreak="0">
    <w:nsid w:val="2F422EAE"/>
    <w:multiLevelType w:val="multilevel"/>
    <w:tmpl w:val="1570C2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10D7E6C"/>
    <w:multiLevelType w:val="multilevel"/>
    <w:tmpl w:val="836404E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6" w15:restartNumberingAfterBreak="0">
    <w:nsid w:val="31931E03"/>
    <w:multiLevelType w:val="multilevel"/>
    <w:tmpl w:val="288C117C"/>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31B41044"/>
    <w:multiLevelType w:val="hybridMultilevel"/>
    <w:tmpl w:val="836404E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35221FE2"/>
    <w:multiLevelType w:val="hybridMultilevel"/>
    <w:tmpl w:val="D9B8E200"/>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9" w15:restartNumberingAfterBreak="0">
    <w:nsid w:val="37876856"/>
    <w:multiLevelType w:val="hybridMultilevel"/>
    <w:tmpl w:val="5C1C2D84"/>
    <w:lvl w:ilvl="0" w:tplc="83561260">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20" w15:restartNumberingAfterBreak="0">
    <w:nsid w:val="38042E47"/>
    <w:multiLevelType w:val="hybridMultilevel"/>
    <w:tmpl w:val="E162306E"/>
    <w:lvl w:ilvl="0" w:tplc="D248C2F6">
      <w:start w:val="1"/>
      <w:numFmt w:val="lowerRoman"/>
      <w:lvlText w:val="%1)"/>
      <w:lvlJc w:val="left"/>
      <w:pPr>
        <w:ind w:left="1429" w:hanging="72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21" w15:restartNumberingAfterBreak="0">
    <w:nsid w:val="3BD52C5D"/>
    <w:multiLevelType w:val="multilevel"/>
    <w:tmpl w:val="8318A86A"/>
    <w:lvl w:ilvl="0">
      <w:start w:val="1"/>
      <w:numFmt w:val="decimal"/>
      <w:lvlText w:val="%1."/>
      <w:lvlJc w:val="left"/>
      <w:pPr>
        <w:ind w:left="360" w:hanging="360"/>
      </w:pPr>
      <w:rPr>
        <w:b/>
        <w:color w:val="4E4D4D"/>
      </w:rPr>
    </w:lvl>
    <w:lvl w:ilvl="1">
      <w:start w:val="1"/>
      <w:numFmt w:val="decimal"/>
      <w:isLgl/>
      <w:lvlText w:val="%1.%2"/>
      <w:lvlJc w:val="left"/>
      <w:pPr>
        <w:ind w:left="360" w:hanging="360"/>
      </w:pPr>
      <w:rPr>
        <w:b/>
      </w:r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22" w15:restartNumberingAfterBreak="0">
    <w:nsid w:val="424D462B"/>
    <w:multiLevelType w:val="multilevel"/>
    <w:tmpl w:val="24320A3A"/>
    <w:lvl w:ilvl="0">
      <w:start w:val="2"/>
      <w:numFmt w:val="decimal"/>
      <w:lvlText w:val="%1."/>
      <w:lvlJc w:val="left"/>
      <w:pPr>
        <w:ind w:left="360"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42D93A5B"/>
    <w:multiLevelType w:val="hybridMultilevel"/>
    <w:tmpl w:val="24AADEA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4" w15:restartNumberingAfterBreak="0">
    <w:nsid w:val="482459AB"/>
    <w:multiLevelType w:val="hybridMultilevel"/>
    <w:tmpl w:val="F7E4801A"/>
    <w:lvl w:ilvl="0" w:tplc="07686820">
      <w:start w:val="1"/>
      <w:numFmt w:val="bullet"/>
      <w:lvlText w:val=""/>
      <w:lvlJc w:val="left"/>
      <w:pPr>
        <w:ind w:left="720" w:hanging="360"/>
      </w:pPr>
      <w:rPr>
        <w:rFonts w:ascii="Wingdings" w:hAnsi="Wingdings" w:hint="default"/>
        <w:color w:val="0E63A8"/>
        <w:sz w:val="28"/>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5" w15:restartNumberingAfterBreak="0">
    <w:nsid w:val="4923772D"/>
    <w:multiLevelType w:val="hybridMultilevel"/>
    <w:tmpl w:val="98544144"/>
    <w:lvl w:ilvl="0" w:tplc="E0583348">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6" w15:restartNumberingAfterBreak="0">
    <w:nsid w:val="4CB8710A"/>
    <w:multiLevelType w:val="hybridMultilevel"/>
    <w:tmpl w:val="8F52BE52"/>
    <w:lvl w:ilvl="0" w:tplc="A1721734">
      <w:start w:val="1"/>
      <w:numFmt w:val="lowerRoman"/>
      <w:lvlText w:val="%1)"/>
      <w:lvlJc w:val="left"/>
      <w:pPr>
        <w:ind w:left="1428" w:hanging="720"/>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27" w15:restartNumberingAfterBreak="0">
    <w:nsid w:val="51F2084E"/>
    <w:multiLevelType w:val="multilevel"/>
    <w:tmpl w:val="6C4AF5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589102F8"/>
    <w:multiLevelType w:val="hybridMultilevel"/>
    <w:tmpl w:val="13E22D70"/>
    <w:lvl w:ilvl="0" w:tplc="B84854D0">
      <w:start w:val="1"/>
      <w:numFmt w:val="bullet"/>
      <w:lvlText w:val="-"/>
      <w:lvlJc w:val="left"/>
      <w:pPr>
        <w:ind w:left="1069" w:hanging="360"/>
      </w:pPr>
      <w:rPr>
        <w:rFonts w:ascii="Arial" w:eastAsia="Calibri" w:hAnsi="Arial" w:cs="Arial" w:hint="default"/>
      </w:rPr>
    </w:lvl>
    <w:lvl w:ilvl="1" w:tplc="240A0003" w:tentative="1">
      <w:start w:val="1"/>
      <w:numFmt w:val="bullet"/>
      <w:lvlText w:val="o"/>
      <w:lvlJc w:val="left"/>
      <w:pPr>
        <w:ind w:left="1789" w:hanging="360"/>
      </w:pPr>
      <w:rPr>
        <w:rFonts w:ascii="Courier New" w:hAnsi="Courier New" w:cs="Courier New" w:hint="default"/>
      </w:rPr>
    </w:lvl>
    <w:lvl w:ilvl="2" w:tplc="240A0005" w:tentative="1">
      <w:start w:val="1"/>
      <w:numFmt w:val="bullet"/>
      <w:lvlText w:val=""/>
      <w:lvlJc w:val="left"/>
      <w:pPr>
        <w:ind w:left="2509" w:hanging="360"/>
      </w:pPr>
      <w:rPr>
        <w:rFonts w:ascii="Wingdings" w:hAnsi="Wingdings" w:hint="default"/>
      </w:rPr>
    </w:lvl>
    <w:lvl w:ilvl="3" w:tplc="240A0001" w:tentative="1">
      <w:start w:val="1"/>
      <w:numFmt w:val="bullet"/>
      <w:lvlText w:val=""/>
      <w:lvlJc w:val="left"/>
      <w:pPr>
        <w:ind w:left="3229" w:hanging="360"/>
      </w:pPr>
      <w:rPr>
        <w:rFonts w:ascii="Symbol" w:hAnsi="Symbol" w:hint="default"/>
      </w:rPr>
    </w:lvl>
    <w:lvl w:ilvl="4" w:tplc="240A0003" w:tentative="1">
      <w:start w:val="1"/>
      <w:numFmt w:val="bullet"/>
      <w:lvlText w:val="o"/>
      <w:lvlJc w:val="left"/>
      <w:pPr>
        <w:ind w:left="3949" w:hanging="360"/>
      </w:pPr>
      <w:rPr>
        <w:rFonts w:ascii="Courier New" w:hAnsi="Courier New" w:cs="Courier New" w:hint="default"/>
      </w:rPr>
    </w:lvl>
    <w:lvl w:ilvl="5" w:tplc="240A0005" w:tentative="1">
      <w:start w:val="1"/>
      <w:numFmt w:val="bullet"/>
      <w:lvlText w:val=""/>
      <w:lvlJc w:val="left"/>
      <w:pPr>
        <w:ind w:left="4669" w:hanging="360"/>
      </w:pPr>
      <w:rPr>
        <w:rFonts w:ascii="Wingdings" w:hAnsi="Wingdings" w:hint="default"/>
      </w:rPr>
    </w:lvl>
    <w:lvl w:ilvl="6" w:tplc="240A0001" w:tentative="1">
      <w:start w:val="1"/>
      <w:numFmt w:val="bullet"/>
      <w:lvlText w:val=""/>
      <w:lvlJc w:val="left"/>
      <w:pPr>
        <w:ind w:left="5389" w:hanging="360"/>
      </w:pPr>
      <w:rPr>
        <w:rFonts w:ascii="Symbol" w:hAnsi="Symbol" w:hint="default"/>
      </w:rPr>
    </w:lvl>
    <w:lvl w:ilvl="7" w:tplc="240A0003" w:tentative="1">
      <w:start w:val="1"/>
      <w:numFmt w:val="bullet"/>
      <w:lvlText w:val="o"/>
      <w:lvlJc w:val="left"/>
      <w:pPr>
        <w:ind w:left="6109" w:hanging="360"/>
      </w:pPr>
      <w:rPr>
        <w:rFonts w:ascii="Courier New" w:hAnsi="Courier New" w:cs="Courier New" w:hint="default"/>
      </w:rPr>
    </w:lvl>
    <w:lvl w:ilvl="8" w:tplc="240A0005" w:tentative="1">
      <w:start w:val="1"/>
      <w:numFmt w:val="bullet"/>
      <w:lvlText w:val=""/>
      <w:lvlJc w:val="left"/>
      <w:pPr>
        <w:ind w:left="6829" w:hanging="360"/>
      </w:pPr>
      <w:rPr>
        <w:rFonts w:ascii="Wingdings" w:hAnsi="Wingdings" w:hint="default"/>
      </w:rPr>
    </w:lvl>
  </w:abstractNum>
  <w:abstractNum w:abstractNumId="29" w15:restartNumberingAfterBreak="0">
    <w:nsid w:val="59112A3E"/>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30" w15:restartNumberingAfterBreak="0">
    <w:nsid w:val="5A9A2200"/>
    <w:multiLevelType w:val="multilevel"/>
    <w:tmpl w:val="614E70D0"/>
    <w:lvl w:ilvl="0">
      <w:start w:val="1"/>
      <w:numFmt w:val="decimal"/>
      <w:lvlText w:val="%1."/>
      <w:lvlJc w:val="left"/>
      <w:pPr>
        <w:ind w:left="360" w:hanging="360"/>
      </w:pPr>
      <w:rPr>
        <w:rFonts w:hint="default"/>
        <w:b/>
        <w:sz w:val="22"/>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1" w15:restartNumberingAfterBreak="0">
    <w:nsid w:val="5B6D321F"/>
    <w:multiLevelType w:val="hybridMultilevel"/>
    <w:tmpl w:val="CA3C115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2" w15:restartNumberingAfterBreak="0">
    <w:nsid w:val="68FA17E7"/>
    <w:multiLevelType w:val="multilevel"/>
    <w:tmpl w:val="5768BC5E"/>
    <w:lvl w:ilvl="0">
      <w:start w:val="2"/>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33" w15:restartNumberingAfterBreak="0">
    <w:nsid w:val="6BFF7097"/>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34" w15:restartNumberingAfterBreak="0">
    <w:nsid w:val="6E521755"/>
    <w:multiLevelType w:val="hybridMultilevel"/>
    <w:tmpl w:val="4DCE2F3E"/>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5" w15:restartNumberingAfterBreak="0">
    <w:nsid w:val="72FA202B"/>
    <w:multiLevelType w:val="hybridMultilevel"/>
    <w:tmpl w:val="510EE350"/>
    <w:lvl w:ilvl="0" w:tplc="EBCEC2A2">
      <w:start w:val="232"/>
      <w:numFmt w:val="bullet"/>
      <w:lvlText w:val="-"/>
      <w:lvlJc w:val="left"/>
      <w:pPr>
        <w:ind w:left="720" w:hanging="360"/>
      </w:pPr>
      <w:rPr>
        <w:rFonts w:ascii="Arial" w:eastAsiaTheme="minorHAnsi" w:hAnsi="Arial" w:cs="Aria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6" w15:restartNumberingAfterBreak="0">
    <w:nsid w:val="736A0777"/>
    <w:multiLevelType w:val="multilevel"/>
    <w:tmpl w:val="510EE350"/>
    <w:lvl w:ilvl="0">
      <w:start w:val="232"/>
      <w:numFmt w:val="bullet"/>
      <w:lvlText w:val="-"/>
      <w:lvlJc w:val="left"/>
      <w:pPr>
        <w:ind w:left="720" w:hanging="360"/>
      </w:pPr>
      <w:rPr>
        <w:rFonts w:ascii="Arial" w:eastAsiaTheme="minorHAnsi" w:hAnsi="Arial" w:cs="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7" w15:restartNumberingAfterBreak="0">
    <w:nsid w:val="75434B71"/>
    <w:multiLevelType w:val="hybridMultilevel"/>
    <w:tmpl w:val="5E8A4876"/>
    <w:lvl w:ilvl="0" w:tplc="7C6481CE">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38" w15:restartNumberingAfterBreak="0">
    <w:nsid w:val="79B72D8C"/>
    <w:multiLevelType w:val="hybridMultilevel"/>
    <w:tmpl w:val="5EA43C4A"/>
    <w:lvl w:ilvl="0" w:tplc="C054F186">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39" w15:restartNumberingAfterBreak="0">
    <w:nsid w:val="7CCD0A55"/>
    <w:multiLevelType w:val="multilevel"/>
    <w:tmpl w:val="25463362"/>
    <w:lvl w:ilvl="0">
      <w:start w:val="2"/>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num w:numId="1" w16cid:durableId="168057737">
    <w:abstractNumId w:val="17"/>
  </w:num>
  <w:num w:numId="2" w16cid:durableId="856583929">
    <w:abstractNumId w:val="15"/>
  </w:num>
  <w:num w:numId="3" w16cid:durableId="429931377">
    <w:abstractNumId w:val="24"/>
  </w:num>
  <w:num w:numId="4" w16cid:durableId="750784264">
    <w:abstractNumId w:val="29"/>
  </w:num>
  <w:num w:numId="5" w16cid:durableId="1035889748">
    <w:abstractNumId w:val="33"/>
  </w:num>
  <w:num w:numId="6" w16cid:durableId="40909626">
    <w:abstractNumId w:val="3"/>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86774175">
    <w:abstractNumId w:val="30"/>
  </w:num>
  <w:num w:numId="8" w16cid:durableId="175266667">
    <w:abstractNumId w:val="3"/>
  </w:num>
  <w:num w:numId="9" w16cid:durableId="1898591321">
    <w:abstractNumId w:val="9"/>
  </w:num>
  <w:num w:numId="10" w16cid:durableId="69659046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30050613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957636054">
    <w:abstractNumId w:val="16"/>
  </w:num>
  <w:num w:numId="13" w16cid:durableId="1454516859">
    <w:abstractNumId w:val="22"/>
  </w:num>
  <w:num w:numId="14" w16cid:durableId="235434561">
    <w:abstractNumId w:val="12"/>
  </w:num>
  <w:num w:numId="15" w16cid:durableId="247540391">
    <w:abstractNumId w:val="3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202210429">
    <w:abstractNumId w:val="3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2132092450">
    <w:abstractNumId w:val="35"/>
  </w:num>
  <w:num w:numId="18" w16cid:durableId="1871606800">
    <w:abstractNumId w:val="25"/>
  </w:num>
  <w:num w:numId="19" w16cid:durableId="320668250">
    <w:abstractNumId w:val="8"/>
  </w:num>
  <w:num w:numId="20" w16cid:durableId="350227430">
    <w:abstractNumId w:val="36"/>
  </w:num>
  <w:num w:numId="21" w16cid:durableId="1824008182">
    <w:abstractNumId w:val="27"/>
  </w:num>
  <w:num w:numId="22" w16cid:durableId="525949698">
    <w:abstractNumId w:val="11"/>
  </w:num>
  <w:num w:numId="23" w16cid:durableId="422383615">
    <w:abstractNumId w:val="10"/>
  </w:num>
  <w:num w:numId="24" w16cid:durableId="966348752">
    <w:abstractNumId w:val="31"/>
  </w:num>
  <w:num w:numId="25" w16cid:durableId="1681275763">
    <w:abstractNumId w:val="19"/>
  </w:num>
  <w:num w:numId="26" w16cid:durableId="1906378696">
    <w:abstractNumId w:val="34"/>
  </w:num>
  <w:num w:numId="27" w16cid:durableId="589854749">
    <w:abstractNumId w:val="38"/>
  </w:num>
  <w:num w:numId="28" w16cid:durableId="1995065669">
    <w:abstractNumId w:val="23"/>
  </w:num>
  <w:num w:numId="29" w16cid:durableId="1476488792">
    <w:abstractNumId w:val="2"/>
  </w:num>
  <w:num w:numId="30" w16cid:durableId="1142892698">
    <w:abstractNumId w:val="26"/>
  </w:num>
  <w:num w:numId="31" w16cid:durableId="2036491751">
    <w:abstractNumId w:val="20"/>
  </w:num>
  <w:num w:numId="32" w16cid:durableId="450130451">
    <w:abstractNumId w:val="28"/>
  </w:num>
  <w:num w:numId="33" w16cid:durableId="1530217068">
    <w:abstractNumId w:val="37"/>
  </w:num>
  <w:num w:numId="34" w16cid:durableId="894124879">
    <w:abstractNumId w:val="18"/>
  </w:num>
  <w:num w:numId="35" w16cid:durableId="1674987944">
    <w:abstractNumId w:val="1"/>
  </w:num>
  <w:num w:numId="36" w16cid:durableId="33515861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80230954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161351409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1679457118">
    <w:abstractNumId w:val="6"/>
  </w:num>
  <w:num w:numId="40" w16cid:durableId="174787231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2096244442">
    <w:abstractNumId w:val="14"/>
    <w:lvlOverride w:ilvl="0"/>
    <w:lvlOverride w:ilvl="1">
      <w:startOverride w:val="1"/>
    </w:lvlOverride>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activeWritingStyle w:appName="MSWord" w:lang="pt-BR" w:vendorID="64" w:dllVersion="6" w:nlCheck="1" w:checkStyle="0"/>
  <w:activeWritingStyle w:appName="MSWord" w:lang="es-ES_tradnl" w:vendorID="64" w:dllVersion="6" w:nlCheck="1" w:checkStyle="1"/>
  <w:activeWritingStyle w:appName="MSWord" w:lang="es-CO" w:vendorID="64" w:dllVersion="6" w:nlCheck="1" w:checkStyle="1"/>
  <w:activeWritingStyle w:appName="MSWord" w:lang="es-MX" w:vendorID="64" w:dllVersion="6" w:nlCheck="1" w:checkStyle="1"/>
  <w:activeWritingStyle w:appName="MSWord" w:lang="es-ES" w:vendorID="64" w:dllVersion="6" w:nlCheck="1" w:checkStyle="1"/>
  <w:activeWritingStyle w:appName="MSWord" w:lang="es-ES" w:vendorID="64" w:dllVersion="0" w:nlCheck="1" w:checkStyle="0"/>
  <w:activeWritingStyle w:appName="MSWord" w:lang="es-MX" w:vendorID="64" w:dllVersion="0" w:nlCheck="1" w:checkStyle="0"/>
  <w:activeWritingStyle w:appName="MSWord" w:lang="es-ES_tradnl" w:vendorID="64" w:dllVersion="0" w:nlCheck="1" w:checkStyle="0"/>
  <w:activeWritingStyle w:appName="MSWord" w:lang="es-CO" w:vendorID="64" w:dllVersion="0" w:nlCheck="1" w:checkStyle="0"/>
  <w:activeWritingStyle w:appName="MSWord" w:lang="pt-BR" w:vendorID="64" w:dllVersion="0" w:nlCheck="1" w:checkStyle="0"/>
  <w:activeWritingStyle w:appName="MSWord" w:lang="es-ES_tradnl" w:vendorID="64" w:dllVersion="4096" w:nlCheck="1" w:checkStyle="0"/>
  <w:activeWritingStyle w:appName="MSWord" w:lang="es-ES" w:vendorID="64" w:dllVersion="4096" w:nlCheck="1" w:checkStyle="0"/>
  <w:activeWritingStyle w:appName="MSWord" w:lang="es-CO" w:vendorID="64" w:dllVersion="4096" w:nlCheck="1" w:checkStyle="0"/>
  <w:activeWritingStyle w:appName="MSWord" w:lang="es-MX" w:vendorID="64" w:dllVersion="4096" w:nlCheck="1" w:checkStyle="0"/>
  <w:activeWritingStyle w:appName="MSWord" w:lang="pt-BR" w:vendorID="64" w:dllVersion="4096" w:nlCheck="1" w:checkStyle="0"/>
  <w:attachedTemplate r:id="rId1"/>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385A"/>
    <w:rsid w:val="000000B1"/>
    <w:rsid w:val="00000559"/>
    <w:rsid w:val="0000162E"/>
    <w:rsid w:val="00001A1C"/>
    <w:rsid w:val="00001FFD"/>
    <w:rsid w:val="00002027"/>
    <w:rsid w:val="000020FE"/>
    <w:rsid w:val="000031A8"/>
    <w:rsid w:val="00003233"/>
    <w:rsid w:val="000037D0"/>
    <w:rsid w:val="00003C5C"/>
    <w:rsid w:val="000040D7"/>
    <w:rsid w:val="00004556"/>
    <w:rsid w:val="000051AF"/>
    <w:rsid w:val="00005958"/>
    <w:rsid w:val="000059D3"/>
    <w:rsid w:val="0000600A"/>
    <w:rsid w:val="00006081"/>
    <w:rsid w:val="000060D0"/>
    <w:rsid w:val="00006D78"/>
    <w:rsid w:val="000075EA"/>
    <w:rsid w:val="00007750"/>
    <w:rsid w:val="000077FD"/>
    <w:rsid w:val="00007E37"/>
    <w:rsid w:val="00010408"/>
    <w:rsid w:val="00010C40"/>
    <w:rsid w:val="000112B4"/>
    <w:rsid w:val="00011DCC"/>
    <w:rsid w:val="00012532"/>
    <w:rsid w:val="00012B9E"/>
    <w:rsid w:val="00012E96"/>
    <w:rsid w:val="00012FBA"/>
    <w:rsid w:val="00013C6B"/>
    <w:rsid w:val="0001406B"/>
    <w:rsid w:val="00014207"/>
    <w:rsid w:val="000143F8"/>
    <w:rsid w:val="00014624"/>
    <w:rsid w:val="000147ED"/>
    <w:rsid w:val="00015B44"/>
    <w:rsid w:val="00016081"/>
    <w:rsid w:val="000165AC"/>
    <w:rsid w:val="00016651"/>
    <w:rsid w:val="00016881"/>
    <w:rsid w:val="000171A2"/>
    <w:rsid w:val="00017B65"/>
    <w:rsid w:val="00020158"/>
    <w:rsid w:val="000207E0"/>
    <w:rsid w:val="00020D87"/>
    <w:rsid w:val="00020F8F"/>
    <w:rsid w:val="00021A95"/>
    <w:rsid w:val="00021C0A"/>
    <w:rsid w:val="00021F62"/>
    <w:rsid w:val="0002256F"/>
    <w:rsid w:val="0002296A"/>
    <w:rsid w:val="00023DAE"/>
    <w:rsid w:val="00023FA5"/>
    <w:rsid w:val="00024592"/>
    <w:rsid w:val="00024896"/>
    <w:rsid w:val="000258A6"/>
    <w:rsid w:val="00026092"/>
    <w:rsid w:val="000263F0"/>
    <w:rsid w:val="00026407"/>
    <w:rsid w:val="000264F6"/>
    <w:rsid w:val="00026608"/>
    <w:rsid w:val="00026B36"/>
    <w:rsid w:val="0002738B"/>
    <w:rsid w:val="00027545"/>
    <w:rsid w:val="00027787"/>
    <w:rsid w:val="000277A2"/>
    <w:rsid w:val="000278D2"/>
    <w:rsid w:val="00031384"/>
    <w:rsid w:val="000315E1"/>
    <w:rsid w:val="00031AD9"/>
    <w:rsid w:val="0003236E"/>
    <w:rsid w:val="00033295"/>
    <w:rsid w:val="0003339A"/>
    <w:rsid w:val="00034134"/>
    <w:rsid w:val="000341F2"/>
    <w:rsid w:val="00034651"/>
    <w:rsid w:val="000351F2"/>
    <w:rsid w:val="00035224"/>
    <w:rsid w:val="00036E03"/>
    <w:rsid w:val="000406DB"/>
    <w:rsid w:val="0004094D"/>
    <w:rsid w:val="00040A5E"/>
    <w:rsid w:val="00041029"/>
    <w:rsid w:val="0004149B"/>
    <w:rsid w:val="00041717"/>
    <w:rsid w:val="00041CA0"/>
    <w:rsid w:val="000427F7"/>
    <w:rsid w:val="00042961"/>
    <w:rsid w:val="00042C25"/>
    <w:rsid w:val="00042D03"/>
    <w:rsid w:val="00043086"/>
    <w:rsid w:val="000430A0"/>
    <w:rsid w:val="00043A33"/>
    <w:rsid w:val="00043D3B"/>
    <w:rsid w:val="00043D4D"/>
    <w:rsid w:val="00043F5D"/>
    <w:rsid w:val="0004418C"/>
    <w:rsid w:val="00044204"/>
    <w:rsid w:val="000449D4"/>
    <w:rsid w:val="000466E8"/>
    <w:rsid w:val="00046717"/>
    <w:rsid w:val="00046A63"/>
    <w:rsid w:val="00046C09"/>
    <w:rsid w:val="00046EDB"/>
    <w:rsid w:val="0004716A"/>
    <w:rsid w:val="00047316"/>
    <w:rsid w:val="00047385"/>
    <w:rsid w:val="000473E8"/>
    <w:rsid w:val="000504DE"/>
    <w:rsid w:val="00050705"/>
    <w:rsid w:val="00051074"/>
    <w:rsid w:val="0005211A"/>
    <w:rsid w:val="00052B79"/>
    <w:rsid w:val="00052B86"/>
    <w:rsid w:val="00052EA0"/>
    <w:rsid w:val="000536E3"/>
    <w:rsid w:val="00053EDA"/>
    <w:rsid w:val="00054252"/>
    <w:rsid w:val="0005474D"/>
    <w:rsid w:val="00055CB9"/>
    <w:rsid w:val="00056F66"/>
    <w:rsid w:val="0005702F"/>
    <w:rsid w:val="00057661"/>
    <w:rsid w:val="0005779C"/>
    <w:rsid w:val="00061D06"/>
    <w:rsid w:val="00062289"/>
    <w:rsid w:val="0006294B"/>
    <w:rsid w:val="00062CDD"/>
    <w:rsid w:val="00063EA2"/>
    <w:rsid w:val="00063FA5"/>
    <w:rsid w:val="000640AF"/>
    <w:rsid w:val="00064940"/>
    <w:rsid w:val="00064CAE"/>
    <w:rsid w:val="00064DB7"/>
    <w:rsid w:val="00064FA7"/>
    <w:rsid w:val="00065195"/>
    <w:rsid w:val="00070AF1"/>
    <w:rsid w:val="000714DE"/>
    <w:rsid w:val="0007254F"/>
    <w:rsid w:val="00073C30"/>
    <w:rsid w:val="00074305"/>
    <w:rsid w:val="00074B2A"/>
    <w:rsid w:val="00075108"/>
    <w:rsid w:val="00075B3E"/>
    <w:rsid w:val="00076456"/>
    <w:rsid w:val="00076604"/>
    <w:rsid w:val="0007779B"/>
    <w:rsid w:val="000777E7"/>
    <w:rsid w:val="0007790A"/>
    <w:rsid w:val="0008017B"/>
    <w:rsid w:val="00080287"/>
    <w:rsid w:val="00080ACD"/>
    <w:rsid w:val="000811ED"/>
    <w:rsid w:val="00081284"/>
    <w:rsid w:val="0008191B"/>
    <w:rsid w:val="00081D62"/>
    <w:rsid w:val="00081E36"/>
    <w:rsid w:val="000820A1"/>
    <w:rsid w:val="000820CE"/>
    <w:rsid w:val="00082B74"/>
    <w:rsid w:val="00083099"/>
    <w:rsid w:val="00083EDC"/>
    <w:rsid w:val="00083EE6"/>
    <w:rsid w:val="000847C0"/>
    <w:rsid w:val="00084873"/>
    <w:rsid w:val="00084B97"/>
    <w:rsid w:val="0008510E"/>
    <w:rsid w:val="000856DE"/>
    <w:rsid w:val="00085F17"/>
    <w:rsid w:val="00085FB3"/>
    <w:rsid w:val="0008649B"/>
    <w:rsid w:val="0008686B"/>
    <w:rsid w:val="00086B2A"/>
    <w:rsid w:val="00086ED2"/>
    <w:rsid w:val="000914D6"/>
    <w:rsid w:val="00091569"/>
    <w:rsid w:val="00092DCA"/>
    <w:rsid w:val="000935F8"/>
    <w:rsid w:val="00093C51"/>
    <w:rsid w:val="000942EB"/>
    <w:rsid w:val="00095B70"/>
    <w:rsid w:val="00095C0D"/>
    <w:rsid w:val="0009617E"/>
    <w:rsid w:val="00096489"/>
    <w:rsid w:val="000979CF"/>
    <w:rsid w:val="00097A00"/>
    <w:rsid w:val="000A03C8"/>
    <w:rsid w:val="000A05F2"/>
    <w:rsid w:val="000A06C4"/>
    <w:rsid w:val="000A0861"/>
    <w:rsid w:val="000A0ED1"/>
    <w:rsid w:val="000A12DB"/>
    <w:rsid w:val="000A17C8"/>
    <w:rsid w:val="000A1AEE"/>
    <w:rsid w:val="000A20D7"/>
    <w:rsid w:val="000A2115"/>
    <w:rsid w:val="000A2128"/>
    <w:rsid w:val="000A362F"/>
    <w:rsid w:val="000A367A"/>
    <w:rsid w:val="000A3B49"/>
    <w:rsid w:val="000A41BA"/>
    <w:rsid w:val="000A446A"/>
    <w:rsid w:val="000A5AAF"/>
    <w:rsid w:val="000A5F97"/>
    <w:rsid w:val="000A648E"/>
    <w:rsid w:val="000A73BB"/>
    <w:rsid w:val="000A7EF4"/>
    <w:rsid w:val="000B0A15"/>
    <w:rsid w:val="000B0DF3"/>
    <w:rsid w:val="000B103F"/>
    <w:rsid w:val="000B10D0"/>
    <w:rsid w:val="000B1437"/>
    <w:rsid w:val="000B1470"/>
    <w:rsid w:val="000B2B86"/>
    <w:rsid w:val="000B3051"/>
    <w:rsid w:val="000B419B"/>
    <w:rsid w:val="000B4716"/>
    <w:rsid w:val="000B5781"/>
    <w:rsid w:val="000B5891"/>
    <w:rsid w:val="000B6E4B"/>
    <w:rsid w:val="000B7122"/>
    <w:rsid w:val="000C0185"/>
    <w:rsid w:val="000C0444"/>
    <w:rsid w:val="000C0960"/>
    <w:rsid w:val="000C0F81"/>
    <w:rsid w:val="000C128D"/>
    <w:rsid w:val="000C17A3"/>
    <w:rsid w:val="000C1D4B"/>
    <w:rsid w:val="000C3260"/>
    <w:rsid w:val="000C3616"/>
    <w:rsid w:val="000C3803"/>
    <w:rsid w:val="000C3B77"/>
    <w:rsid w:val="000C4F49"/>
    <w:rsid w:val="000C5861"/>
    <w:rsid w:val="000C639D"/>
    <w:rsid w:val="000C67BB"/>
    <w:rsid w:val="000C6C31"/>
    <w:rsid w:val="000C6DBC"/>
    <w:rsid w:val="000C6F79"/>
    <w:rsid w:val="000C7211"/>
    <w:rsid w:val="000C7476"/>
    <w:rsid w:val="000C7711"/>
    <w:rsid w:val="000C7AA2"/>
    <w:rsid w:val="000D0462"/>
    <w:rsid w:val="000D053D"/>
    <w:rsid w:val="000D0CD9"/>
    <w:rsid w:val="000D0ED2"/>
    <w:rsid w:val="000D1CEB"/>
    <w:rsid w:val="000D2563"/>
    <w:rsid w:val="000D25BF"/>
    <w:rsid w:val="000D3FDC"/>
    <w:rsid w:val="000D4E38"/>
    <w:rsid w:val="000D50DB"/>
    <w:rsid w:val="000D5ABA"/>
    <w:rsid w:val="000D6288"/>
    <w:rsid w:val="000D6CAF"/>
    <w:rsid w:val="000D7541"/>
    <w:rsid w:val="000D75E1"/>
    <w:rsid w:val="000D776B"/>
    <w:rsid w:val="000E0B3C"/>
    <w:rsid w:val="000E22CF"/>
    <w:rsid w:val="000E2977"/>
    <w:rsid w:val="000E2B36"/>
    <w:rsid w:val="000E300F"/>
    <w:rsid w:val="000E30AC"/>
    <w:rsid w:val="000E3B46"/>
    <w:rsid w:val="000E3E11"/>
    <w:rsid w:val="000E4596"/>
    <w:rsid w:val="000E5399"/>
    <w:rsid w:val="000E5768"/>
    <w:rsid w:val="000E5843"/>
    <w:rsid w:val="000E6139"/>
    <w:rsid w:val="000E6B73"/>
    <w:rsid w:val="000E6BE1"/>
    <w:rsid w:val="000E7E0B"/>
    <w:rsid w:val="000F078A"/>
    <w:rsid w:val="000F122D"/>
    <w:rsid w:val="000F1450"/>
    <w:rsid w:val="000F14E8"/>
    <w:rsid w:val="000F1BBD"/>
    <w:rsid w:val="000F2739"/>
    <w:rsid w:val="000F3138"/>
    <w:rsid w:val="000F3D39"/>
    <w:rsid w:val="000F4403"/>
    <w:rsid w:val="000F4C3F"/>
    <w:rsid w:val="000F4E17"/>
    <w:rsid w:val="000F636A"/>
    <w:rsid w:val="000F6578"/>
    <w:rsid w:val="000F70CD"/>
    <w:rsid w:val="000F79F9"/>
    <w:rsid w:val="000F7ABD"/>
    <w:rsid w:val="000F7E8F"/>
    <w:rsid w:val="000F7FBB"/>
    <w:rsid w:val="001000FB"/>
    <w:rsid w:val="00101134"/>
    <w:rsid w:val="00102605"/>
    <w:rsid w:val="00102686"/>
    <w:rsid w:val="00102745"/>
    <w:rsid w:val="001032E3"/>
    <w:rsid w:val="00103361"/>
    <w:rsid w:val="00103474"/>
    <w:rsid w:val="00103855"/>
    <w:rsid w:val="00103915"/>
    <w:rsid w:val="00103EA0"/>
    <w:rsid w:val="001046B8"/>
    <w:rsid w:val="00104F1C"/>
    <w:rsid w:val="001051E5"/>
    <w:rsid w:val="00105A74"/>
    <w:rsid w:val="00105ACB"/>
    <w:rsid w:val="00105AEF"/>
    <w:rsid w:val="00106259"/>
    <w:rsid w:val="001065E4"/>
    <w:rsid w:val="001068EB"/>
    <w:rsid w:val="001078CE"/>
    <w:rsid w:val="00110CEB"/>
    <w:rsid w:val="00110F61"/>
    <w:rsid w:val="001111BD"/>
    <w:rsid w:val="0011165A"/>
    <w:rsid w:val="00111B2B"/>
    <w:rsid w:val="00111ED9"/>
    <w:rsid w:val="00112609"/>
    <w:rsid w:val="00112774"/>
    <w:rsid w:val="00112B2E"/>
    <w:rsid w:val="00113003"/>
    <w:rsid w:val="00113062"/>
    <w:rsid w:val="00113705"/>
    <w:rsid w:val="00113952"/>
    <w:rsid w:val="00113975"/>
    <w:rsid w:val="00113CFC"/>
    <w:rsid w:val="00113FEA"/>
    <w:rsid w:val="00113FF2"/>
    <w:rsid w:val="00114324"/>
    <w:rsid w:val="00114A22"/>
    <w:rsid w:val="00114E9D"/>
    <w:rsid w:val="0011507B"/>
    <w:rsid w:val="00115D13"/>
    <w:rsid w:val="00116328"/>
    <w:rsid w:val="001169FD"/>
    <w:rsid w:val="001174C9"/>
    <w:rsid w:val="00117C82"/>
    <w:rsid w:val="00117E69"/>
    <w:rsid w:val="00120D3F"/>
    <w:rsid w:val="00121103"/>
    <w:rsid w:val="0012156A"/>
    <w:rsid w:val="00121BAB"/>
    <w:rsid w:val="00121E3C"/>
    <w:rsid w:val="00122B23"/>
    <w:rsid w:val="00122B7E"/>
    <w:rsid w:val="00123D64"/>
    <w:rsid w:val="00123FB5"/>
    <w:rsid w:val="0012400F"/>
    <w:rsid w:val="001246C9"/>
    <w:rsid w:val="001249DC"/>
    <w:rsid w:val="00125340"/>
    <w:rsid w:val="0012572D"/>
    <w:rsid w:val="00125BED"/>
    <w:rsid w:val="00125C59"/>
    <w:rsid w:val="00125D4F"/>
    <w:rsid w:val="00126F9B"/>
    <w:rsid w:val="00127004"/>
    <w:rsid w:val="00127AF2"/>
    <w:rsid w:val="00127EDC"/>
    <w:rsid w:val="00127F6D"/>
    <w:rsid w:val="00130355"/>
    <w:rsid w:val="00131B5A"/>
    <w:rsid w:val="00132C30"/>
    <w:rsid w:val="00132EFD"/>
    <w:rsid w:val="00133AED"/>
    <w:rsid w:val="00134FF9"/>
    <w:rsid w:val="00135E88"/>
    <w:rsid w:val="0013695C"/>
    <w:rsid w:val="00136BF7"/>
    <w:rsid w:val="001378B9"/>
    <w:rsid w:val="00137FD1"/>
    <w:rsid w:val="00137FFA"/>
    <w:rsid w:val="00140109"/>
    <w:rsid w:val="0014029B"/>
    <w:rsid w:val="00140A4F"/>
    <w:rsid w:val="001413AB"/>
    <w:rsid w:val="001432AF"/>
    <w:rsid w:val="00144335"/>
    <w:rsid w:val="0014502F"/>
    <w:rsid w:val="00145282"/>
    <w:rsid w:val="001453B0"/>
    <w:rsid w:val="001454D9"/>
    <w:rsid w:val="00145534"/>
    <w:rsid w:val="00145D8E"/>
    <w:rsid w:val="00146083"/>
    <w:rsid w:val="001462F7"/>
    <w:rsid w:val="001466F0"/>
    <w:rsid w:val="00146B60"/>
    <w:rsid w:val="00147798"/>
    <w:rsid w:val="00150005"/>
    <w:rsid w:val="00151B99"/>
    <w:rsid w:val="001521B2"/>
    <w:rsid w:val="00152288"/>
    <w:rsid w:val="00152EDD"/>
    <w:rsid w:val="00153491"/>
    <w:rsid w:val="0015361C"/>
    <w:rsid w:val="0015372F"/>
    <w:rsid w:val="00153A05"/>
    <w:rsid w:val="00153A18"/>
    <w:rsid w:val="00153BFB"/>
    <w:rsid w:val="0015407E"/>
    <w:rsid w:val="0015448E"/>
    <w:rsid w:val="00154A6F"/>
    <w:rsid w:val="00155D08"/>
    <w:rsid w:val="00156BE5"/>
    <w:rsid w:val="00156FDB"/>
    <w:rsid w:val="00157232"/>
    <w:rsid w:val="00160401"/>
    <w:rsid w:val="00160D4E"/>
    <w:rsid w:val="00161E62"/>
    <w:rsid w:val="00161F1C"/>
    <w:rsid w:val="0016200B"/>
    <w:rsid w:val="00163D7A"/>
    <w:rsid w:val="00164281"/>
    <w:rsid w:val="00164AF1"/>
    <w:rsid w:val="001654DF"/>
    <w:rsid w:val="00167503"/>
    <w:rsid w:val="001676A9"/>
    <w:rsid w:val="00167A15"/>
    <w:rsid w:val="00167A50"/>
    <w:rsid w:val="00167D66"/>
    <w:rsid w:val="00167DF5"/>
    <w:rsid w:val="00170001"/>
    <w:rsid w:val="0017145A"/>
    <w:rsid w:val="0017171B"/>
    <w:rsid w:val="00172198"/>
    <w:rsid w:val="00172612"/>
    <w:rsid w:val="00172817"/>
    <w:rsid w:val="001734E3"/>
    <w:rsid w:val="0017350E"/>
    <w:rsid w:val="0017391B"/>
    <w:rsid w:val="001742BF"/>
    <w:rsid w:val="001749DF"/>
    <w:rsid w:val="00175E49"/>
    <w:rsid w:val="00176470"/>
    <w:rsid w:val="0017659F"/>
    <w:rsid w:val="00177076"/>
    <w:rsid w:val="001805C1"/>
    <w:rsid w:val="00180A2E"/>
    <w:rsid w:val="001813AF"/>
    <w:rsid w:val="001829CD"/>
    <w:rsid w:val="00182F01"/>
    <w:rsid w:val="00184F27"/>
    <w:rsid w:val="001850E6"/>
    <w:rsid w:val="0018519B"/>
    <w:rsid w:val="00185AFE"/>
    <w:rsid w:val="00185E78"/>
    <w:rsid w:val="00187177"/>
    <w:rsid w:val="00187443"/>
    <w:rsid w:val="00187ABD"/>
    <w:rsid w:val="001904E3"/>
    <w:rsid w:val="0019087A"/>
    <w:rsid w:val="00191395"/>
    <w:rsid w:val="00191C5A"/>
    <w:rsid w:val="00191CEB"/>
    <w:rsid w:val="00191E63"/>
    <w:rsid w:val="00192D68"/>
    <w:rsid w:val="0019388B"/>
    <w:rsid w:val="00193B9A"/>
    <w:rsid w:val="00193F7E"/>
    <w:rsid w:val="001946AE"/>
    <w:rsid w:val="001946D5"/>
    <w:rsid w:val="00194E8C"/>
    <w:rsid w:val="001962EC"/>
    <w:rsid w:val="001963DD"/>
    <w:rsid w:val="001965DB"/>
    <w:rsid w:val="00196DC9"/>
    <w:rsid w:val="001A0236"/>
    <w:rsid w:val="001A0AF8"/>
    <w:rsid w:val="001A18D5"/>
    <w:rsid w:val="001A1D4A"/>
    <w:rsid w:val="001A3011"/>
    <w:rsid w:val="001A325B"/>
    <w:rsid w:val="001A3FC3"/>
    <w:rsid w:val="001A4A08"/>
    <w:rsid w:val="001A4DAF"/>
    <w:rsid w:val="001A66DF"/>
    <w:rsid w:val="001A67D0"/>
    <w:rsid w:val="001A687E"/>
    <w:rsid w:val="001A6BF1"/>
    <w:rsid w:val="001A7591"/>
    <w:rsid w:val="001A75B1"/>
    <w:rsid w:val="001B0366"/>
    <w:rsid w:val="001B0444"/>
    <w:rsid w:val="001B096B"/>
    <w:rsid w:val="001B0F9F"/>
    <w:rsid w:val="001B123C"/>
    <w:rsid w:val="001B1A0D"/>
    <w:rsid w:val="001B1BF1"/>
    <w:rsid w:val="001B2456"/>
    <w:rsid w:val="001B40C7"/>
    <w:rsid w:val="001B449C"/>
    <w:rsid w:val="001B4AA2"/>
    <w:rsid w:val="001B4ADE"/>
    <w:rsid w:val="001B5C86"/>
    <w:rsid w:val="001B5EF8"/>
    <w:rsid w:val="001C037A"/>
    <w:rsid w:val="001C07C6"/>
    <w:rsid w:val="001C08B2"/>
    <w:rsid w:val="001C19CD"/>
    <w:rsid w:val="001C22D5"/>
    <w:rsid w:val="001C2515"/>
    <w:rsid w:val="001C2550"/>
    <w:rsid w:val="001C26FB"/>
    <w:rsid w:val="001C33C1"/>
    <w:rsid w:val="001C3E30"/>
    <w:rsid w:val="001C3E5C"/>
    <w:rsid w:val="001C5072"/>
    <w:rsid w:val="001C5B2A"/>
    <w:rsid w:val="001C600B"/>
    <w:rsid w:val="001C6407"/>
    <w:rsid w:val="001C6898"/>
    <w:rsid w:val="001C6DD8"/>
    <w:rsid w:val="001C7C7B"/>
    <w:rsid w:val="001D068D"/>
    <w:rsid w:val="001D0A71"/>
    <w:rsid w:val="001D12D1"/>
    <w:rsid w:val="001D15DF"/>
    <w:rsid w:val="001D2970"/>
    <w:rsid w:val="001D30F3"/>
    <w:rsid w:val="001D31A0"/>
    <w:rsid w:val="001D338E"/>
    <w:rsid w:val="001D3D3F"/>
    <w:rsid w:val="001D408D"/>
    <w:rsid w:val="001D4141"/>
    <w:rsid w:val="001D56E9"/>
    <w:rsid w:val="001D7923"/>
    <w:rsid w:val="001D796A"/>
    <w:rsid w:val="001D7A84"/>
    <w:rsid w:val="001D7C79"/>
    <w:rsid w:val="001E0E15"/>
    <w:rsid w:val="001E15F0"/>
    <w:rsid w:val="001E1CC4"/>
    <w:rsid w:val="001E1D38"/>
    <w:rsid w:val="001E1DEE"/>
    <w:rsid w:val="001E250D"/>
    <w:rsid w:val="001E4258"/>
    <w:rsid w:val="001E442F"/>
    <w:rsid w:val="001E4587"/>
    <w:rsid w:val="001E56FF"/>
    <w:rsid w:val="001E5A69"/>
    <w:rsid w:val="001E5B84"/>
    <w:rsid w:val="001E5D6A"/>
    <w:rsid w:val="001E70FB"/>
    <w:rsid w:val="001E780A"/>
    <w:rsid w:val="001F07D6"/>
    <w:rsid w:val="001F0FA0"/>
    <w:rsid w:val="001F1349"/>
    <w:rsid w:val="001F1863"/>
    <w:rsid w:val="001F232D"/>
    <w:rsid w:val="001F2356"/>
    <w:rsid w:val="001F2A68"/>
    <w:rsid w:val="001F35AE"/>
    <w:rsid w:val="001F39EA"/>
    <w:rsid w:val="001F4773"/>
    <w:rsid w:val="001F5008"/>
    <w:rsid w:val="001F512D"/>
    <w:rsid w:val="001F56AA"/>
    <w:rsid w:val="001F58AA"/>
    <w:rsid w:val="001F5EF6"/>
    <w:rsid w:val="001F657F"/>
    <w:rsid w:val="001F6FB6"/>
    <w:rsid w:val="001F7978"/>
    <w:rsid w:val="001F7A0E"/>
    <w:rsid w:val="0020022E"/>
    <w:rsid w:val="002004AC"/>
    <w:rsid w:val="0020054E"/>
    <w:rsid w:val="00200B51"/>
    <w:rsid w:val="00201F1E"/>
    <w:rsid w:val="0020299B"/>
    <w:rsid w:val="00202E44"/>
    <w:rsid w:val="002037AA"/>
    <w:rsid w:val="00203FE3"/>
    <w:rsid w:val="002042D8"/>
    <w:rsid w:val="00204515"/>
    <w:rsid w:val="00204BF5"/>
    <w:rsid w:val="00204D91"/>
    <w:rsid w:val="00204D9B"/>
    <w:rsid w:val="00204E6B"/>
    <w:rsid w:val="002058D4"/>
    <w:rsid w:val="00205BAA"/>
    <w:rsid w:val="0020632A"/>
    <w:rsid w:val="002064A6"/>
    <w:rsid w:val="0020697F"/>
    <w:rsid w:val="00210430"/>
    <w:rsid w:val="0021096F"/>
    <w:rsid w:val="002110EB"/>
    <w:rsid w:val="00211338"/>
    <w:rsid w:val="00211342"/>
    <w:rsid w:val="00211388"/>
    <w:rsid w:val="0021148C"/>
    <w:rsid w:val="00211694"/>
    <w:rsid w:val="0021201A"/>
    <w:rsid w:val="00213A1F"/>
    <w:rsid w:val="00213C63"/>
    <w:rsid w:val="00214502"/>
    <w:rsid w:val="00214741"/>
    <w:rsid w:val="0021539A"/>
    <w:rsid w:val="00215793"/>
    <w:rsid w:val="00215852"/>
    <w:rsid w:val="00215B8E"/>
    <w:rsid w:val="00216264"/>
    <w:rsid w:val="002168B8"/>
    <w:rsid w:val="002176B6"/>
    <w:rsid w:val="0021792D"/>
    <w:rsid w:val="00217C33"/>
    <w:rsid w:val="00217DB8"/>
    <w:rsid w:val="0022032A"/>
    <w:rsid w:val="002221CE"/>
    <w:rsid w:val="00222BE8"/>
    <w:rsid w:val="00223102"/>
    <w:rsid w:val="002232CB"/>
    <w:rsid w:val="00224022"/>
    <w:rsid w:val="00226055"/>
    <w:rsid w:val="0022613F"/>
    <w:rsid w:val="00226236"/>
    <w:rsid w:val="00226DF9"/>
    <w:rsid w:val="002270C9"/>
    <w:rsid w:val="00227710"/>
    <w:rsid w:val="00227A8B"/>
    <w:rsid w:val="0023146B"/>
    <w:rsid w:val="002315A0"/>
    <w:rsid w:val="00231CE0"/>
    <w:rsid w:val="00231DBA"/>
    <w:rsid w:val="00231EC7"/>
    <w:rsid w:val="00232A6C"/>
    <w:rsid w:val="00232E15"/>
    <w:rsid w:val="00233079"/>
    <w:rsid w:val="0023382C"/>
    <w:rsid w:val="00233977"/>
    <w:rsid w:val="00233C58"/>
    <w:rsid w:val="00233C71"/>
    <w:rsid w:val="002345B6"/>
    <w:rsid w:val="00234B84"/>
    <w:rsid w:val="00235D5E"/>
    <w:rsid w:val="00236016"/>
    <w:rsid w:val="00237065"/>
    <w:rsid w:val="00237589"/>
    <w:rsid w:val="0023758D"/>
    <w:rsid w:val="002375A7"/>
    <w:rsid w:val="0024019A"/>
    <w:rsid w:val="002402A8"/>
    <w:rsid w:val="002411DE"/>
    <w:rsid w:val="0024131D"/>
    <w:rsid w:val="002413B5"/>
    <w:rsid w:val="002415B8"/>
    <w:rsid w:val="00241618"/>
    <w:rsid w:val="00242D62"/>
    <w:rsid w:val="00243057"/>
    <w:rsid w:val="002431D7"/>
    <w:rsid w:val="00243257"/>
    <w:rsid w:val="00243434"/>
    <w:rsid w:val="00244058"/>
    <w:rsid w:val="00244F9A"/>
    <w:rsid w:val="00245718"/>
    <w:rsid w:val="00245E07"/>
    <w:rsid w:val="0024729C"/>
    <w:rsid w:val="00247712"/>
    <w:rsid w:val="00250EC6"/>
    <w:rsid w:val="00251866"/>
    <w:rsid w:val="00251A9F"/>
    <w:rsid w:val="00252492"/>
    <w:rsid w:val="00252B35"/>
    <w:rsid w:val="0025316D"/>
    <w:rsid w:val="002532F4"/>
    <w:rsid w:val="00253A02"/>
    <w:rsid w:val="00253B81"/>
    <w:rsid w:val="002554DE"/>
    <w:rsid w:val="00255E11"/>
    <w:rsid w:val="00256835"/>
    <w:rsid w:val="002569F0"/>
    <w:rsid w:val="00256ECF"/>
    <w:rsid w:val="00257730"/>
    <w:rsid w:val="00257999"/>
    <w:rsid w:val="00257C83"/>
    <w:rsid w:val="002604AA"/>
    <w:rsid w:val="0026129B"/>
    <w:rsid w:val="00261560"/>
    <w:rsid w:val="00261715"/>
    <w:rsid w:val="00261CF9"/>
    <w:rsid w:val="00261EC0"/>
    <w:rsid w:val="0026231B"/>
    <w:rsid w:val="00263101"/>
    <w:rsid w:val="00263201"/>
    <w:rsid w:val="00263A37"/>
    <w:rsid w:val="00263D59"/>
    <w:rsid w:val="00263EAE"/>
    <w:rsid w:val="00264409"/>
    <w:rsid w:val="002653A6"/>
    <w:rsid w:val="0026608D"/>
    <w:rsid w:val="002661F1"/>
    <w:rsid w:val="002663BA"/>
    <w:rsid w:val="002664B7"/>
    <w:rsid w:val="00266CB5"/>
    <w:rsid w:val="002711A4"/>
    <w:rsid w:val="00271F13"/>
    <w:rsid w:val="002721E2"/>
    <w:rsid w:val="00274DB5"/>
    <w:rsid w:val="00275BB1"/>
    <w:rsid w:val="00275FBF"/>
    <w:rsid w:val="00276373"/>
    <w:rsid w:val="00277933"/>
    <w:rsid w:val="00277F13"/>
    <w:rsid w:val="00277F8D"/>
    <w:rsid w:val="00277FA7"/>
    <w:rsid w:val="00280F3D"/>
    <w:rsid w:val="0028106A"/>
    <w:rsid w:val="002813C6"/>
    <w:rsid w:val="00281EB4"/>
    <w:rsid w:val="00282C21"/>
    <w:rsid w:val="0028308E"/>
    <w:rsid w:val="002834E9"/>
    <w:rsid w:val="0028396F"/>
    <w:rsid w:val="00283A52"/>
    <w:rsid w:val="00283C5E"/>
    <w:rsid w:val="00283E26"/>
    <w:rsid w:val="0028428F"/>
    <w:rsid w:val="00284CFC"/>
    <w:rsid w:val="0028565E"/>
    <w:rsid w:val="00285832"/>
    <w:rsid w:val="00285969"/>
    <w:rsid w:val="00285ACD"/>
    <w:rsid w:val="0028663B"/>
    <w:rsid w:val="00286CEC"/>
    <w:rsid w:val="002871A9"/>
    <w:rsid w:val="00287B7E"/>
    <w:rsid w:val="00290781"/>
    <w:rsid w:val="002912D3"/>
    <w:rsid w:val="00291784"/>
    <w:rsid w:val="002929BB"/>
    <w:rsid w:val="00292E64"/>
    <w:rsid w:val="002932BA"/>
    <w:rsid w:val="00293669"/>
    <w:rsid w:val="00294368"/>
    <w:rsid w:val="00294B78"/>
    <w:rsid w:val="00295646"/>
    <w:rsid w:val="00295949"/>
    <w:rsid w:val="0029624A"/>
    <w:rsid w:val="00296922"/>
    <w:rsid w:val="0029697C"/>
    <w:rsid w:val="00297098"/>
    <w:rsid w:val="002A05D4"/>
    <w:rsid w:val="002A09FF"/>
    <w:rsid w:val="002A0C01"/>
    <w:rsid w:val="002A0E60"/>
    <w:rsid w:val="002A1A58"/>
    <w:rsid w:val="002A1B02"/>
    <w:rsid w:val="002A1C53"/>
    <w:rsid w:val="002A28FC"/>
    <w:rsid w:val="002A2B44"/>
    <w:rsid w:val="002A2EA5"/>
    <w:rsid w:val="002A3842"/>
    <w:rsid w:val="002A3D94"/>
    <w:rsid w:val="002A4736"/>
    <w:rsid w:val="002A4B1C"/>
    <w:rsid w:val="002A4BDD"/>
    <w:rsid w:val="002A4CC8"/>
    <w:rsid w:val="002A4DBB"/>
    <w:rsid w:val="002A6AFB"/>
    <w:rsid w:val="002A6E3A"/>
    <w:rsid w:val="002A733D"/>
    <w:rsid w:val="002A774A"/>
    <w:rsid w:val="002A7E5C"/>
    <w:rsid w:val="002A7F6D"/>
    <w:rsid w:val="002B020D"/>
    <w:rsid w:val="002B1342"/>
    <w:rsid w:val="002B1B22"/>
    <w:rsid w:val="002B27C8"/>
    <w:rsid w:val="002B2A7F"/>
    <w:rsid w:val="002B330B"/>
    <w:rsid w:val="002B39BE"/>
    <w:rsid w:val="002B4039"/>
    <w:rsid w:val="002B438C"/>
    <w:rsid w:val="002B48DB"/>
    <w:rsid w:val="002B4B34"/>
    <w:rsid w:val="002B508E"/>
    <w:rsid w:val="002B541A"/>
    <w:rsid w:val="002B6407"/>
    <w:rsid w:val="002B6416"/>
    <w:rsid w:val="002B6459"/>
    <w:rsid w:val="002B64D2"/>
    <w:rsid w:val="002B73B0"/>
    <w:rsid w:val="002C0471"/>
    <w:rsid w:val="002C1143"/>
    <w:rsid w:val="002C24B4"/>
    <w:rsid w:val="002C2739"/>
    <w:rsid w:val="002C2B3A"/>
    <w:rsid w:val="002C2B87"/>
    <w:rsid w:val="002C3CF4"/>
    <w:rsid w:val="002C441A"/>
    <w:rsid w:val="002C4A73"/>
    <w:rsid w:val="002C4B84"/>
    <w:rsid w:val="002C4C0C"/>
    <w:rsid w:val="002C5016"/>
    <w:rsid w:val="002C5570"/>
    <w:rsid w:val="002C5C2F"/>
    <w:rsid w:val="002C5D0F"/>
    <w:rsid w:val="002C5E87"/>
    <w:rsid w:val="002C60B9"/>
    <w:rsid w:val="002C6A1D"/>
    <w:rsid w:val="002C6F77"/>
    <w:rsid w:val="002C704D"/>
    <w:rsid w:val="002D0845"/>
    <w:rsid w:val="002D0933"/>
    <w:rsid w:val="002D0F58"/>
    <w:rsid w:val="002D1866"/>
    <w:rsid w:val="002D19BB"/>
    <w:rsid w:val="002D1A9B"/>
    <w:rsid w:val="002D22C5"/>
    <w:rsid w:val="002D301F"/>
    <w:rsid w:val="002D302A"/>
    <w:rsid w:val="002D36C6"/>
    <w:rsid w:val="002D37C1"/>
    <w:rsid w:val="002D444B"/>
    <w:rsid w:val="002D4A45"/>
    <w:rsid w:val="002D4A73"/>
    <w:rsid w:val="002D4AB1"/>
    <w:rsid w:val="002D4B42"/>
    <w:rsid w:val="002D4DBA"/>
    <w:rsid w:val="002D5A1B"/>
    <w:rsid w:val="002D65BC"/>
    <w:rsid w:val="002D6D7E"/>
    <w:rsid w:val="002D7EDD"/>
    <w:rsid w:val="002E055C"/>
    <w:rsid w:val="002E1050"/>
    <w:rsid w:val="002E18E5"/>
    <w:rsid w:val="002E1953"/>
    <w:rsid w:val="002E2D7D"/>
    <w:rsid w:val="002E3AB5"/>
    <w:rsid w:val="002E3D76"/>
    <w:rsid w:val="002E40A1"/>
    <w:rsid w:val="002E48EC"/>
    <w:rsid w:val="002E4B44"/>
    <w:rsid w:val="002E4ECB"/>
    <w:rsid w:val="002E4F23"/>
    <w:rsid w:val="002E5B53"/>
    <w:rsid w:val="002E74C4"/>
    <w:rsid w:val="002E7847"/>
    <w:rsid w:val="002E7FCF"/>
    <w:rsid w:val="002F0073"/>
    <w:rsid w:val="002F0618"/>
    <w:rsid w:val="002F1D41"/>
    <w:rsid w:val="002F240B"/>
    <w:rsid w:val="002F2F50"/>
    <w:rsid w:val="002F3601"/>
    <w:rsid w:val="002F45F6"/>
    <w:rsid w:val="002F692F"/>
    <w:rsid w:val="002F69BE"/>
    <w:rsid w:val="002F7B66"/>
    <w:rsid w:val="00300CB4"/>
    <w:rsid w:val="00300DE7"/>
    <w:rsid w:val="00300E24"/>
    <w:rsid w:val="0030101C"/>
    <w:rsid w:val="003033BA"/>
    <w:rsid w:val="003043A3"/>
    <w:rsid w:val="00304BD4"/>
    <w:rsid w:val="0030500A"/>
    <w:rsid w:val="0030517B"/>
    <w:rsid w:val="003052EB"/>
    <w:rsid w:val="00305FCB"/>
    <w:rsid w:val="0030600C"/>
    <w:rsid w:val="003063C3"/>
    <w:rsid w:val="00306B44"/>
    <w:rsid w:val="00307C44"/>
    <w:rsid w:val="0031088E"/>
    <w:rsid w:val="00310A35"/>
    <w:rsid w:val="00310CAF"/>
    <w:rsid w:val="00310D01"/>
    <w:rsid w:val="00311376"/>
    <w:rsid w:val="00311A1F"/>
    <w:rsid w:val="00311B47"/>
    <w:rsid w:val="00311D52"/>
    <w:rsid w:val="00312190"/>
    <w:rsid w:val="003125E0"/>
    <w:rsid w:val="00312606"/>
    <w:rsid w:val="0031271D"/>
    <w:rsid w:val="0031336A"/>
    <w:rsid w:val="00313447"/>
    <w:rsid w:val="00313748"/>
    <w:rsid w:val="00313EA3"/>
    <w:rsid w:val="0031496A"/>
    <w:rsid w:val="00315457"/>
    <w:rsid w:val="003161A4"/>
    <w:rsid w:val="00316955"/>
    <w:rsid w:val="0031720A"/>
    <w:rsid w:val="0031749B"/>
    <w:rsid w:val="003174E5"/>
    <w:rsid w:val="00317C9D"/>
    <w:rsid w:val="00317CD2"/>
    <w:rsid w:val="00317D99"/>
    <w:rsid w:val="0032078D"/>
    <w:rsid w:val="003209BE"/>
    <w:rsid w:val="00320A6E"/>
    <w:rsid w:val="00320F34"/>
    <w:rsid w:val="0032137B"/>
    <w:rsid w:val="003214F7"/>
    <w:rsid w:val="00321BD6"/>
    <w:rsid w:val="00321FA3"/>
    <w:rsid w:val="003227D3"/>
    <w:rsid w:val="00322937"/>
    <w:rsid w:val="00322A46"/>
    <w:rsid w:val="00322A84"/>
    <w:rsid w:val="00323881"/>
    <w:rsid w:val="00323B73"/>
    <w:rsid w:val="003254F5"/>
    <w:rsid w:val="00325D98"/>
    <w:rsid w:val="0032682A"/>
    <w:rsid w:val="00327A5C"/>
    <w:rsid w:val="0033092C"/>
    <w:rsid w:val="0033122A"/>
    <w:rsid w:val="003315AC"/>
    <w:rsid w:val="00331932"/>
    <w:rsid w:val="00333A88"/>
    <w:rsid w:val="00333FFB"/>
    <w:rsid w:val="00334B73"/>
    <w:rsid w:val="00335B15"/>
    <w:rsid w:val="00335B21"/>
    <w:rsid w:val="00335D3F"/>
    <w:rsid w:val="00336104"/>
    <w:rsid w:val="00336729"/>
    <w:rsid w:val="00336AB1"/>
    <w:rsid w:val="0033726D"/>
    <w:rsid w:val="00337362"/>
    <w:rsid w:val="00337807"/>
    <w:rsid w:val="00337CA8"/>
    <w:rsid w:val="00337EAD"/>
    <w:rsid w:val="0034125B"/>
    <w:rsid w:val="0034177C"/>
    <w:rsid w:val="00342345"/>
    <w:rsid w:val="00342B56"/>
    <w:rsid w:val="00342C27"/>
    <w:rsid w:val="003430C8"/>
    <w:rsid w:val="003432C8"/>
    <w:rsid w:val="003434B3"/>
    <w:rsid w:val="00343536"/>
    <w:rsid w:val="00343EFB"/>
    <w:rsid w:val="003443DF"/>
    <w:rsid w:val="00344760"/>
    <w:rsid w:val="00344A64"/>
    <w:rsid w:val="0034680A"/>
    <w:rsid w:val="00346C62"/>
    <w:rsid w:val="0034778E"/>
    <w:rsid w:val="003501E2"/>
    <w:rsid w:val="00350A59"/>
    <w:rsid w:val="00351E10"/>
    <w:rsid w:val="003525E7"/>
    <w:rsid w:val="0035273A"/>
    <w:rsid w:val="00352D59"/>
    <w:rsid w:val="003533F4"/>
    <w:rsid w:val="003536F6"/>
    <w:rsid w:val="00353DD5"/>
    <w:rsid w:val="0035406D"/>
    <w:rsid w:val="00354A64"/>
    <w:rsid w:val="00355131"/>
    <w:rsid w:val="00355462"/>
    <w:rsid w:val="00356438"/>
    <w:rsid w:val="00356687"/>
    <w:rsid w:val="00356D22"/>
    <w:rsid w:val="00357107"/>
    <w:rsid w:val="003609C4"/>
    <w:rsid w:val="00361A59"/>
    <w:rsid w:val="003631CC"/>
    <w:rsid w:val="00363348"/>
    <w:rsid w:val="00363857"/>
    <w:rsid w:val="00363D59"/>
    <w:rsid w:val="003640F7"/>
    <w:rsid w:val="00364300"/>
    <w:rsid w:val="00365D3A"/>
    <w:rsid w:val="003661DD"/>
    <w:rsid w:val="003664FF"/>
    <w:rsid w:val="00366B70"/>
    <w:rsid w:val="00366BD2"/>
    <w:rsid w:val="003670B8"/>
    <w:rsid w:val="0036776E"/>
    <w:rsid w:val="003704A3"/>
    <w:rsid w:val="003706F2"/>
    <w:rsid w:val="0037124F"/>
    <w:rsid w:val="00373827"/>
    <w:rsid w:val="00373971"/>
    <w:rsid w:val="00373F04"/>
    <w:rsid w:val="0037401C"/>
    <w:rsid w:val="00374A1E"/>
    <w:rsid w:val="0037507B"/>
    <w:rsid w:val="003759D1"/>
    <w:rsid w:val="00375C7C"/>
    <w:rsid w:val="003762F6"/>
    <w:rsid w:val="00377027"/>
    <w:rsid w:val="00377135"/>
    <w:rsid w:val="00380272"/>
    <w:rsid w:val="00380355"/>
    <w:rsid w:val="00380576"/>
    <w:rsid w:val="003805DB"/>
    <w:rsid w:val="003813F4"/>
    <w:rsid w:val="0038152A"/>
    <w:rsid w:val="00382BAD"/>
    <w:rsid w:val="00383A8D"/>
    <w:rsid w:val="00384CD6"/>
    <w:rsid w:val="00384DF1"/>
    <w:rsid w:val="00384FF3"/>
    <w:rsid w:val="00386456"/>
    <w:rsid w:val="003865A9"/>
    <w:rsid w:val="00387642"/>
    <w:rsid w:val="003903B6"/>
    <w:rsid w:val="00390F32"/>
    <w:rsid w:val="0039135E"/>
    <w:rsid w:val="0039200F"/>
    <w:rsid w:val="0039319C"/>
    <w:rsid w:val="003938CD"/>
    <w:rsid w:val="00393CAE"/>
    <w:rsid w:val="003945DC"/>
    <w:rsid w:val="003945F4"/>
    <w:rsid w:val="00394EB5"/>
    <w:rsid w:val="003953B4"/>
    <w:rsid w:val="0039615F"/>
    <w:rsid w:val="00396675"/>
    <w:rsid w:val="00396A29"/>
    <w:rsid w:val="00397FF0"/>
    <w:rsid w:val="003A0878"/>
    <w:rsid w:val="003A10DE"/>
    <w:rsid w:val="003A1561"/>
    <w:rsid w:val="003A1D25"/>
    <w:rsid w:val="003A22A2"/>
    <w:rsid w:val="003A2447"/>
    <w:rsid w:val="003A2AA1"/>
    <w:rsid w:val="003A31A5"/>
    <w:rsid w:val="003A3851"/>
    <w:rsid w:val="003A39DD"/>
    <w:rsid w:val="003A4A8E"/>
    <w:rsid w:val="003A563C"/>
    <w:rsid w:val="003A581E"/>
    <w:rsid w:val="003A6160"/>
    <w:rsid w:val="003A65A5"/>
    <w:rsid w:val="003A72F5"/>
    <w:rsid w:val="003A78E5"/>
    <w:rsid w:val="003B0341"/>
    <w:rsid w:val="003B120F"/>
    <w:rsid w:val="003B1E57"/>
    <w:rsid w:val="003B2885"/>
    <w:rsid w:val="003B2EF3"/>
    <w:rsid w:val="003B3676"/>
    <w:rsid w:val="003B4B1C"/>
    <w:rsid w:val="003B4CB2"/>
    <w:rsid w:val="003B534F"/>
    <w:rsid w:val="003B5391"/>
    <w:rsid w:val="003B5952"/>
    <w:rsid w:val="003B65D7"/>
    <w:rsid w:val="003B65E0"/>
    <w:rsid w:val="003B6BD4"/>
    <w:rsid w:val="003B6F4D"/>
    <w:rsid w:val="003B6FE7"/>
    <w:rsid w:val="003C0791"/>
    <w:rsid w:val="003C0D1F"/>
    <w:rsid w:val="003C116A"/>
    <w:rsid w:val="003C1AF4"/>
    <w:rsid w:val="003C1B63"/>
    <w:rsid w:val="003C1CB8"/>
    <w:rsid w:val="003C2550"/>
    <w:rsid w:val="003C287F"/>
    <w:rsid w:val="003C3339"/>
    <w:rsid w:val="003C375A"/>
    <w:rsid w:val="003C43F6"/>
    <w:rsid w:val="003C4D9F"/>
    <w:rsid w:val="003C5118"/>
    <w:rsid w:val="003C622C"/>
    <w:rsid w:val="003C6D53"/>
    <w:rsid w:val="003C73C7"/>
    <w:rsid w:val="003D0195"/>
    <w:rsid w:val="003D03F3"/>
    <w:rsid w:val="003D050B"/>
    <w:rsid w:val="003D0B98"/>
    <w:rsid w:val="003D0C3C"/>
    <w:rsid w:val="003D0DE5"/>
    <w:rsid w:val="003D1351"/>
    <w:rsid w:val="003D21C1"/>
    <w:rsid w:val="003D3707"/>
    <w:rsid w:val="003D3B15"/>
    <w:rsid w:val="003D3B2E"/>
    <w:rsid w:val="003D484D"/>
    <w:rsid w:val="003D49CB"/>
    <w:rsid w:val="003D4BD6"/>
    <w:rsid w:val="003D5960"/>
    <w:rsid w:val="003D6412"/>
    <w:rsid w:val="003D6B8F"/>
    <w:rsid w:val="003D7566"/>
    <w:rsid w:val="003D7708"/>
    <w:rsid w:val="003E08B3"/>
    <w:rsid w:val="003E09BB"/>
    <w:rsid w:val="003E159D"/>
    <w:rsid w:val="003E20EA"/>
    <w:rsid w:val="003E210C"/>
    <w:rsid w:val="003E2913"/>
    <w:rsid w:val="003E2F55"/>
    <w:rsid w:val="003E317C"/>
    <w:rsid w:val="003E34DB"/>
    <w:rsid w:val="003E3833"/>
    <w:rsid w:val="003E3902"/>
    <w:rsid w:val="003E3AF9"/>
    <w:rsid w:val="003E412A"/>
    <w:rsid w:val="003E4A70"/>
    <w:rsid w:val="003E4C48"/>
    <w:rsid w:val="003E4CD9"/>
    <w:rsid w:val="003E54B3"/>
    <w:rsid w:val="003E5780"/>
    <w:rsid w:val="003E5B9F"/>
    <w:rsid w:val="003E6072"/>
    <w:rsid w:val="003E6AB6"/>
    <w:rsid w:val="003E6E0B"/>
    <w:rsid w:val="003E71CD"/>
    <w:rsid w:val="003E74E5"/>
    <w:rsid w:val="003E76DF"/>
    <w:rsid w:val="003E78DA"/>
    <w:rsid w:val="003E7A8B"/>
    <w:rsid w:val="003F04B0"/>
    <w:rsid w:val="003F0F7F"/>
    <w:rsid w:val="003F300D"/>
    <w:rsid w:val="003F391F"/>
    <w:rsid w:val="003F4599"/>
    <w:rsid w:val="003F45E1"/>
    <w:rsid w:val="003F4C8B"/>
    <w:rsid w:val="003F4F6C"/>
    <w:rsid w:val="003F516A"/>
    <w:rsid w:val="003F559E"/>
    <w:rsid w:val="003F5DB7"/>
    <w:rsid w:val="003F6181"/>
    <w:rsid w:val="003F7343"/>
    <w:rsid w:val="00400002"/>
    <w:rsid w:val="00400054"/>
    <w:rsid w:val="004016A3"/>
    <w:rsid w:val="00401B31"/>
    <w:rsid w:val="0040202B"/>
    <w:rsid w:val="00402DE1"/>
    <w:rsid w:val="00402EEB"/>
    <w:rsid w:val="004037C2"/>
    <w:rsid w:val="00404041"/>
    <w:rsid w:val="00404B43"/>
    <w:rsid w:val="00404C61"/>
    <w:rsid w:val="00405487"/>
    <w:rsid w:val="004054B1"/>
    <w:rsid w:val="00405792"/>
    <w:rsid w:val="0040602B"/>
    <w:rsid w:val="00407A7A"/>
    <w:rsid w:val="00407ABC"/>
    <w:rsid w:val="00407F1E"/>
    <w:rsid w:val="00410A88"/>
    <w:rsid w:val="00411317"/>
    <w:rsid w:val="00411A9E"/>
    <w:rsid w:val="00411D88"/>
    <w:rsid w:val="0041214C"/>
    <w:rsid w:val="0041259F"/>
    <w:rsid w:val="00412B4D"/>
    <w:rsid w:val="00412BBF"/>
    <w:rsid w:val="00412C51"/>
    <w:rsid w:val="00413262"/>
    <w:rsid w:val="0041329C"/>
    <w:rsid w:val="004136F2"/>
    <w:rsid w:val="004139F4"/>
    <w:rsid w:val="00413FFA"/>
    <w:rsid w:val="00414246"/>
    <w:rsid w:val="0041475B"/>
    <w:rsid w:val="00414760"/>
    <w:rsid w:val="00414C2F"/>
    <w:rsid w:val="00414D9A"/>
    <w:rsid w:val="00415194"/>
    <w:rsid w:val="00415816"/>
    <w:rsid w:val="00415B88"/>
    <w:rsid w:val="00415D32"/>
    <w:rsid w:val="004160A2"/>
    <w:rsid w:val="004166CB"/>
    <w:rsid w:val="00416879"/>
    <w:rsid w:val="00417089"/>
    <w:rsid w:val="004170D7"/>
    <w:rsid w:val="004177A6"/>
    <w:rsid w:val="00417AB3"/>
    <w:rsid w:val="00417EFD"/>
    <w:rsid w:val="004200EE"/>
    <w:rsid w:val="004209D2"/>
    <w:rsid w:val="00420D6E"/>
    <w:rsid w:val="00421BD2"/>
    <w:rsid w:val="00421E00"/>
    <w:rsid w:val="00421FCB"/>
    <w:rsid w:val="00421FF6"/>
    <w:rsid w:val="00422DCA"/>
    <w:rsid w:val="00423F9F"/>
    <w:rsid w:val="0042499B"/>
    <w:rsid w:val="00424FEC"/>
    <w:rsid w:val="00425C43"/>
    <w:rsid w:val="00426C69"/>
    <w:rsid w:val="004273FA"/>
    <w:rsid w:val="00430186"/>
    <w:rsid w:val="00430730"/>
    <w:rsid w:val="0043269A"/>
    <w:rsid w:val="00432E14"/>
    <w:rsid w:val="004333C2"/>
    <w:rsid w:val="00433ACB"/>
    <w:rsid w:val="00434787"/>
    <w:rsid w:val="004347DA"/>
    <w:rsid w:val="00434C13"/>
    <w:rsid w:val="00436323"/>
    <w:rsid w:val="0043683F"/>
    <w:rsid w:val="00436E45"/>
    <w:rsid w:val="00436F40"/>
    <w:rsid w:val="004370FA"/>
    <w:rsid w:val="00437266"/>
    <w:rsid w:val="00440096"/>
    <w:rsid w:val="004403DD"/>
    <w:rsid w:val="00440DB0"/>
    <w:rsid w:val="00440FAD"/>
    <w:rsid w:val="0044105D"/>
    <w:rsid w:val="00441291"/>
    <w:rsid w:val="004420AB"/>
    <w:rsid w:val="004422D6"/>
    <w:rsid w:val="004427AC"/>
    <w:rsid w:val="00442D4D"/>
    <w:rsid w:val="00443613"/>
    <w:rsid w:val="0044374D"/>
    <w:rsid w:val="00443865"/>
    <w:rsid w:val="00443B55"/>
    <w:rsid w:val="00443D27"/>
    <w:rsid w:val="00445AC2"/>
    <w:rsid w:val="00446037"/>
    <w:rsid w:val="0044642F"/>
    <w:rsid w:val="0044772C"/>
    <w:rsid w:val="004502AA"/>
    <w:rsid w:val="004507BD"/>
    <w:rsid w:val="00450846"/>
    <w:rsid w:val="00450B1A"/>
    <w:rsid w:val="004510BD"/>
    <w:rsid w:val="0045159C"/>
    <w:rsid w:val="00451A52"/>
    <w:rsid w:val="00451FC8"/>
    <w:rsid w:val="0045271D"/>
    <w:rsid w:val="00452755"/>
    <w:rsid w:val="00452803"/>
    <w:rsid w:val="004529C6"/>
    <w:rsid w:val="00452EAD"/>
    <w:rsid w:val="004531D5"/>
    <w:rsid w:val="004533D1"/>
    <w:rsid w:val="004534D1"/>
    <w:rsid w:val="00453A53"/>
    <w:rsid w:val="00454548"/>
    <w:rsid w:val="00454582"/>
    <w:rsid w:val="00454717"/>
    <w:rsid w:val="00455047"/>
    <w:rsid w:val="00455354"/>
    <w:rsid w:val="0045558D"/>
    <w:rsid w:val="00455811"/>
    <w:rsid w:val="00455DEE"/>
    <w:rsid w:val="00456970"/>
    <w:rsid w:val="00456BB1"/>
    <w:rsid w:val="00456DDB"/>
    <w:rsid w:val="0046080F"/>
    <w:rsid w:val="00460915"/>
    <w:rsid w:val="00460946"/>
    <w:rsid w:val="004613D2"/>
    <w:rsid w:val="004614A9"/>
    <w:rsid w:val="00461B6F"/>
    <w:rsid w:val="00461E97"/>
    <w:rsid w:val="00462452"/>
    <w:rsid w:val="0046268F"/>
    <w:rsid w:val="0046284F"/>
    <w:rsid w:val="00462B10"/>
    <w:rsid w:val="00462C04"/>
    <w:rsid w:val="0046320A"/>
    <w:rsid w:val="0046361D"/>
    <w:rsid w:val="004638E2"/>
    <w:rsid w:val="00463E31"/>
    <w:rsid w:val="00464030"/>
    <w:rsid w:val="004647F8"/>
    <w:rsid w:val="004647FB"/>
    <w:rsid w:val="00465456"/>
    <w:rsid w:val="00465677"/>
    <w:rsid w:val="00465AC3"/>
    <w:rsid w:val="00466616"/>
    <w:rsid w:val="00466A0C"/>
    <w:rsid w:val="00467707"/>
    <w:rsid w:val="00470A6A"/>
    <w:rsid w:val="00470D92"/>
    <w:rsid w:val="004712D1"/>
    <w:rsid w:val="00471DF7"/>
    <w:rsid w:val="00471F6B"/>
    <w:rsid w:val="0047295C"/>
    <w:rsid w:val="00472D8E"/>
    <w:rsid w:val="004734CF"/>
    <w:rsid w:val="00474889"/>
    <w:rsid w:val="00475C5A"/>
    <w:rsid w:val="00475C9C"/>
    <w:rsid w:val="0047676B"/>
    <w:rsid w:val="0047773C"/>
    <w:rsid w:val="00477C5F"/>
    <w:rsid w:val="00480050"/>
    <w:rsid w:val="004808DE"/>
    <w:rsid w:val="00481AC4"/>
    <w:rsid w:val="00481DC1"/>
    <w:rsid w:val="00482507"/>
    <w:rsid w:val="0048268A"/>
    <w:rsid w:val="00482BB3"/>
    <w:rsid w:val="00483356"/>
    <w:rsid w:val="004835CA"/>
    <w:rsid w:val="004836F8"/>
    <w:rsid w:val="004836FE"/>
    <w:rsid w:val="00484074"/>
    <w:rsid w:val="004843F9"/>
    <w:rsid w:val="00484F0F"/>
    <w:rsid w:val="00484F40"/>
    <w:rsid w:val="0048540C"/>
    <w:rsid w:val="0048592F"/>
    <w:rsid w:val="0048605E"/>
    <w:rsid w:val="004861B4"/>
    <w:rsid w:val="00486AB4"/>
    <w:rsid w:val="00486BD0"/>
    <w:rsid w:val="00486D00"/>
    <w:rsid w:val="00487263"/>
    <w:rsid w:val="0048734F"/>
    <w:rsid w:val="0049029D"/>
    <w:rsid w:val="0049030C"/>
    <w:rsid w:val="004903C0"/>
    <w:rsid w:val="0049105E"/>
    <w:rsid w:val="0049114B"/>
    <w:rsid w:val="004912A8"/>
    <w:rsid w:val="00491577"/>
    <w:rsid w:val="0049196E"/>
    <w:rsid w:val="0049241A"/>
    <w:rsid w:val="00492C1F"/>
    <w:rsid w:val="00492E4C"/>
    <w:rsid w:val="00493B2C"/>
    <w:rsid w:val="00493E04"/>
    <w:rsid w:val="004940E3"/>
    <w:rsid w:val="004942DE"/>
    <w:rsid w:val="0049530F"/>
    <w:rsid w:val="00495980"/>
    <w:rsid w:val="00496664"/>
    <w:rsid w:val="00496786"/>
    <w:rsid w:val="0049695B"/>
    <w:rsid w:val="00496AF2"/>
    <w:rsid w:val="00496D8F"/>
    <w:rsid w:val="00497463"/>
    <w:rsid w:val="00497B15"/>
    <w:rsid w:val="00497BA8"/>
    <w:rsid w:val="004A054C"/>
    <w:rsid w:val="004A08D1"/>
    <w:rsid w:val="004A16C1"/>
    <w:rsid w:val="004A1CE2"/>
    <w:rsid w:val="004A2069"/>
    <w:rsid w:val="004A2800"/>
    <w:rsid w:val="004A34D2"/>
    <w:rsid w:val="004A41BA"/>
    <w:rsid w:val="004A4301"/>
    <w:rsid w:val="004A4E65"/>
    <w:rsid w:val="004A58EE"/>
    <w:rsid w:val="004A59B7"/>
    <w:rsid w:val="004A623B"/>
    <w:rsid w:val="004A6A04"/>
    <w:rsid w:val="004A6A52"/>
    <w:rsid w:val="004A6C78"/>
    <w:rsid w:val="004B0F0B"/>
    <w:rsid w:val="004B163F"/>
    <w:rsid w:val="004B2197"/>
    <w:rsid w:val="004B298A"/>
    <w:rsid w:val="004B578D"/>
    <w:rsid w:val="004B5BE7"/>
    <w:rsid w:val="004B5E2D"/>
    <w:rsid w:val="004B5ED5"/>
    <w:rsid w:val="004B6793"/>
    <w:rsid w:val="004B6C07"/>
    <w:rsid w:val="004B74D3"/>
    <w:rsid w:val="004B76D3"/>
    <w:rsid w:val="004B788E"/>
    <w:rsid w:val="004B79B3"/>
    <w:rsid w:val="004B7E5D"/>
    <w:rsid w:val="004C0DD8"/>
    <w:rsid w:val="004C22F7"/>
    <w:rsid w:val="004C2B27"/>
    <w:rsid w:val="004C3929"/>
    <w:rsid w:val="004C3D09"/>
    <w:rsid w:val="004C4DCB"/>
    <w:rsid w:val="004C5212"/>
    <w:rsid w:val="004C5B3B"/>
    <w:rsid w:val="004C5EF0"/>
    <w:rsid w:val="004C7226"/>
    <w:rsid w:val="004C74C9"/>
    <w:rsid w:val="004C7D70"/>
    <w:rsid w:val="004D02F9"/>
    <w:rsid w:val="004D03FE"/>
    <w:rsid w:val="004D0446"/>
    <w:rsid w:val="004D0A4F"/>
    <w:rsid w:val="004D0F95"/>
    <w:rsid w:val="004D106A"/>
    <w:rsid w:val="004D31EE"/>
    <w:rsid w:val="004D36AF"/>
    <w:rsid w:val="004D3BD1"/>
    <w:rsid w:val="004D4BA1"/>
    <w:rsid w:val="004D5451"/>
    <w:rsid w:val="004D584D"/>
    <w:rsid w:val="004D58DE"/>
    <w:rsid w:val="004D6041"/>
    <w:rsid w:val="004D61E1"/>
    <w:rsid w:val="004D6826"/>
    <w:rsid w:val="004D6D5E"/>
    <w:rsid w:val="004E023F"/>
    <w:rsid w:val="004E0742"/>
    <w:rsid w:val="004E0C64"/>
    <w:rsid w:val="004E0F6B"/>
    <w:rsid w:val="004E1545"/>
    <w:rsid w:val="004E1F1C"/>
    <w:rsid w:val="004E2A35"/>
    <w:rsid w:val="004E40A3"/>
    <w:rsid w:val="004E40CE"/>
    <w:rsid w:val="004E4465"/>
    <w:rsid w:val="004E518D"/>
    <w:rsid w:val="004E5736"/>
    <w:rsid w:val="004E5B36"/>
    <w:rsid w:val="004E6045"/>
    <w:rsid w:val="004E6F43"/>
    <w:rsid w:val="004E7200"/>
    <w:rsid w:val="004F034D"/>
    <w:rsid w:val="004F091D"/>
    <w:rsid w:val="004F0960"/>
    <w:rsid w:val="004F0A5C"/>
    <w:rsid w:val="004F163F"/>
    <w:rsid w:val="004F18A0"/>
    <w:rsid w:val="004F1A08"/>
    <w:rsid w:val="004F2B64"/>
    <w:rsid w:val="004F3764"/>
    <w:rsid w:val="004F3EEF"/>
    <w:rsid w:val="004F47D0"/>
    <w:rsid w:val="004F4B65"/>
    <w:rsid w:val="004F4DA2"/>
    <w:rsid w:val="004F548C"/>
    <w:rsid w:val="004F5930"/>
    <w:rsid w:val="004F5970"/>
    <w:rsid w:val="004F5F0C"/>
    <w:rsid w:val="004F6121"/>
    <w:rsid w:val="004F6161"/>
    <w:rsid w:val="004F66BC"/>
    <w:rsid w:val="004F67B2"/>
    <w:rsid w:val="004F6C26"/>
    <w:rsid w:val="004F7AC9"/>
    <w:rsid w:val="0050062F"/>
    <w:rsid w:val="005012E2"/>
    <w:rsid w:val="00501481"/>
    <w:rsid w:val="0050160F"/>
    <w:rsid w:val="0050284E"/>
    <w:rsid w:val="00505DCB"/>
    <w:rsid w:val="005075CA"/>
    <w:rsid w:val="0051074C"/>
    <w:rsid w:val="00510DE9"/>
    <w:rsid w:val="005111E2"/>
    <w:rsid w:val="00511231"/>
    <w:rsid w:val="00512779"/>
    <w:rsid w:val="00512986"/>
    <w:rsid w:val="00512C4F"/>
    <w:rsid w:val="00513042"/>
    <w:rsid w:val="0051334F"/>
    <w:rsid w:val="00513399"/>
    <w:rsid w:val="00513AA0"/>
    <w:rsid w:val="00513AF2"/>
    <w:rsid w:val="00514575"/>
    <w:rsid w:val="00514C03"/>
    <w:rsid w:val="00514D67"/>
    <w:rsid w:val="00515515"/>
    <w:rsid w:val="00515F54"/>
    <w:rsid w:val="00516338"/>
    <w:rsid w:val="0051635C"/>
    <w:rsid w:val="00516C5B"/>
    <w:rsid w:val="00517612"/>
    <w:rsid w:val="00517CFB"/>
    <w:rsid w:val="00517F85"/>
    <w:rsid w:val="00520065"/>
    <w:rsid w:val="00520899"/>
    <w:rsid w:val="00520922"/>
    <w:rsid w:val="005209FC"/>
    <w:rsid w:val="00520E50"/>
    <w:rsid w:val="005224E5"/>
    <w:rsid w:val="005226BE"/>
    <w:rsid w:val="005235ED"/>
    <w:rsid w:val="00523903"/>
    <w:rsid w:val="005239B6"/>
    <w:rsid w:val="00523C45"/>
    <w:rsid w:val="00524165"/>
    <w:rsid w:val="005242BA"/>
    <w:rsid w:val="005246E7"/>
    <w:rsid w:val="00524FD2"/>
    <w:rsid w:val="00525621"/>
    <w:rsid w:val="00525B2E"/>
    <w:rsid w:val="00526431"/>
    <w:rsid w:val="005265D8"/>
    <w:rsid w:val="00527C6B"/>
    <w:rsid w:val="00527E57"/>
    <w:rsid w:val="00530405"/>
    <w:rsid w:val="00530522"/>
    <w:rsid w:val="005305E5"/>
    <w:rsid w:val="00530F38"/>
    <w:rsid w:val="00531F26"/>
    <w:rsid w:val="0053277C"/>
    <w:rsid w:val="005327C0"/>
    <w:rsid w:val="00533101"/>
    <w:rsid w:val="005336C5"/>
    <w:rsid w:val="00533CA9"/>
    <w:rsid w:val="00533DA7"/>
    <w:rsid w:val="005342A3"/>
    <w:rsid w:val="005346AD"/>
    <w:rsid w:val="00534C25"/>
    <w:rsid w:val="00534EFB"/>
    <w:rsid w:val="00534F60"/>
    <w:rsid w:val="005357F1"/>
    <w:rsid w:val="00536053"/>
    <w:rsid w:val="005369E6"/>
    <w:rsid w:val="00536E62"/>
    <w:rsid w:val="005371AC"/>
    <w:rsid w:val="00537672"/>
    <w:rsid w:val="0053772F"/>
    <w:rsid w:val="00537B77"/>
    <w:rsid w:val="00540C4C"/>
    <w:rsid w:val="00541571"/>
    <w:rsid w:val="0054275A"/>
    <w:rsid w:val="005428B8"/>
    <w:rsid w:val="00542BD7"/>
    <w:rsid w:val="00542E67"/>
    <w:rsid w:val="00543084"/>
    <w:rsid w:val="0054413A"/>
    <w:rsid w:val="00544288"/>
    <w:rsid w:val="005446BB"/>
    <w:rsid w:val="00545E30"/>
    <w:rsid w:val="00545EA3"/>
    <w:rsid w:val="00546293"/>
    <w:rsid w:val="00546C9B"/>
    <w:rsid w:val="00547BF6"/>
    <w:rsid w:val="005502F9"/>
    <w:rsid w:val="00551098"/>
    <w:rsid w:val="00551581"/>
    <w:rsid w:val="00551598"/>
    <w:rsid w:val="00551610"/>
    <w:rsid w:val="0055162B"/>
    <w:rsid w:val="00551BFF"/>
    <w:rsid w:val="00551D68"/>
    <w:rsid w:val="00552B3E"/>
    <w:rsid w:val="00554F3F"/>
    <w:rsid w:val="005551AA"/>
    <w:rsid w:val="005564CA"/>
    <w:rsid w:val="005568EA"/>
    <w:rsid w:val="00557140"/>
    <w:rsid w:val="00557DE4"/>
    <w:rsid w:val="0056058C"/>
    <w:rsid w:val="00560C87"/>
    <w:rsid w:val="00560EF9"/>
    <w:rsid w:val="00560F51"/>
    <w:rsid w:val="00561249"/>
    <w:rsid w:val="0056182B"/>
    <w:rsid w:val="00561AF3"/>
    <w:rsid w:val="00561E0B"/>
    <w:rsid w:val="00562141"/>
    <w:rsid w:val="00562D86"/>
    <w:rsid w:val="005642EC"/>
    <w:rsid w:val="00564704"/>
    <w:rsid w:val="00564712"/>
    <w:rsid w:val="00564E95"/>
    <w:rsid w:val="005657A8"/>
    <w:rsid w:val="00565952"/>
    <w:rsid w:val="00565D27"/>
    <w:rsid w:val="00566866"/>
    <w:rsid w:val="005670A5"/>
    <w:rsid w:val="00567106"/>
    <w:rsid w:val="00567723"/>
    <w:rsid w:val="00567AB8"/>
    <w:rsid w:val="00567C02"/>
    <w:rsid w:val="005707F7"/>
    <w:rsid w:val="00570A26"/>
    <w:rsid w:val="0057170B"/>
    <w:rsid w:val="0057221F"/>
    <w:rsid w:val="00572539"/>
    <w:rsid w:val="0057337D"/>
    <w:rsid w:val="00573504"/>
    <w:rsid w:val="00574708"/>
    <w:rsid w:val="00574D81"/>
    <w:rsid w:val="005756AA"/>
    <w:rsid w:val="00575FB1"/>
    <w:rsid w:val="00576233"/>
    <w:rsid w:val="005763C8"/>
    <w:rsid w:val="0057696F"/>
    <w:rsid w:val="005771B1"/>
    <w:rsid w:val="005774FE"/>
    <w:rsid w:val="0058040C"/>
    <w:rsid w:val="00580918"/>
    <w:rsid w:val="00580D6D"/>
    <w:rsid w:val="005813DE"/>
    <w:rsid w:val="00581796"/>
    <w:rsid w:val="00581B45"/>
    <w:rsid w:val="00582480"/>
    <w:rsid w:val="00582763"/>
    <w:rsid w:val="0058290E"/>
    <w:rsid w:val="00582CAB"/>
    <w:rsid w:val="00583121"/>
    <w:rsid w:val="0058375E"/>
    <w:rsid w:val="00584233"/>
    <w:rsid w:val="005842D0"/>
    <w:rsid w:val="005855AE"/>
    <w:rsid w:val="00585829"/>
    <w:rsid w:val="00585CA8"/>
    <w:rsid w:val="00586412"/>
    <w:rsid w:val="005864B9"/>
    <w:rsid w:val="005866C4"/>
    <w:rsid w:val="00586BDB"/>
    <w:rsid w:val="00590F1A"/>
    <w:rsid w:val="00591C03"/>
    <w:rsid w:val="00591E2A"/>
    <w:rsid w:val="005923C4"/>
    <w:rsid w:val="00592B56"/>
    <w:rsid w:val="00593F75"/>
    <w:rsid w:val="005940A0"/>
    <w:rsid w:val="00594233"/>
    <w:rsid w:val="0059429A"/>
    <w:rsid w:val="00595FDD"/>
    <w:rsid w:val="00596AF7"/>
    <w:rsid w:val="00596CCE"/>
    <w:rsid w:val="00597E38"/>
    <w:rsid w:val="005A1976"/>
    <w:rsid w:val="005A1D75"/>
    <w:rsid w:val="005A2120"/>
    <w:rsid w:val="005A2501"/>
    <w:rsid w:val="005A2C80"/>
    <w:rsid w:val="005A3066"/>
    <w:rsid w:val="005A3457"/>
    <w:rsid w:val="005A3A52"/>
    <w:rsid w:val="005A3B35"/>
    <w:rsid w:val="005A3C4B"/>
    <w:rsid w:val="005A3E5A"/>
    <w:rsid w:val="005A43F3"/>
    <w:rsid w:val="005A496F"/>
    <w:rsid w:val="005A4A56"/>
    <w:rsid w:val="005A5A3D"/>
    <w:rsid w:val="005A5C25"/>
    <w:rsid w:val="005A6035"/>
    <w:rsid w:val="005A6B75"/>
    <w:rsid w:val="005A6E00"/>
    <w:rsid w:val="005A718A"/>
    <w:rsid w:val="005B09BE"/>
    <w:rsid w:val="005B12B2"/>
    <w:rsid w:val="005B143B"/>
    <w:rsid w:val="005B1504"/>
    <w:rsid w:val="005B1E45"/>
    <w:rsid w:val="005B21C4"/>
    <w:rsid w:val="005B2A28"/>
    <w:rsid w:val="005B3621"/>
    <w:rsid w:val="005B4948"/>
    <w:rsid w:val="005B501D"/>
    <w:rsid w:val="005B54CC"/>
    <w:rsid w:val="005B6AE8"/>
    <w:rsid w:val="005B74AD"/>
    <w:rsid w:val="005B7E96"/>
    <w:rsid w:val="005C0429"/>
    <w:rsid w:val="005C084F"/>
    <w:rsid w:val="005C0EE9"/>
    <w:rsid w:val="005C1716"/>
    <w:rsid w:val="005C1954"/>
    <w:rsid w:val="005C1C0B"/>
    <w:rsid w:val="005C1D53"/>
    <w:rsid w:val="005C2011"/>
    <w:rsid w:val="005C36CF"/>
    <w:rsid w:val="005C3EA3"/>
    <w:rsid w:val="005C5011"/>
    <w:rsid w:val="005C529E"/>
    <w:rsid w:val="005C57BA"/>
    <w:rsid w:val="005C5C52"/>
    <w:rsid w:val="005C5D3D"/>
    <w:rsid w:val="005C5F05"/>
    <w:rsid w:val="005C7497"/>
    <w:rsid w:val="005C7F3E"/>
    <w:rsid w:val="005D0E1C"/>
    <w:rsid w:val="005D1051"/>
    <w:rsid w:val="005D2044"/>
    <w:rsid w:val="005D27DC"/>
    <w:rsid w:val="005D2917"/>
    <w:rsid w:val="005D2EB2"/>
    <w:rsid w:val="005D2F48"/>
    <w:rsid w:val="005D41F2"/>
    <w:rsid w:val="005D4613"/>
    <w:rsid w:val="005D464B"/>
    <w:rsid w:val="005D466F"/>
    <w:rsid w:val="005D49F0"/>
    <w:rsid w:val="005D51FA"/>
    <w:rsid w:val="005D53E8"/>
    <w:rsid w:val="005D5A26"/>
    <w:rsid w:val="005D5A9D"/>
    <w:rsid w:val="005D6651"/>
    <w:rsid w:val="005D691D"/>
    <w:rsid w:val="005D6A72"/>
    <w:rsid w:val="005D7035"/>
    <w:rsid w:val="005D749F"/>
    <w:rsid w:val="005D791B"/>
    <w:rsid w:val="005D7CF2"/>
    <w:rsid w:val="005D7F92"/>
    <w:rsid w:val="005E0D7B"/>
    <w:rsid w:val="005E1595"/>
    <w:rsid w:val="005E181F"/>
    <w:rsid w:val="005E1F1D"/>
    <w:rsid w:val="005E273D"/>
    <w:rsid w:val="005E3278"/>
    <w:rsid w:val="005E363B"/>
    <w:rsid w:val="005E3760"/>
    <w:rsid w:val="005E3B0D"/>
    <w:rsid w:val="005E5BDF"/>
    <w:rsid w:val="005E6EA5"/>
    <w:rsid w:val="005E7FC2"/>
    <w:rsid w:val="005F041F"/>
    <w:rsid w:val="005F1216"/>
    <w:rsid w:val="005F1819"/>
    <w:rsid w:val="005F1D7D"/>
    <w:rsid w:val="005F1D89"/>
    <w:rsid w:val="005F305B"/>
    <w:rsid w:val="005F3361"/>
    <w:rsid w:val="005F3B47"/>
    <w:rsid w:val="005F4481"/>
    <w:rsid w:val="005F49AF"/>
    <w:rsid w:val="005F4A58"/>
    <w:rsid w:val="005F54DF"/>
    <w:rsid w:val="005F5888"/>
    <w:rsid w:val="005F5984"/>
    <w:rsid w:val="005F5F37"/>
    <w:rsid w:val="005F63B1"/>
    <w:rsid w:val="005F6CE2"/>
    <w:rsid w:val="005F7111"/>
    <w:rsid w:val="005F72E9"/>
    <w:rsid w:val="005F730E"/>
    <w:rsid w:val="005F780B"/>
    <w:rsid w:val="005F7B0D"/>
    <w:rsid w:val="00600195"/>
    <w:rsid w:val="00600473"/>
    <w:rsid w:val="006013C9"/>
    <w:rsid w:val="006016EA"/>
    <w:rsid w:val="00602B45"/>
    <w:rsid w:val="00603499"/>
    <w:rsid w:val="006035F5"/>
    <w:rsid w:val="00603CC2"/>
    <w:rsid w:val="006047D1"/>
    <w:rsid w:val="00604A55"/>
    <w:rsid w:val="00604D3F"/>
    <w:rsid w:val="00605AC3"/>
    <w:rsid w:val="00606908"/>
    <w:rsid w:val="00607996"/>
    <w:rsid w:val="00607A37"/>
    <w:rsid w:val="00607E9F"/>
    <w:rsid w:val="0061085E"/>
    <w:rsid w:val="00611398"/>
    <w:rsid w:val="00612322"/>
    <w:rsid w:val="006123C0"/>
    <w:rsid w:val="00613191"/>
    <w:rsid w:val="006133F9"/>
    <w:rsid w:val="006134B3"/>
    <w:rsid w:val="00613DE1"/>
    <w:rsid w:val="0061401F"/>
    <w:rsid w:val="00614166"/>
    <w:rsid w:val="00614817"/>
    <w:rsid w:val="006149CC"/>
    <w:rsid w:val="006157A9"/>
    <w:rsid w:val="0061591D"/>
    <w:rsid w:val="00615ED0"/>
    <w:rsid w:val="0061604C"/>
    <w:rsid w:val="0061610B"/>
    <w:rsid w:val="00616C2B"/>
    <w:rsid w:val="006174FA"/>
    <w:rsid w:val="006178D1"/>
    <w:rsid w:val="00620719"/>
    <w:rsid w:val="006212C9"/>
    <w:rsid w:val="00621D0C"/>
    <w:rsid w:val="00622470"/>
    <w:rsid w:val="00622725"/>
    <w:rsid w:val="006231AA"/>
    <w:rsid w:val="00623482"/>
    <w:rsid w:val="00623AC2"/>
    <w:rsid w:val="00623FF7"/>
    <w:rsid w:val="006240EF"/>
    <w:rsid w:val="0062471F"/>
    <w:rsid w:val="00624C21"/>
    <w:rsid w:val="00625A26"/>
    <w:rsid w:val="00625F38"/>
    <w:rsid w:val="006266D7"/>
    <w:rsid w:val="00626D42"/>
    <w:rsid w:val="00626EE3"/>
    <w:rsid w:val="006274AD"/>
    <w:rsid w:val="00627532"/>
    <w:rsid w:val="00627B9F"/>
    <w:rsid w:val="006302AA"/>
    <w:rsid w:val="006310C3"/>
    <w:rsid w:val="0063161E"/>
    <w:rsid w:val="0063167C"/>
    <w:rsid w:val="00631A31"/>
    <w:rsid w:val="00631BB5"/>
    <w:rsid w:val="00631DD0"/>
    <w:rsid w:val="0063295C"/>
    <w:rsid w:val="00632E28"/>
    <w:rsid w:val="00633367"/>
    <w:rsid w:val="00633DBF"/>
    <w:rsid w:val="00634122"/>
    <w:rsid w:val="00634C03"/>
    <w:rsid w:val="006355B6"/>
    <w:rsid w:val="00635D83"/>
    <w:rsid w:val="00635E32"/>
    <w:rsid w:val="006365DE"/>
    <w:rsid w:val="00636BE4"/>
    <w:rsid w:val="0063746C"/>
    <w:rsid w:val="00637802"/>
    <w:rsid w:val="00637836"/>
    <w:rsid w:val="00637C26"/>
    <w:rsid w:val="00637F44"/>
    <w:rsid w:val="00640659"/>
    <w:rsid w:val="00641078"/>
    <w:rsid w:val="00641242"/>
    <w:rsid w:val="00642A32"/>
    <w:rsid w:val="006433D5"/>
    <w:rsid w:val="00646B20"/>
    <w:rsid w:val="00646D0F"/>
    <w:rsid w:val="0064708F"/>
    <w:rsid w:val="00647936"/>
    <w:rsid w:val="00647A36"/>
    <w:rsid w:val="00647DCC"/>
    <w:rsid w:val="00647EFA"/>
    <w:rsid w:val="00647F14"/>
    <w:rsid w:val="00650027"/>
    <w:rsid w:val="00650DE0"/>
    <w:rsid w:val="00651B9C"/>
    <w:rsid w:val="00651C47"/>
    <w:rsid w:val="00651D98"/>
    <w:rsid w:val="00652854"/>
    <w:rsid w:val="00652D2C"/>
    <w:rsid w:val="00652E70"/>
    <w:rsid w:val="0065303A"/>
    <w:rsid w:val="00653091"/>
    <w:rsid w:val="0065339A"/>
    <w:rsid w:val="00653469"/>
    <w:rsid w:val="00653FD4"/>
    <w:rsid w:val="00654A38"/>
    <w:rsid w:val="00654B4B"/>
    <w:rsid w:val="00655301"/>
    <w:rsid w:val="00655371"/>
    <w:rsid w:val="00655876"/>
    <w:rsid w:val="00656C4B"/>
    <w:rsid w:val="006573EA"/>
    <w:rsid w:val="00661029"/>
    <w:rsid w:val="00661042"/>
    <w:rsid w:val="0066135A"/>
    <w:rsid w:val="00661639"/>
    <w:rsid w:val="0066272D"/>
    <w:rsid w:val="00662E58"/>
    <w:rsid w:val="00662F39"/>
    <w:rsid w:val="006635A0"/>
    <w:rsid w:val="00664351"/>
    <w:rsid w:val="00665374"/>
    <w:rsid w:val="00665968"/>
    <w:rsid w:val="00665BF7"/>
    <w:rsid w:val="00666178"/>
    <w:rsid w:val="0066639E"/>
    <w:rsid w:val="00666473"/>
    <w:rsid w:val="00666C72"/>
    <w:rsid w:val="00666E6C"/>
    <w:rsid w:val="0066707F"/>
    <w:rsid w:val="00667ED8"/>
    <w:rsid w:val="0067064C"/>
    <w:rsid w:val="00670B20"/>
    <w:rsid w:val="00670E12"/>
    <w:rsid w:val="00672971"/>
    <w:rsid w:val="00672DE7"/>
    <w:rsid w:val="00672E80"/>
    <w:rsid w:val="006739E4"/>
    <w:rsid w:val="00673ECF"/>
    <w:rsid w:val="0067426B"/>
    <w:rsid w:val="00674478"/>
    <w:rsid w:val="00674A1B"/>
    <w:rsid w:val="006754F8"/>
    <w:rsid w:val="00676127"/>
    <w:rsid w:val="00676AED"/>
    <w:rsid w:val="006776AC"/>
    <w:rsid w:val="00677981"/>
    <w:rsid w:val="00677F26"/>
    <w:rsid w:val="006802A7"/>
    <w:rsid w:val="006811C9"/>
    <w:rsid w:val="006812CE"/>
    <w:rsid w:val="006823DC"/>
    <w:rsid w:val="00682791"/>
    <w:rsid w:val="00682C89"/>
    <w:rsid w:val="006832B8"/>
    <w:rsid w:val="006837B2"/>
    <w:rsid w:val="00683800"/>
    <w:rsid w:val="00684411"/>
    <w:rsid w:val="00684434"/>
    <w:rsid w:val="00684C8A"/>
    <w:rsid w:val="00684CF5"/>
    <w:rsid w:val="006853EA"/>
    <w:rsid w:val="0068553E"/>
    <w:rsid w:val="00685E7B"/>
    <w:rsid w:val="0068628A"/>
    <w:rsid w:val="00686551"/>
    <w:rsid w:val="0068730C"/>
    <w:rsid w:val="00687504"/>
    <w:rsid w:val="00687A14"/>
    <w:rsid w:val="00687A8C"/>
    <w:rsid w:val="006906FA"/>
    <w:rsid w:val="00690839"/>
    <w:rsid w:val="006908DB"/>
    <w:rsid w:val="00690DE9"/>
    <w:rsid w:val="00691DE9"/>
    <w:rsid w:val="00691EAA"/>
    <w:rsid w:val="00692245"/>
    <w:rsid w:val="00692FFA"/>
    <w:rsid w:val="006932E0"/>
    <w:rsid w:val="00693772"/>
    <w:rsid w:val="00694160"/>
    <w:rsid w:val="006959A5"/>
    <w:rsid w:val="00695C0C"/>
    <w:rsid w:val="00696A05"/>
    <w:rsid w:val="00697665"/>
    <w:rsid w:val="00697C9A"/>
    <w:rsid w:val="00697E68"/>
    <w:rsid w:val="006A0274"/>
    <w:rsid w:val="006A24B9"/>
    <w:rsid w:val="006A2A43"/>
    <w:rsid w:val="006A2BF1"/>
    <w:rsid w:val="006A2F9A"/>
    <w:rsid w:val="006A34E4"/>
    <w:rsid w:val="006A3A5A"/>
    <w:rsid w:val="006A44CF"/>
    <w:rsid w:val="006A457D"/>
    <w:rsid w:val="006A4749"/>
    <w:rsid w:val="006A55EE"/>
    <w:rsid w:val="006A575B"/>
    <w:rsid w:val="006A59DE"/>
    <w:rsid w:val="006A63EB"/>
    <w:rsid w:val="006A6655"/>
    <w:rsid w:val="006A6AA7"/>
    <w:rsid w:val="006A6B0B"/>
    <w:rsid w:val="006A6BF9"/>
    <w:rsid w:val="006A6F85"/>
    <w:rsid w:val="006A7CB5"/>
    <w:rsid w:val="006A7FD0"/>
    <w:rsid w:val="006B025C"/>
    <w:rsid w:val="006B16D3"/>
    <w:rsid w:val="006B2534"/>
    <w:rsid w:val="006B2CB2"/>
    <w:rsid w:val="006B347D"/>
    <w:rsid w:val="006B3E19"/>
    <w:rsid w:val="006B4488"/>
    <w:rsid w:val="006B671C"/>
    <w:rsid w:val="006B67AC"/>
    <w:rsid w:val="006B6A25"/>
    <w:rsid w:val="006B7285"/>
    <w:rsid w:val="006B786A"/>
    <w:rsid w:val="006B7E4E"/>
    <w:rsid w:val="006C003A"/>
    <w:rsid w:val="006C2454"/>
    <w:rsid w:val="006C2551"/>
    <w:rsid w:val="006C3746"/>
    <w:rsid w:val="006C37CA"/>
    <w:rsid w:val="006C40B7"/>
    <w:rsid w:val="006C40D2"/>
    <w:rsid w:val="006C5B15"/>
    <w:rsid w:val="006C5D32"/>
    <w:rsid w:val="006C5DCB"/>
    <w:rsid w:val="006C70C4"/>
    <w:rsid w:val="006C775C"/>
    <w:rsid w:val="006D04DA"/>
    <w:rsid w:val="006D10F6"/>
    <w:rsid w:val="006D1475"/>
    <w:rsid w:val="006D1544"/>
    <w:rsid w:val="006D1688"/>
    <w:rsid w:val="006D1FF3"/>
    <w:rsid w:val="006D2C65"/>
    <w:rsid w:val="006D32C6"/>
    <w:rsid w:val="006D360E"/>
    <w:rsid w:val="006D3697"/>
    <w:rsid w:val="006D39D2"/>
    <w:rsid w:val="006D3F2A"/>
    <w:rsid w:val="006D4370"/>
    <w:rsid w:val="006D46A3"/>
    <w:rsid w:val="006D658F"/>
    <w:rsid w:val="006D69FA"/>
    <w:rsid w:val="006D6A12"/>
    <w:rsid w:val="006D712D"/>
    <w:rsid w:val="006D7687"/>
    <w:rsid w:val="006D7D1F"/>
    <w:rsid w:val="006D7D8A"/>
    <w:rsid w:val="006E0572"/>
    <w:rsid w:val="006E05D8"/>
    <w:rsid w:val="006E08EE"/>
    <w:rsid w:val="006E1130"/>
    <w:rsid w:val="006E155A"/>
    <w:rsid w:val="006E3452"/>
    <w:rsid w:val="006E39D1"/>
    <w:rsid w:val="006E437F"/>
    <w:rsid w:val="006E4D5B"/>
    <w:rsid w:val="006E602F"/>
    <w:rsid w:val="006E6720"/>
    <w:rsid w:val="006E68FA"/>
    <w:rsid w:val="006E7275"/>
    <w:rsid w:val="006E77B8"/>
    <w:rsid w:val="006F15CC"/>
    <w:rsid w:val="006F3BDD"/>
    <w:rsid w:val="006F4147"/>
    <w:rsid w:val="006F4315"/>
    <w:rsid w:val="006F4478"/>
    <w:rsid w:val="006F458D"/>
    <w:rsid w:val="006F4A6D"/>
    <w:rsid w:val="006F4CB0"/>
    <w:rsid w:val="006F4F78"/>
    <w:rsid w:val="006F547E"/>
    <w:rsid w:val="006F5656"/>
    <w:rsid w:val="006F5CA8"/>
    <w:rsid w:val="006F5CCF"/>
    <w:rsid w:val="006F6A47"/>
    <w:rsid w:val="006F772B"/>
    <w:rsid w:val="006F78DC"/>
    <w:rsid w:val="00700D5F"/>
    <w:rsid w:val="0070138A"/>
    <w:rsid w:val="0070157E"/>
    <w:rsid w:val="007030D4"/>
    <w:rsid w:val="0070311B"/>
    <w:rsid w:val="0070317C"/>
    <w:rsid w:val="00703279"/>
    <w:rsid w:val="00703B61"/>
    <w:rsid w:val="00703B97"/>
    <w:rsid w:val="00703E11"/>
    <w:rsid w:val="00704102"/>
    <w:rsid w:val="0070461C"/>
    <w:rsid w:val="00705631"/>
    <w:rsid w:val="00705818"/>
    <w:rsid w:val="00705F62"/>
    <w:rsid w:val="0070773F"/>
    <w:rsid w:val="00707903"/>
    <w:rsid w:val="00707ED3"/>
    <w:rsid w:val="007101B7"/>
    <w:rsid w:val="00710668"/>
    <w:rsid w:val="007110F4"/>
    <w:rsid w:val="007112B1"/>
    <w:rsid w:val="0071130F"/>
    <w:rsid w:val="0071261E"/>
    <w:rsid w:val="00712714"/>
    <w:rsid w:val="007128E3"/>
    <w:rsid w:val="007129AB"/>
    <w:rsid w:val="00712B63"/>
    <w:rsid w:val="007130E7"/>
    <w:rsid w:val="00713526"/>
    <w:rsid w:val="00713FC5"/>
    <w:rsid w:val="00715BBF"/>
    <w:rsid w:val="00715C29"/>
    <w:rsid w:val="00715CBD"/>
    <w:rsid w:val="00715E86"/>
    <w:rsid w:val="00715EAA"/>
    <w:rsid w:val="00716CAD"/>
    <w:rsid w:val="00716F18"/>
    <w:rsid w:val="0071716D"/>
    <w:rsid w:val="0071718F"/>
    <w:rsid w:val="00717363"/>
    <w:rsid w:val="0071745E"/>
    <w:rsid w:val="00717786"/>
    <w:rsid w:val="00717ACB"/>
    <w:rsid w:val="00721BFF"/>
    <w:rsid w:val="00722FD8"/>
    <w:rsid w:val="007236C4"/>
    <w:rsid w:val="00723B59"/>
    <w:rsid w:val="00724635"/>
    <w:rsid w:val="0072554B"/>
    <w:rsid w:val="00725AFD"/>
    <w:rsid w:val="00725F81"/>
    <w:rsid w:val="00726603"/>
    <w:rsid w:val="00727DDC"/>
    <w:rsid w:val="0073000A"/>
    <w:rsid w:val="00730CD6"/>
    <w:rsid w:val="00730F74"/>
    <w:rsid w:val="0073114B"/>
    <w:rsid w:val="00734414"/>
    <w:rsid w:val="00734952"/>
    <w:rsid w:val="00734990"/>
    <w:rsid w:val="00734FF5"/>
    <w:rsid w:val="00735761"/>
    <w:rsid w:val="00735B78"/>
    <w:rsid w:val="00735DA7"/>
    <w:rsid w:val="007367B7"/>
    <w:rsid w:val="007368B4"/>
    <w:rsid w:val="007378E0"/>
    <w:rsid w:val="00737C5C"/>
    <w:rsid w:val="0074026F"/>
    <w:rsid w:val="00740529"/>
    <w:rsid w:val="00740A6C"/>
    <w:rsid w:val="00741358"/>
    <w:rsid w:val="00741626"/>
    <w:rsid w:val="00742332"/>
    <w:rsid w:val="00742886"/>
    <w:rsid w:val="00742DD2"/>
    <w:rsid w:val="007437C6"/>
    <w:rsid w:val="007439EE"/>
    <w:rsid w:val="007441A2"/>
    <w:rsid w:val="00744B15"/>
    <w:rsid w:val="00744E80"/>
    <w:rsid w:val="00745035"/>
    <w:rsid w:val="0074531C"/>
    <w:rsid w:val="00745547"/>
    <w:rsid w:val="007459D0"/>
    <w:rsid w:val="0074623A"/>
    <w:rsid w:val="00746420"/>
    <w:rsid w:val="00746E04"/>
    <w:rsid w:val="00746E08"/>
    <w:rsid w:val="00746E3D"/>
    <w:rsid w:val="007472B2"/>
    <w:rsid w:val="007473B9"/>
    <w:rsid w:val="007474ED"/>
    <w:rsid w:val="00747529"/>
    <w:rsid w:val="007476EE"/>
    <w:rsid w:val="00747C96"/>
    <w:rsid w:val="00750075"/>
    <w:rsid w:val="007502EC"/>
    <w:rsid w:val="00750382"/>
    <w:rsid w:val="0075094E"/>
    <w:rsid w:val="00750FA8"/>
    <w:rsid w:val="00750FB5"/>
    <w:rsid w:val="00751B4C"/>
    <w:rsid w:val="007522E8"/>
    <w:rsid w:val="00753BAC"/>
    <w:rsid w:val="00754A0B"/>
    <w:rsid w:val="007552DB"/>
    <w:rsid w:val="00755658"/>
    <w:rsid w:val="00755B08"/>
    <w:rsid w:val="00755DD0"/>
    <w:rsid w:val="0075647A"/>
    <w:rsid w:val="007566BE"/>
    <w:rsid w:val="00756A2F"/>
    <w:rsid w:val="007573E1"/>
    <w:rsid w:val="0075749E"/>
    <w:rsid w:val="007577DA"/>
    <w:rsid w:val="00757B2D"/>
    <w:rsid w:val="00757BAD"/>
    <w:rsid w:val="00757D62"/>
    <w:rsid w:val="00760844"/>
    <w:rsid w:val="00760867"/>
    <w:rsid w:val="00760EB6"/>
    <w:rsid w:val="0076105F"/>
    <w:rsid w:val="007616DB"/>
    <w:rsid w:val="0076228A"/>
    <w:rsid w:val="00762440"/>
    <w:rsid w:val="007629B7"/>
    <w:rsid w:val="00762E60"/>
    <w:rsid w:val="007634AD"/>
    <w:rsid w:val="00766ECC"/>
    <w:rsid w:val="007672F3"/>
    <w:rsid w:val="007676A9"/>
    <w:rsid w:val="007677B5"/>
    <w:rsid w:val="007678B1"/>
    <w:rsid w:val="00770317"/>
    <w:rsid w:val="007708A8"/>
    <w:rsid w:val="00772275"/>
    <w:rsid w:val="00773350"/>
    <w:rsid w:val="00773484"/>
    <w:rsid w:val="007734E4"/>
    <w:rsid w:val="0077380D"/>
    <w:rsid w:val="0077393F"/>
    <w:rsid w:val="00773BC8"/>
    <w:rsid w:val="0077466F"/>
    <w:rsid w:val="007752B7"/>
    <w:rsid w:val="007759A8"/>
    <w:rsid w:val="00775D98"/>
    <w:rsid w:val="00776161"/>
    <w:rsid w:val="00776FE5"/>
    <w:rsid w:val="00777101"/>
    <w:rsid w:val="007774E7"/>
    <w:rsid w:val="0077768C"/>
    <w:rsid w:val="00777696"/>
    <w:rsid w:val="00777FF4"/>
    <w:rsid w:val="00780251"/>
    <w:rsid w:val="007804FE"/>
    <w:rsid w:val="00780F32"/>
    <w:rsid w:val="0078122E"/>
    <w:rsid w:val="00781939"/>
    <w:rsid w:val="00781D29"/>
    <w:rsid w:val="007825EF"/>
    <w:rsid w:val="007827B0"/>
    <w:rsid w:val="0078286B"/>
    <w:rsid w:val="00782D2C"/>
    <w:rsid w:val="00782FC2"/>
    <w:rsid w:val="00784FC4"/>
    <w:rsid w:val="00785BBB"/>
    <w:rsid w:val="00786FAD"/>
    <w:rsid w:val="007873C9"/>
    <w:rsid w:val="00787D90"/>
    <w:rsid w:val="00787F5E"/>
    <w:rsid w:val="00790164"/>
    <w:rsid w:val="007906E2"/>
    <w:rsid w:val="00790A24"/>
    <w:rsid w:val="00790A37"/>
    <w:rsid w:val="00790A60"/>
    <w:rsid w:val="0079146D"/>
    <w:rsid w:val="007917AD"/>
    <w:rsid w:val="00791C32"/>
    <w:rsid w:val="00791E08"/>
    <w:rsid w:val="00791FF0"/>
    <w:rsid w:val="007923D0"/>
    <w:rsid w:val="0079302C"/>
    <w:rsid w:val="007930D3"/>
    <w:rsid w:val="0079381F"/>
    <w:rsid w:val="00793B2E"/>
    <w:rsid w:val="007943FC"/>
    <w:rsid w:val="007948F5"/>
    <w:rsid w:val="00795647"/>
    <w:rsid w:val="007963F6"/>
    <w:rsid w:val="00796418"/>
    <w:rsid w:val="00796485"/>
    <w:rsid w:val="00796576"/>
    <w:rsid w:val="00796E80"/>
    <w:rsid w:val="007979AD"/>
    <w:rsid w:val="00797A9C"/>
    <w:rsid w:val="007A08F2"/>
    <w:rsid w:val="007A0EAB"/>
    <w:rsid w:val="007A2341"/>
    <w:rsid w:val="007A38A1"/>
    <w:rsid w:val="007A3967"/>
    <w:rsid w:val="007A3BBE"/>
    <w:rsid w:val="007A4766"/>
    <w:rsid w:val="007A5816"/>
    <w:rsid w:val="007A5947"/>
    <w:rsid w:val="007B00D8"/>
    <w:rsid w:val="007B0313"/>
    <w:rsid w:val="007B05FB"/>
    <w:rsid w:val="007B0854"/>
    <w:rsid w:val="007B0E48"/>
    <w:rsid w:val="007B18FD"/>
    <w:rsid w:val="007B1D1B"/>
    <w:rsid w:val="007B303E"/>
    <w:rsid w:val="007B32C0"/>
    <w:rsid w:val="007B32F7"/>
    <w:rsid w:val="007B3659"/>
    <w:rsid w:val="007B4558"/>
    <w:rsid w:val="007B4632"/>
    <w:rsid w:val="007B46A2"/>
    <w:rsid w:val="007B4828"/>
    <w:rsid w:val="007B4B2D"/>
    <w:rsid w:val="007B4D4A"/>
    <w:rsid w:val="007B5428"/>
    <w:rsid w:val="007B54FE"/>
    <w:rsid w:val="007B57A5"/>
    <w:rsid w:val="007B699E"/>
    <w:rsid w:val="007B6C64"/>
    <w:rsid w:val="007B6EC8"/>
    <w:rsid w:val="007B6F81"/>
    <w:rsid w:val="007B7992"/>
    <w:rsid w:val="007B7EA2"/>
    <w:rsid w:val="007C025A"/>
    <w:rsid w:val="007C081B"/>
    <w:rsid w:val="007C097D"/>
    <w:rsid w:val="007C13FA"/>
    <w:rsid w:val="007C1672"/>
    <w:rsid w:val="007C2C49"/>
    <w:rsid w:val="007C312A"/>
    <w:rsid w:val="007C3570"/>
    <w:rsid w:val="007C3F3B"/>
    <w:rsid w:val="007C4241"/>
    <w:rsid w:val="007C55FF"/>
    <w:rsid w:val="007C6339"/>
    <w:rsid w:val="007C6EC5"/>
    <w:rsid w:val="007C7C43"/>
    <w:rsid w:val="007C7C63"/>
    <w:rsid w:val="007C7F0D"/>
    <w:rsid w:val="007D0D03"/>
    <w:rsid w:val="007D1134"/>
    <w:rsid w:val="007D20CF"/>
    <w:rsid w:val="007D23F7"/>
    <w:rsid w:val="007D2566"/>
    <w:rsid w:val="007D2C18"/>
    <w:rsid w:val="007D2D74"/>
    <w:rsid w:val="007D333D"/>
    <w:rsid w:val="007D3395"/>
    <w:rsid w:val="007D3693"/>
    <w:rsid w:val="007D3C6D"/>
    <w:rsid w:val="007D409B"/>
    <w:rsid w:val="007D481A"/>
    <w:rsid w:val="007D5402"/>
    <w:rsid w:val="007D5648"/>
    <w:rsid w:val="007D58C5"/>
    <w:rsid w:val="007D5DE8"/>
    <w:rsid w:val="007D7503"/>
    <w:rsid w:val="007D7CFC"/>
    <w:rsid w:val="007D7FFC"/>
    <w:rsid w:val="007E0812"/>
    <w:rsid w:val="007E16A4"/>
    <w:rsid w:val="007E18DF"/>
    <w:rsid w:val="007E2A04"/>
    <w:rsid w:val="007E2C36"/>
    <w:rsid w:val="007E342A"/>
    <w:rsid w:val="007E350D"/>
    <w:rsid w:val="007E5C4A"/>
    <w:rsid w:val="007E64D4"/>
    <w:rsid w:val="007E66E9"/>
    <w:rsid w:val="007E69F2"/>
    <w:rsid w:val="007E7432"/>
    <w:rsid w:val="007E74BF"/>
    <w:rsid w:val="007F120F"/>
    <w:rsid w:val="007F14D3"/>
    <w:rsid w:val="007F1C42"/>
    <w:rsid w:val="007F1D9D"/>
    <w:rsid w:val="007F1E28"/>
    <w:rsid w:val="007F1F63"/>
    <w:rsid w:val="007F21D8"/>
    <w:rsid w:val="007F22A0"/>
    <w:rsid w:val="007F2F90"/>
    <w:rsid w:val="007F3320"/>
    <w:rsid w:val="007F392A"/>
    <w:rsid w:val="007F3AC1"/>
    <w:rsid w:val="007F48FA"/>
    <w:rsid w:val="007F4976"/>
    <w:rsid w:val="007F5A56"/>
    <w:rsid w:val="007F5F90"/>
    <w:rsid w:val="007F616E"/>
    <w:rsid w:val="007F665F"/>
    <w:rsid w:val="007F6B46"/>
    <w:rsid w:val="007F72CB"/>
    <w:rsid w:val="007F736A"/>
    <w:rsid w:val="007F7635"/>
    <w:rsid w:val="007F785F"/>
    <w:rsid w:val="007F7AF6"/>
    <w:rsid w:val="007F7E36"/>
    <w:rsid w:val="00800681"/>
    <w:rsid w:val="00800C3D"/>
    <w:rsid w:val="00800E6D"/>
    <w:rsid w:val="008014D9"/>
    <w:rsid w:val="0080150F"/>
    <w:rsid w:val="0080153A"/>
    <w:rsid w:val="00801A2A"/>
    <w:rsid w:val="00802041"/>
    <w:rsid w:val="008022C9"/>
    <w:rsid w:val="00802C0C"/>
    <w:rsid w:val="00802F9E"/>
    <w:rsid w:val="00803700"/>
    <w:rsid w:val="00803D9D"/>
    <w:rsid w:val="0080548F"/>
    <w:rsid w:val="008059C6"/>
    <w:rsid w:val="00805AD7"/>
    <w:rsid w:val="00805BD6"/>
    <w:rsid w:val="00805DE3"/>
    <w:rsid w:val="00807666"/>
    <w:rsid w:val="00807C35"/>
    <w:rsid w:val="00807F69"/>
    <w:rsid w:val="008100EC"/>
    <w:rsid w:val="008100F7"/>
    <w:rsid w:val="00810206"/>
    <w:rsid w:val="00811898"/>
    <w:rsid w:val="008120C4"/>
    <w:rsid w:val="008124D8"/>
    <w:rsid w:val="0081323E"/>
    <w:rsid w:val="00813A7B"/>
    <w:rsid w:val="00813F04"/>
    <w:rsid w:val="00814B72"/>
    <w:rsid w:val="00814D2F"/>
    <w:rsid w:val="00814D88"/>
    <w:rsid w:val="00815A07"/>
    <w:rsid w:val="00815DA5"/>
    <w:rsid w:val="00816221"/>
    <w:rsid w:val="0081766B"/>
    <w:rsid w:val="00820705"/>
    <w:rsid w:val="00820CBF"/>
    <w:rsid w:val="00820FA8"/>
    <w:rsid w:val="008212FD"/>
    <w:rsid w:val="00821489"/>
    <w:rsid w:val="008217B7"/>
    <w:rsid w:val="00821F5E"/>
    <w:rsid w:val="0082239B"/>
    <w:rsid w:val="0082282A"/>
    <w:rsid w:val="0082292E"/>
    <w:rsid w:val="00822D06"/>
    <w:rsid w:val="00822D87"/>
    <w:rsid w:val="0082348D"/>
    <w:rsid w:val="008234E0"/>
    <w:rsid w:val="008236BE"/>
    <w:rsid w:val="00823A46"/>
    <w:rsid w:val="008241CE"/>
    <w:rsid w:val="00825240"/>
    <w:rsid w:val="00825491"/>
    <w:rsid w:val="00825B43"/>
    <w:rsid w:val="0082629D"/>
    <w:rsid w:val="00827203"/>
    <w:rsid w:val="0082767A"/>
    <w:rsid w:val="00827CC0"/>
    <w:rsid w:val="00831026"/>
    <w:rsid w:val="0083119B"/>
    <w:rsid w:val="00831654"/>
    <w:rsid w:val="00831BAE"/>
    <w:rsid w:val="0083218B"/>
    <w:rsid w:val="00832216"/>
    <w:rsid w:val="00832CD0"/>
    <w:rsid w:val="00833430"/>
    <w:rsid w:val="00834128"/>
    <w:rsid w:val="0083417F"/>
    <w:rsid w:val="00835143"/>
    <w:rsid w:val="008351F8"/>
    <w:rsid w:val="00835741"/>
    <w:rsid w:val="00836404"/>
    <w:rsid w:val="00836E74"/>
    <w:rsid w:val="00836EAB"/>
    <w:rsid w:val="00837673"/>
    <w:rsid w:val="00837937"/>
    <w:rsid w:val="00837D82"/>
    <w:rsid w:val="00840893"/>
    <w:rsid w:val="008409EC"/>
    <w:rsid w:val="00840E88"/>
    <w:rsid w:val="0084195A"/>
    <w:rsid w:val="00842234"/>
    <w:rsid w:val="008423EC"/>
    <w:rsid w:val="0084332E"/>
    <w:rsid w:val="00843615"/>
    <w:rsid w:val="00843698"/>
    <w:rsid w:val="00843A4B"/>
    <w:rsid w:val="00843B57"/>
    <w:rsid w:val="00843B60"/>
    <w:rsid w:val="00843D33"/>
    <w:rsid w:val="00844D4F"/>
    <w:rsid w:val="00845AE3"/>
    <w:rsid w:val="008466A0"/>
    <w:rsid w:val="00846D1D"/>
    <w:rsid w:val="00847535"/>
    <w:rsid w:val="00847744"/>
    <w:rsid w:val="00847B6D"/>
    <w:rsid w:val="00847FFA"/>
    <w:rsid w:val="0085092D"/>
    <w:rsid w:val="00850D82"/>
    <w:rsid w:val="00850F79"/>
    <w:rsid w:val="0085100B"/>
    <w:rsid w:val="0085304C"/>
    <w:rsid w:val="00853973"/>
    <w:rsid w:val="00853B5D"/>
    <w:rsid w:val="008548CA"/>
    <w:rsid w:val="00855F52"/>
    <w:rsid w:val="00856C06"/>
    <w:rsid w:val="0085790B"/>
    <w:rsid w:val="00857C95"/>
    <w:rsid w:val="00857E78"/>
    <w:rsid w:val="00860AEF"/>
    <w:rsid w:val="0086122C"/>
    <w:rsid w:val="00861310"/>
    <w:rsid w:val="00861B7B"/>
    <w:rsid w:val="00861F0F"/>
    <w:rsid w:val="00861F53"/>
    <w:rsid w:val="0086289E"/>
    <w:rsid w:val="00863413"/>
    <w:rsid w:val="0086394E"/>
    <w:rsid w:val="00863F8A"/>
    <w:rsid w:val="00863FE3"/>
    <w:rsid w:val="00864241"/>
    <w:rsid w:val="0086468A"/>
    <w:rsid w:val="00864CD5"/>
    <w:rsid w:val="008650BE"/>
    <w:rsid w:val="0086633B"/>
    <w:rsid w:val="00866495"/>
    <w:rsid w:val="008666DA"/>
    <w:rsid w:val="00866931"/>
    <w:rsid w:val="00866FEF"/>
    <w:rsid w:val="00867512"/>
    <w:rsid w:val="0087033C"/>
    <w:rsid w:val="00870B44"/>
    <w:rsid w:val="008712E8"/>
    <w:rsid w:val="008715ED"/>
    <w:rsid w:val="008717D8"/>
    <w:rsid w:val="00871E3C"/>
    <w:rsid w:val="0087213A"/>
    <w:rsid w:val="00872B54"/>
    <w:rsid w:val="00872D89"/>
    <w:rsid w:val="00872F97"/>
    <w:rsid w:val="00873863"/>
    <w:rsid w:val="0087392A"/>
    <w:rsid w:val="00874607"/>
    <w:rsid w:val="00874915"/>
    <w:rsid w:val="00874B89"/>
    <w:rsid w:val="008752DA"/>
    <w:rsid w:val="00875403"/>
    <w:rsid w:val="00875434"/>
    <w:rsid w:val="00876215"/>
    <w:rsid w:val="0087646C"/>
    <w:rsid w:val="00876815"/>
    <w:rsid w:val="00877932"/>
    <w:rsid w:val="008808C7"/>
    <w:rsid w:val="0088106B"/>
    <w:rsid w:val="0088107D"/>
    <w:rsid w:val="008812E2"/>
    <w:rsid w:val="0088168A"/>
    <w:rsid w:val="00881E64"/>
    <w:rsid w:val="00882A3F"/>
    <w:rsid w:val="00882E39"/>
    <w:rsid w:val="008843C0"/>
    <w:rsid w:val="008850E3"/>
    <w:rsid w:val="008850EB"/>
    <w:rsid w:val="00886DF2"/>
    <w:rsid w:val="00886FB9"/>
    <w:rsid w:val="00887080"/>
    <w:rsid w:val="00887BC5"/>
    <w:rsid w:val="00887C79"/>
    <w:rsid w:val="008907CC"/>
    <w:rsid w:val="00890F8E"/>
    <w:rsid w:val="0089107B"/>
    <w:rsid w:val="008913CC"/>
    <w:rsid w:val="00891411"/>
    <w:rsid w:val="008914AE"/>
    <w:rsid w:val="00891838"/>
    <w:rsid w:val="008919CF"/>
    <w:rsid w:val="00891F84"/>
    <w:rsid w:val="008928EC"/>
    <w:rsid w:val="00892E5D"/>
    <w:rsid w:val="008935CF"/>
    <w:rsid w:val="00894436"/>
    <w:rsid w:val="00894BB1"/>
    <w:rsid w:val="008950CB"/>
    <w:rsid w:val="008951D0"/>
    <w:rsid w:val="0089572F"/>
    <w:rsid w:val="0089582D"/>
    <w:rsid w:val="008959C6"/>
    <w:rsid w:val="00895C08"/>
    <w:rsid w:val="0089606D"/>
    <w:rsid w:val="00896129"/>
    <w:rsid w:val="008965DF"/>
    <w:rsid w:val="0089774F"/>
    <w:rsid w:val="00897875"/>
    <w:rsid w:val="00897B8F"/>
    <w:rsid w:val="008A00D8"/>
    <w:rsid w:val="008A00D9"/>
    <w:rsid w:val="008A07D5"/>
    <w:rsid w:val="008A2527"/>
    <w:rsid w:val="008A295B"/>
    <w:rsid w:val="008A2A23"/>
    <w:rsid w:val="008A2AF5"/>
    <w:rsid w:val="008A2B5A"/>
    <w:rsid w:val="008A2DD1"/>
    <w:rsid w:val="008A3F9D"/>
    <w:rsid w:val="008A5474"/>
    <w:rsid w:val="008A5C9A"/>
    <w:rsid w:val="008A6A55"/>
    <w:rsid w:val="008A6C5C"/>
    <w:rsid w:val="008A6DF0"/>
    <w:rsid w:val="008A6F6E"/>
    <w:rsid w:val="008A7888"/>
    <w:rsid w:val="008A796E"/>
    <w:rsid w:val="008B03D8"/>
    <w:rsid w:val="008B0862"/>
    <w:rsid w:val="008B088C"/>
    <w:rsid w:val="008B1BF5"/>
    <w:rsid w:val="008B2268"/>
    <w:rsid w:val="008B263F"/>
    <w:rsid w:val="008B47A6"/>
    <w:rsid w:val="008B6649"/>
    <w:rsid w:val="008B672C"/>
    <w:rsid w:val="008B7611"/>
    <w:rsid w:val="008C036D"/>
    <w:rsid w:val="008C0743"/>
    <w:rsid w:val="008C0B4C"/>
    <w:rsid w:val="008C11F0"/>
    <w:rsid w:val="008C1DBA"/>
    <w:rsid w:val="008C20B8"/>
    <w:rsid w:val="008C24E7"/>
    <w:rsid w:val="008C2500"/>
    <w:rsid w:val="008C2792"/>
    <w:rsid w:val="008C2CAC"/>
    <w:rsid w:val="008C3E2A"/>
    <w:rsid w:val="008C3FFC"/>
    <w:rsid w:val="008C45BD"/>
    <w:rsid w:val="008C4621"/>
    <w:rsid w:val="008C4B19"/>
    <w:rsid w:val="008C5295"/>
    <w:rsid w:val="008C568F"/>
    <w:rsid w:val="008C62D4"/>
    <w:rsid w:val="008C6B89"/>
    <w:rsid w:val="008C6DE3"/>
    <w:rsid w:val="008D18AA"/>
    <w:rsid w:val="008D1A16"/>
    <w:rsid w:val="008D1A2A"/>
    <w:rsid w:val="008D29B1"/>
    <w:rsid w:val="008D2EB5"/>
    <w:rsid w:val="008D35D9"/>
    <w:rsid w:val="008D3B85"/>
    <w:rsid w:val="008D4527"/>
    <w:rsid w:val="008D462D"/>
    <w:rsid w:val="008D51F2"/>
    <w:rsid w:val="008D66CA"/>
    <w:rsid w:val="008D69B1"/>
    <w:rsid w:val="008D7338"/>
    <w:rsid w:val="008E0012"/>
    <w:rsid w:val="008E0DF7"/>
    <w:rsid w:val="008E0FAD"/>
    <w:rsid w:val="008E1347"/>
    <w:rsid w:val="008E16E0"/>
    <w:rsid w:val="008E1836"/>
    <w:rsid w:val="008E1C15"/>
    <w:rsid w:val="008E1C9A"/>
    <w:rsid w:val="008E28BD"/>
    <w:rsid w:val="008E38B4"/>
    <w:rsid w:val="008E3BA4"/>
    <w:rsid w:val="008E41C4"/>
    <w:rsid w:val="008E44AB"/>
    <w:rsid w:val="008E5179"/>
    <w:rsid w:val="008E6598"/>
    <w:rsid w:val="008E6A17"/>
    <w:rsid w:val="008E7214"/>
    <w:rsid w:val="008E7348"/>
    <w:rsid w:val="008E7884"/>
    <w:rsid w:val="008E7D6E"/>
    <w:rsid w:val="008F0737"/>
    <w:rsid w:val="008F0B35"/>
    <w:rsid w:val="008F1056"/>
    <w:rsid w:val="008F2E8D"/>
    <w:rsid w:val="008F3374"/>
    <w:rsid w:val="008F387B"/>
    <w:rsid w:val="008F3DD9"/>
    <w:rsid w:val="008F4814"/>
    <w:rsid w:val="008F4B91"/>
    <w:rsid w:val="008F4DA6"/>
    <w:rsid w:val="008F538E"/>
    <w:rsid w:val="008F59B4"/>
    <w:rsid w:val="008F5A20"/>
    <w:rsid w:val="008F5ABA"/>
    <w:rsid w:val="008F6CF9"/>
    <w:rsid w:val="008F76AB"/>
    <w:rsid w:val="008F7905"/>
    <w:rsid w:val="008F7989"/>
    <w:rsid w:val="009026AF"/>
    <w:rsid w:val="009028E8"/>
    <w:rsid w:val="00902E5C"/>
    <w:rsid w:val="0090350D"/>
    <w:rsid w:val="009039EB"/>
    <w:rsid w:val="009046E5"/>
    <w:rsid w:val="009047C5"/>
    <w:rsid w:val="009058D1"/>
    <w:rsid w:val="00905C04"/>
    <w:rsid w:val="00906BE2"/>
    <w:rsid w:val="009070AA"/>
    <w:rsid w:val="00910683"/>
    <w:rsid w:val="00910E00"/>
    <w:rsid w:val="00910FF7"/>
    <w:rsid w:val="009116CE"/>
    <w:rsid w:val="00911714"/>
    <w:rsid w:val="00911A5B"/>
    <w:rsid w:val="009136D4"/>
    <w:rsid w:val="00914B9A"/>
    <w:rsid w:val="00914C3F"/>
    <w:rsid w:val="00914F33"/>
    <w:rsid w:val="009153F6"/>
    <w:rsid w:val="00915FCE"/>
    <w:rsid w:val="00916AFE"/>
    <w:rsid w:val="00916FC8"/>
    <w:rsid w:val="009170D3"/>
    <w:rsid w:val="0091759C"/>
    <w:rsid w:val="009178BC"/>
    <w:rsid w:val="00917910"/>
    <w:rsid w:val="00920026"/>
    <w:rsid w:val="0092032F"/>
    <w:rsid w:val="009203E2"/>
    <w:rsid w:val="00921304"/>
    <w:rsid w:val="00921805"/>
    <w:rsid w:val="00921BA7"/>
    <w:rsid w:val="00923396"/>
    <w:rsid w:val="00923F56"/>
    <w:rsid w:val="00923FA6"/>
    <w:rsid w:val="009246C4"/>
    <w:rsid w:val="00925743"/>
    <w:rsid w:val="0092579F"/>
    <w:rsid w:val="00927E8D"/>
    <w:rsid w:val="00927F23"/>
    <w:rsid w:val="00930698"/>
    <w:rsid w:val="009307CD"/>
    <w:rsid w:val="00931451"/>
    <w:rsid w:val="009314FA"/>
    <w:rsid w:val="0093194F"/>
    <w:rsid w:val="00931BF3"/>
    <w:rsid w:val="00931C55"/>
    <w:rsid w:val="00933333"/>
    <w:rsid w:val="0093349A"/>
    <w:rsid w:val="009337B2"/>
    <w:rsid w:val="00933FCB"/>
    <w:rsid w:val="00934E69"/>
    <w:rsid w:val="009367D5"/>
    <w:rsid w:val="00937401"/>
    <w:rsid w:val="00937561"/>
    <w:rsid w:val="009376FB"/>
    <w:rsid w:val="00937D6B"/>
    <w:rsid w:val="00940477"/>
    <w:rsid w:val="00940876"/>
    <w:rsid w:val="00940A53"/>
    <w:rsid w:val="00940F3C"/>
    <w:rsid w:val="00940FC1"/>
    <w:rsid w:val="009410E0"/>
    <w:rsid w:val="009444B4"/>
    <w:rsid w:val="00944644"/>
    <w:rsid w:val="009449F9"/>
    <w:rsid w:val="009451CE"/>
    <w:rsid w:val="0094520B"/>
    <w:rsid w:val="009460F9"/>
    <w:rsid w:val="00946A24"/>
    <w:rsid w:val="009470D4"/>
    <w:rsid w:val="00947337"/>
    <w:rsid w:val="009512FA"/>
    <w:rsid w:val="00951E57"/>
    <w:rsid w:val="00953018"/>
    <w:rsid w:val="009533E2"/>
    <w:rsid w:val="00953554"/>
    <w:rsid w:val="0095385A"/>
    <w:rsid w:val="00953928"/>
    <w:rsid w:val="009540F0"/>
    <w:rsid w:val="00955906"/>
    <w:rsid w:val="00955978"/>
    <w:rsid w:val="00957010"/>
    <w:rsid w:val="009574FE"/>
    <w:rsid w:val="0095780A"/>
    <w:rsid w:val="009579E4"/>
    <w:rsid w:val="00957AA4"/>
    <w:rsid w:val="00957ACB"/>
    <w:rsid w:val="00957E21"/>
    <w:rsid w:val="00957F27"/>
    <w:rsid w:val="009609F0"/>
    <w:rsid w:val="00960BDB"/>
    <w:rsid w:val="0096147D"/>
    <w:rsid w:val="00961E5F"/>
    <w:rsid w:val="009625C6"/>
    <w:rsid w:val="009629B5"/>
    <w:rsid w:val="00962A50"/>
    <w:rsid w:val="00962E25"/>
    <w:rsid w:val="00962F47"/>
    <w:rsid w:val="009631BD"/>
    <w:rsid w:val="00964138"/>
    <w:rsid w:val="00964B3F"/>
    <w:rsid w:val="00964C98"/>
    <w:rsid w:val="00964E0A"/>
    <w:rsid w:val="00966214"/>
    <w:rsid w:val="00971441"/>
    <w:rsid w:val="009715D4"/>
    <w:rsid w:val="00971AC8"/>
    <w:rsid w:val="00972470"/>
    <w:rsid w:val="009739A9"/>
    <w:rsid w:val="00973AA2"/>
    <w:rsid w:val="00973DF6"/>
    <w:rsid w:val="0097494E"/>
    <w:rsid w:val="00974B58"/>
    <w:rsid w:val="00975DA3"/>
    <w:rsid w:val="009761ED"/>
    <w:rsid w:val="009801E7"/>
    <w:rsid w:val="0098022F"/>
    <w:rsid w:val="009810CC"/>
    <w:rsid w:val="009810DE"/>
    <w:rsid w:val="009816A2"/>
    <w:rsid w:val="00981D3C"/>
    <w:rsid w:val="009822D7"/>
    <w:rsid w:val="009827E6"/>
    <w:rsid w:val="00982E70"/>
    <w:rsid w:val="00982F84"/>
    <w:rsid w:val="0098427D"/>
    <w:rsid w:val="00984567"/>
    <w:rsid w:val="00985102"/>
    <w:rsid w:val="009865D5"/>
    <w:rsid w:val="009876F2"/>
    <w:rsid w:val="00987C77"/>
    <w:rsid w:val="00990345"/>
    <w:rsid w:val="00990701"/>
    <w:rsid w:val="0099090B"/>
    <w:rsid w:val="00990BC7"/>
    <w:rsid w:val="0099119C"/>
    <w:rsid w:val="0099137A"/>
    <w:rsid w:val="00991805"/>
    <w:rsid w:val="0099211C"/>
    <w:rsid w:val="00993B78"/>
    <w:rsid w:val="0099483A"/>
    <w:rsid w:val="00995119"/>
    <w:rsid w:val="009953AD"/>
    <w:rsid w:val="00995503"/>
    <w:rsid w:val="0099583D"/>
    <w:rsid w:val="00995B7C"/>
    <w:rsid w:val="00996992"/>
    <w:rsid w:val="00996E1E"/>
    <w:rsid w:val="00997392"/>
    <w:rsid w:val="0099747C"/>
    <w:rsid w:val="0099771C"/>
    <w:rsid w:val="009A01E4"/>
    <w:rsid w:val="009A0917"/>
    <w:rsid w:val="009A0A33"/>
    <w:rsid w:val="009A0A35"/>
    <w:rsid w:val="009A0A44"/>
    <w:rsid w:val="009A1351"/>
    <w:rsid w:val="009A2435"/>
    <w:rsid w:val="009A3253"/>
    <w:rsid w:val="009A35DC"/>
    <w:rsid w:val="009A38AB"/>
    <w:rsid w:val="009A3CFB"/>
    <w:rsid w:val="009A3D47"/>
    <w:rsid w:val="009A476F"/>
    <w:rsid w:val="009A4D63"/>
    <w:rsid w:val="009A5356"/>
    <w:rsid w:val="009A5468"/>
    <w:rsid w:val="009A5D99"/>
    <w:rsid w:val="009A608C"/>
    <w:rsid w:val="009A60D1"/>
    <w:rsid w:val="009A6CA7"/>
    <w:rsid w:val="009A6FDF"/>
    <w:rsid w:val="009A76D6"/>
    <w:rsid w:val="009B01D3"/>
    <w:rsid w:val="009B199E"/>
    <w:rsid w:val="009B27AC"/>
    <w:rsid w:val="009B2E29"/>
    <w:rsid w:val="009B3163"/>
    <w:rsid w:val="009B422F"/>
    <w:rsid w:val="009B46BC"/>
    <w:rsid w:val="009B4D1A"/>
    <w:rsid w:val="009B558B"/>
    <w:rsid w:val="009B6801"/>
    <w:rsid w:val="009B68DD"/>
    <w:rsid w:val="009B6D21"/>
    <w:rsid w:val="009B7266"/>
    <w:rsid w:val="009B78ED"/>
    <w:rsid w:val="009C181C"/>
    <w:rsid w:val="009C1C7F"/>
    <w:rsid w:val="009C28A2"/>
    <w:rsid w:val="009C3239"/>
    <w:rsid w:val="009C3828"/>
    <w:rsid w:val="009C3D2C"/>
    <w:rsid w:val="009C4987"/>
    <w:rsid w:val="009C523F"/>
    <w:rsid w:val="009C59BF"/>
    <w:rsid w:val="009C5E4F"/>
    <w:rsid w:val="009C5F64"/>
    <w:rsid w:val="009C5F82"/>
    <w:rsid w:val="009C70F8"/>
    <w:rsid w:val="009C756F"/>
    <w:rsid w:val="009C78A3"/>
    <w:rsid w:val="009D0156"/>
    <w:rsid w:val="009D05DA"/>
    <w:rsid w:val="009D0872"/>
    <w:rsid w:val="009D11F6"/>
    <w:rsid w:val="009D13B9"/>
    <w:rsid w:val="009D1A14"/>
    <w:rsid w:val="009D1E2A"/>
    <w:rsid w:val="009D1FA0"/>
    <w:rsid w:val="009D2BDF"/>
    <w:rsid w:val="009D3736"/>
    <w:rsid w:val="009D3964"/>
    <w:rsid w:val="009D40B8"/>
    <w:rsid w:val="009D4529"/>
    <w:rsid w:val="009D4B03"/>
    <w:rsid w:val="009D604F"/>
    <w:rsid w:val="009D61BB"/>
    <w:rsid w:val="009D6410"/>
    <w:rsid w:val="009D65FF"/>
    <w:rsid w:val="009D66B2"/>
    <w:rsid w:val="009D68BB"/>
    <w:rsid w:val="009D6E3A"/>
    <w:rsid w:val="009D70C2"/>
    <w:rsid w:val="009D7278"/>
    <w:rsid w:val="009D773A"/>
    <w:rsid w:val="009D7ADB"/>
    <w:rsid w:val="009D7B33"/>
    <w:rsid w:val="009E0703"/>
    <w:rsid w:val="009E0E95"/>
    <w:rsid w:val="009E16DA"/>
    <w:rsid w:val="009E1CD4"/>
    <w:rsid w:val="009E20DC"/>
    <w:rsid w:val="009E2391"/>
    <w:rsid w:val="009E476A"/>
    <w:rsid w:val="009E4E05"/>
    <w:rsid w:val="009E52D9"/>
    <w:rsid w:val="009E56FF"/>
    <w:rsid w:val="009E5CB1"/>
    <w:rsid w:val="009E5E56"/>
    <w:rsid w:val="009E61EA"/>
    <w:rsid w:val="009E6990"/>
    <w:rsid w:val="009E6FEE"/>
    <w:rsid w:val="009F060F"/>
    <w:rsid w:val="009F0781"/>
    <w:rsid w:val="009F0850"/>
    <w:rsid w:val="009F11B2"/>
    <w:rsid w:val="009F1BDF"/>
    <w:rsid w:val="009F1EAE"/>
    <w:rsid w:val="009F29A5"/>
    <w:rsid w:val="009F369D"/>
    <w:rsid w:val="009F36FE"/>
    <w:rsid w:val="009F46A9"/>
    <w:rsid w:val="009F4F25"/>
    <w:rsid w:val="009F59C2"/>
    <w:rsid w:val="009F61DE"/>
    <w:rsid w:val="009F7263"/>
    <w:rsid w:val="009F76EA"/>
    <w:rsid w:val="009F78EB"/>
    <w:rsid w:val="009F7D10"/>
    <w:rsid w:val="009F7F32"/>
    <w:rsid w:val="009F7FEB"/>
    <w:rsid w:val="00A01852"/>
    <w:rsid w:val="00A0188B"/>
    <w:rsid w:val="00A01E73"/>
    <w:rsid w:val="00A023E7"/>
    <w:rsid w:val="00A02B88"/>
    <w:rsid w:val="00A03160"/>
    <w:rsid w:val="00A036AC"/>
    <w:rsid w:val="00A03C54"/>
    <w:rsid w:val="00A041BC"/>
    <w:rsid w:val="00A0447F"/>
    <w:rsid w:val="00A046D2"/>
    <w:rsid w:val="00A04A54"/>
    <w:rsid w:val="00A05B4B"/>
    <w:rsid w:val="00A066C3"/>
    <w:rsid w:val="00A06754"/>
    <w:rsid w:val="00A06942"/>
    <w:rsid w:val="00A069E0"/>
    <w:rsid w:val="00A06E4A"/>
    <w:rsid w:val="00A078FB"/>
    <w:rsid w:val="00A1036D"/>
    <w:rsid w:val="00A1069F"/>
    <w:rsid w:val="00A10919"/>
    <w:rsid w:val="00A10ACA"/>
    <w:rsid w:val="00A10D04"/>
    <w:rsid w:val="00A10D08"/>
    <w:rsid w:val="00A12091"/>
    <w:rsid w:val="00A12355"/>
    <w:rsid w:val="00A12384"/>
    <w:rsid w:val="00A127A3"/>
    <w:rsid w:val="00A127D2"/>
    <w:rsid w:val="00A12ADA"/>
    <w:rsid w:val="00A143EC"/>
    <w:rsid w:val="00A14A60"/>
    <w:rsid w:val="00A1500F"/>
    <w:rsid w:val="00A15621"/>
    <w:rsid w:val="00A15670"/>
    <w:rsid w:val="00A157A0"/>
    <w:rsid w:val="00A1585B"/>
    <w:rsid w:val="00A15C19"/>
    <w:rsid w:val="00A16809"/>
    <w:rsid w:val="00A17769"/>
    <w:rsid w:val="00A17EA2"/>
    <w:rsid w:val="00A20264"/>
    <w:rsid w:val="00A20997"/>
    <w:rsid w:val="00A21454"/>
    <w:rsid w:val="00A21BA9"/>
    <w:rsid w:val="00A22025"/>
    <w:rsid w:val="00A22498"/>
    <w:rsid w:val="00A22571"/>
    <w:rsid w:val="00A23023"/>
    <w:rsid w:val="00A23A08"/>
    <w:rsid w:val="00A24560"/>
    <w:rsid w:val="00A25B0F"/>
    <w:rsid w:val="00A25BBB"/>
    <w:rsid w:val="00A25F8E"/>
    <w:rsid w:val="00A27F18"/>
    <w:rsid w:val="00A27FB6"/>
    <w:rsid w:val="00A30121"/>
    <w:rsid w:val="00A30368"/>
    <w:rsid w:val="00A3043A"/>
    <w:rsid w:val="00A30E02"/>
    <w:rsid w:val="00A30F6A"/>
    <w:rsid w:val="00A31BA2"/>
    <w:rsid w:val="00A31C3E"/>
    <w:rsid w:val="00A34538"/>
    <w:rsid w:val="00A34677"/>
    <w:rsid w:val="00A34BA0"/>
    <w:rsid w:val="00A3540F"/>
    <w:rsid w:val="00A35630"/>
    <w:rsid w:val="00A35914"/>
    <w:rsid w:val="00A36189"/>
    <w:rsid w:val="00A3622F"/>
    <w:rsid w:val="00A37E73"/>
    <w:rsid w:val="00A37FB6"/>
    <w:rsid w:val="00A4006F"/>
    <w:rsid w:val="00A4104A"/>
    <w:rsid w:val="00A41081"/>
    <w:rsid w:val="00A411CA"/>
    <w:rsid w:val="00A413AD"/>
    <w:rsid w:val="00A4169F"/>
    <w:rsid w:val="00A42096"/>
    <w:rsid w:val="00A421E7"/>
    <w:rsid w:val="00A426F3"/>
    <w:rsid w:val="00A42FDF"/>
    <w:rsid w:val="00A430A9"/>
    <w:rsid w:val="00A431FE"/>
    <w:rsid w:val="00A439E5"/>
    <w:rsid w:val="00A43D1B"/>
    <w:rsid w:val="00A4497A"/>
    <w:rsid w:val="00A44BE8"/>
    <w:rsid w:val="00A44C96"/>
    <w:rsid w:val="00A44F54"/>
    <w:rsid w:val="00A45F9B"/>
    <w:rsid w:val="00A461BF"/>
    <w:rsid w:val="00A46574"/>
    <w:rsid w:val="00A4657A"/>
    <w:rsid w:val="00A467C4"/>
    <w:rsid w:val="00A4777D"/>
    <w:rsid w:val="00A500B1"/>
    <w:rsid w:val="00A51520"/>
    <w:rsid w:val="00A5292D"/>
    <w:rsid w:val="00A52D3F"/>
    <w:rsid w:val="00A52EE5"/>
    <w:rsid w:val="00A53037"/>
    <w:rsid w:val="00A532B9"/>
    <w:rsid w:val="00A5351D"/>
    <w:rsid w:val="00A53D84"/>
    <w:rsid w:val="00A53E79"/>
    <w:rsid w:val="00A54031"/>
    <w:rsid w:val="00A5426D"/>
    <w:rsid w:val="00A54FC2"/>
    <w:rsid w:val="00A55122"/>
    <w:rsid w:val="00A5696C"/>
    <w:rsid w:val="00A56DE7"/>
    <w:rsid w:val="00A57EB2"/>
    <w:rsid w:val="00A6009E"/>
    <w:rsid w:val="00A60762"/>
    <w:rsid w:val="00A60B1F"/>
    <w:rsid w:val="00A61C60"/>
    <w:rsid w:val="00A62589"/>
    <w:rsid w:val="00A62C3A"/>
    <w:rsid w:val="00A63812"/>
    <w:rsid w:val="00A63DF7"/>
    <w:rsid w:val="00A64505"/>
    <w:rsid w:val="00A65CC5"/>
    <w:rsid w:val="00A668BA"/>
    <w:rsid w:val="00A66FA7"/>
    <w:rsid w:val="00A677F6"/>
    <w:rsid w:val="00A67E16"/>
    <w:rsid w:val="00A703CC"/>
    <w:rsid w:val="00A70C5C"/>
    <w:rsid w:val="00A71EA7"/>
    <w:rsid w:val="00A730AD"/>
    <w:rsid w:val="00A733D2"/>
    <w:rsid w:val="00A73855"/>
    <w:rsid w:val="00A73D64"/>
    <w:rsid w:val="00A73FEA"/>
    <w:rsid w:val="00A74216"/>
    <w:rsid w:val="00A744B4"/>
    <w:rsid w:val="00A74D61"/>
    <w:rsid w:val="00A751E3"/>
    <w:rsid w:val="00A75504"/>
    <w:rsid w:val="00A75CD9"/>
    <w:rsid w:val="00A76438"/>
    <w:rsid w:val="00A77168"/>
    <w:rsid w:val="00A7723B"/>
    <w:rsid w:val="00A77525"/>
    <w:rsid w:val="00A7793C"/>
    <w:rsid w:val="00A77D21"/>
    <w:rsid w:val="00A80085"/>
    <w:rsid w:val="00A8043B"/>
    <w:rsid w:val="00A81323"/>
    <w:rsid w:val="00A81AC0"/>
    <w:rsid w:val="00A820CB"/>
    <w:rsid w:val="00A82342"/>
    <w:rsid w:val="00A83BEF"/>
    <w:rsid w:val="00A841E1"/>
    <w:rsid w:val="00A84443"/>
    <w:rsid w:val="00A8487F"/>
    <w:rsid w:val="00A848FC"/>
    <w:rsid w:val="00A849A3"/>
    <w:rsid w:val="00A84A0E"/>
    <w:rsid w:val="00A84D7C"/>
    <w:rsid w:val="00A851FD"/>
    <w:rsid w:val="00A86E0B"/>
    <w:rsid w:val="00A9069B"/>
    <w:rsid w:val="00A90F12"/>
    <w:rsid w:val="00A93101"/>
    <w:rsid w:val="00A94293"/>
    <w:rsid w:val="00A94760"/>
    <w:rsid w:val="00A9496E"/>
    <w:rsid w:val="00A949F0"/>
    <w:rsid w:val="00A94BDE"/>
    <w:rsid w:val="00A94FCA"/>
    <w:rsid w:val="00A95E4C"/>
    <w:rsid w:val="00A96C60"/>
    <w:rsid w:val="00A97223"/>
    <w:rsid w:val="00A9740B"/>
    <w:rsid w:val="00A9766C"/>
    <w:rsid w:val="00A977F8"/>
    <w:rsid w:val="00A97C93"/>
    <w:rsid w:val="00AA08E7"/>
    <w:rsid w:val="00AA0A06"/>
    <w:rsid w:val="00AA1351"/>
    <w:rsid w:val="00AA1859"/>
    <w:rsid w:val="00AA1C84"/>
    <w:rsid w:val="00AA3D7B"/>
    <w:rsid w:val="00AA42A0"/>
    <w:rsid w:val="00AA42E3"/>
    <w:rsid w:val="00AA442B"/>
    <w:rsid w:val="00AA46A4"/>
    <w:rsid w:val="00AA5687"/>
    <w:rsid w:val="00AA5779"/>
    <w:rsid w:val="00AA58A1"/>
    <w:rsid w:val="00AA61C7"/>
    <w:rsid w:val="00AA669D"/>
    <w:rsid w:val="00AA66ED"/>
    <w:rsid w:val="00AA6780"/>
    <w:rsid w:val="00AA6BE1"/>
    <w:rsid w:val="00AA7416"/>
    <w:rsid w:val="00AA7A60"/>
    <w:rsid w:val="00AA7B42"/>
    <w:rsid w:val="00AB041C"/>
    <w:rsid w:val="00AB14E8"/>
    <w:rsid w:val="00AB17EC"/>
    <w:rsid w:val="00AB19AF"/>
    <w:rsid w:val="00AB1B1D"/>
    <w:rsid w:val="00AB2080"/>
    <w:rsid w:val="00AB2216"/>
    <w:rsid w:val="00AB2C0A"/>
    <w:rsid w:val="00AB358D"/>
    <w:rsid w:val="00AB37A1"/>
    <w:rsid w:val="00AB3BAD"/>
    <w:rsid w:val="00AB3CFD"/>
    <w:rsid w:val="00AB40C6"/>
    <w:rsid w:val="00AB49BC"/>
    <w:rsid w:val="00AB4DEE"/>
    <w:rsid w:val="00AB4E32"/>
    <w:rsid w:val="00AB579A"/>
    <w:rsid w:val="00AB5BC4"/>
    <w:rsid w:val="00AB5DB2"/>
    <w:rsid w:val="00AB724B"/>
    <w:rsid w:val="00AB726C"/>
    <w:rsid w:val="00AB72B4"/>
    <w:rsid w:val="00AC01FD"/>
    <w:rsid w:val="00AC02AA"/>
    <w:rsid w:val="00AC0537"/>
    <w:rsid w:val="00AC0A84"/>
    <w:rsid w:val="00AC19AC"/>
    <w:rsid w:val="00AC264D"/>
    <w:rsid w:val="00AC2A0B"/>
    <w:rsid w:val="00AC2BEC"/>
    <w:rsid w:val="00AC2BEE"/>
    <w:rsid w:val="00AC2E53"/>
    <w:rsid w:val="00AC37D3"/>
    <w:rsid w:val="00AC484F"/>
    <w:rsid w:val="00AC4A42"/>
    <w:rsid w:val="00AC4B20"/>
    <w:rsid w:val="00AC4D8F"/>
    <w:rsid w:val="00AC56F2"/>
    <w:rsid w:val="00AC5B83"/>
    <w:rsid w:val="00AC6886"/>
    <w:rsid w:val="00AC71C3"/>
    <w:rsid w:val="00AD0852"/>
    <w:rsid w:val="00AD0DA5"/>
    <w:rsid w:val="00AD1499"/>
    <w:rsid w:val="00AD1EFA"/>
    <w:rsid w:val="00AD2072"/>
    <w:rsid w:val="00AD2808"/>
    <w:rsid w:val="00AD2DBD"/>
    <w:rsid w:val="00AD2FBF"/>
    <w:rsid w:val="00AD416B"/>
    <w:rsid w:val="00AD455D"/>
    <w:rsid w:val="00AD463C"/>
    <w:rsid w:val="00AD46A2"/>
    <w:rsid w:val="00AD47E8"/>
    <w:rsid w:val="00AD4F60"/>
    <w:rsid w:val="00AD5044"/>
    <w:rsid w:val="00AD5114"/>
    <w:rsid w:val="00AD5EC3"/>
    <w:rsid w:val="00AD6236"/>
    <w:rsid w:val="00AD67E6"/>
    <w:rsid w:val="00AD7619"/>
    <w:rsid w:val="00AD7770"/>
    <w:rsid w:val="00AE04A1"/>
    <w:rsid w:val="00AE0D1C"/>
    <w:rsid w:val="00AE1772"/>
    <w:rsid w:val="00AE1990"/>
    <w:rsid w:val="00AE2523"/>
    <w:rsid w:val="00AE25E8"/>
    <w:rsid w:val="00AE2AD4"/>
    <w:rsid w:val="00AE2CA7"/>
    <w:rsid w:val="00AE2F1D"/>
    <w:rsid w:val="00AE4B2B"/>
    <w:rsid w:val="00AE586F"/>
    <w:rsid w:val="00AE5A78"/>
    <w:rsid w:val="00AE6582"/>
    <w:rsid w:val="00AE6DC5"/>
    <w:rsid w:val="00AE7686"/>
    <w:rsid w:val="00AE799A"/>
    <w:rsid w:val="00AF078E"/>
    <w:rsid w:val="00AF0E81"/>
    <w:rsid w:val="00AF117A"/>
    <w:rsid w:val="00AF186E"/>
    <w:rsid w:val="00AF19DF"/>
    <w:rsid w:val="00AF1F4F"/>
    <w:rsid w:val="00AF26CF"/>
    <w:rsid w:val="00AF4E92"/>
    <w:rsid w:val="00AF554B"/>
    <w:rsid w:val="00AF5C9B"/>
    <w:rsid w:val="00AF5D53"/>
    <w:rsid w:val="00AF5E2D"/>
    <w:rsid w:val="00AF644B"/>
    <w:rsid w:val="00AF6CA6"/>
    <w:rsid w:val="00AF6EB6"/>
    <w:rsid w:val="00AF7796"/>
    <w:rsid w:val="00B011A9"/>
    <w:rsid w:val="00B024ED"/>
    <w:rsid w:val="00B02C4A"/>
    <w:rsid w:val="00B02EB3"/>
    <w:rsid w:val="00B02FCB"/>
    <w:rsid w:val="00B033F8"/>
    <w:rsid w:val="00B03C1E"/>
    <w:rsid w:val="00B04400"/>
    <w:rsid w:val="00B04835"/>
    <w:rsid w:val="00B04A56"/>
    <w:rsid w:val="00B05A55"/>
    <w:rsid w:val="00B05DE1"/>
    <w:rsid w:val="00B06595"/>
    <w:rsid w:val="00B10109"/>
    <w:rsid w:val="00B1053C"/>
    <w:rsid w:val="00B1085E"/>
    <w:rsid w:val="00B10FD0"/>
    <w:rsid w:val="00B10FD1"/>
    <w:rsid w:val="00B11896"/>
    <w:rsid w:val="00B11CE3"/>
    <w:rsid w:val="00B12735"/>
    <w:rsid w:val="00B129C6"/>
    <w:rsid w:val="00B131C4"/>
    <w:rsid w:val="00B13386"/>
    <w:rsid w:val="00B13533"/>
    <w:rsid w:val="00B13C48"/>
    <w:rsid w:val="00B13E35"/>
    <w:rsid w:val="00B13EC0"/>
    <w:rsid w:val="00B14102"/>
    <w:rsid w:val="00B14BFB"/>
    <w:rsid w:val="00B14D32"/>
    <w:rsid w:val="00B1557C"/>
    <w:rsid w:val="00B155DC"/>
    <w:rsid w:val="00B15766"/>
    <w:rsid w:val="00B158F6"/>
    <w:rsid w:val="00B159AA"/>
    <w:rsid w:val="00B1666A"/>
    <w:rsid w:val="00B1686D"/>
    <w:rsid w:val="00B17037"/>
    <w:rsid w:val="00B1741D"/>
    <w:rsid w:val="00B17447"/>
    <w:rsid w:val="00B17563"/>
    <w:rsid w:val="00B1771D"/>
    <w:rsid w:val="00B17B91"/>
    <w:rsid w:val="00B20209"/>
    <w:rsid w:val="00B203AF"/>
    <w:rsid w:val="00B203C9"/>
    <w:rsid w:val="00B2088D"/>
    <w:rsid w:val="00B208FF"/>
    <w:rsid w:val="00B21AD4"/>
    <w:rsid w:val="00B228D1"/>
    <w:rsid w:val="00B22C58"/>
    <w:rsid w:val="00B22E22"/>
    <w:rsid w:val="00B22F5F"/>
    <w:rsid w:val="00B23813"/>
    <w:rsid w:val="00B23FD9"/>
    <w:rsid w:val="00B24591"/>
    <w:rsid w:val="00B245D5"/>
    <w:rsid w:val="00B24C36"/>
    <w:rsid w:val="00B24D49"/>
    <w:rsid w:val="00B24F94"/>
    <w:rsid w:val="00B25126"/>
    <w:rsid w:val="00B25A52"/>
    <w:rsid w:val="00B25B0A"/>
    <w:rsid w:val="00B25FC3"/>
    <w:rsid w:val="00B26CC4"/>
    <w:rsid w:val="00B27026"/>
    <w:rsid w:val="00B27875"/>
    <w:rsid w:val="00B3008D"/>
    <w:rsid w:val="00B309C9"/>
    <w:rsid w:val="00B30E11"/>
    <w:rsid w:val="00B30EEB"/>
    <w:rsid w:val="00B30FD0"/>
    <w:rsid w:val="00B31423"/>
    <w:rsid w:val="00B31710"/>
    <w:rsid w:val="00B323E0"/>
    <w:rsid w:val="00B32DC0"/>
    <w:rsid w:val="00B3346C"/>
    <w:rsid w:val="00B335E4"/>
    <w:rsid w:val="00B33C23"/>
    <w:rsid w:val="00B345B4"/>
    <w:rsid w:val="00B348B1"/>
    <w:rsid w:val="00B34A28"/>
    <w:rsid w:val="00B34C35"/>
    <w:rsid w:val="00B34EB2"/>
    <w:rsid w:val="00B35046"/>
    <w:rsid w:val="00B35B6A"/>
    <w:rsid w:val="00B36D46"/>
    <w:rsid w:val="00B37657"/>
    <w:rsid w:val="00B37AFD"/>
    <w:rsid w:val="00B37B07"/>
    <w:rsid w:val="00B4046F"/>
    <w:rsid w:val="00B40B47"/>
    <w:rsid w:val="00B41D39"/>
    <w:rsid w:val="00B422C0"/>
    <w:rsid w:val="00B426CA"/>
    <w:rsid w:val="00B426E1"/>
    <w:rsid w:val="00B427D0"/>
    <w:rsid w:val="00B4298E"/>
    <w:rsid w:val="00B437F8"/>
    <w:rsid w:val="00B4387A"/>
    <w:rsid w:val="00B44260"/>
    <w:rsid w:val="00B44746"/>
    <w:rsid w:val="00B44854"/>
    <w:rsid w:val="00B453FE"/>
    <w:rsid w:val="00B458D0"/>
    <w:rsid w:val="00B46120"/>
    <w:rsid w:val="00B47040"/>
    <w:rsid w:val="00B4792C"/>
    <w:rsid w:val="00B50CAE"/>
    <w:rsid w:val="00B512AD"/>
    <w:rsid w:val="00B5196C"/>
    <w:rsid w:val="00B525CB"/>
    <w:rsid w:val="00B52697"/>
    <w:rsid w:val="00B53E7C"/>
    <w:rsid w:val="00B54D8F"/>
    <w:rsid w:val="00B55857"/>
    <w:rsid w:val="00B55C69"/>
    <w:rsid w:val="00B56851"/>
    <w:rsid w:val="00B56A6A"/>
    <w:rsid w:val="00B56D6E"/>
    <w:rsid w:val="00B572F7"/>
    <w:rsid w:val="00B57B9D"/>
    <w:rsid w:val="00B57DAF"/>
    <w:rsid w:val="00B60094"/>
    <w:rsid w:val="00B6022C"/>
    <w:rsid w:val="00B614F8"/>
    <w:rsid w:val="00B61994"/>
    <w:rsid w:val="00B61FD4"/>
    <w:rsid w:val="00B62880"/>
    <w:rsid w:val="00B63872"/>
    <w:rsid w:val="00B63CB2"/>
    <w:rsid w:val="00B63F51"/>
    <w:rsid w:val="00B6416D"/>
    <w:rsid w:val="00B64246"/>
    <w:rsid w:val="00B64EDB"/>
    <w:rsid w:val="00B65379"/>
    <w:rsid w:val="00B654D3"/>
    <w:rsid w:val="00B65938"/>
    <w:rsid w:val="00B65C8A"/>
    <w:rsid w:val="00B65CE2"/>
    <w:rsid w:val="00B65CED"/>
    <w:rsid w:val="00B660AD"/>
    <w:rsid w:val="00B66109"/>
    <w:rsid w:val="00B66349"/>
    <w:rsid w:val="00B67630"/>
    <w:rsid w:val="00B67FBF"/>
    <w:rsid w:val="00B7024E"/>
    <w:rsid w:val="00B71FA7"/>
    <w:rsid w:val="00B72110"/>
    <w:rsid w:val="00B72B91"/>
    <w:rsid w:val="00B73019"/>
    <w:rsid w:val="00B7315F"/>
    <w:rsid w:val="00B7323A"/>
    <w:rsid w:val="00B73356"/>
    <w:rsid w:val="00B7353B"/>
    <w:rsid w:val="00B7358A"/>
    <w:rsid w:val="00B737FB"/>
    <w:rsid w:val="00B7423D"/>
    <w:rsid w:val="00B74605"/>
    <w:rsid w:val="00B74A8A"/>
    <w:rsid w:val="00B74D05"/>
    <w:rsid w:val="00B777FA"/>
    <w:rsid w:val="00B77850"/>
    <w:rsid w:val="00B7796B"/>
    <w:rsid w:val="00B77A14"/>
    <w:rsid w:val="00B80C72"/>
    <w:rsid w:val="00B81964"/>
    <w:rsid w:val="00B81E6F"/>
    <w:rsid w:val="00B82123"/>
    <w:rsid w:val="00B8225B"/>
    <w:rsid w:val="00B82BB5"/>
    <w:rsid w:val="00B83182"/>
    <w:rsid w:val="00B84684"/>
    <w:rsid w:val="00B84866"/>
    <w:rsid w:val="00B848DF"/>
    <w:rsid w:val="00B851E4"/>
    <w:rsid w:val="00B854CE"/>
    <w:rsid w:val="00B85681"/>
    <w:rsid w:val="00B857EB"/>
    <w:rsid w:val="00B86162"/>
    <w:rsid w:val="00B86877"/>
    <w:rsid w:val="00B8695D"/>
    <w:rsid w:val="00B86D58"/>
    <w:rsid w:val="00B86E66"/>
    <w:rsid w:val="00B873BA"/>
    <w:rsid w:val="00B8746F"/>
    <w:rsid w:val="00B8760D"/>
    <w:rsid w:val="00B87706"/>
    <w:rsid w:val="00B87F98"/>
    <w:rsid w:val="00B90A49"/>
    <w:rsid w:val="00B90C2B"/>
    <w:rsid w:val="00B90E5C"/>
    <w:rsid w:val="00B910A5"/>
    <w:rsid w:val="00B91B8E"/>
    <w:rsid w:val="00B91E13"/>
    <w:rsid w:val="00B92531"/>
    <w:rsid w:val="00B92618"/>
    <w:rsid w:val="00B92751"/>
    <w:rsid w:val="00B92B69"/>
    <w:rsid w:val="00B92CC6"/>
    <w:rsid w:val="00B935C9"/>
    <w:rsid w:val="00B93E3D"/>
    <w:rsid w:val="00B94033"/>
    <w:rsid w:val="00B95018"/>
    <w:rsid w:val="00B95464"/>
    <w:rsid w:val="00B956DC"/>
    <w:rsid w:val="00B95C30"/>
    <w:rsid w:val="00B95D38"/>
    <w:rsid w:val="00B95E3D"/>
    <w:rsid w:val="00B95F7F"/>
    <w:rsid w:val="00B9691F"/>
    <w:rsid w:val="00B969E0"/>
    <w:rsid w:val="00B96EEC"/>
    <w:rsid w:val="00B97392"/>
    <w:rsid w:val="00B973C6"/>
    <w:rsid w:val="00B97691"/>
    <w:rsid w:val="00B976C7"/>
    <w:rsid w:val="00BA0C54"/>
    <w:rsid w:val="00BA1382"/>
    <w:rsid w:val="00BA1EFD"/>
    <w:rsid w:val="00BA20D8"/>
    <w:rsid w:val="00BA22FC"/>
    <w:rsid w:val="00BA2F30"/>
    <w:rsid w:val="00BA4771"/>
    <w:rsid w:val="00BA4DA4"/>
    <w:rsid w:val="00BA5027"/>
    <w:rsid w:val="00BA665B"/>
    <w:rsid w:val="00BA7370"/>
    <w:rsid w:val="00BA778B"/>
    <w:rsid w:val="00BB0888"/>
    <w:rsid w:val="00BB0DF1"/>
    <w:rsid w:val="00BB0E9B"/>
    <w:rsid w:val="00BB2729"/>
    <w:rsid w:val="00BB2841"/>
    <w:rsid w:val="00BB300F"/>
    <w:rsid w:val="00BB32C9"/>
    <w:rsid w:val="00BB35C5"/>
    <w:rsid w:val="00BB43A7"/>
    <w:rsid w:val="00BB47D0"/>
    <w:rsid w:val="00BB4C8E"/>
    <w:rsid w:val="00BB57ED"/>
    <w:rsid w:val="00BB65C3"/>
    <w:rsid w:val="00BB662E"/>
    <w:rsid w:val="00BB67A9"/>
    <w:rsid w:val="00BB6C01"/>
    <w:rsid w:val="00BB7942"/>
    <w:rsid w:val="00BB7CD1"/>
    <w:rsid w:val="00BC0F33"/>
    <w:rsid w:val="00BC14A7"/>
    <w:rsid w:val="00BC1611"/>
    <w:rsid w:val="00BC1632"/>
    <w:rsid w:val="00BC17CC"/>
    <w:rsid w:val="00BC229E"/>
    <w:rsid w:val="00BC23C0"/>
    <w:rsid w:val="00BC2898"/>
    <w:rsid w:val="00BC2928"/>
    <w:rsid w:val="00BC2AA9"/>
    <w:rsid w:val="00BC2BB1"/>
    <w:rsid w:val="00BC34A3"/>
    <w:rsid w:val="00BC3FF9"/>
    <w:rsid w:val="00BC4834"/>
    <w:rsid w:val="00BC4A97"/>
    <w:rsid w:val="00BC5A25"/>
    <w:rsid w:val="00BC5FDD"/>
    <w:rsid w:val="00BC68B4"/>
    <w:rsid w:val="00BC6C2D"/>
    <w:rsid w:val="00BC7B9A"/>
    <w:rsid w:val="00BD00A9"/>
    <w:rsid w:val="00BD0140"/>
    <w:rsid w:val="00BD02CC"/>
    <w:rsid w:val="00BD1675"/>
    <w:rsid w:val="00BD2063"/>
    <w:rsid w:val="00BD33D9"/>
    <w:rsid w:val="00BD38C5"/>
    <w:rsid w:val="00BD3A59"/>
    <w:rsid w:val="00BD3CF1"/>
    <w:rsid w:val="00BD3DEA"/>
    <w:rsid w:val="00BD3E97"/>
    <w:rsid w:val="00BD40E4"/>
    <w:rsid w:val="00BD4563"/>
    <w:rsid w:val="00BD52FE"/>
    <w:rsid w:val="00BD62CF"/>
    <w:rsid w:val="00BD67B2"/>
    <w:rsid w:val="00BD6A07"/>
    <w:rsid w:val="00BD78AB"/>
    <w:rsid w:val="00BD78FE"/>
    <w:rsid w:val="00BD7A91"/>
    <w:rsid w:val="00BD7E01"/>
    <w:rsid w:val="00BE0149"/>
    <w:rsid w:val="00BE0767"/>
    <w:rsid w:val="00BE12D7"/>
    <w:rsid w:val="00BE1372"/>
    <w:rsid w:val="00BE1775"/>
    <w:rsid w:val="00BE17A2"/>
    <w:rsid w:val="00BE18DA"/>
    <w:rsid w:val="00BE26C0"/>
    <w:rsid w:val="00BE3442"/>
    <w:rsid w:val="00BE45DF"/>
    <w:rsid w:val="00BE47B2"/>
    <w:rsid w:val="00BE48C7"/>
    <w:rsid w:val="00BE4F66"/>
    <w:rsid w:val="00BE4F8C"/>
    <w:rsid w:val="00BE5238"/>
    <w:rsid w:val="00BE5D35"/>
    <w:rsid w:val="00BE6074"/>
    <w:rsid w:val="00BE67A2"/>
    <w:rsid w:val="00BE7257"/>
    <w:rsid w:val="00BF020D"/>
    <w:rsid w:val="00BF1DD2"/>
    <w:rsid w:val="00BF23A3"/>
    <w:rsid w:val="00BF28DB"/>
    <w:rsid w:val="00BF2A7E"/>
    <w:rsid w:val="00BF3331"/>
    <w:rsid w:val="00BF3A45"/>
    <w:rsid w:val="00BF436F"/>
    <w:rsid w:val="00BF4EC5"/>
    <w:rsid w:val="00BF5723"/>
    <w:rsid w:val="00BF5C05"/>
    <w:rsid w:val="00BF60C8"/>
    <w:rsid w:val="00BF6FC6"/>
    <w:rsid w:val="00BF73E1"/>
    <w:rsid w:val="00BF7C52"/>
    <w:rsid w:val="00BF7F99"/>
    <w:rsid w:val="00C00713"/>
    <w:rsid w:val="00C009A0"/>
    <w:rsid w:val="00C01BA3"/>
    <w:rsid w:val="00C01F74"/>
    <w:rsid w:val="00C02558"/>
    <w:rsid w:val="00C0285F"/>
    <w:rsid w:val="00C02F35"/>
    <w:rsid w:val="00C03305"/>
    <w:rsid w:val="00C03515"/>
    <w:rsid w:val="00C03738"/>
    <w:rsid w:val="00C037A6"/>
    <w:rsid w:val="00C043F5"/>
    <w:rsid w:val="00C044E3"/>
    <w:rsid w:val="00C047A8"/>
    <w:rsid w:val="00C04BDB"/>
    <w:rsid w:val="00C052C6"/>
    <w:rsid w:val="00C059D4"/>
    <w:rsid w:val="00C05A61"/>
    <w:rsid w:val="00C06CCF"/>
    <w:rsid w:val="00C108B8"/>
    <w:rsid w:val="00C11503"/>
    <w:rsid w:val="00C1159D"/>
    <w:rsid w:val="00C11683"/>
    <w:rsid w:val="00C11798"/>
    <w:rsid w:val="00C118DB"/>
    <w:rsid w:val="00C1233E"/>
    <w:rsid w:val="00C125C1"/>
    <w:rsid w:val="00C12F05"/>
    <w:rsid w:val="00C12FB3"/>
    <w:rsid w:val="00C138BC"/>
    <w:rsid w:val="00C13D85"/>
    <w:rsid w:val="00C14639"/>
    <w:rsid w:val="00C14E82"/>
    <w:rsid w:val="00C14FF6"/>
    <w:rsid w:val="00C150A6"/>
    <w:rsid w:val="00C15A85"/>
    <w:rsid w:val="00C1641B"/>
    <w:rsid w:val="00C165FC"/>
    <w:rsid w:val="00C176D5"/>
    <w:rsid w:val="00C2082C"/>
    <w:rsid w:val="00C20832"/>
    <w:rsid w:val="00C209F7"/>
    <w:rsid w:val="00C20EB0"/>
    <w:rsid w:val="00C21005"/>
    <w:rsid w:val="00C2183B"/>
    <w:rsid w:val="00C220B6"/>
    <w:rsid w:val="00C229E0"/>
    <w:rsid w:val="00C22D7C"/>
    <w:rsid w:val="00C22DDE"/>
    <w:rsid w:val="00C2338B"/>
    <w:rsid w:val="00C233CE"/>
    <w:rsid w:val="00C23661"/>
    <w:rsid w:val="00C236AE"/>
    <w:rsid w:val="00C237DD"/>
    <w:rsid w:val="00C238F4"/>
    <w:rsid w:val="00C23924"/>
    <w:rsid w:val="00C23A99"/>
    <w:rsid w:val="00C245EE"/>
    <w:rsid w:val="00C24AE1"/>
    <w:rsid w:val="00C24B8D"/>
    <w:rsid w:val="00C24BD7"/>
    <w:rsid w:val="00C252CC"/>
    <w:rsid w:val="00C25813"/>
    <w:rsid w:val="00C27143"/>
    <w:rsid w:val="00C27490"/>
    <w:rsid w:val="00C27A55"/>
    <w:rsid w:val="00C27D37"/>
    <w:rsid w:val="00C27FB2"/>
    <w:rsid w:val="00C302E5"/>
    <w:rsid w:val="00C309E8"/>
    <w:rsid w:val="00C32017"/>
    <w:rsid w:val="00C325CD"/>
    <w:rsid w:val="00C3322E"/>
    <w:rsid w:val="00C337F5"/>
    <w:rsid w:val="00C33B90"/>
    <w:rsid w:val="00C34350"/>
    <w:rsid w:val="00C34B5F"/>
    <w:rsid w:val="00C3543E"/>
    <w:rsid w:val="00C358D4"/>
    <w:rsid w:val="00C36785"/>
    <w:rsid w:val="00C36845"/>
    <w:rsid w:val="00C3711C"/>
    <w:rsid w:val="00C37256"/>
    <w:rsid w:val="00C37A7B"/>
    <w:rsid w:val="00C37CFF"/>
    <w:rsid w:val="00C37FFE"/>
    <w:rsid w:val="00C40B50"/>
    <w:rsid w:val="00C41457"/>
    <w:rsid w:val="00C41858"/>
    <w:rsid w:val="00C419E3"/>
    <w:rsid w:val="00C419F4"/>
    <w:rsid w:val="00C41E6A"/>
    <w:rsid w:val="00C421A3"/>
    <w:rsid w:val="00C42247"/>
    <w:rsid w:val="00C439BE"/>
    <w:rsid w:val="00C44E61"/>
    <w:rsid w:val="00C4539B"/>
    <w:rsid w:val="00C45466"/>
    <w:rsid w:val="00C455C1"/>
    <w:rsid w:val="00C4581D"/>
    <w:rsid w:val="00C47472"/>
    <w:rsid w:val="00C47EA5"/>
    <w:rsid w:val="00C500F0"/>
    <w:rsid w:val="00C502BB"/>
    <w:rsid w:val="00C504A7"/>
    <w:rsid w:val="00C506C9"/>
    <w:rsid w:val="00C50A16"/>
    <w:rsid w:val="00C5122B"/>
    <w:rsid w:val="00C51C9A"/>
    <w:rsid w:val="00C51E32"/>
    <w:rsid w:val="00C52428"/>
    <w:rsid w:val="00C52C68"/>
    <w:rsid w:val="00C52D98"/>
    <w:rsid w:val="00C5325C"/>
    <w:rsid w:val="00C53D24"/>
    <w:rsid w:val="00C54640"/>
    <w:rsid w:val="00C547A6"/>
    <w:rsid w:val="00C54A3A"/>
    <w:rsid w:val="00C5503F"/>
    <w:rsid w:val="00C55C32"/>
    <w:rsid w:val="00C56A67"/>
    <w:rsid w:val="00C56CC2"/>
    <w:rsid w:val="00C56EB3"/>
    <w:rsid w:val="00C57498"/>
    <w:rsid w:val="00C5763C"/>
    <w:rsid w:val="00C577CA"/>
    <w:rsid w:val="00C5780C"/>
    <w:rsid w:val="00C5796B"/>
    <w:rsid w:val="00C619A1"/>
    <w:rsid w:val="00C62370"/>
    <w:rsid w:val="00C62545"/>
    <w:rsid w:val="00C62A11"/>
    <w:rsid w:val="00C62BBB"/>
    <w:rsid w:val="00C6305F"/>
    <w:rsid w:val="00C6325B"/>
    <w:rsid w:val="00C63E99"/>
    <w:rsid w:val="00C64161"/>
    <w:rsid w:val="00C641BD"/>
    <w:rsid w:val="00C649B8"/>
    <w:rsid w:val="00C64A64"/>
    <w:rsid w:val="00C65151"/>
    <w:rsid w:val="00C657F4"/>
    <w:rsid w:val="00C66119"/>
    <w:rsid w:val="00C66292"/>
    <w:rsid w:val="00C672A3"/>
    <w:rsid w:val="00C672F1"/>
    <w:rsid w:val="00C673D0"/>
    <w:rsid w:val="00C6742E"/>
    <w:rsid w:val="00C677BE"/>
    <w:rsid w:val="00C70012"/>
    <w:rsid w:val="00C71CBB"/>
    <w:rsid w:val="00C71E2A"/>
    <w:rsid w:val="00C733BA"/>
    <w:rsid w:val="00C74F3F"/>
    <w:rsid w:val="00C760DC"/>
    <w:rsid w:val="00C800AB"/>
    <w:rsid w:val="00C8082B"/>
    <w:rsid w:val="00C81A88"/>
    <w:rsid w:val="00C81AEC"/>
    <w:rsid w:val="00C81D46"/>
    <w:rsid w:val="00C820AD"/>
    <w:rsid w:val="00C82298"/>
    <w:rsid w:val="00C82F91"/>
    <w:rsid w:val="00C833B4"/>
    <w:rsid w:val="00C84284"/>
    <w:rsid w:val="00C84E33"/>
    <w:rsid w:val="00C853E0"/>
    <w:rsid w:val="00C85FFC"/>
    <w:rsid w:val="00C86123"/>
    <w:rsid w:val="00C861FC"/>
    <w:rsid w:val="00C86C87"/>
    <w:rsid w:val="00C8705B"/>
    <w:rsid w:val="00C87090"/>
    <w:rsid w:val="00C9005E"/>
    <w:rsid w:val="00C90111"/>
    <w:rsid w:val="00C90CA9"/>
    <w:rsid w:val="00C915F2"/>
    <w:rsid w:val="00C917B1"/>
    <w:rsid w:val="00C9193C"/>
    <w:rsid w:val="00C91B77"/>
    <w:rsid w:val="00C920E2"/>
    <w:rsid w:val="00C923AA"/>
    <w:rsid w:val="00C93154"/>
    <w:rsid w:val="00C93765"/>
    <w:rsid w:val="00C937BF"/>
    <w:rsid w:val="00C93877"/>
    <w:rsid w:val="00C93D8C"/>
    <w:rsid w:val="00C946CC"/>
    <w:rsid w:val="00C959BD"/>
    <w:rsid w:val="00C95F44"/>
    <w:rsid w:val="00C96D1B"/>
    <w:rsid w:val="00C97106"/>
    <w:rsid w:val="00C97684"/>
    <w:rsid w:val="00CA0031"/>
    <w:rsid w:val="00CA0413"/>
    <w:rsid w:val="00CA043A"/>
    <w:rsid w:val="00CA04F8"/>
    <w:rsid w:val="00CA1691"/>
    <w:rsid w:val="00CA2314"/>
    <w:rsid w:val="00CA2E65"/>
    <w:rsid w:val="00CA2EA1"/>
    <w:rsid w:val="00CA41E7"/>
    <w:rsid w:val="00CA4B2B"/>
    <w:rsid w:val="00CA5520"/>
    <w:rsid w:val="00CA5812"/>
    <w:rsid w:val="00CA5BD4"/>
    <w:rsid w:val="00CA5C14"/>
    <w:rsid w:val="00CA76FC"/>
    <w:rsid w:val="00CA7E7B"/>
    <w:rsid w:val="00CB0236"/>
    <w:rsid w:val="00CB1324"/>
    <w:rsid w:val="00CB19E3"/>
    <w:rsid w:val="00CB2C3A"/>
    <w:rsid w:val="00CB2D38"/>
    <w:rsid w:val="00CB353F"/>
    <w:rsid w:val="00CB4137"/>
    <w:rsid w:val="00CB52D0"/>
    <w:rsid w:val="00CB5578"/>
    <w:rsid w:val="00CB5671"/>
    <w:rsid w:val="00CB591C"/>
    <w:rsid w:val="00CB5943"/>
    <w:rsid w:val="00CB61B3"/>
    <w:rsid w:val="00CB6F83"/>
    <w:rsid w:val="00CB72AE"/>
    <w:rsid w:val="00CB78AD"/>
    <w:rsid w:val="00CC00CD"/>
    <w:rsid w:val="00CC0579"/>
    <w:rsid w:val="00CC0AF3"/>
    <w:rsid w:val="00CC0BC6"/>
    <w:rsid w:val="00CC0E68"/>
    <w:rsid w:val="00CC21AC"/>
    <w:rsid w:val="00CC2514"/>
    <w:rsid w:val="00CC2756"/>
    <w:rsid w:val="00CC2F69"/>
    <w:rsid w:val="00CC315F"/>
    <w:rsid w:val="00CC3D38"/>
    <w:rsid w:val="00CC404B"/>
    <w:rsid w:val="00CC40C3"/>
    <w:rsid w:val="00CC4E5D"/>
    <w:rsid w:val="00CC50AE"/>
    <w:rsid w:val="00CC5864"/>
    <w:rsid w:val="00CC61B7"/>
    <w:rsid w:val="00CC61CA"/>
    <w:rsid w:val="00CC6668"/>
    <w:rsid w:val="00CC69EC"/>
    <w:rsid w:val="00CC71D3"/>
    <w:rsid w:val="00CC743D"/>
    <w:rsid w:val="00CC7E86"/>
    <w:rsid w:val="00CD050A"/>
    <w:rsid w:val="00CD205D"/>
    <w:rsid w:val="00CD2A22"/>
    <w:rsid w:val="00CD2B50"/>
    <w:rsid w:val="00CD3AD3"/>
    <w:rsid w:val="00CD41FE"/>
    <w:rsid w:val="00CD4506"/>
    <w:rsid w:val="00CD520B"/>
    <w:rsid w:val="00CD592E"/>
    <w:rsid w:val="00CD5982"/>
    <w:rsid w:val="00CD5A1A"/>
    <w:rsid w:val="00CD6054"/>
    <w:rsid w:val="00CD7EFA"/>
    <w:rsid w:val="00CE020E"/>
    <w:rsid w:val="00CE0566"/>
    <w:rsid w:val="00CE16A9"/>
    <w:rsid w:val="00CE1CD4"/>
    <w:rsid w:val="00CE23FE"/>
    <w:rsid w:val="00CE2761"/>
    <w:rsid w:val="00CE2A62"/>
    <w:rsid w:val="00CE2B49"/>
    <w:rsid w:val="00CE314E"/>
    <w:rsid w:val="00CE3D5C"/>
    <w:rsid w:val="00CE3E14"/>
    <w:rsid w:val="00CE44C7"/>
    <w:rsid w:val="00CE53CC"/>
    <w:rsid w:val="00CE65A7"/>
    <w:rsid w:val="00CE68FE"/>
    <w:rsid w:val="00CE69CC"/>
    <w:rsid w:val="00CE6EC4"/>
    <w:rsid w:val="00CE7A77"/>
    <w:rsid w:val="00CE7F26"/>
    <w:rsid w:val="00CE7FBF"/>
    <w:rsid w:val="00CF1226"/>
    <w:rsid w:val="00CF16C0"/>
    <w:rsid w:val="00CF1ABB"/>
    <w:rsid w:val="00CF1E1D"/>
    <w:rsid w:val="00CF24FE"/>
    <w:rsid w:val="00CF35D0"/>
    <w:rsid w:val="00CF3DD5"/>
    <w:rsid w:val="00CF41D5"/>
    <w:rsid w:val="00CF4897"/>
    <w:rsid w:val="00CF4AF7"/>
    <w:rsid w:val="00CF4D20"/>
    <w:rsid w:val="00CF55DF"/>
    <w:rsid w:val="00CF6180"/>
    <w:rsid w:val="00CF64F6"/>
    <w:rsid w:val="00CF73F8"/>
    <w:rsid w:val="00CF7928"/>
    <w:rsid w:val="00CF7CA2"/>
    <w:rsid w:val="00D00A8E"/>
    <w:rsid w:val="00D00DE0"/>
    <w:rsid w:val="00D00F79"/>
    <w:rsid w:val="00D012BF"/>
    <w:rsid w:val="00D01760"/>
    <w:rsid w:val="00D0368E"/>
    <w:rsid w:val="00D03D2D"/>
    <w:rsid w:val="00D03E7B"/>
    <w:rsid w:val="00D0401A"/>
    <w:rsid w:val="00D04750"/>
    <w:rsid w:val="00D047E0"/>
    <w:rsid w:val="00D04B9F"/>
    <w:rsid w:val="00D04FFB"/>
    <w:rsid w:val="00D05153"/>
    <w:rsid w:val="00D058E9"/>
    <w:rsid w:val="00D0612A"/>
    <w:rsid w:val="00D06A0E"/>
    <w:rsid w:val="00D06D40"/>
    <w:rsid w:val="00D1060D"/>
    <w:rsid w:val="00D10E7C"/>
    <w:rsid w:val="00D11182"/>
    <w:rsid w:val="00D1137B"/>
    <w:rsid w:val="00D11807"/>
    <w:rsid w:val="00D11DB3"/>
    <w:rsid w:val="00D12D82"/>
    <w:rsid w:val="00D1306E"/>
    <w:rsid w:val="00D134CD"/>
    <w:rsid w:val="00D13CE5"/>
    <w:rsid w:val="00D13D98"/>
    <w:rsid w:val="00D14B5F"/>
    <w:rsid w:val="00D14E13"/>
    <w:rsid w:val="00D14F23"/>
    <w:rsid w:val="00D15356"/>
    <w:rsid w:val="00D16054"/>
    <w:rsid w:val="00D160AA"/>
    <w:rsid w:val="00D16740"/>
    <w:rsid w:val="00D16A8B"/>
    <w:rsid w:val="00D16E39"/>
    <w:rsid w:val="00D17951"/>
    <w:rsid w:val="00D17AD8"/>
    <w:rsid w:val="00D17B53"/>
    <w:rsid w:val="00D2104A"/>
    <w:rsid w:val="00D21302"/>
    <w:rsid w:val="00D213F1"/>
    <w:rsid w:val="00D21BB5"/>
    <w:rsid w:val="00D21FFC"/>
    <w:rsid w:val="00D223A3"/>
    <w:rsid w:val="00D223B6"/>
    <w:rsid w:val="00D223E8"/>
    <w:rsid w:val="00D22DC8"/>
    <w:rsid w:val="00D24ECD"/>
    <w:rsid w:val="00D2522A"/>
    <w:rsid w:val="00D2531C"/>
    <w:rsid w:val="00D255F3"/>
    <w:rsid w:val="00D26C21"/>
    <w:rsid w:val="00D2742F"/>
    <w:rsid w:val="00D2754F"/>
    <w:rsid w:val="00D27912"/>
    <w:rsid w:val="00D279D9"/>
    <w:rsid w:val="00D312DC"/>
    <w:rsid w:val="00D31B84"/>
    <w:rsid w:val="00D31C6A"/>
    <w:rsid w:val="00D31EDF"/>
    <w:rsid w:val="00D31FF9"/>
    <w:rsid w:val="00D32149"/>
    <w:rsid w:val="00D32256"/>
    <w:rsid w:val="00D32A27"/>
    <w:rsid w:val="00D32ABC"/>
    <w:rsid w:val="00D33010"/>
    <w:rsid w:val="00D34B25"/>
    <w:rsid w:val="00D34F4E"/>
    <w:rsid w:val="00D35753"/>
    <w:rsid w:val="00D357F3"/>
    <w:rsid w:val="00D35C0E"/>
    <w:rsid w:val="00D373A8"/>
    <w:rsid w:val="00D375FF"/>
    <w:rsid w:val="00D379A5"/>
    <w:rsid w:val="00D401BE"/>
    <w:rsid w:val="00D4043A"/>
    <w:rsid w:val="00D40A8E"/>
    <w:rsid w:val="00D40AB0"/>
    <w:rsid w:val="00D40DB0"/>
    <w:rsid w:val="00D40F8B"/>
    <w:rsid w:val="00D41858"/>
    <w:rsid w:val="00D41D4B"/>
    <w:rsid w:val="00D422DB"/>
    <w:rsid w:val="00D42A83"/>
    <w:rsid w:val="00D42AC2"/>
    <w:rsid w:val="00D4498E"/>
    <w:rsid w:val="00D4515F"/>
    <w:rsid w:val="00D451E8"/>
    <w:rsid w:val="00D45B21"/>
    <w:rsid w:val="00D4636B"/>
    <w:rsid w:val="00D466C9"/>
    <w:rsid w:val="00D467D8"/>
    <w:rsid w:val="00D47275"/>
    <w:rsid w:val="00D4767B"/>
    <w:rsid w:val="00D50AEF"/>
    <w:rsid w:val="00D50C39"/>
    <w:rsid w:val="00D51E15"/>
    <w:rsid w:val="00D52B7E"/>
    <w:rsid w:val="00D52E2F"/>
    <w:rsid w:val="00D52F59"/>
    <w:rsid w:val="00D53E3E"/>
    <w:rsid w:val="00D55279"/>
    <w:rsid w:val="00D55904"/>
    <w:rsid w:val="00D5616F"/>
    <w:rsid w:val="00D57940"/>
    <w:rsid w:val="00D60327"/>
    <w:rsid w:val="00D61526"/>
    <w:rsid w:val="00D61F81"/>
    <w:rsid w:val="00D623A9"/>
    <w:rsid w:val="00D62BE6"/>
    <w:rsid w:val="00D630E3"/>
    <w:rsid w:val="00D633AC"/>
    <w:rsid w:val="00D63766"/>
    <w:rsid w:val="00D63912"/>
    <w:rsid w:val="00D63923"/>
    <w:rsid w:val="00D6451B"/>
    <w:rsid w:val="00D64B57"/>
    <w:rsid w:val="00D65DEA"/>
    <w:rsid w:val="00D65DFE"/>
    <w:rsid w:val="00D67BC7"/>
    <w:rsid w:val="00D701F1"/>
    <w:rsid w:val="00D705D3"/>
    <w:rsid w:val="00D70E00"/>
    <w:rsid w:val="00D71014"/>
    <w:rsid w:val="00D715AC"/>
    <w:rsid w:val="00D71851"/>
    <w:rsid w:val="00D718CF"/>
    <w:rsid w:val="00D728F5"/>
    <w:rsid w:val="00D72E9D"/>
    <w:rsid w:val="00D73249"/>
    <w:rsid w:val="00D73419"/>
    <w:rsid w:val="00D73CA9"/>
    <w:rsid w:val="00D7481A"/>
    <w:rsid w:val="00D751B7"/>
    <w:rsid w:val="00D7524B"/>
    <w:rsid w:val="00D75396"/>
    <w:rsid w:val="00D759C0"/>
    <w:rsid w:val="00D75C05"/>
    <w:rsid w:val="00D75E99"/>
    <w:rsid w:val="00D766C7"/>
    <w:rsid w:val="00D76901"/>
    <w:rsid w:val="00D7692B"/>
    <w:rsid w:val="00D76A19"/>
    <w:rsid w:val="00D76CBD"/>
    <w:rsid w:val="00D7734F"/>
    <w:rsid w:val="00D8044C"/>
    <w:rsid w:val="00D805D6"/>
    <w:rsid w:val="00D8075E"/>
    <w:rsid w:val="00D80860"/>
    <w:rsid w:val="00D80D4C"/>
    <w:rsid w:val="00D8166D"/>
    <w:rsid w:val="00D81718"/>
    <w:rsid w:val="00D8184D"/>
    <w:rsid w:val="00D81A7B"/>
    <w:rsid w:val="00D8223C"/>
    <w:rsid w:val="00D82B57"/>
    <w:rsid w:val="00D82CE5"/>
    <w:rsid w:val="00D8342C"/>
    <w:rsid w:val="00D85494"/>
    <w:rsid w:val="00D8582C"/>
    <w:rsid w:val="00D85D61"/>
    <w:rsid w:val="00D8616D"/>
    <w:rsid w:val="00D8711B"/>
    <w:rsid w:val="00D87384"/>
    <w:rsid w:val="00D90683"/>
    <w:rsid w:val="00D91570"/>
    <w:rsid w:val="00D915C8"/>
    <w:rsid w:val="00D92251"/>
    <w:rsid w:val="00D9261C"/>
    <w:rsid w:val="00D9310B"/>
    <w:rsid w:val="00D93299"/>
    <w:rsid w:val="00D93726"/>
    <w:rsid w:val="00D93DD3"/>
    <w:rsid w:val="00D93F3E"/>
    <w:rsid w:val="00D9405B"/>
    <w:rsid w:val="00D94942"/>
    <w:rsid w:val="00D95145"/>
    <w:rsid w:val="00D967CB"/>
    <w:rsid w:val="00D96EE0"/>
    <w:rsid w:val="00D97BD1"/>
    <w:rsid w:val="00DA06B8"/>
    <w:rsid w:val="00DA286D"/>
    <w:rsid w:val="00DA2969"/>
    <w:rsid w:val="00DA29B7"/>
    <w:rsid w:val="00DA41EB"/>
    <w:rsid w:val="00DA4842"/>
    <w:rsid w:val="00DA5989"/>
    <w:rsid w:val="00DA5AB1"/>
    <w:rsid w:val="00DA5F9D"/>
    <w:rsid w:val="00DA69B2"/>
    <w:rsid w:val="00DA6A7B"/>
    <w:rsid w:val="00DA735F"/>
    <w:rsid w:val="00DA7462"/>
    <w:rsid w:val="00DA777E"/>
    <w:rsid w:val="00DA7AD0"/>
    <w:rsid w:val="00DB02D7"/>
    <w:rsid w:val="00DB03CC"/>
    <w:rsid w:val="00DB12D4"/>
    <w:rsid w:val="00DB14F0"/>
    <w:rsid w:val="00DB1745"/>
    <w:rsid w:val="00DB1AFF"/>
    <w:rsid w:val="00DB219A"/>
    <w:rsid w:val="00DB3165"/>
    <w:rsid w:val="00DB4292"/>
    <w:rsid w:val="00DB5196"/>
    <w:rsid w:val="00DB5C03"/>
    <w:rsid w:val="00DB68BB"/>
    <w:rsid w:val="00DB6E46"/>
    <w:rsid w:val="00DB7117"/>
    <w:rsid w:val="00DB7760"/>
    <w:rsid w:val="00DB7DD4"/>
    <w:rsid w:val="00DB7E44"/>
    <w:rsid w:val="00DC00B4"/>
    <w:rsid w:val="00DC037A"/>
    <w:rsid w:val="00DC0954"/>
    <w:rsid w:val="00DC15BA"/>
    <w:rsid w:val="00DC18CD"/>
    <w:rsid w:val="00DC1A68"/>
    <w:rsid w:val="00DC30B8"/>
    <w:rsid w:val="00DC32C6"/>
    <w:rsid w:val="00DC3720"/>
    <w:rsid w:val="00DC478F"/>
    <w:rsid w:val="00DC62E5"/>
    <w:rsid w:val="00DC6AB9"/>
    <w:rsid w:val="00DC6F33"/>
    <w:rsid w:val="00DC729E"/>
    <w:rsid w:val="00DC7349"/>
    <w:rsid w:val="00DD118B"/>
    <w:rsid w:val="00DD14D8"/>
    <w:rsid w:val="00DD1599"/>
    <w:rsid w:val="00DD177F"/>
    <w:rsid w:val="00DD1B03"/>
    <w:rsid w:val="00DD2772"/>
    <w:rsid w:val="00DD2A62"/>
    <w:rsid w:val="00DD2F2F"/>
    <w:rsid w:val="00DD2F7A"/>
    <w:rsid w:val="00DD3885"/>
    <w:rsid w:val="00DD5056"/>
    <w:rsid w:val="00DD5808"/>
    <w:rsid w:val="00DD5946"/>
    <w:rsid w:val="00DD5B04"/>
    <w:rsid w:val="00DD5DAE"/>
    <w:rsid w:val="00DD5EC6"/>
    <w:rsid w:val="00DD605F"/>
    <w:rsid w:val="00DD6657"/>
    <w:rsid w:val="00DD6D71"/>
    <w:rsid w:val="00DD7236"/>
    <w:rsid w:val="00DD72A0"/>
    <w:rsid w:val="00DD735D"/>
    <w:rsid w:val="00DE0159"/>
    <w:rsid w:val="00DE04C7"/>
    <w:rsid w:val="00DE064A"/>
    <w:rsid w:val="00DE0755"/>
    <w:rsid w:val="00DE082D"/>
    <w:rsid w:val="00DE1410"/>
    <w:rsid w:val="00DE1ED0"/>
    <w:rsid w:val="00DE3119"/>
    <w:rsid w:val="00DE3F23"/>
    <w:rsid w:val="00DE3FF0"/>
    <w:rsid w:val="00DE4105"/>
    <w:rsid w:val="00DE5189"/>
    <w:rsid w:val="00DE6230"/>
    <w:rsid w:val="00DE7108"/>
    <w:rsid w:val="00DE78D1"/>
    <w:rsid w:val="00DF0263"/>
    <w:rsid w:val="00DF0EB4"/>
    <w:rsid w:val="00DF1E36"/>
    <w:rsid w:val="00DF1FDB"/>
    <w:rsid w:val="00DF236B"/>
    <w:rsid w:val="00DF2A91"/>
    <w:rsid w:val="00DF2F82"/>
    <w:rsid w:val="00DF3747"/>
    <w:rsid w:val="00DF3889"/>
    <w:rsid w:val="00DF3C32"/>
    <w:rsid w:val="00DF3CC9"/>
    <w:rsid w:val="00DF4451"/>
    <w:rsid w:val="00DF49FF"/>
    <w:rsid w:val="00DF4FFB"/>
    <w:rsid w:val="00DF5236"/>
    <w:rsid w:val="00DF5D32"/>
    <w:rsid w:val="00DF651F"/>
    <w:rsid w:val="00DF6E10"/>
    <w:rsid w:val="00DF6F43"/>
    <w:rsid w:val="00DF752F"/>
    <w:rsid w:val="00DF76A2"/>
    <w:rsid w:val="00DF7B33"/>
    <w:rsid w:val="00E00B7A"/>
    <w:rsid w:val="00E02186"/>
    <w:rsid w:val="00E026BB"/>
    <w:rsid w:val="00E027C5"/>
    <w:rsid w:val="00E03124"/>
    <w:rsid w:val="00E031EB"/>
    <w:rsid w:val="00E03951"/>
    <w:rsid w:val="00E03DB8"/>
    <w:rsid w:val="00E057BA"/>
    <w:rsid w:val="00E05E70"/>
    <w:rsid w:val="00E0631A"/>
    <w:rsid w:val="00E064BC"/>
    <w:rsid w:val="00E07225"/>
    <w:rsid w:val="00E07AAA"/>
    <w:rsid w:val="00E07B7A"/>
    <w:rsid w:val="00E1002B"/>
    <w:rsid w:val="00E1079C"/>
    <w:rsid w:val="00E109DD"/>
    <w:rsid w:val="00E11229"/>
    <w:rsid w:val="00E114CA"/>
    <w:rsid w:val="00E11CF0"/>
    <w:rsid w:val="00E12E62"/>
    <w:rsid w:val="00E132D5"/>
    <w:rsid w:val="00E1397F"/>
    <w:rsid w:val="00E13AB8"/>
    <w:rsid w:val="00E13D8F"/>
    <w:rsid w:val="00E1482E"/>
    <w:rsid w:val="00E155D3"/>
    <w:rsid w:val="00E16382"/>
    <w:rsid w:val="00E16572"/>
    <w:rsid w:val="00E1699C"/>
    <w:rsid w:val="00E16E75"/>
    <w:rsid w:val="00E1746D"/>
    <w:rsid w:val="00E2012A"/>
    <w:rsid w:val="00E205A2"/>
    <w:rsid w:val="00E20BA4"/>
    <w:rsid w:val="00E20C24"/>
    <w:rsid w:val="00E22F82"/>
    <w:rsid w:val="00E23137"/>
    <w:rsid w:val="00E231B0"/>
    <w:rsid w:val="00E23980"/>
    <w:rsid w:val="00E241E9"/>
    <w:rsid w:val="00E2510E"/>
    <w:rsid w:val="00E2520A"/>
    <w:rsid w:val="00E253EB"/>
    <w:rsid w:val="00E257C3"/>
    <w:rsid w:val="00E25CB3"/>
    <w:rsid w:val="00E25DA4"/>
    <w:rsid w:val="00E25DBC"/>
    <w:rsid w:val="00E26CB8"/>
    <w:rsid w:val="00E26FCF"/>
    <w:rsid w:val="00E27165"/>
    <w:rsid w:val="00E27226"/>
    <w:rsid w:val="00E3044A"/>
    <w:rsid w:val="00E3189C"/>
    <w:rsid w:val="00E31A4A"/>
    <w:rsid w:val="00E31C43"/>
    <w:rsid w:val="00E32206"/>
    <w:rsid w:val="00E32DD5"/>
    <w:rsid w:val="00E32FA8"/>
    <w:rsid w:val="00E3344A"/>
    <w:rsid w:val="00E33B29"/>
    <w:rsid w:val="00E33B62"/>
    <w:rsid w:val="00E3403D"/>
    <w:rsid w:val="00E34E6C"/>
    <w:rsid w:val="00E350D8"/>
    <w:rsid w:val="00E353E2"/>
    <w:rsid w:val="00E36345"/>
    <w:rsid w:val="00E367A6"/>
    <w:rsid w:val="00E36C86"/>
    <w:rsid w:val="00E36CEB"/>
    <w:rsid w:val="00E37A28"/>
    <w:rsid w:val="00E40430"/>
    <w:rsid w:val="00E40690"/>
    <w:rsid w:val="00E40AEB"/>
    <w:rsid w:val="00E4143A"/>
    <w:rsid w:val="00E41A5D"/>
    <w:rsid w:val="00E424C8"/>
    <w:rsid w:val="00E4251D"/>
    <w:rsid w:val="00E42F41"/>
    <w:rsid w:val="00E43D00"/>
    <w:rsid w:val="00E44128"/>
    <w:rsid w:val="00E445E4"/>
    <w:rsid w:val="00E457CB"/>
    <w:rsid w:val="00E45D47"/>
    <w:rsid w:val="00E45DE4"/>
    <w:rsid w:val="00E45E63"/>
    <w:rsid w:val="00E46D10"/>
    <w:rsid w:val="00E50A7B"/>
    <w:rsid w:val="00E50B0B"/>
    <w:rsid w:val="00E510FE"/>
    <w:rsid w:val="00E51E25"/>
    <w:rsid w:val="00E5205B"/>
    <w:rsid w:val="00E521AE"/>
    <w:rsid w:val="00E52C99"/>
    <w:rsid w:val="00E53BCA"/>
    <w:rsid w:val="00E53F02"/>
    <w:rsid w:val="00E54534"/>
    <w:rsid w:val="00E548C3"/>
    <w:rsid w:val="00E54DA0"/>
    <w:rsid w:val="00E54F27"/>
    <w:rsid w:val="00E556F5"/>
    <w:rsid w:val="00E55FF1"/>
    <w:rsid w:val="00E56090"/>
    <w:rsid w:val="00E565B9"/>
    <w:rsid w:val="00E5733B"/>
    <w:rsid w:val="00E5756C"/>
    <w:rsid w:val="00E601BE"/>
    <w:rsid w:val="00E60B5F"/>
    <w:rsid w:val="00E613AE"/>
    <w:rsid w:val="00E61429"/>
    <w:rsid w:val="00E61ABB"/>
    <w:rsid w:val="00E61FD7"/>
    <w:rsid w:val="00E623E6"/>
    <w:rsid w:val="00E630C0"/>
    <w:rsid w:val="00E63107"/>
    <w:rsid w:val="00E634E6"/>
    <w:rsid w:val="00E63DCE"/>
    <w:rsid w:val="00E64700"/>
    <w:rsid w:val="00E64E0B"/>
    <w:rsid w:val="00E65074"/>
    <w:rsid w:val="00E65E70"/>
    <w:rsid w:val="00E65EE9"/>
    <w:rsid w:val="00E66087"/>
    <w:rsid w:val="00E66D79"/>
    <w:rsid w:val="00E66FF9"/>
    <w:rsid w:val="00E67856"/>
    <w:rsid w:val="00E679C8"/>
    <w:rsid w:val="00E70314"/>
    <w:rsid w:val="00E70FCD"/>
    <w:rsid w:val="00E724E7"/>
    <w:rsid w:val="00E729DC"/>
    <w:rsid w:val="00E72B41"/>
    <w:rsid w:val="00E7343E"/>
    <w:rsid w:val="00E7347B"/>
    <w:rsid w:val="00E73D03"/>
    <w:rsid w:val="00E7471C"/>
    <w:rsid w:val="00E7498A"/>
    <w:rsid w:val="00E7514E"/>
    <w:rsid w:val="00E75B34"/>
    <w:rsid w:val="00E77523"/>
    <w:rsid w:val="00E77AF5"/>
    <w:rsid w:val="00E8029A"/>
    <w:rsid w:val="00E803A6"/>
    <w:rsid w:val="00E81653"/>
    <w:rsid w:val="00E823F9"/>
    <w:rsid w:val="00E82C1F"/>
    <w:rsid w:val="00E82EEA"/>
    <w:rsid w:val="00E83671"/>
    <w:rsid w:val="00E8414B"/>
    <w:rsid w:val="00E84A71"/>
    <w:rsid w:val="00E8544B"/>
    <w:rsid w:val="00E8554E"/>
    <w:rsid w:val="00E86556"/>
    <w:rsid w:val="00E86798"/>
    <w:rsid w:val="00E86D35"/>
    <w:rsid w:val="00E86DC2"/>
    <w:rsid w:val="00E86E32"/>
    <w:rsid w:val="00E8732E"/>
    <w:rsid w:val="00E9011F"/>
    <w:rsid w:val="00E906EB"/>
    <w:rsid w:val="00E913F9"/>
    <w:rsid w:val="00E9241E"/>
    <w:rsid w:val="00E92460"/>
    <w:rsid w:val="00E92E62"/>
    <w:rsid w:val="00E92E8B"/>
    <w:rsid w:val="00E93804"/>
    <w:rsid w:val="00E93A86"/>
    <w:rsid w:val="00E941AA"/>
    <w:rsid w:val="00E95434"/>
    <w:rsid w:val="00E96467"/>
    <w:rsid w:val="00E966DA"/>
    <w:rsid w:val="00E96948"/>
    <w:rsid w:val="00E9737B"/>
    <w:rsid w:val="00E97A3F"/>
    <w:rsid w:val="00E97F0A"/>
    <w:rsid w:val="00EA0100"/>
    <w:rsid w:val="00EA010D"/>
    <w:rsid w:val="00EA04DC"/>
    <w:rsid w:val="00EA0886"/>
    <w:rsid w:val="00EA0BCE"/>
    <w:rsid w:val="00EA2726"/>
    <w:rsid w:val="00EA2744"/>
    <w:rsid w:val="00EA2937"/>
    <w:rsid w:val="00EA37B9"/>
    <w:rsid w:val="00EA39F7"/>
    <w:rsid w:val="00EA3B27"/>
    <w:rsid w:val="00EA3DC2"/>
    <w:rsid w:val="00EA434E"/>
    <w:rsid w:val="00EA4757"/>
    <w:rsid w:val="00EA51FF"/>
    <w:rsid w:val="00EA53D3"/>
    <w:rsid w:val="00EA560B"/>
    <w:rsid w:val="00EA5669"/>
    <w:rsid w:val="00EA5C05"/>
    <w:rsid w:val="00EA63EF"/>
    <w:rsid w:val="00EA6750"/>
    <w:rsid w:val="00EB0A89"/>
    <w:rsid w:val="00EB0B22"/>
    <w:rsid w:val="00EB1573"/>
    <w:rsid w:val="00EB1650"/>
    <w:rsid w:val="00EB17CA"/>
    <w:rsid w:val="00EB1910"/>
    <w:rsid w:val="00EB1D24"/>
    <w:rsid w:val="00EB209B"/>
    <w:rsid w:val="00EB2E97"/>
    <w:rsid w:val="00EB3416"/>
    <w:rsid w:val="00EB4AE1"/>
    <w:rsid w:val="00EB52F4"/>
    <w:rsid w:val="00EB5694"/>
    <w:rsid w:val="00EB5779"/>
    <w:rsid w:val="00EB6098"/>
    <w:rsid w:val="00EB65ED"/>
    <w:rsid w:val="00EB67F1"/>
    <w:rsid w:val="00EB72CD"/>
    <w:rsid w:val="00EB749A"/>
    <w:rsid w:val="00EB76B6"/>
    <w:rsid w:val="00EB7D8A"/>
    <w:rsid w:val="00EC05E2"/>
    <w:rsid w:val="00EC08AF"/>
    <w:rsid w:val="00EC0B29"/>
    <w:rsid w:val="00EC0E84"/>
    <w:rsid w:val="00EC16E2"/>
    <w:rsid w:val="00EC1CE7"/>
    <w:rsid w:val="00EC2497"/>
    <w:rsid w:val="00EC26F1"/>
    <w:rsid w:val="00EC346B"/>
    <w:rsid w:val="00EC36B1"/>
    <w:rsid w:val="00EC3C94"/>
    <w:rsid w:val="00EC44DF"/>
    <w:rsid w:val="00EC4AB1"/>
    <w:rsid w:val="00EC4EFB"/>
    <w:rsid w:val="00EC4FB9"/>
    <w:rsid w:val="00EC5310"/>
    <w:rsid w:val="00EC5393"/>
    <w:rsid w:val="00EC5741"/>
    <w:rsid w:val="00EC5ACE"/>
    <w:rsid w:val="00EC5DA3"/>
    <w:rsid w:val="00EC6014"/>
    <w:rsid w:val="00EC6B3E"/>
    <w:rsid w:val="00EC6D8D"/>
    <w:rsid w:val="00EC71C7"/>
    <w:rsid w:val="00EC73DE"/>
    <w:rsid w:val="00EC7637"/>
    <w:rsid w:val="00EC7B63"/>
    <w:rsid w:val="00EC7CF2"/>
    <w:rsid w:val="00ED046B"/>
    <w:rsid w:val="00ED046C"/>
    <w:rsid w:val="00ED053A"/>
    <w:rsid w:val="00ED1F03"/>
    <w:rsid w:val="00ED2D27"/>
    <w:rsid w:val="00ED3347"/>
    <w:rsid w:val="00ED38FD"/>
    <w:rsid w:val="00ED3954"/>
    <w:rsid w:val="00ED4048"/>
    <w:rsid w:val="00ED43A2"/>
    <w:rsid w:val="00ED4967"/>
    <w:rsid w:val="00ED4EC8"/>
    <w:rsid w:val="00ED510D"/>
    <w:rsid w:val="00ED5140"/>
    <w:rsid w:val="00ED522A"/>
    <w:rsid w:val="00ED538C"/>
    <w:rsid w:val="00ED5771"/>
    <w:rsid w:val="00ED587F"/>
    <w:rsid w:val="00ED5964"/>
    <w:rsid w:val="00ED623F"/>
    <w:rsid w:val="00ED69BA"/>
    <w:rsid w:val="00ED72E9"/>
    <w:rsid w:val="00ED732E"/>
    <w:rsid w:val="00ED77F0"/>
    <w:rsid w:val="00ED7FBC"/>
    <w:rsid w:val="00EE0253"/>
    <w:rsid w:val="00EE0297"/>
    <w:rsid w:val="00EE0789"/>
    <w:rsid w:val="00EE0B63"/>
    <w:rsid w:val="00EE1258"/>
    <w:rsid w:val="00EE13DA"/>
    <w:rsid w:val="00EE162F"/>
    <w:rsid w:val="00EE1668"/>
    <w:rsid w:val="00EE1CE5"/>
    <w:rsid w:val="00EE366D"/>
    <w:rsid w:val="00EE3F96"/>
    <w:rsid w:val="00EE5350"/>
    <w:rsid w:val="00EE5454"/>
    <w:rsid w:val="00EE570D"/>
    <w:rsid w:val="00EE58B8"/>
    <w:rsid w:val="00EE59B5"/>
    <w:rsid w:val="00EE5CF6"/>
    <w:rsid w:val="00EE5D1D"/>
    <w:rsid w:val="00EE5FB7"/>
    <w:rsid w:val="00EE666A"/>
    <w:rsid w:val="00EE6A1A"/>
    <w:rsid w:val="00EE79E7"/>
    <w:rsid w:val="00EE7B54"/>
    <w:rsid w:val="00EE7C88"/>
    <w:rsid w:val="00EE7C8B"/>
    <w:rsid w:val="00EF0209"/>
    <w:rsid w:val="00EF0EA4"/>
    <w:rsid w:val="00EF1E97"/>
    <w:rsid w:val="00EF2436"/>
    <w:rsid w:val="00EF2547"/>
    <w:rsid w:val="00EF2B2B"/>
    <w:rsid w:val="00EF2E1C"/>
    <w:rsid w:val="00EF2FD6"/>
    <w:rsid w:val="00EF326A"/>
    <w:rsid w:val="00EF427A"/>
    <w:rsid w:val="00EF45DF"/>
    <w:rsid w:val="00EF4952"/>
    <w:rsid w:val="00EF498F"/>
    <w:rsid w:val="00EF4A42"/>
    <w:rsid w:val="00EF510C"/>
    <w:rsid w:val="00EF55C4"/>
    <w:rsid w:val="00EF57BC"/>
    <w:rsid w:val="00EF5FD2"/>
    <w:rsid w:val="00EF6784"/>
    <w:rsid w:val="00EF688A"/>
    <w:rsid w:val="00EF6A03"/>
    <w:rsid w:val="00EF6DC2"/>
    <w:rsid w:val="00EF7BF4"/>
    <w:rsid w:val="00F0030F"/>
    <w:rsid w:val="00F00674"/>
    <w:rsid w:val="00F01657"/>
    <w:rsid w:val="00F01E67"/>
    <w:rsid w:val="00F021B7"/>
    <w:rsid w:val="00F02744"/>
    <w:rsid w:val="00F02BFD"/>
    <w:rsid w:val="00F02D25"/>
    <w:rsid w:val="00F0435D"/>
    <w:rsid w:val="00F04580"/>
    <w:rsid w:val="00F047E7"/>
    <w:rsid w:val="00F04ECA"/>
    <w:rsid w:val="00F05DC2"/>
    <w:rsid w:val="00F06E19"/>
    <w:rsid w:val="00F06F84"/>
    <w:rsid w:val="00F076E7"/>
    <w:rsid w:val="00F07AA1"/>
    <w:rsid w:val="00F105AE"/>
    <w:rsid w:val="00F10618"/>
    <w:rsid w:val="00F1108B"/>
    <w:rsid w:val="00F11768"/>
    <w:rsid w:val="00F11951"/>
    <w:rsid w:val="00F11BA8"/>
    <w:rsid w:val="00F12259"/>
    <w:rsid w:val="00F12262"/>
    <w:rsid w:val="00F12AF8"/>
    <w:rsid w:val="00F12C52"/>
    <w:rsid w:val="00F14352"/>
    <w:rsid w:val="00F148B7"/>
    <w:rsid w:val="00F14BE9"/>
    <w:rsid w:val="00F14EA9"/>
    <w:rsid w:val="00F15505"/>
    <w:rsid w:val="00F15BFF"/>
    <w:rsid w:val="00F17105"/>
    <w:rsid w:val="00F20A0B"/>
    <w:rsid w:val="00F213A0"/>
    <w:rsid w:val="00F217AB"/>
    <w:rsid w:val="00F21A51"/>
    <w:rsid w:val="00F21D54"/>
    <w:rsid w:val="00F21D6D"/>
    <w:rsid w:val="00F21EF4"/>
    <w:rsid w:val="00F227B8"/>
    <w:rsid w:val="00F23113"/>
    <w:rsid w:val="00F23255"/>
    <w:rsid w:val="00F23393"/>
    <w:rsid w:val="00F23759"/>
    <w:rsid w:val="00F23CB5"/>
    <w:rsid w:val="00F245A1"/>
    <w:rsid w:val="00F24644"/>
    <w:rsid w:val="00F24ABF"/>
    <w:rsid w:val="00F256FD"/>
    <w:rsid w:val="00F259F1"/>
    <w:rsid w:val="00F26F33"/>
    <w:rsid w:val="00F27E74"/>
    <w:rsid w:val="00F300A8"/>
    <w:rsid w:val="00F30265"/>
    <w:rsid w:val="00F30400"/>
    <w:rsid w:val="00F3079E"/>
    <w:rsid w:val="00F32C50"/>
    <w:rsid w:val="00F33980"/>
    <w:rsid w:val="00F3399B"/>
    <w:rsid w:val="00F33C1A"/>
    <w:rsid w:val="00F3461B"/>
    <w:rsid w:val="00F346ED"/>
    <w:rsid w:val="00F34945"/>
    <w:rsid w:val="00F34E1E"/>
    <w:rsid w:val="00F351E8"/>
    <w:rsid w:val="00F3570C"/>
    <w:rsid w:val="00F368FF"/>
    <w:rsid w:val="00F37068"/>
    <w:rsid w:val="00F37F3F"/>
    <w:rsid w:val="00F40201"/>
    <w:rsid w:val="00F404A9"/>
    <w:rsid w:val="00F40992"/>
    <w:rsid w:val="00F40A99"/>
    <w:rsid w:val="00F40AEC"/>
    <w:rsid w:val="00F412DF"/>
    <w:rsid w:val="00F41596"/>
    <w:rsid w:val="00F41D8B"/>
    <w:rsid w:val="00F42121"/>
    <w:rsid w:val="00F424B3"/>
    <w:rsid w:val="00F428B1"/>
    <w:rsid w:val="00F428B4"/>
    <w:rsid w:val="00F4345D"/>
    <w:rsid w:val="00F4387B"/>
    <w:rsid w:val="00F4518D"/>
    <w:rsid w:val="00F45B91"/>
    <w:rsid w:val="00F46639"/>
    <w:rsid w:val="00F46692"/>
    <w:rsid w:val="00F47AAA"/>
    <w:rsid w:val="00F47B3B"/>
    <w:rsid w:val="00F50183"/>
    <w:rsid w:val="00F50D92"/>
    <w:rsid w:val="00F51765"/>
    <w:rsid w:val="00F51A51"/>
    <w:rsid w:val="00F51CB4"/>
    <w:rsid w:val="00F52324"/>
    <w:rsid w:val="00F52950"/>
    <w:rsid w:val="00F52C9D"/>
    <w:rsid w:val="00F52E39"/>
    <w:rsid w:val="00F533F1"/>
    <w:rsid w:val="00F55679"/>
    <w:rsid w:val="00F561E3"/>
    <w:rsid w:val="00F565E6"/>
    <w:rsid w:val="00F56AFA"/>
    <w:rsid w:val="00F575E2"/>
    <w:rsid w:val="00F579FF"/>
    <w:rsid w:val="00F600E0"/>
    <w:rsid w:val="00F600FD"/>
    <w:rsid w:val="00F605EC"/>
    <w:rsid w:val="00F60F60"/>
    <w:rsid w:val="00F612CE"/>
    <w:rsid w:val="00F617C6"/>
    <w:rsid w:val="00F624A7"/>
    <w:rsid w:val="00F62AB6"/>
    <w:rsid w:val="00F63984"/>
    <w:rsid w:val="00F65A3C"/>
    <w:rsid w:val="00F66282"/>
    <w:rsid w:val="00F67D8B"/>
    <w:rsid w:val="00F70961"/>
    <w:rsid w:val="00F70A8F"/>
    <w:rsid w:val="00F70F18"/>
    <w:rsid w:val="00F71397"/>
    <w:rsid w:val="00F72389"/>
    <w:rsid w:val="00F72516"/>
    <w:rsid w:val="00F72FB4"/>
    <w:rsid w:val="00F735E5"/>
    <w:rsid w:val="00F73DD9"/>
    <w:rsid w:val="00F73E80"/>
    <w:rsid w:val="00F7469C"/>
    <w:rsid w:val="00F747E9"/>
    <w:rsid w:val="00F7492E"/>
    <w:rsid w:val="00F74945"/>
    <w:rsid w:val="00F749A3"/>
    <w:rsid w:val="00F74A04"/>
    <w:rsid w:val="00F74AE8"/>
    <w:rsid w:val="00F75A86"/>
    <w:rsid w:val="00F76C11"/>
    <w:rsid w:val="00F77021"/>
    <w:rsid w:val="00F775CB"/>
    <w:rsid w:val="00F77E61"/>
    <w:rsid w:val="00F814B2"/>
    <w:rsid w:val="00F815AC"/>
    <w:rsid w:val="00F82CA5"/>
    <w:rsid w:val="00F83200"/>
    <w:rsid w:val="00F83B33"/>
    <w:rsid w:val="00F83CAE"/>
    <w:rsid w:val="00F840BF"/>
    <w:rsid w:val="00F8415D"/>
    <w:rsid w:val="00F8427A"/>
    <w:rsid w:val="00F843DF"/>
    <w:rsid w:val="00F84899"/>
    <w:rsid w:val="00F848AB"/>
    <w:rsid w:val="00F84A0A"/>
    <w:rsid w:val="00F84A63"/>
    <w:rsid w:val="00F853A5"/>
    <w:rsid w:val="00F85585"/>
    <w:rsid w:val="00F859F0"/>
    <w:rsid w:val="00F85CC1"/>
    <w:rsid w:val="00F86A41"/>
    <w:rsid w:val="00F86B5D"/>
    <w:rsid w:val="00F87464"/>
    <w:rsid w:val="00F87634"/>
    <w:rsid w:val="00F87C13"/>
    <w:rsid w:val="00F87C5A"/>
    <w:rsid w:val="00F87E29"/>
    <w:rsid w:val="00F87F18"/>
    <w:rsid w:val="00F87F68"/>
    <w:rsid w:val="00F90C4D"/>
    <w:rsid w:val="00F90F7A"/>
    <w:rsid w:val="00F90FA8"/>
    <w:rsid w:val="00F9167D"/>
    <w:rsid w:val="00F91CB2"/>
    <w:rsid w:val="00F9289C"/>
    <w:rsid w:val="00F93DBC"/>
    <w:rsid w:val="00F93E41"/>
    <w:rsid w:val="00F94644"/>
    <w:rsid w:val="00F95075"/>
    <w:rsid w:val="00F9537B"/>
    <w:rsid w:val="00F95567"/>
    <w:rsid w:val="00F963FC"/>
    <w:rsid w:val="00FA015F"/>
    <w:rsid w:val="00FA0FAC"/>
    <w:rsid w:val="00FA1DA2"/>
    <w:rsid w:val="00FA3414"/>
    <w:rsid w:val="00FA347A"/>
    <w:rsid w:val="00FA39D7"/>
    <w:rsid w:val="00FA3CDE"/>
    <w:rsid w:val="00FA49B7"/>
    <w:rsid w:val="00FA5043"/>
    <w:rsid w:val="00FA6F8B"/>
    <w:rsid w:val="00FA7A30"/>
    <w:rsid w:val="00FB033F"/>
    <w:rsid w:val="00FB12E3"/>
    <w:rsid w:val="00FB1570"/>
    <w:rsid w:val="00FB193B"/>
    <w:rsid w:val="00FB1FBC"/>
    <w:rsid w:val="00FB27B7"/>
    <w:rsid w:val="00FB2C36"/>
    <w:rsid w:val="00FB3444"/>
    <w:rsid w:val="00FB3483"/>
    <w:rsid w:val="00FB35E3"/>
    <w:rsid w:val="00FB4D3F"/>
    <w:rsid w:val="00FB583C"/>
    <w:rsid w:val="00FB630E"/>
    <w:rsid w:val="00FB6738"/>
    <w:rsid w:val="00FB691B"/>
    <w:rsid w:val="00FB731C"/>
    <w:rsid w:val="00FB7DF8"/>
    <w:rsid w:val="00FC05A0"/>
    <w:rsid w:val="00FC0811"/>
    <w:rsid w:val="00FC1196"/>
    <w:rsid w:val="00FC15EB"/>
    <w:rsid w:val="00FC18DC"/>
    <w:rsid w:val="00FC2AC4"/>
    <w:rsid w:val="00FC2D6D"/>
    <w:rsid w:val="00FC2F73"/>
    <w:rsid w:val="00FC3A9B"/>
    <w:rsid w:val="00FC3AE1"/>
    <w:rsid w:val="00FC3DFC"/>
    <w:rsid w:val="00FC3EF4"/>
    <w:rsid w:val="00FC431B"/>
    <w:rsid w:val="00FC434C"/>
    <w:rsid w:val="00FC4FDF"/>
    <w:rsid w:val="00FC5CF4"/>
    <w:rsid w:val="00FC6A39"/>
    <w:rsid w:val="00FC6E50"/>
    <w:rsid w:val="00FC710F"/>
    <w:rsid w:val="00FC79AB"/>
    <w:rsid w:val="00FC7BE7"/>
    <w:rsid w:val="00FC7DAC"/>
    <w:rsid w:val="00FD04AE"/>
    <w:rsid w:val="00FD086B"/>
    <w:rsid w:val="00FD1890"/>
    <w:rsid w:val="00FD1994"/>
    <w:rsid w:val="00FD21A9"/>
    <w:rsid w:val="00FD2AC8"/>
    <w:rsid w:val="00FD2CA6"/>
    <w:rsid w:val="00FD3508"/>
    <w:rsid w:val="00FD393C"/>
    <w:rsid w:val="00FD43BB"/>
    <w:rsid w:val="00FD4AF3"/>
    <w:rsid w:val="00FD556A"/>
    <w:rsid w:val="00FD5A69"/>
    <w:rsid w:val="00FD6F3C"/>
    <w:rsid w:val="00FD798D"/>
    <w:rsid w:val="00FD7BD8"/>
    <w:rsid w:val="00FD7FB9"/>
    <w:rsid w:val="00FE100E"/>
    <w:rsid w:val="00FE141E"/>
    <w:rsid w:val="00FE144E"/>
    <w:rsid w:val="00FE1689"/>
    <w:rsid w:val="00FE1768"/>
    <w:rsid w:val="00FE24F4"/>
    <w:rsid w:val="00FE2560"/>
    <w:rsid w:val="00FE35D0"/>
    <w:rsid w:val="00FE4058"/>
    <w:rsid w:val="00FE41AC"/>
    <w:rsid w:val="00FE42E2"/>
    <w:rsid w:val="00FE42ED"/>
    <w:rsid w:val="00FE4C6D"/>
    <w:rsid w:val="00FE55A7"/>
    <w:rsid w:val="00FE55E6"/>
    <w:rsid w:val="00FE56D5"/>
    <w:rsid w:val="00FE5C5A"/>
    <w:rsid w:val="00FE6432"/>
    <w:rsid w:val="00FE6517"/>
    <w:rsid w:val="00FE72A0"/>
    <w:rsid w:val="00FF0050"/>
    <w:rsid w:val="00FF045F"/>
    <w:rsid w:val="00FF0712"/>
    <w:rsid w:val="00FF0976"/>
    <w:rsid w:val="00FF0DF5"/>
    <w:rsid w:val="00FF13D4"/>
    <w:rsid w:val="00FF2053"/>
    <w:rsid w:val="00FF2F4E"/>
    <w:rsid w:val="00FF3B37"/>
    <w:rsid w:val="00FF3D6F"/>
    <w:rsid w:val="00FF4BD8"/>
    <w:rsid w:val="00FF4D11"/>
    <w:rsid w:val="00FF5214"/>
    <w:rsid w:val="00FF53A5"/>
    <w:rsid w:val="00FF596E"/>
    <w:rsid w:val="00FF5B59"/>
    <w:rsid w:val="00FF5BFD"/>
    <w:rsid w:val="00FF5C01"/>
    <w:rsid w:val="00FF5F9D"/>
    <w:rsid w:val="00FF6095"/>
    <w:rsid w:val="00FF62FE"/>
    <w:rsid w:val="00FF6553"/>
    <w:rsid w:val="00FF7134"/>
    <w:rsid w:val="00FF7A39"/>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8FC69B5"/>
  <w15:docId w15:val="{C31D0A22-2FF0-4CBA-A8CA-3DB18456D5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000A"/>
    <w:pPr>
      <w:spacing w:after="0" w:line="240" w:lineRule="auto"/>
    </w:pPr>
    <w:rPr>
      <w:rFonts w:ascii="Times New Roman" w:eastAsia="Times New Roman" w:hAnsi="Times New Roman" w:cs="Times New Roman"/>
      <w:sz w:val="24"/>
      <w:szCs w:val="24"/>
      <w:lang w:eastAsia="es-ES_tradnl"/>
    </w:rPr>
  </w:style>
  <w:style w:type="paragraph" w:styleId="Ttulo1">
    <w:name w:val="heading 1"/>
    <w:basedOn w:val="Normal"/>
    <w:link w:val="Ttulo1Car"/>
    <w:uiPriority w:val="1"/>
    <w:qFormat/>
    <w:rsid w:val="006D712D"/>
    <w:pPr>
      <w:widowControl w:val="0"/>
      <w:autoSpaceDE w:val="0"/>
      <w:autoSpaceDN w:val="0"/>
      <w:ind w:left="660" w:hanging="366"/>
      <w:outlineLvl w:val="0"/>
    </w:pPr>
    <w:rPr>
      <w:rFonts w:ascii="Arial" w:eastAsia="Arial" w:hAnsi="Arial" w:cs="Arial"/>
      <w:b/>
      <w:bCs/>
      <w:sz w:val="22"/>
      <w:szCs w:val="22"/>
      <w:lang w:val="es-E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A34538"/>
    <w:pPr>
      <w:tabs>
        <w:tab w:val="center" w:pos="4419"/>
        <w:tab w:val="right" w:pos="8838"/>
      </w:tabs>
    </w:pPr>
    <w:rPr>
      <w:rFonts w:asciiTheme="minorHAnsi" w:eastAsiaTheme="minorHAnsi" w:hAnsiTheme="minorHAnsi" w:cstheme="minorBidi"/>
      <w:szCs w:val="22"/>
      <w:lang w:val="es-MX" w:eastAsia="en-US"/>
    </w:rPr>
  </w:style>
  <w:style w:type="character" w:customStyle="1" w:styleId="PiedepginaCar">
    <w:name w:val="Pie de página Car"/>
    <w:basedOn w:val="Fuentedeprrafopredeter"/>
    <w:link w:val="Piedepgina"/>
    <w:uiPriority w:val="99"/>
    <w:rsid w:val="00A34538"/>
    <w:rPr>
      <w:sz w:val="24"/>
      <w:lang w:val="es-MX"/>
    </w:rPr>
  </w:style>
  <w:style w:type="paragraph" w:styleId="Textodeglobo">
    <w:name w:val="Balloon Text"/>
    <w:basedOn w:val="Normal"/>
    <w:link w:val="TextodegloboCar"/>
    <w:uiPriority w:val="99"/>
    <w:semiHidden/>
    <w:unhideWhenUsed/>
    <w:rsid w:val="00A34538"/>
    <w:rPr>
      <w:rFonts w:ascii="Tahoma" w:eastAsiaTheme="minorHAnsi" w:hAnsi="Tahoma" w:cs="Tahoma"/>
      <w:sz w:val="16"/>
      <w:szCs w:val="16"/>
      <w:lang w:val="es-MX" w:eastAsia="en-US"/>
    </w:rPr>
  </w:style>
  <w:style w:type="character" w:customStyle="1" w:styleId="TextodegloboCar">
    <w:name w:val="Texto de globo Car"/>
    <w:basedOn w:val="Fuentedeprrafopredeter"/>
    <w:link w:val="Textodeglobo"/>
    <w:uiPriority w:val="99"/>
    <w:semiHidden/>
    <w:rsid w:val="00A34538"/>
    <w:rPr>
      <w:rFonts w:ascii="Tahoma" w:hAnsi="Tahoma" w:cs="Tahoma"/>
      <w:sz w:val="16"/>
      <w:szCs w:val="16"/>
      <w:lang w:val="es-MX"/>
    </w:rPr>
  </w:style>
  <w:style w:type="paragraph" w:styleId="Encabezado">
    <w:name w:val="header"/>
    <w:basedOn w:val="Normal"/>
    <w:link w:val="EncabezadoCar"/>
    <w:uiPriority w:val="99"/>
    <w:unhideWhenUsed/>
    <w:rsid w:val="009047C5"/>
    <w:pPr>
      <w:tabs>
        <w:tab w:val="center" w:pos="4252"/>
        <w:tab w:val="right" w:pos="8504"/>
      </w:tabs>
    </w:pPr>
    <w:rPr>
      <w:rFonts w:asciiTheme="minorHAnsi" w:eastAsiaTheme="minorHAnsi" w:hAnsiTheme="minorHAnsi" w:cstheme="minorBidi"/>
      <w:szCs w:val="22"/>
      <w:lang w:val="es-MX" w:eastAsia="en-US"/>
    </w:rPr>
  </w:style>
  <w:style w:type="character" w:customStyle="1" w:styleId="EncabezadoCar">
    <w:name w:val="Encabezado Car"/>
    <w:basedOn w:val="Fuentedeprrafopredeter"/>
    <w:link w:val="Encabezado"/>
    <w:uiPriority w:val="99"/>
    <w:rsid w:val="009047C5"/>
    <w:rPr>
      <w:sz w:val="24"/>
      <w:lang w:val="es-MX"/>
    </w:rPr>
  </w:style>
  <w:style w:type="table" w:styleId="Tablaconcuadrcula">
    <w:name w:val="Table Grid"/>
    <w:basedOn w:val="Tablanormal"/>
    <w:uiPriority w:val="59"/>
    <w:rsid w:val="009047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9047C5"/>
    <w:pPr>
      <w:ind w:left="720"/>
      <w:contextualSpacing/>
    </w:pPr>
    <w:rPr>
      <w:rFonts w:asciiTheme="minorHAnsi" w:eastAsiaTheme="minorHAnsi" w:hAnsiTheme="minorHAnsi" w:cstheme="minorBidi"/>
      <w:szCs w:val="22"/>
      <w:lang w:val="es-MX" w:eastAsia="en-US"/>
    </w:rPr>
  </w:style>
  <w:style w:type="character" w:styleId="Refdecomentario">
    <w:name w:val="annotation reference"/>
    <w:basedOn w:val="Fuentedeprrafopredeter"/>
    <w:uiPriority w:val="99"/>
    <w:semiHidden/>
    <w:unhideWhenUsed/>
    <w:rsid w:val="00DA5AB1"/>
    <w:rPr>
      <w:sz w:val="16"/>
      <w:szCs w:val="16"/>
    </w:rPr>
  </w:style>
  <w:style w:type="paragraph" w:styleId="Textocomentario">
    <w:name w:val="annotation text"/>
    <w:basedOn w:val="Normal"/>
    <w:link w:val="TextocomentarioCar"/>
    <w:uiPriority w:val="99"/>
    <w:unhideWhenUsed/>
    <w:rsid w:val="00DA5AB1"/>
    <w:rPr>
      <w:rFonts w:asciiTheme="minorHAnsi" w:eastAsiaTheme="minorHAnsi" w:hAnsiTheme="minorHAnsi" w:cstheme="minorBidi"/>
      <w:sz w:val="20"/>
      <w:szCs w:val="20"/>
      <w:lang w:val="es-MX" w:eastAsia="en-US"/>
    </w:rPr>
  </w:style>
  <w:style w:type="character" w:customStyle="1" w:styleId="TextocomentarioCar">
    <w:name w:val="Texto comentario Car"/>
    <w:basedOn w:val="Fuentedeprrafopredeter"/>
    <w:link w:val="Textocomentario"/>
    <w:uiPriority w:val="99"/>
    <w:rsid w:val="00DA5AB1"/>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DA5AB1"/>
    <w:rPr>
      <w:b/>
      <w:bCs/>
    </w:rPr>
  </w:style>
  <w:style w:type="character" w:customStyle="1" w:styleId="AsuntodelcomentarioCar">
    <w:name w:val="Asunto del comentario Car"/>
    <w:basedOn w:val="TextocomentarioCar"/>
    <w:link w:val="Asuntodelcomentario"/>
    <w:uiPriority w:val="99"/>
    <w:semiHidden/>
    <w:rsid w:val="00DA5AB1"/>
    <w:rPr>
      <w:b/>
      <w:bCs/>
      <w:sz w:val="20"/>
      <w:szCs w:val="20"/>
      <w:lang w:val="es-MX"/>
    </w:rPr>
  </w:style>
  <w:style w:type="character" w:styleId="Hipervnculo">
    <w:name w:val="Hyperlink"/>
    <w:basedOn w:val="Fuentedeprrafopredeter"/>
    <w:uiPriority w:val="99"/>
    <w:unhideWhenUsed/>
    <w:rsid w:val="0085092D"/>
    <w:rPr>
      <w:color w:val="F2F2F2" w:themeColor="hyperlink"/>
      <w:u w:val="single"/>
    </w:rPr>
  </w:style>
  <w:style w:type="paragraph" w:styleId="NormalWeb">
    <w:name w:val="Normal (Web)"/>
    <w:basedOn w:val="Normal"/>
    <w:link w:val="NormalWebCar"/>
    <w:uiPriority w:val="99"/>
    <w:unhideWhenUsed/>
    <w:rsid w:val="00122B23"/>
    <w:pPr>
      <w:spacing w:before="100" w:beforeAutospacing="1" w:after="100" w:afterAutospacing="1"/>
    </w:pPr>
    <w:rPr>
      <w:lang w:eastAsia="es-CO"/>
    </w:rPr>
  </w:style>
  <w:style w:type="paragraph" w:styleId="Sinespaciado">
    <w:name w:val="No Spacing"/>
    <w:aliases w:val="No Indent"/>
    <w:uiPriority w:val="3"/>
    <w:qFormat/>
    <w:rsid w:val="007B0854"/>
    <w:pPr>
      <w:spacing w:after="0" w:line="240" w:lineRule="auto"/>
    </w:pPr>
    <w:rPr>
      <w:sz w:val="24"/>
      <w:lang w:val="es-MX"/>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7B0854"/>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
    <w:basedOn w:val="Normal"/>
    <w:link w:val="TextonotapieCar"/>
    <w:uiPriority w:val="99"/>
    <w:unhideWhenUsed/>
    <w:qFormat/>
    <w:rsid w:val="007B0854"/>
    <w:rPr>
      <w:rFonts w:asciiTheme="minorHAnsi" w:eastAsiaTheme="minorHAnsi" w:hAnsiTheme="minorHAnsi" w:cstheme="minorBidi"/>
      <w:sz w:val="20"/>
      <w:szCs w:val="20"/>
      <w:lang w:val="es-MX" w:eastAsia="en-US"/>
    </w:rPr>
  </w:style>
  <w:style w:type="character" w:customStyle="1" w:styleId="TextonotapieCar1">
    <w:name w:val="Texto nota pie Car1"/>
    <w:basedOn w:val="Fuentedeprrafopredeter"/>
    <w:uiPriority w:val="99"/>
    <w:semiHidden/>
    <w:rsid w:val="007B0854"/>
    <w:rPr>
      <w:sz w:val="20"/>
      <w:szCs w:val="20"/>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B0854"/>
    <w:rPr>
      <w:sz w:val="24"/>
      <w:lang w:val="es-MX"/>
    </w:rPr>
  </w:style>
  <w:style w:type="paragraph" w:customStyle="1" w:styleId="Capitulo1">
    <w:name w:val="Capitulo 1"/>
    <w:basedOn w:val="Normal"/>
    <w:qFormat/>
    <w:rsid w:val="007B0854"/>
    <w:pPr>
      <w:keepNext/>
      <w:spacing w:before="120" w:after="200" w:line="276" w:lineRule="auto"/>
      <w:ind w:left="720" w:hanging="360"/>
      <w:outlineLvl w:val="1"/>
    </w:pPr>
    <w:rPr>
      <w:rFonts w:ascii="Arial" w:hAnsi="Arial" w:cs="Arial"/>
      <w:b/>
      <w:color w:val="000000"/>
      <w:sz w:val="20"/>
      <w:szCs w:val="20"/>
      <w:lang w:eastAsia="es-CO"/>
    </w:rPr>
  </w:style>
  <w:style w:type="character" w:styleId="Refdenotaalpie">
    <w:name w:val="footnote reference"/>
    <w:aliases w:val="Ref. de nota al pie 2,Ref,de nota al pie,FC,Appel note de bas de p,f,4_G,16 Point,Superscript 6 Point,Texto nota al pie,Pie de Página,Texto de nota al pi,Nota de pie,Footnote Reference Char3,Texto nota pie Car2,Texto de nota al p,F,R"/>
    <w:basedOn w:val="Fuentedeprrafopredeter"/>
    <w:link w:val="Appelnotedebasde"/>
    <w:uiPriority w:val="99"/>
    <w:unhideWhenUsed/>
    <w:qFormat/>
    <w:rsid w:val="007B0854"/>
    <w:rPr>
      <w:vertAlign w:val="superscript"/>
    </w:rPr>
  </w:style>
  <w:style w:type="table" w:customStyle="1" w:styleId="Tablaconcuadrcula1">
    <w:name w:val="Tabla con cuadrícula1"/>
    <w:basedOn w:val="Tablanormal"/>
    <w:next w:val="Tablaconcuadrcula"/>
    <w:uiPriority w:val="59"/>
    <w:rsid w:val="00795647"/>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
    <w:name w:val="Body Text"/>
    <w:basedOn w:val="Normal"/>
    <w:link w:val="TextoindependienteCar"/>
    <w:uiPriority w:val="99"/>
    <w:unhideWhenUsed/>
    <w:rsid w:val="00F1108B"/>
    <w:pPr>
      <w:spacing w:after="120" w:line="276" w:lineRule="auto"/>
    </w:pPr>
    <w:rPr>
      <w:rFonts w:asciiTheme="minorHAnsi" w:eastAsiaTheme="minorEastAsia" w:hAnsiTheme="minorHAnsi" w:cstheme="minorBidi"/>
      <w:sz w:val="22"/>
      <w:szCs w:val="22"/>
      <w:lang w:eastAsia="es-CO"/>
    </w:rPr>
  </w:style>
  <w:style w:type="character" w:customStyle="1" w:styleId="TextoindependienteCar">
    <w:name w:val="Texto independiente Car"/>
    <w:basedOn w:val="Fuentedeprrafopredeter"/>
    <w:link w:val="Textoindependiente"/>
    <w:uiPriority w:val="99"/>
    <w:rsid w:val="00F1108B"/>
    <w:rPr>
      <w:rFonts w:eastAsiaTheme="minorEastAsia"/>
      <w:lang w:eastAsia="es-CO"/>
    </w:rPr>
  </w:style>
  <w:style w:type="character" w:customStyle="1" w:styleId="Mencinsinresolver1">
    <w:name w:val="Mención sin resolver1"/>
    <w:basedOn w:val="Fuentedeprrafopredeter"/>
    <w:uiPriority w:val="99"/>
    <w:semiHidden/>
    <w:unhideWhenUsed/>
    <w:rsid w:val="00247712"/>
    <w:rPr>
      <w:color w:val="605E5C"/>
      <w:shd w:val="clear" w:color="auto" w:fill="E1DFDD"/>
    </w:rPr>
  </w:style>
  <w:style w:type="character" w:customStyle="1" w:styleId="Mencinsinresolver2">
    <w:name w:val="Mención sin resolver2"/>
    <w:basedOn w:val="Fuentedeprrafopredeter"/>
    <w:uiPriority w:val="99"/>
    <w:semiHidden/>
    <w:unhideWhenUsed/>
    <w:rsid w:val="00717ACB"/>
    <w:rPr>
      <w:color w:val="605E5C"/>
      <w:shd w:val="clear" w:color="auto" w:fill="E1DFDD"/>
    </w:rPr>
  </w:style>
  <w:style w:type="character" w:customStyle="1" w:styleId="Mencinsinresolver3">
    <w:name w:val="Mención sin resolver3"/>
    <w:basedOn w:val="Fuentedeprrafopredeter"/>
    <w:uiPriority w:val="99"/>
    <w:rsid w:val="00517CFB"/>
    <w:rPr>
      <w:color w:val="605E5C"/>
      <w:shd w:val="clear" w:color="auto" w:fill="E1DFDD"/>
    </w:rPr>
  </w:style>
  <w:style w:type="paragraph" w:customStyle="1" w:styleId="Default">
    <w:name w:val="Default"/>
    <w:rsid w:val="008919CF"/>
    <w:pPr>
      <w:autoSpaceDE w:val="0"/>
      <w:autoSpaceDN w:val="0"/>
      <w:adjustRightInd w:val="0"/>
      <w:spacing w:after="0" w:line="240" w:lineRule="auto"/>
    </w:pPr>
    <w:rPr>
      <w:rFonts w:ascii="Arial" w:hAnsi="Arial" w:cs="Arial"/>
      <w:color w:val="000000"/>
      <w:sz w:val="24"/>
      <w:szCs w:val="24"/>
    </w:rPr>
  </w:style>
  <w:style w:type="paragraph" w:customStyle="1" w:styleId="paragraph">
    <w:name w:val="paragraph"/>
    <w:basedOn w:val="Normal"/>
    <w:rsid w:val="00DD5B04"/>
    <w:pPr>
      <w:spacing w:before="100" w:beforeAutospacing="1" w:after="100" w:afterAutospacing="1"/>
    </w:pPr>
    <w:rPr>
      <w:lang w:eastAsia="es-CO"/>
    </w:rPr>
  </w:style>
  <w:style w:type="character" w:customStyle="1" w:styleId="textrun">
    <w:name w:val="textrun"/>
    <w:basedOn w:val="Fuentedeprrafopredeter"/>
    <w:rsid w:val="00DD5B04"/>
  </w:style>
  <w:style w:type="character" w:customStyle="1" w:styleId="normaltextrun">
    <w:name w:val="normaltextrun"/>
    <w:basedOn w:val="Fuentedeprrafopredeter"/>
    <w:rsid w:val="00DD5B04"/>
  </w:style>
  <w:style w:type="character" w:customStyle="1" w:styleId="eop">
    <w:name w:val="eop"/>
    <w:basedOn w:val="Fuentedeprrafopredeter"/>
    <w:rsid w:val="00DD5B04"/>
  </w:style>
  <w:style w:type="character" w:customStyle="1" w:styleId="spellingerror">
    <w:name w:val="spellingerror"/>
    <w:basedOn w:val="Fuentedeprrafopredeter"/>
    <w:rsid w:val="00DD5B04"/>
  </w:style>
  <w:style w:type="character" w:styleId="Nmerodepgina">
    <w:name w:val="page number"/>
    <w:basedOn w:val="Fuentedeprrafopredeter"/>
    <w:uiPriority w:val="99"/>
    <w:semiHidden/>
    <w:unhideWhenUsed/>
    <w:rsid w:val="00DD5B04"/>
  </w:style>
  <w:style w:type="character" w:customStyle="1" w:styleId="Ttulo1Car">
    <w:name w:val="Título 1 Car"/>
    <w:basedOn w:val="Fuentedeprrafopredeter"/>
    <w:link w:val="Ttulo1"/>
    <w:uiPriority w:val="1"/>
    <w:rsid w:val="006D712D"/>
    <w:rPr>
      <w:rFonts w:ascii="Arial" w:eastAsia="Arial" w:hAnsi="Arial" w:cs="Arial"/>
      <w:b/>
      <w:bCs/>
      <w:lang w:val="es-ES"/>
    </w:rPr>
  </w:style>
  <w:style w:type="paragraph" w:customStyle="1" w:styleId="Appelnotedebasde">
    <w:name w:val="Appel note de bas de..."/>
    <w:basedOn w:val="Normal"/>
    <w:link w:val="Refdenotaalpie"/>
    <w:uiPriority w:val="99"/>
    <w:rsid w:val="00477C5F"/>
    <w:pPr>
      <w:spacing w:after="160" w:line="240" w:lineRule="exact"/>
    </w:pPr>
    <w:rPr>
      <w:rFonts w:asciiTheme="minorHAnsi" w:eastAsiaTheme="minorHAnsi" w:hAnsiTheme="minorHAnsi" w:cstheme="minorBidi"/>
      <w:sz w:val="22"/>
      <w:szCs w:val="22"/>
      <w:vertAlign w:val="superscript"/>
      <w:lang w:eastAsia="en-US"/>
    </w:rPr>
  </w:style>
  <w:style w:type="paragraph" w:styleId="Sangradetextonormal">
    <w:name w:val="Body Text Indent"/>
    <w:basedOn w:val="Normal"/>
    <w:link w:val="SangradetextonormalCar"/>
    <w:uiPriority w:val="99"/>
    <w:semiHidden/>
    <w:unhideWhenUsed/>
    <w:rsid w:val="006B7E4E"/>
    <w:pPr>
      <w:spacing w:after="120"/>
      <w:ind w:left="283"/>
    </w:pPr>
    <w:rPr>
      <w:rFonts w:asciiTheme="minorHAnsi" w:eastAsiaTheme="minorHAnsi" w:hAnsiTheme="minorHAnsi" w:cstheme="minorBidi"/>
      <w:szCs w:val="22"/>
      <w:lang w:val="es-MX" w:eastAsia="en-US"/>
    </w:rPr>
  </w:style>
  <w:style w:type="character" w:customStyle="1" w:styleId="SangradetextonormalCar">
    <w:name w:val="Sangría de texto normal Car"/>
    <w:basedOn w:val="Fuentedeprrafopredeter"/>
    <w:link w:val="Sangradetextonormal"/>
    <w:uiPriority w:val="99"/>
    <w:semiHidden/>
    <w:rsid w:val="006B7E4E"/>
    <w:rPr>
      <w:sz w:val="24"/>
      <w:lang w:val="es-MX"/>
    </w:rPr>
  </w:style>
  <w:style w:type="character" w:styleId="Textoennegrita">
    <w:name w:val="Strong"/>
    <w:basedOn w:val="Fuentedeprrafopredeter"/>
    <w:uiPriority w:val="22"/>
    <w:qFormat/>
    <w:rsid w:val="00F3570C"/>
    <w:rPr>
      <w:b/>
      <w:bCs/>
    </w:rPr>
  </w:style>
  <w:style w:type="character" w:styleId="nfasis">
    <w:name w:val="Emphasis"/>
    <w:basedOn w:val="Fuentedeprrafopredeter"/>
    <w:uiPriority w:val="20"/>
    <w:qFormat/>
    <w:rsid w:val="00F3570C"/>
    <w:rPr>
      <w:i/>
      <w:iCs/>
    </w:rPr>
  </w:style>
  <w:style w:type="character" w:customStyle="1" w:styleId="NormalWebCar">
    <w:name w:val="Normal (Web) Car"/>
    <w:link w:val="NormalWeb"/>
    <w:uiPriority w:val="99"/>
    <w:rsid w:val="00F3570C"/>
    <w:rPr>
      <w:rFonts w:ascii="Times New Roman" w:eastAsia="Times New Roman" w:hAnsi="Times New Roman" w:cs="Times New Roman"/>
      <w:sz w:val="24"/>
      <w:szCs w:val="24"/>
      <w:lang w:eastAsia="es-CO"/>
    </w:rPr>
  </w:style>
  <w:style w:type="paragraph" w:customStyle="1" w:styleId="InviasNormal">
    <w:name w:val="Invias Normal"/>
    <w:basedOn w:val="Normal"/>
    <w:link w:val="InviasNormalCar"/>
    <w:qFormat/>
    <w:rsid w:val="00433ACB"/>
    <w:pPr>
      <w:tabs>
        <w:tab w:val="left" w:pos="-142"/>
      </w:tabs>
      <w:autoSpaceDE w:val="0"/>
      <w:autoSpaceDN w:val="0"/>
      <w:adjustRightInd w:val="0"/>
      <w:spacing w:before="120" w:after="240"/>
      <w:jc w:val="both"/>
    </w:pPr>
    <w:rPr>
      <w:rFonts w:ascii="Arial Narrow" w:hAnsi="Arial Narrow"/>
      <w:color w:val="3C3C3C" w:themeColor="background2" w:themeShade="40"/>
      <w:lang w:val="x-none" w:eastAsia="es-ES"/>
    </w:rPr>
  </w:style>
  <w:style w:type="character" w:customStyle="1" w:styleId="InviasNormalCar">
    <w:name w:val="Invias Normal Car"/>
    <w:link w:val="InviasNormal"/>
    <w:locked/>
    <w:rsid w:val="00433ACB"/>
    <w:rPr>
      <w:rFonts w:ascii="Arial Narrow" w:eastAsia="Times New Roman" w:hAnsi="Arial Narrow" w:cs="Times New Roman"/>
      <w:color w:val="3C3C3C" w:themeColor="background2" w:themeShade="40"/>
      <w:sz w:val="24"/>
      <w:szCs w:val="24"/>
      <w:lang w:val="x-none" w:eastAsia="es-ES"/>
    </w:rPr>
  </w:style>
  <w:style w:type="table" w:customStyle="1" w:styleId="Tablaconcuadrcula2">
    <w:name w:val="Tabla con cuadrícula2"/>
    <w:basedOn w:val="Tablanormal"/>
    <w:next w:val="Tablaconcuadrcula"/>
    <w:uiPriority w:val="39"/>
    <w:rsid w:val="001E25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spacing">
    <w:name w:val="x_msonospacing"/>
    <w:basedOn w:val="Normal"/>
    <w:rsid w:val="00292E64"/>
    <w:pPr>
      <w:spacing w:before="100" w:beforeAutospacing="1" w:after="100" w:afterAutospacing="1"/>
    </w:pPr>
    <w:rPr>
      <w:lang w:eastAsia="es-MX"/>
    </w:rPr>
  </w:style>
  <w:style w:type="paragraph" w:customStyle="1" w:styleId="Capitulo8">
    <w:name w:val="Capitulo 8"/>
    <w:basedOn w:val="Normal"/>
    <w:qFormat/>
    <w:rsid w:val="00DB5196"/>
    <w:pPr>
      <w:numPr>
        <w:numId w:val="36"/>
      </w:numPr>
      <w:spacing w:after="200" w:line="276" w:lineRule="auto"/>
      <w:ind w:left="1020" w:hanging="680"/>
      <w:contextualSpacing/>
      <w:jc w:val="both"/>
    </w:pPr>
    <w:rPr>
      <w:rFonts w:ascii="Arial" w:eastAsia="Calibri" w:hAnsi="Arial" w:cs="Arial"/>
      <w:b/>
      <w:bCs/>
      <w:color w:val="1C1C1C"/>
      <w:sz w:val="20"/>
      <w:szCs w:val="20"/>
      <w:lang w:eastAsia="en-US"/>
    </w:rPr>
  </w:style>
  <w:style w:type="paragraph" w:customStyle="1" w:styleId="Normal11pt">
    <w:name w:val="Normal + 11 pt"/>
    <w:aliases w:val="Negro,Justificado,Izquierda:  -0,95 cm,Derecha:  0,04 cm"/>
    <w:basedOn w:val="Normal"/>
    <w:uiPriority w:val="99"/>
    <w:rsid w:val="008A2527"/>
    <w:pPr>
      <w:ind w:left="-540"/>
      <w:jc w:val="both"/>
    </w:pPr>
    <w:rPr>
      <w:rFonts w:ascii="Arial" w:hAnsi="Arial" w:cs="Arial"/>
      <w:color w:val="000000"/>
      <w:sz w:val="22"/>
      <w:szCs w:val="22"/>
      <w:lang w:val="es-ES_tradnl" w:eastAsia="es-ES"/>
    </w:rPr>
  </w:style>
  <w:style w:type="paragraph" w:styleId="Revisin">
    <w:name w:val="Revision"/>
    <w:hidden/>
    <w:uiPriority w:val="99"/>
    <w:semiHidden/>
    <w:rsid w:val="00FE100E"/>
    <w:pPr>
      <w:spacing w:after="0" w:line="240" w:lineRule="auto"/>
    </w:pPr>
    <w:rPr>
      <w:rFonts w:ascii="Times New Roman" w:eastAsia="Times New Roman" w:hAnsi="Times New Roman" w:cs="Times New Roman"/>
      <w:sz w:val="24"/>
      <w:szCs w:val="24"/>
      <w:lang w:eastAsia="es-ES_tradnl"/>
    </w:rPr>
  </w:style>
  <w:style w:type="character" w:customStyle="1" w:styleId="Mencinsinresolver4">
    <w:name w:val="Mención sin resolver4"/>
    <w:basedOn w:val="Fuentedeprrafopredeter"/>
    <w:uiPriority w:val="99"/>
    <w:semiHidden/>
    <w:unhideWhenUsed/>
    <w:rsid w:val="002B4039"/>
    <w:rPr>
      <w:color w:val="605E5C"/>
      <w:shd w:val="clear" w:color="auto" w:fill="E1DFDD"/>
    </w:rPr>
  </w:style>
  <w:style w:type="character" w:styleId="Mencinsinresolver">
    <w:name w:val="Unresolved Mention"/>
    <w:basedOn w:val="Fuentedeprrafopredeter"/>
    <w:uiPriority w:val="99"/>
    <w:semiHidden/>
    <w:unhideWhenUsed/>
    <w:rsid w:val="00B427D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12666">
      <w:bodyDiv w:val="1"/>
      <w:marLeft w:val="0"/>
      <w:marRight w:val="0"/>
      <w:marTop w:val="0"/>
      <w:marBottom w:val="0"/>
      <w:divBdr>
        <w:top w:val="none" w:sz="0" w:space="0" w:color="auto"/>
        <w:left w:val="none" w:sz="0" w:space="0" w:color="auto"/>
        <w:bottom w:val="none" w:sz="0" w:space="0" w:color="auto"/>
        <w:right w:val="none" w:sz="0" w:space="0" w:color="auto"/>
      </w:divBdr>
    </w:div>
    <w:div w:id="16934018">
      <w:bodyDiv w:val="1"/>
      <w:marLeft w:val="0"/>
      <w:marRight w:val="0"/>
      <w:marTop w:val="0"/>
      <w:marBottom w:val="0"/>
      <w:divBdr>
        <w:top w:val="none" w:sz="0" w:space="0" w:color="auto"/>
        <w:left w:val="none" w:sz="0" w:space="0" w:color="auto"/>
        <w:bottom w:val="none" w:sz="0" w:space="0" w:color="auto"/>
        <w:right w:val="none" w:sz="0" w:space="0" w:color="auto"/>
      </w:divBdr>
    </w:div>
    <w:div w:id="27223948">
      <w:bodyDiv w:val="1"/>
      <w:marLeft w:val="0"/>
      <w:marRight w:val="0"/>
      <w:marTop w:val="0"/>
      <w:marBottom w:val="0"/>
      <w:divBdr>
        <w:top w:val="none" w:sz="0" w:space="0" w:color="auto"/>
        <w:left w:val="none" w:sz="0" w:space="0" w:color="auto"/>
        <w:bottom w:val="none" w:sz="0" w:space="0" w:color="auto"/>
        <w:right w:val="none" w:sz="0" w:space="0" w:color="auto"/>
      </w:divBdr>
    </w:div>
    <w:div w:id="35281481">
      <w:bodyDiv w:val="1"/>
      <w:marLeft w:val="0"/>
      <w:marRight w:val="0"/>
      <w:marTop w:val="0"/>
      <w:marBottom w:val="0"/>
      <w:divBdr>
        <w:top w:val="none" w:sz="0" w:space="0" w:color="auto"/>
        <w:left w:val="none" w:sz="0" w:space="0" w:color="auto"/>
        <w:bottom w:val="none" w:sz="0" w:space="0" w:color="auto"/>
        <w:right w:val="none" w:sz="0" w:space="0" w:color="auto"/>
      </w:divBdr>
    </w:div>
    <w:div w:id="40833272">
      <w:bodyDiv w:val="1"/>
      <w:marLeft w:val="0"/>
      <w:marRight w:val="0"/>
      <w:marTop w:val="0"/>
      <w:marBottom w:val="0"/>
      <w:divBdr>
        <w:top w:val="none" w:sz="0" w:space="0" w:color="auto"/>
        <w:left w:val="none" w:sz="0" w:space="0" w:color="auto"/>
        <w:bottom w:val="none" w:sz="0" w:space="0" w:color="auto"/>
        <w:right w:val="none" w:sz="0" w:space="0" w:color="auto"/>
      </w:divBdr>
    </w:div>
    <w:div w:id="42021781">
      <w:bodyDiv w:val="1"/>
      <w:marLeft w:val="0"/>
      <w:marRight w:val="0"/>
      <w:marTop w:val="0"/>
      <w:marBottom w:val="0"/>
      <w:divBdr>
        <w:top w:val="none" w:sz="0" w:space="0" w:color="auto"/>
        <w:left w:val="none" w:sz="0" w:space="0" w:color="auto"/>
        <w:bottom w:val="none" w:sz="0" w:space="0" w:color="auto"/>
        <w:right w:val="none" w:sz="0" w:space="0" w:color="auto"/>
      </w:divBdr>
    </w:div>
    <w:div w:id="47606611">
      <w:bodyDiv w:val="1"/>
      <w:marLeft w:val="0"/>
      <w:marRight w:val="0"/>
      <w:marTop w:val="0"/>
      <w:marBottom w:val="0"/>
      <w:divBdr>
        <w:top w:val="none" w:sz="0" w:space="0" w:color="auto"/>
        <w:left w:val="none" w:sz="0" w:space="0" w:color="auto"/>
        <w:bottom w:val="none" w:sz="0" w:space="0" w:color="auto"/>
        <w:right w:val="none" w:sz="0" w:space="0" w:color="auto"/>
      </w:divBdr>
    </w:div>
    <w:div w:id="51780109">
      <w:bodyDiv w:val="1"/>
      <w:marLeft w:val="0"/>
      <w:marRight w:val="0"/>
      <w:marTop w:val="0"/>
      <w:marBottom w:val="0"/>
      <w:divBdr>
        <w:top w:val="none" w:sz="0" w:space="0" w:color="auto"/>
        <w:left w:val="none" w:sz="0" w:space="0" w:color="auto"/>
        <w:bottom w:val="none" w:sz="0" w:space="0" w:color="auto"/>
        <w:right w:val="none" w:sz="0" w:space="0" w:color="auto"/>
      </w:divBdr>
      <w:divsChild>
        <w:div w:id="952639156">
          <w:marLeft w:val="0"/>
          <w:marRight w:val="0"/>
          <w:marTop w:val="0"/>
          <w:marBottom w:val="0"/>
          <w:divBdr>
            <w:top w:val="none" w:sz="0" w:space="0" w:color="auto"/>
            <w:left w:val="none" w:sz="0" w:space="0" w:color="auto"/>
            <w:bottom w:val="none" w:sz="0" w:space="0" w:color="auto"/>
            <w:right w:val="none" w:sz="0" w:space="0" w:color="auto"/>
          </w:divBdr>
          <w:divsChild>
            <w:div w:id="1324165564">
              <w:marLeft w:val="0"/>
              <w:marRight w:val="0"/>
              <w:marTop w:val="0"/>
              <w:marBottom w:val="0"/>
              <w:divBdr>
                <w:top w:val="none" w:sz="0" w:space="0" w:color="auto"/>
                <w:left w:val="none" w:sz="0" w:space="0" w:color="auto"/>
                <w:bottom w:val="none" w:sz="0" w:space="0" w:color="auto"/>
                <w:right w:val="none" w:sz="0" w:space="0" w:color="auto"/>
              </w:divBdr>
              <w:divsChild>
                <w:div w:id="159463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938803">
      <w:bodyDiv w:val="1"/>
      <w:marLeft w:val="0"/>
      <w:marRight w:val="0"/>
      <w:marTop w:val="0"/>
      <w:marBottom w:val="0"/>
      <w:divBdr>
        <w:top w:val="none" w:sz="0" w:space="0" w:color="auto"/>
        <w:left w:val="none" w:sz="0" w:space="0" w:color="auto"/>
        <w:bottom w:val="none" w:sz="0" w:space="0" w:color="auto"/>
        <w:right w:val="none" w:sz="0" w:space="0" w:color="auto"/>
      </w:divBdr>
    </w:div>
    <w:div w:id="79330360">
      <w:bodyDiv w:val="1"/>
      <w:marLeft w:val="0"/>
      <w:marRight w:val="0"/>
      <w:marTop w:val="0"/>
      <w:marBottom w:val="0"/>
      <w:divBdr>
        <w:top w:val="none" w:sz="0" w:space="0" w:color="auto"/>
        <w:left w:val="none" w:sz="0" w:space="0" w:color="auto"/>
        <w:bottom w:val="none" w:sz="0" w:space="0" w:color="auto"/>
        <w:right w:val="none" w:sz="0" w:space="0" w:color="auto"/>
      </w:divBdr>
    </w:div>
    <w:div w:id="85270241">
      <w:bodyDiv w:val="1"/>
      <w:marLeft w:val="0"/>
      <w:marRight w:val="0"/>
      <w:marTop w:val="0"/>
      <w:marBottom w:val="0"/>
      <w:divBdr>
        <w:top w:val="none" w:sz="0" w:space="0" w:color="auto"/>
        <w:left w:val="none" w:sz="0" w:space="0" w:color="auto"/>
        <w:bottom w:val="none" w:sz="0" w:space="0" w:color="auto"/>
        <w:right w:val="none" w:sz="0" w:space="0" w:color="auto"/>
      </w:divBdr>
    </w:div>
    <w:div w:id="138035677">
      <w:bodyDiv w:val="1"/>
      <w:marLeft w:val="0"/>
      <w:marRight w:val="0"/>
      <w:marTop w:val="0"/>
      <w:marBottom w:val="0"/>
      <w:divBdr>
        <w:top w:val="none" w:sz="0" w:space="0" w:color="auto"/>
        <w:left w:val="none" w:sz="0" w:space="0" w:color="auto"/>
        <w:bottom w:val="none" w:sz="0" w:space="0" w:color="auto"/>
        <w:right w:val="none" w:sz="0" w:space="0" w:color="auto"/>
      </w:divBdr>
    </w:div>
    <w:div w:id="166599726">
      <w:bodyDiv w:val="1"/>
      <w:marLeft w:val="0"/>
      <w:marRight w:val="0"/>
      <w:marTop w:val="0"/>
      <w:marBottom w:val="0"/>
      <w:divBdr>
        <w:top w:val="none" w:sz="0" w:space="0" w:color="auto"/>
        <w:left w:val="none" w:sz="0" w:space="0" w:color="auto"/>
        <w:bottom w:val="none" w:sz="0" w:space="0" w:color="auto"/>
        <w:right w:val="none" w:sz="0" w:space="0" w:color="auto"/>
      </w:divBdr>
    </w:div>
    <w:div w:id="170150232">
      <w:bodyDiv w:val="1"/>
      <w:marLeft w:val="0"/>
      <w:marRight w:val="0"/>
      <w:marTop w:val="0"/>
      <w:marBottom w:val="0"/>
      <w:divBdr>
        <w:top w:val="none" w:sz="0" w:space="0" w:color="auto"/>
        <w:left w:val="none" w:sz="0" w:space="0" w:color="auto"/>
        <w:bottom w:val="none" w:sz="0" w:space="0" w:color="auto"/>
        <w:right w:val="none" w:sz="0" w:space="0" w:color="auto"/>
      </w:divBdr>
    </w:div>
    <w:div w:id="192500427">
      <w:bodyDiv w:val="1"/>
      <w:marLeft w:val="0"/>
      <w:marRight w:val="0"/>
      <w:marTop w:val="0"/>
      <w:marBottom w:val="0"/>
      <w:divBdr>
        <w:top w:val="none" w:sz="0" w:space="0" w:color="auto"/>
        <w:left w:val="none" w:sz="0" w:space="0" w:color="auto"/>
        <w:bottom w:val="none" w:sz="0" w:space="0" w:color="auto"/>
        <w:right w:val="none" w:sz="0" w:space="0" w:color="auto"/>
      </w:divBdr>
    </w:div>
    <w:div w:id="199707491">
      <w:bodyDiv w:val="1"/>
      <w:marLeft w:val="0"/>
      <w:marRight w:val="0"/>
      <w:marTop w:val="0"/>
      <w:marBottom w:val="0"/>
      <w:divBdr>
        <w:top w:val="none" w:sz="0" w:space="0" w:color="auto"/>
        <w:left w:val="none" w:sz="0" w:space="0" w:color="auto"/>
        <w:bottom w:val="none" w:sz="0" w:space="0" w:color="auto"/>
        <w:right w:val="none" w:sz="0" w:space="0" w:color="auto"/>
      </w:divBdr>
    </w:div>
    <w:div w:id="208033545">
      <w:bodyDiv w:val="1"/>
      <w:marLeft w:val="0"/>
      <w:marRight w:val="0"/>
      <w:marTop w:val="0"/>
      <w:marBottom w:val="0"/>
      <w:divBdr>
        <w:top w:val="none" w:sz="0" w:space="0" w:color="auto"/>
        <w:left w:val="none" w:sz="0" w:space="0" w:color="auto"/>
        <w:bottom w:val="none" w:sz="0" w:space="0" w:color="auto"/>
        <w:right w:val="none" w:sz="0" w:space="0" w:color="auto"/>
      </w:divBdr>
    </w:div>
    <w:div w:id="208080400">
      <w:bodyDiv w:val="1"/>
      <w:marLeft w:val="0"/>
      <w:marRight w:val="0"/>
      <w:marTop w:val="0"/>
      <w:marBottom w:val="0"/>
      <w:divBdr>
        <w:top w:val="none" w:sz="0" w:space="0" w:color="auto"/>
        <w:left w:val="none" w:sz="0" w:space="0" w:color="auto"/>
        <w:bottom w:val="none" w:sz="0" w:space="0" w:color="auto"/>
        <w:right w:val="none" w:sz="0" w:space="0" w:color="auto"/>
      </w:divBdr>
    </w:div>
    <w:div w:id="235555305">
      <w:bodyDiv w:val="1"/>
      <w:marLeft w:val="0"/>
      <w:marRight w:val="0"/>
      <w:marTop w:val="0"/>
      <w:marBottom w:val="0"/>
      <w:divBdr>
        <w:top w:val="none" w:sz="0" w:space="0" w:color="auto"/>
        <w:left w:val="none" w:sz="0" w:space="0" w:color="auto"/>
        <w:bottom w:val="none" w:sz="0" w:space="0" w:color="auto"/>
        <w:right w:val="none" w:sz="0" w:space="0" w:color="auto"/>
      </w:divBdr>
      <w:divsChild>
        <w:div w:id="1294293439">
          <w:marLeft w:val="0"/>
          <w:marRight w:val="0"/>
          <w:marTop w:val="0"/>
          <w:marBottom w:val="0"/>
          <w:divBdr>
            <w:top w:val="none" w:sz="0" w:space="0" w:color="auto"/>
            <w:left w:val="none" w:sz="0" w:space="0" w:color="auto"/>
            <w:bottom w:val="none" w:sz="0" w:space="0" w:color="auto"/>
            <w:right w:val="none" w:sz="0" w:space="0" w:color="auto"/>
          </w:divBdr>
          <w:divsChild>
            <w:div w:id="150484144">
              <w:marLeft w:val="0"/>
              <w:marRight w:val="0"/>
              <w:marTop w:val="0"/>
              <w:marBottom w:val="0"/>
              <w:divBdr>
                <w:top w:val="none" w:sz="0" w:space="0" w:color="auto"/>
                <w:left w:val="none" w:sz="0" w:space="0" w:color="auto"/>
                <w:bottom w:val="none" w:sz="0" w:space="0" w:color="auto"/>
                <w:right w:val="none" w:sz="0" w:space="0" w:color="auto"/>
              </w:divBdr>
              <w:divsChild>
                <w:div w:id="741754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5386739">
      <w:bodyDiv w:val="1"/>
      <w:marLeft w:val="0"/>
      <w:marRight w:val="0"/>
      <w:marTop w:val="0"/>
      <w:marBottom w:val="0"/>
      <w:divBdr>
        <w:top w:val="none" w:sz="0" w:space="0" w:color="auto"/>
        <w:left w:val="none" w:sz="0" w:space="0" w:color="auto"/>
        <w:bottom w:val="none" w:sz="0" w:space="0" w:color="auto"/>
        <w:right w:val="none" w:sz="0" w:space="0" w:color="auto"/>
      </w:divBdr>
    </w:div>
    <w:div w:id="264926424">
      <w:bodyDiv w:val="1"/>
      <w:marLeft w:val="0"/>
      <w:marRight w:val="0"/>
      <w:marTop w:val="0"/>
      <w:marBottom w:val="0"/>
      <w:divBdr>
        <w:top w:val="none" w:sz="0" w:space="0" w:color="auto"/>
        <w:left w:val="none" w:sz="0" w:space="0" w:color="auto"/>
        <w:bottom w:val="none" w:sz="0" w:space="0" w:color="auto"/>
        <w:right w:val="none" w:sz="0" w:space="0" w:color="auto"/>
      </w:divBdr>
    </w:div>
    <w:div w:id="284427149">
      <w:bodyDiv w:val="1"/>
      <w:marLeft w:val="0"/>
      <w:marRight w:val="0"/>
      <w:marTop w:val="0"/>
      <w:marBottom w:val="0"/>
      <w:divBdr>
        <w:top w:val="none" w:sz="0" w:space="0" w:color="auto"/>
        <w:left w:val="none" w:sz="0" w:space="0" w:color="auto"/>
        <w:bottom w:val="none" w:sz="0" w:space="0" w:color="auto"/>
        <w:right w:val="none" w:sz="0" w:space="0" w:color="auto"/>
      </w:divBdr>
    </w:div>
    <w:div w:id="287053986">
      <w:bodyDiv w:val="1"/>
      <w:marLeft w:val="0"/>
      <w:marRight w:val="0"/>
      <w:marTop w:val="0"/>
      <w:marBottom w:val="0"/>
      <w:divBdr>
        <w:top w:val="none" w:sz="0" w:space="0" w:color="auto"/>
        <w:left w:val="none" w:sz="0" w:space="0" w:color="auto"/>
        <w:bottom w:val="none" w:sz="0" w:space="0" w:color="auto"/>
        <w:right w:val="none" w:sz="0" w:space="0" w:color="auto"/>
      </w:divBdr>
    </w:div>
    <w:div w:id="290482433">
      <w:bodyDiv w:val="1"/>
      <w:marLeft w:val="0"/>
      <w:marRight w:val="0"/>
      <w:marTop w:val="0"/>
      <w:marBottom w:val="0"/>
      <w:divBdr>
        <w:top w:val="none" w:sz="0" w:space="0" w:color="auto"/>
        <w:left w:val="none" w:sz="0" w:space="0" w:color="auto"/>
        <w:bottom w:val="none" w:sz="0" w:space="0" w:color="auto"/>
        <w:right w:val="none" w:sz="0" w:space="0" w:color="auto"/>
      </w:divBdr>
    </w:div>
    <w:div w:id="292368787">
      <w:bodyDiv w:val="1"/>
      <w:marLeft w:val="0"/>
      <w:marRight w:val="0"/>
      <w:marTop w:val="0"/>
      <w:marBottom w:val="0"/>
      <w:divBdr>
        <w:top w:val="none" w:sz="0" w:space="0" w:color="auto"/>
        <w:left w:val="none" w:sz="0" w:space="0" w:color="auto"/>
        <w:bottom w:val="none" w:sz="0" w:space="0" w:color="auto"/>
        <w:right w:val="none" w:sz="0" w:space="0" w:color="auto"/>
      </w:divBdr>
    </w:div>
    <w:div w:id="292759390">
      <w:bodyDiv w:val="1"/>
      <w:marLeft w:val="0"/>
      <w:marRight w:val="0"/>
      <w:marTop w:val="0"/>
      <w:marBottom w:val="0"/>
      <w:divBdr>
        <w:top w:val="none" w:sz="0" w:space="0" w:color="auto"/>
        <w:left w:val="none" w:sz="0" w:space="0" w:color="auto"/>
        <w:bottom w:val="none" w:sz="0" w:space="0" w:color="auto"/>
        <w:right w:val="none" w:sz="0" w:space="0" w:color="auto"/>
      </w:divBdr>
    </w:div>
    <w:div w:id="309094643">
      <w:bodyDiv w:val="1"/>
      <w:marLeft w:val="0"/>
      <w:marRight w:val="0"/>
      <w:marTop w:val="0"/>
      <w:marBottom w:val="0"/>
      <w:divBdr>
        <w:top w:val="none" w:sz="0" w:space="0" w:color="auto"/>
        <w:left w:val="none" w:sz="0" w:space="0" w:color="auto"/>
        <w:bottom w:val="none" w:sz="0" w:space="0" w:color="auto"/>
        <w:right w:val="none" w:sz="0" w:space="0" w:color="auto"/>
      </w:divBdr>
    </w:div>
    <w:div w:id="312223570">
      <w:bodyDiv w:val="1"/>
      <w:marLeft w:val="0"/>
      <w:marRight w:val="0"/>
      <w:marTop w:val="0"/>
      <w:marBottom w:val="0"/>
      <w:divBdr>
        <w:top w:val="none" w:sz="0" w:space="0" w:color="auto"/>
        <w:left w:val="none" w:sz="0" w:space="0" w:color="auto"/>
        <w:bottom w:val="none" w:sz="0" w:space="0" w:color="auto"/>
        <w:right w:val="none" w:sz="0" w:space="0" w:color="auto"/>
      </w:divBdr>
    </w:div>
    <w:div w:id="322202786">
      <w:bodyDiv w:val="1"/>
      <w:marLeft w:val="0"/>
      <w:marRight w:val="0"/>
      <w:marTop w:val="0"/>
      <w:marBottom w:val="0"/>
      <w:divBdr>
        <w:top w:val="none" w:sz="0" w:space="0" w:color="auto"/>
        <w:left w:val="none" w:sz="0" w:space="0" w:color="auto"/>
        <w:bottom w:val="none" w:sz="0" w:space="0" w:color="auto"/>
        <w:right w:val="none" w:sz="0" w:space="0" w:color="auto"/>
      </w:divBdr>
    </w:div>
    <w:div w:id="322467761">
      <w:bodyDiv w:val="1"/>
      <w:marLeft w:val="0"/>
      <w:marRight w:val="0"/>
      <w:marTop w:val="0"/>
      <w:marBottom w:val="0"/>
      <w:divBdr>
        <w:top w:val="none" w:sz="0" w:space="0" w:color="auto"/>
        <w:left w:val="none" w:sz="0" w:space="0" w:color="auto"/>
        <w:bottom w:val="none" w:sz="0" w:space="0" w:color="auto"/>
        <w:right w:val="none" w:sz="0" w:space="0" w:color="auto"/>
      </w:divBdr>
    </w:div>
    <w:div w:id="323438076">
      <w:bodyDiv w:val="1"/>
      <w:marLeft w:val="0"/>
      <w:marRight w:val="0"/>
      <w:marTop w:val="0"/>
      <w:marBottom w:val="0"/>
      <w:divBdr>
        <w:top w:val="none" w:sz="0" w:space="0" w:color="auto"/>
        <w:left w:val="none" w:sz="0" w:space="0" w:color="auto"/>
        <w:bottom w:val="none" w:sz="0" w:space="0" w:color="auto"/>
        <w:right w:val="none" w:sz="0" w:space="0" w:color="auto"/>
      </w:divBdr>
    </w:div>
    <w:div w:id="334965764">
      <w:bodyDiv w:val="1"/>
      <w:marLeft w:val="0"/>
      <w:marRight w:val="0"/>
      <w:marTop w:val="0"/>
      <w:marBottom w:val="0"/>
      <w:divBdr>
        <w:top w:val="none" w:sz="0" w:space="0" w:color="auto"/>
        <w:left w:val="none" w:sz="0" w:space="0" w:color="auto"/>
        <w:bottom w:val="none" w:sz="0" w:space="0" w:color="auto"/>
        <w:right w:val="none" w:sz="0" w:space="0" w:color="auto"/>
      </w:divBdr>
    </w:div>
    <w:div w:id="337391810">
      <w:bodyDiv w:val="1"/>
      <w:marLeft w:val="0"/>
      <w:marRight w:val="0"/>
      <w:marTop w:val="0"/>
      <w:marBottom w:val="0"/>
      <w:divBdr>
        <w:top w:val="none" w:sz="0" w:space="0" w:color="auto"/>
        <w:left w:val="none" w:sz="0" w:space="0" w:color="auto"/>
        <w:bottom w:val="none" w:sz="0" w:space="0" w:color="auto"/>
        <w:right w:val="none" w:sz="0" w:space="0" w:color="auto"/>
      </w:divBdr>
    </w:div>
    <w:div w:id="344946704">
      <w:bodyDiv w:val="1"/>
      <w:marLeft w:val="0"/>
      <w:marRight w:val="0"/>
      <w:marTop w:val="0"/>
      <w:marBottom w:val="0"/>
      <w:divBdr>
        <w:top w:val="none" w:sz="0" w:space="0" w:color="auto"/>
        <w:left w:val="none" w:sz="0" w:space="0" w:color="auto"/>
        <w:bottom w:val="none" w:sz="0" w:space="0" w:color="auto"/>
        <w:right w:val="none" w:sz="0" w:space="0" w:color="auto"/>
      </w:divBdr>
      <w:divsChild>
        <w:div w:id="1496412692">
          <w:marLeft w:val="0"/>
          <w:marRight w:val="0"/>
          <w:marTop w:val="0"/>
          <w:marBottom w:val="0"/>
          <w:divBdr>
            <w:top w:val="none" w:sz="0" w:space="0" w:color="auto"/>
            <w:left w:val="none" w:sz="0" w:space="0" w:color="auto"/>
            <w:bottom w:val="none" w:sz="0" w:space="0" w:color="auto"/>
            <w:right w:val="none" w:sz="0" w:space="0" w:color="auto"/>
          </w:divBdr>
          <w:divsChild>
            <w:div w:id="1121000746">
              <w:marLeft w:val="0"/>
              <w:marRight w:val="0"/>
              <w:marTop w:val="0"/>
              <w:marBottom w:val="0"/>
              <w:divBdr>
                <w:top w:val="none" w:sz="0" w:space="0" w:color="auto"/>
                <w:left w:val="none" w:sz="0" w:space="0" w:color="auto"/>
                <w:bottom w:val="none" w:sz="0" w:space="0" w:color="auto"/>
                <w:right w:val="none" w:sz="0" w:space="0" w:color="auto"/>
              </w:divBdr>
              <w:divsChild>
                <w:div w:id="136447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5522120">
      <w:bodyDiv w:val="1"/>
      <w:marLeft w:val="0"/>
      <w:marRight w:val="0"/>
      <w:marTop w:val="0"/>
      <w:marBottom w:val="0"/>
      <w:divBdr>
        <w:top w:val="none" w:sz="0" w:space="0" w:color="auto"/>
        <w:left w:val="none" w:sz="0" w:space="0" w:color="auto"/>
        <w:bottom w:val="none" w:sz="0" w:space="0" w:color="auto"/>
        <w:right w:val="none" w:sz="0" w:space="0" w:color="auto"/>
      </w:divBdr>
    </w:div>
    <w:div w:id="351734920">
      <w:bodyDiv w:val="1"/>
      <w:marLeft w:val="0"/>
      <w:marRight w:val="0"/>
      <w:marTop w:val="0"/>
      <w:marBottom w:val="0"/>
      <w:divBdr>
        <w:top w:val="none" w:sz="0" w:space="0" w:color="auto"/>
        <w:left w:val="none" w:sz="0" w:space="0" w:color="auto"/>
        <w:bottom w:val="none" w:sz="0" w:space="0" w:color="auto"/>
        <w:right w:val="none" w:sz="0" w:space="0" w:color="auto"/>
      </w:divBdr>
    </w:div>
    <w:div w:id="352458027">
      <w:bodyDiv w:val="1"/>
      <w:marLeft w:val="0"/>
      <w:marRight w:val="0"/>
      <w:marTop w:val="0"/>
      <w:marBottom w:val="0"/>
      <w:divBdr>
        <w:top w:val="none" w:sz="0" w:space="0" w:color="auto"/>
        <w:left w:val="none" w:sz="0" w:space="0" w:color="auto"/>
        <w:bottom w:val="none" w:sz="0" w:space="0" w:color="auto"/>
        <w:right w:val="none" w:sz="0" w:space="0" w:color="auto"/>
      </w:divBdr>
    </w:div>
    <w:div w:id="373847752">
      <w:bodyDiv w:val="1"/>
      <w:marLeft w:val="0"/>
      <w:marRight w:val="0"/>
      <w:marTop w:val="0"/>
      <w:marBottom w:val="0"/>
      <w:divBdr>
        <w:top w:val="none" w:sz="0" w:space="0" w:color="auto"/>
        <w:left w:val="none" w:sz="0" w:space="0" w:color="auto"/>
        <w:bottom w:val="none" w:sz="0" w:space="0" w:color="auto"/>
        <w:right w:val="none" w:sz="0" w:space="0" w:color="auto"/>
      </w:divBdr>
      <w:divsChild>
        <w:div w:id="250747312">
          <w:marLeft w:val="0"/>
          <w:marRight w:val="0"/>
          <w:marTop w:val="0"/>
          <w:marBottom w:val="0"/>
          <w:divBdr>
            <w:top w:val="none" w:sz="0" w:space="0" w:color="auto"/>
            <w:left w:val="none" w:sz="0" w:space="0" w:color="auto"/>
            <w:bottom w:val="none" w:sz="0" w:space="0" w:color="auto"/>
            <w:right w:val="none" w:sz="0" w:space="0" w:color="auto"/>
          </w:divBdr>
        </w:div>
        <w:div w:id="2067101779">
          <w:marLeft w:val="0"/>
          <w:marRight w:val="0"/>
          <w:marTop w:val="0"/>
          <w:marBottom w:val="0"/>
          <w:divBdr>
            <w:top w:val="none" w:sz="0" w:space="0" w:color="auto"/>
            <w:left w:val="none" w:sz="0" w:space="0" w:color="auto"/>
            <w:bottom w:val="none" w:sz="0" w:space="0" w:color="auto"/>
            <w:right w:val="none" w:sz="0" w:space="0" w:color="auto"/>
          </w:divBdr>
        </w:div>
        <w:div w:id="856118546">
          <w:marLeft w:val="0"/>
          <w:marRight w:val="0"/>
          <w:marTop w:val="0"/>
          <w:marBottom w:val="0"/>
          <w:divBdr>
            <w:top w:val="none" w:sz="0" w:space="0" w:color="auto"/>
            <w:left w:val="none" w:sz="0" w:space="0" w:color="auto"/>
            <w:bottom w:val="none" w:sz="0" w:space="0" w:color="auto"/>
            <w:right w:val="none" w:sz="0" w:space="0" w:color="auto"/>
          </w:divBdr>
        </w:div>
        <w:div w:id="701177010">
          <w:marLeft w:val="0"/>
          <w:marRight w:val="0"/>
          <w:marTop w:val="0"/>
          <w:marBottom w:val="0"/>
          <w:divBdr>
            <w:top w:val="none" w:sz="0" w:space="0" w:color="auto"/>
            <w:left w:val="none" w:sz="0" w:space="0" w:color="auto"/>
            <w:bottom w:val="none" w:sz="0" w:space="0" w:color="auto"/>
            <w:right w:val="none" w:sz="0" w:space="0" w:color="auto"/>
          </w:divBdr>
        </w:div>
        <w:div w:id="1979995553">
          <w:marLeft w:val="0"/>
          <w:marRight w:val="0"/>
          <w:marTop w:val="0"/>
          <w:marBottom w:val="0"/>
          <w:divBdr>
            <w:top w:val="none" w:sz="0" w:space="0" w:color="auto"/>
            <w:left w:val="none" w:sz="0" w:space="0" w:color="auto"/>
            <w:bottom w:val="none" w:sz="0" w:space="0" w:color="auto"/>
            <w:right w:val="none" w:sz="0" w:space="0" w:color="auto"/>
          </w:divBdr>
        </w:div>
        <w:div w:id="386532194">
          <w:marLeft w:val="0"/>
          <w:marRight w:val="0"/>
          <w:marTop w:val="0"/>
          <w:marBottom w:val="0"/>
          <w:divBdr>
            <w:top w:val="none" w:sz="0" w:space="0" w:color="auto"/>
            <w:left w:val="none" w:sz="0" w:space="0" w:color="auto"/>
            <w:bottom w:val="none" w:sz="0" w:space="0" w:color="auto"/>
            <w:right w:val="none" w:sz="0" w:space="0" w:color="auto"/>
          </w:divBdr>
        </w:div>
        <w:div w:id="1443916966">
          <w:marLeft w:val="0"/>
          <w:marRight w:val="0"/>
          <w:marTop w:val="0"/>
          <w:marBottom w:val="0"/>
          <w:divBdr>
            <w:top w:val="none" w:sz="0" w:space="0" w:color="auto"/>
            <w:left w:val="none" w:sz="0" w:space="0" w:color="auto"/>
            <w:bottom w:val="none" w:sz="0" w:space="0" w:color="auto"/>
            <w:right w:val="none" w:sz="0" w:space="0" w:color="auto"/>
          </w:divBdr>
        </w:div>
        <w:div w:id="1463428840">
          <w:marLeft w:val="0"/>
          <w:marRight w:val="0"/>
          <w:marTop w:val="0"/>
          <w:marBottom w:val="0"/>
          <w:divBdr>
            <w:top w:val="none" w:sz="0" w:space="0" w:color="auto"/>
            <w:left w:val="none" w:sz="0" w:space="0" w:color="auto"/>
            <w:bottom w:val="none" w:sz="0" w:space="0" w:color="auto"/>
            <w:right w:val="none" w:sz="0" w:space="0" w:color="auto"/>
          </w:divBdr>
        </w:div>
        <w:div w:id="340739953">
          <w:marLeft w:val="0"/>
          <w:marRight w:val="0"/>
          <w:marTop w:val="0"/>
          <w:marBottom w:val="0"/>
          <w:divBdr>
            <w:top w:val="none" w:sz="0" w:space="0" w:color="auto"/>
            <w:left w:val="none" w:sz="0" w:space="0" w:color="auto"/>
            <w:bottom w:val="none" w:sz="0" w:space="0" w:color="auto"/>
            <w:right w:val="none" w:sz="0" w:space="0" w:color="auto"/>
          </w:divBdr>
        </w:div>
        <w:div w:id="1214005837">
          <w:marLeft w:val="0"/>
          <w:marRight w:val="0"/>
          <w:marTop w:val="0"/>
          <w:marBottom w:val="0"/>
          <w:divBdr>
            <w:top w:val="none" w:sz="0" w:space="0" w:color="auto"/>
            <w:left w:val="none" w:sz="0" w:space="0" w:color="auto"/>
            <w:bottom w:val="none" w:sz="0" w:space="0" w:color="auto"/>
            <w:right w:val="none" w:sz="0" w:space="0" w:color="auto"/>
          </w:divBdr>
        </w:div>
        <w:div w:id="689572277">
          <w:marLeft w:val="0"/>
          <w:marRight w:val="0"/>
          <w:marTop w:val="0"/>
          <w:marBottom w:val="0"/>
          <w:divBdr>
            <w:top w:val="none" w:sz="0" w:space="0" w:color="auto"/>
            <w:left w:val="none" w:sz="0" w:space="0" w:color="auto"/>
            <w:bottom w:val="none" w:sz="0" w:space="0" w:color="auto"/>
            <w:right w:val="none" w:sz="0" w:space="0" w:color="auto"/>
          </w:divBdr>
        </w:div>
        <w:div w:id="1848668085">
          <w:marLeft w:val="0"/>
          <w:marRight w:val="0"/>
          <w:marTop w:val="0"/>
          <w:marBottom w:val="0"/>
          <w:divBdr>
            <w:top w:val="none" w:sz="0" w:space="0" w:color="auto"/>
            <w:left w:val="none" w:sz="0" w:space="0" w:color="auto"/>
            <w:bottom w:val="none" w:sz="0" w:space="0" w:color="auto"/>
            <w:right w:val="none" w:sz="0" w:space="0" w:color="auto"/>
          </w:divBdr>
        </w:div>
        <w:div w:id="355351056">
          <w:marLeft w:val="0"/>
          <w:marRight w:val="0"/>
          <w:marTop w:val="0"/>
          <w:marBottom w:val="0"/>
          <w:divBdr>
            <w:top w:val="none" w:sz="0" w:space="0" w:color="auto"/>
            <w:left w:val="none" w:sz="0" w:space="0" w:color="auto"/>
            <w:bottom w:val="none" w:sz="0" w:space="0" w:color="auto"/>
            <w:right w:val="none" w:sz="0" w:space="0" w:color="auto"/>
          </w:divBdr>
        </w:div>
        <w:div w:id="185019911">
          <w:marLeft w:val="0"/>
          <w:marRight w:val="0"/>
          <w:marTop w:val="0"/>
          <w:marBottom w:val="0"/>
          <w:divBdr>
            <w:top w:val="none" w:sz="0" w:space="0" w:color="auto"/>
            <w:left w:val="none" w:sz="0" w:space="0" w:color="auto"/>
            <w:bottom w:val="none" w:sz="0" w:space="0" w:color="auto"/>
            <w:right w:val="none" w:sz="0" w:space="0" w:color="auto"/>
          </w:divBdr>
        </w:div>
        <w:div w:id="1409376571">
          <w:marLeft w:val="0"/>
          <w:marRight w:val="0"/>
          <w:marTop w:val="0"/>
          <w:marBottom w:val="0"/>
          <w:divBdr>
            <w:top w:val="none" w:sz="0" w:space="0" w:color="auto"/>
            <w:left w:val="none" w:sz="0" w:space="0" w:color="auto"/>
            <w:bottom w:val="none" w:sz="0" w:space="0" w:color="auto"/>
            <w:right w:val="none" w:sz="0" w:space="0" w:color="auto"/>
          </w:divBdr>
        </w:div>
        <w:div w:id="1153715860">
          <w:marLeft w:val="0"/>
          <w:marRight w:val="0"/>
          <w:marTop w:val="0"/>
          <w:marBottom w:val="0"/>
          <w:divBdr>
            <w:top w:val="none" w:sz="0" w:space="0" w:color="auto"/>
            <w:left w:val="none" w:sz="0" w:space="0" w:color="auto"/>
            <w:bottom w:val="none" w:sz="0" w:space="0" w:color="auto"/>
            <w:right w:val="none" w:sz="0" w:space="0" w:color="auto"/>
          </w:divBdr>
        </w:div>
        <w:div w:id="878051417">
          <w:marLeft w:val="0"/>
          <w:marRight w:val="0"/>
          <w:marTop w:val="0"/>
          <w:marBottom w:val="0"/>
          <w:divBdr>
            <w:top w:val="none" w:sz="0" w:space="0" w:color="auto"/>
            <w:left w:val="none" w:sz="0" w:space="0" w:color="auto"/>
            <w:bottom w:val="none" w:sz="0" w:space="0" w:color="auto"/>
            <w:right w:val="none" w:sz="0" w:space="0" w:color="auto"/>
          </w:divBdr>
        </w:div>
        <w:div w:id="1340767783">
          <w:marLeft w:val="0"/>
          <w:marRight w:val="0"/>
          <w:marTop w:val="0"/>
          <w:marBottom w:val="0"/>
          <w:divBdr>
            <w:top w:val="none" w:sz="0" w:space="0" w:color="auto"/>
            <w:left w:val="none" w:sz="0" w:space="0" w:color="auto"/>
            <w:bottom w:val="none" w:sz="0" w:space="0" w:color="auto"/>
            <w:right w:val="none" w:sz="0" w:space="0" w:color="auto"/>
          </w:divBdr>
        </w:div>
        <w:div w:id="1389064509">
          <w:marLeft w:val="0"/>
          <w:marRight w:val="0"/>
          <w:marTop w:val="0"/>
          <w:marBottom w:val="0"/>
          <w:divBdr>
            <w:top w:val="none" w:sz="0" w:space="0" w:color="auto"/>
            <w:left w:val="none" w:sz="0" w:space="0" w:color="auto"/>
            <w:bottom w:val="none" w:sz="0" w:space="0" w:color="auto"/>
            <w:right w:val="none" w:sz="0" w:space="0" w:color="auto"/>
          </w:divBdr>
        </w:div>
        <w:div w:id="1237981306">
          <w:marLeft w:val="0"/>
          <w:marRight w:val="0"/>
          <w:marTop w:val="0"/>
          <w:marBottom w:val="0"/>
          <w:divBdr>
            <w:top w:val="none" w:sz="0" w:space="0" w:color="auto"/>
            <w:left w:val="none" w:sz="0" w:space="0" w:color="auto"/>
            <w:bottom w:val="none" w:sz="0" w:space="0" w:color="auto"/>
            <w:right w:val="none" w:sz="0" w:space="0" w:color="auto"/>
          </w:divBdr>
        </w:div>
        <w:div w:id="497230276">
          <w:marLeft w:val="0"/>
          <w:marRight w:val="0"/>
          <w:marTop w:val="0"/>
          <w:marBottom w:val="0"/>
          <w:divBdr>
            <w:top w:val="none" w:sz="0" w:space="0" w:color="auto"/>
            <w:left w:val="none" w:sz="0" w:space="0" w:color="auto"/>
            <w:bottom w:val="none" w:sz="0" w:space="0" w:color="auto"/>
            <w:right w:val="none" w:sz="0" w:space="0" w:color="auto"/>
          </w:divBdr>
        </w:div>
        <w:div w:id="1948077385">
          <w:marLeft w:val="0"/>
          <w:marRight w:val="0"/>
          <w:marTop w:val="0"/>
          <w:marBottom w:val="0"/>
          <w:divBdr>
            <w:top w:val="none" w:sz="0" w:space="0" w:color="auto"/>
            <w:left w:val="none" w:sz="0" w:space="0" w:color="auto"/>
            <w:bottom w:val="none" w:sz="0" w:space="0" w:color="auto"/>
            <w:right w:val="none" w:sz="0" w:space="0" w:color="auto"/>
          </w:divBdr>
        </w:div>
        <w:div w:id="2077436875">
          <w:marLeft w:val="0"/>
          <w:marRight w:val="0"/>
          <w:marTop w:val="0"/>
          <w:marBottom w:val="0"/>
          <w:divBdr>
            <w:top w:val="none" w:sz="0" w:space="0" w:color="auto"/>
            <w:left w:val="none" w:sz="0" w:space="0" w:color="auto"/>
            <w:bottom w:val="none" w:sz="0" w:space="0" w:color="auto"/>
            <w:right w:val="none" w:sz="0" w:space="0" w:color="auto"/>
          </w:divBdr>
        </w:div>
        <w:div w:id="375393709">
          <w:marLeft w:val="0"/>
          <w:marRight w:val="0"/>
          <w:marTop w:val="0"/>
          <w:marBottom w:val="0"/>
          <w:divBdr>
            <w:top w:val="none" w:sz="0" w:space="0" w:color="auto"/>
            <w:left w:val="none" w:sz="0" w:space="0" w:color="auto"/>
            <w:bottom w:val="none" w:sz="0" w:space="0" w:color="auto"/>
            <w:right w:val="none" w:sz="0" w:space="0" w:color="auto"/>
          </w:divBdr>
        </w:div>
        <w:div w:id="1116949506">
          <w:marLeft w:val="0"/>
          <w:marRight w:val="0"/>
          <w:marTop w:val="0"/>
          <w:marBottom w:val="0"/>
          <w:divBdr>
            <w:top w:val="none" w:sz="0" w:space="0" w:color="auto"/>
            <w:left w:val="none" w:sz="0" w:space="0" w:color="auto"/>
            <w:bottom w:val="none" w:sz="0" w:space="0" w:color="auto"/>
            <w:right w:val="none" w:sz="0" w:space="0" w:color="auto"/>
          </w:divBdr>
        </w:div>
        <w:div w:id="2063670069">
          <w:marLeft w:val="0"/>
          <w:marRight w:val="0"/>
          <w:marTop w:val="0"/>
          <w:marBottom w:val="0"/>
          <w:divBdr>
            <w:top w:val="none" w:sz="0" w:space="0" w:color="auto"/>
            <w:left w:val="none" w:sz="0" w:space="0" w:color="auto"/>
            <w:bottom w:val="none" w:sz="0" w:space="0" w:color="auto"/>
            <w:right w:val="none" w:sz="0" w:space="0" w:color="auto"/>
          </w:divBdr>
        </w:div>
        <w:div w:id="1385788235">
          <w:marLeft w:val="0"/>
          <w:marRight w:val="0"/>
          <w:marTop w:val="0"/>
          <w:marBottom w:val="0"/>
          <w:divBdr>
            <w:top w:val="none" w:sz="0" w:space="0" w:color="auto"/>
            <w:left w:val="none" w:sz="0" w:space="0" w:color="auto"/>
            <w:bottom w:val="none" w:sz="0" w:space="0" w:color="auto"/>
            <w:right w:val="none" w:sz="0" w:space="0" w:color="auto"/>
          </w:divBdr>
        </w:div>
        <w:div w:id="774130227">
          <w:marLeft w:val="0"/>
          <w:marRight w:val="0"/>
          <w:marTop w:val="0"/>
          <w:marBottom w:val="0"/>
          <w:divBdr>
            <w:top w:val="none" w:sz="0" w:space="0" w:color="auto"/>
            <w:left w:val="none" w:sz="0" w:space="0" w:color="auto"/>
            <w:bottom w:val="none" w:sz="0" w:space="0" w:color="auto"/>
            <w:right w:val="none" w:sz="0" w:space="0" w:color="auto"/>
          </w:divBdr>
        </w:div>
        <w:div w:id="356153059">
          <w:marLeft w:val="0"/>
          <w:marRight w:val="0"/>
          <w:marTop w:val="0"/>
          <w:marBottom w:val="0"/>
          <w:divBdr>
            <w:top w:val="none" w:sz="0" w:space="0" w:color="auto"/>
            <w:left w:val="none" w:sz="0" w:space="0" w:color="auto"/>
            <w:bottom w:val="none" w:sz="0" w:space="0" w:color="auto"/>
            <w:right w:val="none" w:sz="0" w:space="0" w:color="auto"/>
          </w:divBdr>
        </w:div>
      </w:divsChild>
    </w:div>
    <w:div w:id="387266119">
      <w:bodyDiv w:val="1"/>
      <w:marLeft w:val="0"/>
      <w:marRight w:val="0"/>
      <w:marTop w:val="0"/>
      <w:marBottom w:val="0"/>
      <w:divBdr>
        <w:top w:val="none" w:sz="0" w:space="0" w:color="auto"/>
        <w:left w:val="none" w:sz="0" w:space="0" w:color="auto"/>
        <w:bottom w:val="none" w:sz="0" w:space="0" w:color="auto"/>
        <w:right w:val="none" w:sz="0" w:space="0" w:color="auto"/>
      </w:divBdr>
      <w:divsChild>
        <w:div w:id="2039088259">
          <w:marLeft w:val="0"/>
          <w:marRight w:val="0"/>
          <w:marTop w:val="0"/>
          <w:marBottom w:val="0"/>
          <w:divBdr>
            <w:top w:val="none" w:sz="0" w:space="0" w:color="auto"/>
            <w:left w:val="none" w:sz="0" w:space="0" w:color="auto"/>
            <w:bottom w:val="none" w:sz="0" w:space="0" w:color="auto"/>
            <w:right w:val="none" w:sz="0" w:space="0" w:color="auto"/>
          </w:divBdr>
          <w:divsChild>
            <w:div w:id="551431865">
              <w:marLeft w:val="0"/>
              <w:marRight w:val="0"/>
              <w:marTop w:val="0"/>
              <w:marBottom w:val="0"/>
              <w:divBdr>
                <w:top w:val="none" w:sz="0" w:space="0" w:color="auto"/>
                <w:left w:val="none" w:sz="0" w:space="0" w:color="auto"/>
                <w:bottom w:val="none" w:sz="0" w:space="0" w:color="auto"/>
                <w:right w:val="none" w:sz="0" w:space="0" w:color="auto"/>
              </w:divBdr>
              <w:divsChild>
                <w:div w:id="1777408383">
                  <w:marLeft w:val="0"/>
                  <w:marRight w:val="0"/>
                  <w:marTop w:val="0"/>
                  <w:marBottom w:val="0"/>
                  <w:divBdr>
                    <w:top w:val="none" w:sz="0" w:space="0" w:color="auto"/>
                    <w:left w:val="none" w:sz="0" w:space="0" w:color="auto"/>
                    <w:bottom w:val="none" w:sz="0" w:space="0" w:color="auto"/>
                    <w:right w:val="none" w:sz="0" w:space="0" w:color="auto"/>
                  </w:divBdr>
                  <w:divsChild>
                    <w:div w:id="709962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5511658">
      <w:bodyDiv w:val="1"/>
      <w:marLeft w:val="0"/>
      <w:marRight w:val="0"/>
      <w:marTop w:val="0"/>
      <w:marBottom w:val="0"/>
      <w:divBdr>
        <w:top w:val="none" w:sz="0" w:space="0" w:color="auto"/>
        <w:left w:val="none" w:sz="0" w:space="0" w:color="auto"/>
        <w:bottom w:val="none" w:sz="0" w:space="0" w:color="auto"/>
        <w:right w:val="none" w:sz="0" w:space="0" w:color="auto"/>
      </w:divBdr>
    </w:div>
    <w:div w:id="398670483">
      <w:bodyDiv w:val="1"/>
      <w:marLeft w:val="0"/>
      <w:marRight w:val="0"/>
      <w:marTop w:val="0"/>
      <w:marBottom w:val="0"/>
      <w:divBdr>
        <w:top w:val="none" w:sz="0" w:space="0" w:color="auto"/>
        <w:left w:val="none" w:sz="0" w:space="0" w:color="auto"/>
        <w:bottom w:val="none" w:sz="0" w:space="0" w:color="auto"/>
        <w:right w:val="none" w:sz="0" w:space="0" w:color="auto"/>
      </w:divBdr>
    </w:div>
    <w:div w:id="402992273">
      <w:bodyDiv w:val="1"/>
      <w:marLeft w:val="0"/>
      <w:marRight w:val="0"/>
      <w:marTop w:val="0"/>
      <w:marBottom w:val="0"/>
      <w:divBdr>
        <w:top w:val="none" w:sz="0" w:space="0" w:color="auto"/>
        <w:left w:val="none" w:sz="0" w:space="0" w:color="auto"/>
        <w:bottom w:val="none" w:sz="0" w:space="0" w:color="auto"/>
        <w:right w:val="none" w:sz="0" w:space="0" w:color="auto"/>
      </w:divBdr>
    </w:div>
    <w:div w:id="410320993">
      <w:bodyDiv w:val="1"/>
      <w:marLeft w:val="0"/>
      <w:marRight w:val="0"/>
      <w:marTop w:val="0"/>
      <w:marBottom w:val="0"/>
      <w:divBdr>
        <w:top w:val="none" w:sz="0" w:space="0" w:color="auto"/>
        <w:left w:val="none" w:sz="0" w:space="0" w:color="auto"/>
        <w:bottom w:val="none" w:sz="0" w:space="0" w:color="auto"/>
        <w:right w:val="none" w:sz="0" w:space="0" w:color="auto"/>
      </w:divBdr>
    </w:div>
    <w:div w:id="436829350">
      <w:bodyDiv w:val="1"/>
      <w:marLeft w:val="0"/>
      <w:marRight w:val="0"/>
      <w:marTop w:val="0"/>
      <w:marBottom w:val="0"/>
      <w:divBdr>
        <w:top w:val="none" w:sz="0" w:space="0" w:color="auto"/>
        <w:left w:val="none" w:sz="0" w:space="0" w:color="auto"/>
        <w:bottom w:val="none" w:sz="0" w:space="0" w:color="auto"/>
        <w:right w:val="none" w:sz="0" w:space="0" w:color="auto"/>
      </w:divBdr>
    </w:div>
    <w:div w:id="445349329">
      <w:bodyDiv w:val="1"/>
      <w:marLeft w:val="0"/>
      <w:marRight w:val="0"/>
      <w:marTop w:val="0"/>
      <w:marBottom w:val="0"/>
      <w:divBdr>
        <w:top w:val="none" w:sz="0" w:space="0" w:color="auto"/>
        <w:left w:val="none" w:sz="0" w:space="0" w:color="auto"/>
        <w:bottom w:val="none" w:sz="0" w:space="0" w:color="auto"/>
        <w:right w:val="none" w:sz="0" w:space="0" w:color="auto"/>
      </w:divBdr>
    </w:div>
    <w:div w:id="470680369">
      <w:bodyDiv w:val="1"/>
      <w:marLeft w:val="0"/>
      <w:marRight w:val="0"/>
      <w:marTop w:val="0"/>
      <w:marBottom w:val="0"/>
      <w:divBdr>
        <w:top w:val="none" w:sz="0" w:space="0" w:color="auto"/>
        <w:left w:val="none" w:sz="0" w:space="0" w:color="auto"/>
        <w:bottom w:val="none" w:sz="0" w:space="0" w:color="auto"/>
        <w:right w:val="none" w:sz="0" w:space="0" w:color="auto"/>
      </w:divBdr>
    </w:div>
    <w:div w:id="480733979">
      <w:bodyDiv w:val="1"/>
      <w:marLeft w:val="0"/>
      <w:marRight w:val="0"/>
      <w:marTop w:val="0"/>
      <w:marBottom w:val="0"/>
      <w:divBdr>
        <w:top w:val="none" w:sz="0" w:space="0" w:color="auto"/>
        <w:left w:val="none" w:sz="0" w:space="0" w:color="auto"/>
        <w:bottom w:val="none" w:sz="0" w:space="0" w:color="auto"/>
        <w:right w:val="none" w:sz="0" w:space="0" w:color="auto"/>
      </w:divBdr>
    </w:div>
    <w:div w:id="503477703">
      <w:bodyDiv w:val="1"/>
      <w:marLeft w:val="0"/>
      <w:marRight w:val="0"/>
      <w:marTop w:val="0"/>
      <w:marBottom w:val="0"/>
      <w:divBdr>
        <w:top w:val="none" w:sz="0" w:space="0" w:color="auto"/>
        <w:left w:val="none" w:sz="0" w:space="0" w:color="auto"/>
        <w:bottom w:val="none" w:sz="0" w:space="0" w:color="auto"/>
        <w:right w:val="none" w:sz="0" w:space="0" w:color="auto"/>
      </w:divBdr>
      <w:divsChild>
        <w:div w:id="1621301682">
          <w:marLeft w:val="0"/>
          <w:marRight w:val="0"/>
          <w:marTop w:val="0"/>
          <w:marBottom w:val="0"/>
          <w:divBdr>
            <w:top w:val="none" w:sz="0" w:space="0" w:color="auto"/>
            <w:left w:val="none" w:sz="0" w:space="0" w:color="auto"/>
            <w:bottom w:val="none" w:sz="0" w:space="0" w:color="auto"/>
            <w:right w:val="none" w:sz="0" w:space="0" w:color="auto"/>
          </w:divBdr>
        </w:div>
        <w:div w:id="1260329733">
          <w:marLeft w:val="0"/>
          <w:marRight w:val="0"/>
          <w:marTop w:val="0"/>
          <w:marBottom w:val="0"/>
          <w:divBdr>
            <w:top w:val="none" w:sz="0" w:space="0" w:color="auto"/>
            <w:left w:val="none" w:sz="0" w:space="0" w:color="auto"/>
            <w:bottom w:val="none" w:sz="0" w:space="0" w:color="auto"/>
            <w:right w:val="none" w:sz="0" w:space="0" w:color="auto"/>
          </w:divBdr>
        </w:div>
        <w:div w:id="782308504">
          <w:marLeft w:val="0"/>
          <w:marRight w:val="0"/>
          <w:marTop w:val="0"/>
          <w:marBottom w:val="0"/>
          <w:divBdr>
            <w:top w:val="none" w:sz="0" w:space="0" w:color="auto"/>
            <w:left w:val="none" w:sz="0" w:space="0" w:color="auto"/>
            <w:bottom w:val="none" w:sz="0" w:space="0" w:color="auto"/>
            <w:right w:val="none" w:sz="0" w:space="0" w:color="auto"/>
          </w:divBdr>
        </w:div>
        <w:div w:id="431245799">
          <w:marLeft w:val="0"/>
          <w:marRight w:val="0"/>
          <w:marTop w:val="0"/>
          <w:marBottom w:val="0"/>
          <w:divBdr>
            <w:top w:val="none" w:sz="0" w:space="0" w:color="auto"/>
            <w:left w:val="none" w:sz="0" w:space="0" w:color="auto"/>
            <w:bottom w:val="none" w:sz="0" w:space="0" w:color="auto"/>
            <w:right w:val="none" w:sz="0" w:space="0" w:color="auto"/>
          </w:divBdr>
        </w:div>
        <w:div w:id="1074623503">
          <w:marLeft w:val="0"/>
          <w:marRight w:val="0"/>
          <w:marTop w:val="0"/>
          <w:marBottom w:val="0"/>
          <w:divBdr>
            <w:top w:val="none" w:sz="0" w:space="0" w:color="auto"/>
            <w:left w:val="none" w:sz="0" w:space="0" w:color="auto"/>
            <w:bottom w:val="none" w:sz="0" w:space="0" w:color="auto"/>
            <w:right w:val="none" w:sz="0" w:space="0" w:color="auto"/>
          </w:divBdr>
        </w:div>
        <w:div w:id="13383649">
          <w:marLeft w:val="0"/>
          <w:marRight w:val="0"/>
          <w:marTop w:val="0"/>
          <w:marBottom w:val="0"/>
          <w:divBdr>
            <w:top w:val="none" w:sz="0" w:space="0" w:color="auto"/>
            <w:left w:val="none" w:sz="0" w:space="0" w:color="auto"/>
            <w:bottom w:val="none" w:sz="0" w:space="0" w:color="auto"/>
            <w:right w:val="none" w:sz="0" w:space="0" w:color="auto"/>
          </w:divBdr>
        </w:div>
        <w:div w:id="1382483288">
          <w:marLeft w:val="0"/>
          <w:marRight w:val="0"/>
          <w:marTop w:val="0"/>
          <w:marBottom w:val="0"/>
          <w:divBdr>
            <w:top w:val="none" w:sz="0" w:space="0" w:color="auto"/>
            <w:left w:val="none" w:sz="0" w:space="0" w:color="auto"/>
            <w:bottom w:val="none" w:sz="0" w:space="0" w:color="auto"/>
            <w:right w:val="none" w:sz="0" w:space="0" w:color="auto"/>
          </w:divBdr>
        </w:div>
        <w:div w:id="266305046">
          <w:marLeft w:val="0"/>
          <w:marRight w:val="0"/>
          <w:marTop w:val="0"/>
          <w:marBottom w:val="0"/>
          <w:divBdr>
            <w:top w:val="none" w:sz="0" w:space="0" w:color="auto"/>
            <w:left w:val="none" w:sz="0" w:space="0" w:color="auto"/>
            <w:bottom w:val="none" w:sz="0" w:space="0" w:color="auto"/>
            <w:right w:val="none" w:sz="0" w:space="0" w:color="auto"/>
          </w:divBdr>
        </w:div>
        <w:div w:id="1387794770">
          <w:marLeft w:val="0"/>
          <w:marRight w:val="0"/>
          <w:marTop w:val="0"/>
          <w:marBottom w:val="0"/>
          <w:divBdr>
            <w:top w:val="none" w:sz="0" w:space="0" w:color="auto"/>
            <w:left w:val="none" w:sz="0" w:space="0" w:color="auto"/>
            <w:bottom w:val="none" w:sz="0" w:space="0" w:color="auto"/>
            <w:right w:val="none" w:sz="0" w:space="0" w:color="auto"/>
          </w:divBdr>
        </w:div>
        <w:div w:id="134836591">
          <w:marLeft w:val="0"/>
          <w:marRight w:val="0"/>
          <w:marTop w:val="0"/>
          <w:marBottom w:val="0"/>
          <w:divBdr>
            <w:top w:val="none" w:sz="0" w:space="0" w:color="auto"/>
            <w:left w:val="none" w:sz="0" w:space="0" w:color="auto"/>
            <w:bottom w:val="none" w:sz="0" w:space="0" w:color="auto"/>
            <w:right w:val="none" w:sz="0" w:space="0" w:color="auto"/>
          </w:divBdr>
        </w:div>
        <w:div w:id="1592815413">
          <w:marLeft w:val="0"/>
          <w:marRight w:val="0"/>
          <w:marTop w:val="0"/>
          <w:marBottom w:val="0"/>
          <w:divBdr>
            <w:top w:val="none" w:sz="0" w:space="0" w:color="auto"/>
            <w:left w:val="none" w:sz="0" w:space="0" w:color="auto"/>
            <w:bottom w:val="none" w:sz="0" w:space="0" w:color="auto"/>
            <w:right w:val="none" w:sz="0" w:space="0" w:color="auto"/>
          </w:divBdr>
        </w:div>
        <w:div w:id="1658653047">
          <w:marLeft w:val="0"/>
          <w:marRight w:val="0"/>
          <w:marTop w:val="0"/>
          <w:marBottom w:val="0"/>
          <w:divBdr>
            <w:top w:val="none" w:sz="0" w:space="0" w:color="auto"/>
            <w:left w:val="none" w:sz="0" w:space="0" w:color="auto"/>
            <w:bottom w:val="none" w:sz="0" w:space="0" w:color="auto"/>
            <w:right w:val="none" w:sz="0" w:space="0" w:color="auto"/>
          </w:divBdr>
          <w:divsChild>
            <w:div w:id="1518734532">
              <w:marLeft w:val="0"/>
              <w:marRight w:val="0"/>
              <w:marTop w:val="0"/>
              <w:marBottom w:val="0"/>
              <w:divBdr>
                <w:top w:val="none" w:sz="0" w:space="0" w:color="auto"/>
                <w:left w:val="none" w:sz="0" w:space="0" w:color="auto"/>
                <w:bottom w:val="none" w:sz="0" w:space="0" w:color="auto"/>
                <w:right w:val="none" w:sz="0" w:space="0" w:color="auto"/>
              </w:divBdr>
            </w:div>
            <w:div w:id="1074164726">
              <w:marLeft w:val="0"/>
              <w:marRight w:val="0"/>
              <w:marTop w:val="0"/>
              <w:marBottom w:val="0"/>
              <w:divBdr>
                <w:top w:val="none" w:sz="0" w:space="0" w:color="auto"/>
                <w:left w:val="none" w:sz="0" w:space="0" w:color="auto"/>
                <w:bottom w:val="none" w:sz="0" w:space="0" w:color="auto"/>
                <w:right w:val="none" w:sz="0" w:space="0" w:color="auto"/>
              </w:divBdr>
            </w:div>
            <w:div w:id="1446727815">
              <w:marLeft w:val="0"/>
              <w:marRight w:val="0"/>
              <w:marTop w:val="0"/>
              <w:marBottom w:val="0"/>
              <w:divBdr>
                <w:top w:val="none" w:sz="0" w:space="0" w:color="auto"/>
                <w:left w:val="none" w:sz="0" w:space="0" w:color="auto"/>
                <w:bottom w:val="none" w:sz="0" w:space="0" w:color="auto"/>
                <w:right w:val="none" w:sz="0" w:space="0" w:color="auto"/>
              </w:divBdr>
            </w:div>
            <w:div w:id="1541358686">
              <w:marLeft w:val="0"/>
              <w:marRight w:val="0"/>
              <w:marTop w:val="0"/>
              <w:marBottom w:val="0"/>
              <w:divBdr>
                <w:top w:val="none" w:sz="0" w:space="0" w:color="auto"/>
                <w:left w:val="none" w:sz="0" w:space="0" w:color="auto"/>
                <w:bottom w:val="none" w:sz="0" w:space="0" w:color="auto"/>
                <w:right w:val="none" w:sz="0" w:space="0" w:color="auto"/>
              </w:divBdr>
            </w:div>
            <w:div w:id="1401363937">
              <w:marLeft w:val="0"/>
              <w:marRight w:val="0"/>
              <w:marTop w:val="0"/>
              <w:marBottom w:val="0"/>
              <w:divBdr>
                <w:top w:val="none" w:sz="0" w:space="0" w:color="auto"/>
                <w:left w:val="none" w:sz="0" w:space="0" w:color="auto"/>
                <w:bottom w:val="none" w:sz="0" w:space="0" w:color="auto"/>
                <w:right w:val="none" w:sz="0" w:space="0" w:color="auto"/>
              </w:divBdr>
            </w:div>
            <w:div w:id="1163861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948642">
      <w:bodyDiv w:val="1"/>
      <w:marLeft w:val="0"/>
      <w:marRight w:val="0"/>
      <w:marTop w:val="0"/>
      <w:marBottom w:val="0"/>
      <w:divBdr>
        <w:top w:val="none" w:sz="0" w:space="0" w:color="auto"/>
        <w:left w:val="none" w:sz="0" w:space="0" w:color="auto"/>
        <w:bottom w:val="none" w:sz="0" w:space="0" w:color="auto"/>
        <w:right w:val="none" w:sz="0" w:space="0" w:color="auto"/>
      </w:divBdr>
      <w:divsChild>
        <w:div w:id="819537707">
          <w:marLeft w:val="0"/>
          <w:marRight w:val="0"/>
          <w:marTop w:val="0"/>
          <w:marBottom w:val="0"/>
          <w:divBdr>
            <w:top w:val="none" w:sz="0" w:space="0" w:color="auto"/>
            <w:left w:val="none" w:sz="0" w:space="0" w:color="auto"/>
            <w:bottom w:val="none" w:sz="0" w:space="0" w:color="auto"/>
            <w:right w:val="none" w:sz="0" w:space="0" w:color="auto"/>
          </w:divBdr>
          <w:divsChild>
            <w:div w:id="1409890136">
              <w:marLeft w:val="0"/>
              <w:marRight w:val="0"/>
              <w:marTop w:val="0"/>
              <w:marBottom w:val="0"/>
              <w:divBdr>
                <w:top w:val="none" w:sz="0" w:space="0" w:color="auto"/>
                <w:left w:val="none" w:sz="0" w:space="0" w:color="auto"/>
                <w:bottom w:val="none" w:sz="0" w:space="0" w:color="auto"/>
                <w:right w:val="none" w:sz="0" w:space="0" w:color="auto"/>
              </w:divBdr>
              <w:divsChild>
                <w:div w:id="691952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8563369">
      <w:bodyDiv w:val="1"/>
      <w:marLeft w:val="0"/>
      <w:marRight w:val="0"/>
      <w:marTop w:val="0"/>
      <w:marBottom w:val="0"/>
      <w:divBdr>
        <w:top w:val="none" w:sz="0" w:space="0" w:color="auto"/>
        <w:left w:val="none" w:sz="0" w:space="0" w:color="auto"/>
        <w:bottom w:val="none" w:sz="0" w:space="0" w:color="auto"/>
        <w:right w:val="none" w:sz="0" w:space="0" w:color="auto"/>
      </w:divBdr>
    </w:div>
    <w:div w:id="510754488">
      <w:bodyDiv w:val="1"/>
      <w:marLeft w:val="0"/>
      <w:marRight w:val="0"/>
      <w:marTop w:val="0"/>
      <w:marBottom w:val="0"/>
      <w:divBdr>
        <w:top w:val="none" w:sz="0" w:space="0" w:color="auto"/>
        <w:left w:val="none" w:sz="0" w:space="0" w:color="auto"/>
        <w:bottom w:val="none" w:sz="0" w:space="0" w:color="auto"/>
        <w:right w:val="none" w:sz="0" w:space="0" w:color="auto"/>
      </w:divBdr>
    </w:div>
    <w:div w:id="512232293">
      <w:bodyDiv w:val="1"/>
      <w:marLeft w:val="0"/>
      <w:marRight w:val="0"/>
      <w:marTop w:val="0"/>
      <w:marBottom w:val="0"/>
      <w:divBdr>
        <w:top w:val="none" w:sz="0" w:space="0" w:color="auto"/>
        <w:left w:val="none" w:sz="0" w:space="0" w:color="auto"/>
        <w:bottom w:val="none" w:sz="0" w:space="0" w:color="auto"/>
        <w:right w:val="none" w:sz="0" w:space="0" w:color="auto"/>
      </w:divBdr>
    </w:div>
    <w:div w:id="523522132">
      <w:bodyDiv w:val="1"/>
      <w:marLeft w:val="0"/>
      <w:marRight w:val="0"/>
      <w:marTop w:val="0"/>
      <w:marBottom w:val="0"/>
      <w:divBdr>
        <w:top w:val="none" w:sz="0" w:space="0" w:color="auto"/>
        <w:left w:val="none" w:sz="0" w:space="0" w:color="auto"/>
        <w:bottom w:val="none" w:sz="0" w:space="0" w:color="auto"/>
        <w:right w:val="none" w:sz="0" w:space="0" w:color="auto"/>
      </w:divBdr>
      <w:divsChild>
        <w:div w:id="2082553411">
          <w:marLeft w:val="0"/>
          <w:marRight w:val="0"/>
          <w:marTop w:val="0"/>
          <w:marBottom w:val="0"/>
          <w:divBdr>
            <w:top w:val="none" w:sz="0" w:space="0" w:color="auto"/>
            <w:left w:val="none" w:sz="0" w:space="0" w:color="auto"/>
            <w:bottom w:val="none" w:sz="0" w:space="0" w:color="auto"/>
            <w:right w:val="none" w:sz="0" w:space="0" w:color="auto"/>
          </w:divBdr>
          <w:divsChild>
            <w:div w:id="1893226138">
              <w:marLeft w:val="0"/>
              <w:marRight w:val="0"/>
              <w:marTop w:val="0"/>
              <w:marBottom w:val="0"/>
              <w:divBdr>
                <w:top w:val="none" w:sz="0" w:space="0" w:color="auto"/>
                <w:left w:val="none" w:sz="0" w:space="0" w:color="auto"/>
                <w:bottom w:val="none" w:sz="0" w:space="0" w:color="auto"/>
                <w:right w:val="none" w:sz="0" w:space="0" w:color="auto"/>
              </w:divBdr>
              <w:divsChild>
                <w:div w:id="1088620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5212153">
      <w:bodyDiv w:val="1"/>
      <w:marLeft w:val="0"/>
      <w:marRight w:val="0"/>
      <w:marTop w:val="0"/>
      <w:marBottom w:val="0"/>
      <w:divBdr>
        <w:top w:val="none" w:sz="0" w:space="0" w:color="auto"/>
        <w:left w:val="none" w:sz="0" w:space="0" w:color="auto"/>
        <w:bottom w:val="none" w:sz="0" w:space="0" w:color="auto"/>
        <w:right w:val="none" w:sz="0" w:space="0" w:color="auto"/>
      </w:divBdr>
      <w:divsChild>
        <w:div w:id="1701324343">
          <w:marLeft w:val="0"/>
          <w:marRight w:val="0"/>
          <w:marTop w:val="0"/>
          <w:marBottom w:val="0"/>
          <w:divBdr>
            <w:top w:val="none" w:sz="0" w:space="0" w:color="auto"/>
            <w:left w:val="none" w:sz="0" w:space="0" w:color="auto"/>
            <w:bottom w:val="none" w:sz="0" w:space="0" w:color="auto"/>
            <w:right w:val="none" w:sz="0" w:space="0" w:color="auto"/>
          </w:divBdr>
        </w:div>
        <w:div w:id="939409035">
          <w:marLeft w:val="0"/>
          <w:marRight w:val="0"/>
          <w:marTop w:val="0"/>
          <w:marBottom w:val="0"/>
          <w:divBdr>
            <w:top w:val="none" w:sz="0" w:space="0" w:color="auto"/>
            <w:left w:val="none" w:sz="0" w:space="0" w:color="auto"/>
            <w:bottom w:val="none" w:sz="0" w:space="0" w:color="auto"/>
            <w:right w:val="none" w:sz="0" w:space="0" w:color="auto"/>
          </w:divBdr>
          <w:divsChild>
            <w:div w:id="705133314">
              <w:marLeft w:val="0"/>
              <w:marRight w:val="0"/>
              <w:marTop w:val="0"/>
              <w:marBottom w:val="0"/>
              <w:divBdr>
                <w:top w:val="none" w:sz="0" w:space="0" w:color="auto"/>
                <w:left w:val="none" w:sz="0" w:space="0" w:color="auto"/>
                <w:bottom w:val="none" w:sz="0" w:space="0" w:color="auto"/>
                <w:right w:val="none" w:sz="0" w:space="0" w:color="auto"/>
              </w:divBdr>
            </w:div>
          </w:divsChild>
        </w:div>
        <w:div w:id="1115977753">
          <w:marLeft w:val="0"/>
          <w:marRight w:val="0"/>
          <w:marTop w:val="0"/>
          <w:marBottom w:val="0"/>
          <w:divBdr>
            <w:top w:val="none" w:sz="0" w:space="0" w:color="auto"/>
            <w:left w:val="none" w:sz="0" w:space="0" w:color="auto"/>
            <w:bottom w:val="none" w:sz="0" w:space="0" w:color="auto"/>
            <w:right w:val="none" w:sz="0" w:space="0" w:color="auto"/>
          </w:divBdr>
          <w:divsChild>
            <w:div w:id="1978945567">
              <w:marLeft w:val="0"/>
              <w:marRight w:val="0"/>
              <w:marTop w:val="0"/>
              <w:marBottom w:val="0"/>
              <w:divBdr>
                <w:top w:val="none" w:sz="0" w:space="0" w:color="auto"/>
                <w:left w:val="none" w:sz="0" w:space="0" w:color="auto"/>
                <w:bottom w:val="none" w:sz="0" w:space="0" w:color="auto"/>
                <w:right w:val="none" w:sz="0" w:space="0" w:color="auto"/>
              </w:divBdr>
            </w:div>
          </w:divsChild>
        </w:div>
        <w:div w:id="1854880431">
          <w:marLeft w:val="0"/>
          <w:marRight w:val="0"/>
          <w:marTop w:val="0"/>
          <w:marBottom w:val="0"/>
          <w:divBdr>
            <w:top w:val="none" w:sz="0" w:space="0" w:color="auto"/>
            <w:left w:val="none" w:sz="0" w:space="0" w:color="auto"/>
            <w:bottom w:val="none" w:sz="0" w:space="0" w:color="auto"/>
            <w:right w:val="none" w:sz="0" w:space="0" w:color="auto"/>
          </w:divBdr>
          <w:divsChild>
            <w:div w:id="2146005046">
              <w:marLeft w:val="0"/>
              <w:marRight w:val="0"/>
              <w:marTop w:val="0"/>
              <w:marBottom w:val="0"/>
              <w:divBdr>
                <w:top w:val="none" w:sz="0" w:space="0" w:color="auto"/>
                <w:left w:val="none" w:sz="0" w:space="0" w:color="auto"/>
                <w:bottom w:val="none" w:sz="0" w:space="0" w:color="auto"/>
                <w:right w:val="none" w:sz="0" w:space="0" w:color="auto"/>
              </w:divBdr>
            </w:div>
          </w:divsChild>
        </w:div>
        <w:div w:id="45107511">
          <w:marLeft w:val="0"/>
          <w:marRight w:val="0"/>
          <w:marTop w:val="0"/>
          <w:marBottom w:val="0"/>
          <w:divBdr>
            <w:top w:val="none" w:sz="0" w:space="0" w:color="auto"/>
            <w:left w:val="none" w:sz="0" w:space="0" w:color="auto"/>
            <w:bottom w:val="none" w:sz="0" w:space="0" w:color="auto"/>
            <w:right w:val="none" w:sz="0" w:space="0" w:color="auto"/>
          </w:divBdr>
          <w:divsChild>
            <w:div w:id="1398819625">
              <w:marLeft w:val="0"/>
              <w:marRight w:val="0"/>
              <w:marTop w:val="0"/>
              <w:marBottom w:val="0"/>
              <w:divBdr>
                <w:top w:val="none" w:sz="0" w:space="0" w:color="auto"/>
                <w:left w:val="none" w:sz="0" w:space="0" w:color="auto"/>
                <w:bottom w:val="none" w:sz="0" w:space="0" w:color="auto"/>
                <w:right w:val="none" w:sz="0" w:space="0" w:color="auto"/>
              </w:divBdr>
            </w:div>
          </w:divsChild>
        </w:div>
        <w:div w:id="300186750">
          <w:marLeft w:val="0"/>
          <w:marRight w:val="0"/>
          <w:marTop w:val="0"/>
          <w:marBottom w:val="0"/>
          <w:divBdr>
            <w:top w:val="none" w:sz="0" w:space="0" w:color="auto"/>
            <w:left w:val="none" w:sz="0" w:space="0" w:color="auto"/>
            <w:bottom w:val="none" w:sz="0" w:space="0" w:color="auto"/>
            <w:right w:val="none" w:sz="0" w:space="0" w:color="auto"/>
          </w:divBdr>
          <w:divsChild>
            <w:div w:id="1866674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0728514">
      <w:bodyDiv w:val="1"/>
      <w:marLeft w:val="0"/>
      <w:marRight w:val="0"/>
      <w:marTop w:val="0"/>
      <w:marBottom w:val="0"/>
      <w:divBdr>
        <w:top w:val="none" w:sz="0" w:space="0" w:color="auto"/>
        <w:left w:val="none" w:sz="0" w:space="0" w:color="auto"/>
        <w:bottom w:val="none" w:sz="0" w:space="0" w:color="auto"/>
        <w:right w:val="none" w:sz="0" w:space="0" w:color="auto"/>
      </w:divBdr>
    </w:div>
    <w:div w:id="536508678">
      <w:bodyDiv w:val="1"/>
      <w:marLeft w:val="0"/>
      <w:marRight w:val="0"/>
      <w:marTop w:val="0"/>
      <w:marBottom w:val="0"/>
      <w:divBdr>
        <w:top w:val="none" w:sz="0" w:space="0" w:color="auto"/>
        <w:left w:val="none" w:sz="0" w:space="0" w:color="auto"/>
        <w:bottom w:val="none" w:sz="0" w:space="0" w:color="auto"/>
        <w:right w:val="none" w:sz="0" w:space="0" w:color="auto"/>
      </w:divBdr>
    </w:div>
    <w:div w:id="548765488">
      <w:bodyDiv w:val="1"/>
      <w:marLeft w:val="0"/>
      <w:marRight w:val="0"/>
      <w:marTop w:val="0"/>
      <w:marBottom w:val="0"/>
      <w:divBdr>
        <w:top w:val="none" w:sz="0" w:space="0" w:color="auto"/>
        <w:left w:val="none" w:sz="0" w:space="0" w:color="auto"/>
        <w:bottom w:val="none" w:sz="0" w:space="0" w:color="auto"/>
        <w:right w:val="none" w:sz="0" w:space="0" w:color="auto"/>
      </w:divBdr>
    </w:div>
    <w:div w:id="550195590">
      <w:bodyDiv w:val="1"/>
      <w:marLeft w:val="0"/>
      <w:marRight w:val="0"/>
      <w:marTop w:val="0"/>
      <w:marBottom w:val="0"/>
      <w:divBdr>
        <w:top w:val="none" w:sz="0" w:space="0" w:color="auto"/>
        <w:left w:val="none" w:sz="0" w:space="0" w:color="auto"/>
        <w:bottom w:val="none" w:sz="0" w:space="0" w:color="auto"/>
        <w:right w:val="none" w:sz="0" w:space="0" w:color="auto"/>
      </w:divBdr>
    </w:div>
    <w:div w:id="555747437">
      <w:bodyDiv w:val="1"/>
      <w:marLeft w:val="0"/>
      <w:marRight w:val="0"/>
      <w:marTop w:val="0"/>
      <w:marBottom w:val="0"/>
      <w:divBdr>
        <w:top w:val="none" w:sz="0" w:space="0" w:color="auto"/>
        <w:left w:val="none" w:sz="0" w:space="0" w:color="auto"/>
        <w:bottom w:val="none" w:sz="0" w:space="0" w:color="auto"/>
        <w:right w:val="none" w:sz="0" w:space="0" w:color="auto"/>
      </w:divBdr>
    </w:div>
    <w:div w:id="564877999">
      <w:bodyDiv w:val="1"/>
      <w:marLeft w:val="0"/>
      <w:marRight w:val="0"/>
      <w:marTop w:val="0"/>
      <w:marBottom w:val="0"/>
      <w:divBdr>
        <w:top w:val="none" w:sz="0" w:space="0" w:color="auto"/>
        <w:left w:val="none" w:sz="0" w:space="0" w:color="auto"/>
        <w:bottom w:val="none" w:sz="0" w:space="0" w:color="auto"/>
        <w:right w:val="none" w:sz="0" w:space="0" w:color="auto"/>
      </w:divBdr>
    </w:div>
    <w:div w:id="565189982">
      <w:bodyDiv w:val="1"/>
      <w:marLeft w:val="0"/>
      <w:marRight w:val="0"/>
      <w:marTop w:val="0"/>
      <w:marBottom w:val="0"/>
      <w:divBdr>
        <w:top w:val="none" w:sz="0" w:space="0" w:color="auto"/>
        <w:left w:val="none" w:sz="0" w:space="0" w:color="auto"/>
        <w:bottom w:val="none" w:sz="0" w:space="0" w:color="auto"/>
        <w:right w:val="none" w:sz="0" w:space="0" w:color="auto"/>
      </w:divBdr>
    </w:div>
    <w:div w:id="581647154">
      <w:bodyDiv w:val="1"/>
      <w:marLeft w:val="0"/>
      <w:marRight w:val="0"/>
      <w:marTop w:val="0"/>
      <w:marBottom w:val="0"/>
      <w:divBdr>
        <w:top w:val="none" w:sz="0" w:space="0" w:color="auto"/>
        <w:left w:val="none" w:sz="0" w:space="0" w:color="auto"/>
        <w:bottom w:val="none" w:sz="0" w:space="0" w:color="auto"/>
        <w:right w:val="none" w:sz="0" w:space="0" w:color="auto"/>
      </w:divBdr>
      <w:divsChild>
        <w:div w:id="931744464">
          <w:marLeft w:val="0"/>
          <w:marRight w:val="0"/>
          <w:marTop w:val="0"/>
          <w:marBottom w:val="0"/>
          <w:divBdr>
            <w:top w:val="none" w:sz="0" w:space="0" w:color="auto"/>
            <w:left w:val="none" w:sz="0" w:space="0" w:color="auto"/>
            <w:bottom w:val="none" w:sz="0" w:space="0" w:color="auto"/>
            <w:right w:val="none" w:sz="0" w:space="0" w:color="auto"/>
          </w:divBdr>
          <w:divsChild>
            <w:div w:id="1924414980">
              <w:marLeft w:val="0"/>
              <w:marRight w:val="0"/>
              <w:marTop w:val="0"/>
              <w:marBottom w:val="0"/>
              <w:divBdr>
                <w:top w:val="none" w:sz="0" w:space="0" w:color="auto"/>
                <w:left w:val="none" w:sz="0" w:space="0" w:color="auto"/>
                <w:bottom w:val="none" w:sz="0" w:space="0" w:color="auto"/>
                <w:right w:val="none" w:sz="0" w:space="0" w:color="auto"/>
              </w:divBdr>
              <w:divsChild>
                <w:div w:id="1016156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407505">
      <w:bodyDiv w:val="1"/>
      <w:marLeft w:val="0"/>
      <w:marRight w:val="0"/>
      <w:marTop w:val="0"/>
      <w:marBottom w:val="0"/>
      <w:divBdr>
        <w:top w:val="none" w:sz="0" w:space="0" w:color="auto"/>
        <w:left w:val="none" w:sz="0" w:space="0" w:color="auto"/>
        <w:bottom w:val="none" w:sz="0" w:space="0" w:color="auto"/>
        <w:right w:val="none" w:sz="0" w:space="0" w:color="auto"/>
      </w:divBdr>
    </w:div>
    <w:div w:id="601642539">
      <w:bodyDiv w:val="1"/>
      <w:marLeft w:val="0"/>
      <w:marRight w:val="0"/>
      <w:marTop w:val="0"/>
      <w:marBottom w:val="0"/>
      <w:divBdr>
        <w:top w:val="none" w:sz="0" w:space="0" w:color="auto"/>
        <w:left w:val="none" w:sz="0" w:space="0" w:color="auto"/>
        <w:bottom w:val="none" w:sz="0" w:space="0" w:color="auto"/>
        <w:right w:val="none" w:sz="0" w:space="0" w:color="auto"/>
      </w:divBdr>
      <w:divsChild>
        <w:div w:id="951015221">
          <w:marLeft w:val="0"/>
          <w:marRight w:val="0"/>
          <w:marTop w:val="0"/>
          <w:marBottom w:val="0"/>
          <w:divBdr>
            <w:top w:val="none" w:sz="0" w:space="0" w:color="auto"/>
            <w:left w:val="none" w:sz="0" w:space="0" w:color="auto"/>
            <w:bottom w:val="none" w:sz="0" w:space="0" w:color="auto"/>
            <w:right w:val="none" w:sz="0" w:space="0" w:color="auto"/>
          </w:divBdr>
          <w:divsChild>
            <w:div w:id="629288895">
              <w:marLeft w:val="0"/>
              <w:marRight w:val="0"/>
              <w:marTop w:val="0"/>
              <w:marBottom w:val="0"/>
              <w:divBdr>
                <w:top w:val="none" w:sz="0" w:space="0" w:color="auto"/>
                <w:left w:val="none" w:sz="0" w:space="0" w:color="auto"/>
                <w:bottom w:val="none" w:sz="0" w:space="0" w:color="auto"/>
                <w:right w:val="none" w:sz="0" w:space="0" w:color="auto"/>
              </w:divBdr>
              <w:divsChild>
                <w:div w:id="1217859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2689616">
      <w:bodyDiv w:val="1"/>
      <w:marLeft w:val="0"/>
      <w:marRight w:val="0"/>
      <w:marTop w:val="0"/>
      <w:marBottom w:val="0"/>
      <w:divBdr>
        <w:top w:val="none" w:sz="0" w:space="0" w:color="auto"/>
        <w:left w:val="none" w:sz="0" w:space="0" w:color="auto"/>
        <w:bottom w:val="none" w:sz="0" w:space="0" w:color="auto"/>
        <w:right w:val="none" w:sz="0" w:space="0" w:color="auto"/>
      </w:divBdr>
      <w:divsChild>
        <w:div w:id="460417649">
          <w:marLeft w:val="0"/>
          <w:marRight w:val="0"/>
          <w:marTop w:val="0"/>
          <w:marBottom w:val="0"/>
          <w:divBdr>
            <w:top w:val="none" w:sz="0" w:space="0" w:color="auto"/>
            <w:left w:val="none" w:sz="0" w:space="0" w:color="auto"/>
            <w:bottom w:val="none" w:sz="0" w:space="0" w:color="auto"/>
            <w:right w:val="none" w:sz="0" w:space="0" w:color="auto"/>
          </w:divBdr>
          <w:divsChild>
            <w:div w:id="386799191">
              <w:marLeft w:val="0"/>
              <w:marRight w:val="0"/>
              <w:marTop w:val="0"/>
              <w:marBottom w:val="0"/>
              <w:divBdr>
                <w:top w:val="none" w:sz="0" w:space="0" w:color="auto"/>
                <w:left w:val="none" w:sz="0" w:space="0" w:color="auto"/>
                <w:bottom w:val="none" w:sz="0" w:space="0" w:color="auto"/>
                <w:right w:val="none" w:sz="0" w:space="0" w:color="auto"/>
              </w:divBdr>
              <w:divsChild>
                <w:div w:id="353116446">
                  <w:marLeft w:val="0"/>
                  <w:marRight w:val="0"/>
                  <w:marTop w:val="0"/>
                  <w:marBottom w:val="0"/>
                  <w:divBdr>
                    <w:top w:val="none" w:sz="0" w:space="0" w:color="auto"/>
                    <w:left w:val="none" w:sz="0" w:space="0" w:color="auto"/>
                    <w:bottom w:val="none" w:sz="0" w:space="0" w:color="auto"/>
                    <w:right w:val="none" w:sz="0" w:space="0" w:color="auto"/>
                  </w:divBdr>
                  <w:divsChild>
                    <w:div w:id="867183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9846009">
      <w:bodyDiv w:val="1"/>
      <w:marLeft w:val="0"/>
      <w:marRight w:val="0"/>
      <w:marTop w:val="0"/>
      <w:marBottom w:val="0"/>
      <w:divBdr>
        <w:top w:val="none" w:sz="0" w:space="0" w:color="auto"/>
        <w:left w:val="none" w:sz="0" w:space="0" w:color="auto"/>
        <w:bottom w:val="none" w:sz="0" w:space="0" w:color="auto"/>
        <w:right w:val="none" w:sz="0" w:space="0" w:color="auto"/>
      </w:divBdr>
      <w:divsChild>
        <w:div w:id="137571566">
          <w:marLeft w:val="0"/>
          <w:marRight w:val="0"/>
          <w:marTop w:val="0"/>
          <w:marBottom w:val="0"/>
          <w:divBdr>
            <w:top w:val="none" w:sz="0" w:space="0" w:color="auto"/>
            <w:left w:val="none" w:sz="0" w:space="0" w:color="auto"/>
            <w:bottom w:val="none" w:sz="0" w:space="0" w:color="auto"/>
            <w:right w:val="none" w:sz="0" w:space="0" w:color="auto"/>
          </w:divBdr>
        </w:div>
        <w:div w:id="776950387">
          <w:marLeft w:val="0"/>
          <w:marRight w:val="0"/>
          <w:marTop w:val="0"/>
          <w:marBottom w:val="0"/>
          <w:divBdr>
            <w:top w:val="none" w:sz="0" w:space="0" w:color="auto"/>
            <w:left w:val="none" w:sz="0" w:space="0" w:color="auto"/>
            <w:bottom w:val="none" w:sz="0" w:space="0" w:color="auto"/>
            <w:right w:val="none" w:sz="0" w:space="0" w:color="auto"/>
          </w:divBdr>
        </w:div>
        <w:div w:id="910965516">
          <w:marLeft w:val="0"/>
          <w:marRight w:val="0"/>
          <w:marTop w:val="0"/>
          <w:marBottom w:val="0"/>
          <w:divBdr>
            <w:top w:val="none" w:sz="0" w:space="0" w:color="auto"/>
            <w:left w:val="none" w:sz="0" w:space="0" w:color="auto"/>
            <w:bottom w:val="none" w:sz="0" w:space="0" w:color="auto"/>
            <w:right w:val="none" w:sz="0" w:space="0" w:color="auto"/>
          </w:divBdr>
        </w:div>
        <w:div w:id="1321274061">
          <w:marLeft w:val="0"/>
          <w:marRight w:val="0"/>
          <w:marTop w:val="0"/>
          <w:marBottom w:val="0"/>
          <w:divBdr>
            <w:top w:val="none" w:sz="0" w:space="0" w:color="auto"/>
            <w:left w:val="none" w:sz="0" w:space="0" w:color="auto"/>
            <w:bottom w:val="none" w:sz="0" w:space="0" w:color="auto"/>
            <w:right w:val="none" w:sz="0" w:space="0" w:color="auto"/>
          </w:divBdr>
        </w:div>
        <w:div w:id="1897934208">
          <w:marLeft w:val="0"/>
          <w:marRight w:val="0"/>
          <w:marTop w:val="0"/>
          <w:marBottom w:val="0"/>
          <w:divBdr>
            <w:top w:val="none" w:sz="0" w:space="0" w:color="auto"/>
            <w:left w:val="none" w:sz="0" w:space="0" w:color="auto"/>
            <w:bottom w:val="none" w:sz="0" w:space="0" w:color="auto"/>
            <w:right w:val="none" w:sz="0" w:space="0" w:color="auto"/>
          </w:divBdr>
        </w:div>
        <w:div w:id="326787748">
          <w:marLeft w:val="0"/>
          <w:marRight w:val="0"/>
          <w:marTop w:val="0"/>
          <w:marBottom w:val="0"/>
          <w:divBdr>
            <w:top w:val="none" w:sz="0" w:space="0" w:color="auto"/>
            <w:left w:val="none" w:sz="0" w:space="0" w:color="auto"/>
            <w:bottom w:val="none" w:sz="0" w:space="0" w:color="auto"/>
            <w:right w:val="none" w:sz="0" w:space="0" w:color="auto"/>
          </w:divBdr>
        </w:div>
        <w:div w:id="1145732085">
          <w:marLeft w:val="0"/>
          <w:marRight w:val="0"/>
          <w:marTop w:val="0"/>
          <w:marBottom w:val="0"/>
          <w:divBdr>
            <w:top w:val="none" w:sz="0" w:space="0" w:color="auto"/>
            <w:left w:val="none" w:sz="0" w:space="0" w:color="auto"/>
            <w:bottom w:val="none" w:sz="0" w:space="0" w:color="auto"/>
            <w:right w:val="none" w:sz="0" w:space="0" w:color="auto"/>
          </w:divBdr>
        </w:div>
        <w:div w:id="469977109">
          <w:marLeft w:val="0"/>
          <w:marRight w:val="0"/>
          <w:marTop w:val="0"/>
          <w:marBottom w:val="0"/>
          <w:divBdr>
            <w:top w:val="none" w:sz="0" w:space="0" w:color="auto"/>
            <w:left w:val="none" w:sz="0" w:space="0" w:color="auto"/>
            <w:bottom w:val="none" w:sz="0" w:space="0" w:color="auto"/>
            <w:right w:val="none" w:sz="0" w:space="0" w:color="auto"/>
          </w:divBdr>
        </w:div>
        <w:div w:id="1847742798">
          <w:marLeft w:val="0"/>
          <w:marRight w:val="0"/>
          <w:marTop w:val="0"/>
          <w:marBottom w:val="0"/>
          <w:divBdr>
            <w:top w:val="none" w:sz="0" w:space="0" w:color="auto"/>
            <w:left w:val="none" w:sz="0" w:space="0" w:color="auto"/>
            <w:bottom w:val="none" w:sz="0" w:space="0" w:color="auto"/>
            <w:right w:val="none" w:sz="0" w:space="0" w:color="auto"/>
          </w:divBdr>
        </w:div>
        <w:div w:id="754977389">
          <w:marLeft w:val="0"/>
          <w:marRight w:val="0"/>
          <w:marTop w:val="0"/>
          <w:marBottom w:val="0"/>
          <w:divBdr>
            <w:top w:val="none" w:sz="0" w:space="0" w:color="auto"/>
            <w:left w:val="none" w:sz="0" w:space="0" w:color="auto"/>
            <w:bottom w:val="none" w:sz="0" w:space="0" w:color="auto"/>
            <w:right w:val="none" w:sz="0" w:space="0" w:color="auto"/>
          </w:divBdr>
        </w:div>
        <w:div w:id="237255211">
          <w:marLeft w:val="0"/>
          <w:marRight w:val="0"/>
          <w:marTop w:val="0"/>
          <w:marBottom w:val="0"/>
          <w:divBdr>
            <w:top w:val="none" w:sz="0" w:space="0" w:color="auto"/>
            <w:left w:val="none" w:sz="0" w:space="0" w:color="auto"/>
            <w:bottom w:val="none" w:sz="0" w:space="0" w:color="auto"/>
            <w:right w:val="none" w:sz="0" w:space="0" w:color="auto"/>
          </w:divBdr>
        </w:div>
        <w:div w:id="218594642">
          <w:marLeft w:val="0"/>
          <w:marRight w:val="0"/>
          <w:marTop w:val="0"/>
          <w:marBottom w:val="0"/>
          <w:divBdr>
            <w:top w:val="none" w:sz="0" w:space="0" w:color="auto"/>
            <w:left w:val="none" w:sz="0" w:space="0" w:color="auto"/>
            <w:bottom w:val="none" w:sz="0" w:space="0" w:color="auto"/>
            <w:right w:val="none" w:sz="0" w:space="0" w:color="auto"/>
          </w:divBdr>
        </w:div>
        <w:div w:id="1396783654">
          <w:marLeft w:val="0"/>
          <w:marRight w:val="0"/>
          <w:marTop w:val="0"/>
          <w:marBottom w:val="0"/>
          <w:divBdr>
            <w:top w:val="none" w:sz="0" w:space="0" w:color="auto"/>
            <w:left w:val="none" w:sz="0" w:space="0" w:color="auto"/>
            <w:bottom w:val="none" w:sz="0" w:space="0" w:color="auto"/>
            <w:right w:val="none" w:sz="0" w:space="0" w:color="auto"/>
          </w:divBdr>
        </w:div>
        <w:div w:id="1592926720">
          <w:marLeft w:val="0"/>
          <w:marRight w:val="0"/>
          <w:marTop w:val="0"/>
          <w:marBottom w:val="0"/>
          <w:divBdr>
            <w:top w:val="none" w:sz="0" w:space="0" w:color="auto"/>
            <w:left w:val="none" w:sz="0" w:space="0" w:color="auto"/>
            <w:bottom w:val="none" w:sz="0" w:space="0" w:color="auto"/>
            <w:right w:val="none" w:sz="0" w:space="0" w:color="auto"/>
          </w:divBdr>
        </w:div>
        <w:div w:id="1953172906">
          <w:marLeft w:val="0"/>
          <w:marRight w:val="0"/>
          <w:marTop w:val="0"/>
          <w:marBottom w:val="0"/>
          <w:divBdr>
            <w:top w:val="none" w:sz="0" w:space="0" w:color="auto"/>
            <w:left w:val="none" w:sz="0" w:space="0" w:color="auto"/>
            <w:bottom w:val="none" w:sz="0" w:space="0" w:color="auto"/>
            <w:right w:val="none" w:sz="0" w:space="0" w:color="auto"/>
          </w:divBdr>
        </w:div>
        <w:div w:id="797845415">
          <w:marLeft w:val="0"/>
          <w:marRight w:val="0"/>
          <w:marTop w:val="0"/>
          <w:marBottom w:val="0"/>
          <w:divBdr>
            <w:top w:val="none" w:sz="0" w:space="0" w:color="auto"/>
            <w:left w:val="none" w:sz="0" w:space="0" w:color="auto"/>
            <w:bottom w:val="none" w:sz="0" w:space="0" w:color="auto"/>
            <w:right w:val="none" w:sz="0" w:space="0" w:color="auto"/>
          </w:divBdr>
        </w:div>
        <w:div w:id="1252548912">
          <w:marLeft w:val="0"/>
          <w:marRight w:val="0"/>
          <w:marTop w:val="0"/>
          <w:marBottom w:val="0"/>
          <w:divBdr>
            <w:top w:val="none" w:sz="0" w:space="0" w:color="auto"/>
            <w:left w:val="none" w:sz="0" w:space="0" w:color="auto"/>
            <w:bottom w:val="none" w:sz="0" w:space="0" w:color="auto"/>
            <w:right w:val="none" w:sz="0" w:space="0" w:color="auto"/>
          </w:divBdr>
        </w:div>
        <w:div w:id="132909867">
          <w:marLeft w:val="0"/>
          <w:marRight w:val="0"/>
          <w:marTop w:val="0"/>
          <w:marBottom w:val="0"/>
          <w:divBdr>
            <w:top w:val="none" w:sz="0" w:space="0" w:color="auto"/>
            <w:left w:val="none" w:sz="0" w:space="0" w:color="auto"/>
            <w:bottom w:val="none" w:sz="0" w:space="0" w:color="auto"/>
            <w:right w:val="none" w:sz="0" w:space="0" w:color="auto"/>
          </w:divBdr>
        </w:div>
        <w:div w:id="2121073037">
          <w:marLeft w:val="0"/>
          <w:marRight w:val="0"/>
          <w:marTop w:val="0"/>
          <w:marBottom w:val="0"/>
          <w:divBdr>
            <w:top w:val="none" w:sz="0" w:space="0" w:color="auto"/>
            <w:left w:val="none" w:sz="0" w:space="0" w:color="auto"/>
            <w:bottom w:val="none" w:sz="0" w:space="0" w:color="auto"/>
            <w:right w:val="none" w:sz="0" w:space="0" w:color="auto"/>
          </w:divBdr>
        </w:div>
        <w:div w:id="1987784308">
          <w:marLeft w:val="0"/>
          <w:marRight w:val="0"/>
          <w:marTop w:val="0"/>
          <w:marBottom w:val="0"/>
          <w:divBdr>
            <w:top w:val="none" w:sz="0" w:space="0" w:color="auto"/>
            <w:left w:val="none" w:sz="0" w:space="0" w:color="auto"/>
            <w:bottom w:val="none" w:sz="0" w:space="0" w:color="auto"/>
            <w:right w:val="none" w:sz="0" w:space="0" w:color="auto"/>
          </w:divBdr>
        </w:div>
        <w:div w:id="454369506">
          <w:marLeft w:val="0"/>
          <w:marRight w:val="0"/>
          <w:marTop w:val="0"/>
          <w:marBottom w:val="0"/>
          <w:divBdr>
            <w:top w:val="none" w:sz="0" w:space="0" w:color="auto"/>
            <w:left w:val="none" w:sz="0" w:space="0" w:color="auto"/>
            <w:bottom w:val="none" w:sz="0" w:space="0" w:color="auto"/>
            <w:right w:val="none" w:sz="0" w:space="0" w:color="auto"/>
          </w:divBdr>
        </w:div>
        <w:div w:id="217324288">
          <w:marLeft w:val="0"/>
          <w:marRight w:val="0"/>
          <w:marTop w:val="0"/>
          <w:marBottom w:val="0"/>
          <w:divBdr>
            <w:top w:val="none" w:sz="0" w:space="0" w:color="auto"/>
            <w:left w:val="none" w:sz="0" w:space="0" w:color="auto"/>
            <w:bottom w:val="none" w:sz="0" w:space="0" w:color="auto"/>
            <w:right w:val="none" w:sz="0" w:space="0" w:color="auto"/>
          </w:divBdr>
        </w:div>
        <w:div w:id="1636056527">
          <w:marLeft w:val="0"/>
          <w:marRight w:val="0"/>
          <w:marTop w:val="0"/>
          <w:marBottom w:val="0"/>
          <w:divBdr>
            <w:top w:val="none" w:sz="0" w:space="0" w:color="auto"/>
            <w:left w:val="none" w:sz="0" w:space="0" w:color="auto"/>
            <w:bottom w:val="none" w:sz="0" w:space="0" w:color="auto"/>
            <w:right w:val="none" w:sz="0" w:space="0" w:color="auto"/>
          </w:divBdr>
        </w:div>
        <w:div w:id="1275019623">
          <w:marLeft w:val="0"/>
          <w:marRight w:val="0"/>
          <w:marTop w:val="0"/>
          <w:marBottom w:val="0"/>
          <w:divBdr>
            <w:top w:val="none" w:sz="0" w:space="0" w:color="auto"/>
            <w:left w:val="none" w:sz="0" w:space="0" w:color="auto"/>
            <w:bottom w:val="none" w:sz="0" w:space="0" w:color="auto"/>
            <w:right w:val="none" w:sz="0" w:space="0" w:color="auto"/>
          </w:divBdr>
        </w:div>
        <w:div w:id="852885648">
          <w:marLeft w:val="0"/>
          <w:marRight w:val="0"/>
          <w:marTop w:val="0"/>
          <w:marBottom w:val="0"/>
          <w:divBdr>
            <w:top w:val="none" w:sz="0" w:space="0" w:color="auto"/>
            <w:left w:val="none" w:sz="0" w:space="0" w:color="auto"/>
            <w:bottom w:val="none" w:sz="0" w:space="0" w:color="auto"/>
            <w:right w:val="none" w:sz="0" w:space="0" w:color="auto"/>
          </w:divBdr>
        </w:div>
        <w:div w:id="207229013">
          <w:marLeft w:val="0"/>
          <w:marRight w:val="0"/>
          <w:marTop w:val="0"/>
          <w:marBottom w:val="0"/>
          <w:divBdr>
            <w:top w:val="none" w:sz="0" w:space="0" w:color="auto"/>
            <w:left w:val="none" w:sz="0" w:space="0" w:color="auto"/>
            <w:bottom w:val="none" w:sz="0" w:space="0" w:color="auto"/>
            <w:right w:val="none" w:sz="0" w:space="0" w:color="auto"/>
          </w:divBdr>
        </w:div>
        <w:div w:id="137576350">
          <w:marLeft w:val="0"/>
          <w:marRight w:val="0"/>
          <w:marTop w:val="0"/>
          <w:marBottom w:val="0"/>
          <w:divBdr>
            <w:top w:val="none" w:sz="0" w:space="0" w:color="auto"/>
            <w:left w:val="none" w:sz="0" w:space="0" w:color="auto"/>
            <w:bottom w:val="none" w:sz="0" w:space="0" w:color="auto"/>
            <w:right w:val="none" w:sz="0" w:space="0" w:color="auto"/>
          </w:divBdr>
        </w:div>
        <w:div w:id="473987455">
          <w:marLeft w:val="0"/>
          <w:marRight w:val="0"/>
          <w:marTop w:val="0"/>
          <w:marBottom w:val="0"/>
          <w:divBdr>
            <w:top w:val="none" w:sz="0" w:space="0" w:color="auto"/>
            <w:left w:val="none" w:sz="0" w:space="0" w:color="auto"/>
            <w:bottom w:val="none" w:sz="0" w:space="0" w:color="auto"/>
            <w:right w:val="none" w:sz="0" w:space="0" w:color="auto"/>
          </w:divBdr>
        </w:div>
        <w:div w:id="598680142">
          <w:marLeft w:val="0"/>
          <w:marRight w:val="0"/>
          <w:marTop w:val="0"/>
          <w:marBottom w:val="0"/>
          <w:divBdr>
            <w:top w:val="none" w:sz="0" w:space="0" w:color="auto"/>
            <w:left w:val="none" w:sz="0" w:space="0" w:color="auto"/>
            <w:bottom w:val="none" w:sz="0" w:space="0" w:color="auto"/>
            <w:right w:val="none" w:sz="0" w:space="0" w:color="auto"/>
          </w:divBdr>
        </w:div>
      </w:divsChild>
    </w:div>
    <w:div w:id="621151310">
      <w:bodyDiv w:val="1"/>
      <w:marLeft w:val="0"/>
      <w:marRight w:val="0"/>
      <w:marTop w:val="0"/>
      <w:marBottom w:val="0"/>
      <w:divBdr>
        <w:top w:val="none" w:sz="0" w:space="0" w:color="auto"/>
        <w:left w:val="none" w:sz="0" w:space="0" w:color="auto"/>
        <w:bottom w:val="none" w:sz="0" w:space="0" w:color="auto"/>
        <w:right w:val="none" w:sz="0" w:space="0" w:color="auto"/>
      </w:divBdr>
      <w:divsChild>
        <w:div w:id="546725902">
          <w:marLeft w:val="0"/>
          <w:marRight w:val="0"/>
          <w:marTop w:val="0"/>
          <w:marBottom w:val="0"/>
          <w:divBdr>
            <w:top w:val="none" w:sz="0" w:space="0" w:color="auto"/>
            <w:left w:val="none" w:sz="0" w:space="0" w:color="auto"/>
            <w:bottom w:val="none" w:sz="0" w:space="0" w:color="auto"/>
            <w:right w:val="none" w:sz="0" w:space="0" w:color="auto"/>
          </w:divBdr>
        </w:div>
      </w:divsChild>
    </w:div>
    <w:div w:id="635645677">
      <w:bodyDiv w:val="1"/>
      <w:marLeft w:val="0"/>
      <w:marRight w:val="0"/>
      <w:marTop w:val="0"/>
      <w:marBottom w:val="0"/>
      <w:divBdr>
        <w:top w:val="none" w:sz="0" w:space="0" w:color="auto"/>
        <w:left w:val="none" w:sz="0" w:space="0" w:color="auto"/>
        <w:bottom w:val="none" w:sz="0" w:space="0" w:color="auto"/>
        <w:right w:val="none" w:sz="0" w:space="0" w:color="auto"/>
      </w:divBdr>
    </w:div>
    <w:div w:id="651719913">
      <w:bodyDiv w:val="1"/>
      <w:marLeft w:val="0"/>
      <w:marRight w:val="0"/>
      <w:marTop w:val="0"/>
      <w:marBottom w:val="0"/>
      <w:divBdr>
        <w:top w:val="none" w:sz="0" w:space="0" w:color="auto"/>
        <w:left w:val="none" w:sz="0" w:space="0" w:color="auto"/>
        <w:bottom w:val="none" w:sz="0" w:space="0" w:color="auto"/>
        <w:right w:val="none" w:sz="0" w:space="0" w:color="auto"/>
      </w:divBdr>
      <w:divsChild>
        <w:div w:id="1786146688">
          <w:marLeft w:val="0"/>
          <w:marRight w:val="0"/>
          <w:marTop w:val="0"/>
          <w:marBottom w:val="0"/>
          <w:divBdr>
            <w:top w:val="none" w:sz="0" w:space="0" w:color="auto"/>
            <w:left w:val="none" w:sz="0" w:space="0" w:color="auto"/>
            <w:bottom w:val="none" w:sz="0" w:space="0" w:color="auto"/>
            <w:right w:val="none" w:sz="0" w:space="0" w:color="auto"/>
          </w:divBdr>
          <w:divsChild>
            <w:div w:id="1689477566">
              <w:marLeft w:val="0"/>
              <w:marRight w:val="0"/>
              <w:marTop w:val="0"/>
              <w:marBottom w:val="0"/>
              <w:divBdr>
                <w:top w:val="none" w:sz="0" w:space="0" w:color="auto"/>
                <w:left w:val="none" w:sz="0" w:space="0" w:color="auto"/>
                <w:bottom w:val="none" w:sz="0" w:space="0" w:color="auto"/>
                <w:right w:val="none" w:sz="0" w:space="0" w:color="auto"/>
              </w:divBdr>
              <w:divsChild>
                <w:div w:id="83973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2374189">
      <w:bodyDiv w:val="1"/>
      <w:marLeft w:val="0"/>
      <w:marRight w:val="0"/>
      <w:marTop w:val="0"/>
      <w:marBottom w:val="0"/>
      <w:divBdr>
        <w:top w:val="none" w:sz="0" w:space="0" w:color="auto"/>
        <w:left w:val="none" w:sz="0" w:space="0" w:color="auto"/>
        <w:bottom w:val="none" w:sz="0" w:space="0" w:color="auto"/>
        <w:right w:val="none" w:sz="0" w:space="0" w:color="auto"/>
      </w:divBdr>
    </w:div>
    <w:div w:id="656878456">
      <w:bodyDiv w:val="1"/>
      <w:marLeft w:val="0"/>
      <w:marRight w:val="0"/>
      <w:marTop w:val="0"/>
      <w:marBottom w:val="0"/>
      <w:divBdr>
        <w:top w:val="none" w:sz="0" w:space="0" w:color="auto"/>
        <w:left w:val="none" w:sz="0" w:space="0" w:color="auto"/>
        <w:bottom w:val="none" w:sz="0" w:space="0" w:color="auto"/>
        <w:right w:val="none" w:sz="0" w:space="0" w:color="auto"/>
      </w:divBdr>
      <w:divsChild>
        <w:div w:id="776287984">
          <w:marLeft w:val="0"/>
          <w:marRight w:val="0"/>
          <w:marTop w:val="0"/>
          <w:marBottom w:val="0"/>
          <w:divBdr>
            <w:top w:val="none" w:sz="0" w:space="0" w:color="auto"/>
            <w:left w:val="none" w:sz="0" w:space="0" w:color="auto"/>
            <w:bottom w:val="none" w:sz="0" w:space="0" w:color="auto"/>
            <w:right w:val="none" w:sz="0" w:space="0" w:color="auto"/>
          </w:divBdr>
          <w:divsChild>
            <w:div w:id="500966907">
              <w:marLeft w:val="0"/>
              <w:marRight w:val="0"/>
              <w:marTop w:val="0"/>
              <w:marBottom w:val="0"/>
              <w:divBdr>
                <w:top w:val="none" w:sz="0" w:space="0" w:color="auto"/>
                <w:left w:val="none" w:sz="0" w:space="0" w:color="auto"/>
                <w:bottom w:val="none" w:sz="0" w:space="0" w:color="auto"/>
                <w:right w:val="none" w:sz="0" w:space="0" w:color="auto"/>
              </w:divBdr>
              <w:divsChild>
                <w:div w:id="1700470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5477078">
      <w:bodyDiv w:val="1"/>
      <w:marLeft w:val="0"/>
      <w:marRight w:val="0"/>
      <w:marTop w:val="0"/>
      <w:marBottom w:val="0"/>
      <w:divBdr>
        <w:top w:val="none" w:sz="0" w:space="0" w:color="auto"/>
        <w:left w:val="none" w:sz="0" w:space="0" w:color="auto"/>
        <w:bottom w:val="none" w:sz="0" w:space="0" w:color="auto"/>
        <w:right w:val="none" w:sz="0" w:space="0" w:color="auto"/>
      </w:divBdr>
    </w:div>
    <w:div w:id="673848130">
      <w:bodyDiv w:val="1"/>
      <w:marLeft w:val="0"/>
      <w:marRight w:val="0"/>
      <w:marTop w:val="0"/>
      <w:marBottom w:val="0"/>
      <w:divBdr>
        <w:top w:val="none" w:sz="0" w:space="0" w:color="auto"/>
        <w:left w:val="none" w:sz="0" w:space="0" w:color="auto"/>
        <w:bottom w:val="none" w:sz="0" w:space="0" w:color="auto"/>
        <w:right w:val="none" w:sz="0" w:space="0" w:color="auto"/>
      </w:divBdr>
    </w:div>
    <w:div w:id="702438844">
      <w:bodyDiv w:val="1"/>
      <w:marLeft w:val="0"/>
      <w:marRight w:val="0"/>
      <w:marTop w:val="0"/>
      <w:marBottom w:val="0"/>
      <w:divBdr>
        <w:top w:val="none" w:sz="0" w:space="0" w:color="auto"/>
        <w:left w:val="none" w:sz="0" w:space="0" w:color="auto"/>
        <w:bottom w:val="none" w:sz="0" w:space="0" w:color="auto"/>
        <w:right w:val="none" w:sz="0" w:space="0" w:color="auto"/>
      </w:divBdr>
    </w:div>
    <w:div w:id="708723210">
      <w:bodyDiv w:val="1"/>
      <w:marLeft w:val="0"/>
      <w:marRight w:val="0"/>
      <w:marTop w:val="0"/>
      <w:marBottom w:val="0"/>
      <w:divBdr>
        <w:top w:val="none" w:sz="0" w:space="0" w:color="auto"/>
        <w:left w:val="none" w:sz="0" w:space="0" w:color="auto"/>
        <w:bottom w:val="none" w:sz="0" w:space="0" w:color="auto"/>
        <w:right w:val="none" w:sz="0" w:space="0" w:color="auto"/>
      </w:divBdr>
    </w:div>
    <w:div w:id="719519927">
      <w:bodyDiv w:val="1"/>
      <w:marLeft w:val="0"/>
      <w:marRight w:val="0"/>
      <w:marTop w:val="0"/>
      <w:marBottom w:val="0"/>
      <w:divBdr>
        <w:top w:val="none" w:sz="0" w:space="0" w:color="auto"/>
        <w:left w:val="none" w:sz="0" w:space="0" w:color="auto"/>
        <w:bottom w:val="none" w:sz="0" w:space="0" w:color="auto"/>
        <w:right w:val="none" w:sz="0" w:space="0" w:color="auto"/>
      </w:divBdr>
    </w:div>
    <w:div w:id="720329030">
      <w:bodyDiv w:val="1"/>
      <w:marLeft w:val="0"/>
      <w:marRight w:val="0"/>
      <w:marTop w:val="0"/>
      <w:marBottom w:val="0"/>
      <w:divBdr>
        <w:top w:val="none" w:sz="0" w:space="0" w:color="auto"/>
        <w:left w:val="none" w:sz="0" w:space="0" w:color="auto"/>
        <w:bottom w:val="none" w:sz="0" w:space="0" w:color="auto"/>
        <w:right w:val="none" w:sz="0" w:space="0" w:color="auto"/>
      </w:divBdr>
    </w:div>
    <w:div w:id="721296423">
      <w:bodyDiv w:val="1"/>
      <w:marLeft w:val="0"/>
      <w:marRight w:val="0"/>
      <w:marTop w:val="0"/>
      <w:marBottom w:val="0"/>
      <w:divBdr>
        <w:top w:val="none" w:sz="0" w:space="0" w:color="auto"/>
        <w:left w:val="none" w:sz="0" w:space="0" w:color="auto"/>
        <w:bottom w:val="none" w:sz="0" w:space="0" w:color="auto"/>
        <w:right w:val="none" w:sz="0" w:space="0" w:color="auto"/>
      </w:divBdr>
    </w:div>
    <w:div w:id="722754698">
      <w:bodyDiv w:val="1"/>
      <w:marLeft w:val="0"/>
      <w:marRight w:val="0"/>
      <w:marTop w:val="0"/>
      <w:marBottom w:val="0"/>
      <w:divBdr>
        <w:top w:val="none" w:sz="0" w:space="0" w:color="auto"/>
        <w:left w:val="none" w:sz="0" w:space="0" w:color="auto"/>
        <w:bottom w:val="none" w:sz="0" w:space="0" w:color="auto"/>
        <w:right w:val="none" w:sz="0" w:space="0" w:color="auto"/>
      </w:divBdr>
    </w:div>
    <w:div w:id="725954339">
      <w:bodyDiv w:val="1"/>
      <w:marLeft w:val="0"/>
      <w:marRight w:val="0"/>
      <w:marTop w:val="0"/>
      <w:marBottom w:val="0"/>
      <w:divBdr>
        <w:top w:val="none" w:sz="0" w:space="0" w:color="auto"/>
        <w:left w:val="none" w:sz="0" w:space="0" w:color="auto"/>
        <w:bottom w:val="none" w:sz="0" w:space="0" w:color="auto"/>
        <w:right w:val="none" w:sz="0" w:space="0" w:color="auto"/>
      </w:divBdr>
    </w:div>
    <w:div w:id="734670572">
      <w:bodyDiv w:val="1"/>
      <w:marLeft w:val="0"/>
      <w:marRight w:val="0"/>
      <w:marTop w:val="0"/>
      <w:marBottom w:val="0"/>
      <w:divBdr>
        <w:top w:val="none" w:sz="0" w:space="0" w:color="auto"/>
        <w:left w:val="none" w:sz="0" w:space="0" w:color="auto"/>
        <w:bottom w:val="none" w:sz="0" w:space="0" w:color="auto"/>
        <w:right w:val="none" w:sz="0" w:space="0" w:color="auto"/>
      </w:divBdr>
    </w:div>
    <w:div w:id="737901838">
      <w:bodyDiv w:val="1"/>
      <w:marLeft w:val="0"/>
      <w:marRight w:val="0"/>
      <w:marTop w:val="0"/>
      <w:marBottom w:val="0"/>
      <w:divBdr>
        <w:top w:val="none" w:sz="0" w:space="0" w:color="auto"/>
        <w:left w:val="none" w:sz="0" w:space="0" w:color="auto"/>
        <w:bottom w:val="none" w:sz="0" w:space="0" w:color="auto"/>
        <w:right w:val="none" w:sz="0" w:space="0" w:color="auto"/>
      </w:divBdr>
    </w:div>
    <w:div w:id="749233610">
      <w:bodyDiv w:val="1"/>
      <w:marLeft w:val="0"/>
      <w:marRight w:val="0"/>
      <w:marTop w:val="0"/>
      <w:marBottom w:val="0"/>
      <w:divBdr>
        <w:top w:val="none" w:sz="0" w:space="0" w:color="auto"/>
        <w:left w:val="none" w:sz="0" w:space="0" w:color="auto"/>
        <w:bottom w:val="none" w:sz="0" w:space="0" w:color="auto"/>
        <w:right w:val="none" w:sz="0" w:space="0" w:color="auto"/>
      </w:divBdr>
    </w:div>
    <w:div w:id="756950394">
      <w:bodyDiv w:val="1"/>
      <w:marLeft w:val="0"/>
      <w:marRight w:val="0"/>
      <w:marTop w:val="0"/>
      <w:marBottom w:val="0"/>
      <w:divBdr>
        <w:top w:val="none" w:sz="0" w:space="0" w:color="auto"/>
        <w:left w:val="none" w:sz="0" w:space="0" w:color="auto"/>
        <w:bottom w:val="none" w:sz="0" w:space="0" w:color="auto"/>
        <w:right w:val="none" w:sz="0" w:space="0" w:color="auto"/>
      </w:divBdr>
    </w:div>
    <w:div w:id="775096108">
      <w:bodyDiv w:val="1"/>
      <w:marLeft w:val="0"/>
      <w:marRight w:val="0"/>
      <w:marTop w:val="0"/>
      <w:marBottom w:val="0"/>
      <w:divBdr>
        <w:top w:val="none" w:sz="0" w:space="0" w:color="auto"/>
        <w:left w:val="none" w:sz="0" w:space="0" w:color="auto"/>
        <w:bottom w:val="none" w:sz="0" w:space="0" w:color="auto"/>
        <w:right w:val="none" w:sz="0" w:space="0" w:color="auto"/>
      </w:divBdr>
    </w:div>
    <w:div w:id="790364717">
      <w:bodyDiv w:val="1"/>
      <w:marLeft w:val="0"/>
      <w:marRight w:val="0"/>
      <w:marTop w:val="0"/>
      <w:marBottom w:val="0"/>
      <w:divBdr>
        <w:top w:val="none" w:sz="0" w:space="0" w:color="auto"/>
        <w:left w:val="none" w:sz="0" w:space="0" w:color="auto"/>
        <w:bottom w:val="none" w:sz="0" w:space="0" w:color="auto"/>
        <w:right w:val="none" w:sz="0" w:space="0" w:color="auto"/>
      </w:divBdr>
      <w:divsChild>
        <w:div w:id="183327756">
          <w:marLeft w:val="0"/>
          <w:marRight w:val="0"/>
          <w:marTop w:val="0"/>
          <w:marBottom w:val="0"/>
          <w:divBdr>
            <w:top w:val="none" w:sz="0" w:space="0" w:color="auto"/>
            <w:left w:val="none" w:sz="0" w:space="0" w:color="auto"/>
            <w:bottom w:val="none" w:sz="0" w:space="0" w:color="auto"/>
            <w:right w:val="none" w:sz="0" w:space="0" w:color="auto"/>
          </w:divBdr>
        </w:div>
        <w:div w:id="1425998901">
          <w:marLeft w:val="0"/>
          <w:marRight w:val="0"/>
          <w:marTop w:val="0"/>
          <w:marBottom w:val="0"/>
          <w:divBdr>
            <w:top w:val="none" w:sz="0" w:space="0" w:color="auto"/>
            <w:left w:val="none" w:sz="0" w:space="0" w:color="auto"/>
            <w:bottom w:val="none" w:sz="0" w:space="0" w:color="auto"/>
            <w:right w:val="none" w:sz="0" w:space="0" w:color="auto"/>
          </w:divBdr>
        </w:div>
        <w:div w:id="2001812772">
          <w:marLeft w:val="0"/>
          <w:marRight w:val="0"/>
          <w:marTop w:val="0"/>
          <w:marBottom w:val="0"/>
          <w:divBdr>
            <w:top w:val="none" w:sz="0" w:space="0" w:color="auto"/>
            <w:left w:val="none" w:sz="0" w:space="0" w:color="auto"/>
            <w:bottom w:val="none" w:sz="0" w:space="0" w:color="auto"/>
            <w:right w:val="none" w:sz="0" w:space="0" w:color="auto"/>
          </w:divBdr>
        </w:div>
        <w:div w:id="583104398">
          <w:marLeft w:val="0"/>
          <w:marRight w:val="0"/>
          <w:marTop w:val="0"/>
          <w:marBottom w:val="0"/>
          <w:divBdr>
            <w:top w:val="none" w:sz="0" w:space="0" w:color="auto"/>
            <w:left w:val="none" w:sz="0" w:space="0" w:color="auto"/>
            <w:bottom w:val="none" w:sz="0" w:space="0" w:color="auto"/>
            <w:right w:val="none" w:sz="0" w:space="0" w:color="auto"/>
          </w:divBdr>
        </w:div>
        <w:div w:id="1095589364">
          <w:marLeft w:val="0"/>
          <w:marRight w:val="0"/>
          <w:marTop w:val="0"/>
          <w:marBottom w:val="0"/>
          <w:divBdr>
            <w:top w:val="none" w:sz="0" w:space="0" w:color="auto"/>
            <w:left w:val="none" w:sz="0" w:space="0" w:color="auto"/>
            <w:bottom w:val="none" w:sz="0" w:space="0" w:color="auto"/>
            <w:right w:val="none" w:sz="0" w:space="0" w:color="auto"/>
          </w:divBdr>
        </w:div>
        <w:div w:id="2131043697">
          <w:marLeft w:val="0"/>
          <w:marRight w:val="0"/>
          <w:marTop w:val="0"/>
          <w:marBottom w:val="0"/>
          <w:divBdr>
            <w:top w:val="none" w:sz="0" w:space="0" w:color="auto"/>
            <w:left w:val="none" w:sz="0" w:space="0" w:color="auto"/>
            <w:bottom w:val="none" w:sz="0" w:space="0" w:color="auto"/>
            <w:right w:val="none" w:sz="0" w:space="0" w:color="auto"/>
          </w:divBdr>
        </w:div>
        <w:div w:id="1856578142">
          <w:marLeft w:val="0"/>
          <w:marRight w:val="0"/>
          <w:marTop w:val="0"/>
          <w:marBottom w:val="0"/>
          <w:divBdr>
            <w:top w:val="none" w:sz="0" w:space="0" w:color="auto"/>
            <w:left w:val="none" w:sz="0" w:space="0" w:color="auto"/>
            <w:bottom w:val="none" w:sz="0" w:space="0" w:color="auto"/>
            <w:right w:val="none" w:sz="0" w:space="0" w:color="auto"/>
          </w:divBdr>
        </w:div>
        <w:div w:id="266427108">
          <w:marLeft w:val="0"/>
          <w:marRight w:val="0"/>
          <w:marTop w:val="0"/>
          <w:marBottom w:val="0"/>
          <w:divBdr>
            <w:top w:val="none" w:sz="0" w:space="0" w:color="auto"/>
            <w:left w:val="none" w:sz="0" w:space="0" w:color="auto"/>
            <w:bottom w:val="none" w:sz="0" w:space="0" w:color="auto"/>
            <w:right w:val="none" w:sz="0" w:space="0" w:color="auto"/>
          </w:divBdr>
        </w:div>
        <w:div w:id="134757641">
          <w:marLeft w:val="0"/>
          <w:marRight w:val="0"/>
          <w:marTop w:val="0"/>
          <w:marBottom w:val="0"/>
          <w:divBdr>
            <w:top w:val="none" w:sz="0" w:space="0" w:color="auto"/>
            <w:left w:val="none" w:sz="0" w:space="0" w:color="auto"/>
            <w:bottom w:val="none" w:sz="0" w:space="0" w:color="auto"/>
            <w:right w:val="none" w:sz="0" w:space="0" w:color="auto"/>
          </w:divBdr>
        </w:div>
        <w:div w:id="204758753">
          <w:marLeft w:val="0"/>
          <w:marRight w:val="0"/>
          <w:marTop w:val="0"/>
          <w:marBottom w:val="0"/>
          <w:divBdr>
            <w:top w:val="none" w:sz="0" w:space="0" w:color="auto"/>
            <w:left w:val="none" w:sz="0" w:space="0" w:color="auto"/>
            <w:bottom w:val="none" w:sz="0" w:space="0" w:color="auto"/>
            <w:right w:val="none" w:sz="0" w:space="0" w:color="auto"/>
          </w:divBdr>
        </w:div>
        <w:div w:id="279536753">
          <w:marLeft w:val="0"/>
          <w:marRight w:val="0"/>
          <w:marTop w:val="0"/>
          <w:marBottom w:val="0"/>
          <w:divBdr>
            <w:top w:val="none" w:sz="0" w:space="0" w:color="auto"/>
            <w:left w:val="none" w:sz="0" w:space="0" w:color="auto"/>
            <w:bottom w:val="none" w:sz="0" w:space="0" w:color="auto"/>
            <w:right w:val="none" w:sz="0" w:space="0" w:color="auto"/>
          </w:divBdr>
        </w:div>
        <w:div w:id="1802655067">
          <w:marLeft w:val="0"/>
          <w:marRight w:val="0"/>
          <w:marTop w:val="0"/>
          <w:marBottom w:val="0"/>
          <w:divBdr>
            <w:top w:val="none" w:sz="0" w:space="0" w:color="auto"/>
            <w:left w:val="none" w:sz="0" w:space="0" w:color="auto"/>
            <w:bottom w:val="none" w:sz="0" w:space="0" w:color="auto"/>
            <w:right w:val="none" w:sz="0" w:space="0" w:color="auto"/>
          </w:divBdr>
          <w:divsChild>
            <w:div w:id="1640528279">
              <w:marLeft w:val="0"/>
              <w:marRight w:val="0"/>
              <w:marTop w:val="0"/>
              <w:marBottom w:val="0"/>
              <w:divBdr>
                <w:top w:val="none" w:sz="0" w:space="0" w:color="auto"/>
                <w:left w:val="none" w:sz="0" w:space="0" w:color="auto"/>
                <w:bottom w:val="none" w:sz="0" w:space="0" w:color="auto"/>
                <w:right w:val="none" w:sz="0" w:space="0" w:color="auto"/>
              </w:divBdr>
            </w:div>
            <w:div w:id="1068842159">
              <w:marLeft w:val="0"/>
              <w:marRight w:val="0"/>
              <w:marTop w:val="0"/>
              <w:marBottom w:val="0"/>
              <w:divBdr>
                <w:top w:val="none" w:sz="0" w:space="0" w:color="auto"/>
                <w:left w:val="none" w:sz="0" w:space="0" w:color="auto"/>
                <w:bottom w:val="none" w:sz="0" w:space="0" w:color="auto"/>
                <w:right w:val="none" w:sz="0" w:space="0" w:color="auto"/>
              </w:divBdr>
            </w:div>
            <w:div w:id="339895951">
              <w:marLeft w:val="0"/>
              <w:marRight w:val="0"/>
              <w:marTop w:val="0"/>
              <w:marBottom w:val="0"/>
              <w:divBdr>
                <w:top w:val="none" w:sz="0" w:space="0" w:color="auto"/>
                <w:left w:val="none" w:sz="0" w:space="0" w:color="auto"/>
                <w:bottom w:val="none" w:sz="0" w:space="0" w:color="auto"/>
                <w:right w:val="none" w:sz="0" w:space="0" w:color="auto"/>
              </w:divBdr>
            </w:div>
            <w:div w:id="315379722">
              <w:marLeft w:val="0"/>
              <w:marRight w:val="0"/>
              <w:marTop w:val="0"/>
              <w:marBottom w:val="0"/>
              <w:divBdr>
                <w:top w:val="none" w:sz="0" w:space="0" w:color="auto"/>
                <w:left w:val="none" w:sz="0" w:space="0" w:color="auto"/>
                <w:bottom w:val="none" w:sz="0" w:space="0" w:color="auto"/>
                <w:right w:val="none" w:sz="0" w:space="0" w:color="auto"/>
              </w:divBdr>
            </w:div>
            <w:div w:id="580674459">
              <w:marLeft w:val="0"/>
              <w:marRight w:val="0"/>
              <w:marTop w:val="0"/>
              <w:marBottom w:val="0"/>
              <w:divBdr>
                <w:top w:val="none" w:sz="0" w:space="0" w:color="auto"/>
                <w:left w:val="none" w:sz="0" w:space="0" w:color="auto"/>
                <w:bottom w:val="none" w:sz="0" w:space="0" w:color="auto"/>
                <w:right w:val="none" w:sz="0" w:space="0" w:color="auto"/>
              </w:divBdr>
            </w:div>
            <w:div w:id="1599949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224000">
      <w:bodyDiv w:val="1"/>
      <w:marLeft w:val="0"/>
      <w:marRight w:val="0"/>
      <w:marTop w:val="0"/>
      <w:marBottom w:val="0"/>
      <w:divBdr>
        <w:top w:val="none" w:sz="0" w:space="0" w:color="auto"/>
        <w:left w:val="none" w:sz="0" w:space="0" w:color="auto"/>
        <w:bottom w:val="none" w:sz="0" w:space="0" w:color="auto"/>
        <w:right w:val="none" w:sz="0" w:space="0" w:color="auto"/>
      </w:divBdr>
      <w:divsChild>
        <w:div w:id="1455633750">
          <w:marLeft w:val="0"/>
          <w:marRight w:val="0"/>
          <w:marTop w:val="0"/>
          <w:marBottom w:val="0"/>
          <w:divBdr>
            <w:top w:val="none" w:sz="0" w:space="0" w:color="auto"/>
            <w:left w:val="none" w:sz="0" w:space="0" w:color="auto"/>
            <w:bottom w:val="none" w:sz="0" w:space="0" w:color="auto"/>
            <w:right w:val="none" w:sz="0" w:space="0" w:color="auto"/>
          </w:divBdr>
          <w:divsChild>
            <w:div w:id="1362852875">
              <w:marLeft w:val="0"/>
              <w:marRight w:val="0"/>
              <w:marTop w:val="0"/>
              <w:marBottom w:val="0"/>
              <w:divBdr>
                <w:top w:val="none" w:sz="0" w:space="0" w:color="auto"/>
                <w:left w:val="none" w:sz="0" w:space="0" w:color="auto"/>
                <w:bottom w:val="none" w:sz="0" w:space="0" w:color="auto"/>
                <w:right w:val="none" w:sz="0" w:space="0" w:color="auto"/>
              </w:divBdr>
              <w:divsChild>
                <w:div w:id="113668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4010957">
      <w:bodyDiv w:val="1"/>
      <w:marLeft w:val="0"/>
      <w:marRight w:val="0"/>
      <w:marTop w:val="0"/>
      <w:marBottom w:val="0"/>
      <w:divBdr>
        <w:top w:val="none" w:sz="0" w:space="0" w:color="auto"/>
        <w:left w:val="none" w:sz="0" w:space="0" w:color="auto"/>
        <w:bottom w:val="none" w:sz="0" w:space="0" w:color="auto"/>
        <w:right w:val="none" w:sz="0" w:space="0" w:color="auto"/>
      </w:divBdr>
    </w:div>
    <w:div w:id="810562591">
      <w:bodyDiv w:val="1"/>
      <w:marLeft w:val="0"/>
      <w:marRight w:val="0"/>
      <w:marTop w:val="0"/>
      <w:marBottom w:val="0"/>
      <w:divBdr>
        <w:top w:val="none" w:sz="0" w:space="0" w:color="auto"/>
        <w:left w:val="none" w:sz="0" w:space="0" w:color="auto"/>
        <w:bottom w:val="none" w:sz="0" w:space="0" w:color="auto"/>
        <w:right w:val="none" w:sz="0" w:space="0" w:color="auto"/>
      </w:divBdr>
    </w:div>
    <w:div w:id="815535933">
      <w:bodyDiv w:val="1"/>
      <w:marLeft w:val="0"/>
      <w:marRight w:val="0"/>
      <w:marTop w:val="0"/>
      <w:marBottom w:val="0"/>
      <w:divBdr>
        <w:top w:val="none" w:sz="0" w:space="0" w:color="auto"/>
        <w:left w:val="none" w:sz="0" w:space="0" w:color="auto"/>
        <w:bottom w:val="none" w:sz="0" w:space="0" w:color="auto"/>
        <w:right w:val="none" w:sz="0" w:space="0" w:color="auto"/>
      </w:divBdr>
    </w:div>
    <w:div w:id="820536661">
      <w:bodyDiv w:val="1"/>
      <w:marLeft w:val="0"/>
      <w:marRight w:val="0"/>
      <w:marTop w:val="0"/>
      <w:marBottom w:val="0"/>
      <w:divBdr>
        <w:top w:val="none" w:sz="0" w:space="0" w:color="auto"/>
        <w:left w:val="none" w:sz="0" w:space="0" w:color="auto"/>
        <w:bottom w:val="none" w:sz="0" w:space="0" w:color="auto"/>
        <w:right w:val="none" w:sz="0" w:space="0" w:color="auto"/>
      </w:divBdr>
    </w:div>
    <w:div w:id="834998343">
      <w:bodyDiv w:val="1"/>
      <w:marLeft w:val="0"/>
      <w:marRight w:val="0"/>
      <w:marTop w:val="0"/>
      <w:marBottom w:val="0"/>
      <w:divBdr>
        <w:top w:val="none" w:sz="0" w:space="0" w:color="auto"/>
        <w:left w:val="none" w:sz="0" w:space="0" w:color="auto"/>
        <w:bottom w:val="none" w:sz="0" w:space="0" w:color="auto"/>
        <w:right w:val="none" w:sz="0" w:space="0" w:color="auto"/>
      </w:divBdr>
    </w:div>
    <w:div w:id="864560965">
      <w:bodyDiv w:val="1"/>
      <w:marLeft w:val="0"/>
      <w:marRight w:val="0"/>
      <w:marTop w:val="0"/>
      <w:marBottom w:val="0"/>
      <w:divBdr>
        <w:top w:val="none" w:sz="0" w:space="0" w:color="auto"/>
        <w:left w:val="none" w:sz="0" w:space="0" w:color="auto"/>
        <w:bottom w:val="none" w:sz="0" w:space="0" w:color="auto"/>
        <w:right w:val="none" w:sz="0" w:space="0" w:color="auto"/>
      </w:divBdr>
    </w:div>
    <w:div w:id="874853581">
      <w:bodyDiv w:val="1"/>
      <w:marLeft w:val="0"/>
      <w:marRight w:val="0"/>
      <w:marTop w:val="0"/>
      <w:marBottom w:val="0"/>
      <w:divBdr>
        <w:top w:val="none" w:sz="0" w:space="0" w:color="auto"/>
        <w:left w:val="none" w:sz="0" w:space="0" w:color="auto"/>
        <w:bottom w:val="none" w:sz="0" w:space="0" w:color="auto"/>
        <w:right w:val="none" w:sz="0" w:space="0" w:color="auto"/>
      </w:divBdr>
      <w:divsChild>
        <w:div w:id="362367890">
          <w:marLeft w:val="0"/>
          <w:marRight w:val="0"/>
          <w:marTop w:val="0"/>
          <w:marBottom w:val="0"/>
          <w:divBdr>
            <w:top w:val="none" w:sz="0" w:space="0" w:color="auto"/>
            <w:left w:val="none" w:sz="0" w:space="0" w:color="auto"/>
            <w:bottom w:val="none" w:sz="0" w:space="0" w:color="auto"/>
            <w:right w:val="none" w:sz="0" w:space="0" w:color="auto"/>
          </w:divBdr>
          <w:divsChild>
            <w:div w:id="1518420670">
              <w:marLeft w:val="0"/>
              <w:marRight w:val="0"/>
              <w:marTop w:val="0"/>
              <w:marBottom w:val="0"/>
              <w:divBdr>
                <w:top w:val="none" w:sz="0" w:space="0" w:color="auto"/>
                <w:left w:val="none" w:sz="0" w:space="0" w:color="auto"/>
                <w:bottom w:val="none" w:sz="0" w:space="0" w:color="auto"/>
                <w:right w:val="none" w:sz="0" w:space="0" w:color="auto"/>
              </w:divBdr>
              <w:divsChild>
                <w:div w:id="469127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0828216">
      <w:bodyDiv w:val="1"/>
      <w:marLeft w:val="0"/>
      <w:marRight w:val="0"/>
      <w:marTop w:val="0"/>
      <w:marBottom w:val="0"/>
      <w:divBdr>
        <w:top w:val="none" w:sz="0" w:space="0" w:color="auto"/>
        <w:left w:val="none" w:sz="0" w:space="0" w:color="auto"/>
        <w:bottom w:val="none" w:sz="0" w:space="0" w:color="auto"/>
        <w:right w:val="none" w:sz="0" w:space="0" w:color="auto"/>
      </w:divBdr>
    </w:div>
    <w:div w:id="908077233">
      <w:bodyDiv w:val="1"/>
      <w:marLeft w:val="0"/>
      <w:marRight w:val="0"/>
      <w:marTop w:val="0"/>
      <w:marBottom w:val="0"/>
      <w:divBdr>
        <w:top w:val="none" w:sz="0" w:space="0" w:color="auto"/>
        <w:left w:val="none" w:sz="0" w:space="0" w:color="auto"/>
        <w:bottom w:val="none" w:sz="0" w:space="0" w:color="auto"/>
        <w:right w:val="none" w:sz="0" w:space="0" w:color="auto"/>
      </w:divBdr>
      <w:divsChild>
        <w:div w:id="107049868">
          <w:marLeft w:val="0"/>
          <w:marRight w:val="0"/>
          <w:marTop w:val="0"/>
          <w:marBottom w:val="0"/>
          <w:divBdr>
            <w:top w:val="none" w:sz="0" w:space="0" w:color="auto"/>
            <w:left w:val="none" w:sz="0" w:space="0" w:color="auto"/>
            <w:bottom w:val="none" w:sz="0" w:space="0" w:color="auto"/>
            <w:right w:val="none" w:sz="0" w:space="0" w:color="auto"/>
          </w:divBdr>
        </w:div>
        <w:div w:id="1616597316">
          <w:marLeft w:val="0"/>
          <w:marRight w:val="0"/>
          <w:marTop w:val="0"/>
          <w:marBottom w:val="0"/>
          <w:divBdr>
            <w:top w:val="none" w:sz="0" w:space="0" w:color="auto"/>
            <w:left w:val="none" w:sz="0" w:space="0" w:color="auto"/>
            <w:bottom w:val="none" w:sz="0" w:space="0" w:color="auto"/>
            <w:right w:val="none" w:sz="0" w:space="0" w:color="auto"/>
          </w:divBdr>
        </w:div>
        <w:div w:id="1344017402">
          <w:marLeft w:val="0"/>
          <w:marRight w:val="0"/>
          <w:marTop w:val="0"/>
          <w:marBottom w:val="0"/>
          <w:divBdr>
            <w:top w:val="none" w:sz="0" w:space="0" w:color="auto"/>
            <w:left w:val="none" w:sz="0" w:space="0" w:color="auto"/>
            <w:bottom w:val="none" w:sz="0" w:space="0" w:color="auto"/>
            <w:right w:val="none" w:sz="0" w:space="0" w:color="auto"/>
          </w:divBdr>
        </w:div>
        <w:div w:id="1737241934">
          <w:marLeft w:val="0"/>
          <w:marRight w:val="0"/>
          <w:marTop w:val="0"/>
          <w:marBottom w:val="0"/>
          <w:divBdr>
            <w:top w:val="none" w:sz="0" w:space="0" w:color="auto"/>
            <w:left w:val="none" w:sz="0" w:space="0" w:color="auto"/>
            <w:bottom w:val="none" w:sz="0" w:space="0" w:color="auto"/>
            <w:right w:val="none" w:sz="0" w:space="0" w:color="auto"/>
          </w:divBdr>
        </w:div>
        <w:div w:id="156195889">
          <w:marLeft w:val="0"/>
          <w:marRight w:val="0"/>
          <w:marTop w:val="0"/>
          <w:marBottom w:val="0"/>
          <w:divBdr>
            <w:top w:val="none" w:sz="0" w:space="0" w:color="auto"/>
            <w:left w:val="none" w:sz="0" w:space="0" w:color="auto"/>
            <w:bottom w:val="none" w:sz="0" w:space="0" w:color="auto"/>
            <w:right w:val="none" w:sz="0" w:space="0" w:color="auto"/>
          </w:divBdr>
        </w:div>
        <w:div w:id="2001617834">
          <w:marLeft w:val="0"/>
          <w:marRight w:val="0"/>
          <w:marTop w:val="0"/>
          <w:marBottom w:val="0"/>
          <w:divBdr>
            <w:top w:val="none" w:sz="0" w:space="0" w:color="auto"/>
            <w:left w:val="none" w:sz="0" w:space="0" w:color="auto"/>
            <w:bottom w:val="none" w:sz="0" w:space="0" w:color="auto"/>
            <w:right w:val="none" w:sz="0" w:space="0" w:color="auto"/>
          </w:divBdr>
        </w:div>
        <w:div w:id="1879929432">
          <w:blockQuote w:val="1"/>
          <w:marLeft w:val="600"/>
          <w:marRight w:val="0"/>
          <w:marTop w:val="0"/>
          <w:marBottom w:val="0"/>
          <w:divBdr>
            <w:top w:val="none" w:sz="0" w:space="0" w:color="auto"/>
            <w:left w:val="none" w:sz="0" w:space="0" w:color="auto"/>
            <w:bottom w:val="none" w:sz="0" w:space="0" w:color="auto"/>
            <w:right w:val="none" w:sz="0" w:space="0" w:color="auto"/>
          </w:divBdr>
          <w:divsChild>
            <w:div w:id="1840196297">
              <w:blockQuote w:val="1"/>
              <w:marLeft w:val="600"/>
              <w:marRight w:val="0"/>
              <w:marTop w:val="0"/>
              <w:marBottom w:val="0"/>
              <w:divBdr>
                <w:top w:val="none" w:sz="0" w:space="0" w:color="auto"/>
                <w:left w:val="none" w:sz="0" w:space="0" w:color="auto"/>
                <w:bottom w:val="none" w:sz="0" w:space="0" w:color="auto"/>
                <w:right w:val="none" w:sz="0" w:space="0" w:color="auto"/>
              </w:divBdr>
              <w:divsChild>
                <w:div w:id="2130586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1198083">
          <w:marLeft w:val="0"/>
          <w:marRight w:val="0"/>
          <w:marTop w:val="0"/>
          <w:marBottom w:val="0"/>
          <w:divBdr>
            <w:top w:val="none" w:sz="0" w:space="0" w:color="auto"/>
            <w:left w:val="none" w:sz="0" w:space="0" w:color="auto"/>
            <w:bottom w:val="none" w:sz="0" w:space="0" w:color="auto"/>
            <w:right w:val="none" w:sz="0" w:space="0" w:color="auto"/>
          </w:divBdr>
          <w:divsChild>
            <w:div w:id="976565194">
              <w:marLeft w:val="0"/>
              <w:marRight w:val="0"/>
              <w:marTop w:val="0"/>
              <w:marBottom w:val="0"/>
              <w:divBdr>
                <w:top w:val="none" w:sz="0" w:space="0" w:color="auto"/>
                <w:left w:val="none" w:sz="0" w:space="0" w:color="auto"/>
                <w:bottom w:val="none" w:sz="0" w:space="0" w:color="auto"/>
                <w:right w:val="none" w:sz="0" w:space="0" w:color="auto"/>
              </w:divBdr>
            </w:div>
          </w:divsChild>
        </w:div>
        <w:div w:id="430862631">
          <w:marLeft w:val="0"/>
          <w:marRight w:val="0"/>
          <w:marTop w:val="0"/>
          <w:marBottom w:val="0"/>
          <w:divBdr>
            <w:top w:val="none" w:sz="0" w:space="0" w:color="auto"/>
            <w:left w:val="none" w:sz="0" w:space="0" w:color="auto"/>
            <w:bottom w:val="none" w:sz="0" w:space="0" w:color="auto"/>
            <w:right w:val="none" w:sz="0" w:space="0" w:color="auto"/>
          </w:divBdr>
        </w:div>
        <w:div w:id="326515371">
          <w:marLeft w:val="0"/>
          <w:marRight w:val="0"/>
          <w:marTop w:val="0"/>
          <w:marBottom w:val="0"/>
          <w:divBdr>
            <w:top w:val="none" w:sz="0" w:space="0" w:color="auto"/>
            <w:left w:val="none" w:sz="0" w:space="0" w:color="auto"/>
            <w:bottom w:val="none" w:sz="0" w:space="0" w:color="auto"/>
            <w:right w:val="none" w:sz="0" w:space="0" w:color="auto"/>
          </w:divBdr>
        </w:div>
        <w:div w:id="1324821586">
          <w:marLeft w:val="0"/>
          <w:marRight w:val="0"/>
          <w:marTop w:val="0"/>
          <w:marBottom w:val="0"/>
          <w:divBdr>
            <w:top w:val="none" w:sz="0" w:space="0" w:color="auto"/>
            <w:left w:val="none" w:sz="0" w:space="0" w:color="auto"/>
            <w:bottom w:val="none" w:sz="0" w:space="0" w:color="auto"/>
            <w:right w:val="none" w:sz="0" w:space="0" w:color="auto"/>
          </w:divBdr>
        </w:div>
        <w:div w:id="1307587085">
          <w:marLeft w:val="0"/>
          <w:marRight w:val="0"/>
          <w:marTop w:val="0"/>
          <w:marBottom w:val="0"/>
          <w:divBdr>
            <w:top w:val="none" w:sz="0" w:space="0" w:color="auto"/>
            <w:left w:val="none" w:sz="0" w:space="0" w:color="auto"/>
            <w:bottom w:val="none" w:sz="0" w:space="0" w:color="auto"/>
            <w:right w:val="none" w:sz="0" w:space="0" w:color="auto"/>
          </w:divBdr>
        </w:div>
        <w:div w:id="1286736096">
          <w:blockQuote w:val="1"/>
          <w:marLeft w:val="600"/>
          <w:marRight w:val="0"/>
          <w:marTop w:val="0"/>
          <w:marBottom w:val="0"/>
          <w:divBdr>
            <w:top w:val="none" w:sz="0" w:space="0" w:color="auto"/>
            <w:left w:val="none" w:sz="0" w:space="0" w:color="auto"/>
            <w:bottom w:val="none" w:sz="0" w:space="0" w:color="auto"/>
            <w:right w:val="none" w:sz="0" w:space="0" w:color="auto"/>
          </w:divBdr>
          <w:divsChild>
            <w:div w:id="1149979592">
              <w:marLeft w:val="0"/>
              <w:marRight w:val="0"/>
              <w:marTop w:val="0"/>
              <w:marBottom w:val="0"/>
              <w:divBdr>
                <w:top w:val="none" w:sz="0" w:space="0" w:color="auto"/>
                <w:left w:val="none" w:sz="0" w:space="0" w:color="auto"/>
                <w:bottom w:val="none" w:sz="0" w:space="0" w:color="auto"/>
                <w:right w:val="none" w:sz="0" w:space="0" w:color="auto"/>
              </w:divBdr>
            </w:div>
            <w:div w:id="1956398870">
              <w:marLeft w:val="0"/>
              <w:marRight w:val="0"/>
              <w:marTop w:val="0"/>
              <w:marBottom w:val="0"/>
              <w:divBdr>
                <w:top w:val="none" w:sz="0" w:space="0" w:color="auto"/>
                <w:left w:val="none" w:sz="0" w:space="0" w:color="auto"/>
                <w:bottom w:val="none" w:sz="0" w:space="0" w:color="auto"/>
                <w:right w:val="none" w:sz="0" w:space="0" w:color="auto"/>
              </w:divBdr>
              <w:divsChild>
                <w:div w:id="1161695763">
                  <w:marLeft w:val="0"/>
                  <w:marRight w:val="0"/>
                  <w:marTop w:val="0"/>
                  <w:marBottom w:val="0"/>
                  <w:divBdr>
                    <w:top w:val="none" w:sz="0" w:space="0" w:color="auto"/>
                    <w:left w:val="none" w:sz="0" w:space="0" w:color="auto"/>
                    <w:bottom w:val="none" w:sz="0" w:space="0" w:color="auto"/>
                    <w:right w:val="none" w:sz="0" w:space="0" w:color="auto"/>
                  </w:divBdr>
                </w:div>
              </w:divsChild>
            </w:div>
            <w:div w:id="1202983241">
              <w:marLeft w:val="0"/>
              <w:marRight w:val="0"/>
              <w:marTop w:val="0"/>
              <w:marBottom w:val="0"/>
              <w:divBdr>
                <w:top w:val="none" w:sz="0" w:space="0" w:color="auto"/>
                <w:left w:val="none" w:sz="0" w:space="0" w:color="auto"/>
                <w:bottom w:val="none" w:sz="0" w:space="0" w:color="auto"/>
                <w:right w:val="none" w:sz="0" w:space="0" w:color="auto"/>
              </w:divBdr>
              <w:divsChild>
                <w:div w:id="870260073">
                  <w:marLeft w:val="0"/>
                  <w:marRight w:val="0"/>
                  <w:marTop w:val="0"/>
                  <w:marBottom w:val="0"/>
                  <w:divBdr>
                    <w:top w:val="none" w:sz="0" w:space="0" w:color="auto"/>
                    <w:left w:val="none" w:sz="0" w:space="0" w:color="auto"/>
                    <w:bottom w:val="none" w:sz="0" w:space="0" w:color="auto"/>
                    <w:right w:val="none" w:sz="0" w:space="0" w:color="auto"/>
                  </w:divBdr>
                </w:div>
              </w:divsChild>
            </w:div>
            <w:div w:id="160315264">
              <w:marLeft w:val="0"/>
              <w:marRight w:val="0"/>
              <w:marTop w:val="0"/>
              <w:marBottom w:val="0"/>
              <w:divBdr>
                <w:top w:val="none" w:sz="0" w:space="0" w:color="auto"/>
                <w:left w:val="none" w:sz="0" w:space="0" w:color="auto"/>
                <w:bottom w:val="none" w:sz="0" w:space="0" w:color="auto"/>
                <w:right w:val="none" w:sz="0" w:space="0" w:color="auto"/>
              </w:divBdr>
              <w:divsChild>
                <w:div w:id="537858833">
                  <w:marLeft w:val="0"/>
                  <w:marRight w:val="0"/>
                  <w:marTop w:val="0"/>
                  <w:marBottom w:val="0"/>
                  <w:divBdr>
                    <w:top w:val="none" w:sz="0" w:space="0" w:color="auto"/>
                    <w:left w:val="none" w:sz="0" w:space="0" w:color="auto"/>
                    <w:bottom w:val="none" w:sz="0" w:space="0" w:color="auto"/>
                    <w:right w:val="none" w:sz="0" w:space="0" w:color="auto"/>
                  </w:divBdr>
                </w:div>
              </w:divsChild>
            </w:div>
            <w:div w:id="1490824001">
              <w:marLeft w:val="0"/>
              <w:marRight w:val="0"/>
              <w:marTop w:val="0"/>
              <w:marBottom w:val="0"/>
              <w:divBdr>
                <w:top w:val="none" w:sz="0" w:space="0" w:color="auto"/>
                <w:left w:val="none" w:sz="0" w:space="0" w:color="auto"/>
                <w:bottom w:val="none" w:sz="0" w:space="0" w:color="auto"/>
                <w:right w:val="none" w:sz="0" w:space="0" w:color="auto"/>
              </w:divBdr>
              <w:divsChild>
                <w:div w:id="950283583">
                  <w:marLeft w:val="0"/>
                  <w:marRight w:val="0"/>
                  <w:marTop w:val="0"/>
                  <w:marBottom w:val="0"/>
                  <w:divBdr>
                    <w:top w:val="none" w:sz="0" w:space="0" w:color="auto"/>
                    <w:left w:val="none" w:sz="0" w:space="0" w:color="auto"/>
                    <w:bottom w:val="none" w:sz="0" w:space="0" w:color="auto"/>
                    <w:right w:val="none" w:sz="0" w:space="0" w:color="auto"/>
                  </w:divBdr>
                </w:div>
              </w:divsChild>
            </w:div>
            <w:div w:id="1152714880">
              <w:marLeft w:val="0"/>
              <w:marRight w:val="0"/>
              <w:marTop w:val="0"/>
              <w:marBottom w:val="0"/>
              <w:divBdr>
                <w:top w:val="none" w:sz="0" w:space="0" w:color="auto"/>
                <w:left w:val="none" w:sz="0" w:space="0" w:color="auto"/>
                <w:bottom w:val="none" w:sz="0" w:space="0" w:color="auto"/>
                <w:right w:val="none" w:sz="0" w:space="0" w:color="auto"/>
              </w:divBdr>
              <w:divsChild>
                <w:div w:id="1967663148">
                  <w:marLeft w:val="0"/>
                  <w:marRight w:val="0"/>
                  <w:marTop w:val="0"/>
                  <w:marBottom w:val="0"/>
                  <w:divBdr>
                    <w:top w:val="none" w:sz="0" w:space="0" w:color="auto"/>
                    <w:left w:val="none" w:sz="0" w:space="0" w:color="auto"/>
                    <w:bottom w:val="none" w:sz="0" w:space="0" w:color="auto"/>
                    <w:right w:val="none" w:sz="0" w:space="0" w:color="auto"/>
                  </w:divBdr>
                </w:div>
              </w:divsChild>
            </w:div>
            <w:div w:id="1668971667">
              <w:marLeft w:val="0"/>
              <w:marRight w:val="0"/>
              <w:marTop w:val="0"/>
              <w:marBottom w:val="0"/>
              <w:divBdr>
                <w:top w:val="none" w:sz="0" w:space="0" w:color="auto"/>
                <w:left w:val="none" w:sz="0" w:space="0" w:color="auto"/>
                <w:bottom w:val="none" w:sz="0" w:space="0" w:color="auto"/>
                <w:right w:val="none" w:sz="0" w:space="0" w:color="auto"/>
              </w:divBdr>
              <w:divsChild>
                <w:div w:id="440272178">
                  <w:marLeft w:val="0"/>
                  <w:marRight w:val="0"/>
                  <w:marTop w:val="0"/>
                  <w:marBottom w:val="0"/>
                  <w:divBdr>
                    <w:top w:val="none" w:sz="0" w:space="0" w:color="auto"/>
                    <w:left w:val="none" w:sz="0" w:space="0" w:color="auto"/>
                    <w:bottom w:val="none" w:sz="0" w:space="0" w:color="auto"/>
                    <w:right w:val="none" w:sz="0" w:space="0" w:color="auto"/>
                  </w:divBdr>
                </w:div>
              </w:divsChild>
            </w:div>
            <w:div w:id="1186940294">
              <w:marLeft w:val="0"/>
              <w:marRight w:val="0"/>
              <w:marTop w:val="0"/>
              <w:marBottom w:val="0"/>
              <w:divBdr>
                <w:top w:val="none" w:sz="0" w:space="0" w:color="auto"/>
                <w:left w:val="none" w:sz="0" w:space="0" w:color="auto"/>
                <w:bottom w:val="none" w:sz="0" w:space="0" w:color="auto"/>
                <w:right w:val="none" w:sz="0" w:space="0" w:color="auto"/>
              </w:divBdr>
              <w:divsChild>
                <w:div w:id="1047024097">
                  <w:marLeft w:val="0"/>
                  <w:marRight w:val="0"/>
                  <w:marTop w:val="0"/>
                  <w:marBottom w:val="0"/>
                  <w:divBdr>
                    <w:top w:val="none" w:sz="0" w:space="0" w:color="auto"/>
                    <w:left w:val="none" w:sz="0" w:space="0" w:color="auto"/>
                    <w:bottom w:val="none" w:sz="0" w:space="0" w:color="auto"/>
                    <w:right w:val="none" w:sz="0" w:space="0" w:color="auto"/>
                  </w:divBdr>
                </w:div>
              </w:divsChild>
            </w:div>
            <w:div w:id="1456099100">
              <w:marLeft w:val="0"/>
              <w:marRight w:val="0"/>
              <w:marTop w:val="0"/>
              <w:marBottom w:val="0"/>
              <w:divBdr>
                <w:top w:val="none" w:sz="0" w:space="0" w:color="auto"/>
                <w:left w:val="none" w:sz="0" w:space="0" w:color="auto"/>
                <w:bottom w:val="none" w:sz="0" w:space="0" w:color="auto"/>
                <w:right w:val="none" w:sz="0" w:space="0" w:color="auto"/>
              </w:divBdr>
              <w:divsChild>
                <w:div w:id="1202792286">
                  <w:marLeft w:val="0"/>
                  <w:marRight w:val="0"/>
                  <w:marTop w:val="0"/>
                  <w:marBottom w:val="0"/>
                  <w:divBdr>
                    <w:top w:val="none" w:sz="0" w:space="0" w:color="auto"/>
                    <w:left w:val="none" w:sz="0" w:space="0" w:color="auto"/>
                    <w:bottom w:val="none" w:sz="0" w:space="0" w:color="auto"/>
                    <w:right w:val="none" w:sz="0" w:space="0" w:color="auto"/>
                  </w:divBdr>
                </w:div>
              </w:divsChild>
            </w:div>
            <w:div w:id="374240490">
              <w:marLeft w:val="0"/>
              <w:marRight w:val="0"/>
              <w:marTop w:val="0"/>
              <w:marBottom w:val="0"/>
              <w:divBdr>
                <w:top w:val="none" w:sz="0" w:space="0" w:color="auto"/>
                <w:left w:val="none" w:sz="0" w:space="0" w:color="auto"/>
                <w:bottom w:val="none" w:sz="0" w:space="0" w:color="auto"/>
                <w:right w:val="none" w:sz="0" w:space="0" w:color="auto"/>
              </w:divBdr>
              <w:divsChild>
                <w:div w:id="197670843">
                  <w:marLeft w:val="0"/>
                  <w:marRight w:val="0"/>
                  <w:marTop w:val="0"/>
                  <w:marBottom w:val="0"/>
                  <w:divBdr>
                    <w:top w:val="none" w:sz="0" w:space="0" w:color="auto"/>
                    <w:left w:val="none" w:sz="0" w:space="0" w:color="auto"/>
                    <w:bottom w:val="none" w:sz="0" w:space="0" w:color="auto"/>
                    <w:right w:val="none" w:sz="0" w:space="0" w:color="auto"/>
                  </w:divBdr>
                </w:div>
              </w:divsChild>
            </w:div>
            <w:div w:id="1424649863">
              <w:marLeft w:val="0"/>
              <w:marRight w:val="0"/>
              <w:marTop w:val="0"/>
              <w:marBottom w:val="0"/>
              <w:divBdr>
                <w:top w:val="none" w:sz="0" w:space="0" w:color="auto"/>
                <w:left w:val="none" w:sz="0" w:space="0" w:color="auto"/>
                <w:bottom w:val="none" w:sz="0" w:space="0" w:color="auto"/>
                <w:right w:val="none" w:sz="0" w:space="0" w:color="auto"/>
              </w:divBdr>
            </w:div>
          </w:divsChild>
        </w:div>
        <w:div w:id="2016032639">
          <w:marLeft w:val="0"/>
          <w:marRight w:val="0"/>
          <w:marTop w:val="0"/>
          <w:marBottom w:val="0"/>
          <w:divBdr>
            <w:top w:val="none" w:sz="0" w:space="0" w:color="auto"/>
            <w:left w:val="none" w:sz="0" w:space="0" w:color="auto"/>
            <w:bottom w:val="none" w:sz="0" w:space="0" w:color="auto"/>
            <w:right w:val="none" w:sz="0" w:space="0" w:color="auto"/>
          </w:divBdr>
        </w:div>
        <w:div w:id="661616329">
          <w:marLeft w:val="0"/>
          <w:marRight w:val="0"/>
          <w:marTop w:val="0"/>
          <w:marBottom w:val="0"/>
          <w:divBdr>
            <w:top w:val="none" w:sz="0" w:space="0" w:color="auto"/>
            <w:left w:val="none" w:sz="0" w:space="0" w:color="auto"/>
            <w:bottom w:val="none" w:sz="0" w:space="0" w:color="auto"/>
            <w:right w:val="none" w:sz="0" w:space="0" w:color="auto"/>
          </w:divBdr>
        </w:div>
      </w:divsChild>
    </w:div>
    <w:div w:id="914507731">
      <w:bodyDiv w:val="1"/>
      <w:marLeft w:val="0"/>
      <w:marRight w:val="0"/>
      <w:marTop w:val="0"/>
      <w:marBottom w:val="0"/>
      <w:divBdr>
        <w:top w:val="none" w:sz="0" w:space="0" w:color="auto"/>
        <w:left w:val="none" w:sz="0" w:space="0" w:color="auto"/>
        <w:bottom w:val="none" w:sz="0" w:space="0" w:color="auto"/>
        <w:right w:val="none" w:sz="0" w:space="0" w:color="auto"/>
      </w:divBdr>
    </w:div>
    <w:div w:id="926963219">
      <w:bodyDiv w:val="1"/>
      <w:marLeft w:val="0"/>
      <w:marRight w:val="0"/>
      <w:marTop w:val="0"/>
      <w:marBottom w:val="0"/>
      <w:divBdr>
        <w:top w:val="none" w:sz="0" w:space="0" w:color="auto"/>
        <w:left w:val="none" w:sz="0" w:space="0" w:color="auto"/>
        <w:bottom w:val="none" w:sz="0" w:space="0" w:color="auto"/>
        <w:right w:val="none" w:sz="0" w:space="0" w:color="auto"/>
      </w:divBdr>
    </w:div>
    <w:div w:id="929391487">
      <w:bodyDiv w:val="1"/>
      <w:marLeft w:val="0"/>
      <w:marRight w:val="0"/>
      <w:marTop w:val="0"/>
      <w:marBottom w:val="0"/>
      <w:divBdr>
        <w:top w:val="none" w:sz="0" w:space="0" w:color="auto"/>
        <w:left w:val="none" w:sz="0" w:space="0" w:color="auto"/>
        <w:bottom w:val="none" w:sz="0" w:space="0" w:color="auto"/>
        <w:right w:val="none" w:sz="0" w:space="0" w:color="auto"/>
      </w:divBdr>
    </w:div>
    <w:div w:id="936907508">
      <w:bodyDiv w:val="1"/>
      <w:marLeft w:val="0"/>
      <w:marRight w:val="0"/>
      <w:marTop w:val="0"/>
      <w:marBottom w:val="0"/>
      <w:divBdr>
        <w:top w:val="none" w:sz="0" w:space="0" w:color="auto"/>
        <w:left w:val="none" w:sz="0" w:space="0" w:color="auto"/>
        <w:bottom w:val="none" w:sz="0" w:space="0" w:color="auto"/>
        <w:right w:val="none" w:sz="0" w:space="0" w:color="auto"/>
      </w:divBdr>
    </w:div>
    <w:div w:id="937761289">
      <w:bodyDiv w:val="1"/>
      <w:marLeft w:val="0"/>
      <w:marRight w:val="0"/>
      <w:marTop w:val="0"/>
      <w:marBottom w:val="0"/>
      <w:divBdr>
        <w:top w:val="none" w:sz="0" w:space="0" w:color="auto"/>
        <w:left w:val="none" w:sz="0" w:space="0" w:color="auto"/>
        <w:bottom w:val="none" w:sz="0" w:space="0" w:color="auto"/>
        <w:right w:val="none" w:sz="0" w:space="0" w:color="auto"/>
      </w:divBdr>
    </w:div>
    <w:div w:id="950555619">
      <w:bodyDiv w:val="1"/>
      <w:marLeft w:val="0"/>
      <w:marRight w:val="0"/>
      <w:marTop w:val="0"/>
      <w:marBottom w:val="0"/>
      <w:divBdr>
        <w:top w:val="none" w:sz="0" w:space="0" w:color="auto"/>
        <w:left w:val="none" w:sz="0" w:space="0" w:color="auto"/>
        <w:bottom w:val="none" w:sz="0" w:space="0" w:color="auto"/>
        <w:right w:val="none" w:sz="0" w:space="0" w:color="auto"/>
      </w:divBdr>
      <w:divsChild>
        <w:div w:id="1951550144">
          <w:marLeft w:val="0"/>
          <w:marRight w:val="0"/>
          <w:marTop w:val="0"/>
          <w:marBottom w:val="0"/>
          <w:divBdr>
            <w:top w:val="none" w:sz="0" w:space="0" w:color="auto"/>
            <w:left w:val="none" w:sz="0" w:space="0" w:color="auto"/>
            <w:bottom w:val="none" w:sz="0" w:space="0" w:color="auto"/>
            <w:right w:val="none" w:sz="0" w:space="0" w:color="auto"/>
          </w:divBdr>
        </w:div>
      </w:divsChild>
    </w:div>
    <w:div w:id="971322482">
      <w:bodyDiv w:val="1"/>
      <w:marLeft w:val="0"/>
      <w:marRight w:val="0"/>
      <w:marTop w:val="0"/>
      <w:marBottom w:val="0"/>
      <w:divBdr>
        <w:top w:val="none" w:sz="0" w:space="0" w:color="auto"/>
        <w:left w:val="none" w:sz="0" w:space="0" w:color="auto"/>
        <w:bottom w:val="none" w:sz="0" w:space="0" w:color="auto"/>
        <w:right w:val="none" w:sz="0" w:space="0" w:color="auto"/>
      </w:divBdr>
    </w:div>
    <w:div w:id="976226310">
      <w:bodyDiv w:val="1"/>
      <w:marLeft w:val="0"/>
      <w:marRight w:val="0"/>
      <w:marTop w:val="0"/>
      <w:marBottom w:val="0"/>
      <w:divBdr>
        <w:top w:val="none" w:sz="0" w:space="0" w:color="auto"/>
        <w:left w:val="none" w:sz="0" w:space="0" w:color="auto"/>
        <w:bottom w:val="none" w:sz="0" w:space="0" w:color="auto"/>
        <w:right w:val="none" w:sz="0" w:space="0" w:color="auto"/>
      </w:divBdr>
    </w:div>
    <w:div w:id="978649649">
      <w:bodyDiv w:val="1"/>
      <w:marLeft w:val="0"/>
      <w:marRight w:val="0"/>
      <w:marTop w:val="0"/>
      <w:marBottom w:val="0"/>
      <w:divBdr>
        <w:top w:val="none" w:sz="0" w:space="0" w:color="auto"/>
        <w:left w:val="none" w:sz="0" w:space="0" w:color="auto"/>
        <w:bottom w:val="none" w:sz="0" w:space="0" w:color="auto"/>
        <w:right w:val="none" w:sz="0" w:space="0" w:color="auto"/>
      </w:divBdr>
      <w:divsChild>
        <w:div w:id="533228353">
          <w:marLeft w:val="0"/>
          <w:marRight w:val="0"/>
          <w:marTop w:val="0"/>
          <w:marBottom w:val="0"/>
          <w:divBdr>
            <w:top w:val="none" w:sz="0" w:space="0" w:color="auto"/>
            <w:left w:val="none" w:sz="0" w:space="0" w:color="auto"/>
            <w:bottom w:val="none" w:sz="0" w:space="0" w:color="auto"/>
            <w:right w:val="none" w:sz="0" w:space="0" w:color="auto"/>
          </w:divBdr>
          <w:divsChild>
            <w:div w:id="1335378469">
              <w:marLeft w:val="0"/>
              <w:marRight w:val="0"/>
              <w:marTop w:val="0"/>
              <w:marBottom w:val="0"/>
              <w:divBdr>
                <w:top w:val="none" w:sz="0" w:space="0" w:color="auto"/>
                <w:left w:val="none" w:sz="0" w:space="0" w:color="auto"/>
                <w:bottom w:val="none" w:sz="0" w:space="0" w:color="auto"/>
                <w:right w:val="none" w:sz="0" w:space="0" w:color="auto"/>
              </w:divBdr>
              <w:divsChild>
                <w:div w:id="125883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8940388">
      <w:bodyDiv w:val="1"/>
      <w:marLeft w:val="0"/>
      <w:marRight w:val="0"/>
      <w:marTop w:val="0"/>
      <w:marBottom w:val="0"/>
      <w:divBdr>
        <w:top w:val="none" w:sz="0" w:space="0" w:color="auto"/>
        <w:left w:val="none" w:sz="0" w:space="0" w:color="auto"/>
        <w:bottom w:val="none" w:sz="0" w:space="0" w:color="auto"/>
        <w:right w:val="none" w:sz="0" w:space="0" w:color="auto"/>
      </w:divBdr>
    </w:div>
    <w:div w:id="1006009464">
      <w:bodyDiv w:val="1"/>
      <w:marLeft w:val="0"/>
      <w:marRight w:val="0"/>
      <w:marTop w:val="0"/>
      <w:marBottom w:val="0"/>
      <w:divBdr>
        <w:top w:val="none" w:sz="0" w:space="0" w:color="auto"/>
        <w:left w:val="none" w:sz="0" w:space="0" w:color="auto"/>
        <w:bottom w:val="none" w:sz="0" w:space="0" w:color="auto"/>
        <w:right w:val="none" w:sz="0" w:space="0" w:color="auto"/>
      </w:divBdr>
      <w:divsChild>
        <w:div w:id="1228147876">
          <w:marLeft w:val="0"/>
          <w:marRight w:val="0"/>
          <w:marTop w:val="0"/>
          <w:marBottom w:val="0"/>
          <w:divBdr>
            <w:top w:val="none" w:sz="0" w:space="0" w:color="auto"/>
            <w:left w:val="none" w:sz="0" w:space="0" w:color="auto"/>
            <w:bottom w:val="none" w:sz="0" w:space="0" w:color="auto"/>
            <w:right w:val="none" w:sz="0" w:space="0" w:color="auto"/>
          </w:divBdr>
          <w:divsChild>
            <w:div w:id="1104544632">
              <w:marLeft w:val="0"/>
              <w:marRight w:val="0"/>
              <w:marTop w:val="0"/>
              <w:marBottom w:val="0"/>
              <w:divBdr>
                <w:top w:val="none" w:sz="0" w:space="0" w:color="auto"/>
                <w:left w:val="none" w:sz="0" w:space="0" w:color="auto"/>
                <w:bottom w:val="none" w:sz="0" w:space="0" w:color="auto"/>
                <w:right w:val="none" w:sz="0" w:space="0" w:color="auto"/>
              </w:divBdr>
              <w:divsChild>
                <w:div w:id="1115947508">
                  <w:marLeft w:val="0"/>
                  <w:marRight w:val="0"/>
                  <w:marTop w:val="0"/>
                  <w:marBottom w:val="0"/>
                  <w:divBdr>
                    <w:top w:val="none" w:sz="0" w:space="0" w:color="auto"/>
                    <w:left w:val="none" w:sz="0" w:space="0" w:color="auto"/>
                    <w:bottom w:val="none" w:sz="0" w:space="0" w:color="auto"/>
                    <w:right w:val="none" w:sz="0" w:space="0" w:color="auto"/>
                  </w:divBdr>
                </w:div>
                <w:div w:id="1944338690">
                  <w:marLeft w:val="0"/>
                  <w:marRight w:val="0"/>
                  <w:marTop w:val="0"/>
                  <w:marBottom w:val="0"/>
                  <w:divBdr>
                    <w:top w:val="none" w:sz="0" w:space="0" w:color="auto"/>
                    <w:left w:val="none" w:sz="0" w:space="0" w:color="auto"/>
                    <w:bottom w:val="none" w:sz="0" w:space="0" w:color="auto"/>
                    <w:right w:val="none" w:sz="0" w:space="0" w:color="auto"/>
                  </w:divBdr>
                </w:div>
                <w:div w:id="2110196357">
                  <w:marLeft w:val="0"/>
                  <w:marRight w:val="0"/>
                  <w:marTop w:val="0"/>
                  <w:marBottom w:val="0"/>
                  <w:divBdr>
                    <w:top w:val="none" w:sz="0" w:space="0" w:color="auto"/>
                    <w:left w:val="none" w:sz="0" w:space="0" w:color="auto"/>
                    <w:bottom w:val="none" w:sz="0" w:space="0" w:color="auto"/>
                    <w:right w:val="none" w:sz="0" w:space="0" w:color="auto"/>
                  </w:divBdr>
                </w:div>
                <w:div w:id="244340040">
                  <w:marLeft w:val="0"/>
                  <w:marRight w:val="0"/>
                  <w:marTop w:val="0"/>
                  <w:marBottom w:val="0"/>
                  <w:divBdr>
                    <w:top w:val="none" w:sz="0" w:space="0" w:color="auto"/>
                    <w:left w:val="none" w:sz="0" w:space="0" w:color="auto"/>
                    <w:bottom w:val="none" w:sz="0" w:space="0" w:color="auto"/>
                    <w:right w:val="none" w:sz="0" w:space="0" w:color="auto"/>
                  </w:divBdr>
                </w:div>
              </w:divsChild>
            </w:div>
            <w:div w:id="1845853470">
              <w:marLeft w:val="0"/>
              <w:marRight w:val="0"/>
              <w:marTop w:val="0"/>
              <w:marBottom w:val="0"/>
              <w:divBdr>
                <w:top w:val="none" w:sz="0" w:space="0" w:color="auto"/>
                <w:left w:val="none" w:sz="0" w:space="0" w:color="auto"/>
                <w:bottom w:val="none" w:sz="0" w:space="0" w:color="auto"/>
                <w:right w:val="none" w:sz="0" w:space="0" w:color="auto"/>
              </w:divBdr>
              <w:divsChild>
                <w:div w:id="544874625">
                  <w:marLeft w:val="0"/>
                  <w:marRight w:val="0"/>
                  <w:marTop w:val="0"/>
                  <w:marBottom w:val="0"/>
                  <w:divBdr>
                    <w:top w:val="none" w:sz="0" w:space="0" w:color="auto"/>
                    <w:left w:val="none" w:sz="0" w:space="0" w:color="auto"/>
                    <w:bottom w:val="none" w:sz="0" w:space="0" w:color="auto"/>
                    <w:right w:val="none" w:sz="0" w:space="0" w:color="auto"/>
                  </w:divBdr>
                </w:div>
                <w:div w:id="30421742">
                  <w:marLeft w:val="0"/>
                  <w:marRight w:val="0"/>
                  <w:marTop w:val="0"/>
                  <w:marBottom w:val="0"/>
                  <w:divBdr>
                    <w:top w:val="none" w:sz="0" w:space="0" w:color="auto"/>
                    <w:left w:val="none" w:sz="0" w:space="0" w:color="auto"/>
                    <w:bottom w:val="none" w:sz="0" w:space="0" w:color="auto"/>
                    <w:right w:val="none" w:sz="0" w:space="0" w:color="auto"/>
                  </w:divBdr>
                </w:div>
                <w:div w:id="1559899053">
                  <w:marLeft w:val="0"/>
                  <w:marRight w:val="0"/>
                  <w:marTop w:val="0"/>
                  <w:marBottom w:val="0"/>
                  <w:divBdr>
                    <w:top w:val="none" w:sz="0" w:space="0" w:color="auto"/>
                    <w:left w:val="none" w:sz="0" w:space="0" w:color="auto"/>
                    <w:bottom w:val="none" w:sz="0" w:space="0" w:color="auto"/>
                    <w:right w:val="none" w:sz="0" w:space="0" w:color="auto"/>
                  </w:divBdr>
                </w:div>
                <w:div w:id="646007733">
                  <w:marLeft w:val="0"/>
                  <w:marRight w:val="0"/>
                  <w:marTop w:val="0"/>
                  <w:marBottom w:val="0"/>
                  <w:divBdr>
                    <w:top w:val="none" w:sz="0" w:space="0" w:color="auto"/>
                    <w:left w:val="none" w:sz="0" w:space="0" w:color="auto"/>
                    <w:bottom w:val="none" w:sz="0" w:space="0" w:color="auto"/>
                    <w:right w:val="none" w:sz="0" w:space="0" w:color="auto"/>
                  </w:divBdr>
                </w:div>
              </w:divsChild>
            </w:div>
            <w:div w:id="97680798">
              <w:marLeft w:val="0"/>
              <w:marRight w:val="0"/>
              <w:marTop w:val="0"/>
              <w:marBottom w:val="0"/>
              <w:divBdr>
                <w:top w:val="none" w:sz="0" w:space="0" w:color="auto"/>
                <w:left w:val="none" w:sz="0" w:space="0" w:color="auto"/>
                <w:bottom w:val="none" w:sz="0" w:space="0" w:color="auto"/>
                <w:right w:val="none" w:sz="0" w:space="0" w:color="auto"/>
              </w:divBdr>
            </w:div>
          </w:divsChild>
        </w:div>
        <w:div w:id="1807232305">
          <w:marLeft w:val="0"/>
          <w:marRight w:val="0"/>
          <w:marTop w:val="0"/>
          <w:marBottom w:val="0"/>
          <w:divBdr>
            <w:top w:val="none" w:sz="0" w:space="0" w:color="auto"/>
            <w:left w:val="none" w:sz="0" w:space="0" w:color="auto"/>
            <w:bottom w:val="none" w:sz="0" w:space="0" w:color="auto"/>
            <w:right w:val="none" w:sz="0" w:space="0" w:color="auto"/>
          </w:divBdr>
        </w:div>
      </w:divsChild>
    </w:div>
    <w:div w:id="1017316827">
      <w:bodyDiv w:val="1"/>
      <w:marLeft w:val="0"/>
      <w:marRight w:val="0"/>
      <w:marTop w:val="0"/>
      <w:marBottom w:val="0"/>
      <w:divBdr>
        <w:top w:val="none" w:sz="0" w:space="0" w:color="auto"/>
        <w:left w:val="none" w:sz="0" w:space="0" w:color="auto"/>
        <w:bottom w:val="none" w:sz="0" w:space="0" w:color="auto"/>
        <w:right w:val="none" w:sz="0" w:space="0" w:color="auto"/>
      </w:divBdr>
      <w:divsChild>
        <w:div w:id="2098666566">
          <w:marLeft w:val="0"/>
          <w:marRight w:val="0"/>
          <w:marTop w:val="0"/>
          <w:marBottom w:val="0"/>
          <w:divBdr>
            <w:top w:val="none" w:sz="0" w:space="0" w:color="auto"/>
            <w:left w:val="none" w:sz="0" w:space="0" w:color="auto"/>
            <w:bottom w:val="none" w:sz="0" w:space="0" w:color="auto"/>
            <w:right w:val="none" w:sz="0" w:space="0" w:color="auto"/>
          </w:divBdr>
          <w:divsChild>
            <w:div w:id="269631556">
              <w:marLeft w:val="0"/>
              <w:marRight w:val="0"/>
              <w:marTop w:val="0"/>
              <w:marBottom w:val="0"/>
              <w:divBdr>
                <w:top w:val="none" w:sz="0" w:space="0" w:color="auto"/>
                <w:left w:val="none" w:sz="0" w:space="0" w:color="auto"/>
                <w:bottom w:val="none" w:sz="0" w:space="0" w:color="auto"/>
                <w:right w:val="none" w:sz="0" w:space="0" w:color="auto"/>
              </w:divBdr>
              <w:divsChild>
                <w:div w:id="194321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0156536">
      <w:bodyDiv w:val="1"/>
      <w:marLeft w:val="0"/>
      <w:marRight w:val="0"/>
      <w:marTop w:val="0"/>
      <w:marBottom w:val="0"/>
      <w:divBdr>
        <w:top w:val="none" w:sz="0" w:space="0" w:color="auto"/>
        <w:left w:val="none" w:sz="0" w:space="0" w:color="auto"/>
        <w:bottom w:val="none" w:sz="0" w:space="0" w:color="auto"/>
        <w:right w:val="none" w:sz="0" w:space="0" w:color="auto"/>
      </w:divBdr>
    </w:div>
    <w:div w:id="1021518321">
      <w:bodyDiv w:val="1"/>
      <w:marLeft w:val="0"/>
      <w:marRight w:val="0"/>
      <w:marTop w:val="0"/>
      <w:marBottom w:val="0"/>
      <w:divBdr>
        <w:top w:val="none" w:sz="0" w:space="0" w:color="auto"/>
        <w:left w:val="none" w:sz="0" w:space="0" w:color="auto"/>
        <w:bottom w:val="none" w:sz="0" w:space="0" w:color="auto"/>
        <w:right w:val="none" w:sz="0" w:space="0" w:color="auto"/>
      </w:divBdr>
      <w:divsChild>
        <w:div w:id="586426412">
          <w:marLeft w:val="0"/>
          <w:marRight w:val="0"/>
          <w:marTop w:val="0"/>
          <w:marBottom w:val="0"/>
          <w:divBdr>
            <w:top w:val="none" w:sz="0" w:space="0" w:color="auto"/>
            <w:left w:val="none" w:sz="0" w:space="0" w:color="auto"/>
            <w:bottom w:val="none" w:sz="0" w:space="0" w:color="auto"/>
            <w:right w:val="none" w:sz="0" w:space="0" w:color="auto"/>
          </w:divBdr>
          <w:divsChild>
            <w:div w:id="804350087">
              <w:marLeft w:val="0"/>
              <w:marRight w:val="0"/>
              <w:marTop w:val="0"/>
              <w:marBottom w:val="0"/>
              <w:divBdr>
                <w:top w:val="none" w:sz="0" w:space="0" w:color="auto"/>
                <w:left w:val="none" w:sz="0" w:space="0" w:color="auto"/>
                <w:bottom w:val="none" w:sz="0" w:space="0" w:color="auto"/>
                <w:right w:val="none" w:sz="0" w:space="0" w:color="auto"/>
              </w:divBdr>
              <w:divsChild>
                <w:div w:id="2101902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2323131">
      <w:bodyDiv w:val="1"/>
      <w:marLeft w:val="0"/>
      <w:marRight w:val="0"/>
      <w:marTop w:val="0"/>
      <w:marBottom w:val="0"/>
      <w:divBdr>
        <w:top w:val="none" w:sz="0" w:space="0" w:color="auto"/>
        <w:left w:val="none" w:sz="0" w:space="0" w:color="auto"/>
        <w:bottom w:val="none" w:sz="0" w:space="0" w:color="auto"/>
        <w:right w:val="none" w:sz="0" w:space="0" w:color="auto"/>
      </w:divBdr>
      <w:divsChild>
        <w:div w:id="187260892">
          <w:marLeft w:val="0"/>
          <w:marRight w:val="0"/>
          <w:marTop w:val="0"/>
          <w:marBottom w:val="0"/>
          <w:divBdr>
            <w:top w:val="none" w:sz="0" w:space="0" w:color="auto"/>
            <w:left w:val="none" w:sz="0" w:space="0" w:color="auto"/>
            <w:bottom w:val="none" w:sz="0" w:space="0" w:color="auto"/>
            <w:right w:val="none" w:sz="0" w:space="0" w:color="auto"/>
          </w:divBdr>
        </w:div>
        <w:div w:id="760293576">
          <w:marLeft w:val="0"/>
          <w:marRight w:val="0"/>
          <w:marTop w:val="0"/>
          <w:marBottom w:val="0"/>
          <w:divBdr>
            <w:top w:val="none" w:sz="0" w:space="0" w:color="auto"/>
            <w:left w:val="none" w:sz="0" w:space="0" w:color="auto"/>
            <w:bottom w:val="none" w:sz="0" w:space="0" w:color="auto"/>
            <w:right w:val="none" w:sz="0" w:space="0" w:color="auto"/>
          </w:divBdr>
        </w:div>
        <w:div w:id="166478522">
          <w:marLeft w:val="0"/>
          <w:marRight w:val="0"/>
          <w:marTop w:val="0"/>
          <w:marBottom w:val="0"/>
          <w:divBdr>
            <w:top w:val="none" w:sz="0" w:space="0" w:color="auto"/>
            <w:left w:val="none" w:sz="0" w:space="0" w:color="auto"/>
            <w:bottom w:val="none" w:sz="0" w:space="0" w:color="auto"/>
            <w:right w:val="none" w:sz="0" w:space="0" w:color="auto"/>
          </w:divBdr>
        </w:div>
        <w:div w:id="1858227813">
          <w:marLeft w:val="0"/>
          <w:marRight w:val="0"/>
          <w:marTop w:val="0"/>
          <w:marBottom w:val="0"/>
          <w:divBdr>
            <w:top w:val="none" w:sz="0" w:space="0" w:color="auto"/>
            <w:left w:val="none" w:sz="0" w:space="0" w:color="auto"/>
            <w:bottom w:val="none" w:sz="0" w:space="0" w:color="auto"/>
            <w:right w:val="none" w:sz="0" w:space="0" w:color="auto"/>
          </w:divBdr>
        </w:div>
        <w:div w:id="429815403">
          <w:marLeft w:val="0"/>
          <w:marRight w:val="0"/>
          <w:marTop w:val="0"/>
          <w:marBottom w:val="0"/>
          <w:divBdr>
            <w:top w:val="none" w:sz="0" w:space="0" w:color="auto"/>
            <w:left w:val="none" w:sz="0" w:space="0" w:color="auto"/>
            <w:bottom w:val="none" w:sz="0" w:space="0" w:color="auto"/>
            <w:right w:val="none" w:sz="0" w:space="0" w:color="auto"/>
          </w:divBdr>
        </w:div>
        <w:div w:id="91754144">
          <w:marLeft w:val="0"/>
          <w:marRight w:val="0"/>
          <w:marTop w:val="0"/>
          <w:marBottom w:val="0"/>
          <w:divBdr>
            <w:top w:val="none" w:sz="0" w:space="0" w:color="auto"/>
            <w:left w:val="none" w:sz="0" w:space="0" w:color="auto"/>
            <w:bottom w:val="none" w:sz="0" w:space="0" w:color="auto"/>
            <w:right w:val="none" w:sz="0" w:space="0" w:color="auto"/>
          </w:divBdr>
        </w:div>
        <w:div w:id="663629065">
          <w:marLeft w:val="0"/>
          <w:marRight w:val="0"/>
          <w:marTop w:val="0"/>
          <w:marBottom w:val="0"/>
          <w:divBdr>
            <w:top w:val="none" w:sz="0" w:space="0" w:color="auto"/>
            <w:left w:val="none" w:sz="0" w:space="0" w:color="auto"/>
            <w:bottom w:val="none" w:sz="0" w:space="0" w:color="auto"/>
            <w:right w:val="none" w:sz="0" w:space="0" w:color="auto"/>
          </w:divBdr>
        </w:div>
      </w:divsChild>
    </w:div>
    <w:div w:id="1041858281">
      <w:bodyDiv w:val="1"/>
      <w:marLeft w:val="0"/>
      <w:marRight w:val="0"/>
      <w:marTop w:val="0"/>
      <w:marBottom w:val="0"/>
      <w:divBdr>
        <w:top w:val="none" w:sz="0" w:space="0" w:color="auto"/>
        <w:left w:val="none" w:sz="0" w:space="0" w:color="auto"/>
        <w:bottom w:val="none" w:sz="0" w:space="0" w:color="auto"/>
        <w:right w:val="none" w:sz="0" w:space="0" w:color="auto"/>
      </w:divBdr>
    </w:div>
    <w:div w:id="1046682328">
      <w:bodyDiv w:val="1"/>
      <w:marLeft w:val="0"/>
      <w:marRight w:val="0"/>
      <w:marTop w:val="0"/>
      <w:marBottom w:val="0"/>
      <w:divBdr>
        <w:top w:val="none" w:sz="0" w:space="0" w:color="auto"/>
        <w:left w:val="none" w:sz="0" w:space="0" w:color="auto"/>
        <w:bottom w:val="none" w:sz="0" w:space="0" w:color="auto"/>
        <w:right w:val="none" w:sz="0" w:space="0" w:color="auto"/>
      </w:divBdr>
    </w:div>
    <w:div w:id="1048455914">
      <w:bodyDiv w:val="1"/>
      <w:marLeft w:val="0"/>
      <w:marRight w:val="0"/>
      <w:marTop w:val="0"/>
      <w:marBottom w:val="0"/>
      <w:divBdr>
        <w:top w:val="none" w:sz="0" w:space="0" w:color="auto"/>
        <w:left w:val="none" w:sz="0" w:space="0" w:color="auto"/>
        <w:bottom w:val="none" w:sz="0" w:space="0" w:color="auto"/>
        <w:right w:val="none" w:sz="0" w:space="0" w:color="auto"/>
      </w:divBdr>
      <w:divsChild>
        <w:div w:id="1593466034">
          <w:marLeft w:val="0"/>
          <w:marRight w:val="0"/>
          <w:marTop w:val="0"/>
          <w:marBottom w:val="0"/>
          <w:divBdr>
            <w:top w:val="none" w:sz="0" w:space="0" w:color="auto"/>
            <w:left w:val="none" w:sz="0" w:space="0" w:color="auto"/>
            <w:bottom w:val="none" w:sz="0" w:space="0" w:color="auto"/>
            <w:right w:val="none" w:sz="0" w:space="0" w:color="auto"/>
          </w:divBdr>
        </w:div>
      </w:divsChild>
    </w:div>
    <w:div w:id="1065756435">
      <w:bodyDiv w:val="1"/>
      <w:marLeft w:val="0"/>
      <w:marRight w:val="0"/>
      <w:marTop w:val="0"/>
      <w:marBottom w:val="0"/>
      <w:divBdr>
        <w:top w:val="none" w:sz="0" w:space="0" w:color="auto"/>
        <w:left w:val="none" w:sz="0" w:space="0" w:color="auto"/>
        <w:bottom w:val="none" w:sz="0" w:space="0" w:color="auto"/>
        <w:right w:val="none" w:sz="0" w:space="0" w:color="auto"/>
      </w:divBdr>
    </w:div>
    <w:div w:id="1067269241">
      <w:bodyDiv w:val="1"/>
      <w:marLeft w:val="0"/>
      <w:marRight w:val="0"/>
      <w:marTop w:val="0"/>
      <w:marBottom w:val="0"/>
      <w:divBdr>
        <w:top w:val="none" w:sz="0" w:space="0" w:color="auto"/>
        <w:left w:val="none" w:sz="0" w:space="0" w:color="auto"/>
        <w:bottom w:val="none" w:sz="0" w:space="0" w:color="auto"/>
        <w:right w:val="none" w:sz="0" w:space="0" w:color="auto"/>
      </w:divBdr>
    </w:div>
    <w:div w:id="1074934493">
      <w:bodyDiv w:val="1"/>
      <w:marLeft w:val="0"/>
      <w:marRight w:val="0"/>
      <w:marTop w:val="0"/>
      <w:marBottom w:val="0"/>
      <w:divBdr>
        <w:top w:val="none" w:sz="0" w:space="0" w:color="auto"/>
        <w:left w:val="none" w:sz="0" w:space="0" w:color="auto"/>
        <w:bottom w:val="none" w:sz="0" w:space="0" w:color="auto"/>
        <w:right w:val="none" w:sz="0" w:space="0" w:color="auto"/>
      </w:divBdr>
      <w:divsChild>
        <w:div w:id="1916239075">
          <w:marLeft w:val="0"/>
          <w:marRight w:val="0"/>
          <w:marTop w:val="0"/>
          <w:marBottom w:val="0"/>
          <w:divBdr>
            <w:top w:val="none" w:sz="0" w:space="0" w:color="auto"/>
            <w:left w:val="none" w:sz="0" w:space="0" w:color="auto"/>
            <w:bottom w:val="none" w:sz="0" w:space="0" w:color="auto"/>
            <w:right w:val="none" w:sz="0" w:space="0" w:color="auto"/>
          </w:divBdr>
          <w:divsChild>
            <w:div w:id="485584476">
              <w:marLeft w:val="0"/>
              <w:marRight w:val="0"/>
              <w:marTop w:val="0"/>
              <w:marBottom w:val="0"/>
              <w:divBdr>
                <w:top w:val="none" w:sz="0" w:space="0" w:color="auto"/>
                <w:left w:val="none" w:sz="0" w:space="0" w:color="auto"/>
                <w:bottom w:val="none" w:sz="0" w:space="0" w:color="auto"/>
                <w:right w:val="none" w:sz="0" w:space="0" w:color="auto"/>
              </w:divBdr>
              <w:divsChild>
                <w:div w:id="1661736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8282045">
      <w:bodyDiv w:val="1"/>
      <w:marLeft w:val="0"/>
      <w:marRight w:val="0"/>
      <w:marTop w:val="0"/>
      <w:marBottom w:val="0"/>
      <w:divBdr>
        <w:top w:val="none" w:sz="0" w:space="0" w:color="auto"/>
        <w:left w:val="none" w:sz="0" w:space="0" w:color="auto"/>
        <w:bottom w:val="none" w:sz="0" w:space="0" w:color="auto"/>
        <w:right w:val="none" w:sz="0" w:space="0" w:color="auto"/>
      </w:divBdr>
    </w:div>
    <w:div w:id="1104495200">
      <w:bodyDiv w:val="1"/>
      <w:marLeft w:val="0"/>
      <w:marRight w:val="0"/>
      <w:marTop w:val="0"/>
      <w:marBottom w:val="0"/>
      <w:divBdr>
        <w:top w:val="none" w:sz="0" w:space="0" w:color="auto"/>
        <w:left w:val="none" w:sz="0" w:space="0" w:color="auto"/>
        <w:bottom w:val="none" w:sz="0" w:space="0" w:color="auto"/>
        <w:right w:val="none" w:sz="0" w:space="0" w:color="auto"/>
      </w:divBdr>
    </w:div>
    <w:div w:id="1120952126">
      <w:bodyDiv w:val="1"/>
      <w:marLeft w:val="0"/>
      <w:marRight w:val="0"/>
      <w:marTop w:val="0"/>
      <w:marBottom w:val="0"/>
      <w:divBdr>
        <w:top w:val="none" w:sz="0" w:space="0" w:color="auto"/>
        <w:left w:val="none" w:sz="0" w:space="0" w:color="auto"/>
        <w:bottom w:val="none" w:sz="0" w:space="0" w:color="auto"/>
        <w:right w:val="none" w:sz="0" w:space="0" w:color="auto"/>
      </w:divBdr>
    </w:div>
    <w:div w:id="1135179992">
      <w:bodyDiv w:val="1"/>
      <w:marLeft w:val="0"/>
      <w:marRight w:val="0"/>
      <w:marTop w:val="0"/>
      <w:marBottom w:val="0"/>
      <w:divBdr>
        <w:top w:val="none" w:sz="0" w:space="0" w:color="auto"/>
        <w:left w:val="none" w:sz="0" w:space="0" w:color="auto"/>
        <w:bottom w:val="none" w:sz="0" w:space="0" w:color="auto"/>
        <w:right w:val="none" w:sz="0" w:space="0" w:color="auto"/>
      </w:divBdr>
    </w:div>
    <w:div w:id="1150174265">
      <w:bodyDiv w:val="1"/>
      <w:marLeft w:val="0"/>
      <w:marRight w:val="0"/>
      <w:marTop w:val="0"/>
      <w:marBottom w:val="0"/>
      <w:divBdr>
        <w:top w:val="none" w:sz="0" w:space="0" w:color="auto"/>
        <w:left w:val="none" w:sz="0" w:space="0" w:color="auto"/>
        <w:bottom w:val="none" w:sz="0" w:space="0" w:color="auto"/>
        <w:right w:val="none" w:sz="0" w:space="0" w:color="auto"/>
      </w:divBdr>
    </w:div>
    <w:div w:id="1169297104">
      <w:bodyDiv w:val="1"/>
      <w:marLeft w:val="0"/>
      <w:marRight w:val="0"/>
      <w:marTop w:val="0"/>
      <w:marBottom w:val="0"/>
      <w:divBdr>
        <w:top w:val="none" w:sz="0" w:space="0" w:color="auto"/>
        <w:left w:val="none" w:sz="0" w:space="0" w:color="auto"/>
        <w:bottom w:val="none" w:sz="0" w:space="0" w:color="auto"/>
        <w:right w:val="none" w:sz="0" w:space="0" w:color="auto"/>
      </w:divBdr>
      <w:divsChild>
        <w:div w:id="929966418">
          <w:marLeft w:val="0"/>
          <w:marRight w:val="0"/>
          <w:marTop w:val="0"/>
          <w:marBottom w:val="0"/>
          <w:divBdr>
            <w:top w:val="none" w:sz="0" w:space="0" w:color="auto"/>
            <w:left w:val="none" w:sz="0" w:space="0" w:color="auto"/>
            <w:bottom w:val="none" w:sz="0" w:space="0" w:color="auto"/>
            <w:right w:val="none" w:sz="0" w:space="0" w:color="auto"/>
          </w:divBdr>
          <w:divsChild>
            <w:div w:id="477848648">
              <w:marLeft w:val="0"/>
              <w:marRight w:val="0"/>
              <w:marTop w:val="0"/>
              <w:marBottom w:val="0"/>
              <w:divBdr>
                <w:top w:val="none" w:sz="0" w:space="0" w:color="auto"/>
                <w:left w:val="none" w:sz="0" w:space="0" w:color="auto"/>
                <w:bottom w:val="none" w:sz="0" w:space="0" w:color="auto"/>
                <w:right w:val="none" w:sz="0" w:space="0" w:color="auto"/>
              </w:divBdr>
              <w:divsChild>
                <w:div w:id="111706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902100">
      <w:bodyDiv w:val="1"/>
      <w:marLeft w:val="0"/>
      <w:marRight w:val="0"/>
      <w:marTop w:val="0"/>
      <w:marBottom w:val="0"/>
      <w:divBdr>
        <w:top w:val="none" w:sz="0" w:space="0" w:color="auto"/>
        <w:left w:val="none" w:sz="0" w:space="0" w:color="auto"/>
        <w:bottom w:val="none" w:sz="0" w:space="0" w:color="auto"/>
        <w:right w:val="none" w:sz="0" w:space="0" w:color="auto"/>
      </w:divBdr>
    </w:div>
    <w:div w:id="1172912102">
      <w:bodyDiv w:val="1"/>
      <w:marLeft w:val="0"/>
      <w:marRight w:val="0"/>
      <w:marTop w:val="0"/>
      <w:marBottom w:val="0"/>
      <w:divBdr>
        <w:top w:val="none" w:sz="0" w:space="0" w:color="auto"/>
        <w:left w:val="none" w:sz="0" w:space="0" w:color="auto"/>
        <w:bottom w:val="none" w:sz="0" w:space="0" w:color="auto"/>
        <w:right w:val="none" w:sz="0" w:space="0" w:color="auto"/>
      </w:divBdr>
    </w:div>
    <w:div w:id="1197700471">
      <w:bodyDiv w:val="1"/>
      <w:marLeft w:val="0"/>
      <w:marRight w:val="0"/>
      <w:marTop w:val="0"/>
      <w:marBottom w:val="0"/>
      <w:divBdr>
        <w:top w:val="none" w:sz="0" w:space="0" w:color="auto"/>
        <w:left w:val="none" w:sz="0" w:space="0" w:color="auto"/>
        <w:bottom w:val="none" w:sz="0" w:space="0" w:color="auto"/>
        <w:right w:val="none" w:sz="0" w:space="0" w:color="auto"/>
      </w:divBdr>
    </w:div>
    <w:div w:id="1217623671">
      <w:bodyDiv w:val="1"/>
      <w:marLeft w:val="0"/>
      <w:marRight w:val="0"/>
      <w:marTop w:val="0"/>
      <w:marBottom w:val="0"/>
      <w:divBdr>
        <w:top w:val="none" w:sz="0" w:space="0" w:color="auto"/>
        <w:left w:val="none" w:sz="0" w:space="0" w:color="auto"/>
        <w:bottom w:val="none" w:sz="0" w:space="0" w:color="auto"/>
        <w:right w:val="none" w:sz="0" w:space="0" w:color="auto"/>
      </w:divBdr>
    </w:div>
    <w:div w:id="1255087140">
      <w:bodyDiv w:val="1"/>
      <w:marLeft w:val="0"/>
      <w:marRight w:val="0"/>
      <w:marTop w:val="0"/>
      <w:marBottom w:val="0"/>
      <w:divBdr>
        <w:top w:val="none" w:sz="0" w:space="0" w:color="auto"/>
        <w:left w:val="none" w:sz="0" w:space="0" w:color="auto"/>
        <w:bottom w:val="none" w:sz="0" w:space="0" w:color="auto"/>
        <w:right w:val="none" w:sz="0" w:space="0" w:color="auto"/>
      </w:divBdr>
    </w:div>
    <w:div w:id="1282954539">
      <w:bodyDiv w:val="1"/>
      <w:marLeft w:val="0"/>
      <w:marRight w:val="0"/>
      <w:marTop w:val="0"/>
      <w:marBottom w:val="0"/>
      <w:divBdr>
        <w:top w:val="none" w:sz="0" w:space="0" w:color="auto"/>
        <w:left w:val="none" w:sz="0" w:space="0" w:color="auto"/>
        <w:bottom w:val="none" w:sz="0" w:space="0" w:color="auto"/>
        <w:right w:val="none" w:sz="0" w:space="0" w:color="auto"/>
      </w:divBdr>
    </w:div>
    <w:div w:id="1284074161">
      <w:bodyDiv w:val="1"/>
      <w:marLeft w:val="0"/>
      <w:marRight w:val="0"/>
      <w:marTop w:val="0"/>
      <w:marBottom w:val="0"/>
      <w:divBdr>
        <w:top w:val="none" w:sz="0" w:space="0" w:color="auto"/>
        <w:left w:val="none" w:sz="0" w:space="0" w:color="auto"/>
        <w:bottom w:val="none" w:sz="0" w:space="0" w:color="auto"/>
        <w:right w:val="none" w:sz="0" w:space="0" w:color="auto"/>
      </w:divBdr>
    </w:div>
    <w:div w:id="1287808495">
      <w:bodyDiv w:val="1"/>
      <w:marLeft w:val="0"/>
      <w:marRight w:val="0"/>
      <w:marTop w:val="0"/>
      <w:marBottom w:val="0"/>
      <w:divBdr>
        <w:top w:val="none" w:sz="0" w:space="0" w:color="auto"/>
        <w:left w:val="none" w:sz="0" w:space="0" w:color="auto"/>
        <w:bottom w:val="none" w:sz="0" w:space="0" w:color="auto"/>
        <w:right w:val="none" w:sz="0" w:space="0" w:color="auto"/>
      </w:divBdr>
    </w:div>
    <w:div w:id="1290744797">
      <w:bodyDiv w:val="1"/>
      <w:marLeft w:val="0"/>
      <w:marRight w:val="0"/>
      <w:marTop w:val="0"/>
      <w:marBottom w:val="0"/>
      <w:divBdr>
        <w:top w:val="none" w:sz="0" w:space="0" w:color="auto"/>
        <w:left w:val="none" w:sz="0" w:space="0" w:color="auto"/>
        <w:bottom w:val="none" w:sz="0" w:space="0" w:color="auto"/>
        <w:right w:val="none" w:sz="0" w:space="0" w:color="auto"/>
      </w:divBdr>
    </w:div>
    <w:div w:id="1298490824">
      <w:bodyDiv w:val="1"/>
      <w:marLeft w:val="0"/>
      <w:marRight w:val="0"/>
      <w:marTop w:val="0"/>
      <w:marBottom w:val="0"/>
      <w:divBdr>
        <w:top w:val="none" w:sz="0" w:space="0" w:color="auto"/>
        <w:left w:val="none" w:sz="0" w:space="0" w:color="auto"/>
        <w:bottom w:val="none" w:sz="0" w:space="0" w:color="auto"/>
        <w:right w:val="none" w:sz="0" w:space="0" w:color="auto"/>
      </w:divBdr>
    </w:div>
    <w:div w:id="1303191416">
      <w:bodyDiv w:val="1"/>
      <w:marLeft w:val="0"/>
      <w:marRight w:val="0"/>
      <w:marTop w:val="0"/>
      <w:marBottom w:val="0"/>
      <w:divBdr>
        <w:top w:val="none" w:sz="0" w:space="0" w:color="auto"/>
        <w:left w:val="none" w:sz="0" w:space="0" w:color="auto"/>
        <w:bottom w:val="none" w:sz="0" w:space="0" w:color="auto"/>
        <w:right w:val="none" w:sz="0" w:space="0" w:color="auto"/>
      </w:divBdr>
      <w:divsChild>
        <w:div w:id="1287545821">
          <w:marLeft w:val="0"/>
          <w:marRight w:val="0"/>
          <w:marTop w:val="0"/>
          <w:marBottom w:val="0"/>
          <w:divBdr>
            <w:top w:val="none" w:sz="0" w:space="0" w:color="auto"/>
            <w:left w:val="none" w:sz="0" w:space="0" w:color="auto"/>
            <w:bottom w:val="none" w:sz="0" w:space="0" w:color="auto"/>
            <w:right w:val="none" w:sz="0" w:space="0" w:color="auto"/>
          </w:divBdr>
          <w:divsChild>
            <w:div w:id="669679267">
              <w:marLeft w:val="0"/>
              <w:marRight w:val="0"/>
              <w:marTop w:val="0"/>
              <w:marBottom w:val="0"/>
              <w:divBdr>
                <w:top w:val="none" w:sz="0" w:space="0" w:color="auto"/>
                <w:left w:val="none" w:sz="0" w:space="0" w:color="auto"/>
                <w:bottom w:val="none" w:sz="0" w:space="0" w:color="auto"/>
                <w:right w:val="none" w:sz="0" w:space="0" w:color="auto"/>
              </w:divBdr>
            </w:div>
            <w:div w:id="1552231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197030">
      <w:bodyDiv w:val="1"/>
      <w:marLeft w:val="0"/>
      <w:marRight w:val="0"/>
      <w:marTop w:val="0"/>
      <w:marBottom w:val="0"/>
      <w:divBdr>
        <w:top w:val="none" w:sz="0" w:space="0" w:color="auto"/>
        <w:left w:val="none" w:sz="0" w:space="0" w:color="auto"/>
        <w:bottom w:val="none" w:sz="0" w:space="0" w:color="auto"/>
        <w:right w:val="none" w:sz="0" w:space="0" w:color="auto"/>
      </w:divBdr>
    </w:div>
    <w:div w:id="1318338374">
      <w:bodyDiv w:val="1"/>
      <w:marLeft w:val="0"/>
      <w:marRight w:val="0"/>
      <w:marTop w:val="0"/>
      <w:marBottom w:val="0"/>
      <w:divBdr>
        <w:top w:val="none" w:sz="0" w:space="0" w:color="auto"/>
        <w:left w:val="none" w:sz="0" w:space="0" w:color="auto"/>
        <w:bottom w:val="none" w:sz="0" w:space="0" w:color="auto"/>
        <w:right w:val="none" w:sz="0" w:space="0" w:color="auto"/>
      </w:divBdr>
    </w:div>
    <w:div w:id="1336880476">
      <w:bodyDiv w:val="1"/>
      <w:marLeft w:val="0"/>
      <w:marRight w:val="0"/>
      <w:marTop w:val="0"/>
      <w:marBottom w:val="0"/>
      <w:divBdr>
        <w:top w:val="none" w:sz="0" w:space="0" w:color="auto"/>
        <w:left w:val="none" w:sz="0" w:space="0" w:color="auto"/>
        <w:bottom w:val="none" w:sz="0" w:space="0" w:color="auto"/>
        <w:right w:val="none" w:sz="0" w:space="0" w:color="auto"/>
      </w:divBdr>
    </w:div>
    <w:div w:id="1341352103">
      <w:bodyDiv w:val="1"/>
      <w:marLeft w:val="0"/>
      <w:marRight w:val="0"/>
      <w:marTop w:val="0"/>
      <w:marBottom w:val="0"/>
      <w:divBdr>
        <w:top w:val="none" w:sz="0" w:space="0" w:color="auto"/>
        <w:left w:val="none" w:sz="0" w:space="0" w:color="auto"/>
        <w:bottom w:val="none" w:sz="0" w:space="0" w:color="auto"/>
        <w:right w:val="none" w:sz="0" w:space="0" w:color="auto"/>
      </w:divBdr>
    </w:div>
    <w:div w:id="1348172573">
      <w:bodyDiv w:val="1"/>
      <w:marLeft w:val="0"/>
      <w:marRight w:val="0"/>
      <w:marTop w:val="0"/>
      <w:marBottom w:val="0"/>
      <w:divBdr>
        <w:top w:val="none" w:sz="0" w:space="0" w:color="auto"/>
        <w:left w:val="none" w:sz="0" w:space="0" w:color="auto"/>
        <w:bottom w:val="none" w:sz="0" w:space="0" w:color="auto"/>
        <w:right w:val="none" w:sz="0" w:space="0" w:color="auto"/>
      </w:divBdr>
    </w:div>
    <w:div w:id="1352102807">
      <w:bodyDiv w:val="1"/>
      <w:marLeft w:val="0"/>
      <w:marRight w:val="0"/>
      <w:marTop w:val="0"/>
      <w:marBottom w:val="0"/>
      <w:divBdr>
        <w:top w:val="none" w:sz="0" w:space="0" w:color="auto"/>
        <w:left w:val="none" w:sz="0" w:space="0" w:color="auto"/>
        <w:bottom w:val="none" w:sz="0" w:space="0" w:color="auto"/>
        <w:right w:val="none" w:sz="0" w:space="0" w:color="auto"/>
      </w:divBdr>
    </w:div>
    <w:div w:id="1359504855">
      <w:bodyDiv w:val="1"/>
      <w:marLeft w:val="0"/>
      <w:marRight w:val="0"/>
      <w:marTop w:val="0"/>
      <w:marBottom w:val="0"/>
      <w:divBdr>
        <w:top w:val="none" w:sz="0" w:space="0" w:color="auto"/>
        <w:left w:val="none" w:sz="0" w:space="0" w:color="auto"/>
        <w:bottom w:val="none" w:sz="0" w:space="0" w:color="auto"/>
        <w:right w:val="none" w:sz="0" w:space="0" w:color="auto"/>
      </w:divBdr>
    </w:div>
    <w:div w:id="1366833607">
      <w:bodyDiv w:val="1"/>
      <w:marLeft w:val="0"/>
      <w:marRight w:val="0"/>
      <w:marTop w:val="0"/>
      <w:marBottom w:val="0"/>
      <w:divBdr>
        <w:top w:val="none" w:sz="0" w:space="0" w:color="auto"/>
        <w:left w:val="none" w:sz="0" w:space="0" w:color="auto"/>
        <w:bottom w:val="none" w:sz="0" w:space="0" w:color="auto"/>
        <w:right w:val="none" w:sz="0" w:space="0" w:color="auto"/>
      </w:divBdr>
    </w:div>
    <w:div w:id="1377435975">
      <w:bodyDiv w:val="1"/>
      <w:marLeft w:val="0"/>
      <w:marRight w:val="0"/>
      <w:marTop w:val="0"/>
      <w:marBottom w:val="0"/>
      <w:divBdr>
        <w:top w:val="none" w:sz="0" w:space="0" w:color="auto"/>
        <w:left w:val="none" w:sz="0" w:space="0" w:color="auto"/>
        <w:bottom w:val="none" w:sz="0" w:space="0" w:color="auto"/>
        <w:right w:val="none" w:sz="0" w:space="0" w:color="auto"/>
      </w:divBdr>
    </w:div>
    <w:div w:id="1381711996">
      <w:bodyDiv w:val="1"/>
      <w:marLeft w:val="0"/>
      <w:marRight w:val="0"/>
      <w:marTop w:val="0"/>
      <w:marBottom w:val="0"/>
      <w:divBdr>
        <w:top w:val="none" w:sz="0" w:space="0" w:color="auto"/>
        <w:left w:val="none" w:sz="0" w:space="0" w:color="auto"/>
        <w:bottom w:val="none" w:sz="0" w:space="0" w:color="auto"/>
        <w:right w:val="none" w:sz="0" w:space="0" w:color="auto"/>
      </w:divBdr>
    </w:div>
    <w:div w:id="1392583059">
      <w:bodyDiv w:val="1"/>
      <w:marLeft w:val="0"/>
      <w:marRight w:val="0"/>
      <w:marTop w:val="0"/>
      <w:marBottom w:val="0"/>
      <w:divBdr>
        <w:top w:val="none" w:sz="0" w:space="0" w:color="auto"/>
        <w:left w:val="none" w:sz="0" w:space="0" w:color="auto"/>
        <w:bottom w:val="none" w:sz="0" w:space="0" w:color="auto"/>
        <w:right w:val="none" w:sz="0" w:space="0" w:color="auto"/>
      </w:divBdr>
      <w:divsChild>
        <w:div w:id="631448889">
          <w:marLeft w:val="0"/>
          <w:marRight w:val="0"/>
          <w:marTop w:val="0"/>
          <w:marBottom w:val="0"/>
          <w:divBdr>
            <w:top w:val="none" w:sz="0" w:space="0" w:color="auto"/>
            <w:left w:val="none" w:sz="0" w:space="0" w:color="auto"/>
            <w:bottom w:val="none" w:sz="0" w:space="0" w:color="auto"/>
            <w:right w:val="none" w:sz="0" w:space="0" w:color="auto"/>
          </w:divBdr>
        </w:div>
        <w:div w:id="2094813180">
          <w:marLeft w:val="0"/>
          <w:marRight w:val="0"/>
          <w:marTop w:val="0"/>
          <w:marBottom w:val="0"/>
          <w:divBdr>
            <w:top w:val="none" w:sz="0" w:space="0" w:color="auto"/>
            <w:left w:val="none" w:sz="0" w:space="0" w:color="auto"/>
            <w:bottom w:val="none" w:sz="0" w:space="0" w:color="auto"/>
            <w:right w:val="none" w:sz="0" w:space="0" w:color="auto"/>
          </w:divBdr>
        </w:div>
        <w:div w:id="299575668">
          <w:marLeft w:val="0"/>
          <w:marRight w:val="0"/>
          <w:marTop w:val="0"/>
          <w:marBottom w:val="0"/>
          <w:divBdr>
            <w:top w:val="none" w:sz="0" w:space="0" w:color="auto"/>
            <w:left w:val="none" w:sz="0" w:space="0" w:color="auto"/>
            <w:bottom w:val="none" w:sz="0" w:space="0" w:color="auto"/>
            <w:right w:val="none" w:sz="0" w:space="0" w:color="auto"/>
          </w:divBdr>
        </w:div>
        <w:div w:id="1637224702">
          <w:marLeft w:val="0"/>
          <w:marRight w:val="0"/>
          <w:marTop w:val="0"/>
          <w:marBottom w:val="0"/>
          <w:divBdr>
            <w:top w:val="none" w:sz="0" w:space="0" w:color="auto"/>
            <w:left w:val="none" w:sz="0" w:space="0" w:color="auto"/>
            <w:bottom w:val="none" w:sz="0" w:space="0" w:color="auto"/>
            <w:right w:val="none" w:sz="0" w:space="0" w:color="auto"/>
          </w:divBdr>
        </w:div>
        <w:div w:id="2122066486">
          <w:marLeft w:val="0"/>
          <w:marRight w:val="0"/>
          <w:marTop w:val="0"/>
          <w:marBottom w:val="0"/>
          <w:divBdr>
            <w:top w:val="none" w:sz="0" w:space="0" w:color="auto"/>
            <w:left w:val="none" w:sz="0" w:space="0" w:color="auto"/>
            <w:bottom w:val="none" w:sz="0" w:space="0" w:color="auto"/>
            <w:right w:val="none" w:sz="0" w:space="0" w:color="auto"/>
          </w:divBdr>
        </w:div>
        <w:div w:id="1595702896">
          <w:marLeft w:val="0"/>
          <w:marRight w:val="0"/>
          <w:marTop w:val="0"/>
          <w:marBottom w:val="0"/>
          <w:divBdr>
            <w:top w:val="none" w:sz="0" w:space="0" w:color="auto"/>
            <w:left w:val="none" w:sz="0" w:space="0" w:color="auto"/>
            <w:bottom w:val="none" w:sz="0" w:space="0" w:color="auto"/>
            <w:right w:val="none" w:sz="0" w:space="0" w:color="auto"/>
          </w:divBdr>
        </w:div>
        <w:div w:id="388765461">
          <w:blockQuote w:val="1"/>
          <w:marLeft w:val="600"/>
          <w:marRight w:val="0"/>
          <w:marTop w:val="0"/>
          <w:marBottom w:val="0"/>
          <w:divBdr>
            <w:top w:val="none" w:sz="0" w:space="0" w:color="auto"/>
            <w:left w:val="none" w:sz="0" w:space="0" w:color="auto"/>
            <w:bottom w:val="none" w:sz="0" w:space="0" w:color="auto"/>
            <w:right w:val="none" w:sz="0" w:space="0" w:color="auto"/>
          </w:divBdr>
          <w:divsChild>
            <w:div w:id="1466659308">
              <w:blockQuote w:val="1"/>
              <w:marLeft w:val="600"/>
              <w:marRight w:val="0"/>
              <w:marTop w:val="0"/>
              <w:marBottom w:val="0"/>
              <w:divBdr>
                <w:top w:val="none" w:sz="0" w:space="0" w:color="auto"/>
                <w:left w:val="none" w:sz="0" w:space="0" w:color="auto"/>
                <w:bottom w:val="none" w:sz="0" w:space="0" w:color="auto"/>
                <w:right w:val="none" w:sz="0" w:space="0" w:color="auto"/>
              </w:divBdr>
              <w:divsChild>
                <w:div w:id="894462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877583">
          <w:marLeft w:val="0"/>
          <w:marRight w:val="0"/>
          <w:marTop w:val="0"/>
          <w:marBottom w:val="0"/>
          <w:divBdr>
            <w:top w:val="none" w:sz="0" w:space="0" w:color="auto"/>
            <w:left w:val="none" w:sz="0" w:space="0" w:color="auto"/>
            <w:bottom w:val="none" w:sz="0" w:space="0" w:color="auto"/>
            <w:right w:val="none" w:sz="0" w:space="0" w:color="auto"/>
          </w:divBdr>
          <w:divsChild>
            <w:div w:id="95178062">
              <w:marLeft w:val="0"/>
              <w:marRight w:val="0"/>
              <w:marTop w:val="0"/>
              <w:marBottom w:val="0"/>
              <w:divBdr>
                <w:top w:val="none" w:sz="0" w:space="0" w:color="auto"/>
                <w:left w:val="none" w:sz="0" w:space="0" w:color="auto"/>
                <w:bottom w:val="none" w:sz="0" w:space="0" w:color="auto"/>
                <w:right w:val="none" w:sz="0" w:space="0" w:color="auto"/>
              </w:divBdr>
            </w:div>
          </w:divsChild>
        </w:div>
        <w:div w:id="1951744706">
          <w:marLeft w:val="0"/>
          <w:marRight w:val="0"/>
          <w:marTop w:val="0"/>
          <w:marBottom w:val="0"/>
          <w:divBdr>
            <w:top w:val="none" w:sz="0" w:space="0" w:color="auto"/>
            <w:left w:val="none" w:sz="0" w:space="0" w:color="auto"/>
            <w:bottom w:val="none" w:sz="0" w:space="0" w:color="auto"/>
            <w:right w:val="none" w:sz="0" w:space="0" w:color="auto"/>
          </w:divBdr>
        </w:div>
        <w:div w:id="867913962">
          <w:marLeft w:val="0"/>
          <w:marRight w:val="0"/>
          <w:marTop w:val="0"/>
          <w:marBottom w:val="0"/>
          <w:divBdr>
            <w:top w:val="none" w:sz="0" w:space="0" w:color="auto"/>
            <w:left w:val="none" w:sz="0" w:space="0" w:color="auto"/>
            <w:bottom w:val="none" w:sz="0" w:space="0" w:color="auto"/>
            <w:right w:val="none" w:sz="0" w:space="0" w:color="auto"/>
          </w:divBdr>
        </w:div>
        <w:div w:id="1015375896">
          <w:marLeft w:val="0"/>
          <w:marRight w:val="0"/>
          <w:marTop w:val="0"/>
          <w:marBottom w:val="0"/>
          <w:divBdr>
            <w:top w:val="none" w:sz="0" w:space="0" w:color="auto"/>
            <w:left w:val="none" w:sz="0" w:space="0" w:color="auto"/>
            <w:bottom w:val="none" w:sz="0" w:space="0" w:color="auto"/>
            <w:right w:val="none" w:sz="0" w:space="0" w:color="auto"/>
          </w:divBdr>
        </w:div>
        <w:div w:id="2142651145">
          <w:marLeft w:val="0"/>
          <w:marRight w:val="0"/>
          <w:marTop w:val="0"/>
          <w:marBottom w:val="0"/>
          <w:divBdr>
            <w:top w:val="none" w:sz="0" w:space="0" w:color="auto"/>
            <w:left w:val="none" w:sz="0" w:space="0" w:color="auto"/>
            <w:bottom w:val="none" w:sz="0" w:space="0" w:color="auto"/>
            <w:right w:val="none" w:sz="0" w:space="0" w:color="auto"/>
          </w:divBdr>
        </w:div>
        <w:div w:id="1800806113">
          <w:blockQuote w:val="1"/>
          <w:marLeft w:val="600"/>
          <w:marRight w:val="0"/>
          <w:marTop w:val="0"/>
          <w:marBottom w:val="0"/>
          <w:divBdr>
            <w:top w:val="none" w:sz="0" w:space="0" w:color="auto"/>
            <w:left w:val="none" w:sz="0" w:space="0" w:color="auto"/>
            <w:bottom w:val="none" w:sz="0" w:space="0" w:color="auto"/>
            <w:right w:val="none" w:sz="0" w:space="0" w:color="auto"/>
          </w:divBdr>
          <w:divsChild>
            <w:div w:id="1266958615">
              <w:marLeft w:val="0"/>
              <w:marRight w:val="0"/>
              <w:marTop w:val="0"/>
              <w:marBottom w:val="0"/>
              <w:divBdr>
                <w:top w:val="none" w:sz="0" w:space="0" w:color="auto"/>
                <w:left w:val="none" w:sz="0" w:space="0" w:color="auto"/>
                <w:bottom w:val="none" w:sz="0" w:space="0" w:color="auto"/>
                <w:right w:val="none" w:sz="0" w:space="0" w:color="auto"/>
              </w:divBdr>
            </w:div>
            <w:div w:id="1356228646">
              <w:marLeft w:val="0"/>
              <w:marRight w:val="0"/>
              <w:marTop w:val="0"/>
              <w:marBottom w:val="0"/>
              <w:divBdr>
                <w:top w:val="none" w:sz="0" w:space="0" w:color="auto"/>
                <w:left w:val="none" w:sz="0" w:space="0" w:color="auto"/>
                <w:bottom w:val="none" w:sz="0" w:space="0" w:color="auto"/>
                <w:right w:val="none" w:sz="0" w:space="0" w:color="auto"/>
              </w:divBdr>
              <w:divsChild>
                <w:div w:id="978219662">
                  <w:marLeft w:val="0"/>
                  <w:marRight w:val="0"/>
                  <w:marTop w:val="0"/>
                  <w:marBottom w:val="0"/>
                  <w:divBdr>
                    <w:top w:val="none" w:sz="0" w:space="0" w:color="auto"/>
                    <w:left w:val="none" w:sz="0" w:space="0" w:color="auto"/>
                    <w:bottom w:val="none" w:sz="0" w:space="0" w:color="auto"/>
                    <w:right w:val="none" w:sz="0" w:space="0" w:color="auto"/>
                  </w:divBdr>
                </w:div>
              </w:divsChild>
            </w:div>
            <w:div w:id="283997368">
              <w:marLeft w:val="0"/>
              <w:marRight w:val="0"/>
              <w:marTop w:val="0"/>
              <w:marBottom w:val="0"/>
              <w:divBdr>
                <w:top w:val="none" w:sz="0" w:space="0" w:color="auto"/>
                <w:left w:val="none" w:sz="0" w:space="0" w:color="auto"/>
                <w:bottom w:val="none" w:sz="0" w:space="0" w:color="auto"/>
                <w:right w:val="none" w:sz="0" w:space="0" w:color="auto"/>
              </w:divBdr>
              <w:divsChild>
                <w:div w:id="489909169">
                  <w:marLeft w:val="0"/>
                  <w:marRight w:val="0"/>
                  <w:marTop w:val="0"/>
                  <w:marBottom w:val="0"/>
                  <w:divBdr>
                    <w:top w:val="none" w:sz="0" w:space="0" w:color="auto"/>
                    <w:left w:val="none" w:sz="0" w:space="0" w:color="auto"/>
                    <w:bottom w:val="none" w:sz="0" w:space="0" w:color="auto"/>
                    <w:right w:val="none" w:sz="0" w:space="0" w:color="auto"/>
                  </w:divBdr>
                </w:div>
              </w:divsChild>
            </w:div>
            <w:div w:id="293870811">
              <w:marLeft w:val="0"/>
              <w:marRight w:val="0"/>
              <w:marTop w:val="0"/>
              <w:marBottom w:val="0"/>
              <w:divBdr>
                <w:top w:val="none" w:sz="0" w:space="0" w:color="auto"/>
                <w:left w:val="none" w:sz="0" w:space="0" w:color="auto"/>
                <w:bottom w:val="none" w:sz="0" w:space="0" w:color="auto"/>
                <w:right w:val="none" w:sz="0" w:space="0" w:color="auto"/>
              </w:divBdr>
              <w:divsChild>
                <w:div w:id="1913923243">
                  <w:marLeft w:val="0"/>
                  <w:marRight w:val="0"/>
                  <w:marTop w:val="0"/>
                  <w:marBottom w:val="0"/>
                  <w:divBdr>
                    <w:top w:val="none" w:sz="0" w:space="0" w:color="auto"/>
                    <w:left w:val="none" w:sz="0" w:space="0" w:color="auto"/>
                    <w:bottom w:val="none" w:sz="0" w:space="0" w:color="auto"/>
                    <w:right w:val="none" w:sz="0" w:space="0" w:color="auto"/>
                  </w:divBdr>
                </w:div>
              </w:divsChild>
            </w:div>
            <w:div w:id="659620232">
              <w:marLeft w:val="0"/>
              <w:marRight w:val="0"/>
              <w:marTop w:val="0"/>
              <w:marBottom w:val="0"/>
              <w:divBdr>
                <w:top w:val="none" w:sz="0" w:space="0" w:color="auto"/>
                <w:left w:val="none" w:sz="0" w:space="0" w:color="auto"/>
                <w:bottom w:val="none" w:sz="0" w:space="0" w:color="auto"/>
                <w:right w:val="none" w:sz="0" w:space="0" w:color="auto"/>
              </w:divBdr>
              <w:divsChild>
                <w:div w:id="2115401260">
                  <w:marLeft w:val="0"/>
                  <w:marRight w:val="0"/>
                  <w:marTop w:val="0"/>
                  <w:marBottom w:val="0"/>
                  <w:divBdr>
                    <w:top w:val="none" w:sz="0" w:space="0" w:color="auto"/>
                    <w:left w:val="none" w:sz="0" w:space="0" w:color="auto"/>
                    <w:bottom w:val="none" w:sz="0" w:space="0" w:color="auto"/>
                    <w:right w:val="none" w:sz="0" w:space="0" w:color="auto"/>
                  </w:divBdr>
                </w:div>
              </w:divsChild>
            </w:div>
            <w:div w:id="1406995952">
              <w:marLeft w:val="0"/>
              <w:marRight w:val="0"/>
              <w:marTop w:val="0"/>
              <w:marBottom w:val="0"/>
              <w:divBdr>
                <w:top w:val="none" w:sz="0" w:space="0" w:color="auto"/>
                <w:left w:val="none" w:sz="0" w:space="0" w:color="auto"/>
                <w:bottom w:val="none" w:sz="0" w:space="0" w:color="auto"/>
                <w:right w:val="none" w:sz="0" w:space="0" w:color="auto"/>
              </w:divBdr>
              <w:divsChild>
                <w:div w:id="1470974409">
                  <w:marLeft w:val="0"/>
                  <w:marRight w:val="0"/>
                  <w:marTop w:val="0"/>
                  <w:marBottom w:val="0"/>
                  <w:divBdr>
                    <w:top w:val="none" w:sz="0" w:space="0" w:color="auto"/>
                    <w:left w:val="none" w:sz="0" w:space="0" w:color="auto"/>
                    <w:bottom w:val="none" w:sz="0" w:space="0" w:color="auto"/>
                    <w:right w:val="none" w:sz="0" w:space="0" w:color="auto"/>
                  </w:divBdr>
                </w:div>
              </w:divsChild>
            </w:div>
            <w:div w:id="1185291643">
              <w:marLeft w:val="0"/>
              <w:marRight w:val="0"/>
              <w:marTop w:val="0"/>
              <w:marBottom w:val="0"/>
              <w:divBdr>
                <w:top w:val="none" w:sz="0" w:space="0" w:color="auto"/>
                <w:left w:val="none" w:sz="0" w:space="0" w:color="auto"/>
                <w:bottom w:val="none" w:sz="0" w:space="0" w:color="auto"/>
                <w:right w:val="none" w:sz="0" w:space="0" w:color="auto"/>
              </w:divBdr>
              <w:divsChild>
                <w:div w:id="836313365">
                  <w:marLeft w:val="0"/>
                  <w:marRight w:val="0"/>
                  <w:marTop w:val="0"/>
                  <w:marBottom w:val="0"/>
                  <w:divBdr>
                    <w:top w:val="none" w:sz="0" w:space="0" w:color="auto"/>
                    <w:left w:val="none" w:sz="0" w:space="0" w:color="auto"/>
                    <w:bottom w:val="none" w:sz="0" w:space="0" w:color="auto"/>
                    <w:right w:val="none" w:sz="0" w:space="0" w:color="auto"/>
                  </w:divBdr>
                </w:div>
              </w:divsChild>
            </w:div>
            <w:div w:id="1168595334">
              <w:marLeft w:val="0"/>
              <w:marRight w:val="0"/>
              <w:marTop w:val="0"/>
              <w:marBottom w:val="0"/>
              <w:divBdr>
                <w:top w:val="none" w:sz="0" w:space="0" w:color="auto"/>
                <w:left w:val="none" w:sz="0" w:space="0" w:color="auto"/>
                <w:bottom w:val="none" w:sz="0" w:space="0" w:color="auto"/>
                <w:right w:val="none" w:sz="0" w:space="0" w:color="auto"/>
              </w:divBdr>
              <w:divsChild>
                <w:div w:id="399526645">
                  <w:marLeft w:val="0"/>
                  <w:marRight w:val="0"/>
                  <w:marTop w:val="0"/>
                  <w:marBottom w:val="0"/>
                  <w:divBdr>
                    <w:top w:val="none" w:sz="0" w:space="0" w:color="auto"/>
                    <w:left w:val="none" w:sz="0" w:space="0" w:color="auto"/>
                    <w:bottom w:val="none" w:sz="0" w:space="0" w:color="auto"/>
                    <w:right w:val="none" w:sz="0" w:space="0" w:color="auto"/>
                  </w:divBdr>
                </w:div>
              </w:divsChild>
            </w:div>
            <w:div w:id="1325357856">
              <w:marLeft w:val="0"/>
              <w:marRight w:val="0"/>
              <w:marTop w:val="0"/>
              <w:marBottom w:val="0"/>
              <w:divBdr>
                <w:top w:val="none" w:sz="0" w:space="0" w:color="auto"/>
                <w:left w:val="none" w:sz="0" w:space="0" w:color="auto"/>
                <w:bottom w:val="none" w:sz="0" w:space="0" w:color="auto"/>
                <w:right w:val="none" w:sz="0" w:space="0" w:color="auto"/>
              </w:divBdr>
              <w:divsChild>
                <w:div w:id="406343014">
                  <w:marLeft w:val="0"/>
                  <w:marRight w:val="0"/>
                  <w:marTop w:val="0"/>
                  <w:marBottom w:val="0"/>
                  <w:divBdr>
                    <w:top w:val="none" w:sz="0" w:space="0" w:color="auto"/>
                    <w:left w:val="none" w:sz="0" w:space="0" w:color="auto"/>
                    <w:bottom w:val="none" w:sz="0" w:space="0" w:color="auto"/>
                    <w:right w:val="none" w:sz="0" w:space="0" w:color="auto"/>
                  </w:divBdr>
                </w:div>
              </w:divsChild>
            </w:div>
            <w:div w:id="1059937072">
              <w:marLeft w:val="0"/>
              <w:marRight w:val="0"/>
              <w:marTop w:val="0"/>
              <w:marBottom w:val="0"/>
              <w:divBdr>
                <w:top w:val="none" w:sz="0" w:space="0" w:color="auto"/>
                <w:left w:val="none" w:sz="0" w:space="0" w:color="auto"/>
                <w:bottom w:val="none" w:sz="0" w:space="0" w:color="auto"/>
                <w:right w:val="none" w:sz="0" w:space="0" w:color="auto"/>
              </w:divBdr>
              <w:divsChild>
                <w:div w:id="47996853">
                  <w:marLeft w:val="0"/>
                  <w:marRight w:val="0"/>
                  <w:marTop w:val="0"/>
                  <w:marBottom w:val="0"/>
                  <w:divBdr>
                    <w:top w:val="none" w:sz="0" w:space="0" w:color="auto"/>
                    <w:left w:val="none" w:sz="0" w:space="0" w:color="auto"/>
                    <w:bottom w:val="none" w:sz="0" w:space="0" w:color="auto"/>
                    <w:right w:val="none" w:sz="0" w:space="0" w:color="auto"/>
                  </w:divBdr>
                </w:div>
              </w:divsChild>
            </w:div>
            <w:div w:id="1369603911">
              <w:marLeft w:val="0"/>
              <w:marRight w:val="0"/>
              <w:marTop w:val="0"/>
              <w:marBottom w:val="0"/>
              <w:divBdr>
                <w:top w:val="none" w:sz="0" w:space="0" w:color="auto"/>
                <w:left w:val="none" w:sz="0" w:space="0" w:color="auto"/>
                <w:bottom w:val="none" w:sz="0" w:space="0" w:color="auto"/>
                <w:right w:val="none" w:sz="0" w:space="0" w:color="auto"/>
              </w:divBdr>
            </w:div>
          </w:divsChild>
        </w:div>
        <w:div w:id="546340606">
          <w:marLeft w:val="0"/>
          <w:marRight w:val="0"/>
          <w:marTop w:val="0"/>
          <w:marBottom w:val="0"/>
          <w:divBdr>
            <w:top w:val="none" w:sz="0" w:space="0" w:color="auto"/>
            <w:left w:val="none" w:sz="0" w:space="0" w:color="auto"/>
            <w:bottom w:val="none" w:sz="0" w:space="0" w:color="auto"/>
            <w:right w:val="none" w:sz="0" w:space="0" w:color="auto"/>
          </w:divBdr>
        </w:div>
        <w:div w:id="135342158">
          <w:marLeft w:val="0"/>
          <w:marRight w:val="0"/>
          <w:marTop w:val="0"/>
          <w:marBottom w:val="0"/>
          <w:divBdr>
            <w:top w:val="none" w:sz="0" w:space="0" w:color="auto"/>
            <w:left w:val="none" w:sz="0" w:space="0" w:color="auto"/>
            <w:bottom w:val="none" w:sz="0" w:space="0" w:color="auto"/>
            <w:right w:val="none" w:sz="0" w:space="0" w:color="auto"/>
          </w:divBdr>
        </w:div>
      </w:divsChild>
    </w:div>
    <w:div w:id="1393574512">
      <w:bodyDiv w:val="1"/>
      <w:marLeft w:val="0"/>
      <w:marRight w:val="0"/>
      <w:marTop w:val="0"/>
      <w:marBottom w:val="0"/>
      <w:divBdr>
        <w:top w:val="none" w:sz="0" w:space="0" w:color="auto"/>
        <w:left w:val="none" w:sz="0" w:space="0" w:color="auto"/>
        <w:bottom w:val="none" w:sz="0" w:space="0" w:color="auto"/>
        <w:right w:val="none" w:sz="0" w:space="0" w:color="auto"/>
      </w:divBdr>
    </w:div>
    <w:div w:id="1396245835">
      <w:bodyDiv w:val="1"/>
      <w:marLeft w:val="0"/>
      <w:marRight w:val="0"/>
      <w:marTop w:val="0"/>
      <w:marBottom w:val="0"/>
      <w:divBdr>
        <w:top w:val="none" w:sz="0" w:space="0" w:color="auto"/>
        <w:left w:val="none" w:sz="0" w:space="0" w:color="auto"/>
        <w:bottom w:val="none" w:sz="0" w:space="0" w:color="auto"/>
        <w:right w:val="none" w:sz="0" w:space="0" w:color="auto"/>
      </w:divBdr>
    </w:div>
    <w:div w:id="1401757857">
      <w:bodyDiv w:val="1"/>
      <w:marLeft w:val="0"/>
      <w:marRight w:val="0"/>
      <w:marTop w:val="0"/>
      <w:marBottom w:val="0"/>
      <w:divBdr>
        <w:top w:val="none" w:sz="0" w:space="0" w:color="auto"/>
        <w:left w:val="none" w:sz="0" w:space="0" w:color="auto"/>
        <w:bottom w:val="none" w:sz="0" w:space="0" w:color="auto"/>
        <w:right w:val="none" w:sz="0" w:space="0" w:color="auto"/>
      </w:divBdr>
    </w:div>
    <w:div w:id="1409226291">
      <w:bodyDiv w:val="1"/>
      <w:marLeft w:val="0"/>
      <w:marRight w:val="0"/>
      <w:marTop w:val="0"/>
      <w:marBottom w:val="0"/>
      <w:divBdr>
        <w:top w:val="none" w:sz="0" w:space="0" w:color="auto"/>
        <w:left w:val="none" w:sz="0" w:space="0" w:color="auto"/>
        <w:bottom w:val="none" w:sz="0" w:space="0" w:color="auto"/>
        <w:right w:val="none" w:sz="0" w:space="0" w:color="auto"/>
      </w:divBdr>
      <w:divsChild>
        <w:div w:id="1531456924">
          <w:marLeft w:val="0"/>
          <w:marRight w:val="0"/>
          <w:marTop w:val="0"/>
          <w:marBottom w:val="0"/>
          <w:divBdr>
            <w:top w:val="none" w:sz="0" w:space="0" w:color="auto"/>
            <w:left w:val="none" w:sz="0" w:space="0" w:color="auto"/>
            <w:bottom w:val="none" w:sz="0" w:space="0" w:color="auto"/>
            <w:right w:val="none" w:sz="0" w:space="0" w:color="auto"/>
          </w:divBdr>
          <w:divsChild>
            <w:div w:id="2141605472">
              <w:marLeft w:val="0"/>
              <w:marRight w:val="0"/>
              <w:marTop w:val="0"/>
              <w:marBottom w:val="0"/>
              <w:divBdr>
                <w:top w:val="none" w:sz="0" w:space="0" w:color="auto"/>
                <w:left w:val="none" w:sz="0" w:space="0" w:color="auto"/>
                <w:bottom w:val="none" w:sz="0" w:space="0" w:color="auto"/>
                <w:right w:val="none" w:sz="0" w:space="0" w:color="auto"/>
              </w:divBdr>
              <w:divsChild>
                <w:div w:id="166018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5684569">
      <w:bodyDiv w:val="1"/>
      <w:marLeft w:val="0"/>
      <w:marRight w:val="0"/>
      <w:marTop w:val="0"/>
      <w:marBottom w:val="0"/>
      <w:divBdr>
        <w:top w:val="none" w:sz="0" w:space="0" w:color="auto"/>
        <w:left w:val="none" w:sz="0" w:space="0" w:color="auto"/>
        <w:bottom w:val="none" w:sz="0" w:space="0" w:color="auto"/>
        <w:right w:val="none" w:sz="0" w:space="0" w:color="auto"/>
      </w:divBdr>
    </w:div>
    <w:div w:id="1468235361">
      <w:bodyDiv w:val="1"/>
      <w:marLeft w:val="0"/>
      <w:marRight w:val="0"/>
      <w:marTop w:val="0"/>
      <w:marBottom w:val="0"/>
      <w:divBdr>
        <w:top w:val="none" w:sz="0" w:space="0" w:color="auto"/>
        <w:left w:val="none" w:sz="0" w:space="0" w:color="auto"/>
        <w:bottom w:val="none" w:sz="0" w:space="0" w:color="auto"/>
        <w:right w:val="none" w:sz="0" w:space="0" w:color="auto"/>
      </w:divBdr>
      <w:divsChild>
        <w:div w:id="1906338342">
          <w:marLeft w:val="0"/>
          <w:marRight w:val="0"/>
          <w:marTop w:val="0"/>
          <w:marBottom w:val="0"/>
          <w:divBdr>
            <w:top w:val="none" w:sz="0" w:space="0" w:color="auto"/>
            <w:left w:val="none" w:sz="0" w:space="0" w:color="auto"/>
            <w:bottom w:val="none" w:sz="0" w:space="0" w:color="auto"/>
            <w:right w:val="none" w:sz="0" w:space="0" w:color="auto"/>
          </w:divBdr>
          <w:divsChild>
            <w:div w:id="1761372157">
              <w:marLeft w:val="0"/>
              <w:marRight w:val="0"/>
              <w:marTop w:val="0"/>
              <w:marBottom w:val="0"/>
              <w:divBdr>
                <w:top w:val="none" w:sz="0" w:space="0" w:color="auto"/>
                <w:left w:val="none" w:sz="0" w:space="0" w:color="auto"/>
                <w:bottom w:val="none" w:sz="0" w:space="0" w:color="auto"/>
                <w:right w:val="none" w:sz="0" w:space="0" w:color="auto"/>
              </w:divBdr>
              <w:divsChild>
                <w:div w:id="50235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1096601">
      <w:bodyDiv w:val="1"/>
      <w:marLeft w:val="0"/>
      <w:marRight w:val="0"/>
      <w:marTop w:val="0"/>
      <w:marBottom w:val="0"/>
      <w:divBdr>
        <w:top w:val="none" w:sz="0" w:space="0" w:color="auto"/>
        <w:left w:val="none" w:sz="0" w:space="0" w:color="auto"/>
        <w:bottom w:val="none" w:sz="0" w:space="0" w:color="auto"/>
        <w:right w:val="none" w:sz="0" w:space="0" w:color="auto"/>
      </w:divBdr>
    </w:div>
    <w:div w:id="1471750840">
      <w:bodyDiv w:val="1"/>
      <w:marLeft w:val="0"/>
      <w:marRight w:val="0"/>
      <w:marTop w:val="0"/>
      <w:marBottom w:val="0"/>
      <w:divBdr>
        <w:top w:val="none" w:sz="0" w:space="0" w:color="auto"/>
        <w:left w:val="none" w:sz="0" w:space="0" w:color="auto"/>
        <w:bottom w:val="none" w:sz="0" w:space="0" w:color="auto"/>
        <w:right w:val="none" w:sz="0" w:space="0" w:color="auto"/>
      </w:divBdr>
    </w:div>
    <w:div w:id="1473327929">
      <w:bodyDiv w:val="1"/>
      <w:marLeft w:val="0"/>
      <w:marRight w:val="0"/>
      <w:marTop w:val="0"/>
      <w:marBottom w:val="0"/>
      <w:divBdr>
        <w:top w:val="none" w:sz="0" w:space="0" w:color="auto"/>
        <w:left w:val="none" w:sz="0" w:space="0" w:color="auto"/>
        <w:bottom w:val="none" w:sz="0" w:space="0" w:color="auto"/>
        <w:right w:val="none" w:sz="0" w:space="0" w:color="auto"/>
      </w:divBdr>
    </w:div>
    <w:div w:id="1476143989">
      <w:bodyDiv w:val="1"/>
      <w:marLeft w:val="0"/>
      <w:marRight w:val="0"/>
      <w:marTop w:val="0"/>
      <w:marBottom w:val="0"/>
      <w:divBdr>
        <w:top w:val="none" w:sz="0" w:space="0" w:color="auto"/>
        <w:left w:val="none" w:sz="0" w:space="0" w:color="auto"/>
        <w:bottom w:val="none" w:sz="0" w:space="0" w:color="auto"/>
        <w:right w:val="none" w:sz="0" w:space="0" w:color="auto"/>
      </w:divBdr>
    </w:div>
    <w:div w:id="1495340837">
      <w:bodyDiv w:val="1"/>
      <w:marLeft w:val="0"/>
      <w:marRight w:val="0"/>
      <w:marTop w:val="0"/>
      <w:marBottom w:val="0"/>
      <w:divBdr>
        <w:top w:val="none" w:sz="0" w:space="0" w:color="auto"/>
        <w:left w:val="none" w:sz="0" w:space="0" w:color="auto"/>
        <w:bottom w:val="none" w:sz="0" w:space="0" w:color="auto"/>
        <w:right w:val="none" w:sz="0" w:space="0" w:color="auto"/>
      </w:divBdr>
    </w:div>
    <w:div w:id="1509515959">
      <w:bodyDiv w:val="1"/>
      <w:marLeft w:val="0"/>
      <w:marRight w:val="0"/>
      <w:marTop w:val="0"/>
      <w:marBottom w:val="0"/>
      <w:divBdr>
        <w:top w:val="none" w:sz="0" w:space="0" w:color="auto"/>
        <w:left w:val="none" w:sz="0" w:space="0" w:color="auto"/>
        <w:bottom w:val="none" w:sz="0" w:space="0" w:color="auto"/>
        <w:right w:val="none" w:sz="0" w:space="0" w:color="auto"/>
      </w:divBdr>
    </w:div>
    <w:div w:id="1521090978">
      <w:bodyDiv w:val="1"/>
      <w:marLeft w:val="0"/>
      <w:marRight w:val="0"/>
      <w:marTop w:val="0"/>
      <w:marBottom w:val="0"/>
      <w:divBdr>
        <w:top w:val="none" w:sz="0" w:space="0" w:color="auto"/>
        <w:left w:val="none" w:sz="0" w:space="0" w:color="auto"/>
        <w:bottom w:val="none" w:sz="0" w:space="0" w:color="auto"/>
        <w:right w:val="none" w:sz="0" w:space="0" w:color="auto"/>
      </w:divBdr>
    </w:div>
    <w:div w:id="1533960343">
      <w:bodyDiv w:val="1"/>
      <w:marLeft w:val="0"/>
      <w:marRight w:val="0"/>
      <w:marTop w:val="0"/>
      <w:marBottom w:val="0"/>
      <w:divBdr>
        <w:top w:val="none" w:sz="0" w:space="0" w:color="auto"/>
        <w:left w:val="none" w:sz="0" w:space="0" w:color="auto"/>
        <w:bottom w:val="none" w:sz="0" w:space="0" w:color="auto"/>
        <w:right w:val="none" w:sz="0" w:space="0" w:color="auto"/>
      </w:divBdr>
    </w:div>
    <w:div w:id="1544555537">
      <w:bodyDiv w:val="1"/>
      <w:marLeft w:val="0"/>
      <w:marRight w:val="0"/>
      <w:marTop w:val="0"/>
      <w:marBottom w:val="0"/>
      <w:divBdr>
        <w:top w:val="none" w:sz="0" w:space="0" w:color="auto"/>
        <w:left w:val="none" w:sz="0" w:space="0" w:color="auto"/>
        <w:bottom w:val="none" w:sz="0" w:space="0" w:color="auto"/>
        <w:right w:val="none" w:sz="0" w:space="0" w:color="auto"/>
      </w:divBdr>
    </w:div>
    <w:div w:id="1558973653">
      <w:bodyDiv w:val="1"/>
      <w:marLeft w:val="0"/>
      <w:marRight w:val="0"/>
      <w:marTop w:val="0"/>
      <w:marBottom w:val="0"/>
      <w:divBdr>
        <w:top w:val="none" w:sz="0" w:space="0" w:color="auto"/>
        <w:left w:val="none" w:sz="0" w:space="0" w:color="auto"/>
        <w:bottom w:val="none" w:sz="0" w:space="0" w:color="auto"/>
        <w:right w:val="none" w:sz="0" w:space="0" w:color="auto"/>
      </w:divBdr>
    </w:div>
    <w:div w:id="1571453629">
      <w:bodyDiv w:val="1"/>
      <w:marLeft w:val="0"/>
      <w:marRight w:val="0"/>
      <w:marTop w:val="0"/>
      <w:marBottom w:val="0"/>
      <w:divBdr>
        <w:top w:val="none" w:sz="0" w:space="0" w:color="auto"/>
        <w:left w:val="none" w:sz="0" w:space="0" w:color="auto"/>
        <w:bottom w:val="none" w:sz="0" w:space="0" w:color="auto"/>
        <w:right w:val="none" w:sz="0" w:space="0" w:color="auto"/>
      </w:divBdr>
    </w:div>
    <w:div w:id="1574581939">
      <w:bodyDiv w:val="1"/>
      <w:marLeft w:val="0"/>
      <w:marRight w:val="0"/>
      <w:marTop w:val="0"/>
      <w:marBottom w:val="0"/>
      <w:divBdr>
        <w:top w:val="none" w:sz="0" w:space="0" w:color="auto"/>
        <w:left w:val="none" w:sz="0" w:space="0" w:color="auto"/>
        <w:bottom w:val="none" w:sz="0" w:space="0" w:color="auto"/>
        <w:right w:val="none" w:sz="0" w:space="0" w:color="auto"/>
      </w:divBdr>
    </w:div>
    <w:div w:id="1582181728">
      <w:bodyDiv w:val="1"/>
      <w:marLeft w:val="0"/>
      <w:marRight w:val="0"/>
      <w:marTop w:val="0"/>
      <w:marBottom w:val="0"/>
      <w:divBdr>
        <w:top w:val="none" w:sz="0" w:space="0" w:color="auto"/>
        <w:left w:val="none" w:sz="0" w:space="0" w:color="auto"/>
        <w:bottom w:val="none" w:sz="0" w:space="0" w:color="auto"/>
        <w:right w:val="none" w:sz="0" w:space="0" w:color="auto"/>
      </w:divBdr>
    </w:div>
    <w:div w:id="1583367298">
      <w:bodyDiv w:val="1"/>
      <w:marLeft w:val="0"/>
      <w:marRight w:val="0"/>
      <w:marTop w:val="0"/>
      <w:marBottom w:val="0"/>
      <w:divBdr>
        <w:top w:val="none" w:sz="0" w:space="0" w:color="auto"/>
        <w:left w:val="none" w:sz="0" w:space="0" w:color="auto"/>
        <w:bottom w:val="none" w:sz="0" w:space="0" w:color="auto"/>
        <w:right w:val="none" w:sz="0" w:space="0" w:color="auto"/>
      </w:divBdr>
    </w:div>
    <w:div w:id="1584801515">
      <w:bodyDiv w:val="1"/>
      <w:marLeft w:val="0"/>
      <w:marRight w:val="0"/>
      <w:marTop w:val="0"/>
      <w:marBottom w:val="0"/>
      <w:divBdr>
        <w:top w:val="none" w:sz="0" w:space="0" w:color="auto"/>
        <w:left w:val="none" w:sz="0" w:space="0" w:color="auto"/>
        <w:bottom w:val="none" w:sz="0" w:space="0" w:color="auto"/>
        <w:right w:val="none" w:sz="0" w:space="0" w:color="auto"/>
      </w:divBdr>
      <w:divsChild>
        <w:div w:id="2100515590">
          <w:marLeft w:val="0"/>
          <w:marRight w:val="0"/>
          <w:marTop w:val="0"/>
          <w:marBottom w:val="0"/>
          <w:divBdr>
            <w:top w:val="none" w:sz="0" w:space="0" w:color="auto"/>
            <w:left w:val="none" w:sz="0" w:space="0" w:color="auto"/>
            <w:bottom w:val="none" w:sz="0" w:space="0" w:color="auto"/>
            <w:right w:val="none" w:sz="0" w:space="0" w:color="auto"/>
          </w:divBdr>
          <w:divsChild>
            <w:div w:id="578245821">
              <w:marLeft w:val="0"/>
              <w:marRight w:val="0"/>
              <w:marTop w:val="0"/>
              <w:marBottom w:val="0"/>
              <w:divBdr>
                <w:top w:val="none" w:sz="0" w:space="0" w:color="auto"/>
                <w:left w:val="none" w:sz="0" w:space="0" w:color="auto"/>
                <w:bottom w:val="none" w:sz="0" w:space="0" w:color="auto"/>
                <w:right w:val="none" w:sz="0" w:space="0" w:color="auto"/>
              </w:divBdr>
            </w:div>
          </w:divsChild>
        </w:div>
        <w:div w:id="656375238">
          <w:blockQuote w:val="1"/>
          <w:marLeft w:val="600"/>
          <w:marRight w:val="0"/>
          <w:marTop w:val="0"/>
          <w:marBottom w:val="0"/>
          <w:divBdr>
            <w:top w:val="none" w:sz="0" w:space="0" w:color="auto"/>
            <w:left w:val="none" w:sz="0" w:space="0" w:color="auto"/>
            <w:bottom w:val="none" w:sz="0" w:space="0" w:color="auto"/>
            <w:right w:val="none" w:sz="0" w:space="0" w:color="auto"/>
          </w:divBdr>
          <w:divsChild>
            <w:div w:id="111873826">
              <w:blockQuote w:val="1"/>
              <w:marLeft w:val="600"/>
              <w:marRight w:val="0"/>
              <w:marTop w:val="0"/>
              <w:marBottom w:val="0"/>
              <w:divBdr>
                <w:top w:val="none" w:sz="0" w:space="0" w:color="auto"/>
                <w:left w:val="none" w:sz="0" w:space="0" w:color="auto"/>
                <w:bottom w:val="none" w:sz="0" w:space="0" w:color="auto"/>
                <w:right w:val="none" w:sz="0" w:space="0" w:color="auto"/>
              </w:divBdr>
              <w:divsChild>
                <w:div w:id="1589343954">
                  <w:marLeft w:val="0"/>
                  <w:marRight w:val="0"/>
                  <w:marTop w:val="0"/>
                  <w:marBottom w:val="0"/>
                  <w:divBdr>
                    <w:top w:val="none" w:sz="0" w:space="0" w:color="auto"/>
                    <w:left w:val="none" w:sz="0" w:space="0" w:color="auto"/>
                    <w:bottom w:val="none" w:sz="0" w:space="0" w:color="auto"/>
                    <w:right w:val="none" w:sz="0" w:space="0" w:color="auto"/>
                  </w:divBdr>
                  <w:divsChild>
                    <w:div w:id="1706711345">
                      <w:marLeft w:val="0"/>
                      <w:marRight w:val="0"/>
                      <w:marTop w:val="0"/>
                      <w:marBottom w:val="0"/>
                      <w:divBdr>
                        <w:top w:val="none" w:sz="0" w:space="0" w:color="auto"/>
                        <w:left w:val="none" w:sz="0" w:space="0" w:color="auto"/>
                        <w:bottom w:val="none" w:sz="0" w:space="0" w:color="auto"/>
                        <w:right w:val="none" w:sz="0" w:space="0" w:color="auto"/>
                      </w:divBdr>
                      <w:divsChild>
                        <w:div w:id="466435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195029">
              <w:blockQuote w:val="1"/>
              <w:marLeft w:val="600"/>
              <w:marRight w:val="0"/>
              <w:marTop w:val="0"/>
              <w:marBottom w:val="0"/>
              <w:divBdr>
                <w:top w:val="none" w:sz="0" w:space="0" w:color="auto"/>
                <w:left w:val="none" w:sz="0" w:space="0" w:color="auto"/>
                <w:bottom w:val="none" w:sz="0" w:space="0" w:color="auto"/>
                <w:right w:val="none" w:sz="0" w:space="0" w:color="auto"/>
              </w:divBdr>
              <w:divsChild>
                <w:div w:id="1015233140">
                  <w:marLeft w:val="0"/>
                  <w:marRight w:val="0"/>
                  <w:marTop w:val="0"/>
                  <w:marBottom w:val="0"/>
                  <w:divBdr>
                    <w:top w:val="none" w:sz="0" w:space="0" w:color="auto"/>
                    <w:left w:val="none" w:sz="0" w:space="0" w:color="auto"/>
                    <w:bottom w:val="none" w:sz="0" w:space="0" w:color="auto"/>
                    <w:right w:val="none" w:sz="0" w:space="0" w:color="auto"/>
                  </w:divBdr>
                  <w:divsChild>
                    <w:div w:id="625506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7275740">
              <w:blockQuote w:val="1"/>
              <w:marLeft w:val="600"/>
              <w:marRight w:val="0"/>
              <w:marTop w:val="0"/>
              <w:marBottom w:val="0"/>
              <w:divBdr>
                <w:top w:val="none" w:sz="0" w:space="0" w:color="auto"/>
                <w:left w:val="none" w:sz="0" w:space="0" w:color="auto"/>
                <w:bottom w:val="none" w:sz="0" w:space="0" w:color="auto"/>
                <w:right w:val="none" w:sz="0" w:space="0" w:color="auto"/>
              </w:divBdr>
              <w:divsChild>
                <w:div w:id="466514030">
                  <w:marLeft w:val="0"/>
                  <w:marRight w:val="0"/>
                  <w:marTop w:val="0"/>
                  <w:marBottom w:val="0"/>
                  <w:divBdr>
                    <w:top w:val="none" w:sz="0" w:space="0" w:color="auto"/>
                    <w:left w:val="none" w:sz="0" w:space="0" w:color="auto"/>
                    <w:bottom w:val="none" w:sz="0" w:space="0" w:color="auto"/>
                    <w:right w:val="none" w:sz="0" w:space="0" w:color="auto"/>
                  </w:divBdr>
                  <w:divsChild>
                    <w:div w:id="515313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2967127">
              <w:blockQuote w:val="1"/>
              <w:marLeft w:val="600"/>
              <w:marRight w:val="0"/>
              <w:marTop w:val="0"/>
              <w:marBottom w:val="0"/>
              <w:divBdr>
                <w:top w:val="none" w:sz="0" w:space="0" w:color="auto"/>
                <w:left w:val="none" w:sz="0" w:space="0" w:color="auto"/>
                <w:bottom w:val="none" w:sz="0" w:space="0" w:color="auto"/>
                <w:right w:val="none" w:sz="0" w:space="0" w:color="auto"/>
              </w:divBdr>
              <w:divsChild>
                <w:div w:id="162167416">
                  <w:marLeft w:val="0"/>
                  <w:marRight w:val="0"/>
                  <w:marTop w:val="0"/>
                  <w:marBottom w:val="0"/>
                  <w:divBdr>
                    <w:top w:val="none" w:sz="0" w:space="0" w:color="auto"/>
                    <w:left w:val="none" w:sz="0" w:space="0" w:color="auto"/>
                    <w:bottom w:val="none" w:sz="0" w:space="0" w:color="auto"/>
                    <w:right w:val="none" w:sz="0" w:space="0" w:color="auto"/>
                  </w:divBdr>
                  <w:divsChild>
                    <w:div w:id="1429276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0653390">
          <w:marLeft w:val="0"/>
          <w:marRight w:val="0"/>
          <w:marTop w:val="0"/>
          <w:marBottom w:val="0"/>
          <w:divBdr>
            <w:top w:val="none" w:sz="0" w:space="0" w:color="auto"/>
            <w:left w:val="none" w:sz="0" w:space="0" w:color="auto"/>
            <w:bottom w:val="none" w:sz="0" w:space="0" w:color="auto"/>
            <w:right w:val="none" w:sz="0" w:space="0" w:color="auto"/>
          </w:divBdr>
          <w:divsChild>
            <w:div w:id="1351490709">
              <w:marLeft w:val="0"/>
              <w:marRight w:val="0"/>
              <w:marTop w:val="0"/>
              <w:marBottom w:val="0"/>
              <w:divBdr>
                <w:top w:val="none" w:sz="0" w:space="0" w:color="auto"/>
                <w:left w:val="none" w:sz="0" w:space="0" w:color="auto"/>
                <w:bottom w:val="none" w:sz="0" w:space="0" w:color="auto"/>
                <w:right w:val="none" w:sz="0" w:space="0" w:color="auto"/>
              </w:divBdr>
            </w:div>
            <w:div w:id="1651326834">
              <w:marLeft w:val="0"/>
              <w:marRight w:val="0"/>
              <w:marTop w:val="0"/>
              <w:marBottom w:val="0"/>
              <w:divBdr>
                <w:top w:val="none" w:sz="0" w:space="0" w:color="auto"/>
                <w:left w:val="none" w:sz="0" w:space="0" w:color="auto"/>
                <w:bottom w:val="none" w:sz="0" w:space="0" w:color="auto"/>
                <w:right w:val="none" w:sz="0" w:space="0" w:color="auto"/>
              </w:divBdr>
              <w:divsChild>
                <w:div w:id="1138450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3726234">
          <w:blockQuote w:val="1"/>
          <w:marLeft w:val="600"/>
          <w:marRight w:val="0"/>
          <w:marTop w:val="0"/>
          <w:marBottom w:val="0"/>
          <w:divBdr>
            <w:top w:val="none" w:sz="0" w:space="0" w:color="auto"/>
            <w:left w:val="none" w:sz="0" w:space="0" w:color="auto"/>
            <w:bottom w:val="none" w:sz="0" w:space="0" w:color="auto"/>
            <w:right w:val="none" w:sz="0" w:space="0" w:color="auto"/>
          </w:divBdr>
          <w:divsChild>
            <w:div w:id="1259144194">
              <w:blockQuote w:val="1"/>
              <w:marLeft w:val="600"/>
              <w:marRight w:val="0"/>
              <w:marTop w:val="0"/>
              <w:marBottom w:val="0"/>
              <w:divBdr>
                <w:top w:val="none" w:sz="0" w:space="0" w:color="auto"/>
                <w:left w:val="none" w:sz="0" w:space="0" w:color="auto"/>
                <w:bottom w:val="none" w:sz="0" w:space="0" w:color="auto"/>
                <w:right w:val="none" w:sz="0" w:space="0" w:color="auto"/>
              </w:divBdr>
              <w:divsChild>
                <w:div w:id="2044284275">
                  <w:marLeft w:val="0"/>
                  <w:marRight w:val="0"/>
                  <w:marTop w:val="0"/>
                  <w:marBottom w:val="0"/>
                  <w:divBdr>
                    <w:top w:val="none" w:sz="0" w:space="0" w:color="auto"/>
                    <w:left w:val="none" w:sz="0" w:space="0" w:color="auto"/>
                    <w:bottom w:val="none" w:sz="0" w:space="0" w:color="auto"/>
                    <w:right w:val="none" w:sz="0" w:space="0" w:color="auto"/>
                  </w:divBdr>
                  <w:divsChild>
                    <w:div w:id="291834744">
                      <w:marLeft w:val="0"/>
                      <w:marRight w:val="0"/>
                      <w:marTop w:val="0"/>
                      <w:marBottom w:val="0"/>
                      <w:divBdr>
                        <w:top w:val="none" w:sz="0" w:space="0" w:color="auto"/>
                        <w:left w:val="none" w:sz="0" w:space="0" w:color="auto"/>
                        <w:bottom w:val="none" w:sz="0" w:space="0" w:color="auto"/>
                        <w:right w:val="none" w:sz="0" w:space="0" w:color="auto"/>
                      </w:divBdr>
                      <w:divsChild>
                        <w:div w:id="77105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0631407">
              <w:blockQuote w:val="1"/>
              <w:marLeft w:val="600"/>
              <w:marRight w:val="0"/>
              <w:marTop w:val="0"/>
              <w:marBottom w:val="0"/>
              <w:divBdr>
                <w:top w:val="none" w:sz="0" w:space="0" w:color="auto"/>
                <w:left w:val="none" w:sz="0" w:space="0" w:color="auto"/>
                <w:bottom w:val="none" w:sz="0" w:space="0" w:color="auto"/>
                <w:right w:val="none" w:sz="0" w:space="0" w:color="auto"/>
              </w:divBdr>
              <w:divsChild>
                <w:div w:id="573317683">
                  <w:marLeft w:val="0"/>
                  <w:marRight w:val="0"/>
                  <w:marTop w:val="0"/>
                  <w:marBottom w:val="0"/>
                  <w:divBdr>
                    <w:top w:val="none" w:sz="0" w:space="0" w:color="auto"/>
                    <w:left w:val="none" w:sz="0" w:space="0" w:color="auto"/>
                    <w:bottom w:val="none" w:sz="0" w:space="0" w:color="auto"/>
                    <w:right w:val="none" w:sz="0" w:space="0" w:color="auto"/>
                  </w:divBdr>
                  <w:divsChild>
                    <w:div w:id="775247382">
                      <w:marLeft w:val="0"/>
                      <w:marRight w:val="0"/>
                      <w:marTop w:val="0"/>
                      <w:marBottom w:val="0"/>
                      <w:divBdr>
                        <w:top w:val="none" w:sz="0" w:space="0" w:color="auto"/>
                        <w:left w:val="none" w:sz="0" w:space="0" w:color="auto"/>
                        <w:bottom w:val="none" w:sz="0" w:space="0" w:color="auto"/>
                        <w:right w:val="none" w:sz="0" w:space="0" w:color="auto"/>
                      </w:divBdr>
                      <w:divsChild>
                        <w:div w:id="107003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099228">
              <w:blockQuote w:val="1"/>
              <w:marLeft w:val="600"/>
              <w:marRight w:val="0"/>
              <w:marTop w:val="0"/>
              <w:marBottom w:val="0"/>
              <w:divBdr>
                <w:top w:val="none" w:sz="0" w:space="0" w:color="auto"/>
                <w:left w:val="none" w:sz="0" w:space="0" w:color="auto"/>
                <w:bottom w:val="none" w:sz="0" w:space="0" w:color="auto"/>
                <w:right w:val="none" w:sz="0" w:space="0" w:color="auto"/>
              </w:divBdr>
              <w:divsChild>
                <w:div w:id="1055665066">
                  <w:marLeft w:val="0"/>
                  <w:marRight w:val="0"/>
                  <w:marTop w:val="0"/>
                  <w:marBottom w:val="0"/>
                  <w:divBdr>
                    <w:top w:val="none" w:sz="0" w:space="0" w:color="auto"/>
                    <w:left w:val="none" w:sz="0" w:space="0" w:color="auto"/>
                    <w:bottom w:val="none" w:sz="0" w:space="0" w:color="auto"/>
                    <w:right w:val="none" w:sz="0" w:space="0" w:color="auto"/>
                  </w:divBdr>
                  <w:divsChild>
                    <w:div w:id="1645770345">
                      <w:marLeft w:val="0"/>
                      <w:marRight w:val="0"/>
                      <w:marTop w:val="0"/>
                      <w:marBottom w:val="0"/>
                      <w:divBdr>
                        <w:top w:val="none" w:sz="0" w:space="0" w:color="auto"/>
                        <w:left w:val="none" w:sz="0" w:space="0" w:color="auto"/>
                        <w:bottom w:val="none" w:sz="0" w:space="0" w:color="auto"/>
                        <w:right w:val="none" w:sz="0" w:space="0" w:color="auto"/>
                      </w:divBdr>
                      <w:divsChild>
                        <w:div w:id="657922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2751451">
          <w:marLeft w:val="0"/>
          <w:marRight w:val="0"/>
          <w:marTop w:val="0"/>
          <w:marBottom w:val="0"/>
          <w:divBdr>
            <w:top w:val="none" w:sz="0" w:space="0" w:color="auto"/>
            <w:left w:val="none" w:sz="0" w:space="0" w:color="auto"/>
            <w:bottom w:val="none" w:sz="0" w:space="0" w:color="auto"/>
            <w:right w:val="none" w:sz="0" w:space="0" w:color="auto"/>
          </w:divBdr>
          <w:divsChild>
            <w:div w:id="340665066">
              <w:marLeft w:val="0"/>
              <w:marRight w:val="0"/>
              <w:marTop w:val="0"/>
              <w:marBottom w:val="0"/>
              <w:divBdr>
                <w:top w:val="none" w:sz="0" w:space="0" w:color="auto"/>
                <w:left w:val="none" w:sz="0" w:space="0" w:color="auto"/>
                <w:bottom w:val="none" w:sz="0" w:space="0" w:color="auto"/>
                <w:right w:val="none" w:sz="0" w:space="0" w:color="auto"/>
              </w:divBdr>
              <w:divsChild>
                <w:div w:id="319770305">
                  <w:marLeft w:val="0"/>
                  <w:marRight w:val="0"/>
                  <w:marTop w:val="0"/>
                  <w:marBottom w:val="0"/>
                  <w:divBdr>
                    <w:top w:val="none" w:sz="0" w:space="0" w:color="auto"/>
                    <w:left w:val="none" w:sz="0" w:space="0" w:color="auto"/>
                    <w:bottom w:val="none" w:sz="0" w:space="0" w:color="auto"/>
                    <w:right w:val="none" w:sz="0" w:space="0" w:color="auto"/>
                  </w:divBdr>
                </w:div>
                <w:div w:id="121466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356945">
          <w:blockQuote w:val="1"/>
          <w:marLeft w:val="600"/>
          <w:marRight w:val="0"/>
          <w:marTop w:val="0"/>
          <w:marBottom w:val="0"/>
          <w:divBdr>
            <w:top w:val="none" w:sz="0" w:space="0" w:color="auto"/>
            <w:left w:val="none" w:sz="0" w:space="0" w:color="auto"/>
            <w:bottom w:val="none" w:sz="0" w:space="0" w:color="auto"/>
            <w:right w:val="none" w:sz="0" w:space="0" w:color="auto"/>
          </w:divBdr>
          <w:divsChild>
            <w:div w:id="9224972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27629095">
                  <w:marLeft w:val="0"/>
                  <w:marRight w:val="0"/>
                  <w:marTop w:val="0"/>
                  <w:marBottom w:val="0"/>
                  <w:divBdr>
                    <w:top w:val="none" w:sz="0" w:space="0" w:color="auto"/>
                    <w:left w:val="none" w:sz="0" w:space="0" w:color="auto"/>
                    <w:bottom w:val="none" w:sz="0" w:space="0" w:color="auto"/>
                    <w:right w:val="none" w:sz="0" w:space="0" w:color="auto"/>
                  </w:divBdr>
                  <w:divsChild>
                    <w:div w:id="395055555">
                      <w:marLeft w:val="0"/>
                      <w:marRight w:val="0"/>
                      <w:marTop w:val="0"/>
                      <w:marBottom w:val="0"/>
                      <w:divBdr>
                        <w:top w:val="none" w:sz="0" w:space="0" w:color="auto"/>
                        <w:left w:val="none" w:sz="0" w:space="0" w:color="auto"/>
                        <w:bottom w:val="none" w:sz="0" w:space="0" w:color="auto"/>
                        <w:right w:val="none" w:sz="0" w:space="0" w:color="auto"/>
                      </w:divBdr>
                      <w:divsChild>
                        <w:div w:id="321467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6266369">
              <w:blockQuote w:val="1"/>
              <w:marLeft w:val="600"/>
              <w:marRight w:val="0"/>
              <w:marTop w:val="0"/>
              <w:marBottom w:val="0"/>
              <w:divBdr>
                <w:top w:val="none" w:sz="0" w:space="0" w:color="auto"/>
                <w:left w:val="none" w:sz="0" w:space="0" w:color="auto"/>
                <w:bottom w:val="none" w:sz="0" w:space="0" w:color="auto"/>
                <w:right w:val="none" w:sz="0" w:space="0" w:color="auto"/>
              </w:divBdr>
              <w:divsChild>
                <w:div w:id="9649936">
                  <w:marLeft w:val="0"/>
                  <w:marRight w:val="0"/>
                  <w:marTop w:val="0"/>
                  <w:marBottom w:val="0"/>
                  <w:divBdr>
                    <w:top w:val="none" w:sz="0" w:space="0" w:color="auto"/>
                    <w:left w:val="none" w:sz="0" w:space="0" w:color="auto"/>
                    <w:bottom w:val="none" w:sz="0" w:space="0" w:color="auto"/>
                    <w:right w:val="none" w:sz="0" w:space="0" w:color="auto"/>
                  </w:divBdr>
                  <w:divsChild>
                    <w:div w:id="829978519">
                      <w:marLeft w:val="0"/>
                      <w:marRight w:val="0"/>
                      <w:marTop w:val="0"/>
                      <w:marBottom w:val="0"/>
                      <w:divBdr>
                        <w:top w:val="none" w:sz="0" w:space="0" w:color="auto"/>
                        <w:left w:val="none" w:sz="0" w:space="0" w:color="auto"/>
                        <w:bottom w:val="none" w:sz="0" w:space="0" w:color="auto"/>
                        <w:right w:val="none" w:sz="0" w:space="0" w:color="auto"/>
                      </w:divBdr>
                      <w:divsChild>
                        <w:div w:id="1267495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0201762">
              <w:blockQuote w:val="1"/>
              <w:marLeft w:val="600"/>
              <w:marRight w:val="0"/>
              <w:marTop w:val="0"/>
              <w:marBottom w:val="0"/>
              <w:divBdr>
                <w:top w:val="none" w:sz="0" w:space="0" w:color="auto"/>
                <w:left w:val="none" w:sz="0" w:space="0" w:color="auto"/>
                <w:bottom w:val="none" w:sz="0" w:space="0" w:color="auto"/>
                <w:right w:val="none" w:sz="0" w:space="0" w:color="auto"/>
              </w:divBdr>
              <w:divsChild>
                <w:div w:id="2140800441">
                  <w:marLeft w:val="0"/>
                  <w:marRight w:val="0"/>
                  <w:marTop w:val="0"/>
                  <w:marBottom w:val="0"/>
                  <w:divBdr>
                    <w:top w:val="none" w:sz="0" w:space="0" w:color="auto"/>
                    <w:left w:val="none" w:sz="0" w:space="0" w:color="auto"/>
                    <w:bottom w:val="none" w:sz="0" w:space="0" w:color="auto"/>
                    <w:right w:val="none" w:sz="0" w:space="0" w:color="auto"/>
                  </w:divBdr>
                  <w:divsChild>
                    <w:div w:id="2041663527">
                      <w:marLeft w:val="0"/>
                      <w:marRight w:val="0"/>
                      <w:marTop w:val="0"/>
                      <w:marBottom w:val="0"/>
                      <w:divBdr>
                        <w:top w:val="none" w:sz="0" w:space="0" w:color="auto"/>
                        <w:left w:val="none" w:sz="0" w:space="0" w:color="auto"/>
                        <w:bottom w:val="none" w:sz="0" w:space="0" w:color="auto"/>
                        <w:right w:val="none" w:sz="0" w:space="0" w:color="auto"/>
                      </w:divBdr>
                      <w:divsChild>
                        <w:div w:id="1213812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2110700">
              <w:blockQuote w:val="1"/>
              <w:marLeft w:val="600"/>
              <w:marRight w:val="0"/>
              <w:marTop w:val="0"/>
              <w:marBottom w:val="0"/>
              <w:divBdr>
                <w:top w:val="none" w:sz="0" w:space="0" w:color="auto"/>
                <w:left w:val="none" w:sz="0" w:space="0" w:color="auto"/>
                <w:bottom w:val="none" w:sz="0" w:space="0" w:color="auto"/>
                <w:right w:val="none" w:sz="0" w:space="0" w:color="auto"/>
              </w:divBdr>
              <w:divsChild>
                <w:div w:id="1698654640">
                  <w:marLeft w:val="0"/>
                  <w:marRight w:val="0"/>
                  <w:marTop w:val="0"/>
                  <w:marBottom w:val="0"/>
                  <w:divBdr>
                    <w:top w:val="none" w:sz="0" w:space="0" w:color="auto"/>
                    <w:left w:val="none" w:sz="0" w:space="0" w:color="auto"/>
                    <w:bottom w:val="none" w:sz="0" w:space="0" w:color="auto"/>
                    <w:right w:val="none" w:sz="0" w:space="0" w:color="auto"/>
                  </w:divBdr>
                  <w:divsChild>
                    <w:div w:id="1273512223">
                      <w:marLeft w:val="0"/>
                      <w:marRight w:val="0"/>
                      <w:marTop w:val="0"/>
                      <w:marBottom w:val="0"/>
                      <w:divBdr>
                        <w:top w:val="none" w:sz="0" w:space="0" w:color="auto"/>
                        <w:left w:val="none" w:sz="0" w:space="0" w:color="auto"/>
                        <w:bottom w:val="none" w:sz="0" w:space="0" w:color="auto"/>
                        <w:right w:val="none" w:sz="0" w:space="0" w:color="auto"/>
                      </w:divBdr>
                      <w:divsChild>
                        <w:div w:id="1212961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448796">
              <w:blockQuote w:val="1"/>
              <w:marLeft w:val="600"/>
              <w:marRight w:val="0"/>
              <w:marTop w:val="0"/>
              <w:marBottom w:val="0"/>
              <w:divBdr>
                <w:top w:val="none" w:sz="0" w:space="0" w:color="auto"/>
                <w:left w:val="none" w:sz="0" w:space="0" w:color="auto"/>
                <w:bottom w:val="none" w:sz="0" w:space="0" w:color="auto"/>
                <w:right w:val="none" w:sz="0" w:space="0" w:color="auto"/>
              </w:divBdr>
              <w:divsChild>
                <w:div w:id="1538352236">
                  <w:marLeft w:val="0"/>
                  <w:marRight w:val="0"/>
                  <w:marTop w:val="0"/>
                  <w:marBottom w:val="0"/>
                  <w:divBdr>
                    <w:top w:val="none" w:sz="0" w:space="0" w:color="auto"/>
                    <w:left w:val="none" w:sz="0" w:space="0" w:color="auto"/>
                    <w:bottom w:val="none" w:sz="0" w:space="0" w:color="auto"/>
                    <w:right w:val="none" w:sz="0" w:space="0" w:color="auto"/>
                  </w:divBdr>
                  <w:divsChild>
                    <w:div w:id="331304187">
                      <w:marLeft w:val="0"/>
                      <w:marRight w:val="0"/>
                      <w:marTop w:val="0"/>
                      <w:marBottom w:val="0"/>
                      <w:divBdr>
                        <w:top w:val="none" w:sz="0" w:space="0" w:color="auto"/>
                        <w:left w:val="none" w:sz="0" w:space="0" w:color="auto"/>
                        <w:bottom w:val="none" w:sz="0" w:space="0" w:color="auto"/>
                        <w:right w:val="none" w:sz="0" w:space="0" w:color="auto"/>
                      </w:divBdr>
                      <w:divsChild>
                        <w:div w:id="248468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1296555">
              <w:blockQuote w:val="1"/>
              <w:marLeft w:val="600"/>
              <w:marRight w:val="0"/>
              <w:marTop w:val="0"/>
              <w:marBottom w:val="0"/>
              <w:divBdr>
                <w:top w:val="none" w:sz="0" w:space="0" w:color="auto"/>
                <w:left w:val="none" w:sz="0" w:space="0" w:color="auto"/>
                <w:bottom w:val="none" w:sz="0" w:space="0" w:color="auto"/>
                <w:right w:val="none" w:sz="0" w:space="0" w:color="auto"/>
              </w:divBdr>
              <w:divsChild>
                <w:div w:id="330068688">
                  <w:marLeft w:val="0"/>
                  <w:marRight w:val="0"/>
                  <w:marTop w:val="0"/>
                  <w:marBottom w:val="0"/>
                  <w:divBdr>
                    <w:top w:val="none" w:sz="0" w:space="0" w:color="auto"/>
                    <w:left w:val="none" w:sz="0" w:space="0" w:color="auto"/>
                    <w:bottom w:val="none" w:sz="0" w:space="0" w:color="auto"/>
                    <w:right w:val="none" w:sz="0" w:space="0" w:color="auto"/>
                  </w:divBdr>
                  <w:divsChild>
                    <w:div w:id="1293709020">
                      <w:marLeft w:val="0"/>
                      <w:marRight w:val="0"/>
                      <w:marTop w:val="0"/>
                      <w:marBottom w:val="0"/>
                      <w:divBdr>
                        <w:top w:val="none" w:sz="0" w:space="0" w:color="auto"/>
                        <w:left w:val="none" w:sz="0" w:space="0" w:color="auto"/>
                        <w:bottom w:val="none" w:sz="0" w:space="0" w:color="auto"/>
                        <w:right w:val="none" w:sz="0" w:space="0" w:color="auto"/>
                      </w:divBdr>
                      <w:divsChild>
                        <w:div w:id="2113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5350270">
          <w:marLeft w:val="0"/>
          <w:marRight w:val="0"/>
          <w:marTop w:val="0"/>
          <w:marBottom w:val="0"/>
          <w:divBdr>
            <w:top w:val="none" w:sz="0" w:space="0" w:color="auto"/>
            <w:left w:val="none" w:sz="0" w:space="0" w:color="auto"/>
            <w:bottom w:val="none" w:sz="0" w:space="0" w:color="auto"/>
            <w:right w:val="none" w:sz="0" w:space="0" w:color="auto"/>
          </w:divBdr>
          <w:divsChild>
            <w:div w:id="1696081931">
              <w:marLeft w:val="0"/>
              <w:marRight w:val="0"/>
              <w:marTop w:val="0"/>
              <w:marBottom w:val="0"/>
              <w:divBdr>
                <w:top w:val="none" w:sz="0" w:space="0" w:color="auto"/>
                <w:left w:val="none" w:sz="0" w:space="0" w:color="auto"/>
                <w:bottom w:val="none" w:sz="0" w:space="0" w:color="auto"/>
                <w:right w:val="none" w:sz="0" w:space="0" w:color="auto"/>
              </w:divBdr>
              <w:divsChild>
                <w:div w:id="1980762812">
                  <w:marLeft w:val="0"/>
                  <w:marRight w:val="0"/>
                  <w:marTop w:val="0"/>
                  <w:marBottom w:val="0"/>
                  <w:divBdr>
                    <w:top w:val="none" w:sz="0" w:space="0" w:color="auto"/>
                    <w:left w:val="none" w:sz="0" w:space="0" w:color="auto"/>
                    <w:bottom w:val="none" w:sz="0" w:space="0" w:color="auto"/>
                    <w:right w:val="none" w:sz="0" w:space="0" w:color="auto"/>
                  </w:divBdr>
                </w:div>
                <w:div w:id="1627735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4094287">
      <w:bodyDiv w:val="1"/>
      <w:marLeft w:val="0"/>
      <w:marRight w:val="0"/>
      <w:marTop w:val="0"/>
      <w:marBottom w:val="0"/>
      <w:divBdr>
        <w:top w:val="none" w:sz="0" w:space="0" w:color="auto"/>
        <w:left w:val="none" w:sz="0" w:space="0" w:color="auto"/>
        <w:bottom w:val="none" w:sz="0" w:space="0" w:color="auto"/>
        <w:right w:val="none" w:sz="0" w:space="0" w:color="auto"/>
      </w:divBdr>
    </w:div>
    <w:div w:id="1614901134">
      <w:bodyDiv w:val="1"/>
      <w:marLeft w:val="0"/>
      <w:marRight w:val="0"/>
      <w:marTop w:val="0"/>
      <w:marBottom w:val="0"/>
      <w:divBdr>
        <w:top w:val="none" w:sz="0" w:space="0" w:color="auto"/>
        <w:left w:val="none" w:sz="0" w:space="0" w:color="auto"/>
        <w:bottom w:val="none" w:sz="0" w:space="0" w:color="auto"/>
        <w:right w:val="none" w:sz="0" w:space="0" w:color="auto"/>
      </w:divBdr>
    </w:div>
    <w:div w:id="1627735456">
      <w:bodyDiv w:val="1"/>
      <w:marLeft w:val="0"/>
      <w:marRight w:val="0"/>
      <w:marTop w:val="0"/>
      <w:marBottom w:val="0"/>
      <w:divBdr>
        <w:top w:val="none" w:sz="0" w:space="0" w:color="auto"/>
        <w:left w:val="none" w:sz="0" w:space="0" w:color="auto"/>
        <w:bottom w:val="none" w:sz="0" w:space="0" w:color="auto"/>
        <w:right w:val="none" w:sz="0" w:space="0" w:color="auto"/>
      </w:divBdr>
    </w:div>
    <w:div w:id="1640381770">
      <w:bodyDiv w:val="1"/>
      <w:marLeft w:val="0"/>
      <w:marRight w:val="0"/>
      <w:marTop w:val="0"/>
      <w:marBottom w:val="0"/>
      <w:divBdr>
        <w:top w:val="none" w:sz="0" w:space="0" w:color="auto"/>
        <w:left w:val="none" w:sz="0" w:space="0" w:color="auto"/>
        <w:bottom w:val="none" w:sz="0" w:space="0" w:color="auto"/>
        <w:right w:val="none" w:sz="0" w:space="0" w:color="auto"/>
      </w:divBdr>
      <w:divsChild>
        <w:div w:id="1062412720">
          <w:marLeft w:val="0"/>
          <w:marRight w:val="0"/>
          <w:marTop w:val="0"/>
          <w:marBottom w:val="0"/>
          <w:divBdr>
            <w:top w:val="none" w:sz="0" w:space="0" w:color="auto"/>
            <w:left w:val="none" w:sz="0" w:space="0" w:color="auto"/>
            <w:bottom w:val="none" w:sz="0" w:space="0" w:color="auto"/>
            <w:right w:val="none" w:sz="0" w:space="0" w:color="auto"/>
          </w:divBdr>
          <w:divsChild>
            <w:div w:id="1170370396">
              <w:marLeft w:val="0"/>
              <w:marRight w:val="0"/>
              <w:marTop w:val="0"/>
              <w:marBottom w:val="0"/>
              <w:divBdr>
                <w:top w:val="none" w:sz="0" w:space="0" w:color="auto"/>
                <w:left w:val="none" w:sz="0" w:space="0" w:color="auto"/>
                <w:bottom w:val="none" w:sz="0" w:space="0" w:color="auto"/>
                <w:right w:val="none" w:sz="0" w:space="0" w:color="auto"/>
              </w:divBdr>
              <w:divsChild>
                <w:div w:id="1142693034">
                  <w:marLeft w:val="0"/>
                  <w:marRight w:val="0"/>
                  <w:marTop w:val="0"/>
                  <w:marBottom w:val="0"/>
                  <w:divBdr>
                    <w:top w:val="none" w:sz="0" w:space="0" w:color="auto"/>
                    <w:left w:val="none" w:sz="0" w:space="0" w:color="auto"/>
                    <w:bottom w:val="none" w:sz="0" w:space="0" w:color="auto"/>
                    <w:right w:val="none" w:sz="0" w:space="0" w:color="auto"/>
                  </w:divBdr>
                  <w:divsChild>
                    <w:div w:id="955332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6395981">
      <w:bodyDiv w:val="1"/>
      <w:marLeft w:val="0"/>
      <w:marRight w:val="0"/>
      <w:marTop w:val="0"/>
      <w:marBottom w:val="0"/>
      <w:divBdr>
        <w:top w:val="none" w:sz="0" w:space="0" w:color="auto"/>
        <w:left w:val="none" w:sz="0" w:space="0" w:color="auto"/>
        <w:bottom w:val="none" w:sz="0" w:space="0" w:color="auto"/>
        <w:right w:val="none" w:sz="0" w:space="0" w:color="auto"/>
      </w:divBdr>
    </w:div>
    <w:div w:id="1658027276">
      <w:bodyDiv w:val="1"/>
      <w:marLeft w:val="0"/>
      <w:marRight w:val="0"/>
      <w:marTop w:val="0"/>
      <w:marBottom w:val="0"/>
      <w:divBdr>
        <w:top w:val="none" w:sz="0" w:space="0" w:color="auto"/>
        <w:left w:val="none" w:sz="0" w:space="0" w:color="auto"/>
        <w:bottom w:val="none" w:sz="0" w:space="0" w:color="auto"/>
        <w:right w:val="none" w:sz="0" w:space="0" w:color="auto"/>
      </w:divBdr>
    </w:div>
    <w:div w:id="1661037553">
      <w:bodyDiv w:val="1"/>
      <w:marLeft w:val="0"/>
      <w:marRight w:val="0"/>
      <w:marTop w:val="0"/>
      <w:marBottom w:val="0"/>
      <w:divBdr>
        <w:top w:val="none" w:sz="0" w:space="0" w:color="auto"/>
        <w:left w:val="none" w:sz="0" w:space="0" w:color="auto"/>
        <w:bottom w:val="none" w:sz="0" w:space="0" w:color="auto"/>
        <w:right w:val="none" w:sz="0" w:space="0" w:color="auto"/>
      </w:divBdr>
    </w:div>
    <w:div w:id="1662537683">
      <w:bodyDiv w:val="1"/>
      <w:marLeft w:val="0"/>
      <w:marRight w:val="0"/>
      <w:marTop w:val="0"/>
      <w:marBottom w:val="0"/>
      <w:divBdr>
        <w:top w:val="none" w:sz="0" w:space="0" w:color="auto"/>
        <w:left w:val="none" w:sz="0" w:space="0" w:color="auto"/>
        <w:bottom w:val="none" w:sz="0" w:space="0" w:color="auto"/>
        <w:right w:val="none" w:sz="0" w:space="0" w:color="auto"/>
      </w:divBdr>
    </w:div>
    <w:div w:id="1676104541">
      <w:bodyDiv w:val="1"/>
      <w:marLeft w:val="0"/>
      <w:marRight w:val="0"/>
      <w:marTop w:val="0"/>
      <w:marBottom w:val="0"/>
      <w:divBdr>
        <w:top w:val="none" w:sz="0" w:space="0" w:color="auto"/>
        <w:left w:val="none" w:sz="0" w:space="0" w:color="auto"/>
        <w:bottom w:val="none" w:sz="0" w:space="0" w:color="auto"/>
        <w:right w:val="none" w:sz="0" w:space="0" w:color="auto"/>
      </w:divBdr>
    </w:div>
    <w:div w:id="1677803638">
      <w:bodyDiv w:val="1"/>
      <w:marLeft w:val="0"/>
      <w:marRight w:val="0"/>
      <w:marTop w:val="0"/>
      <w:marBottom w:val="0"/>
      <w:divBdr>
        <w:top w:val="none" w:sz="0" w:space="0" w:color="auto"/>
        <w:left w:val="none" w:sz="0" w:space="0" w:color="auto"/>
        <w:bottom w:val="none" w:sz="0" w:space="0" w:color="auto"/>
        <w:right w:val="none" w:sz="0" w:space="0" w:color="auto"/>
      </w:divBdr>
    </w:div>
    <w:div w:id="1686708605">
      <w:bodyDiv w:val="1"/>
      <w:marLeft w:val="0"/>
      <w:marRight w:val="0"/>
      <w:marTop w:val="0"/>
      <w:marBottom w:val="0"/>
      <w:divBdr>
        <w:top w:val="none" w:sz="0" w:space="0" w:color="auto"/>
        <w:left w:val="none" w:sz="0" w:space="0" w:color="auto"/>
        <w:bottom w:val="none" w:sz="0" w:space="0" w:color="auto"/>
        <w:right w:val="none" w:sz="0" w:space="0" w:color="auto"/>
      </w:divBdr>
    </w:div>
    <w:div w:id="1695114957">
      <w:bodyDiv w:val="1"/>
      <w:marLeft w:val="0"/>
      <w:marRight w:val="0"/>
      <w:marTop w:val="0"/>
      <w:marBottom w:val="0"/>
      <w:divBdr>
        <w:top w:val="none" w:sz="0" w:space="0" w:color="auto"/>
        <w:left w:val="none" w:sz="0" w:space="0" w:color="auto"/>
        <w:bottom w:val="none" w:sz="0" w:space="0" w:color="auto"/>
        <w:right w:val="none" w:sz="0" w:space="0" w:color="auto"/>
      </w:divBdr>
    </w:div>
    <w:div w:id="1696418799">
      <w:bodyDiv w:val="1"/>
      <w:marLeft w:val="0"/>
      <w:marRight w:val="0"/>
      <w:marTop w:val="0"/>
      <w:marBottom w:val="0"/>
      <w:divBdr>
        <w:top w:val="none" w:sz="0" w:space="0" w:color="auto"/>
        <w:left w:val="none" w:sz="0" w:space="0" w:color="auto"/>
        <w:bottom w:val="none" w:sz="0" w:space="0" w:color="auto"/>
        <w:right w:val="none" w:sz="0" w:space="0" w:color="auto"/>
      </w:divBdr>
    </w:div>
    <w:div w:id="1699309261">
      <w:bodyDiv w:val="1"/>
      <w:marLeft w:val="0"/>
      <w:marRight w:val="0"/>
      <w:marTop w:val="0"/>
      <w:marBottom w:val="0"/>
      <w:divBdr>
        <w:top w:val="none" w:sz="0" w:space="0" w:color="auto"/>
        <w:left w:val="none" w:sz="0" w:space="0" w:color="auto"/>
        <w:bottom w:val="none" w:sz="0" w:space="0" w:color="auto"/>
        <w:right w:val="none" w:sz="0" w:space="0" w:color="auto"/>
      </w:divBdr>
      <w:divsChild>
        <w:div w:id="49155790">
          <w:marLeft w:val="0"/>
          <w:marRight w:val="0"/>
          <w:marTop w:val="0"/>
          <w:marBottom w:val="0"/>
          <w:divBdr>
            <w:top w:val="none" w:sz="0" w:space="0" w:color="auto"/>
            <w:left w:val="none" w:sz="0" w:space="0" w:color="auto"/>
            <w:bottom w:val="none" w:sz="0" w:space="0" w:color="auto"/>
            <w:right w:val="none" w:sz="0" w:space="0" w:color="auto"/>
          </w:divBdr>
        </w:div>
        <w:div w:id="61605767">
          <w:marLeft w:val="0"/>
          <w:marRight w:val="0"/>
          <w:marTop w:val="0"/>
          <w:marBottom w:val="0"/>
          <w:divBdr>
            <w:top w:val="none" w:sz="0" w:space="0" w:color="auto"/>
            <w:left w:val="none" w:sz="0" w:space="0" w:color="auto"/>
            <w:bottom w:val="none" w:sz="0" w:space="0" w:color="auto"/>
            <w:right w:val="none" w:sz="0" w:space="0" w:color="auto"/>
          </w:divBdr>
        </w:div>
        <w:div w:id="1204562006">
          <w:marLeft w:val="0"/>
          <w:marRight w:val="0"/>
          <w:marTop w:val="0"/>
          <w:marBottom w:val="0"/>
          <w:divBdr>
            <w:top w:val="none" w:sz="0" w:space="0" w:color="auto"/>
            <w:left w:val="none" w:sz="0" w:space="0" w:color="auto"/>
            <w:bottom w:val="none" w:sz="0" w:space="0" w:color="auto"/>
            <w:right w:val="none" w:sz="0" w:space="0" w:color="auto"/>
          </w:divBdr>
        </w:div>
        <w:div w:id="99838859">
          <w:marLeft w:val="0"/>
          <w:marRight w:val="0"/>
          <w:marTop w:val="0"/>
          <w:marBottom w:val="0"/>
          <w:divBdr>
            <w:top w:val="none" w:sz="0" w:space="0" w:color="auto"/>
            <w:left w:val="none" w:sz="0" w:space="0" w:color="auto"/>
            <w:bottom w:val="none" w:sz="0" w:space="0" w:color="auto"/>
            <w:right w:val="none" w:sz="0" w:space="0" w:color="auto"/>
          </w:divBdr>
        </w:div>
        <w:div w:id="1508212349">
          <w:marLeft w:val="0"/>
          <w:marRight w:val="0"/>
          <w:marTop w:val="0"/>
          <w:marBottom w:val="0"/>
          <w:divBdr>
            <w:top w:val="none" w:sz="0" w:space="0" w:color="auto"/>
            <w:left w:val="none" w:sz="0" w:space="0" w:color="auto"/>
            <w:bottom w:val="none" w:sz="0" w:space="0" w:color="auto"/>
            <w:right w:val="none" w:sz="0" w:space="0" w:color="auto"/>
          </w:divBdr>
        </w:div>
        <w:div w:id="697050822">
          <w:marLeft w:val="0"/>
          <w:marRight w:val="0"/>
          <w:marTop w:val="0"/>
          <w:marBottom w:val="0"/>
          <w:divBdr>
            <w:top w:val="none" w:sz="0" w:space="0" w:color="auto"/>
            <w:left w:val="none" w:sz="0" w:space="0" w:color="auto"/>
            <w:bottom w:val="none" w:sz="0" w:space="0" w:color="auto"/>
            <w:right w:val="none" w:sz="0" w:space="0" w:color="auto"/>
          </w:divBdr>
        </w:div>
        <w:div w:id="468282290">
          <w:marLeft w:val="0"/>
          <w:marRight w:val="0"/>
          <w:marTop w:val="0"/>
          <w:marBottom w:val="0"/>
          <w:divBdr>
            <w:top w:val="none" w:sz="0" w:space="0" w:color="auto"/>
            <w:left w:val="none" w:sz="0" w:space="0" w:color="auto"/>
            <w:bottom w:val="none" w:sz="0" w:space="0" w:color="auto"/>
            <w:right w:val="none" w:sz="0" w:space="0" w:color="auto"/>
          </w:divBdr>
        </w:div>
        <w:div w:id="1156186221">
          <w:marLeft w:val="0"/>
          <w:marRight w:val="0"/>
          <w:marTop w:val="0"/>
          <w:marBottom w:val="0"/>
          <w:divBdr>
            <w:top w:val="none" w:sz="0" w:space="0" w:color="auto"/>
            <w:left w:val="none" w:sz="0" w:space="0" w:color="auto"/>
            <w:bottom w:val="none" w:sz="0" w:space="0" w:color="auto"/>
            <w:right w:val="none" w:sz="0" w:space="0" w:color="auto"/>
          </w:divBdr>
        </w:div>
        <w:div w:id="1479225221">
          <w:marLeft w:val="0"/>
          <w:marRight w:val="0"/>
          <w:marTop w:val="0"/>
          <w:marBottom w:val="0"/>
          <w:divBdr>
            <w:top w:val="none" w:sz="0" w:space="0" w:color="auto"/>
            <w:left w:val="none" w:sz="0" w:space="0" w:color="auto"/>
            <w:bottom w:val="none" w:sz="0" w:space="0" w:color="auto"/>
            <w:right w:val="none" w:sz="0" w:space="0" w:color="auto"/>
          </w:divBdr>
        </w:div>
        <w:div w:id="554896857">
          <w:marLeft w:val="0"/>
          <w:marRight w:val="0"/>
          <w:marTop w:val="0"/>
          <w:marBottom w:val="0"/>
          <w:divBdr>
            <w:top w:val="none" w:sz="0" w:space="0" w:color="auto"/>
            <w:left w:val="none" w:sz="0" w:space="0" w:color="auto"/>
            <w:bottom w:val="none" w:sz="0" w:space="0" w:color="auto"/>
            <w:right w:val="none" w:sz="0" w:space="0" w:color="auto"/>
          </w:divBdr>
        </w:div>
        <w:div w:id="1322924310">
          <w:marLeft w:val="0"/>
          <w:marRight w:val="0"/>
          <w:marTop w:val="0"/>
          <w:marBottom w:val="0"/>
          <w:divBdr>
            <w:top w:val="none" w:sz="0" w:space="0" w:color="auto"/>
            <w:left w:val="none" w:sz="0" w:space="0" w:color="auto"/>
            <w:bottom w:val="none" w:sz="0" w:space="0" w:color="auto"/>
            <w:right w:val="none" w:sz="0" w:space="0" w:color="auto"/>
          </w:divBdr>
        </w:div>
        <w:div w:id="1379668816">
          <w:marLeft w:val="0"/>
          <w:marRight w:val="0"/>
          <w:marTop w:val="0"/>
          <w:marBottom w:val="0"/>
          <w:divBdr>
            <w:top w:val="none" w:sz="0" w:space="0" w:color="auto"/>
            <w:left w:val="none" w:sz="0" w:space="0" w:color="auto"/>
            <w:bottom w:val="none" w:sz="0" w:space="0" w:color="auto"/>
            <w:right w:val="none" w:sz="0" w:space="0" w:color="auto"/>
          </w:divBdr>
          <w:divsChild>
            <w:div w:id="258952796">
              <w:marLeft w:val="0"/>
              <w:marRight w:val="0"/>
              <w:marTop w:val="0"/>
              <w:marBottom w:val="0"/>
              <w:divBdr>
                <w:top w:val="none" w:sz="0" w:space="0" w:color="auto"/>
                <w:left w:val="none" w:sz="0" w:space="0" w:color="auto"/>
                <w:bottom w:val="none" w:sz="0" w:space="0" w:color="auto"/>
                <w:right w:val="none" w:sz="0" w:space="0" w:color="auto"/>
              </w:divBdr>
            </w:div>
            <w:div w:id="1319922405">
              <w:marLeft w:val="0"/>
              <w:marRight w:val="0"/>
              <w:marTop w:val="0"/>
              <w:marBottom w:val="0"/>
              <w:divBdr>
                <w:top w:val="none" w:sz="0" w:space="0" w:color="auto"/>
                <w:left w:val="none" w:sz="0" w:space="0" w:color="auto"/>
                <w:bottom w:val="none" w:sz="0" w:space="0" w:color="auto"/>
                <w:right w:val="none" w:sz="0" w:space="0" w:color="auto"/>
              </w:divBdr>
            </w:div>
            <w:div w:id="139924342">
              <w:marLeft w:val="0"/>
              <w:marRight w:val="0"/>
              <w:marTop w:val="0"/>
              <w:marBottom w:val="0"/>
              <w:divBdr>
                <w:top w:val="none" w:sz="0" w:space="0" w:color="auto"/>
                <w:left w:val="none" w:sz="0" w:space="0" w:color="auto"/>
                <w:bottom w:val="none" w:sz="0" w:space="0" w:color="auto"/>
                <w:right w:val="none" w:sz="0" w:space="0" w:color="auto"/>
              </w:divBdr>
            </w:div>
            <w:div w:id="294458136">
              <w:marLeft w:val="0"/>
              <w:marRight w:val="0"/>
              <w:marTop w:val="0"/>
              <w:marBottom w:val="0"/>
              <w:divBdr>
                <w:top w:val="none" w:sz="0" w:space="0" w:color="auto"/>
                <w:left w:val="none" w:sz="0" w:space="0" w:color="auto"/>
                <w:bottom w:val="none" w:sz="0" w:space="0" w:color="auto"/>
                <w:right w:val="none" w:sz="0" w:space="0" w:color="auto"/>
              </w:divBdr>
            </w:div>
            <w:div w:id="351732758">
              <w:marLeft w:val="0"/>
              <w:marRight w:val="0"/>
              <w:marTop w:val="0"/>
              <w:marBottom w:val="0"/>
              <w:divBdr>
                <w:top w:val="none" w:sz="0" w:space="0" w:color="auto"/>
                <w:left w:val="none" w:sz="0" w:space="0" w:color="auto"/>
                <w:bottom w:val="none" w:sz="0" w:space="0" w:color="auto"/>
                <w:right w:val="none" w:sz="0" w:space="0" w:color="auto"/>
              </w:divBdr>
            </w:div>
            <w:div w:id="928000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072321">
      <w:bodyDiv w:val="1"/>
      <w:marLeft w:val="0"/>
      <w:marRight w:val="0"/>
      <w:marTop w:val="0"/>
      <w:marBottom w:val="0"/>
      <w:divBdr>
        <w:top w:val="none" w:sz="0" w:space="0" w:color="auto"/>
        <w:left w:val="none" w:sz="0" w:space="0" w:color="auto"/>
        <w:bottom w:val="none" w:sz="0" w:space="0" w:color="auto"/>
        <w:right w:val="none" w:sz="0" w:space="0" w:color="auto"/>
      </w:divBdr>
    </w:div>
    <w:div w:id="1719355292">
      <w:bodyDiv w:val="1"/>
      <w:marLeft w:val="0"/>
      <w:marRight w:val="0"/>
      <w:marTop w:val="0"/>
      <w:marBottom w:val="0"/>
      <w:divBdr>
        <w:top w:val="none" w:sz="0" w:space="0" w:color="auto"/>
        <w:left w:val="none" w:sz="0" w:space="0" w:color="auto"/>
        <w:bottom w:val="none" w:sz="0" w:space="0" w:color="auto"/>
        <w:right w:val="none" w:sz="0" w:space="0" w:color="auto"/>
      </w:divBdr>
    </w:div>
    <w:div w:id="1723167071">
      <w:bodyDiv w:val="1"/>
      <w:marLeft w:val="0"/>
      <w:marRight w:val="0"/>
      <w:marTop w:val="0"/>
      <w:marBottom w:val="0"/>
      <w:divBdr>
        <w:top w:val="none" w:sz="0" w:space="0" w:color="auto"/>
        <w:left w:val="none" w:sz="0" w:space="0" w:color="auto"/>
        <w:bottom w:val="none" w:sz="0" w:space="0" w:color="auto"/>
        <w:right w:val="none" w:sz="0" w:space="0" w:color="auto"/>
      </w:divBdr>
    </w:div>
    <w:div w:id="1725911871">
      <w:bodyDiv w:val="1"/>
      <w:marLeft w:val="0"/>
      <w:marRight w:val="0"/>
      <w:marTop w:val="0"/>
      <w:marBottom w:val="0"/>
      <w:divBdr>
        <w:top w:val="none" w:sz="0" w:space="0" w:color="auto"/>
        <w:left w:val="none" w:sz="0" w:space="0" w:color="auto"/>
        <w:bottom w:val="none" w:sz="0" w:space="0" w:color="auto"/>
        <w:right w:val="none" w:sz="0" w:space="0" w:color="auto"/>
      </w:divBdr>
    </w:div>
    <w:div w:id="1730305638">
      <w:bodyDiv w:val="1"/>
      <w:marLeft w:val="0"/>
      <w:marRight w:val="0"/>
      <w:marTop w:val="0"/>
      <w:marBottom w:val="0"/>
      <w:divBdr>
        <w:top w:val="none" w:sz="0" w:space="0" w:color="auto"/>
        <w:left w:val="none" w:sz="0" w:space="0" w:color="auto"/>
        <w:bottom w:val="none" w:sz="0" w:space="0" w:color="auto"/>
        <w:right w:val="none" w:sz="0" w:space="0" w:color="auto"/>
      </w:divBdr>
    </w:div>
    <w:div w:id="1740060056">
      <w:bodyDiv w:val="1"/>
      <w:marLeft w:val="0"/>
      <w:marRight w:val="0"/>
      <w:marTop w:val="0"/>
      <w:marBottom w:val="0"/>
      <w:divBdr>
        <w:top w:val="none" w:sz="0" w:space="0" w:color="auto"/>
        <w:left w:val="none" w:sz="0" w:space="0" w:color="auto"/>
        <w:bottom w:val="none" w:sz="0" w:space="0" w:color="auto"/>
        <w:right w:val="none" w:sz="0" w:space="0" w:color="auto"/>
      </w:divBdr>
    </w:div>
    <w:div w:id="1763064628">
      <w:bodyDiv w:val="1"/>
      <w:marLeft w:val="0"/>
      <w:marRight w:val="0"/>
      <w:marTop w:val="0"/>
      <w:marBottom w:val="0"/>
      <w:divBdr>
        <w:top w:val="none" w:sz="0" w:space="0" w:color="auto"/>
        <w:left w:val="none" w:sz="0" w:space="0" w:color="auto"/>
        <w:bottom w:val="none" w:sz="0" w:space="0" w:color="auto"/>
        <w:right w:val="none" w:sz="0" w:space="0" w:color="auto"/>
      </w:divBdr>
    </w:div>
    <w:div w:id="1768117168">
      <w:bodyDiv w:val="1"/>
      <w:marLeft w:val="0"/>
      <w:marRight w:val="0"/>
      <w:marTop w:val="0"/>
      <w:marBottom w:val="0"/>
      <w:divBdr>
        <w:top w:val="none" w:sz="0" w:space="0" w:color="auto"/>
        <w:left w:val="none" w:sz="0" w:space="0" w:color="auto"/>
        <w:bottom w:val="none" w:sz="0" w:space="0" w:color="auto"/>
        <w:right w:val="none" w:sz="0" w:space="0" w:color="auto"/>
      </w:divBdr>
      <w:divsChild>
        <w:div w:id="390735324">
          <w:marLeft w:val="0"/>
          <w:marRight w:val="0"/>
          <w:marTop w:val="0"/>
          <w:marBottom w:val="0"/>
          <w:divBdr>
            <w:top w:val="none" w:sz="0" w:space="0" w:color="auto"/>
            <w:left w:val="none" w:sz="0" w:space="0" w:color="auto"/>
            <w:bottom w:val="none" w:sz="0" w:space="0" w:color="auto"/>
            <w:right w:val="none" w:sz="0" w:space="0" w:color="auto"/>
          </w:divBdr>
          <w:divsChild>
            <w:div w:id="1250307359">
              <w:marLeft w:val="0"/>
              <w:marRight w:val="0"/>
              <w:marTop w:val="0"/>
              <w:marBottom w:val="0"/>
              <w:divBdr>
                <w:top w:val="none" w:sz="0" w:space="0" w:color="auto"/>
                <w:left w:val="none" w:sz="0" w:space="0" w:color="auto"/>
                <w:bottom w:val="none" w:sz="0" w:space="0" w:color="auto"/>
                <w:right w:val="none" w:sz="0" w:space="0" w:color="auto"/>
              </w:divBdr>
              <w:divsChild>
                <w:div w:id="1462576246">
                  <w:marLeft w:val="0"/>
                  <w:marRight w:val="0"/>
                  <w:marTop w:val="0"/>
                  <w:marBottom w:val="0"/>
                  <w:divBdr>
                    <w:top w:val="none" w:sz="0" w:space="0" w:color="auto"/>
                    <w:left w:val="none" w:sz="0" w:space="0" w:color="auto"/>
                    <w:bottom w:val="none" w:sz="0" w:space="0" w:color="auto"/>
                    <w:right w:val="none" w:sz="0" w:space="0" w:color="auto"/>
                  </w:divBdr>
                  <w:divsChild>
                    <w:div w:id="775831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7670519">
      <w:bodyDiv w:val="1"/>
      <w:marLeft w:val="0"/>
      <w:marRight w:val="0"/>
      <w:marTop w:val="0"/>
      <w:marBottom w:val="0"/>
      <w:divBdr>
        <w:top w:val="none" w:sz="0" w:space="0" w:color="auto"/>
        <w:left w:val="none" w:sz="0" w:space="0" w:color="auto"/>
        <w:bottom w:val="none" w:sz="0" w:space="0" w:color="auto"/>
        <w:right w:val="none" w:sz="0" w:space="0" w:color="auto"/>
      </w:divBdr>
      <w:divsChild>
        <w:div w:id="1409115302">
          <w:marLeft w:val="0"/>
          <w:marRight w:val="0"/>
          <w:marTop w:val="0"/>
          <w:marBottom w:val="0"/>
          <w:divBdr>
            <w:top w:val="none" w:sz="0" w:space="0" w:color="auto"/>
            <w:left w:val="none" w:sz="0" w:space="0" w:color="auto"/>
            <w:bottom w:val="none" w:sz="0" w:space="0" w:color="auto"/>
            <w:right w:val="none" w:sz="0" w:space="0" w:color="auto"/>
          </w:divBdr>
          <w:divsChild>
            <w:div w:id="409740510">
              <w:marLeft w:val="0"/>
              <w:marRight w:val="0"/>
              <w:marTop w:val="0"/>
              <w:marBottom w:val="0"/>
              <w:divBdr>
                <w:top w:val="none" w:sz="0" w:space="0" w:color="auto"/>
                <w:left w:val="none" w:sz="0" w:space="0" w:color="auto"/>
                <w:bottom w:val="none" w:sz="0" w:space="0" w:color="auto"/>
                <w:right w:val="none" w:sz="0" w:space="0" w:color="auto"/>
              </w:divBdr>
            </w:div>
            <w:div w:id="1994261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2086599">
      <w:bodyDiv w:val="1"/>
      <w:marLeft w:val="0"/>
      <w:marRight w:val="0"/>
      <w:marTop w:val="0"/>
      <w:marBottom w:val="0"/>
      <w:divBdr>
        <w:top w:val="none" w:sz="0" w:space="0" w:color="auto"/>
        <w:left w:val="none" w:sz="0" w:space="0" w:color="auto"/>
        <w:bottom w:val="none" w:sz="0" w:space="0" w:color="auto"/>
        <w:right w:val="none" w:sz="0" w:space="0" w:color="auto"/>
      </w:divBdr>
    </w:div>
    <w:div w:id="1798525125">
      <w:bodyDiv w:val="1"/>
      <w:marLeft w:val="0"/>
      <w:marRight w:val="0"/>
      <w:marTop w:val="0"/>
      <w:marBottom w:val="0"/>
      <w:divBdr>
        <w:top w:val="none" w:sz="0" w:space="0" w:color="auto"/>
        <w:left w:val="none" w:sz="0" w:space="0" w:color="auto"/>
        <w:bottom w:val="none" w:sz="0" w:space="0" w:color="auto"/>
        <w:right w:val="none" w:sz="0" w:space="0" w:color="auto"/>
      </w:divBdr>
    </w:div>
    <w:div w:id="1806503978">
      <w:bodyDiv w:val="1"/>
      <w:marLeft w:val="0"/>
      <w:marRight w:val="0"/>
      <w:marTop w:val="0"/>
      <w:marBottom w:val="0"/>
      <w:divBdr>
        <w:top w:val="none" w:sz="0" w:space="0" w:color="auto"/>
        <w:left w:val="none" w:sz="0" w:space="0" w:color="auto"/>
        <w:bottom w:val="none" w:sz="0" w:space="0" w:color="auto"/>
        <w:right w:val="none" w:sz="0" w:space="0" w:color="auto"/>
      </w:divBdr>
    </w:div>
    <w:div w:id="1808664058">
      <w:bodyDiv w:val="1"/>
      <w:marLeft w:val="0"/>
      <w:marRight w:val="0"/>
      <w:marTop w:val="0"/>
      <w:marBottom w:val="0"/>
      <w:divBdr>
        <w:top w:val="none" w:sz="0" w:space="0" w:color="auto"/>
        <w:left w:val="none" w:sz="0" w:space="0" w:color="auto"/>
        <w:bottom w:val="none" w:sz="0" w:space="0" w:color="auto"/>
        <w:right w:val="none" w:sz="0" w:space="0" w:color="auto"/>
      </w:divBdr>
    </w:div>
    <w:div w:id="1811752339">
      <w:bodyDiv w:val="1"/>
      <w:marLeft w:val="0"/>
      <w:marRight w:val="0"/>
      <w:marTop w:val="0"/>
      <w:marBottom w:val="0"/>
      <w:divBdr>
        <w:top w:val="none" w:sz="0" w:space="0" w:color="auto"/>
        <w:left w:val="none" w:sz="0" w:space="0" w:color="auto"/>
        <w:bottom w:val="none" w:sz="0" w:space="0" w:color="auto"/>
        <w:right w:val="none" w:sz="0" w:space="0" w:color="auto"/>
      </w:divBdr>
    </w:div>
    <w:div w:id="1813790686">
      <w:bodyDiv w:val="1"/>
      <w:marLeft w:val="0"/>
      <w:marRight w:val="0"/>
      <w:marTop w:val="0"/>
      <w:marBottom w:val="0"/>
      <w:divBdr>
        <w:top w:val="none" w:sz="0" w:space="0" w:color="auto"/>
        <w:left w:val="none" w:sz="0" w:space="0" w:color="auto"/>
        <w:bottom w:val="none" w:sz="0" w:space="0" w:color="auto"/>
        <w:right w:val="none" w:sz="0" w:space="0" w:color="auto"/>
      </w:divBdr>
    </w:div>
    <w:div w:id="1823693036">
      <w:bodyDiv w:val="1"/>
      <w:marLeft w:val="0"/>
      <w:marRight w:val="0"/>
      <w:marTop w:val="0"/>
      <w:marBottom w:val="0"/>
      <w:divBdr>
        <w:top w:val="none" w:sz="0" w:space="0" w:color="auto"/>
        <w:left w:val="none" w:sz="0" w:space="0" w:color="auto"/>
        <w:bottom w:val="none" w:sz="0" w:space="0" w:color="auto"/>
        <w:right w:val="none" w:sz="0" w:space="0" w:color="auto"/>
      </w:divBdr>
    </w:div>
    <w:div w:id="1834027268">
      <w:bodyDiv w:val="1"/>
      <w:marLeft w:val="0"/>
      <w:marRight w:val="0"/>
      <w:marTop w:val="0"/>
      <w:marBottom w:val="0"/>
      <w:divBdr>
        <w:top w:val="none" w:sz="0" w:space="0" w:color="auto"/>
        <w:left w:val="none" w:sz="0" w:space="0" w:color="auto"/>
        <w:bottom w:val="none" w:sz="0" w:space="0" w:color="auto"/>
        <w:right w:val="none" w:sz="0" w:space="0" w:color="auto"/>
      </w:divBdr>
      <w:divsChild>
        <w:div w:id="1686783447">
          <w:marLeft w:val="0"/>
          <w:marRight w:val="0"/>
          <w:marTop w:val="0"/>
          <w:marBottom w:val="0"/>
          <w:divBdr>
            <w:top w:val="none" w:sz="0" w:space="0" w:color="auto"/>
            <w:left w:val="none" w:sz="0" w:space="0" w:color="auto"/>
            <w:bottom w:val="none" w:sz="0" w:space="0" w:color="auto"/>
            <w:right w:val="none" w:sz="0" w:space="0" w:color="auto"/>
          </w:divBdr>
          <w:divsChild>
            <w:div w:id="369959757">
              <w:marLeft w:val="0"/>
              <w:marRight w:val="0"/>
              <w:marTop w:val="0"/>
              <w:marBottom w:val="0"/>
              <w:divBdr>
                <w:top w:val="none" w:sz="0" w:space="0" w:color="auto"/>
                <w:left w:val="none" w:sz="0" w:space="0" w:color="auto"/>
                <w:bottom w:val="none" w:sz="0" w:space="0" w:color="auto"/>
                <w:right w:val="none" w:sz="0" w:space="0" w:color="auto"/>
              </w:divBdr>
              <w:divsChild>
                <w:div w:id="466246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2810420">
      <w:bodyDiv w:val="1"/>
      <w:marLeft w:val="0"/>
      <w:marRight w:val="0"/>
      <w:marTop w:val="0"/>
      <w:marBottom w:val="0"/>
      <w:divBdr>
        <w:top w:val="none" w:sz="0" w:space="0" w:color="auto"/>
        <w:left w:val="none" w:sz="0" w:space="0" w:color="auto"/>
        <w:bottom w:val="none" w:sz="0" w:space="0" w:color="auto"/>
        <w:right w:val="none" w:sz="0" w:space="0" w:color="auto"/>
      </w:divBdr>
    </w:div>
    <w:div w:id="1845901462">
      <w:bodyDiv w:val="1"/>
      <w:marLeft w:val="0"/>
      <w:marRight w:val="0"/>
      <w:marTop w:val="0"/>
      <w:marBottom w:val="0"/>
      <w:divBdr>
        <w:top w:val="none" w:sz="0" w:space="0" w:color="auto"/>
        <w:left w:val="none" w:sz="0" w:space="0" w:color="auto"/>
        <w:bottom w:val="none" w:sz="0" w:space="0" w:color="auto"/>
        <w:right w:val="none" w:sz="0" w:space="0" w:color="auto"/>
      </w:divBdr>
    </w:div>
    <w:div w:id="1857767044">
      <w:bodyDiv w:val="1"/>
      <w:marLeft w:val="0"/>
      <w:marRight w:val="0"/>
      <w:marTop w:val="0"/>
      <w:marBottom w:val="0"/>
      <w:divBdr>
        <w:top w:val="none" w:sz="0" w:space="0" w:color="auto"/>
        <w:left w:val="none" w:sz="0" w:space="0" w:color="auto"/>
        <w:bottom w:val="none" w:sz="0" w:space="0" w:color="auto"/>
        <w:right w:val="none" w:sz="0" w:space="0" w:color="auto"/>
      </w:divBdr>
    </w:div>
    <w:div w:id="1866940184">
      <w:bodyDiv w:val="1"/>
      <w:marLeft w:val="0"/>
      <w:marRight w:val="0"/>
      <w:marTop w:val="0"/>
      <w:marBottom w:val="0"/>
      <w:divBdr>
        <w:top w:val="none" w:sz="0" w:space="0" w:color="auto"/>
        <w:left w:val="none" w:sz="0" w:space="0" w:color="auto"/>
        <w:bottom w:val="none" w:sz="0" w:space="0" w:color="auto"/>
        <w:right w:val="none" w:sz="0" w:space="0" w:color="auto"/>
      </w:divBdr>
    </w:div>
    <w:div w:id="1867523954">
      <w:bodyDiv w:val="1"/>
      <w:marLeft w:val="0"/>
      <w:marRight w:val="0"/>
      <w:marTop w:val="0"/>
      <w:marBottom w:val="0"/>
      <w:divBdr>
        <w:top w:val="none" w:sz="0" w:space="0" w:color="auto"/>
        <w:left w:val="none" w:sz="0" w:space="0" w:color="auto"/>
        <w:bottom w:val="none" w:sz="0" w:space="0" w:color="auto"/>
        <w:right w:val="none" w:sz="0" w:space="0" w:color="auto"/>
      </w:divBdr>
      <w:divsChild>
        <w:div w:id="1252204489">
          <w:marLeft w:val="0"/>
          <w:marRight w:val="0"/>
          <w:marTop w:val="0"/>
          <w:marBottom w:val="0"/>
          <w:divBdr>
            <w:top w:val="none" w:sz="0" w:space="0" w:color="auto"/>
            <w:left w:val="none" w:sz="0" w:space="0" w:color="auto"/>
            <w:bottom w:val="none" w:sz="0" w:space="0" w:color="auto"/>
            <w:right w:val="none" w:sz="0" w:space="0" w:color="auto"/>
          </w:divBdr>
        </w:div>
        <w:div w:id="494733641">
          <w:marLeft w:val="0"/>
          <w:marRight w:val="0"/>
          <w:marTop w:val="0"/>
          <w:marBottom w:val="0"/>
          <w:divBdr>
            <w:top w:val="none" w:sz="0" w:space="0" w:color="auto"/>
            <w:left w:val="none" w:sz="0" w:space="0" w:color="auto"/>
            <w:bottom w:val="none" w:sz="0" w:space="0" w:color="auto"/>
            <w:right w:val="none" w:sz="0" w:space="0" w:color="auto"/>
          </w:divBdr>
          <w:divsChild>
            <w:div w:id="1764109376">
              <w:marLeft w:val="0"/>
              <w:marRight w:val="0"/>
              <w:marTop w:val="0"/>
              <w:marBottom w:val="0"/>
              <w:divBdr>
                <w:top w:val="none" w:sz="0" w:space="0" w:color="auto"/>
                <w:left w:val="none" w:sz="0" w:space="0" w:color="auto"/>
                <w:bottom w:val="none" w:sz="0" w:space="0" w:color="auto"/>
                <w:right w:val="none" w:sz="0" w:space="0" w:color="auto"/>
              </w:divBdr>
            </w:div>
          </w:divsChild>
        </w:div>
        <w:div w:id="1937667535">
          <w:marLeft w:val="0"/>
          <w:marRight w:val="0"/>
          <w:marTop w:val="0"/>
          <w:marBottom w:val="0"/>
          <w:divBdr>
            <w:top w:val="none" w:sz="0" w:space="0" w:color="auto"/>
            <w:left w:val="none" w:sz="0" w:space="0" w:color="auto"/>
            <w:bottom w:val="none" w:sz="0" w:space="0" w:color="auto"/>
            <w:right w:val="none" w:sz="0" w:space="0" w:color="auto"/>
          </w:divBdr>
          <w:divsChild>
            <w:div w:id="814376730">
              <w:marLeft w:val="0"/>
              <w:marRight w:val="0"/>
              <w:marTop w:val="0"/>
              <w:marBottom w:val="0"/>
              <w:divBdr>
                <w:top w:val="none" w:sz="0" w:space="0" w:color="auto"/>
                <w:left w:val="none" w:sz="0" w:space="0" w:color="auto"/>
                <w:bottom w:val="none" w:sz="0" w:space="0" w:color="auto"/>
                <w:right w:val="none" w:sz="0" w:space="0" w:color="auto"/>
              </w:divBdr>
            </w:div>
          </w:divsChild>
        </w:div>
        <w:div w:id="1550649739">
          <w:marLeft w:val="0"/>
          <w:marRight w:val="0"/>
          <w:marTop w:val="0"/>
          <w:marBottom w:val="0"/>
          <w:divBdr>
            <w:top w:val="none" w:sz="0" w:space="0" w:color="auto"/>
            <w:left w:val="none" w:sz="0" w:space="0" w:color="auto"/>
            <w:bottom w:val="none" w:sz="0" w:space="0" w:color="auto"/>
            <w:right w:val="none" w:sz="0" w:space="0" w:color="auto"/>
          </w:divBdr>
          <w:divsChild>
            <w:div w:id="880629919">
              <w:marLeft w:val="0"/>
              <w:marRight w:val="0"/>
              <w:marTop w:val="0"/>
              <w:marBottom w:val="0"/>
              <w:divBdr>
                <w:top w:val="none" w:sz="0" w:space="0" w:color="auto"/>
                <w:left w:val="none" w:sz="0" w:space="0" w:color="auto"/>
                <w:bottom w:val="none" w:sz="0" w:space="0" w:color="auto"/>
                <w:right w:val="none" w:sz="0" w:space="0" w:color="auto"/>
              </w:divBdr>
            </w:div>
          </w:divsChild>
        </w:div>
        <w:div w:id="327903512">
          <w:marLeft w:val="0"/>
          <w:marRight w:val="0"/>
          <w:marTop w:val="0"/>
          <w:marBottom w:val="0"/>
          <w:divBdr>
            <w:top w:val="none" w:sz="0" w:space="0" w:color="auto"/>
            <w:left w:val="none" w:sz="0" w:space="0" w:color="auto"/>
            <w:bottom w:val="none" w:sz="0" w:space="0" w:color="auto"/>
            <w:right w:val="none" w:sz="0" w:space="0" w:color="auto"/>
          </w:divBdr>
        </w:div>
      </w:divsChild>
    </w:div>
    <w:div w:id="1867600373">
      <w:bodyDiv w:val="1"/>
      <w:marLeft w:val="0"/>
      <w:marRight w:val="0"/>
      <w:marTop w:val="0"/>
      <w:marBottom w:val="0"/>
      <w:divBdr>
        <w:top w:val="none" w:sz="0" w:space="0" w:color="auto"/>
        <w:left w:val="none" w:sz="0" w:space="0" w:color="auto"/>
        <w:bottom w:val="none" w:sz="0" w:space="0" w:color="auto"/>
        <w:right w:val="none" w:sz="0" w:space="0" w:color="auto"/>
      </w:divBdr>
    </w:div>
    <w:div w:id="1867719164">
      <w:bodyDiv w:val="1"/>
      <w:marLeft w:val="0"/>
      <w:marRight w:val="0"/>
      <w:marTop w:val="0"/>
      <w:marBottom w:val="0"/>
      <w:divBdr>
        <w:top w:val="none" w:sz="0" w:space="0" w:color="auto"/>
        <w:left w:val="none" w:sz="0" w:space="0" w:color="auto"/>
        <w:bottom w:val="none" w:sz="0" w:space="0" w:color="auto"/>
        <w:right w:val="none" w:sz="0" w:space="0" w:color="auto"/>
      </w:divBdr>
    </w:div>
    <w:div w:id="1873223146">
      <w:bodyDiv w:val="1"/>
      <w:marLeft w:val="0"/>
      <w:marRight w:val="0"/>
      <w:marTop w:val="0"/>
      <w:marBottom w:val="0"/>
      <w:divBdr>
        <w:top w:val="none" w:sz="0" w:space="0" w:color="auto"/>
        <w:left w:val="none" w:sz="0" w:space="0" w:color="auto"/>
        <w:bottom w:val="none" w:sz="0" w:space="0" w:color="auto"/>
        <w:right w:val="none" w:sz="0" w:space="0" w:color="auto"/>
      </w:divBdr>
    </w:div>
    <w:div w:id="1886019032">
      <w:bodyDiv w:val="1"/>
      <w:marLeft w:val="0"/>
      <w:marRight w:val="0"/>
      <w:marTop w:val="0"/>
      <w:marBottom w:val="0"/>
      <w:divBdr>
        <w:top w:val="none" w:sz="0" w:space="0" w:color="auto"/>
        <w:left w:val="none" w:sz="0" w:space="0" w:color="auto"/>
        <w:bottom w:val="none" w:sz="0" w:space="0" w:color="auto"/>
        <w:right w:val="none" w:sz="0" w:space="0" w:color="auto"/>
      </w:divBdr>
    </w:div>
    <w:div w:id="1906792117">
      <w:bodyDiv w:val="1"/>
      <w:marLeft w:val="0"/>
      <w:marRight w:val="0"/>
      <w:marTop w:val="0"/>
      <w:marBottom w:val="0"/>
      <w:divBdr>
        <w:top w:val="none" w:sz="0" w:space="0" w:color="auto"/>
        <w:left w:val="none" w:sz="0" w:space="0" w:color="auto"/>
        <w:bottom w:val="none" w:sz="0" w:space="0" w:color="auto"/>
        <w:right w:val="none" w:sz="0" w:space="0" w:color="auto"/>
      </w:divBdr>
      <w:divsChild>
        <w:div w:id="643392868">
          <w:marLeft w:val="0"/>
          <w:marRight w:val="0"/>
          <w:marTop w:val="0"/>
          <w:marBottom w:val="0"/>
          <w:divBdr>
            <w:top w:val="none" w:sz="0" w:space="0" w:color="auto"/>
            <w:left w:val="none" w:sz="0" w:space="0" w:color="auto"/>
            <w:bottom w:val="none" w:sz="0" w:space="0" w:color="auto"/>
            <w:right w:val="none" w:sz="0" w:space="0" w:color="auto"/>
          </w:divBdr>
        </w:div>
        <w:div w:id="1612132357">
          <w:marLeft w:val="0"/>
          <w:marRight w:val="0"/>
          <w:marTop w:val="0"/>
          <w:marBottom w:val="0"/>
          <w:divBdr>
            <w:top w:val="none" w:sz="0" w:space="0" w:color="auto"/>
            <w:left w:val="none" w:sz="0" w:space="0" w:color="auto"/>
            <w:bottom w:val="none" w:sz="0" w:space="0" w:color="auto"/>
            <w:right w:val="none" w:sz="0" w:space="0" w:color="auto"/>
          </w:divBdr>
        </w:div>
        <w:div w:id="1303848299">
          <w:marLeft w:val="0"/>
          <w:marRight w:val="0"/>
          <w:marTop w:val="0"/>
          <w:marBottom w:val="0"/>
          <w:divBdr>
            <w:top w:val="none" w:sz="0" w:space="0" w:color="auto"/>
            <w:left w:val="none" w:sz="0" w:space="0" w:color="auto"/>
            <w:bottom w:val="none" w:sz="0" w:space="0" w:color="auto"/>
            <w:right w:val="none" w:sz="0" w:space="0" w:color="auto"/>
          </w:divBdr>
        </w:div>
        <w:div w:id="159733033">
          <w:marLeft w:val="0"/>
          <w:marRight w:val="0"/>
          <w:marTop w:val="0"/>
          <w:marBottom w:val="0"/>
          <w:divBdr>
            <w:top w:val="none" w:sz="0" w:space="0" w:color="auto"/>
            <w:left w:val="none" w:sz="0" w:space="0" w:color="auto"/>
            <w:bottom w:val="none" w:sz="0" w:space="0" w:color="auto"/>
            <w:right w:val="none" w:sz="0" w:space="0" w:color="auto"/>
          </w:divBdr>
        </w:div>
        <w:div w:id="705568579">
          <w:marLeft w:val="0"/>
          <w:marRight w:val="0"/>
          <w:marTop w:val="0"/>
          <w:marBottom w:val="0"/>
          <w:divBdr>
            <w:top w:val="none" w:sz="0" w:space="0" w:color="auto"/>
            <w:left w:val="none" w:sz="0" w:space="0" w:color="auto"/>
            <w:bottom w:val="none" w:sz="0" w:space="0" w:color="auto"/>
            <w:right w:val="none" w:sz="0" w:space="0" w:color="auto"/>
          </w:divBdr>
        </w:div>
      </w:divsChild>
    </w:div>
    <w:div w:id="1911116059">
      <w:bodyDiv w:val="1"/>
      <w:marLeft w:val="0"/>
      <w:marRight w:val="0"/>
      <w:marTop w:val="0"/>
      <w:marBottom w:val="0"/>
      <w:divBdr>
        <w:top w:val="none" w:sz="0" w:space="0" w:color="auto"/>
        <w:left w:val="none" w:sz="0" w:space="0" w:color="auto"/>
        <w:bottom w:val="none" w:sz="0" w:space="0" w:color="auto"/>
        <w:right w:val="none" w:sz="0" w:space="0" w:color="auto"/>
      </w:divBdr>
    </w:div>
    <w:div w:id="1913540016">
      <w:bodyDiv w:val="1"/>
      <w:marLeft w:val="0"/>
      <w:marRight w:val="0"/>
      <w:marTop w:val="0"/>
      <w:marBottom w:val="0"/>
      <w:divBdr>
        <w:top w:val="none" w:sz="0" w:space="0" w:color="auto"/>
        <w:left w:val="none" w:sz="0" w:space="0" w:color="auto"/>
        <w:bottom w:val="none" w:sz="0" w:space="0" w:color="auto"/>
        <w:right w:val="none" w:sz="0" w:space="0" w:color="auto"/>
      </w:divBdr>
    </w:div>
    <w:div w:id="1921058229">
      <w:bodyDiv w:val="1"/>
      <w:marLeft w:val="0"/>
      <w:marRight w:val="0"/>
      <w:marTop w:val="0"/>
      <w:marBottom w:val="0"/>
      <w:divBdr>
        <w:top w:val="none" w:sz="0" w:space="0" w:color="auto"/>
        <w:left w:val="none" w:sz="0" w:space="0" w:color="auto"/>
        <w:bottom w:val="none" w:sz="0" w:space="0" w:color="auto"/>
        <w:right w:val="none" w:sz="0" w:space="0" w:color="auto"/>
      </w:divBdr>
    </w:div>
    <w:div w:id="1929579584">
      <w:bodyDiv w:val="1"/>
      <w:marLeft w:val="0"/>
      <w:marRight w:val="0"/>
      <w:marTop w:val="0"/>
      <w:marBottom w:val="0"/>
      <w:divBdr>
        <w:top w:val="none" w:sz="0" w:space="0" w:color="auto"/>
        <w:left w:val="none" w:sz="0" w:space="0" w:color="auto"/>
        <w:bottom w:val="none" w:sz="0" w:space="0" w:color="auto"/>
        <w:right w:val="none" w:sz="0" w:space="0" w:color="auto"/>
      </w:divBdr>
    </w:div>
    <w:div w:id="1932736748">
      <w:bodyDiv w:val="1"/>
      <w:marLeft w:val="0"/>
      <w:marRight w:val="0"/>
      <w:marTop w:val="0"/>
      <w:marBottom w:val="0"/>
      <w:divBdr>
        <w:top w:val="none" w:sz="0" w:space="0" w:color="auto"/>
        <w:left w:val="none" w:sz="0" w:space="0" w:color="auto"/>
        <w:bottom w:val="none" w:sz="0" w:space="0" w:color="auto"/>
        <w:right w:val="none" w:sz="0" w:space="0" w:color="auto"/>
      </w:divBdr>
    </w:div>
    <w:div w:id="1934704738">
      <w:bodyDiv w:val="1"/>
      <w:marLeft w:val="0"/>
      <w:marRight w:val="0"/>
      <w:marTop w:val="0"/>
      <w:marBottom w:val="0"/>
      <w:divBdr>
        <w:top w:val="none" w:sz="0" w:space="0" w:color="auto"/>
        <w:left w:val="none" w:sz="0" w:space="0" w:color="auto"/>
        <w:bottom w:val="none" w:sz="0" w:space="0" w:color="auto"/>
        <w:right w:val="none" w:sz="0" w:space="0" w:color="auto"/>
      </w:divBdr>
    </w:div>
    <w:div w:id="1935505187">
      <w:bodyDiv w:val="1"/>
      <w:marLeft w:val="0"/>
      <w:marRight w:val="0"/>
      <w:marTop w:val="0"/>
      <w:marBottom w:val="0"/>
      <w:divBdr>
        <w:top w:val="none" w:sz="0" w:space="0" w:color="auto"/>
        <w:left w:val="none" w:sz="0" w:space="0" w:color="auto"/>
        <w:bottom w:val="none" w:sz="0" w:space="0" w:color="auto"/>
        <w:right w:val="none" w:sz="0" w:space="0" w:color="auto"/>
      </w:divBdr>
    </w:div>
    <w:div w:id="1941404354">
      <w:bodyDiv w:val="1"/>
      <w:marLeft w:val="0"/>
      <w:marRight w:val="0"/>
      <w:marTop w:val="0"/>
      <w:marBottom w:val="0"/>
      <w:divBdr>
        <w:top w:val="none" w:sz="0" w:space="0" w:color="auto"/>
        <w:left w:val="none" w:sz="0" w:space="0" w:color="auto"/>
        <w:bottom w:val="none" w:sz="0" w:space="0" w:color="auto"/>
        <w:right w:val="none" w:sz="0" w:space="0" w:color="auto"/>
      </w:divBdr>
      <w:divsChild>
        <w:div w:id="872156104">
          <w:marLeft w:val="0"/>
          <w:marRight w:val="0"/>
          <w:marTop w:val="0"/>
          <w:marBottom w:val="0"/>
          <w:divBdr>
            <w:top w:val="none" w:sz="0" w:space="0" w:color="auto"/>
            <w:left w:val="none" w:sz="0" w:space="0" w:color="auto"/>
            <w:bottom w:val="none" w:sz="0" w:space="0" w:color="auto"/>
            <w:right w:val="none" w:sz="0" w:space="0" w:color="auto"/>
          </w:divBdr>
          <w:divsChild>
            <w:div w:id="1985967145">
              <w:marLeft w:val="0"/>
              <w:marRight w:val="0"/>
              <w:marTop w:val="0"/>
              <w:marBottom w:val="0"/>
              <w:divBdr>
                <w:top w:val="none" w:sz="0" w:space="0" w:color="auto"/>
                <w:left w:val="none" w:sz="0" w:space="0" w:color="auto"/>
                <w:bottom w:val="none" w:sz="0" w:space="0" w:color="auto"/>
                <w:right w:val="none" w:sz="0" w:space="0" w:color="auto"/>
              </w:divBdr>
            </w:div>
            <w:div w:id="1749620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4414109">
      <w:bodyDiv w:val="1"/>
      <w:marLeft w:val="0"/>
      <w:marRight w:val="0"/>
      <w:marTop w:val="0"/>
      <w:marBottom w:val="0"/>
      <w:divBdr>
        <w:top w:val="none" w:sz="0" w:space="0" w:color="auto"/>
        <w:left w:val="none" w:sz="0" w:space="0" w:color="auto"/>
        <w:bottom w:val="none" w:sz="0" w:space="0" w:color="auto"/>
        <w:right w:val="none" w:sz="0" w:space="0" w:color="auto"/>
      </w:divBdr>
    </w:div>
    <w:div w:id="1952276439">
      <w:bodyDiv w:val="1"/>
      <w:marLeft w:val="0"/>
      <w:marRight w:val="0"/>
      <w:marTop w:val="0"/>
      <w:marBottom w:val="0"/>
      <w:divBdr>
        <w:top w:val="none" w:sz="0" w:space="0" w:color="auto"/>
        <w:left w:val="none" w:sz="0" w:space="0" w:color="auto"/>
        <w:bottom w:val="none" w:sz="0" w:space="0" w:color="auto"/>
        <w:right w:val="none" w:sz="0" w:space="0" w:color="auto"/>
      </w:divBdr>
    </w:div>
    <w:div w:id="1954163343">
      <w:bodyDiv w:val="1"/>
      <w:marLeft w:val="0"/>
      <w:marRight w:val="0"/>
      <w:marTop w:val="0"/>
      <w:marBottom w:val="0"/>
      <w:divBdr>
        <w:top w:val="none" w:sz="0" w:space="0" w:color="auto"/>
        <w:left w:val="none" w:sz="0" w:space="0" w:color="auto"/>
        <w:bottom w:val="none" w:sz="0" w:space="0" w:color="auto"/>
        <w:right w:val="none" w:sz="0" w:space="0" w:color="auto"/>
      </w:divBdr>
    </w:div>
    <w:div w:id="1971323304">
      <w:bodyDiv w:val="1"/>
      <w:marLeft w:val="0"/>
      <w:marRight w:val="0"/>
      <w:marTop w:val="0"/>
      <w:marBottom w:val="0"/>
      <w:divBdr>
        <w:top w:val="none" w:sz="0" w:space="0" w:color="auto"/>
        <w:left w:val="none" w:sz="0" w:space="0" w:color="auto"/>
        <w:bottom w:val="none" w:sz="0" w:space="0" w:color="auto"/>
        <w:right w:val="none" w:sz="0" w:space="0" w:color="auto"/>
      </w:divBdr>
    </w:div>
    <w:div w:id="1986928666">
      <w:bodyDiv w:val="1"/>
      <w:marLeft w:val="0"/>
      <w:marRight w:val="0"/>
      <w:marTop w:val="0"/>
      <w:marBottom w:val="0"/>
      <w:divBdr>
        <w:top w:val="none" w:sz="0" w:space="0" w:color="auto"/>
        <w:left w:val="none" w:sz="0" w:space="0" w:color="auto"/>
        <w:bottom w:val="none" w:sz="0" w:space="0" w:color="auto"/>
        <w:right w:val="none" w:sz="0" w:space="0" w:color="auto"/>
      </w:divBdr>
    </w:div>
    <w:div w:id="2008048514">
      <w:bodyDiv w:val="1"/>
      <w:marLeft w:val="0"/>
      <w:marRight w:val="0"/>
      <w:marTop w:val="0"/>
      <w:marBottom w:val="0"/>
      <w:divBdr>
        <w:top w:val="none" w:sz="0" w:space="0" w:color="auto"/>
        <w:left w:val="none" w:sz="0" w:space="0" w:color="auto"/>
        <w:bottom w:val="none" w:sz="0" w:space="0" w:color="auto"/>
        <w:right w:val="none" w:sz="0" w:space="0" w:color="auto"/>
      </w:divBdr>
    </w:div>
    <w:div w:id="2012874366">
      <w:bodyDiv w:val="1"/>
      <w:marLeft w:val="0"/>
      <w:marRight w:val="0"/>
      <w:marTop w:val="0"/>
      <w:marBottom w:val="0"/>
      <w:divBdr>
        <w:top w:val="none" w:sz="0" w:space="0" w:color="auto"/>
        <w:left w:val="none" w:sz="0" w:space="0" w:color="auto"/>
        <w:bottom w:val="none" w:sz="0" w:space="0" w:color="auto"/>
        <w:right w:val="none" w:sz="0" w:space="0" w:color="auto"/>
      </w:divBdr>
    </w:div>
    <w:div w:id="2031298367">
      <w:bodyDiv w:val="1"/>
      <w:marLeft w:val="0"/>
      <w:marRight w:val="0"/>
      <w:marTop w:val="0"/>
      <w:marBottom w:val="0"/>
      <w:divBdr>
        <w:top w:val="none" w:sz="0" w:space="0" w:color="auto"/>
        <w:left w:val="none" w:sz="0" w:space="0" w:color="auto"/>
        <w:bottom w:val="none" w:sz="0" w:space="0" w:color="auto"/>
        <w:right w:val="none" w:sz="0" w:space="0" w:color="auto"/>
      </w:divBdr>
      <w:divsChild>
        <w:div w:id="541938974">
          <w:marLeft w:val="0"/>
          <w:marRight w:val="0"/>
          <w:marTop w:val="0"/>
          <w:marBottom w:val="0"/>
          <w:divBdr>
            <w:top w:val="none" w:sz="0" w:space="0" w:color="auto"/>
            <w:left w:val="none" w:sz="0" w:space="0" w:color="auto"/>
            <w:bottom w:val="none" w:sz="0" w:space="0" w:color="auto"/>
            <w:right w:val="none" w:sz="0" w:space="0" w:color="auto"/>
          </w:divBdr>
        </w:div>
        <w:div w:id="285818572">
          <w:marLeft w:val="0"/>
          <w:marRight w:val="0"/>
          <w:marTop w:val="0"/>
          <w:marBottom w:val="0"/>
          <w:divBdr>
            <w:top w:val="none" w:sz="0" w:space="0" w:color="auto"/>
            <w:left w:val="none" w:sz="0" w:space="0" w:color="auto"/>
            <w:bottom w:val="none" w:sz="0" w:space="0" w:color="auto"/>
            <w:right w:val="none" w:sz="0" w:space="0" w:color="auto"/>
          </w:divBdr>
        </w:div>
        <w:div w:id="1105534937">
          <w:marLeft w:val="0"/>
          <w:marRight w:val="0"/>
          <w:marTop w:val="0"/>
          <w:marBottom w:val="0"/>
          <w:divBdr>
            <w:top w:val="none" w:sz="0" w:space="0" w:color="auto"/>
            <w:left w:val="none" w:sz="0" w:space="0" w:color="auto"/>
            <w:bottom w:val="none" w:sz="0" w:space="0" w:color="auto"/>
            <w:right w:val="none" w:sz="0" w:space="0" w:color="auto"/>
          </w:divBdr>
        </w:div>
        <w:div w:id="1508639918">
          <w:marLeft w:val="0"/>
          <w:marRight w:val="0"/>
          <w:marTop w:val="0"/>
          <w:marBottom w:val="0"/>
          <w:divBdr>
            <w:top w:val="none" w:sz="0" w:space="0" w:color="auto"/>
            <w:left w:val="none" w:sz="0" w:space="0" w:color="auto"/>
            <w:bottom w:val="none" w:sz="0" w:space="0" w:color="auto"/>
            <w:right w:val="none" w:sz="0" w:space="0" w:color="auto"/>
          </w:divBdr>
        </w:div>
        <w:div w:id="543521751">
          <w:marLeft w:val="0"/>
          <w:marRight w:val="0"/>
          <w:marTop w:val="0"/>
          <w:marBottom w:val="0"/>
          <w:divBdr>
            <w:top w:val="none" w:sz="0" w:space="0" w:color="auto"/>
            <w:left w:val="none" w:sz="0" w:space="0" w:color="auto"/>
            <w:bottom w:val="none" w:sz="0" w:space="0" w:color="auto"/>
            <w:right w:val="none" w:sz="0" w:space="0" w:color="auto"/>
          </w:divBdr>
        </w:div>
        <w:div w:id="299725883">
          <w:marLeft w:val="0"/>
          <w:marRight w:val="0"/>
          <w:marTop w:val="0"/>
          <w:marBottom w:val="0"/>
          <w:divBdr>
            <w:top w:val="none" w:sz="0" w:space="0" w:color="auto"/>
            <w:left w:val="none" w:sz="0" w:space="0" w:color="auto"/>
            <w:bottom w:val="none" w:sz="0" w:space="0" w:color="auto"/>
            <w:right w:val="none" w:sz="0" w:space="0" w:color="auto"/>
          </w:divBdr>
        </w:div>
        <w:div w:id="786199838">
          <w:marLeft w:val="0"/>
          <w:marRight w:val="0"/>
          <w:marTop w:val="0"/>
          <w:marBottom w:val="0"/>
          <w:divBdr>
            <w:top w:val="none" w:sz="0" w:space="0" w:color="auto"/>
            <w:left w:val="none" w:sz="0" w:space="0" w:color="auto"/>
            <w:bottom w:val="none" w:sz="0" w:space="0" w:color="auto"/>
            <w:right w:val="none" w:sz="0" w:space="0" w:color="auto"/>
          </w:divBdr>
        </w:div>
        <w:div w:id="478884183">
          <w:marLeft w:val="0"/>
          <w:marRight w:val="0"/>
          <w:marTop w:val="0"/>
          <w:marBottom w:val="0"/>
          <w:divBdr>
            <w:top w:val="none" w:sz="0" w:space="0" w:color="auto"/>
            <w:left w:val="none" w:sz="0" w:space="0" w:color="auto"/>
            <w:bottom w:val="none" w:sz="0" w:space="0" w:color="auto"/>
            <w:right w:val="none" w:sz="0" w:space="0" w:color="auto"/>
          </w:divBdr>
        </w:div>
        <w:div w:id="1618442465">
          <w:marLeft w:val="0"/>
          <w:marRight w:val="0"/>
          <w:marTop w:val="0"/>
          <w:marBottom w:val="0"/>
          <w:divBdr>
            <w:top w:val="none" w:sz="0" w:space="0" w:color="auto"/>
            <w:left w:val="none" w:sz="0" w:space="0" w:color="auto"/>
            <w:bottom w:val="none" w:sz="0" w:space="0" w:color="auto"/>
            <w:right w:val="none" w:sz="0" w:space="0" w:color="auto"/>
          </w:divBdr>
        </w:div>
        <w:div w:id="2124106103">
          <w:marLeft w:val="0"/>
          <w:marRight w:val="0"/>
          <w:marTop w:val="0"/>
          <w:marBottom w:val="0"/>
          <w:divBdr>
            <w:top w:val="none" w:sz="0" w:space="0" w:color="auto"/>
            <w:left w:val="none" w:sz="0" w:space="0" w:color="auto"/>
            <w:bottom w:val="none" w:sz="0" w:space="0" w:color="auto"/>
            <w:right w:val="none" w:sz="0" w:space="0" w:color="auto"/>
          </w:divBdr>
        </w:div>
        <w:div w:id="1928536324">
          <w:marLeft w:val="0"/>
          <w:marRight w:val="0"/>
          <w:marTop w:val="0"/>
          <w:marBottom w:val="0"/>
          <w:divBdr>
            <w:top w:val="none" w:sz="0" w:space="0" w:color="auto"/>
            <w:left w:val="none" w:sz="0" w:space="0" w:color="auto"/>
            <w:bottom w:val="none" w:sz="0" w:space="0" w:color="auto"/>
            <w:right w:val="none" w:sz="0" w:space="0" w:color="auto"/>
          </w:divBdr>
        </w:div>
        <w:div w:id="1986160463">
          <w:marLeft w:val="0"/>
          <w:marRight w:val="0"/>
          <w:marTop w:val="0"/>
          <w:marBottom w:val="0"/>
          <w:divBdr>
            <w:top w:val="none" w:sz="0" w:space="0" w:color="auto"/>
            <w:left w:val="none" w:sz="0" w:space="0" w:color="auto"/>
            <w:bottom w:val="none" w:sz="0" w:space="0" w:color="auto"/>
            <w:right w:val="none" w:sz="0" w:space="0" w:color="auto"/>
          </w:divBdr>
          <w:divsChild>
            <w:div w:id="699627192">
              <w:marLeft w:val="0"/>
              <w:marRight w:val="0"/>
              <w:marTop w:val="0"/>
              <w:marBottom w:val="0"/>
              <w:divBdr>
                <w:top w:val="none" w:sz="0" w:space="0" w:color="auto"/>
                <w:left w:val="none" w:sz="0" w:space="0" w:color="auto"/>
                <w:bottom w:val="none" w:sz="0" w:space="0" w:color="auto"/>
                <w:right w:val="none" w:sz="0" w:space="0" w:color="auto"/>
              </w:divBdr>
            </w:div>
            <w:div w:id="230431282">
              <w:marLeft w:val="0"/>
              <w:marRight w:val="0"/>
              <w:marTop w:val="0"/>
              <w:marBottom w:val="0"/>
              <w:divBdr>
                <w:top w:val="none" w:sz="0" w:space="0" w:color="auto"/>
                <w:left w:val="none" w:sz="0" w:space="0" w:color="auto"/>
                <w:bottom w:val="none" w:sz="0" w:space="0" w:color="auto"/>
                <w:right w:val="none" w:sz="0" w:space="0" w:color="auto"/>
              </w:divBdr>
            </w:div>
            <w:div w:id="31392902">
              <w:marLeft w:val="0"/>
              <w:marRight w:val="0"/>
              <w:marTop w:val="0"/>
              <w:marBottom w:val="0"/>
              <w:divBdr>
                <w:top w:val="none" w:sz="0" w:space="0" w:color="auto"/>
                <w:left w:val="none" w:sz="0" w:space="0" w:color="auto"/>
                <w:bottom w:val="none" w:sz="0" w:space="0" w:color="auto"/>
                <w:right w:val="none" w:sz="0" w:space="0" w:color="auto"/>
              </w:divBdr>
            </w:div>
            <w:div w:id="2144039143">
              <w:marLeft w:val="0"/>
              <w:marRight w:val="0"/>
              <w:marTop w:val="0"/>
              <w:marBottom w:val="0"/>
              <w:divBdr>
                <w:top w:val="none" w:sz="0" w:space="0" w:color="auto"/>
                <w:left w:val="none" w:sz="0" w:space="0" w:color="auto"/>
                <w:bottom w:val="none" w:sz="0" w:space="0" w:color="auto"/>
                <w:right w:val="none" w:sz="0" w:space="0" w:color="auto"/>
              </w:divBdr>
            </w:div>
            <w:div w:id="119109522">
              <w:marLeft w:val="0"/>
              <w:marRight w:val="0"/>
              <w:marTop w:val="0"/>
              <w:marBottom w:val="0"/>
              <w:divBdr>
                <w:top w:val="none" w:sz="0" w:space="0" w:color="auto"/>
                <w:left w:val="none" w:sz="0" w:space="0" w:color="auto"/>
                <w:bottom w:val="none" w:sz="0" w:space="0" w:color="auto"/>
                <w:right w:val="none" w:sz="0" w:space="0" w:color="auto"/>
              </w:divBdr>
            </w:div>
            <w:div w:id="1202088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605535">
      <w:bodyDiv w:val="1"/>
      <w:marLeft w:val="0"/>
      <w:marRight w:val="0"/>
      <w:marTop w:val="0"/>
      <w:marBottom w:val="0"/>
      <w:divBdr>
        <w:top w:val="none" w:sz="0" w:space="0" w:color="auto"/>
        <w:left w:val="none" w:sz="0" w:space="0" w:color="auto"/>
        <w:bottom w:val="none" w:sz="0" w:space="0" w:color="auto"/>
        <w:right w:val="none" w:sz="0" w:space="0" w:color="auto"/>
      </w:divBdr>
    </w:div>
    <w:div w:id="2037349399">
      <w:bodyDiv w:val="1"/>
      <w:marLeft w:val="0"/>
      <w:marRight w:val="0"/>
      <w:marTop w:val="0"/>
      <w:marBottom w:val="0"/>
      <w:divBdr>
        <w:top w:val="none" w:sz="0" w:space="0" w:color="auto"/>
        <w:left w:val="none" w:sz="0" w:space="0" w:color="auto"/>
        <w:bottom w:val="none" w:sz="0" w:space="0" w:color="auto"/>
        <w:right w:val="none" w:sz="0" w:space="0" w:color="auto"/>
      </w:divBdr>
      <w:divsChild>
        <w:div w:id="1359241146">
          <w:marLeft w:val="0"/>
          <w:marRight w:val="0"/>
          <w:marTop w:val="0"/>
          <w:marBottom w:val="0"/>
          <w:divBdr>
            <w:top w:val="none" w:sz="0" w:space="0" w:color="auto"/>
            <w:left w:val="none" w:sz="0" w:space="0" w:color="auto"/>
            <w:bottom w:val="none" w:sz="0" w:space="0" w:color="auto"/>
            <w:right w:val="none" w:sz="0" w:space="0" w:color="auto"/>
          </w:divBdr>
          <w:divsChild>
            <w:div w:id="158204934">
              <w:marLeft w:val="0"/>
              <w:marRight w:val="0"/>
              <w:marTop w:val="0"/>
              <w:marBottom w:val="0"/>
              <w:divBdr>
                <w:top w:val="none" w:sz="0" w:space="0" w:color="auto"/>
                <w:left w:val="none" w:sz="0" w:space="0" w:color="auto"/>
                <w:bottom w:val="none" w:sz="0" w:space="0" w:color="auto"/>
                <w:right w:val="none" w:sz="0" w:space="0" w:color="auto"/>
              </w:divBdr>
              <w:divsChild>
                <w:div w:id="1494301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2242409">
      <w:bodyDiv w:val="1"/>
      <w:marLeft w:val="0"/>
      <w:marRight w:val="0"/>
      <w:marTop w:val="0"/>
      <w:marBottom w:val="0"/>
      <w:divBdr>
        <w:top w:val="none" w:sz="0" w:space="0" w:color="auto"/>
        <w:left w:val="none" w:sz="0" w:space="0" w:color="auto"/>
        <w:bottom w:val="none" w:sz="0" w:space="0" w:color="auto"/>
        <w:right w:val="none" w:sz="0" w:space="0" w:color="auto"/>
      </w:divBdr>
    </w:div>
    <w:div w:id="2044135181">
      <w:bodyDiv w:val="1"/>
      <w:marLeft w:val="0"/>
      <w:marRight w:val="0"/>
      <w:marTop w:val="0"/>
      <w:marBottom w:val="0"/>
      <w:divBdr>
        <w:top w:val="none" w:sz="0" w:space="0" w:color="auto"/>
        <w:left w:val="none" w:sz="0" w:space="0" w:color="auto"/>
        <w:bottom w:val="none" w:sz="0" w:space="0" w:color="auto"/>
        <w:right w:val="none" w:sz="0" w:space="0" w:color="auto"/>
      </w:divBdr>
    </w:div>
    <w:div w:id="2074280334">
      <w:bodyDiv w:val="1"/>
      <w:marLeft w:val="0"/>
      <w:marRight w:val="0"/>
      <w:marTop w:val="0"/>
      <w:marBottom w:val="0"/>
      <w:divBdr>
        <w:top w:val="none" w:sz="0" w:space="0" w:color="auto"/>
        <w:left w:val="none" w:sz="0" w:space="0" w:color="auto"/>
        <w:bottom w:val="none" w:sz="0" w:space="0" w:color="auto"/>
        <w:right w:val="none" w:sz="0" w:space="0" w:color="auto"/>
      </w:divBdr>
      <w:divsChild>
        <w:div w:id="1647590097">
          <w:marLeft w:val="0"/>
          <w:marRight w:val="0"/>
          <w:marTop w:val="0"/>
          <w:marBottom w:val="0"/>
          <w:divBdr>
            <w:top w:val="none" w:sz="0" w:space="0" w:color="auto"/>
            <w:left w:val="none" w:sz="0" w:space="0" w:color="auto"/>
            <w:bottom w:val="none" w:sz="0" w:space="0" w:color="auto"/>
            <w:right w:val="none" w:sz="0" w:space="0" w:color="auto"/>
          </w:divBdr>
          <w:divsChild>
            <w:div w:id="1266306079">
              <w:marLeft w:val="0"/>
              <w:marRight w:val="0"/>
              <w:marTop w:val="0"/>
              <w:marBottom w:val="0"/>
              <w:divBdr>
                <w:top w:val="none" w:sz="0" w:space="0" w:color="auto"/>
                <w:left w:val="none" w:sz="0" w:space="0" w:color="auto"/>
                <w:bottom w:val="none" w:sz="0" w:space="0" w:color="auto"/>
                <w:right w:val="none" w:sz="0" w:space="0" w:color="auto"/>
              </w:divBdr>
              <w:divsChild>
                <w:div w:id="922833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555456">
      <w:bodyDiv w:val="1"/>
      <w:marLeft w:val="0"/>
      <w:marRight w:val="0"/>
      <w:marTop w:val="0"/>
      <w:marBottom w:val="0"/>
      <w:divBdr>
        <w:top w:val="none" w:sz="0" w:space="0" w:color="auto"/>
        <w:left w:val="none" w:sz="0" w:space="0" w:color="auto"/>
        <w:bottom w:val="none" w:sz="0" w:space="0" w:color="auto"/>
        <w:right w:val="none" w:sz="0" w:space="0" w:color="auto"/>
      </w:divBdr>
    </w:div>
    <w:div w:id="2092702304">
      <w:bodyDiv w:val="1"/>
      <w:marLeft w:val="0"/>
      <w:marRight w:val="0"/>
      <w:marTop w:val="0"/>
      <w:marBottom w:val="0"/>
      <w:divBdr>
        <w:top w:val="none" w:sz="0" w:space="0" w:color="auto"/>
        <w:left w:val="none" w:sz="0" w:space="0" w:color="auto"/>
        <w:bottom w:val="none" w:sz="0" w:space="0" w:color="auto"/>
        <w:right w:val="none" w:sz="0" w:space="0" w:color="auto"/>
      </w:divBdr>
    </w:div>
    <w:div w:id="2095203182">
      <w:bodyDiv w:val="1"/>
      <w:marLeft w:val="0"/>
      <w:marRight w:val="0"/>
      <w:marTop w:val="0"/>
      <w:marBottom w:val="0"/>
      <w:divBdr>
        <w:top w:val="none" w:sz="0" w:space="0" w:color="auto"/>
        <w:left w:val="none" w:sz="0" w:space="0" w:color="auto"/>
        <w:bottom w:val="none" w:sz="0" w:space="0" w:color="auto"/>
        <w:right w:val="none" w:sz="0" w:space="0" w:color="auto"/>
      </w:divBdr>
    </w:div>
    <w:div w:id="2096899811">
      <w:bodyDiv w:val="1"/>
      <w:marLeft w:val="0"/>
      <w:marRight w:val="0"/>
      <w:marTop w:val="0"/>
      <w:marBottom w:val="0"/>
      <w:divBdr>
        <w:top w:val="none" w:sz="0" w:space="0" w:color="auto"/>
        <w:left w:val="none" w:sz="0" w:space="0" w:color="auto"/>
        <w:bottom w:val="none" w:sz="0" w:space="0" w:color="auto"/>
        <w:right w:val="none" w:sz="0" w:space="0" w:color="auto"/>
      </w:divBdr>
    </w:div>
    <w:div w:id="2102950099">
      <w:bodyDiv w:val="1"/>
      <w:marLeft w:val="0"/>
      <w:marRight w:val="0"/>
      <w:marTop w:val="0"/>
      <w:marBottom w:val="0"/>
      <w:divBdr>
        <w:top w:val="none" w:sz="0" w:space="0" w:color="auto"/>
        <w:left w:val="none" w:sz="0" w:space="0" w:color="auto"/>
        <w:bottom w:val="none" w:sz="0" w:space="0" w:color="auto"/>
        <w:right w:val="none" w:sz="0" w:space="0" w:color="auto"/>
      </w:divBdr>
      <w:divsChild>
        <w:div w:id="610279058">
          <w:marLeft w:val="0"/>
          <w:marRight w:val="0"/>
          <w:marTop w:val="0"/>
          <w:marBottom w:val="0"/>
          <w:divBdr>
            <w:top w:val="none" w:sz="0" w:space="0" w:color="auto"/>
            <w:left w:val="none" w:sz="0" w:space="0" w:color="auto"/>
            <w:bottom w:val="none" w:sz="0" w:space="0" w:color="auto"/>
            <w:right w:val="none" w:sz="0" w:space="0" w:color="auto"/>
          </w:divBdr>
        </w:div>
        <w:div w:id="1544902233">
          <w:marLeft w:val="0"/>
          <w:marRight w:val="0"/>
          <w:marTop w:val="0"/>
          <w:marBottom w:val="0"/>
          <w:divBdr>
            <w:top w:val="none" w:sz="0" w:space="0" w:color="auto"/>
            <w:left w:val="none" w:sz="0" w:space="0" w:color="auto"/>
            <w:bottom w:val="none" w:sz="0" w:space="0" w:color="auto"/>
            <w:right w:val="none" w:sz="0" w:space="0" w:color="auto"/>
          </w:divBdr>
        </w:div>
        <w:div w:id="919755521">
          <w:marLeft w:val="0"/>
          <w:marRight w:val="0"/>
          <w:marTop w:val="0"/>
          <w:marBottom w:val="0"/>
          <w:divBdr>
            <w:top w:val="none" w:sz="0" w:space="0" w:color="auto"/>
            <w:left w:val="none" w:sz="0" w:space="0" w:color="auto"/>
            <w:bottom w:val="none" w:sz="0" w:space="0" w:color="auto"/>
            <w:right w:val="none" w:sz="0" w:space="0" w:color="auto"/>
          </w:divBdr>
        </w:div>
        <w:div w:id="1393038040">
          <w:marLeft w:val="0"/>
          <w:marRight w:val="0"/>
          <w:marTop w:val="0"/>
          <w:marBottom w:val="0"/>
          <w:divBdr>
            <w:top w:val="none" w:sz="0" w:space="0" w:color="auto"/>
            <w:left w:val="none" w:sz="0" w:space="0" w:color="auto"/>
            <w:bottom w:val="none" w:sz="0" w:space="0" w:color="auto"/>
            <w:right w:val="none" w:sz="0" w:space="0" w:color="auto"/>
          </w:divBdr>
        </w:div>
        <w:div w:id="1708673901">
          <w:marLeft w:val="0"/>
          <w:marRight w:val="0"/>
          <w:marTop w:val="0"/>
          <w:marBottom w:val="0"/>
          <w:divBdr>
            <w:top w:val="none" w:sz="0" w:space="0" w:color="auto"/>
            <w:left w:val="none" w:sz="0" w:space="0" w:color="auto"/>
            <w:bottom w:val="none" w:sz="0" w:space="0" w:color="auto"/>
            <w:right w:val="none" w:sz="0" w:space="0" w:color="auto"/>
          </w:divBdr>
        </w:div>
        <w:div w:id="570193454">
          <w:marLeft w:val="0"/>
          <w:marRight w:val="0"/>
          <w:marTop w:val="0"/>
          <w:marBottom w:val="0"/>
          <w:divBdr>
            <w:top w:val="none" w:sz="0" w:space="0" w:color="auto"/>
            <w:left w:val="none" w:sz="0" w:space="0" w:color="auto"/>
            <w:bottom w:val="none" w:sz="0" w:space="0" w:color="auto"/>
            <w:right w:val="none" w:sz="0" w:space="0" w:color="auto"/>
          </w:divBdr>
        </w:div>
      </w:divsChild>
    </w:div>
    <w:div w:id="2123109624">
      <w:bodyDiv w:val="1"/>
      <w:marLeft w:val="0"/>
      <w:marRight w:val="0"/>
      <w:marTop w:val="0"/>
      <w:marBottom w:val="0"/>
      <w:divBdr>
        <w:top w:val="none" w:sz="0" w:space="0" w:color="auto"/>
        <w:left w:val="none" w:sz="0" w:space="0" w:color="auto"/>
        <w:bottom w:val="none" w:sz="0" w:space="0" w:color="auto"/>
        <w:right w:val="none" w:sz="0" w:space="0" w:color="auto"/>
      </w:divBdr>
      <w:divsChild>
        <w:div w:id="2065980699">
          <w:marLeft w:val="0"/>
          <w:marRight w:val="0"/>
          <w:marTop w:val="0"/>
          <w:marBottom w:val="0"/>
          <w:divBdr>
            <w:top w:val="none" w:sz="0" w:space="0" w:color="auto"/>
            <w:left w:val="none" w:sz="0" w:space="0" w:color="auto"/>
            <w:bottom w:val="none" w:sz="0" w:space="0" w:color="auto"/>
            <w:right w:val="none" w:sz="0" w:space="0" w:color="auto"/>
          </w:divBdr>
          <w:divsChild>
            <w:div w:id="349992134">
              <w:marLeft w:val="0"/>
              <w:marRight w:val="0"/>
              <w:marTop w:val="0"/>
              <w:marBottom w:val="0"/>
              <w:divBdr>
                <w:top w:val="none" w:sz="0" w:space="0" w:color="auto"/>
                <w:left w:val="none" w:sz="0" w:space="0" w:color="auto"/>
                <w:bottom w:val="none" w:sz="0" w:space="0" w:color="auto"/>
                <w:right w:val="none" w:sz="0" w:space="0" w:color="auto"/>
              </w:divBdr>
              <w:divsChild>
                <w:div w:id="1098252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514882">
      <w:bodyDiv w:val="1"/>
      <w:marLeft w:val="0"/>
      <w:marRight w:val="0"/>
      <w:marTop w:val="0"/>
      <w:marBottom w:val="0"/>
      <w:divBdr>
        <w:top w:val="none" w:sz="0" w:space="0" w:color="auto"/>
        <w:left w:val="none" w:sz="0" w:space="0" w:color="auto"/>
        <w:bottom w:val="none" w:sz="0" w:space="0" w:color="auto"/>
        <w:right w:val="none" w:sz="0" w:space="0" w:color="auto"/>
      </w:divBdr>
    </w:div>
    <w:div w:id="2134707431">
      <w:bodyDiv w:val="1"/>
      <w:marLeft w:val="0"/>
      <w:marRight w:val="0"/>
      <w:marTop w:val="0"/>
      <w:marBottom w:val="0"/>
      <w:divBdr>
        <w:top w:val="none" w:sz="0" w:space="0" w:color="auto"/>
        <w:left w:val="none" w:sz="0" w:space="0" w:color="auto"/>
        <w:bottom w:val="none" w:sz="0" w:space="0" w:color="auto"/>
        <w:right w:val="none" w:sz="0" w:space="0" w:color="auto"/>
      </w:divBdr>
    </w:div>
    <w:div w:id="21381840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colombiacompra.gov.co/documentos-tipo/documentos-tipo"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ximena.cabezas\AppData\Local\Microsoft\Windows\INetCache\Content.Outlook\N37DCYCK\Respuesta%20a%20consultas.dotm" TargetMode="External"/></Relationships>
</file>

<file path=word/theme/theme1.xml><?xml version="1.0" encoding="utf-8"?>
<a:theme xmlns:a="http://schemas.openxmlformats.org/drawingml/2006/main" name="Tema de Office">
  <a:themeElements>
    <a:clrScheme name="Personalizado 2">
      <a:dk1>
        <a:sysClr val="windowText" lastClr="000000"/>
      </a:dk1>
      <a:lt1>
        <a:srgbClr val="DBDBDB"/>
      </a:lt1>
      <a:dk2>
        <a:srgbClr val="0E63A8"/>
      </a:dk2>
      <a:lt2>
        <a:srgbClr val="F2F2F2"/>
      </a:lt2>
      <a:accent1>
        <a:srgbClr val="4F81BD"/>
      </a:accent1>
      <a:accent2>
        <a:srgbClr val="FFFFFF"/>
      </a:accent2>
      <a:accent3>
        <a:srgbClr val="DBDBDB"/>
      </a:accent3>
      <a:accent4>
        <a:srgbClr val="F2F2F2"/>
      </a:accent4>
      <a:accent5>
        <a:srgbClr val="F2F2F2"/>
      </a:accent5>
      <a:accent6>
        <a:srgbClr val="F2F2F2"/>
      </a:accent6>
      <a:hlink>
        <a:srgbClr val="F2F2F2"/>
      </a:hlink>
      <a:folHlink>
        <a:srgbClr val="F2F2F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D4414C5-DEED-4B13-A7CA-6B19E7E10D7B}">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34B2E869-4597-4F79-A348-3AA1CDEE026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B9E9F6D-B325-4FE5-8D23-463F083DFBCF}">
  <ds:schemaRefs>
    <ds:schemaRef ds:uri="http://schemas.openxmlformats.org/officeDocument/2006/bibliography"/>
  </ds:schemaRefs>
</ds:datastoreItem>
</file>

<file path=customXml/itemProps4.xml><?xml version="1.0" encoding="utf-8"?>
<ds:datastoreItem xmlns:ds="http://schemas.openxmlformats.org/officeDocument/2006/customXml" ds:itemID="{108AACCB-338D-4E1C-91B3-8763C3BB18F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Respuesta a consultas</Template>
  <TotalTime>1</TotalTime>
  <Pages>21</Pages>
  <Words>8146</Words>
  <Characters>44809</Characters>
  <Application>Microsoft Office Word</Application>
  <DocSecurity>0</DocSecurity>
  <Lines>373</Lines>
  <Paragraphs>105</Paragraphs>
  <ScaleCrop>false</ScaleCrop>
  <HeadingPairs>
    <vt:vector size="2" baseType="variant">
      <vt:variant>
        <vt:lpstr>Título</vt:lpstr>
      </vt:variant>
      <vt:variant>
        <vt:i4>1</vt:i4>
      </vt:variant>
    </vt:vector>
  </HeadingPairs>
  <TitlesOfParts>
    <vt:vector size="1" baseType="lpstr">
      <vt:lpstr>RESPUESTA DIRECCIÓN CONTRACTUAL</vt:lpstr>
    </vt:vector>
  </TitlesOfParts>
  <Company/>
  <LinksUpToDate>false</LinksUpToDate>
  <CharactersWithSpaces>52850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RESPUESTA DIRECCIÓN CONTRACTUAL</dc:title>
  <dc:creator>Ximena Alejandra Cabezas Valencia</dc:creator>
  <cp:lastModifiedBy>Edwin Johan Chocontá Quintero</cp:lastModifiedBy>
  <cp:revision>3</cp:revision>
  <cp:lastPrinted>2020-01-30T15:05:00Z</cp:lastPrinted>
  <dcterms:created xsi:type="dcterms:W3CDTF">2022-06-21T20:22:00Z</dcterms:created>
  <dcterms:modified xsi:type="dcterms:W3CDTF">2022-06-21T20:23:00Z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