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B4CDB" w14:textId="77777777" w:rsidR="00B56368" w:rsidRDefault="00B56368" w:rsidP="00B56368">
      <w:pPr>
        <w:spacing w:line="276" w:lineRule="auto"/>
        <w:jc w:val="right"/>
        <w:rPr>
          <w:rFonts w:ascii="Arial" w:eastAsia="Calibri" w:hAnsi="Arial" w:cs="Arial"/>
          <w:sz w:val="20"/>
          <w:szCs w:val="20"/>
          <w:lang w:val="es-CO"/>
        </w:rPr>
      </w:pPr>
      <w:bookmarkStart w:id="0" w:name="_Hlk29890381"/>
      <w:bookmarkEnd w:id="0"/>
      <w:r w:rsidRPr="00BB0056">
        <w:rPr>
          <w:rFonts w:ascii="Arial" w:eastAsia="Times New Roman" w:hAnsi="Arial" w:cs="Arial"/>
          <w:b/>
          <w:bCs/>
          <w:sz w:val="16"/>
          <w:szCs w:val="16"/>
          <w:lang w:val="es-CO" w:eastAsia="es-ES"/>
        </w:rPr>
        <w:t>CCE-DES-FM-17</w:t>
      </w:r>
    </w:p>
    <w:p w14:paraId="370025D5" w14:textId="77777777" w:rsidR="00B56368" w:rsidRDefault="00B56368" w:rsidP="00B56368">
      <w:pPr>
        <w:spacing w:line="276" w:lineRule="auto"/>
        <w:rPr>
          <w:rFonts w:ascii="Arial" w:eastAsia="Calibri" w:hAnsi="Arial" w:cs="Arial"/>
          <w:sz w:val="20"/>
          <w:szCs w:val="20"/>
          <w:lang w:val="es-CO"/>
        </w:rPr>
      </w:pPr>
    </w:p>
    <w:p w14:paraId="1BB81FAB" w14:textId="77777777" w:rsidR="00B56368" w:rsidRDefault="00B56368" w:rsidP="00B56368">
      <w:pPr>
        <w:jc w:val="both"/>
        <w:rPr>
          <w:rFonts w:ascii="Arial" w:eastAsia="Calibri" w:hAnsi="Arial" w:cs="Arial"/>
          <w:sz w:val="20"/>
          <w:szCs w:val="20"/>
          <w:lang w:val="es-CO"/>
        </w:rPr>
      </w:pPr>
    </w:p>
    <w:p w14:paraId="01A39AF2" w14:textId="77777777" w:rsidR="00B56368" w:rsidRDefault="00B56368" w:rsidP="00B56368">
      <w:pPr>
        <w:jc w:val="both"/>
        <w:rPr>
          <w:rFonts w:ascii="Arial" w:eastAsia="Calibri" w:hAnsi="Arial" w:cs="Arial"/>
          <w:b/>
          <w:sz w:val="22"/>
          <w:lang w:val="es-CO"/>
        </w:rPr>
      </w:pPr>
      <w:bookmarkStart w:id="1" w:name="_Hlk94088449"/>
      <w:r>
        <w:rPr>
          <w:rFonts w:ascii="Arial" w:eastAsia="Calibri" w:hAnsi="Arial" w:cs="Arial"/>
          <w:b/>
          <w:sz w:val="22"/>
          <w:lang w:val="es-CO"/>
        </w:rPr>
        <w:t>DOCUMENTOS TIPO – Fundamento normativo – Generalidades</w:t>
      </w:r>
      <w:bookmarkEnd w:id="1"/>
    </w:p>
    <w:p w14:paraId="7C7BF5C0" w14:textId="77777777" w:rsidR="00B56368" w:rsidRDefault="00B56368" w:rsidP="00B56368">
      <w:pPr>
        <w:jc w:val="both"/>
        <w:rPr>
          <w:rFonts w:ascii="Arial" w:eastAsia="Calibri" w:hAnsi="Arial" w:cs="Arial"/>
          <w:b/>
          <w:sz w:val="22"/>
          <w:lang w:val="es-CO"/>
        </w:rPr>
      </w:pPr>
    </w:p>
    <w:p w14:paraId="192116BA" w14:textId="0A904A5D" w:rsidR="002C1D19" w:rsidRDefault="002C1D19" w:rsidP="002C1D19">
      <w:pPr>
        <w:shd w:val="clear" w:color="auto" w:fill="FFFFFF"/>
        <w:jc w:val="both"/>
        <w:rPr>
          <w:rFonts w:ascii="Arial" w:hAnsi="Arial" w:cs="Arial"/>
          <w:color w:val="0D0D0D"/>
          <w:sz w:val="20"/>
          <w:szCs w:val="20"/>
          <w:bdr w:val="none" w:sz="0" w:space="0" w:color="auto" w:frame="1"/>
          <w:lang w:eastAsia="es-CO"/>
        </w:rPr>
      </w:pPr>
      <w:r w:rsidRPr="002C1D19">
        <w:rPr>
          <w:rFonts w:ascii="Arial" w:hAnsi="Arial" w:cs="Arial"/>
          <w:color w:val="0D0D0D"/>
          <w:sz w:val="20"/>
          <w:szCs w:val="20"/>
          <w:bdr w:val="none" w:sz="0" w:space="0" w:color="auto" w:frame="1"/>
          <w:lang w:eastAsia="es-CO"/>
        </w:rPr>
        <w:t xml:space="preserve">Los pliegos tipo surgen en el 2007 cuando el legislador facultó al Gobierno Nacional para adoptarlos en la compra o suministro de bienes de características técnicas uniformes. La orientación inicial del proyecto que se convirtió en la Ley 1150 de 2007 era facultar al Gobierno Nacional para adoptar los pliegos tipo en todos los contratos estatales, pues en el proyecto el parágrafo 3º disponía que: «El Gobierno Nacional tendrá la facultad de estandarizar los pliegos de condiciones o términos de referencia y los contratos de las entidades estatales». </w:t>
      </w:r>
    </w:p>
    <w:p w14:paraId="5C817A78" w14:textId="77777777" w:rsidR="002C1D19" w:rsidRPr="002C1D19" w:rsidRDefault="002C1D19" w:rsidP="002C1D19">
      <w:pPr>
        <w:shd w:val="clear" w:color="auto" w:fill="FFFFFF"/>
        <w:jc w:val="both"/>
        <w:rPr>
          <w:rFonts w:ascii="Arial" w:hAnsi="Arial" w:cs="Arial"/>
          <w:color w:val="0D0D0D"/>
          <w:sz w:val="20"/>
          <w:szCs w:val="20"/>
          <w:bdr w:val="none" w:sz="0" w:space="0" w:color="auto" w:frame="1"/>
          <w:lang w:eastAsia="es-CO"/>
        </w:rPr>
      </w:pPr>
    </w:p>
    <w:p w14:paraId="424827F7" w14:textId="4B4A1539" w:rsidR="00B56368" w:rsidRDefault="002C1D19" w:rsidP="002C1D19">
      <w:pPr>
        <w:shd w:val="clear" w:color="auto" w:fill="FFFFFF"/>
        <w:jc w:val="both"/>
        <w:rPr>
          <w:rFonts w:ascii="Arial" w:hAnsi="Arial" w:cs="Arial"/>
          <w:color w:val="0D0D0D"/>
          <w:sz w:val="20"/>
          <w:szCs w:val="20"/>
          <w:bdr w:val="none" w:sz="0" w:space="0" w:color="auto" w:frame="1"/>
          <w:lang w:eastAsia="es-CO"/>
        </w:rPr>
      </w:pPr>
      <w:r w:rsidRPr="002C1D19">
        <w:rPr>
          <w:rFonts w:ascii="Arial" w:hAnsi="Arial" w:cs="Arial"/>
          <w:color w:val="0D0D0D"/>
          <w:sz w:val="20"/>
          <w:szCs w:val="20"/>
          <w:bdr w:val="none" w:sz="0" w:space="0" w:color="auto" w:frame="1"/>
          <w:lang w:eastAsia="es-CO"/>
        </w:rPr>
        <w:t>La intención era agilizar y dar mayor transparencia a los procedimientos de selección, así como evitar el direccionamiento, razón por la cual –conforme a lo explicado en la exposición de motivos– «[…] se asigna al Gobierno Nacional la facultad de estandarizar los pliegos de condiciones y términos de referencia de los contratos, medida que redundará en la agilidad y claridad de los procedimientos». Sin embargo, en el texto aprobado, los pliegos tipo se limitaron a la adquisición o suministro de bienes de características técnicas uniformes.</w:t>
      </w:r>
    </w:p>
    <w:p w14:paraId="65320246" w14:textId="77777777" w:rsidR="00B56368" w:rsidRPr="002C1D19" w:rsidRDefault="00B56368" w:rsidP="00B56368">
      <w:pPr>
        <w:jc w:val="both"/>
        <w:rPr>
          <w:rFonts w:ascii="Arial" w:hAnsi="Arial" w:cs="Arial"/>
          <w:color w:val="0D0D0D"/>
          <w:sz w:val="22"/>
          <w:bdr w:val="none" w:sz="0" w:space="0" w:color="auto" w:frame="1"/>
          <w:lang w:eastAsia="es-CO"/>
        </w:rPr>
      </w:pPr>
    </w:p>
    <w:p w14:paraId="4A8E2593" w14:textId="77777777" w:rsidR="00B56368" w:rsidRPr="00C65F11" w:rsidRDefault="00B56368" w:rsidP="00B56368">
      <w:pPr>
        <w:jc w:val="both"/>
        <w:rPr>
          <w:rFonts w:ascii="Arial" w:hAnsi="Arial" w:cs="Arial"/>
          <w:b/>
          <w:color w:val="0D0D0D"/>
          <w:sz w:val="22"/>
          <w:bdr w:val="none" w:sz="0" w:space="0" w:color="auto" w:frame="1"/>
          <w:lang w:eastAsia="es-CO"/>
        </w:rPr>
      </w:pPr>
      <w:bookmarkStart w:id="2" w:name="_Hlk94088479"/>
      <w:r w:rsidRPr="00ED33F0">
        <w:rPr>
          <w:rFonts w:ascii="Arial" w:hAnsi="Arial" w:cs="Arial"/>
          <w:b/>
          <w:color w:val="0D0D0D"/>
          <w:sz w:val="22"/>
          <w:bdr w:val="none" w:sz="0" w:space="0" w:color="auto" w:frame="1"/>
          <w:lang w:eastAsia="es-CO"/>
        </w:rPr>
        <w:t>DOCUMENTO</w:t>
      </w:r>
      <w:r>
        <w:rPr>
          <w:rFonts w:ascii="Arial" w:hAnsi="Arial" w:cs="Arial"/>
          <w:b/>
          <w:color w:val="0D0D0D"/>
          <w:sz w:val="22"/>
          <w:bdr w:val="none" w:sz="0" w:space="0" w:color="auto" w:frame="1"/>
          <w:lang w:eastAsia="es-CO"/>
        </w:rPr>
        <w:t>S</w:t>
      </w:r>
      <w:r w:rsidRPr="00ED33F0">
        <w:rPr>
          <w:rFonts w:ascii="Arial" w:hAnsi="Arial" w:cs="Arial"/>
          <w:b/>
          <w:color w:val="0D0D0D"/>
          <w:sz w:val="22"/>
          <w:bdr w:val="none" w:sz="0" w:space="0" w:color="auto" w:frame="1"/>
          <w:lang w:eastAsia="es-CO"/>
        </w:rPr>
        <w:t xml:space="preserve"> TIPO – </w:t>
      </w:r>
      <w:r>
        <w:rPr>
          <w:rFonts w:ascii="Arial" w:hAnsi="Arial" w:cs="Arial"/>
          <w:b/>
          <w:color w:val="0D0D0D"/>
          <w:sz w:val="22"/>
          <w:bdr w:val="none" w:sz="0" w:space="0" w:color="auto" w:frame="1"/>
          <w:lang w:eastAsia="es-CO"/>
        </w:rPr>
        <w:t>O</w:t>
      </w:r>
      <w:r w:rsidRPr="00ED33F0">
        <w:rPr>
          <w:rFonts w:ascii="Arial" w:hAnsi="Arial" w:cs="Arial"/>
          <w:b/>
          <w:color w:val="0D0D0D"/>
          <w:sz w:val="22"/>
          <w:bdr w:val="none" w:sz="0" w:space="0" w:color="auto" w:frame="1"/>
          <w:lang w:eastAsia="es-CO"/>
        </w:rPr>
        <w:t>bligatoriedad de los documentos o pliegos tipo – Ley 2022 de 2020</w:t>
      </w:r>
      <w:r w:rsidRPr="00C65F11">
        <w:rPr>
          <w:rFonts w:ascii="Arial" w:hAnsi="Arial" w:cs="Arial"/>
          <w:b/>
          <w:color w:val="0D0D0D"/>
          <w:sz w:val="22"/>
          <w:bdr w:val="none" w:sz="0" w:space="0" w:color="auto" w:frame="1"/>
          <w:lang w:eastAsia="es-CO"/>
        </w:rPr>
        <w:t xml:space="preserve"> </w:t>
      </w:r>
    </w:p>
    <w:bookmarkEnd w:id="2"/>
    <w:p w14:paraId="4A4452B1" w14:textId="77777777" w:rsidR="00B56368" w:rsidRPr="00E77151" w:rsidRDefault="00B56368" w:rsidP="00B56368">
      <w:pPr>
        <w:jc w:val="both"/>
        <w:rPr>
          <w:rFonts w:ascii="Arial" w:hAnsi="Arial" w:cs="Arial"/>
          <w:color w:val="0D0D0D"/>
          <w:sz w:val="22"/>
          <w:bdr w:val="none" w:sz="0" w:space="0" w:color="auto" w:frame="1"/>
          <w:lang w:eastAsia="es-CO"/>
        </w:rPr>
      </w:pPr>
    </w:p>
    <w:p w14:paraId="3A25256C" w14:textId="1A393210" w:rsidR="00B56368" w:rsidRDefault="00B56368" w:rsidP="00B56368">
      <w:pPr>
        <w:shd w:val="clear" w:color="auto" w:fill="FFFFFF"/>
        <w:jc w:val="both"/>
        <w:rPr>
          <w:rFonts w:ascii="Arial" w:hAnsi="Arial" w:cs="Arial"/>
          <w:color w:val="0D0D0D"/>
          <w:sz w:val="20"/>
          <w:szCs w:val="20"/>
          <w:bdr w:val="none" w:sz="0" w:space="0" w:color="auto" w:frame="1"/>
          <w:lang w:eastAsia="es-CO"/>
        </w:rPr>
      </w:pPr>
      <w:r w:rsidRPr="00C65F11">
        <w:rPr>
          <w:rFonts w:ascii="Arial" w:hAnsi="Arial" w:cs="Arial"/>
          <w:color w:val="0D0D0D"/>
          <w:sz w:val="20"/>
          <w:szCs w:val="20"/>
          <w:bdr w:val="none" w:sz="0" w:space="0" w:color="auto" w:frame="1"/>
          <w:lang w:eastAsia="es-CO"/>
        </w:rPr>
        <w:t xml:space="preserve">[…] </w:t>
      </w:r>
      <w:r w:rsidR="002C1D19" w:rsidRPr="002C1D19">
        <w:rPr>
          <w:rFonts w:ascii="Arial" w:hAnsi="Arial" w:cs="Arial"/>
          <w:color w:val="0D0D0D"/>
          <w:sz w:val="20"/>
          <w:szCs w:val="20"/>
          <w:bdr w:val="none" w:sz="0" w:space="0" w:color="auto" w:frame="1"/>
          <w:lang w:eastAsia="es-CO"/>
        </w:rPr>
        <w:t xml:space="preserve">el 22 de julio de 2020, el Gobierno Nacional sancionó la Ley 2022, que rige a partir de su publicación y cuyo artículo 1 modifica el artículo 4 de la Ley 1882 de 2018 en relación con los siguientes aspectos: i) el sujeto encargado de la adopción de los documentos tipo, pues antes se señalaba al Gobierno Nacional y ahora la entidad 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documentos tipo; iii) la implementación de procesos de capacitación en los municipios para la utilización de los documentos tipo buscando el desarrollo de la economía local; y iv)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  </w:t>
      </w:r>
    </w:p>
    <w:p w14:paraId="3E1960E6" w14:textId="77777777" w:rsidR="00B56368" w:rsidRPr="00E77151" w:rsidRDefault="00B56368" w:rsidP="00B56368">
      <w:pPr>
        <w:shd w:val="clear" w:color="auto" w:fill="FFFFFF"/>
        <w:jc w:val="both"/>
        <w:rPr>
          <w:rFonts w:ascii="Arial" w:hAnsi="Arial" w:cs="Arial"/>
          <w:color w:val="0D0D0D"/>
          <w:sz w:val="22"/>
          <w:bdr w:val="none" w:sz="0" w:space="0" w:color="auto" w:frame="1"/>
          <w:lang w:eastAsia="es-CO"/>
        </w:rPr>
      </w:pPr>
      <w:r w:rsidRPr="00C65F11">
        <w:rPr>
          <w:rFonts w:ascii="Arial" w:hAnsi="Arial" w:cs="Arial"/>
          <w:color w:val="0D0D0D"/>
          <w:sz w:val="20"/>
          <w:szCs w:val="20"/>
          <w:bdr w:val="none" w:sz="0" w:space="0" w:color="auto" w:frame="1"/>
          <w:lang w:eastAsia="es-CO"/>
        </w:rPr>
        <w:t xml:space="preserve">  </w:t>
      </w:r>
    </w:p>
    <w:p w14:paraId="6EA72806" w14:textId="4D448A69" w:rsidR="00B56368" w:rsidRPr="00E96EC1" w:rsidRDefault="00B56368" w:rsidP="00B56368">
      <w:pPr>
        <w:jc w:val="both"/>
        <w:rPr>
          <w:rFonts w:ascii="Arial" w:eastAsia="Calibri" w:hAnsi="Arial" w:cs="Arial"/>
          <w:b/>
          <w:sz w:val="22"/>
          <w:lang w:val="es-CO"/>
        </w:rPr>
      </w:pPr>
      <w:r w:rsidRPr="00E96EC1">
        <w:rPr>
          <w:rFonts w:ascii="Arial" w:eastAsia="Calibri" w:hAnsi="Arial" w:cs="Arial"/>
          <w:b/>
          <w:sz w:val="22"/>
          <w:lang w:val="es-CO"/>
        </w:rPr>
        <w:t>DOCUMENTO</w:t>
      </w:r>
      <w:r>
        <w:rPr>
          <w:rFonts w:ascii="Arial" w:eastAsia="Calibri" w:hAnsi="Arial" w:cs="Arial"/>
          <w:b/>
          <w:sz w:val="22"/>
          <w:lang w:val="es-CO"/>
        </w:rPr>
        <w:t>S</w:t>
      </w:r>
      <w:r w:rsidRPr="00E96EC1">
        <w:rPr>
          <w:rFonts w:ascii="Arial" w:eastAsia="Calibri" w:hAnsi="Arial" w:cs="Arial"/>
          <w:b/>
          <w:sz w:val="22"/>
          <w:lang w:val="es-CO"/>
        </w:rPr>
        <w:t xml:space="preserve"> TIPO DE INFRAESTRUCTURA DE TRANSPORTE</w:t>
      </w:r>
      <w:r>
        <w:rPr>
          <w:rFonts w:ascii="Arial" w:eastAsia="Calibri" w:hAnsi="Arial" w:cs="Arial"/>
          <w:b/>
          <w:sz w:val="22"/>
          <w:lang w:val="es-CO"/>
        </w:rPr>
        <w:t xml:space="preserve"> –</w:t>
      </w:r>
      <w:r w:rsidRPr="00E96EC1">
        <w:rPr>
          <w:rFonts w:ascii="Arial" w:eastAsia="Calibri" w:hAnsi="Arial" w:cs="Arial"/>
          <w:b/>
          <w:sz w:val="22"/>
          <w:lang w:val="es-CO"/>
        </w:rPr>
        <w:t xml:space="preserve"> </w:t>
      </w:r>
      <w:r>
        <w:rPr>
          <w:rFonts w:ascii="Arial" w:eastAsia="Calibri" w:hAnsi="Arial" w:cs="Arial"/>
          <w:b/>
          <w:sz w:val="22"/>
          <w:lang w:val="es-CO"/>
        </w:rPr>
        <w:t xml:space="preserve">Numeral 4.1.4. – </w:t>
      </w:r>
      <w:r w:rsidR="00915DF1">
        <w:rPr>
          <w:rFonts w:ascii="Arial" w:eastAsia="Calibri" w:hAnsi="Arial" w:cs="Arial"/>
          <w:b/>
          <w:sz w:val="22"/>
          <w:lang w:val="es-CO"/>
        </w:rPr>
        <w:t>P</w:t>
      </w:r>
      <w:r>
        <w:rPr>
          <w:rFonts w:ascii="Arial" w:eastAsia="Calibri" w:hAnsi="Arial" w:cs="Arial"/>
          <w:b/>
          <w:sz w:val="22"/>
          <w:lang w:val="es-CO"/>
        </w:rPr>
        <w:t>onderación de la propuesta económica</w:t>
      </w:r>
    </w:p>
    <w:p w14:paraId="1DB77188" w14:textId="77777777" w:rsidR="00B56368" w:rsidRDefault="00B56368" w:rsidP="00B56368">
      <w:pPr>
        <w:rPr>
          <w:rFonts w:ascii="Arial" w:eastAsia="Calibri" w:hAnsi="Arial" w:cs="Arial"/>
          <w:sz w:val="20"/>
          <w:szCs w:val="20"/>
          <w:lang w:val="es-CO"/>
        </w:rPr>
      </w:pPr>
    </w:p>
    <w:p w14:paraId="0A8EFD6A" w14:textId="7761B7B8" w:rsidR="00E77151" w:rsidRPr="00E77151" w:rsidRDefault="00E77151" w:rsidP="00E77151">
      <w:pPr>
        <w:pStyle w:val="InviasNormal"/>
        <w:outlineLvl w:val="2"/>
        <w:rPr>
          <w:rFonts w:ascii="Arial" w:eastAsia="Calibri" w:hAnsi="Arial" w:cs="Arial"/>
          <w:color w:val="auto"/>
          <w:sz w:val="20"/>
          <w:szCs w:val="20"/>
          <w:lang w:val="es-CO"/>
        </w:rPr>
      </w:pPr>
      <w:r w:rsidRPr="00E77151">
        <w:rPr>
          <w:rFonts w:ascii="Arial" w:eastAsia="Calibri" w:hAnsi="Arial" w:cs="Arial"/>
          <w:color w:val="auto"/>
          <w:sz w:val="20"/>
          <w:szCs w:val="20"/>
          <w:lang w:val="es-CO"/>
        </w:rPr>
        <w:t xml:space="preserve">Los «Documentos Tipo – Versión 3» de licitación de infraestructura de transporte establecen, en el numeral 4.1.4. «determinación del método para la ponderación de la propuesta económica», establece cuatro (4) alternativas para escoger el método de ponderación de las propuestas económicas, a saber: i) mediana con valor absoluto; </w:t>
      </w:r>
      <w:proofErr w:type="spellStart"/>
      <w:r w:rsidRPr="00E77151">
        <w:rPr>
          <w:rFonts w:ascii="Arial" w:eastAsia="Calibri" w:hAnsi="Arial" w:cs="Arial"/>
          <w:color w:val="auto"/>
          <w:sz w:val="20"/>
          <w:szCs w:val="20"/>
          <w:lang w:val="es-CO"/>
        </w:rPr>
        <w:t>ii</w:t>
      </w:r>
      <w:proofErr w:type="spellEnd"/>
      <w:r w:rsidRPr="00E77151">
        <w:rPr>
          <w:rFonts w:ascii="Arial" w:eastAsia="Calibri" w:hAnsi="Arial" w:cs="Arial"/>
          <w:color w:val="auto"/>
          <w:sz w:val="20"/>
          <w:szCs w:val="20"/>
          <w:lang w:val="es-CO"/>
        </w:rPr>
        <w:t xml:space="preserve">) media geométrica; </w:t>
      </w:r>
      <w:proofErr w:type="spellStart"/>
      <w:r w:rsidRPr="00E77151">
        <w:rPr>
          <w:rFonts w:ascii="Arial" w:eastAsia="Calibri" w:hAnsi="Arial" w:cs="Arial"/>
          <w:color w:val="auto"/>
          <w:sz w:val="20"/>
          <w:szCs w:val="20"/>
          <w:lang w:val="es-CO"/>
        </w:rPr>
        <w:t>iii</w:t>
      </w:r>
      <w:proofErr w:type="spellEnd"/>
      <w:r w:rsidRPr="00E77151">
        <w:rPr>
          <w:rFonts w:ascii="Arial" w:eastAsia="Calibri" w:hAnsi="Arial" w:cs="Arial"/>
          <w:color w:val="auto"/>
          <w:sz w:val="20"/>
          <w:szCs w:val="20"/>
          <w:lang w:val="es-CO"/>
        </w:rPr>
        <w:t xml:space="preserve">) media aritmética baja y </w:t>
      </w:r>
      <w:proofErr w:type="spellStart"/>
      <w:r w:rsidRPr="00E77151">
        <w:rPr>
          <w:rFonts w:ascii="Arial" w:eastAsia="Calibri" w:hAnsi="Arial" w:cs="Arial"/>
          <w:color w:val="auto"/>
          <w:sz w:val="20"/>
          <w:szCs w:val="20"/>
          <w:lang w:val="es-CO"/>
        </w:rPr>
        <w:t>iv</w:t>
      </w:r>
      <w:proofErr w:type="spellEnd"/>
      <w:r w:rsidRPr="00E77151">
        <w:rPr>
          <w:rFonts w:ascii="Arial" w:eastAsia="Calibri" w:hAnsi="Arial" w:cs="Arial"/>
          <w:color w:val="auto"/>
          <w:sz w:val="20"/>
          <w:szCs w:val="20"/>
          <w:lang w:val="es-CO"/>
        </w:rPr>
        <w:t xml:space="preserve">) menor valor. A partir de estas alternativas, la entidad, para establecer el método de ponderación, tomará los centavos de la Tasa de Cambio Representativa del Mercado (TRM), certificada por la Superintendencia Financiera de Colombia. </w:t>
      </w:r>
    </w:p>
    <w:p w14:paraId="2A9C7984" w14:textId="2C4F2366" w:rsidR="00E77151" w:rsidRPr="00E77151" w:rsidRDefault="00E77151" w:rsidP="00E77151">
      <w:pPr>
        <w:pStyle w:val="InviasNormal"/>
        <w:outlineLvl w:val="2"/>
        <w:rPr>
          <w:rFonts w:ascii="Arial" w:eastAsia="Calibri" w:hAnsi="Arial" w:cs="Arial"/>
          <w:color w:val="auto"/>
          <w:sz w:val="20"/>
          <w:szCs w:val="20"/>
          <w:lang w:val="es-CO"/>
        </w:rPr>
      </w:pPr>
      <w:r w:rsidRPr="00E77151">
        <w:rPr>
          <w:rFonts w:ascii="Arial" w:eastAsia="Calibri" w:hAnsi="Arial" w:cs="Arial"/>
          <w:color w:val="auto"/>
          <w:sz w:val="20"/>
          <w:szCs w:val="20"/>
          <w:lang w:val="es-CO"/>
        </w:rPr>
        <w:lastRenderedPageBreak/>
        <w:t xml:space="preserve">La Tasa de Cambio Representativa del Mercado – TRM «es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1:00 p.m.», definida por la Superintendencia Financiera, es decir, denota la relación entre la moneda colombiana y el dólar. Por su parte, el Banco de la República ha definido la tasa de cambio representativa del mercado como «la cantidad de pesos colombianos por un dólar de los Estados Unidos», de donde se desprende que la TRM es un valor que se origina en la fluctuación del mercado. </w:t>
      </w:r>
    </w:p>
    <w:p w14:paraId="60F35BCC" w14:textId="0C641AB8" w:rsidR="00791A72" w:rsidRDefault="00E77151" w:rsidP="00E77151">
      <w:pPr>
        <w:pStyle w:val="InviasNormal"/>
        <w:spacing w:before="0" w:after="0"/>
        <w:outlineLvl w:val="2"/>
        <w:rPr>
          <w:rFonts w:ascii="Arial" w:eastAsia="Calibri" w:hAnsi="Arial" w:cs="Arial"/>
          <w:color w:val="auto"/>
          <w:sz w:val="20"/>
          <w:szCs w:val="20"/>
          <w:lang w:val="es-CO"/>
        </w:rPr>
      </w:pPr>
      <w:r w:rsidRPr="00E77151">
        <w:rPr>
          <w:rFonts w:ascii="Arial" w:eastAsia="Calibri" w:hAnsi="Arial" w:cs="Arial"/>
          <w:color w:val="auto"/>
          <w:sz w:val="20"/>
          <w:szCs w:val="20"/>
          <w:lang w:val="es-CO"/>
        </w:rPr>
        <w:t>La TRM que la entidad usará para el método de ponderación será la que aplique en el día hábil siguiente del día en que efectivamente sea la apertura del segundo sobre, según la publicación hecha por la Superintendencia en horas de la tarde el día de la apertura del segundo sobre. Por ejemplo, si la audiencia de adjudicación se realiza el 10 de febrero de 2020 y ese mismo día se abre el segundo sobre, la TRM que se usará para determinar el método de evaluación será la del 11 de febrero de 2020, que se publica en la tarde del 10 de febrero de 2020</w:t>
      </w:r>
    </w:p>
    <w:p w14:paraId="756AA33F" w14:textId="77777777" w:rsidR="00B56368" w:rsidRDefault="00B56368" w:rsidP="00B56368">
      <w:pPr>
        <w:rPr>
          <w:rFonts w:ascii="Arial" w:eastAsia="Calibri" w:hAnsi="Arial" w:cs="Arial"/>
          <w:sz w:val="20"/>
          <w:szCs w:val="20"/>
          <w:lang w:val="es-CO"/>
        </w:rPr>
      </w:pPr>
    </w:p>
    <w:p w14:paraId="1705A851" w14:textId="77777777" w:rsidR="00B56368" w:rsidRDefault="00B56368" w:rsidP="00B56368">
      <w:pPr>
        <w:spacing w:after="160" w:line="259" w:lineRule="auto"/>
        <w:rPr>
          <w:rFonts w:ascii="Arial" w:eastAsia="Calibri" w:hAnsi="Arial" w:cs="Arial"/>
          <w:sz w:val="20"/>
          <w:szCs w:val="20"/>
        </w:rPr>
      </w:pPr>
      <w:r>
        <w:rPr>
          <w:rFonts w:ascii="Arial" w:eastAsia="Calibri" w:hAnsi="Arial" w:cs="Arial"/>
          <w:sz w:val="20"/>
          <w:szCs w:val="20"/>
        </w:rPr>
        <w:br w:type="page"/>
      </w:r>
    </w:p>
    <w:p w14:paraId="036EF0FE" w14:textId="1582285A" w:rsidR="00B56368" w:rsidRPr="00C175DA" w:rsidRDefault="00496CD0" w:rsidP="00496CD0">
      <w:pPr>
        <w:widowControl w:val="0"/>
        <w:autoSpaceDE w:val="0"/>
        <w:autoSpaceDN w:val="0"/>
        <w:jc w:val="right"/>
        <w:rPr>
          <w:rFonts w:ascii="Arial MT" w:eastAsia="Arial MT" w:hAnsi="Arial MT" w:cs="Arial MT"/>
          <w:lang w:val="es-ES"/>
        </w:rPr>
      </w:pPr>
      <w:r>
        <w:rPr>
          <w:rFonts w:ascii="Arial MT" w:eastAsia="Arial MT" w:hAnsi="Arial MT" w:cs="Arial MT"/>
          <w:noProof/>
          <w:lang w:val="es-ES"/>
        </w:rPr>
        <w:lastRenderedPageBreak/>
        <w:drawing>
          <wp:inline distT="0" distB="0" distL="0" distR="0" wp14:anchorId="3D52CBA7" wp14:editId="7D8A8514">
            <wp:extent cx="2980105" cy="798552"/>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016096" cy="808196"/>
                    </a:xfrm>
                    <a:prstGeom prst="rect">
                      <a:avLst/>
                    </a:prstGeom>
                  </pic:spPr>
                </pic:pic>
              </a:graphicData>
            </a:graphic>
          </wp:inline>
        </w:drawing>
      </w:r>
    </w:p>
    <w:p w14:paraId="2DF0E8C5" w14:textId="7CAD5C4D" w:rsidR="00B56368" w:rsidRPr="00C175DA" w:rsidRDefault="00B56368" w:rsidP="00B56368">
      <w:pPr>
        <w:widowControl w:val="0"/>
        <w:autoSpaceDE w:val="0"/>
        <w:autoSpaceDN w:val="0"/>
        <w:spacing w:before="144" w:line="276" w:lineRule="auto"/>
        <w:ind w:left="200"/>
        <w:rPr>
          <w:rFonts w:ascii="Arial MT" w:eastAsia="Arial MT" w:hAnsi="Arial MT" w:cs="Arial MT"/>
          <w:sz w:val="22"/>
          <w:lang w:val="es-ES"/>
        </w:rPr>
      </w:pPr>
      <w:r w:rsidRPr="00C175DA">
        <w:rPr>
          <w:rFonts w:ascii="Arial MT" w:eastAsia="Arial MT" w:hAnsi="Arial MT" w:cs="Arial MT"/>
          <w:sz w:val="22"/>
          <w:lang w:val="es-ES"/>
        </w:rPr>
        <w:t>Señor</w:t>
      </w:r>
    </w:p>
    <w:p w14:paraId="0E1E9760" w14:textId="088BDA44" w:rsidR="00B56368" w:rsidRPr="00C175DA" w:rsidRDefault="007F2B52" w:rsidP="00B56368">
      <w:pPr>
        <w:widowControl w:val="0"/>
        <w:autoSpaceDE w:val="0"/>
        <w:autoSpaceDN w:val="0"/>
        <w:spacing w:line="276" w:lineRule="auto"/>
        <w:ind w:left="200"/>
        <w:outlineLvl w:val="0"/>
        <w:rPr>
          <w:rFonts w:ascii="Arial" w:eastAsia="Arial" w:hAnsi="Arial" w:cs="Arial"/>
          <w:b/>
          <w:bCs/>
          <w:sz w:val="22"/>
          <w:lang w:val="es-ES"/>
        </w:rPr>
      </w:pPr>
      <w:r>
        <w:rPr>
          <w:rFonts w:ascii="Arial" w:eastAsia="Arial" w:hAnsi="Arial" w:cs="Arial"/>
          <w:b/>
          <w:bCs/>
          <w:sz w:val="22"/>
          <w:lang w:val="es-ES"/>
        </w:rPr>
        <w:t>Luis Quiceno</w:t>
      </w:r>
    </w:p>
    <w:p w14:paraId="46A1EE21" w14:textId="2BE0AF09" w:rsidR="00B56368" w:rsidRPr="00C175DA" w:rsidRDefault="00186543" w:rsidP="00B56368">
      <w:pPr>
        <w:widowControl w:val="0"/>
        <w:autoSpaceDE w:val="0"/>
        <w:autoSpaceDN w:val="0"/>
        <w:spacing w:line="276" w:lineRule="auto"/>
        <w:ind w:left="200"/>
        <w:rPr>
          <w:rFonts w:ascii="Arial MT" w:eastAsia="Arial MT" w:hAnsi="Arial MT" w:cs="Arial MT"/>
          <w:sz w:val="22"/>
          <w:lang w:val="es-ES"/>
        </w:rPr>
      </w:pPr>
      <w:r>
        <w:rPr>
          <w:rFonts w:ascii="Arial MT" w:eastAsia="Arial MT" w:hAnsi="Arial MT" w:cs="Arial MT"/>
          <w:sz w:val="22"/>
          <w:lang w:val="es-ES"/>
        </w:rPr>
        <w:t>Almaguer, Cauca</w:t>
      </w:r>
    </w:p>
    <w:p w14:paraId="287CB53E" w14:textId="77777777" w:rsidR="00B56368" w:rsidRPr="00C175DA" w:rsidRDefault="00B56368" w:rsidP="00B56368">
      <w:pPr>
        <w:widowControl w:val="0"/>
        <w:autoSpaceDE w:val="0"/>
        <w:autoSpaceDN w:val="0"/>
        <w:spacing w:line="276" w:lineRule="auto"/>
        <w:rPr>
          <w:rFonts w:ascii="Arial MT" w:eastAsia="Arial MT" w:hAnsi="Arial MT" w:cs="Arial MT"/>
          <w:sz w:val="20"/>
          <w:lang w:val="es-ES"/>
        </w:rPr>
      </w:pPr>
    </w:p>
    <w:p w14:paraId="1DE1624F" w14:textId="6BE171C6" w:rsidR="00B56368" w:rsidRDefault="00B56368" w:rsidP="002A29CB">
      <w:pPr>
        <w:widowControl w:val="0"/>
        <w:autoSpaceDE w:val="0"/>
        <w:autoSpaceDN w:val="0"/>
        <w:spacing w:line="276" w:lineRule="auto"/>
        <w:ind w:left="2891"/>
        <w:jc w:val="both"/>
        <w:outlineLvl w:val="0"/>
        <w:rPr>
          <w:rFonts w:ascii="Arial" w:eastAsia="Arial" w:hAnsi="Arial" w:cs="Arial"/>
          <w:b/>
          <w:bCs/>
          <w:sz w:val="22"/>
          <w:lang w:val="es-ES"/>
        </w:rPr>
      </w:pPr>
      <w:r w:rsidRPr="00C175DA">
        <w:rPr>
          <w:rFonts w:ascii="Arial" w:eastAsia="Arial" w:hAnsi="Arial" w:cs="Arial"/>
          <w:b/>
          <w:bCs/>
          <w:sz w:val="22"/>
          <w:lang w:val="es-ES"/>
        </w:rPr>
        <w:t>Concepto</w:t>
      </w:r>
      <w:r w:rsidRPr="00C175DA">
        <w:rPr>
          <w:rFonts w:ascii="Arial" w:eastAsia="Arial" w:hAnsi="Arial" w:cs="Arial"/>
          <w:b/>
          <w:bCs/>
          <w:spacing w:val="-7"/>
          <w:sz w:val="22"/>
          <w:lang w:val="es-ES"/>
        </w:rPr>
        <w:t xml:space="preserve"> </w:t>
      </w:r>
      <w:r w:rsidRPr="00C175DA">
        <w:rPr>
          <w:rFonts w:ascii="Arial" w:eastAsia="Arial" w:hAnsi="Arial" w:cs="Arial"/>
          <w:b/>
          <w:bCs/>
          <w:sz w:val="22"/>
          <w:lang w:val="es-ES"/>
        </w:rPr>
        <w:t>C</w:t>
      </w:r>
      <w:r w:rsidRPr="00C175DA">
        <w:rPr>
          <w:rFonts w:ascii="Arial" w:eastAsia="Arial" w:hAnsi="Arial" w:cs="Arial"/>
          <w:b/>
          <w:bCs/>
          <w:spacing w:val="-4"/>
          <w:sz w:val="22"/>
          <w:lang w:val="es-ES"/>
        </w:rPr>
        <w:t xml:space="preserve"> </w:t>
      </w:r>
      <w:r w:rsidRPr="00C175DA">
        <w:rPr>
          <w:rFonts w:ascii="Arial" w:eastAsia="Arial" w:hAnsi="Arial" w:cs="Arial"/>
          <w:b/>
          <w:bCs/>
          <w:sz w:val="22"/>
          <w:lang w:val="es-ES"/>
        </w:rPr>
        <w:t>–</w:t>
      </w:r>
      <w:r w:rsidRPr="00C175DA">
        <w:rPr>
          <w:rFonts w:ascii="Arial" w:eastAsia="Arial" w:hAnsi="Arial" w:cs="Arial"/>
          <w:b/>
          <w:bCs/>
          <w:spacing w:val="-5"/>
          <w:sz w:val="22"/>
          <w:lang w:val="es-ES"/>
        </w:rPr>
        <w:t xml:space="preserve"> </w:t>
      </w:r>
      <w:r w:rsidR="00AE4B83">
        <w:rPr>
          <w:rFonts w:ascii="Arial" w:eastAsia="Arial" w:hAnsi="Arial" w:cs="Arial"/>
          <w:b/>
          <w:bCs/>
          <w:sz w:val="22"/>
          <w:lang w:val="es-ES"/>
        </w:rPr>
        <w:t>190</w:t>
      </w:r>
      <w:r w:rsidRPr="00C175DA">
        <w:rPr>
          <w:rFonts w:ascii="Arial" w:eastAsia="Arial" w:hAnsi="Arial" w:cs="Arial"/>
          <w:b/>
          <w:bCs/>
          <w:spacing w:val="-6"/>
          <w:sz w:val="22"/>
          <w:lang w:val="es-ES"/>
        </w:rPr>
        <w:t xml:space="preserve"> </w:t>
      </w:r>
      <w:r w:rsidRPr="00C175DA">
        <w:rPr>
          <w:rFonts w:ascii="Arial" w:eastAsia="Arial" w:hAnsi="Arial" w:cs="Arial"/>
          <w:b/>
          <w:bCs/>
          <w:sz w:val="22"/>
          <w:lang w:val="es-ES"/>
        </w:rPr>
        <w:t>de</w:t>
      </w:r>
      <w:r w:rsidRPr="00C175DA">
        <w:rPr>
          <w:rFonts w:ascii="Arial" w:eastAsia="Arial" w:hAnsi="Arial" w:cs="Arial"/>
          <w:b/>
          <w:bCs/>
          <w:spacing w:val="-6"/>
          <w:sz w:val="22"/>
          <w:lang w:val="es-ES"/>
        </w:rPr>
        <w:t xml:space="preserve"> </w:t>
      </w:r>
      <w:r w:rsidRPr="00C175DA">
        <w:rPr>
          <w:rFonts w:ascii="Arial" w:eastAsia="Arial" w:hAnsi="Arial" w:cs="Arial"/>
          <w:b/>
          <w:bCs/>
          <w:sz w:val="22"/>
          <w:lang w:val="es-ES"/>
        </w:rPr>
        <w:t>202</w:t>
      </w:r>
      <w:r w:rsidR="00AE4B83">
        <w:rPr>
          <w:rFonts w:ascii="Arial" w:eastAsia="Arial" w:hAnsi="Arial" w:cs="Arial"/>
          <w:b/>
          <w:bCs/>
          <w:sz w:val="22"/>
          <w:lang w:val="es-ES"/>
        </w:rPr>
        <w:t>2</w:t>
      </w:r>
    </w:p>
    <w:p w14:paraId="42D6B0AA" w14:textId="77777777" w:rsidR="002A29CB" w:rsidRPr="002A29CB" w:rsidRDefault="002A29CB" w:rsidP="002A29CB">
      <w:pPr>
        <w:widowControl w:val="0"/>
        <w:autoSpaceDE w:val="0"/>
        <w:autoSpaceDN w:val="0"/>
        <w:spacing w:line="276" w:lineRule="auto"/>
        <w:ind w:left="2891"/>
        <w:jc w:val="both"/>
        <w:outlineLvl w:val="0"/>
        <w:rPr>
          <w:rFonts w:ascii="Arial" w:eastAsia="Arial" w:hAnsi="Arial" w:cs="Arial"/>
          <w:b/>
          <w:bCs/>
          <w:sz w:val="22"/>
          <w:lang w:val="es-ES"/>
        </w:rPr>
      </w:pPr>
    </w:p>
    <w:p w14:paraId="6A854059" w14:textId="74D76FBE" w:rsidR="00B56368" w:rsidRPr="00C175DA" w:rsidRDefault="00B56368" w:rsidP="00B56368">
      <w:pPr>
        <w:widowControl w:val="0"/>
        <w:tabs>
          <w:tab w:val="left" w:pos="2889"/>
        </w:tabs>
        <w:autoSpaceDE w:val="0"/>
        <w:autoSpaceDN w:val="0"/>
        <w:spacing w:line="276" w:lineRule="auto"/>
        <w:ind w:left="2891" w:right="282" w:hanging="2689"/>
        <w:jc w:val="both"/>
        <w:rPr>
          <w:rFonts w:ascii="Arial MT" w:eastAsia="Arial MT" w:hAnsi="Arial MT" w:cs="Arial MT"/>
          <w:sz w:val="22"/>
          <w:lang w:val="es-ES"/>
        </w:rPr>
      </w:pPr>
      <w:r w:rsidRPr="00C175DA">
        <w:rPr>
          <w:rFonts w:ascii="Arial" w:eastAsia="Arial MT" w:hAnsi="Arial" w:cs="Arial MT"/>
          <w:b/>
          <w:sz w:val="22"/>
          <w:lang w:val="es-ES"/>
        </w:rPr>
        <w:t>Temas:</w:t>
      </w:r>
      <w:r w:rsidRPr="00C175DA">
        <w:rPr>
          <w:rFonts w:ascii="Arial" w:eastAsia="Arial MT" w:hAnsi="Arial" w:cs="Arial MT"/>
          <w:b/>
          <w:sz w:val="22"/>
          <w:lang w:val="es-ES"/>
        </w:rPr>
        <w:tab/>
      </w:r>
      <w:r w:rsidRPr="0019728D">
        <w:rPr>
          <w:rFonts w:ascii="Arial" w:eastAsia="Arial MT" w:hAnsi="Arial" w:cs="Arial"/>
          <w:sz w:val="22"/>
          <w:lang w:val="es-ES"/>
        </w:rPr>
        <w:t xml:space="preserve">DOCUMENTOS TIPO – Fundamento normativo – Generalidades / DOCUMENTOS TIPO – Obligatoriedad de los documentos o pliegos tipo – Ley 2022 de 2020 / DOCUMENTOS TIPO DE INFRAESTRUCTURA DE TRANSPORTE – Numeral 4.1.4. – </w:t>
      </w:r>
      <w:r w:rsidR="00915DF1" w:rsidRPr="0019728D">
        <w:rPr>
          <w:rFonts w:ascii="Arial" w:eastAsia="Arial MT" w:hAnsi="Arial" w:cs="Arial"/>
          <w:sz w:val="22"/>
          <w:lang w:val="es-ES"/>
        </w:rPr>
        <w:t>P</w:t>
      </w:r>
      <w:r w:rsidRPr="0019728D">
        <w:rPr>
          <w:rFonts w:ascii="Arial" w:eastAsia="Arial MT" w:hAnsi="Arial" w:cs="Arial"/>
          <w:sz w:val="22"/>
          <w:lang w:val="es-ES"/>
        </w:rPr>
        <w:t>onderación de la propuesta económica</w:t>
      </w:r>
    </w:p>
    <w:p w14:paraId="15027365" w14:textId="02B9D2DC" w:rsidR="00B56368" w:rsidRPr="00757862" w:rsidRDefault="00B56368" w:rsidP="00B56368">
      <w:pPr>
        <w:widowControl w:val="0"/>
        <w:tabs>
          <w:tab w:val="left" w:pos="2789"/>
        </w:tabs>
        <w:autoSpaceDE w:val="0"/>
        <w:autoSpaceDN w:val="0"/>
        <w:spacing w:before="144" w:line="276" w:lineRule="auto"/>
        <w:ind w:left="2785" w:hanging="2685"/>
        <w:jc w:val="both"/>
        <w:rPr>
          <w:rFonts w:ascii="Arial MT" w:eastAsia="Arial MT" w:hAnsi="Arial MT" w:cs="Arial MT"/>
          <w:sz w:val="22"/>
          <w:lang w:val="es-ES"/>
        </w:rPr>
      </w:pPr>
      <w:r>
        <w:rPr>
          <w:rFonts w:ascii="Arial" w:eastAsia="Arial MT" w:hAnsi="Arial" w:cs="Arial MT"/>
          <w:b/>
          <w:sz w:val="22"/>
          <w:lang w:val="es-ES"/>
        </w:rPr>
        <w:t xml:space="preserve">Radicación: </w:t>
      </w:r>
      <w:r>
        <w:rPr>
          <w:rFonts w:ascii="Arial" w:eastAsia="Arial MT" w:hAnsi="Arial" w:cs="Arial MT"/>
          <w:b/>
          <w:sz w:val="22"/>
          <w:lang w:val="es-ES"/>
        </w:rPr>
        <w:tab/>
      </w:r>
      <w:r>
        <w:rPr>
          <w:rFonts w:ascii="Arial" w:eastAsia="Arial MT" w:hAnsi="Arial" w:cs="Arial MT"/>
          <w:b/>
          <w:sz w:val="22"/>
          <w:lang w:val="es-ES"/>
        </w:rPr>
        <w:tab/>
      </w:r>
      <w:r w:rsidRPr="008A5AC8">
        <w:rPr>
          <w:rFonts w:ascii="Arial" w:eastAsia="Arial MT" w:hAnsi="Arial" w:cs="Arial"/>
          <w:sz w:val="22"/>
          <w:lang w:val="es-ES"/>
        </w:rPr>
        <w:t>Respuesta</w:t>
      </w:r>
      <w:r w:rsidRPr="008A5AC8">
        <w:rPr>
          <w:rFonts w:ascii="Arial" w:eastAsia="Arial MT" w:hAnsi="Arial" w:cs="Arial"/>
          <w:spacing w:val="-6"/>
          <w:sz w:val="22"/>
          <w:lang w:val="es-ES"/>
        </w:rPr>
        <w:t xml:space="preserve"> </w:t>
      </w:r>
      <w:r w:rsidRPr="008A5AC8">
        <w:rPr>
          <w:rFonts w:ascii="Arial" w:eastAsia="Arial MT" w:hAnsi="Arial" w:cs="Arial"/>
          <w:sz w:val="22"/>
          <w:lang w:val="es-ES"/>
        </w:rPr>
        <w:t>a</w:t>
      </w:r>
      <w:r w:rsidRPr="008A5AC8">
        <w:rPr>
          <w:rFonts w:ascii="Arial" w:eastAsia="Arial MT" w:hAnsi="Arial" w:cs="Arial"/>
          <w:spacing w:val="-6"/>
          <w:sz w:val="22"/>
          <w:lang w:val="es-ES"/>
        </w:rPr>
        <w:t xml:space="preserve"> </w:t>
      </w:r>
      <w:r w:rsidRPr="008A5AC8">
        <w:rPr>
          <w:rFonts w:ascii="Arial" w:eastAsia="Arial MT" w:hAnsi="Arial" w:cs="Arial"/>
          <w:sz w:val="22"/>
          <w:lang w:val="es-ES"/>
        </w:rPr>
        <w:t>la</w:t>
      </w:r>
      <w:r w:rsidRPr="008A5AC8">
        <w:rPr>
          <w:rFonts w:ascii="Arial" w:eastAsia="Arial MT" w:hAnsi="Arial" w:cs="Arial"/>
          <w:spacing w:val="-5"/>
          <w:sz w:val="22"/>
          <w:lang w:val="es-ES"/>
        </w:rPr>
        <w:t xml:space="preserve"> </w:t>
      </w:r>
      <w:r w:rsidRPr="008A5AC8">
        <w:rPr>
          <w:rFonts w:ascii="Arial" w:eastAsia="Arial MT" w:hAnsi="Arial" w:cs="Arial"/>
          <w:sz w:val="22"/>
          <w:lang w:val="es-ES"/>
        </w:rPr>
        <w:t>consulta</w:t>
      </w:r>
      <w:r>
        <w:rPr>
          <w:rFonts w:ascii="Arial" w:eastAsia="Arial MT" w:hAnsi="Arial" w:cs="Arial"/>
          <w:sz w:val="22"/>
          <w:lang w:val="es-ES"/>
        </w:rPr>
        <w:t xml:space="preserve"> #</w:t>
      </w:r>
      <w:r w:rsidRPr="008A5AC8">
        <w:rPr>
          <w:rFonts w:ascii="Arial" w:eastAsia="Arial MT" w:hAnsi="Arial" w:cs="Arial"/>
          <w:spacing w:val="-6"/>
          <w:sz w:val="22"/>
          <w:lang w:val="es-ES"/>
        </w:rPr>
        <w:t xml:space="preserve"> </w:t>
      </w:r>
      <w:r w:rsidRPr="008B1733">
        <w:rPr>
          <w:rFonts w:ascii="Arial" w:eastAsia="Arial MT" w:hAnsi="Arial" w:cs="Arial"/>
          <w:spacing w:val="-6"/>
          <w:sz w:val="22"/>
          <w:lang w:val="es-ES"/>
        </w:rPr>
        <w:t>P20</w:t>
      </w:r>
      <w:r w:rsidR="00046965">
        <w:rPr>
          <w:rFonts w:ascii="Arial" w:eastAsia="Arial MT" w:hAnsi="Arial" w:cs="Arial"/>
          <w:spacing w:val="-6"/>
          <w:sz w:val="22"/>
          <w:lang w:val="es-ES"/>
        </w:rPr>
        <w:t>2202250019</w:t>
      </w:r>
      <w:r w:rsidR="00451E7D">
        <w:rPr>
          <w:rFonts w:ascii="Arial" w:eastAsia="Arial MT" w:hAnsi="Arial" w:cs="Arial"/>
          <w:spacing w:val="-6"/>
          <w:sz w:val="22"/>
          <w:lang w:val="es-ES"/>
        </w:rPr>
        <w:t>18</w:t>
      </w:r>
    </w:p>
    <w:p w14:paraId="1A11B419" w14:textId="77777777" w:rsidR="00B56368" w:rsidRPr="00757862" w:rsidRDefault="00B56368" w:rsidP="00B56368">
      <w:pPr>
        <w:widowControl w:val="0"/>
        <w:autoSpaceDE w:val="0"/>
        <w:autoSpaceDN w:val="0"/>
        <w:spacing w:line="276" w:lineRule="auto"/>
        <w:rPr>
          <w:rFonts w:ascii="Arial MT" w:eastAsia="Arial MT" w:hAnsi="Arial MT" w:cs="Arial MT"/>
          <w:lang w:val="es-ES"/>
        </w:rPr>
      </w:pPr>
    </w:p>
    <w:p w14:paraId="3436E4B8" w14:textId="77777777" w:rsidR="00B56368" w:rsidRPr="00667C72" w:rsidRDefault="00B56368" w:rsidP="00B56368">
      <w:pPr>
        <w:spacing w:line="276" w:lineRule="auto"/>
        <w:jc w:val="both"/>
        <w:rPr>
          <w:rFonts w:ascii="Arial" w:eastAsia="Calibri" w:hAnsi="Arial" w:cs="Arial"/>
          <w:sz w:val="22"/>
          <w:lang w:val="es-CO"/>
        </w:rPr>
      </w:pPr>
    </w:p>
    <w:p w14:paraId="38F1452E" w14:textId="45D7BC69" w:rsidR="00B56368" w:rsidRPr="00667C72" w:rsidRDefault="00B56368" w:rsidP="00B56368">
      <w:pPr>
        <w:spacing w:line="276" w:lineRule="auto"/>
        <w:rPr>
          <w:rFonts w:ascii="Arial" w:eastAsia="Calibri" w:hAnsi="Arial" w:cs="Arial"/>
          <w:sz w:val="22"/>
          <w:lang w:val="es-CO"/>
        </w:rPr>
      </w:pPr>
      <w:r>
        <w:rPr>
          <w:rFonts w:ascii="Arial" w:eastAsia="Calibri" w:hAnsi="Arial" w:cs="Arial"/>
          <w:sz w:val="22"/>
          <w:lang w:val="es-CO"/>
        </w:rPr>
        <w:t xml:space="preserve">Estimado señor </w:t>
      </w:r>
      <w:r w:rsidR="00186543">
        <w:rPr>
          <w:rFonts w:ascii="Arial" w:eastAsia="Calibri" w:hAnsi="Arial" w:cs="Arial"/>
          <w:sz w:val="22"/>
          <w:lang w:val="es-CO"/>
        </w:rPr>
        <w:t>Quiceno</w:t>
      </w:r>
      <w:r>
        <w:rPr>
          <w:rFonts w:ascii="Arial" w:eastAsia="Calibri" w:hAnsi="Arial" w:cs="Arial"/>
          <w:sz w:val="22"/>
          <w:lang w:val="es-CO"/>
        </w:rPr>
        <w:t xml:space="preserve">: </w:t>
      </w:r>
    </w:p>
    <w:p w14:paraId="1AF7C37D" w14:textId="77777777" w:rsidR="00B56368" w:rsidRPr="00667C72" w:rsidRDefault="00B56368" w:rsidP="00B56368">
      <w:pPr>
        <w:spacing w:line="276" w:lineRule="auto"/>
        <w:rPr>
          <w:rFonts w:ascii="Arial" w:eastAsia="Calibri" w:hAnsi="Arial" w:cs="Arial"/>
          <w:sz w:val="22"/>
          <w:lang w:val="es-CO"/>
        </w:rPr>
      </w:pPr>
    </w:p>
    <w:p w14:paraId="2E135AB8" w14:textId="7239F3EA" w:rsidR="00B56368" w:rsidRPr="00667C72" w:rsidRDefault="00B56368" w:rsidP="00B56368">
      <w:pPr>
        <w:spacing w:line="276" w:lineRule="auto"/>
        <w:ind w:right="49"/>
        <w:jc w:val="both"/>
        <w:rPr>
          <w:rFonts w:ascii="Arial" w:eastAsia="Calibri" w:hAnsi="Arial" w:cs="Arial"/>
          <w:sz w:val="22"/>
          <w:lang w:val="es-CO"/>
        </w:rPr>
      </w:pPr>
      <w:r w:rsidRPr="00E807B5">
        <w:rPr>
          <w:rFonts w:ascii="Arial" w:eastAsia="Calibri" w:hAnsi="Arial" w:cs="Arial"/>
          <w:color w:val="000000" w:themeColor="text1"/>
          <w:sz w:val="22"/>
          <w:lang w:val="es-ES_tradnl"/>
        </w:rPr>
        <w:t>En ejercicio de la competencia otorgada por el numeral 8 del artículo 11 y el numeral 5 del artículo 3 del Decreto Ley 4170 de 2011</w:t>
      </w:r>
      <w:r>
        <w:rPr>
          <w:rFonts w:ascii="Arial" w:eastAsia="Calibri" w:hAnsi="Arial" w:cs="Arial"/>
          <w:color w:val="000000" w:themeColor="text1"/>
          <w:sz w:val="22"/>
          <w:lang w:val="es-ES_tradnl"/>
        </w:rPr>
        <w:t>,</w:t>
      </w:r>
      <w:r w:rsidRPr="00E807B5">
        <w:rPr>
          <w:rFonts w:ascii="Arial" w:eastAsia="Calibri" w:hAnsi="Arial" w:cs="Arial"/>
          <w:color w:val="000000" w:themeColor="text1"/>
          <w:sz w:val="22"/>
          <w:lang w:val="es-ES_tradnl"/>
        </w:rPr>
        <w:t xml:space="preserve"> la Agencia Nacional de Contratación Pública – Colombia Compra</w:t>
      </w:r>
      <w:r>
        <w:rPr>
          <w:rFonts w:ascii="Arial" w:eastAsia="Calibri" w:hAnsi="Arial" w:cs="Arial"/>
          <w:color w:val="000000" w:themeColor="text1"/>
          <w:sz w:val="22"/>
          <w:lang w:val="es-ES_tradnl"/>
        </w:rPr>
        <w:t xml:space="preserve"> Eficiente responde su consulta del 2</w:t>
      </w:r>
      <w:r w:rsidR="00186543">
        <w:rPr>
          <w:rFonts w:ascii="Arial" w:eastAsia="Calibri" w:hAnsi="Arial" w:cs="Arial"/>
          <w:color w:val="000000" w:themeColor="text1"/>
          <w:sz w:val="22"/>
          <w:lang w:val="es-ES_tradnl"/>
        </w:rPr>
        <w:t xml:space="preserve">5 </w:t>
      </w:r>
      <w:r>
        <w:rPr>
          <w:rFonts w:ascii="Arial" w:eastAsia="Calibri" w:hAnsi="Arial" w:cs="Arial"/>
          <w:color w:val="000000" w:themeColor="text1"/>
          <w:sz w:val="22"/>
          <w:lang w:val="es-ES_tradnl"/>
        </w:rPr>
        <w:t xml:space="preserve">de </w:t>
      </w:r>
      <w:r w:rsidR="00186543">
        <w:rPr>
          <w:rFonts w:ascii="Arial" w:eastAsia="Calibri" w:hAnsi="Arial" w:cs="Arial"/>
          <w:color w:val="000000" w:themeColor="text1"/>
          <w:sz w:val="22"/>
          <w:lang w:val="es-ES_tradnl"/>
        </w:rPr>
        <w:t>febrero</w:t>
      </w:r>
      <w:r>
        <w:rPr>
          <w:rFonts w:ascii="Arial" w:eastAsia="Calibri" w:hAnsi="Arial" w:cs="Arial"/>
          <w:color w:val="000000" w:themeColor="text1"/>
          <w:sz w:val="22"/>
          <w:lang w:val="es-ES_tradnl"/>
        </w:rPr>
        <w:t xml:space="preserve"> de 202</w:t>
      </w:r>
      <w:r w:rsidR="00186543">
        <w:rPr>
          <w:rFonts w:ascii="Arial" w:eastAsia="Calibri" w:hAnsi="Arial" w:cs="Arial"/>
          <w:color w:val="000000" w:themeColor="text1"/>
          <w:sz w:val="22"/>
          <w:lang w:val="es-ES_tradnl"/>
        </w:rPr>
        <w:t>2</w:t>
      </w:r>
      <w:r>
        <w:rPr>
          <w:rFonts w:ascii="Arial" w:eastAsia="Calibri" w:hAnsi="Arial" w:cs="Arial"/>
          <w:color w:val="000000" w:themeColor="text1"/>
          <w:sz w:val="22"/>
          <w:lang w:val="es-ES_tradnl"/>
        </w:rPr>
        <w:t>.</w:t>
      </w:r>
    </w:p>
    <w:p w14:paraId="378C032F" w14:textId="77777777" w:rsidR="00B56368" w:rsidRPr="00667C72" w:rsidRDefault="00B56368" w:rsidP="00B56368">
      <w:pPr>
        <w:spacing w:line="276" w:lineRule="auto"/>
        <w:jc w:val="both"/>
        <w:rPr>
          <w:rFonts w:ascii="Arial" w:eastAsia="Calibri" w:hAnsi="Arial" w:cs="Arial"/>
          <w:sz w:val="22"/>
          <w:lang w:val="es-CO"/>
        </w:rPr>
      </w:pPr>
    </w:p>
    <w:p w14:paraId="116300B6" w14:textId="77777777" w:rsidR="00B56368" w:rsidRPr="00667C72" w:rsidRDefault="00B56368" w:rsidP="00B56368">
      <w:pPr>
        <w:pStyle w:val="Prrafodelista"/>
        <w:numPr>
          <w:ilvl w:val="0"/>
          <w:numId w:val="1"/>
        </w:numPr>
        <w:tabs>
          <w:tab w:val="left" w:pos="284"/>
        </w:tabs>
        <w:spacing w:line="276" w:lineRule="auto"/>
        <w:ind w:left="0" w:firstLine="0"/>
        <w:jc w:val="both"/>
        <w:rPr>
          <w:rFonts w:ascii="Arial" w:eastAsia="Calibri" w:hAnsi="Arial" w:cs="Arial"/>
          <w:b/>
          <w:sz w:val="22"/>
          <w:lang w:val="es-CO"/>
        </w:rPr>
      </w:pPr>
      <w:r w:rsidRPr="00667C72">
        <w:rPr>
          <w:rFonts w:ascii="Arial" w:eastAsia="Calibri" w:hAnsi="Arial" w:cs="Arial"/>
          <w:b/>
          <w:sz w:val="22"/>
          <w:lang w:val="es-CO"/>
        </w:rPr>
        <w:t xml:space="preserve">Problema planteado </w:t>
      </w:r>
    </w:p>
    <w:p w14:paraId="1E1F0968" w14:textId="77777777" w:rsidR="00B56368" w:rsidRPr="00667C72" w:rsidRDefault="00B56368" w:rsidP="00B56368">
      <w:pPr>
        <w:tabs>
          <w:tab w:val="left" w:pos="426"/>
        </w:tabs>
        <w:spacing w:line="276" w:lineRule="auto"/>
        <w:jc w:val="both"/>
        <w:rPr>
          <w:rFonts w:ascii="Arial" w:eastAsia="Calibri" w:hAnsi="Arial" w:cs="Arial"/>
          <w:b/>
          <w:sz w:val="22"/>
          <w:lang w:val="es-CO"/>
        </w:rPr>
      </w:pPr>
    </w:p>
    <w:p w14:paraId="27B8929B" w14:textId="1E802CEB" w:rsidR="00B56368" w:rsidRDefault="00B56368" w:rsidP="00B56368">
      <w:pPr>
        <w:spacing w:line="276" w:lineRule="auto"/>
        <w:jc w:val="both"/>
        <w:rPr>
          <w:rFonts w:ascii="Arial" w:eastAsia="Calibri" w:hAnsi="Arial" w:cs="Arial"/>
          <w:sz w:val="22"/>
          <w:lang w:val="es-CO"/>
        </w:rPr>
      </w:pPr>
      <w:bookmarkStart w:id="3" w:name="_Hlk81476722"/>
      <w:r>
        <w:rPr>
          <w:rFonts w:ascii="Arial" w:eastAsia="Calibri" w:hAnsi="Arial" w:cs="Arial"/>
          <w:sz w:val="22"/>
          <w:lang w:val="es-CO"/>
        </w:rPr>
        <w:t>U</w:t>
      </w:r>
      <w:r w:rsidRPr="008B1733">
        <w:rPr>
          <w:rFonts w:ascii="Arial" w:eastAsia="Calibri" w:hAnsi="Arial" w:cs="Arial"/>
          <w:sz w:val="22"/>
          <w:lang w:val="es-CO"/>
        </w:rPr>
        <w:t xml:space="preserve">sted pregunta lo siguiente </w:t>
      </w:r>
      <w:r>
        <w:rPr>
          <w:rFonts w:ascii="Arial" w:eastAsia="Calibri" w:hAnsi="Arial" w:cs="Arial"/>
          <w:sz w:val="22"/>
          <w:lang w:val="es-CO"/>
        </w:rPr>
        <w:t>r</w:t>
      </w:r>
      <w:r w:rsidRPr="008B1733">
        <w:rPr>
          <w:rFonts w:ascii="Arial" w:eastAsia="Calibri" w:hAnsi="Arial" w:cs="Arial"/>
          <w:sz w:val="22"/>
          <w:lang w:val="es-CO"/>
        </w:rPr>
        <w:t>especto del numeral 4.1.4 «DETERMINACIÓN DEL MÉTODO PARA LA PONDERACIÓN DE LA PROPUESTA ECONÓMICA» del documento base de los documentos tipo de licitación de obra pública de infraestructura de transporte –versión 3–</w:t>
      </w:r>
      <w:r w:rsidR="007340E7">
        <w:rPr>
          <w:rFonts w:ascii="Arial" w:eastAsia="Calibri" w:hAnsi="Arial" w:cs="Arial"/>
          <w:sz w:val="22"/>
          <w:lang w:val="es-CO"/>
        </w:rPr>
        <w:t>:</w:t>
      </w:r>
    </w:p>
    <w:p w14:paraId="3647F6BC" w14:textId="7BBB8616" w:rsidR="007340E7" w:rsidRDefault="007340E7" w:rsidP="00B56368">
      <w:pPr>
        <w:spacing w:line="276" w:lineRule="auto"/>
        <w:jc w:val="both"/>
        <w:rPr>
          <w:rFonts w:ascii="Arial" w:eastAsia="Calibri" w:hAnsi="Arial" w:cs="Arial"/>
          <w:sz w:val="22"/>
          <w:lang w:val="es-CO"/>
        </w:rPr>
      </w:pPr>
    </w:p>
    <w:p w14:paraId="6413E85C" w14:textId="1ED6D584" w:rsidR="007340E7" w:rsidRPr="007340E7" w:rsidRDefault="007340E7" w:rsidP="007340E7">
      <w:pPr>
        <w:ind w:left="709" w:right="709"/>
        <w:jc w:val="both"/>
        <w:rPr>
          <w:rFonts w:ascii="Arial" w:eastAsia="Calibri" w:hAnsi="Arial" w:cs="Arial"/>
          <w:sz w:val="21"/>
          <w:szCs w:val="21"/>
          <w:lang w:val="es-CO"/>
        </w:rPr>
      </w:pPr>
      <w:r w:rsidRPr="007340E7">
        <w:rPr>
          <w:rFonts w:ascii="Arial" w:eastAsia="Calibri" w:hAnsi="Arial" w:cs="Arial"/>
          <w:sz w:val="21"/>
          <w:szCs w:val="21"/>
          <w:lang w:val="es-CO"/>
        </w:rPr>
        <w:t xml:space="preserve">«[…] se encuentra que el método de ponderación de la oferta económica esta </w:t>
      </w:r>
      <w:r>
        <w:rPr>
          <w:rFonts w:ascii="Arial" w:eastAsia="Calibri" w:hAnsi="Arial" w:cs="Arial"/>
          <w:sz w:val="21"/>
          <w:szCs w:val="21"/>
          <w:lang w:val="es-CO"/>
        </w:rPr>
        <w:t xml:space="preserve">[sic] </w:t>
      </w:r>
      <w:r w:rsidRPr="007340E7">
        <w:rPr>
          <w:rFonts w:ascii="Arial" w:eastAsia="Calibri" w:hAnsi="Arial" w:cs="Arial"/>
          <w:sz w:val="21"/>
          <w:szCs w:val="21"/>
          <w:lang w:val="es-CO"/>
        </w:rPr>
        <w:t xml:space="preserve">relacionado con la TRM que rige el día hábil siguiente a la apertura del sobre No. 2, es decir, la que publica la superintendencia financiera en la tarde del día que apertura el segundo sobre; sin embargo, existen días hábiles (lunes a viernes) en los cuales la superintendencia no publica la TRM, por ejemplo, </w:t>
      </w:r>
      <w:r w:rsidRPr="007340E7">
        <w:rPr>
          <w:rFonts w:ascii="Arial" w:eastAsia="Calibri" w:hAnsi="Arial" w:cs="Arial"/>
          <w:sz w:val="21"/>
          <w:szCs w:val="21"/>
          <w:lang w:val="es-CO"/>
        </w:rPr>
        <w:lastRenderedPageBreak/>
        <w:t>existen semanas en las cuales la</w:t>
      </w:r>
      <w:r w:rsidR="00001060">
        <w:rPr>
          <w:rFonts w:ascii="Arial" w:eastAsia="Calibri" w:hAnsi="Arial" w:cs="Arial"/>
          <w:sz w:val="21"/>
          <w:szCs w:val="21"/>
          <w:lang w:val="es-CO"/>
        </w:rPr>
        <w:t xml:space="preserve"> </w:t>
      </w:r>
      <w:r w:rsidRPr="007340E7">
        <w:rPr>
          <w:rFonts w:ascii="Arial" w:eastAsia="Calibri" w:hAnsi="Arial" w:cs="Arial"/>
          <w:sz w:val="21"/>
          <w:szCs w:val="21"/>
          <w:lang w:val="es-CO"/>
        </w:rPr>
        <w:t>superintendencia publica la TRM el día viernes en la tarde, con vigencia para los días sábado, domingo, lunes y martes; en este caso si se programa la diligencia de apertura de sobres para el día lunes y efectivamente se da la apertura de sobres el día lunes antes de las 3 pm; pese a que la entidad no conozca la TRM, ya la superintendencia publico</w:t>
      </w:r>
      <w:r w:rsidR="00243758">
        <w:rPr>
          <w:rFonts w:ascii="Arial" w:eastAsia="Calibri" w:hAnsi="Arial" w:cs="Arial"/>
          <w:sz w:val="21"/>
          <w:szCs w:val="21"/>
          <w:lang w:val="es-CO"/>
        </w:rPr>
        <w:t xml:space="preserve"> [sic]</w:t>
      </w:r>
      <w:r w:rsidRPr="007340E7">
        <w:rPr>
          <w:rFonts w:ascii="Arial" w:eastAsia="Calibri" w:hAnsi="Arial" w:cs="Arial"/>
          <w:sz w:val="21"/>
          <w:szCs w:val="21"/>
          <w:lang w:val="es-CO"/>
        </w:rPr>
        <w:t xml:space="preserve"> en horas de la tarde del viernes la que rige el día martes, por lo cual existiría un incumplimiento por parte de la superintendencia en la publicación de la TRM el </w:t>
      </w:r>
      <w:proofErr w:type="spellStart"/>
      <w:r w:rsidRPr="007340E7">
        <w:rPr>
          <w:rFonts w:ascii="Arial" w:eastAsia="Calibri" w:hAnsi="Arial" w:cs="Arial"/>
          <w:sz w:val="21"/>
          <w:szCs w:val="21"/>
          <w:lang w:val="es-CO"/>
        </w:rPr>
        <w:t>dia</w:t>
      </w:r>
      <w:proofErr w:type="spellEnd"/>
      <w:r w:rsidRPr="007340E7">
        <w:rPr>
          <w:rFonts w:ascii="Arial" w:eastAsia="Calibri" w:hAnsi="Arial" w:cs="Arial"/>
          <w:sz w:val="21"/>
          <w:szCs w:val="21"/>
          <w:lang w:val="es-CO"/>
        </w:rPr>
        <w:t xml:space="preserve"> </w:t>
      </w:r>
      <w:r w:rsidR="00243758">
        <w:rPr>
          <w:rFonts w:ascii="Arial" w:eastAsia="Calibri" w:hAnsi="Arial" w:cs="Arial"/>
          <w:sz w:val="21"/>
          <w:szCs w:val="21"/>
          <w:lang w:val="es-CO"/>
        </w:rPr>
        <w:t xml:space="preserve">[sic] </w:t>
      </w:r>
      <w:r w:rsidRPr="007340E7">
        <w:rPr>
          <w:rFonts w:ascii="Arial" w:eastAsia="Calibri" w:hAnsi="Arial" w:cs="Arial"/>
          <w:sz w:val="21"/>
          <w:szCs w:val="21"/>
          <w:lang w:val="es-CO"/>
        </w:rPr>
        <w:t>lunes en la tarde; la entidad en forma presunta, así no sea, tenia</w:t>
      </w:r>
      <w:r w:rsidR="00243758">
        <w:rPr>
          <w:rFonts w:ascii="Arial" w:eastAsia="Calibri" w:hAnsi="Arial" w:cs="Arial"/>
          <w:sz w:val="21"/>
          <w:szCs w:val="21"/>
          <w:lang w:val="es-CO"/>
        </w:rPr>
        <w:t xml:space="preserve"> [sic]</w:t>
      </w:r>
      <w:r w:rsidRPr="007340E7">
        <w:rPr>
          <w:rFonts w:ascii="Arial" w:eastAsia="Calibri" w:hAnsi="Arial" w:cs="Arial"/>
          <w:sz w:val="21"/>
          <w:szCs w:val="21"/>
          <w:lang w:val="es-CO"/>
        </w:rPr>
        <w:t xml:space="preserve"> la posibilidad de conocer la TRM, en </w:t>
      </w:r>
      <w:r w:rsidR="00BA761E">
        <w:rPr>
          <w:rFonts w:ascii="Arial" w:eastAsia="Calibri" w:hAnsi="Arial" w:cs="Arial"/>
          <w:sz w:val="21"/>
          <w:szCs w:val="21"/>
          <w:lang w:val="es-CO"/>
        </w:rPr>
        <w:t>contravía [sic]</w:t>
      </w:r>
      <w:r w:rsidRPr="007340E7">
        <w:rPr>
          <w:rFonts w:ascii="Arial" w:eastAsia="Calibri" w:hAnsi="Arial" w:cs="Arial"/>
          <w:sz w:val="21"/>
          <w:szCs w:val="21"/>
          <w:lang w:val="es-CO"/>
        </w:rPr>
        <w:t xml:space="preserve"> de lo dispuesto en el pliego respecto a que la entidad no podía conocer en ningún caso la TRM antes de </w:t>
      </w:r>
      <w:proofErr w:type="spellStart"/>
      <w:r w:rsidRPr="007340E7">
        <w:rPr>
          <w:rFonts w:ascii="Arial" w:eastAsia="Calibri" w:hAnsi="Arial" w:cs="Arial"/>
          <w:sz w:val="21"/>
          <w:szCs w:val="21"/>
          <w:lang w:val="es-CO"/>
        </w:rPr>
        <w:t>aperturar</w:t>
      </w:r>
      <w:proofErr w:type="spellEnd"/>
      <w:r w:rsidRPr="007340E7">
        <w:rPr>
          <w:rFonts w:ascii="Arial" w:eastAsia="Calibri" w:hAnsi="Arial" w:cs="Arial"/>
          <w:sz w:val="21"/>
          <w:szCs w:val="21"/>
          <w:lang w:val="es-CO"/>
        </w:rPr>
        <w:t xml:space="preserve"> el sobre No. 2.Respecto a esta situación, se requiere una aclaración por parte de Colombia Compra Eficiente, como formulador de los documentos tipo, en aras de zanjar ese vacío, ya sea explícitamente en los documentos tipo o mediante una </w:t>
      </w:r>
      <w:r w:rsidR="007A6DF0">
        <w:rPr>
          <w:rFonts w:ascii="Arial" w:eastAsia="Calibri" w:hAnsi="Arial" w:cs="Arial"/>
          <w:sz w:val="21"/>
          <w:szCs w:val="21"/>
          <w:lang w:val="es-CO"/>
        </w:rPr>
        <w:t>resolución [sic]</w:t>
      </w:r>
      <w:r w:rsidRPr="007340E7">
        <w:rPr>
          <w:rFonts w:ascii="Arial" w:eastAsia="Calibri" w:hAnsi="Arial" w:cs="Arial"/>
          <w:sz w:val="21"/>
          <w:szCs w:val="21"/>
          <w:lang w:val="es-CO"/>
        </w:rPr>
        <w:t xml:space="preserve"> al caso en concreto».</w:t>
      </w:r>
    </w:p>
    <w:bookmarkEnd w:id="3"/>
    <w:p w14:paraId="6EDD0425" w14:textId="77777777" w:rsidR="00B56368" w:rsidRPr="00BB0056" w:rsidRDefault="00B56368" w:rsidP="00B56368">
      <w:pPr>
        <w:tabs>
          <w:tab w:val="left" w:pos="426"/>
        </w:tabs>
        <w:spacing w:line="276" w:lineRule="auto"/>
        <w:jc w:val="both"/>
        <w:rPr>
          <w:rFonts w:ascii="Arial" w:eastAsia="Calibri" w:hAnsi="Arial" w:cs="Arial"/>
          <w:sz w:val="22"/>
          <w:lang w:val="es-CO"/>
        </w:rPr>
      </w:pPr>
    </w:p>
    <w:p w14:paraId="2FF4F65B" w14:textId="77777777" w:rsidR="00B56368" w:rsidRDefault="00B56368" w:rsidP="00B56368">
      <w:pPr>
        <w:pStyle w:val="Prrafodelista"/>
        <w:numPr>
          <w:ilvl w:val="0"/>
          <w:numId w:val="1"/>
        </w:numPr>
        <w:tabs>
          <w:tab w:val="left" w:pos="426"/>
        </w:tabs>
        <w:spacing w:line="276" w:lineRule="auto"/>
        <w:ind w:left="284" w:hanging="284"/>
        <w:jc w:val="both"/>
        <w:rPr>
          <w:rFonts w:ascii="Arial" w:eastAsia="Calibri" w:hAnsi="Arial" w:cs="Arial"/>
          <w:b/>
          <w:sz w:val="22"/>
          <w:lang w:val="es-CO"/>
        </w:rPr>
      </w:pPr>
      <w:r w:rsidRPr="00BB0056">
        <w:rPr>
          <w:rFonts w:ascii="Arial" w:eastAsia="Calibri" w:hAnsi="Arial" w:cs="Arial"/>
          <w:b/>
          <w:sz w:val="22"/>
          <w:lang w:val="es-CO"/>
        </w:rPr>
        <w:t>Consideraciones</w:t>
      </w:r>
    </w:p>
    <w:p w14:paraId="639BBEB9" w14:textId="77777777" w:rsidR="00B56368" w:rsidRDefault="00B56368" w:rsidP="00B56368">
      <w:pPr>
        <w:tabs>
          <w:tab w:val="left" w:pos="426"/>
        </w:tabs>
        <w:spacing w:line="276" w:lineRule="auto"/>
        <w:jc w:val="both"/>
        <w:rPr>
          <w:rFonts w:ascii="Arial" w:eastAsia="Calibri" w:hAnsi="Arial" w:cs="Arial"/>
          <w:b/>
          <w:sz w:val="22"/>
          <w:lang w:val="es-CO"/>
        </w:rPr>
      </w:pPr>
    </w:p>
    <w:p w14:paraId="537DDA72" w14:textId="2F819046" w:rsidR="00AF465E" w:rsidRPr="00AF465E" w:rsidRDefault="00AF465E" w:rsidP="00E72025">
      <w:pPr>
        <w:spacing w:after="120" w:line="276" w:lineRule="auto"/>
        <w:jc w:val="both"/>
        <w:rPr>
          <w:rFonts w:ascii="Arial" w:eastAsia="Calibri" w:hAnsi="Arial" w:cs="Arial"/>
          <w:sz w:val="22"/>
          <w:lang w:val="es-ES"/>
        </w:rPr>
      </w:pPr>
      <w:r w:rsidRPr="00AF465E">
        <w:rPr>
          <w:rFonts w:ascii="Arial" w:eastAsia="Calibri" w:hAnsi="Arial" w:cs="Arial"/>
          <w:bCs/>
          <w:sz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id="4" w:name="_Hlk61701014"/>
      <w:bookmarkStart w:id="5" w:name="_Hlk62136649"/>
      <w:r w:rsidR="000F4D99">
        <w:rPr>
          <w:rFonts w:ascii="Arial" w:eastAsia="Calibri" w:hAnsi="Arial" w:cs="Arial"/>
          <w:sz w:val="22"/>
          <w:lang w:val="es-ES"/>
        </w:rPr>
        <w:t xml:space="preserve"> </w:t>
      </w:r>
      <w:r w:rsidRPr="00AF465E">
        <w:rPr>
          <w:rFonts w:ascii="Arial" w:eastAsia="Calibri" w:hAnsi="Arial" w:cs="Arial"/>
          <w:sz w:val="22"/>
          <w:lang w:val="es-ES"/>
        </w:rPr>
        <w:t xml:space="preserve">Es necesario tener en cuenta que </w:t>
      </w:r>
      <w:bookmarkStart w:id="6" w:name="_Hlk61026958"/>
      <w:r w:rsidRPr="00AF465E">
        <w:rPr>
          <w:rFonts w:ascii="Arial" w:eastAsia="Calibri" w:hAnsi="Arial" w:cs="Arial"/>
          <w:sz w:val="22"/>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AF465E">
        <w:rPr>
          <w:rFonts w:ascii="Arial" w:eastAsia="Calibri" w:hAnsi="Arial" w:cs="Arial"/>
          <w:bCs/>
          <w:sz w:val="22"/>
        </w:rPr>
        <w:t xml:space="preserve"> de todos los partícipes de la contratación estatal.</w:t>
      </w:r>
    </w:p>
    <w:p w14:paraId="1E323616" w14:textId="4C00DFFA" w:rsidR="00AF465E" w:rsidRPr="00AF465E" w:rsidRDefault="00AF465E" w:rsidP="00AF465E">
      <w:pPr>
        <w:spacing w:after="120" w:line="276" w:lineRule="auto"/>
        <w:ind w:firstLine="708"/>
        <w:jc w:val="both"/>
        <w:rPr>
          <w:rFonts w:ascii="Arial" w:eastAsia="Calibri" w:hAnsi="Arial" w:cs="Arial"/>
          <w:sz w:val="22"/>
          <w:lang w:val="es-ES"/>
        </w:rPr>
      </w:pPr>
      <w:r w:rsidRPr="00AF465E">
        <w:rPr>
          <w:rFonts w:ascii="Arial" w:eastAsia="Calibri" w:hAnsi="Arial"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AF465E">
        <w:rPr>
          <w:rFonts w:ascii="Arial" w:eastAsia="Calibri" w:hAnsi="Arial" w:cs="Arial"/>
          <w:sz w:val="22"/>
          <w:vertAlign w:val="superscript"/>
          <w:lang w:val="es-ES"/>
        </w:rPr>
        <w:footnoteReference w:id="2"/>
      </w:r>
      <w:r w:rsidRPr="00AF465E">
        <w:rPr>
          <w:rFonts w:ascii="Arial" w:eastAsia="Calibri" w:hAnsi="Arial" w:cs="Arial"/>
          <w:sz w:val="22"/>
          <w:lang w:val="es-ES"/>
        </w:rPr>
        <w:t xml:space="preserve">. Esta competencia de interpretación de normas generales, por definición, no puede extenderse </w:t>
      </w:r>
      <w:r w:rsidRPr="00AF465E">
        <w:rPr>
          <w:rFonts w:ascii="Arial" w:eastAsia="Calibri" w:hAnsi="Arial" w:cs="Arial"/>
          <w:sz w:val="22"/>
          <w:lang w:val="es-ES"/>
        </w:rPr>
        <w:lastRenderedPageBreak/>
        <w:t>a la resolución de controversias, ni a brindar asesorías sobre casos puntuales. Esto en la medida en que</w:t>
      </w:r>
      <w:r w:rsidR="00A54D40">
        <w:rPr>
          <w:rFonts w:ascii="Arial" w:eastAsia="Calibri" w:hAnsi="Arial" w:cs="Arial"/>
          <w:sz w:val="22"/>
          <w:lang w:val="es-ES"/>
        </w:rPr>
        <w:t xml:space="preserve">, </w:t>
      </w:r>
      <w:r w:rsidRPr="00AF465E">
        <w:rPr>
          <w:rFonts w:ascii="Arial" w:eastAsia="Calibri" w:hAnsi="Arial" w:cs="Arial"/>
          <w:sz w:val="22"/>
          <w:lang w:val="es-ES"/>
        </w:rPr>
        <w:t>para resolver una consulta de carácter particular, además de conocer un sinnúmero de detalles de la actuación administrativa, es necesario acceder al expediente y a los documentos del procedimiento contractual donde surge la inquietud</w:t>
      </w:r>
      <w:bookmarkEnd w:id="6"/>
      <w:r w:rsidRPr="00AF465E">
        <w:rPr>
          <w:rFonts w:ascii="Arial" w:eastAsia="Calibri" w:hAnsi="Arial" w:cs="Arial"/>
          <w:sz w:val="22"/>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4"/>
    </w:p>
    <w:bookmarkEnd w:id="5"/>
    <w:p w14:paraId="4024DEEC" w14:textId="2F058235" w:rsidR="007C05C2" w:rsidRDefault="00AF465E" w:rsidP="007C05C2">
      <w:pPr>
        <w:spacing w:after="120" w:line="276" w:lineRule="auto"/>
        <w:ind w:firstLine="708"/>
        <w:jc w:val="both"/>
        <w:rPr>
          <w:rFonts w:ascii="Arial" w:eastAsia="Calibri" w:hAnsi="Arial" w:cs="Arial"/>
          <w:color w:val="000000"/>
          <w:sz w:val="22"/>
          <w:lang w:val="es-ES"/>
        </w:rPr>
      </w:pPr>
      <w:r w:rsidRPr="00AF465E">
        <w:rPr>
          <w:rFonts w:ascii="Arial" w:eastAsia="Calibri" w:hAnsi="Arial" w:cs="Arial"/>
          <w:color w:val="000000"/>
          <w:sz w:val="22"/>
        </w:rPr>
        <w:t xml:space="preserve">Sin perjuicio de lo anterior, </w:t>
      </w:r>
      <w:r w:rsidRPr="00AF465E">
        <w:rPr>
          <w:rFonts w:ascii="Arial" w:eastAsia="Calibri" w:hAnsi="Arial" w:cs="Arial"/>
          <w:color w:val="000000"/>
          <w:sz w:val="22"/>
          <w:lang w:val="es-ES"/>
        </w:rPr>
        <w:t xml:space="preserve">la Subdirección –dentro de los límites de sus atribuciones, esto es, </w:t>
      </w:r>
      <w:bookmarkStart w:id="7" w:name="_Hlk61025408"/>
      <w:r w:rsidRPr="00AF465E">
        <w:rPr>
          <w:rFonts w:ascii="Arial" w:eastAsia="Calibri" w:hAnsi="Arial" w:cs="Arial"/>
          <w:color w:val="000000"/>
          <w:sz w:val="22"/>
          <w:lang w:val="es-ES"/>
        </w:rPr>
        <w:t>haciendo abstracción del caso particular expuesto por el peticionario</w:t>
      </w:r>
      <w:bookmarkEnd w:id="7"/>
      <w:r w:rsidRPr="00AF465E">
        <w:rPr>
          <w:rFonts w:ascii="Arial" w:eastAsia="Calibri" w:hAnsi="Arial" w:cs="Arial"/>
          <w:color w:val="000000"/>
          <w:sz w:val="22"/>
          <w:lang w:val="es-ES"/>
        </w:rPr>
        <w:t>– resolverá la consulta conforme a las normas generales en materia de contratación estatal. Con este objetivo se analizarán los siguientes temas:</w:t>
      </w:r>
      <w:r w:rsidRPr="00AF465E">
        <w:rPr>
          <w:rFonts w:ascii="Arial" w:eastAsia="Calibri" w:hAnsi="Arial" w:cs="Arial"/>
          <w:bCs/>
          <w:sz w:val="22"/>
          <w:lang w:val="es-CO"/>
        </w:rPr>
        <w:t xml:space="preserve"> </w:t>
      </w:r>
      <w:r w:rsidRPr="0016266F">
        <w:rPr>
          <w:rFonts w:ascii="Arial" w:eastAsia="Calibri" w:hAnsi="Arial" w:cs="Arial"/>
          <w:bCs/>
          <w:sz w:val="22"/>
          <w:lang w:val="es-CO"/>
        </w:rPr>
        <w:t xml:space="preserve">i) </w:t>
      </w:r>
      <w:r w:rsidR="009C111E" w:rsidRPr="0016266F">
        <w:rPr>
          <w:rFonts w:ascii="Arial" w:eastAsia="Calibri" w:hAnsi="Arial" w:cs="Arial"/>
          <w:bCs/>
          <w:sz w:val="22"/>
          <w:lang w:val="es-CO"/>
        </w:rPr>
        <w:t xml:space="preserve">generalidades de los documentos tipo de infraestructura de transporte, y </w:t>
      </w:r>
      <w:proofErr w:type="spellStart"/>
      <w:r w:rsidR="009C111E" w:rsidRPr="0016266F">
        <w:rPr>
          <w:rFonts w:ascii="Arial" w:eastAsia="Calibri" w:hAnsi="Arial" w:cs="Arial"/>
          <w:bCs/>
          <w:sz w:val="22"/>
          <w:lang w:val="es-CO"/>
        </w:rPr>
        <w:t>ii</w:t>
      </w:r>
      <w:proofErr w:type="spellEnd"/>
      <w:r w:rsidR="009C111E" w:rsidRPr="0016266F">
        <w:rPr>
          <w:rFonts w:ascii="Arial" w:eastAsia="Calibri" w:hAnsi="Arial" w:cs="Arial"/>
          <w:bCs/>
          <w:sz w:val="22"/>
          <w:lang w:val="es-CO"/>
        </w:rPr>
        <w:t>)</w:t>
      </w:r>
      <w:r w:rsidR="00736B45" w:rsidRPr="0016266F">
        <w:rPr>
          <w:rFonts w:ascii="Arial" w:eastAsia="Calibri" w:hAnsi="Arial" w:cs="Arial"/>
          <w:bCs/>
          <w:sz w:val="22"/>
          <w:lang w:val="es-CO"/>
        </w:rPr>
        <w:t xml:space="preserve"> </w:t>
      </w:r>
      <w:r w:rsidR="007C05C2" w:rsidRPr="0016266F">
        <w:rPr>
          <w:rFonts w:ascii="Arial" w:eastAsia="Calibri" w:hAnsi="Arial" w:cs="Arial"/>
          <w:bCs/>
          <w:sz w:val="22"/>
          <w:lang w:val="es-CO"/>
        </w:rPr>
        <w:t>ponderación de la propuesta económica en los documentos tipo de licitación de obra pública de infraestructura de transporte –versión 3–.</w:t>
      </w:r>
    </w:p>
    <w:p w14:paraId="68F0ABDA" w14:textId="6619E17A" w:rsidR="00B56368" w:rsidRPr="007C05C2" w:rsidRDefault="00B56368" w:rsidP="007C05C2">
      <w:pPr>
        <w:spacing w:line="276" w:lineRule="auto"/>
        <w:ind w:firstLine="709"/>
        <w:jc w:val="both"/>
        <w:rPr>
          <w:rFonts w:ascii="Arial" w:eastAsia="Calibri" w:hAnsi="Arial" w:cs="Arial"/>
          <w:color w:val="000000"/>
          <w:sz w:val="22"/>
          <w:lang w:val="es-ES"/>
        </w:rPr>
      </w:pPr>
      <w:r w:rsidRPr="009C7D09">
        <w:rPr>
          <w:rFonts w:ascii="Arial" w:eastAsia="Calibri" w:hAnsi="Arial" w:cs="Arial"/>
          <w:color w:val="000000" w:themeColor="text1"/>
          <w:sz w:val="22"/>
          <w:lang w:val="es-ES_tradnl"/>
        </w:rPr>
        <w:t>La Agencia Nacional de Contratación Pública – Colombia Compra Eficiente se pronunció sobre la regulación relacionada con la elección y aplicación del método</w:t>
      </w:r>
      <w:r>
        <w:rPr>
          <w:rFonts w:ascii="Arial" w:eastAsia="Calibri" w:hAnsi="Arial" w:cs="Arial"/>
          <w:color w:val="000000" w:themeColor="text1"/>
          <w:sz w:val="22"/>
          <w:lang w:val="es-ES_tradnl"/>
        </w:rPr>
        <w:t xml:space="preserve"> </w:t>
      </w:r>
      <w:r w:rsidRPr="009C7D09">
        <w:rPr>
          <w:rFonts w:ascii="Arial" w:eastAsia="Calibri" w:hAnsi="Arial" w:cs="Arial"/>
          <w:color w:val="000000" w:themeColor="text1"/>
          <w:sz w:val="22"/>
          <w:lang w:val="es-ES_tradnl"/>
        </w:rPr>
        <w:t>de ponderación</w:t>
      </w:r>
      <w:r>
        <w:rPr>
          <w:rFonts w:ascii="Arial" w:eastAsia="Calibri" w:hAnsi="Arial" w:cs="Arial"/>
          <w:color w:val="000000" w:themeColor="text1"/>
          <w:sz w:val="22"/>
          <w:lang w:val="es-ES_tradnl"/>
        </w:rPr>
        <w:t xml:space="preserve"> de ofertas</w:t>
      </w:r>
      <w:r w:rsidRPr="009C7D09">
        <w:rPr>
          <w:rFonts w:ascii="Arial" w:eastAsia="Calibri" w:hAnsi="Arial" w:cs="Arial"/>
          <w:color w:val="000000" w:themeColor="text1"/>
          <w:sz w:val="22"/>
          <w:lang w:val="es-ES_tradnl"/>
        </w:rPr>
        <w:t xml:space="preserve"> </w:t>
      </w:r>
      <w:r>
        <w:rPr>
          <w:rFonts w:ascii="Arial" w:eastAsia="Calibri" w:hAnsi="Arial" w:cs="Arial"/>
          <w:color w:val="000000" w:themeColor="text1"/>
          <w:sz w:val="22"/>
          <w:lang w:val="es-ES_tradnl"/>
        </w:rPr>
        <w:t xml:space="preserve">económicas </w:t>
      </w:r>
      <w:r w:rsidRPr="009C7D09">
        <w:rPr>
          <w:rFonts w:ascii="Arial" w:eastAsia="Calibri" w:hAnsi="Arial" w:cs="Arial"/>
          <w:color w:val="000000" w:themeColor="text1"/>
          <w:sz w:val="22"/>
          <w:lang w:val="es-ES_tradnl"/>
        </w:rPr>
        <w:t xml:space="preserve">en procesos contractuales regidos por documentos tipo </w:t>
      </w:r>
      <w:r>
        <w:rPr>
          <w:rFonts w:ascii="Arial" w:eastAsia="Calibri" w:hAnsi="Arial" w:cs="Arial"/>
          <w:color w:val="000000" w:themeColor="text1"/>
          <w:sz w:val="22"/>
          <w:lang w:val="es-ES_tradnl"/>
        </w:rPr>
        <w:t>en</w:t>
      </w:r>
      <w:r w:rsidRPr="009C7D09">
        <w:rPr>
          <w:rFonts w:ascii="Arial" w:eastAsia="Calibri" w:hAnsi="Arial" w:cs="Arial"/>
          <w:color w:val="000000" w:themeColor="text1"/>
          <w:sz w:val="22"/>
          <w:lang w:val="es-ES_tradnl"/>
        </w:rPr>
        <w:t xml:space="preserve"> los conceptos C-193 del 6 de abril de 2020, C-279 del 18 de mayo de 2020, C-349 del 23 de junio de 2020, C-431 del 9 de julio de 2020, C-793 del 20 de enero de 2021, C-810 del 8 de febrero de 2021, C-011 del 17 de febrero de 2021, C-042 del 3 de marzo de </w:t>
      </w:r>
      <w:r>
        <w:rPr>
          <w:rFonts w:ascii="Arial" w:eastAsia="Calibri" w:hAnsi="Arial" w:cs="Arial"/>
          <w:color w:val="000000" w:themeColor="text1"/>
          <w:sz w:val="22"/>
          <w:lang w:val="es-ES_tradnl"/>
        </w:rPr>
        <w:t xml:space="preserve">2021, </w:t>
      </w:r>
      <w:r w:rsidRPr="009C7D09">
        <w:rPr>
          <w:rFonts w:ascii="Arial" w:eastAsia="Calibri" w:hAnsi="Arial" w:cs="Arial"/>
          <w:color w:val="000000" w:themeColor="text1"/>
          <w:sz w:val="22"/>
          <w:lang w:val="es-ES_tradnl"/>
        </w:rPr>
        <w:t>C-174 del 26 de abril de 2021</w:t>
      </w:r>
      <w:r>
        <w:rPr>
          <w:rFonts w:ascii="Arial" w:eastAsia="Calibri" w:hAnsi="Arial" w:cs="Arial"/>
          <w:color w:val="000000" w:themeColor="text1"/>
          <w:sz w:val="22"/>
          <w:lang w:val="es-ES_tradnl"/>
        </w:rPr>
        <w:t>, C-332 del 7 de mayo de 2021, C-412 del 17 de agosto de 2021, C-402 del 19 de agosto de 2021, C-425 del 19 de agosto de 2021, C-632 del 19 de noviembre de 2021, C-680 del 9 de diciembre de 2021</w:t>
      </w:r>
      <w:r w:rsidR="00E22973">
        <w:rPr>
          <w:rFonts w:ascii="Arial" w:eastAsia="Calibri" w:hAnsi="Arial" w:cs="Arial"/>
          <w:color w:val="000000" w:themeColor="text1"/>
          <w:sz w:val="22"/>
          <w:lang w:val="es-ES_tradnl"/>
        </w:rPr>
        <w:t xml:space="preserve">, </w:t>
      </w:r>
      <w:r>
        <w:rPr>
          <w:rFonts w:ascii="Arial" w:eastAsia="Calibri" w:hAnsi="Arial" w:cs="Arial"/>
          <w:color w:val="000000" w:themeColor="text1"/>
          <w:sz w:val="22"/>
          <w:lang w:val="es-ES_tradnl"/>
        </w:rPr>
        <w:t>C-722 del 20 de diciembre de 2021</w:t>
      </w:r>
      <w:r w:rsidR="00E22973">
        <w:rPr>
          <w:rFonts w:ascii="Arial" w:eastAsia="Calibri" w:hAnsi="Arial" w:cs="Arial"/>
          <w:color w:val="000000" w:themeColor="text1"/>
          <w:sz w:val="22"/>
          <w:lang w:val="es-ES_tradnl"/>
        </w:rPr>
        <w:t xml:space="preserve"> y C-751 del </w:t>
      </w:r>
      <w:r w:rsidR="00F80181">
        <w:rPr>
          <w:rFonts w:ascii="Arial" w:eastAsia="Calibri" w:hAnsi="Arial" w:cs="Arial"/>
          <w:color w:val="000000" w:themeColor="text1"/>
          <w:sz w:val="22"/>
          <w:lang w:val="es-ES_tradnl"/>
        </w:rPr>
        <w:t>7 de febrero de 2022</w:t>
      </w:r>
      <w:r>
        <w:rPr>
          <w:rFonts w:ascii="Arial" w:eastAsia="Calibri" w:hAnsi="Arial" w:cs="Arial"/>
          <w:color w:val="000000" w:themeColor="text1"/>
          <w:sz w:val="22"/>
          <w:lang w:val="es-ES_tradnl"/>
        </w:rPr>
        <w:t>.</w:t>
      </w:r>
      <w:r w:rsidRPr="00E91076">
        <w:rPr>
          <w:rFonts w:ascii="Arial" w:hAnsi="Arial" w:cs="Arial"/>
          <w:color w:val="000000" w:themeColor="text1"/>
          <w:sz w:val="22"/>
          <w:lang w:val="es-ES_tradnl"/>
        </w:rPr>
        <w:t xml:space="preserve"> La tesis propuesta en estos conceptos se reitera</w:t>
      </w:r>
      <w:r>
        <w:rPr>
          <w:rFonts w:ascii="Arial" w:hAnsi="Arial" w:cs="Arial"/>
          <w:color w:val="000000" w:themeColor="text1"/>
          <w:sz w:val="22"/>
          <w:lang w:val="es-ES_tradnl"/>
        </w:rPr>
        <w:t xml:space="preserve"> y se complementa a continuación, tomando como base los documentos tipo de licitación de obra pública de infraestructura de transporte.</w:t>
      </w:r>
    </w:p>
    <w:p w14:paraId="31E7C095" w14:textId="77777777" w:rsidR="003E10F5" w:rsidRDefault="003E10F5" w:rsidP="00B56368">
      <w:pPr>
        <w:tabs>
          <w:tab w:val="left" w:pos="426"/>
        </w:tabs>
        <w:spacing w:line="276" w:lineRule="auto"/>
        <w:jc w:val="both"/>
        <w:rPr>
          <w:rFonts w:ascii="Arial" w:eastAsia="Calibri" w:hAnsi="Arial" w:cs="Arial"/>
          <w:b/>
          <w:sz w:val="22"/>
          <w:lang w:val="es-CO"/>
        </w:rPr>
      </w:pPr>
    </w:p>
    <w:p w14:paraId="66B865DA" w14:textId="77777777" w:rsidR="00B56368" w:rsidRDefault="00B56368" w:rsidP="00B56368">
      <w:pPr>
        <w:tabs>
          <w:tab w:val="left" w:pos="426"/>
        </w:tabs>
        <w:jc w:val="both"/>
        <w:rPr>
          <w:rFonts w:ascii="Arial" w:eastAsia="Calibri" w:hAnsi="Arial" w:cs="Arial"/>
          <w:b/>
          <w:sz w:val="22"/>
          <w:lang w:val="es-CO"/>
        </w:rPr>
      </w:pPr>
      <w:r>
        <w:rPr>
          <w:rFonts w:ascii="Arial" w:eastAsia="Calibri" w:hAnsi="Arial" w:cs="Arial"/>
          <w:b/>
          <w:sz w:val="22"/>
          <w:lang w:val="es-CO"/>
        </w:rPr>
        <w:t>2.1. Generalidades de los documentos tipo de infraestructura de transporte</w:t>
      </w:r>
    </w:p>
    <w:p w14:paraId="1006BFD7" w14:textId="77777777" w:rsidR="003E10F5" w:rsidRDefault="003E10F5" w:rsidP="00B56368">
      <w:pPr>
        <w:shd w:val="clear" w:color="auto" w:fill="FFFFFF"/>
        <w:spacing w:line="276" w:lineRule="auto"/>
        <w:jc w:val="both"/>
        <w:rPr>
          <w:rFonts w:ascii="Arial" w:hAnsi="Arial" w:cs="Arial"/>
          <w:color w:val="0D0D0D"/>
          <w:sz w:val="22"/>
          <w:bdr w:val="none" w:sz="0" w:space="0" w:color="auto" w:frame="1"/>
          <w:lang w:eastAsia="es-CO"/>
        </w:rPr>
      </w:pPr>
      <w:bookmarkStart w:id="8" w:name="_Hlk95143392"/>
    </w:p>
    <w:p w14:paraId="61883F1C" w14:textId="3B7EF195" w:rsidR="00B56368" w:rsidRPr="0043040E" w:rsidRDefault="00B56368" w:rsidP="00B56368">
      <w:pPr>
        <w:shd w:val="clear" w:color="auto" w:fill="FFFFFF"/>
        <w:spacing w:line="276" w:lineRule="auto"/>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t xml:space="preserve">Los pliegos tipo </w:t>
      </w:r>
      <w:r>
        <w:rPr>
          <w:rFonts w:ascii="Arial" w:hAnsi="Arial" w:cs="Arial"/>
          <w:color w:val="0D0D0D"/>
          <w:sz w:val="22"/>
          <w:bdr w:val="none" w:sz="0" w:space="0" w:color="auto" w:frame="1"/>
          <w:lang w:eastAsia="es-CO"/>
        </w:rPr>
        <w:t>surgen</w:t>
      </w:r>
      <w:r w:rsidRPr="0043040E">
        <w:rPr>
          <w:rFonts w:ascii="Arial" w:hAnsi="Arial" w:cs="Arial"/>
          <w:color w:val="0D0D0D"/>
          <w:sz w:val="22"/>
          <w:bdr w:val="none" w:sz="0" w:space="0" w:color="auto" w:frame="1"/>
          <w:lang w:eastAsia="es-CO"/>
        </w:rPr>
        <w:t xml:space="preserve"> en el 2007 cuando el legislador facultó al Gobierno Nacional para adoptarlos en la compra o suministro de bienes de características técnicas uniformes</w:t>
      </w:r>
      <w:r w:rsidRPr="00CA5C6B">
        <w:rPr>
          <w:rStyle w:val="Refdenotaalpie"/>
          <w:rFonts w:ascii="Arial" w:hAnsi="Arial" w:cs="Arial"/>
          <w:color w:val="0D0D0D"/>
          <w:sz w:val="22"/>
          <w:bdr w:val="none" w:sz="0" w:space="0" w:color="auto" w:frame="1"/>
          <w:lang w:eastAsia="es-CO"/>
        </w:rPr>
        <w:footnoteReference w:id="3"/>
      </w:r>
      <w:r w:rsidRPr="0043040E">
        <w:rPr>
          <w:rFonts w:ascii="Arial" w:hAnsi="Arial" w:cs="Arial"/>
          <w:color w:val="0D0D0D"/>
          <w:sz w:val="22"/>
          <w:bdr w:val="none" w:sz="0" w:space="0" w:color="auto" w:frame="1"/>
          <w:lang w:eastAsia="es-CO"/>
        </w:rPr>
        <w:t xml:space="preserve">. La </w:t>
      </w:r>
      <w:r w:rsidRPr="0043040E">
        <w:rPr>
          <w:rFonts w:ascii="Arial" w:hAnsi="Arial" w:cs="Arial"/>
          <w:color w:val="0D0D0D"/>
          <w:sz w:val="22"/>
          <w:bdr w:val="none" w:sz="0" w:space="0" w:color="auto" w:frame="1"/>
          <w:lang w:eastAsia="es-CO"/>
        </w:rPr>
        <w:lastRenderedPageBreak/>
        <w:t>orientación inicial del proyecto que se convirtió en la Ley 1150 de 2007 era facultar al Gobierno Nacional para adoptar los pliegos tipo en todos los contratos estatales, pues en el proyecto el parágrafo 3º disponía que: «El Gobierno Nacional tendrá la facultad de estandarizar los pliegos de condiciones o términos de referencia y los contratos de las entidades estatales»</w:t>
      </w:r>
      <w:r w:rsidRPr="00CA5C6B">
        <w:rPr>
          <w:rStyle w:val="Refdenotaalpie"/>
          <w:rFonts w:ascii="Arial" w:hAnsi="Arial" w:cs="Arial"/>
          <w:color w:val="0D0D0D"/>
          <w:sz w:val="22"/>
          <w:bdr w:val="none" w:sz="0" w:space="0" w:color="auto" w:frame="1"/>
          <w:lang w:eastAsia="es-CO"/>
        </w:rPr>
        <w:footnoteReference w:id="4"/>
      </w:r>
      <w:r w:rsidRPr="0043040E">
        <w:rPr>
          <w:rFonts w:ascii="Arial" w:hAnsi="Arial" w:cs="Arial"/>
          <w:color w:val="0D0D0D"/>
          <w:sz w:val="22"/>
          <w:bdr w:val="none" w:sz="0" w:space="0" w:color="auto" w:frame="1"/>
          <w:lang w:eastAsia="es-CO"/>
        </w:rPr>
        <w:t>. </w:t>
      </w:r>
    </w:p>
    <w:p w14:paraId="42EA0EA1" w14:textId="77777777" w:rsidR="00B56368" w:rsidRPr="0043040E" w:rsidRDefault="00B56368" w:rsidP="00B56368">
      <w:pPr>
        <w:shd w:val="clear" w:color="auto" w:fill="FFFFFF"/>
        <w:spacing w:before="120" w:line="276" w:lineRule="auto"/>
        <w:ind w:firstLine="708"/>
        <w:jc w:val="both"/>
        <w:rPr>
          <w:rFonts w:ascii="Arial" w:hAnsi="Arial" w:cs="Arial"/>
          <w:color w:val="0D0D0D"/>
          <w:sz w:val="22"/>
          <w:bdr w:val="none" w:sz="0" w:space="0" w:color="auto" w:frame="1"/>
          <w:lang w:eastAsia="es-CO"/>
        </w:rPr>
      </w:pPr>
      <w:bookmarkStart w:id="9" w:name="_Hlk95143447"/>
      <w:bookmarkEnd w:id="8"/>
      <w:r w:rsidRPr="0043040E">
        <w:rPr>
          <w:rFonts w:ascii="Arial" w:hAnsi="Arial" w:cs="Arial"/>
          <w:color w:val="0D0D0D"/>
          <w:sz w:val="22"/>
          <w:bdr w:val="none" w:sz="0" w:space="0" w:color="auto" w:frame="1"/>
          <w:lang w:eastAsia="es-CO"/>
        </w:rPr>
        <w:t>La intención era agilizar y dar mayor transparencia a los procedimientos de selección, así como evitar el direccionamiento, razón por la cual –conforme a lo explicado en la exposición de motivos– «[…]</w:t>
      </w:r>
      <w:r w:rsidRPr="00CA5C6B">
        <w:rPr>
          <w:rFonts w:ascii="Arial" w:hAnsi="Arial" w:cs="Arial"/>
          <w:color w:val="0D0D0D"/>
          <w:sz w:val="22"/>
          <w:bdr w:val="none" w:sz="0" w:space="0" w:color="auto" w:frame="1"/>
          <w:lang w:eastAsia="es-CO"/>
        </w:rPr>
        <w:t xml:space="preserve"> </w:t>
      </w:r>
      <w:r w:rsidRPr="0043040E">
        <w:rPr>
          <w:rFonts w:ascii="Arial" w:hAnsi="Arial" w:cs="Arial"/>
          <w:color w:val="0D0D0D"/>
          <w:sz w:val="22"/>
          <w:bdr w:val="none" w:sz="0" w:space="0" w:color="auto" w:frame="1"/>
          <w:lang w:eastAsia="es-CO"/>
        </w:rPr>
        <w:t>se asigna al Gobierno Nacional la facultad de estandarizar los pliegos de condiciones y términos de referencia de los contratos, medida que redundará en la agilidad y claridad de los procedimientos»</w:t>
      </w:r>
      <w:r w:rsidRPr="00CA5C6B">
        <w:rPr>
          <w:rStyle w:val="Refdenotaalpie"/>
          <w:rFonts w:ascii="Arial" w:hAnsi="Arial" w:cs="Arial"/>
          <w:color w:val="0D0D0D"/>
          <w:sz w:val="22"/>
          <w:bdr w:val="none" w:sz="0" w:space="0" w:color="auto" w:frame="1"/>
          <w:lang w:eastAsia="es-CO"/>
        </w:rPr>
        <w:footnoteReference w:id="5"/>
      </w:r>
      <w:r w:rsidRPr="0043040E">
        <w:rPr>
          <w:rFonts w:ascii="Arial" w:hAnsi="Arial" w:cs="Arial"/>
          <w:color w:val="0D0D0D"/>
          <w:sz w:val="22"/>
          <w:bdr w:val="none" w:sz="0" w:space="0" w:color="auto" w:frame="1"/>
          <w:lang w:eastAsia="es-CO"/>
        </w:rPr>
        <w:t>. Sin embargo, en el texto aprobado, los pliegos tipo se limitaron a la adquisición o suministro de bienes de características técnicas uniformes</w:t>
      </w:r>
      <w:r w:rsidRPr="00CA5C6B">
        <w:rPr>
          <w:rStyle w:val="Refdenotaalpie"/>
          <w:rFonts w:ascii="Arial" w:hAnsi="Arial" w:cs="Arial"/>
          <w:color w:val="0D0D0D"/>
          <w:sz w:val="22"/>
          <w:bdr w:val="none" w:sz="0" w:space="0" w:color="auto" w:frame="1"/>
          <w:lang w:eastAsia="es-CO"/>
        </w:rPr>
        <w:footnoteReference w:id="6"/>
      </w:r>
      <w:r w:rsidRPr="0043040E">
        <w:rPr>
          <w:rFonts w:ascii="Arial" w:hAnsi="Arial" w:cs="Arial"/>
          <w:color w:val="0D0D0D"/>
          <w:sz w:val="22"/>
          <w:bdr w:val="none" w:sz="0" w:space="0" w:color="auto" w:frame="1"/>
          <w:lang w:eastAsia="es-CO"/>
        </w:rPr>
        <w:t>. </w:t>
      </w:r>
    </w:p>
    <w:bookmarkEnd w:id="9"/>
    <w:p w14:paraId="28402130" w14:textId="77777777" w:rsidR="00B56368" w:rsidRDefault="00B56368" w:rsidP="00B56368">
      <w:pPr>
        <w:shd w:val="clear" w:color="auto" w:fill="FFFFFF"/>
        <w:spacing w:before="120" w:line="276" w:lineRule="auto"/>
        <w:ind w:firstLine="709"/>
        <w:jc w:val="both"/>
        <w:rPr>
          <w:rFonts w:ascii="Arial" w:hAnsi="Arial" w:cs="Arial"/>
          <w:color w:val="0D0D0D"/>
          <w:sz w:val="22"/>
          <w:bdr w:val="none" w:sz="0" w:space="0" w:color="auto" w:frame="1"/>
          <w:lang w:eastAsia="es-CO"/>
        </w:rPr>
      </w:pPr>
      <w:r w:rsidRPr="0043040E">
        <w:rPr>
          <w:rFonts w:ascii="Arial" w:hAnsi="Arial" w:cs="Arial"/>
          <w:color w:val="0D0D0D"/>
          <w:sz w:val="22"/>
          <w:bdr w:val="none" w:sz="0" w:space="0" w:color="auto" w:frame="1"/>
          <w:lang w:eastAsia="es-CO"/>
        </w:rPr>
        <w:t>Posteriormente, el artículo 2, parágrafo 7º, de la Ley 1150 de 2007, adicionado por el artículo 4 de la Ley 1882 de 2018, establec</w:t>
      </w:r>
      <w:r>
        <w:rPr>
          <w:rFonts w:ascii="Arial" w:hAnsi="Arial" w:cs="Arial"/>
          <w:color w:val="0D0D0D"/>
          <w:sz w:val="22"/>
          <w:bdr w:val="none" w:sz="0" w:space="0" w:color="auto" w:frame="1"/>
          <w:lang w:eastAsia="es-CO"/>
        </w:rPr>
        <w:t>ió</w:t>
      </w:r>
      <w:r w:rsidRPr="0043040E">
        <w:rPr>
          <w:rFonts w:ascii="Arial" w:hAnsi="Arial" w:cs="Arial"/>
          <w:color w:val="0D0D0D"/>
          <w:sz w:val="22"/>
          <w:bdr w:val="none" w:sz="0" w:space="0" w:color="auto" w:frame="1"/>
          <w:lang w:eastAsia="es-CO"/>
        </w:rPr>
        <w:t xml:space="preserve"> la obligatoriedad de la adopción de documentos tipo para algunos contratos, en los siguientes términos: </w:t>
      </w:r>
    </w:p>
    <w:p w14:paraId="3F45FB17" w14:textId="77777777" w:rsidR="00B56368" w:rsidRPr="0043040E" w:rsidRDefault="00B56368" w:rsidP="00B56368">
      <w:pPr>
        <w:shd w:val="clear" w:color="auto" w:fill="FFFFFF"/>
        <w:spacing w:line="276" w:lineRule="auto"/>
        <w:ind w:firstLine="709"/>
        <w:jc w:val="both"/>
        <w:rPr>
          <w:rFonts w:ascii="Arial" w:hAnsi="Arial" w:cs="Arial"/>
          <w:color w:val="000000"/>
          <w:sz w:val="22"/>
          <w:lang w:eastAsia="es-CO"/>
        </w:rPr>
      </w:pPr>
    </w:p>
    <w:p w14:paraId="7ABE7439" w14:textId="77777777" w:rsidR="00B56368" w:rsidRDefault="00B56368" w:rsidP="00B56368">
      <w:pPr>
        <w:shd w:val="clear" w:color="auto" w:fill="FFFFFF"/>
        <w:ind w:left="709" w:right="709"/>
        <w:jc w:val="both"/>
        <w:rPr>
          <w:rFonts w:ascii="Arial" w:hAnsi="Arial" w:cs="Arial"/>
          <w:color w:val="0D0D0D"/>
          <w:sz w:val="21"/>
          <w:szCs w:val="21"/>
          <w:bdr w:val="none" w:sz="0" w:space="0" w:color="auto" w:frame="1"/>
          <w:lang w:eastAsia="es-CO"/>
        </w:rPr>
      </w:pPr>
      <w:r w:rsidRPr="0043040E">
        <w:rPr>
          <w:rFonts w:ascii="Arial" w:hAnsi="Arial" w:cs="Arial"/>
          <w:color w:val="0D0D0D"/>
          <w:sz w:val="21"/>
          <w:szCs w:val="21"/>
          <w:bdr w:val="none" w:sz="0" w:space="0" w:color="auto"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43040E">
        <w:rPr>
          <w:rFonts w:ascii="Arial" w:hAnsi="Arial" w:cs="Arial"/>
          <w:i/>
          <w:iCs/>
          <w:color w:val="0D0D0D"/>
          <w:sz w:val="21"/>
          <w:szCs w:val="21"/>
          <w:bdr w:val="none" w:sz="0" w:space="0" w:color="auto"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43040E">
        <w:rPr>
          <w:rFonts w:ascii="Arial" w:hAnsi="Arial" w:cs="Arial"/>
          <w:color w:val="0D0D0D"/>
          <w:sz w:val="21"/>
          <w:szCs w:val="21"/>
          <w:bdr w:val="none" w:sz="0" w:space="0" w:color="auto" w:frame="1"/>
          <w:lang w:eastAsia="es-CO"/>
        </w:rPr>
        <w:t> […] </w:t>
      </w:r>
      <w:r w:rsidRPr="0043040E">
        <w:rPr>
          <w:rFonts w:ascii="Arial" w:hAnsi="Arial" w:cs="Arial"/>
          <w:i/>
          <w:iCs/>
          <w:color w:val="0D0D0D"/>
          <w:sz w:val="21"/>
          <w:szCs w:val="21"/>
          <w:bdr w:val="none" w:sz="0" w:space="0" w:color="auto" w:frame="1"/>
          <w:lang w:eastAsia="es-CO"/>
        </w:rPr>
        <w:t>teniendo en cuenta la naturaleza y cuantía de los contratos</w:t>
      </w:r>
      <w:r w:rsidRPr="0043040E">
        <w:rPr>
          <w:rFonts w:ascii="Arial" w:hAnsi="Arial" w:cs="Arial"/>
          <w:color w:val="0D0D0D"/>
          <w:sz w:val="21"/>
          <w:szCs w:val="21"/>
          <w:bdr w:val="none" w:sz="0" w:space="0" w:color="auto" w:frame="1"/>
          <w:lang w:eastAsia="es-CO"/>
        </w:rPr>
        <w:t> […]. (Énfasis fuera de texto) </w:t>
      </w:r>
    </w:p>
    <w:p w14:paraId="777DAADC" w14:textId="77777777" w:rsidR="00B56368" w:rsidRPr="00346E84" w:rsidRDefault="00B56368" w:rsidP="00B56368">
      <w:pPr>
        <w:shd w:val="clear" w:color="auto" w:fill="FFFFFF"/>
        <w:spacing w:line="276" w:lineRule="auto"/>
        <w:ind w:left="709" w:right="709"/>
        <w:jc w:val="both"/>
        <w:rPr>
          <w:rFonts w:ascii="Arial" w:hAnsi="Arial" w:cs="Arial"/>
          <w:color w:val="000000"/>
          <w:sz w:val="22"/>
          <w:lang w:eastAsia="es-CO"/>
        </w:rPr>
      </w:pPr>
    </w:p>
    <w:p w14:paraId="2B10B960" w14:textId="77777777" w:rsidR="00B56368" w:rsidRPr="00B57F79" w:rsidRDefault="00B56368" w:rsidP="00B56368">
      <w:pPr>
        <w:shd w:val="clear" w:color="auto" w:fill="FFFFFF"/>
        <w:spacing w:line="276" w:lineRule="auto"/>
        <w:ind w:firstLine="708"/>
        <w:jc w:val="both"/>
        <w:rPr>
          <w:rFonts w:ascii="Arial" w:hAnsi="Arial" w:cs="Arial"/>
          <w:color w:val="0D0D0D"/>
          <w:sz w:val="22"/>
          <w:bdr w:val="none" w:sz="0" w:space="0" w:color="auto" w:frame="1"/>
          <w:lang w:eastAsia="es-CO"/>
        </w:rPr>
      </w:pPr>
      <w:r w:rsidRPr="00B57F79">
        <w:rPr>
          <w:rFonts w:ascii="Arial" w:hAnsi="Arial" w:cs="Arial"/>
          <w:color w:val="0D0D0D"/>
          <w:sz w:val="22"/>
          <w:bdr w:val="none" w:sz="0" w:space="0" w:color="auto" w:frame="1"/>
          <w:lang w:eastAsia="es-CO"/>
        </w:rPr>
        <w:t xml:space="preserve">Sin embargo, el 22 de julio de 2020, el Gobierno Nacional sancionó la Ley 2022, que rige a partir de su publicación y cuyo artículo 1 modifica el artículo 4 de la Ley 1882 de 2018 en relación con los siguientes aspectos: i) el sujeto encargado de la adopción de los documentos tipo, </w:t>
      </w:r>
      <w:r>
        <w:rPr>
          <w:rFonts w:ascii="Arial" w:hAnsi="Arial" w:cs="Arial"/>
          <w:color w:val="0D0D0D"/>
          <w:sz w:val="22"/>
          <w:bdr w:val="none" w:sz="0" w:space="0" w:color="auto" w:frame="1"/>
          <w:lang w:eastAsia="es-CO"/>
        </w:rPr>
        <w:t>pues</w:t>
      </w:r>
      <w:r w:rsidRPr="00B57F79">
        <w:rPr>
          <w:rFonts w:ascii="Arial" w:hAnsi="Arial" w:cs="Arial"/>
          <w:color w:val="0D0D0D"/>
          <w:sz w:val="22"/>
          <w:bdr w:val="none" w:sz="0" w:space="0" w:color="auto" w:frame="1"/>
          <w:lang w:eastAsia="es-CO"/>
        </w:rPr>
        <w:t xml:space="preserve"> antes se señalaba al Gobierno Nacional y ahora la entidad </w:t>
      </w:r>
      <w:r w:rsidRPr="00B57F79">
        <w:rPr>
          <w:rFonts w:ascii="Arial" w:hAnsi="Arial" w:cs="Arial"/>
          <w:color w:val="0D0D0D"/>
          <w:sz w:val="22"/>
          <w:bdr w:val="none" w:sz="0" w:space="0" w:color="auto" w:frame="1"/>
          <w:lang w:eastAsia="es-CO"/>
        </w:rPr>
        <w:lastRenderedPageBreak/>
        <w:t>encargada directamente por la Ley es la Agencia Nacional de Contratación Pública – Colombia Compra Eficiente– o quien haga sus veces; ii) la inclusión de buenas prácticas contractuales y los principios de la contratación pública para establecer los requisitos habilitantes, factores técnicos, económicos y otros factores de escogencia en los documentos tipo; iii) la implementación de procesos de capacitación en los municipios para la utilización de los documentos tipo buscando el desarrollo de la economía local; y iv) las responsabilidades para Colombia Compra Eficiente en la definición del desarrollo e implementación de los documentos tipo mediante cronogramas, coordinación con otras entidades especializadas, recepción de comentarios de los interesados y revisión de los documentos tipo expedidos</w:t>
      </w:r>
      <w:r w:rsidRPr="00B57F79">
        <w:rPr>
          <w:rStyle w:val="Refdenotaalpie"/>
          <w:rFonts w:ascii="Arial" w:hAnsi="Arial" w:cs="Arial"/>
          <w:color w:val="0D0D0D"/>
          <w:sz w:val="22"/>
          <w:bdr w:val="none" w:sz="0" w:space="0" w:color="auto" w:frame="1"/>
          <w:lang w:eastAsia="es-CO"/>
        </w:rPr>
        <w:footnoteReference w:id="7"/>
      </w:r>
      <w:r w:rsidRPr="00B57F79">
        <w:rPr>
          <w:rFonts w:ascii="Arial" w:hAnsi="Arial" w:cs="Arial"/>
          <w:color w:val="0D0D0D"/>
          <w:sz w:val="22"/>
          <w:bdr w:val="none" w:sz="0" w:space="0" w:color="auto" w:frame="1"/>
          <w:lang w:eastAsia="es-CO"/>
        </w:rPr>
        <w:t>.  </w:t>
      </w:r>
    </w:p>
    <w:p w14:paraId="3BA470AA" w14:textId="77777777" w:rsidR="00B56368" w:rsidRPr="00183A4D" w:rsidRDefault="00B56368" w:rsidP="00B56368">
      <w:pPr>
        <w:spacing w:before="120" w:line="276" w:lineRule="auto"/>
        <w:ind w:firstLine="709"/>
        <w:jc w:val="both"/>
        <w:rPr>
          <w:rFonts w:ascii="Arial" w:eastAsia="Times New Roman" w:hAnsi="Arial" w:cs="Arial"/>
          <w:color w:val="0D0D0D"/>
          <w:sz w:val="22"/>
          <w:bdr w:val="none" w:sz="0" w:space="0" w:color="auto" w:frame="1"/>
          <w:lang w:val="es-ES_tradnl" w:eastAsia="es-CO"/>
        </w:rPr>
      </w:pPr>
      <w:r w:rsidRPr="00183A4D">
        <w:rPr>
          <w:rFonts w:ascii="Arial" w:hAnsi="Arial" w:cs="Arial"/>
          <w:color w:val="0D0D0D"/>
          <w:sz w:val="22"/>
          <w:bdr w:val="none" w:sz="0" w:space="0" w:color="auto" w:frame="1"/>
          <w:lang w:eastAsia="es-CO"/>
        </w:rPr>
        <w:t>Con fundamento en las disposiciones anteriores</w:t>
      </w:r>
      <w:r w:rsidRPr="00183A4D">
        <w:rPr>
          <w:rFonts w:ascii="Arial" w:eastAsia="Times New Roman" w:hAnsi="Arial" w:cs="Arial"/>
          <w:color w:val="0D0D0D"/>
          <w:sz w:val="22"/>
          <w:bdr w:val="none" w:sz="0" w:space="0" w:color="auto" w:frame="1"/>
          <w:lang w:val="es-ES_tradnl" w:eastAsia="es-CO"/>
        </w:rPr>
        <w:t>, la Agencia Nacional de Contratación Pública – Colombia Compra Eficiente expidió la Resoluci</w:t>
      </w:r>
      <w:r>
        <w:rPr>
          <w:rFonts w:ascii="Arial" w:eastAsia="Times New Roman" w:hAnsi="Arial" w:cs="Arial"/>
          <w:color w:val="0D0D0D"/>
          <w:sz w:val="22"/>
          <w:bdr w:val="none" w:sz="0" w:space="0" w:color="auto" w:frame="1"/>
          <w:lang w:val="es-ES_tradnl" w:eastAsia="es-CO"/>
        </w:rPr>
        <w:t>ón</w:t>
      </w:r>
      <w:r w:rsidRPr="00183A4D">
        <w:rPr>
          <w:rFonts w:ascii="Arial" w:eastAsia="Times New Roman" w:hAnsi="Arial" w:cs="Arial"/>
          <w:color w:val="0D0D0D"/>
          <w:sz w:val="22"/>
          <w:bdr w:val="none" w:sz="0" w:space="0" w:color="auto" w:frame="1"/>
          <w:lang w:val="es-ES_tradnl" w:eastAsia="es-CO"/>
        </w:rPr>
        <w:t xml:space="preserve"> No. 240 del 27 de noviembre 2020 mediante la cual se adoptan los documentos tipo de licitación de obra pública de infraestructura de transporte – versión 3. Estas versiones de los documentos tipo son obligatorios a partir del 1º de enero de 2021. No obstante, con la expedición de la Ley de Emprendimiento, estos se modificaron parcialmente mediante la Resolución No. 161 del 17 de junio de 2021, «Por la cual se modifican los documentos tipo adoptados por </w:t>
      </w:r>
      <w:r w:rsidRPr="00183A4D">
        <w:rPr>
          <w:rFonts w:ascii="Arial" w:eastAsia="Times New Roman" w:hAnsi="Arial" w:cs="Arial"/>
          <w:color w:val="0D0D0D"/>
          <w:sz w:val="22"/>
          <w:bdr w:val="none" w:sz="0" w:space="0" w:color="auto" w:frame="1"/>
          <w:lang w:val="es-ES_tradnl" w:eastAsia="es-CO"/>
        </w:rPr>
        <w:lastRenderedPageBreak/>
        <w:t xml:space="preserve">la Agencia Nacional de Contratación Pública – Colombia Compra Eficiente», la cual rige para los procedimientos de selección cuya invitación o aviso de convocatoria se publique a partir del 28 de junio de 2021. </w:t>
      </w:r>
    </w:p>
    <w:p w14:paraId="2E830CF7" w14:textId="77777777" w:rsidR="00B56368" w:rsidRPr="00183A4D" w:rsidRDefault="00B56368" w:rsidP="00B56368">
      <w:pPr>
        <w:spacing w:before="120" w:line="276" w:lineRule="auto"/>
        <w:ind w:firstLine="709"/>
        <w:jc w:val="both"/>
        <w:rPr>
          <w:rFonts w:ascii="Arial" w:eastAsia="Calibri" w:hAnsi="Arial" w:cs="Arial"/>
          <w:color w:val="000000" w:themeColor="text1"/>
          <w:sz w:val="22"/>
          <w:lang w:val="es-ES_tradnl" w:eastAsia="es-ES"/>
        </w:rPr>
      </w:pPr>
      <w:r w:rsidRPr="00183A4D">
        <w:rPr>
          <w:rFonts w:ascii="Arial" w:eastAsia="Times New Roman" w:hAnsi="Arial" w:cs="Arial"/>
          <w:color w:val="0D0D0D"/>
          <w:sz w:val="22"/>
          <w:bdr w:val="none" w:sz="0" w:space="0" w:color="auto" w:frame="1"/>
          <w:lang w:val="es-ES_tradnl" w:eastAsia="es-CO"/>
        </w:rPr>
        <w:t>Además, teniendo en cuenta que el Gobierno Nacional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 esta Agencia expidió la Resolución 304 del 13 de octubre de 2021, mediante l</w:t>
      </w:r>
      <w:r>
        <w:rPr>
          <w:rFonts w:ascii="Arial" w:eastAsia="Times New Roman" w:hAnsi="Arial" w:cs="Arial"/>
          <w:color w:val="0D0D0D"/>
          <w:sz w:val="22"/>
          <w:bdr w:val="none" w:sz="0" w:space="0" w:color="auto" w:frame="1"/>
          <w:lang w:val="es-ES_tradnl" w:eastAsia="es-CO"/>
        </w:rPr>
        <w:t>a</w:t>
      </w:r>
      <w:r w:rsidRPr="00183A4D">
        <w:rPr>
          <w:rFonts w:ascii="Arial" w:eastAsia="Times New Roman" w:hAnsi="Arial" w:cs="Arial"/>
          <w:color w:val="0D0D0D"/>
          <w:sz w:val="22"/>
          <w:bdr w:val="none" w:sz="0" w:space="0" w:color="auto" w:frame="1"/>
          <w:lang w:val="es-ES_tradnl" w:eastAsia="es-CO"/>
        </w:rPr>
        <w:t xml:space="preserve"> cual se modifica</w:t>
      </w:r>
      <w:r>
        <w:rPr>
          <w:rFonts w:ascii="Arial" w:eastAsia="Times New Roman" w:hAnsi="Arial" w:cs="Arial"/>
          <w:color w:val="0D0D0D"/>
          <w:sz w:val="22"/>
          <w:bdr w:val="none" w:sz="0" w:space="0" w:color="auto" w:frame="1"/>
          <w:lang w:val="es-ES_tradnl" w:eastAsia="es-CO"/>
        </w:rPr>
        <w:t>ro</w:t>
      </w:r>
      <w:r w:rsidRPr="00183A4D">
        <w:rPr>
          <w:rFonts w:ascii="Arial" w:eastAsia="Times New Roman" w:hAnsi="Arial" w:cs="Arial"/>
          <w:color w:val="0D0D0D"/>
          <w:sz w:val="22"/>
          <w:bdr w:val="none" w:sz="0" w:space="0" w:color="auto" w:frame="1"/>
          <w:lang w:val="es-ES_tradnl" w:eastAsia="es-CO"/>
        </w:rPr>
        <w:t xml:space="preserve">n los documentos tipo indicados, </w:t>
      </w:r>
      <w:r>
        <w:rPr>
          <w:rFonts w:ascii="Arial" w:eastAsia="Times New Roman" w:hAnsi="Arial" w:cs="Arial"/>
          <w:color w:val="0D0D0D"/>
          <w:sz w:val="22"/>
          <w:bdr w:val="none" w:sz="0" w:space="0" w:color="auto" w:frame="1"/>
          <w:lang w:val="es-ES_tradnl" w:eastAsia="es-CO"/>
        </w:rPr>
        <w:t xml:space="preserve">la cual </w:t>
      </w:r>
      <w:r w:rsidRPr="00183A4D">
        <w:rPr>
          <w:rFonts w:ascii="Arial" w:eastAsia="Times New Roman" w:hAnsi="Arial" w:cs="Arial"/>
          <w:color w:val="0D0D0D"/>
          <w:sz w:val="22"/>
          <w:bdr w:val="none" w:sz="0" w:space="0" w:color="auto" w:frame="1"/>
          <w:lang w:val="es-ES_tradnl" w:eastAsia="es-CO"/>
        </w:rPr>
        <w:t xml:space="preserve">aplica a los procesos de contratación cuyo aviso de convocatoria se publique a partir del 2 de noviembre de 2021. </w:t>
      </w:r>
    </w:p>
    <w:p w14:paraId="74952616" w14:textId="77777777" w:rsidR="00B56368" w:rsidRDefault="00B56368" w:rsidP="00B56368">
      <w:pPr>
        <w:pStyle w:val="Normal11pt"/>
        <w:spacing w:line="276" w:lineRule="auto"/>
        <w:ind w:left="0"/>
        <w:rPr>
          <w:color w:val="0D0D0D"/>
          <w:bdr w:val="none" w:sz="0" w:space="0" w:color="auto" w:frame="1"/>
          <w:lang w:eastAsia="es-CO"/>
        </w:rPr>
      </w:pPr>
    </w:p>
    <w:p w14:paraId="18E30957" w14:textId="35E9AA58" w:rsidR="00B56368" w:rsidRPr="00C15FEE" w:rsidRDefault="00B56368" w:rsidP="00B56368">
      <w:pPr>
        <w:pStyle w:val="Normal11pt"/>
        <w:spacing w:line="276" w:lineRule="auto"/>
        <w:ind w:left="0"/>
        <w:rPr>
          <w:b/>
          <w:bCs/>
          <w:color w:val="0D0D0D"/>
          <w:bdr w:val="none" w:sz="0" w:space="0" w:color="auto" w:frame="1"/>
          <w:lang w:eastAsia="es-CO"/>
        </w:rPr>
      </w:pPr>
      <w:r w:rsidRPr="00C15FEE">
        <w:rPr>
          <w:b/>
          <w:bCs/>
          <w:color w:val="0D0D0D"/>
          <w:bdr w:val="none" w:sz="0" w:space="0" w:color="auto" w:frame="1"/>
          <w:lang w:eastAsia="es-CO"/>
        </w:rPr>
        <w:t xml:space="preserve">2.2. </w:t>
      </w:r>
      <w:r w:rsidR="00736B45">
        <w:rPr>
          <w:b/>
          <w:bCs/>
          <w:color w:val="0D0D0D"/>
          <w:bdr w:val="none" w:sz="0" w:space="0" w:color="auto" w:frame="1"/>
          <w:lang w:eastAsia="es-CO"/>
        </w:rPr>
        <w:t>P</w:t>
      </w:r>
      <w:r w:rsidRPr="00C15FEE">
        <w:rPr>
          <w:b/>
          <w:bCs/>
          <w:color w:val="0D0D0D"/>
          <w:bdr w:val="none" w:sz="0" w:space="0" w:color="auto" w:frame="1"/>
          <w:lang w:eastAsia="es-CO"/>
        </w:rPr>
        <w:t xml:space="preserve">onderación de la propuesta económica en los documentos tipo de licitación de obra pública de infraestructura de transporte –versión 3– </w:t>
      </w:r>
    </w:p>
    <w:p w14:paraId="58E9FF15" w14:textId="77777777" w:rsidR="00B56368" w:rsidRPr="00C15FEE" w:rsidRDefault="00B56368" w:rsidP="00B56368">
      <w:pPr>
        <w:pStyle w:val="Normal11pt"/>
        <w:spacing w:line="276" w:lineRule="auto"/>
        <w:ind w:left="0"/>
        <w:rPr>
          <w:rFonts w:eastAsia="Calibri"/>
          <w:b/>
          <w:bCs/>
          <w:lang w:val="es-CO"/>
        </w:rPr>
      </w:pPr>
    </w:p>
    <w:p w14:paraId="23EBB67A" w14:textId="7F0DA070" w:rsidR="00B56368" w:rsidRPr="00C15FEE" w:rsidRDefault="00B56368" w:rsidP="00B56368">
      <w:pPr>
        <w:pStyle w:val="InviasNormal"/>
        <w:spacing w:before="0" w:after="120" w:line="276" w:lineRule="auto"/>
        <w:outlineLvl w:val="2"/>
        <w:rPr>
          <w:rFonts w:ascii="Arial" w:eastAsia="Calibri" w:hAnsi="Arial" w:cs="Arial"/>
          <w:color w:val="auto"/>
          <w:sz w:val="22"/>
          <w:szCs w:val="22"/>
        </w:rPr>
      </w:pPr>
      <w:bookmarkStart w:id="10" w:name="_Hlk94088065"/>
      <w:r w:rsidRPr="00C15FEE">
        <w:rPr>
          <w:rFonts w:ascii="Arial" w:eastAsia="Calibri" w:hAnsi="Arial" w:cs="Arial"/>
          <w:color w:val="000000" w:themeColor="text1"/>
          <w:sz w:val="22"/>
          <w:szCs w:val="22"/>
          <w:lang w:val="es-MX" w:eastAsia="en-US"/>
        </w:rPr>
        <w:t>Los «Documentos Tipo – Versión 3» de licitación de infraestructura de transporte</w:t>
      </w:r>
      <w:r w:rsidRPr="00C15FEE">
        <w:rPr>
          <w:rFonts w:ascii="Arial" w:eastAsia="Calibri" w:hAnsi="Arial" w:cs="Arial"/>
          <w:color w:val="auto"/>
          <w:sz w:val="22"/>
          <w:szCs w:val="22"/>
        </w:rPr>
        <w:t xml:space="preserve"> establece</w:t>
      </w:r>
      <w:r w:rsidRPr="00C15FEE">
        <w:rPr>
          <w:rFonts w:ascii="Arial" w:eastAsia="Calibri" w:hAnsi="Arial" w:cs="Arial"/>
          <w:color w:val="auto"/>
          <w:sz w:val="22"/>
          <w:szCs w:val="22"/>
          <w:lang w:val="es-MX"/>
        </w:rPr>
        <w:t xml:space="preserve">n, </w:t>
      </w:r>
      <w:r w:rsidRPr="00C15FEE">
        <w:rPr>
          <w:rFonts w:ascii="Arial" w:eastAsia="Calibri" w:hAnsi="Arial" w:cs="Arial"/>
          <w:color w:val="auto"/>
          <w:sz w:val="22"/>
          <w:szCs w:val="22"/>
        </w:rPr>
        <w:t xml:space="preserve">en el numeral </w:t>
      </w:r>
      <w:bookmarkStart w:id="11" w:name="_Toc32147369"/>
      <w:bookmarkStart w:id="12" w:name="_Toc84413953"/>
      <w:bookmarkStart w:id="13" w:name="_Hlk511666009"/>
      <w:r w:rsidRPr="00C15FEE">
        <w:rPr>
          <w:rFonts w:ascii="Arial" w:eastAsia="Calibri" w:hAnsi="Arial" w:cs="Arial"/>
          <w:color w:val="auto"/>
          <w:sz w:val="22"/>
          <w:szCs w:val="22"/>
          <w:lang w:val="es-CO"/>
        </w:rPr>
        <w:t>4.1.4. «</w:t>
      </w:r>
      <w:r w:rsidRPr="00C15FEE">
        <w:rPr>
          <w:rFonts w:ascii="Arial" w:eastAsia="Arial" w:hAnsi="Arial" w:cs="Arial"/>
          <w:color w:val="auto"/>
          <w:sz w:val="22"/>
          <w:szCs w:val="22"/>
          <w:lang w:val="es-CO"/>
        </w:rPr>
        <w:t>determinación del método para la ponderación de la propuesta económica</w:t>
      </w:r>
      <w:bookmarkEnd w:id="11"/>
      <w:bookmarkEnd w:id="12"/>
      <w:bookmarkEnd w:id="13"/>
      <w:r w:rsidRPr="00C15FEE">
        <w:rPr>
          <w:rFonts w:ascii="Arial" w:eastAsia="Arial" w:hAnsi="Arial" w:cs="Arial"/>
          <w:color w:val="auto"/>
          <w:sz w:val="22"/>
          <w:szCs w:val="22"/>
          <w:lang w:val="es-CO"/>
        </w:rPr>
        <w:t xml:space="preserve">», establece </w:t>
      </w:r>
      <w:r w:rsidRPr="00C15FEE">
        <w:rPr>
          <w:rFonts w:ascii="Arial" w:eastAsia="Calibri" w:hAnsi="Arial" w:cs="Arial"/>
          <w:color w:val="auto"/>
          <w:sz w:val="22"/>
          <w:szCs w:val="22"/>
        </w:rPr>
        <w:t>cuatro</w:t>
      </w:r>
      <w:r w:rsidRPr="00C15FEE">
        <w:rPr>
          <w:rFonts w:ascii="Arial" w:eastAsia="Calibri" w:hAnsi="Arial" w:cs="Arial"/>
          <w:color w:val="auto"/>
          <w:sz w:val="22"/>
          <w:szCs w:val="22"/>
          <w:lang w:val="es-MX"/>
        </w:rPr>
        <w:t xml:space="preserve"> (4)</w:t>
      </w:r>
      <w:r w:rsidRPr="00C15FEE">
        <w:rPr>
          <w:rFonts w:ascii="Arial" w:eastAsia="Calibri" w:hAnsi="Arial" w:cs="Arial"/>
          <w:color w:val="auto"/>
          <w:sz w:val="22"/>
          <w:szCs w:val="22"/>
        </w:rPr>
        <w:t xml:space="preserve"> alternativas para escoger el método de ponderación de la</w:t>
      </w:r>
      <w:r w:rsidRPr="00C15FEE">
        <w:rPr>
          <w:rFonts w:ascii="Arial" w:eastAsia="Calibri" w:hAnsi="Arial" w:cs="Arial"/>
          <w:color w:val="auto"/>
          <w:sz w:val="22"/>
          <w:szCs w:val="22"/>
          <w:lang w:val="es-CO"/>
        </w:rPr>
        <w:t>s</w:t>
      </w:r>
      <w:r w:rsidRPr="00C15FEE">
        <w:rPr>
          <w:rFonts w:ascii="Arial" w:eastAsia="Calibri" w:hAnsi="Arial" w:cs="Arial"/>
          <w:color w:val="auto"/>
          <w:sz w:val="22"/>
          <w:szCs w:val="22"/>
        </w:rPr>
        <w:t xml:space="preserve"> propuesta</w:t>
      </w:r>
      <w:r w:rsidRPr="00C15FEE">
        <w:rPr>
          <w:rFonts w:ascii="Arial" w:eastAsia="Calibri" w:hAnsi="Arial" w:cs="Arial"/>
          <w:color w:val="auto"/>
          <w:sz w:val="22"/>
          <w:szCs w:val="22"/>
          <w:lang w:val="es-CO"/>
        </w:rPr>
        <w:t>s</w:t>
      </w:r>
      <w:r w:rsidRPr="00C15FEE">
        <w:rPr>
          <w:rFonts w:ascii="Arial" w:eastAsia="Calibri" w:hAnsi="Arial" w:cs="Arial"/>
          <w:color w:val="auto"/>
          <w:sz w:val="22"/>
          <w:szCs w:val="22"/>
        </w:rPr>
        <w:t xml:space="preserve"> económica</w:t>
      </w:r>
      <w:r w:rsidRPr="00C15FEE">
        <w:rPr>
          <w:rFonts w:ascii="Arial" w:eastAsia="Calibri" w:hAnsi="Arial" w:cs="Arial"/>
          <w:color w:val="auto"/>
          <w:sz w:val="22"/>
          <w:szCs w:val="22"/>
          <w:lang w:val="es-CO"/>
        </w:rPr>
        <w:t>s</w:t>
      </w:r>
      <w:r w:rsidRPr="00C15FEE">
        <w:rPr>
          <w:rFonts w:ascii="Arial" w:eastAsia="Calibri" w:hAnsi="Arial" w:cs="Arial"/>
          <w:color w:val="auto"/>
          <w:sz w:val="22"/>
          <w:szCs w:val="22"/>
        </w:rPr>
        <w:t>, a saber: i) mediana con valor absoluto; ii) media geométrica; iii) media aritmética baja y iv) menor valor.</w:t>
      </w:r>
      <w:r w:rsidRPr="00C15FEE">
        <w:rPr>
          <w:rFonts w:ascii="Arial" w:eastAsia="Calibri" w:hAnsi="Arial" w:cs="Arial"/>
          <w:color w:val="auto"/>
          <w:sz w:val="22"/>
          <w:szCs w:val="22"/>
          <w:lang w:val="es-CO"/>
        </w:rPr>
        <w:t xml:space="preserve"> A partir de estas alternativas</w:t>
      </w:r>
      <w:r w:rsidRPr="00C15FEE">
        <w:rPr>
          <w:rFonts w:ascii="Arial" w:eastAsia="Calibri" w:hAnsi="Arial" w:cs="Arial"/>
          <w:color w:val="auto"/>
          <w:sz w:val="22"/>
          <w:szCs w:val="22"/>
        </w:rPr>
        <w:t>, la entidad</w:t>
      </w:r>
      <w:r w:rsidRPr="00C15FEE">
        <w:rPr>
          <w:rFonts w:ascii="Arial" w:eastAsia="Calibri" w:hAnsi="Arial" w:cs="Arial"/>
          <w:color w:val="auto"/>
          <w:sz w:val="22"/>
          <w:szCs w:val="22"/>
          <w:lang w:val="es-ES"/>
        </w:rPr>
        <w:t>,</w:t>
      </w:r>
      <w:r w:rsidRPr="00C15FEE">
        <w:rPr>
          <w:rFonts w:ascii="Arial" w:eastAsia="Calibri" w:hAnsi="Arial" w:cs="Arial"/>
          <w:color w:val="auto"/>
          <w:sz w:val="22"/>
          <w:szCs w:val="22"/>
        </w:rPr>
        <w:t xml:space="preserve"> para establecer el método de ponderación</w:t>
      </w:r>
      <w:r w:rsidRPr="00C15FEE">
        <w:rPr>
          <w:rFonts w:ascii="Arial" w:eastAsia="Calibri" w:hAnsi="Arial" w:cs="Arial"/>
          <w:color w:val="auto"/>
          <w:sz w:val="22"/>
          <w:szCs w:val="22"/>
          <w:lang w:val="es-ES"/>
        </w:rPr>
        <w:t>,</w:t>
      </w:r>
      <w:r w:rsidRPr="00C15FEE">
        <w:rPr>
          <w:rFonts w:ascii="Arial" w:eastAsia="Calibri" w:hAnsi="Arial" w:cs="Arial"/>
          <w:color w:val="auto"/>
          <w:sz w:val="22"/>
          <w:szCs w:val="22"/>
        </w:rPr>
        <w:t xml:space="preserve"> tomará los centavos de la Tasa de Cambio Representativa del Mercado (TRM), certificada por la Superintendencia Financiera </w:t>
      </w:r>
      <w:r w:rsidRPr="00480100">
        <w:rPr>
          <w:rFonts w:ascii="Arial" w:eastAsia="Calibri" w:hAnsi="Arial" w:cs="Arial"/>
          <w:color w:val="auto"/>
          <w:sz w:val="22"/>
          <w:szCs w:val="22"/>
        </w:rPr>
        <w:t>de Colombia</w:t>
      </w:r>
      <w:r w:rsidR="00480100" w:rsidRPr="00480100">
        <w:rPr>
          <w:rStyle w:val="Refdenotaalpie"/>
          <w:rFonts w:ascii="Arial" w:eastAsia="Calibri" w:hAnsi="Arial" w:cs="Arial"/>
          <w:sz w:val="22"/>
          <w:szCs w:val="22"/>
        </w:rPr>
        <w:footnoteReference w:id="8"/>
      </w:r>
      <w:r w:rsidR="00480100" w:rsidRPr="00480100">
        <w:rPr>
          <w:rFonts w:ascii="Arial" w:eastAsia="Calibri" w:hAnsi="Arial" w:cs="Arial"/>
          <w:sz w:val="22"/>
          <w:szCs w:val="22"/>
        </w:rPr>
        <w:t>.</w:t>
      </w:r>
      <w:r w:rsidRPr="00C15FEE">
        <w:rPr>
          <w:rFonts w:ascii="Arial" w:eastAsia="Calibri" w:hAnsi="Arial" w:cs="Arial"/>
          <w:color w:val="auto"/>
          <w:sz w:val="22"/>
          <w:szCs w:val="22"/>
        </w:rPr>
        <w:t xml:space="preserve"> </w:t>
      </w:r>
    </w:p>
    <w:bookmarkEnd w:id="10"/>
    <w:p w14:paraId="24C424BD" w14:textId="77777777" w:rsidR="00B56368" w:rsidRPr="00C15FEE" w:rsidRDefault="00B56368" w:rsidP="00B56368">
      <w:pPr>
        <w:spacing w:before="120" w:after="120" w:line="276" w:lineRule="auto"/>
        <w:ind w:firstLine="709"/>
        <w:jc w:val="both"/>
        <w:rPr>
          <w:rFonts w:ascii="Arial" w:eastAsia="Calibri" w:hAnsi="Arial" w:cs="Arial"/>
          <w:color w:val="000000"/>
          <w:sz w:val="22"/>
          <w:lang w:val="es-ES_tradnl"/>
        </w:rPr>
      </w:pPr>
      <w:r w:rsidRPr="00C15FEE">
        <w:rPr>
          <w:rFonts w:ascii="Arial" w:eastAsia="Calibri" w:hAnsi="Arial" w:cs="Arial"/>
          <w:color w:val="000000"/>
          <w:sz w:val="22"/>
          <w:lang w:val="es-ES_tradnl"/>
        </w:rPr>
        <w:lastRenderedPageBreak/>
        <w:t>La Tasa de Cambio Representativa del Mercado – TRM «</w:t>
      </w:r>
      <w:r w:rsidRPr="00C15FEE">
        <w:rPr>
          <w:rFonts w:ascii="Arial" w:eastAsia="Calibri" w:hAnsi="Arial" w:cs="Arial"/>
          <w:sz w:val="22"/>
        </w:rPr>
        <w:t>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(IMC) entre las 7:30 a.m. y la 1:00 p.m.</w:t>
      </w:r>
      <w:r w:rsidRPr="00C15FEE">
        <w:rPr>
          <w:rFonts w:ascii="Arial" w:eastAsia="Calibri" w:hAnsi="Arial" w:cs="Arial"/>
          <w:color w:val="000000"/>
          <w:sz w:val="22"/>
          <w:lang w:val="es-ES_tradnl"/>
        </w:rPr>
        <w:t>»</w:t>
      </w:r>
      <w:r w:rsidRPr="00C15FEE">
        <w:rPr>
          <w:rFonts w:ascii="Arial" w:eastAsia="Calibri" w:hAnsi="Arial" w:cs="Arial"/>
          <w:color w:val="000000"/>
          <w:sz w:val="22"/>
          <w:vertAlign w:val="superscript"/>
          <w:lang w:val="es-ES_tradnl"/>
        </w:rPr>
        <w:t xml:space="preserve"> </w:t>
      </w:r>
      <w:r w:rsidRPr="00C15FEE">
        <w:rPr>
          <w:rFonts w:ascii="Arial" w:eastAsia="Calibri" w:hAnsi="Arial" w:cs="Arial"/>
          <w:color w:val="000000"/>
          <w:sz w:val="22"/>
          <w:vertAlign w:val="superscript"/>
          <w:lang w:val="es-ES_tradnl"/>
        </w:rPr>
        <w:footnoteReference w:id="9"/>
      </w:r>
      <w:r w:rsidRPr="00C15FEE">
        <w:rPr>
          <w:rFonts w:ascii="Arial" w:eastAsia="Calibri" w:hAnsi="Arial" w:cs="Arial"/>
          <w:color w:val="000000"/>
          <w:sz w:val="22"/>
          <w:lang w:val="es-ES_tradnl"/>
        </w:rPr>
        <w:t>, definida por la Superintendencia Financiera, es decir, denota la relación entre la moneda colombiana y el dólar. Por su parte, el Banco de la República ha definido la tasa de cambio representativa del mercado como «la cantidad de pesos colombianos por un dólar de los Estados Unidos»</w:t>
      </w:r>
      <w:r w:rsidRPr="00C15FEE">
        <w:rPr>
          <w:rFonts w:ascii="Arial" w:eastAsia="Calibri" w:hAnsi="Arial" w:cs="Arial"/>
          <w:color w:val="000000"/>
          <w:sz w:val="22"/>
          <w:vertAlign w:val="superscript"/>
          <w:lang w:val="es-ES_tradnl"/>
        </w:rPr>
        <w:footnoteReference w:id="10"/>
      </w:r>
      <w:r w:rsidRPr="00C15FEE">
        <w:rPr>
          <w:rFonts w:ascii="Arial" w:eastAsia="Calibri" w:hAnsi="Arial" w:cs="Arial"/>
          <w:color w:val="000000"/>
          <w:sz w:val="22"/>
          <w:lang w:val="es-ES_tradnl"/>
        </w:rPr>
        <w:t xml:space="preserve">, de donde se desprende que la TRM es un valor que se origina en la fluctuación del mercado. </w:t>
      </w:r>
    </w:p>
    <w:p w14:paraId="13C225E7" w14:textId="77777777" w:rsidR="00B56368" w:rsidRPr="00C15FEE" w:rsidRDefault="00B56368" w:rsidP="00B56368">
      <w:pPr>
        <w:spacing w:line="276" w:lineRule="auto"/>
        <w:jc w:val="both"/>
        <w:rPr>
          <w:rFonts w:ascii="Arial" w:eastAsia="Calibri" w:hAnsi="Arial" w:cs="Arial"/>
          <w:sz w:val="22"/>
        </w:rPr>
      </w:pPr>
      <w:r w:rsidRPr="00C15FEE">
        <w:rPr>
          <w:rFonts w:ascii="Arial" w:eastAsia="Calibri" w:hAnsi="Arial" w:cs="Arial"/>
          <w:sz w:val="22"/>
        </w:rPr>
        <w:tab/>
        <w:t xml:space="preserve">La TRM que la entidad usará para el método de ponderación será la que aplique en el día hábil siguiente del día en que efectivamente sea la apertura del segundo sobre, según la publicación hecha por la Superintendencia </w:t>
      </w:r>
      <w:r w:rsidRPr="00C15FEE">
        <w:rPr>
          <w:rFonts w:ascii="Arial" w:eastAsia="Calibri" w:hAnsi="Arial" w:cs="Arial"/>
          <w:color w:val="000000"/>
          <w:sz w:val="22"/>
        </w:rPr>
        <w:t>en horas de la tarde el día de la apertura del segundo sobre</w:t>
      </w:r>
      <w:r w:rsidRPr="00C15FEE">
        <w:rPr>
          <w:rFonts w:ascii="Arial" w:eastAsia="Calibri" w:hAnsi="Arial" w:cs="Arial"/>
          <w:color w:val="000000"/>
          <w:sz w:val="22"/>
          <w:lang w:val="es-CO"/>
        </w:rPr>
        <w:t xml:space="preserve">. Por ejemplo, </w:t>
      </w:r>
      <w:r w:rsidRPr="00C15FEE">
        <w:rPr>
          <w:rFonts w:ascii="Arial" w:eastAsia="Calibri" w:hAnsi="Arial" w:cs="Arial"/>
          <w:color w:val="000000"/>
          <w:sz w:val="22"/>
        </w:rPr>
        <w:t>si la audiencia de adjudicación se realiza el 10 de febrero de 2020 y ese mismo día se abre el segundo sobre, la TRM que se usará para determinar el método de evaluación será la del 11 de febrero de 2020, que se publica en la tarde del 10 de febrero de 2020</w:t>
      </w:r>
      <w:r w:rsidRPr="00C15FEE">
        <w:rPr>
          <w:rFonts w:ascii="Arial" w:eastAsia="Calibri" w:hAnsi="Arial" w:cs="Arial"/>
          <w:color w:val="000000"/>
          <w:sz w:val="22"/>
          <w:lang w:val="es-CO"/>
        </w:rPr>
        <w:t>. De acuerdo con lo anterior, el método de ponderación se determinará con los rangos del siguiente cuadro</w:t>
      </w:r>
      <w:r w:rsidRPr="00C15FEE">
        <w:rPr>
          <w:rFonts w:ascii="Arial" w:eastAsia="Calibri" w:hAnsi="Arial" w:cs="Arial"/>
          <w:sz w:val="22"/>
        </w:rPr>
        <w:t xml:space="preserve">: </w:t>
      </w:r>
    </w:p>
    <w:p w14:paraId="1A34CE16" w14:textId="77777777" w:rsidR="00B56368" w:rsidRPr="00C15FEE" w:rsidRDefault="00B56368" w:rsidP="00B56368">
      <w:pPr>
        <w:spacing w:after="120" w:line="276" w:lineRule="auto"/>
        <w:jc w:val="both"/>
        <w:rPr>
          <w:rFonts w:ascii="Arial" w:eastAsia="Calibri" w:hAnsi="Arial" w:cs="Arial"/>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972"/>
        <w:gridCol w:w="2503"/>
      </w:tblGrid>
      <w:tr w:rsidR="00B56368" w:rsidRPr="00C15FEE" w14:paraId="40C3C397" w14:textId="77777777" w:rsidTr="00052161">
        <w:trPr>
          <w:trHeight w:val="20"/>
          <w:tblHeader/>
          <w:jc w:val="center"/>
        </w:trPr>
        <w:tc>
          <w:tcPr>
            <w:tcW w:w="1413" w:type="dxa"/>
            <w:tcBorders>
              <w:top w:val="double" w:sz="4" w:space="0" w:color="auto"/>
              <w:left w:val="double" w:sz="4" w:space="0" w:color="auto"/>
              <w:bottom w:val="single" w:sz="4" w:space="0" w:color="auto"/>
              <w:right w:val="single" w:sz="4" w:space="0" w:color="auto"/>
            </w:tcBorders>
            <w:shd w:val="clear" w:color="auto" w:fill="262626"/>
            <w:vAlign w:val="center"/>
            <w:hideMark/>
          </w:tcPr>
          <w:p w14:paraId="76D2DA2F" w14:textId="77777777" w:rsidR="00B56368" w:rsidRPr="00C15FEE" w:rsidRDefault="00B56368" w:rsidP="00052161">
            <w:pPr>
              <w:spacing w:line="276" w:lineRule="auto"/>
              <w:jc w:val="center"/>
              <w:rPr>
                <w:rFonts w:ascii="Arial" w:eastAsia="Arial,Calibri" w:hAnsi="Arial" w:cs="Arial"/>
                <w:b/>
                <w:bCs/>
                <w:color w:val="FFFFFF"/>
                <w:sz w:val="20"/>
                <w:szCs w:val="20"/>
                <w:lang w:val="es-CO"/>
              </w:rPr>
            </w:pPr>
            <w:r w:rsidRPr="00C15FEE">
              <w:rPr>
                <w:rFonts w:ascii="Arial" w:eastAsia="Calibri" w:hAnsi="Arial" w:cs="Arial"/>
                <w:b/>
                <w:bCs/>
                <w:color w:val="FFFFFF"/>
                <w:sz w:val="20"/>
                <w:szCs w:val="20"/>
                <w:lang w:val="es-CO"/>
              </w:rPr>
              <w:lastRenderedPageBreak/>
              <w:t>Rango</w:t>
            </w:r>
            <w:r w:rsidRPr="00C15FEE">
              <w:rPr>
                <w:rFonts w:ascii="Arial" w:eastAsia="Arial,Calibri" w:hAnsi="Arial" w:cs="Arial"/>
                <w:b/>
                <w:bCs/>
                <w:color w:val="FFFFFF"/>
                <w:sz w:val="20"/>
                <w:szCs w:val="20"/>
                <w:lang w:val="es-CO"/>
              </w:rPr>
              <w:t xml:space="preserve"> </w:t>
            </w:r>
            <w:r w:rsidRPr="00C15FEE">
              <w:rPr>
                <w:rFonts w:ascii="Arial" w:eastAsia="Calibri" w:hAnsi="Arial" w:cs="Arial"/>
                <w:b/>
                <w:bCs/>
                <w:color w:val="FFFFFF"/>
                <w:sz w:val="20"/>
                <w:szCs w:val="20"/>
                <w:lang w:val="es-CO"/>
              </w:rPr>
              <w:t>(inclusive)</w:t>
            </w:r>
          </w:p>
        </w:tc>
        <w:tc>
          <w:tcPr>
            <w:tcW w:w="899" w:type="dxa"/>
            <w:tcBorders>
              <w:top w:val="double" w:sz="4" w:space="0" w:color="auto"/>
              <w:left w:val="single" w:sz="4" w:space="0" w:color="auto"/>
              <w:bottom w:val="single" w:sz="4" w:space="0" w:color="auto"/>
              <w:right w:val="single" w:sz="4" w:space="0" w:color="auto"/>
            </w:tcBorders>
            <w:shd w:val="clear" w:color="auto" w:fill="262626"/>
            <w:vAlign w:val="center"/>
            <w:hideMark/>
          </w:tcPr>
          <w:p w14:paraId="1209461F" w14:textId="77777777" w:rsidR="00B56368" w:rsidRPr="00C15FEE" w:rsidRDefault="00B56368" w:rsidP="00052161">
            <w:pPr>
              <w:spacing w:line="276" w:lineRule="auto"/>
              <w:jc w:val="center"/>
              <w:rPr>
                <w:rFonts w:ascii="Arial" w:eastAsia="Arial,Calibri" w:hAnsi="Arial" w:cs="Arial"/>
                <w:b/>
                <w:bCs/>
                <w:color w:val="FFFFFF"/>
                <w:sz w:val="20"/>
                <w:szCs w:val="20"/>
                <w:lang w:val="es-CO"/>
              </w:rPr>
            </w:pPr>
            <w:r w:rsidRPr="00C15FEE">
              <w:rPr>
                <w:rFonts w:ascii="Arial" w:eastAsia="Calibri" w:hAnsi="Arial" w:cs="Arial"/>
                <w:b/>
                <w:bCs/>
                <w:color w:val="FFFFFF"/>
                <w:sz w:val="20"/>
                <w:szCs w:val="20"/>
                <w:lang w:val="es-CO"/>
              </w:rPr>
              <w:t>Número</w:t>
            </w:r>
          </w:p>
        </w:tc>
        <w:tc>
          <w:tcPr>
            <w:tcW w:w="2503" w:type="dxa"/>
            <w:tcBorders>
              <w:top w:val="double" w:sz="4" w:space="0" w:color="auto"/>
              <w:left w:val="single" w:sz="4" w:space="0" w:color="auto"/>
              <w:bottom w:val="single" w:sz="4" w:space="0" w:color="auto"/>
              <w:right w:val="double" w:sz="4" w:space="0" w:color="auto"/>
            </w:tcBorders>
            <w:shd w:val="clear" w:color="auto" w:fill="262626"/>
            <w:vAlign w:val="center"/>
            <w:hideMark/>
          </w:tcPr>
          <w:p w14:paraId="08D3CF48" w14:textId="77777777" w:rsidR="00B56368" w:rsidRPr="00C15FEE" w:rsidRDefault="00B56368" w:rsidP="00052161">
            <w:pPr>
              <w:spacing w:line="276" w:lineRule="auto"/>
              <w:jc w:val="center"/>
              <w:rPr>
                <w:rFonts w:ascii="Arial" w:eastAsia="Arial,Calibri" w:hAnsi="Arial" w:cs="Arial"/>
                <w:b/>
                <w:bCs/>
                <w:color w:val="FFFFFF"/>
                <w:sz w:val="20"/>
                <w:szCs w:val="20"/>
                <w:lang w:val="es-CO"/>
              </w:rPr>
            </w:pPr>
            <w:r w:rsidRPr="00C15FEE">
              <w:rPr>
                <w:rFonts w:ascii="Arial" w:eastAsia="Calibri" w:hAnsi="Arial" w:cs="Arial"/>
                <w:b/>
                <w:bCs/>
                <w:color w:val="FFFFFF"/>
                <w:sz w:val="20"/>
                <w:szCs w:val="20"/>
                <w:lang w:val="es-CO"/>
              </w:rPr>
              <w:t>Método</w:t>
            </w:r>
          </w:p>
        </w:tc>
      </w:tr>
      <w:tr w:rsidR="00B56368" w:rsidRPr="00C15FEE" w14:paraId="5E5D894F" w14:textId="77777777" w:rsidTr="00052161">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313347CE"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De 0.00 a 0.24</w:t>
            </w:r>
          </w:p>
        </w:tc>
        <w:tc>
          <w:tcPr>
            <w:tcW w:w="899" w:type="dxa"/>
            <w:tcBorders>
              <w:top w:val="single" w:sz="4" w:space="0" w:color="auto"/>
              <w:left w:val="single" w:sz="4" w:space="0" w:color="auto"/>
              <w:bottom w:val="single" w:sz="4" w:space="0" w:color="auto"/>
              <w:right w:val="single" w:sz="4" w:space="0" w:color="auto"/>
            </w:tcBorders>
            <w:vAlign w:val="center"/>
            <w:hideMark/>
          </w:tcPr>
          <w:p w14:paraId="17567C69" w14:textId="77777777" w:rsidR="00B56368" w:rsidRPr="00C15FEE" w:rsidRDefault="00B56368" w:rsidP="00052161">
            <w:pPr>
              <w:spacing w:line="276" w:lineRule="auto"/>
              <w:jc w:val="center"/>
              <w:rPr>
                <w:rFonts w:ascii="Arial" w:eastAsia="Arial,Times New Roman" w:hAnsi="Arial" w:cs="Arial"/>
                <w:sz w:val="20"/>
                <w:szCs w:val="20"/>
                <w:lang w:val="es-ES" w:eastAsia="es-CO"/>
              </w:rPr>
            </w:pPr>
            <w:r w:rsidRPr="00C15FEE">
              <w:rPr>
                <w:rFonts w:ascii="Arial" w:eastAsia="Calibri" w:hAnsi="Arial" w:cs="Arial"/>
                <w:sz w:val="20"/>
                <w:szCs w:val="20"/>
                <w:lang w:val="es-ES" w:eastAsia="es-CO"/>
              </w:rPr>
              <w:t>1</w:t>
            </w:r>
          </w:p>
        </w:tc>
        <w:tc>
          <w:tcPr>
            <w:tcW w:w="2503" w:type="dxa"/>
            <w:tcBorders>
              <w:top w:val="single" w:sz="4" w:space="0" w:color="auto"/>
              <w:left w:val="single" w:sz="4" w:space="0" w:color="auto"/>
              <w:bottom w:val="single" w:sz="4" w:space="0" w:color="auto"/>
              <w:right w:val="double" w:sz="4" w:space="0" w:color="auto"/>
            </w:tcBorders>
            <w:vAlign w:val="center"/>
            <w:hideMark/>
          </w:tcPr>
          <w:p w14:paraId="6BEF8210" w14:textId="77777777" w:rsidR="00B56368" w:rsidRPr="00C15FEE" w:rsidRDefault="00B56368" w:rsidP="00052161">
            <w:pPr>
              <w:spacing w:line="276" w:lineRule="auto"/>
              <w:jc w:val="center"/>
              <w:rPr>
                <w:rFonts w:ascii="Arial" w:eastAsia="Arial,Times New Roman" w:hAnsi="Arial" w:cs="Arial"/>
                <w:sz w:val="20"/>
                <w:szCs w:val="20"/>
                <w:lang w:val="es-ES" w:eastAsia="es-CO"/>
              </w:rPr>
            </w:pPr>
            <w:r w:rsidRPr="00C15FEE">
              <w:rPr>
                <w:rFonts w:ascii="Arial" w:eastAsia="Calibri" w:hAnsi="Arial" w:cs="Arial"/>
                <w:sz w:val="20"/>
                <w:szCs w:val="20"/>
                <w:lang w:val="es-ES" w:eastAsia="es-CO"/>
              </w:rPr>
              <w:t>Mediana con valor absoluto</w:t>
            </w:r>
          </w:p>
        </w:tc>
      </w:tr>
      <w:tr w:rsidR="00B56368" w:rsidRPr="00C15FEE" w14:paraId="6046A53B" w14:textId="77777777" w:rsidTr="00052161">
        <w:trPr>
          <w:trHeight w:val="41"/>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45699250"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De 0.25 a 0.49</w:t>
            </w:r>
          </w:p>
        </w:tc>
        <w:tc>
          <w:tcPr>
            <w:tcW w:w="899" w:type="dxa"/>
            <w:tcBorders>
              <w:top w:val="single" w:sz="4" w:space="0" w:color="auto"/>
              <w:left w:val="single" w:sz="4" w:space="0" w:color="auto"/>
              <w:bottom w:val="single" w:sz="4" w:space="0" w:color="auto"/>
              <w:right w:val="single" w:sz="4" w:space="0" w:color="auto"/>
            </w:tcBorders>
            <w:vAlign w:val="center"/>
            <w:hideMark/>
          </w:tcPr>
          <w:p w14:paraId="7E1ECF24" w14:textId="77777777" w:rsidR="00B56368" w:rsidRPr="00C15FEE" w:rsidRDefault="00B56368" w:rsidP="00052161">
            <w:pPr>
              <w:spacing w:line="276" w:lineRule="auto"/>
              <w:jc w:val="center"/>
              <w:rPr>
                <w:rFonts w:ascii="Arial" w:eastAsia="Arial,Times New Roman" w:hAnsi="Arial" w:cs="Arial"/>
                <w:sz w:val="20"/>
                <w:szCs w:val="20"/>
                <w:lang w:val="es-ES" w:eastAsia="es-CO"/>
              </w:rPr>
            </w:pPr>
            <w:r w:rsidRPr="00C15FEE">
              <w:rPr>
                <w:rFonts w:ascii="Arial" w:eastAsia="Arial,Times New Roman" w:hAnsi="Arial" w:cs="Arial"/>
                <w:sz w:val="20"/>
                <w:szCs w:val="20"/>
                <w:lang w:val="es-ES" w:eastAsia="es-CO"/>
              </w:rPr>
              <w:t>2</w:t>
            </w:r>
          </w:p>
        </w:tc>
        <w:tc>
          <w:tcPr>
            <w:tcW w:w="2503" w:type="dxa"/>
            <w:tcBorders>
              <w:top w:val="single" w:sz="4" w:space="0" w:color="auto"/>
              <w:left w:val="single" w:sz="4" w:space="0" w:color="auto"/>
              <w:bottom w:val="single" w:sz="4" w:space="0" w:color="auto"/>
              <w:right w:val="double" w:sz="4" w:space="0" w:color="auto"/>
            </w:tcBorders>
            <w:vAlign w:val="center"/>
            <w:hideMark/>
          </w:tcPr>
          <w:p w14:paraId="7EFD8E3D" w14:textId="77777777" w:rsidR="00B56368" w:rsidRPr="00C15FEE" w:rsidRDefault="00B56368" w:rsidP="00052161">
            <w:pPr>
              <w:spacing w:line="276" w:lineRule="auto"/>
              <w:jc w:val="center"/>
              <w:rPr>
                <w:rFonts w:ascii="Arial" w:eastAsia="Arial,Times New Roman" w:hAnsi="Arial" w:cs="Arial"/>
                <w:sz w:val="20"/>
                <w:szCs w:val="20"/>
                <w:lang w:val="es-ES" w:eastAsia="es-CO"/>
              </w:rPr>
            </w:pPr>
            <w:r w:rsidRPr="00C15FEE">
              <w:rPr>
                <w:rFonts w:ascii="Arial" w:eastAsia="Calibri" w:hAnsi="Arial" w:cs="Arial"/>
                <w:sz w:val="20"/>
                <w:szCs w:val="20"/>
                <w:lang w:val="es-ES" w:eastAsia="es-CO"/>
              </w:rPr>
              <w:t>Media geométrica</w:t>
            </w:r>
          </w:p>
        </w:tc>
      </w:tr>
      <w:tr w:rsidR="00B56368" w:rsidRPr="00C15FEE" w14:paraId="174CF1C6" w14:textId="77777777" w:rsidTr="00052161">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tcPr>
          <w:p w14:paraId="113DB801"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De 0.50 a 0.74</w:t>
            </w:r>
          </w:p>
        </w:tc>
        <w:tc>
          <w:tcPr>
            <w:tcW w:w="899" w:type="dxa"/>
            <w:tcBorders>
              <w:top w:val="single" w:sz="4" w:space="0" w:color="auto"/>
              <w:left w:val="single" w:sz="4" w:space="0" w:color="auto"/>
              <w:bottom w:val="single" w:sz="4" w:space="0" w:color="auto"/>
              <w:right w:val="single" w:sz="4" w:space="0" w:color="auto"/>
            </w:tcBorders>
            <w:vAlign w:val="center"/>
          </w:tcPr>
          <w:p w14:paraId="07C8C39A"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3</w:t>
            </w:r>
          </w:p>
        </w:tc>
        <w:tc>
          <w:tcPr>
            <w:tcW w:w="2503" w:type="dxa"/>
            <w:tcBorders>
              <w:top w:val="single" w:sz="4" w:space="0" w:color="auto"/>
              <w:left w:val="single" w:sz="4" w:space="0" w:color="auto"/>
              <w:bottom w:val="single" w:sz="4" w:space="0" w:color="auto"/>
              <w:right w:val="double" w:sz="4" w:space="0" w:color="auto"/>
            </w:tcBorders>
            <w:vAlign w:val="center"/>
          </w:tcPr>
          <w:p w14:paraId="3C049821"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Media aritmética baja</w:t>
            </w:r>
          </w:p>
        </w:tc>
      </w:tr>
      <w:tr w:rsidR="00B56368" w:rsidRPr="00C15FEE" w14:paraId="29D3FADA" w14:textId="77777777" w:rsidTr="00052161">
        <w:trPr>
          <w:trHeight w:val="20"/>
          <w:jc w:val="center"/>
        </w:trPr>
        <w:tc>
          <w:tcPr>
            <w:tcW w:w="1413" w:type="dxa"/>
            <w:tcBorders>
              <w:top w:val="single" w:sz="4" w:space="0" w:color="auto"/>
              <w:left w:val="double" w:sz="4" w:space="0" w:color="auto"/>
              <w:bottom w:val="double" w:sz="4" w:space="0" w:color="auto"/>
              <w:right w:val="single" w:sz="4" w:space="0" w:color="auto"/>
            </w:tcBorders>
            <w:vAlign w:val="center"/>
          </w:tcPr>
          <w:p w14:paraId="7DE3ECDA"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De 0.75 a 0.99</w:t>
            </w:r>
          </w:p>
        </w:tc>
        <w:tc>
          <w:tcPr>
            <w:tcW w:w="899" w:type="dxa"/>
            <w:tcBorders>
              <w:top w:val="single" w:sz="4" w:space="0" w:color="auto"/>
              <w:left w:val="single" w:sz="4" w:space="0" w:color="auto"/>
              <w:bottom w:val="double" w:sz="4" w:space="0" w:color="auto"/>
              <w:right w:val="single" w:sz="4" w:space="0" w:color="auto"/>
            </w:tcBorders>
            <w:vAlign w:val="center"/>
          </w:tcPr>
          <w:p w14:paraId="2C0262AE"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4</w:t>
            </w:r>
          </w:p>
        </w:tc>
        <w:tc>
          <w:tcPr>
            <w:tcW w:w="2503" w:type="dxa"/>
            <w:tcBorders>
              <w:top w:val="single" w:sz="4" w:space="0" w:color="auto"/>
              <w:left w:val="single" w:sz="4" w:space="0" w:color="auto"/>
              <w:bottom w:val="double" w:sz="4" w:space="0" w:color="auto"/>
              <w:right w:val="double" w:sz="4" w:space="0" w:color="auto"/>
            </w:tcBorders>
            <w:vAlign w:val="center"/>
          </w:tcPr>
          <w:p w14:paraId="72906DDF" w14:textId="77777777" w:rsidR="00B56368" w:rsidRPr="00C15FEE" w:rsidRDefault="00B56368" w:rsidP="00052161">
            <w:pPr>
              <w:spacing w:line="276" w:lineRule="auto"/>
              <w:jc w:val="center"/>
              <w:rPr>
                <w:rFonts w:ascii="Arial" w:eastAsia="Calibri" w:hAnsi="Arial" w:cs="Arial"/>
                <w:sz w:val="20"/>
                <w:szCs w:val="20"/>
                <w:lang w:val="es-ES" w:eastAsia="es-CO"/>
              </w:rPr>
            </w:pPr>
            <w:r w:rsidRPr="00C15FEE">
              <w:rPr>
                <w:rFonts w:ascii="Arial" w:eastAsia="Calibri" w:hAnsi="Arial" w:cs="Arial"/>
                <w:sz w:val="20"/>
                <w:szCs w:val="20"/>
                <w:lang w:val="es-ES" w:eastAsia="es-CO"/>
              </w:rPr>
              <w:t>Menor valor</w:t>
            </w:r>
          </w:p>
        </w:tc>
      </w:tr>
    </w:tbl>
    <w:p w14:paraId="444B33F8" w14:textId="77777777" w:rsidR="00B56368" w:rsidRPr="00C15FEE" w:rsidRDefault="00B56368" w:rsidP="00B56368">
      <w:pPr>
        <w:spacing w:line="276" w:lineRule="auto"/>
        <w:ind w:firstLine="709"/>
        <w:jc w:val="both"/>
        <w:rPr>
          <w:rFonts w:ascii="Arial" w:hAnsi="Arial" w:cs="Arial"/>
          <w:color w:val="000000" w:themeColor="text1"/>
          <w:sz w:val="22"/>
        </w:rPr>
      </w:pPr>
    </w:p>
    <w:p w14:paraId="79E9D86F" w14:textId="77777777" w:rsidR="00402957" w:rsidRPr="00402957" w:rsidRDefault="00402957" w:rsidP="00402957">
      <w:pPr>
        <w:spacing w:after="120" w:line="276" w:lineRule="auto"/>
        <w:ind w:firstLine="708"/>
        <w:jc w:val="both"/>
        <w:rPr>
          <w:rFonts w:ascii="Arial" w:hAnsi="Arial" w:cs="Arial"/>
          <w:sz w:val="22"/>
          <w:lang w:val="es-CO"/>
        </w:rPr>
      </w:pPr>
      <w:r w:rsidRPr="00402957">
        <w:rPr>
          <w:rFonts w:ascii="Arial" w:eastAsia="Calibri" w:hAnsi="Arial" w:cs="Arial"/>
          <w:sz w:val="22"/>
          <w:lang w:val="es-CO"/>
        </w:rPr>
        <w:t>De otra parte, el numeral 4.1.4 al regular el mecanismo de escogencia del método de ponderación, reglamenta aspectos propios del desarrollo de la apertura de los sobres contentivos de las ofertas económicas y del desarrollo de la audiencia de adjudicación, no contemplados en los numerales 2.4 y 2.6 del referido documento base</w:t>
      </w:r>
      <w:r w:rsidRPr="00402957">
        <w:rPr>
          <w:rFonts w:ascii="Arial" w:eastAsia="Calibri" w:hAnsi="Arial" w:cs="Arial"/>
          <w:sz w:val="22"/>
          <w:vertAlign w:val="superscript"/>
          <w:lang w:val="es-CO"/>
        </w:rPr>
        <w:footnoteReference w:id="11"/>
      </w:r>
      <w:r w:rsidRPr="00402957">
        <w:rPr>
          <w:rFonts w:ascii="Arial" w:eastAsia="Calibri" w:hAnsi="Arial" w:cs="Arial"/>
          <w:sz w:val="22"/>
          <w:lang w:val="es-CO"/>
        </w:rPr>
        <w:t xml:space="preserve">. En particular, el </w:t>
      </w:r>
      <w:r w:rsidRPr="00402957">
        <w:rPr>
          <w:rFonts w:ascii="Arial" w:eastAsia="Calibri" w:hAnsi="Arial" w:cs="Arial"/>
          <w:sz w:val="22"/>
          <w:lang w:val="es-CO"/>
        </w:rPr>
        <w:lastRenderedPageBreak/>
        <w:t>numeral 4.1.4 establece que «la entidad debe finalizar la apertura de los sobres económicos hasta antes de las 3:00 pm», de tal manera que «</w:t>
      </w:r>
      <w:r w:rsidRPr="00402957">
        <w:rPr>
          <w:rFonts w:ascii="Arial" w:hAnsi="Arial" w:cs="Arial"/>
          <w:sz w:val="22"/>
          <w:lang w:val="es-CO"/>
        </w:rPr>
        <w:t xml:space="preserve">la entidad no podrá abrir los sobres económicos teniendo conocimiento de la TRM que regirá al día hábil siguiente», la cual suele ser publicada por la Superfinanciera entre las 4:00 pm y las 6:00 pm. </w:t>
      </w:r>
    </w:p>
    <w:p w14:paraId="42D957A7" w14:textId="188889AD" w:rsidR="00402957" w:rsidRDefault="00402957" w:rsidP="00402957">
      <w:pPr>
        <w:spacing w:after="120" w:line="276" w:lineRule="auto"/>
        <w:ind w:firstLine="708"/>
        <w:jc w:val="both"/>
        <w:rPr>
          <w:rFonts w:ascii="Arial" w:hAnsi="Arial" w:cs="Arial"/>
          <w:sz w:val="22"/>
          <w:lang w:val="es-CO"/>
        </w:rPr>
      </w:pPr>
      <w:r w:rsidRPr="00402957">
        <w:rPr>
          <w:rFonts w:ascii="Arial" w:hAnsi="Arial" w:cs="Arial"/>
          <w:sz w:val="22"/>
          <w:lang w:val="es-CO"/>
        </w:rPr>
        <w:t xml:space="preserve">Lo anterior indica que, en lo relativo a la apertura de los sobres contentivos de la oferta económica, la Versión 3 del aludido documento base mantiene la obligación de iniciar y finalizar la apertura de los sobres en un mismo día, en el que también deberá definirse el método de ponderación, pero estableciendo además que ello deberá llevarse a cabo antes de las 3:00 pm del respectivo día. </w:t>
      </w:r>
      <w:r w:rsidR="00F0082D">
        <w:rPr>
          <w:rFonts w:ascii="Arial" w:hAnsi="Arial" w:cs="Arial"/>
          <w:sz w:val="22"/>
          <w:lang w:val="es-CO"/>
        </w:rPr>
        <w:t xml:space="preserve"> </w:t>
      </w:r>
      <w:r w:rsidRPr="00402957">
        <w:rPr>
          <w:rFonts w:ascii="Arial" w:hAnsi="Arial" w:cs="Arial"/>
          <w:sz w:val="22"/>
          <w:lang w:val="es-CO"/>
        </w:rPr>
        <w:t xml:space="preserve">En ese sentido, el numeral 4.1.4 establece que, para poder cumplir con estos supuestos, atendiendo las particularidades de cada proceso, la entidad podrá suspender la audiencia y reiniciarla cuando estime conveniente, de tal manera que la apertura de las ofertas económicas y la determinación del método de ponderación puedan ocurrir un mismo día, culminando la apertura antes de las 3:00 pm. </w:t>
      </w:r>
    </w:p>
    <w:p w14:paraId="18CB35B2" w14:textId="0BEEF5FD" w:rsidR="0096722E" w:rsidRPr="0096722E" w:rsidRDefault="0096722E" w:rsidP="00DB6C06">
      <w:pPr>
        <w:spacing w:after="120" w:line="276" w:lineRule="auto"/>
        <w:ind w:firstLine="709"/>
        <w:jc w:val="both"/>
        <w:rPr>
          <w:rFonts w:ascii="Arial" w:hAnsi="Arial" w:cs="Arial"/>
          <w:sz w:val="22"/>
          <w:lang w:val="es-CO"/>
        </w:rPr>
      </w:pPr>
      <w:r w:rsidRPr="0096722E">
        <w:rPr>
          <w:rFonts w:ascii="Arial" w:hAnsi="Arial" w:cs="Arial"/>
          <w:sz w:val="22"/>
          <w:lang w:val="es-CO"/>
        </w:rPr>
        <w:t>Estos cambios en el mecanismo para definir de forma aleatoria el método de ponderación de las ofertas económicas,</w:t>
      </w:r>
      <w:r w:rsidR="005F7062">
        <w:rPr>
          <w:rFonts w:ascii="Arial" w:hAnsi="Arial" w:cs="Arial"/>
          <w:sz w:val="22"/>
          <w:lang w:val="es-CO"/>
        </w:rPr>
        <w:t xml:space="preserve"> fueron in</w:t>
      </w:r>
      <w:r w:rsidR="002665DC">
        <w:rPr>
          <w:rFonts w:ascii="Arial" w:hAnsi="Arial" w:cs="Arial"/>
          <w:sz w:val="22"/>
          <w:lang w:val="es-CO"/>
        </w:rPr>
        <w:t>troducidos en la Versión 3 de los referidos documentos tipo, con el fin de garantizar m</w:t>
      </w:r>
      <w:r w:rsidRPr="0096722E">
        <w:rPr>
          <w:rFonts w:ascii="Arial" w:hAnsi="Arial" w:cs="Arial"/>
          <w:sz w:val="22"/>
          <w:lang w:val="es-CO"/>
        </w:rPr>
        <w:t>ayor transparencia en la ponderación. Esto en la medida en que establecer una hora límite para la apertura de las ofertas garantiza que las entidades estatales no puedan, antes o durante la apertura de las ofertas, conocer la TRM que determinará el método de ponderación, comoquiera que esta sería publicada por la Superfinanciera en un momento posterior a la apertura de todas las ofertas económicas.</w:t>
      </w:r>
    </w:p>
    <w:p w14:paraId="71D6DCF9" w14:textId="08666A80" w:rsidR="00EE5485" w:rsidRPr="00402957" w:rsidRDefault="0096722E" w:rsidP="006F6CB4">
      <w:pPr>
        <w:spacing w:after="120" w:line="276" w:lineRule="auto"/>
        <w:ind w:firstLine="709"/>
        <w:jc w:val="both"/>
        <w:rPr>
          <w:rFonts w:ascii="Arial" w:hAnsi="Arial" w:cs="Arial"/>
          <w:sz w:val="22"/>
          <w:lang w:val="es-CO"/>
        </w:rPr>
      </w:pPr>
      <w:r w:rsidRPr="0096722E">
        <w:rPr>
          <w:rFonts w:ascii="Arial" w:hAnsi="Arial" w:cs="Arial"/>
          <w:sz w:val="22"/>
          <w:lang w:val="es-CO"/>
        </w:rPr>
        <w:t xml:space="preserve">Por su parte, es importante resaltar que estas reglas relacionadas con la forma en la cual se determina la TRM que la entidad utilizará para determinar el método de ponderación de la oferta económica se replicaron en los documentos tipo del sector agua potable y saneamiento básico adoptados por las Resoluciones 248 y 249 de 2020. </w:t>
      </w:r>
    </w:p>
    <w:p w14:paraId="4930CC47" w14:textId="491666D2" w:rsidR="00B56368" w:rsidRPr="00C15FEE" w:rsidRDefault="006F6CB4" w:rsidP="00E72025">
      <w:pPr>
        <w:spacing w:after="120" w:line="276" w:lineRule="auto"/>
        <w:ind w:firstLine="709"/>
        <w:jc w:val="both"/>
        <w:rPr>
          <w:rFonts w:ascii="Arial" w:eastAsia="Calibri" w:hAnsi="Arial" w:cs="Arial"/>
          <w:sz w:val="22"/>
        </w:rPr>
      </w:pPr>
      <w:r>
        <w:rPr>
          <w:rFonts w:ascii="Arial" w:eastAsia="Calibri" w:hAnsi="Arial" w:cs="Arial"/>
          <w:sz w:val="22"/>
        </w:rPr>
        <w:t>Así mismo, s</w:t>
      </w:r>
      <w:r w:rsidR="00B56368" w:rsidRPr="00C15FEE">
        <w:rPr>
          <w:rFonts w:ascii="Arial" w:eastAsia="Calibri" w:hAnsi="Arial" w:cs="Arial"/>
          <w:sz w:val="22"/>
        </w:rPr>
        <w:t xml:space="preserve">e advierte que el documento tipo acudió a este valor –TRM– como el criterio de escogencia del método aleatorio para evaluar la oferta económica, porque su definición no depende de la discrecionalidad de la administración pública en cualquiera de sus órdenes y niveles. Aunque se establece y certifica por parte de la Superintendencia Financiera, su determinación depende de las dinámicas del mercado de divisas, garantizando una elección aleatoria del método de ponderación aplicable para tal propósito, lo que dota de transparencia y selección objetiva la evaluación de las ofertas. </w:t>
      </w:r>
      <w:r w:rsidR="0062345F" w:rsidRPr="0062345F">
        <w:rPr>
          <w:rFonts w:ascii="Arial" w:eastAsia="Calibri" w:hAnsi="Arial" w:cs="Arial"/>
          <w:sz w:val="22"/>
        </w:rPr>
        <w:t xml:space="preserve">Conforme a </w:t>
      </w:r>
      <w:r w:rsidR="0062345F" w:rsidRPr="0062345F">
        <w:rPr>
          <w:rFonts w:ascii="Arial" w:eastAsia="Calibri" w:hAnsi="Arial" w:cs="Arial"/>
          <w:sz w:val="22"/>
        </w:rPr>
        <w:lastRenderedPageBreak/>
        <w:t xml:space="preserve">lo expuesto previamente, </w:t>
      </w:r>
      <w:r w:rsidR="00A72A35">
        <w:rPr>
          <w:rFonts w:ascii="Arial" w:eastAsia="Calibri" w:hAnsi="Arial" w:cs="Arial"/>
          <w:sz w:val="22"/>
        </w:rPr>
        <w:t xml:space="preserve">resulta claro que </w:t>
      </w:r>
      <w:r w:rsidR="0062345F" w:rsidRPr="0062345F">
        <w:rPr>
          <w:rFonts w:ascii="Arial" w:eastAsia="Calibri" w:hAnsi="Arial" w:cs="Arial"/>
          <w:sz w:val="22"/>
        </w:rPr>
        <w:t>la TRM que la entidad utilizará para determinar el método de ponderación será el que rija el día hábil siguiente del día en que efectivamente sea la apertura del segundo sobre.</w:t>
      </w:r>
    </w:p>
    <w:p w14:paraId="04710378" w14:textId="77777777" w:rsidR="00B56368" w:rsidRPr="00C15FEE" w:rsidRDefault="00B56368" w:rsidP="00B56368">
      <w:pPr>
        <w:spacing w:line="276" w:lineRule="auto"/>
        <w:jc w:val="both"/>
        <w:rPr>
          <w:rFonts w:ascii="Arial" w:hAnsi="Arial" w:cs="Arial"/>
          <w:sz w:val="22"/>
          <w:lang w:val="es-CO"/>
        </w:rPr>
      </w:pPr>
    </w:p>
    <w:p w14:paraId="7E9EBDE6" w14:textId="77777777" w:rsidR="00B56368" w:rsidRPr="00C15FEE" w:rsidRDefault="00B56368" w:rsidP="00B56368">
      <w:pPr>
        <w:pStyle w:val="Prrafodelista"/>
        <w:numPr>
          <w:ilvl w:val="0"/>
          <w:numId w:val="1"/>
        </w:numPr>
        <w:tabs>
          <w:tab w:val="left" w:pos="284"/>
        </w:tabs>
        <w:spacing w:line="276" w:lineRule="auto"/>
        <w:ind w:left="0" w:firstLine="0"/>
        <w:jc w:val="both"/>
        <w:rPr>
          <w:rFonts w:ascii="Arial" w:eastAsia="Calibri" w:hAnsi="Arial" w:cs="Arial"/>
          <w:sz w:val="22"/>
          <w:lang w:val="es-CO"/>
        </w:rPr>
      </w:pPr>
      <w:r w:rsidRPr="00C15FEE">
        <w:rPr>
          <w:rFonts w:ascii="Arial" w:eastAsia="Calibri" w:hAnsi="Arial" w:cs="Arial"/>
          <w:b/>
          <w:sz w:val="22"/>
          <w:lang w:val="es-CO"/>
        </w:rPr>
        <w:t>Respuesta</w:t>
      </w:r>
    </w:p>
    <w:p w14:paraId="2AE8204F" w14:textId="77777777" w:rsidR="00B56368" w:rsidRPr="00C15FEE" w:rsidRDefault="00B56368" w:rsidP="00B56368">
      <w:pPr>
        <w:ind w:right="709"/>
        <w:jc w:val="both"/>
        <w:rPr>
          <w:rFonts w:ascii="Arial" w:eastAsia="Calibri" w:hAnsi="Arial" w:cs="Arial"/>
          <w:iCs/>
          <w:sz w:val="22"/>
          <w:lang w:val="es-CO"/>
        </w:rPr>
      </w:pPr>
    </w:p>
    <w:p w14:paraId="262C4500" w14:textId="197F43BA" w:rsidR="00B56368" w:rsidRPr="00C15FEE" w:rsidRDefault="00B56368" w:rsidP="00B56368">
      <w:pPr>
        <w:ind w:left="709" w:right="709"/>
        <w:jc w:val="both"/>
        <w:rPr>
          <w:rFonts w:ascii="Arial" w:eastAsia="Calibri" w:hAnsi="Arial" w:cs="Arial"/>
          <w:sz w:val="21"/>
          <w:szCs w:val="21"/>
          <w:lang w:val="es-CO"/>
        </w:rPr>
      </w:pPr>
      <w:r w:rsidRPr="00C15FEE">
        <w:rPr>
          <w:rFonts w:ascii="Arial" w:eastAsia="Calibri" w:hAnsi="Arial" w:cs="Arial"/>
          <w:sz w:val="21"/>
          <w:szCs w:val="21"/>
          <w:lang w:val="es-CO"/>
        </w:rPr>
        <w:t>«</w:t>
      </w:r>
      <w:r w:rsidR="00497C4D" w:rsidRPr="00497C4D">
        <w:rPr>
          <w:rFonts w:ascii="Arial" w:eastAsia="Calibri" w:hAnsi="Arial" w:cs="Arial"/>
          <w:sz w:val="21"/>
          <w:szCs w:val="21"/>
          <w:lang w:val="es-CO"/>
        </w:rPr>
        <w:t xml:space="preserve">[…] se encuentra que el método de ponderación de la oferta económica esta [sic] relacionado con la TRM que rige el día hábil siguiente a la apertura del sobre No. 2, es decir, la que publica la superintendencia financiera en la tarde del día que apertura el segundo sobre; sin embargo, existen días hábiles (lunes a viernes) en los cuales la superintendencia no publica la TRM, por ejemplo, existen semanas en las cuales la superintendencia publica la TRM el día viernes en la tarde, con vigencia para los días sábado, domingo, lunes y martes; en este caso si se programa la diligencia de apertura de sobres para el día lunes y efectivamente se da la apertura de sobres el día lunes antes de las 3 pm; pese a que la entidad no conozca la TRM, ya la superintendencia publico [sic] en horas de la tarde del viernes la que rige el día martes, por lo cual existiría un incumplimiento por parte de la superintendencia en la publicación de la TRM el </w:t>
      </w:r>
      <w:proofErr w:type="spellStart"/>
      <w:r w:rsidR="00497C4D" w:rsidRPr="00497C4D">
        <w:rPr>
          <w:rFonts w:ascii="Arial" w:eastAsia="Calibri" w:hAnsi="Arial" w:cs="Arial"/>
          <w:sz w:val="21"/>
          <w:szCs w:val="21"/>
          <w:lang w:val="es-CO"/>
        </w:rPr>
        <w:t>dia</w:t>
      </w:r>
      <w:proofErr w:type="spellEnd"/>
      <w:r w:rsidR="00497C4D" w:rsidRPr="00497C4D">
        <w:rPr>
          <w:rFonts w:ascii="Arial" w:eastAsia="Calibri" w:hAnsi="Arial" w:cs="Arial"/>
          <w:sz w:val="21"/>
          <w:szCs w:val="21"/>
          <w:lang w:val="es-CO"/>
        </w:rPr>
        <w:t xml:space="preserve"> [sic] lunes en la tarde; la entidad en forma presunta, así no sea, tenia [sic] la posibilidad de conocer la TRM, en contravía [sic] de lo dispuesto en el pliego respecto a que la entidad no podía conocer en ningún caso la TRM antes de </w:t>
      </w:r>
      <w:proofErr w:type="spellStart"/>
      <w:r w:rsidR="00497C4D" w:rsidRPr="00497C4D">
        <w:rPr>
          <w:rFonts w:ascii="Arial" w:eastAsia="Calibri" w:hAnsi="Arial" w:cs="Arial"/>
          <w:sz w:val="21"/>
          <w:szCs w:val="21"/>
          <w:lang w:val="es-CO"/>
        </w:rPr>
        <w:t>aperturar</w:t>
      </w:r>
      <w:proofErr w:type="spellEnd"/>
      <w:r w:rsidR="00497C4D" w:rsidRPr="00497C4D">
        <w:rPr>
          <w:rFonts w:ascii="Arial" w:eastAsia="Calibri" w:hAnsi="Arial" w:cs="Arial"/>
          <w:sz w:val="21"/>
          <w:szCs w:val="21"/>
          <w:lang w:val="es-CO"/>
        </w:rPr>
        <w:t xml:space="preserve"> el sobre No. 2.Respecto a esta situación, se requiere una aclaración por parte de Colombia Compra Eficiente, como formulador de los documentos tipo, en aras de zanjar ese vacío, ya sea explícitamente en los documentos tipo o mediante una resolución [sic] al caso en concreto».</w:t>
      </w:r>
    </w:p>
    <w:p w14:paraId="0B5FE3B9" w14:textId="77777777" w:rsidR="00B56368" w:rsidRPr="00C15FEE" w:rsidRDefault="00B56368" w:rsidP="00B56368">
      <w:pPr>
        <w:ind w:left="709" w:right="709"/>
        <w:jc w:val="both"/>
        <w:rPr>
          <w:rFonts w:ascii="Arial" w:eastAsia="Calibri" w:hAnsi="Arial" w:cs="Arial"/>
          <w:sz w:val="21"/>
          <w:szCs w:val="21"/>
          <w:lang w:val="es-CO"/>
        </w:rPr>
      </w:pPr>
    </w:p>
    <w:p w14:paraId="78AFF80F" w14:textId="2AA28DF8" w:rsidR="00B56368" w:rsidRDefault="00B56368" w:rsidP="00B56368">
      <w:pPr>
        <w:spacing w:after="120" w:line="276" w:lineRule="auto"/>
        <w:jc w:val="both"/>
        <w:rPr>
          <w:rFonts w:ascii="Arial" w:eastAsia="Calibri" w:hAnsi="Arial" w:cs="Arial"/>
          <w:sz w:val="22"/>
        </w:rPr>
      </w:pPr>
      <w:r w:rsidRPr="00C15FEE">
        <w:rPr>
          <w:rFonts w:ascii="Arial" w:eastAsia="Calibri" w:hAnsi="Arial" w:cs="Arial"/>
          <w:sz w:val="22"/>
        </w:rPr>
        <w:t>Como se analizó en las consideraciones, de conformidad con el numeral 4.1.4 del documento base de los documento</w:t>
      </w:r>
      <w:r w:rsidR="000734B5">
        <w:rPr>
          <w:rFonts w:ascii="Arial" w:eastAsia="Calibri" w:hAnsi="Arial" w:cs="Arial"/>
          <w:sz w:val="22"/>
        </w:rPr>
        <w:t xml:space="preserve">s </w:t>
      </w:r>
      <w:r w:rsidRPr="00C15FEE">
        <w:rPr>
          <w:rFonts w:ascii="Arial" w:eastAsia="Calibri" w:hAnsi="Arial" w:cs="Arial"/>
          <w:sz w:val="22"/>
        </w:rPr>
        <w:t>tipo de licitación de obra pública de infraestructura de transporte</w:t>
      </w:r>
      <w:r w:rsidR="001626D8">
        <w:rPr>
          <w:rFonts w:ascii="Arial" w:eastAsia="Calibri" w:hAnsi="Arial" w:cs="Arial"/>
          <w:sz w:val="22"/>
        </w:rPr>
        <w:t xml:space="preserve">, se </w:t>
      </w:r>
      <w:r w:rsidR="001626D8" w:rsidRPr="001626D8">
        <w:rPr>
          <w:rFonts w:ascii="Arial" w:eastAsia="Calibri" w:hAnsi="Arial" w:cs="Arial"/>
          <w:sz w:val="22"/>
        </w:rPr>
        <w:t>establece</w:t>
      </w:r>
      <w:r w:rsidR="001626D8">
        <w:rPr>
          <w:rFonts w:ascii="Arial" w:eastAsia="Calibri" w:hAnsi="Arial" w:cs="Arial"/>
          <w:sz w:val="22"/>
        </w:rPr>
        <w:t>n</w:t>
      </w:r>
      <w:r w:rsidR="001626D8" w:rsidRPr="001626D8">
        <w:rPr>
          <w:rFonts w:ascii="Arial" w:eastAsia="Calibri" w:hAnsi="Arial" w:cs="Arial"/>
          <w:sz w:val="22"/>
        </w:rPr>
        <w:t xml:space="preserve"> cuatro (4) alternativas para escoger el método de ponderación de las propuestas económicas, a saber: i) mediana con valor absoluto; ii) media geométrica; iii) media aritmética baja y iv) menor valor. A partir de estas alternativas, la entidad, para establecer el método de ponderación, tomará los centavos de la Tasa de Cambio Representativa del Mercado (TRM), certificada por la Superintendencia Financiera de Colombia</w:t>
      </w:r>
      <w:r w:rsidR="007D1408">
        <w:rPr>
          <w:rFonts w:ascii="Arial" w:eastAsia="Calibri" w:hAnsi="Arial" w:cs="Arial"/>
          <w:sz w:val="22"/>
        </w:rPr>
        <w:t>.</w:t>
      </w:r>
    </w:p>
    <w:p w14:paraId="249F2502" w14:textId="63099B1C" w:rsidR="007D1408" w:rsidRPr="007D1408" w:rsidRDefault="007D1408" w:rsidP="00026807">
      <w:pPr>
        <w:spacing w:after="120" w:line="276" w:lineRule="auto"/>
        <w:ind w:firstLine="709"/>
        <w:jc w:val="both"/>
        <w:rPr>
          <w:rFonts w:ascii="Arial" w:eastAsia="Calibri" w:hAnsi="Arial" w:cs="Arial"/>
          <w:sz w:val="22"/>
        </w:rPr>
      </w:pPr>
      <w:r>
        <w:rPr>
          <w:rFonts w:ascii="Arial" w:eastAsia="Calibri" w:hAnsi="Arial" w:cs="Arial"/>
          <w:sz w:val="22"/>
        </w:rPr>
        <w:t xml:space="preserve">A su vez, el aludido </w:t>
      </w:r>
      <w:r w:rsidRPr="007D1408">
        <w:rPr>
          <w:rFonts w:ascii="Arial" w:eastAsia="Calibri" w:hAnsi="Arial" w:cs="Arial"/>
          <w:sz w:val="22"/>
        </w:rPr>
        <w:t xml:space="preserve">numeral 4.1.4 establece que «la entidad debe finalizar la apertura de los sobres económicos hasta antes de las 3:00 pm», de tal manera que «la entidad no podrá abrir los sobres económicos teniendo conocimiento de la TRM que regirá al día hábil siguiente», la cual suele ser publicada por la Superfinanciera entre las 4:00 pm y las 6:00 pm. </w:t>
      </w:r>
      <w:r w:rsidR="00B71E7F">
        <w:rPr>
          <w:rFonts w:ascii="Arial" w:eastAsia="Calibri" w:hAnsi="Arial" w:cs="Arial"/>
          <w:sz w:val="22"/>
        </w:rPr>
        <w:t xml:space="preserve">En ese sentido, se mantiene </w:t>
      </w:r>
      <w:r w:rsidRPr="007D1408">
        <w:rPr>
          <w:rFonts w:ascii="Arial" w:eastAsia="Calibri" w:hAnsi="Arial" w:cs="Arial"/>
          <w:sz w:val="22"/>
        </w:rPr>
        <w:t xml:space="preserve">la obligación de iniciar y finalizar la apertura de </w:t>
      </w:r>
      <w:r w:rsidRPr="007D1408">
        <w:rPr>
          <w:rFonts w:ascii="Arial" w:eastAsia="Calibri" w:hAnsi="Arial" w:cs="Arial"/>
          <w:sz w:val="22"/>
        </w:rPr>
        <w:lastRenderedPageBreak/>
        <w:t xml:space="preserve">los sobres en un mismo día, en el que también deberá definirse el método de ponderación, pero </w:t>
      </w:r>
      <w:r w:rsidR="00B71E7F">
        <w:rPr>
          <w:rFonts w:ascii="Arial" w:eastAsia="Calibri" w:hAnsi="Arial" w:cs="Arial"/>
          <w:sz w:val="22"/>
        </w:rPr>
        <w:t>se establece</w:t>
      </w:r>
      <w:r w:rsidRPr="007D1408">
        <w:rPr>
          <w:rFonts w:ascii="Arial" w:eastAsia="Calibri" w:hAnsi="Arial" w:cs="Arial"/>
          <w:sz w:val="22"/>
        </w:rPr>
        <w:t xml:space="preserve"> que ello deberá llevarse a cabo antes de las 3:00 pm del respectivo día. </w:t>
      </w:r>
    </w:p>
    <w:p w14:paraId="0C2AA407" w14:textId="16A5A7DC" w:rsidR="0029659B" w:rsidRDefault="00057E94" w:rsidP="00026807">
      <w:pPr>
        <w:spacing w:after="120" w:line="276" w:lineRule="auto"/>
        <w:ind w:firstLine="709"/>
        <w:jc w:val="both"/>
        <w:rPr>
          <w:rFonts w:ascii="Arial" w:eastAsia="Calibri" w:hAnsi="Arial" w:cs="Arial"/>
          <w:sz w:val="22"/>
        </w:rPr>
      </w:pPr>
      <w:r>
        <w:rPr>
          <w:rFonts w:ascii="Arial" w:eastAsia="Calibri" w:hAnsi="Arial" w:cs="Arial"/>
          <w:sz w:val="22"/>
        </w:rPr>
        <w:t xml:space="preserve">En consecuencia, </w:t>
      </w:r>
      <w:r w:rsidR="007D1408" w:rsidRPr="007D1408">
        <w:rPr>
          <w:rFonts w:ascii="Arial" w:eastAsia="Calibri" w:hAnsi="Arial" w:cs="Arial"/>
          <w:sz w:val="22"/>
        </w:rPr>
        <w:t>la entidad podrá suspender la audiencia y reiniciarla cuando estime conveniente, de tal manera que la apertura de las ofertas económicas y la determinación del método de ponderación puedan ocurrir un mismo día, culminando la apertura antes de las 3:00 pm.</w:t>
      </w:r>
      <w:r w:rsidR="00026807">
        <w:rPr>
          <w:rFonts w:ascii="Arial" w:eastAsia="Calibri" w:hAnsi="Arial" w:cs="Arial"/>
          <w:sz w:val="22"/>
        </w:rPr>
        <w:t xml:space="preserve"> </w:t>
      </w:r>
      <w:r w:rsidRPr="00057E94">
        <w:rPr>
          <w:rFonts w:ascii="Arial" w:eastAsia="Calibri" w:hAnsi="Arial" w:cs="Arial"/>
          <w:sz w:val="22"/>
        </w:rPr>
        <w:t>Esto en la medida en que establecer una hora límite para la apertura de las ofertas garantiza que las entidades estatales no puedan, antes o durante la apertura de las ofertas, conocer la TRM que determinará el método de ponderación, comoquiera que esta sería publicada por la Superfinanciera en un momento posterior a la apertura de todas las ofertas económicas.</w:t>
      </w:r>
      <w:r w:rsidR="00E83B1F">
        <w:rPr>
          <w:rFonts w:ascii="Arial" w:eastAsia="Calibri" w:hAnsi="Arial" w:cs="Arial"/>
          <w:sz w:val="22"/>
        </w:rPr>
        <w:t xml:space="preserve"> </w:t>
      </w:r>
      <w:r w:rsidR="00026807">
        <w:rPr>
          <w:rFonts w:ascii="Arial" w:eastAsia="Calibri" w:hAnsi="Arial" w:cs="Arial"/>
          <w:sz w:val="22"/>
        </w:rPr>
        <w:t xml:space="preserve">Por lo tanto, </w:t>
      </w:r>
      <w:r w:rsidR="00026807" w:rsidRPr="00026807">
        <w:rPr>
          <w:rFonts w:ascii="Arial" w:eastAsia="Calibri" w:hAnsi="Arial" w:cs="Arial"/>
          <w:sz w:val="22"/>
        </w:rPr>
        <w:t>la TRM que la entidad utilizará para determinar el método de ponderación será el que rija el día hábil siguiente del día en que efectivamente sea la apertura del segundo sobre</w:t>
      </w:r>
      <w:r w:rsidR="00E83B1F">
        <w:rPr>
          <w:rFonts w:ascii="Arial" w:eastAsia="Calibri" w:hAnsi="Arial" w:cs="Arial"/>
          <w:sz w:val="22"/>
        </w:rPr>
        <w:t xml:space="preserve">, la cual solo podrá conocer la entidad después de conocer el contenido de las ofertas económicas, en la medida que los respectivos sobres deben ser </w:t>
      </w:r>
      <w:r w:rsidR="00B77CD1">
        <w:rPr>
          <w:rFonts w:ascii="Arial" w:eastAsia="Calibri" w:hAnsi="Arial" w:cs="Arial"/>
          <w:sz w:val="22"/>
        </w:rPr>
        <w:t xml:space="preserve">abiertos antes de las 3:00 pm, esto es, antes de que se publique la TRM con base en la cual se realizará la ponderación. </w:t>
      </w:r>
    </w:p>
    <w:p w14:paraId="095A41B9" w14:textId="77777777" w:rsidR="00B56368" w:rsidRPr="00C15FEE" w:rsidRDefault="00B56368" w:rsidP="00B56368">
      <w:pPr>
        <w:spacing w:line="276" w:lineRule="auto"/>
        <w:jc w:val="both"/>
        <w:rPr>
          <w:rFonts w:ascii="Arial" w:eastAsia="Calibri" w:hAnsi="Arial" w:cs="Arial"/>
          <w:color w:val="000000" w:themeColor="text1"/>
          <w:sz w:val="22"/>
        </w:rPr>
      </w:pPr>
    </w:p>
    <w:p w14:paraId="6697F90C" w14:textId="77777777" w:rsidR="00B56368" w:rsidRPr="00C15FEE" w:rsidRDefault="00B56368" w:rsidP="00B56368">
      <w:pPr>
        <w:spacing w:line="276" w:lineRule="auto"/>
        <w:jc w:val="both"/>
        <w:rPr>
          <w:rFonts w:ascii="Arial" w:eastAsia="Calibri" w:hAnsi="Arial" w:cs="Arial"/>
          <w:color w:val="000000" w:themeColor="text1"/>
          <w:sz w:val="22"/>
        </w:rPr>
      </w:pPr>
      <w:r w:rsidRPr="00C15FEE">
        <w:rPr>
          <w:rFonts w:ascii="Arial" w:eastAsia="Calibri" w:hAnsi="Arial" w:cs="Arial"/>
          <w:color w:val="000000" w:themeColor="text1"/>
          <w:sz w:val="22"/>
        </w:rPr>
        <w:t>Este concepto tiene el alcance previsto en el artículo 28 del Código de Procedimiento Administrativo y de lo Contencioso Administrativo.</w:t>
      </w:r>
    </w:p>
    <w:p w14:paraId="6F3A2CF4" w14:textId="77777777" w:rsidR="00B56368" w:rsidRPr="00C15FEE" w:rsidRDefault="00B56368" w:rsidP="00026807">
      <w:pPr>
        <w:spacing w:line="276" w:lineRule="auto"/>
        <w:jc w:val="both"/>
        <w:rPr>
          <w:rFonts w:ascii="Arial" w:hAnsi="Arial" w:cs="Arial"/>
          <w:color w:val="000000" w:themeColor="text1"/>
          <w:sz w:val="22"/>
          <w:lang w:eastAsia="es-CO"/>
        </w:rPr>
      </w:pPr>
    </w:p>
    <w:p w14:paraId="25DB868D" w14:textId="065B3B10" w:rsidR="00B56368" w:rsidRDefault="00B56368" w:rsidP="00B56368">
      <w:pPr>
        <w:jc w:val="both"/>
        <w:rPr>
          <w:rFonts w:ascii="Arial" w:hAnsi="Arial" w:cs="Arial"/>
          <w:color w:val="000000" w:themeColor="text1"/>
          <w:sz w:val="22"/>
          <w:lang w:eastAsia="es-CO"/>
        </w:rPr>
      </w:pPr>
      <w:r w:rsidRPr="00C15FEE">
        <w:rPr>
          <w:rFonts w:ascii="Arial" w:hAnsi="Arial" w:cs="Arial"/>
          <w:color w:val="000000" w:themeColor="text1"/>
          <w:sz w:val="22"/>
          <w:lang w:eastAsia="es-CO"/>
        </w:rPr>
        <w:t>Atentamente,</w:t>
      </w:r>
    </w:p>
    <w:p w14:paraId="74F58271" w14:textId="77777777" w:rsidR="00CF435E" w:rsidRPr="00C15FEE" w:rsidRDefault="00CF435E" w:rsidP="00B56368">
      <w:pPr>
        <w:jc w:val="both"/>
        <w:rPr>
          <w:rFonts w:ascii="Arial" w:hAnsi="Arial" w:cs="Arial"/>
          <w:color w:val="000000" w:themeColor="text1"/>
          <w:sz w:val="22"/>
          <w:lang w:eastAsia="es-CO"/>
        </w:rPr>
      </w:pPr>
    </w:p>
    <w:p w14:paraId="71C59714" w14:textId="0B2F9A5C" w:rsidR="00B56368" w:rsidRDefault="00C46C26" w:rsidP="00CF435E">
      <w:pPr>
        <w:jc w:val="center"/>
        <w:rPr>
          <w:rFonts w:ascii="Arial" w:hAnsi="Arial" w:cs="Arial"/>
          <w:color w:val="000000" w:themeColor="text1"/>
          <w:sz w:val="22"/>
          <w:lang w:eastAsia="es-CO"/>
        </w:rPr>
      </w:pPr>
      <w:r>
        <w:rPr>
          <w:rFonts w:ascii="Arial" w:hAnsi="Arial" w:cs="Arial"/>
          <w:noProof/>
          <w:color w:val="000000" w:themeColor="text1"/>
          <w:sz w:val="18"/>
          <w:szCs w:val="20"/>
        </w:rPr>
        <w:drawing>
          <wp:inline distT="0" distB="0" distL="0" distR="0" wp14:anchorId="3C4177D1" wp14:editId="369E4FD6">
            <wp:extent cx="2707574" cy="1154398"/>
            <wp:effectExtent l="0" t="0" r="0" b="8255"/>
            <wp:docPr id="3" name="Imagen 3"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 Carta&#10;&#10;Descripción generada automáticament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17012" cy="1158422"/>
                    </a:xfrm>
                    <a:prstGeom prst="rect">
                      <a:avLst/>
                    </a:prstGeom>
                    <a:noFill/>
                    <a:ln>
                      <a:noFill/>
                    </a:ln>
                  </pic:spPr>
                </pic:pic>
              </a:graphicData>
            </a:graphic>
          </wp:inline>
        </w:drawing>
      </w:r>
    </w:p>
    <w:p w14:paraId="3663E09B" w14:textId="77777777" w:rsidR="00B56368" w:rsidRPr="006C15D5" w:rsidRDefault="00B56368" w:rsidP="00B56368">
      <w:pPr>
        <w:jc w:val="center"/>
        <w:rPr>
          <w:rFonts w:ascii="Arial" w:hAnsi="Arial" w:cs="Arial"/>
          <w:color w:val="000000" w:themeColor="text1"/>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575"/>
      </w:tblGrid>
      <w:tr w:rsidR="00B56368" w:rsidRPr="003F6D32" w14:paraId="37D37392" w14:textId="77777777" w:rsidTr="00052161">
        <w:trPr>
          <w:trHeight w:val="315"/>
        </w:trPr>
        <w:tc>
          <w:tcPr>
            <w:tcW w:w="812" w:type="dxa"/>
            <w:vAlign w:val="center"/>
            <w:hideMark/>
          </w:tcPr>
          <w:p w14:paraId="30AC6F6E" w14:textId="77777777" w:rsidR="00B56368" w:rsidRPr="006C15D5" w:rsidRDefault="00B56368" w:rsidP="00052161">
            <w:pPr>
              <w:rPr>
                <w:rFonts w:ascii="Arial" w:hAnsi="Arial" w:cs="Arial"/>
                <w:color w:val="000000" w:themeColor="text1"/>
                <w:sz w:val="16"/>
                <w:szCs w:val="16"/>
                <w:lang w:eastAsia="es-ES"/>
              </w:rPr>
            </w:pPr>
            <w:r w:rsidRPr="006C15D5">
              <w:rPr>
                <w:rFonts w:ascii="Arial" w:hAnsi="Arial" w:cs="Arial"/>
                <w:color w:val="000000" w:themeColor="text1"/>
                <w:sz w:val="16"/>
                <w:szCs w:val="16"/>
                <w:lang w:eastAsia="es-ES"/>
              </w:rPr>
              <w:t>Elaboró:</w:t>
            </w:r>
          </w:p>
        </w:tc>
        <w:tc>
          <w:tcPr>
            <w:tcW w:w="4575" w:type="dxa"/>
            <w:tcBorders>
              <w:top w:val="nil"/>
              <w:left w:val="nil"/>
              <w:bottom w:val="dotted" w:sz="4" w:space="0" w:color="7F7F7F" w:themeColor="text1" w:themeTint="80"/>
              <w:right w:val="nil"/>
            </w:tcBorders>
            <w:vAlign w:val="center"/>
            <w:hideMark/>
          </w:tcPr>
          <w:p w14:paraId="623B8F9F" w14:textId="77777777" w:rsidR="00B56368" w:rsidRPr="006C15D5" w:rsidRDefault="00B56368" w:rsidP="00052161">
            <w:pPr>
              <w:rPr>
                <w:rFonts w:ascii="Arial" w:hAnsi="Arial" w:cs="Arial"/>
                <w:color w:val="000000" w:themeColor="text1"/>
                <w:sz w:val="16"/>
                <w:szCs w:val="16"/>
                <w:lang w:eastAsia="es-ES"/>
              </w:rPr>
            </w:pPr>
            <w:r>
              <w:rPr>
                <w:rFonts w:ascii="Arial" w:hAnsi="Arial" w:cs="Arial"/>
                <w:color w:val="000000" w:themeColor="text1"/>
                <w:sz w:val="16"/>
                <w:szCs w:val="16"/>
                <w:lang w:eastAsia="es-ES"/>
              </w:rPr>
              <w:t>Kevin Arlid Herrera Santa</w:t>
            </w:r>
          </w:p>
          <w:p w14:paraId="2201BD9A" w14:textId="77777777" w:rsidR="00B56368" w:rsidRPr="006C15D5" w:rsidRDefault="00B56368" w:rsidP="00052161">
            <w:pPr>
              <w:rPr>
                <w:rFonts w:ascii="Arial" w:hAnsi="Arial" w:cs="Arial"/>
                <w:color w:val="000000" w:themeColor="text1"/>
                <w:sz w:val="16"/>
                <w:szCs w:val="16"/>
                <w:lang w:eastAsia="es-ES"/>
              </w:rPr>
            </w:pPr>
            <w:r>
              <w:rPr>
                <w:rFonts w:ascii="Arial" w:hAnsi="Arial" w:cs="Arial"/>
                <w:color w:val="000000" w:themeColor="text1"/>
                <w:sz w:val="16"/>
                <w:szCs w:val="16"/>
                <w:lang w:eastAsia="es-ES"/>
              </w:rPr>
              <w:t xml:space="preserve">Analista T2 – 04 </w:t>
            </w:r>
            <w:r w:rsidRPr="00CD169B">
              <w:rPr>
                <w:rFonts w:ascii="Arial" w:hAnsi="Arial" w:cs="Arial"/>
                <w:color w:val="000000" w:themeColor="text1"/>
                <w:sz w:val="16"/>
                <w:szCs w:val="16"/>
                <w:lang w:eastAsia="es-ES"/>
              </w:rPr>
              <w:t>de la Subdirección de Gestión Contractual</w:t>
            </w:r>
          </w:p>
        </w:tc>
      </w:tr>
      <w:tr w:rsidR="00B56368" w:rsidRPr="003F6D32" w14:paraId="4011E05E" w14:textId="77777777" w:rsidTr="00052161">
        <w:trPr>
          <w:trHeight w:val="330"/>
        </w:trPr>
        <w:tc>
          <w:tcPr>
            <w:tcW w:w="812" w:type="dxa"/>
            <w:vAlign w:val="center"/>
            <w:hideMark/>
          </w:tcPr>
          <w:p w14:paraId="46056B79" w14:textId="77777777" w:rsidR="00B56368" w:rsidRPr="006C15D5" w:rsidRDefault="00B56368" w:rsidP="00052161">
            <w:pPr>
              <w:rPr>
                <w:rFonts w:ascii="Arial" w:hAnsi="Arial" w:cs="Arial"/>
                <w:color w:val="000000" w:themeColor="text1"/>
                <w:sz w:val="16"/>
                <w:szCs w:val="16"/>
                <w:lang w:eastAsia="es-ES"/>
              </w:rPr>
            </w:pPr>
            <w:r w:rsidRPr="006C15D5">
              <w:rPr>
                <w:rFonts w:ascii="Arial" w:hAnsi="Arial" w:cs="Arial"/>
                <w:color w:val="000000" w:themeColor="text1"/>
                <w:sz w:val="16"/>
                <w:szCs w:val="16"/>
                <w:lang w:eastAsia="es-ES"/>
              </w:rPr>
              <w:t>Revisó:</w:t>
            </w:r>
          </w:p>
        </w:tc>
        <w:tc>
          <w:tcPr>
            <w:tcW w:w="4575" w:type="dxa"/>
            <w:tcBorders>
              <w:top w:val="dotted" w:sz="4" w:space="0" w:color="7F7F7F" w:themeColor="text1" w:themeTint="80"/>
              <w:left w:val="nil"/>
              <w:bottom w:val="dotted" w:sz="4" w:space="0" w:color="7F7F7F" w:themeColor="text1" w:themeTint="80"/>
              <w:right w:val="nil"/>
            </w:tcBorders>
            <w:vAlign w:val="center"/>
            <w:hideMark/>
          </w:tcPr>
          <w:p w14:paraId="58F8ED14" w14:textId="53980D01" w:rsidR="00B56368" w:rsidRPr="00CD169B" w:rsidRDefault="00F35CDA" w:rsidP="00052161">
            <w:pPr>
              <w:rPr>
                <w:rFonts w:ascii="Arial" w:hAnsi="Arial" w:cs="Arial"/>
                <w:color w:val="000000" w:themeColor="text1"/>
                <w:sz w:val="16"/>
                <w:szCs w:val="16"/>
                <w:lang w:eastAsia="es-ES"/>
              </w:rPr>
            </w:pPr>
            <w:r>
              <w:rPr>
                <w:rFonts w:ascii="Arial" w:hAnsi="Arial" w:cs="Arial"/>
                <w:color w:val="000000" w:themeColor="text1"/>
                <w:sz w:val="16"/>
                <w:szCs w:val="16"/>
                <w:lang w:eastAsia="es-ES"/>
              </w:rPr>
              <w:t>Alejandro Sarmiento Cantillo</w:t>
            </w:r>
          </w:p>
          <w:p w14:paraId="60ABF639" w14:textId="6B3AEFCB" w:rsidR="00B56368" w:rsidRPr="006C15D5" w:rsidRDefault="00F35CDA" w:rsidP="00052161">
            <w:pPr>
              <w:rPr>
                <w:rFonts w:ascii="Arial" w:hAnsi="Arial" w:cs="Arial"/>
                <w:color w:val="000000" w:themeColor="text1"/>
                <w:sz w:val="16"/>
                <w:szCs w:val="16"/>
                <w:lang w:eastAsia="es-ES"/>
              </w:rPr>
            </w:pPr>
            <w:r>
              <w:rPr>
                <w:rFonts w:ascii="Arial" w:hAnsi="Arial" w:cs="Arial"/>
                <w:color w:val="000000" w:themeColor="text1"/>
                <w:sz w:val="16"/>
                <w:szCs w:val="16"/>
                <w:lang w:eastAsia="es-ES"/>
              </w:rPr>
              <w:t xml:space="preserve">Gestor T1 – </w:t>
            </w:r>
            <w:r w:rsidR="00497C4D">
              <w:rPr>
                <w:rFonts w:ascii="Arial" w:hAnsi="Arial" w:cs="Arial"/>
                <w:color w:val="000000" w:themeColor="text1"/>
                <w:sz w:val="16"/>
                <w:szCs w:val="16"/>
                <w:lang w:eastAsia="es-ES"/>
              </w:rPr>
              <w:t xml:space="preserve">15 </w:t>
            </w:r>
            <w:r w:rsidR="00497C4D" w:rsidRPr="00CD169B">
              <w:rPr>
                <w:rFonts w:ascii="Arial" w:hAnsi="Arial" w:cs="Arial"/>
                <w:color w:val="000000" w:themeColor="text1"/>
                <w:sz w:val="16"/>
                <w:szCs w:val="16"/>
                <w:lang w:eastAsia="es-ES"/>
              </w:rPr>
              <w:t>de</w:t>
            </w:r>
            <w:r w:rsidR="00B56368" w:rsidRPr="00CD169B">
              <w:rPr>
                <w:rFonts w:ascii="Arial" w:hAnsi="Arial" w:cs="Arial"/>
                <w:color w:val="000000" w:themeColor="text1"/>
                <w:sz w:val="16"/>
                <w:szCs w:val="16"/>
                <w:lang w:eastAsia="es-ES"/>
              </w:rPr>
              <w:t xml:space="preserve"> la Subdirección de Gestión Contractual</w:t>
            </w:r>
          </w:p>
        </w:tc>
      </w:tr>
      <w:tr w:rsidR="00B56368" w:rsidRPr="003F6D32" w14:paraId="19A94BDC" w14:textId="77777777" w:rsidTr="00052161">
        <w:trPr>
          <w:trHeight w:val="300"/>
        </w:trPr>
        <w:tc>
          <w:tcPr>
            <w:tcW w:w="812" w:type="dxa"/>
            <w:vAlign w:val="center"/>
            <w:hideMark/>
          </w:tcPr>
          <w:p w14:paraId="08D95310" w14:textId="77777777" w:rsidR="00B56368" w:rsidRPr="006C15D5" w:rsidRDefault="00B56368" w:rsidP="00052161">
            <w:pPr>
              <w:rPr>
                <w:rFonts w:ascii="Arial" w:hAnsi="Arial" w:cs="Arial"/>
                <w:color w:val="000000" w:themeColor="text1"/>
                <w:sz w:val="16"/>
                <w:szCs w:val="16"/>
                <w:lang w:eastAsia="es-ES"/>
              </w:rPr>
            </w:pPr>
            <w:r w:rsidRPr="006C15D5">
              <w:rPr>
                <w:rFonts w:ascii="Arial" w:hAnsi="Arial" w:cs="Arial"/>
                <w:color w:val="000000" w:themeColor="text1"/>
                <w:sz w:val="16"/>
                <w:szCs w:val="16"/>
                <w:lang w:eastAsia="es-ES"/>
              </w:rPr>
              <w:t>Aprobó:</w:t>
            </w:r>
          </w:p>
        </w:tc>
        <w:tc>
          <w:tcPr>
            <w:tcW w:w="4575" w:type="dxa"/>
            <w:tcBorders>
              <w:top w:val="dotted" w:sz="4" w:space="0" w:color="7F7F7F" w:themeColor="text1" w:themeTint="80"/>
              <w:left w:val="nil"/>
              <w:bottom w:val="dotted" w:sz="4" w:space="0" w:color="7F7F7F" w:themeColor="text1" w:themeTint="80"/>
              <w:right w:val="nil"/>
            </w:tcBorders>
            <w:vAlign w:val="center"/>
            <w:hideMark/>
          </w:tcPr>
          <w:p w14:paraId="62583D1D" w14:textId="77777777" w:rsidR="00945771" w:rsidRPr="00E21A8A" w:rsidRDefault="00945771" w:rsidP="00945771">
            <w:pPr>
              <w:jc w:val="both"/>
              <w:rPr>
                <w:rFonts w:ascii="Arial" w:hAnsi="Arial" w:cs="Arial"/>
                <w:color w:val="000000" w:themeColor="text1"/>
                <w:sz w:val="16"/>
                <w:szCs w:val="16"/>
                <w:lang w:val="es-ES_tradnl" w:eastAsia="es-ES"/>
              </w:rPr>
            </w:pPr>
            <w:r w:rsidRPr="00E21A8A">
              <w:rPr>
                <w:rFonts w:ascii="Arial" w:hAnsi="Arial" w:cs="Arial"/>
                <w:color w:val="000000" w:themeColor="text1"/>
                <w:sz w:val="16"/>
                <w:szCs w:val="16"/>
                <w:lang w:val="es-ES_tradnl" w:eastAsia="es-ES"/>
              </w:rPr>
              <w:t>Andrés Ricardo Mancipe González</w:t>
            </w:r>
          </w:p>
          <w:p w14:paraId="008C190A" w14:textId="2F6831D8" w:rsidR="00B56368" w:rsidRPr="006C15D5" w:rsidRDefault="00945771" w:rsidP="00052161">
            <w:pPr>
              <w:rPr>
                <w:rFonts w:ascii="Arial" w:hAnsi="Arial" w:cs="Arial"/>
                <w:color w:val="000000" w:themeColor="text1"/>
                <w:sz w:val="16"/>
                <w:szCs w:val="16"/>
                <w:lang w:eastAsia="es-ES"/>
              </w:rPr>
            </w:pPr>
            <w:r w:rsidRPr="00E21A8A">
              <w:rPr>
                <w:rFonts w:ascii="Arial" w:hAnsi="Arial" w:cs="Arial"/>
                <w:color w:val="000000" w:themeColor="text1"/>
                <w:sz w:val="16"/>
                <w:szCs w:val="16"/>
                <w:lang w:val="es-ES_tradnl" w:eastAsia="es-ES"/>
              </w:rPr>
              <w:t>Subdirector de Gestión Contractual ANCP – CCE (E)</w:t>
            </w:r>
          </w:p>
        </w:tc>
      </w:tr>
    </w:tbl>
    <w:p w14:paraId="0ECFE562" w14:textId="77777777" w:rsidR="00B56368" w:rsidRDefault="00B56368" w:rsidP="00B56368">
      <w:pPr>
        <w:spacing w:before="120" w:after="120" w:line="276" w:lineRule="auto"/>
        <w:jc w:val="both"/>
        <w:rPr>
          <w:rFonts w:ascii="Arial" w:eastAsia="Calibri" w:hAnsi="Arial" w:cs="Arial"/>
          <w:sz w:val="22"/>
        </w:rPr>
      </w:pPr>
    </w:p>
    <w:p w14:paraId="6240877D" w14:textId="77777777" w:rsidR="00B56368" w:rsidRDefault="00B56368"/>
    <w:sectPr w:rsidR="00B56368" w:rsidSect="005A79FE">
      <w:headerReference w:type="default" r:id="rId12"/>
      <w:footerReference w:type="default" r:id="rId13"/>
      <w:pgSz w:w="12240" w:h="15840"/>
      <w:pgMar w:top="1779" w:right="1750"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FE1C91" w14:textId="77777777" w:rsidR="002D3289" w:rsidRDefault="002D3289" w:rsidP="00B56368">
      <w:r>
        <w:separator/>
      </w:r>
    </w:p>
  </w:endnote>
  <w:endnote w:type="continuationSeparator" w:id="0">
    <w:p w14:paraId="450F22AE" w14:textId="77777777" w:rsidR="002D3289" w:rsidRDefault="002D3289" w:rsidP="00B56368">
      <w:r>
        <w:continuationSeparator/>
      </w:r>
    </w:p>
  </w:endnote>
  <w:endnote w:type="continuationNotice" w:id="1">
    <w:p w14:paraId="657DDD2E" w14:textId="77777777" w:rsidR="00315004" w:rsidRDefault="003150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MT">
    <w:altName w:val="Arial"/>
    <w:panose1 w:val="020B0604020202020204"/>
    <w:charset w:val="01"/>
    <w:family w:val="swiss"/>
    <w:pitch w:val="variable"/>
  </w:font>
  <w:font w:name="Arial,Calibri">
    <w:altName w:val="Arial"/>
    <w:panose1 w:val="020B0604020202020204"/>
    <w:charset w:val="00"/>
    <w:family w:val="roman"/>
    <w:pitch w:val="default"/>
  </w:font>
  <w:font w:name="Arial,Times New Roman">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BE53B" w14:textId="77777777" w:rsidR="00C65F11" w:rsidRDefault="00902FE0" w:rsidP="00B6444C">
    <w:pPr>
      <w:pStyle w:val="Sinespaciado"/>
      <w:rPr>
        <w:rFonts w:ascii="Arial" w:hAnsi="Arial" w:cs="Arial"/>
        <w:sz w:val="18"/>
        <w:szCs w:val="18"/>
      </w:rPr>
    </w:pPr>
  </w:p>
  <w:p w14:paraId="2C25E067" w14:textId="77777777" w:rsidR="00C65F11" w:rsidRDefault="00902FE0" w:rsidP="00B6444C">
    <w:pPr>
      <w:pStyle w:val="Sinespaciado"/>
      <w:rPr>
        <w:rFonts w:ascii="Arial" w:hAnsi="Arial" w:cs="Arial"/>
        <w:sz w:val="18"/>
        <w:szCs w:val="18"/>
      </w:rPr>
    </w:pPr>
  </w:p>
  <w:p w14:paraId="441E8C56" w14:textId="77777777" w:rsidR="00C65F11" w:rsidRPr="005A79FE" w:rsidRDefault="00E656A2" w:rsidP="005A79FE">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62FA8C91" w14:textId="77777777" w:rsidR="00C65F11" w:rsidRDefault="00E656A2" w:rsidP="007B0854">
    <w:pPr>
      <w:pStyle w:val="Piedepgina"/>
      <w:jc w:val="center"/>
      <w:rPr>
        <w:lang w:val="es-ES"/>
      </w:rPr>
    </w:pPr>
    <w:r>
      <w:rPr>
        <w:noProof/>
        <w:lang w:val="en-US"/>
      </w:rPr>
      <w:drawing>
        <wp:inline distT="0" distB="0" distL="0" distR="0" wp14:anchorId="6C0CB180" wp14:editId="3E0268F8">
          <wp:extent cx="4241994" cy="595165"/>
          <wp:effectExtent l="0" t="0" r="6350" b="0"/>
          <wp:docPr id="1833779600"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1">
                    <a:extLst>
                      <a:ext uri="{28A0092B-C50C-407E-A947-70E740481C1C}">
                        <a14:useLocalDpi xmlns:a14="http://schemas.microsoft.com/office/drawing/2010/main" val="0"/>
                      </a:ext>
                    </a:extLst>
                  </a:blip>
                  <a:stretch>
                    <a:fillRect/>
                  </a:stretch>
                </pic:blipFill>
                <pic:spPr>
                  <a:xfrm>
                    <a:off x="0" y="0"/>
                    <a:ext cx="4241994" cy="595165"/>
                  </a:xfrm>
                  <a:prstGeom prst="rect">
                    <a:avLst/>
                  </a:prstGeom>
                </pic:spPr>
              </pic:pic>
            </a:graphicData>
          </a:graphic>
        </wp:inline>
      </w:drawing>
    </w:r>
  </w:p>
  <w:p w14:paraId="40EF81E6" w14:textId="77777777" w:rsidR="00C65F11" w:rsidRDefault="00902FE0" w:rsidP="007B0854">
    <w:pPr>
      <w:pStyle w:val="Piedepgina"/>
      <w:jc w:val="center"/>
      <w:rPr>
        <w:lang w:val="es-ES"/>
      </w:rPr>
    </w:pPr>
  </w:p>
  <w:p w14:paraId="3F572B9F" w14:textId="77777777" w:rsidR="00C65F11" w:rsidRPr="007B0854" w:rsidRDefault="00902FE0" w:rsidP="00A5235A">
    <w:pPr>
      <w:pStyle w:val="Piedepgina"/>
      <w:spacing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7E43A" w14:textId="77777777" w:rsidR="002D3289" w:rsidRDefault="002D3289" w:rsidP="00B56368">
      <w:r>
        <w:separator/>
      </w:r>
    </w:p>
  </w:footnote>
  <w:footnote w:type="continuationSeparator" w:id="0">
    <w:p w14:paraId="36240EEB" w14:textId="77777777" w:rsidR="002D3289" w:rsidRDefault="002D3289" w:rsidP="00B56368">
      <w:r>
        <w:continuationSeparator/>
      </w:r>
    </w:p>
  </w:footnote>
  <w:footnote w:type="continuationNotice" w:id="1">
    <w:p w14:paraId="216ABA4F" w14:textId="77777777" w:rsidR="00315004" w:rsidRDefault="00315004"/>
  </w:footnote>
  <w:footnote w:id="2">
    <w:p w14:paraId="66261BCF" w14:textId="77777777" w:rsidR="00AF465E" w:rsidRPr="003E10F5" w:rsidRDefault="00AF465E" w:rsidP="00924568">
      <w:pPr>
        <w:pStyle w:val="Textonotapie"/>
        <w:ind w:firstLine="708"/>
        <w:jc w:val="both"/>
        <w:rPr>
          <w:rFonts w:ascii="Arial" w:hAnsi="Arial" w:cs="Arial"/>
          <w:sz w:val="19"/>
          <w:szCs w:val="19"/>
          <w:lang w:val="es-ES"/>
        </w:rPr>
      </w:pPr>
      <w:r w:rsidRPr="003E10F5">
        <w:rPr>
          <w:rStyle w:val="Refdenotaalpie"/>
          <w:rFonts w:ascii="Arial" w:hAnsi="Arial" w:cs="Arial"/>
          <w:sz w:val="19"/>
          <w:szCs w:val="19"/>
        </w:rPr>
        <w:footnoteRef/>
      </w:r>
      <w:r w:rsidRPr="003E10F5">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3E10F5">
        <w:rPr>
          <w:rFonts w:ascii="Arial" w:hAnsi="Arial" w:cs="Arial"/>
          <w:i/>
          <w:iCs/>
          <w:sz w:val="19"/>
          <w:szCs w:val="19"/>
        </w:rPr>
        <w:t xml:space="preserve">ibidem </w:t>
      </w:r>
      <w:r w:rsidRPr="003E10F5">
        <w:rPr>
          <w:rFonts w:ascii="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4BAE0030" w14:textId="77777777" w:rsidR="00B56368" w:rsidRPr="003E10F5" w:rsidRDefault="00B56368" w:rsidP="00B56368">
      <w:pPr>
        <w:pStyle w:val="Textonotapie"/>
        <w:ind w:firstLine="709"/>
        <w:jc w:val="both"/>
        <w:rPr>
          <w:rFonts w:ascii="Arial" w:eastAsia="Times New Roman" w:hAnsi="Arial" w:cs="Arial"/>
          <w:color w:val="000000"/>
          <w:sz w:val="19"/>
          <w:szCs w:val="19"/>
          <w:bdr w:val="none" w:sz="0" w:space="0" w:color="auto" w:frame="1"/>
          <w:lang w:eastAsia="es-CO"/>
        </w:rPr>
      </w:pPr>
      <w:r w:rsidRPr="003E10F5">
        <w:rPr>
          <w:rStyle w:val="Refdenotaalpie"/>
          <w:rFonts w:ascii="Arial" w:hAnsi="Arial" w:cs="Arial"/>
          <w:sz w:val="19"/>
          <w:szCs w:val="19"/>
        </w:rPr>
        <w:footnoteRef/>
      </w:r>
      <w:r w:rsidRPr="003E10F5">
        <w:rPr>
          <w:rFonts w:ascii="Arial" w:hAnsi="Arial" w:cs="Arial"/>
          <w:sz w:val="19"/>
          <w:szCs w:val="19"/>
        </w:rPr>
        <w:t xml:space="preserve"> </w:t>
      </w:r>
      <w:r w:rsidRPr="003E10F5">
        <w:rPr>
          <w:rFonts w:ascii="Arial" w:eastAsia="Times New Roman" w:hAnsi="Arial" w:cs="Arial"/>
          <w:color w:val="000000"/>
          <w:sz w:val="19"/>
          <w:szCs w:val="19"/>
          <w:bdr w:val="none" w:sz="0" w:space="0" w:color="auto"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p w14:paraId="6D49FF96" w14:textId="77777777" w:rsidR="00B56368" w:rsidRPr="003E10F5" w:rsidRDefault="00B56368" w:rsidP="00B56368">
      <w:pPr>
        <w:pStyle w:val="Textonotapie"/>
        <w:ind w:firstLine="709"/>
        <w:jc w:val="both"/>
        <w:rPr>
          <w:rFonts w:ascii="Arial" w:eastAsia="Times New Roman" w:hAnsi="Arial" w:cs="Arial"/>
          <w:color w:val="000000"/>
          <w:sz w:val="19"/>
          <w:szCs w:val="19"/>
          <w:bdr w:val="none" w:sz="0" w:space="0" w:color="auto" w:frame="1"/>
          <w:lang w:eastAsia="es-CO"/>
        </w:rPr>
      </w:pPr>
    </w:p>
  </w:footnote>
  <w:footnote w:id="4">
    <w:p w14:paraId="4ADF08A4" w14:textId="77777777" w:rsidR="00B56368" w:rsidRPr="003E10F5" w:rsidRDefault="00B56368" w:rsidP="00B56368">
      <w:pPr>
        <w:pStyle w:val="Textonotapie"/>
        <w:ind w:firstLine="709"/>
        <w:rPr>
          <w:rFonts w:ascii="Arial" w:eastAsia="Times New Roman" w:hAnsi="Arial" w:cs="Arial"/>
          <w:color w:val="000000"/>
          <w:sz w:val="19"/>
          <w:szCs w:val="19"/>
          <w:bdr w:val="none" w:sz="0" w:space="0" w:color="auto" w:frame="1"/>
          <w:lang w:eastAsia="es-CO"/>
        </w:rPr>
      </w:pPr>
      <w:r w:rsidRPr="003E10F5">
        <w:rPr>
          <w:rStyle w:val="Refdenotaalpie"/>
          <w:rFonts w:ascii="Arial" w:hAnsi="Arial" w:cs="Arial"/>
          <w:sz w:val="19"/>
          <w:szCs w:val="19"/>
        </w:rPr>
        <w:footnoteRef/>
      </w:r>
      <w:r w:rsidRPr="003E10F5">
        <w:rPr>
          <w:rFonts w:ascii="Arial" w:hAnsi="Arial" w:cs="Arial"/>
          <w:sz w:val="19"/>
          <w:szCs w:val="19"/>
        </w:rPr>
        <w:t xml:space="preserve"> </w:t>
      </w:r>
      <w:r w:rsidRPr="003E10F5">
        <w:rPr>
          <w:rFonts w:ascii="Arial" w:eastAsia="Times New Roman" w:hAnsi="Arial" w:cs="Arial"/>
          <w:color w:val="000000"/>
          <w:sz w:val="19"/>
          <w:szCs w:val="19"/>
          <w:bdr w:val="none" w:sz="0" w:space="0" w:color="auto" w:frame="1"/>
          <w:lang w:eastAsia="es-CO"/>
        </w:rPr>
        <w:t>Diario Oficial. Gaceta del Congreso 458 de 2005.  </w:t>
      </w:r>
    </w:p>
    <w:p w14:paraId="695B4BD3" w14:textId="77777777" w:rsidR="00B56368" w:rsidRPr="003E10F5" w:rsidRDefault="00B56368" w:rsidP="00B56368">
      <w:pPr>
        <w:pStyle w:val="Textonotapie"/>
        <w:ind w:firstLine="709"/>
        <w:rPr>
          <w:rFonts w:ascii="Arial" w:eastAsia="Times New Roman" w:hAnsi="Arial" w:cs="Arial"/>
          <w:color w:val="000000"/>
          <w:sz w:val="19"/>
          <w:szCs w:val="19"/>
          <w:bdr w:val="none" w:sz="0" w:space="0" w:color="auto" w:frame="1"/>
          <w:lang w:eastAsia="es-CO"/>
        </w:rPr>
      </w:pPr>
    </w:p>
  </w:footnote>
  <w:footnote w:id="5">
    <w:p w14:paraId="6E78CC18" w14:textId="77777777" w:rsidR="00B56368" w:rsidRPr="003E10F5" w:rsidRDefault="00B56368" w:rsidP="00B56368">
      <w:pPr>
        <w:pStyle w:val="Textonotapie"/>
        <w:ind w:firstLine="709"/>
        <w:rPr>
          <w:rFonts w:ascii="Arial" w:hAnsi="Arial" w:cs="Arial"/>
          <w:sz w:val="19"/>
          <w:szCs w:val="19"/>
        </w:rPr>
      </w:pPr>
      <w:r w:rsidRPr="003E10F5">
        <w:rPr>
          <w:rStyle w:val="Refdenotaalpie"/>
          <w:rFonts w:ascii="Arial" w:hAnsi="Arial" w:cs="Arial"/>
          <w:sz w:val="19"/>
          <w:szCs w:val="19"/>
        </w:rPr>
        <w:footnoteRef/>
      </w:r>
      <w:r w:rsidRPr="003E10F5">
        <w:rPr>
          <w:rFonts w:ascii="Arial" w:hAnsi="Arial" w:cs="Arial"/>
          <w:sz w:val="19"/>
          <w:szCs w:val="19"/>
        </w:rPr>
        <w:t xml:space="preserve"> </w:t>
      </w:r>
      <w:r w:rsidRPr="003E10F5">
        <w:rPr>
          <w:rFonts w:ascii="Arial" w:hAnsi="Arial" w:cs="Arial"/>
          <w:sz w:val="19"/>
          <w:szCs w:val="19"/>
        </w:rPr>
        <w:t xml:space="preserve">Ibídem.  </w:t>
      </w:r>
    </w:p>
    <w:p w14:paraId="2B3AAAE2" w14:textId="77777777" w:rsidR="00B56368" w:rsidRPr="003E10F5" w:rsidRDefault="00B56368" w:rsidP="00B56368">
      <w:pPr>
        <w:pStyle w:val="Textonotapie"/>
        <w:ind w:firstLine="709"/>
        <w:rPr>
          <w:rFonts w:ascii="Arial" w:hAnsi="Arial" w:cs="Arial"/>
          <w:sz w:val="19"/>
          <w:szCs w:val="19"/>
        </w:rPr>
      </w:pPr>
    </w:p>
  </w:footnote>
  <w:footnote w:id="6">
    <w:p w14:paraId="04BA64D1" w14:textId="77777777" w:rsidR="00B56368" w:rsidRPr="003E10F5" w:rsidRDefault="00B56368" w:rsidP="00B56368">
      <w:pPr>
        <w:shd w:val="clear" w:color="auto" w:fill="FFFFFF"/>
        <w:ind w:firstLine="709"/>
        <w:jc w:val="both"/>
        <w:textAlignment w:val="baseline"/>
        <w:rPr>
          <w:rFonts w:ascii="Arial" w:hAnsi="Arial" w:cs="Arial"/>
          <w:color w:val="000000"/>
          <w:sz w:val="19"/>
          <w:szCs w:val="19"/>
          <w:bdr w:val="none" w:sz="0" w:space="0" w:color="auto" w:frame="1"/>
          <w:lang w:eastAsia="es-CO"/>
        </w:rPr>
      </w:pPr>
      <w:r w:rsidRPr="003E10F5">
        <w:rPr>
          <w:rStyle w:val="Refdenotaalpie"/>
          <w:rFonts w:ascii="Arial" w:hAnsi="Arial" w:cs="Arial"/>
          <w:sz w:val="19"/>
          <w:szCs w:val="19"/>
        </w:rPr>
        <w:footnoteRef/>
      </w:r>
      <w:r w:rsidRPr="003E10F5">
        <w:rPr>
          <w:rFonts w:ascii="Arial" w:hAnsi="Arial" w:cs="Arial"/>
          <w:sz w:val="19"/>
          <w:szCs w:val="19"/>
        </w:rPr>
        <w:t xml:space="preserve"> </w:t>
      </w:r>
      <w:r w:rsidRPr="003E10F5">
        <w:rPr>
          <w:rFonts w:ascii="Arial" w:hAnsi="Arial" w:cs="Arial"/>
          <w:color w:val="000000"/>
          <w:sz w:val="19"/>
          <w:szCs w:val="19"/>
          <w:bdr w:val="none" w:sz="0" w:space="0" w:color="auto" w:frame="1"/>
          <w:lang w:eastAsia="es-CO"/>
        </w:rPr>
        <w:t>Diario Oficial. Gaceta del Congreso 416 de 2007, Informe de Conciliación Senado. </w:t>
      </w:r>
    </w:p>
    <w:p w14:paraId="7DBA48B0" w14:textId="77777777" w:rsidR="00B56368" w:rsidRPr="003E10F5" w:rsidRDefault="00B56368" w:rsidP="00B56368">
      <w:pPr>
        <w:shd w:val="clear" w:color="auto" w:fill="FFFFFF"/>
        <w:ind w:firstLine="709"/>
        <w:jc w:val="both"/>
        <w:textAlignment w:val="baseline"/>
        <w:rPr>
          <w:rFonts w:ascii="Arial" w:hAnsi="Arial" w:cs="Arial"/>
          <w:color w:val="000000"/>
          <w:sz w:val="19"/>
          <w:szCs w:val="19"/>
          <w:lang w:eastAsia="es-CO"/>
        </w:rPr>
      </w:pPr>
    </w:p>
  </w:footnote>
  <w:footnote w:id="7">
    <w:p w14:paraId="6E8392ED" w14:textId="77777777" w:rsidR="00B56368" w:rsidRPr="003E10F5" w:rsidRDefault="00B56368" w:rsidP="00B56368">
      <w:pPr>
        <w:shd w:val="clear" w:color="auto" w:fill="FFFFFF"/>
        <w:ind w:firstLine="709"/>
        <w:jc w:val="both"/>
        <w:textAlignment w:val="baseline"/>
        <w:rPr>
          <w:rFonts w:ascii="Arial" w:hAnsi="Arial" w:cs="Arial"/>
          <w:color w:val="000000"/>
          <w:sz w:val="19"/>
          <w:szCs w:val="19"/>
          <w:lang w:eastAsia="es-CO"/>
        </w:rPr>
      </w:pPr>
      <w:r w:rsidRPr="003E10F5">
        <w:rPr>
          <w:rStyle w:val="Refdenotaalpie"/>
          <w:rFonts w:ascii="Arial" w:hAnsi="Arial" w:cs="Arial"/>
          <w:sz w:val="19"/>
          <w:szCs w:val="19"/>
        </w:rPr>
        <w:footnoteRef/>
      </w:r>
      <w:r w:rsidRPr="003E10F5">
        <w:rPr>
          <w:rFonts w:ascii="Arial" w:hAnsi="Arial" w:cs="Arial"/>
          <w:sz w:val="19"/>
          <w:szCs w:val="19"/>
        </w:rPr>
        <w:t xml:space="preserve"> </w:t>
      </w:r>
      <w:r w:rsidRPr="003E10F5">
        <w:rPr>
          <w:rFonts w:ascii="Arial" w:hAnsi="Arial" w:cs="Arial"/>
          <w:color w:val="000000"/>
          <w:sz w:val="19"/>
          <w:szCs w:val="19"/>
          <w:bdr w:val="none" w:sz="0" w:space="0" w:color="auto" w:frame="1"/>
          <w:lang w:eastAsia="es-CO"/>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14:paraId="48A88C34" w14:textId="77777777" w:rsidR="00B56368" w:rsidRPr="003E10F5" w:rsidRDefault="00B56368" w:rsidP="00B56368">
      <w:pPr>
        <w:shd w:val="clear" w:color="auto" w:fill="FFFFFF"/>
        <w:ind w:firstLine="709"/>
        <w:jc w:val="both"/>
        <w:textAlignment w:val="baseline"/>
        <w:rPr>
          <w:rFonts w:ascii="Arial" w:hAnsi="Arial" w:cs="Arial"/>
          <w:color w:val="000000"/>
          <w:sz w:val="19"/>
          <w:szCs w:val="19"/>
          <w:lang w:eastAsia="es-CO"/>
        </w:rPr>
      </w:pPr>
      <w:r w:rsidRPr="003E10F5">
        <w:rPr>
          <w:rFonts w:ascii="Arial" w:hAnsi="Arial" w:cs="Arial"/>
          <w:color w:val="000000"/>
          <w:sz w:val="19"/>
          <w:szCs w:val="19"/>
          <w:bdr w:val="none" w:sz="0" w:space="0" w:color="auto" w:frame="1"/>
          <w:lang w:eastAsia="es-CO"/>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14:paraId="05177558" w14:textId="77777777" w:rsidR="00B56368" w:rsidRPr="003E10F5" w:rsidRDefault="00B56368" w:rsidP="00B56368">
      <w:pPr>
        <w:shd w:val="clear" w:color="auto" w:fill="FFFFFF"/>
        <w:ind w:firstLine="709"/>
        <w:jc w:val="both"/>
        <w:textAlignment w:val="baseline"/>
        <w:rPr>
          <w:rFonts w:ascii="Arial" w:hAnsi="Arial" w:cs="Arial"/>
          <w:color w:val="000000"/>
          <w:sz w:val="19"/>
          <w:szCs w:val="19"/>
          <w:lang w:eastAsia="es-CO"/>
        </w:rPr>
      </w:pPr>
      <w:r w:rsidRPr="003E10F5">
        <w:rPr>
          <w:rFonts w:ascii="Arial" w:hAnsi="Arial" w:cs="Arial"/>
          <w:color w:val="000000"/>
          <w:sz w:val="19"/>
          <w:szCs w:val="19"/>
          <w:bdr w:val="none" w:sz="0" w:space="0" w:color="auto" w:frame="1"/>
          <w:lang w:eastAsia="es-CO"/>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14:paraId="6FFD6B43" w14:textId="77777777" w:rsidR="00B56368" w:rsidRPr="003E10F5" w:rsidRDefault="00B56368" w:rsidP="00B56368">
      <w:pPr>
        <w:shd w:val="clear" w:color="auto" w:fill="FFFFFF"/>
        <w:ind w:firstLine="709"/>
        <w:jc w:val="both"/>
        <w:textAlignment w:val="baseline"/>
        <w:rPr>
          <w:rFonts w:ascii="Arial" w:hAnsi="Arial" w:cs="Arial"/>
          <w:color w:val="000000"/>
          <w:sz w:val="19"/>
          <w:szCs w:val="19"/>
          <w:lang w:eastAsia="es-CO"/>
        </w:rPr>
      </w:pPr>
      <w:r w:rsidRPr="003E10F5">
        <w:rPr>
          <w:rFonts w:ascii="Arial" w:hAnsi="Arial" w:cs="Arial"/>
          <w:color w:val="000000"/>
          <w:sz w:val="19"/>
          <w:szCs w:val="19"/>
          <w:bdr w:val="none" w:sz="0" w:space="0" w:color="auto" w:frame="1"/>
          <w:lang w:eastAsia="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14:paraId="6808CF51" w14:textId="77777777" w:rsidR="00B56368" w:rsidRPr="003E10F5" w:rsidRDefault="00B56368" w:rsidP="00B56368">
      <w:pPr>
        <w:shd w:val="clear" w:color="auto" w:fill="FFFFFF"/>
        <w:ind w:firstLine="708"/>
        <w:jc w:val="both"/>
        <w:textAlignment w:val="baseline"/>
        <w:rPr>
          <w:rFonts w:ascii="Arial" w:hAnsi="Arial" w:cs="Arial"/>
          <w:color w:val="000000"/>
          <w:sz w:val="19"/>
          <w:szCs w:val="19"/>
          <w:lang w:eastAsia="es-CO"/>
        </w:rPr>
      </w:pPr>
      <w:r w:rsidRPr="003E10F5">
        <w:rPr>
          <w:rFonts w:ascii="Arial" w:hAnsi="Arial" w:cs="Arial"/>
          <w:color w:val="000000"/>
          <w:sz w:val="19"/>
          <w:szCs w:val="19"/>
          <w:bdr w:val="none" w:sz="0" w:space="0" w:color="auto" w:frame="1"/>
          <w:lang w:eastAsia="es-CO"/>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w:t>
      </w:r>
    </w:p>
    <w:p w14:paraId="35063882" w14:textId="77777777" w:rsidR="00B56368" w:rsidRPr="003E10F5" w:rsidRDefault="00B56368" w:rsidP="00B56368">
      <w:pPr>
        <w:pStyle w:val="Textonotapie"/>
        <w:rPr>
          <w:rFonts w:ascii="Arial" w:hAnsi="Arial" w:cs="Arial"/>
          <w:sz w:val="19"/>
          <w:szCs w:val="19"/>
        </w:rPr>
      </w:pPr>
    </w:p>
  </w:footnote>
  <w:footnote w:id="8">
    <w:p w14:paraId="0609AB67" w14:textId="0227831F" w:rsidR="00480100" w:rsidRPr="003E10F5" w:rsidRDefault="00480100" w:rsidP="00480100">
      <w:pPr>
        <w:pStyle w:val="Textonotapie"/>
        <w:ind w:firstLine="708"/>
        <w:jc w:val="both"/>
        <w:rPr>
          <w:rFonts w:ascii="Arial" w:hAnsi="Arial" w:cs="Arial"/>
          <w:sz w:val="19"/>
          <w:szCs w:val="19"/>
        </w:rPr>
      </w:pPr>
      <w:r w:rsidRPr="003E10F5">
        <w:rPr>
          <w:rStyle w:val="Refdenotaalpie"/>
          <w:rFonts w:ascii="Arial" w:hAnsi="Arial" w:cs="Arial"/>
          <w:sz w:val="19"/>
          <w:szCs w:val="19"/>
        </w:rPr>
        <w:footnoteRef/>
      </w:r>
      <w:bookmarkStart w:id="14" w:name="_Hlk62047233"/>
      <w:r w:rsidR="00970623" w:rsidRPr="003E10F5">
        <w:rPr>
          <w:rFonts w:ascii="Arial" w:hAnsi="Arial" w:cs="Arial"/>
          <w:sz w:val="19"/>
          <w:szCs w:val="19"/>
        </w:rPr>
        <w:t xml:space="preserve"> </w:t>
      </w:r>
      <w:r w:rsidRPr="003E10F5">
        <w:rPr>
          <w:rFonts w:ascii="Arial" w:hAnsi="Arial" w:cs="Arial"/>
          <w:sz w:val="19"/>
          <w:szCs w:val="19"/>
        </w:rPr>
        <w:t xml:space="preserve">Documento Base: « </w:t>
      </w:r>
      <w:bookmarkEnd w:id="14"/>
      <w:r w:rsidRPr="003E10F5">
        <w:rPr>
          <w:rFonts w:ascii="Arial" w:hAnsi="Arial" w:cs="Arial"/>
          <w:sz w:val="19"/>
          <w:szCs w:val="19"/>
        </w:rPr>
        <w:t>4.1.4.</w:t>
      </w:r>
      <w:r w:rsidR="00E73702" w:rsidRPr="003E10F5">
        <w:rPr>
          <w:rFonts w:ascii="Arial" w:hAnsi="Arial" w:cs="Arial"/>
          <w:sz w:val="19"/>
          <w:szCs w:val="19"/>
        </w:rPr>
        <w:t xml:space="preserve"> </w:t>
      </w:r>
      <w:r w:rsidRPr="003E10F5">
        <w:rPr>
          <w:rFonts w:ascii="Arial" w:hAnsi="Arial" w:cs="Arial"/>
          <w:sz w:val="19"/>
          <w:szCs w:val="19"/>
        </w:rPr>
        <w:t>DETERMINACIÓN DEL MÉTODO PARA LA PONDERACIÓN DE LA PROPUESTA ECONÓMICA</w:t>
      </w:r>
    </w:p>
    <w:p w14:paraId="3C014AD0" w14:textId="20E926E2" w:rsidR="00480100" w:rsidRPr="003E10F5" w:rsidRDefault="004D2FE3" w:rsidP="00480100">
      <w:pPr>
        <w:pStyle w:val="Textonotapie"/>
        <w:ind w:firstLine="708"/>
        <w:jc w:val="both"/>
        <w:rPr>
          <w:rFonts w:ascii="Arial" w:hAnsi="Arial" w:cs="Arial"/>
          <w:sz w:val="19"/>
          <w:szCs w:val="19"/>
        </w:rPr>
      </w:pPr>
      <w:r w:rsidRPr="003E10F5">
        <w:rPr>
          <w:rFonts w:ascii="Arial" w:hAnsi="Arial" w:cs="Arial"/>
          <w:sz w:val="19"/>
          <w:szCs w:val="19"/>
        </w:rPr>
        <w:t>»</w:t>
      </w:r>
      <w:r w:rsidR="00480100" w:rsidRPr="003E10F5">
        <w:rPr>
          <w:rFonts w:ascii="Arial" w:hAnsi="Arial" w:cs="Arial"/>
          <w:sz w:val="19"/>
          <w:szCs w:val="19"/>
        </w:rPr>
        <w:t>[…]</w:t>
      </w:r>
    </w:p>
    <w:p w14:paraId="189FE778" w14:textId="77777777" w:rsidR="00480100" w:rsidRPr="003E10F5" w:rsidRDefault="00480100" w:rsidP="00480100">
      <w:pPr>
        <w:pStyle w:val="Textonotapie"/>
        <w:ind w:firstLine="708"/>
        <w:jc w:val="both"/>
        <w:rPr>
          <w:rFonts w:ascii="Arial" w:hAnsi="Arial" w:cs="Arial"/>
          <w:sz w:val="19"/>
          <w:szCs w:val="19"/>
        </w:rPr>
      </w:pPr>
      <w:r w:rsidRPr="003E10F5">
        <w:rPr>
          <w:rFonts w:ascii="Arial" w:hAnsi="Arial" w:cs="Arial"/>
          <w:sz w:val="19"/>
          <w:szCs w:val="19"/>
        </w:rPr>
        <w:t xml:space="preserve">»Para determinar el método de ponderación, la entidad tomará los centavos de la Tasa de Cambio Representativa del Mercado (TRM), certificada por la Superintendencia Financiera de Colombia (en su sitio web: </w:t>
      </w:r>
      <w:hyperlink r:id="rId1" w:history="1">
        <w:r w:rsidRPr="003E10F5">
          <w:rPr>
            <w:rStyle w:val="Hipervnculo"/>
            <w:rFonts w:ascii="Arial" w:hAnsi="Arial" w:cs="Arial"/>
            <w:sz w:val="19"/>
            <w:szCs w:val="19"/>
          </w:rPr>
          <w:t>https://www.superfinanciera.gov.co/publicacion/60819</w:t>
        </w:r>
      </w:hyperlink>
      <w:r w:rsidRPr="003E10F5">
        <w:rPr>
          <w:rFonts w:ascii="Arial" w:hAnsi="Arial" w:cs="Arial"/>
          <w:sz w:val="19"/>
          <w:szCs w:val="19"/>
        </w:rPr>
        <w:t>)</w:t>
      </w:r>
    </w:p>
    <w:p w14:paraId="497FAFF3" w14:textId="77777777" w:rsidR="00480100" w:rsidRPr="003E10F5" w:rsidRDefault="00480100" w:rsidP="00480100">
      <w:pPr>
        <w:ind w:firstLine="708"/>
        <w:jc w:val="both"/>
        <w:rPr>
          <w:rFonts w:ascii="Arial" w:hAnsi="Arial" w:cs="Arial"/>
          <w:sz w:val="19"/>
          <w:szCs w:val="19"/>
        </w:rPr>
      </w:pPr>
      <w:r w:rsidRPr="003E10F5">
        <w:rPr>
          <w:rFonts w:ascii="Arial" w:hAnsi="Arial" w:cs="Arial"/>
          <w:sz w:val="19"/>
          <w:szCs w:val="19"/>
        </w:rPr>
        <w:t xml:space="preserve">»El día de la audiencia efectiva de adjudicación, la entidad iniciará respondiendo y resolviendo las observaciones presentadas al informe de evaluación, de conformidad con el numeral 2.6. Acto seguido, la entidad iniciará la apertura de los sobres de las ofertas económicas y definirá el método de ponderación de las propuestas de acuerdo con la TRM que rija al día hábil siguiente; sin embargo, la entidad debe finalizar la apertura de los sobres económicos hasta antes de las 3:00 pm. De conformidad con lo anterior, la entidad no podrá abrir los sobres económicos teniendo conocimiento de la TRM que regirá al día hábil siguiente. En este sentido, atendiendo a las circunstancias anteriores y las particularidades de cada caso, la entidad podrá optar por suspender la audiencia y reiniciarla cuando lo considere conveniente, de manera que inicie y finalice la apertura de los sobres antes de las 3:00 pm del día respectivo. </w:t>
      </w:r>
    </w:p>
    <w:p w14:paraId="428DD073" w14:textId="77777777" w:rsidR="00480100" w:rsidRPr="003E10F5" w:rsidRDefault="00480100" w:rsidP="00480100">
      <w:pPr>
        <w:ind w:firstLine="708"/>
        <w:jc w:val="both"/>
        <w:rPr>
          <w:rFonts w:ascii="Arial" w:hAnsi="Arial" w:cs="Arial"/>
          <w:sz w:val="19"/>
          <w:szCs w:val="19"/>
        </w:rPr>
      </w:pPr>
      <w:r w:rsidRPr="003E10F5">
        <w:rPr>
          <w:rFonts w:ascii="Arial" w:hAnsi="Arial" w:cs="Arial"/>
          <w:sz w:val="19"/>
          <w:szCs w:val="19"/>
        </w:rPr>
        <w:t xml:space="preserve">»En el evento que la entidad deba suspender la audiencia por cualquier motivo, se tendrá como método de ponderación el que rija el día hábil siguiente del día en que efectivamente realice la apertura del segundo sobre. </w:t>
      </w:r>
    </w:p>
    <w:p w14:paraId="55829714" w14:textId="77777777" w:rsidR="00480100" w:rsidRPr="003E10F5" w:rsidRDefault="00480100" w:rsidP="00480100">
      <w:pPr>
        <w:ind w:firstLine="708"/>
        <w:jc w:val="both"/>
        <w:rPr>
          <w:rFonts w:ascii="Arial" w:hAnsi="Arial" w:cs="Arial"/>
          <w:sz w:val="19"/>
          <w:szCs w:val="19"/>
        </w:rPr>
      </w:pPr>
      <w:r w:rsidRPr="003E10F5">
        <w:rPr>
          <w:rFonts w:ascii="Arial" w:hAnsi="Arial" w:cs="Arial"/>
          <w:sz w:val="19"/>
          <w:szCs w:val="19"/>
        </w:rPr>
        <w:t xml:space="preserve">»En cualquiera de los supuestos señalados, la entidad debe iniciar y agotar la apertura de los sobres económicos y la definición del método de ponderación en un mismo día hasta antes de las 3:00 pm. Igualmente, el método definido el día de la apertura del sobre económico seguirá rigiendo aun cuando la entidad deba suspender la audiencia. </w:t>
      </w:r>
    </w:p>
    <w:p w14:paraId="0DEAC92A" w14:textId="3B55730E" w:rsidR="00480100" w:rsidRPr="003E10F5" w:rsidRDefault="00480100" w:rsidP="00480100">
      <w:pPr>
        <w:pStyle w:val="Textonotapie"/>
        <w:ind w:firstLine="708"/>
        <w:jc w:val="both"/>
        <w:rPr>
          <w:rFonts w:ascii="Arial" w:hAnsi="Arial" w:cs="Arial"/>
          <w:sz w:val="19"/>
          <w:szCs w:val="19"/>
        </w:rPr>
      </w:pPr>
      <w:r w:rsidRPr="003E10F5">
        <w:rPr>
          <w:rFonts w:ascii="Arial" w:hAnsi="Arial" w:cs="Arial"/>
          <w:sz w:val="19"/>
          <w:szCs w:val="19"/>
        </w:rPr>
        <w:t>»</w:t>
      </w:r>
      <w:r w:rsidR="005B523B" w:rsidRPr="003E10F5">
        <w:rPr>
          <w:rFonts w:ascii="Arial" w:hAnsi="Arial" w:cs="Arial"/>
          <w:sz w:val="19"/>
          <w:szCs w:val="19"/>
        </w:rPr>
        <w:t>Para mayor claridad y, de acuerdo con lo indicado, la TRM que la entidad utilizará para determinar el método de ponderación será la que rija el día hábil siguiente del día en que efectivamente sea la apertura del segundo sobre. Esto es, la que la Superintendencia Financiera publique en horas de la tarde el día de la apertura del segundo sobre. [Por ejemplo, si la audiencia de adjudicación se realiza el 10 de febrero de 2020 y ese mismo día se abre el segundo sobre, la TRM que se usará para determinar el método de evaluación será la del 11 de febrero de 2020, que se publica en la tarde del 10 de febrero de 2020].</w:t>
      </w:r>
    </w:p>
    <w:p w14:paraId="6CBF84AF" w14:textId="0A15272E" w:rsidR="00480100" w:rsidRPr="003E10F5" w:rsidRDefault="00480100" w:rsidP="007C0D17">
      <w:pPr>
        <w:ind w:firstLine="708"/>
        <w:jc w:val="both"/>
        <w:rPr>
          <w:rFonts w:ascii="Arial" w:hAnsi="Arial" w:cs="Arial"/>
          <w:sz w:val="19"/>
          <w:szCs w:val="19"/>
        </w:rPr>
      </w:pPr>
      <w:r w:rsidRPr="003E10F5">
        <w:rPr>
          <w:rFonts w:ascii="Arial" w:hAnsi="Arial" w:cs="Arial"/>
          <w:sz w:val="19"/>
          <w:szCs w:val="19"/>
        </w:rPr>
        <w:t>»</w:t>
      </w:r>
      <w:r w:rsidR="007C0D17" w:rsidRPr="003E10F5">
        <w:rPr>
          <w:rFonts w:ascii="Arial" w:hAnsi="Arial" w:cs="Arial"/>
          <w:sz w:val="19"/>
          <w:szCs w:val="19"/>
        </w:rPr>
        <w:t>[…]»</w:t>
      </w:r>
    </w:p>
    <w:p w14:paraId="0A522085" w14:textId="77777777" w:rsidR="00480100" w:rsidRPr="003E10F5" w:rsidRDefault="00480100" w:rsidP="00480100">
      <w:pPr>
        <w:pStyle w:val="Textonotapie"/>
        <w:ind w:firstLine="708"/>
        <w:jc w:val="both"/>
        <w:rPr>
          <w:rFonts w:ascii="Arial" w:hAnsi="Arial" w:cs="Arial"/>
          <w:sz w:val="19"/>
          <w:szCs w:val="19"/>
        </w:rPr>
      </w:pPr>
    </w:p>
  </w:footnote>
  <w:footnote w:id="9">
    <w:p w14:paraId="4AB2A426" w14:textId="77777777" w:rsidR="00B56368" w:rsidRPr="003E10F5" w:rsidRDefault="00B56368" w:rsidP="00B56368">
      <w:pPr>
        <w:pStyle w:val="Textonotapie"/>
        <w:ind w:firstLine="708"/>
        <w:jc w:val="both"/>
        <w:rPr>
          <w:rFonts w:ascii="Arial" w:hAnsi="Arial" w:cs="Arial"/>
          <w:color w:val="000000" w:themeColor="text1"/>
          <w:sz w:val="19"/>
          <w:szCs w:val="19"/>
        </w:rPr>
      </w:pPr>
      <w:r w:rsidRPr="003E10F5">
        <w:rPr>
          <w:rStyle w:val="Refdenotaalpie"/>
          <w:rFonts w:ascii="Arial" w:hAnsi="Arial" w:cs="Arial"/>
          <w:color w:val="000000" w:themeColor="text1"/>
          <w:sz w:val="19"/>
          <w:szCs w:val="19"/>
        </w:rPr>
        <w:footnoteRef/>
      </w:r>
      <w:r w:rsidRPr="003E10F5">
        <w:rPr>
          <w:rFonts w:ascii="Arial" w:hAnsi="Arial" w:cs="Arial"/>
          <w:color w:val="000000" w:themeColor="text1"/>
          <w:sz w:val="19"/>
          <w:szCs w:val="19"/>
        </w:rPr>
        <w:t xml:space="preserve"> BANCO DE LA REPÚBLICA. Circular Reglamentaria Externa – DOAM- 146 de 4 de noviembre de 2020. </w:t>
      </w:r>
    </w:p>
    <w:p w14:paraId="4250263D" w14:textId="77777777" w:rsidR="00B56368" w:rsidRPr="003E10F5" w:rsidRDefault="00B56368" w:rsidP="00B56368">
      <w:pPr>
        <w:pStyle w:val="Textonotapie"/>
        <w:ind w:firstLine="708"/>
        <w:jc w:val="both"/>
        <w:rPr>
          <w:rFonts w:ascii="Arial" w:hAnsi="Arial" w:cs="Arial"/>
          <w:color w:val="000000" w:themeColor="text1"/>
          <w:sz w:val="19"/>
          <w:szCs w:val="19"/>
        </w:rPr>
      </w:pPr>
    </w:p>
  </w:footnote>
  <w:footnote w:id="10">
    <w:p w14:paraId="17D7C33C" w14:textId="77777777" w:rsidR="00B56368" w:rsidRPr="003E10F5" w:rsidRDefault="00B56368" w:rsidP="00B56368">
      <w:pPr>
        <w:pStyle w:val="Textonotapie"/>
        <w:ind w:firstLine="708"/>
        <w:jc w:val="both"/>
        <w:rPr>
          <w:rFonts w:ascii="Arial" w:hAnsi="Arial" w:cs="Arial"/>
          <w:color w:val="000000" w:themeColor="text1"/>
          <w:sz w:val="19"/>
          <w:szCs w:val="19"/>
        </w:rPr>
      </w:pPr>
      <w:r w:rsidRPr="003E10F5">
        <w:rPr>
          <w:rStyle w:val="Refdenotaalpie"/>
          <w:rFonts w:ascii="Arial" w:hAnsi="Arial" w:cs="Arial"/>
          <w:color w:val="000000" w:themeColor="text1"/>
          <w:sz w:val="19"/>
          <w:szCs w:val="19"/>
        </w:rPr>
        <w:footnoteRef/>
      </w:r>
      <w:r w:rsidRPr="003E10F5">
        <w:rPr>
          <w:rFonts w:ascii="Arial" w:hAnsi="Arial" w:cs="Arial"/>
          <w:color w:val="000000" w:themeColor="text1"/>
          <w:sz w:val="19"/>
          <w:szCs w:val="19"/>
        </w:rPr>
        <w:t xml:space="preserve"> BANCO DE LA REPÚBLICA. Disponible en línea: </w:t>
      </w:r>
      <w:hyperlink r:id="rId2" w:history="1">
        <w:r w:rsidRPr="003E10F5">
          <w:rPr>
            <w:rStyle w:val="Hipervnculo"/>
            <w:rFonts w:ascii="Arial" w:hAnsi="Arial" w:cs="Arial"/>
            <w:color w:val="000000" w:themeColor="text1"/>
            <w:sz w:val="19"/>
            <w:szCs w:val="19"/>
          </w:rPr>
          <w:t>https://www.banrep.gov.co/es/estadisticas/trm</w:t>
        </w:r>
      </w:hyperlink>
      <w:r w:rsidRPr="003E10F5">
        <w:rPr>
          <w:rStyle w:val="Hipervnculo"/>
          <w:rFonts w:ascii="Arial" w:hAnsi="Arial" w:cs="Arial"/>
          <w:color w:val="000000" w:themeColor="text1"/>
          <w:sz w:val="19"/>
          <w:szCs w:val="19"/>
        </w:rPr>
        <w:t xml:space="preserve">. Consultado el 3 de diciembre de 2021. </w:t>
      </w:r>
      <w:r w:rsidRPr="003E10F5">
        <w:rPr>
          <w:rFonts w:ascii="Arial" w:hAnsi="Arial" w:cs="Arial"/>
          <w:color w:val="000000" w:themeColor="text1"/>
          <w:sz w:val="19"/>
          <w:szCs w:val="19"/>
        </w:rPr>
        <w:t xml:space="preserve"> </w:t>
      </w:r>
    </w:p>
  </w:footnote>
  <w:footnote w:id="11">
    <w:p w14:paraId="50608313" w14:textId="65D56C4C" w:rsidR="00402957" w:rsidRPr="003E10F5" w:rsidRDefault="00402957" w:rsidP="0014455A">
      <w:pPr>
        <w:pStyle w:val="Ttulo2"/>
        <w:spacing w:before="0"/>
        <w:ind w:firstLine="709"/>
        <w:jc w:val="both"/>
        <w:rPr>
          <w:rFonts w:ascii="Arial" w:hAnsi="Arial" w:cs="Arial"/>
          <w:color w:val="auto"/>
          <w:sz w:val="19"/>
          <w:szCs w:val="19"/>
        </w:rPr>
      </w:pPr>
      <w:r w:rsidRPr="003E10F5">
        <w:rPr>
          <w:rStyle w:val="Refdenotaalpie"/>
          <w:rFonts w:ascii="Arial" w:hAnsi="Arial" w:cs="Arial"/>
          <w:b/>
          <w:bCs/>
          <w:color w:val="auto"/>
          <w:sz w:val="19"/>
          <w:szCs w:val="19"/>
        </w:rPr>
        <w:footnoteRef/>
      </w:r>
      <w:r w:rsidRPr="003E10F5">
        <w:rPr>
          <w:rFonts w:ascii="Arial" w:hAnsi="Arial" w:cs="Arial"/>
          <w:b/>
          <w:bCs/>
          <w:color w:val="auto"/>
          <w:sz w:val="19"/>
          <w:szCs w:val="19"/>
        </w:rPr>
        <w:t xml:space="preserve"> </w:t>
      </w:r>
      <w:r w:rsidRPr="003E10F5">
        <w:rPr>
          <w:rFonts w:ascii="Arial" w:hAnsi="Arial" w:cs="Arial"/>
          <w:caps/>
          <w:color w:val="auto"/>
          <w:sz w:val="19"/>
          <w:szCs w:val="19"/>
        </w:rPr>
        <w:t xml:space="preserve">Documento Base: </w:t>
      </w:r>
      <w:r w:rsidRPr="003E10F5">
        <w:rPr>
          <w:rFonts w:ascii="Arial" w:hAnsi="Arial" w:cs="Arial"/>
          <w:color w:val="auto"/>
          <w:sz w:val="19"/>
          <w:szCs w:val="19"/>
        </w:rPr>
        <w:t xml:space="preserve">«2.4. </w:t>
      </w:r>
      <w:bookmarkStart w:id="15" w:name="_Toc57727263"/>
      <w:r w:rsidRPr="003E10F5">
        <w:rPr>
          <w:rFonts w:ascii="Arial" w:hAnsi="Arial" w:cs="Arial"/>
          <w:caps/>
          <w:color w:val="auto"/>
          <w:sz w:val="19"/>
          <w:szCs w:val="19"/>
        </w:rPr>
        <w:t>CIERRE DEL PROCESO Y APERTURA DE OFERTAS</w:t>
      </w:r>
      <w:bookmarkEnd w:id="15"/>
    </w:p>
    <w:p w14:paraId="21914F70" w14:textId="77777777" w:rsidR="00402957" w:rsidRPr="003E10F5" w:rsidRDefault="00402957" w:rsidP="00402957">
      <w:pPr>
        <w:ind w:firstLine="708"/>
        <w:jc w:val="both"/>
        <w:rPr>
          <w:rFonts w:ascii="Arial" w:hAnsi="Arial" w:cs="Arial"/>
          <w:sz w:val="19"/>
          <w:szCs w:val="19"/>
        </w:rPr>
      </w:pPr>
      <w:r w:rsidRPr="003E10F5">
        <w:rPr>
          <w:rFonts w:ascii="Arial" w:hAnsi="Arial" w:cs="Arial"/>
          <w:sz w:val="19"/>
          <w:szCs w:val="19"/>
          <w:highlight w:val="lightGray"/>
        </w:rPr>
        <w:t>»[Incluir para los procesos de contratación adelantados por SECOP I]</w:t>
      </w:r>
    </w:p>
    <w:p w14:paraId="5EA145DD" w14:textId="2914C819" w:rsidR="00402957" w:rsidRPr="003E10F5" w:rsidRDefault="00AA6BCB" w:rsidP="00402957">
      <w:pPr>
        <w:ind w:firstLine="708"/>
        <w:jc w:val="both"/>
        <w:rPr>
          <w:rFonts w:ascii="Arial" w:hAnsi="Arial" w:cs="Arial"/>
          <w:sz w:val="19"/>
          <w:szCs w:val="19"/>
        </w:rPr>
      </w:pPr>
      <w:r w:rsidRPr="003E10F5">
        <w:rPr>
          <w:rFonts w:ascii="Arial" w:hAnsi="Arial" w:cs="Arial"/>
          <w:sz w:val="19"/>
          <w:szCs w:val="19"/>
        </w:rPr>
        <w:t>»</w:t>
      </w:r>
      <w:r w:rsidR="00402957" w:rsidRPr="003E10F5">
        <w:rPr>
          <w:rFonts w:ascii="Arial" w:hAnsi="Arial" w:cs="Arial"/>
          <w:sz w:val="19"/>
          <w:szCs w:val="19"/>
        </w:rPr>
        <w:t>[…]</w:t>
      </w:r>
    </w:p>
    <w:p w14:paraId="6C0228BE" w14:textId="77777777" w:rsidR="00402957" w:rsidRPr="003E10F5" w:rsidRDefault="00402957" w:rsidP="00402957">
      <w:pPr>
        <w:ind w:firstLine="708"/>
        <w:jc w:val="both"/>
        <w:rPr>
          <w:rFonts w:ascii="Arial" w:hAnsi="Arial" w:cs="Arial"/>
          <w:sz w:val="19"/>
          <w:szCs w:val="19"/>
        </w:rPr>
      </w:pPr>
      <w:r w:rsidRPr="003E10F5">
        <w:rPr>
          <w:rFonts w:ascii="Arial" w:hAnsi="Arial" w:cs="Arial"/>
          <w:sz w:val="19"/>
          <w:szCs w:val="19"/>
        </w:rPr>
        <w:t xml:space="preserve">»Un funcionario o contratista de la entidad verificará que el Sobre No. 2 de cada oferta esté sellado y requerirá a los asistentes a la diligencia de cierre para que firmen cada uno de ellos. Para generar confianza, al momento del cierre la entidad guardará en un sobre todos los sobres económicos, y éste lo firmarán quienes asistan al cierre, o los custodiará en una bolsa de seguridad, con el fin de que, al momento de su apertura en la audiencia efectiva de adjudicación se pueda verificar que los mismos no fueron alterados, cambiados o abiertos. La entidad custodiará en un lugar idóneo este sobre o la bolsa de seguridad para garantizar su seguridad. </w:t>
      </w:r>
    </w:p>
    <w:p w14:paraId="29E1EBB9" w14:textId="24B4D59A" w:rsidR="00402957" w:rsidRPr="003E10F5" w:rsidRDefault="00402957" w:rsidP="00402957">
      <w:pPr>
        <w:ind w:firstLine="708"/>
        <w:jc w:val="both"/>
        <w:rPr>
          <w:rFonts w:ascii="Arial" w:hAnsi="Arial" w:cs="Arial"/>
          <w:sz w:val="19"/>
          <w:szCs w:val="19"/>
        </w:rPr>
      </w:pPr>
      <w:r w:rsidRPr="003E10F5">
        <w:rPr>
          <w:rFonts w:ascii="Arial" w:hAnsi="Arial" w:cs="Arial"/>
          <w:sz w:val="19"/>
          <w:szCs w:val="19"/>
        </w:rPr>
        <w:t>»En la apertura del Sobre No. 2, la entidad estatal permitirá tomar fotos a las ofertas económicas, si así lo solicita cualquier proponente</w:t>
      </w:r>
      <w:r w:rsidR="00AA6BCB" w:rsidRPr="003E10F5">
        <w:rPr>
          <w:rFonts w:ascii="Arial" w:hAnsi="Arial" w:cs="Arial"/>
          <w:sz w:val="19"/>
          <w:szCs w:val="19"/>
        </w:rPr>
        <w:t>.</w:t>
      </w:r>
      <w:r w:rsidRPr="003E10F5">
        <w:rPr>
          <w:rFonts w:ascii="Arial" w:hAnsi="Arial" w:cs="Arial"/>
          <w:sz w:val="19"/>
          <w:szCs w:val="19"/>
        </w:rPr>
        <w:t xml:space="preserve"> </w:t>
      </w:r>
    </w:p>
    <w:p w14:paraId="5B1CE4DB" w14:textId="7103E469" w:rsidR="00402957" w:rsidRPr="003E10F5" w:rsidRDefault="00AA6BCB" w:rsidP="00402957">
      <w:pPr>
        <w:ind w:firstLine="708"/>
        <w:jc w:val="both"/>
        <w:rPr>
          <w:rFonts w:ascii="Arial" w:hAnsi="Arial" w:cs="Arial"/>
          <w:sz w:val="19"/>
          <w:szCs w:val="19"/>
        </w:rPr>
      </w:pPr>
      <w:r w:rsidRPr="003E10F5">
        <w:rPr>
          <w:rFonts w:ascii="Arial" w:hAnsi="Arial" w:cs="Arial"/>
          <w:sz w:val="19"/>
          <w:szCs w:val="19"/>
        </w:rPr>
        <w:t>»</w:t>
      </w:r>
      <w:r w:rsidR="00402957" w:rsidRPr="003E10F5">
        <w:rPr>
          <w:rFonts w:ascii="Arial" w:hAnsi="Arial" w:cs="Arial"/>
          <w:sz w:val="19"/>
          <w:szCs w:val="19"/>
        </w:rPr>
        <w:t>[…]</w:t>
      </w:r>
    </w:p>
    <w:p w14:paraId="7E849ECA" w14:textId="77777777" w:rsidR="00402957" w:rsidRPr="003E10F5" w:rsidRDefault="00402957" w:rsidP="00402957">
      <w:pPr>
        <w:ind w:firstLine="708"/>
        <w:jc w:val="both"/>
        <w:rPr>
          <w:rFonts w:ascii="Arial" w:hAnsi="Arial" w:cs="Arial"/>
          <w:sz w:val="19"/>
          <w:szCs w:val="19"/>
        </w:rPr>
      </w:pPr>
      <w:r w:rsidRPr="003E10F5">
        <w:rPr>
          <w:rFonts w:ascii="Arial" w:hAnsi="Arial" w:cs="Arial"/>
          <w:sz w:val="19"/>
          <w:szCs w:val="19"/>
        </w:rPr>
        <w:t>»2.6.</w:t>
      </w:r>
      <w:r w:rsidRPr="003E10F5">
        <w:rPr>
          <w:rFonts w:ascii="Arial" w:hAnsi="Arial" w:cs="Arial"/>
          <w:sz w:val="19"/>
          <w:szCs w:val="19"/>
        </w:rPr>
        <w:tab/>
        <w:t>AUDIENCIA EFECTIVA DE ADJUDICACIÓN</w:t>
      </w:r>
    </w:p>
    <w:p w14:paraId="40CCA78A" w14:textId="77777777" w:rsidR="00402957" w:rsidRPr="003E10F5" w:rsidRDefault="00402957" w:rsidP="00402957">
      <w:pPr>
        <w:ind w:firstLine="708"/>
        <w:jc w:val="both"/>
        <w:rPr>
          <w:rFonts w:ascii="Arial" w:hAnsi="Arial" w:cs="Arial"/>
          <w:sz w:val="19"/>
          <w:szCs w:val="19"/>
        </w:rPr>
      </w:pPr>
      <w:r w:rsidRPr="003E10F5">
        <w:rPr>
          <w:rFonts w:ascii="Arial" w:hAnsi="Arial" w:cs="Arial"/>
          <w:sz w:val="19"/>
          <w:szCs w:val="19"/>
        </w:rPr>
        <w:t>»En la fecha establecida en el Anexo 2 – Cronograma, la entidad procederá a la instalación y desarrollo de la audiencia efectiva de adjudicación, sin perjuicio de la utilización de los medios virtuales que garanticen la participación y la interacción de los interesados con la entidad contratante.</w:t>
      </w:r>
    </w:p>
    <w:p w14:paraId="0644323A" w14:textId="77777777" w:rsidR="00402957" w:rsidRPr="003E10F5" w:rsidRDefault="00402957" w:rsidP="00402957">
      <w:pPr>
        <w:ind w:firstLine="708"/>
        <w:jc w:val="both"/>
        <w:rPr>
          <w:rFonts w:ascii="Arial" w:hAnsi="Arial" w:cs="Arial"/>
          <w:sz w:val="19"/>
          <w:szCs w:val="19"/>
        </w:rPr>
      </w:pPr>
      <w:r w:rsidRPr="003E10F5">
        <w:rPr>
          <w:rFonts w:ascii="Arial" w:hAnsi="Arial" w:cs="Arial"/>
          <w:sz w:val="19"/>
          <w:szCs w:val="19"/>
        </w:rPr>
        <w:t xml:space="preserve">»Al inicio de la audiencia, la entidad otorgará la palabra a los proponentes para presentar las observaciones al informe final de evaluación. Esta no podrá entenderse como una oportunidad adicional para aportar documentos o elementos que no hayan sido incorporados en el plazo definido en el numeral 1.6. Lo anterior, sin perjuicio de la potestad de la entidad de realizar las verificaciones que considere pertinentes para la adecuada selección del contratista. </w:t>
      </w:r>
    </w:p>
    <w:p w14:paraId="01478D6D" w14:textId="77777777" w:rsidR="00402957" w:rsidRPr="003E10F5" w:rsidRDefault="00402957" w:rsidP="00402957">
      <w:pPr>
        <w:ind w:firstLine="708"/>
        <w:jc w:val="both"/>
        <w:rPr>
          <w:rFonts w:ascii="Arial" w:hAnsi="Arial" w:cs="Arial"/>
          <w:sz w:val="19"/>
          <w:szCs w:val="19"/>
        </w:rPr>
      </w:pPr>
      <w:r w:rsidRPr="003E10F5">
        <w:rPr>
          <w:rFonts w:ascii="Arial" w:hAnsi="Arial" w:cs="Arial"/>
          <w:sz w:val="19"/>
          <w:szCs w:val="19"/>
        </w:rPr>
        <w:t xml:space="preserve">»Resueltas las observaciones frente al informe de evaluación, en caso de que haya lugar a ello, la entidad procederá a dar apertura al Sobre 2 de los proponentes habilitados y evaluará la oferta económica a través del mecanismo escogido mediante el método aleatorio que resulte aplicable de conformidad con lo establecido en el numeral 4.1. del presente pliego de condiciones. Posteriormente, se correrá traslado a los proponentes habilitados solo para la revisión del aspecto económico y se definirá el orden de elegibilidad. </w:t>
      </w:r>
    </w:p>
    <w:p w14:paraId="312DFEC0" w14:textId="77777777" w:rsidR="00AA6BCB" w:rsidRPr="003E10F5" w:rsidRDefault="00402957" w:rsidP="00AA6BCB">
      <w:pPr>
        <w:ind w:firstLine="708"/>
        <w:jc w:val="both"/>
        <w:rPr>
          <w:rFonts w:ascii="Arial" w:hAnsi="Arial" w:cs="Arial"/>
          <w:sz w:val="19"/>
          <w:szCs w:val="19"/>
        </w:rPr>
      </w:pPr>
      <w:r w:rsidRPr="003E10F5">
        <w:rPr>
          <w:rFonts w:ascii="Arial" w:hAnsi="Arial" w:cs="Arial"/>
          <w:sz w:val="19"/>
          <w:szCs w:val="19"/>
        </w:rPr>
        <w:t>»El orden de elegibilidad se establecerá a través de la sumatoria de los puntajes obtenidos por las propuestas para cada uno de los criterios establecidos en el “CAPÍTULO IV” y ordenados de mayor a menor</w:t>
      </w:r>
      <w:r w:rsidR="00AA6BCB" w:rsidRPr="003E10F5">
        <w:rPr>
          <w:rFonts w:ascii="Arial" w:hAnsi="Arial" w:cs="Arial"/>
          <w:sz w:val="19"/>
          <w:szCs w:val="19"/>
        </w:rPr>
        <w:t>.</w:t>
      </w:r>
      <w:r w:rsidRPr="003E10F5">
        <w:rPr>
          <w:rFonts w:ascii="Arial" w:hAnsi="Arial" w:cs="Arial"/>
          <w:sz w:val="19"/>
          <w:szCs w:val="19"/>
        </w:rPr>
        <w:t xml:space="preserve"> </w:t>
      </w:r>
    </w:p>
    <w:p w14:paraId="31094479" w14:textId="5201D183" w:rsidR="00402957" w:rsidRPr="003E10F5" w:rsidRDefault="00AA6BCB" w:rsidP="00AA6BCB">
      <w:pPr>
        <w:ind w:firstLine="708"/>
        <w:jc w:val="both"/>
        <w:rPr>
          <w:rFonts w:ascii="Arial" w:hAnsi="Arial" w:cs="Arial"/>
          <w:sz w:val="19"/>
          <w:szCs w:val="19"/>
        </w:rPr>
      </w:pPr>
      <w:r w:rsidRPr="003E10F5">
        <w:rPr>
          <w:rFonts w:ascii="Arial" w:hAnsi="Arial" w:cs="Arial"/>
          <w:sz w:val="19"/>
          <w:szCs w:val="19"/>
        </w:rPr>
        <w:t>»</w:t>
      </w:r>
      <w:r w:rsidR="00402957" w:rsidRPr="003E10F5">
        <w:rPr>
          <w:rFonts w:ascii="Arial" w:hAnsi="Arial" w:cs="Arial"/>
          <w:sz w:val="19"/>
          <w:szCs w:val="19"/>
        </w:rPr>
        <w:t>[…]»</w:t>
      </w:r>
    </w:p>
    <w:p w14:paraId="4B94A070" w14:textId="77777777" w:rsidR="00402957" w:rsidRPr="003E10F5" w:rsidRDefault="00402957" w:rsidP="00402957">
      <w:pPr>
        <w:pStyle w:val="Textonotapie"/>
        <w:ind w:firstLine="708"/>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153AB" w14:textId="77777777" w:rsidR="00C65F11" w:rsidRDefault="00902FE0">
    <w:pPr>
      <w:pStyle w:val="Encabezado"/>
    </w:pPr>
  </w:p>
  <w:p w14:paraId="06E38FE1" w14:textId="77777777" w:rsidR="00C65F11" w:rsidRDefault="00902FE0">
    <w:pPr>
      <w:pStyle w:val="Encabezado"/>
    </w:pPr>
  </w:p>
  <w:p w14:paraId="63136C86" w14:textId="77777777" w:rsidR="00C65F11" w:rsidRDefault="00E656A2">
    <w:pPr>
      <w:pStyle w:val="Encabezado"/>
    </w:pPr>
    <w:r>
      <w:rPr>
        <w:noProof/>
        <w:lang w:val="en-US"/>
      </w:rPr>
      <w:drawing>
        <wp:anchor distT="0" distB="0" distL="114300" distR="114300" simplePos="0" relativeHeight="251658240" behindDoc="1" locked="0" layoutInCell="1" allowOverlap="1" wp14:anchorId="14B63D39" wp14:editId="2E577412">
          <wp:simplePos x="0" y="0"/>
          <wp:positionH relativeFrom="column">
            <wp:posOffset>4458335</wp:posOffset>
          </wp:positionH>
          <wp:positionV relativeFrom="paragraph">
            <wp:posOffset>171450</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1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373CF3" w14:textId="77777777" w:rsidR="00C65F11" w:rsidRDefault="00902FE0">
    <w:pPr>
      <w:pStyle w:val="Encabezado"/>
    </w:pPr>
  </w:p>
  <w:p w14:paraId="112A222D" w14:textId="77777777" w:rsidR="00C65F11" w:rsidRDefault="00902FE0">
    <w:pPr>
      <w:pStyle w:val="Encabezado"/>
    </w:pPr>
  </w:p>
  <w:p w14:paraId="186DE168" w14:textId="77777777" w:rsidR="00E26BD9" w:rsidRDefault="00902FE0">
    <w:pPr>
      <w:pStyle w:val="Encabezado"/>
    </w:pPr>
  </w:p>
  <w:p w14:paraId="4A6D0A14" w14:textId="77777777" w:rsidR="00E26BD9" w:rsidRDefault="00902FE0">
    <w:pPr>
      <w:pStyle w:val="Encabezado"/>
    </w:pPr>
  </w:p>
  <w:p w14:paraId="54287D0D" w14:textId="77777777" w:rsidR="00C65F11" w:rsidRDefault="00902FE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923CB4E6"/>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46670445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368"/>
    <w:rsid w:val="00001060"/>
    <w:rsid w:val="00026807"/>
    <w:rsid w:val="00046965"/>
    <w:rsid w:val="00057E94"/>
    <w:rsid w:val="000734B5"/>
    <w:rsid w:val="000F4D99"/>
    <w:rsid w:val="0014455A"/>
    <w:rsid w:val="0016266F"/>
    <w:rsid w:val="001626D8"/>
    <w:rsid w:val="00186543"/>
    <w:rsid w:val="0019728D"/>
    <w:rsid w:val="001E2ACF"/>
    <w:rsid w:val="00243758"/>
    <w:rsid w:val="002665DC"/>
    <w:rsid w:val="0029659B"/>
    <w:rsid w:val="002A29CB"/>
    <w:rsid w:val="002C1D19"/>
    <w:rsid w:val="002D3289"/>
    <w:rsid w:val="00315004"/>
    <w:rsid w:val="00321968"/>
    <w:rsid w:val="00372B7E"/>
    <w:rsid w:val="003E10F5"/>
    <w:rsid w:val="00402957"/>
    <w:rsid w:val="00451E7D"/>
    <w:rsid w:val="00480100"/>
    <w:rsid w:val="00496CD0"/>
    <w:rsid w:val="00497C4D"/>
    <w:rsid w:val="004D2FE3"/>
    <w:rsid w:val="005B523B"/>
    <w:rsid w:val="005C309F"/>
    <w:rsid w:val="005F7062"/>
    <w:rsid w:val="00603168"/>
    <w:rsid w:val="00611A59"/>
    <w:rsid w:val="0062345F"/>
    <w:rsid w:val="006E460F"/>
    <w:rsid w:val="006F6CB4"/>
    <w:rsid w:val="00711FCB"/>
    <w:rsid w:val="007340E7"/>
    <w:rsid w:val="00736B2C"/>
    <w:rsid w:val="00736B45"/>
    <w:rsid w:val="00791A72"/>
    <w:rsid w:val="007A6DF0"/>
    <w:rsid w:val="007B40AC"/>
    <w:rsid w:val="007C05C2"/>
    <w:rsid w:val="007C0D17"/>
    <w:rsid w:val="007D1408"/>
    <w:rsid w:val="007F2B52"/>
    <w:rsid w:val="008126E2"/>
    <w:rsid w:val="008245FD"/>
    <w:rsid w:val="008267C0"/>
    <w:rsid w:val="00900F63"/>
    <w:rsid w:val="00902FE0"/>
    <w:rsid w:val="00915DF1"/>
    <w:rsid w:val="00924568"/>
    <w:rsid w:val="00925FF8"/>
    <w:rsid w:val="00945771"/>
    <w:rsid w:val="0096722E"/>
    <w:rsid w:val="00970623"/>
    <w:rsid w:val="009C111E"/>
    <w:rsid w:val="00A036E5"/>
    <w:rsid w:val="00A54D40"/>
    <w:rsid w:val="00A72A35"/>
    <w:rsid w:val="00AA5F8A"/>
    <w:rsid w:val="00AA6BCB"/>
    <w:rsid w:val="00AE4B83"/>
    <w:rsid w:val="00AF465E"/>
    <w:rsid w:val="00B46AEF"/>
    <w:rsid w:val="00B56368"/>
    <w:rsid w:val="00B71E7F"/>
    <w:rsid w:val="00B77CD1"/>
    <w:rsid w:val="00BA761E"/>
    <w:rsid w:val="00C46C26"/>
    <w:rsid w:val="00CA1EFE"/>
    <w:rsid w:val="00CF435E"/>
    <w:rsid w:val="00DB6C06"/>
    <w:rsid w:val="00E22973"/>
    <w:rsid w:val="00E656A2"/>
    <w:rsid w:val="00E71891"/>
    <w:rsid w:val="00E72025"/>
    <w:rsid w:val="00E73702"/>
    <w:rsid w:val="00E77151"/>
    <w:rsid w:val="00E83B1F"/>
    <w:rsid w:val="00EE5485"/>
    <w:rsid w:val="00F0082D"/>
    <w:rsid w:val="00F35CDA"/>
    <w:rsid w:val="00F80181"/>
    <w:rsid w:val="00F92F69"/>
    <w:rsid w:val="00FA15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E2DC4"/>
  <w15:chartTrackingRefBased/>
  <w15:docId w15:val="{24F756B1-33CE-49D9-9668-4564013BB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368"/>
    <w:pPr>
      <w:spacing w:after="0" w:line="240" w:lineRule="auto"/>
    </w:pPr>
    <w:rPr>
      <w:sz w:val="24"/>
      <w:lang w:val="es-MX"/>
    </w:rPr>
  </w:style>
  <w:style w:type="paragraph" w:styleId="Ttulo2">
    <w:name w:val="heading 2"/>
    <w:basedOn w:val="Normal"/>
    <w:next w:val="Normal"/>
    <w:link w:val="Ttulo2Car"/>
    <w:uiPriority w:val="9"/>
    <w:semiHidden/>
    <w:unhideWhenUsed/>
    <w:qFormat/>
    <w:rsid w:val="0040295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B56368"/>
    <w:pPr>
      <w:tabs>
        <w:tab w:val="center" w:pos="4419"/>
        <w:tab w:val="right" w:pos="8838"/>
      </w:tabs>
    </w:pPr>
  </w:style>
  <w:style w:type="character" w:customStyle="1" w:styleId="PiedepginaCar">
    <w:name w:val="Pie de página Car"/>
    <w:basedOn w:val="Fuentedeprrafopredeter"/>
    <w:link w:val="Piedepgina"/>
    <w:uiPriority w:val="99"/>
    <w:rsid w:val="00B56368"/>
    <w:rPr>
      <w:sz w:val="24"/>
      <w:lang w:val="es-MX"/>
    </w:rPr>
  </w:style>
  <w:style w:type="paragraph" w:styleId="Encabezado">
    <w:name w:val="header"/>
    <w:basedOn w:val="Normal"/>
    <w:link w:val="EncabezadoCar"/>
    <w:uiPriority w:val="99"/>
    <w:unhideWhenUsed/>
    <w:rsid w:val="00B56368"/>
    <w:pPr>
      <w:tabs>
        <w:tab w:val="center" w:pos="4252"/>
        <w:tab w:val="right" w:pos="8504"/>
      </w:tabs>
    </w:pPr>
  </w:style>
  <w:style w:type="character" w:customStyle="1" w:styleId="EncabezadoCar">
    <w:name w:val="Encabezado Car"/>
    <w:basedOn w:val="Fuentedeprrafopredeter"/>
    <w:link w:val="Encabezado"/>
    <w:uiPriority w:val="99"/>
    <w:rsid w:val="00B56368"/>
    <w:rPr>
      <w:sz w:val="24"/>
      <w:lang w:val="es-MX"/>
    </w:rPr>
  </w:style>
  <w:style w:type="table" w:styleId="Tablaconcuadrcula">
    <w:name w:val="Table Grid"/>
    <w:basedOn w:val="Tablanormal"/>
    <w:uiPriority w:val="59"/>
    <w:rsid w:val="00B563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B56368"/>
    <w:pPr>
      <w:ind w:left="720"/>
      <w:contextualSpacing/>
    </w:pPr>
  </w:style>
  <w:style w:type="character" w:styleId="Hipervnculo">
    <w:name w:val="Hyperlink"/>
    <w:basedOn w:val="Fuentedeprrafopredeter"/>
    <w:uiPriority w:val="99"/>
    <w:unhideWhenUsed/>
    <w:rsid w:val="00B56368"/>
    <w:rPr>
      <w:color w:val="0563C1" w:themeColor="hyperlink"/>
      <w:u w:val="single"/>
    </w:rPr>
  </w:style>
  <w:style w:type="paragraph" w:styleId="NormalWeb">
    <w:name w:val="Normal (Web)"/>
    <w:basedOn w:val="Normal"/>
    <w:link w:val="NormalWebCar"/>
    <w:uiPriority w:val="99"/>
    <w:unhideWhenUsed/>
    <w:rsid w:val="00B56368"/>
    <w:pPr>
      <w:spacing w:before="100" w:beforeAutospacing="1" w:after="100" w:afterAutospacing="1"/>
    </w:pPr>
    <w:rPr>
      <w:rFonts w:ascii="Times New Roman" w:eastAsia="Times New Roman" w:hAnsi="Times New Roman" w:cs="Times New Roman"/>
      <w:szCs w:val="24"/>
      <w:lang w:val="es-CO" w:eastAsia="es-CO"/>
    </w:rPr>
  </w:style>
  <w:style w:type="paragraph" w:styleId="Sinespaciado">
    <w:name w:val="No Spacing"/>
    <w:uiPriority w:val="1"/>
    <w:qFormat/>
    <w:rsid w:val="00B56368"/>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5636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R"/>
    <w:basedOn w:val="Normal"/>
    <w:link w:val="TextonotapieCar"/>
    <w:uiPriority w:val="99"/>
    <w:unhideWhenUsed/>
    <w:qFormat/>
    <w:rsid w:val="00B56368"/>
    <w:rPr>
      <w:sz w:val="20"/>
      <w:szCs w:val="20"/>
    </w:rPr>
  </w:style>
  <w:style w:type="character" w:customStyle="1" w:styleId="TextonotapieCar1">
    <w:name w:val="Texto nota pie Car1"/>
    <w:basedOn w:val="Fuentedeprrafopredeter"/>
    <w:uiPriority w:val="99"/>
    <w:semiHidden/>
    <w:rsid w:val="00B56368"/>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56368"/>
    <w:rPr>
      <w:sz w:val="24"/>
      <w:lang w:val="es-MX"/>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B56368"/>
    <w:rPr>
      <w:vertAlign w:val="superscript"/>
    </w:rPr>
  </w:style>
  <w:style w:type="paragraph" w:customStyle="1" w:styleId="InviasNormal">
    <w:name w:val="Invias Normal"/>
    <w:basedOn w:val="Normal"/>
    <w:link w:val="InviasNormalCar"/>
    <w:qFormat/>
    <w:rsid w:val="00B56368"/>
    <w:pPr>
      <w:tabs>
        <w:tab w:val="left" w:pos="-142"/>
      </w:tabs>
      <w:autoSpaceDE w:val="0"/>
      <w:autoSpaceDN w:val="0"/>
      <w:adjustRightInd w:val="0"/>
      <w:spacing w:before="120" w:after="240"/>
      <w:jc w:val="both"/>
    </w:pPr>
    <w:rPr>
      <w:rFonts w:ascii="Arial Narrow" w:eastAsia="Times New Roman" w:hAnsi="Arial Narrow" w:cs="Times New Roman"/>
      <w:color w:val="3B3838" w:themeColor="background2" w:themeShade="40"/>
      <w:szCs w:val="24"/>
      <w:lang w:val="x-none" w:eastAsia="es-ES"/>
    </w:rPr>
  </w:style>
  <w:style w:type="character" w:customStyle="1" w:styleId="InviasNormalCar">
    <w:name w:val="Invias Normal Car"/>
    <w:link w:val="InviasNormal"/>
    <w:locked/>
    <w:rsid w:val="00B56368"/>
    <w:rPr>
      <w:rFonts w:ascii="Arial Narrow" w:eastAsia="Times New Roman" w:hAnsi="Arial Narrow" w:cs="Times New Roman"/>
      <w:color w:val="3B3838" w:themeColor="background2" w:themeShade="40"/>
      <w:sz w:val="24"/>
      <w:szCs w:val="24"/>
      <w:lang w:val="x-none" w:eastAsia="es-ES"/>
    </w:rPr>
  </w:style>
  <w:style w:type="paragraph" w:customStyle="1" w:styleId="Appelnotedebasde">
    <w:name w:val="Appel note de bas de..."/>
    <w:basedOn w:val="Normal"/>
    <w:link w:val="Refdenotaalpie"/>
    <w:uiPriority w:val="99"/>
    <w:rsid w:val="00B56368"/>
    <w:pPr>
      <w:spacing w:after="160" w:line="240" w:lineRule="exact"/>
    </w:pPr>
    <w:rPr>
      <w:sz w:val="22"/>
      <w:vertAlign w:val="superscript"/>
      <w:lang w:val="es-CO"/>
    </w:rPr>
  </w:style>
  <w:style w:type="character" w:customStyle="1" w:styleId="NormalWebCar">
    <w:name w:val="Normal (Web) Car"/>
    <w:link w:val="NormalWeb"/>
    <w:uiPriority w:val="99"/>
    <w:locked/>
    <w:rsid w:val="00B56368"/>
    <w:rPr>
      <w:rFonts w:ascii="Times New Roman" w:eastAsia="Times New Roman" w:hAnsi="Times New Roman" w:cs="Times New Roman"/>
      <w:sz w:val="24"/>
      <w:szCs w:val="24"/>
      <w:lang w:eastAsia="es-CO"/>
    </w:rPr>
  </w:style>
  <w:style w:type="paragraph" w:customStyle="1" w:styleId="Normal11pt">
    <w:name w:val="Normal + 11 pt"/>
    <w:aliases w:val="Negro,Justificado,Izquierda:  -0,95 cm,Derecha:  0,04 cm"/>
    <w:basedOn w:val="Normal"/>
    <w:uiPriority w:val="99"/>
    <w:rsid w:val="00B56368"/>
    <w:pPr>
      <w:ind w:left="-540"/>
      <w:jc w:val="both"/>
    </w:pPr>
    <w:rPr>
      <w:rFonts w:ascii="Arial" w:eastAsia="Times New Roman" w:hAnsi="Arial" w:cs="Arial"/>
      <w:color w:val="000000"/>
      <w:sz w:val="22"/>
      <w:lang w:val="es-ES_tradnl" w:eastAsia="es-ES"/>
    </w:rPr>
  </w:style>
  <w:style w:type="character" w:customStyle="1" w:styleId="normaltextrun">
    <w:name w:val="normaltextrun"/>
    <w:basedOn w:val="Fuentedeprrafopredeter"/>
    <w:rsid w:val="00B56368"/>
  </w:style>
  <w:style w:type="paragraph" w:customStyle="1" w:styleId="paragraph">
    <w:name w:val="paragraph"/>
    <w:basedOn w:val="Normal"/>
    <w:rsid w:val="00B56368"/>
    <w:pPr>
      <w:spacing w:before="100" w:beforeAutospacing="1" w:after="100" w:afterAutospacing="1"/>
    </w:pPr>
    <w:rPr>
      <w:rFonts w:ascii="Times New Roman" w:eastAsia="Times New Roman" w:hAnsi="Times New Roman" w:cs="Times New Roman"/>
      <w:szCs w:val="24"/>
      <w:lang w:val="es-CO" w:eastAsia="es-CO"/>
    </w:rPr>
  </w:style>
  <w:style w:type="character" w:styleId="Refdecomentario">
    <w:name w:val="annotation reference"/>
    <w:basedOn w:val="Fuentedeprrafopredeter"/>
    <w:uiPriority w:val="99"/>
    <w:semiHidden/>
    <w:unhideWhenUsed/>
    <w:rsid w:val="00497C4D"/>
    <w:rPr>
      <w:sz w:val="16"/>
      <w:szCs w:val="16"/>
    </w:rPr>
  </w:style>
  <w:style w:type="paragraph" w:styleId="Textocomentario">
    <w:name w:val="annotation text"/>
    <w:basedOn w:val="Normal"/>
    <w:link w:val="TextocomentarioCar"/>
    <w:uiPriority w:val="99"/>
    <w:unhideWhenUsed/>
    <w:rsid w:val="00497C4D"/>
    <w:rPr>
      <w:sz w:val="20"/>
      <w:szCs w:val="20"/>
    </w:rPr>
  </w:style>
  <w:style w:type="character" w:customStyle="1" w:styleId="TextocomentarioCar">
    <w:name w:val="Texto comentario Car"/>
    <w:basedOn w:val="Fuentedeprrafopredeter"/>
    <w:link w:val="Textocomentario"/>
    <w:uiPriority w:val="99"/>
    <w:rsid w:val="00497C4D"/>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497C4D"/>
    <w:rPr>
      <w:b/>
      <w:bCs/>
    </w:rPr>
  </w:style>
  <w:style w:type="character" w:customStyle="1" w:styleId="AsuntodelcomentarioCar">
    <w:name w:val="Asunto del comentario Car"/>
    <w:basedOn w:val="TextocomentarioCar"/>
    <w:link w:val="Asuntodelcomentario"/>
    <w:uiPriority w:val="99"/>
    <w:semiHidden/>
    <w:rsid w:val="00497C4D"/>
    <w:rPr>
      <w:b/>
      <w:bCs/>
      <w:sz w:val="20"/>
      <w:szCs w:val="20"/>
      <w:lang w:val="es-MX"/>
    </w:rPr>
  </w:style>
  <w:style w:type="character" w:customStyle="1" w:styleId="Ttulo2Car">
    <w:name w:val="Título 2 Car"/>
    <w:basedOn w:val="Fuentedeprrafopredeter"/>
    <w:link w:val="Ttulo2"/>
    <w:uiPriority w:val="9"/>
    <w:semiHidden/>
    <w:rsid w:val="00402957"/>
    <w:rPr>
      <w:rFonts w:asciiTheme="majorHAnsi" w:eastAsiaTheme="majorEastAsia" w:hAnsiTheme="majorHAnsi" w:cstheme="majorBidi"/>
      <w:color w:val="2F5496" w:themeColor="accent1" w:themeShade="BF"/>
      <w:sz w:val="26"/>
      <w:szCs w:val="26"/>
      <w:lang w:val="es-MX"/>
    </w:rPr>
  </w:style>
  <w:style w:type="paragraph" w:styleId="Revisin">
    <w:name w:val="Revision"/>
    <w:hidden/>
    <w:uiPriority w:val="99"/>
    <w:semiHidden/>
    <w:rsid w:val="002C1D19"/>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www.banrep.gov.co/es/estadisticas/trm" TargetMode="External"/><Relationship Id="rId1" Type="http://schemas.openxmlformats.org/officeDocument/2006/relationships/hyperlink" Target="https://www.superfinanciera.gov.co/publicacion/6081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A55AD1-E988-4AEA-B720-F3C306BEB1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306240-45E8-49C7-BA56-5B7F63B922C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43E1DDA5-55BB-4695-B5AD-D39CA79A2EB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3827</Words>
  <Characters>21052</Characters>
  <Application>Microsoft Office Word</Application>
  <DocSecurity>0</DocSecurity>
  <Lines>175</Lines>
  <Paragraphs>49</Paragraphs>
  <ScaleCrop>false</ScaleCrop>
  <Company/>
  <LinksUpToDate>false</LinksUpToDate>
  <CharactersWithSpaces>24830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Arlid Herrera Santa</dc:creator>
  <cp:keywords/>
  <dc:description/>
  <cp:lastModifiedBy>MARIA CLAUDIA DE LA OSSA BOBADILLA</cp:lastModifiedBy>
  <cp:revision>2</cp:revision>
  <dcterms:created xsi:type="dcterms:W3CDTF">2022-06-22T14:05:00Z</dcterms:created>
  <dcterms:modified xsi:type="dcterms:W3CDTF">2022-06-22T14:05:00Z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