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7BA26" w14:textId="07F56817" w:rsidR="00BE1E33" w:rsidRPr="00F70D0C" w:rsidRDefault="00BE1E33" w:rsidP="00A32FFB">
      <w:pPr>
        <w:spacing w:line="276" w:lineRule="auto"/>
        <w:jc w:val="right"/>
        <w:rPr>
          <w:rFonts w:ascii="Arial" w:hAnsi="Arial" w:cs="Arial"/>
          <w:bCs/>
          <w:sz w:val="16"/>
          <w:szCs w:val="16"/>
          <w:lang w:val="es-ES_tradnl" w:eastAsia="es-ES"/>
        </w:rPr>
      </w:pPr>
      <w:bookmarkStart w:id="0" w:name="_Hlk28946138"/>
      <w:bookmarkStart w:id="1" w:name="_Hlk29548183"/>
      <w:r w:rsidRPr="00F70D0C">
        <w:rPr>
          <w:rFonts w:ascii="Arial" w:hAnsi="Arial" w:cs="Arial"/>
          <w:bCs/>
          <w:sz w:val="16"/>
          <w:szCs w:val="16"/>
          <w:lang w:val="es-ES_tradnl" w:eastAsia="es-ES"/>
        </w:rPr>
        <w:t>CCE-DES-FM-17</w:t>
      </w:r>
    </w:p>
    <w:p w14:paraId="3A8125AB" w14:textId="77777777" w:rsidR="00B74D24" w:rsidRPr="002426A9" w:rsidRDefault="00B74D24" w:rsidP="00A32FFB">
      <w:pPr>
        <w:spacing w:line="276" w:lineRule="auto"/>
        <w:jc w:val="both"/>
        <w:rPr>
          <w:rFonts w:ascii="Arial" w:eastAsia="Calibri" w:hAnsi="Arial" w:cs="Arial"/>
          <w:b/>
          <w:sz w:val="22"/>
          <w:highlight w:val="yellow"/>
          <w:lang w:val="es-ES_tradnl"/>
        </w:rPr>
      </w:pPr>
    </w:p>
    <w:p w14:paraId="3021FB48" w14:textId="291D1C03" w:rsidR="00B74D24" w:rsidRPr="00D40A8F" w:rsidRDefault="003C0FBB" w:rsidP="00B74D24">
      <w:pPr>
        <w:jc w:val="both"/>
        <w:rPr>
          <w:rFonts w:ascii="Arial" w:eastAsia="Calibri" w:hAnsi="Arial" w:cs="Arial"/>
          <w:b/>
          <w:sz w:val="22"/>
          <w:lang w:val="es-ES_tradnl"/>
        </w:rPr>
      </w:pPr>
      <w:r w:rsidRPr="00D40A8F">
        <w:rPr>
          <w:rFonts w:ascii="Arial" w:eastAsia="Calibri" w:hAnsi="Arial" w:cs="Arial"/>
          <w:b/>
          <w:sz w:val="22"/>
          <w:lang w:val="es-ES_tradnl"/>
        </w:rPr>
        <w:t xml:space="preserve">DOCUMENTOS TIPO </w:t>
      </w:r>
      <w:r w:rsidR="00CE0973" w:rsidRPr="00D40A8F">
        <w:rPr>
          <w:rFonts w:ascii="Arial" w:eastAsia="Calibri" w:hAnsi="Arial" w:cs="Arial"/>
          <w:b/>
          <w:sz w:val="22"/>
          <w:lang w:val="es-ES_tradnl"/>
        </w:rPr>
        <w:t>–</w:t>
      </w:r>
      <w:r w:rsidRPr="00D40A8F">
        <w:rPr>
          <w:rFonts w:ascii="Arial" w:eastAsia="Calibri" w:hAnsi="Arial" w:cs="Arial"/>
          <w:b/>
          <w:sz w:val="22"/>
          <w:lang w:val="es-ES_tradnl"/>
        </w:rPr>
        <w:t xml:space="preserve"> </w:t>
      </w:r>
      <w:r w:rsidR="00482262" w:rsidRPr="00D40A8F">
        <w:rPr>
          <w:rFonts w:ascii="Arial" w:eastAsia="Calibri" w:hAnsi="Arial" w:cs="Arial"/>
          <w:b/>
          <w:sz w:val="22"/>
          <w:lang w:val="es-ES_tradnl"/>
        </w:rPr>
        <w:t>Obligatoriedad</w:t>
      </w:r>
      <w:r w:rsidRPr="00D40A8F">
        <w:rPr>
          <w:rFonts w:ascii="Arial" w:eastAsia="Calibri" w:hAnsi="Arial" w:cs="Arial"/>
          <w:b/>
          <w:sz w:val="22"/>
          <w:lang w:val="es-ES_tradnl"/>
        </w:rPr>
        <w:t xml:space="preserve"> </w:t>
      </w:r>
      <w:r w:rsidR="00CE0973" w:rsidRPr="00D40A8F">
        <w:rPr>
          <w:rFonts w:ascii="Arial" w:eastAsia="Calibri" w:hAnsi="Arial" w:cs="Arial"/>
          <w:b/>
          <w:sz w:val="22"/>
          <w:lang w:val="es-ES_tradnl"/>
        </w:rPr>
        <w:t>–</w:t>
      </w:r>
      <w:r w:rsidRPr="00D40A8F">
        <w:rPr>
          <w:rFonts w:ascii="Arial" w:eastAsia="Calibri" w:hAnsi="Arial" w:cs="Arial"/>
          <w:b/>
          <w:sz w:val="22"/>
          <w:lang w:val="es-ES_tradnl"/>
        </w:rPr>
        <w:t xml:space="preserve"> Inalterabilidad</w:t>
      </w:r>
    </w:p>
    <w:p w14:paraId="22B1C0B7" w14:textId="77777777" w:rsidR="00B74D24" w:rsidRPr="00D40A8F" w:rsidRDefault="00B74D24" w:rsidP="00B74D24">
      <w:pPr>
        <w:jc w:val="both"/>
        <w:rPr>
          <w:rFonts w:ascii="Arial" w:eastAsia="Calibri" w:hAnsi="Arial" w:cs="Arial"/>
          <w:sz w:val="20"/>
          <w:szCs w:val="20"/>
          <w:lang w:val="es-ES_tradnl"/>
        </w:rPr>
      </w:pPr>
    </w:p>
    <w:p w14:paraId="285D8CC5" w14:textId="66CDCD4F" w:rsidR="00B74D24" w:rsidRPr="00D40A8F" w:rsidRDefault="00F33F7F" w:rsidP="00F33F7F">
      <w:pPr>
        <w:jc w:val="both"/>
        <w:rPr>
          <w:rFonts w:ascii="Arial" w:eastAsia="Calibri" w:hAnsi="Arial" w:cs="Arial"/>
          <w:sz w:val="20"/>
          <w:szCs w:val="20"/>
          <w:lang w:val="es-ES_tradnl"/>
        </w:rPr>
      </w:pPr>
      <w:r w:rsidRPr="00D40A8F">
        <w:rPr>
          <w:rFonts w:ascii="Arial" w:eastAsia="Calibri" w:hAnsi="Arial" w:cs="Arial"/>
          <w:sz w:val="20"/>
          <w:szCs w:val="20"/>
          <w:lang w:val="es-ES_tradnl"/>
        </w:rPr>
        <w:t>Además, la Ley 2022 de 2020 señala que los documentos tipo adoptados por la Agencia Nacional de Contratación Pública son de obligatorio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puesto que los documentos tipo también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w:t>
      </w:r>
    </w:p>
    <w:p w14:paraId="004A38D4" w14:textId="77777777" w:rsidR="00F33F7F" w:rsidRPr="002426A9" w:rsidRDefault="00F33F7F" w:rsidP="00F33F7F">
      <w:pPr>
        <w:jc w:val="both"/>
        <w:rPr>
          <w:rFonts w:ascii="Arial" w:eastAsia="Calibri" w:hAnsi="Arial" w:cs="Arial"/>
          <w:sz w:val="20"/>
          <w:szCs w:val="20"/>
          <w:highlight w:val="yellow"/>
        </w:rPr>
      </w:pPr>
    </w:p>
    <w:p w14:paraId="1F725DD0" w14:textId="47FF46E6" w:rsidR="00494769" w:rsidRPr="00304DFD" w:rsidRDefault="008C04DA" w:rsidP="00155CF7">
      <w:pPr>
        <w:jc w:val="both"/>
        <w:rPr>
          <w:rFonts w:ascii="Arial" w:eastAsia="Calibri" w:hAnsi="Arial" w:cs="Arial"/>
          <w:b/>
          <w:bCs/>
          <w:sz w:val="22"/>
          <w:lang w:val="es-ES_tradnl"/>
        </w:rPr>
      </w:pPr>
      <w:r w:rsidRPr="00304DFD">
        <w:rPr>
          <w:rFonts w:ascii="Arial" w:eastAsia="Calibri" w:hAnsi="Arial" w:cs="Arial"/>
          <w:b/>
          <w:bCs/>
          <w:sz w:val="22"/>
          <w:lang w:val="es-ES_tradnl"/>
        </w:rPr>
        <w:t>DOCUMENTOS TIPO – Infraestructura social – Sector educativo</w:t>
      </w:r>
    </w:p>
    <w:p w14:paraId="274FB235" w14:textId="77777777" w:rsidR="00304DFD" w:rsidRPr="00304DFD" w:rsidRDefault="00304DFD" w:rsidP="00155CF7">
      <w:pPr>
        <w:jc w:val="both"/>
        <w:rPr>
          <w:rFonts w:ascii="Arial" w:eastAsia="Calibri" w:hAnsi="Arial" w:cs="Arial"/>
          <w:b/>
          <w:sz w:val="22"/>
          <w:lang w:val="es-ES_tradnl"/>
        </w:rPr>
      </w:pPr>
    </w:p>
    <w:p w14:paraId="0EA0C3A2" w14:textId="0B4EC67A" w:rsidR="00304DFD" w:rsidRPr="00304DFD" w:rsidRDefault="00304DFD" w:rsidP="00304DFD">
      <w:pPr>
        <w:jc w:val="both"/>
        <w:rPr>
          <w:rFonts w:ascii="Arial" w:eastAsia="Calibri" w:hAnsi="Arial" w:cs="Arial"/>
          <w:bCs/>
          <w:sz w:val="20"/>
          <w:szCs w:val="20"/>
          <w:lang w:val="es-ES"/>
        </w:rPr>
      </w:pPr>
      <w:r w:rsidRPr="00304DFD">
        <w:rPr>
          <w:rFonts w:ascii="Arial" w:eastAsia="Calibri" w:hAnsi="Arial" w:cs="Arial"/>
          <w:bCs/>
          <w:sz w:val="20"/>
          <w:szCs w:val="20"/>
          <w:lang w:val="es-ES"/>
        </w:rPr>
        <w:t xml:space="preserve">[…] en materia de infraestructura social se debe tener en cuenta que existen dos clases de documentos tipo que se integran en cada proceso:  i) los documentos </w:t>
      </w:r>
      <w:r w:rsidRPr="00304DFD">
        <w:rPr>
          <w:rFonts w:ascii="Arial" w:eastAsia="Calibri" w:hAnsi="Arial" w:cs="Arial"/>
          <w:bCs/>
          <w:i/>
          <w:sz w:val="20"/>
          <w:szCs w:val="20"/>
          <w:lang w:val="es-ES"/>
        </w:rPr>
        <w:t>transversales</w:t>
      </w:r>
      <w:r w:rsidRPr="00304DFD">
        <w:rPr>
          <w:rFonts w:ascii="Arial" w:eastAsia="Calibri" w:hAnsi="Arial" w:cs="Arial"/>
          <w:bCs/>
          <w:sz w:val="20"/>
          <w:szCs w:val="20"/>
          <w:lang w:val="es-ES"/>
        </w:rPr>
        <w:t xml:space="preserve"> a todos los sectores de infraestructura social, es decir, el documento base, los anexos, los formatos, los formularios y las matrices adoptados mediante la Resolución No. 219 de 2021; y ii) los documentos tipo </w:t>
      </w:r>
      <w:r w:rsidRPr="00304DFD">
        <w:rPr>
          <w:rFonts w:ascii="Arial" w:eastAsia="Calibri" w:hAnsi="Arial" w:cs="Arial"/>
          <w:bCs/>
          <w:i/>
          <w:sz w:val="20"/>
          <w:szCs w:val="20"/>
          <w:lang w:val="es-ES"/>
        </w:rPr>
        <w:t>complementarios</w:t>
      </w:r>
      <w:r w:rsidRPr="00304DFD">
        <w:rPr>
          <w:rFonts w:ascii="Arial" w:eastAsia="Calibri" w:hAnsi="Arial" w:cs="Arial"/>
          <w:bCs/>
          <w:iCs/>
          <w:sz w:val="20"/>
          <w:szCs w:val="20"/>
          <w:lang w:val="es-ES"/>
        </w:rPr>
        <w:t>,</w:t>
      </w:r>
      <w:r w:rsidRPr="00304DFD">
        <w:rPr>
          <w:rFonts w:ascii="Arial" w:eastAsia="Calibri" w:hAnsi="Arial" w:cs="Arial"/>
          <w:bCs/>
          <w:i/>
          <w:sz w:val="20"/>
          <w:szCs w:val="20"/>
          <w:lang w:val="es-ES"/>
        </w:rPr>
        <w:t xml:space="preserve"> </w:t>
      </w:r>
      <w:r w:rsidRPr="00304DFD">
        <w:rPr>
          <w:rFonts w:ascii="Arial" w:eastAsia="Calibri" w:hAnsi="Arial" w:cs="Arial"/>
          <w:bCs/>
          <w:sz w:val="20"/>
          <w:szCs w:val="20"/>
          <w:lang w:val="es-ES"/>
        </w:rPr>
        <w:t>referentes a la matriz de experiencia y el glosario, los cuales han sido adoptados en la resolución para cada sector específico.</w:t>
      </w:r>
    </w:p>
    <w:p w14:paraId="7578E3D8" w14:textId="16F8CCC4" w:rsidR="00B74D24" w:rsidRPr="00304DFD" w:rsidRDefault="00B74D24" w:rsidP="00B74D24">
      <w:pPr>
        <w:jc w:val="both"/>
        <w:rPr>
          <w:rFonts w:ascii="Arial" w:eastAsia="Calibri" w:hAnsi="Arial" w:cs="Arial"/>
          <w:bCs/>
          <w:sz w:val="20"/>
          <w:szCs w:val="20"/>
        </w:rPr>
      </w:pPr>
    </w:p>
    <w:p w14:paraId="15433157" w14:textId="48B0E51B" w:rsidR="00F33F7F" w:rsidRPr="00304DFD" w:rsidRDefault="00595686" w:rsidP="00155CF7">
      <w:pPr>
        <w:jc w:val="both"/>
        <w:rPr>
          <w:rFonts w:ascii="Arial" w:eastAsia="Calibri" w:hAnsi="Arial" w:cs="Arial"/>
          <w:sz w:val="20"/>
          <w:szCs w:val="20"/>
          <w:lang w:val="es-ES"/>
        </w:rPr>
      </w:pPr>
      <w:r w:rsidRPr="00304DFD">
        <w:rPr>
          <w:rFonts w:ascii="Arial" w:eastAsia="Calibri" w:hAnsi="Arial" w:cs="Arial"/>
          <w:bCs/>
          <w:sz w:val="20"/>
          <w:szCs w:val="20"/>
          <w:lang w:val="es-ES"/>
        </w:rPr>
        <w:t xml:space="preserve">[…] el pasado 6 de agosto, se adoptaron los documentos tipo complementarios para los procesos de licitación de obra pública de infraestructura social relacionados con el </w:t>
      </w:r>
      <w:r w:rsidRPr="00304DFD">
        <w:rPr>
          <w:rFonts w:ascii="Arial" w:eastAsia="Calibri" w:hAnsi="Arial" w:cs="Arial"/>
          <w:bCs/>
          <w:i/>
          <w:iCs/>
          <w:sz w:val="20"/>
          <w:szCs w:val="20"/>
          <w:lang w:val="es-ES"/>
        </w:rPr>
        <w:t>sector educ</w:t>
      </w:r>
      <w:r w:rsidRPr="00304DFD">
        <w:rPr>
          <w:rFonts w:ascii="Arial" w:eastAsia="Calibri" w:hAnsi="Arial" w:cs="Arial"/>
          <w:bCs/>
          <w:i/>
          <w:sz w:val="20"/>
          <w:szCs w:val="20"/>
          <w:lang w:val="es-ES"/>
        </w:rPr>
        <w:t xml:space="preserve">ativo, </w:t>
      </w:r>
      <w:r w:rsidRPr="00304DFD">
        <w:rPr>
          <w:rFonts w:ascii="Arial" w:eastAsia="Calibri" w:hAnsi="Arial" w:cs="Arial"/>
          <w:bCs/>
          <w:sz w:val="20"/>
          <w:szCs w:val="20"/>
          <w:lang w:val="es-ES"/>
        </w:rPr>
        <w:t xml:space="preserve">mediante la </w:t>
      </w:r>
      <w:r w:rsidRPr="00304DFD">
        <w:rPr>
          <w:rFonts w:ascii="Arial" w:eastAsia="Calibri" w:hAnsi="Arial" w:cs="Arial"/>
          <w:sz w:val="20"/>
          <w:szCs w:val="20"/>
          <w:lang w:val="es-ES"/>
        </w:rPr>
        <w:t>Resolución No. 220 de 2020. Esta Resolución, en el artículo 2, desarrolla el «Anexo -Glosario Sector Educativo» y la «Matriz -Experiencia Sector Educativo», lo que significa que estos documentos definen el alcance para ese sector específicamente.</w:t>
      </w:r>
    </w:p>
    <w:p w14:paraId="455212D4" w14:textId="77777777" w:rsidR="00595686" w:rsidRPr="002426A9" w:rsidRDefault="00595686" w:rsidP="00155CF7">
      <w:pPr>
        <w:jc w:val="both"/>
        <w:rPr>
          <w:rFonts w:ascii="Arial" w:eastAsia="Calibri" w:hAnsi="Arial" w:cs="Arial"/>
          <w:b/>
          <w:sz w:val="22"/>
          <w:highlight w:val="yellow"/>
          <w:lang w:val="es-ES_tradnl"/>
        </w:rPr>
      </w:pPr>
    </w:p>
    <w:p w14:paraId="764B5AEF" w14:textId="0B354FB6" w:rsidR="00B74D24" w:rsidRPr="00B03A2D" w:rsidRDefault="003C0FBB" w:rsidP="00155CF7">
      <w:pPr>
        <w:jc w:val="both"/>
        <w:rPr>
          <w:rFonts w:ascii="Arial" w:eastAsia="Calibri" w:hAnsi="Arial" w:cs="Arial"/>
          <w:b/>
          <w:sz w:val="22"/>
          <w:lang w:val="es-ES_tradnl"/>
        </w:rPr>
      </w:pPr>
      <w:r w:rsidRPr="00B03A2D">
        <w:rPr>
          <w:rFonts w:ascii="Arial" w:eastAsia="Calibri" w:hAnsi="Arial" w:cs="Arial"/>
          <w:b/>
          <w:sz w:val="22"/>
          <w:lang w:val="es-ES_tradnl"/>
        </w:rPr>
        <w:t xml:space="preserve">MATRIZ DE EXPERIENCIA Y GLOSARIO </w:t>
      </w:r>
      <w:r w:rsidR="00CE0973" w:rsidRPr="00B03A2D">
        <w:rPr>
          <w:rFonts w:ascii="Arial" w:eastAsia="Calibri" w:hAnsi="Arial" w:cs="Arial"/>
          <w:b/>
          <w:sz w:val="22"/>
          <w:lang w:val="es-ES_tradnl"/>
        </w:rPr>
        <w:t>–</w:t>
      </w:r>
      <w:r w:rsidRPr="00B03A2D">
        <w:rPr>
          <w:rFonts w:ascii="Arial" w:eastAsia="Calibri" w:hAnsi="Arial" w:cs="Arial"/>
          <w:b/>
          <w:sz w:val="22"/>
          <w:lang w:val="es-ES_tradnl"/>
        </w:rPr>
        <w:t xml:space="preserve"> Infraestructura social </w:t>
      </w:r>
      <w:r w:rsidR="00CE0973" w:rsidRPr="00B03A2D">
        <w:rPr>
          <w:rFonts w:ascii="Arial" w:eastAsia="Calibri" w:hAnsi="Arial" w:cs="Arial"/>
          <w:b/>
          <w:sz w:val="22"/>
          <w:lang w:val="es-ES_tradnl"/>
        </w:rPr>
        <w:t>–</w:t>
      </w:r>
      <w:r w:rsidRPr="00B03A2D">
        <w:rPr>
          <w:rFonts w:ascii="Arial" w:eastAsia="Calibri" w:hAnsi="Arial" w:cs="Arial"/>
          <w:b/>
          <w:sz w:val="22"/>
          <w:lang w:val="es-ES_tradnl"/>
        </w:rPr>
        <w:t xml:space="preserve"> Alcance</w:t>
      </w:r>
      <w:r w:rsidR="00CE0973" w:rsidRPr="00B03A2D">
        <w:rPr>
          <w:rFonts w:ascii="Arial" w:eastAsia="Calibri" w:hAnsi="Arial" w:cs="Arial"/>
          <w:b/>
          <w:sz w:val="22"/>
          <w:lang w:val="es-ES_tradnl"/>
        </w:rPr>
        <w:t xml:space="preserve"> –</w:t>
      </w:r>
      <w:r w:rsidR="00626E99" w:rsidRPr="00B03A2D">
        <w:rPr>
          <w:rFonts w:ascii="Arial" w:eastAsia="Calibri" w:hAnsi="Arial" w:cs="Arial"/>
          <w:b/>
          <w:sz w:val="22"/>
          <w:lang w:val="es-ES_tradnl"/>
        </w:rPr>
        <w:t xml:space="preserve"> Sector educativo</w:t>
      </w:r>
    </w:p>
    <w:p w14:paraId="6F610B8A" w14:textId="77777777" w:rsidR="00B74D24" w:rsidRPr="00B03A2D" w:rsidRDefault="00B74D24" w:rsidP="00CE0973">
      <w:pPr>
        <w:jc w:val="both"/>
        <w:rPr>
          <w:rFonts w:ascii="Arial" w:eastAsia="Calibri" w:hAnsi="Arial" w:cs="Arial"/>
          <w:sz w:val="20"/>
          <w:szCs w:val="20"/>
          <w:lang w:val="es-ES_tradnl"/>
        </w:rPr>
      </w:pPr>
    </w:p>
    <w:p w14:paraId="6BE3CCCC" w14:textId="77777777" w:rsidR="00915D6E" w:rsidRPr="00915D6E" w:rsidRDefault="00915D6E" w:rsidP="00E43682">
      <w:pPr>
        <w:jc w:val="both"/>
        <w:rPr>
          <w:rFonts w:ascii="Arial" w:eastAsia="Calibri" w:hAnsi="Arial" w:cs="Arial"/>
          <w:sz w:val="20"/>
          <w:szCs w:val="20"/>
          <w:lang w:val="es-ES_tradnl"/>
        </w:rPr>
      </w:pPr>
      <w:r w:rsidRPr="00915D6E">
        <w:rPr>
          <w:rFonts w:ascii="Arial" w:eastAsia="Calibri" w:hAnsi="Arial" w:cs="Arial"/>
          <w:sz w:val="20"/>
          <w:szCs w:val="20"/>
        </w:rPr>
        <w:t xml:space="preserve">Tratándose del sector educativo, la matriz de experiencia de los documentos tipo complementarios que se adoptaron con la </w:t>
      </w:r>
      <w:r w:rsidRPr="00915D6E">
        <w:rPr>
          <w:rFonts w:ascii="Arial" w:eastAsia="Calibri" w:hAnsi="Arial" w:cs="Arial"/>
          <w:sz w:val="20"/>
          <w:szCs w:val="20"/>
          <w:lang w:val="es-ES"/>
        </w:rPr>
        <w:t>Resolución 220 del 6 de agosto de 2021</w:t>
      </w:r>
      <w:r w:rsidRPr="00915D6E">
        <w:rPr>
          <w:rFonts w:ascii="Arial" w:eastAsia="Calibri" w:hAnsi="Arial" w:cs="Arial"/>
          <w:sz w:val="20"/>
          <w:szCs w:val="20"/>
        </w:rPr>
        <w:t xml:space="preserve"> aplica a cuatro (4) tipos de obras: </w:t>
      </w:r>
      <w:r w:rsidRPr="00915D6E">
        <w:rPr>
          <w:rFonts w:ascii="Arial" w:eastAsia="Calibri" w:hAnsi="Arial" w:cs="Arial"/>
          <w:i/>
          <w:iCs/>
          <w:sz w:val="20"/>
          <w:szCs w:val="20"/>
        </w:rPr>
        <w:t>i)</w:t>
      </w:r>
      <w:r w:rsidRPr="00915D6E">
        <w:rPr>
          <w:rFonts w:ascii="Arial" w:eastAsia="Calibri" w:hAnsi="Arial" w:cs="Arial"/>
          <w:sz w:val="20"/>
          <w:szCs w:val="20"/>
        </w:rPr>
        <w:t xml:space="preserve"> obras en infraestructura vertical en instituciones educativas, </w:t>
      </w:r>
      <w:r w:rsidRPr="00915D6E">
        <w:rPr>
          <w:rFonts w:ascii="Arial" w:eastAsia="Calibri" w:hAnsi="Arial" w:cs="Arial"/>
          <w:i/>
          <w:iCs/>
          <w:sz w:val="20"/>
          <w:szCs w:val="20"/>
        </w:rPr>
        <w:t>ii)</w:t>
      </w:r>
      <w:r w:rsidRPr="00915D6E">
        <w:rPr>
          <w:rFonts w:ascii="Arial" w:eastAsia="Calibri" w:hAnsi="Arial" w:cs="Arial"/>
          <w:sz w:val="20"/>
          <w:szCs w:val="20"/>
        </w:rPr>
        <w:t xml:space="preserve"> obras en infraestructura </w:t>
      </w:r>
      <w:proofErr w:type="spellStart"/>
      <w:r w:rsidRPr="00915D6E">
        <w:rPr>
          <w:rFonts w:ascii="Arial" w:eastAsia="Calibri" w:hAnsi="Arial" w:cs="Arial"/>
          <w:sz w:val="20"/>
          <w:szCs w:val="20"/>
        </w:rPr>
        <w:t>recreodeportiva</w:t>
      </w:r>
      <w:proofErr w:type="spellEnd"/>
      <w:r w:rsidRPr="00915D6E">
        <w:rPr>
          <w:rFonts w:ascii="Arial" w:eastAsia="Calibri" w:hAnsi="Arial" w:cs="Arial"/>
          <w:sz w:val="20"/>
          <w:szCs w:val="20"/>
        </w:rPr>
        <w:t xml:space="preserve"> y cultural en instituciones educativas, </w:t>
      </w:r>
      <w:proofErr w:type="spellStart"/>
      <w:r w:rsidRPr="00915D6E">
        <w:rPr>
          <w:rFonts w:ascii="Arial" w:eastAsia="Calibri" w:hAnsi="Arial" w:cs="Arial"/>
          <w:i/>
          <w:iCs/>
          <w:sz w:val="20"/>
          <w:szCs w:val="20"/>
        </w:rPr>
        <w:t>iii</w:t>
      </w:r>
      <w:proofErr w:type="spellEnd"/>
      <w:r w:rsidRPr="00915D6E">
        <w:rPr>
          <w:rFonts w:ascii="Arial" w:eastAsia="Calibri" w:hAnsi="Arial" w:cs="Arial"/>
          <w:i/>
          <w:iCs/>
          <w:sz w:val="20"/>
          <w:szCs w:val="20"/>
        </w:rPr>
        <w:t>)</w:t>
      </w:r>
      <w:r w:rsidRPr="00915D6E">
        <w:rPr>
          <w:rFonts w:ascii="Arial" w:eastAsia="Calibri" w:hAnsi="Arial" w:cs="Arial"/>
          <w:sz w:val="20"/>
          <w:szCs w:val="20"/>
        </w:rPr>
        <w:t xml:space="preserve"> obras en vías de acceso y/o parqueaderos y/o zonas de circulación –vehicular y/o peatonal– en instituciones educativas y </w:t>
      </w:r>
      <w:proofErr w:type="spellStart"/>
      <w:r w:rsidRPr="00915D6E">
        <w:rPr>
          <w:rFonts w:ascii="Arial" w:eastAsia="Calibri" w:hAnsi="Arial" w:cs="Arial"/>
          <w:i/>
          <w:iCs/>
          <w:sz w:val="20"/>
          <w:szCs w:val="20"/>
        </w:rPr>
        <w:t>iv</w:t>
      </w:r>
      <w:proofErr w:type="spellEnd"/>
      <w:r w:rsidRPr="00915D6E">
        <w:rPr>
          <w:rFonts w:ascii="Arial" w:eastAsia="Calibri" w:hAnsi="Arial" w:cs="Arial"/>
          <w:i/>
          <w:iCs/>
          <w:sz w:val="20"/>
          <w:szCs w:val="20"/>
        </w:rPr>
        <w:t>)</w:t>
      </w:r>
      <w:r w:rsidRPr="00915D6E">
        <w:rPr>
          <w:rFonts w:ascii="Arial" w:eastAsia="Calibri" w:hAnsi="Arial" w:cs="Arial"/>
          <w:sz w:val="20"/>
          <w:szCs w:val="20"/>
        </w:rPr>
        <w:t xml:space="preserve"> obras en bibliotecas públicas. </w:t>
      </w:r>
      <w:r w:rsidRPr="00915D6E">
        <w:rPr>
          <w:rFonts w:ascii="Arial" w:eastAsia="Calibri" w:hAnsi="Arial" w:cs="Arial"/>
          <w:sz w:val="20"/>
          <w:szCs w:val="20"/>
          <w:lang w:val="es-ES_tradnl"/>
        </w:rPr>
        <w:t xml:space="preserve">Por tanto, siempre que el objeto esté relacionado con alguna de las actividades, los documentos tipo adoptados mediante las </w:t>
      </w:r>
      <w:r w:rsidRPr="00915D6E">
        <w:rPr>
          <w:rFonts w:ascii="Arial" w:eastAsia="Calibri" w:hAnsi="Arial" w:cs="Arial"/>
          <w:sz w:val="20"/>
          <w:szCs w:val="20"/>
          <w:lang w:val="es-ES"/>
        </w:rPr>
        <w:t>Resoluciones 219 y 220 del 6 de agosto de 2021</w:t>
      </w:r>
      <w:r w:rsidRPr="00915D6E">
        <w:rPr>
          <w:rFonts w:ascii="Arial" w:eastAsia="Calibri" w:hAnsi="Arial" w:cs="Arial"/>
          <w:sz w:val="20"/>
          <w:szCs w:val="20"/>
          <w:lang w:val="es-ES_tradnl"/>
        </w:rPr>
        <w:t xml:space="preserve"> </w:t>
      </w:r>
      <w:r w:rsidRPr="00915D6E">
        <w:rPr>
          <w:rFonts w:ascii="Arial" w:eastAsia="Calibri" w:hAnsi="Arial" w:cs="Arial"/>
          <w:sz w:val="20"/>
          <w:szCs w:val="20"/>
        </w:rPr>
        <w:t>son</w:t>
      </w:r>
      <w:r w:rsidRPr="00915D6E">
        <w:rPr>
          <w:rFonts w:ascii="Arial" w:eastAsia="Calibri" w:hAnsi="Arial" w:cs="Arial"/>
          <w:sz w:val="20"/>
          <w:szCs w:val="20"/>
          <w:lang w:val="es-ES_tradnl"/>
        </w:rPr>
        <w:t xml:space="preserve"> obligatorios para las entidades sometidas a la Ley 80 de 1993 que contraten la ejecución de obras públicas de infraestructura social del sector educativo a través de licitación pública. </w:t>
      </w:r>
    </w:p>
    <w:p w14:paraId="541AB78E" w14:textId="77777777" w:rsidR="00F33F7F" w:rsidRPr="002426A9" w:rsidRDefault="00F33F7F" w:rsidP="003C0FBB">
      <w:pPr>
        <w:spacing w:line="276" w:lineRule="auto"/>
        <w:jc w:val="both"/>
        <w:rPr>
          <w:rFonts w:ascii="Arial" w:eastAsia="Calibri" w:hAnsi="Arial" w:cs="Arial"/>
          <w:bCs/>
          <w:sz w:val="20"/>
          <w:szCs w:val="20"/>
          <w:highlight w:val="yellow"/>
          <w:lang w:val="es-ES"/>
        </w:rPr>
      </w:pPr>
    </w:p>
    <w:p w14:paraId="6965E6AD" w14:textId="23E1D00F" w:rsidR="00E26AD9" w:rsidRDefault="003D3C92" w:rsidP="00CE0973">
      <w:pPr>
        <w:jc w:val="both"/>
        <w:rPr>
          <w:rFonts w:ascii="Arial" w:eastAsia="Calibri" w:hAnsi="Arial" w:cs="Arial"/>
          <w:b/>
          <w:bCs/>
          <w:sz w:val="22"/>
          <w:lang w:val="es-ES_tradnl"/>
        </w:rPr>
      </w:pPr>
      <w:r w:rsidRPr="00972236">
        <w:rPr>
          <w:rFonts w:ascii="Arial" w:eastAsia="Calibri" w:hAnsi="Arial" w:cs="Arial"/>
          <w:b/>
          <w:bCs/>
          <w:sz w:val="22"/>
          <w:lang w:val="es-ES_tradnl"/>
        </w:rPr>
        <w:t>DOCUMENTOS TIPO – Aplicación – Instituciones de educación superior – Establecimientos públicos</w:t>
      </w:r>
    </w:p>
    <w:p w14:paraId="28F78985" w14:textId="77777777" w:rsidR="00713610" w:rsidRDefault="00713610" w:rsidP="00CE0973">
      <w:pPr>
        <w:jc w:val="both"/>
        <w:rPr>
          <w:rFonts w:ascii="Arial" w:eastAsia="Calibri" w:hAnsi="Arial" w:cs="Arial"/>
          <w:b/>
          <w:bCs/>
          <w:sz w:val="22"/>
          <w:lang w:val="es-ES_tradnl"/>
        </w:rPr>
      </w:pPr>
    </w:p>
    <w:p w14:paraId="5028B644" w14:textId="77777777" w:rsidR="00713610" w:rsidRPr="00713610" w:rsidRDefault="00713610" w:rsidP="00713610">
      <w:pPr>
        <w:spacing w:after="160"/>
        <w:jc w:val="both"/>
        <w:rPr>
          <w:rFonts w:ascii="Arial" w:hAnsi="Arial" w:cs="Arial"/>
          <w:sz w:val="20"/>
          <w:szCs w:val="20"/>
        </w:rPr>
      </w:pPr>
      <w:r w:rsidRPr="00713610">
        <w:rPr>
          <w:rFonts w:ascii="Arial" w:hAnsi="Arial" w:cs="Arial"/>
          <w:sz w:val="20"/>
          <w:szCs w:val="20"/>
          <w:lang w:val="es-ES_tradnl"/>
        </w:rPr>
        <w:t xml:space="preserve">En consecuencia, la matriz se refiere a las obras en </w:t>
      </w:r>
      <w:r w:rsidRPr="00713610">
        <w:rPr>
          <w:rFonts w:ascii="Arial" w:hAnsi="Arial" w:cs="Arial"/>
          <w:i/>
          <w:iCs/>
          <w:sz w:val="20"/>
          <w:szCs w:val="20"/>
          <w:lang w:val="es-ES_tradnl"/>
        </w:rPr>
        <w:t>instituciones educativas</w:t>
      </w:r>
      <w:r w:rsidRPr="00713610">
        <w:rPr>
          <w:rFonts w:ascii="Arial" w:hAnsi="Arial" w:cs="Arial"/>
          <w:sz w:val="20"/>
          <w:szCs w:val="20"/>
          <w:lang w:val="es-ES_tradnl"/>
        </w:rPr>
        <w:t xml:space="preserve">, excluyendo las obras en </w:t>
      </w:r>
      <w:r w:rsidRPr="00713610">
        <w:rPr>
          <w:rFonts w:ascii="Arial" w:hAnsi="Arial" w:cs="Arial"/>
          <w:i/>
          <w:iCs/>
          <w:sz w:val="20"/>
          <w:szCs w:val="20"/>
          <w:lang w:val="es-ES_tradnl"/>
        </w:rPr>
        <w:t>instituciones de educación superior</w:t>
      </w:r>
      <w:r w:rsidRPr="00713610">
        <w:rPr>
          <w:rFonts w:ascii="Arial" w:hAnsi="Arial" w:cs="Arial"/>
          <w:sz w:val="20"/>
          <w:szCs w:val="20"/>
          <w:lang w:val="es-ES_tradnl"/>
        </w:rPr>
        <w:t xml:space="preserve">. </w:t>
      </w:r>
      <w:r w:rsidRPr="00713610">
        <w:rPr>
          <w:rFonts w:ascii="Arial" w:hAnsi="Arial" w:cs="Arial"/>
          <w:sz w:val="20"/>
          <w:szCs w:val="20"/>
        </w:rPr>
        <w:t xml:space="preserve">De esta manera, si bien las </w:t>
      </w:r>
      <w:r w:rsidRPr="00713610">
        <w:rPr>
          <w:rFonts w:ascii="Arial" w:hAnsi="Arial" w:cs="Arial"/>
          <w:i/>
          <w:iCs/>
          <w:sz w:val="20"/>
          <w:szCs w:val="20"/>
        </w:rPr>
        <w:t>instituciones de educación superior</w:t>
      </w:r>
      <w:r w:rsidRPr="00713610">
        <w:rPr>
          <w:rFonts w:ascii="Arial" w:hAnsi="Arial" w:cs="Arial"/>
          <w:sz w:val="20"/>
          <w:szCs w:val="20"/>
        </w:rPr>
        <w:t xml:space="preserve"> hacen parte del sector educativo, la matriz de experiencia no aplicaría en las actividades </w:t>
      </w:r>
      <w:r w:rsidRPr="00713610">
        <w:rPr>
          <w:rFonts w:ascii="Arial" w:hAnsi="Arial" w:cs="Arial"/>
          <w:sz w:val="20"/>
          <w:szCs w:val="20"/>
        </w:rPr>
        <w:lastRenderedPageBreak/>
        <w:t xml:space="preserve">relacionadas con </w:t>
      </w:r>
      <w:r w:rsidRPr="00713610">
        <w:rPr>
          <w:rFonts w:ascii="Arial" w:hAnsi="Arial" w:cs="Arial"/>
          <w:i/>
          <w:iCs/>
          <w:sz w:val="20"/>
          <w:szCs w:val="20"/>
        </w:rPr>
        <w:t>i)</w:t>
      </w:r>
      <w:r w:rsidRPr="00713610">
        <w:rPr>
          <w:rFonts w:ascii="Arial" w:hAnsi="Arial" w:cs="Arial"/>
          <w:sz w:val="20"/>
          <w:szCs w:val="20"/>
        </w:rPr>
        <w:t xml:space="preserve"> obras en infraestructura vertical en instituciones educativas, </w:t>
      </w:r>
      <w:r w:rsidRPr="00713610">
        <w:rPr>
          <w:rFonts w:ascii="Arial" w:hAnsi="Arial" w:cs="Arial"/>
          <w:i/>
          <w:iCs/>
          <w:sz w:val="20"/>
          <w:szCs w:val="20"/>
        </w:rPr>
        <w:t>ii)</w:t>
      </w:r>
      <w:r w:rsidRPr="00713610">
        <w:rPr>
          <w:rFonts w:ascii="Arial" w:hAnsi="Arial" w:cs="Arial"/>
          <w:sz w:val="20"/>
          <w:szCs w:val="20"/>
        </w:rPr>
        <w:t xml:space="preserve"> obras en infraestructura </w:t>
      </w:r>
      <w:proofErr w:type="spellStart"/>
      <w:r w:rsidRPr="00713610">
        <w:rPr>
          <w:rFonts w:ascii="Arial" w:hAnsi="Arial" w:cs="Arial"/>
          <w:sz w:val="20"/>
          <w:szCs w:val="20"/>
        </w:rPr>
        <w:t>recreodeportiva</w:t>
      </w:r>
      <w:proofErr w:type="spellEnd"/>
      <w:r w:rsidRPr="00713610">
        <w:rPr>
          <w:rFonts w:ascii="Arial" w:hAnsi="Arial" w:cs="Arial"/>
          <w:sz w:val="20"/>
          <w:szCs w:val="20"/>
        </w:rPr>
        <w:t xml:space="preserve"> y cultural en instituciones educativas y, </w:t>
      </w:r>
      <w:proofErr w:type="spellStart"/>
      <w:r w:rsidRPr="00713610">
        <w:rPr>
          <w:rFonts w:ascii="Arial" w:hAnsi="Arial" w:cs="Arial"/>
          <w:i/>
          <w:iCs/>
          <w:sz w:val="20"/>
          <w:szCs w:val="20"/>
        </w:rPr>
        <w:t>iii</w:t>
      </w:r>
      <w:proofErr w:type="spellEnd"/>
      <w:r w:rsidRPr="00713610">
        <w:rPr>
          <w:rFonts w:ascii="Arial" w:hAnsi="Arial" w:cs="Arial"/>
          <w:i/>
          <w:iCs/>
          <w:sz w:val="20"/>
          <w:szCs w:val="20"/>
        </w:rPr>
        <w:t>)</w:t>
      </w:r>
      <w:r w:rsidRPr="00713610">
        <w:rPr>
          <w:rFonts w:ascii="Arial" w:hAnsi="Arial" w:cs="Arial"/>
          <w:sz w:val="20"/>
          <w:szCs w:val="20"/>
        </w:rPr>
        <w:t xml:space="preserve"> obras en vías de acceso y/o parqueaderos y/o zonas de circulación –vehicular y/o peatonal– en instituciones educativas. Esto ya que, en relación con el glosario, las </w:t>
      </w:r>
      <w:r w:rsidRPr="00713610">
        <w:rPr>
          <w:rFonts w:ascii="Arial" w:hAnsi="Arial" w:cs="Arial"/>
          <w:i/>
          <w:iCs/>
          <w:sz w:val="20"/>
          <w:szCs w:val="20"/>
        </w:rPr>
        <w:t>instituciones educativas</w:t>
      </w:r>
      <w:r w:rsidRPr="00713610">
        <w:rPr>
          <w:rFonts w:ascii="Arial" w:hAnsi="Arial" w:cs="Arial"/>
          <w:sz w:val="20"/>
          <w:szCs w:val="20"/>
        </w:rPr>
        <w:t xml:space="preserve"> del </w:t>
      </w:r>
      <w:r w:rsidRPr="00713610">
        <w:rPr>
          <w:rFonts w:ascii="Arial" w:hAnsi="Arial" w:cs="Arial"/>
          <w:sz w:val="20"/>
          <w:szCs w:val="20"/>
          <w:lang w:val="es-ES_tradnl"/>
        </w:rPr>
        <w:t xml:space="preserve">artículo 9 de la Ley 715 de 2001 son diferentes a </w:t>
      </w:r>
      <w:r w:rsidRPr="00713610">
        <w:rPr>
          <w:rFonts w:ascii="Arial" w:hAnsi="Arial" w:cs="Arial"/>
          <w:sz w:val="20"/>
          <w:szCs w:val="20"/>
        </w:rPr>
        <w:t xml:space="preserve">las </w:t>
      </w:r>
      <w:r w:rsidRPr="00713610">
        <w:rPr>
          <w:rFonts w:ascii="Arial" w:hAnsi="Arial" w:cs="Arial"/>
          <w:i/>
          <w:iCs/>
          <w:sz w:val="20"/>
          <w:szCs w:val="20"/>
        </w:rPr>
        <w:t>instituciones de educación superior</w:t>
      </w:r>
      <w:r w:rsidRPr="00713610">
        <w:rPr>
          <w:rFonts w:ascii="Arial" w:hAnsi="Arial" w:cs="Arial"/>
          <w:sz w:val="20"/>
          <w:szCs w:val="20"/>
        </w:rPr>
        <w:t xml:space="preserve"> del capítulo cuarto del título primero –arts. 16 a 23– de la Ley 30 de 1992. </w:t>
      </w:r>
    </w:p>
    <w:p w14:paraId="44E5259F" w14:textId="77777777" w:rsidR="00713610" w:rsidRPr="00713610" w:rsidRDefault="00713610" w:rsidP="00713610">
      <w:pPr>
        <w:spacing w:after="160"/>
        <w:jc w:val="both"/>
        <w:rPr>
          <w:rFonts w:ascii="Arial" w:hAnsi="Arial" w:cs="Arial"/>
          <w:sz w:val="20"/>
          <w:szCs w:val="20"/>
        </w:rPr>
      </w:pPr>
      <w:r w:rsidRPr="00713610">
        <w:rPr>
          <w:rFonts w:ascii="Arial" w:hAnsi="Arial" w:cs="Arial"/>
          <w:sz w:val="20"/>
          <w:szCs w:val="20"/>
          <w:lang w:val="es-ES_tradnl"/>
        </w:rPr>
        <w:t>En consecuencia, respecto a la consulta realizada</w:t>
      </w:r>
      <w:r w:rsidRPr="00713610">
        <w:rPr>
          <w:rFonts w:ascii="Arial" w:hAnsi="Arial" w:cs="Arial"/>
          <w:sz w:val="20"/>
          <w:szCs w:val="20"/>
        </w:rPr>
        <w:t>,</w:t>
      </w:r>
      <w:r w:rsidRPr="00713610">
        <w:rPr>
          <w:rFonts w:ascii="Arial" w:hAnsi="Arial" w:cs="Arial"/>
          <w:sz w:val="20"/>
          <w:szCs w:val="20"/>
          <w:lang w:val="es-ES_tradnl"/>
        </w:rPr>
        <w:t xml:space="preserve"> los documentos tipo adoptados mediante las </w:t>
      </w:r>
      <w:r w:rsidRPr="00713610">
        <w:rPr>
          <w:rFonts w:ascii="Arial" w:hAnsi="Arial" w:cs="Arial"/>
          <w:sz w:val="20"/>
          <w:szCs w:val="20"/>
          <w:lang w:val="es-ES"/>
        </w:rPr>
        <w:t>Resoluciones 219 y 220 del 6 de agosto de 2021</w:t>
      </w:r>
      <w:r w:rsidRPr="00713610">
        <w:rPr>
          <w:rFonts w:ascii="Arial" w:hAnsi="Arial" w:cs="Arial"/>
          <w:sz w:val="20"/>
          <w:szCs w:val="20"/>
        </w:rPr>
        <w:t xml:space="preserve"> aplicarán a las obras relacionadas con bibliotecas públicas, pues estas actividades de la matriz de experiencia no discriminan si la ejecución se realiza en </w:t>
      </w:r>
      <w:r w:rsidRPr="00713610">
        <w:rPr>
          <w:rFonts w:ascii="Arial" w:hAnsi="Arial" w:cs="Arial"/>
          <w:i/>
          <w:iCs/>
          <w:sz w:val="20"/>
          <w:szCs w:val="20"/>
        </w:rPr>
        <w:t xml:space="preserve">instituciones educativas </w:t>
      </w:r>
      <w:r w:rsidRPr="00713610">
        <w:rPr>
          <w:rFonts w:ascii="Arial" w:hAnsi="Arial" w:cs="Arial"/>
          <w:sz w:val="20"/>
          <w:szCs w:val="20"/>
        </w:rPr>
        <w:t xml:space="preserve">o </w:t>
      </w:r>
      <w:r w:rsidRPr="00713610">
        <w:rPr>
          <w:rFonts w:ascii="Arial" w:hAnsi="Arial" w:cs="Arial"/>
          <w:i/>
          <w:iCs/>
          <w:sz w:val="20"/>
          <w:szCs w:val="20"/>
        </w:rPr>
        <w:t>instituciones de educación superior</w:t>
      </w:r>
      <w:r w:rsidRPr="00713610">
        <w:rPr>
          <w:rFonts w:ascii="Arial" w:hAnsi="Arial" w:cs="Arial"/>
          <w:sz w:val="20"/>
          <w:szCs w:val="20"/>
        </w:rPr>
        <w:t>, por lo que es aplicable a ambas bajo la pauta hermenéutica «</w:t>
      </w:r>
      <w:proofErr w:type="spellStart"/>
      <w:r w:rsidRPr="00713610">
        <w:rPr>
          <w:rFonts w:ascii="Arial" w:hAnsi="Arial" w:cs="Arial"/>
          <w:i/>
          <w:iCs/>
          <w:sz w:val="20"/>
          <w:szCs w:val="20"/>
        </w:rPr>
        <w:t>Ubi</w:t>
      </w:r>
      <w:proofErr w:type="spellEnd"/>
      <w:r w:rsidRPr="00713610">
        <w:rPr>
          <w:rFonts w:ascii="Arial" w:hAnsi="Arial" w:cs="Arial"/>
          <w:i/>
          <w:iCs/>
          <w:sz w:val="20"/>
          <w:szCs w:val="20"/>
        </w:rPr>
        <w:t xml:space="preserve"> lex non </w:t>
      </w:r>
      <w:proofErr w:type="spellStart"/>
      <w:r w:rsidRPr="00713610">
        <w:rPr>
          <w:rFonts w:ascii="Arial" w:hAnsi="Arial" w:cs="Arial"/>
          <w:i/>
          <w:iCs/>
          <w:sz w:val="20"/>
          <w:szCs w:val="20"/>
        </w:rPr>
        <w:t>distinguit</w:t>
      </w:r>
      <w:proofErr w:type="spellEnd"/>
      <w:r w:rsidRPr="00713610">
        <w:rPr>
          <w:rFonts w:ascii="Arial" w:hAnsi="Arial" w:cs="Arial"/>
          <w:i/>
          <w:iCs/>
          <w:sz w:val="20"/>
          <w:szCs w:val="20"/>
        </w:rPr>
        <w:t xml:space="preserve">, </w:t>
      </w:r>
      <w:proofErr w:type="spellStart"/>
      <w:r w:rsidRPr="00713610">
        <w:rPr>
          <w:rFonts w:ascii="Arial" w:hAnsi="Arial" w:cs="Arial"/>
          <w:i/>
          <w:iCs/>
          <w:sz w:val="20"/>
          <w:szCs w:val="20"/>
        </w:rPr>
        <w:t>nec</w:t>
      </w:r>
      <w:proofErr w:type="spellEnd"/>
      <w:r w:rsidRPr="00713610">
        <w:rPr>
          <w:rFonts w:ascii="Arial" w:hAnsi="Arial" w:cs="Arial"/>
          <w:i/>
          <w:iCs/>
          <w:sz w:val="20"/>
          <w:szCs w:val="20"/>
        </w:rPr>
        <w:t xml:space="preserve"> nos </w:t>
      </w:r>
      <w:proofErr w:type="spellStart"/>
      <w:r w:rsidRPr="00713610">
        <w:rPr>
          <w:rFonts w:ascii="Arial" w:hAnsi="Arial" w:cs="Arial"/>
          <w:i/>
          <w:iCs/>
          <w:sz w:val="20"/>
          <w:szCs w:val="20"/>
        </w:rPr>
        <w:t>distinguere</w:t>
      </w:r>
      <w:proofErr w:type="spellEnd"/>
      <w:r w:rsidRPr="00713610">
        <w:rPr>
          <w:rFonts w:ascii="Arial" w:hAnsi="Arial" w:cs="Arial"/>
          <w:i/>
          <w:iCs/>
          <w:sz w:val="20"/>
          <w:szCs w:val="20"/>
        </w:rPr>
        <w:t xml:space="preserve"> </w:t>
      </w:r>
      <w:proofErr w:type="spellStart"/>
      <w:r w:rsidRPr="00713610">
        <w:rPr>
          <w:rFonts w:ascii="Arial" w:hAnsi="Arial" w:cs="Arial"/>
          <w:i/>
          <w:iCs/>
          <w:sz w:val="20"/>
          <w:szCs w:val="20"/>
        </w:rPr>
        <w:t>debemus</w:t>
      </w:r>
      <w:proofErr w:type="spellEnd"/>
      <w:r w:rsidRPr="00713610">
        <w:rPr>
          <w:rFonts w:ascii="Arial" w:hAnsi="Arial" w:cs="Arial"/>
          <w:sz w:val="20"/>
          <w:szCs w:val="20"/>
        </w:rPr>
        <w:t xml:space="preserve">». </w:t>
      </w:r>
      <w:r w:rsidRPr="00713610">
        <w:rPr>
          <w:rFonts w:ascii="Arial" w:hAnsi="Arial" w:cs="Arial"/>
          <w:sz w:val="20"/>
          <w:szCs w:val="20"/>
          <w:lang w:val="es-ES_tradnl"/>
        </w:rPr>
        <w:t xml:space="preserve">En contraste, para obras diferentes a las previstas en la «Matriz 1 – Experiencia» no existe obligación de aplicar los documentos tipo mencionados, sin perjuicio de que puedan utilizarse como un parámetro de buena práctica contractual en el sistema de compras públicas según ha sido indicado en la Directiva Presidencial 01 del 3 de marzo de 2021 en la cual se exhorta a la aplicación de los instrumentos elaborados por la Agencia Nacional de Contratación Pública – Colombia Compra Eficiente. </w:t>
      </w:r>
    </w:p>
    <w:p w14:paraId="6F58D0F4" w14:textId="140931F3" w:rsidR="00120DBB" w:rsidRDefault="00120DBB" w:rsidP="00E43682">
      <w:pPr>
        <w:spacing w:after="160"/>
        <w:jc w:val="both"/>
        <w:rPr>
          <w:rFonts w:ascii="Arial" w:eastAsia="Calibri" w:hAnsi="Arial" w:cs="Arial"/>
          <w:b/>
          <w:sz w:val="22"/>
          <w:highlight w:val="yellow"/>
          <w:lang w:val="es-ES_tradnl"/>
        </w:rPr>
      </w:pPr>
      <w:r>
        <w:rPr>
          <w:rFonts w:ascii="Arial" w:eastAsia="Calibri" w:hAnsi="Arial" w:cs="Arial"/>
          <w:b/>
          <w:sz w:val="22"/>
          <w:highlight w:val="yellow"/>
          <w:lang w:val="es-ES_tradnl"/>
        </w:rPr>
        <w:br w:type="page"/>
      </w:r>
    </w:p>
    <w:p w14:paraId="34DBC9F0" w14:textId="3DC55D71" w:rsidR="00E35B0E" w:rsidRPr="00C07863" w:rsidRDefault="00E35B0E" w:rsidP="00A32FFB">
      <w:pPr>
        <w:tabs>
          <w:tab w:val="left" w:pos="709"/>
        </w:tabs>
        <w:spacing w:line="276" w:lineRule="auto"/>
        <w:jc w:val="right"/>
        <w:rPr>
          <w:rFonts w:ascii="Arial" w:hAnsi="Arial" w:cs="Arial"/>
          <w:sz w:val="18"/>
          <w:szCs w:val="18"/>
          <w:lang w:val="es-ES"/>
        </w:rPr>
      </w:pPr>
      <w:r w:rsidRPr="00C07863">
        <w:rPr>
          <w:rFonts w:ascii="Arial" w:hAnsi="Arial" w:cs="Arial"/>
          <w:b/>
          <w:bCs/>
          <w:sz w:val="18"/>
          <w:szCs w:val="18"/>
          <w:lang w:val="es-CO"/>
        </w:rPr>
        <w:lastRenderedPageBreak/>
        <w:t>CCE-DES-FM-17</w:t>
      </w:r>
    </w:p>
    <w:p w14:paraId="4F97090A" w14:textId="77777777" w:rsidR="0001026E" w:rsidRDefault="0001026E" w:rsidP="00A32FFB">
      <w:pPr>
        <w:spacing w:line="276" w:lineRule="auto"/>
        <w:jc w:val="both"/>
        <w:outlineLvl w:val="0"/>
        <w:rPr>
          <w:noProof/>
        </w:rPr>
      </w:pPr>
      <w:bookmarkStart w:id="2" w:name="_Hlk93933050"/>
    </w:p>
    <w:p w14:paraId="34DAE867" w14:textId="3D6B11CF" w:rsidR="0001026E" w:rsidRPr="00A32FFB" w:rsidRDefault="0001026E" w:rsidP="0001026E">
      <w:pPr>
        <w:spacing w:line="276" w:lineRule="auto"/>
        <w:jc w:val="right"/>
        <w:outlineLvl w:val="0"/>
        <w:rPr>
          <w:rFonts w:ascii="Arial" w:hAnsi="Arial" w:cs="Arial"/>
          <w:b/>
          <w:sz w:val="22"/>
          <w:lang w:val="es-ES"/>
        </w:rPr>
      </w:pPr>
      <w:r>
        <w:rPr>
          <w:noProof/>
        </w:rPr>
        <w:drawing>
          <wp:inline distT="0" distB="0" distL="0" distR="0" wp14:anchorId="262936A7" wp14:editId="4DC298C1">
            <wp:extent cx="2552700" cy="695325"/>
            <wp:effectExtent l="0" t="0" r="0" b="9525"/>
            <wp:docPr id="4" name="Imagen 4"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10;&#10;Descripción generada automáticamente"/>
                    <pic:cNvPicPr/>
                  </pic:nvPicPr>
                  <pic:blipFill rotWithShape="1">
                    <a:blip r:embed="rId11"/>
                    <a:srcRect l="34284" t="41818" r="20231" b="38360"/>
                    <a:stretch/>
                  </pic:blipFill>
                  <pic:spPr bwMode="auto">
                    <a:xfrm>
                      <a:off x="0" y="0"/>
                      <a:ext cx="2552700" cy="695325"/>
                    </a:xfrm>
                    <a:prstGeom prst="rect">
                      <a:avLst/>
                    </a:prstGeom>
                    <a:ln>
                      <a:noFill/>
                    </a:ln>
                    <a:extLst>
                      <a:ext uri="{53640926-AAD7-44D8-BBD7-CCE9431645EC}">
                        <a14:shadowObscured xmlns:a14="http://schemas.microsoft.com/office/drawing/2010/main"/>
                      </a:ext>
                    </a:extLst>
                  </pic:spPr>
                </pic:pic>
              </a:graphicData>
            </a:graphic>
          </wp:inline>
        </w:drawing>
      </w:r>
    </w:p>
    <w:p w14:paraId="6B6535B7" w14:textId="24DBFAA9" w:rsidR="00E35B0E" w:rsidRPr="00A32FFB" w:rsidRDefault="00F41276" w:rsidP="00A32FFB">
      <w:pPr>
        <w:spacing w:line="276" w:lineRule="auto"/>
        <w:jc w:val="both"/>
        <w:outlineLvl w:val="0"/>
        <w:rPr>
          <w:rFonts w:ascii="Arial" w:eastAsia="Calibri" w:hAnsi="Arial" w:cs="Arial"/>
          <w:sz w:val="22"/>
          <w:lang w:val="es-ES"/>
        </w:rPr>
      </w:pPr>
      <w:r w:rsidRPr="00A32FFB">
        <w:rPr>
          <w:rFonts w:ascii="Arial" w:eastAsia="Calibri" w:hAnsi="Arial" w:cs="Arial"/>
          <w:sz w:val="22"/>
          <w:lang w:val="es-ES"/>
        </w:rPr>
        <w:t>Señor</w:t>
      </w:r>
    </w:p>
    <w:p w14:paraId="0A324933" w14:textId="7B9F0B65" w:rsidR="00F41276" w:rsidRDefault="002426A9" w:rsidP="00A32FFB">
      <w:pPr>
        <w:spacing w:line="276" w:lineRule="auto"/>
        <w:jc w:val="both"/>
        <w:rPr>
          <w:rFonts w:ascii="Arial" w:hAnsi="Arial" w:cs="Arial"/>
          <w:b/>
          <w:bCs/>
          <w:sz w:val="22"/>
          <w:lang w:val="es-CO"/>
        </w:rPr>
      </w:pPr>
      <w:r>
        <w:rPr>
          <w:rFonts w:ascii="Arial" w:hAnsi="Arial" w:cs="Arial"/>
          <w:b/>
          <w:bCs/>
          <w:sz w:val="22"/>
          <w:lang w:val="es-CO"/>
        </w:rPr>
        <w:t>Carlos Alberto Londoño Quintero</w:t>
      </w:r>
    </w:p>
    <w:p w14:paraId="124CCC92" w14:textId="4E1CF28A" w:rsidR="00E82153" w:rsidRPr="009C10B3" w:rsidRDefault="002426A9" w:rsidP="00A32FFB">
      <w:pPr>
        <w:spacing w:line="276" w:lineRule="auto"/>
        <w:jc w:val="both"/>
        <w:rPr>
          <w:rFonts w:ascii="Arial" w:hAnsi="Arial" w:cs="Arial"/>
          <w:sz w:val="22"/>
          <w:lang w:val="es-CO"/>
        </w:rPr>
      </w:pPr>
      <w:r w:rsidRPr="009C10B3">
        <w:rPr>
          <w:rFonts w:ascii="Arial" w:hAnsi="Arial" w:cs="Arial"/>
          <w:sz w:val="22"/>
          <w:lang w:val="es-CO"/>
        </w:rPr>
        <w:t xml:space="preserve">Bogotá D.C. </w:t>
      </w:r>
    </w:p>
    <w:p w14:paraId="0973DE01" w14:textId="721284D5" w:rsidR="00E35B0E" w:rsidRPr="00A32FFB" w:rsidRDefault="00E35B0E" w:rsidP="00A32FFB">
      <w:pPr>
        <w:spacing w:line="276" w:lineRule="auto"/>
        <w:jc w:val="both"/>
        <w:rPr>
          <w:rFonts w:ascii="Arial" w:eastAsia="Calibri" w:hAnsi="Arial" w:cs="Arial"/>
          <w:sz w:val="22"/>
          <w:lang w:val="es-ES"/>
        </w:rPr>
      </w:pPr>
    </w:p>
    <w:p w14:paraId="3D1882E9" w14:textId="77777777" w:rsidR="00E35B0E" w:rsidRPr="00A32FFB" w:rsidRDefault="00E35B0E" w:rsidP="00A32FFB">
      <w:pPr>
        <w:spacing w:line="276" w:lineRule="auto"/>
        <w:jc w:val="both"/>
        <w:rPr>
          <w:rFonts w:ascii="Arial" w:eastAsia="Calibri" w:hAnsi="Arial" w:cs="Arial"/>
          <w:sz w:val="22"/>
          <w:lang w:val="es-ES"/>
        </w:rPr>
      </w:pPr>
    </w:p>
    <w:p w14:paraId="70630779" w14:textId="04B7AAAC" w:rsidR="00E35B0E" w:rsidRPr="00A32FFB" w:rsidRDefault="00E35B0E" w:rsidP="00A32FFB">
      <w:pPr>
        <w:spacing w:line="276" w:lineRule="auto"/>
        <w:ind w:firstLine="2694"/>
        <w:jc w:val="both"/>
        <w:outlineLvl w:val="0"/>
        <w:rPr>
          <w:rFonts w:ascii="Arial" w:eastAsia="Calibri" w:hAnsi="Arial" w:cs="Arial"/>
          <w:b/>
          <w:sz w:val="22"/>
          <w:lang w:val="es-ES"/>
        </w:rPr>
      </w:pPr>
      <w:r w:rsidRPr="00A32FFB">
        <w:rPr>
          <w:rFonts w:ascii="Arial" w:eastAsia="Calibri" w:hAnsi="Arial" w:cs="Arial"/>
          <w:b/>
          <w:sz w:val="22"/>
          <w:lang w:val="es-ES"/>
        </w:rPr>
        <w:t xml:space="preserve">Concepto </w:t>
      </w:r>
      <w:r w:rsidRPr="007631CF">
        <w:rPr>
          <w:rFonts w:ascii="Arial" w:eastAsia="Calibri" w:hAnsi="Arial" w:cs="Arial"/>
          <w:b/>
          <w:sz w:val="22"/>
          <w:lang w:val="es-ES"/>
        </w:rPr>
        <w:t xml:space="preserve">C – </w:t>
      </w:r>
      <w:r w:rsidR="002426A9">
        <w:rPr>
          <w:rFonts w:ascii="Arial" w:eastAsia="Calibri" w:hAnsi="Arial" w:cs="Arial"/>
          <w:b/>
          <w:sz w:val="22"/>
          <w:lang w:val="es-ES"/>
        </w:rPr>
        <w:t>719</w:t>
      </w:r>
      <w:r w:rsidR="007631CF" w:rsidRPr="007631CF">
        <w:rPr>
          <w:rFonts w:ascii="Arial" w:eastAsia="Calibri" w:hAnsi="Arial" w:cs="Arial"/>
          <w:b/>
          <w:sz w:val="22"/>
          <w:lang w:val="es-ES"/>
        </w:rPr>
        <w:t xml:space="preserve"> </w:t>
      </w:r>
      <w:r w:rsidRPr="007631CF">
        <w:rPr>
          <w:rFonts w:ascii="Arial" w:eastAsia="Calibri" w:hAnsi="Arial" w:cs="Arial"/>
          <w:b/>
          <w:sz w:val="22"/>
          <w:lang w:val="es-ES"/>
        </w:rPr>
        <w:t>de</w:t>
      </w:r>
      <w:r w:rsidRPr="00A32FFB">
        <w:rPr>
          <w:rFonts w:ascii="Arial" w:eastAsia="Calibri" w:hAnsi="Arial" w:cs="Arial"/>
          <w:b/>
          <w:sz w:val="22"/>
          <w:lang w:val="es-ES"/>
        </w:rPr>
        <w:t xml:space="preserve"> 202</w:t>
      </w:r>
      <w:r w:rsidR="00C2474F">
        <w:rPr>
          <w:rFonts w:ascii="Arial" w:eastAsia="Calibri" w:hAnsi="Arial" w:cs="Arial"/>
          <w:b/>
          <w:sz w:val="22"/>
          <w:lang w:val="es-ES"/>
        </w:rPr>
        <w:t>2</w:t>
      </w:r>
    </w:p>
    <w:p w14:paraId="234727AD" w14:textId="77777777" w:rsidR="00BE1E33" w:rsidRPr="00A32FFB" w:rsidRDefault="00BE1E33" w:rsidP="00A32FFB">
      <w:pPr>
        <w:spacing w:line="276" w:lineRule="auto"/>
        <w:rPr>
          <w:rFonts w:ascii="Arial" w:eastAsia="Calibri" w:hAnsi="Arial" w:cs="Arial"/>
          <w:sz w:val="22"/>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232"/>
      </w:tblGrid>
      <w:tr w:rsidR="00782A9F" w:rsidRPr="0016251D" w14:paraId="2553E4F3" w14:textId="77777777" w:rsidTr="00C2474F">
        <w:tc>
          <w:tcPr>
            <w:tcW w:w="2694" w:type="dxa"/>
            <w:hideMark/>
          </w:tcPr>
          <w:p w14:paraId="7BC9E971" w14:textId="77777777" w:rsidR="00782A9F" w:rsidRPr="00A32FFB" w:rsidRDefault="00782A9F" w:rsidP="00782A9F">
            <w:pPr>
              <w:spacing w:line="276" w:lineRule="auto"/>
              <w:rPr>
                <w:rFonts w:ascii="Arial" w:eastAsia="Calibri" w:hAnsi="Arial" w:cs="Arial"/>
                <w:sz w:val="22"/>
                <w:lang w:val="es-ES_tradnl"/>
              </w:rPr>
            </w:pPr>
            <w:r w:rsidRPr="00A32FFB">
              <w:rPr>
                <w:rFonts w:ascii="Arial" w:eastAsia="Calibri" w:hAnsi="Arial" w:cs="Arial"/>
                <w:b/>
                <w:sz w:val="22"/>
                <w:lang w:val="es-ES_tradnl"/>
              </w:rPr>
              <w:t>Temas:</w:t>
            </w:r>
            <w:r w:rsidRPr="00A32FFB">
              <w:rPr>
                <w:rFonts w:ascii="Arial" w:eastAsia="Calibri" w:hAnsi="Arial" w:cs="Arial"/>
                <w:sz w:val="22"/>
                <w:lang w:val="es-ES_tradnl"/>
              </w:rPr>
              <w:t xml:space="preserve">           </w:t>
            </w:r>
          </w:p>
          <w:p w14:paraId="0C0D8CD7" w14:textId="77777777" w:rsidR="00782A9F" w:rsidRPr="00A32FFB" w:rsidRDefault="00782A9F" w:rsidP="00782A9F">
            <w:pPr>
              <w:spacing w:line="276" w:lineRule="auto"/>
              <w:rPr>
                <w:rFonts w:ascii="Arial" w:eastAsia="Calibri" w:hAnsi="Arial" w:cs="Arial"/>
                <w:sz w:val="22"/>
                <w:lang w:val="es-ES_tradnl"/>
              </w:rPr>
            </w:pPr>
            <w:r w:rsidRPr="00A32FFB">
              <w:rPr>
                <w:rFonts w:ascii="Arial" w:eastAsia="Calibri" w:hAnsi="Arial" w:cs="Arial"/>
                <w:sz w:val="22"/>
                <w:lang w:val="es-ES_tradnl"/>
              </w:rPr>
              <w:t xml:space="preserve">                           </w:t>
            </w:r>
          </w:p>
        </w:tc>
        <w:tc>
          <w:tcPr>
            <w:tcW w:w="6232" w:type="dxa"/>
            <w:hideMark/>
          </w:tcPr>
          <w:p w14:paraId="0F35FDBD" w14:textId="151B4E65" w:rsidR="00782A9F" w:rsidRPr="00861748" w:rsidRDefault="00AD51A8" w:rsidP="00AD51A8">
            <w:pPr>
              <w:spacing w:line="276" w:lineRule="auto"/>
              <w:jc w:val="both"/>
              <w:rPr>
                <w:rFonts w:ascii="Arial" w:eastAsia="Calibri" w:hAnsi="Arial" w:cs="Arial"/>
                <w:bCs/>
                <w:sz w:val="22"/>
                <w:highlight w:val="yellow"/>
                <w:lang w:val="es-ES_tradnl"/>
              </w:rPr>
            </w:pPr>
            <w:r w:rsidRPr="005221C2">
              <w:rPr>
                <w:rFonts w:ascii="Arial" w:eastAsia="Calibri" w:hAnsi="Arial" w:cs="Arial"/>
                <w:bCs/>
                <w:sz w:val="22"/>
                <w:lang w:val="es-ES_tradnl"/>
              </w:rPr>
              <w:t>DOCUMENTOS TIPO – Obligatoriedad – Inalterabilidad /</w:t>
            </w:r>
            <w:r w:rsidR="00C2474F">
              <w:rPr>
                <w:rFonts w:ascii="Arial" w:eastAsia="Calibri" w:hAnsi="Arial" w:cs="Arial"/>
                <w:bCs/>
                <w:sz w:val="22"/>
                <w:lang w:val="es-ES_tradnl"/>
              </w:rPr>
              <w:t xml:space="preserve"> </w:t>
            </w:r>
            <w:bookmarkStart w:id="3" w:name="_Hlk92205805"/>
            <w:r w:rsidRPr="005221C2">
              <w:rPr>
                <w:rFonts w:ascii="Arial" w:eastAsia="Calibri" w:hAnsi="Arial" w:cs="Arial"/>
                <w:bCs/>
                <w:sz w:val="22"/>
                <w:lang w:val="es-ES_tradnl"/>
              </w:rPr>
              <w:t>DOCUMENTOS TIPO – Infraestructura social – Sec</w:t>
            </w:r>
            <w:r w:rsidR="003135B4" w:rsidRPr="005221C2">
              <w:rPr>
                <w:rFonts w:ascii="Arial" w:eastAsia="Calibri" w:hAnsi="Arial" w:cs="Arial"/>
                <w:bCs/>
                <w:sz w:val="22"/>
                <w:lang w:val="es-ES_tradnl"/>
              </w:rPr>
              <w:t xml:space="preserve">tor educativo </w:t>
            </w:r>
            <w:bookmarkEnd w:id="3"/>
            <w:r w:rsidRPr="005221C2">
              <w:rPr>
                <w:rFonts w:ascii="Arial" w:eastAsia="Calibri" w:hAnsi="Arial" w:cs="Arial"/>
                <w:bCs/>
                <w:sz w:val="22"/>
                <w:lang w:val="es-ES_tradnl"/>
              </w:rPr>
              <w:t xml:space="preserve">/ MATRIZ DE EXPERIENCIA Y GLOSARIO – Alcance – Sector educativo / DOCUMENTOS TIPO – </w:t>
            </w:r>
            <w:r w:rsidR="005221C2" w:rsidRPr="005221C2">
              <w:rPr>
                <w:rFonts w:ascii="Arial" w:eastAsia="Calibri" w:hAnsi="Arial" w:cs="Arial"/>
                <w:bCs/>
                <w:sz w:val="22"/>
                <w:lang w:val="es-ES_tradnl"/>
              </w:rPr>
              <w:t>Aplicación – Instituciones de educación superior – Establecimientos públicos</w:t>
            </w:r>
            <w:r w:rsidR="004F66A9" w:rsidRPr="005221C2">
              <w:rPr>
                <w:rFonts w:ascii="Arial" w:eastAsia="Times New Roman" w:hAnsi="Arial" w:cs="Arial"/>
                <w:bCs/>
                <w:color w:val="000000"/>
                <w:sz w:val="22"/>
                <w:lang w:eastAsia="es-CO"/>
              </w:rPr>
              <w:t>.</w:t>
            </w:r>
          </w:p>
        </w:tc>
      </w:tr>
      <w:tr w:rsidR="00782A9F" w:rsidRPr="00A32FFB" w14:paraId="20F2A3B6" w14:textId="77777777" w:rsidTr="00C2474F">
        <w:tc>
          <w:tcPr>
            <w:tcW w:w="2694" w:type="dxa"/>
          </w:tcPr>
          <w:p w14:paraId="1E82F4FA" w14:textId="0BFF281C" w:rsidR="00782A9F" w:rsidRPr="00A32FFB" w:rsidRDefault="00782A9F" w:rsidP="00782A9F">
            <w:pPr>
              <w:spacing w:before="120" w:line="276" w:lineRule="auto"/>
              <w:rPr>
                <w:rFonts w:ascii="Arial" w:eastAsia="Calibri" w:hAnsi="Arial" w:cs="Arial"/>
                <w:b/>
                <w:sz w:val="22"/>
                <w:lang w:val="es-ES_tradnl"/>
              </w:rPr>
            </w:pPr>
            <w:r w:rsidRPr="00A32FFB">
              <w:rPr>
                <w:rFonts w:ascii="Arial" w:eastAsia="Calibri" w:hAnsi="Arial" w:cs="Arial"/>
                <w:b/>
                <w:sz w:val="22"/>
                <w:lang w:val="es-ES_tradnl"/>
              </w:rPr>
              <w:t>Radicación:</w:t>
            </w:r>
            <w:r w:rsidRPr="00A32FFB">
              <w:rPr>
                <w:rFonts w:ascii="Arial" w:eastAsia="Calibri" w:hAnsi="Arial" w:cs="Arial"/>
                <w:sz w:val="22"/>
                <w:lang w:val="es-ES_tradnl"/>
              </w:rPr>
              <w:t xml:space="preserve">                              </w:t>
            </w:r>
          </w:p>
        </w:tc>
        <w:tc>
          <w:tcPr>
            <w:tcW w:w="6232" w:type="dxa"/>
          </w:tcPr>
          <w:p w14:paraId="20FCE53A" w14:textId="7F58001F" w:rsidR="00782A9F" w:rsidRPr="00A32FFB" w:rsidRDefault="00782A9F" w:rsidP="00782A9F">
            <w:pPr>
              <w:spacing w:before="120" w:line="276" w:lineRule="auto"/>
              <w:jc w:val="both"/>
              <w:rPr>
                <w:rFonts w:ascii="Arial" w:eastAsia="Calibri" w:hAnsi="Arial" w:cs="Arial"/>
                <w:sz w:val="22"/>
                <w:lang w:val="es-ES_tradnl"/>
              </w:rPr>
            </w:pPr>
            <w:r w:rsidRPr="00A32FFB">
              <w:rPr>
                <w:rFonts w:ascii="Arial" w:eastAsia="Calibri" w:hAnsi="Arial" w:cs="Arial"/>
                <w:sz w:val="22"/>
                <w:lang w:val="es-ES_tradnl"/>
              </w:rPr>
              <w:t xml:space="preserve">Respuesta a consulta </w:t>
            </w:r>
            <w:r w:rsidR="00861748" w:rsidRPr="00861748">
              <w:rPr>
                <w:rFonts w:ascii="Arial" w:eastAsia="Calibri" w:hAnsi="Arial" w:cs="Arial"/>
                <w:sz w:val="22"/>
                <w:lang w:val="es-ES_tradnl"/>
              </w:rPr>
              <w:t>P20211213011429</w:t>
            </w:r>
          </w:p>
        </w:tc>
      </w:tr>
    </w:tbl>
    <w:p w14:paraId="06248123" w14:textId="006C1BCE" w:rsidR="00BE1E33" w:rsidRDefault="00BE1E33" w:rsidP="00A32FFB">
      <w:pPr>
        <w:spacing w:line="276" w:lineRule="auto"/>
        <w:jc w:val="both"/>
        <w:rPr>
          <w:rFonts w:ascii="Arial" w:eastAsia="Calibri" w:hAnsi="Arial" w:cs="Arial"/>
          <w:sz w:val="22"/>
          <w:lang w:val="es-ES_tradnl"/>
        </w:rPr>
      </w:pPr>
    </w:p>
    <w:p w14:paraId="4E7362CF" w14:textId="77777777" w:rsidR="00C2474F" w:rsidRPr="00A32FFB" w:rsidRDefault="00C2474F" w:rsidP="00A32FFB">
      <w:pPr>
        <w:spacing w:line="276" w:lineRule="auto"/>
        <w:jc w:val="both"/>
        <w:rPr>
          <w:rFonts w:ascii="Arial" w:eastAsia="Calibri" w:hAnsi="Arial" w:cs="Arial"/>
          <w:sz w:val="22"/>
          <w:lang w:val="es-ES_tradnl"/>
        </w:rPr>
      </w:pPr>
    </w:p>
    <w:p w14:paraId="417ABDA8" w14:textId="1CCFAF60" w:rsidR="00BE1E33" w:rsidRPr="00A32FFB" w:rsidRDefault="00117B90" w:rsidP="00A32FFB">
      <w:pPr>
        <w:spacing w:line="276" w:lineRule="auto"/>
        <w:rPr>
          <w:rFonts w:ascii="Arial" w:eastAsia="Calibri" w:hAnsi="Arial" w:cs="Arial"/>
          <w:sz w:val="22"/>
          <w:lang w:val="es-ES_tradnl"/>
        </w:rPr>
      </w:pPr>
      <w:r>
        <w:rPr>
          <w:rFonts w:ascii="Arial" w:eastAsia="Calibri" w:hAnsi="Arial" w:cs="Arial"/>
          <w:sz w:val="22"/>
          <w:lang w:val="es-ES_tradnl"/>
        </w:rPr>
        <w:t>Respetado</w:t>
      </w:r>
      <w:r w:rsidR="00F41276" w:rsidRPr="00A32FFB">
        <w:rPr>
          <w:rFonts w:ascii="Arial" w:eastAsia="Calibri" w:hAnsi="Arial" w:cs="Arial"/>
          <w:sz w:val="22"/>
          <w:lang w:val="es-ES_tradnl"/>
        </w:rPr>
        <w:t xml:space="preserve"> </w:t>
      </w:r>
      <w:r w:rsidR="00F41276" w:rsidRPr="009D6FEF">
        <w:rPr>
          <w:rFonts w:ascii="Arial" w:eastAsia="Calibri" w:hAnsi="Arial" w:cs="Arial"/>
          <w:sz w:val="22"/>
          <w:lang w:val="es-ES_tradnl"/>
        </w:rPr>
        <w:t>señor</w:t>
      </w:r>
      <w:r>
        <w:rPr>
          <w:rFonts w:ascii="Arial" w:eastAsia="Calibri" w:hAnsi="Arial" w:cs="Arial"/>
          <w:sz w:val="22"/>
          <w:lang w:val="es-ES_tradnl"/>
        </w:rPr>
        <w:t xml:space="preserve"> </w:t>
      </w:r>
      <w:r w:rsidR="009815F0">
        <w:rPr>
          <w:rFonts w:ascii="Arial" w:eastAsia="Calibri" w:hAnsi="Arial" w:cs="Arial"/>
          <w:sz w:val="22"/>
          <w:lang w:val="es-ES_tradnl"/>
        </w:rPr>
        <w:t>Londoño Quintero</w:t>
      </w:r>
      <w:r w:rsidR="004E402A" w:rsidRPr="009D6FEF">
        <w:rPr>
          <w:rFonts w:ascii="Arial" w:eastAsia="Calibri" w:hAnsi="Arial" w:cs="Arial"/>
          <w:sz w:val="22"/>
          <w:lang w:val="es-ES_tradnl"/>
        </w:rPr>
        <w:t>:</w:t>
      </w:r>
    </w:p>
    <w:p w14:paraId="1CCABABD" w14:textId="77777777" w:rsidR="00BE1E33" w:rsidRPr="00A32FFB" w:rsidRDefault="00BE1E33" w:rsidP="00A32FFB">
      <w:pPr>
        <w:spacing w:line="276" w:lineRule="auto"/>
        <w:rPr>
          <w:rFonts w:ascii="Arial" w:eastAsia="Calibri" w:hAnsi="Arial" w:cs="Arial"/>
          <w:sz w:val="22"/>
          <w:lang w:val="es-ES_tradnl"/>
        </w:rPr>
      </w:pPr>
    </w:p>
    <w:p w14:paraId="286A9CEF" w14:textId="693649E7" w:rsidR="00BE1E33" w:rsidRPr="00A32FFB" w:rsidRDefault="00BE1E33" w:rsidP="00A32FFB">
      <w:pPr>
        <w:spacing w:line="276" w:lineRule="auto"/>
        <w:jc w:val="both"/>
        <w:rPr>
          <w:rFonts w:ascii="Arial" w:eastAsia="Calibri" w:hAnsi="Arial" w:cs="Arial"/>
          <w:sz w:val="22"/>
          <w:lang w:val="es-ES_tradnl"/>
        </w:rPr>
      </w:pPr>
      <w:r w:rsidRPr="00A32FFB">
        <w:rPr>
          <w:rFonts w:ascii="Arial" w:eastAsia="Calibri" w:hAnsi="Arial" w:cs="Arial"/>
          <w:sz w:val="22"/>
          <w:lang w:val="es-ES_tradnl"/>
        </w:rPr>
        <w:t xml:space="preserve">En ejercicio de la competencia otorgada por los artículos 11, numeral 8º, y 3º, numeral 5º, del Decreto Ley 4170 de 2011, la Agencia Nacional de Contratación Pública − Colombia Compra Eficiente responde su consulta </w:t>
      </w:r>
      <w:r w:rsidR="00131937" w:rsidRPr="00A32FFB">
        <w:rPr>
          <w:rFonts w:ascii="Arial" w:eastAsia="Calibri" w:hAnsi="Arial" w:cs="Arial"/>
          <w:sz w:val="22"/>
          <w:lang w:val="es-ES_tradnl"/>
        </w:rPr>
        <w:t>con fecha de</w:t>
      </w:r>
      <w:r w:rsidR="009815F0">
        <w:rPr>
          <w:rFonts w:ascii="Arial" w:eastAsia="Calibri" w:hAnsi="Arial" w:cs="Arial"/>
          <w:sz w:val="22"/>
          <w:lang w:val="es-ES_tradnl"/>
        </w:rPr>
        <w:t>l</w:t>
      </w:r>
      <w:r w:rsidR="00131937" w:rsidRPr="00A32FFB">
        <w:rPr>
          <w:rFonts w:ascii="Arial" w:eastAsia="Calibri" w:hAnsi="Arial" w:cs="Arial"/>
          <w:sz w:val="22"/>
          <w:lang w:val="es-ES_tradnl"/>
        </w:rPr>
        <w:t xml:space="preserve"> </w:t>
      </w:r>
      <w:r w:rsidR="007631CF" w:rsidRPr="005D5579">
        <w:rPr>
          <w:rFonts w:ascii="Arial" w:eastAsia="Calibri" w:hAnsi="Arial" w:cs="Arial"/>
          <w:sz w:val="22"/>
          <w:lang w:val="es-ES_tradnl"/>
        </w:rPr>
        <w:t>1</w:t>
      </w:r>
      <w:r w:rsidR="009815F0">
        <w:rPr>
          <w:rFonts w:ascii="Arial" w:eastAsia="Calibri" w:hAnsi="Arial" w:cs="Arial"/>
          <w:sz w:val="22"/>
          <w:lang w:val="es-ES_tradnl"/>
        </w:rPr>
        <w:t>3</w:t>
      </w:r>
      <w:r w:rsidR="00731B46" w:rsidRPr="005D5579">
        <w:rPr>
          <w:rFonts w:ascii="Arial" w:eastAsia="Calibri" w:hAnsi="Arial" w:cs="Arial"/>
          <w:sz w:val="22"/>
          <w:lang w:val="es-ES_tradnl"/>
        </w:rPr>
        <w:t xml:space="preserve"> de </w:t>
      </w:r>
      <w:r w:rsidR="009815F0">
        <w:rPr>
          <w:rFonts w:ascii="Arial" w:eastAsia="Calibri" w:hAnsi="Arial" w:cs="Arial"/>
          <w:sz w:val="22"/>
          <w:lang w:val="es-ES_tradnl"/>
        </w:rPr>
        <w:t>diciembre</w:t>
      </w:r>
      <w:r w:rsidR="00787F0A" w:rsidRPr="005D5579">
        <w:rPr>
          <w:rFonts w:ascii="Arial" w:eastAsia="Calibri" w:hAnsi="Arial" w:cs="Arial"/>
          <w:sz w:val="22"/>
          <w:lang w:val="es-ES_tradnl"/>
        </w:rPr>
        <w:t xml:space="preserve"> de 20</w:t>
      </w:r>
      <w:r w:rsidR="00731B46" w:rsidRPr="005D5579">
        <w:rPr>
          <w:rFonts w:ascii="Arial" w:eastAsia="Calibri" w:hAnsi="Arial" w:cs="Arial"/>
          <w:sz w:val="22"/>
          <w:lang w:val="es-ES_tradnl"/>
        </w:rPr>
        <w:t>21.</w:t>
      </w:r>
    </w:p>
    <w:p w14:paraId="1D13401D" w14:textId="77777777" w:rsidR="00BE1E33" w:rsidRPr="00A32FFB" w:rsidRDefault="00BE1E33" w:rsidP="00A32FFB">
      <w:pPr>
        <w:spacing w:line="276" w:lineRule="auto"/>
        <w:jc w:val="both"/>
        <w:rPr>
          <w:rFonts w:ascii="Arial" w:eastAsia="Calibri" w:hAnsi="Arial" w:cs="Arial"/>
          <w:sz w:val="22"/>
          <w:lang w:val="es-ES_tradnl"/>
        </w:rPr>
      </w:pPr>
    </w:p>
    <w:p w14:paraId="068F505C" w14:textId="6EE7386C" w:rsidR="00BE1E33" w:rsidRPr="00A32FFB" w:rsidRDefault="00BE1E33" w:rsidP="00A32FFB">
      <w:pPr>
        <w:pStyle w:val="Prrafodelista"/>
        <w:numPr>
          <w:ilvl w:val="0"/>
          <w:numId w:val="1"/>
        </w:numPr>
        <w:tabs>
          <w:tab w:val="left" w:pos="284"/>
        </w:tabs>
        <w:spacing w:line="276" w:lineRule="auto"/>
        <w:ind w:left="0" w:firstLine="0"/>
        <w:jc w:val="both"/>
        <w:rPr>
          <w:rFonts w:ascii="Arial" w:eastAsia="Calibri" w:hAnsi="Arial" w:cs="Arial"/>
          <w:b/>
          <w:sz w:val="22"/>
          <w:lang w:val="es-ES_tradnl"/>
        </w:rPr>
      </w:pPr>
      <w:r w:rsidRPr="00A32FFB">
        <w:rPr>
          <w:rFonts w:ascii="Arial" w:eastAsia="Calibri" w:hAnsi="Arial" w:cs="Arial"/>
          <w:b/>
          <w:sz w:val="22"/>
          <w:lang w:val="es-ES_tradnl"/>
        </w:rPr>
        <w:t xml:space="preserve">Problema planteado </w:t>
      </w:r>
    </w:p>
    <w:p w14:paraId="614A4DCD" w14:textId="77777777" w:rsidR="00777BEC" w:rsidRDefault="00777BEC" w:rsidP="00777BEC">
      <w:pPr>
        <w:pStyle w:val="NormalWeb"/>
        <w:shd w:val="clear" w:color="auto" w:fill="FFFFFF"/>
        <w:spacing w:before="0" w:beforeAutospacing="0" w:after="0" w:afterAutospacing="0" w:line="276" w:lineRule="auto"/>
        <w:jc w:val="both"/>
        <w:rPr>
          <w:rFonts w:ascii="Arial" w:eastAsia="Calibri" w:hAnsi="Arial" w:cs="Arial"/>
          <w:sz w:val="22"/>
          <w:szCs w:val="22"/>
          <w:lang w:val="es-ES"/>
        </w:rPr>
      </w:pPr>
    </w:p>
    <w:p w14:paraId="0A12A686" w14:textId="50F26944" w:rsidR="00575081" w:rsidRDefault="00777BEC" w:rsidP="00856577">
      <w:pPr>
        <w:pStyle w:val="NormalWeb"/>
        <w:shd w:val="clear" w:color="auto" w:fill="FFFFFF"/>
        <w:spacing w:before="0" w:beforeAutospacing="0" w:after="0" w:afterAutospacing="0" w:line="276" w:lineRule="auto"/>
        <w:jc w:val="both"/>
        <w:rPr>
          <w:rFonts w:ascii="Arial" w:eastAsia="Calibri" w:hAnsi="Arial" w:cs="Arial"/>
          <w:sz w:val="22"/>
        </w:rPr>
      </w:pPr>
      <w:r>
        <w:rPr>
          <w:rFonts w:ascii="Arial" w:eastAsia="Calibri" w:hAnsi="Arial" w:cs="Arial"/>
          <w:sz w:val="22"/>
          <w:szCs w:val="22"/>
          <w:lang w:val="es-ES"/>
        </w:rPr>
        <w:t>E</w:t>
      </w:r>
      <w:r w:rsidR="00A70F57" w:rsidRPr="00A32FFB">
        <w:rPr>
          <w:rFonts w:ascii="Arial" w:eastAsia="Calibri" w:hAnsi="Arial" w:cs="Arial"/>
          <w:sz w:val="22"/>
          <w:szCs w:val="22"/>
          <w:lang w:val="es-ES"/>
        </w:rPr>
        <w:t xml:space="preserve">n relación con </w:t>
      </w:r>
      <w:r w:rsidR="003D3B81" w:rsidRPr="000C0AA7">
        <w:rPr>
          <w:rFonts w:ascii="Arial" w:eastAsia="Calibri" w:hAnsi="Arial" w:cs="Arial"/>
          <w:sz w:val="22"/>
        </w:rPr>
        <w:t>los documentos tipo para los procesos de licitación de obra pú</w:t>
      </w:r>
      <w:r w:rsidR="003D3B81">
        <w:rPr>
          <w:rFonts w:ascii="Arial" w:eastAsia="Calibri" w:hAnsi="Arial" w:cs="Arial"/>
          <w:sz w:val="22"/>
        </w:rPr>
        <w:t>blica de infraestructura socia</w:t>
      </w:r>
      <w:r w:rsidR="007D70EC">
        <w:rPr>
          <w:rFonts w:ascii="Arial" w:eastAsia="Calibri" w:hAnsi="Arial" w:cs="Arial"/>
          <w:sz w:val="22"/>
        </w:rPr>
        <w:t>l</w:t>
      </w:r>
      <w:r w:rsidR="00967374">
        <w:rPr>
          <w:rFonts w:ascii="Arial" w:eastAsia="Calibri" w:hAnsi="Arial" w:cs="Arial"/>
          <w:sz w:val="22"/>
        </w:rPr>
        <w:t xml:space="preserve"> relacionados con el sector educativo</w:t>
      </w:r>
      <w:r>
        <w:rPr>
          <w:rFonts w:ascii="Arial" w:eastAsia="Calibri" w:hAnsi="Arial" w:cs="Arial"/>
          <w:sz w:val="22"/>
        </w:rPr>
        <w:t>, usted realiza la siguiente pregunta</w:t>
      </w:r>
      <w:r w:rsidR="00537682">
        <w:rPr>
          <w:rFonts w:ascii="Arial" w:eastAsia="Calibri" w:hAnsi="Arial" w:cs="Arial"/>
          <w:sz w:val="22"/>
        </w:rPr>
        <w:t>:</w:t>
      </w:r>
    </w:p>
    <w:p w14:paraId="2BFE9BB5" w14:textId="77777777" w:rsidR="00537682" w:rsidRDefault="00537682" w:rsidP="003D3B81">
      <w:pPr>
        <w:ind w:left="709" w:right="709"/>
        <w:jc w:val="both"/>
        <w:rPr>
          <w:rFonts w:ascii="Arial" w:eastAsia="Times New Roman" w:hAnsi="Arial" w:cs="Arial"/>
          <w:bCs/>
          <w:color w:val="000000"/>
          <w:sz w:val="21"/>
          <w:szCs w:val="21"/>
          <w:lang w:eastAsia="es-CO"/>
        </w:rPr>
      </w:pPr>
    </w:p>
    <w:p w14:paraId="78A09763" w14:textId="7EBD2DAA" w:rsidR="00F31211" w:rsidRDefault="003D3B81" w:rsidP="00967374">
      <w:pPr>
        <w:ind w:left="709" w:right="709"/>
        <w:jc w:val="both"/>
        <w:rPr>
          <w:rFonts w:ascii="Arial" w:eastAsia="Times New Roman" w:hAnsi="Arial" w:cs="Arial"/>
          <w:bCs/>
          <w:color w:val="000000"/>
          <w:sz w:val="21"/>
          <w:szCs w:val="21"/>
          <w:lang w:eastAsia="es-CO"/>
        </w:rPr>
      </w:pPr>
      <w:r w:rsidRPr="003D3B81">
        <w:rPr>
          <w:rFonts w:ascii="Arial" w:eastAsia="Times New Roman" w:hAnsi="Arial" w:cs="Arial"/>
          <w:bCs/>
          <w:color w:val="000000"/>
          <w:sz w:val="21"/>
          <w:szCs w:val="21"/>
          <w:lang w:eastAsia="es-CO"/>
        </w:rPr>
        <w:t>«</w:t>
      </w:r>
      <w:r w:rsidR="00511231" w:rsidRPr="00511231">
        <w:rPr>
          <w:rFonts w:ascii="Arial" w:eastAsia="Times New Roman" w:hAnsi="Arial" w:cs="Arial"/>
          <w:bCs/>
          <w:color w:val="000000"/>
          <w:sz w:val="21"/>
          <w:szCs w:val="21"/>
          <w:lang w:eastAsia="es-CO"/>
        </w:rPr>
        <w:t xml:space="preserve">Cuando la resolución 220 de 2021 emanada del director General de la Agencia Nacional de Contratación Pública, Colombia Compra Eficiente indica que para los procesos de licitación de obra pública que operan en la infraestructura social relacionada con el sector educativo, </w:t>
      </w:r>
      <w:r w:rsidR="00245EDC">
        <w:rPr>
          <w:rFonts w:ascii="Arial" w:eastAsia="Times New Roman" w:hAnsi="Arial" w:cs="Arial"/>
          <w:bCs/>
          <w:color w:val="000000"/>
          <w:sz w:val="21"/>
          <w:szCs w:val="21"/>
          <w:lang w:eastAsia="es-CO"/>
        </w:rPr>
        <w:t xml:space="preserve">[¿] </w:t>
      </w:r>
      <w:r w:rsidR="00511231" w:rsidRPr="00511231">
        <w:rPr>
          <w:rFonts w:ascii="Arial" w:eastAsia="Times New Roman" w:hAnsi="Arial" w:cs="Arial"/>
          <w:bCs/>
          <w:color w:val="000000"/>
          <w:sz w:val="21"/>
          <w:szCs w:val="21"/>
          <w:lang w:eastAsia="es-CO"/>
        </w:rPr>
        <w:t>se ha de entender o no que en el referido sector educativo se encuentran incluidas las Instituciones Universitarias de Educación Superior de carácter Estatal en su condición de Establecimientos Públicos del orden departamental, con Patrimonio Propio, Autonomía Administrativa y Personería Jurídica?</w:t>
      </w:r>
      <w:r w:rsidRPr="003D3B81">
        <w:rPr>
          <w:rFonts w:ascii="Arial" w:eastAsia="Times New Roman" w:hAnsi="Arial" w:cs="Arial"/>
          <w:bCs/>
          <w:color w:val="000000"/>
          <w:sz w:val="21"/>
          <w:szCs w:val="21"/>
          <w:lang w:eastAsia="es-CO"/>
        </w:rPr>
        <w:t>»</w:t>
      </w:r>
      <w:r w:rsidR="00777BEC">
        <w:rPr>
          <w:rFonts w:ascii="Arial" w:eastAsia="Times New Roman" w:hAnsi="Arial" w:cs="Arial"/>
          <w:bCs/>
          <w:color w:val="000000"/>
          <w:sz w:val="21"/>
          <w:szCs w:val="21"/>
          <w:lang w:eastAsia="es-CO"/>
        </w:rPr>
        <w:t>.</w:t>
      </w:r>
    </w:p>
    <w:p w14:paraId="71A9C43C" w14:textId="77777777" w:rsidR="003D3B81" w:rsidRPr="00856577" w:rsidRDefault="003D3B81" w:rsidP="00856577">
      <w:pPr>
        <w:spacing w:line="276" w:lineRule="auto"/>
        <w:ind w:left="709" w:right="709"/>
        <w:jc w:val="both"/>
        <w:rPr>
          <w:rFonts w:ascii="Arial" w:eastAsia="Times New Roman" w:hAnsi="Arial" w:cs="Arial"/>
          <w:bCs/>
          <w:color w:val="000000"/>
          <w:sz w:val="22"/>
          <w:lang w:eastAsia="es-CO"/>
        </w:rPr>
      </w:pPr>
    </w:p>
    <w:p w14:paraId="06D9611F" w14:textId="5264B7C7" w:rsidR="00537682" w:rsidRPr="000D6983" w:rsidRDefault="00BE1E33" w:rsidP="000D6983">
      <w:pPr>
        <w:pStyle w:val="Prrafodelista"/>
        <w:numPr>
          <w:ilvl w:val="0"/>
          <w:numId w:val="1"/>
        </w:numPr>
        <w:tabs>
          <w:tab w:val="left" w:pos="426"/>
        </w:tabs>
        <w:spacing w:line="276" w:lineRule="auto"/>
        <w:ind w:left="284" w:hanging="284"/>
        <w:jc w:val="both"/>
        <w:rPr>
          <w:rFonts w:ascii="Arial" w:eastAsia="Calibri" w:hAnsi="Arial" w:cs="Arial"/>
          <w:b/>
          <w:sz w:val="22"/>
          <w:lang w:val="es-ES_tradnl"/>
        </w:rPr>
      </w:pPr>
      <w:r w:rsidRPr="00A32FFB">
        <w:rPr>
          <w:rFonts w:ascii="Arial" w:eastAsia="Calibri" w:hAnsi="Arial" w:cs="Arial"/>
          <w:b/>
          <w:sz w:val="22"/>
          <w:lang w:val="es-ES_tradnl"/>
        </w:rPr>
        <w:t>Consideraciones</w:t>
      </w:r>
    </w:p>
    <w:p w14:paraId="1ABE78A9" w14:textId="77777777" w:rsidR="000C0066" w:rsidRDefault="000C0066" w:rsidP="000C0066">
      <w:pPr>
        <w:pStyle w:val="Prrafodelista"/>
        <w:tabs>
          <w:tab w:val="left" w:pos="426"/>
        </w:tabs>
        <w:spacing w:before="120" w:after="120" w:line="276" w:lineRule="auto"/>
        <w:ind w:left="0"/>
        <w:jc w:val="both"/>
        <w:rPr>
          <w:rFonts w:ascii="Arial" w:eastAsia="Calibri" w:hAnsi="Arial" w:cs="Arial"/>
          <w:sz w:val="22"/>
        </w:rPr>
      </w:pPr>
    </w:p>
    <w:p w14:paraId="5A6DEEEF" w14:textId="75423FBC" w:rsidR="00575081" w:rsidRPr="00C07863" w:rsidRDefault="00575081" w:rsidP="000C0066">
      <w:pPr>
        <w:pStyle w:val="Prrafodelista"/>
        <w:tabs>
          <w:tab w:val="left" w:pos="426"/>
        </w:tabs>
        <w:spacing w:before="120" w:after="120" w:line="276" w:lineRule="auto"/>
        <w:ind w:left="0"/>
        <w:jc w:val="both"/>
        <w:rPr>
          <w:rFonts w:ascii="Arial" w:eastAsia="Calibri" w:hAnsi="Arial" w:cs="Arial"/>
          <w:b/>
          <w:sz w:val="22"/>
          <w:lang w:val="es-ES_tradnl"/>
        </w:rPr>
      </w:pPr>
      <w:r w:rsidRPr="00C07863">
        <w:rPr>
          <w:rFonts w:ascii="Arial" w:eastAsia="Calibri" w:hAnsi="Arial" w:cs="Arial"/>
          <w:sz w:val="22"/>
        </w:rPr>
        <w:t xml:space="preserve">Para absolver los interrogantes formulados, esta dependencia analizará los siguientes temas: i) </w:t>
      </w:r>
      <w:r w:rsidR="00117B90" w:rsidRPr="00C07863">
        <w:rPr>
          <w:rFonts w:ascii="Arial" w:eastAsia="Calibri" w:hAnsi="Arial" w:cs="Arial"/>
          <w:sz w:val="22"/>
        </w:rPr>
        <w:t xml:space="preserve">ámbito de aplicación, </w:t>
      </w:r>
      <w:r w:rsidR="003D3B81" w:rsidRPr="00C07863">
        <w:rPr>
          <w:rFonts w:ascii="Arial" w:eastAsia="Calibri" w:hAnsi="Arial" w:cs="Arial"/>
          <w:sz w:val="22"/>
        </w:rPr>
        <w:t>obligatoriedad</w:t>
      </w:r>
      <w:r w:rsidR="00117B90" w:rsidRPr="00C07863">
        <w:rPr>
          <w:rFonts w:ascii="Arial" w:eastAsia="Calibri" w:hAnsi="Arial" w:cs="Arial"/>
          <w:sz w:val="22"/>
        </w:rPr>
        <w:t xml:space="preserve"> e inalterabilidad</w:t>
      </w:r>
      <w:r w:rsidR="003D3B81" w:rsidRPr="00C07863">
        <w:rPr>
          <w:rFonts w:ascii="Arial" w:eastAsia="Calibri" w:hAnsi="Arial" w:cs="Arial"/>
          <w:sz w:val="22"/>
        </w:rPr>
        <w:t xml:space="preserve"> de los documentos tipo</w:t>
      </w:r>
      <w:r w:rsidRPr="00C07863">
        <w:rPr>
          <w:rFonts w:ascii="Arial" w:eastAsia="Calibri" w:hAnsi="Arial" w:cs="Arial"/>
          <w:sz w:val="22"/>
        </w:rPr>
        <w:t xml:space="preserve">; ii) </w:t>
      </w:r>
      <w:r w:rsidR="007376B3" w:rsidRPr="00C07863">
        <w:rPr>
          <w:rFonts w:ascii="Arial" w:eastAsia="Calibri" w:hAnsi="Arial" w:cs="Arial"/>
          <w:sz w:val="22"/>
        </w:rPr>
        <w:t>documentos tipo</w:t>
      </w:r>
      <w:r w:rsidR="00136E12">
        <w:rPr>
          <w:rFonts w:ascii="Arial" w:eastAsia="Calibri" w:hAnsi="Arial" w:cs="Arial"/>
          <w:sz w:val="22"/>
        </w:rPr>
        <w:t xml:space="preserve"> complementarios</w:t>
      </w:r>
      <w:r w:rsidR="007376B3" w:rsidRPr="00C07863">
        <w:rPr>
          <w:rFonts w:ascii="Arial" w:eastAsia="Calibri" w:hAnsi="Arial" w:cs="Arial"/>
          <w:sz w:val="22"/>
        </w:rPr>
        <w:t xml:space="preserve"> para los procesos de licitación de obra pública de infraestructura social </w:t>
      </w:r>
      <w:r w:rsidR="009C644E">
        <w:rPr>
          <w:rFonts w:ascii="Arial" w:eastAsia="Calibri" w:hAnsi="Arial" w:cs="Arial"/>
          <w:sz w:val="22"/>
        </w:rPr>
        <w:t xml:space="preserve">relacionados con el sector educativo y, </w:t>
      </w:r>
      <w:proofErr w:type="spellStart"/>
      <w:r w:rsidR="009C644E">
        <w:rPr>
          <w:rFonts w:ascii="Arial" w:eastAsia="Calibri" w:hAnsi="Arial" w:cs="Arial"/>
          <w:sz w:val="22"/>
        </w:rPr>
        <w:t>iii</w:t>
      </w:r>
      <w:proofErr w:type="spellEnd"/>
      <w:r w:rsidR="009C644E">
        <w:rPr>
          <w:rFonts w:ascii="Arial" w:eastAsia="Calibri" w:hAnsi="Arial" w:cs="Arial"/>
          <w:sz w:val="22"/>
        </w:rPr>
        <w:t xml:space="preserve">) </w:t>
      </w:r>
      <w:r w:rsidR="00E335A9">
        <w:rPr>
          <w:rFonts w:ascii="Arial" w:eastAsia="Calibri" w:hAnsi="Arial" w:cs="Arial"/>
          <w:sz w:val="22"/>
        </w:rPr>
        <w:t xml:space="preserve">aplicación de los documentos tipo </w:t>
      </w:r>
      <w:r w:rsidR="005D391C">
        <w:rPr>
          <w:rFonts w:ascii="Arial" w:eastAsia="Calibri" w:hAnsi="Arial" w:cs="Arial"/>
          <w:sz w:val="22"/>
        </w:rPr>
        <w:t>relacionados con el sector educativo para establecimientos públicos – instituciones educativas de educación superior</w:t>
      </w:r>
      <w:r w:rsidR="007376B3" w:rsidRPr="00C07863">
        <w:rPr>
          <w:rFonts w:ascii="Arial" w:eastAsia="Calibri" w:hAnsi="Arial" w:cs="Arial"/>
          <w:sz w:val="22"/>
        </w:rPr>
        <w:t>.</w:t>
      </w:r>
      <w:r w:rsidRPr="00C07863">
        <w:rPr>
          <w:rFonts w:ascii="Arial" w:eastAsia="Calibri" w:hAnsi="Arial" w:cs="Arial"/>
          <w:sz w:val="22"/>
        </w:rPr>
        <w:t xml:space="preserve"> </w:t>
      </w:r>
    </w:p>
    <w:p w14:paraId="4750B148" w14:textId="3A8DDC67" w:rsidR="000C0066" w:rsidRDefault="00117B90" w:rsidP="00777BEC">
      <w:pPr>
        <w:spacing w:before="120" w:line="276" w:lineRule="auto"/>
        <w:ind w:firstLine="708"/>
        <w:jc w:val="both"/>
        <w:rPr>
          <w:rFonts w:ascii="Arial" w:eastAsia="Calibri" w:hAnsi="Arial" w:cs="Arial"/>
          <w:sz w:val="22"/>
        </w:rPr>
      </w:pPr>
      <w:r w:rsidRPr="00B00AFD">
        <w:rPr>
          <w:rFonts w:ascii="Arial" w:eastAsia="Calibri" w:hAnsi="Arial" w:cs="Arial"/>
          <w:color w:val="000000" w:themeColor="text1"/>
          <w:sz w:val="22"/>
          <w:lang w:val="es-ES_tradnl"/>
        </w:rPr>
        <w:t>La Agencia Nacional de Contratación Pública – Colombia Compra Eficiente ha estudiado 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w:t>
      </w:r>
      <w:r>
        <w:rPr>
          <w:rFonts w:ascii="Arial" w:eastAsia="Calibri" w:hAnsi="Arial" w:cs="Arial"/>
          <w:color w:val="000000" w:themeColor="text1"/>
          <w:sz w:val="22"/>
          <w:lang w:val="es-ES_tradnl"/>
        </w:rPr>
        <w:t>, C-370 del 28 de julio de 2021</w:t>
      </w:r>
      <w:r w:rsidR="00B64553">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 xml:space="preserve"> C-380 del 29 de julio de 2021</w:t>
      </w:r>
      <w:r w:rsidR="00B64553">
        <w:rPr>
          <w:rFonts w:ascii="Arial" w:eastAsia="Calibri" w:hAnsi="Arial" w:cs="Arial"/>
          <w:color w:val="000000" w:themeColor="text1"/>
          <w:sz w:val="22"/>
          <w:lang w:val="es-ES_tradnl"/>
        </w:rPr>
        <w:t xml:space="preserve"> y C-493 del 14 de septiembre de 2021,</w:t>
      </w:r>
      <w:r>
        <w:rPr>
          <w:rFonts w:ascii="Arial" w:eastAsia="Calibri" w:hAnsi="Arial" w:cs="Arial"/>
          <w:color w:val="000000" w:themeColor="text1"/>
          <w:sz w:val="22"/>
          <w:lang w:val="es-ES_tradnl"/>
        </w:rPr>
        <w:t xml:space="preserve"> </w:t>
      </w:r>
      <w:r w:rsidRPr="00B00AFD">
        <w:rPr>
          <w:rFonts w:ascii="Arial" w:eastAsia="Calibri" w:hAnsi="Arial" w:cs="Arial"/>
          <w:color w:val="000000" w:themeColor="text1"/>
          <w:sz w:val="22"/>
          <w:lang w:val="es-ES_tradnl"/>
        </w:rPr>
        <w:t>entre otros.</w:t>
      </w:r>
      <w:r w:rsidR="00B64553">
        <w:rPr>
          <w:rFonts w:ascii="Arial" w:eastAsia="Calibri" w:hAnsi="Arial" w:cs="Arial"/>
          <w:color w:val="000000" w:themeColor="text1"/>
          <w:sz w:val="22"/>
          <w:lang w:val="es-ES_tradnl"/>
        </w:rPr>
        <w:t xml:space="preserve"> </w:t>
      </w:r>
      <w:r w:rsidR="00527ED4">
        <w:rPr>
          <w:rFonts w:ascii="Arial" w:eastAsia="Calibri" w:hAnsi="Arial" w:cs="Arial"/>
          <w:color w:val="000000" w:themeColor="text1"/>
          <w:sz w:val="22"/>
          <w:lang w:val="es-ES_tradnl"/>
        </w:rPr>
        <w:t xml:space="preserve">Finalmente, en los conceptos C-536 del 29 de septiembre de 2021 y </w:t>
      </w:r>
      <w:r w:rsidR="00C37DBE" w:rsidRPr="00C37DBE">
        <w:rPr>
          <w:rFonts w:ascii="Arial" w:eastAsia="Calibri" w:hAnsi="Arial" w:cs="Arial"/>
          <w:color w:val="000000" w:themeColor="text1"/>
          <w:sz w:val="22"/>
        </w:rPr>
        <w:t>P20210826007696</w:t>
      </w:r>
      <w:r w:rsidR="00C37DBE">
        <w:rPr>
          <w:rFonts w:ascii="Arial" w:eastAsia="Calibri" w:hAnsi="Arial" w:cs="Arial"/>
          <w:color w:val="000000" w:themeColor="text1"/>
          <w:sz w:val="22"/>
        </w:rPr>
        <w:t xml:space="preserve"> del 6 de octubre de 2021 se analizó</w:t>
      </w:r>
      <w:r w:rsidR="00306372">
        <w:rPr>
          <w:rFonts w:ascii="Arial" w:eastAsia="Calibri" w:hAnsi="Arial" w:cs="Arial"/>
          <w:color w:val="000000" w:themeColor="text1"/>
          <w:sz w:val="22"/>
        </w:rPr>
        <w:t xml:space="preserve"> la aplicación de los documentos tipo </w:t>
      </w:r>
      <w:r w:rsidR="00306372">
        <w:rPr>
          <w:rFonts w:ascii="Arial" w:eastAsia="Calibri" w:hAnsi="Arial" w:cs="Arial"/>
          <w:sz w:val="22"/>
        </w:rPr>
        <w:t>complementarios</w:t>
      </w:r>
      <w:r w:rsidR="00306372" w:rsidRPr="00C07863">
        <w:rPr>
          <w:rFonts w:ascii="Arial" w:eastAsia="Calibri" w:hAnsi="Arial" w:cs="Arial"/>
          <w:sz w:val="22"/>
        </w:rPr>
        <w:t xml:space="preserve"> para los procesos de licitación de obra pública de infraestructura social </w:t>
      </w:r>
      <w:r w:rsidR="00306372">
        <w:rPr>
          <w:rFonts w:ascii="Arial" w:eastAsia="Calibri" w:hAnsi="Arial" w:cs="Arial"/>
          <w:sz w:val="22"/>
        </w:rPr>
        <w:t>relacionados con el sector educativo.</w:t>
      </w:r>
      <w:r w:rsidR="00B64553">
        <w:rPr>
          <w:rFonts w:ascii="Arial" w:eastAsia="Calibri" w:hAnsi="Arial" w:cs="Arial"/>
          <w:color w:val="000000" w:themeColor="text1"/>
          <w:sz w:val="22"/>
          <w:lang w:val="es-ES_tradnl"/>
        </w:rPr>
        <w:t xml:space="preserve"> </w:t>
      </w:r>
      <w:r w:rsidR="00575081" w:rsidRPr="00B64553">
        <w:rPr>
          <w:rFonts w:ascii="Arial" w:eastAsia="Calibri" w:hAnsi="Arial" w:cs="Arial"/>
          <w:sz w:val="22"/>
        </w:rPr>
        <w:t>Las tesis expuestas en los anteriores conceptos se reiteran a continuación y se complementan en lo pertinente</w:t>
      </w:r>
      <w:r w:rsidR="00777BEC">
        <w:rPr>
          <w:rFonts w:ascii="Arial" w:eastAsia="Calibri" w:hAnsi="Arial" w:cs="Arial"/>
          <w:sz w:val="22"/>
        </w:rPr>
        <w:t>:</w:t>
      </w:r>
      <w:r w:rsidR="00575081" w:rsidRPr="00575081">
        <w:rPr>
          <w:rFonts w:ascii="Arial" w:eastAsia="Calibri" w:hAnsi="Arial" w:cs="Arial"/>
          <w:sz w:val="22"/>
        </w:rPr>
        <w:t xml:space="preserve"> </w:t>
      </w:r>
    </w:p>
    <w:p w14:paraId="2F655B73" w14:textId="77777777" w:rsidR="00777BEC" w:rsidRPr="000D6983" w:rsidRDefault="00777BEC" w:rsidP="00856577">
      <w:pPr>
        <w:spacing w:line="276" w:lineRule="auto"/>
        <w:ind w:firstLine="708"/>
        <w:jc w:val="both"/>
        <w:rPr>
          <w:rFonts w:ascii="Arial" w:eastAsia="Calibri" w:hAnsi="Arial" w:cs="Arial"/>
          <w:sz w:val="22"/>
        </w:rPr>
      </w:pPr>
    </w:p>
    <w:p w14:paraId="5278956F" w14:textId="3DA0E369" w:rsidR="004D4385" w:rsidRPr="00D059DA" w:rsidRDefault="004D4385" w:rsidP="00856577">
      <w:pPr>
        <w:jc w:val="both"/>
        <w:rPr>
          <w:rFonts w:ascii="Arial" w:eastAsia="Calibri" w:hAnsi="Arial" w:cs="Arial"/>
          <w:b/>
          <w:sz w:val="22"/>
        </w:rPr>
      </w:pPr>
      <w:r w:rsidRPr="00D059DA">
        <w:rPr>
          <w:rFonts w:ascii="Arial" w:eastAsia="Calibri" w:hAnsi="Arial" w:cs="Arial"/>
          <w:b/>
          <w:sz w:val="22"/>
        </w:rPr>
        <w:t xml:space="preserve">2.1. </w:t>
      </w:r>
      <w:r w:rsidR="009034CF">
        <w:rPr>
          <w:rFonts w:ascii="Arial" w:eastAsia="Calibri" w:hAnsi="Arial" w:cs="Arial"/>
          <w:b/>
          <w:sz w:val="22"/>
        </w:rPr>
        <w:t xml:space="preserve">Ámbito de </w:t>
      </w:r>
      <w:r w:rsidR="00117B90">
        <w:rPr>
          <w:rFonts w:ascii="Arial" w:eastAsia="Calibri" w:hAnsi="Arial" w:cs="Arial"/>
          <w:b/>
          <w:sz w:val="22"/>
        </w:rPr>
        <w:t>aplicación,</w:t>
      </w:r>
      <w:r w:rsidR="009034CF" w:rsidRPr="00482262">
        <w:rPr>
          <w:rFonts w:ascii="Arial" w:eastAsia="Calibri" w:hAnsi="Arial" w:cs="Arial"/>
          <w:b/>
          <w:sz w:val="22"/>
        </w:rPr>
        <w:t xml:space="preserve"> obligatoriedad </w:t>
      </w:r>
      <w:r w:rsidR="00117B90">
        <w:rPr>
          <w:rFonts w:ascii="Arial" w:eastAsia="Calibri" w:hAnsi="Arial" w:cs="Arial"/>
          <w:b/>
          <w:sz w:val="22"/>
        </w:rPr>
        <w:t xml:space="preserve">e inalterabilidad </w:t>
      </w:r>
      <w:r w:rsidR="009034CF" w:rsidRPr="00482262">
        <w:rPr>
          <w:rFonts w:ascii="Arial" w:eastAsia="Calibri" w:hAnsi="Arial" w:cs="Arial"/>
          <w:b/>
          <w:sz w:val="22"/>
        </w:rPr>
        <w:t>de</w:t>
      </w:r>
      <w:r w:rsidR="009034CF">
        <w:rPr>
          <w:rFonts w:ascii="Arial" w:eastAsia="Calibri" w:hAnsi="Arial" w:cs="Arial"/>
          <w:b/>
          <w:sz w:val="22"/>
        </w:rPr>
        <w:t xml:space="preserve"> los </w:t>
      </w:r>
      <w:r w:rsidR="004C0895">
        <w:rPr>
          <w:rFonts w:ascii="Arial" w:eastAsia="Calibri" w:hAnsi="Arial" w:cs="Arial"/>
          <w:b/>
          <w:sz w:val="22"/>
        </w:rPr>
        <w:t xml:space="preserve">documentos tipo </w:t>
      </w:r>
    </w:p>
    <w:p w14:paraId="5E466050" w14:textId="77777777" w:rsidR="00777BEC" w:rsidRDefault="00777BEC" w:rsidP="00856577">
      <w:pPr>
        <w:shd w:val="clear" w:color="auto" w:fill="FFFFFF"/>
        <w:spacing w:line="276" w:lineRule="auto"/>
        <w:jc w:val="both"/>
        <w:rPr>
          <w:rFonts w:ascii="Arial" w:hAnsi="Arial" w:cs="Arial"/>
          <w:color w:val="0D0D0D"/>
          <w:sz w:val="22"/>
          <w:bdr w:val="none" w:sz="0" w:space="0" w:color="auto" w:frame="1"/>
          <w:lang w:eastAsia="es-CO"/>
        </w:rPr>
      </w:pPr>
    </w:p>
    <w:p w14:paraId="75E53F5A" w14:textId="15B1BA57" w:rsidR="00B64553" w:rsidRPr="0043040E" w:rsidRDefault="00B64553" w:rsidP="000C0066">
      <w:pPr>
        <w:shd w:val="clear" w:color="auto" w:fill="FFFFFF"/>
        <w:spacing w:before="120" w:after="120" w:line="276" w:lineRule="auto"/>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 xml:space="preserve">Los pliegos tipo </w:t>
      </w:r>
      <w:r>
        <w:rPr>
          <w:rFonts w:ascii="Arial" w:hAnsi="Arial" w:cs="Arial"/>
          <w:color w:val="0D0D0D"/>
          <w:sz w:val="22"/>
          <w:bdr w:val="none" w:sz="0" w:space="0" w:color="auto" w:frame="1"/>
          <w:lang w:eastAsia="es-CO"/>
        </w:rPr>
        <w:t>surgen</w:t>
      </w:r>
      <w:r w:rsidRPr="0043040E">
        <w:rPr>
          <w:rFonts w:ascii="Arial" w:hAnsi="Arial" w:cs="Arial"/>
          <w:color w:val="0D0D0D"/>
          <w:sz w:val="22"/>
          <w:bdr w:val="none" w:sz="0" w:space="0" w:color="auto" w:frame="1"/>
          <w:lang w:eastAsia="es-CO"/>
        </w:rPr>
        <w:t xml:space="preserve"> en el </w:t>
      </w:r>
      <w:r>
        <w:rPr>
          <w:rFonts w:ascii="Arial" w:hAnsi="Arial" w:cs="Arial"/>
          <w:color w:val="0D0D0D"/>
          <w:sz w:val="22"/>
          <w:bdr w:val="none" w:sz="0" w:space="0" w:color="auto" w:frame="1"/>
          <w:lang w:eastAsia="es-CO"/>
        </w:rPr>
        <w:t xml:space="preserve">año </w:t>
      </w:r>
      <w:r w:rsidRPr="0043040E">
        <w:rPr>
          <w:rFonts w:ascii="Arial" w:hAnsi="Arial" w:cs="Arial"/>
          <w:color w:val="0D0D0D"/>
          <w:sz w:val="22"/>
          <w:bdr w:val="none" w:sz="0" w:space="0" w:color="auto" w:frame="1"/>
          <w:lang w:eastAsia="es-CO"/>
        </w:rPr>
        <w:t xml:space="preserve">2007 cuando el </w:t>
      </w:r>
      <w:r>
        <w:rPr>
          <w:rFonts w:ascii="Arial" w:hAnsi="Arial" w:cs="Arial"/>
          <w:color w:val="0D0D0D"/>
          <w:sz w:val="22"/>
          <w:bdr w:val="none" w:sz="0" w:space="0" w:color="auto" w:frame="1"/>
          <w:lang w:eastAsia="es-CO"/>
        </w:rPr>
        <w:t xml:space="preserve">legislador facultó al Gobierno </w:t>
      </w:r>
      <w:r w:rsidR="00537682">
        <w:rPr>
          <w:rFonts w:ascii="Arial" w:hAnsi="Arial" w:cs="Arial"/>
          <w:color w:val="0D0D0D"/>
          <w:sz w:val="22"/>
          <w:bdr w:val="none" w:sz="0" w:space="0" w:color="auto" w:frame="1"/>
          <w:lang w:eastAsia="es-CO"/>
        </w:rPr>
        <w:t>N</w:t>
      </w:r>
      <w:r w:rsidRPr="0043040E">
        <w:rPr>
          <w:rFonts w:ascii="Arial" w:hAnsi="Arial" w:cs="Arial"/>
          <w:color w:val="0D0D0D"/>
          <w:sz w:val="22"/>
          <w:bdr w:val="none" w:sz="0" w:space="0" w:color="auto" w:frame="1"/>
          <w:lang w:eastAsia="es-CO"/>
        </w:rPr>
        <w:t xml:space="preserve">acional para adoptarlos en la compra o suministro de bienes </w:t>
      </w:r>
      <w:r w:rsidR="004F4787">
        <w:rPr>
          <w:rFonts w:ascii="Arial" w:hAnsi="Arial" w:cs="Arial"/>
          <w:color w:val="0D0D0D"/>
          <w:sz w:val="22"/>
          <w:bdr w:val="none" w:sz="0" w:space="0" w:color="auto" w:frame="1"/>
          <w:lang w:eastAsia="es-CO"/>
        </w:rPr>
        <w:t xml:space="preserve">y servicios </w:t>
      </w:r>
      <w:r w:rsidRPr="0043040E">
        <w:rPr>
          <w:rFonts w:ascii="Arial" w:hAnsi="Arial" w:cs="Arial"/>
          <w:color w:val="0D0D0D"/>
          <w:sz w:val="22"/>
          <w:bdr w:val="none" w:sz="0" w:space="0" w:color="auto" w:frame="1"/>
          <w:lang w:eastAsia="es-CO"/>
        </w:rPr>
        <w:t>de características técnicas uniformes</w:t>
      </w:r>
      <w:r w:rsidRPr="00CA5C6B">
        <w:rPr>
          <w:rStyle w:val="Refdenotaalpie"/>
          <w:rFonts w:ascii="Arial" w:hAnsi="Arial" w:cs="Arial"/>
          <w:color w:val="0D0D0D"/>
          <w:sz w:val="22"/>
          <w:bdr w:val="none" w:sz="0" w:space="0" w:color="auto" w:frame="1"/>
          <w:lang w:eastAsia="es-CO"/>
        </w:rPr>
        <w:footnoteReference w:id="1"/>
      </w:r>
      <w:r w:rsidRPr="0043040E">
        <w:rPr>
          <w:rFonts w:ascii="Arial" w:hAnsi="Arial" w:cs="Arial"/>
          <w:color w:val="0D0D0D"/>
          <w:sz w:val="22"/>
          <w:bdr w:val="none" w:sz="0" w:space="0" w:color="auto" w:frame="1"/>
          <w:lang w:eastAsia="es-CO"/>
        </w:rPr>
        <w:t>. La orientación inicial del proyecto que se convirtió en la Ley 1150 de</w:t>
      </w:r>
      <w:r>
        <w:rPr>
          <w:rFonts w:ascii="Arial" w:hAnsi="Arial" w:cs="Arial"/>
          <w:color w:val="0D0D0D"/>
          <w:sz w:val="22"/>
          <w:bdr w:val="none" w:sz="0" w:space="0" w:color="auto" w:frame="1"/>
          <w:lang w:eastAsia="es-CO"/>
        </w:rPr>
        <w:t xml:space="preserve"> 2007 era facultar al Gobierno </w:t>
      </w:r>
      <w:r w:rsidR="00537682">
        <w:rPr>
          <w:rFonts w:ascii="Arial" w:hAnsi="Arial" w:cs="Arial"/>
          <w:color w:val="0D0D0D"/>
          <w:sz w:val="22"/>
          <w:bdr w:val="none" w:sz="0" w:space="0" w:color="auto" w:frame="1"/>
          <w:lang w:eastAsia="es-CO"/>
        </w:rPr>
        <w:t>N</w:t>
      </w:r>
      <w:r w:rsidRPr="0043040E">
        <w:rPr>
          <w:rFonts w:ascii="Arial" w:hAnsi="Arial" w:cs="Arial"/>
          <w:color w:val="0D0D0D"/>
          <w:sz w:val="22"/>
          <w:bdr w:val="none" w:sz="0" w:space="0" w:color="auto" w:frame="1"/>
          <w:lang w:eastAsia="es-CO"/>
        </w:rPr>
        <w:t>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CA5C6B">
        <w:rPr>
          <w:rStyle w:val="Refdenotaalpie"/>
          <w:rFonts w:ascii="Arial" w:hAnsi="Arial" w:cs="Arial"/>
          <w:color w:val="0D0D0D"/>
          <w:sz w:val="22"/>
          <w:bdr w:val="none" w:sz="0" w:space="0" w:color="auto" w:frame="1"/>
          <w:lang w:eastAsia="es-CO"/>
        </w:rPr>
        <w:footnoteReference w:id="2"/>
      </w:r>
      <w:r w:rsidRPr="0043040E">
        <w:rPr>
          <w:rFonts w:ascii="Arial" w:hAnsi="Arial" w:cs="Arial"/>
          <w:color w:val="0D0D0D"/>
          <w:sz w:val="22"/>
          <w:bdr w:val="none" w:sz="0" w:space="0" w:color="auto" w:frame="1"/>
          <w:lang w:eastAsia="es-CO"/>
        </w:rPr>
        <w:t>. </w:t>
      </w:r>
    </w:p>
    <w:p w14:paraId="76BC5A6D" w14:textId="44DE24E6" w:rsidR="00B64553" w:rsidRDefault="00B64553" w:rsidP="00856577">
      <w:pPr>
        <w:shd w:val="clear" w:color="auto" w:fill="FFFFFF"/>
        <w:spacing w:after="120" w:line="276" w:lineRule="auto"/>
        <w:ind w:firstLine="708"/>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lastRenderedPageBreak/>
        <w:t>La intención era agilizar y dar mayor transparencia a los procedimientos de selección, así como evitar el direccionamiento, razón por la cual –conforme a lo explicado en la exposición de motivos– «[…]</w:t>
      </w:r>
      <w:r w:rsidRPr="00CA5C6B">
        <w:rPr>
          <w:rFonts w:ascii="Arial" w:hAnsi="Arial" w:cs="Arial"/>
          <w:color w:val="0D0D0D"/>
          <w:sz w:val="22"/>
          <w:bdr w:val="none" w:sz="0" w:space="0" w:color="auto" w:frame="1"/>
          <w:lang w:eastAsia="es-CO"/>
        </w:rPr>
        <w:t xml:space="preserve"> </w:t>
      </w:r>
      <w:r w:rsidRPr="0043040E">
        <w:rPr>
          <w:rFonts w:ascii="Arial" w:hAnsi="Arial" w:cs="Arial"/>
          <w:color w:val="0D0D0D"/>
          <w:sz w:val="22"/>
          <w:bdr w:val="none" w:sz="0" w:space="0" w:color="auto" w:frame="1"/>
          <w:lang w:eastAsia="es-CO"/>
        </w:rPr>
        <w:t>se asigna al Gobierno Nacional la facultad de estandarizar los pliegos de condiciones y términos de referencia de los contratos, medida que redundará en la agilidad y claridad de los procedimientos»</w:t>
      </w:r>
      <w:r w:rsidRPr="00CA5C6B">
        <w:rPr>
          <w:rStyle w:val="Refdenotaalpie"/>
          <w:rFonts w:ascii="Arial" w:hAnsi="Arial" w:cs="Arial"/>
          <w:color w:val="0D0D0D"/>
          <w:sz w:val="22"/>
          <w:bdr w:val="none" w:sz="0" w:space="0" w:color="auto" w:frame="1"/>
          <w:lang w:eastAsia="es-CO"/>
        </w:rPr>
        <w:footnoteReference w:id="3"/>
      </w:r>
      <w:r w:rsidRPr="0043040E">
        <w:rPr>
          <w:rFonts w:ascii="Arial" w:hAnsi="Arial" w:cs="Arial"/>
          <w:color w:val="0D0D0D"/>
          <w:sz w:val="22"/>
          <w:bdr w:val="none" w:sz="0" w:space="0" w:color="auto" w:frame="1"/>
          <w:lang w:eastAsia="es-CO"/>
        </w:rPr>
        <w:t>. Sin embargo, en el texto aprobado, los pliegos tipo se limitaron a la adquisición o suministro de bienes de características técnicas uniformes</w:t>
      </w:r>
      <w:r w:rsidRPr="00CA5C6B">
        <w:rPr>
          <w:rStyle w:val="Refdenotaalpie"/>
          <w:rFonts w:ascii="Arial" w:hAnsi="Arial" w:cs="Arial"/>
          <w:color w:val="0D0D0D"/>
          <w:sz w:val="22"/>
          <w:bdr w:val="none" w:sz="0" w:space="0" w:color="auto" w:frame="1"/>
          <w:lang w:eastAsia="es-CO"/>
        </w:rPr>
        <w:footnoteReference w:id="4"/>
      </w:r>
      <w:r w:rsidRPr="0043040E">
        <w:rPr>
          <w:rFonts w:ascii="Arial" w:hAnsi="Arial" w:cs="Arial"/>
          <w:color w:val="0D0D0D"/>
          <w:sz w:val="22"/>
          <w:bdr w:val="none" w:sz="0" w:space="0" w:color="auto" w:frame="1"/>
          <w:lang w:eastAsia="es-CO"/>
        </w:rPr>
        <w:t>. </w:t>
      </w:r>
    </w:p>
    <w:p w14:paraId="46E7F52C" w14:textId="4B4E35BC" w:rsidR="00B64553" w:rsidRDefault="00B64553" w:rsidP="003E2E71">
      <w:pPr>
        <w:shd w:val="clear" w:color="auto" w:fill="FFFFFF"/>
        <w:spacing w:before="120" w:line="276" w:lineRule="auto"/>
        <w:ind w:firstLine="709"/>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Posteriormente, la Ley 1882 de 2018</w:t>
      </w:r>
      <w:r>
        <w:rPr>
          <w:rFonts w:ascii="Arial" w:hAnsi="Arial" w:cs="Arial"/>
          <w:color w:val="0D0D0D"/>
          <w:sz w:val="22"/>
          <w:bdr w:val="none" w:sz="0" w:space="0" w:color="auto" w:frame="1"/>
          <w:lang w:eastAsia="es-CO"/>
        </w:rPr>
        <w:t xml:space="preserve"> en</w:t>
      </w:r>
      <w:r w:rsidRPr="0043040E">
        <w:rPr>
          <w:rFonts w:ascii="Arial" w:hAnsi="Arial" w:cs="Arial"/>
          <w:color w:val="0D0D0D"/>
          <w:sz w:val="22"/>
          <w:bdr w:val="none" w:sz="0" w:space="0" w:color="auto" w:frame="1"/>
          <w:lang w:eastAsia="es-CO"/>
        </w:rPr>
        <w:t xml:space="preserve"> el artículo 4</w:t>
      </w:r>
      <w:r>
        <w:rPr>
          <w:rFonts w:ascii="Arial" w:hAnsi="Arial" w:cs="Arial"/>
          <w:color w:val="0D0D0D"/>
          <w:sz w:val="22"/>
          <w:bdr w:val="none" w:sz="0" w:space="0" w:color="auto" w:frame="1"/>
          <w:lang w:eastAsia="es-CO"/>
        </w:rPr>
        <w:t>, adiciona el parágrafo 7º al artículo 2</w:t>
      </w:r>
      <w:r w:rsidRPr="0043040E">
        <w:rPr>
          <w:rFonts w:ascii="Arial" w:hAnsi="Arial" w:cs="Arial"/>
          <w:color w:val="0D0D0D"/>
          <w:sz w:val="22"/>
          <w:bdr w:val="none" w:sz="0" w:space="0" w:color="auto" w:frame="1"/>
          <w:lang w:eastAsia="es-CO"/>
        </w:rPr>
        <w:t xml:space="preserve"> de la L</w:t>
      </w:r>
      <w:r>
        <w:rPr>
          <w:rFonts w:ascii="Arial" w:hAnsi="Arial" w:cs="Arial"/>
          <w:color w:val="0D0D0D"/>
          <w:sz w:val="22"/>
          <w:bdr w:val="none" w:sz="0" w:space="0" w:color="auto" w:frame="1"/>
          <w:lang w:eastAsia="es-CO"/>
        </w:rPr>
        <w:t>ey 1150 de 2007, y</w:t>
      </w:r>
      <w:r w:rsidRPr="0043040E">
        <w:rPr>
          <w:rFonts w:ascii="Arial" w:hAnsi="Arial" w:cs="Arial"/>
          <w:color w:val="0D0D0D"/>
          <w:sz w:val="22"/>
          <w:bdr w:val="none" w:sz="0" w:space="0" w:color="auto" w:frame="1"/>
          <w:lang w:eastAsia="es-CO"/>
        </w:rPr>
        <w:t xml:space="preserve"> establece la obligatoriedad de la adopción de documentos tipo para algunos contratos, en los siguientes términos: </w:t>
      </w:r>
    </w:p>
    <w:p w14:paraId="127041D2" w14:textId="77777777" w:rsidR="003E2E71" w:rsidRPr="000C0066" w:rsidRDefault="003E2E71" w:rsidP="00856577">
      <w:pPr>
        <w:shd w:val="clear" w:color="auto" w:fill="FFFFFF"/>
        <w:spacing w:line="276" w:lineRule="auto"/>
        <w:ind w:firstLine="709"/>
        <w:jc w:val="both"/>
        <w:rPr>
          <w:rFonts w:ascii="Arial" w:hAnsi="Arial" w:cs="Arial"/>
          <w:color w:val="0D0D0D"/>
          <w:sz w:val="22"/>
          <w:bdr w:val="none" w:sz="0" w:space="0" w:color="auto" w:frame="1"/>
          <w:lang w:eastAsia="es-CO"/>
        </w:rPr>
      </w:pPr>
    </w:p>
    <w:p w14:paraId="4BB57E96" w14:textId="77777777" w:rsidR="00B64553" w:rsidRDefault="00B64553" w:rsidP="00B64553">
      <w:pPr>
        <w:shd w:val="clear" w:color="auto" w:fill="FFFFFF"/>
        <w:ind w:left="709" w:right="709"/>
        <w:jc w:val="both"/>
        <w:rPr>
          <w:rFonts w:ascii="Arial" w:hAnsi="Arial" w:cs="Arial"/>
          <w:color w:val="0D0D0D"/>
          <w:sz w:val="21"/>
          <w:szCs w:val="21"/>
          <w:bdr w:val="none" w:sz="0" w:space="0" w:color="auto" w:frame="1"/>
          <w:lang w:eastAsia="es-CO"/>
        </w:rPr>
      </w:pPr>
      <w:r w:rsidRPr="0043040E">
        <w:rPr>
          <w:rFonts w:ascii="Arial"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43040E">
        <w:rPr>
          <w:rFonts w:ascii="Arial"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43040E">
        <w:rPr>
          <w:rFonts w:ascii="Arial" w:hAnsi="Arial" w:cs="Arial"/>
          <w:color w:val="0D0D0D"/>
          <w:sz w:val="21"/>
          <w:szCs w:val="21"/>
          <w:bdr w:val="none" w:sz="0" w:space="0" w:color="auto" w:frame="1"/>
          <w:lang w:eastAsia="es-CO"/>
        </w:rPr>
        <w:t> […] </w:t>
      </w:r>
      <w:r w:rsidRPr="0043040E">
        <w:rPr>
          <w:rFonts w:ascii="Arial" w:hAnsi="Arial" w:cs="Arial"/>
          <w:i/>
          <w:iCs/>
          <w:color w:val="0D0D0D"/>
          <w:sz w:val="21"/>
          <w:szCs w:val="21"/>
          <w:bdr w:val="none" w:sz="0" w:space="0" w:color="auto" w:frame="1"/>
          <w:lang w:eastAsia="es-CO"/>
        </w:rPr>
        <w:t>teniendo en cuenta la naturaleza y cuantía de los contratos</w:t>
      </w:r>
      <w:r w:rsidRPr="0043040E">
        <w:rPr>
          <w:rFonts w:ascii="Arial" w:hAnsi="Arial" w:cs="Arial"/>
          <w:color w:val="0D0D0D"/>
          <w:sz w:val="21"/>
          <w:szCs w:val="21"/>
          <w:bdr w:val="none" w:sz="0" w:space="0" w:color="auto" w:frame="1"/>
          <w:lang w:eastAsia="es-CO"/>
        </w:rPr>
        <w:t> […]. (Énfasis fuera de texto) </w:t>
      </w:r>
    </w:p>
    <w:p w14:paraId="54D13F9C" w14:textId="77777777" w:rsidR="003E2E71" w:rsidRDefault="00537682" w:rsidP="00856577">
      <w:pPr>
        <w:spacing w:line="276" w:lineRule="auto"/>
        <w:jc w:val="both"/>
        <w:rPr>
          <w:rFonts w:ascii="Arial" w:eastAsia="Calibri" w:hAnsi="Arial" w:cs="Arial"/>
          <w:sz w:val="22"/>
          <w:lang w:val="es-ES"/>
        </w:rPr>
      </w:pPr>
      <w:r>
        <w:rPr>
          <w:rFonts w:ascii="Arial" w:eastAsia="Calibri" w:hAnsi="Arial" w:cs="Arial"/>
          <w:sz w:val="22"/>
          <w:lang w:val="es-ES"/>
        </w:rPr>
        <w:tab/>
      </w:r>
    </w:p>
    <w:p w14:paraId="48B690B8" w14:textId="5B3329A3" w:rsidR="004D4385" w:rsidRDefault="004D4385" w:rsidP="00856577">
      <w:pPr>
        <w:spacing w:before="120" w:after="120" w:line="276" w:lineRule="auto"/>
        <w:ind w:firstLine="708"/>
        <w:jc w:val="both"/>
        <w:rPr>
          <w:rFonts w:ascii="Arial" w:eastAsia="Calibri" w:hAnsi="Arial" w:cs="Arial"/>
          <w:color w:val="0D0D0D"/>
          <w:sz w:val="22"/>
          <w:lang w:val="es-ES"/>
        </w:rPr>
      </w:pPr>
      <w:r w:rsidRPr="00216DB1">
        <w:rPr>
          <w:rFonts w:ascii="Arial" w:eastAsia="Calibri" w:hAnsi="Arial" w:cs="Arial"/>
          <w:sz w:val="22"/>
          <w:lang w:val="es-ES"/>
        </w:rPr>
        <w:t xml:space="preserve">La redacción original del artículo 4 de la Ley 1882 de 2018 </w:t>
      </w:r>
      <w:r>
        <w:rPr>
          <w:rFonts w:ascii="Arial" w:eastAsia="Calibri" w:hAnsi="Arial" w:cs="Arial"/>
          <w:sz w:val="22"/>
          <w:lang w:val="es-ES"/>
        </w:rPr>
        <w:t xml:space="preserve">establecía que al Gobierno </w:t>
      </w:r>
      <w:r w:rsidR="00537682">
        <w:rPr>
          <w:rFonts w:ascii="Arial" w:eastAsia="Calibri" w:hAnsi="Arial" w:cs="Arial"/>
          <w:sz w:val="22"/>
          <w:lang w:val="es-ES"/>
        </w:rPr>
        <w:t>N</w:t>
      </w:r>
      <w:r w:rsidRPr="00216DB1">
        <w:rPr>
          <w:rFonts w:ascii="Arial" w:eastAsia="Calibri" w:hAnsi="Arial" w:cs="Arial"/>
          <w:sz w:val="22"/>
          <w:lang w:val="es-ES"/>
        </w:rPr>
        <w:t>acional le correspo</w:t>
      </w:r>
      <w:r w:rsidR="00B51D72">
        <w:rPr>
          <w:rFonts w:ascii="Arial" w:eastAsia="Calibri" w:hAnsi="Arial" w:cs="Arial"/>
          <w:sz w:val="22"/>
          <w:lang w:val="es-ES"/>
        </w:rPr>
        <w:t>ndía adoptar los documentos tipo, pero p</w:t>
      </w:r>
      <w:r w:rsidRPr="00216DB1">
        <w:rPr>
          <w:rFonts w:ascii="Arial" w:eastAsia="Calibri" w:hAnsi="Arial" w:cs="Arial"/>
          <w:color w:val="0D0D0D"/>
          <w:sz w:val="22"/>
          <w:lang w:val="es-ES"/>
        </w:rPr>
        <w:t xml:space="preserve">osteriormente, </w:t>
      </w:r>
      <w:r w:rsidR="00B51D72">
        <w:rPr>
          <w:rFonts w:ascii="Arial" w:eastAsia="Calibri" w:hAnsi="Arial" w:cs="Arial"/>
          <w:color w:val="0D0D0D"/>
          <w:sz w:val="22"/>
          <w:lang w:val="es-ES"/>
        </w:rPr>
        <w:t>la Ley 2022 d</w:t>
      </w:r>
      <w:r w:rsidRPr="00216DB1">
        <w:rPr>
          <w:rFonts w:ascii="Arial" w:eastAsia="Calibri" w:hAnsi="Arial" w:cs="Arial"/>
          <w:color w:val="0D0D0D"/>
          <w:sz w:val="22"/>
          <w:lang w:val="es-ES"/>
        </w:rPr>
        <w:t xml:space="preserve">el 22 de </w:t>
      </w:r>
      <w:r>
        <w:rPr>
          <w:rFonts w:ascii="Arial" w:eastAsia="Calibri" w:hAnsi="Arial" w:cs="Arial"/>
          <w:color w:val="0D0D0D"/>
          <w:sz w:val="22"/>
          <w:lang w:val="es-ES"/>
        </w:rPr>
        <w:t xml:space="preserve">julio de 2020 </w:t>
      </w:r>
      <w:r w:rsidR="00B51D72">
        <w:rPr>
          <w:rFonts w:ascii="Arial" w:eastAsia="Calibri" w:hAnsi="Arial" w:cs="Arial"/>
          <w:color w:val="0D0D0D"/>
          <w:sz w:val="22"/>
          <w:lang w:val="es-ES"/>
        </w:rPr>
        <w:t xml:space="preserve">otorgó esta competencia a la </w:t>
      </w:r>
      <w:r w:rsidR="00B51D72" w:rsidRPr="00216DB1">
        <w:rPr>
          <w:rFonts w:ascii="Arial" w:eastAsia="Calibri" w:hAnsi="Arial" w:cs="Arial"/>
          <w:color w:val="0D0D0D"/>
          <w:sz w:val="22"/>
          <w:lang w:val="es-ES"/>
        </w:rPr>
        <w:t>Agencia Nacional de Contratación Pública – Colombia Compra Eficiente</w:t>
      </w:r>
      <w:r w:rsidR="00B51D72">
        <w:rPr>
          <w:rFonts w:ascii="Arial" w:eastAsia="Calibri" w:hAnsi="Arial" w:cs="Arial"/>
          <w:color w:val="0D0D0D"/>
          <w:sz w:val="22"/>
          <w:lang w:val="es-ES"/>
        </w:rPr>
        <w:t xml:space="preserve">.  Así, el artículo 1 de esta </w:t>
      </w:r>
      <w:r w:rsidR="00537682">
        <w:rPr>
          <w:rFonts w:ascii="Arial" w:eastAsia="Calibri" w:hAnsi="Arial" w:cs="Arial"/>
          <w:color w:val="0D0D0D"/>
          <w:sz w:val="22"/>
          <w:lang w:val="es-ES"/>
        </w:rPr>
        <w:t>L</w:t>
      </w:r>
      <w:r w:rsidR="00B51D72">
        <w:rPr>
          <w:rFonts w:ascii="Arial" w:eastAsia="Calibri" w:hAnsi="Arial" w:cs="Arial"/>
          <w:color w:val="0D0D0D"/>
          <w:sz w:val="22"/>
          <w:lang w:val="es-ES"/>
        </w:rPr>
        <w:t>ey modificó</w:t>
      </w:r>
      <w:r w:rsidRPr="00216DB1">
        <w:rPr>
          <w:rFonts w:ascii="Arial" w:eastAsia="Calibri" w:hAnsi="Arial" w:cs="Arial"/>
          <w:color w:val="0D0D0D"/>
          <w:sz w:val="22"/>
          <w:lang w:val="es-ES"/>
        </w:rPr>
        <w:t xml:space="preserve"> el artículo 4 de la Ley 1882 de 2018 en relación con: i) el sujeto encargado de la adopción de los documentos tipo</w:t>
      </w:r>
      <w:r w:rsidR="00537682">
        <w:rPr>
          <w:rFonts w:ascii="Arial" w:eastAsia="Calibri" w:hAnsi="Arial" w:cs="Arial"/>
          <w:color w:val="0D0D0D"/>
          <w:sz w:val="22"/>
          <w:lang w:val="es-ES"/>
        </w:rPr>
        <w:t>. Esto,</w:t>
      </w:r>
      <w:r w:rsidRPr="00216DB1">
        <w:rPr>
          <w:rFonts w:ascii="Arial" w:eastAsia="Calibri" w:hAnsi="Arial" w:cs="Arial"/>
          <w:color w:val="0D0D0D"/>
          <w:sz w:val="22"/>
          <w:lang w:val="es-ES"/>
        </w:rPr>
        <w:t xml:space="preserve"> ya que</w:t>
      </w:r>
      <w:r w:rsidR="00B51D72">
        <w:rPr>
          <w:rFonts w:ascii="Arial" w:eastAsia="Calibri" w:hAnsi="Arial" w:cs="Arial"/>
          <w:color w:val="0D0D0D"/>
          <w:sz w:val="22"/>
          <w:lang w:val="es-ES"/>
        </w:rPr>
        <w:t>,</w:t>
      </w:r>
      <w:r w:rsidRPr="00216DB1">
        <w:rPr>
          <w:rFonts w:ascii="Arial" w:eastAsia="Calibri" w:hAnsi="Arial" w:cs="Arial"/>
          <w:color w:val="0D0D0D"/>
          <w:sz w:val="22"/>
          <w:lang w:val="es-ES"/>
        </w:rPr>
        <w:t xml:space="preserve"> </w:t>
      </w:r>
      <w:r w:rsidR="00B51D72">
        <w:rPr>
          <w:rFonts w:ascii="Arial" w:eastAsia="Calibri" w:hAnsi="Arial" w:cs="Arial"/>
          <w:color w:val="0D0D0D"/>
          <w:sz w:val="22"/>
          <w:lang w:val="es-ES"/>
        </w:rPr>
        <w:t xml:space="preserve">como se mencionó, la competencia había sido otorgada </w:t>
      </w:r>
      <w:r>
        <w:rPr>
          <w:rFonts w:ascii="Arial" w:eastAsia="Calibri" w:hAnsi="Arial" w:cs="Arial"/>
          <w:color w:val="0D0D0D"/>
          <w:sz w:val="22"/>
          <w:lang w:val="es-ES"/>
        </w:rPr>
        <w:t xml:space="preserve">al Gobierno </w:t>
      </w:r>
      <w:r w:rsidR="00537682">
        <w:rPr>
          <w:rFonts w:ascii="Arial" w:eastAsia="Calibri" w:hAnsi="Arial" w:cs="Arial"/>
          <w:color w:val="0D0D0D"/>
          <w:sz w:val="22"/>
          <w:lang w:val="es-ES"/>
        </w:rPr>
        <w:t>N</w:t>
      </w:r>
      <w:r w:rsidRPr="00216DB1">
        <w:rPr>
          <w:rFonts w:ascii="Arial" w:eastAsia="Calibri" w:hAnsi="Arial" w:cs="Arial"/>
          <w:color w:val="0D0D0D"/>
          <w:sz w:val="22"/>
          <w:lang w:val="es-ES"/>
        </w:rPr>
        <w:t>acional</w:t>
      </w:r>
      <w:r w:rsidR="00C87A79">
        <w:rPr>
          <w:rFonts w:ascii="Arial" w:eastAsia="Calibri" w:hAnsi="Arial" w:cs="Arial"/>
          <w:color w:val="0D0D0D"/>
          <w:sz w:val="22"/>
          <w:lang w:val="es-ES"/>
        </w:rPr>
        <w:t>, pero</w:t>
      </w:r>
      <w:r w:rsidRPr="00216DB1">
        <w:rPr>
          <w:rFonts w:ascii="Arial" w:eastAsia="Calibri" w:hAnsi="Arial" w:cs="Arial"/>
          <w:color w:val="0D0D0D"/>
          <w:sz w:val="22"/>
          <w:lang w:val="es-ES"/>
        </w:rPr>
        <w:t xml:space="preserve"> ahora la entidad</w:t>
      </w:r>
      <w:r>
        <w:rPr>
          <w:rFonts w:ascii="Arial" w:eastAsia="Calibri" w:hAnsi="Arial" w:cs="Arial"/>
          <w:color w:val="0D0D0D"/>
          <w:sz w:val="22"/>
          <w:lang w:val="es-ES"/>
        </w:rPr>
        <w:t xml:space="preserve"> encargada directamente por la l</w:t>
      </w:r>
      <w:r w:rsidRPr="00216DB1">
        <w:rPr>
          <w:rFonts w:ascii="Arial" w:eastAsia="Calibri" w:hAnsi="Arial" w:cs="Arial"/>
          <w:color w:val="0D0D0D"/>
          <w:sz w:val="22"/>
          <w:lang w:val="es-ES"/>
        </w:rPr>
        <w:t>ey es la Agencia Nacional de Contratación Pública – Colombia Compra Eficiente</w:t>
      </w:r>
      <w:r w:rsidR="00C87A79">
        <w:rPr>
          <w:rFonts w:ascii="Arial" w:eastAsia="Calibri" w:hAnsi="Arial" w:cs="Arial"/>
          <w:color w:val="0D0D0D"/>
          <w:sz w:val="22"/>
          <w:lang w:val="es-ES"/>
        </w:rPr>
        <w:t>,</w:t>
      </w:r>
      <w:r w:rsidRPr="00216DB1">
        <w:rPr>
          <w:rFonts w:ascii="Arial" w:eastAsia="Calibri" w:hAnsi="Arial" w:cs="Arial"/>
          <w:color w:val="0D0D0D"/>
          <w:sz w:val="22"/>
          <w:lang w:val="es-ES"/>
        </w:rPr>
        <w:t xml:space="preserve"> o quien haga sus veces; ii) la inclusión de buenas prácticas contractuales y los principios de la contratación pública para establecer los requisitos habilitantes, factores técnicos, económicos y otros factores de escogencia en los documentos tipo; </w:t>
      </w:r>
      <w:proofErr w:type="spellStart"/>
      <w:r w:rsidRPr="00216DB1">
        <w:rPr>
          <w:rFonts w:ascii="Arial" w:eastAsia="Calibri" w:hAnsi="Arial" w:cs="Arial"/>
          <w:color w:val="0D0D0D"/>
          <w:sz w:val="22"/>
          <w:lang w:val="es-ES"/>
        </w:rPr>
        <w:t>iii</w:t>
      </w:r>
      <w:proofErr w:type="spellEnd"/>
      <w:r w:rsidRPr="00216DB1">
        <w:rPr>
          <w:rFonts w:ascii="Arial" w:eastAsia="Calibri" w:hAnsi="Arial" w:cs="Arial"/>
          <w:color w:val="0D0D0D"/>
          <w:sz w:val="22"/>
          <w:lang w:val="es-ES"/>
        </w:rPr>
        <w:t xml:space="preserve">) la implementación de procesos de capacitación en los municipios para la utilización de los documentos tipo buscando el desarrollo de la economía local; y </w:t>
      </w:r>
      <w:proofErr w:type="spellStart"/>
      <w:r w:rsidRPr="00216DB1">
        <w:rPr>
          <w:rFonts w:ascii="Arial" w:eastAsia="Calibri" w:hAnsi="Arial" w:cs="Arial"/>
          <w:color w:val="0D0D0D"/>
          <w:sz w:val="22"/>
          <w:lang w:val="es-ES"/>
        </w:rPr>
        <w:t>iv</w:t>
      </w:r>
      <w:proofErr w:type="spellEnd"/>
      <w:r w:rsidRPr="00216DB1">
        <w:rPr>
          <w:rFonts w:ascii="Arial" w:eastAsia="Calibri" w:hAnsi="Arial" w:cs="Arial"/>
          <w:color w:val="0D0D0D"/>
          <w:sz w:val="22"/>
          <w:lang w:val="es-ES"/>
        </w:rPr>
        <w:t xml:space="preserve">) la responsabilidades para Colombia </w:t>
      </w:r>
      <w:r w:rsidRPr="00216DB1">
        <w:rPr>
          <w:rFonts w:ascii="Arial" w:eastAsia="Calibri" w:hAnsi="Arial" w:cs="Arial"/>
          <w:color w:val="0D0D0D"/>
          <w:sz w:val="22"/>
          <w:lang w:val="es-ES"/>
        </w:rPr>
        <w:lastRenderedPageBreak/>
        <w:t>Compra Eficiente en la definición del desarrollo e implementación de los documentos tipo mediante cronogramas, coordinación con otras entidades especializadas, recepción de comentarios de los interesados y revisión de los documentos tipo expedidos</w:t>
      </w:r>
      <w:r w:rsidRPr="00216DB1">
        <w:rPr>
          <w:rFonts w:ascii="Arial" w:eastAsia="Calibri" w:hAnsi="Arial" w:cs="Arial"/>
          <w:color w:val="0D0D0D"/>
          <w:sz w:val="22"/>
          <w:vertAlign w:val="superscript"/>
          <w:lang w:val="es-ES"/>
        </w:rPr>
        <w:footnoteReference w:id="5"/>
      </w:r>
      <w:r w:rsidRPr="00216DB1">
        <w:rPr>
          <w:rFonts w:ascii="Arial" w:eastAsia="Calibri" w:hAnsi="Arial" w:cs="Arial"/>
          <w:color w:val="0D0D0D"/>
          <w:sz w:val="22"/>
          <w:lang w:val="es-ES"/>
        </w:rPr>
        <w:t xml:space="preserve">. </w:t>
      </w:r>
    </w:p>
    <w:p w14:paraId="1A5DC3F2" w14:textId="57D14E66" w:rsidR="003D32CD" w:rsidRDefault="00482262" w:rsidP="000C0066">
      <w:pPr>
        <w:spacing w:before="120" w:after="120" w:line="276" w:lineRule="auto"/>
        <w:ind w:firstLine="708"/>
        <w:jc w:val="both"/>
        <w:rPr>
          <w:rFonts w:ascii="Arial" w:eastAsia="Calibri" w:hAnsi="Arial" w:cs="Arial"/>
          <w:sz w:val="22"/>
        </w:rPr>
      </w:pPr>
      <w:r>
        <w:rPr>
          <w:rFonts w:ascii="Arial" w:eastAsia="Calibri" w:hAnsi="Arial" w:cs="Arial"/>
          <w:sz w:val="22"/>
        </w:rPr>
        <w:t xml:space="preserve">Además, la Ley 2022 de 2020 señala </w:t>
      </w:r>
      <w:r w:rsidR="009034CF">
        <w:rPr>
          <w:rFonts w:ascii="Arial" w:eastAsia="Calibri" w:hAnsi="Arial" w:cs="Arial"/>
          <w:sz w:val="22"/>
        </w:rPr>
        <w:t xml:space="preserve">que los </w:t>
      </w:r>
      <w:r w:rsidR="003E59ED">
        <w:rPr>
          <w:rFonts w:ascii="Arial" w:eastAsia="Calibri" w:hAnsi="Arial" w:cs="Arial"/>
          <w:sz w:val="22"/>
        </w:rPr>
        <w:t>d</w:t>
      </w:r>
      <w:r w:rsidR="009034CF">
        <w:rPr>
          <w:rFonts w:ascii="Arial" w:eastAsia="Calibri" w:hAnsi="Arial" w:cs="Arial"/>
          <w:sz w:val="22"/>
        </w:rPr>
        <w:t>ocumentos tipo</w:t>
      </w:r>
      <w:r w:rsidR="00CA05BB" w:rsidRPr="00043F5D">
        <w:rPr>
          <w:rFonts w:ascii="Arial" w:eastAsia="Calibri" w:hAnsi="Arial" w:cs="Arial"/>
          <w:sz w:val="22"/>
        </w:rPr>
        <w:t xml:space="preserve"> adoptados por la Agencia Na</w:t>
      </w:r>
      <w:r>
        <w:rPr>
          <w:rFonts w:ascii="Arial" w:eastAsia="Calibri" w:hAnsi="Arial" w:cs="Arial"/>
          <w:sz w:val="22"/>
        </w:rPr>
        <w:t xml:space="preserve">cional de Contratación Pública </w:t>
      </w:r>
      <w:r w:rsidR="00CA05BB" w:rsidRPr="00043F5D">
        <w:rPr>
          <w:rFonts w:ascii="Arial" w:eastAsia="Calibri" w:hAnsi="Arial" w:cs="Arial"/>
          <w:sz w:val="22"/>
        </w:rPr>
        <w:t xml:space="preserve">son de </w:t>
      </w:r>
      <w:r w:rsidR="00CA05BB" w:rsidRPr="00482262">
        <w:rPr>
          <w:rFonts w:ascii="Arial" w:eastAsia="Calibri" w:hAnsi="Arial" w:cs="Arial"/>
          <w:i/>
          <w:sz w:val="22"/>
        </w:rPr>
        <w:t>obligatorio</w:t>
      </w:r>
      <w:r w:rsidR="00CA05BB" w:rsidRPr="00043F5D">
        <w:rPr>
          <w:rFonts w:ascii="Arial" w:eastAsia="Calibri" w:hAnsi="Arial" w:cs="Arial"/>
          <w:sz w:val="22"/>
        </w:rPr>
        <w:t xml:space="preserve"> cumplimiento por todas las entidades públicas, cuyo régimen de contratación </w:t>
      </w:r>
      <w:r w:rsidR="00CA05BB">
        <w:rPr>
          <w:rFonts w:ascii="Arial" w:eastAsia="Calibri" w:hAnsi="Arial" w:cs="Arial"/>
          <w:sz w:val="22"/>
        </w:rPr>
        <w:t>sea</w:t>
      </w:r>
      <w:r w:rsidR="00CA05BB" w:rsidRPr="00043F5D">
        <w:rPr>
          <w:rFonts w:ascii="Arial" w:eastAsia="Calibri" w:hAnsi="Arial" w:cs="Arial"/>
          <w:sz w:val="22"/>
        </w:rPr>
        <w:t xml:space="preserve"> </w:t>
      </w:r>
      <w:r w:rsidR="00CA05BB">
        <w:rPr>
          <w:rFonts w:ascii="Arial" w:eastAsia="Calibri" w:hAnsi="Arial" w:cs="Arial"/>
          <w:sz w:val="22"/>
        </w:rPr>
        <w:t>e</w:t>
      </w:r>
      <w:r w:rsidR="00CA05BB" w:rsidRPr="00043F5D">
        <w:rPr>
          <w:rFonts w:ascii="Arial" w:eastAsia="Calibri" w:hAnsi="Arial" w:cs="Arial"/>
          <w:sz w:val="22"/>
        </w:rPr>
        <w:t xml:space="preserve">l Estatuto General de la Contratación de la Administración Pública ‒EGCAP‒. </w:t>
      </w:r>
      <w:r w:rsidR="00CA05BB">
        <w:rPr>
          <w:rFonts w:ascii="Arial" w:eastAsia="Calibri" w:hAnsi="Arial" w:cs="Arial"/>
          <w:sz w:val="22"/>
        </w:rPr>
        <w:t xml:space="preserve"> </w:t>
      </w:r>
      <w:r w:rsidR="003D32CD" w:rsidRPr="003D32CD">
        <w:rPr>
          <w:rFonts w:ascii="Arial" w:eastAsia="Calibri" w:hAnsi="Arial" w:cs="Arial"/>
          <w:sz w:val="22"/>
        </w:rPr>
        <w:t>Esta obligatoriedad implica que las entidades estatales tengan que adelantar los procesos de contratación bajo las condiciones establecidas en los documentos tipo que rijan para el objeto a contratar</w:t>
      </w:r>
      <w:r w:rsidR="00C87A79">
        <w:rPr>
          <w:rFonts w:ascii="Arial" w:eastAsia="Calibri" w:hAnsi="Arial" w:cs="Arial"/>
          <w:sz w:val="22"/>
        </w:rPr>
        <w:t>,</w:t>
      </w:r>
      <w:r w:rsidR="003D32CD" w:rsidRPr="003D32CD">
        <w:rPr>
          <w:rFonts w:ascii="Arial" w:eastAsia="Calibri" w:hAnsi="Arial" w:cs="Arial"/>
          <w:sz w:val="22"/>
        </w:rPr>
        <w:t xml:space="preserve"> sin que puedan variarse </w:t>
      </w:r>
      <w:r w:rsidR="009371E8">
        <w:rPr>
          <w:rFonts w:ascii="Arial" w:eastAsia="Calibri" w:hAnsi="Arial" w:cs="Arial"/>
          <w:sz w:val="22"/>
        </w:rPr>
        <w:t>los requisitos fijados en ellos</w:t>
      </w:r>
      <w:r w:rsidR="00C87A79">
        <w:rPr>
          <w:rFonts w:ascii="Arial" w:eastAsia="Calibri" w:hAnsi="Arial" w:cs="Arial"/>
          <w:sz w:val="22"/>
        </w:rPr>
        <w:t>. Lo anterior, por cuanto</w:t>
      </w:r>
      <w:r w:rsidR="009371E8">
        <w:rPr>
          <w:rFonts w:ascii="Arial" w:eastAsia="Calibri" w:hAnsi="Arial" w:cs="Arial"/>
          <w:sz w:val="22"/>
        </w:rPr>
        <w:t xml:space="preserve"> los documentos </w:t>
      </w:r>
      <w:r w:rsidR="009371E8" w:rsidRPr="009371E8">
        <w:rPr>
          <w:rFonts w:ascii="Arial" w:eastAsia="Calibri" w:hAnsi="Arial" w:cs="Arial"/>
          <w:sz w:val="22"/>
        </w:rPr>
        <w:t>tipo</w:t>
      </w:r>
      <w:r w:rsidR="003D32CD" w:rsidRPr="009371E8">
        <w:rPr>
          <w:rFonts w:ascii="Arial" w:eastAsia="Calibri" w:hAnsi="Arial" w:cs="Arial"/>
          <w:sz w:val="22"/>
        </w:rPr>
        <w:t xml:space="preserve"> </w:t>
      </w:r>
      <w:r w:rsidR="009371E8" w:rsidRPr="009371E8">
        <w:rPr>
          <w:rFonts w:ascii="Arial" w:eastAsia="Calibri" w:hAnsi="Arial" w:cs="Arial"/>
          <w:sz w:val="22"/>
        </w:rPr>
        <w:t>se caracterizan por ser</w:t>
      </w:r>
      <w:r w:rsidR="003D32CD" w:rsidRPr="009371E8">
        <w:rPr>
          <w:rFonts w:ascii="Arial" w:eastAsia="Calibri" w:hAnsi="Arial" w:cs="Arial"/>
          <w:sz w:val="22"/>
        </w:rPr>
        <w:t xml:space="preserve"> inalterables, es decir, que las entidades públicas carecen de la facultad de modificarlos, con</w:t>
      </w:r>
      <w:r w:rsidR="003D32CD" w:rsidRPr="003D32CD">
        <w:rPr>
          <w:rFonts w:ascii="Arial" w:eastAsia="Calibri" w:hAnsi="Arial" w:cs="Arial"/>
          <w:sz w:val="22"/>
        </w:rPr>
        <w:t xml:space="preserve"> excepción de aquellos aspectos que pueden diligenciar, es decir, las descripciones que están incluidas entre corchetes y resaltadas en gris en cada uno de los documentos tipo.</w:t>
      </w:r>
      <w:r w:rsidR="003D32CD">
        <w:rPr>
          <w:rFonts w:ascii="Arial" w:eastAsia="Calibri" w:hAnsi="Arial" w:cs="Arial"/>
          <w:sz w:val="22"/>
        </w:rPr>
        <w:t xml:space="preserve"> </w:t>
      </w:r>
    </w:p>
    <w:p w14:paraId="2B2453E3" w14:textId="77777777" w:rsidR="00FD2200" w:rsidRDefault="003D32CD" w:rsidP="00FD2200">
      <w:pPr>
        <w:spacing w:before="120" w:after="120" w:line="276" w:lineRule="auto"/>
        <w:ind w:firstLine="708"/>
        <w:jc w:val="both"/>
        <w:rPr>
          <w:rFonts w:ascii="Arial" w:eastAsia="Calibri" w:hAnsi="Arial" w:cs="Arial"/>
          <w:color w:val="000000"/>
          <w:sz w:val="22"/>
          <w:lang w:val="es-ES_tradnl"/>
        </w:rPr>
      </w:pPr>
      <w:r>
        <w:rPr>
          <w:rFonts w:ascii="Arial" w:eastAsia="Calibri" w:hAnsi="Arial" w:cs="Arial"/>
          <w:color w:val="000000"/>
          <w:sz w:val="22"/>
        </w:rPr>
        <w:t>Esta es una regla que está consagrada en la</w:t>
      </w:r>
      <w:r w:rsidRPr="004C512E">
        <w:rPr>
          <w:rFonts w:ascii="Arial" w:eastAsia="Calibri" w:hAnsi="Arial" w:cs="Arial"/>
          <w:color w:val="000000"/>
          <w:sz w:val="22"/>
          <w:lang w:val="es-ES_tradnl"/>
        </w:rPr>
        <w:t>s resoluciones expedidas por la Agencia Nacional de Contratación Pública – Colombia Compra Eficiente, mediante las cuales se han adop</w:t>
      </w:r>
      <w:r>
        <w:rPr>
          <w:rFonts w:ascii="Arial" w:eastAsia="Calibri" w:hAnsi="Arial" w:cs="Arial"/>
          <w:color w:val="000000"/>
          <w:sz w:val="22"/>
          <w:lang w:val="es-ES_tradnl"/>
        </w:rPr>
        <w:t xml:space="preserve">tado los </w:t>
      </w:r>
      <w:r w:rsidR="009371E8">
        <w:rPr>
          <w:rFonts w:ascii="Arial" w:eastAsia="Calibri" w:hAnsi="Arial" w:cs="Arial"/>
          <w:color w:val="000000"/>
          <w:sz w:val="22"/>
          <w:lang w:val="es-ES_tradnl"/>
        </w:rPr>
        <w:t xml:space="preserve">distintos documentos o </w:t>
      </w:r>
      <w:r>
        <w:rPr>
          <w:rFonts w:ascii="Arial" w:eastAsia="Calibri" w:hAnsi="Arial" w:cs="Arial"/>
          <w:color w:val="000000"/>
          <w:sz w:val="22"/>
          <w:lang w:val="es-ES_tradnl"/>
        </w:rPr>
        <w:t>pliegos tipo.  De tal manera</w:t>
      </w:r>
      <w:r w:rsidR="009371E8">
        <w:rPr>
          <w:rFonts w:ascii="Arial" w:eastAsia="Calibri" w:hAnsi="Arial" w:cs="Arial"/>
          <w:color w:val="000000"/>
          <w:sz w:val="22"/>
          <w:lang w:val="es-ES_tradnl"/>
        </w:rPr>
        <w:t>,</w:t>
      </w:r>
      <w:r>
        <w:rPr>
          <w:rFonts w:ascii="Arial" w:eastAsia="Calibri" w:hAnsi="Arial" w:cs="Arial"/>
          <w:color w:val="000000"/>
          <w:sz w:val="22"/>
          <w:lang w:val="es-ES_tradnl"/>
        </w:rPr>
        <w:t xml:space="preserve"> la inalterabilidad</w:t>
      </w:r>
      <w:r w:rsidR="009371E8">
        <w:rPr>
          <w:rFonts w:ascii="Arial" w:eastAsia="Calibri" w:hAnsi="Arial" w:cs="Arial"/>
          <w:color w:val="000000"/>
          <w:sz w:val="22"/>
          <w:lang w:val="es-ES_tradnl"/>
        </w:rPr>
        <w:t xml:space="preserve"> es una prohibición que </w:t>
      </w:r>
      <w:r w:rsidR="009371E8" w:rsidRPr="004C512E">
        <w:rPr>
          <w:rFonts w:ascii="Arial" w:eastAsia="Calibri" w:hAnsi="Arial" w:cs="Arial"/>
          <w:color w:val="000000"/>
          <w:sz w:val="22"/>
          <w:lang w:val="es-ES_tradnl"/>
        </w:rPr>
        <w:t xml:space="preserve">consiste en que las entidades estatales no pueden incluir o modificar en los </w:t>
      </w:r>
      <w:r w:rsidR="009371E8" w:rsidRPr="004C512E">
        <w:rPr>
          <w:rFonts w:ascii="Arial" w:eastAsia="Calibri" w:hAnsi="Arial" w:cs="Arial"/>
          <w:i/>
          <w:iCs/>
          <w:color w:val="000000"/>
          <w:sz w:val="22"/>
          <w:lang w:val="es-ES_tradnl"/>
        </w:rPr>
        <w:t>Documentos del Proceso</w:t>
      </w:r>
      <w:r w:rsidR="009371E8" w:rsidRPr="004C512E">
        <w:rPr>
          <w:rFonts w:ascii="Arial" w:eastAsia="Calibri" w:hAnsi="Arial" w:cs="Arial"/>
          <w:color w:val="000000"/>
          <w:sz w:val="22"/>
          <w:lang w:val="es-ES_tradnl"/>
        </w:rPr>
        <w:t xml:space="preserve"> las condiciones habilitantes, los factores técnicos y económicos </w:t>
      </w:r>
      <w:r w:rsidR="009371E8" w:rsidRPr="004C512E">
        <w:rPr>
          <w:rFonts w:ascii="Arial" w:eastAsia="Calibri" w:hAnsi="Arial" w:cs="Arial"/>
          <w:color w:val="000000"/>
          <w:sz w:val="22"/>
          <w:lang w:val="es-ES_tradnl"/>
        </w:rPr>
        <w:lastRenderedPageBreak/>
        <w:t xml:space="preserve">de escogencia y los sistemas de ponderación distintos a los señalados en los documentos tipo. </w:t>
      </w:r>
      <w:r w:rsidRPr="004C512E">
        <w:rPr>
          <w:rFonts w:ascii="Arial" w:eastAsia="Calibri" w:hAnsi="Arial" w:cs="Arial"/>
          <w:color w:val="000000"/>
          <w:sz w:val="22"/>
          <w:lang w:val="es-ES_tradnl"/>
        </w:rPr>
        <w:t xml:space="preserve"> </w:t>
      </w:r>
    </w:p>
    <w:p w14:paraId="6E45B93B" w14:textId="2911CE4E" w:rsidR="003D32CD" w:rsidRDefault="003D32CD" w:rsidP="00FD2200">
      <w:pPr>
        <w:spacing w:before="120" w:after="120" w:line="276" w:lineRule="auto"/>
        <w:ind w:firstLine="708"/>
        <w:jc w:val="both"/>
        <w:rPr>
          <w:rFonts w:ascii="Arial" w:eastAsia="Calibri" w:hAnsi="Arial" w:cs="Arial"/>
          <w:color w:val="000000"/>
          <w:sz w:val="22"/>
          <w:lang w:val="es-ES_tradnl"/>
        </w:rPr>
      </w:pPr>
      <w:r w:rsidRPr="004C512E">
        <w:rPr>
          <w:rFonts w:ascii="Arial" w:eastAsia="Calibri" w:hAnsi="Arial" w:cs="Arial"/>
          <w:color w:val="000000"/>
          <w:sz w:val="22"/>
          <w:lang w:val="es-ES_tradnl"/>
        </w:rPr>
        <w:t xml:space="preserve">En consecuencia, las condiciones establecidas en los documentos tipo son de obligatorio cumplimiento para las entidades sometidas al Estatuto General de Contratación de la Administración Pública que adelanten procesos que deban regirse por su contenido, </w:t>
      </w:r>
      <w:r w:rsidR="00712FFF">
        <w:rPr>
          <w:rFonts w:ascii="Arial" w:eastAsia="Calibri" w:hAnsi="Arial" w:cs="Arial"/>
          <w:color w:val="000000"/>
          <w:sz w:val="22"/>
          <w:lang w:val="es-ES_tradnl"/>
        </w:rPr>
        <w:t>y su alcance y ámbito de aplicación está definido en las resoluciones que los adoptan dentro del sistema de compra pública.</w:t>
      </w:r>
    </w:p>
    <w:p w14:paraId="3A671722" w14:textId="16226E93" w:rsidR="006E2E1D" w:rsidRPr="006E2E1D" w:rsidRDefault="006E2E1D" w:rsidP="00C44228">
      <w:pPr>
        <w:spacing w:before="240" w:after="240" w:line="276" w:lineRule="auto"/>
        <w:jc w:val="both"/>
        <w:rPr>
          <w:rFonts w:ascii="Arial" w:eastAsia="Calibri" w:hAnsi="Arial" w:cs="Arial"/>
          <w:b/>
          <w:sz w:val="22"/>
        </w:rPr>
      </w:pPr>
      <w:r w:rsidRPr="006E2E1D">
        <w:rPr>
          <w:rFonts w:ascii="Arial" w:eastAsia="Calibri" w:hAnsi="Arial" w:cs="Arial"/>
          <w:b/>
          <w:sz w:val="22"/>
        </w:rPr>
        <w:t xml:space="preserve">2.2. </w:t>
      </w:r>
      <w:r w:rsidR="003910CE" w:rsidRPr="003910CE">
        <w:rPr>
          <w:rFonts w:ascii="Arial" w:eastAsia="Calibri" w:hAnsi="Arial" w:cs="Arial"/>
          <w:b/>
          <w:bCs/>
          <w:sz w:val="22"/>
        </w:rPr>
        <w:t>Documentos tipo complementarios para los procesos de licitación de obra pública de infraestructura social relacionados con el sector educativo</w:t>
      </w:r>
    </w:p>
    <w:p w14:paraId="7E66511B" w14:textId="4B28CF42" w:rsidR="008E0886" w:rsidRDefault="00E27B94" w:rsidP="00C35F04">
      <w:pPr>
        <w:spacing w:before="120" w:line="276" w:lineRule="auto"/>
        <w:jc w:val="both"/>
        <w:rPr>
          <w:rFonts w:ascii="Arial" w:hAnsi="Arial" w:cs="Arial"/>
          <w:sz w:val="22"/>
          <w:lang w:val="es-ES"/>
        </w:rPr>
      </w:pPr>
      <w:r>
        <w:rPr>
          <w:rFonts w:ascii="Arial" w:eastAsia="Calibri" w:hAnsi="Arial" w:cs="Arial"/>
          <w:sz w:val="22"/>
        </w:rPr>
        <w:t>E</w:t>
      </w:r>
      <w:r w:rsidR="009034CF" w:rsidRPr="002F1D41">
        <w:rPr>
          <w:rFonts w:ascii="Arial" w:eastAsia="Calibri" w:hAnsi="Arial" w:cs="Arial"/>
          <w:sz w:val="22"/>
        </w:rPr>
        <w:t>n desarrollo de la Ley 2022 de 2020, la Agencia Nacional de Contratación Pública</w:t>
      </w:r>
      <w:r w:rsidR="009034CF">
        <w:rPr>
          <w:rFonts w:ascii="Arial" w:eastAsia="Calibri" w:hAnsi="Arial" w:cs="Arial"/>
          <w:sz w:val="22"/>
        </w:rPr>
        <w:t xml:space="preserve"> – Colombia Compra Eficiente</w:t>
      </w:r>
      <w:r w:rsidR="009034CF" w:rsidRPr="002F1D41">
        <w:rPr>
          <w:rFonts w:ascii="Arial" w:eastAsia="Calibri" w:hAnsi="Arial" w:cs="Arial"/>
          <w:sz w:val="22"/>
        </w:rPr>
        <w:t xml:space="preserve"> expidió </w:t>
      </w:r>
      <w:r w:rsidR="009034CF" w:rsidRPr="000C0AA7">
        <w:rPr>
          <w:rFonts w:ascii="Arial" w:eastAsia="Calibri" w:hAnsi="Arial" w:cs="Arial"/>
          <w:sz w:val="22"/>
        </w:rPr>
        <w:t xml:space="preserve">la Resolución </w:t>
      </w:r>
      <w:r w:rsidR="009034CF" w:rsidRPr="00C20AC5">
        <w:rPr>
          <w:rFonts w:ascii="Arial" w:eastAsia="Calibri" w:hAnsi="Arial" w:cs="Arial"/>
          <w:sz w:val="22"/>
        </w:rPr>
        <w:t xml:space="preserve">219 </w:t>
      </w:r>
      <w:r w:rsidRPr="00C20AC5">
        <w:rPr>
          <w:rFonts w:ascii="Arial" w:eastAsia="Times New Roman" w:hAnsi="Arial" w:cs="Arial"/>
          <w:bCs/>
          <w:color w:val="000000" w:themeColor="text1"/>
          <w:sz w:val="22"/>
          <w:lang w:eastAsia="es-ES_tradnl"/>
        </w:rPr>
        <w:t xml:space="preserve">del 6 de agosto </w:t>
      </w:r>
      <w:r w:rsidR="009034CF" w:rsidRPr="00C20AC5">
        <w:rPr>
          <w:rFonts w:ascii="Arial" w:eastAsia="Calibri" w:hAnsi="Arial" w:cs="Arial"/>
          <w:sz w:val="22"/>
        </w:rPr>
        <w:t>de 2021</w:t>
      </w:r>
      <w:r w:rsidR="00C87A79">
        <w:rPr>
          <w:rFonts w:ascii="Arial" w:eastAsia="Calibri" w:hAnsi="Arial" w:cs="Arial"/>
          <w:sz w:val="22"/>
        </w:rPr>
        <w:t>,</w:t>
      </w:r>
      <w:r w:rsidR="009034CF">
        <w:rPr>
          <w:rFonts w:ascii="Arial" w:eastAsia="Calibri" w:hAnsi="Arial" w:cs="Arial"/>
          <w:sz w:val="22"/>
        </w:rPr>
        <w:t xml:space="preserve"> mediante la cual </w:t>
      </w:r>
      <w:r w:rsidR="009034CF" w:rsidRPr="000C0AA7">
        <w:rPr>
          <w:rFonts w:ascii="Arial" w:eastAsia="Calibri" w:hAnsi="Arial" w:cs="Arial"/>
          <w:sz w:val="22"/>
        </w:rPr>
        <w:t>adoptó los documentos tipo para los procesos de licitación de obra pública de infraestructura social.</w:t>
      </w:r>
      <w:r w:rsidR="00D52EFC">
        <w:rPr>
          <w:rFonts w:ascii="Arial" w:eastAsia="Calibri" w:hAnsi="Arial" w:cs="Arial"/>
          <w:sz w:val="22"/>
        </w:rPr>
        <w:t xml:space="preserve"> Dentro de esta</w:t>
      </w:r>
      <w:r w:rsidR="00C20AC5">
        <w:rPr>
          <w:rFonts w:ascii="Arial" w:eastAsia="Calibri" w:hAnsi="Arial" w:cs="Arial"/>
          <w:sz w:val="22"/>
        </w:rPr>
        <w:t xml:space="preserve"> </w:t>
      </w:r>
      <w:r w:rsidR="00D52EFC" w:rsidRPr="00D52EFC">
        <w:rPr>
          <w:rFonts w:ascii="Arial" w:eastAsia="Calibri" w:hAnsi="Arial" w:cs="Arial"/>
          <w:sz w:val="22"/>
        </w:rPr>
        <w:t>categoría</w:t>
      </w:r>
      <w:r w:rsidR="00C20AC5" w:rsidRPr="00D52EFC">
        <w:rPr>
          <w:rFonts w:ascii="Arial" w:eastAsia="Calibri" w:hAnsi="Arial" w:cs="Arial"/>
          <w:sz w:val="22"/>
        </w:rPr>
        <w:t xml:space="preserve"> </w:t>
      </w:r>
      <w:r w:rsidR="004F4787">
        <w:rPr>
          <w:rFonts w:ascii="Arial" w:eastAsia="Calibri" w:hAnsi="Arial" w:cs="Arial"/>
          <w:sz w:val="22"/>
        </w:rPr>
        <w:t>fue incluida la infraestructura asociada a</w:t>
      </w:r>
      <w:r w:rsidR="00D52EFC">
        <w:rPr>
          <w:rFonts w:ascii="Arial" w:eastAsia="Calibri" w:hAnsi="Arial" w:cs="Arial"/>
          <w:sz w:val="22"/>
        </w:rPr>
        <w:t xml:space="preserve"> los </w:t>
      </w:r>
      <w:r w:rsidR="00C20AC5">
        <w:rPr>
          <w:rFonts w:ascii="Arial" w:eastAsia="Calibri" w:hAnsi="Arial" w:cs="Arial"/>
          <w:sz w:val="22"/>
        </w:rPr>
        <w:t>sector</w:t>
      </w:r>
      <w:r w:rsidR="00D52EFC">
        <w:rPr>
          <w:rFonts w:ascii="Arial" w:eastAsia="Calibri" w:hAnsi="Arial" w:cs="Arial"/>
          <w:sz w:val="22"/>
        </w:rPr>
        <w:t>es de la salud, el educativo</w:t>
      </w:r>
      <w:r w:rsidR="004F4787">
        <w:rPr>
          <w:rFonts w:ascii="Arial" w:eastAsia="Calibri" w:hAnsi="Arial" w:cs="Arial"/>
          <w:sz w:val="22"/>
        </w:rPr>
        <w:t xml:space="preserve"> y</w:t>
      </w:r>
      <w:r w:rsidR="00D52EFC">
        <w:rPr>
          <w:rFonts w:ascii="Arial" w:eastAsia="Calibri" w:hAnsi="Arial" w:cs="Arial"/>
          <w:sz w:val="22"/>
        </w:rPr>
        <w:t xml:space="preserve"> el </w:t>
      </w:r>
      <w:r w:rsidR="004F4787">
        <w:rPr>
          <w:rFonts w:ascii="Arial" w:eastAsia="Calibri" w:hAnsi="Arial" w:cs="Arial"/>
          <w:sz w:val="22"/>
        </w:rPr>
        <w:t xml:space="preserve">de </w:t>
      </w:r>
      <w:r w:rsidR="00D52EFC">
        <w:rPr>
          <w:rFonts w:ascii="Arial" w:eastAsia="Calibri" w:hAnsi="Arial" w:cs="Arial"/>
          <w:sz w:val="22"/>
        </w:rPr>
        <w:t>cultura</w:t>
      </w:r>
      <w:r w:rsidR="004F4787">
        <w:rPr>
          <w:rFonts w:ascii="Arial" w:eastAsia="Calibri" w:hAnsi="Arial" w:cs="Arial"/>
          <w:sz w:val="22"/>
        </w:rPr>
        <w:t>,</w:t>
      </w:r>
      <w:r w:rsidR="00D52EFC">
        <w:rPr>
          <w:rFonts w:ascii="Arial" w:eastAsia="Calibri" w:hAnsi="Arial" w:cs="Arial"/>
          <w:sz w:val="22"/>
        </w:rPr>
        <w:t xml:space="preserve"> recreación y deporte,</w:t>
      </w:r>
      <w:r w:rsidR="00217CE5">
        <w:rPr>
          <w:rFonts w:ascii="Arial" w:hAnsi="Arial" w:cs="Arial"/>
          <w:sz w:val="22"/>
          <w:lang w:val="es-ES"/>
        </w:rPr>
        <w:t xml:space="preserve"> tal como lo establece</w:t>
      </w:r>
      <w:r w:rsidR="00C345AE">
        <w:rPr>
          <w:rFonts w:ascii="Arial" w:hAnsi="Arial" w:cs="Arial"/>
          <w:color w:val="000000" w:themeColor="text1"/>
          <w:sz w:val="22"/>
          <w:lang w:val="es-ES"/>
        </w:rPr>
        <w:t xml:space="preserve"> </w:t>
      </w:r>
      <w:r w:rsidR="00C345AE" w:rsidRPr="00015ABB">
        <w:rPr>
          <w:rFonts w:ascii="Arial" w:hAnsi="Arial" w:cs="Arial"/>
          <w:sz w:val="22"/>
          <w:lang w:val="es-ES"/>
        </w:rPr>
        <w:t>el pa</w:t>
      </w:r>
      <w:r w:rsidR="00C20AC5">
        <w:rPr>
          <w:rFonts w:ascii="Arial" w:hAnsi="Arial" w:cs="Arial"/>
          <w:sz w:val="22"/>
          <w:lang w:val="es-ES"/>
        </w:rPr>
        <w:t xml:space="preserve">rágrafo 2 del artículo </w:t>
      </w:r>
      <w:r w:rsidR="00217CE5">
        <w:rPr>
          <w:rFonts w:ascii="Arial" w:hAnsi="Arial" w:cs="Arial"/>
          <w:sz w:val="22"/>
          <w:lang w:val="es-ES"/>
        </w:rPr>
        <w:t xml:space="preserve">2 de </w:t>
      </w:r>
      <w:r w:rsidR="004F4787">
        <w:rPr>
          <w:rFonts w:ascii="Arial" w:hAnsi="Arial" w:cs="Arial"/>
          <w:sz w:val="22"/>
          <w:lang w:val="es-ES"/>
        </w:rPr>
        <w:t>la resolución indicada</w:t>
      </w:r>
      <w:r w:rsidR="00217CE5">
        <w:rPr>
          <w:rFonts w:ascii="Arial" w:hAnsi="Arial" w:cs="Arial"/>
          <w:sz w:val="22"/>
          <w:lang w:val="es-ES"/>
        </w:rPr>
        <w:t>, de la siguiente manera:</w:t>
      </w:r>
      <w:r w:rsidR="008E0886" w:rsidRPr="00015ABB">
        <w:rPr>
          <w:rFonts w:ascii="Arial" w:hAnsi="Arial" w:cs="Arial"/>
          <w:sz w:val="22"/>
          <w:lang w:val="es-ES"/>
        </w:rPr>
        <w:t xml:space="preserve"> </w:t>
      </w:r>
    </w:p>
    <w:p w14:paraId="219185CA" w14:textId="77777777" w:rsidR="00C35F04" w:rsidRDefault="00C35F04" w:rsidP="00856577">
      <w:pPr>
        <w:spacing w:line="276" w:lineRule="auto"/>
        <w:jc w:val="both"/>
        <w:rPr>
          <w:rFonts w:ascii="Arial" w:hAnsi="Arial" w:cs="Arial"/>
          <w:sz w:val="22"/>
          <w:lang w:val="es-ES"/>
        </w:rPr>
      </w:pPr>
    </w:p>
    <w:p w14:paraId="0D1B2494" w14:textId="656909F8" w:rsidR="00C345AE" w:rsidRPr="000C0066" w:rsidRDefault="008E0886" w:rsidP="00856577">
      <w:pPr>
        <w:ind w:left="709" w:right="709"/>
        <w:jc w:val="both"/>
        <w:rPr>
          <w:rFonts w:ascii="Arial" w:hAnsi="Arial" w:cs="Arial"/>
          <w:sz w:val="21"/>
          <w:szCs w:val="21"/>
          <w:lang w:val="es-ES"/>
        </w:rPr>
      </w:pPr>
      <w:r w:rsidRPr="000C0066">
        <w:rPr>
          <w:rFonts w:ascii="Arial" w:hAnsi="Arial" w:cs="Arial"/>
          <w:sz w:val="21"/>
          <w:szCs w:val="21"/>
          <w:lang w:val="es-ES"/>
        </w:rPr>
        <w:t xml:space="preserve">Estos documentos tipo aplicarán a los proyectos de infraestructura social, </w:t>
      </w:r>
      <w:r w:rsidRPr="002F42CC">
        <w:rPr>
          <w:rFonts w:ascii="Arial" w:hAnsi="Arial" w:cs="Arial"/>
          <w:sz w:val="21"/>
          <w:szCs w:val="21"/>
          <w:lang w:val="es-ES"/>
        </w:rPr>
        <w:t>tales como</w:t>
      </w:r>
      <w:r w:rsidRPr="000C0066">
        <w:rPr>
          <w:rFonts w:ascii="Arial" w:hAnsi="Arial" w:cs="Arial"/>
          <w:sz w:val="21"/>
          <w:szCs w:val="21"/>
          <w:lang w:val="es-ES"/>
        </w:rPr>
        <w:t xml:space="preserve">, </w:t>
      </w:r>
      <w:r w:rsidRPr="00856577">
        <w:rPr>
          <w:rFonts w:ascii="Arial" w:hAnsi="Arial" w:cs="Arial"/>
          <w:i/>
          <w:iCs/>
          <w:sz w:val="21"/>
          <w:szCs w:val="21"/>
          <w:lang w:val="es-ES"/>
        </w:rPr>
        <w:t>sector educativo</w:t>
      </w:r>
      <w:r w:rsidRPr="000C0066">
        <w:rPr>
          <w:rFonts w:ascii="Arial" w:hAnsi="Arial" w:cs="Arial"/>
          <w:sz w:val="21"/>
          <w:szCs w:val="21"/>
          <w:lang w:val="es-ES"/>
        </w:rPr>
        <w:t xml:space="preserve">, sector salud y sector cultural, recreación y deporte, </w:t>
      </w:r>
      <w:r w:rsidRPr="00856577">
        <w:rPr>
          <w:rFonts w:ascii="Arial" w:hAnsi="Arial" w:cs="Arial"/>
          <w:i/>
          <w:iCs/>
          <w:sz w:val="21"/>
          <w:szCs w:val="21"/>
          <w:u w:val="single"/>
          <w:lang w:val="es-ES"/>
        </w:rPr>
        <w:t xml:space="preserve">de </w:t>
      </w:r>
      <w:r w:rsidRPr="00856577">
        <w:rPr>
          <w:rFonts w:ascii="Arial" w:hAnsi="Arial" w:cs="Arial"/>
          <w:i/>
          <w:iCs/>
          <w:sz w:val="21"/>
          <w:szCs w:val="21"/>
          <w:lang w:val="es-ES"/>
        </w:rPr>
        <w:t>conformidad con cada una de las resoluciones que expida la Agencia Nacional de Contratación Pública -Colombia Compra Eficiente-</w:t>
      </w:r>
      <w:r w:rsidRPr="000C0066">
        <w:rPr>
          <w:rFonts w:ascii="Arial" w:hAnsi="Arial" w:cs="Arial"/>
          <w:sz w:val="21"/>
          <w:szCs w:val="21"/>
          <w:lang w:val="es-ES"/>
        </w:rPr>
        <w:t xml:space="preserve">, donde se precisará el alcance concreto de estos documentos tipo; </w:t>
      </w:r>
      <w:r w:rsidRPr="002F42CC">
        <w:rPr>
          <w:rFonts w:ascii="Arial" w:hAnsi="Arial" w:cs="Arial"/>
          <w:sz w:val="21"/>
          <w:szCs w:val="21"/>
          <w:lang w:val="es-ES"/>
        </w:rPr>
        <w:t>sin perjuicio de que se incluyan otros tipos de infraestructura social.</w:t>
      </w:r>
      <w:r w:rsidRPr="000C0066">
        <w:rPr>
          <w:rFonts w:ascii="Arial" w:hAnsi="Arial" w:cs="Arial"/>
          <w:sz w:val="21"/>
          <w:szCs w:val="21"/>
          <w:lang w:val="es-ES"/>
        </w:rPr>
        <w:t xml:space="preserve">  (</w:t>
      </w:r>
      <w:r w:rsidR="00024B36">
        <w:rPr>
          <w:rFonts w:ascii="Arial" w:hAnsi="Arial" w:cs="Arial"/>
          <w:sz w:val="21"/>
          <w:szCs w:val="21"/>
          <w:lang w:val="es-ES"/>
        </w:rPr>
        <w:t>Énfasis</w:t>
      </w:r>
      <w:r w:rsidR="00024B36" w:rsidRPr="000C0066">
        <w:rPr>
          <w:rFonts w:ascii="Arial" w:hAnsi="Arial" w:cs="Arial"/>
          <w:sz w:val="21"/>
          <w:szCs w:val="21"/>
          <w:lang w:val="es-ES"/>
        </w:rPr>
        <w:t xml:space="preserve"> </w:t>
      </w:r>
      <w:r w:rsidRPr="000C0066">
        <w:rPr>
          <w:rFonts w:ascii="Arial" w:hAnsi="Arial" w:cs="Arial"/>
          <w:sz w:val="21"/>
          <w:szCs w:val="21"/>
          <w:lang w:val="es-ES"/>
        </w:rPr>
        <w:t>fuera del texto)</w:t>
      </w:r>
    </w:p>
    <w:p w14:paraId="5DBF5A69" w14:textId="77777777" w:rsidR="00C35F04" w:rsidRDefault="00C87A79" w:rsidP="00856577">
      <w:pPr>
        <w:spacing w:line="276" w:lineRule="auto"/>
        <w:jc w:val="both"/>
        <w:rPr>
          <w:rFonts w:ascii="Arial" w:hAnsi="Arial" w:cs="Arial"/>
          <w:sz w:val="22"/>
          <w:lang w:val="es-ES"/>
        </w:rPr>
      </w:pPr>
      <w:r>
        <w:rPr>
          <w:rFonts w:ascii="Arial" w:hAnsi="Arial" w:cs="Arial"/>
          <w:sz w:val="22"/>
          <w:lang w:val="es-ES"/>
        </w:rPr>
        <w:tab/>
      </w:r>
    </w:p>
    <w:p w14:paraId="1994B838" w14:textId="5A3A7BE1" w:rsidR="00AC0948" w:rsidRDefault="00DA76F0" w:rsidP="00856577">
      <w:pPr>
        <w:spacing w:before="120" w:after="120" w:line="276" w:lineRule="auto"/>
        <w:ind w:firstLine="708"/>
        <w:jc w:val="both"/>
        <w:rPr>
          <w:rFonts w:ascii="Arial" w:hAnsi="Arial" w:cs="Arial"/>
          <w:sz w:val="22"/>
          <w:lang w:val="es-ES"/>
        </w:rPr>
      </w:pPr>
      <w:r>
        <w:rPr>
          <w:rFonts w:ascii="Arial" w:hAnsi="Arial" w:cs="Arial"/>
          <w:sz w:val="22"/>
          <w:lang w:val="es-ES"/>
        </w:rPr>
        <w:t>Co</w:t>
      </w:r>
      <w:r w:rsidR="00626E99">
        <w:rPr>
          <w:rFonts w:ascii="Arial" w:hAnsi="Arial" w:cs="Arial"/>
          <w:sz w:val="22"/>
          <w:lang w:val="es-ES"/>
        </w:rPr>
        <w:t>mo se puede observar, la Resolución 219 de 2021</w:t>
      </w:r>
      <w:r>
        <w:rPr>
          <w:rFonts w:ascii="Arial" w:hAnsi="Arial" w:cs="Arial"/>
          <w:sz w:val="22"/>
          <w:lang w:val="es-ES"/>
        </w:rPr>
        <w:t xml:space="preserve"> contiene un listado enunciativo de los sectores relacionados con los proyectos de infraestructura social a los cual</w:t>
      </w:r>
      <w:r w:rsidR="00626E99">
        <w:rPr>
          <w:rFonts w:ascii="Arial" w:hAnsi="Arial" w:cs="Arial"/>
          <w:sz w:val="22"/>
          <w:lang w:val="es-ES"/>
        </w:rPr>
        <w:t xml:space="preserve">es aplican los documentos tipo </w:t>
      </w:r>
      <w:r w:rsidR="00024B36">
        <w:rPr>
          <w:rFonts w:ascii="Arial" w:hAnsi="Arial" w:cs="Arial"/>
          <w:sz w:val="22"/>
          <w:lang w:val="es-ES"/>
        </w:rPr>
        <w:t>–</w:t>
      </w:r>
      <w:r w:rsidR="00626E99">
        <w:rPr>
          <w:rFonts w:ascii="Arial" w:hAnsi="Arial" w:cs="Arial"/>
          <w:sz w:val="22"/>
          <w:lang w:val="es-ES"/>
        </w:rPr>
        <w:t>educativo</w:t>
      </w:r>
      <w:r w:rsidR="004F4787">
        <w:rPr>
          <w:rFonts w:ascii="Arial" w:hAnsi="Arial" w:cs="Arial"/>
          <w:sz w:val="22"/>
          <w:lang w:val="es-ES"/>
        </w:rPr>
        <w:t>;</w:t>
      </w:r>
      <w:r w:rsidR="00626E99">
        <w:rPr>
          <w:rFonts w:ascii="Arial" w:hAnsi="Arial" w:cs="Arial"/>
          <w:sz w:val="22"/>
          <w:lang w:val="es-ES"/>
        </w:rPr>
        <w:t xml:space="preserve"> salud</w:t>
      </w:r>
      <w:r w:rsidR="004F4787">
        <w:rPr>
          <w:rFonts w:ascii="Arial" w:hAnsi="Arial" w:cs="Arial"/>
          <w:sz w:val="22"/>
          <w:lang w:val="es-ES"/>
        </w:rPr>
        <w:t>;</w:t>
      </w:r>
      <w:r w:rsidR="00626E99">
        <w:rPr>
          <w:rFonts w:ascii="Arial" w:hAnsi="Arial" w:cs="Arial"/>
          <w:sz w:val="22"/>
          <w:lang w:val="es-ES"/>
        </w:rPr>
        <w:t xml:space="preserve"> cultura, recreación y deporte</w:t>
      </w:r>
      <w:r w:rsidR="00024B36">
        <w:rPr>
          <w:rFonts w:ascii="Arial" w:hAnsi="Arial" w:cs="Arial"/>
          <w:sz w:val="22"/>
          <w:lang w:val="es-ES"/>
        </w:rPr>
        <w:t>–</w:t>
      </w:r>
      <w:r w:rsidR="00C87A79">
        <w:rPr>
          <w:rFonts w:ascii="Arial" w:hAnsi="Arial" w:cs="Arial"/>
          <w:sz w:val="22"/>
          <w:lang w:val="es-ES"/>
        </w:rPr>
        <w:t>.</w:t>
      </w:r>
      <w:r w:rsidR="00D759EF">
        <w:rPr>
          <w:rFonts w:ascii="Arial" w:hAnsi="Arial" w:cs="Arial"/>
          <w:sz w:val="22"/>
          <w:lang w:val="es-ES"/>
        </w:rPr>
        <w:t xml:space="preserve"> </w:t>
      </w:r>
      <w:r w:rsidR="00B669B2">
        <w:rPr>
          <w:rFonts w:ascii="Arial" w:hAnsi="Arial" w:cs="Arial"/>
          <w:sz w:val="22"/>
          <w:lang w:val="es-ES"/>
        </w:rPr>
        <w:t>T</w:t>
      </w:r>
      <w:r w:rsidR="00A757F5">
        <w:rPr>
          <w:rFonts w:ascii="Arial" w:hAnsi="Arial" w:cs="Arial"/>
          <w:sz w:val="22"/>
          <w:lang w:val="es-ES"/>
        </w:rPr>
        <w:t xml:space="preserve">ambién </w:t>
      </w:r>
      <w:r w:rsidR="00D759EF">
        <w:rPr>
          <w:rFonts w:ascii="Arial" w:hAnsi="Arial" w:cs="Arial"/>
          <w:sz w:val="22"/>
          <w:lang w:val="es-ES"/>
        </w:rPr>
        <w:t xml:space="preserve">precisa que el alcance de cada sector estará dado por las resoluciones </w:t>
      </w:r>
      <w:r w:rsidR="004F4787">
        <w:rPr>
          <w:rFonts w:ascii="Arial" w:hAnsi="Arial" w:cs="Arial"/>
          <w:sz w:val="22"/>
          <w:lang w:val="es-ES"/>
        </w:rPr>
        <w:t xml:space="preserve">posteriores </w:t>
      </w:r>
      <w:r w:rsidR="00D759EF">
        <w:rPr>
          <w:rFonts w:ascii="Arial" w:hAnsi="Arial" w:cs="Arial"/>
          <w:sz w:val="22"/>
          <w:lang w:val="es-ES"/>
        </w:rPr>
        <w:t xml:space="preserve">que expida </w:t>
      </w:r>
      <w:r w:rsidR="00D759EF" w:rsidRPr="00015ABB">
        <w:rPr>
          <w:rFonts w:ascii="Arial" w:hAnsi="Arial" w:cs="Arial"/>
          <w:sz w:val="22"/>
          <w:lang w:val="es-ES"/>
        </w:rPr>
        <w:t>la Agencia</w:t>
      </w:r>
      <w:r w:rsidR="00D759EF">
        <w:rPr>
          <w:rFonts w:ascii="Arial" w:hAnsi="Arial" w:cs="Arial"/>
          <w:sz w:val="22"/>
          <w:lang w:val="es-ES"/>
        </w:rPr>
        <w:t>.</w:t>
      </w:r>
      <w:r w:rsidR="00C20AC5">
        <w:rPr>
          <w:rFonts w:ascii="Arial" w:hAnsi="Arial" w:cs="Arial"/>
          <w:sz w:val="22"/>
          <w:lang w:val="es-ES"/>
        </w:rPr>
        <w:t xml:space="preserve"> </w:t>
      </w:r>
      <w:r w:rsidR="00AC0948">
        <w:rPr>
          <w:rFonts w:ascii="Arial" w:hAnsi="Arial" w:cs="Arial"/>
          <w:sz w:val="22"/>
          <w:lang w:val="es-ES"/>
        </w:rPr>
        <w:t xml:space="preserve">A su vez, </w:t>
      </w:r>
      <w:r w:rsidR="004F4787">
        <w:rPr>
          <w:rFonts w:ascii="Arial" w:hAnsi="Arial" w:cs="Arial"/>
          <w:sz w:val="22"/>
          <w:lang w:val="es-ES"/>
        </w:rPr>
        <w:t xml:space="preserve">esas </w:t>
      </w:r>
      <w:r w:rsidR="00A757F5">
        <w:rPr>
          <w:rFonts w:ascii="Arial" w:hAnsi="Arial" w:cs="Arial"/>
          <w:sz w:val="22"/>
          <w:lang w:val="es-ES"/>
        </w:rPr>
        <w:t xml:space="preserve">resoluciones desarrollarán </w:t>
      </w:r>
      <w:r w:rsidR="00AC0948">
        <w:rPr>
          <w:rFonts w:ascii="Arial" w:hAnsi="Arial" w:cs="Arial"/>
          <w:sz w:val="22"/>
          <w:lang w:val="es-ES"/>
        </w:rPr>
        <w:t>las</w:t>
      </w:r>
      <w:r w:rsidR="00C20AC5">
        <w:rPr>
          <w:rFonts w:ascii="Arial" w:hAnsi="Arial" w:cs="Arial"/>
          <w:sz w:val="22"/>
          <w:lang w:val="es-ES"/>
        </w:rPr>
        <w:t xml:space="preserve"> matrices de </w:t>
      </w:r>
      <w:r w:rsidR="00AC0948">
        <w:rPr>
          <w:rFonts w:ascii="Arial" w:hAnsi="Arial" w:cs="Arial"/>
          <w:sz w:val="22"/>
          <w:lang w:val="es-ES"/>
        </w:rPr>
        <w:t>experiencia</w:t>
      </w:r>
      <w:r w:rsidR="00C20AC5">
        <w:rPr>
          <w:rFonts w:ascii="Arial" w:hAnsi="Arial" w:cs="Arial"/>
          <w:sz w:val="22"/>
          <w:lang w:val="es-ES"/>
        </w:rPr>
        <w:t xml:space="preserve"> </w:t>
      </w:r>
      <w:r w:rsidR="00AC0948">
        <w:rPr>
          <w:rFonts w:ascii="Arial" w:hAnsi="Arial" w:cs="Arial"/>
          <w:sz w:val="22"/>
          <w:lang w:val="es-ES"/>
        </w:rPr>
        <w:t>y los glosarios que definirán concretamente cada sector</w:t>
      </w:r>
      <w:r w:rsidR="004F4787">
        <w:rPr>
          <w:rFonts w:ascii="Arial" w:hAnsi="Arial" w:cs="Arial"/>
          <w:sz w:val="22"/>
          <w:lang w:val="es-ES"/>
        </w:rPr>
        <w:t>, mediante los cuales se precisará de forma detallada su ámbito de aplicación</w:t>
      </w:r>
      <w:r w:rsidR="00AC0948">
        <w:rPr>
          <w:rFonts w:ascii="Arial" w:hAnsi="Arial" w:cs="Arial"/>
          <w:sz w:val="22"/>
          <w:lang w:val="es-ES"/>
        </w:rPr>
        <w:t xml:space="preserve">.  Así lo señala </w:t>
      </w:r>
      <w:r w:rsidR="00D759EF">
        <w:rPr>
          <w:rFonts w:ascii="Arial" w:hAnsi="Arial" w:cs="Arial"/>
          <w:sz w:val="22"/>
          <w:lang w:val="es-ES"/>
        </w:rPr>
        <w:t xml:space="preserve">el </w:t>
      </w:r>
      <w:r w:rsidR="00D759EF" w:rsidRPr="00015ABB">
        <w:rPr>
          <w:rFonts w:ascii="Arial" w:hAnsi="Arial" w:cs="Arial"/>
          <w:sz w:val="22"/>
          <w:lang w:val="es-ES"/>
        </w:rPr>
        <w:t>parágrafo 3 del artículo 2</w:t>
      </w:r>
      <w:r w:rsidR="00D759EF">
        <w:rPr>
          <w:rFonts w:ascii="Arial" w:hAnsi="Arial" w:cs="Arial"/>
          <w:sz w:val="22"/>
          <w:lang w:val="es-ES"/>
        </w:rPr>
        <w:t xml:space="preserve"> </w:t>
      </w:r>
      <w:r w:rsidR="00A757F5">
        <w:rPr>
          <w:rFonts w:ascii="Arial" w:hAnsi="Arial" w:cs="Arial"/>
          <w:sz w:val="22"/>
          <w:lang w:val="es-ES"/>
        </w:rPr>
        <w:t xml:space="preserve">que </w:t>
      </w:r>
      <w:r w:rsidR="00024B36">
        <w:rPr>
          <w:rFonts w:ascii="Arial" w:hAnsi="Arial" w:cs="Arial"/>
          <w:sz w:val="22"/>
          <w:lang w:val="es-ES"/>
        </w:rPr>
        <w:t>dispone lo siguiente</w:t>
      </w:r>
      <w:r w:rsidR="00AC0948">
        <w:rPr>
          <w:rFonts w:ascii="Arial" w:hAnsi="Arial" w:cs="Arial"/>
          <w:sz w:val="22"/>
          <w:lang w:val="es-ES"/>
        </w:rPr>
        <w:t>:</w:t>
      </w:r>
    </w:p>
    <w:p w14:paraId="2CC0D576" w14:textId="5EB9A66A" w:rsidR="0022538D" w:rsidRPr="004E12CD" w:rsidRDefault="00AC0948" w:rsidP="00C44228">
      <w:pPr>
        <w:spacing w:before="240" w:after="240"/>
        <w:ind w:left="709" w:right="709"/>
        <w:jc w:val="both"/>
        <w:rPr>
          <w:rFonts w:ascii="Arial" w:hAnsi="Arial" w:cs="Arial"/>
          <w:sz w:val="21"/>
          <w:szCs w:val="21"/>
          <w:lang w:val="es-ES"/>
        </w:rPr>
      </w:pPr>
      <w:r w:rsidRPr="004E12CD">
        <w:rPr>
          <w:rFonts w:ascii="Arial" w:hAnsi="Arial" w:cs="Arial"/>
          <w:sz w:val="21"/>
          <w:szCs w:val="21"/>
          <w:lang w:val="es-ES"/>
        </w:rPr>
        <w:t>L</w:t>
      </w:r>
      <w:r w:rsidR="00D759EF" w:rsidRPr="004E12CD">
        <w:rPr>
          <w:rFonts w:ascii="Arial" w:hAnsi="Arial" w:cs="Arial"/>
          <w:sz w:val="21"/>
          <w:szCs w:val="21"/>
          <w:lang w:val="es-ES"/>
        </w:rPr>
        <w:t>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p>
    <w:p w14:paraId="3F3C5CE0" w14:textId="0B4C0500" w:rsidR="0022538D" w:rsidRDefault="00C87A79" w:rsidP="004E12CD">
      <w:pPr>
        <w:spacing w:before="120" w:after="120"/>
        <w:jc w:val="both"/>
        <w:rPr>
          <w:rFonts w:ascii="Arial" w:hAnsi="Arial" w:cs="Arial"/>
          <w:sz w:val="22"/>
          <w:lang w:val="es-ES"/>
        </w:rPr>
      </w:pPr>
      <w:r>
        <w:rPr>
          <w:rFonts w:ascii="Arial" w:hAnsi="Arial" w:cs="Arial"/>
          <w:sz w:val="22"/>
          <w:lang w:val="es-ES"/>
        </w:rPr>
        <w:lastRenderedPageBreak/>
        <w:tab/>
      </w:r>
      <w:r w:rsidR="00024B36">
        <w:rPr>
          <w:rFonts w:ascii="Arial" w:hAnsi="Arial" w:cs="Arial"/>
          <w:sz w:val="22"/>
          <w:lang w:val="es-ES"/>
        </w:rPr>
        <w:t>En concordancia,</w:t>
      </w:r>
      <w:r w:rsidR="0022538D">
        <w:rPr>
          <w:rFonts w:ascii="Arial" w:hAnsi="Arial" w:cs="Arial"/>
          <w:sz w:val="22"/>
          <w:lang w:val="es-ES"/>
        </w:rPr>
        <w:t xml:space="preserve"> el «Documento Base</w:t>
      </w:r>
      <w:r w:rsidR="004F4787">
        <w:rPr>
          <w:rFonts w:ascii="Arial" w:hAnsi="Arial" w:cs="Arial"/>
          <w:sz w:val="22"/>
          <w:lang w:val="es-ES"/>
        </w:rPr>
        <w:t>» de</w:t>
      </w:r>
      <w:r w:rsidR="0022538D">
        <w:rPr>
          <w:rFonts w:ascii="Arial" w:hAnsi="Arial" w:cs="Arial"/>
          <w:sz w:val="22"/>
          <w:lang w:val="es-ES"/>
        </w:rPr>
        <w:t xml:space="preserve"> </w:t>
      </w:r>
      <w:r w:rsidR="0022538D" w:rsidRPr="000C0AA7">
        <w:rPr>
          <w:rFonts w:ascii="Arial" w:eastAsia="Calibri" w:hAnsi="Arial" w:cs="Arial"/>
          <w:sz w:val="22"/>
        </w:rPr>
        <w:t>licitación de obra pú</w:t>
      </w:r>
      <w:r w:rsidR="0022538D">
        <w:rPr>
          <w:rFonts w:ascii="Arial" w:eastAsia="Calibri" w:hAnsi="Arial" w:cs="Arial"/>
          <w:sz w:val="22"/>
        </w:rPr>
        <w:t>blica de infraestructura social</w:t>
      </w:r>
      <w:r w:rsidR="0022538D">
        <w:rPr>
          <w:rStyle w:val="Refdenotaalpie"/>
          <w:rFonts w:ascii="Arial" w:hAnsi="Arial" w:cs="Arial"/>
          <w:sz w:val="22"/>
          <w:lang w:val="es-ES"/>
        </w:rPr>
        <w:footnoteReference w:id="6"/>
      </w:r>
      <w:r w:rsidR="00024B36">
        <w:rPr>
          <w:rFonts w:ascii="Arial" w:eastAsia="Calibri" w:hAnsi="Arial" w:cs="Arial"/>
          <w:sz w:val="22"/>
        </w:rPr>
        <w:t xml:space="preserve"> prescribe en la parte introductoria que</w:t>
      </w:r>
      <w:r w:rsidR="0022538D">
        <w:rPr>
          <w:rFonts w:ascii="Arial" w:hAnsi="Arial" w:cs="Arial"/>
          <w:sz w:val="22"/>
          <w:lang w:val="es-ES"/>
        </w:rPr>
        <w:t>:</w:t>
      </w:r>
    </w:p>
    <w:p w14:paraId="39FBCC6B" w14:textId="4F71AD38" w:rsidR="0022538D" w:rsidRPr="004E12CD" w:rsidRDefault="0022538D" w:rsidP="00856577">
      <w:pPr>
        <w:spacing w:before="240"/>
        <w:ind w:left="709" w:right="709"/>
        <w:jc w:val="both"/>
        <w:rPr>
          <w:rFonts w:ascii="Arial" w:eastAsia="Times New Roman" w:hAnsi="Arial" w:cs="Arial"/>
          <w:bCs/>
          <w:color w:val="000000"/>
          <w:sz w:val="21"/>
          <w:szCs w:val="21"/>
          <w:lang w:eastAsia="es-CO"/>
        </w:rPr>
      </w:pPr>
      <w:r w:rsidRPr="00F05DEE">
        <w:rPr>
          <w:rFonts w:ascii="Arial" w:eastAsia="Times New Roman" w:hAnsi="Arial" w:cs="Arial"/>
          <w:bCs/>
          <w:color w:val="000000"/>
          <w:sz w:val="21"/>
          <w:szCs w:val="21"/>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p>
    <w:p w14:paraId="3596E1AE" w14:textId="77777777" w:rsidR="00024B36" w:rsidRDefault="00024B36" w:rsidP="00856577">
      <w:pPr>
        <w:spacing w:line="276" w:lineRule="auto"/>
        <w:ind w:firstLine="708"/>
        <w:jc w:val="both"/>
        <w:rPr>
          <w:rFonts w:ascii="Arial" w:eastAsia="Times New Roman" w:hAnsi="Arial" w:cs="Arial"/>
          <w:bCs/>
          <w:color w:val="000000" w:themeColor="text1"/>
          <w:sz w:val="22"/>
          <w:lang w:val="es-ES" w:eastAsia="es-ES_tradnl"/>
        </w:rPr>
      </w:pPr>
    </w:p>
    <w:p w14:paraId="2954AE26" w14:textId="570F298A" w:rsidR="00EE4DA0" w:rsidRDefault="00AC0948" w:rsidP="004E12CD">
      <w:pPr>
        <w:spacing w:before="120" w:after="120" w:line="276" w:lineRule="auto"/>
        <w:ind w:firstLine="708"/>
        <w:jc w:val="both"/>
        <w:rPr>
          <w:rFonts w:ascii="Arial" w:hAnsi="Arial" w:cs="Arial"/>
          <w:sz w:val="22"/>
          <w:lang w:val="es-ES"/>
        </w:rPr>
      </w:pPr>
      <w:r>
        <w:rPr>
          <w:rFonts w:ascii="Arial" w:eastAsia="Times New Roman" w:hAnsi="Arial" w:cs="Arial"/>
          <w:bCs/>
          <w:color w:val="000000" w:themeColor="text1"/>
          <w:sz w:val="22"/>
          <w:lang w:val="es-ES" w:eastAsia="es-ES_tradnl"/>
        </w:rPr>
        <w:t xml:space="preserve">Cabe anotar que </w:t>
      </w:r>
      <w:r w:rsidRPr="00015ABB">
        <w:rPr>
          <w:rFonts w:ascii="Arial" w:eastAsia="Times New Roman" w:hAnsi="Arial" w:cs="Arial"/>
          <w:bCs/>
          <w:color w:val="000000" w:themeColor="text1"/>
          <w:sz w:val="22"/>
          <w:lang w:eastAsia="es-ES_tradnl"/>
        </w:rPr>
        <w:t xml:space="preserve">la Resolución 219 del 6 de agosto de 2021 contiene los documentos tipo que aplican </w:t>
      </w:r>
      <w:r w:rsidRPr="00015ABB">
        <w:rPr>
          <w:rFonts w:ascii="Arial" w:hAnsi="Arial" w:cs="Arial"/>
          <w:sz w:val="22"/>
          <w:lang w:val="es-ES"/>
        </w:rPr>
        <w:t xml:space="preserve">de forma </w:t>
      </w:r>
      <w:r w:rsidRPr="00A30B0A">
        <w:rPr>
          <w:rFonts w:ascii="Arial" w:hAnsi="Arial" w:cs="Arial"/>
          <w:sz w:val="22"/>
          <w:lang w:val="es-ES"/>
        </w:rPr>
        <w:t xml:space="preserve">transversal </w:t>
      </w:r>
      <w:r w:rsidRPr="00015ABB">
        <w:rPr>
          <w:rFonts w:ascii="Arial" w:hAnsi="Arial" w:cs="Arial"/>
          <w:sz w:val="22"/>
          <w:lang w:val="es-ES"/>
        </w:rPr>
        <w:t>a los proyectos de infraestructura social en los sectores educativo</w:t>
      </w:r>
      <w:r w:rsidR="00CA61DB">
        <w:rPr>
          <w:rFonts w:ascii="Arial" w:hAnsi="Arial" w:cs="Arial"/>
          <w:sz w:val="22"/>
          <w:lang w:val="es-ES"/>
        </w:rPr>
        <w:t>;</w:t>
      </w:r>
      <w:r w:rsidRPr="00015ABB">
        <w:rPr>
          <w:rFonts w:ascii="Arial" w:hAnsi="Arial" w:cs="Arial"/>
          <w:sz w:val="22"/>
          <w:lang w:val="es-ES"/>
        </w:rPr>
        <w:t xml:space="preserve"> salud</w:t>
      </w:r>
      <w:r w:rsidR="00CA61DB">
        <w:rPr>
          <w:rFonts w:ascii="Arial" w:hAnsi="Arial" w:cs="Arial"/>
          <w:sz w:val="22"/>
          <w:lang w:val="es-ES"/>
        </w:rPr>
        <w:t>;</w:t>
      </w:r>
      <w:r w:rsidRPr="00015ABB">
        <w:rPr>
          <w:rFonts w:ascii="Arial" w:hAnsi="Arial" w:cs="Arial"/>
          <w:sz w:val="22"/>
          <w:lang w:val="es-ES"/>
        </w:rPr>
        <w:t xml:space="preserve"> cultura, recreación y deporte. Estos documentos son el documento base, los anexos, los formatos, los formularios y las matrices, lo</w:t>
      </w:r>
      <w:r w:rsidR="0094084D">
        <w:rPr>
          <w:rFonts w:ascii="Arial" w:hAnsi="Arial" w:cs="Arial"/>
          <w:sz w:val="22"/>
          <w:lang w:val="es-ES"/>
        </w:rPr>
        <w:t>s</w:t>
      </w:r>
      <w:r w:rsidRPr="00015ABB">
        <w:rPr>
          <w:rFonts w:ascii="Arial" w:hAnsi="Arial" w:cs="Arial"/>
          <w:sz w:val="22"/>
          <w:lang w:val="es-ES"/>
        </w:rPr>
        <w:t xml:space="preserve"> cuales se </w:t>
      </w:r>
      <w:r w:rsidR="00CA61DB">
        <w:rPr>
          <w:rFonts w:ascii="Arial" w:hAnsi="Arial" w:cs="Arial"/>
          <w:sz w:val="22"/>
          <w:lang w:val="es-ES"/>
        </w:rPr>
        <w:t>complementarán</w:t>
      </w:r>
      <w:r w:rsidRPr="00015ABB">
        <w:rPr>
          <w:rFonts w:ascii="Arial" w:hAnsi="Arial" w:cs="Arial"/>
          <w:sz w:val="22"/>
          <w:lang w:val="es-ES"/>
        </w:rPr>
        <w:t xml:space="preserve"> con cada una de las resoluciones que adoptan las matrices de experiencia y los anexos de glosario para cada </w:t>
      </w:r>
      <w:r w:rsidR="00CA61DB">
        <w:rPr>
          <w:rFonts w:ascii="Arial" w:hAnsi="Arial" w:cs="Arial"/>
          <w:sz w:val="22"/>
          <w:lang w:val="es-ES"/>
        </w:rPr>
        <w:t xml:space="preserve">uno de los </w:t>
      </w:r>
      <w:r w:rsidRPr="00015ABB">
        <w:rPr>
          <w:rFonts w:ascii="Arial" w:hAnsi="Arial" w:cs="Arial"/>
          <w:sz w:val="22"/>
          <w:lang w:val="es-ES"/>
        </w:rPr>
        <w:t>sector</w:t>
      </w:r>
      <w:r w:rsidR="00CA61DB">
        <w:rPr>
          <w:rFonts w:ascii="Arial" w:hAnsi="Arial" w:cs="Arial"/>
          <w:sz w:val="22"/>
          <w:lang w:val="es-ES"/>
        </w:rPr>
        <w:t>es</w:t>
      </w:r>
      <w:r w:rsidRPr="00015ABB">
        <w:rPr>
          <w:rFonts w:ascii="Arial" w:hAnsi="Arial" w:cs="Arial"/>
          <w:sz w:val="22"/>
          <w:lang w:val="es-ES"/>
        </w:rPr>
        <w:t>, definiendo así su alcance y vigen</w:t>
      </w:r>
      <w:r>
        <w:rPr>
          <w:rFonts w:ascii="Arial" w:hAnsi="Arial" w:cs="Arial"/>
          <w:sz w:val="22"/>
          <w:lang w:val="es-ES"/>
        </w:rPr>
        <w:t>cia.</w:t>
      </w:r>
    </w:p>
    <w:p w14:paraId="010B9E40" w14:textId="651F22D0" w:rsidR="00AC0948" w:rsidRDefault="00EE4DA0" w:rsidP="004E12CD">
      <w:pPr>
        <w:spacing w:before="120" w:after="120" w:line="276" w:lineRule="auto"/>
        <w:ind w:firstLine="708"/>
        <w:jc w:val="both"/>
        <w:rPr>
          <w:rFonts w:ascii="Arial" w:hAnsi="Arial" w:cs="Arial"/>
          <w:sz w:val="22"/>
          <w:lang w:val="es-ES"/>
        </w:rPr>
      </w:pPr>
      <w:r>
        <w:rPr>
          <w:rFonts w:ascii="Arial" w:hAnsi="Arial" w:cs="Arial"/>
          <w:sz w:val="22"/>
          <w:lang w:val="es-ES"/>
        </w:rPr>
        <w:t>En consecuencia, en materia de infraestructura social</w:t>
      </w:r>
      <w:r w:rsidR="00A30B0A">
        <w:rPr>
          <w:rFonts w:ascii="Arial" w:hAnsi="Arial" w:cs="Arial"/>
          <w:sz w:val="22"/>
          <w:lang w:val="es-ES"/>
        </w:rPr>
        <w:t xml:space="preserve"> se debe</w:t>
      </w:r>
      <w:r>
        <w:rPr>
          <w:rFonts w:ascii="Arial" w:hAnsi="Arial" w:cs="Arial"/>
          <w:sz w:val="22"/>
          <w:lang w:val="es-ES"/>
        </w:rPr>
        <w:t xml:space="preserve"> tener en cuenta que existen dos clases de documentos tipo que se integran en cada </w:t>
      </w:r>
      <w:r w:rsidR="00A30B0A">
        <w:rPr>
          <w:rFonts w:ascii="Arial" w:hAnsi="Arial" w:cs="Arial"/>
          <w:sz w:val="22"/>
          <w:lang w:val="es-ES"/>
        </w:rPr>
        <w:t xml:space="preserve">proceso: </w:t>
      </w:r>
      <w:r>
        <w:rPr>
          <w:rFonts w:ascii="Arial" w:hAnsi="Arial" w:cs="Arial"/>
          <w:sz w:val="22"/>
          <w:lang w:val="es-ES"/>
        </w:rPr>
        <w:t xml:space="preserve"> </w:t>
      </w:r>
      <w:r w:rsidR="00A30B0A">
        <w:rPr>
          <w:rFonts w:ascii="Arial" w:hAnsi="Arial" w:cs="Arial"/>
          <w:sz w:val="22"/>
          <w:lang w:val="es-ES"/>
        </w:rPr>
        <w:t>i) los</w:t>
      </w:r>
      <w:r>
        <w:rPr>
          <w:rFonts w:ascii="Arial" w:hAnsi="Arial" w:cs="Arial"/>
          <w:sz w:val="22"/>
          <w:lang w:val="es-ES"/>
        </w:rPr>
        <w:t xml:space="preserve"> documentos </w:t>
      </w:r>
      <w:r w:rsidRPr="00A30B0A">
        <w:rPr>
          <w:rFonts w:ascii="Arial" w:hAnsi="Arial" w:cs="Arial"/>
          <w:i/>
          <w:sz w:val="22"/>
          <w:lang w:val="es-ES"/>
        </w:rPr>
        <w:t>transversales</w:t>
      </w:r>
      <w:r>
        <w:rPr>
          <w:rFonts w:ascii="Arial" w:hAnsi="Arial" w:cs="Arial"/>
          <w:sz w:val="22"/>
          <w:lang w:val="es-ES"/>
        </w:rPr>
        <w:t xml:space="preserve"> a todos los sectores </w:t>
      </w:r>
      <w:r w:rsidR="00A30B0A">
        <w:rPr>
          <w:rFonts w:ascii="Arial" w:hAnsi="Arial" w:cs="Arial"/>
          <w:sz w:val="22"/>
          <w:lang w:val="es-ES"/>
        </w:rPr>
        <w:t xml:space="preserve">de </w:t>
      </w:r>
      <w:r>
        <w:rPr>
          <w:rFonts w:ascii="Arial" w:hAnsi="Arial" w:cs="Arial"/>
          <w:sz w:val="22"/>
          <w:lang w:val="es-ES"/>
        </w:rPr>
        <w:t>infraestructura social</w:t>
      </w:r>
      <w:r w:rsidR="00A30B0A">
        <w:rPr>
          <w:rFonts w:ascii="Arial" w:hAnsi="Arial" w:cs="Arial"/>
          <w:sz w:val="22"/>
          <w:lang w:val="es-ES"/>
        </w:rPr>
        <w:t xml:space="preserve">, es decir, </w:t>
      </w:r>
      <w:r w:rsidR="00A30B0A" w:rsidRPr="00015ABB">
        <w:rPr>
          <w:rFonts w:ascii="Arial" w:hAnsi="Arial" w:cs="Arial"/>
          <w:sz w:val="22"/>
          <w:lang w:val="es-ES"/>
        </w:rPr>
        <w:t>el documento base, los anexos, los formatos,</w:t>
      </w:r>
      <w:r w:rsidR="00A30B0A">
        <w:rPr>
          <w:rFonts w:ascii="Arial" w:hAnsi="Arial" w:cs="Arial"/>
          <w:sz w:val="22"/>
          <w:lang w:val="es-ES"/>
        </w:rPr>
        <w:t xml:space="preserve"> los formularios y las matrices adoptados mediante la Resolución No. 219 de 2021</w:t>
      </w:r>
      <w:r w:rsidR="00C87A79">
        <w:rPr>
          <w:rFonts w:ascii="Arial" w:hAnsi="Arial" w:cs="Arial"/>
          <w:sz w:val="22"/>
          <w:lang w:val="es-ES"/>
        </w:rPr>
        <w:t>;</w:t>
      </w:r>
      <w:r w:rsidR="007953C4">
        <w:rPr>
          <w:rFonts w:ascii="Arial" w:hAnsi="Arial" w:cs="Arial"/>
          <w:sz w:val="22"/>
          <w:lang w:val="es-ES"/>
        </w:rPr>
        <w:t xml:space="preserve"> y</w:t>
      </w:r>
      <w:r w:rsidR="00A30B0A">
        <w:rPr>
          <w:rFonts w:ascii="Arial" w:hAnsi="Arial" w:cs="Arial"/>
          <w:sz w:val="22"/>
          <w:lang w:val="es-ES"/>
        </w:rPr>
        <w:t xml:space="preserve"> ii) los documentos tipo </w:t>
      </w:r>
      <w:r w:rsidR="00A30B0A" w:rsidRPr="004375ED">
        <w:rPr>
          <w:rFonts w:ascii="Arial" w:hAnsi="Arial" w:cs="Arial"/>
          <w:i/>
          <w:sz w:val="22"/>
          <w:lang w:val="es-ES"/>
        </w:rPr>
        <w:t>complementarios</w:t>
      </w:r>
      <w:r w:rsidR="00C87A79" w:rsidRPr="003704A3">
        <w:rPr>
          <w:rFonts w:ascii="Arial" w:hAnsi="Arial" w:cs="Arial"/>
          <w:iCs/>
          <w:sz w:val="22"/>
          <w:lang w:val="es-ES"/>
        </w:rPr>
        <w:t>,</w:t>
      </w:r>
      <w:r w:rsidR="00A30B0A">
        <w:rPr>
          <w:rFonts w:ascii="Arial" w:hAnsi="Arial" w:cs="Arial"/>
          <w:i/>
          <w:sz w:val="22"/>
          <w:lang w:val="es-ES"/>
        </w:rPr>
        <w:t xml:space="preserve"> </w:t>
      </w:r>
      <w:r w:rsidR="00A30B0A" w:rsidRPr="00A30B0A">
        <w:rPr>
          <w:rFonts w:ascii="Arial" w:hAnsi="Arial" w:cs="Arial"/>
          <w:sz w:val="22"/>
          <w:lang w:val="es-ES"/>
        </w:rPr>
        <w:t>referentes a la matriz de experiencia y el glosario</w:t>
      </w:r>
      <w:r w:rsidR="00A30B0A">
        <w:rPr>
          <w:rFonts w:ascii="Arial" w:hAnsi="Arial" w:cs="Arial"/>
          <w:sz w:val="22"/>
          <w:lang w:val="es-ES"/>
        </w:rPr>
        <w:t xml:space="preserve">, los cuales </w:t>
      </w:r>
      <w:r w:rsidR="00C67218">
        <w:rPr>
          <w:rFonts w:ascii="Arial" w:hAnsi="Arial" w:cs="Arial"/>
          <w:sz w:val="22"/>
          <w:lang w:val="es-ES"/>
        </w:rPr>
        <w:t>han sido</w:t>
      </w:r>
      <w:r w:rsidR="00A30B0A">
        <w:rPr>
          <w:rFonts w:ascii="Arial" w:hAnsi="Arial" w:cs="Arial"/>
          <w:sz w:val="22"/>
          <w:lang w:val="es-ES"/>
        </w:rPr>
        <w:t xml:space="preserve"> adoptados</w:t>
      </w:r>
      <w:r w:rsidR="007953C4">
        <w:rPr>
          <w:rFonts w:ascii="Arial" w:hAnsi="Arial" w:cs="Arial"/>
          <w:sz w:val="22"/>
          <w:lang w:val="es-ES"/>
        </w:rPr>
        <w:t xml:space="preserve"> en la</w:t>
      </w:r>
      <w:r w:rsidR="00A30B0A">
        <w:rPr>
          <w:rFonts w:ascii="Arial" w:hAnsi="Arial" w:cs="Arial"/>
          <w:sz w:val="22"/>
          <w:lang w:val="es-ES"/>
        </w:rPr>
        <w:t xml:space="preserve"> resolución </w:t>
      </w:r>
      <w:r w:rsidR="00A30B0A" w:rsidRPr="00A30B0A">
        <w:rPr>
          <w:rFonts w:ascii="Arial" w:hAnsi="Arial" w:cs="Arial"/>
          <w:sz w:val="22"/>
          <w:lang w:val="es-ES"/>
        </w:rPr>
        <w:t>para cada sector espec</w:t>
      </w:r>
      <w:r w:rsidR="00A30B0A">
        <w:rPr>
          <w:rFonts w:ascii="Arial" w:hAnsi="Arial" w:cs="Arial"/>
          <w:sz w:val="22"/>
          <w:lang w:val="es-ES"/>
        </w:rPr>
        <w:t>ífico.</w:t>
      </w:r>
    </w:p>
    <w:p w14:paraId="7CB28312" w14:textId="311AC155" w:rsidR="002F474A" w:rsidRPr="008B2F4C" w:rsidRDefault="00217CE5" w:rsidP="004E12CD">
      <w:pPr>
        <w:spacing w:before="120" w:after="120" w:line="276" w:lineRule="auto"/>
        <w:ind w:firstLine="708"/>
        <w:jc w:val="both"/>
        <w:rPr>
          <w:rFonts w:ascii="Arial" w:hAnsi="Arial" w:cs="Arial"/>
          <w:iCs/>
          <w:sz w:val="22"/>
          <w:lang w:val="es-ES"/>
        </w:rPr>
      </w:pPr>
      <w:r w:rsidRPr="00015ABB">
        <w:rPr>
          <w:rFonts w:ascii="Arial" w:eastAsia="Times New Roman" w:hAnsi="Arial" w:cs="Arial"/>
          <w:bCs/>
          <w:color w:val="000000" w:themeColor="text1"/>
          <w:sz w:val="22"/>
          <w:lang w:val="es-ES" w:eastAsia="es-ES_tradnl"/>
        </w:rPr>
        <w:t xml:space="preserve">En tal sentido, </w:t>
      </w:r>
      <w:r w:rsidR="009F24D1">
        <w:rPr>
          <w:rFonts w:ascii="Arial" w:eastAsia="Times New Roman" w:hAnsi="Arial" w:cs="Arial"/>
          <w:bCs/>
          <w:color w:val="000000" w:themeColor="text1"/>
          <w:sz w:val="22"/>
          <w:lang w:val="es-ES" w:eastAsia="es-ES_tradnl"/>
        </w:rPr>
        <w:t xml:space="preserve">el pasado 6 de agosto, se </w:t>
      </w:r>
      <w:bookmarkStart w:id="4" w:name="_Hlk83803153"/>
      <w:r w:rsidR="009F24D1">
        <w:rPr>
          <w:rFonts w:ascii="Arial" w:eastAsia="Times New Roman" w:hAnsi="Arial" w:cs="Arial"/>
          <w:bCs/>
          <w:color w:val="000000" w:themeColor="text1"/>
          <w:sz w:val="22"/>
          <w:lang w:val="es-ES" w:eastAsia="es-ES_tradnl"/>
        </w:rPr>
        <w:t>adoptaron l</w:t>
      </w:r>
      <w:r w:rsidRPr="00015ABB">
        <w:rPr>
          <w:rFonts w:ascii="Arial" w:eastAsia="Times New Roman" w:hAnsi="Arial" w:cs="Arial"/>
          <w:bCs/>
          <w:color w:val="000000" w:themeColor="text1"/>
          <w:sz w:val="22"/>
          <w:lang w:val="es-ES" w:eastAsia="es-ES_tradnl"/>
        </w:rPr>
        <w:t>os documentos</w:t>
      </w:r>
      <w:r w:rsidR="00A30B0A">
        <w:rPr>
          <w:rFonts w:ascii="Arial" w:eastAsia="Times New Roman" w:hAnsi="Arial" w:cs="Arial"/>
          <w:bCs/>
          <w:color w:val="000000" w:themeColor="text1"/>
          <w:sz w:val="22"/>
          <w:lang w:val="es-ES" w:eastAsia="es-ES_tradnl"/>
        </w:rPr>
        <w:t xml:space="preserve"> </w:t>
      </w:r>
      <w:r w:rsidRPr="00015ABB">
        <w:rPr>
          <w:rFonts w:ascii="Arial" w:eastAsia="Times New Roman" w:hAnsi="Arial" w:cs="Arial"/>
          <w:bCs/>
          <w:color w:val="000000" w:themeColor="text1"/>
          <w:sz w:val="22"/>
          <w:lang w:val="es-ES" w:eastAsia="es-ES_tradnl"/>
        </w:rPr>
        <w:t>tipo</w:t>
      </w:r>
      <w:r w:rsidR="007953C4">
        <w:rPr>
          <w:rFonts w:ascii="Arial" w:eastAsia="Times New Roman" w:hAnsi="Arial" w:cs="Arial"/>
          <w:bCs/>
          <w:color w:val="000000" w:themeColor="text1"/>
          <w:sz w:val="22"/>
          <w:lang w:val="es-ES" w:eastAsia="es-ES_tradnl"/>
        </w:rPr>
        <w:t xml:space="preserve"> </w:t>
      </w:r>
      <w:r w:rsidR="007953C4" w:rsidRPr="003704A3">
        <w:rPr>
          <w:rFonts w:ascii="Arial" w:eastAsia="Times New Roman" w:hAnsi="Arial" w:cs="Arial"/>
          <w:bCs/>
          <w:color w:val="000000" w:themeColor="text1"/>
          <w:sz w:val="22"/>
          <w:lang w:val="es-ES" w:eastAsia="es-ES_tradnl"/>
        </w:rPr>
        <w:t>complementarios</w:t>
      </w:r>
      <w:r w:rsidRPr="00015ABB">
        <w:rPr>
          <w:rFonts w:ascii="Arial" w:eastAsia="Times New Roman" w:hAnsi="Arial" w:cs="Arial"/>
          <w:bCs/>
          <w:color w:val="000000" w:themeColor="text1"/>
          <w:sz w:val="22"/>
          <w:lang w:val="es-ES" w:eastAsia="es-ES_tradnl"/>
        </w:rPr>
        <w:t xml:space="preserve"> para los procesos de licitación de obra pública de infraestructura social relacionados con el </w:t>
      </w:r>
      <w:r w:rsidRPr="00C44228">
        <w:rPr>
          <w:rFonts w:ascii="Arial" w:eastAsia="Times New Roman" w:hAnsi="Arial" w:cs="Arial"/>
          <w:bCs/>
          <w:i/>
          <w:iCs/>
          <w:color w:val="000000" w:themeColor="text1"/>
          <w:sz w:val="22"/>
          <w:lang w:val="es-ES" w:eastAsia="es-ES_tradnl"/>
        </w:rPr>
        <w:t xml:space="preserve">sector </w:t>
      </w:r>
      <w:r w:rsidRPr="008B2F4C">
        <w:rPr>
          <w:rFonts w:ascii="Arial" w:eastAsia="Times New Roman" w:hAnsi="Arial" w:cs="Arial"/>
          <w:bCs/>
          <w:i/>
          <w:iCs/>
          <w:color w:val="000000" w:themeColor="text1"/>
          <w:sz w:val="22"/>
          <w:lang w:val="es-ES" w:eastAsia="es-ES_tradnl"/>
        </w:rPr>
        <w:t>educ</w:t>
      </w:r>
      <w:r w:rsidRPr="0022538D">
        <w:rPr>
          <w:rFonts w:ascii="Arial" w:eastAsia="Times New Roman" w:hAnsi="Arial" w:cs="Arial"/>
          <w:bCs/>
          <w:i/>
          <w:color w:val="000000" w:themeColor="text1"/>
          <w:sz w:val="22"/>
          <w:lang w:val="es-ES" w:eastAsia="es-ES_tradnl"/>
        </w:rPr>
        <w:t>ativo</w:t>
      </w:r>
      <w:bookmarkEnd w:id="4"/>
      <w:r w:rsidRPr="0022538D">
        <w:rPr>
          <w:rFonts w:ascii="Arial" w:eastAsia="Times New Roman" w:hAnsi="Arial" w:cs="Arial"/>
          <w:bCs/>
          <w:i/>
          <w:color w:val="000000" w:themeColor="text1"/>
          <w:sz w:val="22"/>
          <w:lang w:val="es-ES" w:eastAsia="es-ES_tradnl"/>
        </w:rPr>
        <w:t xml:space="preserve">, </w:t>
      </w:r>
      <w:r w:rsidRPr="00015ABB">
        <w:rPr>
          <w:rFonts w:ascii="Arial" w:eastAsia="Times New Roman" w:hAnsi="Arial" w:cs="Arial"/>
          <w:bCs/>
          <w:color w:val="000000" w:themeColor="text1"/>
          <w:sz w:val="22"/>
          <w:lang w:val="es-ES" w:eastAsia="es-ES_tradnl"/>
        </w:rPr>
        <w:t xml:space="preserve">mediante </w:t>
      </w:r>
      <w:r w:rsidRPr="00C5077C">
        <w:rPr>
          <w:rFonts w:ascii="Arial" w:eastAsia="Times New Roman" w:hAnsi="Arial" w:cs="Arial"/>
          <w:bCs/>
          <w:color w:val="000000" w:themeColor="text1"/>
          <w:sz w:val="22"/>
          <w:lang w:val="es-ES" w:eastAsia="es-ES_tradnl"/>
        </w:rPr>
        <w:t xml:space="preserve">la </w:t>
      </w:r>
      <w:r w:rsidRPr="00C5077C">
        <w:rPr>
          <w:rFonts w:ascii="Arial" w:hAnsi="Arial" w:cs="Arial"/>
          <w:sz w:val="22"/>
          <w:lang w:val="es-ES"/>
        </w:rPr>
        <w:t>Resolución</w:t>
      </w:r>
      <w:r w:rsidR="00442D32">
        <w:rPr>
          <w:rFonts w:ascii="Arial" w:hAnsi="Arial" w:cs="Arial"/>
          <w:sz w:val="22"/>
          <w:lang w:val="es-ES"/>
        </w:rPr>
        <w:t xml:space="preserve"> No.</w:t>
      </w:r>
      <w:r w:rsidRPr="00C5077C">
        <w:rPr>
          <w:rFonts w:ascii="Arial" w:hAnsi="Arial" w:cs="Arial"/>
          <w:sz w:val="22"/>
          <w:lang w:val="es-ES"/>
        </w:rPr>
        <w:t xml:space="preserve"> 220</w:t>
      </w:r>
      <w:r w:rsidR="00C502C7">
        <w:rPr>
          <w:rFonts w:ascii="Arial" w:hAnsi="Arial" w:cs="Arial"/>
          <w:sz w:val="22"/>
          <w:lang w:val="es-ES"/>
        </w:rPr>
        <w:t xml:space="preserve"> de 2020</w:t>
      </w:r>
      <w:r w:rsidR="00C87A79" w:rsidRPr="00C5077C">
        <w:rPr>
          <w:rFonts w:ascii="Arial" w:hAnsi="Arial" w:cs="Arial"/>
          <w:sz w:val="22"/>
          <w:lang w:val="es-ES"/>
        </w:rPr>
        <w:t>.</w:t>
      </w:r>
      <w:r w:rsidR="00C87A79">
        <w:rPr>
          <w:rFonts w:ascii="Arial" w:hAnsi="Arial" w:cs="Arial"/>
          <w:sz w:val="22"/>
          <w:lang w:val="es-ES"/>
        </w:rPr>
        <w:t xml:space="preserve"> Esta Resolución</w:t>
      </w:r>
      <w:r w:rsidRPr="00015ABB">
        <w:rPr>
          <w:rFonts w:ascii="Arial" w:hAnsi="Arial" w:cs="Arial"/>
          <w:sz w:val="22"/>
          <w:lang w:val="es-ES"/>
        </w:rPr>
        <w:t>, en el artículo 2</w:t>
      </w:r>
      <w:r w:rsidR="00C87A79">
        <w:rPr>
          <w:rFonts w:ascii="Arial" w:hAnsi="Arial" w:cs="Arial"/>
          <w:sz w:val="22"/>
          <w:lang w:val="es-ES"/>
        </w:rPr>
        <w:t>,</w:t>
      </w:r>
      <w:r w:rsidRPr="00015ABB">
        <w:rPr>
          <w:rFonts w:ascii="Arial" w:hAnsi="Arial" w:cs="Arial"/>
          <w:sz w:val="22"/>
          <w:lang w:val="es-ES"/>
        </w:rPr>
        <w:t xml:space="preserve"> desarrolla el «Anexo -Glosario </w:t>
      </w:r>
      <w:r w:rsidR="00100058">
        <w:rPr>
          <w:rFonts w:ascii="Arial" w:hAnsi="Arial" w:cs="Arial"/>
          <w:sz w:val="22"/>
          <w:lang w:val="es-ES"/>
        </w:rPr>
        <w:t>S</w:t>
      </w:r>
      <w:r w:rsidRPr="00015ABB">
        <w:rPr>
          <w:rFonts w:ascii="Arial" w:hAnsi="Arial" w:cs="Arial"/>
          <w:sz w:val="22"/>
          <w:lang w:val="es-ES"/>
        </w:rPr>
        <w:t>ector Educativo» y la «Matriz -Experienc</w:t>
      </w:r>
      <w:r>
        <w:rPr>
          <w:rFonts w:ascii="Arial" w:hAnsi="Arial" w:cs="Arial"/>
          <w:sz w:val="22"/>
          <w:lang w:val="es-ES"/>
        </w:rPr>
        <w:t xml:space="preserve">ia </w:t>
      </w:r>
      <w:r w:rsidR="00100058">
        <w:rPr>
          <w:rFonts w:ascii="Arial" w:hAnsi="Arial" w:cs="Arial"/>
          <w:sz w:val="22"/>
          <w:lang w:val="es-ES"/>
        </w:rPr>
        <w:t>S</w:t>
      </w:r>
      <w:r>
        <w:rPr>
          <w:rFonts w:ascii="Arial" w:hAnsi="Arial" w:cs="Arial"/>
          <w:sz w:val="22"/>
          <w:lang w:val="es-ES"/>
        </w:rPr>
        <w:t xml:space="preserve">ector Educativo», lo que significa que estos documentos </w:t>
      </w:r>
      <w:r w:rsidRPr="00015ABB">
        <w:rPr>
          <w:rFonts w:ascii="Arial" w:hAnsi="Arial" w:cs="Arial"/>
          <w:sz w:val="22"/>
          <w:lang w:val="es-ES"/>
        </w:rPr>
        <w:t xml:space="preserve">definen el alcance para ese sector específicamente. </w:t>
      </w:r>
      <w:r w:rsidR="00874CE9">
        <w:rPr>
          <w:rFonts w:ascii="Arial" w:hAnsi="Arial" w:cs="Arial"/>
          <w:sz w:val="22"/>
          <w:lang w:val="es-ES"/>
        </w:rPr>
        <w:t>Además de lo anterior</w:t>
      </w:r>
      <w:r w:rsidR="00CA61DB">
        <w:rPr>
          <w:rFonts w:ascii="Arial" w:hAnsi="Arial" w:cs="Arial"/>
          <w:sz w:val="22"/>
          <w:lang w:val="es-ES"/>
        </w:rPr>
        <w:t>, la Matriz de experiencia de cada sector, además de estandarizar el requisito habilitante de experiencia</w:t>
      </w:r>
      <w:r w:rsidR="00874CE9">
        <w:rPr>
          <w:rFonts w:ascii="Arial" w:hAnsi="Arial" w:cs="Arial"/>
          <w:sz w:val="22"/>
          <w:lang w:val="es-ES"/>
        </w:rPr>
        <w:t>,</w:t>
      </w:r>
      <w:r w:rsidR="00CA61DB">
        <w:rPr>
          <w:rFonts w:ascii="Arial" w:hAnsi="Arial" w:cs="Arial"/>
          <w:sz w:val="22"/>
          <w:lang w:val="es-ES"/>
        </w:rPr>
        <w:t xml:space="preserve"> señala los proyectos </w:t>
      </w:r>
      <w:r w:rsidR="00874CE9">
        <w:rPr>
          <w:rFonts w:ascii="Arial" w:hAnsi="Arial" w:cs="Arial"/>
          <w:sz w:val="22"/>
          <w:lang w:val="es-ES"/>
        </w:rPr>
        <w:t xml:space="preserve">o contratos </w:t>
      </w:r>
      <w:r w:rsidR="00CA61DB">
        <w:rPr>
          <w:rFonts w:ascii="Arial" w:hAnsi="Arial" w:cs="Arial"/>
          <w:sz w:val="22"/>
          <w:lang w:val="es-ES"/>
        </w:rPr>
        <w:t xml:space="preserve">concretos a los cuales aplican los documentos tipo, en el entendido de que aplicarán a los procesos contractuales cuyo objeto se relacione con alguna de las actividades establecidas de forma detallada en la Matriz de experiencia respectiva. </w:t>
      </w:r>
    </w:p>
    <w:p w14:paraId="0E801481" w14:textId="153FCAFE" w:rsidR="00005124" w:rsidRDefault="00CB0FD4" w:rsidP="00856577">
      <w:pPr>
        <w:spacing w:before="120" w:line="276" w:lineRule="auto"/>
        <w:ind w:firstLine="709"/>
        <w:jc w:val="both"/>
        <w:rPr>
          <w:rFonts w:ascii="Arial" w:eastAsia="Times New Roman" w:hAnsi="Arial" w:cs="Arial"/>
          <w:bCs/>
          <w:iCs/>
          <w:color w:val="000000" w:themeColor="text1"/>
          <w:sz w:val="22"/>
          <w:lang w:val="es-ES" w:eastAsia="es-ES_tradnl"/>
        </w:rPr>
      </w:pPr>
      <w:r>
        <w:rPr>
          <w:rFonts w:ascii="Arial" w:eastAsia="Calibri" w:hAnsi="Arial" w:cs="Arial"/>
          <w:color w:val="000000"/>
          <w:sz w:val="22"/>
          <w:lang w:val="es-ES_tradnl" w:eastAsia="es-ES"/>
        </w:rPr>
        <w:t xml:space="preserve">Cabe aclarar que </w:t>
      </w:r>
      <w:r w:rsidR="00ED09CF">
        <w:rPr>
          <w:rFonts w:ascii="Arial" w:eastAsia="Calibri" w:hAnsi="Arial" w:cs="Arial"/>
          <w:color w:val="000000"/>
          <w:sz w:val="22"/>
          <w:lang w:val="es-ES_tradnl" w:eastAsia="es-ES"/>
        </w:rPr>
        <w:t>mediante la Resolución 336 de</w:t>
      </w:r>
      <w:r w:rsidR="00C60885">
        <w:rPr>
          <w:rFonts w:ascii="Arial" w:eastAsia="Calibri" w:hAnsi="Arial" w:cs="Arial"/>
          <w:color w:val="000000"/>
          <w:sz w:val="22"/>
          <w:lang w:val="es-ES_tradnl" w:eastAsia="es-ES"/>
        </w:rPr>
        <w:t xml:space="preserve">l 2 de noviembre de 2021, se aplazó y se dispuso la implementación gradual y progresiva de </w:t>
      </w:r>
      <w:r w:rsidR="00F739D2">
        <w:rPr>
          <w:rFonts w:ascii="Arial" w:eastAsia="Calibri" w:hAnsi="Arial" w:cs="Arial"/>
          <w:color w:val="000000"/>
          <w:sz w:val="22"/>
          <w:lang w:val="es-ES_tradnl" w:eastAsia="es-ES"/>
        </w:rPr>
        <w:t xml:space="preserve">los documentos tipo complementarios </w:t>
      </w:r>
      <w:r w:rsidR="00F66231">
        <w:rPr>
          <w:rFonts w:ascii="Arial" w:eastAsia="Calibri" w:hAnsi="Arial" w:cs="Arial"/>
          <w:color w:val="000000"/>
          <w:sz w:val="22"/>
          <w:lang w:val="es-ES_tradnl" w:eastAsia="es-ES"/>
        </w:rPr>
        <w:t xml:space="preserve">para procesos de licitación </w:t>
      </w:r>
      <w:r w:rsidR="00B37155">
        <w:rPr>
          <w:rFonts w:ascii="Arial" w:eastAsia="Calibri" w:hAnsi="Arial" w:cs="Arial"/>
          <w:color w:val="000000"/>
          <w:sz w:val="22"/>
          <w:lang w:val="es-ES_tradnl" w:eastAsia="es-ES"/>
        </w:rPr>
        <w:t xml:space="preserve">de obra pública de infraestructura social </w:t>
      </w:r>
      <w:r w:rsidR="00B37155">
        <w:rPr>
          <w:rFonts w:ascii="Arial" w:eastAsia="Calibri" w:hAnsi="Arial" w:cs="Arial"/>
          <w:color w:val="000000"/>
          <w:sz w:val="22"/>
          <w:lang w:val="es-ES_tradnl" w:eastAsia="es-ES"/>
        </w:rPr>
        <w:lastRenderedPageBreak/>
        <w:t>relacionados con el sector educativo</w:t>
      </w:r>
      <w:r w:rsidR="006908F5">
        <w:rPr>
          <w:rFonts w:ascii="Arial" w:eastAsia="Calibri" w:hAnsi="Arial" w:cs="Arial"/>
          <w:color w:val="000000"/>
          <w:sz w:val="22"/>
          <w:lang w:val="es-ES_tradnl" w:eastAsia="es-ES"/>
        </w:rPr>
        <w:t xml:space="preserve">, de acuerdo con los grupos de entidades y fechas señaladas en el </w:t>
      </w:r>
      <w:r w:rsidR="009B0892">
        <w:rPr>
          <w:rFonts w:ascii="Arial" w:eastAsia="Calibri" w:hAnsi="Arial" w:cs="Arial"/>
          <w:color w:val="000000"/>
          <w:sz w:val="22"/>
          <w:lang w:val="es-ES_tradnl" w:eastAsia="es-ES"/>
        </w:rPr>
        <w:t xml:space="preserve">cronograma del </w:t>
      </w:r>
      <w:r w:rsidR="006908F5">
        <w:rPr>
          <w:rFonts w:ascii="Arial" w:eastAsia="Calibri" w:hAnsi="Arial" w:cs="Arial"/>
          <w:color w:val="000000"/>
          <w:sz w:val="22"/>
          <w:lang w:val="es-ES_tradnl" w:eastAsia="es-ES"/>
        </w:rPr>
        <w:t>artículo 6 de la Resolución</w:t>
      </w:r>
      <w:r w:rsidR="00442D32">
        <w:rPr>
          <w:rFonts w:ascii="Arial" w:eastAsia="Calibri" w:hAnsi="Arial" w:cs="Arial"/>
          <w:color w:val="000000"/>
          <w:sz w:val="22"/>
          <w:lang w:val="es-ES_tradnl" w:eastAsia="es-ES"/>
        </w:rPr>
        <w:t xml:space="preserve"> No.</w:t>
      </w:r>
      <w:r w:rsidR="006908F5">
        <w:rPr>
          <w:rFonts w:ascii="Arial" w:eastAsia="Calibri" w:hAnsi="Arial" w:cs="Arial"/>
          <w:color w:val="000000"/>
          <w:sz w:val="22"/>
          <w:lang w:val="es-ES_tradnl" w:eastAsia="es-ES"/>
        </w:rPr>
        <w:t xml:space="preserve"> </w:t>
      </w:r>
      <w:r w:rsidR="00B6427D">
        <w:rPr>
          <w:rFonts w:ascii="Arial" w:eastAsia="Calibri" w:hAnsi="Arial" w:cs="Arial"/>
          <w:color w:val="000000"/>
          <w:sz w:val="22"/>
          <w:lang w:val="es-ES_tradnl" w:eastAsia="es-ES"/>
        </w:rPr>
        <w:t>219 de 2021</w:t>
      </w:r>
      <w:r w:rsidR="001D456D">
        <w:rPr>
          <w:rStyle w:val="Refdenotaalpie"/>
          <w:rFonts w:ascii="Arial" w:eastAsia="Calibri" w:hAnsi="Arial" w:cs="Arial"/>
          <w:color w:val="000000"/>
          <w:sz w:val="22"/>
          <w:lang w:val="es-ES_tradnl" w:eastAsia="es-ES"/>
        </w:rPr>
        <w:footnoteReference w:id="7"/>
      </w:r>
      <w:r w:rsidR="00B6427D">
        <w:rPr>
          <w:rFonts w:ascii="Arial" w:eastAsia="Calibri" w:hAnsi="Arial" w:cs="Arial"/>
          <w:color w:val="000000"/>
          <w:sz w:val="22"/>
          <w:lang w:val="es-ES_tradnl" w:eastAsia="es-ES"/>
        </w:rPr>
        <w:t xml:space="preserve">. </w:t>
      </w:r>
    </w:p>
    <w:p w14:paraId="2421E164" w14:textId="77777777" w:rsidR="00E13111" w:rsidRDefault="00E13111" w:rsidP="00856577">
      <w:pPr>
        <w:spacing w:before="120" w:line="276" w:lineRule="auto"/>
        <w:jc w:val="both"/>
        <w:rPr>
          <w:rFonts w:ascii="Arial" w:eastAsia="Times New Roman" w:hAnsi="Arial" w:cs="Arial"/>
          <w:b/>
          <w:iCs/>
          <w:color w:val="000000" w:themeColor="text1"/>
          <w:sz w:val="22"/>
          <w:lang w:val="es-ES" w:eastAsia="es-ES_tradnl"/>
        </w:rPr>
      </w:pPr>
    </w:p>
    <w:p w14:paraId="2584E861" w14:textId="5822BDB4" w:rsidR="00005124" w:rsidRPr="00005124" w:rsidRDefault="00005124" w:rsidP="00856577">
      <w:pPr>
        <w:spacing w:before="120" w:line="276" w:lineRule="auto"/>
        <w:jc w:val="both"/>
        <w:rPr>
          <w:rFonts w:ascii="Arial" w:eastAsia="Calibri" w:hAnsi="Arial" w:cs="Arial"/>
          <w:b/>
          <w:color w:val="000000"/>
          <w:sz w:val="22"/>
          <w:lang w:val="es-ES_tradnl" w:eastAsia="es-ES"/>
        </w:rPr>
      </w:pPr>
      <w:r w:rsidRPr="00005124">
        <w:rPr>
          <w:rFonts w:ascii="Arial" w:eastAsia="Times New Roman" w:hAnsi="Arial" w:cs="Arial"/>
          <w:b/>
          <w:iCs/>
          <w:color w:val="000000" w:themeColor="text1"/>
          <w:sz w:val="22"/>
          <w:lang w:val="es-ES" w:eastAsia="es-ES_tradnl"/>
        </w:rPr>
        <w:t xml:space="preserve">2.3. </w:t>
      </w:r>
      <w:r w:rsidRPr="00005124">
        <w:rPr>
          <w:rFonts w:ascii="Arial" w:eastAsia="Calibri" w:hAnsi="Arial" w:cs="Arial"/>
          <w:b/>
          <w:sz w:val="22"/>
        </w:rPr>
        <w:t xml:space="preserve">Aplicación de los documentos tipo relacionados con el sector educativo </w:t>
      </w:r>
      <w:r w:rsidR="00D01C40">
        <w:rPr>
          <w:rFonts w:ascii="Arial" w:eastAsia="Calibri" w:hAnsi="Arial" w:cs="Arial"/>
          <w:b/>
          <w:sz w:val="22"/>
        </w:rPr>
        <w:t xml:space="preserve">a </w:t>
      </w:r>
      <w:r w:rsidR="004C0344" w:rsidRPr="00005124">
        <w:rPr>
          <w:rFonts w:ascii="Arial" w:eastAsia="Calibri" w:hAnsi="Arial" w:cs="Arial"/>
          <w:b/>
          <w:sz w:val="22"/>
        </w:rPr>
        <w:t>establecimientos públicos</w:t>
      </w:r>
      <w:r w:rsidR="00D01C40">
        <w:rPr>
          <w:rFonts w:ascii="Arial" w:eastAsia="Calibri" w:hAnsi="Arial" w:cs="Arial"/>
          <w:b/>
          <w:sz w:val="22"/>
        </w:rPr>
        <w:t xml:space="preserve"> con la naturaleza de </w:t>
      </w:r>
      <w:r w:rsidR="00D01C40" w:rsidRPr="00005124">
        <w:rPr>
          <w:rFonts w:ascii="Arial" w:eastAsia="Calibri" w:hAnsi="Arial" w:cs="Arial"/>
          <w:b/>
          <w:sz w:val="22"/>
        </w:rPr>
        <w:t>instituciones de educación superior</w:t>
      </w:r>
      <w:r w:rsidR="004C0344">
        <w:rPr>
          <w:rFonts w:ascii="Arial" w:eastAsia="Calibri" w:hAnsi="Arial" w:cs="Arial"/>
          <w:b/>
          <w:sz w:val="22"/>
        </w:rPr>
        <w:t xml:space="preserve"> </w:t>
      </w:r>
    </w:p>
    <w:p w14:paraId="37BAB7AC" w14:textId="77777777" w:rsidR="00E13111" w:rsidRDefault="00E13111" w:rsidP="00856577">
      <w:pPr>
        <w:spacing w:line="276" w:lineRule="auto"/>
        <w:jc w:val="both"/>
        <w:rPr>
          <w:rFonts w:ascii="Arial" w:hAnsi="Arial" w:cs="Arial"/>
          <w:sz w:val="22"/>
          <w:lang w:val="es-ES"/>
        </w:rPr>
      </w:pPr>
    </w:p>
    <w:p w14:paraId="66884A4F" w14:textId="62B7CB60" w:rsidR="00423500" w:rsidRPr="00856577" w:rsidRDefault="00032260" w:rsidP="00D01C40">
      <w:pPr>
        <w:spacing w:after="120" w:line="276" w:lineRule="auto"/>
        <w:jc w:val="both"/>
        <w:rPr>
          <w:rFonts w:ascii="Arial" w:hAnsi="Arial" w:cs="Arial"/>
          <w:sz w:val="22"/>
          <w:lang w:val="es-ES"/>
        </w:rPr>
      </w:pPr>
      <w:r w:rsidRPr="00856577">
        <w:rPr>
          <w:rFonts w:ascii="Arial" w:hAnsi="Arial" w:cs="Arial"/>
          <w:sz w:val="22"/>
          <w:lang w:val="es-ES"/>
        </w:rPr>
        <w:t xml:space="preserve">Como se mencionó </w:t>
      </w:r>
      <w:r w:rsidR="004016E8" w:rsidRPr="00856577">
        <w:rPr>
          <w:rFonts w:ascii="Arial" w:hAnsi="Arial" w:cs="Arial"/>
          <w:i/>
          <w:iCs/>
          <w:sz w:val="22"/>
          <w:lang w:val="es-ES"/>
        </w:rPr>
        <w:t>ut supra</w:t>
      </w:r>
      <w:r w:rsidR="00423500" w:rsidRPr="00856577">
        <w:rPr>
          <w:rFonts w:ascii="Arial" w:hAnsi="Arial" w:cs="Arial"/>
          <w:sz w:val="22"/>
          <w:lang w:val="es-ES"/>
        </w:rPr>
        <w:t>, de conformidad con la Ley 2022 de 2020, los documentos tipo adoptados por la Agencia son vinculantes en los procedimientos de selección de las entidades sometidas a la Ley 80 de 1993</w:t>
      </w:r>
      <w:r w:rsidR="00077F86" w:rsidRPr="00856577">
        <w:rPr>
          <w:rFonts w:ascii="Arial" w:hAnsi="Arial" w:cs="Arial"/>
          <w:sz w:val="22"/>
          <w:lang w:val="es-ES"/>
        </w:rPr>
        <w:t xml:space="preserve">, lo cual </w:t>
      </w:r>
      <w:r w:rsidR="00423500" w:rsidRPr="00856577">
        <w:rPr>
          <w:rFonts w:ascii="Arial" w:hAnsi="Arial" w:cs="Arial"/>
          <w:sz w:val="22"/>
          <w:lang w:val="es-ES"/>
        </w:rPr>
        <w:t xml:space="preserve">es congruente con el alcance de los documentos tipo mencionados en la consulta. En efecto, el artículo 2 de la Resolución 219 del 6 de agosto de 2021 dispone que «Los documentos tipo contienen parámetros obligatorios para las entidades estatales sometidas al Estatuto General de Contratación de la Administración Pública, que realicen procedimientos de licitación pública para celebrar contratos de obra relacionados con infraestructura social […]», idea reiterada en el artículo 2 de la Resolución 220 del 6 de agosto de 2021 para las obras del sector educativo. </w:t>
      </w:r>
      <w:r w:rsidR="00423500" w:rsidRPr="00856577">
        <w:rPr>
          <w:rFonts w:ascii="Arial" w:hAnsi="Arial" w:cs="Arial"/>
          <w:i/>
          <w:iCs/>
          <w:sz w:val="22"/>
          <w:lang w:val="es-ES"/>
        </w:rPr>
        <w:t>Ergo</w:t>
      </w:r>
      <w:r w:rsidR="00423500" w:rsidRPr="00856577">
        <w:rPr>
          <w:rFonts w:ascii="Arial" w:hAnsi="Arial" w:cs="Arial"/>
          <w:sz w:val="22"/>
          <w:lang w:val="es-ES"/>
        </w:rPr>
        <w:t>, los documentos tipo son vinculantes para toda entidad de dicho sector cuya competencia contractual se derive del artículo 2 de la Ley 80 de 1993.</w:t>
      </w:r>
    </w:p>
    <w:p w14:paraId="1597B5C2" w14:textId="0F95EB90" w:rsidR="00423500" w:rsidRPr="00856577" w:rsidRDefault="00423500" w:rsidP="00423500">
      <w:pPr>
        <w:spacing w:before="120" w:after="120" w:line="276" w:lineRule="auto"/>
        <w:jc w:val="both"/>
        <w:rPr>
          <w:rFonts w:ascii="Arial" w:hAnsi="Arial" w:cs="Arial"/>
          <w:sz w:val="22"/>
          <w:lang w:val="es-ES"/>
        </w:rPr>
      </w:pPr>
      <w:r w:rsidRPr="00856577">
        <w:rPr>
          <w:rFonts w:ascii="Arial" w:hAnsi="Arial" w:cs="Arial"/>
          <w:sz w:val="22"/>
          <w:lang w:val="es-ES"/>
        </w:rPr>
        <w:lastRenderedPageBreak/>
        <w:tab/>
      </w:r>
      <w:r w:rsidR="008672BC" w:rsidRPr="00856577">
        <w:rPr>
          <w:rFonts w:ascii="Arial" w:hAnsi="Arial" w:cs="Arial"/>
          <w:sz w:val="22"/>
          <w:lang w:val="es-ES"/>
        </w:rPr>
        <w:t>Es de señalar que en la consulta usted hace referencia a</w:t>
      </w:r>
      <w:r w:rsidR="008B474E" w:rsidRPr="00856577">
        <w:rPr>
          <w:rFonts w:ascii="Arial" w:hAnsi="Arial" w:cs="Arial"/>
          <w:sz w:val="22"/>
          <w:lang w:val="es-ES"/>
        </w:rPr>
        <w:t xml:space="preserve"> </w:t>
      </w:r>
      <w:r w:rsidR="008672BC" w:rsidRPr="00856577">
        <w:rPr>
          <w:rFonts w:ascii="Arial" w:hAnsi="Arial" w:cs="Arial"/>
          <w:sz w:val="22"/>
          <w:lang w:val="es-ES"/>
        </w:rPr>
        <w:t xml:space="preserve">«instituciones universitarias de educación estatal en su condición de </w:t>
      </w:r>
      <w:r w:rsidR="008672BC" w:rsidRPr="00856577">
        <w:rPr>
          <w:rFonts w:ascii="Arial" w:hAnsi="Arial" w:cs="Arial"/>
          <w:i/>
          <w:iCs/>
          <w:sz w:val="22"/>
          <w:lang w:val="es-ES"/>
        </w:rPr>
        <w:t>establecimientos públicos</w:t>
      </w:r>
      <w:r w:rsidR="008672BC" w:rsidRPr="00856577">
        <w:rPr>
          <w:rFonts w:ascii="Arial" w:hAnsi="Arial" w:cs="Arial"/>
          <w:sz w:val="22"/>
          <w:lang w:val="es-ES"/>
        </w:rPr>
        <w:t>»</w:t>
      </w:r>
      <w:r w:rsidR="005E2E7C" w:rsidRPr="00856577">
        <w:rPr>
          <w:rFonts w:ascii="Arial" w:hAnsi="Arial" w:cs="Arial"/>
          <w:sz w:val="22"/>
          <w:lang w:val="es-ES"/>
        </w:rPr>
        <w:t xml:space="preserve"> (</w:t>
      </w:r>
      <w:r w:rsidR="00077F86" w:rsidRPr="00856577">
        <w:rPr>
          <w:rFonts w:ascii="Arial" w:hAnsi="Arial" w:cs="Arial"/>
          <w:sz w:val="22"/>
          <w:lang w:val="es-ES"/>
        </w:rPr>
        <w:t>É</w:t>
      </w:r>
      <w:r w:rsidR="005E2E7C" w:rsidRPr="00856577">
        <w:rPr>
          <w:rFonts w:ascii="Arial" w:hAnsi="Arial" w:cs="Arial"/>
          <w:sz w:val="22"/>
          <w:lang w:val="es-ES"/>
        </w:rPr>
        <w:t>nfasis fuera de texto)</w:t>
      </w:r>
      <w:r w:rsidRPr="00856577">
        <w:rPr>
          <w:rFonts w:ascii="Arial" w:hAnsi="Arial" w:cs="Arial"/>
          <w:sz w:val="22"/>
          <w:lang w:val="es-ES"/>
        </w:rPr>
        <w:t>. Por esta razón, considerando que los establecimientos públicos son entidades estatales para efectos del Estatuto General de Contratación</w:t>
      </w:r>
      <w:r w:rsidRPr="00856577">
        <w:rPr>
          <w:rStyle w:val="Refdenotaalpie"/>
          <w:rFonts w:ascii="Arial" w:hAnsi="Arial" w:cs="Arial"/>
          <w:sz w:val="22"/>
          <w:lang w:val="es-ES"/>
        </w:rPr>
        <w:footnoteReference w:id="8"/>
      </w:r>
      <w:r w:rsidRPr="00856577">
        <w:rPr>
          <w:rFonts w:ascii="Arial" w:hAnsi="Arial" w:cs="Arial"/>
          <w:sz w:val="22"/>
          <w:lang w:val="es-ES"/>
        </w:rPr>
        <w:t xml:space="preserve">, </w:t>
      </w:r>
      <w:r w:rsidR="00107DA7" w:rsidRPr="00856577">
        <w:rPr>
          <w:rFonts w:ascii="Arial" w:hAnsi="Arial" w:cs="Arial"/>
          <w:sz w:val="22"/>
          <w:lang w:val="es-ES"/>
        </w:rPr>
        <w:t>dichas instituciones</w:t>
      </w:r>
      <w:r w:rsidRPr="00856577">
        <w:rPr>
          <w:rFonts w:ascii="Arial" w:hAnsi="Arial" w:cs="Arial"/>
          <w:sz w:val="22"/>
          <w:lang w:val="es-ES"/>
        </w:rPr>
        <w:t xml:space="preserve"> est</w:t>
      </w:r>
      <w:r w:rsidR="00107DA7" w:rsidRPr="00856577">
        <w:rPr>
          <w:rFonts w:ascii="Arial" w:hAnsi="Arial" w:cs="Arial"/>
          <w:sz w:val="22"/>
          <w:lang w:val="es-ES"/>
        </w:rPr>
        <w:t>arían</w:t>
      </w:r>
      <w:r w:rsidRPr="00856577">
        <w:rPr>
          <w:rFonts w:ascii="Arial" w:hAnsi="Arial" w:cs="Arial"/>
          <w:sz w:val="22"/>
          <w:lang w:val="es-ES"/>
        </w:rPr>
        <w:t xml:space="preserve"> sujet</w:t>
      </w:r>
      <w:r w:rsidR="00107DA7" w:rsidRPr="00856577">
        <w:rPr>
          <w:rFonts w:ascii="Arial" w:hAnsi="Arial" w:cs="Arial"/>
          <w:sz w:val="22"/>
          <w:lang w:val="es-ES"/>
        </w:rPr>
        <w:t>as</w:t>
      </w:r>
      <w:r w:rsidRPr="00856577">
        <w:rPr>
          <w:rFonts w:ascii="Arial" w:hAnsi="Arial" w:cs="Arial"/>
          <w:sz w:val="22"/>
          <w:lang w:val="es-ES"/>
        </w:rPr>
        <w:t xml:space="preserve">, en principio, a los documentos tipo de la referencia por ser </w:t>
      </w:r>
      <w:r w:rsidR="00107DA7" w:rsidRPr="00856577">
        <w:rPr>
          <w:rFonts w:ascii="Arial" w:hAnsi="Arial" w:cs="Arial"/>
          <w:sz w:val="22"/>
          <w:lang w:val="es-ES"/>
        </w:rPr>
        <w:t>entidades</w:t>
      </w:r>
      <w:r w:rsidRPr="00856577">
        <w:rPr>
          <w:rFonts w:ascii="Arial" w:hAnsi="Arial" w:cs="Arial"/>
          <w:sz w:val="22"/>
          <w:lang w:val="es-ES"/>
        </w:rPr>
        <w:t xml:space="preserve"> del sector educativo. </w:t>
      </w:r>
    </w:p>
    <w:p w14:paraId="78248D05" w14:textId="77777777" w:rsidR="00423500" w:rsidRPr="00856577" w:rsidRDefault="00423500" w:rsidP="00423500">
      <w:pPr>
        <w:spacing w:before="120" w:after="120" w:line="276" w:lineRule="auto"/>
        <w:jc w:val="both"/>
        <w:rPr>
          <w:rFonts w:ascii="Arial" w:hAnsi="Arial" w:cs="Arial"/>
          <w:sz w:val="22"/>
        </w:rPr>
      </w:pPr>
      <w:r w:rsidRPr="00856577">
        <w:rPr>
          <w:rFonts w:ascii="Arial" w:hAnsi="Arial" w:cs="Arial"/>
          <w:sz w:val="22"/>
          <w:lang w:val="es-ES"/>
        </w:rPr>
        <w:tab/>
        <w:t>No obstante, la aplicación de los documentos tipo adoptados mediante la Resolución 219 del 6 de agosto de 2021 también depende de que la obra a ejecutar esté relacionada con alguna de las actividades de la «Matriz – Experiencia Sector Educativo» de los documentos tipo complementarios para este sector. A este aspecto se refiere el documento base cuando dispone que «</w:t>
      </w:r>
      <w:r w:rsidRPr="00856577">
        <w:rPr>
          <w:rFonts w:ascii="Arial" w:hAnsi="Arial" w:cs="Arial"/>
          <w:sz w:val="22"/>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p>
    <w:p w14:paraId="2D42E5D7" w14:textId="77777777" w:rsidR="00423500" w:rsidRPr="00856577" w:rsidRDefault="00423500" w:rsidP="00423500">
      <w:pPr>
        <w:spacing w:after="120" w:line="276" w:lineRule="auto"/>
        <w:ind w:firstLine="709"/>
        <w:jc w:val="both"/>
        <w:rPr>
          <w:rFonts w:ascii="Arial" w:eastAsia="Calibri" w:hAnsi="Arial" w:cs="Arial"/>
          <w:sz w:val="22"/>
          <w:lang w:val="es-ES_tradnl"/>
        </w:rPr>
      </w:pPr>
      <w:r w:rsidRPr="00856577">
        <w:rPr>
          <w:rFonts w:ascii="Arial" w:hAnsi="Arial" w:cs="Arial"/>
          <w:sz w:val="22"/>
        </w:rPr>
        <w:t xml:space="preserve">Tratándose del sector educativo, la matriz de experiencia de los documentos tipo complementarios que se adoptaron con la </w:t>
      </w:r>
      <w:r w:rsidRPr="00856577">
        <w:rPr>
          <w:rFonts w:ascii="Arial" w:hAnsi="Arial" w:cs="Arial"/>
          <w:sz w:val="22"/>
          <w:lang w:val="es-ES"/>
        </w:rPr>
        <w:t>Resolución 220 del 6 de agosto de 2021</w:t>
      </w:r>
      <w:r w:rsidRPr="00856577">
        <w:rPr>
          <w:rFonts w:ascii="Arial" w:hAnsi="Arial" w:cs="Arial"/>
          <w:sz w:val="22"/>
        </w:rPr>
        <w:t xml:space="preserve"> aplica a cuatro (4) tipos de obras: </w:t>
      </w:r>
      <w:r w:rsidRPr="00856577">
        <w:rPr>
          <w:rFonts w:ascii="Arial" w:hAnsi="Arial" w:cs="Arial"/>
          <w:i/>
          <w:iCs/>
          <w:sz w:val="22"/>
        </w:rPr>
        <w:t>i)</w:t>
      </w:r>
      <w:r w:rsidRPr="00856577">
        <w:rPr>
          <w:rFonts w:ascii="Arial" w:hAnsi="Arial" w:cs="Arial"/>
          <w:sz w:val="22"/>
        </w:rPr>
        <w:t xml:space="preserve"> obras en infraestructura vertical en instituciones educativas, </w:t>
      </w:r>
      <w:r w:rsidRPr="00856577">
        <w:rPr>
          <w:rFonts w:ascii="Arial" w:hAnsi="Arial" w:cs="Arial"/>
          <w:i/>
          <w:iCs/>
          <w:sz w:val="22"/>
        </w:rPr>
        <w:t>ii)</w:t>
      </w:r>
      <w:r w:rsidRPr="00856577">
        <w:rPr>
          <w:rFonts w:ascii="Arial" w:hAnsi="Arial" w:cs="Arial"/>
          <w:sz w:val="22"/>
        </w:rPr>
        <w:t xml:space="preserve"> obras en infraestructura </w:t>
      </w:r>
      <w:proofErr w:type="spellStart"/>
      <w:r w:rsidRPr="00856577">
        <w:rPr>
          <w:rFonts w:ascii="Arial" w:hAnsi="Arial" w:cs="Arial"/>
          <w:sz w:val="22"/>
        </w:rPr>
        <w:t>recreodeportiva</w:t>
      </w:r>
      <w:proofErr w:type="spellEnd"/>
      <w:r w:rsidRPr="00856577">
        <w:rPr>
          <w:rFonts w:ascii="Arial" w:hAnsi="Arial" w:cs="Arial"/>
          <w:sz w:val="22"/>
        </w:rPr>
        <w:t xml:space="preserve"> y cultural en instituciones educativas, </w:t>
      </w:r>
      <w:proofErr w:type="spellStart"/>
      <w:r w:rsidRPr="00856577">
        <w:rPr>
          <w:rFonts w:ascii="Arial" w:hAnsi="Arial" w:cs="Arial"/>
          <w:i/>
          <w:iCs/>
          <w:sz w:val="22"/>
        </w:rPr>
        <w:t>iii</w:t>
      </w:r>
      <w:proofErr w:type="spellEnd"/>
      <w:r w:rsidRPr="00856577">
        <w:rPr>
          <w:rFonts w:ascii="Arial" w:hAnsi="Arial" w:cs="Arial"/>
          <w:i/>
          <w:iCs/>
          <w:sz w:val="22"/>
        </w:rPr>
        <w:t>)</w:t>
      </w:r>
      <w:r w:rsidRPr="00856577">
        <w:rPr>
          <w:rFonts w:ascii="Arial" w:hAnsi="Arial" w:cs="Arial"/>
          <w:sz w:val="22"/>
        </w:rPr>
        <w:t xml:space="preserve"> obras en vías de acceso y/o parqueaderos y/o zonas de circulación –vehicular y/o peatonal– en instituciones educativas y </w:t>
      </w:r>
      <w:proofErr w:type="spellStart"/>
      <w:r w:rsidRPr="00856577">
        <w:rPr>
          <w:rFonts w:ascii="Arial" w:hAnsi="Arial" w:cs="Arial"/>
          <w:i/>
          <w:iCs/>
          <w:sz w:val="22"/>
        </w:rPr>
        <w:t>iv</w:t>
      </w:r>
      <w:proofErr w:type="spellEnd"/>
      <w:r w:rsidRPr="00856577">
        <w:rPr>
          <w:rFonts w:ascii="Arial" w:hAnsi="Arial" w:cs="Arial"/>
          <w:i/>
          <w:iCs/>
          <w:sz w:val="22"/>
        </w:rPr>
        <w:t>)</w:t>
      </w:r>
      <w:r w:rsidRPr="00856577">
        <w:rPr>
          <w:rFonts w:ascii="Arial" w:hAnsi="Arial" w:cs="Arial"/>
          <w:sz w:val="22"/>
        </w:rPr>
        <w:t xml:space="preserve"> obras en bibliotecas públicas. </w:t>
      </w:r>
      <w:r w:rsidRPr="00856577">
        <w:rPr>
          <w:rFonts w:ascii="Arial" w:eastAsia="Calibri" w:hAnsi="Arial" w:cs="Arial"/>
          <w:sz w:val="22"/>
          <w:lang w:val="es-ES_tradnl"/>
        </w:rPr>
        <w:t xml:space="preserve">Por tanto, siempre que el objeto esté relacionado con alguna de las actividades, los documentos tipo adoptados mediante las </w:t>
      </w:r>
      <w:r w:rsidRPr="00856577">
        <w:rPr>
          <w:rFonts w:ascii="Arial" w:hAnsi="Arial" w:cs="Arial"/>
          <w:sz w:val="22"/>
          <w:lang w:val="es-ES"/>
        </w:rPr>
        <w:t>Resoluciones 219 y 220 del 6 de agosto de 2021</w:t>
      </w:r>
      <w:r w:rsidRPr="00856577">
        <w:rPr>
          <w:rFonts w:ascii="Arial" w:eastAsia="Calibri" w:hAnsi="Arial" w:cs="Arial"/>
          <w:sz w:val="22"/>
          <w:lang w:val="es-ES_tradnl"/>
        </w:rPr>
        <w:t xml:space="preserve"> </w:t>
      </w:r>
      <w:r w:rsidRPr="00856577">
        <w:rPr>
          <w:rFonts w:ascii="Arial" w:hAnsi="Arial" w:cs="Arial"/>
          <w:color w:val="0D0D0D"/>
          <w:sz w:val="22"/>
          <w:bdr w:val="none" w:sz="0" w:space="0" w:color="auto" w:frame="1"/>
          <w:lang w:eastAsia="es-CO"/>
        </w:rPr>
        <w:t>son</w:t>
      </w:r>
      <w:r w:rsidRPr="00856577">
        <w:rPr>
          <w:rFonts w:ascii="Arial" w:eastAsia="Calibri" w:hAnsi="Arial" w:cs="Arial"/>
          <w:sz w:val="22"/>
          <w:lang w:val="es-ES_tradnl"/>
        </w:rPr>
        <w:t xml:space="preserve"> obligatorios para las entidades sometidas a la Ley 80 de 1993 que contraten la ejecución de obras públicas de infraestructura social del sector educativo a través de licitación pública. </w:t>
      </w:r>
    </w:p>
    <w:p w14:paraId="7A7827AB" w14:textId="77777777" w:rsidR="00423500" w:rsidRPr="00856577" w:rsidRDefault="00423500" w:rsidP="00423500">
      <w:pPr>
        <w:spacing w:after="120" w:line="276" w:lineRule="auto"/>
        <w:ind w:firstLine="709"/>
        <w:jc w:val="both"/>
        <w:rPr>
          <w:rFonts w:ascii="Arial" w:eastAsia="Calibri" w:hAnsi="Arial" w:cs="Arial"/>
          <w:sz w:val="22"/>
          <w:lang w:val="es-ES_tradnl"/>
        </w:rPr>
      </w:pPr>
      <w:r w:rsidRPr="00856577">
        <w:rPr>
          <w:rFonts w:ascii="Arial" w:eastAsia="Calibri" w:hAnsi="Arial" w:cs="Arial"/>
          <w:sz w:val="22"/>
          <w:lang w:val="es-ES_tradnl"/>
        </w:rPr>
        <w:t xml:space="preserve">Ahora bien, para interpretar el alcance de la matriz de experiencia es necesario tener en cuenta el «Anexo – Glosario Sector Educativo». Esto de conformidad con el numeral 1.10 del documento base, el cual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 […]». </w:t>
      </w:r>
    </w:p>
    <w:p w14:paraId="6E96BEA8" w14:textId="77777777" w:rsidR="00423500" w:rsidRPr="00856577" w:rsidRDefault="00423500" w:rsidP="00423500">
      <w:pPr>
        <w:spacing w:after="120" w:line="276" w:lineRule="auto"/>
        <w:ind w:firstLine="709"/>
        <w:jc w:val="both"/>
        <w:rPr>
          <w:rFonts w:ascii="Arial" w:eastAsia="Calibri" w:hAnsi="Arial" w:cs="Arial"/>
          <w:sz w:val="22"/>
          <w:lang w:val="es-ES_tradnl"/>
        </w:rPr>
      </w:pPr>
      <w:r w:rsidRPr="00856577">
        <w:rPr>
          <w:rFonts w:ascii="Arial" w:eastAsia="Calibri" w:hAnsi="Arial" w:cs="Arial"/>
          <w:sz w:val="22"/>
          <w:lang w:val="es-ES_tradnl"/>
        </w:rPr>
        <w:lastRenderedPageBreak/>
        <w:t>Esto es congruente con la parte introductoria del numeral 2 del glosario, pues prescribe lo siguiente: «La Entidad deberá incluir en orden alfabético los conceptos adicionales que aplican al Proceso de Contratación que no estén incorporados en el presente anexo y que se encuentren relacionados en la NTC 4595, así como los términos y conceptos definidos en el Decreto 1077 de 2015 y demás normatividad y legislación que la modifique, regule o derogue, y demás normativa vigente en la materia».</w:t>
      </w:r>
    </w:p>
    <w:p w14:paraId="768FCD9A" w14:textId="5A005D9B" w:rsidR="00423500" w:rsidRPr="00856577" w:rsidRDefault="00423500" w:rsidP="00DF118E">
      <w:pPr>
        <w:spacing w:after="120" w:line="276" w:lineRule="auto"/>
        <w:ind w:firstLine="709"/>
        <w:jc w:val="both"/>
        <w:rPr>
          <w:rFonts w:ascii="Arial" w:eastAsia="Calibri" w:hAnsi="Arial" w:cs="Arial"/>
          <w:sz w:val="22"/>
          <w:lang w:val="es-ES_tradnl"/>
        </w:rPr>
      </w:pPr>
      <w:r w:rsidRPr="00856577">
        <w:rPr>
          <w:rFonts w:ascii="Arial" w:eastAsia="Calibri" w:hAnsi="Arial" w:cs="Arial"/>
          <w:sz w:val="22"/>
          <w:lang w:val="es-ES_tradnl"/>
        </w:rPr>
        <w:t xml:space="preserve">Para estos efectos, es necesario tener en cuenta que las actividades i), </w:t>
      </w:r>
      <w:proofErr w:type="spellStart"/>
      <w:r w:rsidRPr="00856577">
        <w:rPr>
          <w:rFonts w:ascii="Arial" w:eastAsia="Calibri" w:hAnsi="Arial" w:cs="Arial"/>
          <w:sz w:val="22"/>
          <w:lang w:val="es-ES_tradnl"/>
        </w:rPr>
        <w:t>ii</w:t>
      </w:r>
      <w:proofErr w:type="spellEnd"/>
      <w:r w:rsidRPr="00856577">
        <w:rPr>
          <w:rFonts w:ascii="Arial" w:eastAsia="Calibri" w:hAnsi="Arial" w:cs="Arial"/>
          <w:sz w:val="22"/>
          <w:lang w:val="es-ES_tradnl"/>
        </w:rPr>
        <w:t xml:space="preserve">) y </w:t>
      </w:r>
      <w:proofErr w:type="spellStart"/>
      <w:r w:rsidRPr="00856577">
        <w:rPr>
          <w:rFonts w:ascii="Arial" w:eastAsia="Calibri" w:hAnsi="Arial" w:cs="Arial"/>
          <w:sz w:val="22"/>
          <w:lang w:val="es-ES_tradnl"/>
        </w:rPr>
        <w:t>iii</w:t>
      </w:r>
      <w:proofErr w:type="spellEnd"/>
      <w:r w:rsidRPr="00856577">
        <w:rPr>
          <w:rFonts w:ascii="Arial" w:eastAsia="Calibri" w:hAnsi="Arial" w:cs="Arial"/>
          <w:sz w:val="22"/>
          <w:lang w:val="es-ES_tradnl"/>
        </w:rPr>
        <w:t>) de la matriz de experiencia solo aplican</w:t>
      </w:r>
      <w:r w:rsidR="00DF118E" w:rsidRPr="00856577">
        <w:rPr>
          <w:rFonts w:ascii="Arial" w:eastAsia="Calibri" w:hAnsi="Arial" w:cs="Arial"/>
          <w:sz w:val="22"/>
          <w:lang w:val="es-ES_tradnl"/>
        </w:rPr>
        <w:t xml:space="preserve"> </w:t>
      </w:r>
      <w:r w:rsidRPr="00856577">
        <w:rPr>
          <w:rFonts w:ascii="Arial" w:eastAsia="Calibri" w:hAnsi="Arial" w:cs="Arial"/>
          <w:sz w:val="22"/>
          <w:lang w:val="es-ES_tradnl"/>
        </w:rPr>
        <w:t xml:space="preserve">a las obras en </w:t>
      </w:r>
      <w:r w:rsidRPr="00856577">
        <w:rPr>
          <w:rFonts w:ascii="Arial" w:eastAsia="Calibri" w:hAnsi="Arial" w:cs="Arial"/>
          <w:i/>
          <w:iCs/>
          <w:sz w:val="22"/>
          <w:lang w:val="es-ES_tradnl"/>
        </w:rPr>
        <w:t>instituciones educativas</w:t>
      </w:r>
      <w:r w:rsidRPr="00856577">
        <w:rPr>
          <w:rFonts w:ascii="Arial" w:eastAsia="Calibri" w:hAnsi="Arial" w:cs="Arial"/>
          <w:sz w:val="22"/>
          <w:lang w:val="es-ES_tradnl"/>
        </w:rPr>
        <w:t xml:space="preserve">. En concordancia con el artículo 9 de la Ley 715 de 2001, este término fue definido en el numeral 2.61 como «Conjunto de personas y bienes promovida por las autoridades públicas o por particulares, cuya finalidad es prestar un año de educación preescolar y nueve (9) grados de educación básica como mínimo y la media. Deben contar con licencia de funcionamiento o reconocimiento de carácter oficial, disponer de la infraestructura administrativa, soportes pedagógicos, planta física y medios educativos adecuados […]». </w:t>
      </w:r>
    </w:p>
    <w:p w14:paraId="05CF8F66" w14:textId="77777777" w:rsidR="00423500" w:rsidRPr="00856577" w:rsidRDefault="00423500" w:rsidP="00423500">
      <w:pPr>
        <w:spacing w:after="120" w:line="276" w:lineRule="auto"/>
        <w:ind w:firstLine="708"/>
        <w:jc w:val="both"/>
        <w:rPr>
          <w:rFonts w:ascii="Arial" w:hAnsi="Arial" w:cs="Arial"/>
          <w:color w:val="000000"/>
          <w:sz w:val="22"/>
          <w:shd w:val="clear" w:color="auto" w:fill="FFFFFF"/>
        </w:rPr>
      </w:pPr>
      <w:r w:rsidRPr="00856577">
        <w:rPr>
          <w:rFonts w:ascii="Arial" w:eastAsia="Calibri" w:hAnsi="Arial" w:cs="Arial"/>
          <w:sz w:val="22"/>
          <w:lang w:val="es-ES_tradnl"/>
        </w:rPr>
        <w:t xml:space="preserve">En consecuencia, la matriz se refiere a las obras en </w:t>
      </w:r>
      <w:r w:rsidRPr="00856577">
        <w:rPr>
          <w:rFonts w:ascii="Arial" w:eastAsia="Calibri" w:hAnsi="Arial" w:cs="Arial"/>
          <w:i/>
          <w:iCs/>
          <w:sz w:val="22"/>
          <w:lang w:val="es-ES_tradnl"/>
        </w:rPr>
        <w:t>instituciones educativas</w:t>
      </w:r>
      <w:r w:rsidRPr="00856577">
        <w:rPr>
          <w:rFonts w:ascii="Arial" w:eastAsia="Calibri" w:hAnsi="Arial" w:cs="Arial"/>
          <w:sz w:val="22"/>
          <w:lang w:val="es-ES_tradnl"/>
        </w:rPr>
        <w:t xml:space="preserve">, excluyendo las obras en </w:t>
      </w:r>
      <w:r w:rsidRPr="00856577">
        <w:rPr>
          <w:rFonts w:ascii="Arial" w:eastAsia="Calibri" w:hAnsi="Arial" w:cs="Arial"/>
          <w:i/>
          <w:iCs/>
          <w:sz w:val="22"/>
          <w:lang w:val="es-ES_tradnl"/>
        </w:rPr>
        <w:t>instituciones de educación superior</w:t>
      </w:r>
      <w:r w:rsidRPr="00856577">
        <w:rPr>
          <w:rFonts w:ascii="Arial" w:eastAsia="Calibri" w:hAnsi="Arial" w:cs="Arial"/>
          <w:sz w:val="22"/>
          <w:lang w:val="es-ES_tradnl"/>
        </w:rPr>
        <w:t xml:space="preserve">. Lo anterior en la medida que, para efectos de interpretar el alcance de la matriz de experiencia, </w:t>
      </w:r>
      <w:r w:rsidRPr="00856577">
        <w:rPr>
          <w:rFonts w:ascii="Arial" w:hAnsi="Arial" w:cs="Arial"/>
          <w:color w:val="000000"/>
          <w:sz w:val="22"/>
          <w:shd w:val="clear" w:color="auto" w:fill="FFFFFF"/>
        </w:rPr>
        <w:t xml:space="preserve">el artículo 28 del Código Civil también dispone que «Las palabras de la ley se entenderán en su sentido natural y obvio, según el uso general de las mismas palabras; pero cuando el legislador las haya definido expresamente para ciertas materias, se les dará en éstas su significado legal». </w:t>
      </w:r>
    </w:p>
    <w:p w14:paraId="4694D1BC" w14:textId="74DD1831" w:rsidR="00005124" w:rsidRPr="00856577" w:rsidRDefault="00423500" w:rsidP="00423500">
      <w:pPr>
        <w:spacing w:after="120" w:line="276" w:lineRule="auto"/>
        <w:ind w:firstLine="708"/>
        <w:jc w:val="both"/>
        <w:rPr>
          <w:rFonts w:ascii="Arial" w:hAnsi="Arial" w:cs="Arial"/>
          <w:color w:val="000000"/>
          <w:sz w:val="22"/>
          <w:shd w:val="clear" w:color="auto" w:fill="FFFFFF"/>
        </w:rPr>
      </w:pPr>
      <w:r w:rsidRPr="00856577">
        <w:rPr>
          <w:rFonts w:ascii="Arial" w:hAnsi="Arial" w:cs="Arial"/>
          <w:color w:val="000000"/>
          <w:sz w:val="22"/>
          <w:shd w:val="clear" w:color="auto" w:fill="FFFFFF"/>
        </w:rPr>
        <w:t xml:space="preserve">De esta manera, si bien las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xml:space="preserve"> hacen parte del sector educativo, la matriz de experiencia no aplicaría en las actividades relacionadas con </w:t>
      </w:r>
      <w:r w:rsidRPr="00856577">
        <w:rPr>
          <w:rFonts w:ascii="Arial" w:hAnsi="Arial" w:cs="Arial"/>
          <w:i/>
          <w:iCs/>
          <w:sz w:val="22"/>
        </w:rPr>
        <w:t>i)</w:t>
      </w:r>
      <w:r w:rsidRPr="00856577">
        <w:rPr>
          <w:rFonts w:ascii="Arial" w:hAnsi="Arial" w:cs="Arial"/>
          <w:sz w:val="22"/>
        </w:rPr>
        <w:t xml:space="preserve"> obras en infraestructura vertical en instituciones educativas, </w:t>
      </w:r>
      <w:r w:rsidRPr="00856577">
        <w:rPr>
          <w:rFonts w:ascii="Arial" w:hAnsi="Arial" w:cs="Arial"/>
          <w:i/>
          <w:iCs/>
          <w:sz w:val="22"/>
        </w:rPr>
        <w:t>ii)</w:t>
      </w:r>
      <w:r w:rsidRPr="00856577">
        <w:rPr>
          <w:rFonts w:ascii="Arial" w:hAnsi="Arial" w:cs="Arial"/>
          <w:sz w:val="22"/>
        </w:rPr>
        <w:t xml:space="preserve"> obras en infraestructura </w:t>
      </w:r>
      <w:proofErr w:type="spellStart"/>
      <w:r w:rsidRPr="00856577">
        <w:rPr>
          <w:rFonts w:ascii="Arial" w:hAnsi="Arial" w:cs="Arial"/>
          <w:sz w:val="22"/>
        </w:rPr>
        <w:t>recreodeportiva</w:t>
      </w:r>
      <w:proofErr w:type="spellEnd"/>
      <w:r w:rsidRPr="00856577">
        <w:rPr>
          <w:rFonts w:ascii="Arial" w:hAnsi="Arial" w:cs="Arial"/>
          <w:sz w:val="22"/>
        </w:rPr>
        <w:t xml:space="preserve"> y cultural en instituciones educativas</w:t>
      </w:r>
      <w:r w:rsidR="00A03A6A" w:rsidRPr="00856577">
        <w:rPr>
          <w:rFonts w:ascii="Arial" w:hAnsi="Arial" w:cs="Arial"/>
          <w:sz w:val="22"/>
        </w:rPr>
        <w:t xml:space="preserve"> y</w:t>
      </w:r>
      <w:r w:rsidRPr="00856577">
        <w:rPr>
          <w:rFonts w:ascii="Arial" w:hAnsi="Arial" w:cs="Arial"/>
          <w:sz w:val="22"/>
        </w:rPr>
        <w:t xml:space="preserve">, </w:t>
      </w:r>
      <w:proofErr w:type="spellStart"/>
      <w:r w:rsidRPr="00856577">
        <w:rPr>
          <w:rFonts w:ascii="Arial" w:hAnsi="Arial" w:cs="Arial"/>
          <w:i/>
          <w:iCs/>
          <w:sz w:val="22"/>
        </w:rPr>
        <w:t>iii</w:t>
      </w:r>
      <w:proofErr w:type="spellEnd"/>
      <w:r w:rsidRPr="00856577">
        <w:rPr>
          <w:rFonts w:ascii="Arial" w:hAnsi="Arial" w:cs="Arial"/>
          <w:i/>
          <w:iCs/>
          <w:sz w:val="22"/>
        </w:rPr>
        <w:t>)</w:t>
      </w:r>
      <w:r w:rsidRPr="00856577">
        <w:rPr>
          <w:rFonts w:ascii="Arial" w:hAnsi="Arial" w:cs="Arial"/>
          <w:sz w:val="22"/>
        </w:rPr>
        <w:t xml:space="preserve"> obras en vías de acceso y/o parqueaderos y/o zonas de circulación –vehicular y/o peatonal– en instituciones educativas. Esto ya que, en relación con el glosario, las </w:t>
      </w:r>
      <w:r w:rsidRPr="00856577">
        <w:rPr>
          <w:rFonts w:ascii="Arial" w:hAnsi="Arial" w:cs="Arial"/>
          <w:i/>
          <w:iCs/>
          <w:sz w:val="22"/>
        </w:rPr>
        <w:t>instituciones educativas</w:t>
      </w:r>
      <w:r w:rsidRPr="00856577">
        <w:rPr>
          <w:rFonts w:ascii="Arial" w:hAnsi="Arial" w:cs="Arial"/>
          <w:sz w:val="22"/>
        </w:rPr>
        <w:t xml:space="preserve"> del </w:t>
      </w:r>
      <w:r w:rsidRPr="00856577">
        <w:rPr>
          <w:rFonts w:ascii="Arial" w:eastAsia="Calibri" w:hAnsi="Arial" w:cs="Arial"/>
          <w:sz w:val="22"/>
          <w:lang w:val="es-ES_tradnl"/>
        </w:rPr>
        <w:t xml:space="preserve">artículo 9 de la Ley 715 de 2001 son diferentes a </w:t>
      </w:r>
      <w:r w:rsidRPr="00856577">
        <w:rPr>
          <w:rFonts w:ascii="Arial" w:hAnsi="Arial" w:cs="Arial"/>
          <w:color w:val="000000"/>
          <w:sz w:val="22"/>
          <w:shd w:val="clear" w:color="auto" w:fill="FFFFFF"/>
        </w:rPr>
        <w:t xml:space="preserve">las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xml:space="preserve"> del capítulo cuarto del título primero –arts. 16 a 23– de la Ley 30 de 1992. </w:t>
      </w:r>
    </w:p>
    <w:p w14:paraId="60F5F687" w14:textId="61142B4E" w:rsidR="004016E8" w:rsidRPr="00856577" w:rsidRDefault="004016E8" w:rsidP="00856577">
      <w:pPr>
        <w:spacing w:line="276" w:lineRule="auto"/>
        <w:ind w:firstLine="708"/>
        <w:jc w:val="both"/>
        <w:rPr>
          <w:rFonts w:ascii="Arial" w:hAnsi="Arial" w:cs="Arial"/>
          <w:sz w:val="22"/>
        </w:rPr>
      </w:pPr>
      <w:r w:rsidRPr="00856577">
        <w:rPr>
          <w:rFonts w:ascii="Arial" w:eastAsia="Calibri" w:hAnsi="Arial" w:cs="Arial"/>
          <w:sz w:val="22"/>
          <w:lang w:val="es-ES_tradnl"/>
        </w:rPr>
        <w:t>En consecuencia, respecto a la consulta realizada</w:t>
      </w:r>
      <w:r w:rsidRPr="00856577">
        <w:rPr>
          <w:rFonts w:ascii="Arial" w:hAnsi="Arial" w:cs="Arial"/>
          <w:color w:val="000000"/>
          <w:sz w:val="22"/>
        </w:rPr>
        <w:t>,</w:t>
      </w:r>
      <w:r w:rsidRPr="00856577">
        <w:rPr>
          <w:rFonts w:ascii="Arial" w:eastAsia="Calibri" w:hAnsi="Arial" w:cs="Arial"/>
          <w:sz w:val="22"/>
          <w:lang w:val="es-ES_tradnl"/>
        </w:rPr>
        <w:t xml:space="preserve"> los documentos tipo adoptados mediante las </w:t>
      </w:r>
      <w:r w:rsidRPr="00856577">
        <w:rPr>
          <w:rFonts w:ascii="Arial" w:hAnsi="Arial" w:cs="Arial"/>
          <w:sz w:val="22"/>
          <w:lang w:val="es-ES"/>
        </w:rPr>
        <w:t>Resoluciones 219 y 220 del 6 de agosto de 2021</w:t>
      </w:r>
      <w:r w:rsidRPr="00856577">
        <w:rPr>
          <w:rFonts w:ascii="Arial" w:hAnsi="Arial" w:cs="Arial"/>
          <w:sz w:val="22"/>
        </w:rPr>
        <w:t xml:space="preserve"> aplicarán a las obras relacionadas con bibliotecas públicas, pues estas actividades de la matriz de experiencia no discriminan si la ejecución se realiza en </w:t>
      </w:r>
      <w:r w:rsidRPr="00856577">
        <w:rPr>
          <w:rFonts w:ascii="Arial" w:hAnsi="Arial" w:cs="Arial"/>
          <w:i/>
          <w:iCs/>
          <w:sz w:val="22"/>
        </w:rPr>
        <w:t xml:space="preserve">instituciones educativas </w:t>
      </w:r>
      <w:r w:rsidRPr="00856577">
        <w:rPr>
          <w:rFonts w:ascii="Arial" w:hAnsi="Arial" w:cs="Arial"/>
          <w:sz w:val="22"/>
        </w:rPr>
        <w:t xml:space="preserve">o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por lo que es aplicable a ambas bajo la pauta hermenéutica «</w:t>
      </w:r>
      <w:proofErr w:type="spellStart"/>
      <w:r w:rsidRPr="00856577">
        <w:rPr>
          <w:rFonts w:ascii="Arial" w:hAnsi="Arial" w:cs="Arial"/>
          <w:i/>
          <w:iCs/>
          <w:color w:val="000000"/>
          <w:sz w:val="22"/>
          <w:shd w:val="clear" w:color="auto" w:fill="FFFFFF"/>
        </w:rPr>
        <w:t>Ubi</w:t>
      </w:r>
      <w:proofErr w:type="spellEnd"/>
      <w:r w:rsidRPr="00856577">
        <w:rPr>
          <w:rFonts w:ascii="Arial" w:hAnsi="Arial" w:cs="Arial"/>
          <w:i/>
          <w:iCs/>
          <w:color w:val="000000"/>
          <w:sz w:val="22"/>
          <w:shd w:val="clear" w:color="auto" w:fill="FFFFFF"/>
        </w:rPr>
        <w:t xml:space="preserve"> lex non </w:t>
      </w:r>
      <w:proofErr w:type="spellStart"/>
      <w:r w:rsidRPr="00856577">
        <w:rPr>
          <w:rFonts w:ascii="Arial" w:hAnsi="Arial" w:cs="Arial"/>
          <w:i/>
          <w:iCs/>
          <w:color w:val="000000"/>
          <w:sz w:val="22"/>
          <w:shd w:val="clear" w:color="auto" w:fill="FFFFFF"/>
        </w:rPr>
        <w:t>distinguit</w:t>
      </w:r>
      <w:proofErr w:type="spellEnd"/>
      <w:r w:rsidRPr="00856577">
        <w:rPr>
          <w:rFonts w:ascii="Arial" w:hAnsi="Arial" w:cs="Arial"/>
          <w:i/>
          <w:iCs/>
          <w:color w:val="000000"/>
          <w:sz w:val="22"/>
          <w:shd w:val="clear" w:color="auto" w:fill="FFFFFF"/>
        </w:rPr>
        <w:t xml:space="preserve">, </w:t>
      </w:r>
      <w:proofErr w:type="spellStart"/>
      <w:r w:rsidRPr="00856577">
        <w:rPr>
          <w:rFonts w:ascii="Arial" w:hAnsi="Arial" w:cs="Arial"/>
          <w:i/>
          <w:iCs/>
          <w:color w:val="000000"/>
          <w:sz w:val="22"/>
          <w:shd w:val="clear" w:color="auto" w:fill="FFFFFF"/>
        </w:rPr>
        <w:t>nec</w:t>
      </w:r>
      <w:proofErr w:type="spellEnd"/>
      <w:r w:rsidRPr="00856577">
        <w:rPr>
          <w:rFonts w:ascii="Arial" w:hAnsi="Arial" w:cs="Arial"/>
          <w:i/>
          <w:iCs/>
          <w:color w:val="000000"/>
          <w:sz w:val="22"/>
          <w:shd w:val="clear" w:color="auto" w:fill="FFFFFF"/>
        </w:rPr>
        <w:t xml:space="preserve"> nos </w:t>
      </w:r>
      <w:proofErr w:type="spellStart"/>
      <w:r w:rsidRPr="00856577">
        <w:rPr>
          <w:rFonts w:ascii="Arial" w:hAnsi="Arial" w:cs="Arial"/>
          <w:i/>
          <w:iCs/>
          <w:color w:val="000000"/>
          <w:sz w:val="22"/>
          <w:shd w:val="clear" w:color="auto" w:fill="FFFFFF"/>
        </w:rPr>
        <w:t>distinguere</w:t>
      </w:r>
      <w:proofErr w:type="spellEnd"/>
      <w:r w:rsidRPr="00856577">
        <w:rPr>
          <w:rFonts w:ascii="Arial" w:hAnsi="Arial" w:cs="Arial"/>
          <w:i/>
          <w:iCs/>
          <w:color w:val="000000"/>
          <w:sz w:val="22"/>
          <w:shd w:val="clear" w:color="auto" w:fill="FFFFFF"/>
        </w:rPr>
        <w:t xml:space="preserve"> </w:t>
      </w:r>
      <w:proofErr w:type="spellStart"/>
      <w:r w:rsidRPr="00856577">
        <w:rPr>
          <w:rFonts w:ascii="Arial" w:hAnsi="Arial" w:cs="Arial"/>
          <w:i/>
          <w:iCs/>
          <w:color w:val="000000"/>
          <w:sz w:val="22"/>
          <w:shd w:val="clear" w:color="auto" w:fill="FFFFFF"/>
        </w:rPr>
        <w:t>debemus</w:t>
      </w:r>
      <w:proofErr w:type="spellEnd"/>
      <w:r w:rsidRPr="00856577">
        <w:rPr>
          <w:rFonts w:ascii="Arial" w:hAnsi="Arial" w:cs="Arial"/>
          <w:color w:val="000000"/>
          <w:sz w:val="22"/>
          <w:shd w:val="clear" w:color="auto" w:fill="FFFFFF"/>
        </w:rPr>
        <w:t>»</w:t>
      </w:r>
      <w:r w:rsidRPr="00856577">
        <w:rPr>
          <w:rFonts w:ascii="Arial" w:hAnsi="Arial" w:cs="Arial"/>
          <w:sz w:val="22"/>
        </w:rPr>
        <w:t xml:space="preserve">. </w:t>
      </w:r>
      <w:r w:rsidRPr="00856577">
        <w:rPr>
          <w:rFonts w:ascii="Arial" w:eastAsia="Calibri" w:hAnsi="Arial" w:cs="Arial"/>
          <w:sz w:val="22"/>
          <w:lang w:val="es-ES_tradnl"/>
        </w:rPr>
        <w:t xml:space="preserve">En contraste, para obras diferentes a las previstas en la «Matriz 1 – Experiencia» no existe obligación de aplicar los documentos tipo mencionados, sin perjuicio de que puedan utilizarse como un parámetro de buena práctica contractual en el sistema de compras públicas según ha sido indicado en la Directiva Presidencial 01 del 3 de marzo de 2021 en la cual se </w:t>
      </w:r>
      <w:r w:rsidR="00C01D15" w:rsidRPr="00856577">
        <w:rPr>
          <w:rFonts w:ascii="Arial" w:eastAsia="Calibri" w:hAnsi="Arial" w:cs="Arial"/>
          <w:sz w:val="22"/>
          <w:lang w:val="es-ES_tradnl"/>
        </w:rPr>
        <w:t>exhorta a</w:t>
      </w:r>
      <w:r w:rsidRPr="00856577">
        <w:rPr>
          <w:rFonts w:ascii="Arial" w:eastAsia="Calibri" w:hAnsi="Arial" w:cs="Arial"/>
          <w:sz w:val="22"/>
          <w:lang w:val="es-ES_tradnl"/>
        </w:rPr>
        <w:t xml:space="preserve"> la aplicación de los </w:t>
      </w:r>
      <w:r w:rsidRPr="00856577">
        <w:rPr>
          <w:rFonts w:ascii="Arial" w:eastAsia="Calibri" w:hAnsi="Arial" w:cs="Arial"/>
          <w:sz w:val="22"/>
          <w:lang w:val="es-ES_tradnl"/>
        </w:rPr>
        <w:lastRenderedPageBreak/>
        <w:t xml:space="preserve">instrumentos elaborados por la Agencia Nacional de Contratación Pública – Colombia Compra Eficiente. </w:t>
      </w:r>
    </w:p>
    <w:p w14:paraId="4AC85771" w14:textId="77777777" w:rsidR="00005124" w:rsidRPr="00856577" w:rsidRDefault="00005124" w:rsidP="00242088">
      <w:pPr>
        <w:pStyle w:val="Prrafodelista"/>
        <w:ind w:left="709" w:right="709"/>
        <w:jc w:val="both"/>
        <w:rPr>
          <w:rFonts w:ascii="Arial" w:hAnsi="Arial" w:cs="Arial"/>
          <w:color w:val="000000"/>
          <w:sz w:val="22"/>
          <w:lang w:val="es-CO"/>
        </w:rPr>
      </w:pPr>
    </w:p>
    <w:p w14:paraId="402732C9" w14:textId="77777777" w:rsidR="00242088" w:rsidRPr="00856577" w:rsidRDefault="00242088" w:rsidP="00242088">
      <w:pPr>
        <w:shd w:val="clear" w:color="auto" w:fill="FFFFFF"/>
        <w:tabs>
          <w:tab w:val="left" w:pos="426"/>
        </w:tabs>
        <w:ind w:right="709"/>
        <w:jc w:val="both"/>
        <w:rPr>
          <w:rFonts w:ascii="Arial" w:eastAsia="Times New Roman" w:hAnsi="Arial" w:cs="Arial"/>
          <w:b/>
          <w:color w:val="000000" w:themeColor="text1"/>
          <w:sz w:val="22"/>
          <w:lang w:eastAsia="es-ES_tradnl"/>
        </w:rPr>
      </w:pPr>
      <w:r w:rsidRPr="00856577">
        <w:rPr>
          <w:rFonts w:ascii="Arial" w:eastAsia="Times New Roman" w:hAnsi="Arial" w:cs="Arial"/>
          <w:b/>
          <w:color w:val="000000" w:themeColor="text1"/>
          <w:sz w:val="22"/>
          <w:lang w:eastAsia="es-ES_tradnl"/>
        </w:rPr>
        <w:t>3. Respuesta</w:t>
      </w:r>
    </w:p>
    <w:p w14:paraId="3AD415AC" w14:textId="183164C0" w:rsidR="00242088" w:rsidRPr="00856577" w:rsidRDefault="00242088" w:rsidP="00242088">
      <w:pPr>
        <w:spacing w:line="276" w:lineRule="auto"/>
        <w:jc w:val="both"/>
        <w:rPr>
          <w:rFonts w:ascii="Arial" w:hAnsi="Arial" w:cs="Arial"/>
          <w:color w:val="000000" w:themeColor="text1"/>
          <w:sz w:val="22"/>
        </w:rPr>
      </w:pPr>
    </w:p>
    <w:p w14:paraId="5C4A73AE" w14:textId="057ABBD9" w:rsidR="000412CB" w:rsidRPr="00856577" w:rsidRDefault="000412CB" w:rsidP="00856577">
      <w:pPr>
        <w:ind w:left="709" w:right="709"/>
        <w:jc w:val="both"/>
        <w:rPr>
          <w:rFonts w:ascii="Arial" w:eastAsia="Times New Roman" w:hAnsi="Arial" w:cs="Arial"/>
          <w:bCs/>
          <w:color w:val="000000"/>
          <w:sz w:val="21"/>
          <w:szCs w:val="21"/>
          <w:lang w:eastAsia="es-CO"/>
        </w:rPr>
      </w:pPr>
      <w:r w:rsidRPr="00856577">
        <w:rPr>
          <w:rFonts w:ascii="Arial" w:eastAsia="Times New Roman" w:hAnsi="Arial" w:cs="Arial"/>
          <w:bCs/>
          <w:color w:val="000000"/>
          <w:sz w:val="21"/>
          <w:szCs w:val="21"/>
          <w:lang w:eastAsia="es-CO"/>
        </w:rPr>
        <w:t>«Cuando la resolución 220 de 2021 emanada del director General de la Agencia Nacional de Contratación Pública, Colombia Compra Eficiente indica que para los procesos de licitación de obra pública que operan en la infraestructura social relacionada con el sector educativo, [¿] se ha de entender o no que en el referido sector educativo se encuentran incluidas las Instituciones Universitarias de Educación Superior de carácter Estatal en su condición de Establecimientos Públicos del orden departamental, con Patrimonio Propio, Autonomía Administrativa y Personería Jurídica?»</w:t>
      </w:r>
      <w:r w:rsidR="003660CB" w:rsidRPr="00856577">
        <w:rPr>
          <w:rFonts w:ascii="Arial" w:eastAsia="Times New Roman" w:hAnsi="Arial" w:cs="Arial"/>
          <w:bCs/>
          <w:color w:val="000000"/>
          <w:sz w:val="21"/>
          <w:szCs w:val="21"/>
          <w:lang w:eastAsia="es-CO"/>
        </w:rPr>
        <w:t>.</w:t>
      </w:r>
    </w:p>
    <w:p w14:paraId="6555642D" w14:textId="77777777" w:rsidR="003660CB" w:rsidRPr="00856577" w:rsidRDefault="003660CB" w:rsidP="00856577">
      <w:pPr>
        <w:spacing w:line="276" w:lineRule="auto"/>
        <w:jc w:val="both"/>
        <w:rPr>
          <w:rFonts w:ascii="Arial" w:eastAsia="Calibri" w:hAnsi="Arial" w:cs="Arial"/>
          <w:color w:val="000000" w:themeColor="text1"/>
          <w:sz w:val="22"/>
          <w:lang w:val="es-ES_tradnl"/>
        </w:rPr>
      </w:pPr>
    </w:p>
    <w:p w14:paraId="1E77280B" w14:textId="756F8522" w:rsidR="00BC0F2E" w:rsidRPr="00856577" w:rsidRDefault="00BC0F2E" w:rsidP="00BC0F2E">
      <w:pPr>
        <w:spacing w:after="120" w:line="276" w:lineRule="auto"/>
        <w:jc w:val="both"/>
        <w:rPr>
          <w:rFonts w:ascii="Arial" w:eastAsia="Calibri" w:hAnsi="Arial" w:cs="Arial"/>
          <w:sz w:val="22"/>
          <w:lang w:val="es-ES_tradnl"/>
        </w:rPr>
      </w:pPr>
      <w:r w:rsidRPr="00856577">
        <w:rPr>
          <w:rFonts w:ascii="Arial" w:hAnsi="Arial" w:cs="Arial"/>
          <w:sz w:val="22"/>
        </w:rPr>
        <w:t xml:space="preserve">De acuerdo con la explicación precedente, tratándose del sector educativo, la matriz de experiencia de los documentos tipo complementarios que se adoptaron con la </w:t>
      </w:r>
      <w:r w:rsidRPr="00856577">
        <w:rPr>
          <w:rFonts w:ascii="Arial" w:hAnsi="Arial" w:cs="Arial"/>
          <w:sz w:val="22"/>
          <w:lang w:val="es-ES"/>
        </w:rPr>
        <w:t>Resolución 220 del 6 de agosto de 2021</w:t>
      </w:r>
      <w:r w:rsidRPr="00856577">
        <w:rPr>
          <w:rFonts w:ascii="Arial" w:hAnsi="Arial" w:cs="Arial"/>
          <w:sz w:val="22"/>
        </w:rPr>
        <w:t xml:space="preserve"> aplica a cuatro (4) tipos de obras: </w:t>
      </w:r>
      <w:r w:rsidRPr="00856577">
        <w:rPr>
          <w:rFonts w:ascii="Arial" w:hAnsi="Arial" w:cs="Arial"/>
          <w:i/>
          <w:iCs/>
          <w:sz w:val="22"/>
        </w:rPr>
        <w:t>i)</w:t>
      </w:r>
      <w:r w:rsidRPr="00856577">
        <w:rPr>
          <w:rFonts w:ascii="Arial" w:hAnsi="Arial" w:cs="Arial"/>
          <w:sz w:val="22"/>
        </w:rPr>
        <w:t xml:space="preserve"> obras en infraestructura vertical en instituciones educativas, </w:t>
      </w:r>
      <w:r w:rsidRPr="00856577">
        <w:rPr>
          <w:rFonts w:ascii="Arial" w:hAnsi="Arial" w:cs="Arial"/>
          <w:i/>
          <w:iCs/>
          <w:sz w:val="22"/>
        </w:rPr>
        <w:t>ii)</w:t>
      </w:r>
      <w:r w:rsidRPr="00856577">
        <w:rPr>
          <w:rFonts w:ascii="Arial" w:hAnsi="Arial" w:cs="Arial"/>
          <w:sz w:val="22"/>
        </w:rPr>
        <w:t xml:space="preserve"> obras en infraestructura </w:t>
      </w:r>
      <w:proofErr w:type="spellStart"/>
      <w:r w:rsidRPr="00856577">
        <w:rPr>
          <w:rFonts w:ascii="Arial" w:hAnsi="Arial" w:cs="Arial"/>
          <w:sz w:val="22"/>
        </w:rPr>
        <w:t>recreodeportiva</w:t>
      </w:r>
      <w:proofErr w:type="spellEnd"/>
      <w:r w:rsidRPr="00856577">
        <w:rPr>
          <w:rFonts w:ascii="Arial" w:hAnsi="Arial" w:cs="Arial"/>
          <w:sz w:val="22"/>
        </w:rPr>
        <w:t xml:space="preserve"> y cultural en instituciones educativas, </w:t>
      </w:r>
      <w:proofErr w:type="spellStart"/>
      <w:r w:rsidRPr="00856577">
        <w:rPr>
          <w:rFonts w:ascii="Arial" w:hAnsi="Arial" w:cs="Arial"/>
          <w:i/>
          <w:iCs/>
          <w:sz w:val="22"/>
        </w:rPr>
        <w:t>iii</w:t>
      </w:r>
      <w:proofErr w:type="spellEnd"/>
      <w:r w:rsidRPr="00856577">
        <w:rPr>
          <w:rFonts w:ascii="Arial" w:hAnsi="Arial" w:cs="Arial"/>
          <w:i/>
          <w:iCs/>
          <w:sz w:val="22"/>
        </w:rPr>
        <w:t>)</w:t>
      </w:r>
      <w:r w:rsidRPr="00856577">
        <w:rPr>
          <w:rFonts w:ascii="Arial" w:hAnsi="Arial" w:cs="Arial"/>
          <w:sz w:val="22"/>
        </w:rPr>
        <w:t xml:space="preserve"> obras en vías de acceso y/o parqueaderos y/o zonas de circulación –vehicular y/o peatonal– en instituciones educativas y </w:t>
      </w:r>
      <w:proofErr w:type="spellStart"/>
      <w:r w:rsidRPr="00856577">
        <w:rPr>
          <w:rFonts w:ascii="Arial" w:hAnsi="Arial" w:cs="Arial"/>
          <w:i/>
          <w:iCs/>
          <w:sz w:val="22"/>
        </w:rPr>
        <w:t>iv</w:t>
      </w:r>
      <w:proofErr w:type="spellEnd"/>
      <w:r w:rsidRPr="00856577">
        <w:rPr>
          <w:rFonts w:ascii="Arial" w:hAnsi="Arial" w:cs="Arial"/>
          <w:i/>
          <w:iCs/>
          <w:sz w:val="22"/>
        </w:rPr>
        <w:t>)</w:t>
      </w:r>
      <w:r w:rsidRPr="00856577">
        <w:rPr>
          <w:rFonts w:ascii="Arial" w:hAnsi="Arial" w:cs="Arial"/>
          <w:sz w:val="22"/>
        </w:rPr>
        <w:t xml:space="preserve"> obras en bibliotecas públicas. </w:t>
      </w:r>
      <w:r w:rsidRPr="00856577">
        <w:rPr>
          <w:rFonts w:ascii="Arial" w:eastAsia="Calibri" w:hAnsi="Arial" w:cs="Arial"/>
          <w:sz w:val="22"/>
          <w:lang w:val="es-ES_tradnl"/>
        </w:rPr>
        <w:t xml:space="preserve">Por tanto, siempre que el objeto esté relacionado con alguna de las actividades, los documentos tipo adoptados mediante las </w:t>
      </w:r>
      <w:r w:rsidRPr="00856577">
        <w:rPr>
          <w:rFonts w:ascii="Arial" w:hAnsi="Arial" w:cs="Arial"/>
          <w:sz w:val="22"/>
          <w:lang w:val="es-ES"/>
        </w:rPr>
        <w:t>Resoluciones 219 y 220 del 6 de agosto de 2021</w:t>
      </w:r>
      <w:r w:rsidRPr="00856577">
        <w:rPr>
          <w:rFonts w:ascii="Arial" w:eastAsia="Calibri" w:hAnsi="Arial" w:cs="Arial"/>
          <w:sz w:val="22"/>
          <w:lang w:val="es-ES_tradnl"/>
        </w:rPr>
        <w:t xml:space="preserve"> </w:t>
      </w:r>
      <w:r w:rsidRPr="00856577">
        <w:rPr>
          <w:rFonts w:ascii="Arial" w:hAnsi="Arial" w:cs="Arial"/>
          <w:color w:val="0D0D0D"/>
          <w:sz w:val="22"/>
          <w:bdr w:val="none" w:sz="0" w:space="0" w:color="auto" w:frame="1"/>
          <w:lang w:eastAsia="es-CO"/>
        </w:rPr>
        <w:t>son</w:t>
      </w:r>
      <w:r w:rsidRPr="00856577">
        <w:rPr>
          <w:rFonts w:ascii="Arial" w:eastAsia="Calibri" w:hAnsi="Arial" w:cs="Arial"/>
          <w:sz w:val="22"/>
          <w:lang w:val="es-ES_tradnl"/>
        </w:rPr>
        <w:t xml:space="preserve"> obligatorios para las entidades sometidas a la Ley 80 de 1993 que contraten la ejecución de obras públicas de infraestructura social del sector educativo a través de licitación pública. </w:t>
      </w:r>
    </w:p>
    <w:p w14:paraId="12F2A080" w14:textId="63E510F8" w:rsidR="00BC0F2E" w:rsidRPr="00856577" w:rsidRDefault="00BC0F2E" w:rsidP="00BC0F2E">
      <w:pPr>
        <w:spacing w:after="120" w:line="276" w:lineRule="auto"/>
        <w:ind w:firstLine="709"/>
        <w:jc w:val="both"/>
        <w:rPr>
          <w:rFonts w:ascii="Arial" w:eastAsia="Calibri" w:hAnsi="Arial" w:cs="Arial"/>
          <w:sz w:val="22"/>
          <w:lang w:val="es-ES_tradnl"/>
        </w:rPr>
      </w:pPr>
      <w:r w:rsidRPr="00856577">
        <w:rPr>
          <w:rFonts w:ascii="Arial" w:eastAsia="Calibri" w:hAnsi="Arial" w:cs="Arial"/>
          <w:sz w:val="22"/>
          <w:lang w:val="es-ES_tradnl"/>
        </w:rPr>
        <w:t xml:space="preserve">Para estos efectos, es necesario tener en cuenta que las actividades i), </w:t>
      </w:r>
      <w:proofErr w:type="spellStart"/>
      <w:r w:rsidRPr="00856577">
        <w:rPr>
          <w:rFonts w:ascii="Arial" w:eastAsia="Calibri" w:hAnsi="Arial" w:cs="Arial"/>
          <w:sz w:val="22"/>
          <w:lang w:val="es-ES_tradnl"/>
        </w:rPr>
        <w:t>ii</w:t>
      </w:r>
      <w:proofErr w:type="spellEnd"/>
      <w:r w:rsidRPr="00856577">
        <w:rPr>
          <w:rFonts w:ascii="Arial" w:eastAsia="Calibri" w:hAnsi="Arial" w:cs="Arial"/>
          <w:sz w:val="22"/>
          <w:lang w:val="es-ES_tradnl"/>
        </w:rPr>
        <w:t xml:space="preserve">) y </w:t>
      </w:r>
      <w:proofErr w:type="spellStart"/>
      <w:r w:rsidRPr="00856577">
        <w:rPr>
          <w:rFonts w:ascii="Arial" w:eastAsia="Calibri" w:hAnsi="Arial" w:cs="Arial"/>
          <w:sz w:val="22"/>
          <w:lang w:val="es-ES_tradnl"/>
        </w:rPr>
        <w:t>iii</w:t>
      </w:r>
      <w:proofErr w:type="spellEnd"/>
      <w:r w:rsidRPr="00856577">
        <w:rPr>
          <w:rFonts w:ascii="Arial" w:eastAsia="Calibri" w:hAnsi="Arial" w:cs="Arial"/>
          <w:sz w:val="22"/>
          <w:lang w:val="es-ES_tradnl"/>
        </w:rPr>
        <w:t xml:space="preserve">) de la matriz de experiencia solo aplican a las obras en </w:t>
      </w:r>
      <w:r w:rsidRPr="00856577">
        <w:rPr>
          <w:rFonts w:ascii="Arial" w:eastAsia="Calibri" w:hAnsi="Arial" w:cs="Arial"/>
          <w:i/>
          <w:iCs/>
          <w:sz w:val="22"/>
          <w:lang w:val="es-ES_tradnl"/>
        </w:rPr>
        <w:t>instituciones educativas</w:t>
      </w:r>
      <w:r w:rsidRPr="00856577">
        <w:rPr>
          <w:rFonts w:ascii="Arial" w:eastAsia="Calibri" w:hAnsi="Arial" w:cs="Arial"/>
          <w:sz w:val="22"/>
          <w:lang w:val="es-ES_tradnl"/>
        </w:rPr>
        <w:t>. En concordancia con el artículo 9 de la Ley 715 de 2001, este término fue definido en el numeral 2.61</w:t>
      </w:r>
      <w:r w:rsidR="00D01C40" w:rsidRPr="00856577">
        <w:rPr>
          <w:rFonts w:ascii="Arial" w:eastAsia="Calibri" w:hAnsi="Arial" w:cs="Arial"/>
          <w:sz w:val="22"/>
          <w:lang w:val="es-ES_tradnl"/>
        </w:rPr>
        <w:t xml:space="preserve"> del el «Anexo – Glosario Sector Educativo»</w:t>
      </w:r>
      <w:r w:rsidRPr="00856577">
        <w:rPr>
          <w:rFonts w:ascii="Arial" w:eastAsia="Calibri" w:hAnsi="Arial" w:cs="Arial"/>
          <w:sz w:val="22"/>
          <w:lang w:val="es-ES_tradnl"/>
        </w:rPr>
        <w:t xml:space="preserve"> como «Conjunto de personas y bienes promovida por las autoridades públicas o por particulares, cuya finalidad es prestar un año de educación preescolar y nueve (9) grados de educación básica como mínimo y la media. Deben contar con licencia de funcionamiento o reconocimiento de carácter oficial, disponer de la infraestructura administrativa, soportes pedagógicos, planta física y medios educativos adecuados […]». </w:t>
      </w:r>
    </w:p>
    <w:p w14:paraId="14AC8463" w14:textId="196AC710" w:rsidR="00BC0F2E" w:rsidRPr="00856577" w:rsidRDefault="00BC0F2E" w:rsidP="00BC0F2E">
      <w:pPr>
        <w:spacing w:after="120" w:line="276" w:lineRule="auto"/>
        <w:ind w:firstLine="708"/>
        <w:jc w:val="both"/>
        <w:rPr>
          <w:rFonts w:ascii="Arial" w:hAnsi="Arial" w:cs="Arial"/>
          <w:color w:val="000000"/>
          <w:sz w:val="22"/>
          <w:shd w:val="clear" w:color="auto" w:fill="FFFFFF"/>
        </w:rPr>
      </w:pPr>
      <w:r w:rsidRPr="00856577">
        <w:rPr>
          <w:rFonts w:ascii="Arial" w:eastAsia="Calibri" w:hAnsi="Arial" w:cs="Arial"/>
          <w:sz w:val="22"/>
          <w:lang w:val="es-ES_tradnl"/>
        </w:rPr>
        <w:t xml:space="preserve">En consecuencia, la matriz se refiere a las obras en </w:t>
      </w:r>
      <w:r w:rsidRPr="00856577">
        <w:rPr>
          <w:rFonts w:ascii="Arial" w:eastAsia="Calibri" w:hAnsi="Arial" w:cs="Arial"/>
          <w:i/>
          <w:iCs/>
          <w:sz w:val="22"/>
          <w:lang w:val="es-ES_tradnl"/>
        </w:rPr>
        <w:t>instituciones educativas</w:t>
      </w:r>
      <w:r w:rsidRPr="00856577">
        <w:rPr>
          <w:rFonts w:ascii="Arial" w:eastAsia="Calibri" w:hAnsi="Arial" w:cs="Arial"/>
          <w:sz w:val="22"/>
          <w:lang w:val="es-ES_tradnl"/>
        </w:rPr>
        <w:t xml:space="preserve">, excluyendo las obras en </w:t>
      </w:r>
      <w:r w:rsidRPr="00856577">
        <w:rPr>
          <w:rFonts w:ascii="Arial" w:eastAsia="Calibri" w:hAnsi="Arial" w:cs="Arial"/>
          <w:i/>
          <w:iCs/>
          <w:sz w:val="22"/>
          <w:lang w:val="es-ES_tradnl"/>
        </w:rPr>
        <w:t>instituciones de educación superior</w:t>
      </w:r>
      <w:r w:rsidRPr="00856577">
        <w:rPr>
          <w:rFonts w:ascii="Arial" w:eastAsia="Calibri" w:hAnsi="Arial" w:cs="Arial"/>
          <w:sz w:val="22"/>
          <w:lang w:val="es-ES_tradnl"/>
        </w:rPr>
        <w:t xml:space="preserve">. </w:t>
      </w:r>
      <w:r w:rsidRPr="00856577">
        <w:rPr>
          <w:rFonts w:ascii="Arial" w:hAnsi="Arial" w:cs="Arial"/>
          <w:color w:val="000000"/>
          <w:sz w:val="22"/>
          <w:shd w:val="clear" w:color="auto" w:fill="FFFFFF"/>
        </w:rPr>
        <w:t xml:space="preserve">De esta manera, si bien las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xml:space="preserve"> hacen parte del sector educativo, la matriz de experiencia no aplicaría en las actividades relacionadas con </w:t>
      </w:r>
      <w:r w:rsidRPr="00856577">
        <w:rPr>
          <w:rFonts w:ascii="Arial" w:hAnsi="Arial" w:cs="Arial"/>
          <w:i/>
          <w:iCs/>
          <w:sz w:val="22"/>
        </w:rPr>
        <w:t>i)</w:t>
      </w:r>
      <w:r w:rsidRPr="00856577">
        <w:rPr>
          <w:rFonts w:ascii="Arial" w:hAnsi="Arial" w:cs="Arial"/>
          <w:sz w:val="22"/>
        </w:rPr>
        <w:t xml:space="preserve"> obras en infraestructura vertical en instituciones educativas, </w:t>
      </w:r>
      <w:r w:rsidRPr="00856577">
        <w:rPr>
          <w:rFonts w:ascii="Arial" w:hAnsi="Arial" w:cs="Arial"/>
          <w:i/>
          <w:iCs/>
          <w:sz w:val="22"/>
        </w:rPr>
        <w:t>ii)</w:t>
      </w:r>
      <w:r w:rsidRPr="00856577">
        <w:rPr>
          <w:rFonts w:ascii="Arial" w:hAnsi="Arial" w:cs="Arial"/>
          <w:sz w:val="22"/>
        </w:rPr>
        <w:t xml:space="preserve"> obras en infraestructura </w:t>
      </w:r>
      <w:proofErr w:type="spellStart"/>
      <w:r w:rsidRPr="00856577">
        <w:rPr>
          <w:rFonts w:ascii="Arial" w:hAnsi="Arial" w:cs="Arial"/>
          <w:sz w:val="22"/>
        </w:rPr>
        <w:t>recreodeportiva</w:t>
      </w:r>
      <w:proofErr w:type="spellEnd"/>
      <w:r w:rsidRPr="00856577">
        <w:rPr>
          <w:rFonts w:ascii="Arial" w:hAnsi="Arial" w:cs="Arial"/>
          <w:sz w:val="22"/>
        </w:rPr>
        <w:t xml:space="preserve"> y cultural en instituciones educativas y, </w:t>
      </w:r>
      <w:proofErr w:type="spellStart"/>
      <w:r w:rsidRPr="00856577">
        <w:rPr>
          <w:rFonts w:ascii="Arial" w:hAnsi="Arial" w:cs="Arial"/>
          <w:i/>
          <w:iCs/>
          <w:sz w:val="22"/>
        </w:rPr>
        <w:t>iii</w:t>
      </w:r>
      <w:proofErr w:type="spellEnd"/>
      <w:r w:rsidRPr="00856577">
        <w:rPr>
          <w:rFonts w:ascii="Arial" w:hAnsi="Arial" w:cs="Arial"/>
          <w:i/>
          <w:iCs/>
          <w:sz w:val="22"/>
        </w:rPr>
        <w:t>)</w:t>
      </w:r>
      <w:r w:rsidRPr="00856577">
        <w:rPr>
          <w:rFonts w:ascii="Arial" w:hAnsi="Arial" w:cs="Arial"/>
          <w:sz w:val="22"/>
        </w:rPr>
        <w:t xml:space="preserve"> obras en vías de acceso y/o parqueaderos y/o zonas de circulación –vehicular y/o peatonal– en instituciones educativas. Esto ya que, en relación </w:t>
      </w:r>
      <w:r w:rsidRPr="00856577">
        <w:rPr>
          <w:rFonts w:ascii="Arial" w:hAnsi="Arial" w:cs="Arial"/>
          <w:sz w:val="22"/>
        </w:rPr>
        <w:lastRenderedPageBreak/>
        <w:t xml:space="preserve">con el glosario, las </w:t>
      </w:r>
      <w:r w:rsidRPr="00856577">
        <w:rPr>
          <w:rFonts w:ascii="Arial" w:hAnsi="Arial" w:cs="Arial"/>
          <w:i/>
          <w:iCs/>
          <w:sz w:val="22"/>
        </w:rPr>
        <w:t>instituciones educativas</w:t>
      </w:r>
      <w:r w:rsidRPr="00856577">
        <w:rPr>
          <w:rFonts w:ascii="Arial" w:hAnsi="Arial" w:cs="Arial"/>
          <w:sz w:val="22"/>
        </w:rPr>
        <w:t xml:space="preserve"> del </w:t>
      </w:r>
      <w:r w:rsidRPr="00856577">
        <w:rPr>
          <w:rFonts w:ascii="Arial" w:eastAsia="Calibri" w:hAnsi="Arial" w:cs="Arial"/>
          <w:sz w:val="22"/>
          <w:lang w:val="es-ES_tradnl"/>
        </w:rPr>
        <w:t xml:space="preserve">artículo 9 de la Ley 715 de 2001 son diferentes a </w:t>
      </w:r>
      <w:r w:rsidRPr="00856577">
        <w:rPr>
          <w:rFonts w:ascii="Arial" w:hAnsi="Arial" w:cs="Arial"/>
          <w:color w:val="000000"/>
          <w:sz w:val="22"/>
          <w:shd w:val="clear" w:color="auto" w:fill="FFFFFF"/>
        </w:rPr>
        <w:t xml:space="preserve">las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xml:space="preserve"> del capítulo cuarto del título primero –arts. 16 a 23– de la Ley 30 de 1992. </w:t>
      </w:r>
    </w:p>
    <w:p w14:paraId="395F902D" w14:textId="68376A16" w:rsidR="00BC0F2E" w:rsidRPr="00856577" w:rsidRDefault="00BC0F2E" w:rsidP="00856577">
      <w:pPr>
        <w:spacing w:line="276" w:lineRule="auto"/>
        <w:ind w:firstLine="708"/>
        <w:jc w:val="both"/>
        <w:rPr>
          <w:rFonts w:ascii="Arial" w:hAnsi="Arial" w:cs="Arial"/>
          <w:sz w:val="22"/>
        </w:rPr>
      </w:pPr>
      <w:r w:rsidRPr="00856577">
        <w:rPr>
          <w:rFonts w:ascii="Arial" w:eastAsia="Calibri" w:hAnsi="Arial" w:cs="Arial"/>
          <w:sz w:val="22"/>
          <w:lang w:val="es-ES_tradnl"/>
        </w:rPr>
        <w:t>En consecuencia, respecto a la consulta realizada</w:t>
      </w:r>
      <w:r w:rsidRPr="00856577">
        <w:rPr>
          <w:rFonts w:ascii="Arial" w:hAnsi="Arial" w:cs="Arial"/>
          <w:color w:val="000000"/>
          <w:sz w:val="22"/>
        </w:rPr>
        <w:t>,</w:t>
      </w:r>
      <w:r w:rsidRPr="00856577">
        <w:rPr>
          <w:rFonts w:ascii="Arial" w:eastAsia="Calibri" w:hAnsi="Arial" w:cs="Arial"/>
          <w:sz w:val="22"/>
          <w:lang w:val="es-ES_tradnl"/>
        </w:rPr>
        <w:t xml:space="preserve"> los documentos tipo adoptados mediante las </w:t>
      </w:r>
      <w:r w:rsidRPr="00856577">
        <w:rPr>
          <w:rFonts w:ascii="Arial" w:hAnsi="Arial" w:cs="Arial"/>
          <w:sz w:val="22"/>
          <w:lang w:val="es-ES"/>
        </w:rPr>
        <w:t>Resoluciones 219 y 220 del 6 de agosto de 2021</w:t>
      </w:r>
      <w:r w:rsidRPr="00856577">
        <w:rPr>
          <w:rFonts w:ascii="Arial" w:hAnsi="Arial" w:cs="Arial"/>
          <w:sz w:val="22"/>
        </w:rPr>
        <w:t xml:space="preserve"> aplicarán a las obras relacionadas con bibliotecas públicas, pues estas actividades de la matriz de experiencia no discriminan si la ejecución se realiza en </w:t>
      </w:r>
      <w:r w:rsidRPr="00856577">
        <w:rPr>
          <w:rFonts w:ascii="Arial" w:hAnsi="Arial" w:cs="Arial"/>
          <w:i/>
          <w:iCs/>
          <w:sz w:val="22"/>
        </w:rPr>
        <w:t xml:space="preserve">instituciones educativas </w:t>
      </w:r>
      <w:r w:rsidRPr="00856577">
        <w:rPr>
          <w:rFonts w:ascii="Arial" w:hAnsi="Arial" w:cs="Arial"/>
          <w:sz w:val="22"/>
        </w:rPr>
        <w:t xml:space="preserve">o </w:t>
      </w:r>
      <w:r w:rsidRPr="00856577">
        <w:rPr>
          <w:rFonts w:ascii="Arial" w:hAnsi="Arial" w:cs="Arial"/>
          <w:i/>
          <w:iCs/>
          <w:color w:val="000000"/>
          <w:sz w:val="22"/>
          <w:shd w:val="clear" w:color="auto" w:fill="FFFFFF"/>
        </w:rPr>
        <w:t>instituciones de educación superior</w:t>
      </w:r>
      <w:r w:rsidRPr="00856577">
        <w:rPr>
          <w:rFonts w:ascii="Arial" w:hAnsi="Arial" w:cs="Arial"/>
          <w:color w:val="000000"/>
          <w:sz w:val="22"/>
          <w:shd w:val="clear" w:color="auto" w:fill="FFFFFF"/>
        </w:rPr>
        <w:t>, por lo que es aplicable a ambas bajo la pauta hermenéutica «</w:t>
      </w:r>
      <w:proofErr w:type="spellStart"/>
      <w:r w:rsidRPr="00856577">
        <w:rPr>
          <w:rFonts w:ascii="Arial" w:hAnsi="Arial" w:cs="Arial"/>
          <w:i/>
          <w:iCs/>
          <w:color w:val="000000"/>
          <w:sz w:val="22"/>
          <w:shd w:val="clear" w:color="auto" w:fill="FFFFFF"/>
        </w:rPr>
        <w:t>Ubi</w:t>
      </w:r>
      <w:proofErr w:type="spellEnd"/>
      <w:r w:rsidRPr="00856577">
        <w:rPr>
          <w:rFonts w:ascii="Arial" w:hAnsi="Arial" w:cs="Arial"/>
          <w:i/>
          <w:iCs/>
          <w:color w:val="000000"/>
          <w:sz w:val="22"/>
          <w:shd w:val="clear" w:color="auto" w:fill="FFFFFF"/>
        </w:rPr>
        <w:t xml:space="preserve"> lex non </w:t>
      </w:r>
      <w:proofErr w:type="spellStart"/>
      <w:r w:rsidRPr="00856577">
        <w:rPr>
          <w:rFonts w:ascii="Arial" w:hAnsi="Arial" w:cs="Arial"/>
          <w:i/>
          <w:iCs/>
          <w:color w:val="000000"/>
          <w:sz w:val="22"/>
          <w:shd w:val="clear" w:color="auto" w:fill="FFFFFF"/>
        </w:rPr>
        <w:t>distinguit</w:t>
      </w:r>
      <w:proofErr w:type="spellEnd"/>
      <w:r w:rsidRPr="00856577">
        <w:rPr>
          <w:rFonts w:ascii="Arial" w:hAnsi="Arial" w:cs="Arial"/>
          <w:i/>
          <w:iCs/>
          <w:color w:val="000000"/>
          <w:sz w:val="22"/>
          <w:shd w:val="clear" w:color="auto" w:fill="FFFFFF"/>
        </w:rPr>
        <w:t xml:space="preserve">, </w:t>
      </w:r>
      <w:proofErr w:type="spellStart"/>
      <w:r w:rsidRPr="00856577">
        <w:rPr>
          <w:rFonts w:ascii="Arial" w:hAnsi="Arial" w:cs="Arial"/>
          <w:i/>
          <w:iCs/>
          <w:color w:val="000000"/>
          <w:sz w:val="22"/>
          <w:shd w:val="clear" w:color="auto" w:fill="FFFFFF"/>
        </w:rPr>
        <w:t>nec</w:t>
      </w:r>
      <w:proofErr w:type="spellEnd"/>
      <w:r w:rsidRPr="00856577">
        <w:rPr>
          <w:rFonts w:ascii="Arial" w:hAnsi="Arial" w:cs="Arial"/>
          <w:i/>
          <w:iCs/>
          <w:color w:val="000000"/>
          <w:sz w:val="22"/>
          <w:shd w:val="clear" w:color="auto" w:fill="FFFFFF"/>
        </w:rPr>
        <w:t xml:space="preserve"> nos </w:t>
      </w:r>
      <w:proofErr w:type="spellStart"/>
      <w:r w:rsidRPr="00856577">
        <w:rPr>
          <w:rFonts w:ascii="Arial" w:hAnsi="Arial" w:cs="Arial"/>
          <w:i/>
          <w:iCs/>
          <w:color w:val="000000"/>
          <w:sz w:val="22"/>
          <w:shd w:val="clear" w:color="auto" w:fill="FFFFFF"/>
        </w:rPr>
        <w:t>distinguere</w:t>
      </w:r>
      <w:proofErr w:type="spellEnd"/>
      <w:r w:rsidRPr="00856577">
        <w:rPr>
          <w:rFonts w:ascii="Arial" w:hAnsi="Arial" w:cs="Arial"/>
          <w:i/>
          <w:iCs/>
          <w:color w:val="000000"/>
          <w:sz w:val="22"/>
          <w:shd w:val="clear" w:color="auto" w:fill="FFFFFF"/>
        </w:rPr>
        <w:t xml:space="preserve"> </w:t>
      </w:r>
      <w:proofErr w:type="spellStart"/>
      <w:r w:rsidRPr="00856577">
        <w:rPr>
          <w:rFonts w:ascii="Arial" w:hAnsi="Arial" w:cs="Arial"/>
          <w:i/>
          <w:iCs/>
          <w:color w:val="000000"/>
          <w:sz w:val="22"/>
          <w:shd w:val="clear" w:color="auto" w:fill="FFFFFF"/>
        </w:rPr>
        <w:t>debemus</w:t>
      </w:r>
      <w:proofErr w:type="spellEnd"/>
      <w:r w:rsidRPr="00856577">
        <w:rPr>
          <w:rFonts w:ascii="Arial" w:hAnsi="Arial" w:cs="Arial"/>
          <w:color w:val="000000"/>
          <w:sz w:val="22"/>
          <w:shd w:val="clear" w:color="auto" w:fill="FFFFFF"/>
        </w:rPr>
        <w:t>»</w:t>
      </w:r>
      <w:r w:rsidRPr="00856577">
        <w:rPr>
          <w:rFonts w:ascii="Arial" w:hAnsi="Arial" w:cs="Arial"/>
          <w:sz w:val="22"/>
        </w:rPr>
        <w:t xml:space="preserve">. </w:t>
      </w:r>
      <w:r w:rsidRPr="00856577">
        <w:rPr>
          <w:rFonts w:ascii="Arial" w:eastAsia="Calibri" w:hAnsi="Arial" w:cs="Arial"/>
          <w:sz w:val="22"/>
          <w:lang w:val="es-ES_tradnl"/>
        </w:rPr>
        <w:t xml:space="preserve">En contraste, para obras diferentes a las previstas en la «Matriz 1 – Experiencia» no existe obligación de aplicar los documentos tipo mencionados, sin perjuicio de que puedan utilizarse como un parámetro de buena práctica contractual en el sistema de compras públicas según ha sido indicado en la Directiva Presidencial 01 del 3 de marzo de 2021 en la cual se </w:t>
      </w:r>
      <w:r w:rsidR="00C515D0" w:rsidRPr="00856577">
        <w:rPr>
          <w:rFonts w:ascii="Arial" w:eastAsia="Calibri" w:hAnsi="Arial" w:cs="Arial"/>
          <w:sz w:val="22"/>
          <w:lang w:val="es-ES_tradnl"/>
        </w:rPr>
        <w:t>exhorta</w:t>
      </w:r>
      <w:r w:rsidRPr="00856577">
        <w:rPr>
          <w:rFonts w:ascii="Arial" w:eastAsia="Calibri" w:hAnsi="Arial" w:cs="Arial"/>
          <w:sz w:val="22"/>
          <w:lang w:val="es-ES_tradnl"/>
        </w:rPr>
        <w:t xml:space="preserve"> </w:t>
      </w:r>
      <w:r w:rsidR="00C01D15" w:rsidRPr="00856577">
        <w:rPr>
          <w:rFonts w:ascii="Arial" w:eastAsia="Calibri" w:hAnsi="Arial" w:cs="Arial"/>
          <w:sz w:val="22"/>
          <w:lang w:val="es-ES_tradnl"/>
        </w:rPr>
        <w:t xml:space="preserve">a </w:t>
      </w:r>
      <w:r w:rsidRPr="00856577">
        <w:rPr>
          <w:rFonts w:ascii="Arial" w:eastAsia="Calibri" w:hAnsi="Arial" w:cs="Arial"/>
          <w:sz w:val="22"/>
          <w:lang w:val="es-ES_tradnl"/>
        </w:rPr>
        <w:t xml:space="preserve">la aplicación de los instrumentos elaborados por la Agencia Nacional de Contratación Pública – Colombia Compra Eficiente. </w:t>
      </w:r>
    </w:p>
    <w:p w14:paraId="26A05924" w14:textId="77777777" w:rsidR="00527672" w:rsidRPr="00856577" w:rsidRDefault="00527672" w:rsidP="00C01D15">
      <w:pPr>
        <w:spacing w:line="276" w:lineRule="auto"/>
        <w:jc w:val="both"/>
        <w:rPr>
          <w:rFonts w:ascii="Arial" w:hAnsi="Arial" w:cs="Arial"/>
          <w:sz w:val="22"/>
          <w:lang w:val="es-ES"/>
        </w:rPr>
      </w:pPr>
    </w:p>
    <w:p w14:paraId="7A489D82" w14:textId="77777777" w:rsidR="00A44717" w:rsidRDefault="00A44717" w:rsidP="00071D56">
      <w:pPr>
        <w:spacing w:before="120" w:after="120" w:line="276" w:lineRule="auto"/>
        <w:jc w:val="both"/>
        <w:rPr>
          <w:rFonts w:ascii="Arial" w:eastAsia="Calibri" w:hAnsi="Arial" w:cs="Arial"/>
          <w:color w:val="000000" w:themeColor="text1"/>
          <w:sz w:val="22"/>
        </w:rPr>
      </w:pPr>
      <w:r w:rsidRPr="00856577">
        <w:rPr>
          <w:rFonts w:ascii="Arial" w:eastAsia="Calibri" w:hAnsi="Arial" w:cs="Arial"/>
          <w:color w:val="000000" w:themeColor="text1"/>
          <w:sz w:val="22"/>
        </w:rPr>
        <w:t>Este concepto tiene el alcance previsto en el artículo 28 del Código de Procedimiento Administrativo y de lo Contencioso Administrativo.</w:t>
      </w:r>
    </w:p>
    <w:p w14:paraId="6424C936" w14:textId="77777777" w:rsidR="00AE5EFD" w:rsidRDefault="00AE5EFD" w:rsidP="00AE5EFD">
      <w:pPr>
        <w:jc w:val="both"/>
        <w:rPr>
          <w:rFonts w:ascii="Arial" w:eastAsia="Times New Roman" w:hAnsi="Arial" w:cs="Arial"/>
          <w:bCs/>
          <w:color w:val="000000" w:themeColor="text1"/>
          <w:lang w:eastAsia="es-ES_tradnl"/>
        </w:rPr>
      </w:pPr>
    </w:p>
    <w:p w14:paraId="1C8F6984" w14:textId="78FEAABD" w:rsidR="00BE1E33" w:rsidRPr="00A32FFB" w:rsidRDefault="00BE1E33" w:rsidP="00EF59C6">
      <w:pPr>
        <w:pStyle w:val="Textoindependiente"/>
        <w:spacing w:line="276" w:lineRule="auto"/>
        <w:ind w:right="107"/>
        <w:jc w:val="both"/>
        <w:rPr>
          <w:rFonts w:eastAsia="Times New Roman"/>
          <w:lang w:val="es-ES_tradnl" w:eastAsia="es-CO"/>
        </w:rPr>
      </w:pPr>
      <w:r w:rsidRPr="00A32FFB">
        <w:rPr>
          <w:rFonts w:eastAsia="Times New Roman"/>
          <w:lang w:val="es-ES_tradnl" w:eastAsia="es-CO"/>
        </w:rPr>
        <w:t>Atentamente,</w:t>
      </w:r>
      <w:bookmarkEnd w:id="0"/>
      <w:bookmarkEnd w:id="1"/>
    </w:p>
    <w:p w14:paraId="5598544B" w14:textId="2C9B9F40" w:rsidR="006D31E1" w:rsidRPr="00A32FFB" w:rsidRDefault="0001026E" w:rsidP="00A32FFB">
      <w:pPr>
        <w:spacing w:line="276" w:lineRule="auto"/>
        <w:jc w:val="center"/>
        <w:rPr>
          <w:rFonts w:ascii="Arial" w:eastAsia="Times New Roman" w:hAnsi="Arial" w:cs="Arial"/>
          <w:sz w:val="22"/>
          <w:lang w:val="es-ES_tradnl" w:eastAsia="es-CO"/>
        </w:rPr>
      </w:pPr>
      <w:r>
        <w:rPr>
          <w:noProof/>
        </w:rPr>
        <w:drawing>
          <wp:inline distT="0" distB="0" distL="0" distR="0" wp14:anchorId="693912AB" wp14:editId="4D8E21B5">
            <wp:extent cx="2514600" cy="1114425"/>
            <wp:effectExtent l="0" t="0" r="0" b="9525"/>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1114425"/>
                    </a:xfrm>
                    <a:prstGeom prst="rect">
                      <a:avLst/>
                    </a:prstGeom>
                    <a:noFill/>
                    <a:ln>
                      <a:noFill/>
                    </a:ln>
                  </pic:spPr>
                </pic:pic>
              </a:graphicData>
            </a:graphic>
          </wp:inline>
        </w:drawing>
      </w:r>
      <w:r w:rsidR="00346F88" w:rsidRPr="00A32FFB">
        <w:rPr>
          <w:rFonts w:ascii="Arial" w:hAnsi="Arial" w:cs="Arial"/>
          <w:sz w:val="22"/>
          <w:shd w:val="clear" w:color="auto" w:fill="FFFFFF"/>
          <w:lang w:val="es-ES_tradnl"/>
        </w:rPr>
        <w:br/>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
        <w:gridCol w:w="4574"/>
      </w:tblGrid>
      <w:tr w:rsidR="00ED1F11" w:rsidRPr="001308D2" w14:paraId="7E5CB93D" w14:textId="77777777" w:rsidTr="00085A5E">
        <w:trPr>
          <w:trHeight w:val="336"/>
        </w:trPr>
        <w:tc>
          <w:tcPr>
            <w:tcW w:w="957" w:type="dxa"/>
            <w:vAlign w:val="center"/>
            <w:hideMark/>
          </w:tcPr>
          <w:p w14:paraId="44CFA06E" w14:textId="77777777" w:rsidR="00BE1E33" w:rsidRPr="001308D2" w:rsidRDefault="00BE1E33" w:rsidP="001308D2">
            <w:pPr>
              <w:rPr>
                <w:rFonts w:ascii="Arial" w:eastAsia="Times New Roman" w:hAnsi="Arial" w:cs="Arial"/>
                <w:color w:val="000000" w:themeColor="text1"/>
                <w:sz w:val="16"/>
                <w:szCs w:val="16"/>
                <w:lang w:val="es-ES" w:eastAsia="es-ES"/>
              </w:rPr>
            </w:pPr>
            <w:r w:rsidRPr="001308D2">
              <w:rPr>
                <w:rFonts w:ascii="Arial" w:eastAsia="Times New Roman" w:hAnsi="Arial" w:cs="Arial"/>
                <w:color w:val="000000" w:themeColor="text1"/>
                <w:sz w:val="16"/>
                <w:szCs w:val="16"/>
                <w:lang w:val="es-ES" w:eastAsia="es-ES"/>
              </w:rPr>
              <w:t>Elaboró:</w:t>
            </w:r>
          </w:p>
        </w:tc>
        <w:tc>
          <w:tcPr>
            <w:tcW w:w="4574" w:type="dxa"/>
            <w:tcBorders>
              <w:top w:val="nil"/>
              <w:left w:val="nil"/>
              <w:bottom w:val="dotted" w:sz="4" w:space="0" w:color="7F7F7F" w:themeColor="text1" w:themeTint="80"/>
              <w:right w:val="nil"/>
            </w:tcBorders>
            <w:vAlign w:val="center"/>
            <w:hideMark/>
          </w:tcPr>
          <w:p w14:paraId="56D7561C" w14:textId="1366AA1E" w:rsidR="00BE1E33" w:rsidRPr="001308D2" w:rsidRDefault="00AD2BDD" w:rsidP="001308D2">
            <w:pPr>
              <w:rPr>
                <w:rFonts w:ascii="Arial" w:eastAsia="Times New Roman" w:hAnsi="Arial" w:cs="Arial"/>
                <w:color w:val="000000" w:themeColor="text1"/>
                <w:sz w:val="16"/>
                <w:szCs w:val="16"/>
                <w:lang w:val="es-ES" w:eastAsia="es-ES"/>
              </w:rPr>
            </w:pPr>
            <w:r>
              <w:rPr>
                <w:rFonts w:ascii="Arial" w:eastAsia="Times New Roman" w:hAnsi="Arial" w:cs="Arial"/>
                <w:color w:val="000000" w:themeColor="text1"/>
                <w:sz w:val="16"/>
                <w:szCs w:val="16"/>
                <w:lang w:val="es-ES" w:eastAsia="es-ES"/>
              </w:rPr>
              <w:t>Laura Alejandra Materón García</w:t>
            </w:r>
          </w:p>
          <w:p w14:paraId="6C4A6DA1" w14:textId="61D603A9" w:rsidR="00982E99" w:rsidRPr="001308D2" w:rsidRDefault="00AD2BDD" w:rsidP="001308D2">
            <w:pPr>
              <w:rPr>
                <w:rFonts w:ascii="Arial" w:eastAsia="Times New Roman" w:hAnsi="Arial" w:cs="Arial"/>
                <w:color w:val="000000" w:themeColor="text1"/>
                <w:sz w:val="16"/>
                <w:szCs w:val="16"/>
                <w:lang w:val="es-ES" w:eastAsia="es-ES"/>
              </w:rPr>
            </w:pPr>
            <w:r>
              <w:rPr>
                <w:rFonts w:ascii="Arial" w:eastAsia="Times New Roman" w:hAnsi="Arial" w:cs="Arial"/>
                <w:color w:val="000000" w:themeColor="text1"/>
                <w:sz w:val="16"/>
                <w:szCs w:val="16"/>
                <w:lang w:val="es-ES" w:eastAsia="es-ES"/>
              </w:rPr>
              <w:t>Analista T2</w:t>
            </w:r>
            <w:r w:rsidR="00085A5E">
              <w:rPr>
                <w:rFonts w:ascii="Arial" w:eastAsia="Times New Roman" w:hAnsi="Arial" w:cs="Arial"/>
                <w:color w:val="000000" w:themeColor="text1"/>
                <w:sz w:val="16"/>
                <w:szCs w:val="16"/>
                <w:lang w:val="es-ES" w:eastAsia="es-ES"/>
              </w:rPr>
              <w:t xml:space="preserve"> </w:t>
            </w:r>
            <w:r w:rsidR="00085A5E">
              <w:rPr>
                <w:rFonts w:ascii="Arial" w:hAnsi="Arial" w:cs="Arial"/>
                <w:sz w:val="16"/>
                <w:szCs w:val="16"/>
                <w:lang w:eastAsia="es-ES"/>
              </w:rPr>
              <w:t xml:space="preserve">– </w:t>
            </w:r>
            <w:r>
              <w:rPr>
                <w:rFonts w:ascii="Arial" w:eastAsia="Times New Roman" w:hAnsi="Arial" w:cs="Arial"/>
                <w:color w:val="000000" w:themeColor="text1"/>
                <w:sz w:val="16"/>
                <w:szCs w:val="16"/>
                <w:lang w:val="es-ES" w:eastAsia="es-ES"/>
              </w:rPr>
              <w:t>01</w:t>
            </w:r>
            <w:r w:rsidR="00982E99" w:rsidRPr="001308D2">
              <w:rPr>
                <w:rFonts w:ascii="Arial" w:eastAsia="Times New Roman" w:hAnsi="Arial" w:cs="Arial"/>
                <w:color w:val="000000" w:themeColor="text1"/>
                <w:sz w:val="16"/>
                <w:szCs w:val="16"/>
                <w:lang w:val="es-ES" w:eastAsia="es-ES"/>
              </w:rPr>
              <w:t xml:space="preserve"> de la Subdirección de Gestión Contractual</w:t>
            </w:r>
          </w:p>
        </w:tc>
      </w:tr>
      <w:tr w:rsidR="00ED1F11" w:rsidRPr="001308D2" w14:paraId="092BCD16" w14:textId="77777777" w:rsidTr="00085A5E">
        <w:trPr>
          <w:trHeight w:val="352"/>
        </w:trPr>
        <w:tc>
          <w:tcPr>
            <w:tcW w:w="957" w:type="dxa"/>
            <w:vAlign w:val="center"/>
            <w:hideMark/>
          </w:tcPr>
          <w:p w14:paraId="463B4DD3" w14:textId="77777777" w:rsidR="00BE1E33" w:rsidRPr="001308D2" w:rsidRDefault="00BE1E33" w:rsidP="001308D2">
            <w:pPr>
              <w:rPr>
                <w:rFonts w:ascii="Arial" w:eastAsia="Times New Roman" w:hAnsi="Arial" w:cs="Arial"/>
                <w:color w:val="000000" w:themeColor="text1"/>
                <w:sz w:val="16"/>
                <w:szCs w:val="16"/>
                <w:lang w:val="es-ES" w:eastAsia="es-ES"/>
              </w:rPr>
            </w:pPr>
            <w:r w:rsidRPr="001308D2">
              <w:rPr>
                <w:rFonts w:ascii="Arial" w:eastAsia="Times New Roman" w:hAnsi="Arial" w:cs="Arial"/>
                <w:color w:val="000000" w:themeColor="text1"/>
                <w:sz w:val="16"/>
                <w:szCs w:val="16"/>
                <w:lang w:val="es-ES" w:eastAsia="es-ES"/>
              </w:rPr>
              <w:t>Revisó:</w:t>
            </w:r>
          </w:p>
        </w:tc>
        <w:tc>
          <w:tcPr>
            <w:tcW w:w="4574" w:type="dxa"/>
            <w:tcBorders>
              <w:top w:val="dotted" w:sz="4" w:space="0" w:color="7F7F7F" w:themeColor="text1" w:themeTint="80"/>
              <w:left w:val="nil"/>
              <w:bottom w:val="dotted" w:sz="4" w:space="0" w:color="7F7F7F" w:themeColor="text1" w:themeTint="80"/>
              <w:right w:val="nil"/>
            </w:tcBorders>
            <w:vAlign w:val="center"/>
            <w:hideMark/>
          </w:tcPr>
          <w:p w14:paraId="28F7ADA3" w14:textId="33BA4328" w:rsidR="000E669B" w:rsidRPr="005E0387" w:rsidRDefault="000E669B" w:rsidP="000E669B">
            <w:pPr>
              <w:rPr>
                <w:rFonts w:ascii="Arial" w:hAnsi="Arial" w:cs="Arial"/>
                <w:sz w:val="16"/>
                <w:szCs w:val="16"/>
                <w:lang w:eastAsia="es-ES"/>
              </w:rPr>
            </w:pPr>
            <w:r>
              <w:rPr>
                <w:rFonts w:ascii="Arial" w:hAnsi="Arial" w:cs="Arial"/>
                <w:sz w:val="16"/>
                <w:szCs w:val="16"/>
                <w:lang w:eastAsia="es-ES"/>
              </w:rPr>
              <w:t xml:space="preserve">Juan David Montoya </w:t>
            </w:r>
            <w:r w:rsidR="00A86875">
              <w:rPr>
                <w:rFonts w:ascii="Arial" w:hAnsi="Arial" w:cs="Arial"/>
                <w:sz w:val="16"/>
                <w:szCs w:val="16"/>
                <w:lang w:eastAsia="es-ES"/>
              </w:rPr>
              <w:t>Penagos</w:t>
            </w:r>
          </w:p>
          <w:p w14:paraId="72718C99" w14:textId="01C2C842" w:rsidR="00BE1E33" w:rsidRPr="000E669B" w:rsidRDefault="000E669B" w:rsidP="001308D2">
            <w:pPr>
              <w:rPr>
                <w:rFonts w:ascii="Arial" w:hAnsi="Arial" w:cs="Arial"/>
                <w:sz w:val="16"/>
                <w:szCs w:val="16"/>
                <w:lang w:eastAsia="es-ES"/>
              </w:rPr>
            </w:pPr>
            <w:r>
              <w:rPr>
                <w:rFonts w:ascii="Arial" w:hAnsi="Arial" w:cs="Arial"/>
                <w:sz w:val="16"/>
                <w:szCs w:val="16"/>
                <w:lang w:eastAsia="es-ES"/>
              </w:rPr>
              <w:t xml:space="preserve">Gestor T1 – 15 </w:t>
            </w:r>
            <w:r w:rsidRPr="005E0387">
              <w:rPr>
                <w:rFonts w:ascii="Arial" w:hAnsi="Arial" w:cs="Arial"/>
                <w:sz w:val="16"/>
                <w:szCs w:val="16"/>
                <w:lang w:eastAsia="es-ES"/>
              </w:rPr>
              <w:t>de la Subdirección de Gestión Contractual</w:t>
            </w:r>
          </w:p>
        </w:tc>
      </w:tr>
      <w:tr w:rsidR="00982E99" w:rsidRPr="001308D2" w14:paraId="57DAFEF9" w14:textId="77777777" w:rsidTr="00085A5E">
        <w:trPr>
          <w:trHeight w:val="320"/>
        </w:trPr>
        <w:tc>
          <w:tcPr>
            <w:tcW w:w="957" w:type="dxa"/>
            <w:vAlign w:val="center"/>
            <w:hideMark/>
          </w:tcPr>
          <w:p w14:paraId="70677013" w14:textId="77777777" w:rsidR="00BE1E33" w:rsidRPr="001308D2" w:rsidRDefault="00BE1E33" w:rsidP="001308D2">
            <w:pPr>
              <w:rPr>
                <w:rFonts w:ascii="Arial" w:eastAsia="Times New Roman" w:hAnsi="Arial" w:cs="Arial"/>
                <w:color w:val="000000" w:themeColor="text1"/>
                <w:sz w:val="16"/>
                <w:szCs w:val="16"/>
                <w:lang w:val="es-ES" w:eastAsia="es-ES"/>
              </w:rPr>
            </w:pPr>
            <w:r w:rsidRPr="001308D2">
              <w:rPr>
                <w:rFonts w:ascii="Arial" w:eastAsia="Times New Roman" w:hAnsi="Arial" w:cs="Arial"/>
                <w:color w:val="000000" w:themeColor="text1"/>
                <w:sz w:val="16"/>
                <w:szCs w:val="16"/>
                <w:lang w:val="es-ES" w:eastAsia="es-ES"/>
              </w:rPr>
              <w:t>Aprobó:</w:t>
            </w:r>
          </w:p>
        </w:tc>
        <w:tc>
          <w:tcPr>
            <w:tcW w:w="4574" w:type="dxa"/>
            <w:tcBorders>
              <w:top w:val="dotted" w:sz="4" w:space="0" w:color="7F7F7F" w:themeColor="text1" w:themeTint="80"/>
              <w:left w:val="nil"/>
              <w:bottom w:val="dotted" w:sz="4" w:space="0" w:color="7F7F7F" w:themeColor="text1" w:themeTint="80"/>
              <w:right w:val="nil"/>
            </w:tcBorders>
            <w:vAlign w:val="center"/>
            <w:hideMark/>
          </w:tcPr>
          <w:p w14:paraId="4B4373C0" w14:textId="10E2AF5F" w:rsidR="00BE1E33" w:rsidRPr="001308D2" w:rsidRDefault="00346F88" w:rsidP="001308D2">
            <w:pPr>
              <w:rPr>
                <w:rFonts w:ascii="Arial" w:eastAsia="Times New Roman" w:hAnsi="Arial" w:cs="Arial"/>
                <w:color w:val="000000" w:themeColor="text1"/>
                <w:sz w:val="16"/>
                <w:szCs w:val="16"/>
                <w:lang w:val="es-ES" w:eastAsia="es-ES"/>
              </w:rPr>
            </w:pPr>
            <w:r w:rsidRPr="001308D2">
              <w:rPr>
                <w:rFonts w:ascii="Arial" w:eastAsia="Times New Roman" w:hAnsi="Arial" w:cs="Arial"/>
                <w:color w:val="000000" w:themeColor="text1"/>
                <w:sz w:val="16"/>
                <w:szCs w:val="16"/>
                <w:lang w:val="es-ES" w:eastAsia="es-ES"/>
              </w:rPr>
              <w:t>Jorge Augusto Tirado Navarro</w:t>
            </w:r>
          </w:p>
          <w:p w14:paraId="75BC677C" w14:textId="76A38807" w:rsidR="00BE1E33" w:rsidRPr="001308D2" w:rsidRDefault="00346F88" w:rsidP="001308D2">
            <w:pPr>
              <w:rPr>
                <w:rFonts w:ascii="Arial" w:eastAsia="Times New Roman" w:hAnsi="Arial" w:cs="Arial"/>
                <w:color w:val="000000" w:themeColor="text1"/>
                <w:sz w:val="16"/>
                <w:szCs w:val="16"/>
                <w:lang w:val="es-ES" w:eastAsia="es-ES"/>
              </w:rPr>
            </w:pPr>
            <w:r w:rsidRPr="001308D2">
              <w:rPr>
                <w:rFonts w:ascii="Arial" w:eastAsia="Times New Roman" w:hAnsi="Arial" w:cs="Arial"/>
                <w:color w:val="000000" w:themeColor="text1"/>
                <w:sz w:val="16"/>
                <w:szCs w:val="16"/>
                <w:lang w:val="es-ES" w:eastAsia="es-ES"/>
              </w:rPr>
              <w:t>Subdirector de Gestión Contractual</w:t>
            </w:r>
          </w:p>
        </w:tc>
      </w:tr>
      <w:bookmarkEnd w:id="2"/>
    </w:tbl>
    <w:p w14:paraId="0AD7000B" w14:textId="77777777" w:rsidR="005E440E" w:rsidRPr="005E440E" w:rsidRDefault="005E440E" w:rsidP="00482262">
      <w:pPr>
        <w:spacing w:line="276" w:lineRule="auto"/>
        <w:rPr>
          <w:rFonts w:ascii="Arial" w:hAnsi="Arial" w:cs="Arial"/>
          <w:sz w:val="22"/>
        </w:rPr>
      </w:pPr>
    </w:p>
    <w:sectPr w:rsidR="005E440E" w:rsidRPr="005E440E" w:rsidSect="0043588C">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7E866" w14:textId="77777777" w:rsidR="004A464B" w:rsidRDefault="004A464B" w:rsidP="008C487C">
      <w:r>
        <w:separator/>
      </w:r>
    </w:p>
  </w:endnote>
  <w:endnote w:type="continuationSeparator" w:id="0">
    <w:p w14:paraId="374ABFC4" w14:textId="77777777" w:rsidR="004A464B" w:rsidRDefault="004A464B" w:rsidP="008C4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7B59A" w14:textId="3A65DB1A" w:rsidR="004330CB" w:rsidRDefault="004330CB" w:rsidP="0043588C">
    <w:pPr>
      <w:pStyle w:val="Sinespaciado"/>
      <w:jc w:val="right"/>
      <w:rPr>
        <w:rFonts w:ascii="Arial" w:hAnsi="Arial" w:cs="Arial"/>
        <w:sz w:val="18"/>
        <w:szCs w:val="18"/>
      </w:rPr>
    </w:pPr>
  </w:p>
  <w:p w14:paraId="709352A1" w14:textId="77777777" w:rsidR="004330CB" w:rsidRDefault="004330CB" w:rsidP="0043588C">
    <w:pPr>
      <w:pStyle w:val="Sinespaciado"/>
      <w:jc w:val="right"/>
      <w:rPr>
        <w:rFonts w:ascii="Arial" w:hAnsi="Arial" w:cs="Arial"/>
        <w:sz w:val="18"/>
        <w:szCs w:val="18"/>
      </w:rPr>
    </w:pPr>
  </w:p>
  <w:p w14:paraId="3D3EB348" w14:textId="77C8F247" w:rsidR="004330CB" w:rsidRPr="008217B7" w:rsidRDefault="004330CB" w:rsidP="0043588C">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233840">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233840">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29709EEF" w14:textId="77777777" w:rsidR="004330CB" w:rsidRDefault="004330CB" w:rsidP="0043588C">
    <w:pPr>
      <w:pStyle w:val="Piedepgina"/>
      <w:jc w:val="center"/>
      <w:rPr>
        <w:lang w:val="es-ES"/>
      </w:rPr>
    </w:pPr>
    <w:r>
      <w:rPr>
        <w:noProof/>
        <w:lang w:val="en-US"/>
      </w:rPr>
      <w:drawing>
        <wp:inline distT="0" distB="0" distL="0" distR="0" wp14:anchorId="0323F87D" wp14:editId="160091C1">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08DFF21" w14:textId="77777777" w:rsidR="004330CB" w:rsidRPr="00E756AC" w:rsidRDefault="004330CB" w:rsidP="0043588C">
    <w:pPr>
      <w:pStyle w:val="Piedepgina"/>
      <w:jc w:val="center"/>
      <w:rPr>
        <w:sz w:val="18"/>
        <w:szCs w:val="18"/>
        <w:lang w:val="es-ES"/>
      </w:rPr>
    </w:pPr>
  </w:p>
  <w:p w14:paraId="428179B1" w14:textId="77777777" w:rsidR="004330CB" w:rsidRPr="00E756AC" w:rsidRDefault="004330CB" w:rsidP="0043588C">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F681D" w14:textId="77777777" w:rsidR="004A464B" w:rsidRDefault="004A464B" w:rsidP="008C487C">
      <w:r>
        <w:separator/>
      </w:r>
    </w:p>
  </w:footnote>
  <w:footnote w:type="continuationSeparator" w:id="0">
    <w:p w14:paraId="385580DB" w14:textId="77777777" w:rsidR="004A464B" w:rsidRDefault="004A464B" w:rsidP="008C487C">
      <w:r>
        <w:continuationSeparator/>
      </w:r>
    </w:p>
  </w:footnote>
  <w:footnote w:id="1">
    <w:p w14:paraId="32E5F5D1" w14:textId="3A9AF2CD" w:rsidR="00B64553" w:rsidRPr="00071D56" w:rsidRDefault="00B64553" w:rsidP="00B64553">
      <w:pPr>
        <w:pStyle w:val="Textonotapie"/>
        <w:ind w:firstLine="709"/>
        <w:jc w:val="both"/>
        <w:rPr>
          <w:rFonts w:ascii="Arial" w:eastAsia="Times New Roman" w:hAnsi="Arial" w:cs="Arial"/>
          <w:color w:val="000000"/>
          <w:sz w:val="19"/>
          <w:szCs w:val="19"/>
          <w:bdr w:val="none" w:sz="0" w:space="0" w:color="auto" w:frame="1"/>
          <w:lang w:eastAsia="es-CO"/>
        </w:rPr>
      </w:pPr>
      <w:r w:rsidRPr="00071D56">
        <w:rPr>
          <w:rStyle w:val="Refdenotaalpie"/>
          <w:rFonts w:ascii="Arial" w:hAnsi="Arial" w:cs="Arial"/>
          <w:sz w:val="19"/>
          <w:szCs w:val="19"/>
        </w:rPr>
        <w:footnoteRef/>
      </w:r>
      <w:r w:rsidRPr="00071D56">
        <w:rPr>
          <w:rFonts w:ascii="Arial" w:hAnsi="Arial" w:cs="Arial"/>
          <w:sz w:val="19"/>
          <w:szCs w:val="19"/>
        </w:rPr>
        <w:t xml:space="preserve"> </w:t>
      </w:r>
      <w:r w:rsidRPr="00071D56">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3B143442" w14:textId="77777777" w:rsidR="00B64553" w:rsidRPr="00071D56" w:rsidRDefault="00B64553" w:rsidP="00B64553">
      <w:pPr>
        <w:pStyle w:val="Textonotapie"/>
        <w:ind w:firstLine="709"/>
        <w:rPr>
          <w:rFonts w:ascii="Arial" w:hAnsi="Arial" w:cs="Arial"/>
          <w:sz w:val="19"/>
          <w:szCs w:val="19"/>
        </w:rPr>
      </w:pPr>
    </w:p>
  </w:footnote>
  <w:footnote w:id="2">
    <w:p w14:paraId="11259FF2" w14:textId="77777777" w:rsidR="00B64553" w:rsidRPr="00071D56" w:rsidRDefault="00B64553" w:rsidP="00B64553">
      <w:pPr>
        <w:pStyle w:val="Textonotapie"/>
        <w:ind w:firstLine="709"/>
        <w:rPr>
          <w:rFonts w:ascii="Arial" w:eastAsia="Times New Roman" w:hAnsi="Arial" w:cs="Arial"/>
          <w:color w:val="000000"/>
          <w:sz w:val="19"/>
          <w:szCs w:val="19"/>
          <w:bdr w:val="none" w:sz="0" w:space="0" w:color="auto" w:frame="1"/>
          <w:lang w:eastAsia="es-CO"/>
        </w:rPr>
      </w:pPr>
      <w:r w:rsidRPr="00071D56">
        <w:rPr>
          <w:rStyle w:val="Refdenotaalpie"/>
          <w:rFonts w:ascii="Arial" w:hAnsi="Arial" w:cs="Arial"/>
          <w:sz w:val="19"/>
          <w:szCs w:val="19"/>
        </w:rPr>
        <w:footnoteRef/>
      </w:r>
      <w:r w:rsidRPr="00071D56">
        <w:rPr>
          <w:rFonts w:ascii="Arial" w:hAnsi="Arial" w:cs="Arial"/>
          <w:sz w:val="19"/>
          <w:szCs w:val="19"/>
        </w:rPr>
        <w:t xml:space="preserve"> </w:t>
      </w:r>
      <w:r w:rsidRPr="00071D56">
        <w:rPr>
          <w:rFonts w:ascii="Arial" w:eastAsia="Times New Roman" w:hAnsi="Arial" w:cs="Arial"/>
          <w:color w:val="000000"/>
          <w:sz w:val="19"/>
          <w:szCs w:val="19"/>
          <w:bdr w:val="none" w:sz="0" w:space="0" w:color="auto" w:frame="1"/>
          <w:lang w:eastAsia="es-CO"/>
        </w:rPr>
        <w:t>Diario Oficial. Gaceta del Congreso 458 de 2005.  </w:t>
      </w:r>
    </w:p>
    <w:p w14:paraId="6B75C3D4" w14:textId="77777777" w:rsidR="00B64553" w:rsidRPr="00071D56" w:rsidRDefault="00B64553" w:rsidP="00B64553">
      <w:pPr>
        <w:pStyle w:val="Textonotapie"/>
        <w:ind w:firstLine="709"/>
        <w:rPr>
          <w:rFonts w:ascii="Arial" w:hAnsi="Arial" w:cs="Arial"/>
          <w:sz w:val="19"/>
          <w:szCs w:val="19"/>
        </w:rPr>
      </w:pPr>
    </w:p>
  </w:footnote>
  <w:footnote w:id="3">
    <w:p w14:paraId="1FE68FB5" w14:textId="77777777" w:rsidR="00B64553" w:rsidRPr="00071D56" w:rsidRDefault="00B64553" w:rsidP="00B64553">
      <w:pPr>
        <w:pStyle w:val="Textonotapie"/>
        <w:ind w:firstLine="709"/>
        <w:rPr>
          <w:rFonts w:ascii="Arial" w:hAnsi="Arial" w:cs="Arial"/>
          <w:sz w:val="19"/>
          <w:szCs w:val="19"/>
        </w:rPr>
      </w:pPr>
      <w:r w:rsidRPr="00071D56">
        <w:rPr>
          <w:rStyle w:val="Refdenotaalpie"/>
          <w:rFonts w:ascii="Arial" w:hAnsi="Arial" w:cs="Arial"/>
          <w:sz w:val="19"/>
          <w:szCs w:val="19"/>
        </w:rPr>
        <w:footnoteRef/>
      </w:r>
      <w:r w:rsidRPr="00071D56">
        <w:rPr>
          <w:rFonts w:ascii="Arial" w:hAnsi="Arial" w:cs="Arial"/>
          <w:sz w:val="19"/>
          <w:szCs w:val="19"/>
        </w:rPr>
        <w:t xml:space="preserve"> </w:t>
      </w:r>
      <w:r w:rsidRPr="00071D56">
        <w:rPr>
          <w:rFonts w:ascii="Arial" w:hAnsi="Arial" w:cs="Arial"/>
          <w:sz w:val="19"/>
          <w:szCs w:val="19"/>
        </w:rPr>
        <w:t xml:space="preserve">Ibídem.  </w:t>
      </w:r>
    </w:p>
    <w:p w14:paraId="6B23D79C" w14:textId="77777777" w:rsidR="00B64553" w:rsidRPr="00071D56" w:rsidRDefault="00B64553" w:rsidP="00B64553">
      <w:pPr>
        <w:pStyle w:val="Textonotapie"/>
        <w:ind w:firstLine="709"/>
        <w:rPr>
          <w:rFonts w:ascii="Arial" w:hAnsi="Arial" w:cs="Arial"/>
          <w:sz w:val="19"/>
          <w:szCs w:val="19"/>
        </w:rPr>
      </w:pPr>
    </w:p>
  </w:footnote>
  <w:footnote w:id="4">
    <w:p w14:paraId="5913791A" w14:textId="77777777" w:rsidR="00B64553" w:rsidRPr="00071D56" w:rsidRDefault="00B64553" w:rsidP="00B64553">
      <w:pPr>
        <w:shd w:val="clear" w:color="auto" w:fill="FFFFFF"/>
        <w:ind w:firstLine="709"/>
        <w:jc w:val="both"/>
        <w:textAlignment w:val="baseline"/>
        <w:rPr>
          <w:rFonts w:ascii="Arial" w:hAnsi="Arial" w:cs="Arial"/>
          <w:color w:val="000000"/>
          <w:sz w:val="19"/>
          <w:szCs w:val="19"/>
          <w:bdr w:val="none" w:sz="0" w:space="0" w:color="auto" w:frame="1"/>
          <w:lang w:eastAsia="es-CO"/>
        </w:rPr>
      </w:pPr>
      <w:r w:rsidRPr="00071D56">
        <w:rPr>
          <w:rStyle w:val="Refdenotaalpie"/>
          <w:rFonts w:ascii="Arial" w:hAnsi="Arial" w:cs="Arial"/>
          <w:sz w:val="19"/>
          <w:szCs w:val="19"/>
        </w:rPr>
        <w:footnoteRef/>
      </w:r>
      <w:r w:rsidRPr="00071D56">
        <w:rPr>
          <w:rFonts w:ascii="Arial" w:hAnsi="Arial" w:cs="Arial"/>
          <w:sz w:val="19"/>
          <w:szCs w:val="19"/>
        </w:rPr>
        <w:t xml:space="preserve"> </w:t>
      </w:r>
      <w:r w:rsidRPr="00071D56">
        <w:rPr>
          <w:rFonts w:ascii="Arial" w:hAnsi="Arial" w:cs="Arial"/>
          <w:color w:val="000000"/>
          <w:sz w:val="19"/>
          <w:szCs w:val="19"/>
          <w:bdr w:val="none" w:sz="0" w:space="0" w:color="auto" w:frame="1"/>
          <w:lang w:eastAsia="es-CO"/>
        </w:rPr>
        <w:t>Diario Oficial. Gaceta del Congreso 416 de 2007, Informe de Conciliación Senado. </w:t>
      </w:r>
    </w:p>
    <w:p w14:paraId="5B19B6FB" w14:textId="77777777" w:rsidR="00B64553" w:rsidRPr="00071D56" w:rsidRDefault="00B64553" w:rsidP="00B64553">
      <w:pPr>
        <w:shd w:val="clear" w:color="auto" w:fill="FFFFFF"/>
        <w:ind w:firstLine="709"/>
        <w:jc w:val="both"/>
        <w:textAlignment w:val="baseline"/>
        <w:rPr>
          <w:rFonts w:ascii="Arial" w:hAnsi="Arial" w:cs="Arial"/>
          <w:color w:val="000000"/>
          <w:sz w:val="19"/>
          <w:szCs w:val="19"/>
          <w:lang w:eastAsia="es-CO"/>
        </w:rPr>
      </w:pPr>
    </w:p>
  </w:footnote>
  <w:footnote w:id="5">
    <w:p w14:paraId="5BE28273" w14:textId="46CAEE09" w:rsidR="004D4385" w:rsidRPr="00071D56" w:rsidRDefault="004D4385" w:rsidP="004D4385">
      <w:pPr>
        <w:pStyle w:val="Textonotapie"/>
        <w:ind w:firstLine="708"/>
        <w:jc w:val="both"/>
        <w:rPr>
          <w:rFonts w:ascii="Arial" w:hAnsi="Arial" w:cs="Arial"/>
          <w:sz w:val="19"/>
          <w:szCs w:val="19"/>
        </w:rPr>
      </w:pPr>
      <w:r w:rsidRPr="00071D56">
        <w:rPr>
          <w:rStyle w:val="Refdenotaalpie"/>
          <w:rFonts w:ascii="Arial" w:hAnsi="Arial" w:cs="Arial"/>
          <w:sz w:val="19"/>
          <w:szCs w:val="19"/>
        </w:rPr>
        <w:footnoteRef/>
      </w:r>
      <w:r w:rsidRPr="00071D56">
        <w:rPr>
          <w:rFonts w:ascii="Arial" w:hAnsi="Arial" w:cs="Arial"/>
          <w:sz w:val="19"/>
          <w:szCs w:val="19"/>
        </w:rPr>
        <w:t xml:space="preserve"> El artículo 1 de la Ley 2022 de 2020 modifica el artículo 4 de la Ley 1882 de 2018, el cual adicion</w:t>
      </w:r>
      <w:r w:rsidR="004F4787">
        <w:rPr>
          <w:rFonts w:ascii="Arial" w:hAnsi="Arial" w:cs="Arial"/>
          <w:sz w:val="19"/>
          <w:szCs w:val="19"/>
        </w:rPr>
        <w:t>ó</w:t>
      </w:r>
      <w:r w:rsidRPr="00071D56">
        <w:rPr>
          <w:rFonts w:ascii="Arial" w:hAnsi="Arial" w:cs="Arial"/>
          <w:sz w:val="19"/>
          <w:szCs w:val="19"/>
        </w:rPr>
        <w:t xml:space="preserve">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BB354B7" w14:textId="77777777" w:rsidR="004D4385" w:rsidRPr="00071D56" w:rsidRDefault="004D4385" w:rsidP="004D4385">
      <w:pPr>
        <w:pStyle w:val="Textonotapie"/>
        <w:ind w:firstLine="708"/>
        <w:jc w:val="both"/>
        <w:rPr>
          <w:rFonts w:ascii="Arial" w:hAnsi="Arial" w:cs="Arial"/>
          <w:sz w:val="19"/>
          <w:szCs w:val="19"/>
        </w:rPr>
      </w:pPr>
      <w:r w:rsidRPr="00071D56">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9C5A947" w14:textId="77777777" w:rsidR="004D4385" w:rsidRPr="00071D56" w:rsidRDefault="004D4385" w:rsidP="004D4385">
      <w:pPr>
        <w:pStyle w:val="Textonotapie"/>
        <w:ind w:firstLine="708"/>
        <w:jc w:val="both"/>
        <w:rPr>
          <w:rFonts w:ascii="Arial" w:hAnsi="Arial" w:cs="Arial"/>
          <w:sz w:val="19"/>
          <w:szCs w:val="19"/>
        </w:rPr>
      </w:pPr>
      <w:r w:rsidRPr="00071D56">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EFBD67E" w14:textId="77777777" w:rsidR="004D4385" w:rsidRPr="00071D56" w:rsidRDefault="004D4385" w:rsidP="004D4385">
      <w:pPr>
        <w:pStyle w:val="Textonotapie"/>
        <w:ind w:firstLine="708"/>
        <w:jc w:val="both"/>
        <w:rPr>
          <w:rFonts w:ascii="Arial" w:hAnsi="Arial" w:cs="Arial"/>
          <w:sz w:val="19"/>
          <w:szCs w:val="19"/>
        </w:rPr>
      </w:pPr>
      <w:r w:rsidRPr="00071D56">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E608779" w14:textId="77777777" w:rsidR="004D4385" w:rsidRPr="00071D56" w:rsidRDefault="004D4385" w:rsidP="004D4385">
      <w:pPr>
        <w:pStyle w:val="Textonotapie"/>
        <w:ind w:firstLine="708"/>
        <w:jc w:val="both"/>
        <w:rPr>
          <w:rFonts w:ascii="Arial" w:hAnsi="Arial" w:cs="Arial"/>
          <w:sz w:val="19"/>
          <w:szCs w:val="19"/>
          <w:lang w:val="es-ES"/>
        </w:rPr>
      </w:pPr>
      <w:r w:rsidRPr="00071D56">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0BDDF413" w14:textId="77777777" w:rsidR="0022538D" w:rsidRPr="00071D56" w:rsidRDefault="0022538D" w:rsidP="00071D56">
      <w:pPr>
        <w:pStyle w:val="Textonotapie"/>
        <w:ind w:firstLine="708"/>
        <w:rPr>
          <w:rFonts w:ascii="Arial" w:hAnsi="Arial" w:cs="Arial"/>
          <w:sz w:val="19"/>
          <w:szCs w:val="19"/>
          <w:lang w:val="es-ES"/>
        </w:rPr>
      </w:pPr>
      <w:r w:rsidRPr="00071D56">
        <w:rPr>
          <w:rStyle w:val="Refdenotaalpie"/>
          <w:rFonts w:ascii="Arial" w:hAnsi="Arial" w:cs="Arial"/>
          <w:sz w:val="19"/>
          <w:szCs w:val="19"/>
        </w:rPr>
        <w:footnoteRef/>
      </w:r>
      <w:r w:rsidRPr="00071D56">
        <w:rPr>
          <w:rFonts w:ascii="Arial" w:hAnsi="Arial" w:cs="Arial"/>
          <w:sz w:val="19"/>
          <w:szCs w:val="19"/>
        </w:rPr>
        <w:t xml:space="preserve"> Código: CCE-EICP-GI-14. Versión 1</w:t>
      </w:r>
    </w:p>
  </w:footnote>
  <w:footnote w:id="7">
    <w:p w14:paraId="61BE02FC" w14:textId="5573AB13" w:rsidR="007C1823" w:rsidRPr="003E72E7" w:rsidRDefault="001D456D" w:rsidP="00456852">
      <w:pPr>
        <w:pStyle w:val="Textonotapie"/>
        <w:ind w:firstLine="709"/>
        <w:jc w:val="both"/>
        <w:rPr>
          <w:rFonts w:ascii="Arial" w:hAnsi="Arial" w:cs="Arial"/>
          <w:sz w:val="19"/>
          <w:szCs w:val="19"/>
        </w:rPr>
      </w:pPr>
      <w:r w:rsidRPr="003E72E7">
        <w:rPr>
          <w:rStyle w:val="Refdenotaalpie"/>
          <w:rFonts w:ascii="Arial" w:hAnsi="Arial" w:cs="Arial"/>
          <w:sz w:val="19"/>
          <w:szCs w:val="19"/>
        </w:rPr>
        <w:footnoteRef/>
      </w:r>
      <w:r w:rsidRPr="003E72E7">
        <w:rPr>
          <w:rFonts w:ascii="Arial" w:hAnsi="Arial" w:cs="Arial"/>
          <w:sz w:val="19"/>
          <w:szCs w:val="19"/>
        </w:rPr>
        <w:t xml:space="preserve"> </w:t>
      </w:r>
      <w:r w:rsidR="003E72E7">
        <w:rPr>
          <w:rFonts w:ascii="Arial" w:hAnsi="Arial" w:cs="Arial"/>
          <w:sz w:val="19"/>
          <w:szCs w:val="19"/>
        </w:rPr>
        <w:t>«</w:t>
      </w:r>
      <w:r w:rsidR="007C1823" w:rsidRPr="003E72E7">
        <w:rPr>
          <w:rFonts w:ascii="Arial" w:hAnsi="Arial" w:cs="Arial"/>
          <w:sz w:val="19"/>
          <w:szCs w:val="19"/>
        </w:rPr>
        <w:t xml:space="preserve">Artículo 6. Vigencia. La presente resolución rige a partir de su publicación y comenzará a aplicarse, de manera </w:t>
      </w:r>
      <w:r w:rsidR="00D62056" w:rsidRPr="003E72E7">
        <w:rPr>
          <w:rFonts w:ascii="Arial" w:hAnsi="Arial" w:cs="Arial"/>
          <w:sz w:val="19"/>
          <w:szCs w:val="19"/>
        </w:rPr>
        <w:t>gradual</w:t>
      </w:r>
      <w:r w:rsidR="007C1823" w:rsidRPr="003E72E7">
        <w:rPr>
          <w:rFonts w:ascii="Arial" w:hAnsi="Arial" w:cs="Arial"/>
          <w:sz w:val="19"/>
          <w:szCs w:val="19"/>
        </w:rPr>
        <w:t xml:space="preserve"> y </w:t>
      </w:r>
      <w:r w:rsidR="003E72E7" w:rsidRPr="003E72E7">
        <w:rPr>
          <w:rFonts w:ascii="Arial" w:hAnsi="Arial" w:cs="Arial"/>
          <w:sz w:val="19"/>
          <w:szCs w:val="19"/>
        </w:rPr>
        <w:t>progresiva, en los procedimientos de selección de licitación de obra pública de infraestructura social, de acuerdo con el siguiente cronograma:</w:t>
      </w:r>
    </w:p>
    <w:p w14:paraId="4F8DDF98" w14:textId="5FEB009D" w:rsidR="003E72E7" w:rsidRPr="003E72E7" w:rsidRDefault="003E72E7" w:rsidP="00456852">
      <w:pPr>
        <w:pStyle w:val="Textonotapie"/>
        <w:ind w:firstLine="709"/>
        <w:jc w:val="both"/>
        <w:rPr>
          <w:rFonts w:ascii="Arial" w:hAnsi="Arial" w:cs="Arial"/>
          <w:sz w:val="19"/>
          <w:szCs w:val="19"/>
        </w:rPr>
      </w:pPr>
      <w:r>
        <w:rPr>
          <w:rFonts w:ascii="Arial" w:hAnsi="Arial" w:cs="Arial"/>
          <w:sz w:val="19"/>
          <w:szCs w:val="19"/>
        </w:rPr>
        <w:t>»</w:t>
      </w:r>
      <w:r w:rsidR="00B810AD">
        <w:rPr>
          <w:rFonts w:ascii="Arial" w:hAnsi="Arial" w:cs="Arial"/>
          <w:sz w:val="19"/>
          <w:szCs w:val="19"/>
        </w:rPr>
        <w:t>1</w:t>
      </w:r>
      <w:r>
        <w:rPr>
          <w:rFonts w:ascii="Arial" w:hAnsi="Arial" w:cs="Arial"/>
          <w:sz w:val="19"/>
          <w:szCs w:val="19"/>
        </w:rPr>
        <w:t>.</w:t>
      </w:r>
      <w:r w:rsidRPr="003E72E7">
        <w:rPr>
          <w:rFonts w:ascii="Arial" w:hAnsi="Arial" w:cs="Arial"/>
          <w:sz w:val="19"/>
          <w:szCs w:val="19"/>
        </w:rPr>
        <w:t xml:space="preserve"> Las entidades de los sectores central y descentralizado de la Rama Ejecutiva del orden nacional deberán aplicar lo dispuesto en la resolución en los procedimientos de selección de licitación de obra pública de infraestructura social, cuyo aviso de convocatoria sea publicado a partir del 2 de noviembre de 2021. </w:t>
      </w:r>
    </w:p>
    <w:p w14:paraId="04EED1B3" w14:textId="7F79BCE4" w:rsidR="007C1823" w:rsidRPr="003E72E7" w:rsidRDefault="003E72E7" w:rsidP="00456852">
      <w:pPr>
        <w:pStyle w:val="Textonotapie"/>
        <w:ind w:firstLine="709"/>
        <w:jc w:val="both"/>
        <w:rPr>
          <w:rFonts w:ascii="Arial" w:hAnsi="Arial" w:cs="Arial"/>
          <w:sz w:val="19"/>
          <w:szCs w:val="19"/>
        </w:rPr>
      </w:pPr>
      <w:r>
        <w:rPr>
          <w:rFonts w:ascii="Arial" w:hAnsi="Arial" w:cs="Arial"/>
          <w:sz w:val="19"/>
          <w:szCs w:val="19"/>
        </w:rPr>
        <w:t>»</w:t>
      </w:r>
      <w:r w:rsidRPr="003E72E7">
        <w:rPr>
          <w:rFonts w:ascii="Arial" w:hAnsi="Arial" w:cs="Arial"/>
          <w:sz w:val="19"/>
          <w:szCs w:val="19"/>
        </w:rPr>
        <w:t xml:space="preserve">2. Las entidades del sector central y del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45A45CB1" w14:textId="558363F2" w:rsidR="003E72E7" w:rsidRDefault="003E72E7" w:rsidP="00456852">
      <w:pPr>
        <w:pStyle w:val="Textonotapie"/>
        <w:ind w:firstLine="709"/>
        <w:jc w:val="both"/>
        <w:rPr>
          <w:rFonts w:ascii="Arial" w:hAnsi="Arial" w:cs="Arial"/>
          <w:sz w:val="19"/>
          <w:szCs w:val="19"/>
        </w:rPr>
      </w:pPr>
      <w:r>
        <w:rPr>
          <w:rFonts w:ascii="Arial" w:hAnsi="Arial" w:cs="Arial"/>
          <w:sz w:val="19"/>
          <w:szCs w:val="19"/>
        </w:rPr>
        <w:t>»</w:t>
      </w:r>
      <w:r w:rsidR="001D456D" w:rsidRPr="003E72E7">
        <w:rPr>
          <w:rFonts w:ascii="Arial" w:hAnsi="Arial" w:cs="Arial"/>
          <w:sz w:val="19"/>
          <w:szCs w:val="19"/>
        </w:rPr>
        <w:t xml:space="preserve">3. Las entidades del </w:t>
      </w:r>
      <w:r w:rsidR="007C1823" w:rsidRPr="003E72E7">
        <w:rPr>
          <w:rFonts w:ascii="Arial" w:hAnsi="Arial" w:cs="Arial"/>
          <w:sz w:val="19"/>
          <w:szCs w:val="19"/>
        </w:rPr>
        <w:t>sector</w:t>
      </w:r>
      <w:r w:rsidR="001D456D" w:rsidRPr="003E72E7">
        <w:rPr>
          <w:rFonts w:ascii="Arial" w:hAnsi="Arial" w:cs="Arial"/>
          <w:sz w:val="19"/>
          <w:szCs w:val="19"/>
        </w:rPr>
        <w:t xml:space="preserve"> central y del sector descentralizado del nivel </w:t>
      </w:r>
      <w:r w:rsidR="007C1823" w:rsidRPr="003E72E7">
        <w:rPr>
          <w:rFonts w:ascii="Arial" w:hAnsi="Arial" w:cs="Arial"/>
          <w:sz w:val="19"/>
          <w:szCs w:val="19"/>
        </w:rPr>
        <w:t>departamental</w:t>
      </w:r>
      <w:r w:rsidR="001D456D" w:rsidRPr="003E72E7">
        <w:rPr>
          <w:rFonts w:ascii="Arial" w:hAnsi="Arial" w:cs="Arial"/>
          <w:sz w:val="19"/>
          <w:szCs w:val="19"/>
        </w:rPr>
        <w:t>, así como las de los</w:t>
      </w:r>
      <w:r w:rsidR="0025563B">
        <w:rPr>
          <w:rFonts w:ascii="Arial" w:hAnsi="Arial" w:cs="Arial"/>
          <w:sz w:val="19"/>
          <w:szCs w:val="19"/>
        </w:rPr>
        <w:t xml:space="preserve"> </w:t>
      </w:r>
      <w:r w:rsidR="0025563B" w:rsidRPr="003E72E7">
        <w:rPr>
          <w:rFonts w:ascii="Arial" w:hAnsi="Arial" w:cs="Arial"/>
          <w:sz w:val="19"/>
          <w:szCs w:val="19"/>
        </w:rPr>
        <w:t>municipios</w:t>
      </w:r>
      <w:r w:rsidR="001D456D" w:rsidRPr="003E72E7">
        <w:rPr>
          <w:rFonts w:ascii="Arial" w:hAnsi="Arial" w:cs="Arial"/>
          <w:sz w:val="19"/>
          <w:szCs w:val="19"/>
        </w:rPr>
        <w:t xml:space="preserve"> categorías especial, 1, 2 y 3, no cob</w:t>
      </w:r>
      <w:r w:rsidR="007C1823" w:rsidRPr="003E72E7">
        <w:rPr>
          <w:rFonts w:ascii="Arial" w:hAnsi="Arial" w:cs="Arial"/>
          <w:sz w:val="19"/>
          <w:szCs w:val="19"/>
        </w:rPr>
        <w:t>ijadas</w:t>
      </w:r>
      <w:r w:rsidR="001D456D" w:rsidRPr="003E72E7">
        <w:rPr>
          <w:rFonts w:ascii="Arial" w:hAnsi="Arial" w:cs="Arial"/>
          <w:sz w:val="19"/>
          <w:szCs w:val="19"/>
        </w:rPr>
        <w:t xml:space="preserve"> por los anteriores numerales del presente artículo, deberán aplicar lo dispuesto en esta resolución en los procedimientos de selección de licitación de obra pública de infraestructura social, cuyo aviso de convocatoria sea publicado a </w:t>
      </w:r>
      <w:r w:rsidR="007C1823" w:rsidRPr="003E72E7">
        <w:rPr>
          <w:rFonts w:ascii="Arial" w:hAnsi="Arial" w:cs="Arial"/>
          <w:sz w:val="19"/>
          <w:szCs w:val="19"/>
        </w:rPr>
        <w:t>partir</w:t>
      </w:r>
      <w:r w:rsidR="001D456D" w:rsidRPr="003E72E7">
        <w:rPr>
          <w:rFonts w:ascii="Arial" w:hAnsi="Arial" w:cs="Arial"/>
          <w:sz w:val="19"/>
          <w:szCs w:val="19"/>
        </w:rPr>
        <w:t xml:space="preserve"> del 1 de marzo de 2022. </w:t>
      </w:r>
    </w:p>
    <w:p w14:paraId="6329BCFD" w14:textId="4D84D488" w:rsidR="001D456D" w:rsidRPr="003E72E7" w:rsidRDefault="003E72E7" w:rsidP="00456852">
      <w:pPr>
        <w:pStyle w:val="Textonotapie"/>
        <w:ind w:firstLine="709"/>
        <w:jc w:val="both"/>
        <w:rPr>
          <w:rFonts w:ascii="Arial" w:hAnsi="Arial" w:cs="Arial"/>
          <w:sz w:val="19"/>
          <w:szCs w:val="19"/>
        </w:rPr>
      </w:pPr>
      <w:r>
        <w:rPr>
          <w:rFonts w:ascii="Arial" w:hAnsi="Arial" w:cs="Arial"/>
          <w:sz w:val="19"/>
          <w:szCs w:val="19"/>
        </w:rPr>
        <w:t>»</w:t>
      </w:r>
      <w:r w:rsidR="001D456D" w:rsidRPr="003E72E7">
        <w:rPr>
          <w:rFonts w:ascii="Arial" w:hAnsi="Arial" w:cs="Arial"/>
          <w:sz w:val="19"/>
          <w:szCs w:val="19"/>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27A3B83C" w14:textId="53C1DB8B" w:rsidR="001D456D" w:rsidRDefault="003E72E7" w:rsidP="00456852">
      <w:pPr>
        <w:pStyle w:val="Textonotapie"/>
        <w:ind w:firstLine="709"/>
        <w:jc w:val="both"/>
        <w:rPr>
          <w:rFonts w:ascii="Arial" w:hAnsi="Arial" w:cs="Arial"/>
          <w:sz w:val="19"/>
          <w:szCs w:val="19"/>
        </w:rPr>
      </w:pPr>
      <w:r>
        <w:rPr>
          <w:rFonts w:ascii="Arial" w:hAnsi="Arial" w:cs="Arial"/>
          <w:sz w:val="19"/>
          <w:szCs w:val="19"/>
        </w:rPr>
        <w:t>»</w:t>
      </w:r>
      <w:r w:rsidR="001D456D" w:rsidRPr="003E72E7">
        <w:rPr>
          <w:rFonts w:ascii="Arial" w:hAnsi="Arial" w:cs="Arial"/>
          <w:sz w:val="19"/>
          <w:szCs w:val="19"/>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r>
        <w:rPr>
          <w:rFonts w:ascii="Arial" w:hAnsi="Arial" w:cs="Arial"/>
          <w:sz w:val="19"/>
          <w:szCs w:val="19"/>
        </w:rPr>
        <w:t>»</w:t>
      </w:r>
      <w:r w:rsidR="001D456D" w:rsidRPr="003E72E7">
        <w:rPr>
          <w:rFonts w:ascii="Arial" w:hAnsi="Arial" w:cs="Arial"/>
          <w:sz w:val="19"/>
          <w:szCs w:val="19"/>
        </w:rPr>
        <w:t>.</w:t>
      </w:r>
    </w:p>
    <w:p w14:paraId="4F104474" w14:textId="77777777" w:rsidR="00456852" w:rsidRPr="003E72E7" w:rsidRDefault="00456852" w:rsidP="00456852">
      <w:pPr>
        <w:pStyle w:val="Textonotapie"/>
        <w:ind w:firstLine="709"/>
        <w:jc w:val="both"/>
        <w:rPr>
          <w:rFonts w:ascii="Arial" w:hAnsi="Arial" w:cs="Arial"/>
          <w:sz w:val="19"/>
          <w:szCs w:val="19"/>
        </w:rPr>
      </w:pPr>
    </w:p>
  </w:footnote>
  <w:footnote w:id="8">
    <w:p w14:paraId="75199E12" w14:textId="77777777" w:rsidR="00423500" w:rsidRPr="00B05299" w:rsidRDefault="00423500" w:rsidP="00423500">
      <w:pPr>
        <w:pStyle w:val="Textonotapie"/>
        <w:ind w:firstLine="708"/>
        <w:jc w:val="both"/>
        <w:rPr>
          <w:rFonts w:ascii="Arial" w:hAnsi="Arial" w:cs="Arial"/>
          <w:sz w:val="19"/>
          <w:szCs w:val="19"/>
        </w:rPr>
      </w:pPr>
      <w:r w:rsidRPr="00B05299">
        <w:rPr>
          <w:rStyle w:val="Refdenotaalpie"/>
          <w:rFonts w:ascii="Arial" w:hAnsi="Arial" w:cs="Arial"/>
          <w:sz w:val="19"/>
          <w:szCs w:val="19"/>
        </w:rPr>
        <w:footnoteRef/>
      </w:r>
      <w:r w:rsidRPr="00B05299">
        <w:rPr>
          <w:rFonts w:ascii="Arial" w:hAnsi="Arial" w:cs="Arial"/>
          <w:sz w:val="19"/>
          <w:szCs w:val="19"/>
        </w:rPr>
        <w:t xml:space="preserve"> </w:t>
      </w:r>
      <w:r>
        <w:rPr>
          <w:rFonts w:ascii="Arial" w:hAnsi="Arial" w:cs="Arial"/>
          <w:sz w:val="19"/>
          <w:szCs w:val="19"/>
        </w:rPr>
        <w:t>C</w:t>
      </w:r>
      <w:r w:rsidRPr="00B05299">
        <w:rPr>
          <w:rFonts w:ascii="Arial" w:hAnsi="Arial" w:cs="Arial"/>
          <w:sz w:val="19"/>
          <w:szCs w:val="19"/>
        </w:rPr>
        <w:t>onforme al literal a) del artículo 2.1 de la Ley 80 de 1993</w:t>
      </w:r>
      <w:r>
        <w:rPr>
          <w:rFonts w:ascii="Arial" w:hAnsi="Arial" w:cs="Arial"/>
          <w:sz w:val="19"/>
          <w:szCs w:val="19"/>
        </w:rPr>
        <w:t>, se consideran entidades estatales «</w:t>
      </w:r>
      <w:r w:rsidRPr="00B05299">
        <w:rPr>
          <w:rFonts w:ascii="Arial" w:hAnsi="Arial" w:cs="Arial"/>
          <w:sz w:val="19"/>
          <w:szCs w:val="19"/>
        </w:rPr>
        <w:t xml:space="preserve">La Nación, las regiones, los departamentos, las provincias, el Distrito Capital y los distritos especiales, las áreas metropolitanas, las asociaciones de municipios, los territorios indígenas y los municipios; </w:t>
      </w:r>
      <w:r w:rsidRPr="00B05299">
        <w:rPr>
          <w:rFonts w:ascii="Arial" w:hAnsi="Arial" w:cs="Arial"/>
          <w:i/>
          <w:iCs/>
          <w:sz w:val="19"/>
          <w:szCs w:val="19"/>
        </w:rPr>
        <w:t>los establecimientos públicos</w:t>
      </w:r>
      <w:r w:rsidRPr="00B05299">
        <w:rPr>
          <w:rFonts w:ascii="Arial" w:hAnsi="Arial" w:cs="Arial"/>
          <w:sz w:val="19"/>
          <w:szCs w:val="19"/>
        </w:rPr>
        <w:t>,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r>
        <w:rPr>
          <w:rFonts w:ascii="Arial" w:hAnsi="Arial" w:cs="Arial"/>
          <w:sz w:val="19"/>
          <w:szCs w:val="19"/>
        </w:rPr>
        <w:t>» (Énfasis fuera de texto)</w:t>
      </w:r>
      <w:r w:rsidRPr="00B05299">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98637" w14:textId="77777777" w:rsidR="004330CB" w:rsidRDefault="004330CB">
    <w:pPr>
      <w:pStyle w:val="Encabezado"/>
    </w:pPr>
    <w:r>
      <w:rPr>
        <w:noProof/>
        <w:lang w:val="en-US"/>
      </w:rPr>
      <w:drawing>
        <wp:anchor distT="0" distB="0" distL="114300" distR="114300" simplePos="0" relativeHeight="251659264" behindDoc="1" locked="0" layoutInCell="1" allowOverlap="1" wp14:anchorId="683F734A" wp14:editId="6536D205">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A7A293D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4305DE"/>
    <w:multiLevelType w:val="hybridMultilevel"/>
    <w:tmpl w:val="1FAEC0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A695998"/>
    <w:multiLevelType w:val="multilevel"/>
    <w:tmpl w:val="963E3286"/>
    <w:lvl w:ilvl="0">
      <w:start w:val="3"/>
      <w:numFmt w:val="decimal"/>
      <w:lvlText w:val="%1"/>
      <w:lvlJc w:val="left"/>
      <w:pPr>
        <w:ind w:left="435" w:hanging="435"/>
      </w:pPr>
      <w:rPr>
        <w:rFonts w:hint="default"/>
      </w:rPr>
    </w:lvl>
    <w:lvl w:ilvl="1">
      <w:start w:val="5"/>
      <w:numFmt w:val="decimal"/>
      <w:lvlText w:val="%1.%2"/>
      <w:lvlJc w:val="left"/>
      <w:pPr>
        <w:ind w:left="917" w:hanging="435"/>
      </w:pPr>
      <w:rPr>
        <w:rFonts w:hint="default"/>
      </w:rPr>
    </w:lvl>
    <w:lvl w:ilvl="2">
      <w:start w:val="4"/>
      <w:numFmt w:val="decimal"/>
      <w:lvlText w:val="%1.%2.%3"/>
      <w:lvlJc w:val="left"/>
      <w:pPr>
        <w:ind w:left="1684" w:hanging="720"/>
      </w:pPr>
      <w:rPr>
        <w:rFonts w:hint="default"/>
        <w:b w:val="0"/>
        <w:bCs w:val="0"/>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3" w15:restartNumberingAfterBreak="0">
    <w:nsid w:val="1B984CCC"/>
    <w:multiLevelType w:val="hybridMultilevel"/>
    <w:tmpl w:val="C6B6C074"/>
    <w:lvl w:ilvl="0" w:tplc="FE68A6A6">
      <w:start w:val="5"/>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6752BB"/>
    <w:multiLevelType w:val="multilevel"/>
    <w:tmpl w:val="219A6F0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FE043BB"/>
    <w:multiLevelType w:val="multilevel"/>
    <w:tmpl w:val="9C9A30F4"/>
    <w:lvl w:ilvl="0">
      <w:start w:val="1"/>
      <w:numFmt w:val="decimal"/>
      <w:lvlText w:val="%1."/>
      <w:lvlJc w:val="left"/>
      <w:pPr>
        <w:ind w:left="585" w:hanging="285"/>
        <w:jc w:val="right"/>
      </w:pPr>
      <w:rPr>
        <w:rFonts w:ascii="Arial" w:eastAsia="Arial" w:hAnsi="Arial" w:cs="Arial" w:hint="default"/>
        <w:b/>
        <w:bCs/>
        <w:color w:val="4E4D4D"/>
        <w:spacing w:val="-21"/>
        <w:w w:val="100"/>
        <w:sz w:val="22"/>
        <w:szCs w:val="22"/>
        <w:lang w:val="es-ES" w:eastAsia="en-US" w:bidi="ar-SA"/>
      </w:rPr>
    </w:lvl>
    <w:lvl w:ilvl="1">
      <w:start w:val="1"/>
      <w:numFmt w:val="decimal"/>
      <w:lvlText w:val="%1.%2."/>
      <w:lvlJc w:val="left"/>
      <w:pPr>
        <w:ind w:left="300" w:hanging="470"/>
      </w:pPr>
      <w:rPr>
        <w:rFonts w:ascii="Arial" w:eastAsia="Arial" w:hAnsi="Arial" w:cs="Arial" w:hint="default"/>
        <w:b/>
        <w:bCs/>
        <w:color w:val="4E4D4D"/>
        <w:spacing w:val="-19"/>
        <w:w w:val="100"/>
        <w:sz w:val="22"/>
        <w:szCs w:val="22"/>
        <w:lang w:val="es-ES" w:eastAsia="en-US" w:bidi="ar-SA"/>
      </w:rPr>
    </w:lvl>
    <w:lvl w:ilvl="2">
      <w:start w:val="1"/>
      <w:numFmt w:val="lowerRoman"/>
      <w:lvlText w:val="%3)"/>
      <w:lvlJc w:val="left"/>
      <w:pPr>
        <w:ind w:left="623" w:hanging="198"/>
      </w:pPr>
      <w:rPr>
        <w:rFonts w:ascii="Arial" w:eastAsia="Arial" w:hAnsi="Arial" w:cs="Arial" w:hint="default"/>
        <w:color w:val="4E4D4D"/>
        <w:spacing w:val="0"/>
        <w:w w:val="100"/>
        <w:sz w:val="22"/>
        <w:szCs w:val="22"/>
        <w:lang w:val="es-ES" w:eastAsia="en-US" w:bidi="ar-SA"/>
      </w:rPr>
    </w:lvl>
    <w:lvl w:ilvl="3">
      <w:numFmt w:val="bullet"/>
      <w:lvlText w:val="•"/>
      <w:lvlJc w:val="left"/>
      <w:pPr>
        <w:ind w:left="2571" w:hanging="198"/>
      </w:pPr>
      <w:rPr>
        <w:rFonts w:hint="default"/>
        <w:lang w:val="es-ES" w:eastAsia="en-US" w:bidi="ar-SA"/>
      </w:rPr>
    </w:lvl>
    <w:lvl w:ilvl="4">
      <w:numFmt w:val="bullet"/>
      <w:lvlText w:val="•"/>
      <w:lvlJc w:val="left"/>
      <w:pPr>
        <w:ind w:left="3566" w:hanging="198"/>
      </w:pPr>
      <w:rPr>
        <w:rFonts w:hint="default"/>
        <w:lang w:val="es-ES" w:eastAsia="en-US" w:bidi="ar-SA"/>
      </w:rPr>
    </w:lvl>
    <w:lvl w:ilvl="5">
      <w:numFmt w:val="bullet"/>
      <w:lvlText w:val="•"/>
      <w:lvlJc w:val="left"/>
      <w:pPr>
        <w:ind w:left="4562" w:hanging="198"/>
      </w:pPr>
      <w:rPr>
        <w:rFonts w:hint="default"/>
        <w:lang w:val="es-ES" w:eastAsia="en-US" w:bidi="ar-SA"/>
      </w:rPr>
    </w:lvl>
    <w:lvl w:ilvl="6">
      <w:numFmt w:val="bullet"/>
      <w:lvlText w:val="•"/>
      <w:lvlJc w:val="left"/>
      <w:pPr>
        <w:ind w:left="5557" w:hanging="198"/>
      </w:pPr>
      <w:rPr>
        <w:rFonts w:hint="default"/>
        <w:lang w:val="es-ES" w:eastAsia="en-US" w:bidi="ar-SA"/>
      </w:rPr>
    </w:lvl>
    <w:lvl w:ilvl="7">
      <w:numFmt w:val="bullet"/>
      <w:lvlText w:val="•"/>
      <w:lvlJc w:val="left"/>
      <w:pPr>
        <w:ind w:left="6553" w:hanging="198"/>
      </w:pPr>
      <w:rPr>
        <w:rFonts w:hint="default"/>
        <w:lang w:val="es-ES" w:eastAsia="en-US" w:bidi="ar-SA"/>
      </w:rPr>
    </w:lvl>
    <w:lvl w:ilvl="8">
      <w:numFmt w:val="bullet"/>
      <w:lvlText w:val="•"/>
      <w:lvlJc w:val="left"/>
      <w:pPr>
        <w:ind w:left="7548" w:hanging="198"/>
      </w:pPr>
      <w:rPr>
        <w:rFonts w:hint="default"/>
        <w:lang w:val="es-ES" w:eastAsia="en-US" w:bidi="ar-SA"/>
      </w:rPr>
    </w:lvl>
  </w:abstractNum>
  <w:abstractNum w:abstractNumId="7" w15:restartNumberingAfterBreak="0">
    <w:nsid w:val="49574122"/>
    <w:multiLevelType w:val="hybridMultilevel"/>
    <w:tmpl w:val="95C8816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E637631"/>
    <w:multiLevelType w:val="hybridMultilevel"/>
    <w:tmpl w:val="F0D6E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C52852"/>
    <w:multiLevelType w:val="multilevel"/>
    <w:tmpl w:val="10667D1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val="0"/>
        <w:bCs/>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0B22AE4"/>
    <w:multiLevelType w:val="hybridMultilevel"/>
    <w:tmpl w:val="961C3F50"/>
    <w:lvl w:ilvl="0" w:tplc="41023410">
      <w:start w:val="1"/>
      <w:numFmt w:val="upperLetter"/>
      <w:lvlText w:val="%1."/>
      <w:lvlJc w:val="left"/>
      <w:pPr>
        <w:ind w:left="1436" w:hanging="360"/>
      </w:pPr>
      <w:rPr>
        <w:rFonts w:hint="default"/>
      </w:rPr>
    </w:lvl>
    <w:lvl w:ilvl="1" w:tplc="240A0019" w:tentative="1">
      <w:start w:val="1"/>
      <w:numFmt w:val="lowerLetter"/>
      <w:lvlText w:val="%2."/>
      <w:lvlJc w:val="left"/>
      <w:pPr>
        <w:ind w:left="2156" w:hanging="360"/>
      </w:pPr>
    </w:lvl>
    <w:lvl w:ilvl="2" w:tplc="240A001B" w:tentative="1">
      <w:start w:val="1"/>
      <w:numFmt w:val="lowerRoman"/>
      <w:lvlText w:val="%3."/>
      <w:lvlJc w:val="right"/>
      <w:pPr>
        <w:ind w:left="2876" w:hanging="180"/>
      </w:pPr>
    </w:lvl>
    <w:lvl w:ilvl="3" w:tplc="240A000F" w:tentative="1">
      <w:start w:val="1"/>
      <w:numFmt w:val="decimal"/>
      <w:lvlText w:val="%4."/>
      <w:lvlJc w:val="left"/>
      <w:pPr>
        <w:ind w:left="3596" w:hanging="360"/>
      </w:pPr>
    </w:lvl>
    <w:lvl w:ilvl="4" w:tplc="240A0019" w:tentative="1">
      <w:start w:val="1"/>
      <w:numFmt w:val="lowerLetter"/>
      <w:lvlText w:val="%5."/>
      <w:lvlJc w:val="left"/>
      <w:pPr>
        <w:ind w:left="4316" w:hanging="360"/>
      </w:pPr>
    </w:lvl>
    <w:lvl w:ilvl="5" w:tplc="240A001B" w:tentative="1">
      <w:start w:val="1"/>
      <w:numFmt w:val="lowerRoman"/>
      <w:lvlText w:val="%6."/>
      <w:lvlJc w:val="right"/>
      <w:pPr>
        <w:ind w:left="5036" w:hanging="180"/>
      </w:pPr>
    </w:lvl>
    <w:lvl w:ilvl="6" w:tplc="240A000F" w:tentative="1">
      <w:start w:val="1"/>
      <w:numFmt w:val="decimal"/>
      <w:lvlText w:val="%7."/>
      <w:lvlJc w:val="left"/>
      <w:pPr>
        <w:ind w:left="5756" w:hanging="360"/>
      </w:pPr>
    </w:lvl>
    <w:lvl w:ilvl="7" w:tplc="240A0019" w:tentative="1">
      <w:start w:val="1"/>
      <w:numFmt w:val="lowerLetter"/>
      <w:lvlText w:val="%8."/>
      <w:lvlJc w:val="left"/>
      <w:pPr>
        <w:ind w:left="6476" w:hanging="360"/>
      </w:pPr>
    </w:lvl>
    <w:lvl w:ilvl="8" w:tplc="240A001B" w:tentative="1">
      <w:start w:val="1"/>
      <w:numFmt w:val="lowerRoman"/>
      <w:lvlText w:val="%9."/>
      <w:lvlJc w:val="right"/>
      <w:pPr>
        <w:ind w:left="7196" w:hanging="180"/>
      </w:pPr>
    </w:lvl>
  </w:abstractNum>
  <w:abstractNum w:abstractNumId="11"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12" w15:restartNumberingAfterBreak="0">
    <w:nsid w:val="730D1215"/>
    <w:multiLevelType w:val="hybridMultilevel"/>
    <w:tmpl w:val="AB1022BE"/>
    <w:lvl w:ilvl="0" w:tplc="FD74D86E">
      <w:start w:val="2"/>
      <w:numFmt w:val="bullet"/>
      <w:lvlText w:val="-"/>
      <w:lvlJc w:val="left"/>
      <w:pPr>
        <w:ind w:left="72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D92557"/>
    <w:multiLevelType w:val="multilevel"/>
    <w:tmpl w:val="8D08ECD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4302446"/>
    <w:multiLevelType w:val="hybridMultilevel"/>
    <w:tmpl w:val="AD6ED56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7EC35B3B"/>
    <w:multiLevelType w:val="multilevel"/>
    <w:tmpl w:val="681A1C4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3202" w:hanging="720"/>
      </w:pPr>
      <w:rPr>
        <w:rFonts w:hint="default"/>
      </w:rPr>
    </w:lvl>
    <w:lvl w:ilvl="3">
      <w:start w:val="1"/>
      <w:numFmt w:val="decimal"/>
      <w:lvlText w:val="%1.%2.%3.%4."/>
      <w:lvlJc w:val="left"/>
      <w:pPr>
        <w:ind w:left="19803" w:hanging="1080"/>
      </w:pPr>
      <w:rPr>
        <w:rFonts w:hint="default"/>
      </w:rPr>
    </w:lvl>
    <w:lvl w:ilvl="4">
      <w:start w:val="1"/>
      <w:numFmt w:val="decimal"/>
      <w:lvlText w:val="%1.%2.%3.%4.%5."/>
      <w:lvlJc w:val="left"/>
      <w:pPr>
        <w:ind w:left="26044" w:hanging="1080"/>
      </w:pPr>
      <w:rPr>
        <w:rFonts w:hint="default"/>
      </w:rPr>
    </w:lvl>
    <w:lvl w:ilvl="5">
      <w:start w:val="1"/>
      <w:numFmt w:val="decimal"/>
      <w:lvlText w:val="%1.%2.%3.%4.%5.%6."/>
      <w:lvlJc w:val="left"/>
      <w:pPr>
        <w:ind w:left="32645" w:hanging="1440"/>
      </w:pPr>
      <w:rPr>
        <w:rFonts w:hint="default"/>
      </w:rPr>
    </w:lvl>
    <w:lvl w:ilvl="6">
      <w:start w:val="1"/>
      <w:numFmt w:val="decimal"/>
      <w:lvlText w:val="%1.%2.%3.%4.%5.%6.%7."/>
      <w:lvlJc w:val="left"/>
      <w:pPr>
        <w:ind w:left="-26650" w:hanging="1440"/>
      </w:pPr>
      <w:rPr>
        <w:rFonts w:hint="default"/>
      </w:rPr>
    </w:lvl>
    <w:lvl w:ilvl="7">
      <w:start w:val="1"/>
      <w:numFmt w:val="decimal"/>
      <w:lvlText w:val="%1.%2.%3.%4.%5.%6.%7.%8."/>
      <w:lvlJc w:val="left"/>
      <w:pPr>
        <w:ind w:left="-20049" w:hanging="1800"/>
      </w:pPr>
      <w:rPr>
        <w:rFonts w:hint="default"/>
      </w:rPr>
    </w:lvl>
    <w:lvl w:ilvl="8">
      <w:start w:val="1"/>
      <w:numFmt w:val="decimal"/>
      <w:lvlText w:val="%1.%2.%3.%4.%5.%6.%7.%8.%9."/>
      <w:lvlJc w:val="left"/>
      <w:pPr>
        <w:ind w:left="-13808" w:hanging="1800"/>
      </w:pPr>
      <w:rPr>
        <w:rFonts w:hint="default"/>
      </w:r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3"/>
    </w:lvlOverride>
    <w:lvlOverride w:ilvl="1">
      <w:startOverride w:val="5"/>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13"/>
  </w:num>
  <w:num w:numId="8">
    <w:abstractNumId w:val="6"/>
  </w:num>
  <w:num w:numId="9">
    <w:abstractNumId w:val="3"/>
  </w:num>
  <w:num w:numId="10">
    <w:abstractNumId w:val="8"/>
  </w:num>
  <w:num w:numId="11">
    <w:abstractNumId w:val="12"/>
  </w:num>
  <w:num w:numId="12">
    <w:abstractNumId w:val="4"/>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87C"/>
    <w:rsid w:val="00001319"/>
    <w:rsid w:val="0000199E"/>
    <w:rsid w:val="000035BA"/>
    <w:rsid w:val="00005124"/>
    <w:rsid w:val="00007FF7"/>
    <w:rsid w:val="0001026E"/>
    <w:rsid w:val="00010D30"/>
    <w:rsid w:val="0001135B"/>
    <w:rsid w:val="000205D6"/>
    <w:rsid w:val="000207A0"/>
    <w:rsid w:val="0002170C"/>
    <w:rsid w:val="00023EEE"/>
    <w:rsid w:val="00024B36"/>
    <w:rsid w:val="0002648F"/>
    <w:rsid w:val="00027B72"/>
    <w:rsid w:val="0003091B"/>
    <w:rsid w:val="00032260"/>
    <w:rsid w:val="000333A2"/>
    <w:rsid w:val="00040C88"/>
    <w:rsid w:val="00040D6E"/>
    <w:rsid w:val="000412CB"/>
    <w:rsid w:val="00042C0C"/>
    <w:rsid w:val="00044B5E"/>
    <w:rsid w:val="00044FF2"/>
    <w:rsid w:val="000514D4"/>
    <w:rsid w:val="00052133"/>
    <w:rsid w:val="00055688"/>
    <w:rsid w:val="00060575"/>
    <w:rsid w:val="00060D82"/>
    <w:rsid w:val="00061E92"/>
    <w:rsid w:val="00061EE4"/>
    <w:rsid w:val="00062291"/>
    <w:rsid w:val="00062B0D"/>
    <w:rsid w:val="0006519B"/>
    <w:rsid w:val="00066EDE"/>
    <w:rsid w:val="00067408"/>
    <w:rsid w:val="000707A0"/>
    <w:rsid w:val="00070FE5"/>
    <w:rsid w:val="00071D56"/>
    <w:rsid w:val="00073E7F"/>
    <w:rsid w:val="000757F8"/>
    <w:rsid w:val="00077F86"/>
    <w:rsid w:val="00082589"/>
    <w:rsid w:val="00085A5E"/>
    <w:rsid w:val="00086901"/>
    <w:rsid w:val="00086A16"/>
    <w:rsid w:val="00086C02"/>
    <w:rsid w:val="00087288"/>
    <w:rsid w:val="00090D92"/>
    <w:rsid w:val="00093069"/>
    <w:rsid w:val="00094F86"/>
    <w:rsid w:val="0009519E"/>
    <w:rsid w:val="00097117"/>
    <w:rsid w:val="000973F2"/>
    <w:rsid w:val="00097CD6"/>
    <w:rsid w:val="000A12B4"/>
    <w:rsid w:val="000A1DBA"/>
    <w:rsid w:val="000A56FC"/>
    <w:rsid w:val="000A59B8"/>
    <w:rsid w:val="000A6338"/>
    <w:rsid w:val="000A7A2D"/>
    <w:rsid w:val="000B073E"/>
    <w:rsid w:val="000B09B5"/>
    <w:rsid w:val="000B1E0B"/>
    <w:rsid w:val="000B34BD"/>
    <w:rsid w:val="000B4552"/>
    <w:rsid w:val="000B4C69"/>
    <w:rsid w:val="000B4E6D"/>
    <w:rsid w:val="000C0066"/>
    <w:rsid w:val="000C0AA7"/>
    <w:rsid w:val="000C0E39"/>
    <w:rsid w:val="000C67EA"/>
    <w:rsid w:val="000D088F"/>
    <w:rsid w:val="000D2220"/>
    <w:rsid w:val="000D2FE0"/>
    <w:rsid w:val="000D3508"/>
    <w:rsid w:val="000D392A"/>
    <w:rsid w:val="000D5464"/>
    <w:rsid w:val="000D5552"/>
    <w:rsid w:val="000D6983"/>
    <w:rsid w:val="000D6FF8"/>
    <w:rsid w:val="000D7BBD"/>
    <w:rsid w:val="000E4A3C"/>
    <w:rsid w:val="000E5038"/>
    <w:rsid w:val="000E669B"/>
    <w:rsid w:val="000E6867"/>
    <w:rsid w:val="000E7F3A"/>
    <w:rsid w:val="000F5F52"/>
    <w:rsid w:val="000F76A5"/>
    <w:rsid w:val="00100058"/>
    <w:rsid w:val="00103CB5"/>
    <w:rsid w:val="001056C0"/>
    <w:rsid w:val="00106375"/>
    <w:rsid w:val="00107607"/>
    <w:rsid w:val="00107DA7"/>
    <w:rsid w:val="001120C8"/>
    <w:rsid w:val="00112597"/>
    <w:rsid w:val="00113AD4"/>
    <w:rsid w:val="00115190"/>
    <w:rsid w:val="00116557"/>
    <w:rsid w:val="00117289"/>
    <w:rsid w:val="00117B90"/>
    <w:rsid w:val="0012089B"/>
    <w:rsid w:val="00120DBB"/>
    <w:rsid w:val="00120FF1"/>
    <w:rsid w:val="001236B9"/>
    <w:rsid w:val="00127B2C"/>
    <w:rsid w:val="001308D2"/>
    <w:rsid w:val="00131937"/>
    <w:rsid w:val="001321AB"/>
    <w:rsid w:val="00133D22"/>
    <w:rsid w:val="00135571"/>
    <w:rsid w:val="00135E98"/>
    <w:rsid w:val="00136E12"/>
    <w:rsid w:val="00137B0D"/>
    <w:rsid w:val="00137DDF"/>
    <w:rsid w:val="00140E57"/>
    <w:rsid w:val="00141330"/>
    <w:rsid w:val="00141C64"/>
    <w:rsid w:val="00144375"/>
    <w:rsid w:val="0014462B"/>
    <w:rsid w:val="0014628D"/>
    <w:rsid w:val="00146827"/>
    <w:rsid w:val="00147E4A"/>
    <w:rsid w:val="001556C8"/>
    <w:rsid w:val="00155CF7"/>
    <w:rsid w:val="00156FD9"/>
    <w:rsid w:val="00157123"/>
    <w:rsid w:val="001573A6"/>
    <w:rsid w:val="00160687"/>
    <w:rsid w:val="00160AB9"/>
    <w:rsid w:val="00162336"/>
    <w:rsid w:val="0016251D"/>
    <w:rsid w:val="0016461F"/>
    <w:rsid w:val="00164E79"/>
    <w:rsid w:val="00166272"/>
    <w:rsid w:val="00170958"/>
    <w:rsid w:val="00172D2F"/>
    <w:rsid w:val="00173047"/>
    <w:rsid w:val="00173342"/>
    <w:rsid w:val="0017558C"/>
    <w:rsid w:val="0017603D"/>
    <w:rsid w:val="00177397"/>
    <w:rsid w:val="00180881"/>
    <w:rsid w:val="00180AD1"/>
    <w:rsid w:val="001810AD"/>
    <w:rsid w:val="0018144F"/>
    <w:rsid w:val="00181A3E"/>
    <w:rsid w:val="00182BF2"/>
    <w:rsid w:val="001848A7"/>
    <w:rsid w:val="001901E3"/>
    <w:rsid w:val="00190B79"/>
    <w:rsid w:val="00190F26"/>
    <w:rsid w:val="00192084"/>
    <w:rsid w:val="0019433A"/>
    <w:rsid w:val="00194C50"/>
    <w:rsid w:val="001A0536"/>
    <w:rsid w:val="001A6A98"/>
    <w:rsid w:val="001B13DF"/>
    <w:rsid w:val="001B2E5D"/>
    <w:rsid w:val="001B2EA2"/>
    <w:rsid w:val="001B329B"/>
    <w:rsid w:val="001B5D63"/>
    <w:rsid w:val="001B6C66"/>
    <w:rsid w:val="001B7D2C"/>
    <w:rsid w:val="001C4850"/>
    <w:rsid w:val="001C507E"/>
    <w:rsid w:val="001C628A"/>
    <w:rsid w:val="001C6D64"/>
    <w:rsid w:val="001D456D"/>
    <w:rsid w:val="001D4F98"/>
    <w:rsid w:val="001E4AEB"/>
    <w:rsid w:val="001E5DBB"/>
    <w:rsid w:val="001F1051"/>
    <w:rsid w:val="001F3010"/>
    <w:rsid w:val="001F34A8"/>
    <w:rsid w:val="001F4CFB"/>
    <w:rsid w:val="001F7297"/>
    <w:rsid w:val="002001EA"/>
    <w:rsid w:val="002026F7"/>
    <w:rsid w:val="002034AD"/>
    <w:rsid w:val="002044D6"/>
    <w:rsid w:val="00212C92"/>
    <w:rsid w:val="00213B48"/>
    <w:rsid w:val="002163A3"/>
    <w:rsid w:val="002166C0"/>
    <w:rsid w:val="00217CE5"/>
    <w:rsid w:val="00220F87"/>
    <w:rsid w:val="002218CE"/>
    <w:rsid w:val="002219C9"/>
    <w:rsid w:val="00222032"/>
    <w:rsid w:val="002239B4"/>
    <w:rsid w:val="0022538D"/>
    <w:rsid w:val="00225C5F"/>
    <w:rsid w:val="00227257"/>
    <w:rsid w:val="00227E1B"/>
    <w:rsid w:val="00230B24"/>
    <w:rsid w:val="0023180C"/>
    <w:rsid w:val="002321B7"/>
    <w:rsid w:val="0023225E"/>
    <w:rsid w:val="00233840"/>
    <w:rsid w:val="00233B2D"/>
    <w:rsid w:val="00234C6C"/>
    <w:rsid w:val="00236264"/>
    <w:rsid w:val="0023774F"/>
    <w:rsid w:val="00242088"/>
    <w:rsid w:val="002426A9"/>
    <w:rsid w:val="00245EDC"/>
    <w:rsid w:val="00247D11"/>
    <w:rsid w:val="002511E0"/>
    <w:rsid w:val="0025163D"/>
    <w:rsid w:val="002516D4"/>
    <w:rsid w:val="002551A3"/>
    <w:rsid w:val="0025563B"/>
    <w:rsid w:val="00265031"/>
    <w:rsid w:val="00266277"/>
    <w:rsid w:val="00270EDD"/>
    <w:rsid w:val="00272F63"/>
    <w:rsid w:val="0027329E"/>
    <w:rsid w:val="00273B05"/>
    <w:rsid w:val="00274370"/>
    <w:rsid w:val="00275260"/>
    <w:rsid w:val="00280A81"/>
    <w:rsid w:val="00281E4E"/>
    <w:rsid w:val="00283250"/>
    <w:rsid w:val="00284C12"/>
    <w:rsid w:val="00286834"/>
    <w:rsid w:val="00286FF8"/>
    <w:rsid w:val="00291D1E"/>
    <w:rsid w:val="002924AD"/>
    <w:rsid w:val="002928EE"/>
    <w:rsid w:val="00293067"/>
    <w:rsid w:val="00293DFF"/>
    <w:rsid w:val="002959FA"/>
    <w:rsid w:val="00296330"/>
    <w:rsid w:val="002972F3"/>
    <w:rsid w:val="002A365B"/>
    <w:rsid w:val="002A4002"/>
    <w:rsid w:val="002A4BCA"/>
    <w:rsid w:val="002A517F"/>
    <w:rsid w:val="002B27BC"/>
    <w:rsid w:val="002B282F"/>
    <w:rsid w:val="002B46BB"/>
    <w:rsid w:val="002B4B30"/>
    <w:rsid w:val="002C1261"/>
    <w:rsid w:val="002C6B45"/>
    <w:rsid w:val="002C7BB4"/>
    <w:rsid w:val="002C7D43"/>
    <w:rsid w:val="002D0DF2"/>
    <w:rsid w:val="002D1A52"/>
    <w:rsid w:val="002D28E0"/>
    <w:rsid w:val="002D7E44"/>
    <w:rsid w:val="002E5CE0"/>
    <w:rsid w:val="002E6804"/>
    <w:rsid w:val="002E7390"/>
    <w:rsid w:val="002E79B6"/>
    <w:rsid w:val="002E7BC2"/>
    <w:rsid w:val="002F0DCD"/>
    <w:rsid w:val="002F3529"/>
    <w:rsid w:val="002F42CC"/>
    <w:rsid w:val="002F474A"/>
    <w:rsid w:val="002F5479"/>
    <w:rsid w:val="002F63BB"/>
    <w:rsid w:val="002F701E"/>
    <w:rsid w:val="002F76C8"/>
    <w:rsid w:val="00302F9F"/>
    <w:rsid w:val="003030C0"/>
    <w:rsid w:val="00304386"/>
    <w:rsid w:val="00304DFD"/>
    <w:rsid w:val="003051E7"/>
    <w:rsid w:val="00306151"/>
    <w:rsid w:val="00306372"/>
    <w:rsid w:val="003067AC"/>
    <w:rsid w:val="003135B4"/>
    <w:rsid w:val="003141AC"/>
    <w:rsid w:val="00314F61"/>
    <w:rsid w:val="003163C5"/>
    <w:rsid w:val="003174DA"/>
    <w:rsid w:val="00324C9D"/>
    <w:rsid w:val="00325E03"/>
    <w:rsid w:val="003401FE"/>
    <w:rsid w:val="00340A7A"/>
    <w:rsid w:val="003461DA"/>
    <w:rsid w:val="00346D80"/>
    <w:rsid w:val="00346F88"/>
    <w:rsid w:val="00346F8E"/>
    <w:rsid w:val="00351536"/>
    <w:rsid w:val="003535A2"/>
    <w:rsid w:val="00360470"/>
    <w:rsid w:val="00360F9A"/>
    <w:rsid w:val="003660CB"/>
    <w:rsid w:val="0036754F"/>
    <w:rsid w:val="003704A3"/>
    <w:rsid w:val="00371192"/>
    <w:rsid w:val="003738F5"/>
    <w:rsid w:val="003750DA"/>
    <w:rsid w:val="00384629"/>
    <w:rsid w:val="00385513"/>
    <w:rsid w:val="00386679"/>
    <w:rsid w:val="00387E9E"/>
    <w:rsid w:val="00390DCF"/>
    <w:rsid w:val="003910CE"/>
    <w:rsid w:val="00393B92"/>
    <w:rsid w:val="00397FF3"/>
    <w:rsid w:val="003A00C3"/>
    <w:rsid w:val="003A00DA"/>
    <w:rsid w:val="003A0C33"/>
    <w:rsid w:val="003A2944"/>
    <w:rsid w:val="003A3731"/>
    <w:rsid w:val="003A633B"/>
    <w:rsid w:val="003B0DEF"/>
    <w:rsid w:val="003B604C"/>
    <w:rsid w:val="003C0237"/>
    <w:rsid w:val="003C0FBB"/>
    <w:rsid w:val="003C200C"/>
    <w:rsid w:val="003C2074"/>
    <w:rsid w:val="003C3ADB"/>
    <w:rsid w:val="003C4D4C"/>
    <w:rsid w:val="003C5E88"/>
    <w:rsid w:val="003D11B5"/>
    <w:rsid w:val="003D134C"/>
    <w:rsid w:val="003D32CD"/>
    <w:rsid w:val="003D3B81"/>
    <w:rsid w:val="003D3C92"/>
    <w:rsid w:val="003D69A5"/>
    <w:rsid w:val="003D6D9F"/>
    <w:rsid w:val="003E0079"/>
    <w:rsid w:val="003E09D5"/>
    <w:rsid w:val="003E14F9"/>
    <w:rsid w:val="003E2E71"/>
    <w:rsid w:val="003E59ED"/>
    <w:rsid w:val="003E72E7"/>
    <w:rsid w:val="003F045D"/>
    <w:rsid w:val="003F3119"/>
    <w:rsid w:val="003F3C60"/>
    <w:rsid w:val="003F4D44"/>
    <w:rsid w:val="003F6D32"/>
    <w:rsid w:val="00400FF0"/>
    <w:rsid w:val="004016E8"/>
    <w:rsid w:val="004031E0"/>
    <w:rsid w:val="00405714"/>
    <w:rsid w:val="00405F92"/>
    <w:rsid w:val="0040662C"/>
    <w:rsid w:val="00406B09"/>
    <w:rsid w:val="00421B11"/>
    <w:rsid w:val="00423500"/>
    <w:rsid w:val="004265FC"/>
    <w:rsid w:val="00430B5A"/>
    <w:rsid w:val="00431328"/>
    <w:rsid w:val="004330CB"/>
    <w:rsid w:val="00433B17"/>
    <w:rsid w:val="0043588C"/>
    <w:rsid w:val="004375ED"/>
    <w:rsid w:val="004377A2"/>
    <w:rsid w:val="00437A8B"/>
    <w:rsid w:val="0044029B"/>
    <w:rsid w:val="00440B11"/>
    <w:rsid w:val="0044207D"/>
    <w:rsid w:val="00442D32"/>
    <w:rsid w:val="00443937"/>
    <w:rsid w:val="00445988"/>
    <w:rsid w:val="004470BE"/>
    <w:rsid w:val="00447FE5"/>
    <w:rsid w:val="00450614"/>
    <w:rsid w:val="0045082C"/>
    <w:rsid w:val="00450B83"/>
    <w:rsid w:val="004535E3"/>
    <w:rsid w:val="00456852"/>
    <w:rsid w:val="00456CED"/>
    <w:rsid w:val="004617B8"/>
    <w:rsid w:val="0046426E"/>
    <w:rsid w:val="0046504E"/>
    <w:rsid w:val="00467C8E"/>
    <w:rsid w:val="004758AF"/>
    <w:rsid w:val="004758FE"/>
    <w:rsid w:val="00475E2B"/>
    <w:rsid w:val="00476E72"/>
    <w:rsid w:val="00481DE3"/>
    <w:rsid w:val="00482262"/>
    <w:rsid w:val="004830C8"/>
    <w:rsid w:val="004837AB"/>
    <w:rsid w:val="00483A2F"/>
    <w:rsid w:val="00483C0A"/>
    <w:rsid w:val="00487ADF"/>
    <w:rsid w:val="00490DBF"/>
    <w:rsid w:val="00494769"/>
    <w:rsid w:val="00494F12"/>
    <w:rsid w:val="00497571"/>
    <w:rsid w:val="004A13B5"/>
    <w:rsid w:val="004A254B"/>
    <w:rsid w:val="004A464B"/>
    <w:rsid w:val="004A46B5"/>
    <w:rsid w:val="004A5382"/>
    <w:rsid w:val="004A6E34"/>
    <w:rsid w:val="004A6EE1"/>
    <w:rsid w:val="004B1BEE"/>
    <w:rsid w:val="004B22E7"/>
    <w:rsid w:val="004B2AB8"/>
    <w:rsid w:val="004B6492"/>
    <w:rsid w:val="004B6AD7"/>
    <w:rsid w:val="004C0344"/>
    <w:rsid w:val="004C0895"/>
    <w:rsid w:val="004C1BA6"/>
    <w:rsid w:val="004C3A31"/>
    <w:rsid w:val="004C3D5C"/>
    <w:rsid w:val="004D04EB"/>
    <w:rsid w:val="004D0DA3"/>
    <w:rsid w:val="004D3C91"/>
    <w:rsid w:val="004D4385"/>
    <w:rsid w:val="004D770C"/>
    <w:rsid w:val="004E0A28"/>
    <w:rsid w:val="004E12CD"/>
    <w:rsid w:val="004E3243"/>
    <w:rsid w:val="004E370E"/>
    <w:rsid w:val="004E402A"/>
    <w:rsid w:val="004E5D3D"/>
    <w:rsid w:val="004F006C"/>
    <w:rsid w:val="004F0A29"/>
    <w:rsid w:val="004F3D32"/>
    <w:rsid w:val="004F407C"/>
    <w:rsid w:val="004F4387"/>
    <w:rsid w:val="004F4787"/>
    <w:rsid w:val="004F66A9"/>
    <w:rsid w:val="004F7059"/>
    <w:rsid w:val="004F7A45"/>
    <w:rsid w:val="004F7F85"/>
    <w:rsid w:val="00500AD7"/>
    <w:rsid w:val="005015C9"/>
    <w:rsid w:val="00501FCD"/>
    <w:rsid w:val="005029C2"/>
    <w:rsid w:val="00502A41"/>
    <w:rsid w:val="00506B56"/>
    <w:rsid w:val="00510BF5"/>
    <w:rsid w:val="00511231"/>
    <w:rsid w:val="00511247"/>
    <w:rsid w:val="0051467B"/>
    <w:rsid w:val="005146C8"/>
    <w:rsid w:val="00515265"/>
    <w:rsid w:val="00517E74"/>
    <w:rsid w:val="00521BA7"/>
    <w:rsid w:val="005221C2"/>
    <w:rsid w:val="00525051"/>
    <w:rsid w:val="005252E2"/>
    <w:rsid w:val="00526D27"/>
    <w:rsid w:val="00527672"/>
    <w:rsid w:val="00527ED4"/>
    <w:rsid w:val="00530C2D"/>
    <w:rsid w:val="00530EAD"/>
    <w:rsid w:val="00534AE0"/>
    <w:rsid w:val="00537682"/>
    <w:rsid w:val="005409D3"/>
    <w:rsid w:val="00541B55"/>
    <w:rsid w:val="005439C7"/>
    <w:rsid w:val="0054577D"/>
    <w:rsid w:val="00546BE0"/>
    <w:rsid w:val="005511D5"/>
    <w:rsid w:val="00551564"/>
    <w:rsid w:val="0055390E"/>
    <w:rsid w:val="005548C5"/>
    <w:rsid w:val="00554E71"/>
    <w:rsid w:val="00560F5F"/>
    <w:rsid w:val="00561350"/>
    <w:rsid w:val="00563E22"/>
    <w:rsid w:val="0056768C"/>
    <w:rsid w:val="00567ECD"/>
    <w:rsid w:val="00570856"/>
    <w:rsid w:val="00575081"/>
    <w:rsid w:val="00575DC6"/>
    <w:rsid w:val="00580859"/>
    <w:rsid w:val="0058233D"/>
    <w:rsid w:val="0058306B"/>
    <w:rsid w:val="005831A0"/>
    <w:rsid w:val="00585FB5"/>
    <w:rsid w:val="005875EC"/>
    <w:rsid w:val="00591586"/>
    <w:rsid w:val="005940B2"/>
    <w:rsid w:val="00595686"/>
    <w:rsid w:val="005A0936"/>
    <w:rsid w:val="005A1143"/>
    <w:rsid w:val="005A14BC"/>
    <w:rsid w:val="005A3E90"/>
    <w:rsid w:val="005A3EDE"/>
    <w:rsid w:val="005A4C16"/>
    <w:rsid w:val="005A70C4"/>
    <w:rsid w:val="005B3F0E"/>
    <w:rsid w:val="005B4DB4"/>
    <w:rsid w:val="005B6484"/>
    <w:rsid w:val="005B6F36"/>
    <w:rsid w:val="005B753D"/>
    <w:rsid w:val="005C214C"/>
    <w:rsid w:val="005C298B"/>
    <w:rsid w:val="005C29D9"/>
    <w:rsid w:val="005D18D3"/>
    <w:rsid w:val="005D24AD"/>
    <w:rsid w:val="005D3438"/>
    <w:rsid w:val="005D3442"/>
    <w:rsid w:val="005D391C"/>
    <w:rsid w:val="005D426A"/>
    <w:rsid w:val="005D4B7E"/>
    <w:rsid w:val="005D5579"/>
    <w:rsid w:val="005E2E7C"/>
    <w:rsid w:val="005E440E"/>
    <w:rsid w:val="005E58DD"/>
    <w:rsid w:val="005E7551"/>
    <w:rsid w:val="005F1007"/>
    <w:rsid w:val="005F2B8A"/>
    <w:rsid w:val="005F5D19"/>
    <w:rsid w:val="005F6CBF"/>
    <w:rsid w:val="00602DD2"/>
    <w:rsid w:val="00605672"/>
    <w:rsid w:val="00606103"/>
    <w:rsid w:val="006062E0"/>
    <w:rsid w:val="00606FE0"/>
    <w:rsid w:val="0061332C"/>
    <w:rsid w:val="006135E6"/>
    <w:rsid w:val="00615659"/>
    <w:rsid w:val="00616FE1"/>
    <w:rsid w:val="00617345"/>
    <w:rsid w:val="00617DF2"/>
    <w:rsid w:val="00621810"/>
    <w:rsid w:val="00624F67"/>
    <w:rsid w:val="00626E99"/>
    <w:rsid w:val="00632EA5"/>
    <w:rsid w:val="00633905"/>
    <w:rsid w:val="00641087"/>
    <w:rsid w:val="00642D69"/>
    <w:rsid w:val="00643E6E"/>
    <w:rsid w:val="00645447"/>
    <w:rsid w:val="00651D32"/>
    <w:rsid w:val="006529BF"/>
    <w:rsid w:val="006550F8"/>
    <w:rsid w:val="006561DA"/>
    <w:rsid w:val="00656926"/>
    <w:rsid w:val="0065701C"/>
    <w:rsid w:val="006606E6"/>
    <w:rsid w:val="00660BC7"/>
    <w:rsid w:val="00661CE0"/>
    <w:rsid w:val="00662792"/>
    <w:rsid w:val="00666ED7"/>
    <w:rsid w:val="0067152F"/>
    <w:rsid w:val="00671A31"/>
    <w:rsid w:val="00672F75"/>
    <w:rsid w:val="006734CA"/>
    <w:rsid w:val="006744F1"/>
    <w:rsid w:val="0067459C"/>
    <w:rsid w:val="00675F04"/>
    <w:rsid w:val="006818B6"/>
    <w:rsid w:val="006824B8"/>
    <w:rsid w:val="006834EE"/>
    <w:rsid w:val="00683BD5"/>
    <w:rsid w:val="006908F5"/>
    <w:rsid w:val="00693348"/>
    <w:rsid w:val="00693640"/>
    <w:rsid w:val="006946F3"/>
    <w:rsid w:val="00695BBC"/>
    <w:rsid w:val="006A1142"/>
    <w:rsid w:val="006A602E"/>
    <w:rsid w:val="006A7743"/>
    <w:rsid w:val="006B027B"/>
    <w:rsid w:val="006B0B79"/>
    <w:rsid w:val="006B6339"/>
    <w:rsid w:val="006B6C6A"/>
    <w:rsid w:val="006C1567"/>
    <w:rsid w:val="006C15D5"/>
    <w:rsid w:val="006C234F"/>
    <w:rsid w:val="006C386E"/>
    <w:rsid w:val="006C3D0C"/>
    <w:rsid w:val="006C3FBC"/>
    <w:rsid w:val="006C5955"/>
    <w:rsid w:val="006C6F20"/>
    <w:rsid w:val="006D31E1"/>
    <w:rsid w:val="006D343E"/>
    <w:rsid w:val="006D359C"/>
    <w:rsid w:val="006D3940"/>
    <w:rsid w:val="006D519D"/>
    <w:rsid w:val="006E1202"/>
    <w:rsid w:val="006E2710"/>
    <w:rsid w:val="006E2E1D"/>
    <w:rsid w:val="006E63F1"/>
    <w:rsid w:val="006E7542"/>
    <w:rsid w:val="006F1073"/>
    <w:rsid w:val="006F1FD7"/>
    <w:rsid w:val="006F39D0"/>
    <w:rsid w:val="006F6897"/>
    <w:rsid w:val="006F7484"/>
    <w:rsid w:val="006F7746"/>
    <w:rsid w:val="007040FA"/>
    <w:rsid w:val="007071B1"/>
    <w:rsid w:val="00711157"/>
    <w:rsid w:val="00712FFF"/>
    <w:rsid w:val="00713610"/>
    <w:rsid w:val="00714E2B"/>
    <w:rsid w:val="00715B7E"/>
    <w:rsid w:val="00720D29"/>
    <w:rsid w:val="00730CDB"/>
    <w:rsid w:val="00731B46"/>
    <w:rsid w:val="00736C89"/>
    <w:rsid w:val="00736CCE"/>
    <w:rsid w:val="007376B3"/>
    <w:rsid w:val="007413C5"/>
    <w:rsid w:val="00745744"/>
    <w:rsid w:val="007462F1"/>
    <w:rsid w:val="0075032A"/>
    <w:rsid w:val="0075092A"/>
    <w:rsid w:val="007631CF"/>
    <w:rsid w:val="007708B1"/>
    <w:rsid w:val="00770D7D"/>
    <w:rsid w:val="00772497"/>
    <w:rsid w:val="007744E3"/>
    <w:rsid w:val="007756D5"/>
    <w:rsid w:val="00776241"/>
    <w:rsid w:val="00776CA9"/>
    <w:rsid w:val="00776F45"/>
    <w:rsid w:val="00777BEC"/>
    <w:rsid w:val="00781047"/>
    <w:rsid w:val="00782A9F"/>
    <w:rsid w:val="00784474"/>
    <w:rsid w:val="00787F0A"/>
    <w:rsid w:val="00790BDF"/>
    <w:rsid w:val="00791377"/>
    <w:rsid w:val="007917E6"/>
    <w:rsid w:val="007928D4"/>
    <w:rsid w:val="00792B9C"/>
    <w:rsid w:val="007953C4"/>
    <w:rsid w:val="00795512"/>
    <w:rsid w:val="007972AC"/>
    <w:rsid w:val="007A0EFC"/>
    <w:rsid w:val="007A4F15"/>
    <w:rsid w:val="007A5340"/>
    <w:rsid w:val="007A674B"/>
    <w:rsid w:val="007B2DC6"/>
    <w:rsid w:val="007B5FA8"/>
    <w:rsid w:val="007B6C2E"/>
    <w:rsid w:val="007B6EB4"/>
    <w:rsid w:val="007B6FDF"/>
    <w:rsid w:val="007C0C73"/>
    <w:rsid w:val="007C1823"/>
    <w:rsid w:val="007C7892"/>
    <w:rsid w:val="007D03DD"/>
    <w:rsid w:val="007D0C7B"/>
    <w:rsid w:val="007D1D53"/>
    <w:rsid w:val="007D27F3"/>
    <w:rsid w:val="007D43A8"/>
    <w:rsid w:val="007D4C7B"/>
    <w:rsid w:val="007D62C7"/>
    <w:rsid w:val="007D70EC"/>
    <w:rsid w:val="007E10EB"/>
    <w:rsid w:val="007E1611"/>
    <w:rsid w:val="007E4719"/>
    <w:rsid w:val="007E4B98"/>
    <w:rsid w:val="007E6A15"/>
    <w:rsid w:val="007E6A27"/>
    <w:rsid w:val="007F687A"/>
    <w:rsid w:val="007F6AA7"/>
    <w:rsid w:val="007F7AC6"/>
    <w:rsid w:val="00803061"/>
    <w:rsid w:val="00804A74"/>
    <w:rsid w:val="00807EEE"/>
    <w:rsid w:val="0081087D"/>
    <w:rsid w:val="008109D6"/>
    <w:rsid w:val="00810F65"/>
    <w:rsid w:val="008135F4"/>
    <w:rsid w:val="00813893"/>
    <w:rsid w:val="008149E7"/>
    <w:rsid w:val="00815DBF"/>
    <w:rsid w:val="008218D6"/>
    <w:rsid w:val="0082266E"/>
    <w:rsid w:val="008234E2"/>
    <w:rsid w:val="00824361"/>
    <w:rsid w:val="008327EE"/>
    <w:rsid w:val="0083350D"/>
    <w:rsid w:val="00834968"/>
    <w:rsid w:val="00835417"/>
    <w:rsid w:val="00840F38"/>
    <w:rsid w:val="00842E74"/>
    <w:rsid w:val="0084355F"/>
    <w:rsid w:val="0084374B"/>
    <w:rsid w:val="00843BE5"/>
    <w:rsid w:val="0084580C"/>
    <w:rsid w:val="008458A0"/>
    <w:rsid w:val="00846519"/>
    <w:rsid w:val="0084777B"/>
    <w:rsid w:val="0085037B"/>
    <w:rsid w:val="00855030"/>
    <w:rsid w:val="00856577"/>
    <w:rsid w:val="00856B64"/>
    <w:rsid w:val="0085702A"/>
    <w:rsid w:val="00857DEF"/>
    <w:rsid w:val="008602F0"/>
    <w:rsid w:val="00861748"/>
    <w:rsid w:val="00861F13"/>
    <w:rsid w:val="0086285C"/>
    <w:rsid w:val="00862C81"/>
    <w:rsid w:val="00863DD9"/>
    <w:rsid w:val="00866446"/>
    <w:rsid w:val="008672BC"/>
    <w:rsid w:val="0086741B"/>
    <w:rsid w:val="00870BDD"/>
    <w:rsid w:val="00874CE9"/>
    <w:rsid w:val="008751A3"/>
    <w:rsid w:val="008771C4"/>
    <w:rsid w:val="00880204"/>
    <w:rsid w:val="008840CA"/>
    <w:rsid w:val="00886F29"/>
    <w:rsid w:val="00887F70"/>
    <w:rsid w:val="0089027D"/>
    <w:rsid w:val="00892517"/>
    <w:rsid w:val="008927FE"/>
    <w:rsid w:val="00892A25"/>
    <w:rsid w:val="00897DAB"/>
    <w:rsid w:val="008A0633"/>
    <w:rsid w:val="008A1724"/>
    <w:rsid w:val="008A3386"/>
    <w:rsid w:val="008A37D8"/>
    <w:rsid w:val="008A53F2"/>
    <w:rsid w:val="008B09B1"/>
    <w:rsid w:val="008B09D2"/>
    <w:rsid w:val="008B2F4C"/>
    <w:rsid w:val="008B474E"/>
    <w:rsid w:val="008C04DA"/>
    <w:rsid w:val="008C1CE8"/>
    <w:rsid w:val="008C24B6"/>
    <w:rsid w:val="008C3987"/>
    <w:rsid w:val="008C3E5B"/>
    <w:rsid w:val="008C487C"/>
    <w:rsid w:val="008C4C28"/>
    <w:rsid w:val="008C5224"/>
    <w:rsid w:val="008D07ED"/>
    <w:rsid w:val="008D0BF9"/>
    <w:rsid w:val="008D2CBA"/>
    <w:rsid w:val="008D40D6"/>
    <w:rsid w:val="008D4381"/>
    <w:rsid w:val="008E0886"/>
    <w:rsid w:val="008E0FCC"/>
    <w:rsid w:val="008E2FE3"/>
    <w:rsid w:val="008E5EB0"/>
    <w:rsid w:val="008E5F34"/>
    <w:rsid w:val="008E7872"/>
    <w:rsid w:val="008F0FBE"/>
    <w:rsid w:val="008F2267"/>
    <w:rsid w:val="008F3EE2"/>
    <w:rsid w:val="008F4CB7"/>
    <w:rsid w:val="008F4FBB"/>
    <w:rsid w:val="008F5D30"/>
    <w:rsid w:val="008F6B23"/>
    <w:rsid w:val="009021FE"/>
    <w:rsid w:val="009034CF"/>
    <w:rsid w:val="00910B3C"/>
    <w:rsid w:val="00911243"/>
    <w:rsid w:val="0091202E"/>
    <w:rsid w:val="0091226B"/>
    <w:rsid w:val="00912EA2"/>
    <w:rsid w:val="00915D6E"/>
    <w:rsid w:val="009161B8"/>
    <w:rsid w:val="0091627F"/>
    <w:rsid w:val="00916488"/>
    <w:rsid w:val="00916D06"/>
    <w:rsid w:val="009223EA"/>
    <w:rsid w:val="009231E0"/>
    <w:rsid w:val="00923933"/>
    <w:rsid w:val="00924365"/>
    <w:rsid w:val="00926E16"/>
    <w:rsid w:val="009270B9"/>
    <w:rsid w:val="00933EF5"/>
    <w:rsid w:val="00935BE4"/>
    <w:rsid w:val="00935F01"/>
    <w:rsid w:val="009371E8"/>
    <w:rsid w:val="0094084D"/>
    <w:rsid w:val="00943FF0"/>
    <w:rsid w:val="00944392"/>
    <w:rsid w:val="0094508D"/>
    <w:rsid w:val="009506A7"/>
    <w:rsid w:val="009549DD"/>
    <w:rsid w:val="0095686F"/>
    <w:rsid w:val="00960CAB"/>
    <w:rsid w:val="00962D6C"/>
    <w:rsid w:val="0096333C"/>
    <w:rsid w:val="009655F6"/>
    <w:rsid w:val="00965D9D"/>
    <w:rsid w:val="00967230"/>
    <w:rsid w:val="00967374"/>
    <w:rsid w:val="00967B56"/>
    <w:rsid w:val="00972236"/>
    <w:rsid w:val="00972C13"/>
    <w:rsid w:val="00974EE3"/>
    <w:rsid w:val="00976F3B"/>
    <w:rsid w:val="00980729"/>
    <w:rsid w:val="009812D7"/>
    <w:rsid w:val="009815F0"/>
    <w:rsid w:val="00982E99"/>
    <w:rsid w:val="0098491A"/>
    <w:rsid w:val="0099267F"/>
    <w:rsid w:val="00993BFE"/>
    <w:rsid w:val="00993CE0"/>
    <w:rsid w:val="00995931"/>
    <w:rsid w:val="009963CB"/>
    <w:rsid w:val="00997B5A"/>
    <w:rsid w:val="009A3D14"/>
    <w:rsid w:val="009A4998"/>
    <w:rsid w:val="009A5714"/>
    <w:rsid w:val="009A5A15"/>
    <w:rsid w:val="009A5DA7"/>
    <w:rsid w:val="009A764B"/>
    <w:rsid w:val="009B0892"/>
    <w:rsid w:val="009B0FED"/>
    <w:rsid w:val="009B1AEC"/>
    <w:rsid w:val="009B1BCD"/>
    <w:rsid w:val="009B2845"/>
    <w:rsid w:val="009B2D0A"/>
    <w:rsid w:val="009B3481"/>
    <w:rsid w:val="009C0FAC"/>
    <w:rsid w:val="009C10B3"/>
    <w:rsid w:val="009C59BA"/>
    <w:rsid w:val="009C644E"/>
    <w:rsid w:val="009C6F56"/>
    <w:rsid w:val="009D1D57"/>
    <w:rsid w:val="009D1DE1"/>
    <w:rsid w:val="009D266A"/>
    <w:rsid w:val="009D39BD"/>
    <w:rsid w:val="009D6FEF"/>
    <w:rsid w:val="009E14F0"/>
    <w:rsid w:val="009E2544"/>
    <w:rsid w:val="009E2770"/>
    <w:rsid w:val="009E2D72"/>
    <w:rsid w:val="009E41C2"/>
    <w:rsid w:val="009E4A43"/>
    <w:rsid w:val="009E6C5F"/>
    <w:rsid w:val="009F2261"/>
    <w:rsid w:val="009F24D1"/>
    <w:rsid w:val="009F3537"/>
    <w:rsid w:val="00A03A6A"/>
    <w:rsid w:val="00A06D42"/>
    <w:rsid w:val="00A12450"/>
    <w:rsid w:val="00A13C4B"/>
    <w:rsid w:val="00A25657"/>
    <w:rsid w:val="00A27907"/>
    <w:rsid w:val="00A30B0A"/>
    <w:rsid w:val="00A31880"/>
    <w:rsid w:val="00A329B6"/>
    <w:rsid w:val="00A32C19"/>
    <w:rsid w:val="00A32FFB"/>
    <w:rsid w:val="00A367A1"/>
    <w:rsid w:val="00A37CBD"/>
    <w:rsid w:val="00A415D2"/>
    <w:rsid w:val="00A4372E"/>
    <w:rsid w:val="00A44717"/>
    <w:rsid w:val="00A460BA"/>
    <w:rsid w:val="00A47EC1"/>
    <w:rsid w:val="00A510F6"/>
    <w:rsid w:val="00A53684"/>
    <w:rsid w:val="00A54F89"/>
    <w:rsid w:val="00A645A9"/>
    <w:rsid w:val="00A651C9"/>
    <w:rsid w:val="00A657F1"/>
    <w:rsid w:val="00A6700F"/>
    <w:rsid w:val="00A70F57"/>
    <w:rsid w:val="00A733E0"/>
    <w:rsid w:val="00A757F5"/>
    <w:rsid w:val="00A758DC"/>
    <w:rsid w:val="00A75B4C"/>
    <w:rsid w:val="00A762A2"/>
    <w:rsid w:val="00A76331"/>
    <w:rsid w:val="00A765EA"/>
    <w:rsid w:val="00A80739"/>
    <w:rsid w:val="00A83829"/>
    <w:rsid w:val="00A85AFF"/>
    <w:rsid w:val="00A86875"/>
    <w:rsid w:val="00A95100"/>
    <w:rsid w:val="00AA2A39"/>
    <w:rsid w:val="00AA615B"/>
    <w:rsid w:val="00AA6B2A"/>
    <w:rsid w:val="00AA7209"/>
    <w:rsid w:val="00AB04F9"/>
    <w:rsid w:val="00AB0DED"/>
    <w:rsid w:val="00AB254D"/>
    <w:rsid w:val="00AB5F84"/>
    <w:rsid w:val="00AB616D"/>
    <w:rsid w:val="00AC0948"/>
    <w:rsid w:val="00AC0C81"/>
    <w:rsid w:val="00AC5FE7"/>
    <w:rsid w:val="00AC799F"/>
    <w:rsid w:val="00AD21C2"/>
    <w:rsid w:val="00AD2BDD"/>
    <w:rsid w:val="00AD51A8"/>
    <w:rsid w:val="00AD5FA4"/>
    <w:rsid w:val="00AD7725"/>
    <w:rsid w:val="00AE13A1"/>
    <w:rsid w:val="00AE194E"/>
    <w:rsid w:val="00AE1CAD"/>
    <w:rsid w:val="00AE355C"/>
    <w:rsid w:val="00AE37B5"/>
    <w:rsid w:val="00AE44D0"/>
    <w:rsid w:val="00AE5EFD"/>
    <w:rsid w:val="00AE6142"/>
    <w:rsid w:val="00AE668A"/>
    <w:rsid w:val="00AE6858"/>
    <w:rsid w:val="00AF185A"/>
    <w:rsid w:val="00AF2203"/>
    <w:rsid w:val="00AF25C8"/>
    <w:rsid w:val="00AF4523"/>
    <w:rsid w:val="00AF5C62"/>
    <w:rsid w:val="00AF6D01"/>
    <w:rsid w:val="00AF7270"/>
    <w:rsid w:val="00AF7DE1"/>
    <w:rsid w:val="00AF7F8A"/>
    <w:rsid w:val="00B00B72"/>
    <w:rsid w:val="00B0135B"/>
    <w:rsid w:val="00B03A2D"/>
    <w:rsid w:val="00B06445"/>
    <w:rsid w:val="00B1005D"/>
    <w:rsid w:val="00B100E5"/>
    <w:rsid w:val="00B139DC"/>
    <w:rsid w:val="00B169A0"/>
    <w:rsid w:val="00B17BC5"/>
    <w:rsid w:val="00B2158C"/>
    <w:rsid w:val="00B2365C"/>
    <w:rsid w:val="00B24E57"/>
    <w:rsid w:val="00B2594C"/>
    <w:rsid w:val="00B259A3"/>
    <w:rsid w:val="00B26E57"/>
    <w:rsid w:val="00B30582"/>
    <w:rsid w:val="00B30D96"/>
    <w:rsid w:val="00B33648"/>
    <w:rsid w:val="00B35792"/>
    <w:rsid w:val="00B37155"/>
    <w:rsid w:val="00B406AA"/>
    <w:rsid w:val="00B40E44"/>
    <w:rsid w:val="00B411C7"/>
    <w:rsid w:val="00B43CD5"/>
    <w:rsid w:val="00B44EB3"/>
    <w:rsid w:val="00B46660"/>
    <w:rsid w:val="00B47CBC"/>
    <w:rsid w:val="00B502EC"/>
    <w:rsid w:val="00B506DA"/>
    <w:rsid w:val="00B5123E"/>
    <w:rsid w:val="00B51D72"/>
    <w:rsid w:val="00B522C4"/>
    <w:rsid w:val="00B52B0E"/>
    <w:rsid w:val="00B5337D"/>
    <w:rsid w:val="00B54309"/>
    <w:rsid w:val="00B56215"/>
    <w:rsid w:val="00B62DD9"/>
    <w:rsid w:val="00B63A7D"/>
    <w:rsid w:val="00B6427D"/>
    <w:rsid w:val="00B64553"/>
    <w:rsid w:val="00B65290"/>
    <w:rsid w:val="00B669B2"/>
    <w:rsid w:val="00B67C63"/>
    <w:rsid w:val="00B70D6A"/>
    <w:rsid w:val="00B70E26"/>
    <w:rsid w:val="00B718F1"/>
    <w:rsid w:val="00B71D17"/>
    <w:rsid w:val="00B74D24"/>
    <w:rsid w:val="00B77186"/>
    <w:rsid w:val="00B771D4"/>
    <w:rsid w:val="00B77C40"/>
    <w:rsid w:val="00B810AD"/>
    <w:rsid w:val="00B81CA8"/>
    <w:rsid w:val="00B81F75"/>
    <w:rsid w:val="00B84BE3"/>
    <w:rsid w:val="00B84E9D"/>
    <w:rsid w:val="00B863F6"/>
    <w:rsid w:val="00B9397D"/>
    <w:rsid w:val="00B9767F"/>
    <w:rsid w:val="00B97D95"/>
    <w:rsid w:val="00BA383B"/>
    <w:rsid w:val="00BA59EC"/>
    <w:rsid w:val="00BA6091"/>
    <w:rsid w:val="00BA7E78"/>
    <w:rsid w:val="00BB0EA7"/>
    <w:rsid w:val="00BB3DBA"/>
    <w:rsid w:val="00BB59F9"/>
    <w:rsid w:val="00BB65E0"/>
    <w:rsid w:val="00BC0F2E"/>
    <w:rsid w:val="00BC15B8"/>
    <w:rsid w:val="00BC3D32"/>
    <w:rsid w:val="00BC5279"/>
    <w:rsid w:val="00BC6627"/>
    <w:rsid w:val="00BC6C4E"/>
    <w:rsid w:val="00BC71A3"/>
    <w:rsid w:val="00BD0990"/>
    <w:rsid w:val="00BD0A88"/>
    <w:rsid w:val="00BD23BD"/>
    <w:rsid w:val="00BD3459"/>
    <w:rsid w:val="00BD5120"/>
    <w:rsid w:val="00BD5341"/>
    <w:rsid w:val="00BD58A7"/>
    <w:rsid w:val="00BD7FF3"/>
    <w:rsid w:val="00BE1E33"/>
    <w:rsid w:val="00BE2AD3"/>
    <w:rsid w:val="00BE2B56"/>
    <w:rsid w:val="00BE36F7"/>
    <w:rsid w:val="00BE3CD6"/>
    <w:rsid w:val="00BE4E4A"/>
    <w:rsid w:val="00BE50B7"/>
    <w:rsid w:val="00BF1787"/>
    <w:rsid w:val="00BF2443"/>
    <w:rsid w:val="00C00831"/>
    <w:rsid w:val="00C01D15"/>
    <w:rsid w:val="00C02D09"/>
    <w:rsid w:val="00C03689"/>
    <w:rsid w:val="00C069D0"/>
    <w:rsid w:val="00C07863"/>
    <w:rsid w:val="00C11BCD"/>
    <w:rsid w:val="00C12201"/>
    <w:rsid w:val="00C13418"/>
    <w:rsid w:val="00C1405A"/>
    <w:rsid w:val="00C20AC5"/>
    <w:rsid w:val="00C22412"/>
    <w:rsid w:val="00C2474F"/>
    <w:rsid w:val="00C247F3"/>
    <w:rsid w:val="00C24EAC"/>
    <w:rsid w:val="00C25E14"/>
    <w:rsid w:val="00C26186"/>
    <w:rsid w:val="00C266A5"/>
    <w:rsid w:val="00C31ED6"/>
    <w:rsid w:val="00C32446"/>
    <w:rsid w:val="00C345AE"/>
    <w:rsid w:val="00C35F04"/>
    <w:rsid w:val="00C37AC1"/>
    <w:rsid w:val="00C37DBE"/>
    <w:rsid w:val="00C40C84"/>
    <w:rsid w:val="00C44228"/>
    <w:rsid w:val="00C443CE"/>
    <w:rsid w:val="00C4526C"/>
    <w:rsid w:val="00C502C7"/>
    <w:rsid w:val="00C5077C"/>
    <w:rsid w:val="00C50B1B"/>
    <w:rsid w:val="00C515D0"/>
    <w:rsid w:val="00C52801"/>
    <w:rsid w:val="00C60885"/>
    <w:rsid w:val="00C6210F"/>
    <w:rsid w:val="00C63CE5"/>
    <w:rsid w:val="00C67218"/>
    <w:rsid w:val="00C70C7D"/>
    <w:rsid w:val="00C745C6"/>
    <w:rsid w:val="00C75D22"/>
    <w:rsid w:val="00C75DB8"/>
    <w:rsid w:val="00C76A82"/>
    <w:rsid w:val="00C76D92"/>
    <w:rsid w:val="00C77224"/>
    <w:rsid w:val="00C87A79"/>
    <w:rsid w:val="00C909D4"/>
    <w:rsid w:val="00C92B82"/>
    <w:rsid w:val="00C956D0"/>
    <w:rsid w:val="00C964DE"/>
    <w:rsid w:val="00C96C57"/>
    <w:rsid w:val="00C97F69"/>
    <w:rsid w:val="00CA0586"/>
    <w:rsid w:val="00CA05BB"/>
    <w:rsid w:val="00CA12D8"/>
    <w:rsid w:val="00CA3C3B"/>
    <w:rsid w:val="00CA5790"/>
    <w:rsid w:val="00CA61DB"/>
    <w:rsid w:val="00CA634C"/>
    <w:rsid w:val="00CB004E"/>
    <w:rsid w:val="00CB0D87"/>
    <w:rsid w:val="00CB0FD4"/>
    <w:rsid w:val="00CB7787"/>
    <w:rsid w:val="00CC02F1"/>
    <w:rsid w:val="00CC1134"/>
    <w:rsid w:val="00CC3C9A"/>
    <w:rsid w:val="00CC3DEC"/>
    <w:rsid w:val="00CD05DC"/>
    <w:rsid w:val="00CD3C6F"/>
    <w:rsid w:val="00CD5DF3"/>
    <w:rsid w:val="00CE0973"/>
    <w:rsid w:val="00CE153F"/>
    <w:rsid w:val="00CE58C4"/>
    <w:rsid w:val="00CF183E"/>
    <w:rsid w:val="00CF326B"/>
    <w:rsid w:val="00CF56D7"/>
    <w:rsid w:val="00CF605F"/>
    <w:rsid w:val="00CF6525"/>
    <w:rsid w:val="00CF6C6F"/>
    <w:rsid w:val="00D01C40"/>
    <w:rsid w:val="00D058DF"/>
    <w:rsid w:val="00D0763E"/>
    <w:rsid w:val="00D12644"/>
    <w:rsid w:val="00D13774"/>
    <w:rsid w:val="00D14A23"/>
    <w:rsid w:val="00D1531B"/>
    <w:rsid w:val="00D15EAB"/>
    <w:rsid w:val="00D22CDB"/>
    <w:rsid w:val="00D22F7F"/>
    <w:rsid w:val="00D24682"/>
    <w:rsid w:val="00D24F06"/>
    <w:rsid w:val="00D25AEF"/>
    <w:rsid w:val="00D349EE"/>
    <w:rsid w:val="00D3779A"/>
    <w:rsid w:val="00D404BB"/>
    <w:rsid w:val="00D40A8F"/>
    <w:rsid w:val="00D421E8"/>
    <w:rsid w:val="00D43ADB"/>
    <w:rsid w:val="00D43ECF"/>
    <w:rsid w:val="00D516F2"/>
    <w:rsid w:val="00D52EFC"/>
    <w:rsid w:val="00D5473B"/>
    <w:rsid w:val="00D56763"/>
    <w:rsid w:val="00D56766"/>
    <w:rsid w:val="00D56CC4"/>
    <w:rsid w:val="00D56D47"/>
    <w:rsid w:val="00D62056"/>
    <w:rsid w:val="00D644D8"/>
    <w:rsid w:val="00D648B0"/>
    <w:rsid w:val="00D7088A"/>
    <w:rsid w:val="00D70FB4"/>
    <w:rsid w:val="00D74A1C"/>
    <w:rsid w:val="00D759EF"/>
    <w:rsid w:val="00D75BD6"/>
    <w:rsid w:val="00D76E57"/>
    <w:rsid w:val="00D815C1"/>
    <w:rsid w:val="00D822D9"/>
    <w:rsid w:val="00D838D1"/>
    <w:rsid w:val="00D843FF"/>
    <w:rsid w:val="00D84DC5"/>
    <w:rsid w:val="00D85C85"/>
    <w:rsid w:val="00D87665"/>
    <w:rsid w:val="00D87808"/>
    <w:rsid w:val="00D923D3"/>
    <w:rsid w:val="00D92F6C"/>
    <w:rsid w:val="00D93CB6"/>
    <w:rsid w:val="00D95879"/>
    <w:rsid w:val="00D95C0B"/>
    <w:rsid w:val="00D961FC"/>
    <w:rsid w:val="00D97A6B"/>
    <w:rsid w:val="00DA2FA3"/>
    <w:rsid w:val="00DA585A"/>
    <w:rsid w:val="00DA681A"/>
    <w:rsid w:val="00DA76F0"/>
    <w:rsid w:val="00DB3F57"/>
    <w:rsid w:val="00DB4079"/>
    <w:rsid w:val="00DB7208"/>
    <w:rsid w:val="00DB751D"/>
    <w:rsid w:val="00DC0138"/>
    <w:rsid w:val="00DC0F98"/>
    <w:rsid w:val="00DC10EA"/>
    <w:rsid w:val="00DC1941"/>
    <w:rsid w:val="00DC1FAD"/>
    <w:rsid w:val="00DC22C6"/>
    <w:rsid w:val="00DC2515"/>
    <w:rsid w:val="00DC4BB8"/>
    <w:rsid w:val="00DC59FA"/>
    <w:rsid w:val="00DC679E"/>
    <w:rsid w:val="00DD0E98"/>
    <w:rsid w:val="00DD1A92"/>
    <w:rsid w:val="00DD265C"/>
    <w:rsid w:val="00DD2D2E"/>
    <w:rsid w:val="00DE0A9A"/>
    <w:rsid w:val="00DE0E26"/>
    <w:rsid w:val="00DE3047"/>
    <w:rsid w:val="00DE6220"/>
    <w:rsid w:val="00DE64DE"/>
    <w:rsid w:val="00DE7AB4"/>
    <w:rsid w:val="00DF0661"/>
    <w:rsid w:val="00DF118E"/>
    <w:rsid w:val="00DF217A"/>
    <w:rsid w:val="00DF2F9C"/>
    <w:rsid w:val="00DF4D86"/>
    <w:rsid w:val="00DF5FDD"/>
    <w:rsid w:val="00DF6644"/>
    <w:rsid w:val="00DF6A51"/>
    <w:rsid w:val="00DF7033"/>
    <w:rsid w:val="00DF7BCF"/>
    <w:rsid w:val="00DF7F6E"/>
    <w:rsid w:val="00E0053A"/>
    <w:rsid w:val="00E01D84"/>
    <w:rsid w:val="00E01E05"/>
    <w:rsid w:val="00E030B1"/>
    <w:rsid w:val="00E0556E"/>
    <w:rsid w:val="00E06637"/>
    <w:rsid w:val="00E13111"/>
    <w:rsid w:val="00E137BB"/>
    <w:rsid w:val="00E16A21"/>
    <w:rsid w:val="00E16A8F"/>
    <w:rsid w:val="00E16D8B"/>
    <w:rsid w:val="00E17AA0"/>
    <w:rsid w:val="00E204B4"/>
    <w:rsid w:val="00E221EC"/>
    <w:rsid w:val="00E224A4"/>
    <w:rsid w:val="00E26AD9"/>
    <w:rsid w:val="00E27B94"/>
    <w:rsid w:val="00E30022"/>
    <w:rsid w:val="00E3199C"/>
    <w:rsid w:val="00E335A9"/>
    <w:rsid w:val="00E33820"/>
    <w:rsid w:val="00E34A66"/>
    <w:rsid w:val="00E35B0E"/>
    <w:rsid w:val="00E42425"/>
    <w:rsid w:val="00E43682"/>
    <w:rsid w:val="00E522D4"/>
    <w:rsid w:val="00E5368A"/>
    <w:rsid w:val="00E53A9A"/>
    <w:rsid w:val="00E53ED1"/>
    <w:rsid w:val="00E5460B"/>
    <w:rsid w:val="00E54BB4"/>
    <w:rsid w:val="00E62E6F"/>
    <w:rsid w:val="00E6312F"/>
    <w:rsid w:val="00E63ADB"/>
    <w:rsid w:val="00E64988"/>
    <w:rsid w:val="00E64A38"/>
    <w:rsid w:val="00E650D8"/>
    <w:rsid w:val="00E664DA"/>
    <w:rsid w:val="00E67F4E"/>
    <w:rsid w:val="00E75356"/>
    <w:rsid w:val="00E756AC"/>
    <w:rsid w:val="00E82153"/>
    <w:rsid w:val="00E82679"/>
    <w:rsid w:val="00E8356F"/>
    <w:rsid w:val="00E8381A"/>
    <w:rsid w:val="00E85358"/>
    <w:rsid w:val="00E861B6"/>
    <w:rsid w:val="00E87596"/>
    <w:rsid w:val="00E87794"/>
    <w:rsid w:val="00E96422"/>
    <w:rsid w:val="00EA2206"/>
    <w:rsid w:val="00EA3B7D"/>
    <w:rsid w:val="00EA4081"/>
    <w:rsid w:val="00EA5A59"/>
    <w:rsid w:val="00EB3D8F"/>
    <w:rsid w:val="00EB42D3"/>
    <w:rsid w:val="00EB5184"/>
    <w:rsid w:val="00EB67D6"/>
    <w:rsid w:val="00EB6C86"/>
    <w:rsid w:val="00EB79B1"/>
    <w:rsid w:val="00EC092E"/>
    <w:rsid w:val="00EC1F05"/>
    <w:rsid w:val="00EC28A2"/>
    <w:rsid w:val="00EC2D8F"/>
    <w:rsid w:val="00ED09CF"/>
    <w:rsid w:val="00ED0FE3"/>
    <w:rsid w:val="00ED1F11"/>
    <w:rsid w:val="00ED2621"/>
    <w:rsid w:val="00ED3EF0"/>
    <w:rsid w:val="00ED5E06"/>
    <w:rsid w:val="00EE121F"/>
    <w:rsid w:val="00EE2707"/>
    <w:rsid w:val="00EE4DA0"/>
    <w:rsid w:val="00EF2CA6"/>
    <w:rsid w:val="00EF3D1B"/>
    <w:rsid w:val="00EF4DC4"/>
    <w:rsid w:val="00EF553C"/>
    <w:rsid w:val="00EF59C6"/>
    <w:rsid w:val="00F0422A"/>
    <w:rsid w:val="00F0523A"/>
    <w:rsid w:val="00F05DEE"/>
    <w:rsid w:val="00F0717E"/>
    <w:rsid w:val="00F117B1"/>
    <w:rsid w:val="00F12C90"/>
    <w:rsid w:val="00F12D75"/>
    <w:rsid w:val="00F134F9"/>
    <w:rsid w:val="00F17AD4"/>
    <w:rsid w:val="00F218E0"/>
    <w:rsid w:val="00F21DDD"/>
    <w:rsid w:val="00F23CE5"/>
    <w:rsid w:val="00F24382"/>
    <w:rsid w:val="00F24C62"/>
    <w:rsid w:val="00F267C7"/>
    <w:rsid w:val="00F26DB6"/>
    <w:rsid w:val="00F27497"/>
    <w:rsid w:val="00F30366"/>
    <w:rsid w:val="00F31211"/>
    <w:rsid w:val="00F33F55"/>
    <w:rsid w:val="00F33F7F"/>
    <w:rsid w:val="00F34138"/>
    <w:rsid w:val="00F34863"/>
    <w:rsid w:val="00F3642B"/>
    <w:rsid w:val="00F3784C"/>
    <w:rsid w:val="00F379D7"/>
    <w:rsid w:val="00F40221"/>
    <w:rsid w:val="00F41276"/>
    <w:rsid w:val="00F418A2"/>
    <w:rsid w:val="00F4230D"/>
    <w:rsid w:val="00F45997"/>
    <w:rsid w:val="00F45E31"/>
    <w:rsid w:val="00F46851"/>
    <w:rsid w:val="00F47FCE"/>
    <w:rsid w:val="00F501D2"/>
    <w:rsid w:val="00F5266F"/>
    <w:rsid w:val="00F55AB2"/>
    <w:rsid w:val="00F55C60"/>
    <w:rsid w:val="00F560D1"/>
    <w:rsid w:val="00F56447"/>
    <w:rsid w:val="00F573FF"/>
    <w:rsid w:val="00F619ED"/>
    <w:rsid w:val="00F61FCB"/>
    <w:rsid w:val="00F61FCE"/>
    <w:rsid w:val="00F64055"/>
    <w:rsid w:val="00F645CD"/>
    <w:rsid w:val="00F64BF6"/>
    <w:rsid w:val="00F659B8"/>
    <w:rsid w:val="00F66231"/>
    <w:rsid w:val="00F67011"/>
    <w:rsid w:val="00F70D0C"/>
    <w:rsid w:val="00F710C6"/>
    <w:rsid w:val="00F72327"/>
    <w:rsid w:val="00F737C5"/>
    <w:rsid w:val="00F739D2"/>
    <w:rsid w:val="00F8284E"/>
    <w:rsid w:val="00F848D2"/>
    <w:rsid w:val="00F87FD4"/>
    <w:rsid w:val="00F90890"/>
    <w:rsid w:val="00F911E4"/>
    <w:rsid w:val="00F9481A"/>
    <w:rsid w:val="00F964FD"/>
    <w:rsid w:val="00F96AB1"/>
    <w:rsid w:val="00F97692"/>
    <w:rsid w:val="00F9783F"/>
    <w:rsid w:val="00F978B3"/>
    <w:rsid w:val="00FA2523"/>
    <w:rsid w:val="00FA282C"/>
    <w:rsid w:val="00FA547C"/>
    <w:rsid w:val="00FA7068"/>
    <w:rsid w:val="00FB0CCD"/>
    <w:rsid w:val="00FB44F1"/>
    <w:rsid w:val="00FB603A"/>
    <w:rsid w:val="00FC194C"/>
    <w:rsid w:val="00FC3C38"/>
    <w:rsid w:val="00FC49DE"/>
    <w:rsid w:val="00FC755D"/>
    <w:rsid w:val="00FD17AB"/>
    <w:rsid w:val="00FD2200"/>
    <w:rsid w:val="00FD376E"/>
    <w:rsid w:val="00FD3BC2"/>
    <w:rsid w:val="00FD4AF2"/>
    <w:rsid w:val="00FD724A"/>
    <w:rsid w:val="00FE00F9"/>
    <w:rsid w:val="00FE22E3"/>
    <w:rsid w:val="00FE3DFF"/>
    <w:rsid w:val="00FF0CEE"/>
    <w:rsid w:val="00FF3341"/>
    <w:rsid w:val="00FF34F7"/>
    <w:rsid w:val="00FF3519"/>
    <w:rsid w:val="00FF780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0F1F1"/>
  <w15:chartTrackingRefBased/>
  <w15:docId w15:val="{BC932481-D884-4528-9B02-C5C5F77CC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7C"/>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8C487C"/>
    <w:pPr>
      <w:tabs>
        <w:tab w:val="center" w:pos="4419"/>
        <w:tab w:val="right" w:pos="8838"/>
      </w:tabs>
    </w:pPr>
  </w:style>
  <w:style w:type="character" w:customStyle="1" w:styleId="PiedepginaCar">
    <w:name w:val="Pie de página Car"/>
    <w:basedOn w:val="Fuentedeprrafopredeter"/>
    <w:link w:val="Piedepgina"/>
    <w:uiPriority w:val="99"/>
    <w:rsid w:val="008C487C"/>
    <w:rPr>
      <w:sz w:val="24"/>
      <w:lang w:val="es-MX"/>
    </w:rPr>
  </w:style>
  <w:style w:type="paragraph" w:styleId="Encabezado">
    <w:name w:val="header"/>
    <w:basedOn w:val="Normal"/>
    <w:link w:val="EncabezadoCar"/>
    <w:uiPriority w:val="99"/>
    <w:unhideWhenUsed/>
    <w:rsid w:val="008C487C"/>
    <w:pPr>
      <w:tabs>
        <w:tab w:val="center" w:pos="4252"/>
        <w:tab w:val="right" w:pos="8504"/>
      </w:tabs>
    </w:pPr>
  </w:style>
  <w:style w:type="character" w:customStyle="1" w:styleId="EncabezadoCar">
    <w:name w:val="Encabezado Car"/>
    <w:basedOn w:val="Fuentedeprrafopredeter"/>
    <w:link w:val="Encabezado"/>
    <w:uiPriority w:val="99"/>
    <w:rsid w:val="008C487C"/>
    <w:rPr>
      <w:sz w:val="24"/>
      <w:lang w:val="es-MX"/>
    </w:rPr>
  </w:style>
  <w:style w:type="table" w:styleId="Tablaconcuadrcula">
    <w:name w:val="Table Grid"/>
    <w:basedOn w:val="Tablanormal"/>
    <w:uiPriority w:val="39"/>
    <w:rsid w:val="008C4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8C487C"/>
    <w:pPr>
      <w:ind w:left="720"/>
      <w:contextualSpacing/>
    </w:pPr>
  </w:style>
  <w:style w:type="paragraph" w:styleId="Sinespaciado">
    <w:name w:val="No Spacing"/>
    <w:aliases w:val="No Indent"/>
    <w:uiPriority w:val="3"/>
    <w:qFormat/>
    <w:rsid w:val="008C487C"/>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C487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8C487C"/>
    <w:rPr>
      <w:sz w:val="20"/>
      <w:szCs w:val="20"/>
    </w:rPr>
  </w:style>
  <w:style w:type="character" w:customStyle="1" w:styleId="TextonotapieCar1">
    <w:name w:val="Texto nota pie Car1"/>
    <w:basedOn w:val="Fuentedeprrafopredeter"/>
    <w:uiPriority w:val="99"/>
    <w:semiHidden/>
    <w:rsid w:val="008C487C"/>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487C"/>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8C487C"/>
    <w:rPr>
      <w:vertAlign w:val="superscript"/>
    </w:rPr>
  </w:style>
  <w:style w:type="character" w:styleId="Hipervnculo">
    <w:name w:val="Hyperlink"/>
    <w:basedOn w:val="Fuentedeprrafopredeter"/>
    <w:uiPriority w:val="99"/>
    <w:unhideWhenUsed/>
    <w:rsid w:val="008C487C"/>
    <w:rPr>
      <w:color w:val="0563C1" w:themeColor="hyperlink"/>
      <w:u w:val="single"/>
    </w:rPr>
  </w:style>
  <w:style w:type="paragraph" w:styleId="Textodeglobo">
    <w:name w:val="Balloon Text"/>
    <w:basedOn w:val="Normal"/>
    <w:link w:val="TextodegloboCar"/>
    <w:uiPriority w:val="99"/>
    <w:semiHidden/>
    <w:unhideWhenUsed/>
    <w:rsid w:val="00B6529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5290"/>
    <w:rPr>
      <w:rFonts w:ascii="Segoe UI" w:hAnsi="Segoe UI" w:cs="Segoe UI"/>
      <w:sz w:val="18"/>
      <w:szCs w:val="18"/>
      <w:lang w:val="es-MX"/>
    </w:rPr>
  </w:style>
  <w:style w:type="paragraph" w:customStyle="1" w:styleId="Default">
    <w:name w:val="Default"/>
    <w:rsid w:val="00430B5A"/>
    <w:pPr>
      <w:autoSpaceDE w:val="0"/>
      <w:autoSpaceDN w:val="0"/>
      <w:adjustRightInd w:val="0"/>
      <w:spacing w:after="0" w:line="240" w:lineRule="auto"/>
    </w:pPr>
    <w:rPr>
      <w:rFonts w:ascii="Arial" w:hAnsi="Arial" w:cs="Arial"/>
      <w:color w:val="000000"/>
      <w:sz w:val="24"/>
      <w:szCs w:val="24"/>
      <w:lang w:val="es-MX"/>
    </w:rPr>
  </w:style>
  <w:style w:type="character" w:customStyle="1" w:styleId="Mencinsinresolver1">
    <w:name w:val="Mención sin resolver1"/>
    <w:basedOn w:val="Fuentedeprrafopredeter"/>
    <w:uiPriority w:val="99"/>
    <w:semiHidden/>
    <w:unhideWhenUsed/>
    <w:rsid w:val="00BE2AD3"/>
    <w:rPr>
      <w:color w:val="605E5C"/>
      <w:shd w:val="clear" w:color="auto" w:fill="E1DFDD"/>
    </w:rPr>
  </w:style>
  <w:style w:type="paragraph" w:customStyle="1" w:styleId="InviasNormal">
    <w:name w:val="Invias Normal"/>
    <w:basedOn w:val="Normal"/>
    <w:link w:val="InviasNormalCar"/>
    <w:qFormat/>
    <w:rsid w:val="00BE1E33"/>
    <w:pPr>
      <w:tabs>
        <w:tab w:val="left" w:pos="-142"/>
      </w:tabs>
      <w:autoSpaceDE w:val="0"/>
      <w:autoSpaceDN w:val="0"/>
      <w:adjustRightInd w:val="0"/>
      <w:spacing w:before="120" w:after="240"/>
      <w:jc w:val="both"/>
    </w:pPr>
    <w:rPr>
      <w:rFonts w:ascii="Arial Narrow" w:eastAsia="Times New Roman" w:hAnsi="Arial Narrow" w:cs="Times New Roman"/>
      <w:color w:val="3B3838" w:themeColor="background2" w:themeShade="40"/>
      <w:szCs w:val="24"/>
      <w:lang w:val="x-none" w:eastAsia="es-ES"/>
    </w:rPr>
  </w:style>
  <w:style w:type="character" w:customStyle="1" w:styleId="InviasNormalCar">
    <w:name w:val="Invias Normal Car"/>
    <w:link w:val="InviasNormal"/>
    <w:locked/>
    <w:rsid w:val="00BE1E33"/>
    <w:rPr>
      <w:rFonts w:ascii="Arial Narrow" w:eastAsia="Times New Roman" w:hAnsi="Arial Narrow" w:cs="Times New Roman"/>
      <w:color w:val="3B3838" w:themeColor="background2" w:themeShade="40"/>
      <w:sz w:val="24"/>
      <w:szCs w:val="24"/>
      <w:lang w:val="x-none" w:eastAsia="es-ES"/>
    </w:rPr>
  </w:style>
  <w:style w:type="paragraph" w:customStyle="1" w:styleId="Invias-VietaNumerada">
    <w:name w:val="Invias-Viñeta Numerada"/>
    <w:next w:val="Normal"/>
    <w:link w:val="Invias-VietaNumeradaCar"/>
    <w:uiPriority w:val="99"/>
    <w:qFormat/>
    <w:rsid w:val="00BE1E33"/>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BE1E33"/>
    <w:rPr>
      <w:rFonts w:ascii="Arial Narrow" w:eastAsia="Times New Roman" w:hAnsi="Arial Narrow" w:cs="Times New Roman"/>
      <w:sz w:val="24"/>
      <w:szCs w:val="24"/>
      <w:lang w:val="en-US" w:eastAsia="es-ES"/>
    </w:rPr>
  </w:style>
  <w:style w:type="character" w:styleId="Refdecomentario">
    <w:name w:val="annotation reference"/>
    <w:basedOn w:val="Fuentedeprrafopredeter"/>
    <w:uiPriority w:val="99"/>
    <w:semiHidden/>
    <w:unhideWhenUsed/>
    <w:rsid w:val="006C15D5"/>
    <w:rPr>
      <w:sz w:val="16"/>
      <w:szCs w:val="16"/>
    </w:rPr>
  </w:style>
  <w:style w:type="paragraph" w:styleId="Textocomentario">
    <w:name w:val="annotation text"/>
    <w:basedOn w:val="Normal"/>
    <w:link w:val="TextocomentarioCar"/>
    <w:uiPriority w:val="99"/>
    <w:unhideWhenUsed/>
    <w:rsid w:val="006C15D5"/>
    <w:rPr>
      <w:sz w:val="20"/>
      <w:szCs w:val="20"/>
    </w:rPr>
  </w:style>
  <w:style w:type="character" w:customStyle="1" w:styleId="TextocomentarioCar">
    <w:name w:val="Texto comentario Car"/>
    <w:basedOn w:val="Fuentedeprrafopredeter"/>
    <w:link w:val="Textocomentario"/>
    <w:uiPriority w:val="99"/>
    <w:rsid w:val="006C15D5"/>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6C15D5"/>
    <w:rPr>
      <w:b/>
      <w:bCs/>
    </w:rPr>
  </w:style>
  <w:style w:type="character" w:customStyle="1" w:styleId="AsuntodelcomentarioCar">
    <w:name w:val="Asunto del comentario Car"/>
    <w:basedOn w:val="TextocomentarioCar"/>
    <w:link w:val="Asuntodelcomentario"/>
    <w:uiPriority w:val="99"/>
    <w:semiHidden/>
    <w:rsid w:val="006C15D5"/>
    <w:rPr>
      <w:b/>
      <w:bCs/>
      <w:sz w:val="20"/>
      <w:szCs w:val="20"/>
      <w:lang w:val="es-MX"/>
    </w:rPr>
  </w:style>
  <w:style w:type="paragraph" w:styleId="NormalWeb">
    <w:name w:val="Normal (Web)"/>
    <w:basedOn w:val="Normal"/>
    <w:link w:val="NormalWebCar"/>
    <w:uiPriority w:val="99"/>
    <w:unhideWhenUsed/>
    <w:rsid w:val="00E17AA0"/>
    <w:pPr>
      <w:spacing w:before="100" w:beforeAutospacing="1" w:after="100" w:afterAutospacing="1"/>
    </w:pPr>
    <w:rPr>
      <w:rFonts w:ascii="Times New Roman" w:eastAsia="Times New Roman" w:hAnsi="Times New Roman" w:cs="Times New Roman"/>
      <w:szCs w:val="24"/>
      <w:lang w:val="es-CO" w:eastAsia="es-ES_tradnl"/>
    </w:rPr>
  </w:style>
  <w:style w:type="paragraph" w:styleId="Revisin">
    <w:name w:val="Revision"/>
    <w:hidden/>
    <w:uiPriority w:val="99"/>
    <w:semiHidden/>
    <w:rsid w:val="006062E0"/>
    <w:pPr>
      <w:spacing w:after="0" w:line="240" w:lineRule="auto"/>
    </w:pPr>
    <w:rPr>
      <w:sz w:val="24"/>
      <w:lang w:val="es-MX"/>
    </w:rPr>
  </w:style>
  <w:style w:type="paragraph" w:styleId="Textonotaalfinal">
    <w:name w:val="endnote text"/>
    <w:basedOn w:val="Normal"/>
    <w:link w:val="TextonotaalfinalCar"/>
    <w:uiPriority w:val="99"/>
    <w:semiHidden/>
    <w:unhideWhenUsed/>
    <w:rsid w:val="00B63A7D"/>
    <w:rPr>
      <w:sz w:val="20"/>
      <w:szCs w:val="20"/>
    </w:rPr>
  </w:style>
  <w:style w:type="character" w:customStyle="1" w:styleId="TextonotaalfinalCar">
    <w:name w:val="Texto nota al final Car"/>
    <w:basedOn w:val="Fuentedeprrafopredeter"/>
    <w:link w:val="Textonotaalfinal"/>
    <w:uiPriority w:val="99"/>
    <w:semiHidden/>
    <w:rsid w:val="00B63A7D"/>
    <w:rPr>
      <w:sz w:val="20"/>
      <w:szCs w:val="20"/>
      <w:lang w:val="es-MX"/>
    </w:rPr>
  </w:style>
  <w:style w:type="character" w:styleId="Refdenotaalfinal">
    <w:name w:val="endnote reference"/>
    <w:basedOn w:val="Fuentedeprrafopredeter"/>
    <w:uiPriority w:val="99"/>
    <w:semiHidden/>
    <w:unhideWhenUsed/>
    <w:rsid w:val="00B63A7D"/>
    <w:rPr>
      <w:vertAlign w:val="superscript"/>
    </w:rPr>
  </w:style>
  <w:style w:type="paragraph" w:styleId="Textoindependiente">
    <w:name w:val="Body Text"/>
    <w:basedOn w:val="Normal"/>
    <w:link w:val="TextoindependienteCar"/>
    <w:uiPriority w:val="1"/>
    <w:qFormat/>
    <w:rsid w:val="00B26E57"/>
    <w:pPr>
      <w:widowControl w:val="0"/>
      <w:autoSpaceDE w:val="0"/>
      <w:autoSpaceDN w:val="0"/>
    </w:pPr>
    <w:rPr>
      <w:rFonts w:ascii="Arial" w:eastAsia="Arial" w:hAnsi="Arial" w:cs="Arial"/>
      <w:sz w:val="22"/>
      <w:lang w:val="es-ES"/>
    </w:rPr>
  </w:style>
  <w:style w:type="character" w:customStyle="1" w:styleId="TextoindependienteCar">
    <w:name w:val="Texto independiente Car"/>
    <w:basedOn w:val="Fuentedeprrafopredeter"/>
    <w:link w:val="Textoindependiente"/>
    <w:uiPriority w:val="1"/>
    <w:rsid w:val="00B26E57"/>
    <w:rPr>
      <w:rFonts w:ascii="Arial" w:eastAsia="Arial" w:hAnsi="Arial" w:cs="Arial"/>
      <w:lang w:val="es-ES"/>
    </w:rPr>
  </w:style>
  <w:style w:type="character" w:customStyle="1" w:styleId="normaltextrun">
    <w:name w:val="normaltextrun"/>
    <w:basedOn w:val="Fuentedeprrafopredeter"/>
    <w:rsid w:val="00F964FD"/>
  </w:style>
  <w:style w:type="paragraph" w:customStyle="1" w:styleId="Appelnotedebasde">
    <w:name w:val="Appel note de bas de..."/>
    <w:basedOn w:val="Normal"/>
    <w:link w:val="Refdenotaalpie"/>
    <w:uiPriority w:val="99"/>
    <w:rsid w:val="009223EA"/>
    <w:pPr>
      <w:spacing w:after="160" w:line="240" w:lineRule="exact"/>
    </w:pPr>
    <w:rPr>
      <w:sz w:val="22"/>
      <w:vertAlign w:val="superscript"/>
      <w:lang w:val="es-CO"/>
    </w:rPr>
  </w:style>
  <w:style w:type="paragraph" w:customStyle="1" w:styleId="Textoindependiente21">
    <w:name w:val="Texto independiente 21"/>
    <w:basedOn w:val="Normal"/>
    <w:rsid w:val="00CE153F"/>
    <w:pPr>
      <w:overflowPunct w:val="0"/>
      <w:autoSpaceDE w:val="0"/>
      <w:autoSpaceDN w:val="0"/>
      <w:adjustRightInd w:val="0"/>
      <w:spacing w:line="360" w:lineRule="auto"/>
      <w:ind w:firstLine="710"/>
      <w:jc w:val="both"/>
      <w:textAlignment w:val="baseline"/>
    </w:pPr>
    <w:rPr>
      <w:rFonts w:ascii="Arial" w:eastAsia="Times New Roman" w:hAnsi="Arial" w:cs="Times New Roman"/>
      <w:szCs w:val="20"/>
      <w:lang w:val="es-CO" w:eastAsia="es-ES"/>
    </w:rPr>
  </w:style>
  <w:style w:type="character" w:styleId="Textoennegrita">
    <w:name w:val="Strong"/>
    <w:uiPriority w:val="22"/>
    <w:qFormat/>
    <w:rsid w:val="005409D3"/>
    <w:rPr>
      <w:b/>
      <w:bCs/>
    </w:rPr>
  </w:style>
  <w:style w:type="table" w:customStyle="1" w:styleId="Tablaconcuadrcula2">
    <w:name w:val="Tabla con cuadrícula2"/>
    <w:basedOn w:val="Tablanormal"/>
    <w:next w:val="Tablaconcuadrcula"/>
    <w:uiPriority w:val="39"/>
    <w:rsid w:val="00CF60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6A1142"/>
  </w:style>
  <w:style w:type="character" w:styleId="nfasis">
    <w:name w:val="Emphasis"/>
    <w:basedOn w:val="Fuentedeprrafopredeter"/>
    <w:uiPriority w:val="20"/>
    <w:qFormat/>
    <w:rsid w:val="00D56CC4"/>
    <w:rPr>
      <w:i/>
      <w:iCs/>
    </w:rPr>
  </w:style>
  <w:style w:type="character" w:customStyle="1" w:styleId="NormalWebCar">
    <w:name w:val="Normal (Web) Car"/>
    <w:link w:val="NormalWeb"/>
    <w:uiPriority w:val="99"/>
    <w:rsid w:val="00D56CC4"/>
    <w:rPr>
      <w:rFonts w:ascii="Times New Roman" w:eastAsia="Times New Roman" w:hAnsi="Times New Roman" w:cs="Times New Roman"/>
      <w:sz w:val="24"/>
      <w:szCs w:val="24"/>
      <w:lang w:eastAsia="es-ES_tradnl"/>
    </w:rPr>
  </w:style>
  <w:style w:type="paragraph" w:customStyle="1" w:styleId="Car1">
    <w:name w:val="Car1"/>
    <w:basedOn w:val="Normal"/>
    <w:next w:val="Textonotapie"/>
    <w:uiPriority w:val="99"/>
    <w:unhideWhenUsed/>
    <w:qFormat/>
    <w:rsid w:val="004D4385"/>
    <w:rPr>
      <w:rFonts w:ascii="Calibri" w:eastAsia="Calibri"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68898">
      <w:bodyDiv w:val="1"/>
      <w:marLeft w:val="0"/>
      <w:marRight w:val="0"/>
      <w:marTop w:val="0"/>
      <w:marBottom w:val="0"/>
      <w:divBdr>
        <w:top w:val="none" w:sz="0" w:space="0" w:color="auto"/>
        <w:left w:val="none" w:sz="0" w:space="0" w:color="auto"/>
        <w:bottom w:val="none" w:sz="0" w:space="0" w:color="auto"/>
        <w:right w:val="none" w:sz="0" w:space="0" w:color="auto"/>
      </w:divBdr>
    </w:div>
    <w:div w:id="98061915">
      <w:bodyDiv w:val="1"/>
      <w:marLeft w:val="0"/>
      <w:marRight w:val="0"/>
      <w:marTop w:val="0"/>
      <w:marBottom w:val="0"/>
      <w:divBdr>
        <w:top w:val="none" w:sz="0" w:space="0" w:color="auto"/>
        <w:left w:val="none" w:sz="0" w:space="0" w:color="auto"/>
        <w:bottom w:val="none" w:sz="0" w:space="0" w:color="auto"/>
        <w:right w:val="none" w:sz="0" w:space="0" w:color="auto"/>
      </w:divBdr>
    </w:div>
    <w:div w:id="99225316">
      <w:bodyDiv w:val="1"/>
      <w:marLeft w:val="0"/>
      <w:marRight w:val="0"/>
      <w:marTop w:val="0"/>
      <w:marBottom w:val="0"/>
      <w:divBdr>
        <w:top w:val="none" w:sz="0" w:space="0" w:color="auto"/>
        <w:left w:val="none" w:sz="0" w:space="0" w:color="auto"/>
        <w:bottom w:val="none" w:sz="0" w:space="0" w:color="auto"/>
        <w:right w:val="none" w:sz="0" w:space="0" w:color="auto"/>
      </w:divBdr>
    </w:div>
    <w:div w:id="110368420">
      <w:bodyDiv w:val="1"/>
      <w:marLeft w:val="0"/>
      <w:marRight w:val="0"/>
      <w:marTop w:val="0"/>
      <w:marBottom w:val="0"/>
      <w:divBdr>
        <w:top w:val="none" w:sz="0" w:space="0" w:color="auto"/>
        <w:left w:val="none" w:sz="0" w:space="0" w:color="auto"/>
        <w:bottom w:val="none" w:sz="0" w:space="0" w:color="auto"/>
        <w:right w:val="none" w:sz="0" w:space="0" w:color="auto"/>
      </w:divBdr>
    </w:div>
    <w:div w:id="119567785">
      <w:bodyDiv w:val="1"/>
      <w:marLeft w:val="0"/>
      <w:marRight w:val="0"/>
      <w:marTop w:val="0"/>
      <w:marBottom w:val="0"/>
      <w:divBdr>
        <w:top w:val="none" w:sz="0" w:space="0" w:color="auto"/>
        <w:left w:val="none" w:sz="0" w:space="0" w:color="auto"/>
        <w:bottom w:val="none" w:sz="0" w:space="0" w:color="auto"/>
        <w:right w:val="none" w:sz="0" w:space="0" w:color="auto"/>
      </w:divBdr>
    </w:div>
    <w:div w:id="139076228">
      <w:bodyDiv w:val="1"/>
      <w:marLeft w:val="0"/>
      <w:marRight w:val="0"/>
      <w:marTop w:val="0"/>
      <w:marBottom w:val="0"/>
      <w:divBdr>
        <w:top w:val="none" w:sz="0" w:space="0" w:color="auto"/>
        <w:left w:val="none" w:sz="0" w:space="0" w:color="auto"/>
        <w:bottom w:val="none" w:sz="0" w:space="0" w:color="auto"/>
        <w:right w:val="none" w:sz="0" w:space="0" w:color="auto"/>
      </w:divBdr>
    </w:div>
    <w:div w:id="165286871">
      <w:bodyDiv w:val="1"/>
      <w:marLeft w:val="0"/>
      <w:marRight w:val="0"/>
      <w:marTop w:val="0"/>
      <w:marBottom w:val="0"/>
      <w:divBdr>
        <w:top w:val="none" w:sz="0" w:space="0" w:color="auto"/>
        <w:left w:val="none" w:sz="0" w:space="0" w:color="auto"/>
        <w:bottom w:val="none" w:sz="0" w:space="0" w:color="auto"/>
        <w:right w:val="none" w:sz="0" w:space="0" w:color="auto"/>
      </w:divBdr>
    </w:div>
    <w:div w:id="229006121">
      <w:bodyDiv w:val="1"/>
      <w:marLeft w:val="0"/>
      <w:marRight w:val="0"/>
      <w:marTop w:val="0"/>
      <w:marBottom w:val="0"/>
      <w:divBdr>
        <w:top w:val="none" w:sz="0" w:space="0" w:color="auto"/>
        <w:left w:val="none" w:sz="0" w:space="0" w:color="auto"/>
        <w:bottom w:val="none" w:sz="0" w:space="0" w:color="auto"/>
        <w:right w:val="none" w:sz="0" w:space="0" w:color="auto"/>
      </w:divBdr>
    </w:div>
    <w:div w:id="249974752">
      <w:bodyDiv w:val="1"/>
      <w:marLeft w:val="0"/>
      <w:marRight w:val="0"/>
      <w:marTop w:val="0"/>
      <w:marBottom w:val="0"/>
      <w:divBdr>
        <w:top w:val="none" w:sz="0" w:space="0" w:color="auto"/>
        <w:left w:val="none" w:sz="0" w:space="0" w:color="auto"/>
        <w:bottom w:val="none" w:sz="0" w:space="0" w:color="auto"/>
        <w:right w:val="none" w:sz="0" w:space="0" w:color="auto"/>
      </w:divBdr>
    </w:div>
    <w:div w:id="312564202">
      <w:bodyDiv w:val="1"/>
      <w:marLeft w:val="0"/>
      <w:marRight w:val="0"/>
      <w:marTop w:val="0"/>
      <w:marBottom w:val="0"/>
      <w:divBdr>
        <w:top w:val="none" w:sz="0" w:space="0" w:color="auto"/>
        <w:left w:val="none" w:sz="0" w:space="0" w:color="auto"/>
        <w:bottom w:val="none" w:sz="0" w:space="0" w:color="auto"/>
        <w:right w:val="none" w:sz="0" w:space="0" w:color="auto"/>
      </w:divBdr>
      <w:divsChild>
        <w:div w:id="1794135826">
          <w:blockQuote w:val="1"/>
          <w:marLeft w:val="600"/>
          <w:marRight w:val="0"/>
          <w:marTop w:val="0"/>
          <w:marBottom w:val="0"/>
          <w:divBdr>
            <w:top w:val="none" w:sz="0" w:space="0" w:color="auto"/>
            <w:left w:val="none" w:sz="0" w:space="0" w:color="auto"/>
            <w:bottom w:val="none" w:sz="0" w:space="0" w:color="auto"/>
            <w:right w:val="none" w:sz="0" w:space="0" w:color="auto"/>
          </w:divBdr>
        </w:div>
        <w:div w:id="891385502">
          <w:blockQuote w:val="1"/>
          <w:marLeft w:val="600"/>
          <w:marRight w:val="0"/>
          <w:marTop w:val="0"/>
          <w:marBottom w:val="0"/>
          <w:divBdr>
            <w:top w:val="none" w:sz="0" w:space="0" w:color="auto"/>
            <w:left w:val="none" w:sz="0" w:space="0" w:color="auto"/>
            <w:bottom w:val="none" w:sz="0" w:space="0" w:color="auto"/>
            <w:right w:val="none" w:sz="0" w:space="0" w:color="auto"/>
          </w:divBdr>
          <w:divsChild>
            <w:div w:id="2084179664">
              <w:marLeft w:val="0"/>
              <w:marRight w:val="0"/>
              <w:marTop w:val="0"/>
              <w:marBottom w:val="0"/>
              <w:divBdr>
                <w:top w:val="none" w:sz="0" w:space="0" w:color="auto"/>
                <w:left w:val="none" w:sz="0" w:space="0" w:color="auto"/>
                <w:bottom w:val="none" w:sz="0" w:space="0" w:color="auto"/>
                <w:right w:val="none" w:sz="0" w:space="0" w:color="auto"/>
              </w:divBdr>
            </w:div>
            <w:div w:id="1440371367">
              <w:marLeft w:val="0"/>
              <w:marRight w:val="0"/>
              <w:marTop w:val="0"/>
              <w:marBottom w:val="0"/>
              <w:divBdr>
                <w:top w:val="none" w:sz="0" w:space="0" w:color="auto"/>
                <w:left w:val="none" w:sz="0" w:space="0" w:color="auto"/>
                <w:bottom w:val="none" w:sz="0" w:space="0" w:color="auto"/>
                <w:right w:val="none" w:sz="0" w:space="0" w:color="auto"/>
              </w:divBdr>
            </w:div>
            <w:div w:id="2037461834">
              <w:marLeft w:val="0"/>
              <w:marRight w:val="0"/>
              <w:marTop w:val="0"/>
              <w:marBottom w:val="0"/>
              <w:divBdr>
                <w:top w:val="none" w:sz="0" w:space="0" w:color="auto"/>
                <w:left w:val="none" w:sz="0" w:space="0" w:color="auto"/>
                <w:bottom w:val="none" w:sz="0" w:space="0" w:color="auto"/>
                <w:right w:val="none" w:sz="0" w:space="0" w:color="auto"/>
              </w:divBdr>
            </w:div>
            <w:div w:id="1965500430">
              <w:blockQuote w:val="1"/>
              <w:marLeft w:val="720"/>
              <w:marRight w:val="0"/>
              <w:marTop w:val="0"/>
              <w:marBottom w:val="0"/>
              <w:divBdr>
                <w:top w:val="none" w:sz="0" w:space="0" w:color="auto"/>
                <w:left w:val="none" w:sz="0" w:space="0" w:color="auto"/>
                <w:bottom w:val="none" w:sz="0" w:space="0" w:color="auto"/>
                <w:right w:val="none" w:sz="0" w:space="0" w:color="auto"/>
              </w:divBdr>
              <w:divsChild>
                <w:div w:id="693531222">
                  <w:marLeft w:val="0"/>
                  <w:marRight w:val="0"/>
                  <w:marTop w:val="0"/>
                  <w:marBottom w:val="0"/>
                  <w:divBdr>
                    <w:top w:val="none" w:sz="0" w:space="0" w:color="auto"/>
                    <w:left w:val="none" w:sz="0" w:space="0" w:color="auto"/>
                    <w:bottom w:val="none" w:sz="0" w:space="0" w:color="auto"/>
                    <w:right w:val="none" w:sz="0" w:space="0" w:color="auto"/>
                  </w:divBdr>
                </w:div>
              </w:divsChild>
            </w:div>
            <w:div w:id="503741413">
              <w:blockQuote w:val="1"/>
              <w:marLeft w:val="720"/>
              <w:marRight w:val="0"/>
              <w:marTop w:val="0"/>
              <w:marBottom w:val="0"/>
              <w:divBdr>
                <w:top w:val="none" w:sz="0" w:space="0" w:color="auto"/>
                <w:left w:val="none" w:sz="0" w:space="0" w:color="auto"/>
                <w:bottom w:val="none" w:sz="0" w:space="0" w:color="auto"/>
                <w:right w:val="none" w:sz="0" w:space="0" w:color="auto"/>
              </w:divBdr>
              <w:divsChild>
                <w:div w:id="171845325">
                  <w:marLeft w:val="0"/>
                  <w:marRight w:val="0"/>
                  <w:marTop w:val="0"/>
                  <w:marBottom w:val="0"/>
                  <w:divBdr>
                    <w:top w:val="none" w:sz="0" w:space="0" w:color="auto"/>
                    <w:left w:val="none" w:sz="0" w:space="0" w:color="auto"/>
                    <w:bottom w:val="none" w:sz="0" w:space="0" w:color="auto"/>
                    <w:right w:val="none" w:sz="0" w:space="0" w:color="auto"/>
                  </w:divBdr>
                  <w:divsChild>
                    <w:div w:id="722144536">
                      <w:marLeft w:val="0"/>
                      <w:marRight w:val="0"/>
                      <w:marTop w:val="0"/>
                      <w:marBottom w:val="0"/>
                      <w:divBdr>
                        <w:top w:val="none" w:sz="0" w:space="0" w:color="auto"/>
                        <w:left w:val="none" w:sz="0" w:space="0" w:color="auto"/>
                        <w:bottom w:val="none" w:sz="0" w:space="0" w:color="auto"/>
                        <w:right w:val="none" w:sz="0" w:space="0" w:color="auto"/>
                      </w:divBdr>
                    </w:div>
                    <w:div w:id="169072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71293">
          <w:marLeft w:val="0"/>
          <w:marRight w:val="0"/>
          <w:marTop w:val="0"/>
          <w:marBottom w:val="0"/>
          <w:divBdr>
            <w:top w:val="none" w:sz="0" w:space="0" w:color="auto"/>
            <w:left w:val="none" w:sz="0" w:space="0" w:color="auto"/>
            <w:bottom w:val="none" w:sz="0" w:space="0" w:color="auto"/>
            <w:right w:val="none" w:sz="0" w:space="0" w:color="auto"/>
          </w:divBdr>
        </w:div>
        <w:div w:id="1200389164">
          <w:marLeft w:val="0"/>
          <w:marRight w:val="0"/>
          <w:marTop w:val="0"/>
          <w:marBottom w:val="0"/>
          <w:divBdr>
            <w:top w:val="none" w:sz="0" w:space="0" w:color="auto"/>
            <w:left w:val="none" w:sz="0" w:space="0" w:color="auto"/>
            <w:bottom w:val="none" w:sz="0" w:space="0" w:color="auto"/>
            <w:right w:val="none" w:sz="0" w:space="0" w:color="auto"/>
          </w:divBdr>
        </w:div>
        <w:div w:id="1433281411">
          <w:marLeft w:val="0"/>
          <w:marRight w:val="0"/>
          <w:marTop w:val="0"/>
          <w:marBottom w:val="0"/>
          <w:divBdr>
            <w:top w:val="none" w:sz="0" w:space="0" w:color="auto"/>
            <w:left w:val="none" w:sz="0" w:space="0" w:color="auto"/>
            <w:bottom w:val="none" w:sz="0" w:space="0" w:color="auto"/>
            <w:right w:val="none" w:sz="0" w:space="0" w:color="auto"/>
          </w:divBdr>
        </w:div>
        <w:div w:id="1553730751">
          <w:marLeft w:val="0"/>
          <w:marRight w:val="0"/>
          <w:marTop w:val="0"/>
          <w:marBottom w:val="0"/>
          <w:divBdr>
            <w:top w:val="none" w:sz="0" w:space="0" w:color="auto"/>
            <w:left w:val="none" w:sz="0" w:space="0" w:color="auto"/>
            <w:bottom w:val="none" w:sz="0" w:space="0" w:color="auto"/>
            <w:right w:val="none" w:sz="0" w:space="0" w:color="auto"/>
          </w:divBdr>
        </w:div>
        <w:div w:id="402526769">
          <w:marLeft w:val="0"/>
          <w:marRight w:val="0"/>
          <w:marTop w:val="0"/>
          <w:marBottom w:val="0"/>
          <w:divBdr>
            <w:top w:val="none" w:sz="0" w:space="0" w:color="auto"/>
            <w:left w:val="none" w:sz="0" w:space="0" w:color="auto"/>
            <w:bottom w:val="none" w:sz="0" w:space="0" w:color="auto"/>
            <w:right w:val="none" w:sz="0" w:space="0" w:color="auto"/>
          </w:divBdr>
        </w:div>
        <w:div w:id="1777868649">
          <w:marLeft w:val="0"/>
          <w:marRight w:val="0"/>
          <w:marTop w:val="0"/>
          <w:marBottom w:val="0"/>
          <w:divBdr>
            <w:top w:val="none" w:sz="0" w:space="0" w:color="auto"/>
            <w:left w:val="none" w:sz="0" w:space="0" w:color="auto"/>
            <w:bottom w:val="none" w:sz="0" w:space="0" w:color="auto"/>
            <w:right w:val="none" w:sz="0" w:space="0" w:color="auto"/>
          </w:divBdr>
        </w:div>
      </w:divsChild>
    </w:div>
    <w:div w:id="614558484">
      <w:bodyDiv w:val="1"/>
      <w:marLeft w:val="0"/>
      <w:marRight w:val="0"/>
      <w:marTop w:val="0"/>
      <w:marBottom w:val="0"/>
      <w:divBdr>
        <w:top w:val="none" w:sz="0" w:space="0" w:color="auto"/>
        <w:left w:val="none" w:sz="0" w:space="0" w:color="auto"/>
        <w:bottom w:val="none" w:sz="0" w:space="0" w:color="auto"/>
        <w:right w:val="none" w:sz="0" w:space="0" w:color="auto"/>
      </w:divBdr>
    </w:div>
    <w:div w:id="625701464">
      <w:bodyDiv w:val="1"/>
      <w:marLeft w:val="0"/>
      <w:marRight w:val="0"/>
      <w:marTop w:val="0"/>
      <w:marBottom w:val="0"/>
      <w:divBdr>
        <w:top w:val="none" w:sz="0" w:space="0" w:color="auto"/>
        <w:left w:val="none" w:sz="0" w:space="0" w:color="auto"/>
        <w:bottom w:val="none" w:sz="0" w:space="0" w:color="auto"/>
        <w:right w:val="none" w:sz="0" w:space="0" w:color="auto"/>
      </w:divBdr>
    </w:div>
    <w:div w:id="745109321">
      <w:bodyDiv w:val="1"/>
      <w:marLeft w:val="0"/>
      <w:marRight w:val="0"/>
      <w:marTop w:val="0"/>
      <w:marBottom w:val="0"/>
      <w:divBdr>
        <w:top w:val="none" w:sz="0" w:space="0" w:color="auto"/>
        <w:left w:val="none" w:sz="0" w:space="0" w:color="auto"/>
        <w:bottom w:val="none" w:sz="0" w:space="0" w:color="auto"/>
        <w:right w:val="none" w:sz="0" w:space="0" w:color="auto"/>
      </w:divBdr>
    </w:div>
    <w:div w:id="758218568">
      <w:bodyDiv w:val="1"/>
      <w:marLeft w:val="0"/>
      <w:marRight w:val="0"/>
      <w:marTop w:val="0"/>
      <w:marBottom w:val="0"/>
      <w:divBdr>
        <w:top w:val="none" w:sz="0" w:space="0" w:color="auto"/>
        <w:left w:val="none" w:sz="0" w:space="0" w:color="auto"/>
        <w:bottom w:val="none" w:sz="0" w:space="0" w:color="auto"/>
        <w:right w:val="none" w:sz="0" w:space="0" w:color="auto"/>
      </w:divBdr>
      <w:divsChild>
        <w:div w:id="453256617">
          <w:marLeft w:val="0"/>
          <w:marRight w:val="0"/>
          <w:marTop w:val="0"/>
          <w:marBottom w:val="0"/>
          <w:divBdr>
            <w:top w:val="none" w:sz="0" w:space="0" w:color="auto"/>
            <w:left w:val="none" w:sz="0" w:space="0" w:color="auto"/>
            <w:bottom w:val="none" w:sz="0" w:space="0" w:color="auto"/>
            <w:right w:val="none" w:sz="0" w:space="0" w:color="auto"/>
          </w:divBdr>
        </w:div>
        <w:div w:id="1613323627">
          <w:marLeft w:val="0"/>
          <w:marRight w:val="0"/>
          <w:marTop w:val="0"/>
          <w:marBottom w:val="0"/>
          <w:divBdr>
            <w:top w:val="none" w:sz="0" w:space="0" w:color="auto"/>
            <w:left w:val="none" w:sz="0" w:space="0" w:color="auto"/>
            <w:bottom w:val="none" w:sz="0" w:space="0" w:color="auto"/>
            <w:right w:val="none" w:sz="0" w:space="0" w:color="auto"/>
          </w:divBdr>
        </w:div>
        <w:div w:id="1981836880">
          <w:marLeft w:val="0"/>
          <w:marRight w:val="0"/>
          <w:marTop w:val="0"/>
          <w:marBottom w:val="0"/>
          <w:divBdr>
            <w:top w:val="none" w:sz="0" w:space="0" w:color="auto"/>
            <w:left w:val="none" w:sz="0" w:space="0" w:color="auto"/>
            <w:bottom w:val="none" w:sz="0" w:space="0" w:color="auto"/>
            <w:right w:val="none" w:sz="0" w:space="0" w:color="auto"/>
          </w:divBdr>
        </w:div>
        <w:div w:id="426385364">
          <w:marLeft w:val="0"/>
          <w:marRight w:val="0"/>
          <w:marTop w:val="0"/>
          <w:marBottom w:val="0"/>
          <w:divBdr>
            <w:top w:val="none" w:sz="0" w:space="0" w:color="auto"/>
            <w:left w:val="none" w:sz="0" w:space="0" w:color="auto"/>
            <w:bottom w:val="none" w:sz="0" w:space="0" w:color="auto"/>
            <w:right w:val="none" w:sz="0" w:space="0" w:color="auto"/>
          </w:divBdr>
        </w:div>
        <w:div w:id="724528403">
          <w:marLeft w:val="0"/>
          <w:marRight w:val="0"/>
          <w:marTop w:val="0"/>
          <w:marBottom w:val="0"/>
          <w:divBdr>
            <w:top w:val="none" w:sz="0" w:space="0" w:color="auto"/>
            <w:left w:val="none" w:sz="0" w:space="0" w:color="auto"/>
            <w:bottom w:val="none" w:sz="0" w:space="0" w:color="auto"/>
            <w:right w:val="none" w:sz="0" w:space="0" w:color="auto"/>
          </w:divBdr>
        </w:div>
        <w:div w:id="746389531">
          <w:marLeft w:val="0"/>
          <w:marRight w:val="0"/>
          <w:marTop w:val="0"/>
          <w:marBottom w:val="0"/>
          <w:divBdr>
            <w:top w:val="none" w:sz="0" w:space="0" w:color="auto"/>
            <w:left w:val="none" w:sz="0" w:space="0" w:color="auto"/>
            <w:bottom w:val="none" w:sz="0" w:space="0" w:color="auto"/>
            <w:right w:val="none" w:sz="0" w:space="0" w:color="auto"/>
          </w:divBdr>
        </w:div>
        <w:div w:id="635260147">
          <w:marLeft w:val="0"/>
          <w:marRight w:val="0"/>
          <w:marTop w:val="0"/>
          <w:marBottom w:val="0"/>
          <w:divBdr>
            <w:top w:val="none" w:sz="0" w:space="0" w:color="auto"/>
            <w:left w:val="none" w:sz="0" w:space="0" w:color="auto"/>
            <w:bottom w:val="none" w:sz="0" w:space="0" w:color="auto"/>
            <w:right w:val="none" w:sz="0" w:space="0" w:color="auto"/>
          </w:divBdr>
        </w:div>
      </w:divsChild>
    </w:div>
    <w:div w:id="867834431">
      <w:bodyDiv w:val="1"/>
      <w:marLeft w:val="0"/>
      <w:marRight w:val="0"/>
      <w:marTop w:val="0"/>
      <w:marBottom w:val="0"/>
      <w:divBdr>
        <w:top w:val="none" w:sz="0" w:space="0" w:color="auto"/>
        <w:left w:val="none" w:sz="0" w:space="0" w:color="auto"/>
        <w:bottom w:val="none" w:sz="0" w:space="0" w:color="auto"/>
        <w:right w:val="none" w:sz="0" w:space="0" w:color="auto"/>
      </w:divBdr>
    </w:div>
    <w:div w:id="871302216">
      <w:bodyDiv w:val="1"/>
      <w:marLeft w:val="0"/>
      <w:marRight w:val="0"/>
      <w:marTop w:val="0"/>
      <w:marBottom w:val="0"/>
      <w:divBdr>
        <w:top w:val="none" w:sz="0" w:space="0" w:color="auto"/>
        <w:left w:val="none" w:sz="0" w:space="0" w:color="auto"/>
        <w:bottom w:val="none" w:sz="0" w:space="0" w:color="auto"/>
        <w:right w:val="none" w:sz="0" w:space="0" w:color="auto"/>
      </w:divBdr>
    </w:div>
    <w:div w:id="970987250">
      <w:bodyDiv w:val="1"/>
      <w:marLeft w:val="0"/>
      <w:marRight w:val="0"/>
      <w:marTop w:val="0"/>
      <w:marBottom w:val="0"/>
      <w:divBdr>
        <w:top w:val="none" w:sz="0" w:space="0" w:color="auto"/>
        <w:left w:val="none" w:sz="0" w:space="0" w:color="auto"/>
        <w:bottom w:val="none" w:sz="0" w:space="0" w:color="auto"/>
        <w:right w:val="none" w:sz="0" w:space="0" w:color="auto"/>
      </w:divBdr>
    </w:div>
    <w:div w:id="1091664537">
      <w:bodyDiv w:val="1"/>
      <w:marLeft w:val="0"/>
      <w:marRight w:val="0"/>
      <w:marTop w:val="0"/>
      <w:marBottom w:val="0"/>
      <w:divBdr>
        <w:top w:val="none" w:sz="0" w:space="0" w:color="auto"/>
        <w:left w:val="none" w:sz="0" w:space="0" w:color="auto"/>
        <w:bottom w:val="none" w:sz="0" w:space="0" w:color="auto"/>
        <w:right w:val="none" w:sz="0" w:space="0" w:color="auto"/>
      </w:divBdr>
    </w:div>
    <w:div w:id="1187020654">
      <w:bodyDiv w:val="1"/>
      <w:marLeft w:val="0"/>
      <w:marRight w:val="0"/>
      <w:marTop w:val="0"/>
      <w:marBottom w:val="0"/>
      <w:divBdr>
        <w:top w:val="none" w:sz="0" w:space="0" w:color="auto"/>
        <w:left w:val="none" w:sz="0" w:space="0" w:color="auto"/>
        <w:bottom w:val="none" w:sz="0" w:space="0" w:color="auto"/>
        <w:right w:val="none" w:sz="0" w:space="0" w:color="auto"/>
      </w:divBdr>
    </w:div>
    <w:div w:id="1359817568">
      <w:bodyDiv w:val="1"/>
      <w:marLeft w:val="0"/>
      <w:marRight w:val="0"/>
      <w:marTop w:val="0"/>
      <w:marBottom w:val="0"/>
      <w:divBdr>
        <w:top w:val="none" w:sz="0" w:space="0" w:color="auto"/>
        <w:left w:val="none" w:sz="0" w:space="0" w:color="auto"/>
        <w:bottom w:val="none" w:sz="0" w:space="0" w:color="auto"/>
        <w:right w:val="none" w:sz="0" w:space="0" w:color="auto"/>
      </w:divBdr>
    </w:div>
    <w:div w:id="1409301886">
      <w:bodyDiv w:val="1"/>
      <w:marLeft w:val="0"/>
      <w:marRight w:val="0"/>
      <w:marTop w:val="0"/>
      <w:marBottom w:val="0"/>
      <w:divBdr>
        <w:top w:val="none" w:sz="0" w:space="0" w:color="auto"/>
        <w:left w:val="none" w:sz="0" w:space="0" w:color="auto"/>
        <w:bottom w:val="none" w:sz="0" w:space="0" w:color="auto"/>
        <w:right w:val="none" w:sz="0" w:space="0" w:color="auto"/>
      </w:divBdr>
    </w:div>
    <w:div w:id="1531383682">
      <w:bodyDiv w:val="1"/>
      <w:marLeft w:val="0"/>
      <w:marRight w:val="0"/>
      <w:marTop w:val="0"/>
      <w:marBottom w:val="0"/>
      <w:divBdr>
        <w:top w:val="none" w:sz="0" w:space="0" w:color="auto"/>
        <w:left w:val="none" w:sz="0" w:space="0" w:color="auto"/>
        <w:bottom w:val="none" w:sz="0" w:space="0" w:color="auto"/>
        <w:right w:val="none" w:sz="0" w:space="0" w:color="auto"/>
      </w:divBdr>
    </w:div>
    <w:div w:id="1548099665">
      <w:bodyDiv w:val="1"/>
      <w:marLeft w:val="0"/>
      <w:marRight w:val="0"/>
      <w:marTop w:val="0"/>
      <w:marBottom w:val="0"/>
      <w:divBdr>
        <w:top w:val="none" w:sz="0" w:space="0" w:color="auto"/>
        <w:left w:val="none" w:sz="0" w:space="0" w:color="auto"/>
        <w:bottom w:val="none" w:sz="0" w:space="0" w:color="auto"/>
        <w:right w:val="none" w:sz="0" w:space="0" w:color="auto"/>
      </w:divBdr>
    </w:div>
    <w:div w:id="1756365929">
      <w:bodyDiv w:val="1"/>
      <w:marLeft w:val="0"/>
      <w:marRight w:val="0"/>
      <w:marTop w:val="0"/>
      <w:marBottom w:val="0"/>
      <w:divBdr>
        <w:top w:val="none" w:sz="0" w:space="0" w:color="auto"/>
        <w:left w:val="none" w:sz="0" w:space="0" w:color="auto"/>
        <w:bottom w:val="none" w:sz="0" w:space="0" w:color="auto"/>
        <w:right w:val="none" w:sz="0" w:space="0" w:color="auto"/>
      </w:divBdr>
    </w:div>
    <w:div w:id="1762330777">
      <w:bodyDiv w:val="1"/>
      <w:marLeft w:val="0"/>
      <w:marRight w:val="0"/>
      <w:marTop w:val="0"/>
      <w:marBottom w:val="0"/>
      <w:divBdr>
        <w:top w:val="none" w:sz="0" w:space="0" w:color="auto"/>
        <w:left w:val="none" w:sz="0" w:space="0" w:color="auto"/>
        <w:bottom w:val="none" w:sz="0" w:space="0" w:color="auto"/>
        <w:right w:val="none" w:sz="0" w:space="0" w:color="auto"/>
      </w:divBdr>
    </w:div>
    <w:div w:id="1836996864">
      <w:bodyDiv w:val="1"/>
      <w:marLeft w:val="0"/>
      <w:marRight w:val="0"/>
      <w:marTop w:val="0"/>
      <w:marBottom w:val="0"/>
      <w:divBdr>
        <w:top w:val="none" w:sz="0" w:space="0" w:color="auto"/>
        <w:left w:val="none" w:sz="0" w:space="0" w:color="auto"/>
        <w:bottom w:val="none" w:sz="0" w:space="0" w:color="auto"/>
        <w:right w:val="none" w:sz="0" w:space="0" w:color="auto"/>
      </w:divBdr>
    </w:div>
    <w:div w:id="1886990557">
      <w:bodyDiv w:val="1"/>
      <w:marLeft w:val="0"/>
      <w:marRight w:val="0"/>
      <w:marTop w:val="0"/>
      <w:marBottom w:val="0"/>
      <w:divBdr>
        <w:top w:val="none" w:sz="0" w:space="0" w:color="auto"/>
        <w:left w:val="none" w:sz="0" w:space="0" w:color="auto"/>
        <w:bottom w:val="none" w:sz="0" w:space="0" w:color="auto"/>
        <w:right w:val="none" w:sz="0" w:space="0" w:color="auto"/>
      </w:divBdr>
    </w:div>
    <w:div w:id="1894345583">
      <w:bodyDiv w:val="1"/>
      <w:marLeft w:val="0"/>
      <w:marRight w:val="0"/>
      <w:marTop w:val="0"/>
      <w:marBottom w:val="0"/>
      <w:divBdr>
        <w:top w:val="none" w:sz="0" w:space="0" w:color="auto"/>
        <w:left w:val="none" w:sz="0" w:space="0" w:color="auto"/>
        <w:bottom w:val="none" w:sz="0" w:space="0" w:color="auto"/>
        <w:right w:val="none" w:sz="0" w:space="0" w:color="auto"/>
      </w:divBdr>
    </w:div>
    <w:div w:id="213995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3F232A-39AF-43B8-B01B-1FC37E4B7193}">
  <ds:schemaRefs>
    <ds:schemaRef ds:uri="http://schemas.openxmlformats.org/officeDocument/2006/bibliography"/>
  </ds:schemaRefs>
</ds:datastoreItem>
</file>

<file path=customXml/itemProps2.xml><?xml version="1.0" encoding="utf-8"?>
<ds:datastoreItem xmlns:ds="http://schemas.openxmlformats.org/officeDocument/2006/customXml" ds:itemID="{CD7B07ED-B6BE-4944-82DD-FD062DF62089}"/>
</file>

<file path=customXml/itemProps3.xml><?xml version="1.0" encoding="utf-8"?>
<ds:datastoreItem xmlns:ds="http://schemas.openxmlformats.org/officeDocument/2006/customXml" ds:itemID="{5C0A85C5-6DD7-49F7-8710-03CB77B71D2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997BBF3F-E837-4F88-BCB0-0E632895B8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4596</Words>
  <Characters>25278</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Castellanos</dc:creator>
  <cp:keywords/>
  <dc:description/>
  <cp:lastModifiedBy>Martin Rojas Mejia</cp:lastModifiedBy>
  <cp:revision>3</cp:revision>
  <cp:lastPrinted>2021-08-12T22:16:00Z</cp:lastPrinted>
  <dcterms:created xsi:type="dcterms:W3CDTF">2022-01-24T21:30:00Z</dcterms:created>
  <dcterms:modified xsi:type="dcterms:W3CDTF">2022-01-26T20:56:00Z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