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3C412" w14:textId="77777777" w:rsidR="001B50C4" w:rsidRPr="001B50C4" w:rsidRDefault="001B50C4" w:rsidP="001B50C4">
      <w:pPr>
        <w:rPr>
          <w:rFonts w:ascii="Arial" w:hAnsi="Arial" w:cs="Arial"/>
          <w:b/>
          <w:color w:val="000000"/>
          <w:sz w:val="22"/>
          <w:szCs w:val="22"/>
          <w:lang w:val="es-ES_tradnl" w:eastAsia="en-US"/>
        </w:rPr>
      </w:pPr>
      <w:r w:rsidRPr="001B50C4">
        <w:rPr>
          <w:rFonts w:ascii="Arial" w:hAnsi="Arial" w:cs="Arial"/>
          <w:b/>
          <w:color w:val="000000"/>
          <w:sz w:val="22"/>
          <w:szCs w:val="22"/>
          <w:lang w:val="es-ES_tradnl" w:eastAsia="en-US"/>
        </w:rPr>
        <w:t xml:space="preserve">ENTIDADES CON RÉGIMEN ESPECIAL </w:t>
      </w:r>
      <w:r w:rsidRPr="001B50C4">
        <w:rPr>
          <w:rFonts w:ascii="Arial" w:hAnsi="Arial" w:cs="Arial"/>
          <w:b/>
          <w:color w:val="000000"/>
          <w:sz w:val="22"/>
          <w:szCs w:val="22"/>
          <w:lang w:eastAsia="en-US"/>
        </w:rPr>
        <w:t>–</w:t>
      </w:r>
      <w:r w:rsidRPr="001B50C4">
        <w:rPr>
          <w:rFonts w:ascii="Arial" w:hAnsi="Arial" w:cs="Arial"/>
          <w:b/>
          <w:color w:val="000000"/>
          <w:sz w:val="22"/>
          <w:szCs w:val="22"/>
          <w:lang w:val="es-ES_tradnl" w:eastAsia="en-US"/>
        </w:rPr>
        <w:t xml:space="preserve"> Definición</w:t>
      </w:r>
    </w:p>
    <w:p w14:paraId="482590E0" w14:textId="77777777" w:rsidR="001B50C4" w:rsidRPr="001B50C4" w:rsidRDefault="001B50C4" w:rsidP="001B50C4">
      <w:pPr>
        <w:rPr>
          <w:rFonts w:ascii="Arial" w:hAnsi="Arial" w:cs="Arial"/>
          <w:b/>
          <w:color w:val="000000"/>
          <w:sz w:val="22"/>
          <w:szCs w:val="22"/>
          <w:lang w:val="es-ES_tradnl" w:eastAsia="en-US"/>
        </w:rPr>
      </w:pPr>
    </w:p>
    <w:p w14:paraId="6433ACE7" w14:textId="77777777" w:rsidR="001B50C4" w:rsidRPr="001B50C4" w:rsidRDefault="001B50C4" w:rsidP="001B50C4">
      <w:pPr>
        <w:rPr>
          <w:rFonts w:ascii="Arial" w:hAnsi="Arial" w:cs="Arial"/>
          <w:bCs/>
          <w:color w:val="000000"/>
          <w:sz w:val="22"/>
          <w:szCs w:val="22"/>
          <w:lang w:val="es-ES_tradnl" w:eastAsia="en-US"/>
        </w:rPr>
      </w:pPr>
      <w:r w:rsidRPr="001B50C4">
        <w:rPr>
          <w:rFonts w:ascii="Arial" w:hAnsi="Arial" w:cs="Arial"/>
          <w:bCs/>
          <w:color w:val="000000"/>
          <w:sz w:val="22"/>
          <w:szCs w:val="22"/>
          <w:lang w:val="es-ES_tradnl" w:eastAsia="en-US"/>
        </w:rPr>
        <w:t>Las entidades con régimen especial de contratación son aquellas que, por expresa disposición legal y por su naturaleza o situación de competencia, tienen condiciones diferenciales respecto de las normas que rigen su gestión contractual. En efecto, respecto de estas el legislador ha considerado que la normativa de contratación a la que se someten debe ser distinta de la contenida en el Estatuto General de Contratación de la Administración Pública y, por ende, sus procedimientos contractuales se regirán por las normas definidas para el efecto, en la disposición que consagre su régimen excepcional, normalmente el derecho privado.</w:t>
      </w:r>
    </w:p>
    <w:p w14:paraId="2D7CF75B" w14:textId="77777777" w:rsidR="001B50C4" w:rsidRPr="001B50C4" w:rsidRDefault="001B50C4" w:rsidP="001B50C4">
      <w:pPr>
        <w:rPr>
          <w:rFonts w:ascii="Arial" w:hAnsi="Arial" w:cs="Arial"/>
          <w:b/>
          <w:color w:val="000000"/>
          <w:sz w:val="22"/>
          <w:szCs w:val="22"/>
          <w:lang w:val="es-ES_tradnl" w:eastAsia="en-US"/>
        </w:rPr>
      </w:pPr>
    </w:p>
    <w:p w14:paraId="2E2A24F1" w14:textId="77777777" w:rsidR="001B50C4" w:rsidRPr="001B50C4" w:rsidRDefault="001B50C4" w:rsidP="001B50C4">
      <w:pPr>
        <w:rPr>
          <w:rFonts w:ascii="Arial" w:hAnsi="Arial" w:cs="Arial"/>
          <w:b/>
          <w:color w:val="000000"/>
          <w:sz w:val="22"/>
          <w:szCs w:val="22"/>
          <w:lang w:val="es-ES_tradnl" w:eastAsia="en-US"/>
        </w:rPr>
      </w:pPr>
      <w:r w:rsidRPr="001B50C4">
        <w:rPr>
          <w:rFonts w:ascii="Arial" w:hAnsi="Arial" w:cs="Arial"/>
          <w:b/>
          <w:color w:val="000000"/>
          <w:sz w:val="22"/>
          <w:szCs w:val="22"/>
          <w:lang w:val="es-ES_tradnl" w:eastAsia="en-US"/>
        </w:rPr>
        <w:t xml:space="preserve">ENTIDADES CON RÉGIMEN ESPECIAL </w:t>
      </w:r>
      <w:r w:rsidRPr="001B50C4">
        <w:rPr>
          <w:rFonts w:ascii="Arial" w:hAnsi="Arial" w:cs="Arial"/>
          <w:b/>
          <w:color w:val="000000"/>
          <w:sz w:val="22"/>
          <w:szCs w:val="22"/>
          <w:lang w:eastAsia="en-US"/>
        </w:rPr>
        <w:t>–</w:t>
      </w:r>
      <w:r w:rsidRPr="001B50C4">
        <w:rPr>
          <w:rFonts w:ascii="Arial" w:hAnsi="Arial" w:cs="Arial"/>
          <w:b/>
          <w:color w:val="000000"/>
          <w:sz w:val="22"/>
          <w:szCs w:val="22"/>
          <w:lang w:val="es-ES_tradnl" w:eastAsia="en-US"/>
        </w:rPr>
        <w:t xml:space="preserve"> Reglas aplicables</w:t>
      </w:r>
    </w:p>
    <w:p w14:paraId="21D804F3" w14:textId="77777777" w:rsidR="001B50C4" w:rsidRPr="001B50C4" w:rsidRDefault="001B50C4" w:rsidP="001B50C4">
      <w:pPr>
        <w:rPr>
          <w:rFonts w:ascii="Arial" w:hAnsi="Arial" w:cs="Arial"/>
          <w:b/>
          <w:color w:val="000000"/>
          <w:sz w:val="22"/>
          <w:szCs w:val="22"/>
          <w:lang w:val="es-ES_tradnl" w:eastAsia="en-US"/>
        </w:rPr>
      </w:pPr>
    </w:p>
    <w:p w14:paraId="7742981E" w14:textId="77777777" w:rsidR="001B50C4" w:rsidRPr="001B50C4" w:rsidRDefault="001B50C4" w:rsidP="001B50C4">
      <w:pPr>
        <w:rPr>
          <w:rFonts w:ascii="Arial" w:hAnsi="Arial" w:cs="Arial"/>
          <w:bCs/>
          <w:color w:val="000000"/>
          <w:sz w:val="22"/>
          <w:szCs w:val="22"/>
          <w:lang w:val="es-ES_tradnl" w:eastAsia="en-US"/>
        </w:rPr>
      </w:pPr>
      <w:r w:rsidRPr="001B50C4">
        <w:rPr>
          <w:rFonts w:ascii="Arial" w:hAnsi="Arial" w:cs="Arial"/>
          <w:bCs/>
          <w:color w:val="000000"/>
          <w:sz w:val="22"/>
          <w:szCs w:val="22"/>
          <w:lang w:eastAsia="en-US"/>
        </w:rPr>
        <w:t>En esas condiciones, aunque por regla general las entidades estatales deben aplicar la Ley 80 de 1993 y la Ley 1150 de 2007 en su actividad contractual, la ley excluye de su aplicación a algunas de ellas, como sucede con las entidades a las que se refiere el artículo 15 de la Ley 1150 de 2007, que modificó el parágrafo primero del artículo 32 de la Ley 80 de 1993, esto es, frente a los establecimientos de crédito, las compañías de seguros y las demás entidades financieras de carácter estatal. De esta manera, las entidades estatales de régimen especial están facultadas para aplicar en su actividad contractual unas reglas distintas, contenidas en la norma que crea el régimen especial y en su manual de contratación</w:t>
      </w:r>
      <w:r w:rsidRPr="001B50C4">
        <w:rPr>
          <w:rFonts w:ascii="Arial" w:hAnsi="Arial" w:cs="Arial"/>
          <w:bCs/>
          <w:color w:val="000000"/>
          <w:sz w:val="22"/>
          <w:szCs w:val="22"/>
          <w:lang w:val="es-ES_tradnl" w:eastAsia="en-US"/>
        </w:rPr>
        <w:t>. Teniendo en cuenta que las entidades de régimen especial administran recursos públicos, sus manuales de contratación deben ceñirse a unas reglas mínimas que garanticen el cumplimiento de los principios de la función pública, de la gestión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50D2BFCB" w14:textId="77777777" w:rsidR="001B50C4" w:rsidRPr="001B50C4" w:rsidRDefault="001B50C4" w:rsidP="001B50C4">
      <w:pPr>
        <w:rPr>
          <w:rFonts w:ascii="Arial" w:hAnsi="Arial" w:cs="Arial"/>
          <w:b/>
          <w:color w:val="000000"/>
          <w:sz w:val="22"/>
          <w:szCs w:val="22"/>
          <w:lang w:val="es-ES_tradnl" w:eastAsia="en-US"/>
        </w:rPr>
      </w:pPr>
    </w:p>
    <w:p w14:paraId="4014A331" w14:textId="77777777" w:rsidR="001B50C4" w:rsidRPr="001B50C4" w:rsidRDefault="001B50C4" w:rsidP="001B50C4">
      <w:pPr>
        <w:rPr>
          <w:rFonts w:ascii="Arial" w:hAnsi="Arial" w:cs="Arial"/>
          <w:b/>
          <w:color w:val="000000"/>
          <w:sz w:val="22"/>
          <w:szCs w:val="22"/>
          <w:lang w:val="es-ES_tradnl" w:eastAsia="en-US"/>
        </w:rPr>
      </w:pPr>
      <w:r w:rsidRPr="001B50C4">
        <w:rPr>
          <w:rFonts w:ascii="Arial" w:hAnsi="Arial" w:cs="Arial"/>
          <w:b/>
          <w:color w:val="000000"/>
          <w:sz w:val="22"/>
          <w:szCs w:val="22"/>
          <w:lang w:val="es-ES_tradnl" w:eastAsia="en-US"/>
        </w:rPr>
        <w:t xml:space="preserve">ENTIDADES CON RÉGIMEN ESPECIAL </w:t>
      </w:r>
      <w:r w:rsidRPr="001B50C4">
        <w:rPr>
          <w:rFonts w:ascii="Arial" w:hAnsi="Arial" w:cs="Arial"/>
          <w:b/>
          <w:color w:val="000000"/>
          <w:sz w:val="22"/>
          <w:szCs w:val="22"/>
          <w:lang w:eastAsia="en-US"/>
        </w:rPr>
        <w:t>–</w:t>
      </w:r>
      <w:r w:rsidRPr="001B50C4">
        <w:rPr>
          <w:rFonts w:ascii="Arial" w:hAnsi="Arial" w:cs="Arial"/>
          <w:b/>
          <w:color w:val="000000"/>
          <w:sz w:val="22"/>
          <w:szCs w:val="22"/>
          <w:lang w:val="es-ES_tradnl" w:eastAsia="en-US"/>
        </w:rPr>
        <w:t xml:space="preserve"> Manual de Contratación </w:t>
      </w:r>
      <w:r w:rsidRPr="001B50C4">
        <w:rPr>
          <w:rFonts w:ascii="Arial" w:hAnsi="Arial" w:cs="Arial"/>
          <w:b/>
          <w:color w:val="000000"/>
          <w:sz w:val="22"/>
          <w:szCs w:val="22"/>
          <w:lang w:eastAsia="en-US"/>
        </w:rPr>
        <w:t>–</w:t>
      </w:r>
      <w:r w:rsidRPr="001B50C4">
        <w:rPr>
          <w:rFonts w:ascii="Arial" w:hAnsi="Arial" w:cs="Arial"/>
          <w:b/>
          <w:color w:val="000000"/>
          <w:sz w:val="22"/>
          <w:szCs w:val="22"/>
          <w:lang w:val="es-ES_tradnl" w:eastAsia="en-US"/>
        </w:rPr>
        <w:t xml:space="preserve"> Contenido</w:t>
      </w:r>
    </w:p>
    <w:p w14:paraId="72C55D79" w14:textId="77777777" w:rsidR="001B50C4" w:rsidRPr="001B50C4" w:rsidRDefault="001B50C4" w:rsidP="001B50C4">
      <w:pPr>
        <w:rPr>
          <w:rFonts w:ascii="Arial" w:hAnsi="Arial" w:cs="Arial"/>
          <w:b/>
          <w:color w:val="000000"/>
          <w:sz w:val="22"/>
          <w:szCs w:val="22"/>
          <w:lang w:val="es-ES_tradnl" w:eastAsia="en-US"/>
        </w:rPr>
      </w:pPr>
    </w:p>
    <w:p w14:paraId="189FE086" w14:textId="77777777" w:rsidR="001B50C4" w:rsidRPr="001B50C4" w:rsidRDefault="001B50C4" w:rsidP="001B50C4">
      <w:pPr>
        <w:rPr>
          <w:rFonts w:ascii="Arial" w:hAnsi="Arial" w:cs="Arial"/>
          <w:bCs/>
          <w:color w:val="000000"/>
          <w:sz w:val="22"/>
          <w:szCs w:val="22"/>
          <w:lang w:val="es-ES_tradnl" w:eastAsia="en-US"/>
        </w:rPr>
      </w:pPr>
      <w:r w:rsidRPr="001B50C4">
        <w:rPr>
          <w:rFonts w:ascii="Arial" w:hAnsi="Arial" w:cs="Arial"/>
          <w:bCs/>
          <w:color w:val="000000"/>
          <w:sz w:val="22"/>
          <w:szCs w:val="22"/>
          <w:lang w:val="es-ES_tradnl" w:eastAsia="en-US"/>
        </w:rPr>
        <w:t xml:space="preserve">De acuerdo con lo expresado en el acápite precedente,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1B50C4">
        <w:rPr>
          <w:rFonts w:ascii="Arial" w:hAnsi="Arial" w:cs="Arial"/>
          <w:bCs/>
          <w:i/>
          <w:color w:val="000000"/>
          <w:sz w:val="22"/>
          <w:szCs w:val="22"/>
          <w:lang w:val="es-ES_tradnl" w:eastAsia="en-US"/>
        </w:rPr>
        <w:t>manual de contratación</w:t>
      </w:r>
      <w:r w:rsidRPr="001B50C4">
        <w:rPr>
          <w:rFonts w:ascii="Arial" w:hAnsi="Arial" w:cs="Arial"/>
          <w:bCs/>
          <w:color w:val="000000"/>
          <w:sz w:val="22"/>
          <w:szCs w:val="22"/>
          <w:lang w:val="es-ES_tradnl" w:eastAsia="en-US"/>
        </w:rPr>
        <w:t xml:space="preserve">–, que regule aspectos asociados a la actividad contractual, como los procedimientos de selección, los requisitos de participación, las condiciones de ejecución del contrato, etc. En esas condiciones, la concreción de las reglas generales contenidas en su régimen especial se puede efectuar mediante la expedición del respectivo manual de contratación, que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y que no se agota con una sola aplicación. Debe resaltarse, en cualquier caso, que la libertad de configuración reglamentaria de las entidades estatales, expresada en el manual de contratación, no es absoluta, ya que, a pesar de que están facultadas para regular ciertos temas relacionados con la actividad contractual, deben hacerlo respetando la reserva legal </w:t>
      </w:r>
      <w:r w:rsidRPr="001B50C4">
        <w:rPr>
          <w:rFonts w:ascii="Arial" w:hAnsi="Arial" w:cs="Arial"/>
          <w:bCs/>
          <w:color w:val="000000"/>
          <w:sz w:val="22"/>
          <w:szCs w:val="22"/>
          <w:lang w:val="es-ES_tradnl" w:eastAsia="en-US"/>
        </w:rPr>
        <w:lastRenderedPageBreak/>
        <w:t xml:space="preserve">de la que gozan ciertas materias. En tal sentido, asuntos como: i) los requisitos de existencia y validez del contrato, </w:t>
      </w:r>
      <w:proofErr w:type="spellStart"/>
      <w:r w:rsidRPr="001B50C4">
        <w:rPr>
          <w:rFonts w:ascii="Arial" w:hAnsi="Arial" w:cs="Arial"/>
          <w:bCs/>
          <w:color w:val="000000"/>
          <w:sz w:val="22"/>
          <w:szCs w:val="22"/>
          <w:lang w:val="es-ES_tradnl" w:eastAsia="en-US"/>
        </w:rPr>
        <w:t>ii</w:t>
      </w:r>
      <w:proofErr w:type="spellEnd"/>
      <w:r w:rsidRPr="001B50C4">
        <w:rPr>
          <w:rFonts w:ascii="Arial" w:hAnsi="Arial" w:cs="Arial"/>
          <w:bCs/>
          <w:color w:val="000000"/>
          <w:sz w:val="22"/>
          <w:szCs w:val="22"/>
          <w:lang w:val="es-ES_tradnl" w:eastAsia="en-US"/>
        </w:rPr>
        <w:t xml:space="preserve">) sanciones, sin perjuicio de las que pueden pactar de acuerdo con las normas civiles y comerciales, </w:t>
      </w:r>
      <w:proofErr w:type="spellStart"/>
      <w:r w:rsidRPr="001B50C4">
        <w:rPr>
          <w:rFonts w:ascii="Arial" w:hAnsi="Arial" w:cs="Arial"/>
          <w:bCs/>
          <w:color w:val="000000"/>
          <w:sz w:val="22"/>
          <w:szCs w:val="22"/>
          <w:lang w:val="es-ES_tradnl" w:eastAsia="en-US"/>
        </w:rPr>
        <w:t>iii</w:t>
      </w:r>
      <w:proofErr w:type="spellEnd"/>
      <w:r w:rsidRPr="001B50C4">
        <w:rPr>
          <w:rFonts w:ascii="Arial" w:hAnsi="Arial" w:cs="Arial"/>
          <w:bCs/>
          <w:color w:val="000000"/>
          <w:sz w:val="22"/>
          <w:szCs w:val="22"/>
          <w:lang w:val="es-ES_tradnl" w:eastAsia="en-US"/>
        </w:rPr>
        <w:t xml:space="preserve">) procedimientos para su imposición, </w:t>
      </w:r>
      <w:proofErr w:type="spellStart"/>
      <w:r w:rsidRPr="001B50C4">
        <w:rPr>
          <w:rFonts w:ascii="Arial" w:hAnsi="Arial" w:cs="Arial"/>
          <w:bCs/>
          <w:color w:val="000000"/>
          <w:sz w:val="22"/>
          <w:szCs w:val="22"/>
          <w:lang w:val="es-ES_tradnl" w:eastAsia="en-US"/>
        </w:rPr>
        <w:t>iv</w:t>
      </w:r>
      <w:proofErr w:type="spellEnd"/>
      <w:r w:rsidRPr="001B50C4">
        <w:rPr>
          <w:rFonts w:ascii="Arial" w:hAnsi="Arial" w:cs="Arial"/>
          <w:bCs/>
          <w:color w:val="000000"/>
          <w:sz w:val="22"/>
          <w:szCs w:val="22"/>
          <w:lang w:val="es-ES_tradnl" w:eastAsia="en-US"/>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p>
    <w:p w14:paraId="48752801" w14:textId="77777777" w:rsidR="001B50C4" w:rsidRPr="001B50C4" w:rsidRDefault="001B50C4" w:rsidP="001B50C4">
      <w:pPr>
        <w:rPr>
          <w:rFonts w:ascii="Arial" w:hAnsi="Arial" w:cs="Arial"/>
          <w:b/>
          <w:color w:val="000000"/>
          <w:sz w:val="22"/>
          <w:szCs w:val="22"/>
          <w:lang w:val="es-ES_tradnl" w:eastAsia="en-US"/>
        </w:rPr>
      </w:pPr>
    </w:p>
    <w:p w14:paraId="518C9876" w14:textId="77777777" w:rsidR="001B50C4" w:rsidRPr="001B50C4" w:rsidRDefault="001B50C4" w:rsidP="001B50C4">
      <w:pPr>
        <w:rPr>
          <w:rFonts w:ascii="Arial" w:hAnsi="Arial" w:cs="Arial"/>
          <w:b/>
          <w:color w:val="000000"/>
          <w:sz w:val="22"/>
          <w:szCs w:val="22"/>
          <w:lang w:val="es-ES_tradnl" w:eastAsia="en-US"/>
        </w:rPr>
      </w:pPr>
      <w:r w:rsidRPr="001B50C4">
        <w:rPr>
          <w:rFonts w:ascii="Arial" w:hAnsi="Arial" w:cs="Arial"/>
          <w:b/>
          <w:color w:val="000000"/>
          <w:sz w:val="22"/>
          <w:szCs w:val="22"/>
          <w:lang w:val="es-ES_tradnl" w:eastAsia="en-US"/>
        </w:rPr>
        <w:t xml:space="preserve">ENTIDADES CON RÉGIMEN ESPECIAL </w:t>
      </w:r>
      <w:r w:rsidRPr="001B50C4">
        <w:rPr>
          <w:rFonts w:ascii="Arial" w:hAnsi="Arial" w:cs="Arial"/>
          <w:b/>
          <w:color w:val="000000"/>
          <w:sz w:val="22"/>
          <w:szCs w:val="22"/>
          <w:lang w:eastAsia="en-US"/>
        </w:rPr>
        <w:t>–</w:t>
      </w:r>
      <w:r w:rsidRPr="001B50C4">
        <w:rPr>
          <w:rFonts w:ascii="Arial" w:hAnsi="Arial" w:cs="Arial"/>
          <w:b/>
          <w:color w:val="000000"/>
          <w:sz w:val="22"/>
          <w:szCs w:val="22"/>
          <w:lang w:val="es-ES_tradnl" w:eastAsia="en-US"/>
        </w:rPr>
        <w:t xml:space="preserve"> Obligaciones trasversales </w:t>
      </w:r>
    </w:p>
    <w:p w14:paraId="19C1C880" w14:textId="77777777" w:rsidR="001B50C4" w:rsidRPr="001B50C4" w:rsidRDefault="001B50C4" w:rsidP="001B50C4">
      <w:pPr>
        <w:rPr>
          <w:rFonts w:ascii="Arial" w:hAnsi="Arial" w:cs="Arial"/>
          <w:b/>
          <w:color w:val="000000"/>
          <w:sz w:val="22"/>
          <w:szCs w:val="22"/>
          <w:lang w:val="es-ES_tradnl" w:eastAsia="en-US"/>
        </w:rPr>
      </w:pPr>
    </w:p>
    <w:p w14:paraId="3A35A3FA" w14:textId="77777777" w:rsidR="001B50C4" w:rsidRPr="001B50C4" w:rsidRDefault="001B50C4" w:rsidP="001B50C4">
      <w:pPr>
        <w:rPr>
          <w:rFonts w:ascii="Arial" w:hAnsi="Arial" w:cs="Arial"/>
          <w:bCs/>
          <w:color w:val="000000"/>
          <w:sz w:val="22"/>
          <w:szCs w:val="22"/>
          <w:lang w:val="es-ES_tradnl" w:eastAsia="en-US"/>
        </w:rPr>
      </w:pPr>
      <w:r w:rsidRPr="001B50C4">
        <w:rPr>
          <w:rFonts w:ascii="Arial" w:hAnsi="Arial" w:cs="Arial"/>
          <w:bCs/>
          <w:color w:val="000000"/>
          <w:sz w:val="22"/>
          <w:szCs w:val="22"/>
          <w:lang w:val="es-ES_tradnl" w:eastAsia="en-US"/>
        </w:rPr>
        <w:t>Así mismo, estas entidades deben cumplir con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las sanciones, multas, inhabilidades e incompatibilidades de los proveedores de la entidad y analizar el sector económico de los oferentes, entre otras.</w:t>
      </w:r>
    </w:p>
    <w:p w14:paraId="36E0809E" w14:textId="77777777" w:rsidR="001B50C4" w:rsidRPr="001B50C4" w:rsidRDefault="001B50C4" w:rsidP="001B50C4">
      <w:pPr>
        <w:rPr>
          <w:rFonts w:ascii="Arial" w:hAnsi="Arial" w:cs="Arial"/>
          <w:b/>
          <w:color w:val="000000"/>
          <w:sz w:val="22"/>
          <w:szCs w:val="22"/>
          <w:lang w:val="es-ES_tradnl" w:eastAsia="en-US"/>
        </w:rPr>
      </w:pPr>
    </w:p>
    <w:p w14:paraId="5DB2FC39" w14:textId="77777777" w:rsidR="001B50C4" w:rsidRPr="001B50C4" w:rsidRDefault="001B50C4" w:rsidP="001B50C4">
      <w:pPr>
        <w:rPr>
          <w:rFonts w:ascii="Arial" w:hAnsi="Arial" w:cs="Arial"/>
          <w:b/>
          <w:color w:val="000000"/>
          <w:sz w:val="22"/>
          <w:szCs w:val="22"/>
          <w:lang w:val="es-ES_tradnl" w:eastAsia="en-US"/>
        </w:rPr>
      </w:pPr>
    </w:p>
    <w:p w14:paraId="3682F3D8" w14:textId="4A6E862A" w:rsidR="001B50C4" w:rsidRPr="001B50C4" w:rsidRDefault="00AC3C4B" w:rsidP="001B50C4">
      <w:pPr>
        <w:rPr>
          <w:rFonts w:ascii="Arial" w:hAnsi="Arial" w:cs="Arial"/>
          <w:b/>
          <w:color w:val="000000"/>
          <w:sz w:val="22"/>
          <w:szCs w:val="22"/>
          <w:lang w:val="es-ES_tradnl" w:eastAsia="en-US"/>
        </w:rPr>
      </w:pPr>
      <w:r w:rsidRPr="001B50C4">
        <w:rPr>
          <w:rFonts w:ascii="Arial" w:hAnsi="Arial" w:cs="Arial"/>
          <w:b/>
          <w:color w:val="000000"/>
          <w:sz w:val="22"/>
          <w:szCs w:val="22"/>
          <w:lang w:val="es-ES_tradnl" w:eastAsia="en-US"/>
        </w:rPr>
        <w:t xml:space="preserve">ENTIDADES CON RÉGIMEN ESPECIAL </w:t>
      </w:r>
      <w:r w:rsidRPr="001B50C4">
        <w:rPr>
          <w:rFonts w:ascii="Arial" w:hAnsi="Arial" w:cs="Arial"/>
          <w:b/>
          <w:color w:val="000000"/>
          <w:sz w:val="22"/>
          <w:szCs w:val="22"/>
          <w:lang w:eastAsia="en-US"/>
        </w:rPr>
        <w:t>–</w:t>
      </w:r>
      <w:r w:rsidRPr="001B50C4">
        <w:rPr>
          <w:rFonts w:ascii="Arial" w:hAnsi="Arial" w:cs="Arial"/>
          <w:b/>
          <w:color w:val="000000"/>
          <w:sz w:val="22"/>
          <w:szCs w:val="22"/>
          <w:lang w:val="es-ES_tradnl" w:eastAsia="en-US"/>
        </w:rPr>
        <w:t xml:space="preserve"> </w:t>
      </w:r>
      <w:r>
        <w:rPr>
          <w:rFonts w:ascii="Arial" w:hAnsi="Arial" w:cs="Arial"/>
          <w:b/>
          <w:color w:val="000000"/>
          <w:sz w:val="22"/>
          <w:szCs w:val="22"/>
          <w:lang w:val="es-ES_tradnl" w:eastAsia="en-US"/>
        </w:rPr>
        <w:t xml:space="preserve">Vacíos en los manuales de </w:t>
      </w:r>
      <w:r w:rsidRPr="001B50C4">
        <w:rPr>
          <w:rFonts w:ascii="Arial" w:hAnsi="Arial" w:cs="Arial"/>
          <w:b/>
          <w:color w:val="000000"/>
          <w:sz w:val="22"/>
          <w:szCs w:val="22"/>
          <w:lang w:val="es-ES_tradnl" w:eastAsia="en-US"/>
        </w:rPr>
        <w:t>Contratación</w:t>
      </w:r>
      <w:r>
        <w:rPr>
          <w:rFonts w:ascii="Arial" w:hAnsi="Arial" w:cs="Arial"/>
          <w:b/>
          <w:color w:val="000000"/>
          <w:sz w:val="22"/>
          <w:szCs w:val="22"/>
          <w:lang w:val="es-ES_tradnl" w:eastAsia="en-US"/>
        </w:rPr>
        <w:t xml:space="preserve"> </w:t>
      </w:r>
    </w:p>
    <w:p w14:paraId="0737A6AD" w14:textId="77777777" w:rsidR="004528B4" w:rsidRPr="005D0C48" w:rsidRDefault="004528B4" w:rsidP="00AA1B5C">
      <w:pPr>
        <w:rPr>
          <w:rFonts w:ascii="Arial" w:hAnsi="Arial" w:cs="Arial"/>
          <w:color w:val="000000"/>
          <w:sz w:val="20"/>
          <w:szCs w:val="20"/>
          <w:lang w:val="es-ES_tradnl" w:eastAsia="en-US"/>
        </w:rPr>
      </w:pPr>
    </w:p>
    <w:p w14:paraId="1C5A490B" w14:textId="1C465DAE" w:rsidR="00AC3C4B" w:rsidRPr="005D0C48" w:rsidRDefault="00AC3C4B" w:rsidP="00AC3C4B">
      <w:pPr>
        <w:spacing w:after="120"/>
        <w:rPr>
          <w:rFonts w:ascii="Arial" w:hAnsi="Arial" w:cs="Arial"/>
          <w:color w:val="000000"/>
          <w:sz w:val="22"/>
          <w:szCs w:val="22"/>
          <w:lang w:val="es-ES_tradnl" w:eastAsia="en-US"/>
        </w:rPr>
      </w:pPr>
      <w:r>
        <w:rPr>
          <w:rFonts w:ascii="Arial" w:hAnsi="Arial" w:cs="Arial"/>
          <w:color w:val="000000"/>
          <w:sz w:val="20"/>
          <w:szCs w:val="20"/>
          <w:lang w:val="es-ES_tradnl" w:eastAsia="es-CO"/>
        </w:rPr>
        <w:t xml:space="preserve">[…] </w:t>
      </w:r>
      <w:r w:rsidRPr="005D0C48">
        <w:rPr>
          <w:rFonts w:ascii="Arial" w:hAnsi="Arial" w:cs="Arial"/>
          <w:color w:val="000000"/>
          <w:sz w:val="22"/>
          <w:szCs w:val="22"/>
          <w:lang w:val="es-ES_tradnl" w:eastAsia="en-US"/>
        </w:rPr>
        <w:t xml:space="preserve">los vacíos de los manuales de contratación de las entidades con régimen especial no siempre se llenan de la misma manera, pues ello depende de las materias sobre las cuales exista ausencia de regulación en dicho reglamento interno. </w:t>
      </w:r>
      <w:r>
        <w:rPr>
          <w:rFonts w:ascii="Arial" w:hAnsi="Arial" w:cs="Arial"/>
          <w:color w:val="000000" w:themeColor="text1"/>
          <w:sz w:val="22"/>
          <w:lang w:val="es-ES_tradnl"/>
        </w:rPr>
        <w:t xml:space="preserve">En tal sentido, sin perjuicio del deber de cumplir ciertas obligaciones </w:t>
      </w:r>
      <w:r w:rsidRPr="00213052">
        <w:rPr>
          <w:rFonts w:ascii="Arial" w:hAnsi="Arial" w:cs="Arial"/>
          <w:color w:val="000000" w:themeColor="text1"/>
          <w:sz w:val="22"/>
          <w:lang w:val="es-ES_tradnl"/>
        </w:rPr>
        <w:t>transversales a la contratación pública</w:t>
      </w:r>
      <w:r>
        <w:rPr>
          <w:rFonts w:ascii="Arial" w:hAnsi="Arial" w:cs="Arial"/>
          <w:color w:val="000000" w:themeColor="text1"/>
          <w:sz w:val="22"/>
          <w:lang w:val="es-ES_tradnl"/>
        </w:rPr>
        <w:t xml:space="preserve">, </w:t>
      </w:r>
      <w:r>
        <w:rPr>
          <w:rFonts w:ascii="Arial" w:hAnsi="Arial" w:cs="Arial"/>
          <w:color w:val="000000"/>
          <w:sz w:val="22"/>
          <w:szCs w:val="22"/>
          <w:lang w:val="es-ES_tradnl" w:eastAsia="en-US"/>
        </w:rPr>
        <w:t>l</w:t>
      </w:r>
      <w:r w:rsidRPr="005D0C48">
        <w:rPr>
          <w:rFonts w:ascii="Arial" w:hAnsi="Arial" w:cs="Arial"/>
          <w:color w:val="000000"/>
          <w:sz w:val="22"/>
          <w:szCs w:val="22"/>
          <w:lang w:val="es-ES_tradnl" w:eastAsia="en-US"/>
        </w:rPr>
        <w:t xml:space="preserve">os vacíos en los aspectos sustantivos y en la regulación del contrato se deben llenar con las normas civiles y comerciales, según el caso; los que tengan que ver con asuntos relacionados con el procedimiento administrativo se deben integrar con las normas de la primera parte del CPACA; los relacionados con las normas sobre inhabilidades e incompatibilidades, con las disposiciones que las regulen, contenidas bien sea en el Estatuto General de Contratación de la Administración Pública o en leyes complementarias. Finalmente, pero no por ello menos importante, los vacíos en la definición o alcance de los principios de la función administrativa y de la gestión fiscal –a los que aluden los artículos 209 y 267 de la Constitución– deben llenarse con una interpretación integral de la Carta Política, así como con la jurisprudencia constitucional que exista sobre la materia, emanada de la Corte Constitucional o del Consejo de Estado –cuando actúe como tribunal constitucional–. </w:t>
      </w:r>
    </w:p>
    <w:p w14:paraId="24A7085A" w14:textId="36F825F5" w:rsidR="00F92759" w:rsidRDefault="00F92759" w:rsidP="00AA1B5C">
      <w:pPr>
        <w:textAlignment w:val="baseline"/>
        <w:rPr>
          <w:rFonts w:ascii="Arial" w:hAnsi="Arial" w:cs="Arial"/>
          <w:color w:val="000000"/>
          <w:sz w:val="20"/>
          <w:szCs w:val="20"/>
          <w:lang w:val="es-ES_tradnl" w:eastAsia="es-CO"/>
        </w:rPr>
      </w:pPr>
    </w:p>
    <w:p w14:paraId="68D509DC" w14:textId="4FE81F4D" w:rsidR="00F92759" w:rsidRDefault="00F92759" w:rsidP="00AA1B5C">
      <w:pPr>
        <w:textAlignment w:val="baseline"/>
        <w:rPr>
          <w:rFonts w:ascii="Arial" w:hAnsi="Arial" w:cs="Arial"/>
          <w:color w:val="000000"/>
          <w:sz w:val="20"/>
          <w:szCs w:val="20"/>
          <w:lang w:val="es-ES_tradnl" w:eastAsia="es-CO"/>
        </w:rPr>
      </w:pPr>
    </w:p>
    <w:p w14:paraId="1705B9C5" w14:textId="51B48A84" w:rsidR="00F92759" w:rsidRDefault="00F92759" w:rsidP="00AA1B5C">
      <w:pPr>
        <w:textAlignment w:val="baseline"/>
        <w:rPr>
          <w:rFonts w:ascii="Arial" w:hAnsi="Arial" w:cs="Arial"/>
          <w:color w:val="000000"/>
          <w:sz w:val="20"/>
          <w:szCs w:val="20"/>
          <w:lang w:val="es-ES_tradnl" w:eastAsia="es-CO"/>
        </w:rPr>
      </w:pPr>
    </w:p>
    <w:p w14:paraId="1632BC87" w14:textId="337740F7" w:rsidR="00F92759" w:rsidRDefault="00F92759" w:rsidP="00AA1B5C">
      <w:pPr>
        <w:textAlignment w:val="baseline"/>
        <w:rPr>
          <w:rFonts w:ascii="Arial" w:hAnsi="Arial" w:cs="Arial"/>
          <w:color w:val="000000"/>
          <w:sz w:val="20"/>
          <w:szCs w:val="20"/>
          <w:lang w:val="es-ES_tradnl" w:eastAsia="es-CO"/>
        </w:rPr>
      </w:pPr>
    </w:p>
    <w:p w14:paraId="010406DF" w14:textId="128842E6" w:rsidR="00F92759" w:rsidRDefault="00F92759" w:rsidP="00AA1B5C">
      <w:pPr>
        <w:textAlignment w:val="baseline"/>
        <w:rPr>
          <w:rFonts w:ascii="Arial" w:hAnsi="Arial" w:cs="Arial"/>
          <w:color w:val="000000"/>
          <w:sz w:val="20"/>
          <w:szCs w:val="20"/>
          <w:lang w:val="es-ES_tradnl" w:eastAsia="es-CO"/>
        </w:rPr>
      </w:pPr>
    </w:p>
    <w:p w14:paraId="107B39A4" w14:textId="625EFD83" w:rsidR="00F92759" w:rsidRDefault="00F92759" w:rsidP="00AA1B5C">
      <w:pPr>
        <w:textAlignment w:val="baseline"/>
        <w:rPr>
          <w:rFonts w:ascii="Arial" w:hAnsi="Arial" w:cs="Arial"/>
          <w:color w:val="000000"/>
          <w:sz w:val="20"/>
          <w:szCs w:val="20"/>
          <w:lang w:val="es-ES_tradnl" w:eastAsia="es-CO"/>
        </w:rPr>
      </w:pPr>
    </w:p>
    <w:p w14:paraId="7130843C" w14:textId="6D4DDAB2" w:rsidR="00F92759" w:rsidRDefault="00F92759" w:rsidP="00AA1B5C">
      <w:pPr>
        <w:textAlignment w:val="baseline"/>
        <w:rPr>
          <w:rFonts w:ascii="Arial" w:hAnsi="Arial" w:cs="Arial"/>
          <w:color w:val="000000"/>
          <w:sz w:val="20"/>
          <w:szCs w:val="20"/>
          <w:lang w:val="es-ES_tradnl" w:eastAsia="es-CO"/>
        </w:rPr>
      </w:pPr>
    </w:p>
    <w:p w14:paraId="5ECBC3E4" w14:textId="4A26EAF4" w:rsidR="00F92759" w:rsidRDefault="00F92759" w:rsidP="00AA1B5C">
      <w:pPr>
        <w:textAlignment w:val="baseline"/>
        <w:rPr>
          <w:rFonts w:ascii="Arial" w:hAnsi="Arial" w:cs="Arial"/>
          <w:color w:val="000000"/>
          <w:sz w:val="20"/>
          <w:szCs w:val="20"/>
          <w:lang w:val="es-ES_tradnl" w:eastAsia="es-CO"/>
        </w:rPr>
      </w:pPr>
    </w:p>
    <w:p w14:paraId="52106669" w14:textId="5A35A6D4" w:rsidR="00F92759" w:rsidRDefault="00F92759" w:rsidP="00AA1B5C">
      <w:pPr>
        <w:textAlignment w:val="baseline"/>
        <w:rPr>
          <w:rFonts w:ascii="Arial" w:hAnsi="Arial" w:cs="Arial"/>
          <w:color w:val="000000"/>
          <w:sz w:val="20"/>
          <w:szCs w:val="20"/>
          <w:lang w:val="es-ES_tradnl" w:eastAsia="es-CO"/>
        </w:rPr>
      </w:pPr>
    </w:p>
    <w:p w14:paraId="574E074E" w14:textId="677B1194" w:rsidR="00F92759" w:rsidRDefault="00F92759" w:rsidP="00AA1B5C">
      <w:pPr>
        <w:textAlignment w:val="baseline"/>
        <w:rPr>
          <w:rFonts w:ascii="Arial" w:hAnsi="Arial" w:cs="Arial"/>
          <w:color w:val="000000"/>
          <w:sz w:val="20"/>
          <w:szCs w:val="20"/>
          <w:lang w:val="es-ES_tradnl" w:eastAsia="es-CO"/>
        </w:rPr>
      </w:pPr>
    </w:p>
    <w:p w14:paraId="775E3739" w14:textId="74798B73" w:rsidR="00F92759" w:rsidRDefault="00F92759" w:rsidP="00AA1B5C">
      <w:pPr>
        <w:textAlignment w:val="baseline"/>
        <w:rPr>
          <w:rFonts w:ascii="Arial" w:hAnsi="Arial" w:cs="Arial"/>
          <w:color w:val="000000"/>
          <w:sz w:val="20"/>
          <w:szCs w:val="20"/>
          <w:lang w:val="es-ES_tradnl" w:eastAsia="es-CO"/>
        </w:rPr>
      </w:pPr>
    </w:p>
    <w:p w14:paraId="75E7C3D1" w14:textId="1EFE3659" w:rsidR="00F92759" w:rsidRDefault="00F92759" w:rsidP="00AA1B5C">
      <w:pPr>
        <w:textAlignment w:val="baseline"/>
        <w:rPr>
          <w:rFonts w:ascii="Arial" w:hAnsi="Arial" w:cs="Arial"/>
          <w:color w:val="000000"/>
          <w:sz w:val="20"/>
          <w:szCs w:val="20"/>
          <w:lang w:val="es-ES_tradnl" w:eastAsia="es-CO"/>
        </w:rPr>
      </w:pPr>
    </w:p>
    <w:p w14:paraId="1977C2C9" w14:textId="22785351" w:rsidR="00F92759" w:rsidRDefault="00F92759" w:rsidP="00AA1B5C">
      <w:pPr>
        <w:textAlignment w:val="baseline"/>
        <w:rPr>
          <w:rFonts w:ascii="Arial" w:hAnsi="Arial" w:cs="Arial"/>
          <w:color w:val="000000"/>
          <w:sz w:val="20"/>
          <w:szCs w:val="20"/>
          <w:lang w:val="es-ES_tradnl" w:eastAsia="es-CO"/>
        </w:rPr>
      </w:pPr>
    </w:p>
    <w:p w14:paraId="7D210A09" w14:textId="778B03A3" w:rsidR="00F92759" w:rsidRDefault="00F92759" w:rsidP="00AA1B5C">
      <w:pPr>
        <w:textAlignment w:val="baseline"/>
        <w:rPr>
          <w:rFonts w:ascii="Arial" w:hAnsi="Arial" w:cs="Arial"/>
          <w:color w:val="000000"/>
          <w:sz w:val="20"/>
          <w:szCs w:val="20"/>
          <w:lang w:val="es-ES_tradnl" w:eastAsia="es-CO"/>
        </w:rPr>
      </w:pPr>
    </w:p>
    <w:p w14:paraId="2B177489" w14:textId="3DDE6A09" w:rsidR="00F92759" w:rsidRDefault="00F92759" w:rsidP="00AA1B5C">
      <w:pPr>
        <w:textAlignment w:val="baseline"/>
        <w:rPr>
          <w:rFonts w:ascii="Arial" w:hAnsi="Arial" w:cs="Arial"/>
          <w:color w:val="000000"/>
          <w:sz w:val="20"/>
          <w:szCs w:val="20"/>
          <w:lang w:val="es-ES_tradnl" w:eastAsia="es-CO"/>
        </w:rPr>
      </w:pPr>
    </w:p>
    <w:p w14:paraId="1896B2F0" w14:textId="685B6898" w:rsidR="00F92759" w:rsidRDefault="00F92759" w:rsidP="00AA1B5C">
      <w:pPr>
        <w:textAlignment w:val="baseline"/>
        <w:rPr>
          <w:rFonts w:ascii="Arial" w:hAnsi="Arial" w:cs="Arial"/>
          <w:color w:val="000000"/>
          <w:sz w:val="20"/>
          <w:szCs w:val="20"/>
          <w:lang w:val="es-ES_tradnl" w:eastAsia="es-CO"/>
        </w:rPr>
      </w:pPr>
    </w:p>
    <w:p w14:paraId="15C86D08" w14:textId="450B8F44" w:rsidR="00F92759" w:rsidRDefault="00F92759" w:rsidP="00AA1B5C">
      <w:pPr>
        <w:textAlignment w:val="baseline"/>
        <w:rPr>
          <w:rFonts w:ascii="Arial" w:hAnsi="Arial" w:cs="Arial"/>
          <w:color w:val="000000"/>
          <w:sz w:val="20"/>
          <w:szCs w:val="20"/>
          <w:lang w:val="es-ES_tradnl" w:eastAsia="es-CO"/>
        </w:rPr>
      </w:pPr>
    </w:p>
    <w:p w14:paraId="5E85F3AA" w14:textId="3122F548" w:rsidR="00F92759" w:rsidRDefault="00F92759" w:rsidP="00AA1B5C">
      <w:pPr>
        <w:textAlignment w:val="baseline"/>
        <w:rPr>
          <w:rFonts w:ascii="Arial" w:hAnsi="Arial" w:cs="Arial"/>
          <w:color w:val="000000"/>
          <w:sz w:val="20"/>
          <w:szCs w:val="20"/>
          <w:lang w:val="es-ES_tradnl" w:eastAsia="es-CO"/>
        </w:rPr>
      </w:pPr>
    </w:p>
    <w:p w14:paraId="25289184" w14:textId="20633DEF" w:rsidR="005B3B23" w:rsidRDefault="005B3B23" w:rsidP="00AA1B5C">
      <w:pPr>
        <w:textAlignment w:val="baseline"/>
        <w:rPr>
          <w:rFonts w:ascii="Arial" w:hAnsi="Arial" w:cs="Arial"/>
          <w:color w:val="000000"/>
          <w:sz w:val="20"/>
          <w:szCs w:val="20"/>
          <w:lang w:val="es-ES_tradnl" w:eastAsia="es-CO"/>
        </w:rPr>
      </w:pPr>
    </w:p>
    <w:p w14:paraId="1A4BD085" w14:textId="698B37DC" w:rsidR="005B3B23" w:rsidRDefault="005B3B23" w:rsidP="00AA1B5C">
      <w:pPr>
        <w:textAlignment w:val="baseline"/>
        <w:rPr>
          <w:rFonts w:ascii="Arial" w:hAnsi="Arial" w:cs="Arial"/>
          <w:color w:val="000000"/>
          <w:sz w:val="20"/>
          <w:szCs w:val="20"/>
          <w:lang w:val="es-ES_tradnl" w:eastAsia="es-CO"/>
        </w:rPr>
      </w:pPr>
    </w:p>
    <w:p w14:paraId="1CEADFF2" w14:textId="799E0567" w:rsidR="005B3B23" w:rsidRDefault="005B3B23" w:rsidP="00AA1B5C">
      <w:pPr>
        <w:textAlignment w:val="baseline"/>
        <w:rPr>
          <w:rFonts w:ascii="Arial" w:hAnsi="Arial" w:cs="Arial"/>
          <w:color w:val="000000"/>
          <w:sz w:val="20"/>
          <w:szCs w:val="20"/>
          <w:lang w:val="es-ES_tradnl" w:eastAsia="es-CO"/>
        </w:rPr>
      </w:pPr>
    </w:p>
    <w:p w14:paraId="3E422CFD" w14:textId="0BC4C765" w:rsidR="005B3B23" w:rsidRDefault="005B3B23" w:rsidP="00AA1B5C">
      <w:pPr>
        <w:textAlignment w:val="baseline"/>
        <w:rPr>
          <w:rFonts w:ascii="Arial" w:hAnsi="Arial" w:cs="Arial"/>
          <w:color w:val="000000"/>
          <w:sz w:val="20"/>
          <w:szCs w:val="20"/>
          <w:lang w:val="es-ES_tradnl" w:eastAsia="es-CO"/>
        </w:rPr>
      </w:pPr>
    </w:p>
    <w:p w14:paraId="17222D3C" w14:textId="152E0B79" w:rsidR="005B3B23" w:rsidRDefault="005B3B23" w:rsidP="00AA1B5C">
      <w:pPr>
        <w:textAlignment w:val="baseline"/>
        <w:rPr>
          <w:rFonts w:ascii="Arial" w:hAnsi="Arial" w:cs="Arial"/>
          <w:color w:val="000000"/>
          <w:sz w:val="20"/>
          <w:szCs w:val="20"/>
          <w:lang w:val="es-ES_tradnl" w:eastAsia="es-CO"/>
        </w:rPr>
      </w:pPr>
    </w:p>
    <w:p w14:paraId="227AEF09" w14:textId="6130EA15" w:rsidR="005B3B23" w:rsidRDefault="005B3B23" w:rsidP="00AA1B5C">
      <w:pPr>
        <w:textAlignment w:val="baseline"/>
        <w:rPr>
          <w:rFonts w:ascii="Arial" w:hAnsi="Arial" w:cs="Arial"/>
          <w:color w:val="000000"/>
          <w:sz w:val="20"/>
          <w:szCs w:val="20"/>
          <w:lang w:val="es-ES_tradnl" w:eastAsia="es-CO"/>
        </w:rPr>
      </w:pPr>
    </w:p>
    <w:p w14:paraId="2C912237" w14:textId="56DA51C0" w:rsidR="005B3B23" w:rsidRDefault="005B3B23" w:rsidP="00AA1B5C">
      <w:pPr>
        <w:textAlignment w:val="baseline"/>
        <w:rPr>
          <w:rFonts w:ascii="Arial" w:hAnsi="Arial" w:cs="Arial"/>
          <w:color w:val="000000"/>
          <w:sz w:val="20"/>
          <w:szCs w:val="20"/>
          <w:lang w:val="es-ES_tradnl" w:eastAsia="es-CO"/>
        </w:rPr>
      </w:pPr>
    </w:p>
    <w:p w14:paraId="107F0E51" w14:textId="7554EB8D" w:rsidR="005B3B23" w:rsidRDefault="005B3B23" w:rsidP="00AA1B5C">
      <w:pPr>
        <w:textAlignment w:val="baseline"/>
        <w:rPr>
          <w:rFonts w:ascii="Arial" w:hAnsi="Arial" w:cs="Arial"/>
          <w:color w:val="000000"/>
          <w:sz w:val="20"/>
          <w:szCs w:val="20"/>
          <w:lang w:val="es-ES_tradnl" w:eastAsia="es-CO"/>
        </w:rPr>
      </w:pPr>
    </w:p>
    <w:p w14:paraId="55DD6DEB" w14:textId="2ACEA737" w:rsidR="005B3B23" w:rsidRDefault="005B3B23" w:rsidP="00AA1B5C">
      <w:pPr>
        <w:textAlignment w:val="baseline"/>
        <w:rPr>
          <w:rFonts w:ascii="Arial" w:hAnsi="Arial" w:cs="Arial"/>
          <w:color w:val="000000"/>
          <w:sz w:val="20"/>
          <w:szCs w:val="20"/>
          <w:lang w:val="es-ES_tradnl" w:eastAsia="es-CO"/>
        </w:rPr>
      </w:pPr>
    </w:p>
    <w:p w14:paraId="54F1B076" w14:textId="570B83A5" w:rsidR="005B3B23" w:rsidRDefault="005B3B23" w:rsidP="00AA1B5C">
      <w:pPr>
        <w:textAlignment w:val="baseline"/>
        <w:rPr>
          <w:rFonts w:ascii="Arial" w:hAnsi="Arial" w:cs="Arial"/>
          <w:color w:val="000000"/>
          <w:sz w:val="20"/>
          <w:szCs w:val="20"/>
          <w:lang w:val="es-ES_tradnl" w:eastAsia="es-CO"/>
        </w:rPr>
      </w:pPr>
    </w:p>
    <w:p w14:paraId="6FC6368B" w14:textId="22275807" w:rsidR="005B3B23" w:rsidRDefault="005B3B23" w:rsidP="00AA1B5C">
      <w:pPr>
        <w:textAlignment w:val="baseline"/>
        <w:rPr>
          <w:rFonts w:ascii="Arial" w:hAnsi="Arial" w:cs="Arial"/>
          <w:color w:val="000000"/>
          <w:sz w:val="20"/>
          <w:szCs w:val="20"/>
          <w:lang w:val="es-ES_tradnl" w:eastAsia="es-CO"/>
        </w:rPr>
      </w:pPr>
    </w:p>
    <w:p w14:paraId="5A68BCD0" w14:textId="7F206135" w:rsidR="005B3B23" w:rsidRDefault="005B3B23" w:rsidP="00AA1B5C">
      <w:pPr>
        <w:textAlignment w:val="baseline"/>
        <w:rPr>
          <w:rFonts w:ascii="Arial" w:hAnsi="Arial" w:cs="Arial"/>
          <w:color w:val="000000"/>
          <w:sz w:val="20"/>
          <w:szCs w:val="20"/>
          <w:lang w:val="es-ES_tradnl" w:eastAsia="es-CO"/>
        </w:rPr>
      </w:pPr>
    </w:p>
    <w:p w14:paraId="183E32CE" w14:textId="252FC8C0" w:rsidR="005B3B23" w:rsidRDefault="005B3B23" w:rsidP="00AA1B5C">
      <w:pPr>
        <w:textAlignment w:val="baseline"/>
        <w:rPr>
          <w:rFonts w:ascii="Arial" w:hAnsi="Arial" w:cs="Arial"/>
          <w:color w:val="000000"/>
          <w:sz w:val="20"/>
          <w:szCs w:val="20"/>
          <w:lang w:val="es-ES_tradnl" w:eastAsia="es-CO"/>
        </w:rPr>
      </w:pPr>
    </w:p>
    <w:p w14:paraId="35354544" w14:textId="57AF2189" w:rsidR="005B3B23" w:rsidRDefault="005B3B23" w:rsidP="00AA1B5C">
      <w:pPr>
        <w:textAlignment w:val="baseline"/>
        <w:rPr>
          <w:rFonts w:ascii="Arial" w:hAnsi="Arial" w:cs="Arial"/>
          <w:color w:val="000000"/>
          <w:sz w:val="20"/>
          <w:szCs w:val="20"/>
          <w:lang w:val="es-ES_tradnl" w:eastAsia="es-CO"/>
        </w:rPr>
      </w:pPr>
    </w:p>
    <w:p w14:paraId="74A66AD2" w14:textId="2F5CE344" w:rsidR="005B3B23" w:rsidRDefault="005B3B23" w:rsidP="00AA1B5C">
      <w:pPr>
        <w:textAlignment w:val="baseline"/>
        <w:rPr>
          <w:rFonts w:ascii="Arial" w:hAnsi="Arial" w:cs="Arial"/>
          <w:color w:val="000000"/>
          <w:sz w:val="20"/>
          <w:szCs w:val="20"/>
          <w:lang w:val="es-ES_tradnl" w:eastAsia="es-CO"/>
        </w:rPr>
      </w:pPr>
    </w:p>
    <w:p w14:paraId="19876D9D" w14:textId="7B84E591" w:rsidR="005B3B23" w:rsidRDefault="005B3B23" w:rsidP="00AA1B5C">
      <w:pPr>
        <w:textAlignment w:val="baseline"/>
        <w:rPr>
          <w:rFonts w:ascii="Arial" w:hAnsi="Arial" w:cs="Arial"/>
          <w:color w:val="000000"/>
          <w:sz w:val="20"/>
          <w:szCs w:val="20"/>
          <w:lang w:val="es-ES_tradnl" w:eastAsia="es-CO"/>
        </w:rPr>
      </w:pPr>
    </w:p>
    <w:p w14:paraId="3467DB18" w14:textId="77777777" w:rsidR="005B3B23" w:rsidRPr="005D0C48" w:rsidRDefault="005B3B23" w:rsidP="00AA1B5C">
      <w:pPr>
        <w:textAlignment w:val="baseline"/>
        <w:rPr>
          <w:rFonts w:ascii="Arial" w:hAnsi="Arial" w:cs="Arial"/>
          <w:color w:val="000000"/>
          <w:sz w:val="20"/>
          <w:szCs w:val="20"/>
          <w:lang w:val="es-ES_tradnl" w:eastAsia="es-CO"/>
        </w:rPr>
      </w:pPr>
    </w:p>
    <w:p w14:paraId="68795571" w14:textId="4098B42F" w:rsidR="00C161FF" w:rsidRPr="005D0C48" w:rsidRDefault="00C161FF" w:rsidP="00AA1B5C">
      <w:pPr>
        <w:textAlignment w:val="baseline"/>
        <w:rPr>
          <w:rFonts w:ascii="Arial" w:hAnsi="Arial" w:cs="Arial"/>
          <w:color w:val="000000"/>
          <w:sz w:val="20"/>
          <w:szCs w:val="20"/>
          <w:lang w:val="es-ES_tradnl" w:eastAsia="es-CO"/>
        </w:rPr>
      </w:pPr>
    </w:p>
    <w:p w14:paraId="509F886D" w14:textId="217EB48A" w:rsidR="00C161FF" w:rsidRPr="005D0C48" w:rsidRDefault="00C161FF" w:rsidP="00AA1B5C">
      <w:pPr>
        <w:textAlignment w:val="baseline"/>
        <w:rPr>
          <w:rFonts w:ascii="Arial" w:hAnsi="Arial" w:cs="Arial"/>
          <w:color w:val="000000"/>
          <w:sz w:val="20"/>
          <w:szCs w:val="20"/>
          <w:lang w:val="es-ES_tradnl" w:eastAsia="es-CO"/>
        </w:rPr>
      </w:pPr>
    </w:p>
    <w:p w14:paraId="768CE46B" w14:textId="3AB1F907" w:rsidR="000B5697" w:rsidRDefault="005B3B23" w:rsidP="00AA1B5C">
      <w:pPr>
        <w:jc w:val="right"/>
        <w:rPr>
          <w:rFonts w:ascii="Arial" w:eastAsia="Arial" w:hAnsi="Arial" w:cs="Arial"/>
          <w:b/>
          <w:color w:val="000000"/>
          <w:sz w:val="20"/>
          <w:szCs w:val="20"/>
        </w:rPr>
      </w:pPr>
      <w:bookmarkStart w:id="0" w:name="_2s8eyo1" w:colFirst="0" w:colLast="0"/>
      <w:bookmarkEnd w:id="0"/>
      <w:r w:rsidRPr="005B3B23">
        <w:rPr>
          <w:rFonts w:ascii="Arial" w:eastAsia="Arial" w:hAnsi="Arial" w:cs="Arial"/>
          <w:b/>
          <w:color w:val="000000"/>
          <w:sz w:val="20"/>
          <w:szCs w:val="20"/>
        </w:rPr>
        <w:drawing>
          <wp:inline distT="0" distB="0" distL="0" distR="0" wp14:anchorId="58AB651F" wp14:editId="276156E5">
            <wp:extent cx="1832610" cy="63713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59203" cy="646375"/>
                    </a:xfrm>
                    <a:prstGeom prst="rect">
                      <a:avLst/>
                    </a:prstGeom>
                  </pic:spPr>
                </pic:pic>
              </a:graphicData>
            </a:graphic>
          </wp:inline>
        </w:drawing>
      </w:r>
    </w:p>
    <w:p w14:paraId="6BC2947F" w14:textId="77777777" w:rsidR="005B3B23" w:rsidRDefault="005B3B23" w:rsidP="00AA1B5C">
      <w:pPr>
        <w:jc w:val="right"/>
        <w:rPr>
          <w:rFonts w:ascii="Arial" w:eastAsia="Arial" w:hAnsi="Arial" w:cs="Arial"/>
          <w:b/>
          <w:color w:val="000000"/>
          <w:sz w:val="20"/>
          <w:szCs w:val="20"/>
        </w:rPr>
      </w:pPr>
    </w:p>
    <w:p w14:paraId="61E9461D" w14:textId="77777777" w:rsidR="005B3B23" w:rsidRDefault="005B3B23" w:rsidP="00AA1B5C">
      <w:pPr>
        <w:jc w:val="right"/>
        <w:rPr>
          <w:rFonts w:ascii="Arial" w:eastAsia="Arial" w:hAnsi="Arial" w:cs="Arial"/>
          <w:b/>
          <w:color w:val="000000"/>
          <w:sz w:val="20"/>
          <w:szCs w:val="20"/>
        </w:rPr>
      </w:pPr>
    </w:p>
    <w:p w14:paraId="6B2E9944" w14:textId="22C7B14B" w:rsidR="00871181" w:rsidRPr="005D0C48" w:rsidRDefault="003E3EF7" w:rsidP="00AA1B5C">
      <w:pPr>
        <w:jc w:val="right"/>
        <w:rPr>
          <w:rFonts w:ascii="Arial" w:eastAsia="Arial" w:hAnsi="Arial" w:cs="Arial"/>
          <w:b/>
          <w:color w:val="000000"/>
          <w:sz w:val="20"/>
          <w:szCs w:val="20"/>
        </w:rPr>
      </w:pPr>
      <w:r w:rsidRPr="005D0C48">
        <w:rPr>
          <w:rFonts w:ascii="Arial" w:eastAsia="Arial" w:hAnsi="Arial" w:cs="Arial"/>
          <w:b/>
          <w:color w:val="000000"/>
          <w:sz w:val="20"/>
          <w:szCs w:val="20"/>
        </w:rPr>
        <w:t>CCE-DES-FM-17</w:t>
      </w:r>
    </w:p>
    <w:p w14:paraId="75BAAC80" w14:textId="77777777" w:rsidR="00871181" w:rsidRPr="005D0C48" w:rsidRDefault="00871181" w:rsidP="00AA1B5C">
      <w:pPr>
        <w:tabs>
          <w:tab w:val="left" w:pos="3374"/>
        </w:tabs>
        <w:rPr>
          <w:rFonts w:ascii="Arial" w:eastAsia="Arial" w:hAnsi="Arial" w:cs="Arial"/>
          <w:color w:val="000000"/>
          <w:sz w:val="22"/>
          <w:szCs w:val="22"/>
        </w:rPr>
      </w:pPr>
    </w:p>
    <w:p w14:paraId="1578B2CC" w14:textId="77777777" w:rsidR="00871181" w:rsidRPr="005D0C48" w:rsidRDefault="003E3EF7" w:rsidP="00AA1B5C">
      <w:pPr>
        <w:tabs>
          <w:tab w:val="left" w:pos="3374"/>
        </w:tabs>
        <w:rPr>
          <w:rFonts w:ascii="Arial" w:eastAsia="Arial" w:hAnsi="Arial" w:cs="Arial"/>
          <w:color w:val="000000"/>
          <w:sz w:val="22"/>
          <w:szCs w:val="22"/>
        </w:rPr>
      </w:pPr>
      <w:r w:rsidRPr="005D0C48">
        <w:rPr>
          <w:rFonts w:ascii="Arial" w:eastAsia="Arial" w:hAnsi="Arial" w:cs="Arial"/>
          <w:color w:val="000000"/>
          <w:sz w:val="22"/>
          <w:szCs w:val="22"/>
        </w:rPr>
        <w:t xml:space="preserve">Bogotá D.C., </w:t>
      </w:r>
    </w:p>
    <w:p w14:paraId="526FFF2B" w14:textId="77777777" w:rsidR="00871181" w:rsidRPr="005D0C48" w:rsidRDefault="00871181" w:rsidP="00AA1B5C">
      <w:pPr>
        <w:rPr>
          <w:rFonts w:ascii="Arial" w:eastAsia="Arial" w:hAnsi="Arial" w:cs="Arial"/>
          <w:color w:val="000000"/>
          <w:sz w:val="22"/>
          <w:szCs w:val="22"/>
        </w:rPr>
      </w:pPr>
    </w:p>
    <w:p w14:paraId="53E18DEA" w14:textId="77777777" w:rsidR="007D25D0" w:rsidRDefault="007D25D0" w:rsidP="00AA1B5C">
      <w:pPr>
        <w:rPr>
          <w:rFonts w:ascii="Arial" w:eastAsia="Arial" w:hAnsi="Arial" w:cs="Arial"/>
          <w:color w:val="000000"/>
          <w:sz w:val="22"/>
          <w:szCs w:val="22"/>
        </w:rPr>
      </w:pPr>
    </w:p>
    <w:p w14:paraId="7BB970E7" w14:textId="015924B3" w:rsidR="00871181" w:rsidRPr="005D0C48" w:rsidRDefault="003E3EF7" w:rsidP="00AA1B5C">
      <w:pPr>
        <w:rPr>
          <w:rFonts w:ascii="Arial" w:eastAsia="Arial" w:hAnsi="Arial" w:cs="Arial"/>
          <w:color w:val="000000"/>
          <w:sz w:val="22"/>
          <w:szCs w:val="22"/>
        </w:rPr>
      </w:pPr>
      <w:r w:rsidRPr="005D0C48">
        <w:rPr>
          <w:rFonts w:ascii="Arial" w:eastAsia="Arial" w:hAnsi="Arial" w:cs="Arial"/>
          <w:color w:val="000000"/>
          <w:sz w:val="22"/>
          <w:szCs w:val="22"/>
        </w:rPr>
        <w:t>Señor</w:t>
      </w:r>
    </w:p>
    <w:p w14:paraId="6505BAF5" w14:textId="039217AA" w:rsidR="0079024C" w:rsidRPr="005D0C48" w:rsidRDefault="007A484C" w:rsidP="00AA1B5C">
      <w:pPr>
        <w:rPr>
          <w:rFonts w:ascii="Arial" w:eastAsia="Arial" w:hAnsi="Arial" w:cs="Arial"/>
          <w:b/>
          <w:color w:val="000000"/>
          <w:sz w:val="22"/>
          <w:szCs w:val="22"/>
        </w:rPr>
      </w:pPr>
      <w:r w:rsidRPr="005D0C48">
        <w:rPr>
          <w:rFonts w:ascii="Arial" w:eastAsia="Arial" w:hAnsi="Arial" w:cs="Arial"/>
          <w:b/>
          <w:color w:val="000000"/>
          <w:sz w:val="22"/>
          <w:szCs w:val="22"/>
        </w:rPr>
        <w:t>Esteban Sosa-Rostan García</w:t>
      </w:r>
    </w:p>
    <w:p w14:paraId="23F9476A" w14:textId="1D0F0A2A" w:rsidR="00871181" w:rsidRPr="005D0C48" w:rsidRDefault="003E3EF7" w:rsidP="00AA1B5C">
      <w:pPr>
        <w:rPr>
          <w:rFonts w:ascii="Arial" w:eastAsia="Arial" w:hAnsi="Arial" w:cs="Arial"/>
          <w:color w:val="000000"/>
          <w:sz w:val="22"/>
          <w:szCs w:val="22"/>
        </w:rPr>
      </w:pPr>
      <w:r w:rsidRPr="005D0C48">
        <w:rPr>
          <w:rFonts w:ascii="Arial" w:eastAsia="Arial" w:hAnsi="Arial" w:cs="Arial"/>
          <w:color w:val="000000"/>
          <w:sz w:val="22"/>
          <w:szCs w:val="22"/>
        </w:rPr>
        <w:t>Bogotá D.C.</w:t>
      </w:r>
    </w:p>
    <w:p w14:paraId="2D356E06" w14:textId="4CCA28E1" w:rsidR="00871181" w:rsidRDefault="00871181" w:rsidP="00AA1B5C">
      <w:pPr>
        <w:rPr>
          <w:rFonts w:ascii="Arial" w:eastAsia="Arial" w:hAnsi="Arial" w:cs="Arial"/>
          <w:color w:val="000000"/>
          <w:sz w:val="22"/>
          <w:szCs w:val="22"/>
        </w:rPr>
      </w:pPr>
    </w:p>
    <w:p w14:paraId="028F1755" w14:textId="77777777" w:rsidR="00493920" w:rsidRPr="005D0C48" w:rsidRDefault="00493920" w:rsidP="00AA1B5C">
      <w:pPr>
        <w:rPr>
          <w:rFonts w:ascii="Arial" w:eastAsia="Arial" w:hAnsi="Arial" w:cs="Arial"/>
          <w:color w:val="000000"/>
          <w:sz w:val="22"/>
          <w:szCs w:val="22"/>
        </w:rPr>
      </w:pPr>
    </w:p>
    <w:p w14:paraId="75CA9EB7" w14:textId="729369BF" w:rsidR="00871181" w:rsidRPr="005D0C48" w:rsidRDefault="00493920" w:rsidP="00493920">
      <w:pPr>
        <w:rPr>
          <w:rFonts w:ascii="Arial" w:eastAsia="Arial" w:hAnsi="Arial" w:cs="Arial"/>
          <w:color w:val="000000"/>
          <w:sz w:val="22"/>
          <w:szCs w:val="22"/>
        </w:rPr>
      </w:pPr>
      <w:r>
        <w:rPr>
          <w:rFonts w:ascii="Arial" w:eastAsia="Arial" w:hAnsi="Arial" w:cs="Arial"/>
          <w:b/>
          <w:color w:val="000000"/>
          <w:sz w:val="22"/>
          <w:szCs w:val="22"/>
        </w:rPr>
        <w:t xml:space="preserve">                                             </w:t>
      </w:r>
      <w:r w:rsidRPr="00C479B0">
        <w:rPr>
          <w:rFonts w:ascii="Arial" w:eastAsia="Arial" w:hAnsi="Arial" w:cs="Arial"/>
          <w:b/>
          <w:color w:val="000000"/>
          <w:sz w:val="22"/>
          <w:szCs w:val="22"/>
        </w:rPr>
        <w:t>Concepto C –3</w:t>
      </w:r>
      <w:r>
        <w:rPr>
          <w:rFonts w:ascii="Arial" w:eastAsia="Arial" w:hAnsi="Arial" w:cs="Arial"/>
          <w:b/>
          <w:color w:val="000000"/>
          <w:sz w:val="22"/>
          <w:szCs w:val="22"/>
        </w:rPr>
        <w:t xml:space="preserve">65 </w:t>
      </w:r>
      <w:r w:rsidRPr="00C479B0">
        <w:rPr>
          <w:rFonts w:ascii="Arial" w:eastAsia="Arial" w:hAnsi="Arial" w:cs="Arial"/>
          <w:b/>
          <w:color w:val="000000"/>
          <w:sz w:val="22"/>
          <w:szCs w:val="22"/>
        </w:rPr>
        <w:t>de 2022</w:t>
      </w:r>
    </w:p>
    <w:p w14:paraId="7937B7B5" w14:textId="77854801" w:rsidR="00871181" w:rsidRPr="005D0C48" w:rsidRDefault="003E3EF7" w:rsidP="00AA1B5C">
      <w:pPr>
        <w:rPr>
          <w:rFonts w:ascii="Arial" w:eastAsia="Arial" w:hAnsi="Arial" w:cs="Arial"/>
          <w:color w:val="000000"/>
          <w:sz w:val="22"/>
          <w:szCs w:val="22"/>
        </w:rPr>
      </w:pPr>
      <w:r w:rsidRPr="005D0C48">
        <w:rPr>
          <w:rFonts w:ascii="Arial" w:eastAsia="Arial" w:hAnsi="Arial" w:cs="Arial"/>
          <w:color w:val="000000"/>
          <w:sz w:val="22"/>
          <w:szCs w:val="22"/>
        </w:rPr>
        <w:t xml:space="preserve">  </w:t>
      </w:r>
    </w:p>
    <w:tbl>
      <w:tblPr>
        <w:tblStyle w:val="2"/>
        <w:tblW w:w="89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6237"/>
      </w:tblGrid>
      <w:tr w:rsidR="00871181" w:rsidRPr="005D0C48" w14:paraId="003B8DE2" w14:textId="77777777">
        <w:trPr>
          <w:trHeight w:val="1038"/>
        </w:trPr>
        <w:tc>
          <w:tcPr>
            <w:tcW w:w="2689" w:type="dxa"/>
          </w:tcPr>
          <w:p w14:paraId="41C32295" w14:textId="77777777" w:rsidR="00871181" w:rsidRPr="005D0C48" w:rsidRDefault="003E3EF7" w:rsidP="00AA1B5C">
            <w:pPr>
              <w:spacing w:before="0" w:line="276" w:lineRule="auto"/>
              <w:rPr>
                <w:rFonts w:ascii="Arial" w:eastAsia="Arial" w:hAnsi="Arial" w:cs="Arial"/>
                <w:color w:val="000000"/>
              </w:rPr>
            </w:pPr>
            <w:r w:rsidRPr="005D0C48">
              <w:rPr>
                <w:rFonts w:ascii="Arial" w:eastAsia="Arial" w:hAnsi="Arial" w:cs="Arial"/>
                <w:b/>
                <w:color w:val="000000"/>
              </w:rPr>
              <w:t>Temas:</w:t>
            </w:r>
            <w:r w:rsidRPr="005D0C48">
              <w:rPr>
                <w:rFonts w:ascii="Arial" w:eastAsia="Arial" w:hAnsi="Arial" w:cs="Arial"/>
                <w:color w:val="000000"/>
              </w:rPr>
              <w:t xml:space="preserve">        </w:t>
            </w:r>
          </w:p>
        </w:tc>
        <w:tc>
          <w:tcPr>
            <w:tcW w:w="6237" w:type="dxa"/>
          </w:tcPr>
          <w:p w14:paraId="02670358" w14:textId="77777777" w:rsidR="00AC3C4B" w:rsidRPr="00AC3C4B" w:rsidRDefault="00446292" w:rsidP="00AC3C4B">
            <w:pPr>
              <w:jc w:val="both"/>
              <w:rPr>
                <w:rFonts w:ascii="Arial" w:eastAsia="Arial" w:hAnsi="Arial" w:cs="Arial"/>
                <w:b/>
                <w:color w:val="000000"/>
                <w:sz w:val="22"/>
                <w:szCs w:val="22"/>
                <w:lang w:val="es-ES_tradnl"/>
              </w:rPr>
            </w:pPr>
            <w:r w:rsidRPr="007D25D0">
              <w:rPr>
                <w:rFonts w:ascii="Arial" w:eastAsia="Arial" w:hAnsi="Arial" w:cs="Arial"/>
                <w:color w:val="000000"/>
                <w:sz w:val="22"/>
                <w:szCs w:val="22"/>
              </w:rPr>
              <w:t>ENTIDADES CON RÉGIMEN ESPECIAL</w:t>
            </w:r>
            <w:r w:rsidR="000B5697">
              <w:rPr>
                <w:rFonts w:ascii="Arial" w:eastAsia="Arial" w:hAnsi="Arial" w:cs="Arial"/>
                <w:color w:val="000000"/>
                <w:sz w:val="22"/>
                <w:szCs w:val="22"/>
              </w:rPr>
              <w:t xml:space="preserve"> – </w:t>
            </w:r>
            <w:r w:rsidR="004528B4" w:rsidRPr="007D25D0">
              <w:rPr>
                <w:rFonts w:ascii="Arial" w:eastAsia="Arial" w:hAnsi="Arial" w:cs="Arial"/>
                <w:color w:val="000000"/>
                <w:sz w:val="22"/>
                <w:szCs w:val="22"/>
              </w:rPr>
              <w:t>definición</w:t>
            </w:r>
            <w:r w:rsidR="000B5697">
              <w:rPr>
                <w:rFonts w:ascii="Arial" w:eastAsia="Arial" w:hAnsi="Arial" w:cs="Arial"/>
                <w:color w:val="000000"/>
                <w:sz w:val="22"/>
                <w:szCs w:val="22"/>
              </w:rPr>
              <w:t xml:space="preserve"> / </w:t>
            </w:r>
            <w:r w:rsidR="000B5697" w:rsidRPr="000B5697">
              <w:rPr>
                <w:rFonts w:ascii="Arial" w:eastAsia="Arial" w:hAnsi="Arial" w:cs="Arial"/>
                <w:color w:val="000000"/>
                <w:sz w:val="22"/>
                <w:szCs w:val="22"/>
              </w:rPr>
              <w:t xml:space="preserve">ENTIDADES CON RÉGIMEN ESPECIAL </w:t>
            </w:r>
            <w:r w:rsidR="000B5697">
              <w:rPr>
                <w:rFonts w:ascii="Arial" w:eastAsia="Arial" w:hAnsi="Arial" w:cs="Arial"/>
                <w:color w:val="000000"/>
                <w:sz w:val="22"/>
                <w:szCs w:val="22"/>
              </w:rPr>
              <w:t xml:space="preserve">– </w:t>
            </w:r>
            <w:r w:rsidR="004528B4" w:rsidRPr="007D25D0">
              <w:rPr>
                <w:rFonts w:ascii="Arial" w:eastAsia="Arial" w:hAnsi="Arial" w:cs="Arial"/>
                <w:color w:val="000000"/>
                <w:sz w:val="22"/>
                <w:szCs w:val="22"/>
              </w:rPr>
              <w:t>reglas aplicables</w:t>
            </w:r>
            <w:r w:rsidR="0078253F">
              <w:rPr>
                <w:rFonts w:ascii="Arial" w:eastAsia="Arial" w:hAnsi="Arial" w:cs="Arial"/>
                <w:color w:val="000000"/>
                <w:sz w:val="22"/>
                <w:szCs w:val="22"/>
              </w:rPr>
              <w:t xml:space="preserve"> </w:t>
            </w:r>
            <w:r w:rsidR="000B5697">
              <w:rPr>
                <w:rFonts w:ascii="Arial" w:eastAsia="Arial" w:hAnsi="Arial" w:cs="Arial"/>
                <w:color w:val="000000"/>
                <w:sz w:val="22"/>
                <w:szCs w:val="22"/>
              </w:rPr>
              <w:t xml:space="preserve">/ </w:t>
            </w:r>
            <w:r w:rsidR="000B5697" w:rsidRPr="000B5697">
              <w:rPr>
                <w:rFonts w:ascii="Arial" w:eastAsia="Arial" w:hAnsi="Arial" w:cs="Arial"/>
                <w:color w:val="000000"/>
                <w:sz w:val="22"/>
                <w:szCs w:val="22"/>
              </w:rPr>
              <w:t xml:space="preserve">ENTIDADES CON RÉGIMEN ESPECIAL </w:t>
            </w:r>
            <w:r w:rsidR="0078253F">
              <w:rPr>
                <w:rFonts w:ascii="Arial" w:eastAsia="Arial" w:hAnsi="Arial" w:cs="Arial"/>
                <w:color w:val="000000"/>
                <w:sz w:val="22"/>
                <w:szCs w:val="22"/>
              </w:rPr>
              <w:t xml:space="preserve">– </w:t>
            </w:r>
            <w:r w:rsidR="004528B4" w:rsidRPr="007D25D0">
              <w:rPr>
                <w:rFonts w:ascii="Arial" w:eastAsia="Arial" w:hAnsi="Arial" w:cs="Arial"/>
                <w:color w:val="000000"/>
                <w:sz w:val="22"/>
                <w:szCs w:val="22"/>
              </w:rPr>
              <w:t>manual de contratación</w:t>
            </w:r>
            <w:r w:rsidR="0078253F">
              <w:rPr>
                <w:rFonts w:ascii="Arial" w:eastAsia="Arial" w:hAnsi="Arial" w:cs="Arial"/>
                <w:color w:val="000000"/>
                <w:sz w:val="22"/>
                <w:szCs w:val="22"/>
              </w:rPr>
              <w:t xml:space="preserve"> </w:t>
            </w:r>
            <w:r w:rsidR="000B5697">
              <w:rPr>
                <w:rFonts w:ascii="Arial" w:eastAsia="Arial" w:hAnsi="Arial" w:cs="Arial"/>
                <w:color w:val="000000"/>
                <w:sz w:val="22"/>
                <w:szCs w:val="22"/>
              </w:rPr>
              <w:t xml:space="preserve">/ </w:t>
            </w:r>
            <w:r w:rsidR="000B5697" w:rsidRPr="000B5697">
              <w:rPr>
                <w:rFonts w:ascii="Arial" w:eastAsia="Arial" w:hAnsi="Arial" w:cs="Arial"/>
                <w:color w:val="000000"/>
                <w:sz w:val="22"/>
                <w:szCs w:val="22"/>
              </w:rPr>
              <w:t xml:space="preserve">ENTIDADES CON RÉGIMEN ESPECIAL </w:t>
            </w:r>
            <w:r w:rsidR="0078253F">
              <w:rPr>
                <w:rFonts w:ascii="Arial" w:eastAsia="Arial" w:hAnsi="Arial" w:cs="Arial"/>
                <w:color w:val="000000"/>
                <w:sz w:val="22"/>
                <w:szCs w:val="22"/>
              </w:rPr>
              <w:t>–</w:t>
            </w:r>
            <w:r>
              <w:rPr>
                <w:rFonts w:ascii="Arial" w:eastAsia="Arial" w:hAnsi="Arial" w:cs="Arial"/>
                <w:color w:val="000000"/>
                <w:sz w:val="22"/>
                <w:szCs w:val="22"/>
              </w:rPr>
              <w:t xml:space="preserve"> </w:t>
            </w:r>
            <w:r w:rsidR="004528B4" w:rsidRPr="007D25D0">
              <w:rPr>
                <w:rFonts w:ascii="Arial" w:eastAsia="Arial" w:hAnsi="Arial" w:cs="Arial"/>
                <w:color w:val="000000"/>
                <w:sz w:val="22"/>
                <w:szCs w:val="22"/>
              </w:rPr>
              <w:t>obligaciones transversales</w:t>
            </w:r>
            <w:r w:rsidR="000B5697">
              <w:rPr>
                <w:rFonts w:ascii="Arial" w:eastAsia="Arial" w:hAnsi="Arial" w:cs="Arial"/>
                <w:color w:val="000000"/>
                <w:sz w:val="22"/>
                <w:szCs w:val="22"/>
              </w:rPr>
              <w:t xml:space="preserve"> </w:t>
            </w:r>
            <w:r w:rsidR="00AC3C4B">
              <w:rPr>
                <w:rFonts w:ascii="Arial" w:eastAsia="Arial" w:hAnsi="Arial" w:cs="Arial"/>
                <w:color w:val="000000"/>
                <w:sz w:val="22"/>
                <w:szCs w:val="22"/>
              </w:rPr>
              <w:t xml:space="preserve">/ </w:t>
            </w:r>
            <w:r w:rsidR="00AC3C4B" w:rsidRPr="00AC3C4B">
              <w:rPr>
                <w:rFonts w:ascii="Arial" w:eastAsia="Arial" w:hAnsi="Arial" w:cs="Arial"/>
                <w:bCs/>
                <w:color w:val="000000"/>
                <w:sz w:val="22"/>
                <w:szCs w:val="22"/>
                <w:lang w:val="es-ES_tradnl"/>
              </w:rPr>
              <w:t xml:space="preserve">ENTIDADES CON RÉGIMEN ESPECIAL </w:t>
            </w:r>
            <w:r w:rsidR="00AC3C4B" w:rsidRPr="00AC3C4B">
              <w:rPr>
                <w:rFonts w:ascii="Arial" w:eastAsia="Arial" w:hAnsi="Arial" w:cs="Arial"/>
                <w:bCs/>
                <w:color w:val="000000"/>
                <w:sz w:val="22"/>
                <w:szCs w:val="22"/>
              </w:rPr>
              <w:t>–</w:t>
            </w:r>
            <w:r w:rsidR="00AC3C4B" w:rsidRPr="00AC3C4B">
              <w:rPr>
                <w:rFonts w:ascii="Arial" w:eastAsia="Arial" w:hAnsi="Arial" w:cs="Arial"/>
                <w:bCs/>
                <w:color w:val="000000"/>
                <w:sz w:val="22"/>
                <w:szCs w:val="22"/>
                <w:lang w:val="es-ES_tradnl"/>
              </w:rPr>
              <w:t xml:space="preserve"> Vacíos en los manuales de Contratación</w:t>
            </w:r>
            <w:r w:rsidR="00AC3C4B" w:rsidRPr="00AC3C4B">
              <w:rPr>
                <w:rFonts w:ascii="Arial" w:eastAsia="Arial" w:hAnsi="Arial" w:cs="Arial"/>
                <w:b/>
                <w:color w:val="000000"/>
                <w:sz w:val="22"/>
                <w:szCs w:val="22"/>
                <w:lang w:val="es-ES_tradnl"/>
              </w:rPr>
              <w:t xml:space="preserve"> </w:t>
            </w:r>
          </w:p>
          <w:p w14:paraId="4F72CBB6" w14:textId="44F7EC6F" w:rsidR="007D25D0" w:rsidRPr="00AC3C4B" w:rsidRDefault="007D25D0" w:rsidP="007D25D0">
            <w:pPr>
              <w:jc w:val="both"/>
              <w:rPr>
                <w:rFonts w:ascii="Arial" w:eastAsia="Arial" w:hAnsi="Arial" w:cs="Arial"/>
                <w:color w:val="000000"/>
                <w:sz w:val="22"/>
                <w:szCs w:val="22"/>
                <w:lang w:val="es-ES_tradnl"/>
              </w:rPr>
            </w:pPr>
          </w:p>
          <w:p w14:paraId="70D39657" w14:textId="01FDEB8C" w:rsidR="00871181" w:rsidRPr="007D25D0" w:rsidRDefault="00871181" w:rsidP="00AA1B5C">
            <w:pPr>
              <w:spacing w:before="0" w:line="276" w:lineRule="auto"/>
              <w:jc w:val="both"/>
              <w:rPr>
                <w:rFonts w:ascii="Arial" w:eastAsia="Arial" w:hAnsi="Arial" w:cs="Arial"/>
                <w:color w:val="000000"/>
                <w:lang w:val="es-ES_tradnl"/>
              </w:rPr>
            </w:pPr>
          </w:p>
        </w:tc>
      </w:tr>
      <w:tr w:rsidR="00871181" w:rsidRPr="005D0C48" w14:paraId="08330973" w14:textId="77777777">
        <w:tc>
          <w:tcPr>
            <w:tcW w:w="2689" w:type="dxa"/>
          </w:tcPr>
          <w:p w14:paraId="07BEB766" w14:textId="77777777" w:rsidR="00871181" w:rsidRPr="005D0C48" w:rsidRDefault="003E3EF7" w:rsidP="00AA1B5C">
            <w:pPr>
              <w:spacing w:before="0" w:line="276" w:lineRule="auto"/>
              <w:rPr>
                <w:rFonts w:ascii="Arial" w:eastAsia="Arial" w:hAnsi="Arial" w:cs="Arial"/>
                <w:b/>
                <w:color w:val="000000"/>
                <w:sz w:val="22"/>
                <w:szCs w:val="22"/>
              </w:rPr>
            </w:pPr>
            <w:r w:rsidRPr="005D0C48">
              <w:rPr>
                <w:rFonts w:ascii="Arial" w:eastAsia="Arial" w:hAnsi="Arial" w:cs="Arial"/>
                <w:b/>
                <w:color w:val="000000"/>
                <w:sz w:val="22"/>
                <w:szCs w:val="22"/>
              </w:rPr>
              <w:t>Radicación:</w:t>
            </w:r>
            <w:r w:rsidRPr="005D0C48">
              <w:rPr>
                <w:rFonts w:ascii="Arial" w:eastAsia="Arial" w:hAnsi="Arial" w:cs="Arial"/>
                <w:color w:val="000000"/>
                <w:sz w:val="22"/>
                <w:szCs w:val="22"/>
              </w:rPr>
              <w:t xml:space="preserve">                              </w:t>
            </w:r>
          </w:p>
        </w:tc>
        <w:tc>
          <w:tcPr>
            <w:tcW w:w="6237" w:type="dxa"/>
          </w:tcPr>
          <w:p w14:paraId="3A8E828C" w14:textId="37FD3CD8" w:rsidR="00871181" w:rsidRPr="005D0C48" w:rsidRDefault="003E3EF7" w:rsidP="00AA1B5C">
            <w:pPr>
              <w:spacing w:before="0" w:line="276" w:lineRule="auto"/>
              <w:jc w:val="both"/>
              <w:rPr>
                <w:rFonts w:ascii="Arial" w:eastAsia="Arial" w:hAnsi="Arial" w:cs="Arial"/>
                <w:color w:val="000000"/>
                <w:sz w:val="22"/>
                <w:szCs w:val="22"/>
              </w:rPr>
            </w:pPr>
            <w:r w:rsidRPr="005D0C48">
              <w:rPr>
                <w:rFonts w:ascii="Arial" w:eastAsia="Arial" w:hAnsi="Arial" w:cs="Arial"/>
                <w:color w:val="000000"/>
                <w:sz w:val="22"/>
                <w:szCs w:val="22"/>
              </w:rPr>
              <w:t>Respuesta a consulta</w:t>
            </w:r>
            <w:r w:rsidR="0079024C" w:rsidRPr="005D0C48">
              <w:rPr>
                <w:rFonts w:ascii="Arial" w:eastAsia="Arial" w:hAnsi="Arial" w:cs="Arial"/>
                <w:color w:val="000000"/>
                <w:sz w:val="22"/>
                <w:szCs w:val="22"/>
              </w:rPr>
              <w:t xml:space="preserve"> </w:t>
            </w:r>
            <w:bookmarkStart w:id="1" w:name="_Hlk105424523"/>
            <w:r w:rsidR="00C40EF3" w:rsidRPr="005D0C48">
              <w:rPr>
                <w:rFonts w:ascii="Arial" w:eastAsia="Arial" w:hAnsi="Arial" w:cs="Arial"/>
                <w:color w:val="000000"/>
                <w:sz w:val="22"/>
                <w:szCs w:val="22"/>
              </w:rPr>
              <w:t>P20220422003979</w:t>
            </w:r>
            <w:bookmarkEnd w:id="1"/>
            <w:r w:rsidR="00C40EF3" w:rsidRPr="005D0C48">
              <w:rPr>
                <w:rFonts w:ascii="Arial" w:eastAsia="Arial" w:hAnsi="Arial" w:cs="Arial"/>
                <w:color w:val="000000"/>
                <w:sz w:val="22"/>
                <w:szCs w:val="22"/>
              </w:rPr>
              <w:t> </w:t>
            </w:r>
          </w:p>
        </w:tc>
      </w:tr>
    </w:tbl>
    <w:p w14:paraId="28FE27BE" w14:textId="77777777" w:rsidR="00871181" w:rsidRPr="005D0C48" w:rsidRDefault="00871181" w:rsidP="00AA1B5C">
      <w:pPr>
        <w:rPr>
          <w:color w:val="000000"/>
          <w:sz w:val="22"/>
          <w:szCs w:val="22"/>
        </w:rPr>
      </w:pPr>
    </w:p>
    <w:p w14:paraId="394768E2" w14:textId="3EC9D513" w:rsidR="00871181" w:rsidRPr="005D0C48" w:rsidRDefault="00871181" w:rsidP="00AA1B5C">
      <w:pPr>
        <w:rPr>
          <w:rFonts w:ascii="Arial" w:eastAsia="Arial" w:hAnsi="Arial" w:cs="Arial"/>
          <w:color w:val="000000"/>
          <w:sz w:val="22"/>
          <w:szCs w:val="22"/>
        </w:rPr>
      </w:pPr>
    </w:p>
    <w:p w14:paraId="038F7D2C" w14:textId="35F45808" w:rsidR="00871181" w:rsidRPr="005D0C48" w:rsidRDefault="003E3EF7" w:rsidP="00AA1B5C">
      <w:pPr>
        <w:rPr>
          <w:rFonts w:ascii="Arial" w:eastAsia="Arial" w:hAnsi="Arial" w:cs="Arial"/>
          <w:color w:val="000000"/>
          <w:sz w:val="22"/>
          <w:szCs w:val="22"/>
        </w:rPr>
      </w:pPr>
      <w:r w:rsidRPr="005D0C48">
        <w:rPr>
          <w:rFonts w:ascii="Arial" w:eastAsia="Arial" w:hAnsi="Arial" w:cs="Arial"/>
          <w:color w:val="000000"/>
          <w:sz w:val="22"/>
          <w:szCs w:val="22"/>
        </w:rPr>
        <w:t>Estimado señor</w:t>
      </w:r>
      <w:r w:rsidR="001D486F" w:rsidRPr="005D0C48">
        <w:rPr>
          <w:rFonts w:ascii="Arial" w:eastAsia="Arial" w:hAnsi="Arial" w:cs="Arial"/>
          <w:color w:val="000000"/>
          <w:sz w:val="22"/>
          <w:szCs w:val="22"/>
        </w:rPr>
        <w:t xml:space="preserve"> </w:t>
      </w:r>
      <w:r w:rsidR="007A484C" w:rsidRPr="005D0C48">
        <w:rPr>
          <w:rFonts w:ascii="Arial" w:eastAsia="Arial" w:hAnsi="Arial" w:cs="Arial"/>
          <w:color w:val="000000"/>
          <w:sz w:val="22"/>
          <w:szCs w:val="22"/>
        </w:rPr>
        <w:t>Sosa-Rostan:</w:t>
      </w:r>
    </w:p>
    <w:p w14:paraId="32C1B702" w14:textId="77777777" w:rsidR="00871181" w:rsidRPr="005D0C48" w:rsidRDefault="00871181" w:rsidP="00AA1B5C">
      <w:pPr>
        <w:ind w:firstLine="709"/>
        <w:rPr>
          <w:rFonts w:ascii="Arial" w:eastAsia="Arial" w:hAnsi="Arial" w:cs="Arial"/>
          <w:color w:val="000000"/>
          <w:sz w:val="22"/>
          <w:szCs w:val="22"/>
        </w:rPr>
      </w:pPr>
    </w:p>
    <w:p w14:paraId="4C96A024" w14:textId="114555F1" w:rsidR="00871181" w:rsidRPr="005D0C48" w:rsidRDefault="003E3EF7" w:rsidP="00AA1B5C">
      <w:pPr>
        <w:ind w:right="51"/>
        <w:rPr>
          <w:rFonts w:ascii="Arial" w:eastAsia="Arial" w:hAnsi="Arial" w:cs="Arial"/>
          <w:color w:val="000000"/>
          <w:sz w:val="22"/>
          <w:szCs w:val="22"/>
        </w:rPr>
      </w:pPr>
      <w:r w:rsidRPr="005D0C48">
        <w:rPr>
          <w:rFonts w:ascii="Arial" w:eastAsia="Arial" w:hAnsi="Arial" w:cs="Arial"/>
          <w:color w:val="000000"/>
          <w:sz w:val="22"/>
          <w:szCs w:val="22"/>
        </w:rPr>
        <w:lastRenderedPageBreak/>
        <w:t>En ejercicio de la competencia otorgada por el numeral 8 del artículo 11 y el numeral 5 del artículo 3 del Decreto Ley 4170 de 2011, la Agencia Nacional de Contratación Pública – Colombia Compra Eficiente responde la</w:t>
      </w:r>
      <w:r w:rsidR="001D486F" w:rsidRPr="005D0C48">
        <w:rPr>
          <w:rFonts w:ascii="Arial" w:eastAsia="Arial" w:hAnsi="Arial" w:cs="Arial"/>
          <w:color w:val="000000"/>
          <w:sz w:val="22"/>
          <w:szCs w:val="22"/>
        </w:rPr>
        <w:t>s</w:t>
      </w:r>
      <w:r w:rsidRPr="005D0C48">
        <w:rPr>
          <w:rFonts w:ascii="Arial" w:eastAsia="Arial" w:hAnsi="Arial" w:cs="Arial"/>
          <w:color w:val="000000"/>
          <w:sz w:val="22"/>
          <w:szCs w:val="22"/>
        </w:rPr>
        <w:t xml:space="preserve"> consulta</w:t>
      </w:r>
      <w:r w:rsidR="001D486F" w:rsidRPr="005D0C48">
        <w:rPr>
          <w:rFonts w:ascii="Arial" w:eastAsia="Arial" w:hAnsi="Arial" w:cs="Arial"/>
          <w:color w:val="000000"/>
          <w:sz w:val="22"/>
          <w:szCs w:val="22"/>
        </w:rPr>
        <w:t>s</w:t>
      </w:r>
      <w:r w:rsidRPr="005D0C48">
        <w:rPr>
          <w:rFonts w:ascii="Arial" w:eastAsia="Arial" w:hAnsi="Arial" w:cs="Arial"/>
          <w:color w:val="000000"/>
          <w:sz w:val="22"/>
          <w:szCs w:val="22"/>
        </w:rPr>
        <w:t xml:space="preserve"> realizada</w:t>
      </w:r>
      <w:r w:rsidR="001D486F" w:rsidRPr="005D0C48">
        <w:rPr>
          <w:rFonts w:ascii="Arial" w:eastAsia="Arial" w:hAnsi="Arial" w:cs="Arial"/>
          <w:color w:val="000000"/>
          <w:sz w:val="22"/>
          <w:szCs w:val="22"/>
        </w:rPr>
        <w:t>s</w:t>
      </w:r>
      <w:r w:rsidRPr="005D0C48">
        <w:rPr>
          <w:rFonts w:ascii="Arial" w:eastAsia="Arial" w:hAnsi="Arial" w:cs="Arial"/>
          <w:color w:val="000000"/>
          <w:sz w:val="22"/>
          <w:szCs w:val="22"/>
        </w:rPr>
        <w:t xml:space="preserve"> el </w:t>
      </w:r>
      <w:r w:rsidR="001D486F" w:rsidRPr="005D0C48">
        <w:rPr>
          <w:rFonts w:ascii="Arial" w:eastAsia="Arial" w:hAnsi="Arial" w:cs="Arial"/>
          <w:color w:val="000000"/>
          <w:sz w:val="22"/>
          <w:szCs w:val="22"/>
        </w:rPr>
        <w:t>31</w:t>
      </w:r>
      <w:r w:rsidRPr="005D0C48">
        <w:rPr>
          <w:rFonts w:ascii="Arial" w:eastAsia="Arial" w:hAnsi="Arial" w:cs="Arial"/>
          <w:color w:val="000000"/>
          <w:sz w:val="22"/>
          <w:szCs w:val="22"/>
        </w:rPr>
        <w:t xml:space="preserve"> de</w:t>
      </w:r>
      <w:r w:rsidR="001D486F" w:rsidRPr="005D0C48">
        <w:rPr>
          <w:rFonts w:ascii="Arial" w:eastAsia="Arial" w:hAnsi="Arial" w:cs="Arial"/>
          <w:color w:val="000000"/>
          <w:sz w:val="22"/>
          <w:szCs w:val="22"/>
        </w:rPr>
        <w:t xml:space="preserve"> marzo</w:t>
      </w:r>
      <w:r w:rsidRPr="005D0C48">
        <w:rPr>
          <w:rFonts w:ascii="Arial" w:eastAsia="Arial" w:hAnsi="Arial" w:cs="Arial"/>
          <w:color w:val="000000"/>
          <w:sz w:val="22"/>
          <w:szCs w:val="22"/>
        </w:rPr>
        <w:t xml:space="preserve"> de 202</w:t>
      </w:r>
      <w:r w:rsidR="001D486F" w:rsidRPr="005D0C48">
        <w:rPr>
          <w:rFonts w:ascii="Arial" w:eastAsia="Arial" w:hAnsi="Arial" w:cs="Arial"/>
          <w:color w:val="000000"/>
          <w:sz w:val="22"/>
          <w:szCs w:val="22"/>
        </w:rPr>
        <w:t>2</w:t>
      </w:r>
      <w:r w:rsidRPr="005D0C48">
        <w:rPr>
          <w:rFonts w:ascii="Arial" w:eastAsia="Arial" w:hAnsi="Arial" w:cs="Arial"/>
          <w:color w:val="000000"/>
          <w:sz w:val="22"/>
          <w:szCs w:val="22"/>
        </w:rPr>
        <w:t xml:space="preserve">. </w:t>
      </w:r>
    </w:p>
    <w:p w14:paraId="498A6BCE" w14:textId="77777777" w:rsidR="00871181" w:rsidRPr="005D0C48" w:rsidRDefault="00871181" w:rsidP="00AA1B5C">
      <w:pPr>
        <w:rPr>
          <w:rFonts w:ascii="Arial" w:eastAsia="Arial" w:hAnsi="Arial" w:cs="Arial"/>
          <w:color w:val="000000"/>
          <w:sz w:val="22"/>
          <w:szCs w:val="22"/>
        </w:rPr>
      </w:pPr>
    </w:p>
    <w:p w14:paraId="5E5698CC" w14:textId="77777777" w:rsidR="00871181" w:rsidRPr="005D0C48" w:rsidRDefault="003E3EF7" w:rsidP="00AA1B5C">
      <w:pPr>
        <w:tabs>
          <w:tab w:val="left" w:pos="284"/>
        </w:tabs>
        <w:rPr>
          <w:rFonts w:ascii="Arial" w:eastAsia="Arial" w:hAnsi="Arial" w:cs="Arial"/>
          <w:b/>
          <w:color w:val="000000"/>
          <w:sz w:val="22"/>
          <w:szCs w:val="22"/>
        </w:rPr>
      </w:pPr>
      <w:r w:rsidRPr="005D0C48">
        <w:rPr>
          <w:rFonts w:ascii="Arial" w:eastAsia="Arial" w:hAnsi="Arial" w:cs="Arial"/>
          <w:b/>
          <w:color w:val="000000"/>
          <w:sz w:val="22"/>
          <w:szCs w:val="22"/>
        </w:rPr>
        <w:t xml:space="preserve">1. Problema planteado </w:t>
      </w:r>
    </w:p>
    <w:p w14:paraId="75EEAD0C" w14:textId="77777777" w:rsidR="00AA1B5C" w:rsidRPr="005D0C48" w:rsidRDefault="00AA1B5C" w:rsidP="00AA1B5C">
      <w:pPr>
        <w:pBdr>
          <w:top w:val="nil"/>
          <w:left w:val="nil"/>
          <w:bottom w:val="nil"/>
          <w:right w:val="nil"/>
          <w:between w:val="nil"/>
        </w:pBdr>
        <w:rPr>
          <w:rFonts w:ascii="Arial" w:eastAsia="Arial" w:hAnsi="Arial" w:cs="Arial"/>
          <w:color w:val="000000"/>
          <w:sz w:val="22"/>
          <w:szCs w:val="22"/>
        </w:rPr>
      </w:pPr>
      <w:bookmarkStart w:id="2" w:name="_17dp8vu" w:colFirst="0" w:colLast="0"/>
      <w:bookmarkEnd w:id="2"/>
    </w:p>
    <w:p w14:paraId="7127D407" w14:textId="65BFAEFE" w:rsidR="00146CDB" w:rsidRPr="005D0C48" w:rsidRDefault="003833EC" w:rsidP="00AA1B5C">
      <w:pPr>
        <w:pBdr>
          <w:top w:val="nil"/>
          <w:left w:val="nil"/>
          <w:bottom w:val="nil"/>
          <w:right w:val="nil"/>
          <w:between w:val="nil"/>
        </w:pBdr>
        <w:rPr>
          <w:rFonts w:ascii="Arial" w:eastAsia="Arial" w:hAnsi="Arial" w:cs="Arial"/>
          <w:color w:val="000000"/>
          <w:sz w:val="22"/>
          <w:szCs w:val="22"/>
        </w:rPr>
      </w:pPr>
      <w:r w:rsidRPr="005D0C48">
        <w:rPr>
          <w:rFonts w:ascii="Arial" w:eastAsia="Arial" w:hAnsi="Arial" w:cs="Arial"/>
          <w:color w:val="000000"/>
          <w:sz w:val="22"/>
          <w:szCs w:val="22"/>
        </w:rPr>
        <w:t xml:space="preserve">En la </w:t>
      </w:r>
      <w:r w:rsidR="00C40EF3" w:rsidRPr="005D0C48">
        <w:rPr>
          <w:rFonts w:ascii="Arial" w:eastAsia="Arial" w:hAnsi="Arial" w:cs="Arial"/>
          <w:color w:val="000000"/>
          <w:sz w:val="22"/>
          <w:szCs w:val="22"/>
        </w:rPr>
        <w:t>consulta identificada de forma previa</w:t>
      </w:r>
      <w:r w:rsidRPr="005D0C48">
        <w:rPr>
          <w:rFonts w:ascii="Arial" w:eastAsia="Arial" w:hAnsi="Arial" w:cs="Arial"/>
          <w:color w:val="000000"/>
          <w:sz w:val="22"/>
          <w:szCs w:val="22"/>
        </w:rPr>
        <w:t xml:space="preserve"> u</w:t>
      </w:r>
      <w:r w:rsidR="003E3EF7" w:rsidRPr="005D0C48">
        <w:rPr>
          <w:rFonts w:ascii="Arial" w:eastAsia="Arial" w:hAnsi="Arial" w:cs="Arial"/>
          <w:color w:val="000000"/>
          <w:sz w:val="22"/>
          <w:szCs w:val="22"/>
        </w:rPr>
        <w:t>sted solicita a la Agencia</w:t>
      </w:r>
      <w:r w:rsidR="00146CDB" w:rsidRPr="005D0C48">
        <w:rPr>
          <w:rFonts w:ascii="Arial" w:eastAsia="Arial" w:hAnsi="Arial" w:cs="Arial"/>
          <w:color w:val="000000"/>
          <w:sz w:val="22"/>
          <w:szCs w:val="22"/>
        </w:rPr>
        <w:t xml:space="preserve"> resolver los siguientes interrogantes, todos l</w:t>
      </w:r>
      <w:r w:rsidR="001D486F" w:rsidRPr="005D0C48">
        <w:rPr>
          <w:rFonts w:ascii="Arial" w:eastAsia="Arial" w:hAnsi="Arial" w:cs="Arial"/>
          <w:color w:val="000000"/>
          <w:sz w:val="22"/>
          <w:szCs w:val="22"/>
        </w:rPr>
        <w:t xml:space="preserve">os cuales guardan relación </w:t>
      </w:r>
      <w:r w:rsidR="00D738BA" w:rsidRPr="005D0C48">
        <w:rPr>
          <w:rFonts w:ascii="Arial" w:eastAsia="Arial" w:hAnsi="Arial" w:cs="Arial"/>
          <w:color w:val="000000"/>
          <w:sz w:val="22"/>
          <w:szCs w:val="22"/>
        </w:rPr>
        <w:t xml:space="preserve">con </w:t>
      </w:r>
      <w:r w:rsidR="00C40EF3" w:rsidRPr="005D0C48">
        <w:rPr>
          <w:rFonts w:ascii="Arial" w:eastAsia="Arial" w:hAnsi="Arial" w:cs="Arial"/>
          <w:color w:val="000000"/>
          <w:sz w:val="22"/>
          <w:szCs w:val="22"/>
        </w:rPr>
        <w:t>el régimen de contratación que deben aplicar las entidades</w:t>
      </w:r>
      <w:r w:rsidR="00AB7DDC">
        <w:rPr>
          <w:rFonts w:ascii="Arial" w:eastAsia="Arial" w:hAnsi="Arial" w:cs="Arial"/>
          <w:color w:val="000000"/>
          <w:sz w:val="22"/>
          <w:szCs w:val="22"/>
        </w:rPr>
        <w:t xml:space="preserve"> financieras</w:t>
      </w:r>
      <w:r w:rsidR="00C40EF3" w:rsidRPr="005D0C48">
        <w:rPr>
          <w:rFonts w:ascii="Arial" w:eastAsia="Arial" w:hAnsi="Arial" w:cs="Arial"/>
          <w:color w:val="000000"/>
          <w:sz w:val="22"/>
          <w:szCs w:val="22"/>
        </w:rPr>
        <w:t xml:space="preserve"> estatales, en particular en lo que se refiere a las garantías que deben exigir dichas entidades</w:t>
      </w:r>
      <w:r w:rsidR="00AB7DDC">
        <w:rPr>
          <w:rFonts w:ascii="Arial" w:eastAsia="Arial" w:hAnsi="Arial" w:cs="Arial"/>
          <w:color w:val="000000"/>
          <w:sz w:val="22"/>
          <w:szCs w:val="22"/>
        </w:rPr>
        <w:t xml:space="preserve"> en sus contratos</w:t>
      </w:r>
      <w:r w:rsidR="00146CDB" w:rsidRPr="005D0C48">
        <w:rPr>
          <w:rFonts w:ascii="Arial" w:eastAsia="Arial" w:hAnsi="Arial" w:cs="Arial"/>
          <w:color w:val="000000"/>
          <w:sz w:val="22"/>
          <w:szCs w:val="22"/>
        </w:rPr>
        <w:t>:</w:t>
      </w:r>
    </w:p>
    <w:p w14:paraId="07A50261" w14:textId="77777777" w:rsidR="00AA1B5C" w:rsidRPr="005D0C48" w:rsidRDefault="00AA1B5C" w:rsidP="00AA1B5C">
      <w:pPr>
        <w:pBdr>
          <w:top w:val="nil"/>
          <w:left w:val="nil"/>
          <w:bottom w:val="nil"/>
          <w:right w:val="nil"/>
          <w:between w:val="nil"/>
        </w:pBdr>
        <w:rPr>
          <w:rFonts w:ascii="Arial" w:eastAsia="Arial" w:hAnsi="Arial" w:cs="Arial"/>
          <w:color w:val="000000"/>
          <w:sz w:val="22"/>
          <w:szCs w:val="22"/>
        </w:rPr>
      </w:pPr>
    </w:p>
    <w:p w14:paraId="11E7EB22" w14:textId="77777777" w:rsidR="00C40EF3" w:rsidRPr="005D0C48" w:rsidRDefault="00C40EF3" w:rsidP="00AA1B5C">
      <w:pPr>
        <w:pStyle w:val="Prrafodelista"/>
        <w:spacing w:after="0"/>
        <w:ind w:left="1069" w:right="709"/>
        <w:rPr>
          <w:rFonts w:ascii="Arial" w:eastAsia="Arial" w:hAnsi="Arial" w:cs="Arial"/>
          <w:bCs/>
          <w:color w:val="000000"/>
          <w:sz w:val="21"/>
          <w:szCs w:val="21"/>
          <w:lang w:val="es-ES_tradnl"/>
        </w:rPr>
      </w:pPr>
      <w:r w:rsidRPr="005D0C48">
        <w:rPr>
          <w:rFonts w:ascii="Arial" w:eastAsia="Arial" w:hAnsi="Arial" w:cs="Arial"/>
          <w:bCs/>
          <w:color w:val="000000"/>
          <w:sz w:val="21"/>
          <w:szCs w:val="21"/>
          <w:lang w:val="es-ES_tradnl"/>
        </w:rPr>
        <w:t xml:space="preserve">1. </w:t>
      </w:r>
      <w:proofErr w:type="gramStart"/>
      <w:r w:rsidRPr="005D0C48">
        <w:rPr>
          <w:rFonts w:ascii="Arial" w:eastAsia="Arial" w:hAnsi="Arial" w:cs="Arial"/>
          <w:bCs/>
          <w:color w:val="000000"/>
          <w:sz w:val="21"/>
          <w:szCs w:val="21"/>
          <w:lang w:val="es-ES_tradnl"/>
        </w:rPr>
        <w:t>¿Cuáles son las disposiciones del Decreto Único Reglamentario No.</w:t>
      </w:r>
      <w:proofErr w:type="gramEnd"/>
      <w:r w:rsidRPr="005D0C48">
        <w:rPr>
          <w:rFonts w:ascii="Arial" w:eastAsia="Arial" w:hAnsi="Arial" w:cs="Arial"/>
          <w:bCs/>
          <w:color w:val="000000"/>
          <w:sz w:val="21"/>
          <w:szCs w:val="21"/>
          <w:lang w:val="es-ES_tradnl"/>
        </w:rPr>
        <w:t xml:space="preserve"> 1082 de 2015 (DUR 1082 de 2015) que deben ser acatadas por las entidades estatales financieras, cuyo régimen de contratación no se encuentra regido por el Estatuto General de la Contratación de la Administración Pública (Ley 80 de 1993, Ley 1150 de 2007 y demás concordantes), por virtud de lo dispuesto en Parágrafo Primero del Artículo 15º de la Ley 80 de 1993?</w:t>
      </w:r>
      <w:r w:rsidRPr="005D0C48">
        <w:rPr>
          <w:rFonts w:ascii="Arial" w:eastAsia="Arial" w:hAnsi="Arial" w:cs="Arial"/>
          <w:bCs/>
          <w:color w:val="000000"/>
          <w:sz w:val="21"/>
          <w:szCs w:val="21"/>
          <w:lang w:val="es-ES_tradnl"/>
        </w:rPr>
        <w:br/>
      </w:r>
    </w:p>
    <w:p w14:paraId="2D1BC571" w14:textId="77777777" w:rsidR="00C40EF3" w:rsidRPr="005D0C48" w:rsidRDefault="00C40EF3" w:rsidP="00AA1B5C">
      <w:pPr>
        <w:pStyle w:val="Prrafodelista"/>
        <w:spacing w:after="0"/>
        <w:ind w:left="1069" w:right="709"/>
        <w:rPr>
          <w:rFonts w:ascii="Arial" w:eastAsia="Arial" w:hAnsi="Arial" w:cs="Arial"/>
          <w:bCs/>
          <w:color w:val="000000"/>
          <w:sz w:val="21"/>
          <w:szCs w:val="21"/>
          <w:lang w:val="es-ES_tradnl"/>
        </w:rPr>
      </w:pPr>
      <w:r w:rsidRPr="005D0C48">
        <w:rPr>
          <w:rFonts w:ascii="Arial" w:eastAsia="Arial" w:hAnsi="Arial" w:cs="Arial"/>
          <w:bCs/>
          <w:color w:val="000000"/>
          <w:sz w:val="21"/>
          <w:szCs w:val="21"/>
          <w:lang w:val="es-ES_tradnl"/>
        </w:rPr>
        <w:t xml:space="preserve">2. </w:t>
      </w:r>
      <w:proofErr w:type="gramStart"/>
      <w:r w:rsidRPr="005D0C48">
        <w:rPr>
          <w:rFonts w:ascii="Arial" w:eastAsia="Arial" w:hAnsi="Arial" w:cs="Arial"/>
          <w:bCs/>
          <w:color w:val="000000"/>
          <w:sz w:val="21"/>
          <w:szCs w:val="21"/>
          <w:lang w:val="es-ES_tradnl"/>
        </w:rPr>
        <w:t>¿Las disposiciones consignadas en la Sección 3 del Capítulo 2 del Título I de la Parte II del DUR 1082 de 2015 (denominada "Garantías", arts. 2.</w:t>
      </w:r>
      <w:proofErr w:type="gramEnd"/>
      <w:r w:rsidRPr="005D0C48">
        <w:rPr>
          <w:rFonts w:ascii="Arial" w:eastAsia="Arial" w:hAnsi="Arial" w:cs="Arial"/>
          <w:bCs/>
          <w:color w:val="000000"/>
          <w:sz w:val="21"/>
          <w:szCs w:val="21"/>
          <w:lang w:val="es-ES_tradnl"/>
        </w:rPr>
        <w:t>2.1.2.3.1.1 hasta 2.2.1.2.3.5.1) deben ser acatadas por las entidades estatales financieras aludidas en la anterior pregunta?</w:t>
      </w:r>
      <w:r w:rsidRPr="005D0C48">
        <w:rPr>
          <w:rFonts w:ascii="Arial" w:eastAsia="Arial" w:hAnsi="Arial" w:cs="Arial"/>
          <w:bCs/>
          <w:color w:val="000000"/>
          <w:sz w:val="21"/>
          <w:szCs w:val="21"/>
          <w:lang w:val="es-ES_tradnl"/>
        </w:rPr>
        <w:br/>
      </w:r>
    </w:p>
    <w:p w14:paraId="4FA9003B" w14:textId="77777777" w:rsidR="00C40EF3" w:rsidRPr="005D0C48" w:rsidRDefault="00C40EF3" w:rsidP="00AA1B5C">
      <w:pPr>
        <w:pStyle w:val="Prrafodelista"/>
        <w:spacing w:after="0"/>
        <w:ind w:left="1069" w:right="709"/>
        <w:rPr>
          <w:rFonts w:ascii="Arial" w:eastAsia="Arial" w:hAnsi="Arial" w:cs="Arial"/>
          <w:bCs/>
          <w:color w:val="000000"/>
          <w:sz w:val="21"/>
          <w:szCs w:val="21"/>
          <w:lang w:val="es-ES_tradnl"/>
        </w:rPr>
      </w:pPr>
      <w:r w:rsidRPr="005D0C48">
        <w:rPr>
          <w:rFonts w:ascii="Arial" w:eastAsia="Arial" w:hAnsi="Arial" w:cs="Arial"/>
          <w:bCs/>
          <w:color w:val="000000"/>
          <w:sz w:val="21"/>
          <w:szCs w:val="21"/>
          <w:lang w:val="es-ES_tradnl"/>
        </w:rPr>
        <w:t>3. En caso negativo a la anterior pregunta, ¿Cuáles son las disposiciones que regulan las garantías que deben ser exigidas por las entidades estatales financieras, en el marco de la etapa precontractual, celebración, ejecución y liquidación de los contratos que ellas suscriban? </w:t>
      </w:r>
    </w:p>
    <w:p w14:paraId="3527B7C5" w14:textId="77777777" w:rsidR="00C40EF3" w:rsidRPr="005D0C48" w:rsidRDefault="00C40EF3" w:rsidP="00AA1B5C">
      <w:pPr>
        <w:pStyle w:val="Prrafodelista"/>
        <w:spacing w:after="0"/>
        <w:ind w:left="1069" w:right="709"/>
        <w:rPr>
          <w:rFonts w:ascii="Arial" w:eastAsia="Arial" w:hAnsi="Arial" w:cs="Arial"/>
          <w:bCs/>
          <w:color w:val="000000"/>
          <w:sz w:val="21"/>
          <w:szCs w:val="21"/>
          <w:lang w:val="es-ES_tradnl"/>
        </w:rPr>
      </w:pPr>
    </w:p>
    <w:p w14:paraId="5C4B9C24" w14:textId="77777777" w:rsidR="00676AA1" w:rsidRPr="005D0C48" w:rsidRDefault="00676AA1" w:rsidP="00AA1B5C">
      <w:pPr>
        <w:pStyle w:val="Prrafodelista"/>
        <w:spacing w:after="0"/>
        <w:ind w:left="1069" w:right="709"/>
        <w:rPr>
          <w:rFonts w:ascii="Arial" w:eastAsia="Arial" w:hAnsi="Arial" w:cs="Arial"/>
          <w:bCs/>
          <w:color w:val="000000"/>
          <w:sz w:val="21"/>
          <w:szCs w:val="21"/>
        </w:rPr>
      </w:pPr>
    </w:p>
    <w:p w14:paraId="56FF9111" w14:textId="77777777" w:rsidR="00871181" w:rsidRPr="005D0C48" w:rsidRDefault="003E3EF7" w:rsidP="00AA1B5C">
      <w:pPr>
        <w:tabs>
          <w:tab w:val="left" w:pos="284"/>
        </w:tabs>
        <w:rPr>
          <w:rFonts w:ascii="Arial" w:eastAsia="Arial" w:hAnsi="Arial" w:cs="Arial"/>
          <w:b/>
          <w:color w:val="000000"/>
          <w:sz w:val="22"/>
          <w:szCs w:val="22"/>
        </w:rPr>
      </w:pPr>
      <w:r w:rsidRPr="005D0C48">
        <w:rPr>
          <w:rFonts w:ascii="Arial" w:eastAsia="Arial" w:hAnsi="Arial" w:cs="Arial"/>
          <w:b/>
          <w:color w:val="000000"/>
          <w:sz w:val="22"/>
          <w:szCs w:val="22"/>
        </w:rPr>
        <w:t>2. Consideraciones</w:t>
      </w:r>
    </w:p>
    <w:p w14:paraId="256D0D06" w14:textId="492FBA27" w:rsidR="00871181" w:rsidRDefault="00871181" w:rsidP="00AA1B5C">
      <w:pPr>
        <w:tabs>
          <w:tab w:val="left" w:pos="426"/>
        </w:tabs>
        <w:ind w:firstLine="709"/>
        <w:rPr>
          <w:rFonts w:ascii="Arial" w:eastAsia="Arial" w:hAnsi="Arial" w:cs="Arial"/>
          <w:color w:val="000000"/>
          <w:sz w:val="22"/>
          <w:szCs w:val="22"/>
        </w:rPr>
      </w:pPr>
    </w:p>
    <w:p w14:paraId="47053ED6" w14:textId="2CB35478" w:rsidR="0075254F" w:rsidRPr="005D0C48" w:rsidRDefault="0075254F" w:rsidP="001B50C4">
      <w:pPr>
        <w:tabs>
          <w:tab w:val="left" w:pos="426"/>
        </w:tabs>
        <w:spacing w:after="120"/>
        <w:rPr>
          <w:rFonts w:ascii="Arial" w:eastAsia="Arial" w:hAnsi="Arial" w:cs="Arial"/>
          <w:color w:val="000000"/>
          <w:sz w:val="22"/>
          <w:szCs w:val="22"/>
        </w:rPr>
      </w:pPr>
      <w:r w:rsidRPr="005D0C48">
        <w:rPr>
          <w:rFonts w:ascii="Arial" w:eastAsia="Arial" w:hAnsi="Arial" w:cs="Arial"/>
          <w:color w:val="000000"/>
          <w:sz w:val="22"/>
          <w:szCs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5D0C48">
        <w:rPr>
          <w:rFonts w:ascii="Arial" w:eastAsia="Arial" w:hAnsi="Arial" w:cs="Arial"/>
          <w:color w:val="000000"/>
          <w:sz w:val="22"/>
          <w:szCs w:val="22"/>
          <w:vertAlign w:val="superscript"/>
        </w:rPr>
        <w:footnoteReference w:id="1"/>
      </w:r>
      <w:r w:rsidRPr="005D0C48">
        <w:rPr>
          <w:rFonts w:ascii="Arial" w:eastAsia="Arial" w:hAnsi="Arial" w:cs="Arial"/>
          <w:color w:val="000000"/>
          <w:sz w:val="22"/>
          <w:szCs w:val="22"/>
        </w:rPr>
        <w:t>.</w:t>
      </w:r>
    </w:p>
    <w:p w14:paraId="771EFE8C" w14:textId="5607734F" w:rsidR="008771D6" w:rsidRPr="005D0C48" w:rsidRDefault="00734A2B" w:rsidP="00AA1B5C">
      <w:pPr>
        <w:rPr>
          <w:rFonts w:ascii="Arial" w:hAnsi="Arial" w:cs="Arial"/>
          <w:bCs/>
          <w:color w:val="000000"/>
          <w:sz w:val="22"/>
          <w:szCs w:val="22"/>
          <w:lang w:val="es-ES_tradnl" w:eastAsia="en-US"/>
        </w:rPr>
      </w:pPr>
      <w:r w:rsidRPr="005D0C48">
        <w:rPr>
          <w:rFonts w:ascii="Arial" w:eastAsia="Arial" w:hAnsi="Arial" w:cs="Arial"/>
          <w:color w:val="000000"/>
          <w:sz w:val="22"/>
          <w:szCs w:val="22"/>
        </w:rPr>
        <w:tab/>
      </w:r>
      <w:r w:rsidR="008771D6" w:rsidRPr="005D0C48">
        <w:rPr>
          <w:rFonts w:ascii="Arial" w:hAnsi="Arial" w:cs="Arial"/>
          <w:bCs/>
          <w:color w:val="000000"/>
          <w:sz w:val="22"/>
          <w:szCs w:val="22"/>
          <w:lang w:val="es-ES_tradnl" w:eastAsia="en-US"/>
        </w:rPr>
        <w:t xml:space="preserve">La Agencia Nacional de Contratación Pública – Colombia Compra Eficiente, en los Conceptos </w:t>
      </w:r>
      <w:r w:rsidR="004528B4" w:rsidRPr="005D0C48">
        <w:rPr>
          <w:rFonts w:ascii="Arial" w:hAnsi="Arial" w:cs="Arial"/>
          <w:bCs/>
          <w:color w:val="000000"/>
          <w:sz w:val="22"/>
          <w:szCs w:val="22"/>
          <w:lang w:val="es-ES" w:eastAsia="en-US"/>
        </w:rPr>
        <w:t xml:space="preserve">2201913000007955 del 27 de diciembre de 2019, </w:t>
      </w:r>
      <w:r w:rsidR="002A572D" w:rsidRPr="005D0C48">
        <w:rPr>
          <w:rFonts w:ascii="Arial" w:hAnsi="Arial" w:cs="Arial"/>
          <w:bCs/>
          <w:color w:val="000000"/>
          <w:sz w:val="22"/>
          <w:szCs w:val="22"/>
          <w:lang w:val="es-ES" w:eastAsia="en-US"/>
        </w:rPr>
        <w:t xml:space="preserve">C-115 del </w:t>
      </w:r>
      <w:r w:rsidR="00B3765D">
        <w:rPr>
          <w:rFonts w:ascii="Arial" w:hAnsi="Arial" w:cs="Arial"/>
          <w:bCs/>
          <w:color w:val="000000"/>
          <w:sz w:val="22"/>
          <w:szCs w:val="22"/>
          <w:lang w:val="es-ES" w:eastAsia="en-US"/>
        </w:rPr>
        <w:t xml:space="preserve">24 de marzo de </w:t>
      </w:r>
      <w:r w:rsidR="002A572D" w:rsidRPr="005D0C48">
        <w:rPr>
          <w:rFonts w:ascii="Arial" w:hAnsi="Arial" w:cs="Arial"/>
          <w:bCs/>
          <w:color w:val="000000"/>
          <w:sz w:val="22"/>
          <w:szCs w:val="22"/>
          <w:lang w:val="es-ES" w:eastAsia="en-US"/>
        </w:rPr>
        <w:t xml:space="preserve">2020, </w:t>
      </w:r>
      <w:r w:rsidR="004528B4" w:rsidRPr="005D0C48">
        <w:rPr>
          <w:rFonts w:ascii="Arial" w:hAnsi="Arial" w:cs="Arial"/>
          <w:bCs/>
          <w:color w:val="000000"/>
          <w:sz w:val="22"/>
          <w:szCs w:val="22"/>
          <w:lang w:val="es-ES" w:eastAsia="en-US"/>
        </w:rPr>
        <w:t>C-116 del</w:t>
      </w:r>
      <w:r w:rsidR="00B3765D">
        <w:rPr>
          <w:rFonts w:ascii="Arial" w:hAnsi="Arial" w:cs="Arial"/>
          <w:bCs/>
          <w:color w:val="000000"/>
          <w:sz w:val="22"/>
          <w:szCs w:val="22"/>
          <w:lang w:val="es-ES" w:eastAsia="en-US"/>
        </w:rPr>
        <w:t xml:space="preserve"> 18 de febrero de</w:t>
      </w:r>
      <w:r w:rsidR="004528B4" w:rsidRPr="005D0C48">
        <w:rPr>
          <w:rFonts w:ascii="Arial" w:hAnsi="Arial" w:cs="Arial"/>
          <w:bCs/>
          <w:color w:val="000000"/>
          <w:sz w:val="22"/>
          <w:szCs w:val="22"/>
          <w:lang w:val="es-ES" w:eastAsia="en-US"/>
        </w:rPr>
        <w:t xml:space="preserve"> 2020, C-168 del </w:t>
      </w:r>
      <w:r w:rsidR="00B3765D">
        <w:rPr>
          <w:rFonts w:ascii="Arial" w:hAnsi="Arial" w:cs="Arial"/>
          <w:bCs/>
          <w:color w:val="000000"/>
          <w:sz w:val="22"/>
          <w:szCs w:val="22"/>
          <w:lang w:val="es-ES" w:eastAsia="en-US"/>
        </w:rPr>
        <w:t xml:space="preserve">31 de marzo de </w:t>
      </w:r>
      <w:r w:rsidR="004528B4" w:rsidRPr="005D0C48">
        <w:rPr>
          <w:rFonts w:ascii="Arial" w:hAnsi="Arial" w:cs="Arial"/>
          <w:bCs/>
          <w:color w:val="000000"/>
          <w:sz w:val="22"/>
          <w:szCs w:val="22"/>
          <w:lang w:val="es-ES" w:eastAsia="en-US"/>
        </w:rPr>
        <w:t>2020, CU-003 del</w:t>
      </w:r>
      <w:r w:rsidR="00B3765D">
        <w:rPr>
          <w:rFonts w:ascii="Arial" w:hAnsi="Arial" w:cs="Arial"/>
          <w:bCs/>
          <w:color w:val="000000"/>
          <w:sz w:val="22"/>
          <w:szCs w:val="22"/>
          <w:lang w:val="es-ES" w:eastAsia="en-US"/>
        </w:rPr>
        <w:t xml:space="preserve"> 24 de </w:t>
      </w:r>
      <w:r w:rsidR="00B3765D">
        <w:rPr>
          <w:rFonts w:ascii="Arial" w:hAnsi="Arial" w:cs="Arial"/>
          <w:bCs/>
          <w:color w:val="000000"/>
          <w:sz w:val="22"/>
          <w:szCs w:val="22"/>
          <w:lang w:val="es-ES" w:eastAsia="en-US"/>
        </w:rPr>
        <w:lastRenderedPageBreak/>
        <w:t>abril</w:t>
      </w:r>
      <w:r w:rsidR="004528B4" w:rsidRPr="005D0C48">
        <w:rPr>
          <w:rFonts w:ascii="Arial" w:hAnsi="Arial" w:cs="Arial"/>
          <w:bCs/>
          <w:color w:val="000000"/>
          <w:sz w:val="22"/>
          <w:szCs w:val="22"/>
          <w:lang w:val="es-ES" w:eastAsia="en-US"/>
        </w:rPr>
        <w:t xml:space="preserve"> 2020, C-346 del </w:t>
      </w:r>
      <w:r w:rsidR="00B3765D">
        <w:rPr>
          <w:rFonts w:ascii="Arial" w:hAnsi="Arial" w:cs="Arial"/>
          <w:bCs/>
          <w:color w:val="000000"/>
          <w:sz w:val="22"/>
          <w:szCs w:val="22"/>
          <w:lang w:val="es-ES" w:eastAsia="en-US"/>
        </w:rPr>
        <w:t xml:space="preserve">26 de mayo de </w:t>
      </w:r>
      <w:r w:rsidR="004528B4" w:rsidRPr="005D0C48">
        <w:rPr>
          <w:rFonts w:ascii="Arial" w:hAnsi="Arial" w:cs="Arial"/>
          <w:bCs/>
          <w:color w:val="000000"/>
          <w:sz w:val="22"/>
          <w:szCs w:val="22"/>
          <w:lang w:val="es-ES" w:eastAsia="en-US"/>
        </w:rPr>
        <w:t>2020</w:t>
      </w:r>
      <w:r w:rsidR="00AB7DDC">
        <w:rPr>
          <w:rFonts w:ascii="Arial" w:hAnsi="Arial" w:cs="Arial"/>
          <w:bCs/>
          <w:color w:val="000000"/>
          <w:sz w:val="22"/>
          <w:szCs w:val="22"/>
          <w:lang w:val="es-ES" w:eastAsia="en-US"/>
        </w:rPr>
        <w:t>,</w:t>
      </w:r>
      <w:r w:rsidR="004528B4" w:rsidRPr="005D0C48">
        <w:rPr>
          <w:rFonts w:ascii="Arial" w:hAnsi="Arial" w:cs="Arial"/>
          <w:bCs/>
          <w:color w:val="000000"/>
          <w:sz w:val="22"/>
          <w:szCs w:val="22"/>
          <w:lang w:val="es-ES" w:eastAsia="en-US"/>
        </w:rPr>
        <w:t xml:space="preserve"> C-</w:t>
      </w:r>
      <w:r w:rsidR="002A572D" w:rsidRPr="005D0C48">
        <w:rPr>
          <w:rFonts w:ascii="Arial" w:hAnsi="Arial" w:cs="Arial"/>
          <w:bCs/>
          <w:color w:val="000000"/>
          <w:sz w:val="22"/>
          <w:szCs w:val="22"/>
          <w:lang w:val="es-ES" w:eastAsia="en-US"/>
        </w:rPr>
        <w:t xml:space="preserve">637 del </w:t>
      </w:r>
      <w:r w:rsidR="00B3765D">
        <w:rPr>
          <w:rFonts w:ascii="Arial" w:hAnsi="Arial" w:cs="Arial"/>
          <w:bCs/>
          <w:color w:val="000000"/>
          <w:sz w:val="22"/>
          <w:szCs w:val="22"/>
          <w:lang w:val="es-ES" w:eastAsia="en-US"/>
        </w:rPr>
        <w:t xml:space="preserve">28 de octubre de </w:t>
      </w:r>
      <w:r w:rsidR="002A572D" w:rsidRPr="005D0C48">
        <w:rPr>
          <w:rFonts w:ascii="Arial" w:hAnsi="Arial" w:cs="Arial"/>
          <w:bCs/>
          <w:color w:val="000000"/>
          <w:sz w:val="22"/>
          <w:szCs w:val="22"/>
          <w:lang w:val="es-ES" w:eastAsia="en-US"/>
        </w:rPr>
        <w:t>2020</w:t>
      </w:r>
      <w:r w:rsidR="00AB7DDC">
        <w:rPr>
          <w:rFonts w:ascii="Arial" w:hAnsi="Arial" w:cs="Arial"/>
          <w:bCs/>
          <w:color w:val="000000"/>
          <w:sz w:val="22"/>
          <w:szCs w:val="22"/>
          <w:lang w:val="es-ES" w:eastAsia="en-US"/>
        </w:rPr>
        <w:t xml:space="preserve"> y C-176 del 6 de abril de 2022</w:t>
      </w:r>
      <w:r w:rsidR="002A572D" w:rsidRPr="005D0C48">
        <w:rPr>
          <w:rFonts w:ascii="Arial" w:hAnsi="Arial" w:cs="Arial"/>
          <w:bCs/>
          <w:color w:val="000000"/>
          <w:sz w:val="22"/>
          <w:szCs w:val="22"/>
          <w:lang w:val="es-ES" w:eastAsia="en-US"/>
        </w:rPr>
        <w:t xml:space="preserve"> se pronunció sobre las entidades estatales exceptuadas de aplicar el Estatuto General de Contratación de la Administración Pública, </w:t>
      </w:r>
      <w:r w:rsidR="0075254F">
        <w:rPr>
          <w:rFonts w:ascii="Arial" w:hAnsi="Arial" w:cs="Arial"/>
          <w:bCs/>
          <w:color w:val="000000"/>
          <w:sz w:val="22"/>
          <w:szCs w:val="22"/>
          <w:lang w:val="es-ES" w:eastAsia="en-US"/>
        </w:rPr>
        <w:t xml:space="preserve">y, por tanto, </w:t>
      </w:r>
      <w:r w:rsidR="002A572D" w:rsidRPr="005D0C48">
        <w:rPr>
          <w:rFonts w:ascii="Arial" w:hAnsi="Arial" w:cs="Arial"/>
          <w:bCs/>
          <w:color w:val="000000"/>
          <w:sz w:val="22"/>
          <w:szCs w:val="22"/>
          <w:lang w:val="es-ES" w:eastAsia="en-US"/>
        </w:rPr>
        <w:t>sometidas a regímenes especiales de contratación</w:t>
      </w:r>
      <w:r w:rsidR="00D738BA" w:rsidRPr="005D0C48">
        <w:rPr>
          <w:rFonts w:ascii="Arial" w:hAnsi="Arial" w:cs="Arial"/>
          <w:bCs/>
          <w:color w:val="000000"/>
          <w:sz w:val="22"/>
          <w:szCs w:val="22"/>
          <w:lang w:val="es-ES_tradnl" w:eastAsia="en-US"/>
        </w:rPr>
        <w:t>.</w:t>
      </w:r>
      <w:r w:rsidR="005335E0" w:rsidRPr="005D0C48">
        <w:rPr>
          <w:rFonts w:ascii="Arial" w:hAnsi="Arial" w:cs="Arial"/>
          <w:bCs/>
          <w:color w:val="000000"/>
          <w:sz w:val="22"/>
          <w:szCs w:val="22"/>
          <w:lang w:val="es-ES_tradnl" w:eastAsia="en-US"/>
        </w:rPr>
        <w:t xml:space="preserve"> En </w:t>
      </w:r>
      <w:r w:rsidR="008771D6" w:rsidRPr="005D0C48">
        <w:rPr>
          <w:rFonts w:ascii="Arial" w:hAnsi="Arial" w:cs="Arial"/>
          <w:bCs/>
          <w:color w:val="000000"/>
          <w:sz w:val="22"/>
          <w:szCs w:val="22"/>
          <w:lang w:val="es-ES_tradnl" w:eastAsia="en-US"/>
        </w:rPr>
        <w:t>lo pertinente, las tesis desarrolladas en estos conceptos se reiteran a continuación y se complementa con algunas ideas relativas a la consulta realizada</w:t>
      </w:r>
      <w:r w:rsidR="0075254F">
        <w:rPr>
          <w:rFonts w:ascii="Arial" w:hAnsi="Arial" w:cs="Arial"/>
          <w:bCs/>
          <w:color w:val="000000"/>
          <w:sz w:val="22"/>
          <w:szCs w:val="22"/>
          <w:lang w:val="es-ES_tradnl" w:eastAsia="en-US"/>
        </w:rPr>
        <w:t>.</w:t>
      </w:r>
    </w:p>
    <w:p w14:paraId="65DE7CB6" w14:textId="2E98E1D0" w:rsidR="00643113" w:rsidRPr="005D0C48" w:rsidRDefault="00643113" w:rsidP="00AA1B5C">
      <w:pPr>
        <w:tabs>
          <w:tab w:val="left" w:pos="426"/>
        </w:tabs>
        <w:rPr>
          <w:rFonts w:ascii="Arial" w:hAnsi="Arial" w:cs="Arial"/>
          <w:bCs/>
          <w:color w:val="000000"/>
          <w:sz w:val="22"/>
          <w:szCs w:val="22"/>
          <w:lang w:val="es-ES_tradnl" w:eastAsia="en-US"/>
        </w:rPr>
      </w:pPr>
    </w:p>
    <w:p w14:paraId="6748B5F4" w14:textId="58D1DD16" w:rsidR="002A572D" w:rsidRPr="005D0C48" w:rsidRDefault="00734A2B" w:rsidP="00AA1B5C">
      <w:pPr>
        <w:rPr>
          <w:rFonts w:ascii="Arial" w:hAnsi="Arial" w:cs="Arial"/>
          <w:b/>
          <w:color w:val="000000"/>
          <w:sz w:val="22"/>
          <w:szCs w:val="22"/>
          <w:lang w:val="es-ES_tradnl" w:eastAsia="en-US"/>
        </w:rPr>
      </w:pPr>
      <w:r w:rsidRPr="005D0C48">
        <w:rPr>
          <w:rFonts w:ascii="Arial" w:hAnsi="Arial" w:cs="Arial"/>
          <w:b/>
          <w:bCs/>
          <w:color w:val="000000"/>
          <w:sz w:val="22"/>
          <w:szCs w:val="22"/>
          <w:lang w:val="es-ES_tradnl" w:eastAsia="en-US"/>
        </w:rPr>
        <w:t xml:space="preserve">2.1. </w:t>
      </w:r>
      <w:bookmarkStart w:id="4" w:name="15"/>
      <w:r w:rsidR="002A572D" w:rsidRPr="005D0C48">
        <w:rPr>
          <w:rFonts w:ascii="Arial" w:hAnsi="Arial" w:cs="Arial"/>
          <w:b/>
          <w:color w:val="000000"/>
          <w:sz w:val="22"/>
          <w:szCs w:val="22"/>
          <w:lang w:val="es-ES_tradnl" w:eastAsia="en-US"/>
        </w:rPr>
        <w:t>Regímenes especiales en la contratación estatal. Excepciones al Estatuto General de Contratación de la Administración Pública: derecho privado matizado por las reglas y principios del derecho administrativo</w:t>
      </w:r>
    </w:p>
    <w:p w14:paraId="6B7949AC" w14:textId="77777777" w:rsidR="002A572D" w:rsidRPr="005D0C48" w:rsidRDefault="002A572D" w:rsidP="00AA1B5C">
      <w:pPr>
        <w:tabs>
          <w:tab w:val="left" w:pos="426"/>
        </w:tabs>
        <w:rPr>
          <w:rFonts w:ascii="Arial" w:hAnsi="Arial" w:cs="Arial"/>
          <w:b/>
          <w:color w:val="000000"/>
          <w:sz w:val="22"/>
          <w:szCs w:val="22"/>
          <w:lang w:val="es-ES_tradnl" w:eastAsia="en-US"/>
        </w:rPr>
      </w:pPr>
    </w:p>
    <w:p w14:paraId="71559612" w14:textId="77777777" w:rsidR="002A572D" w:rsidRPr="005D0C48" w:rsidRDefault="002A572D" w:rsidP="001B50C4">
      <w:pPr>
        <w:tabs>
          <w:tab w:val="left" w:pos="426"/>
        </w:tabs>
        <w:spacing w:after="120"/>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Las entidades con régimen especial de contratación son aquellas que, por expresa disposición legal y por su naturaleza o situación de competencia, tienen condiciones diferenciales respecto de las normas que rigen su gestión contractual. </w:t>
      </w:r>
    </w:p>
    <w:p w14:paraId="270C4B3D" w14:textId="720EB940" w:rsidR="002A572D" w:rsidRPr="005D0C48" w:rsidRDefault="002A572D"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En efecto, respecto de estas el legislador ha considerado que la normativa de contratación a la que se someten debe ser distinta de la contenida en el Estatuto General de Contratación de la Administración Pública y</w:t>
      </w:r>
      <w:r w:rsidR="00CF26CF" w:rsidRPr="005D0C48">
        <w:rPr>
          <w:rFonts w:ascii="Arial" w:hAnsi="Arial" w:cs="Arial"/>
          <w:color w:val="000000"/>
          <w:sz w:val="22"/>
          <w:szCs w:val="22"/>
          <w:lang w:val="es-ES_tradnl" w:eastAsia="en-US"/>
        </w:rPr>
        <w:t>,</w:t>
      </w:r>
      <w:r w:rsidRPr="005D0C48">
        <w:rPr>
          <w:rFonts w:ascii="Arial" w:hAnsi="Arial" w:cs="Arial"/>
          <w:color w:val="000000"/>
          <w:sz w:val="22"/>
          <w:szCs w:val="22"/>
          <w:lang w:val="es-ES_tradnl" w:eastAsia="en-US"/>
        </w:rPr>
        <w:t xml:space="preserve"> por ende</w:t>
      </w:r>
      <w:r w:rsidR="00CF26CF" w:rsidRPr="005D0C48">
        <w:rPr>
          <w:rFonts w:ascii="Arial" w:hAnsi="Arial" w:cs="Arial"/>
          <w:color w:val="000000"/>
          <w:sz w:val="22"/>
          <w:szCs w:val="22"/>
          <w:lang w:val="es-ES_tradnl" w:eastAsia="en-US"/>
        </w:rPr>
        <w:t>,</w:t>
      </w:r>
      <w:r w:rsidRPr="005D0C48">
        <w:rPr>
          <w:rFonts w:ascii="Arial" w:hAnsi="Arial" w:cs="Arial"/>
          <w:color w:val="000000"/>
          <w:sz w:val="22"/>
          <w:szCs w:val="22"/>
          <w:lang w:val="es-ES_tradnl" w:eastAsia="en-US"/>
        </w:rPr>
        <w:t xml:space="preserve"> sus procedimientos contractuales</w:t>
      </w:r>
      <w:r w:rsidR="005407C6" w:rsidRPr="005D0C48">
        <w:rPr>
          <w:rFonts w:ascii="Arial" w:hAnsi="Arial" w:cs="Arial"/>
          <w:color w:val="000000"/>
          <w:sz w:val="22"/>
          <w:szCs w:val="22"/>
          <w:lang w:val="es-ES_tradnl" w:eastAsia="en-US"/>
        </w:rPr>
        <w:t xml:space="preserve"> se regirán por las normas definidas para el efecto, en la disposición que consagre su régimen excepcional</w:t>
      </w:r>
      <w:r w:rsidR="00A65A21">
        <w:rPr>
          <w:rFonts w:ascii="Arial" w:hAnsi="Arial" w:cs="Arial"/>
          <w:color w:val="000000"/>
          <w:sz w:val="22"/>
          <w:szCs w:val="22"/>
          <w:lang w:val="es-ES_tradnl" w:eastAsia="en-US"/>
        </w:rPr>
        <w:t>, normalmente el derecho privado.</w:t>
      </w:r>
    </w:p>
    <w:p w14:paraId="1DAF3176" w14:textId="56E3CE8E" w:rsidR="002A572D" w:rsidRPr="005D0C48" w:rsidRDefault="002A572D" w:rsidP="001B50C4">
      <w:pPr>
        <w:spacing w:after="120"/>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ab/>
      </w:r>
      <w:r w:rsidR="005407C6" w:rsidRPr="005D0C48">
        <w:rPr>
          <w:rFonts w:ascii="Arial" w:hAnsi="Arial" w:cs="Arial"/>
          <w:color w:val="000000"/>
          <w:sz w:val="22"/>
          <w:szCs w:val="22"/>
          <w:lang w:val="es-ES_tradnl" w:eastAsia="en-US"/>
        </w:rPr>
        <w:t>De manera que, dichas entidades están</w:t>
      </w:r>
      <w:r w:rsidRPr="005D0C48">
        <w:rPr>
          <w:rFonts w:ascii="Arial" w:hAnsi="Arial" w:cs="Arial"/>
          <w:color w:val="000000"/>
          <w:sz w:val="22"/>
          <w:szCs w:val="22"/>
          <w:lang w:val="es-ES_tradnl" w:eastAsia="en-US"/>
        </w:rPr>
        <w:t xml:space="preserve"> facultadas legalmente para aplicar reglas distintas a la Ley 80 de 1993 y sus normas complementarias,</w:t>
      </w:r>
      <w:r w:rsidR="005407C6" w:rsidRPr="005D0C48">
        <w:rPr>
          <w:rFonts w:ascii="Arial" w:hAnsi="Arial" w:cs="Arial"/>
          <w:color w:val="000000"/>
          <w:sz w:val="22"/>
          <w:szCs w:val="22"/>
          <w:lang w:val="es-ES_tradnl" w:eastAsia="en-US"/>
        </w:rPr>
        <w:t xml:space="preserve"> conforme a lo </w:t>
      </w:r>
      <w:r w:rsidRPr="005D0C48">
        <w:rPr>
          <w:rFonts w:ascii="Arial" w:hAnsi="Arial" w:cs="Arial"/>
          <w:color w:val="000000"/>
          <w:sz w:val="22"/>
          <w:szCs w:val="22"/>
          <w:lang w:val="es-ES_tradnl" w:eastAsia="en-US"/>
        </w:rPr>
        <w:t>definido en la noma que crea el régimen especial. La Agencia Nacional de Contratación Pública - Colombia Compra Eficiente expidió la Guía para las Entidades Estatales con régimen especial de contratación, que las define como aquellas que contratan con un régimen distinto a las Leyes 80 de 1993</w:t>
      </w:r>
      <w:r w:rsidR="00CF26CF" w:rsidRPr="005D0C48">
        <w:rPr>
          <w:rFonts w:ascii="Arial" w:hAnsi="Arial" w:cs="Arial"/>
          <w:color w:val="000000"/>
          <w:sz w:val="22"/>
          <w:szCs w:val="22"/>
          <w:lang w:val="es-ES_tradnl" w:eastAsia="en-US"/>
        </w:rPr>
        <w:t xml:space="preserve">, </w:t>
      </w:r>
      <w:r w:rsidRPr="005D0C48">
        <w:rPr>
          <w:rFonts w:ascii="Arial" w:hAnsi="Arial" w:cs="Arial"/>
          <w:color w:val="000000"/>
          <w:sz w:val="22"/>
          <w:szCs w:val="22"/>
          <w:lang w:val="es-ES_tradnl" w:eastAsia="en-US"/>
        </w:rPr>
        <w:t>1150 de 2007</w:t>
      </w:r>
      <w:r w:rsidR="00CF26CF" w:rsidRPr="005D0C48">
        <w:rPr>
          <w:rFonts w:ascii="Arial" w:hAnsi="Arial" w:cs="Arial"/>
          <w:color w:val="000000"/>
          <w:sz w:val="22"/>
          <w:szCs w:val="22"/>
          <w:lang w:val="es-ES_tradnl" w:eastAsia="en-US"/>
        </w:rPr>
        <w:t xml:space="preserve"> y demás normas legales que las modifiquen o adicionen, así como las disposiciones reglamentarias que las desarrollen para su cabal ejecución</w:t>
      </w:r>
      <w:r w:rsidRPr="005D0C48">
        <w:rPr>
          <w:rFonts w:ascii="Arial" w:hAnsi="Arial" w:cs="Arial"/>
          <w:color w:val="000000"/>
          <w:sz w:val="22"/>
          <w:szCs w:val="22"/>
          <w:vertAlign w:val="superscript"/>
          <w:lang w:val="es-ES_tradnl" w:eastAsia="en-US"/>
        </w:rPr>
        <w:footnoteReference w:id="2"/>
      </w:r>
      <w:r w:rsidR="00CF26CF" w:rsidRPr="005D0C48">
        <w:rPr>
          <w:rFonts w:ascii="Arial" w:hAnsi="Arial" w:cs="Arial"/>
          <w:color w:val="000000"/>
          <w:sz w:val="22"/>
          <w:szCs w:val="22"/>
          <w:lang w:val="es-ES_tradnl" w:eastAsia="en-US"/>
        </w:rPr>
        <w:t>.</w:t>
      </w:r>
    </w:p>
    <w:p w14:paraId="65094E96" w14:textId="3B4F6473" w:rsidR="002A572D" w:rsidRPr="005D0C48" w:rsidRDefault="002A572D" w:rsidP="00AA1B5C">
      <w:pPr>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ab/>
        <w:t>No obstante, las entidades de régimen especial cumplen una finalidad pública y utilizan recursos públicos para lograrlo, por lo que no son ajenas a los principios de la función administrativa</w:t>
      </w:r>
      <w:r w:rsidR="00847748" w:rsidRPr="005D0C48">
        <w:rPr>
          <w:rFonts w:ascii="Arial" w:hAnsi="Arial" w:cs="Arial"/>
          <w:color w:val="000000"/>
          <w:sz w:val="22"/>
          <w:szCs w:val="22"/>
          <w:lang w:val="es-ES_tradnl" w:eastAsia="en-US"/>
        </w:rPr>
        <w:t xml:space="preserve">, </w:t>
      </w:r>
      <w:r w:rsidR="0052180A">
        <w:rPr>
          <w:rFonts w:ascii="Arial" w:hAnsi="Arial" w:cs="Arial"/>
          <w:color w:val="000000"/>
          <w:sz w:val="22"/>
          <w:szCs w:val="22"/>
          <w:lang w:val="es-ES_tradnl" w:eastAsia="en-US"/>
        </w:rPr>
        <w:t xml:space="preserve">de la gestión fiscal y </w:t>
      </w:r>
      <w:r w:rsidR="00847748" w:rsidRPr="005D0C48">
        <w:rPr>
          <w:rFonts w:ascii="Arial" w:hAnsi="Arial" w:cs="Arial"/>
          <w:color w:val="000000"/>
          <w:sz w:val="22"/>
          <w:szCs w:val="22"/>
          <w:lang w:val="es-ES_tradnl" w:eastAsia="en-US"/>
        </w:rPr>
        <w:t>el régimen de inhabilidades e incompatibilidades para contratar</w:t>
      </w:r>
      <w:r w:rsidRPr="005D0C48">
        <w:rPr>
          <w:rFonts w:ascii="Arial" w:hAnsi="Arial" w:cs="Arial"/>
          <w:color w:val="000000"/>
          <w:sz w:val="22"/>
          <w:szCs w:val="22"/>
          <w:lang w:val="es-ES_tradnl" w:eastAsia="en-US"/>
        </w:rPr>
        <w:t>, entre otr</w:t>
      </w:r>
      <w:r w:rsidR="00DE0594" w:rsidRPr="005D0C48">
        <w:rPr>
          <w:rFonts w:ascii="Arial" w:hAnsi="Arial" w:cs="Arial"/>
          <w:color w:val="000000"/>
          <w:sz w:val="22"/>
          <w:szCs w:val="22"/>
          <w:lang w:val="es-ES_tradnl" w:eastAsia="en-US"/>
        </w:rPr>
        <w:t>os imperativos</w:t>
      </w:r>
      <w:r w:rsidRPr="005D0C48">
        <w:rPr>
          <w:rFonts w:ascii="Arial" w:hAnsi="Arial" w:cs="Arial"/>
          <w:color w:val="000000"/>
          <w:sz w:val="22"/>
          <w:szCs w:val="22"/>
          <w:lang w:val="es-ES_tradnl" w:eastAsia="en-US"/>
        </w:rPr>
        <w:t xml:space="preserve"> </w:t>
      </w:r>
      <w:r w:rsidR="00DE0594" w:rsidRPr="005D0C48">
        <w:rPr>
          <w:rFonts w:ascii="Arial" w:hAnsi="Arial" w:cs="Arial"/>
          <w:color w:val="000000"/>
          <w:sz w:val="22"/>
          <w:szCs w:val="22"/>
          <w:lang w:val="es-ES_tradnl" w:eastAsia="en-US"/>
        </w:rPr>
        <w:t xml:space="preserve">jurídicos </w:t>
      </w:r>
      <w:r w:rsidRPr="005D0C48">
        <w:rPr>
          <w:rFonts w:ascii="Arial" w:hAnsi="Arial" w:cs="Arial"/>
          <w:color w:val="000000"/>
          <w:sz w:val="22"/>
          <w:szCs w:val="22"/>
          <w:lang w:val="es-ES_tradnl" w:eastAsia="en-US"/>
        </w:rPr>
        <w:t>dispuest</w:t>
      </w:r>
      <w:r w:rsidR="00DE0594" w:rsidRPr="005D0C48">
        <w:rPr>
          <w:rFonts w:ascii="Arial" w:hAnsi="Arial" w:cs="Arial"/>
          <w:color w:val="000000"/>
          <w:sz w:val="22"/>
          <w:szCs w:val="22"/>
          <w:lang w:val="es-ES_tradnl" w:eastAsia="en-US"/>
        </w:rPr>
        <w:t>o</w:t>
      </w:r>
      <w:r w:rsidRPr="005D0C48">
        <w:rPr>
          <w:rFonts w:ascii="Arial" w:hAnsi="Arial" w:cs="Arial"/>
          <w:color w:val="000000"/>
          <w:sz w:val="22"/>
          <w:szCs w:val="22"/>
          <w:lang w:val="es-ES_tradnl" w:eastAsia="en-US"/>
        </w:rPr>
        <w:t xml:space="preserve">s en la normativa de contratación pública que son trasversales a todas las entidades, sin importar su régimen </w:t>
      </w:r>
      <w:r w:rsidR="0052180A">
        <w:rPr>
          <w:rFonts w:ascii="Arial" w:hAnsi="Arial" w:cs="Arial"/>
          <w:color w:val="000000"/>
          <w:sz w:val="22"/>
          <w:szCs w:val="22"/>
          <w:lang w:val="es-ES_tradnl" w:eastAsia="en-US"/>
        </w:rPr>
        <w:t>contractual</w:t>
      </w:r>
      <w:r w:rsidRPr="005D0C48">
        <w:rPr>
          <w:rFonts w:ascii="Arial" w:hAnsi="Arial" w:cs="Arial"/>
          <w:color w:val="000000"/>
          <w:sz w:val="22"/>
          <w:szCs w:val="22"/>
          <w:lang w:val="es-ES_tradnl" w:eastAsia="en-US"/>
        </w:rPr>
        <w:t xml:space="preserve">. Lo anterior es reafirmado por el Consejo de Estado, que destaca las </w:t>
      </w:r>
      <w:r w:rsidR="004A43B7" w:rsidRPr="005D0C48">
        <w:rPr>
          <w:rFonts w:ascii="Arial" w:hAnsi="Arial" w:cs="Arial"/>
          <w:color w:val="000000"/>
          <w:sz w:val="22"/>
          <w:szCs w:val="22"/>
          <w:lang w:val="es-ES_tradnl" w:eastAsia="en-US"/>
        </w:rPr>
        <w:t>normas</w:t>
      </w:r>
      <w:r w:rsidRPr="005D0C48">
        <w:rPr>
          <w:rFonts w:ascii="Arial" w:hAnsi="Arial" w:cs="Arial"/>
          <w:color w:val="000000"/>
          <w:sz w:val="22"/>
          <w:szCs w:val="22"/>
          <w:lang w:val="es-ES_tradnl" w:eastAsia="en-US"/>
        </w:rPr>
        <w:t xml:space="preserve"> que sigue la contratación de las entidades de régimen especial:</w:t>
      </w:r>
    </w:p>
    <w:p w14:paraId="3118BEB7" w14:textId="77777777" w:rsidR="002A572D" w:rsidRPr="005D0C48" w:rsidRDefault="002A572D" w:rsidP="00AA1B5C">
      <w:pPr>
        <w:rPr>
          <w:rFonts w:ascii="Arial" w:hAnsi="Arial" w:cs="Arial"/>
          <w:color w:val="000000"/>
          <w:sz w:val="22"/>
          <w:szCs w:val="22"/>
          <w:lang w:val="es-ES_tradnl" w:eastAsia="en-US"/>
        </w:rPr>
      </w:pPr>
    </w:p>
    <w:p w14:paraId="1D592D60" w14:textId="77777777" w:rsidR="002A572D" w:rsidRPr="005D0C48" w:rsidRDefault="002A572D" w:rsidP="001B50C4">
      <w:pPr>
        <w:ind w:left="709" w:right="709"/>
        <w:rPr>
          <w:rFonts w:ascii="Arial" w:hAnsi="Arial" w:cs="Arial"/>
          <w:color w:val="000000"/>
          <w:sz w:val="21"/>
          <w:szCs w:val="21"/>
          <w:lang w:val="es-ES_tradnl" w:eastAsia="en-US"/>
        </w:rPr>
      </w:pPr>
      <w:r w:rsidRPr="005D0C48">
        <w:rPr>
          <w:rFonts w:ascii="Arial" w:hAnsi="Arial" w:cs="Arial"/>
          <w:color w:val="000000"/>
          <w:sz w:val="21"/>
          <w:szCs w:val="21"/>
          <w:lang w:val="es-ES_tradnl" w:eastAsia="en-US"/>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12E8CE0" w14:textId="77777777" w:rsidR="002A572D" w:rsidRPr="005D0C48" w:rsidRDefault="002A572D" w:rsidP="001B50C4">
      <w:pPr>
        <w:ind w:left="709" w:right="709"/>
        <w:rPr>
          <w:rFonts w:ascii="Arial" w:hAnsi="Arial" w:cs="Arial"/>
          <w:color w:val="000000"/>
          <w:sz w:val="21"/>
          <w:szCs w:val="21"/>
          <w:lang w:val="es-ES_tradnl" w:eastAsia="en-US"/>
        </w:rPr>
      </w:pPr>
    </w:p>
    <w:p w14:paraId="71DF2E69" w14:textId="48FD239C" w:rsidR="002A572D" w:rsidRPr="005D0C48" w:rsidRDefault="002A572D" w:rsidP="001B50C4">
      <w:pPr>
        <w:ind w:left="709" w:right="709"/>
        <w:rPr>
          <w:rFonts w:ascii="Arial" w:hAnsi="Arial" w:cs="Arial"/>
          <w:color w:val="000000"/>
          <w:sz w:val="21"/>
          <w:szCs w:val="21"/>
          <w:lang w:val="es-ES_tradnl" w:eastAsia="en-US"/>
        </w:rPr>
      </w:pPr>
      <w:r w:rsidRPr="005D0C48">
        <w:rPr>
          <w:rFonts w:ascii="Arial" w:hAnsi="Arial" w:cs="Arial"/>
          <w:color w:val="000000"/>
          <w:sz w:val="21"/>
          <w:szCs w:val="21"/>
          <w:lang w:val="es-ES_tradnl" w:eastAsia="en-US"/>
        </w:rPr>
        <w:t xml:space="preserve">La Sala entiende que el régimen preponderante domina y aporta el gran volumen de normas contractuales y que el régimen inspirador influye y ayuda a </w:t>
      </w:r>
      <w:r w:rsidR="00FD549B" w:rsidRPr="005D0C48">
        <w:rPr>
          <w:rFonts w:ascii="Arial" w:hAnsi="Arial" w:cs="Arial"/>
          <w:color w:val="000000"/>
          <w:sz w:val="21"/>
          <w:szCs w:val="21"/>
          <w:lang w:val="es-ES_tradnl" w:eastAsia="en-US"/>
        </w:rPr>
        <w:lastRenderedPageBreak/>
        <w:t>interpretar,</w:t>
      </w:r>
      <w:r w:rsidRPr="005D0C48">
        <w:rPr>
          <w:rFonts w:ascii="Arial" w:hAnsi="Arial" w:cs="Arial"/>
          <w:color w:val="000000"/>
          <w:sz w:val="21"/>
          <w:szCs w:val="21"/>
          <w:lang w:val="es-ES_tradnl" w:eastAsia="en-US"/>
        </w:rPr>
        <w:t xml:space="preserve"> pero también transforma parte de esas instituciones, porque se suma a ellas, lo que no siempre se logra conservando intacta la institución privada sino introduciéndole modificaciones. </w:t>
      </w:r>
    </w:p>
    <w:p w14:paraId="1A046577" w14:textId="77777777" w:rsidR="002A572D" w:rsidRPr="005D0C48" w:rsidRDefault="002A572D" w:rsidP="001B50C4">
      <w:pPr>
        <w:ind w:left="709" w:right="709"/>
        <w:rPr>
          <w:rFonts w:ascii="Arial" w:hAnsi="Arial" w:cs="Arial"/>
          <w:color w:val="000000"/>
          <w:sz w:val="21"/>
          <w:szCs w:val="21"/>
          <w:lang w:val="es-ES_tradnl" w:eastAsia="en-US"/>
        </w:rPr>
      </w:pPr>
    </w:p>
    <w:p w14:paraId="35B533DD" w14:textId="77777777" w:rsidR="002A572D" w:rsidRPr="005D0C48" w:rsidRDefault="002A572D" w:rsidP="001B50C4">
      <w:pPr>
        <w:ind w:left="709" w:right="709"/>
        <w:rPr>
          <w:rFonts w:ascii="Arial" w:hAnsi="Arial" w:cs="Arial"/>
          <w:color w:val="000000"/>
          <w:sz w:val="22"/>
          <w:szCs w:val="22"/>
          <w:lang w:val="es-ES_tradnl" w:eastAsia="en-US"/>
        </w:rPr>
      </w:pPr>
      <w:r w:rsidRPr="005D0C48">
        <w:rPr>
          <w:rFonts w:ascii="Arial" w:hAnsi="Arial" w:cs="Arial"/>
          <w:color w:val="000000"/>
          <w:sz w:val="21"/>
          <w:szCs w:val="21"/>
          <w:lang w:val="es-ES_tradnl" w:eastAsia="en-US"/>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5D0C48">
        <w:rPr>
          <w:rFonts w:ascii="Arial" w:hAnsi="Arial" w:cs="Arial"/>
          <w:color w:val="000000"/>
          <w:sz w:val="22"/>
          <w:szCs w:val="22"/>
          <w:vertAlign w:val="superscript"/>
          <w:lang w:val="es-ES_tradnl" w:eastAsia="en-US"/>
        </w:rPr>
        <w:footnoteReference w:id="3"/>
      </w:r>
      <w:r w:rsidRPr="005D0C48">
        <w:rPr>
          <w:rFonts w:ascii="Arial" w:hAnsi="Arial" w:cs="Arial"/>
          <w:color w:val="000000"/>
          <w:sz w:val="22"/>
          <w:szCs w:val="22"/>
          <w:lang w:val="es-ES_tradnl" w:eastAsia="en-US"/>
        </w:rPr>
        <w:t>.</w:t>
      </w:r>
    </w:p>
    <w:p w14:paraId="03937084" w14:textId="77777777" w:rsidR="002A572D" w:rsidRPr="005D0C48" w:rsidRDefault="002A572D" w:rsidP="00AA1B5C">
      <w:pPr>
        <w:rPr>
          <w:rFonts w:ascii="Arial" w:hAnsi="Arial" w:cs="Arial"/>
          <w:color w:val="000000"/>
          <w:sz w:val="22"/>
          <w:szCs w:val="22"/>
          <w:lang w:val="es-ES_tradnl" w:eastAsia="en-US"/>
        </w:rPr>
      </w:pPr>
    </w:p>
    <w:p w14:paraId="18B27479" w14:textId="20316732" w:rsidR="00954ADE" w:rsidRPr="00954ADE" w:rsidRDefault="00DF3F54" w:rsidP="00954ADE">
      <w:pPr>
        <w:ind w:firstLine="708"/>
        <w:rPr>
          <w:rFonts w:ascii="Arial" w:hAnsi="Arial" w:cs="Arial"/>
          <w:color w:val="000000"/>
          <w:sz w:val="22"/>
          <w:szCs w:val="22"/>
          <w:lang w:val="es-ES_tradnl" w:eastAsia="en-US"/>
        </w:rPr>
      </w:pPr>
      <w:r w:rsidRPr="005D0C48">
        <w:rPr>
          <w:rFonts w:ascii="Arial" w:hAnsi="Arial" w:cs="Arial"/>
          <w:color w:val="000000"/>
          <w:sz w:val="22"/>
          <w:szCs w:val="22"/>
          <w:lang w:eastAsia="en-US"/>
        </w:rPr>
        <w:t xml:space="preserve">En esas condiciones, aunque por regla general las </w:t>
      </w:r>
      <w:r w:rsidR="0052180A">
        <w:rPr>
          <w:rFonts w:ascii="Arial" w:hAnsi="Arial" w:cs="Arial"/>
          <w:color w:val="000000"/>
          <w:sz w:val="22"/>
          <w:szCs w:val="22"/>
          <w:lang w:eastAsia="en-US"/>
        </w:rPr>
        <w:t>e</w:t>
      </w:r>
      <w:r w:rsidRPr="005D0C48">
        <w:rPr>
          <w:rFonts w:ascii="Arial" w:hAnsi="Arial" w:cs="Arial"/>
          <w:color w:val="000000"/>
          <w:sz w:val="22"/>
          <w:szCs w:val="22"/>
          <w:lang w:eastAsia="en-US"/>
        </w:rPr>
        <w:t xml:space="preserve">ntidades </w:t>
      </w:r>
      <w:r w:rsidR="0052180A">
        <w:rPr>
          <w:rFonts w:ascii="Arial" w:hAnsi="Arial" w:cs="Arial"/>
          <w:color w:val="000000"/>
          <w:sz w:val="22"/>
          <w:szCs w:val="22"/>
          <w:lang w:eastAsia="en-US"/>
        </w:rPr>
        <w:t>e</w:t>
      </w:r>
      <w:r w:rsidRPr="005D0C48">
        <w:rPr>
          <w:rFonts w:ascii="Arial" w:hAnsi="Arial" w:cs="Arial"/>
          <w:color w:val="000000"/>
          <w:sz w:val="22"/>
          <w:szCs w:val="22"/>
          <w:lang w:eastAsia="en-US"/>
        </w:rPr>
        <w:t>statales deben aplicar la Ley 80 de 1993 y la Ley 1150 de 2007 en su actividad contractual, la ley excluye de su aplicación a algunas de ellas</w:t>
      </w:r>
      <w:r w:rsidR="00C41311">
        <w:rPr>
          <w:rFonts w:ascii="Arial" w:hAnsi="Arial" w:cs="Arial"/>
          <w:color w:val="000000"/>
          <w:sz w:val="22"/>
          <w:szCs w:val="22"/>
          <w:lang w:eastAsia="en-US"/>
        </w:rPr>
        <w:t xml:space="preserve">, </w:t>
      </w:r>
      <w:r w:rsidR="00C41311" w:rsidRPr="00C41311">
        <w:rPr>
          <w:rFonts w:ascii="Arial" w:hAnsi="Arial" w:cs="Arial"/>
          <w:color w:val="000000"/>
          <w:sz w:val="22"/>
          <w:szCs w:val="22"/>
          <w:lang w:eastAsia="en-US"/>
        </w:rPr>
        <w:t>como sucede con</w:t>
      </w:r>
      <w:r w:rsidR="00C41311">
        <w:rPr>
          <w:rFonts w:ascii="Arial" w:hAnsi="Arial" w:cs="Arial"/>
          <w:color w:val="000000"/>
          <w:sz w:val="22"/>
          <w:szCs w:val="22"/>
          <w:lang w:eastAsia="en-US"/>
        </w:rPr>
        <w:t xml:space="preserve"> las entidades a las que se refiere el artículo 15 de la Ley 1150 de 2007, que modificó el parágrafo primero del artículo 32 de la Ley 80 de 1993, </w:t>
      </w:r>
      <w:r w:rsidR="00954ADE">
        <w:rPr>
          <w:rFonts w:ascii="Arial" w:hAnsi="Arial" w:cs="Arial"/>
          <w:color w:val="000000"/>
          <w:sz w:val="22"/>
          <w:szCs w:val="22"/>
          <w:lang w:eastAsia="en-US"/>
        </w:rPr>
        <w:t>esto es, frente a los e</w:t>
      </w:r>
      <w:r w:rsidR="00954ADE" w:rsidRPr="00954ADE">
        <w:rPr>
          <w:rFonts w:ascii="Arial" w:hAnsi="Arial" w:cs="Arial"/>
          <w:color w:val="000000"/>
          <w:sz w:val="22"/>
          <w:szCs w:val="22"/>
          <w:lang w:eastAsia="en-US"/>
        </w:rPr>
        <w:t xml:space="preserve">stablecimientos de </w:t>
      </w:r>
      <w:r w:rsidR="00954ADE">
        <w:rPr>
          <w:rFonts w:ascii="Arial" w:hAnsi="Arial" w:cs="Arial"/>
          <w:color w:val="000000"/>
          <w:sz w:val="22"/>
          <w:szCs w:val="22"/>
          <w:lang w:eastAsia="en-US"/>
        </w:rPr>
        <w:t>c</w:t>
      </w:r>
      <w:r w:rsidR="00954ADE" w:rsidRPr="00954ADE">
        <w:rPr>
          <w:rFonts w:ascii="Arial" w:hAnsi="Arial" w:cs="Arial"/>
          <w:color w:val="000000"/>
          <w:sz w:val="22"/>
          <w:szCs w:val="22"/>
          <w:lang w:eastAsia="en-US"/>
        </w:rPr>
        <w:t>rédito, las compañías de seguros y las demás entidades financieras de carácter estatal</w:t>
      </w:r>
      <w:r w:rsidR="00C41311">
        <w:rPr>
          <w:rStyle w:val="Refdenotaalpie"/>
          <w:rFonts w:ascii="Arial" w:hAnsi="Arial" w:cs="Arial"/>
          <w:color w:val="000000"/>
          <w:sz w:val="22"/>
          <w:szCs w:val="22"/>
          <w:lang w:eastAsia="en-US"/>
        </w:rPr>
        <w:footnoteReference w:id="4"/>
      </w:r>
      <w:r w:rsidRPr="005D0C48">
        <w:rPr>
          <w:rFonts w:ascii="Arial" w:hAnsi="Arial" w:cs="Arial"/>
          <w:color w:val="000000"/>
          <w:sz w:val="22"/>
          <w:szCs w:val="22"/>
          <w:lang w:eastAsia="en-US"/>
        </w:rPr>
        <w:t xml:space="preserve">. </w:t>
      </w:r>
      <w:r w:rsidR="00954ADE">
        <w:rPr>
          <w:rFonts w:ascii="Arial" w:hAnsi="Arial" w:cs="Arial"/>
          <w:color w:val="000000"/>
          <w:sz w:val="22"/>
          <w:szCs w:val="22"/>
          <w:lang w:eastAsia="en-US"/>
        </w:rPr>
        <w:t>De esta manera, l</w:t>
      </w:r>
      <w:r w:rsidRPr="005D0C48">
        <w:rPr>
          <w:rFonts w:ascii="Arial" w:hAnsi="Arial" w:cs="Arial"/>
          <w:color w:val="000000"/>
          <w:sz w:val="22"/>
          <w:szCs w:val="22"/>
          <w:lang w:eastAsia="en-US"/>
        </w:rPr>
        <w:t xml:space="preserve">as </w:t>
      </w:r>
      <w:r w:rsidR="0052180A">
        <w:rPr>
          <w:rFonts w:ascii="Arial" w:hAnsi="Arial" w:cs="Arial"/>
          <w:color w:val="000000"/>
          <w:sz w:val="22"/>
          <w:szCs w:val="22"/>
          <w:lang w:eastAsia="en-US"/>
        </w:rPr>
        <w:t>e</w:t>
      </w:r>
      <w:r w:rsidRPr="005D0C48">
        <w:rPr>
          <w:rFonts w:ascii="Arial" w:hAnsi="Arial" w:cs="Arial"/>
          <w:color w:val="000000"/>
          <w:sz w:val="22"/>
          <w:szCs w:val="22"/>
          <w:lang w:eastAsia="en-US"/>
        </w:rPr>
        <w:t xml:space="preserve">ntidades </w:t>
      </w:r>
      <w:r w:rsidR="0052180A">
        <w:rPr>
          <w:rFonts w:ascii="Arial" w:hAnsi="Arial" w:cs="Arial"/>
          <w:color w:val="000000"/>
          <w:sz w:val="22"/>
          <w:szCs w:val="22"/>
          <w:lang w:eastAsia="en-US"/>
        </w:rPr>
        <w:t>e</w:t>
      </w:r>
      <w:r w:rsidRPr="005D0C48">
        <w:rPr>
          <w:rFonts w:ascii="Arial" w:hAnsi="Arial" w:cs="Arial"/>
          <w:color w:val="000000"/>
          <w:sz w:val="22"/>
          <w:szCs w:val="22"/>
          <w:lang w:eastAsia="en-US"/>
        </w:rPr>
        <w:t>statales de régimen especial están facultadas para aplicar en su actividad contractual unas reglas distintas, contenidas en la norma que crea el régimen especial y en su manual de contratación</w:t>
      </w:r>
      <w:r w:rsidR="00954ADE">
        <w:rPr>
          <w:rFonts w:ascii="Arial" w:hAnsi="Arial" w:cs="Arial"/>
          <w:color w:val="000000"/>
          <w:sz w:val="22"/>
          <w:szCs w:val="22"/>
          <w:lang w:val="es-ES_tradnl" w:eastAsia="en-US"/>
        </w:rPr>
        <w:t xml:space="preserve">. </w:t>
      </w:r>
      <w:r w:rsidR="00954ADE" w:rsidRPr="00954ADE">
        <w:rPr>
          <w:rFonts w:ascii="Arial" w:hAnsi="Arial" w:cs="Arial"/>
          <w:color w:val="000000"/>
          <w:sz w:val="22"/>
          <w:szCs w:val="22"/>
          <w:lang w:val="es-ES_tradnl" w:eastAsia="en-US"/>
        </w:rPr>
        <w:t xml:space="preserve">Teniendo en cuenta que las entidades de régimen especial administran recursos públicos, sus manuales de contratación deben ceñirse a unas reglas mínimas que garanticen el cumplimiento de los principios de la función pública, </w:t>
      </w:r>
      <w:r w:rsidR="00AB7DDC">
        <w:rPr>
          <w:rFonts w:ascii="Arial" w:hAnsi="Arial" w:cs="Arial"/>
          <w:color w:val="000000"/>
          <w:sz w:val="22"/>
          <w:szCs w:val="22"/>
          <w:lang w:val="es-ES_tradnl" w:eastAsia="en-US"/>
        </w:rPr>
        <w:t>de la gestión</w:t>
      </w:r>
      <w:r w:rsidR="00954ADE" w:rsidRPr="00954ADE">
        <w:rPr>
          <w:rFonts w:ascii="Arial" w:hAnsi="Arial" w:cs="Arial"/>
          <w:color w:val="000000"/>
          <w:sz w:val="22"/>
          <w:szCs w:val="22"/>
          <w:lang w:val="es-ES_tradnl" w:eastAsia="en-US"/>
        </w:rPr>
        <w:t xml:space="preserve">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112AFFF4" w14:textId="7E0A89BE" w:rsidR="00954ADE" w:rsidRPr="001B50C4" w:rsidRDefault="00954ADE" w:rsidP="00954ADE">
      <w:pPr>
        <w:spacing w:before="120" w:after="120"/>
        <w:ind w:firstLine="708"/>
        <w:rPr>
          <w:rFonts w:ascii="Arial" w:hAnsi="Arial" w:cs="Arial"/>
          <w:color w:val="000000"/>
          <w:sz w:val="22"/>
          <w:szCs w:val="22"/>
          <w:lang w:val="es-ES_tradnl" w:eastAsia="en-US"/>
        </w:rPr>
      </w:pPr>
      <w:r w:rsidRPr="001B50C4">
        <w:rPr>
          <w:rFonts w:ascii="Arial" w:hAnsi="Arial" w:cs="Arial"/>
          <w:color w:val="000000"/>
          <w:sz w:val="22"/>
          <w:szCs w:val="22"/>
          <w:lang w:val="es-ES_tradnl" w:eastAsia="en-US"/>
        </w:rPr>
        <w:t>Así mismo, estas entidades deben cumplir unas obligaciones transversales a la contratación pública, entre ellas la elaboración del Plan Anual de Adquisiciones, la publicación de sus procedimientos de selección a través de la herramienta SECOP</w:t>
      </w:r>
      <w:r w:rsidR="0062344B">
        <w:rPr>
          <w:rFonts w:ascii="Arial" w:hAnsi="Arial" w:cs="Arial"/>
          <w:color w:val="000000"/>
          <w:sz w:val="22"/>
          <w:szCs w:val="22"/>
          <w:lang w:val="es-ES_tradnl" w:eastAsia="en-US"/>
        </w:rPr>
        <w:t>,</w:t>
      </w:r>
      <w:r w:rsidRPr="001B50C4">
        <w:rPr>
          <w:rFonts w:ascii="Arial" w:hAnsi="Arial" w:cs="Arial"/>
          <w:color w:val="000000"/>
          <w:sz w:val="22"/>
          <w:szCs w:val="22"/>
          <w:lang w:val="es-ES_tradnl" w:eastAsia="en-US"/>
        </w:rPr>
        <w:t xml:space="preserve"> hacer uso del clasificador de bienes y servicios de las Naciones Unidas, analizar el sector económico de los oferentes, </w:t>
      </w:r>
      <w:r w:rsidR="00AB298C">
        <w:rPr>
          <w:rFonts w:ascii="Arial" w:hAnsi="Arial" w:cs="Arial"/>
          <w:color w:val="000000"/>
          <w:sz w:val="22"/>
          <w:szCs w:val="22"/>
          <w:lang w:val="es-ES_tradnl" w:eastAsia="en-US"/>
        </w:rPr>
        <w:t xml:space="preserve">aplicar los Acuerdos Comerciales, en los casos en que les resulten aplicables, </w:t>
      </w:r>
      <w:r w:rsidRPr="001B50C4">
        <w:rPr>
          <w:rFonts w:ascii="Arial" w:hAnsi="Arial" w:cs="Arial"/>
          <w:color w:val="000000"/>
          <w:sz w:val="22"/>
          <w:szCs w:val="22"/>
          <w:lang w:val="es-ES_tradnl" w:eastAsia="en-US"/>
        </w:rPr>
        <w:t xml:space="preserve">entre otras. En particular, en relación con este asunto en la «Guía para </w:t>
      </w:r>
      <w:r w:rsidRPr="001B50C4">
        <w:rPr>
          <w:rFonts w:ascii="Arial" w:hAnsi="Arial" w:cs="Arial"/>
          <w:color w:val="000000"/>
          <w:sz w:val="22"/>
          <w:szCs w:val="22"/>
          <w:lang w:val="es-ES_tradnl" w:eastAsia="en-US"/>
        </w:rPr>
        <w:lastRenderedPageBreak/>
        <w:t>las Entidades Estatales con régimen especial de Contratación», por se</w:t>
      </w:r>
      <w:r w:rsidR="0062344B">
        <w:rPr>
          <w:rFonts w:ascii="Arial" w:hAnsi="Arial" w:cs="Arial"/>
          <w:color w:val="000000"/>
          <w:sz w:val="22"/>
          <w:szCs w:val="22"/>
          <w:lang w:val="es-ES_tradnl" w:eastAsia="en-US"/>
        </w:rPr>
        <w:t>r</w:t>
      </w:r>
      <w:r w:rsidRPr="001B50C4">
        <w:rPr>
          <w:rFonts w:ascii="Arial" w:hAnsi="Arial" w:cs="Arial"/>
          <w:color w:val="000000"/>
          <w:sz w:val="22"/>
          <w:szCs w:val="22"/>
          <w:lang w:val="es-ES_tradnl" w:eastAsia="en-US"/>
        </w:rPr>
        <w:t xml:space="preserve"> relevante para la consulta se señaló lo siguiente</w:t>
      </w:r>
      <w:r w:rsidR="00D9505A">
        <w:rPr>
          <w:rFonts w:ascii="Arial" w:hAnsi="Arial" w:cs="Arial"/>
          <w:color w:val="000000"/>
          <w:sz w:val="22"/>
          <w:szCs w:val="22"/>
          <w:lang w:val="es-ES_tradnl" w:eastAsia="en-US"/>
        </w:rPr>
        <w:t>, en relación con las disposiciones aplicables del Decreto 1082 de 2015 frente a las entidades exceptuadas del EGCAP</w:t>
      </w:r>
      <w:r w:rsidRPr="001B50C4">
        <w:rPr>
          <w:rFonts w:ascii="Arial" w:hAnsi="Arial" w:cs="Arial"/>
          <w:color w:val="000000"/>
          <w:sz w:val="22"/>
          <w:szCs w:val="22"/>
          <w:lang w:val="es-ES_tradnl" w:eastAsia="en-US"/>
        </w:rPr>
        <w:t>:</w:t>
      </w:r>
    </w:p>
    <w:p w14:paraId="39A9FDBF" w14:textId="53460797" w:rsidR="00954ADE" w:rsidRDefault="00954ADE" w:rsidP="00954ADE">
      <w:pPr>
        <w:spacing w:after="120"/>
        <w:ind w:left="709" w:right="709"/>
        <w:rPr>
          <w:rFonts w:ascii="Arial" w:hAnsi="Arial" w:cs="Arial"/>
          <w:color w:val="000000"/>
          <w:sz w:val="21"/>
          <w:szCs w:val="21"/>
          <w:lang w:val="es-ES_tradnl" w:eastAsia="en-US"/>
        </w:rPr>
      </w:pPr>
      <w:r w:rsidRPr="001B50C4">
        <w:rPr>
          <w:rFonts w:ascii="Arial" w:hAnsi="Arial" w:cs="Arial"/>
          <w:color w:val="000000"/>
          <w:sz w:val="21"/>
          <w:szCs w:val="21"/>
          <w:lang w:val="es-ES_tradnl" w:eastAsia="en-US"/>
        </w:rPr>
        <w:t>Por otra parte, la normativa del Sistema de Compra Pública incluye algunas normas transversales a todas las Entidades Estatales, que son de obligatorio cumplimiento para las Entidades Estatales de régimen especial. Entre estas se encuentran las siguientes:</w:t>
      </w:r>
    </w:p>
    <w:p w14:paraId="409E0552" w14:textId="0891DA07" w:rsidR="0062344B" w:rsidRPr="001B50C4" w:rsidRDefault="0062344B" w:rsidP="00954ADE">
      <w:pPr>
        <w:spacing w:after="120"/>
        <w:ind w:left="709" w:right="709"/>
        <w:rPr>
          <w:rFonts w:ascii="Arial" w:hAnsi="Arial" w:cs="Arial"/>
          <w:color w:val="000000"/>
          <w:sz w:val="21"/>
          <w:szCs w:val="21"/>
          <w:lang w:val="es-ES_tradnl" w:eastAsia="en-US"/>
        </w:rPr>
      </w:pPr>
      <w:r>
        <w:rPr>
          <w:rFonts w:ascii="Arial" w:hAnsi="Arial" w:cs="Arial"/>
          <w:color w:val="000000"/>
          <w:sz w:val="21"/>
          <w:szCs w:val="21"/>
          <w:lang w:val="es-ES_tradnl" w:eastAsia="en-US"/>
        </w:rPr>
        <w:t>[…]</w:t>
      </w:r>
    </w:p>
    <w:p w14:paraId="49785483" w14:textId="77777777" w:rsidR="00954ADE" w:rsidRPr="001B50C4" w:rsidRDefault="00954ADE" w:rsidP="00954ADE">
      <w:pPr>
        <w:spacing w:after="120"/>
        <w:ind w:left="709" w:right="709"/>
        <w:rPr>
          <w:rFonts w:ascii="Arial" w:hAnsi="Arial" w:cs="Arial"/>
          <w:color w:val="000000"/>
          <w:sz w:val="21"/>
          <w:szCs w:val="21"/>
          <w:lang w:val="es-ES_tradnl" w:eastAsia="en-US"/>
        </w:rPr>
      </w:pPr>
      <w:r w:rsidRPr="001B50C4">
        <w:rPr>
          <w:rFonts w:ascii="Arial" w:hAnsi="Arial" w:cs="Arial"/>
          <w:color w:val="000000"/>
          <w:sz w:val="21"/>
          <w:szCs w:val="21"/>
          <w:lang w:val="es-ES_tradnl" w:eastAsia="en-US"/>
        </w:rPr>
        <w:t xml:space="preserve">B. Decreto 1082 de 2015 </w:t>
      </w:r>
    </w:p>
    <w:p w14:paraId="284F1469" w14:textId="77777777" w:rsidR="00954ADE" w:rsidRPr="001B50C4" w:rsidRDefault="00954ADE" w:rsidP="00954ADE">
      <w:pPr>
        <w:spacing w:after="120"/>
        <w:ind w:left="709" w:right="709"/>
        <w:rPr>
          <w:rFonts w:ascii="Arial" w:hAnsi="Arial" w:cs="Arial"/>
          <w:color w:val="000000"/>
          <w:sz w:val="21"/>
          <w:szCs w:val="21"/>
          <w:lang w:val="es-ES_tradnl" w:eastAsia="en-US"/>
        </w:rPr>
      </w:pPr>
      <w:r w:rsidRPr="001B50C4">
        <w:rPr>
          <w:rFonts w:ascii="Arial" w:hAnsi="Arial" w:cs="Arial"/>
          <w:color w:val="000000"/>
          <w:sz w:val="21"/>
          <w:szCs w:val="21"/>
          <w:lang w:val="es-ES_tradnl" w:eastAsia="en-US"/>
        </w:rPr>
        <w:t>El Título 1 de la Parte 2 del Decreto 1082 de 2015, además de reglamentar los procedimientos para la realización de los Procesos de Contratación de las Entidades Estatales cubiertos por el Estatuto General de Contratación de la Administración Pública, contiene algunas normas que son transversales al Sistema de Compra Pública. Entre las mismas está la Sección 1 del Capítulo 1 del Título I de la Parte 2 del Decreto 1082 de 2015 la cual reglamenta los “Conceptos básicos para el Sistema de Compras y Contratación Pública”.</w:t>
      </w:r>
    </w:p>
    <w:p w14:paraId="7CCECC6B" w14:textId="77777777" w:rsidR="00954ADE" w:rsidRPr="001B50C4" w:rsidRDefault="00954ADE" w:rsidP="00954ADE">
      <w:pPr>
        <w:spacing w:after="120"/>
        <w:ind w:left="709" w:right="709"/>
        <w:rPr>
          <w:rFonts w:ascii="Arial" w:hAnsi="Arial" w:cs="Arial"/>
          <w:color w:val="000000"/>
          <w:sz w:val="21"/>
          <w:szCs w:val="21"/>
          <w:lang w:val="es-ES_tradnl" w:eastAsia="en-US"/>
        </w:rPr>
      </w:pPr>
      <w:r w:rsidRPr="001B50C4">
        <w:rPr>
          <w:rFonts w:ascii="Arial" w:hAnsi="Arial" w:cs="Arial"/>
          <w:color w:val="000000"/>
          <w:sz w:val="21"/>
          <w:szCs w:val="21"/>
          <w:lang w:val="es-ES_tradnl" w:eastAsia="en-US"/>
        </w:rPr>
        <w:t xml:space="preserve">Con base en esta norma, las Entidades Estatales de régimen especial, como parte del Sistema de Compra Pública (artículo 2.2.1.1.1.2.1.), deben procurar el logro de los objetivos del Sistema definidos por Colombia Compra Eficiente (artículo 2.2.1.1.1.1.1.); elaborar y publicar su Plan Anual de Adquisiciones (artículo 2.2.1.1.1.4.1.); enviar mensualmente a las cámaras de comercio la información relativa a la inhabilidad por incumplimiento reiterado (artículo 2.2.1.1.1.5.7.); realizar análisis del sector y de Riesgos (artículos 2.2.1.1.1.6.1. y 2.2.1.1.1.6.3.); y, publicar su actividad contractual en el </w:t>
      </w:r>
      <w:proofErr w:type="spellStart"/>
      <w:r w:rsidRPr="001B50C4">
        <w:rPr>
          <w:rFonts w:ascii="Arial" w:hAnsi="Arial" w:cs="Arial"/>
          <w:color w:val="000000"/>
          <w:sz w:val="21"/>
          <w:szCs w:val="21"/>
          <w:lang w:val="es-ES_tradnl" w:eastAsia="en-US"/>
        </w:rPr>
        <w:t>Secop</w:t>
      </w:r>
      <w:proofErr w:type="spellEnd"/>
      <w:r w:rsidRPr="001B50C4">
        <w:rPr>
          <w:rFonts w:ascii="Arial" w:hAnsi="Arial" w:cs="Arial"/>
          <w:color w:val="000000"/>
          <w:sz w:val="21"/>
          <w:szCs w:val="21"/>
          <w:lang w:val="es-ES_tradnl" w:eastAsia="en-US"/>
        </w:rPr>
        <w:t xml:space="preserve"> (artículo 2.2.1.1.1.7.1.).</w:t>
      </w:r>
    </w:p>
    <w:p w14:paraId="248521A1" w14:textId="77777777" w:rsidR="00954ADE" w:rsidRPr="001B50C4" w:rsidRDefault="00954ADE" w:rsidP="00954ADE">
      <w:pPr>
        <w:spacing w:after="120"/>
        <w:ind w:left="709" w:right="709"/>
        <w:rPr>
          <w:rFonts w:ascii="Arial" w:hAnsi="Arial" w:cs="Arial"/>
          <w:color w:val="000000"/>
          <w:sz w:val="21"/>
          <w:szCs w:val="21"/>
          <w:lang w:val="es-ES_tradnl" w:eastAsia="en-US"/>
        </w:rPr>
      </w:pPr>
      <w:r w:rsidRPr="001B50C4">
        <w:rPr>
          <w:rFonts w:ascii="Arial" w:hAnsi="Arial" w:cs="Arial"/>
          <w:color w:val="000000"/>
          <w:sz w:val="21"/>
          <w:szCs w:val="21"/>
          <w:lang w:val="es-ES_tradnl" w:eastAsia="en-US"/>
        </w:rPr>
        <w:t>Asimismo, deben tener en cuenta las disposiciones previstas en los Acuerdos Comerciales y adecuar sus manuales de contratación y sus Procesos de Contratación a lo previsto en aquellos (Subsección 1, Sección 4, Capítulo 2).</w:t>
      </w:r>
    </w:p>
    <w:p w14:paraId="2267E19A" w14:textId="77777777" w:rsidR="00954ADE" w:rsidRPr="00954ADE" w:rsidRDefault="00954ADE" w:rsidP="00954ADE">
      <w:pPr>
        <w:spacing w:after="240"/>
        <w:ind w:left="709" w:right="709"/>
        <w:rPr>
          <w:rFonts w:ascii="Arial" w:hAnsi="Arial" w:cs="Arial"/>
          <w:color w:val="000000"/>
          <w:sz w:val="21"/>
          <w:szCs w:val="21"/>
          <w:lang w:val="es-ES_tradnl" w:eastAsia="en-US"/>
        </w:rPr>
      </w:pPr>
      <w:r w:rsidRPr="001B50C4">
        <w:rPr>
          <w:rFonts w:ascii="Arial" w:hAnsi="Arial" w:cs="Arial"/>
          <w:color w:val="000000"/>
          <w:sz w:val="21"/>
          <w:szCs w:val="21"/>
          <w:lang w:val="es-ES_tradnl" w:eastAsia="en-US"/>
        </w:rPr>
        <w:t>Por último, deben tener en cuenta la obligación de adoptar un manual de contratación con base en los lineamientos que expide Colombia Compra Eficiente (artículo 2.2.1.2.5.3.)»</w:t>
      </w:r>
      <w:r w:rsidRPr="001B50C4">
        <w:rPr>
          <w:rFonts w:ascii="Arial" w:hAnsi="Arial" w:cs="Arial"/>
          <w:color w:val="000000"/>
          <w:sz w:val="22"/>
          <w:szCs w:val="22"/>
          <w:vertAlign w:val="superscript"/>
          <w:lang w:val="es-ES_tradnl" w:eastAsia="en-US"/>
        </w:rPr>
        <w:footnoteReference w:id="5"/>
      </w:r>
      <w:r w:rsidRPr="001B50C4">
        <w:rPr>
          <w:rFonts w:ascii="Arial" w:hAnsi="Arial" w:cs="Arial"/>
          <w:color w:val="000000"/>
          <w:sz w:val="21"/>
          <w:szCs w:val="21"/>
          <w:lang w:val="es-ES_tradnl" w:eastAsia="en-US"/>
        </w:rPr>
        <w:t>.</w:t>
      </w:r>
    </w:p>
    <w:p w14:paraId="42A8F1FE" w14:textId="29DD9C20" w:rsidR="007601CD" w:rsidRDefault="007601CD" w:rsidP="001B50C4">
      <w:pPr>
        <w:spacing w:after="120"/>
        <w:ind w:firstLine="709"/>
        <w:rPr>
          <w:rFonts w:ascii="Arial" w:hAnsi="Arial" w:cs="Arial"/>
          <w:color w:val="000000"/>
          <w:sz w:val="22"/>
          <w:szCs w:val="22"/>
          <w:lang w:val="es-ES_tradnl" w:eastAsia="en-US"/>
        </w:rPr>
      </w:pPr>
      <w:r>
        <w:rPr>
          <w:rFonts w:ascii="Arial" w:hAnsi="Arial" w:cs="Arial"/>
          <w:color w:val="000000"/>
          <w:sz w:val="22"/>
          <w:szCs w:val="22"/>
          <w:lang w:val="es-ES_tradnl" w:eastAsia="en-US"/>
        </w:rPr>
        <w:t xml:space="preserve">Sin perjuicio de lo anterior, también resultarán aplicables las demás disposiciones que de forma expresa el Decreto </w:t>
      </w:r>
      <w:r w:rsidRPr="00D9505A">
        <w:rPr>
          <w:rFonts w:ascii="Arial" w:hAnsi="Arial" w:cs="Arial"/>
          <w:color w:val="000000"/>
          <w:sz w:val="22"/>
          <w:szCs w:val="22"/>
          <w:lang w:val="es-ES_tradnl" w:eastAsia="en-US"/>
        </w:rPr>
        <w:t xml:space="preserve">1082 de 2015 señale que </w:t>
      </w:r>
      <w:r w:rsidR="00F32BDE">
        <w:rPr>
          <w:rFonts w:ascii="Arial" w:hAnsi="Arial" w:cs="Arial"/>
          <w:color w:val="000000"/>
          <w:sz w:val="22"/>
          <w:szCs w:val="22"/>
          <w:lang w:val="es-ES_tradnl" w:eastAsia="en-US"/>
        </w:rPr>
        <w:t>están dirigidas</w:t>
      </w:r>
      <w:r w:rsidRPr="00D9505A">
        <w:rPr>
          <w:rFonts w:ascii="Arial" w:hAnsi="Arial" w:cs="Arial"/>
          <w:color w:val="000000"/>
          <w:sz w:val="22"/>
          <w:szCs w:val="22"/>
          <w:lang w:val="es-ES_tradnl" w:eastAsia="en-US"/>
        </w:rPr>
        <w:t xml:space="preserve"> a dichas entidades, como sucede con </w:t>
      </w:r>
      <w:r w:rsidRPr="00F32BDE">
        <w:rPr>
          <w:rFonts w:ascii="Arial" w:hAnsi="Arial" w:cs="Arial"/>
          <w:color w:val="000000"/>
          <w:sz w:val="22"/>
          <w:szCs w:val="22"/>
          <w:lang w:val="es-ES_tradnl" w:eastAsia="en-US"/>
        </w:rPr>
        <w:t>los artículos 2.2.1.2.4.2.2. a 2.2.1.2.4.2.3.</w:t>
      </w:r>
      <w:r w:rsidR="00F32BDE">
        <w:rPr>
          <w:rFonts w:ascii="Arial" w:hAnsi="Arial" w:cs="Arial"/>
          <w:color w:val="000000"/>
          <w:sz w:val="22"/>
          <w:szCs w:val="22"/>
          <w:lang w:val="es-ES_tradnl" w:eastAsia="en-US"/>
        </w:rPr>
        <w:t xml:space="preserve"> relacionada con las convocatorias limitadas a </w:t>
      </w:r>
      <w:proofErr w:type="spellStart"/>
      <w:r w:rsidR="00F32BDE">
        <w:rPr>
          <w:rFonts w:ascii="Arial" w:hAnsi="Arial" w:cs="Arial"/>
          <w:color w:val="000000"/>
          <w:sz w:val="22"/>
          <w:szCs w:val="22"/>
          <w:lang w:val="es-ES_tradnl" w:eastAsia="en-US"/>
        </w:rPr>
        <w:t>M</w:t>
      </w:r>
      <w:r w:rsidR="00E82BBA">
        <w:rPr>
          <w:rFonts w:ascii="Arial" w:hAnsi="Arial" w:cs="Arial"/>
          <w:color w:val="000000"/>
          <w:sz w:val="22"/>
          <w:szCs w:val="22"/>
          <w:lang w:val="es-ES_tradnl" w:eastAsia="en-US"/>
        </w:rPr>
        <w:t>i</w:t>
      </w:r>
      <w:r w:rsidR="00F32BDE">
        <w:rPr>
          <w:rFonts w:ascii="Arial" w:hAnsi="Arial" w:cs="Arial"/>
          <w:color w:val="000000"/>
          <w:sz w:val="22"/>
          <w:szCs w:val="22"/>
          <w:lang w:val="es-ES_tradnl" w:eastAsia="en-US"/>
        </w:rPr>
        <w:t>p</w:t>
      </w:r>
      <w:r w:rsidR="00E82BBA">
        <w:rPr>
          <w:rFonts w:ascii="Arial" w:hAnsi="Arial" w:cs="Arial"/>
          <w:color w:val="000000"/>
          <w:sz w:val="22"/>
          <w:szCs w:val="22"/>
          <w:lang w:val="es-ES_tradnl" w:eastAsia="en-US"/>
        </w:rPr>
        <w:t>y</w:t>
      </w:r>
      <w:r w:rsidR="00F32BDE">
        <w:rPr>
          <w:rFonts w:ascii="Arial" w:hAnsi="Arial" w:cs="Arial"/>
          <w:color w:val="000000"/>
          <w:sz w:val="22"/>
          <w:szCs w:val="22"/>
          <w:lang w:val="es-ES_tradnl" w:eastAsia="en-US"/>
        </w:rPr>
        <w:t>me</w:t>
      </w:r>
      <w:proofErr w:type="spellEnd"/>
      <w:r w:rsidR="00F32BDE">
        <w:rPr>
          <w:rFonts w:ascii="Arial" w:hAnsi="Arial" w:cs="Arial"/>
          <w:color w:val="000000"/>
          <w:sz w:val="22"/>
          <w:szCs w:val="22"/>
          <w:lang w:val="es-ES_tradnl" w:eastAsia="en-US"/>
        </w:rPr>
        <w:t>;</w:t>
      </w:r>
      <w:r w:rsidRPr="00F32BDE">
        <w:rPr>
          <w:rFonts w:ascii="Arial" w:hAnsi="Arial" w:cs="Arial"/>
          <w:color w:val="000000"/>
          <w:sz w:val="22"/>
          <w:szCs w:val="22"/>
          <w:lang w:val="es-ES_tradnl" w:eastAsia="en-US"/>
        </w:rPr>
        <w:t xml:space="preserve"> </w:t>
      </w:r>
      <w:r w:rsidR="00F32BDE" w:rsidRPr="001B50C4">
        <w:rPr>
          <w:color w:val="000000"/>
          <w:sz w:val="22"/>
          <w:szCs w:val="22"/>
          <w:lang w:val="es-ES_tradnl" w:eastAsia="en-US"/>
        </w:rPr>
        <w:t>2.2.1.2.4.2.14</w:t>
      </w:r>
      <w:r w:rsidR="00F32BDE" w:rsidRPr="00E82BBA">
        <w:rPr>
          <w:rFonts w:ascii="Arial" w:hAnsi="Arial" w:cs="Arial"/>
          <w:color w:val="000000"/>
          <w:sz w:val="22"/>
          <w:szCs w:val="22"/>
          <w:lang w:val="es-ES_tradnl" w:eastAsia="en-US"/>
        </w:rPr>
        <w:t xml:space="preserve"> y</w:t>
      </w:r>
      <w:r w:rsidR="00F32BDE" w:rsidRPr="001B50C4">
        <w:rPr>
          <w:color w:val="000000"/>
          <w:sz w:val="22"/>
          <w:szCs w:val="22"/>
          <w:lang w:val="es-ES_tradnl" w:eastAsia="en-US"/>
        </w:rPr>
        <w:t xml:space="preserve"> 2.2.1.2.4.2.15.</w:t>
      </w:r>
      <w:r w:rsidR="00F32BDE" w:rsidRPr="00E82BBA">
        <w:rPr>
          <w:rFonts w:ascii="Arial" w:hAnsi="Arial" w:cs="Arial"/>
          <w:color w:val="000000"/>
          <w:sz w:val="22"/>
          <w:szCs w:val="22"/>
          <w:lang w:val="es-ES_tradnl" w:eastAsia="en-US"/>
        </w:rPr>
        <w:t xml:space="preserve"> relacionados con la definición y </w:t>
      </w:r>
      <w:r w:rsidR="00F32BDE" w:rsidRPr="001B50C4">
        <w:rPr>
          <w:color w:val="000000"/>
          <w:sz w:val="22"/>
          <w:szCs w:val="22"/>
          <w:lang w:val="es-ES_tradnl" w:eastAsia="en-US"/>
        </w:rPr>
        <w:t>los criterios diferenciales para emprendimientos y empresas de mujeres en el sistema de compras públicas</w:t>
      </w:r>
      <w:r w:rsidR="00F32BDE" w:rsidRPr="00E82BBA">
        <w:rPr>
          <w:rFonts w:ascii="Arial" w:hAnsi="Arial" w:cs="Arial"/>
          <w:color w:val="000000"/>
          <w:sz w:val="22"/>
          <w:szCs w:val="22"/>
          <w:lang w:val="es-ES_tradnl" w:eastAsia="en-US"/>
        </w:rPr>
        <w:t>;</w:t>
      </w:r>
      <w:r w:rsidR="00F32BDE" w:rsidRPr="001B50C4">
        <w:rPr>
          <w:color w:val="000000"/>
          <w:sz w:val="22"/>
          <w:szCs w:val="22"/>
          <w:lang w:val="es-ES_tradnl" w:eastAsia="en-US"/>
        </w:rPr>
        <w:t xml:space="preserve"> </w:t>
      </w:r>
      <w:r w:rsidRPr="00E82BBA">
        <w:rPr>
          <w:rFonts w:ascii="Arial" w:hAnsi="Arial" w:cs="Arial"/>
          <w:color w:val="000000"/>
          <w:sz w:val="22"/>
          <w:szCs w:val="22"/>
          <w:lang w:val="es-ES_tradnl" w:eastAsia="en-US"/>
        </w:rPr>
        <w:t>2.2.1.2.4.2.16.</w:t>
      </w:r>
      <w:r w:rsidR="00F32BDE" w:rsidRPr="00E82BBA">
        <w:rPr>
          <w:rFonts w:ascii="Arial" w:hAnsi="Arial" w:cs="Arial"/>
          <w:color w:val="000000"/>
          <w:sz w:val="22"/>
          <w:szCs w:val="22"/>
          <w:lang w:val="es-ES_tradnl" w:eastAsia="en-US"/>
        </w:rPr>
        <w:t xml:space="preserve"> que trata del </w:t>
      </w:r>
      <w:r w:rsidR="00F32BDE" w:rsidRPr="001B50C4">
        <w:rPr>
          <w:color w:val="000000"/>
          <w:sz w:val="22"/>
          <w:szCs w:val="22"/>
          <w:lang w:val="es-ES_tradnl" w:eastAsia="en-US"/>
        </w:rPr>
        <w:t>fomento a la ejecución de contratos estatales por parte de población en pobreza extrema, desplazados por la violencia, personas en proceso de reintegración o reincorporación y sujetos de especial protección constitucional</w:t>
      </w:r>
      <w:r w:rsidR="00E82BBA" w:rsidRPr="00E82BBA">
        <w:rPr>
          <w:rFonts w:ascii="Arial" w:hAnsi="Arial" w:cs="Arial"/>
          <w:color w:val="000000"/>
          <w:sz w:val="22"/>
          <w:szCs w:val="22"/>
          <w:lang w:val="es-ES_tradnl" w:eastAsia="en-US"/>
        </w:rPr>
        <w:t>;</w:t>
      </w:r>
      <w:r w:rsidRPr="00E82BBA">
        <w:rPr>
          <w:rFonts w:ascii="Arial" w:hAnsi="Arial" w:cs="Arial"/>
          <w:color w:val="000000"/>
          <w:sz w:val="22"/>
          <w:szCs w:val="22"/>
          <w:lang w:val="es-ES_tradnl" w:eastAsia="en-US"/>
        </w:rPr>
        <w:t xml:space="preserve"> 2.2.1.2.4.2.17.</w:t>
      </w:r>
      <w:r w:rsidR="00E82BBA" w:rsidRPr="00E82BBA">
        <w:rPr>
          <w:rFonts w:ascii="Arial" w:hAnsi="Arial" w:cs="Arial"/>
          <w:color w:val="000000"/>
          <w:sz w:val="22"/>
          <w:szCs w:val="22"/>
          <w:lang w:val="es-ES_tradnl" w:eastAsia="en-US"/>
        </w:rPr>
        <w:t xml:space="preserve"> que reglamenta los </w:t>
      </w:r>
      <w:r w:rsidR="00E82BBA" w:rsidRPr="001B50C4">
        <w:rPr>
          <w:color w:val="000000"/>
          <w:sz w:val="22"/>
          <w:szCs w:val="22"/>
          <w:lang w:val="es-ES_tradnl" w:eastAsia="en-US"/>
        </w:rPr>
        <w:t>factores de desempate y su acreditación</w:t>
      </w:r>
      <w:r w:rsidR="00E82BBA" w:rsidRPr="001B50C4">
        <w:rPr>
          <w:rFonts w:ascii="Arial" w:hAnsi="Arial" w:cs="Arial"/>
          <w:color w:val="000000"/>
          <w:sz w:val="22"/>
          <w:szCs w:val="22"/>
          <w:lang w:val="es-ES_tradnl" w:eastAsia="en-US"/>
        </w:rPr>
        <w:t>; y</w:t>
      </w:r>
      <w:r w:rsidRPr="00E82BBA">
        <w:rPr>
          <w:rFonts w:ascii="Arial" w:hAnsi="Arial" w:cs="Arial"/>
          <w:color w:val="000000"/>
          <w:sz w:val="22"/>
          <w:szCs w:val="22"/>
          <w:lang w:val="es-ES_tradnl" w:eastAsia="en-US"/>
        </w:rPr>
        <w:t xml:space="preserve"> 2.2.1.2.4.2.18.</w:t>
      </w:r>
      <w:r w:rsidR="00E82BBA" w:rsidRPr="00E82BBA">
        <w:rPr>
          <w:rFonts w:ascii="Arial" w:hAnsi="Arial" w:cs="Arial"/>
          <w:color w:val="000000"/>
          <w:sz w:val="22"/>
          <w:szCs w:val="22"/>
          <w:lang w:val="es-ES_tradnl" w:eastAsia="en-US"/>
        </w:rPr>
        <w:t xml:space="preserve"> relacionado con los </w:t>
      </w:r>
      <w:r w:rsidR="00E82BBA">
        <w:rPr>
          <w:rFonts w:ascii="Arial" w:hAnsi="Arial" w:cs="Arial"/>
          <w:color w:val="000000"/>
          <w:sz w:val="22"/>
          <w:szCs w:val="22"/>
          <w:lang w:val="es-ES_tradnl" w:eastAsia="en-US"/>
        </w:rPr>
        <w:t>criterios</w:t>
      </w:r>
      <w:r w:rsidR="00E82BBA" w:rsidRPr="001B50C4">
        <w:rPr>
          <w:color w:val="000000"/>
          <w:sz w:val="22"/>
          <w:szCs w:val="22"/>
          <w:lang w:val="es-ES_tradnl" w:eastAsia="en-US"/>
        </w:rPr>
        <w:t xml:space="preserve"> diferenciales para </w:t>
      </w:r>
      <w:proofErr w:type="spellStart"/>
      <w:r w:rsidR="00E82BBA" w:rsidRPr="001B50C4">
        <w:rPr>
          <w:color w:val="000000"/>
          <w:sz w:val="22"/>
          <w:szCs w:val="22"/>
          <w:lang w:val="es-ES_tradnl" w:eastAsia="en-US"/>
        </w:rPr>
        <w:t>Mipyme</w:t>
      </w:r>
      <w:proofErr w:type="spellEnd"/>
      <w:r w:rsidR="00E82BBA" w:rsidRPr="001B50C4">
        <w:rPr>
          <w:color w:val="000000"/>
          <w:sz w:val="22"/>
          <w:szCs w:val="22"/>
          <w:lang w:val="es-ES_tradnl" w:eastAsia="en-US"/>
        </w:rPr>
        <w:t xml:space="preserve"> en el sistema de compras públicas.</w:t>
      </w:r>
      <w:r w:rsidRPr="00E82BBA">
        <w:rPr>
          <w:rFonts w:ascii="Arial" w:hAnsi="Arial" w:cs="Arial"/>
          <w:color w:val="000000"/>
          <w:sz w:val="22"/>
          <w:szCs w:val="22"/>
          <w:lang w:val="es-ES_tradnl" w:eastAsia="en-US"/>
        </w:rPr>
        <w:t xml:space="preserve"> </w:t>
      </w:r>
      <w:r w:rsidR="00E82BBA" w:rsidRPr="00E82BBA">
        <w:rPr>
          <w:rFonts w:ascii="Arial" w:hAnsi="Arial" w:cs="Arial"/>
          <w:color w:val="000000"/>
          <w:sz w:val="22"/>
          <w:szCs w:val="22"/>
          <w:lang w:val="es-ES_tradnl" w:eastAsia="en-US"/>
        </w:rPr>
        <w:t>En efecto, estas disposiciones, como se deriva de cada uno de los artículos citados</w:t>
      </w:r>
      <w:r w:rsidR="00755BDA">
        <w:rPr>
          <w:rFonts w:ascii="Arial" w:hAnsi="Arial" w:cs="Arial"/>
          <w:color w:val="000000"/>
          <w:sz w:val="22"/>
          <w:szCs w:val="22"/>
          <w:lang w:val="es-ES_tradnl" w:eastAsia="en-US"/>
        </w:rPr>
        <w:t>,</w:t>
      </w:r>
      <w:r w:rsidR="00E82BBA" w:rsidRPr="00E82BBA">
        <w:rPr>
          <w:rFonts w:ascii="Arial" w:hAnsi="Arial" w:cs="Arial"/>
          <w:color w:val="000000"/>
          <w:sz w:val="22"/>
          <w:szCs w:val="22"/>
          <w:lang w:val="es-ES_tradnl" w:eastAsia="en-US"/>
        </w:rPr>
        <w:t xml:space="preserve"> tienen como </w:t>
      </w:r>
      <w:r w:rsidR="00E82BBA" w:rsidRPr="00E82BBA">
        <w:rPr>
          <w:rFonts w:ascii="Arial" w:hAnsi="Arial" w:cs="Arial"/>
          <w:color w:val="000000"/>
          <w:sz w:val="22"/>
          <w:szCs w:val="22"/>
          <w:lang w:val="es-ES_tradnl" w:eastAsia="en-US"/>
        </w:rPr>
        <w:lastRenderedPageBreak/>
        <w:t>destinatarias a todas</w:t>
      </w:r>
      <w:r w:rsidRPr="00E82BBA">
        <w:rPr>
          <w:rFonts w:ascii="Arial" w:hAnsi="Arial" w:cs="Arial"/>
          <w:color w:val="000000"/>
          <w:sz w:val="22"/>
          <w:szCs w:val="22"/>
          <w:lang w:val="es-ES_tradnl" w:eastAsia="en-US"/>
        </w:rPr>
        <w:t xml:space="preserve"> las entidades estatales independientemente de su régimen de contratación.</w:t>
      </w:r>
    </w:p>
    <w:p w14:paraId="064688B2" w14:textId="21EAAAD8" w:rsidR="00954ADE" w:rsidRPr="00954ADE" w:rsidRDefault="00954ADE" w:rsidP="00954ADE">
      <w:pPr>
        <w:ind w:firstLine="709"/>
        <w:rPr>
          <w:rFonts w:ascii="Arial" w:hAnsi="Arial" w:cs="Arial"/>
          <w:color w:val="000000"/>
          <w:sz w:val="22"/>
          <w:szCs w:val="22"/>
          <w:lang w:val="es-ES_tradnl" w:eastAsia="en-US"/>
        </w:rPr>
      </w:pPr>
      <w:r w:rsidRPr="00954ADE">
        <w:rPr>
          <w:rFonts w:ascii="Arial" w:hAnsi="Arial" w:cs="Arial"/>
          <w:color w:val="000000"/>
          <w:sz w:val="22"/>
          <w:szCs w:val="22"/>
          <w:lang w:val="es-ES_tradnl" w:eastAsia="en-US"/>
        </w:rPr>
        <w:t>Además, se debe tener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como sucede con las empresas sociales del Estado</w:t>
      </w:r>
      <w:r w:rsidR="00AB298C">
        <w:rPr>
          <w:rStyle w:val="Refdenotaalpie"/>
          <w:rFonts w:ascii="Arial" w:hAnsi="Arial" w:cs="Arial"/>
          <w:color w:val="000000"/>
          <w:sz w:val="22"/>
          <w:szCs w:val="22"/>
          <w:lang w:val="es-ES_tradnl" w:eastAsia="en-US"/>
        </w:rPr>
        <w:footnoteReference w:id="6"/>
      </w:r>
      <w:r w:rsidR="00AB298C">
        <w:rPr>
          <w:rFonts w:ascii="Arial" w:hAnsi="Arial" w:cs="Arial"/>
          <w:color w:val="000000"/>
          <w:sz w:val="22"/>
          <w:szCs w:val="22"/>
          <w:lang w:val="es-ES_tradnl" w:eastAsia="en-US"/>
        </w:rPr>
        <w:t>, entre otras entidades de régimen especial</w:t>
      </w:r>
      <w:r w:rsidRPr="00954ADE">
        <w:rPr>
          <w:rFonts w:ascii="Arial" w:hAnsi="Arial" w:cs="Arial"/>
          <w:color w:val="000000"/>
          <w:sz w:val="22"/>
          <w:szCs w:val="22"/>
          <w:lang w:val="es-ES_tradnl" w:eastAsia="en-US"/>
        </w:rPr>
        <w:t xml:space="preserve">. De modo </w:t>
      </w:r>
      <w:proofErr w:type="gramStart"/>
      <w:r w:rsidRPr="00954ADE">
        <w:rPr>
          <w:rFonts w:ascii="Arial" w:hAnsi="Arial" w:cs="Arial"/>
          <w:color w:val="000000"/>
          <w:sz w:val="22"/>
          <w:szCs w:val="22"/>
          <w:lang w:val="es-ES_tradnl" w:eastAsia="en-US"/>
        </w:rPr>
        <w:t>que</w:t>
      </w:r>
      <w:proofErr w:type="gramEnd"/>
      <w:r w:rsidRPr="00954ADE">
        <w:rPr>
          <w:rFonts w:ascii="Arial" w:hAnsi="Arial" w:cs="Arial"/>
          <w:color w:val="000000"/>
          <w:sz w:val="22"/>
          <w:szCs w:val="22"/>
          <w:lang w:val="es-ES_tradnl" w:eastAsia="en-US"/>
        </w:rPr>
        <w:t xml:space="preserve"> si una Entidad sujeta al régimen especial requiere sancionar o dar por terminado el contrato, por regla general, debe acudir al juez competente</w:t>
      </w:r>
      <w:r w:rsidRPr="00954ADE">
        <w:rPr>
          <w:rFonts w:ascii="Arial" w:hAnsi="Arial" w:cs="Arial"/>
          <w:color w:val="000000"/>
          <w:sz w:val="22"/>
          <w:szCs w:val="22"/>
          <w:vertAlign w:val="superscript"/>
          <w:lang w:val="es-ES_tradnl" w:eastAsia="en-US"/>
        </w:rPr>
        <w:footnoteReference w:id="7"/>
      </w:r>
      <w:r w:rsidRPr="00954ADE">
        <w:rPr>
          <w:rFonts w:ascii="Arial" w:hAnsi="Arial" w:cs="Arial"/>
          <w:color w:val="000000"/>
          <w:sz w:val="22"/>
          <w:szCs w:val="22"/>
          <w:lang w:val="es-ES_tradnl" w:eastAsia="en-US"/>
        </w:rPr>
        <w:t>.</w:t>
      </w:r>
    </w:p>
    <w:p w14:paraId="4B60EADF" w14:textId="37F4EC3A" w:rsidR="002A572D" w:rsidRPr="005D0C48" w:rsidRDefault="002A572D" w:rsidP="001B50C4">
      <w:pPr>
        <w:spacing w:after="120"/>
        <w:ind w:firstLine="709"/>
        <w:rPr>
          <w:rFonts w:ascii="Arial" w:hAnsi="Arial" w:cs="Arial"/>
          <w:color w:val="000000"/>
          <w:sz w:val="22"/>
          <w:szCs w:val="22"/>
          <w:lang w:val="es-ES_tradnl" w:eastAsia="en-US"/>
        </w:rPr>
      </w:pPr>
    </w:p>
    <w:p w14:paraId="1B6FA8D6" w14:textId="77777777" w:rsidR="00D1519A" w:rsidRPr="005D0C48" w:rsidRDefault="00D1519A" w:rsidP="00AA1B5C">
      <w:pPr>
        <w:rPr>
          <w:rFonts w:ascii="Arial" w:hAnsi="Arial" w:cs="Arial"/>
          <w:b/>
          <w:color w:val="000000"/>
          <w:sz w:val="22"/>
          <w:szCs w:val="22"/>
          <w:lang w:val="es-ES_tradnl" w:eastAsia="en-US"/>
        </w:rPr>
      </w:pPr>
      <w:r w:rsidRPr="005D0C48">
        <w:rPr>
          <w:rFonts w:ascii="Arial" w:hAnsi="Arial" w:cs="Arial"/>
          <w:b/>
          <w:color w:val="000000"/>
          <w:sz w:val="22"/>
          <w:szCs w:val="22"/>
          <w:lang w:val="es-ES_tradnl" w:eastAsia="en-US"/>
        </w:rPr>
        <w:t xml:space="preserve">2.2. Manual o reglamento interno de contratación de las entidades de régimen especial: límites derivados de la reserva de ley y forma de llenar sus vacíos </w:t>
      </w:r>
    </w:p>
    <w:p w14:paraId="25ACD83C" w14:textId="77777777" w:rsidR="00D1519A" w:rsidRPr="005D0C48" w:rsidRDefault="00D1519A" w:rsidP="00AA1B5C">
      <w:pPr>
        <w:rPr>
          <w:rFonts w:ascii="Arial" w:hAnsi="Arial" w:cs="Arial"/>
          <w:color w:val="000000"/>
          <w:sz w:val="22"/>
          <w:szCs w:val="22"/>
          <w:lang w:val="es-ES_tradnl" w:eastAsia="en-US"/>
        </w:rPr>
      </w:pPr>
    </w:p>
    <w:p w14:paraId="64B22B29" w14:textId="0A9F17C1" w:rsidR="00D1519A" w:rsidRPr="005D0C48" w:rsidRDefault="00D1519A" w:rsidP="001B50C4">
      <w:pPr>
        <w:spacing w:after="120"/>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De acuerdo con lo expresado en el acápite precedente, las entidades estatales que, por disposición legal, cuentan con un régimen especial</w:t>
      </w:r>
      <w:r w:rsidRPr="005D0C48">
        <w:rPr>
          <w:rFonts w:ascii="Arial" w:hAnsi="Arial" w:cs="Arial"/>
          <w:color w:val="000000"/>
          <w:sz w:val="22"/>
          <w:szCs w:val="22"/>
          <w:vertAlign w:val="superscript"/>
          <w:lang w:val="es-ES_tradnl" w:eastAsia="en-US"/>
        </w:rPr>
        <w:footnoteReference w:id="8"/>
      </w:r>
      <w:r w:rsidRPr="005D0C48">
        <w:rPr>
          <w:rFonts w:ascii="Arial" w:hAnsi="Arial" w:cs="Arial"/>
          <w:color w:val="000000"/>
          <w:sz w:val="22"/>
          <w:szCs w:val="22"/>
          <w:lang w:val="es-ES_tradnl" w:eastAsia="en-US"/>
        </w:rPr>
        <w:t>, exceptuado del Estatuto General de Contratación de la Administración Pública –Leyes 80 de 1993, 1150 de 2007 y normas complementarias</w:t>
      </w:r>
      <w:r w:rsidRPr="005D0C48">
        <w:rPr>
          <w:rFonts w:ascii="Arial" w:hAnsi="Arial" w:cs="Arial"/>
          <w:color w:val="000000"/>
          <w:sz w:val="22"/>
          <w:szCs w:val="22"/>
          <w:vertAlign w:val="superscript"/>
          <w:lang w:val="es-ES_tradnl" w:eastAsia="en-US"/>
        </w:rPr>
        <w:footnoteReference w:id="9"/>
      </w:r>
      <w:r w:rsidRPr="005D0C48">
        <w:rPr>
          <w:rFonts w:ascii="Arial" w:hAnsi="Arial" w:cs="Arial"/>
          <w:color w:val="000000"/>
          <w:sz w:val="22"/>
          <w:szCs w:val="22"/>
          <w:lang w:val="es-ES_tradnl" w:eastAsia="en-US"/>
        </w:rPr>
        <w:t>–</w:t>
      </w:r>
      <w:r w:rsidR="004638A9">
        <w:rPr>
          <w:rFonts w:ascii="Arial" w:hAnsi="Arial" w:cs="Arial"/>
          <w:color w:val="000000"/>
          <w:sz w:val="22"/>
          <w:szCs w:val="22"/>
          <w:lang w:val="es-ES_tradnl" w:eastAsia="en-US"/>
        </w:rPr>
        <w:t xml:space="preserve"> </w:t>
      </w:r>
      <w:r w:rsidR="002F73C0">
        <w:rPr>
          <w:rFonts w:ascii="Arial" w:hAnsi="Arial" w:cs="Arial"/>
          <w:color w:val="000000"/>
          <w:sz w:val="22"/>
          <w:szCs w:val="22"/>
          <w:lang w:val="es-ES_tradnl" w:eastAsia="en-US"/>
        </w:rPr>
        <w:t>pueden</w:t>
      </w:r>
      <w:r w:rsidR="002F73C0" w:rsidRPr="005D0C48">
        <w:rPr>
          <w:rFonts w:ascii="Arial" w:hAnsi="Arial" w:cs="Arial"/>
          <w:color w:val="000000"/>
          <w:sz w:val="22"/>
          <w:szCs w:val="22"/>
          <w:lang w:val="es-ES_tradnl" w:eastAsia="en-US"/>
        </w:rPr>
        <w:t xml:space="preserve"> </w:t>
      </w:r>
      <w:r w:rsidRPr="005D0C48">
        <w:rPr>
          <w:rFonts w:ascii="Arial" w:hAnsi="Arial" w:cs="Arial"/>
          <w:color w:val="000000"/>
          <w:sz w:val="22"/>
          <w:szCs w:val="22"/>
          <w:lang w:val="es-ES_tradnl" w:eastAsia="en-US"/>
        </w:rPr>
        <w:t xml:space="preserve">expedir un reglamento interno de contratación –comúnmente denominado </w:t>
      </w:r>
      <w:r w:rsidRPr="005D0C48">
        <w:rPr>
          <w:rFonts w:ascii="Arial" w:hAnsi="Arial" w:cs="Arial"/>
          <w:i/>
          <w:color w:val="000000"/>
          <w:sz w:val="22"/>
          <w:szCs w:val="22"/>
          <w:lang w:val="es-ES_tradnl" w:eastAsia="en-US"/>
        </w:rPr>
        <w:t>manual de contratación</w:t>
      </w:r>
      <w:r w:rsidRPr="005D0C48">
        <w:rPr>
          <w:rFonts w:ascii="Arial" w:hAnsi="Arial" w:cs="Arial"/>
          <w:color w:val="000000"/>
          <w:sz w:val="22"/>
          <w:szCs w:val="22"/>
          <w:lang w:val="es-ES_tradnl" w:eastAsia="en-US"/>
        </w:rPr>
        <w:t xml:space="preserve">–, que regule aspectos asociados a la actividad contractual, como los procedimientos de selección, los requisitos de participación, las condiciones de ejecución del contrato, etc. </w:t>
      </w:r>
    </w:p>
    <w:p w14:paraId="72F03C00" w14:textId="0CFB716E" w:rsidR="00D1519A" w:rsidRPr="005D0C48" w:rsidRDefault="00117BD8"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En esas condiciones, la concreción de las reglas generales contenidas en su régimen especial se puede efectuar mediante la expedición del respectivo manual de contratación, que es </w:t>
      </w:r>
      <w:r w:rsidR="00D1519A" w:rsidRPr="005D0C48">
        <w:rPr>
          <w:rFonts w:ascii="Arial" w:hAnsi="Arial" w:cs="Arial"/>
          <w:color w:val="000000"/>
          <w:sz w:val="22"/>
          <w:szCs w:val="22"/>
          <w:lang w:val="es-ES_tradnl" w:eastAsia="en-US"/>
        </w:rPr>
        <w:t>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w:t>
      </w:r>
      <w:r w:rsidRPr="005D0C48">
        <w:rPr>
          <w:rFonts w:ascii="Arial" w:hAnsi="Arial" w:cs="Arial"/>
          <w:color w:val="000000"/>
          <w:sz w:val="22"/>
          <w:szCs w:val="22"/>
          <w:lang w:val="es-ES_tradnl" w:eastAsia="en-US"/>
        </w:rPr>
        <w:t xml:space="preserve"> y que</w:t>
      </w:r>
      <w:r w:rsidR="00D1519A" w:rsidRPr="005D0C48">
        <w:rPr>
          <w:rFonts w:ascii="Arial" w:hAnsi="Arial" w:cs="Arial"/>
          <w:color w:val="000000"/>
          <w:sz w:val="22"/>
          <w:szCs w:val="22"/>
          <w:lang w:val="es-ES_tradnl" w:eastAsia="en-US"/>
        </w:rPr>
        <w:t xml:space="preserve"> no </w:t>
      </w:r>
      <w:r w:rsidRPr="005D0C48">
        <w:rPr>
          <w:rFonts w:ascii="Arial" w:hAnsi="Arial" w:cs="Arial"/>
          <w:color w:val="000000"/>
          <w:sz w:val="22"/>
          <w:szCs w:val="22"/>
          <w:lang w:val="es-ES_tradnl" w:eastAsia="en-US"/>
        </w:rPr>
        <w:t>se agota c</w:t>
      </w:r>
      <w:r w:rsidR="00D1519A" w:rsidRPr="005D0C48">
        <w:rPr>
          <w:rFonts w:ascii="Arial" w:hAnsi="Arial" w:cs="Arial"/>
          <w:color w:val="000000"/>
          <w:sz w:val="22"/>
          <w:szCs w:val="22"/>
          <w:lang w:val="es-ES_tradnl" w:eastAsia="en-US"/>
        </w:rPr>
        <w:t xml:space="preserve">on una sola aplicación. </w:t>
      </w:r>
    </w:p>
    <w:p w14:paraId="053AD3C6" w14:textId="50D99483" w:rsidR="00D1519A" w:rsidRPr="005D0C48" w:rsidRDefault="00ED09A1"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Debe resaltarse, en cualquier caso, que</w:t>
      </w:r>
      <w:r w:rsidR="00D1519A" w:rsidRPr="005D0C48">
        <w:rPr>
          <w:rFonts w:ascii="Arial" w:hAnsi="Arial" w:cs="Arial"/>
          <w:color w:val="000000"/>
          <w:sz w:val="22"/>
          <w:szCs w:val="22"/>
          <w:lang w:val="es-ES_tradnl" w:eastAsia="en-US"/>
        </w:rPr>
        <w:t xml:space="preserve"> la libertad de configuración reglamentaria de las entidades estatales, expresada en el manual de contratación, no es absoluta, ya que, </w:t>
      </w:r>
      <w:r w:rsidR="00D1519A" w:rsidRPr="005D0C48">
        <w:rPr>
          <w:rFonts w:ascii="Arial" w:hAnsi="Arial" w:cs="Arial"/>
          <w:color w:val="000000"/>
          <w:sz w:val="22"/>
          <w:szCs w:val="22"/>
          <w:lang w:val="es-ES_tradnl" w:eastAsia="en-US"/>
        </w:rPr>
        <w:lastRenderedPageBreak/>
        <w:t xml:space="preserve">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00D1519A" w:rsidRPr="005D0C48">
        <w:rPr>
          <w:rFonts w:ascii="Arial" w:hAnsi="Arial" w:cs="Arial"/>
          <w:color w:val="000000"/>
          <w:sz w:val="22"/>
          <w:szCs w:val="22"/>
          <w:lang w:val="es-ES_tradnl" w:eastAsia="en-US"/>
        </w:rPr>
        <w:t>ii</w:t>
      </w:r>
      <w:proofErr w:type="spellEnd"/>
      <w:r w:rsidR="00D1519A" w:rsidRPr="005D0C48">
        <w:rPr>
          <w:rFonts w:ascii="Arial" w:hAnsi="Arial" w:cs="Arial"/>
          <w:color w:val="000000"/>
          <w:sz w:val="22"/>
          <w:szCs w:val="22"/>
          <w:lang w:val="es-ES_tradnl" w:eastAsia="en-US"/>
        </w:rPr>
        <w:t>)</w:t>
      </w:r>
      <w:r w:rsidR="004638A9" w:rsidRPr="00213052">
        <w:rPr>
          <w:rFonts w:ascii="Arial" w:hAnsi="Arial" w:cs="Arial"/>
          <w:color w:val="000000" w:themeColor="text1"/>
          <w:sz w:val="22"/>
          <w:lang w:val="es-ES_tradnl"/>
        </w:rPr>
        <w:t xml:space="preserve"> sanciones</w:t>
      </w:r>
      <w:r w:rsidR="004638A9">
        <w:rPr>
          <w:rFonts w:ascii="Arial" w:hAnsi="Arial" w:cs="Arial"/>
          <w:color w:val="000000" w:themeColor="text1"/>
          <w:sz w:val="22"/>
          <w:lang w:val="es-ES_tradnl"/>
        </w:rPr>
        <w:t>, sin perjuicio de las que pueden pactar de acuerdo con las normas civiles y comerciales,</w:t>
      </w:r>
      <w:r w:rsidR="00D1519A" w:rsidRPr="005D0C48">
        <w:rPr>
          <w:rFonts w:ascii="Arial" w:hAnsi="Arial" w:cs="Arial"/>
          <w:color w:val="000000"/>
          <w:sz w:val="22"/>
          <w:szCs w:val="22"/>
          <w:lang w:val="es-ES_tradnl" w:eastAsia="en-US"/>
        </w:rPr>
        <w:t xml:space="preserve"> </w:t>
      </w:r>
      <w:proofErr w:type="spellStart"/>
      <w:r w:rsidR="00D1519A" w:rsidRPr="005D0C48">
        <w:rPr>
          <w:rFonts w:ascii="Arial" w:hAnsi="Arial" w:cs="Arial"/>
          <w:color w:val="000000"/>
          <w:sz w:val="22"/>
          <w:szCs w:val="22"/>
          <w:lang w:val="es-ES_tradnl" w:eastAsia="en-US"/>
        </w:rPr>
        <w:t>iii</w:t>
      </w:r>
      <w:proofErr w:type="spellEnd"/>
      <w:r w:rsidR="00D1519A" w:rsidRPr="005D0C48">
        <w:rPr>
          <w:rFonts w:ascii="Arial" w:hAnsi="Arial" w:cs="Arial"/>
          <w:color w:val="000000"/>
          <w:sz w:val="22"/>
          <w:szCs w:val="22"/>
          <w:lang w:val="es-ES_tradnl" w:eastAsia="en-US"/>
        </w:rPr>
        <w:t>)</w:t>
      </w:r>
      <w:r w:rsidR="004638A9" w:rsidRPr="00213052">
        <w:rPr>
          <w:rFonts w:ascii="Arial" w:hAnsi="Arial" w:cs="Arial"/>
          <w:color w:val="000000" w:themeColor="text1"/>
          <w:sz w:val="22"/>
          <w:lang w:val="es-ES_tradnl"/>
        </w:rPr>
        <w:t xml:space="preserve"> procedimientos para su imposición</w:t>
      </w:r>
      <w:r w:rsidR="004638A9">
        <w:rPr>
          <w:rFonts w:ascii="Arial" w:hAnsi="Arial" w:cs="Arial"/>
          <w:color w:val="000000" w:themeColor="text1"/>
          <w:sz w:val="22"/>
          <w:lang w:val="es-ES_tradnl"/>
        </w:rPr>
        <w:t xml:space="preserve">, </w:t>
      </w:r>
      <w:proofErr w:type="spellStart"/>
      <w:r w:rsidR="004638A9">
        <w:rPr>
          <w:rFonts w:ascii="Arial" w:hAnsi="Arial" w:cs="Arial"/>
          <w:color w:val="000000" w:themeColor="text1"/>
          <w:sz w:val="22"/>
          <w:lang w:val="es-ES_tradnl"/>
        </w:rPr>
        <w:t>iv</w:t>
      </w:r>
      <w:proofErr w:type="spellEnd"/>
      <w:r w:rsidR="004638A9">
        <w:rPr>
          <w:rFonts w:ascii="Arial" w:hAnsi="Arial" w:cs="Arial"/>
          <w:color w:val="000000" w:themeColor="text1"/>
          <w:sz w:val="22"/>
          <w:lang w:val="es-ES_tradnl"/>
        </w:rPr>
        <w:t>)</w:t>
      </w:r>
      <w:r w:rsidR="00D1519A" w:rsidRPr="005D0C48">
        <w:rPr>
          <w:rFonts w:ascii="Arial" w:hAnsi="Arial" w:cs="Arial"/>
          <w:color w:val="000000"/>
          <w:sz w:val="22"/>
          <w:szCs w:val="22"/>
          <w:lang w:val="es-ES_tradnl" w:eastAsia="en-US"/>
        </w:rPr>
        <w:t xml:space="preserve"> causales de inhabilidad e incompatibilidad, v) el pr</w:t>
      </w:r>
      <w:r w:rsidRPr="005D0C48">
        <w:rPr>
          <w:rFonts w:ascii="Arial" w:hAnsi="Arial" w:cs="Arial"/>
          <w:color w:val="000000"/>
          <w:sz w:val="22"/>
          <w:szCs w:val="22"/>
          <w:lang w:val="es-ES_tradnl" w:eastAsia="en-US"/>
        </w:rPr>
        <w:t>incipio de anualidad del gasto</w:t>
      </w:r>
      <w:r w:rsidR="00D1519A" w:rsidRPr="005D0C48">
        <w:rPr>
          <w:rFonts w:ascii="Arial" w:hAnsi="Arial" w:cs="Arial"/>
          <w:color w:val="000000"/>
          <w:sz w:val="22"/>
          <w:szCs w:val="22"/>
          <w:lang w:val="es-ES_tradnl" w:eastAsia="en-US"/>
        </w:rPr>
        <w:t xml:space="preserve"> y v</w:t>
      </w:r>
      <w:r w:rsidR="004638A9">
        <w:rPr>
          <w:rFonts w:ascii="Arial" w:hAnsi="Arial" w:cs="Arial"/>
          <w:color w:val="000000"/>
          <w:sz w:val="22"/>
          <w:szCs w:val="22"/>
          <w:lang w:val="es-ES_tradnl" w:eastAsia="en-US"/>
        </w:rPr>
        <w:t>i</w:t>
      </w:r>
      <w:r w:rsidR="00D1519A" w:rsidRPr="005D0C48">
        <w:rPr>
          <w:rFonts w:ascii="Arial" w:hAnsi="Arial" w:cs="Arial"/>
          <w:color w:val="000000"/>
          <w:sz w:val="22"/>
          <w:szCs w:val="22"/>
          <w:lang w:val="es-ES_tradnl" w:eastAsia="en-US"/>
        </w:rPr>
        <w:t>)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00D1519A" w:rsidRPr="005D0C48">
        <w:rPr>
          <w:rFonts w:ascii="Arial" w:hAnsi="Arial" w:cs="Arial"/>
          <w:color w:val="000000"/>
          <w:sz w:val="22"/>
          <w:szCs w:val="22"/>
          <w:vertAlign w:val="superscript"/>
          <w:lang w:val="es-ES_tradnl" w:eastAsia="en-US"/>
        </w:rPr>
        <w:footnoteReference w:id="10"/>
      </w:r>
      <w:r w:rsidR="00D1519A" w:rsidRPr="005D0C48">
        <w:rPr>
          <w:rFonts w:ascii="Arial" w:hAnsi="Arial" w:cs="Arial"/>
          <w:color w:val="000000"/>
          <w:sz w:val="22"/>
          <w:szCs w:val="22"/>
          <w:lang w:val="es-ES_tradnl" w:eastAsia="en-US"/>
        </w:rPr>
        <w:t>.</w:t>
      </w:r>
    </w:p>
    <w:p w14:paraId="3CDB0B80" w14:textId="22F2EB22" w:rsidR="00D1519A" w:rsidRPr="005D0C48" w:rsidRDefault="00D1519A" w:rsidP="001B50C4">
      <w:pPr>
        <w:spacing w:after="120"/>
        <w:ind w:firstLine="708"/>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Ahora bien, </w:t>
      </w:r>
      <w:r w:rsidR="00ED09A1" w:rsidRPr="005D0C48">
        <w:rPr>
          <w:rFonts w:ascii="Arial" w:hAnsi="Arial" w:cs="Arial"/>
          <w:color w:val="000000"/>
          <w:sz w:val="22"/>
          <w:szCs w:val="22"/>
          <w:lang w:val="es-ES_tradnl" w:eastAsia="en-US"/>
        </w:rPr>
        <w:t xml:space="preserve">esta Agencia ha definido en </w:t>
      </w:r>
      <w:r w:rsidR="002F73C0">
        <w:rPr>
          <w:rFonts w:ascii="Arial" w:hAnsi="Arial" w:cs="Arial"/>
          <w:color w:val="000000"/>
          <w:sz w:val="22"/>
          <w:szCs w:val="22"/>
          <w:lang w:val="es-ES_tradnl" w:eastAsia="en-US"/>
        </w:rPr>
        <w:t>la</w:t>
      </w:r>
      <w:r w:rsidR="002F73C0" w:rsidRPr="005D0C48">
        <w:rPr>
          <w:rFonts w:ascii="Arial" w:hAnsi="Arial" w:cs="Arial"/>
          <w:color w:val="000000"/>
          <w:sz w:val="22"/>
          <w:szCs w:val="22"/>
          <w:lang w:val="es-ES_tradnl" w:eastAsia="en-US"/>
        </w:rPr>
        <w:t xml:space="preserve"> </w:t>
      </w:r>
      <w:r w:rsidR="00ED09A1" w:rsidRPr="005D0C48">
        <w:rPr>
          <w:rFonts w:ascii="Arial" w:hAnsi="Arial" w:cs="Arial"/>
          <w:color w:val="000000"/>
          <w:sz w:val="22"/>
          <w:szCs w:val="22"/>
          <w:lang w:val="es-ES_tradnl" w:eastAsia="en-US"/>
        </w:rPr>
        <w:t xml:space="preserve">«Guía para las Entidades Estatales con régimen especial de Contratación» que éstas se someten en primer término al derecho privado y que, por lo tanto, cuando se presenten </w:t>
      </w:r>
      <w:r w:rsidRPr="005D0C48">
        <w:rPr>
          <w:rFonts w:ascii="Arial" w:hAnsi="Arial" w:cs="Arial"/>
          <w:color w:val="000000"/>
          <w:sz w:val="22"/>
          <w:szCs w:val="22"/>
          <w:lang w:val="es-ES_tradnl" w:eastAsia="en-US"/>
        </w:rPr>
        <w:t>lagunas jurídicas –es decir, vacíos o ausencia de regulación de ciertos temas</w:t>
      </w:r>
      <w:r w:rsidRPr="001B50C4">
        <w:rPr>
          <w:rFonts w:ascii="Arial" w:hAnsi="Arial" w:cs="Arial"/>
          <w:color w:val="000000"/>
          <w:sz w:val="22"/>
          <w:szCs w:val="22"/>
          <w:vertAlign w:val="superscript"/>
          <w:lang w:val="es-ES_tradnl" w:eastAsia="en-US"/>
        </w:rPr>
        <w:footnoteReference w:id="11"/>
      </w:r>
      <w:r w:rsidR="00720145">
        <w:rPr>
          <w:rFonts w:ascii="Arial" w:hAnsi="Arial" w:cs="Arial"/>
          <w:color w:val="000000"/>
          <w:sz w:val="22"/>
          <w:szCs w:val="22"/>
          <w:lang w:val="es-ES_tradnl" w:eastAsia="en-US"/>
        </w:rPr>
        <w:t>–</w:t>
      </w:r>
      <w:r w:rsidRPr="005D0C48">
        <w:rPr>
          <w:rFonts w:ascii="Arial" w:hAnsi="Arial" w:cs="Arial"/>
          <w:color w:val="000000"/>
          <w:sz w:val="16"/>
          <w:szCs w:val="16"/>
          <w:lang w:val="es-ES_tradnl" w:eastAsia="en-US"/>
        </w:rPr>
        <w:t>,</w:t>
      </w:r>
      <w:r w:rsidRPr="005D0C48">
        <w:rPr>
          <w:rFonts w:ascii="Arial" w:hAnsi="Arial" w:cs="Arial"/>
          <w:color w:val="000000"/>
          <w:sz w:val="22"/>
          <w:szCs w:val="22"/>
          <w:lang w:val="es-ES_tradnl" w:eastAsia="en-US"/>
        </w:rPr>
        <w:t xml:space="preserve"> en los manuales de contratación de las entidades de régimen especial</w:t>
      </w:r>
      <w:r w:rsidR="00ED09A1" w:rsidRPr="005D0C48">
        <w:rPr>
          <w:rFonts w:ascii="Arial" w:hAnsi="Arial" w:cs="Arial"/>
          <w:color w:val="000000"/>
          <w:sz w:val="22"/>
          <w:szCs w:val="22"/>
          <w:lang w:val="es-ES_tradnl" w:eastAsia="en-US"/>
        </w:rPr>
        <w:t>, la fuente de interpretación a la que deben acudir es la referida Rama del Derecho</w:t>
      </w:r>
      <w:r w:rsidRPr="001B50C4">
        <w:rPr>
          <w:rFonts w:ascii="Arial" w:hAnsi="Arial" w:cs="Arial"/>
          <w:color w:val="000000"/>
          <w:sz w:val="22"/>
          <w:szCs w:val="22"/>
          <w:vertAlign w:val="superscript"/>
          <w:lang w:val="es-ES_tradnl" w:eastAsia="en-US"/>
        </w:rPr>
        <w:footnoteReference w:id="12"/>
      </w:r>
      <w:r w:rsidR="00A1714D" w:rsidRPr="005D0C48">
        <w:rPr>
          <w:rFonts w:ascii="Arial" w:hAnsi="Arial" w:cs="Arial"/>
          <w:color w:val="000000"/>
          <w:sz w:val="22"/>
          <w:szCs w:val="22"/>
          <w:lang w:val="es-ES_tradnl" w:eastAsia="en-US"/>
        </w:rPr>
        <w:t xml:space="preserve"> o sea el integrado por los preceptos civiles y comerciales.</w:t>
      </w:r>
      <w:r w:rsidR="00ED09A1" w:rsidRPr="005D0C48">
        <w:rPr>
          <w:rFonts w:ascii="Arial" w:hAnsi="Arial" w:cs="Arial"/>
          <w:color w:val="000000"/>
          <w:sz w:val="22"/>
          <w:szCs w:val="22"/>
          <w:lang w:val="es-ES_tradnl" w:eastAsia="en-US"/>
        </w:rPr>
        <w:t xml:space="preserve"> Lo anterior, sin perjuicio de su debe</w:t>
      </w:r>
      <w:r w:rsidR="0087312E" w:rsidRPr="005D0C48">
        <w:rPr>
          <w:rFonts w:ascii="Arial" w:hAnsi="Arial" w:cs="Arial"/>
          <w:color w:val="000000"/>
          <w:sz w:val="22"/>
          <w:szCs w:val="22"/>
          <w:lang w:val="es-ES_tradnl" w:eastAsia="en-US"/>
        </w:rPr>
        <w:t>r</w:t>
      </w:r>
      <w:r w:rsidR="00ED09A1" w:rsidRPr="005D0C48">
        <w:rPr>
          <w:rFonts w:ascii="Arial" w:hAnsi="Arial" w:cs="Arial"/>
          <w:color w:val="000000"/>
          <w:sz w:val="22"/>
          <w:szCs w:val="22"/>
          <w:lang w:val="es-ES_tradnl" w:eastAsia="en-US"/>
        </w:rPr>
        <w:t xml:space="preserve"> de </w:t>
      </w:r>
      <w:r w:rsidRPr="005D0C48">
        <w:rPr>
          <w:rFonts w:ascii="Arial" w:hAnsi="Arial" w:cs="Arial"/>
          <w:color w:val="000000"/>
          <w:sz w:val="22"/>
          <w:szCs w:val="22"/>
          <w:lang w:val="es-ES_tradnl" w:eastAsia="en-US"/>
        </w:rPr>
        <w:t xml:space="preserve">cumplir algunas obligaciones transversales propias del </w:t>
      </w:r>
      <w:r w:rsidRPr="005D0C48">
        <w:rPr>
          <w:rFonts w:ascii="Arial" w:hAnsi="Arial" w:cs="Arial"/>
          <w:color w:val="000000"/>
          <w:sz w:val="22"/>
          <w:szCs w:val="22"/>
          <w:lang w:val="es-ES_tradnl" w:eastAsia="en-US"/>
        </w:rPr>
        <w:lastRenderedPageBreak/>
        <w:t>sistema de compra pública, señaladas en dicha guía y que se men</w:t>
      </w:r>
      <w:r w:rsidR="00A1714D" w:rsidRPr="005D0C48">
        <w:rPr>
          <w:rFonts w:ascii="Arial" w:hAnsi="Arial" w:cs="Arial"/>
          <w:color w:val="000000"/>
          <w:sz w:val="22"/>
          <w:szCs w:val="22"/>
          <w:lang w:val="es-ES_tradnl" w:eastAsia="en-US"/>
        </w:rPr>
        <w:t>cionaron en el numeral anterior.</w:t>
      </w:r>
      <w:r w:rsidRPr="005D0C48">
        <w:rPr>
          <w:rFonts w:ascii="Arial" w:hAnsi="Arial" w:cs="Arial"/>
          <w:color w:val="000000"/>
          <w:sz w:val="22"/>
          <w:szCs w:val="22"/>
          <w:lang w:val="es-ES_tradnl" w:eastAsia="en-US"/>
        </w:rPr>
        <w:t xml:space="preserve"> </w:t>
      </w:r>
    </w:p>
    <w:p w14:paraId="3A550CA9" w14:textId="60E150A2" w:rsidR="00D1519A" w:rsidRPr="005D0C48" w:rsidRDefault="002F73C0" w:rsidP="001B50C4">
      <w:pPr>
        <w:spacing w:after="120"/>
        <w:ind w:firstLine="708"/>
        <w:rPr>
          <w:rFonts w:ascii="Arial" w:hAnsi="Arial" w:cs="Arial"/>
          <w:color w:val="000000"/>
          <w:sz w:val="22"/>
          <w:szCs w:val="22"/>
          <w:lang w:val="es-ES_tradnl" w:eastAsia="en-US"/>
        </w:rPr>
      </w:pPr>
      <w:r>
        <w:rPr>
          <w:rFonts w:ascii="Arial" w:hAnsi="Arial" w:cs="Arial"/>
          <w:color w:val="000000"/>
          <w:sz w:val="22"/>
          <w:szCs w:val="22"/>
          <w:lang w:val="es-ES_tradnl" w:eastAsia="en-US"/>
        </w:rPr>
        <w:t xml:space="preserve">No </w:t>
      </w:r>
      <w:proofErr w:type="gramStart"/>
      <w:r>
        <w:rPr>
          <w:rFonts w:ascii="Arial" w:hAnsi="Arial" w:cs="Arial"/>
          <w:color w:val="000000"/>
          <w:sz w:val="22"/>
          <w:szCs w:val="22"/>
          <w:lang w:val="es-ES_tradnl" w:eastAsia="en-US"/>
        </w:rPr>
        <w:t>obstante</w:t>
      </w:r>
      <w:proofErr w:type="gramEnd"/>
      <w:r>
        <w:rPr>
          <w:rFonts w:ascii="Arial" w:hAnsi="Arial" w:cs="Arial"/>
          <w:color w:val="000000"/>
          <w:sz w:val="22"/>
          <w:szCs w:val="22"/>
          <w:lang w:val="es-ES_tradnl" w:eastAsia="en-US"/>
        </w:rPr>
        <w:t xml:space="preserve"> lo anterior</w:t>
      </w:r>
      <w:r w:rsidR="00D1519A" w:rsidRPr="005D0C48">
        <w:rPr>
          <w:rFonts w:ascii="Arial" w:hAnsi="Arial" w:cs="Arial"/>
          <w:color w:val="000000"/>
          <w:sz w:val="22"/>
          <w:szCs w:val="22"/>
          <w:lang w:val="es-ES_tradnl" w:eastAsia="en-US"/>
        </w:rPr>
        <w:t xml:space="preserve">, para determinar el método hermenéutico que ha de seguirse al momento de llenar el vacío de regulación presente en los manuales de contratación de las entidades con régimen especial, el operador jurídico debe indagar sobre qué materia hay laguna. Ello por cuanto existen </w:t>
      </w:r>
      <w:r w:rsidR="00D1519A" w:rsidRPr="001B50C4">
        <w:rPr>
          <w:rFonts w:ascii="Arial" w:hAnsi="Arial" w:cs="Arial"/>
          <w:i/>
          <w:iCs/>
          <w:color w:val="000000"/>
          <w:sz w:val="22"/>
          <w:szCs w:val="22"/>
          <w:lang w:val="es-ES_tradnl" w:eastAsia="en-US"/>
        </w:rPr>
        <w:t>tres</w:t>
      </w:r>
      <w:r w:rsidR="00D1519A" w:rsidRPr="005D0C48">
        <w:rPr>
          <w:rFonts w:ascii="Arial" w:hAnsi="Arial" w:cs="Arial"/>
          <w:color w:val="000000"/>
          <w:sz w:val="22"/>
          <w:szCs w:val="22"/>
          <w:lang w:val="es-ES_tradnl" w:eastAsia="en-US"/>
        </w:rPr>
        <w:t xml:space="preserve"> remisiones legales, que deben interpretarse sistemáticamente: i) la que efectúa hacia el derecho privado la norma legal que constituye el régimen especial de la entidad correspondiente</w:t>
      </w:r>
      <w:r w:rsidR="00642E4A">
        <w:rPr>
          <w:rFonts w:ascii="Arial" w:hAnsi="Arial" w:cs="Arial"/>
          <w:color w:val="000000"/>
          <w:sz w:val="22"/>
          <w:szCs w:val="22"/>
          <w:lang w:val="es-ES_tradnl" w:eastAsia="en-US"/>
        </w:rPr>
        <w:t xml:space="preserve">, </w:t>
      </w:r>
      <w:r w:rsidR="006A2342" w:rsidRPr="005D0C48">
        <w:rPr>
          <w:rFonts w:ascii="Arial" w:hAnsi="Arial" w:cs="Arial"/>
          <w:color w:val="000000"/>
          <w:sz w:val="22"/>
          <w:szCs w:val="22"/>
          <w:lang w:val="es-ES_tradnl" w:eastAsia="en-US"/>
        </w:rPr>
        <w:t xml:space="preserve">por ejemplo, el artículo 15 de la Ley 1150 de 2007, que modificó </w:t>
      </w:r>
      <w:r w:rsidR="00720145">
        <w:rPr>
          <w:rFonts w:ascii="Arial" w:hAnsi="Arial" w:cs="Arial"/>
          <w:color w:val="000000"/>
          <w:sz w:val="22"/>
          <w:szCs w:val="22"/>
          <w:lang w:val="es-ES_tradnl" w:eastAsia="en-US"/>
        </w:rPr>
        <w:t>el parágrafo primero del</w:t>
      </w:r>
      <w:r w:rsidR="00720145" w:rsidRPr="005D0C48">
        <w:rPr>
          <w:rFonts w:ascii="Arial" w:hAnsi="Arial" w:cs="Arial"/>
          <w:color w:val="000000"/>
          <w:sz w:val="22"/>
          <w:szCs w:val="22"/>
          <w:lang w:val="es-ES_tradnl" w:eastAsia="en-US"/>
        </w:rPr>
        <w:t xml:space="preserve"> </w:t>
      </w:r>
      <w:r w:rsidR="006A2342" w:rsidRPr="005D0C48">
        <w:rPr>
          <w:rFonts w:ascii="Arial" w:hAnsi="Arial" w:cs="Arial"/>
          <w:color w:val="000000"/>
          <w:sz w:val="22"/>
          <w:szCs w:val="22"/>
          <w:lang w:val="es-ES_tradnl" w:eastAsia="en-US"/>
        </w:rPr>
        <w:t>artículo 32 de la Ley 80 de 1993</w:t>
      </w:r>
      <w:r w:rsidR="00D1519A" w:rsidRPr="005D0C48">
        <w:rPr>
          <w:rFonts w:ascii="Arial" w:hAnsi="Arial" w:cs="Arial"/>
          <w:color w:val="000000"/>
          <w:sz w:val="22"/>
          <w:szCs w:val="22"/>
          <w:lang w:val="es-ES_tradnl" w:eastAsia="en-US"/>
        </w:rPr>
        <w:t xml:space="preserve">; </w:t>
      </w:r>
      <w:proofErr w:type="spellStart"/>
      <w:r w:rsidR="00D1519A" w:rsidRPr="005D0C48">
        <w:rPr>
          <w:rFonts w:ascii="Arial" w:hAnsi="Arial" w:cs="Arial"/>
          <w:color w:val="000000"/>
          <w:sz w:val="22"/>
          <w:szCs w:val="22"/>
          <w:lang w:val="es-ES_tradnl" w:eastAsia="en-US"/>
        </w:rPr>
        <w:t>ii</w:t>
      </w:r>
      <w:proofErr w:type="spellEnd"/>
      <w:r w:rsidR="00D1519A" w:rsidRPr="005D0C48">
        <w:rPr>
          <w:rFonts w:ascii="Arial" w:hAnsi="Arial" w:cs="Arial"/>
          <w:color w:val="000000"/>
          <w:sz w:val="22"/>
          <w:szCs w:val="22"/>
          <w:lang w:val="es-ES_tradnl" w:eastAsia="en-US"/>
        </w:rPr>
        <w:t>) la que prevén los artículos 2</w:t>
      </w:r>
      <w:r w:rsidR="00D1519A" w:rsidRPr="005D0C48">
        <w:rPr>
          <w:rFonts w:ascii="Arial" w:hAnsi="Arial" w:cs="Arial"/>
          <w:color w:val="000000"/>
          <w:sz w:val="22"/>
          <w:szCs w:val="22"/>
          <w:vertAlign w:val="superscript"/>
          <w:lang w:val="es-ES_tradnl" w:eastAsia="en-US"/>
        </w:rPr>
        <w:footnoteReference w:id="13"/>
      </w:r>
      <w:r w:rsidR="00D1519A" w:rsidRPr="005D0C48">
        <w:rPr>
          <w:rFonts w:ascii="Arial" w:hAnsi="Arial" w:cs="Arial"/>
          <w:color w:val="000000"/>
          <w:sz w:val="22"/>
          <w:szCs w:val="22"/>
          <w:lang w:val="es-ES_tradnl" w:eastAsia="en-US"/>
        </w:rPr>
        <w:t>, 34</w:t>
      </w:r>
      <w:r w:rsidR="00D1519A" w:rsidRPr="005D0C48">
        <w:rPr>
          <w:rFonts w:ascii="Arial" w:hAnsi="Arial" w:cs="Arial"/>
          <w:color w:val="000000"/>
          <w:sz w:val="22"/>
          <w:szCs w:val="22"/>
          <w:vertAlign w:val="superscript"/>
          <w:lang w:val="es-ES_tradnl" w:eastAsia="en-US"/>
        </w:rPr>
        <w:footnoteReference w:id="14"/>
      </w:r>
      <w:r w:rsidR="00D1519A" w:rsidRPr="005D0C48">
        <w:rPr>
          <w:rFonts w:ascii="Arial" w:hAnsi="Arial" w:cs="Arial"/>
          <w:color w:val="000000"/>
          <w:sz w:val="22"/>
          <w:szCs w:val="22"/>
          <w:lang w:val="es-ES_tradnl" w:eastAsia="en-US"/>
        </w:rPr>
        <w:t xml:space="preserve"> y 47</w:t>
      </w:r>
      <w:r w:rsidR="00D1519A" w:rsidRPr="005D0C48">
        <w:rPr>
          <w:rFonts w:ascii="Arial" w:hAnsi="Arial" w:cs="Arial"/>
          <w:color w:val="000000"/>
          <w:sz w:val="22"/>
          <w:szCs w:val="22"/>
          <w:vertAlign w:val="superscript"/>
          <w:lang w:val="es-ES_tradnl" w:eastAsia="en-US"/>
        </w:rPr>
        <w:footnoteReference w:id="15"/>
      </w:r>
      <w:r w:rsidR="00D1519A" w:rsidRPr="005D0C48">
        <w:rPr>
          <w:rFonts w:ascii="Arial" w:hAnsi="Arial" w:cs="Arial"/>
          <w:color w:val="000000"/>
          <w:sz w:val="22"/>
          <w:szCs w:val="22"/>
          <w:lang w:val="es-ES_tradnl" w:eastAsia="en-US"/>
        </w:rPr>
        <w:t xml:space="preserve"> de la Ley 1437 de 2011, los cuales disponen que las normas de la primera parte del Código de Procedimiento Administrativo y de lo Contencioso Administrativo –CPACA– deben aplicarse en ausencia de lo establecido en leyes especiales; y </w:t>
      </w:r>
      <w:proofErr w:type="spellStart"/>
      <w:r w:rsidR="00D1519A" w:rsidRPr="005D0C48">
        <w:rPr>
          <w:rFonts w:ascii="Arial" w:hAnsi="Arial" w:cs="Arial"/>
          <w:color w:val="000000"/>
          <w:sz w:val="22"/>
          <w:szCs w:val="22"/>
          <w:lang w:val="es-ES_tradnl" w:eastAsia="en-US"/>
        </w:rPr>
        <w:t>iii</w:t>
      </w:r>
      <w:proofErr w:type="spellEnd"/>
      <w:r w:rsidR="00D1519A" w:rsidRPr="005D0C48">
        <w:rPr>
          <w:rFonts w:ascii="Arial" w:hAnsi="Arial" w:cs="Arial"/>
          <w:color w:val="000000"/>
          <w:sz w:val="22"/>
          <w:szCs w:val="22"/>
          <w:lang w:val="es-ES_tradnl" w:eastAsia="en-US"/>
        </w:rPr>
        <w:t>) la que establece el artículo 13 de la Ley 1150 de 2007 respecto de la aplicación de los principios de la función administrativa –artículo 209 C.P.– y de la gestión fiscal –artículo 267 C.P.–, así como del régimen de inhabilidades e incompatibilidades previsto para la contratación estatal.</w:t>
      </w:r>
    </w:p>
    <w:p w14:paraId="6BD37D18" w14:textId="251BB3EC" w:rsidR="00D1519A" w:rsidRPr="005D0C48" w:rsidRDefault="00D1519A"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lastRenderedPageBreak/>
        <w:t>En consecuencia, si el manual de contratación de la entidad de régimen especial no prevé normas –es decir, si tiene vacíos–</w:t>
      </w:r>
      <w:r w:rsidRPr="005D0C48">
        <w:rPr>
          <w:rFonts w:ascii="Arial" w:hAnsi="Arial" w:cs="Arial"/>
          <w:color w:val="000000"/>
          <w:sz w:val="22"/>
          <w:szCs w:val="22"/>
          <w:vertAlign w:val="superscript"/>
          <w:lang w:val="es-ES_tradnl" w:eastAsia="en-US"/>
        </w:rPr>
        <w:footnoteReference w:id="16"/>
      </w:r>
      <w:r w:rsidRPr="005D0C48">
        <w:rPr>
          <w:rFonts w:ascii="Arial" w:hAnsi="Arial" w:cs="Arial"/>
          <w:color w:val="000000"/>
          <w:sz w:val="22"/>
          <w:szCs w:val="22"/>
          <w:lang w:val="es-ES_tradnl" w:eastAsia="en-US"/>
        </w:rPr>
        <w:t xml:space="preserve"> sobre: i) los elementos de existencia y validez del contrato, </w:t>
      </w:r>
      <w:proofErr w:type="spellStart"/>
      <w:r w:rsidRPr="005D0C48">
        <w:rPr>
          <w:rFonts w:ascii="Arial" w:hAnsi="Arial" w:cs="Arial"/>
          <w:color w:val="000000"/>
          <w:sz w:val="22"/>
          <w:szCs w:val="22"/>
          <w:lang w:val="es-ES_tradnl" w:eastAsia="en-US"/>
        </w:rPr>
        <w:t>ii</w:t>
      </w:r>
      <w:proofErr w:type="spellEnd"/>
      <w:r w:rsidRPr="005D0C48">
        <w:rPr>
          <w:rFonts w:ascii="Arial" w:hAnsi="Arial" w:cs="Arial"/>
          <w:color w:val="000000"/>
          <w:sz w:val="22"/>
          <w:szCs w:val="22"/>
          <w:lang w:val="es-ES_tradnl" w:eastAsia="en-US"/>
        </w:rPr>
        <w:t xml:space="preserve">) los vicios que pueden generar su anulación, </w:t>
      </w:r>
      <w:proofErr w:type="spellStart"/>
      <w:r w:rsidRPr="005D0C48">
        <w:rPr>
          <w:rFonts w:ascii="Arial" w:hAnsi="Arial" w:cs="Arial"/>
          <w:color w:val="000000"/>
          <w:sz w:val="22"/>
          <w:szCs w:val="22"/>
          <w:lang w:val="es-ES_tradnl" w:eastAsia="en-US"/>
        </w:rPr>
        <w:t>iii</w:t>
      </w:r>
      <w:proofErr w:type="spellEnd"/>
      <w:r w:rsidRPr="005D0C48">
        <w:rPr>
          <w:rFonts w:ascii="Arial" w:hAnsi="Arial" w:cs="Arial"/>
          <w:color w:val="000000"/>
          <w:sz w:val="22"/>
          <w:szCs w:val="22"/>
          <w:lang w:val="es-ES_tradnl" w:eastAsia="en-US"/>
        </w:rPr>
        <w:t xml:space="preserve">) la tipología de los negocios jurídicos, </w:t>
      </w:r>
      <w:proofErr w:type="spellStart"/>
      <w:r w:rsidRPr="005D0C48">
        <w:rPr>
          <w:rFonts w:ascii="Arial" w:hAnsi="Arial" w:cs="Arial"/>
          <w:color w:val="000000"/>
          <w:sz w:val="22"/>
          <w:szCs w:val="22"/>
          <w:lang w:val="es-ES_tradnl" w:eastAsia="en-US"/>
        </w:rPr>
        <w:t>iv</w:t>
      </w:r>
      <w:proofErr w:type="spellEnd"/>
      <w:r w:rsidRPr="005D0C48">
        <w:rPr>
          <w:rFonts w:ascii="Arial" w:hAnsi="Arial" w:cs="Arial"/>
          <w:color w:val="000000"/>
          <w:sz w:val="22"/>
          <w:szCs w:val="22"/>
          <w:lang w:val="es-ES_tradnl" w:eastAsia="en-US"/>
        </w:rPr>
        <w:t xml:space="preserve">) los criterios de interpretación de las estipulaciones contractuales, v) el concepto y los requisitos de la oferta, vi) las formas de extinción de las obligaciones, </w:t>
      </w:r>
      <w:proofErr w:type="spellStart"/>
      <w:r w:rsidRPr="005D0C48">
        <w:rPr>
          <w:rFonts w:ascii="Arial" w:hAnsi="Arial" w:cs="Arial"/>
          <w:color w:val="000000"/>
          <w:sz w:val="22"/>
          <w:szCs w:val="22"/>
          <w:lang w:val="es-ES_tradnl" w:eastAsia="en-US"/>
        </w:rPr>
        <w:t>vii</w:t>
      </w:r>
      <w:proofErr w:type="spellEnd"/>
      <w:r w:rsidRPr="005D0C48">
        <w:rPr>
          <w:rFonts w:ascii="Arial" w:hAnsi="Arial" w:cs="Arial"/>
          <w:color w:val="000000"/>
          <w:sz w:val="22"/>
          <w:szCs w:val="22"/>
          <w:lang w:val="es-ES_tradnl" w:eastAsia="en-US"/>
        </w:rPr>
        <w:t>) la responsabilidad contractual, y otras materias similares relacionadas con el régimen sustantivo del contrato, la ausencia de tales disposiciones en el reglamento interno de contratación de la entidad exceptuada debe suplirse con las normas del Código Civil y del Código de Comercio</w:t>
      </w:r>
      <w:r w:rsidRPr="005D0C48">
        <w:rPr>
          <w:rFonts w:ascii="Arial" w:hAnsi="Arial" w:cs="Arial"/>
          <w:color w:val="000000"/>
          <w:sz w:val="22"/>
          <w:szCs w:val="22"/>
          <w:vertAlign w:val="superscript"/>
          <w:lang w:val="es-ES_tradnl" w:eastAsia="en-US"/>
        </w:rPr>
        <w:footnoteReference w:id="17"/>
      </w:r>
      <w:r w:rsidRPr="005D0C48">
        <w:rPr>
          <w:rFonts w:ascii="Arial" w:hAnsi="Arial" w:cs="Arial"/>
          <w:color w:val="000000"/>
          <w:sz w:val="22"/>
          <w:szCs w:val="22"/>
          <w:lang w:val="es-ES_tradnl" w:eastAsia="en-US"/>
        </w:rPr>
        <w:t>, con la costumbre mercantil</w:t>
      </w:r>
      <w:r w:rsidRPr="005D0C48">
        <w:rPr>
          <w:rFonts w:ascii="Arial" w:hAnsi="Arial" w:cs="Arial"/>
          <w:color w:val="000000"/>
          <w:sz w:val="22"/>
          <w:szCs w:val="22"/>
          <w:vertAlign w:val="superscript"/>
          <w:lang w:val="es-ES_tradnl" w:eastAsia="en-US"/>
        </w:rPr>
        <w:footnoteReference w:id="18"/>
      </w:r>
      <w:r w:rsidRPr="005D0C48">
        <w:rPr>
          <w:rFonts w:ascii="Arial" w:hAnsi="Arial" w:cs="Arial"/>
          <w:color w:val="000000"/>
          <w:sz w:val="22"/>
          <w:szCs w:val="22"/>
          <w:lang w:val="es-ES_tradnl" w:eastAsia="en-US"/>
        </w:rPr>
        <w:t xml:space="preserve"> y con los principios generales que rigen las relaciones contractuales de los particulares, que ingresan dentro de la categoría de la </w:t>
      </w:r>
      <w:r w:rsidRPr="005D0C48">
        <w:rPr>
          <w:rFonts w:ascii="Arial" w:hAnsi="Arial" w:cs="Arial"/>
          <w:i/>
          <w:color w:val="000000"/>
          <w:sz w:val="22"/>
          <w:szCs w:val="22"/>
          <w:lang w:val="es-ES_tradnl" w:eastAsia="en-US"/>
        </w:rPr>
        <w:t xml:space="preserve">lex </w:t>
      </w:r>
      <w:proofErr w:type="spellStart"/>
      <w:r w:rsidRPr="005D0C48">
        <w:rPr>
          <w:rFonts w:ascii="Arial" w:hAnsi="Arial" w:cs="Arial"/>
          <w:i/>
          <w:color w:val="000000"/>
          <w:sz w:val="22"/>
          <w:szCs w:val="22"/>
          <w:lang w:val="es-ES_tradnl" w:eastAsia="en-US"/>
        </w:rPr>
        <w:t>mercatoria</w:t>
      </w:r>
      <w:proofErr w:type="spellEnd"/>
      <w:r w:rsidRPr="005D0C48">
        <w:rPr>
          <w:rFonts w:ascii="Arial" w:hAnsi="Arial" w:cs="Arial"/>
          <w:color w:val="000000"/>
          <w:sz w:val="22"/>
          <w:szCs w:val="22"/>
          <w:vertAlign w:val="superscript"/>
          <w:lang w:val="es-ES_tradnl" w:eastAsia="en-US"/>
        </w:rPr>
        <w:footnoteReference w:id="19"/>
      </w:r>
      <w:r w:rsidRPr="005D0C48">
        <w:rPr>
          <w:rFonts w:ascii="Arial" w:hAnsi="Arial" w:cs="Arial"/>
          <w:color w:val="000000"/>
          <w:sz w:val="22"/>
          <w:szCs w:val="22"/>
          <w:lang w:val="es-ES_tradnl" w:eastAsia="en-US"/>
        </w:rPr>
        <w:t>.</w:t>
      </w:r>
    </w:p>
    <w:p w14:paraId="2B72E96C" w14:textId="119A489D" w:rsidR="00D1519A" w:rsidRPr="005D0C48" w:rsidRDefault="00D1519A"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Por el contrario, si el vacío del manual de contratación tiene que ver con asuntos asociados al procedimiento administrativo, como: i) la forma de iniciar la actuación administrativa, </w:t>
      </w:r>
      <w:proofErr w:type="spellStart"/>
      <w:r w:rsidRPr="005D0C48">
        <w:rPr>
          <w:rFonts w:ascii="Arial" w:hAnsi="Arial" w:cs="Arial"/>
          <w:color w:val="000000"/>
          <w:sz w:val="22"/>
          <w:szCs w:val="22"/>
          <w:lang w:val="es-ES_tradnl" w:eastAsia="en-US"/>
        </w:rPr>
        <w:t>ii</w:t>
      </w:r>
      <w:proofErr w:type="spellEnd"/>
      <w:r w:rsidRPr="005D0C48">
        <w:rPr>
          <w:rFonts w:ascii="Arial" w:hAnsi="Arial" w:cs="Arial"/>
          <w:color w:val="000000"/>
          <w:sz w:val="22"/>
          <w:szCs w:val="22"/>
          <w:lang w:val="es-ES_tradnl" w:eastAsia="en-US"/>
        </w:rPr>
        <w:t xml:space="preserve">) los derechos y deberes de las entidades y de los particulares en los procedimientos administrativos, </w:t>
      </w:r>
      <w:proofErr w:type="spellStart"/>
      <w:r w:rsidRPr="005D0C48">
        <w:rPr>
          <w:rFonts w:ascii="Arial" w:hAnsi="Arial" w:cs="Arial"/>
          <w:color w:val="000000"/>
          <w:sz w:val="22"/>
          <w:szCs w:val="22"/>
          <w:lang w:val="es-ES_tradnl" w:eastAsia="en-US"/>
        </w:rPr>
        <w:t>iii</w:t>
      </w:r>
      <w:proofErr w:type="spellEnd"/>
      <w:r w:rsidRPr="005D0C48">
        <w:rPr>
          <w:rFonts w:ascii="Arial" w:hAnsi="Arial" w:cs="Arial"/>
          <w:color w:val="000000"/>
          <w:sz w:val="22"/>
          <w:szCs w:val="22"/>
          <w:lang w:val="es-ES_tradnl" w:eastAsia="en-US"/>
        </w:rPr>
        <w:t xml:space="preserve">) el trámite de las peticiones, </w:t>
      </w:r>
      <w:proofErr w:type="spellStart"/>
      <w:r w:rsidRPr="005D0C48">
        <w:rPr>
          <w:rFonts w:ascii="Arial" w:hAnsi="Arial" w:cs="Arial"/>
          <w:color w:val="000000"/>
          <w:sz w:val="22"/>
          <w:szCs w:val="22"/>
          <w:lang w:val="es-ES_tradnl" w:eastAsia="en-US"/>
        </w:rPr>
        <w:t>iv</w:t>
      </w:r>
      <w:proofErr w:type="spellEnd"/>
      <w:r w:rsidRPr="005D0C48">
        <w:rPr>
          <w:rFonts w:ascii="Arial" w:hAnsi="Arial" w:cs="Arial"/>
          <w:color w:val="000000"/>
          <w:sz w:val="22"/>
          <w:szCs w:val="22"/>
          <w:lang w:val="es-ES_tradnl" w:eastAsia="en-US"/>
        </w:rPr>
        <w:t>) la notificación, comunicación o publicación de los actos administrativos, v) la presunción de legalidad, firmeza y ejecutoriedad de los actos administrativos, vi) los recursos contra los actos administrativos, etc. –asuntos que, como se dijo, gozan de reserva de ley–, la entidad de régimen especial debe aplicar el principio de subsidiariedad previsto en los artículos 2, 34 y 47 de la Ley 1437 de 2011; o sea, debe llenar tales lagunas con las normas de la primera parte del CPACA.</w:t>
      </w:r>
    </w:p>
    <w:p w14:paraId="727196B1" w14:textId="4EA2C5E3" w:rsidR="00D1519A" w:rsidRPr="005D0C48" w:rsidRDefault="00D1519A"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De otro lado, si lo que en el manual falta –precisamente porque está reservado a la ley– son normas que regulen las inhabilidades e incompatibilidades, en este caso sí se debe acudir a las disposiciones que las consagran y que establecen sus consecuencias, tanto en el Estatuto General de Contratación de la Administración Pública, como en leyes complementarias.  </w:t>
      </w:r>
    </w:p>
    <w:p w14:paraId="39DDAFA4" w14:textId="3EDF4A77" w:rsidR="00C830CE" w:rsidRPr="005D0C48" w:rsidRDefault="00D1519A"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En síntesis, los vacíos de los manuales de contratación de las entidades con régimen especial no siempre se llenan de la misma manera, pues ello depende de las materias sobre las cuales exista ausencia de regulación en dicho reglamento interno. </w:t>
      </w:r>
      <w:r w:rsidR="00642E4A">
        <w:rPr>
          <w:rFonts w:ascii="Arial" w:hAnsi="Arial" w:cs="Arial"/>
          <w:color w:val="000000" w:themeColor="text1"/>
          <w:sz w:val="22"/>
          <w:lang w:val="es-ES_tradnl"/>
        </w:rPr>
        <w:t xml:space="preserve">En tal sentido, sin perjuicio del deber de cumplir ciertas obligaciones </w:t>
      </w:r>
      <w:r w:rsidR="00642E4A" w:rsidRPr="00213052">
        <w:rPr>
          <w:rFonts w:ascii="Arial" w:hAnsi="Arial" w:cs="Arial"/>
          <w:color w:val="000000" w:themeColor="text1"/>
          <w:sz w:val="22"/>
          <w:lang w:val="es-ES_tradnl"/>
        </w:rPr>
        <w:t>transversales a la contratación pública</w:t>
      </w:r>
      <w:r w:rsidR="00642E4A">
        <w:rPr>
          <w:rFonts w:ascii="Arial" w:hAnsi="Arial" w:cs="Arial"/>
          <w:color w:val="000000" w:themeColor="text1"/>
          <w:sz w:val="22"/>
          <w:lang w:val="es-ES_tradnl"/>
        </w:rPr>
        <w:t xml:space="preserve">, </w:t>
      </w:r>
      <w:r w:rsidR="00642E4A">
        <w:rPr>
          <w:rFonts w:ascii="Arial" w:hAnsi="Arial" w:cs="Arial"/>
          <w:color w:val="000000"/>
          <w:sz w:val="22"/>
          <w:szCs w:val="22"/>
          <w:lang w:val="es-ES_tradnl" w:eastAsia="en-US"/>
        </w:rPr>
        <w:t>l</w:t>
      </w:r>
      <w:r w:rsidRPr="005D0C48">
        <w:rPr>
          <w:rFonts w:ascii="Arial" w:hAnsi="Arial" w:cs="Arial"/>
          <w:color w:val="000000"/>
          <w:sz w:val="22"/>
          <w:szCs w:val="22"/>
          <w:lang w:val="es-ES_tradnl" w:eastAsia="en-US"/>
        </w:rPr>
        <w:t xml:space="preserve">os vacíos en los aspectos sustantivos y en la regulación del contrato se deben llenar con las normas civiles y comerciales, según el caso; los que tengan que ver </w:t>
      </w:r>
      <w:r w:rsidRPr="005D0C48">
        <w:rPr>
          <w:rFonts w:ascii="Arial" w:hAnsi="Arial" w:cs="Arial"/>
          <w:color w:val="000000"/>
          <w:sz w:val="22"/>
          <w:szCs w:val="22"/>
          <w:lang w:val="es-ES_tradnl" w:eastAsia="en-US"/>
        </w:rPr>
        <w:lastRenderedPageBreak/>
        <w:t xml:space="preserve">con asuntos relacionados con el procedimiento administrativo se deben integrar con las normas de la primera parte del CPACA; los relacionados con las normas sobre inhabilidades e incompatibilidades, con las disposiciones que las regulen, contenidas bien sea en el Estatuto General de Contratación de la Administración Pública o en leyes complementarias. </w:t>
      </w:r>
    </w:p>
    <w:p w14:paraId="0AAF08ED" w14:textId="6934889C" w:rsidR="00D1519A" w:rsidRPr="005D0C48" w:rsidRDefault="00D1519A" w:rsidP="001B50C4">
      <w:pPr>
        <w:spacing w:after="120"/>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Finalmente, pero no por ello menos importante, los vacíos en la definición o alcance de los principios de la función administrativa y de la gestión fiscal –a los que aluden los artículos 209 y 267 de la Constitución– deben llenarse con una interpretación integral de la </w:t>
      </w:r>
      <w:r w:rsidR="00D536F8" w:rsidRPr="005D0C48">
        <w:rPr>
          <w:rFonts w:ascii="Arial" w:hAnsi="Arial" w:cs="Arial"/>
          <w:color w:val="000000"/>
          <w:sz w:val="22"/>
          <w:szCs w:val="22"/>
          <w:lang w:val="es-ES_tradnl" w:eastAsia="en-US"/>
        </w:rPr>
        <w:t>C</w:t>
      </w:r>
      <w:r w:rsidRPr="005D0C48">
        <w:rPr>
          <w:rFonts w:ascii="Arial" w:hAnsi="Arial" w:cs="Arial"/>
          <w:color w:val="000000"/>
          <w:sz w:val="22"/>
          <w:szCs w:val="22"/>
          <w:lang w:val="es-ES_tradnl" w:eastAsia="en-US"/>
        </w:rPr>
        <w:t xml:space="preserve">arta </w:t>
      </w:r>
      <w:r w:rsidR="00D536F8" w:rsidRPr="005D0C48">
        <w:rPr>
          <w:rFonts w:ascii="Arial" w:hAnsi="Arial" w:cs="Arial"/>
          <w:color w:val="000000"/>
          <w:sz w:val="22"/>
          <w:szCs w:val="22"/>
          <w:lang w:val="es-ES_tradnl" w:eastAsia="en-US"/>
        </w:rPr>
        <w:t>P</w:t>
      </w:r>
      <w:r w:rsidRPr="005D0C48">
        <w:rPr>
          <w:rFonts w:ascii="Arial" w:hAnsi="Arial" w:cs="Arial"/>
          <w:color w:val="000000"/>
          <w:sz w:val="22"/>
          <w:szCs w:val="22"/>
          <w:lang w:val="es-ES_tradnl" w:eastAsia="en-US"/>
        </w:rPr>
        <w:t xml:space="preserve">olítica, así como con la jurisprudencia constitucional que exista sobre la materia, emanada de la Corte Constitucional o del Consejo de Estado –cuando actúe como tribunal constitucional–. </w:t>
      </w:r>
    </w:p>
    <w:p w14:paraId="0DA1A683" w14:textId="70D62878" w:rsidR="00C830CE" w:rsidRPr="001B50C4" w:rsidRDefault="00C830CE" w:rsidP="001B50C4">
      <w:pPr>
        <w:ind w:firstLine="709"/>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ab/>
        <w:t>En el caso de la entidades financieras estatales, conforme al tenor literal del parágrafo primero del artículo 15 de la Ley 1150 de 2007</w:t>
      </w:r>
      <w:r w:rsidR="003A514F" w:rsidRPr="001B50C4">
        <w:footnoteReference w:id="20"/>
      </w:r>
      <w:r w:rsidRPr="005D0C48">
        <w:rPr>
          <w:rFonts w:ascii="Arial" w:hAnsi="Arial" w:cs="Arial"/>
          <w:color w:val="000000"/>
          <w:sz w:val="22"/>
          <w:szCs w:val="22"/>
          <w:lang w:val="es-ES_tradnl" w:eastAsia="en-US"/>
        </w:rPr>
        <w:t>, por el cual se modificó el artículo 32 de la Ley 8</w:t>
      </w:r>
      <w:r w:rsidR="003A514F" w:rsidRPr="005D0C48">
        <w:rPr>
          <w:rFonts w:ascii="Arial" w:hAnsi="Arial" w:cs="Arial"/>
          <w:color w:val="000000"/>
          <w:sz w:val="22"/>
          <w:szCs w:val="22"/>
          <w:lang w:val="es-ES_tradnl" w:eastAsia="en-US"/>
        </w:rPr>
        <w:t>0</w:t>
      </w:r>
      <w:r w:rsidRPr="005D0C48">
        <w:rPr>
          <w:rFonts w:ascii="Arial" w:hAnsi="Arial" w:cs="Arial"/>
          <w:color w:val="000000"/>
          <w:sz w:val="22"/>
          <w:szCs w:val="22"/>
          <w:lang w:val="es-ES_tradnl" w:eastAsia="en-US"/>
        </w:rPr>
        <w:t xml:space="preserve"> de 1993, el régimen legal que rige su contratación está definido en las disposiciones legales y reglamentarias que </w:t>
      </w:r>
      <w:r w:rsidR="009565CE">
        <w:rPr>
          <w:rFonts w:ascii="Arial" w:hAnsi="Arial" w:cs="Arial"/>
          <w:color w:val="000000"/>
          <w:sz w:val="22"/>
          <w:szCs w:val="22"/>
          <w:lang w:val="es-ES_tradnl" w:eastAsia="en-US"/>
        </w:rPr>
        <w:t xml:space="preserve">regulan </w:t>
      </w:r>
      <w:r w:rsidRPr="005D0C48">
        <w:rPr>
          <w:rFonts w:ascii="Arial" w:hAnsi="Arial" w:cs="Arial"/>
          <w:color w:val="000000"/>
          <w:sz w:val="22"/>
          <w:szCs w:val="22"/>
          <w:lang w:val="es-ES_tradnl" w:eastAsia="en-US"/>
        </w:rPr>
        <w:t>las actividades financieras</w:t>
      </w:r>
      <w:r w:rsidR="002160DF">
        <w:rPr>
          <w:rFonts w:ascii="Arial" w:hAnsi="Arial" w:cs="Arial"/>
          <w:color w:val="000000"/>
          <w:sz w:val="22"/>
          <w:szCs w:val="22"/>
          <w:lang w:val="es-ES_tradnl" w:eastAsia="en-US"/>
        </w:rPr>
        <w:t xml:space="preserve">, bursátil </w:t>
      </w:r>
      <w:r w:rsidRPr="005D0C48">
        <w:rPr>
          <w:rFonts w:ascii="Arial" w:hAnsi="Arial" w:cs="Arial"/>
          <w:color w:val="000000"/>
          <w:sz w:val="22"/>
          <w:szCs w:val="22"/>
          <w:lang w:val="es-ES_tradnl" w:eastAsia="en-US"/>
        </w:rPr>
        <w:t xml:space="preserve">y </w:t>
      </w:r>
      <w:r w:rsidR="002160DF">
        <w:rPr>
          <w:rFonts w:ascii="Arial" w:hAnsi="Arial" w:cs="Arial"/>
          <w:color w:val="000000"/>
          <w:sz w:val="22"/>
          <w:szCs w:val="22"/>
          <w:lang w:val="es-ES_tradnl" w:eastAsia="en-US"/>
        </w:rPr>
        <w:t>aseguradora</w:t>
      </w:r>
      <w:r w:rsidR="009565CE">
        <w:rPr>
          <w:rFonts w:ascii="Arial" w:hAnsi="Arial" w:cs="Arial"/>
          <w:color w:val="000000"/>
          <w:sz w:val="22"/>
          <w:szCs w:val="22"/>
          <w:lang w:val="es-ES_tradnl" w:eastAsia="en-US"/>
        </w:rPr>
        <w:t xml:space="preserve"> y, además, deben aplicar</w:t>
      </w:r>
      <w:r w:rsidRPr="005D0C48">
        <w:rPr>
          <w:rFonts w:ascii="Arial" w:hAnsi="Arial" w:cs="Arial"/>
          <w:color w:val="000000"/>
          <w:sz w:val="22"/>
          <w:szCs w:val="22"/>
          <w:lang w:val="es-ES_tradnl" w:eastAsia="en-US"/>
        </w:rPr>
        <w:t xml:space="preserve"> </w:t>
      </w:r>
      <w:r w:rsidRPr="001B50C4">
        <w:rPr>
          <w:rFonts w:ascii="Arial" w:hAnsi="Arial" w:cs="Arial"/>
          <w:color w:val="000000"/>
          <w:sz w:val="22"/>
          <w:szCs w:val="22"/>
          <w:lang w:val="es-ES_tradnl" w:eastAsia="en-US"/>
        </w:rPr>
        <w:t>los principios de la función administrativa y de la gestión fiscal de que tratan los artículos </w:t>
      </w:r>
      <w:r w:rsidR="00642E4A" w:rsidRPr="001B50C4">
        <w:rPr>
          <w:color w:val="000000"/>
          <w:lang w:val="es-ES_tradnl"/>
        </w:rPr>
        <w:t>209</w:t>
      </w:r>
      <w:r w:rsidRPr="001B50C4">
        <w:rPr>
          <w:rFonts w:ascii="Arial" w:hAnsi="Arial" w:cs="Arial"/>
          <w:color w:val="000000"/>
          <w:sz w:val="22"/>
          <w:szCs w:val="22"/>
          <w:lang w:val="es-ES_tradnl" w:eastAsia="en-US"/>
        </w:rPr>
        <w:t> y </w:t>
      </w:r>
      <w:r w:rsidR="00642E4A" w:rsidRPr="001B50C4">
        <w:rPr>
          <w:color w:val="000000"/>
          <w:lang w:val="es-ES_tradnl"/>
        </w:rPr>
        <w:t>267</w:t>
      </w:r>
      <w:r w:rsidRPr="001B50C4">
        <w:rPr>
          <w:rFonts w:ascii="Arial" w:hAnsi="Arial" w:cs="Arial"/>
          <w:color w:val="000000"/>
          <w:sz w:val="22"/>
          <w:szCs w:val="22"/>
          <w:lang w:val="es-ES_tradnl" w:eastAsia="en-US"/>
        </w:rPr>
        <w:t> de</w:t>
      </w:r>
      <w:r w:rsidR="00F92759" w:rsidRPr="001B50C4">
        <w:rPr>
          <w:rFonts w:ascii="Arial" w:hAnsi="Arial" w:cs="Arial"/>
          <w:color w:val="000000"/>
          <w:sz w:val="22"/>
          <w:szCs w:val="22"/>
          <w:lang w:val="es-ES_tradnl" w:eastAsia="en-US"/>
        </w:rPr>
        <w:t xml:space="preserve"> </w:t>
      </w:r>
      <w:r w:rsidRPr="001B50C4">
        <w:rPr>
          <w:rFonts w:ascii="Arial" w:hAnsi="Arial" w:cs="Arial"/>
          <w:color w:val="000000"/>
          <w:sz w:val="22"/>
          <w:szCs w:val="22"/>
          <w:lang w:val="es-ES_tradnl" w:eastAsia="en-US"/>
        </w:rPr>
        <w:t>la Constitución Política,</w:t>
      </w:r>
      <w:r w:rsidR="009565CE" w:rsidRPr="001B50C4">
        <w:rPr>
          <w:rFonts w:ascii="Arial" w:hAnsi="Arial" w:cs="Arial"/>
          <w:color w:val="000000"/>
          <w:sz w:val="22"/>
          <w:szCs w:val="22"/>
          <w:lang w:val="es-ES_tradnl" w:eastAsia="en-US"/>
        </w:rPr>
        <w:t xml:space="preserve"> así como el régimen de inhabilidades e incompatibilidades previstos en la Ley 80 de 1993 y normas complementarias</w:t>
      </w:r>
      <w:r w:rsidR="00F92759" w:rsidRPr="001B50C4">
        <w:rPr>
          <w:rFonts w:ascii="Arial" w:hAnsi="Arial" w:cs="Arial"/>
          <w:color w:val="000000"/>
          <w:sz w:val="22"/>
          <w:szCs w:val="22"/>
          <w:lang w:val="es-ES_tradnl" w:eastAsia="en-US"/>
        </w:rPr>
        <w:t>,</w:t>
      </w:r>
      <w:r w:rsidRPr="001B50C4">
        <w:rPr>
          <w:rFonts w:ascii="Arial" w:hAnsi="Arial" w:cs="Arial"/>
          <w:color w:val="000000"/>
          <w:sz w:val="22"/>
          <w:szCs w:val="22"/>
          <w:lang w:val="es-ES_tradnl" w:eastAsia="en-US"/>
        </w:rPr>
        <w:t xml:space="preserve"> por expresa remisión del artículo 13 de la Ley 1150 de 2007</w:t>
      </w:r>
      <w:r w:rsidR="002160DF" w:rsidRPr="001B50C4">
        <w:rPr>
          <w:rFonts w:ascii="Arial" w:hAnsi="Arial" w:cs="Arial"/>
          <w:color w:val="000000"/>
          <w:sz w:val="22"/>
          <w:szCs w:val="22"/>
          <w:lang w:val="es-ES_tradnl" w:eastAsia="en-US"/>
        </w:rPr>
        <w:t>.</w:t>
      </w:r>
      <w:r w:rsidR="008A0B81" w:rsidRPr="001B50C4">
        <w:rPr>
          <w:rFonts w:ascii="Arial" w:hAnsi="Arial" w:cs="Arial"/>
          <w:color w:val="000000"/>
          <w:sz w:val="22"/>
          <w:szCs w:val="22"/>
          <w:lang w:val="es-ES_tradnl" w:eastAsia="en-US"/>
        </w:rPr>
        <w:t xml:space="preserve"> En tal virtud, dicha entidades </w:t>
      </w:r>
      <w:r w:rsidRPr="001B50C4">
        <w:rPr>
          <w:rFonts w:ascii="Arial" w:hAnsi="Arial" w:cs="Arial"/>
          <w:color w:val="000000"/>
          <w:sz w:val="22"/>
          <w:szCs w:val="22"/>
          <w:lang w:val="es-ES_tradnl" w:eastAsia="en-US"/>
        </w:rPr>
        <w:t xml:space="preserve">deberán someterse </w:t>
      </w:r>
      <w:r w:rsidR="009565CE" w:rsidRPr="001B50C4">
        <w:rPr>
          <w:rFonts w:ascii="Arial" w:hAnsi="Arial" w:cs="Arial"/>
          <w:color w:val="000000"/>
          <w:sz w:val="22"/>
          <w:szCs w:val="22"/>
          <w:lang w:val="es-ES_tradnl" w:eastAsia="en-US"/>
        </w:rPr>
        <w:t>a</w:t>
      </w:r>
      <w:r w:rsidRPr="001B50C4">
        <w:rPr>
          <w:rFonts w:ascii="Arial" w:hAnsi="Arial" w:cs="Arial"/>
          <w:color w:val="000000"/>
          <w:sz w:val="22"/>
          <w:szCs w:val="22"/>
          <w:lang w:val="es-ES_tradnl" w:eastAsia="en-US"/>
        </w:rPr>
        <w:t xml:space="preserve"> tales disposiciones y a la regulación especial que de estas efectúe su respectivo manual de contratación</w:t>
      </w:r>
      <w:r w:rsidR="008472D0" w:rsidRPr="001B50C4">
        <w:rPr>
          <w:rFonts w:ascii="Arial" w:hAnsi="Arial" w:cs="Arial"/>
          <w:color w:val="000000"/>
          <w:sz w:val="22"/>
          <w:szCs w:val="22"/>
          <w:lang w:val="es-ES_tradnl" w:eastAsia="en-US"/>
        </w:rPr>
        <w:t xml:space="preserve">, </w:t>
      </w:r>
      <w:r w:rsidR="00642E4A" w:rsidRPr="001B50C4">
        <w:rPr>
          <w:rFonts w:ascii="Arial" w:hAnsi="Arial" w:cs="Arial"/>
          <w:color w:val="000000"/>
          <w:sz w:val="22"/>
          <w:szCs w:val="22"/>
          <w:lang w:val="es-ES_tradnl" w:eastAsia="en-US"/>
        </w:rPr>
        <w:t>sin perjuicio de acudir residualmente a las disposiciones civiles y comerciales.</w:t>
      </w:r>
    </w:p>
    <w:p w14:paraId="5098F696" w14:textId="3CB16A45" w:rsidR="00972B91" w:rsidRPr="005D0C48" w:rsidRDefault="009805DC" w:rsidP="00AA1B5C">
      <w:pPr>
        <w:rPr>
          <w:rFonts w:ascii="Arial" w:hAnsi="Arial" w:cs="Arial"/>
          <w:color w:val="000000"/>
          <w:sz w:val="22"/>
          <w:szCs w:val="22"/>
          <w:lang w:val="es-ES_tradnl" w:eastAsia="en-US"/>
        </w:rPr>
      </w:pPr>
      <w:r w:rsidRPr="005D0C48">
        <w:rPr>
          <w:rFonts w:ascii="Arial" w:hAnsi="Arial" w:cs="Arial"/>
          <w:color w:val="000000"/>
          <w:sz w:val="22"/>
          <w:szCs w:val="22"/>
          <w:lang w:val="es-ES_tradnl" w:eastAsia="en-US"/>
        </w:rPr>
        <w:t xml:space="preserve"> </w:t>
      </w:r>
    </w:p>
    <w:bookmarkEnd w:id="4"/>
    <w:p w14:paraId="734FFAC2" w14:textId="45D7C942" w:rsidR="00871181" w:rsidRPr="006A06F2" w:rsidRDefault="00671825" w:rsidP="00AA1B5C">
      <w:pPr>
        <w:tabs>
          <w:tab w:val="left" w:pos="284"/>
        </w:tabs>
        <w:rPr>
          <w:rFonts w:ascii="Arial" w:eastAsia="Arial" w:hAnsi="Arial" w:cs="Arial"/>
          <w:b/>
          <w:color w:val="000000"/>
          <w:sz w:val="22"/>
          <w:szCs w:val="22"/>
        </w:rPr>
      </w:pPr>
      <w:r>
        <w:rPr>
          <w:rFonts w:ascii="Arial" w:eastAsia="Arial" w:hAnsi="Arial" w:cs="Arial"/>
          <w:b/>
          <w:color w:val="000000"/>
          <w:sz w:val="22"/>
          <w:szCs w:val="22"/>
        </w:rPr>
        <w:t>3</w:t>
      </w:r>
      <w:r w:rsidR="003E3EF7" w:rsidRPr="006A06F2">
        <w:rPr>
          <w:rFonts w:ascii="Arial" w:eastAsia="Arial" w:hAnsi="Arial" w:cs="Arial"/>
          <w:b/>
          <w:color w:val="000000"/>
          <w:sz w:val="22"/>
          <w:szCs w:val="22"/>
        </w:rPr>
        <w:t>. Respuesta</w:t>
      </w:r>
    </w:p>
    <w:p w14:paraId="5E53C9EE" w14:textId="3D929137" w:rsidR="00871181" w:rsidRDefault="00871181" w:rsidP="00AA1B5C">
      <w:pPr>
        <w:tabs>
          <w:tab w:val="left" w:pos="284"/>
        </w:tabs>
        <w:rPr>
          <w:rFonts w:ascii="Arial" w:eastAsia="Arial" w:hAnsi="Arial" w:cs="Arial"/>
          <w:b/>
          <w:color w:val="000000"/>
          <w:sz w:val="22"/>
          <w:szCs w:val="22"/>
        </w:rPr>
      </w:pPr>
    </w:p>
    <w:p w14:paraId="3AD9D109" w14:textId="16B4F455" w:rsidR="00897E75" w:rsidRDefault="00897E75" w:rsidP="00AA1B5C">
      <w:pPr>
        <w:tabs>
          <w:tab w:val="left" w:pos="284"/>
        </w:tabs>
        <w:rPr>
          <w:rFonts w:ascii="Arial" w:eastAsia="Arial" w:hAnsi="Arial" w:cs="Arial"/>
          <w:color w:val="000000"/>
          <w:sz w:val="22"/>
          <w:szCs w:val="22"/>
        </w:rPr>
      </w:pPr>
      <w:r>
        <w:rPr>
          <w:rFonts w:ascii="Arial" w:eastAsia="Arial" w:hAnsi="Arial" w:cs="Arial"/>
          <w:color w:val="000000"/>
          <w:sz w:val="22"/>
          <w:szCs w:val="22"/>
        </w:rPr>
        <w:t>Dado que son varias las preguntas formuladas en la consulta, a continuación, se responderá cada de una de éstas de forma separada, con fundamento en las consideraciones expuestas en los párrafos precedentes:</w:t>
      </w:r>
    </w:p>
    <w:p w14:paraId="47996DF3" w14:textId="5A125013" w:rsidR="00897E75" w:rsidRDefault="00897E75" w:rsidP="00AA1B5C">
      <w:pPr>
        <w:ind w:left="709" w:right="709"/>
        <w:rPr>
          <w:rFonts w:ascii="Arial" w:eastAsia="Arial" w:hAnsi="Arial" w:cs="Arial"/>
          <w:color w:val="000000"/>
          <w:sz w:val="21"/>
          <w:szCs w:val="21"/>
        </w:rPr>
      </w:pPr>
    </w:p>
    <w:p w14:paraId="77A99EB5" w14:textId="7FEDEF00" w:rsidR="00671825" w:rsidRPr="00671825" w:rsidRDefault="00BF011A" w:rsidP="001B50C4">
      <w:pPr>
        <w:ind w:left="709" w:right="709"/>
        <w:rPr>
          <w:rFonts w:ascii="Arial" w:eastAsia="Arial" w:hAnsi="Arial" w:cs="Arial"/>
          <w:bCs/>
          <w:color w:val="000000"/>
          <w:sz w:val="21"/>
          <w:szCs w:val="21"/>
        </w:rPr>
      </w:pPr>
      <w:r>
        <w:rPr>
          <w:rFonts w:ascii="Arial" w:eastAsia="Arial" w:hAnsi="Arial" w:cs="Arial"/>
          <w:color w:val="000000"/>
          <w:sz w:val="21"/>
          <w:szCs w:val="21"/>
        </w:rPr>
        <w:t xml:space="preserve">1. </w:t>
      </w:r>
      <w:r w:rsidR="00671825" w:rsidRPr="00671825">
        <w:rPr>
          <w:rFonts w:ascii="Arial" w:eastAsia="Arial" w:hAnsi="Arial" w:cs="Arial"/>
          <w:bCs/>
          <w:color w:val="000000"/>
          <w:sz w:val="21"/>
          <w:szCs w:val="21"/>
          <w:lang w:val="es-ES_tradnl"/>
        </w:rPr>
        <w:t>«</w:t>
      </w:r>
      <w:proofErr w:type="gramStart"/>
      <w:r w:rsidR="00671825" w:rsidRPr="00671825">
        <w:rPr>
          <w:rFonts w:ascii="Arial" w:eastAsia="Arial" w:hAnsi="Arial" w:cs="Arial"/>
          <w:bCs/>
          <w:color w:val="000000"/>
          <w:sz w:val="21"/>
          <w:szCs w:val="21"/>
          <w:lang w:val="es-ES_tradnl"/>
        </w:rPr>
        <w:t>¿</w:t>
      </w:r>
      <w:r w:rsidR="00AA1B5C">
        <w:rPr>
          <w:rFonts w:ascii="Arial" w:eastAsia="Arial" w:hAnsi="Arial" w:cs="Arial"/>
          <w:bCs/>
          <w:color w:val="000000"/>
          <w:sz w:val="21"/>
          <w:szCs w:val="21"/>
          <w:lang w:val="es-ES_tradnl"/>
        </w:rPr>
        <w:t>C</w:t>
      </w:r>
      <w:r w:rsidR="00AA1B5C" w:rsidRPr="00AA1B5C">
        <w:rPr>
          <w:rFonts w:ascii="Arial" w:eastAsia="Arial" w:hAnsi="Arial" w:cs="Arial"/>
          <w:bCs/>
          <w:color w:val="000000"/>
          <w:sz w:val="21"/>
          <w:szCs w:val="21"/>
          <w:lang w:val="es-ES_tradnl"/>
        </w:rPr>
        <w:t>uáles son las disposiciones del Decreto Único Reglamentario No.</w:t>
      </w:r>
      <w:proofErr w:type="gramEnd"/>
      <w:r w:rsidR="00AA1B5C" w:rsidRPr="00AA1B5C">
        <w:rPr>
          <w:rFonts w:ascii="Arial" w:eastAsia="Arial" w:hAnsi="Arial" w:cs="Arial"/>
          <w:bCs/>
          <w:color w:val="000000"/>
          <w:sz w:val="21"/>
          <w:szCs w:val="21"/>
          <w:lang w:val="es-ES_tradnl"/>
        </w:rPr>
        <w:t xml:space="preserve"> 1082 de 2015 (DUR 1082 de 2015) que deben ser acatadas por las entidades estatales financieras, cuyo régimen de contratación no se encuentra regido por el Estatuto General de la Contratación de la Administración Pública (Ley 80 de 1993, Ley 1150 de 2007 y demás concordantes), por virtud de lo dispuesto en Parágrafo Primero del Artículo 15º de la Ley 80 de 1993?</w:t>
      </w:r>
      <w:r w:rsidR="00AA1B5C" w:rsidRPr="00AA1B5C">
        <w:rPr>
          <w:rFonts w:ascii="Arial" w:hAnsi="Arial" w:cs="Arial"/>
          <w:color w:val="000000"/>
          <w:sz w:val="19"/>
          <w:szCs w:val="19"/>
          <w:lang w:val="es-ES"/>
        </w:rPr>
        <w:t xml:space="preserve"> </w:t>
      </w:r>
      <w:r w:rsidR="00AA1B5C" w:rsidRPr="00AA1B5C">
        <w:rPr>
          <w:rFonts w:ascii="Arial" w:eastAsia="Arial" w:hAnsi="Arial" w:cs="Arial"/>
          <w:bCs/>
          <w:color w:val="000000"/>
          <w:sz w:val="21"/>
          <w:szCs w:val="21"/>
          <w:lang w:val="es-ES"/>
        </w:rPr>
        <w:t>».</w:t>
      </w:r>
      <w:r w:rsidR="00AA1B5C" w:rsidRPr="00AA1B5C">
        <w:rPr>
          <w:rFonts w:ascii="Arial" w:eastAsia="Arial" w:hAnsi="Arial" w:cs="Arial"/>
          <w:bCs/>
          <w:color w:val="000000"/>
          <w:sz w:val="21"/>
          <w:szCs w:val="21"/>
          <w:lang w:val="es-ES_tradnl"/>
        </w:rPr>
        <w:br/>
      </w:r>
      <w:r w:rsidR="00671825" w:rsidRPr="00671825">
        <w:rPr>
          <w:rFonts w:ascii="Arial" w:eastAsia="Arial" w:hAnsi="Arial" w:cs="Arial"/>
          <w:bCs/>
          <w:color w:val="000000"/>
          <w:sz w:val="21"/>
          <w:szCs w:val="21"/>
        </w:rPr>
        <w:t xml:space="preserve"> </w:t>
      </w:r>
    </w:p>
    <w:p w14:paraId="7F58707C" w14:textId="46008705" w:rsidR="00BD2153" w:rsidRDefault="00AA1B5C" w:rsidP="001B50C4">
      <w:pPr>
        <w:tabs>
          <w:tab w:val="left" w:pos="284"/>
        </w:tabs>
        <w:spacing w:after="120"/>
        <w:rPr>
          <w:rFonts w:ascii="Arial" w:eastAsia="Arial" w:hAnsi="Arial" w:cs="Arial"/>
          <w:color w:val="000000"/>
          <w:sz w:val="22"/>
          <w:szCs w:val="22"/>
        </w:rPr>
      </w:pPr>
      <w:r>
        <w:rPr>
          <w:rFonts w:ascii="Arial" w:eastAsia="Arial" w:hAnsi="Arial" w:cs="Arial"/>
          <w:color w:val="000000"/>
          <w:sz w:val="22"/>
          <w:szCs w:val="22"/>
        </w:rPr>
        <w:t>Aunque la pregunta</w:t>
      </w:r>
      <w:r w:rsidR="0018033B">
        <w:rPr>
          <w:rFonts w:ascii="Arial" w:eastAsia="Arial" w:hAnsi="Arial" w:cs="Arial"/>
          <w:color w:val="000000"/>
          <w:sz w:val="22"/>
          <w:szCs w:val="22"/>
        </w:rPr>
        <w:t xml:space="preserve"> incluye como fuente legal e</w:t>
      </w:r>
      <w:r>
        <w:rPr>
          <w:rFonts w:ascii="Arial" w:eastAsia="Arial" w:hAnsi="Arial" w:cs="Arial"/>
          <w:color w:val="000000"/>
          <w:sz w:val="22"/>
          <w:szCs w:val="22"/>
        </w:rPr>
        <w:t>l artículo 15 de la Ley 80</w:t>
      </w:r>
      <w:r w:rsidR="0018033B">
        <w:rPr>
          <w:rFonts w:ascii="Arial" w:eastAsia="Arial" w:hAnsi="Arial" w:cs="Arial"/>
          <w:color w:val="000000"/>
          <w:sz w:val="22"/>
          <w:szCs w:val="22"/>
        </w:rPr>
        <w:t xml:space="preserve"> de 1993, lo cierto es que esta disposición no regula la existencia de regímenes especiales para entidades estales financieras, sino la facultad excepcional de interpretar unilateralmente los contratos </w:t>
      </w:r>
      <w:r w:rsidR="0018033B">
        <w:rPr>
          <w:rFonts w:ascii="Arial" w:eastAsia="Arial" w:hAnsi="Arial" w:cs="Arial"/>
          <w:color w:val="000000"/>
          <w:sz w:val="22"/>
          <w:szCs w:val="22"/>
        </w:rPr>
        <w:lastRenderedPageBreak/>
        <w:t xml:space="preserve">estatales. Por lo tanto, para contestarla se entenderá que se trató de un error involuntario del consultante y que, la disposición a la cual se quiso referir corresponde al artículo 15 de la Ley 1150 de 2007, norma que sí regula el régimen de contratación de las </w:t>
      </w:r>
      <w:r w:rsidR="00BF011A">
        <w:rPr>
          <w:rFonts w:ascii="Arial" w:eastAsia="Arial" w:hAnsi="Arial" w:cs="Arial"/>
          <w:color w:val="000000"/>
          <w:sz w:val="22"/>
          <w:szCs w:val="22"/>
        </w:rPr>
        <w:t xml:space="preserve">entidades </w:t>
      </w:r>
      <w:r w:rsidR="0018033B">
        <w:rPr>
          <w:rFonts w:ascii="Arial" w:eastAsia="Arial" w:hAnsi="Arial" w:cs="Arial"/>
          <w:color w:val="000000"/>
          <w:sz w:val="22"/>
          <w:szCs w:val="22"/>
        </w:rPr>
        <w:t xml:space="preserve">financieras estatales. </w:t>
      </w:r>
    </w:p>
    <w:p w14:paraId="69915719" w14:textId="1D48984B" w:rsidR="001C0FF1" w:rsidRDefault="00BF011A" w:rsidP="0018033B">
      <w:pPr>
        <w:tabs>
          <w:tab w:val="left" w:pos="284"/>
        </w:tabs>
        <w:rPr>
          <w:rFonts w:ascii="Arial" w:eastAsia="Arial" w:hAnsi="Arial" w:cs="Arial"/>
          <w:color w:val="000000"/>
          <w:sz w:val="22"/>
          <w:szCs w:val="22"/>
        </w:rPr>
      </w:pPr>
      <w:r>
        <w:rPr>
          <w:rFonts w:ascii="Arial" w:eastAsia="Arial" w:hAnsi="Arial" w:cs="Arial"/>
          <w:color w:val="000000"/>
          <w:sz w:val="22"/>
          <w:szCs w:val="22"/>
        </w:rPr>
        <w:tab/>
      </w:r>
      <w:r>
        <w:rPr>
          <w:rFonts w:ascii="Arial" w:eastAsia="Arial" w:hAnsi="Arial" w:cs="Arial"/>
          <w:color w:val="000000"/>
          <w:sz w:val="22"/>
          <w:szCs w:val="22"/>
        </w:rPr>
        <w:tab/>
      </w:r>
      <w:r w:rsidR="0018033B">
        <w:rPr>
          <w:rFonts w:ascii="Arial" w:eastAsia="Arial" w:hAnsi="Arial" w:cs="Arial"/>
          <w:color w:val="000000"/>
          <w:sz w:val="22"/>
          <w:szCs w:val="22"/>
        </w:rPr>
        <w:t xml:space="preserve">En el contexto de esta última disposición se precisa que </w:t>
      </w:r>
      <w:r w:rsidR="0018033B" w:rsidRPr="0018033B">
        <w:rPr>
          <w:rFonts w:ascii="Arial" w:eastAsia="Arial" w:hAnsi="Arial" w:cs="Arial"/>
          <w:color w:val="000000"/>
          <w:sz w:val="22"/>
          <w:szCs w:val="22"/>
        </w:rPr>
        <w:t xml:space="preserve">los </w:t>
      </w:r>
      <w:r w:rsidR="0018033B">
        <w:rPr>
          <w:rFonts w:ascii="Arial" w:eastAsia="Arial" w:hAnsi="Arial" w:cs="Arial"/>
          <w:color w:val="000000"/>
          <w:sz w:val="22"/>
          <w:szCs w:val="22"/>
        </w:rPr>
        <w:t>establecimientos de c</w:t>
      </w:r>
      <w:r w:rsidR="0018033B" w:rsidRPr="0018033B">
        <w:rPr>
          <w:rFonts w:ascii="Arial" w:eastAsia="Arial" w:hAnsi="Arial" w:cs="Arial"/>
          <w:color w:val="000000"/>
          <w:sz w:val="22"/>
          <w:szCs w:val="22"/>
        </w:rPr>
        <w:t xml:space="preserve">rédito, las compañías de seguros y las demás entidades financieras de carácter estatal, no estarán sujetos a las disposiciones del Estatuto General de Contratación de la Administración Pública y se regirán por las disposiciones legales y reglamentarias </w:t>
      </w:r>
      <w:r w:rsidR="0018033B">
        <w:rPr>
          <w:rFonts w:ascii="Arial" w:eastAsia="Arial" w:hAnsi="Arial" w:cs="Arial"/>
          <w:color w:val="000000"/>
          <w:sz w:val="22"/>
          <w:szCs w:val="22"/>
        </w:rPr>
        <w:t xml:space="preserve">aplicables a dichas actividades, por lo tanto, las disposiciones contenidas en el Decreto 1082 de 2015, que reglamenta el Estatuto General de Contratación de la Administración Pública, </w:t>
      </w:r>
      <w:r w:rsidR="00754DD8">
        <w:rPr>
          <w:rFonts w:ascii="Arial" w:eastAsia="Arial" w:hAnsi="Arial" w:cs="Arial"/>
          <w:color w:val="000000"/>
          <w:sz w:val="22"/>
          <w:szCs w:val="22"/>
        </w:rPr>
        <w:t xml:space="preserve">en principio </w:t>
      </w:r>
      <w:r w:rsidR="0018033B">
        <w:rPr>
          <w:rFonts w:ascii="Arial" w:eastAsia="Arial" w:hAnsi="Arial" w:cs="Arial"/>
          <w:color w:val="000000"/>
          <w:sz w:val="22"/>
          <w:szCs w:val="22"/>
        </w:rPr>
        <w:t xml:space="preserve">no les resulta vinculante, salvo </w:t>
      </w:r>
      <w:r w:rsidR="00754DD8">
        <w:rPr>
          <w:rFonts w:ascii="Arial" w:eastAsia="Arial" w:hAnsi="Arial" w:cs="Arial"/>
          <w:color w:val="000000"/>
          <w:sz w:val="22"/>
          <w:szCs w:val="22"/>
        </w:rPr>
        <w:t>las materias a las que se hizo referencia en el numeral 2.1 de este concepto</w:t>
      </w:r>
      <w:r w:rsidR="00F972B7">
        <w:rPr>
          <w:rFonts w:ascii="Arial" w:eastAsia="Arial" w:hAnsi="Arial" w:cs="Arial"/>
          <w:color w:val="000000"/>
          <w:sz w:val="22"/>
          <w:szCs w:val="22"/>
        </w:rPr>
        <w:t xml:space="preserve">, con fundamento en la </w:t>
      </w:r>
      <w:r w:rsidR="00F972B7" w:rsidRPr="001B50C4">
        <w:rPr>
          <w:rFonts w:ascii="Arial" w:eastAsia="Arial" w:hAnsi="Arial" w:cs="Arial"/>
          <w:color w:val="000000"/>
          <w:sz w:val="22"/>
          <w:szCs w:val="22"/>
        </w:rPr>
        <w:t>la «Guía para las Entidades Estatales con régimen especial de Contratación»</w:t>
      </w:r>
      <w:r w:rsidR="00F972B7" w:rsidRPr="001B50C4">
        <w:rPr>
          <w:rFonts w:eastAsia="Arial"/>
          <w:color w:val="000000"/>
          <w:szCs w:val="22"/>
        </w:rPr>
        <w:footnoteReference w:id="21"/>
      </w:r>
      <w:r w:rsidR="00F972B7" w:rsidRPr="001B50C4">
        <w:rPr>
          <w:rFonts w:ascii="Arial" w:eastAsia="Arial" w:hAnsi="Arial" w:cs="Arial"/>
          <w:color w:val="000000"/>
          <w:sz w:val="22"/>
          <w:szCs w:val="22"/>
        </w:rPr>
        <w:t>.</w:t>
      </w:r>
    </w:p>
    <w:p w14:paraId="6EC1627C" w14:textId="2D0E0C70" w:rsidR="00F972B7" w:rsidRPr="001C0FF1" w:rsidRDefault="00F972B7" w:rsidP="0018033B">
      <w:pPr>
        <w:tabs>
          <w:tab w:val="left" w:pos="284"/>
        </w:tabs>
        <w:rPr>
          <w:rFonts w:ascii="Arial" w:eastAsia="Arial" w:hAnsi="Arial" w:cs="Arial"/>
          <w:color w:val="000000"/>
          <w:sz w:val="22"/>
          <w:szCs w:val="22"/>
        </w:rPr>
      </w:pPr>
      <w:r>
        <w:rPr>
          <w:rFonts w:ascii="Arial" w:hAnsi="Arial" w:cs="Arial"/>
          <w:color w:val="000000"/>
          <w:sz w:val="22"/>
          <w:szCs w:val="22"/>
          <w:lang w:val="es-ES_tradnl" w:eastAsia="en-US"/>
        </w:rPr>
        <w:tab/>
      </w:r>
      <w:r>
        <w:rPr>
          <w:rFonts w:ascii="Arial" w:hAnsi="Arial" w:cs="Arial"/>
          <w:color w:val="000000"/>
          <w:sz w:val="22"/>
          <w:szCs w:val="22"/>
          <w:lang w:val="es-ES_tradnl" w:eastAsia="en-US"/>
        </w:rPr>
        <w:tab/>
        <w:t xml:space="preserve">Sin perjuicio de lo anterior, también resultarán aplicables las demás disposiciones que de forma expresa el Decreto </w:t>
      </w:r>
      <w:r w:rsidRPr="00D9505A">
        <w:rPr>
          <w:rFonts w:ascii="Arial" w:hAnsi="Arial" w:cs="Arial"/>
          <w:color w:val="000000"/>
          <w:sz w:val="22"/>
          <w:szCs w:val="22"/>
          <w:lang w:val="es-ES_tradnl" w:eastAsia="en-US"/>
        </w:rPr>
        <w:t xml:space="preserve">1082 de 2015 señale que </w:t>
      </w:r>
      <w:r>
        <w:rPr>
          <w:rFonts w:ascii="Arial" w:hAnsi="Arial" w:cs="Arial"/>
          <w:color w:val="000000"/>
          <w:sz w:val="22"/>
          <w:szCs w:val="22"/>
          <w:lang w:val="es-ES_tradnl" w:eastAsia="en-US"/>
        </w:rPr>
        <w:t>están dirigidas</w:t>
      </w:r>
      <w:r w:rsidRPr="00D9505A">
        <w:rPr>
          <w:rFonts w:ascii="Arial" w:hAnsi="Arial" w:cs="Arial"/>
          <w:color w:val="000000"/>
          <w:sz w:val="22"/>
          <w:szCs w:val="22"/>
          <w:lang w:val="es-ES_tradnl" w:eastAsia="en-US"/>
        </w:rPr>
        <w:t xml:space="preserve"> a dichas entidades, como sucede con </w:t>
      </w:r>
      <w:r w:rsidRPr="00F32BDE">
        <w:rPr>
          <w:rFonts w:ascii="Arial" w:hAnsi="Arial" w:cs="Arial"/>
          <w:color w:val="000000"/>
          <w:sz w:val="22"/>
          <w:szCs w:val="22"/>
          <w:lang w:val="es-ES_tradnl" w:eastAsia="en-US"/>
        </w:rPr>
        <w:t>los artículos 2.2.1.2.4.2.2. a 2.2.1.2.4.2.3.</w:t>
      </w:r>
      <w:r>
        <w:rPr>
          <w:rFonts w:ascii="Arial" w:hAnsi="Arial" w:cs="Arial"/>
          <w:color w:val="000000"/>
          <w:sz w:val="22"/>
          <w:szCs w:val="22"/>
          <w:lang w:val="es-ES_tradnl" w:eastAsia="en-US"/>
        </w:rPr>
        <w:t xml:space="preserve"> relacionada con las convocatorias limitadas a </w:t>
      </w:r>
      <w:proofErr w:type="spellStart"/>
      <w:r>
        <w:rPr>
          <w:rFonts w:ascii="Arial" w:hAnsi="Arial" w:cs="Arial"/>
          <w:color w:val="000000"/>
          <w:sz w:val="22"/>
          <w:szCs w:val="22"/>
          <w:lang w:val="es-ES_tradnl" w:eastAsia="en-US"/>
        </w:rPr>
        <w:t>Mipyme</w:t>
      </w:r>
      <w:proofErr w:type="spellEnd"/>
      <w:r>
        <w:rPr>
          <w:rFonts w:ascii="Arial" w:hAnsi="Arial" w:cs="Arial"/>
          <w:color w:val="000000"/>
          <w:sz w:val="22"/>
          <w:szCs w:val="22"/>
          <w:lang w:val="es-ES_tradnl" w:eastAsia="en-US"/>
        </w:rPr>
        <w:t>;</w:t>
      </w:r>
      <w:r w:rsidRPr="00F32BDE">
        <w:rPr>
          <w:rFonts w:ascii="Arial" w:hAnsi="Arial" w:cs="Arial"/>
          <w:color w:val="000000"/>
          <w:sz w:val="22"/>
          <w:szCs w:val="22"/>
          <w:lang w:val="es-ES_tradnl" w:eastAsia="en-US"/>
        </w:rPr>
        <w:t xml:space="preserve"> </w:t>
      </w:r>
      <w:r w:rsidRPr="007E69AD">
        <w:rPr>
          <w:rFonts w:ascii="Arial" w:hAnsi="Arial" w:cs="Arial"/>
          <w:color w:val="000000"/>
          <w:sz w:val="22"/>
          <w:szCs w:val="22"/>
          <w:lang w:val="es-ES_tradnl" w:eastAsia="en-US"/>
        </w:rPr>
        <w:t>2.2.1.2.4.2.14</w:t>
      </w:r>
      <w:r w:rsidRPr="00E82BBA">
        <w:rPr>
          <w:rFonts w:ascii="Arial" w:hAnsi="Arial" w:cs="Arial"/>
          <w:color w:val="000000"/>
          <w:sz w:val="22"/>
          <w:szCs w:val="22"/>
          <w:lang w:val="es-ES_tradnl" w:eastAsia="en-US"/>
        </w:rPr>
        <w:t xml:space="preserve"> y</w:t>
      </w:r>
      <w:r w:rsidRPr="007E69AD">
        <w:rPr>
          <w:rFonts w:ascii="Arial" w:hAnsi="Arial" w:cs="Arial"/>
          <w:color w:val="000000"/>
          <w:sz w:val="22"/>
          <w:szCs w:val="22"/>
          <w:lang w:val="es-ES_tradnl" w:eastAsia="en-US"/>
        </w:rPr>
        <w:t xml:space="preserve"> 2.2.1.2.4.2.15.</w:t>
      </w:r>
      <w:r w:rsidRPr="00E82BBA">
        <w:rPr>
          <w:rFonts w:ascii="Arial" w:hAnsi="Arial" w:cs="Arial"/>
          <w:color w:val="000000"/>
          <w:sz w:val="22"/>
          <w:szCs w:val="22"/>
          <w:lang w:val="es-ES_tradnl" w:eastAsia="en-US"/>
        </w:rPr>
        <w:t xml:space="preserve"> relacionados con la definición y </w:t>
      </w:r>
      <w:r w:rsidRPr="007E69AD">
        <w:rPr>
          <w:rFonts w:ascii="Arial" w:hAnsi="Arial" w:cs="Arial"/>
          <w:color w:val="000000"/>
          <w:sz w:val="22"/>
          <w:szCs w:val="22"/>
          <w:lang w:val="es-ES_tradnl" w:eastAsia="en-US"/>
        </w:rPr>
        <w:t>los criterios diferenciales para emprendimientos y empresas de mujeres en el sistema de compras públicas</w:t>
      </w:r>
      <w:r w:rsidRPr="00E82BBA">
        <w:rPr>
          <w:rFonts w:ascii="Arial" w:hAnsi="Arial" w:cs="Arial"/>
          <w:color w:val="000000"/>
          <w:sz w:val="22"/>
          <w:szCs w:val="22"/>
          <w:lang w:val="es-ES_tradnl" w:eastAsia="en-US"/>
        </w:rPr>
        <w:t>;</w:t>
      </w:r>
      <w:r w:rsidRPr="007E69AD">
        <w:rPr>
          <w:rFonts w:ascii="Arial" w:hAnsi="Arial" w:cs="Arial"/>
          <w:color w:val="000000"/>
          <w:sz w:val="22"/>
          <w:szCs w:val="22"/>
          <w:lang w:val="es-ES_tradnl" w:eastAsia="en-US"/>
        </w:rPr>
        <w:t xml:space="preserve"> </w:t>
      </w:r>
      <w:r w:rsidRPr="00E82BBA">
        <w:rPr>
          <w:rFonts w:ascii="Arial" w:hAnsi="Arial" w:cs="Arial"/>
          <w:color w:val="000000"/>
          <w:sz w:val="22"/>
          <w:szCs w:val="22"/>
          <w:lang w:val="es-ES_tradnl" w:eastAsia="en-US"/>
        </w:rPr>
        <w:t xml:space="preserve">2.2.1.2.4.2.16. que trata del </w:t>
      </w:r>
      <w:r w:rsidRPr="007E69AD">
        <w:rPr>
          <w:rFonts w:ascii="Arial" w:hAnsi="Arial" w:cs="Arial"/>
          <w:color w:val="000000"/>
          <w:sz w:val="22"/>
          <w:szCs w:val="22"/>
          <w:lang w:val="es-ES_tradnl" w:eastAsia="en-US"/>
        </w:rPr>
        <w:t>fomento a la ejecución de contratos estatales por parte de población en pobreza extrema, desplazados por la violencia, personas en proceso de reintegración o reincorporación y sujetos de especial protección constitucional</w:t>
      </w:r>
      <w:r w:rsidRPr="00E82BBA">
        <w:rPr>
          <w:rFonts w:ascii="Arial" w:hAnsi="Arial" w:cs="Arial"/>
          <w:color w:val="000000"/>
          <w:sz w:val="22"/>
          <w:szCs w:val="22"/>
          <w:lang w:val="es-ES_tradnl" w:eastAsia="en-US"/>
        </w:rPr>
        <w:t xml:space="preserve">; 2.2.1.2.4.2.17. que reglamenta los </w:t>
      </w:r>
      <w:r w:rsidRPr="007E69AD">
        <w:rPr>
          <w:rFonts w:ascii="Arial" w:hAnsi="Arial" w:cs="Arial"/>
          <w:color w:val="000000"/>
          <w:sz w:val="22"/>
          <w:szCs w:val="22"/>
          <w:lang w:val="es-ES_tradnl" w:eastAsia="en-US"/>
        </w:rPr>
        <w:t>factores de desempate y su acreditación; y</w:t>
      </w:r>
      <w:r w:rsidRPr="00E82BBA">
        <w:rPr>
          <w:rFonts w:ascii="Arial" w:hAnsi="Arial" w:cs="Arial"/>
          <w:color w:val="000000"/>
          <w:sz w:val="22"/>
          <w:szCs w:val="22"/>
          <w:lang w:val="es-ES_tradnl" w:eastAsia="en-US"/>
        </w:rPr>
        <w:t xml:space="preserve"> 2.2.1.2.4.2.18. relacionado con los </w:t>
      </w:r>
      <w:r>
        <w:rPr>
          <w:rFonts w:ascii="Arial" w:hAnsi="Arial" w:cs="Arial"/>
          <w:color w:val="000000"/>
          <w:sz w:val="22"/>
          <w:szCs w:val="22"/>
          <w:lang w:val="es-ES_tradnl" w:eastAsia="en-US"/>
        </w:rPr>
        <w:t>criterios</w:t>
      </w:r>
      <w:r w:rsidRPr="007E69AD">
        <w:rPr>
          <w:rFonts w:ascii="Arial" w:hAnsi="Arial" w:cs="Arial"/>
          <w:color w:val="000000"/>
          <w:sz w:val="22"/>
          <w:szCs w:val="22"/>
          <w:lang w:val="es-ES_tradnl" w:eastAsia="en-US"/>
        </w:rPr>
        <w:t xml:space="preserve"> diferenciales para </w:t>
      </w:r>
      <w:proofErr w:type="spellStart"/>
      <w:r w:rsidRPr="007E69AD">
        <w:rPr>
          <w:rFonts w:ascii="Arial" w:hAnsi="Arial" w:cs="Arial"/>
          <w:color w:val="000000"/>
          <w:sz w:val="22"/>
          <w:szCs w:val="22"/>
          <w:lang w:val="es-ES_tradnl" w:eastAsia="en-US"/>
        </w:rPr>
        <w:t>Mipyme</w:t>
      </w:r>
      <w:proofErr w:type="spellEnd"/>
      <w:r w:rsidRPr="007E69AD">
        <w:rPr>
          <w:rFonts w:ascii="Arial" w:hAnsi="Arial" w:cs="Arial"/>
          <w:color w:val="000000"/>
          <w:sz w:val="22"/>
          <w:szCs w:val="22"/>
          <w:lang w:val="es-ES_tradnl" w:eastAsia="en-US"/>
        </w:rPr>
        <w:t xml:space="preserve"> en el sistema de compras públicas.</w:t>
      </w:r>
      <w:r w:rsidRPr="00E82BBA">
        <w:rPr>
          <w:rFonts w:ascii="Arial" w:hAnsi="Arial" w:cs="Arial"/>
          <w:color w:val="000000"/>
          <w:sz w:val="22"/>
          <w:szCs w:val="22"/>
          <w:lang w:val="es-ES_tradnl" w:eastAsia="en-US"/>
        </w:rPr>
        <w:t xml:space="preserve"> En efecto, estas disposiciones, como se deriva de cada uno de los artículos citados</w:t>
      </w:r>
      <w:r>
        <w:rPr>
          <w:rFonts w:ascii="Arial" w:hAnsi="Arial" w:cs="Arial"/>
          <w:color w:val="000000"/>
          <w:sz w:val="22"/>
          <w:szCs w:val="22"/>
          <w:lang w:val="es-ES_tradnl" w:eastAsia="en-US"/>
        </w:rPr>
        <w:t>,</w:t>
      </w:r>
      <w:r w:rsidRPr="00E82BBA">
        <w:rPr>
          <w:rFonts w:ascii="Arial" w:hAnsi="Arial" w:cs="Arial"/>
          <w:color w:val="000000"/>
          <w:sz w:val="22"/>
          <w:szCs w:val="22"/>
          <w:lang w:val="es-ES_tradnl" w:eastAsia="en-US"/>
        </w:rPr>
        <w:t xml:space="preserve"> tienen como destinatarias a todas las entidades estatales independientemente de su régimen de contratación.</w:t>
      </w:r>
    </w:p>
    <w:p w14:paraId="7AF24976" w14:textId="77777777" w:rsidR="0018033B" w:rsidRDefault="008F60BF" w:rsidP="00AA1B5C">
      <w:pPr>
        <w:tabs>
          <w:tab w:val="left" w:pos="284"/>
        </w:tabs>
        <w:rPr>
          <w:rFonts w:ascii="Arial" w:eastAsia="Arial" w:hAnsi="Arial" w:cs="Arial"/>
          <w:color w:val="000000"/>
          <w:sz w:val="22"/>
          <w:szCs w:val="22"/>
        </w:rPr>
      </w:pPr>
      <w:r>
        <w:rPr>
          <w:rFonts w:ascii="Arial" w:eastAsia="Arial" w:hAnsi="Arial" w:cs="Arial"/>
          <w:color w:val="000000"/>
          <w:sz w:val="22"/>
          <w:szCs w:val="22"/>
        </w:rPr>
        <w:lastRenderedPageBreak/>
        <w:tab/>
      </w:r>
    </w:p>
    <w:p w14:paraId="70970A84" w14:textId="3D93EA27" w:rsidR="007232E5" w:rsidRPr="00E82800" w:rsidRDefault="008F60BF" w:rsidP="001B50C4">
      <w:pPr>
        <w:ind w:left="709" w:right="709"/>
        <w:rPr>
          <w:rFonts w:ascii="Arial" w:eastAsia="Arial" w:hAnsi="Arial" w:cs="Arial"/>
          <w:bCs/>
          <w:color w:val="000000"/>
          <w:sz w:val="21"/>
          <w:szCs w:val="21"/>
          <w:lang w:val="es-ES_tradnl"/>
        </w:rPr>
      </w:pPr>
      <w:r w:rsidRPr="00E82800">
        <w:rPr>
          <w:rFonts w:ascii="Arial" w:eastAsia="Arial" w:hAnsi="Arial" w:cs="Arial"/>
          <w:color w:val="000000"/>
          <w:sz w:val="22"/>
          <w:szCs w:val="22"/>
        </w:rPr>
        <w:tab/>
      </w:r>
      <w:r w:rsidR="007232E5" w:rsidRPr="00E82800">
        <w:rPr>
          <w:rFonts w:ascii="Arial" w:eastAsia="Arial" w:hAnsi="Arial" w:cs="Arial"/>
          <w:bCs/>
          <w:color w:val="000000"/>
          <w:sz w:val="21"/>
          <w:szCs w:val="21"/>
          <w:lang w:val="es-ES_tradnl"/>
        </w:rPr>
        <w:t xml:space="preserve">«2. </w:t>
      </w:r>
      <w:proofErr w:type="gramStart"/>
      <w:r w:rsidR="007232E5" w:rsidRPr="00E82800">
        <w:rPr>
          <w:rFonts w:ascii="Arial" w:eastAsia="Arial" w:hAnsi="Arial" w:cs="Arial"/>
          <w:bCs/>
          <w:color w:val="000000"/>
          <w:sz w:val="21"/>
          <w:szCs w:val="21"/>
          <w:lang w:val="es-ES_tradnl"/>
        </w:rPr>
        <w:t>¿Las disposiciones consignadas en la Sección 3 del Capítulo 2 del Título I de la Parte II del DUR 1082 de 2015 (denominada "Garantías", arts. 2.</w:t>
      </w:r>
      <w:proofErr w:type="gramEnd"/>
      <w:r w:rsidR="007232E5" w:rsidRPr="00E82800">
        <w:rPr>
          <w:rFonts w:ascii="Arial" w:eastAsia="Arial" w:hAnsi="Arial" w:cs="Arial"/>
          <w:bCs/>
          <w:color w:val="000000"/>
          <w:sz w:val="21"/>
          <w:szCs w:val="21"/>
          <w:lang w:val="es-ES_tradnl"/>
        </w:rPr>
        <w:t>2.1.2.3.1.1 hasta 2.2.1.2.3.5.1) deben ser acatadas por las entidades estatales financieras aludidas en la anterior pregunta?</w:t>
      </w:r>
      <w:r w:rsidR="007232E5" w:rsidRPr="00E82800">
        <w:rPr>
          <w:rFonts w:ascii="Arial" w:eastAsia="Arial" w:hAnsi="Arial" w:cs="Arial"/>
          <w:bCs/>
          <w:color w:val="000000"/>
          <w:sz w:val="21"/>
          <w:szCs w:val="21"/>
          <w:lang w:val="es-ES"/>
        </w:rPr>
        <w:t>»</w:t>
      </w:r>
      <w:r w:rsidR="007232E5" w:rsidRPr="00E82800">
        <w:rPr>
          <w:rFonts w:ascii="Arial" w:eastAsia="Arial" w:hAnsi="Arial" w:cs="Arial"/>
          <w:bCs/>
          <w:color w:val="000000"/>
          <w:sz w:val="21"/>
          <w:szCs w:val="21"/>
          <w:lang w:val="es-ES_tradnl"/>
        </w:rPr>
        <w:br/>
      </w:r>
    </w:p>
    <w:p w14:paraId="2E139A64" w14:textId="59062F76" w:rsidR="00D300B7" w:rsidRPr="00E82800" w:rsidRDefault="008F60BF" w:rsidP="001B50C4">
      <w:pPr>
        <w:spacing w:after="120"/>
        <w:rPr>
          <w:rFonts w:ascii="Arial" w:eastAsia="Arial" w:hAnsi="Arial" w:cs="Arial"/>
          <w:bCs/>
          <w:color w:val="000000"/>
          <w:sz w:val="22"/>
          <w:szCs w:val="22"/>
        </w:rPr>
      </w:pPr>
      <w:r w:rsidRPr="00E82800">
        <w:rPr>
          <w:rFonts w:ascii="Arial" w:eastAsia="Arial" w:hAnsi="Arial" w:cs="Arial"/>
          <w:bCs/>
          <w:color w:val="000000"/>
          <w:sz w:val="22"/>
          <w:szCs w:val="22"/>
        </w:rPr>
        <w:t>La</w:t>
      </w:r>
      <w:r w:rsidR="00BD2153" w:rsidRPr="00E82800">
        <w:rPr>
          <w:rFonts w:ascii="Arial" w:eastAsia="Arial" w:hAnsi="Arial" w:cs="Arial"/>
          <w:bCs/>
          <w:color w:val="000000"/>
          <w:sz w:val="22"/>
          <w:szCs w:val="22"/>
        </w:rPr>
        <w:t>s disposiciones contenidas en la Sección 3 del Capítulo 2 del Título I de</w:t>
      </w:r>
      <w:r w:rsidR="00627779">
        <w:rPr>
          <w:rFonts w:ascii="Arial" w:eastAsia="Arial" w:hAnsi="Arial" w:cs="Arial"/>
          <w:bCs/>
          <w:color w:val="000000"/>
          <w:sz w:val="22"/>
          <w:szCs w:val="22"/>
        </w:rPr>
        <w:t xml:space="preserve"> </w:t>
      </w:r>
      <w:r w:rsidR="00BD2153" w:rsidRPr="00E82800">
        <w:rPr>
          <w:rFonts w:ascii="Arial" w:eastAsia="Arial" w:hAnsi="Arial" w:cs="Arial"/>
          <w:bCs/>
          <w:color w:val="000000"/>
          <w:sz w:val="22"/>
          <w:szCs w:val="22"/>
        </w:rPr>
        <w:t xml:space="preserve">la Parte II del </w:t>
      </w:r>
      <w:r w:rsidR="00987529">
        <w:rPr>
          <w:rFonts w:ascii="Arial" w:eastAsia="Arial" w:hAnsi="Arial" w:cs="Arial"/>
          <w:bCs/>
          <w:color w:val="000000"/>
          <w:sz w:val="22"/>
          <w:szCs w:val="22"/>
        </w:rPr>
        <w:t xml:space="preserve">Decreto </w:t>
      </w:r>
      <w:r w:rsidR="00BD2153" w:rsidRPr="00E82800">
        <w:rPr>
          <w:rFonts w:ascii="Arial" w:eastAsia="Arial" w:hAnsi="Arial" w:cs="Arial"/>
          <w:bCs/>
          <w:color w:val="000000"/>
          <w:sz w:val="22"/>
          <w:szCs w:val="22"/>
        </w:rPr>
        <w:t xml:space="preserve">1082 del 2015 no están comprendidas entre aquellas que regulan aspectos transversales a la contratación de todo tipo de entidades públicas. Por lo tanto, no son de obligatoria observancia para las entidades exceptuadas de aplicar el EGCAP, como </w:t>
      </w:r>
      <w:r w:rsidR="00987529">
        <w:rPr>
          <w:rFonts w:ascii="Arial" w:eastAsia="Arial" w:hAnsi="Arial" w:cs="Arial"/>
          <w:bCs/>
          <w:color w:val="000000"/>
          <w:sz w:val="22"/>
          <w:szCs w:val="22"/>
        </w:rPr>
        <w:t xml:space="preserve">son </w:t>
      </w:r>
      <w:r w:rsidR="00BD2153" w:rsidRPr="00E82800">
        <w:rPr>
          <w:rFonts w:ascii="Arial" w:eastAsia="Arial" w:hAnsi="Arial" w:cs="Arial"/>
          <w:bCs/>
          <w:color w:val="000000"/>
          <w:sz w:val="22"/>
          <w:szCs w:val="22"/>
        </w:rPr>
        <w:t xml:space="preserve">las entidades financieras estatales, en los términos del </w:t>
      </w:r>
      <w:r w:rsidR="00987529">
        <w:rPr>
          <w:rFonts w:ascii="Arial" w:eastAsia="Arial" w:hAnsi="Arial" w:cs="Arial"/>
          <w:bCs/>
          <w:color w:val="000000"/>
          <w:sz w:val="22"/>
          <w:szCs w:val="22"/>
        </w:rPr>
        <w:t xml:space="preserve">artículo </w:t>
      </w:r>
      <w:r w:rsidR="00BD2153" w:rsidRPr="00E82800">
        <w:rPr>
          <w:rFonts w:ascii="Arial" w:eastAsia="Arial" w:hAnsi="Arial" w:cs="Arial"/>
          <w:bCs/>
          <w:color w:val="000000"/>
          <w:sz w:val="22"/>
          <w:szCs w:val="22"/>
        </w:rPr>
        <w:t xml:space="preserve">15 de la Ley 1150 de 2007, por el cual se modificó el </w:t>
      </w:r>
      <w:r w:rsidR="00987529" w:rsidRPr="00E82800">
        <w:rPr>
          <w:rFonts w:ascii="Arial" w:eastAsia="Arial" w:hAnsi="Arial" w:cs="Arial"/>
          <w:bCs/>
          <w:color w:val="000000"/>
          <w:sz w:val="22"/>
          <w:szCs w:val="22"/>
        </w:rPr>
        <w:t xml:space="preserve">parágrafo primero </w:t>
      </w:r>
      <w:r w:rsidR="00987529">
        <w:rPr>
          <w:rFonts w:ascii="Arial" w:eastAsia="Arial" w:hAnsi="Arial" w:cs="Arial"/>
          <w:bCs/>
          <w:color w:val="000000"/>
          <w:sz w:val="22"/>
          <w:szCs w:val="22"/>
        </w:rPr>
        <w:t xml:space="preserve">del </w:t>
      </w:r>
      <w:r w:rsidR="00BD2153" w:rsidRPr="00E82800">
        <w:rPr>
          <w:rFonts w:ascii="Arial" w:eastAsia="Arial" w:hAnsi="Arial" w:cs="Arial"/>
          <w:bCs/>
          <w:color w:val="000000"/>
          <w:sz w:val="22"/>
          <w:szCs w:val="22"/>
        </w:rPr>
        <w:t>artículo 32 de la Ley 80 de 1993.</w:t>
      </w:r>
    </w:p>
    <w:p w14:paraId="433357B0" w14:textId="5E45FD82" w:rsidR="00BD2153" w:rsidRPr="00E82800" w:rsidRDefault="00D300B7" w:rsidP="00AA1B5C">
      <w:pPr>
        <w:rPr>
          <w:rFonts w:ascii="Arial" w:eastAsia="Arial" w:hAnsi="Arial" w:cs="Arial"/>
          <w:bCs/>
          <w:color w:val="000000"/>
          <w:sz w:val="22"/>
          <w:szCs w:val="22"/>
        </w:rPr>
      </w:pPr>
      <w:r w:rsidRPr="00E82800">
        <w:rPr>
          <w:rFonts w:ascii="Arial" w:eastAsia="Arial" w:hAnsi="Arial" w:cs="Arial"/>
          <w:bCs/>
          <w:color w:val="000000"/>
          <w:sz w:val="22"/>
          <w:szCs w:val="22"/>
        </w:rPr>
        <w:tab/>
        <w:t xml:space="preserve">Lo anterior sin perjuicio de que las entidades sometidas a regímenes especiales de contratación se guíen por las regulaciones del Decreto 1082 de 2015, al definir las reglas </w:t>
      </w:r>
      <w:r w:rsidR="00987529">
        <w:rPr>
          <w:rFonts w:ascii="Arial" w:eastAsia="Arial" w:hAnsi="Arial" w:cs="Arial"/>
          <w:bCs/>
          <w:color w:val="000000"/>
          <w:sz w:val="22"/>
          <w:szCs w:val="22"/>
        </w:rPr>
        <w:t>en</w:t>
      </w:r>
      <w:r w:rsidR="00987529" w:rsidRPr="00E82800">
        <w:rPr>
          <w:rFonts w:ascii="Arial" w:eastAsia="Arial" w:hAnsi="Arial" w:cs="Arial"/>
          <w:bCs/>
          <w:color w:val="000000"/>
          <w:sz w:val="22"/>
          <w:szCs w:val="22"/>
        </w:rPr>
        <w:t xml:space="preserve"> </w:t>
      </w:r>
      <w:r w:rsidRPr="00E82800">
        <w:rPr>
          <w:rFonts w:ascii="Arial" w:eastAsia="Arial" w:hAnsi="Arial" w:cs="Arial"/>
          <w:bCs/>
          <w:color w:val="000000"/>
          <w:sz w:val="22"/>
          <w:szCs w:val="22"/>
        </w:rPr>
        <w:t xml:space="preserve">sus manuales de contratación en materia </w:t>
      </w:r>
      <w:r w:rsidR="00987529">
        <w:rPr>
          <w:rFonts w:ascii="Arial" w:eastAsia="Arial" w:hAnsi="Arial" w:cs="Arial"/>
          <w:bCs/>
          <w:color w:val="000000"/>
          <w:sz w:val="22"/>
          <w:szCs w:val="22"/>
        </w:rPr>
        <w:t>garantías de sus contratos</w:t>
      </w:r>
      <w:r w:rsidRPr="00E82800">
        <w:rPr>
          <w:rFonts w:ascii="Arial" w:eastAsia="Arial" w:hAnsi="Arial" w:cs="Arial"/>
          <w:bCs/>
          <w:color w:val="000000"/>
          <w:sz w:val="22"/>
          <w:szCs w:val="22"/>
        </w:rPr>
        <w:t>, si lo consideran conveniente</w:t>
      </w:r>
      <w:r w:rsidR="00627779">
        <w:rPr>
          <w:rFonts w:ascii="Arial" w:eastAsia="Arial" w:hAnsi="Arial" w:cs="Arial"/>
          <w:bCs/>
          <w:color w:val="000000"/>
          <w:sz w:val="22"/>
          <w:szCs w:val="22"/>
        </w:rPr>
        <w:t xml:space="preserve"> y armónico con su régimen contractual.</w:t>
      </w:r>
    </w:p>
    <w:p w14:paraId="19FA8590" w14:textId="77777777" w:rsidR="00BD2153" w:rsidRPr="00E82800" w:rsidRDefault="00BD2153" w:rsidP="00AA1B5C">
      <w:pPr>
        <w:rPr>
          <w:rFonts w:ascii="Arial" w:eastAsia="Arial" w:hAnsi="Arial" w:cs="Arial"/>
          <w:bCs/>
          <w:color w:val="000000"/>
          <w:sz w:val="22"/>
          <w:szCs w:val="22"/>
        </w:rPr>
      </w:pPr>
    </w:p>
    <w:p w14:paraId="7C8ED9BC" w14:textId="64724FBF" w:rsidR="00671825" w:rsidRPr="00E82800" w:rsidRDefault="00775E0F" w:rsidP="001B50C4">
      <w:pPr>
        <w:ind w:left="709" w:right="709"/>
        <w:rPr>
          <w:rFonts w:ascii="Arial" w:eastAsia="Arial" w:hAnsi="Arial" w:cs="Arial"/>
          <w:bCs/>
          <w:color w:val="000000"/>
          <w:sz w:val="21"/>
          <w:szCs w:val="21"/>
        </w:rPr>
      </w:pPr>
      <w:r w:rsidRPr="00E82800">
        <w:rPr>
          <w:rFonts w:ascii="Arial" w:eastAsia="Arial" w:hAnsi="Arial" w:cs="Arial"/>
          <w:bCs/>
          <w:color w:val="000000"/>
          <w:sz w:val="21"/>
          <w:szCs w:val="21"/>
        </w:rPr>
        <w:tab/>
      </w:r>
      <w:r w:rsidRPr="00E82800">
        <w:rPr>
          <w:rFonts w:ascii="Arial" w:eastAsia="Arial" w:hAnsi="Arial" w:cs="Arial"/>
          <w:bCs/>
          <w:color w:val="000000"/>
          <w:sz w:val="21"/>
          <w:szCs w:val="21"/>
          <w:lang w:val="es-ES_tradnl"/>
        </w:rPr>
        <w:t>«3. En caso negativo a la anterior pregunta, ¿Cuáles son las disposiciones que regulan las garantías que deben ser exigidas por las entidades estatales financieras, en el marco de la etapa precontractual, celebración, ejecución y liquidación de los contratos que ellas suscriban</w:t>
      </w:r>
      <w:r w:rsidR="00326817" w:rsidRPr="00E82800">
        <w:rPr>
          <w:rFonts w:ascii="Arial" w:eastAsia="Arial" w:hAnsi="Arial" w:cs="Arial"/>
          <w:bCs/>
          <w:color w:val="000000"/>
          <w:sz w:val="21"/>
          <w:szCs w:val="21"/>
          <w:lang w:val="es-ES_tradnl"/>
        </w:rPr>
        <w:t>?»</w:t>
      </w:r>
      <w:r w:rsidR="00671825" w:rsidRPr="00E82800">
        <w:rPr>
          <w:rFonts w:ascii="Arial" w:eastAsia="Arial" w:hAnsi="Arial" w:cs="Arial"/>
          <w:bCs/>
          <w:color w:val="000000"/>
          <w:sz w:val="21"/>
          <w:szCs w:val="21"/>
        </w:rPr>
        <w:t>.</w:t>
      </w:r>
    </w:p>
    <w:p w14:paraId="279A4D75" w14:textId="74659247" w:rsidR="00356678" w:rsidRPr="00E82800" w:rsidRDefault="00356678" w:rsidP="00AA1B5C">
      <w:pPr>
        <w:ind w:left="709" w:right="709"/>
        <w:rPr>
          <w:rFonts w:ascii="Arial" w:eastAsia="Arial" w:hAnsi="Arial" w:cs="Arial"/>
          <w:color w:val="000000"/>
          <w:sz w:val="21"/>
          <w:szCs w:val="21"/>
        </w:rPr>
      </w:pPr>
    </w:p>
    <w:p w14:paraId="7BF9C12F" w14:textId="0D4EEE0F" w:rsidR="00D300B7" w:rsidRPr="00FC3E06" w:rsidRDefault="00775E0F" w:rsidP="001B50C4">
      <w:pPr>
        <w:rPr>
          <w:rFonts w:ascii="Arial" w:hAnsi="Arial" w:cs="Arial"/>
          <w:color w:val="000000"/>
          <w:sz w:val="22"/>
          <w:szCs w:val="22"/>
          <w:lang w:val="es-ES_tradnl" w:eastAsia="en-US"/>
        </w:rPr>
      </w:pPr>
      <w:r w:rsidRPr="00E82800">
        <w:rPr>
          <w:rFonts w:ascii="Arial" w:eastAsia="Arial" w:hAnsi="Arial" w:cs="Arial"/>
          <w:bCs/>
          <w:color w:val="000000"/>
          <w:sz w:val="22"/>
          <w:szCs w:val="22"/>
        </w:rPr>
        <w:t xml:space="preserve">Las garantías que </w:t>
      </w:r>
      <w:r w:rsidR="00627779">
        <w:rPr>
          <w:rFonts w:ascii="Arial" w:eastAsia="Arial" w:hAnsi="Arial" w:cs="Arial"/>
          <w:bCs/>
          <w:color w:val="000000"/>
          <w:sz w:val="22"/>
          <w:szCs w:val="22"/>
        </w:rPr>
        <w:t>pueden</w:t>
      </w:r>
      <w:r w:rsidR="00627779" w:rsidRPr="00E82800">
        <w:rPr>
          <w:rFonts w:ascii="Arial" w:eastAsia="Arial" w:hAnsi="Arial" w:cs="Arial"/>
          <w:bCs/>
          <w:color w:val="000000"/>
          <w:sz w:val="22"/>
          <w:szCs w:val="22"/>
        </w:rPr>
        <w:t xml:space="preserve"> </w:t>
      </w:r>
      <w:r w:rsidRPr="00E82800">
        <w:rPr>
          <w:rFonts w:ascii="Arial" w:eastAsia="Arial" w:hAnsi="Arial" w:cs="Arial"/>
          <w:bCs/>
          <w:color w:val="000000"/>
          <w:sz w:val="22"/>
          <w:szCs w:val="22"/>
        </w:rPr>
        <w:t xml:space="preserve">ser exigidas por las entidades financieras estatales </w:t>
      </w:r>
      <w:r w:rsidR="00DC7557">
        <w:rPr>
          <w:rFonts w:ascii="Arial" w:eastAsia="Arial" w:hAnsi="Arial" w:cs="Arial"/>
          <w:bCs/>
          <w:color w:val="000000"/>
          <w:sz w:val="22"/>
          <w:szCs w:val="22"/>
        </w:rPr>
        <w:t xml:space="preserve">para amparar sus contratos </w:t>
      </w:r>
      <w:r w:rsidRPr="00E82800">
        <w:rPr>
          <w:rFonts w:ascii="Arial" w:eastAsia="Arial" w:hAnsi="Arial" w:cs="Arial"/>
          <w:bCs/>
          <w:color w:val="000000"/>
          <w:sz w:val="22"/>
          <w:szCs w:val="22"/>
        </w:rPr>
        <w:t>estarán determinadas</w:t>
      </w:r>
      <w:r w:rsidR="00235ABD" w:rsidRPr="00E82800">
        <w:rPr>
          <w:rFonts w:ascii="Arial" w:eastAsia="Arial" w:hAnsi="Arial" w:cs="Arial"/>
          <w:bCs/>
          <w:color w:val="000000"/>
          <w:sz w:val="22"/>
          <w:szCs w:val="22"/>
        </w:rPr>
        <w:t xml:space="preserve"> </w:t>
      </w:r>
      <w:r w:rsidRPr="00E82800">
        <w:rPr>
          <w:rFonts w:ascii="Arial" w:eastAsia="Arial" w:hAnsi="Arial" w:cs="Arial"/>
          <w:bCs/>
          <w:color w:val="000000"/>
          <w:sz w:val="22"/>
          <w:szCs w:val="22"/>
        </w:rPr>
        <w:t xml:space="preserve">por las normas especiales que regulan el ejercicio de </w:t>
      </w:r>
      <w:r w:rsidR="00DC7557">
        <w:rPr>
          <w:rFonts w:ascii="Arial" w:eastAsia="Arial" w:hAnsi="Arial" w:cs="Arial"/>
          <w:bCs/>
          <w:color w:val="000000"/>
          <w:sz w:val="22"/>
          <w:szCs w:val="22"/>
        </w:rPr>
        <w:t>dichas actividades</w:t>
      </w:r>
      <w:r w:rsidRPr="00E82800">
        <w:rPr>
          <w:rFonts w:ascii="Arial" w:eastAsia="Arial" w:hAnsi="Arial" w:cs="Arial"/>
          <w:bCs/>
          <w:color w:val="000000"/>
          <w:sz w:val="22"/>
          <w:szCs w:val="22"/>
        </w:rPr>
        <w:t>, así como por el contenido de su correspondiente manual de contratación</w:t>
      </w:r>
      <w:r w:rsidR="00D300B7" w:rsidRPr="00E82800">
        <w:rPr>
          <w:rFonts w:ascii="Arial" w:eastAsia="Arial" w:hAnsi="Arial" w:cs="Arial"/>
          <w:bCs/>
          <w:color w:val="000000"/>
          <w:sz w:val="22"/>
          <w:szCs w:val="22"/>
        </w:rPr>
        <w:t xml:space="preserve">. </w:t>
      </w:r>
      <w:r w:rsidR="00DC7557">
        <w:rPr>
          <w:rFonts w:ascii="Arial" w:eastAsia="Arial" w:hAnsi="Arial" w:cs="Arial"/>
          <w:bCs/>
          <w:color w:val="000000"/>
          <w:sz w:val="22"/>
          <w:szCs w:val="22"/>
        </w:rPr>
        <w:t>En todo caso, de acuerdo con la respuesta anterior</w:t>
      </w:r>
      <w:r w:rsidR="008F6B98">
        <w:rPr>
          <w:rFonts w:ascii="Arial" w:eastAsia="Arial" w:hAnsi="Arial" w:cs="Arial"/>
          <w:bCs/>
          <w:color w:val="000000"/>
          <w:sz w:val="22"/>
          <w:szCs w:val="22"/>
        </w:rPr>
        <w:t>,</w:t>
      </w:r>
      <w:r w:rsidR="00DC7557">
        <w:rPr>
          <w:rFonts w:ascii="Arial" w:eastAsia="Arial" w:hAnsi="Arial" w:cs="Arial"/>
          <w:bCs/>
          <w:color w:val="000000"/>
          <w:sz w:val="22"/>
          <w:szCs w:val="22"/>
        </w:rPr>
        <w:t xml:space="preserve"> no les resultará vinculante el régimen de garantías establecido en el Decreto 1082 de 2015. </w:t>
      </w:r>
      <w:r w:rsidR="00FC3E06" w:rsidRPr="00E82800">
        <w:rPr>
          <w:rFonts w:ascii="Arial" w:hAnsi="Arial" w:cs="Arial"/>
          <w:color w:val="000000"/>
          <w:sz w:val="22"/>
          <w:szCs w:val="22"/>
          <w:lang w:eastAsia="en-US"/>
        </w:rPr>
        <w:t xml:space="preserve">Esto implica que </w:t>
      </w:r>
      <w:r w:rsidR="00627779">
        <w:rPr>
          <w:rFonts w:ascii="Arial" w:hAnsi="Arial" w:cs="Arial"/>
          <w:color w:val="000000"/>
          <w:sz w:val="22"/>
          <w:szCs w:val="22"/>
          <w:lang w:eastAsia="en-US"/>
        </w:rPr>
        <w:t>podrán</w:t>
      </w:r>
      <w:r w:rsidR="00627779" w:rsidRPr="00E82800">
        <w:rPr>
          <w:rFonts w:ascii="Arial" w:hAnsi="Arial" w:cs="Arial"/>
          <w:color w:val="000000"/>
          <w:sz w:val="22"/>
          <w:szCs w:val="22"/>
          <w:lang w:eastAsia="en-US"/>
        </w:rPr>
        <w:t xml:space="preserve"> </w:t>
      </w:r>
      <w:r w:rsidR="00FC3E06" w:rsidRPr="00E82800">
        <w:rPr>
          <w:rFonts w:ascii="Arial" w:hAnsi="Arial" w:cs="Arial"/>
          <w:color w:val="000000"/>
          <w:sz w:val="22"/>
          <w:szCs w:val="22"/>
          <w:lang w:eastAsia="en-US"/>
        </w:rPr>
        <w:t>establecer las garantías para sus contratos, teniendo en cuenta para cada caso, la naturaleza del objeto del contrato, las condiciones de celebración</w:t>
      </w:r>
      <w:r w:rsidR="00E1670B" w:rsidRPr="00E82800">
        <w:rPr>
          <w:rFonts w:ascii="Arial" w:hAnsi="Arial" w:cs="Arial"/>
          <w:color w:val="000000"/>
          <w:sz w:val="22"/>
          <w:szCs w:val="22"/>
          <w:lang w:eastAsia="en-US"/>
        </w:rPr>
        <w:t xml:space="preserve">, </w:t>
      </w:r>
      <w:r w:rsidR="00FC3E06" w:rsidRPr="00E82800">
        <w:rPr>
          <w:rFonts w:ascii="Arial" w:hAnsi="Arial" w:cs="Arial"/>
          <w:color w:val="000000"/>
          <w:sz w:val="22"/>
          <w:szCs w:val="22"/>
          <w:lang w:eastAsia="en-US"/>
        </w:rPr>
        <w:t>ejecución</w:t>
      </w:r>
      <w:r w:rsidR="00DC7557">
        <w:rPr>
          <w:rFonts w:ascii="Arial" w:hAnsi="Arial" w:cs="Arial"/>
          <w:color w:val="000000"/>
          <w:sz w:val="22"/>
          <w:szCs w:val="22"/>
          <w:lang w:eastAsia="en-US"/>
        </w:rPr>
        <w:t xml:space="preserve"> </w:t>
      </w:r>
      <w:r w:rsidR="00FC3E06" w:rsidRPr="00E82800">
        <w:rPr>
          <w:rFonts w:ascii="Arial" w:hAnsi="Arial" w:cs="Arial"/>
          <w:color w:val="000000"/>
          <w:sz w:val="22"/>
          <w:szCs w:val="22"/>
          <w:lang w:eastAsia="en-US"/>
        </w:rPr>
        <w:t xml:space="preserve">y los riesgos identificados que deban </w:t>
      </w:r>
      <w:r w:rsidR="00EF1944" w:rsidRPr="00E82800">
        <w:rPr>
          <w:rFonts w:ascii="Arial" w:hAnsi="Arial" w:cs="Arial"/>
          <w:color w:val="000000"/>
          <w:sz w:val="22"/>
          <w:szCs w:val="22"/>
          <w:lang w:eastAsia="en-US"/>
        </w:rPr>
        <w:t xml:space="preserve">ser </w:t>
      </w:r>
      <w:r w:rsidR="00FC3E06" w:rsidRPr="00E82800">
        <w:rPr>
          <w:rFonts w:ascii="Arial" w:hAnsi="Arial" w:cs="Arial"/>
          <w:color w:val="000000"/>
          <w:sz w:val="22"/>
          <w:szCs w:val="22"/>
          <w:lang w:eastAsia="en-US"/>
        </w:rPr>
        <w:t>cubiertos</w:t>
      </w:r>
      <w:r w:rsidR="00E1670B" w:rsidRPr="00E82800">
        <w:rPr>
          <w:rFonts w:ascii="Arial" w:hAnsi="Arial" w:cs="Arial"/>
          <w:color w:val="000000"/>
          <w:sz w:val="22"/>
          <w:szCs w:val="22"/>
          <w:lang w:eastAsia="en-US"/>
        </w:rPr>
        <w:t xml:space="preserve"> durante las diferentes etapas de su actividad contractual</w:t>
      </w:r>
      <w:r w:rsidR="00DC7557">
        <w:rPr>
          <w:rFonts w:ascii="Arial" w:hAnsi="Arial" w:cs="Arial"/>
          <w:color w:val="000000"/>
          <w:sz w:val="22"/>
          <w:szCs w:val="22"/>
          <w:lang w:val="es-ES_tradnl" w:eastAsia="en-US"/>
        </w:rPr>
        <w:t xml:space="preserve">, pudiendo incluir las garantías que permita </w:t>
      </w:r>
      <w:r w:rsidR="00DF6B19">
        <w:rPr>
          <w:rFonts w:ascii="Arial" w:hAnsi="Arial" w:cs="Arial"/>
          <w:color w:val="000000"/>
          <w:sz w:val="22"/>
          <w:szCs w:val="22"/>
          <w:lang w:val="es-ES_tradnl" w:eastAsia="en-US"/>
        </w:rPr>
        <w:t>la autonomía de la voluntad en materia contractual, de acuerdo con las normas civiles y comerciales, al tratarse de entidades exceptuadas del EGCAP</w:t>
      </w:r>
      <w:r w:rsidR="008F6B98">
        <w:rPr>
          <w:rFonts w:ascii="Arial" w:hAnsi="Arial" w:cs="Arial"/>
          <w:color w:val="000000"/>
          <w:sz w:val="22"/>
          <w:szCs w:val="22"/>
          <w:lang w:val="es-ES_tradnl" w:eastAsia="en-US"/>
        </w:rPr>
        <w:t>,</w:t>
      </w:r>
      <w:r w:rsidR="00DF6B19">
        <w:rPr>
          <w:rFonts w:ascii="Arial" w:hAnsi="Arial" w:cs="Arial"/>
          <w:color w:val="000000"/>
          <w:sz w:val="22"/>
          <w:szCs w:val="22"/>
          <w:lang w:val="es-ES_tradnl" w:eastAsia="en-US"/>
        </w:rPr>
        <w:t xml:space="preserve"> por tener un régimen especial de contratación.</w:t>
      </w:r>
    </w:p>
    <w:p w14:paraId="7CD744E4" w14:textId="77777777" w:rsidR="00511475" w:rsidRDefault="00511475" w:rsidP="00AA1B5C">
      <w:pPr>
        <w:tabs>
          <w:tab w:val="left" w:pos="284"/>
        </w:tabs>
        <w:rPr>
          <w:rFonts w:ascii="Arial" w:eastAsia="Arial" w:hAnsi="Arial" w:cs="Arial"/>
          <w:color w:val="000000"/>
          <w:sz w:val="22"/>
          <w:szCs w:val="22"/>
        </w:rPr>
      </w:pPr>
    </w:p>
    <w:p w14:paraId="38D709B1" w14:textId="77777777" w:rsidR="00871181" w:rsidRPr="006A06F2" w:rsidRDefault="003E3EF7" w:rsidP="00AA1B5C">
      <w:pPr>
        <w:rPr>
          <w:rFonts w:ascii="Arial" w:eastAsia="Arial" w:hAnsi="Arial" w:cs="Arial"/>
          <w:color w:val="000000"/>
          <w:sz w:val="22"/>
          <w:szCs w:val="22"/>
        </w:rPr>
      </w:pPr>
      <w:bookmarkStart w:id="5" w:name="_2grqrue" w:colFirst="0" w:colLast="0"/>
      <w:bookmarkEnd w:id="5"/>
      <w:r w:rsidRPr="006A06F2">
        <w:rPr>
          <w:rFonts w:ascii="Arial" w:eastAsia="Arial" w:hAnsi="Arial" w:cs="Arial"/>
          <w:color w:val="000000"/>
          <w:sz w:val="22"/>
          <w:szCs w:val="22"/>
        </w:rPr>
        <w:t>Este concepto tiene el alcance previsto en el artículo 28 del Código de Procedimiento Administrativo y de lo Contencioso Administrativo.</w:t>
      </w:r>
    </w:p>
    <w:p w14:paraId="2C9BA73D" w14:textId="77777777" w:rsidR="00871181" w:rsidRPr="006A06F2" w:rsidRDefault="003E3EF7" w:rsidP="00AA1B5C">
      <w:pPr>
        <w:rPr>
          <w:rFonts w:ascii="Arial" w:eastAsia="Arial" w:hAnsi="Arial" w:cs="Arial"/>
          <w:color w:val="000000"/>
          <w:sz w:val="22"/>
          <w:szCs w:val="22"/>
        </w:rPr>
      </w:pPr>
      <w:r w:rsidRPr="006A06F2">
        <w:rPr>
          <w:noProof/>
          <w:lang w:eastAsia="es-CO"/>
        </w:rPr>
        <mc:AlternateContent>
          <mc:Choice Requires="wps">
            <w:drawing>
              <wp:anchor distT="4294967260" distB="4294967260" distL="114300" distR="114300" simplePos="0" relativeHeight="251658240" behindDoc="0" locked="0" layoutInCell="1" hidden="0" allowOverlap="1" wp14:anchorId="4D23C5F8" wp14:editId="706E9BD3">
                <wp:simplePos x="0" y="0"/>
                <wp:positionH relativeFrom="column">
                  <wp:posOffset>434340</wp:posOffset>
                </wp:positionH>
                <wp:positionV relativeFrom="paragraph">
                  <wp:posOffset>10205</wp:posOffset>
                </wp:positionV>
                <wp:extent cx="4686300" cy="0"/>
                <wp:effectExtent l="0" t="4763" r="0" b="4763"/>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86300" cy="0"/>
                        </a:xfrm>
                        <a:prstGeom prst="line">
                          <a:avLst/>
                        </a:prstGeom>
                        <a:noFill/>
                        <a:ln w="9525" cap="flat" cmpd="sng" algn="ctr">
                          <a:solidFill>
                            <a:srgbClr val="DBDBDB"/>
                          </a:solidFill>
                          <a:prstDash val="solid"/>
                        </a:ln>
                        <a:effectLst/>
                      </wps:spPr>
                      <wps:bodyPr/>
                    </wps:wsp>
                  </a:graphicData>
                </a:graphic>
              </wp:anchor>
            </w:drawing>
          </mc:Choice>
          <mc:Fallback>
            <w:pict>
              <v:line w14:anchorId="4041AE7B" id="Conector recto 1" o:spid="_x0000_s1026" style="position:absolute;z-index:251658240;visibility:visible;mso-wrap-style:square;mso-wrap-distance-left:9pt;mso-wrap-distance-top:-.001mm;mso-wrap-distance-right:9pt;mso-wrap-distance-bottom:-.001mm;mso-position-horizontal:absolute;mso-position-horizontal-relative:text;mso-position-vertical:absolute;mso-position-vertical-relative:text" from="34.2pt,.8pt" to="403.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" strokecolor="#dbdbdb">
                <o:lock v:ext="edit" shapetype="f"/>
              </v:line>
            </w:pict>
          </mc:Fallback>
        </mc:AlternateContent>
      </w:r>
    </w:p>
    <w:p w14:paraId="6A6BA420" w14:textId="627AC890" w:rsidR="00871181" w:rsidRDefault="003E3EF7" w:rsidP="00AA1B5C">
      <w:pPr>
        <w:rPr>
          <w:rFonts w:ascii="Arial" w:eastAsia="Arial" w:hAnsi="Arial" w:cs="Arial"/>
          <w:color w:val="000000"/>
          <w:sz w:val="22"/>
          <w:szCs w:val="22"/>
        </w:rPr>
      </w:pPr>
      <w:r w:rsidRPr="006A06F2">
        <w:rPr>
          <w:rFonts w:ascii="Arial" w:eastAsia="Arial" w:hAnsi="Arial" w:cs="Arial"/>
          <w:color w:val="000000"/>
          <w:sz w:val="22"/>
          <w:szCs w:val="22"/>
        </w:rPr>
        <w:t>Atentamente,</w:t>
      </w:r>
    </w:p>
    <w:p w14:paraId="1B4DBAD7" w14:textId="10059436" w:rsidR="00CE3419" w:rsidRDefault="00CE3419" w:rsidP="00AA1B5C">
      <w:pPr>
        <w:rPr>
          <w:rFonts w:ascii="Arial" w:eastAsia="Arial" w:hAnsi="Arial" w:cs="Arial"/>
          <w:color w:val="000000"/>
          <w:sz w:val="22"/>
          <w:szCs w:val="22"/>
        </w:rPr>
      </w:pPr>
    </w:p>
    <w:p w14:paraId="362AAD9D" w14:textId="75DE1658" w:rsidR="00593691" w:rsidRDefault="00593691" w:rsidP="00593691">
      <w:pPr>
        <w:jc w:val="center"/>
      </w:pPr>
      <w:r>
        <w:rPr>
          <w:rFonts w:ascii="Calibri" w:eastAsia="Calibri" w:hAnsi="Calibri" w:cs="Calibri"/>
          <w:noProof/>
          <w:color w:val="000000"/>
          <w:lang w:val="es-MX" w:eastAsia="es-ES_tradnl"/>
        </w:rPr>
        <w:drawing>
          <wp:inline distT="0" distB="0" distL="0" distR="0" wp14:anchorId="20DF6B78" wp14:editId="0585B785">
            <wp:extent cx="1675130" cy="743585"/>
            <wp:effectExtent l="0" t="0" r="1270" b="571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5130" cy="743585"/>
                    </a:xfrm>
                    <a:prstGeom prst="rect">
                      <a:avLst/>
                    </a:prstGeom>
                    <a:noFill/>
                    <a:ln>
                      <a:noFill/>
                    </a:ln>
                  </pic:spPr>
                </pic:pic>
              </a:graphicData>
            </a:graphic>
          </wp:inline>
        </w:drawing>
      </w:r>
    </w:p>
    <w:p w14:paraId="523AB4BF" w14:textId="3134D9C8" w:rsidR="00CE3419" w:rsidRDefault="00CE3419" w:rsidP="00AA1B5C">
      <w:pPr>
        <w:rPr>
          <w:rFonts w:ascii="Arial" w:eastAsia="Arial" w:hAnsi="Arial" w:cs="Arial"/>
          <w:color w:val="000000"/>
          <w:sz w:val="22"/>
          <w:szCs w:val="22"/>
        </w:rPr>
      </w:pPr>
    </w:p>
    <w:p w14:paraId="3E845F14" w14:textId="26397683" w:rsidR="00871181" w:rsidRPr="006A06F2" w:rsidRDefault="00871181" w:rsidP="00AA1B5C">
      <w:pPr>
        <w:jc w:val="center"/>
        <w:rPr>
          <w:rFonts w:ascii="Arial" w:eastAsia="Arial" w:hAnsi="Arial" w:cs="Arial"/>
          <w:color w:val="000000"/>
          <w:sz w:val="18"/>
          <w:szCs w:val="18"/>
        </w:rPr>
      </w:pPr>
    </w:p>
    <w:tbl>
      <w:tblPr>
        <w:tblStyle w:val="1"/>
        <w:tblW w:w="522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871181" w:rsidRPr="006A06F2" w14:paraId="6F2F4D07" w14:textId="77777777">
        <w:trPr>
          <w:trHeight w:val="315"/>
        </w:trPr>
        <w:tc>
          <w:tcPr>
            <w:tcW w:w="812" w:type="dxa"/>
            <w:vAlign w:val="center"/>
          </w:tcPr>
          <w:p w14:paraId="77405AFA" w14:textId="77777777" w:rsidR="00871181" w:rsidRPr="006A06F2" w:rsidRDefault="003E3EF7" w:rsidP="00AA1B5C">
            <w:pPr>
              <w:spacing w:before="0" w:line="276" w:lineRule="auto"/>
            </w:pPr>
            <w:r w:rsidRPr="006A06F2">
              <w:rPr>
                <w:rFonts w:ascii="Arial" w:eastAsia="Arial" w:hAnsi="Arial" w:cs="Arial"/>
                <w:color w:val="000000"/>
                <w:sz w:val="16"/>
                <w:szCs w:val="16"/>
              </w:rPr>
              <w:t>Elaboró:</w:t>
            </w:r>
          </w:p>
        </w:tc>
        <w:tc>
          <w:tcPr>
            <w:tcW w:w="4413" w:type="dxa"/>
            <w:tcBorders>
              <w:top w:val="nil"/>
              <w:left w:val="nil"/>
              <w:bottom w:val="dotted" w:sz="4" w:space="0" w:color="7F7F7F"/>
              <w:right w:val="nil"/>
            </w:tcBorders>
            <w:vAlign w:val="center"/>
          </w:tcPr>
          <w:p w14:paraId="7AEF2B6B" w14:textId="77777777" w:rsidR="00871181" w:rsidRPr="006A06F2" w:rsidRDefault="003E3EF7" w:rsidP="00AA1B5C">
            <w:pPr>
              <w:spacing w:before="0" w:line="276" w:lineRule="auto"/>
            </w:pPr>
            <w:r w:rsidRPr="006A06F2">
              <w:rPr>
                <w:rFonts w:ascii="Arial" w:eastAsia="Arial" w:hAnsi="Arial" w:cs="Arial"/>
                <w:color w:val="000000"/>
                <w:sz w:val="16"/>
                <w:szCs w:val="16"/>
              </w:rPr>
              <w:t>Álvaro Namén Vargas</w:t>
            </w:r>
          </w:p>
          <w:p w14:paraId="446198CA" w14:textId="77777777" w:rsidR="00871181" w:rsidRPr="006A06F2" w:rsidRDefault="003E3EF7" w:rsidP="00AA1B5C">
            <w:pPr>
              <w:spacing w:before="0" w:line="276" w:lineRule="auto"/>
            </w:pPr>
            <w:r w:rsidRPr="006A06F2">
              <w:rPr>
                <w:rFonts w:ascii="Arial" w:eastAsia="Arial" w:hAnsi="Arial" w:cs="Arial"/>
                <w:color w:val="000000"/>
                <w:sz w:val="16"/>
                <w:szCs w:val="16"/>
              </w:rPr>
              <w:t>Contratista de la Subdirección de Gestión Contractual</w:t>
            </w:r>
          </w:p>
        </w:tc>
      </w:tr>
      <w:tr w:rsidR="00871181" w:rsidRPr="006A06F2" w14:paraId="24CCDCD5" w14:textId="77777777">
        <w:trPr>
          <w:trHeight w:val="330"/>
        </w:trPr>
        <w:tc>
          <w:tcPr>
            <w:tcW w:w="812" w:type="dxa"/>
            <w:vAlign w:val="center"/>
          </w:tcPr>
          <w:p w14:paraId="04AB08F9" w14:textId="77777777" w:rsidR="00871181" w:rsidRPr="006A06F2" w:rsidRDefault="003E3EF7" w:rsidP="00AA1B5C">
            <w:pPr>
              <w:spacing w:before="0" w:line="276" w:lineRule="auto"/>
            </w:pPr>
            <w:r w:rsidRPr="006A06F2">
              <w:rPr>
                <w:rFonts w:ascii="Arial" w:eastAsia="Arial" w:hAnsi="Arial" w:cs="Arial"/>
                <w:color w:val="000000"/>
                <w:sz w:val="16"/>
                <w:szCs w:val="16"/>
              </w:rPr>
              <w:t>Revisó:</w:t>
            </w:r>
          </w:p>
        </w:tc>
        <w:tc>
          <w:tcPr>
            <w:tcW w:w="4413" w:type="dxa"/>
            <w:tcBorders>
              <w:top w:val="dotted" w:sz="4" w:space="0" w:color="7F7F7F"/>
              <w:left w:val="nil"/>
              <w:bottom w:val="dotted" w:sz="4" w:space="0" w:color="7F7F7F"/>
              <w:right w:val="nil"/>
            </w:tcBorders>
            <w:vAlign w:val="center"/>
          </w:tcPr>
          <w:p w14:paraId="3083DCA6" w14:textId="77777777" w:rsidR="00871181" w:rsidRPr="006A06F2" w:rsidRDefault="003E3EF7" w:rsidP="00AA1B5C">
            <w:pPr>
              <w:spacing w:before="0" w:line="276" w:lineRule="auto"/>
            </w:pPr>
            <w:r w:rsidRPr="006A06F2">
              <w:rPr>
                <w:rFonts w:ascii="Arial" w:eastAsia="Arial" w:hAnsi="Arial" w:cs="Arial"/>
                <w:color w:val="000000"/>
                <w:sz w:val="16"/>
                <w:szCs w:val="16"/>
              </w:rPr>
              <w:t>Sebastián Ramírez Grisales</w:t>
            </w:r>
          </w:p>
          <w:p w14:paraId="4DB49BE1" w14:textId="77777777" w:rsidR="00871181" w:rsidRPr="006A06F2" w:rsidRDefault="003E3EF7" w:rsidP="00AA1B5C">
            <w:pPr>
              <w:spacing w:before="0" w:line="276" w:lineRule="auto"/>
            </w:pPr>
            <w:r w:rsidRPr="006A06F2">
              <w:rPr>
                <w:rFonts w:ascii="Arial" w:eastAsia="Arial" w:hAnsi="Arial" w:cs="Arial"/>
                <w:color w:val="000000"/>
                <w:sz w:val="16"/>
                <w:szCs w:val="16"/>
              </w:rPr>
              <w:t>Contratista de la Subdirección de Gestión Contractual</w:t>
            </w:r>
          </w:p>
        </w:tc>
      </w:tr>
      <w:tr w:rsidR="00871181" w14:paraId="0B092314" w14:textId="77777777">
        <w:trPr>
          <w:trHeight w:val="300"/>
        </w:trPr>
        <w:tc>
          <w:tcPr>
            <w:tcW w:w="812" w:type="dxa"/>
            <w:vAlign w:val="center"/>
          </w:tcPr>
          <w:p w14:paraId="6240A5E7" w14:textId="77777777" w:rsidR="00871181" w:rsidRPr="006A06F2" w:rsidRDefault="003E3EF7" w:rsidP="00AA1B5C">
            <w:pPr>
              <w:spacing w:before="0" w:line="276" w:lineRule="auto"/>
            </w:pPr>
            <w:r w:rsidRPr="006A06F2">
              <w:rPr>
                <w:rFonts w:ascii="Arial" w:eastAsia="Arial" w:hAnsi="Arial" w:cs="Arial"/>
                <w:color w:val="000000"/>
                <w:sz w:val="16"/>
                <w:szCs w:val="16"/>
              </w:rPr>
              <w:t>Aprobó:</w:t>
            </w:r>
          </w:p>
        </w:tc>
        <w:tc>
          <w:tcPr>
            <w:tcW w:w="4413" w:type="dxa"/>
            <w:tcBorders>
              <w:top w:val="dotted" w:sz="4" w:space="0" w:color="7F7F7F"/>
              <w:left w:val="nil"/>
              <w:bottom w:val="dotted" w:sz="4" w:space="0" w:color="7F7F7F"/>
              <w:right w:val="nil"/>
            </w:tcBorders>
            <w:vAlign w:val="center"/>
          </w:tcPr>
          <w:p w14:paraId="6529768B" w14:textId="77777777" w:rsidR="00871181" w:rsidRPr="006A06F2" w:rsidRDefault="003E3EF7" w:rsidP="00AA1B5C">
            <w:pPr>
              <w:spacing w:before="0" w:line="276" w:lineRule="auto"/>
            </w:pPr>
            <w:r w:rsidRPr="006A06F2">
              <w:rPr>
                <w:rFonts w:ascii="Arial" w:eastAsia="Arial" w:hAnsi="Arial" w:cs="Arial"/>
                <w:color w:val="000000"/>
                <w:sz w:val="16"/>
                <w:szCs w:val="16"/>
              </w:rPr>
              <w:t>Jorge Augusto Tirado Navarro</w:t>
            </w:r>
          </w:p>
          <w:p w14:paraId="02B5945B" w14:textId="77777777" w:rsidR="00871181" w:rsidRPr="006A06F2" w:rsidRDefault="003E3EF7" w:rsidP="00AA1B5C">
            <w:pPr>
              <w:spacing w:before="0" w:line="276" w:lineRule="auto"/>
            </w:pPr>
            <w:r w:rsidRPr="006A06F2">
              <w:rPr>
                <w:rFonts w:ascii="Arial" w:eastAsia="Arial" w:hAnsi="Arial" w:cs="Arial"/>
                <w:color w:val="000000"/>
                <w:sz w:val="16"/>
                <w:szCs w:val="16"/>
              </w:rPr>
              <w:t>Subdirector de Gestión Contractual ANCP – CCE</w:t>
            </w:r>
          </w:p>
        </w:tc>
      </w:tr>
    </w:tbl>
    <w:p w14:paraId="78937CB3" w14:textId="77777777" w:rsidR="00871181" w:rsidRDefault="00871181" w:rsidP="00AA1B5C">
      <w:pPr>
        <w:rPr>
          <w:rFonts w:ascii="Arial" w:eastAsia="Arial" w:hAnsi="Arial" w:cs="Arial"/>
          <w:b/>
          <w:color w:val="000000"/>
          <w:sz w:val="20"/>
          <w:szCs w:val="20"/>
        </w:rPr>
      </w:pPr>
    </w:p>
    <w:sectPr w:rsidR="00871181" w:rsidSect="005407C6">
      <w:headerReference w:type="default" r:id="rId10"/>
      <w:footerReference w:type="default" r:id="rId11"/>
      <w:pgSz w:w="12240" w:h="15840"/>
      <w:pgMar w:top="408" w:right="1701" w:bottom="1276" w:left="1560" w:header="340" w:footer="22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7D7A7" w14:textId="77777777" w:rsidR="00EB3AFA" w:rsidRDefault="00EB3AFA">
      <w:r>
        <w:separator/>
      </w:r>
    </w:p>
  </w:endnote>
  <w:endnote w:type="continuationSeparator" w:id="0">
    <w:p w14:paraId="275779B8" w14:textId="77777777" w:rsidR="00EB3AFA" w:rsidRDefault="00EB3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7768D" w14:textId="77777777" w:rsidR="00EE669C" w:rsidRDefault="00EE669C">
    <w:pPr>
      <w:pBdr>
        <w:top w:val="nil"/>
        <w:left w:val="nil"/>
        <w:bottom w:val="nil"/>
        <w:right w:val="nil"/>
        <w:between w:val="nil"/>
      </w:pBdr>
      <w:rPr>
        <w:rFonts w:ascii="Arial" w:eastAsia="Arial" w:hAnsi="Arial" w:cs="Arial"/>
        <w:color w:val="000000"/>
        <w:sz w:val="18"/>
        <w:szCs w:val="18"/>
      </w:rPr>
    </w:pPr>
  </w:p>
  <w:p w14:paraId="306BC5E2" w14:textId="52493229" w:rsidR="00EE669C" w:rsidRDefault="00EE669C">
    <w:pPr>
      <w:pBdr>
        <w:top w:val="nil"/>
        <w:left w:val="nil"/>
        <w:bottom w:val="nil"/>
        <w:right w:val="nil"/>
        <w:between w:val="nil"/>
      </w:pBdr>
      <w:tabs>
        <w:tab w:val="center" w:pos="4419"/>
        <w:tab w:val="right" w:pos="8838"/>
      </w:tabs>
      <w:jc w:val="right"/>
      <w:rPr>
        <w:rFonts w:ascii="Arial" w:eastAsia="Arial" w:hAnsi="Arial" w:cs="Arial"/>
        <w:color w:val="7F7F7F"/>
        <w:sz w:val="16"/>
        <w:szCs w:val="16"/>
      </w:rPr>
    </w:pPr>
    <w:r>
      <w:rPr>
        <w:rFonts w:ascii="Arial" w:eastAsia="Arial" w:hAnsi="Arial" w:cs="Arial"/>
        <w:color w:val="7F7F7F"/>
        <w:sz w:val="16"/>
        <w:szCs w:val="16"/>
      </w:rPr>
      <w:t xml:space="preserve">Página </w:t>
    </w:r>
    <w:r>
      <w:rPr>
        <w:rFonts w:ascii="Arial" w:eastAsia="Arial" w:hAnsi="Arial" w:cs="Arial"/>
        <w:b/>
        <w:color w:val="7F7F7F"/>
        <w:sz w:val="16"/>
        <w:szCs w:val="16"/>
      </w:rPr>
      <w:fldChar w:fldCharType="begin"/>
    </w:r>
    <w:r>
      <w:rPr>
        <w:rFonts w:ascii="Arial" w:eastAsia="Arial" w:hAnsi="Arial" w:cs="Arial"/>
        <w:b/>
        <w:color w:val="7F7F7F"/>
        <w:sz w:val="16"/>
        <w:szCs w:val="16"/>
      </w:rPr>
      <w:instrText>PAGE</w:instrText>
    </w:r>
    <w:r>
      <w:rPr>
        <w:rFonts w:ascii="Arial" w:eastAsia="Arial" w:hAnsi="Arial" w:cs="Arial"/>
        <w:b/>
        <w:color w:val="7F7F7F"/>
        <w:sz w:val="16"/>
        <w:szCs w:val="16"/>
      </w:rPr>
      <w:fldChar w:fldCharType="separate"/>
    </w:r>
    <w:r w:rsidR="00C649E3">
      <w:rPr>
        <w:rFonts w:ascii="Arial" w:eastAsia="Arial" w:hAnsi="Arial" w:cs="Arial"/>
        <w:b/>
        <w:noProof/>
        <w:color w:val="7F7F7F"/>
        <w:sz w:val="16"/>
        <w:szCs w:val="16"/>
      </w:rPr>
      <w:t>15</w:t>
    </w:r>
    <w:r>
      <w:rPr>
        <w:rFonts w:ascii="Arial" w:eastAsia="Arial" w:hAnsi="Arial" w:cs="Arial"/>
        <w:b/>
        <w:color w:val="7F7F7F"/>
        <w:sz w:val="16"/>
        <w:szCs w:val="16"/>
      </w:rPr>
      <w:fldChar w:fldCharType="end"/>
    </w:r>
    <w:r>
      <w:rPr>
        <w:rFonts w:ascii="Arial" w:eastAsia="Arial" w:hAnsi="Arial" w:cs="Arial"/>
        <w:color w:val="7F7F7F"/>
        <w:sz w:val="16"/>
        <w:szCs w:val="16"/>
      </w:rPr>
      <w:t xml:space="preserve"> de </w:t>
    </w:r>
    <w:r>
      <w:rPr>
        <w:rFonts w:ascii="Arial" w:eastAsia="Arial" w:hAnsi="Arial" w:cs="Arial"/>
        <w:b/>
        <w:color w:val="7F7F7F"/>
        <w:sz w:val="16"/>
        <w:szCs w:val="16"/>
      </w:rPr>
      <w:fldChar w:fldCharType="begin"/>
    </w:r>
    <w:r>
      <w:rPr>
        <w:rFonts w:ascii="Arial" w:eastAsia="Arial" w:hAnsi="Arial" w:cs="Arial"/>
        <w:b/>
        <w:color w:val="7F7F7F"/>
        <w:sz w:val="16"/>
        <w:szCs w:val="16"/>
      </w:rPr>
      <w:instrText>NUMPAGES</w:instrText>
    </w:r>
    <w:r>
      <w:rPr>
        <w:rFonts w:ascii="Arial" w:eastAsia="Arial" w:hAnsi="Arial" w:cs="Arial"/>
        <w:b/>
        <w:color w:val="7F7F7F"/>
        <w:sz w:val="16"/>
        <w:szCs w:val="16"/>
      </w:rPr>
      <w:fldChar w:fldCharType="separate"/>
    </w:r>
    <w:r w:rsidR="00C649E3">
      <w:rPr>
        <w:rFonts w:ascii="Arial" w:eastAsia="Arial" w:hAnsi="Arial" w:cs="Arial"/>
        <w:b/>
        <w:noProof/>
        <w:color w:val="7F7F7F"/>
        <w:sz w:val="16"/>
        <w:szCs w:val="16"/>
      </w:rPr>
      <w:t>15</w:t>
    </w:r>
    <w:r>
      <w:rPr>
        <w:rFonts w:ascii="Arial" w:eastAsia="Arial" w:hAnsi="Arial" w:cs="Arial"/>
        <w:b/>
        <w:color w:val="7F7F7F"/>
        <w:sz w:val="16"/>
        <w:szCs w:val="16"/>
      </w:rPr>
      <w:fldChar w:fldCharType="end"/>
    </w:r>
  </w:p>
  <w:p w14:paraId="31932D98" w14:textId="77777777" w:rsidR="00EE669C" w:rsidRDefault="00EE669C">
    <w:pPr>
      <w:pBdr>
        <w:top w:val="nil"/>
        <w:left w:val="nil"/>
        <w:bottom w:val="nil"/>
        <w:right w:val="nil"/>
        <w:between w:val="nil"/>
      </w:pBdr>
      <w:tabs>
        <w:tab w:val="center" w:pos="4419"/>
        <w:tab w:val="right" w:pos="8838"/>
      </w:tabs>
      <w:jc w:val="center"/>
      <w:rPr>
        <w:color w:val="000000"/>
      </w:rPr>
    </w:pPr>
    <w:r>
      <w:rPr>
        <w:noProof/>
        <w:color w:val="000000"/>
        <w:lang w:eastAsia="es-CO"/>
      </w:rPr>
      <w:drawing>
        <wp:inline distT="0" distB="0" distL="0" distR="0" wp14:anchorId="2317FF68" wp14:editId="6AADFB3E">
          <wp:extent cx="4241994" cy="595165"/>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4241994" cy="595165"/>
                  </a:xfrm>
                  <a:prstGeom prst="rect">
                    <a:avLst/>
                  </a:prstGeom>
                  <a:ln/>
                </pic:spPr>
              </pic:pic>
            </a:graphicData>
          </a:graphic>
        </wp:inline>
      </w:drawing>
    </w:r>
  </w:p>
  <w:p w14:paraId="7648E66C" w14:textId="77777777" w:rsidR="00EE669C" w:rsidRDefault="00EE669C">
    <w:pPr>
      <w:pBdr>
        <w:top w:val="nil"/>
        <w:left w:val="nil"/>
        <w:bottom w:val="nil"/>
        <w:right w:val="nil"/>
        <w:between w:val="nil"/>
      </w:pBdr>
      <w:tabs>
        <w:tab w:val="center" w:pos="4419"/>
        <w:tab w:val="right" w:pos="8838"/>
      </w:tabs>
      <w:spacing w:line="12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C0551" w14:textId="77777777" w:rsidR="00EB3AFA" w:rsidRDefault="00EB3AFA">
      <w:r>
        <w:separator/>
      </w:r>
    </w:p>
  </w:footnote>
  <w:footnote w:type="continuationSeparator" w:id="0">
    <w:p w14:paraId="009536C1" w14:textId="77777777" w:rsidR="00EB3AFA" w:rsidRDefault="00EB3AFA">
      <w:r>
        <w:continuationSeparator/>
      </w:r>
    </w:p>
  </w:footnote>
  <w:footnote w:id="1">
    <w:p w14:paraId="76BC3DC8" w14:textId="77777777" w:rsidR="0075254F" w:rsidRPr="00AC5959" w:rsidRDefault="0075254F" w:rsidP="0075254F">
      <w:pPr>
        <w:pBdr>
          <w:top w:val="nil"/>
          <w:left w:val="nil"/>
          <w:bottom w:val="nil"/>
          <w:right w:val="nil"/>
          <w:between w:val="nil"/>
        </w:pBdr>
        <w:ind w:firstLine="709"/>
        <w:rPr>
          <w:rFonts w:ascii="Arial" w:eastAsia="Arial" w:hAnsi="Arial" w:cs="Arial"/>
          <w:color w:val="000000"/>
          <w:sz w:val="19"/>
          <w:szCs w:val="19"/>
        </w:rPr>
      </w:pPr>
      <w:bookmarkStart w:id="3" w:name="_vx1227" w:colFirst="0" w:colLast="0"/>
      <w:bookmarkEnd w:id="3"/>
      <w:r w:rsidRPr="00AC5959">
        <w:rPr>
          <w:rFonts w:ascii="Arial" w:hAnsi="Arial" w:cs="Arial"/>
          <w:sz w:val="19"/>
          <w:szCs w:val="19"/>
          <w:vertAlign w:val="superscript"/>
        </w:rPr>
        <w:footnoteRef/>
      </w:r>
      <w:r w:rsidRPr="00AC5959">
        <w:rPr>
          <w:rFonts w:ascii="Arial" w:eastAsia="Arial" w:hAnsi="Arial" w:cs="Arial"/>
          <w:color w:val="000000"/>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AC5959">
        <w:rPr>
          <w:rFonts w:ascii="Arial" w:eastAsia="Arial" w:hAnsi="Arial" w:cs="Arial"/>
          <w:i/>
          <w:color w:val="000000"/>
          <w:sz w:val="19"/>
          <w:szCs w:val="19"/>
        </w:rPr>
        <w:t xml:space="preserve">ibídem </w:t>
      </w:r>
      <w:r w:rsidRPr="00AC5959">
        <w:rPr>
          <w:rFonts w:ascii="Arial" w:eastAsia="Arial" w:hAnsi="Arial" w:cs="Arial"/>
          <w:color w:val="000000"/>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Esta se fija con límites claros, con el objeto de evitar que la Agencia actúe como una instancia de validación de las actuaciones de las entidades sujetas a la Ley 80 de 1993 o de los demás participantes de la contratación pública.</w:t>
      </w:r>
    </w:p>
  </w:footnote>
  <w:footnote w:id="2">
    <w:p w14:paraId="601F45E0" w14:textId="77777777" w:rsidR="002A572D" w:rsidRPr="002A572D" w:rsidRDefault="002A572D" w:rsidP="002A572D">
      <w:pPr>
        <w:pStyle w:val="Textonotapie"/>
        <w:ind w:firstLine="709"/>
        <w:rPr>
          <w:rFonts w:ascii="Arial" w:hAnsi="Arial" w:cs="Arial"/>
          <w:color w:val="000000"/>
          <w:sz w:val="19"/>
          <w:szCs w:val="19"/>
        </w:rPr>
      </w:pPr>
      <w:r w:rsidRPr="002A572D">
        <w:rPr>
          <w:rStyle w:val="Refdenotaalpie"/>
          <w:rFonts w:ascii="Arial" w:hAnsi="Arial" w:cs="Arial"/>
          <w:color w:val="000000"/>
          <w:sz w:val="19"/>
          <w:szCs w:val="19"/>
        </w:rPr>
        <w:footnoteRef/>
      </w:r>
      <w:r w:rsidRPr="002A572D">
        <w:rPr>
          <w:rFonts w:ascii="Arial" w:hAnsi="Arial" w:cs="Arial"/>
          <w:color w:val="000000"/>
          <w:sz w:val="19"/>
          <w:szCs w:val="19"/>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footnote>
  <w:footnote w:id="3">
    <w:p w14:paraId="2AC88C8D" w14:textId="77777777" w:rsidR="002A572D" w:rsidRPr="002A572D" w:rsidRDefault="002A572D" w:rsidP="002A572D">
      <w:pPr>
        <w:pStyle w:val="Textonotapie"/>
        <w:ind w:firstLine="709"/>
        <w:rPr>
          <w:rFonts w:ascii="Arial" w:hAnsi="Arial" w:cs="Arial"/>
          <w:color w:val="000000"/>
          <w:sz w:val="19"/>
          <w:szCs w:val="19"/>
        </w:rPr>
      </w:pPr>
      <w:r w:rsidRPr="002A572D">
        <w:rPr>
          <w:rStyle w:val="Refdenotaalpie"/>
          <w:rFonts w:ascii="Arial" w:hAnsi="Arial" w:cs="Arial"/>
          <w:color w:val="000000"/>
          <w:sz w:val="19"/>
          <w:szCs w:val="19"/>
        </w:rPr>
        <w:footnoteRef/>
      </w:r>
      <w:r w:rsidRPr="002A572D">
        <w:rPr>
          <w:rFonts w:ascii="Arial" w:hAnsi="Arial" w:cs="Arial"/>
          <w:color w:val="000000"/>
          <w:sz w:val="19"/>
          <w:szCs w:val="19"/>
        </w:rPr>
        <w:t xml:space="preserve"> Consejo de Estado. Sección Tercera. Radicado No. 45.607 del 24 de octubre de 2016. Consejera Ponente: María Nubia Velásquez Rico.</w:t>
      </w:r>
    </w:p>
    <w:p w14:paraId="6AC4BF75" w14:textId="77777777" w:rsidR="002A572D" w:rsidRPr="002A572D" w:rsidRDefault="002A572D" w:rsidP="002A572D">
      <w:pPr>
        <w:pStyle w:val="Textonotapie"/>
        <w:ind w:firstLine="709"/>
        <w:rPr>
          <w:rFonts w:ascii="Arial" w:hAnsi="Arial" w:cs="Arial"/>
          <w:color w:val="000000"/>
          <w:sz w:val="19"/>
          <w:szCs w:val="19"/>
          <w:lang w:val="es-ES"/>
        </w:rPr>
      </w:pPr>
    </w:p>
  </w:footnote>
  <w:footnote w:id="4">
    <w:p w14:paraId="5992EE57" w14:textId="352B9BBA" w:rsidR="00C41311" w:rsidRPr="001B50C4" w:rsidRDefault="00C41311" w:rsidP="00C41311">
      <w:pPr>
        <w:pStyle w:val="Textonotapie"/>
        <w:ind w:firstLine="709"/>
        <w:rPr>
          <w:rFonts w:ascii="Arial" w:hAnsi="Arial" w:cs="Arial"/>
          <w:color w:val="000000"/>
          <w:sz w:val="19"/>
          <w:szCs w:val="19"/>
        </w:rPr>
      </w:pPr>
      <w:r>
        <w:rPr>
          <w:rStyle w:val="Refdenotaalpie"/>
        </w:rPr>
        <w:footnoteRef/>
      </w:r>
      <w:r>
        <w:t xml:space="preserve"> </w:t>
      </w:r>
      <w:r w:rsidRPr="001B50C4">
        <w:rPr>
          <w:rFonts w:ascii="Arial" w:hAnsi="Arial" w:cs="Arial"/>
          <w:color w:val="000000"/>
          <w:sz w:val="19"/>
          <w:szCs w:val="19"/>
        </w:rPr>
        <w:t>Ley 1150 de 2007: «ARTÍCULO 15. DEL RÉGIMEN CONTRACTUAL DE LAS ENTIDADES FINANCIERAS ESTATALES. El parágrafo 1o del artículo 32 de la Ley 80 de 1993, quedará así:</w:t>
      </w:r>
    </w:p>
    <w:p w14:paraId="2CEDE935" w14:textId="47942218" w:rsidR="00C41311" w:rsidRPr="001B50C4" w:rsidRDefault="00C41311" w:rsidP="00C41311">
      <w:pPr>
        <w:pStyle w:val="Textonotapie"/>
        <w:ind w:firstLine="709"/>
        <w:rPr>
          <w:rFonts w:ascii="Arial" w:hAnsi="Arial" w:cs="Arial"/>
          <w:color w:val="000000"/>
          <w:sz w:val="19"/>
          <w:szCs w:val="19"/>
        </w:rPr>
      </w:pPr>
      <w:r>
        <w:rPr>
          <w:rFonts w:ascii="Arial" w:hAnsi="Arial" w:cs="Arial"/>
          <w:color w:val="000000"/>
          <w:sz w:val="19"/>
          <w:szCs w:val="19"/>
        </w:rPr>
        <w:t>»</w:t>
      </w:r>
      <w:r w:rsidRPr="001B50C4">
        <w:rPr>
          <w:rFonts w:ascii="Arial" w:hAnsi="Arial" w:cs="Arial"/>
          <w:color w:val="000000"/>
          <w:sz w:val="19"/>
          <w:szCs w:val="19"/>
        </w:rPr>
        <w:t>“Artículo 32.</w:t>
      </w:r>
    </w:p>
    <w:p w14:paraId="4691C86E" w14:textId="678DEEE3" w:rsidR="00C41311" w:rsidRPr="001B50C4" w:rsidRDefault="00C41311" w:rsidP="00C41311">
      <w:pPr>
        <w:pStyle w:val="Textonotapie"/>
        <w:ind w:firstLine="709"/>
        <w:rPr>
          <w:rFonts w:ascii="Arial" w:hAnsi="Arial" w:cs="Arial"/>
          <w:color w:val="000000"/>
          <w:sz w:val="19"/>
          <w:szCs w:val="19"/>
        </w:rPr>
      </w:pPr>
      <w:r>
        <w:rPr>
          <w:rFonts w:ascii="Arial" w:hAnsi="Arial" w:cs="Arial"/>
          <w:color w:val="000000"/>
          <w:sz w:val="19"/>
          <w:szCs w:val="19"/>
        </w:rPr>
        <w:t>»</w:t>
      </w:r>
      <w:r w:rsidRPr="001B50C4">
        <w:rPr>
          <w:rFonts w:ascii="Arial" w:hAnsi="Arial" w:cs="Arial"/>
          <w:color w:val="000000"/>
          <w:sz w:val="19"/>
          <w:szCs w:val="19"/>
        </w:rPr>
        <w:t>(...)</w:t>
      </w:r>
    </w:p>
    <w:p w14:paraId="11E2A3E3" w14:textId="44ED9039" w:rsidR="00C41311" w:rsidRPr="001B50C4" w:rsidRDefault="00C41311" w:rsidP="00C41311">
      <w:pPr>
        <w:pStyle w:val="Textonotapie"/>
        <w:ind w:firstLine="709"/>
        <w:rPr>
          <w:rFonts w:ascii="Arial" w:hAnsi="Arial" w:cs="Arial"/>
          <w:color w:val="000000"/>
          <w:sz w:val="19"/>
          <w:szCs w:val="19"/>
        </w:rPr>
      </w:pPr>
      <w:r>
        <w:rPr>
          <w:rFonts w:ascii="Arial" w:hAnsi="Arial" w:cs="Arial"/>
          <w:color w:val="000000"/>
          <w:sz w:val="19"/>
          <w:szCs w:val="19"/>
        </w:rPr>
        <w:t>»</w:t>
      </w:r>
      <w:r w:rsidRPr="001B50C4">
        <w:rPr>
          <w:rFonts w:ascii="Arial" w:hAnsi="Arial" w:cs="Arial"/>
          <w:color w:val="000000"/>
          <w:sz w:val="19"/>
          <w:szCs w:val="19"/>
        </w:rPr>
        <w:t>“Parágrafo 1o. Los Contratos que celebren los Establecimientos de Crédito, las compañías de seguros y las demás entidades financieras de carácter estatal, no estarán sujetos a las disposiciones del Estatuto General de Contratación de la Administración Pública y se regirán por las disposiciones legales y reglamentarias aplicables a dichas actividades.</w:t>
      </w:r>
    </w:p>
    <w:p w14:paraId="157EE7BD" w14:textId="6E1127CD" w:rsidR="00C41311" w:rsidRPr="001B50C4" w:rsidRDefault="00C41311" w:rsidP="00C41311">
      <w:pPr>
        <w:pStyle w:val="Textonotapie"/>
        <w:ind w:firstLine="709"/>
        <w:rPr>
          <w:rFonts w:ascii="Arial" w:hAnsi="Arial" w:cs="Arial"/>
          <w:color w:val="000000"/>
          <w:sz w:val="19"/>
          <w:szCs w:val="19"/>
        </w:rPr>
      </w:pPr>
      <w:r>
        <w:rPr>
          <w:rFonts w:ascii="Arial" w:hAnsi="Arial" w:cs="Arial"/>
          <w:color w:val="000000"/>
          <w:sz w:val="19"/>
          <w:szCs w:val="19"/>
        </w:rPr>
        <w:t>»</w:t>
      </w:r>
      <w:r w:rsidRPr="001B50C4">
        <w:rPr>
          <w:rFonts w:ascii="Arial" w:hAnsi="Arial" w:cs="Arial"/>
          <w:color w:val="000000"/>
          <w:sz w:val="19"/>
          <w:szCs w:val="19"/>
        </w:rPr>
        <w:t>En todo caso, su actividad contractual se someterá a lo dispuesto en el artículo 13 de la presente ley”</w:t>
      </w:r>
      <w:r>
        <w:rPr>
          <w:rFonts w:ascii="Arial" w:hAnsi="Arial" w:cs="Arial"/>
          <w:color w:val="000000"/>
          <w:sz w:val="19"/>
          <w:szCs w:val="19"/>
        </w:rPr>
        <w:t>».</w:t>
      </w:r>
    </w:p>
    <w:p w14:paraId="554A151B" w14:textId="77777777" w:rsidR="00C41311" w:rsidRPr="00C41311" w:rsidRDefault="00C41311" w:rsidP="001B50C4">
      <w:pPr>
        <w:pStyle w:val="Textonotapie"/>
        <w:ind w:firstLine="709"/>
      </w:pPr>
    </w:p>
  </w:footnote>
  <w:footnote w:id="5">
    <w:p w14:paraId="4937D570" w14:textId="77777777" w:rsidR="00954ADE" w:rsidRPr="00954ADE" w:rsidRDefault="00954ADE" w:rsidP="00954ADE">
      <w:pPr>
        <w:pStyle w:val="Textonotapie"/>
        <w:ind w:firstLine="709"/>
        <w:rPr>
          <w:rFonts w:ascii="Arial" w:hAnsi="Arial" w:cs="Arial"/>
          <w:color w:val="000000"/>
          <w:sz w:val="19"/>
          <w:szCs w:val="19"/>
          <w:lang w:val="es-ES"/>
        </w:rPr>
      </w:pPr>
      <w:r w:rsidRPr="00954ADE">
        <w:rPr>
          <w:rStyle w:val="Refdenotaalpie"/>
          <w:rFonts w:ascii="Arial" w:hAnsi="Arial" w:cs="Arial"/>
          <w:color w:val="000000"/>
          <w:sz w:val="19"/>
          <w:szCs w:val="19"/>
        </w:rPr>
        <w:footnoteRef/>
      </w:r>
      <w:r w:rsidRPr="00954ADE">
        <w:rPr>
          <w:rFonts w:ascii="Arial" w:hAnsi="Arial" w:cs="Arial"/>
          <w:color w:val="000000"/>
          <w:sz w:val="19"/>
          <w:szCs w:val="19"/>
        </w:rPr>
        <w:t xml:space="preserve"> </w:t>
      </w:r>
      <w:r w:rsidRPr="00954ADE">
        <w:rPr>
          <w:rFonts w:ascii="Arial" w:hAnsi="Arial" w:cs="Arial"/>
          <w:color w:val="000000"/>
          <w:sz w:val="19"/>
          <w:szCs w:val="19"/>
        </w:rPr>
        <w:tab/>
        <w:t xml:space="preserve">COLOMBIA COMPRA EFICIENTE. «Guía para las Entidades Estatales con régimen especial de Contratación» </w:t>
      </w:r>
      <w:r w:rsidRPr="00954ADE">
        <w:rPr>
          <w:rFonts w:ascii="Arial" w:hAnsi="Arial" w:cs="Arial"/>
          <w:color w:val="000000"/>
          <w:sz w:val="19"/>
          <w:szCs w:val="19"/>
          <w:lang w:val="es-ES"/>
        </w:rPr>
        <w:t>Identificada con la referencia G-EEREC-01 y publicada en el siguiente enlace: https://colombiacompra.gov.co/sites/cce_public/files/cce_documents/cce_guia_regimen_especial.pdf</w:t>
      </w:r>
    </w:p>
    <w:p w14:paraId="7E040D44" w14:textId="77777777" w:rsidR="00954ADE" w:rsidRPr="00954ADE" w:rsidRDefault="00954ADE" w:rsidP="00954ADE">
      <w:pPr>
        <w:pStyle w:val="Textonotapie"/>
        <w:ind w:firstLine="709"/>
        <w:rPr>
          <w:rFonts w:ascii="Arial" w:hAnsi="Arial" w:cs="Arial"/>
          <w:color w:val="000000"/>
          <w:sz w:val="19"/>
          <w:szCs w:val="19"/>
          <w:lang w:val="es-ES"/>
        </w:rPr>
      </w:pPr>
    </w:p>
  </w:footnote>
  <w:footnote w:id="6">
    <w:p w14:paraId="0AF6BC63" w14:textId="6C6B9D12" w:rsidR="00AB298C" w:rsidRPr="001B50C4" w:rsidRDefault="00AB298C" w:rsidP="00AB298C">
      <w:pPr>
        <w:pStyle w:val="Textonotapie"/>
        <w:ind w:firstLine="709"/>
        <w:rPr>
          <w:rFonts w:ascii="Arial" w:hAnsi="Arial" w:cs="Arial"/>
          <w:color w:val="000000"/>
          <w:sz w:val="19"/>
          <w:szCs w:val="19"/>
        </w:rPr>
      </w:pPr>
      <w:r>
        <w:rPr>
          <w:rStyle w:val="Refdenotaalpie"/>
        </w:rPr>
        <w:footnoteRef/>
      </w:r>
      <w:r>
        <w:t xml:space="preserve"> </w:t>
      </w:r>
      <w:r w:rsidRPr="001B50C4">
        <w:rPr>
          <w:rFonts w:ascii="Arial" w:hAnsi="Arial" w:cs="Arial"/>
          <w:color w:val="000000"/>
          <w:sz w:val="19"/>
          <w:szCs w:val="19"/>
        </w:rPr>
        <w:t xml:space="preserve">Ley 100 de 1993. </w:t>
      </w:r>
      <w:r>
        <w:rPr>
          <w:rFonts w:ascii="Arial" w:hAnsi="Arial" w:cs="Arial"/>
          <w:color w:val="000000"/>
          <w:sz w:val="19"/>
          <w:szCs w:val="19"/>
        </w:rPr>
        <w:t>«</w:t>
      </w:r>
      <w:r w:rsidRPr="001B50C4">
        <w:rPr>
          <w:rFonts w:ascii="Arial" w:hAnsi="Arial" w:cs="Arial"/>
          <w:color w:val="000000"/>
          <w:sz w:val="19"/>
          <w:szCs w:val="19"/>
        </w:rPr>
        <w:t>ARTÍCULO 195. RÉGIMEN JURÍDICO. Las Empresas Sociales de Salud se someterán al siguiente régimen jurídico:</w:t>
      </w:r>
    </w:p>
    <w:p w14:paraId="3B900A8F" w14:textId="062E9D89" w:rsidR="00AB298C" w:rsidRPr="001B50C4" w:rsidRDefault="00AB298C" w:rsidP="00AB298C">
      <w:pPr>
        <w:pStyle w:val="Textonotapie"/>
        <w:ind w:firstLine="709"/>
        <w:rPr>
          <w:rFonts w:ascii="Arial" w:hAnsi="Arial" w:cs="Arial"/>
          <w:color w:val="000000"/>
          <w:sz w:val="19"/>
          <w:szCs w:val="19"/>
        </w:rPr>
      </w:pPr>
      <w:r w:rsidRPr="001B50C4">
        <w:rPr>
          <w:rFonts w:ascii="Arial" w:hAnsi="Arial" w:cs="Arial"/>
          <w:color w:val="000000"/>
          <w:sz w:val="19"/>
          <w:szCs w:val="19"/>
        </w:rPr>
        <w:t>[…]</w:t>
      </w:r>
    </w:p>
    <w:p w14:paraId="2A5F22D3" w14:textId="17673170" w:rsidR="00AB298C" w:rsidRPr="00AB298C" w:rsidRDefault="00AB298C" w:rsidP="001B50C4">
      <w:pPr>
        <w:pStyle w:val="Textonotapie"/>
        <w:ind w:firstLine="709"/>
      </w:pPr>
      <w:r>
        <w:rPr>
          <w:rFonts w:ascii="Arial" w:hAnsi="Arial" w:cs="Arial"/>
          <w:color w:val="000000"/>
          <w:sz w:val="19"/>
          <w:szCs w:val="19"/>
        </w:rPr>
        <w:t>»</w:t>
      </w:r>
      <w:r w:rsidRPr="001B50C4">
        <w:rPr>
          <w:rFonts w:ascii="Arial" w:hAnsi="Arial" w:cs="Arial"/>
          <w:color w:val="000000"/>
          <w:sz w:val="19"/>
          <w:szCs w:val="19"/>
        </w:rPr>
        <w:t>6. En materia contractual se regirá por el derecho privado, pero podrá discrecionalmente utilizar las cláusulas exorbitantes previstas en el estatuto general de contratación de la administración pública</w:t>
      </w:r>
      <w:r>
        <w:rPr>
          <w:rFonts w:ascii="Arial" w:hAnsi="Arial" w:cs="Arial"/>
          <w:color w:val="000000"/>
          <w:sz w:val="19"/>
          <w:szCs w:val="19"/>
        </w:rPr>
        <w:t>»</w:t>
      </w:r>
      <w:r w:rsidRPr="001B50C4">
        <w:rPr>
          <w:rFonts w:ascii="Arial" w:hAnsi="Arial" w:cs="Arial"/>
          <w:color w:val="000000"/>
          <w:sz w:val="19"/>
          <w:szCs w:val="19"/>
        </w:rPr>
        <w:t>.</w:t>
      </w:r>
    </w:p>
  </w:footnote>
  <w:footnote w:id="7">
    <w:p w14:paraId="7C7DD2E6" w14:textId="77777777" w:rsidR="00954ADE" w:rsidRPr="00954ADE" w:rsidRDefault="00954ADE" w:rsidP="00954ADE">
      <w:pPr>
        <w:pStyle w:val="Textonotapie"/>
        <w:ind w:firstLine="709"/>
        <w:rPr>
          <w:rFonts w:ascii="Arial" w:hAnsi="Arial" w:cs="Arial"/>
          <w:color w:val="000000"/>
          <w:sz w:val="19"/>
          <w:szCs w:val="19"/>
          <w:lang w:val="es-ES"/>
        </w:rPr>
      </w:pPr>
      <w:r w:rsidRPr="00954ADE">
        <w:rPr>
          <w:rStyle w:val="Refdenotaalpie"/>
          <w:rFonts w:ascii="Arial" w:hAnsi="Arial" w:cs="Arial"/>
          <w:color w:val="000000"/>
          <w:sz w:val="19"/>
          <w:szCs w:val="19"/>
        </w:rPr>
        <w:footnoteRef/>
      </w:r>
      <w:r w:rsidRPr="00954ADE">
        <w:rPr>
          <w:rFonts w:ascii="Arial" w:hAnsi="Arial" w:cs="Arial"/>
          <w:color w:val="000000"/>
          <w:sz w:val="19"/>
          <w:szCs w:val="19"/>
        </w:rPr>
        <w:t xml:space="preserve"> Sobre las entidades de régimen especial, se puede consultar su definición y un listado aproximado de este tipo de entidades en: BARRETO MORENO, Antonio A. El derecho de la compra pública. Legis - Universidad de la Sabana, primera edición, Bogotá, 2019. </w:t>
      </w:r>
    </w:p>
  </w:footnote>
  <w:footnote w:id="8">
    <w:p w14:paraId="77F6330D" w14:textId="05E8986C" w:rsidR="00D1519A" w:rsidRPr="00D1519A" w:rsidRDefault="00D1519A" w:rsidP="00D1519A">
      <w:pPr>
        <w:pStyle w:val="Textonotapie"/>
        <w:ind w:firstLine="709"/>
        <w:rPr>
          <w:rFonts w:ascii="Arial" w:hAnsi="Arial" w:cs="Arial"/>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 xml:space="preserve">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w:t>
      </w:r>
      <w:r w:rsidRPr="001B50C4">
        <w:rPr>
          <w:rFonts w:ascii="Arial" w:hAnsi="Arial" w:cs="Arial"/>
          <w:bCs/>
          <w:i/>
          <w:iCs/>
          <w:color w:val="000000"/>
          <w:sz w:val="19"/>
          <w:szCs w:val="19"/>
          <w:lang w:val="es-ES"/>
        </w:rPr>
        <w:t>iv) las entidades financieras estatales (parágrafo 1° artículo 15 Ley 1150 de 2007);</w:t>
      </w:r>
      <w:r>
        <w:rPr>
          <w:rFonts w:ascii="Arial" w:hAnsi="Arial" w:cs="Arial"/>
          <w:color w:val="000000"/>
          <w:sz w:val="19"/>
          <w:szCs w:val="19"/>
          <w:lang w:val="es-ES"/>
        </w:rPr>
        <w:t xml:space="preserve"> v </w:t>
      </w:r>
      <w:r w:rsidRPr="00D1519A">
        <w:rPr>
          <w:rFonts w:ascii="Arial" w:hAnsi="Arial" w:cs="Arial"/>
          <w:color w:val="000000"/>
          <w:sz w:val="19"/>
          <w:szCs w:val="19"/>
          <w:lang w:val="es-ES"/>
        </w:rPr>
        <w:t>las universidades públicas (art. 93, Ley 30/92); entre otras.</w:t>
      </w:r>
    </w:p>
    <w:p w14:paraId="3B117A73" w14:textId="77777777" w:rsidR="00D1519A" w:rsidRPr="00D1519A" w:rsidRDefault="00D1519A" w:rsidP="00D1519A">
      <w:pPr>
        <w:pStyle w:val="Textonotapie"/>
        <w:ind w:firstLine="709"/>
        <w:rPr>
          <w:rFonts w:ascii="Arial" w:hAnsi="Arial" w:cs="Arial"/>
          <w:color w:val="000000"/>
          <w:sz w:val="19"/>
          <w:szCs w:val="19"/>
          <w:lang w:val="es-ES"/>
        </w:rPr>
      </w:pPr>
      <w:r w:rsidRPr="00D1519A">
        <w:rPr>
          <w:rFonts w:ascii="Arial" w:hAnsi="Arial" w:cs="Arial"/>
          <w:color w:val="000000"/>
          <w:sz w:val="19"/>
          <w:szCs w:val="19"/>
          <w:lang w:val="es-ES"/>
        </w:rPr>
        <w:t xml:space="preserve"> </w:t>
      </w:r>
    </w:p>
  </w:footnote>
  <w:footnote w:id="9">
    <w:p w14:paraId="28936A04" w14:textId="77777777" w:rsidR="00D1519A" w:rsidRPr="00D1519A" w:rsidRDefault="00D1519A" w:rsidP="00D1519A">
      <w:pPr>
        <w:pStyle w:val="Textonotapie"/>
        <w:ind w:firstLine="709"/>
        <w:rPr>
          <w:rFonts w:ascii="Arial" w:hAnsi="Arial" w:cs="Arial"/>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0">
    <w:p w14:paraId="589B7661" w14:textId="77777777" w:rsidR="00F92759" w:rsidRDefault="00F92759" w:rsidP="00D1519A">
      <w:pPr>
        <w:pStyle w:val="Textonotapie"/>
        <w:ind w:firstLine="709"/>
        <w:rPr>
          <w:rFonts w:ascii="Arial" w:hAnsi="Arial" w:cs="Arial"/>
          <w:color w:val="000000"/>
          <w:sz w:val="19"/>
          <w:szCs w:val="19"/>
          <w:lang w:val="es-ES"/>
        </w:rPr>
      </w:pPr>
    </w:p>
    <w:p w14:paraId="3A56E5EF" w14:textId="5847E14F" w:rsidR="00D1519A" w:rsidRPr="00D1519A" w:rsidRDefault="00D1519A" w:rsidP="00D1519A">
      <w:pPr>
        <w:pStyle w:val="Textonotapie"/>
        <w:ind w:firstLine="709"/>
        <w:rPr>
          <w:rFonts w:ascii="Arial" w:hAnsi="Arial" w:cs="Arial"/>
          <w:color w:val="000000"/>
          <w:sz w:val="19"/>
          <w:szCs w:val="19"/>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Así lo sostuvo el Consejo de Estado: «Esta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32BFCA6E"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02C5B82E"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7637647F"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46174749"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 xml:space="preserve">»c.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 (Consejo de Estado. Sección Tercera. Subsección C. Sentencia del 8 de abril de 2014. Consejero Ponente: Enrique Gil Botero. Expediente: 25.801). </w:t>
      </w:r>
    </w:p>
    <w:p w14:paraId="0616A2B3" w14:textId="77777777" w:rsidR="00D1519A" w:rsidRPr="00D1519A" w:rsidRDefault="00D1519A" w:rsidP="00D1519A">
      <w:pPr>
        <w:pStyle w:val="Textonotapie"/>
        <w:ind w:firstLine="709"/>
        <w:rPr>
          <w:rFonts w:ascii="Arial" w:hAnsi="Arial" w:cs="Arial"/>
          <w:color w:val="000000"/>
          <w:sz w:val="19"/>
          <w:szCs w:val="19"/>
          <w:lang w:val="es-ES"/>
        </w:rPr>
      </w:pPr>
    </w:p>
  </w:footnote>
  <w:footnote w:id="11">
    <w:p w14:paraId="2D6C6513" w14:textId="77777777" w:rsidR="00D1519A" w:rsidRPr="00D1519A" w:rsidRDefault="00D1519A" w:rsidP="00D1519A">
      <w:pPr>
        <w:pStyle w:val="Textonotapie"/>
        <w:ind w:firstLine="709"/>
        <w:rPr>
          <w:rFonts w:ascii="Arial" w:hAnsi="Arial" w:cs="Arial"/>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 xml:space="preserve">Sobre el concepto de </w:t>
      </w:r>
      <w:r w:rsidRPr="00D1519A">
        <w:rPr>
          <w:rFonts w:ascii="Arial" w:hAnsi="Arial" w:cs="Arial"/>
          <w:i/>
          <w:color w:val="000000"/>
          <w:sz w:val="19"/>
          <w:szCs w:val="19"/>
          <w:lang w:val="es-ES"/>
        </w:rPr>
        <w:t>lagunas</w:t>
      </w:r>
      <w:r w:rsidRPr="00D1519A">
        <w:rPr>
          <w:rFonts w:ascii="Arial" w:hAnsi="Arial" w:cs="Arial"/>
          <w:color w:val="000000"/>
          <w:sz w:val="19"/>
          <w:szCs w:val="19"/>
          <w:lang w:val="es-ES"/>
        </w:rPr>
        <w:t xml:space="preserve"> en el sistema normativo, es decir, de </w:t>
      </w:r>
      <w:r w:rsidRPr="00D1519A">
        <w:rPr>
          <w:rFonts w:ascii="Arial" w:hAnsi="Arial" w:cs="Arial"/>
          <w:i/>
          <w:color w:val="000000"/>
          <w:sz w:val="19"/>
          <w:szCs w:val="19"/>
          <w:lang w:val="es-ES"/>
        </w:rPr>
        <w:t>vacíos</w:t>
      </w:r>
      <w:r w:rsidRPr="00D1519A">
        <w:rPr>
          <w:rFonts w:ascii="Arial" w:hAnsi="Arial" w:cs="Arial"/>
          <w:color w:val="000000"/>
          <w:sz w:val="19"/>
          <w:szCs w:val="19"/>
          <w:lang w:val="es-ES"/>
        </w:rPr>
        <w:t xml:space="preserve"> de regulación, puede verse: GARCÍA MÁYNEZ, Eduardo. Filosofía del Derecho. 17ª ed. México: Porrúa, 2011. pp. 222-245.</w:t>
      </w:r>
    </w:p>
    <w:p w14:paraId="326E5EA6" w14:textId="77777777" w:rsidR="00D1519A" w:rsidRPr="00D1519A" w:rsidRDefault="00D1519A" w:rsidP="00D1519A">
      <w:pPr>
        <w:pStyle w:val="Textonotapie"/>
        <w:ind w:firstLine="709"/>
        <w:rPr>
          <w:rFonts w:ascii="Arial" w:hAnsi="Arial" w:cs="Arial"/>
          <w:color w:val="000000"/>
          <w:sz w:val="19"/>
          <w:szCs w:val="19"/>
          <w:lang w:val="es-ES"/>
        </w:rPr>
      </w:pPr>
    </w:p>
  </w:footnote>
  <w:footnote w:id="12">
    <w:p w14:paraId="4F31CA7D" w14:textId="77777777" w:rsidR="00D1519A" w:rsidRPr="00D1519A" w:rsidRDefault="00D1519A" w:rsidP="00D1519A">
      <w:pPr>
        <w:pStyle w:val="Textonotapie"/>
        <w:ind w:firstLine="709"/>
        <w:rPr>
          <w:rFonts w:ascii="Arial" w:hAnsi="Arial" w:cs="Arial"/>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Identificada con la referencia G-EEREC-01 y publicada en el siguiente enlace: https://colombiacompra.gov.co/sites/cce_public/files/cce_documents/cce_guia_regimen_especial.pdf</w:t>
      </w:r>
    </w:p>
  </w:footnote>
  <w:footnote w:id="13">
    <w:p w14:paraId="4432027D" w14:textId="77777777" w:rsidR="00D1519A" w:rsidRPr="00D1519A" w:rsidRDefault="00D1519A" w:rsidP="00D1519A">
      <w:pPr>
        <w:pStyle w:val="Textonotapie"/>
        <w:ind w:firstLine="709"/>
        <w:rPr>
          <w:rFonts w:ascii="Arial" w:hAnsi="Arial" w:cs="Arial"/>
          <w:color w:val="000000"/>
          <w:sz w:val="19"/>
          <w:szCs w:val="19"/>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«ARTÍCULO 2o. ÁMBITO DE APLICACIÓN. Las normas de esta Parte Primera del Código se aplican a todos los organismos y entidades que conforman las ramas del poder público en sus distintos órdenes, sectores y niveles, a los órganos autónomos e independientes del Estado y a los particulares, cuando cumplan funciones administrativas. A todos ellos se les dará el nombre de autoridades.</w:t>
      </w:r>
    </w:p>
    <w:p w14:paraId="4D965086"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»Las disposiciones de esta Parte Primera no se aplicarán en los procedimientos militares o de policía que por su naturaleza requieran decisiones de aplicación inmediata, para evitar o remediar perturbaciones de orden público en los aspectos de defensa nacional, seguridad, tranquilidad, salubridad, y circulación de personas y cosas. Tampoco se aplicarán para ejercer la facultad de libre nombramiento y remoción.</w:t>
      </w:r>
    </w:p>
    <w:p w14:paraId="1A9BF9BA"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»Las autoridades sujetarán sus actuaciones a los procedimientos que se establecen en este Código, sin perjuicio de los procedimientos regulados en leyes especiales. En lo no previsto en los mismos se aplicarán las disposiciones de este Código».</w:t>
      </w:r>
    </w:p>
    <w:p w14:paraId="6CC80E43" w14:textId="77777777" w:rsidR="00D1519A" w:rsidRPr="00D1519A" w:rsidRDefault="00D1519A" w:rsidP="00D1519A">
      <w:pPr>
        <w:pStyle w:val="Textonotapie"/>
        <w:ind w:firstLine="709"/>
        <w:rPr>
          <w:rFonts w:ascii="Arial" w:hAnsi="Arial" w:cs="Arial"/>
          <w:color w:val="000000"/>
          <w:sz w:val="19"/>
          <w:szCs w:val="19"/>
          <w:lang w:val="es-ES"/>
        </w:rPr>
      </w:pPr>
    </w:p>
  </w:footnote>
  <w:footnote w:id="14">
    <w:p w14:paraId="51D81B4C" w14:textId="77777777" w:rsidR="00D1519A" w:rsidRPr="00D1519A" w:rsidRDefault="00D1519A" w:rsidP="00D1519A">
      <w:pPr>
        <w:pStyle w:val="Textonotapie"/>
        <w:ind w:firstLine="709"/>
        <w:rPr>
          <w:rFonts w:ascii="Arial" w:hAnsi="Arial" w:cs="Arial"/>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«ARTÍCULO 34. PROCEDIMIENTO ADMINISTRATIVO COMÚN Y PRINCIPAL. Las actuaciones administrativas se sujetarán al procedimiento administrativo común y principal que se establece en este Código, sin perjuicio de los procedimientos administrativos regulados por leyes especiales. En lo no previsto en dichas leyes se aplicarán las disposiciones de esta Parte Primera del Código».</w:t>
      </w:r>
    </w:p>
    <w:p w14:paraId="6A9C0F4B" w14:textId="77777777" w:rsidR="00D1519A" w:rsidRPr="00D1519A" w:rsidRDefault="00D1519A" w:rsidP="00D1519A">
      <w:pPr>
        <w:pStyle w:val="Textonotapie"/>
        <w:ind w:firstLine="709"/>
        <w:rPr>
          <w:rFonts w:ascii="Arial" w:hAnsi="Arial" w:cs="Arial"/>
          <w:color w:val="000000"/>
          <w:sz w:val="19"/>
          <w:szCs w:val="19"/>
          <w:lang w:val="es-ES"/>
        </w:rPr>
      </w:pPr>
    </w:p>
  </w:footnote>
  <w:footnote w:id="15">
    <w:p w14:paraId="0003A48A" w14:textId="77777777" w:rsidR="00D1519A" w:rsidRPr="00D1519A" w:rsidRDefault="00D1519A" w:rsidP="00D1519A">
      <w:pPr>
        <w:pStyle w:val="Textonotapie"/>
        <w:ind w:firstLine="709"/>
        <w:rPr>
          <w:rFonts w:ascii="Arial" w:hAnsi="Arial" w:cs="Arial"/>
          <w:color w:val="000000"/>
          <w:sz w:val="19"/>
          <w:szCs w:val="19"/>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«ARTÍCULO 47. PROCEDIMIENTO ADMINISTRATIVO SANCIONATORIO. Los procedimientos administrativos de carácter sancionatorio no regulados por leyes especiales o por el Código Disciplinario Único se sujetarán a las disposiciones de esta Parte Primera del Código. Los preceptos de este Código se aplicarán también en lo no previsto por dichas leyes.</w:t>
      </w:r>
    </w:p>
    <w:p w14:paraId="26CBF204"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»Las actuaciones administrativas de naturaleza sancionatoria podrán iniciarse de oficio o por solicitud de cualquier persona. Cuando como resultado de averiguaciones preliminares, la autoridad establezca que existen méritos para adelantar un procedimiento sancionatorio, así lo comunicará al interesado. Concluidas las averiguaciones preliminares, si fuere del caso, formulará cargos mediante acto administrativo en el que señalará, con precisión y claridad, los hechos que lo originan, las personas naturales o jurídicas objeto de la investigación, las disposiciones presuntamente vulneradas y las sanciones o medidas que serian procedentes Este acto administrativo deberá ser notificado personalmente a los investigados. Contra esta decisión no procede recurso.</w:t>
      </w:r>
    </w:p>
    <w:p w14:paraId="7910398D" w14:textId="77777777" w:rsidR="00D1519A" w:rsidRPr="00D1519A" w:rsidRDefault="00D1519A" w:rsidP="00D1519A">
      <w:pPr>
        <w:pStyle w:val="Textonotapie"/>
        <w:ind w:firstLine="709"/>
        <w:rPr>
          <w:rFonts w:ascii="Arial" w:hAnsi="Arial" w:cs="Arial"/>
          <w:color w:val="000000"/>
          <w:sz w:val="19"/>
          <w:szCs w:val="19"/>
        </w:rPr>
      </w:pPr>
      <w:r w:rsidRPr="00D1519A">
        <w:rPr>
          <w:rFonts w:ascii="Arial" w:hAnsi="Arial" w:cs="Arial"/>
          <w:color w:val="000000"/>
          <w:sz w:val="19"/>
          <w:szCs w:val="19"/>
        </w:rPr>
        <w:t>»Los investigados podrán, dentro de los quince (15) días siguientes a la notificación de la formulación de cargos, presentar los descargos y solicitar o aportar las pruebas que pretendan hacer valer. Serán rechazadas de manera motivada, las inconducentes, las impertinentes y las superfluas y no se atenderán las practicadas ilegalmente.</w:t>
      </w:r>
    </w:p>
    <w:p w14:paraId="7E7CC36D" w14:textId="77777777" w:rsidR="00D1519A" w:rsidRPr="00D1519A" w:rsidRDefault="00D1519A" w:rsidP="00D1519A">
      <w:pPr>
        <w:pStyle w:val="Textonotapie"/>
        <w:ind w:firstLine="709"/>
        <w:rPr>
          <w:rFonts w:ascii="Arial" w:hAnsi="Arial" w:cs="Arial"/>
          <w:color w:val="000000"/>
          <w:sz w:val="19"/>
          <w:szCs w:val="19"/>
          <w:lang w:val="es-ES"/>
        </w:rPr>
      </w:pPr>
      <w:r w:rsidRPr="00D1519A">
        <w:rPr>
          <w:rFonts w:ascii="Arial" w:hAnsi="Arial" w:cs="Arial"/>
          <w:color w:val="000000"/>
          <w:sz w:val="19"/>
          <w:szCs w:val="19"/>
        </w:rPr>
        <w:t>»PARÁGRAFO. Las actuaciones administrativas contractuales sancionatorias, incluyendo los recursos, se regirán por lo dispuesto en las normas especiales sobre la materia».</w:t>
      </w:r>
    </w:p>
  </w:footnote>
  <w:footnote w:id="16">
    <w:p w14:paraId="13623618" w14:textId="77777777" w:rsidR="00D1519A" w:rsidRPr="00D1519A" w:rsidRDefault="00D1519A" w:rsidP="00D1519A">
      <w:pPr>
        <w:pStyle w:val="Textonotapie"/>
        <w:ind w:firstLine="709"/>
        <w:rPr>
          <w:rFonts w:ascii="Arial" w:hAnsi="Arial" w:cs="Arial"/>
          <w:color w:val="000000"/>
          <w:sz w:val="19"/>
          <w:szCs w:val="19"/>
          <w:lang w:val="es-ES_tradnl"/>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_tradnl"/>
        </w:rPr>
        <w:t>Bien por la reserva legal de las materias o porque no las reguló.</w:t>
      </w:r>
    </w:p>
    <w:p w14:paraId="39C1F62F" w14:textId="77777777" w:rsidR="00D1519A" w:rsidRPr="00D1519A" w:rsidRDefault="00D1519A" w:rsidP="00D1519A">
      <w:pPr>
        <w:pStyle w:val="Textonotapie"/>
        <w:ind w:firstLine="709"/>
        <w:rPr>
          <w:rFonts w:ascii="Arial" w:hAnsi="Arial" w:cs="Arial"/>
          <w:color w:val="000000"/>
          <w:sz w:val="19"/>
          <w:szCs w:val="19"/>
          <w:lang w:val="es-ES"/>
        </w:rPr>
      </w:pPr>
    </w:p>
  </w:footnote>
  <w:footnote w:id="17">
    <w:p w14:paraId="610E3D24" w14:textId="77777777" w:rsidR="00D1519A" w:rsidRPr="00D1519A" w:rsidRDefault="00D1519A" w:rsidP="00D1519A">
      <w:pPr>
        <w:pStyle w:val="Textonotapie"/>
        <w:ind w:firstLine="709"/>
        <w:rPr>
          <w:rFonts w:ascii="Arial" w:hAnsi="Arial" w:cs="Arial"/>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El artículo 1º del Código de Comercio establece que: «Los comerciantes y los asuntos mercantiles se regirán por las disposiciones de la ley comercial, y los casos no regulados expresamente en ella serán decididos por analogía de sus normas»; mientras que el artículo 2º señala que: «En las cuestiones comerciales que no pudieren regularse conforme a la regla anterior, se aplicarán las disposiciones de la legislación civil». Esto significa que en el derecho privado las normas comerciales prevalecen sobre las civiles en asuntos mercantiles.</w:t>
      </w:r>
    </w:p>
    <w:p w14:paraId="7A4C86A2" w14:textId="77777777" w:rsidR="00D1519A" w:rsidRPr="00D1519A" w:rsidRDefault="00D1519A" w:rsidP="00D1519A">
      <w:pPr>
        <w:pStyle w:val="Textonotapie"/>
        <w:ind w:firstLine="709"/>
        <w:rPr>
          <w:rFonts w:ascii="Arial" w:hAnsi="Arial" w:cs="Arial"/>
          <w:color w:val="000000"/>
          <w:sz w:val="19"/>
          <w:szCs w:val="19"/>
          <w:lang w:val="es-ES"/>
        </w:rPr>
      </w:pPr>
    </w:p>
  </w:footnote>
  <w:footnote w:id="18">
    <w:p w14:paraId="64D5FF04" w14:textId="77777777" w:rsidR="00D1519A" w:rsidRPr="00D1519A" w:rsidRDefault="00D1519A" w:rsidP="00D1519A">
      <w:pPr>
        <w:pStyle w:val="Textonotapie"/>
        <w:ind w:firstLine="709"/>
        <w:rPr>
          <w:rFonts w:ascii="Arial" w:hAnsi="Arial" w:cs="Arial"/>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«La costumbre mercantil tendrá la misma autoridad que la ley comercial, siempre que no la contraríe manifiesta o tácitamente y que los hechos constitutivos de la misma sean públicos, uniformes y reiterados en el lugar donde hayan de cumplirse las prestaciones o surgido las relaciones que deban regularse por ella.</w:t>
      </w:r>
    </w:p>
    <w:p w14:paraId="00A53A90" w14:textId="75649C7F" w:rsidR="00D1519A" w:rsidRPr="00D1519A" w:rsidRDefault="00D1519A" w:rsidP="00D1519A">
      <w:pPr>
        <w:pStyle w:val="Textonotapie"/>
        <w:ind w:firstLine="709"/>
        <w:rPr>
          <w:rFonts w:ascii="Arial" w:hAnsi="Arial" w:cs="Arial"/>
          <w:color w:val="000000"/>
          <w:sz w:val="19"/>
          <w:szCs w:val="19"/>
          <w:lang w:val="es-ES"/>
        </w:rPr>
      </w:pPr>
      <w:r w:rsidRPr="00D1519A">
        <w:rPr>
          <w:rFonts w:ascii="Arial" w:hAnsi="Arial" w:cs="Arial"/>
          <w:color w:val="000000"/>
          <w:sz w:val="19"/>
          <w:szCs w:val="19"/>
          <w:lang w:val="es-ES"/>
        </w:rPr>
        <w:t>»</w:t>
      </w:r>
      <w:r w:rsidR="003A514F">
        <w:rPr>
          <w:rFonts w:ascii="Arial" w:hAnsi="Arial" w:cs="Arial"/>
          <w:color w:val="000000"/>
          <w:sz w:val="19"/>
          <w:szCs w:val="19"/>
          <w:lang w:val="es-ES"/>
        </w:rPr>
        <w:t xml:space="preserve"> </w:t>
      </w:r>
      <w:r w:rsidRPr="00D1519A">
        <w:rPr>
          <w:rFonts w:ascii="Arial" w:hAnsi="Arial" w:cs="Arial"/>
          <w:color w:val="000000"/>
          <w:sz w:val="19"/>
          <w:szCs w:val="19"/>
          <w:lang w:val="es-ES"/>
        </w:rPr>
        <w:t>En defecto de costumbre local se tendrá en cuenta la general del país, siempre que reúna los requisitos exigidos en el inciso anterior» (art. 3 del Código de Comercio).</w:t>
      </w:r>
    </w:p>
    <w:p w14:paraId="5DC44E53" w14:textId="77777777" w:rsidR="00D1519A" w:rsidRPr="00D1519A" w:rsidRDefault="00D1519A" w:rsidP="00D1519A">
      <w:pPr>
        <w:pStyle w:val="Textonotapie"/>
        <w:ind w:firstLine="709"/>
        <w:rPr>
          <w:rFonts w:ascii="Arial" w:hAnsi="Arial" w:cs="Arial"/>
          <w:color w:val="000000"/>
          <w:sz w:val="19"/>
          <w:szCs w:val="19"/>
          <w:lang w:val="es-ES"/>
        </w:rPr>
      </w:pPr>
    </w:p>
  </w:footnote>
  <w:footnote w:id="19">
    <w:p w14:paraId="4EFD9FD8" w14:textId="416615E8" w:rsidR="00D1519A" w:rsidRPr="00D1519A" w:rsidRDefault="00D1519A" w:rsidP="00D1519A">
      <w:pPr>
        <w:pStyle w:val="Textonotapie"/>
        <w:ind w:firstLine="709"/>
        <w:rPr>
          <w:rFonts w:ascii="Arial" w:hAnsi="Arial" w:cs="Arial"/>
          <w:b/>
          <w:color w:val="000000"/>
          <w:sz w:val="19"/>
          <w:szCs w:val="19"/>
          <w:lang w:val="es-ES"/>
        </w:rPr>
      </w:pPr>
      <w:r w:rsidRPr="00D1519A">
        <w:rPr>
          <w:rStyle w:val="Refdenotaalpie"/>
          <w:rFonts w:ascii="Arial" w:hAnsi="Arial" w:cs="Arial"/>
          <w:color w:val="000000"/>
          <w:sz w:val="19"/>
          <w:szCs w:val="19"/>
        </w:rPr>
        <w:footnoteRef/>
      </w:r>
      <w:r w:rsidRPr="00D1519A">
        <w:rPr>
          <w:rFonts w:ascii="Arial" w:hAnsi="Arial" w:cs="Arial"/>
          <w:color w:val="000000"/>
          <w:sz w:val="19"/>
          <w:szCs w:val="19"/>
        </w:rPr>
        <w:t xml:space="preserve"> </w:t>
      </w:r>
      <w:r w:rsidRPr="00D1519A">
        <w:rPr>
          <w:rFonts w:ascii="Arial" w:hAnsi="Arial" w:cs="Arial"/>
          <w:color w:val="000000"/>
          <w:sz w:val="19"/>
          <w:szCs w:val="19"/>
          <w:lang w:val="es-ES"/>
        </w:rPr>
        <w:t>Dentro de tales principio</w:t>
      </w:r>
      <w:r w:rsidR="003A514F">
        <w:rPr>
          <w:rFonts w:ascii="Arial" w:hAnsi="Arial" w:cs="Arial"/>
          <w:color w:val="000000"/>
          <w:sz w:val="19"/>
          <w:szCs w:val="19"/>
          <w:lang w:val="es-ES"/>
        </w:rPr>
        <w:t>s</w:t>
      </w:r>
      <w:r w:rsidRPr="00D1519A">
        <w:rPr>
          <w:rFonts w:ascii="Arial" w:hAnsi="Arial" w:cs="Arial"/>
          <w:color w:val="000000"/>
          <w:sz w:val="19"/>
          <w:szCs w:val="19"/>
          <w:lang w:val="es-ES"/>
        </w:rPr>
        <w:t xml:space="preserve"> se encuentran, por ejemplo, los principios UNIDROIT sobre los contratos comerciales internacionales. Ver: https://www.unidroit.org/spanish/principles/contracts/principles2010/blackletter2010-spanish.pdf</w:t>
      </w:r>
    </w:p>
  </w:footnote>
  <w:footnote w:id="20">
    <w:p w14:paraId="7E37DC79" w14:textId="7981EA35" w:rsidR="003A514F" w:rsidRPr="003A514F" w:rsidRDefault="003A514F" w:rsidP="003A514F">
      <w:pPr>
        <w:pStyle w:val="Textonotapie"/>
        <w:ind w:firstLine="709"/>
        <w:rPr>
          <w:rFonts w:ascii="Arial" w:hAnsi="Arial" w:cs="Arial"/>
          <w:color w:val="000000"/>
          <w:sz w:val="19"/>
          <w:szCs w:val="19"/>
          <w:lang w:val="es-ES"/>
        </w:rPr>
      </w:pPr>
      <w:r w:rsidRPr="00FD549B">
        <w:rPr>
          <w:rFonts w:ascii="Arial" w:hAnsi="Arial" w:cs="Arial"/>
          <w:color w:val="000000"/>
          <w:sz w:val="18"/>
          <w:szCs w:val="18"/>
          <w:lang w:val="es-ES"/>
        </w:rPr>
        <w:footnoteRef/>
      </w:r>
      <w:r w:rsidR="00AA1B5C">
        <w:rPr>
          <w:rFonts w:ascii="Arial" w:hAnsi="Arial" w:cs="Arial"/>
          <w:color w:val="000000"/>
          <w:sz w:val="18"/>
          <w:szCs w:val="18"/>
          <w:lang w:val="es-ES"/>
        </w:rPr>
        <w:t xml:space="preserve"> </w:t>
      </w:r>
      <w:r w:rsidRPr="00FD549B">
        <w:rPr>
          <w:rFonts w:ascii="Arial" w:hAnsi="Arial" w:cs="Arial"/>
          <w:color w:val="000000"/>
          <w:sz w:val="18"/>
          <w:szCs w:val="18"/>
          <w:lang w:val="es-ES"/>
        </w:rPr>
        <w:t>»</w:t>
      </w:r>
      <w:r w:rsidR="00AA1B5C">
        <w:rPr>
          <w:rFonts w:ascii="Arial" w:hAnsi="Arial" w:cs="Arial"/>
          <w:color w:val="000000"/>
          <w:sz w:val="18"/>
          <w:szCs w:val="18"/>
          <w:lang w:val="es-ES"/>
        </w:rPr>
        <w:t xml:space="preserve"> </w:t>
      </w:r>
      <w:r w:rsidRPr="003A514F">
        <w:rPr>
          <w:rFonts w:ascii="Arial" w:hAnsi="Arial" w:cs="Arial"/>
          <w:color w:val="000000"/>
          <w:sz w:val="19"/>
          <w:szCs w:val="19"/>
          <w:lang w:val="es-ES"/>
        </w:rPr>
        <w:t>ARTÍCULO 15. DEL RÉGIMEN CONTRACTUAL DE LAS ENTIDADES FINANCIERAS ESTATALES. El parágrafo 1o del artículo </w:t>
      </w:r>
      <w:hyperlink r:id="rId1" w:anchor="32" w:history="1">
        <w:r w:rsidRPr="003A514F">
          <w:rPr>
            <w:rFonts w:ascii="Arial" w:hAnsi="Arial" w:cs="Arial"/>
            <w:color w:val="000000"/>
            <w:sz w:val="19"/>
            <w:szCs w:val="19"/>
            <w:lang w:val="es-ES"/>
          </w:rPr>
          <w:t>32</w:t>
        </w:r>
      </w:hyperlink>
      <w:r w:rsidRPr="003A514F">
        <w:rPr>
          <w:rFonts w:ascii="Arial" w:hAnsi="Arial" w:cs="Arial"/>
          <w:color w:val="000000"/>
          <w:sz w:val="19"/>
          <w:szCs w:val="19"/>
          <w:lang w:val="es-ES"/>
        </w:rPr>
        <w:t> de la Ley 80 de 1993, quedará así:</w:t>
      </w:r>
    </w:p>
    <w:p w14:paraId="40121068" w14:textId="0725E8F3" w:rsidR="003A514F" w:rsidRPr="003A514F" w:rsidRDefault="00AA1B5C" w:rsidP="003A514F">
      <w:pPr>
        <w:pStyle w:val="Textonotapie"/>
        <w:ind w:firstLine="709"/>
        <w:rPr>
          <w:rFonts w:ascii="Arial" w:hAnsi="Arial" w:cs="Arial"/>
          <w:color w:val="000000"/>
          <w:sz w:val="19"/>
          <w:szCs w:val="19"/>
          <w:lang w:val="es-ES"/>
        </w:rPr>
      </w:pPr>
      <w:r w:rsidRPr="00AA1B5C">
        <w:rPr>
          <w:rFonts w:ascii="Arial" w:hAnsi="Arial" w:cs="Arial"/>
          <w:color w:val="000000"/>
          <w:sz w:val="19"/>
          <w:szCs w:val="19"/>
          <w:lang w:val="es-ES"/>
        </w:rPr>
        <w:t xml:space="preserve">» </w:t>
      </w:r>
      <w:r w:rsidR="003A514F" w:rsidRPr="003A514F">
        <w:rPr>
          <w:rFonts w:ascii="Arial" w:hAnsi="Arial" w:cs="Arial"/>
          <w:color w:val="000000"/>
          <w:sz w:val="19"/>
          <w:szCs w:val="19"/>
          <w:lang w:val="es-ES"/>
        </w:rPr>
        <w:t>Artículo </w:t>
      </w:r>
      <w:hyperlink r:id="rId2" w:anchor="32" w:history="1">
        <w:r w:rsidR="003A514F" w:rsidRPr="003A514F">
          <w:rPr>
            <w:rFonts w:ascii="Arial" w:hAnsi="Arial" w:cs="Arial"/>
            <w:color w:val="000000"/>
            <w:sz w:val="19"/>
            <w:szCs w:val="19"/>
            <w:lang w:val="es-ES"/>
          </w:rPr>
          <w:t>32</w:t>
        </w:r>
      </w:hyperlink>
      <w:r w:rsidR="003A514F" w:rsidRPr="003A514F">
        <w:rPr>
          <w:rFonts w:ascii="Arial" w:hAnsi="Arial" w:cs="Arial"/>
          <w:color w:val="000000"/>
          <w:sz w:val="19"/>
          <w:szCs w:val="19"/>
          <w:lang w:val="es-ES"/>
        </w:rPr>
        <w:t>.</w:t>
      </w:r>
    </w:p>
    <w:p w14:paraId="100C48C4" w14:textId="77777777" w:rsidR="003A514F" w:rsidRPr="003A514F" w:rsidRDefault="003A514F" w:rsidP="003A514F">
      <w:pPr>
        <w:pStyle w:val="Textonotapie"/>
        <w:ind w:firstLine="709"/>
        <w:rPr>
          <w:rFonts w:ascii="Arial" w:hAnsi="Arial" w:cs="Arial"/>
          <w:color w:val="000000"/>
          <w:sz w:val="19"/>
          <w:szCs w:val="19"/>
          <w:lang w:val="es-ES"/>
        </w:rPr>
      </w:pPr>
      <w:r w:rsidRPr="003A514F">
        <w:rPr>
          <w:rFonts w:ascii="Arial" w:hAnsi="Arial" w:cs="Arial"/>
          <w:color w:val="000000"/>
          <w:sz w:val="19"/>
          <w:szCs w:val="19"/>
          <w:lang w:val="es-ES"/>
        </w:rPr>
        <w:t>(...)</w:t>
      </w:r>
    </w:p>
    <w:p w14:paraId="425038A8" w14:textId="62A7B829" w:rsidR="003A514F" w:rsidRPr="003A514F" w:rsidRDefault="00AA1B5C" w:rsidP="003A514F">
      <w:pPr>
        <w:pStyle w:val="Textonotapie"/>
        <w:ind w:firstLine="709"/>
        <w:rPr>
          <w:rFonts w:ascii="Arial" w:hAnsi="Arial" w:cs="Arial"/>
          <w:color w:val="000000"/>
          <w:sz w:val="19"/>
          <w:szCs w:val="19"/>
          <w:lang w:val="es-ES"/>
        </w:rPr>
      </w:pPr>
      <w:r w:rsidRPr="00AA1B5C">
        <w:rPr>
          <w:rFonts w:ascii="Arial" w:hAnsi="Arial" w:cs="Arial"/>
          <w:color w:val="000000"/>
          <w:sz w:val="19"/>
          <w:szCs w:val="19"/>
          <w:lang w:val="es-ES"/>
        </w:rPr>
        <w:t xml:space="preserve">» </w:t>
      </w:r>
      <w:r w:rsidR="003A514F" w:rsidRPr="003A514F">
        <w:rPr>
          <w:rFonts w:ascii="Arial" w:hAnsi="Arial" w:cs="Arial"/>
          <w:color w:val="000000"/>
          <w:sz w:val="19"/>
          <w:szCs w:val="19"/>
          <w:lang w:val="es-ES"/>
        </w:rPr>
        <w:t>Parágrafo 1o. Los Contratos que celebren los Establecimientos de Crédito, las compañías de seguros y las demás entidades financieras de carácter estatal, no estarán sujetos a las disposiciones del Estatuto General de Contratación de la Administración Pública y se regirán por las disposiciones legales y reglamentarias aplicables a dichas actividades.</w:t>
      </w:r>
    </w:p>
    <w:p w14:paraId="1A9A5A61" w14:textId="6BC177CF" w:rsidR="003A514F" w:rsidRPr="003A514F" w:rsidRDefault="007D30AF" w:rsidP="003A514F">
      <w:pPr>
        <w:pStyle w:val="Textonotapie"/>
        <w:ind w:firstLine="709"/>
        <w:rPr>
          <w:rFonts w:ascii="Arial" w:hAnsi="Arial" w:cs="Arial"/>
          <w:color w:val="000000"/>
          <w:sz w:val="19"/>
          <w:szCs w:val="19"/>
          <w:lang w:val="es-ES"/>
        </w:rPr>
      </w:pPr>
      <w:r>
        <w:rPr>
          <w:rFonts w:ascii="Arial" w:hAnsi="Arial" w:cs="Arial"/>
          <w:color w:val="000000"/>
          <w:sz w:val="19"/>
          <w:szCs w:val="19"/>
          <w:lang w:val="es-ES"/>
        </w:rPr>
        <w:t>»</w:t>
      </w:r>
      <w:r w:rsidR="003A514F" w:rsidRPr="003A514F">
        <w:rPr>
          <w:rFonts w:ascii="Arial" w:hAnsi="Arial" w:cs="Arial"/>
          <w:color w:val="000000"/>
          <w:sz w:val="19"/>
          <w:szCs w:val="19"/>
          <w:lang w:val="es-ES"/>
        </w:rPr>
        <w:t>En todo caso, su actividad contractual se someterá a lo dispuesto en el artículo </w:t>
      </w:r>
      <w:hyperlink r:id="rId3" w:anchor="13" w:history="1">
        <w:r w:rsidR="003A514F" w:rsidRPr="003A514F">
          <w:rPr>
            <w:rFonts w:ascii="Arial" w:hAnsi="Arial" w:cs="Arial"/>
            <w:color w:val="000000"/>
            <w:sz w:val="19"/>
            <w:szCs w:val="19"/>
            <w:lang w:val="es-ES"/>
          </w:rPr>
          <w:t>13</w:t>
        </w:r>
      </w:hyperlink>
      <w:r w:rsidR="003A514F" w:rsidRPr="003A514F">
        <w:rPr>
          <w:rFonts w:ascii="Arial" w:hAnsi="Arial" w:cs="Arial"/>
          <w:color w:val="000000"/>
          <w:sz w:val="19"/>
          <w:szCs w:val="19"/>
          <w:lang w:val="es-ES"/>
        </w:rPr>
        <w:t> de la presente ley».</w:t>
      </w:r>
    </w:p>
    <w:p w14:paraId="34D9BCC5" w14:textId="44C638B0" w:rsidR="003A514F" w:rsidRPr="003A514F" w:rsidRDefault="003A514F" w:rsidP="003A514F">
      <w:pPr>
        <w:pStyle w:val="Textonotapie"/>
        <w:ind w:firstLine="709"/>
        <w:rPr>
          <w:rFonts w:ascii="Arial" w:hAnsi="Arial" w:cs="Arial"/>
          <w:color w:val="000000"/>
          <w:sz w:val="19"/>
          <w:szCs w:val="19"/>
          <w:lang w:val="es-ES"/>
        </w:rPr>
      </w:pPr>
    </w:p>
  </w:footnote>
  <w:footnote w:id="21">
    <w:p w14:paraId="5C2B6664" w14:textId="77777777" w:rsidR="00F972B7" w:rsidRDefault="00F972B7" w:rsidP="00F972B7">
      <w:pPr>
        <w:pStyle w:val="Textonotapie"/>
        <w:ind w:firstLine="708"/>
        <w:rPr>
          <w:rFonts w:ascii="Arial" w:hAnsi="Arial" w:cs="Arial"/>
          <w:sz w:val="19"/>
          <w:szCs w:val="19"/>
        </w:rPr>
      </w:pPr>
      <w:r w:rsidRPr="007E69AD">
        <w:rPr>
          <w:rStyle w:val="Refdenotaalpie"/>
          <w:rFonts w:ascii="Arial" w:hAnsi="Arial" w:cs="Arial"/>
          <w:sz w:val="19"/>
          <w:szCs w:val="19"/>
        </w:rPr>
        <w:footnoteRef/>
      </w:r>
      <w:r w:rsidRPr="007E69AD">
        <w:rPr>
          <w:rFonts w:ascii="Arial" w:hAnsi="Arial" w:cs="Arial"/>
          <w:sz w:val="19"/>
          <w:szCs w:val="19"/>
        </w:rPr>
        <w:t xml:space="preserve"> </w:t>
      </w:r>
      <w:r>
        <w:rPr>
          <w:rFonts w:ascii="Arial" w:hAnsi="Arial" w:cs="Arial"/>
          <w:sz w:val="19"/>
          <w:szCs w:val="19"/>
        </w:rPr>
        <w:t>En dicha Guía se establece lo siguiente: «</w:t>
      </w:r>
      <w:r w:rsidRPr="007E69AD">
        <w:rPr>
          <w:rFonts w:ascii="Arial" w:hAnsi="Arial" w:cs="Arial"/>
          <w:sz w:val="19"/>
          <w:szCs w:val="19"/>
        </w:rPr>
        <w:t>Por otra parte, la normativa del Sistema de Compra Pública incluye algunas normas transversales a todas las Entidades Estatales, que son de obligatorio cumplimiento para las Entidades Estatales de régimen especial. Entre estas se encuentran las siguientes:</w:t>
      </w:r>
    </w:p>
    <w:p w14:paraId="0803FEFF" w14:textId="77777777" w:rsidR="00F972B7" w:rsidRPr="007E69AD" w:rsidRDefault="00F972B7" w:rsidP="00F972B7">
      <w:pPr>
        <w:pStyle w:val="Textonotapie"/>
        <w:ind w:firstLine="708"/>
        <w:rPr>
          <w:rFonts w:ascii="Arial" w:hAnsi="Arial" w:cs="Arial"/>
          <w:sz w:val="19"/>
          <w:szCs w:val="19"/>
        </w:rPr>
      </w:pPr>
      <w:r>
        <w:rPr>
          <w:rFonts w:ascii="Arial" w:hAnsi="Arial" w:cs="Arial"/>
          <w:sz w:val="19"/>
          <w:szCs w:val="19"/>
        </w:rPr>
        <w:t>[…]</w:t>
      </w:r>
    </w:p>
    <w:p w14:paraId="1C5A28FF" w14:textId="77777777" w:rsidR="00F972B7" w:rsidRPr="007E69AD" w:rsidRDefault="00F972B7" w:rsidP="00F972B7">
      <w:pPr>
        <w:pStyle w:val="Textonotapie"/>
        <w:ind w:firstLine="708"/>
        <w:rPr>
          <w:rFonts w:ascii="Arial" w:hAnsi="Arial" w:cs="Arial"/>
          <w:sz w:val="19"/>
          <w:szCs w:val="19"/>
        </w:rPr>
      </w:pPr>
      <w:r>
        <w:rPr>
          <w:rFonts w:ascii="Arial" w:hAnsi="Arial" w:cs="Arial"/>
          <w:sz w:val="19"/>
          <w:szCs w:val="19"/>
        </w:rPr>
        <w:t>»</w:t>
      </w:r>
      <w:r w:rsidRPr="007E69AD">
        <w:rPr>
          <w:rFonts w:ascii="Arial" w:hAnsi="Arial" w:cs="Arial"/>
          <w:sz w:val="19"/>
          <w:szCs w:val="19"/>
        </w:rPr>
        <w:t xml:space="preserve">B. Decreto 1082 de 2015 </w:t>
      </w:r>
    </w:p>
    <w:p w14:paraId="49E3867E" w14:textId="77777777" w:rsidR="00F972B7" w:rsidRPr="007E69AD" w:rsidRDefault="00F972B7" w:rsidP="00F972B7">
      <w:pPr>
        <w:pStyle w:val="Textonotapie"/>
        <w:ind w:firstLine="708"/>
        <w:rPr>
          <w:rFonts w:ascii="Arial" w:hAnsi="Arial" w:cs="Arial"/>
          <w:sz w:val="19"/>
          <w:szCs w:val="19"/>
        </w:rPr>
      </w:pPr>
      <w:r>
        <w:rPr>
          <w:rFonts w:ascii="Arial" w:hAnsi="Arial" w:cs="Arial"/>
          <w:sz w:val="19"/>
          <w:szCs w:val="19"/>
        </w:rPr>
        <w:t>»</w:t>
      </w:r>
      <w:r w:rsidRPr="007E69AD">
        <w:rPr>
          <w:rFonts w:ascii="Arial" w:hAnsi="Arial" w:cs="Arial"/>
          <w:sz w:val="19"/>
          <w:szCs w:val="19"/>
        </w:rPr>
        <w:t>El Título 1 de la Parte 2 del Decreto 1082 de 2015, además de reglamentar los procedimientos para la realización de los Procesos de Contratación de las Entidades Estatales cubiertos por el Estatuto General de Contratación de la Administración Pública, contiene algunas normas que son transversales al Sistema de Compra Pública. Entre las mismas está la Sección 1 del Capítulo 1 del Título I de la Parte 2 del Decreto 1082 de 2015 la cual reglamenta los “Conceptos básicos para el Sistema de Compras y Contratación Pública”.</w:t>
      </w:r>
    </w:p>
    <w:p w14:paraId="38AB7108" w14:textId="77777777" w:rsidR="00F972B7" w:rsidRPr="007E69AD" w:rsidRDefault="00F972B7" w:rsidP="00F972B7">
      <w:pPr>
        <w:pStyle w:val="Textonotapie"/>
        <w:ind w:firstLine="708"/>
        <w:rPr>
          <w:rFonts w:ascii="Arial" w:hAnsi="Arial" w:cs="Arial"/>
          <w:sz w:val="19"/>
          <w:szCs w:val="19"/>
        </w:rPr>
      </w:pPr>
      <w:r>
        <w:rPr>
          <w:rFonts w:ascii="Arial" w:hAnsi="Arial" w:cs="Arial"/>
          <w:sz w:val="19"/>
          <w:szCs w:val="19"/>
        </w:rPr>
        <w:t>»</w:t>
      </w:r>
      <w:r w:rsidRPr="007E69AD">
        <w:rPr>
          <w:rFonts w:ascii="Arial" w:hAnsi="Arial" w:cs="Arial"/>
          <w:sz w:val="19"/>
          <w:szCs w:val="19"/>
        </w:rPr>
        <w:t>Con base en esta norma, las Entidades Estatales de régimen especial, como parte del Sistema de Compra Pública (artículo 2.2.1.1.1.2.1.), deben procurar el logro de los objetivos del Sistema definidos por Colombia Compra Eficiente (artículo 2.2.1.1.1.1.1.); elaborar y publicar su Plan Anual de Adquisiciones (artículo 2.2.1.1.1.4.1.); enviar mensualmente a las cámaras de comercio la información relativa a la inhabilidad por incumplimiento reiterado (artículo 2.2.1.1.1.5.7.); realizar análisis del sector y de Riesgos (artículos 2.2.1.1.1.6.1. y 2.2.1.1.1.6.3.); y, publicar su actividad contractual en el Secop (artículo 2.2.1.1.1.7.1.).</w:t>
      </w:r>
    </w:p>
    <w:p w14:paraId="241C10E8" w14:textId="77777777" w:rsidR="00F972B7" w:rsidRPr="007E69AD" w:rsidRDefault="00F972B7" w:rsidP="00F972B7">
      <w:pPr>
        <w:pStyle w:val="Textonotapie"/>
        <w:ind w:firstLine="708"/>
        <w:rPr>
          <w:rFonts w:ascii="Arial" w:hAnsi="Arial" w:cs="Arial"/>
          <w:sz w:val="19"/>
          <w:szCs w:val="19"/>
        </w:rPr>
      </w:pPr>
      <w:r>
        <w:rPr>
          <w:rFonts w:ascii="Arial" w:hAnsi="Arial" w:cs="Arial"/>
          <w:sz w:val="19"/>
          <w:szCs w:val="19"/>
        </w:rPr>
        <w:t>»</w:t>
      </w:r>
      <w:r w:rsidRPr="007E69AD">
        <w:rPr>
          <w:rFonts w:ascii="Arial" w:hAnsi="Arial" w:cs="Arial"/>
          <w:sz w:val="19"/>
          <w:szCs w:val="19"/>
        </w:rPr>
        <w:t>Asimismo, deben tener en cuenta las disposiciones previstas en los Acuerdos Comerciales y adecuar sus manuales de contratación y sus Procesos de Contratación a lo previsto en aquellos (Subsección 1, Sección 4, Capítulo 2).</w:t>
      </w:r>
    </w:p>
    <w:p w14:paraId="63C15551" w14:textId="77777777" w:rsidR="00F972B7" w:rsidRPr="00981969" w:rsidRDefault="00F972B7" w:rsidP="00F972B7">
      <w:pPr>
        <w:pStyle w:val="Textonotapie"/>
        <w:ind w:firstLine="709"/>
        <w:rPr>
          <w:rFonts w:ascii="Arial" w:hAnsi="Arial" w:cs="Arial"/>
          <w:color w:val="000000" w:themeColor="text1"/>
          <w:sz w:val="19"/>
          <w:szCs w:val="19"/>
          <w:lang w:val="es-ES"/>
        </w:rPr>
      </w:pPr>
      <w:r>
        <w:rPr>
          <w:rFonts w:ascii="Arial" w:hAnsi="Arial" w:cs="Arial"/>
          <w:sz w:val="19"/>
          <w:szCs w:val="19"/>
        </w:rPr>
        <w:t>»</w:t>
      </w:r>
      <w:r w:rsidRPr="007E69AD">
        <w:rPr>
          <w:rFonts w:ascii="Arial" w:hAnsi="Arial" w:cs="Arial"/>
          <w:sz w:val="19"/>
          <w:szCs w:val="19"/>
        </w:rPr>
        <w:t>Por último, deben tener en cuenta la obligación de adoptar un manual de contratación con base en los lineamientos que expide Colombia Compra Eficiente (artículo 2.2.1.2.5.3.)»</w:t>
      </w:r>
      <w:r>
        <w:rPr>
          <w:rFonts w:ascii="Arial" w:hAnsi="Arial" w:cs="Arial"/>
          <w:sz w:val="19"/>
          <w:szCs w:val="19"/>
        </w:rPr>
        <w:t xml:space="preserve"> (COLOMBIA COMPRA EFICIENTE. </w:t>
      </w:r>
      <w:r w:rsidRPr="00D42A8F">
        <w:rPr>
          <w:rFonts w:ascii="Arial" w:hAnsi="Arial" w:cs="Arial"/>
          <w:sz w:val="19"/>
          <w:szCs w:val="19"/>
        </w:rPr>
        <w:t>Guía para las Entidades Estatales con régimen especial de Contratación</w:t>
      </w:r>
      <w:r>
        <w:rPr>
          <w:rFonts w:ascii="Arial" w:hAnsi="Arial" w:cs="Arial"/>
          <w:sz w:val="19"/>
          <w:szCs w:val="19"/>
        </w:rPr>
        <w:t xml:space="preserve">. </w:t>
      </w:r>
      <w:r w:rsidRPr="00981969">
        <w:rPr>
          <w:rFonts w:ascii="Arial" w:hAnsi="Arial" w:cs="Arial"/>
          <w:color w:val="000000" w:themeColor="text1"/>
          <w:sz w:val="19"/>
          <w:szCs w:val="19"/>
          <w:lang w:val="es-ES"/>
        </w:rPr>
        <w:t>Identificada con la referencia G-EEREC-01 y publicada en el siguiente enlace: https://colombiacompra.gov.co/sites/cce_public/files/cce_documents/cce_guia_regimen_especial.pdf</w:t>
      </w:r>
      <w:r>
        <w:rPr>
          <w:rFonts w:ascii="Arial" w:hAnsi="Arial" w:cs="Arial"/>
          <w:color w:val="000000" w:themeColor="text1"/>
          <w:sz w:val="19"/>
          <w:szCs w:val="19"/>
          <w:lang w:val="es-ES"/>
        </w:rPr>
        <w:t>)</w:t>
      </w:r>
    </w:p>
    <w:p w14:paraId="0AF2F7BE" w14:textId="77777777" w:rsidR="00F972B7" w:rsidRPr="007E69AD" w:rsidRDefault="00F972B7" w:rsidP="00F972B7">
      <w:pPr>
        <w:pStyle w:val="Textonotapie"/>
        <w:ind w:firstLine="708"/>
        <w:rPr>
          <w:rFonts w:ascii="Arial" w:hAnsi="Arial" w:cs="Arial"/>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0A4F8" w14:textId="77777777" w:rsidR="00EE669C" w:rsidRDefault="00EE669C">
    <w:pPr>
      <w:pBdr>
        <w:top w:val="nil"/>
        <w:left w:val="nil"/>
        <w:bottom w:val="nil"/>
        <w:right w:val="nil"/>
        <w:between w:val="nil"/>
      </w:pBdr>
      <w:tabs>
        <w:tab w:val="center" w:pos="4252"/>
        <w:tab w:val="right" w:pos="8504"/>
      </w:tabs>
      <w:rPr>
        <w:color w:val="000000"/>
      </w:rPr>
    </w:pPr>
    <w:r>
      <w:rPr>
        <w:noProof/>
        <w:lang w:eastAsia="es-CO"/>
      </w:rPr>
      <w:drawing>
        <wp:anchor distT="0" distB="0" distL="114300" distR="114300" simplePos="0" relativeHeight="251658240" behindDoc="0" locked="0" layoutInCell="1" hidden="0" allowOverlap="1" wp14:anchorId="1738C0C5" wp14:editId="77481344">
          <wp:simplePos x="0" y="0"/>
          <wp:positionH relativeFrom="column">
            <wp:posOffset>4458335</wp:posOffset>
          </wp:positionH>
          <wp:positionV relativeFrom="paragraph">
            <wp:posOffset>171450</wp:posOffset>
          </wp:positionV>
          <wp:extent cx="1257300" cy="516255"/>
          <wp:effectExtent l="0" t="0" r="0" b="0"/>
          <wp:wrapSquare wrapText="bothSides" distT="0" distB="0" distL="114300" distR="11430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257300" cy="516255"/>
                  </a:xfrm>
                  <a:prstGeom prst="rect">
                    <a:avLst/>
                  </a:prstGeom>
                  <a:ln/>
                </pic:spPr>
              </pic:pic>
            </a:graphicData>
          </a:graphic>
        </wp:anchor>
      </w:drawing>
    </w:r>
  </w:p>
  <w:p w14:paraId="4B658473" w14:textId="77777777" w:rsidR="00EE669C" w:rsidRDefault="00EE669C">
    <w:pPr>
      <w:pBdr>
        <w:top w:val="nil"/>
        <w:left w:val="nil"/>
        <w:bottom w:val="nil"/>
        <w:right w:val="nil"/>
        <w:between w:val="nil"/>
      </w:pBdr>
      <w:tabs>
        <w:tab w:val="center" w:pos="4252"/>
        <w:tab w:val="right" w:pos="8504"/>
      </w:tabs>
      <w:rPr>
        <w:color w:val="000000"/>
      </w:rPr>
    </w:pPr>
  </w:p>
  <w:p w14:paraId="10971F20" w14:textId="77777777" w:rsidR="00EE669C" w:rsidRDefault="00EE669C">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17FE3"/>
    <w:multiLevelType w:val="hybridMultilevel"/>
    <w:tmpl w:val="5796AAE4"/>
    <w:lvl w:ilvl="0" w:tplc="90547F34">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0B7F2A10"/>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 w15:restartNumberingAfterBreak="0">
    <w:nsid w:val="0D506E3C"/>
    <w:multiLevelType w:val="hybridMultilevel"/>
    <w:tmpl w:val="B17EE2A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10407C4"/>
    <w:multiLevelType w:val="hybridMultilevel"/>
    <w:tmpl w:val="3EEA22F4"/>
    <w:lvl w:ilvl="0" w:tplc="82D21D6C">
      <w:start w:val="1"/>
      <w:numFmt w:val="bullet"/>
      <w:lvlText w:val="-"/>
      <w:lvlJc w:val="left"/>
      <w:pPr>
        <w:ind w:left="1080" w:hanging="360"/>
      </w:pPr>
      <w:rPr>
        <w:rFonts w:ascii="Arial" w:eastAsia="Arial"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 w15:restartNumberingAfterBreak="0">
    <w:nsid w:val="3A98220F"/>
    <w:multiLevelType w:val="hybridMultilevel"/>
    <w:tmpl w:val="28BE89E0"/>
    <w:lvl w:ilvl="0" w:tplc="A098732E">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5" w15:restartNumberingAfterBreak="0">
    <w:nsid w:val="41383C2B"/>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6" w15:restartNumberingAfterBreak="0">
    <w:nsid w:val="51BC72FE"/>
    <w:multiLevelType w:val="hybridMultilevel"/>
    <w:tmpl w:val="30AA689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570D68B1"/>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15:restartNumberingAfterBreak="0">
    <w:nsid w:val="58F43F16"/>
    <w:multiLevelType w:val="hybridMultilevel"/>
    <w:tmpl w:val="8D1AB136"/>
    <w:lvl w:ilvl="0" w:tplc="240A000F">
      <w:start w:val="1"/>
      <w:numFmt w:val="decimal"/>
      <w:lvlText w:val="%1."/>
      <w:lvlJc w:val="left"/>
      <w:pPr>
        <w:ind w:left="720" w:hanging="360"/>
      </w:pPr>
      <w:rPr>
        <w:rFonts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598B74AA"/>
    <w:multiLevelType w:val="hybridMultilevel"/>
    <w:tmpl w:val="CB5E6D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A36584C"/>
    <w:multiLevelType w:val="hybridMultilevel"/>
    <w:tmpl w:val="C7BAB5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DE77614"/>
    <w:multiLevelType w:val="hybridMultilevel"/>
    <w:tmpl w:val="28BE89E0"/>
    <w:lvl w:ilvl="0" w:tplc="A098732E">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num w:numId="1" w16cid:durableId="1972590599">
    <w:abstractNumId w:val="8"/>
  </w:num>
  <w:num w:numId="2" w16cid:durableId="1612470583">
    <w:abstractNumId w:val="10"/>
  </w:num>
  <w:num w:numId="3" w16cid:durableId="412551472">
    <w:abstractNumId w:val="4"/>
  </w:num>
  <w:num w:numId="4" w16cid:durableId="209195630">
    <w:abstractNumId w:val="11"/>
  </w:num>
  <w:num w:numId="5" w16cid:durableId="802693233">
    <w:abstractNumId w:val="0"/>
  </w:num>
  <w:num w:numId="6" w16cid:durableId="1677032019">
    <w:abstractNumId w:val="6"/>
  </w:num>
  <w:num w:numId="7" w16cid:durableId="1052534592">
    <w:abstractNumId w:val="9"/>
  </w:num>
  <w:num w:numId="8" w16cid:durableId="1883520176">
    <w:abstractNumId w:val="3"/>
  </w:num>
  <w:num w:numId="9" w16cid:durableId="522209565">
    <w:abstractNumId w:val="7"/>
  </w:num>
  <w:num w:numId="10" w16cid:durableId="208809807">
    <w:abstractNumId w:val="5"/>
  </w:num>
  <w:num w:numId="11" w16cid:durableId="1533033683">
    <w:abstractNumId w:val="1"/>
  </w:num>
  <w:num w:numId="12" w16cid:durableId="21134324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181"/>
    <w:rsid w:val="000018DA"/>
    <w:rsid w:val="000030F0"/>
    <w:rsid w:val="000050C5"/>
    <w:rsid w:val="000106B7"/>
    <w:rsid w:val="00010B3E"/>
    <w:rsid w:val="000320C0"/>
    <w:rsid w:val="00032699"/>
    <w:rsid w:val="00053FC3"/>
    <w:rsid w:val="000545BA"/>
    <w:rsid w:val="00054969"/>
    <w:rsid w:val="00057AC7"/>
    <w:rsid w:val="00057B15"/>
    <w:rsid w:val="0006799A"/>
    <w:rsid w:val="00071970"/>
    <w:rsid w:val="000845BF"/>
    <w:rsid w:val="00094DE5"/>
    <w:rsid w:val="000A570E"/>
    <w:rsid w:val="000A73C9"/>
    <w:rsid w:val="000B4594"/>
    <w:rsid w:val="000B5697"/>
    <w:rsid w:val="000D2959"/>
    <w:rsid w:val="000E30C5"/>
    <w:rsid w:val="000E542F"/>
    <w:rsid w:val="000F1429"/>
    <w:rsid w:val="000F227D"/>
    <w:rsid w:val="00117BD8"/>
    <w:rsid w:val="00124845"/>
    <w:rsid w:val="001326E7"/>
    <w:rsid w:val="00133F82"/>
    <w:rsid w:val="00146CDB"/>
    <w:rsid w:val="001515A9"/>
    <w:rsid w:val="00151DF3"/>
    <w:rsid w:val="00153293"/>
    <w:rsid w:val="001534FE"/>
    <w:rsid w:val="0015369A"/>
    <w:rsid w:val="0018033B"/>
    <w:rsid w:val="001854CE"/>
    <w:rsid w:val="001A6E50"/>
    <w:rsid w:val="001A7D2F"/>
    <w:rsid w:val="001B50C4"/>
    <w:rsid w:val="001C0FF1"/>
    <w:rsid w:val="001D27F8"/>
    <w:rsid w:val="001D45E2"/>
    <w:rsid w:val="001D486F"/>
    <w:rsid w:val="001E0B67"/>
    <w:rsid w:val="0020665A"/>
    <w:rsid w:val="002160DF"/>
    <w:rsid w:val="00225134"/>
    <w:rsid w:val="00231B10"/>
    <w:rsid w:val="00235ABD"/>
    <w:rsid w:val="00240AE4"/>
    <w:rsid w:val="002459F1"/>
    <w:rsid w:val="002460B6"/>
    <w:rsid w:val="002649FB"/>
    <w:rsid w:val="00273C71"/>
    <w:rsid w:val="002828AC"/>
    <w:rsid w:val="0029138E"/>
    <w:rsid w:val="00294DE1"/>
    <w:rsid w:val="002A572D"/>
    <w:rsid w:val="002B3BDA"/>
    <w:rsid w:val="002C0494"/>
    <w:rsid w:val="002C0AC5"/>
    <w:rsid w:val="002C27DA"/>
    <w:rsid w:val="002C3534"/>
    <w:rsid w:val="002C5413"/>
    <w:rsid w:val="002D67DC"/>
    <w:rsid w:val="002E3DD6"/>
    <w:rsid w:val="002F70D5"/>
    <w:rsid w:val="002F73C0"/>
    <w:rsid w:val="00303D18"/>
    <w:rsid w:val="00311CFD"/>
    <w:rsid w:val="00326817"/>
    <w:rsid w:val="0032787D"/>
    <w:rsid w:val="00331302"/>
    <w:rsid w:val="00335B4B"/>
    <w:rsid w:val="00341FF0"/>
    <w:rsid w:val="003433C5"/>
    <w:rsid w:val="0035084D"/>
    <w:rsid w:val="00355453"/>
    <w:rsid w:val="00356678"/>
    <w:rsid w:val="003751D1"/>
    <w:rsid w:val="003833EC"/>
    <w:rsid w:val="0038381C"/>
    <w:rsid w:val="00384AE8"/>
    <w:rsid w:val="00394399"/>
    <w:rsid w:val="00397B0E"/>
    <w:rsid w:val="003A514F"/>
    <w:rsid w:val="003D1508"/>
    <w:rsid w:val="003E3EF7"/>
    <w:rsid w:val="003E7C21"/>
    <w:rsid w:val="003E7F27"/>
    <w:rsid w:val="003F484C"/>
    <w:rsid w:val="0040759B"/>
    <w:rsid w:val="00443A78"/>
    <w:rsid w:val="0044436B"/>
    <w:rsid w:val="00446292"/>
    <w:rsid w:val="004528B4"/>
    <w:rsid w:val="004638A9"/>
    <w:rsid w:val="004709EB"/>
    <w:rsid w:val="0048284D"/>
    <w:rsid w:val="00493920"/>
    <w:rsid w:val="00495D8D"/>
    <w:rsid w:val="00497220"/>
    <w:rsid w:val="004A43B7"/>
    <w:rsid w:val="004A50F8"/>
    <w:rsid w:val="004B6D5C"/>
    <w:rsid w:val="004B777F"/>
    <w:rsid w:val="004D0666"/>
    <w:rsid w:val="004D0B70"/>
    <w:rsid w:val="004D5919"/>
    <w:rsid w:val="004F06CC"/>
    <w:rsid w:val="00511475"/>
    <w:rsid w:val="0052180A"/>
    <w:rsid w:val="005255B7"/>
    <w:rsid w:val="0053319E"/>
    <w:rsid w:val="005335E0"/>
    <w:rsid w:val="00534598"/>
    <w:rsid w:val="005407C6"/>
    <w:rsid w:val="005452FA"/>
    <w:rsid w:val="00546B3B"/>
    <w:rsid w:val="00546E9E"/>
    <w:rsid w:val="0055441D"/>
    <w:rsid w:val="0056543B"/>
    <w:rsid w:val="005667EF"/>
    <w:rsid w:val="0058075D"/>
    <w:rsid w:val="00593691"/>
    <w:rsid w:val="005A6211"/>
    <w:rsid w:val="005B3B23"/>
    <w:rsid w:val="005D0C48"/>
    <w:rsid w:val="005D72A5"/>
    <w:rsid w:val="005E0328"/>
    <w:rsid w:val="005E25B4"/>
    <w:rsid w:val="005E5EDC"/>
    <w:rsid w:val="005F468A"/>
    <w:rsid w:val="0060386F"/>
    <w:rsid w:val="006105C7"/>
    <w:rsid w:val="00612CA1"/>
    <w:rsid w:val="00614DCA"/>
    <w:rsid w:val="00616E35"/>
    <w:rsid w:val="0062344B"/>
    <w:rsid w:val="00626639"/>
    <w:rsid w:val="00627779"/>
    <w:rsid w:val="0063395D"/>
    <w:rsid w:val="00642E4A"/>
    <w:rsid w:val="00643113"/>
    <w:rsid w:val="00671825"/>
    <w:rsid w:val="00676359"/>
    <w:rsid w:val="00676AA1"/>
    <w:rsid w:val="006A06F2"/>
    <w:rsid w:val="006A2202"/>
    <w:rsid w:val="006A2342"/>
    <w:rsid w:val="006B138A"/>
    <w:rsid w:val="006C28C2"/>
    <w:rsid w:val="006D4E0E"/>
    <w:rsid w:val="00704CEE"/>
    <w:rsid w:val="007072D4"/>
    <w:rsid w:val="00712240"/>
    <w:rsid w:val="00720145"/>
    <w:rsid w:val="007232E5"/>
    <w:rsid w:val="007250D2"/>
    <w:rsid w:val="00730A24"/>
    <w:rsid w:val="00734A2B"/>
    <w:rsid w:val="00742700"/>
    <w:rsid w:val="0074635C"/>
    <w:rsid w:val="0075254F"/>
    <w:rsid w:val="00753206"/>
    <w:rsid w:val="00754DD8"/>
    <w:rsid w:val="00755BDA"/>
    <w:rsid w:val="007601CD"/>
    <w:rsid w:val="00775E0F"/>
    <w:rsid w:val="0078253F"/>
    <w:rsid w:val="0079024C"/>
    <w:rsid w:val="00791555"/>
    <w:rsid w:val="007A484C"/>
    <w:rsid w:val="007A5D5E"/>
    <w:rsid w:val="007D1BE4"/>
    <w:rsid w:val="007D25D0"/>
    <w:rsid w:val="007D30AF"/>
    <w:rsid w:val="00802A0A"/>
    <w:rsid w:val="00824825"/>
    <w:rsid w:val="00832049"/>
    <w:rsid w:val="008472D0"/>
    <w:rsid w:val="00847748"/>
    <w:rsid w:val="0086341F"/>
    <w:rsid w:val="00871181"/>
    <w:rsid w:val="0087312E"/>
    <w:rsid w:val="008771D6"/>
    <w:rsid w:val="0087727D"/>
    <w:rsid w:val="00896D01"/>
    <w:rsid w:val="00897E75"/>
    <w:rsid w:val="008A0B81"/>
    <w:rsid w:val="008B2F50"/>
    <w:rsid w:val="008C0946"/>
    <w:rsid w:val="008C1947"/>
    <w:rsid w:val="008C5D7F"/>
    <w:rsid w:val="008E4228"/>
    <w:rsid w:val="008E699C"/>
    <w:rsid w:val="008F60BF"/>
    <w:rsid w:val="008F6B98"/>
    <w:rsid w:val="008F6CE2"/>
    <w:rsid w:val="008F7B30"/>
    <w:rsid w:val="00917DAD"/>
    <w:rsid w:val="009401C5"/>
    <w:rsid w:val="009419EB"/>
    <w:rsid w:val="00943629"/>
    <w:rsid w:val="0095414F"/>
    <w:rsid w:val="00954ADE"/>
    <w:rsid w:val="009565CE"/>
    <w:rsid w:val="009668F8"/>
    <w:rsid w:val="00970570"/>
    <w:rsid w:val="00972B91"/>
    <w:rsid w:val="009805DC"/>
    <w:rsid w:val="00987529"/>
    <w:rsid w:val="009906B1"/>
    <w:rsid w:val="00991B98"/>
    <w:rsid w:val="0099225D"/>
    <w:rsid w:val="009E03DD"/>
    <w:rsid w:val="009E0594"/>
    <w:rsid w:val="009E4C14"/>
    <w:rsid w:val="009E579C"/>
    <w:rsid w:val="00A00493"/>
    <w:rsid w:val="00A16859"/>
    <w:rsid w:val="00A1714D"/>
    <w:rsid w:val="00A310D3"/>
    <w:rsid w:val="00A65A21"/>
    <w:rsid w:val="00A67050"/>
    <w:rsid w:val="00A70D7A"/>
    <w:rsid w:val="00A7298E"/>
    <w:rsid w:val="00A73E91"/>
    <w:rsid w:val="00A9199B"/>
    <w:rsid w:val="00AA13A9"/>
    <w:rsid w:val="00AA1B5C"/>
    <w:rsid w:val="00AB298C"/>
    <w:rsid w:val="00AB3C3F"/>
    <w:rsid w:val="00AB7DDC"/>
    <w:rsid w:val="00AC1AC0"/>
    <w:rsid w:val="00AC3C4B"/>
    <w:rsid w:val="00AC5959"/>
    <w:rsid w:val="00B16CF7"/>
    <w:rsid w:val="00B24AF6"/>
    <w:rsid w:val="00B31DF7"/>
    <w:rsid w:val="00B3765D"/>
    <w:rsid w:val="00B755F9"/>
    <w:rsid w:val="00B777E5"/>
    <w:rsid w:val="00B91B22"/>
    <w:rsid w:val="00B96223"/>
    <w:rsid w:val="00BB0873"/>
    <w:rsid w:val="00BB2355"/>
    <w:rsid w:val="00BD2153"/>
    <w:rsid w:val="00BF011A"/>
    <w:rsid w:val="00BF0131"/>
    <w:rsid w:val="00C06429"/>
    <w:rsid w:val="00C161FF"/>
    <w:rsid w:val="00C17A10"/>
    <w:rsid w:val="00C212FA"/>
    <w:rsid w:val="00C36E16"/>
    <w:rsid w:val="00C40EF3"/>
    <w:rsid w:val="00C41311"/>
    <w:rsid w:val="00C464DE"/>
    <w:rsid w:val="00C55127"/>
    <w:rsid w:val="00C624AB"/>
    <w:rsid w:val="00C649E3"/>
    <w:rsid w:val="00C70C44"/>
    <w:rsid w:val="00C77616"/>
    <w:rsid w:val="00C83040"/>
    <w:rsid w:val="00C830CE"/>
    <w:rsid w:val="00C967E6"/>
    <w:rsid w:val="00CA6E4F"/>
    <w:rsid w:val="00CD2BBE"/>
    <w:rsid w:val="00CD60F5"/>
    <w:rsid w:val="00CE02C6"/>
    <w:rsid w:val="00CE0B9D"/>
    <w:rsid w:val="00CE21B3"/>
    <w:rsid w:val="00CE3419"/>
    <w:rsid w:val="00CE7CCA"/>
    <w:rsid w:val="00CF26CF"/>
    <w:rsid w:val="00D06CC6"/>
    <w:rsid w:val="00D1519A"/>
    <w:rsid w:val="00D227C9"/>
    <w:rsid w:val="00D300B7"/>
    <w:rsid w:val="00D31237"/>
    <w:rsid w:val="00D345C2"/>
    <w:rsid w:val="00D536F8"/>
    <w:rsid w:val="00D738BA"/>
    <w:rsid w:val="00D927BB"/>
    <w:rsid w:val="00D9505A"/>
    <w:rsid w:val="00DA39D0"/>
    <w:rsid w:val="00DB4E89"/>
    <w:rsid w:val="00DC3745"/>
    <w:rsid w:val="00DC7557"/>
    <w:rsid w:val="00DD5347"/>
    <w:rsid w:val="00DE0594"/>
    <w:rsid w:val="00DF3F54"/>
    <w:rsid w:val="00DF6B19"/>
    <w:rsid w:val="00E04F51"/>
    <w:rsid w:val="00E06F4D"/>
    <w:rsid w:val="00E156DF"/>
    <w:rsid w:val="00E1670B"/>
    <w:rsid w:val="00E2102B"/>
    <w:rsid w:val="00E26EC1"/>
    <w:rsid w:val="00E51805"/>
    <w:rsid w:val="00E82800"/>
    <w:rsid w:val="00E82BBA"/>
    <w:rsid w:val="00E8732A"/>
    <w:rsid w:val="00E87D3C"/>
    <w:rsid w:val="00EB3AFA"/>
    <w:rsid w:val="00EC545E"/>
    <w:rsid w:val="00EC68B5"/>
    <w:rsid w:val="00ED09A1"/>
    <w:rsid w:val="00EE669C"/>
    <w:rsid w:val="00EF1944"/>
    <w:rsid w:val="00EF3F15"/>
    <w:rsid w:val="00F137F6"/>
    <w:rsid w:val="00F24191"/>
    <w:rsid w:val="00F32BDE"/>
    <w:rsid w:val="00F37CB3"/>
    <w:rsid w:val="00F454DA"/>
    <w:rsid w:val="00F537EB"/>
    <w:rsid w:val="00F57337"/>
    <w:rsid w:val="00F6717E"/>
    <w:rsid w:val="00F92759"/>
    <w:rsid w:val="00F92C0B"/>
    <w:rsid w:val="00F972B7"/>
    <w:rsid w:val="00FA36D8"/>
    <w:rsid w:val="00FC1E52"/>
    <w:rsid w:val="00FC3E06"/>
    <w:rsid w:val="00FC4DC4"/>
    <w:rsid w:val="00FD0E21"/>
    <w:rsid w:val="00FD28C5"/>
    <w:rsid w:val="00FD549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CAA8D"/>
  <w15:docId w15:val="{74014E73-EE5C-48A0-A275-66C09E71C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s-MX" w:eastAsia="es-ES_tradnl"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691"/>
    <w:pPr>
      <w:spacing w:after="0" w:line="240" w:lineRule="auto"/>
      <w:jc w:val="left"/>
    </w:pPr>
    <w:rPr>
      <w:rFonts w:ascii="Times New Roman" w:eastAsia="Times New Roman" w:hAnsi="Times New Roman" w:cs="Times New Roman"/>
      <w:lang w:val="es-CO" w:eastAsia="es-MX"/>
    </w:rPr>
  </w:style>
  <w:style w:type="paragraph" w:styleId="Ttulo1">
    <w:name w:val="heading 1"/>
    <w:basedOn w:val="Normal"/>
    <w:next w:val="Normal"/>
    <w:uiPriority w:val="9"/>
    <w:qFormat/>
    <w:pPr>
      <w:keepNext/>
      <w:spacing w:before="240" w:after="60"/>
      <w:outlineLvl w:val="0"/>
    </w:pPr>
    <w:rPr>
      <w:rFonts w:ascii="Arial" w:eastAsia="Arial" w:hAnsi="Arial" w:cs="Arial"/>
      <w:b/>
      <w:sz w:val="32"/>
      <w:szCs w:val="32"/>
      <w:lang w:val="es-MX" w:eastAsia="es-ES_tradnl"/>
    </w:rPr>
  </w:style>
  <w:style w:type="paragraph" w:styleId="Ttulo2">
    <w:name w:val="heading 2"/>
    <w:basedOn w:val="Normal"/>
    <w:next w:val="Normal"/>
    <w:uiPriority w:val="9"/>
    <w:semiHidden/>
    <w:unhideWhenUsed/>
    <w:qFormat/>
    <w:pPr>
      <w:keepNext/>
      <w:spacing w:before="240" w:after="60"/>
      <w:ind w:left="720"/>
      <w:outlineLvl w:val="1"/>
    </w:pPr>
    <w:rPr>
      <w:rFonts w:ascii="Arial" w:eastAsia="Arial" w:hAnsi="Arial" w:cs="Arial"/>
      <w:b/>
      <w:i/>
      <w:sz w:val="28"/>
      <w:szCs w:val="28"/>
      <w:lang w:val="es-MX" w:eastAsia="es-ES_tradnl"/>
    </w:rPr>
  </w:style>
  <w:style w:type="paragraph" w:styleId="Ttulo3">
    <w:name w:val="heading 3"/>
    <w:basedOn w:val="Normal"/>
    <w:next w:val="Normal"/>
    <w:uiPriority w:val="9"/>
    <w:semiHidden/>
    <w:unhideWhenUsed/>
    <w:qFormat/>
    <w:pPr>
      <w:keepNext/>
      <w:spacing w:before="240" w:after="60"/>
      <w:ind w:left="1440"/>
      <w:outlineLvl w:val="2"/>
    </w:pPr>
    <w:rPr>
      <w:rFonts w:ascii="Arial" w:eastAsia="Arial" w:hAnsi="Arial" w:cs="Arial"/>
      <w:b/>
      <w:sz w:val="26"/>
      <w:szCs w:val="26"/>
    </w:rPr>
  </w:style>
  <w:style w:type="paragraph" w:styleId="Ttulo4">
    <w:name w:val="heading 4"/>
    <w:basedOn w:val="Normal"/>
    <w:next w:val="Normal"/>
    <w:uiPriority w:val="9"/>
    <w:semiHidden/>
    <w:unhideWhenUsed/>
    <w:qFormat/>
    <w:pPr>
      <w:keepNext/>
      <w:spacing w:before="240" w:after="60"/>
      <w:ind w:left="2160"/>
      <w:outlineLvl w:val="3"/>
    </w:pPr>
    <w:rPr>
      <w:b/>
      <w:sz w:val="28"/>
      <w:szCs w:val="28"/>
    </w:rPr>
  </w:style>
  <w:style w:type="paragraph" w:styleId="Ttulo5">
    <w:name w:val="heading 5"/>
    <w:basedOn w:val="Normal"/>
    <w:next w:val="Normal"/>
    <w:uiPriority w:val="9"/>
    <w:semiHidden/>
    <w:unhideWhenUsed/>
    <w:qFormat/>
    <w:pPr>
      <w:spacing w:before="240" w:after="60"/>
      <w:ind w:left="2880"/>
      <w:outlineLvl w:val="4"/>
    </w:pPr>
    <w:rPr>
      <w:b/>
      <w:i/>
      <w:sz w:val="26"/>
      <w:szCs w:val="26"/>
    </w:rPr>
  </w:style>
  <w:style w:type="paragraph" w:styleId="Ttulo6">
    <w:name w:val="heading 6"/>
    <w:basedOn w:val="Normal"/>
    <w:next w:val="Normal"/>
    <w:uiPriority w:val="9"/>
    <w:semiHidden/>
    <w:unhideWhenUsed/>
    <w:qFormat/>
    <w:pPr>
      <w:spacing w:before="240" w:after="60"/>
      <w:ind w:left="3600"/>
      <w:outlineLvl w:val="5"/>
    </w:pPr>
    <w:rPr>
      <w:b/>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line="276" w:lineRule="auto"/>
      <w:jc w:val="both"/>
    </w:pPr>
    <w:rPr>
      <w:rFonts w:ascii="Calibri" w:eastAsia="Calibri" w:hAnsi="Calibri" w:cs="Calibri"/>
      <w:b/>
      <w:sz w:val="72"/>
      <w:szCs w:val="72"/>
      <w:lang w:val="es-MX" w:eastAsia="es-ES_tradnl"/>
    </w:rPr>
  </w:style>
  <w:style w:type="paragraph" w:styleId="Subttulo">
    <w:name w:val="Subtitle"/>
    <w:basedOn w:val="Normal"/>
    <w:next w:val="Normal"/>
    <w:uiPriority w:val="11"/>
    <w:qFormat/>
    <w:pPr>
      <w:keepNext/>
      <w:keepLines/>
      <w:spacing w:before="360" w:after="80" w:line="276" w:lineRule="auto"/>
      <w:jc w:val="both"/>
    </w:pPr>
    <w:rPr>
      <w:rFonts w:ascii="Georgia" w:eastAsia="Georgia" w:hAnsi="Georgia" w:cs="Georgia"/>
      <w:i/>
      <w:color w:val="666666"/>
      <w:sz w:val="48"/>
      <w:szCs w:val="48"/>
      <w:lang w:val="es-MX" w:eastAsia="es-ES_tradnl"/>
    </w:rPr>
  </w:style>
  <w:style w:type="table" w:customStyle="1" w:styleId="2">
    <w:name w:val="2"/>
    <w:basedOn w:val="TableNormal"/>
    <w:pPr>
      <w:spacing w:before="120" w:after="0" w:line="240" w:lineRule="auto"/>
      <w:jc w:val="left"/>
    </w:pPr>
    <w:tblPr>
      <w:tblStyleRowBandSize w:val="1"/>
      <w:tblStyleColBandSize w:val="1"/>
      <w:tblCellMar>
        <w:left w:w="108" w:type="dxa"/>
        <w:right w:w="108" w:type="dxa"/>
      </w:tblCellMar>
    </w:tblPr>
  </w:style>
  <w:style w:type="table" w:customStyle="1" w:styleId="1">
    <w:name w:val="1"/>
    <w:basedOn w:val="TableNormal"/>
    <w:pPr>
      <w:spacing w:before="120" w:after="0" w:line="240" w:lineRule="auto"/>
      <w:jc w:val="left"/>
    </w:pPr>
    <w:tblPr>
      <w:tblStyleRowBandSize w:val="1"/>
      <w:tblStyleColBandSize w:val="1"/>
      <w:tblCellMar>
        <w:left w:w="108" w:type="dxa"/>
        <w:right w:w="108" w:type="dxa"/>
      </w:tblCellMar>
    </w:tbl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802A0A"/>
    <w:rPr>
      <w:b/>
      <w:bCs/>
    </w:rPr>
  </w:style>
  <w:style w:type="character" w:customStyle="1" w:styleId="AsuntodelcomentarioCar">
    <w:name w:val="Asunto del comentario Car"/>
    <w:basedOn w:val="TextocomentarioCar"/>
    <w:link w:val="Asuntodelcomentario"/>
    <w:uiPriority w:val="99"/>
    <w:semiHidden/>
    <w:rsid w:val="00802A0A"/>
    <w:rPr>
      <w:b/>
      <w:bCs/>
      <w:sz w:val="20"/>
      <w:szCs w:val="20"/>
    </w:rPr>
  </w:style>
  <w:style w:type="paragraph" w:styleId="Textodeglobo">
    <w:name w:val="Balloon Text"/>
    <w:basedOn w:val="Normal"/>
    <w:link w:val="TextodegloboCar"/>
    <w:uiPriority w:val="99"/>
    <w:semiHidden/>
    <w:unhideWhenUsed/>
    <w:rsid w:val="00802A0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02A0A"/>
    <w:rPr>
      <w:rFonts w:ascii="Segoe UI" w:hAnsi="Segoe UI" w:cs="Segoe UI"/>
      <w:sz w:val="18"/>
      <w:szCs w:val="18"/>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34A2B"/>
    <w:pPr>
      <w:jc w:val="both"/>
    </w:pPr>
    <w:rPr>
      <w:rFonts w:ascii="Calibri" w:eastAsia="Calibri" w:hAnsi="Calibri" w:cs="Calibri"/>
      <w:sz w:val="20"/>
      <w:szCs w:val="20"/>
      <w:lang w:val="es-MX" w:eastAsia="es-ES_tradnl"/>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734A2B"/>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34A2B"/>
    <w:rPr>
      <w:vertAlign w:val="superscript"/>
    </w:rPr>
  </w:style>
  <w:style w:type="paragraph" w:customStyle="1" w:styleId="Appelnotedebasde">
    <w:name w:val="Appel note de bas de..."/>
    <w:basedOn w:val="Normal"/>
    <w:link w:val="Refdenotaalpie"/>
    <w:uiPriority w:val="99"/>
    <w:rsid w:val="00734A2B"/>
    <w:pPr>
      <w:spacing w:after="160" w:line="240" w:lineRule="exact"/>
      <w:jc w:val="both"/>
    </w:pPr>
    <w:rPr>
      <w:rFonts w:ascii="Calibri" w:eastAsia="Calibri" w:hAnsi="Calibri" w:cs="Calibri"/>
      <w:vertAlign w:val="superscript"/>
      <w:lang w:val="es-MX" w:eastAsia="es-ES_tradnl"/>
    </w:rPr>
  </w:style>
  <w:style w:type="character" w:customStyle="1" w:styleId="Hipervnculo1">
    <w:name w:val="Hipervínculo1"/>
    <w:basedOn w:val="Fuentedeprrafopredeter"/>
    <w:uiPriority w:val="99"/>
    <w:unhideWhenUsed/>
    <w:rsid w:val="00734A2B"/>
    <w:rPr>
      <w:color w:val="0563C1"/>
      <w:u w:val="single"/>
    </w:rPr>
  </w:style>
  <w:style w:type="character" w:styleId="Hipervnculo">
    <w:name w:val="Hyperlink"/>
    <w:basedOn w:val="Fuentedeprrafopredeter"/>
    <w:uiPriority w:val="99"/>
    <w:unhideWhenUsed/>
    <w:rsid w:val="00734A2B"/>
    <w:rPr>
      <w:color w:val="0000FF" w:themeColor="hyperlink"/>
      <w:u w:val="single"/>
    </w:rPr>
  </w:style>
  <w:style w:type="paragraph" w:styleId="NormalWeb">
    <w:name w:val="Normal (Web)"/>
    <w:basedOn w:val="Normal"/>
    <w:uiPriority w:val="99"/>
    <w:semiHidden/>
    <w:unhideWhenUsed/>
    <w:rsid w:val="000E542F"/>
  </w:style>
  <w:style w:type="paragraph" w:styleId="Prrafodelista">
    <w:name w:val="List Paragraph"/>
    <w:basedOn w:val="Normal"/>
    <w:uiPriority w:val="34"/>
    <w:qFormat/>
    <w:rsid w:val="00A310D3"/>
    <w:pPr>
      <w:spacing w:after="200" w:line="276" w:lineRule="auto"/>
      <w:ind w:left="720"/>
      <w:contextualSpacing/>
      <w:jc w:val="both"/>
    </w:pPr>
    <w:rPr>
      <w:rFonts w:ascii="Calibri" w:eastAsia="Calibri" w:hAnsi="Calibri" w:cs="Calibri"/>
      <w:lang w:val="es-MX" w:eastAsia="es-ES_tradnl"/>
    </w:rPr>
  </w:style>
  <w:style w:type="character" w:customStyle="1" w:styleId="baj">
    <w:name w:val="b_aj"/>
    <w:basedOn w:val="Fuentedeprrafopredeter"/>
    <w:rsid w:val="00897E75"/>
  </w:style>
  <w:style w:type="paragraph" w:styleId="Encabezado">
    <w:name w:val="header"/>
    <w:basedOn w:val="Normal"/>
    <w:link w:val="EncabezadoCar"/>
    <w:uiPriority w:val="99"/>
    <w:unhideWhenUsed/>
    <w:rsid w:val="00897E75"/>
    <w:pPr>
      <w:tabs>
        <w:tab w:val="center" w:pos="4419"/>
        <w:tab w:val="right" w:pos="8838"/>
      </w:tabs>
      <w:jc w:val="both"/>
    </w:pPr>
    <w:rPr>
      <w:rFonts w:ascii="Calibri" w:eastAsia="Calibri" w:hAnsi="Calibri" w:cs="Calibri"/>
      <w:lang w:val="es-MX" w:eastAsia="es-ES_tradnl"/>
    </w:rPr>
  </w:style>
  <w:style w:type="character" w:customStyle="1" w:styleId="EncabezadoCar">
    <w:name w:val="Encabezado Car"/>
    <w:basedOn w:val="Fuentedeprrafopredeter"/>
    <w:link w:val="Encabezado"/>
    <w:uiPriority w:val="99"/>
    <w:rsid w:val="00897E75"/>
  </w:style>
  <w:style w:type="paragraph" w:styleId="Piedepgina">
    <w:name w:val="footer"/>
    <w:basedOn w:val="Normal"/>
    <w:link w:val="PiedepginaCar"/>
    <w:uiPriority w:val="99"/>
    <w:unhideWhenUsed/>
    <w:rsid w:val="00897E75"/>
    <w:pPr>
      <w:tabs>
        <w:tab w:val="center" w:pos="4419"/>
        <w:tab w:val="right" w:pos="8838"/>
      </w:tabs>
      <w:jc w:val="both"/>
    </w:pPr>
    <w:rPr>
      <w:rFonts w:ascii="Calibri" w:eastAsia="Calibri" w:hAnsi="Calibri" w:cs="Calibri"/>
      <w:lang w:val="es-MX" w:eastAsia="es-ES_tradnl"/>
    </w:rPr>
  </w:style>
  <w:style w:type="character" w:customStyle="1" w:styleId="PiedepginaCar">
    <w:name w:val="Pie de página Car"/>
    <w:basedOn w:val="Fuentedeprrafopredeter"/>
    <w:link w:val="Piedepgina"/>
    <w:uiPriority w:val="99"/>
    <w:rsid w:val="00897E75"/>
  </w:style>
  <w:style w:type="character" w:styleId="nfasis">
    <w:name w:val="Emphasis"/>
    <w:basedOn w:val="Fuentedeprrafopredeter"/>
    <w:uiPriority w:val="20"/>
    <w:qFormat/>
    <w:rsid w:val="00397B0E"/>
    <w:rPr>
      <w:i/>
      <w:iCs/>
    </w:rPr>
  </w:style>
  <w:style w:type="character" w:styleId="Textoennegrita">
    <w:name w:val="Strong"/>
    <w:basedOn w:val="Fuentedeprrafopredeter"/>
    <w:uiPriority w:val="22"/>
    <w:qFormat/>
    <w:rsid w:val="00791555"/>
    <w:rPr>
      <w:b/>
      <w:bCs/>
    </w:rPr>
  </w:style>
  <w:style w:type="character" w:styleId="Hipervnculovisitado">
    <w:name w:val="FollowedHyperlink"/>
    <w:basedOn w:val="Fuentedeprrafopredeter"/>
    <w:uiPriority w:val="99"/>
    <w:semiHidden/>
    <w:unhideWhenUsed/>
    <w:rsid w:val="00C830CE"/>
    <w:rPr>
      <w:color w:val="800080" w:themeColor="followedHyperlink"/>
      <w:u w:val="single"/>
    </w:rPr>
  </w:style>
  <w:style w:type="paragraph" w:styleId="Revisin">
    <w:name w:val="Revision"/>
    <w:hidden/>
    <w:uiPriority w:val="99"/>
    <w:semiHidden/>
    <w:rsid w:val="000B5697"/>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79380">
      <w:bodyDiv w:val="1"/>
      <w:marLeft w:val="0"/>
      <w:marRight w:val="0"/>
      <w:marTop w:val="0"/>
      <w:marBottom w:val="0"/>
      <w:divBdr>
        <w:top w:val="none" w:sz="0" w:space="0" w:color="auto"/>
        <w:left w:val="none" w:sz="0" w:space="0" w:color="auto"/>
        <w:bottom w:val="none" w:sz="0" w:space="0" w:color="auto"/>
        <w:right w:val="none" w:sz="0" w:space="0" w:color="auto"/>
      </w:divBdr>
    </w:div>
    <w:div w:id="225343558">
      <w:bodyDiv w:val="1"/>
      <w:marLeft w:val="0"/>
      <w:marRight w:val="0"/>
      <w:marTop w:val="0"/>
      <w:marBottom w:val="0"/>
      <w:divBdr>
        <w:top w:val="none" w:sz="0" w:space="0" w:color="auto"/>
        <w:left w:val="none" w:sz="0" w:space="0" w:color="auto"/>
        <w:bottom w:val="none" w:sz="0" w:space="0" w:color="auto"/>
        <w:right w:val="none" w:sz="0" w:space="0" w:color="auto"/>
      </w:divBdr>
    </w:div>
    <w:div w:id="698119622">
      <w:bodyDiv w:val="1"/>
      <w:marLeft w:val="0"/>
      <w:marRight w:val="0"/>
      <w:marTop w:val="0"/>
      <w:marBottom w:val="0"/>
      <w:divBdr>
        <w:top w:val="none" w:sz="0" w:space="0" w:color="auto"/>
        <w:left w:val="none" w:sz="0" w:space="0" w:color="auto"/>
        <w:bottom w:val="none" w:sz="0" w:space="0" w:color="auto"/>
        <w:right w:val="none" w:sz="0" w:space="0" w:color="auto"/>
      </w:divBdr>
      <w:divsChild>
        <w:div w:id="183322019">
          <w:marLeft w:val="0"/>
          <w:marRight w:val="0"/>
          <w:marTop w:val="0"/>
          <w:marBottom w:val="0"/>
          <w:divBdr>
            <w:top w:val="none" w:sz="0" w:space="0" w:color="auto"/>
            <w:left w:val="none" w:sz="0" w:space="0" w:color="auto"/>
            <w:bottom w:val="none" w:sz="0" w:space="0" w:color="auto"/>
            <w:right w:val="none" w:sz="0" w:space="0" w:color="auto"/>
          </w:divBdr>
          <w:divsChild>
            <w:div w:id="1159348459">
              <w:marLeft w:val="0"/>
              <w:marRight w:val="0"/>
              <w:marTop w:val="0"/>
              <w:marBottom w:val="0"/>
              <w:divBdr>
                <w:top w:val="none" w:sz="0" w:space="0" w:color="auto"/>
                <w:left w:val="none" w:sz="0" w:space="0" w:color="auto"/>
                <w:bottom w:val="none" w:sz="0" w:space="0" w:color="auto"/>
                <w:right w:val="none" w:sz="0" w:space="0" w:color="auto"/>
              </w:divBdr>
            </w:div>
          </w:divsChild>
        </w:div>
        <w:div w:id="714499568">
          <w:marLeft w:val="0"/>
          <w:marRight w:val="0"/>
          <w:marTop w:val="0"/>
          <w:marBottom w:val="0"/>
          <w:divBdr>
            <w:top w:val="none" w:sz="0" w:space="0" w:color="auto"/>
            <w:left w:val="none" w:sz="0" w:space="0" w:color="auto"/>
            <w:bottom w:val="none" w:sz="0" w:space="0" w:color="auto"/>
            <w:right w:val="none" w:sz="0" w:space="0" w:color="auto"/>
          </w:divBdr>
          <w:divsChild>
            <w:div w:id="1642420608">
              <w:marLeft w:val="0"/>
              <w:marRight w:val="0"/>
              <w:marTop w:val="0"/>
              <w:marBottom w:val="0"/>
              <w:divBdr>
                <w:top w:val="none" w:sz="0" w:space="0" w:color="auto"/>
                <w:left w:val="none" w:sz="0" w:space="0" w:color="auto"/>
                <w:bottom w:val="none" w:sz="0" w:space="0" w:color="auto"/>
                <w:right w:val="none" w:sz="0" w:space="0" w:color="auto"/>
              </w:divBdr>
            </w:div>
          </w:divsChild>
        </w:div>
        <w:div w:id="974798296">
          <w:marLeft w:val="0"/>
          <w:marRight w:val="0"/>
          <w:marTop w:val="0"/>
          <w:marBottom w:val="0"/>
          <w:divBdr>
            <w:top w:val="none" w:sz="0" w:space="0" w:color="auto"/>
            <w:left w:val="none" w:sz="0" w:space="0" w:color="auto"/>
            <w:bottom w:val="none" w:sz="0" w:space="0" w:color="auto"/>
            <w:right w:val="none" w:sz="0" w:space="0" w:color="auto"/>
          </w:divBdr>
          <w:divsChild>
            <w:div w:id="1942491899">
              <w:marLeft w:val="0"/>
              <w:marRight w:val="0"/>
              <w:marTop w:val="0"/>
              <w:marBottom w:val="0"/>
              <w:divBdr>
                <w:top w:val="none" w:sz="0" w:space="0" w:color="auto"/>
                <w:left w:val="none" w:sz="0" w:space="0" w:color="auto"/>
                <w:bottom w:val="none" w:sz="0" w:space="0" w:color="auto"/>
                <w:right w:val="none" w:sz="0" w:space="0" w:color="auto"/>
              </w:divBdr>
            </w:div>
          </w:divsChild>
        </w:div>
        <w:div w:id="1396244973">
          <w:marLeft w:val="0"/>
          <w:marRight w:val="0"/>
          <w:marTop w:val="0"/>
          <w:marBottom w:val="0"/>
          <w:divBdr>
            <w:top w:val="none" w:sz="0" w:space="0" w:color="auto"/>
            <w:left w:val="none" w:sz="0" w:space="0" w:color="auto"/>
            <w:bottom w:val="none" w:sz="0" w:space="0" w:color="auto"/>
            <w:right w:val="none" w:sz="0" w:space="0" w:color="auto"/>
          </w:divBdr>
          <w:divsChild>
            <w:div w:id="405154561">
              <w:marLeft w:val="0"/>
              <w:marRight w:val="0"/>
              <w:marTop w:val="0"/>
              <w:marBottom w:val="0"/>
              <w:divBdr>
                <w:top w:val="none" w:sz="0" w:space="0" w:color="auto"/>
                <w:left w:val="none" w:sz="0" w:space="0" w:color="auto"/>
                <w:bottom w:val="none" w:sz="0" w:space="0" w:color="auto"/>
                <w:right w:val="none" w:sz="0" w:space="0" w:color="auto"/>
              </w:divBdr>
            </w:div>
          </w:divsChild>
        </w:div>
        <w:div w:id="1469468370">
          <w:marLeft w:val="0"/>
          <w:marRight w:val="0"/>
          <w:marTop w:val="0"/>
          <w:marBottom w:val="0"/>
          <w:divBdr>
            <w:top w:val="none" w:sz="0" w:space="0" w:color="auto"/>
            <w:left w:val="none" w:sz="0" w:space="0" w:color="auto"/>
            <w:bottom w:val="none" w:sz="0" w:space="0" w:color="auto"/>
            <w:right w:val="none" w:sz="0" w:space="0" w:color="auto"/>
          </w:divBdr>
          <w:divsChild>
            <w:div w:id="145879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726287">
      <w:bodyDiv w:val="1"/>
      <w:marLeft w:val="0"/>
      <w:marRight w:val="0"/>
      <w:marTop w:val="0"/>
      <w:marBottom w:val="0"/>
      <w:divBdr>
        <w:top w:val="none" w:sz="0" w:space="0" w:color="auto"/>
        <w:left w:val="none" w:sz="0" w:space="0" w:color="auto"/>
        <w:bottom w:val="none" w:sz="0" w:space="0" w:color="auto"/>
        <w:right w:val="none" w:sz="0" w:space="0" w:color="auto"/>
      </w:divBdr>
    </w:div>
    <w:div w:id="878780301">
      <w:bodyDiv w:val="1"/>
      <w:marLeft w:val="0"/>
      <w:marRight w:val="0"/>
      <w:marTop w:val="0"/>
      <w:marBottom w:val="0"/>
      <w:divBdr>
        <w:top w:val="none" w:sz="0" w:space="0" w:color="auto"/>
        <w:left w:val="none" w:sz="0" w:space="0" w:color="auto"/>
        <w:bottom w:val="none" w:sz="0" w:space="0" w:color="auto"/>
        <w:right w:val="none" w:sz="0" w:space="0" w:color="auto"/>
      </w:divBdr>
    </w:div>
    <w:div w:id="1079406859">
      <w:bodyDiv w:val="1"/>
      <w:marLeft w:val="0"/>
      <w:marRight w:val="0"/>
      <w:marTop w:val="0"/>
      <w:marBottom w:val="0"/>
      <w:divBdr>
        <w:top w:val="none" w:sz="0" w:space="0" w:color="auto"/>
        <w:left w:val="none" w:sz="0" w:space="0" w:color="auto"/>
        <w:bottom w:val="none" w:sz="0" w:space="0" w:color="auto"/>
        <w:right w:val="none" w:sz="0" w:space="0" w:color="auto"/>
      </w:divBdr>
    </w:div>
    <w:div w:id="1248078066">
      <w:bodyDiv w:val="1"/>
      <w:marLeft w:val="0"/>
      <w:marRight w:val="0"/>
      <w:marTop w:val="0"/>
      <w:marBottom w:val="0"/>
      <w:divBdr>
        <w:top w:val="none" w:sz="0" w:space="0" w:color="auto"/>
        <w:left w:val="none" w:sz="0" w:space="0" w:color="auto"/>
        <w:bottom w:val="none" w:sz="0" w:space="0" w:color="auto"/>
        <w:right w:val="none" w:sz="0" w:space="0" w:color="auto"/>
      </w:divBdr>
    </w:div>
    <w:div w:id="1466965590">
      <w:bodyDiv w:val="1"/>
      <w:marLeft w:val="0"/>
      <w:marRight w:val="0"/>
      <w:marTop w:val="0"/>
      <w:marBottom w:val="0"/>
      <w:divBdr>
        <w:top w:val="none" w:sz="0" w:space="0" w:color="auto"/>
        <w:left w:val="none" w:sz="0" w:space="0" w:color="auto"/>
        <w:bottom w:val="none" w:sz="0" w:space="0" w:color="auto"/>
        <w:right w:val="none" w:sz="0" w:space="0" w:color="auto"/>
      </w:divBdr>
    </w:div>
    <w:div w:id="1540320393">
      <w:bodyDiv w:val="1"/>
      <w:marLeft w:val="0"/>
      <w:marRight w:val="0"/>
      <w:marTop w:val="0"/>
      <w:marBottom w:val="0"/>
      <w:divBdr>
        <w:top w:val="none" w:sz="0" w:space="0" w:color="auto"/>
        <w:left w:val="none" w:sz="0" w:space="0" w:color="auto"/>
        <w:bottom w:val="none" w:sz="0" w:space="0" w:color="auto"/>
        <w:right w:val="none" w:sz="0" w:space="0" w:color="auto"/>
      </w:divBdr>
    </w:div>
    <w:div w:id="1554344717">
      <w:bodyDiv w:val="1"/>
      <w:marLeft w:val="0"/>
      <w:marRight w:val="0"/>
      <w:marTop w:val="0"/>
      <w:marBottom w:val="0"/>
      <w:divBdr>
        <w:top w:val="none" w:sz="0" w:space="0" w:color="auto"/>
        <w:left w:val="none" w:sz="0" w:space="0" w:color="auto"/>
        <w:bottom w:val="none" w:sz="0" w:space="0" w:color="auto"/>
        <w:right w:val="none" w:sz="0" w:space="0" w:color="auto"/>
      </w:divBdr>
    </w:div>
    <w:div w:id="1698309294">
      <w:bodyDiv w:val="1"/>
      <w:marLeft w:val="0"/>
      <w:marRight w:val="0"/>
      <w:marTop w:val="0"/>
      <w:marBottom w:val="0"/>
      <w:divBdr>
        <w:top w:val="none" w:sz="0" w:space="0" w:color="auto"/>
        <w:left w:val="none" w:sz="0" w:space="0" w:color="auto"/>
        <w:bottom w:val="none" w:sz="0" w:space="0" w:color="auto"/>
        <w:right w:val="none" w:sz="0" w:space="0" w:color="auto"/>
      </w:divBdr>
    </w:div>
    <w:div w:id="1908612038">
      <w:bodyDiv w:val="1"/>
      <w:marLeft w:val="0"/>
      <w:marRight w:val="0"/>
      <w:marTop w:val="0"/>
      <w:marBottom w:val="0"/>
      <w:divBdr>
        <w:top w:val="none" w:sz="0" w:space="0" w:color="auto"/>
        <w:left w:val="none" w:sz="0" w:space="0" w:color="auto"/>
        <w:bottom w:val="none" w:sz="0" w:space="0" w:color="auto"/>
        <w:right w:val="none" w:sz="0" w:space="0" w:color="auto"/>
      </w:divBdr>
    </w:div>
    <w:div w:id="1930649695">
      <w:bodyDiv w:val="1"/>
      <w:marLeft w:val="0"/>
      <w:marRight w:val="0"/>
      <w:marTop w:val="0"/>
      <w:marBottom w:val="0"/>
      <w:divBdr>
        <w:top w:val="none" w:sz="0" w:space="0" w:color="auto"/>
        <w:left w:val="none" w:sz="0" w:space="0" w:color="auto"/>
        <w:bottom w:val="none" w:sz="0" w:space="0" w:color="auto"/>
        <w:right w:val="none" w:sz="0" w:space="0" w:color="auto"/>
      </w:divBdr>
    </w:div>
    <w:div w:id="1949583030">
      <w:bodyDiv w:val="1"/>
      <w:marLeft w:val="0"/>
      <w:marRight w:val="0"/>
      <w:marTop w:val="0"/>
      <w:marBottom w:val="0"/>
      <w:divBdr>
        <w:top w:val="none" w:sz="0" w:space="0" w:color="auto"/>
        <w:left w:val="none" w:sz="0" w:space="0" w:color="auto"/>
        <w:bottom w:val="none" w:sz="0" w:space="0" w:color="auto"/>
        <w:right w:val="none" w:sz="0" w:space="0" w:color="auto"/>
      </w:divBdr>
    </w:div>
    <w:div w:id="2094622134">
      <w:bodyDiv w:val="1"/>
      <w:marLeft w:val="0"/>
      <w:marRight w:val="0"/>
      <w:marTop w:val="0"/>
      <w:marBottom w:val="0"/>
      <w:divBdr>
        <w:top w:val="none" w:sz="0" w:space="0" w:color="auto"/>
        <w:left w:val="none" w:sz="0" w:space="0" w:color="auto"/>
        <w:bottom w:val="none" w:sz="0" w:space="0" w:color="auto"/>
        <w:right w:val="none" w:sz="0" w:space="0" w:color="auto"/>
      </w:divBdr>
    </w:div>
    <w:div w:id="21311971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1150_2007.html" TargetMode="External"/><Relationship Id="rId2" Type="http://schemas.openxmlformats.org/officeDocument/2006/relationships/hyperlink" Target="http://www.secretariasenado.gov.co/senado/basedoc/ley_0080_1993.html" TargetMode="External"/><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2A2F08B-0330-4711-B78C-734F498855CD}">
  <ds:schemaRefs>
    <ds:schemaRef ds:uri="http://schemas.openxmlformats.org/officeDocument/2006/bibliography"/>
  </ds:schemaRefs>
</ds:datastoreItem>
</file>

<file path=customXml/itemProps2.xml><?xml version="1.0" encoding="utf-8"?>
<ds:datastoreItem xmlns:ds="http://schemas.openxmlformats.org/officeDocument/2006/customXml" ds:itemID="{66EED675-CECC-431E-AB93-750350EA5919}"/>
</file>

<file path=customXml/itemProps3.xml><?xml version="1.0" encoding="utf-8"?>
<ds:datastoreItem xmlns:ds="http://schemas.openxmlformats.org/officeDocument/2006/customXml" ds:itemID="{0EB3B0A4-6E2B-487B-B726-0614985A40B1}"/>
</file>

<file path=customXml/itemProps4.xml><?xml version="1.0" encoding="utf-8"?>
<ds:datastoreItem xmlns:ds="http://schemas.openxmlformats.org/officeDocument/2006/customXml" ds:itemID="{15C52AA2-513B-4A00-9523-6332C1F8DFFF}"/>
</file>

<file path=docProps/app.xml><?xml version="1.0" encoding="utf-8"?>
<Properties xmlns="http://schemas.openxmlformats.org/officeDocument/2006/extended-properties" xmlns:vt="http://schemas.openxmlformats.org/officeDocument/2006/docPropsVTypes">
  <Template>Normal.dotm</Template>
  <TotalTime>743</TotalTime>
  <Pages>15</Pages>
  <Words>5154</Words>
  <Characters>28351</Characters>
  <Application>Microsoft Office Word</Application>
  <DocSecurity>0</DocSecurity>
  <Lines>236</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dc:creator>
  <cp:keywords/>
  <dc:description/>
  <cp:lastModifiedBy>Luisa Fernanda Pascuaza Cabrera</cp:lastModifiedBy>
  <cp:revision>19</cp:revision>
  <cp:lastPrinted>2022-03-24T20:14:00Z</cp:lastPrinted>
  <dcterms:created xsi:type="dcterms:W3CDTF">2022-06-03T21:52:00Z</dcterms:created>
  <dcterms:modified xsi:type="dcterms:W3CDTF">2022-06-22T16:58:00Z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