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fontTable.xml" ContentType="application/vnd.openxmlformats-officedocument.wordprocessingml.fontTable+xml"/>
  <Override PartName="/word/styles.xml" ContentType="application/vnd.openxmlformats-officedocument.wordprocessingml.styl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80ADD3" w14:textId="77777777" w:rsidR="008A1FB1" w:rsidRPr="00B91E46" w:rsidRDefault="008A1FB1" w:rsidP="008A1FB1">
      <w:pPr>
        <w:tabs>
          <w:tab w:val="left" w:pos="0"/>
        </w:tabs>
        <w:spacing w:after="0" w:line="240" w:lineRule="auto"/>
        <w:rPr>
          <w:rFonts w:ascii="Arial" w:hAnsi="Arial" w:cs="Arial"/>
          <w:b/>
          <w:sz w:val="22"/>
          <w:szCs w:val="22"/>
          <w:lang w:val="es-ES" w:eastAsia="en-US"/>
        </w:rPr>
      </w:pPr>
      <w:r w:rsidRPr="00B91E46">
        <w:rPr>
          <w:rFonts w:ascii="Arial" w:hAnsi="Arial" w:cs="Arial"/>
          <w:b/>
          <w:sz w:val="22"/>
          <w:szCs w:val="22"/>
          <w:lang w:val="es-ES" w:eastAsia="en-US"/>
        </w:rPr>
        <w:t>TRASLADO INFORME DE EVALUACIÓN</w:t>
      </w:r>
      <w:r>
        <w:rPr>
          <w:rFonts w:ascii="Arial" w:hAnsi="Arial" w:cs="Arial"/>
          <w:b/>
          <w:sz w:val="22"/>
          <w:szCs w:val="22"/>
          <w:lang w:val="es-ES" w:eastAsia="en-US"/>
        </w:rPr>
        <w:t xml:space="preserve"> – </w:t>
      </w:r>
      <w:r w:rsidRPr="00B91E46">
        <w:rPr>
          <w:rFonts w:ascii="Arial" w:hAnsi="Arial" w:cs="Arial"/>
          <w:b/>
          <w:sz w:val="22"/>
          <w:szCs w:val="22"/>
          <w:lang w:val="es-ES" w:eastAsia="en-US"/>
        </w:rPr>
        <w:t>Finalidad</w:t>
      </w:r>
    </w:p>
    <w:p w14:paraId="35996546" w14:textId="77777777" w:rsidR="008A1FB1" w:rsidRPr="00B91E46" w:rsidRDefault="008A1FB1" w:rsidP="008A1FB1">
      <w:pPr>
        <w:tabs>
          <w:tab w:val="left" w:pos="0"/>
        </w:tabs>
        <w:spacing w:after="0" w:line="240" w:lineRule="auto"/>
        <w:rPr>
          <w:rFonts w:ascii="Arial" w:hAnsi="Arial" w:cs="Arial"/>
          <w:b/>
          <w:sz w:val="22"/>
          <w:szCs w:val="22"/>
          <w:lang w:val="es-ES" w:eastAsia="en-US"/>
        </w:rPr>
      </w:pPr>
    </w:p>
    <w:p w14:paraId="58CEFE61" w14:textId="77777777" w:rsidR="008A1FB1" w:rsidRDefault="008A1FB1" w:rsidP="008A1FB1">
      <w:pPr>
        <w:spacing w:after="120" w:line="240" w:lineRule="auto"/>
        <w:rPr>
          <w:rFonts w:ascii="Arial" w:hAnsi="Arial" w:cs="Arial"/>
          <w:bCs/>
          <w:color w:val="000000"/>
          <w:sz w:val="22"/>
          <w:lang w:val="es-ES"/>
        </w:rPr>
      </w:pPr>
      <w:r>
        <w:rPr>
          <w:rFonts w:ascii="Arial" w:hAnsi="Arial" w:cs="Arial"/>
          <w:bCs/>
          <w:color w:val="000000"/>
          <w:sz w:val="22"/>
          <w:lang w:val="es-ES"/>
        </w:rPr>
        <w:t>Atendiendo la finalidad y alcance de los principios antes referidos, el legislador ha dispuesto distintas etapas en los procesos de selección tendientes a permitir la publicidad de los análisis realizados por las entidades estatales, con el fin de identificar cuál de todas las ofertas recibidas es aquella que mejor satisface sus necesidades en términos técnicos y económicos. Entre estas etapas se encuentra el término de traslado para el informe de evaluación de las ofertas, durante el cual, los interesados en el respectivo proceso de contratación podrán presentar observaciones a las conclusiones contenidas en dicho informe y/o ejercer su derecho de subsanar su oferta, conforme a las disposiciones vigentes</w:t>
      </w:r>
    </w:p>
    <w:p w14:paraId="1801A1D0" w14:textId="77777777" w:rsidR="008A1FB1" w:rsidRPr="00B91E46" w:rsidRDefault="008A1FB1" w:rsidP="008A1FB1">
      <w:pPr>
        <w:spacing w:after="120" w:line="240" w:lineRule="auto"/>
        <w:rPr>
          <w:rFonts w:ascii="Arial" w:hAnsi="Arial" w:cs="Arial"/>
          <w:color w:val="000000"/>
          <w:sz w:val="20"/>
          <w:szCs w:val="20"/>
          <w:lang w:eastAsia="en-US"/>
        </w:rPr>
      </w:pPr>
    </w:p>
    <w:p w14:paraId="11A9627C" w14:textId="77777777" w:rsidR="008A1FB1" w:rsidRDefault="008A1FB1" w:rsidP="008A1FB1">
      <w:pPr>
        <w:tabs>
          <w:tab w:val="left" w:pos="0"/>
        </w:tabs>
        <w:spacing w:after="0" w:line="240" w:lineRule="auto"/>
        <w:rPr>
          <w:rFonts w:ascii="Arial" w:hAnsi="Arial" w:cs="Arial"/>
          <w:b/>
          <w:sz w:val="22"/>
          <w:szCs w:val="22"/>
          <w:lang w:val="es-ES" w:eastAsia="en-US"/>
        </w:rPr>
      </w:pPr>
      <w:r w:rsidRPr="00B91E46">
        <w:rPr>
          <w:rFonts w:ascii="Arial" w:hAnsi="Arial" w:cs="Arial"/>
          <w:b/>
          <w:sz w:val="22"/>
          <w:szCs w:val="22"/>
          <w:lang w:val="es-ES" w:eastAsia="en-US"/>
        </w:rPr>
        <w:t>TRASLADO INFORME DE EVALUACIÓN</w:t>
      </w:r>
      <w:r>
        <w:rPr>
          <w:rFonts w:ascii="Arial" w:hAnsi="Arial" w:cs="Arial"/>
          <w:b/>
          <w:sz w:val="22"/>
          <w:szCs w:val="22"/>
          <w:lang w:val="es-ES" w:eastAsia="en-US"/>
        </w:rPr>
        <w:t xml:space="preserve"> – </w:t>
      </w:r>
      <w:r w:rsidRPr="00B91E46">
        <w:rPr>
          <w:rFonts w:ascii="Arial" w:hAnsi="Arial" w:cs="Arial"/>
          <w:b/>
          <w:sz w:val="22"/>
          <w:szCs w:val="22"/>
          <w:lang w:val="es-ES" w:eastAsia="en-US"/>
        </w:rPr>
        <w:t xml:space="preserve">Término </w:t>
      </w:r>
    </w:p>
    <w:p w14:paraId="2A33F22F" w14:textId="77777777" w:rsidR="008A1FB1" w:rsidRDefault="008A1FB1" w:rsidP="008A1FB1">
      <w:pPr>
        <w:tabs>
          <w:tab w:val="left" w:pos="0"/>
        </w:tabs>
        <w:spacing w:after="0" w:line="240" w:lineRule="auto"/>
        <w:rPr>
          <w:rFonts w:ascii="Arial" w:hAnsi="Arial" w:cs="Arial"/>
          <w:b/>
          <w:sz w:val="22"/>
          <w:szCs w:val="22"/>
          <w:lang w:val="es-ES" w:eastAsia="en-US"/>
        </w:rPr>
      </w:pPr>
    </w:p>
    <w:p w14:paraId="25DEC553" w14:textId="77777777" w:rsidR="008A1FB1" w:rsidRPr="00754D54" w:rsidRDefault="008A1FB1" w:rsidP="008A1FB1">
      <w:pPr>
        <w:tabs>
          <w:tab w:val="left" w:pos="0"/>
        </w:tabs>
        <w:spacing w:after="120"/>
        <w:rPr>
          <w:rFonts w:ascii="Arial" w:hAnsi="Arial" w:cs="Arial"/>
          <w:bCs/>
          <w:sz w:val="22"/>
          <w:szCs w:val="22"/>
          <w:lang w:eastAsia="en-US"/>
        </w:rPr>
      </w:pPr>
      <w:r w:rsidRPr="00754D54">
        <w:rPr>
          <w:rFonts w:ascii="Arial" w:hAnsi="Arial" w:cs="Arial"/>
          <w:bCs/>
          <w:sz w:val="22"/>
          <w:szCs w:val="22"/>
          <w:lang w:val="es-ES" w:eastAsia="en-US"/>
        </w:rPr>
        <w:t>El artículo 30 de la Ley 80 de 1993, modificado por la Ley 1150 de 2007 y por el Decreto 019 del 2012, consagra las reglas generales conforme a las cuales deben llevarse a cabo los procesos de selección de los contratistas del Estado, particularmente, para la licitación pública. De esta manera, el numeral 8° establece que «l</w:t>
      </w:r>
      <w:r w:rsidRPr="00754D54">
        <w:rPr>
          <w:rFonts w:ascii="Arial" w:hAnsi="Arial" w:cs="Arial"/>
          <w:bCs/>
          <w:sz w:val="22"/>
          <w:szCs w:val="22"/>
          <w:lang w:eastAsia="en-US"/>
        </w:rPr>
        <w:t>os informes de evaluación de las propuestas permanecerán en la secretaría de la entidad por un término de cinco (5) días hábiles para que los oferentes presenten las observaciones que estimen pertinentes. En ejercicio de esta facultad, los oferentes no podrán completar, adicionar, modificar o mejorar sus propuestas</w:t>
      </w:r>
      <w:r w:rsidRPr="00754D54">
        <w:rPr>
          <w:rFonts w:ascii="Arial" w:hAnsi="Arial" w:cs="Arial"/>
          <w:bCs/>
          <w:sz w:val="22"/>
          <w:szCs w:val="22"/>
          <w:lang w:val="es-ES" w:eastAsia="en-US"/>
        </w:rPr>
        <w:t>»</w:t>
      </w:r>
      <w:r w:rsidRPr="00754D54">
        <w:rPr>
          <w:rFonts w:ascii="Arial" w:hAnsi="Arial" w:cs="Arial"/>
          <w:bCs/>
          <w:sz w:val="22"/>
          <w:szCs w:val="22"/>
          <w:lang w:eastAsia="en-US"/>
        </w:rPr>
        <w:t>. En similar sentido, el parágrafo 3 del artículo 30 de la Ley 80 de 1993, que aplica para los procesos de licitación pública para seleccionar a contratistas de obra, establece en el inciso segundo que: «En estos procesos el informe permanecerá publicado en el Secop durante cinco (5) días hábiles, término hasta el cual los proponentes podrán hacer las observaciones que consideren y entregar los documentos y la información solicitada por la entidad estatal […]».</w:t>
      </w:r>
      <w:r w:rsidRPr="00754D54">
        <w:rPr>
          <w:rFonts w:ascii="Arial" w:hAnsi="Arial" w:cs="Arial"/>
          <w:bCs/>
          <w:sz w:val="22"/>
          <w:szCs w:val="22"/>
          <w:lang w:val="es-ES" w:eastAsia="en-US"/>
        </w:rPr>
        <w:t>Por su parte, los artículos 2.2.1.2.1.2.20., numeral 4, y 2.2.1.2.1.3.2., numeral 2, del Decreto 1082 de 2015, al reglamentar el procedimiento que debe llevarse a cabo para las modalidades de selección abreviada de menor cuantía y de concurso de méritos, establecen, respectivamente, que el informe de evaluación debe publicarse por el término de 3 días hábiles. Así las cosas, conforme con tales disposiciones, el informe de evaluación de la licitación pública deberá publicarse por 5 días hábiles, al tiempo que, el correspondiente a los procesos de selección abreviada de menor cuantía y de concurso de méritos, deberá publicarse por 3 días hábiles. Así se reconoce en los numerales 6.1 y 6.5 de la Circular Única Externa proferida por esta Agencia.</w:t>
      </w:r>
    </w:p>
    <w:p w14:paraId="6E44C93B" w14:textId="77777777" w:rsidR="008A1FB1" w:rsidRPr="00B91E46" w:rsidRDefault="008A1FB1" w:rsidP="008A1FB1">
      <w:pPr>
        <w:spacing w:after="120" w:line="240" w:lineRule="auto"/>
        <w:rPr>
          <w:rFonts w:ascii="Arial" w:hAnsi="Arial" w:cs="Arial"/>
          <w:bCs/>
          <w:color w:val="000000"/>
          <w:sz w:val="20"/>
          <w:szCs w:val="20"/>
          <w:lang w:val="es-ES" w:eastAsia="en-US"/>
        </w:rPr>
      </w:pPr>
    </w:p>
    <w:p w14:paraId="5FE8D298" w14:textId="77777777" w:rsidR="008A1FB1" w:rsidRPr="00B91E46" w:rsidRDefault="008A1FB1" w:rsidP="008A1FB1">
      <w:pPr>
        <w:tabs>
          <w:tab w:val="left" w:pos="0"/>
        </w:tabs>
        <w:spacing w:after="0" w:line="240" w:lineRule="auto"/>
        <w:rPr>
          <w:rFonts w:ascii="Arial" w:hAnsi="Arial" w:cs="Arial"/>
          <w:b/>
          <w:sz w:val="22"/>
          <w:szCs w:val="22"/>
          <w:lang w:val="es-ES" w:eastAsia="en-US"/>
        </w:rPr>
      </w:pPr>
      <w:r w:rsidRPr="00B91E46">
        <w:rPr>
          <w:rFonts w:ascii="Arial" w:hAnsi="Arial" w:cs="Arial"/>
          <w:b/>
          <w:sz w:val="22"/>
          <w:szCs w:val="22"/>
          <w:lang w:val="es-ES" w:eastAsia="en-US"/>
        </w:rPr>
        <w:t xml:space="preserve">DÍAS HÁBILES </w:t>
      </w:r>
      <w:r w:rsidRPr="00B91E46">
        <w:rPr>
          <w:rFonts w:ascii="Arial" w:hAnsi="Arial" w:cs="Arial"/>
          <w:b/>
          <w:sz w:val="22"/>
          <w:szCs w:val="22"/>
          <w:lang w:eastAsia="en-US"/>
        </w:rPr>
        <w:t xml:space="preserve">– </w:t>
      </w:r>
      <w:r w:rsidRPr="00B91E46">
        <w:rPr>
          <w:rFonts w:ascii="Arial" w:hAnsi="Arial" w:cs="Arial"/>
          <w:b/>
          <w:sz w:val="22"/>
          <w:szCs w:val="22"/>
          <w:lang w:val="es-ES" w:eastAsia="en-US"/>
        </w:rPr>
        <w:t xml:space="preserve">Concepto </w:t>
      </w:r>
      <w:r w:rsidRPr="00B91E46">
        <w:rPr>
          <w:rFonts w:ascii="Arial" w:hAnsi="Arial" w:cs="Arial"/>
          <w:b/>
          <w:sz w:val="22"/>
          <w:szCs w:val="22"/>
          <w:lang w:eastAsia="en-US"/>
        </w:rPr>
        <w:t>–</w:t>
      </w:r>
      <w:r w:rsidRPr="00B91E46">
        <w:rPr>
          <w:rFonts w:ascii="Arial" w:hAnsi="Arial" w:cs="Arial"/>
          <w:b/>
          <w:sz w:val="22"/>
          <w:szCs w:val="22"/>
          <w:lang w:val="es-ES" w:eastAsia="en-US"/>
        </w:rPr>
        <w:t xml:space="preserve"> Cómputo de términos</w:t>
      </w:r>
    </w:p>
    <w:p w14:paraId="01E3FC4C" w14:textId="77777777" w:rsidR="008A1FB1" w:rsidRPr="00C62360" w:rsidRDefault="008A1FB1" w:rsidP="008A1FB1">
      <w:pPr>
        <w:tabs>
          <w:tab w:val="left" w:pos="0"/>
        </w:tabs>
        <w:spacing w:after="0" w:line="240" w:lineRule="auto"/>
        <w:rPr>
          <w:rFonts w:ascii="Arial" w:hAnsi="Arial" w:cs="Arial"/>
          <w:bCs/>
          <w:sz w:val="20"/>
          <w:szCs w:val="20"/>
          <w:highlight w:val="yellow"/>
          <w:lang w:val="es-ES" w:eastAsia="en-US"/>
        </w:rPr>
      </w:pPr>
    </w:p>
    <w:p w14:paraId="22529261" w14:textId="77777777" w:rsidR="008A1FB1" w:rsidRPr="00754D54" w:rsidRDefault="008A1FB1" w:rsidP="008A1FB1">
      <w:pPr>
        <w:spacing w:after="0" w:line="240" w:lineRule="auto"/>
        <w:rPr>
          <w:rFonts w:ascii="Arial" w:hAnsi="Arial" w:cs="Arial"/>
          <w:bCs/>
          <w:color w:val="000000"/>
          <w:sz w:val="20"/>
          <w:szCs w:val="20"/>
          <w:lang w:val="es-ES" w:eastAsia="en-US"/>
        </w:rPr>
      </w:pPr>
      <w:r w:rsidRPr="00B91E46">
        <w:rPr>
          <w:rFonts w:ascii="Arial" w:hAnsi="Arial" w:cs="Arial"/>
          <w:bCs/>
          <w:color w:val="000000"/>
          <w:sz w:val="20"/>
          <w:szCs w:val="20"/>
          <w:lang w:val="es-ES" w:eastAsia="en-US"/>
        </w:rPr>
        <w:t xml:space="preserve">Si bien las reglas establecidas en estas normas no </w:t>
      </w:r>
      <w:r>
        <w:rPr>
          <w:rFonts w:ascii="Arial" w:hAnsi="Arial" w:cs="Arial"/>
          <w:bCs/>
          <w:color w:val="000000"/>
          <w:sz w:val="20"/>
          <w:szCs w:val="20"/>
          <w:lang w:val="es-ES" w:eastAsia="en-US"/>
        </w:rPr>
        <w:t>definen</w:t>
      </w:r>
      <w:r w:rsidRPr="00B91E46">
        <w:rPr>
          <w:rFonts w:ascii="Arial" w:hAnsi="Arial" w:cs="Arial"/>
          <w:bCs/>
          <w:color w:val="000000"/>
          <w:sz w:val="20"/>
          <w:szCs w:val="20"/>
          <w:lang w:val="es-ES" w:eastAsia="en-US"/>
        </w:rPr>
        <w:t xml:space="preserve"> el concepto de día hábil, sí evidencian que, a menos de previsión expresa en contrario, los plazos de días no incluyen los vacantes y </w:t>
      </w:r>
      <w:r w:rsidRPr="00B91E46">
        <w:rPr>
          <w:rFonts w:ascii="Arial" w:hAnsi="Arial" w:cs="Arial"/>
          <w:bCs/>
          <w:color w:val="000000"/>
          <w:sz w:val="20"/>
          <w:szCs w:val="20"/>
          <w:lang w:val="es-ES" w:eastAsia="en-US"/>
        </w:rPr>
        <w:lastRenderedPageBreak/>
        <w:t>feriados, lo cual, en línea con la definición de uso común referida con anterioridad, permite inferir que por hábiles se entienden los días laborables.</w:t>
      </w:r>
      <w:r>
        <w:rPr>
          <w:rFonts w:ascii="Arial" w:hAnsi="Arial" w:cs="Arial"/>
          <w:bCs/>
          <w:color w:val="000000"/>
          <w:sz w:val="20"/>
          <w:szCs w:val="20"/>
          <w:lang w:val="es-ES" w:eastAsia="en-US"/>
        </w:rPr>
        <w:t xml:space="preserve"> </w:t>
      </w:r>
      <w:r w:rsidRPr="00B91E46">
        <w:rPr>
          <w:rFonts w:ascii="Arial" w:hAnsi="Arial" w:cs="Arial"/>
          <w:bCs/>
          <w:sz w:val="20"/>
          <w:szCs w:val="20"/>
          <w:lang w:val="es-ES" w:eastAsia="en-US"/>
        </w:rPr>
        <w:t xml:space="preserve">[…] Conforme a lo anterior, los días hábiles se determinan según la entidad, ya que «cada entidad pública establece la jornada laboral, a través de su reglamento interno, dando certeza sobre los días que atienden al público, e indirectamente definiendo qué día es hábil en determinada institución», por lo que días hábiles son aquellos de la semana durante los cuales las entidades públicas ejercen sus funciones y prestan servicio al público, los cuales son, por regla general, todos los días de la semana, con excepción de los sábados, domingos y feriados previstos en la generalidad de entidades como días de descanso. </w:t>
      </w:r>
    </w:p>
    <w:p w14:paraId="511DEBFE" w14:textId="401BE8B7" w:rsidR="00C62360" w:rsidRDefault="00C62360" w:rsidP="00C62360">
      <w:pPr>
        <w:tabs>
          <w:tab w:val="left" w:pos="0"/>
        </w:tabs>
        <w:spacing w:after="0" w:line="240" w:lineRule="auto"/>
        <w:rPr>
          <w:rFonts w:ascii="Arial" w:hAnsi="Arial" w:cs="Arial"/>
          <w:bCs/>
          <w:sz w:val="20"/>
          <w:szCs w:val="20"/>
          <w:lang w:val="es-ES" w:eastAsia="en-US"/>
        </w:rPr>
      </w:pPr>
    </w:p>
    <w:p w14:paraId="09BB90B9" w14:textId="7BABAD52" w:rsidR="008A1FB1" w:rsidRDefault="008A1FB1" w:rsidP="00C62360">
      <w:pPr>
        <w:tabs>
          <w:tab w:val="left" w:pos="0"/>
        </w:tabs>
        <w:spacing w:after="0" w:line="240" w:lineRule="auto"/>
        <w:rPr>
          <w:rFonts w:ascii="Arial" w:hAnsi="Arial" w:cs="Arial"/>
          <w:bCs/>
          <w:sz w:val="20"/>
          <w:szCs w:val="20"/>
          <w:lang w:val="es-ES" w:eastAsia="en-US"/>
        </w:rPr>
      </w:pPr>
    </w:p>
    <w:p w14:paraId="042511C3" w14:textId="1D2719C5" w:rsidR="008A1FB1" w:rsidRDefault="008A1FB1" w:rsidP="00C62360">
      <w:pPr>
        <w:tabs>
          <w:tab w:val="left" w:pos="0"/>
        </w:tabs>
        <w:spacing w:after="0" w:line="240" w:lineRule="auto"/>
        <w:rPr>
          <w:rFonts w:ascii="Arial" w:hAnsi="Arial" w:cs="Arial"/>
          <w:bCs/>
          <w:sz w:val="20"/>
          <w:szCs w:val="20"/>
          <w:lang w:val="es-ES" w:eastAsia="en-US"/>
        </w:rPr>
      </w:pPr>
    </w:p>
    <w:p w14:paraId="00144953" w14:textId="254DB5D1" w:rsidR="008A1FB1" w:rsidRDefault="008A1FB1" w:rsidP="00C62360">
      <w:pPr>
        <w:tabs>
          <w:tab w:val="left" w:pos="0"/>
        </w:tabs>
        <w:spacing w:after="0" w:line="240" w:lineRule="auto"/>
        <w:rPr>
          <w:rFonts w:ascii="Arial" w:hAnsi="Arial" w:cs="Arial"/>
          <w:bCs/>
          <w:sz w:val="20"/>
          <w:szCs w:val="20"/>
          <w:lang w:val="es-ES" w:eastAsia="en-US"/>
        </w:rPr>
      </w:pPr>
    </w:p>
    <w:p w14:paraId="3144E367" w14:textId="3AD4AAAE" w:rsidR="008A1FB1" w:rsidRDefault="008A1FB1" w:rsidP="00C62360">
      <w:pPr>
        <w:tabs>
          <w:tab w:val="left" w:pos="0"/>
        </w:tabs>
        <w:spacing w:after="0" w:line="240" w:lineRule="auto"/>
        <w:rPr>
          <w:rFonts w:ascii="Arial" w:hAnsi="Arial" w:cs="Arial"/>
          <w:bCs/>
          <w:sz w:val="20"/>
          <w:szCs w:val="20"/>
          <w:lang w:val="es-ES" w:eastAsia="en-US"/>
        </w:rPr>
      </w:pPr>
    </w:p>
    <w:p w14:paraId="0BA49AE6" w14:textId="44D71A2F" w:rsidR="008A1FB1" w:rsidRDefault="008A1FB1" w:rsidP="00C62360">
      <w:pPr>
        <w:tabs>
          <w:tab w:val="left" w:pos="0"/>
        </w:tabs>
        <w:spacing w:after="0" w:line="240" w:lineRule="auto"/>
        <w:rPr>
          <w:rFonts w:ascii="Arial" w:hAnsi="Arial" w:cs="Arial"/>
          <w:bCs/>
          <w:sz w:val="20"/>
          <w:szCs w:val="20"/>
          <w:lang w:val="es-ES" w:eastAsia="en-US"/>
        </w:rPr>
      </w:pPr>
    </w:p>
    <w:p w14:paraId="0B14527F" w14:textId="25AD8850" w:rsidR="008A1FB1" w:rsidRDefault="008A1FB1" w:rsidP="00C62360">
      <w:pPr>
        <w:tabs>
          <w:tab w:val="left" w:pos="0"/>
        </w:tabs>
        <w:spacing w:after="0" w:line="240" w:lineRule="auto"/>
        <w:rPr>
          <w:rFonts w:ascii="Arial" w:hAnsi="Arial" w:cs="Arial"/>
          <w:bCs/>
          <w:sz w:val="20"/>
          <w:szCs w:val="20"/>
          <w:lang w:val="es-ES" w:eastAsia="en-US"/>
        </w:rPr>
      </w:pPr>
    </w:p>
    <w:p w14:paraId="0D53250E" w14:textId="49C14235" w:rsidR="008A1FB1" w:rsidRDefault="008A1FB1" w:rsidP="00C62360">
      <w:pPr>
        <w:tabs>
          <w:tab w:val="left" w:pos="0"/>
        </w:tabs>
        <w:spacing w:after="0" w:line="240" w:lineRule="auto"/>
        <w:rPr>
          <w:rFonts w:ascii="Arial" w:hAnsi="Arial" w:cs="Arial"/>
          <w:bCs/>
          <w:sz w:val="20"/>
          <w:szCs w:val="20"/>
          <w:lang w:val="es-ES" w:eastAsia="en-US"/>
        </w:rPr>
      </w:pPr>
    </w:p>
    <w:p w14:paraId="1615C6F8" w14:textId="5C7ED828" w:rsidR="008A1FB1" w:rsidRDefault="008A1FB1" w:rsidP="00C62360">
      <w:pPr>
        <w:tabs>
          <w:tab w:val="left" w:pos="0"/>
        </w:tabs>
        <w:spacing w:after="0" w:line="240" w:lineRule="auto"/>
        <w:rPr>
          <w:rFonts w:ascii="Arial" w:hAnsi="Arial" w:cs="Arial"/>
          <w:bCs/>
          <w:sz w:val="20"/>
          <w:szCs w:val="20"/>
          <w:lang w:val="es-ES" w:eastAsia="en-US"/>
        </w:rPr>
      </w:pPr>
    </w:p>
    <w:p w14:paraId="09375BFD" w14:textId="2BD0AA24" w:rsidR="008A1FB1" w:rsidRDefault="008A1FB1" w:rsidP="00C62360">
      <w:pPr>
        <w:tabs>
          <w:tab w:val="left" w:pos="0"/>
        </w:tabs>
        <w:spacing w:after="0" w:line="240" w:lineRule="auto"/>
        <w:rPr>
          <w:rFonts w:ascii="Arial" w:hAnsi="Arial" w:cs="Arial"/>
          <w:bCs/>
          <w:sz w:val="20"/>
          <w:szCs w:val="20"/>
          <w:lang w:val="es-ES" w:eastAsia="en-US"/>
        </w:rPr>
      </w:pPr>
    </w:p>
    <w:p w14:paraId="7F1BE783" w14:textId="6C8D94E2" w:rsidR="008A1FB1" w:rsidRDefault="008A1FB1" w:rsidP="00C62360">
      <w:pPr>
        <w:tabs>
          <w:tab w:val="left" w:pos="0"/>
        </w:tabs>
        <w:spacing w:after="0" w:line="240" w:lineRule="auto"/>
        <w:rPr>
          <w:rFonts w:ascii="Arial" w:hAnsi="Arial" w:cs="Arial"/>
          <w:bCs/>
          <w:sz w:val="20"/>
          <w:szCs w:val="20"/>
          <w:lang w:val="es-ES" w:eastAsia="en-US"/>
        </w:rPr>
      </w:pPr>
    </w:p>
    <w:p w14:paraId="0E958B87" w14:textId="1A168367" w:rsidR="008A1FB1" w:rsidRDefault="008A1FB1" w:rsidP="00C62360">
      <w:pPr>
        <w:tabs>
          <w:tab w:val="left" w:pos="0"/>
        </w:tabs>
        <w:spacing w:after="0" w:line="240" w:lineRule="auto"/>
        <w:rPr>
          <w:rFonts w:ascii="Arial" w:hAnsi="Arial" w:cs="Arial"/>
          <w:bCs/>
          <w:sz w:val="20"/>
          <w:szCs w:val="20"/>
          <w:lang w:val="es-ES" w:eastAsia="en-US"/>
        </w:rPr>
      </w:pPr>
    </w:p>
    <w:p w14:paraId="6CBBB339" w14:textId="77D7835F" w:rsidR="008A1FB1" w:rsidRDefault="008A1FB1" w:rsidP="00C62360">
      <w:pPr>
        <w:tabs>
          <w:tab w:val="left" w:pos="0"/>
        </w:tabs>
        <w:spacing w:after="0" w:line="240" w:lineRule="auto"/>
        <w:rPr>
          <w:rFonts w:ascii="Arial" w:hAnsi="Arial" w:cs="Arial"/>
          <w:bCs/>
          <w:sz w:val="20"/>
          <w:szCs w:val="20"/>
          <w:lang w:val="es-ES" w:eastAsia="en-US"/>
        </w:rPr>
      </w:pPr>
    </w:p>
    <w:p w14:paraId="21D7C27C" w14:textId="6D4CC2F8" w:rsidR="008A1FB1" w:rsidRDefault="008A1FB1" w:rsidP="00C62360">
      <w:pPr>
        <w:tabs>
          <w:tab w:val="left" w:pos="0"/>
        </w:tabs>
        <w:spacing w:after="0" w:line="240" w:lineRule="auto"/>
        <w:rPr>
          <w:rFonts w:ascii="Arial" w:hAnsi="Arial" w:cs="Arial"/>
          <w:bCs/>
          <w:sz w:val="20"/>
          <w:szCs w:val="20"/>
          <w:lang w:val="es-ES" w:eastAsia="en-US"/>
        </w:rPr>
      </w:pPr>
    </w:p>
    <w:p w14:paraId="34E09F94" w14:textId="2856B16E" w:rsidR="008A1FB1" w:rsidRDefault="008A1FB1" w:rsidP="00C62360">
      <w:pPr>
        <w:tabs>
          <w:tab w:val="left" w:pos="0"/>
        </w:tabs>
        <w:spacing w:after="0" w:line="240" w:lineRule="auto"/>
        <w:rPr>
          <w:rFonts w:ascii="Arial" w:hAnsi="Arial" w:cs="Arial"/>
          <w:bCs/>
          <w:sz w:val="20"/>
          <w:szCs w:val="20"/>
          <w:lang w:val="es-ES" w:eastAsia="en-US"/>
        </w:rPr>
      </w:pPr>
    </w:p>
    <w:p w14:paraId="20E19970" w14:textId="09C81450" w:rsidR="008A1FB1" w:rsidRDefault="008A1FB1" w:rsidP="00C62360">
      <w:pPr>
        <w:tabs>
          <w:tab w:val="left" w:pos="0"/>
        </w:tabs>
        <w:spacing w:after="0" w:line="240" w:lineRule="auto"/>
        <w:rPr>
          <w:rFonts w:ascii="Arial" w:hAnsi="Arial" w:cs="Arial"/>
          <w:bCs/>
          <w:sz w:val="20"/>
          <w:szCs w:val="20"/>
          <w:lang w:val="es-ES" w:eastAsia="en-US"/>
        </w:rPr>
      </w:pPr>
    </w:p>
    <w:p w14:paraId="5BC0047F" w14:textId="70796841" w:rsidR="008A1FB1" w:rsidRDefault="008A1FB1" w:rsidP="00C62360">
      <w:pPr>
        <w:tabs>
          <w:tab w:val="left" w:pos="0"/>
        </w:tabs>
        <w:spacing w:after="0" w:line="240" w:lineRule="auto"/>
        <w:rPr>
          <w:rFonts w:ascii="Arial" w:hAnsi="Arial" w:cs="Arial"/>
          <w:bCs/>
          <w:sz w:val="20"/>
          <w:szCs w:val="20"/>
          <w:lang w:val="es-ES" w:eastAsia="en-US"/>
        </w:rPr>
      </w:pPr>
    </w:p>
    <w:p w14:paraId="7CA189EF" w14:textId="5C358DA2" w:rsidR="008A1FB1" w:rsidRDefault="008A1FB1" w:rsidP="00C62360">
      <w:pPr>
        <w:tabs>
          <w:tab w:val="left" w:pos="0"/>
        </w:tabs>
        <w:spacing w:after="0" w:line="240" w:lineRule="auto"/>
        <w:rPr>
          <w:rFonts w:ascii="Arial" w:hAnsi="Arial" w:cs="Arial"/>
          <w:bCs/>
          <w:sz w:val="20"/>
          <w:szCs w:val="20"/>
          <w:lang w:val="es-ES" w:eastAsia="en-US"/>
        </w:rPr>
      </w:pPr>
    </w:p>
    <w:p w14:paraId="0D876AC7" w14:textId="1F180F7D" w:rsidR="008A1FB1" w:rsidRDefault="008A1FB1" w:rsidP="00C62360">
      <w:pPr>
        <w:tabs>
          <w:tab w:val="left" w:pos="0"/>
        </w:tabs>
        <w:spacing w:after="0" w:line="240" w:lineRule="auto"/>
        <w:rPr>
          <w:rFonts w:ascii="Arial" w:hAnsi="Arial" w:cs="Arial"/>
          <w:bCs/>
          <w:sz w:val="20"/>
          <w:szCs w:val="20"/>
          <w:lang w:val="es-ES" w:eastAsia="en-US"/>
        </w:rPr>
      </w:pPr>
    </w:p>
    <w:p w14:paraId="7916F4EA" w14:textId="00BEB24B" w:rsidR="008A1FB1" w:rsidRDefault="008A1FB1" w:rsidP="00C62360">
      <w:pPr>
        <w:tabs>
          <w:tab w:val="left" w:pos="0"/>
        </w:tabs>
        <w:spacing w:after="0" w:line="240" w:lineRule="auto"/>
        <w:rPr>
          <w:rFonts w:ascii="Arial" w:hAnsi="Arial" w:cs="Arial"/>
          <w:bCs/>
          <w:sz w:val="20"/>
          <w:szCs w:val="20"/>
          <w:lang w:val="es-ES" w:eastAsia="en-US"/>
        </w:rPr>
      </w:pPr>
    </w:p>
    <w:p w14:paraId="2ECA8F56" w14:textId="2BE9908A" w:rsidR="008A1FB1" w:rsidRDefault="008A1FB1" w:rsidP="00C62360">
      <w:pPr>
        <w:tabs>
          <w:tab w:val="left" w:pos="0"/>
        </w:tabs>
        <w:spacing w:after="0" w:line="240" w:lineRule="auto"/>
        <w:rPr>
          <w:rFonts w:ascii="Arial" w:hAnsi="Arial" w:cs="Arial"/>
          <w:bCs/>
          <w:sz w:val="20"/>
          <w:szCs w:val="20"/>
          <w:lang w:val="es-ES" w:eastAsia="en-US"/>
        </w:rPr>
      </w:pPr>
    </w:p>
    <w:p w14:paraId="3A5AC940" w14:textId="47E7668B" w:rsidR="008A1FB1" w:rsidRDefault="008A1FB1" w:rsidP="00C62360">
      <w:pPr>
        <w:tabs>
          <w:tab w:val="left" w:pos="0"/>
        </w:tabs>
        <w:spacing w:after="0" w:line="240" w:lineRule="auto"/>
        <w:rPr>
          <w:rFonts w:ascii="Arial" w:hAnsi="Arial" w:cs="Arial"/>
          <w:bCs/>
          <w:sz w:val="20"/>
          <w:szCs w:val="20"/>
          <w:lang w:val="es-ES" w:eastAsia="en-US"/>
        </w:rPr>
      </w:pPr>
    </w:p>
    <w:p w14:paraId="1355ACD4" w14:textId="58D3FBAF" w:rsidR="008A1FB1" w:rsidRDefault="008A1FB1" w:rsidP="00C62360">
      <w:pPr>
        <w:tabs>
          <w:tab w:val="left" w:pos="0"/>
        </w:tabs>
        <w:spacing w:after="0" w:line="240" w:lineRule="auto"/>
        <w:rPr>
          <w:rFonts w:ascii="Arial" w:hAnsi="Arial" w:cs="Arial"/>
          <w:bCs/>
          <w:sz w:val="20"/>
          <w:szCs w:val="20"/>
          <w:lang w:val="es-ES" w:eastAsia="en-US"/>
        </w:rPr>
      </w:pPr>
    </w:p>
    <w:p w14:paraId="576B4B07" w14:textId="4A2A3F4F" w:rsidR="008A1FB1" w:rsidRDefault="008A1FB1" w:rsidP="00C62360">
      <w:pPr>
        <w:tabs>
          <w:tab w:val="left" w:pos="0"/>
        </w:tabs>
        <w:spacing w:after="0" w:line="240" w:lineRule="auto"/>
        <w:rPr>
          <w:rFonts w:ascii="Arial" w:hAnsi="Arial" w:cs="Arial"/>
          <w:bCs/>
          <w:sz w:val="20"/>
          <w:szCs w:val="20"/>
          <w:lang w:val="es-ES" w:eastAsia="en-US"/>
        </w:rPr>
      </w:pPr>
    </w:p>
    <w:p w14:paraId="51CB8587" w14:textId="07CE5EFE" w:rsidR="008A1FB1" w:rsidRDefault="008A1FB1" w:rsidP="00C62360">
      <w:pPr>
        <w:tabs>
          <w:tab w:val="left" w:pos="0"/>
        </w:tabs>
        <w:spacing w:after="0" w:line="240" w:lineRule="auto"/>
        <w:rPr>
          <w:rFonts w:ascii="Arial" w:hAnsi="Arial" w:cs="Arial"/>
          <w:bCs/>
          <w:sz w:val="20"/>
          <w:szCs w:val="20"/>
          <w:lang w:val="es-ES" w:eastAsia="en-US"/>
        </w:rPr>
      </w:pPr>
    </w:p>
    <w:p w14:paraId="131EECAD" w14:textId="246A5761" w:rsidR="008A1FB1" w:rsidRDefault="008A1FB1" w:rsidP="00C62360">
      <w:pPr>
        <w:tabs>
          <w:tab w:val="left" w:pos="0"/>
        </w:tabs>
        <w:spacing w:after="0" w:line="240" w:lineRule="auto"/>
        <w:rPr>
          <w:rFonts w:ascii="Arial" w:hAnsi="Arial" w:cs="Arial"/>
          <w:bCs/>
          <w:sz w:val="20"/>
          <w:szCs w:val="20"/>
          <w:lang w:val="es-ES" w:eastAsia="en-US"/>
        </w:rPr>
      </w:pPr>
    </w:p>
    <w:p w14:paraId="1EA6F65D" w14:textId="06460443" w:rsidR="008A1FB1" w:rsidRDefault="008A1FB1" w:rsidP="00C62360">
      <w:pPr>
        <w:tabs>
          <w:tab w:val="left" w:pos="0"/>
        </w:tabs>
        <w:spacing w:after="0" w:line="240" w:lineRule="auto"/>
        <w:rPr>
          <w:rFonts w:ascii="Arial" w:hAnsi="Arial" w:cs="Arial"/>
          <w:bCs/>
          <w:sz w:val="20"/>
          <w:szCs w:val="20"/>
          <w:lang w:val="es-ES" w:eastAsia="en-US"/>
        </w:rPr>
      </w:pPr>
    </w:p>
    <w:p w14:paraId="471E33D7" w14:textId="6CB78D1A" w:rsidR="008A1FB1" w:rsidRDefault="008A1FB1" w:rsidP="00C62360">
      <w:pPr>
        <w:tabs>
          <w:tab w:val="left" w:pos="0"/>
        </w:tabs>
        <w:spacing w:after="0" w:line="240" w:lineRule="auto"/>
        <w:rPr>
          <w:rFonts w:ascii="Arial" w:hAnsi="Arial" w:cs="Arial"/>
          <w:bCs/>
          <w:sz w:val="20"/>
          <w:szCs w:val="20"/>
          <w:lang w:val="es-ES" w:eastAsia="en-US"/>
        </w:rPr>
      </w:pPr>
    </w:p>
    <w:p w14:paraId="58AD2205" w14:textId="04FEF229" w:rsidR="008A1FB1" w:rsidRDefault="008A1FB1" w:rsidP="00C62360">
      <w:pPr>
        <w:tabs>
          <w:tab w:val="left" w:pos="0"/>
        </w:tabs>
        <w:spacing w:after="0" w:line="240" w:lineRule="auto"/>
        <w:rPr>
          <w:rFonts w:ascii="Arial" w:hAnsi="Arial" w:cs="Arial"/>
          <w:bCs/>
          <w:sz w:val="20"/>
          <w:szCs w:val="20"/>
          <w:lang w:val="es-ES" w:eastAsia="en-US"/>
        </w:rPr>
      </w:pPr>
    </w:p>
    <w:p w14:paraId="439CC84A" w14:textId="70BC9DF7" w:rsidR="008A1FB1" w:rsidRDefault="008A1FB1" w:rsidP="00C62360">
      <w:pPr>
        <w:tabs>
          <w:tab w:val="left" w:pos="0"/>
        </w:tabs>
        <w:spacing w:after="0" w:line="240" w:lineRule="auto"/>
        <w:rPr>
          <w:rFonts w:ascii="Arial" w:hAnsi="Arial" w:cs="Arial"/>
          <w:bCs/>
          <w:sz w:val="20"/>
          <w:szCs w:val="20"/>
          <w:lang w:val="es-ES" w:eastAsia="en-US"/>
        </w:rPr>
      </w:pPr>
    </w:p>
    <w:p w14:paraId="0F04F9D4" w14:textId="4CF0FF79" w:rsidR="008A1FB1" w:rsidRDefault="008A1FB1" w:rsidP="00C62360">
      <w:pPr>
        <w:tabs>
          <w:tab w:val="left" w:pos="0"/>
        </w:tabs>
        <w:spacing w:after="0" w:line="240" w:lineRule="auto"/>
        <w:rPr>
          <w:rFonts w:ascii="Arial" w:hAnsi="Arial" w:cs="Arial"/>
          <w:bCs/>
          <w:sz w:val="20"/>
          <w:szCs w:val="20"/>
          <w:lang w:val="es-ES" w:eastAsia="en-US"/>
        </w:rPr>
      </w:pPr>
    </w:p>
    <w:p w14:paraId="5485AD68" w14:textId="275A5091" w:rsidR="008A1FB1" w:rsidRDefault="008A1FB1" w:rsidP="00C62360">
      <w:pPr>
        <w:tabs>
          <w:tab w:val="left" w:pos="0"/>
        </w:tabs>
        <w:spacing w:after="0" w:line="240" w:lineRule="auto"/>
        <w:rPr>
          <w:rFonts w:ascii="Arial" w:hAnsi="Arial" w:cs="Arial"/>
          <w:bCs/>
          <w:sz w:val="20"/>
          <w:szCs w:val="20"/>
          <w:lang w:val="es-ES" w:eastAsia="en-US"/>
        </w:rPr>
      </w:pPr>
    </w:p>
    <w:p w14:paraId="4ED17FB9" w14:textId="561DCD1F" w:rsidR="008A1FB1" w:rsidRDefault="008A1FB1" w:rsidP="00C62360">
      <w:pPr>
        <w:tabs>
          <w:tab w:val="left" w:pos="0"/>
        </w:tabs>
        <w:spacing w:after="0" w:line="240" w:lineRule="auto"/>
        <w:rPr>
          <w:rFonts w:ascii="Arial" w:hAnsi="Arial" w:cs="Arial"/>
          <w:bCs/>
          <w:sz w:val="20"/>
          <w:szCs w:val="20"/>
          <w:lang w:val="es-ES" w:eastAsia="en-US"/>
        </w:rPr>
      </w:pPr>
    </w:p>
    <w:p w14:paraId="50531433" w14:textId="1E3ABE9F" w:rsidR="008A1FB1" w:rsidRDefault="008A1FB1" w:rsidP="00C62360">
      <w:pPr>
        <w:tabs>
          <w:tab w:val="left" w:pos="0"/>
        </w:tabs>
        <w:spacing w:after="0" w:line="240" w:lineRule="auto"/>
        <w:rPr>
          <w:rFonts w:ascii="Arial" w:hAnsi="Arial" w:cs="Arial"/>
          <w:bCs/>
          <w:sz w:val="20"/>
          <w:szCs w:val="20"/>
          <w:lang w:val="es-ES" w:eastAsia="en-US"/>
        </w:rPr>
      </w:pPr>
    </w:p>
    <w:p w14:paraId="4EAFA849" w14:textId="43D7E025" w:rsidR="008A1FB1" w:rsidRDefault="008A1FB1" w:rsidP="00C62360">
      <w:pPr>
        <w:tabs>
          <w:tab w:val="left" w:pos="0"/>
        </w:tabs>
        <w:spacing w:after="0" w:line="240" w:lineRule="auto"/>
        <w:rPr>
          <w:rFonts w:ascii="Arial" w:hAnsi="Arial" w:cs="Arial"/>
          <w:bCs/>
          <w:sz w:val="20"/>
          <w:szCs w:val="20"/>
          <w:lang w:val="es-ES" w:eastAsia="en-US"/>
        </w:rPr>
      </w:pPr>
    </w:p>
    <w:p w14:paraId="4BBECD4C" w14:textId="71D6BEFD" w:rsidR="008A1FB1" w:rsidRDefault="008A1FB1" w:rsidP="00C62360">
      <w:pPr>
        <w:tabs>
          <w:tab w:val="left" w:pos="0"/>
        </w:tabs>
        <w:spacing w:after="0" w:line="240" w:lineRule="auto"/>
        <w:rPr>
          <w:rFonts w:ascii="Arial" w:hAnsi="Arial" w:cs="Arial"/>
          <w:bCs/>
          <w:sz w:val="20"/>
          <w:szCs w:val="20"/>
          <w:lang w:val="es-ES" w:eastAsia="en-US"/>
        </w:rPr>
      </w:pPr>
    </w:p>
    <w:p w14:paraId="5669DCB4" w14:textId="3644DBB4" w:rsidR="008A1FB1" w:rsidRDefault="008A1FB1" w:rsidP="00C62360">
      <w:pPr>
        <w:tabs>
          <w:tab w:val="left" w:pos="0"/>
        </w:tabs>
        <w:spacing w:after="0" w:line="240" w:lineRule="auto"/>
        <w:rPr>
          <w:rFonts w:ascii="Arial" w:hAnsi="Arial" w:cs="Arial"/>
          <w:bCs/>
          <w:sz w:val="20"/>
          <w:szCs w:val="20"/>
          <w:lang w:val="es-ES" w:eastAsia="en-US"/>
        </w:rPr>
      </w:pPr>
    </w:p>
    <w:p w14:paraId="0AAD5AF7" w14:textId="37876FA7" w:rsidR="008A1FB1" w:rsidRDefault="008A1FB1" w:rsidP="00C62360">
      <w:pPr>
        <w:tabs>
          <w:tab w:val="left" w:pos="0"/>
        </w:tabs>
        <w:spacing w:after="0" w:line="240" w:lineRule="auto"/>
        <w:rPr>
          <w:rFonts w:ascii="Arial" w:hAnsi="Arial" w:cs="Arial"/>
          <w:bCs/>
          <w:sz w:val="20"/>
          <w:szCs w:val="20"/>
          <w:lang w:val="es-ES" w:eastAsia="en-US"/>
        </w:rPr>
      </w:pPr>
    </w:p>
    <w:p w14:paraId="61D31CCD" w14:textId="7B04DB15" w:rsidR="008A1FB1" w:rsidRDefault="008A1FB1" w:rsidP="00C62360">
      <w:pPr>
        <w:tabs>
          <w:tab w:val="left" w:pos="0"/>
        </w:tabs>
        <w:spacing w:after="0" w:line="240" w:lineRule="auto"/>
        <w:rPr>
          <w:rFonts w:ascii="Arial" w:hAnsi="Arial" w:cs="Arial"/>
          <w:bCs/>
          <w:sz w:val="20"/>
          <w:szCs w:val="20"/>
          <w:lang w:val="es-ES" w:eastAsia="en-US"/>
        </w:rPr>
      </w:pPr>
    </w:p>
    <w:p w14:paraId="0455A314" w14:textId="77777777" w:rsidR="008A1FB1" w:rsidRPr="00C62360" w:rsidRDefault="008A1FB1" w:rsidP="00C62360">
      <w:pPr>
        <w:tabs>
          <w:tab w:val="left" w:pos="0"/>
        </w:tabs>
        <w:spacing w:after="0" w:line="240" w:lineRule="auto"/>
        <w:rPr>
          <w:rFonts w:ascii="Arial" w:hAnsi="Arial" w:cs="Arial"/>
          <w:bCs/>
          <w:sz w:val="20"/>
          <w:szCs w:val="20"/>
          <w:lang w:val="es-ES" w:eastAsia="en-US"/>
        </w:rPr>
      </w:pPr>
    </w:p>
    <w:p w14:paraId="03F34FDC" w14:textId="77777777" w:rsidR="00C62360" w:rsidRPr="00C62360" w:rsidRDefault="00C62360" w:rsidP="00C62360">
      <w:pPr>
        <w:tabs>
          <w:tab w:val="left" w:pos="0"/>
        </w:tabs>
        <w:spacing w:after="0" w:line="240" w:lineRule="auto"/>
        <w:rPr>
          <w:rFonts w:ascii="Arial" w:hAnsi="Arial" w:cs="Arial"/>
          <w:bCs/>
          <w:sz w:val="20"/>
          <w:szCs w:val="20"/>
          <w:lang w:val="es-ES" w:eastAsia="en-US"/>
        </w:rPr>
      </w:pPr>
    </w:p>
    <w:p w14:paraId="3D54D0BA" w14:textId="4AA4DE13" w:rsidR="007C1CDD" w:rsidRPr="00C528CC" w:rsidRDefault="007C1CDD" w:rsidP="00C528CC">
      <w:pPr>
        <w:spacing w:after="0"/>
        <w:rPr>
          <w:rFonts w:ascii="Arial" w:hAnsi="Arial" w:cs="Arial"/>
          <w:bCs/>
          <w:color w:val="000000"/>
          <w:sz w:val="20"/>
          <w:szCs w:val="20"/>
          <w:lang w:val="es-CO"/>
        </w:rPr>
      </w:pPr>
    </w:p>
    <w:p w14:paraId="13939FE1" w14:textId="77777777" w:rsidR="006F3FC6" w:rsidRDefault="006F3FC6" w:rsidP="00234034">
      <w:pPr>
        <w:spacing w:after="0"/>
        <w:rPr>
          <w:rFonts w:ascii="Arial" w:eastAsia="Arial" w:hAnsi="Arial" w:cs="Arial"/>
          <w:color w:val="000000"/>
          <w:sz w:val="22"/>
          <w:szCs w:val="22"/>
        </w:rPr>
      </w:pPr>
    </w:p>
    <w:p w14:paraId="5D01AFED" w14:textId="6A971AFE" w:rsidR="006F3FC6" w:rsidRDefault="006F3FC6" w:rsidP="006F3FC6">
      <w:pPr>
        <w:spacing w:after="0"/>
        <w:jc w:val="right"/>
        <w:rPr>
          <w:rFonts w:ascii="Arial" w:eastAsia="Arial" w:hAnsi="Arial" w:cs="Arial"/>
          <w:color w:val="000000"/>
          <w:sz w:val="22"/>
          <w:szCs w:val="22"/>
        </w:rPr>
      </w:pPr>
      <w:r w:rsidRPr="006F3FC6">
        <w:rPr>
          <w:rFonts w:ascii="Arial" w:eastAsia="Arial" w:hAnsi="Arial" w:cs="Arial"/>
          <w:color w:val="000000"/>
          <w:sz w:val="22"/>
          <w:szCs w:val="22"/>
        </w:rPr>
        <w:drawing>
          <wp:inline distT="0" distB="0" distL="0" distR="0" wp14:anchorId="41F3740D" wp14:editId="21393BCC">
            <wp:extent cx="2811780" cy="899886"/>
            <wp:effectExtent l="0" t="0" r="0" b="190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827664" cy="904970"/>
                    </a:xfrm>
                    <a:prstGeom prst="rect">
                      <a:avLst/>
                    </a:prstGeom>
                  </pic:spPr>
                </pic:pic>
              </a:graphicData>
            </a:graphic>
          </wp:inline>
        </w:drawing>
      </w:r>
    </w:p>
    <w:p w14:paraId="718408C7" w14:textId="77777777" w:rsidR="006F3FC6" w:rsidRDefault="006F3FC6" w:rsidP="00234034">
      <w:pPr>
        <w:spacing w:after="0"/>
        <w:rPr>
          <w:rFonts w:ascii="Arial" w:eastAsia="Arial" w:hAnsi="Arial" w:cs="Arial"/>
          <w:color w:val="000000"/>
          <w:sz w:val="22"/>
          <w:szCs w:val="22"/>
        </w:rPr>
      </w:pPr>
    </w:p>
    <w:p w14:paraId="304D6AEA" w14:textId="3B34BEAF" w:rsidR="007E1CDB" w:rsidRDefault="00F473C3" w:rsidP="00234034">
      <w:pPr>
        <w:spacing w:after="0"/>
        <w:rPr>
          <w:rFonts w:ascii="Arial" w:eastAsia="Arial" w:hAnsi="Arial" w:cs="Arial"/>
          <w:color w:val="000000"/>
          <w:sz w:val="22"/>
          <w:szCs w:val="22"/>
        </w:rPr>
      </w:pPr>
      <w:r w:rsidRPr="007E1CDB">
        <w:rPr>
          <w:rFonts w:ascii="Arial" w:eastAsia="Arial" w:hAnsi="Arial" w:cs="Arial"/>
          <w:color w:val="000000"/>
          <w:sz w:val="22"/>
          <w:szCs w:val="22"/>
        </w:rPr>
        <w:t>Bogotá</w:t>
      </w:r>
      <w:r w:rsidR="007E1CDB" w:rsidRPr="007E1CDB">
        <w:rPr>
          <w:rFonts w:ascii="Arial" w:eastAsia="Arial" w:hAnsi="Arial" w:cs="Arial"/>
          <w:color w:val="000000"/>
          <w:sz w:val="22"/>
          <w:szCs w:val="22"/>
        </w:rPr>
        <w:t xml:space="preserve"> D.C</w:t>
      </w:r>
      <w:r w:rsidR="006F3FC6">
        <w:rPr>
          <w:rFonts w:ascii="Arial" w:eastAsia="Arial" w:hAnsi="Arial" w:cs="Arial"/>
          <w:color w:val="000000"/>
          <w:sz w:val="22"/>
          <w:szCs w:val="22"/>
        </w:rPr>
        <w:t xml:space="preserve">., 23 de junio de 2022 </w:t>
      </w:r>
    </w:p>
    <w:p w14:paraId="006180C5" w14:textId="3795BF7D" w:rsidR="008A1FB1" w:rsidRDefault="008A1FB1" w:rsidP="00234034">
      <w:pPr>
        <w:spacing w:after="0"/>
        <w:rPr>
          <w:rFonts w:ascii="Arial" w:eastAsia="Arial" w:hAnsi="Arial" w:cs="Arial"/>
          <w:color w:val="000000"/>
          <w:sz w:val="22"/>
          <w:szCs w:val="22"/>
        </w:rPr>
      </w:pPr>
    </w:p>
    <w:p w14:paraId="06DFE18D" w14:textId="77777777" w:rsidR="008A1FB1" w:rsidRPr="006A06F2" w:rsidRDefault="008A1FB1" w:rsidP="00234034">
      <w:pPr>
        <w:spacing w:after="0"/>
        <w:rPr>
          <w:rFonts w:ascii="Arial" w:eastAsia="Arial" w:hAnsi="Arial" w:cs="Arial"/>
          <w:color w:val="000000"/>
          <w:sz w:val="22"/>
          <w:szCs w:val="22"/>
        </w:rPr>
      </w:pPr>
    </w:p>
    <w:p w14:paraId="2D9D0444" w14:textId="77777777" w:rsidR="00871181" w:rsidRPr="006A06F2" w:rsidRDefault="00871181" w:rsidP="00234034">
      <w:pPr>
        <w:spacing w:after="0"/>
        <w:rPr>
          <w:rFonts w:ascii="Arial" w:eastAsia="Arial" w:hAnsi="Arial" w:cs="Arial"/>
          <w:color w:val="000000"/>
          <w:sz w:val="22"/>
          <w:szCs w:val="22"/>
        </w:rPr>
      </w:pPr>
    </w:p>
    <w:p w14:paraId="7BB970E7" w14:textId="07F96517" w:rsidR="00871181" w:rsidRPr="006A06F2" w:rsidRDefault="003E3EF7" w:rsidP="00234034">
      <w:pPr>
        <w:spacing w:after="0"/>
        <w:rPr>
          <w:rFonts w:ascii="Arial" w:eastAsia="Arial" w:hAnsi="Arial" w:cs="Arial"/>
          <w:color w:val="000000"/>
          <w:sz w:val="22"/>
          <w:szCs w:val="22"/>
        </w:rPr>
      </w:pPr>
      <w:r w:rsidRPr="006A06F2">
        <w:rPr>
          <w:rFonts w:ascii="Arial" w:eastAsia="Arial" w:hAnsi="Arial" w:cs="Arial"/>
          <w:color w:val="000000"/>
          <w:sz w:val="22"/>
          <w:szCs w:val="22"/>
        </w:rPr>
        <w:t>Señor</w:t>
      </w:r>
      <w:r w:rsidR="00EE7BE3">
        <w:rPr>
          <w:rFonts w:ascii="Arial" w:eastAsia="Arial" w:hAnsi="Arial" w:cs="Arial"/>
          <w:color w:val="000000"/>
          <w:sz w:val="22"/>
          <w:szCs w:val="22"/>
        </w:rPr>
        <w:t>a</w:t>
      </w:r>
    </w:p>
    <w:p w14:paraId="6505BAF5" w14:textId="02210186" w:rsidR="0079024C" w:rsidRDefault="002B4D73" w:rsidP="00234034">
      <w:pPr>
        <w:spacing w:after="0"/>
        <w:rPr>
          <w:rFonts w:ascii="Arial" w:eastAsia="Arial" w:hAnsi="Arial" w:cs="Arial"/>
          <w:b/>
          <w:color w:val="000000"/>
          <w:sz w:val="22"/>
          <w:szCs w:val="22"/>
        </w:rPr>
      </w:pPr>
      <w:r>
        <w:rPr>
          <w:rFonts w:ascii="Arial" w:eastAsia="Arial" w:hAnsi="Arial" w:cs="Arial"/>
          <w:b/>
          <w:color w:val="000000"/>
          <w:sz w:val="22"/>
          <w:szCs w:val="22"/>
        </w:rPr>
        <w:t>Mayerly González</w:t>
      </w:r>
    </w:p>
    <w:p w14:paraId="6CCCE159" w14:textId="34675CAF" w:rsidR="00CC0B36" w:rsidRDefault="003E3EF7" w:rsidP="00234034">
      <w:pPr>
        <w:spacing w:after="0"/>
        <w:rPr>
          <w:rFonts w:ascii="Arial" w:eastAsia="Arial" w:hAnsi="Arial" w:cs="Arial"/>
          <w:color w:val="000000"/>
          <w:sz w:val="22"/>
          <w:szCs w:val="22"/>
        </w:rPr>
      </w:pPr>
      <w:r w:rsidRPr="006A06F2">
        <w:rPr>
          <w:rFonts w:ascii="Arial" w:eastAsia="Arial" w:hAnsi="Arial" w:cs="Arial"/>
          <w:color w:val="000000"/>
          <w:sz w:val="22"/>
          <w:szCs w:val="22"/>
        </w:rPr>
        <w:t>Bogotá D.C.</w:t>
      </w:r>
    </w:p>
    <w:p w14:paraId="60B64B25" w14:textId="77777777" w:rsidR="005111E4" w:rsidRDefault="005111E4" w:rsidP="00234034">
      <w:pPr>
        <w:spacing w:after="0"/>
        <w:rPr>
          <w:rFonts w:ascii="Arial" w:eastAsia="Arial" w:hAnsi="Arial" w:cs="Arial"/>
          <w:color w:val="000000"/>
          <w:sz w:val="22"/>
          <w:szCs w:val="22"/>
        </w:rPr>
      </w:pPr>
    </w:p>
    <w:p w14:paraId="7937B7B5" w14:textId="1705B0CF" w:rsidR="00871181" w:rsidRDefault="005111E4" w:rsidP="005111E4">
      <w:pPr>
        <w:spacing w:after="0"/>
        <w:jc w:val="center"/>
        <w:rPr>
          <w:rFonts w:ascii="Arial" w:eastAsia="Arial" w:hAnsi="Arial" w:cs="Arial"/>
          <w:b/>
          <w:bCs/>
          <w:color w:val="000000"/>
          <w:sz w:val="22"/>
          <w:szCs w:val="22"/>
        </w:rPr>
      </w:pPr>
      <w:r w:rsidRPr="005111E4">
        <w:rPr>
          <w:rFonts w:ascii="Arial" w:eastAsia="Arial" w:hAnsi="Arial" w:cs="Arial"/>
          <w:b/>
          <w:bCs/>
          <w:color w:val="000000"/>
          <w:sz w:val="22"/>
          <w:szCs w:val="22"/>
        </w:rPr>
        <w:t>Concepto</w:t>
      </w:r>
      <w:r w:rsidR="002C343C">
        <w:rPr>
          <w:rFonts w:ascii="Arial" w:eastAsia="Arial" w:hAnsi="Arial" w:cs="Arial"/>
          <w:b/>
          <w:bCs/>
          <w:color w:val="000000"/>
          <w:sz w:val="22"/>
          <w:szCs w:val="22"/>
        </w:rPr>
        <w:t xml:space="preserve"> C – </w:t>
      </w:r>
      <w:r w:rsidRPr="005111E4">
        <w:rPr>
          <w:rFonts w:ascii="Arial" w:eastAsia="Arial" w:hAnsi="Arial" w:cs="Arial"/>
          <w:b/>
          <w:bCs/>
          <w:color w:val="000000"/>
          <w:sz w:val="22"/>
          <w:szCs w:val="22"/>
        </w:rPr>
        <w:t>409</w:t>
      </w:r>
      <w:r w:rsidR="002C343C">
        <w:rPr>
          <w:rFonts w:ascii="Arial" w:eastAsia="Arial" w:hAnsi="Arial" w:cs="Arial"/>
          <w:b/>
          <w:bCs/>
          <w:color w:val="000000"/>
          <w:sz w:val="22"/>
          <w:szCs w:val="22"/>
        </w:rPr>
        <w:t xml:space="preserve"> de 2022</w:t>
      </w:r>
    </w:p>
    <w:p w14:paraId="1367BFFB" w14:textId="0E3CC831" w:rsidR="005111E4" w:rsidRDefault="005111E4" w:rsidP="005111E4">
      <w:pPr>
        <w:spacing w:after="0"/>
        <w:rPr>
          <w:rFonts w:ascii="Arial" w:eastAsia="Arial" w:hAnsi="Arial" w:cs="Arial"/>
          <w:b/>
          <w:bCs/>
          <w:color w:val="000000"/>
          <w:sz w:val="22"/>
          <w:szCs w:val="22"/>
        </w:rPr>
      </w:pPr>
    </w:p>
    <w:p w14:paraId="4CD8C8A1" w14:textId="77777777" w:rsidR="005111E4" w:rsidRPr="005111E4" w:rsidRDefault="005111E4" w:rsidP="005111E4">
      <w:pPr>
        <w:spacing w:after="0"/>
        <w:jc w:val="center"/>
        <w:rPr>
          <w:rFonts w:ascii="Arial" w:eastAsia="Arial" w:hAnsi="Arial" w:cs="Arial"/>
          <w:b/>
          <w:bCs/>
          <w:color w:val="000000"/>
          <w:sz w:val="22"/>
          <w:szCs w:val="22"/>
        </w:rPr>
      </w:pPr>
    </w:p>
    <w:tbl>
      <w:tblPr>
        <w:tblStyle w:val="2"/>
        <w:tblW w:w="8926"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2689"/>
        <w:gridCol w:w="6237"/>
      </w:tblGrid>
      <w:tr w:rsidR="00871181" w:rsidRPr="004528B4" w14:paraId="003B8DE2" w14:textId="77777777">
        <w:trPr>
          <w:trHeight w:val="1038"/>
        </w:trPr>
        <w:tc>
          <w:tcPr>
            <w:tcW w:w="2689" w:type="dxa"/>
          </w:tcPr>
          <w:p w14:paraId="41C32295" w14:textId="77777777" w:rsidR="00871181" w:rsidRPr="00946BBF" w:rsidRDefault="003E3EF7" w:rsidP="00234034">
            <w:pPr>
              <w:spacing w:before="0" w:line="276" w:lineRule="auto"/>
              <w:rPr>
                <w:rFonts w:ascii="Arial" w:eastAsia="Arial" w:hAnsi="Arial" w:cs="Arial"/>
                <w:color w:val="000000"/>
              </w:rPr>
            </w:pPr>
            <w:r w:rsidRPr="00946BBF">
              <w:rPr>
                <w:rFonts w:ascii="Arial" w:eastAsia="Arial" w:hAnsi="Arial" w:cs="Arial"/>
                <w:b/>
                <w:color w:val="000000"/>
              </w:rPr>
              <w:t>Temas:</w:t>
            </w:r>
            <w:r w:rsidRPr="00946BBF">
              <w:rPr>
                <w:rFonts w:ascii="Arial" w:eastAsia="Arial" w:hAnsi="Arial" w:cs="Arial"/>
                <w:color w:val="000000"/>
              </w:rPr>
              <w:t xml:space="preserve">        </w:t>
            </w:r>
          </w:p>
        </w:tc>
        <w:tc>
          <w:tcPr>
            <w:tcW w:w="6237" w:type="dxa"/>
          </w:tcPr>
          <w:p w14:paraId="70D39657" w14:textId="2053F9F1" w:rsidR="007E1CDB" w:rsidRPr="00946BBF" w:rsidRDefault="0096791D" w:rsidP="0096791D">
            <w:pPr>
              <w:spacing w:before="0" w:line="276" w:lineRule="auto"/>
              <w:jc w:val="both"/>
              <w:rPr>
                <w:rFonts w:ascii="Arial" w:eastAsia="Arial" w:hAnsi="Arial" w:cs="Arial"/>
                <w:color w:val="000000"/>
              </w:rPr>
            </w:pPr>
            <w:r w:rsidRPr="00946BBF">
              <w:rPr>
                <w:rFonts w:ascii="Arial" w:eastAsia="Arial" w:hAnsi="Arial" w:cs="Arial"/>
                <w:color w:val="000000"/>
                <w:sz w:val="22"/>
                <w:szCs w:val="22"/>
              </w:rPr>
              <w:t xml:space="preserve">TRASLADO INFORME </w:t>
            </w:r>
            <w:r w:rsidR="008715BF" w:rsidRPr="00946BBF">
              <w:rPr>
                <w:rFonts w:ascii="Arial" w:eastAsia="Arial" w:hAnsi="Arial" w:cs="Arial"/>
                <w:color w:val="000000"/>
                <w:sz w:val="22"/>
                <w:szCs w:val="22"/>
              </w:rPr>
              <w:t>DE EVALUACIÓN</w:t>
            </w:r>
            <w:r w:rsidR="002C343C">
              <w:rPr>
                <w:rFonts w:ascii="Arial" w:eastAsia="Arial" w:hAnsi="Arial" w:cs="Arial"/>
                <w:color w:val="000000"/>
                <w:sz w:val="22"/>
                <w:szCs w:val="22"/>
              </w:rPr>
              <w:t xml:space="preserve"> –</w:t>
            </w:r>
            <w:r w:rsidR="007C1CDD" w:rsidRPr="00946BBF">
              <w:rPr>
                <w:rFonts w:ascii="Arial" w:eastAsia="Arial" w:hAnsi="Arial" w:cs="Arial"/>
                <w:color w:val="000000"/>
                <w:sz w:val="22"/>
                <w:szCs w:val="22"/>
              </w:rPr>
              <w:t xml:space="preserve"> </w:t>
            </w:r>
            <w:r w:rsidRPr="00946BBF">
              <w:rPr>
                <w:rFonts w:ascii="Arial" w:eastAsia="Arial" w:hAnsi="Arial" w:cs="Arial"/>
                <w:color w:val="000000"/>
                <w:sz w:val="22"/>
                <w:szCs w:val="22"/>
              </w:rPr>
              <w:t>Finalidad- TRASLADO INFORME DE EVALUACIÓN</w:t>
            </w:r>
            <w:r w:rsidR="002C343C">
              <w:rPr>
                <w:rFonts w:ascii="Arial" w:eastAsia="Arial" w:hAnsi="Arial" w:cs="Arial"/>
                <w:color w:val="000000"/>
                <w:sz w:val="22"/>
                <w:szCs w:val="22"/>
              </w:rPr>
              <w:t xml:space="preserve"> – </w:t>
            </w:r>
            <w:r w:rsidRPr="00946BBF">
              <w:rPr>
                <w:rFonts w:ascii="Arial" w:eastAsia="Arial" w:hAnsi="Arial" w:cs="Arial"/>
                <w:color w:val="000000"/>
                <w:sz w:val="22"/>
                <w:szCs w:val="22"/>
              </w:rPr>
              <w:t>Término</w:t>
            </w:r>
            <w:r w:rsidR="007C1CDD" w:rsidRPr="00946BBF">
              <w:rPr>
                <w:rFonts w:ascii="Arial" w:eastAsia="Arial" w:hAnsi="Arial" w:cs="Arial"/>
                <w:color w:val="000000"/>
                <w:sz w:val="22"/>
                <w:szCs w:val="22"/>
              </w:rPr>
              <w:t xml:space="preserve">/ </w:t>
            </w:r>
            <w:r w:rsidR="00C62360" w:rsidRPr="00946BBF">
              <w:rPr>
                <w:rFonts w:ascii="Arial" w:eastAsia="Arial" w:hAnsi="Arial" w:cs="Arial"/>
                <w:color w:val="000000"/>
                <w:sz w:val="22"/>
                <w:szCs w:val="22"/>
              </w:rPr>
              <w:t>D</w:t>
            </w:r>
            <w:r w:rsidR="002C343C">
              <w:rPr>
                <w:rFonts w:ascii="Arial" w:eastAsia="Arial" w:hAnsi="Arial" w:cs="Arial"/>
                <w:color w:val="000000"/>
                <w:sz w:val="22"/>
                <w:szCs w:val="22"/>
              </w:rPr>
              <w:t>Í</w:t>
            </w:r>
            <w:r w:rsidR="00C62360" w:rsidRPr="00946BBF">
              <w:rPr>
                <w:rFonts w:ascii="Arial" w:eastAsia="Arial" w:hAnsi="Arial" w:cs="Arial"/>
                <w:color w:val="000000"/>
                <w:sz w:val="22"/>
                <w:szCs w:val="22"/>
              </w:rPr>
              <w:t>AS H</w:t>
            </w:r>
            <w:r w:rsidR="002C343C">
              <w:rPr>
                <w:rFonts w:ascii="Arial" w:eastAsia="Arial" w:hAnsi="Arial" w:cs="Arial"/>
                <w:color w:val="000000"/>
                <w:sz w:val="22"/>
                <w:szCs w:val="22"/>
              </w:rPr>
              <w:t>Á</w:t>
            </w:r>
            <w:r w:rsidR="00C62360" w:rsidRPr="00946BBF">
              <w:rPr>
                <w:rFonts w:ascii="Arial" w:eastAsia="Arial" w:hAnsi="Arial" w:cs="Arial"/>
                <w:color w:val="000000"/>
                <w:sz w:val="22"/>
                <w:szCs w:val="22"/>
              </w:rPr>
              <w:t>BILES –</w:t>
            </w:r>
            <w:r w:rsidR="002C343C">
              <w:rPr>
                <w:rFonts w:ascii="Arial" w:eastAsia="Arial" w:hAnsi="Arial" w:cs="Arial"/>
                <w:color w:val="000000"/>
                <w:sz w:val="22"/>
                <w:szCs w:val="22"/>
              </w:rPr>
              <w:t xml:space="preserve"> </w:t>
            </w:r>
            <w:r w:rsidR="00C62360" w:rsidRPr="00946BBF">
              <w:rPr>
                <w:rFonts w:ascii="Arial" w:eastAsia="Arial" w:hAnsi="Arial" w:cs="Arial"/>
                <w:color w:val="000000"/>
                <w:sz w:val="22"/>
                <w:szCs w:val="22"/>
              </w:rPr>
              <w:t>Concepto</w:t>
            </w:r>
            <w:r w:rsidR="002C343C">
              <w:rPr>
                <w:rFonts w:ascii="Arial" w:eastAsia="Arial" w:hAnsi="Arial" w:cs="Arial"/>
                <w:color w:val="000000"/>
                <w:sz w:val="22"/>
                <w:szCs w:val="22"/>
              </w:rPr>
              <w:t xml:space="preserve"> – </w:t>
            </w:r>
            <w:r w:rsidR="00C62360" w:rsidRPr="00946BBF">
              <w:rPr>
                <w:rFonts w:ascii="Arial" w:eastAsia="Arial" w:hAnsi="Arial" w:cs="Arial"/>
                <w:color w:val="000000"/>
                <w:sz w:val="22"/>
                <w:szCs w:val="22"/>
              </w:rPr>
              <w:t>Cómputo de términos</w:t>
            </w:r>
          </w:p>
        </w:tc>
      </w:tr>
      <w:tr w:rsidR="00871181" w:rsidRPr="006A06F2" w14:paraId="08330973" w14:textId="77777777">
        <w:tc>
          <w:tcPr>
            <w:tcW w:w="2689" w:type="dxa"/>
          </w:tcPr>
          <w:p w14:paraId="07BEB766" w14:textId="77777777" w:rsidR="00871181" w:rsidRPr="006A06F2" w:rsidRDefault="003E3EF7" w:rsidP="00234034">
            <w:pPr>
              <w:spacing w:before="0" w:line="276" w:lineRule="auto"/>
              <w:rPr>
                <w:rFonts w:ascii="Arial" w:eastAsia="Arial" w:hAnsi="Arial" w:cs="Arial"/>
                <w:b/>
                <w:color w:val="000000"/>
                <w:sz w:val="22"/>
                <w:szCs w:val="22"/>
              </w:rPr>
            </w:pPr>
            <w:r w:rsidRPr="006A06F2">
              <w:rPr>
                <w:rFonts w:ascii="Arial" w:eastAsia="Arial" w:hAnsi="Arial" w:cs="Arial"/>
                <w:b/>
                <w:color w:val="000000"/>
                <w:sz w:val="22"/>
                <w:szCs w:val="22"/>
              </w:rPr>
              <w:t>Radicación:</w:t>
            </w:r>
            <w:r w:rsidRPr="006A06F2">
              <w:rPr>
                <w:rFonts w:ascii="Arial" w:eastAsia="Arial" w:hAnsi="Arial" w:cs="Arial"/>
                <w:color w:val="000000"/>
                <w:sz w:val="22"/>
                <w:szCs w:val="22"/>
              </w:rPr>
              <w:t xml:space="preserve">                              </w:t>
            </w:r>
          </w:p>
        </w:tc>
        <w:tc>
          <w:tcPr>
            <w:tcW w:w="6237" w:type="dxa"/>
          </w:tcPr>
          <w:p w14:paraId="3A8E828C" w14:textId="37DA6BC3" w:rsidR="00871181" w:rsidRPr="00A43805" w:rsidRDefault="003E3EF7" w:rsidP="005641BF">
            <w:pPr>
              <w:spacing w:before="0" w:line="276" w:lineRule="auto"/>
              <w:jc w:val="both"/>
              <w:rPr>
                <w:rFonts w:ascii="Arial" w:eastAsia="Arial" w:hAnsi="Arial" w:cs="Arial"/>
                <w:color w:val="000000"/>
                <w:sz w:val="22"/>
                <w:szCs w:val="22"/>
                <w:highlight w:val="yellow"/>
              </w:rPr>
            </w:pPr>
            <w:r w:rsidRPr="00561AEA">
              <w:rPr>
                <w:rFonts w:ascii="Arial" w:eastAsia="Arial" w:hAnsi="Arial" w:cs="Arial"/>
                <w:color w:val="000000"/>
                <w:sz w:val="22"/>
                <w:szCs w:val="22"/>
              </w:rPr>
              <w:t>Respuesta a consulta</w:t>
            </w:r>
            <w:r w:rsidR="005641BF">
              <w:rPr>
                <w:rFonts w:ascii="Arial" w:eastAsia="Arial" w:hAnsi="Arial" w:cs="Arial"/>
                <w:color w:val="000000"/>
                <w:sz w:val="22"/>
                <w:szCs w:val="22"/>
              </w:rPr>
              <w:t xml:space="preserve"> </w:t>
            </w:r>
            <w:r w:rsidR="0079024C" w:rsidRPr="00561AEA">
              <w:rPr>
                <w:rFonts w:ascii="Arial" w:eastAsia="Arial" w:hAnsi="Arial" w:cs="Arial"/>
                <w:color w:val="000000"/>
                <w:sz w:val="22"/>
                <w:szCs w:val="22"/>
              </w:rPr>
              <w:t xml:space="preserve"> </w:t>
            </w:r>
            <w:r w:rsidR="005641BF" w:rsidRPr="005641BF">
              <w:rPr>
                <w:rFonts w:ascii="Arial" w:eastAsia="Arial" w:hAnsi="Arial" w:cs="Arial"/>
                <w:color w:val="000000"/>
                <w:sz w:val="22"/>
                <w:szCs w:val="22"/>
                <w:lang w:val="es-ES_tradnl"/>
              </w:rPr>
              <w:t>P20220510004594</w:t>
            </w:r>
            <w:r w:rsidR="005641BF" w:rsidRPr="005641BF">
              <w:rPr>
                <w:rFonts w:ascii="Arial" w:eastAsia="Arial" w:hAnsi="Arial" w:cs="Arial"/>
                <w:color w:val="000000"/>
                <w:sz w:val="22"/>
                <w:szCs w:val="22"/>
              </w:rPr>
              <w:t> </w:t>
            </w:r>
            <w:r w:rsidR="00A43805" w:rsidRPr="00561AEA">
              <w:rPr>
                <w:rFonts w:ascii="Arial" w:eastAsia="Arial" w:hAnsi="Arial" w:cs="Arial"/>
                <w:color w:val="000000"/>
                <w:sz w:val="22"/>
                <w:szCs w:val="22"/>
                <w:lang w:val="es-ES_tradnl"/>
              </w:rPr>
              <w:t> </w:t>
            </w:r>
          </w:p>
        </w:tc>
      </w:tr>
    </w:tbl>
    <w:p w14:paraId="28FE27BE" w14:textId="77777777" w:rsidR="00871181" w:rsidRPr="006A06F2" w:rsidRDefault="00871181" w:rsidP="00234034">
      <w:pPr>
        <w:spacing w:after="0"/>
        <w:rPr>
          <w:color w:val="000000"/>
          <w:sz w:val="22"/>
          <w:szCs w:val="22"/>
        </w:rPr>
      </w:pPr>
    </w:p>
    <w:p w14:paraId="394768E2" w14:textId="3EC9D513" w:rsidR="00871181" w:rsidRDefault="00871181" w:rsidP="00234034">
      <w:pPr>
        <w:spacing w:after="0"/>
        <w:rPr>
          <w:rFonts w:ascii="Arial" w:eastAsia="Arial" w:hAnsi="Arial" w:cs="Arial"/>
          <w:color w:val="000000"/>
          <w:sz w:val="22"/>
          <w:szCs w:val="22"/>
        </w:rPr>
      </w:pPr>
    </w:p>
    <w:p w14:paraId="038F7D2C" w14:textId="329D15EB" w:rsidR="00871181" w:rsidRPr="006A06F2" w:rsidRDefault="003E3EF7" w:rsidP="00234034">
      <w:pPr>
        <w:spacing w:after="0"/>
        <w:rPr>
          <w:rFonts w:ascii="Arial" w:eastAsia="Arial" w:hAnsi="Arial" w:cs="Arial"/>
          <w:color w:val="000000"/>
          <w:sz w:val="22"/>
          <w:szCs w:val="22"/>
        </w:rPr>
      </w:pPr>
      <w:r w:rsidRPr="006A06F2">
        <w:rPr>
          <w:rFonts w:ascii="Arial" w:eastAsia="Arial" w:hAnsi="Arial" w:cs="Arial"/>
          <w:color w:val="000000"/>
          <w:sz w:val="22"/>
          <w:szCs w:val="22"/>
        </w:rPr>
        <w:t>Estimad</w:t>
      </w:r>
      <w:r w:rsidR="002B4D73">
        <w:rPr>
          <w:rFonts w:ascii="Arial" w:eastAsia="Arial" w:hAnsi="Arial" w:cs="Arial"/>
          <w:color w:val="000000"/>
          <w:sz w:val="22"/>
          <w:szCs w:val="22"/>
        </w:rPr>
        <w:t>a</w:t>
      </w:r>
      <w:r w:rsidRPr="006A06F2">
        <w:rPr>
          <w:rFonts w:ascii="Arial" w:eastAsia="Arial" w:hAnsi="Arial" w:cs="Arial"/>
          <w:color w:val="000000"/>
          <w:sz w:val="22"/>
          <w:szCs w:val="22"/>
        </w:rPr>
        <w:t xml:space="preserve"> señor</w:t>
      </w:r>
      <w:r w:rsidR="002B4D73">
        <w:rPr>
          <w:rFonts w:ascii="Arial" w:eastAsia="Arial" w:hAnsi="Arial" w:cs="Arial"/>
          <w:color w:val="000000"/>
          <w:sz w:val="22"/>
          <w:szCs w:val="22"/>
        </w:rPr>
        <w:t>a González</w:t>
      </w:r>
      <w:r w:rsidR="007A484C">
        <w:rPr>
          <w:rFonts w:ascii="Arial" w:eastAsia="Arial" w:hAnsi="Arial" w:cs="Arial"/>
          <w:color w:val="000000"/>
          <w:sz w:val="22"/>
          <w:szCs w:val="22"/>
        </w:rPr>
        <w:t>:</w:t>
      </w:r>
    </w:p>
    <w:p w14:paraId="32C1B702" w14:textId="77777777" w:rsidR="00871181" w:rsidRPr="006A06F2" w:rsidRDefault="00871181" w:rsidP="00234034">
      <w:pPr>
        <w:spacing w:after="0"/>
        <w:ind w:firstLine="709"/>
        <w:rPr>
          <w:rFonts w:ascii="Arial" w:eastAsia="Arial" w:hAnsi="Arial" w:cs="Arial"/>
          <w:color w:val="000000"/>
          <w:sz w:val="22"/>
          <w:szCs w:val="22"/>
        </w:rPr>
      </w:pPr>
    </w:p>
    <w:p w14:paraId="4C96A024" w14:textId="114555F1" w:rsidR="00871181" w:rsidRPr="006A06F2" w:rsidRDefault="003E3EF7" w:rsidP="00234034">
      <w:pPr>
        <w:spacing w:after="0"/>
        <w:ind w:right="51"/>
        <w:rPr>
          <w:rFonts w:ascii="Arial" w:eastAsia="Arial" w:hAnsi="Arial" w:cs="Arial"/>
          <w:color w:val="000000"/>
          <w:sz w:val="22"/>
          <w:szCs w:val="22"/>
        </w:rPr>
      </w:pPr>
      <w:r w:rsidRPr="006A06F2">
        <w:rPr>
          <w:rFonts w:ascii="Arial" w:eastAsia="Arial" w:hAnsi="Arial" w:cs="Arial"/>
          <w:color w:val="000000"/>
          <w:sz w:val="22"/>
          <w:szCs w:val="22"/>
        </w:rPr>
        <w:t>En ejercicio de la competencia otorgada por el numeral 8 del artículo 11 y el numeral 5 del artículo 3 del Decreto Ley 4170 de 2011, la Agencia Nacional de Contratación Pública – Colombia Compra Eficiente responde la</w:t>
      </w:r>
      <w:r w:rsidR="001D486F">
        <w:rPr>
          <w:rFonts w:ascii="Arial" w:eastAsia="Arial" w:hAnsi="Arial" w:cs="Arial"/>
          <w:color w:val="000000"/>
          <w:sz w:val="22"/>
          <w:szCs w:val="22"/>
        </w:rPr>
        <w:t>s</w:t>
      </w:r>
      <w:r w:rsidRPr="006A06F2">
        <w:rPr>
          <w:rFonts w:ascii="Arial" w:eastAsia="Arial" w:hAnsi="Arial" w:cs="Arial"/>
          <w:color w:val="000000"/>
          <w:sz w:val="22"/>
          <w:szCs w:val="22"/>
        </w:rPr>
        <w:t xml:space="preserve"> consulta</w:t>
      </w:r>
      <w:r w:rsidR="001D486F">
        <w:rPr>
          <w:rFonts w:ascii="Arial" w:eastAsia="Arial" w:hAnsi="Arial" w:cs="Arial"/>
          <w:color w:val="000000"/>
          <w:sz w:val="22"/>
          <w:szCs w:val="22"/>
        </w:rPr>
        <w:t>s</w:t>
      </w:r>
      <w:r w:rsidRPr="006A06F2">
        <w:rPr>
          <w:rFonts w:ascii="Arial" w:eastAsia="Arial" w:hAnsi="Arial" w:cs="Arial"/>
          <w:color w:val="000000"/>
          <w:sz w:val="22"/>
          <w:szCs w:val="22"/>
        </w:rPr>
        <w:t xml:space="preserve"> realizada</w:t>
      </w:r>
      <w:r w:rsidR="001D486F">
        <w:rPr>
          <w:rFonts w:ascii="Arial" w:eastAsia="Arial" w:hAnsi="Arial" w:cs="Arial"/>
          <w:color w:val="000000"/>
          <w:sz w:val="22"/>
          <w:szCs w:val="22"/>
        </w:rPr>
        <w:t>s</w:t>
      </w:r>
      <w:r w:rsidRPr="006A06F2">
        <w:rPr>
          <w:rFonts w:ascii="Arial" w:eastAsia="Arial" w:hAnsi="Arial" w:cs="Arial"/>
          <w:color w:val="000000"/>
          <w:sz w:val="22"/>
          <w:szCs w:val="22"/>
        </w:rPr>
        <w:t xml:space="preserve"> el </w:t>
      </w:r>
      <w:r w:rsidR="001D486F">
        <w:rPr>
          <w:rFonts w:ascii="Arial" w:eastAsia="Arial" w:hAnsi="Arial" w:cs="Arial"/>
          <w:color w:val="000000"/>
          <w:sz w:val="22"/>
          <w:szCs w:val="22"/>
        </w:rPr>
        <w:t>31</w:t>
      </w:r>
      <w:r w:rsidRPr="006A06F2">
        <w:rPr>
          <w:rFonts w:ascii="Arial" w:eastAsia="Arial" w:hAnsi="Arial" w:cs="Arial"/>
          <w:color w:val="000000"/>
          <w:sz w:val="22"/>
          <w:szCs w:val="22"/>
        </w:rPr>
        <w:t xml:space="preserve"> de</w:t>
      </w:r>
      <w:r w:rsidR="001D486F">
        <w:rPr>
          <w:rFonts w:ascii="Arial" w:eastAsia="Arial" w:hAnsi="Arial" w:cs="Arial"/>
          <w:color w:val="000000"/>
          <w:sz w:val="22"/>
          <w:szCs w:val="22"/>
        </w:rPr>
        <w:t xml:space="preserve"> marzo</w:t>
      </w:r>
      <w:r w:rsidRPr="006A06F2">
        <w:rPr>
          <w:rFonts w:ascii="Arial" w:eastAsia="Arial" w:hAnsi="Arial" w:cs="Arial"/>
          <w:color w:val="000000"/>
          <w:sz w:val="22"/>
          <w:szCs w:val="22"/>
        </w:rPr>
        <w:t xml:space="preserve"> de 202</w:t>
      </w:r>
      <w:r w:rsidR="001D486F">
        <w:rPr>
          <w:rFonts w:ascii="Arial" w:eastAsia="Arial" w:hAnsi="Arial" w:cs="Arial"/>
          <w:color w:val="000000"/>
          <w:sz w:val="22"/>
          <w:szCs w:val="22"/>
        </w:rPr>
        <w:t>2</w:t>
      </w:r>
      <w:r w:rsidRPr="006A06F2">
        <w:rPr>
          <w:rFonts w:ascii="Arial" w:eastAsia="Arial" w:hAnsi="Arial" w:cs="Arial"/>
          <w:color w:val="000000"/>
          <w:sz w:val="22"/>
          <w:szCs w:val="22"/>
        </w:rPr>
        <w:t xml:space="preserve">. </w:t>
      </w:r>
    </w:p>
    <w:p w14:paraId="498A6BCE" w14:textId="77777777" w:rsidR="00871181" w:rsidRPr="006A06F2" w:rsidRDefault="00871181" w:rsidP="00234034">
      <w:pPr>
        <w:spacing w:after="0"/>
        <w:rPr>
          <w:rFonts w:ascii="Arial" w:eastAsia="Arial" w:hAnsi="Arial" w:cs="Arial"/>
          <w:color w:val="000000"/>
          <w:sz w:val="22"/>
          <w:szCs w:val="22"/>
        </w:rPr>
      </w:pPr>
    </w:p>
    <w:p w14:paraId="5E5698CC" w14:textId="77777777" w:rsidR="00871181" w:rsidRPr="006A06F2" w:rsidRDefault="003E3EF7" w:rsidP="00234034">
      <w:pPr>
        <w:tabs>
          <w:tab w:val="left" w:pos="284"/>
        </w:tabs>
        <w:spacing w:after="0"/>
        <w:rPr>
          <w:rFonts w:ascii="Arial" w:eastAsia="Arial" w:hAnsi="Arial" w:cs="Arial"/>
          <w:b/>
          <w:color w:val="000000"/>
          <w:sz w:val="22"/>
          <w:szCs w:val="22"/>
        </w:rPr>
      </w:pPr>
      <w:r w:rsidRPr="006A06F2">
        <w:rPr>
          <w:rFonts w:ascii="Arial" w:eastAsia="Arial" w:hAnsi="Arial" w:cs="Arial"/>
          <w:b/>
          <w:color w:val="000000"/>
          <w:sz w:val="22"/>
          <w:szCs w:val="22"/>
        </w:rPr>
        <w:t xml:space="preserve">1. Problema planteado </w:t>
      </w:r>
    </w:p>
    <w:p w14:paraId="75EEAD0C" w14:textId="77777777" w:rsidR="00AA1B5C" w:rsidRDefault="00AA1B5C" w:rsidP="00234034">
      <w:pPr>
        <w:pBdr>
          <w:top w:val="nil"/>
          <w:left w:val="nil"/>
          <w:bottom w:val="nil"/>
          <w:right w:val="nil"/>
          <w:between w:val="nil"/>
        </w:pBdr>
        <w:spacing w:after="0"/>
        <w:rPr>
          <w:rFonts w:ascii="Arial" w:eastAsia="Arial" w:hAnsi="Arial" w:cs="Arial"/>
          <w:color w:val="000000"/>
          <w:sz w:val="22"/>
          <w:szCs w:val="22"/>
        </w:rPr>
      </w:pPr>
      <w:bookmarkStart w:id="0" w:name="_17dp8vu" w:colFirst="0" w:colLast="0"/>
      <w:bookmarkEnd w:id="0"/>
    </w:p>
    <w:p w14:paraId="3C6BC224" w14:textId="384C4F0D" w:rsidR="002B4D73" w:rsidRDefault="003833EC" w:rsidP="002B4D73">
      <w:pPr>
        <w:pBdr>
          <w:top w:val="nil"/>
          <w:left w:val="nil"/>
          <w:bottom w:val="nil"/>
          <w:right w:val="nil"/>
          <w:between w:val="nil"/>
        </w:pBdr>
        <w:spacing w:after="0"/>
        <w:rPr>
          <w:rFonts w:ascii="Arial" w:eastAsia="Arial" w:hAnsi="Arial" w:cs="Arial"/>
          <w:color w:val="000000"/>
          <w:sz w:val="22"/>
          <w:szCs w:val="22"/>
        </w:rPr>
      </w:pPr>
      <w:r>
        <w:rPr>
          <w:rFonts w:ascii="Arial" w:eastAsia="Arial" w:hAnsi="Arial" w:cs="Arial"/>
          <w:color w:val="000000"/>
          <w:sz w:val="22"/>
          <w:szCs w:val="22"/>
        </w:rPr>
        <w:t xml:space="preserve">En la </w:t>
      </w:r>
      <w:r w:rsidR="00C40EF3">
        <w:rPr>
          <w:rFonts w:ascii="Arial" w:eastAsia="Arial" w:hAnsi="Arial" w:cs="Arial"/>
          <w:color w:val="000000"/>
          <w:sz w:val="22"/>
          <w:szCs w:val="22"/>
        </w:rPr>
        <w:t>consulta identificada de forma previa</w:t>
      </w:r>
      <w:r>
        <w:rPr>
          <w:rFonts w:ascii="Arial" w:eastAsia="Arial" w:hAnsi="Arial" w:cs="Arial"/>
          <w:color w:val="000000"/>
          <w:sz w:val="22"/>
          <w:szCs w:val="22"/>
        </w:rPr>
        <w:t xml:space="preserve"> u</w:t>
      </w:r>
      <w:r w:rsidR="003E3EF7" w:rsidRPr="006A06F2">
        <w:rPr>
          <w:rFonts w:ascii="Arial" w:eastAsia="Arial" w:hAnsi="Arial" w:cs="Arial"/>
          <w:color w:val="000000"/>
          <w:sz w:val="22"/>
          <w:szCs w:val="22"/>
        </w:rPr>
        <w:t>sted solicita a la Agencia</w:t>
      </w:r>
      <w:r w:rsidR="00146CDB">
        <w:rPr>
          <w:rFonts w:ascii="Arial" w:eastAsia="Arial" w:hAnsi="Arial" w:cs="Arial"/>
          <w:color w:val="000000"/>
          <w:sz w:val="22"/>
          <w:szCs w:val="22"/>
        </w:rPr>
        <w:t xml:space="preserve"> resolver los siguientes interrogantes, l</w:t>
      </w:r>
      <w:r w:rsidR="001D486F">
        <w:rPr>
          <w:rFonts w:ascii="Arial" w:eastAsia="Arial" w:hAnsi="Arial" w:cs="Arial"/>
          <w:color w:val="000000"/>
          <w:sz w:val="22"/>
          <w:szCs w:val="22"/>
        </w:rPr>
        <w:t xml:space="preserve">os cuales guardan relación </w:t>
      </w:r>
      <w:r w:rsidR="00D738BA">
        <w:rPr>
          <w:rFonts w:ascii="Arial" w:eastAsia="Arial" w:hAnsi="Arial" w:cs="Arial"/>
          <w:color w:val="000000"/>
          <w:sz w:val="22"/>
          <w:szCs w:val="22"/>
        </w:rPr>
        <w:t>con</w:t>
      </w:r>
      <w:r w:rsidR="002B4D73">
        <w:rPr>
          <w:rFonts w:ascii="Arial" w:eastAsia="Arial" w:hAnsi="Arial" w:cs="Arial"/>
          <w:color w:val="000000"/>
          <w:sz w:val="22"/>
          <w:szCs w:val="22"/>
        </w:rPr>
        <w:t xml:space="preserve"> la manera en la que se debe computar el término de traslado del informe de evaluación en los procesos de licitación pública, selección abreviada y concurso de méritos</w:t>
      </w:r>
      <w:r w:rsidR="002B4D73" w:rsidRPr="002B4D73">
        <w:rPr>
          <w:rFonts w:ascii="Arial" w:eastAsia="Arial" w:hAnsi="Arial" w:cs="Arial"/>
          <w:color w:val="000000"/>
          <w:sz w:val="22"/>
          <w:szCs w:val="22"/>
        </w:rPr>
        <w:t>:</w:t>
      </w:r>
    </w:p>
    <w:p w14:paraId="23E65A7A" w14:textId="77777777" w:rsidR="002B4D73" w:rsidRDefault="002B4D73" w:rsidP="002B4D73">
      <w:pPr>
        <w:pBdr>
          <w:top w:val="nil"/>
          <w:left w:val="nil"/>
          <w:bottom w:val="nil"/>
          <w:right w:val="nil"/>
          <w:between w:val="nil"/>
        </w:pBdr>
        <w:spacing w:after="0"/>
        <w:rPr>
          <w:rFonts w:ascii="Arial" w:eastAsia="Arial" w:hAnsi="Arial" w:cs="Arial"/>
          <w:color w:val="000000"/>
          <w:sz w:val="22"/>
          <w:szCs w:val="22"/>
        </w:rPr>
      </w:pPr>
    </w:p>
    <w:p w14:paraId="712BCA37" w14:textId="2CE266B9" w:rsidR="002B4D73" w:rsidRDefault="005E53CE" w:rsidP="00042D57">
      <w:pPr>
        <w:pBdr>
          <w:top w:val="nil"/>
          <w:left w:val="nil"/>
          <w:bottom w:val="nil"/>
          <w:right w:val="nil"/>
          <w:between w:val="nil"/>
        </w:pBdr>
        <w:spacing w:after="0" w:line="240" w:lineRule="auto"/>
        <w:ind w:left="709" w:right="709"/>
        <w:rPr>
          <w:rFonts w:ascii="Arial" w:hAnsi="Arial" w:cs="Arial"/>
          <w:color w:val="000000"/>
          <w:sz w:val="21"/>
          <w:szCs w:val="21"/>
          <w:lang w:val="es-ES"/>
        </w:rPr>
      </w:pPr>
      <w:r w:rsidRPr="005E53CE">
        <w:rPr>
          <w:rFonts w:ascii="Arial" w:hAnsi="Arial" w:cs="Arial"/>
          <w:bCs/>
          <w:color w:val="000000"/>
          <w:sz w:val="21"/>
          <w:szCs w:val="21"/>
          <w:lang w:val="es-CO"/>
        </w:rPr>
        <w:t>«</w:t>
      </w:r>
      <w:r w:rsidR="002B4D73" w:rsidRPr="002B4D73">
        <w:rPr>
          <w:rFonts w:ascii="Arial" w:hAnsi="Arial" w:cs="Arial"/>
          <w:color w:val="000000"/>
          <w:sz w:val="21"/>
          <w:szCs w:val="21"/>
          <w:lang w:val="es-ES"/>
        </w:rPr>
        <w:t xml:space="preserve">1. ¿El termino de traslado del informe de evaluación bien sea de tres (3) o cinco (5) días hábiles según la modalidad de contratación, implican el transcurrir de 72 o 120 horas en días hábiles lunes a viernes? </w:t>
      </w:r>
    </w:p>
    <w:p w14:paraId="6891C697" w14:textId="77777777" w:rsidR="002B4D73" w:rsidRDefault="002B4D73" w:rsidP="00042D57">
      <w:pPr>
        <w:pBdr>
          <w:top w:val="nil"/>
          <w:left w:val="nil"/>
          <w:bottom w:val="nil"/>
          <w:right w:val="nil"/>
          <w:between w:val="nil"/>
        </w:pBdr>
        <w:spacing w:after="0" w:line="240" w:lineRule="auto"/>
        <w:ind w:left="709" w:right="709"/>
        <w:rPr>
          <w:rFonts w:ascii="Arial" w:hAnsi="Arial" w:cs="Arial"/>
          <w:color w:val="000000"/>
          <w:sz w:val="21"/>
          <w:szCs w:val="21"/>
          <w:lang w:val="es-ES"/>
        </w:rPr>
      </w:pPr>
    </w:p>
    <w:p w14:paraId="677BC697" w14:textId="38C07773" w:rsidR="002B4D73" w:rsidRDefault="002C343C" w:rsidP="00042D57">
      <w:pPr>
        <w:pBdr>
          <w:top w:val="nil"/>
          <w:left w:val="nil"/>
          <w:bottom w:val="nil"/>
          <w:right w:val="nil"/>
          <w:between w:val="nil"/>
        </w:pBdr>
        <w:spacing w:after="0" w:line="240" w:lineRule="auto"/>
        <w:ind w:left="709" w:right="709"/>
        <w:rPr>
          <w:rFonts w:ascii="Arial" w:hAnsi="Arial" w:cs="Arial"/>
          <w:color w:val="000000"/>
          <w:sz w:val="21"/>
          <w:szCs w:val="21"/>
          <w:lang w:val="es-ES"/>
        </w:rPr>
      </w:pPr>
      <w:r>
        <w:rPr>
          <w:rFonts w:ascii="Arial" w:hAnsi="Arial" w:cs="Arial"/>
          <w:color w:val="000000"/>
          <w:sz w:val="21"/>
          <w:szCs w:val="21"/>
          <w:lang w:val="es-ES"/>
        </w:rPr>
        <w:t>»</w:t>
      </w:r>
      <w:r w:rsidR="002B4D73" w:rsidRPr="002B4D73">
        <w:rPr>
          <w:rFonts w:ascii="Arial" w:hAnsi="Arial" w:cs="Arial"/>
          <w:color w:val="000000"/>
          <w:sz w:val="21"/>
          <w:szCs w:val="21"/>
          <w:lang w:val="es-ES"/>
        </w:rPr>
        <w:t xml:space="preserve">2. Teniendo en cuenta que las entidades compradoras en la plataforma </w:t>
      </w:r>
      <w:proofErr w:type="spellStart"/>
      <w:r w:rsidR="002B4D73" w:rsidRPr="002B4D73">
        <w:rPr>
          <w:rFonts w:ascii="Arial" w:hAnsi="Arial" w:cs="Arial"/>
          <w:color w:val="000000"/>
          <w:sz w:val="21"/>
          <w:szCs w:val="21"/>
          <w:lang w:val="es-ES"/>
        </w:rPr>
        <w:t>Secop</w:t>
      </w:r>
      <w:proofErr w:type="spellEnd"/>
      <w:r w:rsidR="002B4D73" w:rsidRPr="002B4D73">
        <w:rPr>
          <w:rFonts w:ascii="Arial" w:hAnsi="Arial" w:cs="Arial"/>
          <w:color w:val="000000"/>
          <w:sz w:val="21"/>
          <w:szCs w:val="21"/>
          <w:lang w:val="es-ES"/>
        </w:rPr>
        <w:t xml:space="preserve"> II establecen un cronograma, y específicamente en cuanto al término del traslado del informe de evaluación que debe ser de tres (3) o cinco (5) días hábiles según la modalidad de contratación, este término se debe contabilizar ¿a partir de la fecha máxima de publicación del informe de evaluación establecido en la plataforma?</w:t>
      </w:r>
      <w:r w:rsidR="005E53CE" w:rsidRPr="005E53CE">
        <w:rPr>
          <w:rFonts w:ascii="Arial" w:hAnsi="Arial" w:cs="Arial"/>
          <w:bCs/>
          <w:color w:val="000000"/>
          <w:sz w:val="21"/>
          <w:szCs w:val="21"/>
          <w:lang w:val="es-CO"/>
        </w:rPr>
        <w:t>»</w:t>
      </w:r>
      <w:r w:rsidR="002B4D73" w:rsidRPr="002B4D73">
        <w:rPr>
          <w:rFonts w:ascii="Arial" w:hAnsi="Arial" w:cs="Arial"/>
          <w:color w:val="000000"/>
          <w:sz w:val="21"/>
          <w:szCs w:val="21"/>
          <w:lang w:val="es-ES"/>
        </w:rPr>
        <w:t xml:space="preserve"> </w:t>
      </w:r>
    </w:p>
    <w:p w14:paraId="56827B16" w14:textId="77777777" w:rsidR="002B4D73" w:rsidRDefault="002B4D73" w:rsidP="002B4D73">
      <w:pPr>
        <w:pBdr>
          <w:top w:val="nil"/>
          <w:left w:val="nil"/>
          <w:bottom w:val="nil"/>
          <w:right w:val="nil"/>
          <w:between w:val="nil"/>
        </w:pBdr>
        <w:spacing w:after="0"/>
        <w:ind w:left="709"/>
        <w:rPr>
          <w:rFonts w:ascii="Arial" w:hAnsi="Arial" w:cs="Arial"/>
          <w:color w:val="000000"/>
          <w:sz w:val="21"/>
          <w:szCs w:val="21"/>
          <w:lang w:val="es-ES"/>
        </w:rPr>
      </w:pPr>
    </w:p>
    <w:p w14:paraId="436D946C" w14:textId="77777777" w:rsidR="005E53CE" w:rsidRDefault="005E53CE" w:rsidP="005E53CE">
      <w:pPr>
        <w:pBdr>
          <w:top w:val="nil"/>
          <w:left w:val="nil"/>
          <w:bottom w:val="nil"/>
          <w:right w:val="nil"/>
          <w:between w:val="nil"/>
        </w:pBdr>
        <w:spacing w:after="0"/>
        <w:ind w:firstLine="709"/>
        <w:rPr>
          <w:rFonts w:ascii="Arial" w:hAnsi="Arial" w:cs="Arial"/>
          <w:color w:val="000000"/>
          <w:sz w:val="21"/>
          <w:szCs w:val="21"/>
          <w:lang w:val="es-ES"/>
        </w:rPr>
      </w:pPr>
      <w:r>
        <w:rPr>
          <w:rFonts w:ascii="Arial" w:hAnsi="Arial" w:cs="Arial"/>
          <w:color w:val="000000"/>
          <w:sz w:val="21"/>
          <w:szCs w:val="21"/>
          <w:lang w:val="es-ES"/>
        </w:rPr>
        <w:t>Para contextualizar sus inquietudes en la consulta se expuso lo siguiente:</w:t>
      </w:r>
    </w:p>
    <w:p w14:paraId="30AC7BFD" w14:textId="77777777" w:rsidR="005E53CE" w:rsidRDefault="005E53CE" w:rsidP="005E53CE">
      <w:pPr>
        <w:pBdr>
          <w:top w:val="nil"/>
          <w:left w:val="nil"/>
          <w:bottom w:val="nil"/>
          <w:right w:val="nil"/>
          <w:between w:val="nil"/>
        </w:pBdr>
        <w:spacing w:after="0"/>
        <w:ind w:firstLine="709"/>
        <w:rPr>
          <w:rFonts w:ascii="Arial" w:hAnsi="Arial" w:cs="Arial"/>
          <w:color w:val="000000"/>
          <w:sz w:val="21"/>
          <w:szCs w:val="21"/>
          <w:lang w:val="es-ES"/>
        </w:rPr>
      </w:pPr>
    </w:p>
    <w:p w14:paraId="40AAB19F" w14:textId="4EB05020" w:rsidR="00C528CC" w:rsidRPr="002B4D73" w:rsidRDefault="005E53CE" w:rsidP="00042D57">
      <w:pPr>
        <w:pBdr>
          <w:top w:val="nil"/>
          <w:left w:val="nil"/>
          <w:bottom w:val="nil"/>
          <w:right w:val="nil"/>
          <w:between w:val="nil"/>
        </w:pBdr>
        <w:spacing w:after="0" w:line="240" w:lineRule="auto"/>
        <w:ind w:left="709" w:right="709"/>
        <w:rPr>
          <w:rFonts w:ascii="Arial" w:hAnsi="Arial" w:cs="Arial"/>
          <w:color w:val="000000"/>
          <w:sz w:val="21"/>
          <w:szCs w:val="21"/>
          <w:lang w:val="es-ES"/>
        </w:rPr>
      </w:pPr>
      <w:r w:rsidRPr="005E53CE">
        <w:rPr>
          <w:rFonts w:ascii="Arial" w:hAnsi="Arial" w:cs="Arial"/>
          <w:bCs/>
          <w:color w:val="000000"/>
          <w:sz w:val="21"/>
          <w:szCs w:val="21"/>
          <w:lang w:val="es-CO"/>
        </w:rPr>
        <w:t>«</w:t>
      </w:r>
      <w:r w:rsidR="002B4D73" w:rsidRPr="002B4D73">
        <w:rPr>
          <w:rFonts w:ascii="Arial" w:hAnsi="Arial" w:cs="Arial"/>
          <w:color w:val="000000"/>
          <w:sz w:val="21"/>
          <w:szCs w:val="21"/>
          <w:lang w:val="es-ES"/>
        </w:rPr>
        <w:t xml:space="preserve">En un proceso de Selección abreviada menor cuantía, el cronograma publicado en la plataforma </w:t>
      </w:r>
      <w:proofErr w:type="spellStart"/>
      <w:r w:rsidR="002B4D73" w:rsidRPr="002B4D73">
        <w:rPr>
          <w:rFonts w:ascii="Arial" w:hAnsi="Arial" w:cs="Arial"/>
          <w:color w:val="000000"/>
          <w:sz w:val="21"/>
          <w:szCs w:val="21"/>
          <w:lang w:val="es-ES"/>
        </w:rPr>
        <w:t>Secop</w:t>
      </w:r>
      <w:proofErr w:type="spellEnd"/>
      <w:r w:rsidR="002B4D73" w:rsidRPr="002B4D73">
        <w:rPr>
          <w:rFonts w:ascii="Arial" w:hAnsi="Arial" w:cs="Arial"/>
          <w:color w:val="000000"/>
          <w:sz w:val="21"/>
          <w:szCs w:val="21"/>
          <w:lang w:val="es-ES"/>
        </w:rPr>
        <w:t xml:space="preserve"> II por la entidad compradora establece que el informe de evaluación de las ofertas se realizará máximo hasta el (2/05/2022 11:00:00 PM(UTC-05:00) Bogotá, Lima, Quito) y el termino de traslado del informe de evaluación que generalmente en los cronogramas de procesos aparece como Presentación de observaciones al informe de verificación o evaluación, establece como fecha máxima hasta el (5/05/2022 7:00:00 PM), la consulta para este caso específico es ¿el t</w:t>
      </w:r>
      <w:r w:rsidR="002D59D4">
        <w:rPr>
          <w:rFonts w:ascii="Arial" w:hAnsi="Arial" w:cs="Arial"/>
          <w:color w:val="000000"/>
          <w:sz w:val="21"/>
          <w:szCs w:val="21"/>
          <w:lang w:val="es-ES"/>
        </w:rPr>
        <w:t>é</w:t>
      </w:r>
      <w:r w:rsidR="002B4D73" w:rsidRPr="002B4D73">
        <w:rPr>
          <w:rFonts w:ascii="Arial" w:hAnsi="Arial" w:cs="Arial"/>
          <w:color w:val="000000"/>
          <w:sz w:val="21"/>
          <w:szCs w:val="21"/>
          <w:lang w:val="es-ES"/>
        </w:rPr>
        <w:t xml:space="preserve">rmino de los tres (3) días hábiles (teniendo en cuenta el proceso de selección abreviada de menor cuantía) se debe contar a partir del 2/05/2022 11:00:01 PM? Si no es como se plantea anteriormente la contabilización de estos días hábiles ¿Cómo deben ser contabilizados por la entidad compradora para dar cumplimiento tácito a los 3 días hábiles que en términos estrictos son 72 horas? Agradezco su respuesta a través del presente correo electrónico y agradezco se publique la respuesta en la plataforma </w:t>
      </w:r>
      <w:proofErr w:type="spellStart"/>
      <w:r w:rsidR="002B4D73" w:rsidRPr="002B4D73">
        <w:rPr>
          <w:rFonts w:ascii="Arial" w:hAnsi="Arial" w:cs="Arial"/>
          <w:color w:val="000000"/>
          <w:sz w:val="21"/>
          <w:szCs w:val="21"/>
          <w:lang w:val="es-ES"/>
        </w:rPr>
        <w:t>Secop</w:t>
      </w:r>
      <w:proofErr w:type="spellEnd"/>
      <w:r w:rsidR="002B4D73" w:rsidRPr="002B4D73">
        <w:rPr>
          <w:rFonts w:ascii="Arial" w:hAnsi="Arial" w:cs="Arial"/>
          <w:color w:val="000000"/>
          <w:sz w:val="21"/>
          <w:szCs w:val="21"/>
          <w:lang w:val="es-ES"/>
        </w:rPr>
        <w:t xml:space="preserve"> II omitiendo mis datos personales como nombre y correo electrónico</w:t>
      </w:r>
      <w:r w:rsidRPr="005E53CE">
        <w:rPr>
          <w:rFonts w:ascii="Arial" w:hAnsi="Arial" w:cs="Arial"/>
          <w:bCs/>
          <w:color w:val="000000"/>
          <w:sz w:val="21"/>
          <w:szCs w:val="21"/>
          <w:lang w:val="es-CO"/>
        </w:rPr>
        <w:t>»</w:t>
      </w:r>
      <w:r w:rsidR="002B4D73" w:rsidRPr="005E53CE">
        <w:rPr>
          <w:rFonts w:ascii="Arial" w:hAnsi="Arial" w:cs="Arial"/>
          <w:color w:val="000000"/>
          <w:sz w:val="21"/>
          <w:szCs w:val="21"/>
          <w:lang w:val="es-ES"/>
        </w:rPr>
        <w:t>.</w:t>
      </w:r>
    </w:p>
    <w:p w14:paraId="172741B6" w14:textId="3B816DC8" w:rsidR="005E53CE" w:rsidRDefault="005E53CE" w:rsidP="00234034">
      <w:pPr>
        <w:tabs>
          <w:tab w:val="left" w:pos="284"/>
        </w:tabs>
        <w:spacing w:after="0"/>
        <w:rPr>
          <w:rFonts w:ascii="Arial" w:eastAsia="Arial" w:hAnsi="Arial" w:cs="Arial"/>
          <w:b/>
          <w:color w:val="000000"/>
          <w:sz w:val="22"/>
          <w:szCs w:val="22"/>
        </w:rPr>
      </w:pPr>
    </w:p>
    <w:p w14:paraId="56FF9111" w14:textId="7ABF4782" w:rsidR="00871181" w:rsidRPr="006A06F2" w:rsidRDefault="003E3EF7" w:rsidP="00234034">
      <w:pPr>
        <w:tabs>
          <w:tab w:val="left" w:pos="284"/>
        </w:tabs>
        <w:spacing w:after="0"/>
        <w:rPr>
          <w:rFonts w:ascii="Arial" w:eastAsia="Arial" w:hAnsi="Arial" w:cs="Arial"/>
          <w:b/>
          <w:color w:val="000000"/>
          <w:sz w:val="22"/>
          <w:szCs w:val="22"/>
        </w:rPr>
      </w:pPr>
      <w:r w:rsidRPr="006A06F2">
        <w:rPr>
          <w:rFonts w:ascii="Arial" w:eastAsia="Arial" w:hAnsi="Arial" w:cs="Arial"/>
          <w:b/>
          <w:color w:val="000000"/>
          <w:sz w:val="22"/>
          <w:szCs w:val="22"/>
        </w:rPr>
        <w:t>2. Consideraciones</w:t>
      </w:r>
    </w:p>
    <w:p w14:paraId="27DE1B9E" w14:textId="77777777" w:rsidR="00015660" w:rsidRDefault="00015660" w:rsidP="00234034">
      <w:pPr>
        <w:spacing w:after="0"/>
        <w:rPr>
          <w:rFonts w:ascii="Arial" w:eastAsia="Arial" w:hAnsi="Arial" w:cs="Arial"/>
          <w:color w:val="000000"/>
          <w:sz w:val="22"/>
          <w:szCs w:val="22"/>
        </w:rPr>
      </w:pPr>
    </w:p>
    <w:p w14:paraId="1166CEF6" w14:textId="77777777" w:rsidR="00015660" w:rsidRPr="00015660" w:rsidRDefault="00015660" w:rsidP="00042D57">
      <w:pPr>
        <w:spacing w:after="120"/>
        <w:rPr>
          <w:rFonts w:ascii="Arial" w:eastAsia="Arial" w:hAnsi="Arial" w:cs="Arial"/>
          <w:color w:val="000000"/>
          <w:sz w:val="22"/>
          <w:szCs w:val="22"/>
        </w:rPr>
      </w:pPr>
      <w:r w:rsidRPr="00015660">
        <w:rPr>
          <w:rFonts w:ascii="Arial" w:eastAsia="Arial" w:hAnsi="Arial" w:cs="Arial"/>
          <w:color w:val="000000"/>
          <w:sz w:val="22"/>
          <w:szCs w:val="22"/>
        </w:rPr>
        <w:t>En ejercicio de las competencias establecidas en los artículos 3.5 y 11.8 del Decreto 4170 de 2011, la Agencia Nacional de Contratación Pública – Colombia Compra Eficiente resuelve las consultas sobre los asuntos de su competencia, esto es, sobre las temáticas de la contratación estatal y compras públicas relacionadas en los artículos citados</w:t>
      </w:r>
      <w:r w:rsidRPr="00015660">
        <w:rPr>
          <w:rFonts w:ascii="Arial" w:eastAsia="Arial" w:hAnsi="Arial" w:cs="Arial"/>
          <w:color w:val="000000"/>
          <w:sz w:val="22"/>
          <w:szCs w:val="22"/>
          <w:vertAlign w:val="superscript"/>
        </w:rPr>
        <w:footnoteReference w:id="1"/>
      </w:r>
      <w:r w:rsidRPr="00015660">
        <w:rPr>
          <w:rFonts w:ascii="Arial" w:eastAsia="Arial" w:hAnsi="Arial" w:cs="Arial"/>
          <w:color w:val="000000"/>
          <w:sz w:val="22"/>
          <w:szCs w:val="22"/>
        </w:rPr>
        <w:t>.</w:t>
      </w:r>
    </w:p>
    <w:p w14:paraId="4425D610" w14:textId="4C9C07D4" w:rsidR="00015660" w:rsidRPr="00015660" w:rsidRDefault="00015660" w:rsidP="00042D57">
      <w:pPr>
        <w:spacing w:after="120"/>
        <w:ind w:firstLine="709"/>
        <w:rPr>
          <w:rFonts w:ascii="Arial" w:eastAsia="Arial" w:hAnsi="Arial" w:cs="Arial"/>
          <w:color w:val="000000"/>
          <w:sz w:val="22"/>
          <w:szCs w:val="22"/>
          <w:lang w:val="es-CO"/>
        </w:rPr>
      </w:pPr>
      <w:r w:rsidRPr="00015660">
        <w:rPr>
          <w:rFonts w:ascii="Arial" w:eastAsia="Arial" w:hAnsi="Arial" w:cs="Arial"/>
          <w:color w:val="000000"/>
          <w:sz w:val="22"/>
          <w:szCs w:val="22"/>
        </w:rPr>
        <w:lastRenderedPageBreak/>
        <w:t>Por ello, esta Subdirección –dentro de los límites de sus atribuciones</w:t>
      </w:r>
      <w:r w:rsidRPr="00015660">
        <w:rPr>
          <w:rFonts w:ascii="Arial" w:eastAsia="Arial" w:hAnsi="Arial" w:cs="Arial"/>
          <w:color w:val="000000"/>
          <w:sz w:val="22"/>
          <w:szCs w:val="22"/>
          <w:vertAlign w:val="superscript"/>
        </w:rPr>
        <w:footnoteReference w:id="2"/>
      </w:r>
      <w:r w:rsidRPr="00015660">
        <w:rPr>
          <w:rFonts w:ascii="Arial" w:eastAsia="Arial" w:hAnsi="Arial" w:cs="Arial"/>
          <w:color w:val="000000"/>
          <w:sz w:val="22"/>
          <w:szCs w:val="22"/>
        </w:rPr>
        <w:t xml:space="preserve">– resolverá la consulta conforme a las normas generales en materia de contratación estatal. Con este objetivo se </w:t>
      </w:r>
      <w:r w:rsidRPr="009E5566">
        <w:rPr>
          <w:rFonts w:ascii="Arial" w:eastAsia="Arial" w:hAnsi="Arial" w:cs="Arial"/>
          <w:color w:val="000000"/>
          <w:sz w:val="22"/>
          <w:szCs w:val="22"/>
        </w:rPr>
        <w:t>analizarán los siguientes temas</w:t>
      </w:r>
      <w:r w:rsidR="002C343C" w:rsidRPr="009E5566">
        <w:rPr>
          <w:rFonts w:ascii="Arial" w:eastAsia="Arial" w:hAnsi="Arial" w:cs="Arial"/>
          <w:color w:val="000000"/>
          <w:sz w:val="22"/>
          <w:szCs w:val="22"/>
        </w:rPr>
        <w:t>:</w:t>
      </w:r>
      <w:r w:rsidRPr="009E5566">
        <w:rPr>
          <w:rFonts w:ascii="Arial" w:eastAsia="Arial" w:hAnsi="Arial" w:cs="Arial"/>
          <w:color w:val="000000"/>
          <w:sz w:val="22"/>
          <w:szCs w:val="22"/>
        </w:rPr>
        <w:t xml:space="preserve"> i</w:t>
      </w:r>
      <w:r w:rsidRPr="009E5566">
        <w:rPr>
          <w:rFonts w:ascii="Arial" w:eastAsia="Arial" w:hAnsi="Arial" w:cs="Arial"/>
          <w:bCs/>
          <w:color w:val="000000"/>
          <w:sz w:val="22"/>
          <w:szCs w:val="22"/>
          <w:lang w:val="es-ES_tradnl"/>
        </w:rPr>
        <w:t xml:space="preserve">) </w:t>
      </w:r>
      <w:r w:rsidR="008C5826" w:rsidRPr="009E5566">
        <w:rPr>
          <w:rFonts w:ascii="Arial" w:eastAsia="Arial" w:hAnsi="Arial" w:cs="Arial"/>
          <w:bCs/>
          <w:color w:val="000000"/>
          <w:sz w:val="22"/>
          <w:szCs w:val="22"/>
          <w:lang w:val="es-ES_tradnl"/>
        </w:rPr>
        <w:t>finalidad del traslado del informe de evaluación</w:t>
      </w:r>
      <w:r w:rsidR="009E5566" w:rsidRPr="009E5566">
        <w:rPr>
          <w:rFonts w:ascii="Arial" w:eastAsia="Arial" w:hAnsi="Arial" w:cs="Arial"/>
          <w:bCs/>
          <w:color w:val="000000"/>
          <w:sz w:val="22"/>
          <w:szCs w:val="22"/>
          <w:lang w:val="es-ES_tradnl"/>
        </w:rPr>
        <w:t>,</w:t>
      </w:r>
      <w:r w:rsidR="008C5826" w:rsidRPr="009E5566">
        <w:rPr>
          <w:rFonts w:ascii="Arial" w:eastAsia="Arial" w:hAnsi="Arial" w:cs="Arial"/>
          <w:bCs/>
          <w:color w:val="000000"/>
          <w:sz w:val="22"/>
          <w:szCs w:val="22"/>
          <w:lang w:val="es-ES_tradnl"/>
        </w:rPr>
        <w:t xml:space="preserve"> </w:t>
      </w:r>
      <w:r w:rsidR="009E5566" w:rsidRPr="009E5566">
        <w:rPr>
          <w:rFonts w:ascii="Arial" w:eastAsia="Arial" w:hAnsi="Arial" w:cs="Arial"/>
          <w:bCs/>
          <w:color w:val="000000"/>
          <w:sz w:val="22"/>
          <w:szCs w:val="22"/>
          <w:lang w:val="es-ES_tradnl"/>
        </w:rPr>
        <w:t>p</w:t>
      </w:r>
      <w:r w:rsidR="008C5826" w:rsidRPr="009E5566">
        <w:rPr>
          <w:rFonts w:ascii="Arial" w:eastAsia="Arial" w:hAnsi="Arial" w:cs="Arial"/>
          <w:bCs/>
          <w:color w:val="000000"/>
          <w:sz w:val="22"/>
          <w:szCs w:val="22"/>
          <w:lang w:val="es-ES_tradnl"/>
        </w:rPr>
        <w:t>rincipios de transparencia y de selección objetiva</w:t>
      </w:r>
      <w:r w:rsidR="008C5826" w:rsidRPr="00042D57">
        <w:rPr>
          <w:rFonts w:ascii="Arial" w:eastAsia="Arial" w:hAnsi="Arial" w:cs="Arial"/>
          <w:bCs/>
          <w:color w:val="000000"/>
          <w:sz w:val="22"/>
          <w:szCs w:val="22"/>
          <w:lang w:val="es-ES_tradnl"/>
        </w:rPr>
        <w:t xml:space="preserve">; y </w:t>
      </w:r>
      <w:proofErr w:type="spellStart"/>
      <w:r w:rsidR="008C5826" w:rsidRPr="00042D57">
        <w:rPr>
          <w:rFonts w:ascii="Arial" w:eastAsia="Arial" w:hAnsi="Arial" w:cs="Arial"/>
          <w:bCs/>
          <w:color w:val="000000"/>
          <w:sz w:val="22"/>
          <w:szCs w:val="22"/>
          <w:lang w:val="es-ES_tradnl"/>
        </w:rPr>
        <w:t>ii</w:t>
      </w:r>
      <w:proofErr w:type="spellEnd"/>
      <w:r w:rsidR="008C5826" w:rsidRPr="00042D57">
        <w:rPr>
          <w:rFonts w:ascii="Arial" w:eastAsia="Arial" w:hAnsi="Arial" w:cs="Arial"/>
          <w:bCs/>
          <w:color w:val="000000"/>
          <w:sz w:val="22"/>
          <w:szCs w:val="22"/>
          <w:lang w:val="es-ES_tradnl"/>
        </w:rPr>
        <w:t xml:space="preserve">) </w:t>
      </w:r>
      <w:r w:rsidR="008C5826" w:rsidRPr="009E5566">
        <w:rPr>
          <w:rFonts w:ascii="Arial" w:eastAsia="Arial" w:hAnsi="Arial" w:cs="Arial"/>
          <w:bCs/>
          <w:color w:val="000000"/>
          <w:sz w:val="22"/>
          <w:szCs w:val="22"/>
          <w:lang w:val="es-ES_tradnl"/>
        </w:rPr>
        <w:t>reglas generales sobre el cómputo del término de traslado del informe de evaluación de las ofertas</w:t>
      </w:r>
      <w:r w:rsidR="009E5566" w:rsidRPr="009E5566">
        <w:rPr>
          <w:rFonts w:ascii="Arial" w:eastAsia="Arial" w:hAnsi="Arial" w:cs="Arial"/>
          <w:bCs/>
          <w:color w:val="000000"/>
          <w:sz w:val="22"/>
          <w:szCs w:val="22"/>
          <w:lang w:val="es-ES_tradnl"/>
        </w:rPr>
        <w:t>.</w:t>
      </w:r>
      <w:r w:rsidR="008C5826" w:rsidRPr="00042D57" w:rsidDel="008C5826">
        <w:rPr>
          <w:rFonts w:ascii="Arial" w:eastAsia="Arial" w:hAnsi="Arial" w:cs="Arial"/>
          <w:bCs/>
          <w:color w:val="000000"/>
          <w:sz w:val="22"/>
          <w:szCs w:val="22"/>
          <w:lang w:val="es-ES_tradnl"/>
        </w:rPr>
        <w:t xml:space="preserve"> </w:t>
      </w:r>
    </w:p>
    <w:p w14:paraId="493E43AA" w14:textId="2481402B" w:rsidR="00015660" w:rsidRPr="00015660" w:rsidRDefault="00734A2B" w:rsidP="00234034">
      <w:pPr>
        <w:spacing w:after="0"/>
        <w:rPr>
          <w:rFonts w:ascii="Arial" w:hAnsi="Arial" w:cs="Arial"/>
          <w:bCs/>
          <w:color w:val="000000"/>
          <w:sz w:val="22"/>
          <w:szCs w:val="22"/>
          <w:lang w:val="es-ES_tradnl" w:eastAsia="en-US"/>
        </w:rPr>
      </w:pPr>
      <w:r>
        <w:rPr>
          <w:rFonts w:ascii="Arial" w:eastAsia="Arial" w:hAnsi="Arial" w:cs="Arial"/>
          <w:color w:val="000000"/>
          <w:sz w:val="22"/>
          <w:szCs w:val="22"/>
        </w:rPr>
        <w:tab/>
      </w:r>
      <w:r w:rsidR="00015660" w:rsidRPr="00015660">
        <w:rPr>
          <w:rFonts w:ascii="Arial" w:hAnsi="Arial" w:cs="Arial"/>
          <w:bCs/>
          <w:color w:val="000000"/>
          <w:sz w:val="22"/>
          <w:szCs w:val="22"/>
          <w:lang w:val="es-ES_tradnl" w:eastAsia="en-US"/>
        </w:rPr>
        <w:t xml:space="preserve">La Agencia Nacional de Contratación Pública – Colombia Compra Eficiente, en los </w:t>
      </w:r>
      <w:r w:rsidR="00015660" w:rsidRPr="00C14BEC">
        <w:rPr>
          <w:rFonts w:ascii="Arial" w:hAnsi="Arial" w:cs="Arial"/>
          <w:bCs/>
          <w:color w:val="000000"/>
          <w:sz w:val="22"/>
          <w:szCs w:val="22"/>
          <w:lang w:val="es-ES_tradnl" w:eastAsia="en-US"/>
        </w:rPr>
        <w:t>Conceptos</w:t>
      </w:r>
      <w:r w:rsidR="00C14BEC" w:rsidRPr="00C14BEC">
        <w:rPr>
          <w:rFonts w:ascii="Arial" w:hAnsi="Arial" w:cs="Arial"/>
          <w:bCs/>
          <w:color w:val="000000"/>
          <w:sz w:val="22"/>
          <w:szCs w:val="22"/>
          <w:lang w:val="es-ES_tradnl" w:eastAsia="en-US"/>
        </w:rPr>
        <w:t xml:space="preserve"> C-290 del 18 de mayo del 2020,</w:t>
      </w:r>
      <w:r w:rsidR="00015660" w:rsidRPr="00C14BEC">
        <w:rPr>
          <w:rFonts w:ascii="Arial" w:hAnsi="Arial" w:cs="Arial"/>
          <w:bCs/>
          <w:color w:val="000000"/>
          <w:sz w:val="22"/>
          <w:szCs w:val="22"/>
          <w:lang w:val="es-ES_tradnl" w:eastAsia="en-US"/>
        </w:rPr>
        <w:t xml:space="preserve"> </w:t>
      </w:r>
      <w:r w:rsidR="005E118B" w:rsidRPr="00C14BEC">
        <w:rPr>
          <w:rFonts w:ascii="Arial" w:hAnsi="Arial" w:cs="Arial"/>
          <w:bCs/>
          <w:color w:val="000000"/>
          <w:sz w:val="22"/>
          <w:szCs w:val="22"/>
          <w:lang w:val="es-ES_tradnl" w:eastAsia="en-US"/>
        </w:rPr>
        <w:t xml:space="preserve">C-465 del 27 de julio del 2020, </w:t>
      </w:r>
      <w:r w:rsidR="006C24CB" w:rsidRPr="00C14BEC">
        <w:rPr>
          <w:rFonts w:ascii="Arial" w:hAnsi="Arial" w:cs="Arial"/>
          <w:bCs/>
          <w:color w:val="000000"/>
          <w:sz w:val="22"/>
          <w:szCs w:val="22"/>
          <w:lang w:val="es-ES_tradnl" w:eastAsia="en-US"/>
        </w:rPr>
        <w:t xml:space="preserve">C-557 del 21 de agosto del 2020 y </w:t>
      </w:r>
      <w:r w:rsidR="00015660" w:rsidRPr="00C14BEC">
        <w:rPr>
          <w:rFonts w:ascii="Arial" w:hAnsi="Arial" w:cs="Arial"/>
          <w:bCs/>
          <w:color w:val="000000"/>
          <w:sz w:val="22"/>
          <w:szCs w:val="22"/>
          <w:lang w:val="es-ES_tradnl" w:eastAsia="en-US"/>
        </w:rPr>
        <w:t>C-</w:t>
      </w:r>
      <w:r w:rsidR="00C62360" w:rsidRPr="00C14BEC">
        <w:rPr>
          <w:rFonts w:ascii="Arial" w:hAnsi="Arial" w:cs="Arial"/>
          <w:bCs/>
          <w:color w:val="000000"/>
          <w:sz w:val="22"/>
          <w:szCs w:val="22"/>
          <w:lang w:val="es-ES_tradnl" w:eastAsia="en-US"/>
        </w:rPr>
        <w:t xml:space="preserve">734 del 16 de diciembre del </w:t>
      </w:r>
      <w:proofErr w:type="gramStart"/>
      <w:r w:rsidR="00C62360" w:rsidRPr="00C14BEC">
        <w:rPr>
          <w:rFonts w:ascii="Arial" w:hAnsi="Arial" w:cs="Arial"/>
          <w:bCs/>
          <w:color w:val="000000"/>
          <w:sz w:val="22"/>
          <w:szCs w:val="22"/>
          <w:lang w:val="es-ES_tradnl" w:eastAsia="en-US"/>
        </w:rPr>
        <w:t>2020  analizó</w:t>
      </w:r>
      <w:proofErr w:type="gramEnd"/>
      <w:r w:rsidR="00C62360" w:rsidRPr="00C14BEC">
        <w:rPr>
          <w:rFonts w:ascii="Arial" w:hAnsi="Arial" w:cs="Arial"/>
          <w:bCs/>
          <w:color w:val="000000"/>
          <w:sz w:val="22"/>
          <w:szCs w:val="22"/>
          <w:lang w:val="es-ES_tradnl" w:eastAsia="en-US"/>
        </w:rPr>
        <w:t xml:space="preserve"> la figura de los términos y su cómputo en material contractual</w:t>
      </w:r>
      <w:r w:rsidR="00015660" w:rsidRPr="00C14BEC">
        <w:rPr>
          <w:rFonts w:ascii="Arial" w:hAnsi="Arial" w:cs="Arial"/>
          <w:bCs/>
          <w:color w:val="000000"/>
          <w:sz w:val="22"/>
          <w:szCs w:val="22"/>
          <w:lang w:val="es-ES_tradnl" w:eastAsia="en-US"/>
        </w:rPr>
        <w:t xml:space="preserve">. </w:t>
      </w:r>
      <w:r w:rsidR="00C62360" w:rsidRPr="00C14BEC">
        <w:rPr>
          <w:rFonts w:ascii="Arial" w:hAnsi="Arial" w:cs="Arial"/>
          <w:bCs/>
          <w:color w:val="000000"/>
          <w:sz w:val="22"/>
          <w:szCs w:val="22"/>
          <w:lang w:val="es-ES_tradnl" w:eastAsia="en-US"/>
        </w:rPr>
        <w:t xml:space="preserve">Adicionalmente, </w:t>
      </w:r>
      <w:r w:rsidR="00015660" w:rsidRPr="00C14BEC">
        <w:rPr>
          <w:rFonts w:ascii="Arial" w:hAnsi="Arial" w:cs="Arial"/>
          <w:bCs/>
          <w:color w:val="000000"/>
          <w:sz w:val="22"/>
          <w:szCs w:val="22"/>
          <w:lang w:val="es-ES_tradnl" w:eastAsia="en-US"/>
        </w:rPr>
        <w:t>en los conceptos</w:t>
      </w:r>
      <w:r w:rsidR="006C24CB" w:rsidRPr="00C14BEC">
        <w:rPr>
          <w:rFonts w:ascii="Arial" w:hAnsi="Arial" w:cs="Arial"/>
          <w:bCs/>
          <w:color w:val="000000"/>
          <w:sz w:val="22"/>
          <w:szCs w:val="22"/>
          <w:lang w:val="es-ES_tradnl" w:eastAsia="en-US"/>
        </w:rPr>
        <w:t xml:space="preserve"> C-730 del 14 de diciembre del 2020, C-083 del 18 de marzo del 2021 y</w:t>
      </w:r>
      <w:r w:rsidR="00015660" w:rsidRPr="00C14BEC">
        <w:rPr>
          <w:rFonts w:ascii="Arial" w:hAnsi="Arial" w:cs="Arial"/>
          <w:bCs/>
          <w:color w:val="000000"/>
          <w:sz w:val="22"/>
          <w:szCs w:val="22"/>
          <w:lang w:val="es-ES_tradnl" w:eastAsia="en-US"/>
        </w:rPr>
        <w:t xml:space="preserve"> C-</w:t>
      </w:r>
      <w:r w:rsidR="0096791D" w:rsidRPr="00C14BEC">
        <w:rPr>
          <w:rFonts w:ascii="Arial" w:hAnsi="Arial" w:cs="Arial"/>
          <w:bCs/>
          <w:color w:val="000000"/>
          <w:sz w:val="22"/>
          <w:szCs w:val="22"/>
          <w:lang w:val="es-ES_tradnl" w:eastAsia="en-US"/>
        </w:rPr>
        <w:t>090 del 23 de marzo del 2021,</w:t>
      </w:r>
      <w:r w:rsidR="001F0379" w:rsidRPr="00C14BEC">
        <w:rPr>
          <w:rFonts w:ascii="Arial" w:hAnsi="Arial" w:cs="Arial"/>
          <w:bCs/>
          <w:color w:val="000000"/>
          <w:sz w:val="22"/>
          <w:szCs w:val="22"/>
          <w:lang w:val="es-ES_tradnl" w:eastAsia="en-US"/>
        </w:rPr>
        <w:t xml:space="preserve"> </w:t>
      </w:r>
      <w:r w:rsidR="00015660" w:rsidRPr="00C14BEC">
        <w:rPr>
          <w:rFonts w:ascii="Arial" w:hAnsi="Arial" w:cs="Arial"/>
          <w:bCs/>
          <w:color w:val="000000"/>
          <w:sz w:val="22"/>
          <w:szCs w:val="22"/>
          <w:lang w:val="es-ES_tradnl" w:eastAsia="en-US"/>
        </w:rPr>
        <w:t xml:space="preserve">se </w:t>
      </w:r>
      <w:r w:rsidR="0096791D" w:rsidRPr="00C14BEC">
        <w:rPr>
          <w:rFonts w:ascii="Arial" w:hAnsi="Arial" w:cs="Arial"/>
          <w:bCs/>
          <w:color w:val="000000"/>
          <w:sz w:val="22"/>
          <w:szCs w:val="22"/>
          <w:lang w:val="es-ES_tradnl" w:eastAsia="en-US"/>
        </w:rPr>
        <w:t>pronunció sobre el informe de evaluación</w:t>
      </w:r>
      <w:r w:rsidR="006C24CB" w:rsidRPr="00C14BEC">
        <w:rPr>
          <w:rFonts w:ascii="Arial" w:hAnsi="Arial" w:cs="Arial"/>
          <w:bCs/>
          <w:color w:val="000000"/>
          <w:sz w:val="22"/>
          <w:szCs w:val="22"/>
          <w:lang w:val="es-ES_tradnl" w:eastAsia="en-US"/>
        </w:rPr>
        <w:t xml:space="preserve"> y la finalidad de su traslado y el término fijado en la ley para el efecto</w:t>
      </w:r>
      <w:r w:rsidR="00697C71" w:rsidRPr="0096791D">
        <w:rPr>
          <w:rFonts w:ascii="Arial" w:hAnsi="Arial" w:cs="Arial"/>
          <w:bCs/>
          <w:color w:val="000000"/>
          <w:sz w:val="22"/>
          <w:szCs w:val="22"/>
          <w:lang w:val="es-ES_tradnl" w:eastAsia="en-US"/>
        </w:rPr>
        <w:t xml:space="preserve">. </w:t>
      </w:r>
      <w:r w:rsidR="00015660" w:rsidRPr="0096791D">
        <w:rPr>
          <w:rFonts w:ascii="Arial" w:hAnsi="Arial" w:cs="Arial"/>
          <w:bCs/>
          <w:color w:val="000000"/>
          <w:sz w:val="22"/>
          <w:szCs w:val="22"/>
          <w:lang w:val="es-ES_tradnl" w:eastAsia="en-US"/>
        </w:rPr>
        <w:t>En lo pertinente, la</w:t>
      </w:r>
      <w:r w:rsidR="005E1583">
        <w:rPr>
          <w:rFonts w:ascii="Arial" w:hAnsi="Arial" w:cs="Arial"/>
          <w:bCs/>
          <w:color w:val="000000"/>
          <w:sz w:val="22"/>
          <w:szCs w:val="22"/>
          <w:lang w:val="es-ES_tradnl" w:eastAsia="en-US"/>
        </w:rPr>
        <w:t>s</w:t>
      </w:r>
      <w:r w:rsidR="00015660" w:rsidRPr="0096791D">
        <w:rPr>
          <w:rFonts w:ascii="Arial" w:hAnsi="Arial" w:cs="Arial"/>
          <w:bCs/>
          <w:color w:val="000000"/>
          <w:sz w:val="22"/>
          <w:szCs w:val="22"/>
          <w:lang w:val="es-ES_tradnl" w:eastAsia="en-US"/>
        </w:rPr>
        <w:t xml:space="preserve"> tesis desarrollada</w:t>
      </w:r>
      <w:r w:rsidR="005E1583">
        <w:rPr>
          <w:rFonts w:ascii="Arial" w:hAnsi="Arial" w:cs="Arial"/>
          <w:bCs/>
          <w:color w:val="000000"/>
          <w:sz w:val="22"/>
          <w:szCs w:val="22"/>
          <w:lang w:val="es-ES_tradnl" w:eastAsia="en-US"/>
        </w:rPr>
        <w:t>s</w:t>
      </w:r>
      <w:r w:rsidR="00015660" w:rsidRPr="0096791D">
        <w:rPr>
          <w:rFonts w:ascii="Arial" w:hAnsi="Arial" w:cs="Arial"/>
          <w:bCs/>
          <w:color w:val="000000"/>
          <w:sz w:val="22"/>
          <w:szCs w:val="22"/>
          <w:lang w:val="es-ES_tradnl" w:eastAsia="en-US"/>
        </w:rPr>
        <w:t xml:space="preserve"> en estos conceptos se reitera</w:t>
      </w:r>
      <w:r w:rsidR="00985402">
        <w:rPr>
          <w:rFonts w:ascii="Arial" w:hAnsi="Arial" w:cs="Arial"/>
          <w:bCs/>
          <w:color w:val="000000"/>
          <w:sz w:val="22"/>
          <w:szCs w:val="22"/>
          <w:lang w:val="es-ES_tradnl" w:eastAsia="en-US"/>
        </w:rPr>
        <w:t>n</w:t>
      </w:r>
      <w:r w:rsidR="00015660" w:rsidRPr="0096791D">
        <w:rPr>
          <w:rFonts w:ascii="Arial" w:hAnsi="Arial" w:cs="Arial"/>
          <w:bCs/>
          <w:color w:val="000000"/>
          <w:sz w:val="22"/>
          <w:szCs w:val="22"/>
          <w:lang w:val="es-ES_tradnl" w:eastAsia="en-US"/>
        </w:rPr>
        <w:t xml:space="preserve"> a continuación y se complementa</w:t>
      </w:r>
      <w:r w:rsidR="00985402">
        <w:rPr>
          <w:rFonts w:ascii="Arial" w:hAnsi="Arial" w:cs="Arial"/>
          <w:bCs/>
          <w:color w:val="000000"/>
          <w:sz w:val="22"/>
          <w:szCs w:val="22"/>
          <w:lang w:val="es-ES_tradnl" w:eastAsia="en-US"/>
        </w:rPr>
        <w:t>n</w:t>
      </w:r>
      <w:r w:rsidR="00015660" w:rsidRPr="0096791D">
        <w:rPr>
          <w:rFonts w:ascii="Arial" w:hAnsi="Arial" w:cs="Arial"/>
          <w:bCs/>
          <w:color w:val="000000"/>
          <w:sz w:val="22"/>
          <w:szCs w:val="22"/>
          <w:lang w:val="es-ES_tradnl" w:eastAsia="en-US"/>
        </w:rPr>
        <w:t xml:space="preserve"> con algunas ideas relativas a la consulta realizada.</w:t>
      </w:r>
      <w:r w:rsidR="00015660" w:rsidRPr="00015660">
        <w:rPr>
          <w:rFonts w:ascii="Arial" w:hAnsi="Arial" w:cs="Arial"/>
          <w:bCs/>
          <w:color w:val="000000"/>
          <w:sz w:val="22"/>
          <w:szCs w:val="22"/>
          <w:lang w:val="es-ES_tradnl" w:eastAsia="en-US"/>
        </w:rPr>
        <w:t xml:space="preserve"> </w:t>
      </w:r>
    </w:p>
    <w:p w14:paraId="65DE7CB6" w14:textId="33F14058" w:rsidR="00643113" w:rsidRDefault="00643113" w:rsidP="00234034">
      <w:pPr>
        <w:spacing w:after="0"/>
        <w:rPr>
          <w:rFonts w:ascii="Arial" w:hAnsi="Arial" w:cs="Arial"/>
          <w:bCs/>
          <w:color w:val="000000"/>
          <w:sz w:val="22"/>
          <w:szCs w:val="22"/>
          <w:lang w:val="es-ES_tradnl" w:eastAsia="en-US"/>
        </w:rPr>
      </w:pPr>
    </w:p>
    <w:p w14:paraId="68E9265C" w14:textId="2091F54E" w:rsidR="00810E0B" w:rsidRPr="00810E0B" w:rsidRDefault="008715BF" w:rsidP="00810E0B">
      <w:pPr>
        <w:tabs>
          <w:tab w:val="left" w:pos="426"/>
        </w:tabs>
        <w:spacing w:after="0"/>
        <w:rPr>
          <w:rFonts w:ascii="Arial" w:hAnsi="Arial" w:cs="Arial"/>
          <w:b/>
          <w:bCs/>
          <w:color w:val="000000"/>
          <w:sz w:val="22"/>
        </w:rPr>
      </w:pPr>
      <w:r w:rsidRPr="00D54A71">
        <w:rPr>
          <w:rFonts w:ascii="Arial" w:hAnsi="Arial" w:cs="Arial"/>
          <w:b/>
          <w:color w:val="000000"/>
          <w:sz w:val="22"/>
          <w:lang w:val="es-CO"/>
        </w:rPr>
        <w:t xml:space="preserve">2.1. </w:t>
      </w:r>
      <w:r w:rsidR="00810E0B" w:rsidRPr="00810E0B">
        <w:rPr>
          <w:rFonts w:ascii="Arial" w:hAnsi="Arial" w:cs="Arial"/>
          <w:b/>
          <w:color w:val="000000"/>
          <w:sz w:val="22"/>
          <w:lang w:val="es-CO"/>
        </w:rPr>
        <w:t>Finalidad del traslado del informe de evaluación</w:t>
      </w:r>
      <w:r w:rsidR="005E1583">
        <w:rPr>
          <w:rFonts w:ascii="Arial" w:hAnsi="Arial" w:cs="Arial"/>
          <w:b/>
          <w:color w:val="000000"/>
          <w:sz w:val="22"/>
          <w:lang w:val="es-CO"/>
        </w:rPr>
        <w:t>.</w:t>
      </w:r>
      <w:r w:rsidR="00810E0B" w:rsidRPr="00810E0B">
        <w:rPr>
          <w:rFonts w:ascii="Arial" w:hAnsi="Arial" w:cs="Arial"/>
          <w:b/>
          <w:color w:val="000000"/>
          <w:sz w:val="22"/>
          <w:lang w:val="es-CO"/>
        </w:rPr>
        <w:t xml:space="preserve"> </w:t>
      </w:r>
      <w:r w:rsidR="005E1583">
        <w:rPr>
          <w:rFonts w:ascii="Arial" w:hAnsi="Arial" w:cs="Arial"/>
          <w:b/>
          <w:color w:val="000000"/>
          <w:sz w:val="22"/>
          <w:lang w:val="es-CO"/>
        </w:rPr>
        <w:t>P</w:t>
      </w:r>
      <w:r w:rsidR="00810E0B" w:rsidRPr="00810E0B">
        <w:rPr>
          <w:rFonts w:ascii="Arial" w:hAnsi="Arial" w:cs="Arial"/>
          <w:b/>
          <w:color w:val="000000"/>
          <w:sz w:val="22"/>
          <w:lang w:val="es-CO"/>
        </w:rPr>
        <w:t>rincipio</w:t>
      </w:r>
      <w:r w:rsidR="000E2299">
        <w:rPr>
          <w:rFonts w:ascii="Arial" w:hAnsi="Arial" w:cs="Arial"/>
          <w:b/>
          <w:color w:val="000000"/>
          <w:sz w:val="22"/>
          <w:lang w:val="es-CO"/>
        </w:rPr>
        <w:t>s</w:t>
      </w:r>
      <w:r w:rsidR="00810E0B" w:rsidRPr="00810E0B">
        <w:rPr>
          <w:rFonts w:ascii="Arial" w:hAnsi="Arial" w:cs="Arial"/>
          <w:b/>
          <w:color w:val="000000"/>
          <w:sz w:val="22"/>
          <w:lang w:val="es-CO"/>
        </w:rPr>
        <w:t xml:space="preserve"> de transparencia</w:t>
      </w:r>
      <w:r w:rsidR="000E2299">
        <w:rPr>
          <w:rFonts w:ascii="Arial" w:hAnsi="Arial" w:cs="Arial"/>
          <w:b/>
          <w:color w:val="000000"/>
          <w:sz w:val="22"/>
          <w:lang w:val="es-CO"/>
        </w:rPr>
        <w:t xml:space="preserve"> y de selección objetiva</w:t>
      </w:r>
    </w:p>
    <w:p w14:paraId="53717A2D" w14:textId="77777777" w:rsidR="00810E0B" w:rsidRPr="00810E0B" w:rsidRDefault="00810E0B" w:rsidP="00810E0B">
      <w:pPr>
        <w:tabs>
          <w:tab w:val="left" w:pos="426"/>
        </w:tabs>
        <w:spacing w:after="0"/>
        <w:rPr>
          <w:rFonts w:ascii="Arial" w:hAnsi="Arial" w:cs="Arial"/>
          <w:b/>
          <w:bCs/>
          <w:color w:val="000000"/>
          <w:sz w:val="22"/>
          <w:lang w:val="es-ES"/>
        </w:rPr>
      </w:pPr>
    </w:p>
    <w:p w14:paraId="2D3D2A78" w14:textId="4F237514" w:rsidR="00810E0B" w:rsidRDefault="00810E0B" w:rsidP="00042D57">
      <w:pPr>
        <w:tabs>
          <w:tab w:val="left" w:pos="426"/>
        </w:tabs>
        <w:spacing w:after="120"/>
        <w:rPr>
          <w:rFonts w:ascii="Arial" w:hAnsi="Arial" w:cs="Arial"/>
          <w:bCs/>
          <w:color w:val="000000"/>
          <w:sz w:val="22"/>
          <w:lang w:val="es-ES"/>
        </w:rPr>
      </w:pPr>
      <w:r w:rsidRPr="00913142">
        <w:rPr>
          <w:rFonts w:ascii="Arial" w:hAnsi="Arial" w:cs="Arial"/>
          <w:bCs/>
          <w:color w:val="000000"/>
          <w:sz w:val="22"/>
          <w:lang w:val="es-ES"/>
        </w:rPr>
        <w:t xml:space="preserve">La contratación estatal tiene como propósito el cumplimiento de los fines estatales, la continua y eficiente prestación de los servicios públicos y la efectividad de los derechos e intereses de los administrados que colaboran con las entidades estatales en la consecución de dichos fines. En cumplimiento de ese propósito, el legislador determinó que las actuaciones adelantadas por las entidades estatales, en materia contractual, se llevan a cabo, entre otros, en cumplimiento de los principios que gobiernan los procesos de contratación pública. </w:t>
      </w:r>
    </w:p>
    <w:p w14:paraId="1E93120A" w14:textId="4A5C7EEA" w:rsidR="00810E0B" w:rsidRPr="00913142" w:rsidRDefault="00810E0B" w:rsidP="00042D57">
      <w:pPr>
        <w:tabs>
          <w:tab w:val="left" w:pos="709"/>
        </w:tabs>
        <w:spacing w:after="120"/>
        <w:ind w:firstLine="709"/>
        <w:rPr>
          <w:rFonts w:ascii="Arial" w:hAnsi="Arial" w:cs="Arial"/>
          <w:bCs/>
          <w:color w:val="000000"/>
          <w:sz w:val="22"/>
          <w:lang w:val="es-ES"/>
        </w:rPr>
      </w:pPr>
      <w:r w:rsidRPr="00913142">
        <w:rPr>
          <w:rFonts w:ascii="Arial" w:hAnsi="Arial" w:cs="Arial"/>
          <w:bCs/>
          <w:color w:val="000000"/>
          <w:sz w:val="22"/>
          <w:lang w:val="es-ES"/>
        </w:rPr>
        <w:t>El artículo 23 de la Ley 80 de 1993 regula los principios aplicables a las actuaciones contractuales adelantadas por las entidades estatales. Entre otros, allí se estableció el principio de transparencia de la actividad contractual, objeto de regulación expresa en el artículo 24 del citado cuerpo normativo. Este principio guarda estrecha relación con el de publicidad, que rige el ejercicio de la función administrativa. Por eso</w:t>
      </w:r>
      <w:r w:rsidR="009E45CB">
        <w:rPr>
          <w:rFonts w:ascii="Arial" w:hAnsi="Arial" w:cs="Arial"/>
          <w:bCs/>
          <w:color w:val="000000"/>
          <w:sz w:val="22"/>
          <w:lang w:val="es-ES"/>
        </w:rPr>
        <w:t>,</w:t>
      </w:r>
      <w:r w:rsidRPr="00913142">
        <w:rPr>
          <w:rFonts w:ascii="Arial" w:hAnsi="Arial" w:cs="Arial"/>
          <w:bCs/>
          <w:color w:val="000000"/>
          <w:sz w:val="22"/>
          <w:lang w:val="es-ES"/>
        </w:rPr>
        <w:t xml:space="preserve"> en los numerales 2º y 3º se estableció la facultad de los interesados para realizar y/o presentar observaciones, como un mecanismo para controvertir algunas de las decisiones adoptadas por las entidades estatales en el marco de sus actuaciones, por demás públicas, en los procesos contractuales.</w:t>
      </w:r>
    </w:p>
    <w:p w14:paraId="2ECC42E6" w14:textId="0705BE9D" w:rsidR="00042220" w:rsidRDefault="00042220" w:rsidP="00042D57">
      <w:pPr>
        <w:tabs>
          <w:tab w:val="left" w:pos="709"/>
        </w:tabs>
        <w:spacing w:after="120"/>
        <w:ind w:firstLine="709"/>
        <w:rPr>
          <w:rFonts w:ascii="Arial" w:hAnsi="Arial" w:cs="Arial"/>
          <w:color w:val="000000"/>
          <w:sz w:val="22"/>
        </w:rPr>
      </w:pPr>
      <w:r>
        <w:rPr>
          <w:rFonts w:ascii="Arial" w:hAnsi="Arial" w:cs="Arial"/>
          <w:color w:val="000000"/>
          <w:sz w:val="22"/>
        </w:rPr>
        <w:lastRenderedPageBreak/>
        <w:t>Por su parte, e</w:t>
      </w:r>
      <w:r w:rsidR="00810E0B" w:rsidRPr="00913142">
        <w:rPr>
          <w:rFonts w:ascii="Arial" w:hAnsi="Arial" w:cs="Arial"/>
          <w:color w:val="000000"/>
          <w:sz w:val="22"/>
        </w:rPr>
        <w:t xml:space="preserve">l principio de selección objetiva es un postulado que debe orientar la escogencia del futuro contratista del Estado en los procedimientos de selección adelantados por las entidades públicas, que se traduce en la exigencia de que la elección no esté basada en apreciaciones o factores subjetivos, sino en criterios objetivos, de carácter técnico, jurídico y financiero. En tal sentido, se trata de un principio que se </w:t>
      </w:r>
      <w:r w:rsidR="009E45CB">
        <w:rPr>
          <w:rFonts w:ascii="Arial" w:hAnsi="Arial" w:cs="Arial"/>
          <w:color w:val="000000"/>
          <w:sz w:val="22"/>
        </w:rPr>
        <w:t>inspira en</w:t>
      </w:r>
      <w:r w:rsidR="00810E0B" w:rsidRPr="00913142">
        <w:rPr>
          <w:rFonts w:ascii="Arial" w:hAnsi="Arial" w:cs="Arial"/>
          <w:color w:val="000000"/>
          <w:sz w:val="22"/>
        </w:rPr>
        <w:t xml:space="preserve"> principios como la igualdad (art. 13, C.P.) y la buena fe –manifestada en la confianza legítima– (art. 83 C.P.), así como de los principios de la función administrativa y de la gestión fiscal (arts. 209 y 267 C.P.).</w:t>
      </w:r>
    </w:p>
    <w:p w14:paraId="7061DA2B" w14:textId="3449F4E3" w:rsidR="00810E0B" w:rsidRDefault="00810E0B" w:rsidP="00042D57">
      <w:pPr>
        <w:tabs>
          <w:tab w:val="left" w:pos="709"/>
        </w:tabs>
        <w:spacing w:after="120"/>
        <w:ind w:firstLine="709"/>
        <w:rPr>
          <w:rFonts w:ascii="Arial" w:hAnsi="Arial" w:cs="Arial"/>
          <w:color w:val="000000"/>
          <w:sz w:val="22"/>
        </w:rPr>
      </w:pPr>
      <w:r w:rsidRPr="00913142">
        <w:rPr>
          <w:rFonts w:ascii="Arial" w:hAnsi="Arial" w:cs="Arial"/>
          <w:color w:val="000000"/>
          <w:sz w:val="22"/>
        </w:rPr>
        <w:t>Dicho principio rector de los procedimientos de selección, además, encuentra fundamen</w:t>
      </w:r>
      <w:r w:rsidR="00042220">
        <w:rPr>
          <w:rFonts w:ascii="Arial" w:hAnsi="Arial" w:cs="Arial"/>
          <w:color w:val="000000"/>
          <w:sz w:val="22"/>
        </w:rPr>
        <w:t xml:space="preserve">to </w:t>
      </w:r>
      <w:r w:rsidRPr="00913142">
        <w:rPr>
          <w:rFonts w:ascii="Arial" w:hAnsi="Arial" w:cs="Arial"/>
          <w:color w:val="000000"/>
          <w:sz w:val="22"/>
        </w:rPr>
        <w:t xml:space="preserve">legal en disposiciones como el artículo 24, numeral 5º, literal a) de la Ley 80 de 1993, que exige incorporar requisitos objetivos en los pliegos de condiciones; el artículo 24, numeral 5º, literal b) de la misma Ley, que manda que en el pliego se definan «reglas objetivas, justas, claras y completas que permitan la confección de ofrecimientos de la misma índole, aseguren una escogencia objetiva y eviten la declaratoria de desierta de la licitación»; y, de forma más profunda y clara, el artículo 5º de la Ley 1150 de 2007, cuyo primer inciso dispone que «Es objetiva la selección en la cual la escogencia se haga al ofrecimiento más favorable a la entidad y a los fines que ella busca, sin tener en consideración factores de afecto o de interés y, en general, cualquier clase de motivación subjetiva». </w:t>
      </w:r>
    </w:p>
    <w:p w14:paraId="52853016" w14:textId="269B223E" w:rsidR="008F1DB9" w:rsidRDefault="008F1DB9" w:rsidP="00042D57">
      <w:pPr>
        <w:tabs>
          <w:tab w:val="left" w:pos="426"/>
        </w:tabs>
        <w:spacing w:after="120"/>
        <w:ind w:firstLine="709"/>
        <w:rPr>
          <w:rFonts w:ascii="Arial" w:hAnsi="Arial" w:cs="Arial"/>
          <w:bCs/>
          <w:color w:val="000000"/>
          <w:sz w:val="22"/>
          <w:lang w:val="es-ES"/>
        </w:rPr>
      </w:pPr>
      <w:r>
        <w:rPr>
          <w:rFonts w:ascii="Arial" w:hAnsi="Arial" w:cs="Arial"/>
          <w:bCs/>
          <w:color w:val="000000"/>
          <w:sz w:val="22"/>
          <w:lang w:val="es-ES"/>
        </w:rPr>
        <w:t xml:space="preserve">Atendiendo la finalidad y alcance de los principios antes referidos, el legislador ha dispuesto distintas etapas en los procesos de selección tendientes a permitir la publicidad de los análisis realizados por las entidades estatales, con el fin de identificar cuál de todas las ofertas recibidas es aquella que mejor satisface sus necesidades en términos técnicos y económicos. Entre </w:t>
      </w:r>
      <w:r w:rsidR="009E45CB">
        <w:rPr>
          <w:rFonts w:ascii="Arial" w:hAnsi="Arial" w:cs="Arial"/>
          <w:bCs/>
          <w:color w:val="000000"/>
          <w:sz w:val="22"/>
          <w:lang w:val="es-ES"/>
        </w:rPr>
        <w:t>e</w:t>
      </w:r>
      <w:r>
        <w:rPr>
          <w:rFonts w:ascii="Arial" w:hAnsi="Arial" w:cs="Arial"/>
          <w:bCs/>
          <w:color w:val="000000"/>
          <w:sz w:val="22"/>
          <w:lang w:val="es-ES"/>
        </w:rPr>
        <w:t xml:space="preserve">stas etapas se encuentra el término de traslado para el informe de evaluación de las ofertas, durante el cual, los interesados en el respectivo proceso de contratación podrán </w:t>
      </w:r>
      <w:r w:rsidR="0009568E">
        <w:rPr>
          <w:rFonts w:ascii="Arial" w:hAnsi="Arial" w:cs="Arial"/>
          <w:bCs/>
          <w:color w:val="000000"/>
          <w:sz w:val="22"/>
          <w:lang w:val="es-ES"/>
        </w:rPr>
        <w:t xml:space="preserve">presentar observaciones </w:t>
      </w:r>
      <w:r w:rsidR="009E45CB">
        <w:rPr>
          <w:rFonts w:ascii="Arial" w:hAnsi="Arial" w:cs="Arial"/>
          <w:bCs/>
          <w:color w:val="000000"/>
          <w:sz w:val="22"/>
          <w:lang w:val="es-ES"/>
        </w:rPr>
        <w:t xml:space="preserve">a </w:t>
      </w:r>
      <w:r w:rsidR="0009568E">
        <w:rPr>
          <w:rFonts w:ascii="Arial" w:hAnsi="Arial" w:cs="Arial"/>
          <w:bCs/>
          <w:color w:val="000000"/>
          <w:sz w:val="22"/>
          <w:lang w:val="es-ES"/>
        </w:rPr>
        <w:t xml:space="preserve">las conclusiones contenidas en dicho informe y/o ejercer su derecho de subsanar </w:t>
      </w:r>
      <w:r w:rsidR="00132572">
        <w:rPr>
          <w:rFonts w:ascii="Arial" w:hAnsi="Arial" w:cs="Arial"/>
          <w:bCs/>
          <w:color w:val="000000"/>
          <w:sz w:val="22"/>
          <w:lang w:val="es-ES"/>
        </w:rPr>
        <w:t xml:space="preserve">su oferta, conforme a las disposiciones </w:t>
      </w:r>
      <w:r w:rsidR="00042BF0">
        <w:rPr>
          <w:rFonts w:ascii="Arial" w:hAnsi="Arial" w:cs="Arial"/>
          <w:bCs/>
          <w:color w:val="000000"/>
          <w:sz w:val="22"/>
          <w:lang w:val="es-ES"/>
        </w:rPr>
        <w:t>vigentes</w:t>
      </w:r>
      <w:r w:rsidR="000E2299">
        <w:rPr>
          <w:rStyle w:val="Refdenotaalpie"/>
          <w:rFonts w:ascii="Arial" w:hAnsi="Arial" w:cs="Arial"/>
          <w:bCs/>
          <w:color w:val="000000"/>
          <w:sz w:val="22"/>
          <w:lang w:val="es-ES"/>
        </w:rPr>
        <w:footnoteReference w:id="3"/>
      </w:r>
      <w:r w:rsidR="00132572">
        <w:rPr>
          <w:rFonts w:ascii="Arial" w:hAnsi="Arial" w:cs="Arial"/>
          <w:bCs/>
          <w:color w:val="000000"/>
          <w:sz w:val="22"/>
          <w:lang w:val="es-ES"/>
        </w:rPr>
        <w:t xml:space="preserve">. </w:t>
      </w:r>
    </w:p>
    <w:p w14:paraId="74FB86C0" w14:textId="4F8F6AA9" w:rsidR="00810E0B" w:rsidRPr="00913142" w:rsidRDefault="00810E0B" w:rsidP="00042D57">
      <w:pPr>
        <w:tabs>
          <w:tab w:val="left" w:pos="426"/>
        </w:tabs>
        <w:spacing w:after="120"/>
        <w:ind w:firstLine="709"/>
        <w:rPr>
          <w:rFonts w:ascii="Arial" w:hAnsi="Arial" w:cs="Arial"/>
          <w:bCs/>
          <w:color w:val="000000"/>
          <w:sz w:val="22"/>
          <w:lang w:val="es-ES"/>
        </w:rPr>
      </w:pPr>
      <w:r w:rsidRPr="00913142">
        <w:rPr>
          <w:rFonts w:ascii="Arial" w:hAnsi="Arial" w:cs="Arial"/>
          <w:bCs/>
          <w:color w:val="000000"/>
          <w:sz w:val="22"/>
          <w:lang w:val="es-ES"/>
        </w:rPr>
        <w:t>Ahora, de conformidad con los mandatos derivados del principio de transparencia, consagrado en el artículo 24 de la Ley 80 de 1993, y lo dispuesto en el artículo 2.2.1.1.2.1.3 del Decreto 1082 de 2015</w:t>
      </w:r>
      <w:r w:rsidRPr="00913142">
        <w:rPr>
          <w:rFonts w:ascii="Arial" w:hAnsi="Arial" w:cs="Arial"/>
          <w:bCs/>
          <w:color w:val="000000"/>
          <w:sz w:val="22"/>
          <w:vertAlign w:val="superscript"/>
          <w:lang w:val="es-ES"/>
        </w:rPr>
        <w:footnoteReference w:id="4"/>
      </w:r>
      <w:r w:rsidRPr="00913142">
        <w:rPr>
          <w:rFonts w:ascii="Arial" w:hAnsi="Arial" w:cs="Arial"/>
          <w:bCs/>
          <w:color w:val="000000"/>
          <w:sz w:val="22"/>
          <w:lang w:val="es-ES"/>
        </w:rPr>
        <w:t xml:space="preserve">, en el pliego de condiciones deben definirse «las </w:t>
      </w:r>
      <w:r w:rsidRPr="00913142">
        <w:rPr>
          <w:rFonts w:ascii="Arial" w:hAnsi="Arial" w:cs="Arial"/>
          <w:bCs/>
          <w:color w:val="000000"/>
          <w:sz w:val="22"/>
          <w:lang w:val="es-ES"/>
        </w:rPr>
        <w:lastRenderedPageBreak/>
        <w:t>reglas aplicables a la presentación de las ofertas, su evaluación y a la adjudicación del contrato», así como el crono</w:t>
      </w:r>
      <w:r w:rsidR="00042BF0">
        <w:rPr>
          <w:rFonts w:ascii="Arial" w:hAnsi="Arial" w:cs="Arial"/>
          <w:bCs/>
          <w:color w:val="000000"/>
          <w:sz w:val="22"/>
          <w:lang w:val="es-ES"/>
        </w:rPr>
        <w:t>grama del proceso de selección,</w:t>
      </w:r>
      <w:r w:rsidRPr="00913142">
        <w:rPr>
          <w:rFonts w:ascii="Arial" w:hAnsi="Arial" w:cs="Arial"/>
          <w:bCs/>
          <w:color w:val="000000"/>
          <w:sz w:val="22"/>
          <w:lang w:val="es-ES"/>
        </w:rPr>
        <w:t xml:space="preserve"> lo que implica que para dar aplicación a la regla </w:t>
      </w:r>
      <w:r w:rsidR="00337C0C" w:rsidRPr="00913142">
        <w:rPr>
          <w:rFonts w:ascii="Arial" w:hAnsi="Arial" w:cs="Arial"/>
          <w:bCs/>
          <w:color w:val="000000"/>
          <w:sz w:val="22"/>
          <w:lang w:val="es-ES"/>
        </w:rPr>
        <w:t xml:space="preserve">anterior </w:t>
      </w:r>
      <w:r w:rsidRPr="00913142">
        <w:rPr>
          <w:rFonts w:ascii="Arial" w:hAnsi="Arial" w:cs="Arial"/>
          <w:bCs/>
          <w:color w:val="000000"/>
          <w:sz w:val="22"/>
          <w:lang w:val="es-ES"/>
        </w:rPr>
        <w:t xml:space="preserve">las </w:t>
      </w:r>
      <w:r w:rsidR="00042BF0">
        <w:rPr>
          <w:rFonts w:ascii="Arial" w:hAnsi="Arial" w:cs="Arial"/>
          <w:bCs/>
          <w:color w:val="000000"/>
          <w:sz w:val="22"/>
          <w:lang w:val="es-ES"/>
        </w:rPr>
        <w:t>entidades deberán establecer, en</w:t>
      </w:r>
      <w:r w:rsidRPr="00913142">
        <w:rPr>
          <w:rFonts w:ascii="Arial" w:hAnsi="Arial" w:cs="Arial"/>
          <w:bCs/>
          <w:color w:val="000000"/>
          <w:sz w:val="22"/>
          <w:lang w:val="es-ES"/>
        </w:rPr>
        <w:t xml:space="preserve"> </w:t>
      </w:r>
      <w:r w:rsidR="00042BF0">
        <w:rPr>
          <w:rFonts w:ascii="Arial" w:hAnsi="Arial" w:cs="Arial"/>
          <w:bCs/>
          <w:color w:val="000000"/>
          <w:sz w:val="22"/>
          <w:lang w:val="es-ES"/>
        </w:rPr>
        <w:t>el respectivo pliego de condiciones</w:t>
      </w:r>
      <w:r w:rsidRPr="00913142">
        <w:rPr>
          <w:rFonts w:ascii="Arial" w:hAnsi="Arial" w:cs="Arial"/>
          <w:bCs/>
          <w:color w:val="000000"/>
          <w:sz w:val="22"/>
          <w:lang w:val="es-ES"/>
        </w:rPr>
        <w:t>, e</w:t>
      </w:r>
      <w:r w:rsidR="00042BF0">
        <w:rPr>
          <w:rFonts w:ascii="Arial" w:hAnsi="Arial" w:cs="Arial"/>
          <w:bCs/>
          <w:color w:val="000000"/>
          <w:sz w:val="22"/>
          <w:lang w:val="es-ES"/>
        </w:rPr>
        <w:t>l término durante el cual se dará traslado al informe de evaluación</w:t>
      </w:r>
      <w:r w:rsidRPr="00913142">
        <w:rPr>
          <w:rFonts w:ascii="Arial" w:hAnsi="Arial" w:cs="Arial"/>
          <w:bCs/>
          <w:color w:val="000000"/>
          <w:sz w:val="22"/>
          <w:lang w:val="es-ES"/>
        </w:rPr>
        <w:t xml:space="preserve">, de tal manera que este pueda ser conocido con anticipación por los interesados en participar.    </w:t>
      </w:r>
    </w:p>
    <w:p w14:paraId="725E21C0" w14:textId="5E16156C" w:rsidR="00810E0B" w:rsidRDefault="00810E0B" w:rsidP="00727D5D">
      <w:pPr>
        <w:tabs>
          <w:tab w:val="left" w:pos="709"/>
        </w:tabs>
        <w:spacing w:after="0"/>
        <w:ind w:firstLine="709"/>
        <w:rPr>
          <w:rFonts w:ascii="Arial" w:hAnsi="Arial" w:cs="Arial"/>
          <w:bCs/>
          <w:color w:val="000000"/>
          <w:sz w:val="22"/>
          <w:lang w:val="es-ES"/>
        </w:rPr>
      </w:pPr>
      <w:r w:rsidRPr="00913142">
        <w:rPr>
          <w:rFonts w:ascii="Arial" w:hAnsi="Arial" w:cs="Arial"/>
          <w:bCs/>
          <w:color w:val="000000"/>
          <w:sz w:val="22"/>
          <w:lang w:val="es-ES"/>
        </w:rPr>
        <w:tab/>
      </w:r>
      <w:r w:rsidR="0060546C">
        <w:rPr>
          <w:rFonts w:ascii="Arial" w:hAnsi="Arial" w:cs="Arial"/>
          <w:bCs/>
          <w:color w:val="000000"/>
          <w:sz w:val="22"/>
          <w:lang w:val="es-ES"/>
        </w:rPr>
        <w:t>En cualquier caso, c</w:t>
      </w:r>
      <w:r w:rsidRPr="00913142">
        <w:rPr>
          <w:rFonts w:ascii="Arial" w:hAnsi="Arial" w:cs="Arial"/>
          <w:bCs/>
          <w:color w:val="000000"/>
          <w:sz w:val="22"/>
          <w:lang w:val="es-ES"/>
        </w:rPr>
        <w:t xml:space="preserve">onviene </w:t>
      </w:r>
      <w:r w:rsidR="000E2299">
        <w:rPr>
          <w:rFonts w:ascii="Arial" w:hAnsi="Arial" w:cs="Arial"/>
          <w:bCs/>
          <w:color w:val="000000"/>
          <w:sz w:val="22"/>
          <w:lang w:val="es-ES"/>
        </w:rPr>
        <w:t>resaltar</w:t>
      </w:r>
      <w:r w:rsidRPr="00913142">
        <w:rPr>
          <w:rFonts w:ascii="Arial" w:hAnsi="Arial" w:cs="Arial"/>
          <w:bCs/>
          <w:color w:val="000000"/>
          <w:sz w:val="22"/>
          <w:lang w:val="es-ES"/>
        </w:rPr>
        <w:t xml:space="preserve"> </w:t>
      </w:r>
      <w:r w:rsidR="00C37FDE">
        <w:rPr>
          <w:rFonts w:ascii="Arial" w:hAnsi="Arial" w:cs="Arial"/>
          <w:bCs/>
          <w:color w:val="000000"/>
          <w:sz w:val="22"/>
          <w:lang w:val="es-ES"/>
        </w:rPr>
        <w:t xml:space="preserve">en que, dada la finalidad con la cual se publica el informe de evaluación, el término fijado en </w:t>
      </w:r>
      <w:r w:rsidR="00337C0C">
        <w:rPr>
          <w:rFonts w:ascii="Arial" w:hAnsi="Arial" w:cs="Arial"/>
          <w:bCs/>
          <w:color w:val="000000"/>
          <w:sz w:val="22"/>
          <w:lang w:val="es-ES"/>
        </w:rPr>
        <w:t>el ordenamiento jurídico</w:t>
      </w:r>
      <w:r w:rsidR="00C37FDE">
        <w:rPr>
          <w:rFonts w:ascii="Arial" w:hAnsi="Arial" w:cs="Arial"/>
          <w:bCs/>
          <w:color w:val="000000"/>
          <w:sz w:val="22"/>
          <w:lang w:val="es-ES"/>
        </w:rPr>
        <w:t xml:space="preserve"> para su publicación en cada uno de las modalidades de selección </w:t>
      </w:r>
      <w:r w:rsidRPr="00913142">
        <w:rPr>
          <w:rFonts w:ascii="Arial" w:hAnsi="Arial" w:cs="Arial"/>
          <w:bCs/>
          <w:color w:val="000000"/>
          <w:sz w:val="22"/>
          <w:lang w:val="es-ES"/>
        </w:rPr>
        <w:t xml:space="preserve">es un tiempo mínimo, porque las entidades tienen la facultad de estructurar procesos con plazos mayores para </w:t>
      </w:r>
      <w:r w:rsidR="00337C0C">
        <w:rPr>
          <w:rFonts w:ascii="Arial" w:hAnsi="Arial" w:cs="Arial"/>
          <w:bCs/>
          <w:color w:val="000000"/>
          <w:sz w:val="22"/>
          <w:lang w:val="es-ES"/>
        </w:rPr>
        <w:t>dicha etapa</w:t>
      </w:r>
      <w:r w:rsidRPr="00913142">
        <w:rPr>
          <w:rFonts w:ascii="Arial" w:hAnsi="Arial" w:cs="Arial"/>
          <w:bCs/>
          <w:color w:val="000000"/>
          <w:sz w:val="22"/>
          <w:lang w:val="es-ES"/>
        </w:rPr>
        <w:t>, al no establecerse en la ley un</w:t>
      </w:r>
      <w:r w:rsidR="00C37FDE">
        <w:rPr>
          <w:rFonts w:ascii="Arial" w:hAnsi="Arial" w:cs="Arial"/>
          <w:bCs/>
          <w:color w:val="000000"/>
          <w:sz w:val="22"/>
          <w:lang w:val="es-ES"/>
        </w:rPr>
        <w:t xml:space="preserve"> tiempo máximo</w:t>
      </w:r>
      <w:r w:rsidR="0060546C">
        <w:rPr>
          <w:rFonts w:ascii="Arial" w:hAnsi="Arial" w:cs="Arial"/>
          <w:bCs/>
          <w:color w:val="000000"/>
          <w:sz w:val="22"/>
          <w:lang w:val="es-ES"/>
        </w:rPr>
        <w:t xml:space="preserve"> y en tanto se trata de un término fijado para garantizar la publicidad, la contradicción y la oportunidad, en igualdad de condiciones. </w:t>
      </w:r>
    </w:p>
    <w:p w14:paraId="2C4E6056" w14:textId="77777777" w:rsidR="00C37FDE" w:rsidRPr="00913142" w:rsidRDefault="00C37FDE" w:rsidP="00727D5D">
      <w:pPr>
        <w:tabs>
          <w:tab w:val="left" w:pos="709"/>
        </w:tabs>
        <w:spacing w:after="0"/>
        <w:ind w:firstLine="709"/>
        <w:rPr>
          <w:rFonts w:ascii="Arial" w:hAnsi="Arial" w:cs="Arial"/>
          <w:bCs/>
          <w:color w:val="000000"/>
          <w:sz w:val="22"/>
          <w:lang w:val="es-ES"/>
        </w:rPr>
      </w:pPr>
    </w:p>
    <w:p w14:paraId="533EFAEB" w14:textId="208F353B" w:rsidR="008715BF" w:rsidRDefault="00810E0B" w:rsidP="00234034">
      <w:pPr>
        <w:tabs>
          <w:tab w:val="left" w:pos="426"/>
        </w:tabs>
        <w:spacing w:after="0"/>
        <w:rPr>
          <w:rFonts w:ascii="Arial" w:hAnsi="Arial" w:cs="Arial"/>
          <w:b/>
          <w:color w:val="000000"/>
          <w:sz w:val="22"/>
          <w:lang w:val="es-CO"/>
        </w:rPr>
      </w:pPr>
      <w:r>
        <w:rPr>
          <w:rFonts w:ascii="Arial" w:hAnsi="Arial" w:cs="Arial"/>
          <w:b/>
          <w:color w:val="000000"/>
          <w:sz w:val="22"/>
          <w:lang w:val="es-CO"/>
        </w:rPr>
        <w:t xml:space="preserve">2.2. </w:t>
      </w:r>
      <w:r w:rsidR="008715BF" w:rsidRPr="00D54A71">
        <w:rPr>
          <w:rFonts w:ascii="Arial" w:hAnsi="Arial" w:cs="Arial"/>
          <w:b/>
          <w:color w:val="000000"/>
          <w:sz w:val="22"/>
          <w:lang w:val="es-CO"/>
        </w:rPr>
        <w:t>Regla</w:t>
      </w:r>
      <w:r w:rsidR="00D54A71" w:rsidRPr="00D54A71">
        <w:rPr>
          <w:rFonts w:ascii="Arial" w:hAnsi="Arial" w:cs="Arial"/>
          <w:b/>
          <w:color w:val="000000"/>
          <w:sz w:val="22"/>
          <w:lang w:val="es-CO"/>
        </w:rPr>
        <w:t>s generales sobre el cómputo del término de traslado del informe de evaluación de las ofertas</w:t>
      </w:r>
    </w:p>
    <w:p w14:paraId="65E35882" w14:textId="77777777" w:rsidR="008715BF" w:rsidRDefault="008715BF" w:rsidP="00F34232">
      <w:pPr>
        <w:tabs>
          <w:tab w:val="left" w:pos="426"/>
        </w:tabs>
        <w:spacing w:after="0"/>
        <w:rPr>
          <w:rFonts w:ascii="Arial" w:hAnsi="Arial" w:cs="Arial"/>
          <w:b/>
          <w:color w:val="000000"/>
          <w:sz w:val="22"/>
          <w:lang w:val="es-CO"/>
        </w:rPr>
      </w:pPr>
    </w:p>
    <w:p w14:paraId="4AA831D8" w14:textId="4B0E1AFC" w:rsidR="00BF5851" w:rsidRPr="00042D57" w:rsidRDefault="00C14BEC" w:rsidP="00042D57">
      <w:pPr>
        <w:tabs>
          <w:tab w:val="left" w:pos="0"/>
        </w:tabs>
        <w:spacing w:after="120"/>
        <w:rPr>
          <w:rFonts w:ascii="Arial" w:hAnsi="Arial" w:cs="Arial"/>
          <w:bCs/>
          <w:iCs/>
          <w:sz w:val="22"/>
          <w:szCs w:val="22"/>
          <w:lang w:eastAsia="en-US"/>
        </w:rPr>
      </w:pPr>
      <w:bookmarkStart w:id="1" w:name="_Hlk63879101"/>
      <w:r w:rsidRPr="00C14BEC">
        <w:rPr>
          <w:rFonts w:ascii="Arial" w:hAnsi="Arial" w:cs="Arial"/>
          <w:bCs/>
          <w:sz w:val="22"/>
          <w:szCs w:val="22"/>
          <w:lang w:val="es-ES" w:eastAsia="en-US"/>
        </w:rPr>
        <w:t xml:space="preserve">El </w:t>
      </w:r>
      <w:r>
        <w:rPr>
          <w:rFonts w:ascii="Arial" w:hAnsi="Arial" w:cs="Arial"/>
          <w:bCs/>
          <w:sz w:val="22"/>
          <w:szCs w:val="22"/>
          <w:lang w:val="es-ES" w:eastAsia="en-US"/>
        </w:rPr>
        <w:t>artículo 30 de la Ley 80 de 1993, modificado por la Ley 1150 de 2007 y por el Decreto 019 del 2012, consagra las reglas</w:t>
      </w:r>
      <w:r w:rsidR="00BF5851">
        <w:rPr>
          <w:rFonts w:ascii="Arial" w:hAnsi="Arial" w:cs="Arial"/>
          <w:bCs/>
          <w:sz w:val="22"/>
          <w:szCs w:val="22"/>
          <w:lang w:val="es-ES" w:eastAsia="en-US"/>
        </w:rPr>
        <w:t xml:space="preserve"> generales </w:t>
      </w:r>
      <w:r>
        <w:rPr>
          <w:rFonts w:ascii="Arial" w:hAnsi="Arial" w:cs="Arial"/>
          <w:bCs/>
          <w:sz w:val="22"/>
          <w:szCs w:val="22"/>
          <w:lang w:val="es-ES" w:eastAsia="en-US"/>
        </w:rPr>
        <w:t>conforme a las cuales debe</w:t>
      </w:r>
      <w:r w:rsidR="00BF5851">
        <w:rPr>
          <w:rFonts w:ascii="Arial" w:hAnsi="Arial" w:cs="Arial"/>
          <w:bCs/>
          <w:sz w:val="22"/>
          <w:szCs w:val="22"/>
          <w:lang w:val="es-ES" w:eastAsia="en-US"/>
        </w:rPr>
        <w:t>n llevarse a cabo los procesos de selección de los contratistas del Estado</w:t>
      </w:r>
      <w:r w:rsidR="00317E3C">
        <w:rPr>
          <w:rFonts w:ascii="Arial" w:hAnsi="Arial" w:cs="Arial"/>
          <w:bCs/>
          <w:sz w:val="22"/>
          <w:szCs w:val="22"/>
          <w:lang w:val="es-ES" w:eastAsia="en-US"/>
        </w:rPr>
        <w:t>, particularmente, para la licitación pública</w:t>
      </w:r>
      <w:r w:rsidR="00BF5851">
        <w:rPr>
          <w:rFonts w:ascii="Arial" w:hAnsi="Arial" w:cs="Arial"/>
          <w:bCs/>
          <w:sz w:val="22"/>
          <w:szCs w:val="22"/>
          <w:lang w:val="es-ES" w:eastAsia="en-US"/>
        </w:rPr>
        <w:t xml:space="preserve">. </w:t>
      </w:r>
      <w:r w:rsidR="00317E3C">
        <w:rPr>
          <w:rFonts w:ascii="Arial" w:hAnsi="Arial" w:cs="Arial"/>
          <w:bCs/>
          <w:sz w:val="22"/>
          <w:szCs w:val="22"/>
          <w:lang w:val="es-ES" w:eastAsia="en-US"/>
        </w:rPr>
        <w:t>De esta manera, el</w:t>
      </w:r>
      <w:r w:rsidR="00BF5851">
        <w:rPr>
          <w:rFonts w:ascii="Arial" w:hAnsi="Arial" w:cs="Arial"/>
          <w:bCs/>
          <w:sz w:val="22"/>
          <w:szCs w:val="22"/>
          <w:lang w:val="es-ES" w:eastAsia="en-US"/>
        </w:rPr>
        <w:t xml:space="preserve"> numeral 8° </w:t>
      </w:r>
      <w:r w:rsidR="00317E3C">
        <w:rPr>
          <w:rFonts w:ascii="Arial" w:hAnsi="Arial" w:cs="Arial"/>
          <w:bCs/>
          <w:sz w:val="22"/>
          <w:szCs w:val="22"/>
          <w:lang w:val="es-ES" w:eastAsia="en-US"/>
        </w:rPr>
        <w:t>establece</w:t>
      </w:r>
      <w:r w:rsidR="00BF5851">
        <w:rPr>
          <w:rFonts w:ascii="Arial" w:hAnsi="Arial" w:cs="Arial"/>
          <w:bCs/>
          <w:sz w:val="22"/>
          <w:szCs w:val="22"/>
          <w:lang w:val="es-ES" w:eastAsia="en-US"/>
        </w:rPr>
        <w:t xml:space="preserve"> que</w:t>
      </w:r>
      <w:r w:rsidR="00317E3C">
        <w:rPr>
          <w:rFonts w:ascii="Arial" w:hAnsi="Arial" w:cs="Arial"/>
          <w:bCs/>
          <w:sz w:val="22"/>
          <w:szCs w:val="22"/>
          <w:lang w:val="es-ES" w:eastAsia="en-US"/>
        </w:rPr>
        <w:t xml:space="preserve"> </w:t>
      </w:r>
      <w:r w:rsidR="00BF5851" w:rsidRPr="00BF5851">
        <w:rPr>
          <w:rFonts w:ascii="Arial" w:hAnsi="Arial" w:cs="Arial"/>
          <w:bCs/>
          <w:sz w:val="22"/>
          <w:szCs w:val="22"/>
          <w:lang w:val="es-ES" w:eastAsia="en-US"/>
        </w:rPr>
        <w:t>«</w:t>
      </w:r>
      <w:r w:rsidR="00BF5851" w:rsidRPr="00BF5851">
        <w:rPr>
          <w:rFonts w:ascii="Arial" w:hAnsi="Arial" w:cs="Arial"/>
          <w:bCs/>
          <w:i/>
          <w:sz w:val="22"/>
          <w:szCs w:val="22"/>
          <w:lang w:val="es-ES" w:eastAsia="en-US"/>
        </w:rPr>
        <w:t>l</w:t>
      </w:r>
      <w:r w:rsidR="00BF5851" w:rsidRPr="00BF5851">
        <w:rPr>
          <w:rFonts w:ascii="Arial" w:hAnsi="Arial" w:cs="Arial"/>
          <w:bCs/>
          <w:i/>
          <w:sz w:val="22"/>
          <w:szCs w:val="22"/>
          <w:lang w:eastAsia="en-US"/>
        </w:rPr>
        <w:t>os informes de evaluación de las propuestas permanecerán en la secretaría de la entidad por un término de cinco (5) días hábiles para que los oferentes presenten las observaciones que estimen pertinentes. En ejercicio de esta facultad, los oferentes no podrán completar, adicionar, modificar o mejorar sus propuestas</w:t>
      </w:r>
      <w:r w:rsidR="00BF5851" w:rsidRPr="00BF5851">
        <w:rPr>
          <w:rFonts w:ascii="Arial" w:hAnsi="Arial" w:cs="Arial"/>
          <w:bCs/>
          <w:i/>
          <w:sz w:val="22"/>
          <w:szCs w:val="22"/>
          <w:lang w:val="es-ES" w:eastAsia="en-US"/>
        </w:rPr>
        <w:t>»</w:t>
      </w:r>
      <w:r w:rsidR="00BF5851" w:rsidRPr="00BF5851">
        <w:rPr>
          <w:rFonts w:ascii="Arial" w:hAnsi="Arial" w:cs="Arial"/>
          <w:bCs/>
          <w:i/>
          <w:sz w:val="22"/>
          <w:szCs w:val="22"/>
          <w:lang w:eastAsia="en-US"/>
        </w:rPr>
        <w:t>.</w:t>
      </w:r>
      <w:r w:rsidR="00317E3C">
        <w:rPr>
          <w:rFonts w:ascii="Arial" w:hAnsi="Arial" w:cs="Arial"/>
          <w:bCs/>
          <w:i/>
          <w:sz w:val="22"/>
          <w:szCs w:val="22"/>
          <w:lang w:eastAsia="en-US"/>
        </w:rPr>
        <w:t xml:space="preserve"> </w:t>
      </w:r>
      <w:r w:rsidR="00317E3C">
        <w:rPr>
          <w:rFonts w:ascii="Arial" w:hAnsi="Arial" w:cs="Arial"/>
          <w:bCs/>
          <w:iCs/>
          <w:sz w:val="22"/>
          <w:szCs w:val="22"/>
          <w:lang w:eastAsia="en-US"/>
        </w:rPr>
        <w:t>En similar sentido, el parágrafo 3 del artículo 30 de la Ley 80 de 1993, que aplica para los procesos de licitación pública para seleccionar a contratistas de obra, establece en el inciso segundo que: «</w:t>
      </w:r>
      <w:r w:rsidR="00317E3C" w:rsidRPr="00042D57">
        <w:rPr>
          <w:rFonts w:ascii="Arial" w:hAnsi="Arial" w:cs="Arial"/>
          <w:bCs/>
          <w:iCs/>
          <w:sz w:val="22"/>
          <w:szCs w:val="22"/>
          <w:lang w:eastAsia="en-US"/>
        </w:rPr>
        <w:t>En estos procesos el informe permanecerá publicado en el Secop durante cinco (5) días hábiles, término hasta el cual los proponentes podrán hacer las observaciones que consideren y entregar los documentos y la información solicitada por la entidad estatal</w:t>
      </w:r>
      <w:r w:rsidR="00317E3C">
        <w:rPr>
          <w:rFonts w:ascii="Arial" w:hAnsi="Arial" w:cs="Arial"/>
          <w:bCs/>
          <w:iCs/>
          <w:sz w:val="22"/>
          <w:szCs w:val="22"/>
          <w:lang w:eastAsia="en-US"/>
        </w:rPr>
        <w:t xml:space="preserve"> […]».</w:t>
      </w:r>
    </w:p>
    <w:p w14:paraId="6B5C4DB8" w14:textId="52FC4734" w:rsidR="00485B6A" w:rsidRDefault="00C14BEC" w:rsidP="00042D57">
      <w:pPr>
        <w:tabs>
          <w:tab w:val="left" w:pos="0"/>
        </w:tabs>
        <w:spacing w:after="120"/>
        <w:rPr>
          <w:rFonts w:ascii="Arial" w:hAnsi="Arial" w:cs="Arial"/>
          <w:bCs/>
          <w:sz w:val="22"/>
          <w:szCs w:val="22"/>
          <w:lang w:val="es-ES" w:eastAsia="en-US"/>
        </w:rPr>
      </w:pPr>
      <w:r w:rsidRPr="00C14BEC">
        <w:rPr>
          <w:rFonts w:ascii="Arial" w:hAnsi="Arial" w:cs="Arial"/>
          <w:bCs/>
          <w:sz w:val="22"/>
          <w:szCs w:val="22"/>
          <w:lang w:val="es-ES" w:eastAsia="en-US"/>
        </w:rPr>
        <w:tab/>
        <w:t xml:space="preserve">Por </w:t>
      </w:r>
      <w:r w:rsidR="00EC5831">
        <w:rPr>
          <w:rFonts w:ascii="Arial" w:hAnsi="Arial" w:cs="Arial"/>
          <w:bCs/>
          <w:sz w:val="22"/>
          <w:szCs w:val="22"/>
          <w:lang w:val="es-ES" w:eastAsia="en-US"/>
        </w:rPr>
        <w:t xml:space="preserve">su parte, los </w:t>
      </w:r>
      <w:r w:rsidRPr="00C14BEC">
        <w:rPr>
          <w:rFonts w:ascii="Arial" w:hAnsi="Arial" w:cs="Arial"/>
          <w:bCs/>
          <w:sz w:val="22"/>
          <w:szCs w:val="22"/>
          <w:lang w:val="es-ES" w:eastAsia="en-US"/>
        </w:rPr>
        <w:t>artículo</w:t>
      </w:r>
      <w:r w:rsidR="00EC5831">
        <w:rPr>
          <w:rFonts w:ascii="Arial" w:hAnsi="Arial" w:cs="Arial"/>
          <w:bCs/>
          <w:sz w:val="22"/>
          <w:szCs w:val="22"/>
          <w:lang w:val="es-ES" w:eastAsia="en-US"/>
        </w:rPr>
        <w:t>s</w:t>
      </w:r>
      <w:r w:rsidRPr="00C14BEC">
        <w:rPr>
          <w:rFonts w:ascii="Arial" w:hAnsi="Arial" w:cs="Arial"/>
          <w:bCs/>
          <w:sz w:val="22"/>
          <w:szCs w:val="22"/>
          <w:lang w:val="es-ES" w:eastAsia="en-US"/>
        </w:rPr>
        <w:t xml:space="preserve"> 2.2.1.2.1.</w:t>
      </w:r>
      <w:r w:rsidR="00A01EAA">
        <w:rPr>
          <w:rFonts w:ascii="Arial" w:hAnsi="Arial" w:cs="Arial"/>
          <w:bCs/>
          <w:sz w:val="22"/>
          <w:szCs w:val="22"/>
          <w:lang w:val="es-ES" w:eastAsia="en-US"/>
        </w:rPr>
        <w:t xml:space="preserve">2.20., numeral 4, y 2.2.1.2.1.3.2., numeral 2, </w:t>
      </w:r>
      <w:r w:rsidRPr="00C14BEC">
        <w:rPr>
          <w:rFonts w:ascii="Arial" w:hAnsi="Arial" w:cs="Arial"/>
          <w:bCs/>
          <w:sz w:val="22"/>
          <w:szCs w:val="22"/>
          <w:lang w:val="es-ES" w:eastAsia="en-US"/>
        </w:rPr>
        <w:t>del Decreto 1082 de 2015, al reglamentar el procedimiento</w:t>
      </w:r>
      <w:r w:rsidR="00A01EAA">
        <w:rPr>
          <w:rFonts w:ascii="Arial" w:hAnsi="Arial" w:cs="Arial"/>
          <w:bCs/>
          <w:sz w:val="22"/>
          <w:szCs w:val="22"/>
          <w:lang w:val="es-ES" w:eastAsia="en-US"/>
        </w:rPr>
        <w:t xml:space="preserve"> que debe llevarse a cabo para las modalidades de selección abreviada </w:t>
      </w:r>
      <w:r w:rsidR="005955A8">
        <w:rPr>
          <w:rFonts w:ascii="Arial" w:hAnsi="Arial" w:cs="Arial"/>
          <w:bCs/>
          <w:sz w:val="22"/>
          <w:szCs w:val="22"/>
          <w:lang w:val="es-ES" w:eastAsia="en-US"/>
        </w:rPr>
        <w:t xml:space="preserve">de menor cuantía </w:t>
      </w:r>
      <w:r w:rsidR="00A01EAA">
        <w:rPr>
          <w:rFonts w:ascii="Arial" w:hAnsi="Arial" w:cs="Arial"/>
          <w:bCs/>
          <w:sz w:val="22"/>
          <w:szCs w:val="22"/>
          <w:lang w:val="es-ES" w:eastAsia="en-US"/>
        </w:rPr>
        <w:t>y de concurso de méritos</w:t>
      </w:r>
      <w:r w:rsidRPr="00C14BEC">
        <w:rPr>
          <w:rFonts w:ascii="Arial" w:hAnsi="Arial" w:cs="Arial"/>
          <w:bCs/>
          <w:sz w:val="22"/>
          <w:szCs w:val="22"/>
          <w:lang w:val="es-ES" w:eastAsia="en-US"/>
        </w:rPr>
        <w:t>, establece</w:t>
      </w:r>
      <w:r w:rsidR="005955A8">
        <w:rPr>
          <w:rFonts w:ascii="Arial" w:hAnsi="Arial" w:cs="Arial"/>
          <w:bCs/>
          <w:sz w:val="22"/>
          <w:szCs w:val="22"/>
          <w:lang w:val="es-ES" w:eastAsia="en-US"/>
        </w:rPr>
        <w:t>n, respectivamente,</w:t>
      </w:r>
      <w:r w:rsidR="006D768C">
        <w:rPr>
          <w:rFonts w:ascii="Arial" w:hAnsi="Arial" w:cs="Arial"/>
          <w:bCs/>
          <w:sz w:val="22"/>
          <w:szCs w:val="22"/>
          <w:lang w:val="es-ES" w:eastAsia="en-US"/>
        </w:rPr>
        <w:t xml:space="preserve"> que</w:t>
      </w:r>
      <w:r w:rsidR="00A01EAA">
        <w:rPr>
          <w:rFonts w:ascii="Arial" w:hAnsi="Arial" w:cs="Arial"/>
          <w:bCs/>
          <w:sz w:val="22"/>
          <w:szCs w:val="22"/>
          <w:lang w:val="es-ES" w:eastAsia="en-US"/>
        </w:rPr>
        <w:t xml:space="preserve"> el informe de evaluación debe publicarse por el término de 3 días </w:t>
      </w:r>
      <w:r w:rsidR="00485B6A">
        <w:rPr>
          <w:rFonts w:ascii="Arial" w:hAnsi="Arial" w:cs="Arial"/>
          <w:bCs/>
          <w:sz w:val="22"/>
          <w:szCs w:val="22"/>
          <w:lang w:val="es-ES" w:eastAsia="en-US"/>
        </w:rPr>
        <w:t>hábiles</w:t>
      </w:r>
      <w:r w:rsidR="00A01EAA">
        <w:rPr>
          <w:rFonts w:ascii="Arial" w:hAnsi="Arial" w:cs="Arial"/>
          <w:bCs/>
          <w:sz w:val="22"/>
          <w:szCs w:val="22"/>
          <w:lang w:val="es-ES" w:eastAsia="en-US"/>
        </w:rPr>
        <w:t>.</w:t>
      </w:r>
    </w:p>
    <w:p w14:paraId="5492EC97" w14:textId="4CD866E0" w:rsidR="006D768C" w:rsidRDefault="00C14BEC" w:rsidP="00042D57">
      <w:pPr>
        <w:tabs>
          <w:tab w:val="left" w:pos="0"/>
        </w:tabs>
        <w:spacing w:after="120"/>
        <w:rPr>
          <w:rFonts w:ascii="Arial" w:hAnsi="Arial" w:cs="Arial"/>
          <w:bCs/>
          <w:sz w:val="22"/>
          <w:szCs w:val="22"/>
          <w:lang w:val="es-ES" w:eastAsia="en-US"/>
        </w:rPr>
      </w:pPr>
      <w:r w:rsidRPr="00C14BEC">
        <w:rPr>
          <w:rFonts w:ascii="Arial" w:hAnsi="Arial" w:cs="Arial"/>
          <w:bCs/>
          <w:sz w:val="22"/>
          <w:szCs w:val="22"/>
          <w:lang w:val="es-ES" w:eastAsia="en-US"/>
        </w:rPr>
        <w:tab/>
        <w:t xml:space="preserve"> </w:t>
      </w:r>
      <w:r w:rsidR="006D768C">
        <w:rPr>
          <w:rFonts w:ascii="Arial" w:hAnsi="Arial" w:cs="Arial"/>
          <w:bCs/>
          <w:sz w:val="22"/>
          <w:szCs w:val="22"/>
          <w:lang w:val="es-ES" w:eastAsia="en-US"/>
        </w:rPr>
        <w:t xml:space="preserve">Así las cosas, conforme </w:t>
      </w:r>
      <w:r w:rsidR="005955A8">
        <w:rPr>
          <w:rFonts w:ascii="Arial" w:hAnsi="Arial" w:cs="Arial"/>
          <w:bCs/>
          <w:sz w:val="22"/>
          <w:szCs w:val="22"/>
          <w:lang w:val="es-ES" w:eastAsia="en-US"/>
        </w:rPr>
        <w:t>con</w:t>
      </w:r>
      <w:r w:rsidR="006D768C">
        <w:rPr>
          <w:rFonts w:ascii="Arial" w:hAnsi="Arial" w:cs="Arial"/>
          <w:bCs/>
          <w:sz w:val="22"/>
          <w:szCs w:val="22"/>
          <w:lang w:val="es-ES" w:eastAsia="en-US"/>
        </w:rPr>
        <w:t xml:space="preserve"> tales disposiciones, el informe de evaluación de la licitación pública deberá publicarse por 5 días hábiles, al tiempo que, el correspondiente a los procesos de selección abreviada de menor cuantía y de concurso de méritos, deberá </w:t>
      </w:r>
      <w:r w:rsidR="006D768C">
        <w:rPr>
          <w:rFonts w:ascii="Arial" w:hAnsi="Arial" w:cs="Arial"/>
          <w:bCs/>
          <w:sz w:val="22"/>
          <w:szCs w:val="22"/>
          <w:lang w:val="es-ES" w:eastAsia="en-US"/>
        </w:rPr>
        <w:lastRenderedPageBreak/>
        <w:t xml:space="preserve">publicarse por 3 días hábiles. </w:t>
      </w:r>
      <w:r w:rsidR="00C84606">
        <w:rPr>
          <w:rFonts w:ascii="Arial" w:hAnsi="Arial" w:cs="Arial"/>
          <w:bCs/>
          <w:sz w:val="22"/>
          <w:szCs w:val="22"/>
          <w:lang w:val="es-ES" w:eastAsia="en-US"/>
        </w:rPr>
        <w:t>Así se reconoce en los numerales 6.1 y 6.5 de la Circula</w:t>
      </w:r>
      <w:r w:rsidR="005955A8">
        <w:rPr>
          <w:rFonts w:ascii="Arial" w:hAnsi="Arial" w:cs="Arial"/>
          <w:bCs/>
          <w:sz w:val="22"/>
          <w:szCs w:val="22"/>
          <w:lang w:val="es-ES" w:eastAsia="en-US"/>
        </w:rPr>
        <w:t>r</w:t>
      </w:r>
      <w:r w:rsidR="00C84606">
        <w:rPr>
          <w:rFonts w:ascii="Arial" w:hAnsi="Arial" w:cs="Arial"/>
          <w:bCs/>
          <w:sz w:val="22"/>
          <w:szCs w:val="22"/>
          <w:lang w:val="es-ES" w:eastAsia="en-US"/>
        </w:rPr>
        <w:t xml:space="preserve"> Única Externa proferida por esta Agencia</w:t>
      </w:r>
      <w:r w:rsidR="005955A8">
        <w:rPr>
          <w:rStyle w:val="Refdenotaalpie"/>
          <w:rFonts w:ascii="Arial" w:hAnsi="Arial" w:cs="Arial"/>
          <w:bCs/>
          <w:sz w:val="22"/>
          <w:szCs w:val="22"/>
          <w:lang w:val="es-ES" w:eastAsia="en-US"/>
        </w:rPr>
        <w:footnoteReference w:id="5"/>
      </w:r>
      <w:r w:rsidR="00C84606">
        <w:rPr>
          <w:rFonts w:ascii="Arial" w:hAnsi="Arial" w:cs="Arial"/>
          <w:bCs/>
          <w:sz w:val="22"/>
          <w:szCs w:val="22"/>
          <w:lang w:val="es-ES" w:eastAsia="en-US"/>
        </w:rPr>
        <w:t>.</w:t>
      </w:r>
    </w:p>
    <w:p w14:paraId="308AC3DE" w14:textId="16DC85FC" w:rsidR="00C14BEC" w:rsidRPr="00C14BEC" w:rsidRDefault="001A57DF" w:rsidP="00042D57">
      <w:pPr>
        <w:tabs>
          <w:tab w:val="left" w:pos="0"/>
        </w:tabs>
        <w:spacing w:after="120"/>
        <w:ind w:firstLine="709"/>
        <w:rPr>
          <w:rFonts w:ascii="Arial" w:eastAsia="Batang" w:hAnsi="Arial" w:cs="Arial"/>
          <w:sz w:val="21"/>
          <w:szCs w:val="21"/>
          <w:lang w:eastAsia="en-US"/>
        </w:rPr>
      </w:pPr>
      <w:r>
        <w:rPr>
          <w:rFonts w:ascii="Arial" w:hAnsi="Arial" w:cs="Arial"/>
          <w:bCs/>
          <w:sz w:val="22"/>
          <w:szCs w:val="22"/>
          <w:lang w:val="es-ES" w:eastAsia="en-US"/>
        </w:rPr>
        <w:t>Ahora bien, n</w:t>
      </w:r>
      <w:r w:rsidR="00485B6A">
        <w:rPr>
          <w:rFonts w:ascii="Arial" w:hAnsi="Arial" w:cs="Arial"/>
          <w:bCs/>
          <w:sz w:val="22"/>
          <w:szCs w:val="22"/>
          <w:lang w:val="es-ES" w:eastAsia="en-US"/>
        </w:rPr>
        <w:t xml:space="preserve">inguna de las normas </w:t>
      </w:r>
      <w:r w:rsidR="005955A8">
        <w:rPr>
          <w:rFonts w:ascii="Arial" w:hAnsi="Arial" w:cs="Arial"/>
          <w:bCs/>
          <w:sz w:val="22"/>
          <w:szCs w:val="22"/>
          <w:lang w:val="es-ES" w:eastAsia="en-US"/>
        </w:rPr>
        <w:t xml:space="preserve">referidas </w:t>
      </w:r>
      <w:r w:rsidR="00485B6A">
        <w:rPr>
          <w:rFonts w:ascii="Arial" w:hAnsi="Arial" w:cs="Arial"/>
          <w:bCs/>
          <w:sz w:val="22"/>
          <w:szCs w:val="22"/>
          <w:lang w:val="es-ES" w:eastAsia="en-US"/>
        </w:rPr>
        <w:t>establece</w:t>
      </w:r>
      <w:r w:rsidR="007F04C1">
        <w:rPr>
          <w:rFonts w:ascii="Arial" w:hAnsi="Arial" w:cs="Arial"/>
          <w:bCs/>
          <w:sz w:val="22"/>
          <w:szCs w:val="22"/>
          <w:lang w:val="es-ES" w:eastAsia="en-US"/>
        </w:rPr>
        <w:t xml:space="preserve"> </w:t>
      </w:r>
      <w:r>
        <w:rPr>
          <w:rFonts w:ascii="Arial" w:hAnsi="Arial" w:cs="Arial"/>
          <w:bCs/>
          <w:sz w:val="22"/>
          <w:szCs w:val="22"/>
          <w:lang w:val="es-ES" w:eastAsia="en-US"/>
        </w:rPr>
        <w:t>reglas particulares</w:t>
      </w:r>
      <w:r w:rsidR="007F04C1">
        <w:rPr>
          <w:rFonts w:ascii="Arial" w:hAnsi="Arial" w:cs="Arial"/>
          <w:bCs/>
          <w:sz w:val="22"/>
          <w:szCs w:val="22"/>
          <w:lang w:val="es-ES" w:eastAsia="en-US"/>
        </w:rPr>
        <w:t xml:space="preserve"> conforme </w:t>
      </w:r>
      <w:r>
        <w:rPr>
          <w:rFonts w:ascii="Arial" w:hAnsi="Arial" w:cs="Arial"/>
          <w:bCs/>
          <w:sz w:val="22"/>
          <w:szCs w:val="22"/>
          <w:lang w:val="es-ES" w:eastAsia="en-US"/>
        </w:rPr>
        <w:t>con</w:t>
      </w:r>
      <w:r w:rsidR="007F04C1">
        <w:rPr>
          <w:rFonts w:ascii="Arial" w:hAnsi="Arial" w:cs="Arial"/>
          <w:bCs/>
          <w:sz w:val="22"/>
          <w:szCs w:val="22"/>
          <w:lang w:val="es-ES" w:eastAsia="en-US"/>
        </w:rPr>
        <w:t xml:space="preserve"> las cuales </w:t>
      </w:r>
      <w:r>
        <w:rPr>
          <w:rFonts w:ascii="Arial" w:hAnsi="Arial" w:cs="Arial"/>
          <w:bCs/>
          <w:sz w:val="22"/>
          <w:szCs w:val="22"/>
          <w:lang w:val="es-ES" w:eastAsia="en-US"/>
        </w:rPr>
        <w:t xml:space="preserve">debe realizarse el cómputo de </w:t>
      </w:r>
      <w:r w:rsidR="007F04C1">
        <w:rPr>
          <w:rFonts w:ascii="Arial" w:hAnsi="Arial" w:cs="Arial"/>
          <w:bCs/>
          <w:sz w:val="22"/>
          <w:szCs w:val="22"/>
          <w:lang w:val="es-ES" w:eastAsia="en-US"/>
        </w:rPr>
        <w:t>dichos t</w:t>
      </w:r>
      <w:r w:rsidR="00485B6A">
        <w:rPr>
          <w:rFonts w:ascii="Arial" w:hAnsi="Arial" w:cs="Arial"/>
          <w:bCs/>
          <w:sz w:val="22"/>
          <w:szCs w:val="22"/>
          <w:lang w:val="es-ES" w:eastAsia="en-US"/>
        </w:rPr>
        <w:t xml:space="preserve">érminos, por lo cual, para </w:t>
      </w:r>
      <w:r>
        <w:rPr>
          <w:rFonts w:ascii="Arial" w:hAnsi="Arial" w:cs="Arial"/>
          <w:bCs/>
          <w:sz w:val="22"/>
          <w:szCs w:val="22"/>
          <w:lang w:val="es-ES" w:eastAsia="en-US"/>
        </w:rPr>
        <w:t>ello debe acudirse</w:t>
      </w:r>
      <w:r w:rsidR="00485B6A">
        <w:rPr>
          <w:rFonts w:ascii="Arial" w:hAnsi="Arial" w:cs="Arial"/>
          <w:bCs/>
          <w:sz w:val="22"/>
          <w:szCs w:val="22"/>
          <w:lang w:val="es-ES" w:eastAsia="en-US"/>
        </w:rPr>
        <w:t xml:space="preserve"> a la legislación vigente que regula la materia.</w:t>
      </w:r>
    </w:p>
    <w:p w14:paraId="0FF79F7B" w14:textId="576614E5" w:rsidR="00530816" w:rsidRDefault="00C14BEC" w:rsidP="00042D57">
      <w:pPr>
        <w:tabs>
          <w:tab w:val="left" w:pos="0"/>
        </w:tabs>
        <w:spacing w:after="120"/>
        <w:rPr>
          <w:rFonts w:ascii="Arial" w:hAnsi="Arial" w:cs="Arial"/>
          <w:bCs/>
          <w:sz w:val="22"/>
          <w:szCs w:val="22"/>
          <w:lang w:val="es-ES" w:eastAsia="en-US"/>
        </w:rPr>
      </w:pPr>
      <w:r w:rsidRPr="00C14BEC">
        <w:rPr>
          <w:rFonts w:ascii="Arial" w:hAnsi="Arial" w:cs="Arial"/>
          <w:bCs/>
          <w:sz w:val="22"/>
          <w:szCs w:val="22"/>
          <w:lang w:val="es-ES" w:eastAsia="en-US"/>
        </w:rPr>
        <w:tab/>
      </w:r>
      <w:r w:rsidR="00485B6A">
        <w:rPr>
          <w:rFonts w:ascii="Arial" w:hAnsi="Arial" w:cs="Arial"/>
          <w:bCs/>
          <w:sz w:val="22"/>
          <w:szCs w:val="22"/>
          <w:lang w:val="es-ES" w:eastAsia="en-US"/>
        </w:rPr>
        <w:t>Para el efecto, resulta relevante, en primer lugar, determinar el concepto de día hábil, respecto del cual no existe definición legal expresa, de modo que, ante l</w:t>
      </w:r>
      <w:r w:rsidR="00485B6A" w:rsidRPr="00485B6A">
        <w:rPr>
          <w:rFonts w:ascii="Arial" w:hAnsi="Arial" w:cs="Arial"/>
          <w:bCs/>
          <w:sz w:val="22"/>
          <w:szCs w:val="22"/>
          <w:lang w:val="es-ES" w:eastAsia="en-US"/>
        </w:rPr>
        <w:t>a ausencia de</w:t>
      </w:r>
      <w:r w:rsidR="006D768C">
        <w:rPr>
          <w:rFonts w:ascii="Arial" w:hAnsi="Arial" w:cs="Arial"/>
          <w:bCs/>
          <w:sz w:val="22"/>
          <w:szCs w:val="22"/>
          <w:lang w:val="es-ES" w:eastAsia="en-US"/>
        </w:rPr>
        <w:t xml:space="preserve"> ésta</w:t>
      </w:r>
      <w:r w:rsidR="00485B6A">
        <w:rPr>
          <w:rFonts w:ascii="Arial" w:hAnsi="Arial" w:cs="Arial"/>
          <w:bCs/>
          <w:sz w:val="22"/>
          <w:szCs w:val="22"/>
          <w:lang w:val="es-ES" w:eastAsia="en-US"/>
        </w:rPr>
        <w:t xml:space="preserve"> es procedente </w:t>
      </w:r>
      <w:r w:rsidR="00485B6A" w:rsidRPr="00485B6A">
        <w:rPr>
          <w:rFonts w:ascii="Arial" w:hAnsi="Arial" w:cs="Arial"/>
          <w:bCs/>
          <w:sz w:val="22"/>
          <w:szCs w:val="22"/>
          <w:lang w:val="es-ES" w:eastAsia="en-US"/>
        </w:rPr>
        <w:t xml:space="preserve">acudir al sentido natural y obvio de la palabra hábil, </w:t>
      </w:r>
      <w:r w:rsidR="00485B6A">
        <w:rPr>
          <w:rFonts w:ascii="Arial" w:hAnsi="Arial" w:cs="Arial"/>
          <w:bCs/>
          <w:sz w:val="22"/>
          <w:szCs w:val="22"/>
          <w:lang w:val="es-ES" w:eastAsia="en-US"/>
        </w:rPr>
        <w:t xml:space="preserve">sobre la cual se encuentran </w:t>
      </w:r>
      <w:r w:rsidR="006354A9">
        <w:rPr>
          <w:rFonts w:ascii="Arial" w:hAnsi="Arial" w:cs="Arial"/>
          <w:bCs/>
          <w:sz w:val="22"/>
          <w:szCs w:val="22"/>
          <w:lang w:val="es-ES" w:eastAsia="en-US"/>
        </w:rPr>
        <w:t>las siguientes</w:t>
      </w:r>
      <w:r w:rsidR="00485B6A" w:rsidRPr="00485B6A">
        <w:rPr>
          <w:rFonts w:ascii="Arial" w:hAnsi="Arial" w:cs="Arial"/>
          <w:bCs/>
          <w:sz w:val="22"/>
          <w:szCs w:val="22"/>
          <w:lang w:val="es-ES" w:eastAsia="en-US"/>
        </w:rPr>
        <w:t xml:space="preserve"> acepciones «1. adj. Capaz de realizar con éxito una tarea manual. 2. adj. Dotado del talento para actuar adecuadamente o lograr su objetivo. 3. adj. Propio de una persona hábil. 4. adj. Apto o adecuado para algo. 5. adj. Dicho de un período de tiempo: Establecido como válido o computable para realizar una actividad, especialmente administrativa o judicial»</w:t>
      </w:r>
      <w:r w:rsidR="00485B6A" w:rsidRPr="00485B6A">
        <w:rPr>
          <w:rFonts w:ascii="Arial" w:hAnsi="Arial" w:cs="Arial"/>
          <w:bCs/>
          <w:sz w:val="22"/>
          <w:szCs w:val="22"/>
          <w:vertAlign w:val="superscript"/>
          <w:lang w:val="es-ES" w:eastAsia="en-US"/>
        </w:rPr>
        <w:footnoteReference w:id="6"/>
      </w:r>
      <w:r w:rsidR="00485B6A" w:rsidRPr="00485B6A">
        <w:rPr>
          <w:rFonts w:ascii="Arial" w:hAnsi="Arial" w:cs="Arial"/>
          <w:bCs/>
          <w:sz w:val="22"/>
          <w:szCs w:val="22"/>
          <w:lang w:val="es-ES" w:eastAsia="en-US"/>
        </w:rPr>
        <w:t>. La última acepción se ajusta al entendimiento normativo, sin embargo, no es suficiente para absolver lo que se indaga, en la medida en que corresponde al ordenamiento jurídico establecer cuáles son los días válidos para realizar las actuaciones.</w:t>
      </w:r>
    </w:p>
    <w:p w14:paraId="6D2959FC" w14:textId="79B53991" w:rsidR="00485B6A" w:rsidRPr="00485B6A" w:rsidRDefault="00485B6A" w:rsidP="00CE5D0E">
      <w:pPr>
        <w:tabs>
          <w:tab w:val="left" w:pos="0"/>
        </w:tabs>
        <w:spacing w:after="0"/>
        <w:rPr>
          <w:rFonts w:ascii="Arial" w:hAnsi="Arial" w:cs="Arial"/>
          <w:bCs/>
          <w:sz w:val="22"/>
          <w:szCs w:val="22"/>
          <w:lang w:val="es-ES" w:eastAsia="en-US"/>
        </w:rPr>
      </w:pPr>
      <w:r w:rsidRPr="00485B6A">
        <w:rPr>
          <w:rFonts w:ascii="Arial" w:hAnsi="Arial" w:cs="Arial"/>
          <w:bCs/>
          <w:sz w:val="22"/>
          <w:szCs w:val="22"/>
          <w:lang w:val="es-ES" w:eastAsia="en-US"/>
        </w:rPr>
        <w:tab/>
        <w:t>A pesar de no existir una definición legal</w:t>
      </w:r>
      <w:r w:rsidR="00BE4CCB">
        <w:rPr>
          <w:rFonts w:ascii="Arial" w:hAnsi="Arial" w:cs="Arial"/>
          <w:bCs/>
          <w:sz w:val="22"/>
          <w:szCs w:val="22"/>
          <w:lang w:val="es-ES" w:eastAsia="en-US"/>
        </w:rPr>
        <w:t xml:space="preserve"> sobre la noción objeto de análisis</w:t>
      </w:r>
      <w:r w:rsidRPr="00485B6A">
        <w:rPr>
          <w:rFonts w:ascii="Arial" w:hAnsi="Arial" w:cs="Arial"/>
          <w:bCs/>
          <w:sz w:val="22"/>
          <w:szCs w:val="22"/>
          <w:lang w:val="es-ES" w:eastAsia="en-US"/>
        </w:rPr>
        <w:t>, existen normas supletivas que tienen como función servir de pautas para el cómputo de términos previstos en la ley, cuando no ha sido regulado</w:t>
      </w:r>
      <w:r w:rsidR="001A57DF">
        <w:rPr>
          <w:rFonts w:ascii="Arial" w:hAnsi="Arial" w:cs="Arial"/>
          <w:bCs/>
          <w:sz w:val="22"/>
          <w:szCs w:val="22"/>
          <w:lang w:val="es-ES" w:eastAsia="en-US"/>
        </w:rPr>
        <w:t>s</w:t>
      </w:r>
      <w:r w:rsidRPr="00485B6A">
        <w:rPr>
          <w:rFonts w:ascii="Arial" w:hAnsi="Arial" w:cs="Arial"/>
          <w:bCs/>
          <w:sz w:val="22"/>
          <w:szCs w:val="22"/>
          <w:lang w:val="es-ES" w:eastAsia="en-US"/>
        </w:rPr>
        <w:t xml:space="preserve"> de forma específica por las disposiciones que consagran dichos plazos.</w:t>
      </w:r>
      <w:r w:rsidR="00BE4CCB">
        <w:rPr>
          <w:rFonts w:ascii="Arial" w:hAnsi="Arial" w:cs="Arial"/>
          <w:bCs/>
          <w:sz w:val="22"/>
          <w:szCs w:val="22"/>
          <w:lang w:val="es-ES" w:eastAsia="en-US"/>
        </w:rPr>
        <w:t xml:space="preserve"> Así, l</w:t>
      </w:r>
      <w:r w:rsidRPr="00485B6A">
        <w:rPr>
          <w:rFonts w:ascii="Arial" w:hAnsi="Arial" w:cs="Arial"/>
          <w:bCs/>
          <w:sz w:val="22"/>
          <w:szCs w:val="22"/>
          <w:lang w:val="es-ES" w:eastAsia="en-US"/>
        </w:rPr>
        <w:t>os artículos 59 y 62 de la Ley 4 de 1913 disponen que:</w:t>
      </w:r>
    </w:p>
    <w:p w14:paraId="666E1D3E" w14:textId="77777777" w:rsidR="00485B6A" w:rsidRPr="00485B6A" w:rsidRDefault="00485B6A" w:rsidP="00CE5D0E">
      <w:pPr>
        <w:tabs>
          <w:tab w:val="left" w:pos="0"/>
        </w:tabs>
        <w:spacing w:after="0"/>
        <w:rPr>
          <w:rFonts w:ascii="Arial" w:hAnsi="Arial" w:cs="Arial"/>
          <w:bCs/>
          <w:sz w:val="22"/>
          <w:szCs w:val="22"/>
          <w:lang w:val="es-ES" w:eastAsia="en-US"/>
        </w:rPr>
      </w:pPr>
    </w:p>
    <w:p w14:paraId="2964C7BD" w14:textId="590005CF" w:rsidR="00485B6A" w:rsidRPr="00A706A7" w:rsidRDefault="00BE4CCB" w:rsidP="00042D57">
      <w:pPr>
        <w:tabs>
          <w:tab w:val="left" w:pos="709"/>
        </w:tabs>
        <w:spacing w:after="0" w:line="240" w:lineRule="auto"/>
        <w:ind w:left="709" w:right="709"/>
        <w:rPr>
          <w:rFonts w:ascii="Arial" w:hAnsi="Arial" w:cs="Arial"/>
          <w:bCs/>
          <w:sz w:val="21"/>
          <w:szCs w:val="21"/>
          <w:lang w:eastAsia="en-US"/>
        </w:rPr>
      </w:pPr>
      <w:r w:rsidRPr="00A706A7">
        <w:rPr>
          <w:rFonts w:ascii="Arial" w:hAnsi="Arial" w:cs="Arial"/>
          <w:bCs/>
          <w:sz w:val="21"/>
          <w:szCs w:val="21"/>
          <w:lang w:val="es-ES" w:eastAsia="en-US"/>
        </w:rPr>
        <w:t>«</w:t>
      </w:r>
      <w:r w:rsidR="00485B6A" w:rsidRPr="00A706A7">
        <w:rPr>
          <w:rFonts w:ascii="Arial" w:hAnsi="Arial" w:cs="Arial"/>
          <w:bCs/>
          <w:sz w:val="21"/>
          <w:szCs w:val="21"/>
          <w:lang w:eastAsia="en-US"/>
        </w:rPr>
        <w:t>Artículo 59.</w:t>
      </w:r>
      <w:r w:rsidR="00485B6A" w:rsidRPr="00A706A7">
        <w:rPr>
          <w:rFonts w:ascii="Arial" w:hAnsi="Arial" w:cs="Arial"/>
          <w:b/>
          <w:bCs/>
          <w:sz w:val="21"/>
          <w:szCs w:val="21"/>
          <w:lang w:eastAsia="en-US"/>
        </w:rPr>
        <w:t> </w:t>
      </w:r>
      <w:r w:rsidR="00485B6A" w:rsidRPr="00A706A7">
        <w:rPr>
          <w:rFonts w:ascii="Arial" w:hAnsi="Arial" w:cs="Arial"/>
          <w:bCs/>
          <w:sz w:val="21"/>
          <w:szCs w:val="21"/>
          <w:lang w:eastAsia="en-US"/>
        </w:rPr>
        <w:t>Todos los plazos de días, meses o años, del que se haga mención legal, se entenderán que terminan a la medianoche del último día del plazo. Por año y por mes se entienden los del calendario común, y por día el espacio de veinticuatro horas; pero en la ejecución de las penas se estará a lo que disponga la ley penal. </w:t>
      </w:r>
    </w:p>
    <w:p w14:paraId="1A4F6CF0" w14:textId="77777777" w:rsidR="00485B6A" w:rsidRPr="00A706A7" w:rsidRDefault="00485B6A" w:rsidP="00042D57">
      <w:pPr>
        <w:tabs>
          <w:tab w:val="left" w:pos="709"/>
        </w:tabs>
        <w:spacing w:after="0" w:line="240" w:lineRule="auto"/>
        <w:ind w:left="709" w:right="709"/>
        <w:rPr>
          <w:rFonts w:ascii="Arial" w:hAnsi="Arial" w:cs="Arial"/>
          <w:bCs/>
          <w:sz w:val="21"/>
          <w:szCs w:val="21"/>
          <w:lang w:eastAsia="en-US"/>
        </w:rPr>
      </w:pPr>
      <w:r w:rsidRPr="00A706A7">
        <w:rPr>
          <w:rFonts w:ascii="Arial" w:hAnsi="Arial" w:cs="Arial"/>
          <w:bCs/>
          <w:sz w:val="21"/>
          <w:szCs w:val="21"/>
          <w:lang w:eastAsia="en-US"/>
        </w:rPr>
        <w:t>[…]</w:t>
      </w:r>
    </w:p>
    <w:p w14:paraId="7412ED67" w14:textId="3648796F" w:rsidR="00485B6A" w:rsidRDefault="00485B6A" w:rsidP="00042D57">
      <w:pPr>
        <w:tabs>
          <w:tab w:val="left" w:pos="709"/>
        </w:tabs>
        <w:spacing w:after="0" w:line="240" w:lineRule="auto"/>
        <w:ind w:left="709" w:right="709"/>
        <w:rPr>
          <w:rFonts w:ascii="Arial" w:hAnsi="Arial" w:cs="Arial"/>
          <w:bCs/>
          <w:sz w:val="21"/>
          <w:szCs w:val="21"/>
          <w:lang w:eastAsia="en-US"/>
        </w:rPr>
      </w:pPr>
      <w:r w:rsidRPr="00A706A7">
        <w:rPr>
          <w:rFonts w:ascii="Arial" w:hAnsi="Arial" w:cs="Arial"/>
          <w:bCs/>
          <w:sz w:val="21"/>
          <w:szCs w:val="21"/>
          <w:lang w:eastAsia="en-US"/>
        </w:rPr>
        <w:t>Artículo 62. En los plazos de días que se señalen en las leyes y actos oficiales, se entienden suprimidos los feriados y de vacantes, a menos de expresarse lo contrario. Los de meses y años se computan según el calendario; pero si el último día fuere feriado o de vacante, se extenderá el plazo hasta el primer día hábil</w:t>
      </w:r>
      <w:r w:rsidR="00BE4CCB" w:rsidRPr="00A706A7">
        <w:rPr>
          <w:rFonts w:ascii="Arial" w:hAnsi="Arial" w:cs="Arial"/>
          <w:bCs/>
          <w:sz w:val="21"/>
          <w:szCs w:val="21"/>
          <w:lang w:val="es-ES" w:eastAsia="en-US"/>
        </w:rPr>
        <w:t>»</w:t>
      </w:r>
      <w:r w:rsidRPr="00A706A7">
        <w:rPr>
          <w:rFonts w:ascii="Arial" w:hAnsi="Arial" w:cs="Arial"/>
          <w:bCs/>
          <w:sz w:val="21"/>
          <w:szCs w:val="21"/>
          <w:lang w:eastAsia="en-US"/>
        </w:rPr>
        <w:t>. </w:t>
      </w:r>
    </w:p>
    <w:p w14:paraId="15676C98" w14:textId="77777777" w:rsidR="00A706A7" w:rsidRPr="00A706A7" w:rsidRDefault="00A706A7" w:rsidP="00CE5D0E">
      <w:pPr>
        <w:tabs>
          <w:tab w:val="left" w:pos="709"/>
        </w:tabs>
        <w:spacing w:after="0"/>
        <w:ind w:left="709"/>
        <w:rPr>
          <w:rFonts w:ascii="Arial" w:hAnsi="Arial" w:cs="Arial"/>
          <w:bCs/>
          <w:sz w:val="21"/>
          <w:szCs w:val="21"/>
          <w:lang w:eastAsia="en-US"/>
        </w:rPr>
      </w:pPr>
    </w:p>
    <w:p w14:paraId="3F73339B" w14:textId="41FF24DF" w:rsidR="00BE4CCB" w:rsidRDefault="00485B6A" w:rsidP="00CE5D0E">
      <w:pPr>
        <w:tabs>
          <w:tab w:val="left" w:pos="0"/>
        </w:tabs>
        <w:spacing w:after="0"/>
        <w:rPr>
          <w:rFonts w:ascii="Arial" w:hAnsi="Arial" w:cs="Arial"/>
          <w:bCs/>
          <w:sz w:val="22"/>
          <w:szCs w:val="22"/>
          <w:lang w:val="es-ES" w:eastAsia="en-US"/>
        </w:rPr>
      </w:pPr>
      <w:r w:rsidRPr="00485B6A">
        <w:rPr>
          <w:rFonts w:ascii="Arial" w:hAnsi="Arial" w:cs="Arial"/>
          <w:bCs/>
          <w:sz w:val="22"/>
          <w:szCs w:val="22"/>
          <w:lang w:val="es-ES" w:eastAsia="en-US"/>
        </w:rPr>
        <w:tab/>
      </w:r>
      <w:r w:rsidR="00BE4CCB">
        <w:rPr>
          <w:rFonts w:ascii="Arial" w:hAnsi="Arial" w:cs="Arial"/>
          <w:bCs/>
          <w:sz w:val="22"/>
          <w:szCs w:val="22"/>
          <w:lang w:val="es-ES" w:eastAsia="en-US"/>
        </w:rPr>
        <w:t>Conforme a las normas citadas</w:t>
      </w:r>
      <w:r w:rsidR="00151144">
        <w:rPr>
          <w:rFonts w:ascii="Arial" w:hAnsi="Arial" w:cs="Arial"/>
          <w:bCs/>
          <w:sz w:val="22"/>
          <w:szCs w:val="22"/>
          <w:lang w:val="es-ES" w:eastAsia="en-US"/>
        </w:rPr>
        <w:t>, es posible concluir que el legislador estableció las siguientes reglas para el cómputo de los plazos fijados en distintas leyes</w:t>
      </w:r>
      <w:r w:rsidR="00BE4CCB">
        <w:rPr>
          <w:rFonts w:ascii="Arial" w:hAnsi="Arial" w:cs="Arial"/>
          <w:bCs/>
          <w:sz w:val="22"/>
          <w:szCs w:val="22"/>
          <w:lang w:val="es-ES" w:eastAsia="en-US"/>
        </w:rPr>
        <w:t>:</w:t>
      </w:r>
    </w:p>
    <w:p w14:paraId="74365AA5" w14:textId="77777777" w:rsidR="00530816" w:rsidRDefault="00530816" w:rsidP="00CE5D0E">
      <w:pPr>
        <w:tabs>
          <w:tab w:val="left" w:pos="0"/>
        </w:tabs>
        <w:spacing w:after="0"/>
        <w:rPr>
          <w:rFonts w:ascii="Arial" w:hAnsi="Arial" w:cs="Arial"/>
          <w:bCs/>
          <w:sz w:val="22"/>
          <w:szCs w:val="22"/>
          <w:lang w:val="es-ES" w:eastAsia="en-US"/>
        </w:rPr>
      </w:pPr>
    </w:p>
    <w:p w14:paraId="2FACC83A" w14:textId="77777777" w:rsidR="00BE4CCB" w:rsidRDefault="00BE4CCB" w:rsidP="00CE5D0E">
      <w:pPr>
        <w:pStyle w:val="Prrafodelista"/>
        <w:numPr>
          <w:ilvl w:val="0"/>
          <w:numId w:val="22"/>
        </w:numPr>
        <w:tabs>
          <w:tab w:val="left" w:pos="0"/>
        </w:tabs>
        <w:spacing w:after="0"/>
        <w:rPr>
          <w:rFonts w:ascii="Arial" w:hAnsi="Arial" w:cs="Arial"/>
          <w:bCs/>
          <w:sz w:val="22"/>
          <w:szCs w:val="22"/>
          <w:lang w:val="es-ES" w:eastAsia="en-US"/>
        </w:rPr>
      </w:pPr>
      <w:r>
        <w:rPr>
          <w:rFonts w:ascii="Arial" w:hAnsi="Arial" w:cs="Arial"/>
          <w:bCs/>
          <w:sz w:val="22"/>
          <w:szCs w:val="22"/>
          <w:lang w:val="es-ES" w:eastAsia="en-US"/>
        </w:rPr>
        <w:lastRenderedPageBreak/>
        <w:t>L</w:t>
      </w:r>
      <w:r w:rsidR="00485B6A" w:rsidRPr="00BE4CCB">
        <w:rPr>
          <w:rFonts w:ascii="Arial" w:hAnsi="Arial" w:cs="Arial"/>
          <w:bCs/>
          <w:sz w:val="22"/>
          <w:szCs w:val="22"/>
          <w:lang w:val="es-ES" w:eastAsia="en-US"/>
        </w:rPr>
        <w:t>os plazos a los que se haga mención en la ley terminan a la medianoche</w:t>
      </w:r>
      <w:r w:rsidRPr="00BE4CCB">
        <w:rPr>
          <w:rFonts w:ascii="Arial" w:hAnsi="Arial" w:cs="Arial"/>
          <w:bCs/>
          <w:sz w:val="22"/>
          <w:szCs w:val="22"/>
          <w:lang w:val="es-ES" w:eastAsia="en-US"/>
        </w:rPr>
        <w:t xml:space="preserve"> de su último día</w:t>
      </w:r>
      <w:r>
        <w:rPr>
          <w:rFonts w:ascii="Arial" w:hAnsi="Arial" w:cs="Arial"/>
          <w:bCs/>
          <w:sz w:val="22"/>
          <w:szCs w:val="22"/>
          <w:lang w:val="es-ES" w:eastAsia="en-US"/>
        </w:rPr>
        <w:t>.</w:t>
      </w:r>
    </w:p>
    <w:p w14:paraId="3B078EAF" w14:textId="77777777" w:rsidR="00BE4CCB" w:rsidRDefault="00BE4CCB" w:rsidP="00CE5D0E">
      <w:pPr>
        <w:pStyle w:val="Prrafodelista"/>
        <w:numPr>
          <w:ilvl w:val="0"/>
          <w:numId w:val="22"/>
        </w:numPr>
        <w:tabs>
          <w:tab w:val="left" w:pos="0"/>
        </w:tabs>
        <w:spacing w:after="0"/>
        <w:rPr>
          <w:rFonts w:ascii="Arial" w:hAnsi="Arial" w:cs="Arial"/>
          <w:bCs/>
          <w:sz w:val="22"/>
          <w:szCs w:val="22"/>
          <w:lang w:val="es-ES" w:eastAsia="en-US"/>
        </w:rPr>
      </w:pPr>
      <w:r>
        <w:rPr>
          <w:rFonts w:ascii="Arial" w:hAnsi="Arial" w:cs="Arial"/>
          <w:bCs/>
          <w:sz w:val="22"/>
          <w:szCs w:val="22"/>
          <w:lang w:val="es-ES" w:eastAsia="en-US"/>
        </w:rPr>
        <w:t>P</w:t>
      </w:r>
      <w:r w:rsidR="00485B6A" w:rsidRPr="00BE4CCB">
        <w:rPr>
          <w:rFonts w:ascii="Arial" w:hAnsi="Arial" w:cs="Arial"/>
          <w:bCs/>
          <w:sz w:val="22"/>
          <w:szCs w:val="22"/>
          <w:lang w:val="es-ES" w:eastAsia="en-US"/>
        </w:rPr>
        <w:t xml:space="preserve">or </w:t>
      </w:r>
      <w:r w:rsidR="00485B6A" w:rsidRPr="00BE4CCB">
        <w:rPr>
          <w:rFonts w:ascii="Arial" w:hAnsi="Arial" w:cs="Arial"/>
          <w:bCs/>
          <w:i/>
          <w:iCs/>
          <w:sz w:val="22"/>
          <w:szCs w:val="22"/>
          <w:lang w:val="es-ES" w:eastAsia="en-US"/>
        </w:rPr>
        <w:t xml:space="preserve">día </w:t>
      </w:r>
      <w:r w:rsidR="00485B6A" w:rsidRPr="00BE4CCB">
        <w:rPr>
          <w:rFonts w:ascii="Arial" w:hAnsi="Arial" w:cs="Arial"/>
          <w:bCs/>
          <w:sz w:val="22"/>
          <w:szCs w:val="22"/>
          <w:lang w:val="es-ES" w:eastAsia="en-US"/>
        </w:rPr>
        <w:t>se entiende el espacio de veinticuatro horas</w:t>
      </w:r>
      <w:r>
        <w:rPr>
          <w:rFonts w:ascii="Arial" w:hAnsi="Arial" w:cs="Arial"/>
          <w:bCs/>
          <w:sz w:val="22"/>
          <w:szCs w:val="22"/>
          <w:lang w:val="es-ES" w:eastAsia="en-US"/>
        </w:rPr>
        <w:t>.</w:t>
      </w:r>
    </w:p>
    <w:p w14:paraId="430936F6" w14:textId="41F9EAB1" w:rsidR="00BE4CCB" w:rsidRDefault="00BE4CCB" w:rsidP="00CE5D0E">
      <w:pPr>
        <w:pStyle w:val="Prrafodelista"/>
        <w:numPr>
          <w:ilvl w:val="0"/>
          <w:numId w:val="22"/>
        </w:numPr>
        <w:tabs>
          <w:tab w:val="left" w:pos="0"/>
        </w:tabs>
        <w:spacing w:after="0"/>
        <w:rPr>
          <w:rFonts w:ascii="Arial" w:hAnsi="Arial" w:cs="Arial"/>
          <w:bCs/>
          <w:sz w:val="22"/>
          <w:szCs w:val="22"/>
          <w:lang w:val="es-ES" w:eastAsia="en-US"/>
        </w:rPr>
      </w:pPr>
      <w:r>
        <w:rPr>
          <w:rFonts w:ascii="Arial" w:hAnsi="Arial" w:cs="Arial"/>
          <w:bCs/>
          <w:sz w:val="22"/>
          <w:szCs w:val="22"/>
          <w:lang w:val="es-ES" w:eastAsia="en-US"/>
        </w:rPr>
        <w:t xml:space="preserve">En los plazos fijados en la ley en días, </w:t>
      </w:r>
      <w:r w:rsidR="00485B6A" w:rsidRPr="00BE4CCB">
        <w:rPr>
          <w:rFonts w:ascii="Arial" w:hAnsi="Arial" w:cs="Arial"/>
          <w:bCs/>
          <w:sz w:val="22"/>
          <w:szCs w:val="22"/>
          <w:lang w:val="es-ES" w:eastAsia="en-US"/>
        </w:rPr>
        <w:t>se entienden suprimidos los feriados</w:t>
      </w:r>
      <w:r w:rsidR="001A57DF">
        <w:rPr>
          <w:rFonts w:ascii="Arial" w:hAnsi="Arial" w:cs="Arial"/>
          <w:bCs/>
          <w:sz w:val="22"/>
          <w:szCs w:val="22"/>
          <w:lang w:val="es-ES" w:eastAsia="en-US"/>
        </w:rPr>
        <w:t xml:space="preserve"> y vacantes</w:t>
      </w:r>
      <w:r w:rsidR="00485B6A" w:rsidRPr="00BE4CCB">
        <w:rPr>
          <w:rFonts w:ascii="Arial" w:hAnsi="Arial" w:cs="Arial"/>
          <w:bCs/>
          <w:sz w:val="22"/>
          <w:szCs w:val="22"/>
          <w:lang w:val="es-ES" w:eastAsia="en-US"/>
        </w:rPr>
        <w:t>,</w:t>
      </w:r>
      <w:r>
        <w:rPr>
          <w:rFonts w:ascii="Arial" w:hAnsi="Arial" w:cs="Arial"/>
          <w:bCs/>
          <w:sz w:val="22"/>
          <w:szCs w:val="22"/>
          <w:lang w:val="es-ES" w:eastAsia="en-US"/>
        </w:rPr>
        <w:t xml:space="preserve"> a menos </w:t>
      </w:r>
      <w:r w:rsidR="001A57DF">
        <w:rPr>
          <w:rFonts w:ascii="Arial" w:hAnsi="Arial" w:cs="Arial"/>
          <w:bCs/>
          <w:sz w:val="22"/>
          <w:szCs w:val="22"/>
          <w:lang w:val="es-ES" w:eastAsia="en-US"/>
        </w:rPr>
        <w:t>de expresarse</w:t>
      </w:r>
      <w:r>
        <w:rPr>
          <w:rFonts w:ascii="Arial" w:hAnsi="Arial" w:cs="Arial"/>
          <w:bCs/>
          <w:sz w:val="22"/>
          <w:szCs w:val="22"/>
          <w:lang w:val="es-ES" w:eastAsia="en-US"/>
        </w:rPr>
        <w:t xml:space="preserve"> lo contrario. </w:t>
      </w:r>
    </w:p>
    <w:p w14:paraId="7288E0A9" w14:textId="31CB355B" w:rsidR="00A706A7" w:rsidRDefault="00BE4CCB" w:rsidP="00042D57">
      <w:pPr>
        <w:pStyle w:val="Prrafodelista"/>
        <w:numPr>
          <w:ilvl w:val="0"/>
          <w:numId w:val="22"/>
        </w:numPr>
        <w:tabs>
          <w:tab w:val="left" w:pos="0"/>
        </w:tabs>
        <w:spacing w:after="120"/>
        <w:contextualSpacing w:val="0"/>
        <w:rPr>
          <w:rFonts w:ascii="Arial" w:hAnsi="Arial" w:cs="Arial"/>
          <w:bCs/>
          <w:sz w:val="22"/>
          <w:szCs w:val="22"/>
          <w:lang w:val="es-ES" w:eastAsia="en-US"/>
        </w:rPr>
      </w:pPr>
      <w:r>
        <w:rPr>
          <w:rFonts w:ascii="Arial" w:hAnsi="Arial" w:cs="Arial"/>
          <w:bCs/>
          <w:sz w:val="22"/>
          <w:szCs w:val="22"/>
          <w:lang w:val="es-ES" w:eastAsia="en-US"/>
        </w:rPr>
        <w:t xml:space="preserve">Cuando el </w:t>
      </w:r>
      <w:r w:rsidR="00A706A7">
        <w:rPr>
          <w:rFonts w:ascii="Arial" w:hAnsi="Arial" w:cs="Arial"/>
          <w:bCs/>
          <w:sz w:val="22"/>
          <w:szCs w:val="22"/>
          <w:lang w:val="es-ES" w:eastAsia="en-US"/>
        </w:rPr>
        <w:t>plazo se fija en meses</w:t>
      </w:r>
      <w:r w:rsidR="00485B6A" w:rsidRPr="00BE4CCB">
        <w:rPr>
          <w:rFonts w:ascii="Arial" w:hAnsi="Arial" w:cs="Arial"/>
          <w:bCs/>
          <w:sz w:val="22"/>
          <w:szCs w:val="22"/>
          <w:lang w:val="es-ES" w:eastAsia="en-US"/>
        </w:rPr>
        <w:t xml:space="preserve"> se computarán conforme al calendario, extendiéndose hasta el día hábil siguiente si el mes termina en un día feriado o vacante. </w:t>
      </w:r>
    </w:p>
    <w:p w14:paraId="1C8E6483" w14:textId="29E4C569" w:rsidR="00485B6A" w:rsidRDefault="00485B6A" w:rsidP="00042D57">
      <w:pPr>
        <w:pStyle w:val="Prrafodelista"/>
        <w:tabs>
          <w:tab w:val="left" w:pos="0"/>
        </w:tabs>
        <w:spacing w:after="120"/>
        <w:ind w:left="0" w:firstLine="709"/>
        <w:contextualSpacing w:val="0"/>
        <w:rPr>
          <w:rFonts w:ascii="Arial" w:hAnsi="Arial" w:cs="Arial"/>
          <w:bCs/>
          <w:sz w:val="22"/>
          <w:szCs w:val="22"/>
          <w:lang w:val="es-ES" w:eastAsia="en-US"/>
        </w:rPr>
      </w:pPr>
      <w:r w:rsidRPr="00BE4CCB">
        <w:rPr>
          <w:rFonts w:ascii="Arial" w:hAnsi="Arial" w:cs="Arial"/>
          <w:bCs/>
          <w:sz w:val="22"/>
          <w:szCs w:val="22"/>
          <w:lang w:val="es-ES" w:eastAsia="en-US"/>
        </w:rPr>
        <w:t xml:space="preserve">Si bien las reglas establecidas en estas normas </w:t>
      </w:r>
      <w:r w:rsidR="006D768C">
        <w:rPr>
          <w:rFonts w:ascii="Arial" w:hAnsi="Arial" w:cs="Arial"/>
          <w:bCs/>
          <w:sz w:val="22"/>
          <w:szCs w:val="22"/>
          <w:lang w:val="es-ES" w:eastAsia="en-US"/>
        </w:rPr>
        <w:t xml:space="preserve">no </w:t>
      </w:r>
      <w:r w:rsidRPr="00BE4CCB">
        <w:rPr>
          <w:rFonts w:ascii="Arial" w:hAnsi="Arial" w:cs="Arial"/>
          <w:bCs/>
          <w:sz w:val="22"/>
          <w:szCs w:val="22"/>
          <w:lang w:val="es-ES" w:eastAsia="en-US"/>
        </w:rPr>
        <w:t xml:space="preserve">definen </w:t>
      </w:r>
      <w:r w:rsidR="006D768C">
        <w:rPr>
          <w:rFonts w:ascii="Arial" w:hAnsi="Arial" w:cs="Arial"/>
          <w:bCs/>
          <w:sz w:val="22"/>
          <w:szCs w:val="22"/>
          <w:lang w:val="es-ES" w:eastAsia="en-US"/>
        </w:rPr>
        <w:t xml:space="preserve">el concepto de </w:t>
      </w:r>
      <w:r w:rsidRPr="00BE4CCB">
        <w:rPr>
          <w:rFonts w:ascii="Arial" w:hAnsi="Arial" w:cs="Arial"/>
          <w:bCs/>
          <w:sz w:val="22"/>
          <w:szCs w:val="22"/>
          <w:lang w:val="es-ES" w:eastAsia="en-US"/>
        </w:rPr>
        <w:t>día hábil</w:t>
      </w:r>
      <w:r w:rsidR="006D768C">
        <w:rPr>
          <w:rFonts w:ascii="Arial" w:hAnsi="Arial" w:cs="Arial"/>
          <w:bCs/>
          <w:sz w:val="22"/>
          <w:szCs w:val="22"/>
          <w:lang w:val="es-ES" w:eastAsia="en-US"/>
        </w:rPr>
        <w:t>,</w:t>
      </w:r>
      <w:r w:rsidRPr="00BE4CCB">
        <w:rPr>
          <w:rFonts w:ascii="Arial" w:hAnsi="Arial" w:cs="Arial"/>
          <w:bCs/>
          <w:sz w:val="22"/>
          <w:szCs w:val="22"/>
          <w:lang w:val="es-ES" w:eastAsia="en-US"/>
        </w:rPr>
        <w:t xml:space="preserve"> sí </w:t>
      </w:r>
      <w:r w:rsidR="00AB7FF7">
        <w:rPr>
          <w:rFonts w:ascii="Arial" w:hAnsi="Arial" w:cs="Arial"/>
          <w:bCs/>
          <w:sz w:val="22"/>
          <w:szCs w:val="22"/>
          <w:lang w:val="es-ES" w:eastAsia="en-US"/>
        </w:rPr>
        <w:t>evidencian que, a menos de previsión expresa en contrario, los plazos de días no incluyen los vacan</w:t>
      </w:r>
      <w:r w:rsidR="006D768C">
        <w:rPr>
          <w:rFonts w:ascii="Arial" w:hAnsi="Arial" w:cs="Arial"/>
          <w:bCs/>
          <w:sz w:val="22"/>
          <w:szCs w:val="22"/>
          <w:lang w:val="es-ES" w:eastAsia="en-US"/>
        </w:rPr>
        <w:t>tes y feriados</w:t>
      </w:r>
      <w:r w:rsidRPr="00BE4CCB">
        <w:rPr>
          <w:rFonts w:ascii="Arial" w:hAnsi="Arial" w:cs="Arial"/>
          <w:bCs/>
          <w:sz w:val="22"/>
          <w:szCs w:val="22"/>
          <w:lang w:val="es-ES" w:eastAsia="en-US"/>
        </w:rPr>
        <w:t xml:space="preserve">, lo cual, en línea con la definición de uso común </w:t>
      </w:r>
      <w:r w:rsidR="006D768C">
        <w:rPr>
          <w:rFonts w:ascii="Arial" w:hAnsi="Arial" w:cs="Arial"/>
          <w:bCs/>
          <w:sz w:val="22"/>
          <w:szCs w:val="22"/>
          <w:lang w:val="es-ES" w:eastAsia="en-US"/>
        </w:rPr>
        <w:t xml:space="preserve">referida con anterioridad, permite inferir </w:t>
      </w:r>
      <w:r w:rsidRPr="00BE4CCB">
        <w:rPr>
          <w:rFonts w:ascii="Arial" w:hAnsi="Arial" w:cs="Arial"/>
          <w:bCs/>
          <w:sz w:val="22"/>
          <w:szCs w:val="22"/>
          <w:lang w:val="es-ES" w:eastAsia="en-US"/>
        </w:rPr>
        <w:t>que por hábiles se entiende</w:t>
      </w:r>
      <w:r w:rsidR="006D768C">
        <w:rPr>
          <w:rFonts w:ascii="Arial" w:hAnsi="Arial" w:cs="Arial"/>
          <w:bCs/>
          <w:sz w:val="22"/>
          <w:szCs w:val="22"/>
          <w:lang w:val="es-ES" w:eastAsia="en-US"/>
        </w:rPr>
        <w:t>n</w:t>
      </w:r>
      <w:r w:rsidRPr="00BE4CCB">
        <w:rPr>
          <w:rFonts w:ascii="Arial" w:hAnsi="Arial" w:cs="Arial"/>
          <w:bCs/>
          <w:sz w:val="22"/>
          <w:szCs w:val="22"/>
          <w:lang w:val="es-ES" w:eastAsia="en-US"/>
        </w:rPr>
        <w:t xml:space="preserve"> los días laborables</w:t>
      </w:r>
      <w:r w:rsidRPr="00485B6A">
        <w:rPr>
          <w:vertAlign w:val="superscript"/>
          <w:lang w:val="es-ES" w:eastAsia="en-US"/>
        </w:rPr>
        <w:footnoteReference w:id="7"/>
      </w:r>
      <w:r w:rsidRPr="00BE4CCB">
        <w:rPr>
          <w:rFonts w:ascii="Arial" w:hAnsi="Arial" w:cs="Arial"/>
          <w:bCs/>
          <w:sz w:val="22"/>
          <w:szCs w:val="22"/>
          <w:lang w:val="es-ES" w:eastAsia="en-US"/>
        </w:rPr>
        <w:t>.</w:t>
      </w:r>
    </w:p>
    <w:p w14:paraId="1DB2BF2C" w14:textId="0E77E0F0" w:rsidR="00485B6A" w:rsidRPr="00485B6A" w:rsidRDefault="003945CD" w:rsidP="00CE5D0E">
      <w:pPr>
        <w:tabs>
          <w:tab w:val="left" w:pos="0"/>
        </w:tabs>
        <w:spacing w:after="0"/>
        <w:rPr>
          <w:rFonts w:ascii="Arial" w:hAnsi="Arial" w:cs="Arial"/>
          <w:bCs/>
          <w:sz w:val="22"/>
          <w:szCs w:val="22"/>
          <w:lang w:val="es-ES" w:eastAsia="en-US"/>
        </w:rPr>
      </w:pPr>
      <w:r>
        <w:rPr>
          <w:rFonts w:ascii="Arial" w:hAnsi="Arial" w:cs="Arial"/>
          <w:bCs/>
          <w:sz w:val="22"/>
          <w:szCs w:val="22"/>
          <w:lang w:val="es-ES" w:eastAsia="en-US"/>
        </w:rPr>
        <w:tab/>
        <w:t xml:space="preserve">Esta conclusión ha sido plasmada en </w:t>
      </w:r>
      <w:r w:rsidR="00485B6A" w:rsidRPr="00485B6A">
        <w:rPr>
          <w:rFonts w:ascii="Arial" w:hAnsi="Arial" w:cs="Arial"/>
          <w:bCs/>
          <w:sz w:val="22"/>
          <w:szCs w:val="22"/>
          <w:lang w:val="es-ES" w:eastAsia="en-US"/>
        </w:rPr>
        <w:t xml:space="preserve">la jurisprudencia de vieja data del Consejo de Estado, </w:t>
      </w:r>
      <w:r>
        <w:rPr>
          <w:rFonts w:ascii="Arial" w:hAnsi="Arial" w:cs="Arial"/>
          <w:bCs/>
          <w:sz w:val="22"/>
          <w:szCs w:val="22"/>
          <w:lang w:val="es-ES" w:eastAsia="en-US"/>
        </w:rPr>
        <w:t xml:space="preserve">la cual, </w:t>
      </w:r>
      <w:r w:rsidR="00485B6A" w:rsidRPr="00485B6A">
        <w:rPr>
          <w:rFonts w:ascii="Arial" w:hAnsi="Arial" w:cs="Arial"/>
          <w:bCs/>
          <w:sz w:val="22"/>
          <w:szCs w:val="22"/>
          <w:lang w:val="es-ES" w:eastAsia="en-US"/>
        </w:rPr>
        <w:t>al interpretar el contenido del artículo 62 de la Ley 4 de 1913 ha relacionado los días hábiles con conceptos como el de «Despacho Público» y «días laborables forzosos», que implican que el entendimiento normativo de los días hábiles está relacionado con el espacio de tiempo durante el cual las entidades públicas desarrollan sus funciones administrativas y están abiertas para la atención al público. Así, por ejemplo, en la sentencia del 12 de abril de 1978 se expresó:</w:t>
      </w:r>
    </w:p>
    <w:p w14:paraId="6D5CBCB2" w14:textId="77777777" w:rsidR="00485B6A" w:rsidRPr="00485B6A" w:rsidRDefault="00485B6A" w:rsidP="00CE5D0E">
      <w:pPr>
        <w:tabs>
          <w:tab w:val="left" w:pos="0"/>
        </w:tabs>
        <w:spacing w:after="0"/>
        <w:rPr>
          <w:rFonts w:ascii="Arial" w:hAnsi="Arial" w:cs="Arial"/>
          <w:bCs/>
          <w:sz w:val="22"/>
          <w:szCs w:val="22"/>
          <w:lang w:val="es-ES" w:eastAsia="en-US"/>
        </w:rPr>
      </w:pPr>
    </w:p>
    <w:p w14:paraId="19BFDDF8" w14:textId="1AF015D2" w:rsidR="00485B6A" w:rsidRPr="003945CD" w:rsidRDefault="003945CD" w:rsidP="00042D57">
      <w:pPr>
        <w:tabs>
          <w:tab w:val="left" w:pos="709"/>
        </w:tabs>
        <w:spacing w:after="0" w:line="240" w:lineRule="auto"/>
        <w:ind w:left="709" w:right="709"/>
        <w:rPr>
          <w:rFonts w:ascii="Arial" w:hAnsi="Arial" w:cs="Arial"/>
          <w:bCs/>
          <w:sz w:val="21"/>
          <w:szCs w:val="21"/>
          <w:lang w:val="es-ES" w:eastAsia="en-US"/>
        </w:rPr>
      </w:pPr>
      <w:r w:rsidRPr="003945CD">
        <w:rPr>
          <w:rFonts w:ascii="Arial" w:hAnsi="Arial" w:cs="Arial"/>
          <w:bCs/>
          <w:sz w:val="21"/>
          <w:szCs w:val="21"/>
          <w:lang w:val="es-ES" w:eastAsia="en-US"/>
        </w:rPr>
        <w:t>«</w:t>
      </w:r>
      <w:r w:rsidR="00485B6A" w:rsidRPr="003945CD">
        <w:rPr>
          <w:rFonts w:ascii="Arial" w:hAnsi="Arial" w:cs="Arial"/>
          <w:bCs/>
          <w:sz w:val="21"/>
          <w:szCs w:val="21"/>
          <w:lang w:eastAsia="en-US"/>
        </w:rPr>
        <w:t>Debe entenderse por otra parte, que cuando la Ley habla de la supresión en los plazos de días de los de vacancia y feriados, se está refiriendo a los actos producidos por la Administración en las dependencias en que no hay despacho público en tales días y no pueden por lo tanto expedirse actos administrativos con consecuencias legales. Es «Despacho Público» el mantenimiento de la oficina abierta al público para ejecutar los actos y despachar los asuntos que corresponden a las funciones del empleo en los términos señalados en la Ley. Por lo tanto</w:t>
      </w:r>
      <w:r>
        <w:rPr>
          <w:rFonts w:ascii="Arial" w:hAnsi="Arial" w:cs="Arial"/>
          <w:bCs/>
          <w:sz w:val="21"/>
          <w:szCs w:val="21"/>
          <w:lang w:eastAsia="en-US"/>
        </w:rPr>
        <w:t>,</w:t>
      </w:r>
      <w:r w:rsidR="00485B6A" w:rsidRPr="003945CD">
        <w:rPr>
          <w:rFonts w:ascii="Arial" w:hAnsi="Arial" w:cs="Arial"/>
          <w:bCs/>
          <w:sz w:val="21"/>
          <w:szCs w:val="21"/>
          <w:lang w:eastAsia="en-US"/>
        </w:rPr>
        <w:t xml:space="preserve"> hay despacho cuando se tiene facultad para laborar, despachar los asuntos y ejecutar los actos propios de sus atribuciones; así no se</w:t>
      </w:r>
      <w:r>
        <w:rPr>
          <w:rFonts w:ascii="Arial" w:hAnsi="Arial" w:cs="Arial"/>
          <w:bCs/>
          <w:sz w:val="21"/>
          <w:szCs w:val="21"/>
          <w:lang w:eastAsia="en-US"/>
        </w:rPr>
        <w:t xml:space="preserve"> haya empleado esa facultad</w:t>
      </w:r>
      <w:r w:rsidRPr="003945CD">
        <w:rPr>
          <w:rFonts w:ascii="Arial" w:hAnsi="Arial" w:cs="Arial"/>
          <w:bCs/>
          <w:sz w:val="21"/>
          <w:szCs w:val="21"/>
          <w:lang w:eastAsia="en-US"/>
        </w:rPr>
        <w:t>»</w:t>
      </w:r>
      <w:r w:rsidR="00485B6A" w:rsidRPr="003945CD">
        <w:rPr>
          <w:rFonts w:ascii="Arial" w:hAnsi="Arial" w:cs="Arial"/>
          <w:bCs/>
          <w:sz w:val="21"/>
          <w:szCs w:val="21"/>
          <w:vertAlign w:val="superscript"/>
          <w:lang w:eastAsia="en-US"/>
        </w:rPr>
        <w:footnoteReference w:id="8"/>
      </w:r>
      <w:r w:rsidR="00485B6A" w:rsidRPr="003945CD">
        <w:rPr>
          <w:rFonts w:ascii="Arial" w:hAnsi="Arial" w:cs="Arial"/>
          <w:bCs/>
          <w:sz w:val="21"/>
          <w:szCs w:val="21"/>
          <w:lang w:eastAsia="en-US"/>
        </w:rPr>
        <w:t>.</w:t>
      </w:r>
    </w:p>
    <w:p w14:paraId="70B33CBF" w14:textId="77777777" w:rsidR="00485B6A" w:rsidRPr="00485B6A" w:rsidRDefault="00485B6A" w:rsidP="00CE5D0E">
      <w:pPr>
        <w:tabs>
          <w:tab w:val="left" w:pos="0"/>
        </w:tabs>
        <w:spacing w:after="0"/>
        <w:rPr>
          <w:rFonts w:ascii="Arial" w:hAnsi="Arial" w:cs="Arial"/>
          <w:bCs/>
          <w:sz w:val="22"/>
          <w:szCs w:val="22"/>
          <w:lang w:val="es-ES" w:eastAsia="en-US"/>
        </w:rPr>
      </w:pPr>
    </w:p>
    <w:p w14:paraId="272E5A6F" w14:textId="77777777" w:rsidR="00485B6A" w:rsidRPr="00485B6A" w:rsidRDefault="00485B6A" w:rsidP="00CE5D0E">
      <w:pPr>
        <w:tabs>
          <w:tab w:val="left" w:pos="0"/>
        </w:tabs>
        <w:spacing w:after="0"/>
        <w:rPr>
          <w:rFonts w:ascii="Arial" w:hAnsi="Arial" w:cs="Arial"/>
          <w:bCs/>
          <w:sz w:val="22"/>
          <w:szCs w:val="22"/>
          <w:lang w:val="es-ES" w:eastAsia="en-US"/>
        </w:rPr>
      </w:pPr>
      <w:r w:rsidRPr="00485B6A">
        <w:rPr>
          <w:rFonts w:ascii="Arial" w:hAnsi="Arial" w:cs="Arial"/>
          <w:bCs/>
          <w:sz w:val="22"/>
          <w:szCs w:val="22"/>
          <w:lang w:val="es-ES" w:eastAsia="en-US"/>
        </w:rPr>
        <w:tab/>
        <w:t xml:space="preserve">Posteriormente, en el auto del 26 de febrero de 1983, manifestó que el cómputo de los días hábiles de los que trata la norma debe hacerse con relación a los «días </w:t>
      </w:r>
      <w:r w:rsidRPr="00485B6A">
        <w:rPr>
          <w:rFonts w:ascii="Arial" w:hAnsi="Arial" w:cs="Arial"/>
          <w:bCs/>
          <w:sz w:val="22"/>
          <w:szCs w:val="22"/>
          <w:lang w:val="es-ES" w:eastAsia="en-US"/>
        </w:rPr>
        <w:lastRenderedPageBreak/>
        <w:t>laborables forzosos», introduciendo un criterio para determinar lo que se entiende por día hábil en los siguientes términos:</w:t>
      </w:r>
    </w:p>
    <w:p w14:paraId="38500F4B" w14:textId="77777777" w:rsidR="00485B6A" w:rsidRPr="00485B6A" w:rsidRDefault="00485B6A" w:rsidP="00CE5D0E">
      <w:pPr>
        <w:tabs>
          <w:tab w:val="left" w:pos="0"/>
        </w:tabs>
        <w:spacing w:after="0"/>
        <w:rPr>
          <w:rFonts w:ascii="Arial" w:hAnsi="Arial" w:cs="Arial"/>
          <w:bCs/>
          <w:sz w:val="22"/>
          <w:szCs w:val="22"/>
          <w:lang w:val="es-ES" w:eastAsia="en-US"/>
        </w:rPr>
      </w:pPr>
    </w:p>
    <w:p w14:paraId="72678836" w14:textId="37A34DBC" w:rsidR="00485B6A" w:rsidRPr="00415463" w:rsidRDefault="00415463" w:rsidP="00042D57">
      <w:pPr>
        <w:tabs>
          <w:tab w:val="left" w:pos="709"/>
        </w:tabs>
        <w:spacing w:after="0" w:line="240" w:lineRule="auto"/>
        <w:ind w:left="709" w:right="709"/>
        <w:rPr>
          <w:rFonts w:ascii="Arial" w:hAnsi="Arial" w:cs="Arial"/>
          <w:bCs/>
          <w:sz w:val="21"/>
          <w:szCs w:val="21"/>
          <w:lang w:val="es-ES" w:eastAsia="en-US"/>
        </w:rPr>
      </w:pPr>
      <w:r w:rsidRPr="00415463">
        <w:rPr>
          <w:rFonts w:ascii="Arial" w:hAnsi="Arial" w:cs="Arial"/>
          <w:bCs/>
          <w:sz w:val="22"/>
          <w:szCs w:val="22"/>
          <w:lang w:val="es-ES" w:eastAsia="en-US"/>
        </w:rPr>
        <w:t>«</w:t>
      </w:r>
      <w:r w:rsidR="00485B6A" w:rsidRPr="00485B6A">
        <w:rPr>
          <w:rFonts w:ascii="Arial" w:hAnsi="Arial" w:cs="Arial"/>
          <w:bCs/>
          <w:sz w:val="22"/>
          <w:szCs w:val="22"/>
          <w:lang w:val="es-CO" w:eastAsia="en-US"/>
        </w:rPr>
        <w:t>[</w:t>
      </w:r>
      <w:r w:rsidR="00485B6A" w:rsidRPr="00415463">
        <w:rPr>
          <w:rFonts w:ascii="Arial" w:hAnsi="Arial" w:cs="Arial"/>
          <w:bCs/>
          <w:sz w:val="21"/>
          <w:szCs w:val="21"/>
          <w:lang w:val="es-ES" w:eastAsia="en-US"/>
        </w:rPr>
        <w:t>E]l cómputo de días hábiles de que trata el artículo 62 de la Ley 4.ª de 1913 debe realizarse con base en los días laborables forzosos, teniendo por tales todos los del año, excluidos los señalados por la ley como de descanso remunerado.</w:t>
      </w:r>
    </w:p>
    <w:p w14:paraId="08E162E7" w14:textId="4474626D" w:rsidR="00485B6A" w:rsidRPr="00415463" w:rsidRDefault="00485B6A" w:rsidP="00042D57">
      <w:pPr>
        <w:tabs>
          <w:tab w:val="left" w:pos="709"/>
        </w:tabs>
        <w:spacing w:after="0" w:line="240" w:lineRule="auto"/>
        <w:ind w:left="709" w:right="709"/>
        <w:rPr>
          <w:rFonts w:ascii="Arial" w:hAnsi="Arial" w:cs="Arial"/>
          <w:bCs/>
          <w:sz w:val="21"/>
          <w:szCs w:val="21"/>
          <w:lang w:val="es-ES" w:eastAsia="en-US"/>
        </w:rPr>
      </w:pPr>
      <w:r w:rsidRPr="00415463">
        <w:rPr>
          <w:rFonts w:ascii="Arial" w:hAnsi="Arial" w:cs="Arial"/>
          <w:bCs/>
          <w:sz w:val="21"/>
          <w:szCs w:val="21"/>
          <w:lang w:val="es-ES" w:eastAsia="en-US"/>
        </w:rPr>
        <w:t xml:space="preserve">Así, el criterio que determina el carácter de hábil de los días, para el cómputo de los términos legales, es el de su </w:t>
      </w:r>
      <w:proofErr w:type="spellStart"/>
      <w:r w:rsidRPr="00415463">
        <w:rPr>
          <w:rFonts w:ascii="Arial" w:hAnsi="Arial" w:cs="Arial"/>
          <w:bCs/>
          <w:sz w:val="21"/>
          <w:szCs w:val="21"/>
          <w:lang w:val="es-ES" w:eastAsia="en-US"/>
        </w:rPr>
        <w:t>laborabilidad</w:t>
      </w:r>
      <w:proofErr w:type="spellEnd"/>
      <w:r w:rsidRPr="00415463">
        <w:rPr>
          <w:rFonts w:ascii="Arial" w:hAnsi="Arial" w:cs="Arial"/>
          <w:bCs/>
          <w:sz w:val="21"/>
          <w:szCs w:val="21"/>
          <w:lang w:val="es-ES" w:eastAsia="en-US"/>
        </w:rPr>
        <w:t xml:space="preserve"> [sic]. Ello implica que son hábiles aquellos para los que no hay disposición legal expresa que exima del deber de trabajar, vale decir, los ordinarios, días en los que deben funcionar las oficinas públicas; y no hábiles aquellos para los cuales la ley ha previsto el derecho a descanso remunerado; tales son los domingos, los previstos por el artículo </w:t>
      </w:r>
      <w:proofErr w:type="gramStart"/>
      <w:r w:rsidRPr="00415463">
        <w:rPr>
          <w:rFonts w:ascii="Arial" w:hAnsi="Arial" w:cs="Arial"/>
          <w:bCs/>
          <w:sz w:val="21"/>
          <w:szCs w:val="21"/>
          <w:lang w:val="es-ES" w:eastAsia="en-US"/>
        </w:rPr>
        <w:t>1.°</w:t>
      </w:r>
      <w:proofErr w:type="gramEnd"/>
      <w:r w:rsidRPr="00415463">
        <w:rPr>
          <w:rFonts w:ascii="Arial" w:hAnsi="Arial" w:cs="Arial"/>
          <w:bCs/>
          <w:sz w:val="21"/>
          <w:szCs w:val="21"/>
          <w:lang w:val="es-ES" w:eastAsia="en-US"/>
        </w:rPr>
        <w:t xml:space="preserve"> de la Ley 51 de 1983 y los señalados como vacancia para la rama jurisdiccional, el Ministerio Público y las direcciones de instrucción criminal. Cabe anotar que para algunas oficinas no son hábiles los sábados, en cuanto no funcionan en esos días por trasladarse la respectiva jornada, en extensión de la ordinaria, a los demás de la semana</w:t>
      </w:r>
      <w:r w:rsidR="00415463" w:rsidRPr="00415463">
        <w:rPr>
          <w:rFonts w:ascii="Arial" w:hAnsi="Arial" w:cs="Arial"/>
          <w:bCs/>
          <w:sz w:val="21"/>
          <w:szCs w:val="21"/>
          <w:lang w:eastAsia="en-US"/>
        </w:rPr>
        <w:t>»</w:t>
      </w:r>
      <w:r w:rsidRPr="00042D57">
        <w:rPr>
          <w:rFonts w:ascii="Arial" w:hAnsi="Arial" w:cs="Arial"/>
          <w:bCs/>
          <w:sz w:val="19"/>
          <w:szCs w:val="19"/>
          <w:vertAlign w:val="superscript"/>
          <w:lang w:val="es-ES" w:eastAsia="en-US"/>
        </w:rPr>
        <w:footnoteReference w:id="9"/>
      </w:r>
      <w:r w:rsidRPr="00415463">
        <w:rPr>
          <w:rFonts w:ascii="Arial" w:hAnsi="Arial" w:cs="Arial"/>
          <w:bCs/>
          <w:sz w:val="16"/>
          <w:szCs w:val="16"/>
          <w:lang w:val="es-ES" w:eastAsia="en-US"/>
        </w:rPr>
        <w:t>.</w:t>
      </w:r>
    </w:p>
    <w:p w14:paraId="499BDEF5" w14:textId="77777777" w:rsidR="00485B6A" w:rsidRPr="00485B6A" w:rsidRDefault="00485B6A" w:rsidP="00CE5D0E">
      <w:pPr>
        <w:tabs>
          <w:tab w:val="left" w:pos="0"/>
        </w:tabs>
        <w:spacing w:after="0"/>
        <w:rPr>
          <w:rFonts w:ascii="Arial" w:hAnsi="Arial" w:cs="Arial"/>
          <w:bCs/>
          <w:sz w:val="22"/>
          <w:szCs w:val="22"/>
          <w:lang w:val="es-ES" w:eastAsia="en-US"/>
        </w:rPr>
      </w:pPr>
      <w:r w:rsidRPr="00485B6A">
        <w:rPr>
          <w:rFonts w:ascii="Arial" w:hAnsi="Arial" w:cs="Arial"/>
          <w:bCs/>
          <w:sz w:val="22"/>
          <w:szCs w:val="22"/>
          <w:lang w:val="es-ES" w:eastAsia="en-US"/>
        </w:rPr>
        <w:t xml:space="preserve"> </w:t>
      </w:r>
    </w:p>
    <w:p w14:paraId="563DAD4C" w14:textId="38B6AB81" w:rsidR="00CE5D0E" w:rsidRDefault="00485B6A" w:rsidP="00042D57">
      <w:pPr>
        <w:tabs>
          <w:tab w:val="left" w:pos="0"/>
        </w:tabs>
        <w:spacing w:after="120"/>
        <w:rPr>
          <w:rFonts w:ascii="Arial" w:hAnsi="Arial" w:cs="Arial"/>
          <w:bCs/>
          <w:sz w:val="22"/>
          <w:szCs w:val="22"/>
          <w:lang w:val="es-ES" w:eastAsia="en-US"/>
        </w:rPr>
      </w:pPr>
      <w:r w:rsidRPr="00485B6A">
        <w:rPr>
          <w:rFonts w:ascii="Arial" w:hAnsi="Arial" w:cs="Arial"/>
          <w:bCs/>
          <w:sz w:val="22"/>
          <w:szCs w:val="22"/>
          <w:lang w:val="es-ES" w:eastAsia="en-US"/>
        </w:rPr>
        <w:tab/>
        <w:t xml:space="preserve">Conforme </w:t>
      </w:r>
      <w:r w:rsidR="00CB789C">
        <w:rPr>
          <w:rFonts w:ascii="Arial" w:hAnsi="Arial" w:cs="Arial"/>
          <w:bCs/>
          <w:sz w:val="22"/>
          <w:szCs w:val="22"/>
          <w:lang w:val="es-ES" w:eastAsia="en-US"/>
        </w:rPr>
        <w:t>con</w:t>
      </w:r>
      <w:r w:rsidRPr="00485B6A">
        <w:rPr>
          <w:rFonts w:ascii="Arial" w:hAnsi="Arial" w:cs="Arial"/>
          <w:bCs/>
          <w:sz w:val="22"/>
          <w:szCs w:val="22"/>
          <w:lang w:val="es-ES" w:eastAsia="en-US"/>
        </w:rPr>
        <w:t xml:space="preserve"> lo anterior, los días hábiles se determinan según la entidad, ya que «cada entidad pública establece la jornada laboral, a través de su reglamento interno, dando certeza sobre los días que atienden al público, e indirectamente definiendo qué día es hábil en determinada institución»</w:t>
      </w:r>
      <w:r w:rsidRPr="00485B6A">
        <w:rPr>
          <w:rFonts w:ascii="Arial" w:hAnsi="Arial" w:cs="Arial"/>
          <w:bCs/>
          <w:sz w:val="22"/>
          <w:szCs w:val="22"/>
          <w:vertAlign w:val="superscript"/>
          <w:lang w:val="es-ES" w:eastAsia="en-US"/>
        </w:rPr>
        <w:footnoteReference w:id="10"/>
      </w:r>
      <w:r w:rsidRPr="00485B6A">
        <w:rPr>
          <w:rFonts w:ascii="Arial" w:hAnsi="Arial" w:cs="Arial"/>
          <w:bCs/>
          <w:sz w:val="22"/>
          <w:szCs w:val="22"/>
          <w:lang w:val="es-ES" w:eastAsia="en-US"/>
        </w:rPr>
        <w:t xml:space="preserve">, por lo que días hábiles son aquellos de la semana durante los cuales las entidades públicas ejercen sus funciones y prestan servicio al público, los cuales son, por regla general, todos los días de la semana, con excepción de los sábados, domingos y feriados previstos en la generalidad de entidades como días de descanso. </w:t>
      </w:r>
    </w:p>
    <w:p w14:paraId="7BC528D4" w14:textId="55288902" w:rsidR="00485B6A" w:rsidRDefault="00485B6A" w:rsidP="00042D57">
      <w:pPr>
        <w:tabs>
          <w:tab w:val="left" w:pos="0"/>
        </w:tabs>
        <w:spacing w:after="120"/>
        <w:ind w:firstLine="709"/>
        <w:rPr>
          <w:rFonts w:ascii="Arial" w:hAnsi="Arial" w:cs="Arial"/>
          <w:bCs/>
          <w:sz w:val="22"/>
          <w:szCs w:val="22"/>
          <w:lang w:val="es-ES" w:eastAsia="en-US"/>
        </w:rPr>
      </w:pPr>
      <w:r w:rsidRPr="00485B6A">
        <w:rPr>
          <w:rFonts w:ascii="Arial" w:hAnsi="Arial" w:cs="Arial"/>
          <w:bCs/>
          <w:sz w:val="22"/>
          <w:szCs w:val="22"/>
          <w:lang w:val="es-ES" w:eastAsia="en-US"/>
        </w:rPr>
        <w:t>Lo anterior sin perjuicio de que las entidades definan en sus reglamentos internos jornadas laborales distintas, que incluyan el sábado o el domingo, como «en los numerosos municipios del país donde la Administración labora los fines de semana ―sábados y domingos― normalmente para brindarle un buen servicio a la población campesina, que acostumbra ir al casco urbano en estos dos días y descansan un día de la semana ―usualmente el miércoles―»</w:t>
      </w:r>
      <w:r w:rsidRPr="00485B6A">
        <w:rPr>
          <w:rFonts w:ascii="Arial" w:hAnsi="Arial" w:cs="Arial"/>
          <w:bCs/>
          <w:sz w:val="22"/>
          <w:szCs w:val="22"/>
          <w:vertAlign w:val="superscript"/>
          <w:lang w:val="es-ES" w:eastAsia="en-US"/>
        </w:rPr>
        <w:footnoteReference w:id="11"/>
      </w:r>
      <w:r w:rsidRPr="00485B6A">
        <w:rPr>
          <w:rFonts w:ascii="Arial" w:hAnsi="Arial" w:cs="Arial"/>
          <w:bCs/>
          <w:sz w:val="22"/>
          <w:szCs w:val="22"/>
          <w:lang w:val="es-ES" w:eastAsia="en-US"/>
        </w:rPr>
        <w:t xml:space="preserve">, ejemplo donde los días laborables o hábiles son todos los de la semana, con excepción del miércoles. </w:t>
      </w:r>
    </w:p>
    <w:p w14:paraId="55BC4653" w14:textId="69D7B73C" w:rsidR="00485B6A" w:rsidRDefault="00485B6A" w:rsidP="00042D57">
      <w:pPr>
        <w:tabs>
          <w:tab w:val="left" w:pos="0"/>
        </w:tabs>
        <w:spacing w:after="120"/>
        <w:rPr>
          <w:rFonts w:ascii="Arial" w:hAnsi="Arial" w:cs="Arial"/>
          <w:bCs/>
          <w:sz w:val="22"/>
          <w:szCs w:val="22"/>
          <w:lang w:val="es-ES" w:eastAsia="en-US"/>
        </w:rPr>
      </w:pPr>
      <w:r w:rsidRPr="00485B6A">
        <w:rPr>
          <w:rFonts w:ascii="Arial" w:hAnsi="Arial" w:cs="Arial"/>
          <w:bCs/>
          <w:sz w:val="22"/>
          <w:szCs w:val="22"/>
          <w:lang w:val="es-ES" w:eastAsia="en-US"/>
        </w:rPr>
        <w:lastRenderedPageBreak/>
        <w:tab/>
        <w:t>Lo anterior implica, respecto del término para publicar</w:t>
      </w:r>
      <w:r w:rsidR="00CE5D0E">
        <w:rPr>
          <w:rFonts w:ascii="Arial" w:hAnsi="Arial" w:cs="Arial"/>
          <w:bCs/>
          <w:sz w:val="22"/>
          <w:szCs w:val="22"/>
          <w:lang w:val="es-ES" w:eastAsia="en-US"/>
        </w:rPr>
        <w:t xml:space="preserve"> el informe de evaluación de las ofertas en los procesos de licitación pública, selección abreviada de menor cuantía y concurso de méritos, al que se refiere la consulta formulada en este caso, </w:t>
      </w:r>
      <w:r w:rsidRPr="00485B6A">
        <w:rPr>
          <w:rFonts w:ascii="Arial" w:hAnsi="Arial" w:cs="Arial"/>
          <w:bCs/>
          <w:sz w:val="22"/>
          <w:szCs w:val="22"/>
          <w:lang w:val="es-ES" w:eastAsia="en-US"/>
        </w:rPr>
        <w:t xml:space="preserve">que deberá transcurrir dentro de los días definidos por cada entidad estatal como laborables en su correspondiente reglamento o manual de funciones. </w:t>
      </w:r>
    </w:p>
    <w:p w14:paraId="3B555DD3" w14:textId="23975D96" w:rsidR="00485B6A" w:rsidRDefault="00485B6A" w:rsidP="00042D57">
      <w:pPr>
        <w:tabs>
          <w:tab w:val="left" w:pos="0"/>
        </w:tabs>
        <w:spacing w:after="120"/>
        <w:rPr>
          <w:rFonts w:ascii="Arial" w:hAnsi="Arial" w:cs="Arial"/>
          <w:bCs/>
          <w:sz w:val="22"/>
          <w:szCs w:val="22"/>
          <w:lang w:val="es-ES" w:eastAsia="en-US"/>
        </w:rPr>
      </w:pPr>
      <w:r w:rsidRPr="00485B6A">
        <w:rPr>
          <w:rFonts w:ascii="Arial" w:hAnsi="Arial" w:cs="Arial"/>
          <w:bCs/>
          <w:sz w:val="22"/>
          <w:szCs w:val="22"/>
          <w:lang w:val="es-ES" w:eastAsia="en-US"/>
        </w:rPr>
        <w:tab/>
      </w:r>
      <w:r w:rsidR="007C4B8F">
        <w:rPr>
          <w:rFonts w:ascii="Arial" w:hAnsi="Arial" w:cs="Arial"/>
          <w:bCs/>
          <w:sz w:val="22"/>
          <w:szCs w:val="22"/>
          <w:lang w:val="es-ES" w:eastAsia="en-US"/>
        </w:rPr>
        <w:t xml:space="preserve">Ahora bien, teniendo en cuenta que en la actualidad los procesos se pueden tramitar en las plataformas de SECOP I y de SECOP II, </w:t>
      </w:r>
      <w:r w:rsidRPr="00485B6A">
        <w:rPr>
          <w:rFonts w:ascii="Arial" w:hAnsi="Arial" w:cs="Arial"/>
          <w:bCs/>
          <w:sz w:val="22"/>
          <w:szCs w:val="22"/>
          <w:lang w:val="es-ES" w:eastAsia="en-US"/>
        </w:rPr>
        <w:t xml:space="preserve">la Agencia Nacional de Contratación Pública – Colombia Compra Eficiente </w:t>
      </w:r>
      <w:r w:rsidR="007C4B8F">
        <w:rPr>
          <w:rFonts w:ascii="Arial" w:hAnsi="Arial" w:cs="Arial"/>
          <w:bCs/>
          <w:sz w:val="22"/>
          <w:szCs w:val="22"/>
          <w:lang w:val="es-ES" w:eastAsia="en-US"/>
        </w:rPr>
        <w:t xml:space="preserve">ha considerado </w:t>
      </w:r>
      <w:r w:rsidRPr="00485B6A">
        <w:rPr>
          <w:rFonts w:ascii="Arial" w:hAnsi="Arial" w:cs="Arial"/>
          <w:bCs/>
          <w:sz w:val="22"/>
          <w:szCs w:val="22"/>
          <w:lang w:val="es-ES" w:eastAsia="en-US"/>
        </w:rPr>
        <w:t>que</w:t>
      </w:r>
      <w:r w:rsidR="007C4B8F">
        <w:rPr>
          <w:rFonts w:ascii="Arial" w:hAnsi="Arial" w:cs="Arial"/>
          <w:bCs/>
          <w:sz w:val="22"/>
          <w:szCs w:val="22"/>
          <w:lang w:val="es-ES" w:eastAsia="en-US"/>
        </w:rPr>
        <w:t>, tratándose del término de traslado del informe de evaluación de las ofertas, e</w:t>
      </w:r>
      <w:r w:rsidR="007167F9" w:rsidRPr="007167F9">
        <w:rPr>
          <w:rFonts w:ascii="Arial" w:hAnsi="Arial" w:cs="Arial"/>
          <w:bCs/>
          <w:sz w:val="22"/>
          <w:szCs w:val="22"/>
          <w:lang w:eastAsia="en-US"/>
        </w:rPr>
        <w:t xml:space="preserve">n los procesos adelantados en el SECOP I, las </w:t>
      </w:r>
      <w:r w:rsidR="007069B0">
        <w:rPr>
          <w:rFonts w:ascii="Arial" w:hAnsi="Arial" w:cs="Arial"/>
          <w:bCs/>
          <w:sz w:val="22"/>
          <w:szCs w:val="22"/>
          <w:lang w:eastAsia="en-US"/>
        </w:rPr>
        <w:t xml:space="preserve">observaciones, </w:t>
      </w:r>
      <w:r w:rsidR="007167F9" w:rsidRPr="007167F9">
        <w:rPr>
          <w:rFonts w:ascii="Arial" w:hAnsi="Arial" w:cs="Arial"/>
          <w:bCs/>
          <w:sz w:val="22"/>
          <w:szCs w:val="22"/>
          <w:lang w:eastAsia="en-US"/>
        </w:rPr>
        <w:t>subsanaciones, explicaciones y aclaraciones se presentarán por cualquier medio: en físico, entre las horas de atención al público; o por correo electrónico hasta las 23:59 p. m. del día e</w:t>
      </w:r>
      <w:r w:rsidR="007C4B8F">
        <w:rPr>
          <w:rFonts w:ascii="Arial" w:hAnsi="Arial" w:cs="Arial"/>
          <w:bCs/>
          <w:sz w:val="22"/>
          <w:szCs w:val="22"/>
          <w:lang w:eastAsia="en-US"/>
        </w:rPr>
        <w:t>stablecido en el cronograma y que, l</w:t>
      </w:r>
      <w:r w:rsidR="007167F9" w:rsidRPr="007167F9">
        <w:rPr>
          <w:rFonts w:ascii="Arial" w:hAnsi="Arial" w:cs="Arial"/>
          <w:bCs/>
          <w:sz w:val="22"/>
          <w:szCs w:val="22"/>
          <w:lang w:eastAsia="en-US"/>
        </w:rPr>
        <w:t>os adelantados en el SECOP II se subsanarán por medio de mensajes, en la forma prevista en la plataforma</w:t>
      </w:r>
      <w:r w:rsidR="007C4B8F">
        <w:rPr>
          <w:rFonts w:ascii="Arial" w:hAnsi="Arial" w:cs="Arial"/>
          <w:bCs/>
          <w:sz w:val="22"/>
          <w:szCs w:val="22"/>
          <w:lang w:val="es-ES" w:eastAsia="en-US"/>
        </w:rPr>
        <w:t>.</w:t>
      </w:r>
    </w:p>
    <w:p w14:paraId="54FD4769" w14:textId="59198C92" w:rsidR="00485B6A" w:rsidRDefault="00485B6A" w:rsidP="00042D57">
      <w:pPr>
        <w:tabs>
          <w:tab w:val="left" w:pos="0"/>
        </w:tabs>
        <w:spacing w:after="120"/>
        <w:rPr>
          <w:rFonts w:ascii="Arial" w:hAnsi="Arial" w:cs="Arial"/>
          <w:bCs/>
          <w:sz w:val="22"/>
          <w:szCs w:val="22"/>
          <w:lang w:val="es-ES" w:eastAsia="en-US"/>
        </w:rPr>
      </w:pPr>
      <w:r w:rsidRPr="00485B6A">
        <w:rPr>
          <w:rFonts w:ascii="Arial" w:hAnsi="Arial" w:cs="Arial"/>
          <w:bCs/>
          <w:sz w:val="22"/>
          <w:szCs w:val="22"/>
          <w:lang w:val="es-ES" w:eastAsia="en-US"/>
        </w:rPr>
        <w:tab/>
        <w:t>En ese sentido, el hecho de que el procedimiento de selección se lleve a cabo recibiendo ofertas en físico, publicándose la documentación contractual en SECOP I; o que se realice de manera electrónica a través de SECOP II, deviene en una regla interpretativa respecto de lo que debe entenderse por hábil en el marco de un proceso de selección. Conforme a esta regla, a las entidades que utilizan SECOP I, para cumplir con el término mínimo</w:t>
      </w:r>
      <w:r w:rsidR="007C4B8F">
        <w:rPr>
          <w:rFonts w:ascii="Arial" w:hAnsi="Arial" w:cs="Arial"/>
          <w:bCs/>
          <w:sz w:val="22"/>
          <w:szCs w:val="22"/>
          <w:lang w:val="es-ES" w:eastAsia="en-US"/>
        </w:rPr>
        <w:t xml:space="preserve"> fijado en la ley para la publicación del informe de evaluación </w:t>
      </w:r>
      <w:r w:rsidR="00E14BF9">
        <w:rPr>
          <w:rFonts w:ascii="Arial" w:hAnsi="Arial" w:cs="Arial"/>
          <w:bCs/>
          <w:sz w:val="22"/>
          <w:szCs w:val="22"/>
          <w:lang w:val="es-ES" w:eastAsia="en-US"/>
        </w:rPr>
        <w:t>–</w:t>
      </w:r>
      <w:r w:rsidR="007C4B8F">
        <w:rPr>
          <w:rFonts w:ascii="Arial" w:hAnsi="Arial" w:cs="Arial"/>
          <w:bCs/>
          <w:sz w:val="22"/>
          <w:szCs w:val="22"/>
          <w:lang w:val="es-ES" w:eastAsia="en-US"/>
        </w:rPr>
        <w:t>3 o 5 días según sea el caso</w:t>
      </w:r>
      <w:r w:rsidR="00E14BF9">
        <w:rPr>
          <w:rFonts w:ascii="Arial" w:hAnsi="Arial" w:cs="Arial"/>
          <w:bCs/>
          <w:sz w:val="22"/>
          <w:szCs w:val="22"/>
          <w:lang w:val="es-ES" w:eastAsia="en-US"/>
        </w:rPr>
        <w:t>–</w:t>
      </w:r>
      <w:r w:rsidRPr="00485B6A">
        <w:rPr>
          <w:rFonts w:ascii="Arial" w:hAnsi="Arial" w:cs="Arial"/>
          <w:bCs/>
          <w:sz w:val="22"/>
          <w:szCs w:val="22"/>
          <w:lang w:val="es-ES" w:eastAsia="en-US"/>
        </w:rPr>
        <w:t>, les bastará con recibir</w:t>
      </w:r>
      <w:r w:rsidR="007C4B8F">
        <w:rPr>
          <w:rFonts w:ascii="Arial" w:hAnsi="Arial" w:cs="Arial"/>
          <w:bCs/>
          <w:sz w:val="22"/>
          <w:szCs w:val="22"/>
          <w:lang w:val="es-ES" w:eastAsia="en-US"/>
        </w:rPr>
        <w:t xml:space="preserve"> observaciones o subsanaciones </w:t>
      </w:r>
      <w:r w:rsidRPr="00485B6A">
        <w:rPr>
          <w:rFonts w:ascii="Arial" w:hAnsi="Arial" w:cs="Arial"/>
          <w:bCs/>
          <w:sz w:val="22"/>
          <w:szCs w:val="22"/>
          <w:lang w:val="es-ES" w:eastAsia="en-US"/>
        </w:rPr>
        <w:t xml:space="preserve">por el lapso correspondiente </w:t>
      </w:r>
      <w:r w:rsidR="00E14BF9">
        <w:rPr>
          <w:rFonts w:ascii="Arial" w:hAnsi="Arial" w:cs="Arial"/>
          <w:bCs/>
          <w:sz w:val="22"/>
          <w:szCs w:val="22"/>
          <w:lang w:val="es-ES" w:eastAsia="en-US"/>
        </w:rPr>
        <w:t>a las</w:t>
      </w:r>
      <w:r w:rsidRPr="00485B6A">
        <w:rPr>
          <w:rFonts w:ascii="Arial" w:hAnsi="Arial" w:cs="Arial"/>
          <w:bCs/>
          <w:sz w:val="22"/>
          <w:szCs w:val="22"/>
          <w:lang w:val="es-ES" w:eastAsia="en-US"/>
        </w:rPr>
        <w:t xml:space="preserve"> jornada</w:t>
      </w:r>
      <w:r w:rsidR="00E14BF9">
        <w:rPr>
          <w:rFonts w:ascii="Arial" w:hAnsi="Arial" w:cs="Arial"/>
          <w:bCs/>
          <w:sz w:val="22"/>
          <w:szCs w:val="22"/>
          <w:lang w:val="es-ES" w:eastAsia="en-US"/>
        </w:rPr>
        <w:t>s</w:t>
      </w:r>
      <w:r w:rsidRPr="00485B6A">
        <w:rPr>
          <w:rFonts w:ascii="Arial" w:hAnsi="Arial" w:cs="Arial"/>
          <w:bCs/>
          <w:sz w:val="22"/>
          <w:szCs w:val="22"/>
          <w:lang w:val="es-ES" w:eastAsia="en-US"/>
        </w:rPr>
        <w:t xml:space="preserve"> laboral</w:t>
      </w:r>
      <w:r w:rsidR="00E14BF9">
        <w:rPr>
          <w:rFonts w:ascii="Arial" w:hAnsi="Arial" w:cs="Arial"/>
          <w:bCs/>
          <w:sz w:val="22"/>
          <w:szCs w:val="22"/>
          <w:lang w:val="es-ES" w:eastAsia="en-US"/>
        </w:rPr>
        <w:t>es</w:t>
      </w:r>
      <w:r w:rsidRPr="00485B6A">
        <w:rPr>
          <w:rFonts w:ascii="Arial" w:hAnsi="Arial" w:cs="Arial"/>
          <w:bCs/>
          <w:sz w:val="22"/>
          <w:szCs w:val="22"/>
          <w:lang w:val="es-ES" w:eastAsia="en-US"/>
        </w:rPr>
        <w:t xml:space="preserve"> diaria</w:t>
      </w:r>
      <w:r w:rsidR="00E14BF9">
        <w:rPr>
          <w:rFonts w:ascii="Arial" w:hAnsi="Arial" w:cs="Arial"/>
          <w:bCs/>
          <w:sz w:val="22"/>
          <w:szCs w:val="22"/>
          <w:lang w:val="es-ES" w:eastAsia="en-US"/>
        </w:rPr>
        <w:t>s</w:t>
      </w:r>
      <w:r w:rsidR="007C4B8F">
        <w:rPr>
          <w:rFonts w:ascii="Arial" w:hAnsi="Arial" w:cs="Arial"/>
          <w:bCs/>
          <w:sz w:val="22"/>
          <w:szCs w:val="22"/>
          <w:lang w:val="es-ES" w:eastAsia="en-US"/>
        </w:rPr>
        <w:t xml:space="preserve"> si se trata de documentos presentados físicamente, pero, deberán recibir válidamente los que se han remitido por correo electrónico hasta </w:t>
      </w:r>
      <w:r w:rsidR="00305D50">
        <w:rPr>
          <w:rFonts w:ascii="Arial" w:hAnsi="Arial" w:cs="Arial"/>
          <w:bCs/>
          <w:sz w:val="22"/>
          <w:szCs w:val="22"/>
          <w:lang w:val="es-ES" w:eastAsia="en-US"/>
        </w:rPr>
        <w:t>las 23.59 p.m. del último día del plazo</w:t>
      </w:r>
      <w:r w:rsidRPr="00485B6A">
        <w:rPr>
          <w:rFonts w:ascii="Arial" w:hAnsi="Arial" w:cs="Arial"/>
          <w:bCs/>
          <w:sz w:val="22"/>
          <w:szCs w:val="22"/>
          <w:lang w:val="es-ES" w:eastAsia="en-US"/>
        </w:rPr>
        <w:t xml:space="preserve">. </w:t>
      </w:r>
    </w:p>
    <w:p w14:paraId="24B30EEB" w14:textId="642663A8" w:rsidR="0012359E" w:rsidRDefault="00485B6A" w:rsidP="000F41CB">
      <w:pPr>
        <w:spacing w:after="0"/>
        <w:rPr>
          <w:rFonts w:ascii="Arial" w:hAnsi="Arial" w:cs="Arial"/>
          <w:bCs/>
          <w:sz w:val="22"/>
          <w:szCs w:val="22"/>
          <w:lang w:val="es-ES" w:eastAsia="en-US"/>
        </w:rPr>
      </w:pPr>
      <w:r w:rsidRPr="00485B6A">
        <w:rPr>
          <w:rFonts w:ascii="Arial" w:hAnsi="Arial" w:cs="Arial"/>
          <w:bCs/>
          <w:sz w:val="22"/>
          <w:szCs w:val="22"/>
          <w:lang w:val="es-ES" w:eastAsia="en-US"/>
        </w:rPr>
        <w:tab/>
        <w:t xml:space="preserve">De otro lado, en el caso de las entidades que realizan sus procedimientos de selección a través de SECOP II, </w:t>
      </w:r>
      <w:r w:rsidR="00E14BF9">
        <w:rPr>
          <w:rFonts w:ascii="Arial" w:hAnsi="Arial" w:cs="Arial"/>
          <w:bCs/>
          <w:sz w:val="22"/>
          <w:szCs w:val="22"/>
          <w:lang w:val="es-ES" w:eastAsia="en-US"/>
        </w:rPr>
        <w:t>se debe</w:t>
      </w:r>
      <w:r w:rsidR="00E14BF9" w:rsidRPr="00485B6A">
        <w:rPr>
          <w:rFonts w:ascii="Arial" w:hAnsi="Arial" w:cs="Arial"/>
          <w:bCs/>
          <w:sz w:val="22"/>
          <w:szCs w:val="22"/>
          <w:lang w:val="es-ES" w:eastAsia="en-US"/>
        </w:rPr>
        <w:t xml:space="preserve"> </w:t>
      </w:r>
      <w:r w:rsidRPr="00485B6A">
        <w:rPr>
          <w:rFonts w:ascii="Arial" w:hAnsi="Arial" w:cs="Arial"/>
          <w:bCs/>
          <w:sz w:val="22"/>
          <w:szCs w:val="22"/>
          <w:lang w:val="es-ES" w:eastAsia="en-US"/>
        </w:rPr>
        <w:t>extender el t</w:t>
      </w:r>
      <w:r w:rsidR="001A1680">
        <w:rPr>
          <w:rFonts w:ascii="Arial" w:hAnsi="Arial" w:cs="Arial"/>
          <w:bCs/>
          <w:sz w:val="22"/>
          <w:szCs w:val="22"/>
          <w:lang w:val="es-ES" w:eastAsia="en-US"/>
        </w:rPr>
        <w:t>é</w:t>
      </w:r>
      <w:r w:rsidRPr="00485B6A">
        <w:rPr>
          <w:rFonts w:ascii="Arial" w:hAnsi="Arial" w:cs="Arial"/>
          <w:bCs/>
          <w:sz w:val="22"/>
          <w:szCs w:val="22"/>
          <w:lang w:val="es-ES" w:eastAsia="en-US"/>
        </w:rPr>
        <w:t xml:space="preserve">rmino </w:t>
      </w:r>
      <w:r w:rsidR="0012359E">
        <w:rPr>
          <w:rFonts w:ascii="Arial" w:hAnsi="Arial" w:cs="Arial"/>
          <w:bCs/>
          <w:sz w:val="22"/>
          <w:szCs w:val="22"/>
          <w:lang w:val="es-ES" w:eastAsia="en-US"/>
        </w:rPr>
        <w:t xml:space="preserve">de traslado del informe de evaluación hasta las 23:59 p.m. del último día del plazo fijado en el cronograma, el cual deberá ser </w:t>
      </w:r>
      <w:r w:rsidR="000E2299">
        <w:rPr>
          <w:rFonts w:ascii="Arial" w:hAnsi="Arial" w:cs="Arial"/>
          <w:bCs/>
          <w:sz w:val="22"/>
          <w:szCs w:val="22"/>
          <w:lang w:val="es-ES" w:eastAsia="en-US"/>
        </w:rPr>
        <w:t xml:space="preserve">mínimo </w:t>
      </w:r>
      <w:r w:rsidR="0012359E">
        <w:rPr>
          <w:rFonts w:ascii="Arial" w:hAnsi="Arial" w:cs="Arial"/>
          <w:bCs/>
          <w:sz w:val="22"/>
          <w:szCs w:val="22"/>
          <w:lang w:val="es-ES" w:eastAsia="en-US"/>
        </w:rPr>
        <w:t xml:space="preserve">de 3 días en el caso del concurso de méritos y la selección abreviada y </w:t>
      </w:r>
      <w:r w:rsidR="000E2299">
        <w:rPr>
          <w:rFonts w:ascii="Arial" w:hAnsi="Arial" w:cs="Arial"/>
          <w:bCs/>
          <w:sz w:val="22"/>
          <w:szCs w:val="22"/>
          <w:lang w:val="es-ES" w:eastAsia="en-US"/>
        </w:rPr>
        <w:t xml:space="preserve">mínimo </w:t>
      </w:r>
      <w:r w:rsidR="0012359E">
        <w:rPr>
          <w:rFonts w:ascii="Arial" w:hAnsi="Arial" w:cs="Arial"/>
          <w:bCs/>
          <w:sz w:val="22"/>
          <w:szCs w:val="22"/>
          <w:lang w:val="es-ES" w:eastAsia="en-US"/>
        </w:rPr>
        <w:t>de 5 días en el caso de la licitación pública.</w:t>
      </w:r>
    </w:p>
    <w:bookmarkEnd w:id="1"/>
    <w:p w14:paraId="6C1D3872" w14:textId="59252155" w:rsidR="00CC0803" w:rsidRDefault="00EB3BD8" w:rsidP="001503BF">
      <w:pPr>
        <w:widowControl w:val="0"/>
        <w:autoSpaceDE w:val="0"/>
        <w:autoSpaceDN w:val="0"/>
        <w:spacing w:after="0"/>
        <w:rPr>
          <w:rFonts w:ascii="Arial" w:eastAsia="Arial" w:hAnsi="Arial" w:cs="Arial"/>
          <w:sz w:val="18"/>
          <w:szCs w:val="22"/>
          <w:lang w:val="es-ES" w:eastAsia="es-ES" w:bidi="es-ES"/>
        </w:rPr>
      </w:pPr>
      <w:r w:rsidRPr="00EB3BD8">
        <w:rPr>
          <w:rFonts w:ascii="Arial" w:eastAsia="Arial" w:hAnsi="Arial" w:cs="Arial"/>
          <w:bCs/>
          <w:sz w:val="18"/>
          <w:szCs w:val="22"/>
          <w:lang w:val="es-ES_tradnl" w:eastAsia="es-ES" w:bidi="es-ES"/>
        </w:rPr>
        <w:tab/>
      </w:r>
      <w:r w:rsidRPr="00826F54">
        <w:rPr>
          <w:rFonts w:ascii="Arial" w:eastAsia="Arial" w:hAnsi="Arial" w:cs="Arial"/>
          <w:bCs/>
          <w:sz w:val="22"/>
          <w:szCs w:val="22"/>
          <w:lang w:val="es-ES_tradnl" w:eastAsia="es-ES" w:bidi="es-ES"/>
        </w:rPr>
        <w:t xml:space="preserve"> </w:t>
      </w:r>
    </w:p>
    <w:p w14:paraId="734FFAC2" w14:textId="351EBA99" w:rsidR="00871181" w:rsidRPr="006A06F2" w:rsidRDefault="003E3EF7" w:rsidP="00AA1B5C">
      <w:pPr>
        <w:tabs>
          <w:tab w:val="left" w:pos="284"/>
        </w:tabs>
        <w:spacing w:after="0"/>
        <w:rPr>
          <w:rFonts w:ascii="Arial" w:eastAsia="Arial" w:hAnsi="Arial" w:cs="Arial"/>
          <w:b/>
          <w:color w:val="000000"/>
          <w:sz w:val="22"/>
          <w:szCs w:val="22"/>
        </w:rPr>
      </w:pPr>
      <w:r w:rsidRPr="006A06F2">
        <w:rPr>
          <w:rFonts w:ascii="Arial" w:eastAsia="Arial" w:hAnsi="Arial" w:cs="Arial"/>
          <w:b/>
          <w:color w:val="000000"/>
          <w:sz w:val="22"/>
          <w:szCs w:val="22"/>
        </w:rPr>
        <w:t>Respuesta</w:t>
      </w:r>
    </w:p>
    <w:p w14:paraId="5E53C9EE" w14:textId="3D929137" w:rsidR="00871181" w:rsidRDefault="00871181" w:rsidP="00AA1B5C">
      <w:pPr>
        <w:tabs>
          <w:tab w:val="left" w:pos="284"/>
        </w:tabs>
        <w:spacing w:after="0"/>
        <w:rPr>
          <w:rFonts w:ascii="Arial" w:eastAsia="Arial" w:hAnsi="Arial" w:cs="Arial"/>
          <w:b/>
          <w:color w:val="000000"/>
          <w:sz w:val="22"/>
          <w:szCs w:val="22"/>
        </w:rPr>
      </w:pPr>
    </w:p>
    <w:p w14:paraId="3AD9D109" w14:textId="16B4F455" w:rsidR="00897E75" w:rsidRDefault="00897E75" w:rsidP="00AA1B5C">
      <w:pPr>
        <w:tabs>
          <w:tab w:val="left" w:pos="284"/>
        </w:tabs>
        <w:spacing w:after="0"/>
        <w:rPr>
          <w:rFonts w:ascii="Arial" w:eastAsia="Arial" w:hAnsi="Arial" w:cs="Arial"/>
          <w:color w:val="000000"/>
          <w:sz w:val="22"/>
          <w:szCs w:val="22"/>
        </w:rPr>
      </w:pPr>
      <w:r>
        <w:rPr>
          <w:rFonts w:ascii="Arial" w:eastAsia="Arial" w:hAnsi="Arial" w:cs="Arial"/>
          <w:color w:val="000000"/>
          <w:sz w:val="22"/>
          <w:szCs w:val="22"/>
        </w:rPr>
        <w:t>Dado que son varias las preguntas formuladas en la consulta, a continuación, se responderá cada de una de éstas de forma separada, con fundamento en las consideraciones expuestas en los párrafos precedentes:</w:t>
      </w:r>
    </w:p>
    <w:p w14:paraId="47996DF3" w14:textId="5A125013" w:rsidR="00897E75" w:rsidRDefault="00897E75" w:rsidP="00AA1B5C">
      <w:pPr>
        <w:spacing w:after="0"/>
        <w:ind w:left="709" w:right="709"/>
        <w:rPr>
          <w:rFonts w:ascii="Arial" w:eastAsia="Arial" w:hAnsi="Arial" w:cs="Arial"/>
          <w:color w:val="000000"/>
          <w:sz w:val="21"/>
          <w:szCs w:val="21"/>
        </w:rPr>
      </w:pPr>
    </w:p>
    <w:p w14:paraId="0B96D4E1" w14:textId="28F3C7BF" w:rsidR="00671825" w:rsidRPr="00042D57" w:rsidRDefault="00671825" w:rsidP="00042D57">
      <w:pPr>
        <w:spacing w:after="0" w:line="240" w:lineRule="auto"/>
        <w:ind w:left="709" w:right="709"/>
        <w:rPr>
          <w:rFonts w:ascii="Arial" w:eastAsia="Arial" w:hAnsi="Arial" w:cs="Arial"/>
          <w:bCs/>
          <w:color w:val="000000"/>
          <w:sz w:val="21"/>
          <w:szCs w:val="21"/>
          <w:lang w:val="es-ES"/>
        </w:rPr>
      </w:pPr>
      <w:r w:rsidRPr="00042D57">
        <w:rPr>
          <w:rFonts w:ascii="Arial" w:eastAsia="Arial" w:hAnsi="Arial" w:cs="Arial"/>
          <w:bCs/>
          <w:color w:val="000000"/>
          <w:sz w:val="21"/>
          <w:szCs w:val="21"/>
          <w:lang w:val="es-ES"/>
        </w:rPr>
        <w:t xml:space="preserve">PRIMERA INQUIETUD </w:t>
      </w:r>
    </w:p>
    <w:p w14:paraId="00D3918D" w14:textId="23FCA482" w:rsidR="000F41CB" w:rsidRPr="000F41CB" w:rsidRDefault="000F41CB" w:rsidP="00042D57">
      <w:pPr>
        <w:spacing w:after="0" w:line="240" w:lineRule="auto"/>
        <w:ind w:left="709" w:right="709"/>
        <w:rPr>
          <w:rFonts w:ascii="Arial" w:eastAsia="Arial" w:hAnsi="Arial" w:cs="Arial"/>
          <w:bCs/>
          <w:color w:val="000000"/>
          <w:sz w:val="21"/>
          <w:szCs w:val="21"/>
          <w:lang w:val="es-ES"/>
        </w:rPr>
      </w:pPr>
      <w:r w:rsidRPr="00042D57">
        <w:rPr>
          <w:rFonts w:ascii="Arial" w:eastAsia="Arial" w:hAnsi="Arial" w:cs="Arial"/>
          <w:bCs/>
          <w:color w:val="000000"/>
          <w:sz w:val="21"/>
          <w:szCs w:val="21"/>
          <w:lang w:val="es-ES"/>
        </w:rPr>
        <w:lastRenderedPageBreak/>
        <w:t>«</w:t>
      </w:r>
      <w:r w:rsidRPr="000F41CB">
        <w:rPr>
          <w:rFonts w:ascii="Arial" w:eastAsia="Arial" w:hAnsi="Arial" w:cs="Arial"/>
          <w:bCs/>
          <w:color w:val="000000"/>
          <w:sz w:val="21"/>
          <w:szCs w:val="21"/>
          <w:lang w:val="es-ES"/>
        </w:rPr>
        <w:t xml:space="preserve">1. ¿El término de traslado del informe de evaluación bien sea de tres (3) o cinco (5) días hábiles según la modalidad de contratación, implican el transcurrir de 72 o 120 horas en días hábiles lunes a viernes? </w:t>
      </w:r>
    </w:p>
    <w:p w14:paraId="03E55843" w14:textId="5BF9CC99" w:rsidR="000F41CB" w:rsidRPr="000F41CB" w:rsidRDefault="000F41CB" w:rsidP="000F41CB">
      <w:pPr>
        <w:spacing w:after="0"/>
        <w:rPr>
          <w:rFonts w:ascii="Arial" w:eastAsia="Arial" w:hAnsi="Arial" w:cs="Arial"/>
          <w:bCs/>
          <w:color w:val="000000"/>
          <w:sz w:val="21"/>
          <w:szCs w:val="21"/>
          <w:lang w:val="es-ES"/>
        </w:rPr>
      </w:pPr>
    </w:p>
    <w:p w14:paraId="07289425" w14:textId="4B34D914" w:rsidR="007B5F83" w:rsidRDefault="00691AEB" w:rsidP="00042D57">
      <w:pPr>
        <w:spacing w:after="120"/>
        <w:rPr>
          <w:rFonts w:ascii="Arial" w:eastAsia="Arial" w:hAnsi="Arial" w:cs="Arial"/>
          <w:bCs/>
          <w:color w:val="000000"/>
          <w:sz w:val="21"/>
          <w:szCs w:val="21"/>
          <w:lang w:val="es-ES"/>
        </w:rPr>
      </w:pPr>
      <w:r>
        <w:rPr>
          <w:rFonts w:ascii="Arial" w:eastAsia="Arial" w:hAnsi="Arial" w:cs="Arial"/>
          <w:bCs/>
          <w:color w:val="000000"/>
          <w:sz w:val="21"/>
          <w:szCs w:val="21"/>
          <w:lang w:val="es-ES"/>
        </w:rPr>
        <w:t>De acuerdo con las consideraciones de este concepto, c</w:t>
      </w:r>
      <w:r w:rsidR="00076B95">
        <w:rPr>
          <w:rFonts w:ascii="Arial" w:eastAsia="Arial" w:hAnsi="Arial" w:cs="Arial"/>
          <w:bCs/>
          <w:color w:val="000000"/>
          <w:sz w:val="21"/>
          <w:szCs w:val="21"/>
          <w:lang w:val="es-ES"/>
        </w:rPr>
        <w:t xml:space="preserve">onforme al tenor literal del </w:t>
      </w:r>
      <w:r w:rsidR="007B5F83">
        <w:rPr>
          <w:rFonts w:ascii="Arial" w:eastAsia="Arial" w:hAnsi="Arial" w:cs="Arial"/>
          <w:bCs/>
          <w:color w:val="000000"/>
          <w:sz w:val="21"/>
          <w:szCs w:val="21"/>
          <w:lang w:val="es-ES"/>
        </w:rPr>
        <w:t xml:space="preserve">30 de la Ley 80 de 1993 y de los </w:t>
      </w:r>
      <w:r w:rsidR="00076B95">
        <w:rPr>
          <w:rFonts w:ascii="Arial" w:eastAsia="Arial" w:hAnsi="Arial" w:cs="Arial"/>
          <w:bCs/>
          <w:color w:val="000000"/>
          <w:sz w:val="21"/>
          <w:szCs w:val="21"/>
          <w:lang w:val="es-ES"/>
        </w:rPr>
        <w:t>artículo</w:t>
      </w:r>
      <w:r w:rsidR="007B5F83">
        <w:rPr>
          <w:rFonts w:ascii="Arial" w:eastAsia="Arial" w:hAnsi="Arial" w:cs="Arial"/>
          <w:bCs/>
          <w:color w:val="000000"/>
          <w:sz w:val="21"/>
          <w:szCs w:val="21"/>
          <w:lang w:val="es-ES"/>
        </w:rPr>
        <w:t>s</w:t>
      </w:r>
      <w:r w:rsidR="00076B95">
        <w:rPr>
          <w:rFonts w:ascii="Arial" w:eastAsia="Arial" w:hAnsi="Arial" w:cs="Arial"/>
          <w:bCs/>
          <w:color w:val="000000"/>
          <w:sz w:val="21"/>
          <w:szCs w:val="21"/>
          <w:lang w:val="es-ES"/>
        </w:rPr>
        <w:t xml:space="preserve"> </w:t>
      </w:r>
      <w:r w:rsidR="007B5F83" w:rsidRPr="007B5F83">
        <w:rPr>
          <w:rFonts w:ascii="Arial" w:eastAsia="Arial" w:hAnsi="Arial" w:cs="Arial"/>
          <w:bCs/>
          <w:color w:val="000000"/>
          <w:sz w:val="21"/>
          <w:szCs w:val="21"/>
          <w:lang w:val="es-ES"/>
        </w:rPr>
        <w:t>2.2.1.2.1.</w:t>
      </w:r>
      <w:r w:rsidR="007B5F83">
        <w:rPr>
          <w:rFonts w:ascii="Arial" w:eastAsia="Arial" w:hAnsi="Arial" w:cs="Arial"/>
          <w:bCs/>
          <w:color w:val="000000"/>
          <w:sz w:val="21"/>
          <w:szCs w:val="21"/>
          <w:lang w:val="es-ES"/>
        </w:rPr>
        <w:t xml:space="preserve">2.20. y 2.2.2.2.1.3.2. </w:t>
      </w:r>
      <w:r w:rsidR="00076B95">
        <w:rPr>
          <w:rFonts w:ascii="Arial" w:eastAsia="Arial" w:hAnsi="Arial" w:cs="Arial"/>
          <w:bCs/>
          <w:color w:val="000000"/>
          <w:sz w:val="21"/>
          <w:szCs w:val="21"/>
          <w:lang w:val="es-ES"/>
        </w:rPr>
        <w:t xml:space="preserve">del Decreto 1082 del 2015, </w:t>
      </w:r>
      <w:r w:rsidR="007B5F83">
        <w:rPr>
          <w:rFonts w:ascii="Arial" w:eastAsia="Arial" w:hAnsi="Arial" w:cs="Arial"/>
          <w:bCs/>
          <w:color w:val="000000"/>
          <w:sz w:val="21"/>
          <w:szCs w:val="21"/>
          <w:lang w:val="es-ES"/>
        </w:rPr>
        <w:t>el término de traslado del informe de evaluación es de 5 o 3 días hábiles, según se trate de licitación pública o selección abreviada y concurso de méritos, respectivamente. Al fijarse en días hábiles</w:t>
      </w:r>
      <w:r w:rsidR="007947EA">
        <w:rPr>
          <w:rFonts w:ascii="Arial" w:eastAsia="Arial" w:hAnsi="Arial" w:cs="Arial"/>
          <w:bCs/>
          <w:color w:val="000000"/>
          <w:sz w:val="21"/>
          <w:szCs w:val="21"/>
          <w:lang w:val="es-ES"/>
        </w:rPr>
        <w:t xml:space="preserve">, el término </w:t>
      </w:r>
      <w:r w:rsidR="007B5F83">
        <w:rPr>
          <w:rFonts w:ascii="Arial" w:eastAsia="Arial" w:hAnsi="Arial" w:cs="Arial"/>
          <w:bCs/>
          <w:color w:val="000000"/>
          <w:sz w:val="21"/>
          <w:szCs w:val="21"/>
          <w:lang w:val="es-ES"/>
        </w:rPr>
        <w:t>s</w:t>
      </w:r>
      <w:r w:rsidR="0023579C">
        <w:rPr>
          <w:rFonts w:ascii="Arial" w:eastAsia="Arial" w:hAnsi="Arial" w:cs="Arial"/>
          <w:bCs/>
          <w:color w:val="000000"/>
          <w:sz w:val="21"/>
          <w:szCs w:val="21"/>
          <w:lang w:val="es-ES"/>
        </w:rPr>
        <w:t>o</w:t>
      </w:r>
      <w:r w:rsidR="007B5F83">
        <w:rPr>
          <w:rFonts w:ascii="Arial" w:eastAsia="Arial" w:hAnsi="Arial" w:cs="Arial"/>
          <w:bCs/>
          <w:color w:val="000000"/>
          <w:sz w:val="21"/>
          <w:szCs w:val="21"/>
          <w:lang w:val="es-ES"/>
        </w:rPr>
        <w:t>lo comprenderá los días laborales de la respectiva entidad, definidos en su co</w:t>
      </w:r>
      <w:r w:rsidR="007B5F83" w:rsidRPr="007B5F83">
        <w:rPr>
          <w:rFonts w:ascii="Arial" w:eastAsia="Arial" w:hAnsi="Arial" w:cs="Arial"/>
          <w:bCs/>
          <w:color w:val="000000"/>
          <w:sz w:val="21"/>
          <w:szCs w:val="21"/>
          <w:lang w:val="es-ES"/>
        </w:rPr>
        <w:t xml:space="preserve">rrespondiente reglamento o manual de funciones. </w:t>
      </w:r>
    </w:p>
    <w:p w14:paraId="0957D567" w14:textId="30643E67" w:rsidR="00FA7857" w:rsidRDefault="007B5F83" w:rsidP="00042D57">
      <w:pPr>
        <w:spacing w:after="0"/>
        <w:ind w:firstLine="709"/>
        <w:rPr>
          <w:rFonts w:ascii="Arial" w:eastAsia="Arial" w:hAnsi="Arial" w:cs="Arial"/>
          <w:bCs/>
          <w:color w:val="000000"/>
          <w:sz w:val="21"/>
          <w:szCs w:val="21"/>
          <w:lang w:val="es-ES"/>
        </w:rPr>
      </w:pPr>
      <w:r>
        <w:rPr>
          <w:rFonts w:ascii="Arial" w:eastAsia="Arial" w:hAnsi="Arial" w:cs="Arial"/>
          <w:bCs/>
          <w:color w:val="000000"/>
          <w:sz w:val="21"/>
          <w:szCs w:val="21"/>
          <w:lang w:val="es-ES"/>
        </w:rPr>
        <w:t>En cualquier caso, para la presentación de l</w:t>
      </w:r>
      <w:r w:rsidRPr="007B5F83">
        <w:rPr>
          <w:rFonts w:ascii="Arial" w:eastAsia="Arial" w:hAnsi="Arial" w:cs="Arial"/>
          <w:bCs/>
          <w:color w:val="000000"/>
          <w:sz w:val="21"/>
          <w:szCs w:val="21"/>
        </w:rPr>
        <w:t xml:space="preserve">as </w:t>
      </w:r>
      <w:r w:rsidR="0023579C">
        <w:rPr>
          <w:rFonts w:ascii="Arial" w:eastAsia="Arial" w:hAnsi="Arial" w:cs="Arial"/>
          <w:bCs/>
          <w:color w:val="000000"/>
          <w:sz w:val="21"/>
          <w:szCs w:val="21"/>
        </w:rPr>
        <w:t xml:space="preserve">observaciones, </w:t>
      </w:r>
      <w:r w:rsidRPr="007B5F83">
        <w:rPr>
          <w:rFonts w:ascii="Arial" w:eastAsia="Arial" w:hAnsi="Arial" w:cs="Arial"/>
          <w:bCs/>
          <w:color w:val="000000"/>
          <w:sz w:val="21"/>
          <w:szCs w:val="21"/>
        </w:rPr>
        <w:t>subsanaciones, explicaciones y aclaraciones</w:t>
      </w:r>
      <w:r>
        <w:rPr>
          <w:rFonts w:ascii="Arial" w:eastAsia="Arial" w:hAnsi="Arial" w:cs="Arial"/>
          <w:bCs/>
          <w:color w:val="000000"/>
          <w:sz w:val="21"/>
          <w:szCs w:val="21"/>
        </w:rPr>
        <w:t xml:space="preserve"> se deberá tener en cuenta que, si se trata de una entidad que realiza sus procesos de selección en la plataforma SECOP I, estas podrán presentarse </w:t>
      </w:r>
      <w:r w:rsidRPr="007B5F83">
        <w:rPr>
          <w:rFonts w:ascii="Arial" w:eastAsia="Arial" w:hAnsi="Arial" w:cs="Arial"/>
          <w:bCs/>
          <w:color w:val="000000"/>
          <w:sz w:val="21"/>
          <w:szCs w:val="21"/>
        </w:rPr>
        <w:t>en físico, entre l</w:t>
      </w:r>
      <w:r w:rsidR="00106E11">
        <w:rPr>
          <w:rFonts w:ascii="Arial" w:eastAsia="Arial" w:hAnsi="Arial" w:cs="Arial"/>
          <w:bCs/>
          <w:color w:val="000000"/>
          <w:sz w:val="21"/>
          <w:szCs w:val="21"/>
        </w:rPr>
        <w:t xml:space="preserve">as horas de atención al público, es decir antes del horario de cierre de la entidad del último día del plazo, </w:t>
      </w:r>
      <w:r w:rsidRPr="007B5F83">
        <w:rPr>
          <w:rFonts w:ascii="Arial" w:eastAsia="Arial" w:hAnsi="Arial" w:cs="Arial"/>
          <w:bCs/>
          <w:color w:val="000000"/>
          <w:sz w:val="21"/>
          <w:szCs w:val="21"/>
        </w:rPr>
        <w:t xml:space="preserve">o por correo electrónico hasta las 23:59 p. m. del </w:t>
      </w:r>
      <w:r w:rsidR="00106E11">
        <w:rPr>
          <w:rFonts w:ascii="Arial" w:eastAsia="Arial" w:hAnsi="Arial" w:cs="Arial"/>
          <w:bCs/>
          <w:color w:val="000000"/>
          <w:sz w:val="21"/>
          <w:szCs w:val="21"/>
        </w:rPr>
        <w:t>último día</w:t>
      </w:r>
      <w:r w:rsidRPr="007B5F83">
        <w:rPr>
          <w:rFonts w:ascii="Arial" w:eastAsia="Arial" w:hAnsi="Arial" w:cs="Arial"/>
          <w:bCs/>
          <w:color w:val="000000"/>
          <w:sz w:val="21"/>
          <w:szCs w:val="21"/>
        </w:rPr>
        <w:t xml:space="preserve"> establecido en el cronograma y que, </w:t>
      </w:r>
      <w:r w:rsidR="00106E11">
        <w:rPr>
          <w:rFonts w:ascii="Arial" w:eastAsia="Arial" w:hAnsi="Arial" w:cs="Arial"/>
          <w:bCs/>
          <w:color w:val="000000"/>
          <w:sz w:val="21"/>
          <w:szCs w:val="21"/>
        </w:rPr>
        <w:t xml:space="preserve">para los procesos </w:t>
      </w:r>
      <w:r w:rsidRPr="007B5F83">
        <w:rPr>
          <w:rFonts w:ascii="Arial" w:eastAsia="Arial" w:hAnsi="Arial" w:cs="Arial"/>
          <w:bCs/>
          <w:color w:val="000000"/>
          <w:sz w:val="21"/>
          <w:szCs w:val="21"/>
        </w:rPr>
        <w:t xml:space="preserve"> adelantados en el SECOP II </w:t>
      </w:r>
      <w:r w:rsidR="00106E11">
        <w:rPr>
          <w:rFonts w:ascii="Arial" w:eastAsia="Arial" w:hAnsi="Arial" w:cs="Arial"/>
          <w:bCs/>
          <w:color w:val="000000"/>
          <w:sz w:val="21"/>
          <w:szCs w:val="21"/>
        </w:rPr>
        <w:t>se deberán presentar</w:t>
      </w:r>
      <w:r w:rsidRPr="007B5F83">
        <w:rPr>
          <w:rFonts w:ascii="Arial" w:eastAsia="Arial" w:hAnsi="Arial" w:cs="Arial"/>
          <w:bCs/>
          <w:color w:val="000000"/>
          <w:sz w:val="21"/>
          <w:szCs w:val="21"/>
        </w:rPr>
        <w:t xml:space="preserve"> por medio de mensajes, </w:t>
      </w:r>
      <w:r w:rsidR="00106E11">
        <w:rPr>
          <w:rFonts w:ascii="Arial" w:eastAsia="Arial" w:hAnsi="Arial" w:cs="Arial"/>
          <w:bCs/>
          <w:color w:val="000000"/>
          <w:sz w:val="21"/>
          <w:szCs w:val="21"/>
        </w:rPr>
        <w:t xml:space="preserve">a más tardar el último día del plazo fijado en el cronograma, </w:t>
      </w:r>
      <w:r w:rsidRPr="007B5F83">
        <w:rPr>
          <w:rFonts w:ascii="Arial" w:eastAsia="Arial" w:hAnsi="Arial" w:cs="Arial"/>
          <w:bCs/>
          <w:color w:val="000000"/>
          <w:sz w:val="21"/>
          <w:szCs w:val="21"/>
        </w:rPr>
        <w:t>en la forma prevista en la plataforma</w:t>
      </w:r>
      <w:r w:rsidR="00106E11">
        <w:rPr>
          <w:rFonts w:ascii="Arial" w:eastAsia="Arial" w:hAnsi="Arial" w:cs="Arial"/>
          <w:bCs/>
          <w:color w:val="000000"/>
          <w:sz w:val="21"/>
          <w:szCs w:val="21"/>
        </w:rPr>
        <w:t>.</w:t>
      </w:r>
      <w:r w:rsidR="00076B95">
        <w:rPr>
          <w:rFonts w:ascii="Arial" w:eastAsia="Arial" w:hAnsi="Arial" w:cs="Arial"/>
          <w:bCs/>
          <w:color w:val="000000"/>
          <w:sz w:val="21"/>
          <w:szCs w:val="21"/>
          <w:lang w:val="es-ES"/>
        </w:rPr>
        <w:t xml:space="preserve"> </w:t>
      </w:r>
    </w:p>
    <w:p w14:paraId="5515492A" w14:textId="77777777" w:rsidR="00076B95" w:rsidRDefault="00076B95" w:rsidP="00076B95">
      <w:pPr>
        <w:spacing w:after="0"/>
        <w:rPr>
          <w:rFonts w:ascii="Arial" w:eastAsia="Arial" w:hAnsi="Arial" w:cs="Arial"/>
          <w:bCs/>
          <w:color w:val="000000"/>
          <w:sz w:val="21"/>
          <w:szCs w:val="21"/>
          <w:lang w:val="es-ES"/>
        </w:rPr>
      </w:pPr>
    </w:p>
    <w:p w14:paraId="0F3B477C" w14:textId="77777777" w:rsidR="007B16EC" w:rsidRPr="007B16EC" w:rsidRDefault="007B16EC" w:rsidP="00042D57">
      <w:pPr>
        <w:spacing w:after="0" w:line="240" w:lineRule="auto"/>
        <w:ind w:left="709" w:right="709"/>
        <w:rPr>
          <w:rFonts w:ascii="Arial" w:eastAsia="Arial" w:hAnsi="Arial" w:cs="Arial"/>
          <w:bCs/>
          <w:color w:val="000000"/>
          <w:sz w:val="21"/>
          <w:szCs w:val="21"/>
        </w:rPr>
      </w:pPr>
      <w:r w:rsidRPr="007B16EC">
        <w:rPr>
          <w:rFonts w:ascii="Arial" w:eastAsia="Arial" w:hAnsi="Arial" w:cs="Arial"/>
          <w:bCs/>
          <w:color w:val="000000"/>
          <w:sz w:val="21"/>
          <w:szCs w:val="21"/>
        </w:rPr>
        <w:t>SEGUNDA INQUIETUD</w:t>
      </w:r>
    </w:p>
    <w:p w14:paraId="4850B59C" w14:textId="5C1F5EC2" w:rsidR="000F41CB" w:rsidRPr="000F41CB" w:rsidRDefault="000F41CB" w:rsidP="00042D57">
      <w:pPr>
        <w:spacing w:after="0" w:line="240" w:lineRule="auto"/>
        <w:ind w:left="709" w:right="709"/>
        <w:rPr>
          <w:rFonts w:ascii="Arial" w:eastAsia="Arial" w:hAnsi="Arial" w:cs="Arial"/>
          <w:bCs/>
          <w:color w:val="000000"/>
          <w:sz w:val="21"/>
          <w:szCs w:val="21"/>
          <w:lang w:val="es-ES"/>
        </w:rPr>
      </w:pPr>
      <w:r w:rsidRPr="000F41CB">
        <w:rPr>
          <w:rFonts w:ascii="Arial" w:eastAsia="Arial" w:hAnsi="Arial" w:cs="Arial"/>
          <w:bCs/>
          <w:color w:val="000000"/>
          <w:sz w:val="21"/>
          <w:szCs w:val="21"/>
          <w:lang w:val="es-ES"/>
        </w:rPr>
        <w:t xml:space="preserve">Teniendo en cuenta que las entidades compradoras en la plataforma </w:t>
      </w:r>
      <w:proofErr w:type="spellStart"/>
      <w:r w:rsidRPr="000F41CB">
        <w:rPr>
          <w:rFonts w:ascii="Arial" w:eastAsia="Arial" w:hAnsi="Arial" w:cs="Arial"/>
          <w:bCs/>
          <w:color w:val="000000"/>
          <w:sz w:val="21"/>
          <w:szCs w:val="21"/>
          <w:lang w:val="es-ES"/>
        </w:rPr>
        <w:t>Secop</w:t>
      </w:r>
      <w:proofErr w:type="spellEnd"/>
      <w:r w:rsidRPr="000F41CB">
        <w:rPr>
          <w:rFonts w:ascii="Arial" w:eastAsia="Arial" w:hAnsi="Arial" w:cs="Arial"/>
          <w:bCs/>
          <w:color w:val="000000"/>
          <w:sz w:val="21"/>
          <w:szCs w:val="21"/>
          <w:lang w:val="es-ES"/>
        </w:rPr>
        <w:t xml:space="preserve"> II establecen un cronograma, y específicamente en cuanto al término del traslado del informe de evaluación que debe ser de tres (3) o cinco (5) días hábiles según la modalidad de contratación, este término se debe contabilizar ¿a partir de la fecha máxima de publicación del informe de evaluación establecido en la plataforma</w:t>
      </w:r>
      <w:r w:rsidR="00D10CAA" w:rsidRPr="000F41CB">
        <w:rPr>
          <w:rFonts w:ascii="Arial" w:eastAsia="Arial" w:hAnsi="Arial" w:cs="Arial"/>
          <w:bCs/>
          <w:color w:val="000000"/>
          <w:sz w:val="21"/>
          <w:szCs w:val="21"/>
          <w:lang w:val="es-ES"/>
        </w:rPr>
        <w:t>?</w:t>
      </w:r>
      <w:r w:rsidR="00D10CAA" w:rsidRPr="000F41CB">
        <w:rPr>
          <w:rFonts w:ascii="Arial" w:eastAsia="Arial" w:hAnsi="Arial" w:cs="Arial"/>
          <w:bCs/>
          <w:color w:val="000000"/>
          <w:sz w:val="21"/>
          <w:szCs w:val="21"/>
          <w:lang w:val="es-CO"/>
        </w:rPr>
        <w:t>»</w:t>
      </w:r>
      <w:r w:rsidRPr="000F41CB">
        <w:rPr>
          <w:rFonts w:ascii="Arial" w:eastAsia="Arial" w:hAnsi="Arial" w:cs="Arial"/>
          <w:bCs/>
          <w:color w:val="000000"/>
          <w:sz w:val="21"/>
          <w:szCs w:val="21"/>
          <w:lang w:val="es-ES"/>
        </w:rPr>
        <w:t xml:space="preserve"> </w:t>
      </w:r>
    </w:p>
    <w:p w14:paraId="51713EED" w14:textId="2239517D" w:rsidR="007B16EC" w:rsidRPr="007B16EC" w:rsidRDefault="007B16EC" w:rsidP="007B16EC">
      <w:pPr>
        <w:spacing w:after="0"/>
        <w:ind w:left="709"/>
        <w:rPr>
          <w:rFonts w:ascii="Arial" w:eastAsia="Arial" w:hAnsi="Arial" w:cs="Arial"/>
          <w:bCs/>
          <w:color w:val="000000"/>
          <w:sz w:val="21"/>
          <w:szCs w:val="21"/>
          <w:lang w:val="es-ES"/>
        </w:rPr>
      </w:pPr>
    </w:p>
    <w:p w14:paraId="496BF014" w14:textId="5A6E5F68" w:rsidR="007947EA" w:rsidRDefault="007947EA" w:rsidP="00EC4F38">
      <w:pPr>
        <w:spacing w:after="0"/>
        <w:rPr>
          <w:rFonts w:ascii="Arial" w:eastAsia="Arial" w:hAnsi="Arial" w:cs="Arial"/>
          <w:bCs/>
          <w:color w:val="000000"/>
          <w:sz w:val="22"/>
          <w:szCs w:val="22"/>
        </w:rPr>
      </w:pPr>
      <w:r>
        <w:rPr>
          <w:rFonts w:ascii="Arial" w:eastAsia="Arial" w:hAnsi="Arial" w:cs="Arial"/>
          <w:bCs/>
          <w:color w:val="000000"/>
          <w:sz w:val="22"/>
          <w:szCs w:val="22"/>
        </w:rPr>
        <w:t>El término de traslado del informe de evaluación fijado en la ley y en el reglamento</w:t>
      </w:r>
      <w:r w:rsidR="00DE36D1">
        <w:rPr>
          <w:rFonts w:ascii="Arial" w:eastAsia="Arial" w:hAnsi="Arial" w:cs="Arial"/>
          <w:bCs/>
          <w:color w:val="000000"/>
          <w:sz w:val="22"/>
          <w:szCs w:val="22"/>
        </w:rPr>
        <w:t>,</w:t>
      </w:r>
      <w:r>
        <w:rPr>
          <w:rFonts w:ascii="Arial" w:eastAsia="Arial" w:hAnsi="Arial" w:cs="Arial"/>
          <w:bCs/>
          <w:color w:val="000000"/>
          <w:sz w:val="22"/>
          <w:szCs w:val="22"/>
        </w:rPr>
        <w:t xml:space="preserve"> en 5 o 3 días según se trate de licitación pública o selección abreviada y concurso de méritos</w:t>
      </w:r>
      <w:r w:rsidR="00DE36D1">
        <w:rPr>
          <w:rFonts w:ascii="Arial" w:eastAsia="Arial" w:hAnsi="Arial" w:cs="Arial"/>
          <w:bCs/>
          <w:color w:val="000000"/>
          <w:sz w:val="22"/>
          <w:szCs w:val="22"/>
        </w:rPr>
        <w:t>,</w:t>
      </w:r>
      <w:r>
        <w:rPr>
          <w:rFonts w:ascii="Arial" w:eastAsia="Arial" w:hAnsi="Arial" w:cs="Arial"/>
          <w:bCs/>
          <w:color w:val="000000"/>
          <w:sz w:val="22"/>
          <w:szCs w:val="22"/>
        </w:rPr>
        <w:t xml:space="preserve"> respectivamente, es un término mínimo. El término que deberá observarse, en cada caso, que </w:t>
      </w:r>
      <w:r w:rsidR="00DE36D1">
        <w:rPr>
          <w:rFonts w:ascii="Arial" w:eastAsia="Arial" w:hAnsi="Arial" w:cs="Arial"/>
          <w:bCs/>
          <w:color w:val="000000"/>
          <w:sz w:val="22"/>
          <w:szCs w:val="22"/>
        </w:rPr>
        <w:t>debe ser</w:t>
      </w:r>
      <w:r>
        <w:rPr>
          <w:rFonts w:ascii="Arial" w:eastAsia="Arial" w:hAnsi="Arial" w:cs="Arial"/>
          <w:bCs/>
          <w:color w:val="000000"/>
          <w:sz w:val="22"/>
          <w:szCs w:val="22"/>
        </w:rPr>
        <w:t xml:space="preserve"> como mínimo por los días hábiles mencionados, se contará a partir de la publicación del informe y hasta el último de los días definido</w:t>
      </w:r>
      <w:r w:rsidR="0018413F">
        <w:rPr>
          <w:rFonts w:ascii="Arial" w:eastAsia="Arial" w:hAnsi="Arial" w:cs="Arial"/>
          <w:bCs/>
          <w:color w:val="000000"/>
          <w:sz w:val="22"/>
          <w:szCs w:val="22"/>
        </w:rPr>
        <w:t>s</w:t>
      </w:r>
      <w:r>
        <w:rPr>
          <w:rFonts w:ascii="Arial" w:eastAsia="Arial" w:hAnsi="Arial" w:cs="Arial"/>
          <w:bCs/>
          <w:color w:val="000000"/>
          <w:sz w:val="22"/>
          <w:szCs w:val="22"/>
        </w:rPr>
        <w:t xml:space="preserve"> en el cronograma respectivo, para dicha publicación. </w:t>
      </w:r>
    </w:p>
    <w:p w14:paraId="05E24193" w14:textId="77777777" w:rsidR="007947EA" w:rsidRDefault="007947EA" w:rsidP="00EC4F38">
      <w:pPr>
        <w:spacing w:after="0"/>
        <w:rPr>
          <w:rFonts w:ascii="Arial" w:eastAsia="Arial" w:hAnsi="Arial" w:cs="Arial"/>
          <w:bCs/>
          <w:color w:val="000000"/>
          <w:sz w:val="22"/>
          <w:szCs w:val="22"/>
        </w:rPr>
      </w:pPr>
    </w:p>
    <w:p w14:paraId="7A25C6AE" w14:textId="500A1A13" w:rsidR="00EC4F38" w:rsidRDefault="00EC4F38" w:rsidP="00EC4F38">
      <w:pPr>
        <w:spacing w:after="0"/>
        <w:rPr>
          <w:rFonts w:ascii="Arial" w:eastAsia="Arial" w:hAnsi="Arial" w:cs="Arial"/>
          <w:bCs/>
          <w:color w:val="000000"/>
          <w:sz w:val="22"/>
          <w:szCs w:val="22"/>
        </w:rPr>
      </w:pPr>
    </w:p>
    <w:p w14:paraId="38D709B1" w14:textId="77777777" w:rsidR="00871181" w:rsidRPr="006A06F2" w:rsidRDefault="003E3EF7" w:rsidP="00AA1B5C">
      <w:pPr>
        <w:spacing w:after="0"/>
        <w:rPr>
          <w:rFonts w:ascii="Arial" w:eastAsia="Arial" w:hAnsi="Arial" w:cs="Arial"/>
          <w:color w:val="000000"/>
          <w:sz w:val="22"/>
          <w:szCs w:val="22"/>
        </w:rPr>
      </w:pPr>
      <w:bookmarkStart w:id="2" w:name="_2grqrue" w:colFirst="0" w:colLast="0"/>
      <w:bookmarkEnd w:id="2"/>
      <w:r w:rsidRPr="006A06F2">
        <w:rPr>
          <w:rFonts w:ascii="Arial" w:eastAsia="Arial" w:hAnsi="Arial" w:cs="Arial"/>
          <w:color w:val="000000"/>
          <w:sz w:val="22"/>
          <w:szCs w:val="22"/>
        </w:rPr>
        <w:t>Este concepto tiene el alcance previsto en el artículo 28 del Código de Procedimiento Administrativo y de lo Contencioso Administrativo.</w:t>
      </w:r>
    </w:p>
    <w:p w14:paraId="1B6D2A9C" w14:textId="2E9C0C85" w:rsidR="00326817" w:rsidRDefault="003E3EF7" w:rsidP="00AA1B5C">
      <w:pPr>
        <w:spacing w:after="0"/>
        <w:rPr>
          <w:rFonts w:ascii="Arial" w:eastAsia="Arial" w:hAnsi="Arial" w:cs="Arial"/>
          <w:color w:val="000000"/>
          <w:sz w:val="22"/>
          <w:szCs w:val="22"/>
        </w:rPr>
      </w:pPr>
      <w:r w:rsidRPr="006A06F2">
        <w:rPr>
          <w:noProof/>
          <w:lang w:val="es-CO" w:eastAsia="es-CO"/>
        </w:rPr>
        <mc:AlternateContent>
          <mc:Choice Requires="wps">
            <w:drawing>
              <wp:anchor distT="4294967260" distB="4294967260" distL="114300" distR="114300" simplePos="0" relativeHeight="251658240" behindDoc="0" locked="0" layoutInCell="1" hidden="0" allowOverlap="1" wp14:anchorId="4D23C5F8" wp14:editId="706E9BD3">
                <wp:simplePos x="0" y="0"/>
                <wp:positionH relativeFrom="column">
                  <wp:posOffset>434340</wp:posOffset>
                </wp:positionH>
                <wp:positionV relativeFrom="paragraph">
                  <wp:posOffset>10205</wp:posOffset>
                </wp:positionV>
                <wp:extent cx="4686300" cy="0"/>
                <wp:effectExtent l="0" t="4763" r="0" b="4763"/>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86300" cy="0"/>
                        </a:xfrm>
                        <a:prstGeom prst="line">
                          <a:avLst/>
                        </a:prstGeom>
                        <a:noFill/>
                        <a:ln w="9525" cap="flat" cmpd="sng" algn="ctr">
                          <a:solidFill>
                            <a:srgbClr val="DBDBDB"/>
                          </a:solidFill>
                          <a:prstDash val="solid"/>
                        </a:ln>
                        <a:effectLst/>
                      </wps:spPr>
                      <wps:bodyPr/>
                    </wps:wsp>
                  </a:graphicData>
                </a:graphic>
              </wp:anchor>
            </w:drawing>
          </mc:Choice>
          <mc:Fallback>
            <w:pict>
              <v:line w14:anchorId="4041AE7B" id="Conector recto 1" o:spid="_x0000_s1026" style="position:absolute;z-index:251658240;visibility:visible;mso-wrap-style:square;mso-wrap-distance-left:9pt;mso-wrap-distance-top:-.001mm;mso-wrap-distance-right:9pt;mso-wrap-distance-bottom:-.001mm;mso-position-horizontal:absolute;mso-position-horizontal-relative:text;mso-position-vertical:absolute;mso-position-vertical-relative:text" from="34.2pt,.8pt" to="403.2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HyywQEAAHUDAAAOAAAAZHJzL2Uyb0RvYy54bWysU9uO0zAQfUfiHyy/07SFrZao6Uq0Wl5W&#10;UGnhA6aOk1j4phnTpH/P2L2wC28IRXLGnuMzM2fG64fJWXHUSCb4Ri5mcym0V6E1vm/k92+P7+6l&#10;oAS+BRu8buRJk3zYvH2zHmOtl2EIttUomMRTPcZGDinFuqpIDdoBzULUnp1dQAeJt9hXLcLI7M5W&#10;y/l8VY0B24hBaSI+3Z2dclP4u06r9LXrSCdhG8m5pbJiWQ95rTZrqHuEOBh1SQP+IQsHxnPQG9UO&#10;EoifaP6ickZhoNClmQquCl1nlC41cDWL+R/VPA8QdamFxaF4k4n+H636ctyjMC33TgoPjlu05Uap&#10;FFBg/olF1miMVDN06/eYq1STf45PQf0g9lWvnHlD8QybOnQZzmWKqWh+ummupyQUH35Y3a/ez7k1&#10;6uqroL5ejEjpsw5OZKOR1vgsB9RwfKKUQ0N9heRjHx6NtaWl1ouxkR/vlnfMDDxYnYXEpotcKvle&#10;CrA9T6xKWBgpWNPm25mHsD9sLYoj8NTsPuUvi8DRXsFy6B3QcMYV1wVmfabRZf4umf7WJVuH0J72&#10;eBWPe1vYL3OYh+flnu2Xr2XzCwAA//8DAFBLAwQUAAYACAAAACEA3oy5G9cAAAAGAQAADwAAAGRy&#10;cy9kb3ducmV2LnhtbEyOQU+EMBCF7yb+h2ZMvLmtZiWIlA0x7tmIG+Ox0BFQOkVaWPz3jl7c4zfv&#10;5c2X71Y3iAWn0HvScL1RIJAab3tqNRxe9lcpiBANWTN4Qg3fGGBXnJ/lJrP+SM+4VLEVPEIhMxq6&#10;GMdMytB06EzY+BGJs3c/ORMZp1bayRx53A3yRqlEOtMTf+jMiA8dNp/V7DTMh7d9/VGFuycqt8vY&#10;l4+3X69K68uLtbwHEXGN/2X41Wd1KNip9jPZIAYNSbrlJt8TEBynKmGu/1gWuTzVL34AAAD//wMA&#10;UEsBAi0AFAAGAAgAAAAhALaDOJL+AAAA4QEAABMAAAAAAAAAAAAAAAAAAAAAAFtDb250ZW50X1R5&#10;cGVzXS54bWxQSwECLQAUAAYACAAAACEAOP0h/9YAAACUAQAACwAAAAAAAAAAAAAAAAAvAQAAX3Jl&#10;bHMvLnJlbHNQSwECLQAUAAYACAAAACEAKZx8ssEBAAB1AwAADgAAAAAAAAAAAAAAAAAuAgAAZHJz&#10;L2Uyb0RvYy54bWxQSwECLQAUAAYACAAAACEA3oy5G9cAAAAGAQAADwAAAAAAAAAAAAAAAAAbBAAA&#10;ZHJzL2Rvd25yZXYueG1sUEsFBgAAAAAEAAQA8wAAAB8FAAAAAA==&#10;" strokecolor="#dbdbdb">
                <o:lock v:ext="edit" shapetype="f"/>
              </v:line>
            </w:pict>
          </mc:Fallback>
        </mc:AlternateContent>
      </w:r>
    </w:p>
    <w:p w14:paraId="4E6594B6" w14:textId="77777777" w:rsidR="00A85AC4" w:rsidRPr="00C479B0" w:rsidRDefault="00A85AC4" w:rsidP="00A85AC4">
      <w:pPr>
        <w:rPr>
          <w:rFonts w:ascii="Arial" w:eastAsia="Arial" w:hAnsi="Arial" w:cs="Arial"/>
          <w:color w:val="000000"/>
          <w:sz w:val="22"/>
          <w:szCs w:val="22"/>
        </w:rPr>
      </w:pPr>
      <w:r w:rsidRPr="00C479B0">
        <w:rPr>
          <w:rFonts w:ascii="Arial" w:eastAsia="Arial" w:hAnsi="Arial" w:cs="Arial"/>
          <w:color w:val="000000"/>
          <w:sz w:val="22"/>
          <w:szCs w:val="22"/>
        </w:rPr>
        <w:t>Atentamente,</w:t>
      </w:r>
    </w:p>
    <w:p w14:paraId="2A06D9C5" w14:textId="5493EE8C" w:rsidR="00A85AC4" w:rsidRDefault="00A85AC4" w:rsidP="00A85AC4">
      <w:pPr>
        <w:spacing w:after="0" w:line="240" w:lineRule="auto"/>
        <w:jc w:val="center"/>
        <w:rPr>
          <w:rFonts w:ascii="Times New Roman" w:eastAsia="Times New Roman" w:hAnsi="Times New Roman" w:cs="Times New Roman"/>
          <w:lang w:eastAsia="es-MX"/>
        </w:rPr>
      </w:pPr>
    </w:p>
    <w:p w14:paraId="5A746DBB" w14:textId="0591C53A" w:rsidR="00EF3BE3" w:rsidRPr="00EF3BE3" w:rsidRDefault="00EF3BE3" w:rsidP="00EF3BE3">
      <w:pPr>
        <w:spacing w:after="0" w:line="240" w:lineRule="auto"/>
        <w:jc w:val="center"/>
        <w:rPr>
          <w:rFonts w:ascii="Times New Roman" w:eastAsia="Times New Roman" w:hAnsi="Times New Roman" w:cs="Times New Roman"/>
          <w:lang w:val="es-CO" w:eastAsia="es-MX"/>
        </w:rPr>
      </w:pPr>
      <w:r w:rsidRPr="00EF3BE3">
        <w:rPr>
          <w:rFonts w:ascii="Times New Roman" w:eastAsia="Times New Roman" w:hAnsi="Times New Roman" w:cs="Times New Roman"/>
          <w:noProof/>
          <w:lang w:eastAsia="es-MX"/>
        </w:rPr>
        <w:lastRenderedPageBreak/>
        <w:drawing>
          <wp:inline distT="0" distB="0" distL="0" distR="0" wp14:anchorId="1F8207DD" wp14:editId="365A97D0">
            <wp:extent cx="2118995" cy="972457"/>
            <wp:effectExtent l="0" t="0" r="1905" b="571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43736" cy="983811"/>
                    </a:xfrm>
                    <a:prstGeom prst="rect">
                      <a:avLst/>
                    </a:prstGeom>
                    <a:noFill/>
                    <a:ln>
                      <a:noFill/>
                    </a:ln>
                  </pic:spPr>
                </pic:pic>
              </a:graphicData>
            </a:graphic>
          </wp:inline>
        </w:drawing>
      </w:r>
    </w:p>
    <w:p w14:paraId="4A336646" w14:textId="0EC5D3B8" w:rsidR="00EF3BE3" w:rsidRDefault="00EF3BE3" w:rsidP="00A85AC4">
      <w:pPr>
        <w:spacing w:after="0" w:line="240" w:lineRule="auto"/>
        <w:jc w:val="center"/>
        <w:rPr>
          <w:rFonts w:ascii="Times New Roman" w:eastAsia="Times New Roman" w:hAnsi="Times New Roman" w:cs="Times New Roman"/>
          <w:lang w:eastAsia="es-MX"/>
        </w:rPr>
      </w:pPr>
    </w:p>
    <w:p w14:paraId="5657E7A0" w14:textId="77777777" w:rsidR="00EF3BE3" w:rsidRPr="00C479B0" w:rsidRDefault="00EF3BE3" w:rsidP="00A85AC4">
      <w:pPr>
        <w:spacing w:after="0" w:line="240" w:lineRule="auto"/>
        <w:jc w:val="center"/>
        <w:rPr>
          <w:rFonts w:ascii="Times New Roman" w:eastAsia="Times New Roman" w:hAnsi="Times New Roman" w:cs="Times New Roman"/>
          <w:lang w:eastAsia="es-MX"/>
        </w:rPr>
      </w:pPr>
    </w:p>
    <w:p w14:paraId="63DD1143" w14:textId="77777777" w:rsidR="00A85AC4" w:rsidRPr="006A06F2" w:rsidRDefault="00A85AC4" w:rsidP="00A85AC4">
      <w:pPr>
        <w:spacing w:after="0"/>
        <w:rPr>
          <w:rFonts w:ascii="Arial" w:eastAsia="Arial" w:hAnsi="Arial" w:cs="Arial"/>
          <w:color w:val="000000"/>
          <w:sz w:val="22"/>
          <w:szCs w:val="22"/>
        </w:rPr>
      </w:pPr>
    </w:p>
    <w:p w14:paraId="32EC281C" w14:textId="77777777" w:rsidR="00A85AC4" w:rsidRPr="006A06F2" w:rsidRDefault="00A85AC4" w:rsidP="00A85AC4">
      <w:pPr>
        <w:spacing w:after="0"/>
        <w:jc w:val="center"/>
        <w:rPr>
          <w:rFonts w:ascii="Arial" w:eastAsia="Arial" w:hAnsi="Arial" w:cs="Arial"/>
          <w:color w:val="000000"/>
          <w:sz w:val="18"/>
          <w:szCs w:val="18"/>
        </w:rPr>
      </w:pPr>
    </w:p>
    <w:tbl>
      <w:tblPr>
        <w:tblStyle w:val="1"/>
        <w:tblW w:w="5225"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812"/>
        <w:gridCol w:w="4413"/>
      </w:tblGrid>
      <w:tr w:rsidR="00A85AC4" w:rsidRPr="006A06F2" w14:paraId="26F9462B" w14:textId="77777777" w:rsidTr="005D488B">
        <w:trPr>
          <w:trHeight w:val="315"/>
        </w:trPr>
        <w:tc>
          <w:tcPr>
            <w:tcW w:w="812" w:type="dxa"/>
            <w:vAlign w:val="center"/>
          </w:tcPr>
          <w:p w14:paraId="28CB7BD0" w14:textId="77777777" w:rsidR="00A85AC4" w:rsidRPr="006A06F2" w:rsidRDefault="00A85AC4" w:rsidP="005D6F2A">
            <w:pPr>
              <w:spacing w:before="0"/>
            </w:pPr>
            <w:r w:rsidRPr="006A06F2">
              <w:rPr>
                <w:rFonts w:ascii="Arial" w:eastAsia="Arial" w:hAnsi="Arial" w:cs="Arial"/>
                <w:color w:val="000000"/>
                <w:sz w:val="16"/>
                <w:szCs w:val="16"/>
              </w:rPr>
              <w:t>Elaboró:</w:t>
            </w:r>
          </w:p>
        </w:tc>
        <w:tc>
          <w:tcPr>
            <w:tcW w:w="4413" w:type="dxa"/>
            <w:tcBorders>
              <w:top w:val="nil"/>
              <w:left w:val="nil"/>
              <w:bottom w:val="dotted" w:sz="4" w:space="0" w:color="7F7F7F"/>
              <w:right w:val="nil"/>
            </w:tcBorders>
            <w:vAlign w:val="center"/>
          </w:tcPr>
          <w:p w14:paraId="21599289" w14:textId="77777777" w:rsidR="00A85AC4" w:rsidRPr="006A06F2" w:rsidRDefault="00A85AC4" w:rsidP="005D6F2A">
            <w:pPr>
              <w:spacing w:before="0"/>
            </w:pPr>
            <w:r w:rsidRPr="006A06F2">
              <w:rPr>
                <w:rFonts w:ascii="Arial" w:eastAsia="Arial" w:hAnsi="Arial" w:cs="Arial"/>
                <w:color w:val="000000"/>
                <w:sz w:val="16"/>
                <w:szCs w:val="16"/>
              </w:rPr>
              <w:t>Álvaro Namén Vargas</w:t>
            </w:r>
          </w:p>
          <w:p w14:paraId="04575F8D" w14:textId="77777777" w:rsidR="00A85AC4" w:rsidRPr="006A06F2" w:rsidRDefault="00A85AC4" w:rsidP="005D6F2A">
            <w:pPr>
              <w:spacing w:before="0"/>
            </w:pPr>
            <w:r w:rsidRPr="006A06F2">
              <w:rPr>
                <w:rFonts w:ascii="Arial" w:eastAsia="Arial" w:hAnsi="Arial" w:cs="Arial"/>
                <w:color w:val="000000"/>
                <w:sz w:val="16"/>
                <w:szCs w:val="16"/>
              </w:rPr>
              <w:t>Contratista de la Subdirección de Gestión Contractual</w:t>
            </w:r>
          </w:p>
        </w:tc>
      </w:tr>
      <w:tr w:rsidR="00A85AC4" w:rsidRPr="006A06F2" w14:paraId="4D09107D" w14:textId="77777777" w:rsidTr="005D488B">
        <w:trPr>
          <w:trHeight w:val="330"/>
        </w:trPr>
        <w:tc>
          <w:tcPr>
            <w:tcW w:w="812" w:type="dxa"/>
            <w:vAlign w:val="center"/>
          </w:tcPr>
          <w:p w14:paraId="44059DF6" w14:textId="77777777" w:rsidR="00A85AC4" w:rsidRPr="006A06F2" w:rsidRDefault="00A85AC4" w:rsidP="00042D57">
            <w:pPr>
              <w:spacing w:before="0"/>
            </w:pPr>
            <w:r w:rsidRPr="006A06F2">
              <w:rPr>
                <w:rFonts w:ascii="Arial" w:eastAsia="Arial" w:hAnsi="Arial" w:cs="Arial"/>
                <w:color w:val="000000"/>
                <w:sz w:val="16"/>
                <w:szCs w:val="16"/>
              </w:rPr>
              <w:t>Revisó:</w:t>
            </w:r>
          </w:p>
        </w:tc>
        <w:tc>
          <w:tcPr>
            <w:tcW w:w="4413" w:type="dxa"/>
            <w:tcBorders>
              <w:top w:val="dotted" w:sz="4" w:space="0" w:color="7F7F7F"/>
              <w:left w:val="nil"/>
              <w:bottom w:val="dotted" w:sz="4" w:space="0" w:color="7F7F7F"/>
              <w:right w:val="nil"/>
            </w:tcBorders>
            <w:vAlign w:val="center"/>
          </w:tcPr>
          <w:p w14:paraId="2689C501" w14:textId="77777777" w:rsidR="00A85AC4" w:rsidRPr="006A06F2" w:rsidRDefault="00A85AC4" w:rsidP="00042D57">
            <w:pPr>
              <w:spacing w:before="0"/>
            </w:pPr>
            <w:r w:rsidRPr="006A06F2">
              <w:rPr>
                <w:rFonts w:ascii="Arial" w:eastAsia="Arial" w:hAnsi="Arial" w:cs="Arial"/>
                <w:color w:val="000000"/>
                <w:sz w:val="16"/>
                <w:szCs w:val="16"/>
              </w:rPr>
              <w:t>Sebastián Ramírez Grisales</w:t>
            </w:r>
          </w:p>
          <w:p w14:paraId="0E577AA7" w14:textId="77777777" w:rsidR="00A85AC4" w:rsidRPr="006A06F2" w:rsidRDefault="00A85AC4" w:rsidP="00042D57">
            <w:pPr>
              <w:spacing w:before="0"/>
            </w:pPr>
            <w:r w:rsidRPr="006A06F2">
              <w:rPr>
                <w:rFonts w:ascii="Arial" w:eastAsia="Arial" w:hAnsi="Arial" w:cs="Arial"/>
                <w:color w:val="000000"/>
                <w:sz w:val="16"/>
                <w:szCs w:val="16"/>
              </w:rPr>
              <w:t>Contratista de la Subdirección de Gestión Contractual</w:t>
            </w:r>
          </w:p>
        </w:tc>
      </w:tr>
      <w:tr w:rsidR="00A85AC4" w14:paraId="382DC72E" w14:textId="77777777" w:rsidTr="005D488B">
        <w:trPr>
          <w:trHeight w:val="300"/>
        </w:trPr>
        <w:tc>
          <w:tcPr>
            <w:tcW w:w="812" w:type="dxa"/>
            <w:vAlign w:val="center"/>
          </w:tcPr>
          <w:p w14:paraId="6FCA719C" w14:textId="77777777" w:rsidR="00A85AC4" w:rsidRPr="006A06F2" w:rsidRDefault="00A85AC4" w:rsidP="00042D57">
            <w:pPr>
              <w:spacing w:before="0"/>
            </w:pPr>
            <w:r w:rsidRPr="006A06F2">
              <w:rPr>
                <w:rFonts w:ascii="Arial" w:eastAsia="Arial" w:hAnsi="Arial" w:cs="Arial"/>
                <w:color w:val="000000"/>
                <w:sz w:val="16"/>
                <w:szCs w:val="16"/>
              </w:rPr>
              <w:t>Aprobó:</w:t>
            </w:r>
          </w:p>
        </w:tc>
        <w:tc>
          <w:tcPr>
            <w:tcW w:w="4413" w:type="dxa"/>
            <w:tcBorders>
              <w:top w:val="dotted" w:sz="4" w:space="0" w:color="7F7F7F"/>
              <w:left w:val="nil"/>
              <w:bottom w:val="dotted" w:sz="4" w:space="0" w:color="7F7F7F"/>
              <w:right w:val="nil"/>
            </w:tcBorders>
            <w:vAlign w:val="center"/>
          </w:tcPr>
          <w:p w14:paraId="44756495" w14:textId="77777777" w:rsidR="00A85AC4" w:rsidRPr="006A06F2" w:rsidRDefault="00A85AC4" w:rsidP="00042D57">
            <w:pPr>
              <w:spacing w:before="0"/>
            </w:pPr>
            <w:r w:rsidRPr="006A06F2">
              <w:rPr>
                <w:rFonts w:ascii="Arial" w:eastAsia="Arial" w:hAnsi="Arial" w:cs="Arial"/>
                <w:color w:val="000000"/>
                <w:sz w:val="16"/>
                <w:szCs w:val="16"/>
              </w:rPr>
              <w:t>Jorge Augusto Tirado Navarro</w:t>
            </w:r>
          </w:p>
          <w:p w14:paraId="66A08C28" w14:textId="77777777" w:rsidR="00A85AC4" w:rsidRPr="006A06F2" w:rsidRDefault="00A85AC4" w:rsidP="00042D57">
            <w:pPr>
              <w:spacing w:before="0"/>
            </w:pPr>
            <w:r w:rsidRPr="006A06F2">
              <w:rPr>
                <w:rFonts w:ascii="Arial" w:eastAsia="Arial" w:hAnsi="Arial" w:cs="Arial"/>
                <w:color w:val="000000"/>
                <w:sz w:val="16"/>
                <w:szCs w:val="16"/>
              </w:rPr>
              <w:t>Subdirector de Gestión Contractual ANCP – CCE</w:t>
            </w:r>
          </w:p>
        </w:tc>
      </w:tr>
    </w:tbl>
    <w:p w14:paraId="55525100" w14:textId="77777777" w:rsidR="00326817" w:rsidRPr="006A06F2" w:rsidRDefault="00326817" w:rsidP="00AA1B5C">
      <w:pPr>
        <w:spacing w:after="0"/>
        <w:rPr>
          <w:rFonts w:ascii="Arial" w:eastAsia="Arial" w:hAnsi="Arial" w:cs="Arial"/>
          <w:color w:val="000000"/>
          <w:sz w:val="22"/>
          <w:szCs w:val="22"/>
        </w:rPr>
      </w:pPr>
    </w:p>
    <w:sectPr w:rsidR="00326817" w:rsidRPr="006A06F2" w:rsidSect="00683517">
      <w:headerReference w:type="default" r:id="rId10"/>
      <w:footerReference w:type="default" r:id="rId11"/>
      <w:pgSz w:w="12240" w:h="15840"/>
      <w:pgMar w:top="408" w:right="1701" w:bottom="1276" w:left="1843" w:header="340" w:footer="22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DADBCF" w14:textId="77777777" w:rsidR="0000191D" w:rsidRDefault="0000191D">
      <w:pPr>
        <w:spacing w:after="0" w:line="240" w:lineRule="auto"/>
      </w:pPr>
      <w:r>
        <w:separator/>
      </w:r>
    </w:p>
  </w:endnote>
  <w:endnote w:type="continuationSeparator" w:id="0">
    <w:p w14:paraId="5355960C" w14:textId="77777777" w:rsidR="0000191D" w:rsidRDefault="000019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57768D" w14:textId="77777777" w:rsidR="00903F42" w:rsidRDefault="00903F42">
    <w:pPr>
      <w:pBdr>
        <w:top w:val="nil"/>
        <w:left w:val="nil"/>
        <w:bottom w:val="nil"/>
        <w:right w:val="nil"/>
        <w:between w:val="nil"/>
      </w:pBdr>
      <w:spacing w:after="0" w:line="240" w:lineRule="auto"/>
      <w:rPr>
        <w:rFonts w:ascii="Arial" w:eastAsia="Arial" w:hAnsi="Arial" w:cs="Arial"/>
        <w:color w:val="000000"/>
        <w:sz w:val="18"/>
        <w:szCs w:val="18"/>
      </w:rPr>
    </w:pPr>
  </w:p>
  <w:p w14:paraId="306BC5E2" w14:textId="0BB5EEBC" w:rsidR="00903F42" w:rsidRDefault="00903F42">
    <w:pPr>
      <w:pBdr>
        <w:top w:val="nil"/>
        <w:left w:val="nil"/>
        <w:bottom w:val="nil"/>
        <w:right w:val="nil"/>
        <w:between w:val="nil"/>
      </w:pBdr>
      <w:tabs>
        <w:tab w:val="center" w:pos="4419"/>
        <w:tab w:val="right" w:pos="8838"/>
      </w:tabs>
      <w:jc w:val="right"/>
      <w:rPr>
        <w:rFonts w:ascii="Arial" w:eastAsia="Arial" w:hAnsi="Arial" w:cs="Arial"/>
        <w:color w:val="7F7F7F"/>
        <w:sz w:val="16"/>
        <w:szCs w:val="16"/>
      </w:rPr>
    </w:pPr>
    <w:r>
      <w:rPr>
        <w:rFonts w:ascii="Arial" w:eastAsia="Arial" w:hAnsi="Arial" w:cs="Arial"/>
        <w:color w:val="7F7F7F"/>
        <w:sz w:val="16"/>
        <w:szCs w:val="16"/>
      </w:rPr>
      <w:t xml:space="preserve">Página </w:t>
    </w:r>
    <w:r>
      <w:rPr>
        <w:rFonts w:ascii="Arial" w:eastAsia="Arial" w:hAnsi="Arial" w:cs="Arial"/>
        <w:b/>
        <w:color w:val="7F7F7F"/>
        <w:sz w:val="16"/>
        <w:szCs w:val="16"/>
      </w:rPr>
      <w:fldChar w:fldCharType="begin"/>
    </w:r>
    <w:r>
      <w:rPr>
        <w:rFonts w:ascii="Arial" w:eastAsia="Arial" w:hAnsi="Arial" w:cs="Arial"/>
        <w:b/>
        <w:color w:val="7F7F7F"/>
        <w:sz w:val="16"/>
        <w:szCs w:val="16"/>
      </w:rPr>
      <w:instrText>PAGE</w:instrText>
    </w:r>
    <w:r>
      <w:rPr>
        <w:rFonts w:ascii="Arial" w:eastAsia="Arial" w:hAnsi="Arial" w:cs="Arial"/>
        <w:b/>
        <w:color w:val="7F7F7F"/>
        <w:sz w:val="16"/>
        <w:szCs w:val="16"/>
      </w:rPr>
      <w:fldChar w:fldCharType="separate"/>
    </w:r>
    <w:r w:rsidR="00DE36D1">
      <w:rPr>
        <w:rFonts w:ascii="Arial" w:eastAsia="Arial" w:hAnsi="Arial" w:cs="Arial"/>
        <w:b/>
        <w:noProof/>
        <w:color w:val="7F7F7F"/>
        <w:sz w:val="16"/>
        <w:szCs w:val="16"/>
      </w:rPr>
      <w:t>13</w:t>
    </w:r>
    <w:r>
      <w:rPr>
        <w:rFonts w:ascii="Arial" w:eastAsia="Arial" w:hAnsi="Arial" w:cs="Arial"/>
        <w:b/>
        <w:color w:val="7F7F7F"/>
        <w:sz w:val="16"/>
        <w:szCs w:val="16"/>
      </w:rPr>
      <w:fldChar w:fldCharType="end"/>
    </w:r>
    <w:r>
      <w:rPr>
        <w:rFonts w:ascii="Arial" w:eastAsia="Arial" w:hAnsi="Arial" w:cs="Arial"/>
        <w:color w:val="7F7F7F"/>
        <w:sz w:val="16"/>
        <w:szCs w:val="16"/>
      </w:rPr>
      <w:t xml:space="preserve"> de </w:t>
    </w:r>
    <w:r>
      <w:rPr>
        <w:rFonts w:ascii="Arial" w:eastAsia="Arial" w:hAnsi="Arial" w:cs="Arial"/>
        <w:b/>
        <w:color w:val="7F7F7F"/>
        <w:sz w:val="16"/>
        <w:szCs w:val="16"/>
      </w:rPr>
      <w:fldChar w:fldCharType="begin"/>
    </w:r>
    <w:r>
      <w:rPr>
        <w:rFonts w:ascii="Arial" w:eastAsia="Arial" w:hAnsi="Arial" w:cs="Arial"/>
        <w:b/>
        <w:color w:val="7F7F7F"/>
        <w:sz w:val="16"/>
        <w:szCs w:val="16"/>
      </w:rPr>
      <w:instrText>NUMPAGES</w:instrText>
    </w:r>
    <w:r>
      <w:rPr>
        <w:rFonts w:ascii="Arial" w:eastAsia="Arial" w:hAnsi="Arial" w:cs="Arial"/>
        <w:b/>
        <w:color w:val="7F7F7F"/>
        <w:sz w:val="16"/>
        <w:szCs w:val="16"/>
      </w:rPr>
      <w:fldChar w:fldCharType="separate"/>
    </w:r>
    <w:r w:rsidR="00DE36D1">
      <w:rPr>
        <w:rFonts w:ascii="Arial" w:eastAsia="Arial" w:hAnsi="Arial" w:cs="Arial"/>
        <w:b/>
        <w:noProof/>
        <w:color w:val="7F7F7F"/>
        <w:sz w:val="16"/>
        <w:szCs w:val="16"/>
      </w:rPr>
      <w:t>13</w:t>
    </w:r>
    <w:r>
      <w:rPr>
        <w:rFonts w:ascii="Arial" w:eastAsia="Arial" w:hAnsi="Arial" w:cs="Arial"/>
        <w:b/>
        <w:color w:val="7F7F7F"/>
        <w:sz w:val="16"/>
        <w:szCs w:val="16"/>
      </w:rPr>
      <w:fldChar w:fldCharType="end"/>
    </w:r>
  </w:p>
  <w:p w14:paraId="31932D98" w14:textId="77777777" w:rsidR="00903F42" w:rsidRDefault="00903F42">
    <w:pPr>
      <w:pBdr>
        <w:top w:val="nil"/>
        <w:left w:val="nil"/>
        <w:bottom w:val="nil"/>
        <w:right w:val="nil"/>
        <w:between w:val="nil"/>
      </w:pBdr>
      <w:tabs>
        <w:tab w:val="center" w:pos="4419"/>
        <w:tab w:val="right" w:pos="8838"/>
      </w:tabs>
      <w:jc w:val="center"/>
      <w:rPr>
        <w:color w:val="000000"/>
      </w:rPr>
    </w:pPr>
    <w:r>
      <w:rPr>
        <w:noProof/>
        <w:color w:val="000000"/>
        <w:lang w:val="es-CO" w:eastAsia="es-CO"/>
      </w:rPr>
      <w:drawing>
        <wp:inline distT="0" distB="0" distL="0" distR="0" wp14:anchorId="2317FF68" wp14:editId="6AADFB3E">
          <wp:extent cx="4241994" cy="595165"/>
          <wp:effectExtent l="0" t="0" r="0" b="0"/>
          <wp:docPr id="1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a:stretch>
                    <a:fillRect/>
                  </a:stretch>
                </pic:blipFill>
                <pic:spPr>
                  <a:xfrm>
                    <a:off x="0" y="0"/>
                    <a:ext cx="4241994" cy="595165"/>
                  </a:xfrm>
                  <a:prstGeom prst="rect">
                    <a:avLst/>
                  </a:prstGeom>
                  <a:ln/>
                </pic:spPr>
              </pic:pic>
            </a:graphicData>
          </a:graphic>
        </wp:inline>
      </w:drawing>
    </w:r>
  </w:p>
  <w:p w14:paraId="7648E66C" w14:textId="77777777" w:rsidR="00903F42" w:rsidRDefault="00903F42">
    <w:pPr>
      <w:pBdr>
        <w:top w:val="nil"/>
        <w:left w:val="nil"/>
        <w:bottom w:val="nil"/>
        <w:right w:val="nil"/>
        <w:between w:val="nil"/>
      </w:pBdr>
      <w:tabs>
        <w:tab w:val="center" w:pos="4419"/>
        <w:tab w:val="right" w:pos="8838"/>
      </w:tabs>
      <w:spacing w:line="12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DE5276" w14:textId="77777777" w:rsidR="0000191D" w:rsidRDefault="0000191D">
      <w:pPr>
        <w:spacing w:after="0" w:line="240" w:lineRule="auto"/>
      </w:pPr>
      <w:r>
        <w:separator/>
      </w:r>
    </w:p>
  </w:footnote>
  <w:footnote w:type="continuationSeparator" w:id="0">
    <w:p w14:paraId="0693BD71" w14:textId="77777777" w:rsidR="0000191D" w:rsidRDefault="0000191D">
      <w:pPr>
        <w:spacing w:after="0" w:line="240" w:lineRule="auto"/>
      </w:pPr>
      <w:r>
        <w:continuationSeparator/>
      </w:r>
    </w:p>
  </w:footnote>
  <w:footnote w:id="1">
    <w:p w14:paraId="301E62DF" w14:textId="32DCA8D0" w:rsidR="00903F42" w:rsidRPr="005955A8" w:rsidRDefault="00903F42" w:rsidP="005955A8">
      <w:pPr>
        <w:pBdr>
          <w:top w:val="nil"/>
          <w:left w:val="nil"/>
          <w:bottom w:val="nil"/>
          <w:right w:val="nil"/>
          <w:between w:val="nil"/>
        </w:pBdr>
        <w:spacing w:after="0" w:line="240" w:lineRule="auto"/>
        <w:ind w:firstLine="709"/>
        <w:rPr>
          <w:rFonts w:ascii="Arial" w:eastAsia="Arial" w:hAnsi="Arial" w:cs="Arial"/>
          <w:color w:val="000000"/>
          <w:sz w:val="19"/>
          <w:szCs w:val="19"/>
        </w:rPr>
      </w:pPr>
      <w:r w:rsidRPr="005955A8">
        <w:rPr>
          <w:rFonts w:ascii="Arial" w:hAnsi="Arial" w:cs="Arial"/>
          <w:sz w:val="19"/>
          <w:szCs w:val="19"/>
          <w:vertAlign w:val="superscript"/>
        </w:rPr>
        <w:footnoteRef/>
      </w:r>
      <w:r w:rsidRPr="005955A8">
        <w:rPr>
          <w:rFonts w:ascii="Arial" w:eastAsia="Arial" w:hAnsi="Arial" w:cs="Arial"/>
          <w:color w:val="000000"/>
          <w:sz w:val="19"/>
          <w:szCs w:val="19"/>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5955A8">
        <w:rPr>
          <w:rFonts w:ascii="Arial" w:eastAsia="Arial" w:hAnsi="Arial" w:cs="Arial"/>
          <w:i/>
          <w:color w:val="000000"/>
          <w:sz w:val="19"/>
          <w:szCs w:val="19"/>
        </w:rPr>
        <w:t xml:space="preserve">ibídem </w:t>
      </w:r>
      <w:r w:rsidRPr="005955A8">
        <w:rPr>
          <w:rFonts w:ascii="Arial" w:eastAsia="Arial" w:hAnsi="Arial" w:cs="Arial"/>
          <w:color w:val="000000"/>
          <w:sz w:val="19"/>
          <w:szCs w:val="19"/>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Esta se fija con límites claros, con el objeto de evitar que la Agencia actúe como una instancia de validación de las actuaciones de las entidades sujetas a la Ley 80 de 1993 o de los demás participantes de la contratación pública.</w:t>
      </w:r>
    </w:p>
  </w:footnote>
  <w:footnote w:id="2">
    <w:p w14:paraId="7A920930" w14:textId="77777777" w:rsidR="00903F42" w:rsidRPr="005955A8" w:rsidRDefault="00903F42" w:rsidP="005955A8">
      <w:pPr>
        <w:pBdr>
          <w:top w:val="nil"/>
          <w:left w:val="nil"/>
          <w:bottom w:val="nil"/>
          <w:right w:val="nil"/>
          <w:between w:val="nil"/>
        </w:pBdr>
        <w:spacing w:after="0" w:line="240" w:lineRule="auto"/>
        <w:ind w:firstLine="709"/>
        <w:rPr>
          <w:rFonts w:ascii="Arial" w:eastAsia="Arial" w:hAnsi="Arial" w:cs="Arial"/>
          <w:color w:val="000000"/>
          <w:sz w:val="19"/>
          <w:szCs w:val="19"/>
        </w:rPr>
      </w:pPr>
      <w:r w:rsidRPr="005955A8">
        <w:rPr>
          <w:rFonts w:ascii="Arial" w:hAnsi="Arial" w:cs="Arial"/>
          <w:sz w:val="19"/>
          <w:szCs w:val="19"/>
          <w:vertAlign w:val="superscript"/>
        </w:rPr>
        <w:footnoteRef/>
      </w:r>
      <w:r w:rsidRPr="005955A8">
        <w:rPr>
          <w:rFonts w:ascii="Arial" w:eastAsia="Arial" w:hAnsi="Arial" w:cs="Arial"/>
          <w:color w:val="000000"/>
          <w:sz w:val="19"/>
          <w:szCs w:val="19"/>
        </w:rPr>
        <w:t xml:space="preserve"> Seguidamente, el numeral 8º del artículo 11 Decreto Ley 4170 de 2011 señala que es función de la Subdirección de Gestión Contractual: «[a]bsolver consultas sobre la aplicación de normas de carácter general». Es necesario tener en cuenta que esta entidad solo tiene competencia para responder solicitudes sobre la aplicación de normas de carácter general en materia de compras y contratación pública.</w:t>
      </w:r>
    </w:p>
  </w:footnote>
  <w:footnote w:id="3">
    <w:p w14:paraId="206114FE" w14:textId="2B864C9C" w:rsidR="000E2299" w:rsidRPr="00042D57" w:rsidRDefault="000E2299" w:rsidP="005955A8">
      <w:pPr>
        <w:pStyle w:val="Textonotapie"/>
        <w:ind w:firstLine="709"/>
        <w:rPr>
          <w:rFonts w:ascii="Arial" w:hAnsi="Arial" w:cs="Arial"/>
          <w:sz w:val="19"/>
          <w:szCs w:val="19"/>
          <w:lang w:val="es-CO"/>
        </w:rPr>
      </w:pPr>
      <w:r w:rsidRPr="00042D57">
        <w:rPr>
          <w:rStyle w:val="Refdenotaalpie"/>
          <w:rFonts w:ascii="Arial" w:hAnsi="Arial" w:cs="Arial"/>
          <w:sz w:val="19"/>
          <w:szCs w:val="19"/>
        </w:rPr>
        <w:footnoteRef/>
      </w:r>
      <w:r w:rsidRPr="00042D57">
        <w:rPr>
          <w:rFonts w:ascii="Arial" w:hAnsi="Arial" w:cs="Arial"/>
          <w:sz w:val="19"/>
          <w:szCs w:val="19"/>
        </w:rPr>
        <w:t xml:space="preserve"> </w:t>
      </w:r>
      <w:r w:rsidR="009E45CB" w:rsidRPr="00042D57">
        <w:rPr>
          <w:rFonts w:ascii="Arial" w:hAnsi="Arial" w:cs="Arial"/>
          <w:sz w:val="19"/>
          <w:szCs w:val="19"/>
        </w:rPr>
        <w:t>Cfr. Ley 1150 de 2007, artículo 5, especialmente los parágrafos de dich</w:t>
      </w:r>
      <w:r w:rsidR="00E22201" w:rsidRPr="00042D57">
        <w:rPr>
          <w:rFonts w:ascii="Arial" w:hAnsi="Arial" w:cs="Arial"/>
          <w:sz w:val="19"/>
          <w:szCs w:val="19"/>
        </w:rPr>
        <w:t>a disposición</w:t>
      </w:r>
      <w:r w:rsidR="009E45CB" w:rsidRPr="00042D57">
        <w:rPr>
          <w:rFonts w:ascii="Arial" w:hAnsi="Arial" w:cs="Arial"/>
          <w:sz w:val="19"/>
          <w:szCs w:val="19"/>
        </w:rPr>
        <w:t>, de acuerdo con las modificaciones realizadas por el artículo 5 de la Ley 1882 de 2018.</w:t>
      </w:r>
    </w:p>
  </w:footnote>
  <w:footnote w:id="4">
    <w:p w14:paraId="77E3BD39" w14:textId="77777777" w:rsidR="000E2299" w:rsidRPr="00042D57" w:rsidRDefault="000E2299" w:rsidP="005955A8">
      <w:pPr>
        <w:pStyle w:val="Textonotapie"/>
        <w:ind w:firstLine="708"/>
        <w:rPr>
          <w:rFonts w:ascii="Arial" w:hAnsi="Arial" w:cs="Arial"/>
          <w:color w:val="000000"/>
          <w:sz w:val="19"/>
          <w:szCs w:val="19"/>
        </w:rPr>
      </w:pPr>
    </w:p>
    <w:p w14:paraId="76FB11CF" w14:textId="77777777" w:rsidR="00810E0B" w:rsidRPr="00042D57" w:rsidRDefault="00810E0B" w:rsidP="005955A8">
      <w:pPr>
        <w:pStyle w:val="Textonotapie"/>
        <w:ind w:firstLine="708"/>
        <w:rPr>
          <w:rFonts w:ascii="Arial" w:hAnsi="Arial" w:cs="Arial"/>
          <w:color w:val="000000"/>
          <w:sz w:val="19"/>
          <w:szCs w:val="19"/>
        </w:rPr>
      </w:pPr>
      <w:r w:rsidRPr="00042D57">
        <w:rPr>
          <w:rStyle w:val="Refdenotaalpie"/>
          <w:rFonts w:ascii="Arial" w:hAnsi="Arial" w:cs="Arial"/>
          <w:color w:val="000000"/>
          <w:sz w:val="19"/>
          <w:szCs w:val="19"/>
        </w:rPr>
        <w:footnoteRef/>
      </w:r>
      <w:r w:rsidRPr="00042D57">
        <w:rPr>
          <w:rFonts w:ascii="Arial" w:hAnsi="Arial" w:cs="Arial"/>
          <w:color w:val="000000"/>
          <w:sz w:val="19"/>
          <w:szCs w:val="19"/>
        </w:rPr>
        <w:t xml:space="preserve"> «Artículo 2.2.1.1.2.1.3. Pliegos de condiciones. Los pliegos de condiciones deben contener por lo menos la siguiente información: </w:t>
      </w:r>
    </w:p>
    <w:p w14:paraId="18E73CAB" w14:textId="0F00E2FC" w:rsidR="00810E0B" w:rsidRPr="00042D57" w:rsidRDefault="00E22201" w:rsidP="005955A8">
      <w:pPr>
        <w:pStyle w:val="Textonotapie"/>
        <w:ind w:firstLine="708"/>
        <w:rPr>
          <w:rFonts w:ascii="Arial" w:hAnsi="Arial" w:cs="Arial"/>
          <w:color w:val="000000"/>
          <w:sz w:val="19"/>
          <w:szCs w:val="19"/>
        </w:rPr>
      </w:pPr>
      <w:r w:rsidRPr="00042D57">
        <w:rPr>
          <w:rFonts w:ascii="Arial" w:hAnsi="Arial" w:cs="Arial"/>
          <w:color w:val="000000"/>
          <w:sz w:val="19"/>
          <w:szCs w:val="19"/>
        </w:rPr>
        <w:t>»</w:t>
      </w:r>
      <w:r w:rsidR="00810E0B" w:rsidRPr="00042D57">
        <w:rPr>
          <w:rFonts w:ascii="Arial" w:hAnsi="Arial" w:cs="Arial"/>
          <w:color w:val="000000"/>
          <w:sz w:val="19"/>
          <w:szCs w:val="19"/>
        </w:rPr>
        <w:t>[…]</w:t>
      </w:r>
    </w:p>
    <w:p w14:paraId="7A0F395E" w14:textId="0BAB7DBB" w:rsidR="00810E0B" w:rsidRPr="00042D57" w:rsidRDefault="00E22201" w:rsidP="005955A8">
      <w:pPr>
        <w:pStyle w:val="Textonotapie"/>
        <w:ind w:firstLine="708"/>
        <w:rPr>
          <w:rFonts w:ascii="Arial" w:hAnsi="Arial" w:cs="Arial"/>
          <w:color w:val="000000"/>
          <w:sz w:val="19"/>
          <w:szCs w:val="19"/>
        </w:rPr>
      </w:pPr>
      <w:r w:rsidRPr="00042D57">
        <w:rPr>
          <w:rFonts w:ascii="Arial" w:hAnsi="Arial" w:cs="Arial"/>
          <w:color w:val="000000"/>
          <w:sz w:val="19"/>
          <w:szCs w:val="19"/>
        </w:rPr>
        <w:t>»</w:t>
      </w:r>
      <w:r w:rsidR="00810E0B" w:rsidRPr="00042D57">
        <w:rPr>
          <w:rFonts w:ascii="Arial" w:hAnsi="Arial" w:cs="Arial"/>
          <w:color w:val="000000"/>
          <w:sz w:val="19"/>
          <w:szCs w:val="19"/>
        </w:rPr>
        <w:t xml:space="preserve">5. Las reglas aplicables a la presentación de las ofertas, su evaluación y a la adjudicación del contrato. </w:t>
      </w:r>
    </w:p>
    <w:p w14:paraId="3518D5C4" w14:textId="05D524A1" w:rsidR="00810E0B" w:rsidRPr="00042D57" w:rsidRDefault="00E22201" w:rsidP="005955A8">
      <w:pPr>
        <w:pStyle w:val="Textonotapie"/>
        <w:ind w:firstLine="708"/>
        <w:rPr>
          <w:rFonts w:ascii="Arial" w:hAnsi="Arial" w:cs="Arial"/>
          <w:color w:val="000000"/>
          <w:sz w:val="19"/>
          <w:szCs w:val="19"/>
        </w:rPr>
      </w:pPr>
      <w:r w:rsidRPr="00042D57">
        <w:rPr>
          <w:rFonts w:ascii="Arial" w:hAnsi="Arial" w:cs="Arial"/>
          <w:color w:val="000000"/>
          <w:sz w:val="19"/>
          <w:szCs w:val="19"/>
        </w:rPr>
        <w:t>»</w:t>
      </w:r>
      <w:r w:rsidR="00810E0B" w:rsidRPr="00042D57">
        <w:rPr>
          <w:rFonts w:ascii="Arial" w:hAnsi="Arial" w:cs="Arial"/>
          <w:color w:val="000000"/>
          <w:sz w:val="19"/>
          <w:szCs w:val="19"/>
        </w:rPr>
        <w:t>[…]</w:t>
      </w:r>
    </w:p>
    <w:p w14:paraId="14CD9B8B" w14:textId="05F86DA3" w:rsidR="00810E0B" w:rsidRPr="00042D57" w:rsidRDefault="00E22201" w:rsidP="005955A8">
      <w:pPr>
        <w:pStyle w:val="Textonotapie"/>
        <w:ind w:firstLine="708"/>
        <w:rPr>
          <w:rFonts w:ascii="Arial" w:hAnsi="Arial" w:cs="Arial"/>
          <w:color w:val="000000"/>
          <w:sz w:val="19"/>
          <w:szCs w:val="19"/>
          <w:lang w:val="es-CO"/>
        </w:rPr>
      </w:pPr>
      <w:r w:rsidRPr="00042D57">
        <w:rPr>
          <w:rFonts w:ascii="Arial" w:hAnsi="Arial" w:cs="Arial"/>
          <w:color w:val="000000"/>
          <w:sz w:val="19"/>
          <w:szCs w:val="19"/>
        </w:rPr>
        <w:t>»</w:t>
      </w:r>
      <w:r w:rsidR="00810E0B" w:rsidRPr="00042D57">
        <w:rPr>
          <w:rFonts w:ascii="Arial" w:hAnsi="Arial" w:cs="Arial"/>
          <w:color w:val="000000"/>
          <w:sz w:val="19"/>
          <w:szCs w:val="19"/>
        </w:rPr>
        <w:t>14. El Cronograma».</w:t>
      </w:r>
    </w:p>
  </w:footnote>
  <w:footnote w:id="5">
    <w:p w14:paraId="21AAE5FD" w14:textId="5476D51F" w:rsidR="005955A8" w:rsidRPr="00042D57" w:rsidRDefault="005955A8" w:rsidP="00042D57">
      <w:pPr>
        <w:pStyle w:val="Textonotapie"/>
        <w:ind w:firstLine="708"/>
        <w:rPr>
          <w:rFonts w:ascii="Arial" w:hAnsi="Arial" w:cs="Arial"/>
          <w:sz w:val="19"/>
          <w:szCs w:val="19"/>
        </w:rPr>
      </w:pPr>
      <w:r w:rsidRPr="00042D57">
        <w:rPr>
          <w:rStyle w:val="Refdenotaalpie"/>
          <w:rFonts w:ascii="Arial" w:hAnsi="Arial" w:cs="Arial"/>
          <w:sz w:val="19"/>
          <w:szCs w:val="19"/>
        </w:rPr>
        <w:footnoteRef/>
      </w:r>
      <w:r w:rsidRPr="00042D57">
        <w:rPr>
          <w:rFonts w:ascii="Arial" w:hAnsi="Arial" w:cs="Arial"/>
          <w:sz w:val="19"/>
          <w:szCs w:val="19"/>
        </w:rPr>
        <w:t xml:space="preserve"> Disponible en: https://www.colombiacompra.gov.co/sites/cce_public/files/cce_circulares/cce_circular_unica.pdf</w:t>
      </w:r>
    </w:p>
  </w:footnote>
  <w:footnote w:id="6">
    <w:p w14:paraId="32D2EEB7" w14:textId="77777777" w:rsidR="00485B6A" w:rsidRPr="00042D57" w:rsidRDefault="00485B6A" w:rsidP="005955A8">
      <w:pPr>
        <w:pStyle w:val="Textonotapie"/>
        <w:ind w:firstLine="708"/>
        <w:rPr>
          <w:rFonts w:ascii="Arial" w:hAnsi="Arial" w:cs="Arial"/>
          <w:color w:val="000000"/>
          <w:sz w:val="19"/>
          <w:szCs w:val="19"/>
          <w:lang w:val="es-CO"/>
        </w:rPr>
      </w:pPr>
      <w:r w:rsidRPr="00042D57">
        <w:rPr>
          <w:rStyle w:val="Refdenotaalpie"/>
          <w:rFonts w:ascii="Arial" w:hAnsi="Arial" w:cs="Arial"/>
          <w:color w:val="000000"/>
          <w:sz w:val="19"/>
          <w:szCs w:val="19"/>
        </w:rPr>
        <w:footnoteRef/>
      </w:r>
      <w:r w:rsidRPr="00042D57">
        <w:rPr>
          <w:rFonts w:ascii="Arial" w:hAnsi="Arial" w:cs="Arial"/>
          <w:color w:val="000000"/>
          <w:sz w:val="19"/>
          <w:szCs w:val="19"/>
        </w:rPr>
        <w:t xml:space="preserve"> </w:t>
      </w:r>
      <w:r w:rsidRPr="00042D57">
        <w:rPr>
          <w:rFonts w:ascii="Arial" w:hAnsi="Arial" w:cs="Arial"/>
          <w:color w:val="000000"/>
          <w:sz w:val="19"/>
          <w:szCs w:val="19"/>
          <w:lang w:val="es-CO"/>
        </w:rPr>
        <w:t xml:space="preserve">Real Academia Española de la Lengua. Diccionario de la Lengua Española. Edición Tricentenario. Disponible en: </w:t>
      </w:r>
      <w:hyperlink r:id="rId1" w:history="1">
        <w:r w:rsidRPr="00042D57">
          <w:rPr>
            <w:rStyle w:val="Hipervnculo"/>
            <w:rFonts w:ascii="Arial" w:hAnsi="Arial" w:cs="Arial"/>
            <w:color w:val="000000"/>
            <w:sz w:val="19"/>
            <w:szCs w:val="19"/>
          </w:rPr>
          <w:t>https://dle.rae.es/h%C3%A1bil</w:t>
        </w:r>
      </w:hyperlink>
      <w:r w:rsidRPr="00042D57">
        <w:rPr>
          <w:rFonts w:ascii="Arial" w:hAnsi="Arial" w:cs="Arial"/>
          <w:color w:val="000000"/>
          <w:sz w:val="19"/>
          <w:szCs w:val="19"/>
          <w:lang w:val="es-CO"/>
        </w:rPr>
        <w:t xml:space="preserve"> </w:t>
      </w:r>
    </w:p>
  </w:footnote>
  <w:footnote w:id="7">
    <w:p w14:paraId="611CC443" w14:textId="77777777" w:rsidR="00485B6A" w:rsidRPr="00042D57" w:rsidRDefault="00485B6A" w:rsidP="005955A8">
      <w:pPr>
        <w:pStyle w:val="Textonotapie"/>
        <w:ind w:firstLine="708"/>
        <w:rPr>
          <w:rFonts w:ascii="Arial" w:hAnsi="Arial" w:cs="Arial"/>
          <w:color w:val="000000"/>
          <w:sz w:val="19"/>
          <w:szCs w:val="19"/>
        </w:rPr>
      </w:pPr>
      <w:r w:rsidRPr="00042D57">
        <w:rPr>
          <w:rStyle w:val="Refdenotaalpie"/>
          <w:rFonts w:ascii="Arial" w:hAnsi="Arial" w:cs="Arial"/>
          <w:color w:val="000000"/>
          <w:sz w:val="19"/>
          <w:szCs w:val="19"/>
        </w:rPr>
        <w:footnoteRef/>
      </w:r>
      <w:r w:rsidRPr="00042D57">
        <w:rPr>
          <w:rFonts w:ascii="Arial" w:hAnsi="Arial" w:cs="Arial"/>
          <w:color w:val="000000"/>
          <w:sz w:val="19"/>
          <w:szCs w:val="19"/>
        </w:rPr>
        <w:t xml:space="preserve"> MARÍN CORTÉS, Fabián G. Derecho de petición y procedimiento administrativo. 1</w:t>
      </w:r>
      <w:r w:rsidRPr="00042D57">
        <w:rPr>
          <w:rFonts w:ascii="Arial" w:hAnsi="Arial" w:cs="Arial"/>
          <w:color w:val="000000"/>
          <w:sz w:val="19"/>
          <w:szCs w:val="19"/>
          <w:u w:val="single"/>
          <w:vertAlign w:val="superscript"/>
        </w:rPr>
        <w:t>a</w:t>
      </w:r>
      <w:r w:rsidRPr="00042D57">
        <w:rPr>
          <w:rFonts w:ascii="Arial" w:hAnsi="Arial" w:cs="Arial"/>
          <w:color w:val="000000"/>
          <w:sz w:val="19"/>
          <w:szCs w:val="19"/>
        </w:rPr>
        <w:t xml:space="preserve"> ed. Medellín: Librería Jurídica Sánchez R Ltda y Centro de Estudios de Derecho Administrativo, 2017. p. 417.  </w:t>
      </w:r>
    </w:p>
    <w:p w14:paraId="27A219C1" w14:textId="77777777" w:rsidR="00485B6A" w:rsidRPr="00042D57" w:rsidRDefault="00485B6A" w:rsidP="005955A8">
      <w:pPr>
        <w:pStyle w:val="Textonotapie"/>
        <w:rPr>
          <w:rFonts w:ascii="Arial" w:hAnsi="Arial" w:cs="Arial"/>
          <w:color w:val="000000"/>
          <w:sz w:val="19"/>
          <w:szCs w:val="19"/>
          <w:lang w:val="es-CO"/>
        </w:rPr>
      </w:pPr>
    </w:p>
  </w:footnote>
  <w:footnote w:id="8">
    <w:p w14:paraId="10C2CBAC" w14:textId="77777777" w:rsidR="00485B6A" w:rsidRPr="00042D57" w:rsidRDefault="00485B6A" w:rsidP="005955A8">
      <w:pPr>
        <w:pStyle w:val="Textonotapie"/>
        <w:ind w:firstLine="708"/>
        <w:rPr>
          <w:rFonts w:ascii="Arial" w:hAnsi="Arial" w:cs="Arial"/>
          <w:color w:val="000000"/>
          <w:sz w:val="19"/>
          <w:szCs w:val="19"/>
        </w:rPr>
      </w:pPr>
      <w:r w:rsidRPr="00042D57">
        <w:rPr>
          <w:rStyle w:val="Refdenotaalpie"/>
          <w:rFonts w:ascii="Arial" w:hAnsi="Arial" w:cs="Arial"/>
          <w:color w:val="000000"/>
          <w:sz w:val="19"/>
          <w:szCs w:val="19"/>
        </w:rPr>
        <w:footnoteRef/>
      </w:r>
      <w:r w:rsidRPr="00042D57">
        <w:rPr>
          <w:rFonts w:ascii="Arial" w:hAnsi="Arial" w:cs="Arial"/>
          <w:color w:val="000000"/>
          <w:sz w:val="19"/>
          <w:szCs w:val="19"/>
        </w:rPr>
        <w:t xml:space="preserve"> </w:t>
      </w:r>
      <w:r w:rsidRPr="00042D57">
        <w:rPr>
          <w:rFonts w:ascii="Arial" w:hAnsi="Arial" w:cs="Arial"/>
          <w:color w:val="000000"/>
          <w:sz w:val="19"/>
          <w:szCs w:val="19"/>
          <w:lang w:val="es-CO"/>
        </w:rPr>
        <w:t xml:space="preserve">Consejo de Estado. </w:t>
      </w:r>
      <w:r w:rsidRPr="00042D57">
        <w:rPr>
          <w:rFonts w:ascii="Arial" w:hAnsi="Arial" w:cs="Arial"/>
          <w:color w:val="000000"/>
          <w:sz w:val="19"/>
          <w:szCs w:val="19"/>
        </w:rPr>
        <w:t>Sala Plena de lo Contencioso Administrativo. Sentencia del 12 de abril de 1978. C.P. Carlos Portocarrero Mutis. Exp. 355.</w:t>
      </w:r>
    </w:p>
    <w:p w14:paraId="1C0C2EB3" w14:textId="77777777" w:rsidR="00485B6A" w:rsidRPr="00042D57" w:rsidRDefault="00485B6A" w:rsidP="005955A8">
      <w:pPr>
        <w:pStyle w:val="Textonotapie"/>
        <w:ind w:firstLine="708"/>
        <w:rPr>
          <w:rFonts w:ascii="Arial" w:hAnsi="Arial" w:cs="Arial"/>
          <w:color w:val="000000"/>
          <w:sz w:val="19"/>
          <w:szCs w:val="19"/>
          <w:lang w:val="es-CO"/>
        </w:rPr>
      </w:pPr>
    </w:p>
  </w:footnote>
  <w:footnote w:id="9">
    <w:p w14:paraId="1A6838C2" w14:textId="77777777" w:rsidR="00485B6A" w:rsidRPr="00042D57" w:rsidRDefault="00485B6A" w:rsidP="005955A8">
      <w:pPr>
        <w:pStyle w:val="Textonotapie"/>
        <w:ind w:firstLine="708"/>
        <w:rPr>
          <w:rFonts w:ascii="Arial" w:hAnsi="Arial" w:cs="Arial"/>
          <w:color w:val="000000"/>
          <w:sz w:val="19"/>
          <w:szCs w:val="19"/>
          <w:lang w:val="es-CO"/>
        </w:rPr>
      </w:pPr>
      <w:r w:rsidRPr="00042D57">
        <w:rPr>
          <w:rStyle w:val="Refdenotaalpie"/>
          <w:rFonts w:ascii="Arial" w:hAnsi="Arial" w:cs="Arial"/>
          <w:color w:val="000000"/>
          <w:sz w:val="19"/>
          <w:szCs w:val="19"/>
        </w:rPr>
        <w:footnoteRef/>
      </w:r>
      <w:r w:rsidRPr="00042D57">
        <w:rPr>
          <w:rFonts w:ascii="Arial" w:hAnsi="Arial" w:cs="Arial"/>
          <w:color w:val="000000"/>
          <w:sz w:val="19"/>
          <w:szCs w:val="19"/>
        </w:rPr>
        <w:t xml:space="preserve"> Consejo de Estado. Sección Cuarta. Auto del 26 de febrero de 1983.</w:t>
      </w:r>
    </w:p>
  </w:footnote>
  <w:footnote w:id="10">
    <w:p w14:paraId="2B563901" w14:textId="77777777" w:rsidR="00485B6A" w:rsidRPr="00042D57" w:rsidRDefault="00485B6A" w:rsidP="005955A8">
      <w:pPr>
        <w:pStyle w:val="Textonotapie"/>
        <w:ind w:firstLine="708"/>
        <w:rPr>
          <w:rFonts w:ascii="Arial" w:hAnsi="Arial" w:cs="Arial"/>
          <w:color w:val="000000"/>
          <w:sz w:val="19"/>
          <w:szCs w:val="19"/>
        </w:rPr>
      </w:pPr>
    </w:p>
    <w:p w14:paraId="25D59CA1" w14:textId="77777777" w:rsidR="00485B6A" w:rsidRPr="00042D57" w:rsidRDefault="00485B6A" w:rsidP="005955A8">
      <w:pPr>
        <w:pStyle w:val="Textonotapie"/>
        <w:ind w:firstLine="708"/>
        <w:rPr>
          <w:rFonts w:ascii="Arial" w:hAnsi="Arial" w:cs="Arial"/>
          <w:color w:val="000000"/>
          <w:sz w:val="19"/>
          <w:szCs w:val="19"/>
          <w:lang w:val="es-CO"/>
        </w:rPr>
      </w:pPr>
      <w:r w:rsidRPr="00042D57">
        <w:rPr>
          <w:rStyle w:val="Refdenotaalpie"/>
          <w:rFonts w:ascii="Arial" w:hAnsi="Arial" w:cs="Arial"/>
          <w:color w:val="000000"/>
          <w:sz w:val="19"/>
          <w:szCs w:val="19"/>
        </w:rPr>
        <w:footnoteRef/>
      </w:r>
      <w:r w:rsidRPr="00042D57">
        <w:rPr>
          <w:rFonts w:ascii="Arial" w:hAnsi="Arial" w:cs="Arial"/>
          <w:color w:val="000000"/>
          <w:sz w:val="19"/>
          <w:szCs w:val="19"/>
        </w:rPr>
        <w:t xml:space="preserve"> MARÍN CORTÉS, Fabián G. Derecho de petición y procedimiento administrativo. 1</w:t>
      </w:r>
      <w:r w:rsidRPr="00042D57">
        <w:rPr>
          <w:rFonts w:ascii="Arial" w:hAnsi="Arial" w:cs="Arial"/>
          <w:color w:val="000000"/>
          <w:sz w:val="19"/>
          <w:szCs w:val="19"/>
          <w:u w:val="single"/>
          <w:vertAlign w:val="superscript"/>
        </w:rPr>
        <w:t>a</w:t>
      </w:r>
      <w:r w:rsidRPr="00042D57">
        <w:rPr>
          <w:rFonts w:ascii="Arial" w:hAnsi="Arial" w:cs="Arial"/>
          <w:color w:val="000000"/>
          <w:sz w:val="19"/>
          <w:szCs w:val="19"/>
        </w:rPr>
        <w:t xml:space="preserve"> ed. Medellín: Librería Jurídica Sánchez R Ltda y Centro de Estudios de Derecho Administrativo, 2017. p. 417.  </w:t>
      </w:r>
    </w:p>
  </w:footnote>
  <w:footnote w:id="11">
    <w:p w14:paraId="0EE687FC" w14:textId="77777777" w:rsidR="00485B6A" w:rsidRPr="00042D57" w:rsidRDefault="00485B6A" w:rsidP="005955A8">
      <w:pPr>
        <w:pStyle w:val="Textonotapie"/>
        <w:ind w:firstLine="708"/>
        <w:rPr>
          <w:rFonts w:ascii="Arial" w:hAnsi="Arial" w:cs="Arial"/>
          <w:color w:val="000000"/>
          <w:sz w:val="19"/>
          <w:szCs w:val="19"/>
        </w:rPr>
      </w:pPr>
    </w:p>
    <w:p w14:paraId="3CFB8A91" w14:textId="77777777" w:rsidR="00485B6A" w:rsidRPr="00042D57" w:rsidRDefault="00485B6A" w:rsidP="005955A8">
      <w:pPr>
        <w:pStyle w:val="Textonotapie"/>
        <w:ind w:firstLine="708"/>
        <w:rPr>
          <w:rFonts w:ascii="Arial" w:hAnsi="Arial" w:cs="Arial"/>
          <w:color w:val="000000"/>
          <w:sz w:val="19"/>
          <w:szCs w:val="19"/>
          <w:lang w:val="es-CO"/>
        </w:rPr>
      </w:pPr>
      <w:r w:rsidRPr="00042D57">
        <w:rPr>
          <w:rStyle w:val="Refdenotaalpie"/>
          <w:rFonts w:ascii="Arial" w:hAnsi="Arial" w:cs="Arial"/>
          <w:color w:val="000000"/>
          <w:sz w:val="19"/>
          <w:szCs w:val="19"/>
        </w:rPr>
        <w:footnoteRef/>
      </w:r>
      <w:r w:rsidRPr="00042D57">
        <w:rPr>
          <w:rFonts w:ascii="Arial" w:hAnsi="Arial" w:cs="Arial"/>
          <w:color w:val="000000"/>
          <w:sz w:val="19"/>
          <w:szCs w:val="19"/>
        </w:rPr>
        <w:t xml:space="preserve"> </w:t>
      </w:r>
      <w:r w:rsidRPr="00042D57">
        <w:rPr>
          <w:rFonts w:ascii="Arial" w:hAnsi="Arial" w:cs="Arial"/>
          <w:i/>
          <w:iCs/>
          <w:color w:val="000000"/>
          <w:sz w:val="19"/>
          <w:szCs w:val="19"/>
        </w:rPr>
        <w:t>Ibídem.</w:t>
      </w:r>
      <w:r w:rsidRPr="00042D57">
        <w:rPr>
          <w:rFonts w:ascii="Arial" w:hAnsi="Arial" w:cs="Arial"/>
          <w:color w:val="000000"/>
          <w:sz w:val="19"/>
          <w:szCs w:val="19"/>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20A4F8" w14:textId="77777777" w:rsidR="00903F42" w:rsidRDefault="00903F42">
    <w:pPr>
      <w:pBdr>
        <w:top w:val="nil"/>
        <w:left w:val="nil"/>
        <w:bottom w:val="nil"/>
        <w:right w:val="nil"/>
        <w:between w:val="nil"/>
      </w:pBdr>
      <w:tabs>
        <w:tab w:val="center" w:pos="4252"/>
        <w:tab w:val="right" w:pos="8504"/>
      </w:tabs>
      <w:rPr>
        <w:color w:val="000000"/>
      </w:rPr>
    </w:pPr>
    <w:r>
      <w:rPr>
        <w:noProof/>
        <w:lang w:val="es-CO" w:eastAsia="es-CO"/>
      </w:rPr>
      <w:drawing>
        <wp:anchor distT="0" distB="0" distL="114300" distR="114300" simplePos="0" relativeHeight="251658240" behindDoc="0" locked="0" layoutInCell="1" hidden="0" allowOverlap="1" wp14:anchorId="1738C0C5" wp14:editId="77481344">
          <wp:simplePos x="0" y="0"/>
          <wp:positionH relativeFrom="column">
            <wp:posOffset>4458335</wp:posOffset>
          </wp:positionH>
          <wp:positionV relativeFrom="paragraph">
            <wp:posOffset>171450</wp:posOffset>
          </wp:positionV>
          <wp:extent cx="1257300" cy="516255"/>
          <wp:effectExtent l="0" t="0" r="0" b="0"/>
          <wp:wrapSquare wrapText="bothSides" distT="0" distB="0" distL="114300" distR="114300"/>
          <wp:docPr id="1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257300" cy="516255"/>
                  </a:xfrm>
                  <a:prstGeom prst="rect">
                    <a:avLst/>
                  </a:prstGeom>
                  <a:ln/>
                </pic:spPr>
              </pic:pic>
            </a:graphicData>
          </a:graphic>
        </wp:anchor>
      </w:drawing>
    </w:r>
  </w:p>
  <w:p w14:paraId="4B658473" w14:textId="77777777" w:rsidR="00903F42" w:rsidRDefault="00903F42">
    <w:pPr>
      <w:pBdr>
        <w:top w:val="nil"/>
        <w:left w:val="nil"/>
        <w:bottom w:val="nil"/>
        <w:right w:val="nil"/>
        <w:between w:val="nil"/>
      </w:pBdr>
      <w:tabs>
        <w:tab w:val="center" w:pos="4252"/>
        <w:tab w:val="right" w:pos="8504"/>
      </w:tabs>
      <w:spacing w:after="0"/>
      <w:rPr>
        <w:color w:val="000000"/>
      </w:rPr>
    </w:pPr>
  </w:p>
  <w:p w14:paraId="10971F20" w14:textId="77777777" w:rsidR="00903F42" w:rsidRDefault="00903F42">
    <w:pPr>
      <w:pBdr>
        <w:top w:val="nil"/>
        <w:left w:val="nil"/>
        <w:bottom w:val="nil"/>
        <w:right w:val="nil"/>
        <w:between w:val="nil"/>
      </w:pBdr>
      <w:tabs>
        <w:tab w:val="center" w:pos="4252"/>
        <w:tab w:val="right" w:pos="8504"/>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17FE3"/>
    <w:multiLevelType w:val="hybridMultilevel"/>
    <w:tmpl w:val="5796AAE4"/>
    <w:lvl w:ilvl="0" w:tplc="90547F34">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 w15:restartNumberingAfterBreak="0">
    <w:nsid w:val="0AE944F8"/>
    <w:multiLevelType w:val="hybridMultilevel"/>
    <w:tmpl w:val="549C737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B7F2A10"/>
    <w:multiLevelType w:val="hybridMultilevel"/>
    <w:tmpl w:val="1FBE013A"/>
    <w:lvl w:ilvl="0" w:tplc="EF30960E">
      <w:start w:val="1"/>
      <w:numFmt w:val="lowerLetter"/>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3" w15:restartNumberingAfterBreak="0">
    <w:nsid w:val="0D506E3C"/>
    <w:multiLevelType w:val="hybridMultilevel"/>
    <w:tmpl w:val="B17EE2A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110407C4"/>
    <w:multiLevelType w:val="hybridMultilevel"/>
    <w:tmpl w:val="3EEA22F4"/>
    <w:lvl w:ilvl="0" w:tplc="82D21D6C">
      <w:start w:val="1"/>
      <w:numFmt w:val="bullet"/>
      <w:lvlText w:val="-"/>
      <w:lvlJc w:val="left"/>
      <w:pPr>
        <w:ind w:left="1080" w:hanging="360"/>
      </w:pPr>
      <w:rPr>
        <w:rFonts w:ascii="Arial" w:eastAsia="Arial" w:hAnsi="Arial" w:cs="Aria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5" w15:restartNumberingAfterBreak="0">
    <w:nsid w:val="1DAE4EC2"/>
    <w:multiLevelType w:val="hybridMultilevel"/>
    <w:tmpl w:val="C6008E0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23012183"/>
    <w:multiLevelType w:val="hybridMultilevel"/>
    <w:tmpl w:val="A6545F1A"/>
    <w:lvl w:ilvl="0" w:tplc="F834AA70">
      <w:start w:val="1"/>
      <w:numFmt w:val="decimal"/>
      <w:lvlText w:val="%1."/>
      <w:lvlJc w:val="left"/>
      <w:pPr>
        <w:ind w:left="1008" w:hanging="280"/>
        <w:jc w:val="right"/>
      </w:pPr>
      <w:rPr>
        <w:rFonts w:hint="default"/>
        <w:spacing w:val="-13"/>
        <w:w w:val="100"/>
        <w:lang w:val="es-ES" w:eastAsia="es-ES" w:bidi="es-ES"/>
      </w:rPr>
    </w:lvl>
    <w:lvl w:ilvl="1" w:tplc="25F46660">
      <w:numFmt w:val="bullet"/>
      <w:lvlText w:val="•"/>
      <w:lvlJc w:val="left"/>
      <w:pPr>
        <w:ind w:left="1854" w:hanging="280"/>
      </w:pPr>
      <w:rPr>
        <w:rFonts w:hint="default"/>
        <w:lang w:val="es-ES" w:eastAsia="es-ES" w:bidi="es-ES"/>
      </w:rPr>
    </w:lvl>
    <w:lvl w:ilvl="2" w:tplc="D8DE7148">
      <w:numFmt w:val="bullet"/>
      <w:lvlText w:val="•"/>
      <w:lvlJc w:val="left"/>
      <w:pPr>
        <w:ind w:left="2708" w:hanging="280"/>
      </w:pPr>
      <w:rPr>
        <w:rFonts w:hint="default"/>
        <w:lang w:val="es-ES" w:eastAsia="es-ES" w:bidi="es-ES"/>
      </w:rPr>
    </w:lvl>
    <w:lvl w:ilvl="3" w:tplc="71C8629A">
      <w:numFmt w:val="bullet"/>
      <w:lvlText w:val="•"/>
      <w:lvlJc w:val="left"/>
      <w:pPr>
        <w:ind w:left="3562" w:hanging="280"/>
      </w:pPr>
      <w:rPr>
        <w:rFonts w:hint="default"/>
        <w:lang w:val="es-ES" w:eastAsia="es-ES" w:bidi="es-ES"/>
      </w:rPr>
    </w:lvl>
    <w:lvl w:ilvl="4" w:tplc="25D00170">
      <w:numFmt w:val="bullet"/>
      <w:lvlText w:val="•"/>
      <w:lvlJc w:val="left"/>
      <w:pPr>
        <w:ind w:left="4416" w:hanging="280"/>
      </w:pPr>
      <w:rPr>
        <w:rFonts w:hint="default"/>
        <w:lang w:val="es-ES" w:eastAsia="es-ES" w:bidi="es-ES"/>
      </w:rPr>
    </w:lvl>
    <w:lvl w:ilvl="5" w:tplc="79182724">
      <w:numFmt w:val="bullet"/>
      <w:lvlText w:val="•"/>
      <w:lvlJc w:val="left"/>
      <w:pPr>
        <w:ind w:left="5270" w:hanging="280"/>
      </w:pPr>
      <w:rPr>
        <w:rFonts w:hint="default"/>
        <w:lang w:val="es-ES" w:eastAsia="es-ES" w:bidi="es-ES"/>
      </w:rPr>
    </w:lvl>
    <w:lvl w:ilvl="6" w:tplc="D33AFA62">
      <w:numFmt w:val="bullet"/>
      <w:lvlText w:val="•"/>
      <w:lvlJc w:val="left"/>
      <w:pPr>
        <w:ind w:left="6124" w:hanging="280"/>
      </w:pPr>
      <w:rPr>
        <w:rFonts w:hint="default"/>
        <w:lang w:val="es-ES" w:eastAsia="es-ES" w:bidi="es-ES"/>
      </w:rPr>
    </w:lvl>
    <w:lvl w:ilvl="7" w:tplc="2272B4E4">
      <w:numFmt w:val="bullet"/>
      <w:lvlText w:val="•"/>
      <w:lvlJc w:val="left"/>
      <w:pPr>
        <w:ind w:left="6978" w:hanging="280"/>
      </w:pPr>
      <w:rPr>
        <w:rFonts w:hint="default"/>
        <w:lang w:val="es-ES" w:eastAsia="es-ES" w:bidi="es-ES"/>
      </w:rPr>
    </w:lvl>
    <w:lvl w:ilvl="8" w:tplc="2DDE1FF6">
      <w:numFmt w:val="bullet"/>
      <w:lvlText w:val="•"/>
      <w:lvlJc w:val="left"/>
      <w:pPr>
        <w:ind w:left="7832" w:hanging="280"/>
      </w:pPr>
      <w:rPr>
        <w:rFonts w:hint="default"/>
        <w:lang w:val="es-ES" w:eastAsia="es-ES" w:bidi="es-ES"/>
      </w:rPr>
    </w:lvl>
  </w:abstractNum>
  <w:abstractNum w:abstractNumId="7" w15:restartNumberingAfterBreak="0">
    <w:nsid w:val="2B297AE4"/>
    <w:multiLevelType w:val="hybridMultilevel"/>
    <w:tmpl w:val="9E966D2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66F0EF9"/>
    <w:multiLevelType w:val="multilevel"/>
    <w:tmpl w:val="483A64F6"/>
    <w:lvl w:ilvl="0">
      <w:start w:val="1"/>
      <w:numFmt w:val="decimal"/>
      <w:lvlText w:val="%1."/>
      <w:lvlJc w:val="left"/>
      <w:pPr>
        <w:ind w:left="1429" w:hanging="360"/>
      </w:pPr>
      <w:rPr>
        <w:rFonts w:hint="default"/>
      </w:rPr>
    </w:lvl>
    <w:lvl w:ilvl="1">
      <w:start w:val="3"/>
      <w:numFmt w:val="decimal"/>
      <w:isLgl/>
      <w:lvlText w:val="%1.%2."/>
      <w:lvlJc w:val="left"/>
      <w:pPr>
        <w:ind w:left="1789" w:hanging="720"/>
      </w:pPr>
      <w:rPr>
        <w:rFonts w:hint="default"/>
      </w:rPr>
    </w:lvl>
    <w:lvl w:ilvl="2">
      <w:start w:val="1"/>
      <w:numFmt w:val="decimal"/>
      <w:isLgl/>
      <w:lvlText w:val="%1.%2.%3."/>
      <w:lvlJc w:val="left"/>
      <w:pPr>
        <w:ind w:left="1789" w:hanging="720"/>
      </w:pPr>
      <w:rPr>
        <w:rFonts w:hint="default"/>
      </w:rPr>
    </w:lvl>
    <w:lvl w:ilvl="3">
      <w:start w:val="1"/>
      <w:numFmt w:val="decimal"/>
      <w:isLgl/>
      <w:lvlText w:val="%1.%2.%3.%4."/>
      <w:lvlJc w:val="left"/>
      <w:pPr>
        <w:ind w:left="2149" w:hanging="108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509" w:hanging="144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869" w:hanging="1800"/>
      </w:pPr>
      <w:rPr>
        <w:rFonts w:hint="default"/>
      </w:rPr>
    </w:lvl>
    <w:lvl w:ilvl="8">
      <w:start w:val="1"/>
      <w:numFmt w:val="decimal"/>
      <w:isLgl/>
      <w:lvlText w:val="%1.%2.%3.%4.%5.%6.%7.%8.%9."/>
      <w:lvlJc w:val="left"/>
      <w:pPr>
        <w:ind w:left="2869" w:hanging="1800"/>
      </w:pPr>
      <w:rPr>
        <w:rFonts w:hint="default"/>
      </w:rPr>
    </w:lvl>
  </w:abstractNum>
  <w:abstractNum w:abstractNumId="9" w15:restartNumberingAfterBreak="0">
    <w:nsid w:val="3A98220F"/>
    <w:multiLevelType w:val="hybridMultilevel"/>
    <w:tmpl w:val="28BE89E0"/>
    <w:lvl w:ilvl="0" w:tplc="A098732E">
      <w:start w:val="1"/>
      <w:numFmt w:val="decimal"/>
      <w:lvlText w:val="%1."/>
      <w:lvlJc w:val="left"/>
      <w:pPr>
        <w:ind w:left="1065" w:hanging="36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10" w15:restartNumberingAfterBreak="0">
    <w:nsid w:val="41383C2B"/>
    <w:multiLevelType w:val="hybridMultilevel"/>
    <w:tmpl w:val="1FBE013A"/>
    <w:lvl w:ilvl="0" w:tplc="EF30960E">
      <w:start w:val="1"/>
      <w:numFmt w:val="lowerLetter"/>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1" w15:restartNumberingAfterBreak="0">
    <w:nsid w:val="4B0F461B"/>
    <w:multiLevelType w:val="multilevel"/>
    <w:tmpl w:val="810A030E"/>
    <w:lvl w:ilvl="0">
      <w:start w:val="1"/>
      <w:numFmt w:val="decimal"/>
      <w:lvlText w:val="%1."/>
      <w:lvlJc w:val="left"/>
      <w:pPr>
        <w:ind w:left="720" w:hanging="360"/>
      </w:pPr>
      <w:rPr>
        <w:rFonts w:hint="default"/>
        <w:sz w:val="22"/>
      </w:rPr>
    </w:lvl>
    <w:lvl w:ilvl="1">
      <w:start w:val="4"/>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2" w15:restartNumberingAfterBreak="0">
    <w:nsid w:val="51BC72FE"/>
    <w:multiLevelType w:val="hybridMultilevel"/>
    <w:tmpl w:val="30AA689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570D68B1"/>
    <w:multiLevelType w:val="hybridMultilevel"/>
    <w:tmpl w:val="1FBE013A"/>
    <w:lvl w:ilvl="0" w:tplc="EF30960E">
      <w:start w:val="1"/>
      <w:numFmt w:val="lowerLetter"/>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4" w15:restartNumberingAfterBreak="0">
    <w:nsid w:val="58225F5E"/>
    <w:multiLevelType w:val="hybridMultilevel"/>
    <w:tmpl w:val="D3702DAE"/>
    <w:lvl w:ilvl="0" w:tplc="F092A82A">
      <w:start w:val="1"/>
      <w:numFmt w:val="lowerLetter"/>
      <w:lvlText w:val="%1)"/>
      <w:lvlJc w:val="left"/>
      <w:pPr>
        <w:ind w:left="555" w:hanging="255"/>
      </w:pPr>
      <w:rPr>
        <w:rFonts w:ascii="Arial" w:eastAsia="Arial" w:hAnsi="Arial" w:cs="Arial" w:hint="default"/>
        <w:b/>
        <w:bCs/>
        <w:color w:val="000000" w:themeColor="text1"/>
        <w:spacing w:val="-1"/>
        <w:w w:val="100"/>
        <w:sz w:val="22"/>
        <w:szCs w:val="22"/>
        <w:lang w:val="es-ES" w:eastAsia="es-ES" w:bidi="es-ES"/>
      </w:rPr>
    </w:lvl>
    <w:lvl w:ilvl="1" w:tplc="1A4675B6">
      <w:numFmt w:val="bullet"/>
      <w:lvlText w:val="•"/>
      <w:lvlJc w:val="left"/>
      <w:pPr>
        <w:ind w:left="1458" w:hanging="255"/>
      </w:pPr>
      <w:rPr>
        <w:rFonts w:hint="default"/>
        <w:lang w:val="es-ES" w:eastAsia="es-ES" w:bidi="es-ES"/>
      </w:rPr>
    </w:lvl>
    <w:lvl w:ilvl="2" w:tplc="23329AB8">
      <w:numFmt w:val="bullet"/>
      <w:lvlText w:val="•"/>
      <w:lvlJc w:val="left"/>
      <w:pPr>
        <w:ind w:left="2356" w:hanging="255"/>
      </w:pPr>
      <w:rPr>
        <w:rFonts w:hint="default"/>
        <w:lang w:val="es-ES" w:eastAsia="es-ES" w:bidi="es-ES"/>
      </w:rPr>
    </w:lvl>
    <w:lvl w:ilvl="3" w:tplc="FCB0B6BC">
      <w:numFmt w:val="bullet"/>
      <w:lvlText w:val="•"/>
      <w:lvlJc w:val="left"/>
      <w:pPr>
        <w:ind w:left="3254" w:hanging="255"/>
      </w:pPr>
      <w:rPr>
        <w:rFonts w:hint="default"/>
        <w:lang w:val="es-ES" w:eastAsia="es-ES" w:bidi="es-ES"/>
      </w:rPr>
    </w:lvl>
    <w:lvl w:ilvl="4" w:tplc="D806E2C2">
      <w:numFmt w:val="bullet"/>
      <w:lvlText w:val="•"/>
      <w:lvlJc w:val="left"/>
      <w:pPr>
        <w:ind w:left="4152" w:hanging="255"/>
      </w:pPr>
      <w:rPr>
        <w:rFonts w:hint="default"/>
        <w:lang w:val="es-ES" w:eastAsia="es-ES" w:bidi="es-ES"/>
      </w:rPr>
    </w:lvl>
    <w:lvl w:ilvl="5" w:tplc="EF4495DC">
      <w:numFmt w:val="bullet"/>
      <w:lvlText w:val="•"/>
      <w:lvlJc w:val="left"/>
      <w:pPr>
        <w:ind w:left="5050" w:hanging="255"/>
      </w:pPr>
      <w:rPr>
        <w:rFonts w:hint="default"/>
        <w:lang w:val="es-ES" w:eastAsia="es-ES" w:bidi="es-ES"/>
      </w:rPr>
    </w:lvl>
    <w:lvl w:ilvl="6" w:tplc="B42EC684">
      <w:numFmt w:val="bullet"/>
      <w:lvlText w:val="•"/>
      <w:lvlJc w:val="left"/>
      <w:pPr>
        <w:ind w:left="5948" w:hanging="255"/>
      </w:pPr>
      <w:rPr>
        <w:rFonts w:hint="default"/>
        <w:lang w:val="es-ES" w:eastAsia="es-ES" w:bidi="es-ES"/>
      </w:rPr>
    </w:lvl>
    <w:lvl w:ilvl="7" w:tplc="50BCD532">
      <w:numFmt w:val="bullet"/>
      <w:lvlText w:val="•"/>
      <w:lvlJc w:val="left"/>
      <w:pPr>
        <w:ind w:left="6846" w:hanging="255"/>
      </w:pPr>
      <w:rPr>
        <w:rFonts w:hint="default"/>
        <w:lang w:val="es-ES" w:eastAsia="es-ES" w:bidi="es-ES"/>
      </w:rPr>
    </w:lvl>
    <w:lvl w:ilvl="8" w:tplc="9AA432A4">
      <w:numFmt w:val="bullet"/>
      <w:lvlText w:val="•"/>
      <w:lvlJc w:val="left"/>
      <w:pPr>
        <w:ind w:left="7744" w:hanging="255"/>
      </w:pPr>
      <w:rPr>
        <w:rFonts w:hint="default"/>
        <w:lang w:val="es-ES" w:eastAsia="es-ES" w:bidi="es-ES"/>
      </w:rPr>
    </w:lvl>
  </w:abstractNum>
  <w:abstractNum w:abstractNumId="15" w15:restartNumberingAfterBreak="0">
    <w:nsid w:val="58F43F16"/>
    <w:multiLevelType w:val="hybridMultilevel"/>
    <w:tmpl w:val="8D1AB136"/>
    <w:lvl w:ilvl="0" w:tplc="240A000F">
      <w:start w:val="1"/>
      <w:numFmt w:val="decimal"/>
      <w:lvlText w:val="%1."/>
      <w:lvlJc w:val="left"/>
      <w:pPr>
        <w:ind w:left="720" w:hanging="360"/>
      </w:pPr>
      <w:rPr>
        <w:rFonts w:hint="default"/>
        <w:i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598B74AA"/>
    <w:multiLevelType w:val="hybridMultilevel"/>
    <w:tmpl w:val="CB5E6D1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5A250521"/>
    <w:multiLevelType w:val="hybridMultilevel"/>
    <w:tmpl w:val="D988F23A"/>
    <w:lvl w:ilvl="0" w:tplc="06CC0ED8">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8" w15:restartNumberingAfterBreak="0">
    <w:nsid w:val="65471227"/>
    <w:multiLevelType w:val="hybridMultilevel"/>
    <w:tmpl w:val="549C737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67365C5A"/>
    <w:multiLevelType w:val="multilevel"/>
    <w:tmpl w:val="52D4F4C6"/>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6A36584C"/>
    <w:multiLevelType w:val="hybridMultilevel"/>
    <w:tmpl w:val="C7BAB51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6DE77614"/>
    <w:multiLevelType w:val="hybridMultilevel"/>
    <w:tmpl w:val="28BE89E0"/>
    <w:lvl w:ilvl="0" w:tplc="A098732E">
      <w:start w:val="1"/>
      <w:numFmt w:val="decimal"/>
      <w:lvlText w:val="%1."/>
      <w:lvlJc w:val="left"/>
      <w:pPr>
        <w:ind w:left="1065" w:hanging="36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num w:numId="1" w16cid:durableId="805970844">
    <w:abstractNumId w:val="15"/>
  </w:num>
  <w:num w:numId="2" w16cid:durableId="1186167987">
    <w:abstractNumId w:val="20"/>
  </w:num>
  <w:num w:numId="3" w16cid:durableId="1832678128">
    <w:abstractNumId w:val="9"/>
  </w:num>
  <w:num w:numId="4" w16cid:durableId="1776055762">
    <w:abstractNumId w:val="21"/>
  </w:num>
  <w:num w:numId="5" w16cid:durableId="1412386426">
    <w:abstractNumId w:val="0"/>
  </w:num>
  <w:num w:numId="6" w16cid:durableId="963972888">
    <w:abstractNumId w:val="12"/>
  </w:num>
  <w:num w:numId="7" w16cid:durableId="2136898163">
    <w:abstractNumId w:val="16"/>
  </w:num>
  <w:num w:numId="8" w16cid:durableId="138230120">
    <w:abstractNumId w:val="4"/>
  </w:num>
  <w:num w:numId="9" w16cid:durableId="1766270599">
    <w:abstractNumId w:val="13"/>
  </w:num>
  <w:num w:numId="10" w16cid:durableId="2081176863">
    <w:abstractNumId w:val="10"/>
  </w:num>
  <w:num w:numId="11" w16cid:durableId="1922449795">
    <w:abstractNumId w:val="2"/>
  </w:num>
  <w:num w:numId="12" w16cid:durableId="414325403">
    <w:abstractNumId w:val="3"/>
  </w:num>
  <w:num w:numId="13" w16cid:durableId="1651665073">
    <w:abstractNumId w:val="8"/>
  </w:num>
  <w:num w:numId="14" w16cid:durableId="201287888">
    <w:abstractNumId w:val="5"/>
  </w:num>
  <w:num w:numId="15" w16cid:durableId="1784954221">
    <w:abstractNumId w:val="1"/>
  </w:num>
  <w:num w:numId="16" w16cid:durableId="1378317027">
    <w:abstractNumId w:val="18"/>
  </w:num>
  <w:num w:numId="17" w16cid:durableId="1621182436">
    <w:abstractNumId w:val="6"/>
  </w:num>
  <w:num w:numId="18" w16cid:durableId="1967806707">
    <w:abstractNumId w:val="14"/>
  </w:num>
  <w:num w:numId="19" w16cid:durableId="2101875878">
    <w:abstractNumId w:val="19"/>
  </w:num>
  <w:num w:numId="20" w16cid:durableId="2108425132">
    <w:abstractNumId w:val="11"/>
  </w:num>
  <w:num w:numId="21" w16cid:durableId="1647126748">
    <w:abstractNumId w:val="17"/>
  </w:num>
  <w:num w:numId="22" w16cid:durableId="102186045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8"/>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1181"/>
    <w:rsid w:val="000018DA"/>
    <w:rsid w:val="0000191D"/>
    <w:rsid w:val="000030F0"/>
    <w:rsid w:val="000050C5"/>
    <w:rsid w:val="00010B3E"/>
    <w:rsid w:val="00015660"/>
    <w:rsid w:val="00017D79"/>
    <w:rsid w:val="00032699"/>
    <w:rsid w:val="00033443"/>
    <w:rsid w:val="0004105F"/>
    <w:rsid w:val="00042220"/>
    <w:rsid w:val="00042BF0"/>
    <w:rsid w:val="00042D57"/>
    <w:rsid w:val="00046D2D"/>
    <w:rsid w:val="000511F5"/>
    <w:rsid w:val="000545BA"/>
    <w:rsid w:val="00054969"/>
    <w:rsid w:val="00057AC7"/>
    <w:rsid w:val="00057B15"/>
    <w:rsid w:val="0006799A"/>
    <w:rsid w:val="000725E3"/>
    <w:rsid w:val="00074D9E"/>
    <w:rsid w:val="00076B95"/>
    <w:rsid w:val="00081DD3"/>
    <w:rsid w:val="000845BF"/>
    <w:rsid w:val="000902EF"/>
    <w:rsid w:val="0009568E"/>
    <w:rsid w:val="000A2731"/>
    <w:rsid w:val="000B1145"/>
    <w:rsid w:val="000B2E54"/>
    <w:rsid w:val="000B353A"/>
    <w:rsid w:val="000B4594"/>
    <w:rsid w:val="000B7AA3"/>
    <w:rsid w:val="000E2299"/>
    <w:rsid w:val="000E30C5"/>
    <w:rsid w:val="000E542F"/>
    <w:rsid w:val="000F1429"/>
    <w:rsid w:val="000F227D"/>
    <w:rsid w:val="000F41CB"/>
    <w:rsid w:val="00101054"/>
    <w:rsid w:val="0010477B"/>
    <w:rsid w:val="00106E11"/>
    <w:rsid w:val="00117BD8"/>
    <w:rsid w:val="001230DB"/>
    <w:rsid w:val="0012359E"/>
    <w:rsid w:val="00124845"/>
    <w:rsid w:val="0013064B"/>
    <w:rsid w:val="00132572"/>
    <w:rsid w:val="001326E7"/>
    <w:rsid w:val="00133F82"/>
    <w:rsid w:val="00146CDB"/>
    <w:rsid w:val="001503BF"/>
    <w:rsid w:val="00150423"/>
    <w:rsid w:val="00151144"/>
    <w:rsid w:val="001515A9"/>
    <w:rsid w:val="00151DF3"/>
    <w:rsid w:val="00153280"/>
    <w:rsid w:val="00153293"/>
    <w:rsid w:val="001534FE"/>
    <w:rsid w:val="00153948"/>
    <w:rsid w:val="0018033B"/>
    <w:rsid w:val="0018413F"/>
    <w:rsid w:val="00191611"/>
    <w:rsid w:val="001A1680"/>
    <w:rsid w:val="001A57DF"/>
    <w:rsid w:val="001A6E50"/>
    <w:rsid w:val="001C0FF1"/>
    <w:rsid w:val="001C2850"/>
    <w:rsid w:val="001D27F8"/>
    <w:rsid w:val="001D486F"/>
    <w:rsid w:val="001E0B67"/>
    <w:rsid w:val="001F0379"/>
    <w:rsid w:val="0020665A"/>
    <w:rsid w:val="00216C08"/>
    <w:rsid w:val="00225134"/>
    <w:rsid w:val="00234034"/>
    <w:rsid w:val="0023579C"/>
    <w:rsid w:val="00235ABD"/>
    <w:rsid w:val="00240AE4"/>
    <w:rsid w:val="002459F1"/>
    <w:rsid w:val="002460B6"/>
    <w:rsid w:val="002649FB"/>
    <w:rsid w:val="00273C71"/>
    <w:rsid w:val="002753FE"/>
    <w:rsid w:val="002828AC"/>
    <w:rsid w:val="0029138E"/>
    <w:rsid w:val="00294DE1"/>
    <w:rsid w:val="002A572D"/>
    <w:rsid w:val="002B4D73"/>
    <w:rsid w:val="002B7BE8"/>
    <w:rsid w:val="002C0494"/>
    <w:rsid w:val="002C0AC5"/>
    <w:rsid w:val="002C343C"/>
    <w:rsid w:val="002C3534"/>
    <w:rsid w:val="002C5413"/>
    <w:rsid w:val="002D59D4"/>
    <w:rsid w:val="002E3DD6"/>
    <w:rsid w:val="002E6A83"/>
    <w:rsid w:val="002F5BFC"/>
    <w:rsid w:val="002F610B"/>
    <w:rsid w:val="0030205B"/>
    <w:rsid w:val="00305D50"/>
    <w:rsid w:val="00305D5B"/>
    <w:rsid w:val="00311CFD"/>
    <w:rsid w:val="00315A19"/>
    <w:rsid w:val="00317E3C"/>
    <w:rsid w:val="0032354E"/>
    <w:rsid w:val="00326817"/>
    <w:rsid w:val="00331302"/>
    <w:rsid w:val="00337C0C"/>
    <w:rsid w:val="00341FF0"/>
    <w:rsid w:val="0035084D"/>
    <w:rsid w:val="00355453"/>
    <w:rsid w:val="00356678"/>
    <w:rsid w:val="0037354E"/>
    <w:rsid w:val="003751D1"/>
    <w:rsid w:val="003833EC"/>
    <w:rsid w:val="0038381C"/>
    <w:rsid w:val="00384AE8"/>
    <w:rsid w:val="00394399"/>
    <w:rsid w:val="003945CD"/>
    <w:rsid w:val="00397B0E"/>
    <w:rsid w:val="003A514F"/>
    <w:rsid w:val="003C11FD"/>
    <w:rsid w:val="003E3EF7"/>
    <w:rsid w:val="003E63AC"/>
    <w:rsid w:val="003E7F27"/>
    <w:rsid w:val="003F0B0D"/>
    <w:rsid w:val="003F484C"/>
    <w:rsid w:val="0040759B"/>
    <w:rsid w:val="00415463"/>
    <w:rsid w:val="00437808"/>
    <w:rsid w:val="004418D0"/>
    <w:rsid w:val="004528B4"/>
    <w:rsid w:val="00460DA6"/>
    <w:rsid w:val="004707E1"/>
    <w:rsid w:val="004709EB"/>
    <w:rsid w:val="0048284D"/>
    <w:rsid w:val="00485B6A"/>
    <w:rsid w:val="0049435E"/>
    <w:rsid w:val="00495D8D"/>
    <w:rsid w:val="00497220"/>
    <w:rsid w:val="004A19BD"/>
    <w:rsid w:val="004A50F8"/>
    <w:rsid w:val="004B6D5C"/>
    <w:rsid w:val="004B777F"/>
    <w:rsid w:val="004C10FD"/>
    <w:rsid w:val="004C778E"/>
    <w:rsid w:val="004D0666"/>
    <w:rsid w:val="004D0B70"/>
    <w:rsid w:val="004E1CC9"/>
    <w:rsid w:val="004F06CC"/>
    <w:rsid w:val="005111E4"/>
    <w:rsid w:val="00511475"/>
    <w:rsid w:val="005255B7"/>
    <w:rsid w:val="00530816"/>
    <w:rsid w:val="0053319E"/>
    <w:rsid w:val="005335E0"/>
    <w:rsid w:val="00534598"/>
    <w:rsid w:val="005407C6"/>
    <w:rsid w:val="005452FA"/>
    <w:rsid w:val="0054627E"/>
    <w:rsid w:val="00546B3B"/>
    <w:rsid w:val="00561AEA"/>
    <w:rsid w:val="005641BF"/>
    <w:rsid w:val="0056543B"/>
    <w:rsid w:val="005667EF"/>
    <w:rsid w:val="0058075D"/>
    <w:rsid w:val="00581F39"/>
    <w:rsid w:val="00584150"/>
    <w:rsid w:val="005955A8"/>
    <w:rsid w:val="0059609B"/>
    <w:rsid w:val="005C0BC0"/>
    <w:rsid w:val="005C5472"/>
    <w:rsid w:val="005D6F2A"/>
    <w:rsid w:val="005D72A5"/>
    <w:rsid w:val="005E118B"/>
    <w:rsid w:val="005E1583"/>
    <w:rsid w:val="005E25B4"/>
    <w:rsid w:val="005E320B"/>
    <w:rsid w:val="005E53CE"/>
    <w:rsid w:val="005E5EDC"/>
    <w:rsid w:val="005F468A"/>
    <w:rsid w:val="0060386F"/>
    <w:rsid w:val="0060546C"/>
    <w:rsid w:val="006105C7"/>
    <w:rsid w:val="00612CA1"/>
    <w:rsid w:val="00613174"/>
    <w:rsid w:val="00616E35"/>
    <w:rsid w:val="00626639"/>
    <w:rsid w:val="0063395D"/>
    <w:rsid w:val="006354A9"/>
    <w:rsid w:val="00643113"/>
    <w:rsid w:val="00671825"/>
    <w:rsid w:val="00676359"/>
    <w:rsid w:val="00676AA1"/>
    <w:rsid w:val="00683517"/>
    <w:rsid w:val="00691AEB"/>
    <w:rsid w:val="00697C71"/>
    <w:rsid w:val="006A06F2"/>
    <w:rsid w:val="006A2202"/>
    <w:rsid w:val="006A2342"/>
    <w:rsid w:val="006B138A"/>
    <w:rsid w:val="006B331B"/>
    <w:rsid w:val="006B499A"/>
    <w:rsid w:val="006B50CA"/>
    <w:rsid w:val="006C085F"/>
    <w:rsid w:val="006C24CB"/>
    <w:rsid w:val="006C28C2"/>
    <w:rsid w:val="006D122C"/>
    <w:rsid w:val="006D4E0E"/>
    <w:rsid w:val="006D768C"/>
    <w:rsid w:val="006F3FC6"/>
    <w:rsid w:val="007041DA"/>
    <w:rsid w:val="00704CEE"/>
    <w:rsid w:val="007069B0"/>
    <w:rsid w:val="00710AD1"/>
    <w:rsid w:val="007167F9"/>
    <w:rsid w:val="0072248C"/>
    <w:rsid w:val="007232E5"/>
    <w:rsid w:val="00727D5D"/>
    <w:rsid w:val="00730A24"/>
    <w:rsid w:val="00732A4E"/>
    <w:rsid w:val="00734A2B"/>
    <w:rsid w:val="00742700"/>
    <w:rsid w:val="0074635C"/>
    <w:rsid w:val="00760810"/>
    <w:rsid w:val="00762872"/>
    <w:rsid w:val="00775E0F"/>
    <w:rsid w:val="0079024C"/>
    <w:rsid w:val="00791555"/>
    <w:rsid w:val="007947EA"/>
    <w:rsid w:val="007A484C"/>
    <w:rsid w:val="007A5D5E"/>
    <w:rsid w:val="007B16EC"/>
    <w:rsid w:val="007B4AEA"/>
    <w:rsid w:val="007B5F83"/>
    <w:rsid w:val="007C191C"/>
    <w:rsid w:val="007C1CDD"/>
    <w:rsid w:val="007C4B8F"/>
    <w:rsid w:val="007D1892"/>
    <w:rsid w:val="007D1BE4"/>
    <w:rsid w:val="007D4926"/>
    <w:rsid w:val="007E1CDB"/>
    <w:rsid w:val="007F04C1"/>
    <w:rsid w:val="007F31B2"/>
    <w:rsid w:val="007F408E"/>
    <w:rsid w:val="00802A0A"/>
    <w:rsid w:val="00803160"/>
    <w:rsid w:val="00810E0B"/>
    <w:rsid w:val="00814116"/>
    <w:rsid w:val="00824825"/>
    <w:rsid w:val="00826F54"/>
    <w:rsid w:val="00832049"/>
    <w:rsid w:val="00833495"/>
    <w:rsid w:val="00846FDA"/>
    <w:rsid w:val="00852EC7"/>
    <w:rsid w:val="0086341F"/>
    <w:rsid w:val="008642AE"/>
    <w:rsid w:val="00871181"/>
    <w:rsid w:val="008715BF"/>
    <w:rsid w:val="008771D6"/>
    <w:rsid w:val="0088143D"/>
    <w:rsid w:val="00896D01"/>
    <w:rsid w:val="00897E75"/>
    <w:rsid w:val="008A1FB1"/>
    <w:rsid w:val="008A58C3"/>
    <w:rsid w:val="008B2F50"/>
    <w:rsid w:val="008C0946"/>
    <w:rsid w:val="008C1947"/>
    <w:rsid w:val="008C32E8"/>
    <w:rsid w:val="008C5826"/>
    <w:rsid w:val="008C71FC"/>
    <w:rsid w:val="008D7E20"/>
    <w:rsid w:val="008E4228"/>
    <w:rsid w:val="008F1DB9"/>
    <w:rsid w:val="008F60BF"/>
    <w:rsid w:val="008F7B30"/>
    <w:rsid w:val="00903F42"/>
    <w:rsid w:val="00913142"/>
    <w:rsid w:val="00917DAD"/>
    <w:rsid w:val="009419EB"/>
    <w:rsid w:val="00943629"/>
    <w:rsid w:val="00943C10"/>
    <w:rsid w:val="00946BBF"/>
    <w:rsid w:val="00950B86"/>
    <w:rsid w:val="00955810"/>
    <w:rsid w:val="009668F8"/>
    <w:rsid w:val="0096791D"/>
    <w:rsid w:val="00970570"/>
    <w:rsid w:val="00972B91"/>
    <w:rsid w:val="00985402"/>
    <w:rsid w:val="009906B1"/>
    <w:rsid w:val="00991B98"/>
    <w:rsid w:val="0099225D"/>
    <w:rsid w:val="009D3585"/>
    <w:rsid w:val="009E03DD"/>
    <w:rsid w:val="009E45CB"/>
    <w:rsid w:val="009E4C14"/>
    <w:rsid w:val="009E5566"/>
    <w:rsid w:val="009E579C"/>
    <w:rsid w:val="00A00493"/>
    <w:rsid w:val="00A01EAA"/>
    <w:rsid w:val="00A11420"/>
    <w:rsid w:val="00A1714D"/>
    <w:rsid w:val="00A301A8"/>
    <w:rsid w:val="00A310D3"/>
    <w:rsid w:val="00A3356F"/>
    <w:rsid w:val="00A42584"/>
    <w:rsid w:val="00A43805"/>
    <w:rsid w:val="00A463B1"/>
    <w:rsid w:val="00A556C0"/>
    <w:rsid w:val="00A67050"/>
    <w:rsid w:val="00A706A7"/>
    <w:rsid w:val="00A70D7A"/>
    <w:rsid w:val="00A73E91"/>
    <w:rsid w:val="00A774E6"/>
    <w:rsid w:val="00A82D51"/>
    <w:rsid w:val="00A85AC4"/>
    <w:rsid w:val="00AA13A9"/>
    <w:rsid w:val="00AA1B5C"/>
    <w:rsid w:val="00AA2113"/>
    <w:rsid w:val="00AB3C3F"/>
    <w:rsid w:val="00AB7FF7"/>
    <w:rsid w:val="00AC5959"/>
    <w:rsid w:val="00B067CD"/>
    <w:rsid w:val="00B16CF7"/>
    <w:rsid w:val="00B17A66"/>
    <w:rsid w:val="00B24AF6"/>
    <w:rsid w:val="00B31DF7"/>
    <w:rsid w:val="00B46638"/>
    <w:rsid w:val="00B755F9"/>
    <w:rsid w:val="00B771E4"/>
    <w:rsid w:val="00B777E5"/>
    <w:rsid w:val="00B81079"/>
    <w:rsid w:val="00B91B22"/>
    <w:rsid w:val="00B91E46"/>
    <w:rsid w:val="00B96223"/>
    <w:rsid w:val="00BA1505"/>
    <w:rsid w:val="00BB0873"/>
    <w:rsid w:val="00BB2355"/>
    <w:rsid w:val="00BB75ED"/>
    <w:rsid w:val="00BD2153"/>
    <w:rsid w:val="00BE4CCB"/>
    <w:rsid w:val="00BF0131"/>
    <w:rsid w:val="00BF5851"/>
    <w:rsid w:val="00C04841"/>
    <w:rsid w:val="00C14BEC"/>
    <w:rsid w:val="00C161FF"/>
    <w:rsid w:val="00C17A10"/>
    <w:rsid w:val="00C212FA"/>
    <w:rsid w:val="00C323EF"/>
    <w:rsid w:val="00C33D5D"/>
    <w:rsid w:val="00C36E16"/>
    <w:rsid w:val="00C37FDE"/>
    <w:rsid w:val="00C40A8E"/>
    <w:rsid w:val="00C40EF3"/>
    <w:rsid w:val="00C51CB2"/>
    <w:rsid w:val="00C528CC"/>
    <w:rsid w:val="00C55127"/>
    <w:rsid w:val="00C62360"/>
    <w:rsid w:val="00C624AB"/>
    <w:rsid w:val="00C70C44"/>
    <w:rsid w:val="00C825DD"/>
    <w:rsid w:val="00C83040"/>
    <w:rsid w:val="00C830CE"/>
    <w:rsid w:val="00C84606"/>
    <w:rsid w:val="00C967E6"/>
    <w:rsid w:val="00CA6E4F"/>
    <w:rsid w:val="00CB3995"/>
    <w:rsid w:val="00CB654D"/>
    <w:rsid w:val="00CB789C"/>
    <w:rsid w:val="00CC0803"/>
    <w:rsid w:val="00CC0B36"/>
    <w:rsid w:val="00CD2BBE"/>
    <w:rsid w:val="00CD60F5"/>
    <w:rsid w:val="00CD6579"/>
    <w:rsid w:val="00CE0B9D"/>
    <w:rsid w:val="00CE1E7C"/>
    <w:rsid w:val="00CE21B3"/>
    <w:rsid w:val="00CE5D0E"/>
    <w:rsid w:val="00CE6AD8"/>
    <w:rsid w:val="00CE7CCA"/>
    <w:rsid w:val="00D01FA7"/>
    <w:rsid w:val="00D06CC6"/>
    <w:rsid w:val="00D10CAA"/>
    <w:rsid w:val="00D1519A"/>
    <w:rsid w:val="00D227C9"/>
    <w:rsid w:val="00D31237"/>
    <w:rsid w:val="00D345C2"/>
    <w:rsid w:val="00D54A71"/>
    <w:rsid w:val="00D711C1"/>
    <w:rsid w:val="00D738BA"/>
    <w:rsid w:val="00D83DA4"/>
    <w:rsid w:val="00D96DB8"/>
    <w:rsid w:val="00DA237F"/>
    <w:rsid w:val="00DA39D0"/>
    <w:rsid w:val="00DC3745"/>
    <w:rsid w:val="00DD2193"/>
    <w:rsid w:val="00DD2E1A"/>
    <w:rsid w:val="00DE36D1"/>
    <w:rsid w:val="00DF3F54"/>
    <w:rsid w:val="00DF7F58"/>
    <w:rsid w:val="00E04114"/>
    <w:rsid w:val="00E04F51"/>
    <w:rsid w:val="00E06F4D"/>
    <w:rsid w:val="00E12DE4"/>
    <w:rsid w:val="00E14BF9"/>
    <w:rsid w:val="00E2102B"/>
    <w:rsid w:val="00E22201"/>
    <w:rsid w:val="00E323E0"/>
    <w:rsid w:val="00E3624B"/>
    <w:rsid w:val="00E5063C"/>
    <w:rsid w:val="00E51805"/>
    <w:rsid w:val="00E52FC6"/>
    <w:rsid w:val="00E72941"/>
    <w:rsid w:val="00E87D3C"/>
    <w:rsid w:val="00E94BAA"/>
    <w:rsid w:val="00EB3BD8"/>
    <w:rsid w:val="00EC018E"/>
    <w:rsid w:val="00EC1B87"/>
    <w:rsid w:val="00EC4F38"/>
    <w:rsid w:val="00EC5831"/>
    <w:rsid w:val="00EC68B5"/>
    <w:rsid w:val="00ED09A1"/>
    <w:rsid w:val="00EE1DFF"/>
    <w:rsid w:val="00EE669C"/>
    <w:rsid w:val="00EE7BE3"/>
    <w:rsid w:val="00EF3BE3"/>
    <w:rsid w:val="00EF3F15"/>
    <w:rsid w:val="00EF58E7"/>
    <w:rsid w:val="00F137F6"/>
    <w:rsid w:val="00F24191"/>
    <w:rsid w:val="00F34232"/>
    <w:rsid w:val="00F37CB3"/>
    <w:rsid w:val="00F454DA"/>
    <w:rsid w:val="00F465B5"/>
    <w:rsid w:val="00F473C3"/>
    <w:rsid w:val="00F537EB"/>
    <w:rsid w:val="00F57337"/>
    <w:rsid w:val="00F6717E"/>
    <w:rsid w:val="00F85528"/>
    <w:rsid w:val="00F92C0B"/>
    <w:rsid w:val="00FA7857"/>
    <w:rsid w:val="00FC1E52"/>
    <w:rsid w:val="00FC4DC4"/>
    <w:rsid w:val="00FC7886"/>
    <w:rsid w:val="00FD0E21"/>
    <w:rsid w:val="00FD28C5"/>
    <w:rsid w:val="00FD4934"/>
    <w:rsid w:val="00FD549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ECAA8D"/>
  <w15:docId w15:val="{74014E73-EE5C-48A0-A275-66C09E71C5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s-MX" w:eastAsia="es-ES_tradnl"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435E"/>
  </w:style>
  <w:style w:type="paragraph" w:styleId="Ttulo1">
    <w:name w:val="heading 1"/>
    <w:basedOn w:val="Normal"/>
    <w:next w:val="Normal"/>
    <w:uiPriority w:val="9"/>
    <w:qFormat/>
    <w:pPr>
      <w:keepNext/>
      <w:spacing w:before="240" w:after="60" w:line="240" w:lineRule="auto"/>
      <w:jc w:val="left"/>
      <w:outlineLvl w:val="0"/>
    </w:pPr>
    <w:rPr>
      <w:rFonts w:ascii="Arial" w:eastAsia="Arial" w:hAnsi="Arial" w:cs="Arial"/>
      <w:b/>
      <w:sz w:val="32"/>
      <w:szCs w:val="32"/>
    </w:rPr>
  </w:style>
  <w:style w:type="paragraph" w:styleId="Ttulo2">
    <w:name w:val="heading 2"/>
    <w:basedOn w:val="Normal"/>
    <w:next w:val="Normal"/>
    <w:uiPriority w:val="9"/>
    <w:semiHidden/>
    <w:unhideWhenUsed/>
    <w:qFormat/>
    <w:pPr>
      <w:keepNext/>
      <w:spacing w:before="240" w:after="60" w:line="240" w:lineRule="auto"/>
      <w:ind w:left="720"/>
      <w:jc w:val="left"/>
      <w:outlineLvl w:val="1"/>
    </w:pPr>
    <w:rPr>
      <w:rFonts w:ascii="Arial" w:eastAsia="Arial" w:hAnsi="Arial" w:cs="Arial"/>
      <w:b/>
      <w:i/>
      <w:sz w:val="28"/>
      <w:szCs w:val="28"/>
    </w:rPr>
  </w:style>
  <w:style w:type="paragraph" w:styleId="Ttulo3">
    <w:name w:val="heading 3"/>
    <w:basedOn w:val="Normal"/>
    <w:next w:val="Normal"/>
    <w:uiPriority w:val="9"/>
    <w:semiHidden/>
    <w:unhideWhenUsed/>
    <w:qFormat/>
    <w:pPr>
      <w:keepNext/>
      <w:spacing w:before="240" w:after="60" w:line="240" w:lineRule="auto"/>
      <w:ind w:left="1440"/>
      <w:jc w:val="left"/>
      <w:outlineLvl w:val="2"/>
    </w:pPr>
    <w:rPr>
      <w:rFonts w:ascii="Arial" w:eastAsia="Arial" w:hAnsi="Arial" w:cs="Arial"/>
      <w:b/>
      <w:sz w:val="26"/>
      <w:szCs w:val="26"/>
    </w:rPr>
  </w:style>
  <w:style w:type="paragraph" w:styleId="Ttulo4">
    <w:name w:val="heading 4"/>
    <w:basedOn w:val="Normal"/>
    <w:next w:val="Normal"/>
    <w:uiPriority w:val="9"/>
    <w:semiHidden/>
    <w:unhideWhenUsed/>
    <w:qFormat/>
    <w:pPr>
      <w:keepNext/>
      <w:spacing w:before="240" w:after="60" w:line="240" w:lineRule="auto"/>
      <w:ind w:left="2160"/>
      <w:jc w:val="left"/>
      <w:outlineLvl w:val="3"/>
    </w:pPr>
    <w:rPr>
      <w:rFonts w:ascii="Times New Roman" w:eastAsia="Times New Roman" w:hAnsi="Times New Roman" w:cs="Times New Roman"/>
      <w:b/>
      <w:sz w:val="28"/>
      <w:szCs w:val="28"/>
    </w:rPr>
  </w:style>
  <w:style w:type="paragraph" w:styleId="Ttulo5">
    <w:name w:val="heading 5"/>
    <w:basedOn w:val="Normal"/>
    <w:next w:val="Normal"/>
    <w:uiPriority w:val="9"/>
    <w:semiHidden/>
    <w:unhideWhenUsed/>
    <w:qFormat/>
    <w:pPr>
      <w:spacing w:before="240" w:after="60" w:line="240" w:lineRule="auto"/>
      <w:ind w:left="2880"/>
      <w:jc w:val="left"/>
      <w:outlineLvl w:val="4"/>
    </w:pPr>
    <w:rPr>
      <w:rFonts w:ascii="Times New Roman" w:eastAsia="Times New Roman" w:hAnsi="Times New Roman" w:cs="Times New Roman"/>
      <w:b/>
      <w:i/>
      <w:sz w:val="26"/>
      <w:szCs w:val="26"/>
    </w:rPr>
  </w:style>
  <w:style w:type="paragraph" w:styleId="Ttulo6">
    <w:name w:val="heading 6"/>
    <w:basedOn w:val="Normal"/>
    <w:next w:val="Normal"/>
    <w:uiPriority w:val="9"/>
    <w:semiHidden/>
    <w:unhideWhenUsed/>
    <w:qFormat/>
    <w:pPr>
      <w:spacing w:before="240" w:after="60" w:line="240" w:lineRule="auto"/>
      <w:ind w:left="3600"/>
      <w:jc w:val="left"/>
      <w:outlineLvl w:val="5"/>
    </w:pPr>
    <w:rPr>
      <w:rFonts w:ascii="Times New Roman" w:eastAsia="Times New Roman" w:hAnsi="Times New Roman" w:cs="Times New Roman"/>
      <w:b/>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2">
    <w:name w:val="2"/>
    <w:basedOn w:val="TableNormal"/>
    <w:pPr>
      <w:spacing w:before="120" w:after="0" w:line="240" w:lineRule="auto"/>
      <w:jc w:val="left"/>
    </w:pPr>
    <w:tblPr>
      <w:tblStyleRowBandSize w:val="1"/>
      <w:tblStyleColBandSize w:val="1"/>
      <w:tblCellMar>
        <w:left w:w="108" w:type="dxa"/>
        <w:right w:w="108" w:type="dxa"/>
      </w:tblCellMar>
    </w:tblPr>
  </w:style>
  <w:style w:type="table" w:customStyle="1" w:styleId="1">
    <w:name w:val="1"/>
    <w:basedOn w:val="TableNormal"/>
    <w:pPr>
      <w:spacing w:before="120" w:after="0" w:line="240" w:lineRule="auto"/>
      <w:jc w:val="left"/>
    </w:pPr>
    <w:tblPr>
      <w:tblStyleRowBandSize w:val="1"/>
      <w:tblStyleColBandSize w:val="1"/>
      <w:tblCellMar>
        <w:left w:w="108" w:type="dxa"/>
        <w:right w:w="108" w:type="dxa"/>
      </w:tblCellMar>
    </w:tblPr>
  </w:style>
  <w:style w:type="paragraph" w:styleId="Textocomentario">
    <w:name w:val="annotation text"/>
    <w:basedOn w:val="Normal"/>
    <w:link w:val="TextocomentarioCar"/>
    <w:uiPriority w:val="99"/>
    <w:unhideWhenUsed/>
    <w:pPr>
      <w:spacing w:line="240" w:lineRule="auto"/>
    </w:pPr>
    <w:rPr>
      <w:sz w:val="20"/>
      <w:szCs w:val="20"/>
    </w:rPr>
  </w:style>
  <w:style w:type="character" w:customStyle="1" w:styleId="TextocomentarioCar">
    <w:name w:val="Texto comentario Car"/>
    <w:basedOn w:val="Fuentedeprrafopredeter"/>
    <w:link w:val="Textocomentario"/>
    <w:uiPriority w:val="99"/>
    <w:rPr>
      <w:sz w:val="20"/>
      <w:szCs w:val="20"/>
    </w:rPr>
  </w:style>
  <w:style w:type="character" w:styleId="Refdecomentario">
    <w:name w:val="annotation reference"/>
    <w:basedOn w:val="Fuentedeprrafopredeter"/>
    <w:uiPriority w:val="99"/>
    <w:semiHidden/>
    <w:unhideWhenUsed/>
    <w:rPr>
      <w:sz w:val="16"/>
      <w:szCs w:val="16"/>
    </w:rPr>
  </w:style>
  <w:style w:type="paragraph" w:styleId="Asuntodelcomentario">
    <w:name w:val="annotation subject"/>
    <w:basedOn w:val="Textocomentario"/>
    <w:next w:val="Textocomentario"/>
    <w:link w:val="AsuntodelcomentarioCar"/>
    <w:uiPriority w:val="99"/>
    <w:semiHidden/>
    <w:unhideWhenUsed/>
    <w:rsid w:val="00802A0A"/>
    <w:rPr>
      <w:b/>
      <w:bCs/>
    </w:rPr>
  </w:style>
  <w:style w:type="character" w:customStyle="1" w:styleId="AsuntodelcomentarioCar">
    <w:name w:val="Asunto del comentario Car"/>
    <w:basedOn w:val="TextocomentarioCar"/>
    <w:link w:val="Asuntodelcomentario"/>
    <w:uiPriority w:val="99"/>
    <w:semiHidden/>
    <w:rsid w:val="00802A0A"/>
    <w:rPr>
      <w:b/>
      <w:bCs/>
      <w:sz w:val="20"/>
      <w:szCs w:val="20"/>
    </w:rPr>
  </w:style>
  <w:style w:type="paragraph" w:styleId="Textodeglobo">
    <w:name w:val="Balloon Text"/>
    <w:basedOn w:val="Normal"/>
    <w:link w:val="TextodegloboCar"/>
    <w:uiPriority w:val="99"/>
    <w:semiHidden/>
    <w:unhideWhenUsed/>
    <w:rsid w:val="00802A0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02A0A"/>
    <w:rPr>
      <w:rFonts w:ascii="Segoe UI" w:hAnsi="Segoe UI" w:cs="Segoe UI"/>
      <w:sz w:val="18"/>
      <w:szCs w:val="18"/>
    </w:rPr>
  </w:style>
  <w:style w:type="paragraph" w:styleId="Textonotapie">
    <w:name w:val="footnote text"/>
    <w:basedOn w:val="Normal"/>
    <w:link w:val="TextonotapieCar"/>
    <w:uiPriority w:val="99"/>
    <w:unhideWhenUsed/>
    <w:rsid w:val="00734A2B"/>
    <w:pPr>
      <w:spacing w:after="0" w:line="240" w:lineRule="auto"/>
    </w:pPr>
    <w:rPr>
      <w:sz w:val="20"/>
      <w:szCs w:val="20"/>
    </w:rPr>
  </w:style>
  <w:style w:type="character" w:customStyle="1" w:styleId="TextonotapieCar">
    <w:name w:val="Texto nota pie Car"/>
    <w:basedOn w:val="Fuentedeprrafopredeter"/>
    <w:link w:val="Textonotapie"/>
    <w:uiPriority w:val="99"/>
    <w:rsid w:val="00734A2B"/>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Re"/>
    <w:basedOn w:val="Fuentedeprrafopredeter"/>
    <w:link w:val="Appelnotedebasde"/>
    <w:uiPriority w:val="99"/>
    <w:unhideWhenUsed/>
    <w:qFormat/>
    <w:rsid w:val="00734A2B"/>
    <w:rPr>
      <w:vertAlign w:val="superscript"/>
    </w:rPr>
  </w:style>
  <w:style w:type="paragraph" w:customStyle="1" w:styleId="Appelnotedebasde">
    <w:name w:val="Appel note de bas de..."/>
    <w:basedOn w:val="Normal"/>
    <w:link w:val="Refdenotaalpie"/>
    <w:uiPriority w:val="99"/>
    <w:rsid w:val="00734A2B"/>
    <w:pPr>
      <w:spacing w:after="160" w:line="240" w:lineRule="exact"/>
    </w:pPr>
    <w:rPr>
      <w:vertAlign w:val="superscript"/>
    </w:rPr>
  </w:style>
  <w:style w:type="character" w:customStyle="1" w:styleId="Hipervnculo1">
    <w:name w:val="Hipervínculo1"/>
    <w:basedOn w:val="Fuentedeprrafopredeter"/>
    <w:uiPriority w:val="99"/>
    <w:unhideWhenUsed/>
    <w:rsid w:val="00734A2B"/>
    <w:rPr>
      <w:color w:val="0563C1"/>
      <w:u w:val="single"/>
    </w:rPr>
  </w:style>
  <w:style w:type="character" w:styleId="Hipervnculo">
    <w:name w:val="Hyperlink"/>
    <w:basedOn w:val="Fuentedeprrafopredeter"/>
    <w:uiPriority w:val="99"/>
    <w:unhideWhenUsed/>
    <w:rsid w:val="00734A2B"/>
    <w:rPr>
      <w:color w:val="0000FF" w:themeColor="hyperlink"/>
      <w:u w:val="single"/>
    </w:rPr>
  </w:style>
  <w:style w:type="paragraph" w:styleId="NormalWeb">
    <w:name w:val="Normal (Web)"/>
    <w:basedOn w:val="Normal"/>
    <w:uiPriority w:val="99"/>
    <w:semiHidden/>
    <w:unhideWhenUsed/>
    <w:rsid w:val="000E542F"/>
    <w:rPr>
      <w:rFonts w:ascii="Times New Roman" w:hAnsi="Times New Roman" w:cs="Times New Roman"/>
    </w:rPr>
  </w:style>
  <w:style w:type="paragraph" w:styleId="Prrafodelista">
    <w:name w:val="List Paragraph"/>
    <w:basedOn w:val="Normal"/>
    <w:uiPriority w:val="34"/>
    <w:qFormat/>
    <w:rsid w:val="00A310D3"/>
    <w:pPr>
      <w:ind w:left="720"/>
      <w:contextualSpacing/>
    </w:pPr>
  </w:style>
  <w:style w:type="character" w:customStyle="1" w:styleId="baj">
    <w:name w:val="b_aj"/>
    <w:basedOn w:val="Fuentedeprrafopredeter"/>
    <w:rsid w:val="00897E75"/>
  </w:style>
  <w:style w:type="paragraph" w:styleId="Encabezado">
    <w:name w:val="header"/>
    <w:basedOn w:val="Normal"/>
    <w:link w:val="EncabezadoCar"/>
    <w:uiPriority w:val="99"/>
    <w:unhideWhenUsed/>
    <w:rsid w:val="00897E7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97E75"/>
  </w:style>
  <w:style w:type="paragraph" w:styleId="Piedepgina">
    <w:name w:val="footer"/>
    <w:basedOn w:val="Normal"/>
    <w:link w:val="PiedepginaCar"/>
    <w:uiPriority w:val="99"/>
    <w:unhideWhenUsed/>
    <w:rsid w:val="00897E7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97E75"/>
  </w:style>
  <w:style w:type="character" w:styleId="nfasis">
    <w:name w:val="Emphasis"/>
    <w:basedOn w:val="Fuentedeprrafopredeter"/>
    <w:uiPriority w:val="20"/>
    <w:qFormat/>
    <w:rsid w:val="00397B0E"/>
    <w:rPr>
      <w:i/>
      <w:iCs/>
    </w:rPr>
  </w:style>
  <w:style w:type="character" w:styleId="Textoennegrita">
    <w:name w:val="Strong"/>
    <w:basedOn w:val="Fuentedeprrafopredeter"/>
    <w:uiPriority w:val="22"/>
    <w:qFormat/>
    <w:rsid w:val="00791555"/>
    <w:rPr>
      <w:b/>
      <w:bCs/>
    </w:rPr>
  </w:style>
  <w:style w:type="character" w:styleId="Hipervnculovisitado">
    <w:name w:val="FollowedHyperlink"/>
    <w:basedOn w:val="Fuentedeprrafopredeter"/>
    <w:uiPriority w:val="99"/>
    <w:semiHidden/>
    <w:unhideWhenUsed/>
    <w:rsid w:val="00C830CE"/>
    <w:rPr>
      <w:color w:val="800080" w:themeColor="followedHyperlink"/>
      <w:u w:val="single"/>
    </w:rPr>
  </w:style>
  <w:style w:type="paragraph" w:styleId="Textoindependiente">
    <w:name w:val="Body Text"/>
    <w:basedOn w:val="Normal"/>
    <w:link w:val="TextoindependienteCar"/>
    <w:uiPriority w:val="99"/>
    <w:semiHidden/>
    <w:unhideWhenUsed/>
    <w:rsid w:val="00A301A8"/>
    <w:pPr>
      <w:spacing w:after="120"/>
    </w:pPr>
  </w:style>
  <w:style w:type="character" w:customStyle="1" w:styleId="TextoindependienteCar">
    <w:name w:val="Texto independiente Car"/>
    <w:basedOn w:val="Fuentedeprrafopredeter"/>
    <w:link w:val="Textoindependiente"/>
    <w:uiPriority w:val="99"/>
    <w:semiHidden/>
    <w:rsid w:val="00A301A8"/>
  </w:style>
  <w:style w:type="paragraph" w:styleId="Revisin">
    <w:name w:val="Revision"/>
    <w:hidden/>
    <w:uiPriority w:val="99"/>
    <w:semiHidden/>
    <w:rsid w:val="002C343C"/>
    <w:pPr>
      <w:spacing w:after="0" w:line="240" w:lineRule="auto"/>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879380">
      <w:bodyDiv w:val="1"/>
      <w:marLeft w:val="0"/>
      <w:marRight w:val="0"/>
      <w:marTop w:val="0"/>
      <w:marBottom w:val="0"/>
      <w:divBdr>
        <w:top w:val="none" w:sz="0" w:space="0" w:color="auto"/>
        <w:left w:val="none" w:sz="0" w:space="0" w:color="auto"/>
        <w:bottom w:val="none" w:sz="0" w:space="0" w:color="auto"/>
        <w:right w:val="none" w:sz="0" w:space="0" w:color="auto"/>
      </w:divBdr>
    </w:div>
    <w:div w:id="225343558">
      <w:bodyDiv w:val="1"/>
      <w:marLeft w:val="0"/>
      <w:marRight w:val="0"/>
      <w:marTop w:val="0"/>
      <w:marBottom w:val="0"/>
      <w:divBdr>
        <w:top w:val="none" w:sz="0" w:space="0" w:color="auto"/>
        <w:left w:val="none" w:sz="0" w:space="0" w:color="auto"/>
        <w:bottom w:val="none" w:sz="0" w:space="0" w:color="auto"/>
        <w:right w:val="none" w:sz="0" w:space="0" w:color="auto"/>
      </w:divBdr>
    </w:div>
    <w:div w:id="338846728">
      <w:bodyDiv w:val="1"/>
      <w:marLeft w:val="0"/>
      <w:marRight w:val="0"/>
      <w:marTop w:val="0"/>
      <w:marBottom w:val="0"/>
      <w:divBdr>
        <w:top w:val="none" w:sz="0" w:space="0" w:color="auto"/>
        <w:left w:val="none" w:sz="0" w:space="0" w:color="auto"/>
        <w:bottom w:val="none" w:sz="0" w:space="0" w:color="auto"/>
        <w:right w:val="none" w:sz="0" w:space="0" w:color="auto"/>
      </w:divBdr>
    </w:div>
    <w:div w:id="417218324">
      <w:bodyDiv w:val="1"/>
      <w:marLeft w:val="0"/>
      <w:marRight w:val="0"/>
      <w:marTop w:val="0"/>
      <w:marBottom w:val="0"/>
      <w:divBdr>
        <w:top w:val="none" w:sz="0" w:space="0" w:color="auto"/>
        <w:left w:val="none" w:sz="0" w:space="0" w:color="auto"/>
        <w:bottom w:val="none" w:sz="0" w:space="0" w:color="auto"/>
        <w:right w:val="none" w:sz="0" w:space="0" w:color="auto"/>
      </w:divBdr>
    </w:div>
    <w:div w:id="527989436">
      <w:bodyDiv w:val="1"/>
      <w:marLeft w:val="0"/>
      <w:marRight w:val="0"/>
      <w:marTop w:val="0"/>
      <w:marBottom w:val="0"/>
      <w:divBdr>
        <w:top w:val="none" w:sz="0" w:space="0" w:color="auto"/>
        <w:left w:val="none" w:sz="0" w:space="0" w:color="auto"/>
        <w:bottom w:val="none" w:sz="0" w:space="0" w:color="auto"/>
        <w:right w:val="none" w:sz="0" w:space="0" w:color="auto"/>
      </w:divBdr>
    </w:div>
    <w:div w:id="546264470">
      <w:bodyDiv w:val="1"/>
      <w:marLeft w:val="0"/>
      <w:marRight w:val="0"/>
      <w:marTop w:val="0"/>
      <w:marBottom w:val="0"/>
      <w:divBdr>
        <w:top w:val="none" w:sz="0" w:space="0" w:color="auto"/>
        <w:left w:val="none" w:sz="0" w:space="0" w:color="auto"/>
        <w:bottom w:val="none" w:sz="0" w:space="0" w:color="auto"/>
        <w:right w:val="none" w:sz="0" w:space="0" w:color="auto"/>
      </w:divBdr>
    </w:div>
    <w:div w:id="656955283">
      <w:bodyDiv w:val="1"/>
      <w:marLeft w:val="0"/>
      <w:marRight w:val="0"/>
      <w:marTop w:val="0"/>
      <w:marBottom w:val="0"/>
      <w:divBdr>
        <w:top w:val="none" w:sz="0" w:space="0" w:color="auto"/>
        <w:left w:val="none" w:sz="0" w:space="0" w:color="auto"/>
        <w:bottom w:val="none" w:sz="0" w:space="0" w:color="auto"/>
        <w:right w:val="none" w:sz="0" w:space="0" w:color="auto"/>
      </w:divBdr>
    </w:div>
    <w:div w:id="698119622">
      <w:bodyDiv w:val="1"/>
      <w:marLeft w:val="0"/>
      <w:marRight w:val="0"/>
      <w:marTop w:val="0"/>
      <w:marBottom w:val="0"/>
      <w:divBdr>
        <w:top w:val="none" w:sz="0" w:space="0" w:color="auto"/>
        <w:left w:val="none" w:sz="0" w:space="0" w:color="auto"/>
        <w:bottom w:val="none" w:sz="0" w:space="0" w:color="auto"/>
        <w:right w:val="none" w:sz="0" w:space="0" w:color="auto"/>
      </w:divBdr>
      <w:divsChild>
        <w:div w:id="183322019">
          <w:marLeft w:val="0"/>
          <w:marRight w:val="0"/>
          <w:marTop w:val="0"/>
          <w:marBottom w:val="0"/>
          <w:divBdr>
            <w:top w:val="none" w:sz="0" w:space="0" w:color="auto"/>
            <w:left w:val="none" w:sz="0" w:space="0" w:color="auto"/>
            <w:bottom w:val="none" w:sz="0" w:space="0" w:color="auto"/>
            <w:right w:val="none" w:sz="0" w:space="0" w:color="auto"/>
          </w:divBdr>
          <w:divsChild>
            <w:div w:id="1159348459">
              <w:marLeft w:val="0"/>
              <w:marRight w:val="0"/>
              <w:marTop w:val="0"/>
              <w:marBottom w:val="0"/>
              <w:divBdr>
                <w:top w:val="none" w:sz="0" w:space="0" w:color="auto"/>
                <w:left w:val="none" w:sz="0" w:space="0" w:color="auto"/>
                <w:bottom w:val="none" w:sz="0" w:space="0" w:color="auto"/>
                <w:right w:val="none" w:sz="0" w:space="0" w:color="auto"/>
              </w:divBdr>
            </w:div>
          </w:divsChild>
        </w:div>
        <w:div w:id="714499568">
          <w:marLeft w:val="0"/>
          <w:marRight w:val="0"/>
          <w:marTop w:val="0"/>
          <w:marBottom w:val="0"/>
          <w:divBdr>
            <w:top w:val="none" w:sz="0" w:space="0" w:color="auto"/>
            <w:left w:val="none" w:sz="0" w:space="0" w:color="auto"/>
            <w:bottom w:val="none" w:sz="0" w:space="0" w:color="auto"/>
            <w:right w:val="none" w:sz="0" w:space="0" w:color="auto"/>
          </w:divBdr>
          <w:divsChild>
            <w:div w:id="1642420608">
              <w:marLeft w:val="0"/>
              <w:marRight w:val="0"/>
              <w:marTop w:val="0"/>
              <w:marBottom w:val="0"/>
              <w:divBdr>
                <w:top w:val="none" w:sz="0" w:space="0" w:color="auto"/>
                <w:left w:val="none" w:sz="0" w:space="0" w:color="auto"/>
                <w:bottom w:val="none" w:sz="0" w:space="0" w:color="auto"/>
                <w:right w:val="none" w:sz="0" w:space="0" w:color="auto"/>
              </w:divBdr>
            </w:div>
          </w:divsChild>
        </w:div>
        <w:div w:id="974798296">
          <w:marLeft w:val="0"/>
          <w:marRight w:val="0"/>
          <w:marTop w:val="0"/>
          <w:marBottom w:val="0"/>
          <w:divBdr>
            <w:top w:val="none" w:sz="0" w:space="0" w:color="auto"/>
            <w:left w:val="none" w:sz="0" w:space="0" w:color="auto"/>
            <w:bottom w:val="none" w:sz="0" w:space="0" w:color="auto"/>
            <w:right w:val="none" w:sz="0" w:space="0" w:color="auto"/>
          </w:divBdr>
          <w:divsChild>
            <w:div w:id="1942491899">
              <w:marLeft w:val="0"/>
              <w:marRight w:val="0"/>
              <w:marTop w:val="0"/>
              <w:marBottom w:val="0"/>
              <w:divBdr>
                <w:top w:val="none" w:sz="0" w:space="0" w:color="auto"/>
                <w:left w:val="none" w:sz="0" w:space="0" w:color="auto"/>
                <w:bottom w:val="none" w:sz="0" w:space="0" w:color="auto"/>
                <w:right w:val="none" w:sz="0" w:space="0" w:color="auto"/>
              </w:divBdr>
            </w:div>
          </w:divsChild>
        </w:div>
        <w:div w:id="1396244973">
          <w:marLeft w:val="0"/>
          <w:marRight w:val="0"/>
          <w:marTop w:val="0"/>
          <w:marBottom w:val="0"/>
          <w:divBdr>
            <w:top w:val="none" w:sz="0" w:space="0" w:color="auto"/>
            <w:left w:val="none" w:sz="0" w:space="0" w:color="auto"/>
            <w:bottom w:val="none" w:sz="0" w:space="0" w:color="auto"/>
            <w:right w:val="none" w:sz="0" w:space="0" w:color="auto"/>
          </w:divBdr>
          <w:divsChild>
            <w:div w:id="405154561">
              <w:marLeft w:val="0"/>
              <w:marRight w:val="0"/>
              <w:marTop w:val="0"/>
              <w:marBottom w:val="0"/>
              <w:divBdr>
                <w:top w:val="none" w:sz="0" w:space="0" w:color="auto"/>
                <w:left w:val="none" w:sz="0" w:space="0" w:color="auto"/>
                <w:bottom w:val="none" w:sz="0" w:space="0" w:color="auto"/>
                <w:right w:val="none" w:sz="0" w:space="0" w:color="auto"/>
              </w:divBdr>
            </w:div>
          </w:divsChild>
        </w:div>
        <w:div w:id="1469468370">
          <w:marLeft w:val="0"/>
          <w:marRight w:val="0"/>
          <w:marTop w:val="0"/>
          <w:marBottom w:val="0"/>
          <w:divBdr>
            <w:top w:val="none" w:sz="0" w:space="0" w:color="auto"/>
            <w:left w:val="none" w:sz="0" w:space="0" w:color="auto"/>
            <w:bottom w:val="none" w:sz="0" w:space="0" w:color="auto"/>
            <w:right w:val="none" w:sz="0" w:space="0" w:color="auto"/>
          </w:divBdr>
          <w:divsChild>
            <w:div w:id="1458797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332826">
      <w:bodyDiv w:val="1"/>
      <w:marLeft w:val="0"/>
      <w:marRight w:val="0"/>
      <w:marTop w:val="0"/>
      <w:marBottom w:val="0"/>
      <w:divBdr>
        <w:top w:val="none" w:sz="0" w:space="0" w:color="auto"/>
        <w:left w:val="none" w:sz="0" w:space="0" w:color="auto"/>
        <w:bottom w:val="none" w:sz="0" w:space="0" w:color="auto"/>
        <w:right w:val="none" w:sz="0" w:space="0" w:color="auto"/>
      </w:divBdr>
    </w:div>
    <w:div w:id="878780301">
      <w:bodyDiv w:val="1"/>
      <w:marLeft w:val="0"/>
      <w:marRight w:val="0"/>
      <w:marTop w:val="0"/>
      <w:marBottom w:val="0"/>
      <w:divBdr>
        <w:top w:val="none" w:sz="0" w:space="0" w:color="auto"/>
        <w:left w:val="none" w:sz="0" w:space="0" w:color="auto"/>
        <w:bottom w:val="none" w:sz="0" w:space="0" w:color="auto"/>
        <w:right w:val="none" w:sz="0" w:space="0" w:color="auto"/>
      </w:divBdr>
    </w:div>
    <w:div w:id="893008449">
      <w:bodyDiv w:val="1"/>
      <w:marLeft w:val="0"/>
      <w:marRight w:val="0"/>
      <w:marTop w:val="0"/>
      <w:marBottom w:val="0"/>
      <w:divBdr>
        <w:top w:val="none" w:sz="0" w:space="0" w:color="auto"/>
        <w:left w:val="none" w:sz="0" w:space="0" w:color="auto"/>
        <w:bottom w:val="none" w:sz="0" w:space="0" w:color="auto"/>
        <w:right w:val="none" w:sz="0" w:space="0" w:color="auto"/>
      </w:divBdr>
    </w:div>
    <w:div w:id="951664996">
      <w:bodyDiv w:val="1"/>
      <w:marLeft w:val="0"/>
      <w:marRight w:val="0"/>
      <w:marTop w:val="0"/>
      <w:marBottom w:val="0"/>
      <w:divBdr>
        <w:top w:val="none" w:sz="0" w:space="0" w:color="auto"/>
        <w:left w:val="none" w:sz="0" w:space="0" w:color="auto"/>
        <w:bottom w:val="none" w:sz="0" w:space="0" w:color="auto"/>
        <w:right w:val="none" w:sz="0" w:space="0" w:color="auto"/>
      </w:divBdr>
    </w:div>
    <w:div w:id="1079406859">
      <w:bodyDiv w:val="1"/>
      <w:marLeft w:val="0"/>
      <w:marRight w:val="0"/>
      <w:marTop w:val="0"/>
      <w:marBottom w:val="0"/>
      <w:divBdr>
        <w:top w:val="none" w:sz="0" w:space="0" w:color="auto"/>
        <w:left w:val="none" w:sz="0" w:space="0" w:color="auto"/>
        <w:bottom w:val="none" w:sz="0" w:space="0" w:color="auto"/>
        <w:right w:val="none" w:sz="0" w:space="0" w:color="auto"/>
      </w:divBdr>
    </w:div>
    <w:div w:id="1152714230">
      <w:bodyDiv w:val="1"/>
      <w:marLeft w:val="0"/>
      <w:marRight w:val="0"/>
      <w:marTop w:val="0"/>
      <w:marBottom w:val="0"/>
      <w:divBdr>
        <w:top w:val="none" w:sz="0" w:space="0" w:color="auto"/>
        <w:left w:val="none" w:sz="0" w:space="0" w:color="auto"/>
        <w:bottom w:val="none" w:sz="0" w:space="0" w:color="auto"/>
        <w:right w:val="none" w:sz="0" w:space="0" w:color="auto"/>
      </w:divBdr>
    </w:div>
    <w:div w:id="1187258632">
      <w:bodyDiv w:val="1"/>
      <w:marLeft w:val="0"/>
      <w:marRight w:val="0"/>
      <w:marTop w:val="0"/>
      <w:marBottom w:val="0"/>
      <w:divBdr>
        <w:top w:val="none" w:sz="0" w:space="0" w:color="auto"/>
        <w:left w:val="none" w:sz="0" w:space="0" w:color="auto"/>
        <w:bottom w:val="none" w:sz="0" w:space="0" w:color="auto"/>
        <w:right w:val="none" w:sz="0" w:space="0" w:color="auto"/>
      </w:divBdr>
    </w:div>
    <w:div w:id="1189418048">
      <w:bodyDiv w:val="1"/>
      <w:marLeft w:val="0"/>
      <w:marRight w:val="0"/>
      <w:marTop w:val="0"/>
      <w:marBottom w:val="0"/>
      <w:divBdr>
        <w:top w:val="none" w:sz="0" w:space="0" w:color="auto"/>
        <w:left w:val="none" w:sz="0" w:space="0" w:color="auto"/>
        <w:bottom w:val="none" w:sz="0" w:space="0" w:color="auto"/>
        <w:right w:val="none" w:sz="0" w:space="0" w:color="auto"/>
      </w:divBdr>
    </w:div>
    <w:div w:id="1248078066">
      <w:bodyDiv w:val="1"/>
      <w:marLeft w:val="0"/>
      <w:marRight w:val="0"/>
      <w:marTop w:val="0"/>
      <w:marBottom w:val="0"/>
      <w:divBdr>
        <w:top w:val="none" w:sz="0" w:space="0" w:color="auto"/>
        <w:left w:val="none" w:sz="0" w:space="0" w:color="auto"/>
        <w:bottom w:val="none" w:sz="0" w:space="0" w:color="auto"/>
        <w:right w:val="none" w:sz="0" w:space="0" w:color="auto"/>
      </w:divBdr>
    </w:div>
    <w:div w:id="1312632176">
      <w:bodyDiv w:val="1"/>
      <w:marLeft w:val="0"/>
      <w:marRight w:val="0"/>
      <w:marTop w:val="0"/>
      <w:marBottom w:val="0"/>
      <w:divBdr>
        <w:top w:val="none" w:sz="0" w:space="0" w:color="auto"/>
        <w:left w:val="none" w:sz="0" w:space="0" w:color="auto"/>
        <w:bottom w:val="none" w:sz="0" w:space="0" w:color="auto"/>
        <w:right w:val="none" w:sz="0" w:space="0" w:color="auto"/>
      </w:divBdr>
      <w:divsChild>
        <w:div w:id="42488419">
          <w:marLeft w:val="547"/>
          <w:marRight w:val="0"/>
          <w:marTop w:val="0"/>
          <w:marBottom w:val="0"/>
          <w:divBdr>
            <w:top w:val="none" w:sz="0" w:space="0" w:color="auto"/>
            <w:left w:val="none" w:sz="0" w:space="0" w:color="auto"/>
            <w:bottom w:val="none" w:sz="0" w:space="0" w:color="auto"/>
            <w:right w:val="none" w:sz="0" w:space="0" w:color="auto"/>
          </w:divBdr>
        </w:div>
      </w:divsChild>
    </w:div>
    <w:div w:id="1321229190">
      <w:bodyDiv w:val="1"/>
      <w:marLeft w:val="0"/>
      <w:marRight w:val="0"/>
      <w:marTop w:val="0"/>
      <w:marBottom w:val="0"/>
      <w:divBdr>
        <w:top w:val="none" w:sz="0" w:space="0" w:color="auto"/>
        <w:left w:val="none" w:sz="0" w:space="0" w:color="auto"/>
        <w:bottom w:val="none" w:sz="0" w:space="0" w:color="auto"/>
        <w:right w:val="none" w:sz="0" w:space="0" w:color="auto"/>
      </w:divBdr>
    </w:div>
    <w:div w:id="1334575344">
      <w:bodyDiv w:val="1"/>
      <w:marLeft w:val="0"/>
      <w:marRight w:val="0"/>
      <w:marTop w:val="0"/>
      <w:marBottom w:val="0"/>
      <w:divBdr>
        <w:top w:val="none" w:sz="0" w:space="0" w:color="auto"/>
        <w:left w:val="none" w:sz="0" w:space="0" w:color="auto"/>
        <w:bottom w:val="none" w:sz="0" w:space="0" w:color="auto"/>
        <w:right w:val="none" w:sz="0" w:space="0" w:color="auto"/>
      </w:divBdr>
    </w:div>
    <w:div w:id="1466965590">
      <w:bodyDiv w:val="1"/>
      <w:marLeft w:val="0"/>
      <w:marRight w:val="0"/>
      <w:marTop w:val="0"/>
      <w:marBottom w:val="0"/>
      <w:divBdr>
        <w:top w:val="none" w:sz="0" w:space="0" w:color="auto"/>
        <w:left w:val="none" w:sz="0" w:space="0" w:color="auto"/>
        <w:bottom w:val="none" w:sz="0" w:space="0" w:color="auto"/>
        <w:right w:val="none" w:sz="0" w:space="0" w:color="auto"/>
      </w:divBdr>
    </w:div>
    <w:div w:id="1540320393">
      <w:bodyDiv w:val="1"/>
      <w:marLeft w:val="0"/>
      <w:marRight w:val="0"/>
      <w:marTop w:val="0"/>
      <w:marBottom w:val="0"/>
      <w:divBdr>
        <w:top w:val="none" w:sz="0" w:space="0" w:color="auto"/>
        <w:left w:val="none" w:sz="0" w:space="0" w:color="auto"/>
        <w:bottom w:val="none" w:sz="0" w:space="0" w:color="auto"/>
        <w:right w:val="none" w:sz="0" w:space="0" w:color="auto"/>
      </w:divBdr>
    </w:div>
    <w:div w:id="1543130869">
      <w:bodyDiv w:val="1"/>
      <w:marLeft w:val="0"/>
      <w:marRight w:val="0"/>
      <w:marTop w:val="0"/>
      <w:marBottom w:val="0"/>
      <w:divBdr>
        <w:top w:val="none" w:sz="0" w:space="0" w:color="auto"/>
        <w:left w:val="none" w:sz="0" w:space="0" w:color="auto"/>
        <w:bottom w:val="none" w:sz="0" w:space="0" w:color="auto"/>
        <w:right w:val="none" w:sz="0" w:space="0" w:color="auto"/>
      </w:divBdr>
    </w:div>
    <w:div w:id="1698309294">
      <w:bodyDiv w:val="1"/>
      <w:marLeft w:val="0"/>
      <w:marRight w:val="0"/>
      <w:marTop w:val="0"/>
      <w:marBottom w:val="0"/>
      <w:divBdr>
        <w:top w:val="none" w:sz="0" w:space="0" w:color="auto"/>
        <w:left w:val="none" w:sz="0" w:space="0" w:color="auto"/>
        <w:bottom w:val="none" w:sz="0" w:space="0" w:color="auto"/>
        <w:right w:val="none" w:sz="0" w:space="0" w:color="auto"/>
      </w:divBdr>
    </w:div>
    <w:div w:id="1763187630">
      <w:bodyDiv w:val="1"/>
      <w:marLeft w:val="0"/>
      <w:marRight w:val="0"/>
      <w:marTop w:val="0"/>
      <w:marBottom w:val="0"/>
      <w:divBdr>
        <w:top w:val="none" w:sz="0" w:space="0" w:color="auto"/>
        <w:left w:val="none" w:sz="0" w:space="0" w:color="auto"/>
        <w:bottom w:val="none" w:sz="0" w:space="0" w:color="auto"/>
        <w:right w:val="none" w:sz="0" w:space="0" w:color="auto"/>
      </w:divBdr>
    </w:div>
    <w:div w:id="1908612038">
      <w:bodyDiv w:val="1"/>
      <w:marLeft w:val="0"/>
      <w:marRight w:val="0"/>
      <w:marTop w:val="0"/>
      <w:marBottom w:val="0"/>
      <w:divBdr>
        <w:top w:val="none" w:sz="0" w:space="0" w:color="auto"/>
        <w:left w:val="none" w:sz="0" w:space="0" w:color="auto"/>
        <w:bottom w:val="none" w:sz="0" w:space="0" w:color="auto"/>
        <w:right w:val="none" w:sz="0" w:space="0" w:color="auto"/>
      </w:divBdr>
    </w:div>
    <w:div w:id="1930649695">
      <w:bodyDiv w:val="1"/>
      <w:marLeft w:val="0"/>
      <w:marRight w:val="0"/>
      <w:marTop w:val="0"/>
      <w:marBottom w:val="0"/>
      <w:divBdr>
        <w:top w:val="none" w:sz="0" w:space="0" w:color="auto"/>
        <w:left w:val="none" w:sz="0" w:space="0" w:color="auto"/>
        <w:bottom w:val="none" w:sz="0" w:space="0" w:color="auto"/>
        <w:right w:val="none" w:sz="0" w:space="0" w:color="auto"/>
      </w:divBdr>
    </w:div>
    <w:div w:id="1949583030">
      <w:bodyDiv w:val="1"/>
      <w:marLeft w:val="0"/>
      <w:marRight w:val="0"/>
      <w:marTop w:val="0"/>
      <w:marBottom w:val="0"/>
      <w:divBdr>
        <w:top w:val="none" w:sz="0" w:space="0" w:color="auto"/>
        <w:left w:val="none" w:sz="0" w:space="0" w:color="auto"/>
        <w:bottom w:val="none" w:sz="0" w:space="0" w:color="auto"/>
        <w:right w:val="none" w:sz="0" w:space="0" w:color="auto"/>
      </w:divBdr>
    </w:div>
    <w:div w:id="1976905484">
      <w:bodyDiv w:val="1"/>
      <w:marLeft w:val="0"/>
      <w:marRight w:val="0"/>
      <w:marTop w:val="0"/>
      <w:marBottom w:val="0"/>
      <w:divBdr>
        <w:top w:val="none" w:sz="0" w:space="0" w:color="auto"/>
        <w:left w:val="none" w:sz="0" w:space="0" w:color="auto"/>
        <w:bottom w:val="none" w:sz="0" w:space="0" w:color="auto"/>
        <w:right w:val="none" w:sz="0" w:space="0" w:color="auto"/>
      </w:divBdr>
    </w:div>
    <w:div w:id="2009598787">
      <w:bodyDiv w:val="1"/>
      <w:marLeft w:val="0"/>
      <w:marRight w:val="0"/>
      <w:marTop w:val="0"/>
      <w:marBottom w:val="0"/>
      <w:divBdr>
        <w:top w:val="none" w:sz="0" w:space="0" w:color="auto"/>
        <w:left w:val="none" w:sz="0" w:space="0" w:color="auto"/>
        <w:bottom w:val="none" w:sz="0" w:space="0" w:color="auto"/>
        <w:right w:val="none" w:sz="0" w:space="0" w:color="auto"/>
      </w:divBdr>
    </w:div>
    <w:div w:id="2094622134">
      <w:bodyDiv w:val="1"/>
      <w:marLeft w:val="0"/>
      <w:marRight w:val="0"/>
      <w:marTop w:val="0"/>
      <w:marBottom w:val="0"/>
      <w:divBdr>
        <w:top w:val="none" w:sz="0" w:space="0" w:color="auto"/>
        <w:left w:val="none" w:sz="0" w:space="0" w:color="auto"/>
        <w:bottom w:val="none" w:sz="0" w:space="0" w:color="auto"/>
        <w:right w:val="none" w:sz="0" w:space="0" w:color="auto"/>
      </w:divBdr>
    </w:div>
    <w:div w:id="213119712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ustomXml" Target="../customXml/item2.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notes.xml.rels><?xml version="1.0" encoding="UTF-8" standalone="yes"?>
<Relationships xmlns="http://schemas.openxmlformats.org/package/2006/relationships"><Relationship Id="rId1" Type="http://schemas.openxmlformats.org/officeDocument/2006/relationships/hyperlink" Target="https://dle.rae.es/h%C3%A1bi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A8303F4-A811-4FF0-996C-3EFD664D8A78}">
  <ds:schemaRefs>
    <ds:schemaRef ds:uri="http://schemas.openxmlformats.org/officeDocument/2006/bibliography"/>
  </ds:schemaRefs>
</ds:datastoreItem>
</file>

<file path=customXml/itemProps2.xml><?xml version="1.0" encoding="utf-8"?>
<ds:datastoreItem xmlns:ds="http://schemas.openxmlformats.org/officeDocument/2006/customXml" ds:itemID="{C02A8063-7638-4E9D-8501-A710CF25F0D2}"/>
</file>

<file path=customXml/itemProps3.xml><?xml version="1.0" encoding="utf-8"?>
<ds:datastoreItem xmlns:ds="http://schemas.openxmlformats.org/officeDocument/2006/customXml" ds:itemID="{AEB428AC-836A-4C9B-869F-978A0AACDE26}"/>
</file>

<file path=customXml/itemProps4.xml><?xml version="1.0" encoding="utf-8"?>
<ds:datastoreItem xmlns:ds="http://schemas.openxmlformats.org/officeDocument/2006/customXml" ds:itemID="{5EBAD7CE-1252-4F51-817D-CE90E302CCFC}"/>
</file>

<file path=docProps/app.xml><?xml version="1.0" encoding="utf-8"?>
<Properties xmlns="http://schemas.openxmlformats.org/officeDocument/2006/extended-properties" xmlns:vt="http://schemas.openxmlformats.org/officeDocument/2006/docPropsVTypes">
  <Template>Normal.dotm</Template>
  <TotalTime>133</TotalTime>
  <Pages>13</Pages>
  <Words>4168</Words>
  <Characters>22930</Characters>
  <Application>Microsoft Office Word</Application>
  <DocSecurity>0</DocSecurity>
  <Lines>191</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ALVARO</dc:creator>
  <cp:keywords/>
  <dc:description/>
  <cp:lastModifiedBy>Luisa Fernanda Pascuaza Cabrera</cp:lastModifiedBy>
  <cp:revision>12</cp:revision>
  <cp:lastPrinted>2022-03-24T20:14:00Z</cp:lastPrinted>
  <dcterms:created xsi:type="dcterms:W3CDTF">2022-06-17T16:35:00Z</dcterms:created>
  <dcterms:modified xsi:type="dcterms:W3CDTF">2022-06-23T21:53:00Z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