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4CDBC" w14:textId="51E87DED" w:rsidR="00481619" w:rsidRDefault="00481619" w:rsidP="00501651">
      <w:pPr>
        <w:spacing w:after="0" w:line="240" w:lineRule="auto"/>
        <w:rPr>
          <w:rFonts w:ascii="Arial" w:eastAsia="Calibri" w:hAnsi="Arial" w:cs="Arial"/>
          <w:sz w:val="20"/>
          <w:szCs w:val="20"/>
          <w:lang w:val="es-ES_tradnl"/>
        </w:rPr>
      </w:pPr>
      <w:bookmarkStart w:id="0" w:name="_Hlk77165666"/>
      <w:bookmarkStart w:id="1" w:name="_Hlk78821436"/>
    </w:p>
    <w:p w14:paraId="5F33D94B" w14:textId="0353C27A" w:rsidR="00481619" w:rsidRDefault="00481619" w:rsidP="00501651">
      <w:pPr>
        <w:spacing w:after="0" w:line="240" w:lineRule="auto"/>
        <w:rPr>
          <w:rFonts w:ascii="Arial" w:eastAsia="Calibri" w:hAnsi="Arial" w:cs="Arial"/>
          <w:b/>
          <w:color w:val="000000"/>
          <w:sz w:val="22"/>
        </w:rPr>
      </w:pPr>
      <w:r w:rsidRPr="00481619">
        <w:rPr>
          <w:rFonts w:ascii="Arial" w:eastAsia="Calibri" w:hAnsi="Arial" w:cs="Arial"/>
          <w:b/>
          <w:bCs/>
          <w:sz w:val="22"/>
          <w:lang w:val="es-ES_tradnl"/>
        </w:rPr>
        <w:t xml:space="preserve">FORMULARIO 1 </w:t>
      </w:r>
      <w:r w:rsidRPr="00481619">
        <w:rPr>
          <w:rFonts w:ascii="Arial" w:eastAsia="Calibri" w:hAnsi="Arial" w:cs="Arial"/>
          <w:b/>
          <w:color w:val="000000"/>
          <w:sz w:val="22"/>
        </w:rPr>
        <w:t>– Formulario de presupuesto oficial</w:t>
      </w:r>
    </w:p>
    <w:p w14:paraId="3F588349" w14:textId="3E2E40CB" w:rsidR="00481619" w:rsidRDefault="00481619" w:rsidP="00501651">
      <w:pPr>
        <w:spacing w:after="0" w:line="240" w:lineRule="auto"/>
        <w:rPr>
          <w:rFonts w:ascii="Arial" w:eastAsia="Calibri" w:hAnsi="Arial" w:cs="Arial"/>
          <w:b/>
          <w:color w:val="000000"/>
          <w:sz w:val="22"/>
        </w:rPr>
      </w:pPr>
    </w:p>
    <w:p w14:paraId="0F8C35B9" w14:textId="77777777" w:rsidR="00481619" w:rsidRPr="00481619" w:rsidRDefault="00481619" w:rsidP="00481619">
      <w:pPr>
        <w:widowControl w:val="0"/>
        <w:autoSpaceDE w:val="0"/>
        <w:autoSpaceDN w:val="0"/>
        <w:spacing w:after="120" w:line="240" w:lineRule="auto"/>
        <w:rPr>
          <w:rFonts w:ascii="Arial" w:eastAsia="Arial" w:hAnsi="Arial" w:cs="Arial"/>
          <w:sz w:val="20"/>
          <w:szCs w:val="20"/>
          <w:lang w:val="es-ES" w:eastAsia="es-ES" w:bidi="es-ES"/>
        </w:rPr>
      </w:pPr>
      <w:r w:rsidRPr="00481619">
        <w:rPr>
          <w:rFonts w:ascii="Arial" w:eastAsia="Arial" w:hAnsi="Arial" w:cs="Arial"/>
          <w:sz w:val="20"/>
          <w:szCs w:val="20"/>
          <w:lang w:val="es-ES" w:eastAsia="es-ES" w:bidi="es-ES"/>
        </w:rPr>
        <w:t xml:space="preserve">[…]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481619">
        <w:rPr>
          <w:rFonts w:ascii="Arial" w:eastAsia="Arial" w:hAnsi="Arial" w:cs="Arial"/>
          <w:sz w:val="20"/>
          <w:szCs w:val="20"/>
          <w:lang w:val="es-ES" w:eastAsia="es-ES" w:bidi="es-ES"/>
        </w:rPr>
        <w:t>ii</w:t>
      </w:r>
      <w:proofErr w:type="spellEnd"/>
      <w:r w:rsidRPr="00481619">
        <w:rPr>
          <w:rFonts w:ascii="Arial" w:eastAsia="Arial" w:hAnsi="Arial" w:cs="Arial"/>
          <w:sz w:val="20"/>
          <w:szCs w:val="20"/>
          <w:lang w:val="es-ES" w:eastAsia="es-ES" w:bidi="es-ES"/>
        </w:rPr>
        <w:t xml:space="preserve">) imprevistos y </w:t>
      </w:r>
      <w:proofErr w:type="spellStart"/>
      <w:r w:rsidRPr="00481619">
        <w:rPr>
          <w:rFonts w:ascii="Arial" w:eastAsia="Arial" w:hAnsi="Arial" w:cs="Arial"/>
          <w:sz w:val="20"/>
          <w:szCs w:val="20"/>
          <w:lang w:val="es-ES" w:eastAsia="es-ES" w:bidi="es-ES"/>
        </w:rPr>
        <w:t>iii</w:t>
      </w:r>
      <w:proofErr w:type="spellEnd"/>
      <w:r w:rsidRPr="00481619">
        <w:rPr>
          <w:rFonts w:ascii="Arial" w:eastAsia="Arial" w:hAnsi="Arial" w:cs="Arial"/>
          <w:sz w:val="20"/>
          <w:szCs w:val="20"/>
          <w:lang w:val="es-ES" w:eastAsia="es-ES" w:bidi="es-ES"/>
        </w:rPr>
        <w:t>) utilidad cuando el proceso de contratación sea por precios unitarios.</w:t>
      </w:r>
    </w:p>
    <w:p w14:paraId="10F5A764" w14:textId="77777777" w:rsidR="00481619" w:rsidRPr="00481619" w:rsidRDefault="00481619" w:rsidP="00481619">
      <w:pPr>
        <w:widowControl w:val="0"/>
        <w:autoSpaceDE w:val="0"/>
        <w:autoSpaceDN w:val="0"/>
        <w:spacing w:after="0" w:line="240" w:lineRule="auto"/>
        <w:rPr>
          <w:rFonts w:ascii="Arial" w:eastAsia="Arial" w:hAnsi="Arial" w:cs="Arial"/>
          <w:sz w:val="20"/>
          <w:szCs w:val="20"/>
          <w:lang w:val="es-ES" w:eastAsia="es-ES" w:bidi="es-ES"/>
        </w:rPr>
      </w:pPr>
      <w:r w:rsidRPr="00481619">
        <w:rPr>
          <w:rFonts w:ascii="Arial" w:eastAsia="Arial" w:hAnsi="Arial" w:cs="Arial"/>
          <w:sz w:val="20"/>
          <w:szCs w:val="20"/>
          <w:lang w:val="es-ES" w:eastAsia="es-ES" w:bidi="es-ES"/>
        </w:rPr>
        <w:t>En este sentido, reiterando el principio de inalterabilidad, las entidades solo modificarán aquello que el documento tipo permita; por tanto, debido a que el Formulario 1 – Formulario del Presupuesto Oficial no permite su modificación, no será posible omitir alguno de los componentes del A.I.U. Bajo ese entendido, las entidades no podrán eliminar la fila correspondiente al Imprevisto, ni eliminar a los imprevistos en la «Nota 1 y 3».</w:t>
      </w:r>
    </w:p>
    <w:p w14:paraId="0F787255" w14:textId="77777777" w:rsidR="00481619" w:rsidRPr="00501651" w:rsidRDefault="00481619" w:rsidP="00501651">
      <w:pPr>
        <w:spacing w:after="0" w:line="240" w:lineRule="auto"/>
        <w:rPr>
          <w:rFonts w:ascii="Arial" w:eastAsia="Calibri" w:hAnsi="Arial" w:cs="Arial"/>
          <w:sz w:val="22"/>
          <w:szCs w:val="20"/>
        </w:rPr>
      </w:pPr>
    </w:p>
    <w:p w14:paraId="789DA909" w14:textId="77777777" w:rsidR="002E7E35" w:rsidRPr="002E7E35" w:rsidRDefault="002E7E35" w:rsidP="002E7E35">
      <w:pPr>
        <w:spacing w:after="0" w:line="240" w:lineRule="auto"/>
        <w:rPr>
          <w:rFonts w:ascii="Arial" w:eastAsia="Calibri" w:hAnsi="Arial" w:cs="Arial"/>
          <w:sz w:val="20"/>
          <w:szCs w:val="20"/>
          <w:lang w:val="es-ES_tradnl" w:eastAsia="es-ES_tradnl"/>
        </w:rPr>
      </w:pPr>
    </w:p>
    <w:p w14:paraId="72738DD5" w14:textId="3C3B026B" w:rsidR="00501651" w:rsidRDefault="00501651" w:rsidP="00501651">
      <w:pPr>
        <w:spacing w:after="0" w:line="240" w:lineRule="auto"/>
        <w:jc w:val="left"/>
        <w:rPr>
          <w:rFonts w:ascii="Arial" w:eastAsia="Calibri" w:hAnsi="Arial" w:cs="Arial"/>
          <w:b/>
          <w:color w:val="000000" w:themeColor="text1"/>
          <w:sz w:val="22"/>
        </w:rPr>
      </w:pPr>
      <w:r w:rsidRPr="007E11A8">
        <w:rPr>
          <w:rFonts w:ascii="Arial" w:eastAsia="Calibri" w:hAnsi="Arial" w:cs="Arial"/>
          <w:b/>
          <w:bCs/>
          <w:sz w:val="22"/>
          <w:lang w:val="es-ES_tradnl"/>
        </w:rPr>
        <w:t xml:space="preserve">DOCUMENTOS TIPO </w:t>
      </w:r>
      <w:r w:rsidRPr="007E11A8">
        <w:rPr>
          <w:rFonts w:ascii="Arial" w:eastAsia="Calibri" w:hAnsi="Arial" w:cs="Arial"/>
          <w:b/>
          <w:color w:val="000000" w:themeColor="text1"/>
          <w:sz w:val="22"/>
        </w:rPr>
        <w:t>– Numeral 1.15 – Causal de rechazo – Literal Q</w:t>
      </w:r>
      <w:r w:rsidRPr="00501651">
        <w:rPr>
          <w:rFonts w:ascii="Arial" w:eastAsia="Calibri" w:hAnsi="Arial" w:cs="Arial"/>
          <w:b/>
          <w:color w:val="000000" w:themeColor="text1"/>
          <w:sz w:val="22"/>
        </w:rPr>
        <w:t xml:space="preserve"> </w:t>
      </w:r>
    </w:p>
    <w:p w14:paraId="3ED8A494" w14:textId="77777777" w:rsidR="00501651" w:rsidRPr="00501651" w:rsidRDefault="00501651" w:rsidP="00501651">
      <w:pPr>
        <w:spacing w:after="0" w:line="240" w:lineRule="auto"/>
        <w:jc w:val="left"/>
        <w:rPr>
          <w:rFonts w:ascii="Arial" w:eastAsia="Calibri" w:hAnsi="Arial" w:cs="Arial"/>
          <w:b/>
          <w:color w:val="000000" w:themeColor="text1"/>
          <w:sz w:val="22"/>
        </w:rPr>
      </w:pPr>
    </w:p>
    <w:p w14:paraId="5615275A" w14:textId="77777777" w:rsidR="00501651" w:rsidRPr="00501651" w:rsidRDefault="00501651" w:rsidP="00501651">
      <w:pPr>
        <w:widowControl w:val="0"/>
        <w:autoSpaceDE w:val="0"/>
        <w:autoSpaceDN w:val="0"/>
        <w:spacing w:after="0" w:line="240" w:lineRule="auto"/>
        <w:rPr>
          <w:rFonts w:ascii="Arial" w:eastAsia="Calibri" w:hAnsi="Arial" w:cs="Arial"/>
          <w:sz w:val="20"/>
          <w:szCs w:val="20"/>
          <w:lang w:val="es-ES_tradnl" w:eastAsia="es-ES_tradnl"/>
        </w:rPr>
      </w:pPr>
      <w:r w:rsidRPr="00501651">
        <w:rPr>
          <w:rFonts w:ascii="Arial" w:eastAsia="Calibri" w:hAnsi="Arial" w:cs="Arial"/>
          <w:sz w:val="20"/>
          <w:szCs w:val="20"/>
          <w:lang w:val="es-ES_tradnl" w:eastAsia="es-ES_tradnl"/>
        </w:rPr>
        <w:t>Pese a no poderse establecer valores inmodificables como escenario para el rechazo de una oferta, el documento base o pliego tipo para licitación de obra pública de infraestructura de transporte en su versión 3, sí contempla la posibilidad de establecer ítems del presupuesto oficial cuyo valor no pueda ser excedido por el proponente. Tal es el caso de la causal de rechazo “Q” del numeral 1.15 […]</w:t>
      </w:r>
    </w:p>
    <w:p w14:paraId="04939505" w14:textId="77777777" w:rsidR="00501651" w:rsidRPr="00501651" w:rsidRDefault="00501651" w:rsidP="00501651">
      <w:pPr>
        <w:widowControl w:val="0"/>
        <w:autoSpaceDE w:val="0"/>
        <w:autoSpaceDN w:val="0"/>
        <w:spacing w:after="0" w:line="240" w:lineRule="auto"/>
        <w:rPr>
          <w:rFonts w:ascii="Arial" w:eastAsia="Arial" w:hAnsi="Arial" w:cs="Arial"/>
          <w:b/>
          <w:bCs/>
          <w:sz w:val="22"/>
        </w:rPr>
      </w:pPr>
    </w:p>
    <w:p w14:paraId="2CC894D1" w14:textId="77777777" w:rsidR="00501651" w:rsidRPr="00501651" w:rsidRDefault="00501651" w:rsidP="00501651">
      <w:pPr>
        <w:widowControl w:val="0"/>
        <w:autoSpaceDE w:val="0"/>
        <w:autoSpaceDN w:val="0"/>
        <w:spacing w:after="0" w:line="240" w:lineRule="auto"/>
        <w:rPr>
          <w:rFonts w:ascii="Arial" w:eastAsia="Calibri" w:hAnsi="Arial" w:cs="Arial"/>
          <w:sz w:val="20"/>
          <w:szCs w:val="20"/>
          <w:lang w:val="es-ES_tradnl" w:eastAsia="es-ES_tradnl"/>
        </w:rPr>
      </w:pPr>
      <w:r w:rsidRPr="00501651">
        <w:rPr>
          <w:rFonts w:ascii="Arial" w:eastAsia="Calibri" w:hAnsi="Arial" w:cs="Arial"/>
          <w:sz w:val="20"/>
          <w:szCs w:val="20"/>
          <w:lang w:val="es-ES_tradnl" w:eastAsia="es-ES_tradnl"/>
        </w:rPr>
        <w:t>De otro lado, es importante dar claridad frente a la aplicación de la causal de rechazo “Q” del pliego tipo para licitación de obra pública de infraestructura de transporte, toda vez que esta causal sólo podrá operar para los casos en los cuales se contemple la metodología de precios de unitarios para determinar el presupuesto oficial y para establecer el precio total a ofertar, siendo necesario igualmente que se definan los ítems frente a los cuales aplicará la causal de rechazo.</w:t>
      </w:r>
    </w:p>
    <w:p w14:paraId="2601F204" w14:textId="77777777" w:rsidR="00501651" w:rsidRPr="00501651" w:rsidRDefault="00501651" w:rsidP="00501651">
      <w:pPr>
        <w:widowControl w:val="0"/>
        <w:autoSpaceDE w:val="0"/>
        <w:autoSpaceDN w:val="0"/>
        <w:spacing w:after="0" w:line="240" w:lineRule="auto"/>
        <w:rPr>
          <w:rFonts w:ascii="Arial" w:eastAsia="Arial" w:hAnsi="Arial" w:cs="Arial"/>
          <w:b/>
          <w:bCs/>
          <w:sz w:val="22"/>
          <w:lang w:val="es-ES_tradnl"/>
        </w:rPr>
      </w:pPr>
    </w:p>
    <w:p w14:paraId="5C57C696" w14:textId="0BBBE2AC" w:rsidR="006E74A5" w:rsidRDefault="001453EF" w:rsidP="007E11A8">
      <w:pPr>
        <w:rPr>
          <w:rFonts w:ascii="Arial" w:eastAsia="Calibri" w:hAnsi="Arial" w:cs="Arial"/>
          <w:sz w:val="22"/>
          <w:lang w:val="es-CO"/>
        </w:rPr>
      </w:pPr>
      <w:r>
        <w:rPr>
          <w:rFonts w:ascii="Arial" w:eastAsia="Calibri" w:hAnsi="Arial" w:cs="Arial"/>
          <w:noProof/>
          <w:sz w:val="20"/>
          <w:szCs w:val="20"/>
          <w:lang w:val="es-ES"/>
        </w:rPr>
        <w:br w:type="page"/>
      </w:r>
      <w:bookmarkEnd w:id="0"/>
      <w:bookmarkEnd w:id="1"/>
    </w:p>
    <w:p w14:paraId="6156B69A" w14:textId="5F97F4B2" w:rsidR="006E74A5" w:rsidRDefault="006E74A5" w:rsidP="00F176B9">
      <w:pPr>
        <w:spacing w:after="0" w:line="240" w:lineRule="auto"/>
        <w:rPr>
          <w:rFonts w:ascii="Arial" w:eastAsia="Calibri" w:hAnsi="Arial" w:cs="Arial"/>
          <w:sz w:val="22"/>
          <w:lang w:val="es-CO"/>
        </w:rPr>
      </w:pPr>
    </w:p>
    <w:p w14:paraId="63933AE9" w14:textId="77A0EAA7" w:rsidR="0046682E" w:rsidRDefault="0046682E" w:rsidP="00F176B9">
      <w:pPr>
        <w:spacing w:after="0" w:line="240" w:lineRule="auto"/>
        <w:rPr>
          <w:rFonts w:ascii="Arial" w:eastAsia="Calibri" w:hAnsi="Arial" w:cs="Arial"/>
          <w:sz w:val="22"/>
          <w:lang w:val="es-CO"/>
        </w:rPr>
      </w:pPr>
    </w:p>
    <w:p w14:paraId="7356EDBE" w14:textId="77777777" w:rsidR="0046682E" w:rsidRDefault="0046682E" w:rsidP="00F176B9">
      <w:pPr>
        <w:spacing w:after="0" w:line="240" w:lineRule="auto"/>
        <w:rPr>
          <w:rFonts w:ascii="Arial" w:eastAsia="Calibri" w:hAnsi="Arial" w:cs="Arial"/>
          <w:sz w:val="22"/>
          <w:lang w:val="es-CO"/>
        </w:rPr>
      </w:pPr>
    </w:p>
    <w:p w14:paraId="3DF7A118" w14:textId="09A63E95" w:rsidR="0046682E" w:rsidRDefault="00AF416F" w:rsidP="33DBE69E">
      <w:pPr>
        <w:spacing w:after="0" w:line="240" w:lineRule="auto"/>
        <w:jc w:val="right"/>
        <w:rPr>
          <w:rFonts w:ascii="Arial" w:eastAsia="Calibri" w:hAnsi="Arial" w:cs="Arial"/>
          <w:sz w:val="22"/>
          <w:lang w:val="es-CO"/>
        </w:rPr>
      </w:pPr>
      <w:r w:rsidRPr="00AF416F">
        <w:rPr>
          <w:rFonts w:ascii="Arial" w:eastAsia="Calibri" w:hAnsi="Arial" w:cs="Arial"/>
          <w:noProof/>
          <w:sz w:val="22"/>
          <w:lang w:val="es-CO"/>
        </w:rPr>
        <w:drawing>
          <wp:inline distT="0" distB="0" distL="0" distR="0" wp14:anchorId="1A320A91" wp14:editId="43845C9A">
            <wp:extent cx="3302717" cy="79184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02717" cy="791845"/>
                    </a:xfrm>
                    <a:prstGeom prst="rect">
                      <a:avLst/>
                    </a:prstGeom>
                    <a:noFill/>
                    <a:ln>
                      <a:noFill/>
                    </a:ln>
                  </pic:spPr>
                </pic:pic>
              </a:graphicData>
            </a:graphic>
          </wp:inline>
        </w:drawing>
      </w:r>
    </w:p>
    <w:p w14:paraId="38FC9810" w14:textId="716C6425" w:rsidR="00AD0985" w:rsidRDefault="00AD0985" w:rsidP="00F176B9">
      <w:pPr>
        <w:spacing w:after="0" w:line="240" w:lineRule="auto"/>
        <w:rPr>
          <w:rFonts w:ascii="Arial" w:eastAsia="Calibri" w:hAnsi="Arial" w:cs="Arial"/>
          <w:sz w:val="22"/>
          <w:lang w:val="es-CO"/>
        </w:rPr>
      </w:pPr>
    </w:p>
    <w:p w14:paraId="664ADC1F" w14:textId="77777777" w:rsidR="00AD0985" w:rsidRDefault="00AD0985" w:rsidP="00F176B9">
      <w:pPr>
        <w:spacing w:after="0" w:line="240" w:lineRule="auto"/>
        <w:rPr>
          <w:rFonts w:ascii="Arial" w:eastAsia="Calibri" w:hAnsi="Arial" w:cs="Arial"/>
          <w:sz w:val="22"/>
          <w:lang w:val="es-CO"/>
        </w:rPr>
      </w:pPr>
    </w:p>
    <w:p w14:paraId="6A81B1B9" w14:textId="4010D8B7" w:rsidR="00303D47" w:rsidRPr="00F176B9" w:rsidRDefault="004653E7" w:rsidP="00F176B9">
      <w:pPr>
        <w:spacing w:after="0" w:line="240" w:lineRule="auto"/>
        <w:rPr>
          <w:rFonts w:ascii="Arial" w:eastAsia="Calibri" w:hAnsi="Arial" w:cs="Arial"/>
          <w:sz w:val="22"/>
          <w:lang w:val="es-CO"/>
        </w:rPr>
      </w:pPr>
      <w:r w:rsidRPr="00F176B9">
        <w:rPr>
          <w:rFonts w:ascii="Arial" w:eastAsia="Calibri" w:hAnsi="Arial" w:cs="Arial"/>
          <w:sz w:val="22"/>
          <w:lang w:val="es-CO"/>
        </w:rPr>
        <w:t>Señor</w:t>
      </w:r>
    </w:p>
    <w:p w14:paraId="38F5C0DE" w14:textId="41F3A57E" w:rsidR="004653E7" w:rsidRPr="00F176B9" w:rsidRDefault="0041386A" w:rsidP="00F176B9">
      <w:pPr>
        <w:spacing w:after="0" w:line="240" w:lineRule="auto"/>
        <w:rPr>
          <w:rFonts w:ascii="Arial" w:eastAsia="Calibri" w:hAnsi="Arial" w:cs="Arial"/>
          <w:b/>
          <w:sz w:val="22"/>
          <w:lang w:val="es-CO"/>
        </w:rPr>
      </w:pPr>
      <w:r>
        <w:rPr>
          <w:rFonts w:ascii="Arial" w:eastAsia="Calibri" w:hAnsi="Arial" w:cs="Arial"/>
          <w:b/>
          <w:sz w:val="22"/>
          <w:lang w:val="es-CO"/>
        </w:rPr>
        <w:t xml:space="preserve">Santiago Andrés Sánchez Mantilla </w:t>
      </w:r>
    </w:p>
    <w:p w14:paraId="72352372" w14:textId="4B2E04CB" w:rsidR="00303D47" w:rsidRPr="00F176B9" w:rsidRDefault="00A972D0" w:rsidP="00F176B9">
      <w:pPr>
        <w:spacing w:after="0" w:line="240" w:lineRule="auto"/>
        <w:rPr>
          <w:rFonts w:ascii="Arial" w:eastAsia="Calibri" w:hAnsi="Arial" w:cs="Arial"/>
          <w:sz w:val="22"/>
          <w:lang w:val="es-CO"/>
        </w:rPr>
      </w:pPr>
      <w:r>
        <w:rPr>
          <w:rFonts w:ascii="Arial" w:eastAsia="Calibri" w:hAnsi="Arial" w:cs="Arial"/>
          <w:sz w:val="22"/>
          <w:lang w:val="es-CO"/>
        </w:rPr>
        <w:t xml:space="preserve">Bucaramanga, Santander </w:t>
      </w:r>
    </w:p>
    <w:p w14:paraId="20C73A65" w14:textId="77777777" w:rsidR="002B72C0" w:rsidRPr="00F176B9" w:rsidRDefault="002B72C0" w:rsidP="00F176B9">
      <w:pPr>
        <w:spacing w:after="0" w:line="240" w:lineRule="auto"/>
        <w:rPr>
          <w:rFonts w:ascii="Arial" w:eastAsia="Calibri" w:hAnsi="Arial" w:cs="Arial"/>
          <w:sz w:val="22"/>
          <w:lang w:val="es-CO"/>
        </w:rPr>
      </w:pPr>
    </w:p>
    <w:p w14:paraId="6316E3D6" w14:textId="3B20B7C7" w:rsidR="00FE0395" w:rsidRPr="00F176B9" w:rsidRDefault="00904CD9" w:rsidP="00F176B9">
      <w:pPr>
        <w:spacing w:after="0" w:line="240" w:lineRule="auto"/>
        <w:rPr>
          <w:rFonts w:ascii="Arial" w:hAnsi="Arial" w:cs="Arial"/>
          <w:sz w:val="22"/>
          <w:lang w:val="es-CO"/>
        </w:rPr>
      </w:pPr>
      <w:r w:rsidRPr="00F176B9">
        <w:rPr>
          <w:rFonts w:ascii="Arial" w:eastAsia="Calibri" w:hAnsi="Arial" w:cs="Arial"/>
          <w:sz w:val="22"/>
          <w:lang w:val="es-CO"/>
        </w:rPr>
        <w:t xml:space="preserve">                                            </w:t>
      </w:r>
      <w:r w:rsidRPr="00F176B9">
        <w:rPr>
          <w:rFonts w:ascii="Arial" w:eastAsia="Calibri" w:hAnsi="Arial" w:cs="Arial"/>
          <w:b/>
          <w:sz w:val="22"/>
          <w:lang w:val="es-CO"/>
        </w:rPr>
        <w:t>Concepto C –</w:t>
      </w:r>
      <w:r w:rsidR="000E190F" w:rsidRPr="00F176B9">
        <w:rPr>
          <w:rFonts w:ascii="Arial" w:eastAsia="Calibri" w:hAnsi="Arial" w:cs="Arial"/>
          <w:b/>
          <w:sz w:val="22"/>
          <w:lang w:val="es-CO"/>
        </w:rPr>
        <w:t xml:space="preserve"> </w:t>
      </w:r>
      <w:r w:rsidR="00C11C22">
        <w:rPr>
          <w:rFonts w:ascii="Arial" w:eastAsia="Calibri" w:hAnsi="Arial" w:cs="Arial"/>
          <w:b/>
          <w:sz w:val="22"/>
          <w:lang w:val="es-CO"/>
        </w:rPr>
        <w:t>3</w:t>
      </w:r>
      <w:r w:rsidR="0041386A">
        <w:rPr>
          <w:rFonts w:ascii="Arial" w:eastAsia="Calibri" w:hAnsi="Arial" w:cs="Arial"/>
          <w:b/>
          <w:sz w:val="22"/>
          <w:lang w:val="es-CO"/>
        </w:rPr>
        <w:t>42</w:t>
      </w:r>
      <w:r w:rsidR="00F63738">
        <w:rPr>
          <w:rFonts w:ascii="Arial" w:eastAsia="Calibri" w:hAnsi="Arial" w:cs="Arial"/>
          <w:b/>
          <w:sz w:val="22"/>
          <w:lang w:val="es-CO"/>
        </w:rPr>
        <w:t xml:space="preserve"> </w:t>
      </w:r>
      <w:r w:rsidR="00285D82" w:rsidRPr="00F176B9">
        <w:rPr>
          <w:rFonts w:ascii="Arial" w:eastAsia="Calibri" w:hAnsi="Arial" w:cs="Arial"/>
          <w:b/>
          <w:sz w:val="22"/>
          <w:lang w:val="es-CO"/>
        </w:rPr>
        <w:t>de 202</w:t>
      </w:r>
      <w:r w:rsidR="001640BC" w:rsidRPr="00F176B9">
        <w:rPr>
          <w:rFonts w:ascii="Arial" w:eastAsia="Calibri" w:hAnsi="Arial" w:cs="Arial"/>
          <w:b/>
          <w:sz w:val="22"/>
          <w:lang w:val="es-CO"/>
        </w:rPr>
        <w:t>2</w:t>
      </w:r>
      <w:r w:rsidR="00B346CC" w:rsidRPr="00F176B9">
        <w:rPr>
          <w:rFonts w:ascii="Arial" w:hAnsi="Arial" w:cs="Arial"/>
          <w:sz w:val="22"/>
          <w:lang w:val="es-CO"/>
        </w:rPr>
        <w:t xml:space="preserve"> </w:t>
      </w:r>
    </w:p>
    <w:p w14:paraId="4736A594" w14:textId="77777777" w:rsidR="00303D47" w:rsidRPr="00F176B9" w:rsidRDefault="00303D47" w:rsidP="00F176B9">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176B9" w:rsidRPr="00F176B9" w14:paraId="1701BC3D" w14:textId="77777777" w:rsidTr="000641BE">
        <w:trPr>
          <w:trHeight w:val="485"/>
        </w:trPr>
        <w:tc>
          <w:tcPr>
            <w:tcW w:w="2689" w:type="dxa"/>
            <w:hideMark/>
          </w:tcPr>
          <w:p w14:paraId="69F7D7B9" w14:textId="77777777" w:rsidR="00714833" w:rsidRPr="00F176B9" w:rsidRDefault="00714833" w:rsidP="00F176B9">
            <w:pPr>
              <w:contextualSpacing/>
              <w:rPr>
                <w:rFonts w:ascii="Arial" w:eastAsia="Calibri" w:hAnsi="Arial" w:cs="Arial"/>
                <w:noProof/>
                <w:sz w:val="22"/>
                <w:lang w:val="es-ES_tradnl"/>
              </w:rPr>
            </w:pPr>
            <w:r w:rsidRPr="00F176B9">
              <w:rPr>
                <w:rFonts w:ascii="Arial" w:eastAsia="Calibri" w:hAnsi="Arial" w:cs="Arial"/>
                <w:b/>
                <w:noProof/>
                <w:sz w:val="22"/>
                <w:lang w:val="es-ES_tradnl"/>
              </w:rPr>
              <w:t>Temas:</w:t>
            </w:r>
            <w:r w:rsidRPr="00F176B9">
              <w:rPr>
                <w:rFonts w:ascii="Arial" w:eastAsia="Calibri" w:hAnsi="Arial" w:cs="Arial"/>
                <w:noProof/>
                <w:sz w:val="22"/>
                <w:lang w:val="es-ES_tradnl"/>
              </w:rPr>
              <w:t xml:space="preserve">        </w:t>
            </w:r>
          </w:p>
        </w:tc>
        <w:tc>
          <w:tcPr>
            <w:tcW w:w="6237" w:type="dxa"/>
            <w:hideMark/>
          </w:tcPr>
          <w:p w14:paraId="6A77440D" w14:textId="35C3A063" w:rsidR="00AC1839" w:rsidRPr="00F176B9" w:rsidRDefault="00002DB1" w:rsidP="00F176B9">
            <w:pPr>
              <w:spacing w:after="120"/>
              <w:ind w:right="703"/>
              <w:jc w:val="both"/>
              <w:rPr>
                <w:rFonts w:ascii="Arial" w:eastAsia="Calibri" w:hAnsi="Arial" w:cs="Arial"/>
                <w:bCs/>
                <w:sz w:val="22"/>
              </w:rPr>
            </w:pPr>
            <w:r w:rsidRPr="00002DB1">
              <w:rPr>
                <w:rFonts w:ascii="Arial" w:eastAsia="Calibri" w:hAnsi="Arial" w:cs="Arial"/>
                <w:bCs/>
                <w:sz w:val="22"/>
                <w:lang w:val="es-ES_tradnl"/>
              </w:rPr>
              <w:t>FORMULARIO 1 – Formulario de presupuesto oficial</w:t>
            </w:r>
            <w:r>
              <w:rPr>
                <w:rFonts w:ascii="Arial" w:eastAsia="Calibri" w:hAnsi="Arial" w:cs="Arial"/>
                <w:bCs/>
                <w:sz w:val="22"/>
                <w:lang w:val="es-ES_tradnl"/>
              </w:rPr>
              <w:t xml:space="preserve"> / </w:t>
            </w:r>
            <w:r w:rsidRPr="00002DB1">
              <w:rPr>
                <w:rFonts w:ascii="Arial" w:eastAsia="Calibri" w:hAnsi="Arial" w:cs="Arial"/>
                <w:bCs/>
                <w:sz w:val="22"/>
                <w:lang w:val="es-ES_tradnl"/>
              </w:rPr>
              <w:t xml:space="preserve">DOCUMENTOS TIPO – Numeral 1.15 – Causal de rechazo – Literal Q </w:t>
            </w:r>
          </w:p>
          <w:p w14:paraId="641BBBD5" w14:textId="7C7AA2BA" w:rsidR="00714833" w:rsidRPr="00F176B9" w:rsidRDefault="00714833" w:rsidP="00F176B9">
            <w:pPr>
              <w:spacing w:after="120"/>
              <w:rPr>
                <w:rFonts w:ascii="Arial" w:eastAsia="Calibri" w:hAnsi="Arial" w:cs="Arial"/>
                <w:bCs/>
                <w:sz w:val="22"/>
              </w:rPr>
            </w:pPr>
          </w:p>
        </w:tc>
      </w:tr>
      <w:tr w:rsidR="00B66D78" w:rsidRPr="00F176B9" w14:paraId="4074FCE6" w14:textId="77777777" w:rsidTr="000641BE">
        <w:tc>
          <w:tcPr>
            <w:tcW w:w="2689" w:type="dxa"/>
          </w:tcPr>
          <w:p w14:paraId="389F2C2E" w14:textId="77777777" w:rsidR="00FE0395" w:rsidRPr="00F176B9" w:rsidRDefault="00FE0395" w:rsidP="00F176B9">
            <w:pPr>
              <w:contextualSpacing/>
              <w:rPr>
                <w:rFonts w:ascii="Arial" w:eastAsia="Calibri" w:hAnsi="Arial" w:cs="Arial"/>
                <w:b/>
                <w:noProof/>
                <w:sz w:val="22"/>
                <w:lang w:val="es-ES_tradnl"/>
              </w:rPr>
            </w:pPr>
            <w:r w:rsidRPr="00F176B9">
              <w:rPr>
                <w:rFonts w:ascii="Arial" w:eastAsia="Calibri" w:hAnsi="Arial" w:cs="Arial"/>
                <w:b/>
                <w:noProof/>
                <w:sz w:val="22"/>
                <w:lang w:val="es-ES_tradnl"/>
              </w:rPr>
              <w:t>Radicación:</w:t>
            </w:r>
            <w:r w:rsidRPr="00F176B9">
              <w:rPr>
                <w:rFonts w:ascii="Arial" w:eastAsia="Calibri" w:hAnsi="Arial" w:cs="Arial"/>
                <w:noProof/>
                <w:sz w:val="22"/>
                <w:lang w:val="es-ES_tradnl"/>
              </w:rPr>
              <w:t xml:space="preserve">                              </w:t>
            </w:r>
          </w:p>
        </w:tc>
        <w:tc>
          <w:tcPr>
            <w:tcW w:w="6237" w:type="dxa"/>
          </w:tcPr>
          <w:p w14:paraId="290F0664" w14:textId="4929B310" w:rsidR="00FE0395" w:rsidRPr="00F176B9" w:rsidRDefault="00FE0395" w:rsidP="00F176B9">
            <w:pPr>
              <w:contextualSpacing/>
              <w:jc w:val="both"/>
              <w:rPr>
                <w:rFonts w:ascii="Arial" w:eastAsia="Calibri" w:hAnsi="Arial" w:cs="Arial"/>
                <w:noProof/>
                <w:sz w:val="22"/>
                <w:lang w:val="es-ES_tradnl"/>
              </w:rPr>
            </w:pPr>
            <w:r w:rsidRPr="00F176B9">
              <w:rPr>
                <w:rFonts w:ascii="Arial" w:eastAsia="Calibri" w:hAnsi="Arial" w:cs="Arial"/>
                <w:noProof/>
                <w:sz w:val="22"/>
                <w:lang w:val="es-ES_tradnl"/>
              </w:rPr>
              <w:t xml:space="preserve">Respuesta a consulta </w:t>
            </w:r>
            <w:r w:rsidR="004653E7" w:rsidRPr="00F176B9">
              <w:rPr>
                <w:rFonts w:ascii="Arial" w:eastAsia="Calibri" w:hAnsi="Arial" w:cs="Arial"/>
                <w:noProof/>
                <w:sz w:val="22"/>
                <w:lang w:val="es-ES_tradnl"/>
              </w:rPr>
              <w:t>P2022</w:t>
            </w:r>
            <w:r w:rsidR="0041386A">
              <w:rPr>
                <w:rFonts w:ascii="Arial" w:eastAsia="Calibri" w:hAnsi="Arial" w:cs="Arial"/>
                <w:noProof/>
                <w:sz w:val="22"/>
                <w:lang w:val="es-ES_tradnl"/>
              </w:rPr>
              <w:t>0418003764</w:t>
            </w:r>
          </w:p>
        </w:tc>
      </w:tr>
    </w:tbl>
    <w:p w14:paraId="0CB3D4D0" w14:textId="77777777" w:rsidR="00FE0395" w:rsidRPr="00F176B9" w:rsidRDefault="00FE0395" w:rsidP="00F176B9">
      <w:pPr>
        <w:spacing w:after="0" w:line="240" w:lineRule="auto"/>
        <w:rPr>
          <w:rFonts w:ascii="Arial" w:eastAsia="Calibri" w:hAnsi="Arial" w:cs="Arial"/>
          <w:sz w:val="22"/>
          <w:lang w:val="es-CO"/>
        </w:rPr>
      </w:pPr>
    </w:p>
    <w:p w14:paraId="3C6248D2" w14:textId="77777777" w:rsidR="00F246FE" w:rsidRPr="00F176B9" w:rsidRDefault="00F246FE" w:rsidP="00F176B9">
      <w:pPr>
        <w:spacing w:after="0" w:line="240" w:lineRule="auto"/>
        <w:rPr>
          <w:rFonts w:ascii="Arial" w:eastAsia="Calibri" w:hAnsi="Arial" w:cs="Arial"/>
          <w:sz w:val="22"/>
          <w:lang w:val="es-CO"/>
        </w:rPr>
      </w:pPr>
    </w:p>
    <w:p w14:paraId="0ADE9D41" w14:textId="7D10793B" w:rsidR="00990612" w:rsidRPr="00F176B9" w:rsidRDefault="00990612" w:rsidP="00F176B9">
      <w:pPr>
        <w:spacing w:after="0"/>
        <w:rPr>
          <w:rFonts w:ascii="Arial" w:eastAsia="Calibri" w:hAnsi="Arial" w:cs="Arial"/>
          <w:sz w:val="22"/>
          <w:lang w:val="es-CO"/>
        </w:rPr>
      </w:pPr>
      <w:r w:rsidRPr="00F176B9">
        <w:rPr>
          <w:rFonts w:ascii="Arial" w:eastAsia="Calibri" w:hAnsi="Arial" w:cs="Arial"/>
          <w:sz w:val="22"/>
          <w:lang w:val="es-CO"/>
        </w:rPr>
        <w:t>Estimad</w:t>
      </w:r>
      <w:r w:rsidR="001260C4">
        <w:rPr>
          <w:rFonts w:ascii="Arial" w:eastAsia="Calibri" w:hAnsi="Arial" w:cs="Arial"/>
          <w:sz w:val="22"/>
          <w:lang w:val="es-CO"/>
        </w:rPr>
        <w:t>o</w:t>
      </w:r>
      <w:r w:rsidR="009D7290" w:rsidRPr="00F176B9">
        <w:rPr>
          <w:rFonts w:ascii="Arial" w:eastAsia="Calibri" w:hAnsi="Arial" w:cs="Arial"/>
          <w:sz w:val="22"/>
          <w:lang w:val="es-CO"/>
        </w:rPr>
        <w:t xml:space="preserve"> </w:t>
      </w:r>
      <w:r w:rsidR="004653E7" w:rsidRPr="00F176B9">
        <w:rPr>
          <w:rFonts w:ascii="Arial" w:eastAsia="Calibri" w:hAnsi="Arial" w:cs="Arial"/>
          <w:sz w:val="22"/>
          <w:lang w:val="es-CO"/>
        </w:rPr>
        <w:t>señor</w:t>
      </w:r>
      <w:r w:rsidR="001640BC" w:rsidRPr="00F176B9">
        <w:rPr>
          <w:rFonts w:ascii="Arial" w:eastAsia="Calibri" w:hAnsi="Arial" w:cs="Arial"/>
          <w:sz w:val="22"/>
          <w:lang w:val="es-CO"/>
        </w:rPr>
        <w:t xml:space="preserve"> </w:t>
      </w:r>
      <w:r w:rsidR="007E38F5">
        <w:rPr>
          <w:rFonts w:ascii="Arial" w:eastAsia="Calibri" w:hAnsi="Arial" w:cs="Arial"/>
          <w:sz w:val="22"/>
          <w:lang w:val="es-CO"/>
        </w:rPr>
        <w:t>Sánchez Mantilla</w:t>
      </w:r>
      <w:r w:rsidR="006D44E6">
        <w:rPr>
          <w:rFonts w:ascii="Arial" w:eastAsia="Calibri" w:hAnsi="Arial" w:cs="Arial"/>
          <w:sz w:val="22"/>
          <w:lang w:val="es-CO"/>
        </w:rPr>
        <w:t>:</w:t>
      </w:r>
    </w:p>
    <w:p w14:paraId="19436ABB" w14:textId="77777777" w:rsidR="00990612" w:rsidRPr="00F176B9" w:rsidRDefault="00990612" w:rsidP="00F176B9">
      <w:pPr>
        <w:spacing w:after="0"/>
        <w:ind w:firstLine="709"/>
        <w:rPr>
          <w:rFonts w:ascii="Arial" w:eastAsia="Calibri" w:hAnsi="Arial" w:cs="Arial"/>
          <w:sz w:val="22"/>
          <w:lang w:val="es-CO"/>
        </w:rPr>
      </w:pPr>
    </w:p>
    <w:p w14:paraId="4A62508A" w14:textId="7C07B46E" w:rsidR="00990612" w:rsidRPr="00F176B9" w:rsidRDefault="00990612" w:rsidP="00F176B9">
      <w:pPr>
        <w:spacing w:after="0"/>
        <w:ind w:right="51"/>
        <w:rPr>
          <w:rFonts w:ascii="Arial" w:eastAsia="Calibri" w:hAnsi="Arial" w:cs="Arial"/>
          <w:sz w:val="22"/>
          <w:lang w:val="es-CO"/>
        </w:rPr>
      </w:pPr>
      <w:r w:rsidRPr="00F176B9">
        <w:rPr>
          <w:rFonts w:ascii="Arial" w:eastAsia="Calibri" w:hAnsi="Arial" w:cs="Arial"/>
          <w:sz w:val="22"/>
          <w:lang w:val="es-CO"/>
        </w:rPr>
        <w:t>En ejercicio de la competencia otorgada por el numeral 8 del artículo 11 y el numeral 5 del artículo 3 del Decreto Ley 4170 de 2011, la Agencia Nacional de Contratación Pública – Colombia Compra Eficiente</w:t>
      </w:r>
      <w:r w:rsidR="00E7503A" w:rsidRPr="00F176B9">
        <w:rPr>
          <w:rFonts w:ascii="Arial" w:eastAsia="Calibri" w:hAnsi="Arial" w:cs="Arial"/>
          <w:sz w:val="22"/>
          <w:lang w:val="es-CO"/>
        </w:rPr>
        <w:t xml:space="preserve"> responde</w:t>
      </w:r>
      <w:r w:rsidRPr="00F176B9">
        <w:rPr>
          <w:rFonts w:ascii="Arial" w:eastAsia="Calibri" w:hAnsi="Arial" w:cs="Arial"/>
          <w:sz w:val="22"/>
          <w:lang w:val="es-CO"/>
        </w:rPr>
        <w:t xml:space="preserve"> la consulta </w:t>
      </w:r>
      <w:r w:rsidR="00FE65B4" w:rsidRPr="00F176B9">
        <w:rPr>
          <w:rFonts w:ascii="Arial" w:eastAsia="Calibri" w:hAnsi="Arial" w:cs="Arial"/>
          <w:sz w:val="22"/>
          <w:lang w:val="es-CO"/>
        </w:rPr>
        <w:t xml:space="preserve">radicada </w:t>
      </w:r>
      <w:r w:rsidRPr="00F176B9">
        <w:rPr>
          <w:rFonts w:ascii="Arial" w:eastAsia="Calibri" w:hAnsi="Arial" w:cs="Arial"/>
          <w:sz w:val="22"/>
          <w:lang w:val="es-CO"/>
        </w:rPr>
        <w:t xml:space="preserve">el </w:t>
      </w:r>
      <w:r w:rsidR="007E38F5">
        <w:rPr>
          <w:rFonts w:ascii="Arial" w:eastAsia="Calibri" w:hAnsi="Arial" w:cs="Arial"/>
          <w:sz w:val="22"/>
          <w:lang w:val="es-CO"/>
        </w:rPr>
        <w:t>18</w:t>
      </w:r>
      <w:r w:rsidR="006D44E6">
        <w:rPr>
          <w:rFonts w:ascii="Arial" w:eastAsia="Calibri" w:hAnsi="Arial" w:cs="Arial"/>
          <w:sz w:val="22"/>
          <w:lang w:val="es-CO"/>
        </w:rPr>
        <w:t xml:space="preserve"> </w:t>
      </w:r>
      <w:r w:rsidR="00975490" w:rsidRPr="00F176B9">
        <w:rPr>
          <w:rFonts w:ascii="Arial" w:eastAsia="Calibri" w:hAnsi="Arial" w:cs="Arial"/>
          <w:sz w:val="22"/>
          <w:lang w:val="es-CO"/>
        </w:rPr>
        <w:t>de</w:t>
      </w:r>
      <w:r w:rsidR="006D44E6">
        <w:rPr>
          <w:rFonts w:ascii="Arial" w:eastAsia="Calibri" w:hAnsi="Arial" w:cs="Arial"/>
          <w:sz w:val="22"/>
          <w:lang w:val="es-CO"/>
        </w:rPr>
        <w:t xml:space="preserve"> abril</w:t>
      </w:r>
      <w:r w:rsidR="00E3568A" w:rsidRPr="00F176B9">
        <w:rPr>
          <w:rFonts w:ascii="Arial" w:eastAsia="Calibri" w:hAnsi="Arial" w:cs="Arial"/>
          <w:sz w:val="22"/>
          <w:lang w:val="es-CO"/>
        </w:rPr>
        <w:t xml:space="preserve"> </w:t>
      </w:r>
      <w:r w:rsidRPr="00F176B9">
        <w:rPr>
          <w:rFonts w:ascii="Arial" w:eastAsia="Calibri" w:hAnsi="Arial" w:cs="Arial"/>
          <w:sz w:val="22"/>
          <w:lang w:val="es-CO"/>
        </w:rPr>
        <w:t>de 202</w:t>
      </w:r>
      <w:r w:rsidR="004653E7" w:rsidRPr="00F176B9">
        <w:rPr>
          <w:rFonts w:ascii="Arial" w:eastAsia="Calibri" w:hAnsi="Arial" w:cs="Arial"/>
          <w:sz w:val="22"/>
          <w:lang w:val="es-CO"/>
        </w:rPr>
        <w:t>2</w:t>
      </w:r>
      <w:r w:rsidRPr="00F176B9">
        <w:rPr>
          <w:rFonts w:ascii="Arial" w:eastAsia="Calibri" w:hAnsi="Arial" w:cs="Arial"/>
          <w:sz w:val="22"/>
          <w:lang w:val="es-CO"/>
        </w:rPr>
        <w:t xml:space="preserve">. </w:t>
      </w:r>
    </w:p>
    <w:p w14:paraId="6512D341" w14:textId="77777777" w:rsidR="00303D47" w:rsidRPr="00F176B9" w:rsidRDefault="00303D47" w:rsidP="00F176B9">
      <w:pPr>
        <w:spacing w:after="0"/>
        <w:rPr>
          <w:rFonts w:ascii="Arial" w:eastAsia="Calibri" w:hAnsi="Arial" w:cs="Arial"/>
          <w:sz w:val="22"/>
          <w:lang w:val="es-CO"/>
        </w:rPr>
      </w:pPr>
    </w:p>
    <w:p w14:paraId="3B0D1063" w14:textId="33CFB035" w:rsidR="005A114C" w:rsidRPr="00F176B9"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1. </w:t>
      </w:r>
      <w:r w:rsidR="00990612" w:rsidRPr="00F176B9">
        <w:rPr>
          <w:rFonts w:ascii="Arial" w:eastAsia="Calibri" w:hAnsi="Arial" w:cs="Arial"/>
          <w:b/>
          <w:sz w:val="22"/>
          <w:lang w:val="es-CO"/>
        </w:rPr>
        <w:t xml:space="preserve">Problema planteado </w:t>
      </w:r>
    </w:p>
    <w:p w14:paraId="2FBDB7F6" w14:textId="77777777" w:rsidR="005A114C" w:rsidRPr="00645C55" w:rsidRDefault="005A114C" w:rsidP="00B34D92">
      <w:pPr>
        <w:pStyle w:val="Prrafodelista"/>
        <w:tabs>
          <w:tab w:val="left" w:pos="284"/>
        </w:tabs>
        <w:spacing w:after="0"/>
        <w:ind w:left="0" w:firstLine="709"/>
        <w:rPr>
          <w:rFonts w:ascii="Arial" w:eastAsia="Calibri" w:hAnsi="Arial" w:cs="Arial"/>
          <w:b/>
          <w:sz w:val="22"/>
          <w:lang w:val="es-CO"/>
        </w:rPr>
      </w:pPr>
    </w:p>
    <w:p w14:paraId="6639328B" w14:textId="04150C43" w:rsidR="00714833" w:rsidRPr="00645C55" w:rsidRDefault="004653E7" w:rsidP="00645C55">
      <w:pPr>
        <w:autoSpaceDE w:val="0"/>
        <w:autoSpaceDN w:val="0"/>
        <w:adjustRightInd w:val="0"/>
        <w:spacing w:after="0"/>
        <w:rPr>
          <w:rFonts w:ascii="ArialMT" w:hAnsi="ArialMT" w:cs="ArialMT"/>
          <w:sz w:val="22"/>
          <w:lang w:val="es-CO"/>
        </w:rPr>
      </w:pPr>
      <w:bookmarkStart w:id="2" w:name="_Hlk58917991"/>
      <w:bookmarkStart w:id="3" w:name="_Hlk56103000"/>
      <w:r w:rsidRPr="00B34D92">
        <w:rPr>
          <w:rFonts w:ascii="Arial" w:hAnsi="Arial" w:cs="Arial"/>
          <w:sz w:val="22"/>
        </w:rPr>
        <w:t xml:space="preserve">Usted realiza </w:t>
      </w:r>
      <w:r w:rsidR="00C67716" w:rsidRPr="00B34D92">
        <w:rPr>
          <w:rFonts w:ascii="Arial" w:hAnsi="Arial" w:cs="Arial"/>
          <w:sz w:val="22"/>
        </w:rPr>
        <w:t xml:space="preserve">la siguiente </w:t>
      </w:r>
      <w:r w:rsidRPr="00B34D92">
        <w:rPr>
          <w:rFonts w:ascii="Arial" w:hAnsi="Arial" w:cs="Arial"/>
          <w:sz w:val="22"/>
        </w:rPr>
        <w:t>consulta</w:t>
      </w:r>
      <w:r w:rsidR="0056204C" w:rsidRPr="00B34D92">
        <w:rPr>
          <w:rFonts w:ascii="Arial" w:hAnsi="Arial" w:cs="Arial"/>
          <w:sz w:val="22"/>
        </w:rPr>
        <w:t>, en rel</w:t>
      </w:r>
      <w:r w:rsidR="00A27D41" w:rsidRPr="00B34D92">
        <w:rPr>
          <w:rFonts w:ascii="Arial" w:hAnsi="Arial" w:cs="Arial"/>
          <w:sz w:val="22"/>
        </w:rPr>
        <w:t>a</w:t>
      </w:r>
      <w:r w:rsidR="0056204C" w:rsidRPr="00B34D92">
        <w:rPr>
          <w:rFonts w:ascii="Arial" w:hAnsi="Arial" w:cs="Arial"/>
          <w:sz w:val="22"/>
        </w:rPr>
        <w:t>ción con la c</w:t>
      </w:r>
      <w:r w:rsidR="00A27D41" w:rsidRPr="00B34D92">
        <w:rPr>
          <w:rFonts w:ascii="Arial" w:hAnsi="Arial" w:cs="Arial"/>
          <w:sz w:val="22"/>
        </w:rPr>
        <w:t xml:space="preserve">ausal de rechazo Q prevista en el numeral 1.15. </w:t>
      </w:r>
      <w:r w:rsidR="00BE0B45" w:rsidRPr="00B34D92">
        <w:rPr>
          <w:rFonts w:ascii="Arial" w:hAnsi="Arial" w:cs="Arial"/>
          <w:sz w:val="22"/>
        </w:rPr>
        <w:t>del documento base de licitación de obra pública de infraestructura de transporte – Versión 3</w:t>
      </w:r>
      <w:r w:rsidR="008C710C" w:rsidRPr="00B34D92">
        <w:rPr>
          <w:rFonts w:ascii="Arial" w:hAnsi="Arial" w:cs="Arial"/>
          <w:sz w:val="22"/>
          <w:shd w:val="clear" w:color="auto" w:fill="FFFFFF"/>
        </w:rPr>
        <w:t xml:space="preserve">: </w:t>
      </w:r>
      <w:r w:rsidR="008C710C" w:rsidRPr="00645C55">
        <w:rPr>
          <w:rFonts w:ascii="Arial" w:hAnsi="Arial" w:cs="Arial"/>
          <w:sz w:val="22"/>
          <w:shd w:val="clear" w:color="auto" w:fill="FFFFFF"/>
        </w:rPr>
        <w:t>«</w:t>
      </w:r>
      <w:bookmarkStart w:id="4" w:name="_Hlk101815807"/>
      <w:r w:rsidR="00934CB4" w:rsidRPr="00645C55">
        <w:rPr>
          <w:rFonts w:ascii="Arial" w:hAnsi="Arial" w:cs="Arial"/>
          <w:sz w:val="22"/>
          <w:shd w:val="clear" w:color="auto" w:fill="FFFFFF"/>
        </w:rPr>
        <w:t>Si la entidad incluye esta causal de rechazo, pero no fija o establece ningún ítem (sic) que interpretación se le debe dar: No se puede superar el valor de ninguno de los ítems del presupuesto oficial. Se pueden superar todos los valores de todos los ítems del presupuesto oficial</w:t>
      </w:r>
      <w:bookmarkEnd w:id="4"/>
      <w:r w:rsidRPr="00645C55">
        <w:rPr>
          <w:rFonts w:ascii="Arial" w:hAnsi="Arial" w:cs="Arial"/>
          <w:sz w:val="22"/>
        </w:rPr>
        <w:t>»</w:t>
      </w:r>
      <w:r w:rsidR="0067388D" w:rsidRPr="00645C55">
        <w:rPr>
          <w:rFonts w:ascii="Arial" w:hAnsi="Arial" w:cs="Arial"/>
          <w:sz w:val="22"/>
        </w:rPr>
        <w:t>.</w:t>
      </w:r>
      <w:r w:rsidR="00AE0CBF" w:rsidRPr="00645C55">
        <w:rPr>
          <w:rFonts w:ascii="Arial" w:hAnsi="Arial" w:cs="Arial"/>
          <w:sz w:val="22"/>
        </w:rPr>
        <w:t xml:space="preserve"> </w:t>
      </w:r>
    </w:p>
    <w:p w14:paraId="0340A3A7" w14:textId="77777777" w:rsidR="009F3C99" w:rsidRPr="00F176B9" w:rsidRDefault="009F3C99" w:rsidP="00F176B9">
      <w:pPr>
        <w:tabs>
          <w:tab w:val="left" w:pos="426"/>
        </w:tabs>
        <w:spacing w:after="0"/>
        <w:rPr>
          <w:rFonts w:ascii="Arial" w:eastAsia="Calibri" w:hAnsi="Arial" w:cs="Arial"/>
          <w:sz w:val="22"/>
          <w:lang w:val="es-CO"/>
        </w:rPr>
      </w:pPr>
    </w:p>
    <w:bookmarkEnd w:id="2"/>
    <w:bookmarkEnd w:id="3"/>
    <w:p w14:paraId="509ED1DE" w14:textId="63729AFF" w:rsidR="005027F0"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2. </w:t>
      </w:r>
      <w:r w:rsidR="00990612" w:rsidRPr="00F176B9">
        <w:rPr>
          <w:rFonts w:ascii="Arial" w:eastAsia="Calibri" w:hAnsi="Arial" w:cs="Arial"/>
          <w:b/>
          <w:sz w:val="22"/>
          <w:lang w:val="es-CO"/>
        </w:rPr>
        <w:t>Consideraciones</w:t>
      </w:r>
    </w:p>
    <w:p w14:paraId="3EB11908" w14:textId="332E79FC" w:rsidR="003A4C65" w:rsidRDefault="003A4C65" w:rsidP="00F176B9">
      <w:pPr>
        <w:tabs>
          <w:tab w:val="left" w:pos="284"/>
        </w:tabs>
        <w:spacing w:after="0"/>
        <w:rPr>
          <w:rFonts w:ascii="Arial" w:eastAsia="Calibri" w:hAnsi="Arial" w:cs="Arial"/>
          <w:b/>
          <w:sz w:val="22"/>
          <w:lang w:val="es-CO"/>
        </w:rPr>
      </w:pPr>
    </w:p>
    <w:p w14:paraId="45A970CB" w14:textId="0389DE62" w:rsidR="007539E1" w:rsidRDefault="003A4C65" w:rsidP="00B162E3">
      <w:pPr>
        <w:spacing w:after="0"/>
        <w:rPr>
          <w:rFonts w:ascii="Arial" w:hAnsi="Arial" w:cs="Arial"/>
          <w:color w:val="000000" w:themeColor="text1"/>
          <w:sz w:val="22"/>
          <w:lang w:val="es-ES"/>
        </w:rPr>
      </w:pPr>
      <w:r w:rsidRPr="00504597">
        <w:rPr>
          <w:rFonts w:ascii="Arial" w:eastAsia="Calibri" w:hAnsi="Arial" w:cs="Arial"/>
          <w:color w:val="000000" w:themeColor="text1"/>
          <w:sz w:val="22"/>
        </w:rPr>
        <w:lastRenderedPageBreak/>
        <w:t xml:space="preserve">Para responder su interrogante, </w:t>
      </w:r>
      <w:r w:rsidRPr="00504597">
        <w:rPr>
          <w:rFonts w:ascii="Arial" w:eastAsia="Calibri" w:hAnsi="Arial" w:cs="Arial"/>
          <w:color w:val="000000" w:themeColor="text1"/>
          <w:sz w:val="22"/>
          <w:lang w:val="es-ES"/>
        </w:rPr>
        <w:t>se analizarán los siguientes temas</w:t>
      </w:r>
      <w:r w:rsidRPr="00504597">
        <w:rPr>
          <w:rFonts w:ascii="Arial" w:hAnsi="Arial" w:cs="Arial"/>
          <w:color w:val="000000" w:themeColor="text1"/>
          <w:sz w:val="22"/>
          <w:lang w:val="es-ES"/>
        </w:rPr>
        <w:t>:</w:t>
      </w:r>
      <w:r>
        <w:rPr>
          <w:rFonts w:ascii="Arial" w:hAnsi="Arial" w:cs="Arial"/>
          <w:color w:val="000000" w:themeColor="text1"/>
          <w:sz w:val="22"/>
          <w:lang w:val="es-ES"/>
        </w:rPr>
        <w:t xml:space="preserve"> </w:t>
      </w:r>
      <w:r w:rsidR="007539E1" w:rsidRPr="00B9642A">
        <w:rPr>
          <w:rFonts w:ascii="Arial" w:eastAsia="Calibri" w:hAnsi="Arial" w:cs="Arial"/>
          <w:sz w:val="22"/>
          <w:lang w:val="es-ES_tradnl"/>
        </w:rPr>
        <w:t xml:space="preserve">i) </w:t>
      </w:r>
      <w:r w:rsidR="00E327A8" w:rsidRPr="00E327A8">
        <w:rPr>
          <w:rFonts w:ascii="Arial" w:eastAsia="Calibri" w:hAnsi="Arial" w:cs="Arial"/>
          <w:sz w:val="22"/>
          <w:lang w:val="es-ES_tradnl"/>
        </w:rPr>
        <w:t>concepto del A.I.U</w:t>
      </w:r>
      <w:r w:rsidR="00CC1DFC">
        <w:rPr>
          <w:rFonts w:ascii="Arial" w:eastAsia="Calibri" w:hAnsi="Arial" w:cs="Arial"/>
          <w:sz w:val="22"/>
          <w:lang w:val="es-ES_tradnl"/>
        </w:rPr>
        <w:t xml:space="preserve"> </w:t>
      </w:r>
      <w:r w:rsidR="00CC1DFC" w:rsidRPr="00CC1DFC">
        <w:rPr>
          <w:rFonts w:ascii="Arial" w:eastAsia="Calibri" w:hAnsi="Arial" w:cs="Arial"/>
          <w:sz w:val="22"/>
          <w:lang w:val="es-ES_tradnl"/>
        </w:rPr>
        <w:t>–Administración, Imprevistos y Utilidad–</w:t>
      </w:r>
      <w:r w:rsidR="00E00110" w:rsidRPr="00CC1DFC">
        <w:rPr>
          <w:rFonts w:ascii="Arial" w:eastAsia="Calibri" w:hAnsi="Arial" w:cs="Arial"/>
          <w:sz w:val="22"/>
          <w:lang w:val="es-ES_tradnl"/>
        </w:rPr>
        <w:t xml:space="preserve">, </w:t>
      </w:r>
      <w:r w:rsidR="00E00110">
        <w:rPr>
          <w:rFonts w:ascii="Arial" w:eastAsia="Calibri" w:hAnsi="Arial" w:cs="Arial"/>
          <w:sz w:val="22"/>
          <w:lang w:val="es-ES_tradnl"/>
        </w:rPr>
        <w:t>y</w:t>
      </w:r>
      <w:r w:rsidR="00E327A8" w:rsidRPr="00E327A8">
        <w:rPr>
          <w:rFonts w:ascii="Arial" w:eastAsia="Calibri" w:hAnsi="Arial" w:cs="Arial"/>
          <w:sz w:val="22"/>
          <w:lang w:val="es-ES_tradnl"/>
        </w:rPr>
        <w:t xml:space="preserve"> la forma en cómo se determina en los documentos tipo</w:t>
      </w:r>
      <w:r w:rsidR="00CC1DFC">
        <w:rPr>
          <w:rFonts w:ascii="Arial" w:eastAsia="Calibri" w:hAnsi="Arial" w:cs="Arial"/>
          <w:sz w:val="22"/>
          <w:lang w:val="es-ES_tradnl"/>
        </w:rPr>
        <w:t xml:space="preserve">, </w:t>
      </w:r>
      <w:proofErr w:type="spellStart"/>
      <w:r w:rsidR="00234500" w:rsidRPr="00B9642A">
        <w:rPr>
          <w:rFonts w:ascii="Arial" w:eastAsia="Calibri" w:hAnsi="Arial" w:cs="Arial"/>
          <w:sz w:val="22"/>
          <w:lang w:val="es-ES_tradnl"/>
        </w:rPr>
        <w:t>ii</w:t>
      </w:r>
      <w:proofErr w:type="spellEnd"/>
      <w:r w:rsidR="007539E1" w:rsidRPr="00B9642A">
        <w:rPr>
          <w:rFonts w:ascii="Arial" w:eastAsia="Calibri" w:hAnsi="Arial" w:cs="Arial"/>
          <w:sz w:val="22"/>
          <w:lang w:val="es-ES_tradnl"/>
        </w:rPr>
        <w:t>)</w:t>
      </w:r>
      <w:r w:rsidR="00CC1DFC">
        <w:rPr>
          <w:rFonts w:ascii="Arial" w:eastAsia="Calibri" w:hAnsi="Arial" w:cs="Arial"/>
          <w:sz w:val="22"/>
          <w:lang w:val="es-ES_tradnl"/>
        </w:rPr>
        <w:t xml:space="preserve"> </w:t>
      </w:r>
      <w:r w:rsidR="00CC1DFC" w:rsidRPr="00CC1DFC">
        <w:rPr>
          <w:rFonts w:ascii="Arial" w:eastAsia="Calibri" w:hAnsi="Arial" w:cs="Arial"/>
          <w:sz w:val="22"/>
          <w:lang w:val="es-ES_tradnl"/>
        </w:rPr>
        <w:t>Formulario 1 – Formulario de presupuesto oficial</w:t>
      </w:r>
      <w:r w:rsidR="00CC1DFC">
        <w:rPr>
          <w:rFonts w:ascii="Arial" w:eastAsia="Calibri" w:hAnsi="Arial" w:cs="Arial"/>
          <w:sz w:val="22"/>
          <w:lang w:val="es-ES_tradnl"/>
        </w:rPr>
        <w:t xml:space="preserve"> y </w:t>
      </w:r>
      <w:r w:rsidR="00B57A53">
        <w:rPr>
          <w:rFonts w:ascii="Arial" w:eastAsia="Calibri" w:hAnsi="Arial" w:cs="Arial"/>
          <w:sz w:val="22"/>
          <w:lang w:val="es-ES_tradnl"/>
        </w:rPr>
        <w:t>su relación con las causales de rechazo, causal de rechazo Q</w:t>
      </w:r>
      <w:r w:rsidR="007539E1" w:rsidRPr="00B96944">
        <w:rPr>
          <w:rFonts w:ascii="Arial" w:eastAsia="Calibri" w:hAnsi="Arial" w:cs="Arial"/>
          <w:sz w:val="22"/>
          <w:lang w:val="es-ES_tradnl"/>
        </w:rPr>
        <w:t>.</w:t>
      </w:r>
    </w:p>
    <w:p w14:paraId="6B56ED14" w14:textId="77777777" w:rsidR="007539E1" w:rsidRDefault="007539E1" w:rsidP="00B162E3">
      <w:pPr>
        <w:spacing w:after="0"/>
        <w:rPr>
          <w:rFonts w:ascii="Arial" w:hAnsi="Arial" w:cs="Arial"/>
          <w:color w:val="000000" w:themeColor="text1"/>
          <w:sz w:val="22"/>
          <w:lang w:val="es-ES"/>
        </w:rPr>
      </w:pPr>
    </w:p>
    <w:p w14:paraId="444D7609" w14:textId="16668AB3" w:rsidR="00234500" w:rsidRDefault="00234500" w:rsidP="00234500">
      <w:pPr>
        <w:spacing w:after="0"/>
        <w:rPr>
          <w:rFonts w:ascii="Arial" w:eastAsia="Calibri" w:hAnsi="Arial" w:cs="Arial"/>
          <w:sz w:val="22"/>
          <w:lang w:val="es-ES_tradnl"/>
        </w:rPr>
      </w:pPr>
      <w:r w:rsidRPr="00234500">
        <w:rPr>
          <w:rFonts w:ascii="Arial" w:eastAsia="Calibri" w:hAnsi="Arial" w:cs="Arial"/>
          <w:sz w:val="22"/>
          <w:lang w:val="es-ES_tradnl"/>
        </w:rPr>
        <w:t>La Agencia Nacional de Contratación Pública – Colombia Compra Eficiente</w:t>
      </w:r>
      <w:r w:rsidR="002F0C8F">
        <w:rPr>
          <w:rFonts w:ascii="Arial" w:eastAsia="Calibri" w:hAnsi="Arial" w:cs="Arial"/>
          <w:sz w:val="22"/>
          <w:lang w:val="es-ES_tradnl"/>
        </w:rPr>
        <w:t xml:space="preserve"> </w:t>
      </w:r>
      <w:r w:rsidR="002F0C8F" w:rsidRPr="002F0C8F">
        <w:rPr>
          <w:rFonts w:ascii="Arial" w:eastAsia="Calibri" w:hAnsi="Arial" w:cs="Arial"/>
          <w:sz w:val="22"/>
          <w:lang w:val="es-ES_tradnl"/>
        </w:rPr>
        <w:t>en los conceptos C-037 del 28 de enero de 2020, C-038 del 28 de enero de 2020, C-093 del 28 de febrero de 2020, C-133 del 30 de marzo de 2020, C-153 del 1 de abril de 2020, C-184 del 2 de abril de 2020, C-603 del 22 de septiembre de 2020</w:t>
      </w:r>
      <w:r w:rsidR="002F0C8F">
        <w:rPr>
          <w:rFonts w:ascii="Arial" w:eastAsia="Calibri" w:hAnsi="Arial" w:cs="Arial"/>
          <w:sz w:val="22"/>
          <w:lang w:val="es-ES_tradnl"/>
        </w:rPr>
        <w:t xml:space="preserve">, </w:t>
      </w:r>
      <w:r w:rsidR="002F0C8F" w:rsidRPr="002F0C8F">
        <w:rPr>
          <w:rFonts w:ascii="Arial" w:eastAsia="Calibri" w:hAnsi="Arial" w:cs="Arial"/>
          <w:sz w:val="22"/>
          <w:lang w:val="es-ES_tradnl"/>
        </w:rPr>
        <w:t>C-704 del 11 de diciembre de 2020</w:t>
      </w:r>
      <w:r w:rsidR="00583558">
        <w:rPr>
          <w:rFonts w:ascii="Arial" w:eastAsia="Calibri" w:hAnsi="Arial" w:cs="Arial"/>
          <w:sz w:val="22"/>
          <w:lang w:val="es-ES_tradnl"/>
        </w:rPr>
        <w:t xml:space="preserve">, </w:t>
      </w:r>
      <w:r w:rsidR="002F0C8F">
        <w:rPr>
          <w:rFonts w:ascii="Arial" w:eastAsia="Calibri" w:hAnsi="Arial" w:cs="Arial"/>
          <w:sz w:val="22"/>
          <w:lang w:val="es-ES_tradnl"/>
        </w:rPr>
        <w:t>C-030 del 26 de febrero de 2021</w:t>
      </w:r>
      <w:r w:rsidR="00583558">
        <w:rPr>
          <w:rFonts w:ascii="Arial" w:eastAsia="Calibri" w:hAnsi="Arial" w:cs="Arial"/>
          <w:sz w:val="22"/>
          <w:lang w:val="es-ES_tradnl"/>
        </w:rPr>
        <w:t xml:space="preserve"> y C-204 del 6 de mayo de 2021</w:t>
      </w:r>
      <w:r w:rsidR="002F0C8F" w:rsidRPr="002F0C8F">
        <w:rPr>
          <w:rFonts w:ascii="Arial" w:eastAsia="Calibri" w:hAnsi="Arial" w:cs="Arial"/>
          <w:sz w:val="22"/>
          <w:lang w:val="es-ES_tradnl"/>
        </w:rPr>
        <w:t>, estudió diferentes cuestiones relacionadas con la presentación de ofertas</w:t>
      </w:r>
      <w:r w:rsidR="00583558">
        <w:rPr>
          <w:rFonts w:ascii="Arial" w:eastAsia="Calibri" w:hAnsi="Arial" w:cs="Arial"/>
          <w:sz w:val="22"/>
          <w:lang w:val="es-ES_tradnl"/>
        </w:rPr>
        <w:t>, causales de rechazo</w:t>
      </w:r>
      <w:r w:rsidR="002F0C8F" w:rsidRPr="002F0C8F">
        <w:rPr>
          <w:rFonts w:ascii="Arial" w:eastAsia="Calibri" w:hAnsi="Arial" w:cs="Arial"/>
          <w:sz w:val="22"/>
          <w:lang w:val="es-ES_tradnl"/>
        </w:rPr>
        <w:t xml:space="preserve"> y uso del «Formulario 1 - Formulario de Presupuesto Oficial» en procesos licitación de obra pública de infraestructura de transporte adelantados con Documentos Tipo</w:t>
      </w:r>
      <w:r w:rsidRPr="00234500">
        <w:rPr>
          <w:rFonts w:ascii="Arial" w:eastAsia="Calibri" w:hAnsi="Arial" w:cs="Arial"/>
          <w:sz w:val="22"/>
          <w:lang w:val="es-ES_tradnl"/>
        </w:rPr>
        <w:t>.</w:t>
      </w:r>
      <w:r w:rsidR="00020B00">
        <w:rPr>
          <w:rFonts w:ascii="Arial" w:eastAsia="Calibri" w:hAnsi="Arial" w:cs="Arial"/>
          <w:sz w:val="22"/>
          <w:lang w:val="es-ES_tradnl"/>
        </w:rPr>
        <w:t xml:space="preserve"> Por otro lado, esta Agencia </w:t>
      </w:r>
      <w:r w:rsidR="00020B00" w:rsidRPr="00020B00">
        <w:rPr>
          <w:rFonts w:ascii="Arial" w:eastAsia="Calibri" w:hAnsi="Arial" w:cs="Arial"/>
          <w:sz w:val="22"/>
          <w:lang w:val="es-ES_tradnl"/>
        </w:rPr>
        <w:t>se ha pronunciado en varias ocasiones sobre el AIU en los contratos estatales. Entre ellas, en respuesta a las consultas con radicado No.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w:t>
      </w:r>
      <w:r w:rsidR="00020B00">
        <w:rPr>
          <w:rFonts w:ascii="Arial" w:eastAsia="Calibri" w:hAnsi="Arial" w:cs="Arial"/>
          <w:sz w:val="22"/>
          <w:lang w:val="es-ES_tradnl"/>
        </w:rPr>
        <w:t>,</w:t>
      </w:r>
      <w:r w:rsidR="00020B00" w:rsidRPr="00020B00">
        <w:rPr>
          <w:rFonts w:ascii="Arial" w:eastAsia="Calibri" w:hAnsi="Arial" w:cs="Arial"/>
          <w:sz w:val="22"/>
          <w:lang w:val="es-ES_tradnl"/>
        </w:rPr>
        <w:t xml:space="preserve"> C-714 del 09 de diciembre de 2020</w:t>
      </w:r>
      <w:r w:rsidR="00020B00">
        <w:rPr>
          <w:rFonts w:ascii="Arial" w:eastAsia="Calibri" w:hAnsi="Arial" w:cs="Arial"/>
          <w:sz w:val="22"/>
          <w:lang w:val="es-ES_tradnl"/>
        </w:rPr>
        <w:t xml:space="preserve"> y C-030 del 26 de febrero de 2021 </w:t>
      </w:r>
      <w:r w:rsidR="00020B00" w:rsidRPr="00020B00">
        <w:rPr>
          <w:rFonts w:ascii="Arial" w:eastAsia="Calibri" w:hAnsi="Arial" w:cs="Arial"/>
          <w:sz w:val="22"/>
          <w:lang w:val="es-ES_tradnl"/>
        </w:rPr>
        <w:t xml:space="preserve">. En estos conceptos la Agencia ha precisado que el AIU –Administración, Imprevistos y Utilidad– no está definido normativamente, sino que es una figura empleada en la práctica de los negocios. </w:t>
      </w:r>
      <w:r w:rsidRPr="00234500">
        <w:rPr>
          <w:rFonts w:ascii="Arial" w:eastAsia="Calibri" w:hAnsi="Arial" w:cs="Arial"/>
          <w:sz w:val="22"/>
          <w:lang w:val="es-ES_tradnl"/>
        </w:rPr>
        <w:t>Las consideraciones de estos conceptos se reiteran a continuación y se complementan en lo pertinente:</w:t>
      </w:r>
    </w:p>
    <w:p w14:paraId="76F44215" w14:textId="23CAA4B2" w:rsidR="00E7556E" w:rsidRDefault="00E7556E" w:rsidP="00234500">
      <w:pPr>
        <w:spacing w:after="0"/>
        <w:rPr>
          <w:rFonts w:ascii="Arial" w:eastAsia="Calibri" w:hAnsi="Arial" w:cs="Arial"/>
          <w:sz w:val="22"/>
          <w:lang w:val="es-ES_tradnl"/>
        </w:rPr>
      </w:pPr>
    </w:p>
    <w:p w14:paraId="697A67DB" w14:textId="093A0770" w:rsidR="00E70C56" w:rsidRPr="00F14E00" w:rsidRDefault="00E70C56" w:rsidP="00E70C56">
      <w:pPr>
        <w:pStyle w:val="Normal11pt"/>
        <w:spacing w:line="276" w:lineRule="auto"/>
        <w:ind w:left="0"/>
        <w:rPr>
          <w:b/>
          <w:bCs/>
          <w:lang w:eastAsia="es-CO"/>
        </w:rPr>
      </w:pPr>
      <w:r>
        <w:rPr>
          <w:b/>
          <w:bCs/>
          <w:color w:val="auto"/>
          <w:bdr w:val="none" w:sz="0" w:space="0" w:color="auto" w:frame="1"/>
          <w:lang w:eastAsia="es-CO"/>
        </w:rPr>
        <w:t>2.1.</w:t>
      </w:r>
      <w:r w:rsidRPr="00F14E00">
        <w:rPr>
          <w:b/>
          <w:bCs/>
          <w:lang w:eastAsia="es-CO"/>
        </w:rPr>
        <w:t xml:space="preserve"> Alcance de la regla de inalterabilidad de los documentos tipo y sus excepciones </w:t>
      </w:r>
    </w:p>
    <w:p w14:paraId="17EF18CC" w14:textId="77777777" w:rsidR="00E70C56" w:rsidRDefault="00E70C56" w:rsidP="00645C55">
      <w:pPr>
        <w:spacing w:after="0"/>
        <w:rPr>
          <w:rFonts w:ascii="Arial" w:eastAsia="Calibri" w:hAnsi="Arial" w:cs="Arial"/>
          <w:sz w:val="22"/>
          <w:lang w:val="es-ES_tradnl"/>
        </w:rPr>
      </w:pPr>
    </w:p>
    <w:p w14:paraId="4A971496" w14:textId="77777777" w:rsidR="00E70C56" w:rsidRPr="00F14E00" w:rsidRDefault="00E70C56" w:rsidP="00E70C56">
      <w:pPr>
        <w:spacing w:after="120"/>
        <w:rPr>
          <w:rFonts w:ascii="Arial" w:eastAsia="Calibri" w:hAnsi="Arial" w:cs="Arial"/>
          <w:sz w:val="22"/>
          <w:lang w:val="es-ES_tradnl"/>
        </w:rPr>
      </w:pPr>
      <w:r w:rsidRPr="00F14E00">
        <w:rPr>
          <w:rFonts w:ascii="Arial" w:eastAsia="Calibri" w:hAnsi="Arial" w:cs="Arial"/>
          <w:sz w:val="22"/>
          <w:lang w:val="es-ES_tradnl"/>
        </w:rPr>
        <w:lastRenderedPageBreak/>
        <w:t>Todas las resoluciones</w:t>
      </w:r>
      <w:r w:rsidRPr="00F14E00">
        <w:rPr>
          <w:rFonts w:ascii="Arial" w:eastAsia="Calibri" w:hAnsi="Arial" w:cs="Arial"/>
          <w:sz w:val="22"/>
          <w:vertAlign w:val="superscript"/>
          <w:lang w:val="es-ES_tradnl"/>
        </w:rPr>
        <w:footnoteReference w:id="2"/>
      </w:r>
      <w:r w:rsidRPr="00F14E00">
        <w:rPr>
          <w:rFonts w:ascii="Arial" w:eastAsia="Calibri" w:hAnsi="Arial" w:cs="Arial"/>
          <w:sz w:val="22"/>
          <w:lang w:val="es-ES_tradnl"/>
        </w:rPr>
        <w:t xml:space="preserve">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F14E00">
        <w:rPr>
          <w:rFonts w:ascii="Arial" w:eastAsia="Calibri" w:hAnsi="Arial" w:cs="Arial"/>
          <w:i/>
          <w:iCs/>
          <w:sz w:val="22"/>
          <w:lang w:val="es-ES_tradnl"/>
        </w:rPr>
        <w:t>Documentos del Proceso</w:t>
      </w:r>
      <w:r w:rsidRPr="00F14E00">
        <w:rPr>
          <w:rFonts w:ascii="Arial" w:eastAsia="Calibri" w:hAnsi="Arial" w:cs="Arial"/>
          <w:sz w:val="22"/>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0FDAD77" w14:textId="77777777" w:rsidR="00E70C56" w:rsidRPr="00F14E00" w:rsidRDefault="00E70C56" w:rsidP="00E70C56">
      <w:pPr>
        <w:spacing w:after="120"/>
        <w:ind w:firstLine="709"/>
        <w:rPr>
          <w:rFonts w:ascii="Arial" w:eastAsia="Calibri" w:hAnsi="Arial" w:cs="Arial"/>
          <w:sz w:val="22"/>
          <w:lang w:val="es-ES_tradnl"/>
        </w:rPr>
      </w:pPr>
      <w:r w:rsidRPr="00F14E00">
        <w:rPr>
          <w:rFonts w:ascii="Arial" w:eastAsia="Calibri" w:hAnsi="Arial" w:cs="Arial"/>
          <w:sz w:val="22"/>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EF46215" w14:textId="77777777" w:rsidR="00E70C56" w:rsidRPr="00F14E00" w:rsidRDefault="00E70C56" w:rsidP="00E70C56">
      <w:pPr>
        <w:spacing w:after="120"/>
        <w:ind w:firstLine="709"/>
        <w:rPr>
          <w:rFonts w:ascii="Arial" w:eastAsia="Calibri" w:hAnsi="Arial" w:cs="Arial"/>
          <w:sz w:val="22"/>
          <w:lang w:val="es-ES_tradnl"/>
        </w:rPr>
      </w:pPr>
      <w:r w:rsidRPr="00F14E00">
        <w:rPr>
          <w:rFonts w:ascii="Arial" w:eastAsia="Calibri" w:hAnsi="Arial" w:cs="Arial"/>
          <w:sz w:val="22"/>
          <w:lang w:val="es-ES_tradnl"/>
        </w:rPr>
        <w:t>La inalterabilidad de los documentos es una manifestación en mayor grado de las potestades regladas, lo cual implica una reducción de la discrecionalidad de la Administración en el momento de tomar una decisión en el proceso de contratación</w:t>
      </w:r>
      <w:r w:rsidRPr="00F14E00">
        <w:rPr>
          <w:rStyle w:val="Refdenotaalpie"/>
          <w:rFonts w:ascii="Arial" w:eastAsia="Calibri" w:hAnsi="Arial" w:cs="Arial"/>
          <w:sz w:val="22"/>
          <w:lang w:val="es-ES_tradnl"/>
        </w:rPr>
        <w:footnoteReference w:id="3"/>
      </w:r>
      <w:r w:rsidRPr="00F14E00">
        <w:rPr>
          <w:rFonts w:ascii="Arial" w:eastAsia="Calibri" w:hAnsi="Arial" w:cs="Arial"/>
          <w:sz w:val="22"/>
          <w:lang w:val="es-ES_tradnl"/>
        </w:rPr>
        <w:t xml:space="preserve">. </w:t>
      </w:r>
      <w:r w:rsidRPr="00F14E00">
        <w:rPr>
          <w:rFonts w:ascii="Arial" w:eastAsia="Calibri" w:hAnsi="Arial" w:cs="Arial"/>
          <w:sz w:val="22"/>
          <w:lang w:val="es-ES_tradnl"/>
        </w:rPr>
        <w:lastRenderedPageBreak/>
        <w:t xml:space="preserve">Cada entidad pública sujeta a los documentos tipo deberá hacer una aplicación o constatación irrestricta de las reglas y condiciones dispuestas en estos, salvo que las mismas posibilitan la discrecionalidad en determinados aspectos. </w:t>
      </w:r>
    </w:p>
    <w:p w14:paraId="40638DC8" w14:textId="77777777" w:rsidR="00E70C56" w:rsidRPr="00F14E00" w:rsidRDefault="00E70C56" w:rsidP="00E70C56">
      <w:pPr>
        <w:spacing w:after="120"/>
        <w:ind w:firstLine="709"/>
        <w:rPr>
          <w:rFonts w:ascii="Arial" w:eastAsia="Calibri" w:hAnsi="Arial" w:cs="Arial"/>
          <w:bCs/>
          <w:sz w:val="22"/>
          <w:lang w:val="es-ES_tradnl"/>
        </w:rPr>
      </w:pPr>
      <w:r w:rsidRPr="00F14E00">
        <w:rPr>
          <w:rFonts w:ascii="Arial" w:eastAsia="Calibri" w:hAnsi="Arial" w:cs="Arial"/>
          <w:bCs/>
          <w:sz w:val="22"/>
          <w:lang w:val="es-ES_tradnl"/>
        </w:rPr>
        <w:t xml:space="preserve">Además, las entidades estatales deben garantizar el </w:t>
      </w:r>
      <w:r w:rsidRPr="00F14E00">
        <w:rPr>
          <w:rFonts w:ascii="Arial" w:eastAsia="Calibri" w:hAnsi="Arial" w:cs="Arial"/>
          <w:bCs/>
          <w:i/>
          <w:iCs/>
          <w:sz w:val="22"/>
          <w:lang w:val="es-ES_tradnl"/>
        </w:rPr>
        <w:t>principio de economía</w:t>
      </w:r>
      <w:r w:rsidRPr="00F14E00">
        <w:rPr>
          <w:rFonts w:ascii="Arial" w:eastAsia="Calibri" w:hAnsi="Arial" w:cs="Arial"/>
          <w:bCs/>
          <w:sz w:val="22"/>
          <w:lang w:val="es-ES_tradnl"/>
        </w:rPr>
        <w:t>, del cual se desprende que no pueden exigir documentos o requisitos más allá de los que permitan la Constitución, la ley y los reglamentos. Este postulado ha sido recogido no solo en la contratación estatal</w:t>
      </w:r>
      <w:r w:rsidRPr="00F14E00">
        <w:rPr>
          <w:rFonts w:ascii="Arial" w:eastAsia="Calibri" w:hAnsi="Arial" w:cs="Arial"/>
          <w:bCs/>
          <w:sz w:val="22"/>
          <w:vertAlign w:val="superscript"/>
          <w:lang w:val="es-ES_tradnl"/>
        </w:rPr>
        <w:footnoteReference w:id="4"/>
      </w:r>
      <w:r w:rsidRPr="00F14E00">
        <w:rPr>
          <w:rFonts w:ascii="Arial" w:eastAsia="Calibri" w:hAnsi="Arial" w:cs="Arial"/>
          <w:bCs/>
          <w:sz w:val="22"/>
          <w:lang w:val="es-ES_tradnl"/>
        </w:rPr>
        <w:t xml:space="preserve"> sino además en la normativa </w:t>
      </w:r>
      <w:proofErr w:type="spellStart"/>
      <w:r w:rsidRPr="00F14E00">
        <w:rPr>
          <w:rFonts w:ascii="Arial" w:eastAsia="Calibri" w:hAnsi="Arial" w:cs="Arial"/>
          <w:bCs/>
          <w:sz w:val="22"/>
          <w:lang w:val="es-ES_tradnl"/>
        </w:rPr>
        <w:t>antitrámites</w:t>
      </w:r>
      <w:proofErr w:type="spellEnd"/>
      <w:r w:rsidRPr="00F14E00">
        <w:rPr>
          <w:rFonts w:ascii="Arial" w:eastAsia="Calibri" w:hAnsi="Arial" w:cs="Arial"/>
          <w:bCs/>
          <w:sz w:val="22"/>
          <w:vertAlign w:val="superscript"/>
          <w:lang w:val="es-ES_tradnl"/>
        </w:rPr>
        <w:footnoteReference w:id="5"/>
      </w:r>
      <w:r w:rsidRPr="00F14E00">
        <w:rPr>
          <w:rFonts w:ascii="Arial" w:eastAsia="Calibri" w:hAnsi="Arial" w:cs="Arial"/>
          <w:bCs/>
          <w:sz w:val="22"/>
          <w:lang w:val="es-ES_tradnl"/>
        </w:rPr>
        <w:t>; pues se inscribe dentro de la tendencia de simplificación y racionalización de los procedimientos administrativos. De ahí que cuando las autoridades solicitan la entrega de documentación innecesaria, desconocen el principio de economía.</w:t>
      </w:r>
    </w:p>
    <w:p w14:paraId="4642F671" w14:textId="77777777" w:rsidR="00E70C56" w:rsidRPr="00F14E00" w:rsidRDefault="00E70C56" w:rsidP="00E70C56">
      <w:pPr>
        <w:spacing w:after="120"/>
        <w:ind w:firstLine="709"/>
        <w:rPr>
          <w:rFonts w:ascii="Arial" w:eastAsia="Calibri" w:hAnsi="Arial" w:cs="Arial"/>
          <w:sz w:val="22"/>
        </w:rPr>
      </w:pPr>
      <w:r w:rsidRPr="00F14E00">
        <w:rPr>
          <w:rFonts w:ascii="Arial" w:eastAsia="Calibri" w:hAnsi="Arial" w:cs="Arial"/>
          <w:sz w:val="22"/>
        </w:rPr>
        <w:t xml:space="preserve">Adicionalmente, la parte introductoria de los documentos base de los documentos tipo disponen que los aspectos incluidos en corchetes y resaltados en gris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w:t>
      </w:r>
      <w:r w:rsidRPr="00F14E00">
        <w:rPr>
          <w:rFonts w:ascii="Arial" w:eastAsia="Calibri" w:hAnsi="Arial" w:cs="Arial"/>
          <w:sz w:val="22"/>
        </w:rPr>
        <w:lastRenderedPageBreak/>
        <w:t xml:space="preserve">la libertad de determinar la información que se diligenciará en los documentos tipo, de acuerdo con su necesidad y las instrucciones de los mismos documentos tipo. </w:t>
      </w:r>
    </w:p>
    <w:p w14:paraId="11F51D27" w14:textId="77777777" w:rsidR="00E70C56" w:rsidRPr="00F14E00" w:rsidRDefault="00E70C56" w:rsidP="00E70C56">
      <w:pPr>
        <w:spacing w:after="120"/>
        <w:ind w:firstLine="709"/>
        <w:rPr>
          <w:rFonts w:ascii="Arial" w:eastAsia="Calibri" w:hAnsi="Arial" w:cs="Arial"/>
          <w:bCs/>
          <w:sz w:val="22"/>
        </w:rPr>
      </w:pPr>
      <w:r w:rsidRPr="00F14E00">
        <w:rPr>
          <w:rFonts w:ascii="Arial" w:eastAsia="Calibri" w:hAnsi="Arial" w:cs="Arial"/>
          <w:bCs/>
          <w:sz w:val="22"/>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solo se podrán modificar aquellos contenidos que el mismo documento tipo permita.</w:t>
      </w:r>
    </w:p>
    <w:p w14:paraId="036C1B51" w14:textId="77777777" w:rsidR="00E70C56" w:rsidRPr="00F14E00" w:rsidRDefault="00E70C56" w:rsidP="00E70C56">
      <w:pPr>
        <w:spacing w:after="120"/>
        <w:ind w:firstLine="709"/>
        <w:rPr>
          <w:rFonts w:ascii="Arial" w:eastAsia="Calibri" w:hAnsi="Arial" w:cs="Arial"/>
          <w:bCs/>
          <w:sz w:val="22"/>
        </w:rPr>
      </w:pPr>
      <w:r w:rsidRPr="00F14E00">
        <w:rPr>
          <w:rFonts w:ascii="Arial" w:eastAsia="Calibri" w:hAnsi="Arial" w:cs="Arial"/>
          <w:bCs/>
          <w:sz w:val="22"/>
        </w:rPr>
        <w:t xml:space="preserve">Esta regla de inalterabilidad también aplica a los formatos y anexos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6560A41A" w14:textId="77777777" w:rsidR="00E70C56" w:rsidRPr="00F14E00" w:rsidRDefault="00E70C56" w:rsidP="00E70C56">
      <w:pPr>
        <w:spacing w:after="120"/>
        <w:ind w:firstLine="709"/>
        <w:rPr>
          <w:rFonts w:ascii="Arial" w:eastAsia="Calibri" w:hAnsi="Arial" w:cs="Arial"/>
          <w:sz w:val="22"/>
        </w:rPr>
      </w:pPr>
      <w:r w:rsidRPr="00F14E00">
        <w:rPr>
          <w:rFonts w:ascii="Arial" w:eastAsia="Calibri" w:hAnsi="Arial" w:cs="Arial"/>
          <w:sz w:val="22"/>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78463B2" w14:textId="77777777" w:rsidR="00E70C56" w:rsidRPr="00F14E00" w:rsidRDefault="00E70C56" w:rsidP="00E70C56">
      <w:pPr>
        <w:spacing w:after="120"/>
        <w:ind w:firstLine="709"/>
        <w:rPr>
          <w:rFonts w:ascii="Arial" w:eastAsia="Calibri" w:hAnsi="Arial" w:cs="Arial"/>
          <w:sz w:val="22"/>
        </w:rPr>
      </w:pPr>
      <w:r w:rsidRPr="00F14E00">
        <w:rPr>
          <w:rFonts w:ascii="Arial" w:eastAsia="Calibri" w:hAnsi="Arial" w:cs="Arial"/>
          <w:sz w:val="22"/>
        </w:rPr>
        <w:t>El carácter inalterable de los documentos tipo no puede, entonces,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 es decir, no afectan su contenido esencial y, mucho menos, las obligaciones, deberes y derechos que se derivan para las partes contratantes.</w:t>
      </w:r>
    </w:p>
    <w:p w14:paraId="3CF16CDF" w14:textId="77777777" w:rsidR="00E70C56" w:rsidRPr="00F14E00" w:rsidRDefault="00E70C56" w:rsidP="00E70C56">
      <w:pPr>
        <w:spacing w:after="120"/>
        <w:ind w:firstLine="709"/>
        <w:rPr>
          <w:rFonts w:ascii="Arial" w:eastAsia="Calibri" w:hAnsi="Arial" w:cs="Arial"/>
          <w:sz w:val="22"/>
        </w:rPr>
      </w:pPr>
      <w:r w:rsidRPr="00F14E00">
        <w:rPr>
          <w:rFonts w:ascii="Arial" w:eastAsia="Calibri" w:hAnsi="Arial" w:cs="Arial"/>
          <w:sz w:val="22"/>
        </w:rPr>
        <w:t xml:space="preserve">Bajo este entendimiento principialístico, la inclusión o supresión de expresiones en los formatos y anexos de los documentos tipo no generan </w:t>
      </w:r>
      <w:r w:rsidRPr="00F14E00">
        <w:rPr>
          <w:rFonts w:ascii="Arial" w:eastAsia="Calibri" w:hAnsi="Arial" w:cs="Arial"/>
          <w:i/>
          <w:sz w:val="22"/>
        </w:rPr>
        <w:t>per se</w:t>
      </w:r>
      <w:r w:rsidRPr="00F14E00">
        <w:rPr>
          <w:rFonts w:ascii="Arial" w:eastAsia="Calibri" w:hAnsi="Arial" w:cs="Arial"/>
          <w:sz w:val="22"/>
        </w:rPr>
        <w:t xml:space="preserve"> un rechazo de la oferta, toda vez que lo importante es que lo expresado en el documento sea necesario dentro del proceso de contratación. Por ello, en aras de garantizar la primacía de lo sustancial sobre lo formal, no podrá rechazarse la oferta por </w:t>
      </w:r>
      <w:r w:rsidRPr="00F14E00">
        <w:rPr>
          <w:rFonts w:ascii="Arial" w:eastAsia="Calibri" w:hAnsi="Arial" w:cs="Arial"/>
          <w:sz w:val="22"/>
        </w:rPr>
        <w:lastRenderedPageBreak/>
        <w:t>cuestiones formales, ya sea en esta o en los anexos</w:t>
      </w:r>
      <w:r>
        <w:rPr>
          <w:rFonts w:ascii="Arial" w:eastAsia="Calibri" w:hAnsi="Arial" w:cs="Arial"/>
          <w:sz w:val="22"/>
        </w:rPr>
        <w:t>. Así pues</w:t>
      </w:r>
      <w:r w:rsidRPr="00F14E00">
        <w:rPr>
          <w:rFonts w:ascii="Arial" w:eastAsia="Calibri" w:hAnsi="Arial" w:cs="Arial"/>
          <w:sz w:val="22"/>
        </w:rPr>
        <w:t xml:space="preserve">, aquellas modificaciones formales en los diferentes formatos y anexos de los documentos no son un argumento suficiente para un rechazo de la oferta, pues lo que debe garantizarse es el principio de selección objetiva y la libre concurrencia de los proponentes. </w:t>
      </w:r>
    </w:p>
    <w:p w14:paraId="14EA6C40" w14:textId="77777777" w:rsidR="00E70C56" w:rsidRPr="00F14E00" w:rsidRDefault="00E70C56" w:rsidP="00645C55">
      <w:pPr>
        <w:tabs>
          <w:tab w:val="left" w:pos="709"/>
        </w:tabs>
        <w:spacing w:after="0"/>
        <w:rPr>
          <w:rFonts w:ascii="Arial" w:eastAsia="Times New Roman" w:hAnsi="Arial" w:cs="Arial"/>
          <w:sz w:val="22"/>
          <w:lang w:val="es-CO" w:eastAsia="es-ES_tradnl"/>
        </w:rPr>
      </w:pPr>
      <w:r w:rsidRPr="00F14E00">
        <w:rPr>
          <w:rFonts w:ascii="Arial" w:eastAsia="Times New Roman" w:hAnsi="Arial" w:cs="Arial"/>
          <w:sz w:val="22"/>
          <w:szCs w:val="24"/>
          <w:lang w:val="es-CO" w:eastAsia="es-ES_tradnl"/>
        </w:rPr>
        <w:tab/>
        <w:t xml:space="preserve">Ahora bien, las causales de rechazo que aplican para los procedimientos de licitación de obra pública de infraestructura de transporte son las establecidas en la ley y las definidas en el numeral 1.15 del </w:t>
      </w:r>
      <w:r w:rsidRPr="00F14E00">
        <w:rPr>
          <w:rFonts w:ascii="Arial" w:eastAsia="Times New Roman" w:hAnsi="Arial" w:cs="Arial"/>
          <w:sz w:val="19"/>
          <w:szCs w:val="19"/>
          <w:lang w:val="es-CO" w:eastAsia="es-ES_tradnl"/>
        </w:rPr>
        <w:t>«</w:t>
      </w:r>
      <w:r w:rsidRPr="00F14E00">
        <w:rPr>
          <w:rFonts w:ascii="Arial" w:eastAsia="Times New Roman" w:hAnsi="Arial" w:cs="Arial"/>
          <w:sz w:val="22"/>
          <w:szCs w:val="24"/>
          <w:lang w:val="es-CO" w:eastAsia="es-ES_tradnl"/>
        </w:rPr>
        <w:t>Documento Base</w:t>
      </w:r>
      <w:r w:rsidRPr="00F14E00">
        <w:rPr>
          <w:rFonts w:ascii="Arial" w:eastAsia="Times New Roman" w:hAnsi="Arial" w:cs="Arial"/>
          <w:sz w:val="19"/>
          <w:szCs w:val="19"/>
          <w:lang w:val="es-CO" w:eastAsia="es-ES_tradnl"/>
        </w:rPr>
        <w:t>»</w:t>
      </w:r>
      <w:r w:rsidRPr="00F14E00">
        <w:rPr>
          <w:rFonts w:ascii="Arial" w:eastAsia="Times New Roman" w:hAnsi="Arial" w:cs="Arial"/>
          <w:sz w:val="22"/>
          <w:szCs w:val="24"/>
          <w:lang w:val="es-CO" w:eastAsia="es-ES_tradnl"/>
        </w:rPr>
        <w:t>. De igual forma, se rigen por el principio de inalterabilidad, en la medida en que «Las entidades no podrán incluir causales de rechazo distintas a las señaladas en la presente sección». Estas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w:t>
      </w:r>
      <w:r w:rsidRPr="00F14E00">
        <w:rPr>
          <w:rFonts w:ascii="Arial" w:eastAsia="Times New Roman" w:hAnsi="Arial" w:cs="Arial"/>
          <w:sz w:val="19"/>
          <w:szCs w:val="19"/>
          <w:lang w:val="es-CO" w:eastAsia="es-ES_tradnl"/>
        </w:rPr>
        <w:t xml:space="preserve"> </w:t>
      </w:r>
      <w:r w:rsidRPr="00F14E00">
        <w:rPr>
          <w:rFonts w:ascii="Arial" w:eastAsia="Times New Roman" w:hAnsi="Arial" w:cs="Arial"/>
          <w:sz w:val="22"/>
          <w:lang w:val="es-CO" w:eastAsia="es-ES_tradnl"/>
        </w:rPr>
        <w:t>Al respecto, la jurisprudencia explica que:</w:t>
      </w:r>
    </w:p>
    <w:p w14:paraId="00478070" w14:textId="77777777" w:rsidR="00E70C56" w:rsidRPr="00F14E00" w:rsidRDefault="00E70C56" w:rsidP="00645C55">
      <w:pPr>
        <w:tabs>
          <w:tab w:val="left" w:pos="709"/>
        </w:tabs>
        <w:spacing w:after="0"/>
        <w:rPr>
          <w:rFonts w:ascii="Arial" w:eastAsia="Times New Roman" w:hAnsi="Arial" w:cs="Arial"/>
          <w:sz w:val="22"/>
          <w:lang w:val="es-CO" w:eastAsia="es-ES_tradnl"/>
        </w:rPr>
      </w:pPr>
    </w:p>
    <w:p w14:paraId="5216EA1B" w14:textId="77777777" w:rsidR="00E70C56" w:rsidRPr="00F14E00" w:rsidRDefault="00E70C56" w:rsidP="00645C55">
      <w:pPr>
        <w:tabs>
          <w:tab w:val="left" w:pos="709"/>
        </w:tabs>
        <w:spacing w:after="0" w:line="240" w:lineRule="auto"/>
        <w:ind w:left="709" w:right="709"/>
        <w:rPr>
          <w:rFonts w:ascii="Arial" w:eastAsia="Calibri" w:hAnsi="Arial" w:cs="Arial"/>
          <w:color w:val="404040" w:themeColor="text1" w:themeTint="BF"/>
          <w:sz w:val="21"/>
          <w:szCs w:val="21"/>
          <w:lang w:val="es-ES_tradnl" w:eastAsia="es-ES_tradnl"/>
        </w:rPr>
      </w:pPr>
      <w:r w:rsidRPr="00F14E00">
        <w:rPr>
          <w:rFonts w:ascii="Arial" w:eastAsia="Times New Roman" w:hAnsi="Arial" w:cs="Arial"/>
          <w:sz w:val="21"/>
          <w:szCs w:val="21"/>
          <w:lang w:val="es-CO" w:eastAsia="es-ES_tradnl"/>
        </w:rPr>
        <w:t>[…]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 puesto que la causa excluyente debe ser razonable, esencial y proporcionada, toda vez que no tendría justificación excluir una propuesta por una deficiencia que no tenga incidencia alguna en la contratación</w:t>
      </w:r>
      <w:r w:rsidRPr="00F14E00">
        <w:rPr>
          <w:rFonts w:ascii="Arial" w:eastAsia="Calibri" w:hAnsi="Arial" w:cs="Arial"/>
          <w:sz w:val="21"/>
          <w:szCs w:val="21"/>
          <w:vertAlign w:val="superscript"/>
          <w:lang w:val="es-ES_tradnl" w:eastAsia="es-ES_tradnl"/>
        </w:rPr>
        <w:footnoteReference w:id="6"/>
      </w:r>
      <w:r w:rsidRPr="00F14E00">
        <w:rPr>
          <w:rFonts w:ascii="Arial" w:eastAsia="Calibri" w:hAnsi="Arial" w:cs="Arial"/>
          <w:color w:val="404040" w:themeColor="text1" w:themeTint="BF"/>
          <w:sz w:val="21"/>
          <w:szCs w:val="21"/>
          <w:lang w:val="es-ES_tradnl" w:eastAsia="es-ES_tradnl"/>
        </w:rPr>
        <w:t>.</w:t>
      </w:r>
    </w:p>
    <w:p w14:paraId="541FE819" w14:textId="77777777" w:rsidR="00E70C56" w:rsidRPr="00F14E00" w:rsidRDefault="00E70C56" w:rsidP="00645C55">
      <w:pPr>
        <w:tabs>
          <w:tab w:val="left" w:pos="709"/>
        </w:tabs>
        <w:spacing w:after="0"/>
        <w:ind w:left="709" w:right="709"/>
        <w:rPr>
          <w:rFonts w:ascii="Arial" w:eastAsia="Times New Roman" w:hAnsi="Arial" w:cs="Arial"/>
          <w:sz w:val="22"/>
          <w:lang w:val="es-CO" w:eastAsia="es-ES_tradnl"/>
        </w:rPr>
      </w:pPr>
    </w:p>
    <w:p w14:paraId="6717EA96" w14:textId="426B6CBF" w:rsidR="00E70C56" w:rsidRDefault="00E70C56" w:rsidP="00257BEC">
      <w:pPr>
        <w:tabs>
          <w:tab w:val="left" w:pos="709"/>
        </w:tabs>
        <w:spacing w:after="0"/>
        <w:rPr>
          <w:rFonts w:ascii="Arial" w:eastAsia="Times New Roman" w:hAnsi="Arial" w:cs="Arial"/>
          <w:sz w:val="22"/>
          <w:szCs w:val="24"/>
          <w:lang w:val="es-CO" w:eastAsia="es-ES_tradnl"/>
        </w:rPr>
      </w:pPr>
      <w:r w:rsidRPr="00F14E00">
        <w:rPr>
          <w:rFonts w:ascii="Arial" w:eastAsia="Times New Roman" w:hAnsi="Arial" w:cs="Arial"/>
          <w:sz w:val="22"/>
          <w:szCs w:val="24"/>
          <w:lang w:val="es-CO" w:eastAsia="es-ES_tradnl"/>
        </w:rPr>
        <w:tab/>
        <w:t xml:space="preserve">De esta manera, </w:t>
      </w:r>
      <w:r w:rsidR="00566169">
        <w:rPr>
          <w:rFonts w:ascii="Arial" w:eastAsia="Times New Roman" w:hAnsi="Arial" w:cs="Arial"/>
          <w:sz w:val="22"/>
          <w:szCs w:val="24"/>
          <w:lang w:val="es-CO" w:eastAsia="es-ES_tradnl"/>
        </w:rPr>
        <w:t>la ca</w:t>
      </w:r>
      <w:r w:rsidR="00CD4D21">
        <w:rPr>
          <w:rFonts w:ascii="Arial" w:eastAsia="Times New Roman" w:hAnsi="Arial" w:cs="Arial"/>
          <w:sz w:val="22"/>
          <w:szCs w:val="24"/>
          <w:lang w:val="es-CO" w:eastAsia="es-ES_tradnl"/>
        </w:rPr>
        <w:t>usales de rechazo incluidas en</w:t>
      </w:r>
      <w:r w:rsidRPr="00F14E00">
        <w:rPr>
          <w:rFonts w:ascii="Arial" w:eastAsia="Times New Roman" w:hAnsi="Arial" w:cs="Arial"/>
          <w:sz w:val="22"/>
          <w:szCs w:val="24"/>
          <w:lang w:val="es-CO" w:eastAsia="es-ES_tradnl"/>
        </w:rPr>
        <w:t xml:space="preserve"> los «Documentos Tipo – Versión 3» de licitación para obra pública de infraestructura de transporte, </w:t>
      </w:r>
      <w:r w:rsidR="00CD4D21">
        <w:rPr>
          <w:rFonts w:ascii="Arial" w:eastAsia="Times New Roman" w:hAnsi="Arial" w:cs="Arial"/>
          <w:sz w:val="22"/>
          <w:szCs w:val="24"/>
          <w:lang w:val="es-CO" w:eastAsia="es-ES_tradnl"/>
        </w:rPr>
        <w:t xml:space="preserve">deben </w:t>
      </w:r>
      <w:proofErr w:type="spellStart"/>
      <w:r w:rsidR="00CD4D21">
        <w:rPr>
          <w:rFonts w:ascii="Arial" w:eastAsia="Times New Roman" w:hAnsi="Arial" w:cs="Arial"/>
          <w:sz w:val="22"/>
          <w:szCs w:val="24"/>
          <w:lang w:val="es-CO" w:eastAsia="es-ES_tradnl"/>
        </w:rPr>
        <w:t>se</w:t>
      </w:r>
      <w:proofErr w:type="spellEnd"/>
      <w:r w:rsidR="00CD4D21">
        <w:rPr>
          <w:rFonts w:ascii="Arial" w:eastAsia="Times New Roman" w:hAnsi="Arial" w:cs="Arial"/>
          <w:sz w:val="22"/>
          <w:szCs w:val="24"/>
          <w:lang w:val="es-CO" w:eastAsia="es-ES_tradnl"/>
        </w:rPr>
        <w:t xml:space="preserve"> aplicadas conforme a lo supuestos de hecho definidos en los diferentes literales</w:t>
      </w:r>
      <w:r w:rsidR="004A0508">
        <w:rPr>
          <w:rFonts w:ascii="Arial" w:eastAsia="Times New Roman" w:hAnsi="Arial" w:cs="Arial"/>
          <w:sz w:val="22"/>
          <w:szCs w:val="24"/>
          <w:lang w:val="es-CO" w:eastAsia="es-ES_tradnl"/>
        </w:rPr>
        <w:t xml:space="preserve"> del numeral 1.15 del Documento Base. </w:t>
      </w:r>
      <w:r w:rsidR="00DE03D6">
        <w:rPr>
          <w:rFonts w:ascii="Arial" w:eastAsia="Times New Roman" w:hAnsi="Arial" w:cs="Arial"/>
          <w:sz w:val="22"/>
          <w:szCs w:val="24"/>
          <w:lang w:val="es-CO" w:eastAsia="es-ES_tradnl"/>
        </w:rPr>
        <w:t>Adicionalmente, l</w:t>
      </w:r>
      <w:r w:rsidR="004A0508">
        <w:rPr>
          <w:rFonts w:ascii="Arial" w:eastAsia="Times New Roman" w:hAnsi="Arial" w:cs="Arial"/>
          <w:sz w:val="22"/>
          <w:szCs w:val="24"/>
          <w:lang w:val="es-CO" w:eastAsia="es-ES_tradnl"/>
        </w:rPr>
        <w:t xml:space="preserve">a aplicación de estas causales implica que las entidades </w:t>
      </w:r>
      <w:r w:rsidR="00DE03D6">
        <w:rPr>
          <w:rFonts w:ascii="Arial" w:eastAsia="Times New Roman" w:hAnsi="Arial" w:cs="Arial"/>
          <w:sz w:val="22"/>
          <w:szCs w:val="24"/>
          <w:lang w:val="es-CO" w:eastAsia="es-ES_tradnl"/>
        </w:rPr>
        <w:t xml:space="preserve">estatales </w:t>
      </w:r>
      <w:r w:rsidR="00680FD5">
        <w:rPr>
          <w:rFonts w:ascii="Arial" w:eastAsia="Times New Roman" w:hAnsi="Arial" w:cs="Arial"/>
          <w:sz w:val="22"/>
          <w:szCs w:val="24"/>
          <w:lang w:val="es-CO" w:eastAsia="es-ES_tradnl"/>
        </w:rPr>
        <w:t>sigan las</w:t>
      </w:r>
      <w:r w:rsidR="004A0508">
        <w:rPr>
          <w:rFonts w:ascii="Arial" w:eastAsia="Times New Roman" w:hAnsi="Arial" w:cs="Arial"/>
          <w:sz w:val="22"/>
          <w:szCs w:val="24"/>
          <w:lang w:val="es-CO" w:eastAsia="es-ES_tradnl"/>
        </w:rPr>
        <w:t xml:space="preserve"> instrucci</w:t>
      </w:r>
      <w:r w:rsidR="00680FD5">
        <w:rPr>
          <w:rFonts w:ascii="Arial" w:eastAsia="Times New Roman" w:hAnsi="Arial" w:cs="Arial"/>
          <w:sz w:val="22"/>
          <w:szCs w:val="24"/>
          <w:lang w:val="es-CO" w:eastAsia="es-ES_tradnl"/>
        </w:rPr>
        <w:t>ones que establecidas</w:t>
      </w:r>
      <w:r w:rsidR="004A0508">
        <w:rPr>
          <w:rFonts w:ascii="Arial" w:eastAsia="Times New Roman" w:hAnsi="Arial" w:cs="Arial"/>
          <w:sz w:val="22"/>
          <w:szCs w:val="24"/>
          <w:lang w:val="es-CO" w:eastAsia="es-ES_tradnl"/>
        </w:rPr>
        <w:t xml:space="preserve"> </w:t>
      </w:r>
      <w:r w:rsidR="00680FD5">
        <w:rPr>
          <w:rFonts w:ascii="Arial" w:eastAsia="Times New Roman" w:hAnsi="Arial" w:cs="Arial"/>
          <w:sz w:val="22"/>
          <w:szCs w:val="24"/>
          <w:lang w:val="es-CO" w:eastAsia="es-ES_tradnl"/>
        </w:rPr>
        <w:t xml:space="preserve">en </w:t>
      </w:r>
      <w:r w:rsidR="004A0508">
        <w:rPr>
          <w:rFonts w:ascii="Arial" w:eastAsia="Times New Roman" w:hAnsi="Arial" w:cs="Arial"/>
          <w:sz w:val="22"/>
          <w:szCs w:val="24"/>
          <w:lang w:val="es-CO" w:eastAsia="es-ES_tradnl"/>
        </w:rPr>
        <w:t>el pliego tipo</w:t>
      </w:r>
      <w:r w:rsidR="00680FD5">
        <w:rPr>
          <w:rFonts w:ascii="Arial" w:eastAsia="Times New Roman" w:hAnsi="Arial" w:cs="Arial"/>
          <w:sz w:val="22"/>
          <w:szCs w:val="24"/>
          <w:lang w:val="es-CO" w:eastAsia="es-ES_tradnl"/>
        </w:rPr>
        <w:t>, en particular,</w:t>
      </w:r>
      <w:r w:rsidR="004A0508">
        <w:rPr>
          <w:rFonts w:ascii="Arial" w:eastAsia="Times New Roman" w:hAnsi="Arial" w:cs="Arial"/>
          <w:sz w:val="22"/>
          <w:szCs w:val="24"/>
          <w:lang w:val="es-CO" w:eastAsia="es-ES_tradnl"/>
        </w:rPr>
        <w:t xml:space="preserve"> respecto de la aplicación de</w:t>
      </w:r>
      <w:r w:rsidR="004D1E91">
        <w:rPr>
          <w:rFonts w:ascii="Arial" w:eastAsia="Times New Roman" w:hAnsi="Arial" w:cs="Arial"/>
          <w:sz w:val="22"/>
          <w:szCs w:val="24"/>
          <w:lang w:val="es-CO" w:eastAsia="es-ES_tradnl"/>
        </w:rPr>
        <w:t xml:space="preserve"> determinada</w:t>
      </w:r>
      <w:r w:rsidR="00680FD5">
        <w:rPr>
          <w:rFonts w:ascii="Arial" w:eastAsia="Times New Roman" w:hAnsi="Arial" w:cs="Arial"/>
          <w:sz w:val="22"/>
          <w:szCs w:val="24"/>
          <w:lang w:val="es-CO" w:eastAsia="es-ES_tradnl"/>
        </w:rPr>
        <w:t>s</w:t>
      </w:r>
      <w:r w:rsidR="004D1E91">
        <w:rPr>
          <w:rFonts w:ascii="Arial" w:eastAsia="Times New Roman" w:hAnsi="Arial" w:cs="Arial"/>
          <w:sz w:val="22"/>
          <w:szCs w:val="24"/>
          <w:lang w:val="es-CO" w:eastAsia="es-ES_tradnl"/>
        </w:rPr>
        <w:t xml:space="preserve"> causal</w:t>
      </w:r>
      <w:r w:rsidR="00680FD5">
        <w:rPr>
          <w:rFonts w:ascii="Arial" w:eastAsia="Times New Roman" w:hAnsi="Arial" w:cs="Arial"/>
          <w:sz w:val="22"/>
          <w:szCs w:val="24"/>
          <w:lang w:val="es-CO" w:eastAsia="es-ES_tradnl"/>
        </w:rPr>
        <w:t>es</w:t>
      </w:r>
      <w:r w:rsidR="004D1E91">
        <w:rPr>
          <w:rFonts w:ascii="Arial" w:eastAsia="Times New Roman" w:hAnsi="Arial" w:cs="Arial"/>
          <w:sz w:val="22"/>
          <w:szCs w:val="24"/>
          <w:lang w:val="es-CO" w:eastAsia="es-ES_tradnl"/>
        </w:rPr>
        <w:t>,</w:t>
      </w:r>
      <w:r w:rsidR="00F56B73">
        <w:rPr>
          <w:rFonts w:ascii="Arial" w:eastAsia="Times New Roman" w:hAnsi="Arial" w:cs="Arial"/>
          <w:sz w:val="22"/>
          <w:szCs w:val="24"/>
          <w:lang w:val="es-CO" w:eastAsia="es-ES_tradnl"/>
        </w:rPr>
        <w:t xml:space="preserve"> </w:t>
      </w:r>
      <w:r w:rsidR="00F56B73">
        <w:rPr>
          <w:rFonts w:ascii="Arial" w:eastAsia="Times New Roman" w:hAnsi="Arial" w:cs="Arial"/>
          <w:sz w:val="22"/>
          <w:szCs w:val="24"/>
          <w:lang w:val="es-CO" w:eastAsia="es-ES_tradnl"/>
        </w:rPr>
        <w:lastRenderedPageBreak/>
        <w:t xml:space="preserve">cuya inclusión procede siempre que el proceso de contratación </w:t>
      </w:r>
      <w:r w:rsidR="00B72E61">
        <w:rPr>
          <w:rFonts w:ascii="Arial" w:eastAsia="Times New Roman" w:hAnsi="Arial" w:cs="Arial"/>
          <w:sz w:val="22"/>
          <w:szCs w:val="24"/>
          <w:lang w:val="es-CO" w:eastAsia="es-ES_tradnl"/>
        </w:rPr>
        <w:t xml:space="preserve">tenga ciertas condiciones, o, a criterio de la entidad, </w:t>
      </w:r>
      <w:r w:rsidR="00556216">
        <w:rPr>
          <w:rFonts w:ascii="Arial" w:eastAsia="Times New Roman" w:hAnsi="Arial" w:cs="Arial"/>
          <w:sz w:val="22"/>
          <w:szCs w:val="24"/>
          <w:lang w:val="es-CO" w:eastAsia="es-ES_tradnl"/>
        </w:rPr>
        <w:t xml:space="preserve">pero de conformidad con </w:t>
      </w:r>
      <w:r w:rsidR="00DC0ED5">
        <w:rPr>
          <w:rFonts w:ascii="Arial" w:eastAsia="Times New Roman" w:hAnsi="Arial" w:cs="Arial"/>
          <w:sz w:val="22"/>
          <w:szCs w:val="24"/>
          <w:lang w:val="es-CO" w:eastAsia="es-ES_tradnl"/>
        </w:rPr>
        <w:t>una regla</w:t>
      </w:r>
      <w:r w:rsidR="00556216">
        <w:rPr>
          <w:rFonts w:ascii="Arial" w:eastAsia="Times New Roman" w:hAnsi="Arial" w:cs="Arial"/>
          <w:sz w:val="22"/>
          <w:szCs w:val="24"/>
          <w:lang w:val="es-CO" w:eastAsia="es-ES_tradnl"/>
        </w:rPr>
        <w:t xml:space="preserve"> establecida</w:t>
      </w:r>
      <w:r w:rsidR="00153777">
        <w:rPr>
          <w:rFonts w:ascii="Arial" w:eastAsia="Times New Roman" w:hAnsi="Arial" w:cs="Arial"/>
          <w:sz w:val="22"/>
          <w:szCs w:val="24"/>
          <w:lang w:val="es-CO" w:eastAsia="es-ES_tradnl"/>
        </w:rPr>
        <w:t>. T</w:t>
      </w:r>
      <w:r w:rsidR="004D1E91">
        <w:rPr>
          <w:rFonts w:ascii="Arial" w:eastAsia="Times New Roman" w:hAnsi="Arial" w:cs="Arial"/>
          <w:sz w:val="22"/>
          <w:szCs w:val="24"/>
          <w:lang w:val="es-CO" w:eastAsia="es-ES_tradnl"/>
        </w:rPr>
        <w:t>ales indicaciones</w:t>
      </w:r>
      <w:r w:rsidR="00153777">
        <w:rPr>
          <w:rFonts w:ascii="Arial" w:eastAsia="Times New Roman" w:hAnsi="Arial" w:cs="Arial"/>
          <w:sz w:val="22"/>
          <w:szCs w:val="24"/>
          <w:lang w:val="es-CO" w:eastAsia="es-ES_tradnl"/>
        </w:rPr>
        <w:t xml:space="preserve"> o instruccion</w:t>
      </w:r>
      <w:r w:rsidR="00AA4353">
        <w:rPr>
          <w:rFonts w:ascii="Arial" w:eastAsia="Times New Roman" w:hAnsi="Arial" w:cs="Arial"/>
          <w:sz w:val="22"/>
          <w:szCs w:val="24"/>
          <w:lang w:val="es-CO" w:eastAsia="es-ES_tradnl"/>
        </w:rPr>
        <w:t>es además</w:t>
      </w:r>
      <w:r w:rsidR="004D1E91">
        <w:rPr>
          <w:rFonts w:ascii="Arial" w:eastAsia="Times New Roman" w:hAnsi="Arial" w:cs="Arial"/>
          <w:sz w:val="22"/>
          <w:szCs w:val="24"/>
          <w:lang w:val="es-CO" w:eastAsia="es-ES_tradnl"/>
        </w:rPr>
        <w:t xml:space="preserve"> resultan vinculantes en virtud de la regla inalterabilidad de los documentos tipo</w:t>
      </w:r>
      <w:r w:rsidR="00BF5B89">
        <w:rPr>
          <w:rFonts w:ascii="Arial" w:eastAsia="Times New Roman" w:hAnsi="Arial" w:cs="Arial"/>
          <w:sz w:val="22"/>
          <w:szCs w:val="24"/>
          <w:lang w:val="es-CO" w:eastAsia="es-ES_tradnl"/>
        </w:rPr>
        <w:t xml:space="preserve"> que avocan a aplicar</w:t>
      </w:r>
      <w:r w:rsidR="00AA4353">
        <w:rPr>
          <w:rFonts w:ascii="Arial" w:eastAsia="Times New Roman" w:hAnsi="Arial" w:cs="Arial"/>
          <w:sz w:val="22"/>
          <w:szCs w:val="24"/>
          <w:lang w:val="es-CO" w:eastAsia="es-ES_tradnl"/>
        </w:rPr>
        <w:t>los</w:t>
      </w:r>
      <w:r w:rsidR="00BF5B89">
        <w:rPr>
          <w:rFonts w:ascii="Arial" w:eastAsia="Times New Roman" w:hAnsi="Arial" w:cs="Arial"/>
          <w:sz w:val="22"/>
          <w:szCs w:val="24"/>
          <w:lang w:val="es-CO" w:eastAsia="es-ES_tradnl"/>
        </w:rPr>
        <w:t xml:space="preserve"> siguiendo las instrucciones </w:t>
      </w:r>
      <w:r w:rsidR="001E7D5C">
        <w:rPr>
          <w:rFonts w:ascii="Arial" w:eastAsia="Times New Roman" w:hAnsi="Arial" w:cs="Arial"/>
          <w:sz w:val="22"/>
          <w:szCs w:val="24"/>
          <w:lang w:val="es-CO" w:eastAsia="es-ES_tradnl"/>
        </w:rPr>
        <w:t xml:space="preserve">predeterminadas. Esto resulta de particular relevancia frente a la </w:t>
      </w:r>
      <w:r w:rsidR="00657A38">
        <w:rPr>
          <w:rFonts w:ascii="Arial" w:eastAsia="Times New Roman" w:hAnsi="Arial" w:cs="Arial"/>
          <w:sz w:val="22"/>
          <w:szCs w:val="24"/>
          <w:lang w:val="es-CO" w:eastAsia="es-ES_tradnl"/>
        </w:rPr>
        <w:t xml:space="preserve">causal del literal Q del referido numeral, la cual </w:t>
      </w:r>
      <w:r w:rsidR="00257BEC">
        <w:rPr>
          <w:rFonts w:ascii="Arial" w:eastAsia="Times New Roman" w:hAnsi="Arial" w:cs="Arial"/>
          <w:sz w:val="22"/>
          <w:szCs w:val="24"/>
          <w:lang w:val="es-CO" w:eastAsia="es-ES_tradnl"/>
        </w:rPr>
        <w:t xml:space="preserve">puede ser incluida o no de manera facultativa a criterio de la entidad, pero siguiente las instrucciones que el pliego tipo establece al respecto. </w:t>
      </w:r>
      <w:r w:rsidR="00657A38">
        <w:rPr>
          <w:rFonts w:ascii="Arial" w:eastAsia="Times New Roman" w:hAnsi="Arial" w:cs="Arial"/>
          <w:sz w:val="22"/>
          <w:szCs w:val="24"/>
          <w:lang w:val="es-CO" w:eastAsia="es-ES_tradnl"/>
        </w:rPr>
        <w:t xml:space="preserve"> </w:t>
      </w:r>
      <w:r w:rsidR="00CD4D21">
        <w:rPr>
          <w:rFonts w:ascii="Arial" w:eastAsia="Times New Roman" w:hAnsi="Arial" w:cs="Arial"/>
          <w:sz w:val="22"/>
          <w:szCs w:val="24"/>
          <w:lang w:val="es-CO" w:eastAsia="es-ES_tradnl"/>
        </w:rPr>
        <w:t xml:space="preserve"> </w:t>
      </w:r>
      <w:r w:rsidRPr="00F14E00">
        <w:rPr>
          <w:rFonts w:ascii="Arial" w:eastAsia="Times New Roman" w:hAnsi="Arial" w:cs="Arial"/>
          <w:sz w:val="22"/>
          <w:szCs w:val="24"/>
          <w:lang w:val="es-CO" w:eastAsia="es-ES_tradnl"/>
        </w:rPr>
        <w:t xml:space="preserve"> </w:t>
      </w:r>
    </w:p>
    <w:p w14:paraId="2E37A2A5" w14:textId="77777777" w:rsidR="00AA4353" w:rsidRPr="00F14E00" w:rsidRDefault="00AA4353" w:rsidP="00645C55">
      <w:pPr>
        <w:tabs>
          <w:tab w:val="left" w:pos="709"/>
        </w:tabs>
        <w:spacing w:after="0"/>
        <w:rPr>
          <w:rFonts w:ascii="Arial" w:eastAsia="Calibri" w:hAnsi="Arial" w:cs="Arial"/>
          <w:sz w:val="22"/>
        </w:rPr>
      </w:pPr>
    </w:p>
    <w:p w14:paraId="029FEED2" w14:textId="2A8D1252" w:rsidR="00024D80" w:rsidRPr="00024D80" w:rsidRDefault="00024D80" w:rsidP="00024D80">
      <w:pPr>
        <w:spacing w:after="0"/>
        <w:rPr>
          <w:rFonts w:ascii="Arial" w:eastAsia="Calibri" w:hAnsi="Arial" w:cs="Arial"/>
          <w:b/>
          <w:sz w:val="23"/>
          <w:szCs w:val="23"/>
        </w:rPr>
      </w:pPr>
      <w:r w:rsidRPr="00024D80">
        <w:rPr>
          <w:rFonts w:ascii="Arial" w:eastAsia="Calibri" w:hAnsi="Arial" w:cs="Arial"/>
          <w:b/>
          <w:sz w:val="23"/>
          <w:szCs w:val="23"/>
        </w:rPr>
        <w:t>2.</w:t>
      </w:r>
      <w:r w:rsidR="00257BEC">
        <w:rPr>
          <w:rFonts w:ascii="Arial" w:eastAsia="Calibri" w:hAnsi="Arial" w:cs="Arial"/>
          <w:b/>
          <w:sz w:val="23"/>
          <w:szCs w:val="23"/>
        </w:rPr>
        <w:t>2</w:t>
      </w:r>
      <w:r w:rsidRPr="00024D80">
        <w:rPr>
          <w:rFonts w:ascii="Arial" w:eastAsia="Calibri" w:hAnsi="Arial" w:cs="Arial"/>
          <w:b/>
          <w:sz w:val="23"/>
          <w:szCs w:val="23"/>
        </w:rPr>
        <w:t>. Formulario 1 – Formulario de presupuesto oficial y su relación con las causal de rechazo</w:t>
      </w:r>
      <w:r w:rsidR="00257BEC">
        <w:rPr>
          <w:rFonts w:ascii="Arial" w:eastAsia="Calibri" w:hAnsi="Arial" w:cs="Arial"/>
          <w:b/>
          <w:sz w:val="23"/>
          <w:szCs w:val="23"/>
        </w:rPr>
        <w:t xml:space="preserve"> del literal</w:t>
      </w:r>
      <w:r w:rsidRPr="00024D80">
        <w:rPr>
          <w:rFonts w:ascii="Arial" w:eastAsia="Calibri" w:hAnsi="Arial" w:cs="Arial"/>
          <w:b/>
          <w:sz w:val="23"/>
          <w:szCs w:val="23"/>
        </w:rPr>
        <w:t xml:space="preserve"> Q</w:t>
      </w:r>
      <w:r w:rsidR="00257BEC">
        <w:rPr>
          <w:rFonts w:ascii="Arial" w:eastAsia="Calibri" w:hAnsi="Arial" w:cs="Arial"/>
          <w:b/>
          <w:sz w:val="23"/>
          <w:szCs w:val="23"/>
        </w:rPr>
        <w:t xml:space="preserve"> del numeral 1.15 del Documento Base. </w:t>
      </w:r>
    </w:p>
    <w:p w14:paraId="4C99A5F6" w14:textId="77777777" w:rsidR="00024D80" w:rsidRPr="00024D80" w:rsidRDefault="00024D80" w:rsidP="00024D80">
      <w:pPr>
        <w:spacing w:after="0"/>
        <w:rPr>
          <w:rFonts w:ascii="Arial" w:eastAsia="Calibri" w:hAnsi="Arial" w:cs="Arial"/>
          <w:b/>
          <w:sz w:val="23"/>
          <w:szCs w:val="23"/>
        </w:rPr>
      </w:pPr>
    </w:p>
    <w:p w14:paraId="1C3E8815" w14:textId="77777777" w:rsidR="00024D80" w:rsidRPr="007E11A8" w:rsidRDefault="00024D80" w:rsidP="007E11A8">
      <w:pPr>
        <w:widowControl w:val="0"/>
        <w:autoSpaceDE w:val="0"/>
        <w:autoSpaceDN w:val="0"/>
        <w:spacing w:after="120"/>
        <w:rPr>
          <w:rFonts w:ascii="Arial" w:eastAsia="Arial" w:hAnsi="Arial" w:cs="Arial"/>
          <w:sz w:val="23"/>
          <w:szCs w:val="23"/>
          <w:lang w:val="es-ES"/>
        </w:rPr>
      </w:pPr>
      <w:r w:rsidRPr="007E11A8">
        <w:rPr>
          <w:rFonts w:ascii="Arial" w:eastAsia="Arial" w:hAnsi="Arial" w:cs="Arial"/>
          <w:sz w:val="23"/>
          <w:szCs w:val="23"/>
          <w:lang w:val="es-ES"/>
        </w:rPr>
        <w:t xml:space="preserve">En los documentos tipo el «Formulario 1 – Formulario de Presupuesto Oficial» tiene dos connotaciones: i) por un lado, es el formulario sobre el cual la entidad estructura y presenta el presupuesto oficial del procedimiento de contratación; y </w:t>
      </w:r>
      <w:proofErr w:type="spellStart"/>
      <w:r w:rsidRPr="007E11A8">
        <w:rPr>
          <w:rFonts w:ascii="Arial" w:eastAsia="Arial" w:hAnsi="Arial" w:cs="Arial"/>
          <w:sz w:val="23"/>
          <w:szCs w:val="23"/>
          <w:lang w:val="es-ES"/>
        </w:rPr>
        <w:t>ii</w:t>
      </w:r>
      <w:proofErr w:type="spellEnd"/>
      <w:r w:rsidRPr="007E11A8">
        <w:rPr>
          <w:rFonts w:ascii="Arial" w:eastAsia="Arial" w:hAnsi="Arial" w:cs="Arial"/>
          <w:sz w:val="23"/>
          <w:szCs w:val="23"/>
          <w:lang w:val="es-ES"/>
        </w:rPr>
        <w:t>) por el otro, es el documento sobre el cual los proponentes elaboran y presentan su oferta económica. Esta doble connotación fue adoptada para evitar la duplicidad de información y permitir que las propuestas económicas se evalúen con las variables, cantidades, unidades de medida y reglas consideradas por la entidad al estructurar su presupuesto oficial.</w:t>
      </w:r>
    </w:p>
    <w:p w14:paraId="25F754D0" w14:textId="010496A1" w:rsidR="00024D80" w:rsidRPr="00645C55" w:rsidRDefault="00024D80" w:rsidP="00A90A38">
      <w:pPr>
        <w:widowControl w:val="0"/>
        <w:autoSpaceDE w:val="0"/>
        <w:autoSpaceDN w:val="0"/>
        <w:spacing w:before="120" w:after="120"/>
        <w:ind w:firstLine="709"/>
        <w:rPr>
          <w:rFonts w:ascii="Arial" w:eastAsia="Calibri" w:hAnsi="Arial" w:cs="Arial"/>
          <w:sz w:val="23"/>
          <w:szCs w:val="23"/>
          <w:lang w:val="es-ES"/>
        </w:rPr>
      </w:pPr>
      <w:r w:rsidRPr="007E11A8">
        <w:rPr>
          <w:rFonts w:ascii="Arial" w:eastAsia="Arial" w:hAnsi="Arial" w:cs="Arial"/>
          <w:sz w:val="23"/>
          <w:szCs w:val="23"/>
          <w:lang w:val="es-ES"/>
        </w:rPr>
        <w:t>No obstante, el «Formulario 1</w:t>
      </w:r>
      <w:r w:rsidRPr="007E11A8">
        <w:rPr>
          <w:rFonts w:ascii="Arial" w:eastAsia="Calibri" w:hAnsi="Arial" w:cs="Arial"/>
          <w:sz w:val="23"/>
          <w:szCs w:val="23"/>
          <w:lang w:val="es-ES"/>
        </w:rPr>
        <w:t xml:space="preserve">» en su segunda pestaña en Excel, titulada «Formulario 1 </w:t>
      </w:r>
      <w:r w:rsidR="00A90A38">
        <w:rPr>
          <w:rFonts w:ascii="Arial" w:eastAsia="Calibri" w:hAnsi="Arial" w:cs="Arial"/>
          <w:sz w:val="23"/>
          <w:szCs w:val="23"/>
          <w:lang w:val="es-ES"/>
        </w:rPr>
        <w:t>- P</w:t>
      </w:r>
      <w:r w:rsidRPr="007E11A8">
        <w:rPr>
          <w:rFonts w:ascii="Arial" w:eastAsia="Calibri" w:hAnsi="Arial" w:cs="Arial"/>
          <w:sz w:val="23"/>
          <w:szCs w:val="23"/>
          <w:lang w:val="es-ES"/>
        </w:rPr>
        <w:t>ropuesta económica»</w:t>
      </w:r>
      <w:r w:rsidRPr="007E11A8">
        <w:rPr>
          <w:rFonts w:ascii="Arial" w:eastAsia="Arial" w:hAnsi="Arial" w:cs="Arial"/>
          <w:sz w:val="23"/>
          <w:szCs w:val="23"/>
          <w:lang w:val="es-ES"/>
        </w:rPr>
        <w:t xml:space="preserve"> señala en la parte superior derecha: «</w:t>
      </w:r>
      <w:r w:rsidRPr="00645C55">
        <w:rPr>
          <w:rFonts w:ascii="Arial" w:eastAsia="Arial" w:hAnsi="Arial" w:cs="Arial"/>
          <w:sz w:val="23"/>
          <w:szCs w:val="23"/>
          <w:highlight w:val="lightGray"/>
          <w:lang w:val="es-ES"/>
        </w:rPr>
        <w:t>[La entidad puede utilizar este formulario de presentación de propuesta económica de forma detallada, sin perjuicio que la entidad pueda modificarlo o establecer la presentación de la oferta económica con un formulario distinto al indicado.]</w:t>
      </w:r>
      <w:r w:rsidRPr="007E11A8">
        <w:rPr>
          <w:rFonts w:ascii="Arial" w:eastAsia="Arial" w:hAnsi="Arial" w:cs="Arial"/>
          <w:sz w:val="23"/>
          <w:szCs w:val="23"/>
          <w:lang w:val="es-ES"/>
        </w:rPr>
        <w:t>». Esta regla indica que las entidades pueden diseñar un formulario para que los proponentes presenten su oferta económica, sin que sea obligatorio sujetarse al formulario que los documentos tipo disponen para el efecto.</w:t>
      </w:r>
    </w:p>
    <w:p w14:paraId="1C7D7878" w14:textId="77777777" w:rsidR="00024D80" w:rsidRPr="00024D80" w:rsidRDefault="00024D80" w:rsidP="00024D80">
      <w:pPr>
        <w:widowControl w:val="0"/>
        <w:autoSpaceDE w:val="0"/>
        <w:autoSpaceDN w:val="0"/>
        <w:spacing w:after="120"/>
        <w:rPr>
          <w:rFonts w:ascii="Arial" w:eastAsia="Arial" w:hAnsi="Arial" w:cs="Arial"/>
          <w:b/>
          <w:sz w:val="23"/>
          <w:szCs w:val="23"/>
          <w:lang w:val="es-ES"/>
        </w:rPr>
      </w:pPr>
      <w:r w:rsidRPr="00024D80">
        <w:rPr>
          <w:rFonts w:ascii="Arial" w:eastAsia="Arial" w:hAnsi="Arial" w:cs="Arial"/>
          <w:sz w:val="23"/>
          <w:szCs w:val="23"/>
          <w:lang w:val="es-ES"/>
        </w:rPr>
        <w:tab/>
        <w:t>En todo caso</w:t>
      </w:r>
      <w:r w:rsidRPr="00024D80">
        <w:rPr>
          <w:rFonts w:ascii="Arial" w:eastAsia="Calibri" w:hAnsi="Arial" w:cs="Arial"/>
          <w:sz w:val="23"/>
          <w:szCs w:val="23"/>
          <w:lang w:val="es-ES"/>
        </w:rPr>
        <w:t xml:space="preserve">, es necesario tener en cuenta que </w:t>
      </w:r>
      <w:r w:rsidRPr="00024D80">
        <w:rPr>
          <w:rFonts w:ascii="Arial" w:eastAsia="Arial" w:hAnsi="Arial" w:cs="Arial"/>
          <w:sz w:val="23"/>
          <w:szCs w:val="23"/>
          <w:lang w:val="es-ES"/>
        </w:rPr>
        <w:t>el «Formulario 1 – Propuesta Económica»</w:t>
      </w:r>
      <w:r w:rsidRPr="00024D80">
        <w:rPr>
          <w:rFonts w:ascii="Arial" w:eastAsia="Calibri" w:hAnsi="Arial" w:cs="Arial"/>
          <w:sz w:val="23"/>
          <w:szCs w:val="23"/>
          <w:lang w:val="es-ES"/>
        </w:rPr>
        <w:t xml:space="preserve"> contiene la siguiente observación: </w:t>
      </w:r>
      <w:r w:rsidRPr="00024D80">
        <w:rPr>
          <w:rFonts w:ascii="Arial" w:eastAsia="Calibri" w:hAnsi="Arial" w:cs="Arial"/>
          <w:sz w:val="23"/>
          <w:szCs w:val="23"/>
          <w:highlight w:val="lightGray"/>
          <w:lang w:val="es-ES"/>
        </w:rPr>
        <w:t>[Los proponentes emplearán el formulario establecido por la entidad para determinar su propuesta económica conforme al Formulario 1 - Presupuesto Oficial publicado por la Entidad]</w:t>
      </w:r>
      <w:r w:rsidRPr="00024D80">
        <w:rPr>
          <w:rFonts w:ascii="Arial" w:eastAsia="Calibri" w:hAnsi="Arial" w:cs="Arial"/>
          <w:sz w:val="23"/>
          <w:szCs w:val="23"/>
          <w:lang w:val="es-ES"/>
        </w:rPr>
        <w:t xml:space="preserve">. De acuerdo con lo señalado hasta ahora, considerando el carácter adhesivo de las condiciones dispuestas en el pliego, los proponentes deben sujetarse a lo dispuesto por la entidad como rectora y administradora de sus </w:t>
      </w:r>
      <w:r w:rsidRPr="00024D80">
        <w:rPr>
          <w:rFonts w:ascii="Arial" w:eastAsia="Calibri" w:hAnsi="Arial" w:cs="Arial"/>
          <w:sz w:val="23"/>
          <w:szCs w:val="23"/>
          <w:lang w:val="es-ES"/>
        </w:rPr>
        <w:lastRenderedPageBreak/>
        <w:t>procesos de contratación.</w:t>
      </w:r>
    </w:p>
    <w:p w14:paraId="14836352" w14:textId="77777777" w:rsidR="00024D80" w:rsidRPr="00024D80" w:rsidRDefault="00024D80" w:rsidP="00024D80">
      <w:pPr>
        <w:tabs>
          <w:tab w:val="left" w:pos="709"/>
        </w:tabs>
        <w:spacing w:after="120"/>
        <w:rPr>
          <w:rFonts w:ascii="Arial" w:eastAsia="Calibri" w:hAnsi="Arial" w:cs="Arial"/>
          <w:sz w:val="23"/>
          <w:szCs w:val="23"/>
        </w:rPr>
      </w:pPr>
      <w:r w:rsidRPr="00024D80">
        <w:rPr>
          <w:rFonts w:ascii="Arial" w:eastAsia="Calibri" w:hAnsi="Arial" w:cs="Arial"/>
          <w:sz w:val="23"/>
          <w:szCs w:val="23"/>
        </w:rPr>
        <w:tab/>
      </w:r>
      <w:r w:rsidRPr="007E11A8">
        <w:rPr>
          <w:rFonts w:ascii="Arial" w:eastAsia="Calibri" w:hAnsi="Arial" w:cs="Arial"/>
          <w:sz w:val="23"/>
          <w:szCs w:val="23"/>
        </w:rPr>
        <w:t>Ahora bien, respecto a las causales de rechazo que aplican para los procedimientos de licitación de obra pública de infraestructura de transporte son las establecidas en la ley y las definidas en el numeral 1.15 del «Documento Base» de los Documentos Tipo, sin que las entidades puedan establecer causales adicionales. De conformidad con la jurisprudencia del Consejo de Estado, las causales de rechazo son las establecidas en la ley y las fijadas por la entidad estatal en los pliegos de condiciones; sin embargo, en ejercicio de dicha facultad no es posible fijar causales de rechazo que afecten la selección objetiva</w:t>
      </w:r>
      <w:r w:rsidRPr="007E11A8">
        <w:rPr>
          <w:rFonts w:ascii="Arial" w:eastAsia="Calibri" w:hAnsi="Arial" w:cs="Arial"/>
          <w:sz w:val="23"/>
          <w:szCs w:val="23"/>
          <w:vertAlign w:val="superscript"/>
        </w:rPr>
        <w:footnoteReference w:id="7"/>
      </w:r>
      <w:r w:rsidRPr="007E11A8">
        <w:rPr>
          <w:rFonts w:ascii="Arial" w:eastAsia="Calibri" w:hAnsi="Arial" w:cs="Arial"/>
          <w:sz w:val="23"/>
          <w:szCs w:val="23"/>
        </w:rPr>
        <w:t>.</w:t>
      </w:r>
      <w:r w:rsidRPr="00024D80">
        <w:rPr>
          <w:rFonts w:ascii="Arial" w:eastAsia="Calibri" w:hAnsi="Arial" w:cs="Arial"/>
          <w:sz w:val="23"/>
          <w:szCs w:val="23"/>
        </w:rPr>
        <w:t xml:space="preserve">  </w:t>
      </w:r>
    </w:p>
    <w:p w14:paraId="0F85FE75" w14:textId="335E04BE" w:rsidR="00024D80" w:rsidRPr="00024D80" w:rsidRDefault="00024D80" w:rsidP="00024D80">
      <w:pPr>
        <w:tabs>
          <w:tab w:val="left" w:pos="709"/>
        </w:tabs>
        <w:spacing w:after="120"/>
        <w:ind w:firstLine="709"/>
        <w:rPr>
          <w:rFonts w:ascii="Arial" w:eastAsia="Calibri" w:hAnsi="Arial" w:cs="Arial"/>
          <w:sz w:val="23"/>
          <w:szCs w:val="23"/>
        </w:rPr>
      </w:pPr>
      <w:r w:rsidRPr="00024D80">
        <w:rPr>
          <w:rFonts w:ascii="Arial" w:eastAsia="Calibri" w:hAnsi="Arial" w:cs="Arial"/>
          <w:sz w:val="23"/>
          <w:szCs w:val="23"/>
        </w:rPr>
        <w:t>En</w:t>
      </w:r>
      <w:r w:rsidR="00583EB7">
        <w:rPr>
          <w:rFonts w:ascii="Arial" w:eastAsia="Calibri" w:hAnsi="Arial" w:cs="Arial"/>
          <w:sz w:val="23"/>
          <w:szCs w:val="23"/>
        </w:rPr>
        <w:t xml:space="preserve"> relación con </w:t>
      </w:r>
      <w:r w:rsidR="006B0CA2">
        <w:rPr>
          <w:rFonts w:ascii="Arial" w:eastAsia="Calibri" w:hAnsi="Arial" w:cs="Arial"/>
          <w:sz w:val="23"/>
          <w:szCs w:val="23"/>
        </w:rPr>
        <w:t xml:space="preserve">vicisitudes relacionadas con el uso del </w:t>
      </w:r>
      <w:r w:rsidR="001B4DD5">
        <w:rPr>
          <w:rFonts w:ascii="Arial" w:eastAsia="Calibri" w:hAnsi="Arial" w:cs="Arial"/>
          <w:sz w:val="23"/>
          <w:szCs w:val="23"/>
        </w:rPr>
        <w:t xml:space="preserve">Formulario 1 </w:t>
      </w:r>
      <w:r w:rsidRPr="00024D80">
        <w:rPr>
          <w:rFonts w:ascii="Arial" w:eastAsia="Calibri" w:hAnsi="Arial" w:cs="Arial"/>
          <w:sz w:val="23"/>
          <w:szCs w:val="23"/>
        </w:rPr>
        <w:t xml:space="preserve">el </w:t>
      </w:r>
      <w:r w:rsidR="00C83545">
        <w:rPr>
          <w:rFonts w:ascii="Arial" w:eastAsia="Calibri" w:hAnsi="Arial" w:cs="Arial"/>
          <w:sz w:val="23"/>
          <w:szCs w:val="23"/>
        </w:rPr>
        <w:t xml:space="preserve">Documento Base </w:t>
      </w:r>
      <w:r w:rsidRPr="00024D80">
        <w:rPr>
          <w:rFonts w:ascii="Arial" w:eastAsia="Calibri" w:hAnsi="Arial" w:cs="Arial"/>
          <w:sz w:val="23"/>
          <w:szCs w:val="23"/>
        </w:rPr>
        <w:t xml:space="preserve">de licitación </w:t>
      </w:r>
      <w:r w:rsidR="00C70CCA">
        <w:rPr>
          <w:rFonts w:ascii="Arial" w:eastAsia="Calibri" w:hAnsi="Arial" w:cs="Arial"/>
          <w:sz w:val="23"/>
          <w:szCs w:val="23"/>
        </w:rPr>
        <w:t>de</w:t>
      </w:r>
      <w:r w:rsidR="00C70CCA" w:rsidRPr="00024D80">
        <w:rPr>
          <w:rFonts w:ascii="Arial" w:eastAsia="Calibri" w:hAnsi="Arial" w:cs="Arial"/>
          <w:sz w:val="23"/>
          <w:szCs w:val="23"/>
        </w:rPr>
        <w:t xml:space="preserve"> </w:t>
      </w:r>
      <w:r w:rsidRPr="00024D80">
        <w:rPr>
          <w:rFonts w:ascii="Arial" w:eastAsia="Calibri" w:hAnsi="Arial" w:cs="Arial"/>
          <w:sz w:val="23"/>
          <w:szCs w:val="23"/>
        </w:rPr>
        <w:t>obra pública de infraestructura de transporte</w:t>
      </w:r>
      <w:r w:rsidR="00C83545">
        <w:rPr>
          <w:rFonts w:ascii="Arial" w:eastAsia="Calibri" w:hAnsi="Arial" w:cs="Arial"/>
          <w:sz w:val="23"/>
          <w:szCs w:val="23"/>
        </w:rPr>
        <w:t xml:space="preserve"> – </w:t>
      </w:r>
      <w:r w:rsidR="00C70CCA">
        <w:rPr>
          <w:rFonts w:ascii="Arial" w:eastAsia="Calibri" w:hAnsi="Arial" w:cs="Arial"/>
          <w:sz w:val="23"/>
          <w:szCs w:val="23"/>
        </w:rPr>
        <w:t>v</w:t>
      </w:r>
      <w:r w:rsidR="00C83545">
        <w:rPr>
          <w:rFonts w:ascii="Arial" w:eastAsia="Calibri" w:hAnsi="Arial" w:cs="Arial"/>
          <w:sz w:val="23"/>
          <w:szCs w:val="23"/>
        </w:rPr>
        <w:t>ersión 3</w:t>
      </w:r>
      <w:r w:rsidRPr="00024D80">
        <w:rPr>
          <w:rFonts w:ascii="Arial" w:eastAsia="Calibri" w:hAnsi="Arial" w:cs="Arial"/>
          <w:sz w:val="23"/>
          <w:szCs w:val="23"/>
        </w:rPr>
        <w:t xml:space="preserve">, </w:t>
      </w:r>
      <w:r w:rsidR="00C70CCA">
        <w:rPr>
          <w:rFonts w:ascii="Arial" w:eastAsia="Calibri" w:hAnsi="Arial" w:cs="Arial"/>
          <w:sz w:val="23"/>
          <w:szCs w:val="23"/>
        </w:rPr>
        <w:t>contempla varias</w:t>
      </w:r>
      <w:r w:rsidR="00E07FE6">
        <w:rPr>
          <w:rFonts w:ascii="Arial" w:eastAsia="Calibri" w:hAnsi="Arial" w:cs="Arial"/>
          <w:sz w:val="23"/>
          <w:szCs w:val="23"/>
        </w:rPr>
        <w:t xml:space="preserve"> causales de rechazo. Entre estas las que in</w:t>
      </w:r>
      <w:r w:rsidR="00472694">
        <w:rPr>
          <w:rFonts w:ascii="Arial" w:eastAsia="Calibri" w:hAnsi="Arial" w:cs="Arial"/>
          <w:sz w:val="23"/>
          <w:szCs w:val="23"/>
        </w:rPr>
        <w:t>dican como circunstancias que</w:t>
      </w:r>
      <w:r w:rsidR="00BE4555">
        <w:rPr>
          <w:rFonts w:ascii="Arial" w:eastAsia="Calibri" w:hAnsi="Arial" w:cs="Arial"/>
          <w:sz w:val="23"/>
          <w:szCs w:val="23"/>
        </w:rPr>
        <w:t xml:space="preserve"> generan el rechazo:</w:t>
      </w:r>
      <w:r w:rsidR="00472694">
        <w:rPr>
          <w:rFonts w:ascii="Arial" w:eastAsia="Calibri" w:hAnsi="Arial" w:cs="Arial"/>
          <w:sz w:val="23"/>
          <w:szCs w:val="23"/>
        </w:rPr>
        <w:t xml:space="preserve"> </w:t>
      </w:r>
      <w:r w:rsidRPr="00024D80">
        <w:rPr>
          <w:rFonts w:ascii="Arial" w:eastAsia="Calibri" w:hAnsi="Arial" w:cs="Arial"/>
          <w:sz w:val="23"/>
          <w:szCs w:val="23"/>
        </w:rPr>
        <w:t xml:space="preserve">«M. Que el valor total de la oferta o aquel revisado en la audiencia efectiva </w:t>
      </w:r>
      <w:r w:rsidRPr="002F43F8">
        <w:rPr>
          <w:rFonts w:ascii="Arial" w:eastAsia="Calibri" w:hAnsi="Arial" w:cs="Arial"/>
          <w:sz w:val="23"/>
          <w:szCs w:val="23"/>
        </w:rPr>
        <w:t>de adjudicación exceda el presupuesto oficial estimado para el proceso de contratación» y que «O. Que el proponente adicione, suprima, cambie, o modifique los ítems, la descripción, las especificaciones, el detalle, las unidades o cantidades señaladas en el Formulario 1 – Formulario de Presupuesto Oficial, de acuerdo con lo exigido por la entidad</w:t>
      </w:r>
      <w:r w:rsidRPr="00024D80">
        <w:rPr>
          <w:rFonts w:ascii="Arial" w:eastAsia="Calibri" w:hAnsi="Arial" w:cs="Arial"/>
          <w:sz w:val="23"/>
          <w:szCs w:val="23"/>
        </w:rPr>
        <w:t>».</w:t>
      </w:r>
    </w:p>
    <w:p w14:paraId="227F94CA" w14:textId="77777777" w:rsidR="00024D80" w:rsidRPr="00024D80" w:rsidRDefault="00024D80" w:rsidP="00024D80">
      <w:pPr>
        <w:tabs>
          <w:tab w:val="left" w:pos="709"/>
        </w:tabs>
        <w:spacing w:after="120"/>
        <w:ind w:firstLine="709"/>
        <w:rPr>
          <w:rFonts w:ascii="Arial" w:eastAsia="Calibri" w:hAnsi="Arial" w:cs="Arial"/>
          <w:sz w:val="23"/>
          <w:szCs w:val="23"/>
        </w:rPr>
      </w:pPr>
      <w:r w:rsidRPr="00024D80">
        <w:rPr>
          <w:rFonts w:ascii="Arial" w:eastAsia="Calibri" w:hAnsi="Arial" w:cs="Arial"/>
          <w:sz w:val="23"/>
          <w:szCs w:val="23"/>
        </w:rPr>
        <w:t>Dado que «Las propuestas deben referirse y sujetarse a todos y cada uno de los puntos contenidos en el pliego de condiciones […]»</w:t>
      </w:r>
      <w:r w:rsidRPr="00024D80">
        <w:rPr>
          <w:rFonts w:ascii="Arial" w:eastAsia="Calibri" w:hAnsi="Arial" w:cs="Arial"/>
          <w:sz w:val="23"/>
          <w:szCs w:val="23"/>
          <w:vertAlign w:val="superscript"/>
        </w:rPr>
        <w:footnoteReference w:id="8"/>
      </w:r>
      <w:r w:rsidRPr="00024D80">
        <w:rPr>
          <w:rFonts w:ascii="Arial" w:eastAsia="Calibri" w:hAnsi="Arial" w:cs="Arial"/>
          <w:sz w:val="23"/>
          <w:szCs w:val="23"/>
        </w:rPr>
        <w:t xml:space="preserve">, si el proponente manifiesta la intención de cumplir con especificaciones distintas a las exigidas por la entidad, se justifican las causales de rechazo mencionadas en el párrafo precedente. Esto considerando que la propuesta no sería congruente con lo </w:t>
      </w:r>
      <w:r w:rsidRPr="00024D80">
        <w:rPr>
          <w:rFonts w:ascii="Arial" w:eastAsia="Calibri" w:hAnsi="Arial" w:cs="Arial"/>
          <w:sz w:val="23"/>
          <w:szCs w:val="23"/>
        </w:rPr>
        <w:lastRenderedPageBreak/>
        <w:t>exigido por la entidad, de manera que ello implica que el proponente ejecutará el contrato en condiciones diferentes a las previstas en el «Formulario 1 – Formulario de Presupuesto Oficial»</w:t>
      </w:r>
      <w:r w:rsidRPr="00024D80">
        <w:rPr>
          <w:rFonts w:ascii="Arial" w:eastAsia="Calibri" w:hAnsi="Arial" w:cs="Arial"/>
          <w:sz w:val="23"/>
          <w:szCs w:val="23"/>
          <w:vertAlign w:val="superscript"/>
        </w:rPr>
        <w:footnoteReference w:id="9"/>
      </w:r>
      <w:r w:rsidRPr="00024D80">
        <w:rPr>
          <w:rFonts w:ascii="Arial" w:eastAsia="Calibri" w:hAnsi="Arial" w:cs="Arial"/>
          <w:sz w:val="23"/>
          <w:szCs w:val="23"/>
        </w:rPr>
        <w:t xml:space="preserve">.  </w:t>
      </w:r>
    </w:p>
    <w:p w14:paraId="137BCB66" w14:textId="449D764F" w:rsidR="00024D80" w:rsidRPr="00024D80" w:rsidRDefault="003B7F16" w:rsidP="00024D80">
      <w:pPr>
        <w:widowControl w:val="0"/>
        <w:autoSpaceDE w:val="0"/>
        <w:autoSpaceDN w:val="0"/>
        <w:spacing w:after="120"/>
        <w:ind w:firstLine="709"/>
        <w:rPr>
          <w:rFonts w:ascii="Arial" w:eastAsia="Arial" w:hAnsi="Arial" w:cs="Arial"/>
          <w:sz w:val="23"/>
          <w:szCs w:val="23"/>
          <w:lang w:val="es-ES"/>
        </w:rPr>
      </w:pPr>
      <w:bookmarkStart w:id="6" w:name="_Hlk71034461"/>
      <w:r>
        <w:rPr>
          <w:rFonts w:ascii="Arial" w:eastAsia="Arial" w:hAnsi="Arial" w:cs="Arial"/>
          <w:sz w:val="23"/>
          <w:szCs w:val="23"/>
          <w:lang w:val="es-ES"/>
        </w:rPr>
        <w:t>Por otro lado</w:t>
      </w:r>
      <w:r w:rsidR="00024D80" w:rsidRPr="00024D80">
        <w:rPr>
          <w:rFonts w:ascii="Arial" w:eastAsia="Arial" w:hAnsi="Arial" w:cs="Arial"/>
          <w:sz w:val="23"/>
          <w:szCs w:val="23"/>
          <w:lang w:val="es-ES"/>
        </w:rPr>
        <w:t>, no existe una causal de rechazo en los «Documentos Tipo – Versión 3» para licitación de obra pública de infraestructura de transporte por la modificación del valor de algún ítem previsto en el «Formulario 1»</w:t>
      </w:r>
      <w:bookmarkEnd w:id="6"/>
      <w:r w:rsidR="00024D80" w:rsidRPr="00024D80">
        <w:rPr>
          <w:rFonts w:ascii="Arial" w:eastAsia="Arial" w:hAnsi="Arial" w:cs="Arial"/>
          <w:sz w:val="23"/>
          <w:szCs w:val="23"/>
          <w:lang w:val="es-ES"/>
        </w:rPr>
        <w:t>. De hecho, el documento base tampoco contempla la posibilidad de definir valores fijos dentro del formulario de presupuesto oficial, entendiendo este concepto como el precio estimado para un ítem que no puede variar por exceso ni por defecto. De hecho, en este supuesto de alteración del pliego de condiciones no es aplicable la causal de rechazo del literal O del numeral 1.15 pues se refiere los cambios en los «[…] ítems, la descripción, las especificaciones, el detalle, las unidades o cantidades señaladas en el Formulario 1 […]», excluyendo el valor de cada uno de ellos. De igual forma, tampoco aplica la causal del rechazo del literal M, pues se refiere a la suma total del presupuesto estimado, mas no al valor de cada uno de sus componentes.</w:t>
      </w:r>
    </w:p>
    <w:p w14:paraId="0F36BC82" w14:textId="38E8C06B" w:rsidR="00024D80" w:rsidRPr="00024D80" w:rsidRDefault="00024D80" w:rsidP="00024D80">
      <w:pPr>
        <w:spacing w:after="0"/>
        <w:ind w:firstLine="709"/>
        <w:rPr>
          <w:rFonts w:ascii="Arial" w:eastAsia="Calibri" w:hAnsi="Arial" w:cs="Arial"/>
          <w:color w:val="000000"/>
          <w:sz w:val="23"/>
          <w:szCs w:val="23"/>
          <w:lang w:val="es-ES"/>
        </w:rPr>
      </w:pPr>
      <w:r w:rsidRPr="007E11A8">
        <w:rPr>
          <w:rFonts w:ascii="Arial" w:eastAsia="Calibri" w:hAnsi="Arial" w:cs="Arial"/>
          <w:color w:val="000000"/>
          <w:sz w:val="23"/>
          <w:szCs w:val="23"/>
          <w:lang w:val="es-ES"/>
        </w:rPr>
        <w:t>Pese a que no es posible establecer valores inmodificables como criterio de rechazo, el pliego de los documentos tipo adoptados mediante la Resolución 240 de 2020</w:t>
      </w:r>
      <w:r w:rsidR="00245909" w:rsidRPr="007E11A8">
        <w:rPr>
          <w:rFonts w:ascii="Arial" w:eastAsia="Calibri" w:hAnsi="Arial" w:cs="Arial"/>
          <w:color w:val="000000"/>
          <w:sz w:val="23"/>
          <w:szCs w:val="23"/>
          <w:lang w:val="es-ES"/>
        </w:rPr>
        <w:t>, modificado por la Resolución 304 de 2021,</w:t>
      </w:r>
      <w:r w:rsidRPr="007E11A8">
        <w:rPr>
          <w:rFonts w:ascii="Arial" w:eastAsia="Calibri" w:hAnsi="Arial" w:cs="Arial"/>
          <w:sz w:val="23"/>
          <w:szCs w:val="23"/>
          <w:lang w:val="es-ES"/>
        </w:rPr>
        <w:t xml:space="preserve"> permite</w:t>
      </w:r>
      <w:r w:rsidRPr="007E11A8">
        <w:rPr>
          <w:rFonts w:ascii="Arial" w:eastAsia="Calibri" w:hAnsi="Arial" w:cs="Arial"/>
          <w:color w:val="000000"/>
          <w:sz w:val="23"/>
          <w:szCs w:val="23"/>
          <w:lang w:val="es-ES"/>
        </w:rPr>
        <w:t xml:space="preserve"> establecer ítems del presupuesto oficial cuyo valor no puede exceder el proponente. Al respecto,</w:t>
      </w:r>
      <w:r w:rsidR="00885C0F">
        <w:rPr>
          <w:rFonts w:ascii="Arial" w:eastAsia="Calibri" w:hAnsi="Arial" w:cs="Arial"/>
          <w:color w:val="000000"/>
          <w:sz w:val="23"/>
          <w:szCs w:val="23"/>
          <w:lang w:val="es-ES"/>
        </w:rPr>
        <w:t xml:space="preserve"> se establece la causal de rechazo d</w:t>
      </w:r>
      <w:r w:rsidRPr="007E11A8">
        <w:rPr>
          <w:rFonts w:ascii="Arial" w:eastAsia="Calibri" w:hAnsi="Arial" w:cs="Arial"/>
          <w:color w:val="000000"/>
          <w:sz w:val="23"/>
          <w:szCs w:val="23"/>
          <w:lang w:val="es-ES"/>
        </w:rPr>
        <w:t>el literal Q del numeral 1.15 dispone como causal de rechazo:</w:t>
      </w:r>
      <w:r w:rsidRPr="00024D80">
        <w:rPr>
          <w:rFonts w:ascii="Arial" w:eastAsia="Calibri" w:hAnsi="Arial" w:cs="Arial"/>
          <w:color w:val="000000"/>
          <w:sz w:val="23"/>
          <w:szCs w:val="23"/>
          <w:lang w:val="es-ES"/>
        </w:rPr>
        <w:t xml:space="preserve"> </w:t>
      </w:r>
    </w:p>
    <w:p w14:paraId="41EA8066" w14:textId="77777777" w:rsidR="00024D80" w:rsidRPr="00024D80" w:rsidRDefault="00024D80" w:rsidP="00024D80">
      <w:pPr>
        <w:spacing w:after="0"/>
        <w:ind w:firstLine="709"/>
        <w:rPr>
          <w:rFonts w:ascii="Arial" w:eastAsia="Calibri" w:hAnsi="Arial" w:cs="Arial"/>
          <w:color w:val="000000"/>
          <w:sz w:val="23"/>
          <w:szCs w:val="23"/>
          <w:lang w:val="es-ES"/>
        </w:rPr>
      </w:pPr>
    </w:p>
    <w:p w14:paraId="5C4C933B" w14:textId="77777777" w:rsidR="00024D80" w:rsidRPr="00645C55" w:rsidRDefault="00024D80" w:rsidP="00024D80">
      <w:pPr>
        <w:tabs>
          <w:tab w:val="left" w:pos="709"/>
        </w:tabs>
        <w:spacing w:after="120" w:line="240" w:lineRule="auto"/>
        <w:ind w:left="709" w:right="709"/>
        <w:rPr>
          <w:rFonts w:ascii="Arial" w:hAnsi="Arial"/>
          <w:color w:val="000000" w:themeColor="text1"/>
          <w:sz w:val="21"/>
          <w:szCs w:val="21"/>
          <w:highlight w:val="lightGray"/>
        </w:rPr>
      </w:pPr>
      <w:r w:rsidRPr="00645C55">
        <w:rPr>
          <w:rFonts w:ascii="Arial" w:eastAsia="Calibri" w:hAnsi="Arial" w:cs="Arial"/>
          <w:sz w:val="21"/>
          <w:szCs w:val="21"/>
        </w:rPr>
        <w:t xml:space="preserve">Q.  </w:t>
      </w:r>
      <w:r w:rsidRPr="00645C55">
        <w:rPr>
          <w:rFonts w:ascii="Arial" w:hAnsi="Arial"/>
          <w:color w:val="000000" w:themeColor="text1"/>
          <w:sz w:val="21"/>
          <w:szCs w:val="21"/>
          <w:highlight w:val="lightGray"/>
        </w:rPr>
        <w:t>[Incluir solo cuando la forma de pago sea por precios unitarios]</w:t>
      </w:r>
      <w:r w:rsidRPr="00645C55">
        <w:rPr>
          <w:rFonts w:ascii="Arial" w:eastAsia="Calibri" w:hAnsi="Arial" w:cs="Arial"/>
          <w:sz w:val="21"/>
          <w:szCs w:val="21"/>
        </w:rPr>
        <w:t xml:space="preserve"> Superar el valor unitario de alguno o algunos de los siguientes ítems ofrecidos con respecto al valor establecido para cada ítem del presupuesto oficial: </w:t>
      </w:r>
      <w:r w:rsidRPr="00645C55">
        <w:rPr>
          <w:rFonts w:ascii="Arial" w:hAnsi="Arial"/>
          <w:color w:val="000000" w:themeColor="text1"/>
          <w:sz w:val="21"/>
          <w:szCs w:val="21"/>
          <w:highlight w:val="lightGray"/>
        </w:rPr>
        <w:t xml:space="preserve">[La entidad debe incluir esta causal cuando la forma de pago sea por precios unitarios y cuando considere necesario establecer ítems del presupuesto </w:t>
      </w:r>
      <w:r w:rsidRPr="00645C55">
        <w:rPr>
          <w:rFonts w:ascii="Arial" w:hAnsi="Arial"/>
          <w:color w:val="000000" w:themeColor="text1"/>
          <w:sz w:val="21"/>
          <w:szCs w:val="21"/>
          <w:highlight w:val="lightGray"/>
        </w:rPr>
        <w:lastRenderedPageBreak/>
        <w:t xml:space="preserve">oficial cuyo valor no pueda ser excedido por el proponente. Cuando decida incluirla, identificará en este espacio los ítems frente a los cuales aplicará la causal de rechazo. </w:t>
      </w:r>
    </w:p>
    <w:p w14:paraId="00B937E6" w14:textId="77777777" w:rsidR="00024D80" w:rsidRPr="00024D80" w:rsidRDefault="00024D80" w:rsidP="00024D80">
      <w:pPr>
        <w:tabs>
          <w:tab w:val="left" w:pos="709"/>
        </w:tabs>
        <w:spacing w:after="0" w:line="240" w:lineRule="auto"/>
        <w:ind w:left="709" w:right="709"/>
        <w:rPr>
          <w:rFonts w:ascii="Arial" w:hAnsi="Arial"/>
          <w:color w:val="000000" w:themeColor="text1"/>
          <w:sz w:val="23"/>
          <w:szCs w:val="23"/>
          <w:highlight w:val="lightGray"/>
        </w:rPr>
      </w:pPr>
      <w:r w:rsidRPr="00024D80">
        <w:rPr>
          <w:rFonts w:ascii="Arial" w:hAnsi="Arial"/>
          <w:color w:val="000000" w:themeColor="text1"/>
          <w:sz w:val="23"/>
          <w:szCs w:val="23"/>
          <w:highlight w:val="lightGray"/>
        </w:rPr>
        <w:t xml:space="preserve">Para la aplicación de esta causal la entidad debe tener en cuenta que el valor unitario establecido en el Formulario 1 – Formulario de Presupuesto Oficial incluye el valor de AIU] </w:t>
      </w:r>
    </w:p>
    <w:p w14:paraId="5CA21086" w14:textId="77777777" w:rsidR="00024D80" w:rsidRPr="00024D80" w:rsidRDefault="00024D80" w:rsidP="00024D80">
      <w:pPr>
        <w:tabs>
          <w:tab w:val="left" w:pos="709"/>
        </w:tabs>
        <w:spacing w:after="0"/>
        <w:ind w:right="709"/>
        <w:rPr>
          <w:rFonts w:ascii="Arial" w:hAnsi="Arial"/>
          <w:color w:val="000000" w:themeColor="text1"/>
          <w:sz w:val="23"/>
          <w:szCs w:val="23"/>
          <w:highlight w:val="lightGray"/>
        </w:rPr>
      </w:pPr>
    </w:p>
    <w:p w14:paraId="796074CE" w14:textId="55CBD3D2" w:rsidR="00D354B9" w:rsidRPr="004708A0" w:rsidRDefault="00D354B9" w:rsidP="00D354B9">
      <w:pPr>
        <w:spacing w:after="120"/>
        <w:ind w:firstLine="709"/>
        <w:rPr>
          <w:rFonts w:ascii="Arial" w:hAnsi="Arial" w:cs="Arial"/>
          <w:sz w:val="22"/>
          <w:lang w:val="es-ES"/>
        </w:rPr>
      </w:pPr>
      <w:r>
        <w:rPr>
          <w:rFonts w:ascii="Arial" w:hAnsi="Arial" w:cs="Arial"/>
          <w:sz w:val="22"/>
          <w:lang w:val="es-ES"/>
        </w:rPr>
        <w:t xml:space="preserve">Respecto de esta </w:t>
      </w:r>
      <w:r w:rsidRPr="004708A0">
        <w:rPr>
          <w:rFonts w:ascii="Arial" w:hAnsi="Arial" w:cs="Arial"/>
          <w:sz w:val="22"/>
          <w:lang w:val="es-ES"/>
        </w:rPr>
        <w:t>causal de rechazo es importante precisar que su inclusión en los pliegos de condiciones es facultativa por parte de las entidades estatales, en el entendido de que la utilizarán en los procesos contractuales que se estructuren por precios unitarios cuando la entidad</w:t>
      </w:r>
      <w:r>
        <w:rPr>
          <w:rFonts w:ascii="Arial" w:hAnsi="Arial" w:cs="Arial"/>
          <w:sz w:val="22"/>
          <w:lang w:val="es-ES"/>
        </w:rPr>
        <w:t xml:space="preserve"> «</w:t>
      </w:r>
      <w:r w:rsidRPr="0099569A">
        <w:rPr>
          <w:rFonts w:ascii="Arial" w:hAnsi="Arial" w:cs="Arial"/>
          <w:sz w:val="22"/>
          <w:highlight w:val="lightGray"/>
          <w:lang w:val="es-ES"/>
        </w:rPr>
        <w:t>considere necesario establecer ítems del presupuesto oficial cuyo valor no pueda ser excedido por el proponente</w:t>
      </w:r>
      <w:r>
        <w:rPr>
          <w:rFonts w:ascii="Arial" w:hAnsi="Arial" w:cs="Arial"/>
          <w:sz w:val="22"/>
          <w:lang w:val="es-ES"/>
        </w:rPr>
        <w:t xml:space="preserve">». </w:t>
      </w:r>
      <w:r w:rsidRPr="004708A0">
        <w:rPr>
          <w:rFonts w:ascii="Arial" w:hAnsi="Arial" w:cs="Arial"/>
          <w:sz w:val="22"/>
          <w:lang w:val="es-ES"/>
        </w:rPr>
        <w:t>En este sentido, le corresponde a la entidad decidir, de acuerdo con lo anterior, si incluye esta causal en los pliegos de condiciones, para lo cual deberá seguir las instrucciones establecidas entre corchetes y resaltado en gris.</w:t>
      </w:r>
    </w:p>
    <w:p w14:paraId="046DEB11" w14:textId="77777777" w:rsidR="00D354B9" w:rsidRPr="004708A0" w:rsidRDefault="00D354B9" w:rsidP="00D354B9">
      <w:pPr>
        <w:spacing w:after="120"/>
        <w:ind w:firstLine="709"/>
        <w:rPr>
          <w:rFonts w:ascii="Arial" w:hAnsi="Arial" w:cs="Arial"/>
          <w:sz w:val="22"/>
          <w:lang w:val="es-ES"/>
        </w:rPr>
      </w:pPr>
      <w:r w:rsidRPr="004708A0">
        <w:rPr>
          <w:rFonts w:ascii="Arial" w:hAnsi="Arial" w:cs="Arial"/>
          <w:sz w:val="22"/>
          <w:lang w:val="es-ES"/>
        </w:rPr>
        <w:t>De esta manera, esta causal permite establecer un límite máximo en el valor de ciertos ítems determinados para el proceso de contratación, para lo cual la entidad tendrá que identificar en la causal de rechazo del literal Q, los ítems frente a los cuales aplicará la causal, de modo que el proponente no podría superar el valor unitario de los ítems que la entidad incluya en dicho literal. En efecto, la entidad tiene la carga de identificar estos ítems, pues como lo establece el documento tipo en el aparte transcrito anteriormente</w:t>
      </w:r>
      <w:r w:rsidRPr="00DD3943">
        <w:rPr>
          <w:rFonts w:ascii="Arial" w:hAnsi="Arial" w:cs="Arial"/>
          <w:sz w:val="22"/>
          <w:lang w:val="es-ES"/>
        </w:rPr>
        <w:t>, «</w:t>
      </w:r>
      <w:r w:rsidRPr="0099569A">
        <w:rPr>
          <w:rFonts w:ascii="Arial" w:hAnsi="Arial"/>
          <w:color w:val="000000" w:themeColor="text1"/>
          <w:sz w:val="22"/>
          <w:highlight w:val="lightGray"/>
        </w:rPr>
        <w:t>Cuando decida incluirla, identificará en este espacio los ítems frente a los cuales aplicará la causal de rechazo</w:t>
      </w:r>
      <w:r w:rsidRPr="00DD3943">
        <w:rPr>
          <w:rFonts w:ascii="Arial" w:hAnsi="Arial" w:cs="Arial"/>
          <w:sz w:val="22"/>
          <w:lang w:val="es-ES"/>
        </w:rPr>
        <w:t>»</w:t>
      </w:r>
      <w:r>
        <w:rPr>
          <w:rFonts w:ascii="Arial" w:hAnsi="Arial" w:cs="Arial"/>
          <w:sz w:val="22"/>
          <w:lang w:val="es-ES"/>
        </w:rPr>
        <w:t xml:space="preserve">. </w:t>
      </w:r>
      <w:r w:rsidRPr="004708A0">
        <w:rPr>
          <w:rFonts w:ascii="Arial" w:hAnsi="Arial" w:cs="Arial"/>
          <w:sz w:val="22"/>
          <w:lang w:val="es-ES"/>
        </w:rPr>
        <w:t>Además, la entidad definirá discrecional y razonablemente los ítems frente a los que procede, pues los documentos tipo no establecen lineamientos precisos frente a la procedencia o improcedencia de incluirla en relación con ciertos ítems, por lo que es un análisis que corresponde a la entidad estatal.</w:t>
      </w:r>
    </w:p>
    <w:p w14:paraId="07DF91C5" w14:textId="2AAB2304" w:rsidR="00D354B9" w:rsidRDefault="00D354B9" w:rsidP="00D354B9">
      <w:pPr>
        <w:spacing w:after="120"/>
        <w:ind w:firstLine="709"/>
        <w:rPr>
          <w:rFonts w:ascii="Arial" w:hAnsi="Arial" w:cs="Arial"/>
          <w:sz w:val="22"/>
          <w:lang w:val="es-CO"/>
        </w:rPr>
      </w:pPr>
      <w:r w:rsidRPr="004708A0">
        <w:rPr>
          <w:rFonts w:ascii="Arial" w:hAnsi="Arial" w:cs="Arial"/>
          <w:sz w:val="22"/>
          <w:lang w:val="es-ES"/>
        </w:rPr>
        <w:t xml:space="preserve"> De otro lado, cabe aclarar que la utilización de la causal, bajo los criterios indicados, no implica que el valor de estos ítems se torne inmodificable, pues si bien la causal prohíbe ofrecimientos por exceso, es posible que el proponente ajuste el precio a la baja, esto es, ofreciendo un valor inferior frente a estes ítems. Además, la inclusión facultativa de la causal analizada produce beneficios para el interés general dentro procedimientos de selección con pluralidad de oferentes como la licitación pública, pues garantiza el cumplimiento de las especificaciones definidas por la entidad al menor costo posible. Lo anterior, sin perder de vista que la causal analizada </w:t>
      </w:r>
      <w:r w:rsidRPr="004708A0">
        <w:rPr>
          <w:rFonts w:ascii="Arial" w:hAnsi="Arial" w:cs="Arial"/>
          <w:sz w:val="22"/>
          <w:lang w:val="es-CO"/>
        </w:rPr>
        <w:t xml:space="preserve">únicamente rige en los procesos de selección en los que se contrate por </w:t>
      </w:r>
      <w:r w:rsidRPr="004708A0">
        <w:rPr>
          <w:rFonts w:ascii="Arial" w:hAnsi="Arial" w:cs="Arial"/>
          <w:sz w:val="22"/>
          <w:lang w:val="es-CO"/>
        </w:rPr>
        <w:lastRenderedPageBreak/>
        <w:t>precios unitarios, siendo además necesario que la entidad defina los ítems frente a los cuales aplica el rechazo.</w:t>
      </w:r>
    </w:p>
    <w:p w14:paraId="026B0847" w14:textId="2F0F2F04" w:rsidR="00AF5F09" w:rsidRPr="004708A0" w:rsidRDefault="00AF5F09" w:rsidP="00D354B9">
      <w:pPr>
        <w:spacing w:after="120"/>
        <w:ind w:firstLine="709"/>
        <w:rPr>
          <w:rFonts w:ascii="Arial" w:hAnsi="Arial" w:cs="Arial"/>
          <w:sz w:val="22"/>
          <w:lang w:val="es-ES"/>
        </w:rPr>
      </w:pPr>
      <w:r>
        <w:rPr>
          <w:rFonts w:ascii="Arial" w:hAnsi="Arial" w:cs="Arial"/>
          <w:sz w:val="22"/>
          <w:lang w:val="es-CO"/>
        </w:rPr>
        <w:t xml:space="preserve">Conforme a lo anterior, eventos como en el señalado de la </w:t>
      </w:r>
      <w:r w:rsidR="00705E94">
        <w:rPr>
          <w:rFonts w:ascii="Arial" w:hAnsi="Arial" w:cs="Arial"/>
          <w:sz w:val="22"/>
          <w:lang w:val="es-CO"/>
        </w:rPr>
        <w:t xml:space="preserve">petición, en el que </w:t>
      </w:r>
      <w:r w:rsidR="00005E4E">
        <w:rPr>
          <w:rFonts w:ascii="Arial" w:hAnsi="Arial" w:cs="Arial"/>
          <w:sz w:val="22"/>
          <w:lang w:val="es-CO"/>
        </w:rPr>
        <w:t>una entidad</w:t>
      </w:r>
      <w:r w:rsidR="00705E94">
        <w:rPr>
          <w:rFonts w:ascii="Arial" w:hAnsi="Arial" w:cs="Arial"/>
          <w:sz w:val="22"/>
          <w:lang w:val="es-CO"/>
        </w:rPr>
        <w:t xml:space="preserve"> incluye </w:t>
      </w:r>
      <w:r w:rsidR="00005E4E">
        <w:rPr>
          <w:rFonts w:ascii="Arial" w:hAnsi="Arial" w:cs="Arial"/>
          <w:sz w:val="22"/>
          <w:lang w:val="es-CO"/>
        </w:rPr>
        <w:t>la causal de rechazo del literal Q, pero sin cumplir con la</w:t>
      </w:r>
      <w:r w:rsidR="00833AE2">
        <w:rPr>
          <w:rFonts w:ascii="Arial" w:hAnsi="Arial" w:cs="Arial"/>
          <w:sz w:val="22"/>
          <w:lang w:val="es-CO"/>
        </w:rPr>
        <w:t xml:space="preserve">s </w:t>
      </w:r>
      <w:r w:rsidR="00005E4E">
        <w:rPr>
          <w:rFonts w:ascii="Arial" w:hAnsi="Arial" w:cs="Arial"/>
          <w:sz w:val="22"/>
          <w:lang w:val="es-CO"/>
        </w:rPr>
        <w:t xml:space="preserve">  </w:t>
      </w:r>
      <w:r w:rsidR="00705E94">
        <w:rPr>
          <w:rFonts w:ascii="Arial" w:hAnsi="Arial" w:cs="Arial"/>
          <w:sz w:val="22"/>
          <w:lang w:val="es-CO"/>
        </w:rPr>
        <w:t xml:space="preserve"> </w:t>
      </w:r>
    </w:p>
    <w:p w14:paraId="795AC2C9" w14:textId="428568C0" w:rsidR="008264EF" w:rsidRDefault="001959BF" w:rsidP="00024D80">
      <w:pPr>
        <w:spacing w:after="120"/>
        <w:ind w:firstLine="709"/>
        <w:rPr>
          <w:rFonts w:ascii="Arial" w:eastAsia="Calibri" w:hAnsi="Arial" w:cs="Arial"/>
          <w:sz w:val="23"/>
          <w:szCs w:val="23"/>
          <w:lang w:val="es-CO"/>
        </w:rPr>
      </w:pPr>
      <w:r>
        <w:rPr>
          <w:rFonts w:ascii="Arial" w:eastAsia="Calibri" w:hAnsi="Arial" w:cs="Arial"/>
          <w:sz w:val="23"/>
          <w:szCs w:val="23"/>
          <w:lang w:val="es-CO"/>
        </w:rPr>
        <w:t xml:space="preserve">Ahora bien, </w:t>
      </w:r>
      <w:r w:rsidR="008264EF">
        <w:rPr>
          <w:rFonts w:ascii="Arial" w:eastAsia="Calibri" w:hAnsi="Arial" w:cs="Arial"/>
          <w:sz w:val="23"/>
          <w:szCs w:val="23"/>
          <w:lang w:val="es-CO"/>
        </w:rPr>
        <w:t>con relación a</w:t>
      </w:r>
      <w:r w:rsidR="00AE6188">
        <w:rPr>
          <w:rFonts w:ascii="Arial" w:eastAsia="Calibri" w:hAnsi="Arial" w:cs="Arial"/>
          <w:sz w:val="23"/>
          <w:szCs w:val="23"/>
          <w:lang w:val="es-CO"/>
        </w:rPr>
        <w:t xml:space="preserve"> </w:t>
      </w:r>
      <w:proofErr w:type="spellStart"/>
      <w:r w:rsidR="00AE6188">
        <w:rPr>
          <w:rFonts w:ascii="Arial" w:eastAsia="Calibri" w:hAnsi="Arial" w:cs="Arial"/>
          <w:sz w:val="23"/>
          <w:szCs w:val="23"/>
          <w:lang w:val="es-CO"/>
        </w:rPr>
        <w:t>como</w:t>
      </w:r>
      <w:proofErr w:type="spellEnd"/>
      <w:r w:rsidR="00AE6188">
        <w:rPr>
          <w:rFonts w:ascii="Arial" w:eastAsia="Calibri" w:hAnsi="Arial" w:cs="Arial"/>
          <w:sz w:val="23"/>
          <w:szCs w:val="23"/>
          <w:lang w:val="es-CO"/>
        </w:rPr>
        <w:t xml:space="preserve"> debe </w:t>
      </w:r>
      <w:r w:rsidR="001734E7">
        <w:rPr>
          <w:rFonts w:ascii="Arial" w:eastAsia="Calibri" w:hAnsi="Arial" w:cs="Arial"/>
          <w:sz w:val="23"/>
          <w:szCs w:val="23"/>
          <w:lang w:val="es-CO"/>
        </w:rPr>
        <w:t>aplicarse la</w:t>
      </w:r>
      <w:r w:rsidR="00545730">
        <w:rPr>
          <w:rFonts w:ascii="Arial" w:eastAsia="Calibri" w:hAnsi="Arial" w:cs="Arial"/>
          <w:sz w:val="23"/>
          <w:szCs w:val="23"/>
          <w:lang w:val="es-CO"/>
        </w:rPr>
        <w:t xml:space="preserve"> causal del literal Q,</w:t>
      </w:r>
      <w:r w:rsidR="001734E7">
        <w:rPr>
          <w:rFonts w:ascii="Arial" w:eastAsia="Calibri" w:hAnsi="Arial" w:cs="Arial"/>
          <w:sz w:val="23"/>
          <w:szCs w:val="23"/>
          <w:lang w:val="es-CO"/>
        </w:rPr>
        <w:t xml:space="preserve"> en caso</w:t>
      </w:r>
      <w:r w:rsidR="00576132">
        <w:rPr>
          <w:rFonts w:ascii="Arial" w:eastAsia="Calibri" w:hAnsi="Arial" w:cs="Arial"/>
          <w:sz w:val="23"/>
          <w:szCs w:val="23"/>
          <w:lang w:val="es-CO"/>
        </w:rPr>
        <w:t xml:space="preserve"> de que una entidad la incluya en</w:t>
      </w:r>
      <w:r w:rsidR="00545730">
        <w:rPr>
          <w:rFonts w:ascii="Arial" w:eastAsia="Calibri" w:hAnsi="Arial" w:cs="Arial"/>
          <w:sz w:val="23"/>
          <w:szCs w:val="23"/>
          <w:lang w:val="es-CO"/>
        </w:rPr>
        <w:t xml:space="preserve"> </w:t>
      </w:r>
      <w:r w:rsidR="00576132">
        <w:rPr>
          <w:rFonts w:ascii="Arial" w:eastAsia="Calibri" w:hAnsi="Arial" w:cs="Arial"/>
          <w:sz w:val="23"/>
          <w:szCs w:val="23"/>
          <w:lang w:val="es-CO"/>
        </w:rPr>
        <w:t>el pliego de condiciones definitivo sin</w:t>
      </w:r>
      <w:r w:rsidR="00545730">
        <w:rPr>
          <w:rFonts w:ascii="Arial" w:eastAsia="Calibri" w:hAnsi="Arial" w:cs="Arial"/>
          <w:sz w:val="23"/>
          <w:szCs w:val="23"/>
          <w:lang w:val="es-CO"/>
        </w:rPr>
        <w:t xml:space="preserve"> determinar los </w:t>
      </w:r>
      <w:r w:rsidR="00576132">
        <w:rPr>
          <w:rFonts w:ascii="Arial" w:eastAsia="Calibri" w:hAnsi="Arial" w:cs="Arial"/>
          <w:sz w:val="23"/>
          <w:szCs w:val="23"/>
          <w:lang w:val="es-CO"/>
        </w:rPr>
        <w:t>ítems</w:t>
      </w:r>
      <w:r w:rsidR="00AE6188">
        <w:rPr>
          <w:rFonts w:ascii="Arial" w:eastAsia="Calibri" w:hAnsi="Arial" w:cs="Arial"/>
          <w:sz w:val="23"/>
          <w:szCs w:val="23"/>
          <w:lang w:val="es-CO"/>
        </w:rPr>
        <w:t xml:space="preserve"> </w:t>
      </w:r>
      <w:r w:rsidR="008C03B7">
        <w:rPr>
          <w:rFonts w:ascii="Arial" w:eastAsia="Calibri" w:hAnsi="Arial" w:cs="Arial"/>
          <w:sz w:val="23"/>
          <w:szCs w:val="23"/>
          <w:lang w:val="es-CO"/>
        </w:rPr>
        <w:t>cuyos valores no pueden ser excedidos por los proponentes</w:t>
      </w:r>
      <w:r w:rsidR="00833AE2">
        <w:rPr>
          <w:rFonts w:ascii="Arial" w:eastAsia="Calibri" w:hAnsi="Arial" w:cs="Arial"/>
          <w:sz w:val="23"/>
          <w:szCs w:val="23"/>
          <w:lang w:val="es-CO"/>
        </w:rPr>
        <w:t>, debe advertirse que dicho supuesto se encuentra por fuera de lo regulado por el documento tipo</w:t>
      </w:r>
      <w:r w:rsidR="009B20BF">
        <w:rPr>
          <w:rFonts w:ascii="Arial" w:eastAsia="Calibri" w:hAnsi="Arial" w:cs="Arial"/>
          <w:sz w:val="23"/>
          <w:szCs w:val="23"/>
          <w:lang w:val="es-CO"/>
        </w:rPr>
        <w:t>. De tratarse de un proceso en el que resultaba obligatoria</w:t>
      </w:r>
      <w:r w:rsidR="00FC2CD1">
        <w:rPr>
          <w:rFonts w:ascii="Arial" w:eastAsia="Calibri" w:hAnsi="Arial" w:cs="Arial"/>
          <w:sz w:val="23"/>
          <w:szCs w:val="23"/>
          <w:lang w:val="es-CO"/>
        </w:rPr>
        <w:t xml:space="preserve"> la aplicación del documento tipo, la entidad podría la entidad estar incumpliendo con la instrucción en virtud de la cual debía señalar de manera inequívoca los ítems respecto de los cuales aplica la causal, lo que comportaría una </w:t>
      </w:r>
      <w:r w:rsidR="00337243">
        <w:rPr>
          <w:rFonts w:ascii="Arial" w:eastAsia="Calibri" w:hAnsi="Arial" w:cs="Arial"/>
          <w:sz w:val="23"/>
          <w:szCs w:val="23"/>
          <w:lang w:val="es-CO"/>
        </w:rPr>
        <w:t xml:space="preserve">desatención de la regla de inalterabilidad antes explicada. Por otro lado, si una entidad no obligada a aplicar el documento tipo llegare a incluir esta causal en un proceso de contratación, </w:t>
      </w:r>
      <w:r w:rsidR="002905F3">
        <w:rPr>
          <w:rFonts w:ascii="Arial" w:eastAsia="Calibri" w:hAnsi="Arial" w:cs="Arial"/>
          <w:sz w:val="23"/>
          <w:szCs w:val="23"/>
          <w:lang w:val="es-CO"/>
        </w:rPr>
        <w:t>su aplicación deberá ser analizada en conjunto con las demás reglas que en ejercicio de su discrecionalidad haya incluido la entidad</w:t>
      </w:r>
      <w:r w:rsidR="009D59E1">
        <w:rPr>
          <w:rFonts w:ascii="Arial" w:eastAsia="Calibri" w:hAnsi="Arial" w:cs="Arial"/>
          <w:sz w:val="23"/>
          <w:szCs w:val="23"/>
          <w:lang w:val="es-CO"/>
        </w:rPr>
        <w:t xml:space="preserve"> estatal. </w:t>
      </w:r>
      <w:r w:rsidR="002905F3">
        <w:rPr>
          <w:rFonts w:ascii="Arial" w:eastAsia="Calibri" w:hAnsi="Arial" w:cs="Arial"/>
          <w:sz w:val="23"/>
          <w:szCs w:val="23"/>
          <w:lang w:val="es-CO"/>
        </w:rPr>
        <w:t xml:space="preserve"> </w:t>
      </w:r>
      <w:r w:rsidR="00FC2CD1">
        <w:rPr>
          <w:rFonts w:ascii="Arial" w:eastAsia="Calibri" w:hAnsi="Arial" w:cs="Arial"/>
          <w:sz w:val="23"/>
          <w:szCs w:val="23"/>
          <w:lang w:val="es-CO"/>
        </w:rPr>
        <w:t xml:space="preserve">  </w:t>
      </w:r>
      <w:r w:rsidR="009B20BF">
        <w:rPr>
          <w:rFonts w:ascii="Arial" w:eastAsia="Calibri" w:hAnsi="Arial" w:cs="Arial"/>
          <w:sz w:val="23"/>
          <w:szCs w:val="23"/>
          <w:lang w:val="es-CO"/>
        </w:rPr>
        <w:t xml:space="preserve"> </w:t>
      </w:r>
    </w:p>
    <w:p w14:paraId="0384BA85" w14:textId="1508328F" w:rsidR="00B0312C" w:rsidRDefault="00ED76E2" w:rsidP="00C529C9">
      <w:pPr>
        <w:spacing w:after="0"/>
        <w:rPr>
          <w:rFonts w:ascii="Arial" w:eastAsia="Calibri" w:hAnsi="Arial" w:cs="Arial"/>
          <w:sz w:val="22"/>
        </w:rPr>
      </w:pPr>
      <w:r>
        <w:rPr>
          <w:rFonts w:ascii="Arial" w:eastAsia="Calibri" w:hAnsi="Arial" w:cs="Arial"/>
          <w:sz w:val="22"/>
        </w:rPr>
        <w:tab/>
        <w:t xml:space="preserve">De cualquier modo, </w:t>
      </w:r>
      <w:r w:rsidR="00984C72">
        <w:rPr>
          <w:rFonts w:ascii="Arial" w:eastAsia="Calibri" w:hAnsi="Arial" w:cs="Arial"/>
          <w:sz w:val="22"/>
        </w:rPr>
        <w:t>la forma en la que debe</w:t>
      </w:r>
      <w:r w:rsidR="005C1C8F">
        <w:rPr>
          <w:rFonts w:ascii="Arial" w:eastAsia="Calibri" w:hAnsi="Arial" w:cs="Arial"/>
          <w:sz w:val="22"/>
        </w:rPr>
        <w:t>n</w:t>
      </w:r>
      <w:r w:rsidR="00984C72">
        <w:rPr>
          <w:rFonts w:ascii="Arial" w:eastAsia="Calibri" w:hAnsi="Arial" w:cs="Arial"/>
          <w:sz w:val="22"/>
        </w:rPr>
        <w:t xml:space="preserve"> aplicarse</w:t>
      </w:r>
      <w:r w:rsidR="005C1C8F">
        <w:rPr>
          <w:rFonts w:ascii="Arial" w:eastAsia="Calibri" w:hAnsi="Arial" w:cs="Arial"/>
          <w:sz w:val="22"/>
        </w:rPr>
        <w:t xml:space="preserve"> las</w:t>
      </w:r>
      <w:r w:rsidR="00984C72">
        <w:rPr>
          <w:rFonts w:ascii="Arial" w:eastAsia="Calibri" w:hAnsi="Arial" w:cs="Arial"/>
          <w:sz w:val="22"/>
        </w:rPr>
        <w:t xml:space="preserve"> causal</w:t>
      </w:r>
      <w:r w:rsidR="005C1C8F">
        <w:rPr>
          <w:rFonts w:ascii="Arial" w:eastAsia="Calibri" w:hAnsi="Arial" w:cs="Arial"/>
          <w:sz w:val="22"/>
        </w:rPr>
        <w:t>es</w:t>
      </w:r>
      <w:r w:rsidR="00984C72">
        <w:rPr>
          <w:rFonts w:ascii="Arial" w:eastAsia="Calibri" w:hAnsi="Arial" w:cs="Arial"/>
          <w:sz w:val="22"/>
        </w:rPr>
        <w:t xml:space="preserve"> de rechazo en </w:t>
      </w:r>
      <w:r w:rsidR="00A51BBE">
        <w:rPr>
          <w:rFonts w:ascii="Arial" w:eastAsia="Calibri" w:hAnsi="Arial" w:cs="Arial"/>
          <w:sz w:val="22"/>
        </w:rPr>
        <w:t>casos</w:t>
      </w:r>
      <w:r w:rsidR="005C1C8F">
        <w:rPr>
          <w:rFonts w:ascii="Arial" w:eastAsia="Calibri" w:hAnsi="Arial" w:cs="Arial"/>
          <w:sz w:val="22"/>
        </w:rPr>
        <w:t xml:space="preserve"> </w:t>
      </w:r>
      <w:r w:rsidR="00A51BBE">
        <w:rPr>
          <w:rFonts w:ascii="Arial" w:eastAsia="Calibri" w:hAnsi="Arial" w:cs="Arial"/>
          <w:sz w:val="22"/>
        </w:rPr>
        <w:t>concretos</w:t>
      </w:r>
      <w:r w:rsidR="005C1C8F">
        <w:rPr>
          <w:rFonts w:ascii="Arial" w:eastAsia="Calibri" w:hAnsi="Arial" w:cs="Arial"/>
          <w:sz w:val="22"/>
        </w:rPr>
        <w:t xml:space="preserve"> es un asunto que </w:t>
      </w:r>
      <w:r w:rsidR="00EF6403">
        <w:rPr>
          <w:rFonts w:ascii="Arial" w:eastAsia="Calibri" w:hAnsi="Arial" w:cs="Arial"/>
          <w:sz w:val="22"/>
        </w:rPr>
        <w:t xml:space="preserve">compete </w:t>
      </w:r>
      <w:r w:rsidR="00A51BBE">
        <w:rPr>
          <w:rFonts w:ascii="Arial" w:eastAsia="Calibri" w:hAnsi="Arial" w:cs="Arial"/>
          <w:sz w:val="22"/>
        </w:rPr>
        <w:t xml:space="preserve">determinar </w:t>
      </w:r>
      <w:r w:rsidR="00EF6403">
        <w:rPr>
          <w:rFonts w:ascii="Arial" w:eastAsia="Calibri" w:hAnsi="Arial" w:cs="Arial"/>
          <w:sz w:val="22"/>
        </w:rPr>
        <w:t>a las entidades estatales que adelantan los procesos de contratación, previo análisis de l</w:t>
      </w:r>
      <w:r w:rsidR="00E77D22">
        <w:rPr>
          <w:rFonts w:ascii="Arial" w:eastAsia="Calibri" w:hAnsi="Arial" w:cs="Arial"/>
          <w:sz w:val="22"/>
        </w:rPr>
        <w:t xml:space="preserve">as circunstancias </w:t>
      </w:r>
      <w:r w:rsidR="00BF6765">
        <w:rPr>
          <w:rFonts w:ascii="Arial" w:eastAsia="Calibri" w:hAnsi="Arial" w:cs="Arial"/>
          <w:sz w:val="22"/>
        </w:rPr>
        <w:t xml:space="preserve">particulares de la oferta que </w:t>
      </w:r>
      <w:r w:rsidR="00272FBB">
        <w:rPr>
          <w:rFonts w:ascii="Arial" w:eastAsia="Calibri" w:hAnsi="Arial" w:cs="Arial"/>
          <w:sz w:val="22"/>
        </w:rPr>
        <w:t xml:space="preserve">pudieran ameritar su rechazo. </w:t>
      </w:r>
      <w:r w:rsidR="00C4408B">
        <w:rPr>
          <w:rFonts w:ascii="Arial" w:eastAsia="Calibri" w:hAnsi="Arial" w:cs="Arial"/>
          <w:sz w:val="22"/>
        </w:rPr>
        <w:t>Sin perjuicio de lo anterior, las entidades estatales obligadas a aplicar los documentos tipo</w:t>
      </w:r>
      <w:r w:rsidR="009903AE">
        <w:rPr>
          <w:rFonts w:ascii="Arial" w:eastAsia="Calibri" w:hAnsi="Arial" w:cs="Arial"/>
          <w:sz w:val="22"/>
        </w:rPr>
        <w:t>, deben hacer con sujeción a la regla de inalterabilidad, la cual supone aplicar el documento tip</w:t>
      </w:r>
      <w:r w:rsidR="00E43828">
        <w:rPr>
          <w:rFonts w:ascii="Arial" w:eastAsia="Calibri" w:hAnsi="Arial" w:cs="Arial"/>
          <w:sz w:val="22"/>
        </w:rPr>
        <w:t xml:space="preserve">o modificando únicamente las partes en que este lo indique y siguiendo las instrucciones establecidas al respecto. </w:t>
      </w:r>
      <w:r w:rsidR="00C4408B">
        <w:rPr>
          <w:rFonts w:ascii="Arial" w:eastAsia="Calibri" w:hAnsi="Arial" w:cs="Arial"/>
          <w:sz w:val="22"/>
        </w:rPr>
        <w:t xml:space="preserve"> </w:t>
      </w:r>
    </w:p>
    <w:p w14:paraId="6E9139F2" w14:textId="77777777" w:rsidR="00ED76E2" w:rsidRPr="000D75DD" w:rsidRDefault="00ED76E2" w:rsidP="00C529C9">
      <w:pPr>
        <w:spacing w:after="0"/>
        <w:rPr>
          <w:rFonts w:ascii="Arial" w:eastAsia="Calibri" w:hAnsi="Arial" w:cs="Arial"/>
          <w:sz w:val="22"/>
        </w:rPr>
      </w:pPr>
    </w:p>
    <w:p w14:paraId="52ACB68C" w14:textId="65210C65" w:rsidR="001C1A26" w:rsidRPr="000D75DD" w:rsidRDefault="00231E50" w:rsidP="00F176B9">
      <w:pPr>
        <w:spacing w:after="0"/>
        <w:rPr>
          <w:rFonts w:ascii="Arial" w:eastAsia="Calibri" w:hAnsi="Arial" w:cs="Arial"/>
          <w:b/>
          <w:sz w:val="22"/>
          <w:lang w:val="es-CO"/>
        </w:rPr>
      </w:pPr>
      <w:r w:rsidRPr="000D75DD">
        <w:rPr>
          <w:rFonts w:ascii="Arial" w:eastAsia="Calibri" w:hAnsi="Arial" w:cs="Arial"/>
          <w:b/>
          <w:sz w:val="22"/>
          <w:lang w:val="es-CO"/>
        </w:rPr>
        <w:t>3</w:t>
      </w:r>
      <w:r w:rsidR="00CF2AA3" w:rsidRPr="000D75DD">
        <w:rPr>
          <w:rFonts w:ascii="Arial" w:eastAsia="Calibri" w:hAnsi="Arial" w:cs="Arial"/>
          <w:b/>
          <w:sz w:val="22"/>
          <w:lang w:val="es-CO"/>
        </w:rPr>
        <w:t>. Respuest</w:t>
      </w:r>
      <w:r w:rsidR="001C1A26" w:rsidRPr="000D75DD">
        <w:rPr>
          <w:rFonts w:ascii="Arial" w:eastAsia="Calibri" w:hAnsi="Arial" w:cs="Arial"/>
          <w:b/>
          <w:sz w:val="22"/>
          <w:lang w:val="es-CO"/>
        </w:rPr>
        <w:t>a</w:t>
      </w:r>
    </w:p>
    <w:p w14:paraId="79A8F50A" w14:textId="77777777" w:rsidR="00264924" w:rsidRPr="000D75DD" w:rsidRDefault="00264924" w:rsidP="00F176B9">
      <w:pPr>
        <w:spacing w:after="0" w:line="240" w:lineRule="auto"/>
        <w:rPr>
          <w:rFonts w:ascii="Arial" w:eastAsia="Calibri" w:hAnsi="Arial" w:cs="Arial"/>
          <w:bCs/>
          <w:sz w:val="22"/>
          <w:lang w:val="es-CO"/>
        </w:rPr>
      </w:pPr>
    </w:p>
    <w:p w14:paraId="25E3913E" w14:textId="4438363F" w:rsidR="004A4EE9" w:rsidRPr="00B14315" w:rsidRDefault="00B7757B" w:rsidP="0046682E">
      <w:pPr>
        <w:spacing w:after="0" w:line="240" w:lineRule="auto"/>
        <w:ind w:left="709" w:right="709"/>
        <w:rPr>
          <w:rFonts w:ascii="Arial" w:hAnsi="Arial" w:cs="Arial"/>
          <w:sz w:val="21"/>
          <w:szCs w:val="21"/>
          <w:shd w:val="clear" w:color="auto" w:fill="FFFFFF"/>
        </w:rPr>
      </w:pPr>
      <w:bookmarkStart w:id="7" w:name="_Hlk104208165"/>
      <w:bookmarkStart w:id="8" w:name="_Hlk101816210"/>
      <w:bookmarkStart w:id="9" w:name="_Hlk57650395"/>
      <w:r w:rsidRPr="00B7757B">
        <w:rPr>
          <w:rFonts w:ascii="Arial" w:hAnsi="Arial" w:cs="Arial"/>
          <w:sz w:val="21"/>
          <w:szCs w:val="21"/>
          <w:shd w:val="clear" w:color="auto" w:fill="FFFFFF"/>
          <w:lang w:val="es-CO"/>
        </w:rPr>
        <w:t>«</w:t>
      </w:r>
      <w:bookmarkEnd w:id="7"/>
      <w:r w:rsidRPr="00B7757B">
        <w:rPr>
          <w:rFonts w:ascii="Arial" w:hAnsi="Arial" w:cs="Arial"/>
          <w:sz w:val="21"/>
          <w:szCs w:val="21"/>
          <w:shd w:val="clear" w:color="auto" w:fill="FFFFFF"/>
          <w:lang w:val="es-CO"/>
        </w:rPr>
        <w:t xml:space="preserve">Si la entidad incluye esta causal de rechazo, pero no fija o establece ningún ítem (sic) que interpretación se le debe dar: No se puede superar el valor de ninguno de los ítems del presupuesto oficial. Se pueden superar todos los valores de todos los ítems del presupuesto oficial.». </w:t>
      </w:r>
    </w:p>
    <w:p w14:paraId="6C647347" w14:textId="2647B7AA" w:rsidR="00C7127A" w:rsidRPr="000D75DD" w:rsidRDefault="00C7127A" w:rsidP="00F176B9">
      <w:pPr>
        <w:spacing w:after="0" w:line="240" w:lineRule="auto"/>
        <w:ind w:left="709" w:right="709"/>
        <w:rPr>
          <w:rFonts w:ascii="Arial" w:eastAsia="Times New Roman" w:hAnsi="Arial" w:cs="Arial"/>
          <w:sz w:val="21"/>
          <w:szCs w:val="21"/>
          <w:shd w:val="clear" w:color="auto" w:fill="FFFFFF"/>
          <w:lang w:val="es-CO" w:eastAsia="es-CO"/>
        </w:rPr>
      </w:pPr>
    </w:p>
    <w:bookmarkEnd w:id="8"/>
    <w:p w14:paraId="56769F2E" w14:textId="057F8D75" w:rsidR="006B7958" w:rsidRPr="000324E4" w:rsidRDefault="00E43828" w:rsidP="00645C55">
      <w:pPr>
        <w:pStyle w:val="Textoindependiente"/>
        <w:spacing w:after="120"/>
      </w:pPr>
      <w:r>
        <w:rPr>
          <w:lang w:val="es-CO"/>
        </w:rPr>
        <w:t>Conforme</w:t>
      </w:r>
      <w:r w:rsidR="006B7958">
        <w:rPr>
          <w:lang w:val="es-CO"/>
        </w:rPr>
        <w:t xml:space="preserve"> </w:t>
      </w:r>
      <w:r>
        <w:rPr>
          <w:lang w:val="es-CO"/>
        </w:rPr>
        <w:t>a lo expuesto</w:t>
      </w:r>
      <w:r w:rsidR="006B7958">
        <w:rPr>
          <w:lang w:val="es-CO"/>
        </w:rPr>
        <w:t xml:space="preserve">, </w:t>
      </w:r>
      <w:r w:rsidR="006B7958" w:rsidRPr="004708A0">
        <w:rPr>
          <w:lang w:val="es-CO"/>
        </w:rPr>
        <w:t>l</w:t>
      </w:r>
      <w:r w:rsidR="006B7958" w:rsidRPr="004708A0">
        <w:rPr>
          <w:color w:val="000000"/>
        </w:rPr>
        <w:t xml:space="preserve">os documentos tipo de licitación de obra pública de infraestructura de transporte </w:t>
      </w:r>
      <w:r w:rsidR="006B7958" w:rsidRPr="004708A0">
        <w:t>permiten</w:t>
      </w:r>
      <w:r w:rsidR="006B7958" w:rsidRPr="004708A0">
        <w:rPr>
          <w:color w:val="000000"/>
        </w:rPr>
        <w:t xml:space="preserve"> establecer ítems del presupuesto oficial cuyo valor no puede exceder el proponente. Al respecto, el literal Q del numeral 1.15 dispone como causal de rechazo que pueden incluir facultativamente las entidades estatales en sus pliegos de condiciones:</w:t>
      </w:r>
      <w:r w:rsidR="006B7958" w:rsidRPr="005D2D69">
        <w:rPr>
          <w:color w:val="000000"/>
        </w:rPr>
        <w:t xml:space="preserve"> </w:t>
      </w:r>
    </w:p>
    <w:p w14:paraId="1FC582E7" w14:textId="77777777" w:rsidR="006B7958" w:rsidRPr="00930864" w:rsidRDefault="006B7958" w:rsidP="006B7958">
      <w:pPr>
        <w:ind w:firstLine="709"/>
        <w:rPr>
          <w:rFonts w:ascii="Arial" w:hAnsi="Arial" w:cs="Arial"/>
          <w:color w:val="000000"/>
          <w:sz w:val="23"/>
          <w:szCs w:val="23"/>
          <w:lang w:val="es-ES"/>
        </w:rPr>
      </w:pPr>
    </w:p>
    <w:p w14:paraId="773B8D90" w14:textId="76557C32" w:rsidR="006B7958" w:rsidRDefault="006B7958" w:rsidP="00E43828">
      <w:pPr>
        <w:tabs>
          <w:tab w:val="left" w:pos="709"/>
        </w:tabs>
        <w:spacing w:after="0" w:line="240" w:lineRule="auto"/>
        <w:ind w:left="709" w:right="709"/>
        <w:rPr>
          <w:rFonts w:ascii="Arial" w:hAnsi="Arial"/>
          <w:color w:val="000000" w:themeColor="text1"/>
          <w:sz w:val="20"/>
          <w:szCs w:val="20"/>
          <w:highlight w:val="lightGray"/>
        </w:rPr>
      </w:pPr>
      <w:r w:rsidRPr="005D2D69">
        <w:rPr>
          <w:rFonts w:ascii="Arial" w:hAnsi="Arial" w:cs="Arial"/>
          <w:sz w:val="20"/>
          <w:szCs w:val="20"/>
        </w:rPr>
        <w:t xml:space="preserve">Q.  </w:t>
      </w:r>
      <w:r w:rsidRPr="005D2D69">
        <w:rPr>
          <w:rFonts w:ascii="Arial" w:hAnsi="Arial"/>
          <w:color w:val="000000" w:themeColor="text1"/>
          <w:sz w:val="20"/>
          <w:szCs w:val="20"/>
          <w:highlight w:val="lightGray"/>
        </w:rPr>
        <w:t>[Incluir solo cuando la forma de pago sea por precios unitarios]</w:t>
      </w:r>
      <w:r w:rsidRPr="005D2D69">
        <w:rPr>
          <w:rFonts w:ascii="Arial" w:hAnsi="Arial" w:cs="Arial"/>
          <w:sz w:val="20"/>
          <w:szCs w:val="20"/>
        </w:rPr>
        <w:t xml:space="preserve"> Superar el valor unitario de alguno o algunos de los siguientes ítems ofrecidos con respecto al valor establecido para cada ítem del presupuesto oficial: </w:t>
      </w:r>
      <w:r w:rsidRPr="005D2D69">
        <w:rPr>
          <w:rFonts w:ascii="Arial" w:hAnsi="Arial"/>
          <w:color w:val="000000" w:themeColor="text1"/>
          <w:sz w:val="20"/>
          <w:szCs w:val="20"/>
          <w:highlight w:val="lightGray"/>
        </w:rPr>
        <w:t xml:space="preserve">[La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488A924F" w14:textId="77777777" w:rsidR="00E43828" w:rsidRPr="005D2D69" w:rsidRDefault="00E43828" w:rsidP="00645C55">
      <w:pPr>
        <w:tabs>
          <w:tab w:val="left" w:pos="709"/>
        </w:tabs>
        <w:spacing w:after="0" w:line="240" w:lineRule="auto"/>
        <w:ind w:left="709" w:right="709"/>
        <w:rPr>
          <w:rFonts w:ascii="Arial" w:hAnsi="Arial"/>
          <w:color w:val="000000" w:themeColor="text1"/>
          <w:sz w:val="20"/>
          <w:szCs w:val="20"/>
          <w:highlight w:val="lightGray"/>
        </w:rPr>
      </w:pPr>
    </w:p>
    <w:p w14:paraId="42B2CF9D" w14:textId="77777777" w:rsidR="006B7958" w:rsidRPr="005D2D69" w:rsidRDefault="006B7958" w:rsidP="00645C55">
      <w:pPr>
        <w:tabs>
          <w:tab w:val="left" w:pos="709"/>
        </w:tabs>
        <w:spacing w:after="0" w:line="240" w:lineRule="auto"/>
        <w:ind w:left="709" w:right="709"/>
        <w:rPr>
          <w:rFonts w:ascii="Arial" w:hAnsi="Arial"/>
          <w:color w:val="000000" w:themeColor="text1"/>
          <w:sz w:val="20"/>
          <w:szCs w:val="20"/>
          <w:highlight w:val="lightGray"/>
        </w:rPr>
      </w:pPr>
      <w:r w:rsidRPr="005D2D69">
        <w:rPr>
          <w:rFonts w:ascii="Arial" w:hAnsi="Arial"/>
          <w:color w:val="000000" w:themeColor="text1"/>
          <w:sz w:val="20"/>
          <w:szCs w:val="20"/>
          <w:highlight w:val="lightGray"/>
        </w:rPr>
        <w:t xml:space="preserve">Para la aplicación de esta causal la entidad debe tener en cuenta que el valor unitario establecido en el Formulario 1 – Formulario de Presupuesto Oficial incluye el valor de AIU] </w:t>
      </w:r>
    </w:p>
    <w:p w14:paraId="69861E68" w14:textId="77777777" w:rsidR="00E43828" w:rsidRDefault="00E43828" w:rsidP="00645C55">
      <w:pPr>
        <w:spacing w:after="0"/>
        <w:ind w:firstLine="709"/>
        <w:rPr>
          <w:rFonts w:ascii="Arial" w:hAnsi="Arial" w:cs="Arial"/>
          <w:sz w:val="22"/>
          <w:lang w:val="es-ES"/>
        </w:rPr>
      </w:pPr>
    </w:p>
    <w:p w14:paraId="2F24D253" w14:textId="55639CE0" w:rsidR="006B7958" w:rsidRPr="004708A0" w:rsidRDefault="006B7958" w:rsidP="006B7958">
      <w:pPr>
        <w:spacing w:after="120"/>
        <w:ind w:firstLine="709"/>
        <w:rPr>
          <w:rFonts w:ascii="Arial" w:hAnsi="Arial" w:cs="Arial"/>
          <w:sz w:val="22"/>
          <w:lang w:val="es-ES"/>
        </w:rPr>
      </w:pPr>
      <w:r w:rsidRPr="004708A0">
        <w:rPr>
          <w:rFonts w:ascii="Arial" w:hAnsi="Arial" w:cs="Arial"/>
          <w:sz w:val="22"/>
          <w:lang w:val="es-ES"/>
        </w:rPr>
        <w:t>En relación con la anterior causal de rechazo es importante precisar que su inclusión en los pliegos de condiciones es facultativa por parte de las entidades estatales, en el entendido de que la utilizarán en los procesos contractuales que se estructuren por precios unitarios cuando la entidad</w:t>
      </w:r>
      <w:r>
        <w:rPr>
          <w:rFonts w:ascii="Arial" w:hAnsi="Arial" w:cs="Arial"/>
          <w:sz w:val="22"/>
          <w:lang w:val="es-ES"/>
        </w:rPr>
        <w:t xml:space="preserve"> «</w:t>
      </w:r>
      <w:r w:rsidRPr="00FC195F">
        <w:rPr>
          <w:rFonts w:ascii="Arial" w:hAnsi="Arial" w:cs="Arial"/>
          <w:sz w:val="22"/>
          <w:highlight w:val="lightGray"/>
          <w:lang w:val="es-ES"/>
        </w:rPr>
        <w:t>considere necesario establecer ítems del presupuesto oficial cuyo valor no pueda ser excedido por el proponente</w:t>
      </w:r>
      <w:r>
        <w:rPr>
          <w:rFonts w:ascii="Arial" w:hAnsi="Arial" w:cs="Arial"/>
          <w:sz w:val="22"/>
          <w:lang w:val="es-ES"/>
        </w:rPr>
        <w:t xml:space="preserve">». </w:t>
      </w:r>
      <w:r w:rsidRPr="004708A0">
        <w:rPr>
          <w:rFonts w:ascii="Arial" w:hAnsi="Arial" w:cs="Arial"/>
          <w:sz w:val="22"/>
          <w:lang w:val="es-ES"/>
        </w:rPr>
        <w:t>En este sentido, le corresponde a la entidad decidir, de acuerdo con lo anterior, si incluye esta causal en los pliegos de condiciones, para lo cual deberá seguir las instrucciones establecidas entre corchetes y resaltado en gris.</w:t>
      </w:r>
    </w:p>
    <w:p w14:paraId="32A58EBF" w14:textId="77777777" w:rsidR="006B7958" w:rsidRPr="004708A0" w:rsidRDefault="006B7958" w:rsidP="006B7958">
      <w:pPr>
        <w:spacing w:after="120"/>
        <w:ind w:firstLine="709"/>
        <w:rPr>
          <w:rFonts w:ascii="Arial" w:hAnsi="Arial" w:cs="Arial"/>
          <w:sz w:val="22"/>
          <w:lang w:val="es-ES"/>
        </w:rPr>
      </w:pPr>
      <w:r w:rsidRPr="004708A0">
        <w:rPr>
          <w:rFonts w:ascii="Arial" w:hAnsi="Arial" w:cs="Arial"/>
          <w:sz w:val="22"/>
          <w:lang w:val="es-ES"/>
        </w:rPr>
        <w:t>De esta manera, esta causal permite establecer un límite máximo en el valor de ciertos ítems determinados para el proceso de contratación, para lo cual la entidad tendrá que identificar en la causal de rechazo del literal Q, los ítems frente a los cuales aplicará la causal, de modo que el proponente no podría superar el valor unitario de los ítems que la entidad incluya en dicho literal. En efecto, la entidad tiene la carga de identificar estos ítems, pues como lo establece el documento tipo en el aparte transcrito anteriormente,</w:t>
      </w:r>
      <w:r w:rsidRPr="00DD3943">
        <w:rPr>
          <w:rFonts w:ascii="Arial" w:hAnsi="Arial" w:cs="Arial"/>
          <w:sz w:val="22"/>
          <w:lang w:val="es-ES"/>
        </w:rPr>
        <w:t xml:space="preserve"> «</w:t>
      </w:r>
      <w:r w:rsidRPr="00FC195F">
        <w:rPr>
          <w:rFonts w:ascii="Arial" w:hAnsi="Arial"/>
          <w:color w:val="000000" w:themeColor="text1"/>
          <w:sz w:val="22"/>
          <w:highlight w:val="lightGray"/>
        </w:rPr>
        <w:t>Cuando decida incluirla, identificará en este espacio los ítems frente a los cuales aplicará la causal de rechazo</w:t>
      </w:r>
      <w:r w:rsidRPr="00DD3943">
        <w:rPr>
          <w:rFonts w:ascii="Arial" w:hAnsi="Arial" w:cs="Arial"/>
          <w:sz w:val="22"/>
          <w:lang w:val="es-ES"/>
        </w:rPr>
        <w:t>»</w:t>
      </w:r>
      <w:r>
        <w:rPr>
          <w:rFonts w:ascii="Arial" w:hAnsi="Arial" w:cs="Arial"/>
          <w:sz w:val="22"/>
          <w:lang w:val="es-ES"/>
        </w:rPr>
        <w:t xml:space="preserve">. </w:t>
      </w:r>
      <w:r w:rsidRPr="004708A0">
        <w:rPr>
          <w:rFonts w:ascii="Arial" w:hAnsi="Arial" w:cs="Arial"/>
          <w:sz w:val="22"/>
          <w:lang w:val="es-ES"/>
        </w:rPr>
        <w:t>Además, la entidad definirá discrecional y razonablemente los ítems frente a los que procede, pues los documentos tipo no establecen lineamientos precisos frente a la procedencia o improcedencia de incluirla en relación con ciertos ítems, por lo que es un análisis que corresponde a la entidad estatal.</w:t>
      </w:r>
    </w:p>
    <w:p w14:paraId="14621200" w14:textId="07EEBFD4" w:rsidR="006B7958" w:rsidRDefault="006B7958" w:rsidP="006B7958">
      <w:pPr>
        <w:spacing w:after="120"/>
        <w:ind w:firstLine="709"/>
        <w:rPr>
          <w:rFonts w:ascii="Arial" w:hAnsi="Arial" w:cs="Arial"/>
          <w:sz w:val="22"/>
          <w:lang w:val="es-CO"/>
        </w:rPr>
      </w:pPr>
      <w:r w:rsidRPr="004708A0">
        <w:rPr>
          <w:rFonts w:ascii="Arial" w:hAnsi="Arial" w:cs="Arial"/>
          <w:sz w:val="22"/>
          <w:lang w:val="es-ES"/>
        </w:rPr>
        <w:t xml:space="preserve"> De otro lado, cabe aclarar que la utilización de la causal, bajo los criterios indicados, no implica que el valor de estos ítems se torne inmodificable, pues si bien la causal prohíbe ofrecimientos por exceso, es posible que el proponente ajuste el precio a la baja, esto es, ofreciendo un valor inferior frente a estes ítems. Además, la </w:t>
      </w:r>
      <w:r w:rsidRPr="004708A0">
        <w:rPr>
          <w:rFonts w:ascii="Arial" w:hAnsi="Arial" w:cs="Arial"/>
          <w:sz w:val="22"/>
          <w:lang w:val="es-ES"/>
        </w:rPr>
        <w:lastRenderedPageBreak/>
        <w:t xml:space="preserve">inclusión facultativa de la causal analizada produce beneficios para el interés general dentro procedimientos de selección con pluralidad de oferentes como la licitación pública, pues garantiza el cumplimiento de las especificaciones definidas por la entidad al menor costo posible. Lo anterior, sin perder de vista que la causal analizada </w:t>
      </w:r>
      <w:r w:rsidRPr="004708A0">
        <w:rPr>
          <w:rFonts w:ascii="Arial" w:hAnsi="Arial" w:cs="Arial"/>
          <w:sz w:val="22"/>
          <w:lang w:val="es-CO"/>
        </w:rPr>
        <w:t>únicamente rige en los procesos de selección en los que se contrate por precios unitarios, siendo además necesario que la entidad defina los ítems frente a los cuales aplica el rechazo.</w:t>
      </w:r>
    </w:p>
    <w:p w14:paraId="6D41D173" w14:textId="78E1476A" w:rsidR="00E43828" w:rsidRPr="004708A0" w:rsidRDefault="00E43828" w:rsidP="00645C55">
      <w:pPr>
        <w:spacing w:after="0"/>
        <w:ind w:firstLine="709"/>
        <w:rPr>
          <w:rFonts w:ascii="Arial" w:hAnsi="Arial" w:cs="Arial"/>
          <w:sz w:val="22"/>
          <w:lang w:val="es-ES"/>
        </w:rPr>
      </w:pPr>
      <w:r>
        <w:rPr>
          <w:rFonts w:ascii="Arial" w:eastAsia="Calibri" w:hAnsi="Arial" w:cs="Arial"/>
          <w:sz w:val="22"/>
        </w:rPr>
        <w:t>Por último, se aclara que, la forma en la que debe aplicarse la referida causal de rechazo en casos concretos</w:t>
      </w:r>
      <w:r w:rsidR="00A604A4">
        <w:rPr>
          <w:rFonts w:ascii="Arial" w:eastAsia="Calibri" w:hAnsi="Arial" w:cs="Arial"/>
          <w:sz w:val="22"/>
        </w:rPr>
        <w:t>,</w:t>
      </w:r>
      <w:r>
        <w:rPr>
          <w:rFonts w:ascii="Arial" w:eastAsia="Calibri" w:hAnsi="Arial" w:cs="Arial"/>
          <w:sz w:val="22"/>
        </w:rPr>
        <w:t xml:space="preserve"> es un asunto que compete determinar a las entidades estatales que adelantan los procesos de contratación, </w:t>
      </w:r>
      <w:r w:rsidR="00A604A4">
        <w:rPr>
          <w:rFonts w:ascii="Arial" w:eastAsia="Calibri" w:hAnsi="Arial" w:cs="Arial"/>
          <w:sz w:val="22"/>
        </w:rPr>
        <w:t>previo estudio</w:t>
      </w:r>
      <w:r>
        <w:rPr>
          <w:rFonts w:ascii="Arial" w:eastAsia="Calibri" w:hAnsi="Arial" w:cs="Arial"/>
          <w:sz w:val="22"/>
        </w:rPr>
        <w:t xml:space="preserve"> de las </w:t>
      </w:r>
      <w:r w:rsidR="00A604A4">
        <w:rPr>
          <w:rFonts w:ascii="Arial" w:eastAsia="Calibri" w:hAnsi="Arial" w:cs="Arial"/>
          <w:sz w:val="22"/>
        </w:rPr>
        <w:t xml:space="preserve">condiciones </w:t>
      </w:r>
      <w:r>
        <w:rPr>
          <w:rFonts w:ascii="Arial" w:eastAsia="Calibri" w:hAnsi="Arial" w:cs="Arial"/>
          <w:sz w:val="22"/>
        </w:rPr>
        <w:t xml:space="preserve">de la oferta </w:t>
      </w:r>
      <w:r w:rsidR="00464E39">
        <w:rPr>
          <w:rFonts w:ascii="Arial" w:eastAsia="Calibri" w:hAnsi="Arial" w:cs="Arial"/>
          <w:sz w:val="22"/>
        </w:rPr>
        <w:t>que la hacen susceptible de</w:t>
      </w:r>
      <w:r>
        <w:rPr>
          <w:rFonts w:ascii="Arial" w:eastAsia="Calibri" w:hAnsi="Arial" w:cs="Arial"/>
          <w:sz w:val="22"/>
        </w:rPr>
        <w:t xml:space="preserve"> rechazo.</w:t>
      </w:r>
      <w:r w:rsidR="00464E39">
        <w:rPr>
          <w:rFonts w:ascii="Arial" w:eastAsia="Calibri" w:hAnsi="Arial" w:cs="Arial"/>
          <w:sz w:val="22"/>
        </w:rPr>
        <w:t xml:space="preserve"> En todo caso</w:t>
      </w:r>
      <w:r>
        <w:rPr>
          <w:rFonts w:ascii="Arial" w:eastAsia="Calibri" w:hAnsi="Arial" w:cs="Arial"/>
          <w:sz w:val="22"/>
        </w:rPr>
        <w:t xml:space="preserve">, </w:t>
      </w:r>
      <w:r w:rsidR="00464E39">
        <w:rPr>
          <w:rFonts w:ascii="Arial" w:eastAsia="Calibri" w:hAnsi="Arial" w:cs="Arial"/>
          <w:sz w:val="22"/>
        </w:rPr>
        <w:t xml:space="preserve">a </w:t>
      </w:r>
      <w:r>
        <w:rPr>
          <w:rFonts w:ascii="Arial" w:eastAsia="Calibri" w:hAnsi="Arial" w:cs="Arial"/>
          <w:sz w:val="22"/>
        </w:rPr>
        <w:t xml:space="preserve">las entidades estatales obligadas a aplicar los documentos tipo </w:t>
      </w:r>
      <w:r w:rsidR="00464E39">
        <w:rPr>
          <w:rFonts w:ascii="Arial" w:eastAsia="Calibri" w:hAnsi="Arial" w:cs="Arial"/>
          <w:sz w:val="22"/>
        </w:rPr>
        <w:t>les corresponde</w:t>
      </w:r>
      <w:r>
        <w:rPr>
          <w:rFonts w:ascii="Arial" w:eastAsia="Calibri" w:hAnsi="Arial" w:cs="Arial"/>
          <w:sz w:val="22"/>
        </w:rPr>
        <w:t xml:space="preserve"> hacer</w:t>
      </w:r>
      <w:r w:rsidR="00464E39">
        <w:rPr>
          <w:rFonts w:ascii="Arial" w:eastAsia="Calibri" w:hAnsi="Arial" w:cs="Arial"/>
          <w:sz w:val="22"/>
        </w:rPr>
        <w:t>lo</w:t>
      </w:r>
      <w:r>
        <w:rPr>
          <w:rFonts w:ascii="Arial" w:eastAsia="Calibri" w:hAnsi="Arial" w:cs="Arial"/>
          <w:sz w:val="22"/>
        </w:rPr>
        <w:t xml:space="preserve"> con sujeción a la regla de inalterabilidad, </w:t>
      </w:r>
      <w:r w:rsidR="00F06C4D">
        <w:rPr>
          <w:rFonts w:ascii="Arial" w:eastAsia="Calibri" w:hAnsi="Arial" w:cs="Arial"/>
          <w:sz w:val="22"/>
        </w:rPr>
        <w:t xml:space="preserve">lo cual </w:t>
      </w:r>
      <w:r w:rsidR="00464E39">
        <w:rPr>
          <w:rFonts w:ascii="Arial" w:eastAsia="Calibri" w:hAnsi="Arial" w:cs="Arial"/>
          <w:sz w:val="22"/>
        </w:rPr>
        <w:t>implica</w:t>
      </w:r>
      <w:r>
        <w:rPr>
          <w:rFonts w:ascii="Arial" w:eastAsia="Calibri" w:hAnsi="Arial" w:cs="Arial"/>
          <w:sz w:val="22"/>
        </w:rPr>
        <w:t xml:space="preserve"> </w:t>
      </w:r>
      <w:r w:rsidR="00F06C4D">
        <w:rPr>
          <w:rFonts w:ascii="Arial" w:eastAsia="Calibri" w:hAnsi="Arial" w:cs="Arial"/>
          <w:sz w:val="22"/>
        </w:rPr>
        <w:t xml:space="preserve">modificar </w:t>
      </w:r>
      <w:r>
        <w:rPr>
          <w:rFonts w:ascii="Arial" w:eastAsia="Calibri" w:hAnsi="Arial" w:cs="Arial"/>
          <w:sz w:val="22"/>
        </w:rPr>
        <w:t>el documento tipo únicamente</w:t>
      </w:r>
      <w:r w:rsidR="00F06C4D">
        <w:rPr>
          <w:rFonts w:ascii="Arial" w:eastAsia="Calibri" w:hAnsi="Arial" w:cs="Arial"/>
          <w:sz w:val="22"/>
        </w:rPr>
        <w:t xml:space="preserve"> en</w:t>
      </w:r>
      <w:r>
        <w:rPr>
          <w:rFonts w:ascii="Arial" w:eastAsia="Calibri" w:hAnsi="Arial" w:cs="Arial"/>
          <w:sz w:val="22"/>
        </w:rPr>
        <w:t xml:space="preserve"> las partes en que este lo indique y siguiendo las instrucciones establecidas </w:t>
      </w:r>
      <w:r w:rsidR="00F06C4D">
        <w:rPr>
          <w:rFonts w:ascii="Arial" w:eastAsia="Calibri" w:hAnsi="Arial" w:cs="Arial"/>
          <w:sz w:val="22"/>
        </w:rPr>
        <w:t xml:space="preserve">el mismo. </w:t>
      </w:r>
      <w:r>
        <w:rPr>
          <w:rFonts w:ascii="Arial" w:eastAsia="Calibri" w:hAnsi="Arial" w:cs="Arial"/>
          <w:sz w:val="22"/>
        </w:rPr>
        <w:t xml:space="preserve">  </w:t>
      </w:r>
    </w:p>
    <w:p w14:paraId="0FC32752" w14:textId="77777777" w:rsidR="00D228A3" w:rsidRPr="000D75DD" w:rsidRDefault="00D228A3" w:rsidP="00645C55">
      <w:pPr>
        <w:spacing w:after="0" w:line="240" w:lineRule="auto"/>
        <w:ind w:firstLine="709"/>
        <w:rPr>
          <w:rFonts w:ascii="Arial" w:eastAsia="Calibri" w:hAnsi="Arial" w:cs="Arial"/>
          <w:sz w:val="22"/>
          <w:lang w:val="es-CO"/>
        </w:rPr>
      </w:pPr>
    </w:p>
    <w:p w14:paraId="06025F48" w14:textId="1C6BD03F" w:rsidR="00506085" w:rsidRPr="000D75DD" w:rsidRDefault="00506085" w:rsidP="00F176B9">
      <w:pPr>
        <w:spacing w:after="0"/>
        <w:rPr>
          <w:rFonts w:ascii="Times New Roman" w:eastAsia="Times New Roman" w:hAnsi="Times New Roman" w:cs="Times New Roman"/>
          <w:szCs w:val="24"/>
          <w:lang w:val="es-CO" w:eastAsia="es-ES_tradnl"/>
        </w:rPr>
      </w:pPr>
      <w:r w:rsidRPr="000D75DD">
        <w:rPr>
          <w:rFonts w:ascii="Arial" w:eastAsia="Calibri" w:hAnsi="Arial" w:cs="Arial"/>
          <w:sz w:val="22"/>
          <w:lang w:val="es-CO"/>
        </w:rPr>
        <w:t>Este concepto tiene el alcance previsto en el artículo 28 del Código de Procedimiento Administrativo y de lo Contencioso Administrativo.</w:t>
      </w:r>
      <w:r w:rsidRPr="000D75DD">
        <w:rPr>
          <w:rFonts w:ascii="Arial" w:hAnsi="Arial" w:cs="Arial"/>
          <w:noProof/>
          <w:lang w:val="es-CO" w:eastAsia="es-CO"/>
        </w:rPr>
        <mc:AlternateContent>
          <mc:Choice Requires="wps">
            <w:drawing>
              <wp:anchor distT="0" distB="0" distL="114300" distR="114300" simplePos="0" relativeHeight="251658240" behindDoc="0" locked="0" layoutInCell="1" allowOverlap="1" wp14:anchorId="6B9241D6" wp14:editId="64F49FCF">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3F950BE">
              <v:line id="Conector recto 2"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799FED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w10:wrap anchorx="page"/>
              </v:line>
            </w:pict>
          </mc:Fallback>
        </mc:AlternateContent>
      </w:r>
    </w:p>
    <w:p w14:paraId="0827501E" w14:textId="77777777" w:rsidR="00717A45" w:rsidRPr="000D75DD" w:rsidRDefault="00717A45" w:rsidP="00F176B9">
      <w:pPr>
        <w:spacing w:after="0"/>
        <w:rPr>
          <w:noProof/>
        </w:rPr>
      </w:pPr>
    </w:p>
    <w:p w14:paraId="240E0475" w14:textId="55B126B8" w:rsidR="00506085" w:rsidRPr="000D75DD" w:rsidRDefault="00506085" w:rsidP="00F176B9">
      <w:pPr>
        <w:rPr>
          <w:rFonts w:ascii="Arial" w:eastAsia="Times New Roman" w:hAnsi="Arial" w:cs="Arial"/>
          <w:sz w:val="22"/>
          <w:lang w:val="es-CO" w:eastAsia="es-CO"/>
        </w:rPr>
      </w:pPr>
      <w:r w:rsidRPr="000D75DD">
        <w:rPr>
          <w:rFonts w:ascii="Arial" w:eastAsia="Times New Roman" w:hAnsi="Arial" w:cs="Arial"/>
          <w:sz w:val="22"/>
          <w:lang w:val="es-CO" w:eastAsia="es-CO"/>
        </w:rPr>
        <w:t>Atentamente,</w:t>
      </w:r>
    </w:p>
    <w:p w14:paraId="300BE44C" w14:textId="11D25404" w:rsidR="00843449" w:rsidRPr="000D75DD" w:rsidRDefault="00AF416F" w:rsidP="00F176B9">
      <w:pPr>
        <w:jc w:val="center"/>
        <w:rPr>
          <w:rFonts w:ascii="Arial" w:eastAsia="Times New Roman" w:hAnsi="Arial" w:cs="Arial"/>
          <w:sz w:val="18"/>
          <w:szCs w:val="20"/>
          <w:lang w:eastAsia="es-CO"/>
        </w:rPr>
      </w:pPr>
      <w:r w:rsidRPr="00570FD2">
        <w:rPr>
          <w:rFonts w:ascii="Arial" w:hAnsi="Arial" w:cs="Arial"/>
          <w:noProof/>
          <w:color w:val="000000" w:themeColor="text1"/>
          <w:sz w:val="22"/>
        </w:rPr>
        <w:drawing>
          <wp:inline distT="0" distB="0" distL="0" distR="0" wp14:anchorId="193BC120" wp14:editId="246C9AFB">
            <wp:extent cx="2714625" cy="1152525"/>
            <wp:effectExtent l="0" t="0" r="9525"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735371" cy="1161333"/>
                    </a:xfrm>
                    <a:prstGeom prst="rect">
                      <a:avLst/>
                    </a:prstGeom>
                  </pic:spPr>
                </pic:pic>
              </a:graphicData>
            </a:graphic>
          </wp:inline>
        </w:drawing>
      </w:r>
    </w:p>
    <w:p w14:paraId="299FA360" w14:textId="2C6292E6" w:rsidR="009F596F" w:rsidRPr="000D75DD" w:rsidRDefault="009F596F" w:rsidP="00F176B9">
      <w:pPr>
        <w:jc w:val="center"/>
        <w:rPr>
          <w:rFonts w:ascii="Arial" w:eastAsia="Times New Roman"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F176B9" w:rsidRPr="000D75DD" w14:paraId="59E26AD8" w14:textId="77777777" w:rsidTr="00DE279B">
        <w:trPr>
          <w:trHeight w:val="315"/>
        </w:trPr>
        <w:tc>
          <w:tcPr>
            <w:tcW w:w="812" w:type="dxa"/>
            <w:vAlign w:val="center"/>
            <w:hideMark/>
          </w:tcPr>
          <w:p w14:paraId="53421173"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Elaboró:</w:t>
            </w:r>
          </w:p>
        </w:tc>
        <w:tc>
          <w:tcPr>
            <w:tcW w:w="4291" w:type="dxa"/>
            <w:tcBorders>
              <w:top w:val="nil"/>
              <w:left w:val="nil"/>
              <w:bottom w:val="dotted" w:sz="4" w:space="0" w:color="7F7F7F" w:themeColor="text1" w:themeTint="80"/>
              <w:right w:val="nil"/>
            </w:tcBorders>
            <w:vAlign w:val="center"/>
            <w:hideMark/>
          </w:tcPr>
          <w:p w14:paraId="6E5507FB" w14:textId="77777777" w:rsidR="00F354B5" w:rsidRPr="00F354B5" w:rsidRDefault="00F354B5" w:rsidP="00F354B5">
            <w:pPr>
              <w:rPr>
                <w:rFonts w:ascii="Arial" w:eastAsia="Times New Roman" w:hAnsi="Arial" w:cs="Arial"/>
                <w:color w:val="000000" w:themeColor="text1"/>
                <w:sz w:val="16"/>
                <w:szCs w:val="16"/>
                <w:lang w:val="es-ES_tradnl" w:eastAsia="es-ES"/>
              </w:rPr>
            </w:pPr>
            <w:r w:rsidRPr="00F354B5">
              <w:rPr>
                <w:rFonts w:ascii="Arial" w:eastAsia="Times New Roman" w:hAnsi="Arial" w:cs="Arial"/>
                <w:color w:val="000000" w:themeColor="text1"/>
                <w:sz w:val="16"/>
                <w:szCs w:val="16"/>
                <w:lang w:val="es-ES_tradnl" w:eastAsia="es-ES"/>
              </w:rPr>
              <w:t>Gabriel Alejandro Murcia Taboada</w:t>
            </w:r>
          </w:p>
          <w:p w14:paraId="3F63272B" w14:textId="4F20144E" w:rsidR="00843449" w:rsidRPr="000D75DD" w:rsidRDefault="00F354B5" w:rsidP="00F354B5">
            <w:pPr>
              <w:rPr>
                <w:rFonts w:ascii="Arial" w:eastAsia="Times New Roman" w:hAnsi="Arial" w:cs="Arial"/>
                <w:sz w:val="16"/>
                <w:szCs w:val="16"/>
                <w:lang w:val="es-CO" w:eastAsia="es-ES"/>
              </w:rPr>
            </w:pPr>
            <w:r w:rsidRPr="00F354B5">
              <w:rPr>
                <w:rFonts w:ascii="Arial" w:eastAsia="Times New Roman" w:hAnsi="Arial" w:cs="Arial"/>
                <w:color w:val="000000" w:themeColor="text1"/>
                <w:sz w:val="16"/>
                <w:szCs w:val="16"/>
                <w:lang w:val="es-ES_tradnl" w:eastAsia="es-ES"/>
              </w:rPr>
              <w:t>Contratista de la Subdirección de Gestión Contractual</w:t>
            </w:r>
          </w:p>
        </w:tc>
      </w:tr>
      <w:tr w:rsidR="00F176B9" w:rsidRPr="000D75DD" w14:paraId="363E18D7" w14:textId="77777777" w:rsidTr="00DE279B">
        <w:trPr>
          <w:trHeight w:val="330"/>
        </w:trPr>
        <w:tc>
          <w:tcPr>
            <w:tcW w:w="812" w:type="dxa"/>
            <w:vAlign w:val="center"/>
            <w:hideMark/>
          </w:tcPr>
          <w:p w14:paraId="5E29D295"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05809079" w14:textId="52250CF4" w:rsidR="00843449" w:rsidRPr="000D75DD" w:rsidRDefault="00F354B5"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Alejandro Sarmiento Cantillo</w:t>
            </w:r>
          </w:p>
          <w:p w14:paraId="30332C7A"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Gestor T1-15 de la Subdirección de Gestión Contractual</w:t>
            </w:r>
          </w:p>
        </w:tc>
      </w:tr>
      <w:tr w:rsidR="00F176B9" w:rsidRPr="00F176B9" w14:paraId="4231B1F9" w14:textId="77777777" w:rsidTr="00DE279B">
        <w:trPr>
          <w:trHeight w:val="300"/>
        </w:trPr>
        <w:tc>
          <w:tcPr>
            <w:tcW w:w="812" w:type="dxa"/>
            <w:vAlign w:val="center"/>
            <w:hideMark/>
          </w:tcPr>
          <w:p w14:paraId="074BC5C1"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00EE21D5" w14:textId="77777777" w:rsidR="00843449" w:rsidRPr="000D75DD"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Jorge Augusto Tirado Navarro</w:t>
            </w:r>
          </w:p>
          <w:p w14:paraId="4A949C01" w14:textId="77777777" w:rsidR="00843449" w:rsidRPr="00F176B9" w:rsidRDefault="00843449" w:rsidP="00F176B9">
            <w:pP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Subdirector de Gestión Contractual ANCP – CCE</w:t>
            </w:r>
          </w:p>
        </w:tc>
      </w:tr>
      <w:bookmarkEnd w:id="9"/>
    </w:tbl>
    <w:p w14:paraId="20333B98" w14:textId="77777777" w:rsidR="006674C1" w:rsidRPr="00F176B9" w:rsidRDefault="006674C1" w:rsidP="00F176B9">
      <w:pPr>
        <w:spacing w:after="120"/>
        <w:contextualSpacing/>
        <w:rPr>
          <w:rFonts w:ascii="Arial" w:eastAsia="Calibri" w:hAnsi="Arial" w:cs="Arial"/>
          <w:b/>
          <w:bCs/>
          <w:sz w:val="20"/>
          <w:szCs w:val="20"/>
        </w:rPr>
      </w:pPr>
    </w:p>
    <w:sectPr w:rsidR="006674C1" w:rsidRPr="00F176B9" w:rsidSect="003D603B">
      <w:headerReference w:type="default" r:id="rId13"/>
      <w:footerReference w:type="default" r:id="rId14"/>
      <w:pgSz w:w="12240" w:h="15840"/>
      <w:pgMar w:top="411" w:right="2317"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197A7" w14:textId="77777777" w:rsidR="00241AB9" w:rsidRDefault="00241AB9">
      <w:r>
        <w:separator/>
      </w:r>
    </w:p>
  </w:endnote>
  <w:endnote w:type="continuationSeparator" w:id="0">
    <w:p w14:paraId="6E55A158" w14:textId="77777777" w:rsidR="00241AB9" w:rsidRDefault="00241AB9">
      <w:r>
        <w:continuationSeparator/>
      </w:r>
    </w:p>
  </w:endnote>
  <w:endnote w:type="continuationNotice" w:id="1">
    <w:p w14:paraId="0778E91E" w14:textId="77777777" w:rsidR="00E05539" w:rsidRDefault="00E055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MT">
    <w:altName w:val="Arial"/>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8D1CB" w14:textId="1AB2AE8F" w:rsidR="00412132" w:rsidRDefault="00412132" w:rsidP="00B6444C">
    <w:pPr>
      <w:pStyle w:val="Sinespaciado"/>
      <w:rPr>
        <w:rFonts w:ascii="Arial" w:hAnsi="Arial" w:cs="Arial"/>
        <w:sz w:val="18"/>
        <w:szCs w:val="18"/>
      </w:rPr>
    </w:pPr>
  </w:p>
  <w:p w14:paraId="53DF6B5B" w14:textId="77777777" w:rsidR="00412132" w:rsidRDefault="00412132" w:rsidP="00B6444C">
    <w:pPr>
      <w:pStyle w:val="Sinespaciado"/>
      <w:rPr>
        <w:rFonts w:ascii="Arial" w:hAnsi="Arial" w:cs="Arial"/>
        <w:sz w:val="18"/>
        <w:szCs w:val="18"/>
      </w:rPr>
    </w:pPr>
  </w:p>
  <w:p w14:paraId="312C4A14" w14:textId="6A24D930" w:rsidR="00412132" w:rsidRPr="00501651" w:rsidRDefault="00412132" w:rsidP="005A79FE">
    <w:pPr>
      <w:pStyle w:val="Piedepgina"/>
      <w:jc w:val="right"/>
      <w:rPr>
        <w:rFonts w:ascii="Arial" w:hAnsi="Arial" w:cs="Arial"/>
        <w:color w:val="7F7F7F"/>
        <w:sz w:val="16"/>
        <w:szCs w:val="16"/>
      </w:rPr>
    </w:pPr>
    <w:r w:rsidRPr="00501651">
      <w:rPr>
        <w:rFonts w:ascii="Arial" w:hAnsi="Arial" w:cs="Arial"/>
        <w:bCs/>
        <w:color w:val="7F7F7F"/>
        <w:sz w:val="16"/>
        <w:szCs w:val="16"/>
      </w:rPr>
      <w:t xml:space="preserve">Página </w:t>
    </w:r>
    <w:r w:rsidRPr="00501651">
      <w:rPr>
        <w:rFonts w:ascii="Arial" w:hAnsi="Arial" w:cs="Arial"/>
        <w:b/>
        <w:bCs/>
        <w:color w:val="7F7F7F"/>
        <w:sz w:val="16"/>
        <w:szCs w:val="16"/>
      </w:rPr>
      <w:fldChar w:fldCharType="begin"/>
    </w:r>
    <w:r w:rsidRPr="00501651">
      <w:rPr>
        <w:rFonts w:ascii="Arial" w:hAnsi="Arial" w:cs="Arial"/>
        <w:b/>
        <w:bCs/>
        <w:color w:val="7F7F7F"/>
        <w:sz w:val="16"/>
        <w:szCs w:val="16"/>
      </w:rPr>
      <w:instrText>PAGE  \* Arabic  \* MERGEFORMAT</w:instrText>
    </w:r>
    <w:r w:rsidRPr="00501651">
      <w:rPr>
        <w:rFonts w:ascii="Arial" w:hAnsi="Arial" w:cs="Arial"/>
        <w:b/>
        <w:bCs/>
        <w:color w:val="7F7F7F"/>
        <w:sz w:val="16"/>
        <w:szCs w:val="16"/>
      </w:rPr>
      <w:fldChar w:fldCharType="separate"/>
    </w:r>
    <w:r w:rsidR="00D6148F" w:rsidRPr="00501651">
      <w:rPr>
        <w:rFonts w:ascii="Arial" w:hAnsi="Arial" w:cs="Arial"/>
        <w:b/>
        <w:bCs/>
        <w:noProof/>
        <w:color w:val="7F7F7F"/>
        <w:sz w:val="16"/>
        <w:szCs w:val="16"/>
      </w:rPr>
      <w:t>17</w:t>
    </w:r>
    <w:r w:rsidRPr="00501651">
      <w:rPr>
        <w:rFonts w:ascii="Arial" w:hAnsi="Arial" w:cs="Arial"/>
        <w:b/>
        <w:bCs/>
        <w:color w:val="7F7F7F"/>
        <w:sz w:val="16"/>
        <w:szCs w:val="16"/>
      </w:rPr>
      <w:fldChar w:fldCharType="end"/>
    </w:r>
    <w:r w:rsidRPr="00501651">
      <w:rPr>
        <w:rFonts w:ascii="Arial" w:hAnsi="Arial" w:cs="Arial"/>
        <w:color w:val="7F7F7F"/>
        <w:sz w:val="16"/>
        <w:szCs w:val="16"/>
      </w:rPr>
      <w:t xml:space="preserve"> de </w:t>
    </w:r>
    <w:r w:rsidRPr="00501651">
      <w:rPr>
        <w:rFonts w:ascii="Arial" w:hAnsi="Arial" w:cs="Arial"/>
        <w:b/>
        <w:bCs/>
        <w:color w:val="7F7F7F"/>
        <w:sz w:val="16"/>
        <w:szCs w:val="16"/>
      </w:rPr>
      <w:fldChar w:fldCharType="begin"/>
    </w:r>
    <w:r w:rsidRPr="00501651">
      <w:rPr>
        <w:rFonts w:ascii="Arial" w:hAnsi="Arial" w:cs="Arial"/>
        <w:b/>
        <w:bCs/>
        <w:color w:val="7F7F7F"/>
        <w:sz w:val="16"/>
        <w:szCs w:val="16"/>
      </w:rPr>
      <w:instrText>NUMPAGES  \* Arabic  \* MERGEFORMAT</w:instrText>
    </w:r>
    <w:r w:rsidRPr="00501651">
      <w:rPr>
        <w:rFonts w:ascii="Arial" w:hAnsi="Arial" w:cs="Arial"/>
        <w:b/>
        <w:bCs/>
        <w:color w:val="7F7F7F"/>
        <w:sz w:val="16"/>
        <w:szCs w:val="16"/>
      </w:rPr>
      <w:fldChar w:fldCharType="separate"/>
    </w:r>
    <w:r w:rsidR="00D6148F" w:rsidRPr="00501651">
      <w:rPr>
        <w:rFonts w:ascii="Arial" w:hAnsi="Arial" w:cs="Arial"/>
        <w:b/>
        <w:bCs/>
        <w:noProof/>
        <w:color w:val="7F7F7F"/>
        <w:sz w:val="16"/>
        <w:szCs w:val="16"/>
      </w:rPr>
      <w:t>17</w:t>
    </w:r>
    <w:r w:rsidRPr="00501651">
      <w:rPr>
        <w:rFonts w:ascii="Arial" w:hAnsi="Arial" w:cs="Arial"/>
        <w:b/>
        <w:bCs/>
        <w:color w:val="7F7F7F"/>
        <w:sz w:val="16"/>
        <w:szCs w:val="16"/>
      </w:rPr>
      <w:fldChar w:fldCharType="end"/>
    </w:r>
  </w:p>
  <w:p w14:paraId="48FC6A04" w14:textId="4A5E79D2" w:rsidR="00412132" w:rsidRDefault="00412132" w:rsidP="007B0854">
    <w:pPr>
      <w:pStyle w:val="Piedepgina"/>
      <w:jc w:val="center"/>
      <w:rPr>
        <w:lang w:val="es-ES"/>
      </w:rPr>
    </w:pPr>
    <w:r>
      <w:rPr>
        <w:noProof/>
        <w:lang w:val="es-CO" w:eastAsia="es-CO"/>
      </w:rPr>
      <w:drawing>
        <wp:inline distT="0" distB="0" distL="0" distR="0" wp14:anchorId="608B196D" wp14:editId="577C97FD">
          <wp:extent cx="4241994" cy="595165"/>
          <wp:effectExtent l="0" t="0" r="6350" b="0"/>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25744B2D" w14:textId="77777777" w:rsidR="00412132" w:rsidRDefault="00412132" w:rsidP="007B0854">
    <w:pPr>
      <w:pStyle w:val="Piedepgina"/>
      <w:jc w:val="center"/>
      <w:rPr>
        <w:lang w:val="es-ES"/>
      </w:rPr>
    </w:pPr>
  </w:p>
  <w:p w14:paraId="645768A8" w14:textId="77777777" w:rsidR="00412132" w:rsidRPr="007B0854" w:rsidRDefault="00412132"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BC200" w14:textId="77777777" w:rsidR="00241AB9" w:rsidRDefault="00241AB9">
      <w:r>
        <w:separator/>
      </w:r>
    </w:p>
  </w:footnote>
  <w:footnote w:type="continuationSeparator" w:id="0">
    <w:p w14:paraId="753884B1" w14:textId="77777777" w:rsidR="00241AB9" w:rsidRDefault="00241AB9">
      <w:r>
        <w:continuationSeparator/>
      </w:r>
    </w:p>
  </w:footnote>
  <w:footnote w:type="continuationNotice" w:id="1">
    <w:p w14:paraId="26CD4014" w14:textId="77777777" w:rsidR="00E05539" w:rsidRDefault="00E05539">
      <w:pPr>
        <w:spacing w:after="0" w:line="240" w:lineRule="auto"/>
      </w:pPr>
    </w:p>
  </w:footnote>
  <w:footnote w:id="2">
    <w:p w14:paraId="1B8F5EBA" w14:textId="77777777" w:rsidR="00E70C56" w:rsidRPr="00645C55" w:rsidRDefault="00E70C56" w:rsidP="00645C55">
      <w:pPr>
        <w:pStyle w:val="Textonotapie"/>
        <w:spacing w:after="0" w:line="240" w:lineRule="auto"/>
        <w:ind w:firstLine="709"/>
        <w:rPr>
          <w:rFonts w:ascii="Arial" w:hAnsi="Arial" w:cs="Arial"/>
          <w:sz w:val="19"/>
          <w:szCs w:val="19"/>
          <w:lang w:val="es-ES"/>
        </w:rPr>
      </w:pPr>
      <w:r w:rsidRPr="00645C55">
        <w:rPr>
          <w:rStyle w:val="Refdenotaalpie"/>
          <w:rFonts w:ascii="Arial" w:hAnsi="Arial" w:cs="Arial"/>
          <w:sz w:val="19"/>
          <w:szCs w:val="19"/>
        </w:rPr>
        <w:footnoteRef/>
      </w:r>
      <w:r w:rsidRPr="00645C55">
        <w:rPr>
          <w:rFonts w:ascii="Arial" w:hAnsi="Arial" w:cs="Arial"/>
          <w:sz w:val="19"/>
          <w:szCs w:val="19"/>
        </w:rPr>
        <w:t xml:space="preserve"> </w:t>
      </w:r>
      <w:r w:rsidRPr="00645C55">
        <w:rPr>
          <w:rFonts w:ascii="Arial" w:hAnsi="Arial" w:cs="Arial"/>
          <w:sz w:val="19"/>
          <w:szCs w:val="19"/>
          <w:lang w:val="es-ES"/>
        </w:rPr>
        <w:t xml:space="preserve">En cuanto a las resoluciones vigentes, dicha regla se observa en el artículo 3 de las Resoluciones </w:t>
      </w:r>
      <w:bookmarkStart w:id="5" w:name="_Hlk82363077"/>
      <w:r w:rsidRPr="00645C55">
        <w:rPr>
          <w:rFonts w:ascii="Arial" w:hAnsi="Arial" w:cs="Arial"/>
          <w:sz w:val="19"/>
          <w:szCs w:val="19"/>
          <w:lang w:val="es-ES"/>
        </w:rPr>
        <w:t>240 de 2020, 241 de 2020, 248 de 2020, 249 de 2020, 269 de 2020, 219 de 2021, 392 de 2021, 454 de 2021, entre otras, así como lo dispuesto en el artículo 2 de la Resolución 094 de 2020</w:t>
      </w:r>
      <w:bookmarkEnd w:id="5"/>
      <w:r w:rsidRPr="00645C55">
        <w:rPr>
          <w:rFonts w:ascii="Arial" w:hAnsi="Arial" w:cs="Arial"/>
          <w:sz w:val="19"/>
          <w:szCs w:val="19"/>
          <w:lang w:val="es-ES"/>
        </w:rPr>
        <w:t>.</w:t>
      </w:r>
    </w:p>
    <w:p w14:paraId="6631BE10" w14:textId="77777777" w:rsidR="00E70C56" w:rsidRPr="00645C55" w:rsidRDefault="00E70C56" w:rsidP="00645C55">
      <w:pPr>
        <w:pStyle w:val="Textonotapie"/>
        <w:spacing w:after="0" w:line="240" w:lineRule="auto"/>
        <w:ind w:firstLine="709"/>
        <w:rPr>
          <w:rFonts w:ascii="Arial" w:hAnsi="Arial" w:cs="Arial"/>
          <w:sz w:val="19"/>
          <w:szCs w:val="19"/>
          <w:lang w:val="es-ES"/>
        </w:rPr>
      </w:pPr>
    </w:p>
  </w:footnote>
  <w:footnote w:id="3">
    <w:p w14:paraId="70DE69F8" w14:textId="58BBD2FD" w:rsidR="00E70C56" w:rsidRPr="00645C55" w:rsidRDefault="00E70C56" w:rsidP="00645C55">
      <w:pPr>
        <w:pStyle w:val="Textonotapie"/>
        <w:spacing w:after="0" w:line="240" w:lineRule="auto"/>
        <w:ind w:firstLine="709"/>
        <w:rPr>
          <w:rFonts w:ascii="Arial" w:hAnsi="Arial" w:cs="Arial"/>
          <w:sz w:val="19"/>
          <w:szCs w:val="19"/>
        </w:rPr>
      </w:pPr>
      <w:r w:rsidRPr="00645C55">
        <w:rPr>
          <w:rStyle w:val="Refdenotaalpie"/>
          <w:rFonts w:ascii="Arial" w:hAnsi="Arial" w:cs="Arial"/>
          <w:sz w:val="19"/>
          <w:szCs w:val="19"/>
        </w:rPr>
        <w:footnoteRef/>
      </w:r>
      <w:r w:rsidRPr="00645C55">
        <w:rPr>
          <w:rFonts w:ascii="Arial" w:hAnsi="Arial" w:cs="Arial"/>
          <w:sz w:val="19"/>
          <w:szCs w:val="19"/>
        </w:rPr>
        <w:t xml:space="preserve"> En torno a las potestades regladas, García de Enterría y Fernández manifiestan: «El ejercicio de las ptestades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FERNÁNDEZ, Tomás-Ramón. Curso de derecho administrativo. Tomo I. Madrid: Civitas, 1997. pp. 444-445)</w:t>
      </w:r>
      <w:r w:rsidR="0046682E">
        <w:rPr>
          <w:rFonts w:ascii="Arial" w:hAnsi="Arial" w:cs="Arial"/>
          <w:sz w:val="19"/>
          <w:szCs w:val="19"/>
        </w:rPr>
        <w:t>.</w:t>
      </w:r>
    </w:p>
  </w:footnote>
  <w:footnote w:id="4">
    <w:p w14:paraId="1F94366C" w14:textId="77777777" w:rsidR="00E70C56" w:rsidRPr="00645C55" w:rsidRDefault="00E70C56" w:rsidP="00645C55">
      <w:pPr>
        <w:pStyle w:val="Textonotapie"/>
        <w:spacing w:after="0" w:line="240" w:lineRule="auto"/>
        <w:ind w:firstLine="709"/>
        <w:rPr>
          <w:rFonts w:ascii="Arial" w:hAnsi="Arial" w:cs="Arial"/>
          <w:sz w:val="19"/>
          <w:szCs w:val="19"/>
        </w:rPr>
      </w:pPr>
      <w:r w:rsidRPr="00645C55">
        <w:rPr>
          <w:rStyle w:val="Refdenotaalpie"/>
          <w:rFonts w:ascii="Arial" w:hAnsi="Arial" w:cs="Arial"/>
          <w:sz w:val="19"/>
          <w:szCs w:val="19"/>
        </w:rPr>
        <w:footnoteRef/>
      </w:r>
      <w:r w:rsidRPr="00645C55">
        <w:rPr>
          <w:rFonts w:ascii="Arial" w:hAnsi="Arial" w:cs="Arial"/>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13F8934C" w14:textId="77777777" w:rsidR="00E70C56" w:rsidRPr="00645C55" w:rsidRDefault="00E70C56" w:rsidP="00645C55">
      <w:pPr>
        <w:pStyle w:val="Textonotapie"/>
        <w:spacing w:after="0" w:line="240" w:lineRule="auto"/>
        <w:ind w:firstLine="709"/>
        <w:rPr>
          <w:rFonts w:ascii="Arial" w:hAnsi="Arial" w:cs="Arial"/>
          <w:sz w:val="19"/>
          <w:szCs w:val="19"/>
        </w:rPr>
      </w:pPr>
    </w:p>
  </w:footnote>
  <w:footnote w:id="5">
    <w:p w14:paraId="423777B7" w14:textId="77777777" w:rsidR="00E70C56" w:rsidRPr="00645C55" w:rsidRDefault="00E70C56" w:rsidP="00645C55">
      <w:pPr>
        <w:spacing w:after="0" w:line="240" w:lineRule="auto"/>
        <w:ind w:firstLine="709"/>
        <w:rPr>
          <w:rFonts w:ascii="Arial" w:hAnsi="Arial" w:cs="Arial"/>
          <w:sz w:val="19"/>
          <w:szCs w:val="19"/>
          <w:lang w:val="es-ES"/>
        </w:rPr>
      </w:pPr>
      <w:r w:rsidRPr="00645C55">
        <w:rPr>
          <w:rStyle w:val="Refdenotaalpie"/>
          <w:rFonts w:ascii="Arial" w:hAnsi="Arial" w:cs="Arial"/>
          <w:sz w:val="19"/>
          <w:szCs w:val="19"/>
        </w:rPr>
        <w:footnoteRef/>
      </w:r>
      <w:r w:rsidRPr="00645C55">
        <w:rPr>
          <w:rFonts w:ascii="Arial" w:hAnsi="Arial" w:cs="Arial"/>
          <w:sz w:val="19"/>
          <w:szCs w:val="19"/>
        </w:rPr>
        <w:t xml:space="preserve"> </w:t>
      </w:r>
      <w:r w:rsidRPr="00645C55">
        <w:rPr>
          <w:rFonts w:ascii="Arial" w:hAnsi="Arial" w:cs="Arial"/>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4F88EA8" w14:textId="77777777" w:rsidR="00E70C56" w:rsidRPr="00645C55" w:rsidRDefault="00E70C56" w:rsidP="00645C55">
      <w:pPr>
        <w:spacing w:after="0" w:line="240" w:lineRule="auto"/>
        <w:ind w:firstLine="709"/>
        <w:rPr>
          <w:rFonts w:ascii="Arial" w:hAnsi="Arial" w:cs="Arial"/>
          <w:sz w:val="19"/>
          <w:szCs w:val="19"/>
          <w:lang w:val="es-ES"/>
        </w:rPr>
      </w:pPr>
    </w:p>
  </w:footnote>
  <w:footnote w:id="6">
    <w:p w14:paraId="2E85A171" w14:textId="77777777" w:rsidR="00E70C56" w:rsidRPr="00645C55" w:rsidRDefault="00E70C56" w:rsidP="00645C55">
      <w:pPr>
        <w:pStyle w:val="Textonotapie"/>
        <w:spacing w:after="0" w:line="240" w:lineRule="auto"/>
        <w:ind w:firstLine="709"/>
        <w:rPr>
          <w:rFonts w:ascii="Arial" w:hAnsi="Arial" w:cs="Arial"/>
          <w:sz w:val="19"/>
          <w:szCs w:val="19"/>
          <w:lang w:val="es-ES"/>
        </w:rPr>
      </w:pPr>
      <w:r w:rsidRPr="00645C55">
        <w:rPr>
          <w:rStyle w:val="Refdenotaalpie"/>
          <w:rFonts w:ascii="Arial" w:hAnsi="Arial" w:cs="Arial"/>
          <w:sz w:val="19"/>
          <w:szCs w:val="19"/>
        </w:rPr>
        <w:footnoteRef/>
      </w:r>
      <w:r w:rsidRPr="00645C55">
        <w:rPr>
          <w:rFonts w:ascii="Arial" w:hAnsi="Arial" w:cs="Arial"/>
          <w:sz w:val="19"/>
          <w:szCs w:val="19"/>
        </w:rPr>
        <w:t xml:space="preserve"> CONSEJO DE ESTADO. Sección Tercera. Sentencia del 4 de junio de 2008. Exp. 17.783. C.P. Myriam Guerrero de Escobar.</w:t>
      </w:r>
    </w:p>
  </w:footnote>
  <w:footnote w:id="7">
    <w:p w14:paraId="62CDF749" w14:textId="77777777" w:rsidR="00024D80" w:rsidRPr="00645C55" w:rsidRDefault="00024D80" w:rsidP="00645C55">
      <w:pPr>
        <w:pStyle w:val="Textonotapie"/>
        <w:spacing w:after="0" w:line="240" w:lineRule="auto"/>
        <w:ind w:firstLine="708"/>
        <w:rPr>
          <w:rFonts w:ascii="Arial" w:eastAsia="Times New Roman" w:hAnsi="Arial" w:cs="Arial"/>
          <w:sz w:val="19"/>
          <w:szCs w:val="19"/>
          <w:lang w:val="es-CO" w:eastAsia="es-CO"/>
        </w:rPr>
      </w:pPr>
      <w:r w:rsidRPr="00645C55">
        <w:rPr>
          <w:rStyle w:val="Refdenotaalpie"/>
          <w:rFonts w:ascii="Arial" w:hAnsi="Arial" w:cs="Arial"/>
          <w:sz w:val="19"/>
          <w:szCs w:val="19"/>
        </w:rPr>
        <w:footnoteRef/>
      </w:r>
      <w:r w:rsidRPr="00645C55">
        <w:rPr>
          <w:rFonts w:ascii="Arial" w:hAnsi="Arial" w:cs="Arial"/>
          <w:sz w:val="19"/>
          <w:szCs w:val="19"/>
        </w:rPr>
        <w:t xml:space="preserve"> Sobre el particular, el Consejo de Estado explica que «[…] las causales de rechazo de las propuestas pueden ser legales y por lo mismo generan el efecto del descarte o exclusión de la oferta </w:t>
      </w:r>
      <w:r w:rsidRPr="00645C55">
        <w:rPr>
          <w:rFonts w:ascii="Arial" w:hAnsi="Arial" w:cs="Arial"/>
          <w:i/>
          <w:iCs/>
          <w:sz w:val="19"/>
          <w:szCs w:val="19"/>
        </w:rPr>
        <w:t>ope legis</w:t>
      </w:r>
      <w:r w:rsidRPr="00645C55">
        <w:rPr>
          <w:rFonts w:ascii="Arial" w:hAnsi="Arial" w:cs="Arial"/>
          <w:sz w:val="19"/>
          <w:szCs w:val="19"/>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 (</w:t>
      </w:r>
      <w:r w:rsidRPr="00645C55">
        <w:rPr>
          <w:rFonts w:ascii="Arial" w:eastAsia="Times New Roman" w:hAnsi="Arial" w:cs="Arial"/>
          <w:sz w:val="19"/>
          <w:szCs w:val="19"/>
          <w:lang w:val="es-CO" w:eastAsia="es-CO"/>
        </w:rPr>
        <w:t>Consejo de Estado. Sección Tercera. Sentencia del 27 de abril de 2011. Exp. 18.293. C.P. Ruth Stella Correa Palacio).</w:t>
      </w:r>
    </w:p>
    <w:p w14:paraId="12948A28" w14:textId="77777777" w:rsidR="00024D80" w:rsidRPr="00645C55" w:rsidRDefault="00024D80" w:rsidP="00645C55">
      <w:pPr>
        <w:pStyle w:val="Textonotapie"/>
        <w:spacing w:after="0" w:line="240" w:lineRule="auto"/>
        <w:ind w:firstLine="708"/>
        <w:rPr>
          <w:rFonts w:ascii="Arial" w:hAnsi="Arial" w:cs="Arial"/>
          <w:sz w:val="19"/>
          <w:szCs w:val="19"/>
          <w:lang w:val="es-CO"/>
        </w:rPr>
      </w:pPr>
    </w:p>
  </w:footnote>
  <w:footnote w:id="8">
    <w:p w14:paraId="7024A71C" w14:textId="241D7D3D" w:rsidR="00024D80" w:rsidRPr="00645C55" w:rsidRDefault="00024D80" w:rsidP="00645C55">
      <w:pPr>
        <w:pStyle w:val="Textonotapie"/>
        <w:spacing w:after="0" w:line="240" w:lineRule="auto"/>
        <w:ind w:firstLine="708"/>
        <w:rPr>
          <w:rFonts w:ascii="Arial" w:hAnsi="Arial" w:cs="Arial"/>
          <w:sz w:val="19"/>
          <w:szCs w:val="19"/>
          <w:lang w:val="es-ES"/>
        </w:rPr>
      </w:pPr>
      <w:r w:rsidRPr="00645C55">
        <w:rPr>
          <w:rStyle w:val="Refdenotaalpie"/>
          <w:rFonts w:ascii="Arial" w:hAnsi="Arial" w:cs="Arial"/>
          <w:sz w:val="19"/>
          <w:szCs w:val="19"/>
        </w:rPr>
        <w:footnoteRef/>
      </w:r>
      <w:r w:rsidRPr="00645C55">
        <w:rPr>
          <w:rFonts w:ascii="Arial" w:hAnsi="Arial" w:cs="Arial"/>
          <w:sz w:val="19"/>
          <w:szCs w:val="19"/>
        </w:rPr>
        <w:t xml:space="preserve"> Artículo 30.6 de la Ley 80 de 1993.</w:t>
      </w:r>
    </w:p>
  </w:footnote>
  <w:footnote w:id="9">
    <w:p w14:paraId="492BC360" w14:textId="77777777" w:rsidR="00024D80" w:rsidRPr="0046682E" w:rsidRDefault="00024D80" w:rsidP="00645C55">
      <w:pPr>
        <w:pStyle w:val="Textonotapie"/>
        <w:spacing w:after="0" w:line="240" w:lineRule="auto"/>
        <w:ind w:firstLine="708"/>
        <w:rPr>
          <w:rFonts w:ascii="Arial" w:hAnsi="Arial" w:cs="Arial"/>
          <w:sz w:val="19"/>
          <w:szCs w:val="19"/>
        </w:rPr>
      </w:pPr>
      <w:r w:rsidRPr="00645C55">
        <w:rPr>
          <w:rStyle w:val="Refdenotaalpie"/>
          <w:rFonts w:ascii="Arial" w:hAnsi="Arial" w:cs="Arial"/>
          <w:sz w:val="19"/>
          <w:szCs w:val="19"/>
        </w:rPr>
        <w:footnoteRef/>
      </w:r>
      <w:r w:rsidRPr="00645C55">
        <w:rPr>
          <w:rFonts w:ascii="Arial" w:hAnsi="Arial" w:cs="Arial"/>
          <w:sz w:val="19"/>
          <w:szCs w:val="19"/>
        </w:rPr>
        <w:t xml:space="preserve"> Al respecto, «Las ofertas que se presenten a una licitación o concurso deben sujetarse a las estipulaciones de los pliegos de condiciones o términos de referencia, so pena de que sean descalificadas. Tal ha sido el criterio legal y doctrinario predominante en esta materia. Se fundamenta dicha regla en el hecho de ser los pliegos la ley del contrato que habrá de celebrarse. De ahí que la mayor parte de los tratadistas coincida en expresar que el contrato viene a ser en últimas una mera instrumentalización de lo que quedó establecido en el momento en que cobró ejecutoria el acto que lo adjudicó» (CÁRDENAS GÓMEZ, Humberto. Las desviaciones de los pliegos de condiciones o términos de referencia. En: Comentarios al Estatuto General de Contratación de la Administración Pública. Medellín: Librería Jurídica Sánchez Ltda., 1994. p. 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23BDB" w14:textId="1CCC219A" w:rsidR="00412132" w:rsidRDefault="00412132">
    <w:pPr>
      <w:pStyle w:val="Encabezado"/>
    </w:pPr>
    <w:r>
      <w:rPr>
        <w:noProof/>
        <w:lang w:val="es-CO" w:eastAsia="es-CO"/>
      </w:rPr>
      <w:drawing>
        <wp:anchor distT="0" distB="0" distL="114300" distR="114300" simplePos="0" relativeHeight="251658240" behindDoc="1" locked="0" layoutInCell="1" allowOverlap="1" wp14:anchorId="1A706351" wp14:editId="7CA6CDD4">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31D607" w14:textId="77777777" w:rsidR="00FE0395" w:rsidRDefault="00FE0395" w:rsidP="00FE0395">
    <w:pPr>
      <w:pStyle w:val="Encabezado"/>
      <w:spacing w:after="0"/>
    </w:pPr>
  </w:p>
  <w:p w14:paraId="6520770B" w14:textId="18EB07B5" w:rsidR="00412132" w:rsidRDefault="0041213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EE161D"/>
    <w:multiLevelType w:val="hybridMultilevel"/>
    <w:tmpl w:val="5E9052F8"/>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8CE7502"/>
    <w:multiLevelType w:val="hybridMultilevel"/>
    <w:tmpl w:val="8A348CD6"/>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88E33FD"/>
    <w:multiLevelType w:val="hybridMultilevel"/>
    <w:tmpl w:val="8DB4960C"/>
    <w:lvl w:ilvl="0" w:tplc="35F8F35A">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 w15:restartNumberingAfterBreak="0">
    <w:nsid w:val="25613221"/>
    <w:multiLevelType w:val="hybridMultilevel"/>
    <w:tmpl w:val="74E8714E"/>
    <w:lvl w:ilvl="0" w:tplc="67744F1C">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5" w15:restartNumberingAfterBreak="0">
    <w:nsid w:val="283D5E85"/>
    <w:multiLevelType w:val="multilevel"/>
    <w:tmpl w:val="374260C8"/>
    <w:lvl w:ilvl="0">
      <w:start w:val="1"/>
      <w:numFmt w:val="decimal"/>
      <w:lvlText w:val="%1."/>
      <w:lvlJc w:val="left"/>
      <w:pPr>
        <w:ind w:left="720" w:hanging="360"/>
      </w:pPr>
      <w:rPr>
        <w:rFonts w:hint="default"/>
        <w:b/>
        <w:bCs/>
      </w:rPr>
    </w:lvl>
    <w:lvl w:ilvl="1">
      <w:start w:val="7"/>
      <w:numFmt w:val="decimal"/>
      <w:isLgl/>
      <w:lvlText w:val="%1.%2."/>
      <w:lvlJc w:val="left"/>
      <w:pPr>
        <w:ind w:left="1080" w:hanging="720"/>
      </w:pPr>
      <w:rPr>
        <w:rFonts w:eastAsia="Calibri" w:hint="default"/>
        <w:color w:val="000000" w:themeColor="text1"/>
      </w:rPr>
    </w:lvl>
    <w:lvl w:ilvl="2">
      <w:start w:val="1"/>
      <w:numFmt w:val="decimal"/>
      <w:isLgl/>
      <w:lvlText w:val="%1.%2.%3."/>
      <w:lvlJc w:val="left"/>
      <w:pPr>
        <w:ind w:left="1080" w:hanging="720"/>
      </w:pPr>
      <w:rPr>
        <w:rFonts w:eastAsia="Calibri" w:hint="default"/>
        <w:color w:val="000000" w:themeColor="text1"/>
      </w:rPr>
    </w:lvl>
    <w:lvl w:ilvl="3">
      <w:start w:val="1"/>
      <w:numFmt w:val="decimal"/>
      <w:isLgl/>
      <w:lvlText w:val="%1.%2.%3.%4."/>
      <w:lvlJc w:val="left"/>
      <w:pPr>
        <w:ind w:left="1440" w:hanging="1080"/>
      </w:pPr>
      <w:rPr>
        <w:rFonts w:eastAsia="Calibri" w:hint="default"/>
        <w:color w:val="000000" w:themeColor="text1"/>
      </w:rPr>
    </w:lvl>
    <w:lvl w:ilvl="4">
      <w:start w:val="1"/>
      <w:numFmt w:val="decimal"/>
      <w:isLgl/>
      <w:lvlText w:val="%1.%2.%3.%4.%5."/>
      <w:lvlJc w:val="left"/>
      <w:pPr>
        <w:ind w:left="1440" w:hanging="1080"/>
      </w:pPr>
      <w:rPr>
        <w:rFonts w:eastAsia="Calibri" w:hint="default"/>
        <w:color w:val="000000" w:themeColor="text1"/>
      </w:rPr>
    </w:lvl>
    <w:lvl w:ilvl="5">
      <w:start w:val="1"/>
      <w:numFmt w:val="decimal"/>
      <w:isLgl/>
      <w:lvlText w:val="%1.%2.%3.%4.%5.%6."/>
      <w:lvlJc w:val="left"/>
      <w:pPr>
        <w:ind w:left="1800" w:hanging="1440"/>
      </w:pPr>
      <w:rPr>
        <w:rFonts w:eastAsia="Calibri" w:hint="default"/>
        <w:color w:val="000000" w:themeColor="text1"/>
      </w:rPr>
    </w:lvl>
    <w:lvl w:ilvl="6">
      <w:start w:val="1"/>
      <w:numFmt w:val="decimal"/>
      <w:isLgl/>
      <w:lvlText w:val="%1.%2.%3.%4.%5.%6.%7."/>
      <w:lvlJc w:val="left"/>
      <w:pPr>
        <w:ind w:left="1800" w:hanging="1440"/>
      </w:pPr>
      <w:rPr>
        <w:rFonts w:eastAsia="Calibri" w:hint="default"/>
        <w:color w:val="000000" w:themeColor="text1"/>
      </w:rPr>
    </w:lvl>
    <w:lvl w:ilvl="7">
      <w:start w:val="1"/>
      <w:numFmt w:val="decimal"/>
      <w:isLgl/>
      <w:lvlText w:val="%1.%2.%3.%4.%5.%6.%7.%8."/>
      <w:lvlJc w:val="left"/>
      <w:pPr>
        <w:ind w:left="2160" w:hanging="1800"/>
      </w:pPr>
      <w:rPr>
        <w:rFonts w:eastAsia="Calibri" w:hint="default"/>
        <w:color w:val="000000" w:themeColor="text1"/>
      </w:rPr>
    </w:lvl>
    <w:lvl w:ilvl="8">
      <w:start w:val="1"/>
      <w:numFmt w:val="decimal"/>
      <w:isLgl/>
      <w:lvlText w:val="%1.%2.%3.%4.%5.%6.%7.%8.%9."/>
      <w:lvlJc w:val="left"/>
      <w:pPr>
        <w:ind w:left="2160" w:hanging="1800"/>
      </w:pPr>
      <w:rPr>
        <w:rFonts w:eastAsia="Calibri" w:hint="default"/>
        <w:color w:val="000000" w:themeColor="text1"/>
      </w:rPr>
    </w:lvl>
  </w:abstractNum>
  <w:abstractNum w:abstractNumId="6" w15:restartNumberingAfterBreak="0">
    <w:nsid w:val="2BAA45F7"/>
    <w:multiLevelType w:val="hybridMultilevel"/>
    <w:tmpl w:val="B8785494"/>
    <w:lvl w:ilvl="0" w:tplc="369A2F20">
      <w:start w:val="1"/>
      <w:numFmt w:val="decimal"/>
      <w:pStyle w:val="Capitulo3"/>
      <w:lvlText w:val="3.%1."/>
      <w:lvlJc w:val="left"/>
      <w:pPr>
        <w:ind w:left="786" w:hanging="360"/>
      </w:pPr>
      <w:rPr>
        <w:rFonts w:hint="default"/>
        <w:b/>
        <w:color w:val="262626" w:themeColor="text1" w:themeTint="D9"/>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 w15:restartNumberingAfterBreak="0">
    <w:nsid w:val="2E52434E"/>
    <w:multiLevelType w:val="multilevel"/>
    <w:tmpl w:val="451480FA"/>
    <w:lvl w:ilvl="0">
      <w:start w:val="3"/>
      <w:numFmt w:val="decimal"/>
      <w:lvlText w:val="%1."/>
      <w:lvlJc w:val="left"/>
      <w:pPr>
        <w:ind w:left="360" w:hanging="360"/>
      </w:pPr>
      <w:rPr>
        <w:rFonts w:hint="default"/>
        <w:color w:val="3C3C3C" w:themeColor="background2" w:themeShade="40"/>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3C3C3C" w:themeColor="background2" w:themeShade="40"/>
      </w:rPr>
    </w:lvl>
    <w:lvl w:ilvl="3">
      <w:start w:val="1"/>
      <w:numFmt w:val="decimal"/>
      <w:lvlText w:val="%1.%2.%3.%4."/>
      <w:lvlJc w:val="left"/>
      <w:pPr>
        <w:ind w:left="720" w:hanging="720"/>
      </w:pPr>
      <w:rPr>
        <w:rFonts w:hint="default"/>
        <w:color w:val="3C3C3C" w:themeColor="background2" w:themeShade="40"/>
      </w:rPr>
    </w:lvl>
    <w:lvl w:ilvl="4">
      <w:start w:val="1"/>
      <w:numFmt w:val="decimal"/>
      <w:lvlText w:val="%1.%2.%3.%4.%5."/>
      <w:lvlJc w:val="left"/>
      <w:pPr>
        <w:ind w:left="1080" w:hanging="1080"/>
      </w:pPr>
      <w:rPr>
        <w:rFonts w:hint="default"/>
        <w:color w:val="3C3C3C" w:themeColor="background2" w:themeShade="40"/>
      </w:rPr>
    </w:lvl>
    <w:lvl w:ilvl="5">
      <w:start w:val="1"/>
      <w:numFmt w:val="decimal"/>
      <w:lvlText w:val="%1.%2.%3.%4.%5.%6."/>
      <w:lvlJc w:val="left"/>
      <w:pPr>
        <w:ind w:left="1080" w:hanging="1080"/>
      </w:pPr>
      <w:rPr>
        <w:rFonts w:hint="default"/>
        <w:color w:val="3C3C3C" w:themeColor="background2" w:themeShade="40"/>
      </w:rPr>
    </w:lvl>
    <w:lvl w:ilvl="6">
      <w:start w:val="1"/>
      <w:numFmt w:val="decimal"/>
      <w:lvlText w:val="%1.%2.%3.%4.%5.%6.%7."/>
      <w:lvlJc w:val="left"/>
      <w:pPr>
        <w:ind w:left="1440" w:hanging="1440"/>
      </w:pPr>
      <w:rPr>
        <w:rFonts w:hint="default"/>
        <w:color w:val="3C3C3C" w:themeColor="background2" w:themeShade="40"/>
      </w:rPr>
    </w:lvl>
    <w:lvl w:ilvl="7">
      <w:start w:val="1"/>
      <w:numFmt w:val="decimal"/>
      <w:lvlText w:val="%1.%2.%3.%4.%5.%6.%7.%8."/>
      <w:lvlJc w:val="left"/>
      <w:pPr>
        <w:ind w:left="1440" w:hanging="1440"/>
      </w:pPr>
      <w:rPr>
        <w:rFonts w:hint="default"/>
        <w:color w:val="3C3C3C" w:themeColor="background2" w:themeShade="40"/>
      </w:rPr>
    </w:lvl>
    <w:lvl w:ilvl="8">
      <w:start w:val="1"/>
      <w:numFmt w:val="decimal"/>
      <w:lvlText w:val="%1.%2.%3.%4.%5.%6.%7.%8.%9."/>
      <w:lvlJc w:val="left"/>
      <w:pPr>
        <w:ind w:left="1800" w:hanging="1800"/>
      </w:pPr>
      <w:rPr>
        <w:rFonts w:hint="default"/>
        <w:color w:val="3C3C3C" w:themeColor="background2" w:themeShade="40"/>
      </w:rPr>
    </w:lvl>
  </w:abstractNum>
  <w:abstractNum w:abstractNumId="8" w15:restartNumberingAfterBreak="0">
    <w:nsid w:val="30BD7991"/>
    <w:multiLevelType w:val="hybridMultilevel"/>
    <w:tmpl w:val="195AF042"/>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18D3B73"/>
    <w:multiLevelType w:val="hybridMultilevel"/>
    <w:tmpl w:val="6F464806"/>
    <w:lvl w:ilvl="0" w:tplc="6388BED4">
      <w:start w:val="1"/>
      <w:numFmt w:val="lowerRoman"/>
      <w:lvlText w:val="(%1)"/>
      <w:lvlJc w:val="left"/>
      <w:pPr>
        <w:ind w:left="720" w:hanging="720"/>
      </w:pPr>
      <w:rPr>
        <w:rFonts w:hint="default"/>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37E1E1A"/>
    <w:multiLevelType w:val="hybridMultilevel"/>
    <w:tmpl w:val="E5D0DD6E"/>
    <w:lvl w:ilvl="0" w:tplc="199E3AAA">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D020FD"/>
    <w:multiLevelType w:val="hybridMultilevel"/>
    <w:tmpl w:val="69487C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DAC2D17"/>
    <w:multiLevelType w:val="multilevel"/>
    <w:tmpl w:val="080A0027"/>
    <w:lvl w:ilvl="0">
      <w:start w:val="1"/>
      <w:numFmt w:val="upperRoman"/>
      <w:pStyle w:val="Ttulo1"/>
      <w:lvlText w:val="%1."/>
      <w:lvlJc w:val="left"/>
      <w:pPr>
        <w:tabs>
          <w:tab w:val="num" w:pos="360"/>
        </w:tabs>
        <w:ind w:left="0" w:firstLine="0"/>
      </w:pPr>
      <w:rPr>
        <w:rFonts w:hint="default"/>
        <w:b/>
        <w:i w:val="0"/>
        <w:sz w:val="28"/>
        <w:szCs w:val="28"/>
      </w:rPr>
    </w:lvl>
    <w:lvl w:ilvl="1">
      <w:start w:val="1"/>
      <w:numFmt w:val="upperLetter"/>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0854227"/>
    <w:multiLevelType w:val="hybridMultilevel"/>
    <w:tmpl w:val="D4542102"/>
    <w:lvl w:ilvl="0" w:tplc="B0E60088">
      <w:start w:val="1"/>
      <w:numFmt w:val="lowerRoman"/>
      <w:lvlText w:val="%1)"/>
      <w:lvlJc w:val="left"/>
      <w:pPr>
        <w:tabs>
          <w:tab w:val="num" w:pos="1080"/>
        </w:tabs>
        <w:ind w:left="1080" w:hanging="72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7" w15:restartNumberingAfterBreak="0">
    <w:nsid w:val="50A51052"/>
    <w:multiLevelType w:val="hybridMultilevel"/>
    <w:tmpl w:val="7FA0C0A8"/>
    <w:lvl w:ilvl="0" w:tplc="BA54D6B6">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52F41B34"/>
    <w:multiLevelType w:val="multilevel"/>
    <w:tmpl w:val="A3DE2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143B48"/>
    <w:multiLevelType w:val="hybridMultilevel"/>
    <w:tmpl w:val="1888776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8155FF0"/>
    <w:multiLevelType w:val="hybridMultilevel"/>
    <w:tmpl w:val="0B66AD4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2" w15:restartNumberingAfterBreak="0">
    <w:nsid w:val="664E7E45"/>
    <w:multiLevelType w:val="hybridMultilevel"/>
    <w:tmpl w:val="EDE2AF5C"/>
    <w:lvl w:ilvl="0" w:tplc="E842EB0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4"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25"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26" w15:restartNumberingAfterBreak="0">
    <w:nsid w:val="748E3ACF"/>
    <w:multiLevelType w:val="hybridMultilevel"/>
    <w:tmpl w:val="E1BEC994"/>
    <w:lvl w:ilvl="0" w:tplc="717067A0">
      <w:start w:val="1"/>
      <w:numFmt w:val="lowerLetter"/>
      <w:lvlText w:val="%1)"/>
      <w:lvlJc w:val="left"/>
      <w:pPr>
        <w:ind w:left="1080" w:hanging="360"/>
      </w:pPr>
      <w:rPr>
        <w:rFonts w:hint="default"/>
        <w:b/>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7" w15:restartNumberingAfterBreak="0">
    <w:nsid w:val="7DDB11D6"/>
    <w:multiLevelType w:val="hybridMultilevel"/>
    <w:tmpl w:val="35A8EA74"/>
    <w:lvl w:ilvl="0" w:tplc="27A090D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106723387">
    <w:abstractNumId w:val="11"/>
  </w:num>
  <w:num w:numId="2" w16cid:durableId="1958440169">
    <w:abstractNumId w:val="9"/>
  </w:num>
  <w:num w:numId="3" w16cid:durableId="316155424">
    <w:abstractNumId w:val="15"/>
  </w:num>
  <w:num w:numId="4" w16cid:durableId="1768383740">
    <w:abstractNumId w:val="21"/>
  </w:num>
  <w:num w:numId="5" w16cid:durableId="1484350696">
    <w:abstractNumId w:val="23"/>
  </w:num>
  <w:num w:numId="6" w16cid:durableId="158911959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30550102">
    <w:abstractNumId w:val="6"/>
  </w:num>
  <w:num w:numId="8" w16cid:durableId="1737043428">
    <w:abstractNumId w:val="24"/>
  </w:num>
  <w:num w:numId="9" w16cid:durableId="1268270013">
    <w:abstractNumId w:val="6"/>
    <w:lvlOverride w:ilvl="0">
      <w:startOverride w:val="1"/>
    </w:lvlOverride>
  </w:num>
  <w:num w:numId="10" w16cid:durableId="706569284">
    <w:abstractNumId w:val="25"/>
  </w:num>
  <w:num w:numId="11" w16cid:durableId="1309550324">
    <w:abstractNumId w:val="7"/>
  </w:num>
  <w:num w:numId="12" w16cid:durableId="2042898743">
    <w:abstractNumId w:val="2"/>
  </w:num>
  <w:num w:numId="13" w16cid:durableId="290479431">
    <w:abstractNumId w:val="4"/>
  </w:num>
  <w:num w:numId="14" w16cid:durableId="1064569126">
    <w:abstractNumId w:val="20"/>
  </w:num>
  <w:num w:numId="15" w16cid:durableId="1195926361">
    <w:abstractNumId w:val="13"/>
  </w:num>
  <w:num w:numId="16" w16cid:durableId="1651592925">
    <w:abstractNumId w:val="10"/>
  </w:num>
  <w:num w:numId="17" w16cid:durableId="646201754">
    <w:abstractNumId w:val="14"/>
  </w:num>
  <w:num w:numId="18" w16cid:durableId="209729287">
    <w:abstractNumId w:val="16"/>
  </w:num>
  <w:num w:numId="19" w16cid:durableId="506094081">
    <w:abstractNumId w:val="5"/>
  </w:num>
  <w:num w:numId="20" w16cid:durableId="728847338">
    <w:abstractNumId w:val="27"/>
  </w:num>
  <w:num w:numId="21" w16cid:durableId="2070036288">
    <w:abstractNumId w:val="22"/>
  </w:num>
  <w:num w:numId="22" w16cid:durableId="1975478088">
    <w:abstractNumId w:val="18"/>
  </w:num>
  <w:num w:numId="23" w16cid:durableId="1406099759">
    <w:abstractNumId w:val="17"/>
  </w:num>
  <w:num w:numId="24" w16cid:durableId="1081949993">
    <w:abstractNumId w:val="8"/>
  </w:num>
  <w:num w:numId="25" w16cid:durableId="2041709872">
    <w:abstractNumId w:val="19"/>
  </w:num>
  <w:num w:numId="26" w16cid:durableId="1114787580">
    <w:abstractNumId w:val="1"/>
  </w:num>
  <w:num w:numId="27" w16cid:durableId="2065519921">
    <w:abstractNumId w:val="12"/>
  </w:num>
  <w:num w:numId="28" w16cid:durableId="869076342">
    <w:abstractNumId w:val="26"/>
  </w:num>
  <w:num w:numId="29" w16cid:durableId="1236979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210D"/>
    <w:rsid w:val="0000268F"/>
    <w:rsid w:val="000029BC"/>
    <w:rsid w:val="00002DB1"/>
    <w:rsid w:val="000031A6"/>
    <w:rsid w:val="00003AEE"/>
    <w:rsid w:val="0000404B"/>
    <w:rsid w:val="00004F5E"/>
    <w:rsid w:val="00005E4E"/>
    <w:rsid w:val="0000645E"/>
    <w:rsid w:val="0000682D"/>
    <w:rsid w:val="00006906"/>
    <w:rsid w:val="000105E2"/>
    <w:rsid w:val="00010981"/>
    <w:rsid w:val="00011726"/>
    <w:rsid w:val="000123BA"/>
    <w:rsid w:val="000126BB"/>
    <w:rsid w:val="00012A1B"/>
    <w:rsid w:val="000136DC"/>
    <w:rsid w:val="0001574B"/>
    <w:rsid w:val="000165EE"/>
    <w:rsid w:val="00016F33"/>
    <w:rsid w:val="00016FAC"/>
    <w:rsid w:val="0001726A"/>
    <w:rsid w:val="0001794A"/>
    <w:rsid w:val="0001795B"/>
    <w:rsid w:val="00020801"/>
    <w:rsid w:val="000208AF"/>
    <w:rsid w:val="00020B00"/>
    <w:rsid w:val="00020D8D"/>
    <w:rsid w:val="000236CF"/>
    <w:rsid w:val="00024BE5"/>
    <w:rsid w:val="00024D80"/>
    <w:rsid w:val="00025A4D"/>
    <w:rsid w:val="00026AD9"/>
    <w:rsid w:val="000271AD"/>
    <w:rsid w:val="000271FE"/>
    <w:rsid w:val="00027555"/>
    <w:rsid w:val="00027940"/>
    <w:rsid w:val="00027E9A"/>
    <w:rsid w:val="00027F74"/>
    <w:rsid w:val="000303EC"/>
    <w:rsid w:val="0003041B"/>
    <w:rsid w:val="00030C1F"/>
    <w:rsid w:val="0003107B"/>
    <w:rsid w:val="00031D2D"/>
    <w:rsid w:val="00034F55"/>
    <w:rsid w:val="00035AC7"/>
    <w:rsid w:val="00036083"/>
    <w:rsid w:val="000365C0"/>
    <w:rsid w:val="00036FF6"/>
    <w:rsid w:val="00037112"/>
    <w:rsid w:val="00037F22"/>
    <w:rsid w:val="000465F7"/>
    <w:rsid w:val="00046F46"/>
    <w:rsid w:val="000471AA"/>
    <w:rsid w:val="0004770A"/>
    <w:rsid w:val="000503A1"/>
    <w:rsid w:val="00050E2C"/>
    <w:rsid w:val="00051590"/>
    <w:rsid w:val="000522B1"/>
    <w:rsid w:val="0005275D"/>
    <w:rsid w:val="000527A5"/>
    <w:rsid w:val="00052CE1"/>
    <w:rsid w:val="00053983"/>
    <w:rsid w:val="00053991"/>
    <w:rsid w:val="00054C6E"/>
    <w:rsid w:val="00054E46"/>
    <w:rsid w:val="00055141"/>
    <w:rsid w:val="00055B28"/>
    <w:rsid w:val="00056024"/>
    <w:rsid w:val="00056809"/>
    <w:rsid w:val="000568C7"/>
    <w:rsid w:val="00057953"/>
    <w:rsid w:val="00057D35"/>
    <w:rsid w:val="00061727"/>
    <w:rsid w:val="00061C7B"/>
    <w:rsid w:val="0006235E"/>
    <w:rsid w:val="0006293E"/>
    <w:rsid w:val="0006331A"/>
    <w:rsid w:val="00063E52"/>
    <w:rsid w:val="000641BE"/>
    <w:rsid w:val="00064542"/>
    <w:rsid w:val="0006625D"/>
    <w:rsid w:val="00067665"/>
    <w:rsid w:val="00070770"/>
    <w:rsid w:val="00070A22"/>
    <w:rsid w:val="00071D6E"/>
    <w:rsid w:val="00072274"/>
    <w:rsid w:val="000743C2"/>
    <w:rsid w:val="0007460B"/>
    <w:rsid w:val="000751BB"/>
    <w:rsid w:val="0007590A"/>
    <w:rsid w:val="0007639B"/>
    <w:rsid w:val="00077C34"/>
    <w:rsid w:val="00077D20"/>
    <w:rsid w:val="00077E04"/>
    <w:rsid w:val="00077E1C"/>
    <w:rsid w:val="00080D35"/>
    <w:rsid w:val="00081AF3"/>
    <w:rsid w:val="00081B2F"/>
    <w:rsid w:val="00081E50"/>
    <w:rsid w:val="0008260E"/>
    <w:rsid w:val="000828E9"/>
    <w:rsid w:val="00083B1B"/>
    <w:rsid w:val="00083BE4"/>
    <w:rsid w:val="00084DC0"/>
    <w:rsid w:val="0008592F"/>
    <w:rsid w:val="00085CC3"/>
    <w:rsid w:val="0008644C"/>
    <w:rsid w:val="00086C08"/>
    <w:rsid w:val="000873C1"/>
    <w:rsid w:val="00087888"/>
    <w:rsid w:val="00090D35"/>
    <w:rsid w:val="000914F4"/>
    <w:rsid w:val="0009180B"/>
    <w:rsid w:val="000932C2"/>
    <w:rsid w:val="000939E0"/>
    <w:rsid w:val="00093D35"/>
    <w:rsid w:val="0009402D"/>
    <w:rsid w:val="000942EB"/>
    <w:rsid w:val="000953A7"/>
    <w:rsid w:val="0009651A"/>
    <w:rsid w:val="00096EAB"/>
    <w:rsid w:val="0009712F"/>
    <w:rsid w:val="000972BA"/>
    <w:rsid w:val="000976FD"/>
    <w:rsid w:val="00097ABD"/>
    <w:rsid w:val="00097B95"/>
    <w:rsid w:val="000A15CB"/>
    <w:rsid w:val="000A1B81"/>
    <w:rsid w:val="000A1DA7"/>
    <w:rsid w:val="000A2C01"/>
    <w:rsid w:val="000A4D0D"/>
    <w:rsid w:val="000A5189"/>
    <w:rsid w:val="000A668C"/>
    <w:rsid w:val="000A66CF"/>
    <w:rsid w:val="000A673B"/>
    <w:rsid w:val="000A7E46"/>
    <w:rsid w:val="000B0A9A"/>
    <w:rsid w:val="000B103F"/>
    <w:rsid w:val="000B1C28"/>
    <w:rsid w:val="000B2DA6"/>
    <w:rsid w:val="000B3893"/>
    <w:rsid w:val="000B3F99"/>
    <w:rsid w:val="000B41CF"/>
    <w:rsid w:val="000B4AA9"/>
    <w:rsid w:val="000B4FC6"/>
    <w:rsid w:val="000B53D0"/>
    <w:rsid w:val="000B680C"/>
    <w:rsid w:val="000B707E"/>
    <w:rsid w:val="000C00B6"/>
    <w:rsid w:val="000C0B7C"/>
    <w:rsid w:val="000C19F0"/>
    <w:rsid w:val="000C21BA"/>
    <w:rsid w:val="000C2DD2"/>
    <w:rsid w:val="000C5BA1"/>
    <w:rsid w:val="000C6347"/>
    <w:rsid w:val="000C7235"/>
    <w:rsid w:val="000C73E5"/>
    <w:rsid w:val="000C755D"/>
    <w:rsid w:val="000C7BB6"/>
    <w:rsid w:val="000D0148"/>
    <w:rsid w:val="000D05AD"/>
    <w:rsid w:val="000D0AFA"/>
    <w:rsid w:val="000D17D2"/>
    <w:rsid w:val="000D28E0"/>
    <w:rsid w:val="000D2ADD"/>
    <w:rsid w:val="000D457E"/>
    <w:rsid w:val="000D5150"/>
    <w:rsid w:val="000D58C2"/>
    <w:rsid w:val="000D75DD"/>
    <w:rsid w:val="000E1761"/>
    <w:rsid w:val="000E182B"/>
    <w:rsid w:val="000E190F"/>
    <w:rsid w:val="000E1F13"/>
    <w:rsid w:val="000E24E1"/>
    <w:rsid w:val="000E32F8"/>
    <w:rsid w:val="000E331F"/>
    <w:rsid w:val="000E33BC"/>
    <w:rsid w:val="000E4B6B"/>
    <w:rsid w:val="000E5299"/>
    <w:rsid w:val="000E576C"/>
    <w:rsid w:val="000E59C2"/>
    <w:rsid w:val="000E68FA"/>
    <w:rsid w:val="000E6962"/>
    <w:rsid w:val="000E6D84"/>
    <w:rsid w:val="000F14E8"/>
    <w:rsid w:val="000F17FC"/>
    <w:rsid w:val="000F1D24"/>
    <w:rsid w:val="000F354B"/>
    <w:rsid w:val="000F3B04"/>
    <w:rsid w:val="000F3C44"/>
    <w:rsid w:val="000F3D91"/>
    <w:rsid w:val="000F6869"/>
    <w:rsid w:val="000F7AE4"/>
    <w:rsid w:val="001000EC"/>
    <w:rsid w:val="001015E9"/>
    <w:rsid w:val="001017F1"/>
    <w:rsid w:val="001024CE"/>
    <w:rsid w:val="00102AA1"/>
    <w:rsid w:val="00103915"/>
    <w:rsid w:val="00103D3D"/>
    <w:rsid w:val="00104423"/>
    <w:rsid w:val="00104CDA"/>
    <w:rsid w:val="00105B6D"/>
    <w:rsid w:val="001065D1"/>
    <w:rsid w:val="00106AC5"/>
    <w:rsid w:val="00106B75"/>
    <w:rsid w:val="00107244"/>
    <w:rsid w:val="001100DE"/>
    <w:rsid w:val="001112CF"/>
    <w:rsid w:val="00111438"/>
    <w:rsid w:val="00111636"/>
    <w:rsid w:val="00112192"/>
    <w:rsid w:val="00112D2F"/>
    <w:rsid w:val="00112D6B"/>
    <w:rsid w:val="001139AE"/>
    <w:rsid w:val="00114236"/>
    <w:rsid w:val="00114A81"/>
    <w:rsid w:val="00114E2B"/>
    <w:rsid w:val="001152BA"/>
    <w:rsid w:val="0011561C"/>
    <w:rsid w:val="0011730D"/>
    <w:rsid w:val="00121409"/>
    <w:rsid w:val="001214FF"/>
    <w:rsid w:val="001229C6"/>
    <w:rsid w:val="00122B23"/>
    <w:rsid w:val="00123C67"/>
    <w:rsid w:val="00124E73"/>
    <w:rsid w:val="00124EC3"/>
    <w:rsid w:val="00124EE5"/>
    <w:rsid w:val="00125291"/>
    <w:rsid w:val="00125390"/>
    <w:rsid w:val="00125D4C"/>
    <w:rsid w:val="00126087"/>
    <w:rsid w:val="001260C4"/>
    <w:rsid w:val="0012687C"/>
    <w:rsid w:val="0012754A"/>
    <w:rsid w:val="00127BA6"/>
    <w:rsid w:val="0013045B"/>
    <w:rsid w:val="001308DC"/>
    <w:rsid w:val="001310A5"/>
    <w:rsid w:val="001316AB"/>
    <w:rsid w:val="0013236F"/>
    <w:rsid w:val="00132E0F"/>
    <w:rsid w:val="001332D0"/>
    <w:rsid w:val="00134030"/>
    <w:rsid w:val="001344AA"/>
    <w:rsid w:val="001355F5"/>
    <w:rsid w:val="00135C93"/>
    <w:rsid w:val="00137BA1"/>
    <w:rsid w:val="00137FFA"/>
    <w:rsid w:val="00140015"/>
    <w:rsid w:val="001406ED"/>
    <w:rsid w:val="00141C42"/>
    <w:rsid w:val="00141E84"/>
    <w:rsid w:val="00141F99"/>
    <w:rsid w:val="001420C8"/>
    <w:rsid w:val="001425C5"/>
    <w:rsid w:val="001448B5"/>
    <w:rsid w:val="001453EF"/>
    <w:rsid w:val="0014582F"/>
    <w:rsid w:val="00145AAA"/>
    <w:rsid w:val="00146E1D"/>
    <w:rsid w:val="00147605"/>
    <w:rsid w:val="0014792F"/>
    <w:rsid w:val="001509CD"/>
    <w:rsid w:val="00151D31"/>
    <w:rsid w:val="001520A3"/>
    <w:rsid w:val="00152609"/>
    <w:rsid w:val="00152C65"/>
    <w:rsid w:val="00152CA8"/>
    <w:rsid w:val="00153777"/>
    <w:rsid w:val="0015382E"/>
    <w:rsid w:val="00154879"/>
    <w:rsid w:val="00154A20"/>
    <w:rsid w:val="00154EDE"/>
    <w:rsid w:val="001550CF"/>
    <w:rsid w:val="001554A4"/>
    <w:rsid w:val="001568EE"/>
    <w:rsid w:val="00156DAF"/>
    <w:rsid w:val="0015784C"/>
    <w:rsid w:val="00160F84"/>
    <w:rsid w:val="0016135A"/>
    <w:rsid w:val="0016149E"/>
    <w:rsid w:val="00161D78"/>
    <w:rsid w:val="0016262F"/>
    <w:rsid w:val="0016397F"/>
    <w:rsid w:val="001640BC"/>
    <w:rsid w:val="001650A0"/>
    <w:rsid w:val="00165EA8"/>
    <w:rsid w:val="0016680A"/>
    <w:rsid w:val="00167B9D"/>
    <w:rsid w:val="00167F0C"/>
    <w:rsid w:val="00170733"/>
    <w:rsid w:val="00170813"/>
    <w:rsid w:val="00170C89"/>
    <w:rsid w:val="00170E51"/>
    <w:rsid w:val="00171D50"/>
    <w:rsid w:val="00172B2A"/>
    <w:rsid w:val="00172E0A"/>
    <w:rsid w:val="001734E7"/>
    <w:rsid w:val="00173980"/>
    <w:rsid w:val="00173D30"/>
    <w:rsid w:val="00174107"/>
    <w:rsid w:val="00174FBC"/>
    <w:rsid w:val="0017528B"/>
    <w:rsid w:val="001755EC"/>
    <w:rsid w:val="00175795"/>
    <w:rsid w:val="001765FA"/>
    <w:rsid w:val="001770E9"/>
    <w:rsid w:val="00177BAA"/>
    <w:rsid w:val="00180B3B"/>
    <w:rsid w:val="00182427"/>
    <w:rsid w:val="00182855"/>
    <w:rsid w:val="00182C6C"/>
    <w:rsid w:val="00183269"/>
    <w:rsid w:val="00183DD7"/>
    <w:rsid w:val="00184A68"/>
    <w:rsid w:val="00184E93"/>
    <w:rsid w:val="001857DA"/>
    <w:rsid w:val="00186253"/>
    <w:rsid w:val="00186B95"/>
    <w:rsid w:val="00186D8E"/>
    <w:rsid w:val="001900CF"/>
    <w:rsid w:val="00190205"/>
    <w:rsid w:val="001918D6"/>
    <w:rsid w:val="00192341"/>
    <w:rsid w:val="00192D85"/>
    <w:rsid w:val="001939B7"/>
    <w:rsid w:val="0019596D"/>
    <w:rsid w:val="001959BF"/>
    <w:rsid w:val="00195A58"/>
    <w:rsid w:val="00195EDB"/>
    <w:rsid w:val="0019626E"/>
    <w:rsid w:val="001963C6"/>
    <w:rsid w:val="0019713D"/>
    <w:rsid w:val="0019745D"/>
    <w:rsid w:val="001A028B"/>
    <w:rsid w:val="001A0467"/>
    <w:rsid w:val="001A08F7"/>
    <w:rsid w:val="001A0DF1"/>
    <w:rsid w:val="001A0EC0"/>
    <w:rsid w:val="001A26FC"/>
    <w:rsid w:val="001A27D7"/>
    <w:rsid w:val="001A3721"/>
    <w:rsid w:val="001A387A"/>
    <w:rsid w:val="001A3F04"/>
    <w:rsid w:val="001A7176"/>
    <w:rsid w:val="001B0FEE"/>
    <w:rsid w:val="001B2EA0"/>
    <w:rsid w:val="001B2F7F"/>
    <w:rsid w:val="001B3306"/>
    <w:rsid w:val="001B38FB"/>
    <w:rsid w:val="001B464A"/>
    <w:rsid w:val="001B4A46"/>
    <w:rsid w:val="001B4CC5"/>
    <w:rsid w:val="001B4D86"/>
    <w:rsid w:val="001B4DD5"/>
    <w:rsid w:val="001B528A"/>
    <w:rsid w:val="001B53B4"/>
    <w:rsid w:val="001B59D6"/>
    <w:rsid w:val="001B6044"/>
    <w:rsid w:val="001B686F"/>
    <w:rsid w:val="001B7618"/>
    <w:rsid w:val="001B7DEA"/>
    <w:rsid w:val="001C1A26"/>
    <w:rsid w:val="001C219D"/>
    <w:rsid w:val="001C33CB"/>
    <w:rsid w:val="001C398F"/>
    <w:rsid w:val="001C5292"/>
    <w:rsid w:val="001C722C"/>
    <w:rsid w:val="001C775D"/>
    <w:rsid w:val="001D0988"/>
    <w:rsid w:val="001D172E"/>
    <w:rsid w:val="001D1FD0"/>
    <w:rsid w:val="001D2E79"/>
    <w:rsid w:val="001D5E4D"/>
    <w:rsid w:val="001D64EC"/>
    <w:rsid w:val="001D6B16"/>
    <w:rsid w:val="001D7B74"/>
    <w:rsid w:val="001E0042"/>
    <w:rsid w:val="001E008B"/>
    <w:rsid w:val="001E0545"/>
    <w:rsid w:val="001E07CE"/>
    <w:rsid w:val="001E0849"/>
    <w:rsid w:val="001E118B"/>
    <w:rsid w:val="001E1988"/>
    <w:rsid w:val="001E1A13"/>
    <w:rsid w:val="001E3B90"/>
    <w:rsid w:val="001E3E0C"/>
    <w:rsid w:val="001E453C"/>
    <w:rsid w:val="001E4A2B"/>
    <w:rsid w:val="001E4FA3"/>
    <w:rsid w:val="001E505B"/>
    <w:rsid w:val="001E610D"/>
    <w:rsid w:val="001E75AD"/>
    <w:rsid w:val="001E7D5C"/>
    <w:rsid w:val="001F0524"/>
    <w:rsid w:val="001F0570"/>
    <w:rsid w:val="001F13B9"/>
    <w:rsid w:val="001F140A"/>
    <w:rsid w:val="001F1781"/>
    <w:rsid w:val="001F1AFA"/>
    <w:rsid w:val="001F267A"/>
    <w:rsid w:val="001F2AD0"/>
    <w:rsid w:val="001F2FC2"/>
    <w:rsid w:val="001F3276"/>
    <w:rsid w:val="001F3D53"/>
    <w:rsid w:val="001F416A"/>
    <w:rsid w:val="001F4316"/>
    <w:rsid w:val="001F4F3C"/>
    <w:rsid w:val="001F55B5"/>
    <w:rsid w:val="001F59AB"/>
    <w:rsid w:val="001F5A71"/>
    <w:rsid w:val="001F5E0A"/>
    <w:rsid w:val="001F62DC"/>
    <w:rsid w:val="001F63E1"/>
    <w:rsid w:val="001F6AAC"/>
    <w:rsid w:val="001F790E"/>
    <w:rsid w:val="0020033D"/>
    <w:rsid w:val="002005CC"/>
    <w:rsid w:val="002007D2"/>
    <w:rsid w:val="00200F34"/>
    <w:rsid w:val="00203F1A"/>
    <w:rsid w:val="00204114"/>
    <w:rsid w:val="00204C65"/>
    <w:rsid w:val="00204F6E"/>
    <w:rsid w:val="00204FCD"/>
    <w:rsid w:val="0020536A"/>
    <w:rsid w:val="002059AF"/>
    <w:rsid w:val="0020646E"/>
    <w:rsid w:val="00206BC8"/>
    <w:rsid w:val="00211909"/>
    <w:rsid w:val="002135F3"/>
    <w:rsid w:val="002146C0"/>
    <w:rsid w:val="00214A72"/>
    <w:rsid w:val="00215A2F"/>
    <w:rsid w:val="00215BB7"/>
    <w:rsid w:val="00215CA0"/>
    <w:rsid w:val="00216F1A"/>
    <w:rsid w:val="00217155"/>
    <w:rsid w:val="0021759E"/>
    <w:rsid w:val="00217662"/>
    <w:rsid w:val="0022085C"/>
    <w:rsid w:val="002208DC"/>
    <w:rsid w:val="00220CE5"/>
    <w:rsid w:val="002215FF"/>
    <w:rsid w:val="002216AA"/>
    <w:rsid w:val="0022173B"/>
    <w:rsid w:val="002217B4"/>
    <w:rsid w:val="002226D4"/>
    <w:rsid w:val="002229F4"/>
    <w:rsid w:val="002236DB"/>
    <w:rsid w:val="00224570"/>
    <w:rsid w:val="00225A48"/>
    <w:rsid w:val="002261EB"/>
    <w:rsid w:val="0022655C"/>
    <w:rsid w:val="0022678E"/>
    <w:rsid w:val="002272CA"/>
    <w:rsid w:val="00227541"/>
    <w:rsid w:val="00227D81"/>
    <w:rsid w:val="002311BD"/>
    <w:rsid w:val="0023158E"/>
    <w:rsid w:val="00231E50"/>
    <w:rsid w:val="0023236C"/>
    <w:rsid w:val="00233A24"/>
    <w:rsid w:val="00233DF3"/>
    <w:rsid w:val="00234500"/>
    <w:rsid w:val="0023484E"/>
    <w:rsid w:val="00234B84"/>
    <w:rsid w:val="00235B42"/>
    <w:rsid w:val="00236137"/>
    <w:rsid w:val="00236740"/>
    <w:rsid w:val="00237253"/>
    <w:rsid w:val="00237329"/>
    <w:rsid w:val="0023749C"/>
    <w:rsid w:val="002400B3"/>
    <w:rsid w:val="00240225"/>
    <w:rsid w:val="00240A06"/>
    <w:rsid w:val="002414ED"/>
    <w:rsid w:val="002416BA"/>
    <w:rsid w:val="00241AB9"/>
    <w:rsid w:val="002427B1"/>
    <w:rsid w:val="0024280B"/>
    <w:rsid w:val="00244181"/>
    <w:rsid w:val="002446B8"/>
    <w:rsid w:val="00244C00"/>
    <w:rsid w:val="0024535C"/>
    <w:rsid w:val="002457FD"/>
    <w:rsid w:val="00245909"/>
    <w:rsid w:val="00245C7E"/>
    <w:rsid w:val="00245FBF"/>
    <w:rsid w:val="00250718"/>
    <w:rsid w:val="00251445"/>
    <w:rsid w:val="0025237E"/>
    <w:rsid w:val="002523D6"/>
    <w:rsid w:val="00252AEC"/>
    <w:rsid w:val="00253276"/>
    <w:rsid w:val="002536AE"/>
    <w:rsid w:val="00253C1D"/>
    <w:rsid w:val="00254319"/>
    <w:rsid w:val="00254D37"/>
    <w:rsid w:val="002553F1"/>
    <w:rsid w:val="002563B9"/>
    <w:rsid w:val="0025685E"/>
    <w:rsid w:val="0025768C"/>
    <w:rsid w:val="00257BC1"/>
    <w:rsid w:val="00257BEC"/>
    <w:rsid w:val="00257C73"/>
    <w:rsid w:val="00257F4E"/>
    <w:rsid w:val="00261631"/>
    <w:rsid w:val="00264666"/>
    <w:rsid w:val="00264924"/>
    <w:rsid w:val="00264AE6"/>
    <w:rsid w:val="00265C96"/>
    <w:rsid w:val="00265CEB"/>
    <w:rsid w:val="00265ED0"/>
    <w:rsid w:val="00265F6D"/>
    <w:rsid w:val="00266E0C"/>
    <w:rsid w:val="0026775B"/>
    <w:rsid w:val="00270234"/>
    <w:rsid w:val="0027071C"/>
    <w:rsid w:val="0027122E"/>
    <w:rsid w:val="00272C62"/>
    <w:rsid w:val="00272FBB"/>
    <w:rsid w:val="002755B8"/>
    <w:rsid w:val="00275701"/>
    <w:rsid w:val="00276521"/>
    <w:rsid w:val="00276D7E"/>
    <w:rsid w:val="00277428"/>
    <w:rsid w:val="002806C6"/>
    <w:rsid w:val="002812E1"/>
    <w:rsid w:val="00281E62"/>
    <w:rsid w:val="00281ED6"/>
    <w:rsid w:val="00282493"/>
    <w:rsid w:val="0028312F"/>
    <w:rsid w:val="00283380"/>
    <w:rsid w:val="00284F66"/>
    <w:rsid w:val="00285D7E"/>
    <w:rsid w:val="00285D82"/>
    <w:rsid w:val="00285FED"/>
    <w:rsid w:val="0028630C"/>
    <w:rsid w:val="00286660"/>
    <w:rsid w:val="00286A53"/>
    <w:rsid w:val="00287542"/>
    <w:rsid w:val="002877E9"/>
    <w:rsid w:val="002905F3"/>
    <w:rsid w:val="0029159E"/>
    <w:rsid w:val="002933BF"/>
    <w:rsid w:val="002937F6"/>
    <w:rsid w:val="00293B18"/>
    <w:rsid w:val="00293EA5"/>
    <w:rsid w:val="00294801"/>
    <w:rsid w:val="00294EFD"/>
    <w:rsid w:val="0029562E"/>
    <w:rsid w:val="002956E0"/>
    <w:rsid w:val="00296D38"/>
    <w:rsid w:val="00296EA4"/>
    <w:rsid w:val="00296FA3"/>
    <w:rsid w:val="0029772C"/>
    <w:rsid w:val="00297AE2"/>
    <w:rsid w:val="002A1031"/>
    <w:rsid w:val="002A1308"/>
    <w:rsid w:val="002A3472"/>
    <w:rsid w:val="002A34C5"/>
    <w:rsid w:val="002A3C58"/>
    <w:rsid w:val="002A4F10"/>
    <w:rsid w:val="002A632D"/>
    <w:rsid w:val="002A63F4"/>
    <w:rsid w:val="002B03FF"/>
    <w:rsid w:val="002B0B61"/>
    <w:rsid w:val="002B0CA6"/>
    <w:rsid w:val="002B1AAF"/>
    <w:rsid w:val="002B1BDA"/>
    <w:rsid w:val="002B287D"/>
    <w:rsid w:val="002B36EB"/>
    <w:rsid w:val="002B3BD7"/>
    <w:rsid w:val="002B3DA6"/>
    <w:rsid w:val="002B3F20"/>
    <w:rsid w:val="002B484D"/>
    <w:rsid w:val="002B4907"/>
    <w:rsid w:val="002B5092"/>
    <w:rsid w:val="002B50DA"/>
    <w:rsid w:val="002B5AD8"/>
    <w:rsid w:val="002B5ED5"/>
    <w:rsid w:val="002B72C0"/>
    <w:rsid w:val="002B7DD1"/>
    <w:rsid w:val="002C05A7"/>
    <w:rsid w:val="002C087E"/>
    <w:rsid w:val="002C09B8"/>
    <w:rsid w:val="002C0DF9"/>
    <w:rsid w:val="002C27C5"/>
    <w:rsid w:val="002C2BF2"/>
    <w:rsid w:val="002C4BB5"/>
    <w:rsid w:val="002C6D5B"/>
    <w:rsid w:val="002C7E7F"/>
    <w:rsid w:val="002D0C96"/>
    <w:rsid w:val="002D2D19"/>
    <w:rsid w:val="002D3456"/>
    <w:rsid w:val="002D4BB3"/>
    <w:rsid w:val="002D5D70"/>
    <w:rsid w:val="002D6942"/>
    <w:rsid w:val="002D7A44"/>
    <w:rsid w:val="002D7E62"/>
    <w:rsid w:val="002D7F92"/>
    <w:rsid w:val="002E0633"/>
    <w:rsid w:val="002E0A18"/>
    <w:rsid w:val="002E1888"/>
    <w:rsid w:val="002E1964"/>
    <w:rsid w:val="002E19A5"/>
    <w:rsid w:val="002E1E7E"/>
    <w:rsid w:val="002E27E0"/>
    <w:rsid w:val="002E39A3"/>
    <w:rsid w:val="002E5EB7"/>
    <w:rsid w:val="002E6150"/>
    <w:rsid w:val="002E631C"/>
    <w:rsid w:val="002E6B6F"/>
    <w:rsid w:val="002E74C9"/>
    <w:rsid w:val="002E7874"/>
    <w:rsid w:val="002E7E35"/>
    <w:rsid w:val="002F0800"/>
    <w:rsid w:val="002F0C8F"/>
    <w:rsid w:val="002F3451"/>
    <w:rsid w:val="002F3606"/>
    <w:rsid w:val="002F3CF5"/>
    <w:rsid w:val="002F43F8"/>
    <w:rsid w:val="002F5131"/>
    <w:rsid w:val="002F51E1"/>
    <w:rsid w:val="002F70EB"/>
    <w:rsid w:val="002F72BB"/>
    <w:rsid w:val="002F7411"/>
    <w:rsid w:val="002F779E"/>
    <w:rsid w:val="002F7AB3"/>
    <w:rsid w:val="00301514"/>
    <w:rsid w:val="003033BA"/>
    <w:rsid w:val="003033C0"/>
    <w:rsid w:val="003038BC"/>
    <w:rsid w:val="00303D47"/>
    <w:rsid w:val="00303DF8"/>
    <w:rsid w:val="00303EFC"/>
    <w:rsid w:val="00304081"/>
    <w:rsid w:val="00304130"/>
    <w:rsid w:val="003043B4"/>
    <w:rsid w:val="003046D6"/>
    <w:rsid w:val="0030629D"/>
    <w:rsid w:val="00307855"/>
    <w:rsid w:val="00310422"/>
    <w:rsid w:val="0031068B"/>
    <w:rsid w:val="00311152"/>
    <w:rsid w:val="003112B5"/>
    <w:rsid w:val="0031293C"/>
    <w:rsid w:val="00312DEB"/>
    <w:rsid w:val="00312F3D"/>
    <w:rsid w:val="00313BBA"/>
    <w:rsid w:val="00313CB3"/>
    <w:rsid w:val="00313D9F"/>
    <w:rsid w:val="00314352"/>
    <w:rsid w:val="00314899"/>
    <w:rsid w:val="00315623"/>
    <w:rsid w:val="00316182"/>
    <w:rsid w:val="003203D9"/>
    <w:rsid w:val="0032072B"/>
    <w:rsid w:val="00320DFD"/>
    <w:rsid w:val="003210F8"/>
    <w:rsid w:val="00321947"/>
    <w:rsid w:val="00322642"/>
    <w:rsid w:val="00323ECD"/>
    <w:rsid w:val="00326A5D"/>
    <w:rsid w:val="00326F22"/>
    <w:rsid w:val="00327032"/>
    <w:rsid w:val="003276A0"/>
    <w:rsid w:val="003278FA"/>
    <w:rsid w:val="0033002D"/>
    <w:rsid w:val="00330686"/>
    <w:rsid w:val="00332906"/>
    <w:rsid w:val="00332B6F"/>
    <w:rsid w:val="00332C3C"/>
    <w:rsid w:val="00333BE1"/>
    <w:rsid w:val="00334708"/>
    <w:rsid w:val="00334B76"/>
    <w:rsid w:val="00336644"/>
    <w:rsid w:val="003370FB"/>
    <w:rsid w:val="00337243"/>
    <w:rsid w:val="00337299"/>
    <w:rsid w:val="0033763C"/>
    <w:rsid w:val="00337ADB"/>
    <w:rsid w:val="00337BD8"/>
    <w:rsid w:val="00340206"/>
    <w:rsid w:val="003410DC"/>
    <w:rsid w:val="0034149E"/>
    <w:rsid w:val="003418AA"/>
    <w:rsid w:val="00341CE5"/>
    <w:rsid w:val="00342202"/>
    <w:rsid w:val="003426C6"/>
    <w:rsid w:val="003429C9"/>
    <w:rsid w:val="00343AE9"/>
    <w:rsid w:val="00343C28"/>
    <w:rsid w:val="00344889"/>
    <w:rsid w:val="00345462"/>
    <w:rsid w:val="00345FC4"/>
    <w:rsid w:val="0034680A"/>
    <w:rsid w:val="00347661"/>
    <w:rsid w:val="003478E7"/>
    <w:rsid w:val="00350095"/>
    <w:rsid w:val="00350DC7"/>
    <w:rsid w:val="00350DCD"/>
    <w:rsid w:val="00351383"/>
    <w:rsid w:val="003528F0"/>
    <w:rsid w:val="00352927"/>
    <w:rsid w:val="00352FE4"/>
    <w:rsid w:val="00353FDF"/>
    <w:rsid w:val="00354545"/>
    <w:rsid w:val="00354FD8"/>
    <w:rsid w:val="003551A5"/>
    <w:rsid w:val="003555B4"/>
    <w:rsid w:val="00356A4C"/>
    <w:rsid w:val="00360753"/>
    <w:rsid w:val="00360A53"/>
    <w:rsid w:val="00362486"/>
    <w:rsid w:val="00362CEC"/>
    <w:rsid w:val="00362F73"/>
    <w:rsid w:val="003630B0"/>
    <w:rsid w:val="00363A73"/>
    <w:rsid w:val="0036497E"/>
    <w:rsid w:val="00364F1A"/>
    <w:rsid w:val="00366B93"/>
    <w:rsid w:val="00366C32"/>
    <w:rsid w:val="00367ACD"/>
    <w:rsid w:val="0037099D"/>
    <w:rsid w:val="00372A55"/>
    <w:rsid w:val="003735C0"/>
    <w:rsid w:val="0037401A"/>
    <w:rsid w:val="00374271"/>
    <w:rsid w:val="00374753"/>
    <w:rsid w:val="0037676F"/>
    <w:rsid w:val="003767EE"/>
    <w:rsid w:val="00377AD6"/>
    <w:rsid w:val="00377BF5"/>
    <w:rsid w:val="00381B41"/>
    <w:rsid w:val="00382349"/>
    <w:rsid w:val="003833D7"/>
    <w:rsid w:val="003839DC"/>
    <w:rsid w:val="00383C5B"/>
    <w:rsid w:val="00383DDA"/>
    <w:rsid w:val="00384041"/>
    <w:rsid w:val="00384B44"/>
    <w:rsid w:val="00384F42"/>
    <w:rsid w:val="00385EC9"/>
    <w:rsid w:val="00386456"/>
    <w:rsid w:val="00387241"/>
    <w:rsid w:val="00387E1C"/>
    <w:rsid w:val="0039010E"/>
    <w:rsid w:val="003901D8"/>
    <w:rsid w:val="00390732"/>
    <w:rsid w:val="00390B41"/>
    <w:rsid w:val="0039100A"/>
    <w:rsid w:val="00391D93"/>
    <w:rsid w:val="00392714"/>
    <w:rsid w:val="00392E7E"/>
    <w:rsid w:val="00392F63"/>
    <w:rsid w:val="00393184"/>
    <w:rsid w:val="0039340C"/>
    <w:rsid w:val="003934DD"/>
    <w:rsid w:val="00394337"/>
    <w:rsid w:val="00395BF9"/>
    <w:rsid w:val="00396D23"/>
    <w:rsid w:val="003978D0"/>
    <w:rsid w:val="003A0468"/>
    <w:rsid w:val="003A046A"/>
    <w:rsid w:val="003A0603"/>
    <w:rsid w:val="003A1031"/>
    <w:rsid w:val="003A1157"/>
    <w:rsid w:val="003A25E4"/>
    <w:rsid w:val="003A2A86"/>
    <w:rsid w:val="003A2C66"/>
    <w:rsid w:val="003A2D28"/>
    <w:rsid w:val="003A433D"/>
    <w:rsid w:val="003A4C65"/>
    <w:rsid w:val="003A4F71"/>
    <w:rsid w:val="003A581E"/>
    <w:rsid w:val="003A5E28"/>
    <w:rsid w:val="003A651C"/>
    <w:rsid w:val="003A6DA8"/>
    <w:rsid w:val="003B0136"/>
    <w:rsid w:val="003B0B16"/>
    <w:rsid w:val="003B3D8A"/>
    <w:rsid w:val="003B4162"/>
    <w:rsid w:val="003B5540"/>
    <w:rsid w:val="003B6EE4"/>
    <w:rsid w:val="003B79A5"/>
    <w:rsid w:val="003B7F16"/>
    <w:rsid w:val="003C1943"/>
    <w:rsid w:val="003C347B"/>
    <w:rsid w:val="003C3D13"/>
    <w:rsid w:val="003C40DD"/>
    <w:rsid w:val="003C4141"/>
    <w:rsid w:val="003C432C"/>
    <w:rsid w:val="003C50C9"/>
    <w:rsid w:val="003C62BD"/>
    <w:rsid w:val="003C71EE"/>
    <w:rsid w:val="003C7DC2"/>
    <w:rsid w:val="003D2137"/>
    <w:rsid w:val="003D284B"/>
    <w:rsid w:val="003D3083"/>
    <w:rsid w:val="003D40F4"/>
    <w:rsid w:val="003D4187"/>
    <w:rsid w:val="003D43F8"/>
    <w:rsid w:val="003D4F72"/>
    <w:rsid w:val="003D603B"/>
    <w:rsid w:val="003D6CF0"/>
    <w:rsid w:val="003D70AA"/>
    <w:rsid w:val="003D73F1"/>
    <w:rsid w:val="003E07B4"/>
    <w:rsid w:val="003E11A8"/>
    <w:rsid w:val="003E14B0"/>
    <w:rsid w:val="003E15E5"/>
    <w:rsid w:val="003E1ABD"/>
    <w:rsid w:val="003E1F12"/>
    <w:rsid w:val="003E443D"/>
    <w:rsid w:val="003E5505"/>
    <w:rsid w:val="003E55AE"/>
    <w:rsid w:val="003E5C80"/>
    <w:rsid w:val="003E5ED1"/>
    <w:rsid w:val="003E6682"/>
    <w:rsid w:val="003E7261"/>
    <w:rsid w:val="003E7A20"/>
    <w:rsid w:val="003E7AAD"/>
    <w:rsid w:val="003F088B"/>
    <w:rsid w:val="003F0FBE"/>
    <w:rsid w:val="003F165C"/>
    <w:rsid w:val="003F28CF"/>
    <w:rsid w:val="003F2AD2"/>
    <w:rsid w:val="003F30B1"/>
    <w:rsid w:val="003F328D"/>
    <w:rsid w:val="003F3340"/>
    <w:rsid w:val="003F47E5"/>
    <w:rsid w:val="003F5439"/>
    <w:rsid w:val="003F5CDD"/>
    <w:rsid w:val="003F5D5D"/>
    <w:rsid w:val="003F60D3"/>
    <w:rsid w:val="003F6F65"/>
    <w:rsid w:val="003F7E6A"/>
    <w:rsid w:val="00400083"/>
    <w:rsid w:val="0040059A"/>
    <w:rsid w:val="00402FD5"/>
    <w:rsid w:val="00403A30"/>
    <w:rsid w:val="00404797"/>
    <w:rsid w:val="00405524"/>
    <w:rsid w:val="00406868"/>
    <w:rsid w:val="00406898"/>
    <w:rsid w:val="00407BD2"/>
    <w:rsid w:val="0041043C"/>
    <w:rsid w:val="004105AB"/>
    <w:rsid w:val="004106B4"/>
    <w:rsid w:val="00411B85"/>
    <w:rsid w:val="00412132"/>
    <w:rsid w:val="00412214"/>
    <w:rsid w:val="0041266E"/>
    <w:rsid w:val="0041386A"/>
    <w:rsid w:val="00413E71"/>
    <w:rsid w:val="004140EB"/>
    <w:rsid w:val="00414B54"/>
    <w:rsid w:val="0041612C"/>
    <w:rsid w:val="00416511"/>
    <w:rsid w:val="00416C2E"/>
    <w:rsid w:val="00417C69"/>
    <w:rsid w:val="004207E3"/>
    <w:rsid w:val="00420A13"/>
    <w:rsid w:val="00420B44"/>
    <w:rsid w:val="00420D01"/>
    <w:rsid w:val="0042131D"/>
    <w:rsid w:val="00421774"/>
    <w:rsid w:val="00421906"/>
    <w:rsid w:val="0042321C"/>
    <w:rsid w:val="00423267"/>
    <w:rsid w:val="004252E8"/>
    <w:rsid w:val="00425B6B"/>
    <w:rsid w:val="00426EEE"/>
    <w:rsid w:val="00426F4A"/>
    <w:rsid w:val="00427BD7"/>
    <w:rsid w:val="00430927"/>
    <w:rsid w:val="0043155D"/>
    <w:rsid w:val="00431A07"/>
    <w:rsid w:val="0043205F"/>
    <w:rsid w:val="00432915"/>
    <w:rsid w:val="00432C5F"/>
    <w:rsid w:val="0043330C"/>
    <w:rsid w:val="0043346D"/>
    <w:rsid w:val="00433A6D"/>
    <w:rsid w:val="00433BA1"/>
    <w:rsid w:val="00435749"/>
    <w:rsid w:val="00435AA2"/>
    <w:rsid w:val="004363BC"/>
    <w:rsid w:val="00436652"/>
    <w:rsid w:val="004367C8"/>
    <w:rsid w:val="00436A63"/>
    <w:rsid w:val="0043754D"/>
    <w:rsid w:val="00437BF5"/>
    <w:rsid w:val="00437BF8"/>
    <w:rsid w:val="00440E0E"/>
    <w:rsid w:val="004422D6"/>
    <w:rsid w:val="00442BFD"/>
    <w:rsid w:val="00444A46"/>
    <w:rsid w:val="00445EE4"/>
    <w:rsid w:val="00446B03"/>
    <w:rsid w:val="00446CAA"/>
    <w:rsid w:val="00447095"/>
    <w:rsid w:val="00447483"/>
    <w:rsid w:val="00447B2D"/>
    <w:rsid w:val="004507CF"/>
    <w:rsid w:val="00452BCB"/>
    <w:rsid w:val="0045342C"/>
    <w:rsid w:val="004537E3"/>
    <w:rsid w:val="004547B6"/>
    <w:rsid w:val="00454B0F"/>
    <w:rsid w:val="00454C62"/>
    <w:rsid w:val="0045548D"/>
    <w:rsid w:val="00456BF3"/>
    <w:rsid w:val="004570AB"/>
    <w:rsid w:val="004573BC"/>
    <w:rsid w:val="004620B3"/>
    <w:rsid w:val="00463997"/>
    <w:rsid w:val="004648D2"/>
    <w:rsid w:val="00464E39"/>
    <w:rsid w:val="004652E5"/>
    <w:rsid w:val="004653E7"/>
    <w:rsid w:val="0046604D"/>
    <w:rsid w:val="0046682E"/>
    <w:rsid w:val="00471F7A"/>
    <w:rsid w:val="0047250D"/>
    <w:rsid w:val="00472694"/>
    <w:rsid w:val="0047358F"/>
    <w:rsid w:val="0047429E"/>
    <w:rsid w:val="00474434"/>
    <w:rsid w:val="0047444E"/>
    <w:rsid w:val="00474614"/>
    <w:rsid w:val="00474880"/>
    <w:rsid w:val="004750AA"/>
    <w:rsid w:val="004755D2"/>
    <w:rsid w:val="004768C9"/>
    <w:rsid w:val="00476A0B"/>
    <w:rsid w:val="00477A49"/>
    <w:rsid w:val="00477BFF"/>
    <w:rsid w:val="00480940"/>
    <w:rsid w:val="00481619"/>
    <w:rsid w:val="00481FA4"/>
    <w:rsid w:val="004821AB"/>
    <w:rsid w:val="00482A4E"/>
    <w:rsid w:val="004832C7"/>
    <w:rsid w:val="00485197"/>
    <w:rsid w:val="00485AD7"/>
    <w:rsid w:val="00485ED3"/>
    <w:rsid w:val="004866CB"/>
    <w:rsid w:val="00487569"/>
    <w:rsid w:val="004878C1"/>
    <w:rsid w:val="00487986"/>
    <w:rsid w:val="004928C4"/>
    <w:rsid w:val="00492EB5"/>
    <w:rsid w:val="00493E48"/>
    <w:rsid w:val="0049475A"/>
    <w:rsid w:val="0049505C"/>
    <w:rsid w:val="00496626"/>
    <w:rsid w:val="0049684A"/>
    <w:rsid w:val="00496DBC"/>
    <w:rsid w:val="00497B27"/>
    <w:rsid w:val="00497F48"/>
    <w:rsid w:val="004A0508"/>
    <w:rsid w:val="004A0A76"/>
    <w:rsid w:val="004A29A9"/>
    <w:rsid w:val="004A34D2"/>
    <w:rsid w:val="004A36C3"/>
    <w:rsid w:val="004A3CCB"/>
    <w:rsid w:val="004A411B"/>
    <w:rsid w:val="004A486C"/>
    <w:rsid w:val="004A488B"/>
    <w:rsid w:val="004A4EE9"/>
    <w:rsid w:val="004A5218"/>
    <w:rsid w:val="004A5B0B"/>
    <w:rsid w:val="004A5B41"/>
    <w:rsid w:val="004A606D"/>
    <w:rsid w:val="004A6356"/>
    <w:rsid w:val="004A7E8A"/>
    <w:rsid w:val="004B159B"/>
    <w:rsid w:val="004B1F7C"/>
    <w:rsid w:val="004B219E"/>
    <w:rsid w:val="004B2774"/>
    <w:rsid w:val="004B28F8"/>
    <w:rsid w:val="004B411E"/>
    <w:rsid w:val="004B4A0E"/>
    <w:rsid w:val="004B4CAD"/>
    <w:rsid w:val="004B567B"/>
    <w:rsid w:val="004B5CAA"/>
    <w:rsid w:val="004B6DE0"/>
    <w:rsid w:val="004B742E"/>
    <w:rsid w:val="004C003F"/>
    <w:rsid w:val="004C026F"/>
    <w:rsid w:val="004C0993"/>
    <w:rsid w:val="004C0ABB"/>
    <w:rsid w:val="004C0B1C"/>
    <w:rsid w:val="004C1226"/>
    <w:rsid w:val="004C1573"/>
    <w:rsid w:val="004C1F44"/>
    <w:rsid w:val="004C1F93"/>
    <w:rsid w:val="004C2021"/>
    <w:rsid w:val="004C5092"/>
    <w:rsid w:val="004C5273"/>
    <w:rsid w:val="004C544E"/>
    <w:rsid w:val="004C6C01"/>
    <w:rsid w:val="004C7677"/>
    <w:rsid w:val="004D1653"/>
    <w:rsid w:val="004D1B75"/>
    <w:rsid w:val="004D1CE5"/>
    <w:rsid w:val="004D1E91"/>
    <w:rsid w:val="004D2B08"/>
    <w:rsid w:val="004D2C64"/>
    <w:rsid w:val="004D3473"/>
    <w:rsid w:val="004D3521"/>
    <w:rsid w:val="004D4556"/>
    <w:rsid w:val="004D47D0"/>
    <w:rsid w:val="004D4FFE"/>
    <w:rsid w:val="004D5372"/>
    <w:rsid w:val="004D6525"/>
    <w:rsid w:val="004D6799"/>
    <w:rsid w:val="004D725A"/>
    <w:rsid w:val="004D78D4"/>
    <w:rsid w:val="004D7A98"/>
    <w:rsid w:val="004D7B77"/>
    <w:rsid w:val="004E06CD"/>
    <w:rsid w:val="004E1267"/>
    <w:rsid w:val="004E2760"/>
    <w:rsid w:val="004E27A0"/>
    <w:rsid w:val="004E2973"/>
    <w:rsid w:val="004E2F8D"/>
    <w:rsid w:val="004E3A4E"/>
    <w:rsid w:val="004E4142"/>
    <w:rsid w:val="004E4900"/>
    <w:rsid w:val="004E4A6B"/>
    <w:rsid w:val="004E4AB3"/>
    <w:rsid w:val="004E5102"/>
    <w:rsid w:val="004E5B78"/>
    <w:rsid w:val="004E5BC5"/>
    <w:rsid w:val="004E6147"/>
    <w:rsid w:val="004E638B"/>
    <w:rsid w:val="004E6C63"/>
    <w:rsid w:val="004F00FF"/>
    <w:rsid w:val="004F0B50"/>
    <w:rsid w:val="004F1050"/>
    <w:rsid w:val="004F1065"/>
    <w:rsid w:val="004F32CC"/>
    <w:rsid w:val="004F38A9"/>
    <w:rsid w:val="004F4394"/>
    <w:rsid w:val="004F46FC"/>
    <w:rsid w:val="004F4EB9"/>
    <w:rsid w:val="004F5711"/>
    <w:rsid w:val="004F5F6A"/>
    <w:rsid w:val="004F71C2"/>
    <w:rsid w:val="00501651"/>
    <w:rsid w:val="0050188C"/>
    <w:rsid w:val="00501BC4"/>
    <w:rsid w:val="00501D8A"/>
    <w:rsid w:val="00501FA2"/>
    <w:rsid w:val="0050246B"/>
    <w:rsid w:val="005027F0"/>
    <w:rsid w:val="00502929"/>
    <w:rsid w:val="00502F06"/>
    <w:rsid w:val="005037BC"/>
    <w:rsid w:val="005037CD"/>
    <w:rsid w:val="00503872"/>
    <w:rsid w:val="00503C1E"/>
    <w:rsid w:val="005046C0"/>
    <w:rsid w:val="005053B0"/>
    <w:rsid w:val="00506085"/>
    <w:rsid w:val="005064F9"/>
    <w:rsid w:val="0051074C"/>
    <w:rsid w:val="0051089A"/>
    <w:rsid w:val="00510BB6"/>
    <w:rsid w:val="0051288D"/>
    <w:rsid w:val="005132B5"/>
    <w:rsid w:val="00513A69"/>
    <w:rsid w:val="00513AF2"/>
    <w:rsid w:val="005144E0"/>
    <w:rsid w:val="005152C2"/>
    <w:rsid w:val="005153B7"/>
    <w:rsid w:val="00516462"/>
    <w:rsid w:val="0051690C"/>
    <w:rsid w:val="005200B5"/>
    <w:rsid w:val="00521B54"/>
    <w:rsid w:val="005222B7"/>
    <w:rsid w:val="00522983"/>
    <w:rsid w:val="0052307C"/>
    <w:rsid w:val="0052446F"/>
    <w:rsid w:val="00524F8D"/>
    <w:rsid w:val="00525D6C"/>
    <w:rsid w:val="005268C9"/>
    <w:rsid w:val="0052715F"/>
    <w:rsid w:val="00527CC7"/>
    <w:rsid w:val="00527D39"/>
    <w:rsid w:val="005305AF"/>
    <w:rsid w:val="00531545"/>
    <w:rsid w:val="00533367"/>
    <w:rsid w:val="00533C01"/>
    <w:rsid w:val="00535161"/>
    <w:rsid w:val="0053557D"/>
    <w:rsid w:val="00535A7F"/>
    <w:rsid w:val="0053606E"/>
    <w:rsid w:val="005369C0"/>
    <w:rsid w:val="00536C0D"/>
    <w:rsid w:val="0053771E"/>
    <w:rsid w:val="00537D21"/>
    <w:rsid w:val="005403D5"/>
    <w:rsid w:val="005418FA"/>
    <w:rsid w:val="00542FF3"/>
    <w:rsid w:val="0054323F"/>
    <w:rsid w:val="00543D6E"/>
    <w:rsid w:val="0054413A"/>
    <w:rsid w:val="005443C9"/>
    <w:rsid w:val="00545144"/>
    <w:rsid w:val="00545326"/>
    <w:rsid w:val="00545730"/>
    <w:rsid w:val="005457A0"/>
    <w:rsid w:val="005465E5"/>
    <w:rsid w:val="00546A34"/>
    <w:rsid w:val="00550551"/>
    <w:rsid w:val="00551DC1"/>
    <w:rsid w:val="00553411"/>
    <w:rsid w:val="00554515"/>
    <w:rsid w:val="00555967"/>
    <w:rsid w:val="00556216"/>
    <w:rsid w:val="005564CA"/>
    <w:rsid w:val="00556CA1"/>
    <w:rsid w:val="00556F5B"/>
    <w:rsid w:val="00557DD1"/>
    <w:rsid w:val="00560437"/>
    <w:rsid w:val="00560C9C"/>
    <w:rsid w:val="0056142D"/>
    <w:rsid w:val="00561510"/>
    <w:rsid w:val="005617FA"/>
    <w:rsid w:val="0056204C"/>
    <w:rsid w:val="005620AD"/>
    <w:rsid w:val="005626E7"/>
    <w:rsid w:val="00562D14"/>
    <w:rsid w:val="00563DEE"/>
    <w:rsid w:val="00564281"/>
    <w:rsid w:val="00566169"/>
    <w:rsid w:val="00566EEE"/>
    <w:rsid w:val="00567CF6"/>
    <w:rsid w:val="00570BD6"/>
    <w:rsid w:val="00571897"/>
    <w:rsid w:val="005722C5"/>
    <w:rsid w:val="00572788"/>
    <w:rsid w:val="005731B5"/>
    <w:rsid w:val="0057389B"/>
    <w:rsid w:val="00573D85"/>
    <w:rsid w:val="0057417D"/>
    <w:rsid w:val="00574D20"/>
    <w:rsid w:val="0057530E"/>
    <w:rsid w:val="00575B77"/>
    <w:rsid w:val="00575D08"/>
    <w:rsid w:val="00576132"/>
    <w:rsid w:val="0057662F"/>
    <w:rsid w:val="005770F6"/>
    <w:rsid w:val="00577DD4"/>
    <w:rsid w:val="00577EF5"/>
    <w:rsid w:val="00580136"/>
    <w:rsid w:val="005811F1"/>
    <w:rsid w:val="00583558"/>
    <w:rsid w:val="00583EB7"/>
    <w:rsid w:val="00584E86"/>
    <w:rsid w:val="0058589B"/>
    <w:rsid w:val="005867BF"/>
    <w:rsid w:val="00587B36"/>
    <w:rsid w:val="0059058A"/>
    <w:rsid w:val="00590963"/>
    <w:rsid w:val="00590DD9"/>
    <w:rsid w:val="00590E6F"/>
    <w:rsid w:val="00591C90"/>
    <w:rsid w:val="00591F4C"/>
    <w:rsid w:val="0059266D"/>
    <w:rsid w:val="00592AC9"/>
    <w:rsid w:val="005942C5"/>
    <w:rsid w:val="0059458E"/>
    <w:rsid w:val="00595BD5"/>
    <w:rsid w:val="00596F22"/>
    <w:rsid w:val="005A0585"/>
    <w:rsid w:val="005A114C"/>
    <w:rsid w:val="005A1570"/>
    <w:rsid w:val="005A1C9C"/>
    <w:rsid w:val="005A2D51"/>
    <w:rsid w:val="005A32AF"/>
    <w:rsid w:val="005A34F0"/>
    <w:rsid w:val="005A3C9D"/>
    <w:rsid w:val="005A4079"/>
    <w:rsid w:val="005A436F"/>
    <w:rsid w:val="005A456B"/>
    <w:rsid w:val="005A4A4C"/>
    <w:rsid w:val="005A5275"/>
    <w:rsid w:val="005A54CB"/>
    <w:rsid w:val="005A6DCD"/>
    <w:rsid w:val="005A79FE"/>
    <w:rsid w:val="005B0132"/>
    <w:rsid w:val="005B2AF3"/>
    <w:rsid w:val="005B2F60"/>
    <w:rsid w:val="005B373F"/>
    <w:rsid w:val="005B4049"/>
    <w:rsid w:val="005B41D2"/>
    <w:rsid w:val="005B43FE"/>
    <w:rsid w:val="005B4AA6"/>
    <w:rsid w:val="005B4BC3"/>
    <w:rsid w:val="005B5336"/>
    <w:rsid w:val="005B6F12"/>
    <w:rsid w:val="005B7215"/>
    <w:rsid w:val="005B7515"/>
    <w:rsid w:val="005B7A2F"/>
    <w:rsid w:val="005C0D43"/>
    <w:rsid w:val="005C1C8F"/>
    <w:rsid w:val="005C1E33"/>
    <w:rsid w:val="005C1FFD"/>
    <w:rsid w:val="005C266E"/>
    <w:rsid w:val="005C39A3"/>
    <w:rsid w:val="005C3C95"/>
    <w:rsid w:val="005C3CCE"/>
    <w:rsid w:val="005C4308"/>
    <w:rsid w:val="005C4C81"/>
    <w:rsid w:val="005C5026"/>
    <w:rsid w:val="005C51A7"/>
    <w:rsid w:val="005C5A22"/>
    <w:rsid w:val="005C5B5C"/>
    <w:rsid w:val="005C5C89"/>
    <w:rsid w:val="005C6D84"/>
    <w:rsid w:val="005D064A"/>
    <w:rsid w:val="005D1CE8"/>
    <w:rsid w:val="005D29B5"/>
    <w:rsid w:val="005D3445"/>
    <w:rsid w:val="005D37F7"/>
    <w:rsid w:val="005D3807"/>
    <w:rsid w:val="005D3A4B"/>
    <w:rsid w:val="005D474D"/>
    <w:rsid w:val="005D552E"/>
    <w:rsid w:val="005D5C5D"/>
    <w:rsid w:val="005D7F00"/>
    <w:rsid w:val="005E0385"/>
    <w:rsid w:val="005E06A4"/>
    <w:rsid w:val="005E1BC6"/>
    <w:rsid w:val="005E1CF3"/>
    <w:rsid w:val="005E1F70"/>
    <w:rsid w:val="005E23E2"/>
    <w:rsid w:val="005E2E0F"/>
    <w:rsid w:val="005E2F44"/>
    <w:rsid w:val="005E3788"/>
    <w:rsid w:val="005E4F20"/>
    <w:rsid w:val="005E605B"/>
    <w:rsid w:val="005E67FC"/>
    <w:rsid w:val="005E72D5"/>
    <w:rsid w:val="005E7572"/>
    <w:rsid w:val="005E7A0B"/>
    <w:rsid w:val="005F0348"/>
    <w:rsid w:val="005F0C78"/>
    <w:rsid w:val="005F1050"/>
    <w:rsid w:val="005F137C"/>
    <w:rsid w:val="005F3431"/>
    <w:rsid w:val="005F4AB3"/>
    <w:rsid w:val="005F4BF5"/>
    <w:rsid w:val="005F5C6D"/>
    <w:rsid w:val="005F7477"/>
    <w:rsid w:val="00600039"/>
    <w:rsid w:val="006007CC"/>
    <w:rsid w:val="00600FA4"/>
    <w:rsid w:val="00601496"/>
    <w:rsid w:val="0060197B"/>
    <w:rsid w:val="00601E1F"/>
    <w:rsid w:val="00601FCA"/>
    <w:rsid w:val="006028B1"/>
    <w:rsid w:val="00602A32"/>
    <w:rsid w:val="006030AA"/>
    <w:rsid w:val="00603999"/>
    <w:rsid w:val="00603BDE"/>
    <w:rsid w:val="006044E9"/>
    <w:rsid w:val="00604737"/>
    <w:rsid w:val="00610C94"/>
    <w:rsid w:val="00611379"/>
    <w:rsid w:val="00611D58"/>
    <w:rsid w:val="00612142"/>
    <w:rsid w:val="00612BDB"/>
    <w:rsid w:val="00612ED3"/>
    <w:rsid w:val="00613073"/>
    <w:rsid w:val="006133BD"/>
    <w:rsid w:val="006134DB"/>
    <w:rsid w:val="006135E8"/>
    <w:rsid w:val="00613F45"/>
    <w:rsid w:val="0061564E"/>
    <w:rsid w:val="00616C91"/>
    <w:rsid w:val="00616F60"/>
    <w:rsid w:val="00617024"/>
    <w:rsid w:val="00617066"/>
    <w:rsid w:val="006178DB"/>
    <w:rsid w:val="00620CBF"/>
    <w:rsid w:val="00620E47"/>
    <w:rsid w:val="0062127B"/>
    <w:rsid w:val="006219B0"/>
    <w:rsid w:val="00622002"/>
    <w:rsid w:val="006231D1"/>
    <w:rsid w:val="00623F97"/>
    <w:rsid w:val="00624730"/>
    <w:rsid w:val="00624D8F"/>
    <w:rsid w:val="0062567A"/>
    <w:rsid w:val="0062792C"/>
    <w:rsid w:val="00632406"/>
    <w:rsid w:val="006334A8"/>
    <w:rsid w:val="00633633"/>
    <w:rsid w:val="00633AB3"/>
    <w:rsid w:val="006360B1"/>
    <w:rsid w:val="006362A0"/>
    <w:rsid w:val="0063656E"/>
    <w:rsid w:val="006367B1"/>
    <w:rsid w:val="0063788B"/>
    <w:rsid w:val="006404C9"/>
    <w:rsid w:val="0064055D"/>
    <w:rsid w:val="00640B75"/>
    <w:rsid w:val="006426C6"/>
    <w:rsid w:val="00642D57"/>
    <w:rsid w:val="0064395A"/>
    <w:rsid w:val="00645C55"/>
    <w:rsid w:val="00646512"/>
    <w:rsid w:val="00646829"/>
    <w:rsid w:val="00647622"/>
    <w:rsid w:val="0065089D"/>
    <w:rsid w:val="00650BA6"/>
    <w:rsid w:val="00651C73"/>
    <w:rsid w:val="00651D31"/>
    <w:rsid w:val="00652478"/>
    <w:rsid w:val="006524A2"/>
    <w:rsid w:val="006524BE"/>
    <w:rsid w:val="00652A5C"/>
    <w:rsid w:val="006533F8"/>
    <w:rsid w:val="006537D0"/>
    <w:rsid w:val="0065455F"/>
    <w:rsid w:val="00655360"/>
    <w:rsid w:val="00655371"/>
    <w:rsid w:val="00655569"/>
    <w:rsid w:val="00656388"/>
    <w:rsid w:val="006563C3"/>
    <w:rsid w:val="00657A38"/>
    <w:rsid w:val="00657CFF"/>
    <w:rsid w:val="00661024"/>
    <w:rsid w:val="006616CE"/>
    <w:rsid w:val="006625BC"/>
    <w:rsid w:val="00663A05"/>
    <w:rsid w:val="006645BF"/>
    <w:rsid w:val="006652E9"/>
    <w:rsid w:val="0066584D"/>
    <w:rsid w:val="00665A16"/>
    <w:rsid w:val="00665E49"/>
    <w:rsid w:val="00666AF7"/>
    <w:rsid w:val="006670F5"/>
    <w:rsid w:val="006674C1"/>
    <w:rsid w:val="00667EBB"/>
    <w:rsid w:val="0067040F"/>
    <w:rsid w:val="00670B1B"/>
    <w:rsid w:val="006716ED"/>
    <w:rsid w:val="006729E6"/>
    <w:rsid w:val="00672A0B"/>
    <w:rsid w:val="00672B53"/>
    <w:rsid w:val="00672EEC"/>
    <w:rsid w:val="0067317F"/>
    <w:rsid w:val="00673789"/>
    <w:rsid w:val="0067388D"/>
    <w:rsid w:val="00673AB7"/>
    <w:rsid w:val="00673AB9"/>
    <w:rsid w:val="00674512"/>
    <w:rsid w:val="00675933"/>
    <w:rsid w:val="00676340"/>
    <w:rsid w:val="00680FD5"/>
    <w:rsid w:val="00681A07"/>
    <w:rsid w:val="00682D0A"/>
    <w:rsid w:val="00683085"/>
    <w:rsid w:val="0068338B"/>
    <w:rsid w:val="00683404"/>
    <w:rsid w:val="00683D48"/>
    <w:rsid w:val="00686E92"/>
    <w:rsid w:val="006914D0"/>
    <w:rsid w:val="0069158F"/>
    <w:rsid w:val="006916C0"/>
    <w:rsid w:val="00691C58"/>
    <w:rsid w:val="00692BB0"/>
    <w:rsid w:val="00693CC2"/>
    <w:rsid w:val="00694B76"/>
    <w:rsid w:val="00695E74"/>
    <w:rsid w:val="0069678A"/>
    <w:rsid w:val="00697665"/>
    <w:rsid w:val="00697D73"/>
    <w:rsid w:val="006A00B7"/>
    <w:rsid w:val="006A049D"/>
    <w:rsid w:val="006A0BF9"/>
    <w:rsid w:val="006A12F4"/>
    <w:rsid w:val="006A1A12"/>
    <w:rsid w:val="006A2013"/>
    <w:rsid w:val="006A2F2D"/>
    <w:rsid w:val="006A3206"/>
    <w:rsid w:val="006A3CD1"/>
    <w:rsid w:val="006A3CF2"/>
    <w:rsid w:val="006A454C"/>
    <w:rsid w:val="006A5273"/>
    <w:rsid w:val="006A58B8"/>
    <w:rsid w:val="006A64A9"/>
    <w:rsid w:val="006A7FD0"/>
    <w:rsid w:val="006B0CA2"/>
    <w:rsid w:val="006B161A"/>
    <w:rsid w:val="006B2195"/>
    <w:rsid w:val="006B34D7"/>
    <w:rsid w:val="006B4C1B"/>
    <w:rsid w:val="006B5004"/>
    <w:rsid w:val="006B5571"/>
    <w:rsid w:val="006B55C5"/>
    <w:rsid w:val="006B7576"/>
    <w:rsid w:val="006B7958"/>
    <w:rsid w:val="006C0662"/>
    <w:rsid w:val="006C084F"/>
    <w:rsid w:val="006C0B38"/>
    <w:rsid w:val="006C14D1"/>
    <w:rsid w:val="006C2EB8"/>
    <w:rsid w:val="006C41CF"/>
    <w:rsid w:val="006C453C"/>
    <w:rsid w:val="006C4F96"/>
    <w:rsid w:val="006C5A51"/>
    <w:rsid w:val="006C627E"/>
    <w:rsid w:val="006C68E5"/>
    <w:rsid w:val="006C6A3B"/>
    <w:rsid w:val="006C6E36"/>
    <w:rsid w:val="006C7E2B"/>
    <w:rsid w:val="006D09F8"/>
    <w:rsid w:val="006D18A5"/>
    <w:rsid w:val="006D23BA"/>
    <w:rsid w:val="006D2CB8"/>
    <w:rsid w:val="006D2CF6"/>
    <w:rsid w:val="006D40DC"/>
    <w:rsid w:val="006D4498"/>
    <w:rsid w:val="006D44E6"/>
    <w:rsid w:val="006D4EC2"/>
    <w:rsid w:val="006D4F07"/>
    <w:rsid w:val="006D5176"/>
    <w:rsid w:val="006D5415"/>
    <w:rsid w:val="006D5EA2"/>
    <w:rsid w:val="006D717D"/>
    <w:rsid w:val="006D7687"/>
    <w:rsid w:val="006E0385"/>
    <w:rsid w:val="006E0572"/>
    <w:rsid w:val="006E0C98"/>
    <w:rsid w:val="006E0F9F"/>
    <w:rsid w:val="006E1324"/>
    <w:rsid w:val="006E140D"/>
    <w:rsid w:val="006E1CCF"/>
    <w:rsid w:val="006E28FE"/>
    <w:rsid w:val="006E4F08"/>
    <w:rsid w:val="006E6202"/>
    <w:rsid w:val="006E6B65"/>
    <w:rsid w:val="006E6D63"/>
    <w:rsid w:val="006E6E42"/>
    <w:rsid w:val="006E74A5"/>
    <w:rsid w:val="006F0E22"/>
    <w:rsid w:val="006F2EC7"/>
    <w:rsid w:val="006F3DAA"/>
    <w:rsid w:val="006F514F"/>
    <w:rsid w:val="006F5461"/>
    <w:rsid w:val="006F70A0"/>
    <w:rsid w:val="00700377"/>
    <w:rsid w:val="007008A4"/>
    <w:rsid w:val="00700E8E"/>
    <w:rsid w:val="007018AF"/>
    <w:rsid w:val="00701D9E"/>
    <w:rsid w:val="00701E35"/>
    <w:rsid w:val="007020A1"/>
    <w:rsid w:val="00702115"/>
    <w:rsid w:val="007029A4"/>
    <w:rsid w:val="00703E2C"/>
    <w:rsid w:val="00705631"/>
    <w:rsid w:val="00705E94"/>
    <w:rsid w:val="00705FE1"/>
    <w:rsid w:val="00706399"/>
    <w:rsid w:val="00707D87"/>
    <w:rsid w:val="00707EFD"/>
    <w:rsid w:val="00707FF5"/>
    <w:rsid w:val="00711266"/>
    <w:rsid w:val="00711A50"/>
    <w:rsid w:val="007125A7"/>
    <w:rsid w:val="007130EA"/>
    <w:rsid w:val="00713DE5"/>
    <w:rsid w:val="00713FA0"/>
    <w:rsid w:val="00714254"/>
    <w:rsid w:val="00714718"/>
    <w:rsid w:val="00714833"/>
    <w:rsid w:val="00714C43"/>
    <w:rsid w:val="00715929"/>
    <w:rsid w:val="0071654A"/>
    <w:rsid w:val="007173EA"/>
    <w:rsid w:val="00717A45"/>
    <w:rsid w:val="00717D15"/>
    <w:rsid w:val="0072005B"/>
    <w:rsid w:val="00720966"/>
    <w:rsid w:val="007210EC"/>
    <w:rsid w:val="0072127D"/>
    <w:rsid w:val="007229B0"/>
    <w:rsid w:val="00723351"/>
    <w:rsid w:val="00724809"/>
    <w:rsid w:val="007252B4"/>
    <w:rsid w:val="00725AC2"/>
    <w:rsid w:val="00726DBE"/>
    <w:rsid w:val="00727EAE"/>
    <w:rsid w:val="00727FB6"/>
    <w:rsid w:val="007300F3"/>
    <w:rsid w:val="007303E0"/>
    <w:rsid w:val="00730AB8"/>
    <w:rsid w:val="00734D43"/>
    <w:rsid w:val="007357B0"/>
    <w:rsid w:val="00735A39"/>
    <w:rsid w:val="00736FC1"/>
    <w:rsid w:val="007372C3"/>
    <w:rsid w:val="007404BC"/>
    <w:rsid w:val="00741FC4"/>
    <w:rsid w:val="0074287A"/>
    <w:rsid w:val="00742DD2"/>
    <w:rsid w:val="00744115"/>
    <w:rsid w:val="00744B26"/>
    <w:rsid w:val="00744E7F"/>
    <w:rsid w:val="00745879"/>
    <w:rsid w:val="00745950"/>
    <w:rsid w:val="007464C8"/>
    <w:rsid w:val="00746A77"/>
    <w:rsid w:val="00746D17"/>
    <w:rsid w:val="0074728F"/>
    <w:rsid w:val="00747E9B"/>
    <w:rsid w:val="007506F2"/>
    <w:rsid w:val="00751EE7"/>
    <w:rsid w:val="00752568"/>
    <w:rsid w:val="00752CB1"/>
    <w:rsid w:val="007539E1"/>
    <w:rsid w:val="0075455D"/>
    <w:rsid w:val="00754621"/>
    <w:rsid w:val="0075582E"/>
    <w:rsid w:val="0075647A"/>
    <w:rsid w:val="00756E36"/>
    <w:rsid w:val="007573C1"/>
    <w:rsid w:val="007574E5"/>
    <w:rsid w:val="007605B5"/>
    <w:rsid w:val="007611DB"/>
    <w:rsid w:val="007634AD"/>
    <w:rsid w:val="00764CD2"/>
    <w:rsid w:val="0076566F"/>
    <w:rsid w:val="007656E6"/>
    <w:rsid w:val="00765BE2"/>
    <w:rsid w:val="007673F0"/>
    <w:rsid w:val="0076744F"/>
    <w:rsid w:val="00767455"/>
    <w:rsid w:val="007679AF"/>
    <w:rsid w:val="007701D9"/>
    <w:rsid w:val="00772C6C"/>
    <w:rsid w:val="00772D54"/>
    <w:rsid w:val="007741D9"/>
    <w:rsid w:val="007743B6"/>
    <w:rsid w:val="007748F6"/>
    <w:rsid w:val="00774A8C"/>
    <w:rsid w:val="007750BB"/>
    <w:rsid w:val="00775779"/>
    <w:rsid w:val="00776ED5"/>
    <w:rsid w:val="007809E9"/>
    <w:rsid w:val="00780D84"/>
    <w:rsid w:val="0078122E"/>
    <w:rsid w:val="0078165F"/>
    <w:rsid w:val="00782024"/>
    <w:rsid w:val="00782DC1"/>
    <w:rsid w:val="007831EF"/>
    <w:rsid w:val="00783506"/>
    <w:rsid w:val="0078442B"/>
    <w:rsid w:val="007853BD"/>
    <w:rsid w:val="00785A12"/>
    <w:rsid w:val="00785E18"/>
    <w:rsid w:val="0078614D"/>
    <w:rsid w:val="00791C0F"/>
    <w:rsid w:val="007924DC"/>
    <w:rsid w:val="00793845"/>
    <w:rsid w:val="00793FA2"/>
    <w:rsid w:val="0079520D"/>
    <w:rsid w:val="007966FB"/>
    <w:rsid w:val="0079697F"/>
    <w:rsid w:val="00796BD1"/>
    <w:rsid w:val="00796EC8"/>
    <w:rsid w:val="00797DF7"/>
    <w:rsid w:val="007A0D0E"/>
    <w:rsid w:val="007A1418"/>
    <w:rsid w:val="007A166F"/>
    <w:rsid w:val="007A1BB6"/>
    <w:rsid w:val="007A490A"/>
    <w:rsid w:val="007A4C5A"/>
    <w:rsid w:val="007A615D"/>
    <w:rsid w:val="007A6DA5"/>
    <w:rsid w:val="007A7F82"/>
    <w:rsid w:val="007B0724"/>
    <w:rsid w:val="007B0854"/>
    <w:rsid w:val="007B0F2D"/>
    <w:rsid w:val="007B0F58"/>
    <w:rsid w:val="007B16E2"/>
    <w:rsid w:val="007B234F"/>
    <w:rsid w:val="007B24B5"/>
    <w:rsid w:val="007B44DA"/>
    <w:rsid w:val="007B5F82"/>
    <w:rsid w:val="007B6218"/>
    <w:rsid w:val="007B6351"/>
    <w:rsid w:val="007B78B9"/>
    <w:rsid w:val="007C0326"/>
    <w:rsid w:val="007C0A36"/>
    <w:rsid w:val="007C2221"/>
    <w:rsid w:val="007C36EC"/>
    <w:rsid w:val="007C3946"/>
    <w:rsid w:val="007C60A9"/>
    <w:rsid w:val="007C6117"/>
    <w:rsid w:val="007C6410"/>
    <w:rsid w:val="007C672F"/>
    <w:rsid w:val="007C7077"/>
    <w:rsid w:val="007C7370"/>
    <w:rsid w:val="007C7638"/>
    <w:rsid w:val="007C7F04"/>
    <w:rsid w:val="007D0305"/>
    <w:rsid w:val="007D0F47"/>
    <w:rsid w:val="007D1727"/>
    <w:rsid w:val="007D1AD1"/>
    <w:rsid w:val="007D1FD8"/>
    <w:rsid w:val="007D28C9"/>
    <w:rsid w:val="007D40E2"/>
    <w:rsid w:val="007D58E1"/>
    <w:rsid w:val="007D5E0B"/>
    <w:rsid w:val="007D65D4"/>
    <w:rsid w:val="007D71A4"/>
    <w:rsid w:val="007E01FC"/>
    <w:rsid w:val="007E03C8"/>
    <w:rsid w:val="007E044F"/>
    <w:rsid w:val="007E11A8"/>
    <w:rsid w:val="007E1384"/>
    <w:rsid w:val="007E38F5"/>
    <w:rsid w:val="007E4585"/>
    <w:rsid w:val="007E56BA"/>
    <w:rsid w:val="007E5B03"/>
    <w:rsid w:val="007E6035"/>
    <w:rsid w:val="007E750C"/>
    <w:rsid w:val="007F047F"/>
    <w:rsid w:val="007F0D40"/>
    <w:rsid w:val="007F1322"/>
    <w:rsid w:val="007F168F"/>
    <w:rsid w:val="007F25AB"/>
    <w:rsid w:val="007F2AC3"/>
    <w:rsid w:val="007F3452"/>
    <w:rsid w:val="007F367B"/>
    <w:rsid w:val="007F3F7B"/>
    <w:rsid w:val="007F4347"/>
    <w:rsid w:val="007F5F3B"/>
    <w:rsid w:val="007F723E"/>
    <w:rsid w:val="007F72CB"/>
    <w:rsid w:val="00800175"/>
    <w:rsid w:val="00802A13"/>
    <w:rsid w:val="00802D30"/>
    <w:rsid w:val="00804C29"/>
    <w:rsid w:val="00804CE6"/>
    <w:rsid w:val="00804EB1"/>
    <w:rsid w:val="0080594C"/>
    <w:rsid w:val="008101D2"/>
    <w:rsid w:val="00810C11"/>
    <w:rsid w:val="00810CB8"/>
    <w:rsid w:val="008111B0"/>
    <w:rsid w:val="00811ED3"/>
    <w:rsid w:val="008125CD"/>
    <w:rsid w:val="0081348A"/>
    <w:rsid w:val="00813504"/>
    <w:rsid w:val="00815027"/>
    <w:rsid w:val="008159D3"/>
    <w:rsid w:val="00816191"/>
    <w:rsid w:val="00816302"/>
    <w:rsid w:val="0081643A"/>
    <w:rsid w:val="00816A51"/>
    <w:rsid w:val="00817A26"/>
    <w:rsid w:val="00817CA8"/>
    <w:rsid w:val="00817DDD"/>
    <w:rsid w:val="0082251D"/>
    <w:rsid w:val="00822D58"/>
    <w:rsid w:val="00822F0F"/>
    <w:rsid w:val="008232F1"/>
    <w:rsid w:val="00824AA3"/>
    <w:rsid w:val="00824D50"/>
    <w:rsid w:val="008259B9"/>
    <w:rsid w:val="008264EF"/>
    <w:rsid w:val="00826A9D"/>
    <w:rsid w:val="008273B7"/>
    <w:rsid w:val="008303BC"/>
    <w:rsid w:val="0083119B"/>
    <w:rsid w:val="00831238"/>
    <w:rsid w:val="0083133A"/>
    <w:rsid w:val="008313DB"/>
    <w:rsid w:val="008334FC"/>
    <w:rsid w:val="008339C5"/>
    <w:rsid w:val="00833AE2"/>
    <w:rsid w:val="00833EB1"/>
    <w:rsid w:val="008344BC"/>
    <w:rsid w:val="00834864"/>
    <w:rsid w:val="008349A7"/>
    <w:rsid w:val="00834EAB"/>
    <w:rsid w:val="00835417"/>
    <w:rsid w:val="008366AF"/>
    <w:rsid w:val="00836793"/>
    <w:rsid w:val="00836AFB"/>
    <w:rsid w:val="00836EAB"/>
    <w:rsid w:val="0083716D"/>
    <w:rsid w:val="008409BE"/>
    <w:rsid w:val="00840B58"/>
    <w:rsid w:val="00841280"/>
    <w:rsid w:val="0084152B"/>
    <w:rsid w:val="00841639"/>
    <w:rsid w:val="00841E0B"/>
    <w:rsid w:val="00842535"/>
    <w:rsid w:val="00842A9F"/>
    <w:rsid w:val="00842F23"/>
    <w:rsid w:val="00843449"/>
    <w:rsid w:val="00843BC4"/>
    <w:rsid w:val="00843E6C"/>
    <w:rsid w:val="00843F7A"/>
    <w:rsid w:val="00844326"/>
    <w:rsid w:val="0084483F"/>
    <w:rsid w:val="00845303"/>
    <w:rsid w:val="00846F5C"/>
    <w:rsid w:val="0084737E"/>
    <w:rsid w:val="00847B6B"/>
    <w:rsid w:val="00847DD7"/>
    <w:rsid w:val="0085092D"/>
    <w:rsid w:val="008509DD"/>
    <w:rsid w:val="00850DF5"/>
    <w:rsid w:val="0085128C"/>
    <w:rsid w:val="00852018"/>
    <w:rsid w:val="008524B4"/>
    <w:rsid w:val="0085264F"/>
    <w:rsid w:val="00852BB0"/>
    <w:rsid w:val="00852E12"/>
    <w:rsid w:val="00852F5E"/>
    <w:rsid w:val="008534E9"/>
    <w:rsid w:val="00853776"/>
    <w:rsid w:val="008541AC"/>
    <w:rsid w:val="00854DBB"/>
    <w:rsid w:val="00856468"/>
    <w:rsid w:val="00856B57"/>
    <w:rsid w:val="00857F63"/>
    <w:rsid w:val="00860189"/>
    <w:rsid w:val="008601EE"/>
    <w:rsid w:val="00860B10"/>
    <w:rsid w:val="00860C12"/>
    <w:rsid w:val="008610DF"/>
    <w:rsid w:val="008612BF"/>
    <w:rsid w:val="00861408"/>
    <w:rsid w:val="008617E0"/>
    <w:rsid w:val="00862B2A"/>
    <w:rsid w:val="00862D58"/>
    <w:rsid w:val="00865014"/>
    <w:rsid w:val="00865967"/>
    <w:rsid w:val="00865EEA"/>
    <w:rsid w:val="008700C1"/>
    <w:rsid w:val="008705DE"/>
    <w:rsid w:val="00871295"/>
    <w:rsid w:val="0087249D"/>
    <w:rsid w:val="00873BCF"/>
    <w:rsid w:val="00874A6C"/>
    <w:rsid w:val="00877366"/>
    <w:rsid w:val="0087745C"/>
    <w:rsid w:val="00877FC5"/>
    <w:rsid w:val="00880626"/>
    <w:rsid w:val="00881690"/>
    <w:rsid w:val="00881742"/>
    <w:rsid w:val="008817ED"/>
    <w:rsid w:val="0088243F"/>
    <w:rsid w:val="00882EA0"/>
    <w:rsid w:val="00883662"/>
    <w:rsid w:val="00883715"/>
    <w:rsid w:val="0088457C"/>
    <w:rsid w:val="00885287"/>
    <w:rsid w:val="00885AA7"/>
    <w:rsid w:val="00885C0F"/>
    <w:rsid w:val="00886201"/>
    <w:rsid w:val="00886A5B"/>
    <w:rsid w:val="008871CF"/>
    <w:rsid w:val="00887B15"/>
    <w:rsid w:val="00890549"/>
    <w:rsid w:val="00890882"/>
    <w:rsid w:val="00890A8B"/>
    <w:rsid w:val="008927A8"/>
    <w:rsid w:val="00893165"/>
    <w:rsid w:val="00893180"/>
    <w:rsid w:val="00893C06"/>
    <w:rsid w:val="00894D34"/>
    <w:rsid w:val="00895AA2"/>
    <w:rsid w:val="00896174"/>
    <w:rsid w:val="008967AF"/>
    <w:rsid w:val="00896A1B"/>
    <w:rsid w:val="00897ED9"/>
    <w:rsid w:val="008A0425"/>
    <w:rsid w:val="008A0A11"/>
    <w:rsid w:val="008A0B2C"/>
    <w:rsid w:val="008A1966"/>
    <w:rsid w:val="008A257A"/>
    <w:rsid w:val="008A2F81"/>
    <w:rsid w:val="008A3228"/>
    <w:rsid w:val="008A41E2"/>
    <w:rsid w:val="008A46C3"/>
    <w:rsid w:val="008A53F7"/>
    <w:rsid w:val="008A54C1"/>
    <w:rsid w:val="008A575E"/>
    <w:rsid w:val="008A6443"/>
    <w:rsid w:val="008A69BA"/>
    <w:rsid w:val="008A7AAC"/>
    <w:rsid w:val="008A7DFA"/>
    <w:rsid w:val="008B1A31"/>
    <w:rsid w:val="008B250F"/>
    <w:rsid w:val="008B3299"/>
    <w:rsid w:val="008B3EAF"/>
    <w:rsid w:val="008B4490"/>
    <w:rsid w:val="008C03B7"/>
    <w:rsid w:val="008C0AF6"/>
    <w:rsid w:val="008C0ED3"/>
    <w:rsid w:val="008C26E3"/>
    <w:rsid w:val="008C2BFB"/>
    <w:rsid w:val="008C41C5"/>
    <w:rsid w:val="008C4353"/>
    <w:rsid w:val="008C596E"/>
    <w:rsid w:val="008C6600"/>
    <w:rsid w:val="008C6B51"/>
    <w:rsid w:val="008C710C"/>
    <w:rsid w:val="008D1B84"/>
    <w:rsid w:val="008D2B54"/>
    <w:rsid w:val="008D3FBB"/>
    <w:rsid w:val="008D4085"/>
    <w:rsid w:val="008D4225"/>
    <w:rsid w:val="008D4533"/>
    <w:rsid w:val="008D4B97"/>
    <w:rsid w:val="008D4C63"/>
    <w:rsid w:val="008D5F00"/>
    <w:rsid w:val="008D71C9"/>
    <w:rsid w:val="008D76C2"/>
    <w:rsid w:val="008D776A"/>
    <w:rsid w:val="008E0A7E"/>
    <w:rsid w:val="008E197B"/>
    <w:rsid w:val="008E1C15"/>
    <w:rsid w:val="008E3219"/>
    <w:rsid w:val="008E425D"/>
    <w:rsid w:val="008E5380"/>
    <w:rsid w:val="008E55D9"/>
    <w:rsid w:val="008E5D4B"/>
    <w:rsid w:val="008E5EBF"/>
    <w:rsid w:val="008E6F70"/>
    <w:rsid w:val="008E7715"/>
    <w:rsid w:val="008E7D23"/>
    <w:rsid w:val="008F0394"/>
    <w:rsid w:val="008F14CC"/>
    <w:rsid w:val="008F1D84"/>
    <w:rsid w:val="008F1E25"/>
    <w:rsid w:val="008F2734"/>
    <w:rsid w:val="008F30C9"/>
    <w:rsid w:val="008F35B7"/>
    <w:rsid w:val="008F39BD"/>
    <w:rsid w:val="008F4123"/>
    <w:rsid w:val="008F489B"/>
    <w:rsid w:val="008F5C25"/>
    <w:rsid w:val="008F646E"/>
    <w:rsid w:val="008F6E4A"/>
    <w:rsid w:val="008F71EB"/>
    <w:rsid w:val="008F7353"/>
    <w:rsid w:val="008F7ABD"/>
    <w:rsid w:val="00900239"/>
    <w:rsid w:val="00900DDB"/>
    <w:rsid w:val="0090136A"/>
    <w:rsid w:val="00901CD9"/>
    <w:rsid w:val="00902199"/>
    <w:rsid w:val="009030CB"/>
    <w:rsid w:val="00903CAD"/>
    <w:rsid w:val="009047C5"/>
    <w:rsid w:val="00904CD9"/>
    <w:rsid w:val="00905603"/>
    <w:rsid w:val="00906322"/>
    <w:rsid w:val="009063A9"/>
    <w:rsid w:val="009064C4"/>
    <w:rsid w:val="009066C0"/>
    <w:rsid w:val="009071F2"/>
    <w:rsid w:val="0090765B"/>
    <w:rsid w:val="00907A73"/>
    <w:rsid w:val="00907E9D"/>
    <w:rsid w:val="009106BD"/>
    <w:rsid w:val="0091085E"/>
    <w:rsid w:val="00910B86"/>
    <w:rsid w:val="009110E3"/>
    <w:rsid w:val="0091237C"/>
    <w:rsid w:val="00914F02"/>
    <w:rsid w:val="00915E71"/>
    <w:rsid w:val="0091678A"/>
    <w:rsid w:val="00916A72"/>
    <w:rsid w:val="00916C89"/>
    <w:rsid w:val="0091746C"/>
    <w:rsid w:val="00917585"/>
    <w:rsid w:val="009176F3"/>
    <w:rsid w:val="00917700"/>
    <w:rsid w:val="0092110B"/>
    <w:rsid w:val="009213FA"/>
    <w:rsid w:val="00921659"/>
    <w:rsid w:val="009217EE"/>
    <w:rsid w:val="00921A66"/>
    <w:rsid w:val="00921CF3"/>
    <w:rsid w:val="009234CD"/>
    <w:rsid w:val="00923DC9"/>
    <w:rsid w:val="00924541"/>
    <w:rsid w:val="0092462A"/>
    <w:rsid w:val="0092465E"/>
    <w:rsid w:val="0092478E"/>
    <w:rsid w:val="00924928"/>
    <w:rsid w:val="00924A84"/>
    <w:rsid w:val="00924C21"/>
    <w:rsid w:val="0092603A"/>
    <w:rsid w:val="009278F1"/>
    <w:rsid w:val="00930831"/>
    <w:rsid w:val="00931364"/>
    <w:rsid w:val="0093167B"/>
    <w:rsid w:val="0093193A"/>
    <w:rsid w:val="00931B7E"/>
    <w:rsid w:val="00932FBD"/>
    <w:rsid w:val="009339B8"/>
    <w:rsid w:val="00933F8F"/>
    <w:rsid w:val="00934CB4"/>
    <w:rsid w:val="0093633E"/>
    <w:rsid w:val="00936B09"/>
    <w:rsid w:val="00937362"/>
    <w:rsid w:val="00937BFF"/>
    <w:rsid w:val="00937C4F"/>
    <w:rsid w:val="00937E01"/>
    <w:rsid w:val="00937E58"/>
    <w:rsid w:val="00940531"/>
    <w:rsid w:val="0094059F"/>
    <w:rsid w:val="00940714"/>
    <w:rsid w:val="009409CA"/>
    <w:rsid w:val="009418E8"/>
    <w:rsid w:val="009424CF"/>
    <w:rsid w:val="00942B12"/>
    <w:rsid w:val="00942D7C"/>
    <w:rsid w:val="00944342"/>
    <w:rsid w:val="00944EA4"/>
    <w:rsid w:val="00945AD3"/>
    <w:rsid w:val="009465F7"/>
    <w:rsid w:val="00946737"/>
    <w:rsid w:val="00946C75"/>
    <w:rsid w:val="00946CFA"/>
    <w:rsid w:val="00947536"/>
    <w:rsid w:val="00947D1F"/>
    <w:rsid w:val="00947D28"/>
    <w:rsid w:val="00947EF5"/>
    <w:rsid w:val="00950258"/>
    <w:rsid w:val="00951364"/>
    <w:rsid w:val="009521FC"/>
    <w:rsid w:val="00952E20"/>
    <w:rsid w:val="0095385A"/>
    <w:rsid w:val="00953A90"/>
    <w:rsid w:val="00954ABD"/>
    <w:rsid w:val="00955CAC"/>
    <w:rsid w:val="00955E10"/>
    <w:rsid w:val="009568DA"/>
    <w:rsid w:val="00956C80"/>
    <w:rsid w:val="00956E82"/>
    <w:rsid w:val="009604AE"/>
    <w:rsid w:val="00961FA1"/>
    <w:rsid w:val="00962034"/>
    <w:rsid w:val="00962A37"/>
    <w:rsid w:val="00964C6F"/>
    <w:rsid w:val="00965849"/>
    <w:rsid w:val="00967FE3"/>
    <w:rsid w:val="00970217"/>
    <w:rsid w:val="00971941"/>
    <w:rsid w:val="00971A67"/>
    <w:rsid w:val="009738F8"/>
    <w:rsid w:val="00973D6C"/>
    <w:rsid w:val="00973F55"/>
    <w:rsid w:val="00975490"/>
    <w:rsid w:val="00975D1B"/>
    <w:rsid w:val="00976CC3"/>
    <w:rsid w:val="00977088"/>
    <w:rsid w:val="0098054E"/>
    <w:rsid w:val="00981B5D"/>
    <w:rsid w:val="00982489"/>
    <w:rsid w:val="00984C72"/>
    <w:rsid w:val="00984DFB"/>
    <w:rsid w:val="009859D0"/>
    <w:rsid w:val="009866C8"/>
    <w:rsid w:val="009874B4"/>
    <w:rsid w:val="00987DBA"/>
    <w:rsid w:val="00987F32"/>
    <w:rsid w:val="009903AE"/>
    <w:rsid w:val="00990612"/>
    <w:rsid w:val="00990A26"/>
    <w:rsid w:val="00990A2F"/>
    <w:rsid w:val="0099113C"/>
    <w:rsid w:val="0099114C"/>
    <w:rsid w:val="0099165C"/>
    <w:rsid w:val="00995007"/>
    <w:rsid w:val="0099549D"/>
    <w:rsid w:val="00995CA3"/>
    <w:rsid w:val="009966E7"/>
    <w:rsid w:val="00996D56"/>
    <w:rsid w:val="009A0B76"/>
    <w:rsid w:val="009A1A89"/>
    <w:rsid w:val="009A1A94"/>
    <w:rsid w:val="009A1B74"/>
    <w:rsid w:val="009A1C15"/>
    <w:rsid w:val="009A353C"/>
    <w:rsid w:val="009A3AEB"/>
    <w:rsid w:val="009A4864"/>
    <w:rsid w:val="009B053C"/>
    <w:rsid w:val="009B0BF6"/>
    <w:rsid w:val="009B0CB9"/>
    <w:rsid w:val="009B17C2"/>
    <w:rsid w:val="009B19D2"/>
    <w:rsid w:val="009B1BF2"/>
    <w:rsid w:val="009B20BF"/>
    <w:rsid w:val="009B2695"/>
    <w:rsid w:val="009B29F8"/>
    <w:rsid w:val="009B2C78"/>
    <w:rsid w:val="009B5EA5"/>
    <w:rsid w:val="009B6258"/>
    <w:rsid w:val="009B63F0"/>
    <w:rsid w:val="009B7EC0"/>
    <w:rsid w:val="009C02BD"/>
    <w:rsid w:val="009C0EC1"/>
    <w:rsid w:val="009C17B9"/>
    <w:rsid w:val="009C1933"/>
    <w:rsid w:val="009C1FFB"/>
    <w:rsid w:val="009C24BD"/>
    <w:rsid w:val="009C28F4"/>
    <w:rsid w:val="009C2A57"/>
    <w:rsid w:val="009C375E"/>
    <w:rsid w:val="009C376A"/>
    <w:rsid w:val="009C3A06"/>
    <w:rsid w:val="009C3D5F"/>
    <w:rsid w:val="009C446F"/>
    <w:rsid w:val="009C4DAD"/>
    <w:rsid w:val="009C55A7"/>
    <w:rsid w:val="009C5D1B"/>
    <w:rsid w:val="009C7648"/>
    <w:rsid w:val="009C782E"/>
    <w:rsid w:val="009C7F2E"/>
    <w:rsid w:val="009D07CB"/>
    <w:rsid w:val="009D0F4D"/>
    <w:rsid w:val="009D0FC4"/>
    <w:rsid w:val="009D3049"/>
    <w:rsid w:val="009D310C"/>
    <w:rsid w:val="009D4A2A"/>
    <w:rsid w:val="009D4FF8"/>
    <w:rsid w:val="009D54EC"/>
    <w:rsid w:val="009D59E1"/>
    <w:rsid w:val="009D65B4"/>
    <w:rsid w:val="009D7290"/>
    <w:rsid w:val="009E01BD"/>
    <w:rsid w:val="009E0D1B"/>
    <w:rsid w:val="009E16CE"/>
    <w:rsid w:val="009E1F5A"/>
    <w:rsid w:val="009E245B"/>
    <w:rsid w:val="009E2882"/>
    <w:rsid w:val="009E3217"/>
    <w:rsid w:val="009E411D"/>
    <w:rsid w:val="009E4454"/>
    <w:rsid w:val="009E48B1"/>
    <w:rsid w:val="009E50F2"/>
    <w:rsid w:val="009E5DF3"/>
    <w:rsid w:val="009E6915"/>
    <w:rsid w:val="009E70F0"/>
    <w:rsid w:val="009F0BCE"/>
    <w:rsid w:val="009F1817"/>
    <w:rsid w:val="009F1BD6"/>
    <w:rsid w:val="009F2418"/>
    <w:rsid w:val="009F3083"/>
    <w:rsid w:val="009F372D"/>
    <w:rsid w:val="009F3C99"/>
    <w:rsid w:val="009F48F0"/>
    <w:rsid w:val="009F57D1"/>
    <w:rsid w:val="009F596F"/>
    <w:rsid w:val="009F6369"/>
    <w:rsid w:val="009F6523"/>
    <w:rsid w:val="009F6B3F"/>
    <w:rsid w:val="009F773F"/>
    <w:rsid w:val="009F7802"/>
    <w:rsid w:val="009F7D1F"/>
    <w:rsid w:val="00A00987"/>
    <w:rsid w:val="00A0154B"/>
    <w:rsid w:val="00A01B73"/>
    <w:rsid w:val="00A01F14"/>
    <w:rsid w:val="00A028FC"/>
    <w:rsid w:val="00A02DEF"/>
    <w:rsid w:val="00A03186"/>
    <w:rsid w:val="00A0353C"/>
    <w:rsid w:val="00A0353D"/>
    <w:rsid w:val="00A03556"/>
    <w:rsid w:val="00A035A4"/>
    <w:rsid w:val="00A036C4"/>
    <w:rsid w:val="00A044A1"/>
    <w:rsid w:val="00A07446"/>
    <w:rsid w:val="00A10135"/>
    <w:rsid w:val="00A10706"/>
    <w:rsid w:val="00A1089F"/>
    <w:rsid w:val="00A11267"/>
    <w:rsid w:val="00A113C9"/>
    <w:rsid w:val="00A118A0"/>
    <w:rsid w:val="00A136ED"/>
    <w:rsid w:val="00A14F3C"/>
    <w:rsid w:val="00A17B91"/>
    <w:rsid w:val="00A206C9"/>
    <w:rsid w:val="00A20C68"/>
    <w:rsid w:val="00A21624"/>
    <w:rsid w:val="00A23088"/>
    <w:rsid w:val="00A23E37"/>
    <w:rsid w:val="00A24560"/>
    <w:rsid w:val="00A24CAF"/>
    <w:rsid w:val="00A25834"/>
    <w:rsid w:val="00A25EC5"/>
    <w:rsid w:val="00A26731"/>
    <w:rsid w:val="00A26D28"/>
    <w:rsid w:val="00A2734F"/>
    <w:rsid w:val="00A27D41"/>
    <w:rsid w:val="00A27EFE"/>
    <w:rsid w:val="00A30501"/>
    <w:rsid w:val="00A305CD"/>
    <w:rsid w:val="00A308D1"/>
    <w:rsid w:val="00A3167C"/>
    <w:rsid w:val="00A316F7"/>
    <w:rsid w:val="00A31770"/>
    <w:rsid w:val="00A31AAB"/>
    <w:rsid w:val="00A3216E"/>
    <w:rsid w:val="00A32529"/>
    <w:rsid w:val="00A32559"/>
    <w:rsid w:val="00A338FC"/>
    <w:rsid w:val="00A33A2C"/>
    <w:rsid w:val="00A34538"/>
    <w:rsid w:val="00A35156"/>
    <w:rsid w:val="00A36062"/>
    <w:rsid w:val="00A37529"/>
    <w:rsid w:val="00A41BFA"/>
    <w:rsid w:val="00A4289E"/>
    <w:rsid w:val="00A42A3B"/>
    <w:rsid w:val="00A43490"/>
    <w:rsid w:val="00A43FD5"/>
    <w:rsid w:val="00A44DA5"/>
    <w:rsid w:val="00A46384"/>
    <w:rsid w:val="00A46CED"/>
    <w:rsid w:val="00A470F2"/>
    <w:rsid w:val="00A47803"/>
    <w:rsid w:val="00A47CCC"/>
    <w:rsid w:val="00A47DA6"/>
    <w:rsid w:val="00A47E0A"/>
    <w:rsid w:val="00A47F59"/>
    <w:rsid w:val="00A47F6D"/>
    <w:rsid w:val="00A507B2"/>
    <w:rsid w:val="00A50AD2"/>
    <w:rsid w:val="00A50F5C"/>
    <w:rsid w:val="00A51BBE"/>
    <w:rsid w:val="00A51D51"/>
    <w:rsid w:val="00A5228B"/>
    <w:rsid w:val="00A5235A"/>
    <w:rsid w:val="00A53B56"/>
    <w:rsid w:val="00A53E7C"/>
    <w:rsid w:val="00A546CA"/>
    <w:rsid w:val="00A54A2B"/>
    <w:rsid w:val="00A54AB9"/>
    <w:rsid w:val="00A5584C"/>
    <w:rsid w:val="00A56A79"/>
    <w:rsid w:val="00A572E1"/>
    <w:rsid w:val="00A578E2"/>
    <w:rsid w:val="00A604A4"/>
    <w:rsid w:val="00A61FEE"/>
    <w:rsid w:val="00A62BAF"/>
    <w:rsid w:val="00A639A0"/>
    <w:rsid w:val="00A63DEC"/>
    <w:rsid w:val="00A6404B"/>
    <w:rsid w:val="00A641CA"/>
    <w:rsid w:val="00A656EF"/>
    <w:rsid w:val="00A65AA6"/>
    <w:rsid w:val="00A679E3"/>
    <w:rsid w:val="00A70311"/>
    <w:rsid w:val="00A70419"/>
    <w:rsid w:val="00A71148"/>
    <w:rsid w:val="00A72A3B"/>
    <w:rsid w:val="00A7461D"/>
    <w:rsid w:val="00A80248"/>
    <w:rsid w:val="00A80CF4"/>
    <w:rsid w:val="00A814D6"/>
    <w:rsid w:val="00A8268C"/>
    <w:rsid w:val="00A8275B"/>
    <w:rsid w:val="00A82E32"/>
    <w:rsid w:val="00A84361"/>
    <w:rsid w:val="00A84904"/>
    <w:rsid w:val="00A852F0"/>
    <w:rsid w:val="00A853DD"/>
    <w:rsid w:val="00A85C05"/>
    <w:rsid w:val="00A86F68"/>
    <w:rsid w:val="00A87177"/>
    <w:rsid w:val="00A87B23"/>
    <w:rsid w:val="00A90A38"/>
    <w:rsid w:val="00A923B7"/>
    <w:rsid w:val="00A95B45"/>
    <w:rsid w:val="00A95D9F"/>
    <w:rsid w:val="00A972D0"/>
    <w:rsid w:val="00A97342"/>
    <w:rsid w:val="00AA03C4"/>
    <w:rsid w:val="00AA077E"/>
    <w:rsid w:val="00AA18DB"/>
    <w:rsid w:val="00AA195D"/>
    <w:rsid w:val="00AA1C27"/>
    <w:rsid w:val="00AA33BA"/>
    <w:rsid w:val="00AA3DEF"/>
    <w:rsid w:val="00AA4353"/>
    <w:rsid w:val="00AA442B"/>
    <w:rsid w:val="00AA58FD"/>
    <w:rsid w:val="00AA59F5"/>
    <w:rsid w:val="00AA671A"/>
    <w:rsid w:val="00AA686E"/>
    <w:rsid w:val="00AA6CC1"/>
    <w:rsid w:val="00AB00BD"/>
    <w:rsid w:val="00AB0D4D"/>
    <w:rsid w:val="00AB14CE"/>
    <w:rsid w:val="00AB1580"/>
    <w:rsid w:val="00AB1690"/>
    <w:rsid w:val="00AB196B"/>
    <w:rsid w:val="00AB1AC8"/>
    <w:rsid w:val="00AB1CC8"/>
    <w:rsid w:val="00AB214B"/>
    <w:rsid w:val="00AB232F"/>
    <w:rsid w:val="00AB30DF"/>
    <w:rsid w:val="00AB3E40"/>
    <w:rsid w:val="00AB47E2"/>
    <w:rsid w:val="00AB4996"/>
    <w:rsid w:val="00AB4B1B"/>
    <w:rsid w:val="00AB4DF6"/>
    <w:rsid w:val="00AB61DC"/>
    <w:rsid w:val="00AB769D"/>
    <w:rsid w:val="00AB7F25"/>
    <w:rsid w:val="00AC004D"/>
    <w:rsid w:val="00AC060F"/>
    <w:rsid w:val="00AC0EEB"/>
    <w:rsid w:val="00AC1272"/>
    <w:rsid w:val="00AC1646"/>
    <w:rsid w:val="00AC1839"/>
    <w:rsid w:val="00AC1887"/>
    <w:rsid w:val="00AC3414"/>
    <w:rsid w:val="00AC3ACC"/>
    <w:rsid w:val="00AC3B09"/>
    <w:rsid w:val="00AC3E4A"/>
    <w:rsid w:val="00AD0985"/>
    <w:rsid w:val="00AD0B1D"/>
    <w:rsid w:val="00AD0F7C"/>
    <w:rsid w:val="00AD22FC"/>
    <w:rsid w:val="00AD2E44"/>
    <w:rsid w:val="00AD2F7B"/>
    <w:rsid w:val="00AD47FB"/>
    <w:rsid w:val="00AD48B1"/>
    <w:rsid w:val="00AD493D"/>
    <w:rsid w:val="00AD4EBB"/>
    <w:rsid w:val="00AD5E7A"/>
    <w:rsid w:val="00AD6135"/>
    <w:rsid w:val="00AD73E8"/>
    <w:rsid w:val="00AD7A11"/>
    <w:rsid w:val="00AD7C52"/>
    <w:rsid w:val="00AE0AC7"/>
    <w:rsid w:val="00AE0CBF"/>
    <w:rsid w:val="00AE1289"/>
    <w:rsid w:val="00AE19FC"/>
    <w:rsid w:val="00AE1FAC"/>
    <w:rsid w:val="00AE24EC"/>
    <w:rsid w:val="00AE3710"/>
    <w:rsid w:val="00AE39BD"/>
    <w:rsid w:val="00AE3A7C"/>
    <w:rsid w:val="00AE3E75"/>
    <w:rsid w:val="00AE4072"/>
    <w:rsid w:val="00AE4119"/>
    <w:rsid w:val="00AE4E69"/>
    <w:rsid w:val="00AE5307"/>
    <w:rsid w:val="00AE5B43"/>
    <w:rsid w:val="00AE6188"/>
    <w:rsid w:val="00AE65B9"/>
    <w:rsid w:val="00AE6719"/>
    <w:rsid w:val="00AE6D68"/>
    <w:rsid w:val="00AE7610"/>
    <w:rsid w:val="00AF0F32"/>
    <w:rsid w:val="00AF1383"/>
    <w:rsid w:val="00AF152E"/>
    <w:rsid w:val="00AF1ED8"/>
    <w:rsid w:val="00AF28FF"/>
    <w:rsid w:val="00AF416F"/>
    <w:rsid w:val="00AF51A0"/>
    <w:rsid w:val="00AF5644"/>
    <w:rsid w:val="00AF5CE1"/>
    <w:rsid w:val="00AF5F09"/>
    <w:rsid w:val="00AF6D47"/>
    <w:rsid w:val="00AF713D"/>
    <w:rsid w:val="00AF7FCE"/>
    <w:rsid w:val="00B00F9B"/>
    <w:rsid w:val="00B01850"/>
    <w:rsid w:val="00B02601"/>
    <w:rsid w:val="00B029E3"/>
    <w:rsid w:val="00B0312C"/>
    <w:rsid w:val="00B04843"/>
    <w:rsid w:val="00B055C7"/>
    <w:rsid w:val="00B0560B"/>
    <w:rsid w:val="00B06243"/>
    <w:rsid w:val="00B07B14"/>
    <w:rsid w:val="00B07BE4"/>
    <w:rsid w:val="00B101EE"/>
    <w:rsid w:val="00B1060D"/>
    <w:rsid w:val="00B118E9"/>
    <w:rsid w:val="00B12054"/>
    <w:rsid w:val="00B120C2"/>
    <w:rsid w:val="00B1288F"/>
    <w:rsid w:val="00B12A7B"/>
    <w:rsid w:val="00B12C01"/>
    <w:rsid w:val="00B12C69"/>
    <w:rsid w:val="00B14315"/>
    <w:rsid w:val="00B162E3"/>
    <w:rsid w:val="00B16C38"/>
    <w:rsid w:val="00B16C94"/>
    <w:rsid w:val="00B16D08"/>
    <w:rsid w:val="00B16D7C"/>
    <w:rsid w:val="00B16E58"/>
    <w:rsid w:val="00B17763"/>
    <w:rsid w:val="00B17C06"/>
    <w:rsid w:val="00B21D6C"/>
    <w:rsid w:val="00B22E22"/>
    <w:rsid w:val="00B23B33"/>
    <w:rsid w:val="00B243F7"/>
    <w:rsid w:val="00B258A0"/>
    <w:rsid w:val="00B25E2E"/>
    <w:rsid w:val="00B2636B"/>
    <w:rsid w:val="00B26374"/>
    <w:rsid w:val="00B26EC1"/>
    <w:rsid w:val="00B273B5"/>
    <w:rsid w:val="00B305CF"/>
    <w:rsid w:val="00B30D3C"/>
    <w:rsid w:val="00B32C0B"/>
    <w:rsid w:val="00B32DE6"/>
    <w:rsid w:val="00B33C57"/>
    <w:rsid w:val="00B33D08"/>
    <w:rsid w:val="00B340FE"/>
    <w:rsid w:val="00B346CC"/>
    <w:rsid w:val="00B34D92"/>
    <w:rsid w:val="00B351B5"/>
    <w:rsid w:val="00B35587"/>
    <w:rsid w:val="00B360BE"/>
    <w:rsid w:val="00B36547"/>
    <w:rsid w:val="00B36E67"/>
    <w:rsid w:val="00B371E9"/>
    <w:rsid w:val="00B401D0"/>
    <w:rsid w:val="00B403DE"/>
    <w:rsid w:val="00B40A2A"/>
    <w:rsid w:val="00B42A55"/>
    <w:rsid w:val="00B439B4"/>
    <w:rsid w:val="00B43AA5"/>
    <w:rsid w:val="00B43C9B"/>
    <w:rsid w:val="00B442B7"/>
    <w:rsid w:val="00B45158"/>
    <w:rsid w:val="00B45DA9"/>
    <w:rsid w:val="00B46798"/>
    <w:rsid w:val="00B46BC7"/>
    <w:rsid w:val="00B50315"/>
    <w:rsid w:val="00B512C3"/>
    <w:rsid w:val="00B513FE"/>
    <w:rsid w:val="00B51451"/>
    <w:rsid w:val="00B5146F"/>
    <w:rsid w:val="00B515CA"/>
    <w:rsid w:val="00B51689"/>
    <w:rsid w:val="00B5178D"/>
    <w:rsid w:val="00B525CB"/>
    <w:rsid w:val="00B531D7"/>
    <w:rsid w:val="00B53F68"/>
    <w:rsid w:val="00B541E2"/>
    <w:rsid w:val="00B54F70"/>
    <w:rsid w:val="00B5556E"/>
    <w:rsid w:val="00B55682"/>
    <w:rsid w:val="00B56556"/>
    <w:rsid w:val="00B57A53"/>
    <w:rsid w:val="00B57AC1"/>
    <w:rsid w:val="00B60926"/>
    <w:rsid w:val="00B610D5"/>
    <w:rsid w:val="00B613B5"/>
    <w:rsid w:val="00B613B9"/>
    <w:rsid w:val="00B6143C"/>
    <w:rsid w:val="00B62CA6"/>
    <w:rsid w:val="00B630A6"/>
    <w:rsid w:val="00B6341F"/>
    <w:rsid w:val="00B6352C"/>
    <w:rsid w:val="00B637F3"/>
    <w:rsid w:val="00B63CB2"/>
    <w:rsid w:val="00B63F56"/>
    <w:rsid w:val="00B64278"/>
    <w:rsid w:val="00B6444C"/>
    <w:rsid w:val="00B66866"/>
    <w:rsid w:val="00B66D78"/>
    <w:rsid w:val="00B67C3D"/>
    <w:rsid w:val="00B70169"/>
    <w:rsid w:val="00B70283"/>
    <w:rsid w:val="00B7078C"/>
    <w:rsid w:val="00B710C4"/>
    <w:rsid w:val="00B71561"/>
    <w:rsid w:val="00B72871"/>
    <w:rsid w:val="00B72E61"/>
    <w:rsid w:val="00B7345C"/>
    <w:rsid w:val="00B737A3"/>
    <w:rsid w:val="00B73B11"/>
    <w:rsid w:val="00B754CA"/>
    <w:rsid w:val="00B75BAA"/>
    <w:rsid w:val="00B75C7C"/>
    <w:rsid w:val="00B7757B"/>
    <w:rsid w:val="00B77ADE"/>
    <w:rsid w:val="00B77C1C"/>
    <w:rsid w:val="00B77D93"/>
    <w:rsid w:val="00B80316"/>
    <w:rsid w:val="00B80794"/>
    <w:rsid w:val="00B80D4A"/>
    <w:rsid w:val="00B80D60"/>
    <w:rsid w:val="00B8193B"/>
    <w:rsid w:val="00B81A41"/>
    <w:rsid w:val="00B81ACB"/>
    <w:rsid w:val="00B81F14"/>
    <w:rsid w:val="00B8385C"/>
    <w:rsid w:val="00B83F84"/>
    <w:rsid w:val="00B84B3E"/>
    <w:rsid w:val="00B85623"/>
    <w:rsid w:val="00B87B9E"/>
    <w:rsid w:val="00B90205"/>
    <w:rsid w:val="00B90B22"/>
    <w:rsid w:val="00B90B34"/>
    <w:rsid w:val="00B91CF1"/>
    <w:rsid w:val="00B91EAD"/>
    <w:rsid w:val="00B92CB6"/>
    <w:rsid w:val="00B93287"/>
    <w:rsid w:val="00B94B1F"/>
    <w:rsid w:val="00B9556D"/>
    <w:rsid w:val="00B95717"/>
    <w:rsid w:val="00B979C2"/>
    <w:rsid w:val="00BA0FA8"/>
    <w:rsid w:val="00BA101A"/>
    <w:rsid w:val="00BA1433"/>
    <w:rsid w:val="00BA2BEC"/>
    <w:rsid w:val="00BA32EF"/>
    <w:rsid w:val="00BA4904"/>
    <w:rsid w:val="00BA4B5B"/>
    <w:rsid w:val="00BA549C"/>
    <w:rsid w:val="00BA54F0"/>
    <w:rsid w:val="00BA5612"/>
    <w:rsid w:val="00BA5B4B"/>
    <w:rsid w:val="00BA6306"/>
    <w:rsid w:val="00BB16AA"/>
    <w:rsid w:val="00BB325C"/>
    <w:rsid w:val="00BB32EA"/>
    <w:rsid w:val="00BB37BD"/>
    <w:rsid w:val="00BB5B30"/>
    <w:rsid w:val="00BB5C7A"/>
    <w:rsid w:val="00BB7738"/>
    <w:rsid w:val="00BB7CF2"/>
    <w:rsid w:val="00BC0980"/>
    <w:rsid w:val="00BC11CA"/>
    <w:rsid w:val="00BC1901"/>
    <w:rsid w:val="00BC20AF"/>
    <w:rsid w:val="00BC2F8F"/>
    <w:rsid w:val="00BC3610"/>
    <w:rsid w:val="00BC3A7B"/>
    <w:rsid w:val="00BC3E50"/>
    <w:rsid w:val="00BC46FA"/>
    <w:rsid w:val="00BC4CFC"/>
    <w:rsid w:val="00BC5E6E"/>
    <w:rsid w:val="00BC638A"/>
    <w:rsid w:val="00BC754C"/>
    <w:rsid w:val="00BC7A70"/>
    <w:rsid w:val="00BD075C"/>
    <w:rsid w:val="00BD0942"/>
    <w:rsid w:val="00BD09C9"/>
    <w:rsid w:val="00BD1370"/>
    <w:rsid w:val="00BD16E4"/>
    <w:rsid w:val="00BD3ADF"/>
    <w:rsid w:val="00BD404B"/>
    <w:rsid w:val="00BD4104"/>
    <w:rsid w:val="00BD418A"/>
    <w:rsid w:val="00BD484B"/>
    <w:rsid w:val="00BD5979"/>
    <w:rsid w:val="00BD5F18"/>
    <w:rsid w:val="00BD5F91"/>
    <w:rsid w:val="00BD78FE"/>
    <w:rsid w:val="00BE0B45"/>
    <w:rsid w:val="00BE1B2E"/>
    <w:rsid w:val="00BE1EB7"/>
    <w:rsid w:val="00BE3C30"/>
    <w:rsid w:val="00BE43C0"/>
    <w:rsid w:val="00BE4555"/>
    <w:rsid w:val="00BE4C31"/>
    <w:rsid w:val="00BE5743"/>
    <w:rsid w:val="00BE60C5"/>
    <w:rsid w:val="00BE62F9"/>
    <w:rsid w:val="00BE646C"/>
    <w:rsid w:val="00BE68A7"/>
    <w:rsid w:val="00BE7972"/>
    <w:rsid w:val="00BF0438"/>
    <w:rsid w:val="00BF0945"/>
    <w:rsid w:val="00BF0F80"/>
    <w:rsid w:val="00BF2195"/>
    <w:rsid w:val="00BF239F"/>
    <w:rsid w:val="00BF26EF"/>
    <w:rsid w:val="00BF2870"/>
    <w:rsid w:val="00BF2E6F"/>
    <w:rsid w:val="00BF38C7"/>
    <w:rsid w:val="00BF3E3E"/>
    <w:rsid w:val="00BF3E9C"/>
    <w:rsid w:val="00BF46EB"/>
    <w:rsid w:val="00BF52BB"/>
    <w:rsid w:val="00BF5655"/>
    <w:rsid w:val="00BF59DD"/>
    <w:rsid w:val="00BF5B89"/>
    <w:rsid w:val="00BF6765"/>
    <w:rsid w:val="00BF6F68"/>
    <w:rsid w:val="00BF7FBC"/>
    <w:rsid w:val="00C01713"/>
    <w:rsid w:val="00C01888"/>
    <w:rsid w:val="00C0300E"/>
    <w:rsid w:val="00C036DF"/>
    <w:rsid w:val="00C03968"/>
    <w:rsid w:val="00C03D7A"/>
    <w:rsid w:val="00C04038"/>
    <w:rsid w:val="00C05889"/>
    <w:rsid w:val="00C05EFC"/>
    <w:rsid w:val="00C06AA8"/>
    <w:rsid w:val="00C06C24"/>
    <w:rsid w:val="00C06D8D"/>
    <w:rsid w:val="00C06F4E"/>
    <w:rsid w:val="00C074ED"/>
    <w:rsid w:val="00C07969"/>
    <w:rsid w:val="00C07BA3"/>
    <w:rsid w:val="00C07EFC"/>
    <w:rsid w:val="00C1063D"/>
    <w:rsid w:val="00C108FF"/>
    <w:rsid w:val="00C11C22"/>
    <w:rsid w:val="00C128D8"/>
    <w:rsid w:val="00C13117"/>
    <w:rsid w:val="00C13B27"/>
    <w:rsid w:val="00C140C5"/>
    <w:rsid w:val="00C14392"/>
    <w:rsid w:val="00C14CDE"/>
    <w:rsid w:val="00C14D9E"/>
    <w:rsid w:val="00C15F8E"/>
    <w:rsid w:val="00C16340"/>
    <w:rsid w:val="00C1755A"/>
    <w:rsid w:val="00C20311"/>
    <w:rsid w:val="00C20858"/>
    <w:rsid w:val="00C210EA"/>
    <w:rsid w:val="00C215F9"/>
    <w:rsid w:val="00C21979"/>
    <w:rsid w:val="00C2235E"/>
    <w:rsid w:val="00C22C1C"/>
    <w:rsid w:val="00C2341D"/>
    <w:rsid w:val="00C236F1"/>
    <w:rsid w:val="00C23EB2"/>
    <w:rsid w:val="00C248E6"/>
    <w:rsid w:val="00C24CB7"/>
    <w:rsid w:val="00C25356"/>
    <w:rsid w:val="00C260AE"/>
    <w:rsid w:val="00C26667"/>
    <w:rsid w:val="00C26FF5"/>
    <w:rsid w:val="00C2785E"/>
    <w:rsid w:val="00C301D9"/>
    <w:rsid w:val="00C3050E"/>
    <w:rsid w:val="00C31E79"/>
    <w:rsid w:val="00C32E42"/>
    <w:rsid w:val="00C33584"/>
    <w:rsid w:val="00C355B4"/>
    <w:rsid w:val="00C358C6"/>
    <w:rsid w:val="00C35C94"/>
    <w:rsid w:val="00C35CCA"/>
    <w:rsid w:val="00C36B79"/>
    <w:rsid w:val="00C3789F"/>
    <w:rsid w:val="00C37E77"/>
    <w:rsid w:val="00C40376"/>
    <w:rsid w:val="00C403FB"/>
    <w:rsid w:val="00C40C20"/>
    <w:rsid w:val="00C41A44"/>
    <w:rsid w:val="00C41D28"/>
    <w:rsid w:val="00C420C0"/>
    <w:rsid w:val="00C421D2"/>
    <w:rsid w:val="00C4266A"/>
    <w:rsid w:val="00C4281E"/>
    <w:rsid w:val="00C42841"/>
    <w:rsid w:val="00C429CB"/>
    <w:rsid w:val="00C43FAA"/>
    <w:rsid w:val="00C4408B"/>
    <w:rsid w:val="00C44120"/>
    <w:rsid w:val="00C445C0"/>
    <w:rsid w:val="00C44882"/>
    <w:rsid w:val="00C451B2"/>
    <w:rsid w:val="00C4553B"/>
    <w:rsid w:val="00C46C7E"/>
    <w:rsid w:val="00C46DAD"/>
    <w:rsid w:val="00C474F7"/>
    <w:rsid w:val="00C5029B"/>
    <w:rsid w:val="00C50FFB"/>
    <w:rsid w:val="00C51383"/>
    <w:rsid w:val="00C5178F"/>
    <w:rsid w:val="00C529C9"/>
    <w:rsid w:val="00C52AA0"/>
    <w:rsid w:val="00C52E69"/>
    <w:rsid w:val="00C53904"/>
    <w:rsid w:val="00C539FA"/>
    <w:rsid w:val="00C53C40"/>
    <w:rsid w:val="00C54A9A"/>
    <w:rsid w:val="00C54E31"/>
    <w:rsid w:val="00C54E4E"/>
    <w:rsid w:val="00C5659C"/>
    <w:rsid w:val="00C579C6"/>
    <w:rsid w:val="00C606C0"/>
    <w:rsid w:val="00C60A58"/>
    <w:rsid w:val="00C611EF"/>
    <w:rsid w:val="00C61389"/>
    <w:rsid w:val="00C63537"/>
    <w:rsid w:val="00C63B97"/>
    <w:rsid w:val="00C63E4C"/>
    <w:rsid w:val="00C64C51"/>
    <w:rsid w:val="00C6585A"/>
    <w:rsid w:val="00C67675"/>
    <w:rsid w:val="00C67716"/>
    <w:rsid w:val="00C70C9A"/>
    <w:rsid w:val="00C70CCA"/>
    <w:rsid w:val="00C7127A"/>
    <w:rsid w:val="00C713D7"/>
    <w:rsid w:val="00C71798"/>
    <w:rsid w:val="00C74D7F"/>
    <w:rsid w:val="00C75515"/>
    <w:rsid w:val="00C76A33"/>
    <w:rsid w:val="00C8023B"/>
    <w:rsid w:val="00C80B95"/>
    <w:rsid w:val="00C80DCC"/>
    <w:rsid w:val="00C8107E"/>
    <w:rsid w:val="00C81676"/>
    <w:rsid w:val="00C818C5"/>
    <w:rsid w:val="00C81AC2"/>
    <w:rsid w:val="00C82037"/>
    <w:rsid w:val="00C8219B"/>
    <w:rsid w:val="00C821FE"/>
    <w:rsid w:val="00C82754"/>
    <w:rsid w:val="00C8292A"/>
    <w:rsid w:val="00C83545"/>
    <w:rsid w:val="00C83D45"/>
    <w:rsid w:val="00C845E6"/>
    <w:rsid w:val="00C847FA"/>
    <w:rsid w:val="00C84D6B"/>
    <w:rsid w:val="00C8577F"/>
    <w:rsid w:val="00C859B3"/>
    <w:rsid w:val="00C85EAF"/>
    <w:rsid w:val="00C878E8"/>
    <w:rsid w:val="00C87A79"/>
    <w:rsid w:val="00C87FB1"/>
    <w:rsid w:val="00C90A72"/>
    <w:rsid w:val="00C91D94"/>
    <w:rsid w:val="00C91E02"/>
    <w:rsid w:val="00C92306"/>
    <w:rsid w:val="00C92639"/>
    <w:rsid w:val="00C94383"/>
    <w:rsid w:val="00C949D9"/>
    <w:rsid w:val="00C95026"/>
    <w:rsid w:val="00C9670A"/>
    <w:rsid w:val="00C969DD"/>
    <w:rsid w:val="00C9707B"/>
    <w:rsid w:val="00C974E8"/>
    <w:rsid w:val="00C97546"/>
    <w:rsid w:val="00CA0AB5"/>
    <w:rsid w:val="00CA0C3E"/>
    <w:rsid w:val="00CA1177"/>
    <w:rsid w:val="00CA131B"/>
    <w:rsid w:val="00CA1540"/>
    <w:rsid w:val="00CA287E"/>
    <w:rsid w:val="00CA2B13"/>
    <w:rsid w:val="00CA3F40"/>
    <w:rsid w:val="00CA44C0"/>
    <w:rsid w:val="00CA44E6"/>
    <w:rsid w:val="00CA4B84"/>
    <w:rsid w:val="00CA5926"/>
    <w:rsid w:val="00CA5AD8"/>
    <w:rsid w:val="00CA5FFD"/>
    <w:rsid w:val="00CA6B80"/>
    <w:rsid w:val="00CA7139"/>
    <w:rsid w:val="00CA73A8"/>
    <w:rsid w:val="00CB084F"/>
    <w:rsid w:val="00CB127A"/>
    <w:rsid w:val="00CB1B38"/>
    <w:rsid w:val="00CB1D4D"/>
    <w:rsid w:val="00CB21C6"/>
    <w:rsid w:val="00CB22AF"/>
    <w:rsid w:val="00CB2894"/>
    <w:rsid w:val="00CB3DAB"/>
    <w:rsid w:val="00CB4B63"/>
    <w:rsid w:val="00CB4C30"/>
    <w:rsid w:val="00CB532E"/>
    <w:rsid w:val="00CB5663"/>
    <w:rsid w:val="00CB58CF"/>
    <w:rsid w:val="00CB61ED"/>
    <w:rsid w:val="00CB6518"/>
    <w:rsid w:val="00CB7FCB"/>
    <w:rsid w:val="00CC00CD"/>
    <w:rsid w:val="00CC0E2F"/>
    <w:rsid w:val="00CC14C5"/>
    <w:rsid w:val="00CC1A35"/>
    <w:rsid w:val="00CC1DFC"/>
    <w:rsid w:val="00CC2C34"/>
    <w:rsid w:val="00CC2D5F"/>
    <w:rsid w:val="00CC4A96"/>
    <w:rsid w:val="00CC5BE0"/>
    <w:rsid w:val="00CC5E3E"/>
    <w:rsid w:val="00CC670C"/>
    <w:rsid w:val="00CC786F"/>
    <w:rsid w:val="00CD080F"/>
    <w:rsid w:val="00CD1434"/>
    <w:rsid w:val="00CD1A2C"/>
    <w:rsid w:val="00CD2200"/>
    <w:rsid w:val="00CD22B2"/>
    <w:rsid w:val="00CD2709"/>
    <w:rsid w:val="00CD2B02"/>
    <w:rsid w:val="00CD39D4"/>
    <w:rsid w:val="00CD47FC"/>
    <w:rsid w:val="00CD4833"/>
    <w:rsid w:val="00CD4CEE"/>
    <w:rsid w:val="00CD4D21"/>
    <w:rsid w:val="00CD542B"/>
    <w:rsid w:val="00CD5688"/>
    <w:rsid w:val="00CD5978"/>
    <w:rsid w:val="00CD5988"/>
    <w:rsid w:val="00CD59EC"/>
    <w:rsid w:val="00CD5AB4"/>
    <w:rsid w:val="00CD5C2C"/>
    <w:rsid w:val="00CD5CFD"/>
    <w:rsid w:val="00CD5F34"/>
    <w:rsid w:val="00CD66AC"/>
    <w:rsid w:val="00CD6EED"/>
    <w:rsid w:val="00CD7A66"/>
    <w:rsid w:val="00CE026A"/>
    <w:rsid w:val="00CE041B"/>
    <w:rsid w:val="00CE170E"/>
    <w:rsid w:val="00CE2F86"/>
    <w:rsid w:val="00CE33FA"/>
    <w:rsid w:val="00CE3652"/>
    <w:rsid w:val="00CE50B8"/>
    <w:rsid w:val="00CE72E3"/>
    <w:rsid w:val="00CE79BA"/>
    <w:rsid w:val="00CE7D43"/>
    <w:rsid w:val="00CF2AA3"/>
    <w:rsid w:val="00CF2CA1"/>
    <w:rsid w:val="00CF2EF6"/>
    <w:rsid w:val="00CF38A3"/>
    <w:rsid w:val="00CF397F"/>
    <w:rsid w:val="00CF404E"/>
    <w:rsid w:val="00CF4690"/>
    <w:rsid w:val="00CF4A4E"/>
    <w:rsid w:val="00CF4DAF"/>
    <w:rsid w:val="00CF532E"/>
    <w:rsid w:val="00CF5675"/>
    <w:rsid w:val="00CF6B14"/>
    <w:rsid w:val="00CF7778"/>
    <w:rsid w:val="00CF7DE3"/>
    <w:rsid w:val="00D004A0"/>
    <w:rsid w:val="00D03273"/>
    <w:rsid w:val="00D04268"/>
    <w:rsid w:val="00D047D3"/>
    <w:rsid w:val="00D0488F"/>
    <w:rsid w:val="00D04F45"/>
    <w:rsid w:val="00D054BD"/>
    <w:rsid w:val="00D05E28"/>
    <w:rsid w:val="00D063D2"/>
    <w:rsid w:val="00D06D43"/>
    <w:rsid w:val="00D07E72"/>
    <w:rsid w:val="00D07F68"/>
    <w:rsid w:val="00D1038E"/>
    <w:rsid w:val="00D111AF"/>
    <w:rsid w:val="00D1185B"/>
    <w:rsid w:val="00D11E53"/>
    <w:rsid w:val="00D11F10"/>
    <w:rsid w:val="00D121E4"/>
    <w:rsid w:val="00D12348"/>
    <w:rsid w:val="00D1440B"/>
    <w:rsid w:val="00D147AB"/>
    <w:rsid w:val="00D14A78"/>
    <w:rsid w:val="00D150E7"/>
    <w:rsid w:val="00D1587C"/>
    <w:rsid w:val="00D15D40"/>
    <w:rsid w:val="00D16345"/>
    <w:rsid w:val="00D164E5"/>
    <w:rsid w:val="00D16E21"/>
    <w:rsid w:val="00D16E36"/>
    <w:rsid w:val="00D16E39"/>
    <w:rsid w:val="00D20355"/>
    <w:rsid w:val="00D20C61"/>
    <w:rsid w:val="00D2159B"/>
    <w:rsid w:val="00D228A3"/>
    <w:rsid w:val="00D23B7C"/>
    <w:rsid w:val="00D24CC2"/>
    <w:rsid w:val="00D24E22"/>
    <w:rsid w:val="00D250D0"/>
    <w:rsid w:val="00D25B15"/>
    <w:rsid w:val="00D2740A"/>
    <w:rsid w:val="00D30416"/>
    <w:rsid w:val="00D31F4A"/>
    <w:rsid w:val="00D32C9D"/>
    <w:rsid w:val="00D3549C"/>
    <w:rsid w:val="00D354B9"/>
    <w:rsid w:val="00D356F9"/>
    <w:rsid w:val="00D35D5C"/>
    <w:rsid w:val="00D361D0"/>
    <w:rsid w:val="00D37454"/>
    <w:rsid w:val="00D376C1"/>
    <w:rsid w:val="00D40159"/>
    <w:rsid w:val="00D40DDB"/>
    <w:rsid w:val="00D429EC"/>
    <w:rsid w:val="00D43978"/>
    <w:rsid w:val="00D44121"/>
    <w:rsid w:val="00D44846"/>
    <w:rsid w:val="00D454B6"/>
    <w:rsid w:val="00D46A77"/>
    <w:rsid w:val="00D478EC"/>
    <w:rsid w:val="00D502F1"/>
    <w:rsid w:val="00D50796"/>
    <w:rsid w:val="00D5088B"/>
    <w:rsid w:val="00D521EA"/>
    <w:rsid w:val="00D52852"/>
    <w:rsid w:val="00D52B1B"/>
    <w:rsid w:val="00D52CF7"/>
    <w:rsid w:val="00D53EA2"/>
    <w:rsid w:val="00D542C3"/>
    <w:rsid w:val="00D544C5"/>
    <w:rsid w:val="00D55CA0"/>
    <w:rsid w:val="00D55E8F"/>
    <w:rsid w:val="00D56AB8"/>
    <w:rsid w:val="00D57255"/>
    <w:rsid w:val="00D577D1"/>
    <w:rsid w:val="00D60192"/>
    <w:rsid w:val="00D60372"/>
    <w:rsid w:val="00D6148F"/>
    <w:rsid w:val="00D626A3"/>
    <w:rsid w:val="00D63081"/>
    <w:rsid w:val="00D63787"/>
    <w:rsid w:val="00D6420F"/>
    <w:rsid w:val="00D64459"/>
    <w:rsid w:val="00D644AA"/>
    <w:rsid w:val="00D64797"/>
    <w:rsid w:val="00D64CCE"/>
    <w:rsid w:val="00D65554"/>
    <w:rsid w:val="00D66450"/>
    <w:rsid w:val="00D70679"/>
    <w:rsid w:val="00D70901"/>
    <w:rsid w:val="00D710DF"/>
    <w:rsid w:val="00D729F6"/>
    <w:rsid w:val="00D72E9D"/>
    <w:rsid w:val="00D73D07"/>
    <w:rsid w:val="00D73D62"/>
    <w:rsid w:val="00D74389"/>
    <w:rsid w:val="00D74E75"/>
    <w:rsid w:val="00D7538F"/>
    <w:rsid w:val="00D7663C"/>
    <w:rsid w:val="00D76689"/>
    <w:rsid w:val="00D7722E"/>
    <w:rsid w:val="00D80E2D"/>
    <w:rsid w:val="00D80EB6"/>
    <w:rsid w:val="00D81B3A"/>
    <w:rsid w:val="00D82056"/>
    <w:rsid w:val="00D82CE5"/>
    <w:rsid w:val="00D83D88"/>
    <w:rsid w:val="00D8437F"/>
    <w:rsid w:val="00D84C74"/>
    <w:rsid w:val="00D84D9D"/>
    <w:rsid w:val="00D84F1E"/>
    <w:rsid w:val="00D854F8"/>
    <w:rsid w:val="00D856F4"/>
    <w:rsid w:val="00D90A4E"/>
    <w:rsid w:val="00D90C79"/>
    <w:rsid w:val="00D9244A"/>
    <w:rsid w:val="00D927D2"/>
    <w:rsid w:val="00D9294F"/>
    <w:rsid w:val="00D92C46"/>
    <w:rsid w:val="00D9457C"/>
    <w:rsid w:val="00D96A62"/>
    <w:rsid w:val="00D96B0B"/>
    <w:rsid w:val="00D9727E"/>
    <w:rsid w:val="00D97A59"/>
    <w:rsid w:val="00DA01E8"/>
    <w:rsid w:val="00DA0AC7"/>
    <w:rsid w:val="00DA0FD1"/>
    <w:rsid w:val="00DA17CF"/>
    <w:rsid w:val="00DA1A20"/>
    <w:rsid w:val="00DA1E8F"/>
    <w:rsid w:val="00DA28E9"/>
    <w:rsid w:val="00DA2FF5"/>
    <w:rsid w:val="00DA3222"/>
    <w:rsid w:val="00DA3452"/>
    <w:rsid w:val="00DA499F"/>
    <w:rsid w:val="00DA4FD9"/>
    <w:rsid w:val="00DA5253"/>
    <w:rsid w:val="00DA5AB1"/>
    <w:rsid w:val="00DA6996"/>
    <w:rsid w:val="00DA6EE1"/>
    <w:rsid w:val="00DA7078"/>
    <w:rsid w:val="00DA72B4"/>
    <w:rsid w:val="00DB12BD"/>
    <w:rsid w:val="00DB236B"/>
    <w:rsid w:val="00DB2BFA"/>
    <w:rsid w:val="00DB2EB1"/>
    <w:rsid w:val="00DB3448"/>
    <w:rsid w:val="00DB3C24"/>
    <w:rsid w:val="00DB44D8"/>
    <w:rsid w:val="00DB49AA"/>
    <w:rsid w:val="00DB5ED4"/>
    <w:rsid w:val="00DB6093"/>
    <w:rsid w:val="00DB61B2"/>
    <w:rsid w:val="00DB6533"/>
    <w:rsid w:val="00DB73EC"/>
    <w:rsid w:val="00DB768D"/>
    <w:rsid w:val="00DB796B"/>
    <w:rsid w:val="00DC0ED5"/>
    <w:rsid w:val="00DC26AB"/>
    <w:rsid w:val="00DC2BC5"/>
    <w:rsid w:val="00DC32BD"/>
    <w:rsid w:val="00DC33DC"/>
    <w:rsid w:val="00DC3D67"/>
    <w:rsid w:val="00DC40BD"/>
    <w:rsid w:val="00DC443C"/>
    <w:rsid w:val="00DC4962"/>
    <w:rsid w:val="00DC578F"/>
    <w:rsid w:val="00DC5D0C"/>
    <w:rsid w:val="00DC62E5"/>
    <w:rsid w:val="00DC6ACC"/>
    <w:rsid w:val="00DC6C76"/>
    <w:rsid w:val="00DC7561"/>
    <w:rsid w:val="00DD160B"/>
    <w:rsid w:val="00DD1C18"/>
    <w:rsid w:val="00DD2116"/>
    <w:rsid w:val="00DD21A2"/>
    <w:rsid w:val="00DD2D30"/>
    <w:rsid w:val="00DD31A9"/>
    <w:rsid w:val="00DD3432"/>
    <w:rsid w:val="00DD5E33"/>
    <w:rsid w:val="00DD6339"/>
    <w:rsid w:val="00DD735D"/>
    <w:rsid w:val="00DD7602"/>
    <w:rsid w:val="00DD7D8D"/>
    <w:rsid w:val="00DE03D6"/>
    <w:rsid w:val="00DE0618"/>
    <w:rsid w:val="00DE0A17"/>
    <w:rsid w:val="00DE0BE3"/>
    <w:rsid w:val="00DE1FEF"/>
    <w:rsid w:val="00DE279B"/>
    <w:rsid w:val="00DE2F27"/>
    <w:rsid w:val="00DE3119"/>
    <w:rsid w:val="00DE3ABA"/>
    <w:rsid w:val="00DE3DE4"/>
    <w:rsid w:val="00DE4CF0"/>
    <w:rsid w:val="00DE4D23"/>
    <w:rsid w:val="00DE5084"/>
    <w:rsid w:val="00DE5723"/>
    <w:rsid w:val="00DE6489"/>
    <w:rsid w:val="00DE683C"/>
    <w:rsid w:val="00DE6B11"/>
    <w:rsid w:val="00DE6E79"/>
    <w:rsid w:val="00DE6FE1"/>
    <w:rsid w:val="00DE70DC"/>
    <w:rsid w:val="00DF0AB4"/>
    <w:rsid w:val="00DF0AE3"/>
    <w:rsid w:val="00DF1287"/>
    <w:rsid w:val="00DF1308"/>
    <w:rsid w:val="00DF16DA"/>
    <w:rsid w:val="00DF1DAA"/>
    <w:rsid w:val="00DF236B"/>
    <w:rsid w:val="00DF29D3"/>
    <w:rsid w:val="00DF3E38"/>
    <w:rsid w:val="00DF5090"/>
    <w:rsid w:val="00DF6ACD"/>
    <w:rsid w:val="00DF78DE"/>
    <w:rsid w:val="00DF79C3"/>
    <w:rsid w:val="00E000C8"/>
    <w:rsid w:val="00E00110"/>
    <w:rsid w:val="00E008F1"/>
    <w:rsid w:val="00E01453"/>
    <w:rsid w:val="00E017C4"/>
    <w:rsid w:val="00E048EE"/>
    <w:rsid w:val="00E04A00"/>
    <w:rsid w:val="00E04C9B"/>
    <w:rsid w:val="00E05539"/>
    <w:rsid w:val="00E056B2"/>
    <w:rsid w:val="00E06F42"/>
    <w:rsid w:val="00E0740A"/>
    <w:rsid w:val="00E07843"/>
    <w:rsid w:val="00E07FE6"/>
    <w:rsid w:val="00E10A6D"/>
    <w:rsid w:val="00E113F7"/>
    <w:rsid w:val="00E116A9"/>
    <w:rsid w:val="00E11FC1"/>
    <w:rsid w:val="00E13AB8"/>
    <w:rsid w:val="00E13FD3"/>
    <w:rsid w:val="00E14299"/>
    <w:rsid w:val="00E144AB"/>
    <w:rsid w:val="00E17C49"/>
    <w:rsid w:val="00E17EE1"/>
    <w:rsid w:val="00E206ED"/>
    <w:rsid w:val="00E21256"/>
    <w:rsid w:val="00E21494"/>
    <w:rsid w:val="00E217A5"/>
    <w:rsid w:val="00E21B32"/>
    <w:rsid w:val="00E22BCE"/>
    <w:rsid w:val="00E238B4"/>
    <w:rsid w:val="00E2399D"/>
    <w:rsid w:val="00E23B36"/>
    <w:rsid w:val="00E240CB"/>
    <w:rsid w:val="00E240E7"/>
    <w:rsid w:val="00E24EBF"/>
    <w:rsid w:val="00E25161"/>
    <w:rsid w:val="00E251D4"/>
    <w:rsid w:val="00E2553E"/>
    <w:rsid w:val="00E2799E"/>
    <w:rsid w:val="00E3090F"/>
    <w:rsid w:val="00E327A8"/>
    <w:rsid w:val="00E329F7"/>
    <w:rsid w:val="00E335CF"/>
    <w:rsid w:val="00E33B62"/>
    <w:rsid w:val="00E33CB5"/>
    <w:rsid w:val="00E3568A"/>
    <w:rsid w:val="00E36BAD"/>
    <w:rsid w:val="00E36E37"/>
    <w:rsid w:val="00E36FBA"/>
    <w:rsid w:val="00E37D12"/>
    <w:rsid w:val="00E37E82"/>
    <w:rsid w:val="00E40158"/>
    <w:rsid w:val="00E41A26"/>
    <w:rsid w:val="00E425E7"/>
    <w:rsid w:val="00E42CEA"/>
    <w:rsid w:val="00E42F9D"/>
    <w:rsid w:val="00E432B4"/>
    <w:rsid w:val="00E43828"/>
    <w:rsid w:val="00E43A2C"/>
    <w:rsid w:val="00E43A34"/>
    <w:rsid w:val="00E449E0"/>
    <w:rsid w:val="00E44D4E"/>
    <w:rsid w:val="00E45104"/>
    <w:rsid w:val="00E453B7"/>
    <w:rsid w:val="00E45D1C"/>
    <w:rsid w:val="00E46467"/>
    <w:rsid w:val="00E467FE"/>
    <w:rsid w:val="00E4777A"/>
    <w:rsid w:val="00E50019"/>
    <w:rsid w:val="00E52D01"/>
    <w:rsid w:val="00E54AE8"/>
    <w:rsid w:val="00E5557F"/>
    <w:rsid w:val="00E5588F"/>
    <w:rsid w:val="00E60196"/>
    <w:rsid w:val="00E60756"/>
    <w:rsid w:val="00E618EA"/>
    <w:rsid w:val="00E61E09"/>
    <w:rsid w:val="00E62ACD"/>
    <w:rsid w:val="00E62C5F"/>
    <w:rsid w:val="00E63108"/>
    <w:rsid w:val="00E6402F"/>
    <w:rsid w:val="00E6457F"/>
    <w:rsid w:val="00E64B60"/>
    <w:rsid w:val="00E66E98"/>
    <w:rsid w:val="00E6724C"/>
    <w:rsid w:val="00E67E83"/>
    <w:rsid w:val="00E7057D"/>
    <w:rsid w:val="00E70C56"/>
    <w:rsid w:val="00E71AEB"/>
    <w:rsid w:val="00E72E97"/>
    <w:rsid w:val="00E737A7"/>
    <w:rsid w:val="00E7503A"/>
    <w:rsid w:val="00E7556E"/>
    <w:rsid w:val="00E768B7"/>
    <w:rsid w:val="00E76D76"/>
    <w:rsid w:val="00E76F51"/>
    <w:rsid w:val="00E76F61"/>
    <w:rsid w:val="00E7700C"/>
    <w:rsid w:val="00E776ED"/>
    <w:rsid w:val="00E77D22"/>
    <w:rsid w:val="00E80C3F"/>
    <w:rsid w:val="00E8112D"/>
    <w:rsid w:val="00E81AFD"/>
    <w:rsid w:val="00E832F8"/>
    <w:rsid w:val="00E8330E"/>
    <w:rsid w:val="00E83789"/>
    <w:rsid w:val="00E854A0"/>
    <w:rsid w:val="00E86E90"/>
    <w:rsid w:val="00E87315"/>
    <w:rsid w:val="00E90810"/>
    <w:rsid w:val="00E91203"/>
    <w:rsid w:val="00E91477"/>
    <w:rsid w:val="00E91585"/>
    <w:rsid w:val="00E915AC"/>
    <w:rsid w:val="00E9178F"/>
    <w:rsid w:val="00E917AE"/>
    <w:rsid w:val="00E91DA5"/>
    <w:rsid w:val="00E92488"/>
    <w:rsid w:val="00E9442D"/>
    <w:rsid w:val="00E94DA3"/>
    <w:rsid w:val="00E970AD"/>
    <w:rsid w:val="00E97548"/>
    <w:rsid w:val="00E9754A"/>
    <w:rsid w:val="00E9760B"/>
    <w:rsid w:val="00E97CC7"/>
    <w:rsid w:val="00E97E46"/>
    <w:rsid w:val="00EA04EF"/>
    <w:rsid w:val="00EA1131"/>
    <w:rsid w:val="00EA3483"/>
    <w:rsid w:val="00EA38C4"/>
    <w:rsid w:val="00EA6BEE"/>
    <w:rsid w:val="00EA704D"/>
    <w:rsid w:val="00EA79EB"/>
    <w:rsid w:val="00EB0DF1"/>
    <w:rsid w:val="00EB372E"/>
    <w:rsid w:val="00EB3AB3"/>
    <w:rsid w:val="00EB5145"/>
    <w:rsid w:val="00EB7836"/>
    <w:rsid w:val="00EB7E20"/>
    <w:rsid w:val="00EC08B0"/>
    <w:rsid w:val="00EC2A8B"/>
    <w:rsid w:val="00EC3B81"/>
    <w:rsid w:val="00EC443D"/>
    <w:rsid w:val="00EC4988"/>
    <w:rsid w:val="00EC4A47"/>
    <w:rsid w:val="00EC58BE"/>
    <w:rsid w:val="00EC5A9E"/>
    <w:rsid w:val="00EC5E1B"/>
    <w:rsid w:val="00EC5F41"/>
    <w:rsid w:val="00EC60CB"/>
    <w:rsid w:val="00EC7091"/>
    <w:rsid w:val="00EC7470"/>
    <w:rsid w:val="00EC7A53"/>
    <w:rsid w:val="00EC7B4C"/>
    <w:rsid w:val="00ED009B"/>
    <w:rsid w:val="00ED0667"/>
    <w:rsid w:val="00ED0F19"/>
    <w:rsid w:val="00ED2EB1"/>
    <w:rsid w:val="00ED2EFF"/>
    <w:rsid w:val="00ED3700"/>
    <w:rsid w:val="00ED3AC7"/>
    <w:rsid w:val="00ED3BF4"/>
    <w:rsid w:val="00ED4234"/>
    <w:rsid w:val="00ED42A5"/>
    <w:rsid w:val="00ED76E2"/>
    <w:rsid w:val="00ED7F90"/>
    <w:rsid w:val="00EE094E"/>
    <w:rsid w:val="00EE1CCD"/>
    <w:rsid w:val="00EE4DB7"/>
    <w:rsid w:val="00EE5189"/>
    <w:rsid w:val="00EE6E21"/>
    <w:rsid w:val="00EE7272"/>
    <w:rsid w:val="00EE776B"/>
    <w:rsid w:val="00EE7C4F"/>
    <w:rsid w:val="00EF15DA"/>
    <w:rsid w:val="00EF16DD"/>
    <w:rsid w:val="00EF2FB0"/>
    <w:rsid w:val="00EF3555"/>
    <w:rsid w:val="00EF3915"/>
    <w:rsid w:val="00EF51E8"/>
    <w:rsid w:val="00EF6403"/>
    <w:rsid w:val="00EF66A8"/>
    <w:rsid w:val="00EF66D5"/>
    <w:rsid w:val="00EF66D6"/>
    <w:rsid w:val="00EF7EB1"/>
    <w:rsid w:val="00F01322"/>
    <w:rsid w:val="00F02183"/>
    <w:rsid w:val="00F038E5"/>
    <w:rsid w:val="00F03B2B"/>
    <w:rsid w:val="00F04511"/>
    <w:rsid w:val="00F04CC2"/>
    <w:rsid w:val="00F058FE"/>
    <w:rsid w:val="00F05D63"/>
    <w:rsid w:val="00F05F75"/>
    <w:rsid w:val="00F06B15"/>
    <w:rsid w:val="00F06C4D"/>
    <w:rsid w:val="00F06C51"/>
    <w:rsid w:val="00F0755F"/>
    <w:rsid w:val="00F07DD0"/>
    <w:rsid w:val="00F109B1"/>
    <w:rsid w:val="00F10F67"/>
    <w:rsid w:val="00F1157D"/>
    <w:rsid w:val="00F11CF5"/>
    <w:rsid w:val="00F11EDA"/>
    <w:rsid w:val="00F121A8"/>
    <w:rsid w:val="00F1301C"/>
    <w:rsid w:val="00F134D2"/>
    <w:rsid w:val="00F13DF7"/>
    <w:rsid w:val="00F13E07"/>
    <w:rsid w:val="00F145B8"/>
    <w:rsid w:val="00F155B7"/>
    <w:rsid w:val="00F15A44"/>
    <w:rsid w:val="00F160B9"/>
    <w:rsid w:val="00F16C53"/>
    <w:rsid w:val="00F17613"/>
    <w:rsid w:val="00F176B9"/>
    <w:rsid w:val="00F20348"/>
    <w:rsid w:val="00F20F65"/>
    <w:rsid w:val="00F23A10"/>
    <w:rsid w:val="00F24361"/>
    <w:rsid w:val="00F246FE"/>
    <w:rsid w:val="00F26EF6"/>
    <w:rsid w:val="00F277D0"/>
    <w:rsid w:val="00F27A52"/>
    <w:rsid w:val="00F30A5C"/>
    <w:rsid w:val="00F3240B"/>
    <w:rsid w:val="00F34720"/>
    <w:rsid w:val="00F354B5"/>
    <w:rsid w:val="00F355D3"/>
    <w:rsid w:val="00F368C1"/>
    <w:rsid w:val="00F36B58"/>
    <w:rsid w:val="00F36E11"/>
    <w:rsid w:val="00F37460"/>
    <w:rsid w:val="00F379A3"/>
    <w:rsid w:val="00F37C6E"/>
    <w:rsid w:val="00F404F8"/>
    <w:rsid w:val="00F41D25"/>
    <w:rsid w:val="00F421CA"/>
    <w:rsid w:val="00F42730"/>
    <w:rsid w:val="00F43565"/>
    <w:rsid w:val="00F449FE"/>
    <w:rsid w:val="00F44CA3"/>
    <w:rsid w:val="00F452B6"/>
    <w:rsid w:val="00F45AD2"/>
    <w:rsid w:val="00F46903"/>
    <w:rsid w:val="00F46AAC"/>
    <w:rsid w:val="00F47B8F"/>
    <w:rsid w:val="00F50393"/>
    <w:rsid w:val="00F5072C"/>
    <w:rsid w:val="00F50F9E"/>
    <w:rsid w:val="00F517D0"/>
    <w:rsid w:val="00F52D4A"/>
    <w:rsid w:val="00F53D1B"/>
    <w:rsid w:val="00F555DB"/>
    <w:rsid w:val="00F55AA3"/>
    <w:rsid w:val="00F562BD"/>
    <w:rsid w:val="00F56B73"/>
    <w:rsid w:val="00F57B5D"/>
    <w:rsid w:val="00F60049"/>
    <w:rsid w:val="00F608B9"/>
    <w:rsid w:val="00F60DB7"/>
    <w:rsid w:val="00F60E91"/>
    <w:rsid w:val="00F61159"/>
    <w:rsid w:val="00F6156F"/>
    <w:rsid w:val="00F62302"/>
    <w:rsid w:val="00F62DA6"/>
    <w:rsid w:val="00F62E77"/>
    <w:rsid w:val="00F63738"/>
    <w:rsid w:val="00F701A7"/>
    <w:rsid w:val="00F71570"/>
    <w:rsid w:val="00F7173E"/>
    <w:rsid w:val="00F71883"/>
    <w:rsid w:val="00F726FC"/>
    <w:rsid w:val="00F72899"/>
    <w:rsid w:val="00F728C3"/>
    <w:rsid w:val="00F72BAE"/>
    <w:rsid w:val="00F7558E"/>
    <w:rsid w:val="00F76205"/>
    <w:rsid w:val="00F801B3"/>
    <w:rsid w:val="00F803F1"/>
    <w:rsid w:val="00F809EF"/>
    <w:rsid w:val="00F81111"/>
    <w:rsid w:val="00F8177B"/>
    <w:rsid w:val="00F81B47"/>
    <w:rsid w:val="00F83810"/>
    <w:rsid w:val="00F83B75"/>
    <w:rsid w:val="00F8417C"/>
    <w:rsid w:val="00F845A1"/>
    <w:rsid w:val="00F84899"/>
    <w:rsid w:val="00F8492C"/>
    <w:rsid w:val="00F85499"/>
    <w:rsid w:val="00F859F0"/>
    <w:rsid w:val="00F86883"/>
    <w:rsid w:val="00F8789E"/>
    <w:rsid w:val="00F91CA6"/>
    <w:rsid w:val="00F92E29"/>
    <w:rsid w:val="00F93448"/>
    <w:rsid w:val="00F94AEF"/>
    <w:rsid w:val="00FA06A3"/>
    <w:rsid w:val="00FA0AD1"/>
    <w:rsid w:val="00FA0E3E"/>
    <w:rsid w:val="00FA273C"/>
    <w:rsid w:val="00FA2ACB"/>
    <w:rsid w:val="00FA310C"/>
    <w:rsid w:val="00FA3B5A"/>
    <w:rsid w:val="00FA40C0"/>
    <w:rsid w:val="00FA4A30"/>
    <w:rsid w:val="00FA4B7C"/>
    <w:rsid w:val="00FA4CDC"/>
    <w:rsid w:val="00FA540E"/>
    <w:rsid w:val="00FA6587"/>
    <w:rsid w:val="00FA6DE2"/>
    <w:rsid w:val="00FA723D"/>
    <w:rsid w:val="00FB0175"/>
    <w:rsid w:val="00FB0D40"/>
    <w:rsid w:val="00FB301D"/>
    <w:rsid w:val="00FB42FF"/>
    <w:rsid w:val="00FB47F3"/>
    <w:rsid w:val="00FB516F"/>
    <w:rsid w:val="00FB5564"/>
    <w:rsid w:val="00FB58AF"/>
    <w:rsid w:val="00FB5BF9"/>
    <w:rsid w:val="00FC0B6A"/>
    <w:rsid w:val="00FC0F82"/>
    <w:rsid w:val="00FC2CD1"/>
    <w:rsid w:val="00FC3D45"/>
    <w:rsid w:val="00FC4647"/>
    <w:rsid w:val="00FC6EB3"/>
    <w:rsid w:val="00FC711A"/>
    <w:rsid w:val="00FC7299"/>
    <w:rsid w:val="00FC7C2E"/>
    <w:rsid w:val="00FC7F10"/>
    <w:rsid w:val="00FD019A"/>
    <w:rsid w:val="00FD140C"/>
    <w:rsid w:val="00FD2533"/>
    <w:rsid w:val="00FD3213"/>
    <w:rsid w:val="00FD3A2E"/>
    <w:rsid w:val="00FD4AFF"/>
    <w:rsid w:val="00FD50F2"/>
    <w:rsid w:val="00FD674C"/>
    <w:rsid w:val="00FD7A75"/>
    <w:rsid w:val="00FD7C2D"/>
    <w:rsid w:val="00FD7C89"/>
    <w:rsid w:val="00FE0395"/>
    <w:rsid w:val="00FE0DC4"/>
    <w:rsid w:val="00FE0E9C"/>
    <w:rsid w:val="00FE0EBA"/>
    <w:rsid w:val="00FE125A"/>
    <w:rsid w:val="00FE141E"/>
    <w:rsid w:val="00FE1AF1"/>
    <w:rsid w:val="00FE24F4"/>
    <w:rsid w:val="00FE2A33"/>
    <w:rsid w:val="00FE46AA"/>
    <w:rsid w:val="00FE5ECC"/>
    <w:rsid w:val="00FE65B4"/>
    <w:rsid w:val="00FE674D"/>
    <w:rsid w:val="00FF10B9"/>
    <w:rsid w:val="00FF2832"/>
    <w:rsid w:val="00FF3657"/>
    <w:rsid w:val="00FF417D"/>
    <w:rsid w:val="00FF49BD"/>
    <w:rsid w:val="00FF4A64"/>
    <w:rsid w:val="00FF521D"/>
    <w:rsid w:val="00FF5C43"/>
    <w:rsid w:val="00FF5EBA"/>
    <w:rsid w:val="00FF60FB"/>
    <w:rsid w:val="00FF66DD"/>
    <w:rsid w:val="00FF6C03"/>
    <w:rsid w:val="00FF6F65"/>
    <w:rsid w:val="00FF7737"/>
    <w:rsid w:val="00FF773A"/>
    <w:rsid w:val="00FF7E87"/>
    <w:rsid w:val="03C30222"/>
    <w:rsid w:val="127BF070"/>
    <w:rsid w:val="1756A024"/>
    <w:rsid w:val="33DBE69E"/>
    <w:rsid w:val="374C1BEF"/>
    <w:rsid w:val="4AD19253"/>
    <w:rsid w:val="73FCB41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A38B7638-A09F-430D-BC5A-CEE74186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4EC"/>
    <w:rPr>
      <w:sz w:val="24"/>
      <w:lang w:val="es-MX"/>
    </w:rPr>
  </w:style>
  <w:style w:type="paragraph" w:styleId="Ttulo1">
    <w:name w:val="heading 1"/>
    <w:basedOn w:val="Normal"/>
    <w:next w:val="Normal"/>
    <w:link w:val="Ttulo1Car"/>
    <w:qFormat/>
    <w:rsid w:val="00050E2C"/>
    <w:pPr>
      <w:keepNext/>
      <w:numPr>
        <w:numId w:val="17"/>
      </w:numPr>
      <w:spacing w:before="240" w:after="60" w:line="240" w:lineRule="auto"/>
      <w:jc w:val="left"/>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050E2C"/>
    <w:pPr>
      <w:keepNext/>
      <w:numPr>
        <w:ilvl w:val="1"/>
        <w:numId w:val="17"/>
      </w:numPr>
      <w:spacing w:before="240" w:after="60" w:line="240" w:lineRule="auto"/>
      <w:jc w:val="left"/>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050E2C"/>
    <w:pPr>
      <w:keepNext/>
      <w:numPr>
        <w:ilvl w:val="2"/>
        <w:numId w:val="17"/>
      </w:numPr>
      <w:spacing w:before="240" w:after="60" w:line="240" w:lineRule="auto"/>
      <w:jc w:val="left"/>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qFormat/>
    <w:rsid w:val="00050E2C"/>
    <w:pPr>
      <w:keepNext/>
      <w:numPr>
        <w:ilvl w:val="3"/>
        <w:numId w:val="17"/>
      </w:numPr>
      <w:spacing w:before="240" w:after="60" w:line="240" w:lineRule="auto"/>
      <w:jc w:val="left"/>
      <w:outlineLvl w:val="3"/>
    </w:pPr>
    <w:rPr>
      <w:rFonts w:ascii="Times New Roman" w:eastAsia="Times New Roman" w:hAnsi="Times New Roman" w:cs="Times New Roman"/>
      <w:b/>
      <w:bCs/>
      <w:sz w:val="28"/>
      <w:szCs w:val="28"/>
      <w:lang w:val="es-ES" w:eastAsia="es-ES"/>
    </w:rPr>
  </w:style>
  <w:style w:type="paragraph" w:styleId="Ttulo5">
    <w:name w:val="heading 5"/>
    <w:basedOn w:val="Normal"/>
    <w:next w:val="Normal"/>
    <w:link w:val="Ttulo5Car"/>
    <w:qFormat/>
    <w:rsid w:val="00050E2C"/>
    <w:pPr>
      <w:numPr>
        <w:ilvl w:val="4"/>
        <w:numId w:val="17"/>
      </w:numPr>
      <w:spacing w:before="240" w:after="60" w:line="240" w:lineRule="auto"/>
      <w:jc w:val="left"/>
      <w:outlineLvl w:val="4"/>
    </w:pPr>
    <w:rPr>
      <w:rFonts w:ascii="Times New Roman" w:eastAsia="Times New Roman" w:hAnsi="Times New Roman" w:cs="Times New Roman"/>
      <w:b/>
      <w:bCs/>
      <w:i/>
      <w:iCs/>
      <w:sz w:val="26"/>
      <w:szCs w:val="26"/>
      <w:lang w:val="es-ES" w:eastAsia="es-ES"/>
    </w:rPr>
  </w:style>
  <w:style w:type="paragraph" w:styleId="Ttulo6">
    <w:name w:val="heading 6"/>
    <w:basedOn w:val="Normal"/>
    <w:next w:val="Normal"/>
    <w:link w:val="Ttulo6Car"/>
    <w:qFormat/>
    <w:rsid w:val="00050E2C"/>
    <w:pPr>
      <w:numPr>
        <w:ilvl w:val="5"/>
        <w:numId w:val="17"/>
      </w:numPr>
      <w:spacing w:before="240" w:after="60" w:line="240" w:lineRule="auto"/>
      <w:jc w:val="left"/>
      <w:outlineLvl w:val="5"/>
    </w:pPr>
    <w:rPr>
      <w:rFonts w:ascii="Times New Roman" w:eastAsia="Times New Roman" w:hAnsi="Times New Roman" w:cs="Times New Roman"/>
      <w:b/>
      <w:bCs/>
      <w:sz w:val="22"/>
      <w:lang w:val="es-ES" w:eastAsia="es-ES"/>
    </w:rPr>
  </w:style>
  <w:style w:type="paragraph" w:styleId="Ttulo7">
    <w:name w:val="heading 7"/>
    <w:basedOn w:val="Normal"/>
    <w:next w:val="Normal"/>
    <w:link w:val="Ttulo7Car"/>
    <w:qFormat/>
    <w:rsid w:val="00050E2C"/>
    <w:pPr>
      <w:numPr>
        <w:ilvl w:val="6"/>
        <w:numId w:val="17"/>
      </w:numPr>
      <w:spacing w:before="240" w:after="60" w:line="240" w:lineRule="auto"/>
      <w:jc w:val="left"/>
      <w:outlineLvl w:val="6"/>
    </w:pPr>
    <w:rPr>
      <w:rFonts w:ascii="Times New Roman" w:eastAsia="Times New Roman" w:hAnsi="Times New Roman" w:cs="Times New Roman"/>
      <w:szCs w:val="24"/>
      <w:lang w:val="es-ES" w:eastAsia="es-ES"/>
    </w:rPr>
  </w:style>
  <w:style w:type="paragraph" w:styleId="Ttulo8">
    <w:name w:val="heading 8"/>
    <w:basedOn w:val="Normal"/>
    <w:next w:val="Normal"/>
    <w:link w:val="Ttulo8Car"/>
    <w:qFormat/>
    <w:rsid w:val="00050E2C"/>
    <w:pPr>
      <w:numPr>
        <w:ilvl w:val="7"/>
        <w:numId w:val="17"/>
      </w:numPr>
      <w:spacing w:before="240" w:after="60" w:line="240" w:lineRule="auto"/>
      <w:jc w:val="left"/>
      <w:outlineLvl w:val="7"/>
    </w:pPr>
    <w:rPr>
      <w:rFonts w:ascii="Times New Roman" w:eastAsia="Times New Roman" w:hAnsi="Times New Roman" w:cs="Times New Roman"/>
      <w:i/>
      <w:iCs/>
      <w:szCs w:val="24"/>
      <w:lang w:val="es-ES" w:eastAsia="es-ES"/>
    </w:rPr>
  </w:style>
  <w:style w:type="paragraph" w:styleId="Ttulo9">
    <w:name w:val="heading 9"/>
    <w:basedOn w:val="Normal"/>
    <w:next w:val="Normal"/>
    <w:link w:val="Ttulo9Car"/>
    <w:qFormat/>
    <w:rsid w:val="00050E2C"/>
    <w:pPr>
      <w:numPr>
        <w:ilvl w:val="8"/>
        <w:numId w:val="17"/>
      </w:numPr>
      <w:spacing w:before="240" w:after="60" w:line="240" w:lineRule="auto"/>
      <w:jc w:val="left"/>
      <w:outlineLvl w:val="8"/>
    </w:pPr>
    <w:rPr>
      <w:rFonts w:ascii="Arial" w:eastAsia="Times New Roman" w:hAnsi="Arial" w:cs="Arial"/>
      <w:sz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uiPriority w:val="99"/>
    <w:qFormat/>
    <w:rsid w:val="007B0854"/>
    <w:pPr>
      <w:keepNext/>
      <w:spacing w:before="120"/>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B0854"/>
    <w:rPr>
      <w:vertAlign w:val="superscript"/>
    </w:rPr>
  </w:style>
  <w:style w:type="paragraph" w:customStyle="1" w:styleId="pa22">
    <w:name w:val="pa22"/>
    <w:basedOn w:val="Normal"/>
    <w:rsid w:val="00887B15"/>
    <w:pPr>
      <w:spacing w:before="100" w:beforeAutospacing="1" w:after="100" w:afterAutospacing="1"/>
    </w:pPr>
    <w:rPr>
      <w:rFonts w:ascii="Times New Roman" w:eastAsia="Times New Roman" w:hAnsi="Times New Roman" w:cs="Times New Roman"/>
      <w:szCs w:val="24"/>
      <w:lang w:val="es-ES" w:eastAsia="es-ES"/>
    </w:rPr>
  </w:style>
  <w:style w:type="character" w:styleId="Textoennegrita">
    <w:name w:val="Strong"/>
    <w:basedOn w:val="Fuentedeprrafopredeter"/>
    <w:uiPriority w:val="22"/>
    <w:qFormat/>
    <w:rsid w:val="00AF1ED8"/>
    <w:rPr>
      <w:b/>
      <w:bCs/>
    </w:rPr>
  </w:style>
  <w:style w:type="character" w:styleId="nfasis">
    <w:name w:val="Emphasis"/>
    <w:basedOn w:val="Fuentedeprrafopredeter"/>
    <w:uiPriority w:val="20"/>
    <w:qFormat/>
    <w:rsid w:val="00AF1ED8"/>
    <w:rPr>
      <w:i/>
      <w:iCs/>
    </w:rPr>
  </w:style>
  <w:style w:type="character" w:customStyle="1" w:styleId="Mencinsinresolver1">
    <w:name w:val="Mención sin resolver1"/>
    <w:basedOn w:val="Fuentedeprrafopredeter"/>
    <w:uiPriority w:val="99"/>
    <w:semiHidden/>
    <w:unhideWhenUsed/>
    <w:rsid w:val="00620E47"/>
    <w:rPr>
      <w:color w:val="605E5C"/>
      <w:shd w:val="clear" w:color="auto" w:fill="E1DFDD"/>
    </w:rPr>
  </w:style>
  <w:style w:type="paragraph" w:customStyle="1" w:styleId="Capitulo3">
    <w:name w:val="Capitulo 3"/>
    <w:basedOn w:val="Normal"/>
    <w:qFormat/>
    <w:rsid w:val="00DF6ACD"/>
    <w:pPr>
      <w:keepNext/>
      <w:numPr>
        <w:numId w:val="9"/>
      </w:numPr>
      <w:spacing w:before="120"/>
      <w:outlineLvl w:val="1"/>
    </w:pPr>
    <w:rPr>
      <w:rFonts w:ascii="Arial" w:eastAsia="Times New Roman" w:hAnsi="Arial" w:cs="Arial"/>
      <w:b/>
      <w:color w:val="000000"/>
      <w:sz w:val="20"/>
      <w:szCs w:val="20"/>
      <w:lang w:val="es-CO" w:eastAsia="es-CO"/>
    </w:rPr>
  </w:style>
  <w:style w:type="paragraph" w:customStyle="1" w:styleId="InviasNormal">
    <w:name w:val="Invias Normal"/>
    <w:basedOn w:val="Normal"/>
    <w:link w:val="InviasNormalCar"/>
    <w:qFormat/>
    <w:rsid w:val="001A27D7"/>
    <w:pPr>
      <w:tabs>
        <w:tab w:val="left" w:pos="-142"/>
      </w:tabs>
      <w:autoSpaceDE w:val="0"/>
      <w:autoSpaceDN w:val="0"/>
      <w:adjustRightInd w:val="0"/>
      <w:spacing w:before="120" w:after="240"/>
    </w:pPr>
    <w:rPr>
      <w:rFonts w:ascii="Arial Narrow" w:eastAsia="Times New Roman" w:hAnsi="Arial Narrow" w:cs="Times New Roman"/>
      <w:color w:val="3C3C3C" w:themeColor="background2" w:themeShade="40"/>
      <w:szCs w:val="24"/>
      <w:lang w:val="x-none" w:eastAsia="es-ES"/>
    </w:rPr>
  </w:style>
  <w:style w:type="character" w:customStyle="1" w:styleId="InviasNormalCar">
    <w:name w:val="Invias Normal Car"/>
    <w:link w:val="InviasNormal"/>
    <w:locked/>
    <w:rsid w:val="001A27D7"/>
    <w:rPr>
      <w:rFonts w:ascii="Arial Narrow" w:eastAsia="Times New Roman" w:hAnsi="Arial Narrow" w:cs="Times New Roman"/>
      <w:color w:val="3C3C3C" w:themeColor="background2" w:themeShade="40"/>
      <w:sz w:val="24"/>
      <w:szCs w:val="24"/>
      <w:lang w:val="x-none" w:eastAsia="es-ES"/>
    </w:rPr>
  </w:style>
  <w:style w:type="paragraph" w:customStyle="1" w:styleId="Entidad-Capitulo">
    <w:name w:val="Entidad-Capitulo"/>
    <w:next w:val="Normal"/>
    <w:autoRedefine/>
    <w:uiPriority w:val="99"/>
    <w:qFormat/>
    <w:rsid w:val="001A27D7"/>
    <w:pPr>
      <w:keepNext/>
      <w:spacing w:before="240" w:after="0" w:line="240" w:lineRule="auto"/>
      <w:jc w:val="center"/>
      <w:outlineLvl w:val="0"/>
    </w:pPr>
    <w:rPr>
      <w:rFonts w:ascii="Arial" w:eastAsia="Times New Roman" w:hAnsi="Arial" w:cs="Arial"/>
      <w:b/>
      <w:smallCaps/>
      <w:sz w:val="20"/>
      <w:szCs w:val="20"/>
      <w:lang w:eastAsia="es-ES"/>
    </w:rPr>
  </w:style>
  <w:style w:type="paragraph" w:styleId="Revisin">
    <w:name w:val="Revision"/>
    <w:hidden/>
    <w:uiPriority w:val="99"/>
    <w:semiHidden/>
    <w:rsid w:val="009409CA"/>
    <w:pPr>
      <w:spacing w:after="0" w:line="240" w:lineRule="auto"/>
    </w:pPr>
    <w:rPr>
      <w:sz w:val="24"/>
      <w:lang w:val="es-MX"/>
    </w:rPr>
  </w:style>
  <w:style w:type="paragraph" w:customStyle="1" w:styleId="Appelnotedebasde">
    <w:name w:val="Appel note de bas de..."/>
    <w:basedOn w:val="Normal"/>
    <w:link w:val="Refdenotaalpie"/>
    <w:uiPriority w:val="99"/>
    <w:rsid w:val="00904CD9"/>
    <w:pPr>
      <w:spacing w:after="160" w:line="240" w:lineRule="exact"/>
    </w:pPr>
    <w:rPr>
      <w:sz w:val="22"/>
      <w:vertAlign w:val="superscript"/>
      <w:lang w:val="es-CO"/>
    </w:rPr>
  </w:style>
  <w:style w:type="character" w:customStyle="1" w:styleId="NormalWebCar">
    <w:name w:val="Normal (Web) Car"/>
    <w:link w:val="NormalWeb"/>
    <w:uiPriority w:val="99"/>
    <w:locked/>
    <w:rsid w:val="00904CD9"/>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F0755F"/>
  </w:style>
  <w:style w:type="paragraph" w:styleId="Textoindependiente">
    <w:name w:val="Body Text"/>
    <w:basedOn w:val="Normal"/>
    <w:link w:val="TextoindependienteCar"/>
    <w:uiPriority w:val="1"/>
    <w:qFormat/>
    <w:rsid w:val="008E0A7E"/>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8E0A7E"/>
    <w:rPr>
      <w:rFonts w:ascii="Arial" w:eastAsia="Arial" w:hAnsi="Arial" w:cs="Arial"/>
      <w:lang w:val="es-ES" w:eastAsia="es-ES" w:bidi="es-ES"/>
    </w:rPr>
  </w:style>
  <w:style w:type="paragraph" w:styleId="Textonotaalfinal">
    <w:name w:val="endnote text"/>
    <w:basedOn w:val="Normal"/>
    <w:link w:val="TextonotaalfinalCar"/>
    <w:uiPriority w:val="99"/>
    <w:semiHidden/>
    <w:unhideWhenUsed/>
    <w:rsid w:val="00A8268C"/>
    <w:rPr>
      <w:sz w:val="20"/>
      <w:szCs w:val="20"/>
    </w:rPr>
  </w:style>
  <w:style w:type="character" w:customStyle="1" w:styleId="TextonotaalfinalCar">
    <w:name w:val="Texto nota al final Car"/>
    <w:basedOn w:val="Fuentedeprrafopredeter"/>
    <w:link w:val="Textonotaalfinal"/>
    <w:uiPriority w:val="99"/>
    <w:semiHidden/>
    <w:rsid w:val="00A8268C"/>
    <w:rPr>
      <w:sz w:val="20"/>
      <w:szCs w:val="20"/>
      <w:lang w:val="es-MX"/>
    </w:rPr>
  </w:style>
  <w:style w:type="character" w:styleId="Refdenotaalfinal">
    <w:name w:val="endnote reference"/>
    <w:basedOn w:val="Fuentedeprrafopredeter"/>
    <w:uiPriority w:val="99"/>
    <w:semiHidden/>
    <w:unhideWhenUsed/>
    <w:rsid w:val="00A8268C"/>
    <w:rPr>
      <w:vertAlign w:val="superscript"/>
    </w:rPr>
  </w:style>
  <w:style w:type="table" w:customStyle="1" w:styleId="Tablaconcuadrcula1">
    <w:name w:val="Tabla con cuadrícula1"/>
    <w:basedOn w:val="Tablanormal"/>
    <w:next w:val="Tablaconcuadrcula"/>
    <w:uiPriority w:val="39"/>
    <w:rsid w:val="00FE0395"/>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22085C"/>
  </w:style>
  <w:style w:type="table" w:customStyle="1" w:styleId="Tablaconcuadrcula2">
    <w:name w:val="Tabla con cuadrícula2"/>
    <w:basedOn w:val="Tablanormal"/>
    <w:next w:val="Tablaconcuadrcula"/>
    <w:uiPriority w:val="39"/>
    <w:rsid w:val="000C00B6"/>
    <w:pPr>
      <w:spacing w:before="12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050E2C"/>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050E2C"/>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050E2C"/>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050E2C"/>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050E2C"/>
    <w:rPr>
      <w:rFonts w:ascii="Times New Roman" w:eastAsia="Times New Roman" w:hAnsi="Times New Roman" w:cs="Times New Roman"/>
      <w:b/>
      <w:bCs/>
      <w:i/>
      <w:iCs/>
      <w:sz w:val="26"/>
      <w:szCs w:val="26"/>
      <w:lang w:val="es-ES" w:eastAsia="es-ES"/>
    </w:rPr>
  </w:style>
  <w:style w:type="character" w:customStyle="1" w:styleId="Ttulo6Car">
    <w:name w:val="Título 6 Car"/>
    <w:basedOn w:val="Fuentedeprrafopredeter"/>
    <w:link w:val="Ttulo6"/>
    <w:rsid w:val="00050E2C"/>
    <w:rPr>
      <w:rFonts w:ascii="Times New Roman" w:eastAsia="Times New Roman" w:hAnsi="Times New Roman" w:cs="Times New Roman"/>
      <w:b/>
      <w:bCs/>
      <w:lang w:val="es-ES" w:eastAsia="es-ES"/>
    </w:rPr>
  </w:style>
  <w:style w:type="character" w:customStyle="1" w:styleId="Ttulo7Car">
    <w:name w:val="Título 7 Car"/>
    <w:basedOn w:val="Fuentedeprrafopredeter"/>
    <w:link w:val="Ttulo7"/>
    <w:rsid w:val="00050E2C"/>
    <w:rPr>
      <w:rFonts w:ascii="Times New Roman" w:eastAsia="Times New Roman" w:hAnsi="Times New Roman" w:cs="Times New Roman"/>
      <w:sz w:val="24"/>
      <w:szCs w:val="24"/>
      <w:lang w:val="es-ES" w:eastAsia="es-ES"/>
    </w:rPr>
  </w:style>
  <w:style w:type="character" w:customStyle="1" w:styleId="Ttulo8Car">
    <w:name w:val="Título 8 Car"/>
    <w:basedOn w:val="Fuentedeprrafopredeter"/>
    <w:link w:val="Ttulo8"/>
    <w:rsid w:val="00050E2C"/>
    <w:rPr>
      <w:rFonts w:ascii="Times New Roman" w:eastAsia="Times New Roman" w:hAnsi="Times New Roman" w:cs="Times New Roman"/>
      <w:i/>
      <w:iCs/>
      <w:sz w:val="24"/>
      <w:szCs w:val="24"/>
      <w:lang w:val="es-ES" w:eastAsia="es-ES"/>
    </w:rPr>
  </w:style>
  <w:style w:type="character" w:customStyle="1" w:styleId="Ttulo9Car">
    <w:name w:val="Título 9 Car"/>
    <w:basedOn w:val="Fuentedeprrafopredeter"/>
    <w:link w:val="Ttulo9"/>
    <w:rsid w:val="00050E2C"/>
    <w:rPr>
      <w:rFonts w:ascii="Arial" w:eastAsia="Times New Roman" w:hAnsi="Arial" w:cs="Arial"/>
      <w:lang w:val="es-ES" w:eastAsia="es-ES"/>
    </w:rPr>
  </w:style>
  <w:style w:type="table" w:customStyle="1" w:styleId="Tablaconcuadrcula3">
    <w:name w:val="Tabla con cuadrícula3"/>
    <w:basedOn w:val="Tablanormal"/>
    <w:next w:val="Tablaconcuadrcula"/>
    <w:uiPriority w:val="39"/>
    <w:rsid w:val="000751BB"/>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qFormat/>
    <w:rsid w:val="001F59AB"/>
    <w:pPr>
      <w:overflowPunct w:val="0"/>
      <w:autoSpaceDE w:val="0"/>
      <w:autoSpaceDN w:val="0"/>
      <w:adjustRightInd w:val="0"/>
      <w:spacing w:after="0" w:line="240" w:lineRule="auto"/>
      <w:jc w:val="right"/>
      <w:textAlignment w:val="baseline"/>
    </w:pPr>
    <w:rPr>
      <w:rFonts w:ascii="Verdana" w:eastAsia="Times New Roman" w:hAnsi="Verdana" w:cs="Times New Roman"/>
      <w:b/>
      <w:sz w:val="28"/>
      <w:szCs w:val="20"/>
      <w:lang w:val="es-ES_tradnl" w:eastAsia="es-ES"/>
    </w:rPr>
  </w:style>
  <w:style w:type="paragraph" w:customStyle="1" w:styleId="Default">
    <w:name w:val="Default"/>
    <w:rsid w:val="001F59AB"/>
    <w:pPr>
      <w:autoSpaceDE w:val="0"/>
      <w:autoSpaceDN w:val="0"/>
      <w:adjustRightInd w:val="0"/>
      <w:spacing w:after="0" w:line="240" w:lineRule="auto"/>
      <w:jc w:val="left"/>
    </w:pPr>
    <w:rPr>
      <w:rFonts w:ascii="Arial" w:hAnsi="Arial" w:cs="Arial"/>
      <w:color w:val="000000"/>
      <w:sz w:val="24"/>
      <w:szCs w:val="24"/>
      <w:lang w:val="es-ES"/>
    </w:rPr>
  </w:style>
  <w:style w:type="paragraph" w:customStyle="1" w:styleId="CM203">
    <w:name w:val="CM203"/>
    <w:basedOn w:val="Normal"/>
    <w:next w:val="Normal"/>
    <w:uiPriority w:val="99"/>
    <w:rsid w:val="001F59AB"/>
    <w:pPr>
      <w:widowControl w:val="0"/>
      <w:autoSpaceDE w:val="0"/>
      <w:autoSpaceDN w:val="0"/>
      <w:adjustRightInd w:val="0"/>
      <w:spacing w:after="0" w:line="240" w:lineRule="auto"/>
      <w:jc w:val="left"/>
    </w:pPr>
    <w:rPr>
      <w:rFonts w:ascii="Times New Roman" w:eastAsia="Times New Roman" w:hAnsi="Times New Roman" w:cs="Times New Roman"/>
      <w:szCs w:val="24"/>
      <w:lang w:val="es-ES" w:eastAsia="es-ES"/>
    </w:rPr>
  </w:style>
  <w:style w:type="paragraph" w:styleId="Textoindependiente2">
    <w:name w:val="Body Text 2"/>
    <w:basedOn w:val="Normal"/>
    <w:link w:val="Textoindependiente2Car"/>
    <w:uiPriority w:val="99"/>
    <w:semiHidden/>
    <w:unhideWhenUsed/>
    <w:rsid w:val="00C1755A"/>
    <w:pPr>
      <w:spacing w:after="120" w:line="480" w:lineRule="auto"/>
    </w:pPr>
  </w:style>
  <w:style w:type="character" w:customStyle="1" w:styleId="Textoindependiente2Car">
    <w:name w:val="Texto independiente 2 Car"/>
    <w:basedOn w:val="Fuentedeprrafopredeter"/>
    <w:link w:val="Textoindependiente2"/>
    <w:uiPriority w:val="99"/>
    <w:semiHidden/>
    <w:rsid w:val="00C1755A"/>
    <w:rPr>
      <w:sz w:val="24"/>
      <w:lang w:val="es-MX"/>
    </w:rPr>
  </w:style>
  <w:style w:type="character" w:customStyle="1" w:styleId="apple-converted-space">
    <w:name w:val="apple-converted-space"/>
    <w:basedOn w:val="Fuentedeprrafopredeter"/>
    <w:rsid w:val="00877FC5"/>
  </w:style>
  <w:style w:type="character" w:styleId="Mencinsinresolver">
    <w:name w:val="Unresolved Mention"/>
    <w:basedOn w:val="Fuentedeprrafopredeter"/>
    <w:uiPriority w:val="99"/>
    <w:semiHidden/>
    <w:unhideWhenUsed/>
    <w:rsid w:val="00946C75"/>
    <w:rPr>
      <w:color w:val="605E5C"/>
      <w:shd w:val="clear" w:color="auto" w:fill="E1DFDD"/>
    </w:rPr>
  </w:style>
  <w:style w:type="paragraph" w:customStyle="1" w:styleId="Normal11pt">
    <w:name w:val="Normal + 11 pt"/>
    <w:aliases w:val="Negro,Justificado,Izquierda:  -0,95 cm,Derecha:  0,04 cm"/>
    <w:basedOn w:val="Normal"/>
    <w:uiPriority w:val="99"/>
    <w:rsid w:val="00E70C56"/>
    <w:pPr>
      <w:spacing w:after="0" w:line="240" w:lineRule="auto"/>
      <w:ind w:left="-540"/>
    </w:pPr>
    <w:rPr>
      <w:rFonts w:ascii="Arial" w:eastAsia="Times New Roman" w:hAnsi="Arial" w:cs="Arial"/>
      <w:color w:val="000000"/>
      <w:sz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76068">
      <w:bodyDiv w:val="1"/>
      <w:marLeft w:val="0"/>
      <w:marRight w:val="0"/>
      <w:marTop w:val="0"/>
      <w:marBottom w:val="0"/>
      <w:divBdr>
        <w:top w:val="none" w:sz="0" w:space="0" w:color="auto"/>
        <w:left w:val="none" w:sz="0" w:space="0" w:color="auto"/>
        <w:bottom w:val="none" w:sz="0" w:space="0" w:color="auto"/>
        <w:right w:val="none" w:sz="0" w:space="0" w:color="auto"/>
      </w:divBdr>
    </w:div>
    <w:div w:id="3809418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65686981">
      <w:bodyDiv w:val="1"/>
      <w:marLeft w:val="0"/>
      <w:marRight w:val="0"/>
      <w:marTop w:val="0"/>
      <w:marBottom w:val="0"/>
      <w:divBdr>
        <w:top w:val="none" w:sz="0" w:space="0" w:color="auto"/>
        <w:left w:val="none" w:sz="0" w:space="0" w:color="auto"/>
        <w:bottom w:val="none" w:sz="0" w:space="0" w:color="auto"/>
        <w:right w:val="none" w:sz="0" w:space="0" w:color="auto"/>
      </w:divBdr>
      <w:divsChild>
        <w:div w:id="1403675036">
          <w:marLeft w:val="0"/>
          <w:marRight w:val="0"/>
          <w:marTop w:val="0"/>
          <w:marBottom w:val="0"/>
          <w:divBdr>
            <w:top w:val="none" w:sz="0" w:space="0" w:color="auto"/>
            <w:left w:val="none" w:sz="0" w:space="0" w:color="auto"/>
            <w:bottom w:val="none" w:sz="0" w:space="0" w:color="auto"/>
            <w:right w:val="none" w:sz="0" w:space="0" w:color="auto"/>
          </w:divBdr>
        </w:div>
        <w:div w:id="1127549938">
          <w:marLeft w:val="0"/>
          <w:marRight w:val="0"/>
          <w:marTop w:val="0"/>
          <w:marBottom w:val="0"/>
          <w:divBdr>
            <w:top w:val="none" w:sz="0" w:space="0" w:color="auto"/>
            <w:left w:val="none" w:sz="0" w:space="0" w:color="auto"/>
            <w:bottom w:val="none" w:sz="0" w:space="0" w:color="auto"/>
            <w:right w:val="none" w:sz="0" w:space="0" w:color="auto"/>
          </w:divBdr>
        </w:div>
      </w:divsChild>
    </w:div>
    <w:div w:id="70544669">
      <w:bodyDiv w:val="1"/>
      <w:marLeft w:val="0"/>
      <w:marRight w:val="0"/>
      <w:marTop w:val="0"/>
      <w:marBottom w:val="0"/>
      <w:divBdr>
        <w:top w:val="none" w:sz="0" w:space="0" w:color="auto"/>
        <w:left w:val="none" w:sz="0" w:space="0" w:color="auto"/>
        <w:bottom w:val="none" w:sz="0" w:space="0" w:color="auto"/>
        <w:right w:val="none" w:sz="0" w:space="0" w:color="auto"/>
      </w:divBdr>
      <w:divsChild>
        <w:div w:id="1513495133">
          <w:marLeft w:val="0"/>
          <w:marRight w:val="0"/>
          <w:marTop w:val="0"/>
          <w:marBottom w:val="0"/>
          <w:divBdr>
            <w:top w:val="none" w:sz="0" w:space="0" w:color="auto"/>
            <w:left w:val="none" w:sz="0" w:space="0" w:color="auto"/>
            <w:bottom w:val="none" w:sz="0" w:space="0" w:color="auto"/>
            <w:right w:val="none" w:sz="0" w:space="0" w:color="auto"/>
          </w:divBdr>
          <w:divsChild>
            <w:div w:id="734858809">
              <w:marLeft w:val="0"/>
              <w:marRight w:val="0"/>
              <w:marTop w:val="0"/>
              <w:marBottom w:val="0"/>
              <w:divBdr>
                <w:top w:val="none" w:sz="0" w:space="0" w:color="auto"/>
                <w:left w:val="none" w:sz="0" w:space="0" w:color="auto"/>
                <w:bottom w:val="none" w:sz="0" w:space="0" w:color="auto"/>
                <w:right w:val="none" w:sz="0" w:space="0" w:color="auto"/>
              </w:divBdr>
              <w:divsChild>
                <w:div w:id="1385987392">
                  <w:marLeft w:val="0"/>
                  <w:marRight w:val="0"/>
                  <w:marTop w:val="0"/>
                  <w:marBottom w:val="0"/>
                  <w:divBdr>
                    <w:top w:val="none" w:sz="0" w:space="0" w:color="auto"/>
                    <w:left w:val="none" w:sz="0" w:space="0" w:color="auto"/>
                    <w:bottom w:val="none" w:sz="0" w:space="0" w:color="auto"/>
                    <w:right w:val="none" w:sz="0" w:space="0" w:color="auto"/>
                  </w:divBdr>
                </w:div>
              </w:divsChild>
            </w:div>
            <w:div w:id="414395898">
              <w:marLeft w:val="0"/>
              <w:marRight w:val="0"/>
              <w:marTop w:val="0"/>
              <w:marBottom w:val="0"/>
              <w:divBdr>
                <w:top w:val="none" w:sz="0" w:space="0" w:color="auto"/>
                <w:left w:val="none" w:sz="0" w:space="0" w:color="auto"/>
                <w:bottom w:val="none" w:sz="0" w:space="0" w:color="auto"/>
                <w:right w:val="none" w:sz="0" w:space="0" w:color="auto"/>
              </w:divBdr>
              <w:divsChild>
                <w:div w:id="8498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75642">
      <w:bodyDiv w:val="1"/>
      <w:marLeft w:val="0"/>
      <w:marRight w:val="0"/>
      <w:marTop w:val="0"/>
      <w:marBottom w:val="0"/>
      <w:divBdr>
        <w:top w:val="none" w:sz="0" w:space="0" w:color="auto"/>
        <w:left w:val="none" w:sz="0" w:space="0" w:color="auto"/>
        <w:bottom w:val="none" w:sz="0" w:space="0" w:color="auto"/>
        <w:right w:val="none" w:sz="0" w:space="0" w:color="auto"/>
      </w:divBdr>
      <w:divsChild>
        <w:div w:id="2089033513">
          <w:marLeft w:val="0"/>
          <w:marRight w:val="0"/>
          <w:marTop w:val="0"/>
          <w:marBottom w:val="0"/>
          <w:divBdr>
            <w:top w:val="none" w:sz="0" w:space="0" w:color="auto"/>
            <w:left w:val="none" w:sz="0" w:space="0" w:color="auto"/>
            <w:bottom w:val="none" w:sz="0" w:space="0" w:color="auto"/>
            <w:right w:val="none" w:sz="0" w:space="0" w:color="auto"/>
          </w:divBdr>
          <w:divsChild>
            <w:div w:id="563024260">
              <w:marLeft w:val="0"/>
              <w:marRight w:val="0"/>
              <w:marTop w:val="0"/>
              <w:marBottom w:val="0"/>
              <w:divBdr>
                <w:top w:val="none" w:sz="0" w:space="0" w:color="auto"/>
                <w:left w:val="none" w:sz="0" w:space="0" w:color="auto"/>
                <w:bottom w:val="none" w:sz="0" w:space="0" w:color="auto"/>
                <w:right w:val="none" w:sz="0" w:space="0" w:color="auto"/>
              </w:divBdr>
              <w:divsChild>
                <w:div w:id="1068923680">
                  <w:marLeft w:val="0"/>
                  <w:marRight w:val="0"/>
                  <w:marTop w:val="0"/>
                  <w:marBottom w:val="0"/>
                  <w:divBdr>
                    <w:top w:val="none" w:sz="0" w:space="0" w:color="auto"/>
                    <w:left w:val="none" w:sz="0" w:space="0" w:color="auto"/>
                    <w:bottom w:val="none" w:sz="0" w:space="0" w:color="auto"/>
                    <w:right w:val="none" w:sz="0" w:space="0" w:color="auto"/>
                  </w:divBdr>
                  <w:divsChild>
                    <w:div w:id="75034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0035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528690911">
      <w:bodyDiv w:val="1"/>
      <w:marLeft w:val="0"/>
      <w:marRight w:val="0"/>
      <w:marTop w:val="0"/>
      <w:marBottom w:val="0"/>
      <w:divBdr>
        <w:top w:val="none" w:sz="0" w:space="0" w:color="auto"/>
        <w:left w:val="none" w:sz="0" w:space="0" w:color="auto"/>
        <w:bottom w:val="none" w:sz="0" w:space="0" w:color="auto"/>
        <w:right w:val="none" w:sz="0" w:space="0" w:color="auto"/>
      </w:divBdr>
    </w:div>
    <w:div w:id="538052457">
      <w:bodyDiv w:val="1"/>
      <w:marLeft w:val="0"/>
      <w:marRight w:val="0"/>
      <w:marTop w:val="0"/>
      <w:marBottom w:val="0"/>
      <w:divBdr>
        <w:top w:val="none" w:sz="0" w:space="0" w:color="auto"/>
        <w:left w:val="none" w:sz="0" w:space="0" w:color="auto"/>
        <w:bottom w:val="none" w:sz="0" w:space="0" w:color="auto"/>
        <w:right w:val="none" w:sz="0" w:space="0" w:color="auto"/>
      </w:divBdr>
      <w:divsChild>
        <w:div w:id="293679258">
          <w:marLeft w:val="0"/>
          <w:marRight w:val="0"/>
          <w:marTop w:val="0"/>
          <w:marBottom w:val="0"/>
          <w:divBdr>
            <w:top w:val="none" w:sz="0" w:space="0" w:color="auto"/>
            <w:left w:val="none" w:sz="0" w:space="0" w:color="auto"/>
            <w:bottom w:val="none" w:sz="0" w:space="0" w:color="auto"/>
            <w:right w:val="none" w:sz="0" w:space="0" w:color="auto"/>
          </w:divBdr>
          <w:divsChild>
            <w:div w:id="1751930579">
              <w:marLeft w:val="0"/>
              <w:marRight w:val="0"/>
              <w:marTop w:val="0"/>
              <w:marBottom w:val="0"/>
              <w:divBdr>
                <w:top w:val="none" w:sz="0" w:space="0" w:color="auto"/>
                <w:left w:val="none" w:sz="0" w:space="0" w:color="auto"/>
                <w:bottom w:val="none" w:sz="0" w:space="0" w:color="auto"/>
                <w:right w:val="none" w:sz="0" w:space="0" w:color="auto"/>
              </w:divBdr>
              <w:divsChild>
                <w:div w:id="1477531553">
                  <w:marLeft w:val="0"/>
                  <w:marRight w:val="0"/>
                  <w:marTop w:val="0"/>
                  <w:marBottom w:val="0"/>
                  <w:divBdr>
                    <w:top w:val="none" w:sz="0" w:space="0" w:color="auto"/>
                    <w:left w:val="none" w:sz="0" w:space="0" w:color="auto"/>
                    <w:bottom w:val="none" w:sz="0" w:space="0" w:color="auto"/>
                    <w:right w:val="none" w:sz="0" w:space="0" w:color="auto"/>
                  </w:divBdr>
                  <w:divsChild>
                    <w:div w:id="6693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623194">
      <w:bodyDiv w:val="1"/>
      <w:marLeft w:val="0"/>
      <w:marRight w:val="0"/>
      <w:marTop w:val="0"/>
      <w:marBottom w:val="0"/>
      <w:divBdr>
        <w:top w:val="none" w:sz="0" w:space="0" w:color="auto"/>
        <w:left w:val="none" w:sz="0" w:space="0" w:color="auto"/>
        <w:bottom w:val="none" w:sz="0" w:space="0" w:color="auto"/>
        <w:right w:val="none" w:sz="0" w:space="0" w:color="auto"/>
      </w:divBdr>
      <w:divsChild>
        <w:div w:id="597257731">
          <w:marLeft w:val="0"/>
          <w:marRight w:val="0"/>
          <w:marTop w:val="0"/>
          <w:marBottom w:val="0"/>
          <w:divBdr>
            <w:top w:val="none" w:sz="0" w:space="0" w:color="auto"/>
            <w:left w:val="none" w:sz="0" w:space="0" w:color="auto"/>
            <w:bottom w:val="none" w:sz="0" w:space="0" w:color="auto"/>
            <w:right w:val="none" w:sz="0" w:space="0" w:color="auto"/>
          </w:divBdr>
          <w:divsChild>
            <w:div w:id="1566644036">
              <w:marLeft w:val="0"/>
              <w:marRight w:val="0"/>
              <w:marTop w:val="0"/>
              <w:marBottom w:val="0"/>
              <w:divBdr>
                <w:top w:val="none" w:sz="0" w:space="0" w:color="auto"/>
                <w:left w:val="none" w:sz="0" w:space="0" w:color="auto"/>
                <w:bottom w:val="none" w:sz="0" w:space="0" w:color="auto"/>
                <w:right w:val="none" w:sz="0" w:space="0" w:color="auto"/>
              </w:divBdr>
              <w:divsChild>
                <w:div w:id="20895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506">
      <w:bodyDiv w:val="1"/>
      <w:marLeft w:val="0"/>
      <w:marRight w:val="0"/>
      <w:marTop w:val="0"/>
      <w:marBottom w:val="0"/>
      <w:divBdr>
        <w:top w:val="none" w:sz="0" w:space="0" w:color="auto"/>
        <w:left w:val="none" w:sz="0" w:space="0" w:color="auto"/>
        <w:bottom w:val="none" w:sz="0" w:space="0" w:color="auto"/>
        <w:right w:val="none" w:sz="0" w:space="0" w:color="auto"/>
      </w:divBdr>
    </w:div>
    <w:div w:id="657923463">
      <w:bodyDiv w:val="1"/>
      <w:marLeft w:val="0"/>
      <w:marRight w:val="0"/>
      <w:marTop w:val="0"/>
      <w:marBottom w:val="0"/>
      <w:divBdr>
        <w:top w:val="none" w:sz="0" w:space="0" w:color="auto"/>
        <w:left w:val="none" w:sz="0" w:space="0" w:color="auto"/>
        <w:bottom w:val="none" w:sz="0" w:space="0" w:color="auto"/>
        <w:right w:val="none" w:sz="0" w:space="0" w:color="auto"/>
      </w:divBdr>
    </w:div>
    <w:div w:id="685834933">
      <w:bodyDiv w:val="1"/>
      <w:marLeft w:val="0"/>
      <w:marRight w:val="0"/>
      <w:marTop w:val="0"/>
      <w:marBottom w:val="0"/>
      <w:divBdr>
        <w:top w:val="none" w:sz="0" w:space="0" w:color="auto"/>
        <w:left w:val="none" w:sz="0" w:space="0" w:color="auto"/>
        <w:bottom w:val="none" w:sz="0" w:space="0" w:color="auto"/>
        <w:right w:val="none" w:sz="0" w:space="0" w:color="auto"/>
      </w:divBdr>
      <w:divsChild>
        <w:div w:id="1827236719">
          <w:marLeft w:val="0"/>
          <w:marRight w:val="0"/>
          <w:marTop w:val="0"/>
          <w:marBottom w:val="0"/>
          <w:divBdr>
            <w:top w:val="none" w:sz="0" w:space="0" w:color="auto"/>
            <w:left w:val="none" w:sz="0" w:space="0" w:color="auto"/>
            <w:bottom w:val="none" w:sz="0" w:space="0" w:color="auto"/>
            <w:right w:val="none" w:sz="0" w:space="0" w:color="auto"/>
          </w:divBdr>
          <w:divsChild>
            <w:div w:id="1528986041">
              <w:marLeft w:val="0"/>
              <w:marRight w:val="0"/>
              <w:marTop w:val="0"/>
              <w:marBottom w:val="0"/>
              <w:divBdr>
                <w:top w:val="none" w:sz="0" w:space="0" w:color="auto"/>
                <w:left w:val="none" w:sz="0" w:space="0" w:color="auto"/>
                <w:bottom w:val="none" w:sz="0" w:space="0" w:color="auto"/>
                <w:right w:val="none" w:sz="0" w:space="0" w:color="auto"/>
              </w:divBdr>
              <w:divsChild>
                <w:div w:id="22557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141978">
      <w:bodyDiv w:val="1"/>
      <w:marLeft w:val="0"/>
      <w:marRight w:val="0"/>
      <w:marTop w:val="0"/>
      <w:marBottom w:val="0"/>
      <w:divBdr>
        <w:top w:val="none" w:sz="0" w:space="0" w:color="auto"/>
        <w:left w:val="none" w:sz="0" w:space="0" w:color="auto"/>
        <w:bottom w:val="none" w:sz="0" w:space="0" w:color="auto"/>
        <w:right w:val="none" w:sz="0" w:space="0" w:color="auto"/>
      </w:divBdr>
    </w:div>
    <w:div w:id="742486387">
      <w:bodyDiv w:val="1"/>
      <w:marLeft w:val="0"/>
      <w:marRight w:val="0"/>
      <w:marTop w:val="0"/>
      <w:marBottom w:val="0"/>
      <w:divBdr>
        <w:top w:val="none" w:sz="0" w:space="0" w:color="auto"/>
        <w:left w:val="none" w:sz="0" w:space="0" w:color="auto"/>
        <w:bottom w:val="none" w:sz="0" w:space="0" w:color="auto"/>
        <w:right w:val="none" w:sz="0" w:space="0" w:color="auto"/>
      </w:divBdr>
    </w:div>
    <w:div w:id="773549469">
      <w:bodyDiv w:val="1"/>
      <w:marLeft w:val="0"/>
      <w:marRight w:val="0"/>
      <w:marTop w:val="0"/>
      <w:marBottom w:val="0"/>
      <w:divBdr>
        <w:top w:val="none" w:sz="0" w:space="0" w:color="auto"/>
        <w:left w:val="none" w:sz="0" w:space="0" w:color="auto"/>
        <w:bottom w:val="none" w:sz="0" w:space="0" w:color="auto"/>
        <w:right w:val="none" w:sz="0" w:space="0" w:color="auto"/>
      </w:divBdr>
      <w:divsChild>
        <w:div w:id="1693219852">
          <w:marLeft w:val="0"/>
          <w:marRight w:val="0"/>
          <w:marTop w:val="0"/>
          <w:marBottom w:val="0"/>
          <w:divBdr>
            <w:top w:val="none" w:sz="0" w:space="0" w:color="auto"/>
            <w:left w:val="none" w:sz="0" w:space="0" w:color="auto"/>
            <w:bottom w:val="none" w:sz="0" w:space="0" w:color="auto"/>
            <w:right w:val="none" w:sz="0" w:space="0" w:color="auto"/>
          </w:divBdr>
          <w:divsChild>
            <w:div w:id="2023359027">
              <w:marLeft w:val="0"/>
              <w:marRight w:val="0"/>
              <w:marTop w:val="0"/>
              <w:marBottom w:val="0"/>
              <w:divBdr>
                <w:top w:val="none" w:sz="0" w:space="0" w:color="auto"/>
                <w:left w:val="none" w:sz="0" w:space="0" w:color="auto"/>
                <w:bottom w:val="none" w:sz="0" w:space="0" w:color="auto"/>
                <w:right w:val="none" w:sz="0" w:space="0" w:color="auto"/>
              </w:divBdr>
            </w:div>
          </w:divsChild>
        </w:div>
        <w:div w:id="1795442581">
          <w:marLeft w:val="0"/>
          <w:marRight w:val="0"/>
          <w:marTop w:val="0"/>
          <w:marBottom w:val="0"/>
          <w:divBdr>
            <w:top w:val="none" w:sz="0" w:space="0" w:color="auto"/>
            <w:left w:val="none" w:sz="0" w:space="0" w:color="auto"/>
            <w:bottom w:val="none" w:sz="0" w:space="0" w:color="auto"/>
            <w:right w:val="none" w:sz="0" w:space="0" w:color="auto"/>
          </w:divBdr>
          <w:divsChild>
            <w:div w:id="1425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831276">
      <w:bodyDiv w:val="1"/>
      <w:marLeft w:val="0"/>
      <w:marRight w:val="0"/>
      <w:marTop w:val="0"/>
      <w:marBottom w:val="0"/>
      <w:divBdr>
        <w:top w:val="none" w:sz="0" w:space="0" w:color="auto"/>
        <w:left w:val="none" w:sz="0" w:space="0" w:color="auto"/>
        <w:bottom w:val="none" w:sz="0" w:space="0" w:color="auto"/>
        <w:right w:val="none" w:sz="0" w:space="0" w:color="auto"/>
      </w:divBdr>
    </w:div>
    <w:div w:id="893934457">
      <w:bodyDiv w:val="1"/>
      <w:marLeft w:val="0"/>
      <w:marRight w:val="0"/>
      <w:marTop w:val="0"/>
      <w:marBottom w:val="0"/>
      <w:divBdr>
        <w:top w:val="none" w:sz="0" w:space="0" w:color="auto"/>
        <w:left w:val="none" w:sz="0" w:space="0" w:color="auto"/>
        <w:bottom w:val="none" w:sz="0" w:space="0" w:color="auto"/>
        <w:right w:val="none" w:sz="0" w:space="0" w:color="auto"/>
      </w:divBdr>
    </w:div>
    <w:div w:id="910164740">
      <w:bodyDiv w:val="1"/>
      <w:marLeft w:val="0"/>
      <w:marRight w:val="0"/>
      <w:marTop w:val="0"/>
      <w:marBottom w:val="0"/>
      <w:divBdr>
        <w:top w:val="none" w:sz="0" w:space="0" w:color="auto"/>
        <w:left w:val="none" w:sz="0" w:space="0" w:color="auto"/>
        <w:bottom w:val="none" w:sz="0" w:space="0" w:color="auto"/>
        <w:right w:val="none" w:sz="0" w:space="0" w:color="auto"/>
      </w:divBdr>
    </w:div>
    <w:div w:id="953173263">
      <w:bodyDiv w:val="1"/>
      <w:marLeft w:val="0"/>
      <w:marRight w:val="0"/>
      <w:marTop w:val="0"/>
      <w:marBottom w:val="0"/>
      <w:divBdr>
        <w:top w:val="none" w:sz="0" w:space="0" w:color="auto"/>
        <w:left w:val="none" w:sz="0" w:space="0" w:color="auto"/>
        <w:bottom w:val="none" w:sz="0" w:space="0" w:color="auto"/>
        <w:right w:val="none" w:sz="0" w:space="0" w:color="auto"/>
      </w:divBdr>
    </w:div>
    <w:div w:id="974724308">
      <w:bodyDiv w:val="1"/>
      <w:marLeft w:val="0"/>
      <w:marRight w:val="0"/>
      <w:marTop w:val="0"/>
      <w:marBottom w:val="0"/>
      <w:divBdr>
        <w:top w:val="none" w:sz="0" w:space="0" w:color="auto"/>
        <w:left w:val="none" w:sz="0" w:space="0" w:color="auto"/>
        <w:bottom w:val="none" w:sz="0" w:space="0" w:color="auto"/>
        <w:right w:val="none" w:sz="0" w:space="0" w:color="auto"/>
      </w:divBdr>
    </w:div>
    <w:div w:id="1004672872">
      <w:bodyDiv w:val="1"/>
      <w:marLeft w:val="0"/>
      <w:marRight w:val="0"/>
      <w:marTop w:val="0"/>
      <w:marBottom w:val="0"/>
      <w:divBdr>
        <w:top w:val="none" w:sz="0" w:space="0" w:color="auto"/>
        <w:left w:val="none" w:sz="0" w:space="0" w:color="auto"/>
        <w:bottom w:val="none" w:sz="0" w:space="0" w:color="auto"/>
        <w:right w:val="none" w:sz="0" w:space="0" w:color="auto"/>
      </w:divBdr>
    </w:div>
    <w:div w:id="1008944424">
      <w:bodyDiv w:val="1"/>
      <w:marLeft w:val="0"/>
      <w:marRight w:val="0"/>
      <w:marTop w:val="0"/>
      <w:marBottom w:val="0"/>
      <w:divBdr>
        <w:top w:val="none" w:sz="0" w:space="0" w:color="auto"/>
        <w:left w:val="none" w:sz="0" w:space="0" w:color="auto"/>
        <w:bottom w:val="none" w:sz="0" w:space="0" w:color="auto"/>
        <w:right w:val="none" w:sz="0" w:space="0" w:color="auto"/>
      </w:divBdr>
    </w:div>
    <w:div w:id="1014107879">
      <w:bodyDiv w:val="1"/>
      <w:marLeft w:val="0"/>
      <w:marRight w:val="0"/>
      <w:marTop w:val="0"/>
      <w:marBottom w:val="0"/>
      <w:divBdr>
        <w:top w:val="none" w:sz="0" w:space="0" w:color="auto"/>
        <w:left w:val="none" w:sz="0" w:space="0" w:color="auto"/>
        <w:bottom w:val="none" w:sz="0" w:space="0" w:color="auto"/>
        <w:right w:val="none" w:sz="0" w:space="0" w:color="auto"/>
      </w:divBdr>
    </w:div>
    <w:div w:id="1161699058">
      <w:bodyDiv w:val="1"/>
      <w:marLeft w:val="0"/>
      <w:marRight w:val="0"/>
      <w:marTop w:val="0"/>
      <w:marBottom w:val="0"/>
      <w:divBdr>
        <w:top w:val="none" w:sz="0" w:space="0" w:color="auto"/>
        <w:left w:val="none" w:sz="0" w:space="0" w:color="auto"/>
        <w:bottom w:val="none" w:sz="0" w:space="0" w:color="auto"/>
        <w:right w:val="none" w:sz="0" w:space="0" w:color="auto"/>
      </w:divBdr>
    </w:div>
    <w:div w:id="1193224216">
      <w:bodyDiv w:val="1"/>
      <w:marLeft w:val="0"/>
      <w:marRight w:val="0"/>
      <w:marTop w:val="0"/>
      <w:marBottom w:val="0"/>
      <w:divBdr>
        <w:top w:val="none" w:sz="0" w:space="0" w:color="auto"/>
        <w:left w:val="none" w:sz="0" w:space="0" w:color="auto"/>
        <w:bottom w:val="none" w:sz="0" w:space="0" w:color="auto"/>
        <w:right w:val="none" w:sz="0" w:space="0" w:color="auto"/>
      </w:divBdr>
    </w:div>
    <w:div w:id="1213887254">
      <w:bodyDiv w:val="1"/>
      <w:marLeft w:val="0"/>
      <w:marRight w:val="0"/>
      <w:marTop w:val="0"/>
      <w:marBottom w:val="0"/>
      <w:divBdr>
        <w:top w:val="none" w:sz="0" w:space="0" w:color="auto"/>
        <w:left w:val="none" w:sz="0" w:space="0" w:color="auto"/>
        <w:bottom w:val="none" w:sz="0" w:space="0" w:color="auto"/>
        <w:right w:val="none" w:sz="0" w:space="0" w:color="auto"/>
      </w:divBdr>
    </w:div>
    <w:div w:id="1264339739">
      <w:bodyDiv w:val="1"/>
      <w:marLeft w:val="0"/>
      <w:marRight w:val="0"/>
      <w:marTop w:val="0"/>
      <w:marBottom w:val="0"/>
      <w:divBdr>
        <w:top w:val="none" w:sz="0" w:space="0" w:color="auto"/>
        <w:left w:val="none" w:sz="0" w:space="0" w:color="auto"/>
        <w:bottom w:val="none" w:sz="0" w:space="0" w:color="auto"/>
        <w:right w:val="none" w:sz="0" w:space="0" w:color="auto"/>
      </w:divBdr>
    </w:div>
    <w:div w:id="1372682995">
      <w:bodyDiv w:val="1"/>
      <w:marLeft w:val="0"/>
      <w:marRight w:val="0"/>
      <w:marTop w:val="0"/>
      <w:marBottom w:val="0"/>
      <w:divBdr>
        <w:top w:val="none" w:sz="0" w:space="0" w:color="auto"/>
        <w:left w:val="none" w:sz="0" w:space="0" w:color="auto"/>
        <w:bottom w:val="none" w:sz="0" w:space="0" w:color="auto"/>
        <w:right w:val="none" w:sz="0" w:space="0" w:color="auto"/>
      </w:divBdr>
      <w:divsChild>
        <w:div w:id="593783861">
          <w:marLeft w:val="0"/>
          <w:marRight w:val="0"/>
          <w:marTop w:val="0"/>
          <w:marBottom w:val="0"/>
          <w:divBdr>
            <w:top w:val="none" w:sz="0" w:space="0" w:color="auto"/>
            <w:left w:val="none" w:sz="0" w:space="0" w:color="auto"/>
            <w:bottom w:val="none" w:sz="0" w:space="0" w:color="auto"/>
            <w:right w:val="none" w:sz="0" w:space="0" w:color="auto"/>
          </w:divBdr>
          <w:divsChild>
            <w:div w:id="233509266">
              <w:marLeft w:val="0"/>
              <w:marRight w:val="0"/>
              <w:marTop w:val="0"/>
              <w:marBottom w:val="0"/>
              <w:divBdr>
                <w:top w:val="none" w:sz="0" w:space="0" w:color="auto"/>
                <w:left w:val="none" w:sz="0" w:space="0" w:color="auto"/>
                <w:bottom w:val="none" w:sz="0" w:space="0" w:color="auto"/>
                <w:right w:val="none" w:sz="0" w:space="0" w:color="auto"/>
              </w:divBdr>
              <w:divsChild>
                <w:div w:id="160564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550300">
      <w:bodyDiv w:val="1"/>
      <w:marLeft w:val="0"/>
      <w:marRight w:val="0"/>
      <w:marTop w:val="0"/>
      <w:marBottom w:val="0"/>
      <w:divBdr>
        <w:top w:val="none" w:sz="0" w:space="0" w:color="auto"/>
        <w:left w:val="none" w:sz="0" w:space="0" w:color="auto"/>
        <w:bottom w:val="none" w:sz="0" w:space="0" w:color="auto"/>
        <w:right w:val="none" w:sz="0" w:space="0" w:color="auto"/>
      </w:divBdr>
    </w:div>
    <w:div w:id="1539856460">
      <w:bodyDiv w:val="1"/>
      <w:marLeft w:val="0"/>
      <w:marRight w:val="0"/>
      <w:marTop w:val="0"/>
      <w:marBottom w:val="0"/>
      <w:divBdr>
        <w:top w:val="none" w:sz="0" w:space="0" w:color="auto"/>
        <w:left w:val="none" w:sz="0" w:space="0" w:color="auto"/>
        <w:bottom w:val="none" w:sz="0" w:space="0" w:color="auto"/>
        <w:right w:val="none" w:sz="0" w:space="0" w:color="auto"/>
      </w:divBdr>
      <w:divsChild>
        <w:div w:id="777288955">
          <w:marLeft w:val="0"/>
          <w:marRight w:val="0"/>
          <w:marTop w:val="0"/>
          <w:marBottom w:val="0"/>
          <w:divBdr>
            <w:top w:val="none" w:sz="0" w:space="0" w:color="auto"/>
            <w:left w:val="none" w:sz="0" w:space="0" w:color="auto"/>
            <w:bottom w:val="none" w:sz="0" w:space="0" w:color="auto"/>
            <w:right w:val="none" w:sz="0" w:space="0" w:color="auto"/>
          </w:divBdr>
          <w:divsChild>
            <w:div w:id="413863534">
              <w:marLeft w:val="0"/>
              <w:marRight w:val="0"/>
              <w:marTop w:val="0"/>
              <w:marBottom w:val="0"/>
              <w:divBdr>
                <w:top w:val="none" w:sz="0" w:space="0" w:color="auto"/>
                <w:left w:val="none" w:sz="0" w:space="0" w:color="auto"/>
                <w:bottom w:val="none" w:sz="0" w:space="0" w:color="auto"/>
                <w:right w:val="none" w:sz="0" w:space="0" w:color="auto"/>
              </w:divBdr>
              <w:divsChild>
                <w:div w:id="148681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4086">
      <w:bodyDiv w:val="1"/>
      <w:marLeft w:val="0"/>
      <w:marRight w:val="0"/>
      <w:marTop w:val="0"/>
      <w:marBottom w:val="0"/>
      <w:divBdr>
        <w:top w:val="none" w:sz="0" w:space="0" w:color="auto"/>
        <w:left w:val="none" w:sz="0" w:space="0" w:color="auto"/>
        <w:bottom w:val="none" w:sz="0" w:space="0" w:color="auto"/>
        <w:right w:val="none" w:sz="0" w:space="0" w:color="auto"/>
      </w:divBdr>
    </w:div>
    <w:div w:id="1571423430">
      <w:bodyDiv w:val="1"/>
      <w:marLeft w:val="0"/>
      <w:marRight w:val="0"/>
      <w:marTop w:val="0"/>
      <w:marBottom w:val="0"/>
      <w:divBdr>
        <w:top w:val="none" w:sz="0" w:space="0" w:color="auto"/>
        <w:left w:val="none" w:sz="0" w:space="0" w:color="auto"/>
        <w:bottom w:val="none" w:sz="0" w:space="0" w:color="auto"/>
        <w:right w:val="none" w:sz="0" w:space="0" w:color="auto"/>
      </w:divBdr>
    </w:div>
    <w:div w:id="1587418584">
      <w:bodyDiv w:val="1"/>
      <w:marLeft w:val="0"/>
      <w:marRight w:val="0"/>
      <w:marTop w:val="0"/>
      <w:marBottom w:val="0"/>
      <w:divBdr>
        <w:top w:val="none" w:sz="0" w:space="0" w:color="auto"/>
        <w:left w:val="none" w:sz="0" w:space="0" w:color="auto"/>
        <w:bottom w:val="none" w:sz="0" w:space="0" w:color="auto"/>
        <w:right w:val="none" w:sz="0" w:space="0" w:color="auto"/>
      </w:divBdr>
      <w:divsChild>
        <w:div w:id="1181119235">
          <w:marLeft w:val="0"/>
          <w:marRight w:val="0"/>
          <w:marTop w:val="0"/>
          <w:marBottom w:val="0"/>
          <w:divBdr>
            <w:top w:val="none" w:sz="0" w:space="0" w:color="auto"/>
            <w:left w:val="none" w:sz="0" w:space="0" w:color="auto"/>
            <w:bottom w:val="none" w:sz="0" w:space="0" w:color="auto"/>
            <w:right w:val="none" w:sz="0" w:space="0" w:color="auto"/>
          </w:divBdr>
          <w:divsChild>
            <w:div w:id="933243238">
              <w:marLeft w:val="0"/>
              <w:marRight w:val="0"/>
              <w:marTop w:val="0"/>
              <w:marBottom w:val="0"/>
              <w:divBdr>
                <w:top w:val="none" w:sz="0" w:space="0" w:color="auto"/>
                <w:left w:val="none" w:sz="0" w:space="0" w:color="auto"/>
                <w:bottom w:val="none" w:sz="0" w:space="0" w:color="auto"/>
                <w:right w:val="none" w:sz="0" w:space="0" w:color="auto"/>
              </w:divBdr>
              <w:divsChild>
                <w:div w:id="64724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343173">
      <w:bodyDiv w:val="1"/>
      <w:marLeft w:val="0"/>
      <w:marRight w:val="0"/>
      <w:marTop w:val="0"/>
      <w:marBottom w:val="0"/>
      <w:divBdr>
        <w:top w:val="none" w:sz="0" w:space="0" w:color="auto"/>
        <w:left w:val="none" w:sz="0" w:space="0" w:color="auto"/>
        <w:bottom w:val="none" w:sz="0" w:space="0" w:color="auto"/>
        <w:right w:val="none" w:sz="0" w:space="0" w:color="auto"/>
      </w:divBdr>
    </w:div>
    <w:div w:id="1594314269">
      <w:bodyDiv w:val="1"/>
      <w:marLeft w:val="0"/>
      <w:marRight w:val="0"/>
      <w:marTop w:val="0"/>
      <w:marBottom w:val="0"/>
      <w:divBdr>
        <w:top w:val="none" w:sz="0" w:space="0" w:color="auto"/>
        <w:left w:val="none" w:sz="0" w:space="0" w:color="auto"/>
        <w:bottom w:val="none" w:sz="0" w:space="0" w:color="auto"/>
        <w:right w:val="none" w:sz="0" w:space="0" w:color="auto"/>
      </w:divBdr>
    </w:div>
    <w:div w:id="1612132252">
      <w:bodyDiv w:val="1"/>
      <w:marLeft w:val="0"/>
      <w:marRight w:val="0"/>
      <w:marTop w:val="0"/>
      <w:marBottom w:val="0"/>
      <w:divBdr>
        <w:top w:val="none" w:sz="0" w:space="0" w:color="auto"/>
        <w:left w:val="none" w:sz="0" w:space="0" w:color="auto"/>
        <w:bottom w:val="none" w:sz="0" w:space="0" w:color="auto"/>
        <w:right w:val="none" w:sz="0" w:space="0" w:color="auto"/>
      </w:divBdr>
    </w:div>
    <w:div w:id="1757092349">
      <w:bodyDiv w:val="1"/>
      <w:marLeft w:val="0"/>
      <w:marRight w:val="0"/>
      <w:marTop w:val="0"/>
      <w:marBottom w:val="0"/>
      <w:divBdr>
        <w:top w:val="none" w:sz="0" w:space="0" w:color="auto"/>
        <w:left w:val="none" w:sz="0" w:space="0" w:color="auto"/>
        <w:bottom w:val="none" w:sz="0" w:space="0" w:color="auto"/>
        <w:right w:val="none" w:sz="0" w:space="0" w:color="auto"/>
      </w:divBdr>
    </w:div>
    <w:div w:id="1804958937">
      <w:bodyDiv w:val="1"/>
      <w:marLeft w:val="0"/>
      <w:marRight w:val="0"/>
      <w:marTop w:val="0"/>
      <w:marBottom w:val="0"/>
      <w:divBdr>
        <w:top w:val="none" w:sz="0" w:space="0" w:color="auto"/>
        <w:left w:val="none" w:sz="0" w:space="0" w:color="auto"/>
        <w:bottom w:val="none" w:sz="0" w:space="0" w:color="auto"/>
        <w:right w:val="none" w:sz="0" w:space="0" w:color="auto"/>
      </w:divBdr>
    </w:div>
    <w:div w:id="1844125587">
      <w:bodyDiv w:val="1"/>
      <w:marLeft w:val="0"/>
      <w:marRight w:val="0"/>
      <w:marTop w:val="0"/>
      <w:marBottom w:val="0"/>
      <w:divBdr>
        <w:top w:val="none" w:sz="0" w:space="0" w:color="auto"/>
        <w:left w:val="none" w:sz="0" w:space="0" w:color="auto"/>
        <w:bottom w:val="none" w:sz="0" w:space="0" w:color="auto"/>
        <w:right w:val="none" w:sz="0" w:space="0" w:color="auto"/>
      </w:divBdr>
      <w:divsChild>
        <w:div w:id="376858781">
          <w:marLeft w:val="0"/>
          <w:marRight w:val="0"/>
          <w:marTop w:val="0"/>
          <w:marBottom w:val="0"/>
          <w:divBdr>
            <w:top w:val="none" w:sz="0" w:space="0" w:color="auto"/>
            <w:left w:val="none" w:sz="0" w:space="0" w:color="auto"/>
            <w:bottom w:val="none" w:sz="0" w:space="0" w:color="auto"/>
            <w:right w:val="none" w:sz="0" w:space="0" w:color="auto"/>
          </w:divBdr>
          <w:divsChild>
            <w:div w:id="558325464">
              <w:marLeft w:val="0"/>
              <w:marRight w:val="0"/>
              <w:marTop w:val="0"/>
              <w:marBottom w:val="0"/>
              <w:divBdr>
                <w:top w:val="none" w:sz="0" w:space="0" w:color="auto"/>
                <w:left w:val="none" w:sz="0" w:space="0" w:color="auto"/>
                <w:bottom w:val="none" w:sz="0" w:space="0" w:color="auto"/>
                <w:right w:val="none" w:sz="0" w:space="0" w:color="auto"/>
              </w:divBdr>
              <w:divsChild>
                <w:div w:id="141153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896840">
      <w:bodyDiv w:val="1"/>
      <w:marLeft w:val="0"/>
      <w:marRight w:val="0"/>
      <w:marTop w:val="0"/>
      <w:marBottom w:val="0"/>
      <w:divBdr>
        <w:top w:val="none" w:sz="0" w:space="0" w:color="auto"/>
        <w:left w:val="none" w:sz="0" w:space="0" w:color="auto"/>
        <w:bottom w:val="none" w:sz="0" w:space="0" w:color="auto"/>
        <w:right w:val="none" w:sz="0" w:space="0" w:color="auto"/>
      </w:divBdr>
    </w:div>
    <w:div w:id="1904362898">
      <w:bodyDiv w:val="1"/>
      <w:marLeft w:val="0"/>
      <w:marRight w:val="0"/>
      <w:marTop w:val="0"/>
      <w:marBottom w:val="0"/>
      <w:divBdr>
        <w:top w:val="none" w:sz="0" w:space="0" w:color="auto"/>
        <w:left w:val="none" w:sz="0" w:space="0" w:color="auto"/>
        <w:bottom w:val="none" w:sz="0" w:space="0" w:color="auto"/>
        <w:right w:val="none" w:sz="0" w:space="0" w:color="auto"/>
      </w:divBdr>
    </w:div>
    <w:div w:id="1909195364">
      <w:bodyDiv w:val="1"/>
      <w:marLeft w:val="0"/>
      <w:marRight w:val="0"/>
      <w:marTop w:val="0"/>
      <w:marBottom w:val="0"/>
      <w:divBdr>
        <w:top w:val="none" w:sz="0" w:space="0" w:color="auto"/>
        <w:left w:val="none" w:sz="0" w:space="0" w:color="auto"/>
        <w:bottom w:val="none" w:sz="0" w:space="0" w:color="auto"/>
        <w:right w:val="none" w:sz="0" w:space="0" w:color="auto"/>
      </w:divBdr>
    </w:div>
    <w:div w:id="1920285568">
      <w:bodyDiv w:val="1"/>
      <w:marLeft w:val="0"/>
      <w:marRight w:val="0"/>
      <w:marTop w:val="0"/>
      <w:marBottom w:val="0"/>
      <w:divBdr>
        <w:top w:val="none" w:sz="0" w:space="0" w:color="auto"/>
        <w:left w:val="none" w:sz="0" w:space="0" w:color="auto"/>
        <w:bottom w:val="none" w:sz="0" w:space="0" w:color="auto"/>
        <w:right w:val="none" w:sz="0" w:space="0" w:color="auto"/>
      </w:divBdr>
    </w:div>
    <w:div w:id="1968584149">
      <w:bodyDiv w:val="1"/>
      <w:marLeft w:val="0"/>
      <w:marRight w:val="0"/>
      <w:marTop w:val="0"/>
      <w:marBottom w:val="0"/>
      <w:divBdr>
        <w:top w:val="none" w:sz="0" w:space="0" w:color="auto"/>
        <w:left w:val="none" w:sz="0" w:space="0" w:color="auto"/>
        <w:bottom w:val="none" w:sz="0" w:space="0" w:color="auto"/>
        <w:right w:val="none" w:sz="0" w:space="0" w:color="auto"/>
      </w:divBdr>
      <w:divsChild>
        <w:div w:id="445658312">
          <w:marLeft w:val="0"/>
          <w:marRight w:val="0"/>
          <w:marTop w:val="0"/>
          <w:marBottom w:val="0"/>
          <w:divBdr>
            <w:top w:val="none" w:sz="0" w:space="0" w:color="auto"/>
            <w:left w:val="none" w:sz="0" w:space="0" w:color="auto"/>
            <w:bottom w:val="none" w:sz="0" w:space="0" w:color="auto"/>
            <w:right w:val="none" w:sz="0" w:space="0" w:color="auto"/>
          </w:divBdr>
          <w:divsChild>
            <w:div w:id="289482795">
              <w:marLeft w:val="0"/>
              <w:marRight w:val="0"/>
              <w:marTop w:val="0"/>
              <w:marBottom w:val="0"/>
              <w:divBdr>
                <w:top w:val="none" w:sz="0" w:space="0" w:color="auto"/>
                <w:left w:val="none" w:sz="0" w:space="0" w:color="auto"/>
                <w:bottom w:val="none" w:sz="0" w:space="0" w:color="auto"/>
                <w:right w:val="none" w:sz="0" w:space="0" w:color="auto"/>
              </w:divBdr>
              <w:divsChild>
                <w:div w:id="99490715">
                  <w:marLeft w:val="0"/>
                  <w:marRight w:val="0"/>
                  <w:marTop w:val="0"/>
                  <w:marBottom w:val="0"/>
                  <w:divBdr>
                    <w:top w:val="none" w:sz="0" w:space="0" w:color="auto"/>
                    <w:left w:val="none" w:sz="0" w:space="0" w:color="auto"/>
                    <w:bottom w:val="none" w:sz="0" w:space="0" w:color="auto"/>
                    <w:right w:val="none" w:sz="0" w:space="0" w:color="auto"/>
                  </w:divBdr>
                  <w:divsChild>
                    <w:div w:id="54540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564049">
      <w:bodyDiv w:val="1"/>
      <w:marLeft w:val="0"/>
      <w:marRight w:val="0"/>
      <w:marTop w:val="0"/>
      <w:marBottom w:val="0"/>
      <w:divBdr>
        <w:top w:val="none" w:sz="0" w:space="0" w:color="auto"/>
        <w:left w:val="none" w:sz="0" w:space="0" w:color="auto"/>
        <w:bottom w:val="none" w:sz="0" w:space="0" w:color="auto"/>
        <w:right w:val="none" w:sz="0" w:space="0" w:color="auto"/>
      </w:divBdr>
    </w:div>
    <w:div w:id="2047414404">
      <w:bodyDiv w:val="1"/>
      <w:marLeft w:val="0"/>
      <w:marRight w:val="0"/>
      <w:marTop w:val="0"/>
      <w:marBottom w:val="0"/>
      <w:divBdr>
        <w:top w:val="none" w:sz="0" w:space="0" w:color="auto"/>
        <w:left w:val="none" w:sz="0" w:space="0" w:color="auto"/>
        <w:bottom w:val="none" w:sz="0" w:space="0" w:color="auto"/>
        <w:right w:val="none" w:sz="0" w:space="0" w:color="auto"/>
      </w:divBdr>
    </w:div>
    <w:div w:id="2057849768">
      <w:bodyDiv w:val="1"/>
      <w:marLeft w:val="0"/>
      <w:marRight w:val="0"/>
      <w:marTop w:val="0"/>
      <w:marBottom w:val="0"/>
      <w:divBdr>
        <w:top w:val="none" w:sz="0" w:space="0" w:color="auto"/>
        <w:left w:val="none" w:sz="0" w:space="0" w:color="auto"/>
        <w:bottom w:val="none" w:sz="0" w:space="0" w:color="auto"/>
        <w:right w:val="none" w:sz="0" w:space="0" w:color="auto"/>
      </w:divBdr>
      <w:divsChild>
        <w:div w:id="121307556">
          <w:marLeft w:val="0"/>
          <w:marRight w:val="0"/>
          <w:marTop w:val="0"/>
          <w:marBottom w:val="0"/>
          <w:divBdr>
            <w:top w:val="none" w:sz="0" w:space="0" w:color="auto"/>
            <w:left w:val="none" w:sz="0" w:space="0" w:color="auto"/>
            <w:bottom w:val="none" w:sz="0" w:space="0" w:color="auto"/>
            <w:right w:val="none" w:sz="0" w:space="0" w:color="auto"/>
          </w:divBdr>
          <w:divsChild>
            <w:div w:id="983703154">
              <w:marLeft w:val="0"/>
              <w:marRight w:val="0"/>
              <w:marTop w:val="0"/>
              <w:marBottom w:val="0"/>
              <w:divBdr>
                <w:top w:val="none" w:sz="0" w:space="0" w:color="auto"/>
                <w:left w:val="none" w:sz="0" w:space="0" w:color="auto"/>
                <w:bottom w:val="none" w:sz="0" w:space="0" w:color="auto"/>
                <w:right w:val="none" w:sz="0" w:space="0" w:color="auto"/>
              </w:divBdr>
              <w:divsChild>
                <w:div w:id="193770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33217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A6531237-C176-4595-9494-449A98B1F90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6DDE6967-6D1F-4950-801E-24F321611220}">
  <ds:schemaRefs>
    <ds:schemaRef ds:uri="http://schemas.openxmlformats.org/officeDocument/2006/bibliography"/>
  </ds:schemaRefs>
</ds:datastoreItem>
</file>

<file path=customXml/itemProps4.xml><?xml version="1.0" encoding="utf-8"?>
<ds:datastoreItem xmlns:ds="http://schemas.openxmlformats.org/officeDocument/2006/customXml" ds:itemID="{1E605DD1-D378-4D2A-B784-F5AD85C4A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1</TotalTime>
  <Pages>14</Pages>
  <Words>4567</Words>
  <Characters>25123</Characters>
  <Application>Microsoft Office Word</Application>
  <DocSecurity>0</DocSecurity>
  <Lines>209</Lines>
  <Paragraphs>59</Paragraphs>
  <ScaleCrop>false</ScaleCrop>
  <Company/>
  <LinksUpToDate>false</LinksUpToDate>
  <CharactersWithSpaces>29631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anv</dc:creator>
  <cp:lastModifiedBy>Gabriel Alejandro Murcia Taboada</cp:lastModifiedBy>
  <cp:revision>2</cp:revision>
  <dcterms:created xsi:type="dcterms:W3CDTF">2022-07-25T20:30:00Z</dcterms:created>
  <dcterms:modified xsi:type="dcterms:W3CDTF">2022-07-25T20:30:00Z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