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FBC39" w14:textId="77777777" w:rsidR="00DD3396" w:rsidRPr="0008465D" w:rsidRDefault="00DD3396" w:rsidP="00DD3396">
      <w:pPr>
        <w:jc w:val="right"/>
        <w:rPr>
          <w:rFonts w:ascii="Arial" w:hAnsi="Arial" w:cs="Arial"/>
          <w:b/>
          <w:sz w:val="16"/>
          <w:szCs w:val="16"/>
          <w:lang w:val="es-ES" w:eastAsia="es-ES"/>
        </w:rPr>
      </w:pPr>
      <w:r w:rsidRPr="0008465D">
        <w:rPr>
          <w:rFonts w:ascii="Arial" w:hAnsi="Arial" w:cs="Arial"/>
          <w:b/>
          <w:sz w:val="16"/>
          <w:szCs w:val="16"/>
          <w:lang w:val="es-ES" w:eastAsia="es-ES"/>
        </w:rPr>
        <w:t>CCE-DES-FM-17</w:t>
      </w:r>
    </w:p>
    <w:p w14:paraId="16F63DC4" w14:textId="77777777" w:rsidR="00FF3F45" w:rsidRDefault="00FF3F45" w:rsidP="008B685E">
      <w:pPr>
        <w:jc w:val="both"/>
        <w:rPr>
          <w:rFonts w:ascii="Arial" w:eastAsia="Calibri" w:hAnsi="Arial" w:cs="Arial"/>
          <w:b/>
          <w:bCs/>
          <w:sz w:val="20"/>
          <w:szCs w:val="20"/>
        </w:rPr>
      </w:pPr>
    </w:p>
    <w:p w14:paraId="34B21ED4" w14:textId="64B8508B" w:rsidR="000F0DA0" w:rsidRDefault="002F6BE4" w:rsidP="008B685E">
      <w:pPr>
        <w:jc w:val="both"/>
        <w:rPr>
          <w:rFonts w:ascii="Arial" w:eastAsia="Calibri" w:hAnsi="Arial" w:cs="Arial"/>
          <w:b/>
          <w:bCs/>
          <w:sz w:val="20"/>
          <w:szCs w:val="20"/>
        </w:rPr>
      </w:pPr>
      <w:r>
        <w:rPr>
          <w:rFonts w:ascii="Arial" w:eastAsia="Calibri" w:hAnsi="Arial" w:cs="Arial"/>
          <w:b/>
          <w:bCs/>
          <w:sz w:val="20"/>
          <w:szCs w:val="20"/>
        </w:rPr>
        <w:t xml:space="preserve">CONTRATACIÓN DE BIENES Y SERVICIOS ADICIONALES – Experiencia adicional – Pliegos tipo </w:t>
      </w:r>
    </w:p>
    <w:p w14:paraId="0DF6BE1D" w14:textId="4DE81B4D" w:rsidR="002F6BE4" w:rsidRDefault="002F6BE4" w:rsidP="008B685E">
      <w:pPr>
        <w:jc w:val="both"/>
        <w:rPr>
          <w:rFonts w:ascii="Arial" w:eastAsia="Calibri" w:hAnsi="Arial" w:cs="Arial"/>
          <w:b/>
          <w:bCs/>
          <w:sz w:val="20"/>
          <w:szCs w:val="20"/>
        </w:rPr>
      </w:pPr>
    </w:p>
    <w:p w14:paraId="147A2D9A" w14:textId="77777777" w:rsidR="002F6BE4" w:rsidRPr="002F6BE4" w:rsidRDefault="002F6BE4" w:rsidP="002F6BE4">
      <w:pPr>
        <w:jc w:val="both"/>
        <w:rPr>
          <w:rFonts w:ascii="Arial" w:eastAsia="Calibri" w:hAnsi="Arial" w:cs="Arial"/>
          <w:color w:val="0D0D0D"/>
          <w:sz w:val="20"/>
          <w:szCs w:val="20"/>
          <w:lang w:val="es-MX"/>
        </w:rPr>
      </w:pPr>
      <w:r w:rsidRPr="002F6BE4">
        <w:rPr>
          <w:rFonts w:ascii="Arial" w:eastAsia="Calibri" w:hAnsi="Arial" w:cs="Arial"/>
          <w:color w:val="0D0D0D"/>
          <w:sz w:val="20"/>
          <w:szCs w:val="20"/>
          <w:lang w:val="es-MX"/>
        </w:rPr>
        <w:t>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 adoptados por esta Agencia.</w:t>
      </w:r>
    </w:p>
    <w:p w14:paraId="2E342E22" w14:textId="77777777" w:rsidR="002F6BE4" w:rsidRPr="002F6BE4" w:rsidRDefault="002F6BE4" w:rsidP="002F6BE4">
      <w:pPr>
        <w:spacing w:before="120" w:after="120"/>
        <w:jc w:val="both"/>
        <w:rPr>
          <w:rFonts w:ascii="Arial" w:eastAsia="Calibri" w:hAnsi="Arial" w:cs="Arial"/>
          <w:color w:val="0D0D0D"/>
          <w:sz w:val="20"/>
          <w:szCs w:val="20"/>
          <w:lang w:val="es-MX"/>
        </w:rPr>
      </w:pPr>
      <w:r w:rsidRPr="002F6BE4">
        <w:rPr>
          <w:rFonts w:ascii="Arial" w:eastAsia="Calibri" w:hAnsi="Arial" w:cs="Arial"/>
          <w:color w:val="0D0D0D"/>
          <w:sz w:val="20"/>
          <w:szCs w:val="20"/>
          <w:lang w:val="es-MX"/>
        </w:rPr>
        <w:t>Conforme a lo anterior, la Matriz 1,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22DAA93E" w14:textId="77777777" w:rsidR="002F6BE4" w:rsidRPr="002F6BE4" w:rsidRDefault="002F6BE4" w:rsidP="002F6BE4">
      <w:pPr>
        <w:spacing w:before="120" w:after="120"/>
        <w:jc w:val="both"/>
        <w:rPr>
          <w:rFonts w:ascii="Arial" w:eastAsia="Calibri" w:hAnsi="Arial" w:cs="Arial"/>
          <w:color w:val="0D0D0D"/>
          <w:sz w:val="20"/>
          <w:szCs w:val="20"/>
          <w:lang w:val="es-MX"/>
        </w:rPr>
      </w:pPr>
      <w:r w:rsidRPr="002F6BE4">
        <w:rPr>
          <w:rFonts w:ascii="Arial" w:eastAsia="Calibri" w:hAnsi="Arial" w:cs="Arial"/>
          <w:color w:val="0D0D0D"/>
          <w:sz w:val="20"/>
          <w:szCs w:val="20"/>
          <w:lang w:val="es-MX"/>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los documentos tipo, mientras que en el caso contrario no será forzosa su aplicación.</w:t>
      </w:r>
    </w:p>
    <w:p w14:paraId="5C6C3EB9" w14:textId="77777777" w:rsidR="002F6BE4" w:rsidRDefault="002F6BE4" w:rsidP="008B685E">
      <w:pPr>
        <w:jc w:val="both"/>
        <w:rPr>
          <w:rFonts w:ascii="Arial" w:eastAsia="Calibri" w:hAnsi="Arial" w:cs="Arial"/>
          <w:b/>
          <w:bCs/>
          <w:sz w:val="20"/>
          <w:szCs w:val="20"/>
        </w:rPr>
      </w:pPr>
    </w:p>
    <w:p w14:paraId="59CAC9C2" w14:textId="0CCB2FDF" w:rsidR="008B685E" w:rsidRPr="002F6BE4" w:rsidRDefault="002F6BE4" w:rsidP="008B685E">
      <w:pPr>
        <w:pStyle w:val="Normal11pt"/>
        <w:spacing w:line="276" w:lineRule="auto"/>
        <w:ind w:left="0"/>
        <w:rPr>
          <w:b/>
          <w:bCs/>
          <w:sz w:val="20"/>
          <w:szCs w:val="20"/>
        </w:rPr>
      </w:pPr>
      <w:r w:rsidRPr="002F6BE4">
        <w:rPr>
          <w:b/>
          <w:bCs/>
          <w:sz w:val="20"/>
          <w:szCs w:val="20"/>
        </w:rPr>
        <w:t xml:space="preserve">GLOSARIO – </w:t>
      </w:r>
      <w:r w:rsidR="00A20516">
        <w:rPr>
          <w:b/>
          <w:bCs/>
          <w:sz w:val="20"/>
          <w:szCs w:val="20"/>
        </w:rPr>
        <w:t>B</w:t>
      </w:r>
      <w:r w:rsidR="00A20516" w:rsidRPr="002F6BE4">
        <w:rPr>
          <w:b/>
          <w:bCs/>
          <w:sz w:val="20"/>
          <w:szCs w:val="20"/>
        </w:rPr>
        <w:t xml:space="preserve">ienes y servicios adicionales </w:t>
      </w:r>
    </w:p>
    <w:p w14:paraId="7AC86E7C" w14:textId="2E4C385C" w:rsidR="002F6BE4" w:rsidRDefault="002F6BE4" w:rsidP="008B685E">
      <w:pPr>
        <w:pStyle w:val="Normal11pt"/>
        <w:spacing w:line="276" w:lineRule="auto"/>
        <w:ind w:left="0"/>
        <w:rPr>
          <w:sz w:val="20"/>
          <w:szCs w:val="20"/>
        </w:rPr>
      </w:pPr>
    </w:p>
    <w:p w14:paraId="13E96775" w14:textId="77777777" w:rsidR="00CF6814" w:rsidRPr="00CF6814" w:rsidRDefault="00CF6814" w:rsidP="00CF6814">
      <w:pPr>
        <w:spacing w:before="120" w:after="120"/>
        <w:jc w:val="both"/>
        <w:rPr>
          <w:rFonts w:ascii="Arial" w:hAnsi="Arial" w:cs="Arial"/>
          <w:color w:val="000000"/>
          <w:sz w:val="20"/>
          <w:szCs w:val="20"/>
          <w:bdr w:val="none" w:sz="0" w:space="0" w:color="auto" w:frame="1"/>
          <w:lang w:val="es-ES_tradnl"/>
        </w:rPr>
      </w:pPr>
      <w:r w:rsidRPr="00CF6814">
        <w:rPr>
          <w:rFonts w:ascii="Arial" w:hAnsi="Arial" w:cs="Arial"/>
          <w:color w:val="000000"/>
          <w:sz w:val="20"/>
          <w:szCs w:val="20"/>
          <w:bdr w:val="none" w:sz="0" w:space="0" w:color="auto" w:frame="1"/>
          <w:lang w:val="es-ES_tradnl"/>
        </w:rPr>
        <w:t>Siguiendo el procedimiento referido, cada entidad estatal determinará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1. De esta manera, deberá aplicar estrictamente lo contenido en dicha matriz y, por tanto, no podrá incluir, modificar, suprimir o alterar las condiciones de experiencia allí establecidas, salvo cuando de forma expresa esta lo determine.</w:t>
      </w:r>
    </w:p>
    <w:p w14:paraId="607C6EE4" w14:textId="32AB7264" w:rsidR="00C60DD3" w:rsidRPr="00CF6814" w:rsidRDefault="00CF6814" w:rsidP="00CF6814">
      <w:pPr>
        <w:spacing w:after="120"/>
        <w:jc w:val="both"/>
        <w:rPr>
          <w:rFonts w:ascii="Arial" w:eastAsia="Calibri" w:hAnsi="Arial" w:cs="Arial"/>
          <w:color w:val="000000"/>
          <w:sz w:val="20"/>
          <w:szCs w:val="20"/>
          <w:lang w:val="es-ES_tradnl" w:eastAsia="es-ES"/>
        </w:rPr>
      </w:pPr>
      <w:r w:rsidRPr="00CF6814">
        <w:rPr>
          <w:rFonts w:ascii="Arial" w:hAnsi="Arial" w:cs="Arial"/>
          <w:color w:val="000000"/>
          <w:sz w:val="20"/>
          <w:szCs w:val="20"/>
          <w:lang w:val="es-ES_tradnl" w:eastAsia="es-ES"/>
        </w:rPr>
        <w:t xml:space="preserve">De otro lado, en la aplicación de los documentos tipo, la posibilidad de exigir experiencia adicional a la estandarizada en la Matriz 1 se refiere a bienes y servicios adicionales a la obra pública de infraestructura de transporte. Esta posibilidad surge cuando en el marco de la contratación de una de las actividades enlistadas en la Matriz 1, también se requieren contratar bienes y servicios adicionales cuya contratación, en principio, se encuentra excluida de la aplicación de los documentos tipo de infraestructura de transporte y respecto a los cuales la entidad requiere que los proponentes acrediten cierta idoneidad. Ante estos supuestos, debe aplicarse </w:t>
      </w:r>
      <w:r w:rsidRPr="00CF6814">
        <w:rPr>
          <w:rFonts w:ascii="Arial" w:eastAsia="Calibri" w:hAnsi="Arial" w:cs="Arial"/>
          <w:color w:val="000000"/>
          <w:sz w:val="20"/>
          <w:szCs w:val="20"/>
          <w:lang w:val="es-ES_tradnl" w:eastAsia="es-ES"/>
        </w:rPr>
        <w:t>lo dispuesto en el artículo 4 de las Resoluciones 240 y 241 de 2020, así como el artículo 2.2.1.2.6.3.5 del Decreto 1082 de 2015. Estas normas disponen que, para los procesos adelantados por licitación pública, selección abreviada de menor cuantía y mínima cuantía, la entidad puede incluir experiencia adicional para evaluar la idoneidad respecto de los bienes o servicios adicionales a la obra pública</w:t>
      </w:r>
      <w:r w:rsidRPr="00CF6814">
        <w:rPr>
          <w:rFonts w:ascii="Arial" w:hAnsi="Arial" w:cs="Arial"/>
          <w:color w:val="000000"/>
          <w:sz w:val="20"/>
          <w:szCs w:val="20"/>
          <w:lang w:val="es-ES_tradnl" w:eastAsia="es-ES"/>
        </w:rPr>
        <w:t xml:space="preserve"> de infraestructura de transporte</w:t>
      </w:r>
      <w:r w:rsidRPr="00CF6814">
        <w:rPr>
          <w:rFonts w:ascii="Arial" w:eastAsia="Calibri" w:hAnsi="Arial" w:cs="Arial"/>
          <w:color w:val="000000"/>
          <w:sz w:val="20"/>
          <w:szCs w:val="20"/>
          <w:lang w:val="es-ES_tradnl" w:eastAsia="es-ES"/>
        </w:rPr>
        <w:t xml:space="preserve">. </w:t>
      </w:r>
    </w:p>
    <w:p w14:paraId="66513F8E" w14:textId="77777777" w:rsidR="004C46BC" w:rsidRPr="0008465D" w:rsidRDefault="004C46BC" w:rsidP="004C46BC">
      <w:pPr>
        <w:jc w:val="right"/>
        <w:rPr>
          <w:rFonts w:ascii="Arial" w:hAnsi="Arial" w:cs="Arial"/>
          <w:b/>
          <w:sz w:val="16"/>
          <w:szCs w:val="16"/>
          <w:lang w:val="es-ES" w:eastAsia="es-ES"/>
        </w:rPr>
      </w:pPr>
      <w:r w:rsidRPr="0008465D">
        <w:rPr>
          <w:rFonts w:ascii="Arial" w:hAnsi="Arial" w:cs="Arial"/>
          <w:b/>
          <w:sz w:val="16"/>
          <w:szCs w:val="16"/>
          <w:lang w:val="es-ES" w:eastAsia="es-ES"/>
        </w:rPr>
        <w:lastRenderedPageBreak/>
        <w:t>CCE-DES-FM-17</w:t>
      </w:r>
    </w:p>
    <w:p w14:paraId="0FC1F222" w14:textId="57F9F97B" w:rsidR="004C46BC" w:rsidRDefault="004C46BC" w:rsidP="00DD3396">
      <w:pPr>
        <w:rPr>
          <w:rFonts w:ascii="Arial" w:eastAsia="Calibri" w:hAnsi="Arial" w:cs="Arial"/>
          <w:sz w:val="22"/>
          <w:szCs w:val="22"/>
          <w:lang w:val="es-ES"/>
        </w:rPr>
      </w:pPr>
    </w:p>
    <w:p w14:paraId="6405A6BD" w14:textId="5FC99CB8" w:rsidR="00BC5580" w:rsidRPr="00BC5580" w:rsidRDefault="00BC5580" w:rsidP="00BC5580">
      <w:pPr>
        <w:jc w:val="right"/>
      </w:pPr>
      <w:r w:rsidRPr="00BC5580">
        <w:fldChar w:fldCharType="begin"/>
      </w:r>
      <w:r w:rsidRPr="00BC5580">
        <w:instrText xml:space="preserve"> INCLUDEPICTURE "/var/folders/tb/0fmk9b510f57pz5rwhv8lnpw0000gp/T/com.microsoft.Word/WebArchiveCopyPasteTempFiles/page1image10797680" \* MERGEFORMATINET </w:instrText>
      </w:r>
      <w:r w:rsidRPr="00BC5580">
        <w:fldChar w:fldCharType="separate"/>
      </w:r>
      <w:r w:rsidRPr="00BC5580">
        <w:rPr>
          <w:noProof/>
        </w:rPr>
        <w:drawing>
          <wp:inline distT="0" distB="0" distL="0" distR="0" wp14:anchorId="7C1C4811" wp14:editId="107E7E8D">
            <wp:extent cx="2401570" cy="605790"/>
            <wp:effectExtent l="0" t="0" r="0" b="3810"/>
            <wp:docPr id="4" name="Imagen 4" descr="page1image10797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1079768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01570" cy="605790"/>
                    </a:xfrm>
                    <a:prstGeom prst="rect">
                      <a:avLst/>
                    </a:prstGeom>
                    <a:noFill/>
                    <a:ln>
                      <a:noFill/>
                    </a:ln>
                  </pic:spPr>
                </pic:pic>
              </a:graphicData>
            </a:graphic>
          </wp:inline>
        </w:drawing>
      </w:r>
      <w:r w:rsidRPr="00BC5580">
        <w:fldChar w:fldCharType="end"/>
      </w:r>
    </w:p>
    <w:p w14:paraId="2BE4C325" w14:textId="77777777" w:rsidR="00CF6814" w:rsidRDefault="00CF6814" w:rsidP="00DD3396">
      <w:pPr>
        <w:rPr>
          <w:rFonts w:ascii="Arial" w:eastAsia="Calibri" w:hAnsi="Arial" w:cs="Arial"/>
          <w:sz w:val="22"/>
          <w:szCs w:val="22"/>
          <w:lang w:val="es-ES"/>
        </w:rPr>
      </w:pPr>
    </w:p>
    <w:p w14:paraId="71BD1AA1" w14:textId="77777777" w:rsidR="004C46BC" w:rsidRDefault="004C46BC" w:rsidP="00DD3396">
      <w:pPr>
        <w:rPr>
          <w:rFonts w:ascii="Arial" w:eastAsia="Calibri" w:hAnsi="Arial" w:cs="Arial"/>
          <w:sz w:val="22"/>
          <w:szCs w:val="22"/>
          <w:lang w:val="es-ES"/>
        </w:rPr>
      </w:pPr>
    </w:p>
    <w:p w14:paraId="02751DA7" w14:textId="4CEDB0E0" w:rsidR="004C46BC" w:rsidRDefault="004C46BC" w:rsidP="00DD3396">
      <w:pPr>
        <w:rPr>
          <w:rFonts w:ascii="Arial" w:eastAsia="Calibri" w:hAnsi="Arial" w:cs="Arial"/>
          <w:sz w:val="22"/>
          <w:szCs w:val="22"/>
          <w:lang w:val="es-ES"/>
        </w:rPr>
      </w:pPr>
      <w:r>
        <w:rPr>
          <w:rFonts w:ascii="Arial" w:eastAsia="Calibri" w:hAnsi="Arial" w:cs="Arial"/>
          <w:sz w:val="22"/>
          <w:szCs w:val="22"/>
          <w:lang w:val="es-ES"/>
        </w:rPr>
        <w:t>Bogotá D.C</w:t>
      </w:r>
      <w:r w:rsidR="00750D83">
        <w:rPr>
          <w:rFonts w:ascii="Arial" w:eastAsia="Calibri" w:hAnsi="Arial" w:cs="Arial"/>
          <w:sz w:val="22"/>
          <w:szCs w:val="22"/>
          <w:lang w:val="es-ES"/>
        </w:rPr>
        <w:t>.</w:t>
      </w:r>
      <w:r>
        <w:rPr>
          <w:rFonts w:ascii="Arial" w:eastAsia="Calibri" w:hAnsi="Arial" w:cs="Arial"/>
          <w:sz w:val="22"/>
          <w:szCs w:val="22"/>
          <w:lang w:val="es-ES"/>
        </w:rPr>
        <w:t>,</w:t>
      </w:r>
      <w:r w:rsidR="00A20516">
        <w:rPr>
          <w:rFonts w:ascii="Arial" w:eastAsia="Calibri" w:hAnsi="Arial" w:cs="Arial"/>
          <w:sz w:val="22"/>
          <w:szCs w:val="22"/>
          <w:lang w:val="es-ES"/>
        </w:rPr>
        <w:t xml:space="preserve"> 8 de junio de 2022</w:t>
      </w:r>
    </w:p>
    <w:p w14:paraId="4B9BB12D" w14:textId="77777777" w:rsidR="004C46BC" w:rsidRDefault="004C46BC" w:rsidP="00DD3396">
      <w:pPr>
        <w:rPr>
          <w:rFonts w:ascii="Arial" w:eastAsia="Calibri" w:hAnsi="Arial" w:cs="Arial"/>
          <w:sz w:val="22"/>
          <w:szCs w:val="22"/>
          <w:lang w:val="es-ES"/>
        </w:rPr>
      </w:pPr>
    </w:p>
    <w:p w14:paraId="42A7F8C8" w14:textId="77777777" w:rsidR="004C46BC" w:rsidRDefault="004C46BC" w:rsidP="00DD3396">
      <w:pPr>
        <w:rPr>
          <w:rFonts w:ascii="Arial" w:eastAsia="Calibri" w:hAnsi="Arial" w:cs="Arial"/>
          <w:sz w:val="22"/>
          <w:szCs w:val="22"/>
          <w:lang w:val="es-ES"/>
        </w:rPr>
      </w:pPr>
    </w:p>
    <w:p w14:paraId="43041A3F" w14:textId="74A03F44" w:rsidR="00DD3396" w:rsidRDefault="00DD3396" w:rsidP="00DD3396">
      <w:pPr>
        <w:rPr>
          <w:rFonts w:ascii="Arial" w:eastAsia="Calibri" w:hAnsi="Arial" w:cs="Arial"/>
          <w:sz w:val="22"/>
          <w:szCs w:val="22"/>
          <w:lang w:val="es-ES"/>
        </w:rPr>
      </w:pPr>
      <w:r w:rsidRPr="006244FD">
        <w:rPr>
          <w:rFonts w:ascii="Arial" w:eastAsia="Calibri" w:hAnsi="Arial" w:cs="Arial"/>
          <w:sz w:val="22"/>
          <w:szCs w:val="22"/>
          <w:lang w:val="es-ES"/>
        </w:rPr>
        <w:t>Señor</w:t>
      </w:r>
    </w:p>
    <w:p w14:paraId="453DCC18" w14:textId="640F3921" w:rsidR="00EF6A38" w:rsidRDefault="00EF6A38" w:rsidP="00DD3396">
      <w:pPr>
        <w:rPr>
          <w:rFonts w:ascii="Arial" w:eastAsia="Calibri" w:hAnsi="Arial" w:cs="Arial"/>
          <w:b/>
          <w:bCs/>
          <w:sz w:val="22"/>
          <w:szCs w:val="22"/>
          <w:lang w:val="es-ES"/>
        </w:rPr>
      </w:pPr>
      <w:r>
        <w:rPr>
          <w:rFonts w:ascii="Arial" w:eastAsia="Calibri" w:hAnsi="Arial" w:cs="Arial"/>
          <w:b/>
          <w:bCs/>
          <w:sz w:val="22"/>
          <w:szCs w:val="22"/>
          <w:lang w:val="es-ES"/>
        </w:rPr>
        <w:t>Hernando Pava</w:t>
      </w:r>
    </w:p>
    <w:p w14:paraId="370F82C7" w14:textId="6E3A7698" w:rsidR="00EF6A38" w:rsidRPr="00EF6A38" w:rsidRDefault="00EF6A38" w:rsidP="00DD3396">
      <w:pPr>
        <w:rPr>
          <w:rFonts w:ascii="Arial" w:eastAsia="Calibri" w:hAnsi="Arial" w:cs="Arial"/>
          <w:sz w:val="22"/>
          <w:szCs w:val="22"/>
          <w:lang w:val="es-ES"/>
        </w:rPr>
      </w:pPr>
      <w:r>
        <w:rPr>
          <w:rFonts w:ascii="Arial" w:eastAsia="Calibri" w:hAnsi="Arial" w:cs="Arial"/>
          <w:sz w:val="22"/>
          <w:szCs w:val="22"/>
          <w:lang w:val="es-ES"/>
        </w:rPr>
        <w:t xml:space="preserve">Bogotá D.C. </w:t>
      </w:r>
    </w:p>
    <w:p w14:paraId="75074BB3" w14:textId="77777777" w:rsidR="00DD3396" w:rsidRPr="00924DEF" w:rsidRDefault="00DD3396" w:rsidP="00DD3396">
      <w:pPr>
        <w:rPr>
          <w:rFonts w:ascii="Arial" w:eastAsia="Calibri" w:hAnsi="Arial" w:cs="Arial"/>
          <w:sz w:val="22"/>
          <w:szCs w:val="22"/>
          <w:lang w:val="es-ES"/>
        </w:rPr>
      </w:pPr>
    </w:p>
    <w:p w14:paraId="33F00292" w14:textId="77777777" w:rsidR="00DD3396" w:rsidRPr="00924DEF" w:rsidRDefault="00DD3396" w:rsidP="00DD3396">
      <w:pPr>
        <w:rPr>
          <w:rFonts w:ascii="Arial" w:eastAsia="Calibri" w:hAnsi="Arial" w:cs="Arial"/>
          <w:b/>
          <w:sz w:val="22"/>
          <w:szCs w:val="22"/>
          <w:lang w:val="es-ES"/>
        </w:rPr>
      </w:pPr>
    </w:p>
    <w:p w14:paraId="199F6E49" w14:textId="53E49084" w:rsidR="00DD3396" w:rsidRPr="00F35189" w:rsidRDefault="00DD3396" w:rsidP="00DD3396">
      <w:pPr>
        <w:rPr>
          <w:rFonts w:ascii="Arial" w:eastAsia="Calibri" w:hAnsi="Arial" w:cs="Arial"/>
          <w:b/>
          <w:sz w:val="22"/>
          <w:szCs w:val="22"/>
          <w:lang w:val="es-ES"/>
        </w:rPr>
      </w:pPr>
      <w:r w:rsidRPr="00924DEF">
        <w:rPr>
          <w:rFonts w:ascii="Arial" w:eastAsia="Calibri" w:hAnsi="Arial" w:cs="Arial"/>
          <w:b/>
          <w:sz w:val="22"/>
          <w:szCs w:val="22"/>
          <w:lang w:val="es-ES"/>
        </w:rPr>
        <w:t xml:space="preserve">    </w:t>
      </w:r>
      <w:r w:rsidRPr="00F35189">
        <w:rPr>
          <w:rFonts w:ascii="Arial" w:eastAsia="Calibri" w:hAnsi="Arial" w:cs="Arial"/>
          <w:b/>
          <w:sz w:val="22"/>
          <w:szCs w:val="22"/>
          <w:lang w:val="es-ES"/>
        </w:rPr>
        <w:t xml:space="preserve">                                      Concepto C – </w:t>
      </w:r>
      <w:r w:rsidR="000734EC">
        <w:rPr>
          <w:rFonts w:ascii="Arial" w:eastAsia="Calibri" w:hAnsi="Arial" w:cs="Arial"/>
          <w:b/>
          <w:sz w:val="22"/>
          <w:szCs w:val="22"/>
          <w:lang w:val="es-ES"/>
        </w:rPr>
        <w:t>371</w:t>
      </w:r>
      <w:r w:rsidRPr="00F35189">
        <w:rPr>
          <w:rFonts w:ascii="Arial" w:eastAsia="Calibri" w:hAnsi="Arial" w:cs="Arial"/>
          <w:b/>
          <w:sz w:val="22"/>
          <w:szCs w:val="22"/>
          <w:lang w:val="es-ES"/>
        </w:rPr>
        <w:t xml:space="preserve"> de 2022</w:t>
      </w:r>
    </w:p>
    <w:p w14:paraId="1456B8CB" w14:textId="77777777" w:rsidR="00DD3396" w:rsidRPr="00F35189" w:rsidRDefault="00DD3396" w:rsidP="00DD3396">
      <w:pPr>
        <w:rPr>
          <w:rFonts w:ascii="Arial" w:eastAsia="Calibri" w:hAnsi="Arial" w:cs="Arial"/>
          <w:b/>
          <w:sz w:val="22"/>
          <w:szCs w:val="22"/>
          <w:lang w:val="es-ES"/>
        </w:rPr>
      </w:pPr>
    </w:p>
    <w:tbl>
      <w:tblPr>
        <w:tblStyle w:val="Tablaconcuadrcula"/>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095"/>
      </w:tblGrid>
      <w:tr w:rsidR="00DD3396" w:rsidRPr="002F6BE4" w14:paraId="5E976589" w14:textId="77777777" w:rsidTr="002F6BE4">
        <w:trPr>
          <w:trHeight w:val="550"/>
        </w:trPr>
        <w:tc>
          <w:tcPr>
            <w:tcW w:w="2552" w:type="dxa"/>
          </w:tcPr>
          <w:p w14:paraId="5DFC0827" w14:textId="77777777" w:rsidR="00DD3396" w:rsidRPr="00F35189" w:rsidRDefault="00DD3396" w:rsidP="008A5DF2">
            <w:pPr>
              <w:rPr>
                <w:rFonts w:ascii="Arial" w:eastAsia="Calibri" w:hAnsi="Arial" w:cs="Arial"/>
                <w:sz w:val="22"/>
                <w:szCs w:val="22"/>
                <w:lang w:val="es-ES"/>
              </w:rPr>
            </w:pPr>
            <w:r w:rsidRPr="00F35189">
              <w:rPr>
                <w:rFonts w:ascii="Arial" w:eastAsia="Calibri" w:hAnsi="Arial" w:cs="Arial"/>
                <w:b/>
                <w:sz w:val="22"/>
                <w:szCs w:val="22"/>
                <w:lang w:val="es-ES"/>
              </w:rPr>
              <w:t>Temas:</w:t>
            </w:r>
            <w:r w:rsidRPr="00F35189">
              <w:rPr>
                <w:rFonts w:ascii="Arial" w:eastAsia="Calibri" w:hAnsi="Arial" w:cs="Arial"/>
                <w:sz w:val="22"/>
                <w:szCs w:val="22"/>
                <w:lang w:val="es-ES"/>
              </w:rPr>
              <w:t xml:space="preserve">                                    </w:t>
            </w:r>
          </w:p>
        </w:tc>
        <w:tc>
          <w:tcPr>
            <w:tcW w:w="6095" w:type="dxa"/>
          </w:tcPr>
          <w:p w14:paraId="10DF38EC" w14:textId="7102C07A" w:rsidR="001E528E" w:rsidRPr="002F6BE4" w:rsidRDefault="002F6BE4" w:rsidP="00C1373A">
            <w:pPr>
              <w:spacing w:after="120" w:line="276" w:lineRule="auto"/>
              <w:jc w:val="both"/>
              <w:rPr>
                <w:rFonts w:ascii="Arial" w:eastAsia="Calibri" w:hAnsi="Arial" w:cs="Arial"/>
                <w:sz w:val="22"/>
                <w:szCs w:val="22"/>
              </w:rPr>
            </w:pPr>
            <w:r w:rsidRPr="002F6BE4">
              <w:rPr>
                <w:rFonts w:ascii="Arial" w:eastAsia="Calibri" w:hAnsi="Arial" w:cs="Arial"/>
                <w:sz w:val="22"/>
                <w:szCs w:val="22"/>
              </w:rPr>
              <w:t xml:space="preserve">CONTRATACIÓN DE BIENES Y SERVICIOS ADICIONALES – Experiencia adicional – Pliegos tipo / </w:t>
            </w:r>
            <w:r w:rsidRPr="002F6BE4">
              <w:rPr>
                <w:rFonts w:ascii="Arial" w:hAnsi="Arial" w:cs="Arial"/>
                <w:sz w:val="22"/>
                <w:szCs w:val="22"/>
              </w:rPr>
              <w:t>GLOSARIO – BIENES Y SERVICIOS ADICIONALES</w:t>
            </w:r>
          </w:p>
        </w:tc>
      </w:tr>
      <w:tr w:rsidR="00DD3396" w:rsidRPr="00F35189" w14:paraId="173B1FB9" w14:textId="77777777" w:rsidTr="002F6BE4">
        <w:tc>
          <w:tcPr>
            <w:tcW w:w="2552" w:type="dxa"/>
          </w:tcPr>
          <w:p w14:paraId="711F34A0" w14:textId="77777777" w:rsidR="00DD3396" w:rsidRPr="00F35189" w:rsidRDefault="00DD3396" w:rsidP="008A5DF2">
            <w:pPr>
              <w:rPr>
                <w:rFonts w:ascii="Arial" w:eastAsia="Calibri" w:hAnsi="Arial" w:cs="Arial"/>
                <w:sz w:val="22"/>
                <w:szCs w:val="22"/>
                <w:lang w:val="es-ES"/>
              </w:rPr>
            </w:pPr>
            <w:r w:rsidRPr="00F35189">
              <w:rPr>
                <w:rFonts w:ascii="Arial" w:eastAsia="Calibri" w:hAnsi="Arial" w:cs="Arial"/>
                <w:b/>
                <w:sz w:val="22"/>
                <w:szCs w:val="22"/>
                <w:lang w:val="es-ES"/>
              </w:rPr>
              <w:t>Radicación:</w:t>
            </w:r>
            <w:r w:rsidRPr="00F35189">
              <w:rPr>
                <w:rFonts w:ascii="Arial" w:eastAsia="Calibri" w:hAnsi="Arial" w:cs="Arial"/>
                <w:sz w:val="22"/>
                <w:szCs w:val="22"/>
                <w:lang w:val="es-ES"/>
              </w:rPr>
              <w:t xml:space="preserve">                              </w:t>
            </w:r>
          </w:p>
        </w:tc>
        <w:tc>
          <w:tcPr>
            <w:tcW w:w="6095" w:type="dxa"/>
          </w:tcPr>
          <w:p w14:paraId="5532C1A1" w14:textId="5A3A138C" w:rsidR="00DD3396" w:rsidRPr="00F35189" w:rsidRDefault="00DD3396" w:rsidP="008A5DF2">
            <w:pPr>
              <w:rPr>
                <w:rFonts w:ascii="Arial" w:eastAsia="Calibri" w:hAnsi="Arial" w:cs="Arial"/>
                <w:sz w:val="22"/>
                <w:szCs w:val="22"/>
                <w:lang w:val="es-ES"/>
              </w:rPr>
            </w:pPr>
            <w:r w:rsidRPr="00F35189">
              <w:rPr>
                <w:rFonts w:ascii="Arial" w:eastAsia="Calibri" w:hAnsi="Arial" w:cs="Arial"/>
                <w:sz w:val="22"/>
                <w:szCs w:val="22"/>
                <w:lang w:val="es-ES"/>
              </w:rPr>
              <w:t xml:space="preserve">Respuesta a consulta </w:t>
            </w:r>
            <w:r w:rsidR="000734EC" w:rsidRPr="00745440">
              <w:rPr>
                <w:rFonts w:ascii="Arial" w:hAnsi="Arial" w:cs="Arial"/>
                <w:sz w:val="22"/>
                <w:szCs w:val="22"/>
              </w:rPr>
              <w:t>P20220426004089</w:t>
            </w:r>
          </w:p>
        </w:tc>
      </w:tr>
    </w:tbl>
    <w:p w14:paraId="523CB4B4" w14:textId="77777777" w:rsidR="00DD3396" w:rsidRPr="00924DEF" w:rsidRDefault="00DD3396" w:rsidP="00DD3396">
      <w:pPr>
        <w:spacing w:line="276" w:lineRule="auto"/>
        <w:rPr>
          <w:rFonts w:ascii="Arial" w:eastAsia="Calibri" w:hAnsi="Arial" w:cs="Arial"/>
          <w:sz w:val="22"/>
          <w:szCs w:val="22"/>
          <w:lang w:val="es-ES"/>
        </w:rPr>
      </w:pPr>
    </w:p>
    <w:p w14:paraId="7DED3594" w14:textId="77777777" w:rsidR="00DD3396" w:rsidRPr="00924DEF" w:rsidRDefault="00DD3396" w:rsidP="00DD3396">
      <w:pPr>
        <w:spacing w:line="276" w:lineRule="auto"/>
        <w:rPr>
          <w:rFonts w:ascii="Arial" w:eastAsia="Calibri" w:hAnsi="Arial" w:cs="Arial"/>
          <w:sz w:val="22"/>
          <w:szCs w:val="22"/>
          <w:lang w:val="es-ES"/>
        </w:rPr>
      </w:pPr>
    </w:p>
    <w:p w14:paraId="102D66F4" w14:textId="76499D52" w:rsidR="00DD3396" w:rsidRPr="00924DEF" w:rsidRDefault="00DD3396" w:rsidP="00DD3396">
      <w:pPr>
        <w:tabs>
          <w:tab w:val="left" w:pos="3736"/>
        </w:tabs>
        <w:spacing w:line="276" w:lineRule="auto"/>
        <w:rPr>
          <w:rFonts w:ascii="Arial" w:eastAsia="Calibri" w:hAnsi="Arial" w:cs="Arial"/>
          <w:sz w:val="22"/>
          <w:szCs w:val="22"/>
          <w:lang w:val="es-ES"/>
        </w:rPr>
      </w:pPr>
      <w:r w:rsidRPr="00924DEF">
        <w:rPr>
          <w:rFonts w:ascii="Arial" w:eastAsia="Calibri" w:hAnsi="Arial" w:cs="Arial"/>
          <w:sz w:val="22"/>
          <w:szCs w:val="22"/>
          <w:lang w:val="es-ES"/>
        </w:rPr>
        <w:t>Estimad</w:t>
      </w:r>
      <w:r w:rsidR="002A64A3">
        <w:rPr>
          <w:rFonts w:ascii="Arial" w:eastAsia="Calibri" w:hAnsi="Arial" w:cs="Arial"/>
          <w:sz w:val="22"/>
          <w:szCs w:val="22"/>
          <w:lang w:val="es-ES"/>
        </w:rPr>
        <w:t>o</w:t>
      </w:r>
      <w:r w:rsidRPr="00924DEF">
        <w:rPr>
          <w:rFonts w:ascii="Arial" w:eastAsia="Calibri" w:hAnsi="Arial" w:cs="Arial"/>
          <w:sz w:val="22"/>
          <w:szCs w:val="22"/>
          <w:lang w:val="es-ES"/>
        </w:rPr>
        <w:t xml:space="preserve"> señor</w:t>
      </w:r>
      <w:r w:rsidR="00EF6A38">
        <w:rPr>
          <w:rFonts w:ascii="Arial" w:eastAsia="Calibri" w:hAnsi="Arial" w:cs="Arial"/>
          <w:sz w:val="22"/>
          <w:szCs w:val="22"/>
          <w:lang w:val="es-ES"/>
        </w:rPr>
        <w:t xml:space="preserve"> Pava</w:t>
      </w:r>
      <w:r w:rsidR="002A64A3">
        <w:rPr>
          <w:rFonts w:ascii="Arial" w:eastAsia="Calibri" w:hAnsi="Arial" w:cs="Arial"/>
          <w:sz w:val="22"/>
          <w:szCs w:val="22"/>
          <w:lang w:val="es-ES"/>
        </w:rPr>
        <w:t>:</w:t>
      </w:r>
      <w:r w:rsidRPr="00924DEF">
        <w:rPr>
          <w:rFonts w:ascii="Arial" w:eastAsia="Calibri" w:hAnsi="Arial" w:cs="Arial"/>
          <w:sz w:val="22"/>
          <w:szCs w:val="22"/>
          <w:lang w:val="es-ES"/>
        </w:rPr>
        <w:tab/>
      </w:r>
    </w:p>
    <w:p w14:paraId="38D35F9B" w14:textId="77777777" w:rsidR="00DD3396" w:rsidRPr="00924DEF" w:rsidRDefault="00DD3396" w:rsidP="00DD3396">
      <w:pPr>
        <w:spacing w:line="276" w:lineRule="auto"/>
        <w:rPr>
          <w:rFonts w:ascii="Arial" w:eastAsia="Calibri" w:hAnsi="Arial" w:cs="Arial"/>
          <w:sz w:val="22"/>
          <w:szCs w:val="22"/>
          <w:lang w:val="es-ES"/>
        </w:rPr>
      </w:pPr>
    </w:p>
    <w:p w14:paraId="2007834B" w14:textId="308772C6" w:rsidR="00DD3396" w:rsidRPr="00924DEF" w:rsidRDefault="00DD3396" w:rsidP="00DD3396">
      <w:pPr>
        <w:spacing w:line="276" w:lineRule="auto"/>
        <w:jc w:val="both"/>
        <w:rPr>
          <w:rFonts w:ascii="Arial" w:eastAsia="Calibri" w:hAnsi="Arial" w:cs="Arial"/>
          <w:sz w:val="22"/>
          <w:szCs w:val="22"/>
          <w:lang w:val="es-ES"/>
        </w:rPr>
      </w:pPr>
      <w:r w:rsidRPr="00924DEF">
        <w:rPr>
          <w:rFonts w:ascii="Arial" w:eastAsia="Calibri" w:hAnsi="Arial" w:cs="Arial"/>
          <w:sz w:val="22"/>
          <w:szCs w:val="22"/>
          <w:lang w:val="es-ES"/>
        </w:rPr>
        <w:t>La Agencia Nacional de Contratación Pública – Colombia Compra Eficiente, en ejercicio de la competencia otorgada por el numeral 8 del artículo 11 y el numeral 5 del artículo 3 del Decreto Ley 4170 de 2011</w:t>
      </w:r>
      <w:r>
        <w:rPr>
          <w:rFonts w:ascii="Arial" w:eastAsia="Calibri" w:hAnsi="Arial" w:cs="Arial"/>
          <w:sz w:val="22"/>
          <w:szCs w:val="22"/>
          <w:lang w:val="es-ES"/>
        </w:rPr>
        <w:t xml:space="preserve">, </w:t>
      </w:r>
      <w:r w:rsidRPr="00924DEF">
        <w:rPr>
          <w:rFonts w:ascii="Arial" w:eastAsia="Calibri" w:hAnsi="Arial" w:cs="Arial"/>
          <w:sz w:val="22"/>
          <w:szCs w:val="22"/>
          <w:lang w:val="es-ES"/>
        </w:rPr>
        <w:t xml:space="preserve">responde a su consulta del </w:t>
      </w:r>
      <w:r w:rsidR="000734EC">
        <w:rPr>
          <w:rFonts w:ascii="Arial" w:eastAsia="Calibri" w:hAnsi="Arial" w:cs="Arial"/>
          <w:sz w:val="22"/>
          <w:szCs w:val="22"/>
          <w:lang w:val="es-ES"/>
        </w:rPr>
        <w:t>26</w:t>
      </w:r>
      <w:r w:rsidR="00862E0E">
        <w:rPr>
          <w:rFonts w:ascii="Arial" w:eastAsia="Calibri" w:hAnsi="Arial" w:cs="Arial"/>
          <w:sz w:val="22"/>
          <w:szCs w:val="22"/>
          <w:lang w:val="es-ES"/>
        </w:rPr>
        <w:t xml:space="preserve"> de</w:t>
      </w:r>
      <w:r w:rsidR="000734EC">
        <w:rPr>
          <w:rFonts w:ascii="Arial" w:eastAsia="Calibri" w:hAnsi="Arial" w:cs="Arial"/>
          <w:sz w:val="22"/>
          <w:szCs w:val="22"/>
          <w:lang w:val="es-ES"/>
        </w:rPr>
        <w:t xml:space="preserve"> abril </w:t>
      </w:r>
      <w:r>
        <w:rPr>
          <w:rFonts w:ascii="Arial" w:eastAsia="Calibri" w:hAnsi="Arial" w:cs="Arial"/>
          <w:sz w:val="22"/>
          <w:szCs w:val="22"/>
          <w:lang w:val="es-ES"/>
        </w:rPr>
        <w:t>de 2022.</w:t>
      </w:r>
    </w:p>
    <w:p w14:paraId="5B44A0BF" w14:textId="77777777" w:rsidR="00DD3396" w:rsidRPr="00924DEF" w:rsidRDefault="00DD3396" w:rsidP="00DD3396">
      <w:pPr>
        <w:pStyle w:val="Prrafodelista"/>
        <w:spacing w:line="276" w:lineRule="auto"/>
        <w:ind w:left="0"/>
        <w:rPr>
          <w:rFonts w:ascii="Arial" w:eastAsia="Calibri" w:hAnsi="Arial" w:cs="Arial"/>
          <w:sz w:val="22"/>
          <w:lang w:val="es-ES"/>
        </w:rPr>
      </w:pPr>
    </w:p>
    <w:p w14:paraId="72D7AAAE" w14:textId="77777777" w:rsidR="00DD3396" w:rsidRPr="00924DEF" w:rsidRDefault="00DD3396" w:rsidP="00DD3396">
      <w:pPr>
        <w:tabs>
          <w:tab w:val="left" w:pos="0"/>
        </w:tabs>
        <w:spacing w:line="276" w:lineRule="auto"/>
        <w:jc w:val="both"/>
        <w:rPr>
          <w:rFonts w:ascii="Arial" w:eastAsia="Calibri" w:hAnsi="Arial" w:cs="Arial"/>
          <w:b/>
          <w:sz w:val="22"/>
          <w:szCs w:val="22"/>
          <w:lang w:val="es-ES"/>
        </w:rPr>
      </w:pPr>
      <w:r w:rsidRPr="00924DEF">
        <w:rPr>
          <w:rFonts w:ascii="Arial" w:eastAsia="Calibri" w:hAnsi="Arial" w:cs="Arial"/>
          <w:b/>
          <w:sz w:val="22"/>
          <w:szCs w:val="22"/>
          <w:lang w:val="es-ES"/>
        </w:rPr>
        <w:t>1. Problema planteado</w:t>
      </w:r>
    </w:p>
    <w:p w14:paraId="56BBD99C" w14:textId="77777777" w:rsidR="00DD3396" w:rsidRPr="00924DEF" w:rsidRDefault="00DD3396" w:rsidP="00DD3396">
      <w:pPr>
        <w:rPr>
          <w:rFonts w:ascii="Arial" w:eastAsia="Calibri" w:hAnsi="Arial" w:cs="Arial"/>
          <w:sz w:val="22"/>
          <w:szCs w:val="22"/>
          <w:lang w:val="es-ES"/>
        </w:rPr>
      </w:pPr>
    </w:p>
    <w:p w14:paraId="6AD8577F" w14:textId="1663BB45" w:rsidR="000734EC" w:rsidRPr="00745440" w:rsidRDefault="00DD3396" w:rsidP="000F0DA0">
      <w:pPr>
        <w:spacing w:line="276" w:lineRule="auto"/>
        <w:jc w:val="both"/>
        <w:rPr>
          <w:rFonts w:ascii="Arial" w:hAnsi="Arial" w:cs="Arial"/>
          <w:sz w:val="22"/>
          <w:szCs w:val="22"/>
        </w:rPr>
      </w:pPr>
      <w:r w:rsidRPr="001032B4">
        <w:rPr>
          <w:rFonts w:ascii="Arial" w:eastAsia="Calibri" w:hAnsi="Arial" w:cs="Arial"/>
          <w:sz w:val="22"/>
          <w:szCs w:val="22"/>
          <w:lang w:val="es-ES"/>
        </w:rPr>
        <w:t xml:space="preserve">Usted realiza la siguiente pregunta: </w:t>
      </w:r>
      <w:r w:rsidR="000734EC" w:rsidRPr="00490D34">
        <w:rPr>
          <w:rFonts w:ascii="Arial" w:hAnsi="Arial" w:cs="Arial"/>
          <w:color w:val="000000"/>
          <w:sz w:val="22"/>
          <w:szCs w:val="22"/>
        </w:rPr>
        <w:t>«</w:t>
      </w:r>
      <w:r w:rsidR="000734EC">
        <w:rPr>
          <w:rFonts w:ascii="Arial" w:hAnsi="Arial" w:cs="Arial"/>
          <w:color w:val="000000"/>
          <w:sz w:val="22"/>
          <w:szCs w:val="22"/>
        </w:rPr>
        <w:t xml:space="preserve">[…] </w:t>
      </w:r>
      <w:r w:rsidR="000734EC" w:rsidRPr="00745440">
        <w:rPr>
          <w:rFonts w:ascii="Arial" w:hAnsi="Arial" w:cs="Arial"/>
          <w:color w:val="000000"/>
          <w:sz w:val="22"/>
          <w:szCs w:val="22"/>
        </w:rPr>
        <w:t>qu</w:t>
      </w:r>
      <w:r w:rsidR="000734EC">
        <w:rPr>
          <w:rFonts w:ascii="Arial" w:hAnsi="Arial" w:cs="Arial"/>
          <w:color w:val="000000"/>
          <w:sz w:val="22"/>
          <w:szCs w:val="22"/>
        </w:rPr>
        <w:t>é</w:t>
      </w:r>
      <w:r w:rsidR="000734EC" w:rsidRPr="00745440">
        <w:rPr>
          <w:rFonts w:ascii="Arial" w:hAnsi="Arial" w:cs="Arial"/>
          <w:color w:val="000000"/>
          <w:sz w:val="22"/>
          <w:szCs w:val="22"/>
        </w:rPr>
        <w:t xml:space="preserve"> parámetros debo tener en cuenta, para solicitar servicios adicionales en pliegos tipo para infraestructura de transporte, por ejemplo</w:t>
      </w:r>
      <w:r w:rsidR="000734EC">
        <w:rPr>
          <w:rFonts w:ascii="Arial" w:hAnsi="Arial" w:cs="Arial"/>
          <w:color w:val="000000"/>
          <w:sz w:val="22"/>
          <w:szCs w:val="22"/>
        </w:rPr>
        <w:t>,</w:t>
      </w:r>
      <w:r w:rsidR="000734EC" w:rsidRPr="00745440">
        <w:rPr>
          <w:rFonts w:ascii="Arial" w:hAnsi="Arial" w:cs="Arial"/>
          <w:color w:val="000000"/>
          <w:sz w:val="22"/>
          <w:szCs w:val="22"/>
        </w:rPr>
        <w:t xml:space="preserve"> </w:t>
      </w:r>
      <w:r w:rsidR="000734EC">
        <w:rPr>
          <w:rFonts w:ascii="Arial" w:hAnsi="Arial" w:cs="Arial"/>
          <w:color w:val="000000"/>
          <w:sz w:val="22"/>
          <w:szCs w:val="22"/>
        </w:rPr>
        <w:t>¿</w:t>
      </w:r>
      <w:r w:rsidR="000734EC" w:rsidRPr="00745440">
        <w:rPr>
          <w:rFonts w:ascii="Arial" w:hAnsi="Arial" w:cs="Arial"/>
          <w:color w:val="000000"/>
          <w:sz w:val="22"/>
          <w:szCs w:val="22"/>
        </w:rPr>
        <w:t>una rocería o una obra eléctrica son servicios adicionales</w:t>
      </w:r>
      <w:r w:rsidR="000734EC">
        <w:rPr>
          <w:rFonts w:ascii="Arial" w:hAnsi="Arial" w:cs="Arial"/>
          <w:color w:val="000000"/>
          <w:sz w:val="22"/>
          <w:szCs w:val="22"/>
        </w:rPr>
        <w:t>?</w:t>
      </w:r>
      <w:r w:rsidR="000734EC" w:rsidRPr="00490D34">
        <w:rPr>
          <w:rFonts w:ascii="Arial" w:hAnsi="Arial" w:cs="Arial"/>
          <w:color w:val="000000"/>
          <w:sz w:val="22"/>
          <w:szCs w:val="22"/>
        </w:rPr>
        <w:t>»</w:t>
      </w:r>
      <w:r w:rsidR="000F0DA0">
        <w:rPr>
          <w:rFonts w:ascii="Arial" w:hAnsi="Arial" w:cs="Arial"/>
          <w:color w:val="000000"/>
          <w:sz w:val="22"/>
          <w:szCs w:val="22"/>
        </w:rPr>
        <w:t xml:space="preserve">. </w:t>
      </w:r>
    </w:p>
    <w:p w14:paraId="0FCE11AD" w14:textId="08A187C5" w:rsidR="001032B4" w:rsidRDefault="001032B4" w:rsidP="00DD3396">
      <w:pPr>
        <w:spacing w:line="276" w:lineRule="auto"/>
        <w:jc w:val="both"/>
        <w:rPr>
          <w:rFonts w:ascii="Arial" w:eastAsia="Calibri" w:hAnsi="Arial" w:cs="Arial"/>
          <w:b/>
          <w:sz w:val="22"/>
          <w:szCs w:val="22"/>
          <w:lang w:val="es-ES"/>
        </w:rPr>
      </w:pPr>
    </w:p>
    <w:p w14:paraId="0439D80B" w14:textId="0543A999" w:rsidR="00DD3396" w:rsidRDefault="00DD3396" w:rsidP="00DD3396">
      <w:pPr>
        <w:spacing w:line="276" w:lineRule="auto"/>
        <w:jc w:val="both"/>
        <w:rPr>
          <w:rFonts w:ascii="Arial" w:eastAsia="Calibri" w:hAnsi="Arial" w:cs="Arial"/>
          <w:b/>
          <w:sz w:val="22"/>
          <w:szCs w:val="22"/>
          <w:lang w:val="es-ES"/>
        </w:rPr>
      </w:pPr>
      <w:r w:rsidRPr="00924DEF">
        <w:rPr>
          <w:rFonts w:ascii="Arial" w:eastAsia="Calibri" w:hAnsi="Arial" w:cs="Arial"/>
          <w:b/>
          <w:sz w:val="22"/>
          <w:szCs w:val="22"/>
          <w:lang w:val="es-ES"/>
        </w:rPr>
        <w:t>2. Consideraciones</w:t>
      </w:r>
    </w:p>
    <w:p w14:paraId="3A21D8E4" w14:textId="77777777" w:rsidR="00DD3396" w:rsidRDefault="00DD3396" w:rsidP="00DD3396">
      <w:pPr>
        <w:rPr>
          <w:rFonts w:ascii="Arial" w:hAnsi="Arial" w:cs="Arial"/>
          <w:bCs/>
          <w:sz w:val="22"/>
        </w:rPr>
      </w:pPr>
    </w:p>
    <w:p w14:paraId="21FAD8C5" w14:textId="77777777" w:rsidR="00F60B77" w:rsidRPr="00C1373A" w:rsidRDefault="00F60B77" w:rsidP="00F60B77">
      <w:pPr>
        <w:spacing w:after="120" w:line="276" w:lineRule="auto"/>
        <w:jc w:val="both"/>
        <w:rPr>
          <w:rFonts w:ascii="Arial" w:eastAsia="Calibri" w:hAnsi="Arial" w:cs="Arial"/>
          <w:sz w:val="22"/>
          <w:szCs w:val="22"/>
          <w:lang w:val="es-ES_tradnl" w:eastAsia="es-ES_tradnl"/>
        </w:rPr>
      </w:pPr>
      <w:r w:rsidRPr="00C1373A">
        <w:rPr>
          <w:rFonts w:ascii="Arial" w:eastAsia="Calibri" w:hAnsi="Arial" w:cs="Arial"/>
          <w:sz w:val="22"/>
          <w:szCs w:val="22"/>
          <w:lang w:val="es-ES_tradnl" w:eastAsia="es-ES_tradnl"/>
        </w:rPr>
        <w:t xml:space="preserve">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 Es necesario tener en cuenta que esta entidad solo tiene atribuciones para responder </w:t>
      </w:r>
      <w:r w:rsidRPr="00C1373A">
        <w:rPr>
          <w:rFonts w:ascii="Arial" w:eastAsia="Calibri" w:hAnsi="Arial" w:cs="Arial"/>
          <w:sz w:val="22"/>
          <w:szCs w:val="22"/>
          <w:lang w:val="es-ES_tradnl" w:eastAsia="es-ES_tradnl"/>
        </w:rPr>
        <w:lastRenderedPageBreak/>
        <w:t>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 la contratación estatal.</w:t>
      </w:r>
    </w:p>
    <w:p w14:paraId="2F5ACD97" w14:textId="77777777" w:rsidR="00F60B77" w:rsidRPr="00C1373A" w:rsidRDefault="00F60B77" w:rsidP="00F60B77">
      <w:pPr>
        <w:tabs>
          <w:tab w:val="left" w:pos="426"/>
        </w:tabs>
        <w:spacing w:after="120" w:line="276" w:lineRule="auto"/>
        <w:jc w:val="both"/>
        <w:rPr>
          <w:rFonts w:ascii="Arial" w:eastAsia="Calibri" w:hAnsi="Arial" w:cs="Arial"/>
          <w:bCs/>
          <w:sz w:val="22"/>
          <w:szCs w:val="22"/>
        </w:rPr>
      </w:pPr>
      <w:r w:rsidRPr="00C1373A">
        <w:rPr>
          <w:rFonts w:ascii="Arial" w:eastAsia="Calibri" w:hAnsi="Arial" w:cs="Arial"/>
          <w:sz w:val="22"/>
          <w:szCs w:val="22"/>
          <w:lang w:val="es-ES_tradnl" w:eastAsia="es-ES_tradnl"/>
        </w:rPr>
        <w:tab/>
      </w:r>
      <w:r w:rsidRPr="00C1373A">
        <w:rPr>
          <w:rFonts w:ascii="Arial" w:eastAsia="Calibri" w:hAnsi="Arial" w:cs="Arial"/>
          <w:sz w:val="22"/>
          <w:szCs w:val="22"/>
          <w:lang w:val="es-ES_tradnl" w:eastAsia="es-ES_tradnl"/>
        </w:rPr>
        <w:tab/>
        <w:t xml:space="preserve">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Esto en la medida en </w:t>
      </w:r>
      <w:proofErr w:type="gramStart"/>
      <w:r w:rsidRPr="00C1373A">
        <w:rPr>
          <w:rFonts w:ascii="Arial" w:eastAsia="Calibri" w:hAnsi="Arial" w:cs="Arial"/>
          <w:sz w:val="22"/>
          <w:szCs w:val="22"/>
          <w:lang w:val="es-ES_tradnl" w:eastAsia="es-ES_tradnl"/>
        </w:rPr>
        <w:t>que</w:t>
      </w:r>
      <w:proofErr w:type="gramEnd"/>
      <w:r w:rsidRPr="00C1373A">
        <w:rPr>
          <w:rFonts w:ascii="Arial" w:eastAsia="Calibri" w:hAnsi="Arial" w:cs="Arial"/>
          <w:sz w:val="22"/>
          <w:szCs w:val="22"/>
          <w:lang w:val="es-ES_tradnl" w:eastAsia="es-ES_tradnl"/>
        </w:rPr>
        <w:t xml:space="preserv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estos temas corresponde a la entidad </w:t>
      </w:r>
      <w:r w:rsidRPr="00C1373A">
        <w:rPr>
          <w:rFonts w:ascii="Arial" w:eastAsia="Calibri" w:hAnsi="Arial" w:cs="Arial"/>
          <w:bCs/>
          <w:sz w:val="22"/>
          <w:szCs w:val="22"/>
        </w:rPr>
        <w:t>que adelanta el procedimiento de selección y, en caso de conflicto, a las autoridades judiciales, fiscales y disciplinarias.</w:t>
      </w:r>
    </w:p>
    <w:p w14:paraId="498DF365" w14:textId="77777777" w:rsidR="00F60B77" w:rsidRPr="00C1373A" w:rsidRDefault="00F60B77" w:rsidP="00F60B77">
      <w:pPr>
        <w:tabs>
          <w:tab w:val="left" w:pos="426"/>
        </w:tabs>
        <w:spacing w:after="120" w:line="276" w:lineRule="auto"/>
        <w:jc w:val="both"/>
        <w:rPr>
          <w:rFonts w:ascii="Arial" w:eastAsia="Calibri" w:hAnsi="Arial" w:cs="Arial"/>
          <w:bCs/>
          <w:sz w:val="22"/>
          <w:szCs w:val="22"/>
        </w:rPr>
      </w:pPr>
      <w:r w:rsidRPr="00C1373A">
        <w:rPr>
          <w:rFonts w:ascii="Arial" w:eastAsia="Calibri" w:hAnsi="Arial" w:cs="Arial"/>
          <w:bCs/>
          <w:sz w:val="22"/>
          <w:szCs w:val="22"/>
        </w:rPr>
        <w:tab/>
      </w:r>
      <w:r w:rsidRPr="00C1373A">
        <w:rPr>
          <w:rFonts w:ascii="Arial" w:eastAsia="Calibri" w:hAnsi="Arial" w:cs="Arial"/>
          <w:bCs/>
          <w:sz w:val="22"/>
          <w:szCs w:val="22"/>
        </w:rPr>
        <w:tab/>
        <w:t>Bajo estas consideraciones, corresponde a cada entidad pública, en ejercicio de su competencia y previa valoración de los elementos fácticos y jurídicos, determinar si es procedente o no la celebración de un determinado contrato en específico.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p>
    <w:p w14:paraId="65BF45DA" w14:textId="26ECD5E3" w:rsidR="00F60B77" w:rsidRPr="00C1373A" w:rsidRDefault="00F60B77" w:rsidP="00F60B77">
      <w:pPr>
        <w:spacing w:after="120" w:line="276" w:lineRule="auto"/>
        <w:jc w:val="both"/>
        <w:rPr>
          <w:rFonts w:ascii="Arial" w:hAnsi="Arial" w:cs="Arial"/>
          <w:b/>
          <w:bCs/>
          <w:sz w:val="22"/>
          <w:szCs w:val="22"/>
        </w:rPr>
      </w:pPr>
      <w:r w:rsidRPr="00C1373A">
        <w:rPr>
          <w:rFonts w:ascii="Arial" w:eastAsia="Calibri" w:hAnsi="Arial" w:cs="Arial"/>
          <w:bCs/>
          <w:sz w:val="22"/>
          <w:szCs w:val="22"/>
        </w:rPr>
        <w:tab/>
        <w:t>Por</w:t>
      </w:r>
      <w:r w:rsidRPr="00C1373A">
        <w:rPr>
          <w:rFonts w:ascii="Arial" w:eastAsia="Calibri" w:hAnsi="Arial" w:cs="Arial"/>
          <w:color w:val="000000" w:themeColor="text1"/>
          <w:sz w:val="22"/>
          <w:szCs w:val="22"/>
          <w:lang w:val="es-ES"/>
        </w:rPr>
        <w:t xml:space="preserve"> ello, la Subdirección, dentro de los límites de sus atribuciones, resolverá la consulta conforme a las normas generales en materia de contratación estatal. Con este objetivo se analizarán los siguientes temas:</w:t>
      </w:r>
      <w:r w:rsidRPr="00C1373A">
        <w:rPr>
          <w:rFonts w:ascii="Arial" w:eastAsia="Calibri" w:hAnsi="Arial" w:cs="Arial"/>
          <w:bCs/>
          <w:sz w:val="22"/>
          <w:szCs w:val="22"/>
        </w:rPr>
        <w:t xml:space="preserve"> i) fundamento normativo de los documentos tipo</w:t>
      </w:r>
      <w:r w:rsidR="00F6693B">
        <w:rPr>
          <w:rFonts w:ascii="Arial" w:eastAsia="Calibri" w:hAnsi="Arial" w:cs="Arial"/>
          <w:bCs/>
          <w:sz w:val="22"/>
          <w:szCs w:val="22"/>
        </w:rPr>
        <w:t xml:space="preserve"> de infraestructura de transporte</w:t>
      </w:r>
      <w:r w:rsidRPr="00C1373A">
        <w:rPr>
          <w:rFonts w:ascii="Arial" w:eastAsia="Calibri" w:hAnsi="Arial" w:cs="Arial"/>
          <w:bCs/>
          <w:sz w:val="22"/>
          <w:szCs w:val="22"/>
        </w:rPr>
        <w:t xml:space="preserve"> y </w:t>
      </w:r>
      <w:proofErr w:type="spellStart"/>
      <w:r w:rsidRPr="00C1373A">
        <w:rPr>
          <w:rFonts w:ascii="Arial" w:eastAsia="Calibri" w:hAnsi="Arial" w:cs="Arial"/>
          <w:bCs/>
          <w:sz w:val="22"/>
          <w:szCs w:val="22"/>
        </w:rPr>
        <w:t>iii</w:t>
      </w:r>
      <w:proofErr w:type="spellEnd"/>
      <w:r w:rsidRPr="00C1373A">
        <w:rPr>
          <w:rFonts w:ascii="Arial" w:eastAsia="Calibri" w:hAnsi="Arial" w:cs="Arial"/>
          <w:bCs/>
          <w:sz w:val="22"/>
          <w:szCs w:val="22"/>
        </w:rPr>
        <w:t xml:space="preserve">) </w:t>
      </w:r>
      <w:r w:rsidRPr="00C1373A">
        <w:rPr>
          <w:rFonts w:ascii="Arial" w:hAnsi="Arial" w:cs="Arial"/>
          <w:sz w:val="22"/>
          <w:szCs w:val="22"/>
        </w:rPr>
        <w:t>aplicación de la Matriz 1 – Experiencia y experiencia adicional para bienes o servicios adicionales en los documentos tipo.</w:t>
      </w:r>
      <w:r w:rsidRPr="00C1373A">
        <w:rPr>
          <w:rFonts w:ascii="Arial" w:hAnsi="Arial" w:cs="Arial"/>
          <w:b/>
          <w:bCs/>
          <w:sz w:val="22"/>
          <w:szCs w:val="22"/>
        </w:rPr>
        <w:t xml:space="preserve"> </w:t>
      </w:r>
    </w:p>
    <w:p w14:paraId="75E7A611" w14:textId="77777777" w:rsidR="00F60B77" w:rsidRPr="00C1373A" w:rsidRDefault="00F60B77" w:rsidP="00F60B77">
      <w:pPr>
        <w:spacing w:after="120" w:line="276" w:lineRule="auto"/>
        <w:ind w:firstLine="708"/>
        <w:jc w:val="both"/>
        <w:rPr>
          <w:rFonts w:ascii="Arial" w:eastAsia="Calibri" w:hAnsi="Arial" w:cs="Arial"/>
          <w:sz w:val="22"/>
          <w:szCs w:val="22"/>
          <w:lang w:val="es-ES_tradnl" w:eastAsia="es-ES_tradnl"/>
        </w:rPr>
      </w:pPr>
      <w:r w:rsidRPr="00C1373A">
        <w:rPr>
          <w:rFonts w:ascii="Arial" w:eastAsia="Calibri" w:hAnsi="Arial" w:cs="Arial"/>
          <w:sz w:val="22"/>
          <w:szCs w:val="22"/>
          <w:lang w:val="es-ES_tradnl" w:eastAsia="es-ES_tradnl"/>
        </w:rPr>
        <w:t xml:space="preserve">La Agencia Nacional de Contratación Pública – Colombia Compra Eficiente analizó el fundamento normativo de los pliegos de condiciones tipo en la contratación estatal, entre otros, en los siguientes conceptos: </w:t>
      </w:r>
      <w:r w:rsidRPr="00C1373A">
        <w:rPr>
          <w:rFonts w:ascii="Arial" w:hAnsi="Arial" w:cs="Arial"/>
          <w:sz w:val="22"/>
          <w:szCs w:val="22"/>
          <w:lang w:val="es-ES_tradnl" w:eastAsia="es-ES_tradnl"/>
        </w:rPr>
        <w:t xml:space="preserve">C-144 del 2 de marzo de 2020, C-174 del 16 de marzo de 2020,  C-129 del 24 de marzo de 2020, C-193 del 6 de abril de 2020, C-189 del 8 de abril de 2020, C-009 del 27 de abril de 2020, C-289 del 26 de mayo de 2020, C-332 del 26 de mayo de 2020, C-354 del 4 de junio de 2020, C-384 del 4 de junio de 2020, C-387 del 23 de junio de 2020, C-328 del 30 de junio de 2020, C-379 del 30 de junio de 2020, C-397 del 30 de junio de 2020, C-411 del 30 de junio de 2020, C-415 del 7 de julio de 2020, C-443 del 7 de julio de 2020, C-427 del 9 de julio de 2020, C-395 del 9 de julio de 2020, C-327 del 10 de julio de 2020, C-444 del 13 de julio de 2020, C-429 del 24 de julio de 2020, C-466 del </w:t>
      </w:r>
      <w:r w:rsidRPr="00C1373A">
        <w:rPr>
          <w:rFonts w:ascii="Arial" w:hAnsi="Arial" w:cs="Arial"/>
          <w:sz w:val="22"/>
          <w:szCs w:val="22"/>
          <w:lang w:val="es-ES_tradnl" w:eastAsia="es-ES_tradnl"/>
        </w:rPr>
        <w:lastRenderedPageBreak/>
        <w:t>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 C-798 del 25 de enero de 2021, C-027 del 1 de marzo de 2021 y C-204 del 6 de mayo de 2021</w:t>
      </w:r>
      <w:r w:rsidRPr="00C1373A">
        <w:rPr>
          <w:rFonts w:ascii="Arial" w:eastAsia="Calibri" w:hAnsi="Arial" w:cs="Arial"/>
          <w:sz w:val="22"/>
          <w:szCs w:val="22"/>
          <w:lang w:val="es-ES_tradnl" w:eastAsia="es-ES_tradnl"/>
        </w:rPr>
        <w:t xml:space="preserve">,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y C-643 del 17 de noviembre de 2021, C-690 del 27 de diciembre de 2022, C-706 del 17 de enero de 2022, C-679 del 24 de enero de 2022, C-066 del 28 de enero de 2022, C-705 del 5 de enero de 2022, C-753 del 6 de febrero de 2022, C-011 del 18 de febrero de 2022, C-033 del 4 de marzo de 2022, C-060 del 10 de marzo de 2022, C-086 del 15 de marzo de 2022, C-130 del 22 de marzo de 2022, C-110 del 23 de marzo de 2022 y C-137 del 29 de marzo de 2022. </w:t>
      </w:r>
    </w:p>
    <w:p w14:paraId="52DACD44" w14:textId="4395DB53" w:rsidR="00F60B77" w:rsidRPr="00C1373A" w:rsidRDefault="00F60B77" w:rsidP="00F60B77">
      <w:pPr>
        <w:spacing w:line="276" w:lineRule="auto"/>
        <w:ind w:firstLine="708"/>
        <w:jc w:val="both"/>
        <w:rPr>
          <w:rFonts w:ascii="Arial" w:eastAsia="Calibri" w:hAnsi="Arial" w:cs="Arial"/>
          <w:color w:val="000000" w:themeColor="text1"/>
          <w:sz w:val="22"/>
          <w:szCs w:val="22"/>
          <w:lang w:val="es-ES"/>
        </w:rPr>
      </w:pPr>
      <w:r w:rsidRPr="00C1373A">
        <w:rPr>
          <w:rFonts w:ascii="Arial" w:hAnsi="Arial" w:cs="Arial"/>
          <w:noProof/>
          <w:color w:val="000000"/>
          <w:sz w:val="22"/>
          <w:szCs w:val="22"/>
          <w:lang w:val="es-MX" w:eastAsia="es-ES_tradnl"/>
        </w:rPr>
        <w:t xml:space="preserve">De otra parte, </w:t>
      </w:r>
      <w:r w:rsidRPr="00C1373A">
        <w:rPr>
          <w:rFonts w:ascii="Arial" w:hAnsi="Arial" w:cs="Arial"/>
          <w:noProof/>
          <w:color w:val="000000"/>
          <w:sz w:val="22"/>
          <w:szCs w:val="22"/>
          <w:lang w:val="es-ES" w:eastAsia="es-ES_tradnl"/>
        </w:rPr>
        <w:t xml:space="preserve">la Agencia Nacional de Contratación Pública −Colombia Compra Eficiente−, </w:t>
      </w:r>
      <w:r w:rsidRPr="00C1373A">
        <w:rPr>
          <w:rFonts w:ascii="Arial" w:hAnsi="Arial" w:cs="Arial"/>
          <w:noProof/>
          <w:color w:val="000000"/>
          <w:sz w:val="22"/>
          <w:szCs w:val="22"/>
          <w:lang w:val="es-MX" w:eastAsia="es-ES_tradnl"/>
        </w:rPr>
        <w:t xml:space="preserve">en el concepto </w:t>
      </w:r>
      <w:r w:rsidRPr="00C1373A">
        <w:rPr>
          <w:rFonts w:ascii="Arial" w:hAnsi="Arial" w:cs="Arial"/>
          <w:noProof/>
          <w:color w:val="000000"/>
          <w:sz w:val="22"/>
          <w:szCs w:val="22"/>
          <w:lang w:val="es-ES" w:eastAsia="es-ES_tradnl"/>
        </w:rPr>
        <w:t>No. 4201912000004855 del 13 de agosto de 2019, reiterado y desarrollado en los conceptos No. 4201912000006117 del 7 de septiembre de 2019, 4201912000005786 del 7 de octubre de 2019, 4201912000006928, 4201912000006929 y 4201913000006952 del 8 de octubre de 2019, 4201912000006613 del 24 de octubre de 2019, 4201912000006576 del 6 de noviembre de 2019, 4201912000007375 y 4201912000007452 del 14 de noviembre de 2019, 4201912000007166 del 2 de diciembre de 2019, 4201912000007996 del 9 de diciembre de 2019, 4201912000007465 del 13 de diciembre de 2019, 4201912000007755 y 4201912000007931 del 20 de diciembre de 2019, 4201912000008017 del 26 de diciembre de 2019, 4201912000008465 del 8 de enero de 2020, C-133 del 30 de marzo de 2020, C-144 del 2 de marzo de 2020, C-341 del 22 de mayo de 2020, C-596 del 8 de septiembre de 2020, C-588 del 14 de septiembre de 2020, C-440 del 21 de octubre de 2020, C-649 del 27 de octubre de 2020, C-736 del 15 de diciembre 2020, C-801 del 21 de enero de 2021, C-109 del 29 de marzo de 2021, C-142 del 7 de abril de 2021, C-152 del 12 de abril de 2021, C-225 del 1 de junio de 2021, C-287 del 18 de junio de 2021, C-330 del 8 de julio de 2021, C-399 del 28 de septiembre de 2021, C-039 del 21 de febrero de 2022,</w:t>
      </w:r>
      <w:r w:rsidR="00657F2C">
        <w:rPr>
          <w:rFonts w:ascii="Arial" w:hAnsi="Arial" w:cs="Arial"/>
          <w:noProof/>
          <w:color w:val="000000"/>
          <w:sz w:val="22"/>
          <w:szCs w:val="22"/>
          <w:lang w:val="es-ES" w:eastAsia="es-ES_tradnl"/>
        </w:rPr>
        <w:t xml:space="preserve"> C-</w:t>
      </w:r>
      <w:r w:rsidR="00DA0BF9">
        <w:rPr>
          <w:rFonts w:ascii="Arial" w:hAnsi="Arial" w:cs="Arial"/>
          <w:noProof/>
          <w:color w:val="000000"/>
          <w:sz w:val="22"/>
          <w:szCs w:val="22"/>
          <w:lang w:val="es-ES" w:eastAsia="es-ES_tradnl"/>
        </w:rPr>
        <w:t>311 del 16 de mayo de 2022</w:t>
      </w:r>
      <w:r w:rsidRPr="00C1373A">
        <w:rPr>
          <w:rFonts w:ascii="Arial" w:hAnsi="Arial" w:cs="Arial"/>
          <w:noProof/>
          <w:color w:val="000000"/>
          <w:sz w:val="22"/>
          <w:szCs w:val="22"/>
          <w:lang w:val="es-ES" w:eastAsia="es-ES_tradnl"/>
        </w:rPr>
        <w:t xml:space="preserve"> entre otros, estudió la posibilidad de solicitar experiencia adicional cuando se requiere contratar en contratos de obra pública, bienes o servicios adicionales a la obra pública de infraestructura de </w:t>
      </w:r>
      <w:r w:rsidRPr="00C1373A">
        <w:rPr>
          <w:rFonts w:ascii="Arial" w:hAnsi="Arial" w:cs="Arial"/>
          <w:noProof/>
          <w:color w:val="000000"/>
          <w:sz w:val="22"/>
          <w:szCs w:val="22"/>
          <w:lang w:val="es-ES" w:eastAsia="es-ES_tradnl"/>
        </w:rPr>
        <w:lastRenderedPageBreak/>
        <w:t>transporte.</w:t>
      </w:r>
      <w:r w:rsidRPr="00C1373A">
        <w:rPr>
          <w:rFonts w:ascii="Arial" w:hAnsi="Arial" w:cs="Arial"/>
          <w:noProof/>
          <w:color w:val="000000"/>
          <w:sz w:val="22"/>
          <w:szCs w:val="22"/>
          <w:lang w:eastAsia="es-ES_tradnl"/>
        </w:rPr>
        <w:t xml:space="preserve"> </w:t>
      </w:r>
      <w:r w:rsidRPr="00C1373A">
        <w:rPr>
          <w:rFonts w:ascii="Arial" w:hAnsi="Arial" w:cs="Arial"/>
          <w:color w:val="000000" w:themeColor="text1"/>
          <w:sz w:val="22"/>
          <w:szCs w:val="22"/>
        </w:rPr>
        <w:t>La tesis expuesta en estos conceptos se reitera a continuación y se complementa en lo pertinente:</w:t>
      </w:r>
    </w:p>
    <w:p w14:paraId="2F01838B" w14:textId="77777777" w:rsidR="00F60B77" w:rsidRPr="00C1373A" w:rsidRDefault="00F60B77" w:rsidP="00F60B77">
      <w:pPr>
        <w:jc w:val="both"/>
        <w:rPr>
          <w:rFonts w:ascii="Arial" w:eastAsia="Calibri" w:hAnsi="Arial" w:cs="Arial"/>
          <w:color w:val="000000"/>
          <w:sz w:val="22"/>
          <w:szCs w:val="22"/>
          <w:lang w:val="es-ES_tradnl"/>
        </w:rPr>
      </w:pPr>
    </w:p>
    <w:p w14:paraId="68203D2A" w14:textId="77777777" w:rsidR="00F60B77" w:rsidRPr="00C1373A" w:rsidRDefault="00F60B77" w:rsidP="00F60B77">
      <w:pPr>
        <w:spacing w:line="276" w:lineRule="auto"/>
        <w:jc w:val="both"/>
        <w:rPr>
          <w:rFonts w:ascii="Arial" w:eastAsia="Calibri" w:hAnsi="Arial" w:cs="Arial"/>
          <w:b/>
          <w:bCs/>
          <w:color w:val="000000" w:themeColor="text1"/>
          <w:sz w:val="22"/>
          <w:szCs w:val="22"/>
          <w:lang w:val="es-ES_tradnl"/>
        </w:rPr>
      </w:pPr>
      <w:r w:rsidRPr="00C1373A">
        <w:rPr>
          <w:rFonts w:ascii="Arial" w:eastAsia="Calibri" w:hAnsi="Arial" w:cs="Arial"/>
          <w:b/>
          <w:bCs/>
          <w:color w:val="000000" w:themeColor="text1"/>
          <w:sz w:val="22"/>
          <w:szCs w:val="22"/>
          <w:lang w:val="es-ES_tradnl"/>
        </w:rPr>
        <w:t>2.1. Antecedentes y fundamentos de los documentos del sector de infraestructura de transporte</w:t>
      </w:r>
    </w:p>
    <w:p w14:paraId="37D77403" w14:textId="77777777" w:rsidR="00F60B77" w:rsidRPr="00C1373A" w:rsidRDefault="00F60B77" w:rsidP="00F60B77">
      <w:pPr>
        <w:spacing w:line="276" w:lineRule="auto"/>
        <w:jc w:val="both"/>
        <w:rPr>
          <w:rFonts w:ascii="Arial" w:eastAsia="Calibri" w:hAnsi="Arial" w:cs="Arial"/>
          <w:b/>
          <w:bCs/>
          <w:color w:val="000000" w:themeColor="text1"/>
          <w:sz w:val="22"/>
          <w:szCs w:val="22"/>
          <w:lang w:val="es-ES_tradnl"/>
        </w:rPr>
      </w:pPr>
    </w:p>
    <w:p w14:paraId="5F8A6550" w14:textId="77777777" w:rsidR="00F60B77" w:rsidRPr="00C1373A" w:rsidRDefault="00F60B77" w:rsidP="00F60B77">
      <w:pPr>
        <w:spacing w:after="120" w:line="276" w:lineRule="auto"/>
        <w:jc w:val="both"/>
        <w:rPr>
          <w:rFonts w:ascii="Arial" w:eastAsia="Calibri" w:hAnsi="Arial" w:cs="Arial"/>
          <w:sz w:val="22"/>
          <w:szCs w:val="22"/>
          <w:lang w:val="es-ES_tradnl"/>
        </w:rPr>
      </w:pPr>
      <w:r w:rsidRPr="00C1373A">
        <w:rPr>
          <w:rFonts w:ascii="Arial" w:eastAsia="Calibri" w:hAnsi="Arial" w:cs="Arial"/>
          <w:sz w:val="22"/>
          <w:szCs w:val="22"/>
          <w:lang w:val="es-ES_tradnl"/>
        </w:rPr>
        <w:t>La adopción de los documentos tipo obligatorios en el ordenamiento jurídico colombiano se incluyó por primera vez en el parágrafo 3 del artículo 2 de la Ley 1150 de 2007</w:t>
      </w:r>
      <w:r w:rsidRPr="00C1373A">
        <w:rPr>
          <w:rStyle w:val="Refdenotaalpie"/>
          <w:rFonts w:ascii="Arial" w:eastAsia="Calibri" w:hAnsi="Arial" w:cs="Arial"/>
          <w:sz w:val="22"/>
          <w:szCs w:val="22"/>
        </w:rPr>
        <w:footnoteReference w:id="1"/>
      </w:r>
      <w:r w:rsidRPr="00C1373A">
        <w:rPr>
          <w:rFonts w:ascii="Arial" w:eastAsia="Calibri" w:hAnsi="Arial" w:cs="Arial"/>
          <w:sz w:val="22"/>
          <w:szCs w:val="22"/>
        </w:rPr>
        <w:t xml:space="preserve">. Esta norma </w:t>
      </w:r>
      <w:r w:rsidRPr="00C1373A">
        <w:rPr>
          <w:rFonts w:ascii="Arial" w:eastAsia="Calibri" w:hAnsi="Arial" w:cs="Arial"/>
          <w:sz w:val="22"/>
          <w:szCs w:val="22"/>
          <w:lang w:val="es-ES_tradnl"/>
        </w:rPr>
        <w:t xml:space="preserve">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5B5DA02D" w14:textId="77777777" w:rsidR="00F60B77" w:rsidRPr="00C1373A" w:rsidRDefault="00F60B77" w:rsidP="00F60B77">
      <w:pPr>
        <w:spacing w:line="276" w:lineRule="auto"/>
        <w:ind w:firstLine="708"/>
        <w:jc w:val="both"/>
        <w:rPr>
          <w:rFonts w:ascii="Arial" w:eastAsia="Calibri" w:hAnsi="Arial" w:cs="Arial"/>
          <w:sz w:val="22"/>
          <w:szCs w:val="22"/>
          <w:lang w:val="es-ES_tradnl"/>
        </w:rPr>
      </w:pPr>
      <w:r w:rsidRPr="00C1373A">
        <w:rPr>
          <w:rFonts w:ascii="Arial" w:eastAsia="Calibri" w:hAnsi="Arial" w:cs="Arial"/>
          <w:sz w:val="22"/>
          <w:szCs w:val="22"/>
          <w:lang w:val="es-ES_tradnl"/>
        </w:rPr>
        <w:t xml:space="preserve">Debido a lo anterior, el artículo 4 de la Ley 1882 de 2018 es el antecedente más relevante respecto a los documentos tipo. A partir de esta norma se determinó la obligatoriedad para todas las entidades sometidas al Estatuto General de Contratación de la Administración Pública de aplicar los documentos tipo adoptados por el Gobierno Nacional. Debe señalarse que en virtud de la Ley 1882 de 2018 se expidieron varios documentos tipo para el sector de infraestructura de transporte y, por tanto, es importante explicar el proceso previsto en dicho cuerpo normativo. </w:t>
      </w:r>
    </w:p>
    <w:p w14:paraId="31D6D0B0" w14:textId="77777777" w:rsidR="00F60B77" w:rsidRPr="00C1373A" w:rsidRDefault="00F60B77" w:rsidP="00F60B77">
      <w:pPr>
        <w:spacing w:before="120" w:after="120" w:line="276" w:lineRule="auto"/>
        <w:ind w:firstLine="708"/>
        <w:jc w:val="both"/>
        <w:rPr>
          <w:rFonts w:ascii="Arial" w:eastAsia="Calibri" w:hAnsi="Arial" w:cs="Arial"/>
          <w:sz w:val="22"/>
          <w:szCs w:val="22"/>
          <w:lang w:val="es-ES_tradnl"/>
        </w:rPr>
      </w:pPr>
      <w:r w:rsidRPr="00C1373A">
        <w:rPr>
          <w:rFonts w:ascii="Arial" w:eastAsia="Calibri" w:hAnsi="Arial" w:cs="Arial"/>
          <w:sz w:val="22"/>
          <w:szCs w:val="22"/>
          <w:lang w:val="es-ES_tradnl"/>
        </w:rPr>
        <w:t>El artículo 4 de la Ley 1882 de 2018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Contratación que adelantaran</w:t>
      </w:r>
      <w:r w:rsidRPr="00C1373A">
        <w:rPr>
          <w:rStyle w:val="Refdenotaalpie"/>
          <w:rFonts w:ascii="Arial" w:eastAsia="Calibri" w:hAnsi="Arial" w:cs="Arial"/>
          <w:sz w:val="22"/>
          <w:szCs w:val="22"/>
        </w:rPr>
        <w:footnoteReference w:id="2"/>
      </w:r>
      <w:r w:rsidRPr="00C1373A">
        <w:rPr>
          <w:rFonts w:ascii="Arial" w:eastAsia="Calibri" w:hAnsi="Arial" w:cs="Arial"/>
          <w:sz w:val="22"/>
          <w:szCs w:val="22"/>
          <w:lang w:val="es-ES_tradnl"/>
        </w:rPr>
        <w:t>.</w:t>
      </w:r>
    </w:p>
    <w:p w14:paraId="1910D0D3" w14:textId="77777777" w:rsidR="00F60B77" w:rsidRPr="00C1373A" w:rsidRDefault="00F60B77" w:rsidP="00F60B77">
      <w:pPr>
        <w:spacing w:before="120" w:after="120" w:line="276" w:lineRule="auto"/>
        <w:jc w:val="both"/>
        <w:rPr>
          <w:rFonts w:ascii="Arial" w:eastAsia="Calibri" w:hAnsi="Arial" w:cs="Arial"/>
          <w:sz w:val="22"/>
          <w:szCs w:val="22"/>
          <w:lang w:val="es-ES_tradnl"/>
        </w:rPr>
      </w:pPr>
      <w:r w:rsidRPr="00C1373A">
        <w:rPr>
          <w:rFonts w:ascii="Arial" w:eastAsia="Calibri" w:hAnsi="Arial" w:cs="Arial"/>
          <w:sz w:val="22"/>
          <w:szCs w:val="22"/>
          <w:lang w:val="es-ES_tradnl"/>
        </w:rPr>
        <w:lastRenderedPageBreak/>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3527DCCF" w14:textId="77777777" w:rsidR="00F60B77" w:rsidRPr="00C1373A" w:rsidRDefault="00F60B77" w:rsidP="00F60B77">
      <w:pPr>
        <w:spacing w:before="120" w:after="120" w:line="276" w:lineRule="auto"/>
        <w:jc w:val="both"/>
        <w:rPr>
          <w:rFonts w:ascii="Arial" w:eastAsia="Calibri" w:hAnsi="Arial" w:cs="Arial"/>
          <w:sz w:val="22"/>
          <w:szCs w:val="22"/>
          <w:lang w:val="es-ES_tradnl"/>
        </w:rPr>
      </w:pPr>
      <w:r w:rsidRPr="00C1373A">
        <w:rPr>
          <w:rFonts w:ascii="Arial" w:eastAsia="Calibri" w:hAnsi="Arial" w:cs="Arial"/>
          <w:sz w:val="22"/>
          <w:szCs w:val="22"/>
          <w:lang w:val="es-ES_tradnl"/>
        </w:rPr>
        <w:tab/>
        <w:t xml:space="preserve">De la norma descrita se concluía lo siguiente: i) la adopción de los documentos tipo estaba en cabeza del Gobierno Nacional. </w:t>
      </w:r>
      <w:proofErr w:type="spellStart"/>
      <w:r w:rsidRPr="00C1373A">
        <w:rPr>
          <w:rFonts w:ascii="Arial" w:eastAsia="Calibri" w:hAnsi="Arial" w:cs="Arial"/>
          <w:sz w:val="22"/>
          <w:szCs w:val="22"/>
          <w:lang w:val="es-ES_tradnl"/>
        </w:rPr>
        <w:t>ii</w:t>
      </w:r>
      <w:proofErr w:type="spellEnd"/>
      <w:r w:rsidRPr="00C1373A">
        <w:rPr>
          <w:rFonts w:ascii="Arial" w:eastAsia="Calibri" w:hAnsi="Arial" w:cs="Arial"/>
          <w:sz w:val="22"/>
          <w:szCs w:val="22"/>
          <w:lang w:val="es-ES_tradnl"/>
        </w:rPr>
        <w:t xml:space="preserve">) Estos debían relacionarse con procesos de obra públicas, interventoría para las obras públicas, interventoría para consultoría de estudios y diseños y, finalmente, consultoría en ingeniería para obras. </w:t>
      </w:r>
      <w:proofErr w:type="spellStart"/>
      <w:r w:rsidRPr="00C1373A">
        <w:rPr>
          <w:rFonts w:ascii="Arial" w:eastAsia="Calibri" w:hAnsi="Arial" w:cs="Arial"/>
          <w:sz w:val="22"/>
          <w:szCs w:val="22"/>
          <w:lang w:val="es-ES_tradnl"/>
        </w:rPr>
        <w:t>iii</w:t>
      </w:r>
      <w:proofErr w:type="spellEnd"/>
      <w:r w:rsidRPr="00C1373A">
        <w:rPr>
          <w:rFonts w:ascii="Arial" w:eastAsia="Calibri" w:hAnsi="Arial" w:cs="Arial"/>
          <w:sz w:val="22"/>
          <w:szCs w:val="22"/>
          <w:lang w:val="es-ES_tradnl"/>
        </w:rPr>
        <w:t xml:space="preserve">) Eran de obligatorio cumplimiento por parte de todas las entidades sometidas al Estatuto General de Contratación de la Administración Pública. </w:t>
      </w:r>
      <w:proofErr w:type="spellStart"/>
      <w:r w:rsidRPr="00C1373A">
        <w:rPr>
          <w:rFonts w:ascii="Arial" w:eastAsia="Calibri" w:hAnsi="Arial" w:cs="Arial"/>
          <w:sz w:val="22"/>
          <w:szCs w:val="22"/>
          <w:lang w:val="es-ES_tradnl"/>
        </w:rPr>
        <w:t>iv</w:t>
      </w:r>
      <w:proofErr w:type="spellEnd"/>
      <w:r w:rsidRPr="00C1373A">
        <w:rPr>
          <w:rFonts w:ascii="Arial" w:eastAsia="Calibri" w:hAnsi="Arial" w:cs="Arial"/>
          <w:sz w:val="22"/>
          <w:szCs w:val="22"/>
          <w:lang w:val="es-ES_tradnl"/>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554EC6D7" w14:textId="77777777" w:rsidR="00F60B77" w:rsidRPr="00C1373A" w:rsidRDefault="00F60B77" w:rsidP="00F60B77">
      <w:pPr>
        <w:spacing w:before="120" w:after="120" w:line="276" w:lineRule="auto"/>
        <w:jc w:val="both"/>
        <w:rPr>
          <w:rFonts w:ascii="Arial" w:eastAsia="Calibri" w:hAnsi="Arial" w:cs="Arial"/>
          <w:sz w:val="22"/>
          <w:szCs w:val="22"/>
          <w:lang w:val="es-ES_tradnl"/>
        </w:rPr>
      </w:pPr>
      <w:r w:rsidRPr="00C1373A">
        <w:rPr>
          <w:rFonts w:ascii="Arial" w:eastAsia="Calibri" w:hAnsi="Arial" w:cs="Arial"/>
          <w:sz w:val="22"/>
          <w:szCs w:val="22"/>
          <w:lang w:val="es-ES_tradnl"/>
        </w:rPr>
        <w:tab/>
        <w:t xml:space="preserve">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w:t>
      </w:r>
      <w:bookmarkStart w:id="0" w:name="_Hlk48665985"/>
      <w:r w:rsidRPr="00C1373A">
        <w:rPr>
          <w:rFonts w:ascii="Arial" w:eastAsia="Calibri" w:hAnsi="Arial" w:cs="Arial"/>
          <w:sz w:val="22"/>
          <w:szCs w:val="22"/>
          <w:lang w:val="es-ES_tradnl"/>
        </w:rPr>
        <w:t>y los criterios de escogencia, elementos propios del procedimiento de selección del contratista, materia en la que existe reserva de ley y que no se encuentra atribuida a la regulación de las entidades territoriales</w:t>
      </w:r>
      <w:bookmarkEnd w:id="0"/>
      <w:r w:rsidRPr="00C1373A">
        <w:rPr>
          <w:rFonts w:ascii="Arial" w:eastAsia="Calibri" w:hAnsi="Arial" w:cs="Arial"/>
          <w:sz w:val="22"/>
          <w:szCs w:val="22"/>
          <w:lang w:val="es-ES_tradnl"/>
        </w:rPr>
        <w:t>. De igual manera, se establece que esta autonomía se garantiza con la identificación autónoma de sus necesidades y la configuración de los elementos del contrato</w:t>
      </w:r>
      <w:r w:rsidRPr="00C1373A">
        <w:rPr>
          <w:rStyle w:val="Refdenotaalpie"/>
          <w:rFonts w:ascii="Arial" w:eastAsia="Calibri" w:hAnsi="Arial" w:cs="Arial"/>
          <w:sz w:val="22"/>
          <w:szCs w:val="22"/>
        </w:rPr>
        <w:footnoteReference w:id="3"/>
      </w:r>
      <w:r w:rsidRPr="00C1373A">
        <w:rPr>
          <w:rFonts w:ascii="Arial" w:eastAsia="Calibri" w:hAnsi="Arial" w:cs="Arial"/>
          <w:sz w:val="22"/>
          <w:szCs w:val="22"/>
          <w:lang w:val="es-ES_tradnl"/>
        </w:rPr>
        <w:t>.</w:t>
      </w:r>
    </w:p>
    <w:p w14:paraId="4A2F178C" w14:textId="77777777" w:rsidR="00F60B77" w:rsidRPr="00C1373A" w:rsidRDefault="00F60B77" w:rsidP="00F60B77">
      <w:pPr>
        <w:spacing w:before="120" w:after="120" w:line="276" w:lineRule="auto"/>
        <w:jc w:val="both"/>
        <w:rPr>
          <w:rFonts w:ascii="Arial" w:eastAsia="Calibri" w:hAnsi="Arial" w:cs="Arial"/>
          <w:sz w:val="22"/>
          <w:szCs w:val="22"/>
          <w:lang w:val="es-ES_tradnl"/>
        </w:rPr>
      </w:pPr>
      <w:r w:rsidRPr="00C1373A">
        <w:rPr>
          <w:rFonts w:ascii="Arial" w:eastAsia="Calibri" w:hAnsi="Arial" w:cs="Arial"/>
          <w:sz w:val="22"/>
          <w:szCs w:val="22"/>
          <w:lang w:val="es-ES_tradnl"/>
        </w:rPr>
        <w:lastRenderedPageBreak/>
        <w:tab/>
        <w:t>De este modo, los documentos tipo no afectan la autonomía de las entidades territoriales. Lo anterior, debido a que la definición de los requisitos habilitantes y de aspectos técnicos de la escogencia del contratista en los Procesos de Contratación, son aspectos en los que el legislador tiene amplia libertad de configuración normativa y, por tanto, puede atribuir dicha regulación al Gobierno Nacional. Ahora, dicha autonomía se materializa cuando las entidades territoriales deciden iniciar una convocatoria para satisfacer sus necesidades para la adquisición de un bien, obra o servicio, y además se incluyen en la minuta del contrato las condiciones particulares del negocio jurídico a celebrar.</w:t>
      </w:r>
    </w:p>
    <w:p w14:paraId="0BA72FDA" w14:textId="77777777" w:rsidR="00F60B77" w:rsidRPr="00C1373A" w:rsidRDefault="00F60B77" w:rsidP="00F60B77">
      <w:pPr>
        <w:spacing w:before="120" w:after="120" w:line="276" w:lineRule="auto"/>
        <w:jc w:val="both"/>
        <w:rPr>
          <w:rFonts w:ascii="Arial" w:eastAsia="Calibri" w:hAnsi="Arial" w:cs="Arial"/>
          <w:sz w:val="22"/>
          <w:szCs w:val="22"/>
          <w:lang w:val="es-ES_tradnl"/>
        </w:rPr>
      </w:pPr>
      <w:r w:rsidRPr="00C1373A">
        <w:rPr>
          <w:rFonts w:ascii="Arial" w:eastAsia="Calibri" w:hAnsi="Arial" w:cs="Arial"/>
          <w:sz w:val="22"/>
          <w:szCs w:val="22"/>
          <w:lang w:val="es-ES_tradnl"/>
        </w:rPr>
        <w:tab/>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de documentos tipo mediante el Decreto 342 de 2019, relacionado con los documentos tipo para los procesos de selección de licitación de obra pública de infraestructura de transporte. Luego se expidió el Decreto 2096 de 2019, que permitió el desarrollo de los documentos tipo para los pliegos de condiciones de los procesos de obras públicas de infraestructura de transporte que se adelantaran por la modalidad de selección abreviada de menor cuantía. </w:t>
      </w:r>
    </w:p>
    <w:p w14:paraId="27E37771" w14:textId="77777777" w:rsidR="00F60B77" w:rsidRPr="00C1373A" w:rsidRDefault="00F60B77" w:rsidP="00F60B77">
      <w:pPr>
        <w:spacing w:before="120" w:after="120" w:line="276" w:lineRule="auto"/>
        <w:ind w:firstLine="708"/>
        <w:jc w:val="both"/>
        <w:rPr>
          <w:rFonts w:ascii="Arial" w:eastAsia="Calibri" w:hAnsi="Arial" w:cs="Arial"/>
          <w:sz w:val="22"/>
          <w:szCs w:val="22"/>
          <w:lang w:val="es-ES_tradnl"/>
        </w:rPr>
      </w:pPr>
      <w:r w:rsidRPr="00C1373A">
        <w:rPr>
          <w:rFonts w:ascii="Arial" w:eastAsia="Calibri" w:hAnsi="Arial" w:cs="Arial"/>
          <w:sz w:val="22"/>
          <w:szCs w:val="22"/>
          <w:lang w:val="es-ES_tradnl"/>
        </w:rPr>
        <w:t>Finalmente, se profirió el Decreto 594 de 2020, frente a los documentos tipo para los contratos de obra pública</w:t>
      </w:r>
      <w:r w:rsidRPr="00C1373A" w:rsidDel="00A434AB">
        <w:rPr>
          <w:rFonts w:ascii="Arial" w:eastAsia="Calibri" w:hAnsi="Arial" w:cs="Arial"/>
          <w:sz w:val="22"/>
          <w:szCs w:val="22"/>
          <w:lang w:val="es-ES_tradnl"/>
        </w:rPr>
        <w:t xml:space="preserve"> </w:t>
      </w:r>
      <w:r w:rsidRPr="00C1373A">
        <w:rPr>
          <w:rFonts w:ascii="Arial" w:eastAsia="Calibri" w:hAnsi="Arial" w:cs="Arial"/>
          <w:sz w:val="22"/>
          <w:szCs w:val="22"/>
          <w:lang w:val="es-ES_tradnl"/>
        </w:rPr>
        <w:t xml:space="preserve">de infraestructura de transporte que se surtieran por la modalidad de mínima cuantía. Estos documentos fueron implementados y desarrollados por la Agencia Nacional de Contratación Pública </w:t>
      </w:r>
      <w:bookmarkStart w:id="1" w:name="_Hlk37841850"/>
      <w:r w:rsidRPr="00C1373A">
        <w:rPr>
          <w:rFonts w:ascii="Arial" w:eastAsia="Calibri" w:hAnsi="Arial" w:cs="Arial"/>
          <w:sz w:val="22"/>
          <w:szCs w:val="22"/>
          <w:lang w:val="es-ES_tradnl"/>
        </w:rPr>
        <w:t xml:space="preserve">– Colombia Compra Eficiente, </w:t>
      </w:r>
      <w:bookmarkEnd w:id="1"/>
      <w:r w:rsidRPr="00C1373A">
        <w:rPr>
          <w:rFonts w:ascii="Arial" w:eastAsia="Calibri" w:hAnsi="Arial" w:cs="Arial"/>
          <w:sz w:val="22"/>
          <w:szCs w:val="22"/>
          <w:lang w:val="es-ES_tradnl"/>
        </w:rPr>
        <w:t>por medio de la Resolución 1798 de 2019 –derogada por la Resolución 045 de 2020–, la Resolución 044 de 2020 y la Resolución 094 de 2020.</w:t>
      </w:r>
    </w:p>
    <w:p w14:paraId="5C69FB32" w14:textId="77777777" w:rsidR="00F60B77" w:rsidRPr="00F60B77" w:rsidRDefault="00F60B77" w:rsidP="00F60B77">
      <w:pPr>
        <w:pStyle w:val="Normal11pt"/>
        <w:spacing w:before="120" w:line="276" w:lineRule="auto"/>
        <w:ind w:left="0" w:firstLine="709"/>
        <w:rPr>
          <w:rFonts w:eastAsia="Calibri"/>
          <w:color w:val="auto"/>
        </w:rPr>
      </w:pPr>
      <w:r w:rsidRPr="00F60B77">
        <w:rPr>
          <w:rFonts w:eastAsia="Calibri"/>
          <w:color w:val="auto"/>
        </w:rPr>
        <w:t>Con posterioridad a la adopción de los anteriores documentos tipo, se expidió la Ley 2022 de 2020, norma que modificó el parágrafo 7 del artículo 2 de la Ley 1150 de 2007, que había sido adicionado por la Ley 1882 de 2018</w:t>
      </w:r>
      <w:r w:rsidRPr="00F60B77">
        <w:rPr>
          <w:rStyle w:val="Refdenotaalpie"/>
          <w:rFonts w:eastAsia="Calibri"/>
        </w:rPr>
        <w:footnoteReference w:id="4"/>
      </w:r>
      <w:r w:rsidRPr="00F60B77">
        <w:rPr>
          <w:rFonts w:eastAsia="Calibri"/>
          <w:color w:val="auto"/>
        </w:rPr>
        <w:t xml:space="preserve">. Con esta modificación, si bien se </w:t>
      </w:r>
      <w:r w:rsidRPr="00F60B77">
        <w:rPr>
          <w:rFonts w:eastAsia="Calibri"/>
          <w:color w:val="auto"/>
        </w:rPr>
        <w:lastRenderedPageBreak/>
        <w:t xml:space="preserve">mantuvo el mandato de aplicación obligatoria de los documentos tipo por parte de las entidades sometidas al Estatuto General de Contratación de la Administración Pública, se atribuyó, específicamente, a la </w:t>
      </w:r>
      <w:r w:rsidRPr="00F60B77">
        <w:rPr>
          <w:rFonts w:eastAsia="Calibri"/>
          <w:color w:val="auto"/>
          <w:lang w:eastAsia="en-US"/>
        </w:rPr>
        <w:t xml:space="preserve">Agencia Nacional de Contratación Pública – Colombia Compra Eficiente la competencia para su adopción. </w:t>
      </w:r>
      <w:r w:rsidRPr="00F60B77">
        <w:rPr>
          <w:rFonts w:eastAsia="Calibri"/>
          <w:color w:val="auto"/>
        </w:rPr>
        <w:t xml:space="preserve">En este marco, con la finalidad de realizar un desarrollo armónico y ajustado a la ley que otorgó esta competencia, esta Agencia emitió la Resolución 160 de 2020 «Por la cual se adopta el procedimiento para implementar los documentos tipo y se define el sistema para su revisión». Asimismo, con fundamento en dicha Ley, se profirió la Resolución 240 de 2020, «Por la cual se actualizan los Documentos Tipo para los procesos de selección de licitación de obra pública de infraestructura de transporte y se deroga la Resolución 0045 de 2020». </w:t>
      </w:r>
    </w:p>
    <w:p w14:paraId="68D6A280" w14:textId="77777777" w:rsidR="00F60B77" w:rsidRPr="00F60B77" w:rsidRDefault="00F60B77" w:rsidP="00F60B77">
      <w:pPr>
        <w:pStyle w:val="Normal11pt"/>
        <w:spacing w:before="120" w:line="276" w:lineRule="auto"/>
        <w:ind w:left="0" w:firstLine="709"/>
        <w:rPr>
          <w:color w:val="auto"/>
        </w:rPr>
      </w:pPr>
      <w:r w:rsidRPr="00F60B77">
        <w:rPr>
          <w:rFonts w:eastAsia="Calibri"/>
          <w:color w:val="auto"/>
        </w:rPr>
        <w:t xml:space="preserve">De igual manera, se expidió la Resolución 241 de 2020, «Por la cual se actualizan los Documentos Tipo para los procesos de selección abreviada de menor cuantía de obra pública de infraestructura de transporte y se deroga la Resolución 0044 de 2020». También </w:t>
      </w:r>
      <w:proofErr w:type="gramStart"/>
      <w:r w:rsidRPr="00F60B77">
        <w:rPr>
          <w:rFonts w:eastAsia="Calibri"/>
          <w:color w:val="auto"/>
        </w:rPr>
        <w:t>entró en vigencia</w:t>
      </w:r>
      <w:proofErr w:type="gramEnd"/>
      <w:r w:rsidRPr="00F60B77">
        <w:rPr>
          <w:rFonts w:eastAsia="Calibri"/>
          <w:color w:val="auto"/>
        </w:rPr>
        <w:t xml:space="preserve"> la Resolución 256 de 2020, «Por la cual se adoptan los documentos tipo para los procesos de selección de concursos de méritos, para contratar la interventoría de obras públicas de infraestructura de transporte», así como la Resolución 193 de 2021, </w:t>
      </w:r>
      <w:r w:rsidRPr="00F60B77">
        <w:rPr>
          <w:color w:val="auto"/>
        </w:rPr>
        <w:t>«Por la cual se adoptan los documentos tipo para los procesos de selección de concurso de méritos, para contratar la consultoría de estudios de ingeniería de infraestructura de transporte».</w:t>
      </w:r>
    </w:p>
    <w:p w14:paraId="0D24F393" w14:textId="77777777" w:rsidR="00F60B77" w:rsidRPr="00F60B77" w:rsidRDefault="00F60B77" w:rsidP="00F60B77">
      <w:pPr>
        <w:pStyle w:val="Normal11pt"/>
        <w:spacing w:before="120" w:line="276" w:lineRule="auto"/>
        <w:ind w:left="0" w:firstLine="709"/>
        <w:rPr>
          <w:rFonts w:eastAsia="Calibri"/>
          <w:color w:val="auto"/>
        </w:rPr>
      </w:pPr>
      <w:r w:rsidRPr="00F60B77">
        <w:rPr>
          <w:color w:val="auto"/>
        </w:rPr>
        <w:t xml:space="preserve">Los documentos tipo también han sido objeto de modificaciones para adecuarlos a los factores de desempate del artículo 35 de la Ley 2069 de 2020 –Resolución 161 del 17 de junio de 2021–, así como la regla de origen del Decreto 680 de 2021 –Resolución 304 del 13 de octubre de 2021–. Recientemente, el documento tipo de mínima cuantía para obra pública de infraestructura de transporte también fue ajustado mediante la Resolución 146 del 25 de marzo de 2022. </w:t>
      </w:r>
    </w:p>
    <w:p w14:paraId="5DA11788" w14:textId="77777777" w:rsidR="00F60B77" w:rsidRPr="00F60B77" w:rsidRDefault="00F60B77" w:rsidP="00F60B77">
      <w:pPr>
        <w:pStyle w:val="Normal11pt"/>
        <w:spacing w:before="120" w:after="120" w:line="276" w:lineRule="auto"/>
        <w:ind w:left="0" w:firstLine="708"/>
        <w:rPr>
          <w:color w:val="auto"/>
        </w:rPr>
      </w:pPr>
      <w:r w:rsidRPr="00F60B77">
        <w:rPr>
          <w:color w:val="auto"/>
        </w:rPr>
        <w:t xml:space="preserve">En cuanto al ámbito de aplicación de estos documentos, es preciso explicar que cada una de estas resoluciones está relacionada con un sector, un objeto contractual y una </w:t>
      </w:r>
      <w:r w:rsidRPr="00F60B77">
        <w:rPr>
          <w:color w:val="auto"/>
        </w:rPr>
        <w:lastRenderedPageBreak/>
        <w:t xml:space="preserve">modalidad de selección específica. Esto de tal manera que las entidades estatales regidas por el Estatuto General de Contratación de la Administración Pública, al momento de adelantar un proceso de contratación asociado a uno de los sectores para los que se han implementado documentos tipo, deben consultar el contenido de los respectivos documentos tipo, para determinar si la modalidad de escogencia y el objeto a contratar son o no subsumibles dentro de lo dispuesto en aquellos. De ser esto así, la entidad estará obligada a adelantar el proceso de contratación aplicando los documentos tipo del caso. </w:t>
      </w:r>
    </w:p>
    <w:p w14:paraId="0810A10A" w14:textId="77777777" w:rsidR="00F60B77" w:rsidRPr="00C1373A" w:rsidRDefault="00F60B77" w:rsidP="00F60B77">
      <w:pPr>
        <w:spacing w:line="276" w:lineRule="auto"/>
        <w:ind w:firstLine="708"/>
        <w:jc w:val="both"/>
        <w:rPr>
          <w:rFonts w:ascii="Arial" w:hAnsi="Arial" w:cs="Arial"/>
          <w:sz w:val="22"/>
          <w:szCs w:val="22"/>
          <w:shd w:val="clear" w:color="auto" w:fill="FFFFFF"/>
          <w:lang w:val="es-ES_tradnl"/>
        </w:rPr>
      </w:pPr>
      <w:r w:rsidRPr="00C1373A">
        <w:rPr>
          <w:rFonts w:ascii="Arial" w:hAnsi="Arial" w:cs="Arial"/>
          <w:sz w:val="22"/>
          <w:szCs w:val="22"/>
          <w:shd w:val="clear" w:color="auto" w:fill="FFFFFF"/>
          <w:lang w:val="es-ES_tradnl"/>
        </w:rPr>
        <w:t xml:space="preserve">Es importante advertir que todas las resoluciones mediante las que se han adoptado documentos tipo consagran la regla de la inalterabilidad. Esta prohibición consiste en que las entidades estatales no pueden incluir o modificar en los </w:t>
      </w:r>
      <w:r w:rsidRPr="00C1373A">
        <w:rPr>
          <w:rFonts w:ascii="Arial" w:hAnsi="Arial" w:cs="Arial"/>
          <w:i/>
          <w:iCs/>
          <w:sz w:val="22"/>
          <w:szCs w:val="22"/>
          <w:shd w:val="clear" w:color="auto" w:fill="FFFFFF"/>
          <w:lang w:val="es-ES_tradnl"/>
        </w:rPr>
        <w:t>Documentos del Proceso</w:t>
      </w:r>
      <w:r w:rsidRPr="00C1373A">
        <w:rPr>
          <w:rFonts w:ascii="Arial" w:hAnsi="Arial" w:cs="Arial"/>
          <w:sz w:val="22"/>
          <w:szCs w:val="22"/>
          <w:shd w:val="clear" w:color="auto" w:fill="FFFFFF"/>
          <w:lang w:val="es-ES_tradnl"/>
        </w:rPr>
        <w:t xml:space="preserve"> los requisitos habilitantes, los factores técnicos y económicos de escogencia y los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0FEADF1" w14:textId="77777777" w:rsidR="00F60B77" w:rsidRPr="00F60B77" w:rsidRDefault="00F60B77" w:rsidP="00F60B77">
      <w:pPr>
        <w:pStyle w:val="Normal11pt"/>
        <w:spacing w:before="120" w:line="276" w:lineRule="auto"/>
        <w:ind w:left="0" w:firstLine="709"/>
        <w:rPr>
          <w:rFonts w:eastAsia="Calibri"/>
        </w:rPr>
      </w:pPr>
      <w:r w:rsidRPr="00F60B77">
        <w:rPr>
          <w:rFonts w:eastAsia="Calibri"/>
          <w:color w:val="auto"/>
        </w:rPr>
        <w:t>Por último, cabe aclarar que la Agencia Nacional de Contratación Pública sigue avanzando en nuevos documentos tipo. Sin embargo, debe tenerse en cuenta que estos exigen un minucioso desarrollo en el cual se consideran las observaciones de las entidades técnicas y especializadas con la finalidad de adoptar documentos tipo que contengan las mejores prácticas contractuales que procuren el adecuado desarrollo de los principios que rigen la contratación pública.</w:t>
      </w:r>
    </w:p>
    <w:p w14:paraId="45639798" w14:textId="77777777" w:rsidR="00F60B77" w:rsidRPr="00C1373A" w:rsidRDefault="00F60B77" w:rsidP="00F60B77">
      <w:pPr>
        <w:spacing w:line="276" w:lineRule="auto"/>
        <w:ind w:firstLine="709"/>
        <w:jc w:val="both"/>
        <w:rPr>
          <w:rFonts w:ascii="Arial" w:eastAsia="Arial" w:hAnsi="Arial" w:cs="Arial"/>
          <w:bCs/>
          <w:sz w:val="22"/>
          <w:szCs w:val="22"/>
          <w:lang w:val="es-ES_tradnl" w:eastAsia="es-ES" w:bidi="es-ES"/>
        </w:rPr>
      </w:pPr>
    </w:p>
    <w:p w14:paraId="18BB8008" w14:textId="77777777" w:rsidR="00F60B77" w:rsidRPr="00C1373A" w:rsidRDefault="00F60B77" w:rsidP="00F60B77">
      <w:pPr>
        <w:spacing w:line="276" w:lineRule="auto"/>
        <w:jc w:val="both"/>
        <w:rPr>
          <w:rFonts w:ascii="Arial" w:hAnsi="Arial" w:cs="Arial"/>
          <w:b/>
          <w:bCs/>
          <w:sz w:val="22"/>
          <w:szCs w:val="22"/>
        </w:rPr>
      </w:pPr>
      <w:r w:rsidRPr="00C1373A">
        <w:rPr>
          <w:rFonts w:ascii="Arial" w:eastAsia="Calibri" w:hAnsi="Arial" w:cs="Arial"/>
          <w:b/>
          <w:color w:val="000000"/>
          <w:sz w:val="22"/>
          <w:szCs w:val="22"/>
          <w:lang w:eastAsia="es-ES_tradnl"/>
        </w:rPr>
        <w:t xml:space="preserve">2.2. </w:t>
      </w:r>
      <w:r w:rsidRPr="00C1373A">
        <w:rPr>
          <w:rFonts w:ascii="Arial" w:hAnsi="Arial" w:cs="Arial"/>
          <w:b/>
          <w:bCs/>
          <w:sz w:val="22"/>
          <w:szCs w:val="22"/>
        </w:rPr>
        <w:t xml:space="preserve">Aplicación de la Matriz 1 – Experiencia y experiencia adicional para bienes o servicios adicionales en los documentos tipo </w:t>
      </w:r>
    </w:p>
    <w:p w14:paraId="6C2B81BA" w14:textId="77777777" w:rsidR="00F60B77" w:rsidRPr="00C1373A" w:rsidRDefault="00F60B77" w:rsidP="00F60B77">
      <w:pPr>
        <w:shd w:val="clear" w:color="auto" w:fill="FFFFFF"/>
        <w:spacing w:line="276" w:lineRule="auto"/>
        <w:jc w:val="both"/>
        <w:rPr>
          <w:rFonts w:ascii="Arial" w:eastAsia="Calibri" w:hAnsi="Arial" w:cs="Arial"/>
          <w:sz w:val="22"/>
          <w:szCs w:val="22"/>
          <w:lang w:val="es-MX"/>
        </w:rPr>
      </w:pPr>
    </w:p>
    <w:p w14:paraId="5C1CC011" w14:textId="77777777" w:rsidR="00F60B77" w:rsidRPr="00C1373A" w:rsidRDefault="00F60B77" w:rsidP="00F60B77">
      <w:pPr>
        <w:spacing w:line="276" w:lineRule="auto"/>
        <w:jc w:val="both"/>
        <w:rPr>
          <w:rFonts w:ascii="Arial" w:eastAsia="Calibri" w:hAnsi="Arial" w:cs="Arial"/>
          <w:color w:val="0D0D0D"/>
          <w:sz w:val="22"/>
          <w:szCs w:val="22"/>
          <w:lang w:val="es-MX"/>
        </w:rPr>
      </w:pPr>
      <w:r w:rsidRPr="00C1373A">
        <w:rPr>
          <w:rFonts w:ascii="Arial" w:eastAsia="Calibri" w:hAnsi="Arial" w:cs="Arial"/>
          <w:color w:val="0D0D0D"/>
          <w:sz w:val="22"/>
          <w:szCs w:val="22"/>
          <w:lang w:val="es-MX"/>
        </w:rPr>
        <w:t>Los documentos tipo establecen las condiciones habilitantes, los factores técnicos y económicos de escogencia y los sistemas de ponderación de carácter obligatorio para las entidades estatales sometidas al Estatuto General de la Contratación Pública que</w:t>
      </w:r>
      <w:r w:rsidRPr="00C1373A">
        <w:rPr>
          <w:rFonts w:ascii="Arial" w:eastAsia="Calibri" w:hAnsi="Arial" w:cs="Arial"/>
          <w:color w:val="000000"/>
          <w:sz w:val="22"/>
          <w:szCs w:val="22"/>
          <w:bdr w:val="none" w:sz="0" w:space="0" w:color="auto" w:frame="1"/>
        </w:rPr>
        <w:t xml:space="preserve"> adelanten procesos de contratación mediante la modalidad que establecen los documentos tipo para cada sector</w:t>
      </w:r>
      <w:r w:rsidRPr="00C1373A">
        <w:rPr>
          <w:rFonts w:ascii="Arial" w:eastAsia="Calibri" w:hAnsi="Arial" w:cs="Arial"/>
          <w:color w:val="0D0D0D"/>
          <w:sz w:val="22"/>
          <w:szCs w:val="22"/>
          <w:lang w:val="es-MX"/>
        </w:rPr>
        <w:t>. Estos consisten en un grupo de documentos, conformados por un documento base, anexos, matrices, formatos y formularios, que sirven tanto a las entidades para elaborar los documentos del proceso, como a los proponentes para conformar y presentar sus ofertas.</w:t>
      </w:r>
    </w:p>
    <w:p w14:paraId="560143FC" w14:textId="77777777" w:rsidR="00F60B77" w:rsidRPr="00C1373A" w:rsidRDefault="00F60B77" w:rsidP="00F60B77">
      <w:pPr>
        <w:spacing w:before="120" w:line="276" w:lineRule="auto"/>
        <w:ind w:firstLine="709"/>
        <w:jc w:val="both"/>
        <w:rPr>
          <w:rFonts w:ascii="Arial" w:eastAsia="Calibri" w:hAnsi="Arial" w:cs="Arial"/>
          <w:color w:val="0D0D0D"/>
          <w:sz w:val="22"/>
          <w:szCs w:val="22"/>
          <w:lang w:val="es-MX"/>
        </w:rPr>
      </w:pPr>
      <w:r w:rsidRPr="00C1373A">
        <w:rPr>
          <w:rFonts w:ascii="Arial" w:eastAsia="Calibri" w:hAnsi="Arial" w:cs="Arial"/>
          <w:color w:val="0D0D0D"/>
          <w:sz w:val="22"/>
          <w:szCs w:val="22"/>
          <w:lang w:val="es-MX"/>
        </w:rPr>
        <w:t xml:space="preserve">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w:t>
      </w:r>
      <w:r w:rsidRPr="00C1373A">
        <w:rPr>
          <w:rFonts w:ascii="Arial" w:eastAsia="Calibri" w:hAnsi="Arial" w:cs="Arial"/>
          <w:color w:val="0D0D0D"/>
          <w:sz w:val="22"/>
          <w:szCs w:val="22"/>
          <w:lang w:val="es-MX"/>
        </w:rPr>
        <w:lastRenderedPageBreak/>
        <w:t>encontramos el «Anexo 3 – Glosario», el cual contiene las definiciones de los términos usados en los documentos del proceso. Utilizando estos dos documentos, la entidad estatal puede definir si el objeto a contratarse debe emplear los documentos tipo adoptados por esta Agencia.</w:t>
      </w:r>
    </w:p>
    <w:p w14:paraId="099A0566" w14:textId="77777777" w:rsidR="00F60B77" w:rsidRPr="00C1373A" w:rsidRDefault="00F60B77" w:rsidP="00F60B77">
      <w:pPr>
        <w:spacing w:before="120" w:after="120" w:line="276" w:lineRule="auto"/>
        <w:ind w:firstLine="709"/>
        <w:jc w:val="both"/>
        <w:rPr>
          <w:rFonts w:ascii="Arial" w:eastAsia="Calibri" w:hAnsi="Arial" w:cs="Arial"/>
          <w:color w:val="0D0D0D"/>
          <w:sz w:val="22"/>
          <w:szCs w:val="22"/>
          <w:lang w:val="es-MX"/>
        </w:rPr>
      </w:pPr>
      <w:r w:rsidRPr="00C1373A">
        <w:rPr>
          <w:rFonts w:ascii="Arial" w:eastAsia="Calibri" w:hAnsi="Arial" w:cs="Arial"/>
          <w:color w:val="0D0D0D"/>
          <w:sz w:val="22"/>
          <w:szCs w:val="22"/>
          <w:lang w:val="es-MX"/>
        </w:rPr>
        <w:t>Conforme a lo anterior, la Matriz 1,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74CDCE47" w14:textId="77777777" w:rsidR="00F60B77" w:rsidRPr="00C1373A" w:rsidRDefault="00F60B77" w:rsidP="00F60B77">
      <w:pPr>
        <w:spacing w:before="120" w:after="120" w:line="276" w:lineRule="auto"/>
        <w:ind w:firstLine="709"/>
        <w:jc w:val="both"/>
        <w:rPr>
          <w:rFonts w:ascii="Arial" w:eastAsia="Calibri" w:hAnsi="Arial" w:cs="Arial"/>
          <w:color w:val="0D0D0D"/>
          <w:sz w:val="22"/>
          <w:szCs w:val="22"/>
          <w:lang w:val="es-MX"/>
        </w:rPr>
      </w:pPr>
      <w:r w:rsidRPr="00C1373A">
        <w:rPr>
          <w:rFonts w:ascii="Arial" w:eastAsia="Calibri" w:hAnsi="Arial" w:cs="Arial"/>
          <w:color w:val="0D0D0D"/>
          <w:sz w:val="22"/>
          <w:szCs w:val="22"/>
          <w:lang w:val="es-MX"/>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los documentos tipo, mientras que en el caso contrario no será forzosa su aplicación.</w:t>
      </w:r>
    </w:p>
    <w:p w14:paraId="166F6ACA" w14:textId="690C8587" w:rsidR="00F60B77" w:rsidRPr="00C1373A" w:rsidRDefault="00F60B77" w:rsidP="00F60B77">
      <w:pPr>
        <w:spacing w:line="276" w:lineRule="auto"/>
        <w:ind w:firstLine="708"/>
        <w:jc w:val="both"/>
        <w:rPr>
          <w:rFonts w:ascii="Arial" w:hAnsi="Arial" w:cs="Arial"/>
          <w:color w:val="000000"/>
          <w:sz w:val="22"/>
          <w:szCs w:val="22"/>
          <w:bdr w:val="none" w:sz="0" w:space="0" w:color="auto" w:frame="1"/>
          <w:lang w:val="es-ES_tradnl"/>
        </w:rPr>
      </w:pPr>
      <w:r w:rsidRPr="00C1373A">
        <w:rPr>
          <w:rFonts w:ascii="Arial" w:eastAsia="Calibri" w:hAnsi="Arial" w:cs="Arial"/>
          <w:color w:val="0D0D0D"/>
          <w:sz w:val="22"/>
          <w:szCs w:val="22"/>
          <w:lang w:val="es-MX"/>
        </w:rPr>
        <w:t>En este sentido, l</w:t>
      </w:r>
      <w:r w:rsidRPr="00C1373A">
        <w:rPr>
          <w:rFonts w:ascii="Arial" w:hAnsi="Arial" w:cs="Arial"/>
          <w:color w:val="000000"/>
          <w:sz w:val="22"/>
          <w:szCs w:val="22"/>
          <w:bdr w:val="none" w:sz="0" w:space="0" w:color="auto" w:frame="1"/>
          <w:lang w:val="es-ES_tradnl"/>
        </w:rPr>
        <w:t xml:space="preserve">a experiencia general y específica que puede exigir la entidad estatal y que deben acreditar los proponentes están detalladas de manera expresa en la Matriz 1 </w:t>
      </w:r>
      <w:r w:rsidRPr="00C1373A">
        <w:rPr>
          <w:rFonts w:ascii="Arial" w:eastAsia="Calibri" w:hAnsi="Arial" w:cs="Arial"/>
          <w:sz w:val="22"/>
          <w:szCs w:val="22"/>
          <w:lang w:val="es-MX"/>
        </w:rPr>
        <w:t>adoptada para cada documento tipo</w:t>
      </w:r>
      <w:r w:rsidRPr="00C1373A">
        <w:rPr>
          <w:rFonts w:ascii="Arial" w:hAnsi="Arial" w:cs="Arial"/>
          <w:color w:val="000000"/>
          <w:sz w:val="22"/>
          <w:szCs w:val="22"/>
          <w:bdr w:val="none" w:sz="0" w:space="0" w:color="auto" w:frame="1"/>
          <w:lang w:val="es-ES_tradnl"/>
        </w:rPr>
        <w:t>. Po</w:t>
      </w:r>
      <w:r w:rsidR="00311F36">
        <w:rPr>
          <w:rFonts w:ascii="Arial" w:hAnsi="Arial" w:cs="Arial"/>
          <w:color w:val="000000"/>
          <w:sz w:val="22"/>
          <w:szCs w:val="22"/>
          <w:bdr w:val="none" w:sz="0" w:space="0" w:color="auto" w:frame="1"/>
          <w:lang w:val="es-ES_tradnl"/>
        </w:rPr>
        <w:t>r</w:t>
      </w:r>
      <w:r w:rsidRPr="00C1373A">
        <w:rPr>
          <w:rFonts w:ascii="Arial" w:hAnsi="Arial" w:cs="Arial"/>
          <w:color w:val="000000"/>
          <w:sz w:val="22"/>
          <w:szCs w:val="22"/>
          <w:bdr w:val="none" w:sz="0" w:space="0" w:color="auto" w:frame="1"/>
          <w:lang w:val="es-ES_tradnl"/>
        </w:rPr>
        <w:t xml:space="preserve"> ejemplo, para el caso de los documentos tipo de licitación de obra pública de infraestructura de transporte, el numeral 3.5.1 del documento base establece que «La entidad debe indicar en esta sección las condiciones de experiencia que serán requeridas en el proceso de selección de acuerdo con las condiciones establecidas en la Matriz 1 – Experiencia. […]» y el numeral 3.5.2 regula las características de los contratos que deben presentar</w:t>
      </w:r>
      <w:r w:rsidR="00826C09">
        <w:rPr>
          <w:rFonts w:ascii="Arial" w:hAnsi="Arial" w:cs="Arial"/>
          <w:color w:val="000000"/>
          <w:sz w:val="22"/>
          <w:szCs w:val="22"/>
          <w:bdr w:val="none" w:sz="0" w:space="0" w:color="auto" w:frame="1"/>
          <w:lang w:val="es-ES_tradnl"/>
        </w:rPr>
        <w:t>se</w:t>
      </w:r>
      <w:r w:rsidRPr="00C1373A">
        <w:rPr>
          <w:rFonts w:ascii="Arial" w:hAnsi="Arial" w:cs="Arial"/>
          <w:color w:val="000000"/>
          <w:sz w:val="22"/>
          <w:szCs w:val="22"/>
          <w:bdr w:val="none" w:sz="0" w:space="0" w:color="auto" w:frame="1"/>
          <w:lang w:val="es-ES_tradnl"/>
        </w:rPr>
        <w:t xml:space="preserve"> para acreditarla.</w:t>
      </w:r>
    </w:p>
    <w:p w14:paraId="4B607790" w14:textId="289E850A" w:rsidR="00F60B77" w:rsidRPr="00C1373A" w:rsidRDefault="00F60B77" w:rsidP="00F60B77">
      <w:pPr>
        <w:spacing w:before="120" w:after="120" w:line="276" w:lineRule="auto"/>
        <w:ind w:firstLine="708"/>
        <w:jc w:val="both"/>
        <w:rPr>
          <w:rFonts w:ascii="Arial" w:hAnsi="Arial" w:cs="Arial"/>
          <w:color w:val="000000"/>
          <w:sz w:val="22"/>
          <w:szCs w:val="22"/>
          <w:bdr w:val="none" w:sz="0" w:space="0" w:color="auto" w:frame="1"/>
          <w:lang w:val="es-ES_tradnl"/>
        </w:rPr>
      </w:pPr>
      <w:r w:rsidRPr="00C1373A">
        <w:rPr>
          <w:rFonts w:ascii="Arial" w:hAnsi="Arial" w:cs="Arial"/>
          <w:color w:val="000000"/>
          <w:sz w:val="22"/>
          <w:szCs w:val="22"/>
          <w:bdr w:val="none" w:sz="0" w:space="0" w:color="auto" w:frame="1"/>
          <w:lang w:val="es-ES_tradnl"/>
        </w:rPr>
        <w:t>Siguiendo el procedimiento referido, cada entidad estatal determinar</w:t>
      </w:r>
      <w:r w:rsidR="00635BC1">
        <w:rPr>
          <w:rFonts w:ascii="Arial" w:hAnsi="Arial" w:cs="Arial"/>
          <w:color w:val="000000"/>
          <w:sz w:val="22"/>
          <w:szCs w:val="22"/>
          <w:bdr w:val="none" w:sz="0" w:space="0" w:color="auto" w:frame="1"/>
          <w:lang w:val="es-ES_tradnl"/>
        </w:rPr>
        <w:t>á</w:t>
      </w:r>
      <w:r w:rsidRPr="00C1373A">
        <w:rPr>
          <w:rFonts w:ascii="Arial" w:hAnsi="Arial" w:cs="Arial"/>
          <w:color w:val="000000"/>
          <w:sz w:val="22"/>
          <w:szCs w:val="22"/>
          <w:bdr w:val="none" w:sz="0" w:space="0" w:color="auto" w:frame="1"/>
          <w:lang w:val="es-ES_tradnl"/>
        </w:rPr>
        <w:t xml:space="preserve">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1. De esta manera, deberá aplicar estrictamente lo contenido en dicha matriz y, por tanto, no podrá incluir, modificar, suprimir o alterar las condiciones de experiencia allí establecidas, salvo cuando de forma expresa esta lo determine.</w:t>
      </w:r>
    </w:p>
    <w:p w14:paraId="4ED7A149" w14:textId="2675896E" w:rsidR="00F60B77" w:rsidRPr="00C1373A" w:rsidRDefault="00F60B77" w:rsidP="00F60B77">
      <w:pPr>
        <w:spacing w:after="120" w:line="276" w:lineRule="auto"/>
        <w:ind w:firstLine="708"/>
        <w:jc w:val="both"/>
        <w:rPr>
          <w:rFonts w:ascii="Arial" w:eastAsia="Calibri" w:hAnsi="Arial" w:cs="Arial"/>
          <w:color w:val="000000"/>
          <w:sz w:val="22"/>
          <w:szCs w:val="22"/>
          <w:lang w:val="es-ES_tradnl" w:eastAsia="es-ES"/>
        </w:rPr>
      </w:pPr>
      <w:r w:rsidRPr="00C1373A">
        <w:rPr>
          <w:rFonts w:ascii="Arial" w:hAnsi="Arial" w:cs="Arial"/>
          <w:color w:val="000000"/>
          <w:sz w:val="22"/>
          <w:szCs w:val="22"/>
          <w:lang w:val="es-ES_tradnl" w:eastAsia="es-ES"/>
        </w:rPr>
        <w:t xml:space="preserve">De </w:t>
      </w:r>
      <w:bookmarkStart w:id="2" w:name="_Hlk101876973"/>
      <w:r w:rsidRPr="00C1373A">
        <w:rPr>
          <w:rFonts w:ascii="Arial" w:hAnsi="Arial" w:cs="Arial"/>
          <w:color w:val="000000"/>
          <w:sz w:val="22"/>
          <w:szCs w:val="22"/>
          <w:lang w:val="es-ES_tradnl" w:eastAsia="es-ES"/>
        </w:rPr>
        <w:t xml:space="preserve">otro lado, en la aplicación de los documentos tipo, la posibilidad de exigir experiencia adicional a la estandarizada en la Matriz 1 se refiere a bienes y servicios adicionales a la obra pública de infraestructura de transporte. Esta posibilidad surge cuando en el marco de la contratación de una de las actividades enlistadas en la Matriz 1, también se requieren contratar bienes y servicios adicionales cuya contratación, en principio, se </w:t>
      </w:r>
      <w:r w:rsidRPr="00C1373A">
        <w:rPr>
          <w:rFonts w:ascii="Arial" w:hAnsi="Arial" w:cs="Arial"/>
          <w:color w:val="000000"/>
          <w:sz w:val="22"/>
          <w:szCs w:val="22"/>
          <w:lang w:val="es-ES_tradnl" w:eastAsia="es-ES"/>
        </w:rPr>
        <w:lastRenderedPageBreak/>
        <w:t xml:space="preserve">encuentra excluida de la aplicación de los documentos tipo de infraestructura de transporte y respecto a los cuales la entidad requiere que los proponentes acrediten cierta idoneidad. Ante estos supuestos, debe aplicarse </w:t>
      </w:r>
      <w:r w:rsidRPr="00C1373A">
        <w:rPr>
          <w:rFonts w:ascii="Arial" w:eastAsia="Calibri" w:hAnsi="Arial" w:cs="Arial"/>
          <w:color w:val="000000"/>
          <w:sz w:val="22"/>
          <w:szCs w:val="22"/>
          <w:lang w:val="es-ES_tradnl" w:eastAsia="es-ES"/>
        </w:rPr>
        <w:t>lo dispuesto en el artículo 4 de las Resoluciones 240</w:t>
      </w:r>
      <w:r w:rsidR="00490325">
        <w:rPr>
          <w:rFonts w:ascii="Arial" w:eastAsia="Calibri" w:hAnsi="Arial" w:cs="Arial"/>
          <w:color w:val="000000"/>
          <w:sz w:val="22"/>
          <w:szCs w:val="22"/>
          <w:lang w:val="es-ES_tradnl" w:eastAsia="es-ES"/>
        </w:rPr>
        <w:t xml:space="preserve"> y 241 de 2020</w:t>
      </w:r>
      <w:r w:rsidR="00291BA5">
        <w:rPr>
          <w:rFonts w:ascii="Arial" w:eastAsia="Calibri" w:hAnsi="Arial" w:cs="Arial"/>
          <w:color w:val="000000"/>
          <w:sz w:val="22"/>
          <w:szCs w:val="22"/>
          <w:lang w:val="es-ES_tradnl" w:eastAsia="es-ES"/>
        </w:rPr>
        <w:t xml:space="preserve">, así como el artículo </w:t>
      </w:r>
      <w:r w:rsidR="003D53B9" w:rsidRPr="003D53B9">
        <w:rPr>
          <w:rFonts w:ascii="Arial" w:eastAsia="Calibri" w:hAnsi="Arial" w:cs="Arial"/>
          <w:color w:val="000000"/>
          <w:sz w:val="22"/>
          <w:szCs w:val="22"/>
          <w:lang w:val="es-ES_tradnl" w:eastAsia="es-ES"/>
        </w:rPr>
        <w:t>2.2.1.2.6.3.5</w:t>
      </w:r>
      <w:r w:rsidR="003D53B9">
        <w:rPr>
          <w:rFonts w:ascii="Arial" w:eastAsia="Calibri" w:hAnsi="Arial" w:cs="Arial"/>
          <w:color w:val="000000"/>
          <w:sz w:val="22"/>
          <w:szCs w:val="22"/>
          <w:lang w:val="es-ES_tradnl" w:eastAsia="es-ES"/>
        </w:rPr>
        <w:t xml:space="preserve"> del Decreto 1082 de 2015</w:t>
      </w:r>
      <w:r w:rsidRPr="00C1373A">
        <w:rPr>
          <w:rFonts w:ascii="Arial" w:eastAsia="Calibri" w:hAnsi="Arial" w:cs="Arial"/>
          <w:color w:val="000000"/>
          <w:sz w:val="22"/>
          <w:szCs w:val="22"/>
          <w:lang w:val="es-ES_tradnl" w:eastAsia="es-ES"/>
        </w:rPr>
        <w:t>. Esta</w:t>
      </w:r>
      <w:r w:rsidR="0093110F">
        <w:rPr>
          <w:rFonts w:ascii="Arial" w:eastAsia="Calibri" w:hAnsi="Arial" w:cs="Arial"/>
          <w:color w:val="000000"/>
          <w:sz w:val="22"/>
          <w:szCs w:val="22"/>
          <w:lang w:val="es-ES_tradnl" w:eastAsia="es-ES"/>
        </w:rPr>
        <w:t>s</w:t>
      </w:r>
      <w:r w:rsidRPr="00C1373A">
        <w:rPr>
          <w:rFonts w:ascii="Arial" w:eastAsia="Calibri" w:hAnsi="Arial" w:cs="Arial"/>
          <w:color w:val="000000"/>
          <w:sz w:val="22"/>
          <w:szCs w:val="22"/>
          <w:lang w:val="es-ES_tradnl" w:eastAsia="es-ES"/>
        </w:rPr>
        <w:t xml:space="preserve"> norma</w:t>
      </w:r>
      <w:r w:rsidR="0093110F">
        <w:rPr>
          <w:rFonts w:ascii="Arial" w:eastAsia="Calibri" w:hAnsi="Arial" w:cs="Arial"/>
          <w:color w:val="000000"/>
          <w:sz w:val="22"/>
          <w:szCs w:val="22"/>
          <w:lang w:val="es-ES_tradnl" w:eastAsia="es-ES"/>
        </w:rPr>
        <w:t>s</w:t>
      </w:r>
      <w:r w:rsidRPr="00C1373A">
        <w:rPr>
          <w:rFonts w:ascii="Arial" w:eastAsia="Calibri" w:hAnsi="Arial" w:cs="Arial"/>
          <w:color w:val="000000"/>
          <w:sz w:val="22"/>
          <w:szCs w:val="22"/>
          <w:lang w:val="es-ES_tradnl" w:eastAsia="es-ES"/>
        </w:rPr>
        <w:t xml:space="preserve"> </w:t>
      </w:r>
      <w:r w:rsidR="0093110F">
        <w:rPr>
          <w:rFonts w:ascii="Arial" w:eastAsia="Calibri" w:hAnsi="Arial" w:cs="Arial"/>
          <w:color w:val="000000"/>
          <w:sz w:val="22"/>
          <w:szCs w:val="22"/>
          <w:lang w:val="es-ES_tradnl" w:eastAsia="es-ES"/>
        </w:rPr>
        <w:t>disponen</w:t>
      </w:r>
      <w:r w:rsidRPr="00C1373A">
        <w:rPr>
          <w:rFonts w:ascii="Arial" w:eastAsia="Calibri" w:hAnsi="Arial" w:cs="Arial"/>
          <w:color w:val="000000"/>
          <w:sz w:val="22"/>
          <w:szCs w:val="22"/>
          <w:lang w:val="es-ES_tradnl" w:eastAsia="es-ES"/>
        </w:rPr>
        <w:t xml:space="preserve"> que</w:t>
      </w:r>
      <w:r w:rsidR="001C24A6">
        <w:rPr>
          <w:rFonts w:ascii="Arial" w:eastAsia="Calibri" w:hAnsi="Arial" w:cs="Arial"/>
          <w:color w:val="000000"/>
          <w:sz w:val="22"/>
          <w:szCs w:val="22"/>
          <w:lang w:val="es-ES_tradnl" w:eastAsia="es-ES"/>
        </w:rPr>
        <w:t>, para los procesos adelantados por licitación pública</w:t>
      </w:r>
      <w:r w:rsidR="004A6E04">
        <w:rPr>
          <w:rFonts w:ascii="Arial" w:eastAsia="Calibri" w:hAnsi="Arial" w:cs="Arial"/>
          <w:color w:val="000000"/>
          <w:sz w:val="22"/>
          <w:szCs w:val="22"/>
          <w:lang w:val="es-ES_tradnl" w:eastAsia="es-ES"/>
        </w:rPr>
        <w:t xml:space="preserve">, selección abreviada de menor cuantía y mínima cuantía, </w:t>
      </w:r>
      <w:r w:rsidRPr="00C1373A">
        <w:rPr>
          <w:rFonts w:ascii="Arial" w:eastAsia="Calibri" w:hAnsi="Arial" w:cs="Arial"/>
          <w:color w:val="000000"/>
          <w:sz w:val="22"/>
          <w:szCs w:val="22"/>
          <w:lang w:val="es-ES_tradnl" w:eastAsia="es-ES"/>
        </w:rPr>
        <w:t>la entidad puede incluir experiencia adicional para evaluar la idoneidad respecto de los bienes o servicios adicionales a la obra pública</w:t>
      </w:r>
      <w:r w:rsidRPr="00C1373A">
        <w:rPr>
          <w:rFonts w:ascii="Arial" w:hAnsi="Arial" w:cs="Arial"/>
          <w:color w:val="000000"/>
          <w:sz w:val="22"/>
          <w:szCs w:val="22"/>
          <w:lang w:val="es-ES_tradnl" w:eastAsia="es-ES"/>
        </w:rPr>
        <w:t xml:space="preserve"> de infraestructura de transporte</w:t>
      </w:r>
      <w:r w:rsidRPr="00C1373A">
        <w:rPr>
          <w:rFonts w:ascii="Arial" w:eastAsia="Calibri" w:hAnsi="Arial" w:cs="Arial"/>
          <w:color w:val="000000"/>
          <w:sz w:val="22"/>
          <w:szCs w:val="22"/>
          <w:lang w:val="es-ES_tradnl" w:eastAsia="es-ES"/>
        </w:rPr>
        <w:t xml:space="preserve">. </w:t>
      </w:r>
    </w:p>
    <w:p w14:paraId="41533C6B" w14:textId="77777777" w:rsidR="00F60B77" w:rsidRPr="00C1373A" w:rsidRDefault="00F60B77" w:rsidP="00F60B77">
      <w:pPr>
        <w:spacing w:before="120" w:after="120" w:line="276" w:lineRule="auto"/>
        <w:ind w:firstLine="709"/>
        <w:jc w:val="both"/>
        <w:rPr>
          <w:rFonts w:ascii="Arial" w:eastAsia="Calibri" w:hAnsi="Arial" w:cs="Arial"/>
          <w:sz w:val="22"/>
          <w:szCs w:val="22"/>
        </w:rPr>
      </w:pPr>
      <w:r w:rsidRPr="00C1373A">
        <w:rPr>
          <w:rFonts w:ascii="Arial" w:eastAsia="Calibri" w:hAnsi="Arial" w:cs="Arial"/>
          <w:sz w:val="22"/>
          <w:szCs w:val="22"/>
        </w:rPr>
        <w:t>Por ejemplo, tratándose de los documentos tipo de licitación pública, deben seguirse estos parámetros: i) demostrar en los estudios previos que ha verificado las condiciones de mercado para la adquisición de las obras, bienes o servicios adicionales al componente de obra pública</w:t>
      </w:r>
      <w:r w:rsidRPr="00C1373A">
        <w:rPr>
          <w:rFonts w:ascii="Arial" w:eastAsia="Calibri" w:hAnsi="Arial" w:cs="Arial"/>
          <w:color w:val="000000"/>
          <w:sz w:val="22"/>
          <w:szCs w:val="22"/>
          <w:lang w:val="es-ES_tradnl" w:eastAsia="es-ES"/>
        </w:rPr>
        <w:t xml:space="preserve">, </w:t>
      </w:r>
      <w:r w:rsidRPr="00C1373A">
        <w:rPr>
          <w:rFonts w:ascii="Arial" w:eastAsia="Calibri" w:hAnsi="Arial" w:cs="Arial"/>
          <w:sz w:val="22"/>
          <w:szCs w:val="22"/>
        </w:rPr>
        <w:t xml:space="preserve">de tal forma que la experiencia adicional garantiza la pluralidad de oferentes, </w:t>
      </w:r>
      <w:proofErr w:type="spellStart"/>
      <w:r w:rsidRPr="00C1373A">
        <w:rPr>
          <w:rFonts w:ascii="Arial" w:eastAsia="Calibri" w:hAnsi="Arial" w:cs="Arial"/>
          <w:sz w:val="22"/>
          <w:szCs w:val="22"/>
        </w:rPr>
        <w:t>ii</w:t>
      </w:r>
      <w:proofErr w:type="spellEnd"/>
      <w:r w:rsidRPr="00C1373A">
        <w:rPr>
          <w:rFonts w:ascii="Arial" w:eastAsia="Calibri" w:hAnsi="Arial" w:cs="Arial"/>
          <w:sz w:val="22"/>
          <w:szCs w:val="22"/>
        </w:rPr>
        <w:t xml:space="preserve">) conservar los requisitos exigidos en los Documentos Tipo, </w:t>
      </w:r>
      <w:proofErr w:type="spellStart"/>
      <w:r w:rsidRPr="00C1373A">
        <w:rPr>
          <w:rFonts w:ascii="Arial" w:eastAsia="Calibri" w:hAnsi="Arial" w:cs="Arial"/>
          <w:sz w:val="22"/>
          <w:szCs w:val="22"/>
        </w:rPr>
        <w:t>iii</w:t>
      </w:r>
      <w:proofErr w:type="spellEnd"/>
      <w:r w:rsidRPr="00C1373A">
        <w:rPr>
          <w:rFonts w:ascii="Arial" w:eastAsia="Calibri" w:hAnsi="Arial" w:cs="Arial"/>
          <w:sz w:val="22"/>
          <w:szCs w:val="22"/>
        </w:rPr>
        <w:t xml:space="preserve">) abstenerse de pedir experiencia exclusiva con entidades estatales, experiencia previa en un territorio específico, limitada en el tiempo o que incluya volúmenes o cantidades de obra específica, </w:t>
      </w:r>
      <w:proofErr w:type="spellStart"/>
      <w:r w:rsidRPr="00C1373A">
        <w:rPr>
          <w:rFonts w:ascii="Arial" w:eastAsia="Calibri" w:hAnsi="Arial" w:cs="Arial"/>
          <w:sz w:val="22"/>
          <w:szCs w:val="22"/>
        </w:rPr>
        <w:t>iv</w:t>
      </w:r>
      <w:proofErr w:type="spellEnd"/>
      <w:r w:rsidRPr="00C1373A">
        <w:rPr>
          <w:rFonts w:ascii="Arial" w:eastAsia="Calibri" w:hAnsi="Arial" w:cs="Arial"/>
          <w:sz w:val="22"/>
          <w:szCs w:val="22"/>
        </w:rPr>
        <w:t>) clasificar la experiencia requerida solo hasta el tercer nivel del Clasificador de Bienes y Servicios e incluir exclusivamente los códigos que estén relacionados directamente con el objeto a contratar</w:t>
      </w:r>
      <w:r w:rsidRPr="00C1373A">
        <w:rPr>
          <w:rFonts w:ascii="Arial" w:eastAsia="Calibri" w:hAnsi="Arial" w:cs="Arial"/>
          <w:color w:val="000000"/>
          <w:sz w:val="22"/>
          <w:szCs w:val="22"/>
          <w:vertAlign w:val="superscript"/>
          <w:lang w:val="es-ES_tradnl" w:eastAsia="es-ES"/>
        </w:rPr>
        <w:footnoteReference w:id="5"/>
      </w:r>
      <w:r w:rsidRPr="00C1373A">
        <w:rPr>
          <w:rFonts w:ascii="Arial" w:eastAsia="Calibri" w:hAnsi="Arial" w:cs="Arial"/>
          <w:sz w:val="22"/>
          <w:szCs w:val="22"/>
        </w:rPr>
        <w:t>.</w:t>
      </w:r>
    </w:p>
    <w:p w14:paraId="3141B8FA" w14:textId="6E21F2DA" w:rsidR="00F60B77" w:rsidRPr="00C1373A" w:rsidRDefault="00F60B77" w:rsidP="00F60B77">
      <w:pPr>
        <w:spacing w:after="120" w:line="276" w:lineRule="auto"/>
        <w:ind w:firstLine="708"/>
        <w:jc w:val="both"/>
        <w:rPr>
          <w:rFonts w:ascii="Arial" w:eastAsia="Arial" w:hAnsi="Arial" w:cs="Arial"/>
          <w:sz w:val="22"/>
          <w:szCs w:val="22"/>
          <w:lang w:val="es-ES"/>
        </w:rPr>
      </w:pPr>
      <w:r w:rsidRPr="00C1373A">
        <w:rPr>
          <w:rStyle w:val="normaltextrun"/>
          <w:rFonts w:ascii="Arial" w:hAnsi="Arial" w:cs="Arial"/>
          <w:color w:val="000000"/>
          <w:sz w:val="22"/>
          <w:szCs w:val="22"/>
          <w:shd w:val="clear" w:color="auto" w:fill="FFFFFF"/>
          <w:lang w:val="es-ES"/>
        </w:rPr>
        <w:t>La entidad que opte por solicitar experiencia adicional en desarrollo de esta norma debe evidenciar en los documentos del proceso que agotó estos parámetros. Para ello, justificar</w:t>
      </w:r>
      <w:r w:rsidR="005934B4">
        <w:rPr>
          <w:rStyle w:val="normaltextrun"/>
          <w:rFonts w:ascii="Arial" w:hAnsi="Arial" w:cs="Arial"/>
          <w:color w:val="000000"/>
          <w:sz w:val="22"/>
          <w:szCs w:val="22"/>
          <w:shd w:val="clear" w:color="auto" w:fill="FFFFFF"/>
          <w:lang w:val="es-ES"/>
        </w:rPr>
        <w:t>á</w:t>
      </w:r>
      <w:r w:rsidRPr="00C1373A">
        <w:rPr>
          <w:rStyle w:val="normaltextrun"/>
          <w:rFonts w:ascii="Arial" w:hAnsi="Arial" w:cs="Arial"/>
          <w:color w:val="000000"/>
          <w:sz w:val="22"/>
          <w:szCs w:val="22"/>
          <w:shd w:val="clear" w:color="auto" w:fill="FFFFFF"/>
          <w:lang w:val="es-ES"/>
        </w:rPr>
        <w:t xml:space="preserve"> en los estudios y documentos previos, como parte del deber de análisis y planeación, que ha verificado que la experiencia adicional relacionada con los bienes o servicios no afecta significativamente la pluralidad de oferentes. Es decir, la entidad debe revisar que al solicitar esta experiencia existen suficientes potenciales proponentes que puedan acreditar estas condiciones</w:t>
      </w:r>
      <w:r w:rsidRPr="00C1373A">
        <w:rPr>
          <w:rFonts w:ascii="Arial" w:eastAsia="Calibri" w:hAnsi="Arial" w:cs="Arial"/>
          <w:sz w:val="22"/>
          <w:szCs w:val="22"/>
        </w:rPr>
        <w:t xml:space="preserve">. </w:t>
      </w:r>
      <w:r w:rsidRPr="00C1373A">
        <w:rPr>
          <w:rFonts w:ascii="Arial" w:eastAsia="Arial" w:hAnsi="Arial" w:cs="Arial"/>
          <w:sz w:val="22"/>
          <w:szCs w:val="22"/>
          <w:lang w:val="es-ES"/>
        </w:rPr>
        <w:t xml:space="preserve">En segundo lugar, la solicitud de esta experiencia no </w:t>
      </w:r>
      <w:r w:rsidRPr="00C1373A">
        <w:rPr>
          <w:rFonts w:ascii="Arial" w:eastAsia="Arial" w:hAnsi="Arial" w:cs="Arial"/>
          <w:sz w:val="22"/>
          <w:szCs w:val="22"/>
          <w:lang w:val="es-ES"/>
        </w:rPr>
        <w:lastRenderedPageBreak/>
        <w:t>permite que la entidad modifique los requisitos habilitantes y de ponderación de la propuesta, por lo cual se deben mantener los establecidos en los documentos tipo.</w:t>
      </w:r>
    </w:p>
    <w:p w14:paraId="41621C12" w14:textId="77777777" w:rsidR="00F60B77" w:rsidRPr="00C1373A" w:rsidRDefault="00F60B77" w:rsidP="00F60B77">
      <w:pPr>
        <w:widowControl w:val="0"/>
        <w:autoSpaceDE w:val="0"/>
        <w:autoSpaceDN w:val="0"/>
        <w:spacing w:after="120" w:line="276" w:lineRule="auto"/>
        <w:ind w:firstLine="709"/>
        <w:jc w:val="both"/>
        <w:rPr>
          <w:rFonts w:ascii="Arial" w:eastAsia="Arial" w:hAnsi="Arial" w:cs="Arial"/>
          <w:sz w:val="22"/>
          <w:szCs w:val="22"/>
          <w:lang w:val="es-ES"/>
        </w:rPr>
      </w:pPr>
      <w:r w:rsidRPr="00C1373A">
        <w:rPr>
          <w:rFonts w:ascii="Arial" w:eastAsia="Arial" w:hAnsi="Arial" w:cs="Arial"/>
          <w:sz w:val="22"/>
          <w:szCs w:val="22"/>
          <w:lang w:val="es-ES"/>
        </w:rPr>
        <w:t>En tercer lugar, la experiencia adicional solicitada debe relacionarse con los bienes y servicios sobre los cuales la entidad requiere que se demuestre idoneidad por parte de los proponentes. Esta experiencia no puede estar limitada o referida a que se haya</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adquirido</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en</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un</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territorio</w:t>
      </w:r>
      <w:r w:rsidRPr="00C1373A">
        <w:rPr>
          <w:rFonts w:ascii="Arial" w:eastAsia="Arial" w:hAnsi="Arial" w:cs="Arial"/>
          <w:spacing w:val="-17"/>
          <w:sz w:val="22"/>
          <w:szCs w:val="22"/>
          <w:lang w:val="es-ES"/>
        </w:rPr>
        <w:t xml:space="preserve"> </w:t>
      </w:r>
      <w:r w:rsidRPr="00C1373A">
        <w:rPr>
          <w:rFonts w:ascii="Arial" w:eastAsia="Arial" w:hAnsi="Arial" w:cs="Arial"/>
          <w:sz w:val="22"/>
          <w:szCs w:val="22"/>
          <w:lang w:val="es-ES"/>
        </w:rPr>
        <w:t>o</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con</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alguna</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entidad</w:t>
      </w:r>
      <w:r w:rsidRPr="00C1373A">
        <w:rPr>
          <w:rFonts w:ascii="Arial" w:eastAsia="Arial" w:hAnsi="Arial" w:cs="Arial"/>
          <w:spacing w:val="-18"/>
          <w:sz w:val="22"/>
          <w:szCs w:val="22"/>
          <w:lang w:val="es-ES"/>
        </w:rPr>
        <w:t xml:space="preserve"> </w:t>
      </w:r>
      <w:r w:rsidRPr="00C1373A">
        <w:rPr>
          <w:rFonts w:ascii="Arial" w:eastAsia="Arial" w:hAnsi="Arial" w:cs="Arial"/>
          <w:sz w:val="22"/>
          <w:szCs w:val="22"/>
          <w:lang w:val="es-ES"/>
        </w:rPr>
        <w:t>determinada,</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ni</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establecer</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limitantes temporales</w:t>
      </w:r>
      <w:r w:rsidRPr="00C1373A">
        <w:rPr>
          <w:rFonts w:ascii="Arial" w:eastAsia="Arial" w:hAnsi="Arial" w:cs="Arial"/>
          <w:spacing w:val="-18"/>
          <w:sz w:val="22"/>
          <w:szCs w:val="22"/>
          <w:lang w:val="es-ES"/>
        </w:rPr>
        <w:t xml:space="preserve"> </w:t>
      </w:r>
      <w:r w:rsidRPr="00C1373A">
        <w:rPr>
          <w:rFonts w:ascii="Arial" w:eastAsia="Arial" w:hAnsi="Arial" w:cs="Arial"/>
          <w:sz w:val="22"/>
          <w:szCs w:val="22"/>
          <w:lang w:val="es-ES"/>
        </w:rPr>
        <w:t>o</w:t>
      </w:r>
      <w:r w:rsidRPr="00C1373A">
        <w:rPr>
          <w:rFonts w:ascii="Arial" w:eastAsia="Arial" w:hAnsi="Arial" w:cs="Arial"/>
          <w:spacing w:val="-20"/>
          <w:sz w:val="22"/>
          <w:szCs w:val="22"/>
          <w:lang w:val="es-ES"/>
        </w:rPr>
        <w:t xml:space="preserve"> </w:t>
      </w:r>
      <w:r w:rsidRPr="00C1373A">
        <w:rPr>
          <w:rFonts w:ascii="Arial" w:eastAsia="Arial" w:hAnsi="Arial" w:cs="Arial"/>
          <w:sz w:val="22"/>
          <w:szCs w:val="22"/>
          <w:lang w:val="es-ES"/>
        </w:rPr>
        <w:t>la</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acreditación</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de</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volúmenes</w:t>
      </w:r>
      <w:r w:rsidRPr="00C1373A">
        <w:rPr>
          <w:rFonts w:ascii="Arial" w:eastAsia="Arial" w:hAnsi="Arial" w:cs="Arial"/>
          <w:spacing w:val="-20"/>
          <w:sz w:val="22"/>
          <w:szCs w:val="22"/>
          <w:lang w:val="es-ES"/>
        </w:rPr>
        <w:t xml:space="preserve"> </w:t>
      </w:r>
      <w:r w:rsidRPr="00C1373A">
        <w:rPr>
          <w:rFonts w:ascii="Arial" w:eastAsia="Arial" w:hAnsi="Arial" w:cs="Arial"/>
          <w:sz w:val="22"/>
          <w:szCs w:val="22"/>
          <w:lang w:val="es-ES"/>
        </w:rPr>
        <w:t>o</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cantidades.</w:t>
      </w:r>
      <w:r w:rsidRPr="00C1373A">
        <w:rPr>
          <w:rFonts w:ascii="Arial" w:eastAsia="Arial" w:hAnsi="Arial" w:cs="Arial"/>
          <w:spacing w:val="-20"/>
          <w:sz w:val="22"/>
          <w:szCs w:val="22"/>
          <w:lang w:val="es-ES"/>
        </w:rPr>
        <w:t xml:space="preserve"> </w:t>
      </w:r>
      <w:r w:rsidRPr="00C1373A">
        <w:rPr>
          <w:rFonts w:ascii="Arial" w:eastAsia="Arial" w:hAnsi="Arial" w:cs="Arial"/>
          <w:sz w:val="22"/>
          <w:szCs w:val="22"/>
          <w:lang w:val="es-ES"/>
        </w:rPr>
        <w:t>Este</w:t>
      </w:r>
      <w:r w:rsidRPr="00C1373A">
        <w:rPr>
          <w:rFonts w:ascii="Arial" w:eastAsia="Arial" w:hAnsi="Arial" w:cs="Arial"/>
          <w:spacing w:val="-18"/>
          <w:sz w:val="22"/>
          <w:szCs w:val="22"/>
          <w:lang w:val="es-ES"/>
        </w:rPr>
        <w:t xml:space="preserve"> </w:t>
      </w:r>
      <w:r w:rsidRPr="00C1373A">
        <w:rPr>
          <w:rFonts w:ascii="Arial" w:eastAsia="Arial" w:hAnsi="Arial" w:cs="Arial"/>
          <w:sz w:val="22"/>
          <w:szCs w:val="22"/>
          <w:lang w:val="es-ES"/>
        </w:rPr>
        <w:t>parámetro</w:t>
      </w:r>
      <w:r w:rsidRPr="00C1373A">
        <w:rPr>
          <w:rFonts w:ascii="Arial" w:eastAsia="Arial" w:hAnsi="Arial" w:cs="Arial"/>
          <w:spacing w:val="-19"/>
          <w:sz w:val="22"/>
          <w:szCs w:val="22"/>
          <w:lang w:val="es-ES"/>
        </w:rPr>
        <w:t xml:space="preserve"> </w:t>
      </w:r>
      <w:r w:rsidRPr="00C1373A">
        <w:rPr>
          <w:rFonts w:ascii="Arial" w:eastAsia="Arial" w:hAnsi="Arial" w:cs="Arial"/>
          <w:sz w:val="22"/>
          <w:szCs w:val="22"/>
          <w:lang w:val="es-ES"/>
        </w:rPr>
        <w:t>va</w:t>
      </w:r>
      <w:r w:rsidRPr="00C1373A">
        <w:rPr>
          <w:rFonts w:ascii="Arial" w:eastAsia="Arial" w:hAnsi="Arial" w:cs="Arial"/>
          <w:spacing w:val="-20"/>
          <w:sz w:val="22"/>
          <w:szCs w:val="22"/>
          <w:lang w:val="es-ES"/>
        </w:rPr>
        <w:t xml:space="preserve"> </w:t>
      </w:r>
      <w:r w:rsidRPr="00C1373A">
        <w:rPr>
          <w:rFonts w:ascii="Arial" w:eastAsia="Arial" w:hAnsi="Arial" w:cs="Arial"/>
          <w:sz w:val="22"/>
          <w:szCs w:val="22"/>
          <w:lang w:val="es-ES"/>
        </w:rPr>
        <w:t>encaminado a determinar si la experiencia solicitada es acorde, adecuada y proporcional a la necesidad identificada por la entidad, por lo cual no puede desbordar los límites racionales ni solicitar experiencias de imposible</w:t>
      </w:r>
      <w:r w:rsidRPr="00C1373A">
        <w:rPr>
          <w:rFonts w:ascii="Arial" w:eastAsia="Arial" w:hAnsi="Arial" w:cs="Arial"/>
          <w:spacing w:val="-8"/>
          <w:sz w:val="22"/>
          <w:szCs w:val="22"/>
          <w:lang w:val="es-ES"/>
        </w:rPr>
        <w:t xml:space="preserve"> </w:t>
      </w:r>
      <w:r w:rsidRPr="00C1373A">
        <w:rPr>
          <w:rFonts w:ascii="Arial" w:eastAsia="Arial" w:hAnsi="Arial" w:cs="Arial"/>
          <w:sz w:val="22"/>
          <w:szCs w:val="22"/>
          <w:lang w:val="es-ES"/>
        </w:rPr>
        <w:t>cumplimiento. Por último, la experiencia requerida debe clasificarse hasta el tercer nivel del clasificador de bienes y servicios. Por lo tanto, la entidad no puede requerir que se acredite el «producto» de este clasificador.</w:t>
      </w:r>
    </w:p>
    <w:p w14:paraId="6BDBC2CA" w14:textId="078B080F" w:rsidR="00F60B77" w:rsidRPr="00C1373A" w:rsidRDefault="00427C10" w:rsidP="00F60B77">
      <w:pPr>
        <w:spacing w:after="120" w:line="276" w:lineRule="auto"/>
        <w:ind w:firstLine="709"/>
        <w:jc w:val="both"/>
        <w:rPr>
          <w:rFonts w:ascii="Arial" w:eastAsia="Calibri" w:hAnsi="Arial" w:cs="Arial"/>
          <w:sz w:val="22"/>
          <w:szCs w:val="22"/>
        </w:rPr>
      </w:pPr>
      <w:r>
        <w:rPr>
          <w:rStyle w:val="normaltextrun"/>
          <w:rFonts w:ascii="Arial" w:hAnsi="Arial" w:cs="Arial"/>
          <w:color w:val="000000"/>
          <w:sz w:val="22"/>
          <w:szCs w:val="22"/>
          <w:shd w:val="clear" w:color="auto" w:fill="FFFFFF"/>
          <w:lang w:val="es-ES"/>
        </w:rPr>
        <w:t>L</w:t>
      </w:r>
      <w:r w:rsidR="00F60B77" w:rsidRPr="00C1373A">
        <w:rPr>
          <w:rStyle w:val="normaltextrun"/>
          <w:rFonts w:ascii="Arial" w:hAnsi="Arial" w:cs="Arial"/>
          <w:color w:val="000000"/>
          <w:sz w:val="22"/>
          <w:szCs w:val="22"/>
          <w:shd w:val="clear" w:color="auto" w:fill="FFFFFF"/>
          <w:lang w:val="es-ES"/>
        </w:rPr>
        <w:t xml:space="preserve">a posibilidad de solicitar experiencia adicional ocurre cuando el objeto contractual incluye bienes o servicios adicionales a la obra pública de infraestructura de transporte. Esto implica que: i) la actividad que se requiere, si bien es una labor de obra, no está relacionada con la infraestructura de transporte, por ejemplo, la construcción de un parque cerca de la vía, y </w:t>
      </w:r>
      <w:proofErr w:type="spellStart"/>
      <w:r w:rsidR="00F60B77" w:rsidRPr="00C1373A">
        <w:rPr>
          <w:rStyle w:val="normaltextrun"/>
          <w:rFonts w:ascii="Arial" w:hAnsi="Arial" w:cs="Arial"/>
          <w:color w:val="000000"/>
          <w:sz w:val="22"/>
          <w:szCs w:val="22"/>
          <w:shd w:val="clear" w:color="auto" w:fill="FFFFFF"/>
          <w:lang w:val="es-ES"/>
        </w:rPr>
        <w:t>ii</w:t>
      </w:r>
      <w:proofErr w:type="spellEnd"/>
      <w:r w:rsidR="00F60B77" w:rsidRPr="00C1373A">
        <w:rPr>
          <w:rStyle w:val="normaltextrun"/>
          <w:rFonts w:ascii="Arial" w:hAnsi="Arial" w:cs="Arial"/>
          <w:color w:val="000000"/>
          <w:sz w:val="22"/>
          <w:szCs w:val="22"/>
          <w:shd w:val="clear" w:color="auto" w:fill="FFFFFF"/>
          <w:lang w:val="es-ES"/>
        </w:rPr>
        <w:t xml:space="preserve">) el bien o servicio adicional es distinto a la actividad principal, aun cuando se relaciona con la infraestructura de transporte, </w:t>
      </w:r>
      <w:r w:rsidR="00F60B77" w:rsidRPr="00C1373A">
        <w:rPr>
          <w:rStyle w:val="normaltextrun"/>
          <w:rFonts w:ascii="Arial" w:hAnsi="Arial" w:cs="Arial"/>
          <w:i/>
          <w:iCs/>
          <w:color w:val="000000"/>
          <w:sz w:val="22"/>
          <w:szCs w:val="22"/>
          <w:shd w:val="clear" w:color="auto" w:fill="FFFFFF"/>
          <w:lang w:val="es-ES"/>
        </w:rPr>
        <w:t>v. gr</w:t>
      </w:r>
      <w:r w:rsidR="00F60B77" w:rsidRPr="00C1373A">
        <w:rPr>
          <w:rStyle w:val="normaltextrun"/>
          <w:rFonts w:ascii="Arial" w:hAnsi="Arial" w:cs="Arial"/>
          <w:color w:val="000000"/>
          <w:sz w:val="22"/>
          <w:szCs w:val="22"/>
          <w:shd w:val="clear" w:color="auto" w:fill="FFFFFF"/>
          <w:lang w:val="es-ES"/>
        </w:rPr>
        <w:t>., cuando se requiere que el contratista ejecute actividades de consultoría como la realización, revisión o actualización de los estudios y diseños de la obra. En supuestos como los indicados es posible que la entidad exija experiencia adicional para acreditar la idoneidad del contratista en la ejecución de estos bienes o servicios adicionales a la obra de infraestructura de transporte</w:t>
      </w:r>
      <w:r w:rsidR="00F60B77" w:rsidRPr="00C1373A">
        <w:rPr>
          <w:rFonts w:ascii="Arial" w:eastAsia="Calibri" w:hAnsi="Arial" w:cs="Arial"/>
          <w:sz w:val="22"/>
          <w:szCs w:val="22"/>
        </w:rPr>
        <w:t xml:space="preserve">. </w:t>
      </w:r>
    </w:p>
    <w:p w14:paraId="68CCC0EF" w14:textId="494D87C7" w:rsidR="00F60B77" w:rsidRPr="00C1373A" w:rsidRDefault="00F60B77" w:rsidP="00F60B77">
      <w:pPr>
        <w:spacing w:before="120" w:after="120" w:line="276" w:lineRule="auto"/>
        <w:ind w:firstLine="709"/>
        <w:jc w:val="both"/>
        <w:rPr>
          <w:rFonts w:ascii="Arial" w:eastAsia="Calibri" w:hAnsi="Arial" w:cs="Arial"/>
          <w:sz w:val="22"/>
          <w:szCs w:val="22"/>
          <w:lang w:val="es-MX"/>
        </w:rPr>
      </w:pPr>
      <w:r w:rsidRPr="00C1373A">
        <w:rPr>
          <w:rFonts w:ascii="Arial" w:eastAsia="Calibri" w:hAnsi="Arial" w:cs="Arial"/>
          <w:sz w:val="22"/>
          <w:szCs w:val="22"/>
          <w:lang w:val="es-MX"/>
        </w:rPr>
        <w:t xml:space="preserve">Además de lo anterior, debe tenerse presente la regla de la inalterabilidad de los </w:t>
      </w:r>
      <w:r w:rsidR="00E7088F" w:rsidRPr="00E7088F">
        <w:rPr>
          <w:rFonts w:ascii="Arial" w:eastAsia="Calibri" w:hAnsi="Arial" w:cs="Arial"/>
          <w:sz w:val="22"/>
          <w:szCs w:val="22"/>
          <w:lang w:val="es-MX"/>
        </w:rPr>
        <w:t>documentos tipo</w:t>
      </w:r>
      <w:r w:rsidRPr="00C1373A">
        <w:rPr>
          <w:rFonts w:ascii="Arial" w:eastAsia="Calibri" w:hAnsi="Arial" w:cs="Arial"/>
          <w:sz w:val="22"/>
          <w:szCs w:val="22"/>
          <w:lang w:val="es-MX"/>
        </w:rPr>
        <w:t xml:space="preserve">, </w:t>
      </w:r>
      <w:r w:rsidR="00E7088F">
        <w:rPr>
          <w:rFonts w:ascii="Arial" w:eastAsia="Calibri" w:hAnsi="Arial" w:cs="Arial"/>
          <w:sz w:val="22"/>
          <w:szCs w:val="22"/>
          <w:lang w:val="es-MX"/>
        </w:rPr>
        <w:t>la cual</w:t>
      </w:r>
      <w:r w:rsidRPr="00C1373A">
        <w:rPr>
          <w:rFonts w:ascii="Arial" w:eastAsia="Calibri" w:hAnsi="Arial" w:cs="Arial"/>
          <w:sz w:val="22"/>
          <w:szCs w:val="22"/>
          <w:lang w:val="es-MX"/>
        </w:rPr>
        <w:t xml:space="preserve"> se fundamenta el artículo 3 de las Resoluciones 240</w:t>
      </w:r>
      <w:r w:rsidR="00C27777">
        <w:rPr>
          <w:rFonts w:ascii="Arial" w:eastAsia="Calibri" w:hAnsi="Arial" w:cs="Arial"/>
          <w:sz w:val="22"/>
          <w:szCs w:val="22"/>
          <w:lang w:val="es-MX"/>
        </w:rPr>
        <w:t xml:space="preserve"> y 241</w:t>
      </w:r>
      <w:r w:rsidRPr="00C1373A">
        <w:rPr>
          <w:rFonts w:ascii="Arial" w:eastAsia="Calibri" w:hAnsi="Arial" w:cs="Arial"/>
          <w:sz w:val="22"/>
          <w:szCs w:val="22"/>
          <w:lang w:val="es-MX"/>
        </w:rPr>
        <w:t xml:space="preserve"> de 2020,</w:t>
      </w:r>
      <w:r w:rsidR="00C27777">
        <w:rPr>
          <w:rFonts w:ascii="Arial" w:eastAsia="Calibri" w:hAnsi="Arial" w:cs="Arial"/>
          <w:sz w:val="22"/>
          <w:szCs w:val="22"/>
          <w:lang w:val="es-MX"/>
        </w:rPr>
        <w:t xml:space="preserve"> </w:t>
      </w:r>
      <w:r w:rsidR="00663E11">
        <w:rPr>
          <w:rFonts w:ascii="Arial" w:eastAsia="Calibri" w:hAnsi="Arial" w:cs="Arial"/>
          <w:sz w:val="22"/>
          <w:szCs w:val="22"/>
          <w:lang w:val="es-MX"/>
        </w:rPr>
        <w:t xml:space="preserve">así como en el artículo 2 de la Resolución </w:t>
      </w:r>
      <w:r w:rsidR="004F0A35">
        <w:rPr>
          <w:rFonts w:ascii="Arial" w:eastAsia="Calibri" w:hAnsi="Arial" w:cs="Arial"/>
          <w:sz w:val="22"/>
          <w:szCs w:val="22"/>
          <w:lang w:val="es-MX"/>
        </w:rPr>
        <w:t>094 de 2020</w:t>
      </w:r>
      <w:r w:rsidRPr="00C1373A">
        <w:rPr>
          <w:rFonts w:ascii="Arial" w:eastAsia="Calibri" w:hAnsi="Arial" w:cs="Arial"/>
          <w:sz w:val="22"/>
          <w:szCs w:val="22"/>
          <w:lang w:val="es-MX"/>
        </w:rPr>
        <w:t xml:space="preserve">. La norma citada dispone que las entidades contratantes no podrán incluir o modificar dentro de los documentos del proceso las condiciones habilitantes, los factores técnicos y económicos de escogencia y los sistemas de ponderación señalados en los documentos tipo. </w:t>
      </w:r>
      <w:r w:rsidRPr="00C1373A">
        <w:rPr>
          <w:rFonts w:ascii="Arial" w:eastAsia="Calibri" w:hAnsi="Arial" w:cs="Arial"/>
          <w:sz w:val="22"/>
          <w:szCs w:val="22"/>
        </w:rPr>
        <w:t>En consecuencia, las entidades estatales al adelantar sus procedimientos de selección solo podrán modificarlos en los aspectos en que los documentos tipo lo permitan.</w:t>
      </w:r>
    </w:p>
    <w:bookmarkEnd w:id="2"/>
    <w:p w14:paraId="12126CEA" w14:textId="43C3EC3D" w:rsidR="00F60B77" w:rsidRPr="00C1373A" w:rsidRDefault="00F60B77" w:rsidP="00F60B77">
      <w:pPr>
        <w:spacing w:line="276" w:lineRule="auto"/>
        <w:ind w:firstLine="709"/>
        <w:jc w:val="both"/>
        <w:rPr>
          <w:rFonts w:ascii="Arial" w:eastAsia="Calibri" w:hAnsi="Arial" w:cs="Arial"/>
          <w:sz w:val="22"/>
          <w:szCs w:val="22"/>
        </w:rPr>
      </w:pPr>
      <w:r w:rsidRPr="00C1373A">
        <w:rPr>
          <w:rFonts w:ascii="Arial" w:eastAsia="Calibri" w:hAnsi="Arial" w:cs="Arial"/>
          <w:sz w:val="22"/>
          <w:szCs w:val="22"/>
          <w:lang w:val="es-MX"/>
        </w:rPr>
        <w:t xml:space="preserve">Adicionalmente, la parte introductoria de los documentos tipo señala que los aspectos incluidos en corchetes y resaltado gris deben ser diligenciados por la entidad. Es así como en cada acápite que esté resaltado en gris la entidad tendrá la libertad de determinar la información que se diligenciará en los documentos tipo, esto último de acuerdo con su necesidad y las instrucciones que precise el pliego. </w:t>
      </w:r>
      <w:r w:rsidRPr="00C1373A">
        <w:rPr>
          <w:rFonts w:ascii="Arial" w:eastAsia="Arial" w:hAnsi="Arial" w:cs="Arial"/>
          <w:sz w:val="22"/>
          <w:szCs w:val="22"/>
          <w:lang w:val="es-ES"/>
        </w:rPr>
        <w:t>Por tanto, para solicitar experiencia</w:t>
      </w:r>
      <w:r w:rsidRPr="00C1373A">
        <w:rPr>
          <w:rFonts w:ascii="Arial" w:eastAsia="Arial" w:hAnsi="Arial" w:cs="Arial"/>
          <w:spacing w:val="-6"/>
          <w:sz w:val="22"/>
          <w:szCs w:val="22"/>
          <w:lang w:val="es-ES"/>
        </w:rPr>
        <w:t xml:space="preserve"> </w:t>
      </w:r>
      <w:r w:rsidRPr="00C1373A">
        <w:rPr>
          <w:rFonts w:ascii="Arial" w:eastAsia="Arial" w:hAnsi="Arial" w:cs="Arial"/>
          <w:sz w:val="22"/>
          <w:szCs w:val="22"/>
          <w:lang w:val="es-ES"/>
        </w:rPr>
        <w:t>frente</w:t>
      </w:r>
      <w:r w:rsidRPr="00C1373A">
        <w:rPr>
          <w:rFonts w:ascii="Arial" w:eastAsia="Arial" w:hAnsi="Arial" w:cs="Arial"/>
          <w:spacing w:val="-5"/>
          <w:sz w:val="22"/>
          <w:szCs w:val="22"/>
          <w:lang w:val="es-ES"/>
        </w:rPr>
        <w:t xml:space="preserve"> </w:t>
      </w:r>
      <w:r w:rsidRPr="00C1373A">
        <w:rPr>
          <w:rFonts w:ascii="Arial" w:eastAsia="Arial" w:hAnsi="Arial" w:cs="Arial"/>
          <w:sz w:val="22"/>
          <w:szCs w:val="22"/>
          <w:lang w:val="es-ES"/>
        </w:rPr>
        <w:t>a</w:t>
      </w:r>
      <w:r w:rsidRPr="00C1373A">
        <w:rPr>
          <w:rFonts w:ascii="Arial" w:eastAsia="Arial" w:hAnsi="Arial" w:cs="Arial"/>
          <w:spacing w:val="-5"/>
          <w:sz w:val="22"/>
          <w:szCs w:val="22"/>
          <w:lang w:val="es-ES"/>
        </w:rPr>
        <w:t xml:space="preserve"> </w:t>
      </w:r>
      <w:r w:rsidRPr="00C1373A">
        <w:rPr>
          <w:rFonts w:ascii="Arial" w:eastAsia="Arial" w:hAnsi="Arial" w:cs="Arial"/>
          <w:sz w:val="22"/>
          <w:szCs w:val="22"/>
          <w:lang w:val="es-ES"/>
        </w:rPr>
        <w:t>bienes</w:t>
      </w:r>
      <w:r w:rsidRPr="00C1373A">
        <w:rPr>
          <w:rFonts w:ascii="Arial" w:eastAsia="Arial" w:hAnsi="Arial" w:cs="Arial"/>
          <w:spacing w:val="-6"/>
          <w:sz w:val="22"/>
          <w:szCs w:val="22"/>
          <w:lang w:val="es-ES"/>
        </w:rPr>
        <w:t xml:space="preserve"> </w:t>
      </w:r>
      <w:r w:rsidRPr="00C1373A">
        <w:rPr>
          <w:rFonts w:ascii="Arial" w:eastAsia="Arial" w:hAnsi="Arial" w:cs="Arial"/>
          <w:sz w:val="22"/>
          <w:szCs w:val="22"/>
          <w:lang w:val="es-ES"/>
        </w:rPr>
        <w:t>o</w:t>
      </w:r>
      <w:r w:rsidRPr="00C1373A">
        <w:rPr>
          <w:rFonts w:ascii="Arial" w:eastAsia="Arial" w:hAnsi="Arial" w:cs="Arial"/>
          <w:spacing w:val="-5"/>
          <w:sz w:val="22"/>
          <w:szCs w:val="22"/>
          <w:lang w:val="es-ES"/>
        </w:rPr>
        <w:t xml:space="preserve"> </w:t>
      </w:r>
      <w:r w:rsidRPr="00C1373A">
        <w:rPr>
          <w:rFonts w:ascii="Arial" w:eastAsia="Arial" w:hAnsi="Arial" w:cs="Arial"/>
          <w:sz w:val="22"/>
          <w:szCs w:val="22"/>
          <w:lang w:val="es-ES"/>
        </w:rPr>
        <w:t>servicios</w:t>
      </w:r>
      <w:r w:rsidRPr="00C1373A">
        <w:rPr>
          <w:rFonts w:ascii="Arial" w:eastAsia="Arial" w:hAnsi="Arial" w:cs="Arial"/>
          <w:spacing w:val="-6"/>
          <w:sz w:val="22"/>
          <w:szCs w:val="22"/>
          <w:lang w:val="es-ES"/>
        </w:rPr>
        <w:t xml:space="preserve"> </w:t>
      </w:r>
      <w:r w:rsidRPr="00C1373A">
        <w:rPr>
          <w:rFonts w:ascii="Arial" w:eastAsia="Arial" w:hAnsi="Arial" w:cs="Arial"/>
          <w:sz w:val="22"/>
          <w:szCs w:val="22"/>
          <w:lang w:val="es-ES"/>
        </w:rPr>
        <w:t>adicionales</w:t>
      </w:r>
      <w:r w:rsidRPr="00C1373A">
        <w:rPr>
          <w:rFonts w:ascii="Arial" w:eastAsia="Arial" w:hAnsi="Arial" w:cs="Arial"/>
          <w:spacing w:val="-6"/>
          <w:sz w:val="22"/>
          <w:szCs w:val="22"/>
          <w:lang w:val="es-ES"/>
        </w:rPr>
        <w:t xml:space="preserve"> </w:t>
      </w:r>
      <w:r w:rsidRPr="00C1373A">
        <w:rPr>
          <w:rFonts w:ascii="Arial" w:eastAsia="Arial" w:hAnsi="Arial" w:cs="Arial"/>
          <w:sz w:val="22"/>
          <w:szCs w:val="22"/>
          <w:lang w:val="es-ES"/>
        </w:rPr>
        <w:t>que</w:t>
      </w:r>
      <w:r w:rsidRPr="00C1373A">
        <w:rPr>
          <w:rFonts w:ascii="Arial" w:eastAsia="Arial" w:hAnsi="Arial" w:cs="Arial"/>
          <w:spacing w:val="-5"/>
          <w:sz w:val="22"/>
          <w:szCs w:val="22"/>
          <w:lang w:val="es-ES"/>
        </w:rPr>
        <w:t xml:space="preserve"> </w:t>
      </w:r>
      <w:r w:rsidRPr="00C1373A">
        <w:rPr>
          <w:rFonts w:ascii="Arial" w:eastAsia="Arial" w:hAnsi="Arial" w:cs="Arial"/>
          <w:sz w:val="22"/>
          <w:szCs w:val="22"/>
          <w:lang w:val="es-ES"/>
        </w:rPr>
        <w:t>no</w:t>
      </w:r>
      <w:r w:rsidRPr="00C1373A">
        <w:rPr>
          <w:rFonts w:ascii="Arial" w:eastAsia="Arial" w:hAnsi="Arial" w:cs="Arial"/>
          <w:spacing w:val="-6"/>
          <w:sz w:val="22"/>
          <w:szCs w:val="22"/>
          <w:lang w:val="es-ES"/>
        </w:rPr>
        <w:t xml:space="preserve"> </w:t>
      </w:r>
      <w:r w:rsidRPr="00C1373A">
        <w:rPr>
          <w:rFonts w:ascii="Arial" w:eastAsia="Arial" w:hAnsi="Arial" w:cs="Arial"/>
          <w:sz w:val="22"/>
          <w:szCs w:val="22"/>
          <w:lang w:val="es-ES"/>
        </w:rPr>
        <w:t>se</w:t>
      </w:r>
      <w:r w:rsidRPr="00C1373A">
        <w:rPr>
          <w:rFonts w:ascii="Arial" w:eastAsia="Arial" w:hAnsi="Arial" w:cs="Arial"/>
          <w:spacing w:val="-5"/>
          <w:sz w:val="22"/>
          <w:szCs w:val="22"/>
          <w:lang w:val="es-ES"/>
        </w:rPr>
        <w:t xml:space="preserve"> </w:t>
      </w:r>
      <w:r w:rsidRPr="00C1373A">
        <w:rPr>
          <w:rFonts w:ascii="Arial" w:eastAsia="Arial" w:hAnsi="Arial" w:cs="Arial"/>
          <w:sz w:val="22"/>
          <w:szCs w:val="22"/>
          <w:lang w:val="es-ES"/>
        </w:rPr>
        <w:t>encuentren</w:t>
      </w:r>
      <w:r w:rsidRPr="00C1373A">
        <w:rPr>
          <w:rFonts w:ascii="Arial" w:eastAsia="Arial" w:hAnsi="Arial" w:cs="Arial"/>
          <w:spacing w:val="-6"/>
          <w:sz w:val="22"/>
          <w:szCs w:val="22"/>
          <w:lang w:val="es-ES"/>
        </w:rPr>
        <w:t xml:space="preserve"> </w:t>
      </w:r>
      <w:r w:rsidRPr="00C1373A">
        <w:rPr>
          <w:rFonts w:ascii="Arial" w:eastAsia="Arial" w:hAnsi="Arial" w:cs="Arial"/>
          <w:sz w:val="22"/>
          <w:szCs w:val="22"/>
          <w:lang w:val="es-ES"/>
        </w:rPr>
        <w:t>contemplados en</w:t>
      </w:r>
      <w:r w:rsidRPr="00C1373A">
        <w:rPr>
          <w:rFonts w:ascii="Arial" w:eastAsia="Arial" w:hAnsi="Arial" w:cs="Arial"/>
          <w:spacing w:val="-17"/>
          <w:sz w:val="22"/>
          <w:szCs w:val="22"/>
          <w:lang w:val="es-ES"/>
        </w:rPr>
        <w:t xml:space="preserve"> </w:t>
      </w:r>
      <w:r w:rsidRPr="00C1373A">
        <w:rPr>
          <w:rFonts w:ascii="Arial" w:eastAsia="Arial" w:hAnsi="Arial" w:cs="Arial"/>
          <w:sz w:val="22"/>
          <w:szCs w:val="22"/>
          <w:lang w:val="es-ES"/>
        </w:rPr>
        <w:t>la</w:t>
      </w:r>
      <w:r w:rsidRPr="00C1373A">
        <w:rPr>
          <w:rFonts w:ascii="Arial" w:eastAsia="Arial" w:hAnsi="Arial" w:cs="Arial"/>
          <w:spacing w:val="-17"/>
          <w:sz w:val="22"/>
          <w:szCs w:val="22"/>
          <w:lang w:val="es-ES"/>
        </w:rPr>
        <w:t xml:space="preserve"> </w:t>
      </w:r>
      <w:r w:rsidRPr="00C1373A">
        <w:rPr>
          <w:rFonts w:ascii="Arial" w:eastAsia="Arial" w:hAnsi="Arial" w:cs="Arial"/>
          <w:sz w:val="22"/>
          <w:szCs w:val="22"/>
          <w:lang w:val="es-ES"/>
        </w:rPr>
        <w:t>«Matriz</w:t>
      </w:r>
      <w:r w:rsidRPr="00C1373A">
        <w:rPr>
          <w:rFonts w:ascii="Arial" w:eastAsia="Arial" w:hAnsi="Arial" w:cs="Arial"/>
          <w:spacing w:val="-16"/>
          <w:sz w:val="22"/>
          <w:szCs w:val="22"/>
          <w:lang w:val="es-ES"/>
        </w:rPr>
        <w:t xml:space="preserve"> </w:t>
      </w:r>
      <w:r w:rsidRPr="00C1373A">
        <w:rPr>
          <w:rFonts w:ascii="Arial" w:eastAsia="Arial" w:hAnsi="Arial" w:cs="Arial"/>
          <w:sz w:val="22"/>
          <w:szCs w:val="22"/>
          <w:lang w:val="es-ES"/>
        </w:rPr>
        <w:t>1</w:t>
      </w:r>
      <w:r w:rsidRPr="00C1373A">
        <w:rPr>
          <w:rFonts w:ascii="Arial" w:eastAsia="Arial" w:hAnsi="Arial" w:cs="Arial"/>
          <w:spacing w:val="-17"/>
          <w:sz w:val="22"/>
          <w:szCs w:val="22"/>
          <w:lang w:val="es-ES"/>
        </w:rPr>
        <w:t xml:space="preserve"> </w:t>
      </w:r>
      <w:r w:rsidRPr="00C1373A">
        <w:rPr>
          <w:rFonts w:ascii="Arial" w:eastAsia="Arial" w:hAnsi="Arial" w:cs="Arial"/>
          <w:sz w:val="22"/>
          <w:szCs w:val="22"/>
          <w:lang w:val="es-ES"/>
        </w:rPr>
        <w:t>–</w:t>
      </w:r>
      <w:r w:rsidRPr="00C1373A">
        <w:rPr>
          <w:rFonts w:ascii="Arial" w:eastAsia="Arial" w:hAnsi="Arial" w:cs="Arial"/>
          <w:spacing w:val="-17"/>
          <w:sz w:val="22"/>
          <w:szCs w:val="22"/>
          <w:lang w:val="es-ES"/>
        </w:rPr>
        <w:t xml:space="preserve"> </w:t>
      </w:r>
      <w:r w:rsidRPr="00C1373A">
        <w:rPr>
          <w:rFonts w:ascii="Arial" w:eastAsia="Arial" w:hAnsi="Arial" w:cs="Arial"/>
          <w:sz w:val="22"/>
          <w:szCs w:val="22"/>
          <w:lang w:val="es-ES"/>
        </w:rPr>
        <w:t>Experiencia»,</w:t>
      </w:r>
      <w:r w:rsidRPr="00C1373A">
        <w:rPr>
          <w:rFonts w:ascii="Arial" w:eastAsia="Arial" w:hAnsi="Arial" w:cs="Arial"/>
          <w:spacing w:val="-14"/>
          <w:sz w:val="22"/>
          <w:szCs w:val="22"/>
          <w:lang w:val="es-ES"/>
        </w:rPr>
        <w:t xml:space="preserve"> </w:t>
      </w:r>
      <w:r w:rsidR="00620891" w:rsidRPr="007C15A2">
        <w:rPr>
          <w:rFonts w:ascii="Arial" w:eastAsia="Calibri" w:hAnsi="Arial" w:cs="Arial"/>
          <w:sz w:val="22"/>
          <w:szCs w:val="22"/>
        </w:rPr>
        <w:t>el literal h) del numeral 3.5.2</w:t>
      </w:r>
      <w:r w:rsidR="00620891">
        <w:rPr>
          <w:rFonts w:ascii="Arial" w:eastAsia="Calibri" w:hAnsi="Arial" w:cs="Arial"/>
          <w:sz w:val="22"/>
          <w:szCs w:val="22"/>
        </w:rPr>
        <w:t xml:space="preserve"> d</w:t>
      </w:r>
      <w:r w:rsidRPr="00C1373A">
        <w:rPr>
          <w:rFonts w:ascii="Arial" w:eastAsia="Calibri" w:hAnsi="Arial" w:cs="Arial"/>
          <w:sz w:val="22"/>
          <w:szCs w:val="22"/>
        </w:rPr>
        <w:t>el</w:t>
      </w:r>
      <w:r w:rsidR="004F0A35">
        <w:rPr>
          <w:rFonts w:ascii="Arial" w:eastAsia="Calibri" w:hAnsi="Arial" w:cs="Arial"/>
          <w:sz w:val="22"/>
          <w:szCs w:val="22"/>
        </w:rPr>
        <w:t xml:space="preserve"> pliego de condiciones</w:t>
      </w:r>
      <w:r w:rsidRPr="00C1373A">
        <w:rPr>
          <w:rFonts w:ascii="Arial" w:eastAsia="Calibri" w:hAnsi="Arial" w:cs="Arial"/>
          <w:sz w:val="22"/>
          <w:szCs w:val="22"/>
        </w:rPr>
        <w:t xml:space="preserve"> de los </w:t>
      </w:r>
      <w:r w:rsidR="004F0A35">
        <w:rPr>
          <w:rFonts w:ascii="Arial" w:eastAsia="Calibri" w:hAnsi="Arial" w:cs="Arial"/>
          <w:sz w:val="22"/>
          <w:szCs w:val="22"/>
        </w:rPr>
        <w:lastRenderedPageBreak/>
        <w:t>«</w:t>
      </w:r>
      <w:r w:rsidR="004F0A35" w:rsidRPr="004F0A35">
        <w:rPr>
          <w:rFonts w:ascii="Arial" w:eastAsia="Calibri" w:hAnsi="Arial" w:cs="Arial"/>
          <w:sz w:val="22"/>
          <w:szCs w:val="22"/>
        </w:rPr>
        <w:t>Documentos Tipo</w:t>
      </w:r>
      <w:r w:rsidR="004F0A35">
        <w:rPr>
          <w:rFonts w:ascii="Arial" w:eastAsia="Calibri" w:hAnsi="Arial" w:cs="Arial"/>
          <w:sz w:val="22"/>
          <w:szCs w:val="22"/>
        </w:rPr>
        <w:t xml:space="preserve"> – Versión 3»</w:t>
      </w:r>
      <w:r w:rsidRPr="00C1373A">
        <w:rPr>
          <w:rFonts w:ascii="Arial" w:eastAsia="Calibri" w:hAnsi="Arial" w:cs="Arial"/>
          <w:sz w:val="22"/>
          <w:szCs w:val="22"/>
        </w:rPr>
        <w:t xml:space="preserve"> de licitación de obra pública de infraestructura de transporte </w:t>
      </w:r>
      <w:r w:rsidR="009456FD">
        <w:rPr>
          <w:rFonts w:ascii="Arial" w:eastAsia="Calibri" w:hAnsi="Arial" w:cs="Arial"/>
          <w:sz w:val="22"/>
          <w:szCs w:val="22"/>
        </w:rPr>
        <w:t>dispone</w:t>
      </w:r>
      <w:r w:rsidRPr="00C1373A">
        <w:rPr>
          <w:rFonts w:ascii="Arial" w:eastAsia="Calibri" w:hAnsi="Arial" w:cs="Arial"/>
          <w:sz w:val="22"/>
          <w:szCs w:val="22"/>
        </w:rPr>
        <w:t xml:space="preserve"> lo siguiente:</w:t>
      </w:r>
    </w:p>
    <w:p w14:paraId="67E9098C" w14:textId="77777777" w:rsidR="00F60B77" w:rsidRPr="00C1373A" w:rsidRDefault="00F60B77" w:rsidP="00F60B77">
      <w:pPr>
        <w:spacing w:line="276" w:lineRule="auto"/>
        <w:ind w:firstLine="708"/>
        <w:jc w:val="both"/>
        <w:rPr>
          <w:rFonts w:ascii="Arial" w:eastAsia="Calibri" w:hAnsi="Arial" w:cs="Arial"/>
          <w:sz w:val="22"/>
          <w:szCs w:val="22"/>
        </w:rPr>
      </w:pPr>
    </w:p>
    <w:p w14:paraId="72203711" w14:textId="77777777" w:rsidR="00F60B77" w:rsidRPr="00AB0BA8" w:rsidRDefault="00F60B77" w:rsidP="00F60B77">
      <w:pPr>
        <w:spacing w:after="120"/>
        <w:ind w:left="709" w:right="709"/>
        <w:jc w:val="both"/>
        <w:rPr>
          <w:rFonts w:ascii="Arial" w:hAnsi="Arial" w:cs="Arial"/>
          <w:sz w:val="21"/>
          <w:szCs w:val="21"/>
          <w:highlight w:val="lightGray"/>
          <w:lang w:val="es-MX"/>
        </w:rPr>
      </w:pPr>
      <w:r w:rsidRPr="00AB0BA8">
        <w:rPr>
          <w:rFonts w:ascii="Arial" w:hAnsi="Arial" w:cs="Arial"/>
          <w:sz w:val="21"/>
          <w:szCs w:val="21"/>
          <w:lang w:val="es-MX"/>
        </w:rPr>
        <w:t>H. [</w:t>
      </w:r>
      <w:r w:rsidRPr="00AB0BA8">
        <w:rPr>
          <w:rFonts w:ascii="Arial" w:hAnsi="Arial" w:cs="Arial"/>
          <w:sz w:val="21"/>
          <w:szCs w:val="21"/>
          <w:highlight w:val="lightGray"/>
          <w:lang w:val="es-MX"/>
        </w:rPr>
        <w:t>Cuando el objeto contractual incluya bienes o servicios ajenos a la obra pública de infraestructura de transporte y de manera excepcional requiere incluir experiencia adicional para evaluar la idoneidad respecto de los bienes o servicios ajenos a la obra pública, la entidad estatal deberá seguir los parámetros establecidos en el artículo 2.2.1.2.6.1.5 del Decreto 1082 de 2015.</w:t>
      </w:r>
    </w:p>
    <w:p w14:paraId="58ED8701" w14:textId="77777777" w:rsidR="00F60B77" w:rsidRPr="00AB0BA8" w:rsidRDefault="00F60B77" w:rsidP="00F60B77">
      <w:pPr>
        <w:spacing w:after="120"/>
        <w:ind w:left="709" w:right="709"/>
        <w:jc w:val="both"/>
        <w:rPr>
          <w:rFonts w:ascii="Arial" w:hAnsi="Arial" w:cs="Arial"/>
          <w:sz w:val="21"/>
          <w:szCs w:val="21"/>
          <w:highlight w:val="lightGray"/>
          <w:lang w:val="es-MX"/>
        </w:rPr>
      </w:pPr>
      <w:r w:rsidRPr="00AB0BA8">
        <w:rPr>
          <w:rFonts w:ascii="Arial" w:hAnsi="Arial" w:cs="Arial"/>
          <w:sz w:val="21"/>
          <w:szCs w:val="21"/>
          <w:highlight w:val="lightGray"/>
          <w:lang w:val="es-MX"/>
        </w:rPr>
        <w:t>Conforme a esta disposición, la entidad no puede requerir experiencia adicional que incluya volúmenes o cantidades de obra específica expresadas en SMMLV]</w:t>
      </w:r>
    </w:p>
    <w:p w14:paraId="2B6106B5" w14:textId="77777777" w:rsidR="00F60B77" w:rsidRPr="00AB0BA8" w:rsidRDefault="00F60B77" w:rsidP="00C1373A">
      <w:pPr>
        <w:ind w:left="709" w:right="709"/>
        <w:jc w:val="both"/>
        <w:rPr>
          <w:rFonts w:ascii="Arial" w:hAnsi="Arial" w:cs="Arial"/>
          <w:sz w:val="21"/>
          <w:szCs w:val="21"/>
          <w:lang w:val="es-MX"/>
        </w:rPr>
      </w:pPr>
      <w:r w:rsidRPr="00AB0BA8">
        <w:rPr>
          <w:rFonts w:ascii="Arial" w:hAnsi="Arial" w:cs="Arial"/>
          <w:sz w:val="21"/>
          <w:szCs w:val="21"/>
          <w:highlight w:val="lightGray"/>
          <w:lang w:val="es-MX"/>
        </w:rPr>
        <w:t>La entidad tampoco puede exigir experiencia general o específica adicional a la señalada en la Matriz 1 – Experiencia relacionada con Planes de Manejo Ambiental, Planes de Manejo de Tránsito o el Plan de Adaptación de la Guía Ambiental, porque no son bienes o servicios ajenos a la obra pública de infraestructura de transporte]</w:t>
      </w:r>
    </w:p>
    <w:p w14:paraId="444B2352" w14:textId="77777777" w:rsidR="00F60B77" w:rsidRPr="00C1373A" w:rsidRDefault="00F60B77" w:rsidP="00F60B77">
      <w:pPr>
        <w:spacing w:line="276" w:lineRule="auto"/>
        <w:ind w:right="709"/>
        <w:jc w:val="both"/>
        <w:rPr>
          <w:rFonts w:ascii="Arial" w:eastAsia="Calibri" w:hAnsi="Arial" w:cs="Arial"/>
          <w:sz w:val="22"/>
          <w:szCs w:val="22"/>
        </w:rPr>
      </w:pPr>
    </w:p>
    <w:p w14:paraId="1196EB44" w14:textId="75DABA19" w:rsidR="00F60B77" w:rsidRPr="00C1373A" w:rsidRDefault="00F60B77" w:rsidP="00C1373A">
      <w:pPr>
        <w:widowControl w:val="0"/>
        <w:autoSpaceDE w:val="0"/>
        <w:autoSpaceDN w:val="0"/>
        <w:spacing w:after="120" w:line="276" w:lineRule="auto"/>
        <w:ind w:firstLine="709"/>
        <w:jc w:val="both"/>
        <w:rPr>
          <w:rFonts w:ascii="Arial" w:eastAsia="Arial" w:hAnsi="Arial" w:cs="Arial"/>
          <w:sz w:val="22"/>
          <w:szCs w:val="22"/>
          <w:lang w:val="es-ES"/>
        </w:rPr>
      </w:pPr>
      <w:r w:rsidRPr="00C1373A">
        <w:rPr>
          <w:rFonts w:ascii="Arial" w:eastAsia="Arial" w:hAnsi="Arial" w:cs="Arial"/>
          <w:sz w:val="22"/>
          <w:szCs w:val="22"/>
          <w:lang w:val="es-ES"/>
        </w:rPr>
        <w:t>De</w:t>
      </w:r>
      <w:r w:rsidRPr="00C1373A">
        <w:rPr>
          <w:rFonts w:ascii="Arial" w:eastAsia="Arial" w:hAnsi="Arial" w:cs="Arial"/>
          <w:spacing w:val="-12"/>
          <w:sz w:val="22"/>
          <w:szCs w:val="22"/>
          <w:lang w:val="es-ES"/>
        </w:rPr>
        <w:t xml:space="preserve"> </w:t>
      </w:r>
      <w:r w:rsidRPr="00C1373A">
        <w:rPr>
          <w:rFonts w:ascii="Arial" w:eastAsia="Arial" w:hAnsi="Arial" w:cs="Arial"/>
          <w:sz w:val="22"/>
          <w:szCs w:val="22"/>
          <w:lang w:val="es-ES"/>
        </w:rPr>
        <w:t>esta</w:t>
      </w:r>
      <w:r w:rsidRPr="00C1373A">
        <w:rPr>
          <w:rFonts w:ascii="Arial" w:eastAsia="Arial" w:hAnsi="Arial" w:cs="Arial"/>
          <w:spacing w:val="-12"/>
          <w:sz w:val="22"/>
          <w:szCs w:val="22"/>
          <w:lang w:val="es-ES"/>
        </w:rPr>
        <w:t xml:space="preserve"> </w:t>
      </w:r>
      <w:r w:rsidRPr="00C1373A">
        <w:rPr>
          <w:rFonts w:ascii="Arial" w:eastAsia="Arial" w:hAnsi="Arial" w:cs="Arial"/>
          <w:sz w:val="22"/>
          <w:szCs w:val="22"/>
          <w:lang w:val="es-ES"/>
        </w:rPr>
        <w:t>manera,</w:t>
      </w:r>
      <w:r w:rsidRPr="00C1373A">
        <w:rPr>
          <w:rFonts w:ascii="Arial" w:eastAsia="Arial" w:hAnsi="Arial" w:cs="Arial"/>
          <w:spacing w:val="-11"/>
          <w:sz w:val="22"/>
          <w:szCs w:val="22"/>
          <w:lang w:val="es-ES"/>
        </w:rPr>
        <w:t xml:space="preserve"> </w:t>
      </w:r>
      <w:r w:rsidRPr="00C1373A">
        <w:rPr>
          <w:rFonts w:ascii="Arial" w:eastAsia="Arial" w:hAnsi="Arial" w:cs="Arial"/>
          <w:sz w:val="22"/>
          <w:szCs w:val="22"/>
          <w:lang w:val="es-ES"/>
        </w:rPr>
        <w:t>la</w:t>
      </w:r>
      <w:r w:rsidRPr="00C1373A">
        <w:rPr>
          <w:rFonts w:ascii="Arial" w:eastAsia="Arial" w:hAnsi="Arial" w:cs="Arial"/>
          <w:spacing w:val="-12"/>
          <w:sz w:val="22"/>
          <w:szCs w:val="22"/>
          <w:lang w:val="es-ES"/>
        </w:rPr>
        <w:t xml:space="preserve"> </w:t>
      </w:r>
      <w:r w:rsidRPr="00C1373A">
        <w:rPr>
          <w:rFonts w:ascii="Arial" w:eastAsia="Arial" w:hAnsi="Arial" w:cs="Arial"/>
          <w:sz w:val="22"/>
          <w:szCs w:val="22"/>
          <w:lang w:val="es-ES"/>
        </w:rPr>
        <w:t>regla</w:t>
      </w:r>
      <w:r w:rsidRPr="00C1373A">
        <w:rPr>
          <w:rFonts w:ascii="Arial" w:eastAsia="Arial" w:hAnsi="Arial" w:cs="Arial"/>
          <w:spacing w:val="-12"/>
          <w:sz w:val="22"/>
          <w:szCs w:val="22"/>
          <w:lang w:val="es-ES"/>
        </w:rPr>
        <w:t xml:space="preserve"> </w:t>
      </w:r>
      <w:r w:rsidRPr="00C1373A">
        <w:rPr>
          <w:rFonts w:ascii="Arial" w:eastAsia="Arial" w:hAnsi="Arial" w:cs="Arial"/>
          <w:sz w:val="22"/>
          <w:szCs w:val="22"/>
          <w:lang w:val="es-ES"/>
        </w:rPr>
        <w:t>general</w:t>
      </w:r>
      <w:r w:rsidRPr="00C1373A">
        <w:rPr>
          <w:rFonts w:ascii="Arial" w:eastAsia="Arial" w:hAnsi="Arial" w:cs="Arial"/>
          <w:spacing w:val="-11"/>
          <w:sz w:val="22"/>
          <w:szCs w:val="22"/>
          <w:lang w:val="es-ES"/>
        </w:rPr>
        <w:t xml:space="preserve"> </w:t>
      </w:r>
      <w:r w:rsidRPr="00C1373A">
        <w:rPr>
          <w:rFonts w:ascii="Arial" w:eastAsia="Arial" w:hAnsi="Arial" w:cs="Arial"/>
          <w:sz w:val="22"/>
          <w:szCs w:val="22"/>
          <w:lang w:val="es-ES"/>
        </w:rPr>
        <w:t>frente</w:t>
      </w:r>
      <w:r w:rsidRPr="00C1373A">
        <w:rPr>
          <w:rFonts w:ascii="Arial" w:eastAsia="Arial" w:hAnsi="Arial" w:cs="Arial"/>
          <w:spacing w:val="-11"/>
          <w:sz w:val="22"/>
          <w:szCs w:val="22"/>
          <w:lang w:val="es-ES"/>
        </w:rPr>
        <w:t xml:space="preserve"> </w:t>
      </w:r>
      <w:r w:rsidRPr="00C1373A">
        <w:rPr>
          <w:rFonts w:ascii="Arial" w:eastAsia="Arial" w:hAnsi="Arial" w:cs="Arial"/>
          <w:sz w:val="22"/>
          <w:szCs w:val="22"/>
          <w:lang w:val="es-ES"/>
        </w:rPr>
        <w:t>a</w:t>
      </w:r>
      <w:r w:rsidRPr="00C1373A">
        <w:rPr>
          <w:rFonts w:ascii="Arial" w:eastAsia="Arial" w:hAnsi="Arial" w:cs="Arial"/>
          <w:spacing w:val="-12"/>
          <w:sz w:val="22"/>
          <w:szCs w:val="22"/>
          <w:lang w:val="es-ES"/>
        </w:rPr>
        <w:t xml:space="preserve"> </w:t>
      </w:r>
      <w:r w:rsidRPr="00C1373A">
        <w:rPr>
          <w:rFonts w:ascii="Arial" w:eastAsia="Arial" w:hAnsi="Arial" w:cs="Arial"/>
          <w:sz w:val="22"/>
          <w:szCs w:val="22"/>
          <w:lang w:val="es-ES"/>
        </w:rPr>
        <w:t>la</w:t>
      </w:r>
      <w:r w:rsidRPr="00C1373A">
        <w:rPr>
          <w:rFonts w:ascii="Arial" w:eastAsia="Arial" w:hAnsi="Arial" w:cs="Arial"/>
          <w:spacing w:val="-12"/>
          <w:sz w:val="22"/>
          <w:szCs w:val="22"/>
          <w:lang w:val="es-ES"/>
        </w:rPr>
        <w:t xml:space="preserve"> </w:t>
      </w:r>
      <w:r w:rsidRPr="00C1373A">
        <w:rPr>
          <w:rFonts w:ascii="Arial" w:eastAsia="Arial" w:hAnsi="Arial" w:cs="Arial"/>
          <w:sz w:val="22"/>
          <w:szCs w:val="22"/>
          <w:lang w:val="es-ES"/>
        </w:rPr>
        <w:t>aplicación</w:t>
      </w:r>
      <w:r w:rsidRPr="00C1373A">
        <w:rPr>
          <w:rFonts w:ascii="Arial" w:eastAsia="Arial" w:hAnsi="Arial" w:cs="Arial"/>
          <w:spacing w:val="-11"/>
          <w:sz w:val="22"/>
          <w:szCs w:val="22"/>
          <w:lang w:val="es-ES"/>
        </w:rPr>
        <w:t xml:space="preserve"> </w:t>
      </w:r>
      <w:r w:rsidRPr="00C1373A">
        <w:rPr>
          <w:rFonts w:ascii="Arial" w:eastAsia="Arial" w:hAnsi="Arial" w:cs="Arial"/>
          <w:sz w:val="22"/>
          <w:szCs w:val="22"/>
          <w:lang w:val="es-ES"/>
        </w:rPr>
        <w:t>del</w:t>
      </w:r>
      <w:r w:rsidRPr="00C1373A">
        <w:rPr>
          <w:rFonts w:ascii="Arial" w:eastAsia="Arial" w:hAnsi="Arial" w:cs="Arial"/>
          <w:spacing w:val="-12"/>
          <w:sz w:val="22"/>
          <w:szCs w:val="22"/>
          <w:lang w:val="es-ES"/>
        </w:rPr>
        <w:t xml:space="preserve"> </w:t>
      </w:r>
      <w:r w:rsidRPr="00C1373A">
        <w:rPr>
          <w:rFonts w:ascii="Arial" w:eastAsia="Arial" w:hAnsi="Arial" w:cs="Arial"/>
          <w:sz w:val="22"/>
          <w:szCs w:val="22"/>
          <w:lang w:val="es-ES"/>
        </w:rPr>
        <w:t>documento</w:t>
      </w:r>
      <w:r w:rsidRPr="00C1373A">
        <w:rPr>
          <w:rFonts w:ascii="Arial" w:eastAsia="Arial" w:hAnsi="Arial" w:cs="Arial"/>
          <w:spacing w:val="-12"/>
          <w:sz w:val="22"/>
          <w:szCs w:val="22"/>
          <w:lang w:val="es-ES"/>
        </w:rPr>
        <w:t xml:space="preserve"> </w:t>
      </w:r>
      <w:r w:rsidRPr="00C1373A">
        <w:rPr>
          <w:rFonts w:ascii="Arial" w:eastAsia="Arial" w:hAnsi="Arial" w:cs="Arial"/>
          <w:sz w:val="22"/>
          <w:szCs w:val="22"/>
          <w:lang w:val="es-ES"/>
        </w:rPr>
        <w:t>base</w:t>
      </w:r>
      <w:r w:rsidRPr="00C1373A">
        <w:rPr>
          <w:rFonts w:ascii="Arial" w:eastAsia="Arial" w:hAnsi="Arial" w:cs="Arial"/>
          <w:spacing w:val="-11"/>
          <w:sz w:val="22"/>
          <w:szCs w:val="22"/>
          <w:lang w:val="es-ES"/>
        </w:rPr>
        <w:t xml:space="preserve"> </w:t>
      </w:r>
      <w:r w:rsidRPr="00C1373A">
        <w:rPr>
          <w:rFonts w:ascii="Arial" w:eastAsia="Arial" w:hAnsi="Arial" w:cs="Arial"/>
          <w:sz w:val="22"/>
          <w:szCs w:val="22"/>
          <w:lang w:val="es-ES"/>
        </w:rPr>
        <w:t>es</w:t>
      </w:r>
      <w:r w:rsidRPr="00C1373A">
        <w:rPr>
          <w:rFonts w:ascii="Arial" w:eastAsia="Arial" w:hAnsi="Arial" w:cs="Arial"/>
          <w:spacing w:val="-12"/>
          <w:sz w:val="22"/>
          <w:szCs w:val="22"/>
          <w:lang w:val="es-ES"/>
        </w:rPr>
        <w:t xml:space="preserve"> </w:t>
      </w:r>
      <w:r w:rsidRPr="00C1373A">
        <w:rPr>
          <w:rFonts w:ascii="Arial" w:eastAsia="Arial" w:hAnsi="Arial" w:cs="Arial"/>
          <w:sz w:val="22"/>
          <w:szCs w:val="22"/>
          <w:lang w:val="es-ES"/>
        </w:rPr>
        <w:t xml:space="preserve">su inalterabilidad. Por lo tanto, no se podrán incluir o modificar dentro de los documentos del proceso las condiciones habilitantes, los factores técnicos y económicos de escogencia y los sistemas </w:t>
      </w:r>
      <w:r w:rsidRPr="00C1373A">
        <w:rPr>
          <w:rFonts w:ascii="Arial" w:eastAsia="Calibri" w:hAnsi="Arial" w:cs="Arial"/>
          <w:color w:val="000000"/>
          <w:sz w:val="22"/>
          <w:szCs w:val="22"/>
          <w:lang w:val="es-ES_tradnl" w:eastAsia="es-ES"/>
        </w:rPr>
        <w:t>de ponderación señalados en los documentos tipo, salvo lo previsto en el artículo 4 de las Resoluciones 240</w:t>
      </w:r>
      <w:r w:rsidR="005F2015">
        <w:rPr>
          <w:rFonts w:ascii="Arial" w:eastAsia="Calibri" w:hAnsi="Arial" w:cs="Arial"/>
          <w:color w:val="000000"/>
          <w:sz w:val="22"/>
          <w:szCs w:val="22"/>
          <w:lang w:val="es-ES_tradnl" w:eastAsia="es-ES"/>
        </w:rPr>
        <w:t xml:space="preserve"> y 241</w:t>
      </w:r>
      <w:r w:rsidRPr="00C1373A">
        <w:rPr>
          <w:rFonts w:ascii="Arial" w:eastAsia="Calibri" w:hAnsi="Arial" w:cs="Arial"/>
          <w:color w:val="000000"/>
          <w:sz w:val="22"/>
          <w:szCs w:val="22"/>
          <w:lang w:val="es-ES_tradnl" w:eastAsia="es-ES"/>
        </w:rPr>
        <w:t xml:space="preserve"> de 2020</w:t>
      </w:r>
      <w:r w:rsidR="005F2015">
        <w:rPr>
          <w:rFonts w:ascii="Arial" w:eastAsia="Calibri" w:hAnsi="Arial" w:cs="Arial"/>
          <w:color w:val="000000"/>
          <w:sz w:val="22"/>
          <w:szCs w:val="22"/>
          <w:lang w:val="es-ES_tradnl" w:eastAsia="es-ES"/>
        </w:rPr>
        <w:t>,</w:t>
      </w:r>
      <w:r w:rsidR="006E4887">
        <w:rPr>
          <w:rFonts w:ascii="Arial" w:eastAsia="Calibri" w:hAnsi="Arial" w:cs="Arial"/>
          <w:color w:val="000000"/>
          <w:sz w:val="22"/>
          <w:szCs w:val="22"/>
          <w:lang w:val="es-ES_tradnl" w:eastAsia="es-ES"/>
        </w:rPr>
        <w:t xml:space="preserve"> así como el artículo </w:t>
      </w:r>
      <w:r w:rsidR="006E4887" w:rsidRPr="003D53B9">
        <w:rPr>
          <w:rFonts w:ascii="Arial" w:eastAsia="Calibri" w:hAnsi="Arial" w:cs="Arial"/>
          <w:color w:val="000000"/>
          <w:sz w:val="22"/>
          <w:szCs w:val="22"/>
          <w:lang w:val="es-ES_tradnl" w:eastAsia="es-ES"/>
        </w:rPr>
        <w:t>2.2.1.2.6.3.5</w:t>
      </w:r>
      <w:r w:rsidR="006E4887">
        <w:rPr>
          <w:rFonts w:ascii="Arial" w:eastAsia="Calibri" w:hAnsi="Arial" w:cs="Arial"/>
          <w:color w:val="000000"/>
          <w:sz w:val="22"/>
          <w:szCs w:val="22"/>
          <w:lang w:val="es-ES_tradnl" w:eastAsia="es-ES"/>
        </w:rPr>
        <w:t xml:space="preserve"> del Decreto 1082 de 2015</w:t>
      </w:r>
      <w:r w:rsidRPr="00C1373A">
        <w:rPr>
          <w:rFonts w:ascii="Arial" w:eastAsia="Calibri" w:hAnsi="Arial" w:cs="Arial"/>
          <w:color w:val="000000"/>
          <w:sz w:val="22"/>
          <w:szCs w:val="22"/>
          <w:lang w:val="es-ES_tradnl" w:eastAsia="es-ES"/>
        </w:rPr>
        <w:t>. Por tanto, si el objeto contractual incluye bienes o servicios ajenos a la obra pública de infraestructura de transporte, de allí solo se deriva que podrá incluirse la experiencia adicional que se considere conveniente, atendiendo a las reglas cada uno de los actos administrativos citados.</w:t>
      </w:r>
    </w:p>
    <w:p w14:paraId="7DE6629A" w14:textId="445DF618" w:rsidR="002943BE" w:rsidRPr="00667150" w:rsidRDefault="00AF4401" w:rsidP="00C1373A">
      <w:pPr>
        <w:spacing w:after="120" w:line="276" w:lineRule="auto"/>
        <w:ind w:firstLine="708"/>
        <w:jc w:val="both"/>
        <w:rPr>
          <w:rFonts w:ascii="Arial" w:hAnsi="Arial" w:cs="Arial"/>
          <w:color w:val="000000" w:themeColor="text1"/>
          <w:sz w:val="22"/>
        </w:rPr>
      </w:pPr>
      <w:r>
        <w:rPr>
          <w:rFonts w:ascii="Arial" w:hAnsi="Arial" w:cs="Arial"/>
          <w:color w:val="000000" w:themeColor="text1"/>
          <w:sz w:val="22"/>
        </w:rPr>
        <w:t>Sin perjuicio de lo anterior, es necesario tener en cuenta que l</w:t>
      </w:r>
      <w:r w:rsidR="002943BE" w:rsidRPr="00667150">
        <w:rPr>
          <w:rFonts w:ascii="Arial" w:hAnsi="Arial" w:cs="Arial"/>
          <w:color w:val="000000" w:themeColor="text1"/>
          <w:sz w:val="22"/>
        </w:rPr>
        <w:t>as actividades de mantenimiento sobre bienes inmuebles, se encuentran en principio comprendidas dentro de los posibles objetos del contrato de obra pública definido por el</w:t>
      </w:r>
      <w:r w:rsidR="00BA25BB">
        <w:rPr>
          <w:rFonts w:ascii="Arial" w:hAnsi="Arial" w:cs="Arial"/>
          <w:color w:val="000000" w:themeColor="text1"/>
          <w:sz w:val="22"/>
        </w:rPr>
        <w:t xml:space="preserve"> artículo </w:t>
      </w:r>
      <w:r w:rsidR="002943BE" w:rsidRPr="00667150">
        <w:rPr>
          <w:rFonts w:ascii="Arial" w:hAnsi="Arial" w:cs="Arial"/>
          <w:color w:val="000000" w:themeColor="text1"/>
          <w:sz w:val="22"/>
        </w:rPr>
        <w:t>32</w:t>
      </w:r>
      <w:r w:rsidR="00BA25BB">
        <w:rPr>
          <w:rFonts w:ascii="Arial" w:hAnsi="Arial" w:cs="Arial"/>
          <w:color w:val="000000" w:themeColor="text1"/>
          <w:sz w:val="22"/>
        </w:rPr>
        <w:t>.1</w:t>
      </w:r>
      <w:r w:rsidR="002943BE" w:rsidRPr="00667150">
        <w:rPr>
          <w:rFonts w:ascii="Arial" w:hAnsi="Arial" w:cs="Arial"/>
          <w:color w:val="000000" w:themeColor="text1"/>
          <w:sz w:val="22"/>
        </w:rPr>
        <w:t xml:space="preserve"> de la Ley 80 de 1993</w:t>
      </w:r>
      <w:r w:rsidR="00BA25BB">
        <w:rPr>
          <w:rStyle w:val="Refdenotaalpie"/>
          <w:rFonts w:ascii="Arial" w:hAnsi="Arial" w:cs="Arial"/>
          <w:color w:val="000000" w:themeColor="text1"/>
          <w:sz w:val="22"/>
        </w:rPr>
        <w:footnoteReference w:id="6"/>
      </w:r>
      <w:r w:rsidR="002943BE" w:rsidRPr="00667150">
        <w:rPr>
          <w:rFonts w:ascii="Arial" w:hAnsi="Arial" w:cs="Arial"/>
          <w:color w:val="000000" w:themeColor="text1"/>
          <w:sz w:val="22"/>
        </w:rPr>
        <w:t xml:space="preserve">. En ese sentido, el hecho de que no se realicen actividades de construcción, no desvirtúa la naturaleza del contrato, al ser el mantenimiento una </w:t>
      </w:r>
      <w:r w:rsidR="002943BE">
        <w:rPr>
          <w:rFonts w:ascii="Arial" w:hAnsi="Arial" w:cs="Arial"/>
          <w:color w:val="000000" w:themeColor="text1"/>
          <w:sz w:val="22"/>
        </w:rPr>
        <w:t xml:space="preserve">de </w:t>
      </w:r>
      <w:r w:rsidR="002943BE" w:rsidRPr="00667150">
        <w:rPr>
          <w:rFonts w:ascii="Arial" w:hAnsi="Arial" w:cs="Arial"/>
          <w:color w:val="000000" w:themeColor="text1"/>
          <w:sz w:val="22"/>
        </w:rPr>
        <w:t>las actividades propias de la ejecución de los contratos de obra pública.</w:t>
      </w:r>
    </w:p>
    <w:p w14:paraId="0A61AEFA" w14:textId="69F659B8" w:rsidR="002943BE" w:rsidRPr="00667150" w:rsidRDefault="002943BE" w:rsidP="002943BE">
      <w:pPr>
        <w:spacing w:after="120" w:line="276" w:lineRule="auto"/>
        <w:jc w:val="both"/>
        <w:rPr>
          <w:rFonts w:ascii="Arial" w:hAnsi="Arial" w:cs="Arial"/>
          <w:color w:val="000000" w:themeColor="text1"/>
          <w:sz w:val="22"/>
        </w:rPr>
      </w:pPr>
      <w:r w:rsidRPr="00667150">
        <w:rPr>
          <w:rFonts w:ascii="Arial" w:hAnsi="Arial" w:cs="Arial"/>
          <w:color w:val="000000" w:themeColor="text1"/>
          <w:sz w:val="22"/>
        </w:rPr>
        <w:tab/>
        <w:t xml:space="preserve">Ahora bien, en los numerales </w:t>
      </w:r>
      <w:r>
        <w:rPr>
          <w:rFonts w:ascii="Arial" w:hAnsi="Arial" w:cs="Arial"/>
          <w:color w:val="000000" w:themeColor="text1"/>
          <w:sz w:val="22"/>
        </w:rPr>
        <w:t>1.3</w:t>
      </w:r>
      <w:r w:rsidRPr="00667150">
        <w:rPr>
          <w:rFonts w:ascii="Arial" w:hAnsi="Arial" w:cs="Arial"/>
          <w:color w:val="000000" w:themeColor="text1"/>
          <w:sz w:val="22"/>
        </w:rPr>
        <w:t xml:space="preserve"> y </w:t>
      </w:r>
      <w:r>
        <w:rPr>
          <w:rFonts w:ascii="Arial" w:hAnsi="Arial" w:cs="Arial"/>
          <w:color w:val="000000" w:themeColor="text1"/>
          <w:sz w:val="22"/>
        </w:rPr>
        <w:t>2.3</w:t>
      </w:r>
      <w:r w:rsidRPr="00667150">
        <w:rPr>
          <w:rFonts w:ascii="Arial" w:hAnsi="Arial" w:cs="Arial"/>
          <w:color w:val="000000" w:themeColor="text1"/>
          <w:sz w:val="22"/>
        </w:rPr>
        <w:t xml:space="preserve"> de la </w:t>
      </w:r>
      <w:r>
        <w:rPr>
          <w:rFonts w:ascii="Arial" w:hAnsi="Arial" w:cs="Arial"/>
          <w:color w:val="000000" w:themeColor="text1"/>
          <w:sz w:val="22"/>
        </w:rPr>
        <w:t>m</w:t>
      </w:r>
      <w:r w:rsidRPr="00667150">
        <w:rPr>
          <w:rFonts w:ascii="Arial" w:hAnsi="Arial" w:cs="Arial"/>
          <w:color w:val="000000" w:themeColor="text1"/>
          <w:sz w:val="22"/>
        </w:rPr>
        <w:t>atriz 1</w:t>
      </w:r>
      <w:r>
        <w:rPr>
          <w:rFonts w:ascii="Arial" w:hAnsi="Arial" w:cs="Arial"/>
          <w:color w:val="000000" w:themeColor="text1"/>
          <w:sz w:val="22"/>
        </w:rPr>
        <w:t xml:space="preserve"> de experiencia para los procesos de </w:t>
      </w:r>
      <w:r w:rsidR="00793CA3">
        <w:rPr>
          <w:rFonts w:ascii="Arial" w:hAnsi="Arial" w:cs="Arial"/>
          <w:color w:val="000000" w:themeColor="text1"/>
          <w:sz w:val="22"/>
        </w:rPr>
        <w:t>licitación, se</w:t>
      </w:r>
      <w:r w:rsidR="00551F4C">
        <w:rPr>
          <w:rFonts w:ascii="Arial" w:hAnsi="Arial" w:cs="Arial"/>
          <w:color w:val="000000" w:themeColor="text1"/>
          <w:sz w:val="22"/>
        </w:rPr>
        <w:t>lección abreviada de menor cuantía y mínima cuantía</w:t>
      </w:r>
      <w:r w:rsidRPr="00667150">
        <w:rPr>
          <w:rFonts w:ascii="Arial" w:hAnsi="Arial" w:cs="Arial"/>
          <w:color w:val="000000" w:themeColor="text1"/>
          <w:sz w:val="22"/>
        </w:rPr>
        <w:t xml:space="preserve"> se hace referencia al mantenimiento de vías </w:t>
      </w:r>
      <w:r>
        <w:rPr>
          <w:rFonts w:ascii="Arial" w:hAnsi="Arial" w:cs="Arial"/>
          <w:color w:val="000000" w:themeColor="text1"/>
          <w:sz w:val="22"/>
        </w:rPr>
        <w:t xml:space="preserve">primarias o </w:t>
      </w:r>
      <w:r w:rsidRPr="00667150">
        <w:rPr>
          <w:rFonts w:ascii="Arial" w:hAnsi="Arial" w:cs="Arial"/>
          <w:color w:val="000000" w:themeColor="text1"/>
          <w:sz w:val="22"/>
        </w:rPr>
        <w:t>secundarias y terciarias,</w:t>
      </w:r>
      <w:r>
        <w:rPr>
          <w:rFonts w:ascii="Arial" w:hAnsi="Arial" w:cs="Arial"/>
          <w:color w:val="000000" w:themeColor="text1"/>
          <w:sz w:val="22"/>
        </w:rPr>
        <w:t xml:space="preserve"> respectivamente,</w:t>
      </w:r>
      <w:r w:rsidRPr="00667150">
        <w:rPr>
          <w:rFonts w:ascii="Arial" w:hAnsi="Arial" w:cs="Arial"/>
          <w:color w:val="000000" w:themeColor="text1"/>
          <w:sz w:val="22"/>
        </w:rPr>
        <w:t xml:space="preserve"> por lo que en principio la contratación de estas actividades por parte de entidades sometidas al Estatuto General de Contratación de la Administración Pública estaría sometida a la </w:t>
      </w:r>
      <w:r w:rsidRPr="00667150">
        <w:rPr>
          <w:rFonts w:ascii="Arial" w:hAnsi="Arial" w:cs="Arial"/>
          <w:color w:val="000000" w:themeColor="text1"/>
          <w:sz w:val="22"/>
        </w:rPr>
        <w:lastRenderedPageBreak/>
        <w:t xml:space="preserve">aplicación de los documentos tipo de conformidad con el parágrafo 7 del artículo 2 de la Ley 1150 de 2007, adicionado por la Ley 1882 de 2018.    </w:t>
      </w:r>
    </w:p>
    <w:p w14:paraId="60825834" w14:textId="77777777" w:rsidR="002943BE" w:rsidRDefault="002943BE" w:rsidP="002943BE">
      <w:pPr>
        <w:spacing w:after="120" w:line="276" w:lineRule="auto"/>
        <w:jc w:val="both"/>
        <w:rPr>
          <w:rFonts w:ascii="Arial" w:hAnsi="Arial" w:cs="Arial"/>
          <w:color w:val="000000" w:themeColor="text1"/>
          <w:sz w:val="22"/>
        </w:rPr>
      </w:pPr>
      <w:r w:rsidRPr="00667150">
        <w:rPr>
          <w:rFonts w:ascii="Arial" w:hAnsi="Arial" w:cs="Arial"/>
          <w:color w:val="000000" w:themeColor="text1"/>
          <w:sz w:val="22"/>
        </w:rPr>
        <w:tab/>
      </w:r>
      <w:r>
        <w:rPr>
          <w:rFonts w:ascii="Arial" w:hAnsi="Arial" w:cs="Arial"/>
          <w:color w:val="000000" w:themeColor="text1"/>
          <w:sz w:val="22"/>
        </w:rPr>
        <w:t>L</w:t>
      </w:r>
      <w:r w:rsidRPr="00667150">
        <w:rPr>
          <w:rFonts w:ascii="Arial" w:hAnsi="Arial" w:cs="Arial"/>
          <w:color w:val="000000" w:themeColor="text1"/>
          <w:sz w:val="22"/>
        </w:rPr>
        <w:t xml:space="preserve">a implementación de proyectos de mantenimiento involucra el desarrollo de diferentes tipos de actividades que deben realizarse de manera rutinaria o periódica sobre la infraestructura vial, a efectos de contrarrestar el deterioro ocasionado por el tránsito y los fenómenos climáticos. </w:t>
      </w:r>
      <w:r>
        <w:rPr>
          <w:rFonts w:ascii="Arial" w:hAnsi="Arial" w:cs="Arial"/>
          <w:color w:val="000000" w:themeColor="text1"/>
          <w:sz w:val="22"/>
        </w:rPr>
        <w:t xml:space="preserve">Particularmente, respecto a </w:t>
      </w:r>
      <w:r w:rsidRPr="00667150">
        <w:rPr>
          <w:rFonts w:ascii="Arial" w:hAnsi="Arial" w:cs="Arial"/>
          <w:color w:val="000000" w:themeColor="text1"/>
          <w:sz w:val="22"/>
        </w:rPr>
        <w:t>la actividad de</w:t>
      </w:r>
      <w:r w:rsidRPr="00667150">
        <w:rPr>
          <w:rFonts w:ascii="Arial" w:hAnsi="Arial" w:cs="Arial"/>
          <w:i/>
          <w:iCs/>
          <w:color w:val="000000" w:themeColor="text1"/>
          <w:sz w:val="22"/>
        </w:rPr>
        <w:t xml:space="preserve"> rocería</w:t>
      </w:r>
      <w:r w:rsidRPr="00667150">
        <w:rPr>
          <w:rFonts w:ascii="Arial" w:hAnsi="Arial" w:cs="Arial"/>
          <w:color w:val="000000" w:themeColor="text1"/>
          <w:sz w:val="22"/>
        </w:rPr>
        <w:t xml:space="preserve"> a la que hace referencia en </w:t>
      </w:r>
      <w:r>
        <w:rPr>
          <w:rFonts w:ascii="Arial" w:hAnsi="Arial" w:cs="Arial"/>
          <w:color w:val="000000" w:themeColor="text1"/>
          <w:sz w:val="22"/>
        </w:rPr>
        <w:t>la consulta, si bien no se encuentra ejemplificada en la matriz 1 de experiencia, ello no resulta de manera alguna excluyente para hacer uso de los documentos tipo</w:t>
      </w:r>
      <w:r w:rsidRPr="00667150">
        <w:rPr>
          <w:rFonts w:ascii="Arial" w:hAnsi="Arial" w:cs="Arial"/>
          <w:color w:val="000000" w:themeColor="text1"/>
          <w:sz w:val="22"/>
        </w:rPr>
        <w:t xml:space="preserve">. </w:t>
      </w:r>
    </w:p>
    <w:p w14:paraId="037EA341" w14:textId="2A0B0211" w:rsidR="002943BE" w:rsidRPr="00667150" w:rsidRDefault="002943BE" w:rsidP="002943BE">
      <w:pPr>
        <w:spacing w:after="120" w:line="276" w:lineRule="auto"/>
        <w:ind w:firstLine="708"/>
        <w:jc w:val="both"/>
        <w:rPr>
          <w:rFonts w:ascii="Arial" w:hAnsi="Arial" w:cs="Arial"/>
          <w:color w:val="000000" w:themeColor="text1"/>
          <w:sz w:val="22"/>
        </w:rPr>
      </w:pPr>
      <w:r>
        <w:rPr>
          <w:rFonts w:ascii="Arial" w:hAnsi="Arial" w:cs="Arial"/>
          <w:color w:val="000000" w:themeColor="text1"/>
          <w:sz w:val="22"/>
        </w:rPr>
        <w:t xml:space="preserve">Para establecer la procedencia de dicha actividad frente a la utilización de los documentos tipo </w:t>
      </w:r>
      <w:r w:rsidR="00CF6E82">
        <w:rPr>
          <w:rFonts w:ascii="Arial" w:hAnsi="Arial" w:cs="Arial"/>
          <w:color w:val="000000" w:themeColor="text1"/>
          <w:sz w:val="22"/>
        </w:rPr>
        <w:t>de infraestructura de transporte</w:t>
      </w:r>
      <w:r>
        <w:rPr>
          <w:rFonts w:ascii="Arial" w:hAnsi="Arial" w:cs="Arial"/>
          <w:color w:val="000000" w:themeColor="text1"/>
          <w:sz w:val="22"/>
        </w:rPr>
        <w:t xml:space="preserve"> es necesario realizar algunas apreciaciones respecto a este tipo de trabajos. </w:t>
      </w:r>
      <w:r w:rsidRPr="00667150">
        <w:rPr>
          <w:rFonts w:ascii="Arial" w:hAnsi="Arial" w:cs="Arial"/>
          <w:color w:val="000000" w:themeColor="text1"/>
          <w:sz w:val="22"/>
        </w:rPr>
        <w:t>Este término se encuentra acotado por la Real Academia Española de la Le</w:t>
      </w:r>
      <w:r>
        <w:rPr>
          <w:rFonts w:ascii="Arial" w:hAnsi="Arial" w:cs="Arial"/>
          <w:color w:val="000000" w:themeColor="text1"/>
          <w:sz w:val="22"/>
        </w:rPr>
        <w:t>n</w:t>
      </w:r>
      <w:r w:rsidRPr="00667150">
        <w:rPr>
          <w:rFonts w:ascii="Arial" w:hAnsi="Arial" w:cs="Arial"/>
          <w:color w:val="000000" w:themeColor="text1"/>
          <w:sz w:val="22"/>
        </w:rPr>
        <w:t>gua como «</w:t>
      </w:r>
      <w:r w:rsidRPr="00667150">
        <w:rPr>
          <w:rFonts w:ascii="Arial" w:hAnsi="Arial" w:cs="Arial"/>
          <w:i/>
          <w:iCs/>
          <w:color w:val="000000" w:themeColor="text1"/>
          <w:sz w:val="22"/>
        </w:rPr>
        <w:t xml:space="preserve">De rozar. </w:t>
      </w:r>
      <w:r w:rsidRPr="00667150">
        <w:rPr>
          <w:rFonts w:ascii="Arial" w:hAnsi="Arial" w:cs="Arial"/>
          <w:color w:val="000000" w:themeColor="text1"/>
          <w:sz w:val="22"/>
        </w:rPr>
        <w:t>1. f. Col. Roza, desmonte, derribo»</w:t>
      </w:r>
      <w:r w:rsidRPr="00667150">
        <w:rPr>
          <w:rStyle w:val="Refdenotaalpie"/>
          <w:rFonts w:ascii="Arial" w:hAnsi="Arial" w:cs="Arial"/>
          <w:color w:val="000000" w:themeColor="text1"/>
          <w:sz w:val="22"/>
        </w:rPr>
        <w:footnoteReference w:id="7"/>
      </w:r>
      <w:r w:rsidRPr="00667150">
        <w:rPr>
          <w:rFonts w:ascii="Arial" w:hAnsi="Arial" w:cs="Arial"/>
          <w:color w:val="000000" w:themeColor="text1"/>
          <w:sz w:val="22"/>
        </w:rPr>
        <w:t>.</w:t>
      </w:r>
      <w:r>
        <w:rPr>
          <w:rFonts w:ascii="Arial" w:hAnsi="Arial" w:cs="Arial"/>
          <w:color w:val="000000" w:themeColor="text1"/>
          <w:sz w:val="22"/>
        </w:rPr>
        <w:t xml:space="preserve"> </w:t>
      </w:r>
      <w:r w:rsidRPr="00667150">
        <w:rPr>
          <w:rFonts w:ascii="Arial" w:hAnsi="Arial" w:cs="Arial"/>
          <w:color w:val="000000" w:themeColor="text1"/>
          <w:sz w:val="22"/>
        </w:rPr>
        <w:t xml:space="preserve"> De otra parte, el «Glosario de Manual de diseño geométrico de carreteras»</w:t>
      </w:r>
      <w:r>
        <w:rPr>
          <w:rFonts w:ascii="Arial" w:hAnsi="Arial" w:cs="Arial"/>
          <w:color w:val="000000" w:themeColor="text1"/>
          <w:sz w:val="22"/>
        </w:rPr>
        <w:t xml:space="preserve">, </w:t>
      </w:r>
      <w:r w:rsidRPr="00667150">
        <w:rPr>
          <w:rFonts w:ascii="Arial" w:hAnsi="Arial" w:cs="Arial"/>
          <w:color w:val="000000" w:themeColor="text1"/>
          <w:sz w:val="22"/>
        </w:rPr>
        <w:t xml:space="preserve">define la </w:t>
      </w:r>
      <w:r w:rsidRPr="00667150">
        <w:rPr>
          <w:rFonts w:ascii="Arial" w:hAnsi="Arial" w:cs="Arial"/>
          <w:i/>
          <w:iCs/>
          <w:color w:val="000000" w:themeColor="text1"/>
          <w:sz w:val="22"/>
        </w:rPr>
        <w:t>rocería</w:t>
      </w:r>
      <w:r w:rsidRPr="00667150">
        <w:rPr>
          <w:rFonts w:ascii="Arial" w:hAnsi="Arial" w:cs="Arial"/>
          <w:color w:val="000000" w:themeColor="text1"/>
          <w:sz w:val="22"/>
        </w:rPr>
        <w:t xml:space="preserve"> como «Actividad de mantenimiento rutinario encaminada a mantener baja la vegetación de las zonas laterales de la vía»</w:t>
      </w:r>
      <w:r w:rsidRPr="00667150">
        <w:rPr>
          <w:rStyle w:val="Refdenotaalpie"/>
          <w:rFonts w:ascii="Arial" w:hAnsi="Arial" w:cs="Arial"/>
          <w:color w:val="000000" w:themeColor="text1"/>
          <w:sz w:val="22"/>
        </w:rPr>
        <w:footnoteReference w:id="8"/>
      </w:r>
      <w:r w:rsidRPr="00667150">
        <w:rPr>
          <w:rFonts w:ascii="Arial" w:hAnsi="Arial" w:cs="Arial"/>
          <w:color w:val="000000" w:themeColor="text1"/>
          <w:sz w:val="22"/>
        </w:rPr>
        <w:t>.</w:t>
      </w:r>
    </w:p>
    <w:p w14:paraId="2C49985B" w14:textId="77777777" w:rsidR="002943BE" w:rsidRPr="00C1373A" w:rsidRDefault="002943BE" w:rsidP="002943BE">
      <w:pPr>
        <w:spacing w:after="120" w:line="276" w:lineRule="auto"/>
        <w:ind w:firstLine="708"/>
        <w:jc w:val="both"/>
        <w:rPr>
          <w:rFonts w:ascii="Arial" w:hAnsi="Arial" w:cs="Arial"/>
          <w:color w:val="000000" w:themeColor="text1"/>
          <w:sz w:val="22"/>
          <w:szCs w:val="22"/>
        </w:rPr>
      </w:pPr>
      <w:r>
        <w:rPr>
          <w:rFonts w:ascii="Arial" w:hAnsi="Arial" w:cs="Arial"/>
          <w:color w:val="000000" w:themeColor="text1"/>
          <w:sz w:val="22"/>
        </w:rPr>
        <w:t>En este mismo sentido</w:t>
      </w:r>
      <w:r w:rsidRPr="00667150">
        <w:rPr>
          <w:rFonts w:ascii="Arial" w:hAnsi="Arial" w:cs="Arial"/>
          <w:color w:val="000000" w:themeColor="text1"/>
          <w:sz w:val="22"/>
        </w:rPr>
        <w:t>, el «Manual de Mantenimiento de Carreteras» del Instituto Nacional de Vías –INVIAS– establece como parte de las especificaciones generales de mantenimiento de carreteras el control de la vegetación a través de diversas actividades como: rocería y desmonte, remoción de arbustos y poda de árboles</w:t>
      </w:r>
      <w:r>
        <w:rPr>
          <w:rFonts w:ascii="Arial" w:hAnsi="Arial" w:cs="Arial"/>
          <w:color w:val="000000" w:themeColor="text1"/>
          <w:sz w:val="22"/>
        </w:rPr>
        <w:t xml:space="preserve">. </w:t>
      </w:r>
      <w:r w:rsidRPr="00C1373A">
        <w:rPr>
          <w:rFonts w:ascii="Arial" w:hAnsi="Arial" w:cs="Arial"/>
          <w:color w:val="000000" w:themeColor="text1"/>
          <w:sz w:val="22"/>
          <w:szCs w:val="22"/>
        </w:rPr>
        <w:t>Al respecto, define la rocería y desmonte como «</w:t>
      </w:r>
      <w:r w:rsidRPr="00C1373A">
        <w:rPr>
          <w:rFonts w:ascii="Arial" w:hAnsi="Arial" w:cs="Arial"/>
          <w:sz w:val="22"/>
          <w:szCs w:val="22"/>
        </w:rPr>
        <w:t>Actividad de mantenimiento rutinario encaminada a mantener baja la vegetación de las zonas laterales de la vía</w:t>
      </w:r>
      <w:r w:rsidRPr="00C1373A">
        <w:rPr>
          <w:rFonts w:ascii="Arial" w:hAnsi="Arial" w:cs="Arial"/>
          <w:color w:val="000000" w:themeColor="text1"/>
          <w:sz w:val="22"/>
          <w:szCs w:val="22"/>
        </w:rPr>
        <w:t>»</w:t>
      </w:r>
      <w:r w:rsidRPr="00C1373A">
        <w:rPr>
          <w:rStyle w:val="Refdenotaalpie"/>
          <w:rFonts w:ascii="Arial" w:hAnsi="Arial" w:cs="Arial"/>
          <w:color w:val="000000" w:themeColor="text1"/>
          <w:sz w:val="22"/>
          <w:szCs w:val="22"/>
        </w:rPr>
        <w:footnoteReference w:id="9"/>
      </w:r>
      <w:r w:rsidRPr="00C1373A">
        <w:rPr>
          <w:rFonts w:ascii="Arial" w:hAnsi="Arial" w:cs="Arial"/>
          <w:color w:val="000000" w:themeColor="text1"/>
          <w:sz w:val="22"/>
          <w:szCs w:val="22"/>
        </w:rPr>
        <w:t xml:space="preserve">. </w:t>
      </w:r>
    </w:p>
    <w:p w14:paraId="1E66A730" w14:textId="77777777" w:rsidR="002943BE" w:rsidRPr="00667150" w:rsidRDefault="002943BE" w:rsidP="002943BE">
      <w:pPr>
        <w:spacing w:after="120" w:line="276" w:lineRule="auto"/>
        <w:jc w:val="both"/>
        <w:rPr>
          <w:rFonts w:ascii="Arial" w:hAnsi="Arial" w:cs="Arial"/>
          <w:color w:val="000000" w:themeColor="text1"/>
          <w:sz w:val="22"/>
        </w:rPr>
      </w:pPr>
      <w:r w:rsidRPr="00667150">
        <w:rPr>
          <w:rFonts w:ascii="Arial" w:hAnsi="Arial" w:cs="Arial"/>
          <w:color w:val="000000" w:themeColor="text1"/>
          <w:sz w:val="22"/>
        </w:rPr>
        <w:tab/>
        <w:t xml:space="preserve">Estas nociones de </w:t>
      </w:r>
      <w:r w:rsidRPr="00667150">
        <w:rPr>
          <w:rFonts w:ascii="Arial" w:hAnsi="Arial" w:cs="Arial"/>
          <w:i/>
          <w:iCs/>
          <w:color w:val="000000" w:themeColor="text1"/>
          <w:sz w:val="22"/>
        </w:rPr>
        <w:t xml:space="preserve">rocería </w:t>
      </w:r>
      <w:r w:rsidRPr="00667150">
        <w:rPr>
          <w:rFonts w:ascii="Arial" w:hAnsi="Arial" w:cs="Arial"/>
          <w:color w:val="000000" w:themeColor="text1"/>
          <w:sz w:val="22"/>
        </w:rPr>
        <w:t>nos indican que est</w:t>
      </w:r>
      <w:r>
        <w:rPr>
          <w:rFonts w:ascii="Arial" w:hAnsi="Arial" w:cs="Arial"/>
          <w:color w:val="000000" w:themeColor="text1"/>
          <w:sz w:val="22"/>
        </w:rPr>
        <w:t>a</w:t>
      </w:r>
      <w:r w:rsidRPr="00667150">
        <w:rPr>
          <w:rFonts w:ascii="Arial" w:hAnsi="Arial" w:cs="Arial"/>
          <w:color w:val="000000" w:themeColor="text1"/>
          <w:sz w:val="22"/>
        </w:rPr>
        <w:t xml:space="preserve"> es concebida como una actividad propia del mantenimiento rutinario de carreteras</w:t>
      </w:r>
      <w:r>
        <w:rPr>
          <w:rFonts w:ascii="Arial" w:hAnsi="Arial" w:cs="Arial"/>
          <w:color w:val="000000" w:themeColor="text1"/>
          <w:sz w:val="22"/>
        </w:rPr>
        <w:t>. Esta se</w:t>
      </w:r>
      <w:r w:rsidRPr="00667150">
        <w:rPr>
          <w:rFonts w:ascii="Arial" w:hAnsi="Arial" w:cs="Arial"/>
          <w:color w:val="000000" w:themeColor="text1"/>
          <w:sz w:val="22"/>
        </w:rPr>
        <w:t xml:space="preserve"> dirig</w:t>
      </w:r>
      <w:r>
        <w:rPr>
          <w:rFonts w:ascii="Arial" w:hAnsi="Arial" w:cs="Arial"/>
          <w:color w:val="000000" w:themeColor="text1"/>
          <w:sz w:val="22"/>
        </w:rPr>
        <w:t>e</w:t>
      </w:r>
      <w:r w:rsidRPr="00667150">
        <w:rPr>
          <w:rFonts w:ascii="Arial" w:hAnsi="Arial" w:cs="Arial"/>
          <w:color w:val="000000" w:themeColor="text1"/>
          <w:sz w:val="22"/>
        </w:rPr>
        <w:t xml:space="preserve"> a remover la vegetación que crece alrededor de las vías, cuya realización es indispensable en casos en los que el crecimiento de estas capas vegetales puede deteriorar la infraestructura vial al punto de no permitir su uso en condiciones óptimas</w:t>
      </w:r>
      <w:r>
        <w:rPr>
          <w:rFonts w:ascii="Arial" w:hAnsi="Arial" w:cs="Arial"/>
          <w:color w:val="000000" w:themeColor="text1"/>
          <w:sz w:val="22"/>
        </w:rPr>
        <w:t xml:space="preserve">. Incluso, </w:t>
      </w:r>
      <w:r w:rsidRPr="00667150">
        <w:rPr>
          <w:rFonts w:ascii="Arial" w:hAnsi="Arial" w:cs="Arial"/>
          <w:color w:val="000000" w:themeColor="text1"/>
          <w:sz w:val="22"/>
        </w:rPr>
        <w:t xml:space="preserve">puede estar asociado a los diferentes fenómenos climáticos, por lo que debe realizarse de manera periódica o rutinaria según las condiciones </w:t>
      </w:r>
      <w:r>
        <w:rPr>
          <w:rFonts w:ascii="Arial" w:hAnsi="Arial" w:cs="Arial"/>
          <w:color w:val="000000" w:themeColor="text1"/>
          <w:sz w:val="22"/>
        </w:rPr>
        <w:t>de la</w:t>
      </w:r>
      <w:r w:rsidRPr="00667150">
        <w:rPr>
          <w:rFonts w:ascii="Arial" w:hAnsi="Arial" w:cs="Arial"/>
          <w:color w:val="000000" w:themeColor="text1"/>
          <w:sz w:val="22"/>
        </w:rPr>
        <w:t xml:space="preserve"> vía. </w:t>
      </w:r>
    </w:p>
    <w:p w14:paraId="6328A4E4" w14:textId="77777777" w:rsidR="002943BE" w:rsidRPr="00667150" w:rsidRDefault="002943BE" w:rsidP="002943BE">
      <w:pPr>
        <w:spacing w:after="120" w:line="276" w:lineRule="auto"/>
        <w:ind w:firstLine="708"/>
        <w:jc w:val="both"/>
        <w:rPr>
          <w:rFonts w:ascii="Arial" w:hAnsi="Arial" w:cs="Arial"/>
          <w:color w:val="000000" w:themeColor="text1"/>
          <w:sz w:val="22"/>
        </w:rPr>
      </w:pPr>
      <w:r>
        <w:rPr>
          <w:rFonts w:ascii="Arial" w:hAnsi="Arial" w:cs="Arial"/>
          <w:color w:val="000000" w:themeColor="text1"/>
          <w:sz w:val="22"/>
        </w:rPr>
        <w:lastRenderedPageBreak/>
        <w:t>De esta manera</w:t>
      </w:r>
      <w:r w:rsidRPr="00667150">
        <w:rPr>
          <w:rFonts w:ascii="Arial" w:hAnsi="Arial" w:cs="Arial"/>
          <w:color w:val="000000" w:themeColor="text1"/>
          <w:sz w:val="22"/>
        </w:rPr>
        <w:t xml:space="preserve">, a pesar de que la </w:t>
      </w:r>
      <w:r w:rsidRPr="00667150">
        <w:rPr>
          <w:rFonts w:ascii="Arial" w:hAnsi="Arial" w:cs="Arial"/>
          <w:i/>
          <w:iCs/>
          <w:color w:val="000000" w:themeColor="text1"/>
          <w:sz w:val="22"/>
        </w:rPr>
        <w:t>rocería</w:t>
      </w:r>
      <w:r w:rsidRPr="00667150">
        <w:rPr>
          <w:rFonts w:ascii="Arial" w:hAnsi="Arial" w:cs="Arial"/>
          <w:color w:val="000000" w:themeColor="text1"/>
          <w:sz w:val="22"/>
        </w:rPr>
        <w:t xml:space="preserve"> no aparece explícitamente relacionada dentro de la </w:t>
      </w:r>
      <w:r>
        <w:rPr>
          <w:rFonts w:ascii="Arial" w:hAnsi="Arial" w:cs="Arial"/>
          <w:color w:val="000000" w:themeColor="text1"/>
          <w:sz w:val="22"/>
        </w:rPr>
        <w:t>m</w:t>
      </w:r>
      <w:r w:rsidRPr="00667150">
        <w:rPr>
          <w:rFonts w:ascii="Arial" w:hAnsi="Arial" w:cs="Arial"/>
          <w:color w:val="000000" w:themeColor="text1"/>
          <w:sz w:val="22"/>
        </w:rPr>
        <w:t xml:space="preserve">atriz 1, podemos concluir </w:t>
      </w:r>
      <w:r>
        <w:rPr>
          <w:rFonts w:ascii="Arial" w:hAnsi="Arial" w:cs="Arial"/>
          <w:color w:val="000000" w:themeColor="text1"/>
          <w:sz w:val="22"/>
        </w:rPr>
        <w:t xml:space="preserve">que </w:t>
      </w:r>
      <w:r w:rsidRPr="00667150">
        <w:rPr>
          <w:rFonts w:ascii="Arial" w:hAnsi="Arial" w:cs="Arial"/>
          <w:color w:val="000000" w:themeColor="text1"/>
          <w:sz w:val="22"/>
        </w:rPr>
        <w:t>el desarrollo de esta respecto de infraestructura vial encaja dentro de la noción de mantenimiento adoptada por los documentos tipo</w:t>
      </w:r>
      <w:r>
        <w:rPr>
          <w:rFonts w:ascii="Arial" w:hAnsi="Arial" w:cs="Arial"/>
          <w:color w:val="000000" w:themeColor="text1"/>
          <w:sz w:val="22"/>
        </w:rPr>
        <w:t xml:space="preserve"> y lo definido en el artículo 12 de la Ley 1682 de 2013</w:t>
      </w:r>
      <w:r>
        <w:rPr>
          <w:rStyle w:val="Refdenotaalpie"/>
          <w:rFonts w:ascii="Arial" w:hAnsi="Arial" w:cs="Arial"/>
          <w:color w:val="000000" w:themeColor="text1"/>
          <w:sz w:val="22"/>
        </w:rPr>
        <w:footnoteReference w:id="10"/>
      </w:r>
      <w:r>
        <w:rPr>
          <w:rFonts w:ascii="Arial" w:hAnsi="Arial" w:cs="Arial"/>
          <w:color w:val="000000" w:themeColor="text1"/>
          <w:sz w:val="22"/>
        </w:rPr>
        <w:t>. Lo anterior en la medida</w:t>
      </w:r>
      <w:r w:rsidRPr="00667150">
        <w:rPr>
          <w:rFonts w:ascii="Arial" w:hAnsi="Arial" w:cs="Arial"/>
          <w:color w:val="000000" w:themeColor="text1"/>
          <w:sz w:val="22"/>
        </w:rPr>
        <w:t xml:space="preserve"> que el desarrollo de esta actividad est</w:t>
      </w:r>
      <w:r>
        <w:rPr>
          <w:rFonts w:ascii="Arial" w:hAnsi="Arial" w:cs="Arial"/>
          <w:color w:val="000000" w:themeColor="text1"/>
          <w:sz w:val="22"/>
        </w:rPr>
        <w:t>á</w:t>
      </w:r>
      <w:r w:rsidRPr="00667150">
        <w:rPr>
          <w:rFonts w:ascii="Arial" w:hAnsi="Arial" w:cs="Arial"/>
          <w:color w:val="000000" w:themeColor="text1"/>
          <w:sz w:val="22"/>
        </w:rPr>
        <w:t xml:space="preserve"> encaminado a mantener las vías en condiciones óptimas para el uso al cual están destinadas. </w:t>
      </w:r>
    </w:p>
    <w:p w14:paraId="294AB178" w14:textId="1292909F" w:rsidR="002943BE" w:rsidRDefault="002943BE" w:rsidP="002943BE">
      <w:pPr>
        <w:spacing w:line="276" w:lineRule="auto"/>
        <w:ind w:firstLine="708"/>
        <w:jc w:val="both"/>
        <w:rPr>
          <w:rFonts w:ascii="Arial" w:hAnsi="Arial" w:cs="Arial"/>
          <w:color w:val="000000" w:themeColor="text1"/>
          <w:sz w:val="22"/>
        </w:rPr>
      </w:pPr>
      <w:r w:rsidRPr="00667150">
        <w:rPr>
          <w:rFonts w:ascii="Arial" w:hAnsi="Arial" w:cs="Arial"/>
          <w:color w:val="000000" w:themeColor="text1"/>
          <w:sz w:val="22"/>
        </w:rPr>
        <w:t xml:space="preserve">En ese sentido, el mantenimiento de vías </w:t>
      </w:r>
      <w:r>
        <w:rPr>
          <w:rFonts w:ascii="Arial" w:hAnsi="Arial" w:cs="Arial"/>
          <w:color w:val="000000" w:themeColor="text1"/>
          <w:sz w:val="22"/>
        </w:rPr>
        <w:t xml:space="preserve">primarias, </w:t>
      </w:r>
      <w:r w:rsidRPr="00667150">
        <w:rPr>
          <w:rFonts w:ascii="Arial" w:hAnsi="Arial" w:cs="Arial"/>
          <w:color w:val="000000" w:themeColor="text1"/>
          <w:sz w:val="22"/>
        </w:rPr>
        <w:t>secundar</w:t>
      </w:r>
      <w:r>
        <w:rPr>
          <w:rFonts w:ascii="Arial" w:hAnsi="Arial" w:cs="Arial"/>
          <w:color w:val="000000" w:themeColor="text1"/>
          <w:sz w:val="22"/>
        </w:rPr>
        <w:t>i</w:t>
      </w:r>
      <w:r w:rsidRPr="00667150">
        <w:rPr>
          <w:rFonts w:ascii="Arial" w:hAnsi="Arial" w:cs="Arial"/>
          <w:color w:val="000000" w:themeColor="text1"/>
          <w:sz w:val="22"/>
        </w:rPr>
        <w:t>as</w:t>
      </w:r>
      <w:r>
        <w:rPr>
          <w:rFonts w:ascii="Arial" w:hAnsi="Arial" w:cs="Arial"/>
          <w:color w:val="000000" w:themeColor="text1"/>
          <w:sz w:val="22"/>
        </w:rPr>
        <w:t>, y</w:t>
      </w:r>
      <w:r w:rsidRPr="00667150">
        <w:rPr>
          <w:rFonts w:ascii="Arial" w:hAnsi="Arial" w:cs="Arial"/>
          <w:color w:val="000000" w:themeColor="text1"/>
          <w:sz w:val="22"/>
        </w:rPr>
        <w:t xml:space="preserve"> terciarias</w:t>
      </w:r>
      <w:r>
        <w:rPr>
          <w:rFonts w:ascii="Arial" w:hAnsi="Arial" w:cs="Arial"/>
          <w:color w:val="000000" w:themeColor="text1"/>
          <w:sz w:val="22"/>
        </w:rPr>
        <w:t xml:space="preserve">, </w:t>
      </w:r>
      <w:r w:rsidRPr="00667150">
        <w:rPr>
          <w:rFonts w:ascii="Arial" w:hAnsi="Arial" w:cs="Arial"/>
          <w:color w:val="000000" w:themeColor="text1"/>
          <w:sz w:val="22"/>
        </w:rPr>
        <w:t xml:space="preserve">mediante actividades de </w:t>
      </w:r>
      <w:r w:rsidRPr="00667150">
        <w:rPr>
          <w:rFonts w:ascii="Arial" w:hAnsi="Arial" w:cs="Arial"/>
          <w:i/>
          <w:iCs/>
          <w:color w:val="000000" w:themeColor="text1"/>
          <w:sz w:val="22"/>
        </w:rPr>
        <w:t>rocería</w:t>
      </w:r>
      <w:r w:rsidRPr="00667150">
        <w:rPr>
          <w:rFonts w:ascii="Arial" w:hAnsi="Arial" w:cs="Arial"/>
          <w:color w:val="000000" w:themeColor="text1"/>
          <w:sz w:val="22"/>
        </w:rPr>
        <w:t xml:space="preserve"> </w:t>
      </w:r>
      <w:r>
        <w:rPr>
          <w:rFonts w:ascii="Arial" w:hAnsi="Arial" w:cs="Arial"/>
          <w:color w:val="000000" w:themeColor="text1"/>
          <w:sz w:val="22"/>
        </w:rPr>
        <w:t xml:space="preserve">y aquellas que se ejecuten para realizar un mantenimiento rutinario de las vías, </w:t>
      </w:r>
      <w:r w:rsidRPr="00667150">
        <w:rPr>
          <w:rFonts w:ascii="Arial" w:hAnsi="Arial" w:cs="Arial"/>
          <w:color w:val="000000" w:themeColor="text1"/>
          <w:sz w:val="22"/>
        </w:rPr>
        <w:t>se enmarca en el objeto del contrato de obra</w:t>
      </w:r>
      <w:r w:rsidR="00B81010">
        <w:rPr>
          <w:rFonts w:ascii="Arial" w:hAnsi="Arial" w:cs="Arial"/>
          <w:color w:val="000000" w:themeColor="text1"/>
          <w:sz w:val="22"/>
        </w:rPr>
        <w:t>,</w:t>
      </w:r>
      <w:r w:rsidR="004431BA">
        <w:rPr>
          <w:rFonts w:ascii="Arial" w:hAnsi="Arial" w:cs="Arial"/>
          <w:color w:val="000000" w:themeColor="text1"/>
          <w:sz w:val="22"/>
        </w:rPr>
        <w:t xml:space="preserve"> </w:t>
      </w:r>
      <w:r w:rsidR="00B81010">
        <w:rPr>
          <w:rFonts w:ascii="Arial" w:hAnsi="Arial" w:cs="Arial"/>
          <w:color w:val="000000" w:themeColor="text1"/>
          <w:sz w:val="22"/>
        </w:rPr>
        <w:t>por lo que</w:t>
      </w:r>
      <w:r w:rsidR="004431BA">
        <w:rPr>
          <w:rFonts w:ascii="Arial" w:hAnsi="Arial" w:cs="Arial"/>
          <w:color w:val="000000" w:themeColor="text1"/>
          <w:sz w:val="22"/>
        </w:rPr>
        <w:t xml:space="preserve"> no constituye una obra o servicio adicional en los términos explicados </w:t>
      </w:r>
      <w:r w:rsidR="004431BA" w:rsidRPr="00C1373A">
        <w:rPr>
          <w:rFonts w:ascii="Arial" w:hAnsi="Arial" w:cs="Arial"/>
          <w:i/>
          <w:iCs/>
          <w:color w:val="000000" w:themeColor="text1"/>
          <w:sz w:val="22"/>
        </w:rPr>
        <w:t>ut supra</w:t>
      </w:r>
      <w:r>
        <w:rPr>
          <w:rFonts w:ascii="Arial" w:hAnsi="Arial" w:cs="Arial"/>
          <w:color w:val="000000" w:themeColor="text1"/>
          <w:sz w:val="22"/>
        </w:rPr>
        <w:t xml:space="preserve">. Dado </w:t>
      </w:r>
      <w:r w:rsidRPr="00667150">
        <w:rPr>
          <w:rFonts w:ascii="Arial" w:hAnsi="Arial" w:cs="Arial"/>
          <w:color w:val="000000" w:themeColor="text1"/>
          <w:sz w:val="22"/>
        </w:rPr>
        <w:t xml:space="preserve">que el mantenimiento de este tipo de vías </w:t>
      </w:r>
      <w:r>
        <w:rPr>
          <w:rFonts w:ascii="Arial" w:hAnsi="Arial" w:cs="Arial"/>
          <w:color w:val="000000" w:themeColor="text1"/>
          <w:sz w:val="22"/>
        </w:rPr>
        <w:t>está previsto</w:t>
      </w:r>
      <w:r w:rsidRPr="00667150">
        <w:rPr>
          <w:rFonts w:ascii="Arial" w:hAnsi="Arial" w:cs="Arial"/>
          <w:color w:val="000000" w:themeColor="text1"/>
          <w:sz w:val="22"/>
        </w:rPr>
        <w:t xml:space="preserve"> en los numerales </w:t>
      </w:r>
      <w:r>
        <w:rPr>
          <w:rFonts w:ascii="Arial" w:hAnsi="Arial" w:cs="Arial"/>
          <w:color w:val="000000" w:themeColor="text1"/>
          <w:sz w:val="22"/>
        </w:rPr>
        <w:t>1</w:t>
      </w:r>
      <w:r w:rsidRPr="00667150">
        <w:rPr>
          <w:rFonts w:ascii="Arial" w:hAnsi="Arial" w:cs="Arial"/>
          <w:color w:val="000000" w:themeColor="text1"/>
          <w:sz w:val="22"/>
        </w:rPr>
        <w:t>.</w:t>
      </w:r>
      <w:r>
        <w:rPr>
          <w:rFonts w:ascii="Arial" w:hAnsi="Arial" w:cs="Arial"/>
          <w:color w:val="000000" w:themeColor="text1"/>
          <w:sz w:val="22"/>
        </w:rPr>
        <w:t>3</w:t>
      </w:r>
      <w:r w:rsidRPr="00667150">
        <w:rPr>
          <w:rFonts w:ascii="Arial" w:hAnsi="Arial" w:cs="Arial"/>
          <w:color w:val="000000" w:themeColor="text1"/>
          <w:sz w:val="22"/>
        </w:rPr>
        <w:t xml:space="preserve"> y 2.3 de la Matriz 1, </w:t>
      </w:r>
      <w:r w:rsidR="00A82ADB">
        <w:rPr>
          <w:rFonts w:ascii="Arial" w:hAnsi="Arial" w:cs="Arial"/>
          <w:color w:val="000000" w:themeColor="text1"/>
          <w:sz w:val="22"/>
        </w:rPr>
        <w:t xml:space="preserve">en </w:t>
      </w:r>
      <w:r w:rsidR="00786CDD">
        <w:rPr>
          <w:rFonts w:ascii="Arial" w:hAnsi="Arial" w:cs="Arial"/>
          <w:color w:val="000000" w:themeColor="text1"/>
          <w:sz w:val="22"/>
        </w:rPr>
        <w:t>l</w:t>
      </w:r>
      <w:r w:rsidRPr="00667150">
        <w:rPr>
          <w:rFonts w:ascii="Arial" w:hAnsi="Arial" w:cs="Arial"/>
          <w:color w:val="000000" w:themeColor="text1"/>
          <w:sz w:val="22"/>
        </w:rPr>
        <w:t>os procesos que adelanten entidades estatales regidas por el Estatuto General de Contratación de la Administración Pública para la contratación de tales actividades deberá</w:t>
      </w:r>
      <w:r w:rsidR="00F308E2">
        <w:rPr>
          <w:rFonts w:ascii="Arial" w:hAnsi="Arial" w:cs="Arial"/>
          <w:color w:val="000000" w:themeColor="text1"/>
          <w:sz w:val="22"/>
        </w:rPr>
        <w:t xml:space="preserve"> exigirse la experiencia prevista en </w:t>
      </w:r>
      <w:r w:rsidRPr="00667150">
        <w:rPr>
          <w:rFonts w:ascii="Arial" w:hAnsi="Arial" w:cs="Arial"/>
          <w:color w:val="000000" w:themeColor="text1"/>
          <w:sz w:val="22"/>
        </w:rPr>
        <w:t xml:space="preserve">los documentos tipo adoptados </w:t>
      </w:r>
      <w:r>
        <w:rPr>
          <w:rFonts w:ascii="Arial" w:hAnsi="Arial" w:cs="Arial"/>
          <w:color w:val="000000" w:themeColor="text1"/>
          <w:sz w:val="22"/>
        </w:rPr>
        <w:t>mediante la</w:t>
      </w:r>
      <w:r w:rsidR="000819EB">
        <w:rPr>
          <w:rFonts w:ascii="Arial" w:hAnsi="Arial" w:cs="Arial"/>
          <w:color w:val="000000" w:themeColor="text1"/>
          <w:sz w:val="22"/>
        </w:rPr>
        <w:t>s</w:t>
      </w:r>
      <w:r>
        <w:rPr>
          <w:rFonts w:ascii="Arial" w:hAnsi="Arial" w:cs="Arial"/>
          <w:color w:val="000000" w:themeColor="text1"/>
          <w:sz w:val="22"/>
        </w:rPr>
        <w:t xml:space="preserve"> </w:t>
      </w:r>
      <w:r w:rsidR="000819EB">
        <w:rPr>
          <w:rFonts w:ascii="Arial" w:hAnsi="Arial" w:cs="Arial"/>
          <w:color w:val="000000" w:themeColor="text1"/>
          <w:sz w:val="22"/>
        </w:rPr>
        <w:t xml:space="preserve">Resoluciones </w:t>
      </w:r>
      <w:r w:rsidR="00A56521" w:rsidRPr="007C15A2">
        <w:rPr>
          <w:rFonts w:ascii="Arial" w:eastAsia="Calibri" w:hAnsi="Arial" w:cs="Arial"/>
          <w:color w:val="000000"/>
          <w:sz w:val="22"/>
          <w:szCs w:val="22"/>
          <w:lang w:val="es-ES_tradnl" w:eastAsia="es-ES"/>
        </w:rPr>
        <w:t>Resoluciones 240</w:t>
      </w:r>
      <w:r w:rsidR="00A56521">
        <w:rPr>
          <w:rFonts w:ascii="Arial" w:eastAsia="Calibri" w:hAnsi="Arial" w:cs="Arial"/>
          <w:color w:val="000000"/>
          <w:sz w:val="22"/>
          <w:szCs w:val="22"/>
          <w:lang w:val="es-ES_tradnl" w:eastAsia="es-ES"/>
        </w:rPr>
        <w:t>, 241 y 094 de 2020</w:t>
      </w:r>
      <w:r w:rsidRPr="00667150">
        <w:rPr>
          <w:rFonts w:ascii="Arial" w:hAnsi="Arial" w:cs="Arial"/>
          <w:color w:val="000000" w:themeColor="text1"/>
          <w:sz w:val="22"/>
        </w:rPr>
        <w:t>.</w:t>
      </w:r>
    </w:p>
    <w:p w14:paraId="646297ED" w14:textId="6FEB4A23" w:rsidR="000450B0" w:rsidRPr="00C1373A" w:rsidRDefault="000450B0" w:rsidP="00C1373A">
      <w:pPr>
        <w:spacing w:before="120" w:line="276" w:lineRule="auto"/>
        <w:ind w:firstLine="708"/>
        <w:jc w:val="both"/>
        <w:rPr>
          <w:rFonts w:ascii="Arial" w:hAnsi="Arial" w:cs="Arial"/>
          <w:b/>
          <w:bCs/>
          <w:sz w:val="22"/>
          <w:szCs w:val="22"/>
          <w:lang w:eastAsia="es-CO"/>
        </w:rPr>
      </w:pPr>
      <w:r>
        <w:rPr>
          <w:rFonts w:ascii="Arial" w:eastAsia="Calibri" w:hAnsi="Arial" w:cs="Arial"/>
          <w:color w:val="000000"/>
          <w:sz w:val="22"/>
          <w:szCs w:val="22"/>
          <w:lang w:eastAsia="es-ES_tradnl"/>
        </w:rPr>
        <w:t>D</w:t>
      </w:r>
      <w:r w:rsidRPr="00C1373A">
        <w:rPr>
          <w:rFonts w:ascii="Arial" w:hAnsi="Arial" w:cs="Arial"/>
          <w:sz w:val="22"/>
          <w:szCs w:val="22"/>
          <w:lang w:eastAsia="es-ES_tradnl"/>
        </w:rPr>
        <w:t xml:space="preserve">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que contemplada en dicha matriz. </w:t>
      </w:r>
      <w:r w:rsidRPr="00C1373A">
        <w:rPr>
          <w:rFonts w:ascii="Arial" w:eastAsia="Calibri" w:hAnsi="Arial" w:cs="Arial"/>
          <w:sz w:val="22"/>
          <w:szCs w:val="22"/>
        </w:rPr>
        <w:t xml:space="preserve">Asimismo, si el bien o servicio adicional está asociado a un proyecto del sector transporte, la entidad contratante aplicará los parámetros </w:t>
      </w:r>
      <w:r w:rsidRPr="00C1373A">
        <w:rPr>
          <w:rFonts w:ascii="Arial" w:hAnsi="Arial" w:cs="Arial"/>
          <w:sz w:val="22"/>
          <w:szCs w:val="22"/>
        </w:rPr>
        <w:t>y reglas estandarizadas en el documento tipo, teniendo en cuenta además las reglas de experiencia adicional previstas en e</w:t>
      </w:r>
      <w:r w:rsidR="00DD2E4F" w:rsidRPr="00DD2E4F">
        <w:rPr>
          <w:rFonts w:ascii="Arial" w:hAnsi="Arial" w:cs="Arial"/>
          <w:sz w:val="22"/>
          <w:szCs w:val="22"/>
        </w:rPr>
        <w:t>l artículo 4 de las Resoluciones 240 y 241 de 2020, así como el artículo 2.2.1.2.6.3.5 del Decreto 1082 de 2015</w:t>
      </w:r>
      <w:r w:rsidRPr="00C1373A">
        <w:rPr>
          <w:rFonts w:ascii="Arial" w:hAnsi="Arial" w:cs="Arial"/>
          <w:sz w:val="22"/>
          <w:szCs w:val="22"/>
        </w:rPr>
        <w:t xml:space="preserve">.  </w:t>
      </w:r>
    </w:p>
    <w:p w14:paraId="502D6C6F" w14:textId="77777777" w:rsidR="000F0DA0" w:rsidRPr="00F60B77" w:rsidRDefault="000F0DA0" w:rsidP="00862E0E">
      <w:pPr>
        <w:pStyle w:val="Normal11pt"/>
        <w:spacing w:line="276" w:lineRule="auto"/>
        <w:ind w:left="0"/>
        <w:rPr>
          <w:rFonts w:eastAsia="Calibri"/>
        </w:rPr>
      </w:pPr>
    </w:p>
    <w:p w14:paraId="51F2BE74" w14:textId="2AEA17C5" w:rsidR="00DD3396" w:rsidRDefault="00DD3396" w:rsidP="00DD3396">
      <w:pPr>
        <w:tabs>
          <w:tab w:val="left" w:pos="709"/>
        </w:tabs>
        <w:spacing w:line="276" w:lineRule="auto"/>
        <w:jc w:val="both"/>
        <w:rPr>
          <w:rFonts w:ascii="Arial" w:eastAsia="Calibri" w:hAnsi="Arial" w:cs="Arial"/>
          <w:b/>
          <w:sz w:val="22"/>
          <w:szCs w:val="22"/>
          <w:lang w:val="es-ES"/>
        </w:rPr>
      </w:pPr>
      <w:r w:rsidRPr="00924DEF">
        <w:rPr>
          <w:rFonts w:ascii="Arial" w:eastAsia="Calibri" w:hAnsi="Arial" w:cs="Arial"/>
          <w:b/>
          <w:sz w:val="22"/>
          <w:szCs w:val="22"/>
          <w:lang w:val="es-ES"/>
        </w:rPr>
        <w:t>3. Respuesta</w:t>
      </w:r>
    </w:p>
    <w:p w14:paraId="719EB4DC" w14:textId="1F90F0B4" w:rsidR="008A6195" w:rsidRDefault="008A6195" w:rsidP="00DD3396">
      <w:pPr>
        <w:tabs>
          <w:tab w:val="left" w:pos="709"/>
        </w:tabs>
        <w:spacing w:line="276" w:lineRule="auto"/>
        <w:jc w:val="both"/>
        <w:rPr>
          <w:rFonts w:ascii="Arial" w:eastAsia="Calibri" w:hAnsi="Arial" w:cs="Arial"/>
          <w:b/>
          <w:sz w:val="22"/>
          <w:szCs w:val="22"/>
          <w:lang w:val="es-ES"/>
        </w:rPr>
      </w:pPr>
    </w:p>
    <w:p w14:paraId="399CD9F9" w14:textId="77777777" w:rsidR="008A6195" w:rsidRPr="00C1373A" w:rsidRDefault="008A6195" w:rsidP="00C1373A">
      <w:pPr>
        <w:ind w:left="709" w:right="709"/>
        <w:jc w:val="both"/>
        <w:rPr>
          <w:rFonts w:ascii="Arial" w:hAnsi="Arial" w:cs="Arial"/>
          <w:sz w:val="21"/>
          <w:szCs w:val="21"/>
        </w:rPr>
      </w:pPr>
      <w:r w:rsidRPr="00C1373A">
        <w:rPr>
          <w:rFonts w:ascii="Arial" w:hAnsi="Arial" w:cs="Arial"/>
          <w:color w:val="000000"/>
          <w:sz w:val="21"/>
          <w:szCs w:val="21"/>
        </w:rPr>
        <w:t xml:space="preserve">«[…] qué parámetros debo tener en cuenta, para solicitar servicios adicionales en pliegos tipo para infraestructura de transporte, por ejemplo, ¿una rocería o una obra eléctrica son servicios adicionales?». </w:t>
      </w:r>
    </w:p>
    <w:p w14:paraId="1023A830" w14:textId="77777777" w:rsidR="00B12A1C" w:rsidRDefault="00B12A1C" w:rsidP="00C1373A">
      <w:pPr>
        <w:spacing w:line="276" w:lineRule="auto"/>
        <w:jc w:val="both"/>
        <w:rPr>
          <w:rFonts w:ascii="Arial" w:hAnsi="Arial" w:cs="Arial"/>
          <w:sz w:val="22"/>
          <w:szCs w:val="22"/>
        </w:rPr>
      </w:pPr>
    </w:p>
    <w:p w14:paraId="165833DF" w14:textId="1590DA1C" w:rsidR="007D5CF7" w:rsidRDefault="00ED145A" w:rsidP="00E57CC3">
      <w:pPr>
        <w:widowControl w:val="0"/>
        <w:autoSpaceDE w:val="0"/>
        <w:autoSpaceDN w:val="0"/>
        <w:spacing w:after="120" w:line="276" w:lineRule="auto"/>
        <w:jc w:val="both"/>
        <w:rPr>
          <w:rFonts w:ascii="Arial" w:eastAsia="Calibri" w:hAnsi="Arial" w:cs="Arial"/>
          <w:color w:val="000000"/>
          <w:sz w:val="22"/>
          <w:szCs w:val="22"/>
          <w:lang w:val="es-ES_tradnl" w:eastAsia="es-ES"/>
        </w:rPr>
      </w:pPr>
      <w:r>
        <w:rPr>
          <w:rFonts w:ascii="Arial" w:hAnsi="Arial" w:cs="Arial"/>
          <w:sz w:val="22"/>
          <w:szCs w:val="22"/>
        </w:rPr>
        <w:t>Conforme a la interpretación de las normas generales del sistema de compras públicas</w:t>
      </w:r>
      <w:r w:rsidR="004911AA">
        <w:rPr>
          <w:rFonts w:ascii="Arial" w:hAnsi="Arial" w:cs="Arial"/>
          <w:sz w:val="22"/>
          <w:szCs w:val="22"/>
        </w:rPr>
        <w:t>,</w:t>
      </w:r>
      <w:r w:rsidR="007D5CF7">
        <w:rPr>
          <w:rFonts w:ascii="Arial" w:hAnsi="Arial" w:cs="Arial"/>
          <w:sz w:val="22"/>
          <w:szCs w:val="22"/>
        </w:rPr>
        <w:t xml:space="preserve"> </w:t>
      </w:r>
      <w:r w:rsidR="007D5CF7" w:rsidRPr="007C15A2">
        <w:rPr>
          <w:rFonts w:ascii="Arial" w:eastAsia="Arial" w:hAnsi="Arial" w:cs="Arial"/>
          <w:sz w:val="22"/>
          <w:szCs w:val="22"/>
          <w:lang w:val="es-ES"/>
        </w:rPr>
        <w:t>la</w:t>
      </w:r>
      <w:r w:rsidR="007D5CF7" w:rsidRPr="007C15A2">
        <w:rPr>
          <w:rFonts w:ascii="Arial" w:eastAsia="Arial" w:hAnsi="Arial" w:cs="Arial"/>
          <w:spacing w:val="-12"/>
          <w:sz w:val="22"/>
          <w:szCs w:val="22"/>
          <w:lang w:val="es-ES"/>
        </w:rPr>
        <w:t xml:space="preserve"> </w:t>
      </w:r>
      <w:r w:rsidR="007D5CF7" w:rsidRPr="007C15A2">
        <w:rPr>
          <w:rFonts w:ascii="Arial" w:eastAsia="Arial" w:hAnsi="Arial" w:cs="Arial"/>
          <w:sz w:val="22"/>
          <w:szCs w:val="22"/>
          <w:lang w:val="es-ES"/>
        </w:rPr>
        <w:t>regla</w:t>
      </w:r>
      <w:r w:rsidR="007D5CF7" w:rsidRPr="007C15A2">
        <w:rPr>
          <w:rFonts w:ascii="Arial" w:eastAsia="Arial" w:hAnsi="Arial" w:cs="Arial"/>
          <w:spacing w:val="-12"/>
          <w:sz w:val="22"/>
          <w:szCs w:val="22"/>
          <w:lang w:val="es-ES"/>
        </w:rPr>
        <w:t xml:space="preserve"> </w:t>
      </w:r>
      <w:r w:rsidR="007D5CF7" w:rsidRPr="007C15A2">
        <w:rPr>
          <w:rFonts w:ascii="Arial" w:eastAsia="Arial" w:hAnsi="Arial" w:cs="Arial"/>
          <w:sz w:val="22"/>
          <w:szCs w:val="22"/>
          <w:lang w:val="es-ES"/>
        </w:rPr>
        <w:t>general</w:t>
      </w:r>
      <w:r w:rsidR="007D5CF7" w:rsidRPr="007C15A2">
        <w:rPr>
          <w:rFonts w:ascii="Arial" w:eastAsia="Arial" w:hAnsi="Arial" w:cs="Arial"/>
          <w:spacing w:val="-11"/>
          <w:sz w:val="22"/>
          <w:szCs w:val="22"/>
          <w:lang w:val="es-ES"/>
        </w:rPr>
        <w:t xml:space="preserve"> </w:t>
      </w:r>
      <w:r w:rsidR="007D5CF7" w:rsidRPr="007C15A2">
        <w:rPr>
          <w:rFonts w:ascii="Arial" w:eastAsia="Arial" w:hAnsi="Arial" w:cs="Arial"/>
          <w:sz w:val="22"/>
          <w:szCs w:val="22"/>
          <w:lang w:val="es-ES"/>
        </w:rPr>
        <w:t>frente</w:t>
      </w:r>
      <w:r w:rsidR="007D5CF7" w:rsidRPr="007C15A2">
        <w:rPr>
          <w:rFonts w:ascii="Arial" w:eastAsia="Arial" w:hAnsi="Arial" w:cs="Arial"/>
          <w:spacing w:val="-11"/>
          <w:sz w:val="22"/>
          <w:szCs w:val="22"/>
          <w:lang w:val="es-ES"/>
        </w:rPr>
        <w:t xml:space="preserve"> </w:t>
      </w:r>
      <w:r w:rsidR="007D5CF7" w:rsidRPr="007C15A2">
        <w:rPr>
          <w:rFonts w:ascii="Arial" w:eastAsia="Arial" w:hAnsi="Arial" w:cs="Arial"/>
          <w:sz w:val="22"/>
          <w:szCs w:val="22"/>
          <w:lang w:val="es-ES"/>
        </w:rPr>
        <w:t>a</w:t>
      </w:r>
      <w:r w:rsidR="007D5CF7" w:rsidRPr="007C15A2">
        <w:rPr>
          <w:rFonts w:ascii="Arial" w:eastAsia="Arial" w:hAnsi="Arial" w:cs="Arial"/>
          <w:spacing w:val="-12"/>
          <w:sz w:val="22"/>
          <w:szCs w:val="22"/>
          <w:lang w:val="es-ES"/>
        </w:rPr>
        <w:t xml:space="preserve"> </w:t>
      </w:r>
      <w:r w:rsidR="007D5CF7" w:rsidRPr="007C15A2">
        <w:rPr>
          <w:rFonts w:ascii="Arial" w:eastAsia="Arial" w:hAnsi="Arial" w:cs="Arial"/>
          <w:sz w:val="22"/>
          <w:szCs w:val="22"/>
          <w:lang w:val="es-ES"/>
        </w:rPr>
        <w:t>la</w:t>
      </w:r>
      <w:r w:rsidR="007D5CF7" w:rsidRPr="007C15A2">
        <w:rPr>
          <w:rFonts w:ascii="Arial" w:eastAsia="Arial" w:hAnsi="Arial" w:cs="Arial"/>
          <w:spacing w:val="-12"/>
          <w:sz w:val="22"/>
          <w:szCs w:val="22"/>
          <w:lang w:val="es-ES"/>
        </w:rPr>
        <w:t xml:space="preserve"> </w:t>
      </w:r>
      <w:r w:rsidR="007D5CF7" w:rsidRPr="007C15A2">
        <w:rPr>
          <w:rFonts w:ascii="Arial" w:eastAsia="Arial" w:hAnsi="Arial" w:cs="Arial"/>
          <w:sz w:val="22"/>
          <w:szCs w:val="22"/>
          <w:lang w:val="es-ES"/>
        </w:rPr>
        <w:t>aplicación</w:t>
      </w:r>
      <w:r w:rsidR="007D5CF7" w:rsidRPr="007C15A2">
        <w:rPr>
          <w:rFonts w:ascii="Arial" w:eastAsia="Arial" w:hAnsi="Arial" w:cs="Arial"/>
          <w:spacing w:val="-11"/>
          <w:sz w:val="22"/>
          <w:szCs w:val="22"/>
          <w:lang w:val="es-ES"/>
        </w:rPr>
        <w:t xml:space="preserve"> </w:t>
      </w:r>
      <w:r w:rsidR="007D5CF7" w:rsidRPr="007C15A2">
        <w:rPr>
          <w:rFonts w:ascii="Arial" w:eastAsia="Arial" w:hAnsi="Arial" w:cs="Arial"/>
          <w:sz w:val="22"/>
          <w:szCs w:val="22"/>
          <w:lang w:val="es-ES"/>
        </w:rPr>
        <w:t>del</w:t>
      </w:r>
      <w:r w:rsidR="007D5CF7" w:rsidRPr="007C15A2">
        <w:rPr>
          <w:rFonts w:ascii="Arial" w:eastAsia="Arial" w:hAnsi="Arial" w:cs="Arial"/>
          <w:spacing w:val="-12"/>
          <w:sz w:val="22"/>
          <w:szCs w:val="22"/>
          <w:lang w:val="es-ES"/>
        </w:rPr>
        <w:t xml:space="preserve"> </w:t>
      </w:r>
      <w:r w:rsidR="007D5CF7" w:rsidRPr="007C15A2">
        <w:rPr>
          <w:rFonts w:ascii="Arial" w:eastAsia="Arial" w:hAnsi="Arial" w:cs="Arial"/>
          <w:sz w:val="22"/>
          <w:szCs w:val="22"/>
          <w:lang w:val="es-ES"/>
        </w:rPr>
        <w:t>documento</w:t>
      </w:r>
      <w:r w:rsidR="007D5CF7" w:rsidRPr="007C15A2">
        <w:rPr>
          <w:rFonts w:ascii="Arial" w:eastAsia="Arial" w:hAnsi="Arial" w:cs="Arial"/>
          <w:spacing w:val="-12"/>
          <w:sz w:val="22"/>
          <w:szCs w:val="22"/>
          <w:lang w:val="es-ES"/>
        </w:rPr>
        <w:t xml:space="preserve"> </w:t>
      </w:r>
      <w:r w:rsidR="007D5CF7" w:rsidRPr="007C15A2">
        <w:rPr>
          <w:rFonts w:ascii="Arial" w:eastAsia="Arial" w:hAnsi="Arial" w:cs="Arial"/>
          <w:sz w:val="22"/>
          <w:szCs w:val="22"/>
          <w:lang w:val="es-ES"/>
        </w:rPr>
        <w:t>base</w:t>
      </w:r>
      <w:r w:rsidR="007D5CF7" w:rsidRPr="007C15A2">
        <w:rPr>
          <w:rFonts w:ascii="Arial" w:eastAsia="Arial" w:hAnsi="Arial" w:cs="Arial"/>
          <w:spacing w:val="-11"/>
          <w:sz w:val="22"/>
          <w:szCs w:val="22"/>
          <w:lang w:val="es-ES"/>
        </w:rPr>
        <w:t xml:space="preserve"> </w:t>
      </w:r>
      <w:r w:rsidR="007D5CF7" w:rsidRPr="007C15A2">
        <w:rPr>
          <w:rFonts w:ascii="Arial" w:eastAsia="Arial" w:hAnsi="Arial" w:cs="Arial"/>
          <w:sz w:val="22"/>
          <w:szCs w:val="22"/>
          <w:lang w:val="es-ES"/>
        </w:rPr>
        <w:t>es</w:t>
      </w:r>
      <w:r w:rsidR="007D5CF7" w:rsidRPr="007C15A2">
        <w:rPr>
          <w:rFonts w:ascii="Arial" w:eastAsia="Arial" w:hAnsi="Arial" w:cs="Arial"/>
          <w:spacing w:val="-12"/>
          <w:sz w:val="22"/>
          <w:szCs w:val="22"/>
          <w:lang w:val="es-ES"/>
        </w:rPr>
        <w:t xml:space="preserve"> </w:t>
      </w:r>
      <w:r w:rsidR="007D5CF7" w:rsidRPr="007C15A2">
        <w:rPr>
          <w:rFonts w:ascii="Arial" w:eastAsia="Arial" w:hAnsi="Arial" w:cs="Arial"/>
          <w:sz w:val="22"/>
          <w:szCs w:val="22"/>
          <w:lang w:val="es-ES"/>
        </w:rPr>
        <w:t xml:space="preserve">su inalterabilidad. Por lo tanto, no se podrán incluir o modificar dentro de los documentos del proceso las condiciones habilitantes, los factores técnicos y económicos de escogencia y los sistemas </w:t>
      </w:r>
      <w:r w:rsidR="007D5CF7" w:rsidRPr="007C15A2">
        <w:rPr>
          <w:rFonts w:ascii="Arial" w:eastAsia="Calibri" w:hAnsi="Arial" w:cs="Arial"/>
          <w:color w:val="000000"/>
          <w:sz w:val="22"/>
          <w:szCs w:val="22"/>
          <w:lang w:val="es-ES_tradnl" w:eastAsia="es-ES"/>
        </w:rPr>
        <w:t>de ponderación señalados en los documentos tipo, salvo lo previsto en el artículo 4 de las Resoluciones 240</w:t>
      </w:r>
      <w:r w:rsidR="007D5CF7">
        <w:rPr>
          <w:rFonts w:ascii="Arial" w:eastAsia="Calibri" w:hAnsi="Arial" w:cs="Arial"/>
          <w:color w:val="000000"/>
          <w:sz w:val="22"/>
          <w:szCs w:val="22"/>
          <w:lang w:val="es-ES_tradnl" w:eastAsia="es-ES"/>
        </w:rPr>
        <w:t xml:space="preserve"> y 241</w:t>
      </w:r>
      <w:r w:rsidR="007D5CF7" w:rsidRPr="007C15A2">
        <w:rPr>
          <w:rFonts w:ascii="Arial" w:eastAsia="Calibri" w:hAnsi="Arial" w:cs="Arial"/>
          <w:color w:val="000000"/>
          <w:sz w:val="22"/>
          <w:szCs w:val="22"/>
          <w:lang w:val="es-ES_tradnl" w:eastAsia="es-ES"/>
        </w:rPr>
        <w:t xml:space="preserve"> de 2020</w:t>
      </w:r>
      <w:r w:rsidR="007D5CF7">
        <w:rPr>
          <w:rFonts w:ascii="Arial" w:eastAsia="Calibri" w:hAnsi="Arial" w:cs="Arial"/>
          <w:color w:val="000000"/>
          <w:sz w:val="22"/>
          <w:szCs w:val="22"/>
          <w:lang w:val="es-ES_tradnl" w:eastAsia="es-ES"/>
        </w:rPr>
        <w:t xml:space="preserve">, así como el artículo </w:t>
      </w:r>
      <w:r w:rsidR="007D5CF7" w:rsidRPr="003D53B9">
        <w:rPr>
          <w:rFonts w:ascii="Arial" w:eastAsia="Calibri" w:hAnsi="Arial" w:cs="Arial"/>
          <w:color w:val="000000"/>
          <w:sz w:val="22"/>
          <w:szCs w:val="22"/>
          <w:lang w:val="es-ES_tradnl" w:eastAsia="es-ES"/>
        </w:rPr>
        <w:t>2.2.1.2.6.3.5</w:t>
      </w:r>
      <w:r w:rsidR="007D5CF7">
        <w:rPr>
          <w:rFonts w:ascii="Arial" w:eastAsia="Calibri" w:hAnsi="Arial" w:cs="Arial"/>
          <w:color w:val="000000"/>
          <w:sz w:val="22"/>
          <w:szCs w:val="22"/>
          <w:lang w:val="es-ES_tradnl" w:eastAsia="es-ES"/>
        </w:rPr>
        <w:t xml:space="preserve"> del Decreto 1082 de 2015</w:t>
      </w:r>
      <w:r w:rsidR="007D5CF7" w:rsidRPr="007C15A2">
        <w:rPr>
          <w:rFonts w:ascii="Arial" w:eastAsia="Calibri" w:hAnsi="Arial" w:cs="Arial"/>
          <w:color w:val="000000"/>
          <w:sz w:val="22"/>
          <w:szCs w:val="22"/>
          <w:lang w:val="es-ES_tradnl" w:eastAsia="es-ES"/>
        </w:rPr>
        <w:t>. Por tanto, si el objeto contractual incluye bienes o servicios ajenos a la obra pública de infraestructura de transporte, de allí solo se deriva que podrá incluirse la experiencia adicional que se considere conveniente, atendiendo a las reglas cada uno de los actos administrativos citados.</w:t>
      </w:r>
    </w:p>
    <w:p w14:paraId="4F67DB69" w14:textId="77777777" w:rsidR="009906CA" w:rsidRPr="007C15A2" w:rsidRDefault="009906CA" w:rsidP="009906CA">
      <w:pPr>
        <w:spacing w:after="120" w:line="276" w:lineRule="auto"/>
        <w:ind w:firstLine="709"/>
        <w:jc w:val="both"/>
        <w:rPr>
          <w:rFonts w:ascii="Arial" w:eastAsia="Calibri" w:hAnsi="Arial" w:cs="Arial"/>
          <w:sz w:val="22"/>
          <w:szCs w:val="22"/>
        </w:rPr>
      </w:pPr>
      <w:r>
        <w:rPr>
          <w:rStyle w:val="normaltextrun"/>
          <w:rFonts w:ascii="Arial" w:hAnsi="Arial" w:cs="Arial"/>
          <w:color w:val="000000"/>
          <w:sz w:val="22"/>
          <w:szCs w:val="22"/>
          <w:shd w:val="clear" w:color="auto" w:fill="FFFFFF"/>
          <w:lang w:val="es-ES"/>
        </w:rPr>
        <w:t>L</w:t>
      </w:r>
      <w:r w:rsidRPr="007C15A2">
        <w:rPr>
          <w:rStyle w:val="normaltextrun"/>
          <w:rFonts w:ascii="Arial" w:hAnsi="Arial" w:cs="Arial"/>
          <w:color w:val="000000"/>
          <w:sz w:val="22"/>
          <w:szCs w:val="22"/>
          <w:shd w:val="clear" w:color="auto" w:fill="FFFFFF"/>
          <w:lang w:val="es-ES"/>
        </w:rPr>
        <w:t xml:space="preserve">a posibilidad de solicitar experiencia adicional ocurre cuando el objeto contractual incluye bienes o servicios adicionales a la obra pública de infraestructura de transporte. Esto implica que: i) la actividad que se requiere, si bien es una labor de obra, no está relacionada con la infraestructura de transporte, por ejemplo, la construcción de un parque cerca de la vía, y </w:t>
      </w:r>
      <w:proofErr w:type="spellStart"/>
      <w:r w:rsidRPr="007C15A2">
        <w:rPr>
          <w:rStyle w:val="normaltextrun"/>
          <w:rFonts w:ascii="Arial" w:hAnsi="Arial" w:cs="Arial"/>
          <w:color w:val="000000"/>
          <w:sz w:val="22"/>
          <w:szCs w:val="22"/>
          <w:shd w:val="clear" w:color="auto" w:fill="FFFFFF"/>
          <w:lang w:val="es-ES"/>
        </w:rPr>
        <w:t>ii</w:t>
      </w:r>
      <w:proofErr w:type="spellEnd"/>
      <w:r w:rsidRPr="007C15A2">
        <w:rPr>
          <w:rStyle w:val="normaltextrun"/>
          <w:rFonts w:ascii="Arial" w:hAnsi="Arial" w:cs="Arial"/>
          <w:color w:val="000000"/>
          <w:sz w:val="22"/>
          <w:szCs w:val="22"/>
          <w:shd w:val="clear" w:color="auto" w:fill="FFFFFF"/>
          <w:lang w:val="es-ES"/>
        </w:rPr>
        <w:t xml:space="preserve">) el bien o servicio adicional es distinto a la actividad principal, aun cuando se relaciona con la infraestructura de transporte, </w:t>
      </w:r>
      <w:r w:rsidRPr="007C15A2">
        <w:rPr>
          <w:rStyle w:val="normaltextrun"/>
          <w:rFonts w:ascii="Arial" w:hAnsi="Arial" w:cs="Arial"/>
          <w:i/>
          <w:iCs/>
          <w:color w:val="000000"/>
          <w:sz w:val="22"/>
          <w:szCs w:val="22"/>
          <w:shd w:val="clear" w:color="auto" w:fill="FFFFFF"/>
          <w:lang w:val="es-ES"/>
        </w:rPr>
        <w:t>v. gr</w:t>
      </w:r>
      <w:r w:rsidRPr="007C15A2">
        <w:rPr>
          <w:rStyle w:val="normaltextrun"/>
          <w:rFonts w:ascii="Arial" w:hAnsi="Arial" w:cs="Arial"/>
          <w:color w:val="000000"/>
          <w:sz w:val="22"/>
          <w:szCs w:val="22"/>
          <w:shd w:val="clear" w:color="auto" w:fill="FFFFFF"/>
          <w:lang w:val="es-ES"/>
        </w:rPr>
        <w:t>., cuando se requiere que el contratista ejecute actividades de consultoría como la realización, revisión o actualización de los estudios y diseños de la obra. En supuestos como los indicados es posible que la entidad exija experiencia adicional para acreditar la idoneidad del contratista en la ejecución de estos bienes o servicios adicionales a la obra de infraestructura de transporte</w:t>
      </w:r>
      <w:r w:rsidRPr="007C15A2">
        <w:rPr>
          <w:rFonts w:ascii="Arial" w:eastAsia="Calibri" w:hAnsi="Arial" w:cs="Arial"/>
          <w:sz w:val="22"/>
          <w:szCs w:val="22"/>
        </w:rPr>
        <w:t xml:space="preserve">. </w:t>
      </w:r>
    </w:p>
    <w:p w14:paraId="5ADD189A" w14:textId="0DDE2EE9" w:rsidR="00BA40F4" w:rsidRPr="00BA40F4" w:rsidRDefault="001D2495" w:rsidP="00C1373A">
      <w:pPr>
        <w:spacing w:line="276" w:lineRule="auto"/>
        <w:ind w:firstLine="708"/>
        <w:jc w:val="both"/>
        <w:rPr>
          <w:rFonts w:ascii="Arial" w:eastAsia="Calibri" w:hAnsi="Arial" w:cs="Arial"/>
          <w:color w:val="000000" w:themeColor="text1"/>
          <w:sz w:val="22"/>
        </w:rPr>
      </w:pPr>
      <w:r>
        <w:rPr>
          <w:rFonts w:ascii="Arial" w:eastAsia="Calibri" w:hAnsi="Arial" w:cs="Arial"/>
          <w:color w:val="000000" w:themeColor="text1"/>
          <w:sz w:val="22"/>
        </w:rPr>
        <w:t>Sin perjuicio de lo anterior,</w:t>
      </w:r>
      <w:r w:rsidR="00634376">
        <w:rPr>
          <w:rFonts w:ascii="Arial" w:eastAsia="Calibri" w:hAnsi="Arial" w:cs="Arial"/>
          <w:color w:val="000000" w:themeColor="text1"/>
          <w:sz w:val="22"/>
        </w:rPr>
        <w:t xml:space="preserve"> es necesario tener en cuenta que </w:t>
      </w:r>
      <w:r w:rsidR="00634376" w:rsidRPr="00667150">
        <w:rPr>
          <w:rFonts w:ascii="Arial" w:hAnsi="Arial" w:cs="Arial"/>
          <w:color w:val="000000" w:themeColor="text1"/>
          <w:sz w:val="22"/>
        </w:rPr>
        <w:t xml:space="preserve">el mantenimiento de vías </w:t>
      </w:r>
      <w:r w:rsidR="00634376">
        <w:rPr>
          <w:rFonts w:ascii="Arial" w:hAnsi="Arial" w:cs="Arial"/>
          <w:color w:val="000000" w:themeColor="text1"/>
          <w:sz w:val="22"/>
        </w:rPr>
        <w:t xml:space="preserve">primarias, </w:t>
      </w:r>
      <w:r w:rsidR="00634376" w:rsidRPr="00667150">
        <w:rPr>
          <w:rFonts w:ascii="Arial" w:hAnsi="Arial" w:cs="Arial"/>
          <w:color w:val="000000" w:themeColor="text1"/>
          <w:sz w:val="22"/>
        </w:rPr>
        <w:t>secundar</w:t>
      </w:r>
      <w:r w:rsidR="00634376">
        <w:rPr>
          <w:rFonts w:ascii="Arial" w:hAnsi="Arial" w:cs="Arial"/>
          <w:color w:val="000000" w:themeColor="text1"/>
          <w:sz w:val="22"/>
        </w:rPr>
        <w:t>i</w:t>
      </w:r>
      <w:r w:rsidR="00634376" w:rsidRPr="00667150">
        <w:rPr>
          <w:rFonts w:ascii="Arial" w:hAnsi="Arial" w:cs="Arial"/>
          <w:color w:val="000000" w:themeColor="text1"/>
          <w:sz w:val="22"/>
        </w:rPr>
        <w:t>as</w:t>
      </w:r>
      <w:r w:rsidR="00634376">
        <w:rPr>
          <w:rFonts w:ascii="Arial" w:hAnsi="Arial" w:cs="Arial"/>
          <w:color w:val="000000" w:themeColor="text1"/>
          <w:sz w:val="22"/>
        </w:rPr>
        <w:t>, y</w:t>
      </w:r>
      <w:r w:rsidR="00634376" w:rsidRPr="00667150">
        <w:rPr>
          <w:rFonts w:ascii="Arial" w:hAnsi="Arial" w:cs="Arial"/>
          <w:color w:val="000000" w:themeColor="text1"/>
          <w:sz w:val="22"/>
        </w:rPr>
        <w:t xml:space="preserve"> terciarias</w:t>
      </w:r>
      <w:r w:rsidR="00634376">
        <w:rPr>
          <w:rFonts w:ascii="Arial" w:hAnsi="Arial" w:cs="Arial"/>
          <w:color w:val="000000" w:themeColor="text1"/>
          <w:sz w:val="22"/>
        </w:rPr>
        <w:t xml:space="preserve">, </w:t>
      </w:r>
      <w:r w:rsidR="00634376" w:rsidRPr="00667150">
        <w:rPr>
          <w:rFonts w:ascii="Arial" w:hAnsi="Arial" w:cs="Arial"/>
          <w:color w:val="000000" w:themeColor="text1"/>
          <w:sz w:val="22"/>
        </w:rPr>
        <w:t xml:space="preserve">mediante actividades de </w:t>
      </w:r>
      <w:r w:rsidR="00634376" w:rsidRPr="00667150">
        <w:rPr>
          <w:rFonts w:ascii="Arial" w:hAnsi="Arial" w:cs="Arial"/>
          <w:i/>
          <w:iCs/>
          <w:color w:val="000000" w:themeColor="text1"/>
          <w:sz w:val="22"/>
        </w:rPr>
        <w:t>rocería</w:t>
      </w:r>
      <w:r w:rsidR="00634376" w:rsidRPr="00667150">
        <w:rPr>
          <w:rFonts w:ascii="Arial" w:hAnsi="Arial" w:cs="Arial"/>
          <w:color w:val="000000" w:themeColor="text1"/>
          <w:sz w:val="22"/>
        </w:rPr>
        <w:t xml:space="preserve"> </w:t>
      </w:r>
      <w:r w:rsidR="00634376">
        <w:rPr>
          <w:rFonts w:ascii="Arial" w:hAnsi="Arial" w:cs="Arial"/>
          <w:color w:val="000000" w:themeColor="text1"/>
          <w:sz w:val="22"/>
        </w:rPr>
        <w:t xml:space="preserve">y aquellas que se ejecuten para realizar un mantenimiento rutinario de las vías, </w:t>
      </w:r>
      <w:r w:rsidR="00634376" w:rsidRPr="00667150">
        <w:rPr>
          <w:rFonts w:ascii="Arial" w:hAnsi="Arial" w:cs="Arial"/>
          <w:color w:val="000000" w:themeColor="text1"/>
          <w:sz w:val="22"/>
        </w:rPr>
        <w:t>se enmarca en el objeto del contrato de obra</w:t>
      </w:r>
      <w:r w:rsidR="00634376">
        <w:rPr>
          <w:rFonts w:ascii="Arial" w:hAnsi="Arial" w:cs="Arial"/>
          <w:color w:val="000000" w:themeColor="text1"/>
          <w:sz w:val="22"/>
        </w:rPr>
        <w:t xml:space="preserve">, por lo que no constituye una obra o servicio adicional en los términos explicados </w:t>
      </w:r>
      <w:r w:rsidR="00634376" w:rsidRPr="007C15A2">
        <w:rPr>
          <w:rFonts w:ascii="Arial" w:hAnsi="Arial" w:cs="Arial"/>
          <w:i/>
          <w:iCs/>
          <w:color w:val="000000" w:themeColor="text1"/>
          <w:sz w:val="22"/>
        </w:rPr>
        <w:t>ut supra</w:t>
      </w:r>
      <w:r w:rsidR="00634376">
        <w:rPr>
          <w:rFonts w:ascii="Arial" w:hAnsi="Arial" w:cs="Arial"/>
          <w:color w:val="000000" w:themeColor="text1"/>
          <w:sz w:val="22"/>
        </w:rPr>
        <w:t xml:space="preserve">. Dado </w:t>
      </w:r>
      <w:r w:rsidR="00634376" w:rsidRPr="00667150">
        <w:rPr>
          <w:rFonts w:ascii="Arial" w:hAnsi="Arial" w:cs="Arial"/>
          <w:color w:val="000000" w:themeColor="text1"/>
          <w:sz w:val="22"/>
        </w:rPr>
        <w:t xml:space="preserve">que el mantenimiento de este tipo de vías </w:t>
      </w:r>
      <w:r w:rsidR="00634376">
        <w:rPr>
          <w:rFonts w:ascii="Arial" w:hAnsi="Arial" w:cs="Arial"/>
          <w:color w:val="000000" w:themeColor="text1"/>
          <w:sz w:val="22"/>
        </w:rPr>
        <w:t>está previsto</w:t>
      </w:r>
      <w:r w:rsidR="00634376" w:rsidRPr="00667150">
        <w:rPr>
          <w:rFonts w:ascii="Arial" w:hAnsi="Arial" w:cs="Arial"/>
          <w:color w:val="000000" w:themeColor="text1"/>
          <w:sz w:val="22"/>
        </w:rPr>
        <w:t xml:space="preserve"> en los numerales </w:t>
      </w:r>
      <w:r w:rsidR="00634376">
        <w:rPr>
          <w:rFonts w:ascii="Arial" w:hAnsi="Arial" w:cs="Arial"/>
          <w:color w:val="000000" w:themeColor="text1"/>
          <w:sz w:val="22"/>
        </w:rPr>
        <w:t>1</w:t>
      </w:r>
      <w:r w:rsidR="00634376" w:rsidRPr="00667150">
        <w:rPr>
          <w:rFonts w:ascii="Arial" w:hAnsi="Arial" w:cs="Arial"/>
          <w:color w:val="000000" w:themeColor="text1"/>
          <w:sz w:val="22"/>
        </w:rPr>
        <w:t>.</w:t>
      </w:r>
      <w:r w:rsidR="00634376">
        <w:rPr>
          <w:rFonts w:ascii="Arial" w:hAnsi="Arial" w:cs="Arial"/>
          <w:color w:val="000000" w:themeColor="text1"/>
          <w:sz w:val="22"/>
        </w:rPr>
        <w:t>3</w:t>
      </w:r>
      <w:r w:rsidR="00634376" w:rsidRPr="00667150">
        <w:rPr>
          <w:rFonts w:ascii="Arial" w:hAnsi="Arial" w:cs="Arial"/>
          <w:color w:val="000000" w:themeColor="text1"/>
          <w:sz w:val="22"/>
        </w:rPr>
        <w:t xml:space="preserve"> y 2.3 de la Matriz 1, </w:t>
      </w:r>
      <w:r w:rsidR="00634376">
        <w:rPr>
          <w:rFonts w:ascii="Arial" w:hAnsi="Arial" w:cs="Arial"/>
          <w:color w:val="000000" w:themeColor="text1"/>
          <w:sz w:val="22"/>
        </w:rPr>
        <w:t>en l</w:t>
      </w:r>
      <w:r w:rsidR="00634376" w:rsidRPr="00667150">
        <w:rPr>
          <w:rFonts w:ascii="Arial" w:hAnsi="Arial" w:cs="Arial"/>
          <w:color w:val="000000" w:themeColor="text1"/>
          <w:sz w:val="22"/>
        </w:rPr>
        <w:t>os procesos que adelanten entidades estatales regidas por el Estatuto General de Contratación de la Administración Pública para la contratación de tales actividades deberá</w:t>
      </w:r>
      <w:r w:rsidR="00634376">
        <w:rPr>
          <w:rFonts w:ascii="Arial" w:hAnsi="Arial" w:cs="Arial"/>
          <w:color w:val="000000" w:themeColor="text1"/>
          <w:sz w:val="22"/>
        </w:rPr>
        <w:t xml:space="preserve"> exigirse la experiencia prevista en </w:t>
      </w:r>
      <w:r w:rsidR="00634376" w:rsidRPr="00667150">
        <w:rPr>
          <w:rFonts w:ascii="Arial" w:hAnsi="Arial" w:cs="Arial"/>
          <w:color w:val="000000" w:themeColor="text1"/>
          <w:sz w:val="22"/>
        </w:rPr>
        <w:t xml:space="preserve">los documentos tipo adoptados </w:t>
      </w:r>
      <w:r w:rsidR="00634376">
        <w:rPr>
          <w:rFonts w:ascii="Arial" w:hAnsi="Arial" w:cs="Arial"/>
          <w:color w:val="000000" w:themeColor="text1"/>
          <w:sz w:val="22"/>
        </w:rPr>
        <w:t xml:space="preserve">mediante las Resoluciones </w:t>
      </w:r>
      <w:r w:rsidR="00634376" w:rsidRPr="007C15A2">
        <w:rPr>
          <w:rFonts w:ascii="Arial" w:eastAsia="Calibri" w:hAnsi="Arial" w:cs="Arial"/>
          <w:color w:val="000000"/>
          <w:sz w:val="22"/>
          <w:szCs w:val="22"/>
          <w:lang w:val="es-ES_tradnl" w:eastAsia="es-ES"/>
        </w:rPr>
        <w:t>Resoluciones 240</w:t>
      </w:r>
      <w:r w:rsidR="00634376">
        <w:rPr>
          <w:rFonts w:ascii="Arial" w:eastAsia="Calibri" w:hAnsi="Arial" w:cs="Arial"/>
          <w:color w:val="000000"/>
          <w:sz w:val="22"/>
          <w:szCs w:val="22"/>
          <w:lang w:val="es-ES_tradnl" w:eastAsia="es-ES"/>
        </w:rPr>
        <w:t>, 241 y 094 de 2020</w:t>
      </w:r>
      <w:r w:rsidR="005620A4" w:rsidRPr="00667150">
        <w:rPr>
          <w:rFonts w:ascii="Arial" w:eastAsia="Calibri" w:hAnsi="Arial" w:cs="Arial"/>
          <w:color w:val="000000" w:themeColor="text1"/>
          <w:sz w:val="22"/>
        </w:rPr>
        <w:t>.</w:t>
      </w:r>
    </w:p>
    <w:p w14:paraId="14466E16" w14:textId="77777777" w:rsidR="00BA40F4" w:rsidRPr="007C15A2" w:rsidRDefault="00BA40F4" w:rsidP="00BA40F4">
      <w:pPr>
        <w:spacing w:before="120" w:line="276" w:lineRule="auto"/>
        <w:ind w:firstLine="708"/>
        <w:jc w:val="both"/>
        <w:rPr>
          <w:rFonts w:ascii="Arial" w:hAnsi="Arial" w:cs="Arial"/>
          <w:b/>
          <w:bCs/>
          <w:sz w:val="22"/>
          <w:szCs w:val="22"/>
          <w:lang w:eastAsia="es-CO"/>
        </w:rPr>
      </w:pPr>
      <w:r>
        <w:rPr>
          <w:rFonts w:ascii="Arial" w:eastAsia="Calibri" w:hAnsi="Arial" w:cs="Arial"/>
          <w:color w:val="000000"/>
          <w:sz w:val="22"/>
          <w:szCs w:val="22"/>
          <w:lang w:eastAsia="es-ES_tradnl"/>
        </w:rPr>
        <w:t>D</w:t>
      </w:r>
      <w:r w:rsidRPr="007C15A2">
        <w:rPr>
          <w:rFonts w:ascii="Arial" w:hAnsi="Arial" w:cs="Arial"/>
          <w:sz w:val="22"/>
          <w:szCs w:val="22"/>
          <w:lang w:eastAsia="es-ES_tradnl"/>
        </w:rPr>
        <w:t xml:space="preserve">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que contemplada en dicha matriz. </w:t>
      </w:r>
      <w:r w:rsidRPr="007C15A2">
        <w:rPr>
          <w:rFonts w:ascii="Arial" w:eastAsia="Calibri" w:hAnsi="Arial" w:cs="Arial"/>
          <w:sz w:val="22"/>
          <w:szCs w:val="22"/>
        </w:rPr>
        <w:t xml:space="preserve">Asimismo, si el bien o servicio adicional está asociado a un proyecto del sector transporte, la entidad contratante aplicará los parámetros </w:t>
      </w:r>
      <w:r w:rsidRPr="007C15A2">
        <w:rPr>
          <w:rFonts w:ascii="Arial" w:hAnsi="Arial" w:cs="Arial"/>
          <w:sz w:val="22"/>
          <w:szCs w:val="22"/>
        </w:rPr>
        <w:t xml:space="preserve">y reglas estandarizadas en el documento </w:t>
      </w:r>
      <w:r w:rsidRPr="007C15A2">
        <w:rPr>
          <w:rFonts w:ascii="Arial" w:hAnsi="Arial" w:cs="Arial"/>
          <w:sz w:val="22"/>
          <w:szCs w:val="22"/>
        </w:rPr>
        <w:lastRenderedPageBreak/>
        <w:t>tipo, teniendo en cuenta además las reglas de experiencia adicional previstas en e</w:t>
      </w:r>
      <w:r w:rsidRPr="00DD2E4F">
        <w:rPr>
          <w:rFonts w:ascii="Arial" w:hAnsi="Arial" w:cs="Arial"/>
          <w:sz w:val="22"/>
          <w:szCs w:val="22"/>
        </w:rPr>
        <w:t>l artículo 4 de las Resoluciones 240 y 241 de 2020, así como el artículo 2.2.1.2.6.3.5 del Decreto 1082 de 2015</w:t>
      </w:r>
      <w:r w:rsidRPr="007C15A2">
        <w:rPr>
          <w:rFonts w:ascii="Arial" w:hAnsi="Arial" w:cs="Arial"/>
          <w:sz w:val="22"/>
          <w:szCs w:val="22"/>
        </w:rPr>
        <w:t xml:space="preserve">.  </w:t>
      </w:r>
    </w:p>
    <w:p w14:paraId="5D775A2C" w14:textId="77777777" w:rsidR="00DD3396" w:rsidRPr="00924DEF" w:rsidRDefault="00DD3396" w:rsidP="00C1373A">
      <w:pPr>
        <w:spacing w:after="120" w:line="276" w:lineRule="auto"/>
        <w:jc w:val="both"/>
      </w:pPr>
    </w:p>
    <w:p w14:paraId="46CB3F9F" w14:textId="77777777" w:rsidR="00DD3396" w:rsidRPr="00924DEF" w:rsidRDefault="00DD3396" w:rsidP="00DD3396">
      <w:pPr>
        <w:spacing w:line="276" w:lineRule="auto"/>
        <w:jc w:val="both"/>
        <w:rPr>
          <w:rFonts w:ascii="Arial" w:eastAsia="Calibri" w:hAnsi="Arial" w:cs="Arial"/>
          <w:sz w:val="22"/>
          <w:szCs w:val="22"/>
          <w:lang w:val="es-ES"/>
        </w:rPr>
      </w:pPr>
      <w:r w:rsidRPr="00924DEF">
        <w:rPr>
          <w:rFonts w:ascii="Arial" w:eastAsia="Calibri" w:hAnsi="Arial" w:cs="Arial"/>
          <w:sz w:val="22"/>
          <w:szCs w:val="22"/>
          <w:lang w:val="es-ES"/>
        </w:rPr>
        <w:t>Este concepto tiene el alcance previsto en el artículo 28 del Código de Procedimiento Administrativo y de lo Contencioso Administrativo.</w:t>
      </w:r>
    </w:p>
    <w:p w14:paraId="7E549757" w14:textId="77777777" w:rsidR="00DD3396" w:rsidRPr="00924DEF" w:rsidRDefault="00DD3396" w:rsidP="00DD3396">
      <w:pPr>
        <w:jc w:val="both"/>
        <w:rPr>
          <w:rFonts w:ascii="Arial" w:eastAsia="Calibri" w:hAnsi="Arial" w:cs="Arial"/>
          <w:sz w:val="22"/>
          <w:szCs w:val="22"/>
          <w:lang w:val="es-ES"/>
        </w:rPr>
      </w:pPr>
    </w:p>
    <w:p w14:paraId="3721BC85" w14:textId="3E0F8F2E" w:rsidR="00F35189" w:rsidRDefault="00DD3396" w:rsidP="00DD3396">
      <w:pPr>
        <w:jc w:val="both"/>
        <w:rPr>
          <w:rFonts w:ascii="Arial" w:hAnsi="Arial" w:cs="Arial"/>
          <w:sz w:val="22"/>
          <w:szCs w:val="22"/>
          <w:lang w:val="es-ES" w:eastAsia="es-CO"/>
        </w:rPr>
      </w:pPr>
      <w:r w:rsidRPr="00924DEF">
        <w:rPr>
          <w:rFonts w:ascii="Arial" w:hAnsi="Arial" w:cs="Arial"/>
          <w:sz w:val="22"/>
          <w:szCs w:val="22"/>
          <w:lang w:val="es-ES" w:eastAsia="es-CO"/>
        </w:rPr>
        <w:t>Atentamente,</w:t>
      </w:r>
    </w:p>
    <w:p w14:paraId="75F4B658" w14:textId="77777777" w:rsidR="00BC7BCA" w:rsidRPr="00924DEF" w:rsidRDefault="00BC7BCA" w:rsidP="00DD3396">
      <w:pPr>
        <w:jc w:val="both"/>
        <w:rPr>
          <w:rFonts w:ascii="Arial" w:hAnsi="Arial" w:cs="Arial"/>
          <w:sz w:val="22"/>
          <w:szCs w:val="22"/>
          <w:lang w:val="es-ES" w:eastAsia="es-CO"/>
        </w:rPr>
      </w:pPr>
    </w:p>
    <w:p w14:paraId="1EA301F3" w14:textId="67BF0B3A" w:rsidR="00DD3396" w:rsidRPr="0008465D" w:rsidRDefault="00BC5580" w:rsidP="00DD3396">
      <w:pPr>
        <w:jc w:val="center"/>
        <w:rPr>
          <w:rFonts w:ascii="Arial" w:hAnsi="Arial" w:cs="Arial"/>
          <w:sz w:val="18"/>
          <w:szCs w:val="20"/>
          <w:lang w:val="es-ES" w:eastAsia="es-CO"/>
        </w:rPr>
      </w:pPr>
      <w:r>
        <w:rPr>
          <w:noProof/>
        </w:rPr>
        <w:drawing>
          <wp:inline distT="0" distB="0" distL="0" distR="0" wp14:anchorId="271E972C" wp14:editId="5B9A4A6D">
            <wp:extent cx="2247182" cy="983411"/>
            <wp:effectExtent l="0" t="0" r="1270" b="7620"/>
            <wp:docPr id="5" name="Imagen 5"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pic:cNvPicPr/>
                  </pic:nvPicPr>
                  <pic:blipFill>
                    <a:blip r:embed="rId12"/>
                    <a:stretch>
                      <a:fillRect/>
                    </a:stretch>
                  </pic:blipFill>
                  <pic:spPr>
                    <a:xfrm>
                      <a:off x="0" y="0"/>
                      <a:ext cx="2262203" cy="989984"/>
                    </a:xfrm>
                    <a:prstGeom prst="rect">
                      <a:avLst/>
                    </a:prstGeom>
                  </pic:spPr>
                </pic:pic>
              </a:graphicData>
            </a:graphic>
          </wp:inline>
        </w:drawing>
      </w:r>
    </w:p>
    <w:p w14:paraId="6E8E90DB" w14:textId="244A04A6" w:rsidR="00DD3396" w:rsidRDefault="00DD3396" w:rsidP="00DD3396">
      <w:pPr>
        <w:jc w:val="center"/>
        <w:rPr>
          <w:rFonts w:ascii="Arial" w:hAnsi="Arial" w:cs="Arial"/>
          <w:sz w:val="18"/>
          <w:szCs w:val="20"/>
          <w:lang w:val="es-ES" w:eastAsia="es-CO"/>
        </w:rPr>
      </w:pPr>
    </w:p>
    <w:p w14:paraId="46A10EF9" w14:textId="2BC848EA" w:rsidR="00F35189" w:rsidRDefault="00F35189" w:rsidP="00DD3396">
      <w:pPr>
        <w:jc w:val="center"/>
        <w:rPr>
          <w:rFonts w:ascii="Arial" w:hAnsi="Arial" w:cs="Arial"/>
          <w:sz w:val="18"/>
          <w:szCs w:val="20"/>
          <w:lang w:val="es-ES"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3396" w:rsidRPr="0008465D" w14:paraId="184BA4E2" w14:textId="77777777" w:rsidTr="008A5DF2">
        <w:trPr>
          <w:trHeight w:val="315"/>
        </w:trPr>
        <w:tc>
          <w:tcPr>
            <w:tcW w:w="812" w:type="dxa"/>
            <w:vAlign w:val="center"/>
            <w:hideMark/>
          </w:tcPr>
          <w:p w14:paraId="6E5809A2" w14:textId="77777777" w:rsidR="00DD3396" w:rsidRPr="0008465D" w:rsidRDefault="00DD3396" w:rsidP="008A5DF2">
            <w:pPr>
              <w:rPr>
                <w:rFonts w:ascii="Arial" w:hAnsi="Arial" w:cs="Arial"/>
                <w:sz w:val="16"/>
                <w:szCs w:val="16"/>
                <w:lang w:val="es-ES" w:eastAsia="es-ES"/>
              </w:rPr>
            </w:pPr>
            <w:r w:rsidRPr="0008465D">
              <w:rPr>
                <w:rFonts w:ascii="Arial" w:hAnsi="Arial" w:cs="Arial"/>
                <w:sz w:val="16"/>
                <w:szCs w:val="16"/>
                <w:lang w:val="es-ES" w:eastAsia="es-ES"/>
              </w:rPr>
              <w:t>Elaboró:</w:t>
            </w:r>
          </w:p>
        </w:tc>
        <w:tc>
          <w:tcPr>
            <w:tcW w:w="4413" w:type="dxa"/>
            <w:tcBorders>
              <w:top w:val="nil"/>
              <w:left w:val="nil"/>
              <w:bottom w:val="dotted" w:sz="4" w:space="0" w:color="7F7F7F" w:themeColor="text1" w:themeTint="80"/>
              <w:right w:val="nil"/>
            </w:tcBorders>
            <w:vAlign w:val="center"/>
            <w:hideMark/>
          </w:tcPr>
          <w:p w14:paraId="4276713B" w14:textId="77777777" w:rsidR="00DD3396" w:rsidRPr="0008465D" w:rsidRDefault="00DD3396" w:rsidP="008A5DF2">
            <w:pPr>
              <w:rPr>
                <w:rFonts w:ascii="Arial" w:hAnsi="Arial" w:cs="Arial"/>
                <w:sz w:val="16"/>
                <w:szCs w:val="16"/>
                <w:lang w:val="es-ES" w:eastAsia="es-ES"/>
              </w:rPr>
            </w:pPr>
            <w:r w:rsidRPr="0008465D">
              <w:rPr>
                <w:rFonts w:ascii="Arial" w:hAnsi="Arial" w:cs="Arial"/>
                <w:sz w:val="16"/>
                <w:szCs w:val="16"/>
                <w:lang w:val="es-ES" w:eastAsia="es-ES"/>
              </w:rPr>
              <w:t>Camilo Perdomo Villamil</w:t>
            </w:r>
          </w:p>
          <w:p w14:paraId="54E2B521" w14:textId="77777777" w:rsidR="00DD3396" w:rsidRPr="0008465D" w:rsidRDefault="00DD3396" w:rsidP="008A5DF2">
            <w:pPr>
              <w:rPr>
                <w:rFonts w:ascii="Arial" w:hAnsi="Arial" w:cs="Arial"/>
                <w:sz w:val="16"/>
                <w:szCs w:val="16"/>
                <w:lang w:val="es-ES" w:eastAsia="es-ES"/>
              </w:rPr>
            </w:pPr>
            <w:r w:rsidRPr="0008465D">
              <w:rPr>
                <w:rFonts w:ascii="Arial" w:hAnsi="Arial" w:cs="Arial"/>
                <w:sz w:val="16"/>
                <w:szCs w:val="16"/>
                <w:lang w:val="es-ES" w:eastAsia="es-ES"/>
              </w:rPr>
              <w:t>Contratista de la Subdirección de Gestión Contractual</w:t>
            </w:r>
          </w:p>
        </w:tc>
      </w:tr>
      <w:tr w:rsidR="00DD3396" w:rsidRPr="0008465D" w14:paraId="0FD9A13A" w14:textId="77777777" w:rsidTr="008A5DF2">
        <w:trPr>
          <w:trHeight w:val="330"/>
        </w:trPr>
        <w:tc>
          <w:tcPr>
            <w:tcW w:w="812" w:type="dxa"/>
            <w:vAlign w:val="center"/>
            <w:hideMark/>
          </w:tcPr>
          <w:p w14:paraId="2901292D" w14:textId="77777777" w:rsidR="00DD3396" w:rsidRPr="0008465D" w:rsidRDefault="00DD3396" w:rsidP="008A5DF2">
            <w:pPr>
              <w:rPr>
                <w:rFonts w:ascii="Arial" w:hAnsi="Arial" w:cs="Arial"/>
                <w:sz w:val="16"/>
                <w:szCs w:val="16"/>
                <w:lang w:val="es-ES" w:eastAsia="es-ES"/>
              </w:rPr>
            </w:pPr>
            <w:r w:rsidRPr="0008465D">
              <w:rPr>
                <w:rFonts w:ascii="Arial" w:hAnsi="Arial" w:cs="Arial"/>
                <w:sz w:val="16"/>
                <w:szCs w:val="16"/>
                <w:lang w:val="es-ES"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C956A3B" w14:textId="344C6E0A" w:rsidR="00DD3396" w:rsidRPr="009F5860" w:rsidRDefault="000F0DA0" w:rsidP="008A5DF2">
            <w:pPr>
              <w:rPr>
                <w:rFonts w:ascii="Arial" w:hAnsi="Arial" w:cs="Arial"/>
                <w:sz w:val="16"/>
                <w:szCs w:val="16"/>
                <w:lang w:val="es-ES" w:eastAsia="es-ES"/>
              </w:rPr>
            </w:pPr>
            <w:r>
              <w:rPr>
                <w:rFonts w:ascii="Arial" w:hAnsi="Arial" w:cs="Arial"/>
                <w:sz w:val="16"/>
                <w:szCs w:val="16"/>
                <w:lang w:val="es-ES" w:eastAsia="es-ES"/>
              </w:rPr>
              <w:t xml:space="preserve">Juan David Montoya Penagos </w:t>
            </w:r>
          </w:p>
          <w:p w14:paraId="7B192CD3" w14:textId="77777777" w:rsidR="00DD3396" w:rsidRPr="0008465D" w:rsidRDefault="00DD3396" w:rsidP="008A5DF2">
            <w:pPr>
              <w:rPr>
                <w:rFonts w:ascii="Arial" w:hAnsi="Arial" w:cs="Arial"/>
                <w:sz w:val="16"/>
                <w:szCs w:val="16"/>
                <w:lang w:val="es-ES" w:eastAsia="es-ES"/>
              </w:rPr>
            </w:pPr>
            <w:r w:rsidRPr="009F5860">
              <w:rPr>
                <w:rFonts w:ascii="Arial" w:hAnsi="Arial" w:cs="Arial"/>
                <w:sz w:val="16"/>
                <w:szCs w:val="16"/>
                <w:lang w:val="es-ES" w:eastAsia="es-ES"/>
              </w:rPr>
              <w:t>Gestor T1-1</w:t>
            </w:r>
            <w:r>
              <w:rPr>
                <w:rFonts w:ascii="Arial" w:hAnsi="Arial" w:cs="Arial"/>
                <w:sz w:val="16"/>
                <w:szCs w:val="16"/>
                <w:lang w:val="es-ES" w:eastAsia="es-ES"/>
              </w:rPr>
              <w:t>5</w:t>
            </w:r>
            <w:r w:rsidRPr="009F5860">
              <w:rPr>
                <w:rFonts w:ascii="Arial" w:hAnsi="Arial" w:cs="Arial"/>
                <w:sz w:val="16"/>
                <w:szCs w:val="16"/>
                <w:lang w:val="es-ES" w:eastAsia="es-ES"/>
              </w:rPr>
              <w:t xml:space="preserve"> de la Subdirección de Gestión Contractual</w:t>
            </w:r>
          </w:p>
        </w:tc>
      </w:tr>
      <w:tr w:rsidR="00DD3396" w:rsidRPr="0008465D" w14:paraId="22915ADC" w14:textId="77777777" w:rsidTr="008A5DF2">
        <w:trPr>
          <w:trHeight w:val="300"/>
        </w:trPr>
        <w:tc>
          <w:tcPr>
            <w:tcW w:w="812" w:type="dxa"/>
            <w:vAlign w:val="center"/>
            <w:hideMark/>
          </w:tcPr>
          <w:p w14:paraId="2B0AEA3D" w14:textId="77777777" w:rsidR="00DD3396" w:rsidRPr="0008465D" w:rsidRDefault="00DD3396" w:rsidP="008A5DF2">
            <w:pPr>
              <w:rPr>
                <w:rFonts w:ascii="Arial" w:hAnsi="Arial" w:cs="Arial"/>
                <w:sz w:val="16"/>
                <w:szCs w:val="16"/>
                <w:lang w:val="es-ES" w:eastAsia="es-ES"/>
              </w:rPr>
            </w:pPr>
            <w:r w:rsidRPr="0008465D">
              <w:rPr>
                <w:rFonts w:ascii="Arial" w:hAnsi="Arial" w:cs="Arial"/>
                <w:sz w:val="16"/>
                <w:szCs w:val="16"/>
                <w:lang w:val="es-ES"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5CC8FA87" w14:textId="77777777" w:rsidR="00DD3396" w:rsidRPr="0008465D" w:rsidRDefault="00DD3396" w:rsidP="008A5DF2">
            <w:pPr>
              <w:rPr>
                <w:rFonts w:ascii="Arial" w:hAnsi="Arial" w:cs="Arial"/>
                <w:sz w:val="16"/>
                <w:szCs w:val="16"/>
                <w:lang w:val="es-ES" w:eastAsia="es-ES"/>
              </w:rPr>
            </w:pPr>
            <w:r w:rsidRPr="0008465D">
              <w:rPr>
                <w:rFonts w:ascii="Arial" w:hAnsi="Arial" w:cs="Arial"/>
                <w:sz w:val="16"/>
                <w:szCs w:val="16"/>
                <w:lang w:val="es-ES" w:eastAsia="es-ES"/>
              </w:rPr>
              <w:t>Jorge Augusto Tirado Navarro</w:t>
            </w:r>
          </w:p>
          <w:p w14:paraId="253FFB1D" w14:textId="77777777" w:rsidR="00DD3396" w:rsidRPr="0008465D" w:rsidRDefault="00DD3396" w:rsidP="008A5DF2">
            <w:pPr>
              <w:rPr>
                <w:rFonts w:ascii="Arial" w:hAnsi="Arial" w:cs="Arial"/>
                <w:sz w:val="16"/>
                <w:szCs w:val="16"/>
                <w:lang w:val="es-ES" w:eastAsia="es-ES"/>
              </w:rPr>
            </w:pPr>
            <w:r w:rsidRPr="0008465D">
              <w:rPr>
                <w:rFonts w:ascii="Arial" w:hAnsi="Arial" w:cs="Arial"/>
                <w:sz w:val="16"/>
                <w:szCs w:val="16"/>
                <w:lang w:val="es-ES" w:eastAsia="es-ES"/>
              </w:rPr>
              <w:t>Subdirector de Gestión Contractual ANCP – CCE</w:t>
            </w:r>
          </w:p>
        </w:tc>
      </w:tr>
    </w:tbl>
    <w:p w14:paraId="79C38D80" w14:textId="77777777" w:rsidR="00B55C9B" w:rsidRDefault="00B55C9B"/>
    <w:sectPr w:rsidR="00B55C9B" w:rsidSect="007F1895">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15D09B" w14:textId="77777777" w:rsidR="00CA175F" w:rsidRDefault="00CA175F" w:rsidP="00DD3396">
      <w:r>
        <w:separator/>
      </w:r>
    </w:p>
  </w:endnote>
  <w:endnote w:type="continuationSeparator" w:id="0">
    <w:p w14:paraId="72414C3D" w14:textId="77777777" w:rsidR="00CA175F" w:rsidRDefault="00CA175F" w:rsidP="00DD33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934E8" w14:textId="77777777" w:rsidR="00387886" w:rsidRDefault="00000000" w:rsidP="007F1895">
    <w:pPr>
      <w:pStyle w:val="Sinespaciado"/>
      <w:jc w:val="right"/>
      <w:rPr>
        <w:rFonts w:ascii="Arial" w:hAnsi="Arial" w:cs="Arial"/>
        <w:sz w:val="18"/>
        <w:szCs w:val="18"/>
      </w:rPr>
    </w:pPr>
  </w:p>
  <w:p w14:paraId="05CFB081" w14:textId="77777777" w:rsidR="00387886" w:rsidRDefault="00000000" w:rsidP="007F1895">
    <w:pPr>
      <w:pStyle w:val="Sinespaciado"/>
      <w:jc w:val="right"/>
      <w:rPr>
        <w:rFonts w:ascii="Arial" w:hAnsi="Arial" w:cs="Arial"/>
        <w:sz w:val="18"/>
        <w:szCs w:val="18"/>
      </w:rPr>
    </w:pPr>
  </w:p>
  <w:p w14:paraId="0BB30109" w14:textId="77777777" w:rsidR="00387886" w:rsidRPr="008217B7" w:rsidRDefault="00AB6FA6" w:rsidP="007F1895">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2</w:t>
    </w:r>
    <w:r w:rsidRPr="00084B97">
      <w:rPr>
        <w:rFonts w:ascii="Arial" w:hAnsi="Arial" w:cs="Arial"/>
        <w:b/>
        <w:bCs/>
        <w:color w:val="7F7F7F" w:themeColor="text1" w:themeTint="80"/>
        <w:sz w:val="16"/>
        <w:szCs w:val="16"/>
      </w:rPr>
      <w:fldChar w:fldCharType="end"/>
    </w:r>
  </w:p>
  <w:p w14:paraId="6D3B6446" w14:textId="77777777" w:rsidR="00387886" w:rsidRDefault="00AB6FA6" w:rsidP="007F1895">
    <w:pPr>
      <w:pStyle w:val="Piedepgina"/>
      <w:jc w:val="center"/>
      <w:rPr>
        <w:lang w:val="es-ES"/>
      </w:rPr>
    </w:pPr>
    <w:r>
      <w:rPr>
        <w:noProof/>
      </w:rPr>
      <w:drawing>
        <wp:inline distT="0" distB="0" distL="0" distR="0" wp14:anchorId="2E7C97FE" wp14:editId="7CDFBE97">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1A82BF81" w14:textId="77777777" w:rsidR="00387886" w:rsidRPr="00E756AC" w:rsidRDefault="00000000" w:rsidP="007F1895">
    <w:pPr>
      <w:pStyle w:val="Piedepgina"/>
      <w:jc w:val="center"/>
      <w:rPr>
        <w:sz w:val="18"/>
        <w:szCs w:val="18"/>
        <w:lang w:val="es-ES"/>
      </w:rPr>
    </w:pPr>
  </w:p>
  <w:p w14:paraId="24F964E6" w14:textId="77777777" w:rsidR="00387886" w:rsidRPr="00E756AC" w:rsidRDefault="00000000" w:rsidP="007F1895">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EA503A" w14:textId="77777777" w:rsidR="00CA175F" w:rsidRDefault="00CA175F" w:rsidP="00DD3396">
      <w:r>
        <w:separator/>
      </w:r>
    </w:p>
  </w:footnote>
  <w:footnote w:type="continuationSeparator" w:id="0">
    <w:p w14:paraId="0F1D7E9D" w14:textId="77777777" w:rsidR="00CA175F" w:rsidRDefault="00CA175F" w:rsidP="00DD3396">
      <w:r>
        <w:continuationSeparator/>
      </w:r>
    </w:p>
  </w:footnote>
  <w:footnote w:id="1">
    <w:p w14:paraId="68DDE602" w14:textId="77777777" w:rsidR="00F60B77" w:rsidRPr="00640E20" w:rsidRDefault="00F60B77" w:rsidP="00F60B77">
      <w:pPr>
        <w:pStyle w:val="Textonotapie"/>
        <w:ind w:firstLine="709"/>
        <w:jc w:val="both"/>
        <w:rPr>
          <w:rFonts w:ascii="Arial" w:hAnsi="Arial" w:cs="Arial"/>
          <w:color w:val="000000" w:themeColor="text1"/>
          <w:sz w:val="19"/>
          <w:szCs w:val="19"/>
          <w:lang w:val="es-CO"/>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w:t>
      </w:r>
      <w:r w:rsidRPr="00640E20">
        <w:rPr>
          <w:rFonts w:ascii="Arial" w:hAnsi="Arial" w:cs="Arial"/>
          <w:color w:val="000000" w:themeColor="text1"/>
          <w:sz w:val="19"/>
          <w:szCs w:val="19"/>
        </w:rPr>
        <w:t>as técnicas uniformes y de común utilización por parte de las entidades».</w:t>
      </w:r>
    </w:p>
  </w:footnote>
  <w:footnote w:id="2">
    <w:p w14:paraId="23CDD5C3" w14:textId="77777777" w:rsidR="00F60B77" w:rsidRPr="00640E20" w:rsidRDefault="00F60B77" w:rsidP="00F60B77">
      <w:pPr>
        <w:pStyle w:val="Textonotapie"/>
        <w:spacing w:after="120"/>
        <w:ind w:firstLine="709"/>
        <w:jc w:val="both"/>
        <w:rPr>
          <w:rFonts w:ascii="Arial" w:hAnsi="Arial" w:cs="Arial"/>
          <w:color w:val="000000" w:themeColor="text1"/>
          <w:sz w:val="19"/>
          <w:szCs w:val="19"/>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w:t>
      </w:r>
      <w:r w:rsidRPr="00A83DE5">
        <w:rPr>
          <w:rFonts w:ascii="Arial" w:hAnsi="Arial" w:cs="Arial"/>
          <w:color w:val="000000" w:themeColor="text1"/>
          <w:sz w:val="19"/>
          <w:szCs w:val="19"/>
          <w:lang w:val="es-CO"/>
        </w:rPr>
        <w:t>Ley 1882 de 2018: «Artículo 4.</w:t>
      </w:r>
      <w:r w:rsidRPr="00640E20">
        <w:rPr>
          <w:rFonts w:ascii="Arial" w:hAnsi="Arial" w:cs="Arial"/>
          <w:color w:val="000000" w:themeColor="text1"/>
          <w:sz w:val="19"/>
          <w:szCs w:val="19"/>
          <w:lang w:val="es-CO"/>
        </w:rPr>
        <w:t xml:space="preserve"> </w:t>
      </w:r>
      <w:r w:rsidRPr="00640E20">
        <w:rPr>
          <w:rFonts w:ascii="Arial" w:hAnsi="Arial" w:cs="Arial"/>
          <w:color w:val="000000" w:themeColor="text1"/>
          <w:sz w:val="19"/>
          <w:szCs w:val="19"/>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2A8E570F" w14:textId="77777777" w:rsidR="00F60B77" w:rsidRPr="00640E20" w:rsidRDefault="00F60B77" w:rsidP="00F60B77">
      <w:pPr>
        <w:pStyle w:val="Textonotapie"/>
        <w:spacing w:after="120"/>
        <w:ind w:firstLine="709"/>
        <w:jc w:val="both"/>
        <w:rPr>
          <w:rFonts w:ascii="Arial" w:hAnsi="Arial" w:cs="Arial"/>
          <w:color w:val="000000" w:themeColor="text1"/>
          <w:sz w:val="19"/>
          <w:szCs w:val="19"/>
          <w:lang w:val="es-CO"/>
        </w:rPr>
      </w:pPr>
      <w:r w:rsidRPr="00640E20">
        <w:rPr>
          <w:rFonts w:ascii="Arial" w:hAnsi="Arial" w:cs="Arial"/>
          <w:color w:val="000000" w:themeColor="text1"/>
          <w:sz w:val="19"/>
          <w:szCs w:val="19"/>
          <w:lang w:val="es-CO"/>
        </w:rPr>
        <w:t>»La facultad de adoptar documentos tipo la tendrá el Gobierno nacional, cuando lo considere necesario, en relación con otros contratos o procesos de selección.</w:t>
      </w:r>
    </w:p>
    <w:p w14:paraId="31AE9D49" w14:textId="77777777" w:rsidR="00F60B77" w:rsidRPr="00640E20" w:rsidRDefault="00F60B77" w:rsidP="00F60B77">
      <w:pPr>
        <w:pStyle w:val="Textonotapie"/>
        <w:ind w:firstLine="709"/>
        <w:jc w:val="both"/>
        <w:rPr>
          <w:rFonts w:ascii="Arial" w:hAnsi="Arial" w:cs="Arial"/>
          <w:color w:val="000000" w:themeColor="text1"/>
          <w:sz w:val="19"/>
          <w:szCs w:val="19"/>
          <w:lang w:val="es-CO"/>
        </w:rPr>
      </w:pPr>
      <w:r w:rsidRPr="00640E20">
        <w:rPr>
          <w:rFonts w:ascii="Arial" w:hAnsi="Arial" w:cs="Arial"/>
          <w:color w:val="000000" w:themeColor="text1"/>
          <w:sz w:val="19"/>
          <w:szCs w:val="19"/>
          <w:lang w:val="es-CO"/>
        </w:rPr>
        <w:t>»Los pliegos tipo se adoptarán por categorías de acuerdo con la cuantía de la contratación, según la reglamentación que expida el Gobierno nacional».</w:t>
      </w:r>
    </w:p>
  </w:footnote>
  <w:footnote w:id="3">
    <w:p w14:paraId="12D4D443" w14:textId="77777777" w:rsidR="00F60B77" w:rsidRPr="00640E20" w:rsidRDefault="00F60B77" w:rsidP="00F60B77">
      <w:pPr>
        <w:pStyle w:val="Textonotapie"/>
        <w:ind w:firstLine="709"/>
        <w:jc w:val="both"/>
        <w:rPr>
          <w:rFonts w:ascii="Arial" w:hAnsi="Arial" w:cs="Arial"/>
          <w:color w:val="000000" w:themeColor="text1"/>
          <w:sz w:val="19"/>
          <w:szCs w:val="19"/>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w:t>
      </w:r>
      <w:r w:rsidRPr="00640E20">
        <w:rPr>
          <w:rFonts w:ascii="Arial" w:hAnsi="Arial" w:cs="Arial"/>
          <w:color w:val="000000" w:themeColor="text1"/>
          <w:sz w:val="19"/>
          <w:szCs w:val="19"/>
        </w:rPr>
        <w:t>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09DFC08C" w14:textId="77777777" w:rsidR="00F60B77" w:rsidRPr="00640E20" w:rsidRDefault="00F60B77" w:rsidP="00F60B77">
      <w:pPr>
        <w:pStyle w:val="Textonotapie"/>
        <w:ind w:firstLine="709"/>
        <w:jc w:val="both"/>
        <w:rPr>
          <w:rFonts w:ascii="Arial" w:hAnsi="Arial" w:cs="Arial"/>
          <w:color w:val="000000" w:themeColor="text1"/>
          <w:sz w:val="19"/>
          <w:szCs w:val="19"/>
        </w:rPr>
      </w:pPr>
    </w:p>
  </w:footnote>
  <w:footnote w:id="4">
    <w:p w14:paraId="67EA62CB" w14:textId="77777777" w:rsidR="00F60B77" w:rsidRPr="00640E20" w:rsidRDefault="00F60B77" w:rsidP="00F60B77">
      <w:pPr>
        <w:pStyle w:val="NormalWeb"/>
        <w:spacing w:before="0" w:beforeAutospacing="0" w:after="0" w:afterAutospacing="0"/>
        <w:ind w:firstLine="709"/>
        <w:jc w:val="both"/>
        <w:rPr>
          <w:rFonts w:ascii="Arial" w:hAnsi="Arial" w:cs="Arial"/>
          <w:color w:val="000000" w:themeColor="text1"/>
          <w:sz w:val="19"/>
          <w:szCs w:val="19"/>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Ley 2022 de 2020: «</w:t>
      </w:r>
      <w:r w:rsidRPr="00A83DE5">
        <w:rPr>
          <w:rStyle w:val="Textoennegrita"/>
          <w:rFonts w:ascii="Arial" w:hAnsi="Arial" w:cs="Arial"/>
          <w:color w:val="000000" w:themeColor="text1"/>
          <w:sz w:val="19"/>
          <w:szCs w:val="19"/>
        </w:rPr>
        <w:t>Artículo 1º.</w:t>
      </w:r>
      <w:r w:rsidRPr="00640E20">
        <w:rPr>
          <w:rFonts w:ascii="Arial" w:hAnsi="Arial" w:cs="Arial"/>
          <w:color w:val="000000" w:themeColor="text1"/>
          <w:sz w:val="19"/>
          <w:szCs w:val="19"/>
        </w:rPr>
        <w:t> Modifíquese el artículo 4º de la Ley 1882 de 2018, el cual quedará así: </w:t>
      </w:r>
    </w:p>
    <w:p w14:paraId="25DCFED5" w14:textId="77777777" w:rsidR="00F60B77" w:rsidRPr="00640E20" w:rsidRDefault="00F60B77" w:rsidP="00F60B77">
      <w:pPr>
        <w:pStyle w:val="NormalWeb"/>
        <w:spacing w:before="0" w:beforeAutospacing="0" w:after="0" w:afterAutospacing="0"/>
        <w:ind w:firstLine="709"/>
        <w:jc w:val="both"/>
        <w:rPr>
          <w:rFonts w:ascii="Arial" w:hAnsi="Arial" w:cs="Arial"/>
          <w:color w:val="000000" w:themeColor="text1"/>
          <w:sz w:val="19"/>
          <w:szCs w:val="19"/>
        </w:rPr>
      </w:pPr>
      <w:r w:rsidRPr="00640E20">
        <w:rPr>
          <w:rStyle w:val="Textoennegrita"/>
          <w:rFonts w:ascii="Arial" w:hAnsi="Arial" w:cs="Arial"/>
          <w:color w:val="000000" w:themeColor="text1"/>
          <w:sz w:val="19"/>
          <w:szCs w:val="19"/>
        </w:rPr>
        <w:t>»Artículo 4º.</w:t>
      </w:r>
      <w:r w:rsidRPr="00640E20">
        <w:rPr>
          <w:rFonts w:ascii="Arial" w:hAnsi="Arial" w:cs="Arial"/>
          <w:color w:val="000000" w:themeColor="text1"/>
          <w:sz w:val="19"/>
          <w:szCs w:val="19"/>
        </w:rPr>
        <w:t> Adiciónese el siguiente parágrafo al artículo 2º de la Ley 1150 de 2007. </w:t>
      </w:r>
    </w:p>
    <w:p w14:paraId="2A28F93D" w14:textId="77777777" w:rsidR="00F60B77" w:rsidRPr="00640E20" w:rsidRDefault="00F60B77" w:rsidP="00F60B77">
      <w:pPr>
        <w:pStyle w:val="NormalWeb"/>
        <w:spacing w:before="0" w:beforeAutospacing="0" w:after="0" w:afterAutospacing="0"/>
        <w:ind w:firstLine="709"/>
        <w:jc w:val="both"/>
        <w:rPr>
          <w:rFonts w:ascii="Arial" w:hAnsi="Arial" w:cs="Arial"/>
          <w:color w:val="000000" w:themeColor="text1"/>
          <w:sz w:val="19"/>
          <w:szCs w:val="19"/>
        </w:rPr>
      </w:pPr>
      <w:r w:rsidRPr="00640E20">
        <w:rPr>
          <w:rStyle w:val="Textoennegrita"/>
          <w:rFonts w:ascii="Arial" w:hAnsi="Arial" w:cs="Arial"/>
          <w:color w:val="000000" w:themeColor="text1"/>
          <w:sz w:val="19"/>
          <w:szCs w:val="19"/>
        </w:rPr>
        <w:t>»Parágrafo 7º.</w:t>
      </w:r>
      <w:r w:rsidRPr="00640E20">
        <w:rPr>
          <w:rFonts w:ascii="Arial" w:hAnsi="Arial" w:cs="Arial"/>
          <w:color w:val="000000" w:themeColor="text1"/>
          <w:sz w:val="19"/>
          <w:szCs w:val="19"/>
        </w:rPr>
        <w:t>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14:paraId="00EE540F" w14:textId="77777777" w:rsidR="00F60B77" w:rsidRPr="00640E20" w:rsidRDefault="00F60B77" w:rsidP="00F60B77">
      <w:pPr>
        <w:pStyle w:val="NormalWeb"/>
        <w:spacing w:before="0" w:beforeAutospacing="0" w:after="0" w:afterAutospacing="0"/>
        <w:ind w:firstLine="709"/>
        <w:jc w:val="both"/>
        <w:rPr>
          <w:rFonts w:ascii="Arial" w:hAnsi="Arial" w:cs="Arial"/>
          <w:color w:val="000000" w:themeColor="text1"/>
          <w:sz w:val="19"/>
          <w:szCs w:val="19"/>
        </w:rPr>
      </w:pPr>
      <w:r w:rsidRPr="00640E20">
        <w:rPr>
          <w:rFonts w:ascii="Arial" w:hAnsi="Arial" w:cs="Arial"/>
          <w:color w:val="000000" w:themeColor="text1"/>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14:paraId="521B6E15" w14:textId="77777777" w:rsidR="00F60B77" w:rsidRPr="00640E20" w:rsidRDefault="00F60B77" w:rsidP="00F60B77">
      <w:pPr>
        <w:pStyle w:val="NormalWeb"/>
        <w:spacing w:before="0" w:beforeAutospacing="0" w:after="0" w:afterAutospacing="0"/>
        <w:ind w:firstLine="709"/>
        <w:jc w:val="both"/>
        <w:rPr>
          <w:rFonts w:ascii="Arial" w:hAnsi="Arial" w:cs="Arial"/>
          <w:color w:val="000000" w:themeColor="text1"/>
          <w:sz w:val="19"/>
          <w:szCs w:val="19"/>
        </w:rPr>
      </w:pPr>
      <w:r w:rsidRPr="00640E20">
        <w:rPr>
          <w:rFonts w:ascii="Arial" w:hAnsi="Arial" w:cs="Arial"/>
          <w:color w:val="000000" w:themeColor="text1"/>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14:paraId="015B0309" w14:textId="77777777" w:rsidR="00F60B77" w:rsidRPr="00640E20" w:rsidRDefault="00F60B77" w:rsidP="00F60B77">
      <w:pPr>
        <w:pStyle w:val="NormalWeb"/>
        <w:spacing w:before="0" w:beforeAutospacing="0" w:after="0" w:afterAutospacing="0"/>
        <w:ind w:firstLine="709"/>
        <w:jc w:val="both"/>
        <w:rPr>
          <w:rFonts w:ascii="Arial" w:hAnsi="Arial" w:cs="Arial"/>
          <w:color w:val="000000" w:themeColor="text1"/>
          <w:sz w:val="19"/>
          <w:szCs w:val="19"/>
        </w:rPr>
      </w:pPr>
      <w:r w:rsidRPr="00640E20">
        <w:rPr>
          <w:rFonts w:ascii="Arial" w:hAnsi="Arial" w:cs="Arial"/>
          <w:color w:val="000000" w:themeColor="text1"/>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14:paraId="1B902253" w14:textId="77777777" w:rsidR="00F60B77" w:rsidRPr="00640E20" w:rsidRDefault="00F60B77" w:rsidP="00F60B77">
      <w:pPr>
        <w:pStyle w:val="NormalWeb"/>
        <w:spacing w:before="0" w:beforeAutospacing="0" w:after="0" w:afterAutospacing="0"/>
        <w:ind w:firstLine="709"/>
        <w:jc w:val="both"/>
        <w:rPr>
          <w:rFonts w:ascii="Arial" w:hAnsi="Arial" w:cs="Arial"/>
          <w:color w:val="000000" w:themeColor="text1"/>
          <w:sz w:val="19"/>
          <w:szCs w:val="19"/>
        </w:rPr>
      </w:pPr>
      <w:r w:rsidRPr="00640E20">
        <w:rPr>
          <w:rFonts w:ascii="Arial" w:hAnsi="Arial" w:cs="Arial"/>
          <w:color w:val="000000" w:themeColor="text1"/>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5">
    <w:p w14:paraId="1BABD06C" w14:textId="77777777" w:rsidR="00F60B77" w:rsidRPr="00B96E7C" w:rsidRDefault="00F60B77" w:rsidP="00F60B77">
      <w:pPr>
        <w:pStyle w:val="Textonotapie"/>
        <w:ind w:firstLine="708"/>
        <w:jc w:val="both"/>
        <w:rPr>
          <w:rFonts w:ascii="Arial" w:hAnsi="Arial" w:cs="Arial"/>
          <w:color w:val="000000" w:themeColor="text1"/>
          <w:sz w:val="19"/>
          <w:szCs w:val="19"/>
        </w:rPr>
      </w:pPr>
      <w:r w:rsidRPr="00B96E7C">
        <w:rPr>
          <w:rStyle w:val="Refdenotaalpie"/>
          <w:rFonts w:ascii="Arial" w:hAnsi="Arial" w:cs="Arial"/>
          <w:color w:val="000000" w:themeColor="text1"/>
          <w:sz w:val="19"/>
          <w:szCs w:val="19"/>
        </w:rPr>
        <w:footnoteRef/>
      </w:r>
      <w:r w:rsidRPr="00B96E7C">
        <w:rPr>
          <w:rFonts w:ascii="Arial" w:hAnsi="Arial" w:cs="Arial"/>
          <w:color w:val="000000" w:themeColor="text1"/>
          <w:sz w:val="19"/>
          <w:szCs w:val="19"/>
        </w:rPr>
        <w:t xml:space="preserve"> Agencia Nacional de Contratación Pública – Colombia Compra Eficiente. Resolución No. 240 de 2020: «Articulo 4- Bienes o servicios adicionales a la de obra pública. Cuando el objeto contractual incluya bienes o servicios ajenos a la obra pública de infraestructura de transporte, la entidad estatal deberá aplicar los Documentos Tipo, Si de manera excepcional requiere incluir experiencia adicional para evaluar la idoneidad respecto de los bienes o servicios ajenos a la obra pública, deberá seguir los siguientes parámetros: </w:t>
      </w:r>
    </w:p>
    <w:p w14:paraId="29676EA1" w14:textId="77777777" w:rsidR="00F60B77" w:rsidRPr="00B96E7C" w:rsidRDefault="00F60B77" w:rsidP="00F60B77">
      <w:pPr>
        <w:pStyle w:val="Textonotapie"/>
        <w:ind w:firstLine="708"/>
        <w:jc w:val="both"/>
        <w:rPr>
          <w:rFonts w:ascii="Arial" w:hAnsi="Arial" w:cs="Arial"/>
          <w:color w:val="000000" w:themeColor="text1"/>
          <w:sz w:val="19"/>
          <w:szCs w:val="19"/>
        </w:rPr>
      </w:pPr>
      <w:r w:rsidRPr="00B96E7C">
        <w:rPr>
          <w:rFonts w:ascii="Arial" w:hAnsi="Arial" w:cs="Arial"/>
          <w:color w:val="000000" w:themeColor="text1"/>
          <w:sz w:val="19"/>
          <w:szCs w:val="19"/>
        </w:rPr>
        <w:t xml:space="preserve">»1. Demostrar en los estudios previos que ha verificado las condiciones de mercado para la adquisición de los bienes o servicios adicionales al componente de obra pública, de tal manera que la experiencia adicional que se exija para tales bienes o servicios procure la pluralidad de oferentes, y no limite la concurrencia de proponentes al proceso de contratación. </w:t>
      </w:r>
    </w:p>
    <w:p w14:paraId="000BD8D7" w14:textId="77777777" w:rsidR="00F60B77" w:rsidRPr="00B96E7C" w:rsidRDefault="00F60B77" w:rsidP="00F60B77">
      <w:pPr>
        <w:pStyle w:val="Textonotapie"/>
        <w:ind w:firstLine="708"/>
        <w:jc w:val="both"/>
        <w:rPr>
          <w:rFonts w:ascii="Arial" w:hAnsi="Arial" w:cs="Arial"/>
          <w:color w:val="000000" w:themeColor="text1"/>
          <w:sz w:val="19"/>
          <w:szCs w:val="19"/>
        </w:rPr>
      </w:pPr>
      <w:r w:rsidRPr="00B96E7C">
        <w:rPr>
          <w:rFonts w:ascii="Arial" w:hAnsi="Arial" w:cs="Arial"/>
          <w:color w:val="000000" w:themeColor="text1"/>
          <w:sz w:val="19"/>
          <w:szCs w:val="19"/>
        </w:rPr>
        <w:t xml:space="preserve">»2. Conservar los requisitos exigidos en los Documentos Tipo. </w:t>
      </w:r>
    </w:p>
    <w:p w14:paraId="618A70BB" w14:textId="77777777" w:rsidR="00F60B77" w:rsidRPr="00B96E7C" w:rsidRDefault="00F60B77" w:rsidP="00F60B77">
      <w:pPr>
        <w:pStyle w:val="Textonotapie"/>
        <w:ind w:firstLine="708"/>
        <w:jc w:val="both"/>
        <w:rPr>
          <w:rFonts w:ascii="Arial" w:hAnsi="Arial" w:cs="Arial"/>
          <w:color w:val="000000" w:themeColor="text1"/>
          <w:sz w:val="19"/>
          <w:szCs w:val="19"/>
        </w:rPr>
      </w:pPr>
      <w:r w:rsidRPr="00B96E7C">
        <w:rPr>
          <w:rFonts w:ascii="Arial" w:hAnsi="Arial" w:cs="Arial"/>
          <w:color w:val="000000" w:themeColor="text1"/>
          <w:sz w:val="19"/>
          <w:szCs w:val="19"/>
        </w:rPr>
        <w:t xml:space="preserve">»3. Abstenerse de pedir experiencia exclusiva con entidades estatales, experiencia previa en un territorio específico, limitada en el tiempo o que incluya volúmenes o cantidades de obra específica. </w:t>
      </w:r>
    </w:p>
    <w:p w14:paraId="1713961C" w14:textId="77777777" w:rsidR="00F60B77" w:rsidRPr="00B96E7C" w:rsidRDefault="00F60B77" w:rsidP="00F60B77">
      <w:pPr>
        <w:pStyle w:val="Textonotapie"/>
        <w:ind w:firstLine="708"/>
        <w:jc w:val="both"/>
        <w:rPr>
          <w:rFonts w:ascii="Arial" w:hAnsi="Arial" w:cs="Arial"/>
          <w:color w:val="000000" w:themeColor="text1"/>
          <w:sz w:val="19"/>
          <w:szCs w:val="19"/>
        </w:rPr>
      </w:pPr>
      <w:r w:rsidRPr="00B96E7C">
        <w:rPr>
          <w:rFonts w:ascii="Arial" w:hAnsi="Arial" w:cs="Arial"/>
          <w:color w:val="000000" w:themeColor="text1"/>
          <w:sz w:val="19"/>
          <w:szCs w:val="19"/>
        </w:rPr>
        <w:t xml:space="preserve">»4. Clasificar la experiencia requerida solo hasta el tercer nivel del Clasificador de Bienes y Servicios e incluir exclusivamente los códigos que estén relacionados directamente con el objeto a contratar». </w:t>
      </w:r>
    </w:p>
  </w:footnote>
  <w:footnote w:id="6">
    <w:p w14:paraId="63B6D9C6" w14:textId="2EF5EBC6" w:rsidR="00BA25BB" w:rsidRPr="00C1373A" w:rsidRDefault="00BA25BB" w:rsidP="00C1373A">
      <w:pPr>
        <w:pStyle w:val="Textonotapie"/>
        <w:ind w:firstLine="708"/>
        <w:jc w:val="both"/>
        <w:rPr>
          <w:rFonts w:ascii="Arial" w:hAnsi="Arial" w:cs="Arial"/>
          <w:sz w:val="19"/>
          <w:szCs w:val="19"/>
        </w:rPr>
      </w:pPr>
      <w:r w:rsidRPr="00C1373A">
        <w:rPr>
          <w:rStyle w:val="Refdenotaalpie"/>
          <w:rFonts w:ascii="Arial" w:hAnsi="Arial" w:cs="Arial"/>
          <w:sz w:val="19"/>
          <w:szCs w:val="19"/>
        </w:rPr>
        <w:footnoteRef/>
      </w:r>
      <w:r w:rsidRPr="00C1373A">
        <w:rPr>
          <w:rFonts w:ascii="Arial" w:hAnsi="Arial" w:cs="Arial"/>
          <w:sz w:val="19"/>
          <w:szCs w:val="19"/>
        </w:rPr>
        <w:t xml:space="preserve"> </w:t>
      </w:r>
      <w:r w:rsidR="0094418F">
        <w:rPr>
          <w:rFonts w:ascii="Arial" w:hAnsi="Arial" w:cs="Arial"/>
          <w:sz w:val="19"/>
          <w:szCs w:val="19"/>
        </w:rPr>
        <w:t>El inciso primero de la norma citada dispone que «</w:t>
      </w:r>
      <w:r w:rsidR="0094418F" w:rsidRPr="0094418F">
        <w:rPr>
          <w:rFonts w:ascii="Arial" w:hAnsi="Arial" w:cs="Arial"/>
          <w:sz w:val="19"/>
          <w:szCs w:val="19"/>
        </w:rPr>
        <w:t xml:space="preserve">Son contratos de obra los que celebren las entidades estatales para la construcción, </w:t>
      </w:r>
      <w:r w:rsidR="0094418F" w:rsidRPr="00C1373A">
        <w:rPr>
          <w:rFonts w:ascii="Arial" w:hAnsi="Arial" w:cs="Arial"/>
          <w:i/>
          <w:iCs/>
          <w:sz w:val="19"/>
          <w:szCs w:val="19"/>
        </w:rPr>
        <w:t>mantenimiento</w:t>
      </w:r>
      <w:r w:rsidR="0094418F" w:rsidRPr="0094418F">
        <w:rPr>
          <w:rFonts w:ascii="Arial" w:hAnsi="Arial" w:cs="Arial"/>
          <w:sz w:val="19"/>
          <w:szCs w:val="19"/>
        </w:rPr>
        <w:t>, instalación y, en general, para la realización de cualquier otro trabajo material sobre bienes inmuebles, cualquiera que sea la modalidad de ejecución y pago</w:t>
      </w:r>
      <w:r w:rsidR="0094418F">
        <w:rPr>
          <w:rFonts w:ascii="Arial" w:hAnsi="Arial" w:cs="Arial"/>
          <w:sz w:val="19"/>
          <w:szCs w:val="19"/>
        </w:rPr>
        <w:t>» (Énfasis fuera de texto)</w:t>
      </w:r>
      <w:r w:rsidR="0094418F" w:rsidRPr="0094418F">
        <w:rPr>
          <w:rFonts w:ascii="Arial" w:hAnsi="Arial" w:cs="Arial"/>
          <w:sz w:val="19"/>
          <w:szCs w:val="19"/>
        </w:rPr>
        <w:t>.</w:t>
      </w:r>
    </w:p>
  </w:footnote>
  <w:footnote w:id="7">
    <w:p w14:paraId="31871EFD" w14:textId="77777777" w:rsidR="002943BE" w:rsidRPr="006643B2" w:rsidRDefault="002943BE" w:rsidP="002943BE">
      <w:pPr>
        <w:pStyle w:val="Textonotapie"/>
        <w:ind w:firstLine="708"/>
        <w:jc w:val="both"/>
        <w:rPr>
          <w:rFonts w:ascii="Arial" w:hAnsi="Arial" w:cs="Arial"/>
          <w:color w:val="000000" w:themeColor="text1"/>
          <w:sz w:val="18"/>
          <w:szCs w:val="18"/>
          <w:lang w:val="es-CO"/>
        </w:rPr>
      </w:pPr>
      <w:r w:rsidRPr="00667150">
        <w:rPr>
          <w:rStyle w:val="Refdenotaalpie"/>
          <w:rFonts w:ascii="Arial" w:hAnsi="Arial" w:cs="Arial"/>
          <w:color w:val="000000" w:themeColor="text1"/>
          <w:sz w:val="19"/>
          <w:szCs w:val="19"/>
        </w:rPr>
        <w:footnoteRef/>
      </w:r>
      <w:r w:rsidRPr="00667150">
        <w:rPr>
          <w:rFonts w:ascii="Arial" w:hAnsi="Arial" w:cs="Arial"/>
          <w:color w:val="000000" w:themeColor="text1"/>
          <w:sz w:val="19"/>
          <w:szCs w:val="19"/>
        </w:rPr>
        <w:t xml:space="preserve"> </w:t>
      </w:r>
      <w:r w:rsidRPr="006643B2">
        <w:rPr>
          <w:rFonts w:ascii="Arial" w:hAnsi="Arial" w:cs="Arial"/>
          <w:color w:val="000000" w:themeColor="text1"/>
          <w:sz w:val="18"/>
          <w:szCs w:val="18"/>
        </w:rPr>
        <w:t xml:space="preserve">Diccionario de la Real Academia Española de la Legua. Recuperado en: </w:t>
      </w:r>
      <w:hyperlink r:id="rId1" w:history="1">
        <w:r w:rsidRPr="006643B2">
          <w:rPr>
            <w:rStyle w:val="Hipervnculo"/>
            <w:rFonts w:ascii="Arial" w:hAnsi="Arial" w:cs="Arial"/>
            <w:color w:val="000000" w:themeColor="text1"/>
            <w:sz w:val="18"/>
            <w:szCs w:val="18"/>
          </w:rPr>
          <w:t>https://dle.rae.es/rocer%C3%ADa</w:t>
        </w:r>
      </w:hyperlink>
      <w:r w:rsidRPr="006643B2">
        <w:rPr>
          <w:rFonts w:ascii="Arial" w:hAnsi="Arial" w:cs="Arial"/>
          <w:color w:val="000000" w:themeColor="text1"/>
          <w:sz w:val="18"/>
          <w:szCs w:val="18"/>
        </w:rPr>
        <w:t xml:space="preserve"> </w:t>
      </w:r>
    </w:p>
  </w:footnote>
  <w:footnote w:id="8">
    <w:p w14:paraId="27BC93F2" w14:textId="77777777" w:rsidR="002943BE" w:rsidRPr="006643B2" w:rsidRDefault="002943BE" w:rsidP="002943BE">
      <w:pPr>
        <w:pStyle w:val="Textonotapie"/>
        <w:ind w:firstLine="708"/>
        <w:jc w:val="both"/>
        <w:rPr>
          <w:rFonts w:ascii="Arial" w:hAnsi="Arial" w:cs="Arial"/>
          <w:color w:val="000000" w:themeColor="text1"/>
          <w:sz w:val="18"/>
          <w:szCs w:val="18"/>
        </w:rPr>
      </w:pPr>
    </w:p>
    <w:p w14:paraId="0884820F" w14:textId="77777777" w:rsidR="002943BE" w:rsidRPr="006643B2" w:rsidRDefault="002943BE" w:rsidP="002943BE">
      <w:pPr>
        <w:pStyle w:val="Textonotapie"/>
        <w:ind w:firstLine="708"/>
        <w:rPr>
          <w:rFonts w:ascii="Arial" w:hAnsi="Arial" w:cs="Arial"/>
          <w:color w:val="000000" w:themeColor="text1"/>
          <w:sz w:val="18"/>
          <w:szCs w:val="18"/>
          <w:u w:val="single"/>
        </w:rPr>
      </w:pPr>
      <w:r w:rsidRPr="006643B2">
        <w:rPr>
          <w:rStyle w:val="Refdenotaalpie"/>
          <w:rFonts w:ascii="Arial" w:hAnsi="Arial" w:cs="Arial"/>
          <w:color w:val="000000" w:themeColor="text1"/>
          <w:sz w:val="18"/>
          <w:szCs w:val="18"/>
        </w:rPr>
        <w:footnoteRef/>
      </w:r>
      <w:r w:rsidRPr="006643B2">
        <w:rPr>
          <w:rFonts w:ascii="Arial" w:hAnsi="Arial" w:cs="Arial"/>
          <w:color w:val="000000" w:themeColor="text1"/>
          <w:sz w:val="18"/>
          <w:szCs w:val="18"/>
        </w:rPr>
        <w:t xml:space="preserve"> Instituto Nacional de Vías- INVIAS. </w:t>
      </w:r>
      <w:r w:rsidRPr="006643B2">
        <w:rPr>
          <w:rFonts w:ascii="Arial" w:hAnsi="Arial" w:cs="Arial"/>
          <w:i/>
          <w:iCs/>
          <w:color w:val="000000" w:themeColor="text1"/>
          <w:sz w:val="18"/>
          <w:szCs w:val="18"/>
        </w:rPr>
        <w:t>Glosario de Manual de diseño geométrico de carreteras</w:t>
      </w:r>
      <w:r w:rsidRPr="006643B2">
        <w:rPr>
          <w:rFonts w:ascii="Arial" w:hAnsi="Arial" w:cs="Arial"/>
          <w:color w:val="000000" w:themeColor="text1"/>
          <w:sz w:val="18"/>
          <w:szCs w:val="18"/>
        </w:rPr>
        <w:t>. 2018. Recuperado en</w:t>
      </w:r>
      <w:r w:rsidRPr="006643B2">
        <w:rPr>
          <w:rFonts w:ascii="Arial" w:hAnsi="Arial" w:cs="Arial"/>
          <w:sz w:val="18"/>
          <w:szCs w:val="18"/>
        </w:rPr>
        <w:t xml:space="preserve">: </w:t>
      </w:r>
      <w:hyperlink r:id="rId2" w:history="1">
        <w:r w:rsidRPr="006643B2">
          <w:rPr>
            <w:rFonts w:ascii="Arial" w:hAnsi="Arial" w:cs="Arial"/>
            <w:color w:val="000000" w:themeColor="text1"/>
            <w:sz w:val="18"/>
            <w:szCs w:val="18"/>
            <w:u w:val="single"/>
          </w:rPr>
          <w:t>https://www.invias.gov.co/index.php/servicios-al-ciudadano/glosario/130-glosario-manual-diseno-geometrico-carreteras</w:t>
        </w:r>
      </w:hyperlink>
      <w:r w:rsidRPr="006643B2">
        <w:rPr>
          <w:rFonts w:ascii="Arial" w:hAnsi="Arial" w:cs="Arial"/>
          <w:color w:val="000000" w:themeColor="text1"/>
          <w:sz w:val="18"/>
          <w:szCs w:val="18"/>
          <w:u w:val="single"/>
        </w:rPr>
        <w:t xml:space="preserve">  </w:t>
      </w:r>
    </w:p>
  </w:footnote>
  <w:footnote w:id="9">
    <w:p w14:paraId="5E7E3670" w14:textId="77777777" w:rsidR="002943BE" w:rsidRPr="006643B2" w:rsidRDefault="002943BE" w:rsidP="002943BE">
      <w:pPr>
        <w:pStyle w:val="Textonotapie"/>
        <w:ind w:firstLine="708"/>
        <w:rPr>
          <w:rFonts w:ascii="Arial" w:hAnsi="Arial" w:cs="Arial"/>
          <w:color w:val="000000" w:themeColor="text1"/>
          <w:sz w:val="18"/>
          <w:szCs w:val="18"/>
          <w:u w:val="single"/>
        </w:rPr>
      </w:pPr>
    </w:p>
    <w:p w14:paraId="2AFB6159" w14:textId="2F897CE6" w:rsidR="002943BE" w:rsidRDefault="002943BE" w:rsidP="002943BE">
      <w:pPr>
        <w:pStyle w:val="Textonotapie"/>
        <w:ind w:firstLine="708"/>
        <w:rPr>
          <w:rFonts w:ascii="Arial" w:hAnsi="Arial" w:cs="Arial"/>
          <w:color w:val="000000" w:themeColor="text1"/>
          <w:sz w:val="18"/>
          <w:szCs w:val="18"/>
        </w:rPr>
      </w:pPr>
      <w:r w:rsidRPr="006643B2">
        <w:rPr>
          <w:rFonts w:ascii="Arial" w:hAnsi="Arial" w:cs="Arial"/>
          <w:sz w:val="18"/>
          <w:szCs w:val="18"/>
          <w:u w:val="single"/>
        </w:rPr>
        <w:footnoteRef/>
      </w:r>
      <w:r w:rsidRPr="006643B2">
        <w:rPr>
          <w:rFonts w:ascii="Arial" w:hAnsi="Arial" w:cs="Arial"/>
          <w:color w:val="000000" w:themeColor="text1"/>
          <w:sz w:val="18"/>
          <w:szCs w:val="18"/>
          <w:u w:val="single"/>
        </w:rPr>
        <w:t xml:space="preserve"> Instituto Nacional de Vías – INVIAS. Manual de mantenimiento de carreteras. Vo</w:t>
      </w:r>
      <w:r w:rsidRPr="006643B2">
        <w:rPr>
          <w:rFonts w:ascii="Arial" w:hAnsi="Arial" w:cs="Arial"/>
          <w:i/>
          <w:iCs/>
          <w:color w:val="000000" w:themeColor="text1"/>
          <w:sz w:val="18"/>
          <w:szCs w:val="18"/>
        </w:rPr>
        <w:t xml:space="preserve">lumen 1. 2016. </w:t>
      </w:r>
      <w:r w:rsidRPr="006643B2">
        <w:rPr>
          <w:rFonts w:ascii="Arial" w:hAnsi="Arial" w:cs="Arial"/>
          <w:color w:val="000000" w:themeColor="text1"/>
          <w:sz w:val="18"/>
          <w:szCs w:val="18"/>
        </w:rPr>
        <w:t xml:space="preserve">Disponible en: </w:t>
      </w:r>
      <w:r w:rsidRPr="006643B2">
        <w:rPr>
          <w:rFonts w:ascii="Arial" w:hAnsi="Arial" w:cs="Arial"/>
          <w:color w:val="000000" w:themeColor="text1"/>
          <w:sz w:val="18"/>
          <w:szCs w:val="18"/>
          <w:u w:val="single"/>
        </w:rPr>
        <w:t>https://www.invias.gov.co/index.php/archivo-y-documentos/documentos-tecnicos/7713-manual-de-mantenimiento-de-carreteras-2016-v1/file</w:t>
      </w:r>
      <w:r w:rsidRPr="006643B2">
        <w:rPr>
          <w:rFonts w:ascii="Arial" w:hAnsi="Arial" w:cs="Arial"/>
          <w:color w:val="000000" w:themeColor="text1"/>
          <w:sz w:val="18"/>
          <w:szCs w:val="18"/>
        </w:rPr>
        <w:t xml:space="preserve"> </w:t>
      </w:r>
    </w:p>
    <w:p w14:paraId="48894425" w14:textId="77777777" w:rsidR="009F0FE0" w:rsidRPr="006643B2" w:rsidRDefault="009F0FE0" w:rsidP="002943BE">
      <w:pPr>
        <w:pStyle w:val="Textonotapie"/>
        <w:ind w:firstLine="708"/>
        <w:rPr>
          <w:rFonts w:ascii="Arial" w:hAnsi="Arial" w:cs="Arial"/>
          <w:color w:val="000000" w:themeColor="text1"/>
          <w:sz w:val="18"/>
          <w:szCs w:val="18"/>
          <w:lang w:val="es-CO"/>
        </w:rPr>
      </w:pPr>
    </w:p>
  </w:footnote>
  <w:footnote w:id="10">
    <w:p w14:paraId="08D25413" w14:textId="77777777" w:rsidR="002943BE" w:rsidRDefault="002943BE" w:rsidP="00C1373A">
      <w:pPr>
        <w:pStyle w:val="Textonotapie"/>
        <w:ind w:firstLine="708"/>
        <w:jc w:val="both"/>
        <w:rPr>
          <w:rFonts w:ascii="Arial" w:hAnsi="Arial" w:cs="Arial"/>
          <w:color w:val="000000" w:themeColor="text1"/>
          <w:sz w:val="19"/>
          <w:szCs w:val="19"/>
        </w:rPr>
      </w:pPr>
      <w:r>
        <w:rPr>
          <w:rStyle w:val="Refdenotaalpie"/>
        </w:rPr>
        <w:footnoteRef/>
      </w:r>
      <w:r>
        <w:t xml:space="preserve"> </w:t>
      </w:r>
      <w:bookmarkStart w:id="3" w:name="12"/>
      <w:r>
        <w:t>A</w:t>
      </w:r>
      <w:r w:rsidRPr="004C5DBF">
        <w:rPr>
          <w:rFonts w:ascii="Arial" w:hAnsi="Arial" w:cs="Arial"/>
          <w:color w:val="000000" w:themeColor="text1"/>
          <w:sz w:val="19"/>
          <w:szCs w:val="19"/>
        </w:rPr>
        <w:t>rtículo 12 de la Ley 1682 de 2013.</w:t>
      </w:r>
      <w:bookmarkEnd w:id="3"/>
      <w:r w:rsidRPr="004C5DBF">
        <w:rPr>
          <w:rFonts w:ascii="Arial" w:hAnsi="Arial" w:cs="Arial"/>
          <w:color w:val="000000" w:themeColor="text1"/>
          <w:sz w:val="19"/>
          <w:szCs w:val="19"/>
        </w:rPr>
        <w:t> </w:t>
      </w:r>
      <w:r w:rsidRPr="00930864">
        <w:rPr>
          <w:rFonts w:ascii="Arial" w:eastAsia="Times New Roman" w:hAnsi="Arial" w:cs="Arial"/>
          <w:color w:val="000000"/>
          <w:sz w:val="18"/>
          <w:szCs w:val="18"/>
          <w:bdr w:val="none" w:sz="0" w:space="0" w:color="auto" w:frame="1"/>
          <w:lang w:eastAsia="es-CO"/>
        </w:rPr>
        <w:t>«</w:t>
      </w:r>
      <w:r w:rsidRPr="004C5DBF">
        <w:rPr>
          <w:rFonts w:ascii="Arial" w:hAnsi="Arial" w:cs="Arial"/>
          <w:color w:val="000000" w:themeColor="text1"/>
          <w:sz w:val="19"/>
          <w:szCs w:val="19"/>
        </w:rPr>
        <w:t xml:space="preserve">En lo que </w:t>
      </w:r>
      <w:r w:rsidRPr="006643B2">
        <w:rPr>
          <w:rFonts w:ascii="Arial" w:hAnsi="Arial" w:cs="Arial"/>
          <w:color w:val="000000" w:themeColor="text1"/>
          <w:sz w:val="19"/>
          <w:szCs w:val="19"/>
        </w:rPr>
        <w:t>se refiere a la infraestructura de transporte terrestre, aeronáutica, aeroportuaria y acuática, se tendrán en cuenta las siguientes definiciones:</w:t>
      </w:r>
    </w:p>
    <w:p w14:paraId="07F00DFC" w14:textId="77777777" w:rsidR="002943BE" w:rsidRDefault="002943BE" w:rsidP="00C1373A">
      <w:pPr>
        <w:pStyle w:val="Textonotapie"/>
        <w:ind w:firstLine="708"/>
        <w:jc w:val="both"/>
        <w:rPr>
          <w:rFonts w:ascii="Arial" w:hAnsi="Arial" w:cs="Arial"/>
          <w:color w:val="000000" w:themeColor="text1"/>
          <w:sz w:val="19"/>
          <w:szCs w:val="19"/>
        </w:rPr>
      </w:pPr>
      <w:r>
        <w:rPr>
          <w:rFonts w:ascii="Arial" w:hAnsi="Arial" w:cs="Arial"/>
          <w:color w:val="000000" w:themeColor="text1"/>
          <w:sz w:val="19"/>
          <w:szCs w:val="19"/>
        </w:rPr>
        <w:t xml:space="preserve">[…] </w:t>
      </w:r>
    </w:p>
    <w:p w14:paraId="1F552F0D" w14:textId="43E2D015" w:rsidR="002943BE" w:rsidRDefault="002943BE" w:rsidP="00C1373A">
      <w:pPr>
        <w:pStyle w:val="Textonotapie"/>
        <w:ind w:firstLine="708"/>
        <w:jc w:val="both"/>
        <w:rPr>
          <w:rFonts w:ascii="Arial" w:hAnsi="Arial" w:cs="Arial"/>
          <w:color w:val="000000" w:themeColor="text1"/>
          <w:sz w:val="19"/>
          <w:szCs w:val="19"/>
        </w:rPr>
      </w:pPr>
      <w:r w:rsidRPr="00930864">
        <w:rPr>
          <w:rFonts w:ascii="Arial" w:eastAsia="Times New Roman" w:hAnsi="Arial" w:cs="Arial"/>
          <w:color w:val="000000"/>
          <w:sz w:val="18"/>
          <w:szCs w:val="18"/>
          <w:bdr w:val="none" w:sz="0" w:space="0" w:color="auto" w:frame="1"/>
          <w:lang w:eastAsia="es-CO"/>
        </w:rPr>
        <w:t>»</w:t>
      </w:r>
      <w:r w:rsidRPr="004C5DBF">
        <w:rPr>
          <w:rFonts w:ascii="Arial" w:hAnsi="Arial" w:cs="Arial"/>
          <w:color w:val="000000" w:themeColor="text1"/>
          <w:sz w:val="19"/>
          <w:szCs w:val="19"/>
        </w:rPr>
        <w:t>Mantenimiento rutinario. Se refiere a la conservación continua (a intervalos menores de un año) con el fin de mantener las condiciones óptimas para el tránsito y uso adecuado de la infraestructura de transporte»</w:t>
      </w:r>
      <w:r w:rsidR="00761716">
        <w:rPr>
          <w:rFonts w:ascii="Arial" w:hAnsi="Arial" w:cs="Arial"/>
          <w:color w:val="000000" w:themeColor="text1"/>
          <w:sz w:val="19"/>
          <w:szCs w:val="19"/>
        </w:rPr>
        <w:t>.</w:t>
      </w:r>
    </w:p>
    <w:p w14:paraId="21FAC989" w14:textId="77777777" w:rsidR="002943BE" w:rsidRPr="006643B2" w:rsidRDefault="002943BE" w:rsidP="002943BE">
      <w:pPr>
        <w:pStyle w:val="Textonotapie"/>
        <w:jc w:val="both"/>
        <w:rPr>
          <w:rFonts w:ascii="Arial" w:hAnsi="Arial" w:cs="Arial"/>
          <w:color w:val="000000" w:themeColor="text1"/>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87F42" w14:textId="77777777" w:rsidR="00387886" w:rsidRDefault="00AB6FA6">
    <w:pPr>
      <w:pStyle w:val="Encabezado"/>
    </w:pPr>
    <w:r>
      <w:rPr>
        <w:noProof/>
        <w:lang w:val="es-CO" w:eastAsia="es-CO"/>
      </w:rPr>
      <w:drawing>
        <wp:anchor distT="0" distB="0" distL="114300" distR="114300" simplePos="0" relativeHeight="251659264" behindDoc="1" locked="0" layoutInCell="1" allowOverlap="1" wp14:anchorId="3F2A7C96" wp14:editId="5BFA5ADC">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85F2F"/>
    <w:multiLevelType w:val="multilevel"/>
    <w:tmpl w:val="BCA45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6136D2"/>
    <w:multiLevelType w:val="hybridMultilevel"/>
    <w:tmpl w:val="B6BA7184"/>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2" w15:restartNumberingAfterBreak="0">
    <w:nsid w:val="377F3431"/>
    <w:multiLevelType w:val="hybridMultilevel"/>
    <w:tmpl w:val="346A0E58"/>
    <w:lvl w:ilvl="0" w:tplc="240A0001">
      <w:start w:val="1"/>
      <w:numFmt w:val="bullet"/>
      <w:lvlText w:val=""/>
      <w:lvlJc w:val="left"/>
      <w:pPr>
        <w:ind w:left="1490" w:hanging="360"/>
      </w:pPr>
      <w:rPr>
        <w:rFonts w:ascii="Symbol" w:hAnsi="Symbol" w:hint="default"/>
      </w:rPr>
    </w:lvl>
    <w:lvl w:ilvl="1" w:tplc="240A0003" w:tentative="1">
      <w:start w:val="1"/>
      <w:numFmt w:val="bullet"/>
      <w:lvlText w:val="o"/>
      <w:lvlJc w:val="left"/>
      <w:pPr>
        <w:ind w:left="2210" w:hanging="360"/>
      </w:pPr>
      <w:rPr>
        <w:rFonts w:ascii="Courier New" w:hAnsi="Courier New" w:cs="Courier New" w:hint="default"/>
      </w:rPr>
    </w:lvl>
    <w:lvl w:ilvl="2" w:tplc="240A0005" w:tentative="1">
      <w:start w:val="1"/>
      <w:numFmt w:val="bullet"/>
      <w:lvlText w:val=""/>
      <w:lvlJc w:val="left"/>
      <w:pPr>
        <w:ind w:left="2930" w:hanging="360"/>
      </w:pPr>
      <w:rPr>
        <w:rFonts w:ascii="Wingdings" w:hAnsi="Wingdings" w:hint="default"/>
      </w:rPr>
    </w:lvl>
    <w:lvl w:ilvl="3" w:tplc="240A0001" w:tentative="1">
      <w:start w:val="1"/>
      <w:numFmt w:val="bullet"/>
      <w:lvlText w:val=""/>
      <w:lvlJc w:val="left"/>
      <w:pPr>
        <w:ind w:left="3650" w:hanging="360"/>
      </w:pPr>
      <w:rPr>
        <w:rFonts w:ascii="Symbol" w:hAnsi="Symbol" w:hint="default"/>
      </w:rPr>
    </w:lvl>
    <w:lvl w:ilvl="4" w:tplc="240A0003" w:tentative="1">
      <w:start w:val="1"/>
      <w:numFmt w:val="bullet"/>
      <w:lvlText w:val="o"/>
      <w:lvlJc w:val="left"/>
      <w:pPr>
        <w:ind w:left="4370" w:hanging="360"/>
      </w:pPr>
      <w:rPr>
        <w:rFonts w:ascii="Courier New" w:hAnsi="Courier New" w:cs="Courier New" w:hint="default"/>
      </w:rPr>
    </w:lvl>
    <w:lvl w:ilvl="5" w:tplc="240A0005" w:tentative="1">
      <w:start w:val="1"/>
      <w:numFmt w:val="bullet"/>
      <w:lvlText w:val=""/>
      <w:lvlJc w:val="left"/>
      <w:pPr>
        <w:ind w:left="5090" w:hanging="360"/>
      </w:pPr>
      <w:rPr>
        <w:rFonts w:ascii="Wingdings" w:hAnsi="Wingdings" w:hint="default"/>
      </w:rPr>
    </w:lvl>
    <w:lvl w:ilvl="6" w:tplc="240A0001" w:tentative="1">
      <w:start w:val="1"/>
      <w:numFmt w:val="bullet"/>
      <w:lvlText w:val=""/>
      <w:lvlJc w:val="left"/>
      <w:pPr>
        <w:ind w:left="5810" w:hanging="360"/>
      </w:pPr>
      <w:rPr>
        <w:rFonts w:ascii="Symbol" w:hAnsi="Symbol" w:hint="default"/>
      </w:rPr>
    </w:lvl>
    <w:lvl w:ilvl="7" w:tplc="240A0003" w:tentative="1">
      <w:start w:val="1"/>
      <w:numFmt w:val="bullet"/>
      <w:lvlText w:val="o"/>
      <w:lvlJc w:val="left"/>
      <w:pPr>
        <w:ind w:left="6530" w:hanging="360"/>
      </w:pPr>
      <w:rPr>
        <w:rFonts w:ascii="Courier New" w:hAnsi="Courier New" w:cs="Courier New" w:hint="default"/>
      </w:rPr>
    </w:lvl>
    <w:lvl w:ilvl="8" w:tplc="240A0005" w:tentative="1">
      <w:start w:val="1"/>
      <w:numFmt w:val="bullet"/>
      <w:lvlText w:val=""/>
      <w:lvlJc w:val="left"/>
      <w:pPr>
        <w:ind w:left="7250" w:hanging="360"/>
      </w:pPr>
      <w:rPr>
        <w:rFonts w:ascii="Wingdings" w:hAnsi="Wingdings" w:hint="default"/>
      </w:rPr>
    </w:lvl>
  </w:abstractNum>
  <w:abstractNum w:abstractNumId="3"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num w:numId="1" w16cid:durableId="2083017203">
    <w:abstractNumId w:val="2"/>
  </w:num>
  <w:num w:numId="2" w16cid:durableId="936672831">
    <w:abstractNumId w:val="1"/>
  </w:num>
  <w:num w:numId="3" w16cid:durableId="170335938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5106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396"/>
    <w:rsid w:val="00030D2F"/>
    <w:rsid w:val="000450B0"/>
    <w:rsid w:val="00052A18"/>
    <w:rsid w:val="00060385"/>
    <w:rsid w:val="00060AEB"/>
    <w:rsid w:val="000734EC"/>
    <w:rsid w:val="000738B3"/>
    <w:rsid w:val="000819EB"/>
    <w:rsid w:val="0008579C"/>
    <w:rsid w:val="000B67A9"/>
    <w:rsid w:val="000E7C88"/>
    <w:rsid w:val="000F0DA0"/>
    <w:rsid w:val="000F0E49"/>
    <w:rsid w:val="001032B4"/>
    <w:rsid w:val="0013042F"/>
    <w:rsid w:val="001751BF"/>
    <w:rsid w:val="00182730"/>
    <w:rsid w:val="00186C90"/>
    <w:rsid w:val="001C24A6"/>
    <w:rsid w:val="001C3C9C"/>
    <w:rsid w:val="001D2495"/>
    <w:rsid w:val="001E528E"/>
    <w:rsid w:val="001F6332"/>
    <w:rsid w:val="00205342"/>
    <w:rsid w:val="0020534C"/>
    <w:rsid w:val="00221626"/>
    <w:rsid w:val="00222FAB"/>
    <w:rsid w:val="00245D5A"/>
    <w:rsid w:val="0029181B"/>
    <w:rsid w:val="002919D5"/>
    <w:rsid w:val="00291BA5"/>
    <w:rsid w:val="002943BE"/>
    <w:rsid w:val="002A64A3"/>
    <w:rsid w:val="002D7F6C"/>
    <w:rsid w:val="002F6BE4"/>
    <w:rsid w:val="003076AF"/>
    <w:rsid w:val="00311F36"/>
    <w:rsid w:val="00323D7F"/>
    <w:rsid w:val="00355E65"/>
    <w:rsid w:val="003A3DEA"/>
    <w:rsid w:val="003B7388"/>
    <w:rsid w:val="003D53B9"/>
    <w:rsid w:val="003E0750"/>
    <w:rsid w:val="003F6D7E"/>
    <w:rsid w:val="00417909"/>
    <w:rsid w:val="0042053C"/>
    <w:rsid w:val="00427C10"/>
    <w:rsid w:val="004370CB"/>
    <w:rsid w:val="00442240"/>
    <w:rsid w:val="004431BA"/>
    <w:rsid w:val="00450FEE"/>
    <w:rsid w:val="00490325"/>
    <w:rsid w:val="004911AA"/>
    <w:rsid w:val="004A6E04"/>
    <w:rsid w:val="004C46BC"/>
    <w:rsid w:val="004E508E"/>
    <w:rsid w:val="004F0A35"/>
    <w:rsid w:val="00551F4C"/>
    <w:rsid w:val="00553174"/>
    <w:rsid w:val="005620A4"/>
    <w:rsid w:val="005777B9"/>
    <w:rsid w:val="005934B4"/>
    <w:rsid w:val="005939DC"/>
    <w:rsid w:val="005C5284"/>
    <w:rsid w:val="005F2015"/>
    <w:rsid w:val="00620891"/>
    <w:rsid w:val="00634376"/>
    <w:rsid w:val="00635BC1"/>
    <w:rsid w:val="00657711"/>
    <w:rsid w:val="00657F2C"/>
    <w:rsid w:val="00663ABA"/>
    <w:rsid w:val="00663E11"/>
    <w:rsid w:val="006643B7"/>
    <w:rsid w:val="006B47E5"/>
    <w:rsid w:val="006D2290"/>
    <w:rsid w:val="006D53A1"/>
    <w:rsid w:val="006E4887"/>
    <w:rsid w:val="006F24BC"/>
    <w:rsid w:val="00716F99"/>
    <w:rsid w:val="007275BC"/>
    <w:rsid w:val="00737B31"/>
    <w:rsid w:val="007439E0"/>
    <w:rsid w:val="00744E67"/>
    <w:rsid w:val="007472C6"/>
    <w:rsid w:val="00750D83"/>
    <w:rsid w:val="00761716"/>
    <w:rsid w:val="007746E2"/>
    <w:rsid w:val="00786CDD"/>
    <w:rsid w:val="00793CA3"/>
    <w:rsid w:val="007D145E"/>
    <w:rsid w:val="007D5CF7"/>
    <w:rsid w:val="007E6C70"/>
    <w:rsid w:val="007F460D"/>
    <w:rsid w:val="00826C09"/>
    <w:rsid w:val="00836E8F"/>
    <w:rsid w:val="00862E0E"/>
    <w:rsid w:val="0086520C"/>
    <w:rsid w:val="008702D2"/>
    <w:rsid w:val="008926F4"/>
    <w:rsid w:val="008A18BF"/>
    <w:rsid w:val="008A6195"/>
    <w:rsid w:val="008B34F2"/>
    <w:rsid w:val="008B685E"/>
    <w:rsid w:val="008F659E"/>
    <w:rsid w:val="00910807"/>
    <w:rsid w:val="00916C1F"/>
    <w:rsid w:val="0093110F"/>
    <w:rsid w:val="00933CE1"/>
    <w:rsid w:val="00937E5E"/>
    <w:rsid w:val="0094418F"/>
    <w:rsid w:val="009456FD"/>
    <w:rsid w:val="00961946"/>
    <w:rsid w:val="00981C9F"/>
    <w:rsid w:val="009906CA"/>
    <w:rsid w:val="00991481"/>
    <w:rsid w:val="009A0499"/>
    <w:rsid w:val="009D0E01"/>
    <w:rsid w:val="009E4E53"/>
    <w:rsid w:val="009F0FE0"/>
    <w:rsid w:val="00A10A6F"/>
    <w:rsid w:val="00A16EF0"/>
    <w:rsid w:val="00A20516"/>
    <w:rsid w:val="00A2082D"/>
    <w:rsid w:val="00A32742"/>
    <w:rsid w:val="00A56521"/>
    <w:rsid w:val="00A7208C"/>
    <w:rsid w:val="00A82ADB"/>
    <w:rsid w:val="00A92EDF"/>
    <w:rsid w:val="00A940E1"/>
    <w:rsid w:val="00AA4B2A"/>
    <w:rsid w:val="00AA7EFB"/>
    <w:rsid w:val="00AB4B53"/>
    <w:rsid w:val="00AB6FA6"/>
    <w:rsid w:val="00AC415E"/>
    <w:rsid w:val="00AE0B71"/>
    <w:rsid w:val="00AE7FAB"/>
    <w:rsid w:val="00AF3F4F"/>
    <w:rsid w:val="00AF4401"/>
    <w:rsid w:val="00B05DFA"/>
    <w:rsid w:val="00B12A1C"/>
    <w:rsid w:val="00B172D2"/>
    <w:rsid w:val="00B3205D"/>
    <w:rsid w:val="00B47A38"/>
    <w:rsid w:val="00B55C9B"/>
    <w:rsid w:val="00B64D5C"/>
    <w:rsid w:val="00B81010"/>
    <w:rsid w:val="00BA1A16"/>
    <w:rsid w:val="00BA25BB"/>
    <w:rsid w:val="00BA40B0"/>
    <w:rsid w:val="00BA40F4"/>
    <w:rsid w:val="00BA78A5"/>
    <w:rsid w:val="00BC5580"/>
    <w:rsid w:val="00BC7BCA"/>
    <w:rsid w:val="00BE4960"/>
    <w:rsid w:val="00C1373A"/>
    <w:rsid w:val="00C27777"/>
    <w:rsid w:val="00C60DD3"/>
    <w:rsid w:val="00C60F04"/>
    <w:rsid w:val="00C667C0"/>
    <w:rsid w:val="00C770B0"/>
    <w:rsid w:val="00CA175F"/>
    <w:rsid w:val="00CB7C3C"/>
    <w:rsid w:val="00CD0ACD"/>
    <w:rsid w:val="00CD47EC"/>
    <w:rsid w:val="00CE56FB"/>
    <w:rsid w:val="00CF6814"/>
    <w:rsid w:val="00CF6E82"/>
    <w:rsid w:val="00D02A03"/>
    <w:rsid w:val="00D033BF"/>
    <w:rsid w:val="00D45A94"/>
    <w:rsid w:val="00D566FD"/>
    <w:rsid w:val="00D57F71"/>
    <w:rsid w:val="00D600CD"/>
    <w:rsid w:val="00D62C7E"/>
    <w:rsid w:val="00DA0BF9"/>
    <w:rsid w:val="00DD2E4F"/>
    <w:rsid w:val="00DD3396"/>
    <w:rsid w:val="00DD51F5"/>
    <w:rsid w:val="00DF3CC7"/>
    <w:rsid w:val="00DF6F53"/>
    <w:rsid w:val="00E002DB"/>
    <w:rsid w:val="00E13EE2"/>
    <w:rsid w:val="00E2395A"/>
    <w:rsid w:val="00E24028"/>
    <w:rsid w:val="00E31965"/>
    <w:rsid w:val="00E431A3"/>
    <w:rsid w:val="00E57CC3"/>
    <w:rsid w:val="00E7088F"/>
    <w:rsid w:val="00EA3503"/>
    <w:rsid w:val="00EA6F48"/>
    <w:rsid w:val="00EB1F75"/>
    <w:rsid w:val="00EC4D8E"/>
    <w:rsid w:val="00EC7E79"/>
    <w:rsid w:val="00ED145A"/>
    <w:rsid w:val="00ED2901"/>
    <w:rsid w:val="00EE2B40"/>
    <w:rsid w:val="00EF6A38"/>
    <w:rsid w:val="00F03EF6"/>
    <w:rsid w:val="00F07E1E"/>
    <w:rsid w:val="00F308E2"/>
    <w:rsid w:val="00F35189"/>
    <w:rsid w:val="00F55E88"/>
    <w:rsid w:val="00F60B77"/>
    <w:rsid w:val="00F658FF"/>
    <w:rsid w:val="00F6693B"/>
    <w:rsid w:val="00FD5C7B"/>
    <w:rsid w:val="00FF3BCC"/>
    <w:rsid w:val="00FF3F45"/>
    <w:rsid w:val="00FF695B"/>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085EA"/>
  <w15:chartTrackingRefBased/>
  <w15:docId w15:val="{41C741D8-2EDD-4579-8F21-E3570F7B8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0DD3"/>
    <w:pPr>
      <w:spacing w:after="0" w:line="240" w:lineRule="auto"/>
    </w:pPr>
    <w:rPr>
      <w:rFonts w:ascii="Times New Roman" w:eastAsia="Times New Roman" w:hAnsi="Times New Roman"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D3396"/>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DD3396"/>
    <w:rPr>
      <w:sz w:val="24"/>
      <w:lang w:val="es-MX"/>
    </w:rPr>
  </w:style>
  <w:style w:type="paragraph" w:styleId="Encabezado">
    <w:name w:val="header"/>
    <w:basedOn w:val="Normal"/>
    <w:link w:val="EncabezadoCar"/>
    <w:uiPriority w:val="99"/>
    <w:unhideWhenUsed/>
    <w:rsid w:val="00DD3396"/>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DD3396"/>
    <w:rPr>
      <w:sz w:val="24"/>
      <w:lang w:val="es-MX"/>
    </w:rPr>
  </w:style>
  <w:style w:type="table" w:styleId="Tablaconcuadrcula">
    <w:name w:val="Table Grid"/>
    <w:basedOn w:val="Tablanormal"/>
    <w:uiPriority w:val="39"/>
    <w:qFormat/>
    <w:rsid w:val="00DD33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DD3396"/>
    <w:pPr>
      <w:ind w:left="720"/>
      <w:contextualSpacing/>
    </w:pPr>
    <w:rPr>
      <w:rFonts w:asciiTheme="minorHAnsi" w:eastAsiaTheme="minorHAnsi" w:hAnsiTheme="minorHAnsi" w:cstheme="minorBidi"/>
      <w:szCs w:val="22"/>
      <w:lang w:val="es-MX" w:eastAsia="en-US"/>
    </w:rPr>
  </w:style>
  <w:style w:type="paragraph" w:styleId="Sinespaciado">
    <w:name w:val="No Spacing"/>
    <w:aliases w:val="No Indent"/>
    <w:uiPriority w:val="3"/>
    <w:qFormat/>
    <w:rsid w:val="00DD3396"/>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D3396"/>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DD3396"/>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DD3396"/>
    <w:rPr>
      <w:rFonts w:ascii="Times New Roman" w:eastAsia="Times New Roman" w:hAnsi="Times New Roman" w:cs="Times New Roman"/>
      <w:sz w:val="20"/>
      <w:szCs w:val="20"/>
      <w:lang w:eastAsia="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D3396"/>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D3396"/>
    <w:rPr>
      <w:vertAlign w:val="superscript"/>
    </w:rPr>
  </w:style>
  <w:style w:type="paragraph" w:customStyle="1" w:styleId="Appelnotedebasde">
    <w:name w:val="Appel note de bas de..."/>
    <w:basedOn w:val="Normal"/>
    <w:link w:val="Refdenotaalpie"/>
    <w:uiPriority w:val="99"/>
    <w:rsid w:val="00DD3396"/>
    <w:pPr>
      <w:spacing w:after="160" w:line="240" w:lineRule="exact"/>
    </w:pPr>
    <w:rPr>
      <w:rFonts w:asciiTheme="minorHAnsi" w:eastAsiaTheme="minorHAnsi" w:hAnsiTheme="minorHAnsi" w:cstheme="minorBidi"/>
      <w:sz w:val="22"/>
      <w:szCs w:val="22"/>
      <w:vertAlign w:val="superscript"/>
      <w:lang w:eastAsia="en-US"/>
    </w:rPr>
  </w:style>
  <w:style w:type="paragraph" w:styleId="NormalWeb">
    <w:name w:val="Normal (Web)"/>
    <w:basedOn w:val="Normal"/>
    <w:link w:val="NormalWebCar"/>
    <w:uiPriority w:val="99"/>
    <w:unhideWhenUsed/>
    <w:rsid w:val="00DD3396"/>
    <w:pPr>
      <w:spacing w:before="100" w:beforeAutospacing="1" w:after="100" w:afterAutospacing="1"/>
    </w:pPr>
  </w:style>
  <w:style w:type="character" w:customStyle="1" w:styleId="NormalWebCar">
    <w:name w:val="Normal (Web) Car"/>
    <w:link w:val="NormalWeb"/>
    <w:uiPriority w:val="99"/>
    <w:rsid w:val="00DD3396"/>
    <w:rPr>
      <w:rFonts w:ascii="Times New Roman" w:eastAsia="Times New Roman" w:hAnsi="Times New Roman" w:cs="Times New Roman"/>
      <w:sz w:val="24"/>
      <w:szCs w:val="24"/>
      <w:lang w:eastAsia="es-MX"/>
    </w:rPr>
  </w:style>
  <w:style w:type="paragraph" w:styleId="Textoindependiente">
    <w:name w:val="Body Text"/>
    <w:basedOn w:val="Normal"/>
    <w:link w:val="TextoindependienteCar"/>
    <w:uiPriority w:val="1"/>
    <w:qFormat/>
    <w:rsid w:val="00DD3396"/>
    <w:pPr>
      <w:widowControl w:val="0"/>
      <w:autoSpaceDE w:val="0"/>
      <w:autoSpaceDN w:val="0"/>
    </w:pPr>
    <w:rPr>
      <w:rFonts w:ascii="Arial" w:eastAsia="Arial" w:hAnsi="Arial" w:cs="Arial"/>
      <w:sz w:val="20"/>
      <w:szCs w:val="20"/>
      <w:lang w:val="es-ES" w:eastAsia="en-US"/>
    </w:rPr>
  </w:style>
  <w:style w:type="character" w:customStyle="1" w:styleId="TextoindependienteCar">
    <w:name w:val="Texto independiente Car"/>
    <w:basedOn w:val="Fuentedeprrafopredeter"/>
    <w:link w:val="Textoindependiente"/>
    <w:uiPriority w:val="1"/>
    <w:rsid w:val="00DD3396"/>
    <w:rPr>
      <w:rFonts w:ascii="Arial" w:eastAsia="Arial" w:hAnsi="Arial" w:cs="Arial"/>
      <w:sz w:val="20"/>
      <w:szCs w:val="20"/>
      <w:lang w:val="es-ES"/>
    </w:rPr>
  </w:style>
  <w:style w:type="character" w:customStyle="1" w:styleId="baj">
    <w:name w:val="b_aj"/>
    <w:basedOn w:val="Fuentedeprrafopredeter"/>
    <w:rsid w:val="00DD3396"/>
  </w:style>
  <w:style w:type="paragraph" w:styleId="Revisin">
    <w:name w:val="Revision"/>
    <w:hidden/>
    <w:uiPriority w:val="99"/>
    <w:semiHidden/>
    <w:rsid w:val="00DD3396"/>
    <w:pPr>
      <w:spacing w:after="0"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DD3396"/>
    <w:rPr>
      <w:b/>
      <w:bCs/>
    </w:rPr>
  </w:style>
  <w:style w:type="character" w:styleId="nfasis">
    <w:name w:val="Emphasis"/>
    <w:basedOn w:val="Fuentedeprrafopredeter"/>
    <w:uiPriority w:val="20"/>
    <w:qFormat/>
    <w:rsid w:val="00DD3396"/>
    <w:rPr>
      <w:i/>
      <w:iCs/>
    </w:rPr>
  </w:style>
  <w:style w:type="character" w:styleId="Hipervnculo">
    <w:name w:val="Hyperlink"/>
    <w:basedOn w:val="Fuentedeprrafopredeter"/>
    <w:uiPriority w:val="99"/>
    <w:unhideWhenUsed/>
    <w:rsid w:val="00DD3396"/>
    <w:rPr>
      <w:color w:val="0563C1" w:themeColor="hyperlink"/>
      <w:u w:val="single"/>
    </w:rPr>
  </w:style>
  <w:style w:type="character" w:styleId="Mencinsinresolver">
    <w:name w:val="Unresolved Mention"/>
    <w:basedOn w:val="Fuentedeprrafopredeter"/>
    <w:uiPriority w:val="99"/>
    <w:semiHidden/>
    <w:unhideWhenUsed/>
    <w:rsid w:val="00DD3396"/>
    <w:rPr>
      <w:color w:val="605E5C"/>
      <w:shd w:val="clear" w:color="auto" w:fill="E1DFDD"/>
    </w:rPr>
  </w:style>
  <w:style w:type="character" w:styleId="Refdecomentario">
    <w:name w:val="annotation reference"/>
    <w:basedOn w:val="Fuentedeprrafopredeter"/>
    <w:uiPriority w:val="99"/>
    <w:semiHidden/>
    <w:unhideWhenUsed/>
    <w:rsid w:val="00DD3396"/>
    <w:rPr>
      <w:sz w:val="16"/>
      <w:szCs w:val="16"/>
    </w:rPr>
  </w:style>
  <w:style w:type="paragraph" w:styleId="Textocomentario">
    <w:name w:val="annotation text"/>
    <w:basedOn w:val="Normal"/>
    <w:link w:val="TextocomentarioCar"/>
    <w:uiPriority w:val="99"/>
    <w:unhideWhenUsed/>
    <w:rsid w:val="00DD3396"/>
    <w:rPr>
      <w:sz w:val="20"/>
      <w:szCs w:val="20"/>
    </w:rPr>
  </w:style>
  <w:style w:type="character" w:customStyle="1" w:styleId="TextocomentarioCar">
    <w:name w:val="Texto comentario Car"/>
    <w:basedOn w:val="Fuentedeprrafopredeter"/>
    <w:link w:val="Textocomentario"/>
    <w:uiPriority w:val="99"/>
    <w:rsid w:val="00DD3396"/>
    <w:rPr>
      <w:rFonts w:ascii="Times New Roman" w:eastAsia="Times New Roman" w:hAnsi="Times New Roman"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DD3396"/>
    <w:rPr>
      <w:b/>
      <w:bCs/>
    </w:rPr>
  </w:style>
  <w:style w:type="character" w:customStyle="1" w:styleId="AsuntodelcomentarioCar">
    <w:name w:val="Asunto del comentario Car"/>
    <w:basedOn w:val="TextocomentarioCar"/>
    <w:link w:val="Asuntodelcomentario"/>
    <w:uiPriority w:val="99"/>
    <w:semiHidden/>
    <w:rsid w:val="00DD3396"/>
    <w:rPr>
      <w:rFonts w:ascii="Times New Roman" w:eastAsia="Times New Roman" w:hAnsi="Times New Roman" w:cs="Times New Roman"/>
      <w:b/>
      <w:bCs/>
      <w:sz w:val="20"/>
      <w:szCs w:val="20"/>
      <w:lang w:eastAsia="es-MX"/>
    </w:rPr>
  </w:style>
  <w:style w:type="paragraph" w:customStyle="1" w:styleId="Normal11pt">
    <w:name w:val="Normal + 11 pt"/>
    <w:aliases w:val="Negro,Justificado,Izquierda:  -0,95 cm,Derecha:  0,04 cm"/>
    <w:basedOn w:val="Normal"/>
    <w:uiPriority w:val="99"/>
    <w:rsid w:val="00862E0E"/>
    <w:pPr>
      <w:ind w:left="-540"/>
      <w:jc w:val="both"/>
    </w:pPr>
    <w:rPr>
      <w:rFonts w:ascii="Arial" w:hAnsi="Arial" w:cs="Arial"/>
      <w:color w:val="000000"/>
      <w:sz w:val="22"/>
      <w:szCs w:val="22"/>
      <w:lang w:val="es-ES_tradnl" w:eastAsia="es-ES"/>
    </w:rPr>
  </w:style>
  <w:style w:type="character" w:customStyle="1" w:styleId="normaltextrun">
    <w:name w:val="normaltextrun"/>
    <w:basedOn w:val="Fuentedeprrafopredeter"/>
    <w:rsid w:val="00F60B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500645">
      <w:bodyDiv w:val="1"/>
      <w:marLeft w:val="0"/>
      <w:marRight w:val="0"/>
      <w:marTop w:val="0"/>
      <w:marBottom w:val="0"/>
      <w:divBdr>
        <w:top w:val="none" w:sz="0" w:space="0" w:color="auto"/>
        <w:left w:val="none" w:sz="0" w:space="0" w:color="auto"/>
        <w:bottom w:val="none" w:sz="0" w:space="0" w:color="auto"/>
        <w:right w:val="none" w:sz="0" w:space="0" w:color="auto"/>
      </w:divBdr>
      <w:divsChild>
        <w:div w:id="802847870">
          <w:marLeft w:val="0"/>
          <w:marRight w:val="0"/>
          <w:marTop w:val="0"/>
          <w:marBottom w:val="0"/>
          <w:divBdr>
            <w:top w:val="none" w:sz="0" w:space="0" w:color="auto"/>
            <w:left w:val="none" w:sz="0" w:space="0" w:color="auto"/>
            <w:bottom w:val="none" w:sz="0" w:space="0" w:color="auto"/>
            <w:right w:val="none" w:sz="0" w:space="0" w:color="auto"/>
          </w:divBdr>
        </w:div>
      </w:divsChild>
    </w:div>
    <w:div w:id="1211695224">
      <w:bodyDiv w:val="1"/>
      <w:marLeft w:val="0"/>
      <w:marRight w:val="0"/>
      <w:marTop w:val="0"/>
      <w:marBottom w:val="0"/>
      <w:divBdr>
        <w:top w:val="none" w:sz="0" w:space="0" w:color="auto"/>
        <w:left w:val="none" w:sz="0" w:space="0" w:color="auto"/>
        <w:bottom w:val="none" w:sz="0" w:space="0" w:color="auto"/>
        <w:right w:val="none" w:sz="0" w:space="0" w:color="auto"/>
      </w:divBdr>
      <w:divsChild>
        <w:div w:id="10331109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2" Type="http://schemas.openxmlformats.org/officeDocument/2006/relationships/hyperlink" Target="https://www.invias.gov.co/index.php/servicios-al-ciudadano/glosario/130-glosario-manual-diseno-geometrico-carreteras" TargetMode="External"/><Relationship Id="rId1" Type="http://schemas.openxmlformats.org/officeDocument/2006/relationships/hyperlink" Target="https://dle.rae.es/rocer%C3%AD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D9D0C3-A3AE-4354-8C6C-B5F31A9A1F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713283-4C68-4454-AE47-7627CD932802}">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4C047DF1-58C4-43A0-80B3-17C61C02C992}">
  <ds:schemaRefs>
    <ds:schemaRef ds:uri="http://schemas.openxmlformats.org/officeDocument/2006/bibliography"/>
  </ds:schemaRefs>
</ds:datastoreItem>
</file>

<file path=customXml/itemProps4.xml><?xml version="1.0" encoding="utf-8"?>
<ds:datastoreItem xmlns:ds="http://schemas.openxmlformats.org/officeDocument/2006/customXml" ds:itemID="{BC333C0B-69F4-40A9-9DE1-BA272DAB4F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6610</Words>
  <Characters>36357</Characters>
  <Application>Microsoft Office Word</Application>
  <DocSecurity>0</DocSecurity>
  <Lines>302</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Colombia Compra Eficiente</dc:creator>
  <cp:keywords/>
  <dc:description/>
  <cp:lastModifiedBy>Martin Rojas Mejia</cp:lastModifiedBy>
  <cp:revision>5</cp:revision>
  <dcterms:created xsi:type="dcterms:W3CDTF">2022-06-08T17:13:00Z</dcterms:created>
  <dcterms:modified xsi:type="dcterms:W3CDTF">2022-08-01T17:22:00Z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