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CAC71" w14:textId="5282EFA7" w:rsidR="002415B8" w:rsidRPr="00B9642A" w:rsidRDefault="00B55C69" w:rsidP="001A4314">
      <w:pPr>
        <w:jc w:val="right"/>
        <w:rPr>
          <w:rFonts w:ascii="Arial" w:eastAsia="Calibri" w:hAnsi="Arial" w:cs="Arial"/>
          <w:b/>
          <w:sz w:val="20"/>
          <w:szCs w:val="20"/>
          <w:lang w:val="es-ES_tradnl"/>
        </w:rPr>
      </w:pPr>
      <w:bookmarkStart w:id="0" w:name="_Hlk28946138"/>
      <w:bookmarkStart w:id="1" w:name="_Hlk29548183"/>
      <w:r w:rsidRPr="00B9642A">
        <w:rPr>
          <w:rFonts w:ascii="Arial" w:hAnsi="Arial" w:cs="Arial"/>
          <w:bCs/>
          <w:sz w:val="16"/>
          <w:szCs w:val="16"/>
          <w:lang w:val="es-ES_tradnl" w:eastAsia="es-ES"/>
        </w:rPr>
        <w:t>CCE-DES-FM-17</w:t>
      </w:r>
      <w:bookmarkEnd w:id="0"/>
      <w:bookmarkEnd w:id="1"/>
    </w:p>
    <w:p w14:paraId="55FBD910" w14:textId="77777777" w:rsidR="008536BB" w:rsidRPr="00B9642A" w:rsidRDefault="008536BB" w:rsidP="00B95C30">
      <w:pPr>
        <w:spacing w:line="276" w:lineRule="auto"/>
        <w:jc w:val="both"/>
        <w:rPr>
          <w:rFonts w:ascii="Arial" w:hAnsi="Arial" w:cs="Arial"/>
          <w:noProof/>
          <w:sz w:val="22"/>
          <w:lang w:val="es-ES_tradnl"/>
        </w:rPr>
      </w:pPr>
    </w:p>
    <w:p w14:paraId="6A9E6ADF" w14:textId="169A7A08" w:rsidR="00EC224E" w:rsidRPr="00B9642A" w:rsidRDefault="00EC224E" w:rsidP="00EC224E">
      <w:pPr>
        <w:jc w:val="both"/>
        <w:rPr>
          <w:rFonts w:ascii="Arial" w:eastAsia="Calibri" w:hAnsi="Arial" w:cs="Arial"/>
          <w:b/>
          <w:sz w:val="22"/>
          <w:lang w:val="es-ES_tradnl"/>
        </w:rPr>
      </w:pPr>
      <w:bookmarkStart w:id="2" w:name="_Hlk106976282"/>
      <w:r w:rsidRPr="00B9642A">
        <w:rPr>
          <w:rFonts w:ascii="Arial" w:eastAsia="Calibri" w:hAnsi="Arial" w:cs="Arial"/>
          <w:b/>
          <w:sz w:val="22"/>
          <w:lang w:val="es-ES_tradnl"/>
        </w:rPr>
        <w:t xml:space="preserve">LEY DE EMPRENDIMIENTO – Ley </w:t>
      </w:r>
      <w:r w:rsidR="001F0325" w:rsidRPr="00B9642A">
        <w:rPr>
          <w:rFonts w:ascii="Arial" w:eastAsia="Calibri" w:hAnsi="Arial" w:cs="Arial"/>
          <w:b/>
          <w:sz w:val="22"/>
          <w:lang w:val="es-ES_tradnl"/>
        </w:rPr>
        <w:t>2069</w:t>
      </w:r>
      <w:r w:rsidRPr="00B9642A">
        <w:rPr>
          <w:rFonts w:ascii="Arial" w:eastAsia="Calibri" w:hAnsi="Arial" w:cs="Arial"/>
          <w:b/>
          <w:sz w:val="22"/>
          <w:lang w:val="es-ES_tradnl"/>
        </w:rPr>
        <w:t xml:space="preserve"> de 2020 – Vigencia </w:t>
      </w:r>
    </w:p>
    <w:p w14:paraId="5A76D430" w14:textId="77777777" w:rsidR="00EC224E" w:rsidRPr="00B9642A" w:rsidRDefault="00EC224E" w:rsidP="00EC224E">
      <w:pPr>
        <w:jc w:val="both"/>
        <w:rPr>
          <w:rFonts w:ascii="Arial" w:eastAsia="Calibri" w:hAnsi="Arial" w:cs="Arial"/>
          <w:b/>
          <w:sz w:val="22"/>
          <w:lang w:val="es-ES_tradnl"/>
        </w:rPr>
      </w:pPr>
    </w:p>
    <w:p w14:paraId="3D4656DC" w14:textId="68DD45B6" w:rsidR="003A457D" w:rsidRDefault="003A457D" w:rsidP="003A457D">
      <w:pPr>
        <w:jc w:val="both"/>
        <w:rPr>
          <w:rFonts w:ascii="Arial" w:eastAsia="Calibri" w:hAnsi="Arial" w:cs="Arial"/>
          <w:sz w:val="20"/>
          <w:szCs w:val="20"/>
          <w:lang w:val="es-ES_tradnl"/>
        </w:rPr>
      </w:pPr>
      <w:r w:rsidRPr="003A457D">
        <w:rPr>
          <w:rFonts w:ascii="Arial" w:eastAsia="Calibri" w:hAnsi="Arial" w:cs="Arial"/>
          <w:sz w:val="20"/>
          <w:szCs w:val="20"/>
          <w:lang w:val="es-ES_tradnl"/>
        </w:rPr>
        <w:t>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expidiera el decreto correspondiente que permitiera la cumplida ejecución de esta Ley, como, efectivamente, sucedió, según se indica más adelante.</w:t>
      </w:r>
    </w:p>
    <w:p w14:paraId="0BC85706" w14:textId="77777777" w:rsidR="003A457D" w:rsidRPr="003A457D" w:rsidRDefault="003A457D" w:rsidP="003A457D">
      <w:pPr>
        <w:jc w:val="both"/>
        <w:rPr>
          <w:rFonts w:ascii="Arial" w:eastAsia="Calibri" w:hAnsi="Arial" w:cs="Arial"/>
          <w:sz w:val="20"/>
          <w:szCs w:val="20"/>
          <w:lang w:val="es-ES_tradnl"/>
        </w:rPr>
      </w:pPr>
    </w:p>
    <w:p w14:paraId="6278A885" w14:textId="7017F84A" w:rsidR="004D0CA6" w:rsidRPr="001572B7" w:rsidRDefault="003A457D" w:rsidP="003A457D">
      <w:pPr>
        <w:jc w:val="both"/>
        <w:rPr>
          <w:rFonts w:ascii="Arial" w:eastAsia="Calibri" w:hAnsi="Arial" w:cs="Arial"/>
          <w:sz w:val="20"/>
          <w:szCs w:val="20"/>
          <w:lang w:val="es-ES_tradnl"/>
        </w:rPr>
      </w:pPr>
      <w:r w:rsidRPr="003A457D">
        <w:rPr>
          <w:rFonts w:ascii="Arial" w:eastAsia="Calibri" w:hAnsi="Arial" w:cs="Arial"/>
          <w:sz w:val="20"/>
          <w:szCs w:val="20"/>
          <w:lang w:val="es-ES_tradnl"/>
        </w:rPr>
        <w:t>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También se consagran mecanismos de acceso al financiamiento, se unifican las fuentes de emprendimiento y de desarrollo empresarial, para fortalecer y promover los distintos sectores de la economía y se prevén medidas de educación para el emprendimiento y la innovación.</w:t>
      </w:r>
    </w:p>
    <w:p w14:paraId="19641C5C" w14:textId="77777777" w:rsidR="00EC224E" w:rsidRPr="00B9642A" w:rsidRDefault="00EC224E" w:rsidP="00EC224E">
      <w:pPr>
        <w:jc w:val="both"/>
        <w:rPr>
          <w:rFonts w:ascii="Arial" w:eastAsia="Calibri" w:hAnsi="Arial" w:cs="Arial"/>
          <w:sz w:val="20"/>
          <w:szCs w:val="20"/>
          <w:lang w:val="es-ES_tradnl"/>
        </w:rPr>
      </w:pPr>
    </w:p>
    <w:p w14:paraId="30A0AA2C" w14:textId="07FC9555" w:rsidR="00EC224E" w:rsidRPr="00B9642A" w:rsidRDefault="00EC224E" w:rsidP="00EC224E">
      <w:pPr>
        <w:jc w:val="both"/>
        <w:rPr>
          <w:rFonts w:ascii="Arial" w:eastAsia="Calibri" w:hAnsi="Arial" w:cs="Arial"/>
          <w:b/>
          <w:sz w:val="22"/>
          <w:lang w:val="es-ES_tradnl"/>
        </w:rPr>
      </w:pPr>
      <w:r w:rsidRPr="00B9642A">
        <w:rPr>
          <w:rFonts w:ascii="Arial" w:eastAsia="Calibri" w:hAnsi="Arial" w:cs="Arial"/>
          <w:b/>
          <w:sz w:val="22"/>
          <w:lang w:val="es-ES_tradnl"/>
        </w:rPr>
        <w:t>MIPYMES</w:t>
      </w:r>
      <w:r w:rsidR="008459C5">
        <w:rPr>
          <w:rFonts w:ascii="Arial" w:eastAsia="Calibri" w:hAnsi="Arial" w:cs="Arial"/>
          <w:b/>
          <w:sz w:val="22"/>
          <w:lang w:val="es-ES_tradnl"/>
        </w:rPr>
        <w:t xml:space="preserve"> </w:t>
      </w:r>
      <w:r w:rsidRPr="00B9642A">
        <w:rPr>
          <w:rFonts w:ascii="Arial" w:eastAsia="Calibri" w:hAnsi="Arial" w:cs="Arial"/>
          <w:b/>
          <w:sz w:val="22"/>
          <w:lang w:val="es-ES_tradnl"/>
        </w:rPr>
        <w:t xml:space="preserve">– Artículo 34 </w:t>
      </w:r>
      <w:r w:rsidR="008459C5">
        <w:rPr>
          <w:rFonts w:ascii="Arial" w:eastAsia="Calibri" w:hAnsi="Arial" w:cs="Arial"/>
          <w:b/>
          <w:sz w:val="22"/>
          <w:lang w:val="es-ES_tradnl"/>
        </w:rPr>
        <w:t xml:space="preserve">de la Ley 2069 de 2020 </w:t>
      </w:r>
      <w:r w:rsidRPr="00B9642A">
        <w:rPr>
          <w:rFonts w:ascii="Arial" w:eastAsia="Calibri" w:hAnsi="Arial" w:cs="Arial"/>
          <w:b/>
          <w:sz w:val="22"/>
          <w:lang w:val="es-ES_tradnl"/>
        </w:rPr>
        <w:t xml:space="preserve">– </w:t>
      </w:r>
      <w:r w:rsidR="005A4ED5">
        <w:rPr>
          <w:rFonts w:ascii="Arial" w:eastAsia="Calibri" w:hAnsi="Arial" w:cs="Arial"/>
          <w:b/>
          <w:sz w:val="22"/>
          <w:lang w:val="es-ES_tradnl"/>
        </w:rPr>
        <w:t>A</w:t>
      </w:r>
      <w:r w:rsidR="008459C5">
        <w:rPr>
          <w:rFonts w:ascii="Arial" w:eastAsia="Calibri" w:hAnsi="Arial" w:cs="Arial"/>
          <w:b/>
          <w:sz w:val="22"/>
          <w:lang w:val="es-ES_tradnl"/>
        </w:rPr>
        <w:t xml:space="preserve">rtículo 5 del Decreto 1860 de 2021 </w:t>
      </w:r>
      <w:r w:rsidRPr="00B9642A">
        <w:rPr>
          <w:rFonts w:ascii="Arial" w:eastAsia="Calibri" w:hAnsi="Arial" w:cs="Arial"/>
          <w:b/>
          <w:sz w:val="22"/>
          <w:lang w:val="es-ES_tradnl"/>
        </w:rPr>
        <w:t>Convocatorias limitadas</w:t>
      </w:r>
      <w:r w:rsidR="008459C5">
        <w:rPr>
          <w:rFonts w:ascii="Arial" w:eastAsia="Calibri" w:hAnsi="Arial" w:cs="Arial"/>
          <w:b/>
          <w:sz w:val="22"/>
          <w:lang w:val="es-ES_tradnl"/>
        </w:rPr>
        <w:t xml:space="preserve"> territorialmente </w:t>
      </w:r>
      <w:r w:rsidR="00F40574">
        <w:rPr>
          <w:rFonts w:ascii="Arial" w:eastAsia="Calibri" w:hAnsi="Arial" w:cs="Arial"/>
          <w:b/>
          <w:sz w:val="22"/>
          <w:lang w:val="es-ES_tradnl"/>
        </w:rPr>
        <w:t>–</w:t>
      </w:r>
      <w:r w:rsidR="008459C5">
        <w:rPr>
          <w:rFonts w:ascii="Arial" w:eastAsia="Calibri" w:hAnsi="Arial" w:cs="Arial"/>
          <w:b/>
          <w:sz w:val="22"/>
          <w:lang w:val="es-ES_tradnl"/>
        </w:rPr>
        <w:t xml:space="preserve"> Vigencia</w:t>
      </w:r>
      <w:r w:rsidRPr="00B9642A">
        <w:rPr>
          <w:rFonts w:ascii="Arial" w:eastAsia="Calibri" w:hAnsi="Arial" w:cs="Arial"/>
          <w:b/>
          <w:sz w:val="22"/>
          <w:lang w:val="es-ES_tradnl"/>
        </w:rPr>
        <w:t xml:space="preserve"> </w:t>
      </w:r>
    </w:p>
    <w:p w14:paraId="1EAD2F08" w14:textId="77777777" w:rsidR="00EC224E" w:rsidRPr="00B9642A" w:rsidRDefault="00EC224E" w:rsidP="00EC224E">
      <w:pPr>
        <w:jc w:val="both"/>
        <w:rPr>
          <w:rFonts w:ascii="Arial" w:eastAsia="Calibri" w:hAnsi="Arial" w:cs="Arial"/>
          <w:sz w:val="20"/>
          <w:szCs w:val="20"/>
          <w:lang w:val="es-ES_tradnl"/>
        </w:rPr>
      </w:pPr>
    </w:p>
    <w:p w14:paraId="07E109D3" w14:textId="7188197C" w:rsidR="00EC224E" w:rsidRDefault="003A457D" w:rsidP="003A457D">
      <w:pPr>
        <w:jc w:val="both"/>
        <w:rPr>
          <w:rFonts w:ascii="Arial" w:eastAsia="Calibri" w:hAnsi="Arial" w:cs="Arial"/>
          <w:sz w:val="20"/>
          <w:szCs w:val="20"/>
          <w:lang w:val="es-ES_tradnl"/>
        </w:rPr>
      </w:pPr>
      <w:r w:rsidRPr="003A457D">
        <w:rPr>
          <w:rFonts w:ascii="Arial" w:eastAsia="Calibri" w:hAnsi="Arial" w:cs="Arial"/>
          <w:sz w:val="20"/>
          <w:szCs w:val="20"/>
          <w:lang w:val="es-ES_tradnl"/>
        </w:rPr>
        <w:t>Luego de explicar las reglas incluidas en la nueva regulación de la promoción del desarrollo en la contratación estatal, previstas en el artículo 34 de la Ley 2069 de 2020, y habiendo aclarado que dicha norma modificó el artículo 12 de la Ley 1150 de 2007, conviene preguntarse qué sucedió con la vigencia del artículo 2.2.1.2.4.2.2. del Decreto 1082 de 2015, que, hasta la expedición de la Ley 2069 de 2020, regía las convocatorias limitadas a mipymes. En opinión de esta Agencia, dicho artículo del Decreto reglamentario perdió vigencia, porque su contenido era contrario al del artículo 34 de la Ley 2069 de 2020. En tal sentido, operó la pérdida de fuerza ejecutoria, de conformidad con el artículo 91, numeral 2, de la Ley 1437 de 2011, que establece que los actos administrativos –categoría que, como es sabido, incluye los decretos reglamentarios– dejan de ser obligatorios o decaen «Cuando desaparezcan sus fundamentos de hecho o de derecho».</w:t>
      </w:r>
    </w:p>
    <w:p w14:paraId="0D468E14" w14:textId="66C55B9F" w:rsidR="003A457D" w:rsidRPr="003A457D" w:rsidRDefault="003A457D" w:rsidP="003A457D">
      <w:pPr>
        <w:jc w:val="both"/>
        <w:rPr>
          <w:rFonts w:ascii="Arial" w:eastAsia="Calibri" w:hAnsi="Arial" w:cs="Arial"/>
          <w:bCs/>
          <w:sz w:val="18"/>
          <w:szCs w:val="18"/>
          <w:lang w:val="es-ES_tradnl"/>
        </w:rPr>
      </w:pPr>
    </w:p>
    <w:p w14:paraId="3C58D21B" w14:textId="5C0F9CC3" w:rsidR="003A457D" w:rsidRPr="003A457D" w:rsidRDefault="003A457D" w:rsidP="003A457D">
      <w:pPr>
        <w:jc w:val="both"/>
        <w:rPr>
          <w:rFonts w:ascii="Arial" w:eastAsia="Calibri" w:hAnsi="Arial" w:cs="Arial"/>
          <w:bCs/>
          <w:sz w:val="20"/>
          <w:szCs w:val="20"/>
          <w:lang w:val="es-ES_tradnl"/>
        </w:rPr>
      </w:pPr>
      <w:r w:rsidRPr="003A457D">
        <w:rPr>
          <w:rFonts w:ascii="Arial" w:eastAsia="Calibri" w:hAnsi="Arial" w:cs="Arial"/>
          <w:bCs/>
          <w:sz w:val="20"/>
          <w:szCs w:val="20"/>
          <w:lang w:val="es-ES_tradnl"/>
        </w:rPr>
        <w:t>Lo anterior quedó reafirmado con la expedición del Decreto 1860 de 24 de diciembre de 2021, reglamento que modificó, entre otros aspectos, la Subsección 5 de la Sección 1 del Capítulo 2 del Título 1 de la Parte 2 del Libro 2 y los artículos 2.2.1.2.4.2.2. y 2.2.1.2.4.2.3. y siguientes del Decreto 1082 de 2015, Único Reglamentario del Sector Administrativo de Planeación Nacional. Esta modificación entró a regir a partir del 24 de marzo de 2022, pues el artículo 8 de la nueva norma reglamentaria sometió la vigencia de los cambios al transcurso del periodo de 3 meses siguientes a la expedición del decreto.</w:t>
      </w:r>
    </w:p>
    <w:p w14:paraId="6247A6F0" w14:textId="13D8C442" w:rsidR="00365AE5" w:rsidRPr="00B9642A" w:rsidRDefault="00365AE5" w:rsidP="00C978D4">
      <w:pPr>
        <w:jc w:val="both"/>
        <w:rPr>
          <w:rFonts w:ascii="Arial" w:eastAsia="Calibri" w:hAnsi="Arial" w:cs="Arial"/>
          <w:b/>
          <w:sz w:val="22"/>
          <w:lang w:val="es-ES_tradnl"/>
        </w:rPr>
      </w:pPr>
    </w:p>
    <w:p w14:paraId="01047B94" w14:textId="3B75FFD1" w:rsidR="0000433C" w:rsidRPr="00342184" w:rsidRDefault="0000433C" w:rsidP="0000433C">
      <w:pPr>
        <w:jc w:val="both"/>
        <w:rPr>
          <w:rFonts w:ascii="Arial" w:eastAsia="Arial" w:hAnsi="Arial" w:cs="Arial"/>
          <w:b/>
          <w:color w:val="000000"/>
          <w:sz w:val="22"/>
          <w:szCs w:val="22"/>
        </w:rPr>
      </w:pPr>
      <w:r w:rsidRPr="00342184">
        <w:rPr>
          <w:rFonts w:ascii="Arial" w:eastAsia="Arial" w:hAnsi="Arial" w:cs="Arial"/>
          <w:b/>
          <w:color w:val="000000"/>
          <w:sz w:val="22"/>
          <w:szCs w:val="22"/>
        </w:rPr>
        <w:t xml:space="preserve">MIPYMES NACIONALES – Inexistencia </w:t>
      </w:r>
      <w:r>
        <w:rPr>
          <w:rFonts w:ascii="Arial" w:hAnsi="Arial" w:cs="Arial"/>
          <w:b/>
          <w:sz w:val="22"/>
        </w:rPr>
        <w:t xml:space="preserve">– </w:t>
      </w:r>
      <w:r w:rsidRPr="00342184">
        <w:rPr>
          <w:rFonts w:ascii="Arial" w:eastAsia="Arial" w:hAnsi="Arial" w:cs="Arial"/>
          <w:b/>
          <w:color w:val="000000"/>
          <w:sz w:val="22"/>
          <w:szCs w:val="22"/>
        </w:rPr>
        <w:t>Mipymes del orden territorial</w:t>
      </w:r>
      <w:r w:rsidR="003A457D">
        <w:rPr>
          <w:rFonts w:ascii="Arial" w:eastAsia="Arial" w:hAnsi="Arial" w:cs="Arial"/>
          <w:b/>
          <w:color w:val="000000"/>
          <w:sz w:val="22"/>
          <w:szCs w:val="22"/>
        </w:rPr>
        <w:t xml:space="preserve"> – Domicilio</w:t>
      </w:r>
    </w:p>
    <w:p w14:paraId="240589A6" w14:textId="77777777" w:rsidR="0000433C" w:rsidRPr="00342184" w:rsidRDefault="0000433C" w:rsidP="0000433C">
      <w:pPr>
        <w:jc w:val="both"/>
        <w:rPr>
          <w:rFonts w:ascii="Arial" w:eastAsia="Arial" w:hAnsi="Arial" w:cs="Arial"/>
          <w:b/>
          <w:color w:val="000000"/>
          <w:sz w:val="21"/>
          <w:szCs w:val="21"/>
        </w:rPr>
      </w:pPr>
    </w:p>
    <w:p w14:paraId="5F39FD12" w14:textId="19213626" w:rsidR="003A457D" w:rsidRDefault="0000433C" w:rsidP="003A457D">
      <w:pPr>
        <w:jc w:val="both"/>
        <w:rPr>
          <w:rFonts w:ascii="Arial" w:eastAsia="Arial" w:hAnsi="Arial" w:cs="Arial"/>
          <w:color w:val="000000"/>
          <w:sz w:val="20"/>
          <w:szCs w:val="20"/>
        </w:rPr>
      </w:pPr>
      <w:r w:rsidRPr="00342184">
        <w:rPr>
          <w:rFonts w:ascii="Arial" w:eastAsia="Arial" w:hAnsi="Arial" w:cs="Arial"/>
          <w:color w:val="000000"/>
          <w:sz w:val="20"/>
          <w:szCs w:val="20"/>
        </w:rPr>
        <w:t xml:space="preserve">Los </w:t>
      </w:r>
      <w:r w:rsidR="003A457D" w:rsidRPr="003A457D">
        <w:rPr>
          <w:rFonts w:ascii="Arial" w:eastAsia="Arial" w:hAnsi="Arial" w:cs="Arial"/>
          <w:color w:val="000000"/>
          <w:sz w:val="20"/>
          <w:szCs w:val="20"/>
        </w:rPr>
        <w:t xml:space="preserve">Es de resaltar que estas normas se refieren a las Mipymes nacionales genéricamente y, particularmente, a las Mipymes nacionales «domiciliadas en los departamentos o municipios en </w:t>
      </w:r>
      <w:r w:rsidR="003A457D" w:rsidRPr="003A457D">
        <w:rPr>
          <w:rFonts w:ascii="Arial" w:eastAsia="Arial" w:hAnsi="Arial" w:cs="Arial"/>
          <w:color w:val="000000"/>
          <w:sz w:val="20"/>
          <w:szCs w:val="20"/>
        </w:rPr>
        <w:lastRenderedPageBreak/>
        <w:t>donde se va a ejecutar el contrato». En ambos casos se refiere a Mipymes nacionales, distinguiéndolas de las empresas extranjeras. Del artículo 2.2.1.2.4.2.3. del Decreto 1082 de 2015 no se deriva que existan Mipymes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Mipyme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Mipymes domiciliadas en un municipio o departamento son Mipymes nacionales. En consecuencia, no es procedente distinguir entre Mipymes nacionales y Mipymes municipales o departamentales, habida cuenta que estas últimas no existen como categoría dentro del ordenamiento normativo.</w:t>
      </w:r>
    </w:p>
    <w:p w14:paraId="2A271B1C" w14:textId="77777777" w:rsidR="003A457D" w:rsidRPr="003A457D" w:rsidRDefault="003A457D" w:rsidP="003A457D">
      <w:pPr>
        <w:jc w:val="both"/>
        <w:rPr>
          <w:rFonts w:ascii="Arial" w:eastAsia="Arial" w:hAnsi="Arial" w:cs="Arial"/>
          <w:color w:val="000000"/>
          <w:sz w:val="20"/>
          <w:szCs w:val="20"/>
        </w:rPr>
      </w:pPr>
    </w:p>
    <w:p w14:paraId="037E7795" w14:textId="4EAE8B42" w:rsidR="0000433C" w:rsidRPr="00342184" w:rsidRDefault="003A457D" w:rsidP="003A457D">
      <w:pPr>
        <w:jc w:val="both"/>
        <w:rPr>
          <w:rFonts w:ascii="Arial" w:eastAsia="Arial" w:hAnsi="Arial" w:cs="Arial"/>
          <w:color w:val="000000"/>
          <w:sz w:val="20"/>
          <w:szCs w:val="20"/>
        </w:rPr>
      </w:pPr>
      <w:r w:rsidRPr="003A457D">
        <w:rPr>
          <w:rFonts w:ascii="Arial" w:eastAsia="Arial" w:hAnsi="Arial" w:cs="Arial"/>
          <w:color w:val="000000"/>
          <w:sz w:val="20"/>
          <w:szCs w:val="20"/>
        </w:rPr>
        <w:t>Igualmente, se debe precisar que el artículo 2.2.1.2.4.2.3. del Decreto 1082 de 2015 se refiere a las «Mipyme nacionales domiciliadas en los departamentos o municipios en donde se va a ejecutar el contrato» «cursivas propias», esto es, al «domicilio» y no a las «sucursales». Esta distinción es importante porque el beneficio normativo únicamente aplica en el lugar en el que la Mipyme tiene su «domicilio», y no en donde tiene sucursales.</w:t>
      </w:r>
    </w:p>
    <w:p w14:paraId="1AA02578" w14:textId="77777777" w:rsidR="0000433C" w:rsidRPr="003A457D" w:rsidRDefault="0000433C" w:rsidP="0000433C">
      <w:pPr>
        <w:jc w:val="both"/>
        <w:rPr>
          <w:rFonts w:ascii="Arial" w:eastAsia="Arial" w:hAnsi="Arial" w:cs="Arial"/>
          <w:color w:val="000000"/>
          <w:sz w:val="22"/>
          <w:szCs w:val="22"/>
        </w:rPr>
      </w:pPr>
    </w:p>
    <w:p w14:paraId="7F48713C" w14:textId="552A36BD" w:rsidR="0000433C" w:rsidRPr="00342184" w:rsidRDefault="0000433C" w:rsidP="0000433C">
      <w:pPr>
        <w:jc w:val="both"/>
        <w:rPr>
          <w:rFonts w:ascii="Arial" w:eastAsia="Arial" w:hAnsi="Arial" w:cs="Arial"/>
          <w:b/>
          <w:color w:val="000000"/>
          <w:sz w:val="22"/>
          <w:szCs w:val="22"/>
        </w:rPr>
      </w:pPr>
      <w:r w:rsidRPr="00342184">
        <w:rPr>
          <w:rFonts w:ascii="Arial" w:eastAsia="Arial" w:hAnsi="Arial" w:cs="Arial"/>
          <w:b/>
          <w:color w:val="000000"/>
          <w:sz w:val="22"/>
          <w:szCs w:val="22"/>
        </w:rPr>
        <w:t>CONVOCATORIAS LIMITADAS A MIPYMES NACIONALES –</w:t>
      </w:r>
      <w:r w:rsidR="005A4ED5">
        <w:rPr>
          <w:rFonts w:ascii="Arial" w:eastAsia="Arial" w:hAnsi="Arial" w:cs="Arial"/>
          <w:b/>
          <w:color w:val="000000"/>
          <w:sz w:val="22"/>
          <w:szCs w:val="22"/>
        </w:rPr>
        <w:t xml:space="preserve"> Limitación territorial – </w:t>
      </w:r>
      <w:r w:rsidRPr="00342184">
        <w:rPr>
          <w:rFonts w:ascii="Arial" w:eastAsia="Arial" w:hAnsi="Arial" w:cs="Arial"/>
          <w:b/>
          <w:color w:val="000000"/>
          <w:sz w:val="22"/>
          <w:szCs w:val="22"/>
        </w:rPr>
        <w:t>Procedencia</w:t>
      </w:r>
    </w:p>
    <w:p w14:paraId="192D19D6" w14:textId="77777777" w:rsidR="0000433C" w:rsidRPr="00342184" w:rsidRDefault="0000433C" w:rsidP="0000433C">
      <w:pPr>
        <w:jc w:val="both"/>
        <w:rPr>
          <w:rFonts w:ascii="Arial" w:eastAsia="Arial" w:hAnsi="Arial" w:cs="Arial"/>
          <w:b/>
          <w:color w:val="000000"/>
          <w:sz w:val="21"/>
          <w:szCs w:val="21"/>
        </w:rPr>
      </w:pPr>
    </w:p>
    <w:p w14:paraId="19F1249F" w14:textId="1BE3D240" w:rsidR="005A4ED5" w:rsidRDefault="005A4ED5" w:rsidP="005A4ED5">
      <w:pPr>
        <w:jc w:val="both"/>
        <w:rPr>
          <w:rFonts w:ascii="Arial" w:eastAsia="Arial" w:hAnsi="Arial" w:cs="Arial"/>
          <w:color w:val="000000"/>
          <w:sz w:val="20"/>
          <w:szCs w:val="20"/>
        </w:rPr>
      </w:pPr>
      <w:r w:rsidRPr="005A4ED5">
        <w:rPr>
          <w:rFonts w:ascii="Arial" w:eastAsia="Arial" w:hAnsi="Arial" w:cs="Arial"/>
          <w:color w:val="000000"/>
          <w:sz w:val="20"/>
          <w:szCs w:val="20"/>
        </w:rPr>
        <w:t>Cumplidos los dos requisitos anteriores</w:t>
      </w:r>
      <w:r>
        <w:rPr>
          <w:rFonts w:ascii="Arial" w:eastAsia="Arial" w:hAnsi="Arial" w:cs="Arial"/>
          <w:color w:val="000000"/>
          <w:sz w:val="20"/>
          <w:szCs w:val="20"/>
        </w:rPr>
        <w:t xml:space="preserve">, </w:t>
      </w:r>
      <w:r w:rsidRPr="005A4ED5">
        <w:rPr>
          <w:rFonts w:ascii="Arial" w:eastAsia="Arial" w:hAnsi="Arial" w:cs="Arial"/>
          <w:color w:val="000000"/>
          <w:sz w:val="20"/>
          <w:szCs w:val="20"/>
        </w:rPr>
        <w:t>el artículo 2.2.1.2.4.2.3. del Decreto 1082 de 2015, faculta a las entidades estatales para decidir si limitan la convocatoria a las Mipyme nacionales domiciliadas en el municipio o departamento en el que se ejecutará el contrato. Para el efecto, deberán justificar dicha decisión, acudiendo a criterios técnicos y económicos, explicando concretamente las razones que justifican tal determinación.</w:t>
      </w:r>
    </w:p>
    <w:p w14:paraId="65B386C9" w14:textId="77777777" w:rsidR="005A4ED5" w:rsidRPr="005A4ED5" w:rsidRDefault="005A4ED5" w:rsidP="005A4ED5">
      <w:pPr>
        <w:jc w:val="both"/>
        <w:rPr>
          <w:rFonts w:ascii="Arial" w:eastAsia="Arial" w:hAnsi="Arial" w:cs="Arial"/>
          <w:color w:val="000000"/>
          <w:sz w:val="20"/>
          <w:szCs w:val="20"/>
        </w:rPr>
      </w:pPr>
    </w:p>
    <w:p w14:paraId="5316A5A7" w14:textId="3346CC79" w:rsidR="005A4ED5" w:rsidRDefault="005A4ED5" w:rsidP="005A4ED5">
      <w:pPr>
        <w:jc w:val="both"/>
        <w:rPr>
          <w:rFonts w:ascii="Arial" w:eastAsia="Arial" w:hAnsi="Arial" w:cs="Arial"/>
          <w:color w:val="000000"/>
          <w:sz w:val="20"/>
          <w:szCs w:val="20"/>
        </w:rPr>
      </w:pPr>
      <w:r w:rsidRPr="005A4ED5">
        <w:rPr>
          <w:rFonts w:ascii="Arial" w:eastAsia="Arial" w:hAnsi="Arial" w:cs="Arial"/>
          <w:color w:val="000000"/>
          <w:sz w:val="20"/>
          <w:szCs w:val="20"/>
        </w:rPr>
        <w:t>Esta prerrogativa puede ser ejercida de manera discrecional por parte de las entidades públicas sin que sean necesaria la solicitud de previa de los oferentes que participan del proceso de selección, por cuanto dicha condición resulta necesaria para limitar la convocatoria a Mipyme colombianas.</w:t>
      </w:r>
    </w:p>
    <w:p w14:paraId="3E1F16AC" w14:textId="77777777" w:rsidR="005A4ED5" w:rsidRPr="005A4ED5" w:rsidRDefault="005A4ED5" w:rsidP="005A4ED5">
      <w:pPr>
        <w:jc w:val="both"/>
        <w:rPr>
          <w:rFonts w:ascii="Arial" w:eastAsia="Arial" w:hAnsi="Arial" w:cs="Arial"/>
          <w:color w:val="000000"/>
          <w:sz w:val="20"/>
          <w:szCs w:val="20"/>
        </w:rPr>
      </w:pPr>
    </w:p>
    <w:p w14:paraId="7244F723" w14:textId="26DDD2DC" w:rsidR="0000433C" w:rsidRPr="00342184" w:rsidRDefault="005A4ED5" w:rsidP="005A4ED5">
      <w:pPr>
        <w:jc w:val="both"/>
        <w:rPr>
          <w:rFonts w:ascii="Arial" w:eastAsia="Arial" w:hAnsi="Arial" w:cs="Arial"/>
          <w:color w:val="000000"/>
          <w:sz w:val="20"/>
          <w:szCs w:val="20"/>
        </w:rPr>
      </w:pPr>
      <w:r w:rsidRPr="005A4ED5">
        <w:rPr>
          <w:rFonts w:ascii="Arial" w:eastAsia="Arial" w:hAnsi="Arial" w:cs="Arial"/>
          <w:color w:val="000000"/>
          <w:sz w:val="20"/>
          <w:szCs w:val="20"/>
        </w:rPr>
        <w:t xml:space="preserve">Sin perjuicio de lo anterior, no puede perderse de vista que la decisión de limitar «a Mipyme nacionales domiciliadas en los departamentos o municipios en donde se va a ejecutar el contrato», aunque es facultativa de la entidad, está supeditada a que se verifiquen los requisitos establecidos en los numerales 1 y 2 del artículo 2.2.1.2.4.2.2. del Decreto 1082 de 2015. En ese sentido, si la entidad no recibió las solicitudes para limitar la convocatoria a Mipymes, no puede </w:t>
      </w:r>
      <w:r w:rsidRPr="005A4ED5">
        <w:rPr>
          <w:rFonts w:ascii="Arial" w:eastAsia="Arial" w:hAnsi="Arial" w:cs="Arial"/>
          <w:i/>
          <w:iCs/>
          <w:color w:val="000000"/>
          <w:sz w:val="20"/>
          <w:szCs w:val="20"/>
        </w:rPr>
        <w:t>motu propio</w:t>
      </w:r>
      <w:r w:rsidRPr="005A4ED5">
        <w:rPr>
          <w:rFonts w:ascii="Arial" w:eastAsia="Arial" w:hAnsi="Arial" w:cs="Arial"/>
          <w:color w:val="000000"/>
          <w:sz w:val="20"/>
          <w:szCs w:val="20"/>
        </w:rPr>
        <w:t xml:space="preserve"> hacer la «limitación territorial» de que trata el artículo 2.2.1.2.4.2.3. del Decreto 1082 de 2015, ya que el ejercicio de esta facultad solo puede darse ante «limitación a Mipymes nacionales», lo cual supone la verificación de los supuestos legales establecidos en los mencionados numerales.</w:t>
      </w:r>
    </w:p>
    <w:p w14:paraId="5AC9F618" w14:textId="77777777" w:rsidR="0000433C" w:rsidRPr="00342184" w:rsidRDefault="0000433C" w:rsidP="0000433C">
      <w:pPr>
        <w:jc w:val="both"/>
        <w:rPr>
          <w:rFonts w:ascii="Arial" w:eastAsia="Arial" w:hAnsi="Arial" w:cs="Arial"/>
          <w:b/>
          <w:color w:val="000000"/>
          <w:sz w:val="21"/>
          <w:szCs w:val="21"/>
        </w:rPr>
      </w:pPr>
    </w:p>
    <w:bookmarkEnd w:id="2"/>
    <w:p w14:paraId="6B9BFCBB" w14:textId="77777777" w:rsidR="0000433C" w:rsidRPr="00342184" w:rsidRDefault="0000433C" w:rsidP="0000433C">
      <w:pPr>
        <w:jc w:val="both"/>
        <w:rPr>
          <w:rFonts w:ascii="Arial" w:eastAsia="Arial" w:hAnsi="Arial" w:cs="Arial"/>
          <w:color w:val="000000"/>
          <w:sz w:val="20"/>
          <w:szCs w:val="20"/>
        </w:rPr>
      </w:pPr>
    </w:p>
    <w:p w14:paraId="7F07B173" w14:textId="514DEE67" w:rsidR="009F0084" w:rsidRDefault="009F0084" w:rsidP="00B95C30">
      <w:pPr>
        <w:spacing w:line="276" w:lineRule="auto"/>
        <w:jc w:val="both"/>
        <w:rPr>
          <w:rFonts w:ascii="Arial" w:hAnsi="Arial" w:cs="Arial"/>
          <w:noProof/>
          <w:sz w:val="22"/>
          <w:lang w:val="es-ES_tradnl"/>
        </w:rPr>
      </w:pPr>
    </w:p>
    <w:p w14:paraId="35BFC268" w14:textId="1891D338" w:rsidR="00124CF2" w:rsidRDefault="00124CF2" w:rsidP="00B95C30">
      <w:pPr>
        <w:spacing w:line="276" w:lineRule="auto"/>
        <w:jc w:val="both"/>
        <w:rPr>
          <w:rFonts w:ascii="Arial" w:hAnsi="Arial" w:cs="Arial"/>
          <w:noProof/>
          <w:sz w:val="22"/>
          <w:lang w:val="es-ES_tradnl"/>
        </w:rPr>
      </w:pPr>
    </w:p>
    <w:p w14:paraId="2D60D11A" w14:textId="7642B067" w:rsidR="00124CF2" w:rsidRDefault="00124CF2" w:rsidP="00B95C30">
      <w:pPr>
        <w:spacing w:line="276" w:lineRule="auto"/>
        <w:jc w:val="both"/>
        <w:rPr>
          <w:rFonts w:ascii="Arial" w:hAnsi="Arial" w:cs="Arial"/>
          <w:noProof/>
          <w:sz w:val="22"/>
          <w:lang w:val="es-ES_tradnl"/>
        </w:rPr>
      </w:pPr>
    </w:p>
    <w:p w14:paraId="77765713" w14:textId="77777777" w:rsidR="00124CF2" w:rsidRPr="00B9642A" w:rsidRDefault="00124CF2" w:rsidP="00B95C30">
      <w:pPr>
        <w:spacing w:line="276" w:lineRule="auto"/>
        <w:jc w:val="both"/>
        <w:rPr>
          <w:rFonts w:ascii="Arial" w:hAnsi="Arial" w:cs="Arial"/>
          <w:noProof/>
          <w:sz w:val="22"/>
          <w:lang w:val="es-ES_tradnl"/>
        </w:rPr>
      </w:pPr>
    </w:p>
    <w:p w14:paraId="6C506F5F" w14:textId="64CD903D" w:rsidR="009F0084" w:rsidRPr="00B9642A" w:rsidRDefault="009F0084" w:rsidP="00B95C30">
      <w:pPr>
        <w:spacing w:line="276" w:lineRule="auto"/>
        <w:jc w:val="both"/>
        <w:rPr>
          <w:rFonts w:ascii="Arial" w:hAnsi="Arial" w:cs="Arial"/>
          <w:noProof/>
          <w:sz w:val="22"/>
          <w:lang w:val="es-ES_tradnl"/>
        </w:rPr>
      </w:pPr>
    </w:p>
    <w:p w14:paraId="3D235066" w14:textId="0ED02389" w:rsidR="009F0084" w:rsidRPr="00B9642A" w:rsidRDefault="009F0084" w:rsidP="00B95C30">
      <w:pPr>
        <w:spacing w:line="276" w:lineRule="auto"/>
        <w:jc w:val="both"/>
        <w:rPr>
          <w:rFonts w:ascii="Arial" w:hAnsi="Arial" w:cs="Arial"/>
          <w:noProof/>
          <w:sz w:val="22"/>
          <w:lang w:val="es-ES_tradnl"/>
        </w:rPr>
      </w:pPr>
    </w:p>
    <w:p w14:paraId="61F00760" w14:textId="5057C817" w:rsidR="009F0084" w:rsidRPr="00B9642A" w:rsidRDefault="009F0084" w:rsidP="00B95C30">
      <w:pPr>
        <w:spacing w:line="276" w:lineRule="auto"/>
        <w:jc w:val="both"/>
        <w:rPr>
          <w:rFonts w:ascii="Arial" w:hAnsi="Arial" w:cs="Arial"/>
          <w:noProof/>
          <w:sz w:val="22"/>
          <w:lang w:val="es-ES_tradnl"/>
        </w:rPr>
      </w:pPr>
    </w:p>
    <w:p w14:paraId="54AE6BD3" w14:textId="426B63C8" w:rsidR="009F0084" w:rsidRPr="00B9642A" w:rsidRDefault="009F0084" w:rsidP="00B95C30">
      <w:pPr>
        <w:spacing w:line="276" w:lineRule="auto"/>
        <w:jc w:val="both"/>
        <w:rPr>
          <w:rFonts w:ascii="Arial" w:hAnsi="Arial" w:cs="Arial"/>
          <w:noProof/>
          <w:sz w:val="22"/>
          <w:lang w:val="es-ES_tradnl"/>
        </w:rPr>
      </w:pPr>
    </w:p>
    <w:p w14:paraId="2E9BD15E" w14:textId="77777777" w:rsidR="007C5A67" w:rsidRDefault="007C5A67" w:rsidP="00B95C30">
      <w:pPr>
        <w:jc w:val="both"/>
        <w:rPr>
          <w:rFonts w:ascii="Arial" w:hAnsi="Arial" w:cs="Arial"/>
          <w:noProof/>
          <w:sz w:val="22"/>
          <w:lang w:val="es-ES_tradnl"/>
        </w:rPr>
      </w:pPr>
      <w:bookmarkStart w:id="3" w:name="_Hlk68680938"/>
    </w:p>
    <w:p w14:paraId="5FECEE85" w14:textId="66B23C1D" w:rsidR="00B20B23" w:rsidRDefault="00FC73EB" w:rsidP="00FC73EB">
      <w:pPr>
        <w:jc w:val="right"/>
        <w:rPr>
          <w:rFonts w:ascii="Arial" w:eastAsia="Calibri" w:hAnsi="Arial" w:cs="Arial"/>
          <w:sz w:val="22"/>
          <w:lang w:val="es-ES_tradnl"/>
        </w:rPr>
      </w:pPr>
      <w:r>
        <w:rPr>
          <w:rFonts w:ascii="Arial" w:eastAsia="Calibri" w:hAnsi="Arial" w:cs="Arial"/>
          <w:noProof/>
          <w:sz w:val="22"/>
          <w:lang w:val="es-ES_tradnl"/>
        </w:rPr>
        <w:drawing>
          <wp:inline distT="0" distB="0" distL="0" distR="0" wp14:anchorId="0442C14F" wp14:editId="76D8D010">
            <wp:extent cx="3251494" cy="878094"/>
            <wp:effectExtent l="0" t="0" r="6350" b="0"/>
            <wp:docPr id="5"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exto&#10;&#10;Descripción generada automáticamente"/>
                    <pic:cNvPicPr/>
                  </pic:nvPicPr>
                  <pic:blipFill>
                    <a:blip r:embed="rId11"/>
                    <a:stretch>
                      <a:fillRect/>
                    </a:stretch>
                  </pic:blipFill>
                  <pic:spPr>
                    <a:xfrm>
                      <a:off x="0" y="0"/>
                      <a:ext cx="3282524" cy="886474"/>
                    </a:xfrm>
                    <a:prstGeom prst="rect">
                      <a:avLst/>
                    </a:prstGeom>
                  </pic:spPr>
                </pic:pic>
              </a:graphicData>
            </a:graphic>
          </wp:inline>
        </w:drawing>
      </w:r>
    </w:p>
    <w:p w14:paraId="69A762B0" w14:textId="77777777" w:rsidR="00A6149F" w:rsidRDefault="00A6149F" w:rsidP="00B95C30">
      <w:pPr>
        <w:jc w:val="both"/>
        <w:rPr>
          <w:rFonts w:ascii="Arial" w:eastAsia="Calibri" w:hAnsi="Arial" w:cs="Arial"/>
          <w:sz w:val="22"/>
          <w:lang w:val="es-ES_tradnl"/>
        </w:rPr>
      </w:pPr>
    </w:p>
    <w:p w14:paraId="0D2E0315" w14:textId="77777777" w:rsidR="00B0192B" w:rsidRPr="00B0192B" w:rsidRDefault="00B0192B" w:rsidP="00B0192B">
      <w:pPr>
        <w:jc w:val="both"/>
        <w:rPr>
          <w:rFonts w:ascii="Arial" w:eastAsia="Calibri" w:hAnsi="Arial" w:cs="Arial"/>
          <w:color w:val="000000" w:themeColor="text1"/>
          <w:sz w:val="22"/>
          <w:szCs w:val="22"/>
          <w:lang w:val="es-ES_tradnl"/>
        </w:rPr>
      </w:pPr>
      <w:r w:rsidRPr="00B0192B">
        <w:rPr>
          <w:rFonts w:ascii="Arial" w:eastAsia="Calibri" w:hAnsi="Arial" w:cs="Arial"/>
          <w:color w:val="000000" w:themeColor="text1"/>
          <w:sz w:val="22"/>
          <w:szCs w:val="22"/>
          <w:lang w:val="es-ES_tradnl"/>
        </w:rPr>
        <w:t>Señor(a)</w:t>
      </w:r>
    </w:p>
    <w:p w14:paraId="3938EB03" w14:textId="77777777" w:rsidR="00B0192B" w:rsidRPr="00B0192B" w:rsidRDefault="00B0192B" w:rsidP="00B0192B">
      <w:pPr>
        <w:jc w:val="both"/>
        <w:rPr>
          <w:rFonts w:ascii="Arial" w:eastAsia="Calibri" w:hAnsi="Arial" w:cs="Arial"/>
          <w:b/>
          <w:color w:val="000000" w:themeColor="text1"/>
          <w:sz w:val="22"/>
          <w:szCs w:val="22"/>
          <w:lang w:val="es-ES_tradnl"/>
        </w:rPr>
      </w:pPr>
      <w:r w:rsidRPr="00B0192B">
        <w:rPr>
          <w:rFonts w:ascii="Arial" w:eastAsia="Calibri" w:hAnsi="Arial" w:cs="Arial"/>
          <w:b/>
          <w:color w:val="000000" w:themeColor="text1"/>
          <w:sz w:val="22"/>
          <w:szCs w:val="22"/>
        </w:rPr>
        <w:t>Peticionario(a) anónimo(a)</w:t>
      </w:r>
    </w:p>
    <w:p w14:paraId="579CAD44" w14:textId="77777777" w:rsidR="00B0192B" w:rsidRPr="00B0192B" w:rsidRDefault="00B0192B" w:rsidP="00B0192B">
      <w:pPr>
        <w:jc w:val="both"/>
        <w:rPr>
          <w:rFonts w:ascii="Arial" w:eastAsia="Calibri" w:hAnsi="Arial" w:cs="Arial"/>
          <w:color w:val="000000" w:themeColor="text1"/>
          <w:sz w:val="22"/>
          <w:szCs w:val="22"/>
          <w:lang w:val="es-ES_tradnl"/>
        </w:rPr>
      </w:pPr>
      <w:r w:rsidRPr="00B0192B">
        <w:rPr>
          <w:rFonts w:ascii="Arial" w:eastAsia="Calibri" w:hAnsi="Arial" w:cs="Arial"/>
          <w:color w:val="000000" w:themeColor="text1"/>
          <w:sz w:val="22"/>
          <w:szCs w:val="22"/>
          <w:lang w:val="es-ES_tradnl"/>
        </w:rPr>
        <w:t>Ciudad</w:t>
      </w:r>
    </w:p>
    <w:p w14:paraId="3B584A57" w14:textId="4528CA3D" w:rsidR="00F53F4F" w:rsidRPr="00B0192B" w:rsidRDefault="00F53F4F" w:rsidP="00B95C30">
      <w:pPr>
        <w:jc w:val="both"/>
        <w:rPr>
          <w:rFonts w:ascii="Arial" w:eastAsia="Calibri" w:hAnsi="Arial" w:cs="Arial"/>
          <w:sz w:val="22"/>
          <w:szCs w:val="22"/>
          <w:lang w:val="es-ES_tradnl"/>
        </w:rPr>
      </w:pPr>
    </w:p>
    <w:p w14:paraId="48E36FCF" w14:textId="77777777" w:rsidR="00F53F4F" w:rsidRPr="00B0192B" w:rsidRDefault="00F53F4F" w:rsidP="00B95C30">
      <w:pPr>
        <w:jc w:val="both"/>
        <w:rPr>
          <w:rFonts w:ascii="Arial" w:eastAsia="Calibri" w:hAnsi="Arial" w:cs="Arial"/>
          <w:sz w:val="22"/>
          <w:szCs w:val="22"/>
          <w:lang w:val="es-ES_tradnl"/>
        </w:rPr>
      </w:pPr>
    </w:p>
    <w:p w14:paraId="12E66182" w14:textId="730535A1" w:rsidR="00B95C30" w:rsidRPr="00B0192B" w:rsidRDefault="00F53F4F" w:rsidP="001D6CD2">
      <w:pPr>
        <w:rPr>
          <w:rFonts w:ascii="Arial" w:eastAsia="Calibri" w:hAnsi="Arial" w:cs="Arial"/>
          <w:b/>
          <w:bCs/>
          <w:sz w:val="22"/>
          <w:szCs w:val="22"/>
          <w:lang w:val="es-ES_tradnl"/>
        </w:rPr>
      </w:pPr>
      <w:r w:rsidRPr="00B0192B">
        <w:rPr>
          <w:rFonts w:ascii="Arial" w:eastAsia="Calibri" w:hAnsi="Arial" w:cs="Arial"/>
          <w:b/>
          <w:bCs/>
          <w:sz w:val="22"/>
          <w:szCs w:val="22"/>
          <w:lang w:val="es-ES_tradnl"/>
        </w:rPr>
        <w:t xml:space="preserve">                                            </w:t>
      </w:r>
      <w:r w:rsidR="00B95C30" w:rsidRPr="00B0192B">
        <w:rPr>
          <w:rFonts w:ascii="Arial" w:eastAsia="Calibri" w:hAnsi="Arial" w:cs="Arial"/>
          <w:b/>
          <w:bCs/>
          <w:sz w:val="22"/>
          <w:szCs w:val="22"/>
          <w:lang w:val="es-ES_tradnl"/>
        </w:rPr>
        <w:t xml:space="preserve">Concepto C ‒ </w:t>
      </w:r>
      <w:r w:rsidR="00F41094" w:rsidRPr="00B0192B">
        <w:rPr>
          <w:rFonts w:ascii="Arial" w:eastAsia="Calibri" w:hAnsi="Arial" w:cs="Arial"/>
          <w:b/>
          <w:bCs/>
          <w:sz w:val="22"/>
          <w:szCs w:val="22"/>
          <w:lang w:val="es-ES_tradnl"/>
        </w:rPr>
        <w:t>4</w:t>
      </w:r>
      <w:r w:rsidR="00B0192B" w:rsidRPr="00B0192B">
        <w:rPr>
          <w:rFonts w:ascii="Arial" w:eastAsia="Calibri" w:hAnsi="Arial" w:cs="Arial"/>
          <w:b/>
          <w:bCs/>
          <w:sz w:val="22"/>
          <w:szCs w:val="22"/>
          <w:lang w:val="es-ES_tradnl"/>
        </w:rPr>
        <w:t>59</w:t>
      </w:r>
      <w:r w:rsidR="00B95C30" w:rsidRPr="00B0192B">
        <w:rPr>
          <w:rFonts w:ascii="Arial" w:eastAsia="Calibri" w:hAnsi="Arial" w:cs="Arial"/>
          <w:b/>
          <w:bCs/>
          <w:sz w:val="22"/>
          <w:szCs w:val="22"/>
          <w:lang w:val="es-ES_tradnl"/>
        </w:rPr>
        <w:t xml:space="preserve"> de 202</w:t>
      </w:r>
      <w:r w:rsidR="00F41094" w:rsidRPr="00B0192B">
        <w:rPr>
          <w:rFonts w:ascii="Arial" w:eastAsia="Calibri" w:hAnsi="Arial" w:cs="Arial"/>
          <w:b/>
          <w:bCs/>
          <w:sz w:val="22"/>
          <w:szCs w:val="22"/>
          <w:lang w:val="es-ES_tradnl"/>
        </w:rPr>
        <w:t>2</w:t>
      </w:r>
    </w:p>
    <w:p w14:paraId="1BD594F9" w14:textId="77777777" w:rsidR="00B95C30" w:rsidRPr="00B0192B" w:rsidRDefault="00B95C30" w:rsidP="00B95C30">
      <w:pPr>
        <w:jc w:val="both"/>
        <w:rPr>
          <w:rFonts w:ascii="Arial" w:eastAsia="Calibri" w:hAnsi="Arial" w:cs="Arial"/>
          <w:sz w:val="22"/>
          <w:szCs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9F0084" w:rsidRPr="00B0192B" w14:paraId="19DFC051" w14:textId="77777777" w:rsidTr="008F4163">
        <w:tc>
          <w:tcPr>
            <w:tcW w:w="2689" w:type="dxa"/>
          </w:tcPr>
          <w:p w14:paraId="6BC0D1AC" w14:textId="77777777" w:rsidR="00B95C30" w:rsidRPr="00B0192B" w:rsidRDefault="00B95C30" w:rsidP="008F4163">
            <w:pPr>
              <w:jc w:val="both"/>
              <w:rPr>
                <w:rFonts w:ascii="Arial" w:eastAsia="Calibri" w:hAnsi="Arial" w:cs="Arial"/>
                <w:sz w:val="22"/>
                <w:szCs w:val="22"/>
                <w:lang w:val="es-ES_tradnl"/>
              </w:rPr>
            </w:pPr>
            <w:r w:rsidRPr="00B0192B">
              <w:rPr>
                <w:rFonts w:ascii="Arial" w:eastAsia="Calibri" w:hAnsi="Arial" w:cs="Arial"/>
                <w:b/>
                <w:sz w:val="22"/>
                <w:szCs w:val="22"/>
                <w:lang w:val="es-ES_tradnl"/>
              </w:rPr>
              <w:t>Temas:</w:t>
            </w:r>
            <w:r w:rsidRPr="00B0192B">
              <w:rPr>
                <w:rFonts w:ascii="Arial" w:eastAsia="Calibri" w:hAnsi="Arial" w:cs="Arial"/>
                <w:sz w:val="22"/>
                <w:szCs w:val="22"/>
                <w:lang w:val="es-ES_tradnl"/>
              </w:rPr>
              <w:t xml:space="preserve">                                      </w:t>
            </w:r>
          </w:p>
        </w:tc>
        <w:tc>
          <w:tcPr>
            <w:tcW w:w="6237" w:type="dxa"/>
          </w:tcPr>
          <w:p w14:paraId="5F389CAF" w14:textId="7E092B13" w:rsidR="00B95C30" w:rsidRPr="00B0192B" w:rsidRDefault="00BA3524" w:rsidP="008F4163">
            <w:pPr>
              <w:jc w:val="both"/>
              <w:rPr>
                <w:rFonts w:ascii="Arial" w:eastAsia="Calibri" w:hAnsi="Arial" w:cs="Arial"/>
                <w:sz w:val="22"/>
                <w:szCs w:val="22"/>
                <w:lang w:val="es-ES_tradnl"/>
              </w:rPr>
            </w:pPr>
            <w:r w:rsidRPr="00B0192B">
              <w:rPr>
                <w:rFonts w:ascii="Arial" w:eastAsia="Calibri" w:hAnsi="Arial" w:cs="Arial"/>
                <w:bCs/>
                <w:sz w:val="22"/>
                <w:szCs w:val="22"/>
                <w:lang w:val="es-ES_tradnl"/>
              </w:rPr>
              <w:t xml:space="preserve">LEY DE EMPRENDIMIENTO – Ley 2069 de 2020 – Vigencia / </w:t>
            </w:r>
            <w:r w:rsidR="00F40574" w:rsidRPr="00F40574">
              <w:rPr>
                <w:rFonts w:ascii="Arial" w:eastAsia="Calibri" w:hAnsi="Arial" w:cs="Arial"/>
                <w:bCs/>
                <w:sz w:val="22"/>
                <w:szCs w:val="22"/>
                <w:lang w:val="es-ES_tradnl"/>
              </w:rPr>
              <w:t>MIPYMES – Artículo 34 de la Ley 2069 de 2020 – Artículo 5 del Decreto 1860 de 2021 Convocatorias limitadas territorialmente – Vigencia</w:t>
            </w:r>
            <w:r w:rsidR="00F40574">
              <w:rPr>
                <w:rFonts w:ascii="Arial" w:eastAsia="Calibri" w:hAnsi="Arial" w:cs="Arial"/>
                <w:bCs/>
                <w:sz w:val="22"/>
                <w:szCs w:val="22"/>
                <w:lang w:val="es-ES_tradnl"/>
              </w:rPr>
              <w:t xml:space="preserve"> / </w:t>
            </w:r>
            <w:r w:rsidR="00F40574" w:rsidRPr="00F40574">
              <w:rPr>
                <w:rFonts w:ascii="Arial" w:eastAsia="Calibri" w:hAnsi="Arial" w:cs="Arial"/>
                <w:bCs/>
                <w:sz w:val="22"/>
                <w:szCs w:val="22"/>
                <w:lang w:val="es-ES_tradnl"/>
              </w:rPr>
              <w:t>MIPYMES NACIONALES – Inexistencia – Mipymes del orden territorial – Domicilio</w:t>
            </w:r>
            <w:r w:rsidR="00F40574">
              <w:rPr>
                <w:rFonts w:ascii="Arial" w:eastAsia="Calibri" w:hAnsi="Arial" w:cs="Arial"/>
                <w:bCs/>
                <w:sz w:val="22"/>
                <w:szCs w:val="22"/>
                <w:lang w:val="es-ES_tradnl"/>
              </w:rPr>
              <w:t xml:space="preserve"> / </w:t>
            </w:r>
            <w:r w:rsidR="00F40574" w:rsidRPr="00F40574">
              <w:rPr>
                <w:rFonts w:ascii="Arial" w:eastAsia="Calibri" w:hAnsi="Arial" w:cs="Arial"/>
                <w:bCs/>
                <w:sz w:val="22"/>
                <w:szCs w:val="22"/>
                <w:lang w:val="es-ES_tradnl"/>
              </w:rPr>
              <w:t>CONVOCATORIAS LIMITADAS A MIPYMES NACIONALES – Limitación territorial – Procedencia</w:t>
            </w:r>
          </w:p>
        </w:tc>
      </w:tr>
      <w:tr w:rsidR="00B95C30" w:rsidRPr="00B0192B" w14:paraId="27CD52AB" w14:textId="77777777" w:rsidTr="008F4163">
        <w:tc>
          <w:tcPr>
            <w:tcW w:w="2689" w:type="dxa"/>
          </w:tcPr>
          <w:p w14:paraId="37E195A1" w14:textId="1BA218D5" w:rsidR="00B95C30" w:rsidRPr="00B0192B" w:rsidRDefault="00B95C30" w:rsidP="008F4163">
            <w:pPr>
              <w:spacing w:before="120"/>
              <w:jc w:val="both"/>
              <w:rPr>
                <w:rFonts w:ascii="Arial" w:eastAsia="Calibri" w:hAnsi="Arial" w:cs="Arial"/>
                <w:b/>
                <w:sz w:val="22"/>
                <w:szCs w:val="22"/>
                <w:lang w:val="es-ES_tradnl"/>
              </w:rPr>
            </w:pPr>
            <w:r w:rsidRPr="00B0192B">
              <w:rPr>
                <w:rFonts w:ascii="Arial" w:eastAsia="Calibri" w:hAnsi="Arial" w:cs="Arial"/>
                <w:b/>
                <w:sz w:val="22"/>
                <w:szCs w:val="22"/>
                <w:lang w:val="es-ES_tradnl"/>
              </w:rPr>
              <w:t>Radicación:</w:t>
            </w:r>
            <w:r w:rsidRPr="00B0192B">
              <w:rPr>
                <w:rFonts w:ascii="Arial" w:eastAsia="Calibri" w:hAnsi="Arial" w:cs="Arial"/>
                <w:sz w:val="22"/>
                <w:szCs w:val="22"/>
                <w:lang w:val="es-ES_tradnl"/>
              </w:rPr>
              <w:t xml:space="preserve">                              </w:t>
            </w:r>
          </w:p>
        </w:tc>
        <w:tc>
          <w:tcPr>
            <w:tcW w:w="6237" w:type="dxa"/>
          </w:tcPr>
          <w:p w14:paraId="09088B1B" w14:textId="2A5E6298" w:rsidR="00B95C30" w:rsidRPr="00B0192B" w:rsidRDefault="00B95C30" w:rsidP="008F4163">
            <w:pPr>
              <w:spacing w:before="120"/>
              <w:jc w:val="both"/>
              <w:rPr>
                <w:rFonts w:ascii="Arial" w:eastAsia="Calibri" w:hAnsi="Arial" w:cs="Arial"/>
                <w:sz w:val="22"/>
                <w:szCs w:val="22"/>
                <w:lang w:val="es-ES_tradnl"/>
              </w:rPr>
            </w:pPr>
            <w:r w:rsidRPr="00B0192B">
              <w:rPr>
                <w:rFonts w:ascii="Arial" w:eastAsia="Calibri" w:hAnsi="Arial" w:cs="Arial"/>
                <w:sz w:val="22"/>
                <w:szCs w:val="22"/>
                <w:lang w:val="es-ES_tradnl"/>
              </w:rPr>
              <w:t xml:space="preserve">Respuesta a consulta # </w:t>
            </w:r>
            <w:r w:rsidR="00B0192B" w:rsidRPr="00B0192B">
              <w:rPr>
                <w:rFonts w:ascii="Arial" w:eastAsia="Calibri" w:hAnsi="Arial" w:cs="Arial"/>
                <w:sz w:val="22"/>
                <w:szCs w:val="22"/>
                <w:lang w:val="es-ES_tradnl"/>
              </w:rPr>
              <w:t>P20220601005386</w:t>
            </w:r>
          </w:p>
        </w:tc>
      </w:tr>
    </w:tbl>
    <w:p w14:paraId="61B55CA4" w14:textId="77777777" w:rsidR="00716BB0" w:rsidRPr="00B0192B" w:rsidRDefault="00716BB0" w:rsidP="003C3339">
      <w:pPr>
        <w:jc w:val="both"/>
        <w:rPr>
          <w:rFonts w:ascii="Arial" w:eastAsia="Calibri" w:hAnsi="Arial" w:cs="Arial"/>
          <w:sz w:val="22"/>
          <w:szCs w:val="22"/>
          <w:lang w:val="es-ES_tradnl"/>
        </w:rPr>
      </w:pPr>
    </w:p>
    <w:p w14:paraId="4B9B5156" w14:textId="77777777" w:rsidR="00716BB0" w:rsidRPr="00B0192B" w:rsidRDefault="00716BB0" w:rsidP="003C3339">
      <w:pPr>
        <w:jc w:val="both"/>
        <w:rPr>
          <w:rFonts w:ascii="Arial" w:eastAsia="Calibri" w:hAnsi="Arial" w:cs="Arial"/>
          <w:sz w:val="22"/>
          <w:szCs w:val="22"/>
          <w:lang w:val="es-ES_tradnl"/>
        </w:rPr>
      </w:pPr>
    </w:p>
    <w:p w14:paraId="1CF4AEA0" w14:textId="55057EDE" w:rsidR="003C3339" w:rsidRPr="00B0192B" w:rsidRDefault="003C3339" w:rsidP="003C3339">
      <w:pPr>
        <w:jc w:val="both"/>
        <w:rPr>
          <w:rFonts w:ascii="Arial" w:eastAsia="Calibri" w:hAnsi="Arial" w:cs="Arial"/>
          <w:sz w:val="22"/>
          <w:szCs w:val="22"/>
          <w:lang w:val="es-ES_tradnl"/>
        </w:rPr>
      </w:pPr>
      <w:r w:rsidRPr="00B0192B">
        <w:rPr>
          <w:rFonts w:ascii="Arial" w:eastAsia="Calibri" w:hAnsi="Arial" w:cs="Arial"/>
          <w:sz w:val="22"/>
          <w:szCs w:val="22"/>
          <w:lang w:val="es-ES_tradnl"/>
        </w:rPr>
        <w:t>Estimad</w:t>
      </w:r>
      <w:r w:rsidR="002B56AE">
        <w:rPr>
          <w:rFonts w:ascii="Arial" w:eastAsia="Calibri" w:hAnsi="Arial" w:cs="Arial"/>
          <w:sz w:val="22"/>
          <w:szCs w:val="22"/>
          <w:lang w:val="es-ES_tradnl"/>
        </w:rPr>
        <w:t>o(a) señor(a)</w:t>
      </w:r>
      <w:r w:rsidRPr="00B0192B">
        <w:rPr>
          <w:rFonts w:ascii="Arial" w:eastAsia="Calibri" w:hAnsi="Arial" w:cs="Arial"/>
          <w:sz w:val="22"/>
          <w:szCs w:val="22"/>
          <w:lang w:val="es-ES_tradnl"/>
        </w:rPr>
        <w:t>:</w:t>
      </w:r>
    </w:p>
    <w:p w14:paraId="1EAE5543" w14:textId="77777777" w:rsidR="00DD5B04" w:rsidRPr="00B9642A" w:rsidRDefault="00DD5B04" w:rsidP="00DF76A2">
      <w:pPr>
        <w:jc w:val="both"/>
        <w:rPr>
          <w:rFonts w:ascii="Arial" w:eastAsia="Calibri" w:hAnsi="Arial" w:cs="Arial"/>
          <w:sz w:val="22"/>
          <w:lang w:val="es-ES_tradnl"/>
        </w:rPr>
      </w:pPr>
    </w:p>
    <w:p w14:paraId="2109B2D3" w14:textId="5FD81247" w:rsidR="00DD5B04" w:rsidRPr="00B9642A" w:rsidRDefault="00DD5B04" w:rsidP="00DF76A2">
      <w:pPr>
        <w:spacing w:line="276" w:lineRule="auto"/>
        <w:jc w:val="both"/>
        <w:rPr>
          <w:rFonts w:ascii="Arial" w:eastAsia="Calibri" w:hAnsi="Arial" w:cs="Arial"/>
          <w:sz w:val="22"/>
          <w:lang w:val="es-ES_tradnl"/>
        </w:rPr>
      </w:pPr>
      <w:r w:rsidRPr="00B9642A">
        <w:rPr>
          <w:rFonts w:ascii="Arial" w:eastAsia="Calibri" w:hAnsi="Arial" w:cs="Arial"/>
          <w:sz w:val="22"/>
          <w:lang w:val="es-ES_tradnl"/>
        </w:rPr>
        <w:t>En ejercicio de la competencia otorgada por el numeral 8 del artículo 11 y el numeral 5 del artículo 3 del Decreto Ley 4170 de 2011, la Agencia Nacional de Contratación Pública ― Colombia Compra Eficiente</w:t>
      </w:r>
      <w:r w:rsidR="008C3C57" w:rsidRPr="00B9642A">
        <w:rPr>
          <w:rFonts w:ascii="Arial" w:eastAsia="Calibri" w:hAnsi="Arial" w:cs="Arial"/>
          <w:sz w:val="22"/>
          <w:lang w:val="es-ES_tradnl"/>
        </w:rPr>
        <w:t xml:space="preserve"> </w:t>
      </w:r>
      <w:r w:rsidRPr="00B9642A">
        <w:rPr>
          <w:rFonts w:ascii="Arial" w:eastAsia="Calibri" w:hAnsi="Arial" w:cs="Arial"/>
          <w:sz w:val="22"/>
          <w:lang w:val="es-ES_tradnl"/>
        </w:rPr>
        <w:t xml:space="preserve">responde su consulta del </w:t>
      </w:r>
      <w:r w:rsidR="00BA3524">
        <w:rPr>
          <w:rFonts w:ascii="Arial" w:eastAsia="Calibri" w:hAnsi="Arial" w:cs="Arial"/>
          <w:sz w:val="22"/>
          <w:lang w:val="es-ES_tradnl"/>
        </w:rPr>
        <w:t xml:space="preserve">1 de junio </w:t>
      </w:r>
      <w:r w:rsidRPr="00B9642A">
        <w:rPr>
          <w:rFonts w:ascii="Arial" w:eastAsia="Calibri" w:hAnsi="Arial" w:cs="Arial"/>
          <w:sz w:val="22"/>
          <w:lang w:val="es-ES_tradnl"/>
        </w:rPr>
        <w:t>d</w:t>
      </w:r>
      <w:r w:rsidR="00BA3524">
        <w:rPr>
          <w:rFonts w:ascii="Arial" w:eastAsia="Calibri" w:hAnsi="Arial" w:cs="Arial"/>
          <w:sz w:val="22"/>
          <w:lang w:val="es-ES_tradnl"/>
        </w:rPr>
        <w:t>e</w:t>
      </w:r>
      <w:r w:rsidR="007E74BF" w:rsidRPr="00B9642A">
        <w:rPr>
          <w:rFonts w:ascii="Arial" w:eastAsia="Calibri" w:hAnsi="Arial" w:cs="Arial"/>
          <w:sz w:val="22"/>
          <w:lang w:val="es-ES_tradnl"/>
        </w:rPr>
        <w:t xml:space="preserve"> </w:t>
      </w:r>
      <w:r w:rsidRPr="00B9642A">
        <w:rPr>
          <w:rFonts w:ascii="Arial" w:eastAsia="Calibri" w:hAnsi="Arial" w:cs="Arial"/>
          <w:sz w:val="22"/>
          <w:lang w:val="es-ES_tradnl"/>
        </w:rPr>
        <w:t>202</w:t>
      </w:r>
      <w:r w:rsidR="00F41094">
        <w:rPr>
          <w:rFonts w:ascii="Arial" w:eastAsia="Calibri" w:hAnsi="Arial" w:cs="Arial"/>
          <w:sz w:val="22"/>
          <w:lang w:val="es-ES_tradnl"/>
        </w:rPr>
        <w:t>2</w:t>
      </w:r>
      <w:r w:rsidR="008C3C57" w:rsidRPr="00B9642A">
        <w:rPr>
          <w:rFonts w:ascii="Arial" w:eastAsia="Calibri" w:hAnsi="Arial" w:cs="Arial"/>
          <w:sz w:val="22"/>
          <w:lang w:val="es-ES_tradnl"/>
        </w:rPr>
        <w:t>.</w:t>
      </w:r>
      <w:r w:rsidR="009013B8" w:rsidRPr="00B9642A">
        <w:rPr>
          <w:rFonts w:ascii="Arial" w:eastAsia="Calibri" w:hAnsi="Arial" w:cs="Arial"/>
          <w:sz w:val="22"/>
          <w:lang w:val="es-ES_tradnl"/>
        </w:rPr>
        <w:t xml:space="preserve"> </w:t>
      </w:r>
    </w:p>
    <w:p w14:paraId="0C1E0712" w14:textId="77777777" w:rsidR="00DD5B04" w:rsidRPr="00B9642A" w:rsidRDefault="00DD5B04" w:rsidP="00FC2D17">
      <w:pPr>
        <w:jc w:val="both"/>
        <w:rPr>
          <w:rFonts w:ascii="Arial" w:eastAsia="Calibri" w:hAnsi="Arial" w:cs="Arial"/>
          <w:b/>
          <w:sz w:val="22"/>
          <w:lang w:val="es-ES_tradnl"/>
        </w:rPr>
      </w:pPr>
    </w:p>
    <w:p w14:paraId="7701FCC7" w14:textId="77777777" w:rsidR="00DD5B04" w:rsidRPr="00B9642A"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sz w:val="22"/>
          <w:lang w:val="es-ES_tradnl"/>
        </w:rPr>
      </w:pPr>
      <w:r w:rsidRPr="00B9642A">
        <w:rPr>
          <w:rFonts w:ascii="Arial" w:eastAsia="Calibri" w:hAnsi="Arial" w:cs="Arial"/>
          <w:b/>
          <w:sz w:val="22"/>
          <w:lang w:val="es-ES_tradnl"/>
        </w:rPr>
        <w:t xml:space="preserve">Problema planteado </w:t>
      </w:r>
    </w:p>
    <w:p w14:paraId="224B43D3" w14:textId="77777777" w:rsidR="00DD5B04" w:rsidRPr="00B9642A" w:rsidRDefault="00DD5B04" w:rsidP="00FC2D17">
      <w:pPr>
        <w:tabs>
          <w:tab w:val="left" w:pos="426"/>
        </w:tabs>
        <w:jc w:val="both"/>
        <w:rPr>
          <w:rFonts w:ascii="Arial" w:eastAsia="Calibri" w:hAnsi="Arial" w:cs="Arial"/>
          <w:b/>
          <w:sz w:val="22"/>
          <w:lang w:val="es-ES_tradnl"/>
        </w:rPr>
      </w:pPr>
    </w:p>
    <w:p w14:paraId="12476BF5" w14:textId="77777777" w:rsidR="00B0192B" w:rsidRDefault="00B0192B" w:rsidP="00B0192B">
      <w:pPr>
        <w:spacing w:line="276" w:lineRule="auto"/>
        <w:jc w:val="both"/>
        <w:rPr>
          <w:rFonts w:ascii="Arial" w:hAnsi="Arial" w:cs="Arial"/>
          <w:color w:val="000000" w:themeColor="text1"/>
          <w:sz w:val="22"/>
          <w:lang w:val="es-ES_tradnl"/>
        </w:rPr>
      </w:pPr>
      <w:r>
        <w:rPr>
          <w:rFonts w:ascii="Arial" w:hAnsi="Arial" w:cs="Arial"/>
          <w:color w:val="000000" w:themeColor="text1"/>
          <w:sz w:val="22"/>
          <w:lang w:val="es-ES_tradnl"/>
        </w:rPr>
        <w:t>U</w:t>
      </w:r>
      <w:r w:rsidRPr="00EE341D">
        <w:rPr>
          <w:rFonts w:ascii="Arial" w:hAnsi="Arial" w:cs="Arial"/>
          <w:color w:val="000000" w:themeColor="text1"/>
          <w:sz w:val="22"/>
          <w:lang w:val="es-ES_tradnl"/>
        </w:rPr>
        <w:t>sted realiza la siguiente consulta</w:t>
      </w:r>
      <w:r>
        <w:rPr>
          <w:rFonts w:ascii="Arial" w:hAnsi="Arial" w:cs="Arial"/>
          <w:color w:val="000000" w:themeColor="text1"/>
          <w:sz w:val="22"/>
          <w:lang w:val="es-ES_tradnl"/>
        </w:rPr>
        <w:t>:</w:t>
      </w:r>
    </w:p>
    <w:p w14:paraId="59055A30" w14:textId="77777777" w:rsidR="00B0192B" w:rsidRDefault="00B0192B" w:rsidP="00B0192B">
      <w:pPr>
        <w:spacing w:line="276" w:lineRule="auto"/>
        <w:jc w:val="both"/>
        <w:rPr>
          <w:rFonts w:ascii="Arial" w:hAnsi="Arial" w:cs="Arial"/>
          <w:color w:val="000000" w:themeColor="text1"/>
          <w:sz w:val="22"/>
          <w:lang w:val="es-ES_tradnl"/>
        </w:rPr>
      </w:pPr>
    </w:p>
    <w:p w14:paraId="3D61C884" w14:textId="77777777" w:rsidR="00B0192B" w:rsidRPr="00C75909" w:rsidRDefault="00B0192B" w:rsidP="00B0192B">
      <w:pPr>
        <w:ind w:left="709" w:right="709"/>
        <w:jc w:val="both"/>
        <w:rPr>
          <w:rFonts w:ascii="Arial" w:hAnsi="Arial" w:cs="Arial"/>
          <w:color w:val="000000" w:themeColor="text1"/>
          <w:sz w:val="21"/>
          <w:szCs w:val="21"/>
          <w:lang w:val="es-ES_tradnl"/>
        </w:rPr>
      </w:pPr>
      <w:r w:rsidRPr="00C75909">
        <w:rPr>
          <w:rFonts w:ascii="Arial" w:hAnsi="Arial" w:cs="Arial"/>
          <w:color w:val="000000" w:themeColor="text1"/>
          <w:sz w:val="21"/>
          <w:szCs w:val="21"/>
          <w:lang w:val="es-ES_tradnl"/>
        </w:rPr>
        <w:t>«De acuerdo al decreto 1860 de 2021, sobre la limitación a mipyme; si a una entidad llegan dos solicitudes de limitación a mipyme municipal pero tan solo UNA de ellas cumple con el requisito de domicilio, por ende no se habilita la segunda solicitud; ¿el proceso de mínima cuantía puede ser limitado a mipyme municipal? En pocas palabras con una sola solicitud valida? [sic]»</w:t>
      </w:r>
    </w:p>
    <w:p w14:paraId="3830C92C" w14:textId="77777777" w:rsidR="00507066" w:rsidRPr="00AA6B44" w:rsidRDefault="00507066" w:rsidP="00AA6B44">
      <w:pPr>
        <w:spacing w:line="276" w:lineRule="auto"/>
        <w:ind w:left="709" w:right="709"/>
        <w:jc w:val="both"/>
        <w:rPr>
          <w:rFonts w:ascii="Arial" w:hAnsi="Arial" w:cs="Arial"/>
          <w:sz w:val="22"/>
          <w:szCs w:val="22"/>
          <w:lang w:val="es-ES_tradnl"/>
        </w:rPr>
      </w:pPr>
    </w:p>
    <w:p w14:paraId="124D2DCA" w14:textId="77777777" w:rsidR="00DD5B04" w:rsidRPr="00B9642A" w:rsidRDefault="00DD5B04" w:rsidP="00DF76A2">
      <w:pPr>
        <w:pStyle w:val="Prrafodelista"/>
        <w:numPr>
          <w:ilvl w:val="0"/>
          <w:numId w:val="8"/>
        </w:numPr>
        <w:tabs>
          <w:tab w:val="left" w:pos="0"/>
          <w:tab w:val="left" w:pos="284"/>
        </w:tabs>
        <w:ind w:left="0" w:firstLine="0"/>
        <w:jc w:val="both"/>
        <w:rPr>
          <w:rFonts w:ascii="Arial" w:eastAsia="Calibri" w:hAnsi="Arial" w:cs="Arial"/>
          <w:b/>
          <w:sz w:val="22"/>
          <w:lang w:val="es-ES_tradnl"/>
        </w:rPr>
      </w:pPr>
      <w:r w:rsidRPr="00B9642A">
        <w:rPr>
          <w:rFonts w:ascii="Arial" w:eastAsia="Calibri" w:hAnsi="Arial" w:cs="Arial"/>
          <w:b/>
          <w:sz w:val="22"/>
          <w:lang w:val="es-ES_tradnl"/>
        </w:rPr>
        <w:t>Consideraciones</w:t>
      </w:r>
    </w:p>
    <w:p w14:paraId="7D050D2E" w14:textId="77777777" w:rsidR="00435703" w:rsidRPr="00B9642A" w:rsidRDefault="00435703" w:rsidP="00FC2D17">
      <w:pPr>
        <w:jc w:val="both"/>
        <w:rPr>
          <w:rFonts w:ascii="Arial" w:eastAsia="Calibri" w:hAnsi="Arial" w:cs="Arial"/>
          <w:sz w:val="22"/>
          <w:szCs w:val="22"/>
          <w:lang w:val="es-ES_tradnl"/>
        </w:rPr>
      </w:pPr>
    </w:p>
    <w:p w14:paraId="305BC2F1" w14:textId="0885D467" w:rsidR="003C4317" w:rsidRPr="00B9642A" w:rsidRDefault="008E30C4" w:rsidP="00271230">
      <w:pPr>
        <w:spacing w:line="276" w:lineRule="auto"/>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La Subdirección de Gestión Contractual responderá </w:t>
      </w:r>
      <w:r w:rsidR="00271230" w:rsidRPr="00B9642A">
        <w:rPr>
          <w:rFonts w:ascii="Arial" w:eastAsia="Calibri" w:hAnsi="Arial" w:cs="Arial"/>
          <w:sz w:val="22"/>
          <w:szCs w:val="22"/>
          <w:lang w:val="es-ES_tradnl"/>
        </w:rPr>
        <w:t>la consulta</w:t>
      </w:r>
      <w:r w:rsidRPr="00B9642A">
        <w:rPr>
          <w:rFonts w:ascii="Arial" w:eastAsia="Calibri" w:hAnsi="Arial" w:cs="Arial"/>
          <w:sz w:val="22"/>
          <w:szCs w:val="22"/>
          <w:lang w:val="es-ES_tradnl"/>
        </w:rPr>
        <w:t xml:space="preserve">, </w:t>
      </w:r>
      <w:r w:rsidR="00271230" w:rsidRPr="00B9642A">
        <w:rPr>
          <w:rFonts w:ascii="Arial" w:eastAsia="Calibri" w:hAnsi="Arial" w:cs="Arial"/>
          <w:sz w:val="22"/>
          <w:szCs w:val="22"/>
          <w:lang w:val="es-ES_tradnl"/>
        </w:rPr>
        <w:t>luego de analizar los</w:t>
      </w:r>
      <w:r w:rsidR="00822EC4" w:rsidRPr="00B9642A">
        <w:rPr>
          <w:rFonts w:ascii="Arial" w:eastAsia="Calibri" w:hAnsi="Arial" w:cs="Arial"/>
          <w:sz w:val="22"/>
          <w:szCs w:val="22"/>
          <w:lang w:val="es-ES_tradnl"/>
        </w:rPr>
        <w:t xml:space="preserve"> siguientes temas: </w:t>
      </w:r>
      <w:r w:rsidR="00833ADA" w:rsidRPr="00B9642A">
        <w:rPr>
          <w:rFonts w:ascii="Arial" w:eastAsia="Calibri" w:hAnsi="Arial" w:cs="Arial"/>
          <w:sz w:val="22"/>
          <w:szCs w:val="22"/>
          <w:lang w:val="es-ES_tradnl"/>
        </w:rPr>
        <w:t>i)</w:t>
      </w:r>
      <w:r w:rsidR="008F40DC" w:rsidRPr="00B9642A">
        <w:rPr>
          <w:rFonts w:ascii="Arial" w:eastAsia="Calibri" w:hAnsi="Arial" w:cs="Arial"/>
          <w:sz w:val="22"/>
          <w:szCs w:val="22"/>
          <w:lang w:val="es-ES_tradnl"/>
        </w:rPr>
        <w:t xml:space="preserve"> vigencia y ámbito de aplicación de la Ley </w:t>
      </w:r>
      <w:r w:rsidR="001F0325" w:rsidRPr="00B9642A">
        <w:rPr>
          <w:rFonts w:ascii="Arial" w:eastAsia="Calibri" w:hAnsi="Arial" w:cs="Arial"/>
          <w:sz w:val="22"/>
          <w:szCs w:val="22"/>
          <w:lang w:val="es-ES_tradnl"/>
        </w:rPr>
        <w:t>2069</w:t>
      </w:r>
      <w:r w:rsidR="008F40DC" w:rsidRPr="00B9642A">
        <w:rPr>
          <w:rFonts w:ascii="Arial" w:eastAsia="Calibri" w:hAnsi="Arial" w:cs="Arial"/>
          <w:sz w:val="22"/>
          <w:szCs w:val="22"/>
          <w:lang w:val="es-ES_tradnl"/>
        </w:rPr>
        <w:t xml:space="preserve"> de 2020,</w:t>
      </w:r>
      <w:r w:rsidR="00FC2D17" w:rsidRPr="00B9642A">
        <w:rPr>
          <w:rFonts w:ascii="Arial" w:eastAsia="Calibri" w:hAnsi="Arial" w:cs="Arial"/>
          <w:sz w:val="22"/>
          <w:szCs w:val="22"/>
          <w:lang w:val="es-ES_tradnl"/>
        </w:rPr>
        <w:t xml:space="preserve"> y </w:t>
      </w:r>
      <w:r w:rsidR="008F40DC" w:rsidRPr="00B9642A">
        <w:rPr>
          <w:rFonts w:ascii="Arial" w:eastAsia="Calibri" w:hAnsi="Arial" w:cs="Arial"/>
          <w:sz w:val="22"/>
          <w:szCs w:val="22"/>
          <w:lang w:val="es-ES_tradnl"/>
        </w:rPr>
        <w:t xml:space="preserve"> ii) </w:t>
      </w:r>
      <w:r w:rsidR="00DB5957">
        <w:rPr>
          <w:rFonts w:ascii="Arial" w:eastAsia="Calibri" w:hAnsi="Arial" w:cs="Arial"/>
          <w:sz w:val="22"/>
          <w:szCs w:val="22"/>
          <w:lang w:val="es-ES_tradnl"/>
        </w:rPr>
        <w:t>r</w:t>
      </w:r>
      <w:r w:rsidR="00B96944" w:rsidRPr="00B96944">
        <w:rPr>
          <w:rFonts w:ascii="Arial" w:eastAsia="Calibri" w:hAnsi="Arial" w:cs="Arial"/>
          <w:sz w:val="22"/>
          <w:szCs w:val="22"/>
          <w:lang w:val="es-ES_tradnl"/>
        </w:rPr>
        <w:t xml:space="preserve">egulación </w:t>
      </w:r>
      <w:r w:rsidR="00B96944" w:rsidRPr="00B96944">
        <w:rPr>
          <w:rFonts w:ascii="Arial" w:eastAsia="Calibri" w:hAnsi="Arial" w:cs="Arial"/>
          <w:sz w:val="22"/>
          <w:szCs w:val="22"/>
          <w:lang w:val="es-ES_tradnl"/>
        </w:rPr>
        <w:lastRenderedPageBreak/>
        <w:t>de las convocatorias limitadas a mipymes en el ámbito territorial en el artículo 34 de la Ley 2069 de 2020 y el Decreto 1860 de 2021.</w:t>
      </w:r>
    </w:p>
    <w:p w14:paraId="1144E6B3" w14:textId="1E483A9D" w:rsidR="00C8331F" w:rsidRPr="00B9642A" w:rsidRDefault="00DA71D7" w:rsidP="00292A27">
      <w:pPr>
        <w:spacing w:before="120" w:line="276" w:lineRule="auto"/>
        <w:ind w:firstLine="709"/>
        <w:jc w:val="both"/>
        <w:rPr>
          <w:rFonts w:ascii="Arial" w:eastAsia="Calibri" w:hAnsi="Arial" w:cs="Arial"/>
          <w:sz w:val="22"/>
          <w:szCs w:val="22"/>
          <w:lang w:val="es-ES_tradnl"/>
        </w:rPr>
      </w:pPr>
      <w:r>
        <w:rPr>
          <w:rFonts w:ascii="Arial" w:eastAsia="Calibri" w:hAnsi="Arial" w:cs="Arial"/>
          <w:sz w:val="22"/>
          <w:szCs w:val="22"/>
          <w:lang w:val="es-ES_tradnl"/>
        </w:rPr>
        <w:t>L</w:t>
      </w:r>
      <w:r w:rsidR="00C8331F" w:rsidRPr="00B9642A">
        <w:rPr>
          <w:rFonts w:ascii="Arial" w:eastAsia="Calibri" w:hAnsi="Arial" w:cs="Arial"/>
          <w:sz w:val="22"/>
          <w:szCs w:val="22"/>
          <w:lang w:val="es-ES_tradnl"/>
        </w:rPr>
        <w:t>a Agencia Nacional de Contratación Pública</w:t>
      </w:r>
      <w:r w:rsidR="00EC1DAE" w:rsidRPr="00B9642A">
        <w:rPr>
          <w:rFonts w:ascii="Arial" w:eastAsia="Calibri" w:hAnsi="Arial" w:cs="Arial"/>
          <w:sz w:val="22"/>
          <w:szCs w:val="22"/>
          <w:lang w:val="es-ES_tradnl"/>
        </w:rPr>
        <w:t xml:space="preserve"> – Colombia Compra Eficiente </w:t>
      </w:r>
      <w:r w:rsidRPr="00DA71D7">
        <w:rPr>
          <w:rFonts w:ascii="Arial" w:eastAsia="Calibri" w:hAnsi="Arial" w:cs="Arial"/>
          <w:sz w:val="22"/>
          <w:szCs w:val="22"/>
          <w:lang w:val="es-ES_tradnl"/>
        </w:rPr>
        <w:t>se pronunció sobre la nueva regulación de la promoción del desarrollo en la contratación estatal contenida en el artículo 34 de la Ley 2069 de 2020 en los conceptos C-043 del 09 de febrero de 2021, C-005 del 16 de febrero de 2021, C-081 del 23 de febrero de 2021, C-087 del 23 de febrero de 2021, C-025 del 25 de febrero de 2021, C-037 del 26 de febrero de 2021, C-035 del 02 de marzo de 2021, C-040 del 02 de marzo de 2021, C-044 del 03 de marzo de 2021, C-102 del 25 de marzo de 2021, C-125 del 05 de abril de 2021, C-127 del 06 de abril de 2021,  C-130 del 07 de abril de 2021, C-144 del 07 de abril de 2021, 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C-309 del 24 de agosto de 2021 y C-455 del 31 de agosto de 2021.</w:t>
      </w:r>
      <w:r w:rsidR="00B96944">
        <w:rPr>
          <w:rFonts w:ascii="Arial" w:eastAsia="Calibri" w:hAnsi="Arial" w:cs="Arial"/>
          <w:sz w:val="22"/>
          <w:szCs w:val="22"/>
          <w:lang w:val="es-ES_tradnl"/>
        </w:rPr>
        <w:t xml:space="preserve"> Sobre las limitaciones territoriales de convocatorias </w:t>
      </w:r>
      <w:r w:rsidR="00DB5957">
        <w:rPr>
          <w:rFonts w:ascii="Arial" w:eastAsia="Calibri" w:hAnsi="Arial" w:cs="Arial"/>
          <w:sz w:val="22"/>
          <w:szCs w:val="22"/>
          <w:lang w:val="es-ES_tradnl"/>
        </w:rPr>
        <w:t xml:space="preserve">a </w:t>
      </w:r>
      <w:r w:rsidR="00CE484F">
        <w:rPr>
          <w:rFonts w:ascii="Arial" w:eastAsia="Calibri" w:hAnsi="Arial" w:cs="Arial"/>
          <w:sz w:val="22"/>
          <w:szCs w:val="22"/>
          <w:lang w:val="es-ES_tradnl"/>
        </w:rPr>
        <w:t>M</w:t>
      </w:r>
      <w:r w:rsidR="00B96944">
        <w:rPr>
          <w:rFonts w:ascii="Arial" w:eastAsia="Calibri" w:hAnsi="Arial" w:cs="Arial"/>
          <w:sz w:val="22"/>
          <w:szCs w:val="22"/>
          <w:lang w:val="es-ES_tradnl"/>
        </w:rPr>
        <w:t>ipyme se pronunció en el Concepto C-705 de 7 de diciembre de 2020</w:t>
      </w:r>
      <w:r w:rsidR="00B72E44">
        <w:rPr>
          <w:rFonts w:ascii="Arial" w:eastAsia="Calibri" w:hAnsi="Arial" w:cs="Arial"/>
          <w:sz w:val="22"/>
          <w:szCs w:val="22"/>
          <w:lang w:val="es-ES_tradnl"/>
        </w:rPr>
        <w:t>,</w:t>
      </w:r>
      <w:r w:rsidR="00AA59FD">
        <w:rPr>
          <w:rFonts w:ascii="Arial" w:eastAsia="Calibri" w:hAnsi="Arial" w:cs="Arial"/>
          <w:sz w:val="22"/>
          <w:szCs w:val="22"/>
          <w:lang w:val="es-ES_tradnl"/>
        </w:rPr>
        <w:t xml:space="preserve"> C-523 del 11 de agosto de 2020,</w:t>
      </w:r>
      <w:r w:rsidR="00B96944">
        <w:rPr>
          <w:rFonts w:ascii="Arial" w:eastAsia="Calibri" w:hAnsi="Arial" w:cs="Arial"/>
          <w:sz w:val="22"/>
          <w:szCs w:val="22"/>
          <w:lang w:val="es-ES_tradnl"/>
        </w:rPr>
        <w:t xml:space="preserve"> C-438 de 27 de septiembre de 2021</w:t>
      </w:r>
      <w:r w:rsidR="00B72E44">
        <w:rPr>
          <w:rFonts w:ascii="Arial" w:eastAsia="Calibri" w:hAnsi="Arial" w:cs="Arial"/>
          <w:sz w:val="22"/>
          <w:szCs w:val="22"/>
          <w:lang w:val="es-ES_tradnl"/>
        </w:rPr>
        <w:t xml:space="preserve"> y C-041 del 2 de marzo de 2022</w:t>
      </w:r>
      <w:r w:rsidR="00B96944">
        <w:rPr>
          <w:rFonts w:ascii="Arial" w:eastAsia="Calibri" w:hAnsi="Arial" w:cs="Arial"/>
          <w:sz w:val="22"/>
          <w:szCs w:val="22"/>
          <w:lang w:val="es-ES_tradnl"/>
        </w:rPr>
        <w:t xml:space="preserve">, entre otros. </w:t>
      </w:r>
      <w:r w:rsidRPr="00DA71D7">
        <w:rPr>
          <w:rFonts w:ascii="Arial" w:eastAsia="Calibri" w:hAnsi="Arial" w:cs="Arial"/>
          <w:sz w:val="22"/>
          <w:szCs w:val="22"/>
          <w:lang w:val="es-ES_tradnl"/>
        </w:rPr>
        <w:t xml:space="preserve"> Las consideraciones de estos conceptos se reiteran a continuación</w:t>
      </w:r>
      <w:r>
        <w:rPr>
          <w:rFonts w:ascii="Arial" w:eastAsia="Calibri" w:hAnsi="Arial" w:cs="Arial"/>
          <w:sz w:val="22"/>
          <w:szCs w:val="22"/>
          <w:lang w:val="es-ES_tradnl"/>
        </w:rPr>
        <w:t xml:space="preserve"> y se complementan en lo pertinente</w:t>
      </w:r>
      <w:r w:rsidR="00B20B23">
        <w:rPr>
          <w:rFonts w:ascii="Arial" w:eastAsia="Calibri" w:hAnsi="Arial" w:cs="Arial"/>
          <w:sz w:val="22"/>
          <w:szCs w:val="22"/>
          <w:lang w:val="es-ES_tradnl"/>
        </w:rPr>
        <w:t>:</w:t>
      </w:r>
    </w:p>
    <w:p w14:paraId="331D0ECA" w14:textId="0CEC4B0A" w:rsidR="003C4317" w:rsidRPr="00B9642A" w:rsidRDefault="003C4317" w:rsidP="00271230">
      <w:pPr>
        <w:spacing w:line="276" w:lineRule="auto"/>
        <w:jc w:val="both"/>
        <w:rPr>
          <w:rFonts w:ascii="Arial" w:eastAsia="Calibri" w:hAnsi="Arial" w:cs="Arial"/>
          <w:sz w:val="22"/>
          <w:szCs w:val="22"/>
          <w:lang w:val="es-ES_tradnl"/>
        </w:rPr>
      </w:pPr>
    </w:p>
    <w:p w14:paraId="1BB98AEE" w14:textId="1CE81C6A" w:rsidR="005C6397" w:rsidRPr="00B9642A" w:rsidRDefault="005C6397" w:rsidP="005C6397">
      <w:pPr>
        <w:spacing w:line="276" w:lineRule="auto"/>
        <w:jc w:val="both"/>
        <w:rPr>
          <w:rFonts w:ascii="Arial" w:eastAsia="Calibri" w:hAnsi="Arial" w:cs="Arial"/>
          <w:b/>
          <w:bCs/>
          <w:sz w:val="22"/>
          <w:szCs w:val="22"/>
          <w:lang w:val="es-ES_tradnl"/>
        </w:rPr>
      </w:pPr>
      <w:r w:rsidRPr="00B9642A">
        <w:rPr>
          <w:rFonts w:ascii="Arial" w:eastAsia="Calibri" w:hAnsi="Arial" w:cs="Arial"/>
          <w:b/>
          <w:bCs/>
          <w:sz w:val="22"/>
          <w:szCs w:val="22"/>
          <w:lang w:val="es-ES_tradnl"/>
        </w:rPr>
        <w:t>2.</w:t>
      </w:r>
      <w:r w:rsidR="00B43718" w:rsidRPr="00B9642A">
        <w:rPr>
          <w:rFonts w:ascii="Arial" w:eastAsia="Calibri" w:hAnsi="Arial" w:cs="Arial"/>
          <w:b/>
          <w:bCs/>
          <w:sz w:val="22"/>
          <w:szCs w:val="22"/>
          <w:lang w:val="es-ES_tradnl"/>
        </w:rPr>
        <w:t>1</w:t>
      </w:r>
      <w:r w:rsidRPr="00B9642A">
        <w:rPr>
          <w:rFonts w:ascii="Arial" w:eastAsia="Calibri" w:hAnsi="Arial" w:cs="Arial"/>
          <w:b/>
          <w:bCs/>
          <w:sz w:val="22"/>
          <w:szCs w:val="22"/>
          <w:lang w:val="es-ES_tradnl"/>
        </w:rPr>
        <w:t xml:space="preserve">. Vigencia y ámbito de aplicación de la Ley </w:t>
      </w:r>
      <w:r w:rsidR="001F0325" w:rsidRPr="00B9642A">
        <w:rPr>
          <w:rFonts w:ascii="Arial" w:eastAsia="Calibri" w:hAnsi="Arial" w:cs="Arial"/>
          <w:b/>
          <w:bCs/>
          <w:sz w:val="22"/>
          <w:szCs w:val="22"/>
          <w:lang w:val="es-ES_tradnl"/>
        </w:rPr>
        <w:t>2069</w:t>
      </w:r>
      <w:r w:rsidRPr="00B9642A">
        <w:rPr>
          <w:rFonts w:ascii="Arial" w:eastAsia="Calibri" w:hAnsi="Arial" w:cs="Arial"/>
          <w:b/>
          <w:bCs/>
          <w:sz w:val="22"/>
          <w:szCs w:val="22"/>
          <w:lang w:val="es-ES_tradnl"/>
        </w:rPr>
        <w:t xml:space="preserve"> de 2020</w:t>
      </w:r>
    </w:p>
    <w:p w14:paraId="38137F57" w14:textId="77777777" w:rsidR="005C6397" w:rsidRPr="00B9642A" w:rsidRDefault="005C6397" w:rsidP="005C6397">
      <w:pPr>
        <w:spacing w:line="276" w:lineRule="auto"/>
        <w:jc w:val="both"/>
        <w:rPr>
          <w:rFonts w:ascii="Arial" w:eastAsia="Calibri" w:hAnsi="Arial" w:cs="Arial"/>
          <w:sz w:val="22"/>
          <w:szCs w:val="22"/>
          <w:lang w:val="es-ES_tradnl"/>
        </w:rPr>
      </w:pPr>
    </w:p>
    <w:p w14:paraId="33320CB6" w14:textId="6B008920" w:rsidR="00C47F18" w:rsidRPr="00B9642A" w:rsidRDefault="00C47F18" w:rsidP="00C47F18">
      <w:pPr>
        <w:spacing w:line="276" w:lineRule="auto"/>
        <w:jc w:val="both"/>
        <w:rPr>
          <w:rFonts w:ascii="Arial" w:eastAsia="Calibri" w:hAnsi="Arial" w:cs="Arial"/>
          <w:sz w:val="22"/>
          <w:szCs w:val="22"/>
          <w:lang w:val="es-ES_tradnl"/>
        </w:rPr>
      </w:pPr>
      <w:r w:rsidRPr="00B9642A">
        <w:rPr>
          <w:rFonts w:ascii="Arial" w:eastAsia="Calibri" w:hAnsi="Arial" w:cs="Arial"/>
          <w:sz w:val="22"/>
          <w:szCs w:val="22"/>
          <w:lang w:val="es-ES_tradnl"/>
        </w:rPr>
        <w:t>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w:t>
      </w:r>
      <w:r w:rsidR="00A82013">
        <w:rPr>
          <w:rFonts w:ascii="Arial" w:eastAsia="Calibri" w:hAnsi="Arial" w:cs="Arial"/>
          <w:sz w:val="22"/>
          <w:szCs w:val="22"/>
          <w:lang w:val="es-ES_tradnl"/>
        </w:rPr>
        <w:t>iera</w:t>
      </w:r>
      <w:r w:rsidRPr="00B9642A">
        <w:rPr>
          <w:rFonts w:ascii="Arial" w:eastAsia="Calibri" w:hAnsi="Arial" w:cs="Arial"/>
          <w:sz w:val="22"/>
          <w:szCs w:val="22"/>
          <w:lang w:val="es-ES_tradnl"/>
        </w:rPr>
        <w:t xml:space="preserve"> el decreto correspondiente que permit</w:t>
      </w:r>
      <w:r w:rsidR="00A82013">
        <w:rPr>
          <w:rFonts w:ascii="Arial" w:eastAsia="Calibri" w:hAnsi="Arial" w:cs="Arial"/>
          <w:sz w:val="22"/>
          <w:szCs w:val="22"/>
          <w:lang w:val="es-ES_tradnl"/>
        </w:rPr>
        <w:t>iera</w:t>
      </w:r>
      <w:r w:rsidRPr="00B9642A">
        <w:rPr>
          <w:rFonts w:ascii="Arial" w:eastAsia="Calibri" w:hAnsi="Arial" w:cs="Arial"/>
          <w:sz w:val="22"/>
          <w:szCs w:val="22"/>
          <w:lang w:val="es-ES_tradnl"/>
        </w:rPr>
        <w:t xml:space="preserve"> la cumplida ejecución de esta Ley</w:t>
      </w:r>
      <w:r w:rsidR="00A82013">
        <w:rPr>
          <w:rFonts w:ascii="Arial" w:eastAsia="Calibri" w:hAnsi="Arial" w:cs="Arial"/>
          <w:sz w:val="22"/>
          <w:szCs w:val="22"/>
          <w:lang w:val="es-ES_tradnl"/>
        </w:rPr>
        <w:t>, como, efectivamente, sucedió, según se indica más adelante.</w:t>
      </w:r>
    </w:p>
    <w:p w14:paraId="221E74D7" w14:textId="7B1E2B8D" w:rsidR="00C47F18" w:rsidRPr="00B9642A" w:rsidRDefault="00C47F18" w:rsidP="00C47F18">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w:t>
      </w:r>
      <w:r w:rsidR="00443C25">
        <w:rPr>
          <w:rFonts w:ascii="Arial" w:eastAsia="Calibri" w:hAnsi="Arial" w:cs="Arial"/>
          <w:sz w:val="22"/>
          <w:szCs w:val="22"/>
          <w:lang w:val="es-ES_tradnl"/>
        </w:rPr>
        <w:t>mipymes</w:t>
      </w:r>
      <w:r w:rsidRPr="00B9642A">
        <w:rPr>
          <w:rFonts w:ascii="Arial" w:eastAsia="Calibri" w:hAnsi="Arial" w:cs="Arial"/>
          <w:sz w:val="22"/>
          <w:szCs w:val="22"/>
          <w:lang w:val="es-ES_tradnl"/>
        </w:rPr>
        <w:t>–, mediante la racionalización y simplificación de los trámites y tarifas</w:t>
      </w:r>
      <w:r w:rsidRPr="00B9642A">
        <w:rPr>
          <w:rStyle w:val="Refdenotaalpie"/>
          <w:rFonts w:ascii="Arial" w:eastAsia="Calibri" w:hAnsi="Arial" w:cs="Arial"/>
          <w:sz w:val="22"/>
          <w:szCs w:val="22"/>
          <w:lang w:val="es-ES_tradnl"/>
        </w:rPr>
        <w:footnoteReference w:id="2"/>
      </w:r>
      <w:r w:rsidRPr="00B9642A">
        <w:rPr>
          <w:rFonts w:ascii="Arial" w:eastAsia="Calibri" w:hAnsi="Arial" w:cs="Arial"/>
          <w:sz w:val="22"/>
          <w:szCs w:val="22"/>
          <w:lang w:val="es-ES_tradnl"/>
        </w:rPr>
        <w:t xml:space="preserve">, así como </w:t>
      </w:r>
      <w:r w:rsidRPr="00B9642A">
        <w:rPr>
          <w:rFonts w:ascii="Arial" w:eastAsia="Calibri" w:hAnsi="Arial" w:cs="Arial"/>
          <w:sz w:val="22"/>
          <w:szCs w:val="22"/>
          <w:lang w:val="es-ES_tradnl"/>
        </w:rPr>
        <w:lastRenderedPageBreak/>
        <w:t>incentivos a favor de aquellas dentro del sistema de compras y contratación pública</w:t>
      </w:r>
      <w:r w:rsidRPr="00B9642A">
        <w:rPr>
          <w:rStyle w:val="Refdenotaalpie"/>
          <w:rFonts w:ascii="Arial" w:eastAsia="Calibri" w:hAnsi="Arial" w:cs="Arial"/>
          <w:sz w:val="22"/>
          <w:szCs w:val="22"/>
          <w:lang w:val="es-ES_tradnl"/>
        </w:rPr>
        <w:footnoteReference w:id="3"/>
      </w:r>
      <w:r w:rsidRPr="00B9642A">
        <w:rPr>
          <w:rFonts w:ascii="Arial" w:eastAsia="Calibri" w:hAnsi="Arial" w:cs="Arial"/>
          <w:sz w:val="22"/>
          <w:szCs w:val="22"/>
          <w:lang w:val="es-ES_tradnl"/>
        </w:rPr>
        <w:t>. También se consagran mecanismos de acceso al financiamiento</w:t>
      </w:r>
      <w:r w:rsidRPr="00B9642A">
        <w:rPr>
          <w:rStyle w:val="Refdenotaalpie"/>
          <w:rFonts w:ascii="Arial" w:eastAsia="Calibri" w:hAnsi="Arial" w:cs="Arial"/>
          <w:sz w:val="22"/>
          <w:szCs w:val="22"/>
          <w:lang w:val="es-ES_tradnl"/>
        </w:rPr>
        <w:footnoteReference w:id="4"/>
      </w:r>
      <w:r w:rsidRPr="00B9642A">
        <w:rPr>
          <w:rFonts w:ascii="Arial" w:eastAsia="Calibri" w:hAnsi="Arial" w:cs="Arial"/>
          <w:sz w:val="22"/>
          <w:szCs w:val="22"/>
          <w:lang w:val="es-ES_tradnl"/>
        </w:rPr>
        <w:t>, se unifican las fuentes de emprendimiento y de desarrollo empresarial, para fortalecer y promover los distintos sectores de la economía</w:t>
      </w:r>
      <w:r w:rsidRPr="00B9642A">
        <w:rPr>
          <w:rStyle w:val="Refdenotaalpie"/>
          <w:rFonts w:ascii="Arial" w:eastAsia="Calibri" w:hAnsi="Arial" w:cs="Arial"/>
          <w:sz w:val="22"/>
          <w:szCs w:val="22"/>
          <w:lang w:val="es-ES_tradnl"/>
        </w:rPr>
        <w:footnoteReference w:id="5"/>
      </w:r>
      <w:r w:rsidRPr="00B9642A">
        <w:rPr>
          <w:rFonts w:ascii="Arial" w:eastAsia="Calibri" w:hAnsi="Arial" w:cs="Arial"/>
          <w:sz w:val="22"/>
          <w:szCs w:val="22"/>
          <w:lang w:val="es-ES_tradnl"/>
        </w:rPr>
        <w:t xml:space="preserve"> y se prevén medidas de educación para el emprendimiento y la innovación</w:t>
      </w:r>
      <w:r w:rsidRPr="00B9642A">
        <w:rPr>
          <w:rStyle w:val="Refdenotaalpie"/>
          <w:rFonts w:ascii="Arial" w:eastAsia="Calibri" w:hAnsi="Arial" w:cs="Arial"/>
          <w:sz w:val="22"/>
          <w:szCs w:val="22"/>
          <w:lang w:val="es-ES_tradnl"/>
        </w:rPr>
        <w:footnoteReference w:id="6"/>
      </w:r>
      <w:r w:rsidRPr="00B9642A">
        <w:rPr>
          <w:rFonts w:ascii="Arial" w:eastAsia="Calibri" w:hAnsi="Arial" w:cs="Arial"/>
          <w:sz w:val="22"/>
          <w:szCs w:val="22"/>
          <w:lang w:val="es-ES_tradnl"/>
        </w:rPr>
        <w:t>.</w:t>
      </w:r>
    </w:p>
    <w:p w14:paraId="42EFB9AA" w14:textId="7C8A8197" w:rsidR="005C6397" w:rsidRPr="00B9642A" w:rsidRDefault="005C6397" w:rsidP="005C6397">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Como se indicó, parte de la Ley </w:t>
      </w:r>
      <w:r w:rsidR="001F0325" w:rsidRPr="00B9642A">
        <w:rPr>
          <w:rFonts w:ascii="Arial" w:eastAsia="Calibri" w:hAnsi="Arial" w:cs="Arial"/>
          <w:sz w:val="22"/>
          <w:szCs w:val="22"/>
          <w:lang w:val="es-ES_tradnl"/>
        </w:rPr>
        <w:t>2069</w:t>
      </w:r>
      <w:r w:rsidRPr="00B9642A">
        <w:rPr>
          <w:rFonts w:ascii="Arial" w:eastAsia="Calibri" w:hAnsi="Arial" w:cs="Arial"/>
          <w:sz w:val="22"/>
          <w:szCs w:val="22"/>
          <w:lang w:val="es-ES_tradnl"/>
        </w:rPr>
        <w:t xml:space="preserve"> contiene normas que modifican algunos aspectos de la contratación estatal para promover el emprendimiento. Concretamente, aquellas se encuentran en el Capítulo III –artículos 30 al 36–. En su orden, tales artículos consagran: i) reglas sobre la participación de las mipymes en el procedimiento de mínima cuantía, ii) criterios diferenciales para mipymes en el sistema de compras públicas, iii) criterios diferenciales para emprendimientos y empresas de mujeres en el sistema de compras públicas, iv) promoción del acceso de las mipymes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w:t>
      </w:r>
      <w:r w:rsidR="00BA55E0" w:rsidRPr="00B9642A">
        <w:rPr>
          <w:rFonts w:ascii="Arial" w:eastAsia="Calibri" w:hAnsi="Arial" w:cs="Arial"/>
          <w:sz w:val="22"/>
          <w:szCs w:val="22"/>
          <w:lang w:val="es-ES_tradnl"/>
        </w:rPr>
        <w:t>de</w:t>
      </w:r>
      <w:r w:rsidR="00ED2881" w:rsidRPr="00B9642A">
        <w:rPr>
          <w:rFonts w:ascii="Arial" w:eastAsia="Calibri" w:hAnsi="Arial" w:cs="Arial"/>
          <w:sz w:val="22"/>
          <w:szCs w:val="22"/>
          <w:lang w:val="es-ES_tradnl"/>
        </w:rPr>
        <w:t>l</w:t>
      </w:r>
      <w:r w:rsidR="00BA55E0" w:rsidRPr="00B9642A">
        <w:rPr>
          <w:rFonts w:ascii="Arial" w:eastAsia="Calibri" w:hAnsi="Arial" w:cs="Arial"/>
          <w:sz w:val="22"/>
          <w:szCs w:val="22"/>
          <w:lang w:val="es-ES_tradnl"/>
        </w:rPr>
        <w:t xml:space="preserve"> artículo 34</w:t>
      </w:r>
      <w:r w:rsidRPr="00B9642A">
        <w:rPr>
          <w:rFonts w:ascii="Arial" w:eastAsia="Calibri" w:hAnsi="Arial" w:cs="Arial"/>
          <w:sz w:val="22"/>
          <w:szCs w:val="22"/>
          <w:lang w:val="es-ES_tradnl"/>
        </w:rPr>
        <w:t xml:space="preserve"> de la referida </w:t>
      </w:r>
      <w:r w:rsidR="00ED2881" w:rsidRPr="00B9642A">
        <w:rPr>
          <w:rFonts w:ascii="Arial" w:eastAsia="Calibri" w:hAnsi="Arial" w:cs="Arial"/>
          <w:sz w:val="22"/>
          <w:szCs w:val="22"/>
          <w:lang w:val="es-ES_tradnl"/>
        </w:rPr>
        <w:t>l</w:t>
      </w:r>
      <w:r w:rsidRPr="00B9642A">
        <w:rPr>
          <w:rFonts w:ascii="Arial" w:eastAsia="Calibri" w:hAnsi="Arial" w:cs="Arial"/>
          <w:sz w:val="22"/>
          <w:szCs w:val="22"/>
          <w:lang w:val="es-ES_tradnl"/>
        </w:rPr>
        <w:t xml:space="preserve">ey, a </w:t>
      </w:r>
      <w:r w:rsidR="00F73958" w:rsidRPr="00B9642A">
        <w:rPr>
          <w:rFonts w:ascii="Arial" w:eastAsia="Calibri" w:hAnsi="Arial" w:cs="Arial"/>
          <w:sz w:val="22"/>
          <w:szCs w:val="22"/>
          <w:lang w:val="es-ES_tradnl"/>
        </w:rPr>
        <w:t>continuación,</w:t>
      </w:r>
      <w:r w:rsidRPr="00B9642A">
        <w:rPr>
          <w:rFonts w:ascii="Arial" w:eastAsia="Calibri" w:hAnsi="Arial" w:cs="Arial"/>
          <w:sz w:val="22"/>
          <w:szCs w:val="22"/>
          <w:lang w:val="es-ES_tradnl"/>
        </w:rPr>
        <w:t xml:space="preserve"> se estudiará el contenido y alcance de dicha</w:t>
      </w:r>
      <w:r w:rsidR="00BA55E0" w:rsidRPr="00B9642A">
        <w:rPr>
          <w:rFonts w:ascii="Arial" w:eastAsia="Calibri" w:hAnsi="Arial" w:cs="Arial"/>
          <w:sz w:val="22"/>
          <w:szCs w:val="22"/>
          <w:lang w:val="es-ES_tradnl"/>
        </w:rPr>
        <w:t>s</w:t>
      </w:r>
      <w:r w:rsidRPr="00B9642A">
        <w:rPr>
          <w:rFonts w:ascii="Arial" w:eastAsia="Calibri" w:hAnsi="Arial" w:cs="Arial"/>
          <w:sz w:val="22"/>
          <w:szCs w:val="22"/>
          <w:lang w:val="es-ES_tradnl"/>
        </w:rPr>
        <w:t xml:space="preserve"> norma</w:t>
      </w:r>
      <w:r w:rsidR="00BA55E0" w:rsidRPr="00B9642A">
        <w:rPr>
          <w:rFonts w:ascii="Arial" w:eastAsia="Calibri" w:hAnsi="Arial" w:cs="Arial"/>
          <w:sz w:val="22"/>
          <w:szCs w:val="22"/>
          <w:lang w:val="es-ES_tradnl"/>
        </w:rPr>
        <w:t>s</w:t>
      </w:r>
      <w:r w:rsidRPr="00B9642A">
        <w:rPr>
          <w:rFonts w:ascii="Arial" w:eastAsia="Calibri" w:hAnsi="Arial" w:cs="Arial"/>
          <w:sz w:val="22"/>
          <w:szCs w:val="22"/>
          <w:lang w:val="es-ES_tradnl"/>
        </w:rPr>
        <w:t xml:space="preserve">.  </w:t>
      </w:r>
    </w:p>
    <w:p w14:paraId="60078656" w14:textId="20CE103E" w:rsidR="005C6397" w:rsidRPr="00B9642A" w:rsidRDefault="005C6397" w:rsidP="00271230">
      <w:pPr>
        <w:spacing w:line="276" w:lineRule="auto"/>
        <w:jc w:val="both"/>
        <w:rPr>
          <w:rFonts w:ascii="Arial" w:eastAsia="Calibri" w:hAnsi="Arial" w:cs="Arial"/>
          <w:sz w:val="22"/>
          <w:szCs w:val="22"/>
          <w:lang w:val="es-ES_tradnl"/>
        </w:rPr>
      </w:pPr>
    </w:p>
    <w:p w14:paraId="1C51DF3C" w14:textId="6F1A4C1D" w:rsidR="00A04532" w:rsidRPr="00B9642A" w:rsidRDefault="00A04532" w:rsidP="00271230">
      <w:pPr>
        <w:spacing w:line="276" w:lineRule="auto"/>
        <w:jc w:val="both"/>
        <w:rPr>
          <w:rFonts w:ascii="Arial" w:eastAsia="Calibri" w:hAnsi="Arial" w:cs="Arial"/>
          <w:b/>
          <w:bCs/>
          <w:sz w:val="22"/>
          <w:szCs w:val="22"/>
          <w:lang w:val="es-ES_tradnl"/>
        </w:rPr>
      </w:pPr>
      <w:r w:rsidRPr="00B9642A">
        <w:rPr>
          <w:rFonts w:ascii="Arial" w:eastAsia="Calibri" w:hAnsi="Arial" w:cs="Arial"/>
          <w:b/>
          <w:bCs/>
          <w:sz w:val="22"/>
          <w:szCs w:val="22"/>
          <w:lang w:val="es-ES_tradnl"/>
        </w:rPr>
        <w:t xml:space="preserve">2.2. Regulación de las convocatorias limitadas a mipymes en el artículo 34 de la Ley </w:t>
      </w:r>
      <w:r w:rsidR="001F0325" w:rsidRPr="00B9642A">
        <w:rPr>
          <w:rFonts w:ascii="Arial" w:eastAsia="Calibri" w:hAnsi="Arial" w:cs="Arial"/>
          <w:b/>
          <w:bCs/>
          <w:sz w:val="22"/>
          <w:szCs w:val="22"/>
          <w:lang w:val="es-ES_tradnl"/>
        </w:rPr>
        <w:t>2069</w:t>
      </w:r>
      <w:r w:rsidRPr="00B9642A">
        <w:rPr>
          <w:rFonts w:ascii="Arial" w:eastAsia="Calibri" w:hAnsi="Arial" w:cs="Arial"/>
          <w:b/>
          <w:bCs/>
          <w:sz w:val="22"/>
          <w:szCs w:val="22"/>
          <w:lang w:val="es-ES_tradnl"/>
        </w:rPr>
        <w:t xml:space="preserve"> de 2020</w:t>
      </w:r>
      <w:r w:rsidR="004B0EED">
        <w:rPr>
          <w:rFonts w:ascii="Arial" w:eastAsia="Calibri" w:hAnsi="Arial" w:cs="Arial"/>
          <w:b/>
          <w:bCs/>
          <w:sz w:val="22"/>
          <w:szCs w:val="22"/>
          <w:lang w:val="es-ES_tradnl"/>
        </w:rPr>
        <w:t xml:space="preserve"> y el Decreto 1860 de 2021</w:t>
      </w:r>
      <w:r w:rsidRPr="00B9642A">
        <w:rPr>
          <w:rFonts w:ascii="Arial" w:eastAsia="Calibri" w:hAnsi="Arial" w:cs="Arial"/>
          <w:b/>
          <w:bCs/>
          <w:sz w:val="22"/>
          <w:szCs w:val="22"/>
          <w:lang w:val="es-ES_tradnl"/>
        </w:rPr>
        <w:t xml:space="preserve"> </w:t>
      </w:r>
    </w:p>
    <w:p w14:paraId="0D50FD63" w14:textId="23BCDBD8" w:rsidR="00A04532" w:rsidRPr="00B9642A" w:rsidRDefault="00A04532" w:rsidP="00271230">
      <w:pPr>
        <w:spacing w:line="276" w:lineRule="auto"/>
        <w:jc w:val="both"/>
        <w:rPr>
          <w:rFonts w:ascii="Arial" w:eastAsia="Calibri" w:hAnsi="Arial" w:cs="Arial"/>
          <w:sz w:val="22"/>
          <w:szCs w:val="22"/>
          <w:lang w:val="es-ES_tradnl"/>
        </w:rPr>
      </w:pPr>
    </w:p>
    <w:p w14:paraId="645CC861" w14:textId="13B87C8C" w:rsidR="009A2B60" w:rsidRPr="00B9642A" w:rsidRDefault="00E3212A" w:rsidP="00271230">
      <w:pPr>
        <w:spacing w:line="276" w:lineRule="auto"/>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El artículo 34 de la Ley 2069 de 2020 </w:t>
      </w:r>
      <w:r w:rsidR="002A3F66" w:rsidRPr="00B9642A">
        <w:rPr>
          <w:rFonts w:ascii="Arial" w:eastAsia="Calibri" w:hAnsi="Arial" w:cs="Arial"/>
          <w:sz w:val="22"/>
          <w:szCs w:val="22"/>
          <w:lang w:val="es-ES_tradnl"/>
        </w:rPr>
        <w:t>establece</w:t>
      </w:r>
      <w:r w:rsidR="0063247E" w:rsidRPr="00B9642A">
        <w:rPr>
          <w:rFonts w:ascii="Arial" w:eastAsia="Calibri" w:hAnsi="Arial" w:cs="Arial"/>
          <w:sz w:val="22"/>
          <w:szCs w:val="22"/>
          <w:lang w:val="es-ES_tradnl"/>
        </w:rPr>
        <w:t xml:space="preserve"> nuevas reglas sobre </w:t>
      </w:r>
      <w:r w:rsidR="00F87F37" w:rsidRPr="00B9642A">
        <w:rPr>
          <w:rFonts w:ascii="Arial" w:eastAsia="Calibri" w:hAnsi="Arial" w:cs="Arial"/>
          <w:sz w:val="22"/>
          <w:szCs w:val="22"/>
          <w:lang w:val="es-ES_tradnl"/>
        </w:rPr>
        <w:t xml:space="preserve">la </w:t>
      </w:r>
      <w:r w:rsidR="0063247E" w:rsidRPr="00B9642A">
        <w:rPr>
          <w:rFonts w:ascii="Arial" w:eastAsia="Calibri" w:hAnsi="Arial" w:cs="Arial"/>
          <w:sz w:val="22"/>
          <w:szCs w:val="22"/>
          <w:lang w:val="es-ES_tradnl"/>
        </w:rPr>
        <w:t>promoción al desarrollo en la contratación estatal</w:t>
      </w:r>
      <w:r w:rsidR="000F55A8" w:rsidRPr="00B9642A">
        <w:rPr>
          <w:rFonts w:ascii="Arial" w:eastAsia="Calibri" w:hAnsi="Arial" w:cs="Arial"/>
          <w:sz w:val="22"/>
          <w:szCs w:val="22"/>
          <w:lang w:val="es-ES_tradnl"/>
        </w:rPr>
        <w:t xml:space="preserve">. Concretamente, modifica </w:t>
      </w:r>
      <w:r w:rsidR="00D500ED" w:rsidRPr="00B9642A">
        <w:rPr>
          <w:rFonts w:ascii="Arial" w:eastAsia="Calibri" w:hAnsi="Arial" w:cs="Arial"/>
          <w:sz w:val="22"/>
          <w:szCs w:val="22"/>
          <w:lang w:val="es-ES_tradnl"/>
        </w:rPr>
        <w:t>el contenido del artículo 12 de la Ley 1150 de 2007</w:t>
      </w:r>
      <w:r w:rsidR="00903C57" w:rsidRPr="00B9642A">
        <w:rPr>
          <w:rStyle w:val="Refdenotaalpie"/>
          <w:rFonts w:ascii="Arial" w:eastAsia="Calibri" w:hAnsi="Arial" w:cs="Arial"/>
          <w:sz w:val="22"/>
          <w:szCs w:val="22"/>
          <w:lang w:val="es-ES_tradnl"/>
        </w:rPr>
        <w:footnoteReference w:id="7"/>
      </w:r>
      <w:r w:rsidR="007E7E80" w:rsidRPr="00B9642A">
        <w:rPr>
          <w:rFonts w:ascii="Arial" w:eastAsia="Calibri" w:hAnsi="Arial" w:cs="Arial"/>
          <w:sz w:val="22"/>
          <w:szCs w:val="22"/>
          <w:lang w:val="es-ES_tradnl"/>
        </w:rPr>
        <w:t xml:space="preserve">, prescribiendo </w:t>
      </w:r>
      <w:r w:rsidR="00D11687" w:rsidRPr="00B9642A">
        <w:rPr>
          <w:rFonts w:ascii="Arial" w:eastAsia="Calibri" w:hAnsi="Arial" w:cs="Arial"/>
          <w:sz w:val="22"/>
          <w:szCs w:val="22"/>
          <w:lang w:val="es-ES_tradnl"/>
        </w:rPr>
        <w:t>lo que se indica a continuación</w:t>
      </w:r>
      <w:r w:rsidR="007E7E80" w:rsidRPr="00B9642A">
        <w:rPr>
          <w:rFonts w:ascii="Arial" w:eastAsia="Calibri" w:hAnsi="Arial" w:cs="Arial"/>
          <w:sz w:val="22"/>
          <w:szCs w:val="22"/>
          <w:lang w:val="es-ES_tradnl"/>
        </w:rPr>
        <w:t>:</w:t>
      </w:r>
    </w:p>
    <w:p w14:paraId="04501723" w14:textId="7DE0E9FC" w:rsidR="007E7E80" w:rsidRPr="00B9642A" w:rsidRDefault="007E7E80" w:rsidP="009A2B60">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lastRenderedPageBreak/>
        <w:t xml:space="preserve">i) </w:t>
      </w:r>
      <w:r w:rsidR="00741B0C" w:rsidRPr="00B9642A">
        <w:rPr>
          <w:rFonts w:ascii="Arial" w:eastAsia="Calibri" w:hAnsi="Arial" w:cs="Arial"/>
          <w:sz w:val="22"/>
          <w:szCs w:val="22"/>
          <w:lang w:val="es-ES_tradnl"/>
        </w:rPr>
        <w:t xml:space="preserve">Encomienda, con carácter imperativo, al gobierno nacional </w:t>
      </w:r>
      <w:r w:rsidR="00255AD7" w:rsidRPr="00B9642A">
        <w:rPr>
          <w:rFonts w:ascii="Arial" w:eastAsia="Calibri" w:hAnsi="Arial" w:cs="Arial"/>
          <w:sz w:val="22"/>
          <w:szCs w:val="22"/>
          <w:lang w:val="es-ES_tradnl"/>
        </w:rPr>
        <w:t>definir</w:t>
      </w:r>
      <w:r w:rsidR="00741B0C" w:rsidRPr="00B9642A">
        <w:rPr>
          <w:rFonts w:ascii="Arial" w:eastAsia="Calibri" w:hAnsi="Arial" w:cs="Arial"/>
          <w:sz w:val="22"/>
          <w:szCs w:val="22"/>
          <w:lang w:val="es-ES_tradnl"/>
        </w:rPr>
        <w:t xml:space="preserve"> </w:t>
      </w:r>
      <w:r w:rsidR="00C2186B" w:rsidRPr="00B9642A">
        <w:rPr>
          <w:rFonts w:ascii="Arial" w:eastAsia="Calibri" w:hAnsi="Arial" w:cs="Arial"/>
          <w:sz w:val="22"/>
          <w:szCs w:val="22"/>
          <w:lang w:val="es-ES_tradnl"/>
        </w:rPr>
        <w:t>las condiciones y los montos para que las entidades estatales</w:t>
      </w:r>
      <w:r w:rsidR="003F02A2" w:rsidRPr="00B9642A">
        <w:rPr>
          <w:rFonts w:ascii="Arial" w:eastAsia="Calibri" w:hAnsi="Arial" w:cs="Arial"/>
          <w:sz w:val="22"/>
          <w:szCs w:val="22"/>
          <w:lang w:val="es-ES_tradnl"/>
        </w:rPr>
        <w:t xml:space="preserve"> –cualquiera sea su régimen contractual–</w:t>
      </w:r>
      <w:r w:rsidR="003D4F41" w:rsidRPr="00B9642A">
        <w:rPr>
          <w:rFonts w:ascii="Arial" w:eastAsia="Calibri" w:hAnsi="Arial" w:cs="Arial"/>
          <w:sz w:val="22"/>
          <w:szCs w:val="22"/>
          <w:lang w:val="es-ES_tradnl"/>
        </w:rPr>
        <w:t>, los patrimonios autónomos constituidos por aquellas y los particulares que administren recursos públicos</w:t>
      </w:r>
      <w:r w:rsidR="003F02A2" w:rsidRPr="00B9642A">
        <w:rPr>
          <w:rFonts w:ascii="Arial" w:eastAsia="Calibri" w:hAnsi="Arial" w:cs="Arial"/>
          <w:sz w:val="22"/>
          <w:szCs w:val="22"/>
          <w:lang w:val="es-ES_tradnl"/>
        </w:rPr>
        <w:t xml:space="preserve">, efectúen convocatorias limitadas a </w:t>
      </w:r>
      <w:r w:rsidR="00AA47FA" w:rsidRPr="00B9642A">
        <w:rPr>
          <w:rFonts w:ascii="Arial" w:eastAsia="Calibri" w:hAnsi="Arial" w:cs="Arial"/>
          <w:sz w:val="22"/>
          <w:szCs w:val="22"/>
          <w:lang w:val="es-ES_tradnl"/>
        </w:rPr>
        <w:t>m</w:t>
      </w:r>
      <w:r w:rsidR="003F02A2" w:rsidRPr="00B9642A">
        <w:rPr>
          <w:rFonts w:ascii="Arial" w:eastAsia="Calibri" w:hAnsi="Arial" w:cs="Arial"/>
          <w:sz w:val="22"/>
          <w:szCs w:val="22"/>
          <w:lang w:val="es-ES_tradnl"/>
        </w:rPr>
        <w:t>ipymes</w:t>
      </w:r>
      <w:r w:rsidR="00206F4D" w:rsidRPr="00B9642A">
        <w:rPr>
          <w:rFonts w:ascii="Arial" w:eastAsia="Calibri" w:hAnsi="Arial" w:cs="Arial"/>
          <w:sz w:val="22"/>
          <w:szCs w:val="22"/>
          <w:lang w:val="es-ES_tradnl"/>
        </w:rPr>
        <w:t xml:space="preserve"> en los procesos de contratación.</w:t>
      </w:r>
      <w:r w:rsidR="0082520B" w:rsidRPr="00B9642A">
        <w:rPr>
          <w:rFonts w:ascii="Arial" w:eastAsia="Calibri" w:hAnsi="Arial" w:cs="Arial"/>
          <w:sz w:val="22"/>
          <w:szCs w:val="22"/>
          <w:lang w:val="es-ES_tradnl"/>
        </w:rPr>
        <w:t xml:space="preserve"> </w:t>
      </w:r>
      <w:r w:rsidR="00DC50AA" w:rsidRPr="00B9642A">
        <w:rPr>
          <w:rFonts w:ascii="Arial" w:eastAsia="Calibri" w:hAnsi="Arial" w:cs="Arial"/>
          <w:sz w:val="22"/>
          <w:szCs w:val="22"/>
          <w:lang w:val="es-ES_tradnl"/>
        </w:rPr>
        <w:t xml:space="preserve">Y agrega que estas convocatorias se pueden realizar </w:t>
      </w:r>
      <w:r w:rsidR="003D65E0" w:rsidRPr="00B9642A">
        <w:rPr>
          <w:rFonts w:ascii="Arial" w:eastAsia="Calibri" w:hAnsi="Arial" w:cs="Arial"/>
          <w:sz w:val="22"/>
          <w:szCs w:val="22"/>
          <w:lang w:val="es-ES_tradnl"/>
        </w:rPr>
        <w:t>también en el ámbito municipal o departamental en el que se ejecute el contrato.</w:t>
      </w:r>
      <w:r w:rsidR="00DC50AA" w:rsidRPr="00B9642A">
        <w:rPr>
          <w:rFonts w:ascii="Arial" w:eastAsia="Calibri" w:hAnsi="Arial" w:cs="Arial"/>
          <w:sz w:val="22"/>
          <w:szCs w:val="22"/>
          <w:lang w:val="es-ES_tradnl"/>
        </w:rPr>
        <w:t xml:space="preserve"> </w:t>
      </w:r>
    </w:p>
    <w:p w14:paraId="3B240066" w14:textId="3FF105AC" w:rsidR="00AA47FA" w:rsidRPr="00B9642A" w:rsidRDefault="00206F4D" w:rsidP="009A2B60">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ii) Indica que</w:t>
      </w:r>
      <w:r w:rsidR="005E665F" w:rsidRPr="00B9642A">
        <w:rPr>
          <w:rFonts w:ascii="Arial" w:eastAsia="Calibri" w:hAnsi="Arial" w:cs="Arial"/>
          <w:sz w:val="22"/>
          <w:szCs w:val="22"/>
          <w:lang w:val="es-ES_tradnl"/>
        </w:rPr>
        <w:t xml:space="preserve"> dichas convocatorias se deben efectuar </w:t>
      </w:r>
      <w:r w:rsidR="009A2B60" w:rsidRPr="00B9642A">
        <w:rPr>
          <w:rFonts w:ascii="Arial" w:eastAsia="Calibri" w:hAnsi="Arial" w:cs="Arial"/>
          <w:sz w:val="22"/>
          <w:szCs w:val="22"/>
          <w:lang w:val="es-ES_tradnl"/>
        </w:rPr>
        <w:t xml:space="preserve">siempre </w:t>
      </w:r>
      <w:r w:rsidR="00D22BDD" w:rsidRPr="00B9642A">
        <w:rPr>
          <w:rFonts w:ascii="Arial" w:eastAsia="Calibri" w:hAnsi="Arial" w:cs="Arial"/>
          <w:sz w:val="22"/>
          <w:szCs w:val="22"/>
          <w:lang w:val="es-ES_tradnl"/>
        </w:rPr>
        <w:t>y cuando,</w:t>
      </w:r>
      <w:r w:rsidR="009A2B60" w:rsidRPr="00B9642A">
        <w:rPr>
          <w:rFonts w:ascii="Arial" w:eastAsia="Calibri" w:hAnsi="Arial" w:cs="Arial"/>
          <w:sz w:val="22"/>
          <w:szCs w:val="22"/>
          <w:lang w:val="es-ES_tradnl"/>
        </w:rPr>
        <w:t xml:space="preserve"> antes del acto administrativo de apertura del proceso de selección</w:t>
      </w:r>
      <w:r w:rsidR="00D22BDD" w:rsidRPr="00B9642A">
        <w:rPr>
          <w:rFonts w:ascii="Arial" w:eastAsia="Calibri" w:hAnsi="Arial" w:cs="Arial"/>
          <w:sz w:val="22"/>
          <w:szCs w:val="22"/>
          <w:lang w:val="es-ES_tradnl"/>
        </w:rPr>
        <w:t>,</w:t>
      </w:r>
      <w:r w:rsidR="009A2B60" w:rsidRPr="00B9642A">
        <w:rPr>
          <w:rFonts w:ascii="Arial" w:eastAsia="Calibri" w:hAnsi="Arial" w:cs="Arial"/>
          <w:sz w:val="22"/>
          <w:szCs w:val="22"/>
          <w:lang w:val="es-ES_tradnl"/>
        </w:rPr>
        <w:t xml:space="preserve"> </w:t>
      </w:r>
      <w:r w:rsidR="00AA47FA" w:rsidRPr="00B9642A">
        <w:rPr>
          <w:rFonts w:ascii="Arial" w:eastAsia="Calibri" w:hAnsi="Arial" w:cs="Arial"/>
          <w:sz w:val="22"/>
          <w:szCs w:val="22"/>
          <w:lang w:val="es-ES_tradnl"/>
        </w:rPr>
        <w:t>por lo menos dos</w:t>
      </w:r>
      <w:r w:rsidR="00857638" w:rsidRPr="00B9642A">
        <w:rPr>
          <w:rFonts w:ascii="Arial" w:eastAsia="Calibri" w:hAnsi="Arial" w:cs="Arial"/>
          <w:sz w:val="22"/>
          <w:szCs w:val="22"/>
          <w:lang w:val="es-ES_tradnl"/>
        </w:rPr>
        <w:t xml:space="preserve"> (2)</w:t>
      </w:r>
      <w:r w:rsidR="00AA47FA" w:rsidRPr="00B9642A">
        <w:rPr>
          <w:rFonts w:ascii="Arial" w:eastAsia="Calibri" w:hAnsi="Arial" w:cs="Arial"/>
          <w:sz w:val="22"/>
          <w:szCs w:val="22"/>
          <w:lang w:val="es-ES_tradnl"/>
        </w:rPr>
        <w:t xml:space="preserve"> mipymes hayan manifestado su interés.</w:t>
      </w:r>
    </w:p>
    <w:p w14:paraId="065EDECD" w14:textId="7D4261AC" w:rsidR="00597516" w:rsidRPr="00B9642A" w:rsidRDefault="00AA47FA" w:rsidP="009A2B60">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iii) Determina que uno de los parámetros que deberá tener en cuenta el gobierno nacional para </w:t>
      </w:r>
      <w:r w:rsidR="001858C9" w:rsidRPr="00B9642A">
        <w:rPr>
          <w:rFonts w:ascii="Arial" w:eastAsia="Calibri" w:hAnsi="Arial" w:cs="Arial"/>
          <w:sz w:val="22"/>
          <w:szCs w:val="22"/>
          <w:lang w:val="es-ES_tradnl"/>
        </w:rPr>
        <w:t>reglamentar</w:t>
      </w:r>
      <w:r w:rsidRPr="00B9642A">
        <w:rPr>
          <w:rFonts w:ascii="Arial" w:eastAsia="Calibri" w:hAnsi="Arial" w:cs="Arial"/>
          <w:sz w:val="22"/>
          <w:szCs w:val="22"/>
          <w:lang w:val="es-ES_tradnl"/>
        </w:rPr>
        <w:t xml:space="preserve"> la mate</w:t>
      </w:r>
      <w:r w:rsidR="00400A1B" w:rsidRPr="00B9642A">
        <w:rPr>
          <w:rFonts w:ascii="Arial" w:eastAsia="Calibri" w:hAnsi="Arial" w:cs="Arial"/>
          <w:sz w:val="22"/>
          <w:szCs w:val="22"/>
          <w:lang w:val="es-ES_tradnl"/>
        </w:rPr>
        <w:t xml:space="preserve">ria </w:t>
      </w:r>
      <w:r w:rsidR="006A6D7B" w:rsidRPr="00B9642A">
        <w:rPr>
          <w:rFonts w:ascii="Arial" w:eastAsia="Calibri" w:hAnsi="Arial" w:cs="Arial"/>
          <w:sz w:val="22"/>
          <w:szCs w:val="22"/>
          <w:lang w:val="es-ES_tradnl"/>
        </w:rPr>
        <w:t>es el cumplimiento de</w:t>
      </w:r>
      <w:r w:rsidR="00400A1B" w:rsidRPr="00B9642A">
        <w:rPr>
          <w:rFonts w:ascii="Arial" w:eastAsia="Calibri" w:hAnsi="Arial" w:cs="Arial"/>
          <w:sz w:val="22"/>
          <w:szCs w:val="22"/>
          <w:lang w:val="es-ES_tradnl"/>
        </w:rPr>
        <w:t xml:space="preserve"> los compromisos internacionales vigentes. Es decir que se deberán considerar las estipulaciones</w:t>
      </w:r>
      <w:r w:rsidR="00597516" w:rsidRPr="00B9642A">
        <w:rPr>
          <w:rFonts w:ascii="Arial" w:eastAsia="Calibri" w:hAnsi="Arial" w:cs="Arial"/>
          <w:sz w:val="22"/>
          <w:szCs w:val="22"/>
          <w:lang w:val="es-ES_tradnl"/>
        </w:rPr>
        <w:t xml:space="preserve"> contenidas en los tratados comerciales suscritos entre Colombia y otros Estados.</w:t>
      </w:r>
    </w:p>
    <w:p w14:paraId="7C504D48" w14:textId="74451E22" w:rsidR="00D175B2" w:rsidRPr="00B9642A" w:rsidRDefault="00597516" w:rsidP="009A2B60">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iv)</w:t>
      </w:r>
      <w:r w:rsidR="00AA31C5" w:rsidRPr="00B9642A">
        <w:rPr>
          <w:rFonts w:ascii="Arial" w:eastAsia="Calibri" w:hAnsi="Arial" w:cs="Arial"/>
          <w:sz w:val="22"/>
          <w:szCs w:val="22"/>
          <w:lang w:val="es-ES_tradnl"/>
        </w:rPr>
        <w:t xml:space="preserve"> </w:t>
      </w:r>
      <w:r w:rsidR="00244FC3" w:rsidRPr="00B9642A">
        <w:rPr>
          <w:rFonts w:ascii="Arial" w:eastAsia="Calibri" w:hAnsi="Arial" w:cs="Arial"/>
          <w:sz w:val="22"/>
          <w:szCs w:val="22"/>
          <w:lang w:val="es-ES_tradnl"/>
        </w:rPr>
        <w:t>Establece que</w:t>
      </w:r>
      <w:r w:rsidR="001858C9" w:rsidRPr="00B9642A">
        <w:rPr>
          <w:rFonts w:ascii="Arial" w:eastAsia="Calibri" w:hAnsi="Arial" w:cs="Arial"/>
          <w:sz w:val="22"/>
          <w:szCs w:val="22"/>
          <w:lang w:val="es-ES_tradnl"/>
        </w:rPr>
        <w:t>,</w:t>
      </w:r>
      <w:r w:rsidR="00244FC3" w:rsidRPr="00B9642A">
        <w:rPr>
          <w:rFonts w:ascii="Arial" w:eastAsia="Calibri" w:hAnsi="Arial" w:cs="Arial"/>
          <w:sz w:val="22"/>
          <w:szCs w:val="22"/>
          <w:lang w:val="es-ES_tradnl"/>
        </w:rPr>
        <w:t xml:space="preserve"> en el reglamento</w:t>
      </w:r>
      <w:r w:rsidR="001858C9" w:rsidRPr="00B9642A">
        <w:rPr>
          <w:rFonts w:ascii="Arial" w:eastAsia="Calibri" w:hAnsi="Arial" w:cs="Arial"/>
          <w:sz w:val="22"/>
          <w:szCs w:val="22"/>
          <w:lang w:val="es-ES_tradnl"/>
        </w:rPr>
        <w:t>,</w:t>
      </w:r>
      <w:r w:rsidR="00244FC3" w:rsidRPr="00B9642A">
        <w:rPr>
          <w:rFonts w:ascii="Arial" w:eastAsia="Calibri" w:hAnsi="Arial" w:cs="Arial"/>
          <w:sz w:val="22"/>
          <w:szCs w:val="22"/>
          <w:lang w:val="es-ES_tradnl"/>
        </w:rPr>
        <w:t xml:space="preserve"> el gobierno nacional podría</w:t>
      </w:r>
      <w:r w:rsidR="00D175B2" w:rsidRPr="00B9642A">
        <w:rPr>
          <w:rFonts w:ascii="Arial" w:eastAsia="Calibri" w:hAnsi="Arial" w:cs="Arial"/>
          <w:sz w:val="22"/>
          <w:szCs w:val="22"/>
          <w:lang w:val="es-ES_tradnl"/>
        </w:rPr>
        <w:t xml:space="preserve"> establecer condiciones preferenciales para los bienes y servicios producidos por las mipymes</w:t>
      </w:r>
      <w:r w:rsidR="00D26DE7" w:rsidRPr="00B9642A">
        <w:rPr>
          <w:rFonts w:ascii="Arial" w:eastAsia="Calibri" w:hAnsi="Arial" w:cs="Arial"/>
          <w:sz w:val="22"/>
          <w:szCs w:val="22"/>
          <w:lang w:val="es-ES_tradnl"/>
        </w:rPr>
        <w:t xml:space="preserve">, sin contrariar los </w:t>
      </w:r>
      <w:r w:rsidR="00AA31C5" w:rsidRPr="00B9642A">
        <w:rPr>
          <w:rFonts w:ascii="Arial" w:eastAsia="Calibri" w:hAnsi="Arial" w:cs="Arial"/>
          <w:sz w:val="22"/>
          <w:szCs w:val="22"/>
          <w:lang w:val="es-ES_tradnl"/>
        </w:rPr>
        <w:t>compromisos internacionales</w:t>
      </w:r>
      <w:r w:rsidR="00D26DE7" w:rsidRPr="00B9642A">
        <w:rPr>
          <w:rFonts w:ascii="Arial" w:eastAsia="Calibri" w:hAnsi="Arial" w:cs="Arial"/>
          <w:sz w:val="22"/>
          <w:szCs w:val="22"/>
          <w:lang w:val="es-ES_tradnl"/>
        </w:rPr>
        <w:t xml:space="preserve"> vigentes.</w:t>
      </w:r>
    </w:p>
    <w:p w14:paraId="45F36E6C" w14:textId="3D4CFBCB" w:rsidR="005A1F51" w:rsidRPr="00B9642A" w:rsidRDefault="00D175B2" w:rsidP="009A2B60">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v) </w:t>
      </w:r>
      <w:r w:rsidR="009A2B60" w:rsidRPr="00B9642A">
        <w:rPr>
          <w:rFonts w:ascii="Arial" w:eastAsia="Calibri" w:hAnsi="Arial" w:cs="Arial"/>
          <w:sz w:val="22"/>
          <w:szCs w:val="22"/>
          <w:lang w:val="es-ES_tradnl"/>
        </w:rPr>
        <w:t xml:space="preserve"> </w:t>
      </w:r>
      <w:r w:rsidR="00AA31C5" w:rsidRPr="00B9642A">
        <w:rPr>
          <w:rFonts w:ascii="Arial" w:eastAsia="Calibri" w:hAnsi="Arial" w:cs="Arial"/>
          <w:sz w:val="22"/>
          <w:szCs w:val="22"/>
          <w:lang w:val="es-ES_tradnl"/>
        </w:rPr>
        <w:t>Aclara que tanto las convocatorias limitadas a mipymes, como</w:t>
      </w:r>
      <w:r w:rsidR="00977F52" w:rsidRPr="00B9642A">
        <w:rPr>
          <w:rFonts w:ascii="Arial" w:eastAsia="Calibri" w:hAnsi="Arial" w:cs="Arial"/>
          <w:sz w:val="22"/>
          <w:szCs w:val="22"/>
          <w:lang w:val="es-ES_tradnl"/>
        </w:rPr>
        <w:t xml:space="preserve"> las condiciones preferenciales a favor de los bienes y servicios producidos por estas, no es óbice para que deban cumplir l</w:t>
      </w:r>
      <w:r w:rsidR="005A1F51" w:rsidRPr="00B9642A">
        <w:rPr>
          <w:rFonts w:ascii="Arial" w:eastAsia="Calibri" w:hAnsi="Arial" w:cs="Arial"/>
          <w:sz w:val="22"/>
          <w:szCs w:val="22"/>
          <w:lang w:val="es-ES_tradnl"/>
        </w:rPr>
        <w:t xml:space="preserve">as </w:t>
      </w:r>
      <w:r w:rsidR="00AD30DB" w:rsidRPr="00B9642A">
        <w:rPr>
          <w:rFonts w:ascii="Arial" w:eastAsia="Calibri" w:hAnsi="Arial" w:cs="Arial"/>
          <w:sz w:val="22"/>
          <w:szCs w:val="22"/>
          <w:lang w:val="es-ES_tradnl"/>
        </w:rPr>
        <w:t>exigencias</w:t>
      </w:r>
      <w:r w:rsidR="005A1F51" w:rsidRPr="00B9642A">
        <w:rPr>
          <w:rFonts w:ascii="Arial" w:eastAsia="Calibri" w:hAnsi="Arial" w:cs="Arial"/>
          <w:sz w:val="22"/>
          <w:szCs w:val="22"/>
          <w:lang w:val="es-ES_tradnl"/>
        </w:rPr>
        <w:t xml:space="preserve"> técnicas y económicas </w:t>
      </w:r>
      <w:r w:rsidR="00AD30DB" w:rsidRPr="00B9642A">
        <w:rPr>
          <w:rFonts w:ascii="Arial" w:eastAsia="Calibri" w:hAnsi="Arial" w:cs="Arial"/>
          <w:sz w:val="22"/>
          <w:szCs w:val="22"/>
          <w:lang w:val="es-ES_tradnl"/>
        </w:rPr>
        <w:t>d</w:t>
      </w:r>
      <w:r w:rsidR="005A1F51" w:rsidRPr="00B9642A">
        <w:rPr>
          <w:rFonts w:ascii="Arial" w:eastAsia="Calibri" w:hAnsi="Arial" w:cs="Arial"/>
          <w:sz w:val="22"/>
          <w:szCs w:val="22"/>
          <w:lang w:val="es-ES_tradnl"/>
        </w:rPr>
        <w:t>el proceso de selección.</w:t>
      </w:r>
    </w:p>
    <w:p w14:paraId="41608704" w14:textId="7D2D866F" w:rsidR="009E7068" w:rsidRPr="00B9642A" w:rsidRDefault="005A1F51" w:rsidP="003A058E">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vi) </w:t>
      </w:r>
      <w:r w:rsidR="002C0589" w:rsidRPr="00B9642A">
        <w:rPr>
          <w:rFonts w:ascii="Arial" w:eastAsia="Calibri" w:hAnsi="Arial" w:cs="Arial"/>
          <w:sz w:val="22"/>
          <w:szCs w:val="22"/>
          <w:lang w:val="es-ES_tradnl"/>
        </w:rPr>
        <w:t xml:space="preserve">Señala que el reglamento </w:t>
      </w:r>
      <w:r w:rsidR="00443C25">
        <w:rPr>
          <w:rFonts w:ascii="Arial" w:eastAsia="Calibri" w:hAnsi="Arial" w:cs="Arial"/>
          <w:sz w:val="22"/>
          <w:szCs w:val="22"/>
          <w:lang w:val="es-ES_tradnl"/>
        </w:rPr>
        <w:t xml:space="preserve">a cargo del </w:t>
      </w:r>
      <w:r w:rsidR="002C0589" w:rsidRPr="00B9642A">
        <w:rPr>
          <w:rFonts w:ascii="Arial" w:eastAsia="Calibri" w:hAnsi="Arial" w:cs="Arial"/>
          <w:sz w:val="22"/>
          <w:szCs w:val="22"/>
          <w:lang w:val="es-ES_tradnl"/>
        </w:rPr>
        <w:t>gobierno nacional</w:t>
      </w:r>
      <w:r w:rsidR="00446709" w:rsidRPr="00B9642A">
        <w:rPr>
          <w:rFonts w:ascii="Arial" w:eastAsia="Calibri" w:hAnsi="Arial" w:cs="Arial"/>
          <w:sz w:val="22"/>
          <w:szCs w:val="22"/>
          <w:lang w:val="es-ES_tradnl"/>
        </w:rPr>
        <w:t xml:space="preserve">, además de las convocatorias limitadas a mipymes, deberá contener disposiciones normativas que </w:t>
      </w:r>
      <w:r w:rsidR="00446709" w:rsidRPr="00B9642A">
        <w:rPr>
          <w:rFonts w:ascii="Arial" w:eastAsia="Calibri" w:hAnsi="Arial" w:cs="Arial"/>
          <w:sz w:val="22"/>
          <w:szCs w:val="22"/>
          <w:lang w:val="es-ES_tradnl"/>
        </w:rPr>
        <w:lastRenderedPageBreak/>
        <w:t>permitan la provisión de bienes y servicios, a través de la celebración de contratos estatales</w:t>
      </w:r>
      <w:r w:rsidR="00C04F1B" w:rsidRPr="00B9642A">
        <w:rPr>
          <w:rFonts w:ascii="Arial" w:eastAsia="Calibri" w:hAnsi="Arial" w:cs="Arial"/>
          <w:sz w:val="22"/>
          <w:szCs w:val="22"/>
          <w:lang w:val="es-ES_tradnl"/>
        </w:rPr>
        <w:t xml:space="preserve"> con </w:t>
      </w:r>
      <w:r w:rsidR="00446709" w:rsidRPr="00B9642A">
        <w:rPr>
          <w:rFonts w:ascii="Arial" w:eastAsia="Calibri" w:hAnsi="Arial" w:cs="Arial"/>
          <w:sz w:val="22"/>
          <w:szCs w:val="22"/>
          <w:lang w:val="es-ES_tradnl"/>
        </w:rPr>
        <w:t>algunas personas que gozan de especial protección constitucional.</w:t>
      </w:r>
      <w:r w:rsidR="00206F4D" w:rsidRPr="00B9642A">
        <w:rPr>
          <w:rFonts w:ascii="Arial" w:eastAsia="Calibri" w:hAnsi="Arial" w:cs="Arial"/>
          <w:sz w:val="22"/>
          <w:szCs w:val="22"/>
          <w:lang w:val="es-ES_tradnl"/>
        </w:rPr>
        <w:t xml:space="preserve"> </w:t>
      </w:r>
      <w:r w:rsidR="00C04F1B" w:rsidRPr="00B9642A">
        <w:rPr>
          <w:rFonts w:ascii="Arial" w:eastAsia="Calibri" w:hAnsi="Arial" w:cs="Arial"/>
          <w:sz w:val="22"/>
          <w:szCs w:val="22"/>
          <w:lang w:val="es-ES_tradnl"/>
        </w:rPr>
        <w:t>Entre tales personas se encuentran</w:t>
      </w:r>
      <w:r w:rsidR="00785FB2" w:rsidRPr="00B9642A">
        <w:rPr>
          <w:rFonts w:ascii="Arial" w:eastAsia="Calibri" w:hAnsi="Arial" w:cs="Arial"/>
          <w:sz w:val="22"/>
          <w:szCs w:val="22"/>
          <w:lang w:val="es-ES_tradnl"/>
        </w:rPr>
        <w:t xml:space="preserve"> las que tengan condiciones de pobreza extrema, las desplazadas por la violencia</w:t>
      </w:r>
      <w:r w:rsidR="007E7B55" w:rsidRPr="00B9642A">
        <w:rPr>
          <w:rFonts w:ascii="Arial" w:eastAsia="Calibri" w:hAnsi="Arial" w:cs="Arial"/>
          <w:sz w:val="22"/>
          <w:szCs w:val="22"/>
          <w:lang w:val="es-ES_tradnl"/>
        </w:rPr>
        <w:t xml:space="preserve"> y </w:t>
      </w:r>
      <w:r w:rsidR="00452A7C" w:rsidRPr="00B9642A">
        <w:rPr>
          <w:rFonts w:ascii="Arial" w:eastAsia="Calibri" w:hAnsi="Arial" w:cs="Arial"/>
          <w:sz w:val="22"/>
          <w:szCs w:val="22"/>
          <w:lang w:val="es-ES_tradnl"/>
        </w:rPr>
        <w:t>quienes estén en procesos de reintegración o reincorporación, entre otr</w:t>
      </w:r>
      <w:r w:rsidR="00F47026" w:rsidRPr="00B9642A">
        <w:rPr>
          <w:rFonts w:ascii="Arial" w:eastAsia="Calibri" w:hAnsi="Arial" w:cs="Arial"/>
          <w:sz w:val="22"/>
          <w:szCs w:val="22"/>
          <w:lang w:val="es-ES_tradnl"/>
        </w:rPr>
        <w:t>a</w:t>
      </w:r>
      <w:r w:rsidR="00452A7C" w:rsidRPr="00B9642A">
        <w:rPr>
          <w:rFonts w:ascii="Arial" w:eastAsia="Calibri" w:hAnsi="Arial" w:cs="Arial"/>
          <w:sz w:val="22"/>
          <w:szCs w:val="22"/>
          <w:lang w:val="es-ES_tradnl"/>
        </w:rPr>
        <w:t>s que incluya el reglamento.</w:t>
      </w:r>
    </w:p>
    <w:p w14:paraId="37CB71F7" w14:textId="253BDB69" w:rsidR="003351FF" w:rsidRPr="00B9642A" w:rsidRDefault="003351FF" w:rsidP="003A058E">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vii) Precisa que la posibilidad de participar en convocatorias limitadas a mipymes se encuentra condicionada a que estas</w:t>
      </w:r>
      <w:r w:rsidR="000C084E" w:rsidRPr="00B9642A">
        <w:rPr>
          <w:rFonts w:ascii="Arial" w:eastAsia="Calibri" w:hAnsi="Arial" w:cs="Arial"/>
          <w:sz w:val="22"/>
          <w:szCs w:val="22"/>
          <w:lang w:val="es-ES_tradnl"/>
        </w:rPr>
        <w:t xml:space="preserve"> acrediten como mínimo un año de existencia, con el certificado expedido por la cámara de comercio respectiva</w:t>
      </w:r>
      <w:r w:rsidR="00A84935" w:rsidRPr="00B9642A">
        <w:rPr>
          <w:rFonts w:ascii="Arial" w:eastAsia="Calibri" w:hAnsi="Arial" w:cs="Arial"/>
          <w:sz w:val="22"/>
          <w:szCs w:val="22"/>
          <w:lang w:val="es-ES_tradnl"/>
        </w:rPr>
        <w:t xml:space="preserve"> o por la autoridad que sea competente para ello.</w:t>
      </w:r>
    </w:p>
    <w:p w14:paraId="1B793D8D" w14:textId="6CEF958B" w:rsidR="00DB387B" w:rsidRPr="00B9642A" w:rsidRDefault="00A84935" w:rsidP="00DB387B">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viii) Hace </w:t>
      </w:r>
      <w:r w:rsidR="00DE4E67" w:rsidRPr="00B9642A">
        <w:rPr>
          <w:rFonts w:ascii="Arial" w:eastAsia="Calibri" w:hAnsi="Arial" w:cs="Arial"/>
          <w:sz w:val="22"/>
          <w:szCs w:val="22"/>
          <w:lang w:val="es-ES_tradnl"/>
        </w:rPr>
        <w:t xml:space="preserve">obligatorio el cumplimiento </w:t>
      </w:r>
      <w:r w:rsidR="00772E2A" w:rsidRPr="00B9642A">
        <w:rPr>
          <w:rFonts w:ascii="Arial" w:eastAsia="Calibri" w:hAnsi="Arial" w:cs="Arial"/>
          <w:sz w:val="22"/>
          <w:szCs w:val="22"/>
          <w:lang w:val="es-ES_tradnl"/>
        </w:rPr>
        <w:t>de lo dispuesto en los artículos 90 a 95 de la Ley 418</w:t>
      </w:r>
      <w:r w:rsidR="00AE1713" w:rsidRPr="00B9642A">
        <w:rPr>
          <w:rFonts w:ascii="Arial" w:eastAsia="Calibri" w:hAnsi="Arial" w:cs="Arial"/>
          <w:sz w:val="22"/>
          <w:szCs w:val="22"/>
          <w:lang w:val="es-ES_tradnl"/>
        </w:rPr>
        <w:t xml:space="preserve"> de 1997</w:t>
      </w:r>
      <w:r w:rsidR="00496AC4" w:rsidRPr="00B9642A">
        <w:rPr>
          <w:rFonts w:ascii="Arial" w:eastAsia="Calibri" w:hAnsi="Arial" w:cs="Arial"/>
          <w:sz w:val="22"/>
          <w:szCs w:val="22"/>
          <w:lang w:val="es-ES_tradnl"/>
        </w:rPr>
        <w:t xml:space="preserve"> –</w:t>
      </w:r>
      <w:r w:rsidR="00FA66F9" w:rsidRPr="00B9642A">
        <w:rPr>
          <w:rFonts w:ascii="Arial" w:eastAsia="Calibri" w:hAnsi="Arial" w:cs="Arial"/>
          <w:sz w:val="22"/>
          <w:szCs w:val="22"/>
          <w:lang w:val="es-ES_tradnl"/>
        </w:rPr>
        <w:t xml:space="preserve">normas </w:t>
      </w:r>
      <w:r w:rsidR="00496AC4" w:rsidRPr="00B9642A">
        <w:rPr>
          <w:rFonts w:ascii="Arial" w:eastAsia="Calibri" w:hAnsi="Arial" w:cs="Arial"/>
          <w:sz w:val="22"/>
          <w:szCs w:val="22"/>
          <w:lang w:val="es-ES_tradnl"/>
        </w:rPr>
        <w:t>que establecen la obligación de declarar la caducidad y la liquidación unilateral</w:t>
      </w:r>
      <w:r w:rsidR="00A46A5F" w:rsidRPr="00B9642A">
        <w:rPr>
          <w:rFonts w:ascii="Arial" w:eastAsia="Calibri" w:hAnsi="Arial" w:cs="Arial"/>
          <w:sz w:val="22"/>
          <w:szCs w:val="22"/>
          <w:lang w:val="es-ES_tradnl"/>
        </w:rPr>
        <w:t xml:space="preserve"> cuando el contratista beneficie grupos armados </w:t>
      </w:r>
      <w:r w:rsidR="005F7DE2" w:rsidRPr="00B9642A">
        <w:rPr>
          <w:rFonts w:ascii="Arial" w:eastAsia="Calibri" w:hAnsi="Arial" w:cs="Arial"/>
          <w:sz w:val="22"/>
          <w:szCs w:val="22"/>
          <w:lang w:val="es-ES_tradnl"/>
        </w:rPr>
        <w:t>organizados al margen de la ley–</w:t>
      </w:r>
      <w:r w:rsidR="00AE1713" w:rsidRPr="00B9642A">
        <w:rPr>
          <w:rFonts w:ascii="Arial" w:eastAsia="Calibri" w:hAnsi="Arial" w:cs="Arial"/>
          <w:sz w:val="22"/>
          <w:szCs w:val="22"/>
          <w:lang w:val="es-ES_tradnl"/>
        </w:rPr>
        <w:t xml:space="preserve"> en la ejecución de los contratos celebrados </w:t>
      </w:r>
      <w:r w:rsidR="00496AC4" w:rsidRPr="00B9642A">
        <w:rPr>
          <w:rFonts w:ascii="Arial" w:eastAsia="Calibri" w:hAnsi="Arial" w:cs="Arial"/>
          <w:sz w:val="22"/>
          <w:szCs w:val="22"/>
          <w:lang w:val="es-ES_tradnl"/>
        </w:rPr>
        <w:t>en virtud del artículo 34 de la Ley 2069 de 2020.</w:t>
      </w:r>
    </w:p>
    <w:p w14:paraId="3D9B4BC9" w14:textId="77777777" w:rsidR="00141641" w:rsidRPr="001572B7" w:rsidRDefault="00141641" w:rsidP="00141641">
      <w:pPr>
        <w:spacing w:before="120" w:line="276" w:lineRule="auto"/>
        <w:ind w:firstLine="709"/>
        <w:jc w:val="both"/>
        <w:rPr>
          <w:rFonts w:ascii="Arial" w:eastAsia="Calibri" w:hAnsi="Arial" w:cs="Arial"/>
          <w:sz w:val="22"/>
          <w:szCs w:val="22"/>
          <w:lang w:val="es-ES_tradnl"/>
        </w:rPr>
      </w:pPr>
      <w:r w:rsidRPr="001572B7">
        <w:rPr>
          <w:rFonts w:ascii="Arial" w:eastAsia="Calibri" w:hAnsi="Arial" w:cs="Arial"/>
          <w:sz w:val="22"/>
          <w:szCs w:val="22"/>
          <w:lang w:val="es-ES_tradnl"/>
        </w:rPr>
        <w:t xml:space="preserve">A partir de lo anterior, el artículo 34 de la Ley 2069 de 2020 sustituyó íntegramente el contenido del artículo 12 de la Ley 1150 de 2007. En este sentido, frente a esta última norma se produjo el fenómeno de la subrogación, el cual explica la Corte Constitucional en los siguientes términos: </w:t>
      </w:r>
    </w:p>
    <w:p w14:paraId="09B7346A" w14:textId="77777777" w:rsidR="00141641" w:rsidRPr="001572B7" w:rsidRDefault="00141641" w:rsidP="00141641">
      <w:pPr>
        <w:spacing w:line="276" w:lineRule="auto"/>
        <w:ind w:left="709" w:right="709"/>
        <w:jc w:val="both"/>
        <w:rPr>
          <w:rFonts w:ascii="Arial" w:eastAsia="Calibri" w:hAnsi="Arial" w:cs="Arial"/>
          <w:sz w:val="21"/>
          <w:szCs w:val="21"/>
          <w:lang w:val="es-ES_tradnl"/>
        </w:rPr>
      </w:pPr>
    </w:p>
    <w:p w14:paraId="54628A8B" w14:textId="77777777" w:rsidR="00141641" w:rsidRPr="001572B7" w:rsidRDefault="00141641" w:rsidP="00141641">
      <w:pPr>
        <w:ind w:left="709" w:right="709"/>
        <w:jc w:val="both"/>
        <w:rPr>
          <w:rFonts w:ascii="Arial" w:eastAsia="Calibri" w:hAnsi="Arial" w:cs="Arial"/>
          <w:sz w:val="21"/>
          <w:szCs w:val="21"/>
          <w:lang w:val="es-ES_tradnl"/>
        </w:rPr>
      </w:pPr>
      <w:r w:rsidRPr="001572B7">
        <w:rPr>
          <w:rFonts w:ascii="Arial" w:eastAsia="Calibri" w:hAnsi="Arial" w:cs="Arial"/>
          <w:sz w:val="21"/>
          <w:szCs w:val="21"/>
          <w:lang w:val="es-ES_tradnl"/>
        </w:rPr>
        <w:t>La subrogación es entendida como el acto de sustituir una norma por otra. No se trata de una derogación simple, como quiera que antes que abolir o anular una disposición del sistema normativo establecido, lo que hace es poner un texto normativo en lugar de otro. Como resultado de la subrogación, las normas jurídicas preexistentes y afectadas con la medida pueden en parte ser derogadas, modificadas y en parte sustituidas por otras nuevas; pero también la subrogación puede incluir la reproducción de apartes normativos provenientes del texto legal que se subroga</w:t>
      </w:r>
      <w:r w:rsidRPr="001572B7">
        <w:rPr>
          <w:rStyle w:val="Refdenotaalpie"/>
          <w:rFonts w:ascii="Arial" w:eastAsia="Calibri" w:hAnsi="Arial" w:cs="Arial"/>
          <w:sz w:val="21"/>
          <w:szCs w:val="21"/>
          <w:lang w:val="es-ES_tradnl"/>
        </w:rPr>
        <w:footnoteReference w:id="8"/>
      </w:r>
      <w:r w:rsidRPr="001572B7">
        <w:rPr>
          <w:rFonts w:ascii="Arial" w:eastAsia="Calibri" w:hAnsi="Arial" w:cs="Arial"/>
          <w:sz w:val="21"/>
          <w:szCs w:val="21"/>
          <w:lang w:val="es-ES_tradnl"/>
        </w:rPr>
        <w:t>.</w:t>
      </w:r>
    </w:p>
    <w:p w14:paraId="6369CDA3" w14:textId="77777777" w:rsidR="00141641" w:rsidRPr="001572B7" w:rsidRDefault="00141641" w:rsidP="00141641">
      <w:pPr>
        <w:spacing w:line="276" w:lineRule="auto"/>
        <w:ind w:firstLine="709"/>
        <w:jc w:val="both"/>
        <w:rPr>
          <w:rFonts w:ascii="Arial" w:eastAsia="Calibri" w:hAnsi="Arial" w:cs="Arial"/>
          <w:sz w:val="22"/>
          <w:szCs w:val="22"/>
          <w:lang w:val="es-ES_tradnl"/>
        </w:rPr>
      </w:pPr>
    </w:p>
    <w:p w14:paraId="4DB5416A" w14:textId="5002D99A" w:rsidR="00141641" w:rsidRDefault="00141641" w:rsidP="00141641">
      <w:pPr>
        <w:spacing w:line="276" w:lineRule="auto"/>
        <w:ind w:firstLine="709"/>
        <w:jc w:val="both"/>
        <w:rPr>
          <w:rFonts w:ascii="Arial" w:eastAsia="Calibri" w:hAnsi="Arial" w:cs="Arial"/>
          <w:sz w:val="22"/>
          <w:szCs w:val="22"/>
          <w:lang w:val="es-ES_tradnl"/>
        </w:rPr>
      </w:pPr>
      <w:r w:rsidRPr="001572B7">
        <w:rPr>
          <w:rFonts w:ascii="Arial" w:eastAsia="Calibri" w:hAnsi="Arial" w:cs="Arial"/>
          <w:sz w:val="22"/>
          <w:szCs w:val="22"/>
          <w:lang w:val="es-ES_tradnl"/>
        </w:rPr>
        <w:t>La subrogación es, entonces, una forma de derogación de los actos normativos, que consiste en el reemplazo de su contenido por un enunciado normativo nuevo. Se distingue de la derogación simple en que en este último evento la disposición normativa posterior no sustituye el texto, sino que solo le hace perder vigencia a la disposición normativa anterior. Como lo explica la Corte Constitucional, la subrogación puede presentarse bien porque el enunciado normativo regule de manera diferente una materia o porque reproduzca apartados normativos de otra. Pero lo cierto es que, en uno u otro caso, la disposición normativa anterior pierde vigencia.</w:t>
      </w:r>
    </w:p>
    <w:p w14:paraId="1909D750" w14:textId="4A68166D" w:rsidR="00F128D9" w:rsidRPr="00B9642A" w:rsidRDefault="00BC30B3" w:rsidP="00772AAF">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lastRenderedPageBreak/>
        <w:t xml:space="preserve">Luego de explicar </w:t>
      </w:r>
      <w:r w:rsidR="009715E1" w:rsidRPr="00B9642A">
        <w:rPr>
          <w:rFonts w:ascii="Arial" w:eastAsia="Calibri" w:hAnsi="Arial" w:cs="Arial"/>
          <w:sz w:val="22"/>
          <w:szCs w:val="22"/>
          <w:lang w:val="es-ES_tradnl"/>
        </w:rPr>
        <w:t xml:space="preserve">las reglas incluidas en la nueva regulación de la promoción del desarrollo en la contratación estatal, </w:t>
      </w:r>
      <w:r w:rsidR="0062267E" w:rsidRPr="00B9642A">
        <w:rPr>
          <w:rFonts w:ascii="Arial" w:eastAsia="Calibri" w:hAnsi="Arial" w:cs="Arial"/>
          <w:sz w:val="22"/>
          <w:szCs w:val="22"/>
          <w:lang w:val="es-ES_tradnl"/>
        </w:rPr>
        <w:t>previstas</w:t>
      </w:r>
      <w:r w:rsidR="009715E1" w:rsidRPr="00B9642A">
        <w:rPr>
          <w:rFonts w:ascii="Arial" w:eastAsia="Calibri" w:hAnsi="Arial" w:cs="Arial"/>
          <w:sz w:val="22"/>
          <w:szCs w:val="22"/>
          <w:lang w:val="es-ES_tradnl"/>
        </w:rPr>
        <w:t xml:space="preserve"> en el artículo 34 de la Ley 2069 de 2020</w:t>
      </w:r>
      <w:r w:rsidR="00FA66F9" w:rsidRPr="00B9642A">
        <w:rPr>
          <w:rFonts w:ascii="Arial" w:eastAsia="Calibri" w:hAnsi="Arial" w:cs="Arial"/>
          <w:sz w:val="22"/>
          <w:szCs w:val="22"/>
          <w:lang w:val="es-ES_tradnl"/>
        </w:rPr>
        <w:t>,</w:t>
      </w:r>
      <w:r w:rsidR="000F4A7F" w:rsidRPr="00B9642A">
        <w:rPr>
          <w:rFonts w:ascii="Arial" w:eastAsia="Calibri" w:hAnsi="Arial" w:cs="Arial"/>
          <w:sz w:val="22"/>
          <w:szCs w:val="22"/>
          <w:lang w:val="es-ES_tradnl"/>
        </w:rPr>
        <w:t xml:space="preserve"> y habiendo aclarado que dicha norma </w:t>
      </w:r>
      <w:r w:rsidR="00735CA5" w:rsidRPr="00B9642A">
        <w:rPr>
          <w:rFonts w:ascii="Arial" w:eastAsia="Calibri" w:hAnsi="Arial" w:cs="Arial"/>
          <w:sz w:val="22"/>
          <w:szCs w:val="22"/>
          <w:lang w:val="es-ES_tradnl"/>
        </w:rPr>
        <w:t>modificó</w:t>
      </w:r>
      <w:r w:rsidR="000F4A7F" w:rsidRPr="00B9642A">
        <w:rPr>
          <w:rFonts w:ascii="Arial" w:eastAsia="Calibri" w:hAnsi="Arial" w:cs="Arial"/>
          <w:sz w:val="22"/>
          <w:szCs w:val="22"/>
          <w:lang w:val="es-ES_tradnl"/>
        </w:rPr>
        <w:t xml:space="preserve"> el artículo 12 de la Ley 1150 de 2007, conviene preguntarse qué suced</w:t>
      </w:r>
      <w:r w:rsidR="00141641">
        <w:rPr>
          <w:rFonts w:ascii="Arial" w:eastAsia="Calibri" w:hAnsi="Arial" w:cs="Arial"/>
          <w:sz w:val="22"/>
          <w:szCs w:val="22"/>
          <w:lang w:val="es-ES_tradnl"/>
        </w:rPr>
        <w:t>ió</w:t>
      </w:r>
      <w:r w:rsidR="000F4A7F" w:rsidRPr="00B9642A">
        <w:rPr>
          <w:rFonts w:ascii="Arial" w:eastAsia="Calibri" w:hAnsi="Arial" w:cs="Arial"/>
          <w:sz w:val="22"/>
          <w:szCs w:val="22"/>
          <w:lang w:val="es-ES_tradnl"/>
        </w:rPr>
        <w:t xml:space="preserve"> con la vigencia del artículo</w:t>
      </w:r>
      <w:r w:rsidR="00425B2E" w:rsidRPr="00B9642A">
        <w:rPr>
          <w:rFonts w:ascii="Arial" w:eastAsia="Calibri" w:hAnsi="Arial" w:cs="Arial"/>
          <w:sz w:val="22"/>
          <w:szCs w:val="22"/>
          <w:lang w:val="es-ES_tradnl"/>
        </w:rPr>
        <w:t xml:space="preserve"> 2.2.1.2.4.2.2. del Decreto 1082 de 2015</w:t>
      </w:r>
      <w:r w:rsidR="00384494" w:rsidRPr="00B9642A">
        <w:rPr>
          <w:rFonts w:ascii="Arial" w:eastAsia="Calibri" w:hAnsi="Arial" w:cs="Arial"/>
          <w:sz w:val="22"/>
          <w:szCs w:val="22"/>
          <w:lang w:val="es-ES_tradnl"/>
        </w:rPr>
        <w:t>, que</w:t>
      </w:r>
      <w:r w:rsidR="00735CA5" w:rsidRPr="00B9642A">
        <w:rPr>
          <w:rFonts w:ascii="Arial" w:eastAsia="Calibri" w:hAnsi="Arial" w:cs="Arial"/>
          <w:sz w:val="22"/>
          <w:szCs w:val="22"/>
          <w:lang w:val="es-ES_tradnl"/>
        </w:rPr>
        <w:t>,</w:t>
      </w:r>
      <w:r w:rsidR="00384494" w:rsidRPr="00B9642A">
        <w:rPr>
          <w:rFonts w:ascii="Arial" w:eastAsia="Calibri" w:hAnsi="Arial" w:cs="Arial"/>
          <w:sz w:val="22"/>
          <w:szCs w:val="22"/>
          <w:lang w:val="es-ES_tradnl"/>
        </w:rPr>
        <w:t xml:space="preserve"> hasta la expedición de la Ley 2069 de 2020</w:t>
      </w:r>
      <w:r w:rsidR="00735CA5" w:rsidRPr="00B9642A">
        <w:rPr>
          <w:rFonts w:ascii="Arial" w:eastAsia="Calibri" w:hAnsi="Arial" w:cs="Arial"/>
          <w:sz w:val="22"/>
          <w:szCs w:val="22"/>
          <w:lang w:val="es-ES_tradnl"/>
        </w:rPr>
        <w:t>,</w:t>
      </w:r>
      <w:r w:rsidR="00384494" w:rsidRPr="00B9642A">
        <w:rPr>
          <w:rFonts w:ascii="Arial" w:eastAsia="Calibri" w:hAnsi="Arial" w:cs="Arial"/>
          <w:sz w:val="22"/>
          <w:szCs w:val="22"/>
          <w:lang w:val="es-ES_tradnl"/>
        </w:rPr>
        <w:t xml:space="preserve"> </w:t>
      </w:r>
      <w:r w:rsidR="000323C6" w:rsidRPr="00B9642A">
        <w:rPr>
          <w:rFonts w:ascii="Arial" w:eastAsia="Calibri" w:hAnsi="Arial" w:cs="Arial"/>
          <w:sz w:val="22"/>
          <w:szCs w:val="22"/>
          <w:lang w:val="es-ES_tradnl"/>
        </w:rPr>
        <w:t>regía</w:t>
      </w:r>
      <w:r w:rsidR="00384494" w:rsidRPr="00B9642A">
        <w:rPr>
          <w:rFonts w:ascii="Arial" w:eastAsia="Calibri" w:hAnsi="Arial" w:cs="Arial"/>
          <w:sz w:val="22"/>
          <w:szCs w:val="22"/>
          <w:lang w:val="es-ES_tradnl"/>
        </w:rPr>
        <w:t xml:space="preserve"> las convocatorias limitadas a mipymes.</w:t>
      </w:r>
      <w:r w:rsidR="009477BD" w:rsidRPr="00B9642A">
        <w:rPr>
          <w:rFonts w:ascii="Arial" w:eastAsia="Calibri" w:hAnsi="Arial" w:cs="Arial"/>
          <w:sz w:val="22"/>
          <w:szCs w:val="22"/>
          <w:lang w:val="es-ES_tradnl"/>
        </w:rPr>
        <w:t xml:space="preserve"> En opinión de esta Agencia</w:t>
      </w:r>
      <w:r w:rsidR="000323C6" w:rsidRPr="00B9642A">
        <w:rPr>
          <w:rFonts w:ascii="Arial" w:eastAsia="Calibri" w:hAnsi="Arial" w:cs="Arial"/>
          <w:sz w:val="22"/>
          <w:szCs w:val="22"/>
          <w:lang w:val="es-ES_tradnl"/>
        </w:rPr>
        <w:t>,</w:t>
      </w:r>
      <w:r w:rsidR="009477BD" w:rsidRPr="00B9642A">
        <w:rPr>
          <w:rFonts w:ascii="Arial" w:eastAsia="Calibri" w:hAnsi="Arial" w:cs="Arial"/>
          <w:sz w:val="22"/>
          <w:szCs w:val="22"/>
          <w:lang w:val="es-ES_tradnl"/>
        </w:rPr>
        <w:t xml:space="preserve"> dicho artículo del Decreto reglamentario</w:t>
      </w:r>
      <w:r w:rsidR="00ED572F" w:rsidRPr="00B9642A">
        <w:rPr>
          <w:rFonts w:ascii="Arial" w:eastAsia="Calibri" w:hAnsi="Arial" w:cs="Arial"/>
          <w:sz w:val="22"/>
          <w:szCs w:val="22"/>
          <w:lang w:val="es-ES_tradnl"/>
        </w:rPr>
        <w:t xml:space="preserve"> </w:t>
      </w:r>
      <w:r w:rsidR="00141641">
        <w:rPr>
          <w:rFonts w:ascii="Arial" w:eastAsia="Calibri" w:hAnsi="Arial" w:cs="Arial"/>
          <w:sz w:val="22"/>
          <w:szCs w:val="22"/>
          <w:lang w:val="es-ES_tradnl"/>
        </w:rPr>
        <w:t>perdió vigencia</w:t>
      </w:r>
      <w:r w:rsidR="00ED572F" w:rsidRPr="00B9642A">
        <w:rPr>
          <w:rFonts w:ascii="Arial" w:eastAsia="Calibri" w:hAnsi="Arial" w:cs="Arial"/>
          <w:sz w:val="22"/>
          <w:szCs w:val="22"/>
          <w:lang w:val="es-ES_tradnl"/>
        </w:rPr>
        <w:t xml:space="preserve">, porque su contenido </w:t>
      </w:r>
      <w:r w:rsidR="009C5D02">
        <w:rPr>
          <w:rFonts w:ascii="Arial" w:eastAsia="Calibri" w:hAnsi="Arial" w:cs="Arial"/>
          <w:sz w:val="22"/>
          <w:szCs w:val="22"/>
          <w:lang w:val="es-ES_tradnl"/>
        </w:rPr>
        <w:t>era</w:t>
      </w:r>
      <w:r w:rsidR="00ED572F" w:rsidRPr="00B9642A">
        <w:rPr>
          <w:rFonts w:ascii="Arial" w:eastAsia="Calibri" w:hAnsi="Arial" w:cs="Arial"/>
          <w:sz w:val="22"/>
          <w:szCs w:val="22"/>
          <w:lang w:val="es-ES_tradnl"/>
        </w:rPr>
        <w:t xml:space="preserve"> contrario a</w:t>
      </w:r>
      <w:r w:rsidR="0062267E" w:rsidRPr="00B9642A">
        <w:rPr>
          <w:rFonts w:ascii="Arial" w:eastAsia="Calibri" w:hAnsi="Arial" w:cs="Arial"/>
          <w:sz w:val="22"/>
          <w:szCs w:val="22"/>
          <w:lang w:val="es-ES_tradnl"/>
        </w:rPr>
        <w:t xml:space="preserve">l del artículo 34 de la Ley 2069 de 2020. En tal sentido, </w:t>
      </w:r>
      <w:r w:rsidR="00141641">
        <w:rPr>
          <w:rFonts w:ascii="Arial" w:eastAsia="Calibri" w:hAnsi="Arial" w:cs="Arial"/>
          <w:sz w:val="22"/>
          <w:szCs w:val="22"/>
          <w:lang w:val="es-ES_tradnl"/>
        </w:rPr>
        <w:t xml:space="preserve">operó la </w:t>
      </w:r>
      <w:r w:rsidR="0062267E" w:rsidRPr="00B9642A">
        <w:rPr>
          <w:rFonts w:ascii="Arial" w:eastAsia="Calibri" w:hAnsi="Arial" w:cs="Arial"/>
          <w:sz w:val="22"/>
          <w:szCs w:val="22"/>
          <w:lang w:val="es-ES_tradnl"/>
        </w:rPr>
        <w:t>p</w:t>
      </w:r>
      <w:r w:rsidR="00141641">
        <w:rPr>
          <w:rFonts w:ascii="Arial" w:eastAsia="Calibri" w:hAnsi="Arial" w:cs="Arial"/>
          <w:sz w:val="22"/>
          <w:szCs w:val="22"/>
          <w:lang w:val="es-ES_tradnl"/>
        </w:rPr>
        <w:t>é</w:t>
      </w:r>
      <w:r w:rsidR="0062267E" w:rsidRPr="00B9642A">
        <w:rPr>
          <w:rFonts w:ascii="Arial" w:eastAsia="Calibri" w:hAnsi="Arial" w:cs="Arial"/>
          <w:sz w:val="22"/>
          <w:szCs w:val="22"/>
          <w:lang w:val="es-ES_tradnl"/>
        </w:rPr>
        <w:t>rdid</w:t>
      </w:r>
      <w:r w:rsidR="00141641">
        <w:rPr>
          <w:rFonts w:ascii="Arial" w:eastAsia="Calibri" w:hAnsi="Arial" w:cs="Arial"/>
          <w:sz w:val="22"/>
          <w:szCs w:val="22"/>
          <w:lang w:val="es-ES_tradnl"/>
        </w:rPr>
        <w:t>a de</w:t>
      </w:r>
      <w:r w:rsidR="0062267E" w:rsidRPr="00B9642A">
        <w:rPr>
          <w:rFonts w:ascii="Arial" w:eastAsia="Calibri" w:hAnsi="Arial" w:cs="Arial"/>
          <w:sz w:val="22"/>
          <w:szCs w:val="22"/>
          <w:lang w:val="es-ES_tradnl"/>
        </w:rPr>
        <w:t xml:space="preserve"> fuerza ejecutoria</w:t>
      </w:r>
      <w:r w:rsidR="00F802B0" w:rsidRPr="00B9642A">
        <w:rPr>
          <w:rFonts w:ascii="Arial" w:eastAsia="Calibri" w:hAnsi="Arial" w:cs="Arial"/>
          <w:sz w:val="22"/>
          <w:szCs w:val="22"/>
          <w:lang w:val="es-ES_tradnl"/>
        </w:rPr>
        <w:t xml:space="preserve">, de conformidad con el artículo </w:t>
      </w:r>
      <w:r w:rsidR="007034D9" w:rsidRPr="00B9642A">
        <w:rPr>
          <w:rFonts w:ascii="Arial" w:eastAsia="Calibri" w:hAnsi="Arial" w:cs="Arial"/>
          <w:sz w:val="22"/>
          <w:szCs w:val="22"/>
          <w:lang w:val="es-ES_tradnl"/>
        </w:rPr>
        <w:t>91, numeral 2, de la Ley 1437 de 2011</w:t>
      </w:r>
      <w:r w:rsidR="007936E2" w:rsidRPr="00B9642A">
        <w:rPr>
          <w:rFonts w:ascii="Arial" w:eastAsia="Calibri" w:hAnsi="Arial" w:cs="Arial"/>
          <w:sz w:val="22"/>
          <w:szCs w:val="22"/>
          <w:lang w:val="es-ES_tradnl"/>
        </w:rPr>
        <w:t xml:space="preserve">, </w:t>
      </w:r>
      <w:r w:rsidR="00141641">
        <w:rPr>
          <w:rFonts w:ascii="Arial" w:eastAsia="Calibri" w:hAnsi="Arial" w:cs="Arial"/>
          <w:sz w:val="22"/>
          <w:szCs w:val="22"/>
          <w:lang w:val="es-ES_tradnl"/>
        </w:rPr>
        <w:t xml:space="preserve">que </w:t>
      </w:r>
      <w:r w:rsidR="007936E2" w:rsidRPr="00B9642A">
        <w:rPr>
          <w:rFonts w:ascii="Arial" w:eastAsia="Calibri" w:hAnsi="Arial" w:cs="Arial"/>
          <w:sz w:val="22"/>
          <w:szCs w:val="22"/>
          <w:lang w:val="es-ES_tradnl"/>
        </w:rPr>
        <w:t>establece que los actos administrativos –categoría que</w:t>
      </w:r>
      <w:r w:rsidR="00AD0861" w:rsidRPr="00B9642A">
        <w:rPr>
          <w:rFonts w:ascii="Arial" w:eastAsia="Calibri" w:hAnsi="Arial" w:cs="Arial"/>
          <w:sz w:val="22"/>
          <w:szCs w:val="22"/>
          <w:lang w:val="es-ES_tradnl"/>
        </w:rPr>
        <w:t>,</w:t>
      </w:r>
      <w:r w:rsidR="004278D8" w:rsidRPr="00B9642A">
        <w:rPr>
          <w:rFonts w:ascii="Arial" w:eastAsia="Calibri" w:hAnsi="Arial" w:cs="Arial"/>
          <w:sz w:val="22"/>
          <w:szCs w:val="22"/>
          <w:lang w:val="es-ES_tradnl"/>
        </w:rPr>
        <w:t xml:space="preserve"> como es sabido, </w:t>
      </w:r>
      <w:r w:rsidR="007936E2" w:rsidRPr="00B9642A">
        <w:rPr>
          <w:rFonts w:ascii="Arial" w:eastAsia="Calibri" w:hAnsi="Arial" w:cs="Arial"/>
          <w:sz w:val="22"/>
          <w:szCs w:val="22"/>
          <w:lang w:val="es-ES_tradnl"/>
        </w:rPr>
        <w:t>incluye los decretos reglamentarios–</w:t>
      </w:r>
      <w:r w:rsidR="008D4596" w:rsidRPr="00B9642A">
        <w:rPr>
          <w:rFonts w:ascii="Arial" w:eastAsia="Calibri" w:hAnsi="Arial" w:cs="Arial"/>
          <w:sz w:val="22"/>
          <w:szCs w:val="22"/>
          <w:lang w:val="es-ES_tradnl"/>
        </w:rPr>
        <w:t xml:space="preserve"> dejan de ser obligatorios o decaen «Cuando desaparezcan sus fundamentos de hecho o de derecho».</w:t>
      </w:r>
      <w:r w:rsidR="00772AAF" w:rsidRPr="00B9642A">
        <w:rPr>
          <w:rFonts w:ascii="Arial" w:eastAsia="Calibri" w:hAnsi="Arial" w:cs="Arial"/>
          <w:sz w:val="22"/>
          <w:szCs w:val="22"/>
          <w:lang w:val="es-ES_tradnl"/>
        </w:rPr>
        <w:t xml:space="preserve"> </w:t>
      </w:r>
    </w:p>
    <w:p w14:paraId="55DEAC86" w14:textId="12ADC41C" w:rsidR="00D66968" w:rsidRDefault="009C5D02" w:rsidP="00D66968">
      <w:pPr>
        <w:spacing w:before="120" w:line="276" w:lineRule="auto"/>
        <w:ind w:firstLine="709"/>
        <w:jc w:val="both"/>
        <w:rPr>
          <w:rFonts w:ascii="Arial" w:eastAsia="Calibri" w:hAnsi="Arial" w:cs="Arial"/>
          <w:sz w:val="22"/>
          <w:szCs w:val="22"/>
          <w:lang w:val="es-ES_tradnl"/>
        </w:rPr>
      </w:pPr>
      <w:r>
        <w:rPr>
          <w:rFonts w:ascii="Arial" w:eastAsia="Calibri" w:hAnsi="Arial" w:cs="Arial"/>
          <w:sz w:val="22"/>
          <w:szCs w:val="22"/>
          <w:lang w:val="es-ES_tradnl"/>
        </w:rPr>
        <w:t xml:space="preserve">Lo anterior quedó reafirmado con la expedición del Decreto 1860 de </w:t>
      </w:r>
      <w:r w:rsidR="00D66968">
        <w:rPr>
          <w:rFonts w:ascii="Arial" w:eastAsia="Calibri" w:hAnsi="Arial" w:cs="Arial"/>
          <w:sz w:val="22"/>
          <w:szCs w:val="22"/>
          <w:lang w:val="es-ES_tradnl"/>
        </w:rPr>
        <w:t xml:space="preserve">24 de diciembre de 2021, reglamento que </w:t>
      </w:r>
      <w:r w:rsidR="00D66968" w:rsidRPr="00D66968">
        <w:rPr>
          <w:rFonts w:ascii="Arial" w:eastAsia="Calibri" w:hAnsi="Arial" w:cs="Arial"/>
          <w:sz w:val="22"/>
          <w:szCs w:val="22"/>
          <w:lang w:val="es-ES_tradnl"/>
        </w:rPr>
        <w:t>modific</w:t>
      </w:r>
      <w:r w:rsidR="00D66968">
        <w:rPr>
          <w:rFonts w:ascii="Arial" w:eastAsia="Calibri" w:hAnsi="Arial" w:cs="Arial"/>
          <w:sz w:val="22"/>
          <w:szCs w:val="22"/>
          <w:lang w:val="es-ES_tradnl"/>
        </w:rPr>
        <w:t>ó</w:t>
      </w:r>
      <w:r w:rsidR="004948C5">
        <w:rPr>
          <w:rFonts w:ascii="Arial" w:eastAsia="Calibri" w:hAnsi="Arial" w:cs="Arial"/>
          <w:sz w:val="22"/>
          <w:szCs w:val="22"/>
          <w:lang w:val="es-ES_tradnl"/>
        </w:rPr>
        <w:t>, entre otros aspectos,</w:t>
      </w:r>
      <w:r w:rsidR="00D66968" w:rsidRPr="00D66968">
        <w:rPr>
          <w:rFonts w:ascii="Arial" w:eastAsia="Calibri" w:hAnsi="Arial" w:cs="Arial"/>
          <w:sz w:val="22"/>
          <w:szCs w:val="22"/>
          <w:lang w:val="es-ES_tradnl"/>
        </w:rPr>
        <w:t xml:space="preserve"> la Subsección 5 de la Sección 1 del Capítulo 2 del Título</w:t>
      </w:r>
      <w:r w:rsidR="00D66968">
        <w:rPr>
          <w:rFonts w:ascii="Arial" w:eastAsia="Calibri" w:hAnsi="Arial" w:cs="Arial"/>
          <w:sz w:val="22"/>
          <w:szCs w:val="22"/>
          <w:lang w:val="es-ES_tradnl"/>
        </w:rPr>
        <w:t xml:space="preserve"> </w:t>
      </w:r>
      <w:r w:rsidR="00D66968" w:rsidRPr="00D66968">
        <w:rPr>
          <w:rFonts w:ascii="Arial" w:eastAsia="Calibri" w:hAnsi="Arial" w:cs="Arial"/>
          <w:sz w:val="22"/>
          <w:szCs w:val="22"/>
          <w:lang w:val="es-ES_tradnl"/>
        </w:rPr>
        <w:t>1</w:t>
      </w:r>
      <w:r w:rsidR="00D66968">
        <w:rPr>
          <w:rFonts w:ascii="Arial" w:eastAsia="Calibri" w:hAnsi="Arial" w:cs="Arial"/>
          <w:sz w:val="22"/>
          <w:szCs w:val="22"/>
          <w:lang w:val="es-ES_tradnl"/>
        </w:rPr>
        <w:t xml:space="preserve"> de la Parte 2 del Libro 2 y los artículos 2.2.1.2.4.2.2. y</w:t>
      </w:r>
      <w:r w:rsidR="00E4680C">
        <w:rPr>
          <w:rFonts w:ascii="Arial" w:eastAsia="Calibri" w:hAnsi="Arial" w:cs="Arial"/>
          <w:sz w:val="22"/>
          <w:szCs w:val="22"/>
          <w:lang w:val="es-ES_tradnl"/>
        </w:rPr>
        <w:t xml:space="preserve"> 2.2.1.2.4.2.3. y</w:t>
      </w:r>
      <w:r w:rsidR="00D66968">
        <w:rPr>
          <w:rFonts w:ascii="Arial" w:eastAsia="Calibri" w:hAnsi="Arial" w:cs="Arial"/>
          <w:sz w:val="22"/>
          <w:szCs w:val="22"/>
          <w:lang w:val="es-ES_tradnl"/>
        </w:rPr>
        <w:t xml:space="preserve"> siguientes </w:t>
      </w:r>
      <w:r w:rsidR="00D66968" w:rsidRPr="00D66968">
        <w:rPr>
          <w:rFonts w:ascii="Arial" w:eastAsia="Calibri" w:hAnsi="Arial" w:cs="Arial"/>
          <w:sz w:val="22"/>
          <w:szCs w:val="22"/>
          <w:lang w:val="es-ES_tradnl"/>
        </w:rPr>
        <w:t>del</w:t>
      </w:r>
      <w:r w:rsidR="00D66968">
        <w:rPr>
          <w:rFonts w:ascii="Arial" w:eastAsia="Calibri" w:hAnsi="Arial" w:cs="Arial"/>
          <w:sz w:val="22"/>
          <w:szCs w:val="22"/>
          <w:lang w:val="es-ES_tradnl"/>
        </w:rPr>
        <w:t xml:space="preserve"> </w:t>
      </w:r>
      <w:r w:rsidR="00D66968" w:rsidRPr="00D66968">
        <w:rPr>
          <w:rFonts w:ascii="Arial" w:eastAsia="Calibri" w:hAnsi="Arial" w:cs="Arial"/>
          <w:sz w:val="22"/>
          <w:szCs w:val="22"/>
          <w:lang w:val="es-ES_tradnl"/>
        </w:rPr>
        <w:t>Decreto 1082 de 2015, Único Reglamentario del Sector Administrativo de Planeación Nacional</w:t>
      </w:r>
      <w:r w:rsidR="00B20B23">
        <w:rPr>
          <w:rFonts w:ascii="Arial" w:eastAsia="Calibri" w:hAnsi="Arial" w:cs="Arial"/>
          <w:sz w:val="22"/>
          <w:szCs w:val="22"/>
          <w:lang w:val="es-ES_tradnl"/>
        </w:rPr>
        <w:t>. Esta</w:t>
      </w:r>
      <w:r w:rsidR="00D66968">
        <w:rPr>
          <w:rFonts w:ascii="Arial" w:eastAsia="Calibri" w:hAnsi="Arial" w:cs="Arial"/>
          <w:sz w:val="22"/>
          <w:szCs w:val="22"/>
          <w:lang w:val="es-ES_tradnl"/>
        </w:rPr>
        <w:t xml:space="preserve"> modificación entr</w:t>
      </w:r>
      <w:r w:rsidR="004D3AA9">
        <w:rPr>
          <w:rFonts w:ascii="Arial" w:eastAsia="Calibri" w:hAnsi="Arial" w:cs="Arial"/>
          <w:sz w:val="22"/>
          <w:szCs w:val="22"/>
          <w:lang w:val="es-ES_tradnl"/>
        </w:rPr>
        <w:t>ó</w:t>
      </w:r>
      <w:r w:rsidR="00D66968">
        <w:rPr>
          <w:rFonts w:ascii="Arial" w:eastAsia="Calibri" w:hAnsi="Arial" w:cs="Arial"/>
          <w:sz w:val="22"/>
          <w:szCs w:val="22"/>
          <w:lang w:val="es-ES_tradnl"/>
        </w:rPr>
        <w:t xml:space="preserve"> a regir a partir del 24 de marzo de 2022, </w:t>
      </w:r>
      <w:r w:rsidR="00281451">
        <w:rPr>
          <w:rFonts w:ascii="Arial" w:eastAsia="Calibri" w:hAnsi="Arial" w:cs="Arial"/>
          <w:sz w:val="22"/>
          <w:szCs w:val="22"/>
          <w:lang w:val="es-ES_tradnl"/>
        </w:rPr>
        <w:t>pues</w:t>
      </w:r>
      <w:r w:rsidR="00D66968">
        <w:rPr>
          <w:rFonts w:ascii="Arial" w:eastAsia="Calibri" w:hAnsi="Arial" w:cs="Arial"/>
          <w:sz w:val="22"/>
          <w:szCs w:val="22"/>
          <w:lang w:val="es-ES_tradnl"/>
        </w:rPr>
        <w:t xml:space="preserve"> el artículo 8 de la nueva norma reglamentaria</w:t>
      </w:r>
      <w:r w:rsidR="00281451">
        <w:rPr>
          <w:rFonts w:ascii="Arial" w:eastAsia="Calibri" w:hAnsi="Arial" w:cs="Arial"/>
          <w:sz w:val="22"/>
          <w:szCs w:val="22"/>
          <w:lang w:val="es-ES_tradnl"/>
        </w:rPr>
        <w:t xml:space="preserve"> </w:t>
      </w:r>
      <w:r w:rsidR="008459C5" w:rsidRPr="008459C5">
        <w:rPr>
          <w:rFonts w:ascii="Arial" w:eastAsia="Calibri" w:hAnsi="Arial" w:cs="Arial"/>
          <w:sz w:val="22"/>
          <w:szCs w:val="22"/>
          <w:lang w:val="es-ES_tradnl"/>
        </w:rPr>
        <w:t>sometió la vigencia de los cambios al transcurso del periodo de 3 meses siguientes a la expedición del decreto</w:t>
      </w:r>
      <w:r w:rsidR="008459C5">
        <w:rPr>
          <w:rFonts w:ascii="Arial" w:eastAsia="Calibri" w:hAnsi="Arial" w:cs="Arial"/>
          <w:sz w:val="22"/>
          <w:szCs w:val="22"/>
          <w:lang w:val="es-ES_tradnl"/>
        </w:rPr>
        <w:t>.</w:t>
      </w:r>
    </w:p>
    <w:p w14:paraId="0E284A70" w14:textId="77777777" w:rsidR="002B56AE" w:rsidRDefault="005D6A39" w:rsidP="002B56AE">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Por otro lado, </w:t>
      </w:r>
      <w:r w:rsidR="00F55C2A" w:rsidRPr="00B9642A">
        <w:rPr>
          <w:rFonts w:ascii="Arial" w:eastAsia="Calibri" w:hAnsi="Arial" w:cs="Arial"/>
          <w:sz w:val="22"/>
          <w:szCs w:val="22"/>
          <w:lang w:val="es-ES_tradnl"/>
        </w:rPr>
        <w:t>en cuanto a</w:t>
      </w:r>
      <w:r w:rsidR="00476A5C" w:rsidRPr="00B9642A">
        <w:rPr>
          <w:rFonts w:ascii="Arial" w:eastAsia="Calibri" w:hAnsi="Arial" w:cs="Arial"/>
          <w:sz w:val="22"/>
          <w:szCs w:val="22"/>
          <w:lang w:val="es-ES_tradnl"/>
        </w:rPr>
        <w:t xml:space="preserve"> </w:t>
      </w:r>
      <w:r w:rsidR="004948C5">
        <w:rPr>
          <w:rFonts w:ascii="Arial" w:eastAsia="Calibri" w:hAnsi="Arial" w:cs="Arial"/>
          <w:sz w:val="22"/>
          <w:szCs w:val="22"/>
          <w:lang w:val="es-ES_tradnl"/>
        </w:rPr>
        <w:t>lo dispuesto por el antiguo</w:t>
      </w:r>
      <w:r w:rsidR="00517AC6" w:rsidRPr="00B9642A">
        <w:rPr>
          <w:rFonts w:ascii="Arial" w:eastAsia="Calibri" w:hAnsi="Arial" w:cs="Arial"/>
          <w:sz w:val="22"/>
          <w:szCs w:val="22"/>
          <w:lang w:val="es-ES_tradnl"/>
        </w:rPr>
        <w:t xml:space="preserve"> artículo 2.2.1.2.4.2.3 del Decreto 1082 de 2015</w:t>
      </w:r>
      <w:r w:rsidR="002D07FD" w:rsidRPr="00B9642A">
        <w:rPr>
          <w:rStyle w:val="Refdenotaalpie"/>
          <w:rFonts w:ascii="Arial" w:eastAsia="Calibri" w:hAnsi="Arial" w:cs="Arial"/>
          <w:sz w:val="22"/>
          <w:szCs w:val="22"/>
          <w:lang w:val="es-ES_tradnl"/>
        </w:rPr>
        <w:footnoteReference w:id="9"/>
      </w:r>
      <w:r w:rsidR="00476A5C" w:rsidRPr="00B9642A">
        <w:rPr>
          <w:rFonts w:ascii="Arial" w:eastAsia="Calibri" w:hAnsi="Arial" w:cs="Arial"/>
          <w:sz w:val="22"/>
          <w:szCs w:val="22"/>
          <w:lang w:val="es-ES_tradnl"/>
        </w:rPr>
        <w:t>,</w:t>
      </w:r>
      <w:r w:rsidR="000E707D" w:rsidRPr="00B9642A">
        <w:rPr>
          <w:rFonts w:ascii="Arial" w:eastAsia="Calibri" w:hAnsi="Arial" w:cs="Arial"/>
          <w:sz w:val="22"/>
          <w:szCs w:val="22"/>
          <w:lang w:val="es-ES_tradnl"/>
        </w:rPr>
        <w:t xml:space="preserve"> que regula</w:t>
      </w:r>
      <w:r w:rsidR="004948C5">
        <w:rPr>
          <w:rFonts w:ascii="Arial" w:eastAsia="Calibri" w:hAnsi="Arial" w:cs="Arial"/>
          <w:sz w:val="22"/>
          <w:szCs w:val="22"/>
          <w:lang w:val="es-ES_tradnl"/>
        </w:rPr>
        <w:t>ba la</w:t>
      </w:r>
      <w:r w:rsidR="000E707D" w:rsidRPr="00B9642A">
        <w:rPr>
          <w:rFonts w:ascii="Arial" w:eastAsia="Calibri" w:hAnsi="Arial" w:cs="Arial"/>
          <w:sz w:val="22"/>
          <w:szCs w:val="22"/>
          <w:lang w:val="es-ES_tradnl"/>
        </w:rPr>
        <w:t xml:space="preserve"> posibilidad de limitar convocatorias a mipymes</w:t>
      </w:r>
      <w:r w:rsidR="004C3FAA" w:rsidRPr="00B9642A">
        <w:rPr>
          <w:rFonts w:ascii="Arial" w:eastAsia="Calibri" w:hAnsi="Arial" w:cs="Arial"/>
          <w:sz w:val="22"/>
          <w:szCs w:val="22"/>
          <w:lang w:val="es-ES_tradnl"/>
        </w:rPr>
        <w:t xml:space="preserve"> domiciliadas en un determinado ámbito territorial,</w:t>
      </w:r>
      <w:r w:rsidR="00476A5C" w:rsidRPr="00B9642A">
        <w:rPr>
          <w:rFonts w:ascii="Arial" w:eastAsia="Calibri" w:hAnsi="Arial" w:cs="Arial"/>
          <w:sz w:val="22"/>
          <w:szCs w:val="22"/>
          <w:lang w:val="es-ES_tradnl"/>
        </w:rPr>
        <w:t xml:space="preserve"> se estima que este, al igual que el artículo 2.2.1.2.4.2.2, también </w:t>
      </w:r>
      <w:r w:rsidR="004948C5">
        <w:rPr>
          <w:rFonts w:ascii="Arial" w:eastAsia="Calibri" w:hAnsi="Arial" w:cs="Arial"/>
          <w:sz w:val="22"/>
          <w:szCs w:val="22"/>
          <w:lang w:val="es-ES_tradnl"/>
        </w:rPr>
        <w:t xml:space="preserve">se afectó por </w:t>
      </w:r>
      <w:r w:rsidR="00476A5C" w:rsidRPr="00B9642A">
        <w:rPr>
          <w:rFonts w:ascii="Arial" w:eastAsia="Calibri" w:hAnsi="Arial" w:cs="Arial"/>
          <w:sz w:val="22"/>
          <w:szCs w:val="22"/>
          <w:lang w:val="es-ES_tradnl"/>
        </w:rPr>
        <w:t>el fenómeno del decaimiento</w:t>
      </w:r>
      <w:r w:rsidR="004948C5">
        <w:rPr>
          <w:rFonts w:ascii="Arial" w:eastAsia="Calibri" w:hAnsi="Arial" w:cs="Arial"/>
          <w:sz w:val="22"/>
          <w:szCs w:val="22"/>
          <w:lang w:val="es-ES_tradnl"/>
        </w:rPr>
        <w:t xml:space="preserve"> y hoy quedó sustituido por lo dispuesto en el Decreto 1860 de</w:t>
      </w:r>
      <w:r w:rsidR="00E4680C">
        <w:rPr>
          <w:rFonts w:ascii="Arial" w:eastAsia="Calibri" w:hAnsi="Arial" w:cs="Arial"/>
          <w:sz w:val="22"/>
          <w:szCs w:val="22"/>
          <w:lang w:val="es-ES_tradnl"/>
        </w:rPr>
        <w:t xml:space="preserve"> </w:t>
      </w:r>
      <w:r w:rsidR="004948C5">
        <w:rPr>
          <w:rFonts w:ascii="Arial" w:eastAsia="Calibri" w:hAnsi="Arial" w:cs="Arial"/>
          <w:sz w:val="22"/>
          <w:szCs w:val="22"/>
          <w:lang w:val="es-ES_tradnl"/>
        </w:rPr>
        <w:t>2021</w:t>
      </w:r>
      <w:r w:rsidR="00ED2881" w:rsidRPr="00B9642A">
        <w:rPr>
          <w:rFonts w:ascii="Arial" w:eastAsia="Calibri" w:hAnsi="Arial" w:cs="Arial"/>
          <w:sz w:val="22"/>
          <w:szCs w:val="22"/>
          <w:lang w:val="es-ES_tradnl"/>
        </w:rPr>
        <w:t xml:space="preserve">. </w:t>
      </w:r>
    </w:p>
    <w:p w14:paraId="37C757B5" w14:textId="0BC13559" w:rsidR="0029358B" w:rsidRPr="002B56AE" w:rsidRDefault="0029358B" w:rsidP="002B56AE">
      <w:pPr>
        <w:spacing w:before="120" w:line="276" w:lineRule="auto"/>
        <w:ind w:firstLine="709"/>
        <w:jc w:val="both"/>
        <w:rPr>
          <w:rFonts w:ascii="Arial" w:eastAsia="Calibri" w:hAnsi="Arial" w:cs="Arial"/>
          <w:sz w:val="22"/>
          <w:szCs w:val="22"/>
          <w:lang w:val="es-ES_tradnl"/>
        </w:rPr>
      </w:pPr>
      <w:r w:rsidRPr="00342184">
        <w:rPr>
          <w:rFonts w:ascii="Arial" w:eastAsia="Arial" w:hAnsi="Arial" w:cs="Arial"/>
          <w:color w:val="000000"/>
          <w:sz w:val="22"/>
          <w:szCs w:val="22"/>
        </w:rPr>
        <w:t>A</w:t>
      </w:r>
      <w:r w:rsidR="007D459D">
        <w:rPr>
          <w:rFonts w:ascii="Arial" w:eastAsia="Arial" w:hAnsi="Arial" w:cs="Arial"/>
          <w:color w:val="000000"/>
          <w:sz w:val="22"/>
          <w:szCs w:val="22"/>
        </w:rPr>
        <w:t>nalizado el estado actual de la normativa en materia de limitación a Mipymes, es necesario desarrollar su contenido para dar respuesta a la pregunta realizada. A</w:t>
      </w:r>
      <w:r w:rsidRPr="00342184">
        <w:rPr>
          <w:rFonts w:ascii="Arial" w:eastAsia="Arial" w:hAnsi="Arial" w:cs="Arial"/>
          <w:color w:val="000000"/>
          <w:sz w:val="22"/>
          <w:szCs w:val="22"/>
        </w:rPr>
        <w:t xml:space="preserve"> través del Decreto 1082 de 2015,</w:t>
      </w:r>
      <w:r>
        <w:rPr>
          <w:rFonts w:ascii="Arial" w:eastAsia="Arial" w:hAnsi="Arial" w:cs="Arial"/>
          <w:color w:val="000000"/>
          <w:sz w:val="22"/>
          <w:szCs w:val="22"/>
        </w:rPr>
        <w:t xml:space="preserve"> modificado por las normas mencionadas en el acápite anterior,</w:t>
      </w:r>
      <w:r w:rsidRPr="00342184">
        <w:rPr>
          <w:rFonts w:ascii="Arial" w:eastAsia="Arial" w:hAnsi="Arial" w:cs="Arial"/>
          <w:color w:val="000000"/>
          <w:sz w:val="22"/>
          <w:szCs w:val="22"/>
        </w:rPr>
        <w:t xml:space="preserve"> el Gobierno Nacional adopt</w:t>
      </w:r>
      <w:r w:rsidR="007D459D">
        <w:rPr>
          <w:rFonts w:ascii="Arial" w:eastAsia="Arial" w:hAnsi="Arial" w:cs="Arial"/>
          <w:color w:val="000000"/>
          <w:sz w:val="22"/>
          <w:szCs w:val="22"/>
        </w:rPr>
        <w:t>ó</w:t>
      </w:r>
      <w:r w:rsidRPr="00342184">
        <w:rPr>
          <w:rFonts w:ascii="Arial" w:eastAsia="Arial" w:hAnsi="Arial" w:cs="Arial"/>
          <w:color w:val="000000"/>
          <w:sz w:val="22"/>
          <w:szCs w:val="22"/>
        </w:rPr>
        <w:t xml:space="preserve"> medidas para incentivar la contratación pública. Dentro de estas medidas se resaltan las «convocatorias limitadas a Mipymes» y la «limitación territorial» a Mipymes, contenidas, respectivamente, en los artículos 2.2.1.2.4.2.2. y 2.2.1.2.4.2.3. Este último dice lo siguiente:</w:t>
      </w:r>
    </w:p>
    <w:p w14:paraId="757C79B1" w14:textId="77777777" w:rsidR="0029358B" w:rsidRPr="00342184" w:rsidRDefault="0029358B" w:rsidP="0029358B">
      <w:pPr>
        <w:ind w:firstLine="709"/>
        <w:jc w:val="both"/>
        <w:rPr>
          <w:rFonts w:ascii="Arial" w:eastAsia="Arial" w:hAnsi="Arial" w:cs="Arial"/>
          <w:color w:val="000000"/>
          <w:sz w:val="22"/>
          <w:szCs w:val="22"/>
        </w:rPr>
      </w:pPr>
    </w:p>
    <w:p w14:paraId="43556B52" w14:textId="6478F623" w:rsidR="0029358B" w:rsidRPr="00342184" w:rsidRDefault="007D459D" w:rsidP="00F34A54">
      <w:pPr>
        <w:ind w:left="709" w:right="709"/>
        <w:jc w:val="both"/>
        <w:rPr>
          <w:rFonts w:ascii="Arial" w:eastAsia="Arial" w:hAnsi="Arial" w:cs="Arial"/>
          <w:color w:val="000000"/>
          <w:sz w:val="21"/>
          <w:szCs w:val="21"/>
        </w:rPr>
      </w:pPr>
      <w:r w:rsidRPr="007D459D">
        <w:rPr>
          <w:rFonts w:ascii="Arial" w:eastAsia="Arial" w:hAnsi="Arial" w:cs="Arial"/>
          <w:color w:val="000000"/>
          <w:sz w:val="21"/>
          <w:szCs w:val="21"/>
        </w:rPr>
        <w:t xml:space="preserve">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w:t>
      </w:r>
      <w:r w:rsidRPr="007D459D">
        <w:rPr>
          <w:rFonts w:ascii="Arial" w:eastAsia="Arial" w:hAnsi="Arial" w:cs="Arial"/>
          <w:color w:val="000000"/>
          <w:sz w:val="21"/>
          <w:szCs w:val="21"/>
        </w:rPr>
        <w:lastRenderedPageBreak/>
        <w:t>en donde se va a ejecutar el contrato. Cada Mipyme deberá acreditar su domicilio con los documentos a los que se refiere el siguiente artículo</w:t>
      </w:r>
      <w:r w:rsidR="0029358B" w:rsidRPr="00342184">
        <w:rPr>
          <w:rFonts w:ascii="Arial" w:eastAsia="Arial" w:hAnsi="Arial" w:cs="Arial"/>
          <w:color w:val="000000"/>
          <w:sz w:val="21"/>
          <w:szCs w:val="21"/>
        </w:rPr>
        <w:t>.</w:t>
      </w:r>
    </w:p>
    <w:p w14:paraId="3F02F18B" w14:textId="77777777" w:rsidR="0029358B" w:rsidRPr="00342184" w:rsidRDefault="0029358B" w:rsidP="0029358B">
      <w:pPr>
        <w:ind w:left="709" w:right="760"/>
        <w:jc w:val="both"/>
        <w:rPr>
          <w:rFonts w:ascii="Arial" w:eastAsia="Arial" w:hAnsi="Arial" w:cs="Arial"/>
          <w:color w:val="000000"/>
          <w:sz w:val="21"/>
          <w:szCs w:val="21"/>
        </w:rPr>
      </w:pPr>
    </w:p>
    <w:p w14:paraId="6EF949A5" w14:textId="77777777" w:rsidR="0029358B" w:rsidRPr="00342184" w:rsidRDefault="0029358B" w:rsidP="0029358B">
      <w:pPr>
        <w:ind w:right="760"/>
        <w:jc w:val="both"/>
        <w:rPr>
          <w:rFonts w:ascii="Arial" w:eastAsia="Arial" w:hAnsi="Arial" w:cs="Arial"/>
          <w:color w:val="000000"/>
          <w:sz w:val="22"/>
          <w:szCs w:val="22"/>
        </w:rPr>
      </w:pPr>
      <w:r w:rsidRPr="00342184">
        <w:rPr>
          <w:rFonts w:ascii="Arial" w:eastAsia="Arial" w:hAnsi="Arial" w:cs="Arial"/>
          <w:color w:val="000000"/>
          <w:sz w:val="22"/>
          <w:szCs w:val="22"/>
        </w:rPr>
        <w:t>El artículo 2.2.1.2.4.2.2., por su parte, es del siguiente tenor:</w:t>
      </w:r>
    </w:p>
    <w:p w14:paraId="6C8B2B36" w14:textId="77777777" w:rsidR="0029358B" w:rsidRPr="00342184" w:rsidRDefault="0029358B" w:rsidP="0029358B">
      <w:pPr>
        <w:ind w:left="709" w:right="760"/>
        <w:jc w:val="both"/>
        <w:rPr>
          <w:rFonts w:ascii="Arial" w:eastAsia="Arial" w:hAnsi="Arial" w:cs="Arial"/>
          <w:color w:val="000000"/>
          <w:sz w:val="21"/>
          <w:szCs w:val="21"/>
        </w:rPr>
      </w:pPr>
    </w:p>
    <w:p w14:paraId="22928DB3" w14:textId="77777777" w:rsidR="00F20918" w:rsidRPr="00F20918" w:rsidRDefault="00F20918" w:rsidP="00F34A54">
      <w:pPr>
        <w:spacing w:before="120"/>
        <w:ind w:left="709" w:right="709"/>
        <w:jc w:val="both"/>
        <w:rPr>
          <w:rFonts w:ascii="Arial" w:eastAsia="Arial" w:hAnsi="Arial" w:cs="Arial"/>
          <w:color w:val="000000"/>
          <w:sz w:val="21"/>
          <w:szCs w:val="21"/>
        </w:rPr>
      </w:pPr>
      <w:r w:rsidRPr="00F20918">
        <w:rPr>
          <w:rFonts w:ascii="Arial" w:eastAsia="Arial" w:hAnsi="Arial" w:cs="Arial"/>
          <w:color w:val="000000"/>
          <w:sz w:val="21"/>
          <w:szCs w:val="21"/>
        </w:rPr>
        <w:t>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r>
    </w:p>
    <w:p w14:paraId="64CAF885" w14:textId="77777777" w:rsidR="00F20918" w:rsidRPr="00F20918" w:rsidRDefault="00F20918" w:rsidP="00F34A54">
      <w:pPr>
        <w:spacing w:before="120"/>
        <w:ind w:left="709" w:right="709"/>
        <w:jc w:val="both"/>
        <w:rPr>
          <w:rFonts w:ascii="Arial" w:eastAsia="Arial" w:hAnsi="Arial" w:cs="Arial"/>
          <w:color w:val="000000"/>
          <w:sz w:val="21"/>
          <w:szCs w:val="21"/>
        </w:rPr>
      </w:pPr>
      <w:r w:rsidRPr="00F20918">
        <w:rPr>
          <w:rFonts w:ascii="Arial" w:eastAsia="Arial" w:hAnsi="Arial" w:cs="Arial"/>
          <w:color w:val="000000"/>
          <w:sz w:val="21"/>
          <w:szCs w:val="21"/>
        </w:rPr>
        <w:t>1. El valor del Proceso de Contratación sea menor a ciento veinticinco mil dólares de los Estados Unidos de América (US$125.000), liquidados con la tasa de cambio que para el efecto determina cada dos años el Ministerio de Comercio, Industria y Turismo.</w:t>
      </w:r>
    </w:p>
    <w:p w14:paraId="59B85DD6" w14:textId="77777777" w:rsidR="00F20918" w:rsidRPr="00F20918" w:rsidRDefault="00F20918" w:rsidP="00F34A54">
      <w:pPr>
        <w:spacing w:before="120"/>
        <w:ind w:left="709" w:right="709"/>
        <w:jc w:val="both"/>
        <w:rPr>
          <w:rFonts w:ascii="Arial" w:eastAsia="Arial" w:hAnsi="Arial" w:cs="Arial"/>
          <w:color w:val="000000"/>
          <w:sz w:val="21"/>
          <w:szCs w:val="21"/>
        </w:rPr>
      </w:pPr>
      <w:r w:rsidRPr="00F20918">
        <w:rPr>
          <w:rFonts w:ascii="Arial" w:eastAsia="Arial" w:hAnsi="Arial" w:cs="Arial"/>
          <w:color w:val="000000"/>
          <w:sz w:val="21"/>
          <w:szCs w:val="21"/>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6F7B7A93" w14:textId="7A550BF2" w:rsidR="0029358B" w:rsidRDefault="00F20918" w:rsidP="00F34A54">
      <w:pPr>
        <w:spacing w:before="120"/>
        <w:ind w:left="709" w:right="709"/>
        <w:jc w:val="both"/>
        <w:rPr>
          <w:rFonts w:ascii="Arial" w:eastAsia="Arial" w:hAnsi="Arial" w:cs="Arial"/>
          <w:color w:val="000000"/>
          <w:sz w:val="21"/>
          <w:szCs w:val="21"/>
        </w:rPr>
      </w:pPr>
      <w:r w:rsidRPr="00F20918">
        <w:rPr>
          <w:rFonts w:ascii="Arial" w:eastAsia="Arial" w:hAnsi="Arial" w:cs="Arial"/>
          <w:color w:val="000000"/>
          <w:sz w:val="21"/>
          <w:szCs w:val="21"/>
        </w:rPr>
        <w:t>Tratándose de personas jurídicas, las solicitudes solo las podrán realizar Mipyme, cuyo objeto social les permita ejecutar el contrato relacionado con el proceso contractual.​</w:t>
      </w:r>
    </w:p>
    <w:p w14:paraId="1DFBA742" w14:textId="77777777" w:rsidR="00F20918" w:rsidRDefault="00F20918" w:rsidP="00F20918">
      <w:pPr>
        <w:spacing w:line="276" w:lineRule="auto"/>
        <w:ind w:firstLine="709"/>
        <w:jc w:val="both"/>
        <w:rPr>
          <w:rFonts w:ascii="Arial" w:eastAsia="Arial" w:hAnsi="Arial" w:cs="Arial"/>
          <w:color w:val="000000"/>
          <w:sz w:val="22"/>
          <w:szCs w:val="22"/>
        </w:rPr>
      </w:pPr>
    </w:p>
    <w:p w14:paraId="73D6AD32" w14:textId="25036B24" w:rsidR="00F20918" w:rsidRPr="00342184" w:rsidRDefault="00FF2389" w:rsidP="00F20918">
      <w:pPr>
        <w:spacing w:line="276" w:lineRule="auto"/>
        <w:ind w:firstLine="709"/>
        <w:jc w:val="both"/>
        <w:rPr>
          <w:rFonts w:ascii="Arial" w:eastAsia="Arial" w:hAnsi="Arial" w:cs="Arial"/>
          <w:color w:val="000000"/>
          <w:sz w:val="22"/>
          <w:szCs w:val="22"/>
        </w:rPr>
      </w:pPr>
      <w:r>
        <w:rPr>
          <w:rFonts w:ascii="Arial" w:eastAsia="Arial" w:hAnsi="Arial" w:cs="Arial"/>
          <w:color w:val="000000"/>
          <w:sz w:val="22"/>
          <w:szCs w:val="22"/>
        </w:rPr>
        <w:t>De lo anterior, se evidencia</w:t>
      </w:r>
      <w:r w:rsidR="00F20918" w:rsidRPr="00342184">
        <w:rPr>
          <w:rFonts w:ascii="Arial" w:eastAsia="Arial" w:hAnsi="Arial" w:cs="Arial"/>
          <w:color w:val="000000"/>
          <w:sz w:val="22"/>
          <w:szCs w:val="22"/>
        </w:rPr>
        <w:t xml:space="preserve"> que el Decreto 1082 de 2015 regula la limitación de convocatorias a Mipymes en dos normas distintas, las cuales</w:t>
      </w:r>
      <w:r>
        <w:rPr>
          <w:rFonts w:ascii="Arial" w:eastAsia="Arial" w:hAnsi="Arial" w:cs="Arial"/>
          <w:color w:val="000000"/>
          <w:sz w:val="22"/>
          <w:szCs w:val="22"/>
        </w:rPr>
        <w:t xml:space="preserve"> </w:t>
      </w:r>
      <w:r w:rsidR="00F20918" w:rsidRPr="00342184">
        <w:rPr>
          <w:rFonts w:ascii="Arial" w:eastAsia="Arial" w:hAnsi="Arial" w:cs="Arial"/>
          <w:color w:val="000000"/>
          <w:sz w:val="22"/>
          <w:szCs w:val="22"/>
        </w:rPr>
        <w:t xml:space="preserve">deben leerse conjunta y armónicamente. Por un lado, la que prevé los requisitos generales para que la entidad limite sus convocatorias a Mipymes nacionales y, por el otro, la que establece la posibilidad de regular la convocatoria a Mipymes nacionales domiciliadas en los departamentos o municipios en donde se va a ejecutar el contrato. </w:t>
      </w:r>
    </w:p>
    <w:p w14:paraId="0DBF41CA" w14:textId="00429BA1" w:rsidR="00F20918" w:rsidRPr="00342184" w:rsidRDefault="00F20918" w:rsidP="00F20918">
      <w:pPr>
        <w:spacing w:before="120" w:line="276" w:lineRule="auto"/>
        <w:ind w:firstLine="709"/>
        <w:jc w:val="both"/>
        <w:rPr>
          <w:rFonts w:ascii="Arial" w:eastAsia="Arial" w:hAnsi="Arial" w:cs="Arial"/>
          <w:color w:val="000000"/>
          <w:sz w:val="22"/>
          <w:szCs w:val="22"/>
        </w:rPr>
      </w:pPr>
      <w:r w:rsidRPr="00342184">
        <w:rPr>
          <w:rFonts w:ascii="Arial" w:eastAsia="Arial" w:hAnsi="Arial" w:cs="Arial"/>
          <w:color w:val="000000"/>
          <w:sz w:val="22"/>
          <w:szCs w:val="22"/>
        </w:rPr>
        <w:t xml:space="preserve">Es de resaltar que estas normas se refieren a las Mipymes nacionales genéricamente y, particularmente, a las Mipymes nacionales «domiciliadas en los departamentos o municipios en donde se va a ejecutar el contrato». En ambos casos se refiere a Mipymes nacionales, distinguiéndolas de las empresas extranjeras. Del artículo 2.2.1.2.4.2.3. del Decreto 1082 de 2015 no se deriva que existan Mipymes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Mipyme del orden nacional. Otra cosa es que las normas de contratación permitan que las Mipymes nacionales con «domicilio» en un </w:t>
      </w:r>
      <w:r w:rsidRPr="00F34A54">
        <w:rPr>
          <w:rFonts w:ascii="Arial" w:eastAsia="Arial" w:hAnsi="Arial" w:cs="Arial"/>
          <w:color w:val="000000" w:themeColor="text1"/>
          <w:sz w:val="22"/>
          <w:szCs w:val="22"/>
        </w:rPr>
        <w:t xml:space="preserve">municipio o departamento puedan beneficiarse en la ejecución de un contrato dentro de la </w:t>
      </w:r>
      <w:r w:rsidRPr="00F34A54">
        <w:rPr>
          <w:rFonts w:ascii="Arial" w:eastAsia="Arial" w:hAnsi="Arial" w:cs="Arial"/>
          <w:color w:val="000000" w:themeColor="text1"/>
          <w:sz w:val="22"/>
          <w:szCs w:val="22"/>
        </w:rPr>
        <w:lastRenderedPageBreak/>
        <w:t>entidad territorial en la que tienen su «domicilio». De todos modos, las Mipymes domiciliadas en un municipio o departamento son Mipymes nacionales. En consecuencia, no es procedente distinguir entre Mipymes nacionales y Mipymes municipales o departamentales, habida cuenta que estas últimas no existen como categoría dentro del ordenamiento normativo.</w:t>
      </w:r>
    </w:p>
    <w:p w14:paraId="246D2A98" w14:textId="3B27F453" w:rsidR="006B5211" w:rsidRPr="00342184" w:rsidRDefault="00F20918" w:rsidP="006B5211">
      <w:pPr>
        <w:spacing w:before="120" w:line="276" w:lineRule="auto"/>
        <w:ind w:firstLine="709"/>
        <w:jc w:val="both"/>
        <w:rPr>
          <w:rFonts w:ascii="Arial" w:eastAsia="Arial" w:hAnsi="Arial" w:cs="Arial"/>
          <w:color w:val="000000"/>
          <w:sz w:val="22"/>
          <w:szCs w:val="22"/>
        </w:rPr>
      </w:pPr>
      <w:r w:rsidRPr="00342184">
        <w:rPr>
          <w:rFonts w:ascii="Arial" w:eastAsia="Arial" w:hAnsi="Arial" w:cs="Arial"/>
          <w:color w:val="000000"/>
          <w:sz w:val="22"/>
          <w:szCs w:val="22"/>
        </w:rPr>
        <w:t xml:space="preserve">Igualmente, se debe precisar que el artículo 2.2.1.2.4.2.3. del Decreto 1082 de 2015 se refiere a las «Mipyme nacionales </w:t>
      </w:r>
      <w:r w:rsidRPr="00342184">
        <w:rPr>
          <w:rFonts w:ascii="Arial" w:eastAsia="Arial" w:hAnsi="Arial" w:cs="Arial"/>
          <w:i/>
          <w:color w:val="000000"/>
          <w:sz w:val="22"/>
          <w:szCs w:val="22"/>
        </w:rPr>
        <w:t>domiciliadas</w:t>
      </w:r>
      <w:r w:rsidRPr="00342184">
        <w:rPr>
          <w:rFonts w:ascii="Arial" w:eastAsia="Arial" w:hAnsi="Arial" w:cs="Arial"/>
          <w:color w:val="000000"/>
          <w:sz w:val="22"/>
          <w:szCs w:val="22"/>
        </w:rPr>
        <w:t xml:space="preserve"> en los departamentos o municipios en donde se va a ejecutar el contrato» «cursivas propias», esto es, al «domicilio» y no a las «sucursales». Esta distinción es importante porque el beneficio normativo únicamente aplica en el lugar en el que la Mipyme tiene su «domicilio», y no en donde tiene sucursales.</w:t>
      </w:r>
    </w:p>
    <w:p w14:paraId="7550342A" w14:textId="0D257573" w:rsidR="00F20918" w:rsidRPr="00342184" w:rsidRDefault="00F20918" w:rsidP="00F34A54">
      <w:pPr>
        <w:spacing w:before="120" w:line="276" w:lineRule="auto"/>
        <w:ind w:firstLine="709"/>
        <w:jc w:val="both"/>
        <w:rPr>
          <w:rFonts w:ascii="Arial" w:eastAsia="Arial" w:hAnsi="Arial" w:cs="Arial"/>
          <w:color w:val="000000"/>
          <w:sz w:val="22"/>
          <w:szCs w:val="22"/>
        </w:rPr>
      </w:pPr>
      <w:r w:rsidRPr="00342184">
        <w:rPr>
          <w:rFonts w:ascii="Arial" w:eastAsia="Arial" w:hAnsi="Arial" w:cs="Arial"/>
          <w:color w:val="000000"/>
          <w:sz w:val="22"/>
          <w:szCs w:val="22"/>
        </w:rPr>
        <w:t>El artículo 2.2.1.2.4.2.2. del Decreto 1082 de 2015 establece los requisitos que se deben acreditar en las «convocatorias limitadas a Mipymes».</w:t>
      </w:r>
      <w:r w:rsidR="003D1A65">
        <w:rPr>
          <w:rFonts w:ascii="Arial" w:eastAsia="Arial" w:hAnsi="Arial" w:cs="Arial"/>
          <w:color w:val="000000"/>
          <w:sz w:val="22"/>
          <w:szCs w:val="22"/>
        </w:rPr>
        <w:t xml:space="preserve"> </w:t>
      </w:r>
      <w:r w:rsidRPr="00342184">
        <w:rPr>
          <w:rFonts w:ascii="Arial" w:eastAsia="Arial" w:hAnsi="Arial" w:cs="Arial"/>
          <w:color w:val="000000"/>
          <w:sz w:val="22"/>
          <w:szCs w:val="22"/>
        </w:rPr>
        <w:t>El numeral primero limita cuantitativamente los procesos contractuales en los que se puede hacer esa «convocatoria limitada a Mipymes», en la medida en que el valor del proceso de contratación tendrá que ser «menor a ciento veinticinco mil dólares de los Estados Unidos de América». Esta limitante, valga la pena aclarar, es establecida de acuerdo con la tasa que, para el efecto, determine cada dos años el Ministerio de Comercio, Industria y Turismo. Nótese que la norma no hace referencia a la tasa de cambio representativa del mercado ─TRM</w:t>
      </w:r>
      <w:r w:rsidRPr="00342184">
        <w:rPr>
          <w:rFonts w:ascii="Arial" w:eastAsia="Arial" w:hAnsi="Arial" w:cs="Arial"/>
          <w:color w:val="000000"/>
          <w:sz w:val="22"/>
          <w:szCs w:val="22"/>
          <w:vertAlign w:val="superscript"/>
        </w:rPr>
        <w:footnoteReference w:id="10"/>
      </w:r>
      <w:r w:rsidRPr="00342184">
        <w:rPr>
          <w:rFonts w:ascii="Arial" w:eastAsia="Arial" w:hAnsi="Arial" w:cs="Arial"/>
          <w:color w:val="000000"/>
          <w:sz w:val="22"/>
          <w:szCs w:val="22"/>
        </w:rPr>
        <w:t>─, establecida diariamente por la Superintendencia Financiera de Colombia, según lo que establece el artículo 40 de la Resolución Externa No. 1 de 2018 y la Circular Reglamentaria Externa- DODM-146, ambas expedidas por el Banco de la República.</w:t>
      </w:r>
    </w:p>
    <w:p w14:paraId="20EE37A1" w14:textId="77777777" w:rsidR="00F20918" w:rsidRPr="00342184" w:rsidRDefault="00F20918" w:rsidP="00F20918">
      <w:pPr>
        <w:spacing w:before="120" w:line="276" w:lineRule="auto"/>
        <w:ind w:firstLine="709"/>
        <w:jc w:val="both"/>
        <w:rPr>
          <w:rFonts w:ascii="Arial" w:eastAsia="Arial" w:hAnsi="Arial" w:cs="Arial"/>
          <w:color w:val="000000"/>
          <w:sz w:val="22"/>
          <w:szCs w:val="22"/>
        </w:rPr>
      </w:pPr>
      <w:r w:rsidRPr="00342184">
        <w:rPr>
          <w:rFonts w:ascii="Arial" w:eastAsia="Arial" w:hAnsi="Arial" w:cs="Arial"/>
          <w:color w:val="000000"/>
          <w:sz w:val="22"/>
          <w:szCs w:val="22"/>
        </w:rPr>
        <w:t>Para establecer dicha tasa, el Ministerio toma en cuenta como parámetros, por un lado, el promedio de la TRM</w:t>
      </w:r>
      <w:r w:rsidRPr="00342184">
        <w:rPr>
          <w:rFonts w:ascii="Arial" w:eastAsia="Arial" w:hAnsi="Arial" w:cs="Arial"/>
          <w:color w:val="000000"/>
          <w:sz w:val="22"/>
          <w:szCs w:val="22"/>
          <w:vertAlign w:val="superscript"/>
        </w:rPr>
        <w:footnoteReference w:id="11"/>
      </w:r>
      <w:r w:rsidRPr="00342184">
        <w:rPr>
          <w:rFonts w:ascii="Arial" w:eastAsia="Arial" w:hAnsi="Arial" w:cs="Arial"/>
          <w:color w:val="000000"/>
          <w:sz w:val="22"/>
          <w:szCs w:val="22"/>
        </w:rPr>
        <w:t xml:space="preserve"> de los dos años anteriores al período a calcular y, por el otro, los «veinticinco mil dólares de los Estados Unidos de América» a los que se refiere el numeral 1º del artículo 2.2.1.2.4.2.2. del Decreto 1082 de 2015. Así lo ha hecho para los períodos 2015</w:t>
      </w:r>
      <w:r w:rsidRPr="00342184">
        <w:rPr>
          <w:rFonts w:ascii="Arial" w:eastAsia="Arial" w:hAnsi="Arial" w:cs="Arial"/>
          <w:color w:val="000000"/>
          <w:sz w:val="22"/>
          <w:szCs w:val="22"/>
          <w:vertAlign w:val="superscript"/>
        </w:rPr>
        <w:footnoteReference w:id="12"/>
      </w:r>
      <w:r w:rsidRPr="00342184">
        <w:rPr>
          <w:rFonts w:ascii="Arial" w:eastAsia="Arial" w:hAnsi="Arial" w:cs="Arial"/>
          <w:color w:val="000000"/>
          <w:sz w:val="22"/>
          <w:szCs w:val="22"/>
        </w:rPr>
        <w:t>-2017, 2018-2019 y 2020-2021 (vigente)</w:t>
      </w:r>
      <w:r w:rsidRPr="00342184">
        <w:rPr>
          <w:rFonts w:ascii="Arial" w:eastAsia="Arial" w:hAnsi="Arial" w:cs="Arial"/>
          <w:color w:val="000000"/>
          <w:sz w:val="22"/>
          <w:szCs w:val="22"/>
          <w:vertAlign w:val="superscript"/>
        </w:rPr>
        <w:footnoteReference w:id="13"/>
      </w:r>
      <w:r w:rsidRPr="00342184">
        <w:rPr>
          <w:rFonts w:ascii="Arial" w:eastAsia="Arial" w:hAnsi="Arial" w:cs="Arial"/>
          <w:color w:val="000000"/>
          <w:sz w:val="22"/>
          <w:szCs w:val="22"/>
        </w:rPr>
        <w:t>. Esta entidad, por otro lado, en ejercicio de sus competencias legales y reglamentarias, está encargada de la publicación de la información en su portal Web: https://www.colombiacompra.gov.co/.</w:t>
      </w:r>
    </w:p>
    <w:p w14:paraId="6DD8E571" w14:textId="3748FD05" w:rsidR="00F20918" w:rsidRPr="00342184" w:rsidRDefault="00F20918" w:rsidP="00F20918">
      <w:pPr>
        <w:spacing w:before="120" w:line="276" w:lineRule="auto"/>
        <w:ind w:firstLine="708"/>
        <w:jc w:val="both"/>
        <w:rPr>
          <w:rFonts w:ascii="Arial" w:eastAsia="Arial" w:hAnsi="Arial" w:cs="Arial"/>
          <w:color w:val="000000"/>
          <w:sz w:val="22"/>
          <w:szCs w:val="22"/>
        </w:rPr>
      </w:pPr>
      <w:r w:rsidRPr="00342184">
        <w:rPr>
          <w:rFonts w:ascii="Arial" w:eastAsia="Arial" w:hAnsi="Arial" w:cs="Arial"/>
          <w:color w:val="000000"/>
          <w:sz w:val="22"/>
          <w:szCs w:val="22"/>
        </w:rPr>
        <w:lastRenderedPageBreak/>
        <w:t xml:space="preserve">El numeral segundo establece dos exigencias: por un lado, que al menos </w:t>
      </w:r>
      <w:r w:rsidR="003D1A65">
        <w:rPr>
          <w:rFonts w:ascii="Arial" w:eastAsia="Arial" w:hAnsi="Arial" w:cs="Arial"/>
          <w:color w:val="000000"/>
          <w:sz w:val="22"/>
          <w:szCs w:val="22"/>
        </w:rPr>
        <w:t>dos</w:t>
      </w:r>
      <w:r w:rsidRPr="00342184">
        <w:rPr>
          <w:rFonts w:ascii="Arial" w:eastAsia="Arial" w:hAnsi="Arial" w:cs="Arial"/>
          <w:color w:val="000000"/>
          <w:sz w:val="22"/>
          <w:szCs w:val="22"/>
        </w:rPr>
        <w:t xml:space="preserve"> (</w:t>
      </w:r>
      <w:r w:rsidR="003D1A65">
        <w:rPr>
          <w:rFonts w:ascii="Arial" w:eastAsia="Arial" w:hAnsi="Arial" w:cs="Arial"/>
          <w:color w:val="000000"/>
          <w:sz w:val="22"/>
          <w:szCs w:val="22"/>
        </w:rPr>
        <w:t>2</w:t>
      </w:r>
      <w:r w:rsidRPr="00342184">
        <w:rPr>
          <w:rFonts w:ascii="Arial" w:eastAsia="Arial" w:hAnsi="Arial" w:cs="Arial"/>
          <w:color w:val="000000"/>
          <w:sz w:val="22"/>
          <w:szCs w:val="22"/>
        </w:rPr>
        <w:t xml:space="preserve">) Mipymes nacionales presenten a la entidad la solicitud formal de limitar el proceso contractual; y por el otro, que hagan la solicitud por lo menos un día antes de la apertura del proceso de contratación. En relación con esto último, por su relación con la pregunta </w:t>
      </w:r>
      <w:r w:rsidRPr="00342184">
        <w:rPr>
          <w:rFonts w:ascii="Arial" w:eastAsia="Arial" w:hAnsi="Arial" w:cs="Arial"/>
          <w:i/>
          <w:color w:val="000000"/>
          <w:sz w:val="22"/>
          <w:szCs w:val="22"/>
        </w:rPr>
        <w:t>sub examine</w:t>
      </w:r>
      <w:r w:rsidRPr="00342184">
        <w:rPr>
          <w:rFonts w:ascii="Arial" w:eastAsia="Arial" w:hAnsi="Arial" w:cs="Arial"/>
          <w:color w:val="000000"/>
          <w:sz w:val="22"/>
          <w:szCs w:val="22"/>
        </w:rPr>
        <w:t>, se transcribe el numeral 2 del artículo 2.2.1.2.4.2.2. del Decreto 1082 de 2015:</w:t>
      </w:r>
    </w:p>
    <w:p w14:paraId="34E7049B" w14:textId="77777777" w:rsidR="00F20918" w:rsidRPr="00342184" w:rsidRDefault="00F20918" w:rsidP="00F20918">
      <w:pPr>
        <w:ind w:left="709" w:right="760"/>
        <w:jc w:val="both"/>
        <w:rPr>
          <w:rFonts w:ascii="Arial" w:eastAsia="Arial" w:hAnsi="Arial" w:cs="Arial"/>
          <w:color w:val="000000"/>
          <w:sz w:val="21"/>
          <w:szCs w:val="21"/>
        </w:rPr>
      </w:pPr>
    </w:p>
    <w:p w14:paraId="1DA87F29" w14:textId="4D311FF8" w:rsidR="00F20918" w:rsidRPr="00342184" w:rsidRDefault="00F20918" w:rsidP="00F20918">
      <w:pPr>
        <w:pBdr>
          <w:top w:val="nil"/>
          <w:left w:val="nil"/>
          <w:bottom w:val="nil"/>
          <w:right w:val="nil"/>
          <w:between w:val="nil"/>
        </w:pBdr>
        <w:ind w:left="709" w:right="760"/>
        <w:jc w:val="both"/>
        <w:rPr>
          <w:rFonts w:ascii="Arial" w:eastAsia="Arial" w:hAnsi="Arial" w:cs="Arial"/>
          <w:color w:val="000000"/>
          <w:sz w:val="21"/>
          <w:szCs w:val="21"/>
        </w:rPr>
      </w:pPr>
      <w:r w:rsidRPr="00342184">
        <w:rPr>
          <w:rFonts w:ascii="Arial" w:eastAsia="Arial" w:hAnsi="Arial" w:cs="Arial"/>
          <w:color w:val="000000"/>
          <w:sz w:val="21"/>
          <w:szCs w:val="21"/>
        </w:rPr>
        <w:t xml:space="preserve">[…] 2. </w:t>
      </w:r>
      <w:r w:rsidR="003D1A65" w:rsidRPr="003D1A65">
        <w:rPr>
          <w:rFonts w:ascii="Arial" w:eastAsia="Arial" w:hAnsi="Arial" w:cs="Arial"/>
          <w:color w:val="000000"/>
          <w:sz w:val="21"/>
          <w:szCs w:val="21"/>
        </w:rPr>
        <w:t>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6422FAFE" w14:textId="77777777" w:rsidR="00F20918" w:rsidRPr="00342184" w:rsidRDefault="00F20918" w:rsidP="00F20918">
      <w:pPr>
        <w:jc w:val="both"/>
        <w:rPr>
          <w:rFonts w:ascii="Arial" w:eastAsia="Arial" w:hAnsi="Arial" w:cs="Arial"/>
          <w:color w:val="000000"/>
          <w:sz w:val="22"/>
          <w:szCs w:val="22"/>
        </w:rPr>
      </w:pPr>
    </w:p>
    <w:p w14:paraId="2D03DDD5" w14:textId="7C258AB4" w:rsidR="00F20918" w:rsidRPr="00342184" w:rsidRDefault="00F20918" w:rsidP="00F20918">
      <w:pPr>
        <w:spacing w:before="120" w:line="276" w:lineRule="auto"/>
        <w:ind w:firstLine="708"/>
        <w:jc w:val="both"/>
        <w:rPr>
          <w:rFonts w:ascii="Arial" w:eastAsia="Arial" w:hAnsi="Arial" w:cs="Arial"/>
          <w:color w:val="000000"/>
          <w:sz w:val="22"/>
          <w:szCs w:val="22"/>
        </w:rPr>
      </w:pPr>
      <w:r w:rsidRPr="00342184">
        <w:rPr>
          <w:rFonts w:ascii="Arial" w:eastAsia="Arial" w:hAnsi="Arial" w:cs="Arial"/>
          <w:color w:val="000000"/>
          <w:sz w:val="22"/>
          <w:szCs w:val="22"/>
        </w:rPr>
        <w:t>Es importante resaltar dos aspectos</w:t>
      </w:r>
      <w:r w:rsidR="005F2DD0">
        <w:rPr>
          <w:rFonts w:ascii="Arial" w:eastAsia="Arial" w:hAnsi="Arial" w:cs="Arial"/>
          <w:color w:val="000000"/>
          <w:sz w:val="22"/>
          <w:szCs w:val="22"/>
        </w:rPr>
        <w:t>:</w:t>
      </w:r>
      <w:r w:rsidRPr="00342184">
        <w:rPr>
          <w:rFonts w:ascii="Arial" w:eastAsia="Arial" w:hAnsi="Arial" w:cs="Arial"/>
          <w:color w:val="000000"/>
          <w:sz w:val="22"/>
          <w:szCs w:val="22"/>
        </w:rPr>
        <w:t xml:space="preserve"> </w:t>
      </w:r>
      <w:r w:rsidRPr="00342184">
        <w:rPr>
          <w:rFonts w:ascii="Arial" w:eastAsia="Arial" w:hAnsi="Arial" w:cs="Arial"/>
          <w:i/>
          <w:color w:val="000000"/>
          <w:sz w:val="22"/>
          <w:szCs w:val="22"/>
        </w:rPr>
        <w:t xml:space="preserve">primero, </w:t>
      </w:r>
      <w:r w:rsidRPr="00342184">
        <w:rPr>
          <w:rFonts w:ascii="Arial" w:eastAsia="Arial" w:hAnsi="Arial" w:cs="Arial"/>
          <w:color w:val="000000"/>
          <w:sz w:val="22"/>
          <w:szCs w:val="22"/>
        </w:rPr>
        <w:t xml:space="preserve">que el documento que contiene la solicitud de limitación es diferente y autónomo en relación con el documento contentivo de la propuesta del oferente; y </w:t>
      </w:r>
      <w:r w:rsidRPr="00342184">
        <w:rPr>
          <w:rFonts w:ascii="Arial" w:eastAsia="Arial" w:hAnsi="Arial" w:cs="Arial"/>
          <w:i/>
          <w:color w:val="000000"/>
          <w:sz w:val="22"/>
          <w:szCs w:val="22"/>
        </w:rPr>
        <w:t>segundo</w:t>
      </w:r>
      <w:r w:rsidRPr="00342184">
        <w:rPr>
          <w:rFonts w:ascii="Arial" w:eastAsia="Arial" w:hAnsi="Arial" w:cs="Arial"/>
          <w:color w:val="000000"/>
          <w:sz w:val="22"/>
          <w:szCs w:val="22"/>
        </w:rPr>
        <w:t>, que la solicitud de limitación no podrá estar acompañada de la propuesta, así como tampoco de los documentos que se deben adjuntar a la misma, pues estos deben ser entregados a la entidad contratante dentro del término establecido en el respectivo cronograma, el cual se fija en el acto administrativo de apertura del proceso de contratación estatal, esto es, luego de conclu</w:t>
      </w:r>
      <w:r w:rsidR="003D1A65">
        <w:rPr>
          <w:rFonts w:ascii="Arial" w:eastAsia="Arial" w:hAnsi="Arial" w:cs="Arial"/>
          <w:color w:val="000000"/>
          <w:sz w:val="22"/>
          <w:szCs w:val="22"/>
        </w:rPr>
        <w:t>i</w:t>
      </w:r>
      <w:r w:rsidRPr="00342184">
        <w:rPr>
          <w:rFonts w:ascii="Arial" w:eastAsia="Arial" w:hAnsi="Arial" w:cs="Arial"/>
          <w:color w:val="000000"/>
          <w:sz w:val="22"/>
          <w:szCs w:val="22"/>
        </w:rPr>
        <w:t xml:space="preserve">do el plazo para pedir la </w:t>
      </w:r>
      <w:r w:rsidRPr="00342184">
        <w:rPr>
          <w:rFonts w:ascii="Arial" w:eastAsia="Arial" w:hAnsi="Arial" w:cs="Arial"/>
          <w:sz w:val="22"/>
          <w:szCs w:val="22"/>
        </w:rPr>
        <w:t>limitación</w:t>
      </w:r>
      <w:r w:rsidRPr="00342184">
        <w:rPr>
          <w:rFonts w:ascii="Arial" w:eastAsia="Arial" w:hAnsi="Arial" w:cs="Arial"/>
          <w:color w:val="000000"/>
          <w:sz w:val="22"/>
          <w:szCs w:val="22"/>
        </w:rPr>
        <w:t xml:space="preserve"> del proceso a Mipymes. </w:t>
      </w:r>
    </w:p>
    <w:p w14:paraId="0861FC04" w14:textId="4CE40F18" w:rsidR="00F20918" w:rsidRPr="00342184" w:rsidRDefault="00F20918" w:rsidP="00F20918">
      <w:pPr>
        <w:spacing w:before="120" w:line="276" w:lineRule="auto"/>
        <w:ind w:firstLine="708"/>
        <w:jc w:val="both"/>
        <w:rPr>
          <w:rFonts w:ascii="Arial" w:eastAsia="Arial" w:hAnsi="Arial" w:cs="Arial"/>
          <w:color w:val="000000"/>
          <w:sz w:val="22"/>
          <w:szCs w:val="22"/>
        </w:rPr>
      </w:pPr>
      <w:r w:rsidRPr="00342184">
        <w:rPr>
          <w:rFonts w:ascii="Arial" w:eastAsia="Arial" w:hAnsi="Arial" w:cs="Arial"/>
          <w:color w:val="000000"/>
          <w:sz w:val="22"/>
          <w:szCs w:val="22"/>
        </w:rPr>
        <w:t xml:space="preserve">En relación con la primera exigencia, la normativa del sistema de compra </w:t>
      </w:r>
      <w:r w:rsidRPr="00342184">
        <w:rPr>
          <w:rFonts w:ascii="Arial" w:eastAsia="Arial" w:hAnsi="Arial" w:cs="Arial"/>
          <w:sz w:val="22"/>
          <w:szCs w:val="22"/>
        </w:rPr>
        <w:t>pública</w:t>
      </w:r>
      <w:r w:rsidRPr="00342184">
        <w:rPr>
          <w:rFonts w:ascii="Arial" w:eastAsia="Arial" w:hAnsi="Arial" w:cs="Arial"/>
          <w:color w:val="000000"/>
          <w:sz w:val="22"/>
          <w:szCs w:val="22"/>
        </w:rPr>
        <w:t xml:space="preserve">  establece como requisito acreditar la relación entre el objeto de la Mipyme y el objeto contrato, </w:t>
      </w:r>
      <w:r w:rsidR="004E242F">
        <w:rPr>
          <w:rFonts w:ascii="Arial" w:eastAsia="Arial" w:hAnsi="Arial" w:cs="Arial"/>
          <w:color w:val="000000"/>
          <w:sz w:val="22"/>
          <w:szCs w:val="22"/>
        </w:rPr>
        <w:t xml:space="preserve">y por tanto, </w:t>
      </w:r>
      <w:r w:rsidRPr="00342184">
        <w:rPr>
          <w:rFonts w:ascii="Arial" w:eastAsia="Arial" w:hAnsi="Arial" w:cs="Arial"/>
          <w:color w:val="000000"/>
          <w:sz w:val="22"/>
          <w:szCs w:val="22"/>
        </w:rPr>
        <w:t>es imperativo que la entidad estatal verifique que quienes solicitan la limitación del proceso a Mipyme tienen un objeto social similar al objeto del contrato y, de ser así, la entidad deberá limitar el proceso de contratación a Mipymes</w:t>
      </w:r>
      <w:r w:rsidR="004E242F">
        <w:rPr>
          <w:rFonts w:ascii="Arial" w:eastAsia="Arial" w:hAnsi="Arial" w:cs="Arial"/>
          <w:color w:val="000000"/>
          <w:sz w:val="22"/>
          <w:szCs w:val="22"/>
        </w:rPr>
        <w:t xml:space="preserve">, pues así lo exige el inciso final del artículo </w:t>
      </w:r>
      <w:r w:rsidR="004E242F" w:rsidRPr="004E242F">
        <w:rPr>
          <w:rFonts w:ascii="Arial" w:eastAsia="Arial" w:hAnsi="Arial" w:cs="Arial"/>
          <w:color w:val="000000"/>
          <w:sz w:val="22"/>
          <w:szCs w:val="22"/>
        </w:rPr>
        <w:t xml:space="preserve">2.2.1.2.4.2.2. </w:t>
      </w:r>
      <w:r w:rsidR="004E242F">
        <w:rPr>
          <w:rFonts w:ascii="Arial" w:eastAsia="Arial" w:hAnsi="Arial" w:cs="Arial"/>
          <w:color w:val="000000"/>
          <w:sz w:val="22"/>
          <w:szCs w:val="22"/>
        </w:rPr>
        <w:t>del Decreto 1083 de 2015</w:t>
      </w:r>
      <w:r w:rsidRPr="00342184">
        <w:rPr>
          <w:rFonts w:ascii="Arial" w:eastAsia="Arial" w:hAnsi="Arial" w:cs="Arial"/>
          <w:color w:val="000000"/>
          <w:sz w:val="22"/>
          <w:szCs w:val="22"/>
          <w:vertAlign w:val="superscript"/>
        </w:rPr>
        <w:footnoteReference w:id="14"/>
      </w:r>
      <w:r w:rsidRPr="00342184">
        <w:rPr>
          <w:rFonts w:ascii="Arial" w:eastAsia="Arial" w:hAnsi="Arial" w:cs="Arial"/>
          <w:color w:val="000000"/>
          <w:sz w:val="22"/>
          <w:szCs w:val="22"/>
        </w:rPr>
        <w:t>.</w:t>
      </w:r>
      <w:r w:rsidRPr="00342184">
        <w:rPr>
          <w:rFonts w:ascii="Arial" w:eastAsia="Arial" w:hAnsi="Arial" w:cs="Arial"/>
          <w:i/>
          <w:color w:val="000000"/>
          <w:sz w:val="22"/>
          <w:szCs w:val="22"/>
        </w:rPr>
        <w:t xml:space="preserve"> </w:t>
      </w:r>
      <w:r w:rsidR="004E242F">
        <w:rPr>
          <w:rFonts w:ascii="Arial" w:eastAsia="Arial" w:hAnsi="Arial" w:cs="Arial"/>
          <w:iCs/>
          <w:color w:val="000000"/>
          <w:sz w:val="22"/>
          <w:szCs w:val="22"/>
        </w:rPr>
        <w:t xml:space="preserve">En el mismo sentido, el parágrafo 3 del artículo </w:t>
      </w:r>
      <w:r w:rsidR="004E242F" w:rsidRPr="004E242F">
        <w:rPr>
          <w:rFonts w:ascii="Arial" w:eastAsia="Arial" w:hAnsi="Arial" w:cs="Arial"/>
          <w:iCs/>
          <w:color w:val="000000"/>
          <w:sz w:val="22"/>
          <w:szCs w:val="22"/>
        </w:rPr>
        <w:t>2.2.1.2.4.2.4.</w:t>
      </w:r>
      <w:r w:rsidR="004E242F">
        <w:rPr>
          <w:rFonts w:ascii="Arial" w:eastAsia="Arial" w:hAnsi="Arial" w:cs="Arial"/>
          <w:iCs/>
          <w:color w:val="000000"/>
          <w:sz w:val="22"/>
          <w:szCs w:val="22"/>
        </w:rPr>
        <w:t xml:space="preserve"> la misma norma </w:t>
      </w:r>
      <w:r w:rsidR="004E242F">
        <w:rPr>
          <w:rFonts w:ascii="Arial" w:eastAsia="Arial" w:hAnsi="Arial" w:cs="Arial"/>
          <w:color w:val="000000"/>
          <w:sz w:val="22"/>
          <w:szCs w:val="22"/>
        </w:rPr>
        <w:t xml:space="preserve">indica </w:t>
      </w:r>
      <w:r w:rsidRPr="00342184">
        <w:rPr>
          <w:rFonts w:ascii="Arial" w:eastAsia="Arial" w:hAnsi="Arial" w:cs="Arial"/>
          <w:color w:val="000000"/>
          <w:sz w:val="22"/>
          <w:szCs w:val="22"/>
        </w:rPr>
        <w:t>que la entidad estatal debe aceptar las ofertas de consorcios o uniones temporales formados exclusivamente por Mipyme y promesas de sociedad futura suscritas por Mipyme»</w:t>
      </w:r>
      <w:r w:rsidRPr="00342184">
        <w:rPr>
          <w:rFonts w:ascii="Arial" w:eastAsia="Arial" w:hAnsi="Arial" w:cs="Arial"/>
          <w:color w:val="000000"/>
          <w:sz w:val="22"/>
          <w:szCs w:val="22"/>
          <w:vertAlign w:val="superscript"/>
        </w:rPr>
        <w:footnoteReference w:id="15"/>
      </w:r>
      <w:r w:rsidRPr="00342184">
        <w:rPr>
          <w:rFonts w:ascii="Arial" w:eastAsia="Arial" w:hAnsi="Arial" w:cs="Arial"/>
          <w:color w:val="000000"/>
          <w:sz w:val="22"/>
          <w:szCs w:val="22"/>
        </w:rPr>
        <w:t>.</w:t>
      </w:r>
    </w:p>
    <w:p w14:paraId="7BB98A05" w14:textId="2AD2ABD7" w:rsidR="007C4A6E" w:rsidRPr="00342184" w:rsidRDefault="00F20918" w:rsidP="00F20918">
      <w:pPr>
        <w:spacing w:before="120" w:line="276" w:lineRule="auto"/>
        <w:ind w:firstLine="709"/>
        <w:jc w:val="both"/>
        <w:rPr>
          <w:rFonts w:ascii="Arial" w:eastAsia="Arial" w:hAnsi="Arial" w:cs="Arial"/>
          <w:color w:val="000000"/>
          <w:sz w:val="22"/>
          <w:szCs w:val="22"/>
        </w:rPr>
      </w:pPr>
      <w:r w:rsidRPr="00342184">
        <w:rPr>
          <w:rFonts w:ascii="Arial" w:eastAsia="Arial" w:hAnsi="Arial" w:cs="Arial"/>
          <w:color w:val="000000"/>
          <w:sz w:val="22"/>
          <w:szCs w:val="22"/>
        </w:rPr>
        <w:t>De todos modos, las Mipymes nacionales que pretendan participar en el proceso de selección deben acreditar mínimo un año de existencia, para lo cual deben presentar el certificado expedido por la cámara de comercio o por la autoridad que sea competente para dicha acreditación</w:t>
      </w:r>
      <w:r w:rsidRPr="00342184">
        <w:rPr>
          <w:rFonts w:ascii="Arial" w:eastAsia="Arial" w:hAnsi="Arial" w:cs="Arial"/>
          <w:color w:val="000000"/>
          <w:sz w:val="22"/>
          <w:szCs w:val="22"/>
          <w:vertAlign w:val="superscript"/>
        </w:rPr>
        <w:footnoteReference w:id="16"/>
      </w:r>
      <w:r w:rsidRPr="00342184">
        <w:rPr>
          <w:rFonts w:ascii="Arial" w:eastAsia="Arial" w:hAnsi="Arial" w:cs="Arial"/>
          <w:color w:val="000000"/>
          <w:sz w:val="22"/>
          <w:szCs w:val="22"/>
        </w:rPr>
        <w:t>.</w:t>
      </w:r>
    </w:p>
    <w:p w14:paraId="6997C4C5" w14:textId="1093DDD8" w:rsidR="00317236" w:rsidRDefault="00F20918">
      <w:pPr>
        <w:spacing w:before="120" w:line="276" w:lineRule="auto"/>
        <w:ind w:firstLine="709"/>
        <w:jc w:val="both"/>
        <w:rPr>
          <w:rFonts w:ascii="Arial" w:eastAsia="Arial" w:hAnsi="Arial" w:cs="Arial"/>
          <w:color w:val="000000"/>
          <w:sz w:val="22"/>
          <w:szCs w:val="22"/>
        </w:rPr>
      </w:pPr>
      <w:bookmarkStart w:id="4" w:name="_Hlk109052225"/>
      <w:r w:rsidRPr="00342184">
        <w:rPr>
          <w:rFonts w:ascii="Arial" w:eastAsia="Arial" w:hAnsi="Arial" w:cs="Arial"/>
          <w:color w:val="000000"/>
          <w:sz w:val="22"/>
          <w:szCs w:val="22"/>
        </w:rPr>
        <w:lastRenderedPageBreak/>
        <w:t xml:space="preserve">Cumplidos los dos requisitos </w:t>
      </w:r>
      <w:r w:rsidR="00317236">
        <w:rPr>
          <w:rFonts w:ascii="Arial" w:eastAsia="Arial" w:hAnsi="Arial" w:cs="Arial"/>
          <w:color w:val="000000"/>
          <w:sz w:val="22"/>
          <w:szCs w:val="22"/>
        </w:rPr>
        <w:t xml:space="preserve"> anteriores</w:t>
      </w:r>
      <w:r w:rsidR="00DE55F5">
        <w:rPr>
          <w:rFonts w:ascii="Arial" w:eastAsia="Arial" w:hAnsi="Arial" w:cs="Arial"/>
          <w:color w:val="000000"/>
          <w:sz w:val="22"/>
          <w:szCs w:val="22"/>
        </w:rPr>
        <w:t xml:space="preserve"> </w:t>
      </w:r>
      <w:r w:rsidRPr="00342184">
        <w:rPr>
          <w:rFonts w:ascii="Arial" w:eastAsia="Arial" w:hAnsi="Arial" w:cs="Arial"/>
          <w:color w:val="000000"/>
          <w:sz w:val="22"/>
          <w:szCs w:val="22"/>
        </w:rPr>
        <w:t>,</w:t>
      </w:r>
      <w:r w:rsidR="00317236">
        <w:rPr>
          <w:rFonts w:ascii="Arial" w:eastAsia="Arial" w:hAnsi="Arial" w:cs="Arial"/>
          <w:color w:val="000000"/>
          <w:sz w:val="22"/>
          <w:szCs w:val="22"/>
        </w:rPr>
        <w:t xml:space="preserve">el artículo </w:t>
      </w:r>
      <w:r w:rsidR="00317236" w:rsidRPr="00342184">
        <w:rPr>
          <w:rFonts w:ascii="Arial" w:eastAsia="Arial" w:hAnsi="Arial" w:cs="Arial"/>
          <w:color w:val="000000"/>
          <w:sz w:val="22"/>
          <w:szCs w:val="22"/>
        </w:rPr>
        <w:t>2.2.1.2.4.2.3. del Decreto 1082 de 2015,</w:t>
      </w:r>
      <w:r w:rsidR="00317236">
        <w:rPr>
          <w:rFonts w:ascii="Arial" w:eastAsia="Arial" w:hAnsi="Arial" w:cs="Arial"/>
          <w:color w:val="000000"/>
          <w:sz w:val="22"/>
          <w:szCs w:val="22"/>
        </w:rPr>
        <w:t xml:space="preserve"> faculta a las entidades estatales para decidir si </w:t>
      </w:r>
      <w:r w:rsidR="00317236" w:rsidRPr="00342184">
        <w:rPr>
          <w:rFonts w:ascii="Arial" w:eastAsia="Arial" w:hAnsi="Arial" w:cs="Arial"/>
          <w:color w:val="000000"/>
          <w:sz w:val="22"/>
          <w:szCs w:val="22"/>
        </w:rPr>
        <w:t>limita</w:t>
      </w:r>
      <w:r w:rsidR="00D53D9C">
        <w:rPr>
          <w:rFonts w:ascii="Arial" w:eastAsia="Arial" w:hAnsi="Arial" w:cs="Arial"/>
          <w:color w:val="000000"/>
          <w:sz w:val="22"/>
          <w:szCs w:val="22"/>
        </w:rPr>
        <w:t>n</w:t>
      </w:r>
      <w:r w:rsidR="00317236" w:rsidRPr="00342184">
        <w:rPr>
          <w:rFonts w:ascii="Arial" w:eastAsia="Arial" w:hAnsi="Arial" w:cs="Arial"/>
          <w:color w:val="000000"/>
          <w:sz w:val="22"/>
          <w:szCs w:val="22"/>
        </w:rPr>
        <w:t xml:space="preserve"> la convocatoria a las Mipym</w:t>
      </w:r>
      <w:r w:rsidR="0016767E">
        <w:rPr>
          <w:rFonts w:ascii="Arial" w:eastAsia="Arial" w:hAnsi="Arial" w:cs="Arial"/>
          <w:color w:val="000000"/>
          <w:sz w:val="22"/>
          <w:szCs w:val="22"/>
        </w:rPr>
        <w:t>e</w:t>
      </w:r>
      <w:r w:rsidR="00317236" w:rsidRPr="00342184">
        <w:rPr>
          <w:rFonts w:ascii="Arial" w:eastAsia="Arial" w:hAnsi="Arial" w:cs="Arial"/>
          <w:color w:val="000000"/>
          <w:sz w:val="22"/>
          <w:szCs w:val="22"/>
        </w:rPr>
        <w:t xml:space="preserve"> nacionales domiciliadas en el municipio o departamento en el que se ejecutará el contrato</w:t>
      </w:r>
      <w:r w:rsidR="00317236" w:rsidRPr="00342184">
        <w:rPr>
          <w:rFonts w:ascii="Arial" w:eastAsia="Arial" w:hAnsi="Arial" w:cs="Arial"/>
          <w:color w:val="000000"/>
          <w:sz w:val="22"/>
          <w:szCs w:val="22"/>
          <w:vertAlign w:val="superscript"/>
        </w:rPr>
        <w:footnoteReference w:id="17"/>
      </w:r>
      <w:r w:rsidR="00282F7D">
        <w:rPr>
          <w:rFonts w:ascii="Arial" w:eastAsia="Arial" w:hAnsi="Arial" w:cs="Arial"/>
          <w:color w:val="000000"/>
          <w:sz w:val="22"/>
          <w:szCs w:val="22"/>
        </w:rPr>
        <w:t xml:space="preserve">. Para el efecto, deberán </w:t>
      </w:r>
      <w:r w:rsidR="00282F7D" w:rsidRPr="00F34A54">
        <w:rPr>
          <w:rFonts w:ascii="Arial" w:eastAsia="Arial" w:hAnsi="Arial" w:cs="Arial"/>
          <w:color w:val="000000"/>
          <w:sz w:val="22"/>
          <w:szCs w:val="22"/>
        </w:rPr>
        <w:t>justificar dicha decisión, acudiendo a criterios técnicos y económicos, explicando concretamente las razones que justifican tal determinación.</w:t>
      </w:r>
    </w:p>
    <w:p w14:paraId="207D7BB0" w14:textId="7C6BE05A" w:rsidR="00F20918" w:rsidRPr="00342184" w:rsidRDefault="004D74B5" w:rsidP="00F34A54">
      <w:pPr>
        <w:spacing w:before="120" w:line="276" w:lineRule="auto"/>
        <w:ind w:firstLine="708"/>
        <w:jc w:val="both"/>
        <w:rPr>
          <w:rFonts w:ascii="Arial" w:eastAsia="Arial" w:hAnsi="Arial" w:cs="Arial"/>
          <w:color w:val="000000"/>
          <w:sz w:val="22"/>
          <w:szCs w:val="22"/>
        </w:rPr>
      </w:pPr>
      <w:r>
        <w:rPr>
          <w:rFonts w:ascii="Arial" w:eastAsia="Arial" w:hAnsi="Arial" w:cs="Arial"/>
          <w:color w:val="000000"/>
          <w:sz w:val="22"/>
          <w:szCs w:val="22"/>
        </w:rPr>
        <w:t>Esta</w:t>
      </w:r>
      <w:r w:rsidR="00282F7D">
        <w:rPr>
          <w:rFonts w:ascii="Arial" w:eastAsia="Arial" w:hAnsi="Arial" w:cs="Arial"/>
          <w:color w:val="000000"/>
          <w:sz w:val="22"/>
          <w:szCs w:val="22"/>
        </w:rPr>
        <w:t xml:space="preserve"> prerrogativa</w:t>
      </w:r>
      <w:r>
        <w:rPr>
          <w:rFonts w:ascii="Arial" w:eastAsia="Arial" w:hAnsi="Arial" w:cs="Arial"/>
          <w:color w:val="000000"/>
          <w:sz w:val="22"/>
          <w:szCs w:val="22"/>
        </w:rPr>
        <w:t xml:space="preserve"> puede ser ejercida de manera discrecional por parte de las entidades públicas sin que sean necesari</w:t>
      </w:r>
      <w:r w:rsidR="0016767E">
        <w:rPr>
          <w:rFonts w:ascii="Arial" w:eastAsia="Arial" w:hAnsi="Arial" w:cs="Arial"/>
          <w:color w:val="000000"/>
          <w:sz w:val="22"/>
          <w:szCs w:val="22"/>
        </w:rPr>
        <w:t>a la solicitud de previa de los oferentes que participan del proceso de selección, por cuanto dicha condición resulta necesaria para limitar la convocatoria a Mipyme colombianas.</w:t>
      </w:r>
    </w:p>
    <w:p w14:paraId="23DCCB51" w14:textId="77777777" w:rsidR="00F20918" w:rsidRPr="00342184" w:rsidRDefault="00F20918" w:rsidP="00F20918">
      <w:pPr>
        <w:spacing w:before="120" w:line="276" w:lineRule="auto"/>
        <w:ind w:firstLine="709"/>
        <w:jc w:val="both"/>
        <w:rPr>
          <w:rFonts w:ascii="Arial" w:eastAsia="Arial" w:hAnsi="Arial" w:cs="Arial"/>
          <w:color w:val="000000"/>
          <w:sz w:val="22"/>
          <w:szCs w:val="22"/>
        </w:rPr>
      </w:pPr>
      <w:r w:rsidRPr="00342184">
        <w:rPr>
          <w:rFonts w:ascii="Arial" w:eastAsia="Arial" w:hAnsi="Arial" w:cs="Arial"/>
          <w:color w:val="000000"/>
          <w:sz w:val="22"/>
          <w:szCs w:val="22"/>
        </w:rPr>
        <w:t xml:space="preserve">Sin perjuicio de lo anterior, no puede perderse de vista que la decisión de limitar «a Mipyme nacionales domiciliadas en los departamentos o municipios en donde se va a ejecutar el contrato», aunque es facultativa de la entidad, está supeditada a que se verifiquen los requisitos establecidos en los numerales 1 y 2 del artículo 2.2.1.2.4.2.2. del Decreto 1082 de 2015. En ese sentido, si la entidad no recibió las solicitudes para limitar la convocatoria a Mipymes, no puede </w:t>
      </w:r>
      <w:r w:rsidRPr="00342184">
        <w:rPr>
          <w:rFonts w:ascii="Arial" w:eastAsia="Arial" w:hAnsi="Arial" w:cs="Arial"/>
          <w:i/>
          <w:color w:val="000000"/>
          <w:sz w:val="22"/>
          <w:szCs w:val="22"/>
        </w:rPr>
        <w:t xml:space="preserve">motu propio </w:t>
      </w:r>
      <w:r w:rsidRPr="00342184">
        <w:rPr>
          <w:rFonts w:ascii="Arial" w:eastAsia="Arial" w:hAnsi="Arial" w:cs="Arial"/>
          <w:color w:val="000000"/>
          <w:sz w:val="22"/>
          <w:szCs w:val="22"/>
        </w:rPr>
        <w:t>hacer la «limitación territorial» de que trata el artículo 2.2.1.2.4.2.3. del Decreto 1082 de 2015, ya que el ejercicio de esta facultad solo puede darse ante «limitación a Mipymes nacionales», lo cual supone la verificación de los supuestos legales establecidos en los mencionados numerales.</w:t>
      </w:r>
    </w:p>
    <w:bookmarkEnd w:id="4"/>
    <w:p w14:paraId="68709959" w14:textId="2BC5281E" w:rsidR="00F20918" w:rsidRPr="00342184" w:rsidRDefault="00F20918" w:rsidP="00F20918">
      <w:pPr>
        <w:spacing w:before="120" w:line="276" w:lineRule="auto"/>
        <w:ind w:firstLine="709"/>
        <w:jc w:val="both"/>
        <w:rPr>
          <w:rFonts w:ascii="Arial" w:eastAsia="Arial" w:hAnsi="Arial" w:cs="Arial"/>
          <w:color w:val="000000"/>
          <w:sz w:val="22"/>
          <w:szCs w:val="22"/>
        </w:rPr>
      </w:pPr>
      <w:r w:rsidRPr="00342184">
        <w:rPr>
          <w:rFonts w:ascii="Arial" w:eastAsia="Arial" w:hAnsi="Arial" w:cs="Arial"/>
          <w:color w:val="000000"/>
          <w:sz w:val="22"/>
          <w:szCs w:val="22"/>
        </w:rPr>
        <w:t>Cuando se trata de consorcios o uniones temporales formados exclusivamente por Mipymes y promesas de sociedad futura suscritas por Mipymes, habilitados para solicitar la limitación del proceso contractual, según se explicó, todas las Mipymes que participarán en la figura asociativa deben tener su domicilio en el departamento o municipio en relación con el cual se limitará el proceso contractual. En este caso, la exigencia de estar domiciliado en el lugar de ejecución del contrato se entiende acreditada cuando todas las Mipymes tienen su domicilio en el lugar de ejecución del contrato, no cuando una o varias de ellas lo tienen, pues con una sola que no acredite dicha exigencia, el consorcio o unión temporal estaría imposibilitado para participar en el proceso de selección.</w:t>
      </w:r>
    </w:p>
    <w:p w14:paraId="42B7CAA4" w14:textId="77777777" w:rsidR="00F20918" w:rsidRPr="00342184" w:rsidRDefault="00F20918" w:rsidP="00F20918">
      <w:pPr>
        <w:spacing w:before="120" w:line="276" w:lineRule="auto"/>
        <w:ind w:firstLine="709"/>
        <w:jc w:val="both"/>
        <w:rPr>
          <w:rFonts w:ascii="Arial" w:eastAsia="Arial" w:hAnsi="Arial" w:cs="Arial"/>
          <w:color w:val="000000"/>
          <w:sz w:val="22"/>
          <w:szCs w:val="22"/>
        </w:rPr>
      </w:pPr>
      <w:r w:rsidRPr="00342184">
        <w:rPr>
          <w:rFonts w:ascii="Arial" w:eastAsia="Arial" w:hAnsi="Arial" w:cs="Arial"/>
          <w:color w:val="000000"/>
          <w:sz w:val="22"/>
          <w:szCs w:val="22"/>
        </w:rPr>
        <w:t xml:space="preserve">De esta forma, si el consorcio o unión temporal está conformado por tres sociedades, y la entidad decide ejercer la facultad que le otorga el artículo 2.2.1.2.4.2.3. del Decreto 1082 de 2015, las tres sociedades deberán acreditar que tienen su domicilio en el lugar de ejecución del contrato, so pena de que la figura asociativa no pueda participar en </w:t>
      </w:r>
      <w:r w:rsidRPr="00342184">
        <w:rPr>
          <w:rFonts w:ascii="Arial" w:eastAsia="Arial" w:hAnsi="Arial" w:cs="Arial"/>
          <w:color w:val="000000"/>
          <w:sz w:val="22"/>
          <w:szCs w:val="22"/>
        </w:rPr>
        <w:lastRenderedPageBreak/>
        <w:t>el proceso de contratación estatal. Aceptar lo contrario, a juicio de Colombia Compra Eficiente, implicaría hacer nugatorios los efectos de la mencionada disposición normativa.</w:t>
      </w:r>
    </w:p>
    <w:p w14:paraId="1FE5D138" w14:textId="77777777" w:rsidR="00F20918" w:rsidRPr="00342184" w:rsidRDefault="00F20918" w:rsidP="00F20918">
      <w:pPr>
        <w:spacing w:before="120" w:line="276" w:lineRule="auto"/>
        <w:ind w:firstLine="709"/>
        <w:jc w:val="both"/>
        <w:rPr>
          <w:rFonts w:ascii="Arial" w:eastAsia="Arial" w:hAnsi="Arial" w:cs="Arial"/>
          <w:color w:val="000000"/>
          <w:sz w:val="22"/>
          <w:szCs w:val="22"/>
        </w:rPr>
      </w:pPr>
      <w:r w:rsidRPr="00342184">
        <w:rPr>
          <w:rFonts w:ascii="Arial" w:eastAsia="Arial" w:hAnsi="Arial" w:cs="Arial"/>
          <w:color w:val="000000"/>
          <w:sz w:val="22"/>
          <w:szCs w:val="22"/>
        </w:rPr>
        <w:t>En suma, el Decreto 1082 de 2015 regula la limitación de convocatorias a Mipymes en dos normas distintas que deben leerse conjunta y armónicamente. Por un lado, el artículo 2.2.1.2.4.2.2. prevé los requisitos generales para que la entidad limite sus convocatorias a Mipymes nacionales. Por el otro, el artículo 2.2.1.2.4.2.3. establece la posibilidad de limitar la convocatoria a Mipymes nacionales domiciliadas en los departamentos o municipios en donde se va a ejecutar el contrato, por supuesto, siempre que la entidad así lo decida y solo si se cumplen las exigencias del artículo 2.2.1.2.4.2.2.</w:t>
      </w:r>
    </w:p>
    <w:p w14:paraId="4E980A70" w14:textId="77777777" w:rsidR="00F20918" w:rsidRPr="00342184" w:rsidRDefault="00F20918" w:rsidP="00F20918">
      <w:pPr>
        <w:spacing w:before="120" w:line="276" w:lineRule="auto"/>
        <w:ind w:firstLine="709"/>
        <w:jc w:val="both"/>
        <w:rPr>
          <w:rFonts w:ascii="Arial" w:eastAsia="Arial" w:hAnsi="Arial" w:cs="Arial"/>
          <w:color w:val="000000"/>
          <w:sz w:val="22"/>
          <w:szCs w:val="22"/>
        </w:rPr>
      </w:pPr>
      <w:r w:rsidRPr="00342184">
        <w:rPr>
          <w:rFonts w:ascii="Arial" w:eastAsia="Arial" w:hAnsi="Arial" w:cs="Arial"/>
          <w:color w:val="000000"/>
          <w:sz w:val="22"/>
          <w:szCs w:val="22"/>
        </w:rPr>
        <w:t xml:space="preserve">Sin perjuicio de lo anterior, la Agencia Nacional de Contratación Pública – Colombia Compra Eficiente considera que lo </w:t>
      </w:r>
      <w:r w:rsidRPr="00342184">
        <w:rPr>
          <w:rFonts w:ascii="Arial" w:eastAsia="Arial" w:hAnsi="Arial" w:cs="Arial"/>
          <w:i/>
          <w:iCs/>
          <w:color w:val="000000"/>
          <w:sz w:val="22"/>
          <w:szCs w:val="22"/>
        </w:rPr>
        <w:t>recomendable</w:t>
      </w:r>
      <w:r w:rsidRPr="00342184">
        <w:rPr>
          <w:rFonts w:ascii="Arial" w:eastAsia="Arial" w:hAnsi="Arial" w:cs="Arial"/>
          <w:color w:val="000000"/>
          <w:sz w:val="22"/>
          <w:szCs w:val="22"/>
        </w:rPr>
        <w:t xml:space="preserve"> es que las entidades establezcan </w:t>
      </w:r>
      <w:r w:rsidRPr="00342184">
        <w:rPr>
          <w:rFonts w:ascii="Arial" w:eastAsia="Arial" w:hAnsi="Arial" w:cs="Arial"/>
          <w:i/>
          <w:color w:val="000000"/>
          <w:sz w:val="22"/>
          <w:szCs w:val="22"/>
        </w:rPr>
        <w:t xml:space="preserve">ex ante </w:t>
      </w:r>
      <w:r w:rsidRPr="00342184">
        <w:rPr>
          <w:rFonts w:ascii="Arial" w:eastAsia="Arial" w:hAnsi="Arial" w:cs="Arial"/>
          <w:color w:val="000000"/>
          <w:sz w:val="22"/>
          <w:szCs w:val="22"/>
        </w:rPr>
        <w:t>las condiciones en las que, eventualmente, harían la «limitación territorial». Para tales fines, en el proyecto de pliego de condiciones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Mipymes, como, por ejemplo, en relación con cuál o cuáles municipios o departamentos harían la limitación territorial de que trata el artículo 2.2.1.2.4.2.3. del Decreto 1082 de 2015.</w:t>
      </w:r>
    </w:p>
    <w:p w14:paraId="17B68656" w14:textId="7CA67D4C" w:rsidR="004B0EED" w:rsidRPr="00AA6B44" w:rsidRDefault="001D09DB" w:rsidP="004A3E4A">
      <w:pPr>
        <w:spacing w:before="120" w:line="276" w:lineRule="auto"/>
        <w:ind w:firstLine="709"/>
        <w:jc w:val="both"/>
        <w:rPr>
          <w:rFonts w:ascii="Arial" w:eastAsia="Arial" w:hAnsi="Arial" w:cs="Arial"/>
          <w:color w:val="000000"/>
          <w:sz w:val="22"/>
          <w:szCs w:val="22"/>
          <w:lang w:val="es-MX" w:eastAsia="en-US"/>
        </w:rPr>
      </w:pPr>
      <w:r w:rsidRPr="00AA6B44">
        <w:rPr>
          <w:rFonts w:ascii="Arial" w:eastAsia="Arial" w:hAnsi="Arial" w:cs="Arial"/>
          <w:color w:val="000000"/>
          <w:sz w:val="22"/>
          <w:szCs w:val="22"/>
          <w:lang w:val="es-MX" w:eastAsia="en-US"/>
        </w:rPr>
        <w:t>Finalmente, resta precisar que el domicilio de la mipymes que quiera participar en una convocatoria limitada territorialmente se acredita con los documentos definidos en el artículo 2.2.1.2.4.2.4. del Decreto 1082 de 2015, modificado por el Decreto 1860 de 2021</w:t>
      </w:r>
      <w:r w:rsidR="00A026CC" w:rsidRPr="00AA6B44">
        <w:rPr>
          <w:rFonts w:ascii="Arial" w:eastAsia="Arial" w:hAnsi="Arial" w:cs="Arial"/>
          <w:color w:val="000000"/>
          <w:sz w:val="22"/>
          <w:szCs w:val="22"/>
          <w:lang w:val="es-MX" w:eastAsia="en-US"/>
        </w:rPr>
        <w:t>. E</w:t>
      </w:r>
      <w:r w:rsidRPr="00AA6B44">
        <w:rPr>
          <w:rFonts w:ascii="Arial" w:eastAsia="Arial" w:hAnsi="Arial" w:cs="Arial"/>
          <w:color w:val="000000"/>
          <w:sz w:val="22"/>
          <w:szCs w:val="22"/>
          <w:lang w:val="es-MX" w:eastAsia="en-US"/>
        </w:rPr>
        <w:t>n consecuencia</w:t>
      </w:r>
      <w:r w:rsidR="00B025FE" w:rsidRPr="00AA6B44">
        <w:rPr>
          <w:rFonts w:ascii="Arial" w:eastAsia="Arial" w:hAnsi="Arial" w:cs="Arial"/>
          <w:color w:val="000000"/>
          <w:sz w:val="22"/>
          <w:szCs w:val="22"/>
          <w:lang w:val="es-MX" w:eastAsia="en-US"/>
        </w:rPr>
        <w:t xml:space="preserve">, el requisito podrá acreditarse con una certificación acompañada, ya sea, de una copia del registro mercantil </w:t>
      </w:r>
      <w:r w:rsidR="001F7144" w:rsidRPr="00AA6B44">
        <w:rPr>
          <w:rFonts w:ascii="Arial" w:eastAsia="Arial" w:hAnsi="Arial" w:cs="Arial"/>
          <w:color w:val="000000"/>
          <w:sz w:val="22"/>
          <w:szCs w:val="22"/>
          <w:lang w:val="es-MX" w:eastAsia="en-US"/>
        </w:rPr>
        <w:t>–</w:t>
      </w:r>
      <w:r w:rsidR="00B025FE" w:rsidRPr="00AA6B44">
        <w:rPr>
          <w:rFonts w:ascii="Arial" w:eastAsia="Arial" w:hAnsi="Arial" w:cs="Arial"/>
          <w:color w:val="000000"/>
          <w:sz w:val="22"/>
          <w:szCs w:val="22"/>
          <w:lang w:val="es-MX" w:eastAsia="en-US"/>
        </w:rPr>
        <w:t>persona natural</w:t>
      </w:r>
      <w:r w:rsidR="001F7144" w:rsidRPr="00AA6B44">
        <w:rPr>
          <w:rFonts w:ascii="Arial" w:eastAsia="Arial" w:hAnsi="Arial" w:cs="Arial"/>
          <w:color w:val="000000"/>
          <w:sz w:val="22"/>
          <w:szCs w:val="22"/>
          <w:lang w:val="es-MX" w:eastAsia="en-US"/>
        </w:rPr>
        <w:t>–</w:t>
      </w:r>
      <w:r w:rsidR="00B025FE" w:rsidRPr="00AA6B44">
        <w:rPr>
          <w:rFonts w:ascii="Arial" w:eastAsia="Arial" w:hAnsi="Arial" w:cs="Arial"/>
          <w:color w:val="000000"/>
          <w:sz w:val="22"/>
          <w:szCs w:val="22"/>
          <w:lang w:val="es-MX" w:eastAsia="en-US"/>
        </w:rPr>
        <w:t xml:space="preserve">, del certificado de existencia y representación legal </w:t>
      </w:r>
      <w:r w:rsidR="001F7144" w:rsidRPr="00AA6B44">
        <w:rPr>
          <w:rFonts w:ascii="Arial" w:eastAsia="Arial" w:hAnsi="Arial" w:cs="Arial"/>
          <w:color w:val="000000"/>
          <w:sz w:val="22"/>
          <w:szCs w:val="22"/>
          <w:lang w:val="es-MX" w:eastAsia="en-US"/>
        </w:rPr>
        <w:t>–</w:t>
      </w:r>
      <w:r w:rsidR="00B025FE" w:rsidRPr="00AA6B44">
        <w:rPr>
          <w:rFonts w:ascii="Arial" w:eastAsia="Arial" w:hAnsi="Arial" w:cs="Arial"/>
          <w:color w:val="000000"/>
          <w:sz w:val="22"/>
          <w:szCs w:val="22"/>
          <w:lang w:val="es-MX" w:eastAsia="en-US"/>
        </w:rPr>
        <w:t>persona jurídica</w:t>
      </w:r>
      <w:r w:rsidR="001F7144" w:rsidRPr="00AA6B44">
        <w:rPr>
          <w:rFonts w:ascii="Arial" w:eastAsia="Arial" w:hAnsi="Arial" w:cs="Arial"/>
          <w:color w:val="000000"/>
          <w:sz w:val="22"/>
          <w:szCs w:val="22"/>
          <w:lang w:val="es-MX" w:eastAsia="en-US"/>
        </w:rPr>
        <w:t>–</w:t>
      </w:r>
      <w:r w:rsidR="00B025FE" w:rsidRPr="00AA6B44">
        <w:rPr>
          <w:rFonts w:ascii="Arial" w:eastAsia="Arial" w:hAnsi="Arial" w:cs="Arial"/>
          <w:color w:val="000000"/>
          <w:sz w:val="22"/>
          <w:szCs w:val="22"/>
          <w:lang w:val="es-MX" w:eastAsia="en-US"/>
        </w:rPr>
        <w:t xml:space="preserve"> o del Registro Único de Proponentes –RUP</w:t>
      </w:r>
      <w:r w:rsidR="00854A1C">
        <w:rPr>
          <w:rFonts w:ascii="Arial" w:eastAsia="Arial" w:hAnsi="Arial" w:cs="Arial"/>
          <w:color w:val="000000"/>
          <w:sz w:val="22"/>
          <w:szCs w:val="22"/>
          <w:lang w:val="es-MX" w:eastAsia="en-US"/>
        </w:rPr>
        <w:t>–</w:t>
      </w:r>
      <w:r w:rsidR="00B025FE" w:rsidRPr="00AA6B44">
        <w:rPr>
          <w:rFonts w:ascii="Arial" w:eastAsia="Arial" w:hAnsi="Arial" w:cs="Arial"/>
          <w:color w:val="000000"/>
          <w:sz w:val="22"/>
          <w:szCs w:val="22"/>
          <w:lang w:val="es-MX" w:eastAsia="en-US"/>
        </w:rPr>
        <w:t xml:space="preserve">, </w:t>
      </w:r>
      <w:r w:rsidR="004A3E4A" w:rsidRPr="00AA6B44">
        <w:rPr>
          <w:rFonts w:ascii="Arial" w:eastAsia="Arial" w:hAnsi="Arial" w:cs="Arial"/>
          <w:color w:val="000000"/>
          <w:sz w:val="22"/>
          <w:szCs w:val="22"/>
          <w:lang w:val="es-MX" w:eastAsia="en-US"/>
        </w:rPr>
        <w:t>en donde conste el domicilio de la mipyme interesada en la limitación territorial de la convocatoria pública para celebrar el contrato, que corresponda con el lugar de ejecución del mismo, ya sea departamento o municipio.</w:t>
      </w:r>
      <w:r w:rsidR="00B025FE" w:rsidRPr="00AA6B44">
        <w:rPr>
          <w:rFonts w:ascii="Arial" w:eastAsia="Arial" w:hAnsi="Arial" w:cs="Arial"/>
          <w:color w:val="000000"/>
          <w:sz w:val="22"/>
          <w:szCs w:val="22"/>
          <w:lang w:val="es-MX" w:eastAsia="en-US"/>
        </w:rPr>
        <w:t xml:space="preserve"> </w:t>
      </w:r>
      <w:r w:rsidRPr="00AA6B44">
        <w:rPr>
          <w:rFonts w:ascii="Arial" w:eastAsia="Arial" w:hAnsi="Arial" w:cs="Arial"/>
          <w:color w:val="000000"/>
          <w:sz w:val="22"/>
          <w:szCs w:val="22"/>
          <w:lang w:val="es-MX" w:eastAsia="en-US"/>
        </w:rPr>
        <w:t xml:space="preserve"> </w:t>
      </w:r>
    </w:p>
    <w:p w14:paraId="7E83BEFA" w14:textId="77777777" w:rsidR="0060009C" w:rsidRPr="00AA6B44" w:rsidRDefault="0060009C" w:rsidP="00510DE9">
      <w:pPr>
        <w:tabs>
          <w:tab w:val="left" w:pos="0"/>
        </w:tabs>
        <w:jc w:val="both"/>
        <w:rPr>
          <w:rFonts w:ascii="Arial" w:eastAsia="Calibri" w:hAnsi="Arial" w:cs="Arial"/>
          <w:b/>
          <w:sz w:val="22"/>
          <w:lang w:val="es-ES_tradnl"/>
        </w:rPr>
      </w:pPr>
    </w:p>
    <w:p w14:paraId="37CA9805" w14:textId="12EFE4B6" w:rsidR="00DD5B04" w:rsidRPr="00AA6B44" w:rsidRDefault="004177A6" w:rsidP="00510DE9">
      <w:pPr>
        <w:tabs>
          <w:tab w:val="left" w:pos="0"/>
        </w:tabs>
        <w:jc w:val="both"/>
        <w:rPr>
          <w:rFonts w:ascii="Arial" w:eastAsia="Calibri" w:hAnsi="Arial" w:cs="Arial"/>
          <w:b/>
          <w:sz w:val="22"/>
          <w:lang w:val="es-ES_tradnl"/>
        </w:rPr>
      </w:pPr>
      <w:r w:rsidRPr="00AA6B44">
        <w:rPr>
          <w:rFonts w:ascii="Arial" w:eastAsia="Calibri" w:hAnsi="Arial" w:cs="Arial"/>
          <w:b/>
          <w:sz w:val="22"/>
          <w:lang w:val="es-ES_tradnl"/>
        </w:rPr>
        <w:t>3</w:t>
      </w:r>
      <w:r w:rsidR="00B011A9" w:rsidRPr="00AA6B44">
        <w:rPr>
          <w:rFonts w:ascii="Arial" w:eastAsia="Calibri" w:hAnsi="Arial" w:cs="Arial"/>
          <w:b/>
          <w:sz w:val="22"/>
          <w:lang w:val="es-ES_tradnl"/>
        </w:rPr>
        <w:t xml:space="preserve">. </w:t>
      </w:r>
      <w:r w:rsidR="00DD5B04" w:rsidRPr="00AA6B44">
        <w:rPr>
          <w:rFonts w:ascii="Arial" w:eastAsia="Calibri" w:hAnsi="Arial" w:cs="Arial"/>
          <w:b/>
          <w:sz w:val="22"/>
          <w:lang w:val="es-ES_tradnl"/>
        </w:rPr>
        <w:t>Respuesta</w:t>
      </w:r>
    </w:p>
    <w:p w14:paraId="12DCA9F3" w14:textId="77777777" w:rsidR="004B25D8" w:rsidRPr="003B7562" w:rsidRDefault="004B25D8" w:rsidP="001C2119">
      <w:pPr>
        <w:ind w:right="709"/>
        <w:jc w:val="both"/>
        <w:rPr>
          <w:rFonts w:ascii="Arial" w:hAnsi="Arial" w:cs="Arial"/>
          <w:sz w:val="22"/>
          <w:szCs w:val="22"/>
          <w:lang w:val="es-ES_tradnl"/>
        </w:rPr>
      </w:pPr>
    </w:p>
    <w:p w14:paraId="734BCD29" w14:textId="08C0A6C7" w:rsidR="00DA40C1" w:rsidRPr="00CE484F" w:rsidRDefault="00CE484F" w:rsidP="00CE484F">
      <w:pPr>
        <w:ind w:left="709" w:right="709"/>
        <w:jc w:val="both"/>
        <w:rPr>
          <w:rFonts w:ascii="Arial" w:hAnsi="Arial" w:cs="Arial"/>
          <w:color w:val="000000" w:themeColor="text1"/>
          <w:sz w:val="21"/>
          <w:szCs w:val="21"/>
          <w:lang w:val="es-ES_tradnl"/>
        </w:rPr>
      </w:pPr>
      <w:r w:rsidRPr="00C75909">
        <w:rPr>
          <w:rFonts w:ascii="Arial" w:hAnsi="Arial" w:cs="Arial"/>
          <w:color w:val="000000" w:themeColor="text1"/>
          <w:sz w:val="21"/>
          <w:szCs w:val="21"/>
          <w:lang w:val="es-ES_tradnl"/>
        </w:rPr>
        <w:t>«De acuerdo al decreto 1860 de 2021, sobre la limitación a mipyme; si a una entidad llegan dos solicitudes de limitación a mipyme municipal pero tan solo UNA de ellas cumple con el requisito de domicilio, por ende no se habilita la segunda solicitud; ¿el proceso de mínima cuantía puede ser limitado a mipyme municipal? En pocas palabras con una sola solicitud valida? [sic]»</w:t>
      </w:r>
    </w:p>
    <w:p w14:paraId="7DB48772" w14:textId="77777777" w:rsidR="00E80985" w:rsidRPr="00AA6B44" w:rsidRDefault="00E80985" w:rsidP="00AA6B44">
      <w:pPr>
        <w:spacing w:line="276" w:lineRule="auto"/>
        <w:ind w:left="709" w:right="709"/>
        <w:jc w:val="both"/>
        <w:rPr>
          <w:rFonts w:ascii="Arial" w:hAnsi="Arial" w:cs="Arial"/>
          <w:sz w:val="22"/>
          <w:szCs w:val="22"/>
          <w:lang w:val="es-ES_tradnl"/>
        </w:rPr>
      </w:pPr>
    </w:p>
    <w:p w14:paraId="58729D8D" w14:textId="31EFBEB6" w:rsidR="00D3557A" w:rsidRDefault="005746B5" w:rsidP="005746B5">
      <w:pPr>
        <w:spacing w:line="276" w:lineRule="auto"/>
        <w:jc w:val="both"/>
        <w:rPr>
          <w:rFonts w:ascii="Arial" w:eastAsia="Arial" w:hAnsi="Arial" w:cs="Arial"/>
          <w:color w:val="000000"/>
          <w:sz w:val="22"/>
          <w:szCs w:val="22"/>
          <w:lang w:eastAsia="en-US"/>
        </w:rPr>
      </w:pPr>
      <w:r>
        <w:rPr>
          <w:rFonts w:ascii="Arial" w:eastAsia="Arial" w:hAnsi="Arial" w:cs="Arial"/>
          <w:color w:val="000000"/>
          <w:sz w:val="22"/>
        </w:rPr>
        <w:t xml:space="preserve">La decisión de limitar «a Mipyme nacionales domiciliadas en los departamentos o municipios en donde se va a ejecutar el contrato», aunque es facultativa de la entidad, está supeditada a que se verifiquen los requisitos establecidos en los numerales 1 y 2 del artículo 2.2.1.2.4.2.2. del Decreto 1082 de 2015. En ese sentido, si la entidad no recibió las </w:t>
      </w:r>
      <w:r>
        <w:rPr>
          <w:rFonts w:ascii="Arial" w:eastAsia="Arial" w:hAnsi="Arial" w:cs="Arial"/>
          <w:color w:val="000000"/>
          <w:sz w:val="22"/>
        </w:rPr>
        <w:lastRenderedPageBreak/>
        <w:t xml:space="preserve">solicitudes para limitar la convocatoria a Mipymes, no puede </w:t>
      </w:r>
      <w:r>
        <w:rPr>
          <w:rFonts w:ascii="Arial" w:eastAsia="Arial" w:hAnsi="Arial" w:cs="Arial"/>
          <w:i/>
          <w:color w:val="000000"/>
          <w:sz w:val="22"/>
        </w:rPr>
        <w:t xml:space="preserve">motu propio </w:t>
      </w:r>
      <w:r>
        <w:rPr>
          <w:rFonts w:ascii="Arial" w:eastAsia="Arial" w:hAnsi="Arial" w:cs="Arial"/>
          <w:color w:val="000000"/>
          <w:sz w:val="22"/>
        </w:rPr>
        <w:t>hacer la «limitación territorial» de que trata el artículo 2.2.1.2.4.2.3. del Decreto 1082 de 2015.</w:t>
      </w:r>
    </w:p>
    <w:p w14:paraId="3CAEAFDB" w14:textId="05A4502E" w:rsidR="005215D6" w:rsidRDefault="005746B5" w:rsidP="00F34A54">
      <w:pPr>
        <w:spacing w:before="120" w:line="276" w:lineRule="auto"/>
        <w:ind w:firstLine="709"/>
        <w:jc w:val="both"/>
        <w:rPr>
          <w:rFonts w:ascii="Arial" w:eastAsia="Arial" w:hAnsi="Arial" w:cs="Arial"/>
          <w:color w:val="000000"/>
          <w:sz w:val="22"/>
          <w:szCs w:val="22"/>
          <w:lang w:val="es-MX" w:eastAsia="en-US"/>
        </w:rPr>
      </w:pPr>
      <w:r>
        <w:rPr>
          <w:rFonts w:ascii="Arial" w:eastAsia="Arial" w:hAnsi="Arial" w:cs="Arial"/>
          <w:color w:val="000000"/>
          <w:sz w:val="22"/>
        </w:rPr>
        <w:t>En suma, u</w:t>
      </w:r>
      <w:r w:rsidR="00162348" w:rsidRPr="005746B5">
        <w:rPr>
          <w:rFonts w:ascii="Arial" w:eastAsia="Arial" w:hAnsi="Arial" w:cs="Arial"/>
          <w:color w:val="000000"/>
          <w:sz w:val="22"/>
          <w:szCs w:val="22"/>
          <w:lang w:val="es-MX" w:eastAsia="en-US"/>
        </w:rPr>
        <w:t>na vez se verifican los requisitos de los numerales 1 y 2 del artículo 2.2.1.2.4.2.2. del Decreto 1082 de 2015, la entidad queda habilitada para decidir si limita o no la convocatoria «a Mipyme nacionales domiciliadas en los departamentos o municipios en donde se va a ejecutar el contrato», sin que sea relevante el «domicilio» de las Mipymes nacionales que solicitaron limitar la convocatoria.</w:t>
      </w:r>
    </w:p>
    <w:p w14:paraId="25FD5B10" w14:textId="6202317E" w:rsidR="00B10F18" w:rsidRPr="005746B5" w:rsidRDefault="004531DF" w:rsidP="00AA6B44">
      <w:pPr>
        <w:spacing w:after="120" w:line="276" w:lineRule="auto"/>
        <w:jc w:val="both"/>
        <w:rPr>
          <w:rFonts w:ascii="Arial" w:eastAsia="Arial" w:hAnsi="Arial" w:cs="Arial"/>
          <w:color w:val="000000"/>
          <w:sz w:val="22"/>
          <w:szCs w:val="22"/>
          <w:lang w:val="es-MX" w:eastAsia="en-US"/>
        </w:rPr>
      </w:pPr>
      <w:r w:rsidRPr="005746B5">
        <w:rPr>
          <w:rFonts w:ascii="Arial" w:eastAsia="Arial" w:hAnsi="Arial" w:cs="Arial"/>
          <w:color w:val="000000"/>
          <w:sz w:val="22"/>
          <w:szCs w:val="22"/>
          <w:lang w:val="es-MX" w:eastAsia="en-US"/>
        </w:rPr>
        <w:t xml:space="preserve"> </w:t>
      </w:r>
      <w:r w:rsidR="005A21F0" w:rsidRPr="005746B5">
        <w:rPr>
          <w:rFonts w:ascii="Arial" w:eastAsia="Arial" w:hAnsi="Arial" w:cs="Arial"/>
          <w:color w:val="000000"/>
          <w:sz w:val="22"/>
          <w:szCs w:val="22"/>
          <w:lang w:val="es-MX" w:eastAsia="en-US"/>
        </w:rPr>
        <w:t xml:space="preserve"> </w:t>
      </w:r>
      <w:r w:rsidR="00FB620F" w:rsidRPr="005746B5">
        <w:rPr>
          <w:rFonts w:ascii="Arial" w:eastAsia="Arial" w:hAnsi="Arial" w:cs="Arial"/>
          <w:color w:val="000000"/>
          <w:sz w:val="22"/>
          <w:szCs w:val="22"/>
          <w:lang w:val="es-MX" w:eastAsia="en-US"/>
        </w:rPr>
        <w:t xml:space="preserve"> </w:t>
      </w:r>
      <w:r w:rsidR="00120427" w:rsidRPr="005746B5">
        <w:rPr>
          <w:rFonts w:ascii="Arial" w:eastAsia="Arial" w:hAnsi="Arial" w:cs="Arial"/>
          <w:color w:val="000000"/>
          <w:sz w:val="22"/>
          <w:szCs w:val="22"/>
          <w:lang w:val="es-MX" w:eastAsia="en-US"/>
        </w:rPr>
        <w:tab/>
      </w:r>
      <w:r w:rsidR="00B10F18" w:rsidRPr="005746B5">
        <w:rPr>
          <w:rFonts w:ascii="Arial" w:eastAsia="Arial" w:hAnsi="Arial" w:cs="Arial"/>
          <w:color w:val="000000"/>
          <w:sz w:val="22"/>
          <w:szCs w:val="22"/>
          <w:lang w:val="es-MX" w:eastAsia="en-US"/>
        </w:rPr>
        <w:t xml:space="preserve"> </w:t>
      </w:r>
    </w:p>
    <w:p w14:paraId="35405C2F" w14:textId="09319235" w:rsidR="0080376A" w:rsidRPr="00B9642A" w:rsidRDefault="00DD5B04" w:rsidP="00230062">
      <w:pPr>
        <w:spacing w:after="120" w:line="276" w:lineRule="auto"/>
        <w:jc w:val="both"/>
        <w:rPr>
          <w:rFonts w:ascii="Arial" w:hAnsi="Arial" w:cs="Arial"/>
          <w:sz w:val="22"/>
          <w:szCs w:val="22"/>
          <w:lang w:val="es-ES_tradnl"/>
        </w:rPr>
      </w:pPr>
      <w:r w:rsidRPr="00B9642A">
        <w:rPr>
          <w:rFonts w:ascii="Arial" w:hAnsi="Arial" w:cs="Arial"/>
          <w:sz w:val="22"/>
          <w:szCs w:val="22"/>
          <w:lang w:val="es-ES_tradnl"/>
        </w:rPr>
        <w:t>Este concepto tiene el alcance previsto en el artículo 28 del Código de Procedimiento Administrativo y de lo Contencioso Administrativo.</w:t>
      </w:r>
    </w:p>
    <w:p w14:paraId="2CCA8B64" w14:textId="464FCC43" w:rsidR="0080376A" w:rsidRPr="00B9642A" w:rsidRDefault="0080376A" w:rsidP="0080376A">
      <w:pPr>
        <w:spacing w:line="276" w:lineRule="auto"/>
        <w:rPr>
          <w:rFonts w:ascii="Arial" w:hAnsi="Arial" w:cs="Arial"/>
          <w:sz w:val="22"/>
          <w:szCs w:val="22"/>
          <w:lang w:eastAsia="es-CO"/>
        </w:rPr>
      </w:pPr>
    </w:p>
    <w:p w14:paraId="011D45FA" w14:textId="430CC89E" w:rsidR="0080376A" w:rsidRPr="00B9642A" w:rsidRDefault="0080376A" w:rsidP="0080376A">
      <w:pPr>
        <w:spacing w:line="276" w:lineRule="auto"/>
        <w:rPr>
          <w:rFonts w:ascii="Arial" w:hAnsi="Arial" w:cs="Arial"/>
          <w:sz w:val="22"/>
          <w:szCs w:val="22"/>
        </w:rPr>
      </w:pPr>
      <w:r w:rsidRPr="00B9642A">
        <w:rPr>
          <w:rFonts w:ascii="Arial" w:hAnsi="Arial" w:cs="Arial"/>
          <w:sz w:val="22"/>
          <w:szCs w:val="22"/>
          <w:lang w:eastAsia="es-CO"/>
        </w:rPr>
        <w:t>Atentamente,</w:t>
      </w:r>
    </w:p>
    <w:p w14:paraId="110E7C14" w14:textId="77C52865" w:rsidR="0080376A" w:rsidRPr="00B9642A" w:rsidRDefault="0080376A" w:rsidP="00AA6B44">
      <w:pPr>
        <w:spacing w:after="18"/>
        <w:rPr>
          <w:rFonts w:ascii="Arial" w:hAnsi="Arial" w:cs="Arial"/>
          <w:lang w:eastAsia="es-CO"/>
        </w:rPr>
      </w:pPr>
    </w:p>
    <w:bookmarkEnd w:id="3"/>
    <w:p w14:paraId="23FC387A" w14:textId="3F5C2539" w:rsidR="001F3BAE" w:rsidRPr="00EE03AE" w:rsidRDefault="00184C5B" w:rsidP="00184C5B">
      <w:pPr>
        <w:spacing w:line="276" w:lineRule="auto"/>
        <w:jc w:val="center"/>
        <w:rPr>
          <w:rFonts w:ascii="Arial" w:hAnsi="Arial" w:cs="Arial"/>
          <w:color w:val="000000"/>
          <w:lang w:val="es-ES_tradnl" w:eastAsia="es-CO"/>
        </w:rPr>
      </w:pPr>
      <w:r>
        <w:rPr>
          <w:rFonts w:ascii="Arial" w:hAnsi="Arial" w:cs="Arial"/>
          <w:noProof/>
          <w:sz w:val="22"/>
          <w:szCs w:val="22"/>
          <w:lang w:val="es-ES" w:eastAsia="es-CO"/>
        </w:rPr>
        <w:drawing>
          <wp:inline distT="0" distB="0" distL="0" distR="0" wp14:anchorId="7CD03621" wp14:editId="326B885C">
            <wp:extent cx="2817628" cy="1091036"/>
            <wp:effectExtent l="0" t="0" r="1905" b="0"/>
            <wp:docPr id="4" name="Imagen 4"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 Carta&#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2823966" cy="1093490"/>
                    </a:xfrm>
                    <a:prstGeom prst="rect">
                      <a:avLst/>
                    </a:prstGeom>
                  </pic:spPr>
                </pic:pic>
              </a:graphicData>
            </a:graphic>
          </wp:inline>
        </w:drawing>
      </w:r>
    </w:p>
    <w:tbl>
      <w:tblPr>
        <w:tblStyle w:val="Tablaconcuadrcula"/>
        <w:tblW w:w="58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0"/>
        <w:gridCol w:w="4742"/>
      </w:tblGrid>
      <w:tr w:rsidR="001F3BAE" w:rsidRPr="00EE03AE" w14:paraId="5405AA66" w14:textId="77777777" w:rsidTr="00F73CDC">
        <w:trPr>
          <w:trHeight w:val="315"/>
        </w:trPr>
        <w:tc>
          <w:tcPr>
            <w:tcW w:w="1070" w:type="dxa"/>
            <w:tcBorders>
              <w:top w:val="nil"/>
              <w:left w:val="nil"/>
              <w:bottom w:val="dotted" w:sz="4" w:space="0" w:color="7F7F7F"/>
              <w:right w:val="nil"/>
            </w:tcBorders>
            <w:vAlign w:val="center"/>
          </w:tcPr>
          <w:p w14:paraId="1E0F69E7" w14:textId="77777777" w:rsidR="001F3BAE" w:rsidRPr="00EE03AE" w:rsidRDefault="001F3BAE" w:rsidP="00F73CDC">
            <w:pPr>
              <w:rPr>
                <w:rFonts w:ascii="Arial" w:eastAsia="Calibri" w:hAnsi="Arial" w:cs="Arial"/>
                <w:sz w:val="16"/>
                <w:szCs w:val="16"/>
                <w:lang w:val="es-ES_tradnl" w:eastAsia="es-ES"/>
              </w:rPr>
            </w:pPr>
            <w:r w:rsidRPr="00EE03AE">
              <w:rPr>
                <w:rFonts w:ascii="Arial" w:eastAsia="Calibri" w:hAnsi="Arial" w:cs="Arial"/>
                <w:sz w:val="16"/>
                <w:szCs w:val="16"/>
                <w:lang w:val="es-ES_tradnl" w:eastAsia="es-ES"/>
              </w:rPr>
              <w:t>Elaboró:</w:t>
            </w:r>
          </w:p>
        </w:tc>
        <w:tc>
          <w:tcPr>
            <w:tcW w:w="4742" w:type="dxa"/>
            <w:tcBorders>
              <w:top w:val="nil"/>
              <w:left w:val="nil"/>
              <w:bottom w:val="dotted" w:sz="4" w:space="0" w:color="7F7F7F"/>
              <w:right w:val="nil"/>
            </w:tcBorders>
            <w:vAlign w:val="center"/>
            <w:hideMark/>
          </w:tcPr>
          <w:p w14:paraId="505E84A1" w14:textId="20B8D7F1" w:rsidR="001F3BAE" w:rsidRPr="00EE03AE" w:rsidRDefault="00CE484F" w:rsidP="00F73CDC">
            <w:pPr>
              <w:rPr>
                <w:rFonts w:ascii="Arial" w:eastAsia="Calibri" w:hAnsi="Arial" w:cs="Arial"/>
                <w:sz w:val="16"/>
                <w:szCs w:val="16"/>
                <w:lang w:val="es-ES_tradnl" w:eastAsia="es-ES"/>
              </w:rPr>
            </w:pPr>
            <w:r>
              <w:rPr>
                <w:rFonts w:ascii="Arial" w:eastAsia="Calibri" w:hAnsi="Arial" w:cs="Arial"/>
                <w:sz w:val="16"/>
                <w:szCs w:val="16"/>
                <w:lang w:val="es-ES_tradnl" w:eastAsia="es-ES"/>
              </w:rPr>
              <w:t>Kevin Arlid Herrera Santa</w:t>
            </w:r>
          </w:p>
          <w:p w14:paraId="5512F9CA" w14:textId="2EE2BC37" w:rsidR="001F3BAE" w:rsidRPr="00EE03AE" w:rsidRDefault="00CE484F" w:rsidP="00F73CDC">
            <w:pPr>
              <w:rPr>
                <w:rFonts w:ascii="Arial" w:eastAsia="Calibri" w:hAnsi="Arial" w:cs="Arial"/>
                <w:sz w:val="16"/>
                <w:szCs w:val="16"/>
                <w:lang w:val="es-ES_tradnl" w:eastAsia="es-ES"/>
              </w:rPr>
            </w:pPr>
            <w:r>
              <w:rPr>
                <w:rFonts w:ascii="Arial" w:eastAsia="Calibri" w:hAnsi="Arial" w:cs="Arial"/>
                <w:sz w:val="16"/>
                <w:szCs w:val="16"/>
                <w:lang w:val="es-ES_tradnl" w:eastAsia="es-ES"/>
              </w:rPr>
              <w:t>Analista T2-04</w:t>
            </w:r>
            <w:r w:rsidR="001F3BAE" w:rsidRPr="00EE03AE">
              <w:rPr>
                <w:rFonts w:ascii="Arial" w:eastAsia="Calibri" w:hAnsi="Arial" w:cs="Arial"/>
                <w:sz w:val="16"/>
                <w:szCs w:val="16"/>
                <w:lang w:val="es-ES_tradnl" w:eastAsia="es-ES"/>
              </w:rPr>
              <w:t xml:space="preserve"> de la Subdirección de Gestión Contractual</w:t>
            </w:r>
          </w:p>
        </w:tc>
      </w:tr>
      <w:tr w:rsidR="001F3BAE" w:rsidRPr="00EE03AE" w14:paraId="1BA1CFF9" w14:textId="77777777" w:rsidTr="00F73CDC">
        <w:trPr>
          <w:trHeight w:val="330"/>
        </w:trPr>
        <w:tc>
          <w:tcPr>
            <w:tcW w:w="1070" w:type="dxa"/>
            <w:tcBorders>
              <w:top w:val="dotted" w:sz="4" w:space="0" w:color="7F7F7F"/>
              <w:left w:val="nil"/>
              <w:right w:val="nil"/>
            </w:tcBorders>
            <w:vAlign w:val="center"/>
          </w:tcPr>
          <w:p w14:paraId="7866FA18" w14:textId="77777777" w:rsidR="001F3BAE" w:rsidRPr="00EE03AE" w:rsidRDefault="001F3BAE" w:rsidP="00F73CDC">
            <w:pPr>
              <w:rPr>
                <w:rFonts w:ascii="Arial" w:eastAsia="Calibri" w:hAnsi="Arial" w:cs="Arial"/>
                <w:sz w:val="16"/>
                <w:szCs w:val="16"/>
                <w:lang w:val="es-ES_tradnl" w:eastAsia="es-ES"/>
              </w:rPr>
            </w:pPr>
            <w:r w:rsidRPr="00EE03AE">
              <w:rPr>
                <w:rFonts w:ascii="Arial" w:eastAsia="Calibri" w:hAnsi="Arial" w:cs="Arial"/>
                <w:sz w:val="16"/>
                <w:szCs w:val="16"/>
                <w:lang w:val="es-ES_tradnl" w:eastAsia="es-ES"/>
              </w:rPr>
              <w:t>Revis</w:t>
            </w:r>
            <w:r>
              <w:rPr>
                <w:rFonts w:ascii="Arial" w:eastAsia="Calibri" w:hAnsi="Arial" w:cs="Arial"/>
                <w:sz w:val="16"/>
                <w:szCs w:val="16"/>
                <w:lang w:val="es-ES_tradnl" w:eastAsia="es-ES"/>
              </w:rPr>
              <w:t>ó</w:t>
            </w:r>
            <w:r w:rsidRPr="00EE03AE">
              <w:rPr>
                <w:rFonts w:ascii="Arial" w:eastAsia="Calibri" w:hAnsi="Arial" w:cs="Arial"/>
                <w:sz w:val="16"/>
                <w:szCs w:val="16"/>
                <w:lang w:val="es-ES_tradnl" w:eastAsia="es-ES"/>
              </w:rPr>
              <w:t>:</w:t>
            </w:r>
          </w:p>
        </w:tc>
        <w:tc>
          <w:tcPr>
            <w:tcW w:w="4742" w:type="dxa"/>
            <w:tcBorders>
              <w:top w:val="dotted" w:sz="4" w:space="0" w:color="7F7F7F"/>
              <w:left w:val="nil"/>
              <w:bottom w:val="dotted" w:sz="4" w:space="0" w:color="7F7F7F"/>
              <w:right w:val="nil"/>
            </w:tcBorders>
            <w:vAlign w:val="center"/>
            <w:hideMark/>
          </w:tcPr>
          <w:p w14:paraId="21957244" w14:textId="4FD26989" w:rsidR="001F3BAE" w:rsidRPr="00EE03AE" w:rsidRDefault="0093447A" w:rsidP="00F73CDC">
            <w:pPr>
              <w:rPr>
                <w:rFonts w:ascii="Arial" w:hAnsi="Arial" w:cs="Arial"/>
                <w:sz w:val="16"/>
                <w:szCs w:val="16"/>
                <w:lang w:val="es-ES_tradnl" w:eastAsia="es-ES"/>
              </w:rPr>
            </w:pPr>
            <w:r>
              <w:rPr>
                <w:rFonts w:ascii="Arial" w:hAnsi="Arial" w:cs="Arial"/>
                <w:sz w:val="16"/>
                <w:szCs w:val="16"/>
                <w:lang w:val="es-ES_tradnl" w:eastAsia="es-ES"/>
              </w:rPr>
              <w:t>Cristian Andrés Díaz Díez</w:t>
            </w:r>
          </w:p>
          <w:p w14:paraId="7D4D64CE" w14:textId="4846DD7C" w:rsidR="001F3BAE" w:rsidRPr="00EE03AE" w:rsidRDefault="0093447A" w:rsidP="00F73CDC">
            <w:pPr>
              <w:rPr>
                <w:rFonts w:ascii="Arial" w:eastAsia="Calibri" w:hAnsi="Arial" w:cs="Arial"/>
                <w:sz w:val="16"/>
                <w:szCs w:val="16"/>
                <w:lang w:val="es-ES_tradnl" w:eastAsia="es-ES"/>
              </w:rPr>
            </w:pPr>
            <w:r>
              <w:rPr>
                <w:rFonts w:ascii="Arial" w:eastAsia="Calibri" w:hAnsi="Arial" w:cs="Arial"/>
                <w:sz w:val="16"/>
                <w:szCs w:val="16"/>
                <w:lang w:val="es-ES_tradnl" w:eastAsia="es-ES"/>
              </w:rPr>
              <w:t>Contratista</w:t>
            </w:r>
            <w:r w:rsidR="001F3BAE" w:rsidRPr="00EE03AE">
              <w:rPr>
                <w:rFonts w:ascii="Arial" w:eastAsia="Calibri" w:hAnsi="Arial" w:cs="Arial"/>
                <w:sz w:val="16"/>
                <w:szCs w:val="16"/>
                <w:lang w:val="es-ES_tradnl" w:eastAsia="es-ES"/>
              </w:rPr>
              <w:t xml:space="preserve"> de la Subdirección de Gestión Contractual</w:t>
            </w:r>
          </w:p>
          <w:p w14:paraId="1D212554" w14:textId="77777777" w:rsidR="001F3BAE" w:rsidRPr="00EE03AE" w:rsidRDefault="001F3BAE" w:rsidP="00F73CDC">
            <w:pPr>
              <w:rPr>
                <w:rFonts w:ascii="Arial" w:eastAsia="Calibri" w:hAnsi="Arial" w:cs="Arial"/>
                <w:sz w:val="16"/>
                <w:szCs w:val="16"/>
                <w:lang w:val="es-ES_tradnl" w:eastAsia="es-ES"/>
              </w:rPr>
            </w:pPr>
          </w:p>
        </w:tc>
      </w:tr>
      <w:tr w:rsidR="001F3BAE" w:rsidRPr="00414696" w14:paraId="3045B963" w14:textId="77777777" w:rsidTr="00F73CDC">
        <w:trPr>
          <w:trHeight w:val="300"/>
        </w:trPr>
        <w:tc>
          <w:tcPr>
            <w:tcW w:w="1070" w:type="dxa"/>
            <w:tcBorders>
              <w:top w:val="dotted" w:sz="4" w:space="0" w:color="7F7F7F"/>
              <w:left w:val="nil"/>
              <w:bottom w:val="dotted" w:sz="4" w:space="0" w:color="7F7F7F"/>
              <w:right w:val="nil"/>
            </w:tcBorders>
            <w:vAlign w:val="center"/>
          </w:tcPr>
          <w:p w14:paraId="29B44FBC" w14:textId="77777777" w:rsidR="001F3BAE" w:rsidRPr="00EE03AE" w:rsidRDefault="001F3BAE" w:rsidP="00F73CDC">
            <w:pPr>
              <w:rPr>
                <w:rFonts w:ascii="Arial" w:eastAsia="Calibri" w:hAnsi="Arial" w:cs="Arial"/>
                <w:sz w:val="16"/>
                <w:szCs w:val="16"/>
                <w:lang w:val="pt-BR" w:eastAsia="es-ES"/>
              </w:rPr>
            </w:pPr>
            <w:r w:rsidRPr="00EE03AE">
              <w:rPr>
                <w:rFonts w:ascii="Arial" w:eastAsia="Calibri" w:hAnsi="Arial" w:cs="Arial"/>
                <w:sz w:val="16"/>
                <w:szCs w:val="16"/>
                <w:lang w:val="es-ES_tradnl" w:eastAsia="es-ES"/>
              </w:rPr>
              <w:t>Aprobó:</w:t>
            </w:r>
          </w:p>
        </w:tc>
        <w:tc>
          <w:tcPr>
            <w:tcW w:w="4742" w:type="dxa"/>
            <w:tcBorders>
              <w:top w:val="dotted" w:sz="4" w:space="0" w:color="7F7F7F"/>
              <w:left w:val="nil"/>
              <w:bottom w:val="dotted" w:sz="4" w:space="0" w:color="7F7F7F"/>
              <w:right w:val="nil"/>
            </w:tcBorders>
            <w:vAlign w:val="center"/>
            <w:hideMark/>
          </w:tcPr>
          <w:p w14:paraId="0563B5B1" w14:textId="1A32F414" w:rsidR="001F3BAE" w:rsidRPr="00EE03AE" w:rsidRDefault="0093447A" w:rsidP="00F73CDC">
            <w:pPr>
              <w:rPr>
                <w:rFonts w:ascii="Arial" w:hAnsi="Arial" w:cs="Arial"/>
                <w:color w:val="000000" w:themeColor="text1"/>
                <w:sz w:val="16"/>
                <w:szCs w:val="16"/>
                <w:lang w:eastAsia="es-ES"/>
              </w:rPr>
            </w:pPr>
            <w:r>
              <w:rPr>
                <w:rFonts w:ascii="Arial" w:hAnsi="Arial" w:cs="Arial"/>
                <w:color w:val="000000" w:themeColor="text1"/>
                <w:sz w:val="16"/>
                <w:szCs w:val="16"/>
                <w:lang w:eastAsia="es-ES"/>
              </w:rPr>
              <w:t>Juan David Marín López</w:t>
            </w:r>
          </w:p>
          <w:p w14:paraId="5D3E0B56" w14:textId="1A7C4C07" w:rsidR="001F3BAE" w:rsidRPr="00414696" w:rsidRDefault="001F3BAE" w:rsidP="00F73CDC">
            <w:pPr>
              <w:rPr>
                <w:rFonts w:ascii="Arial" w:eastAsia="Calibri" w:hAnsi="Arial" w:cs="Arial"/>
                <w:sz w:val="16"/>
                <w:szCs w:val="16"/>
                <w:lang w:val="pt-BR" w:eastAsia="es-ES"/>
              </w:rPr>
            </w:pPr>
            <w:r w:rsidRPr="00EE03AE">
              <w:rPr>
                <w:rFonts w:ascii="Arial" w:hAnsi="Arial" w:cs="Arial"/>
                <w:color w:val="000000" w:themeColor="text1"/>
                <w:sz w:val="16"/>
                <w:szCs w:val="16"/>
                <w:lang w:eastAsia="es-ES"/>
              </w:rPr>
              <w:t>Subdirector de Gestión Contractual</w:t>
            </w:r>
            <w:r w:rsidR="0093447A">
              <w:rPr>
                <w:rFonts w:ascii="Arial" w:hAnsi="Arial" w:cs="Arial"/>
                <w:color w:val="000000" w:themeColor="text1"/>
                <w:sz w:val="16"/>
                <w:szCs w:val="16"/>
                <w:lang w:eastAsia="es-ES"/>
              </w:rPr>
              <w:t xml:space="preserve"> (E)</w:t>
            </w:r>
          </w:p>
        </w:tc>
      </w:tr>
    </w:tbl>
    <w:p w14:paraId="7DE5C7F4" w14:textId="77777777" w:rsidR="001F3BAE" w:rsidRPr="002873D0" w:rsidRDefault="001F3BAE" w:rsidP="001F3BAE">
      <w:pPr>
        <w:rPr>
          <w:lang w:val="pt-BR"/>
        </w:rPr>
      </w:pPr>
    </w:p>
    <w:p w14:paraId="35B56F46" w14:textId="68D0B3F1" w:rsidR="00746E08" w:rsidRPr="009F0084" w:rsidRDefault="00746E08" w:rsidP="0080376A">
      <w:pPr>
        <w:spacing w:line="276" w:lineRule="auto"/>
        <w:jc w:val="both"/>
        <w:rPr>
          <w:rFonts w:ascii="Arial" w:hAnsi="Arial" w:cs="Arial"/>
          <w:lang w:val="es-ES_tradnl"/>
        </w:rPr>
      </w:pPr>
    </w:p>
    <w:sectPr w:rsidR="00746E08" w:rsidRPr="009F0084" w:rsidSect="005D791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9D37B" w14:textId="77777777" w:rsidR="002E09D0" w:rsidRDefault="002E09D0">
      <w:r>
        <w:separator/>
      </w:r>
    </w:p>
  </w:endnote>
  <w:endnote w:type="continuationSeparator" w:id="0">
    <w:p w14:paraId="0565052F" w14:textId="77777777" w:rsidR="002E09D0" w:rsidRDefault="002E09D0">
      <w:r>
        <w:continuationSeparator/>
      </w:r>
    </w:p>
  </w:endnote>
  <w:endnote w:type="continuationNotice" w:id="1">
    <w:p w14:paraId="6A339506" w14:textId="77777777" w:rsidR="002E09D0" w:rsidRDefault="002E09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02A34" w14:textId="77777777" w:rsidR="008F4163" w:rsidRDefault="008F4163" w:rsidP="00322937">
    <w:pPr>
      <w:pStyle w:val="Sinespaciado"/>
      <w:jc w:val="right"/>
      <w:rPr>
        <w:rFonts w:ascii="Arial" w:hAnsi="Arial" w:cs="Arial"/>
        <w:sz w:val="18"/>
        <w:szCs w:val="18"/>
      </w:rPr>
    </w:pPr>
  </w:p>
  <w:p w14:paraId="7A3785F3" w14:textId="2EF28465" w:rsidR="008F4163" w:rsidRPr="008217B7" w:rsidRDefault="008F4163"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p>
  <w:p w14:paraId="48FC6A04" w14:textId="5FD1A7C9" w:rsidR="008F4163" w:rsidRDefault="029BC757" w:rsidP="00322937">
    <w:pPr>
      <w:pStyle w:val="Piedepgina"/>
      <w:jc w:val="center"/>
      <w:rPr>
        <w:lang w:val="es-ES"/>
      </w:rPr>
    </w:pPr>
    <w:r>
      <w:rPr>
        <w:noProof/>
      </w:rPr>
      <w:drawing>
        <wp:inline distT="0" distB="0" distL="0" distR="0" wp14:anchorId="608B196D" wp14:editId="5BB3F60A">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5D0E988C" w14:textId="77777777" w:rsidR="008F4163" w:rsidRDefault="008F4163" w:rsidP="007B0854">
    <w:pPr>
      <w:pStyle w:val="Piedepgina"/>
      <w:jc w:val="center"/>
      <w:rPr>
        <w:lang w:val="es-ES"/>
      </w:rPr>
    </w:pPr>
  </w:p>
  <w:p w14:paraId="6C0EFC49" w14:textId="77777777" w:rsidR="008F4163" w:rsidRPr="007B0854" w:rsidRDefault="008F4163"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860052" w14:textId="77777777" w:rsidR="002E09D0" w:rsidRDefault="002E09D0">
      <w:r>
        <w:separator/>
      </w:r>
    </w:p>
  </w:footnote>
  <w:footnote w:type="continuationSeparator" w:id="0">
    <w:p w14:paraId="6A0F7267" w14:textId="77777777" w:rsidR="002E09D0" w:rsidRDefault="002E09D0">
      <w:r>
        <w:continuationSeparator/>
      </w:r>
    </w:p>
  </w:footnote>
  <w:footnote w:type="continuationNotice" w:id="1">
    <w:p w14:paraId="63CE0D84" w14:textId="77777777" w:rsidR="002E09D0" w:rsidRDefault="002E09D0"/>
  </w:footnote>
  <w:footnote w:id="2">
    <w:p w14:paraId="79F1759F" w14:textId="77777777" w:rsidR="00C47F18" w:rsidRPr="004F1D0F" w:rsidRDefault="00C47F18" w:rsidP="004F1D0F">
      <w:pPr>
        <w:pStyle w:val="Textonotapie"/>
        <w:ind w:firstLine="709"/>
        <w:jc w:val="both"/>
        <w:rPr>
          <w:rFonts w:ascii="Arial" w:hAnsi="Arial" w:cs="Arial"/>
          <w:sz w:val="19"/>
          <w:szCs w:val="19"/>
          <w:lang w:val="es-ES"/>
        </w:rPr>
      </w:pPr>
      <w:r w:rsidRPr="004F1D0F">
        <w:rPr>
          <w:rStyle w:val="Refdenotaalpie"/>
          <w:rFonts w:ascii="Arial" w:hAnsi="Arial" w:cs="Arial"/>
          <w:sz w:val="19"/>
          <w:szCs w:val="19"/>
        </w:rPr>
        <w:footnoteRef/>
      </w:r>
      <w:r w:rsidRPr="004F1D0F">
        <w:rPr>
          <w:rFonts w:ascii="Arial" w:hAnsi="Arial" w:cs="Arial"/>
          <w:sz w:val="19"/>
          <w:szCs w:val="19"/>
        </w:rPr>
        <w:t xml:space="preserve"> </w:t>
      </w:r>
      <w:r w:rsidRPr="004F1D0F">
        <w:rPr>
          <w:rFonts w:ascii="Arial" w:hAnsi="Arial" w:cs="Arial"/>
          <w:sz w:val="19"/>
          <w:szCs w:val="19"/>
          <w:lang w:val="es-ES"/>
        </w:rPr>
        <w:t>Artículos 2 al 29.</w:t>
      </w:r>
    </w:p>
    <w:p w14:paraId="3F3A4C1F" w14:textId="77777777" w:rsidR="00C47F18" w:rsidRPr="004F1D0F" w:rsidRDefault="00C47F18" w:rsidP="004F1D0F">
      <w:pPr>
        <w:pStyle w:val="Textonotapie"/>
        <w:ind w:firstLine="709"/>
        <w:jc w:val="both"/>
        <w:rPr>
          <w:rFonts w:ascii="Arial" w:hAnsi="Arial" w:cs="Arial"/>
          <w:sz w:val="19"/>
          <w:szCs w:val="19"/>
          <w:lang w:val="es-ES"/>
        </w:rPr>
      </w:pPr>
    </w:p>
  </w:footnote>
  <w:footnote w:id="3">
    <w:p w14:paraId="3A8728BD" w14:textId="77777777" w:rsidR="00C47F18" w:rsidRPr="004F1D0F" w:rsidRDefault="00C47F18" w:rsidP="004F1D0F">
      <w:pPr>
        <w:pStyle w:val="Textonotapie"/>
        <w:ind w:firstLine="709"/>
        <w:jc w:val="both"/>
        <w:rPr>
          <w:rFonts w:ascii="Arial" w:hAnsi="Arial" w:cs="Arial"/>
          <w:sz w:val="19"/>
          <w:szCs w:val="19"/>
          <w:lang w:val="es-ES"/>
        </w:rPr>
      </w:pPr>
      <w:r w:rsidRPr="004F1D0F">
        <w:rPr>
          <w:rStyle w:val="Refdenotaalpie"/>
          <w:rFonts w:ascii="Arial" w:hAnsi="Arial" w:cs="Arial"/>
          <w:sz w:val="19"/>
          <w:szCs w:val="19"/>
        </w:rPr>
        <w:footnoteRef/>
      </w:r>
      <w:r w:rsidRPr="004F1D0F">
        <w:rPr>
          <w:rFonts w:ascii="Arial" w:hAnsi="Arial" w:cs="Arial"/>
          <w:sz w:val="19"/>
          <w:szCs w:val="19"/>
        </w:rPr>
        <w:t xml:space="preserve"> </w:t>
      </w:r>
      <w:r w:rsidRPr="004F1D0F">
        <w:rPr>
          <w:rFonts w:ascii="Arial" w:hAnsi="Arial" w:cs="Arial"/>
          <w:sz w:val="19"/>
          <w:szCs w:val="19"/>
          <w:lang w:val="es-ES"/>
        </w:rPr>
        <w:t>Artículos 30 al 36.</w:t>
      </w:r>
    </w:p>
    <w:p w14:paraId="6E32AE94" w14:textId="77777777" w:rsidR="00C47F18" w:rsidRPr="004F1D0F" w:rsidRDefault="00C47F18" w:rsidP="004F1D0F">
      <w:pPr>
        <w:pStyle w:val="Textonotapie"/>
        <w:ind w:firstLine="709"/>
        <w:jc w:val="both"/>
        <w:rPr>
          <w:rFonts w:ascii="Arial" w:hAnsi="Arial" w:cs="Arial"/>
          <w:sz w:val="19"/>
          <w:szCs w:val="19"/>
          <w:lang w:val="es-ES"/>
        </w:rPr>
      </w:pPr>
    </w:p>
  </w:footnote>
  <w:footnote w:id="4">
    <w:p w14:paraId="29604E64" w14:textId="77777777" w:rsidR="00C47F18" w:rsidRPr="004F1D0F" w:rsidRDefault="00C47F18" w:rsidP="004F1D0F">
      <w:pPr>
        <w:pStyle w:val="Textonotapie"/>
        <w:ind w:firstLine="709"/>
        <w:jc w:val="both"/>
        <w:rPr>
          <w:rFonts w:ascii="Arial" w:hAnsi="Arial" w:cs="Arial"/>
          <w:sz w:val="19"/>
          <w:szCs w:val="19"/>
          <w:lang w:val="es-ES"/>
        </w:rPr>
      </w:pPr>
      <w:r w:rsidRPr="004F1D0F">
        <w:rPr>
          <w:rStyle w:val="Refdenotaalpie"/>
          <w:rFonts w:ascii="Arial" w:hAnsi="Arial" w:cs="Arial"/>
          <w:sz w:val="19"/>
          <w:szCs w:val="19"/>
        </w:rPr>
        <w:footnoteRef/>
      </w:r>
      <w:r w:rsidRPr="004F1D0F">
        <w:rPr>
          <w:rFonts w:ascii="Arial" w:hAnsi="Arial" w:cs="Arial"/>
          <w:sz w:val="19"/>
          <w:szCs w:val="19"/>
        </w:rPr>
        <w:t xml:space="preserve"> </w:t>
      </w:r>
      <w:r w:rsidRPr="004F1D0F">
        <w:rPr>
          <w:rFonts w:ascii="Arial" w:hAnsi="Arial" w:cs="Arial"/>
          <w:sz w:val="19"/>
          <w:szCs w:val="19"/>
          <w:lang w:val="es-ES"/>
        </w:rPr>
        <w:t>Artículos 37 al 45.</w:t>
      </w:r>
    </w:p>
    <w:p w14:paraId="6EAC1815" w14:textId="77777777" w:rsidR="00C47F18" w:rsidRPr="004F1D0F" w:rsidRDefault="00C47F18" w:rsidP="004F1D0F">
      <w:pPr>
        <w:pStyle w:val="Textonotapie"/>
        <w:ind w:firstLine="709"/>
        <w:jc w:val="both"/>
        <w:rPr>
          <w:rFonts w:ascii="Arial" w:hAnsi="Arial" w:cs="Arial"/>
          <w:sz w:val="19"/>
          <w:szCs w:val="19"/>
          <w:lang w:val="es-ES"/>
        </w:rPr>
      </w:pPr>
    </w:p>
  </w:footnote>
  <w:footnote w:id="5">
    <w:p w14:paraId="5B24E1F3" w14:textId="77777777" w:rsidR="00C47F18" w:rsidRPr="004F1D0F" w:rsidRDefault="00C47F18" w:rsidP="004F1D0F">
      <w:pPr>
        <w:pStyle w:val="Textonotapie"/>
        <w:ind w:firstLine="709"/>
        <w:jc w:val="both"/>
        <w:rPr>
          <w:rFonts w:ascii="Arial" w:hAnsi="Arial" w:cs="Arial"/>
          <w:sz w:val="19"/>
          <w:szCs w:val="19"/>
          <w:lang w:val="es-ES"/>
        </w:rPr>
      </w:pPr>
      <w:r w:rsidRPr="004F1D0F">
        <w:rPr>
          <w:rStyle w:val="Refdenotaalpie"/>
          <w:rFonts w:ascii="Arial" w:hAnsi="Arial" w:cs="Arial"/>
          <w:sz w:val="19"/>
          <w:szCs w:val="19"/>
        </w:rPr>
        <w:footnoteRef/>
      </w:r>
      <w:r w:rsidRPr="004F1D0F">
        <w:rPr>
          <w:rFonts w:ascii="Arial" w:hAnsi="Arial" w:cs="Arial"/>
          <w:sz w:val="19"/>
          <w:szCs w:val="19"/>
        </w:rPr>
        <w:t xml:space="preserve"> </w:t>
      </w:r>
      <w:r w:rsidRPr="004F1D0F">
        <w:rPr>
          <w:rFonts w:ascii="Arial" w:hAnsi="Arial" w:cs="Arial"/>
          <w:sz w:val="19"/>
          <w:szCs w:val="19"/>
          <w:lang w:val="es-ES"/>
        </w:rPr>
        <w:t>Artículos 46 al 73.</w:t>
      </w:r>
    </w:p>
    <w:p w14:paraId="30FD1F17" w14:textId="77777777" w:rsidR="00C47F18" w:rsidRPr="004F1D0F" w:rsidRDefault="00C47F18" w:rsidP="004F1D0F">
      <w:pPr>
        <w:pStyle w:val="Textonotapie"/>
        <w:ind w:firstLine="709"/>
        <w:jc w:val="both"/>
        <w:rPr>
          <w:rFonts w:ascii="Arial" w:hAnsi="Arial" w:cs="Arial"/>
          <w:sz w:val="19"/>
          <w:szCs w:val="19"/>
          <w:lang w:val="es-ES"/>
        </w:rPr>
      </w:pPr>
    </w:p>
  </w:footnote>
  <w:footnote w:id="6">
    <w:p w14:paraId="799E79D6" w14:textId="77777777" w:rsidR="00C47F18" w:rsidRPr="004F1D0F" w:rsidRDefault="00C47F18" w:rsidP="004F1D0F">
      <w:pPr>
        <w:pStyle w:val="Textonotapie"/>
        <w:ind w:firstLine="709"/>
        <w:jc w:val="both"/>
        <w:rPr>
          <w:rFonts w:ascii="Arial" w:hAnsi="Arial" w:cs="Arial"/>
          <w:sz w:val="19"/>
          <w:szCs w:val="19"/>
          <w:lang w:val="es-ES"/>
        </w:rPr>
      </w:pPr>
      <w:r w:rsidRPr="004F1D0F">
        <w:rPr>
          <w:rStyle w:val="Refdenotaalpie"/>
          <w:rFonts w:ascii="Arial" w:hAnsi="Arial" w:cs="Arial"/>
          <w:sz w:val="19"/>
          <w:szCs w:val="19"/>
        </w:rPr>
        <w:footnoteRef/>
      </w:r>
      <w:r w:rsidRPr="004F1D0F">
        <w:rPr>
          <w:rFonts w:ascii="Arial" w:hAnsi="Arial" w:cs="Arial"/>
          <w:sz w:val="19"/>
          <w:szCs w:val="19"/>
        </w:rPr>
        <w:t xml:space="preserve"> </w:t>
      </w:r>
      <w:r w:rsidRPr="004F1D0F">
        <w:rPr>
          <w:rFonts w:ascii="Arial" w:hAnsi="Arial" w:cs="Arial"/>
          <w:sz w:val="19"/>
          <w:szCs w:val="19"/>
          <w:lang w:val="es-ES"/>
        </w:rPr>
        <w:t>Artículos 74 al 83.</w:t>
      </w:r>
    </w:p>
    <w:p w14:paraId="4FB507B1" w14:textId="77777777" w:rsidR="00C47F18" w:rsidRPr="004F1D0F" w:rsidRDefault="00C47F18" w:rsidP="004F1D0F">
      <w:pPr>
        <w:pStyle w:val="Textonotapie"/>
        <w:ind w:firstLine="709"/>
        <w:jc w:val="both"/>
        <w:rPr>
          <w:rFonts w:ascii="Arial" w:hAnsi="Arial" w:cs="Arial"/>
          <w:sz w:val="19"/>
          <w:szCs w:val="19"/>
          <w:lang w:val="es-ES"/>
        </w:rPr>
      </w:pPr>
    </w:p>
  </w:footnote>
  <w:footnote w:id="7">
    <w:p w14:paraId="007B2DE8" w14:textId="11F1F723" w:rsidR="005F0B10" w:rsidRPr="004F1D0F" w:rsidRDefault="00903C57" w:rsidP="004F1D0F">
      <w:pPr>
        <w:ind w:firstLine="709"/>
        <w:jc w:val="both"/>
        <w:rPr>
          <w:rFonts w:ascii="Arial" w:hAnsi="Arial" w:cs="Arial"/>
          <w:sz w:val="19"/>
          <w:szCs w:val="19"/>
        </w:rPr>
      </w:pPr>
      <w:r w:rsidRPr="004F1D0F">
        <w:rPr>
          <w:rStyle w:val="Refdenotaalpie"/>
          <w:rFonts w:ascii="Arial" w:hAnsi="Arial" w:cs="Arial"/>
          <w:sz w:val="19"/>
          <w:szCs w:val="19"/>
        </w:rPr>
        <w:footnoteRef/>
      </w:r>
      <w:r w:rsidRPr="004F1D0F">
        <w:rPr>
          <w:rFonts w:ascii="Arial" w:hAnsi="Arial" w:cs="Arial"/>
          <w:sz w:val="19"/>
          <w:szCs w:val="19"/>
        </w:rPr>
        <w:t xml:space="preserve"> </w:t>
      </w:r>
      <w:r w:rsidRPr="004F1D0F">
        <w:rPr>
          <w:rFonts w:ascii="Arial" w:hAnsi="Arial" w:cs="Arial"/>
          <w:sz w:val="19"/>
          <w:szCs w:val="19"/>
          <w:lang w:val="es-ES"/>
        </w:rPr>
        <w:t xml:space="preserve">En efecto, el artículo </w:t>
      </w:r>
      <w:r w:rsidR="00231A18" w:rsidRPr="004F1D0F">
        <w:rPr>
          <w:rFonts w:ascii="Arial" w:hAnsi="Arial" w:cs="Arial"/>
          <w:sz w:val="19"/>
          <w:szCs w:val="19"/>
          <w:lang w:val="es-ES"/>
        </w:rPr>
        <w:t xml:space="preserve">34 de la Ley 2069 de 2020 establece: </w:t>
      </w:r>
      <w:r w:rsidR="005F0B10" w:rsidRPr="004F1D0F">
        <w:rPr>
          <w:rFonts w:ascii="Arial" w:hAnsi="Arial" w:cs="Arial"/>
          <w:sz w:val="19"/>
          <w:szCs w:val="19"/>
          <w:lang w:val="es-ES"/>
        </w:rPr>
        <w:t>«</w:t>
      </w:r>
      <w:r w:rsidR="005F0B10" w:rsidRPr="004F1D0F">
        <w:rPr>
          <w:rFonts w:ascii="Arial" w:hAnsi="Arial" w:cs="Arial"/>
          <w:sz w:val="19"/>
          <w:szCs w:val="19"/>
        </w:rPr>
        <w:t xml:space="preserve">Modifíquese el artículo 12 de la Ley 1150 de 2007, el cual quedará así: </w:t>
      </w:r>
    </w:p>
    <w:p w14:paraId="5B3EECC1" w14:textId="7C5050AB" w:rsidR="00231A18" w:rsidRPr="004F1D0F" w:rsidRDefault="005F0B10" w:rsidP="004F1D0F">
      <w:pPr>
        <w:ind w:firstLine="709"/>
        <w:jc w:val="both"/>
        <w:rPr>
          <w:rFonts w:ascii="Arial" w:eastAsia="Calibri" w:hAnsi="Arial" w:cs="Arial"/>
          <w:color w:val="000000" w:themeColor="text1"/>
          <w:sz w:val="19"/>
          <w:szCs w:val="19"/>
          <w:lang w:val="es-ES_tradnl"/>
        </w:rPr>
      </w:pPr>
      <w:r w:rsidRPr="004F1D0F">
        <w:rPr>
          <w:rFonts w:ascii="Arial" w:eastAsia="Calibri" w:hAnsi="Arial" w:cs="Arial"/>
          <w:color w:val="000000" w:themeColor="text1"/>
          <w:sz w:val="19"/>
          <w:szCs w:val="19"/>
        </w:rPr>
        <w:t>»</w:t>
      </w:r>
      <w:r w:rsidR="00231A18" w:rsidRPr="004F1D0F">
        <w:rPr>
          <w:rFonts w:ascii="Arial" w:eastAsia="Calibri" w:hAnsi="Arial" w:cs="Arial"/>
          <w:color w:val="000000" w:themeColor="text1"/>
          <w:sz w:val="19"/>
          <w:szCs w:val="19"/>
          <w:lang w:val="es-ES_tradnl"/>
        </w:rPr>
        <w:t>"</w:t>
      </w:r>
      <w:r w:rsidRPr="004F1D0F">
        <w:rPr>
          <w:rFonts w:ascii="Arial" w:eastAsia="Calibri" w:hAnsi="Arial" w:cs="Arial"/>
          <w:color w:val="000000" w:themeColor="text1"/>
          <w:sz w:val="19"/>
          <w:szCs w:val="19"/>
          <w:lang w:val="es-ES_tradnl"/>
        </w:rPr>
        <w:t>Artículo</w:t>
      </w:r>
      <w:r w:rsidR="00231A18" w:rsidRPr="004F1D0F">
        <w:rPr>
          <w:rFonts w:ascii="Arial" w:eastAsia="Calibri" w:hAnsi="Arial" w:cs="Arial"/>
          <w:color w:val="000000" w:themeColor="text1"/>
          <w:sz w:val="19"/>
          <w:szCs w:val="19"/>
          <w:lang w:val="es-ES_tradnl"/>
        </w:rPr>
        <w:t xml:space="preserve">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Mipyme, convocatorias limitadas a estas en las que, previo a la Resolución de apertura del proceso respectivo, se haya manifestado el interés de por lo menos dos (2) Mipyme.</w:t>
      </w:r>
    </w:p>
    <w:p w14:paraId="58FA426A" w14:textId="303369BB" w:rsidR="00231A18" w:rsidRPr="004F1D0F" w:rsidRDefault="005F0B10" w:rsidP="004F1D0F">
      <w:pPr>
        <w:ind w:firstLine="709"/>
        <w:jc w:val="both"/>
        <w:rPr>
          <w:rFonts w:ascii="Arial" w:eastAsia="Calibri" w:hAnsi="Arial" w:cs="Arial"/>
          <w:color w:val="000000" w:themeColor="text1"/>
          <w:sz w:val="19"/>
          <w:szCs w:val="19"/>
          <w:lang w:val="es-ES_tradnl"/>
        </w:rPr>
      </w:pPr>
      <w:r w:rsidRPr="004F1D0F">
        <w:rPr>
          <w:rFonts w:ascii="Arial" w:eastAsia="Calibri" w:hAnsi="Arial" w:cs="Arial"/>
          <w:color w:val="000000" w:themeColor="text1"/>
          <w:sz w:val="19"/>
          <w:szCs w:val="19"/>
          <w:lang w:val="es-ES_tradnl"/>
        </w:rPr>
        <w:t>»</w:t>
      </w:r>
      <w:r w:rsidR="00231A18" w:rsidRPr="004F1D0F">
        <w:rPr>
          <w:rFonts w:ascii="Arial" w:eastAsia="Calibri" w:hAnsi="Arial" w:cs="Arial"/>
          <w:color w:val="000000" w:themeColor="text1"/>
          <w:sz w:val="19"/>
          <w:szCs w:val="19"/>
          <w:lang w:val="es-ES_tradnl"/>
        </w:rPr>
        <w:t>Asimismo, el reglamento podrá establecer condiciones preferenciales a favor de la oferta de bienes y servicios producidos por las Mipyme respetando los montos y las condiciones contenidas en los compromisos internacionales vigentes, cuando sean aplicables.</w:t>
      </w:r>
    </w:p>
    <w:p w14:paraId="18EBE081" w14:textId="1BBDB92E" w:rsidR="00231A18" w:rsidRPr="004F1D0F" w:rsidRDefault="005F0B10" w:rsidP="004F1D0F">
      <w:pPr>
        <w:ind w:firstLine="709"/>
        <w:jc w:val="both"/>
        <w:rPr>
          <w:rFonts w:ascii="Arial" w:eastAsia="Calibri" w:hAnsi="Arial" w:cs="Arial"/>
          <w:color w:val="000000" w:themeColor="text1"/>
          <w:sz w:val="19"/>
          <w:szCs w:val="19"/>
          <w:lang w:val="es-ES_tradnl"/>
        </w:rPr>
      </w:pPr>
      <w:r w:rsidRPr="004F1D0F">
        <w:rPr>
          <w:rFonts w:ascii="Arial" w:eastAsia="Calibri" w:hAnsi="Arial" w:cs="Arial"/>
          <w:color w:val="000000" w:themeColor="text1"/>
          <w:sz w:val="19"/>
          <w:szCs w:val="19"/>
          <w:lang w:val="es-ES_tradnl"/>
        </w:rPr>
        <w:t>»</w:t>
      </w:r>
      <w:r w:rsidR="00231A18" w:rsidRPr="004F1D0F">
        <w:rPr>
          <w:rFonts w:ascii="Arial" w:eastAsia="Calibri" w:hAnsi="Arial" w:cs="Arial"/>
          <w:color w:val="000000" w:themeColor="text1"/>
          <w:sz w:val="19"/>
          <w:szCs w:val="19"/>
          <w:lang w:val="es-ES_tradnl"/>
        </w:rPr>
        <w:t>En todo caso, se deberá garantizar la satisfacción de las condiciones técnicas y económicas requeridas en el Proceso de Contratación.</w:t>
      </w:r>
    </w:p>
    <w:p w14:paraId="0B8E2E25" w14:textId="120EFCBF" w:rsidR="00231A18" w:rsidRPr="004F1D0F" w:rsidRDefault="005F0B10" w:rsidP="004F1D0F">
      <w:pPr>
        <w:ind w:firstLine="709"/>
        <w:jc w:val="both"/>
        <w:rPr>
          <w:rFonts w:ascii="Arial" w:eastAsia="Calibri" w:hAnsi="Arial" w:cs="Arial"/>
          <w:color w:val="000000" w:themeColor="text1"/>
          <w:sz w:val="19"/>
          <w:szCs w:val="19"/>
          <w:lang w:val="es-ES_tradnl"/>
        </w:rPr>
      </w:pPr>
      <w:r w:rsidRPr="004F1D0F">
        <w:rPr>
          <w:rFonts w:ascii="Arial" w:eastAsia="Calibri" w:hAnsi="Arial" w:cs="Arial"/>
          <w:color w:val="000000" w:themeColor="text1"/>
          <w:sz w:val="19"/>
          <w:szCs w:val="19"/>
          <w:lang w:val="es-ES_tradnl"/>
        </w:rPr>
        <w:t>»</w:t>
      </w:r>
      <w:r w:rsidR="00231A18" w:rsidRPr="004F1D0F">
        <w:rPr>
          <w:rFonts w:ascii="Arial" w:eastAsia="Calibri" w:hAnsi="Arial" w:cs="Arial"/>
          <w:color w:val="000000" w:themeColor="text1"/>
          <w:sz w:val="19"/>
          <w:szCs w:val="19"/>
          <w:lang w:val="es-ES_tradnl"/>
        </w:rPr>
        <w:t>De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w:t>
      </w:r>
    </w:p>
    <w:p w14:paraId="02ADEC45" w14:textId="314C7AA9" w:rsidR="00231A18" w:rsidRPr="004F1D0F" w:rsidRDefault="005F0B10" w:rsidP="004F1D0F">
      <w:pPr>
        <w:ind w:firstLine="709"/>
        <w:jc w:val="both"/>
        <w:rPr>
          <w:rFonts w:ascii="Arial" w:eastAsia="Calibri" w:hAnsi="Arial" w:cs="Arial"/>
          <w:color w:val="000000" w:themeColor="text1"/>
          <w:sz w:val="19"/>
          <w:szCs w:val="19"/>
          <w:lang w:val="es-ES_tradnl"/>
        </w:rPr>
      </w:pPr>
      <w:r w:rsidRPr="004F1D0F">
        <w:rPr>
          <w:rFonts w:ascii="Arial" w:eastAsia="Calibri" w:hAnsi="Arial" w:cs="Arial"/>
          <w:color w:val="000000" w:themeColor="text1"/>
          <w:sz w:val="19"/>
          <w:szCs w:val="19"/>
          <w:lang w:val="es-ES_tradnl"/>
        </w:rPr>
        <w:t>»Parágrafo Primero</w:t>
      </w:r>
      <w:r w:rsidR="00231A18" w:rsidRPr="004F1D0F">
        <w:rPr>
          <w:rFonts w:ascii="Arial" w:eastAsia="Calibri" w:hAnsi="Arial" w:cs="Arial"/>
          <w:color w:val="000000" w:themeColor="text1"/>
          <w:sz w:val="19"/>
          <w:szCs w:val="19"/>
          <w:lang w:val="es-ES_tradnl"/>
        </w:rPr>
        <w:t>. En los Procesos de Contratación que se desarrollen con base en el primer inciso, las entidades podrán realizar las convocatorias limitadas que beneficien a las Mipyme del ámbito municipal o departamental correspondiente al de la ejecución del contrato.</w:t>
      </w:r>
    </w:p>
    <w:p w14:paraId="75C07D68" w14:textId="4D11C44A" w:rsidR="00231A18" w:rsidRPr="004F1D0F" w:rsidRDefault="005F0B10" w:rsidP="004F1D0F">
      <w:pPr>
        <w:ind w:firstLine="709"/>
        <w:jc w:val="both"/>
        <w:rPr>
          <w:rFonts w:ascii="Arial" w:eastAsia="Calibri" w:hAnsi="Arial" w:cs="Arial"/>
          <w:color w:val="000000" w:themeColor="text1"/>
          <w:sz w:val="19"/>
          <w:szCs w:val="19"/>
          <w:lang w:val="es-ES_tradnl"/>
        </w:rPr>
      </w:pPr>
      <w:r w:rsidRPr="004F1D0F">
        <w:rPr>
          <w:rFonts w:ascii="Arial" w:eastAsia="Calibri" w:hAnsi="Arial" w:cs="Arial"/>
          <w:color w:val="000000" w:themeColor="text1"/>
          <w:sz w:val="19"/>
          <w:szCs w:val="19"/>
          <w:lang w:val="es-ES_tradnl"/>
        </w:rPr>
        <w:t>»Parágrafo Segundo</w:t>
      </w:r>
      <w:r w:rsidR="00231A18" w:rsidRPr="004F1D0F">
        <w:rPr>
          <w:rFonts w:ascii="Arial" w:eastAsia="Calibri" w:hAnsi="Arial" w:cs="Arial"/>
          <w:color w:val="000000" w:themeColor="text1"/>
          <w:sz w:val="19"/>
          <w:szCs w:val="19"/>
          <w:lang w:val="es-ES_tradnl"/>
        </w:rPr>
        <w:t>. Sin perjuicio de lo dispuesto en los artículos 5 y 6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7497F2C4" w14:textId="3858EBC9" w:rsidR="00231A18" w:rsidRPr="004F1D0F" w:rsidRDefault="005F0B10" w:rsidP="004F1D0F">
      <w:pPr>
        <w:ind w:firstLine="709"/>
        <w:jc w:val="both"/>
        <w:rPr>
          <w:rFonts w:ascii="Arial" w:eastAsia="Calibri" w:hAnsi="Arial" w:cs="Arial"/>
          <w:color w:val="000000" w:themeColor="text1"/>
          <w:sz w:val="19"/>
          <w:szCs w:val="19"/>
          <w:lang w:val="es-ES_tradnl"/>
        </w:rPr>
      </w:pPr>
      <w:r w:rsidRPr="004F1D0F">
        <w:rPr>
          <w:rFonts w:ascii="Arial" w:eastAsia="Calibri" w:hAnsi="Arial" w:cs="Arial"/>
          <w:color w:val="000000" w:themeColor="text1"/>
          <w:sz w:val="19"/>
          <w:szCs w:val="19"/>
          <w:lang w:val="es-ES_tradnl"/>
        </w:rPr>
        <w:t>»Parágrafo Tercero</w:t>
      </w:r>
      <w:r w:rsidR="00231A18" w:rsidRPr="004F1D0F">
        <w:rPr>
          <w:rFonts w:ascii="Arial" w:eastAsia="Calibri" w:hAnsi="Arial" w:cs="Arial"/>
          <w:color w:val="000000" w:themeColor="text1"/>
          <w:sz w:val="19"/>
          <w:szCs w:val="19"/>
          <w:lang w:val="es-ES_tradnl"/>
        </w:rPr>
        <w:t>. En la ejecución de los contratos a que se refiere el presente artículo, las entidades y los contratistas, deberán observar lo dispuesto en los artículos 90 a 95 de la Ley 418 de 1997 y las normas que la modifiquen, adicionen o subroguen."</w:t>
      </w:r>
      <w:r w:rsidRPr="004F1D0F">
        <w:rPr>
          <w:rFonts w:ascii="Arial" w:eastAsia="Calibri" w:hAnsi="Arial" w:cs="Arial"/>
          <w:color w:val="000000" w:themeColor="text1"/>
          <w:sz w:val="19"/>
          <w:szCs w:val="19"/>
          <w:lang w:val="es-ES_tradnl"/>
        </w:rPr>
        <w:t>»</w:t>
      </w:r>
      <w:r w:rsidR="00231A18" w:rsidRPr="004F1D0F">
        <w:rPr>
          <w:rFonts w:ascii="Arial" w:eastAsia="Calibri" w:hAnsi="Arial" w:cs="Arial"/>
          <w:color w:val="000000" w:themeColor="text1"/>
          <w:sz w:val="19"/>
          <w:szCs w:val="19"/>
          <w:lang w:val="es-ES_tradnl"/>
        </w:rPr>
        <w:t xml:space="preserve">  </w:t>
      </w:r>
    </w:p>
    <w:p w14:paraId="415AFBE5" w14:textId="0449504E" w:rsidR="00903C57" w:rsidRPr="004F1D0F" w:rsidRDefault="00903C57" w:rsidP="004F1D0F">
      <w:pPr>
        <w:pStyle w:val="Textonotapie"/>
        <w:ind w:firstLine="709"/>
        <w:jc w:val="both"/>
        <w:rPr>
          <w:rFonts w:ascii="Arial" w:hAnsi="Arial" w:cs="Arial"/>
          <w:sz w:val="19"/>
          <w:szCs w:val="19"/>
          <w:lang w:val="es-ES_tradnl"/>
        </w:rPr>
      </w:pPr>
    </w:p>
  </w:footnote>
  <w:footnote w:id="8">
    <w:p w14:paraId="1EFBBA56" w14:textId="77777777" w:rsidR="00141641" w:rsidRPr="004F1D0F" w:rsidRDefault="00141641" w:rsidP="004F1D0F">
      <w:pPr>
        <w:ind w:firstLine="709"/>
        <w:jc w:val="both"/>
        <w:rPr>
          <w:rFonts w:ascii="Arial" w:eastAsiaTheme="minorHAnsi" w:hAnsi="Arial" w:cs="Arial"/>
          <w:sz w:val="19"/>
          <w:szCs w:val="19"/>
          <w:lang w:val="es-ES" w:eastAsia="en-US"/>
        </w:rPr>
      </w:pPr>
      <w:r w:rsidRPr="004F1D0F">
        <w:rPr>
          <w:rStyle w:val="Refdenotaalpie"/>
          <w:rFonts w:ascii="Arial" w:hAnsi="Arial" w:cs="Arial"/>
          <w:sz w:val="19"/>
          <w:szCs w:val="19"/>
        </w:rPr>
        <w:footnoteRef/>
      </w:r>
      <w:r w:rsidRPr="004F1D0F">
        <w:rPr>
          <w:rFonts w:ascii="Arial" w:hAnsi="Arial" w:cs="Arial"/>
          <w:sz w:val="19"/>
          <w:szCs w:val="19"/>
        </w:rPr>
        <w:t xml:space="preserve"> </w:t>
      </w:r>
      <w:r w:rsidRPr="004F1D0F">
        <w:rPr>
          <w:rFonts w:ascii="Arial" w:hAnsi="Arial" w:cs="Arial"/>
          <w:sz w:val="19"/>
          <w:szCs w:val="19"/>
          <w:lang w:val="es-ES"/>
        </w:rPr>
        <w:t xml:space="preserve">Corte Constitucional. Sentencia C-502 de 2012. Magistrada Ponente: </w:t>
      </w:r>
      <w:r w:rsidRPr="004F1D0F">
        <w:rPr>
          <w:rFonts w:ascii="Arial" w:eastAsiaTheme="minorHAnsi" w:hAnsi="Arial" w:cs="Arial"/>
          <w:sz w:val="19"/>
          <w:szCs w:val="19"/>
          <w:lang w:val="es-ES" w:eastAsia="en-US"/>
        </w:rPr>
        <w:t>Adriana María Guillén Arango.</w:t>
      </w:r>
    </w:p>
    <w:p w14:paraId="3A28360E" w14:textId="77777777" w:rsidR="00141641" w:rsidRPr="004F1D0F" w:rsidRDefault="00141641" w:rsidP="004F1D0F">
      <w:pPr>
        <w:pStyle w:val="Textonotapie"/>
        <w:ind w:firstLine="709"/>
        <w:jc w:val="both"/>
        <w:rPr>
          <w:rFonts w:ascii="Arial" w:hAnsi="Arial" w:cs="Arial"/>
          <w:sz w:val="19"/>
          <w:szCs w:val="19"/>
          <w:lang w:val="es-ES"/>
        </w:rPr>
      </w:pPr>
      <w:r w:rsidRPr="004F1D0F">
        <w:rPr>
          <w:rFonts w:ascii="Arial" w:hAnsi="Arial" w:cs="Arial"/>
          <w:sz w:val="19"/>
          <w:szCs w:val="19"/>
          <w:lang w:val="es-ES"/>
        </w:rPr>
        <w:t xml:space="preserve"> </w:t>
      </w:r>
    </w:p>
  </w:footnote>
  <w:footnote w:id="9">
    <w:p w14:paraId="6B2558FD" w14:textId="067949AC" w:rsidR="002D07FD" w:rsidRPr="004F1D0F" w:rsidRDefault="002D07FD" w:rsidP="00F34A54">
      <w:pPr>
        <w:pStyle w:val="Textonotapie"/>
        <w:ind w:firstLine="709"/>
        <w:jc w:val="both"/>
        <w:rPr>
          <w:rFonts w:ascii="Arial" w:hAnsi="Arial" w:cs="Arial"/>
          <w:sz w:val="19"/>
          <w:szCs w:val="19"/>
          <w:lang w:val="es-CO"/>
        </w:rPr>
      </w:pPr>
      <w:r w:rsidRPr="004F1D0F">
        <w:rPr>
          <w:rStyle w:val="Refdenotaalpie"/>
          <w:rFonts w:ascii="Arial" w:hAnsi="Arial" w:cs="Arial"/>
          <w:sz w:val="19"/>
          <w:szCs w:val="19"/>
        </w:rPr>
        <w:footnoteRef/>
      </w:r>
      <w:r w:rsidRPr="004F1D0F">
        <w:rPr>
          <w:rFonts w:ascii="Arial" w:hAnsi="Arial" w:cs="Arial"/>
          <w:sz w:val="19"/>
          <w:szCs w:val="19"/>
        </w:rPr>
        <w:t xml:space="preserve"> Dicho artículo indica que «</w:t>
      </w:r>
      <w:r w:rsidRPr="004F1D0F">
        <w:rPr>
          <w:rFonts w:ascii="Arial" w:hAnsi="Arial" w:cs="Arial"/>
          <w:color w:val="000000"/>
          <w:sz w:val="19"/>
          <w:szCs w:val="19"/>
        </w:rPr>
        <w:t>Las Entidades Estatales pueden realizar convocatorias limitadas a Mipyme nacionales domiciliadas en los departamentos o municipios en donde se va a ejecutar el contrato. La Mipyme debe acreditar su domicilio con el registro mercantil o el certificado de existencia y representación legal de la empresa». </w:t>
      </w:r>
      <w:r w:rsidRPr="004F1D0F">
        <w:rPr>
          <w:rFonts w:ascii="Arial" w:hAnsi="Arial" w:cs="Arial"/>
          <w:sz w:val="19"/>
          <w:szCs w:val="19"/>
        </w:rPr>
        <w:t xml:space="preserve"> </w:t>
      </w:r>
    </w:p>
  </w:footnote>
  <w:footnote w:id="10">
    <w:p w14:paraId="39D55443" w14:textId="77777777" w:rsidR="00F20918" w:rsidRPr="004F1D0F" w:rsidRDefault="00F20918" w:rsidP="00F34A54">
      <w:pPr>
        <w:pBdr>
          <w:top w:val="nil"/>
          <w:left w:val="nil"/>
          <w:bottom w:val="nil"/>
          <w:right w:val="nil"/>
          <w:between w:val="nil"/>
        </w:pBdr>
        <w:ind w:firstLine="709"/>
        <w:jc w:val="both"/>
        <w:rPr>
          <w:rFonts w:ascii="Arial" w:eastAsia="Arial" w:hAnsi="Arial" w:cs="Arial"/>
          <w:color w:val="000000"/>
          <w:sz w:val="19"/>
          <w:szCs w:val="19"/>
        </w:rPr>
      </w:pPr>
      <w:r w:rsidRPr="00F34A54">
        <w:rPr>
          <w:rFonts w:ascii="Arial" w:hAnsi="Arial" w:cs="Arial"/>
          <w:sz w:val="19"/>
          <w:szCs w:val="19"/>
          <w:vertAlign w:val="superscript"/>
        </w:rPr>
        <w:footnoteRef/>
      </w:r>
      <w:r w:rsidRPr="004F1D0F">
        <w:rPr>
          <w:rFonts w:ascii="Arial" w:eastAsia="Arial" w:hAnsi="Arial" w:cs="Arial"/>
          <w:color w:val="000000"/>
          <w:sz w:val="19"/>
          <w:szCs w:val="19"/>
        </w:rPr>
        <w:t xml:space="preserve"> Es el promedio ponderado por monto de las operaciones de compra y venta de dólares de los Estados Unidos de América a cambio de moneda legal colombiana, pactadas para cumplimiento en ambas monedas el mismo día de su negociación, efectuadas por los Intermediarios del Mercado Cambiario entre las 7:30 a.m. y la 1:00 p.m.</w:t>
      </w:r>
    </w:p>
    <w:p w14:paraId="480E658E" w14:textId="77777777" w:rsidR="00F20918" w:rsidRPr="004F1D0F" w:rsidRDefault="00F20918" w:rsidP="00F34A54">
      <w:pPr>
        <w:pBdr>
          <w:top w:val="nil"/>
          <w:left w:val="nil"/>
          <w:bottom w:val="nil"/>
          <w:right w:val="nil"/>
          <w:between w:val="nil"/>
        </w:pBdr>
        <w:ind w:firstLine="709"/>
        <w:jc w:val="both"/>
        <w:rPr>
          <w:rFonts w:ascii="Arial" w:eastAsia="Arial" w:hAnsi="Arial" w:cs="Arial"/>
          <w:color w:val="000000"/>
          <w:sz w:val="19"/>
          <w:szCs w:val="19"/>
        </w:rPr>
      </w:pPr>
    </w:p>
  </w:footnote>
  <w:footnote w:id="11">
    <w:p w14:paraId="6B5AE2E8" w14:textId="77777777" w:rsidR="00F20918" w:rsidRPr="004F1D0F" w:rsidRDefault="00F20918" w:rsidP="00F34A54">
      <w:pPr>
        <w:pBdr>
          <w:top w:val="nil"/>
          <w:left w:val="nil"/>
          <w:bottom w:val="nil"/>
          <w:right w:val="nil"/>
          <w:between w:val="nil"/>
        </w:pBdr>
        <w:ind w:firstLine="709"/>
        <w:jc w:val="both"/>
        <w:rPr>
          <w:rFonts w:ascii="Arial" w:eastAsia="Arial" w:hAnsi="Arial" w:cs="Arial"/>
          <w:color w:val="000000"/>
          <w:sz w:val="19"/>
          <w:szCs w:val="19"/>
        </w:rPr>
      </w:pPr>
      <w:r w:rsidRPr="00F34A54">
        <w:rPr>
          <w:rFonts w:ascii="Arial" w:hAnsi="Arial" w:cs="Arial"/>
          <w:sz w:val="19"/>
          <w:szCs w:val="19"/>
          <w:vertAlign w:val="superscript"/>
        </w:rPr>
        <w:footnoteRef/>
      </w:r>
      <w:r w:rsidRPr="004F1D0F">
        <w:rPr>
          <w:rFonts w:ascii="Arial" w:eastAsia="Arial" w:hAnsi="Arial" w:cs="Arial"/>
          <w:color w:val="000000"/>
          <w:sz w:val="19"/>
          <w:szCs w:val="19"/>
        </w:rPr>
        <w:t xml:space="preserve"> La TRM diaria se puede consultar en </w:t>
      </w:r>
      <w:hyperlink r:id="rId1">
        <w:r w:rsidRPr="004F1D0F">
          <w:rPr>
            <w:rFonts w:ascii="Arial" w:eastAsia="Arial" w:hAnsi="Arial" w:cs="Arial"/>
            <w:color w:val="000000"/>
            <w:sz w:val="19"/>
            <w:szCs w:val="19"/>
            <w:u w:val="single"/>
          </w:rPr>
          <w:t>https://www.banrep.gov.co/es/estadisticas/trm</w:t>
        </w:r>
      </w:hyperlink>
      <w:r w:rsidRPr="004F1D0F">
        <w:rPr>
          <w:rFonts w:ascii="Arial" w:eastAsia="Arial" w:hAnsi="Arial" w:cs="Arial"/>
          <w:color w:val="000000"/>
          <w:sz w:val="19"/>
          <w:szCs w:val="19"/>
        </w:rPr>
        <w:t>.</w:t>
      </w:r>
    </w:p>
    <w:p w14:paraId="18BFD4D2" w14:textId="77777777" w:rsidR="00F20918" w:rsidRPr="004F1D0F" w:rsidRDefault="00F20918" w:rsidP="00F34A54">
      <w:pPr>
        <w:pBdr>
          <w:top w:val="nil"/>
          <w:left w:val="nil"/>
          <w:bottom w:val="nil"/>
          <w:right w:val="nil"/>
          <w:between w:val="nil"/>
        </w:pBdr>
        <w:ind w:firstLine="709"/>
        <w:jc w:val="both"/>
        <w:rPr>
          <w:rFonts w:ascii="Arial" w:eastAsia="Arial" w:hAnsi="Arial" w:cs="Arial"/>
          <w:color w:val="000000"/>
          <w:sz w:val="19"/>
          <w:szCs w:val="19"/>
        </w:rPr>
      </w:pPr>
    </w:p>
  </w:footnote>
  <w:footnote w:id="12">
    <w:p w14:paraId="12543D8E" w14:textId="77777777" w:rsidR="00F20918" w:rsidRPr="004F1D0F" w:rsidRDefault="00F20918" w:rsidP="00F34A54">
      <w:pPr>
        <w:pBdr>
          <w:top w:val="nil"/>
          <w:left w:val="nil"/>
          <w:bottom w:val="nil"/>
          <w:right w:val="nil"/>
          <w:between w:val="nil"/>
        </w:pBdr>
        <w:ind w:firstLine="709"/>
        <w:jc w:val="both"/>
        <w:rPr>
          <w:rFonts w:ascii="Arial" w:eastAsia="Arial" w:hAnsi="Arial" w:cs="Arial"/>
          <w:color w:val="000000"/>
          <w:sz w:val="19"/>
          <w:szCs w:val="19"/>
        </w:rPr>
      </w:pPr>
      <w:r w:rsidRPr="00F34A54">
        <w:rPr>
          <w:rFonts w:ascii="Arial" w:hAnsi="Arial" w:cs="Arial"/>
          <w:sz w:val="19"/>
          <w:szCs w:val="19"/>
          <w:vertAlign w:val="superscript"/>
        </w:rPr>
        <w:footnoteRef/>
      </w:r>
      <w:r w:rsidRPr="004F1D0F">
        <w:rPr>
          <w:rFonts w:ascii="Arial" w:eastAsia="Arial" w:hAnsi="Arial" w:cs="Arial"/>
          <w:color w:val="000000"/>
          <w:sz w:val="19"/>
          <w:szCs w:val="19"/>
        </w:rPr>
        <w:t xml:space="preserve"> Fecha de expedición del Decreto 1082.</w:t>
      </w:r>
    </w:p>
    <w:p w14:paraId="44CA2C14" w14:textId="77777777" w:rsidR="00F20918" w:rsidRPr="004F1D0F" w:rsidRDefault="00F20918" w:rsidP="00F34A54">
      <w:pPr>
        <w:pBdr>
          <w:top w:val="nil"/>
          <w:left w:val="nil"/>
          <w:bottom w:val="nil"/>
          <w:right w:val="nil"/>
          <w:between w:val="nil"/>
        </w:pBdr>
        <w:ind w:firstLine="709"/>
        <w:jc w:val="both"/>
        <w:rPr>
          <w:rFonts w:ascii="Arial" w:eastAsia="Arial" w:hAnsi="Arial" w:cs="Arial"/>
          <w:color w:val="000000"/>
          <w:sz w:val="19"/>
          <w:szCs w:val="19"/>
        </w:rPr>
      </w:pPr>
    </w:p>
  </w:footnote>
  <w:footnote w:id="13">
    <w:p w14:paraId="1B09DDA6" w14:textId="77777777" w:rsidR="00F20918" w:rsidRPr="004F1D0F" w:rsidRDefault="00F20918" w:rsidP="00F34A54">
      <w:pPr>
        <w:pBdr>
          <w:top w:val="nil"/>
          <w:left w:val="nil"/>
          <w:bottom w:val="nil"/>
          <w:right w:val="nil"/>
          <w:between w:val="nil"/>
        </w:pBdr>
        <w:ind w:firstLine="709"/>
        <w:jc w:val="both"/>
        <w:rPr>
          <w:rFonts w:ascii="Arial" w:eastAsia="Arial" w:hAnsi="Arial" w:cs="Arial"/>
          <w:color w:val="000000"/>
          <w:sz w:val="19"/>
          <w:szCs w:val="19"/>
        </w:rPr>
      </w:pPr>
      <w:r w:rsidRPr="00F34A54">
        <w:rPr>
          <w:rFonts w:ascii="Arial" w:hAnsi="Arial" w:cs="Arial"/>
          <w:sz w:val="19"/>
          <w:szCs w:val="19"/>
          <w:vertAlign w:val="superscript"/>
        </w:rPr>
        <w:footnoteRef/>
      </w:r>
      <w:r w:rsidRPr="004F1D0F">
        <w:rPr>
          <w:rFonts w:ascii="Arial" w:eastAsia="Arial" w:hAnsi="Arial" w:cs="Arial"/>
          <w:color w:val="000000"/>
          <w:sz w:val="19"/>
          <w:szCs w:val="19"/>
        </w:rPr>
        <w:t xml:space="preserve"> </w:t>
      </w:r>
      <w:hyperlink r:id="rId2">
        <w:r w:rsidRPr="004F1D0F">
          <w:rPr>
            <w:rFonts w:ascii="Arial" w:eastAsia="Arial" w:hAnsi="Arial" w:cs="Arial"/>
            <w:color w:val="000000"/>
            <w:sz w:val="19"/>
            <w:szCs w:val="19"/>
            <w:u w:val="single"/>
          </w:rPr>
          <w:t>https://www.colombiacompra.gov.co/sites/cce_public/files/cce_documentos/umbrales_2020_-_2021.pdf</w:t>
        </w:r>
      </w:hyperlink>
    </w:p>
    <w:p w14:paraId="6488EFBC" w14:textId="77777777" w:rsidR="00F20918" w:rsidRPr="004F1D0F" w:rsidRDefault="00F20918" w:rsidP="00F34A54">
      <w:pPr>
        <w:pBdr>
          <w:top w:val="nil"/>
          <w:left w:val="nil"/>
          <w:bottom w:val="nil"/>
          <w:right w:val="nil"/>
          <w:between w:val="nil"/>
        </w:pBdr>
        <w:ind w:firstLine="709"/>
        <w:jc w:val="both"/>
        <w:rPr>
          <w:rFonts w:ascii="Arial" w:eastAsia="Arial" w:hAnsi="Arial" w:cs="Arial"/>
          <w:color w:val="000000"/>
          <w:sz w:val="19"/>
          <w:szCs w:val="19"/>
        </w:rPr>
      </w:pPr>
    </w:p>
  </w:footnote>
  <w:footnote w:id="14">
    <w:p w14:paraId="51483CBA" w14:textId="77777777" w:rsidR="00F20918" w:rsidRPr="004F1D0F" w:rsidRDefault="00F20918" w:rsidP="00F34A54">
      <w:pPr>
        <w:pBdr>
          <w:top w:val="nil"/>
          <w:left w:val="nil"/>
          <w:bottom w:val="nil"/>
          <w:right w:val="nil"/>
          <w:between w:val="nil"/>
        </w:pBdr>
        <w:ind w:firstLine="709"/>
        <w:jc w:val="both"/>
        <w:rPr>
          <w:rFonts w:ascii="Arial" w:eastAsia="Arial" w:hAnsi="Arial" w:cs="Arial"/>
          <w:color w:val="000000"/>
          <w:sz w:val="19"/>
          <w:szCs w:val="19"/>
        </w:rPr>
      </w:pPr>
      <w:r w:rsidRPr="00F34A54">
        <w:rPr>
          <w:rFonts w:ascii="Arial" w:hAnsi="Arial" w:cs="Arial"/>
          <w:sz w:val="19"/>
          <w:szCs w:val="19"/>
          <w:vertAlign w:val="superscript"/>
        </w:rPr>
        <w:footnoteRef/>
      </w:r>
      <w:r w:rsidRPr="004F1D0F">
        <w:rPr>
          <w:rFonts w:ascii="Arial" w:eastAsia="Arial" w:hAnsi="Arial" w:cs="Arial"/>
          <w:color w:val="000000"/>
          <w:sz w:val="19"/>
          <w:szCs w:val="19"/>
        </w:rPr>
        <w:t xml:space="preserve"> Ibidem.</w:t>
      </w:r>
    </w:p>
    <w:p w14:paraId="5B4E8BED" w14:textId="77777777" w:rsidR="00F20918" w:rsidRPr="004F1D0F" w:rsidRDefault="00F20918" w:rsidP="00F34A54">
      <w:pPr>
        <w:pBdr>
          <w:top w:val="nil"/>
          <w:left w:val="nil"/>
          <w:bottom w:val="nil"/>
          <w:right w:val="nil"/>
          <w:between w:val="nil"/>
        </w:pBdr>
        <w:ind w:firstLine="709"/>
        <w:jc w:val="both"/>
        <w:rPr>
          <w:rFonts w:ascii="Arial" w:eastAsia="Arial" w:hAnsi="Arial" w:cs="Arial"/>
          <w:color w:val="000000"/>
          <w:sz w:val="19"/>
          <w:szCs w:val="19"/>
        </w:rPr>
      </w:pPr>
    </w:p>
  </w:footnote>
  <w:footnote w:id="15">
    <w:p w14:paraId="6F5AF390" w14:textId="6E8C5DD2" w:rsidR="00F20918" w:rsidRDefault="00F20918" w:rsidP="004F1D0F">
      <w:pPr>
        <w:pBdr>
          <w:top w:val="nil"/>
          <w:left w:val="nil"/>
          <w:bottom w:val="nil"/>
          <w:right w:val="nil"/>
          <w:between w:val="nil"/>
        </w:pBdr>
        <w:ind w:firstLine="709"/>
        <w:jc w:val="both"/>
        <w:rPr>
          <w:rFonts w:ascii="Arial" w:eastAsia="Arial" w:hAnsi="Arial" w:cs="Arial"/>
          <w:color w:val="000000"/>
          <w:sz w:val="19"/>
          <w:szCs w:val="19"/>
        </w:rPr>
      </w:pPr>
      <w:r w:rsidRPr="00F34A54">
        <w:rPr>
          <w:rFonts w:ascii="Arial" w:hAnsi="Arial" w:cs="Arial"/>
          <w:sz w:val="19"/>
          <w:szCs w:val="19"/>
          <w:vertAlign w:val="superscript"/>
        </w:rPr>
        <w:footnoteRef/>
      </w:r>
      <w:r w:rsidRPr="004F1D0F">
        <w:rPr>
          <w:rFonts w:ascii="Arial" w:eastAsia="Arial" w:hAnsi="Arial" w:cs="Arial"/>
          <w:color w:val="000000"/>
          <w:sz w:val="19"/>
          <w:szCs w:val="19"/>
        </w:rPr>
        <w:t xml:space="preserve"> Concepto emitido en el radicado 4201913000005674, dictado el 27 de septiembre de 2019.</w:t>
      </w:r>
    </w:p>
    <w:p w14:paraId="19F82492" w14:textId="77777777" w:rsidR="004F1D0F" w:rsidRPr="004F1D0F" w:rsidRDefault="004F1D0F" w:rsidP="00F34A54">
      <w:pPr>
        <w:pBdr>
          <w:top w:val="nil"/>
          <w:left w:val="nil"/>
          <w:bottom w:val="nil"/>
          <w:right w:val="nil"/>
          <w:between w:val="nil"/>
        </w:pBdr>
        <w:ind w:firstLine="709"/>
        <w:jc w:val="both"/>
        <w:rPr>
          <w:rFonts w:ascii="Arial" w:eastAsia="Arial" w:hAnsi="Arial" w:cs="Arial"/>
          <w:color w:val="000000"/>
          <w:sz w:val="19"/>
          <w:szCs w:val="19"/>
        </w:rPr>
      </w:pPr>
    </w:p>
  </w:footnote>
  <w:footnote w:id="16">
    <w:p w14:paraId="776A204A" w14:textId="2D0D4E26" w:rsidR="00F20918" w:rsidRPr="004F1D0F" w:rsidRDefault="00F20918" w:rsidP="00F34A54">
      <w:pPr>
        <w:pBdr>
          <w:top w:val="nil"/>
          <w:left w:val="nil"/>
          <w:bottom w:val="nil"/>
          <w:right w:val="nil"/>
          <w:between w:val="nil"/>
        </w:pBdr>
        <w:ind w:firstLine="709"/>
        <w:jc w:val="both"/>
        <w:rPr>
          <w:rFonts w:ascii="Arial" w:eastAsia="Arial" w:hAnsi="Arial" w:cs="Arial"/>
          <w:color w:val="000000"/>
          <w:sz w:val="19"/>
          <w:szCs w:val="19"/>
        </w:rPr>
      </w:pPr>
      <w:r w:rsidRPr="00F34A54">
        <w:rPr>
          <w:rFonts w:ascii="Arial" w:hAnsi="Arial" w:cs="Arial"/>
          <w:sz w:val="19"/>
          <w:szCs w:val="19"/>
          <w:vertAlign w:val="superscript"/>
        </w:rPr>
        <w:footnoteRef/>
      </w:r>
      <w:r w:rsidR="004F1D0F" w:rsidRPr="004F1D0F">
        <w:rPr>
          <w:rFonts w:ascii="Arial" w:eastAsia="Arial" w:hAnsi="Arial" w:cs="Arial"/>
          <w:color w:val="000000"/>
          <w:sz w:val="19"/>
          <w:szCs w:val="19"/>
        </w:rPr>
        <w:t xml:space="preserve"> </w:t>
      </w:r>
      <w:r w:rsidRPr="004F1D0F">
        <w:rPr>
          <w:rFonts w:ascii="Arial" w:eastAsia="Arial" w:hAnsi="Arial" w:cs="Arial"/>
          <w:color w:val="000000"/>
          <w:sz w:val="19"/>
          <w:szCs w:val="19"/>
        </w:rPr>
        <w:t>Ley 1450 de 2011: «Artículo 32. Parágrafo 2°. Sin perjuicio de lo dispuesto en los artículos 5 y 6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footnote>
  <w:footnote w:id="17">
    <w:p w14:paraId="429BDE87" w14:textId="77777777" w:rsidR="00317236" w:rsidRPr="004F1D0F" w:rsidRDefault="00317236" w:rsidP="00317236">
      <w:pPr>
        <w:pBdr>
          <w:top w:val="nil"/>
          <w:left w:val="nil"/>
          <w:bottom w:val="nil"/>
          <w:right w:val="nil"/>
          <w:between w:val="nil"/>
        </w:pBdr>
        <w:ind w:firstLine="709"/>
        <w:jc w:val="both"/>
        <w:rPr>
          <w:rFonts w:ascii="Arial" w:eastAsia="Arial" w:hAnsi="Arial" w:cs="Arial"/>
          <w:color w:val="000000"/>
          <w:sz w:val="19"/>
          <w:szCs w:val="19"/>
        </w:rPr>
      </w:pPr>
      <w:r w:rsidRPr="0054184E">
        <w:rPr>
          <w:rFonts w:ascii="Arial" w:hAnsi="Arial" w:cs="Arial"/>
          <w:sz w:val="19"/>
          <w:szCs w:val="19"/>
          <w:vertAlign w:val="superscript"/>
        </w:rPr>
        <w:footnoteRef/>
      </w:r>
      <w:r w:rsidRPr="004F1D0F">
        <w:rPr>
          <w:rFonts w:ascii="Arial" w:eastAsia="Arial" w:hAnsi="Arial" w:cs="Arial"/>
          <w:color w:val="000000"/>
          <w:sz w:val="19"/>
          <w:szCs w:val="19"/>
        </w:rPr>
        <w:t xml:space="preserve"> Ley 1450 de 2011: «Artículo 32. Parágrafo 1°: En los procesos de selección que se desarrollen con base en el primer inciso, las entidades podrán realizar las convocatorias limitadas que beneficien a las Mipymes del ámbito municipal o departamental correspondiente al de la ejecución del contrato».</w:t>
      </w:r>
    </w:p>
    <w:p w14:paraId="70B4B004" w14:textId="77777777" w:rsidR="00317236" w:rsidRPr="004F1D0F" w:rsidRDefault="00317236" w:rsidP="00317236">
      <w:pPr>
        <w:pBdr>
          <w:top w:val="nil"/>
          <w:left w:val="nil"/>
          <w:bottom w:val="nil"/>
          <w:right w:val="nil"/>
          <w:between w:val="nil"/>
        </w:pBdr>
        <w:ind w:firstLine="709"/>
        <w:jc w:val="both"/>
        <w:rPr>
          <w:rFonts w:ascii="Arial" w:eastAsia="Arial" w:hAnsi="Arial" w:cs="Arial"/>
          <w:color w:val="000000"/>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1A2BB94C" w:rsidR="008F4163" w:rsidRDefault="008F4163">
    <w:pPr>
      <w:pStyle w:val="Encabezado"/>
    </w:pPr>
    <w:r>
      <w:rPr>
        <w:noProof/>
        <w:lang w:val="es-ES_tradnl" w:eastAsia="es-ES_tradnl"/>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6"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1F2084E"/>
    <w:multiLevelType w:val="hybridMultilevel"/>
    <w:tmpl w:val="6C4AF576"/>
    <w:lvl w:ilvl="0" w:tplc="CED44512">
      <w:start w:val="1"/>
      <w:numFmt w:val="decimal"/>
      <w:lvlText w:val="%1."/>
      <w:lvlJc w:val="left"/>
      <w:pPr>
        <w:tabs>
          <w:tab w:val="num" w:pos="720"/>
        </w:tabs>
        <w:ind w:left="720" w:hanging="360"/>
      </w:pPr>
    </w:lvl>
    <w:lvl w:ilvl="1" w:tplc="2DB862AE" w:tentative="1">
      <w:start w:val="1"/>
      <w:numFmt w:val="decimal"/>
      <w:lvlText w:val="%2."/>
      <w:lvlJc w:val="left"/>
      <w:pPr>
        <w:tabs>
          <w:tab w:val="num" w:pos="1440"/>
        </w:tabs>
        <w:ind w:left="1440" w:hanging="360"/>
      </w:pPr>
    </w:lvl>
    <w:lvl w:ilvl="2" w:tplc="03AC466C" w:tentative="1">
      <w:start w:val="1"/>
      <w:numFmt w:val="decimal"/>
      <w:lvlText w:val="%3."/>
      <w:lvlJc w:val="left"/>
      <w:pPr>
        <w:tabs>
          <w:tab w:val="num" w:pos="2160"/>
        </w:tabs>
        <w:ind w:left="2160" w:hanging="360"/>
      </w:pPr>
    </w:lvl>
    <w:lvl w:ilvl="3" w:tplc="1820C460" w:tentative="1">
      <w:start w:val="1"/>
      <w:numFmt w:val="decimal"/>
      <w:lvlText w:val="%4."/>
      <w:lvlJc w:val="left"/>
      <w:pPr>
        <w:tabs>
          <w:tab w:val="num" w:pos="2880"/>
        </w:tabs>
        <w:ind w:left="2880" w:hanging="360"/>
      </w:pPr>
    </w:lvl>
    <w:lvl w:ilvl="4" w:tplc="3294A48C" w:tentative="1">
      <w:start w:val="1"/>
      <w:numFmt w:val="decimal"/>
      <w:lvlText w:val="%5."/>
      <w:lvlJc w:val="left"/>
      <w:pPr>
        <w:tabs>
          <w:tab w:val="num" w:pos="3600"/>
        </w:tabs>
        <w:ind w:left="3600" w:hanging="360"/>
      </w:pPr>
    </w:lvl>
    <w:lvl w:ilvl="5" w:tplc="F77A9290" w:tentative="1">
      <w:start w:val="1"/>
      <w:numFmt w:val="decimal"/>
      <w:lvlText w:val="%6."/>
      <w:lvlJc w:val="left"/>
      <w:pPr>
        <w:tabs>
          <w:tab w:val="num" w:pos="4320"/>
        </w:tabs>
        <w:ind w:left="4320" w:hanging="360"/>
      </w:pPr>
    </w:lvl>
    <w:lvl w:ilvl="6" w:tplc="303A9F5E" w:tentative="1">
      <w:start w:val="1"/>
      <w:numFmt w:val="decimal"/>
      <w:lvlText w:val="%7."/>
      <w:lvlJc w:val="left"/>
      <w:pPr>
        <w:tabs>
          <w:tab w:val="num" w:pos="5040"/>
        </w:tabs>
        <w:ind w:left="5040" w:hanging="360"/>
      </w:pPr>
    </w:lvl>
    <w:lvl w:ilvl="7" w:tplc="895C1678" w:tentative="1">
      <w:start w:val="1"/>
      <w:numFmt w:val="decimal"/>
      <w:lvlText w:val="%8."/>
      <w:lvlJc w:val="left"/>
      <w:pPr>
        <w:tabs>
          <w:tab w:val="num" w:pos="5760"/>
        </w:tabs>
        <w:ind w:left="5760" w:hanging="360"/>
      </w:pPr>
    </w:lvl>
    <w:lvl w:ilvl="8" w:tplc="665C70BC" w:tentative="1">
      <w:start w:val="1"/>
      <w:numFmt w:val="decimal"/>
      <w:lvlText w:val="%9."/>
      <w:lvlJc w:val="left"/>
      <w:pPr>
        <w:tabs>
          <w:tab w:val="num" w:pos="6480"/>
        </w:tabs>
        <w:ind w:left="6480" w:hanging="360"/>
      </w:pPr>
    </w:lvl>
  </w:abstractNum>
  <w:abstractNum w:abstractNumId="15"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6" w15:restartNumberingAfterBreak="0">
    <w:nsid w:val="597D4B97"/>
    <w:multiLevelType w:val="multilevel"/>
    <w:tmpl w:val="576C4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9"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0"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1"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2"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1858544885">
    <w:abstractNumId w:val="9"/>
  </w:num>
  <w:num w:numId="2" w16cid:durableId="577249160">
    <w:abstractNumId w:val="7"/>
  </w:num>
  <w:num w:numId="3" w16cid:durableId="1446995131">
    <w:abstractNumId w:val="12"/>
  </w:num>
  <w:num w:numId="4" w16cid:durableId="806166649">
    <w:abstractNumId w:val="15"/>
  </w:num>
  <w:num w:numId="5" w16cid:durableId="853153839">
    <w:abstractNumId w:val="19"/>
  </w:num>
  <w:num w:numId="6" w16cid:durableId="1314211533">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61178213">
    <w:abstractNumId w:val="17"/>
  </w:num>
  <w:num w:numId="8" w16cid:durableId="1974943092">
    <w:abstractNumId w:val="0"/>
  </w:num>
  <w:num w:numId="9" w16cid:durableId="1832062654">
    <w:abstractNumId w:val="3"/>
  </w:num>
  <w:num w:numId="10" w16cid:durableId="168736416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8772844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604315252">
    <w:abstractNumId w:val="8"/>
  </w:num>
  <w:num w:numId="13" w16cid:durableId="86511432">
    <w:abstractNumId w:val="11"/>
  </w:num>
  <w:num w:numId="14" w16cid:durableId="667866">
    <w:abstractNumId w:val="6"/>
  </w:num>
  <w:num w:numId="15" w16cid:durableId="453059098">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84316583">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41234286">
    <w:abstractNumId w:val="21"/>
  </w:num>
  <w:num w:numId="18" w16cid:durableId="1994094017">
    <w:abstractNumId w:val="13"/>
  </w:num>
  <w:num w:numId="19" w16cid:durableId="1931311191">
    <w:abstractNumId w:val="2"/>
  </w:num>
  <w:num w:numId="20" w16cid:durableId="586966442">
    <w:abstractNumId w:val="22"/>
  </w:num>
  <w:num w:numId="21" w16cid:durableId="1844203016">
    <w:abstractNumId w:val="14"/>
  </w:num>
  <w:num w:numId="22" w16cid:durableId="132411829">
    <w:abstractNumId w:val="5"/>
  </w:num>
  <w:num w:numId="23" w16cid:durableId="806776341">
    <w:abstractNumId w:val="4"/>
  </w:num>
  <w:num w:numId="24" w16cid:durableId="2062048099">
    <w:abstractNumId w:val="20"/>
  </w:num>
  <w:num w:numId="25" w16cid:durableId="62620620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85A"/>
    <w:rsid w:val="00000559"/>
    <w:rsid w:val="0000162E"/>
    <w:rsid w:val="00001A1C"/>
    <w:rsid w:val="00001FFD"/>
    <w:rsid w:val="00002027"/>
    <w:rsid w:val="000020FE"/>
    <w:rsid w:val="00002173"/>
    <w:rsid w:val="000031A8"/>
    <w:rsid w:val="00003C5C"/>
    <w:rsid w:val="00003D39"/>
    <w:rsid w:val="000040D7"/>
    <w:rsid w:val="0000433C"/>
    <w:rsid w:val="00004556"/>
    <w:rsid w:val="000051AF"/>
    <w:rsid w:val="000059D3"/>
    <w:rsid w:val="00005B6D"/>
    <w:rsid w:val="0000600A"/>
    <w:rsid w:val="00006081"/>
    <w:rsid w:val="00007750"/>
    <w:rsid w:val="000077FD"/>
    <w:rsid w:val="00007E37"/>
    <w:rsid w:val="00010C40"/>
    <w:rsid w:val="000112B4"/>
    <w:rsid w:val="00011DCC"/>
    <w:rsid w:val="00011EA4"/>
    <w:rsid w:val="00012532"/>
    <w:rsid w:val="00012B9E"/>
    <w:rsid w:val="00012F37"/>
    <w:rsid w:val="00012FBA"/>
    <w:rsid w:val="00013C6B"/>
    <w:rsid w:val="0001406B"/>
    <w:rsid w:val="000140E5"/>
    <w:rsid w:val="000143F8"/>
    <w:rsid w:val="00014624"/>
    <w:rsid w:val="00015126"/>
    <w:rsid w:val="00015B44"/>
    <w:rsid w:val="00016081"/>
    <w:rsid w:val="000165AC"/>
    <w:rsid w:val="00016651"/>
    <w:rsid w:val="000171A2"/>
    <w:rsid w:val="000179B3"/>
    <w:rsid w:val="00017B65"/>
    <w:rsid w:val="00020158"/>
    <w:rsid w:val="00020739"/>
    <w:rsid w:val="000207E0"/>
    <w:rsid w:val="000209E2"/>
    <w:rsid w:val="00020F8F"/>
    <w:rsid w:val="00021A95"/>
    <w:rsid w:val="00021C8A"/>
    <w:rsid w:val="0002256F"/>
    <w:rsid w:val="00023DAE"/>
    <w:rsid w:val="00024896"/>
    <w:rsid w:val="000255FA"/>
    <w:rsid w:val="00025D0A"/>
    <w:rsid w:val="000263F0"/>
    <w:rsid w:val="00026407"/>
    <w:rsid w:val="00026608"/>
    <w:rsid w:val="00027787"/>
    <w:rsid w:val="000278D2"/>
    <w:rsid w:val="00030DFB"/>
    <w:rsid w:val="00031364"/>
    <w:rsid w:val="000315E1"/>
    <w:rsid w:val="0003236E"/>
    <w:rsid w:val="000323C6"/>
    <w:rsid w:val="00032689"/>
    <w:rsid w:val="0003339A"/>
    <w:rsid w:val="000335B4"/>
    <w:rsid w:val="000341F2"/>
    <w:rsid w:val="00035046"/>
    <w:rsid w:val="000351F2"/>
    <w:rsid w:val="0003535C"/>
    <w:rsid w:val="00035768"/>
    <w:rsid w:val="00036D03"/>
    <w:rsid w:val="00036E03"/>
    <w:rsid w:val="000406DB"/>
    <w:rsid w:val="0004094D"/>
    <w:rsid w:val="00041029"/>
    <w:rsid w:val="00041357"/>
    <w:rsid w:val="0004149B"/>
    <w:rsid w:val="00041FC6"/>
    <w:rsid w:val="00042961"/>
    <w:rsid w:val="00042C25"/>
    <w:rsid w:val="00042D03"/>
    <w:rsid w:val="00043086"/>
    <w:rsid w:val="000430A0"/>
    <w:rsid w:val="00043652"/>
    <w:rsid w:val="00043D3B"/>
    <w:rsid w:val="0004418C"/>
    <w:rsid w:val="00044204"/>
    <w:rsid w:val="0004477A"/>
    <w:rsid w:val="000449D4"/>
    <w:rsid w:val="0004600D"/>
    <w:rsid w:val="000463B5"/>
    <w:rsid w:val="00046717"/>
    <w:rsid w:val="00046A63"/>
    <w:rsid w:val="00046C09"/>
    <w:rsid w:val="0004716A"/>
    <w:rsid w:val="00047385"/>
    <w:rsid w:val="000473E8"/>
    <w:rsid w:val="000504DE"/>
    <w:rsid w:val="00051074"/>
    <w:rsid w:val="000526F0"/>
    <w:rsid w:val="0005273D"/>
    <w:rsid w:val="00052B79"/>
    <w:rsid w:val="00052E4B"/>
    <w:rsid w:val="00052EA0"/>
    <w:rsid w:val="000536A7"/>
    <w:rsid w:val="000536E3"/>
    <w:rsid w:val="00053896"/>
    <w:rsid w:val="00053A00"/>
    <w:rsid w:val="00053DBC"/>
    <w:rsid w:val="0005474D"/>
    <w:rsid w:val="00055CB9"/>
    <w:rsid w:val="00056F66"/>
    <w:rsid w:val="0005702F"/>
    <w:rsid w:val="000578FF"/>
    <w:rsid w:val="00061010"/>
    <w:rsid w:val="00061D06"/>
    <w:rsid w:val="00062CDD"/>
    <w:rsid w:val="00062DB3"/>
    <w:rsid w:val="00063472"/>
    <w:rsid w:val="000640AF"/>
    <w:rsid w:val="00064940"/>
    <w:rsid w:val="00064CAE"/>
    <w:rsid w:val="00064DB7"/>
    <w:rsid w:val="00064FA7"/>
    <w:rsid w:val="00065195"/>
    <w:rsid w:val="0006536C"/>
    <w:rsid w:val="0006626E"/>
    <w:rsid w:val="00066A7F"/>
    <w:rsid w:val="00070AF1"/>
    <w:rsid w:val="000714DE"/>
    <w:rsid w:val="0007254F"/>
    <w:rsid w:val="0007324F"/>
    <w:rsid w:val="0007357C"/>
    <w:rsid w:val="00073C30"/>
    <w:rsid w:val="00074305"/>
    <w:rsid w:val="000744D0"/>
    <w:rsid w:val="00074B2A"/>
    <w:rsid w:val="00074EEE"/>
    <w:rsid w:val="000753D5"/>
    <w:rsid w:val="00075B3E"/>
    <w:rsid w:val="00076456"/>
    <w:rsid w:val="0007779B"/>
    <w:rsid w:val="000777E7"/>
    <w:rsid w:val="0007790A"/>
    <w:rsid w:val="000779F2"/>
    <w:rsid w:val="0008017B"/>
    <w:rsid w:val="00080ACD"/>
    <w:rsid w:val="000811ED"/>
    <w:rsid w:val="00081D62"/>
    <w:rsid w:val="00082B74"/>
    <w:rsid w:val="00083099"/>
    <w:rsid w:val="00083EDC"/>
    <w:rsid w:val="00084B97"/>
    <w:rsid w:val="00084F87"/>
    <w:rsid w:val="00085033"/>
    <w:rsid w:val="0008510E"/>
    <w:rsid w:val="000856DE"/>
    <w:rsid w:val="00085F17"/>
    <w:rsid w:val="00085FB0"/>
    <w:rsid w:val="00085FB3"/>
    <w:rsid w:val="0008686B"/>
    <w:rsid w:val="00086B2A"/>
    <w:rsid w:val="00086ED2"/>
    <w:rsid w:val="00087A64"/>
    <w:rsid w:val="0009006B"/>
    <w:rsid w:val="0009082C"/>
    <w:rsid w:val="00090C39"/>
    <w:rsid w:val="000914D6"/>
    <w:rsid w:val="00091569"/>
    <w:rsid w:val="0009216B"/>
    <w:rsid w:val="00092CDB"/>
    <w:rsid w:val="00092DCA"/>
    <w:rsid w:val="00093851"/>
    <w:rsid w:val="000942EB"/>
    <w:rsid w:val="00095B70"/>
    <w:rsid w:val="0009617E"/>
    <w:rsid w:val="0009628D"/>
    <w:rsid w:val="0009670F"/>
    <w:rsid w:val="000970E4"/>
    <w:rsid w:val="000979CF"/>
    <w:rsid w:val="000A03C8"/>
    <w:rsid w:val="000A05F2"/>
    <w:rsid w:val="000A06C4"/>
    <w:rsid w:val="000A0861"/>
    <w:rsid w:val="000A0EC4"/>
    <w:rsid w:val="000A0ED1"/>
    <w:rsid w:val="000A12DB"/>
    <w:rsid w:val="000A17C8"/>
    <w:rsid w:val="000A1B74"/>
    <w:rsid w:val="000A20D7"/>
    <w:rsid w:val="000A2128"/>
    <w:rsid w:val="000A362F"/>
    <w:rsid w:val="000A3B49"/>
    <w:rsid w:val="000A46FE"/>
    <w:rsid w:val="000A47E6"/>
    <w:rsid w:val="000A52C0"/>
    <w:rsid w:val="000A5AAF"/>
    <w:rsid w:val="000A5ACE"/>
    <w:rsid w:val="000A5F97"/>
    <w:rsid w:val="000A648E"/>
    <w:rsid w:val="000A7268"/>
    <w:rsid w:val="000A73BB"/>
    <w:rsid w:val="000A73E8"/>
    <w:rsid w:val="000A7EF4"/>
    <w:rsid w:val="000B03A7"/>
    <w:rsid w:val="000B046C"/>
    <w:rsid w:val="000B0A15"/>
    <w:rsid w:val="000B103F"/>
    <w:rsid w:val="000B1437"/>
    <w:rsid w:val="000B1470"/>
    <w:rsid w:val="000B244D"/>
    <w:rsid w:val="000B2A1A"/>
    <w:rsid w:val="000B2B86"/>
    <w:rsid w:val="000B3051"/>
    <w:rsid w:val="000B419B"/>
    <w:rsid w:val="000B56F9"/>
    <w:rsid w:val="000B5781"/>
    <w:rsid w:val="000B5CB1"/>
    <w:rsid w:val="000B75F4"/>
    <w:rsid w:val="000C0185"/>
    <w:rsid w:val="000C084E"/>
    <w:rsid w:val="000C0F81"/>
    <w:rsid w:val="000C128D"/>
    <w:rsid w:val="000C1506"/>
    <w:rsid w:val="000C17A3"/>
    <w:rsid w:val="000C1D4B"/>
    <w:rsid w:val="000C2DC4"/>
    <w:rsid w:val="000C3260"/>
    <w:rsid w:val="000C3B77"/>
    <w:rsid w:val="000C3F6D"/>
    <w:rsid w:val="000C47E0"/>
    <w:rsid w:val="000C4F49"/>
    <w:rsid w:val="000C5861"/>
    <w:rsid w:val="000C5BDE"/>
    <w:rsid w:val="000C639D"/>
    <w:rsid w:val="000C6C31"/>
    <w:rsid w:val="000C6DBC"/>
    <w:rsid w:val="000C6F79"/>
    <w:rsid w:val="000C7476"/>
    <w:rsid w:val="000C7480"/>
    <w:rsid w:val="000C7711"/>
    <w:rsid w:val="000C7AA2"/>
    <w:rsid w:val="000D0462"/>
    <w:rsid w:val="000D053D"/>
    <w:rsid w:val="000D0ED2"/>
    <w:rsid w:val="000D107D"/>
    <w:rsid w:val="000D13FD"/>
    <w:rsid w:val="000D1CEB"/>
    <w:rsid w:val="000D2563"/>
    <w:rsid w:val="000D25BF"/>
    <w:rsid w:val="000D2FE4"/>
    <w:rsid w:val="000D3FDC"/>
    <w:rsid w:val="000D490B"/>
    <w:rsid w:val="000D4E38"/>
    <w:rsid w:val="000D50DB"/>
    <w:rsid w:val="000D6288"/>
    <w:rsid w:val="000D6C10"/>
    <w:rsid w:val="000D728B"/>
    <w:rsid w:val="000D7541"/>
    <w:rsid w:val="000D75E1"/>
    <w:rsid w:val="000E05E2"/>
    <w:rsid w:val="000E22CF"/>
    <w:rsid w:val="000E2977"/>
    <w:rsid w:val="000E2CC0"/>
    <w:rsid w:val="000E30AC"/>
    <w:rsid w:val="000E3B46"/>
    <w:rsid w:val="000E3E11"/>
    <w:rsid w:val="000E4596"/>
    <w:rsid w:val="000E4B94"/>
    <w:rsid w:val="000E4D50"/>
    <w:rsid w:val="000E5768"/>
    <w:rsid w:val="000E5843"/>
    <w:rsid w:val="000E6139"/>
    <w:rsid w:val="000E63B7"/>
    <w:rsid w:val="000E653C"/>
    <w:rsid w:val="000E6BE1"/>
    <w:rsid w:val="000E707D"/>
    <w:rsid w:val="000E7E0B"/>
    <w:rsid w:val="000F0136"/>
    <w:rsid w:val="000F078A"/>
    <w:rsid w:val="000F122D"/>
    <w:rsid w:val="000F1450"/>
    <w:rsid w:val="000F14E8"/>
    <w:rsid w:val="000F1BBD"/>
    <w:rsid w:val="000F290F"/>
    <w:rsid w:val="000F4403"/>
    <w:rsid w:val="000F480B"/>
    <w:rsid w:val="000F4A7F"/>
    <w:rsid w:val="000F4E17"/>
    <w:rsid w:val="000F55A8"/>
    <w:rsid w:val="000F5615"/>
    <w:rsid w:val="000F6578"/>
    <w:rsid w:val="000F6F92"/>
    <w:rsid w:val="000F7E8F"/>
    <w:rsid w:val="000F7FBB"/>
    <w:rsid w:val="001000FB"/>
    <w:rsid w:val="00100A9E"/>
    <w:rsid w:val="00100F6A"/>
    <w:rsid w:val="00102605"/>
    <w:rsid w:val="00102686"/>
    <w:rsid w:val="00102745"/>
    <w:rsid w:val="00103795"/>
    <w:rsid w:val="00103915"/>
    <w:rsid w:val="001039AA"/>
    <w:rsid w:val="00103EA0"/>
    <w:rsid w:val="00104149"/>
    <w:rsid w:val="00104F1C"/>
    <w:rsid w:val="001051E5"/>
    <w:rsid w:val="00105A74"/>
    <w:rsid w:val="00105ACB"/>
    <w:rsid w:val="00105AEF"/>
    <w:rsid w:val="00106259"/>
    <w:rsid w:val="001068EB"/>
    <w:rsid w:val="001078CE"/>
    <w:rsid w:val="00110F61"/>
    <w:rsid w:val="001111BD"/>
    <w:rsid w:val="0011165A"/>
    <w:rsid w:val="00111B2B"/>
    <w:rsid w:val="00112774"/>
    <w:rsid w:val="001128D9"/>
    <w:rsid w:val="00112B2E"/>
    <w:rsid w:val="00113003"/>
    <w:rsid w:val="00113062"/>
    <w:rsid w:val="0011318E"/>
    <w:rsid w:val="0011359A"/>
    <w:rsid w:val="00113705"/>
    <w:rsid w:val="00113975"/>
    <w:rsid w:val="00113CFC"/>
    <w:rsid w:val="00113FEA"/>
    <w:rsid w:val="00114A22"/>
    <w:rsid w:val="00114E9D"/>
    <w:rsid w:val="0011507B"/>
    <w:rsid w:val="001156A7"/>
    <w:rsid w:val="00115C37"/>
    <w:rsid w:val="00116328"/>
    <w:rsid w:val="001163CF"/>
    <w:rsid w:val="00116EC5"/>
    <w:rsid w:val="001174C9"/>
    <w:rsid w:val="001177FE"/>
    <w:rsid w:val="00117E69"/>
    <w:rsid w:val="00120427"/>
    <w:rsid w:val="00121103"/>
    <w:rsid w:val="00121B78"/>
    <w:rsid w:val="00121BAB"/>
    <w:rsid w:val="00121E3C"/>
    <w:rsid w:val="00122B23"/>
    <w:rsid w:val="00122B7E"/>
    <w:rsid w:val="00123E27"/>
    <w:rsid w:val="00123FB5"/>
    <w:rsid w:val="0012400F"/>
    <w:rsid w:val="001249DC"/>
    <w:rsid w:val="00124CF2"/>
    <w:rsid w:val="0012572D"/>
    <w:rsid w:val="00125BED"/>
    <w:rsid w:val="00125C59"/>
    <w:rsid w:val="00125D4F"/>
    <w:rsid w:val="00127004"/>
    <w:rsid w:val="0012770B"/>
    <w:rsid w:val="00127AF2"/>
    <w:rsid w:val="00127EDC"/>
    <w:rsid w:val="00127F42"/>
    <w:rsid w:val="00127F6D"/>
    <w:rsid w:val="00130355"/>
    <w:rsid w:val="00130365"/>
    <w:rsid w:val="00130413"/>
    <w:rsid w:val="001304E5"/>
    <w:rsid w:val="00131B5A"/>
    <w:rsid w:val="001329BC"/>
    <w:rsid w:val="00132C30"/>
    <w:rsid w:val="00132EFD"/>
    <w:rsid w:val="00133AED"/>
    <w:rsid w:val="00134BCD"/>
    <w:rsid w:val="00134E09"/>
    <w:rsid w:val="001350AB"/>
    <w:rsid w:val="00135DB9"/>
    <w:rsid w:val="00135E5D"/>
    <w:rsid w:val="0013695C"/>
    <w:rsid w:val="00136BF7"/>
    <w:rsid w:val="00136C78"/>
    <w:rsid w:val="00137440"/>
    <w:rsid w:val="001378B9"/>
    <w:rsid w:val="00137FFA"/>
    <w:rsid w:val="00140109"/>
    <w:rsid w:val="0014029B"/>
    <w:rsid w:val="00140464"/>
    <w:rsid w:val="00140A4F"/>
    <w:rsid w:val="001413AB"/>
    <w:rsid w:val="00141641"/>
    <w:rsid w:val="00141690"/>
    <w:rsid w:val="00141DBF"/>
    <w:rsid w:val="001429B2"/>
    <w:rsid w:val="00142EFD"/>
    <w:rsid w:val="00144335"/>
    <w:rsid w:val="0014502F"/>
    <w:rsid w:val="00145282"/>
    <w:rsid w:val="001453B0"/>
    <w:rsid w:val="001454D9"/>
    <w:rsid w:val="00145D8E"/>
    <w:rsid w:val="00146083"/>
    <w:rsid w:val="001462F7"/>
    <w:rsid w:val="001471AB"/>
    <w:rsid w:val="00147F35"/>
    <w:rsid w:val="00150005"/>
    <w:rsid w:val="00151AEB"/>
    <w:rsid w:val="00151B99"/>
    <w:rsid w:val="00151E79"/>
    <w:rsid w:val="001521B2"/>
    <w:rsid w:val="00152EDD"/>
    <w:rsid w:val="00153491"/>
    <w:rsid w:val="0015361C"/>
    <w:rsid w:val="0015372F"/>
    <w:rsid w:val="00153BFB"/>
    <w:rsid w:val="0015407E"/>
    <w:rsid w:val="0015448E"/>
    <w:rsid w:val="00154A6F"/>
    <w:rsid w:val="00154B68"/>
    <w:rsid w:val="00155BED"/>
    <w:rsid w:val="00155D08"/>
    <w:rsid w:val="0015623B"/>
    <w:rsid w:val="00156BE5"/>
    <w:rsid w:val="00157232"/>
    <w:rsid w:val="00160401"/>
    <w:rsid w:val="00160C01"/>
    <w:rsid w:val="00160D4E"/>
    <w:rsid w:val="00161DDA"/>
    <w:rsid w:val="00161E62"/>
    <w:rsid w:val="00161F1C"/>
    <w:rsid w:val="0016200B"/>
    <w:rsid w:val="0016204B"/>
    <w:rsid w:val="00162348"/>
    <w:rsid w:val="001630BF"/>
    <w:rsid w:val="00163D7A"/>
    <w:rsid w:val="00164281"/>
    <w:rsid w:val="00165703"/>
    <w:rsid w:val="00165E5C"/>
    <w:rsid w:val="00166204"/>
    <w:rsid w:val="00166797"/>
    <w:rsid w:val="0016685F"/>
    <w:rsid w:val="0016712F"/>
    <w:rsid w:val="00167503"/>
    <w:rsid w:val="0016767E"/>
    <w:rsid w:val="001676A9"/>
    <w:rsid w:val="00167A15"/>
    <w:rsid w:val="00167A50"/>
    <w:rsid w:val="00167D1A"/>
    <w:rsid w:val="00167DF5"/>
    <w:rsid w:val="00170001"/>
    <w:rsid w:val="00172198"/>
    <w:rsid w:val="00172612"/>
    <w:rsid w:val="00172817"/>
    <w:rsid w:val="001734E3"/>
    <w:rsid w:val="001742BF"/>
    <w:rsid w:val="001742E1"/>
    <w:rsid w:val="00175E49"/>
    <w:rsid w:val="0017649F"/>
    <w:rsid w:val="0017655B"/>
    <w:rsid w:val="00177EAA"/>
    <w:rsid w:val="001805C1"/>
    <w:rsid w:val="00180A2E"/>
    <w:rsid w:val="00180F75"/>
    <w:rsid w:val="001813AF"/>
    <w:rsid w:val="001826C9"/>
    <w:rsid w:val="001829CD"/>
    <w:rsid w:val="00182F01"/>
    <w:rsid w:val="00183B5D"/>
    <w:rsid w:val="00184219"/>
    <w:rsid w:val="00184C5B"/>
    <w:rsid w:val="00184F27"/>
    <w:rsid w:val="0018519B"/>
    <w:rsid w:val="001858C9"/>
    <w:rsid w:val="00185966"/>
    <w:rsid w:val="00185A2D"/>
    <w:rsid w:val="00185AFE"/>
    <w:rsid w:val="00185E78"/>
    <w:rsid w:val="001868D9"/>
    <w:rsid w:val="00187177"/>
    <w:rsid w:val="00187ABD"/>
    <w:rsid w:val="001904E3"/>
    <w:rsid w:val="0019087A"/>
    <w:rsid w:val="00191C5A"/>
    <w:rsid w:val="00191CEB"/>
    <w:rsid w:val="00191E63"/>
    <w:rsid w:val="00192D68"/>
    <w:rsid w:val="0019388B"/>
    <w:rsid w:val="00193ADE"/>
    <w:rsid w:val="00193B9A"/>
    <w:rsid w:val="001940ED"/>
    <w:rsid w:val="001946AE"/>
    <w:rsid w:val="001946D5"/>
    <w:rsid w:val="00194E8C"/>
    <w:rsid w:val="001962EC"/>
    <w:rsid w:val="001963DD"/>
    <w:rsid w:val="001965DB"/>
    <w:rsid w:val="00196D01"/>
    <w:rsid w:val="00196DC9"/>
    <w:rsid w:val="00196E95"/>
    <w:rsid w:val="00197758"/>
    <w:rsid w:val="001A0236"/>
    <w:rsid w:val="001A0915"/>
    <w:rsid w:val="001A0AF8"/>
    <w:rsid w:val="001A0E1B"/>
    <w:rsid w:val="001A1490"/>
    <w:rsid w:val="001A18D5"/>
    <w:rsid w:val="001A1A38"/>
    <w:rsid w:val="001A1BE0"/>
    <w:rsid w:val="001A1D4A"/>
    <w:rsid w:val="001A3011"/>
    <w:rsid w:val="001A3078"/>
    <w:rsid w:val="001A4314"/>
    <w:rsid w:val="001A4894"/>
    <w:rsid w:val="001A4A9B"/>
    <w:rsid w:val="001A4B32"/>
    <w:rsid w:val="001A4DAF"/>
    <w:rsid w:val="001A54CD"/>
    <w:rsid w:val="001A611F"/>
    <w:rsid w:val="001A66DF"/>
    <w:rsid w:val="001A67D0"/>
    <w:rsid w:val="001A6863"/>
    <w:rsid w:val="001A7591"/>
    <w:rsid w:val="001A75B1"/>
    <w:rsid w:val="001A7B06"/>
    <w:rsid w:val="001B0366"/>
    <w:rsid w:val="001B0444"/>
    <w:rsid w:val="001B096B"/>
    <w:rsid w:val="001B0F9F"/>
    <w:rsid w:val="001B123C"/>
    <w:rsid w:val="001B1A0D"/>
    <w:rsid w:val="001B1BF1"/>
    <w:rsid w:val="001B21AC"/>
    <w:rsid w:val="001B2456"/>
    <w:rsid w:val="001B3B25"/>
    <w:rsid w:val="001B449C"/>
    <w:rsid w:val="001B4AA2"/>
    <w:rsid w:val="001B4ADE"/>
    <w:rsid w:val="001B5530"/>
    <w:rsid w:val="001B5EF8"/>
    <w:rsid w:val="001B71E8"/>
    <w:rsid w:val="001C033E"/>
    <w:rsid w:val="001C07C6"/>
    <w:rsid w:val="001C120D"/>
    <w:rsid w:val="001C16DA"/>
    <w:rsid w:val="001C19CD"/>
    <w:rsid w:val="001C2119"/>
    <w:rsid w:val="001C22D5"/>
    <w:rsid w:val="001C2515"/>
    <w:rsid w:val="001C26FB"/>
    <w:rsid w:val="001C33C1"/>
    <w:rsid w:val="001C3E30"/>
    <w:rsid w:val="001C3E5C"/>
    <w:rsid w:val="001C5005"/>
    <w:rsid w:val="001C5072"/>
    <w:rsid w:val="001C5B2A"/>
    <w:rsid w:val="001C600B"/>
    <w:rsid w:val="001C6898"/>
    <w:rsid w:val="001C6DD8"/>
    <w:rsid w:val="001C76FA"/>
    <w:rsid w:val="001C79A4"/>
    <w:rsid w:val="001C7C7B"/>
    <w:rsid w:val="001D068D"/>
    <w:rsid w:val="001D09DB"/>
    <w:rsid w:val="001D12D1"/>
    <w:rsid w:val="001D15DF"/>
    <w:rsid w:val="001D2552"/>
    <w:rsid w:val="001D2EEE"/>
    <w:rsid w:val="001D30F3"/>
    <w:rsid w:val="001D31A0"/>
    <w:rsid w:val="001D338E"/>
    <w:rsid w:val="001D4562"/>
    <w:rsid w:val="001D56E9"/>
    <w:rsid w:val="001D6944"/>
    <w:rsid w:val="001D6CD2"/>
    <w:rsid w:val="001D796A"/>
    <w:rsid w:val="001D7A84"/>
    <w:rsid w:val="001D7C79"/>
    <w:rsid w:val="001E003B"/>
    <w:rsid w:val="001E1CC4"/>
    <w:rsid w:val="001E1D38"/>
    <w:rsid w:val="001E28A0"/>
    <w:rsid w:val="001E3FFE"/>
    <w:rsid w:val="001E4258"/>
    <w:rsid w:val="001E5140"/>
    <w:rsid w:val="001E5D6A"/>
    <w:rsid w:val="001E6A94"/>
    <w:rsid w:val="001E6D8D"/>
    <w:rsid w:val="001E70FB"/>
    <w:rsid w:val="001E780A"/>
    <w:rsid w:val="001F0325"/>
    <w:rsid w:val="001F0806"/>
    <w:rsid w:val="001F0D15"/>
    <w:rsid w:val="001F0FA0"/>
    <w:rsid w:val="001F1349"/>
    <w:rsid w:val="001F1863"/>
    <w:rsid w:val="001F2356"/>
    <w:rsid w:val="001F2462"/>
    <w:rsid w:val="001F2868"/>
    <w:rsid w:val="001F2A68"/>
    <w:rsid w:val="001F2C47"/>
    <w:rsid w:val="001F3BAE"/>
    <w:rsid w:val="001F4773"/>
    <w:rsid w:val="001F5008"/>
    <w:rsid w:val="001F56AA"/>
    <w:rsid w:val="001F57EB"/>
    <w:rsid w:val="001F58AA"/>
    <w:rsid w:val="001F5A4E"/>
    <w:rsid w:val="001F5D34"/>
    <w:rsid w:val="001F5EF6"/>
    <w:rsid w:val="001F657F"/>
    <w:rsid w:val="001F6FB6"/>
    <w:rsid w:val="001F7144"/>
    <w:rsid w:val="001F72BB"/>
    <w:rsid w:val="001F792A"/>
    <w:rsid w:val="001F7978"/>
    <w:rsid w:val="001F7A0E"/>
    <w:rsid w:val="001F7A4B"/>
    <w:rsid w:val="0020022E"/>
    <w:rsid w:val="0020054E"/>
    <w:rsid w:val="00201508"/>
    <w:rsid w:val="00201AC4"/>
    <w:rsid w:val="00201F1E"/>
    <w:rsid w:val="00202761"/>
    <w:rsid w:val="0020299B"/>
    <w:rsid w:val="00202B2A"/>
    <w:rsid w:val="00202E44"/>
    <w:rsid w:val="002037AA"/>
    <w:rsid w:val="00203FE3"/>
    <w:rsid w:val="002042D8"/>
    <w:rsid w:val="00204515"/>
    <w:rsid w:val="00204BF5"/>
    <w:rsid w:val="00204E6B"/>
    <w:rsid w:val="002053EF"/>
    <w:rsid w:val="002058D4"/>
    <w:rsid w:val="0020632A"/>
    <w:rsid w:val="0020697F"/>
    <w:rsid w:val="00206F4D"/>
    <w:rsid w:val="0020726E"/>
    <w:rsid w:val="00207389"/>
    <w:rsid w:val="002110EB"/>
    <w:rsid w:val="00211338"/>
    <w:rsid w:val="00211388"/>
    <w:rsid w:val="0021148C"/>
    <w:rsid w:val="00211694"/>
    <w:rsid w:val="0021201A"/>
    <w:rsid w:val="00212545"/>
    <w:rsid w:val="002138FE"/>
    <w:rsid w:val="00213A1F"/>
    <w:rsid w:val="00213C63"/>
    <w:rsid w:val="00214502"/>
    <w:rsid w:val="00214741"/>
    <w:rsid w:val="00214938"/>
    <w:rsid w:val="0021539A"/>
    <w:rsid w:val="00215852"/>
    <w:rsid w:val="00215B01"/>
    <w:rsid w:val="00215B8E"/>
    <w:rsid w:val="00216264"/>
    <w:rsid w:val="002169A0"/>
    <w:rsid w:val="002176B6"/>
    <w:rsid w:val="0021792D"/>
    <w:rsid w:val="00217DB8"/>
    <w:rsid w:val="002202CE"/>
    <w:rsid w:val="0022032A"/>
    <w:rsid w:val="002212FB"/>
    <w:rsid w:val="0022194E"/>
    <w:rsid w:val="002220B1"/>
    <w:rsid w:val="002221CE"/>
    <w:rsid w:val="00222BE8"/>
    <w:rsid w:val="00222DF6"/>
    <w:rsid w:val="00223102"/>
    <w:rsid w:val="002232CB"/>
    <w:rsid w:val="00224022"/>
    <w:rsid w:val="00226055"/>
    <w:rsid w:val="0022609C"/>
    <w:rsid w:val="0022613F"/>
    <w:rsid w:val="0022614F"/>
    <w:rsid w:val="00226236"/>
    <w:rsid w:val="002266AF"/>
    <w:rsid w:val="002270C9"/>
    <w:rsid w:val="00227A8B"/>
    <w:rsid w:val="00230062"/>
    <w:rsid w:val="0023146B"/>
    <w:rsid w:val="002315A0"/>
    <w:rsid w:val="00231748"/>
    <w:rsid w:val="00231A18"/>
    <w:rsid w:val="00231DCC"/>
    <w:rsid w:val="00231EC7"/>
    <w:rsid w:val="00232E15"/>
    <w:rsid w:val="00233079"/>
    <w:rsid w:val="0023382C"/>
    <w:rsid w:val="00233977"/>
    <w:rsid w:val="00233C58"/>
    <w:rsid w:val="00233C71"/>
    <w:rsid w:val="002345B6"/>
    <w:rsid w:val="002347A6"/>
    <w:rsid w:val="00234B84"/>
    <w:rsid w:val="00236016"/>
    <w:rsid w:val="0023663D"/>
    <w:rsid w:val="00237065"/>
    <w:rsid w:val="00237589"/>
    <w:rsid w:val="0023758D"/>
    <w:rsid w:val="002375A7"/>
    <w:rsid w:val="0024019A"/>
    <w:rsid w:val="00240DA2"/>
    <w:rsid w:val="00240EC1"/>
    <w:rsid w:val="0024120F"/>
    <w:rsid w:val="0024131D"/>
    <w:rsid w:val="002415B8"/>
    <w:rsid w:val="00241B82"/>
    <w:rsid w:val="002420B3"/>
    <w:rsid w:val="00242D5F"/>
    <w:rsid w:val="00242D62"/>
    <w:rsid w:val="002430D0"/>
    <w:rsid w:val="002431D7"/>
    <w:rsid w:val="00244058"/>
    <w:rsid w:val="00244FC3"/>
    <w:rsid w:val="00245718"/>
    <w:rsid w:val="002457E9"/>
    <w:rsid w:val="00245E07"/>
    <w:rsid w:val="0024665E"/>
    <w:rsid w:val="00247712"/>
    <w:rsid w:val="00250A9E"/>
    <w:rsid w:val="00250EC6"/>
    <w:rsid w:val="002515C7"/>
    <w:rsid w:val="00251866"/>
    <w:rsid w:val="00251A9F"/>
    <w:rsid w:val="00252492"/>
    <w:rsid w:val="00252B35"/>
    <w:rsid w:val="00253070"/>
    <w:rsid w:val="0025316D"/>
    <w:rsid w:val="00253723"/>
    <w:rsid w:val="00253A02"/>
    <w:rsid w:val="00253B81"/>
    <w:rsid w:val="00254AE9"/>
    <w:rsid w:val="002554DE"/>
    <w:rsid w:val="00255575"/>
    <w:rsid w:val="00255AD7"/>
    <w:rsid w:val="00255E11"/>
    <w:rsid w:val="002564B7"/>
    <w:rsid w:val="00256835"/>
    <w:rsid w:val="002569F0"/>
    <w:rsid w:val="00256C01"/>
    <w:rsid w:val="00256E1A"/>
    <w:rsid w:val="00256ECF"/>
    <w:rsid w:val="00257730"/>
    <w:rsid w:val="00257999"/>
    <w:rsid w:val="002604AA"/>
    <w:rsid w:val="00260523"/>
    <w:rsid w:val="0026129B"/>
    <w:rsid w:val="00261560"/>
    <w:rsid w:val="00261715"/>
    <w:rsid w:val="00261CF9"/>
    <w:rsid w:val="00261EC0"/>
    <w:rsid w:val="0026231B"/>
    <w:rsid w:val="00263101"/>
    <w:rsid w:val="002631D1"/>
    <w:rsid w:val="00263201"/>
    <w:rsid w:val="00263A37"/>
    <w:rsid w:val="00264266"/>
    <w:rsid w:val="0026471F"/>
    <w:rsid w:val="0026480D"/>
    <w:rsid w:val="002653A6"/>
    <w:rsid w:val="002661F1"/>
    <w:rsid w:val="00266316"/>
    <w:rsid w:val="00266DB6"/>
    <w:rsid w:val="00270797"/>
    <w:rsid w:val="002711A4"/>
    <w:rsid w:val="00271230"/>
    <w:rsid w:val="00271F13"/>
    <w:rsid w:val="00272945"/>
    <w:rsid w:val="00272E89"/>
    <w:rsid w:val="002742D0"/>
    <w:rsid w:val="0027482E"/>
    <w:rsid w:val="002748F1"/>
    <w:rsid w:val="00274DB5"/>
    <w:rsid w:val="00275BB1"/>
    <w:rsid w:val="00276EF7"/>
    <w:rsid w:val="0027770B"/>
    <w:rsid w:val="00277933"/>
    <w:rsid w:val="00277F8D"/>
    <w:rsid w:val="00277FA7"/>
    <w:rsid w:val="00280046"/>
    <w:rsid w:val="002809B4"/>
    <w:rsid w:val="00280B4F"/>
    <w:rsid w:val="00280F3D"/>
    <w:rsid w:val="0028106A"/>
    <w:rsid w:val="00281451"/>
    <w:rsid w:val="00281EB4"/>
    <w:rsid w:val="00282E03"/>
    <w:rsid w:val="00282F7D"/>
    <w:rsid w:val="0028308E"/>
    <w:rsid w:val="002834E9"/>
    <w:rsid w:val="002837BA"/>
    <w:rsid w:val="00283A52"/>
    <w:rsid w:val="00283C5E"/>
    <w:rsid w:val="00283E26"/>
    <w:rsid w:val="0028428F"/>
    <w:rsid w:val="00284CFC"/>
    <w:rsid w:val="00285832"/>
    <w:rsid w:val="00285969"/>
    <w:rsid w:val="0028599C"/>
    <w:rsid w:val="0028663B"/>
    <w:rsid w:val="00286CEC"/>
    <w:rsid w:val="002870F9"/>
    <w:rsid w:val="002871A9"/>
    <w:rsid w:val="00287505"/>
    <w:rsid w:val="00287BDB"/>
    <w:rsid w:val="00290781"/>
    <w:rsid w:val="00291784"/>
    <w:rsid w:val="002920DF"/>
    <w:rsid w:val="002928A3"/>
    <w:rsid w:val="002929BB"/>
    <w:rsid w:val="00292A27"/>
    <w:rsid w:val="0029358B"/>
    <w:rsid w:val="00294368"/>
    <w:rsid w:val="00294B78"/>
    <w:rsid w:val="00295416"/>
    <w:rsid w:val="00295949"/>
    <w:rsid w:val="00295D7C"/>
    <w:rsid w:val="0029624A"/>
    <w:rsid w:val="00296922"/>
    <w:rsid w:val="00297098"/>
    <w:rsid w:val="002A05D4"/>
    <w:rsid w:val="002A06DB"/>
    <w:rsid w:val="002A09FF"/>
    <w:rsid w:val="002A0E60"/>
    <w:rsid w:val="002A1A58"/>
    <w:rsid w:val="002A1B02"/>
    <w:rsid w:val="002A1C53"/>
    <w:rsid w:val="002A1F84"/>
    <w:rsid w:val="002A244B"/>
    <w:rsid w:val="002A28FC"/>
    <w:rsid w:val="002A2B44"/>
    <w:rsid w:val="002A2EA5"/>
    <w:rsid w:val="002A301E"/>
    <w:rsid w:val="002A3555"/>
    <w:rsid w:val="002A3D94"/>
    <w:rsid w:val="002A3F66"/>
    <w:rsid w:val="002A4736"/>
    <w:rsid w:val="002A4B1C"/>
    <w:rsid w:val="002A55FE"/>
    <w:rsid w:val="002A625C"/>
    <w:rsid w:val="002A6AFB"/>
    <w:rsid w:val="002A733D"/>
    <w:rsid w:val="002A774A"/>
    <w:rsid w:val="002A7840"/>
    <w:rsid w:val="002A78F3"/>
    <w:rsid w:val="002A7D84"/>
    <w:rsid w:val="002A7E5C"/>
    <w:rsid w:val="002A7F6D"/>
    <w:rsid w:val="002B0D83"/>
    <w:rsid w:val="002B1342"/>
    <w:rsid w:val="002B1F83"/>
    <w:rsid w:val="002B27C8"/>
    <w:rsid w:val="002B2A7F"/>
    <w:rsid w:val="002B330B"/>
    <w:rsid w:val="002B39BE"/>
    <w:rsid w:val="002B438C"/>
    <w:rsid w:val="002B48DB"/>
    <w:rsid w:val="002B4B34"/>
    <w:rsid w:val="002B541A"/>
    <w:rsid w:val="002B56AE"/>
    <w:rsid w:val="002B5EAB"/>
    <w:rsid w:val="002B5F2E"/>
    <w:rsid w:val="002B6407"/>
    <w:rsid w:val="002B6416"/>
    <w:rsid w:val="002B6459"/>
    <w:rsid w:val="002B6F22"/>
    <w:rsid w:val="002B7014"/>
    <w:rsid w:val="002B73B0"/>
    <w:rsid w:val="002C0589"/>
    <w:rsid w:val="002C24B4"/>
    <w:rsid w:val="002C2B3A"/>
    <w:rsid w:val="002C2B87"/>
    <w:rsid w:val="002C3CF4"/>
    <w:rsid w:val="002C441A"/>
    <w:rsid w:val="002C4A2B"/>
    <w:rsid w:val="002C4A73"/>
    <w:rsid w:val="002C4B84"/>
    <w:rsid w:val="002C4C0C"/>
    <w:rsid w:val="002C5016"/>
    <w:rsid w:val="002C5C2F"/>
    <w:rsid w:val="002C5D0F"/>
    <w:rsid w:val="002C60B9"/>
    <w:rsid w:val="002C6F77"/>
    <w:rsid w:val="002C704D"/>
    <w:rsid w:val="002D07FD"/>
    <w:rsid w:val="002D0845"/>
    <w:rsid w:val="002D0933"/>
    <w:rsid w:val="002D1555"/>
    <w:rsid w:val="002D15B6"/>
    <w:rsid w:val="002D19BB"/>
    <w:rsid w:val="002D1A9B"/>
    <w:rsid w:val="002D1F51"/>
    <w:rsid w:val="002D20F8"/>
    <w:rsid w:val="002D22BD"/>
    <w:rsid w:val="002D22C5"/>
    <w:rsid w:val="002D302A"/>
    <w:rsid w:val="002D36C6"/>
    <w:rsid w:val="002D37C1"/>
    <w:rsid w:val="002D444B"/>
    <w:rsid w:val="002D46A6"/>
    <w:rsid w:val="002D46B4"/>
    <w:rsid w:val="002D46CE"/>
    <w:rsid w:val="002D49C2"/>
    <w:rsid w:val="002D4A45"/>
    <w:rsid w:val="002D4B42"/>
    <w:rsid w:val="002D4B43"/>
    <w:rsid w:val="002D5A1B"/>
    <w:rsid w:val="002D6558"/>
    <w:rsid w:val="002D65BC"/>
    <w:rsid w:val="002E055C"/>
    <w:rsid w:val="002E09D0"/>
    <w:rsid w:val="002E1050"/>
    <w:rsid w:val="002E107E"/>
    <w:rsid w:val="002E18E5"/>
    <w:rsid w:val="002E1953"/>
    <w:rsid w:val="002E2C3F"/>
    <w:rsid w:val="002E2CB5"/>
    <w:rsid w:val="002E2D7D"/>
    <w:rsid w:val="002E32D0"/>
    <w:rsid w:val="002E3931"/>
    <w:rsid w:val="002E3D76"/>
    <w:rsid w:val="002E40A1"/>
    <w:rsid w:val="002E48EC"/>
    <w:rsid w:val="002E4B44"/>
    <w:rsid w:val="002E4ECB"/>
    <w:rsid w:val="002E4F23"/>
    <w:rsid w:val="002E515D"/>
    <w:rsid w:val="002E635A"/>
    <w:rsid w:val="002E6D68"/>
    <w:rsid w:val="002E7847"/>
    <w:rsid w:val="002F0073"/>
    <w:rsid w:val="002F1B27"/>
    <w:rsid w:val="002F1C67"/>
    <w:rsid w:val="002F240B"/>
    <w:rsid w:val="002F24DA"/>
    <w:rsid w:val="002F2F50"/>
    <w:rsid w:val="002F33EC"/>
    <w:rsid w:val="002F34E3"/>
    <w:rsid w:val="002F3601"/>
    <w:rsid w:val="002F40E2"/>
    <w:rsid w:val="002F45F6"/>
    <w:rsid w:val="002F5A6F"/>
    <w:rsid w:val="002F692F"/>
    <w:rsid w:val="002F7031"/>
    <w:rsid w:val="002F7961"/>
    <w:rsid w:val="002F7B66"/>
    <w:rsid w:val="00300CB4"/>
    <w:rsid w:val="00300E24"/>
    <w:rsid w:val="0030257B"/>
    <w:rsid w:val="003033BA"/>
    <w:rsid w:val="00303C19"/>
    <w:rsid w:val="003043A3"/>
    <w:rsid w:val="0030462D"/>
    <w:rsid w:val="00304BD4"/>
    <w:rsid w:val="00304F54"/>
    <w:rsid w:val="0030500A"/>
    <w:rsid w:val="003052EB"/>
    <w:rsid w:val="00305FCB"/>
    <w:rsid w:val="003063C3"/>
    <w:rsid w:val="003069DC"/>
    <w:rsid w:val="00306A13"/>
    <w:rsid w:val="00306B44"/>
    <w:rsid w:val="00306BD3"/>
    <w:rsid w:val="00307C44"/>
    <w:rsid w:val="0031040A"/>
    <w:rsid w:val="0031088E"/>
    <w:rsid w:val="00310D01"/>
    <w:rsid w:val="00311376"/>
    <w:rsid w:val="00311A1F"/>
    <w:rsid w:val="00311B47"/>
    <w:rsid w:val="00311D52"/>
    <w:rsid w:val="00312190"/>
    <w:rsid w:val="003125E0"/>
    <w:rsid w:val="0031271D"/>
    <w:rsid w:val="003132BB"/>
    <w:rsid w:val="00313337"/>
    <w:rsid w:val="00313447"/>
    <w:rsid w:val="00313748"/>
    <w:rsid w:val="00313EA3"/>
    <w:rsid w:val="003151FE"/>
    <w:rsid w:val="00315365"/>
    <w:rsid w:val="00315457"/>
    <w:rsid w:val="00315707"/>
    <w:rsid w:val="00315A72"/>
    <w:rsid w:val="00315FFB"/>
    <w:rsid w:val="003161A4"/>
    <w:rsid w:val="00316955"/>
    <w:rsid w:val="0031713F"/>
    <w:rsid w:val="0031720A"/>
    <w:rsid w:val="00317236"/>
    <w:rsid w:val="0031749B"/>
    <w:rsid w:val="003174E5"/>
    <w:rsid w:val="00317C9D"/>
    <w:rsid w:val="00317CD2"/>
    <w:rsid w:val="00317D99"/>
    <w:rsid w:val="0032078D"/>
    <w:rsid w:val="00320ADF"/>
    <w:rsid w:val="0032137B"/>
    <w:rsid w:val="00321A70"/>
    <w:rsid w:val="00321BD6"/>
    <w:rsid w:val="00321FA3"/>
    <w:rsid w:val="003227D3"/>
    <w:rsid w:val="00322937"/>
    <w:rsid w:val="00323881"/>
    <w:rsid w:val="00324885"/>
    <w:rsid w:val="003251A8"/>
    <w:rsid w:val="003254B1"/>
    <w:rsid w:val="00325AD9"/>
    <w:rsid w:val="00325D79"/>
    <w:rsid w:val="00325D98"/>
    <w:rsid w:val="0032682A"/>
    <w:rsid w:val="00327A5C"/>
    <w:rsid w:val="003305BD"/>
    <w:rsid w:val="0033092C"/>
    <w:rsid w:val="0033122A"/>
    <w:rsid w:val="003315AC"/>
    <w:rsid w:val="00331932"/>
    <w:rsid w:val="00331F74"/>
    <w:rsid w:val="00332382"/>
    <w:rsid w:val="00332453"/>
    <w:rsid w:val="0033251B"/>
    <w:rsid w:val="00333A88"/>
    <w:rsid w:val="003351FF"/>
    <w:rsid w:val="00335B15"/>
    <w:rsid w:val="00335B21"/>
    <w:rsid w:val="00335D3F"/>
    <w:rsid w:val="00336104"/>
    <w:rsid w:val="00336729"/>
    <w:rsid w:val="00336CD9"/>
    <w:rsid w:val="0033726D"/>
    <w:rsid w:val="00337CA8"/>
    <w:rsid w:val="00340D3F"/>
    <w:rsid w:val="0034174B"/>
    <w:rsid w:val="0034177C"/>
    <w:rsid w:val="003420E9"/>
    <w:rsid w:val="00342345"/>
    <w:rsid w:val="00342C27"/>
    <w:rsid w:val="003430C8"/>
    <w:rsid w:val="003432C8"/>
    <w:rsid w:val="003434B3"/>
    <w:rsid w:val="00343536"/>
    <w:rsid w:val="00343EFB"/>
    <w:rsid w:val="00344760"/>
    <w:rsid w:val="003454E8"/>
    <w:rsid w:val="00345574"/>
    <w:rsid w:val="00345965"/>
    <w:rsid w:val="0034680A"/>
    <w:rsid w:val="00346C62"/>
    <w:rsid w:val="00346DCE"/>
    <w:rsid w:val="0034713F"/>
    <w:rsid w:val="00347202"/>
    <w:rsid w:val="0034778E"/>
    <w:rsid w:val="00347A5A"/>
    <w:rsid w:val="003501E2"/>
    <w:rsid w:val="003514B8"/>
    <w:rsid w:val="00351E10"/>
    <w:rsid w:val="003533F4"/>
    <w:rsid w:val="003536F6"/>
    <w:rsid w:val="00353DD5"/>
    <w:rsid w:val="00353F36"/>
    <w:rsid w:val="00355131"/>
    <w:rsid w:val="00355F74"/>
    <w:rsid w:val="003560DB"/>
    <w:rsid w:val="003564DB"/>
    <w:rsid w:val="00356F87"/>
    <w:rsid w:val="00357E83"/>
    <w:rsid w:val="00360CF3"/>
    <w:rsid w:val="00361A59"/>
    <w:rsid w:val="00363348"/>
    <w:rsid w:val="00363857"/>
    <w:rsid w:val="00363D59"/>
    <w:rsid w:val="00363F08"/>
    <w:rsid w:val="003640F7"/>
    <w:rsid w:val="0036594A"/>
    <w:rsid w:val="00365AE5"/>
    <w:rsid w:val="00365D3A"/>
    <w:rsid w:val="003664FF"/>
    <w:rsid w:val="00366BD2"/>
    <w:rsid w:val="003670B8"/>
    <w:rsid w:val="003704A3"/>
    <w:rsid w:val="003706F2"/>
    <w:rsid w:val="003709E8"/>
    <w:rsid w:val="00371056"/>
    <w:rsid w:val="0037124F"/>
    <w:rsid w:val="00373827"/>
    <w:rsid w:val="0037401C"/>
    <w:rsid w:val="0037507B"/>
    <w:rsid w:val="00375C7C"/>
    <w:rsid w:val="00377027"/>
    <w:rsid w:val="00377135"/>
    <w:rsid w:val="00380272"/>
    <w:rsid w:val="003805DB"/>
    <w:rsid w:val="0038152A"/>
    <w:rsid w:val="0038245D"/>
    <w:rsid w:val="00382BAD"/>
    <w:rsid w:val="003835FD"/>
    <w:rsid w:val="00383DE4"/>
    <w:rsid w:val="00383EDF"/>
    <w:rsid w:val="00384494"/>
    <w:rsid w:val="00384C5E"/>
    <w:rsid w:val="00384DF1"/>
    <w:rsid w:val="00384FF3"/>
    <w:rsid w:val="00386456"/>
    <w:rsid w:val="003865A9"/>
    <w:rsid w:val="0039047D"/>
    <w:rsid w:val="003906FD"/>
    <w:rsid w:val="0039092B"/>
    <w:rsid w:val="00390BD9"/>
    <w:rsid w:val="00390F32"/>
    <w:rsid w:val="0039135E"/>
    <w:rsid w:val="00391867"/>
    <w:rsid w:val="0039285D"/>
    <w:rsid w:val="0039319C"/>
    <w:rsid w:val="00393577"/>
    <w:rsid w:val="00393CAE"/>
    <w:rsid w:val="003945F4"/>
    <w:rsid w:val="00394EB5"/>
    <w:rsid w:val="003953B4"/>
    <w:rsid w:val="00395558"/>
    <w:rsid w:val="0039615F"/>
    <w:rsid w:val="003966A0"/>
    <w:rsid w:val="00396A29"/>
    <w:rsid w:val="00397FF0"/>
    <w:rsid w:val="003A058E"/>
    <w:rsid w:val="003A0878"/>
    <w:rsid w:val="003A1561"/>
    <w:rsid w:val="003A1D25"/>
    <w:rsid w:val="003A22A2"/>
    <w:rsid w:val="003A2447"/>
    <w:rsid w:val="003A2AA1"/>
    <w:rsid w:val="003A31A5"/>
    <w:rsid w:val="003A329A"/>
    <w:rsid w:val="003A3603"/>
    <w:rsid w:val="003A3851"/>
    <w:rsid w:val="003A3898"/>
    <w:rsid w:val="003A39DD"/>
    <w:rsid w:val="003A40DB"/>
    <w:rsid w:val="003A4199"/>
    <w:rsid w:val="003A41C5"/>
    <w:rsid w:val="003A457D"/>
    <w:rsid w:val="003A4A8E"/>
    <w:rsid w:val="003A4C7B"/>
    <w:rsid w:val="003A563C"/>
    <w:rsid w:val="003A581E"/>
    <w:rsid w:val="003A5E7E"/>
    <w:rsid w:val="003A6160"/>
    <w:rsid w:val="003A65A5"/>
    <w:rsid w:val="003A65AC"/>
    <w:rsid w:val="003A72F5"/>
    <w:rsid w:val="003A78E5"/>
    <w:rsid w:val="003B0341"/>
    <w:rsid w:val="003B1961"/>
    <w:rsid w:val="003B1E57"/>
    <w:rsid w:val="003B2EF3"/>
    <w:rsid w:val="003B534F"/>
    <w:rsid w:val="003B5391"/>
    <w:rsid w:val="003B58CE"/>
    <w:rsid w:val="003B65D7"/>
    <w:rsid w:val="003B65E0"/>
    <w:rsid w:val="003B6BD4"/>
    <w:rsid w:val="003B6F4D"/>
    <w:rsid w:val="003B6FE7"/>
    <w:rsid w:val="003B7562"/>
    <w:rsid w:val="003C0491"/>
    <w:rsid w:val="003C0C0F"/>
    <w:rsid w:val="003C0D1F"/>
    <w:rsid w:val="003C116A"/>
    <w:rsid w:val="003C1AF4"/>
    <w:rsid w:val="003C1CB8"/>
    <w:rsid w:val="003C22DA"/>
    <w:rsid w:val="003C2550"/>
    <w:rsid w:val="003C287F"/>
    <w:rsid w:val="003C3339"/>
    <w:rsid w:val="003C375A"/>
    <w:rsid w:val="003C4317"/>
    <w:rsid w:val="003C4D9F"/>
    <w:rsid w:val="003C5247"/>
    <w:rsid w:val="003C5B02"/>
    <w:rsid w:val="003C5E8A"/>
    <w:rsid w:val="003C622C"/>
    <w:rsid w:val="003C6505"/>
    <w:rsid w:val="003C73C7"/>
    <w:rsid w:val="003C7CFB"/>
    <w:rsid w:val="003D02F3"/>
    <w:rsid w:val="003D050B"/>
    <w:rsid w:val="003D0B98"/>
    <w:rsid w:val="003D0C3C"/>
    <w:rsid w:val="003D0DE5"/>
    <w:rsid w:val="003D1351"/>
    <w:rsid w:val="003D1A65"/>
    <w:rsid w:val="003D1BCE"/>
    <w:rsid w:val="003D21C1"/>
    <w:rsid w:val="003D3B15"/>
    <w:rsid w:val="003D3B2E"/>
    <w:rsid w:val="003D3F28"/>
    <w:rsid w:val="003D4101"/>
    <w:rsid w:val="003D484D"/>
    <w:rsid w:val="003D49CB"/>
    <w:rsid w:val="003D4F41"/>
    <w:rsid w:val="003D5499"/>
    <w:rsid w:val="003D5F10"/>
    <w:rsid w:val="003D65E0"/>
    <w:rsid w:val="003D6B8F"/>
    <w:rsid w:val="003D7566"/>
    <w:rsid w:val="003E0224"/>
    <w:rsid w:val="003E09BB"/>
    <w:rsid w:val="003E13D2"/>
    <w:rsid w:val="003E159D"/>
    <w:rsid w:val="003E20EA"/>
    <w:rsid w:val="003E210C"/>
    <w:rsid w:val="003E2F55"/>
    <w:rsid w:val="003E324A"/>
    <w:rsid w:val="003E34DB"/>
    <w:rsid w:val="003E3833"/>
    <w:rsid w:val="003E3AF9"/>
    <w:rsid w:val="003E4A70"/>
    <w:rsid w:val="003E4C48"/>
    <w:rsid w:val="003E4CD9"/>
    <w:rsid w:val="003E52C2"/>
    <w:rsid w:val="003E54B3"/>
    <w:rsid w:val="003E5780"/>
    <w:rsid w:val="003E5B9F"/>
    <w:rsid w:val="003E6072"/>
    <w:rsid w:val="003E60D6"/>
    <w:rsid w:val="003E6AB6"/>
    <w:rsid w:val="003E6E0B"/>
    <w:rsid w:val="003E71CD"/>
    <w:rsid w:val="003E78DA"/>
    <w:rsid w:val="003E7A8B"/>
    <w:rsid w:val="003F02A2"/>
    <w:rsid w:val="003F060E"/>
    <w:rsid w:val="003F0F7F"/>
    <w:rsid w:val="003F115C"/>
    <w:rsid w:val="003F153A"/>
    <w:rsid w:val="003F300D"/>
    <w:rsid w:val="003F391F"/>
    <w:rsid w:val="003F4599"/>
    <w:rsid w:val="003F45E1"/>
    <w:rsid w:val="003F4F6C"/>
    <w:rsid w:val="003F559E"/>
    <w:rsid w:val="003F6181"/>
    <w:rsid w:val="003F6BFC"/>
    <w:rsid w:val="003F7343"/>
    <w:rsid w:val="00400002"/>
    <w:rsid w:val="00400054"/>
    <w:rsid w:val="00400A1B"/>
    <w:rsid w:val="00400E06"/>
    <w:rsid w:val="00401533"/>
    <w:rsid w:val="004016A3"/>
    <w:rsid w:val="00401B31"/>
    <w:rsid w:val="0040202B"/>
    <w:rsid w:val="0040219D"/>
    <w:rsid w:val="00402DE1"/>
    <w:rsid w:val="00402EEB"/>
    <w:rsid w:val="00402FAF"/>
    <w:rsid w:val="004037C2"/>
    <w:rsid w:val="00404041"/>
    <w:rsid w:val="004040D4"/>
    <w:rsid w:val="00404B43"/>
    <w:rsid w:val="00404C61"/>
    <w:rsid w:val="00405487"/>
    <w:rsid w:val="00405B8A"/>
    <w:rsid w:val="0040602B"/>
    <w:rsid w:val="0040606C"/>
    <w:rsid w:val="004060DC"/>
    <w:rsid w:val="00406DF5"/>
    <w:rsid w:val="00406F35"/>
    <w:rsid w:val="004077D0"/>
    <w:rsid w:val="00407937"/>
    <w:rsid w:val="00407A7A"/>
    <w:rsid w:val="00407ABC"/>
    <w:rsid w:val="00407F1E"/>
    <w:rsid w:val="00410A88"/>
    <w:rsid w:val="00410CC8"/>
    <w:rsid w:val="00411317"/>
    <w:rsid w:val="00411692"/>
    <w:rsid w:val="00411A9E"/>
    <w:rsid w:val="0041259F"/>
    <w:rsid w:val="00412B1B"/>
    <w:rsid w:val="00412B4D"/>
    <w:rsid w:val="00412C51"/>
    <w:rsid w:val="00413262"/>
    <w:rsid w:val="0041329C"/>
    <w:rsid w:val="004139F4"/>
    <w:rsid w:val="00413FFA"/>
    <w:rsid w:val="00414246"/>
    <w:rsid w:val="0041463D"/>
    <w:rsid w:val="00414D9A"/>
    <w:rsid w:val="00415194"/>
    <w:rsid w:val="00415816"/>
    <w:rsid w:val="00415B88"/>
    <w:rsid w:val="00415D32"/>
    <w:rsid w:val="004160A2"/>
    <w:rsid w:val="0041674B"/>
    <w:rsid w:val="004170D7"/>
    <w:rsid w:val="004177A6"/>
    <w:rsid w:val="00417C23"/>
    <w:rsid w:val="00417EFD"/>
    <w:rsid w:val="004200EE"/>
    <w:rsid w:val="00420786"/>
    <w:rsid w:val="004207F3"/>
    <w:rsid w:val="004209D2"/>
    <w:rsid w:val="00420BBA"/>
    <w:rsid w:val="00420D6E"/>
    <w:rsid w:val="00420F50"/>
    <w:rsid w:val="0042158C"/>
    <w:rsid w:val="00421617"/>
    <w:rsid w:val="004217A7"/>
    <w:rsid w:val="00421BD2"/>
    <w:rsid w:val="00421E00"/>
    <w:rsid w:val="00421FCB"/>
    <w:rsid w:val="0042226E"/>
    <w:rsid w:val="00422DCA"/>
    <w:rsid w:val="00423D04"/>
    <w:rsid w:val="00423F9F"/>
    <w:rsid w:val="00425B2E"/>
    <w:rsid w:val="00425C43"/>
    <w:rsid w:val="004273FA"/>
    <w:rsid w:val="004275A7"/>
    <w:rsid w:val="004278D8"/>
    <w:rsid w:val="00430186"/>
    <w:rsid w:val="00430D44"/>
    <w:rsid w:val="00430DD2"/>
    <w:rsid w:val="00430F17"/>
    <w:rsid w:val="00431CC7"/>
    <w:rsid w:val="0043260C"/>
    <w:rsid w:val="0043269A"/>
    <w:rsid w:val="00432E92"/>
    <w:rsid w:val="004333C2"/>
    <w:rsid w:val="00434787"/>
    <w:rsid w:val="00434C13"/>
    <w:rsid w:val="00434D8B"/>
    <w:rsid w:val="00435294"/>
    <w:rsid w:val="00435703"/>
    <w:rsid w:val="00435BD5"/>
    <w:rsid w:val="00436323"/>
    <w:rsid w:val="0043683F"/>
    <w:rsid w:val="00436F40"/>
    <w:rsid w:val="004370FA"/>
    <w:rsid w:val="0043741B"/>
    <w:rsid w:val="00440096"/>
    <w:rsid w:val="004403DD"/>
    <w:rsid w:val="00440CF3"/>
    <w:rsid w:val="00440DB0"/>
    <w:rsid w:val="00440DDC"/>
    <w:rsid w:val="00440FAD"/>
    <w:rsid w:val="00441291"/>
    <w:rsid w:val="00441E04"/>
    <w:rsid w:val="004420AB"/>
    <w:rsid w:val="004422D6"/>
    <w:rsid w:val="004427AC"/>
    <w:rsid w:val="00442C7D"/>
    <w:rsid w:val="00442D13"/>
    <w:rsid w:val="00442D4D"/>
    <w:rsid w:val="0044361F"/>
    <w:rsid w:val="0044374D"/>
    <w:rsid w:val="00443B55"/>
    <w:rsid w:val="00443C25"/>
    <w:rsid w:val="00443D27"/>
    <w:rsid w:val="00444D7D"/>
    <w:rsid w:val="0044500B"/>
    <w:rsid w:val="004451C5"/>
    <w:rsid w:val="00445D85"/>
    <w:rsid w:val="00446037"/>
    <w:rsid w:val="00446270"/>
    <w:rsid w:val="0044642F"/>
    <w:rsid w:val="00446709"/>
    <w:rsid w:val="00446922"/>
    <w:rsid w:val="0044772C"/>
    <w:rsid w:val="00450846"/>
    <w:rsid w:val="00451A52"/>
    <w:rsid w:val="0045271D"/>
    <w:rsid w:val="00452755"/>
    <w:rsid w:val="00452803"/>
    <w:rsid w:val="004529C6"/>
    <w:rsid w:val="00452A7C"/>
    <w:rsid w:val="00452EAD"/>
    <w:rsid w:val="004531DF"/>
    <w:rsid w:val="004533D1"/>
    <w:rsid w:val="004534D1"/>
    <w:rsid w:val="004540B8"/>
    <w:rsid w:val="00454548"/>
    <w:rsid w:val="00454717"/>
    <w:rsid w:val="00454DF8"/>
    <w:rsid w:val="00455004"/>
    <w:rsid w:val="00455047"/>
    <w:rsid w:val="00455354"/>
    <w:rsid w:val="0045558D"/>
    <w:rsid w:val="00455BD3"/>
    <w:rsid w:val="004567DA"/>
    <w:rsid w:val="00456970"/>
    <w:rsid w:val="00456BB1"/>
    <w:rsid w:val="00456CD4"/>
    <w:rsid w:val="00456DDB"/>
    <w:rsid w:val="00456E61"/>
    <w:rsid w:val="00457031"/>
    <w:rsid w:val="00460915"/>
    <w:rsid w:val="00460946"/>
    <w:rsid w:val="004614A9"/>
    <w:rsid w:val="00461E97"/>
    <w:rsid w:val="0046268F"/>
    <w:rsid w:val="0046284F"/>
    <w:rsid w:val="00462B10"/>
    <w:rsid w:val="00462C04"/>
    <w:rsid w:val="0046320A"/>
    <w:rsid w:val="00463347"/>
    <w:rsid w:val="004636CC"/>
    <w:rsid w:val="004638E2"/>
    <w:rsid w:val="00464030"/>
    <w:rsid w:val="004647F8"/>
    <w:rsid w:val="004647FB"/>
    <w:rsid w:val="00465347"/>
    <w:rsid w:val="00465677"/>
    <w:rsid w:val="00466616"/>
    <w:rsid w:val="00466A0C"/>
    <w:rsid w:val="00466A53"/>
    <w:rsid w:val="00470A6A"/>
    <w:rsid w:val="00470D73"/>
    <w:rsid w:val="00470D92"/>
    <w:rsid w:val="00471DF7"/>
    <w:rsid w:val="004727B1"/>
    <w:rsid w:val="004734CF"/>
    <w:rsid w:val="00473F33"/>
    <w:rsid w:val="0047480D"/>
    <w:rsid w:val="0047586C"/>
    <w:rsid w:val="00475C5A"/>
    <w:rsid w:val="00475C9C"/>
    <w:rsid w:val="0047676B"/>
    <w:rsid w:val="00476A5C"/>
    <w:rsid w:val="004774C3"/>
    <w:rsid w:val="0047773C"/>
    <w:rsid w:val="00477C5F"/>
    <w:rsid w:val="00480050"/>
    <w:rsid w:val="0048011C"/>
    <w:rsid w:val="004808DE"/>
    <w:rsid w:val="00480F9A"/>
    <w:rsid w:val="00481912"/>
    <w:rsid w:val="00481AC4"/>
    <w:rsid w:val="00481DC1"/>
    <w:rsid w:val="00482507"/>
    <w:rsid w:val="0048268A"/>
    <w:rsid w:val="00482A64"/>
    <w:rsid w:val="004835CA"/>
    <w:rsid w:val="004836F8"/>
    <w:rsid w:val="004836FE"/>
    <w:rsid w:val="00484A39"/>
    <w:rsid w:val="00484F0F"/>
    <w:rsid w:val="00484F40"/>
    <w:rsid w:val="0048540C"/>
    <w:rsid w:val="004854C4"/>
    <w:rsid w:val="004861B4"/>
    <w:rsid w:val="00486226"/>
    <w:rsid w:val="004862CD"/>
    <w:rsid w:val="00486BD0"/>
    <w:rsid w:val="00486D00"/>
    <w:rsid w:val="00486FF7"/>
    <w:rsid w:val="00487263"/>
    <w:rsid w:val="0048734F"/>
    <w:rsid w:val="0049029D"/>
    <w:rsid w:val="0049030C"/>
    <w:rsid w:val="004903C0"/>
    <w:rsid w:val="0049114B"/>
    <w:rsid w:val="004912A8"/>
    <w:rsid w:val="00491577"/>
    <w:rsid w:val="004918E1"/>
    <w:rsid w:val="0049196A"/>
    <w:rsid w:val="0049196E"/>
    <w:rsid w:val="0049241A"/>
    <w:rsid w:val="00492844"/>
    <w:rsid w:val="00492C1F"/>
    <w:rsid w:val="00492E4C"/>
    <w:rsid w:val="00493664"/>
    <w:rsid w:val="004938FD"/>
    <w:rsid w:val="00493E04"/>
    <w:rsid w:val="004940E3"/>
    <w:rsid w:val="004941CD"/>
    <w:rsid w:val="004948C5"/>
    <w:rsid w:val="0049530F"/>
    <w:rsid w:val="00496664"/>
    <w:rsid w:val="00496786"/>
    <w:rsid w:val="0049695B"/>
    <w:rsid w:val="00496AC4"/>
    <w:rsid w:val="00496D8F"/>
    <w:rsid w:val="00497463"/>
    <w:rsid w:val="004A054C"/>
    <w:rsid w:val="004A08D1"/>
    <w:rsid w:val="004A16C1"/>
    <w:rsid w:val="004A1CE2"/>
    <w:rsid w:val="004A34D2"/>
    <w:rsid w:val="004A3E4A"/>
    <w:rsid w:val="004A4301"/>
    <w:rsid w:val="004A4D93"/>
    <w:rsid w:val="004A546E"/>
    <w:rsid w:val="004A58EE"/>
    <w:rsid w:val="004A59B7"/>
    <w:rsid w:val="004A6051"/>
    <w:rsid w:val="004A623B"/>
    <w:rsid w:val="004A6A04"/>
    <w:rsid w:val="004A6A52"/>
    <w:rsid w:val="004B0A44"/>
    <w:rsid w:val="004B0EED"/>
    <w:rsid w:val="004B0F0B"/>
    <w:rsid w:val="004B205A"/>
    <w:rsid w:val="004B2197"/>
    <w:rsid w:val="004B25D8"/>
    <w:rsid w:val="004B298A"/>
    <w:rsid w:val="004B2BB8"/>
    <w:rsid w:val="004B50CB"/>
    <w:rsid w:val="004B578D"/>
    <w:rsid w:val="004B5BE7"/>
    <w:rsid w:val="004B5E2D"/>
    <w:rsid w:val="004B65D9"/>
    <w:rsid w:val="004B6C07"/>
    <w:rsid w:val="004B74D3"/>
    <w:rsid w:val="004B755E"/>
    <w:rsid w:val="004B788E"/>
    <w:rsid w:val="004B7E5D"/>
    <w:rsid w:val="004C1198"/>
    <w:rsid w:val="004C22F7"/>
    <w:rsid w:val="004C2B27"/>
    <w:rsid w:val="004C3929"/>
    <w:rsid w:val="004C3FAA"/>
    <w:rsid w:val="004C4160"/>
    <w:rsid w:val="004C5212"/>
    <w:rsid w:val="004C5EF0"/>
    <w:rsid w:val="004C64C9"/>
    <w:rsid w:val="004C6DE8"/>
    <w:rsid w:val="004C7226"/>
    <w:rsid w:val="004C74C9"/>
    <w:rsid w:val="004C7915"/>
    <w:rsid w:val="004C7D70"/>
    <w:rsid w:val="004D02F9"/>
    <w:rsid w:val="004D03FE"/>
    <w:rsid w:val="004D0446"/>
    <w:rsid w:val="004D06A3"/>
    <w:rsid w:val="004D0CA6"/>
    <w:rsid w:val="004D0F95"/>
    <w:rsid w:val="004D106A"/>
    <w:rsid w:val="004D1C7E"/>
    <w:rsid w:val="004D245A"/>
    <w:rsid w:val="004D31EE"/>
    <w:rsid w:val="004D36AF"/>
    <w:rsid w:val="004D3AA9"/>
    <w:rsid w:val="004D3BD1"/>
    <w:rsid w:val="004D4BA1"/>
    <w:rsid w:val="004D584D"/>
    <w:rsid w:val="004D5A7E"/>
    <w:rsid w:val="004D6120"/>
    <w:rsid w:val="004D6826"/>
    <w:rsid w:val="004D7497"/>
    <w:rsid w:val="004D74B5"/>
    <w:rsid w:val="004E023F"/>
    <w:rsid w:val="004E0546"/>
    <w:rsid w:val="004E0556"/>
    <w:rsid w:val="004E0742"/>
    <w:rsid w:val="004E0C64"/>
    <w:rsid w:val="004E0F6B"/>
    <w:rsid w:val="004E1545"/>
    <w:rsid w:val="004E1F1C"/>
    <w:rsid w:val="004E242F"/>
    <w:rsid w:val="004E2A35"/>
    <w:rsid w:val="004E2CCF"/>
    <w:rsid w:val="004E3B71"/>
    <w:rsid w:val="004E40CE"/>
    <w:rsid w:val="004E5736"/>
    <w:rsid w:val="004E5A3C"/>
    <w:rsid w:val="004E5B36"/>
    <w:rsid w:val="004E5D5D"/>
    <w:rsid w:val="004E6045"/>
    <w:rsid w:val="004E6F43"/>
    <w:rsid w:val="004E71B7"/>
    <w:rsid w:val="004E7200"/>
    <w:rsid w:val="004E787E"/>
    <w:rsid w:val="004E7AA1"/>
    <w:rsid w:val="004F0805"/>
    <w:rsid w:val="004F0960"/>
    <w:rsid w:val="004F0A5C"/>
    <w:rsid w:val="004F1596"/>
    <w:rsid w:val="004F163F"/>
    <w:rsid w:val="004F18A0"/>
    <w:rsid w:val="004F1A08"/>
    <w:rsid w:val="004F1D0F"/>
    <w:rsid w:val="004F2364"/>
    <w:rsid w:val="004F26C7"/>
    <w:rsid w:val="004F2B64"/>
    <w:rsid w:val="004F31B8"/>
    <w:rsid w:val="004F375E"/>
    <w:rsid w:val="004F3764"/>
    <w:rsid w:val="004F3EEF"/>
    <w:rsid w:val="004F5180"/>
    <w:rsid w:val="004F57C9"/>
    <w:rsid w:val="004F5930"/>
    <w:rsid w:val="004F5970"/>
    <w:rsid w:val="004F5F0C"/>
    <w:rsid w:val="004F6121"/>
    <w:rsid w:val="004F6161"/>
    <w:rsid w:val="004F66BC"/>
    <w:rsid w:val="004F6C26"/>
    <w:rsid w:val="004F7AC9"/>
    <w:rsid w:val="0050062F"/>
    <w:rsid w:val="00500E74"/>
    <w:rsid w:val="0050160F"/>
    <w:rsid w:val="0050284E"/>
    <w:rsid w:val="0050306F"/>
    <w:rsid w:val="00503534"/>
    <w:rsid w:val="00503A17"/>
    <w:rsid w:val="005042E8"/>
    <w:rsid w:val="00505892"/>
    <w:rsid w:val="00505DCB"/>
    <w:rsid w:val="0050674C"/>
    <w:rsid w:val="00507066"/>
    <w:rsid w:val="00507167"/>
    <w:rsid w:val="005075CA"/>
    <w:rsid w:val="00507B06"/>
    <w:rsid w:val="00507BF1"/>
    <w:rsid w:val="0051074C"/>
    <w:rsid w:val="00510DE9"/>
    <w:rsid w:val="005111E2"/>
    <w:rsid w:val="00511231"/>
    <w:rsid w:val="00511741"/>
    <w:rsid w:val="00512C4F"/>
    <w:rsid w:val="00513042"/>
    <w:rsid w:val="0051334F"/>
    <w:rsid w:val="00513399"/>
    <w:rsid w:val="00513AF2"/>
    <w:rsid w:val="00514575"/>
    <w:rsid w:val="00514C03"/>
    <w:rsid w:val="00514D67"/>
    <w:rsid w:val="0051522A"/>
    <w:rsid w:val="00515515"/>
    <w:rsid w:val="0051635C"/>
    <w:rsid w:val="00516C5B"/>
    <w:rsid w:val="00517612"/>
    <w:rsid w:val="00517AC6"/>
    <w:rsid w:val="00517CFB"/>
    <w:rsid w:val="00517F85"/>
    <w:rsid w:val="0052002F"/>
    <w:rsid w:val="00520235"/>
    <w:rsid w:val="00520899"/>
    <w:rsid w:val="00520922"/>
    <w:rsid w:val="005209FC"/>
    <w:rsid w:val="00520C09"/>
    <w:rsid w:val="00520EC1"/>
    <w:rsid w:val="005215D6"/>
    <w:rsid w:val="00521A30"/>
    <w:rsid w:val="00521D7C"/>
    <w:rsid w:val="00521EA7"/>
    <w:rsid w:val="005224E5"/>
    <w:rsid w:val="0052311A"/>
    <w:rsid w:val="00523903"/>
    <w:rsid w:val="005239B6"/>
    <w:rsid w:val="00523C45"/>
    <w:rsid w:val="00523F41"/>
    <w:rsid w:val="00524165"/>
    <w:rsid w:val="005244FC"/>
    <w:rsid w:val="005246E7"/>
    <w:rsid w:val="00524B08"/>
    <w:rsid w:val="00524C38"/>
    <w:rsid w:val="00524EC6"/>
    <w:rsid w:val="00524FD2"/>
    <w:rsid w:val="00525621"/>
    <w:rsid w:val="00526431"/>
    <w:rsid w:val="00527532"/>
    <w:rsid w:val="00527DEB"/>
    <w:rsid w:val="00527E57"/>
    <w:rsid w:val="00527F2C"/>
    <w:rsid w:val="00530405"/>
    <w:rsid w:val="00530458"/>
    <w:rsid w:val="00530522"/>
    <w:rsid w:val="005305E5"/>
    <w:rsid w:val="0053086F"/>
    <w:rsid w:val="00530CBA"/>
    <w:rsid w:val="00530F38"/>
    <w:rsid w:val="00531F26"/>
    <w:rsid w:val="00532501"/>
    <w:rsid w:val="0053277C"/>
    <w:rsid w:val="005327C0"/>
    <w:rsid w:val="00533101"/>
    <w:rsid w:val="00533CA9"/>
    <w:rsid w:val="00533FF0"/>
    <w:rsid w:val="005346AD"/>
    <w:rsid w:val="00534EFB"/>
    <w:rsid w:val="00534F60"/>
    <w:rsid w:val="005357F1"/>
    <w:rsid w:val="00535C73"/>
    <w:rsid w:val="00535D15"/>
    <w:rsid w:val="00536053"/>
    <w:rsid w:val="005363C6"/>
    <w:rsid w:val="005367B6"/>
    <w:rsid w:val="005369E6"/>
    <w:rsid w:val="005371AC"/>
    <w:rsid w:val="00537672"/>
    <w:rsid w:val="005376B5"/>
    <w:rsid w:val="0053772F"/>
    <w:rsid w:val="00537A70"/>
    <w:rsid w:val="00537B64"/>
    <w:rsid w:val="00537B77"/>
    <w:rsid w:val="00540C4C"/>
    <w:rsid w:val="00541469"/>
    <w:rsid w:val="00541571"/>
    <w:rsid w:val="005419DA"/>
    <w:rsid w:val="00541B1F"/>
    <w:rsid w:val="0054275A"/>
    <w:rsid w:val="005428B8"/>
    <w:rsid w:val="005428BE"/>
    <w:rsid w:val="00542BD7"/>
    <w:rsid w:val="00543084"/>
    <w:rsid w:val="00543584"/>
    <w:rsid w:val="00543A9E"/>
    <w:rsid w:val="0054413A"/>
    <w:rsid w:val="00544288"/>
    <w:rsid w:val="005446BB"/>
    <w:rsid w:val="00544DA5"/>
    <w:rsid w:val="00544F43"/>
    <w:rsid w:val="00545997"/>
    <w:rsid w:val="00545E30"/>
    <w:rsid w:val="00545EA3"/>
    <w:rsid w:val="00546C9B"/>
    <w:rsid w:val="00547378"/>
    <w:rsid w:val="00547778"/>
    <w:rsid w:val="00547BF6"/>
    <w:rsid w:val="00547FB3"/>
    <w:rsid w:val="00551098"/>
    <w:rsid w:val="00551598"/>
    <w:rsid w:val="0055162B"/>
    <w:rsid w:val="00551A56"/>
    <w:rsid w:val="00551BFF"/>
    <w:rsid w:val="00551D68"/>
    <w:rsid w:val="00551DFF"/>
    <w:rsid w:val="005525C9"/>
    <w:rsid w:val="00552B3E"/>
    <w:rsid w:val="00553A23"/>
    <w:rsid w:val="00554578"/>
    <w:rsid w:val="00554D57"/>
    <w:rsid w:val="005551AA"/>
    <w:rsid w:val="00555BCE"/>
    <w:rsid w:val="005564CA"/>
    <w:rsid w:val="005568BD"/>
    <w:rsid w:val="005568EA"/>
    <w:rsid w:val="00557140"/>
    <w:rsid w:val="0055715A"/>
    <w:rsid w:val="0055729E"/>
    <w:rsid w:val="00557984"/>
    <w:rsid w:val="00557A3F"/>
    <w:rsid w:val="00560BC1"/>
    <w:rsid w:val="00560C87"/>
    <w:rsid w:val="00560F51"/>
    <w:rsid w:val="00561249"/>
    <w:rsid w:val="0056182B"/>
    <w:rsid w:val="00561A88"/>
    <w:rsid w:val="00561AF3"/>
    <w:rsid w:val="00561E0B"/>
    <w:rsid w:val="00562141"/>
    <w:rsid w:val="00562D86"/>
    <w:rsid w:val="005640CA"/>
    <w:rsid w:val="00564704"/>
    <w:rsid w:val="00564712"/>
    <w:rsid w:val="005657A8"/>
    <w:rsid w:val="00565952"/>
    <w:rsid w:val="00566866"/>
    <w:rsid w:val="005670A5"/>
    <w:rsid w:val="00567285"/>
    <w:rsid w:val="00567723"/>
    <w:rsid w:val="0056772D"/>
    <w:rsid w:val="005678F5"/>
    <w:rsid w:val="00567AB8"/>
    <w:rsid w:val="00570A26"/>
    <w:rsid w:val="00570CFD"/>
    <w:rsid w:val="00571872"/>
    <w:rsid w:val="0057221F"/>
    <w:rsid w:val="00572421"/>
    <w:rsid w:val="00572539"/>
    <w:rsid w:val="00573355"/>
    <w:rsid w:val="0057337D"/>
    <w:rsid w:val="00573504"/>
    <w:rsid w:val="0057355F"/>
    <w:rsid w:val="00573BA3"/>
    <w:rsid w:val="005746B5"/>
    <w:rsid w:val="00574708"/>
    <w:rsid w:val="00574D81"/>
    <w:rsid w:val="005756AA"/>
    <w:rsid w:val="0057696F"/>
    <w:rsid w:val="00576C8A"/>
    <w:rsid w:val="005774FE"/>
    <w:rsid w:val="0058040C"/>
    <w:rsid w:val="00580D6D"/>
    <w:rsid w:val="00580FD8"/>
    <w:rsid w:val="005813DE"/>
    <w:rsid w:val="00581796"/>
    <w:rsid w:val="0058195C"/>
    <w:rsid w:val="00581B45"/>
    <w:rsid w:val="00582480"/>
    <w:rsid w:val="00582805"/>
    <w:rsid w:val="0058290E"/>
    <w:rsid w:val="00582C8C"/>
    <w:rsid w:val="00582CAB"/>
    <w:rsid w:val="00582DCD"/>
    <w:rsid w:val="00582FA6"/>
    <w:rsid w:val="005836D5"/>
    <w:rsid w:val="0058375E"/>
    <w:rsid w:val="0058394B"/>
    <w:rsid w:val="00584233"/>
    <w:rsid w:val="005842D0"/>
    <w:rsid w:val="005845FB"/>
    <w:rsid w:val="005855AE"/>
    <w:rsid w:val="00585829"/>
    <w:rsid w:val="00585CA8"/>
    <w:rsid w:val="00586412"/>
    <w:rsid w:val="005864B9"/>
    <w:rsid w:val="00586564"/>
    <w:rsid w:val="005866C4"/>
    <w:rsid w:val="00590F1A"/>
    <w:rsid w:val="00591C03"/>
    <w:rsid w:val="00591E2A"/>
    <w:rsid w:val="005923C4"/>
    <w:rsid w:val="0059397D"/>
    <w:rsid w:val="00593EA2"/>
    <w:rsid w:val="00593F75"/>
    <w:rsid w:val="005940A0"/>
    <w:rsid w:val="0059429A"/>
    <w:rsid w:val="00594CBE"/>
    <w:rsid w:val="00595561"/>
    <w:rsid w:val="00596AF7"/>
    <w:rsid w:val="00596CCE"/>
    <w:rsid w:val="00597516"/>
    <w:rsid w:val="005A0B53"/>
    <w:rsid w:val="005A1976"/>
    <w:rsid w:val="005A1F51"/>
    <w:rsid w:val="005A2120"/>
    <w:rsid w:val="005A21F0"/>
    <w:rsid w:val="005A2501"/>
    <w:rsid w:val="005A2C80"/>
    <w:rsid w:val="005A3066"/>
    <w:rsid w:val="005A3B35"/>
    <w:rsid w:val="005A3C4B"/>
    <w:rsid w:val="005A3E5A"/>
    <w:rsid w:val="005A43F3"/>
    <w:rsid w:val="005A496F"/>
    <w:rsid w:val="005A4A56"/>
    <w:rsid w:val="005A4ED5"/>
    <w:rsid w:val="005A547E"/>
    <w:rsid w:val="005A5608"/>
    <w:rsid w:val="005A5A3D"/>
    <w:rsid w:val="005A6035"/>
    <w:rsid w:val="005A6B75"/>
    <w:rsid w:val="005A6E00"/>
    <w:rsid w:val="005A718A"/>
    <w:rsid w:val="005A72DD"/>
    <w:rsid w:val="005A7885"/>
    <w:rsid w:val="005B12B2"/>
    <w:rsid w:val="005B143B"/>
    <w:rsid w:val="005B19BD"/>
    <w:rsid w:val="005B1E45"/>
    <w:rsid w:val="005B21C4"/>
    <w:rsid w:val="005B2A28"/>
    <w:rsid w:val="005B35AB"/>
    <w:rsid w:val="005B3621"/>
    <w:rsid w:val="005B3EBE"/>
    <w:rsid w:val="005B4948"/>
    <w:rsid w:val="005B501D"/>
    <w:rsid w:val="005B54CC"/>
    <w:rsid w:val="005B71BB"/>
    <w:rsid w:val="005B741C"/>
    <w:rsid w:val="005B74AD"/>
    <w:rsid w:val="005B7E96"/>
    <w:rsid w:val="005C0429"/>
    <w:rsid w:val="005C06A5"/>
    <w:rsid w:val="005C084F"/>
    <w:rsid w:val="005C0EE9"/>
    <w:rsid w:val="005C169F"/>
    <w:rsid w:val="005C16A8"/>
    <w:rsid w:val="005C1716"/>
    <w:rsid w:val="005C1954"/>
    <w:rsid w:val="005C1C0B"/>
    <w:rsid w:val="005C2011"/>
    <w:rsid w:val="005C3EA3"/>
    <w:rsid w:val="005C44DE"/>
    <w:rsid w:val="005C5011"/>
    <w:rsid w:val="005C506F"/>
    <w:rsid w:val="005C5241"/>
    <w:rsid w:val="005C529E"/>
    <w:rsid w:val="005C57BA"/>
    <w:rsid w:val="005C5C52"/>
    <w:rsid w:val="005C5D3D"/>
    <w:rsid w:val="005C5F05"/>
    <w:rsid w:val="005C6186"/>
    <w:rsid w:val="005C6397"/>
    <w:rsid w:val="005C6CF7"/>
    <w:rsid w:val="005C6D19"/>
    <w:rsid w:val="005C721D"/>
    <w:rsid w:val="005C7E45"/>
    <w:rsid w:val="005C7F3E"/>
    <w:rsid w:val="005D06D3"/>
    <w:rsid w:val="005D0C3B"/>
    <w:rsid w:val="005D103E"/>
    <w:rsid w:val="005D1051"/>
    <w:rsid w:val="005D1606"/>
    <w:rsid w:val="005D1D10"/>
    <w:rsid w:val="005D2044"/>
    <w:rsid w:val="005D209E"/>
    <w:rsid w:val="005D2917"/>
    <w:rsid w:val="005D2EB2"/>
    <w:rsid w:val="005D2F48"/>
    <w:rsid w:val="005D3B32"/>
    <w:rsid w:val="005D464B"/>
    <w:rsid w:val="005D466F"/>
    <w:rsid w:val="005D49F0"/>
    <w:rsid w:val="005D51F7"/>
    <w:rsid w:val="005D51FA"/>
    <w:rsid w:val="005D53E8"/>
    <w:rsid w:val="005D5A9D"/>
    <w:rsid w:val="005D5D15"/>
    <w:rsid w:val="005D6651"/>
    <w:rsid w:val="005D691D"/>
    <w:rsid w:val="005D6A39"/>
    <w:rsid w:val="005D6A72"/>
    <w:rsid w:val="005D6F38"/>
    <w:rsid w:val="005D791B"/>
    <w:rsid w:val="005D7CF2"/>
    <w:rsid w:val="005D7F92"/>
    <w:rsid w:val="005E062C"/>
    <w:rsid w:val="005E0D7B"/>
    <w:rsid w:val="005E1595"/>
    <w:rsid w:val="005E1F1D"/>
    <w:rsid w:val="005E273D"/>
    <w:rsid w:val="005E3278"/>
    <w:rsid w:val="005E363B"/>
    <w:rsid w:val="005E3736"/>
    <w:rsid w:val="005E4B72"/>
    <w:rsid w:val="005E52C9"/>
    <w:rsid w:val="005E665F"/>
    <w:rsid w:val="005E781C"/>
    <w:rsid w:val="005F0B10"/>
    <w:rsid w:val="005F2D8B"/>
    <w:rsid w:val="005F2DD0"/>
    <w:rsid w:val="005F305B"/>
    <w:rsid w:val="005F3361"/>
    <w:rsid w:val="005F361A"/>
    <w:rsid w:val="005F3B47"/>
    <w:rsid w:val="005F4481"/>
    <w:rsid w:val="005F47AC"/>
    <w:rsid w:val="005F49AF"/>
    <w:rsid w:val="005F4A58"/>
    <w:rsid w:val="005F54DF"/>
    <w:rsid w:val="005F5888"/>
    <w:rsid w:val="005F5984"/>
    <w:rsid w:val="005F5EAB"/>
    <w:rsid w:val="005F6CE2"/>
    <w:rsid w:val="005F6EC8"/>
    <w:rsid w:val="005F6F24"/>
    <w:rsid w:val="005F72E9"/>
    <w:rsid w:val="005F780B"/>
    <w:rsid w:val="005F7DE2"/>
    <w:rsid w:val="0060009C"/>
    <w:rsid w:val="00600473"/>
    <w:rsid w:val="0060139A"/>
    <w:rsid w:val="006013C9"/>
    <w:rsid w:val="00602065"/>
    <w:rsid w:val="00602931"/>
    <w:rsid w:val="00602B45"/>
    <w:rsid w:val="00603499"/>
    <w:rsid w:val="006035F5"/>
    <w:rsid w:val="00603CC2"/>
    <w:rsid w:val="006047D1"/>
    <w:rsid w:val="006048A4"/>
    <w:rsid w:val="00604A55"/>
    <w:rsid w:val="00604D4E"/>
    <w:rsid w:val="00604E3E"/>
    <w:rsid w:val="00605AC3"/>
    <w:rsid w:val="00606908"/>
    <w:rsid w:val="00607860"/>
    <w:rsid w:val="00607996"/>
    <w:rsid w:val="00607A37"/>
    <w:rsid w:val="00607E9F"/>
    <w:rsid w:val="0061085E"/>
    <w:rsid w:val="006112A7"/>
    <w:rsid w:val="00611398"/>
    <w:rsid w:val="006113B4"/>
    <w:rsid w:val="0061186D"/>
    <w:rsid w:val="00612322"/>
    <w:rsid w:val="006123C0"/>
    <w:rsid w:val="006129AB"/>
    <w:rsid w:val="00613191"/>
    <w:rsid w:val="006133F9"/>
    <w:rsid w:val="006134B3"/>
    <w:rsid w:val="00613DE1"/>
    <w:rsid w:val="0061401F"/>
    <w:rsid w:val="00614166"/>
    <w:rsid w:val="00614817"/>
    <w:rsid w:val="006149CC"/>
    <w:rsid w:val="006157A9"/>
    <w:rsid w:val="0061591D"/>
    <w:rsid w:val="00615ED0"/>
    <w:rsid w:val="0061604C"/>
    <w:rsid w:val="00616C2B"/>
    <w:rsid w:val="00616D7F"/>
    <w:rsid w:val="006178D1"/>
    <w:rsid w:val="00620719"/>
    <w:rsid w:val="006212C9"/>
    <w:rsid w:val="0062131B"/>
    <w:rsid w:val="00621D0C"/>
    <w:rsid w:val="00622229"/>
    <w:rsid w:val="00622470"/>
    <w:rsid w:val="0062267E"/>
    <w:rsid w:val="00622725"/>
    <w:rsid w:val="00622785"/>
    <w:rsid w:val="0062293F"/>
    <w:rsid w:val="00622B63"/>
    <w:rsid w:val="006231AA"/>
    <w:rsid w:val="00623482"/>
    <w:rsid w:val="00623AC2"/>
    <w:rsid w:val="00623EBC"/>
    <w:rsid w:val="0062475D"/>
    <w:rsid w:val="00625642"/>
    <w:rsid w:val="00625DF2"/>
    <w:rsid w:val="006266D7"/>
    <w:rsid w:val="00626D42"/>
    <w:rsid w:val="00626EE3"/>
    <w:rsid w:val="006274AD"/>
    <w:rsid w:val="00627519"/>
    <w:rsid w:val="00627532"/>
    <w:rsid w:val="006302AA"/>
    <w:rsid w:val="006310C3"/>
    <w:rsid w:val="0063161E"/>
    <w:rsid w:val="00631BB5"/>
    <w:rsid w:val="00631DD0"/>
    <w:rsid w:val="0063247E"/>
    <w:rsid w:val="00632CE0"/>
    <w:rsid w:val="00633DBF"/>
    <w:rsid w:val="00634122"/>
    <w:rsid w:val="0063444B"/>
    <w:rsid w:val="00634BEF"/>
    <w:rsid w:val="00635E32"/>
    <w:rsid w:val="006360FC"/>
    <w:rsid w:val="006361C9"/>
    <w:rsid w:val="00636405"/>
    <w:rsid w:val="006365DE"/>
    <w:rsid w:val="00636BE4"/>
    <w:rsid w:val="00636C0C"/>
    <w:rsid w:val="00636F88"/>
    <w:rsid w:val="0063732C"/>
    <w:rsid w:val="00637802"/>
    <w:rsid w:val="00637836"/>
    <w:rsid w:val="00637C26"/>
    <w:rsid w:val="00637F44"/>
    <w:rsid w:val="0064036E"/>
    <w:rsid w:val="00641078"/>
    <w:rsid w:val="00641242"/>
    <w:rsid w:val="00641761"/>
    <w:rsid w:val="00641899"/>
    <w:rsid w:val="00642126"/>
    <w:rsid w:val="00642A32"/>
    <w:rsid w:val="00642B8E"/>
    <w:rsid w:val="00642F7C"/>
    <w:rsid w:val="006433D5"/>
    <w:rsid w:val="00643412"/>
    <w:rsid w:val="00643CF5"/>
    <w:rsid w:val="00645844"/>
    <w:rsid w:val="00645CEB"/>
    <w:rsid w:val="00645E63"/>
    <w:rsid w:val="00646B20"/>
    <w:rsid w:val="00646D0F"/>
    <w:rsid w:val="00647A36"/>
    <w:rsid w:val="00647DCC"/>
    <w:rsid w:val="00647E8E"/>
    <w:rsid w:val="00647EFA"/>
    <w:rsid w:val="00647F14"/>
    <w:rsid w:val="00650027"/>
    <w:rsid w:val="00650E89"/>
    <w:rsid w:val="006516E6"/>
    <w:rsid w:val="00651B9C"/>
    <w:rsid w:val="00651C47"/>
    <w:rsid w:val="00652E70"/>
    <w:rsid w:val="0065339A"/>
    <w:rsid w:val="00653469"/>
    <w:rsid w:val="0065443A"/>
    <w:rsid w:val="00654A38"/>
    <w:rsid w:val="00655301"/>
    <w:rsid w:val="00655371"/>
    <w:rsid w:val="00655507"/>
    <w:rsid w:val="006562C2"/>
    <w:rsid w:val="006564A5"/>
    <w:rsid w:val="00656C4B"/>
    <w:rsid w:val="006572A7"/>
    <w:rsid w:val="006573EA"/>
    <w:rsid w:val="006577C9"/>
    <w:rsid w:val="006606A4"/>
    <w:rsid w:val="00661029"/>
    <w:rsid w:val="006610C3"/>
    <w:rsid w:val="0066135A"/>
    <w:rsid w:val="00661A38"/>
    <w:rsid w:val="0066272D"/>
    <w:rsid w:val="00662E58"/>
    <w:rsid w:val="00662F39"/>
    <w:rsid w:val="0066352A"/>
    <w:rsid w:val="006635A0"/>
    <w:rsid w:val="00663D26"/>
    <w:rsid w:val="00664351"/>
    <w:rsid w:val="00665968"/>
    <w:rsid w:val="00665BF7"/>
    <w:rsid w:val="00665E65"/>
    <w:rsid w:val="006660F0"/>
    <w:rsid w:val="00666178"/>
    <w:rsid w:val="0066639E"/>
    <w:rsid w:val="00666473"/>
    <w:rsid w:val="00666B49"/>
    <w:rsid w:val="00666C72"/>
    <w:rsid w:val="00666E6C"/>
    <w:rsid w:val="0066707F"/>
    <w:rsid w:val="00667ED8"/>
    <w:rsid w:val="0067064C"/>
    <w:rsid w:val="00670B20"/>
    <w:rsid w:val="00670E12"/>
    <w:rsid w:val="00670F27"/>
    <w:rsid w:val="00672E80"/>
    <w:rsid w:val="0067333F"/>
    <w:rsid w:val="006739E4"/>
    <w:rsid w:val="00673ECF"/>
    <w:rsid w:val="0067426B"/>
    <w:rsid w:val="00674A1B"/>
    <w:rsid w:val="00674D08"/>
    <w:rsid w:val="00674F1C"/>
    <w:rsid w:val="006754F8"/>
    <w:rsid w:val="00676127"/>
    <w:rsid w:val="00676AED"/>
    <w:rsid w:val="00677212"/>
    <w:rsid w:val="00677F26"/>
    <w:rsid w:val="006800EE"/>
    <w:rsid w:val="006802A7"/>
    <w:rsid w:val="00680A86"/>
    <w:rsid w:val="00680FBE"/>
    <w:rsid w:val="006811C9"/>
    <w:rsid w:val="006812CE"/>
    <w:rsid w:val="006826C1"/>
    <w:rsid w:val="00682C89"/>
    <w:rsid w:val="006832B8"/>
    <w:rsid w:val="00683329"/>
    <w:rsid w:val="006837B2"/>
    <w:rsid w:val="00683800"/>
    <w:rsid w:val="0068420B"/>
    <w:rsid w:val="00684462"/>
    <w:rsid w:val="00684C0D"/>
    <w:rsid w:val="00684C8A"/>
    <w:rsid w:val="00684CF5"/>
    <w:rsid w:val="0068553E"/>
    <w:rsid w:val="00685D37"/>
    <w:rsid w:val="00685E7B"/>
    <w:rsid w:val="00685F20"/>
    <w:rsid w:val="00686551"/>
    <w:rsid w:val="00686CAB"/>
    <w:rsid w:val="0068717F"/>
    <w:rsid w:val="0068730C"/>
    <w:rsid w:val="00687504"/>
    <w:rsid w:val="00687A14"/>
    <w:rsid w:val="00687A8C"/>
    <w:rsid w:val="0069069B"/>
    <w:rsid w:val="00690839"/>
    <w:rsid w:val="006908DB"/>
    <w:rsid w:val="00690DE9"/>
    <w:rsid w:val="00691563"/>
    <w:rsid w:val="00691DE9"/>
    <w:rsid w:val="00691EAA"/>
    <w:rsid w:val="00692245"/>
    <w:rsid w:val="00692745"/>
    <w:rsid w:val="00692FFA"/>
    <w:rsid w:val="00693772"/>
    <w:rsid w:val="006937EA"/>
    <w:rsid w:val="00693984"/>
    <w:rsid w:val="00693B77"/>
    <w:rsid w:val="00694156"/>
    <w:rsid w:val="00694160"/>
    <w:rsid w:val="00694E8B"/>
    <w:rsid w:val="006959A5"/>
    <w:rsid w:val="00695C0C"/>
    <w:rsid w:val="00696736"/>
    <w:rsid w:val="00696A05"/>
    <w:rsid w:val="00697665"/>
    <w:rsid w:val="00697C9A"/>
    <w:rsid w:val="00697E68"/>
    <w:rsid w:val="00697FC1"/>
    <w:rsid w:val="006A0274"/>
    <w:rsid w:val="006A27BC"/>
    <w:rsid w:val="006A2A43"/>
    <w:rsid w:val="006A2BF1"/>
    <w:rsid w:val="006A2F9A"/>
    <w:rsid w:val="006A34E4"/>
    <w:rsid w:val="006A35AC"/>
    <w:rsid w:val="006A3A5A"/>
    <w:rsid w:val="006A4249"/>
    <w:rsid w:val="006A44CF"/>
    <w:rsid w:val="006A457D"/>
    <w:rsid w:val="006A4B5A"/>
    <w:rsid w:val="006A4C06"/>
    <w:rsid w:val="006A55EE"/>
    <w:rsid w:val="006A575B"/>
    <w:rsid w:val="006A59DE"/>
    <w:rsid w:val="006A64C6"/>
    <w:rsid w:val="006A6655"/>
    <w:rsid w:val="006A6BF9"/>
    <w:rsid w:val="006A6D7B"/>
    <w:rsid w:val="006A7AB8"/>
    <w:rsid w:val="006A7CB5"/>
    <w:rsid w:val="006A7FD0"/>
    <w:rsid w:val="006B025C"/>
    <w:rsid w:val="006B04DB"/>
    <w:rsid w:val="006B08ED"/>
    <w:rsid w:val="006B2170"/>
    <w:rsid w:val="006B2534"/>
    <w:rsid w:val="006B2CB2"/>
    <w:rsid w:val="006B347D"/>
    <w:rsid w:val="006B3E19"/>
    <w:rsid w:val="006B4488"/>
    <w:rsid w:val="006B4D5D"/>
    <w:rsid w:val="006B50C4"/>
    <w:rsid w:val="006B5211"/>
    <w:rsid w:val="006B53AE"/>
    <w:rsid w:val="006B58B4"/>
    <w:rsid w:val="006B67AC"/>
    <w:rsid w:val="006B786A"/>
    <w:rsid w:val="006B7E4E"/>
    <w:rsid w:val="006C003A"/>
    <w:rsid w:val="006C0694"/>
    <w:rsid w:val="006C107C"/>
    <w:rsid w:val="006C189C"/>
    <w:rsid w:val="006C2454"/>
    <w:rsid w:val="006C2551"/>
    <w:rsid w:val="006C27B9"/>
    <w:rsid w:val="006C2CC0"/>
    <w:rsid w:val="006C37CA"/>
    <w:rsid w:val="006C39AE"/>
    <w:rsid w:val="006C40D2"/>
    <w:rsid w:val="006C4B85"/>
    <w:rsid w:val="006C4BBD"/>
    <w:rsid w:val="006C551E"/>
    <w:rsid w:val="006C5B15"/>
    <w:rsid w:val="006C5D32"/>
    <w:rsid w:val="006C5DCB"/>
    <w:rsid w:val="006C6475"/>
    <w:rsid w:val="006C70C4"/>
    <w:rsid w:val="006C741F"/>
    <w:rsid w:val="006D0444"/>
    <w:rsid w:val="006D04DA"/>
    <w:rsid w:val="006D10F6"/>
    <w:rsid w:val="006D1544"/>
    <w:rsid w:val="006D1688"/>
    <w:rsid w:val="006D1BE1"/>
    <w:rsid w:val="006D1DD3"/>
    <w:rsid w:val="006D1FF3"/>
    <w:rsid w:val="006D2C65"/>
    <w:rsid w:val="006D32C6"/>
    <w:rsid w:val="006D360E"/>
    <w:rsid w:val="006D3697"/>
    <w:rsid w:val="006D39D2"/>
    <w:rsid w:val="006D3A94"/>
    <w:rsid w:val="006D3F2A"/>
    <w:rsid w:val="006D4370"/>
    <w:rsid w:val="006D46A3"/>
    <w:rsid w:val="006D5DCB"/>
    <w:rsid w:val="006D62E0"/>
    <w:rsid w:val="006D62EA"/>
    <w:rsid w:val="006D658F"/>
    <w:rsid w:val="006D66B2"/>
    <w:rsid w:val="006D6A12"/>
    <w:rsid w:val="006D712D"/>
    <w:rsid w:val="006D7687"/>
    <w:rsid w:val="006D7D1F"/>
    <w:rsid w:val="006D7D8A"/>
    <w:rsid w:val="006E046C"/>
    <w:rsid w:val="006E0572"/>
    <w:rsid w:val="006E05D8"/>
    <w:rsid w:val="006E08EE"/>
    <w:rsid w:val="006E0F32"/>
    <w:rsid w:val="006E155A"/>
    <w:rsid w:val="006E2C34"/>
    <w:rsid w:val="006E359B"/>
    <w:rsid w:val="006E39D1"/>
    <w:rsid w:val="006E3B05"/>
    <w:rsid w:val="006E437F"/>
    <w:rsid w:val="006E4D5B"/>
    <w:rsid w:val="006E602F"/>
    <w:rsid w:val="006E6720"/>
    <w:rsid w:val="006E7275"/>
    <w:rsid w:val="006E77B8"/>
    <w:rsid w:val="006E7AAF"/>
    <w:rsid w:val="006F0F74"/>
    <w:rsid w:val="006F13BA"/>
    <w:rsid w:val="006F15CC"/>
    <w:rsid w:val="006F15F6"/>
    <w:rsid w:val="006F36EA"/>
    <w:rsid w:val="006F4147"/>
    <w:rsid w:val="006F4315"/>
    <w:rsid w:val="006F47A7"/>
    <w:rsid w:val="006F4CB0"/>
    <w:rsid w:val="006F4F78"/>
    <w:rsid w:val="006F50C2"/>
    <w:rsid w:val="006F5389"/>
    <w:rsid w:val="006F547E"/>
    <w:rsid w:val="006F5CCF"/>
    <w:rsid w:val="006F6F04"/>
    <w:rsid w:val="006F71F5"/>
    <w:rsid w:val="006F72A8"/>
    <w:rsid w:val="006F79BB"/>
    <w:rsid w:val="007000A6"/>
    <w:rsid w:val="00700610"/>
    <w:rsid w:val="0070138A"/>
    <w:rsid w:val="0070157E"/>
    <w:rsid w:val="007030D4"/>
    <w:rsid w:val="00703279"/>
    <w:rsid w:val="007034D9"/>
    <w:rsid w:val="00703B61"/>
    <w:rsid w:val="00703E11"/>
    <w:rsid w:val="00704102"/>
    <w:rsid w:val="0070437C"/>
    <w:rsid w:val="0070461C"/>
    <w:rsid w:val="00704F37"/>
    <w:rsid w:val="00705631"/>
    <w:rsid w:val="00705818"/>
    <w:rsid w:val="00705F62"/>
    <w:rsid w:val="00706813"/>
    <w:rsid w:val="0070773F"/>
    <w:rsid w:val="00707A2E"/>
    <w:rsid w:val="00707ED3"/>
    <w:rsid w:val="007101B7"/>
    <w:rsid w:val="00710668"/>
    <w:rsid w:val="00711019"/>
    <w:rsid w:val="007110F4"/>
    <w:rsid w:val="007112B1"/>
    <w:rsid w:val="0071130F"/>
    <w:rsid w:val="00711E93"/>
    <w:rsid w:val="00712044"/>
    <w:rsid w:val="00712507"/>
    <w:rsid w:val="00712714"/>
    <w:rsid w:val="007129AB"/>
    <w:rsid w:val="00712B63"/>
    <w:rsid w:val="00712E5F"/>
    <w:rsid w:val="00713526"/>
    <w:rsid w:val="00713FC5"/>
    <w:rsid w:val="00714BB9"/>
    <w:rsid w:val="00714DCA"/>
    <w:rsid w:val="007150F3"/>
    <w:rsid w:val="00715BBF"/>
    <w:rsid w:val="00715C29"/>
    <w:rsid w:val="00715CBD"/>
    <w:rsid w:val="00715EAA"/>
    <w:rsid w:val="00716119"/>
    <w:rsid w:val="00716630"/>
    <w:rsid w:val="00716BB0"/>
    <w:rsid w:val="00716CAD"/>
    <w:rsid w:val="00716CD3"/>
    <w:rsid w:val="00716F18"/>
    <w:rsid w:val="00717363"/>
    <w:rsid w:val="00717786"/>
    <w:rsid w:val="00717ACB"/>
    <w:rsid w:val="00717F8F"/>
    <w:rsid w:val="0072138B"/>
    <w:rsid w:val="00721BFF"/>
    <w:rsid w:val="007227EB"/>
    <w:rsid w:val="007232EE"/>
    <w:rsid w:val="00723475"/>
    <w:rsid w:val="007236C4"/>
    <w:rsid w:val="00724635"/>
    <w:rsid w:val="00724F21"/>
    <w:rsid w:val="00725134"/>
    <w:rsid w:val="0072554B"/>
    <w:rsid w:val="0072571F"/>
    <w:rsid w:val="00725AFD"/>
    <w:rsid w:val="00726603"/>
    <w:rsid w:val="007266AC"/>
    <w:rsid w:val="00727B1D"/>
    <w:rsid w:val="00727DDC"/>
    <w:rsid w:val="00730CD6"/>
    <w:rsid w:val="00730F74"/>
    <w:rsid w:val="0073114B"/>
    <w:rsid w:val="00732151"/>
    <w:rsid w:val="00732EBC"/>
    <w:rsid w:val="00734952"/>
    <w:rsid w:val="00734987"/>
    <w:rsid w:val="00734990"/>
    <w:rsid w:val="00734FF5"/>
    <w:rsid w:val="00735B78"/>
    <w:rsid w:val="00735CA5"/>
    <w:rsid w:val="00735DA7"/>
    <w:rsid w:val="00736700"/>
    <w:rsid w:val="007368B4"/>
    <w:rsid w:val="007378E0"/>
    <w:rsid w:val="0074040E"/>
    <w:rsid w:val="00740529"/>
    <w:rsid w:val="00740876"/>
    <w:rsid w:val="00741358"/>
    <w:rsid w:val="00741626"/>
    <w:rsid w:val="00741B0C"/>
    <w:rsid w:val="00742332"/>
    <w:rsid w:val="00742886"/>
    <w:rsid w:val="00742A3A"/>
    <w:rsid w:val="00742DD2"/>
    <w:rsid w:val="007437C6"/>
    <w:rsid w:val="007441A2"/>
    <w:rsid w:val="00744273"/>
    <w:rsid w:val="00744E80"/>
    <w:rsid w:val="00745035"/>
    <w:rsid w:val="0074531C"/>
    <w:rsid w:val="00745547"/>
    <w:rsid w:val="007459D0"/>
    <w:rsid w:val="0074623A"/>
    <w:rsid w:val="00746420"/>
    <w:rsid w:val="00746A60"/>
    <w:rsid w:val="00746E04"/>
    <w:rsid w:val="00746E08"/>
    <w:rsid w:val="00746E3D"/>
    <w:rsid w:val="007473B9"/>
    <w:rsid w:val="00747C96"/>
    <w:rsid w:val="00750075"/>
    <w:rsid w:val="0075022F"/>
    <w:rsid w:val="007502EC"/>
    <w:rsid w:val="00750382"/>
    <w:rsid w:val="0075094E"/>
    <w:rsid w:val="00750FA8"/>
    <w:rsid w:val="00750FB5"/>
    <w:rsid w:val="00751FD4"/>
    <w:rsid w:val="007520F0"/>
    <w:rsid w:val="0075226F"/>
    <w:rsid w:val="007522E8"/>
    <w:rsid w:val="007529DB"/>
    <w:rsid w:val="007534AD"/>
    <w:rsid w:val="00753BAC"/>
    <w:rsid w:val="00753E86"/>
    <w:rsid w:val="00754A0B"/>
    <w:rsid w:val="00755229"/>
    <w:rsid w:val="007552DB"/>
    <w:rsid w:val="0075549F"/>
    <w:rsid w:val="00755B08"/>
    <w:rsid w:val="00755DD0"/>
    <w:rsid w:val="0075647A"/>
    <w:rsid w:val="007569B8"/>
    <w:rsid w:val="00756A2F"/>
    <w:rsid w:val="007573E1"/>
    <w:rsid w:val="0075749E"/>
    <w:rsid w:val="00757722"/>
    <w:rsid w:val="00757B2D"/>
    <w:rsid w:val="00757BAD"/>
    <w:rsid w:val="00757D62"/>
    <w:rsid w:val="00760021"/>
    <w:rsid w:val="00760561"/>
    <w:rsid w:val="00760867"/>
    <w:rsid w:val="00760EB6"/>
    <w:rsid w:val="007616DB"/>
    <w:rsid w:val="00761AB7"/>
    <w:rsid w:val="00761CE6"/>
    <w:rsid w:val="0076228A"/>
    <w:rsid w:val="00762440"/>
    <w:rsid w:val="00762499"/>
    <w:rsid w:val="0076275B"/>
    <w:rsid w:val="007629B7"/>
    <w:rsid w:val="00762A13"/>
    <w:rsid w:val="00762E60"/>
    <w:rsid w:val="00762E6C"/>
    <w:rsid w:val="00762F54"/>
    <w:rsid w:val="007634AD"/>
    <w:rsid w:val="0076445F"/>
    <w:rsid w:val="00764EC5"/>
    <w:rsid w:val="007651EF"/>
    <w:rsid w:val="00766D49"/>
    <w:rsid w:val="00766ECC"/>
    <w:rsid w:val="007672F3"/>
    <w:rsid w:val="007677B5"/>
    <w:rsid w:val="007678B1"/>
    <w:rsid w:val="007708A8"/>
    <w:rsid w:val="00772100"/>
    <w:rsid w:val="00772275"/>
    <w:rsid w:val="00772AAF"/>
    <w:rsid w:val="00772C9A"/>
    <w:rsid w:val="00772E2A"/>
    <w:rsid w:val="00773131"/>
    <w:rsid w:val="007734E4"/>
    <w:rsid w:val="0077380D"/>
    <w:rsid w:val="00773BC8"/>
    <w:rsid w:val="00774337"/>
    <w:rsid w:val="00774549"/>
    <w:rsid w:val="0077466F"/>
    <w:rsid w:val="007752B7"/>
    <w:rsid w:val="007759A8"/>
    <w:rsid w:val="00775C27"/>
    <w:rsid w:val="00775D98"/>
    <w:rsid w:val="00776B93"/>
    <w:rsid w:val="00776FE5"/>
    <w:rsid w:val="00777101"/>
    <w:rsid w:val="007774E7"/>
    <w:rsid w:val="0077768C"/>
    <w:rsid w:val="00777696"/>
    <w:rsid w:val="00777EDF"/>
    <w:rsid w:val="00777FF4"/>
    <w:rsid w:val="00780251"/>
    <w:rsid w:val="007804FE"/>
    <w:rsid w:val="00780F32"/>
    <w:rsid w:val="00781049"/>
    <w:rsid w:val="0078122E"/>
    <w:rsid w:val="00781939"/>
    <w:rsid w:val="00781D29"/>
    <w:rsid w:val="007825EF"/>
    <w:rsid w:val="0078286B"/>
    <w:rsid w:val="00782D2C"/>
    <w:rsid w:val="00782FC2"/>
    <w:rsid w:val="0078347A"/>
    <w:rsid w:val="0078410A"/>
    <w:rsid w:val="00784938"/>
    <w:rsid w:val="00784FC4"/>
    <w:rsid w:val="00785BBB"/>
    <w:rsid w:val="00785FB2"/>
    <w:rsid w:val="00786937"/>
    <w:rsid w:val="00786FAD"/>
    <w:rsid w:val="00787B1B"/>
    <w:rsid w:val="00787CCC"/>
    <w:rsid w:val="00787D90"/>
    <w:rsid w:val="00787F5E"/>
    <w:rsid w:val="00790164"/>
    <w:rsid w:val="0079041B"/>
    <w:rsid w:val="007905C6"/>
    <w:rsid w:val="00790A24"/>
    <w:rsid w:val="00790A37"/>
    <w:rsid w:val="00790A60"/>
    <w:rsid w:val="0079131A"/>
    <w:rsid w:val="0079146D"/>
    <w:rsid w:val="00791C32"/>
    <w:rsid w:val="00791FF0"/>
    <w:rsid w:val="007923D0"/>
    <w:rsid w:val="007930D3"/>
    <w:rsid w:val="007936E2"/>
    <w:rsid w:val="0079381F"/>
    <w:rsid w:val="00793A57"/>
    <w:rsid w:val="00793B2E"/>
    <w:rsid w:val="007948F5"/>
    <w:rsid w:val="00795647"/>
    <w:rsid w:val="007963F6"/>
    <w:rsid w:val="00796DC8"/>
    <w:rsid w:val="00796E80"/>
    <w:rsid w:val="0079744F"/>
    <w:rsid w:val="0079776F"/>
    <w:rsid w:val="007979AD"/>
    <w:rsid w:val="00797A9C"/>
    <w:rsid w:val="007A0502"/>
    <w:rsid w:val="007A0EAB"/>
    <w:rsid w:val="007A2341"/>
    <w:rsid w:val="007A2754"/>
    <w:rsid w:val="007A38A1"/>
    <w:rsid w:val="007A3BBE"/>
    <w:rsid w:val="007A4766"/>
    <w:rsid w:val="007A5947"/>
    <w:rsid w:val="007A717B"/>
    <w:rsid w:val="007A7714"/>
    <w:rsid w:val="007A7775"/>
    <w:rsid w:val="007B0302"/>
    <w:rsid w:val="007B0313"/>
    <w:rsid w:val="007B0854"/>
    <w:rsid w:val="007B0E48"/>
    <w:rsid w:val="007B1D1B"/>
    <w:rsid w:val="007B21AA"/>
    <w:rsid w:val="007B2504"/>
    <w:rsid w:val="007B2549"/>
    <w:rsid w:val="007B303E"/>
    <w:rsid w:val="007B32C0"/>
    <w:rsid w:val="007B32F7"/>
    <w:rsid w:val="007B3659"/>
    <w:rsid w:val="007B38B5"/>
    <w:rsid w:val="007B3BF3"/>
    <w:rsid w:val="007B431B"/>
    <w:rsid w:val="007B4558"/>
    <w:rsid w:val="007B4632"/>
    <w:rsid w:val="007B46A2"/>
    <w:rsid w:val="007B4828"/>
    <w:rsid w:val="007B4B2D"/>
    <w:rsid w:val="007B4D4A"/>
    <w:rsid w:val="007B5428"/>
    <w:rsid w:val="007B59B7"/>
    <w:rsid w:val="007B6C64"/>
    <w:rsid w:val="007B6EC8"/>
    <w:rsid w:val="007B6F81"/>
    <w:rsid w:val="007B7EA2"/>
    <w:rsid w:val="007C097D"/>
    <w:rsid w:val="007C0AF2"/>
    <w:rsid w:val="007C1672"/>
    <w:rsid w:val="007C17AE"/>
    <w:rsid w:val="007C21E1"/>
    <w:rsid w:val="007C227C"/>
    <w:rsid w:val="007C24EE"/>
    <w:rsid w:val="007C312A"/>
    <w:rsid w:val="007C3538"/>
    <w:rsid w:val="007C3570"/>
    <w:rsid w:val="007C3F3B"/>
    <w:rsid w:val="007C4097"/>
    <w:rsid w:val="007C4241"/>
    <w:rsid w:val="007C425E"/>
    <w:rsid w:val="007C4A6E"/>
    <w:rsid w:val="007C55FF"/>
    <w:rsid w:val="007C5A67"/>
    <w:rsid w:val="007C5EF9"/>
    <w:rsid w:val="007C6339"/>
    <w:rsid w:val="007C753F"/>
    <w:rsid w:val="007C7C43"/>
    <w:rsid w:val="007C7E15"/>
    <w:rsid w:val="007C7F0D"/>
    <w:rsid w:val="007D06E3"/>
    <w:rsid w:val="007D09E4"/>
    <w:rsid w:val="007D1134"/>
    <w:rsid w:val="007D231B"/>
    <w:rsid w:val="007D23F7"/>
    <w:rsid w:val="007D2566"/>
    <w:rsid w:val="007D2C18"/>
    <w:rsid w:val="007D2D74"/>
    <w:rsid w:val="007D3693"/>
    <w:rsid w:val="007D3C6D"/>
    <w:rsid w:val="007D459D"/>
    <w:rsid w:val="007D481A"/>
    <w:rsid w:val="007D4B96"/>
    <w:rsid w:val="007D4ED0"/>
    <w:rsid w:val="007D5648"/>
    <w:rsid w:val="007D58C5"/>
    <w:rsid w:val="007D5DE8"/>
    <w:rsid w:val="007D7CFC"/>
    <w:rsid w:val="007E0812"/>
    <w:rsid w:val="007E0825"/>
    <w:rsid w:val="007E18DF"/>
    <w:rsid w:val="007E214A"/>
    <w:rsid w:val="007E238D"/>
    <w:rsid w:val="007E2C36"/>
    <w:rsid w:val="007E350D"/>
    <w:rsid w:val="007E3ACA"/>
    <w:rsid w:val="007E3F4A"/>
    <w:rsid w:val="007E47D1"/>
    <w:rsid w:val="007E564D"/>
    <w:rsid w:val="007E5C4A"/>
    <w:rsid w:val="007E64D4"/>
    <w:rsid w:val="007E66E9"/>
    <w:rsid w:val="007E69F2"/>
    <w:rsid w:val="007E6D82"/>
    <w:rsid w:val="007E7091"/>
    <w:rsid w:val="007E7432"/>
    <w:rsid w:val="007E74BF"/>
    <w:rsid w:val="007E7657"/>
    <w:rsid w:val="007E7B55"/>
    <w:rsid w:val="007E7D2E"/>
    <w:rsid w:val="007E7E80"/>
    <w:rsid w:val="007F14D3"/>
    <w:rsid w:val="007F1814"/>
    <w:rsid w:val="007F1A13"/>
    <w:rsid w:val="007F1D9D"/>
    <w:rsid w:val="007F1E28"/>
    <w:rsid w:val="007F1F63"/>
    <w:rsid w:val="007F22A0"/>
    <w:rsid w:val="007F2902"/>
    <w:rsid w:val="007F2903"/>
    <w:rsid w:val="007F2F90"/>
    <w:rsid w:val="007F3320"/>
    <w:rsid w:val="007F3AC1"/>
    <w:rsid w:val="007F4976"/>
    <w:rsid w:val="007F4B40"/>
    <w:rsid w:val="007F5A56"/>
    <w:rsid w:val="007F5D42"/>
    <w:rsid w:val="007F616E"/>
    <w:rsid w:val="007F6B46"/>
    <w:rsid w:val="007F6D29"/>
    <w:rsid w:val="007F72CB"/>
    <w:rsid w:val="007F736A"/>
    <w:rsid w:val="007F7635"/>
    <w:rsid w:val="007F785F"/>
    <w:rsid w:val="007F7961"/>
    <w:rsid w:val="007F7AF6"/>
    <w:rsid w:val="007F7E36"/>
    <w:rsid w:val="00800E34"/>
    <w:rsid w:val="00800E6D"/>
    <w:rsid w:val="008014D9"/>
    <w:rsid w:val="0080150F"/>
    <w:rsid w:val="0080153A"/>
    <w:rsid w:val="00801626"/>
    <w:rsid w:val="00801A2A"/>
    <w:rsid w:val="00802041"/>
    <w:rsid w:val="008022C9"/>
    <w:rsid w:val="00802605"/>
    <w:rsid w:val="00802F9E"/>
    <w:rsid w:val="00803566"/>
    <w:rsid w:val="00803700"/>
    <w:rsid w:val="0080376A"/>
    <w:rsid w:val="00803D9D"/>
    <w:rsid w:val="008059C6"/>
    <w:rsid w:val="00805AD7"/>
    <w:rsid w:val="00805BD6"/>
    <w:rsid w:val="00805DE3"/>
    <w:rsid w:val="00807C35"/>
    <w:rsid w:val="00807F35"/>
    <w:rsid w:val="00807F69"/>
    <w:rsid w:val="008100F7"/>
    <w:rsid w:val="00810206"/>
    <w:rsid w:val="0081022B"/>
    <w:rsid w:val="00810A15"/>
    <w:rsid w:val="00811898"/>
    <w:rsid w:val="00811CDC"/>
    <w:rsid w:val="008124D8"/>
    <w:rsid w:val="00813A7B"/>
    <w:rsid w:val="00813F04"/>
    <w:rsid w:val="0081513E"/>
    <w:rsid w:val="00815DA5"/>
    <w:rsid w:val="00816221"/>
    <w:rsid w:val="0081749A"/>
    <w:rsid w:val="008174F3"/>
    <w:rsid w:val="0081766B"/>
    <w:rsid w:val="008201DE"/>
    <w:rsid w:val="008205AC"/>
    <w:rsid w:val="00820705"/>
    <w:rsid w:val="00820CBF"/>
    <w:rsid w:val="00820FA8"/>
    <w:rsid w:val="008212FD"/>
    <w:rsid w:val="00821489"/>
    <w:rsid w:val="0082168D"/>
    <w:rsid w:val="008217B7"/>
    <w:rsid w:val="0082239B"/>
    <w:rsid w:val="0082292E"/>
    <w:rsid w:val="00822D06"/>
    <w:rsid w:val="00822EC4"/>
    <w:rsid w:val="0082348D"/>
    <w:rsid w:val="008236BE"/>
    <w:rsid w:val="00823FFF"/>
    <w:rsid w:val="008241CE"/>
    <w:rsid w:val="0082520B"/>
    <w:rsid w:val="00825240"/>
    <w:rsid w:val="00825B43"/>
    <w:rsid w:val="00826F71"/>
    <w:rsid w:val="00827CC0"/>
    <w:rsid w:val="008306AB"/>
    <w:rsid w:val="00831026"/>
    <w:rsid w:val="0083119B"/>
    <w:rsid w:val="00831BAE"/>
    <w:rsid w:val="00832216"/>
    <w:rsid w:val="00832513"/>
    <w:rsid w:val="00832CD0"/>
    <w:rsid w:val="00833430"/>
    <w:rsid w:val="00833ADA"/>
    <w:rsid w:val="00834128"/>
    <w:rsid w:val="0083417F"/>
    <w:rsid w:val="00835143"/>
    <w:rsid w:val="0083569B"/>
    <w:rsid w:val="00835741"/>
    <w:rsid w:val="00836E74"/>
    <w:rsid w:val="00836EAB"/>
    <w:rsid w:val="00837673"/>
    <w:rsid w:val="00837937"/>
    <w:rsid w:val="00837D82"/>
    <w:rsid w:val="00840893"/>
    <w:rsid w:val="00840E88"/>
    <w:rsid w:val="008410B1"/>
    <w:rsid w:val="008423EC"/>
    <w:rsid w:val="008429A6"/>
    <w:rsid w:val="00843615"/>
    <w:rsid w:val="00843698"/>
    <w:rsid w:val="00843A4B"/>
    <w:rsid w:val="00843B57"/>
    <w:rsid w:val="00843B60"/>
    <w:rsid w:val="00843D33"/>
    <w:rsid w:val="008444F0"/>
    <w:rsid w:val="00844D4F"/>
    <w:rsid w:val="00844F38"/>
    <w:rsid w:val="008459C5"/>
    <w:rsid w:val="00845AE3"/>
    <w:rsid w:val="008466A0"/>
    <w:rsid w:val="00847535"/>
    <w:rsid w:val="00847B6D"/>
    <w:rsid w:val="00847F34"/>
    <w:rsid w:val="0085092D"/>
    <w:rsid w:val="008509A5"/>
    <w:rsid w:val="00850C79"/>
    <w:rsid w:val="00850D82"/>
    <w:rsid w:val="00850F79"/>
    <w:rsid w:val="0085100B"/>
    <w:rsid w:val="008510A1"/>
    <w:rsid w:val="0085304C"/>
    <w:rsid w:val="008536BB"/>
    <w:rsid w:val="00853A3C"/>
    <w:rsid w:val="008548CA"/>
    <w:rsid w:val="00854A1C"/>
    <w:rsid w:val="008563B0"/>
    <w:rsid w:val="00856C06"/>
    <w:rsid w:val="00857638"/>
    <w:rsid w:val="0085790B"/>
    <w:rsid w:val="008579B9"/>
    <w:rsid w:val="00857C95"/>
    <w:rsid w:val="00857E78"/>
    <w:rsid w:val="00860AEF"/>
    <w:rsid w:val="00860B18"/>
    <w:rsid w:val="00860D5E"/>
    <w:rsid w:val="0086122C"/>
    <w:rsid w:val="00861310"/>
    <w:rsid w:val="00861C4D"/>
    <w:rsid w:val="00861F53"/>
    <w:rsid w:val="0086289E"/>
    <w:rsid w:val="008629CB"/>
    <w:rsid w:val="0086394E"/>
    <w:rsid w:val="00863F8A"/>
    <w:rsid w:val="00863FE3"/>
    <w:rsid w:val="008640C4"/>
    <w:rsid w:val="00864241"/>
    <w:rsid w:val="008645AA"/>
    <w:rsid w:val="0086468A"/>
    <w:rsid w:val="008650BE"/>
    <w:rsid w:val="00865EAF"/>
    <w:rsid w:val="0086633B"/>
    <w:rsid w:val="00866495"/>
    <w:rsid w:val="00866881"/>
    <w:rsid w:val="00866931"/>
    <w:rsid w:val="008673AE"/>
    <w:rsid w:val="00867512"/>
    <w:rsid w:val="008678A3"/>
    <w:rsid w:val="00867C13"/>
    <w:rsid w:val="00867C1D"/>
    <w:rsid w:val="0087033C"/>
    <w:rsid w:val="008715ED"/>
    <w:rsid w:val="008717D8"/>
    <w:rsid w:val="00871E3C"/>
    <w:rsid w:val="00872F97"/>
    <w:rsid w:val="00874607"/>
    <w:rsid w:val="008747E9"/>
    <w:rsid w:val="00874915"/>
    <w:rsid w:val="00874B89"/>
    <w:rsid w:val="00875403"/>
    <w:rsid w:val="00875434"/>
    <w:rsid w:val="00875C1F"/>
    <w:rsid w:val="00875DCB"/>
    <w:rsid w:val="00876215"/>
    <w:rsid w:val="0087646C"/>
    <w:rsid w:val="00876815"/>
    <w:rsid w:val="00877932"/>
    <w:rsid w:val="008808C7"/>
    <w:rsid w:val="0088106B"/>
    <w:rsid w:val="0088107D"/>
    <w:rsid w:val="0088187A"/>
    <w:rsid w:val="00881E64"/>
    <w:rsid w:val="00882E39"/>
    <w:rsid w:val="00883559"/>
    <w:rsid w:val="008850EB"/>
    <w:rsid w:val="00885228"/>
    <w:rsid w:val="008857E3"/>
    <w:rsid w:val="00886DF2"/>
    <w:rsid w:val="00886FB9"/>
    <w:rsid w:val="00887057"/>
    <w:rsid w:val="00887080"/>
    <w:rsid w:val="00887C79"/>
    <w:rsid w:val="008908DC"/>
    <w:rsid w:val="0089107B"/>
    <w:rsid w:val="008913CC"/>
    <w:rsid w:val="008914AE"/>
    <w:rsid w:val="008919CF"/>
    <w:rsid w:val="00891F84"/>
    <w:rsid w:val="00891FC3"/>
    <w:rsid w:val="008926C2"/>
    <w:rsid w:val="008928EC"/>
    <w:rsid w:val="00892A15"/>
    <w:rsid w:val="00892E5D"/>
    <w:rsid w:val="008935CF"/>
    <w:rsid w:val="0089436B"/>
    <w:rsid w:val="00894436"/>
    <w:rsid w:val="00894BB1"/>
    <w:rsid w:val="008951D0"/>
    <w:rsid w:val="00895442"/>
    <w:rsid w:val="0089582D"/>
    <w:rsid w:val="008959C6"/>
    <w:rsid w:val="0089606D"/>
    <w:rsid w:val="00896129"/>
    <w:rsid w:val="00896316"/>
    <w:rsid w:val="0089774F"/>
    <w:rsid w:val="00897875"/>
    <w:rsid w:val="00897B8F"/>
    <w:rsid w:val="008A00D9"/>
    <w:rsid w:val="008A07D5"/>
    <w:rsid w:val="008A1C96"/>
    <w:rsid w:val="008A1F65"/>
    <w:rsid w:val="008A1FB7"/>
    <w:rsid w:val="008A229A"/>
    <w:rsid w:val="008A2A23"/>
    <w:rsid w:val="008A2AF5"/>
    <w:rsid w:val="008A2B5A"/>
    <w:rsid w:val="008A3F9D"/>
    <w:rsid w:val="008A41F8"/>
    <w:rsid w:val="008A5474"/>
    <w:rsid w:val="008A5C9A"/>
    <w:rsid w:val="008A6005"/>
    <w:rsid w:val="008A614F"/>
    <w:rsid w:val="008A6A55"/>
    <w:rsid w:val="008A6DF0"/>
    <w:rsid w:val="008A6F6E"/>
    <w:rsid w:val="008A71CF"/>
    <w:rsid w:val="008A7888"/>
    <w:rsid w:val="008A796E"/>
    <w:rsid w:val="008B0862"/>
    <w:rsid w:val="008B088C"/>
    <w:rsid w:val="008B1BF5"/>
    <w:rsid w:val="008B263F"/>
    <w:rsid w:val="008B3045"/>
    <w:rsid w:val="008B47A6"/>
    <w:rsid w:val="008B5C7C"/>
    <w:rsid w:val="008B63FE"/>
    <w:rsid w:val="008B672C"/>
    <w:rsid w:val="008B7108"/>
    <w:rsid w:val="008C065F"/>
    <w:rsid w:val="008C0743"/>
    <w:rsid w:val="008C0B4C"/>
    <w:rsid w:val="008C11F0"/>
    <w:rsid w:val="008C1918"/>
    <w:rsid w:val="008C1DBA"/>
    <w:rsid w:val="008C24E7"/>
    <w:rsid w:val="008C2500"/>
    <w:rsid w:val="008C2CAC"/>
    <w:rsid w:val="008C3C57"/>
    <w:rsid w:val="008C3E2A"/>
    <w:rsid w:val="008C45BD"/>
    <w:rsid w:val="008C4B19"/>
    <w:rsid w:val="008C5983"/>
    <w:rsid w:val="008C62D4"/>
    <w:rsid w:val="008C6B89"/>
    <w:rsid w:val="008C6B97"/>
    <w:rsid w:val="008C7EF7"/>
    <w:rsid w:val="008C7F13"/>
    <w:rsid w:val="008D094D"/>
    <w:rsid w:val="008D0ECE"/>
    <w:rsid w:val="008D18AA"/>
    <w:rsid w:val="008D1A2A"/>
    <w:rsid w:val="008D1ADE"/>
    <w:rsid w:val="008D3199"/>
    <w:rsid w:val="008D35D9"/>
    <w:rsid w:val="008D3B36"/>
    <w:rsid w:val="008D3B85"/>
    <w:rsid w:val="008D42D2"/>
    <w:rsid w:val="008D4596"/>
    <w:rsid w:val="008D462D"/>
    <w:rsid w:val="008D4EC6"/>
    <w:rsid w:val="008D6084"/>
    <w:rsid w:val="008D64AC"/>
    <w:rsid w:val="008D656F"/>
    <w:rsid w:val="008D66CA"/>
    <w:rsid w:val="008D69B1"/>
    <w:rsid w:val="008D7338"/>
    <w:rsid w:val="008D785E"/>
    <w:rsid w:val="008D7D66"/>
    <w:rsid w:val="008E0012"/>
    <w:rsid w:val="008E0DF7"/>
    <w:rsid w:val="008E0FAD"/>
    <w:rsid w:val="008E11E4"/>
    <w:rsid w:val="008E1252"/>
    <w:rsid w:val="008E1347"/>
    <w:rsid w:val="008E16E0"/>
    <w:rsid w:val="008E1C15"/>
    <w:rsid w:val="008E1C9A"/>
    <w:rsid w:val="008E28BD"/>
    <w:rsid w:val="008E2BE6"/>
    <w:rsid w:val="008E30C4"/>
    <w:rsid w:val="008E38B4"/>
    <w:rsid w:val="008E3BA4"/>
    <w:rsid w:val="008E3F17"/>
    <w:rsid w:val="008E44AB"/>
    <w:rsid w:val="008E4CAE"/>
    <w:rsid w:val="008E5179"/>
    <w:rsid w:val="008E57FE"/>
    <w:rsid w:val="008E6598"/>
    <w:rsid w:val="008E710F"/>
    <w:rsid w:val="008E7214"/>
    <w:rsid w:val="008E7471"/>
    <w:rsid w:val="008E7497"/>
    <w:rsid w:val="008E7884"/>
    <w:rsid w:val="008E7D6E"/>
    <w:rsid w:val="008F1056"/>
    <w:rsid w:val="008F2E8D"/>
    <w:rsid w:val="008F361D"/>
    <w:rsid w:val="008F387B"/>
    <w:rsid w:val="008F3DD9"/>
    <w:rsid w:val="008F40DC"/>
    <w:rsid w:val="008F4163"/>
    <w:rsid w:val="008F4814"/>
    <w:rsid w:val="008F4B18"/>
    <w:rsid w:val="008F4DA6"/>
    <w:rsid w:val="008F538E"/>
    <w:rsid w:val="008F5A20"/>
    <w:rsid w:val="008F5ABA"/>
    <w:rsid w:val="008F6157"/>
    <w:rsid w:val="008F71AB"/>
    <w:rsid w:val="008F7905"/>
    <w:rsid w:val="008F7989"/>
    <w:rsid w:val="00900912"/>
    <w:rsid w:val="009013B8"/>
    <w:rsid w:val="00901F1D"/>
    <w:rsid w:val="009028E8"/>
    <w:rsid w:val="00902E5C"/>
    <w:rsid w:val="0090363E"/>
    <w:rsid w:val="00903788"/>
    <w:rsid w:val="00903C57"/>
    <w:rsid w:val="009046E5"/>
    <w:rsid w:val="009047C5"/>
    <w:rsid w:val="009100A1"/>
    <w:rsid w:val="00910683"/>
    <w:rsid w:val="00910E00"/>
    <w:rsid w:val="00910E04"/>
    <w:rsid w:val="009116CE"/>
    <w:rsid w:val="00911714"/>
    <w:rsid w:val="00911D04"/>
    <w:rsid w:val="00911EFF"/>
    <w:rsid w:val="0091310F"/>
    <w:rsid w:val="009136D4"/>
    <w:rsid w:val="00914921"/>
    <w:rsid w:val="00914B9A"/>
    <w:rsid w:val="00914C3F"/>
    <w:rsid w:val="00914F33"/>
    <w:rsid w:val="00915EFE"/>
    <w:rsid w:val="00915FCE"/>
    <w:rsid w:val="00916907"/>
    <w:rsid w:val="00916AFE"/>
    <w:rsid w:val="00916FC8"/>
    <w:rsid w:val="009170D3"/>
    <w:rsid w:val="0091759C"/>
    <w:rsid w:val="00917CBE"/>
    <w:rsid w:val="00920026"/>
    <w:rsid w:val="009203E2"/>
    <w:rsid w:val="00920BF5"/>
    <w:rsid w:val="00920F61"/>
    <w:rsid w:val="00921304"/>
    <w:rsid w:val="00921395"/>
    <w:rsid w:val="00921805"/>
    <w:rsid w:val="00921E63"/>
    <w:rsid w:val="009220F6"/>
    <w:rsid w:val="00923396"/>
    <w:rsid w:val="00923F56"/>
    <w:rsid w:val="009242A6"/>
    <w:rsid w:val="00924770"/>
    <w:rsid w:val="00925346"/>
    <w:rsid w:val="00925743"/>
    <w:rsid w:val="0092579F"/>
    <w:rsid w:val="00927E8D"/>
    <w:rsid w:val="00927F23"/>
    <w:rsid w:val="009307CD"/>
    <w:rsid w:val="00931364"/>
    <w:rsid w:val="00931365"/>
    <w:rsid w:val="00931451"/>
    <w:rsid w:val="009314FA"/>
    <w:rsid w:val="0093194F"/>
    <w:rsid w:val="00931BF3"/>
    <w:rsid w:val="00931C55"/>
    <w:rsid w:val="0093228F"/>
    <w:rsid w:val="00933333"/>
    <w:rsid w:val="0093349A"/>
    <w:rsid w:val="0093360C"/>
    <w:rsid w:val="009338BA"/>
    <w:rsid w:val="00933FCB"/>
    <w:rsid w:val="0093447A"/>
    <w:rsid w:val="009346C8"/>
    <w:rsid w:val="00934CEC"/>
    <w:rsid w:val="00934E69"/>
    <w:rsid w:val="0093576F"/>
    <w:rsid w:val="00935E70"/>
    <w:rsid w:val="0093609A"/>
    <w:rsid w:val="00937401"/>
    <w:rsid w:val="009376FB"/>
    <w:rsid w:val="00937D6B"/>
    <w:rsid w:val="00940207"/>
    <w:rsid w:val="00940477"/>
    <w:rsid w:val="00940876"/>
    <w:rsid w:val="00940A53"/>
    <w:rsid w:val="00940F3C"/>
    <w:rsid w:val="009410E0"/>
    <w:rsid w:val="00941FA9"/>
    <w:rsid w:val="009439B6"/>
    <w:rsid w:val="009444B4"/>
    <w:rsid w:val="00944644"/>
    <w:rsid w:val="00946A24"/>
    <w:rsid w:val="009470D4"/>
    <w:rsid w:val="00947337"/>
    <w:rsid w:val="009477BD"/>
    <w:rsid w:val="00947E6E"/>
    <w:rsid w:val="009512FA"/>
    <w:rsid w:val="009516A9"/>
    <w:rsid w:val="00951E57"/>
    <w:rsid w:val="00952350"/>
    <w:rsid w:val="00952505"/>
    <w:rsid w:val="00953018"/>
    <w:rsid w:val="009533E2"/>
    <w:rsid w:val="00953554"/>
    <w:rsid w:val="0095385A"/>
    <w:rsid w:val="00954F3A"/>
    <w:rsid w:val="00955541"/>
    <w:rsid w:val="00955DFD"/>
    <w:rsid w:val="00956032"/>
    <w:rsid w:val="0095674F"/>
    <w:rsid w:val="0095780A"/>
    <w:rsid w:val="009578C3"/>
    <w:rsid w:val="009579E4"/>
    <w:rsid w:val="00957AA4"/>
    <w:rsid w:val="00957ACB"/>
    <w:rsid w:val="00957F27"/>
    <w:rsid w:val="00960BDB"/>
    <w:rsid w:val="0096105C"/>
    <w:rsid w:val="0096147D"/>
    <w:rsid w:val="00961C14"/>
    <w:rsid w:val="00961D53"/>
    <w:rsid w:val="00961E5F"/>
    <w:rsid w:val="009625C6"/>
    <w:rsid w:val="009629B5"/>
    <w:rsid w:val="00962A50"/>
    <w:rsid w:val="00962C93"/>
    <w:rsid w:val="00963550"/>
    <w:rsid w:val="00964138"/>
    <w:rsid w:val="009648D6"/>
    <w:rsid w:val="00964B3F"/>
    <w:rsid w:val="00964C98"/>
    <w:rsid w:val="00971441"/>
    <w:rsid w:val="00971555"/>
    <w:rsid w:val="009715D4"/>
    <w:rsid w:val="009715E1"/>
    <w:rsid w:val="0097179A"/>
    <w:rsid w:val="00971B0A"/>
    <w:rsid w:val="009731F4"/>
    <w:rsid w:val="009732A4"/>
    <w:rsid w:val="00973AB3"/>
    <w:rsid w:val="00973C05"/>
    <w:rsid w:val="0097494E"/>
    <w:rsid w:val="00974999"/>
    <w:rsid w:val="00974B58"/>
    <w:rsid w:val="00974CBD"/>
    <w:rsid w:val="00975445"/>
    <w:rsid w:val="009761ED"/>
    <w:rsid w:val="00977F52"/>
    <w:rsid w:val="0098022F"/>
    <w:rsid w:val="009810DE"/>
    <w:rsid w:val="00981B91"/>
    <w:rsid w:val="009822D7"/>
    <w:rsid w:val="009827E6"/>
    <w:rsid w:val="00982F84"/>
    <w:rsid w:val="009831C3"/>
    <w:rsid w:val="009838C1"/>
    <w:rsid w:val="0098427D"/>
    <w:rsid w:val="00984567"/>
    <w:rsid w:val="00985102"/>
    <w:rsid w:val="009854BC"/>
    <w:rsid w:val="00985A66"/>
    <w:rsid w:val="0098606C"/>
    <w:rsid w:val="009865D5"/>
    <w:rsid w:val="009866A4"/>
    <w:rsid w:val="00986CD7"/>
    <w:rsid w:val="009876F2"/>
    <w:rsid w:val="00987C77"/>
    <w:rsid w:val="00987FED"/>
    <w:rsid w:val="00990345"/>
    <w:rsid w:val="00990701"/>
    <w:rsid w:val="0099119C"/>
    <w:rsid w:val="0099137A"/>
    <w:rsid w:val="0099211C"/>
    <w:rsid w:val="00993013"/>
    <w:rsid w:val="009930AB"/>
    <w:rsid w:val="00993125"/>
    <w:rsid w:val="00993B78"/>
    <w:rsid w:val="00994F3F"/>
    <w:rsid w:val="00995119"/>
    <w:rsid w:val="0099531F"/>
    <w:rsid w:val="009953AD"/>
    <w:rsid w:val="009957D7"/>
    <w:rsid w:val="0099583D"/>
    <w:rsid w:val="00995842"/>
    <w:rsid w:val="00996020"/>
    <w:rsid w:val="0099629E"/>
    <w:rsid w:val="00996992"/>
    <w:rsid w:val="00996E1E"/>
    <w:rsid w:val="00997148"/>
    <w:rsid w:val="00997392"/>
    <w:rsid w:val="0099747C"/>
    <w:rsid w:val="0099771C"/>
    <w:rsid w:val="009A01E4"/>
    <w:rsid w:val="009A0721"/>
    <w:rsid w:val="009A0917"/>
    <w:rsid w:val="009A0A33"/>
    <w:rsid w:val="009A10B2"/>
    <w:rsid w:val="009A1351"/>
    <w:rsid w:val="009A1458"/>
    <w:rsid w:val="009A2041"/>
    <w:rsid w:val="009A2435"/>
    <w:rsid w:val="009A2B60"/>
    <w:rsid w:val="009A35DC"/>
    <w:rsid w:val="009A38AB"/>
    <w:rsid w:val="009A39EE"/>
    <w:rsid w:val="009A3A33"/>
    <w:rsid w:val="009A3D47"/>
    <w:rsid w:val="009A4D63"/>
    <w:rsid w:val="009A5356"/>
    <w:rsid w:val="009A5468"/>
    <w:rsid w:val="009A55D8"/>
    <w:rsid w:val="009A5D99"/>
    <w:rsid w:val="009A608C"/>
    <w:rsid w:val="009A6FDF"/>
    <w:rsid w:val="009A706F"/>
    <w:rsid w:val="009A715F"/>
    <w:rsid w:val="009A76D6"/>
    <w:rsid w:val="009B03F1"/>
    <w:rsid w:val="009B2374"/>
    <w:rsid w:val="009B28D6"/>
    <w:rsid w:val="009B2E29"/>
    <w:rsid w:val="009B3163"/>
    <w:rsid w:val="009B422F"/>
    <w:rsid w:val="009B46BC"/>
    <w:rsid w:val="009B4D1A"/>
    <w:rsid w:val="009B519D"/>
    <w:rsid w:val="009B558B"/>
    <w:rsid w:val="009B663F"/>
    <w:rsid w:val="009B6D21"/>
    <w:rsid w:val="009B78ED"/>
    <w:rsid w:val="009C181C"/>
    <w:rsid w:val="009C1A44"/>
    <w:rsid w:val="009C1C7F"/>
    <w:rsid w:val="009C1EC7"/>
    <w:rsid w:val="009C2210"/>
    <w:rsid w:val="009C28A2"/>
    <w:rsid w:val="009C3239"/>
    <w:rsid w:val="009C3828"/>
    <w:rsid w:val="009C3AD3"/>
    <w:rsid w:val="009C3AF4"/>
    <w:rsid w:val="009C3D2C"/>
    <w:rsid w:val="009C4987"/>
    <w:rsid w:val="009C4FDE"/>
    <w:rsid w:val="009C523F"/>
    <w:rsid w:val="009C59BF"/>
    <w:rsid w:val="009C5D02"/>
    <w:rsid w:val="009C5E4F"/>
    <w:rsid w:val="009C5F64"/>
    <w:rsid w:val="009C5F82"/>
    <w:rsid w:val="009C60EA"/>
    <w:rsid w:val="009C6BFC"/>
    <w:rsid w:val="009C70F8"/>
    <w:rsid w:val="009C78A3"/>
    <w:rsid w:val="009C7E68"/>
    <w:rsid w:val="009D00D7"/>
    <w:rsid w:val="009D0156"/>
    <w:rsid w:val="009D03B4"/>
    <w:rsid w:val="009D05DA"/>
    <w:rsid w:val="009D11F6"/>
    <w:rsid w:val="009D1A14"/>
    <w:rsid w:val="009D1E2A"/>
    <w:rsid w:val="009D1FA0"/>
    <w:rsid w:val="009D2BDF"/>
    <w:rsid w:val="009D3736"/>
    <w:rsid w:val="009D4529"/>
    <w:rsid w:val="009D460F"/>
    <w:rsid w:val="009D604F"/>
    <w:rsid w:val="009D61BB"/>
    <w:rsid w:val="009D6410"/>
    <w:rsid w:val="009D68BB"/>
    <w:rsid w:val="009D6909"/>
    <w:rsid w:val="009D700F"/>
    <w:rsid w:val="009D70C2"/>
    <w:rsid w:val="009D7244"/>
    <w:rsid w:val="009D7ADB"/>
    <w:rsid w:val="009D7B33"/>
    <w:rsid w:val="009E0490"/>
    <w:rsid w:val="009E06C3"/>
    <w:rsid w:val="009E0703"/>
    <w:rsid w:val="009E1035"/>
    <w:rsid w:val="009E13D2"/>
    <w:rsid w:val="009E16DA"/>
    <w:rsid w:val="009E1CD4"/>
    <w:rsid w:val="009E2391"/>
    <w:rsid w:val="009E2A11"/>
    <w:rsid w:val="009E476A"/>
    <w:rsid w:val="009E4A16"/>
    <w:rsid w:val="009E4E05"/>
    <w:rsid w:val="009E56FF"/>
    <w:rsid w:val="009E5CB1"/>
    <w:rsid w:val="009E5E56"/>
    <w:rsid w:val="009E61EA"/>
    <w:rsid w:val="009E6990"/>
    <w:rsid w:val="009E6FEE"/>
    <w:rsid w:val="009E7068"/>
    <w:rsid w:val="009F0084"/>
    <w:rsid w:val="009F00B9"/>
    <w:rsid w:val="009F060F"/>
    <w:rsid w:val="009F0781"/>
    <w:rsid w:val="009F0850"/>
    <w:rsid w:val="009F15A8"/>
    <w:rsid w:val="009F1950"/>
    <w:rsid w:val="009F1BDF"/>
    <w:rsid w:val="009F1EAE"/>
    <w:rsid w:val="009F210A"/>
    <w:rsid w:val="009F2732"/>
    <w:rsid w:val="009F2848"/>
    <w:rsid w:val="009F369D"/>
    <w:rsid w:val="009F36FE"/>
    <w:rsid w:val="009F4990"/>
    <w:rsid w:val="009F4F25"/>
    <w:rsid w:val="009F59C2"/>
    <w:rsid w:val="009F62A3"/>
    <w:rsid w:val="009F7263"/>
    <w:rsid w:val="009F76EA"/>
    <w:rsid w:val="009F78EB"/>
    <w:rsid w:val="009F7DB2"/>
    <w:rsid w:val="009F7F32"/>
    <w:rsid w:val="009F7FEB"/>
    <w:rsid w:val="00A003D5"/>
    <w:rsid w:val="00A0056C"/>
    <w:rsid w:val="00A00F5E"/>
    <w:rsid w:val="00A0120D"/>
    <w:rsid w:val="00A012BA"/>
    <w:rsid w:val="00A01852"/>
    <w:rsid w:val="00A0188B"/>
    <w:rsid w:val="00A01C35"/>
    <w:rsid w:val="00A01E73"/>
    <w:rsid w:val="00A023E7"/>
    <w:rsid w:val="00A026CC"/>
    <w:rsid w:val="00A02B88"/>
    <w:rsid w:val="00A02EF9"/>
    <w:rsid w:val="00A03160"/>
    <w:rsid w:val="00A036AC"/>
    <w:rsid w:val="00A03C54"/>
    <w:rsid w:val="00A03DE5"/>
    <w:rsid w:val="00A041BC"/>
    <w:rsid w:val="00A0447F"/>
    <w:rsid w:val="00A04532"/>
    <w:rsid w:val="00A046D2"/>
    <w:rsid w:val="00A04A54"/>
    <w:rsid w:val="00A058B8"/>
    <w:rsid w:val="00A05B4B"/>
    <w:rsid w:val="00A066C3"/>
    <w:rsid w:val="00A06754"/>
    <w:rsid w:val="00A069E0"/>
    <w:rsid w:val="00A06E4A"/>
    <w:rsid w:val="00A06EB6"/>
    <w:rsid w:val="00A070E9"/>
    <w:rsid w:val="00A078FB"/>
    <w:rsid w:val="00A10209"/>
    <w:rsid w:val="00A1036D"/>
    <w:rsid w:val="00A1069F"/>
    <w:rsid w:val="00A10ACA"/>
    <w:rsid w:val="00A10D08"/>
    <w:rsid w:val="00A11720"/>
    <w:rsid w:val="00A11E78"/>
    <w:rsid w:val="00A12355"/>
    <w:rsid w:val="00A12574"/>
    <w:rsid w:val="00A127D2"/>
    <w:rsid w:val="00A1284E"/>
    <w:rsid w:val="00A13CF5"/>
    <w:rsid w:val="00A143EC"/>
    <w:rsid w:val="00A149E8"/>
    <w:rsid w:val="00A1500F"/>
    <w:rsid w:val="00A15621"/>
    <w:rsid w:val="00A15670"/>
    <w:rsid w:val="00A157A0"/>
    <w:rsid w:val="00A1585B"/>
    <w:rsid w:val="00A15C19"/>
    <w:rsid w:val="00A15FE9"/>
    <w:rsid w:val="00A16809"/>
    <w:rsid w:val="00A17584"/>
    <w:rsid w:val="00A17769"/>
    <w:rsid w:val="00A17EA2"/>
    <w:rsid w:val="00A20264"/>
    <w:rsid w:val="00A20997"/>
    <w:rsid w:val="00A210D4"/>
    <w:rsid w:val="00A213DD"/>
    <w:rsid w:val="00A21454"/>
    <w:rsid w:val="00A216CE"/>
    <w:rsid w:val="00A22025"/>
    <w:rsid w:val="00A22498"/>
    <w:rsid w:val="00A22571"/>
    <w:rsid w:val="00A2298D"/>
    <w:rsid w:val="00A235E1"/>
    <w:rsid w:val="00A24560"/>
    <w:rsid w:val="00A25B0F"/>
    <w:rsid w:val="00A25BBB"/>
    <w:rsid w:val="00A27E77"/>
    <w:rsid w:val="00A27FB6"/>
    <w:rsid w:val="00A30121"/>
    <w:rsid w:val="00A30368"/>
    <w:rsid w:val="00A3043A"/>
    <w:rsid w:val="00A30E02"/>
    <w:rsid w:val="00A30F6A"/>
    <w:rsid w:val="00A31060"/>
    <w:rsid w:val="00A31C3E"/>
    <w:rsid w:val="00A34538"/>
    <w:rsid w:val="00A34677"/>
    <w:rsid w:val="00A3540F"/>
    <w:rsid w:val="00A35630"/>
    <w:rsid w:val="00A35914"/>
    <w:rsid w:val="00A36189"/>
    <w:rsid w:val="00A3677A"/>
    <w:rsid w:val="00A37E73"/>
    <w:rsid w:val="00A37FB6"/>
    <w:rsid w:val="00A409E2"/>
    <w:rsid w:val="00A4104A"/>
    <w:rsid w:val="00A41081"/>
    <w:rsid w:val="00A411CA"/>
    <w:rsid w:val="00A42080"/>
    <w:rsid w:val="00A42096"/>
    <w:rsid w:val="00A426F3"/>
    <w:rsid w:val="00A42FDF"/>
    <w:rsid w:val="00A430A9"/>
    <w:rsid w:val="00A431FE"/>
    <w:rsid w:val="00A4384F"/>
    <w:rsid w:val="00A439E5"/>
    <w:rsid w:val="00A4414E"/>
    <w:rsid w:val="00A4497A"/>
    <w:rsid w:val="00A44AB5"/>
    <w:rsid w:val="00A44BE8"/>
    <w:rsid w:val="00A44C96"/>
    <w:rsid w:val="00A44CDD"/>
    <w:rsid w:val="00A44F54"/>
    <w:rsid w:val="00A45CAC"/>
    <w:rsid w:val="00A45F9B"/>
    <w:rsid w:val="00A46574"/>
    <w:rsid w:val="00A46A5F"/>
    <w:rsid w:val="00A47701"/>
    <w:rsid w:val="00A47849"/>
    <w:rsid w:val="00A500B1"/>
    <w:rsid w:val="00A51D65"/>
    <w:rsid w:val="00A52A53"/>
    <w:rsid w:val="00A52EE5"/>
    <w:rsid w:val="00A53037"/>
    <w:rsid w:val="00A532B9"/>
    <w:rsid w:val="00A5351D"/>
    <w:rsid w:val="00A53E79"/>
    <w:rsid w:val="00A5402C"/>
    <w:rsid w:val="00A54031"/>
    <w:rsid w:val="00A5426D"/>
    <w:rsid w:val="00A54FC2"/>
    <w:rsid w:val="00A55122"/>
    <w:rsid w:val="00A55806"/>
    <w:rsid w:val="00A55CEA"/>
    <w:rsid w:val="00A560A9"/>
    <w:rsid w:val="00A56DE7"/>
    <w:rsid w:val="00A57EB2"/>
    <w:rsid w:val="00A6009E"/>
    <w:rsid w:val="00A60265"/>
    <w:rsid w:val="00A60540"/>
    <w:rsid w:val="00A60B1F"/>
    <w:rsid w:val="00A611B1"/>
    <w:rsid w:val="00A6144B"/>
    <w:rsid w:val="00A6149F"/>
    <w:rsid w:val="00A61C60"/>
    <w:rsid w:val="00A62589"/>
    <w:rsid w:val="00A62AD0"/>
    <w:rsid w:val="00A62C3A"/>
    <w:rsid w:val="00A6319C"/>
    <w:rsid w:val="00A63812"/>
    <w:rsid w:val="00A63DF7"/>
    <w:rsid w:val="00A6454D"/>
    <w:rsid w:val="00A64742"/>
    <w:rsid w:val="00A64767"/>
    <w:rsid w:val="00A64F2F"/>
    <w:rsid w:val="00A6611E"/>
    <w:rsid w:val="00A6662C"/>
    <w:rsid w:val="00A668BA"/>
    <w:rsid w:val="00A66FA7"/>
    <w:rsid w:val="00A67035"/>
    <w:rsid w:val="00A67170"/>
    <w:rsid w:val="00A67E16"/>
    <w:rsid w:val="00A67EB1"/>
    <w:rsid w:val="00A67F1C"/>
    <w:rsid w:val="00A703CC"/>
    <w:rsid w:val="00A70C5C"/>
    <w:rsid w:val="00A710A2"/>
    <w:rsid w:val="00A71EA7"/>
    <w:rsid w:val="00A730AD"/>
    <w:rsid w:val="00A73855"/>
    <w:rsid w:val="00A73D64"/>
    <w:rsid w:val="00A74216"/>
    <w:rsid w:val="00A74360"/>
    <w:rsid w:val="00A744B4"/>
    <w:rsid w:val="00A746CF"/>
    <w:rsid w:val="00A751E3"/>
    <w:rsid w:val="00A7536B"/>
    <w:rsid w:val="00A753B9"/>
    <w:rsid w:val="00A7549A"/>
    <w:rsid w:val="00A75504"/>
    <w:rsid w:val="00A75FD7"/>
    <w:rsid w:val="00A77168"/>
    <w:rsid w:val="00A7723B"/>
    <w:rsid w:val="00A773C3"/>
    <w:rsid w:val="00A7793C"/>
    <w:rsid w:val="00A77D21"/>
    <w:rsid w:val="00A80085"/>
    <w:rsid w:val="00A8043B"/>
    <w:rsid w:val="00A80DA0"/>
    <w:rsid w:val="00A81323"/>
    <w:rsid w:val="00A82013"/>
    <w:rsid w:val="00A820CB"/>
    <w:rsid w:val="00A82342"/>
    <w:rsid w:val="00A8236F"/>
    <w:rsid w:val="00A82D06"/>
    <w:rsid w:val="00A83BEF"/>
    <w:rsid w:val="00A84443"/>
    <w:rsid w:val="00A8487F"/>
    <w:rsid w:val="00A84935"/>
    <w:rsid w:val="00A849A3"/>
    <w:rsid w:val="00A84A0E"/>
    <w:rsid w:val="00A84C22"/>
    <w:rsid w:val="00A8575D"/>
    <w:rsid w:val="00A861F4"/>
    <w:rsid w:val="00A86E0B"/>
    <w:rsid w:val="00A90F12"/>
    <w:rsid w:val="00A91DAA"/>
    <w:rsid w:val="00A93101"/>
    <w:rsid w:val="00A93239"/>
    <w:rsid w:val="00A9413E"/>
    <w:rsid w:val="00A94293"/>
    <w:rsid w:val="00A9496E"/>
    <w:rsid w:val="00A949F0"/>
    <w:rsid w:val="00A94BDE"/>
    <w:rsid w:val="00A94FCA"/>
    <w:rsid w:val="00A95E4C"/>
    <w:rsid w:val="00A96C60"/>
    <w:rsid w:val="00A9740B"/>
    <w:rsid w:val="00A9766C"/>
    <w:rsid w:val="00A977F8"/>
    <w:rsid w:val="00A979DB"/>
    <w:rsid w:val="00A97A40"/>
    <w:rsid w:val="00A97C93"/>
    <w:rsid w:val="00AA06C6"/>
    <w:rsid w:val="00AA08E7"/>
    <w:rsid w:val="00AA0A06"/>
    <w:rsid w:val="00AA1351"/>
    <w:rsid w:val="00AA184C"/>
    <w:rsid w:val="00AA1AF4"/>
    <w:rsid w:val="00AA1C84"/>
    <w:rsid w:val="00AA31C5"/>
    <w:rsid w:val="00AA3D7B"/>
    <w:rsid w:val="00AA42A0"/>
    <w:rsid w:val="00AA442B"/>
    <w:rsid w:val="00AA46A4"/>
    <w:rsid w:val="00AA47FA"/>
    <w:rsid w:val="00AA5779"/>
    <w:rsid w:val="00AA58A1"/>
    <w:rsid w:val="00AA59FD"/>
    <w:rsid w:val="00AA61C7"/>
    <w:rsid w:val="00AA669D"/>
    <w:rsid w:val="00AA66ED"/>
    <w:rsid w:val="00AA6B44"/>
    <w:rsid w:val="00AA6B59"/>
    <w:rsid w:val="00AA6BE1"/>
    <w:rsid w:val="00AA7416"/>
    <w:rsid w:val="00AA7A60"/>
    <w:rsid w:val="00AA7B42"/>
    <w:rsid w:val="00AB041C"/>
    <w:rsid w:val="00AB14E8"/>
    <w:rsid w:val="00AB1B1D"/>
    <w:rsid w:val="00AB1CD8"/>
    <w:rsid w:val="00AB2216"/>
    <w:rsid w:val="00AB358D"/>
    <w:rsid w:val="00AB37A1"/>
    <w:rsid w:val="00AB3BAD"/>
    <w:rsid w:val="00AB3CFD"/>
    <w:rsid w:val="00AB4267"/>
    <w:rsid w:val="00AB49BC"/>
    <w:rsid w:val="00AB4DEE"/>
    <w:rsid w:val="00AB4E32"/>
    <w:rsid w:val="00AB5C19"/>
    <w:rsid w:val="00AB724B"/>
    <w:rsid w:val="00AB726C"/>
    <w:rsid w:val="00AB72B4"/>
    <w:rsid w:val="00AB7549"/>
    <w:rsid w:val="00AB7A7A"/>
    <w:rsid w:val="00AC02AA"/>
    <w:rsid w:val="00AC0537"/>
    <w:rsid w:val="00AC0A84"/>
    <w:rsid w:val="00AC1508"/>
    <w:rsid w:val="00AC2A0B"/>
    <w:rsid w:val="00AC2BEE"/>
    <w:rsid w:val="00AC2E53"/>
    <w:rsid w:val="00AC484F"/>
    <w:rsid w:val="00AC4AD2"/>
    <w:rsid w:val="00AC4B20"/>
    <w:rsid w:val="00AC5395"/>
    <w:rsid w:val="00AC55C7"/>
    <w:rsid w:val="00AC56F2"/>
    <w:rsid w:val="00AC5D9D"/>
    <w:rsid w:val="00AC71C3"/>
    <w:rsid w:val="00AD0861"/>
    <w:rsid w:val="00AD09F7"/>
    <w:rsid w:val="00AD1EFA"/>
    <w:rsid w:val="00AD2072"/>
    <w:rsid w:val="00AD2DBD"/>
    <w:rsid w:val="00AD2FBF"/>
    <w:rsid w:val="00AD30DB"/>
    <w:rsid w:val="00AD33A1"/>
    <w:rsid w:val="00AD340E"/>
    <w:rsid w:val="00AD455D"/>
    <w:rsid w:val="00AD463C"/>
    <w:rsid w:val="00AD4F60"/>
    <w:rsid w:val="00AD5044"/>
    <w:rsid w:val="00AD5114"/>
    <w:rsid w:val="00AD5740"/>
    <w:rsid w:val="00AD6236"/>
    <w:rsid w:val="00AD69D5"/>
    <w:rsid w:val="00AD7619"/>
    <w:rsid w:val="00AD7770"/>
    <w:rsid w:val="00AE1713"/>
    <w:rsid w:val="00AE1772"/>
    <w:rsid w:val="00AE1990"/>
    <w:rsid w:val="00AE25E8"/>
    <w:rsid w:val="00AE2AD4"/>
    <w:rsid w:val="00AE2CA7"/>
    <w:rsid w:val="00AE2F1D"/>
    <w:rsid w:val="00AE4C81"/>
    <w:rsid w:val="00AE586F"/>
    <w:rsid w:val="00AE62FE"/>
    <w:rsid w:val="00AE6582"/>
    <w:rsid w:val="00AE6DC5"/>
    <w:rsid w:val="00AE7686"/>
    <w:rsid w:val="00AE799A"/>
    <w:rsid w:val="00AE7C9F"/>
    <w:rsid w:val="00AF0E81"/>
    <w:rsid w:val="00AF117A"/>
    <w:rsid w:val="00AF134E"/>
    <w:rsid w:val="00AF16CA"/>
    <w:rsid w:val="00AF186E"/>
    <w:rsid w:val="00AF19DF"/>
    <w:rsid w:val="00AF1D41"/>
    <w:rsid w:val="00AF26CF"/>
    <w:rsid w:val="00AF3124"/>
    <w:rsid w:val="00AF344D"/>
    <w:rsid w:val="00AF39B3"/>
    <w:rsid w:val="00AF3C1F"/>
    <w:rsid w:val="00AF3FED"/>
    <w:rsid w:val="00AF4402"/>
    <w:rsid w:val="00AF4639"/>
    <w:rsid w:val="00AF4E92"/>
    <w:rsid w:val="00AF554B"/>
    <w:rsid w:val="00AF5C9B"/>
    <w:rsid w:val="00AF5D53"/>
    <w:rsid w:val="00AF5E2D"/>
    <w:rsid w:val="00AF644B"/>
    <w:rsid w:val="00AF69EB"/>
    <w:rsid w:val="00AF6CA6"/>
    <w:rsid w:val="00AF6DEC"/>
    <w:rsid w:val="00AF6EB6"/>
    <w:rsid w:val="00AF7796"/>
    <w:rsid w:val="00AF7E8F"/>
    <w:rsid w:val="00B011A9"/>
    <w:rsid w:val="00B0192B"/>
    <w:rsid w:val="00B01BAF"/>
    <w:rsid w:val="00B024ED"/>
    <w:rsid w:val="00B025FE"/>
    <w:rsid w:val="00B026B8"/>
    <w:rsid w:val="00B02EB3"/>
    <w:rsid w:val="00B02F7C"/>
    <w:rsid w:val="00B02FCB"/>
    <w:rsid w:val="00B033F8"/>
    <w:rsid w:val="00B0343B"/>
    <w:rsid w:val="00B03C1E"/>
    <w:rsid w:val="00B04400"/>
    <w:rsid w:val="00B04835"/>
    <w:rsid w:val="00B05A55"/>
    <w:rsid w:val="00B05DE1"/>
    <w:rsid w:val="00B06595"/>
    <w:rsid w:val="00B06862"/>
    <w:rsid w:val="00B10109"/>
    <w:rsid w:val="00B1085E"/>
    <w:rsid w:val="00B10F18"/>
    <w:rsid w:val="00B10FD1"/>
    <w:rsid w:val="00B112D5"/>
    <w:rsid w:val="00B11378"/>
    <w:rsid w:val="00B1219D"/>
    <w:rsid w:val="00B12735"/>
    <w:rsid w:val="00B12F44"/>
    <w:rsid w:val="00B12FBB"/>
    <w:rsid w:val="00B13C48"/>
    <w:rsid w:val="00B13E35"/>
    <w:rsid w:val="00B13EC0"/>
    <w:rsid w:val="00B14102"/>
    <w:rsid w:val="00B14D32"/>
    <w:rsid w:val="00B1507C"/>
    <w:rsid w:val="00B15105"/>
    <w:rsid w:val="00B1557C"/>
    <w:rsid w:val="00B155DC"/>
    <w:rsid w:val="00B15766"/>
    <w:rsid w:val="00B15E4A"/>
    <w:rsid w:val="00B1666A"/>
    <w:rsid w:val="00B167C8"/>
    <w:rsid w:val="00B1686D"/>
    <w:rsid w:val="00B16BF7"/>
    <w:rsid w:val="00B17129"/>
    <w:rsid w:val="00B1741D"/>
    <w:rsid w:val="00B17447"/>
    <w:rsid w:val="00B17719"/>
    <w:rsid w:val="00B1771D"/>
    <w:rsid w:val="00B17B91"/>
    <w:rsid w:val="00B20209"/>
    <w:rsid w:val="00B203C9"/>
    <w:rsid w:val="00B2088D"/>
    <w:rsid w:val="00B208FF"/>
    <w:rsid w:val="00B20B23"/>
    <w:rsid w:val="00B21271"/>
    <w:rsid w:val="00B22E22"/>
    <w:rsid w:val="00B22F5F"/>
    <w:rsid w:val="00B23353"/>
    <w:rsid w:val="00B237E6"/>
    <w:rsid w:val="00B23813"/>
    <w:rsid w:val="00B23FD9"/>
    <w:rsid w:val="00B24591"/>
    <w:rsid w:val="00B245D5"/>
    <w:rsid w:val="00B245EF"/>
    <w:rsid w:val="00B24C36"/>
    <w:rsid w:val="00B24D9F"/>
    <w:rsid w:val="00B24F94"/>
    <w:rsid w:val="00B25126"/>
    <w:rsid w:val="00B25703"/>
    <w:rsid w:val="00B25A52"/>
    <w:rsid w:val="00B25EAF"/>
    <w:rsid w:val="00B25FC3"/>
    <w:rsid w:val="00B2692F"/>
    <w:rsid w:val="00B27875"/>
    <w:rsid w:val="00B3008D"/>
    <w:rsid w:val="00B30884"/>
    <w:rsid w:val="00B30E11"/>
    <w:rsid w:val="00B30EAE"/>
    <w:rsid w:val="00B30EEB"/>
    <w:rsid w:val="00B31423"/>
    <w:rsid w:val="00B317AE"/>
    <w:rsid w:val="00B323E0"/>
    <w:rsid w:val="00B32413"/>
    <w:rsid w:val="00B32DC0"/>
    <w:rsid w:val="00B32E31"/>
    <w:rsid w:val="00B3346C"/>
    <w:rsid w:val="00B335E4"/>
    <w:rsid w:val="00B33C23"/>
    <w:rsid w:val="00B345B4"/>
    <w:rsid w:val="00B348B1"/>
    <w:rsid w:val="00B34A28"/>
    <w:rsid w:val="00B35046"/>
    <w:rsid w:val="00B357F4"/>
    <w:rsid w:val="00B35B6A"/>
    <w:rsid w:val="00B3692A"/>
    <w:rsid w:val="00B36D2B"/>
    <w:rsid w:val="00B37657"/>
    <w:rsid w:val="00B37AFD"/>
    <w:rsid w:val="00B37B07"/>
    <w:rsid w:val="00B4046F"/>
    <w:rsid w:val="00B406B3"/>
    <w:rsid w:val="00B40A36"/>
    <w:rsid w:val="00B41BCA"/>
    <w:rsid w:val="00B41D39"/>
    <w:rsid w:val="00B422C0"/>
    <w:rsid w:val="00B426CA"/>
    <w:rsid w:val="00B426E1"/>
    <w:rsid w:val="00B434C1"/>
    <w:rsid w:val="00B43718"/>
    <w:rsid w:val="00B4387A"/>
    <w:rsid w:val="00B44746"/>
    <w:rsid w:val="00B44854"/>
    <w:rsid w:val="00B44BA5"/>
    <w:rsid w:val="00B458D0"/>
    <w:rsid w:val="00B467FB"/>
    <w:rsid w:val="00B4792C"/>
    <w:rsid w:val="00B50CAE"/>
    <w:rsid w:val="00B512AD"/>
    <w:rsid w:val="00B5196C"/>
    <w:rsid w:val="00B525CB"/>
    <w:rsid w:val="00B52697"/>
    <w:rsid w:val="00B53D1A"/>
    <w:rsid w:val="00B54215"/>
    <w:rsid w:val="00B54D8F"/>
    <w:rsid w:val="00B55857"/>
    <w:rsid w:val="00B55C69"/>
    <w:rsid w:val="00B56851"/>
    <w:rsid w:val="00B56D6E"/>
    <w:rsid w:val="00B572F7"/>
    <w:rsid w:val="00B57B9D"/>
    <w:rsid w:val="00B57DAF"/>
    <w:rsid w:val="00B60094"/>
    <w:rsid w:val="00B6022C"/>
    <w:rsid w:val="00B6040C"/>
    <w:rsid w:val="00B614F8"/>
    <w:rsid w:val="00B61994"/>
    <w:rsid w:val="00B61B18"/>
    <w:rsid w:val="00B61FD4"/>
    <w:rsid w:val="00B6235B"/>
    <w:rsid w:val="00B62880"/>
    <w:rsid w:val="00B63872"/>
    <w:rsid w:val="00B63CB2"/>
    <w:rsid w:val="00B64246"/>
    <w:rsid w:val="00B646F3"/>
    <w:rsid w:val="00B64EDB"/>
    <w:rsid w:val="00B65938"/>
    <w:rsid w:val="00B65C8A"/>
    <w:rsid w:val="00B65CE2"/>
    <w:rsid w:val="00B660AD"/>
    <w:rsid w:val="00B66109"/>
    <w:rsid w:val="00B66349"/>
    <w:rsid w:val="00B669B3"/>
    <w:rsid w:val="00B67FBF"/>
    <w:rsid w:val="00B70832"/>
    <w:rsid w:val="00B71376"/>
    <w:rsid w:val="00B716D7"/>
    <w:rsid w:val="00B719EA"/>
    <w:rsid w:val="00B72110"/>
    <w:rsid w:val="00B726B0"/>
    <w:rsid w:val="00B72B91"/>
    <w:rsid w:val="00B72E44"/>
    <w:rsid w:val="00B73019"/>
    <w:rsid w:val="00B7315F"/>
    <w:rsid w:val="00B7323A"/>
    <w:rsid w:val="00B7353B"/>
    <w:rsid w:val="00B737FB"/>
    <w:rsid w:val="00B73E5D"/>
    <w:rsid w:val="00B73EF3"/>
    <w:rsid w:val="00B7423D"/>
    <w:rsid w:val="00B74D05"/>
    <w:rsid w:val="00B74EF8"/>
    <w:rsid w:val="00B75893"/>
    <w:rsid w:val="00B771F4"/>
    <w:rsid w:val="00B7762A"/>
    <w:rsid w:val="00B777FA"/>
    <w:rsid w:val="00B77850"/>
    <w:rsid w:val="00B7796B"/>
    <w:rsid w:val="00B80C72"/>
    <w:rsid w:val="00B8101E"/>
    <w:rsid w:val="00B81964"/>
    <w:rsid w:val="00B81E6F"/>
    <w:rsid w:val="00B82123"/>
    <w:rsid w:val="00B8225B"/>
    <w:rsid w:val="00B82BB5"/>
    <w:rsid w:val="00B83182"/>
    <w:rsid w:val="00B839F0"/>
    <w:rsid w:val="00B851E4"/>
    <w:rsid w:val="00B8535C"/>
    <w:rsid w:val="00B854CE"/>
    <w:rsid w:val="00B85681"/>
    <w:rsid w:val="00B857EB"/>
    <w:rsid w:val="00B858AD"/>
    <w:rsid w:val="00B86162"/>
    <w:rsid w:val="00B86877"/>
    <w:rsid w:val="00B8695D"/>
    <w:rsid w:val="00B86E66"/>
    <w:rsid w:val="00B873BA"/>
    <w:rsid w:val="00B8746F"/>
    <w:rsid w:val="00B8760D"/>
    <w:rsid w:val="00B87706"/>
    <w:rsid w:val="00B90A49"/>
    <w:rsid w:val="00B90A73"/>
    <w:rsid w:val="00B91B8E"/>
    <w:rsid w:val="00B92531"/>
    <w:rsid w:val="00B92618"/>
    <w:rsid w:val="00B92751"/>
    <w:rsid w:val="00B92B69"/>
    <w:rsid w:val="00B92CC6"/>
    <w:rsid w:val="00B935C9"/>
    <w:rsid w:val="00B93E3D"/>
    <w:rsid w:val="00B95464"/>
    <w:rsid w:val="00B95C30"/>
    <w:rsid w:val="00B95E3D"/>
    <w:rsid w:val="00B9642A"/>
    <w:rsid w:val="00B9691F"/>
    <w:rsid w:val="00B96944"/>
    <w:rsid w:val="00B96EEC"/>
    <w:rsid w:val="00B97232"/>
    <w:rsid w:val="00B97392"/>
    <w:rsid w:val="00B976C7"/>
    <w:rsid w:val="00B97A73"/>
    <w:rsid w:val="00BA0C54"/>
    <w:rsid w:val="00BA1382"/>
    <w:rsid w:val="00BA15E3"/>
    <w:rsid w:val="00BA1A85"/>
    <w:rsid w:val="00BA1A8C"/>
    <w:rsid w:val="00BA1D07"/>
    <w:rsid w:val="00BA20B6"/>
    <w:rsid w:val="00BA20D8"/>
    <w:rsid w:val="00BA22FC"/>
    <w:rsid w:val="00BA2C2A"/>
    <w:rsid w:val="00BA2F30"/>
    <w:rsid w:val="00BA3524"/>
    <w:rsid w:val="00BA3982"/>
    <w:rsid w:val="00BA405F"/>
    <w:rsid w:val="00BA4771"/>
    <w:rsid w:val="00BA482B"/>
    <w:rsid w:val="00BA5027"/>
    <w:rsid w:val="00BA55E0"/>
    <w:rsid w:val="00BA5B88"/>
    <w:rsid w:val="00BA665B"/>
    <w:rsid w:val="00BA6FE8"/>
    <w:rsid w:val="00BA732D"/>
    <w:rsid w:val="00BA7370"/>
    <w:rsid w:val="00BA778B"/>
    <w:rsid w:val="00BB0888"/>
    <w:rsid w:val="00BB0DF1"/>
    <w:rsid w:val="00BB0E49"/>
    <w:rsid w:val="00BB0E9B"/>
    <w:rsid w:val="00BB2841"/>
    <w:rsid w:val="00BB300F"/>
    <w:rsid w:val="00BB32C9"/>
    <w:rsid w:val="00BB35C5"/>
    <w:rsid w:val="00BB4048"/>
    <w:rsid w:val="00BB4C8E"/>
    <w:rsid w:val="00BB5324"/>
    <w:rsid w:val="00BB57ED"/>
    <w:rsid w:val="00BB5A2D"/>
    <w:rsid w:val="00BB606C"/>
    <w:rsid w:val="00BB65C3"/>
    <w:rsid w:val="00BB662E"/>
    <w:rsid w:val="00BB67A9"/>
    <w:rsid w:val="00BB6C01"/>
    <w:rsid w:val="00BB7942"/>
    <w:rsid w:val="00BB7B13"/>
    <w:rsid w:val="00BB7CD1"/>
    <w:rsid w:val="00BC0F33"/>
    <w:rsid w:val="00BC14A7"/>
    <w:rsid w:val="00BC17CC"/>
    <w:rsid w:val="00BC209F"/>
    <w:rsid w:val="00BC24AD"/>
    <w:rsid w:val="00BC2898"/>
    <w:rsid w:val="00BC2928"/>
    <w:rsid w:val="00BC29BD"/>
    <w:rsid w:val="00BC2BB1"/>
    <w:rsid w:val="00BC30B3"/>
    <w:rsid w:val="00BC34A3"/>
    <w:rsid w:val="00BC3DD4"/>
    <w:rsid w:val="00BC3FF9"/>
    <w:rsid w:val="00BC4834"/>
    <w:rsid w:val="00BC4A97"/>
    <w:rsid w:val="00BC5A25"/>
    <w:rsid w:val="00BC5FDD"/>
    <w:rsid w:val="00BC68B4"/>
    <w:rsid w:val="00BC7277"/>
    <w:rsid w:val="00BD0140"/>
    <w:rsid w:val="00BD02CC"/>
    <w:rsid w:val="00BD088E"/>
    <w:rsid w:val="00BD0F18"/>
    <w:rsid w:val="00BD182E"/>
    <w:rsid w:val="00BD2063"/>
    <w:rsid w:val="00BD2950"/>
    <w:rsid w:val="00BD337A"/>
    <w:rsid w:val="00BD33D9"/>
    <w:rsid w:val="00BD38C5"/>
    <w:rsid w:val="00BD3A6D"/>
    <w:rsid w:val="00BD3AF1"/>
    <w:rsid w:val="00BD3DEA"/>
    <w:rsid w:val="00BD3E97"/>
    <w:rsid w:val="00BD40E4"/>
    <w:rsid w:val="00BD52FE"/>
    <w:rsid w:val="00BD62CF"/>
    <w:rsid w:val="00BD67B2"/>
    <w:rsid w:val="00BD68E2"/>
    <w:rsid w:val="00BD6D41"/>
    <w:rsid w:val="00BD76E5"/>
    <w:rsid w:val="00BD78FE"/>
    <w:rsid w:val="00BE0149"/>
    <w:rsid w:val="00BE0767"/>
    <w:rsid w:val="00BE07A6"/>
    <w:rsid w:val="00BE0CDF"/>
    <w:rsid w:val="00BE0F24"/>
    <w:rsid w:val="00BE12D7"/>
    <w:rsid w:val="00BE1372"/>
    <w:rsid w:val="00BE1775"/>
    <w:rsid w:val="00BE18DA"/>
    <w:rsid w:val="00BE26C0"/>
    <w:rsid w:val="00BE3442"/>
    <w:rsid w:val="00BE37CD"/>
    <w:rsid w:val="00BE47B2"/>
    <w:rsid w:val="00BE4881"/>
    <w:rsid w:val="00BE48C7"/>
    <w:rsid w:val="00BE4F66"/>
    <w:rsid w:val="00BE4FBF"/>
    <w:rsid w:val="00BE5238"/>
    <w:rsid w:val="00BE5742"/>
    <w:rsid w:val="00BE6074"/>
    <w:rsid w:val="00BE69E2"/>
    <w:rsid w:val="00BE6D73"/>
    <w:rsid w:val="00BE7257"/>
    <w:rsid w:val="00BF020D"/>
    <w:rsid w:val="00BF0532"/>
    <w:rsid w:val="00BF0609"/>
    <w:rsid w:val="00BF0B32"/>
    <w:rsid w:val="00BF0EE8"/>
    <w:rsid w:val="00BF10ED"/>
    <w:rsid w:val="00BF1DD2"/>
    <w:rsid w:val="00BF23A3"/>
    <w:rsid w:val="00BF2A7E"/>
    <w:rsid w:val="00BF3331"/>
    <w:rsid w:val="00BF3A45"/>
    <w:rsid w:val="00BF436F"/>
    <w:rsid w:val="00BF5C05"/>
    <w:rsid w:val="00BF6A12"/>
    <w:rsid w:val="00BF6FC6"/>
    <w:rsid w:val="00BF775D"/>
    <w:rsid w:val="00BF7C52"/>
    <w:rsid w:val="00BF7F99"/>
    <w:rsid w:val="00C00713"/>
    <w:rsid w:val="00C009A0"/>
    <w:rsid w:val="00C01F74"/>
    <w:rsid w:val="00C020C1"/>
    <w:rsid w:val="00C02558"/>
    <w:rsid w:val="00C025FE"/>
    <w:rsid w:val="00C0285F"/>
    <w:rsid w:val="00C028F5"/>
    <w:rsid w:val="00C02F35"/>
    <w:rsid w:val="00C03305"/>
    <w:rsid w:val="00C03515"/>
    <w:rsid w:val="00C03738"/>
    <w:rsid w:val="00C037A6"/>
    <w:rsid w:val="00C04221"/>
    <w:rsid w:val="00C043F5"/>
    <w:rsid w:val="00C044E3"/>
    <w:rsid w:val="00C04596"/>
    <w:rsid w:val="00C04607"/>
    <w:rsid w:val="00C04BDB"/>
    <w:rsid w:val="00C04F1B"/>
    <w:rsid w:val="00C052C6"/>
    <w:rsid w:val="00C05A61"/>
    <w:rsid w:val="00C05FBA"/>
    <w:rsid w:val="00C05FEE"/>
    <w:rsid w:val="00C066B4"/>
    <w:rsid w:val="00C06CCF"/>
    <w:rsid w:val="00C0794D"/>
    <w:rsid w:val="00C10E78"/>
    <w:rsid w:val="00C1159D"/>
    <w:rsid w:val="00C1233E"/>
    <w:rsid w:val="00C1276C"/>
    <w:rsid w:val="00C12FB3"/>
    <w:rsid w:val="00C13686"/>
    <w:rsid w:val="00C138BC"/>
    <w:rsid w:val="00C13D85"/>
    <w:rsid w:val="00C14575"/>
    <w:rsid w:val="00C14639"/>
    <w:rsid w:val="00C14E82"/>
    <w:rsid w:val="00C14FF6"/>
    <w:rsid w:val="00C15A85"/>
    <w:rsid w:val="00C1637C"/>
    <w:rsid w:val="00C1641B"/>
    <w:rsid w:val="00C165FC"/>
    <w:rsid w:val="00C167F7"/>
    <w:rsid w:val="00C16DCE"/>
    <w:rsid w:val="00C176D5"/>
    <w:rsid w:val="00C17D24"/>
    <w:rsid w:val="00C2082C"/>
    <w:rsid w:val="00C20EB0"/>
    <w:rsid w:val="00C21004"/>
    <w:rsid w:val="00C21005"/>
    <w:rsid w:val="00C2186B"/>
    <w:rsid w:val="00C218DF"/>
    <w:rsid w:val="00C21F0C"/>
    <w:rsid w:val="00C220B6"/>
    <w:rsid w:val="00C22D7C"/>
    <w:rsid w:val="00C22DDE"/>
    <w:rsid w:val="00C22F15"/>
    <w:rsid w:val="00C2338B"/>
    <w:rsid w:val="00C233CE"/>
    <w:rsid w:val="00C237DD"/>
    <w:rsid w:val="00C238F4"/>
    <w:rsid w:val="00C2393A"/>
    <w:rsid w:val="00C23A99"/>
    <w:rsid w:val="00C23AB5"/>
    <w:rsid w:val="00C245EC"/>
    <w:rsid w:val="00C245EE"/>
    <w:rsid w:val="00C24AE1"/>
    <w:rsid w:val="00C24B8D"/>
    <w:rsid w:val="00C24BD7"/>
    <w:rsid w:val="00C24F7A"/>
    <w:rsid w:val="00C25813"/>
    <w:rsid w:val="00C26C71"/>
    <w:rsid w:val="00C27143"/>
    <w:rsid w:val="00C27490"/>
    <w:rsid w:val="00C27D03"/>
    <w:rsid w:val="00C27D37"/>
    <w:rsid w:val="00C309E8"/>
    <w:rsid w:val="00C30C6E"/>
    <w:rsid w:val="00C32017"/>
    <w:rsid w:val="00C32571"/>
    <w:rsid w:val="00C325CD"/>
    <w:rsid w:val="00C3322E"/>
    <w:rsid w:val="00C337F5"/>
    <w:rsid w:val="00C3383E"/>
    <w:rsid w:val="00C33B90"/>
    <w:rsid w:val="00C3412F"/>
    <w:rsid w:val="00C34161"/>
    <w:rsid w:val="00C34B5F"/>
    <w:rsid w:val="00C358D4"/>
    <w:rsid w:val="00C365C6"/>
    <w:rsid w:val="00C366F4"/>
    <w:rsid w:val="00C36785"/>
    <w:rsid w:val="00C3711C"/>
    <w:rsid w:val="00C37256"/>
    <w:rsid w:val="00C37A7B"/>
    <w:rsid w:val="00C37DC1"/>
    <w:rsid w:val="00C37FFE"/>
    <w:rsid w:val="00C40B50"/>
    <w:rsid w:val="00C4141D"/>
    <w:rsid w:val="00C419E3"/>
    <w:rsid w:val="00C419F4"/>
    <w:rsid w:val="00C41E6A"/>
    <w:rsid w:val="00C42247"/>
    <w:rsid w:val="00C428E7"/>
    <w:rsid w:val="00C4317B"/>
    <w:rsid w:val="00C438A2"/>
    <w:rsid w:val="00C439BE"/>
    <w:rsid w:val="00C43E53"/>
    <w:rsid w:val="00C451B2"/>
    <w:rsid w:val="00C4539B"/>
    <w:rsid w:val="00C45466"/>
    <w:rsid w:val="00C455C1"/>
    <w:rsid w:val="00C4581D"/>
    <w:rsid w:val="00C47472"/>
    <w:rsid w:val="00C47F18"/>
    <w:rsid w:val="00C500F0"/>
    <w:rsid w:val="00C504A7"/>
    <w:rsid w:val="00C506C9"/>
    <w:rsid w:val="00C50A16"/>
    <w:rsid w:val="00C51C9A"/>
    <w:rsid w:val="00C52C68"/>
    <w:rsid w:val="00C52D98"/>
    <w:rsid w:val="00C52DA1"/>
    <w:rsid w:val="00C53D24"/>
    <w:rsid w:val="00C53ED1"/>
    <w:rsid w:val="00C54640"/>
    <w:rsid w:val="00C547A6"/>
    <w:rsid w:val="00C54A3A"/>
    <w:rsid w:val="00C55C32"/>
    <w:rsid w:val="00C56A67"/>
    <w:rsid w:val="00C56CC2"/>
    <w:rsid w:val="00C56D8D"/>
    <w:rsid w:val="00C57498"/>
    <w:rsid w:val="00C5763C"/>
    <w:rsid w:val="00C5780C"/>
    <w:rsid w:val="00C5796B"/>
    <w:rsid w:val="00C57C64"/>
    <w:rsid w:val="00C6031F"/>
    <w:rsid w:val="00C612C4"/>
    <w:rsid w:val="00C619A1"/>
    <w:rsid w:val="00C62370"/>
    <w:rsid w:val="00C62BBB"/>
    <w:rsid w:val="00C6305F"/>
    <w:rsid w:val="00C6325B"/>
    <w:rsid w:val="00C63DDD"/>
    <w:rsid w:val="00C63E99"/>
    <w:rsid w:val="00C649B8"/>
    <w:rsid w:val="00C64A64"/>
    <w:rsid w:val="00C65151"/>
    <w:rsid w:val="00C657F4"/>
    <w:rsid w:val="00C6598D"/>
    <w:rsid w:val="00C660FE"/>
    <w:rsid w:val="00C66119"/>
    <w:rsid w:val="00C66292"/>
    <w:rsid w:val="00C672A3"/>
    <w:rsid w:val="00C672F1"/>
    <w:rsid w:val="00C673D0"/>
    <w:rsid w:val="00C6742E"/>
    <w:rsid w:val="00C67B0B"/>
    <w:rsid w:val="00C67C0E"/>
    <w:rsid w:val="00C70012"/>
    <w:rsid w:val="00C71891"/>
    <w:rsid w:val="00C71E2A"/>
    <w:rsid w:val="00C733BA"/>
    <w:rsid w:val="00C742F6"/>
    <w:rsid w:val="00C75BE7"/>
    <w:rsid w:val="00C760DC"/>
    <w:rsid w:val="00C77777"/>
    <w:rsid w:val="00C77BAB"/>
    <w:rsid w:val="00C8082B"/>
    <w:rsid w:val="00C80C6B"/>
    <w:rsid w:val="00C81A88"/>
    <w:rsid w:val="00C81D46"/>
    <w:rsid w:val="00C82298"/>
    <w:rsid w:val="00C82DC7"/>
    <w:rsid w:val="00C8331F"/>
    <w:rsid w:val="00C833B4"/>
    <w:rsid w:val="00C84284"/>
    <w:rsid w:val="00C84A39"/>
    <w:rsid w:val="00C84E33"/>
    <w:rsid w:val="00C85528"/>
    <w:rsid w:val="00C85FFC"/>
    <w:rsid w:val="00C861FC"/>
    <w:rsid w:val="00C86C87"/>
    <w:rsid w:val="00C9005E"/>
    <w:rsid w:val="00C90111"/>
    <w:rsid w:val="00C9038E"/>
    <w:rsid w:val="00C9077B"/>
    <w:rsid w:val="00C90CA9"/>
    <w:rsid w:val="00C90F88"/>
    <w:rsid w:val="00C915F2"/>
    <w:rsid w:val="00C917B1"/>
    <w:rsid w:val="00C9193C"/>
    <w:rsid w:val="00C91B77"/>
    <w:rsid w:val="00C920E2"/>
    <w:rsid w:val="00C9370F"/>
    <w:rsid w:val="00C93765"/>
    <w:rsid w:val="00C93877"/>
    <w:rsid w:val="00C93D8C"/>
    <w:rsid w:val="00C93E07"/>
    <w:rsid w:val="00C94065"/>
    <w:rsid w:val="00C946CC"/>
    <w:rsid w:val="00C959BD"/>
    <w:rsid w:val="00C95DFE"/>
    <w:rsid w:val="00C95F44"/>
    <w:rsid w:val="00C96331"/>
    <w:rsid w:val="00C96D1B"/>
    <w:rsid w:val="00C97106"/>
    <w:rsid w:val="00C978D4"/>
    <w:rsid w:val="00CA0031"/>
    <w:rsid w:val="00CA0413"/>
    <w:rsid w:val="00CA043A"/>
    <w:rsid w:val="00CA0E51"/>
    <w:rsid w:val="00CA1691"/>
    <w:rsid w:val="00CA41E7"/>
    <w:rsid w:val="00CA4A99"/>
    <w:rsid w:val="00CA4CCC"/>
    <w:rsid w:val="00CA5520"/>
    <w:rsid w:val="00CA5812"/>
    <w:rsid w:val="00CA5984"/>
    <w:rsid w:val="00CA5BD4"/>
    <w:rsid w:val="00CA5C14"/>
    <w:rsid w:val="00CA7019"/>
    <w:rsid w:val="00CA722D"/>
    <w:rsid w:val="00CA76FC"/>
    <w:rsid w:val="00CA7E7B"/>
    <w:rsid w:val="00CB0236"/>
    <w:rsid w:val="00CB0CB1"/>
    <w:rsid w:val="00CB137C"/>
    <w:rsid w:val="00CB1881"/>
    <w:rsid w:val="00CB1969"/>
    <w:rsid w:val="00CB19E3"/>
    <w:rsid w:val="00CB2C3A"/>
    <w:rsid w:val="00CB2D38"/>
    <w:rsid w:val="00CB2F5E"/>
    <w:rsid w:val="00CB4137"/>
    <w:rsid w:val="00CB50D0"/>
    <w:rsid w:val="00CB52D0"/>
    <w:rsid w:val="00CB5578"/>
    <w:rsid w:val="00CB5671"/>
    <w:rsid w:val="00CB591C"/>
    <w:rsid w:val="00CB5943"/>
    <w:rsid w:val="00CB61B3"/>
    <w:rsid w:val="00CB6801"/>
    <w:rsid w:val="00CB6D17"/>
    <w:rsid w:val="00CB6F83"/>
    <w:rsid w:val="00CB72AE"/>
    <w:rsid w:val="00CC00CD"/>
    <w:rsid w:val="00CC0579"/>
    <w:rsid w:val="00CC0AF3"/>
    <w:rsid w:val="00CC0BC6"/>
    <w:rsid w:val="00CC0E68"/>
    <w:rsid w:val="00CC1780"/>
    <w:rsid w:val="00CC194E"/>
    <w:rsid w:val="00CC21AC"/>
    <w:rsid w:val="00CC232E"/>
    <w:rsid w:val="00CC2514"/>
    <w:rsid w:val="00CC2D34"/>
    <w:rsid w:val="00CC2F69"/>
    <w:rsid w:val="00CC315F"/>
    <w:rsid w:val="00CC3D38"/>
    <w:rsid w:val="00CC3F2F"/>
    <w:rsid w:val="00CC40C3"/>
    <w:rsid w:val="00CC45A5"/>
    <w:rsid w:val="00CC4CB4"/>
    <w:rsid w:val="00CC4E5D"/>
    <w:rsid w:val="00CC4EF4"/>
    <w:rsid w:val="00CC50AE"/>
    <w:rsid w:val="00CC5FFE"/>
    <w:rsid w:val="00CC61B7"/>
    <w:rsid w:val="00CC61CA"/>
    <w:rsid w:val="00CC69EC"/>
    <w:rsid w:val="00CC71D3"/>
    <w:rsid w:val="00CC743D"/>
    <w:rsid w:val="00CD02ED"/>
    <w:rsid w:val="00CD050A"/>
    <w:rsid w:val="00CD1017"/>
    <w:rsid w:val="00CD205D"/>
    <w:rsid w:val="00CD2691"/>
    <w:rsid w:val="00CD2A22"/>
    <w:rsid w:val="00CD2B50"/>
    <w:rsid w:val="00CD3172"/>
    <w:rsid w:val="00CD4506"/>
    <w:rsid w:val="00CD520B"/>
    <w:rsid w:val="00CD592E"/>
    <w:rsid w:val="00CD5982"/>
    <w:rsid w:val="00CD5A1A"/>
    <w:rsid w:val="00CD7EFA"/>
    <w:rsid w:val="00CE020E"/>
    <w:rsid w:val="00CE0566"/>
    <w:rsid w:val="00CE1CD4"/>
    <w:rsid w:val="00CE2761"/>
    <w:rsid w:val="00CE28FC"/>
    <w:rsid w:val="00CE314E"/>
    <w:rsid w:val="00CE3A85"/>
    <w:rsid w:val="00CE3D5C"/>
    <w:rsid w:val="00CE3E09"/>
    <w:rsid w:val="00CE3E14"/>
    <w:rsid w:val="00CE44C7"/>
    <w:rsid w:val="00CE484F"/>
    <w:rsid w:val="00CE4F3C"/>
    <w:rsid w:val="00CE53CC"/>
    <w:rsid w:val="00CE5F60"/>
    <w:rsid w:val="00CE65A7"/>
    <w:rsid w:val="00CE68FE"/>
    <w:rsid w:val="00CE69CC"/>
    <w:rsid w:val="00CE6EC4"/>
    <w:rsid w:val="00CE7F26"/>
    <w:rsid w:val="00CF1226"/>
    <w:rsid w:val="00CF1ABB"/>
    <w:rsid w:val="00CF1E1D"/>
    <w:rsid w:val="00CF24FE"/>
    <w:rsid w:val="00CF287F"/>
    <w:rsid w:val="00CF35D0"/>
    <w:rsid w:val="00CF3B57"/>
    <w:rsid w:val="00CF3DD5"/>
    <w:rsid w:val="00CF43E7"/>
    <w:rsid w:val="00CF4AF7"/>
    <w:rsid w:val="00CF4D20"/>
    <w:rsid w:val="00CF73F8"/>
    <w:rsid w:val="00CF7928"/>
    <w:rsid w:val="00CF7CA2"/>
    <w:rsid w:val="00D00911"/>
    <w:rsid w:val="00D00A8E"/>
    <w:rsid w:val="00D00DE0"/>
    <w:rsid w:val="00D00F79"/>
    <w:rsid w:val="00D012BF"/>
    <w:rsid w:val="00D01760"/>
    <w:rsid w:val="00D01838"/>
    <w:rsid w:val="00D0368E"/>
    <w:rsid w:val="00D03AC3"/>
    <w:rsid w:val="00D03D2D"/>
    <w:rsid w:val="00D03E7B"/>
    <w:rsid w:val="00D0401A"/>
    <w:rsid w:val="00D047E0"/>
    <w:rsid w:val="00D04B9F"/>
    <w:rsid w:val="00D04D43"/>
    <w:rsid w:val="00D04FFB"/>
    <w:rsid w:val="00D055FE"/>
    <w:rsid w:val="00D058E9"/>
    <w:rsid w:val="00D0612A"/>
    <w:rsid w:val="00D1060D"/>
    <w:rsid w:val="00D10D14"/>
    <w:rsid w:val="00D10E7C"/>
    <w:rsid w:val="00D11182"/>
    <w:rsid w:val="00D1137B"/>
    <w:rsid w:val="00D11508"/>
    <w:rsid w:val="00D11687"/>
    <w:rsid w:val="00D11807"/>
    <w:rsid w:val="00D11DB3"/>
    <w:rsid w:val="00D12D82"/>
    <w:rsid w:val="00D12F77"/>
    <w:rsid w:val="00D1306E"/>
    <w:rsid w:val="00D130B7"/>
    <w:rsid w:val="00D134CD"/>
    <w:rsid w:val="00D1401E"/>
    <w:rsid w:val="00D14B5F"/>
    <w:rsid w:val="00D14E13"/>
    <w:rsid w:val="00D14F23"/>
    <w:rsid w:val="00D160F6"/>
    <w:rsid w:val="00D165EE"/>
    <w:rsid w:val="00D16740"/>
    <w:rsid w:val="00D16A8B"/>
    <w:rsid w:val="00D16E39"/>
    <w:rsid w:val="00D171DE"/>
    <w:rsid w:val="00D172A4"/>
    <w:rsid w:val="00D175B2"/>
    <w:rsid w:val="00D17951"/>
    <w:rsid w:val="00D17AD8"/>
    <w:rsid w:val="00D2104A"/>
    <w:rsid w:val="00D21A58"/>
    <w:rsid w:val="00D21BB5"/>
    <w:rsid w:val="00D21FFC"/>
    <w:rsid w:val="00D223B6"/>
    <w:rsid w:val="00D223E8"/>
    <w:rsid w:val="00D224E1"/>
    <w:rsid w:val="00D22B0F"/>
    <w:rsid w:val="00D22BDD"/>
    <w:rsid w:val="00D22DC8"/>
    <w:rsid w:val="00D2477B"/>
    <w:rsid w:val="00D2522A"/>
    <w:rsid w:val="00D2531C"/>
    <w:rsid w:val="00D25428"/>
    <w:rsid w:val="00D2553E"/>
    <w:rsid w:val="00D2587F"/>
    <w:rsid w:val="00D26DE7"/>
    <w:rsid w:val="00D2742F"/>
    <w:rsid w:val="00D2754F"/>
    <w:rsid w:val="00D277C5"/>
    <w:rsid w:val="00D279D9"/>
    <w:rsid w:val="00D312DC"/>
    <w:rsid w:val="00D31B84"/>
    <w:rsid w:val="00D31C6A"/>
    <w:rsid w:val="00D31EDF"/>
    <w:rsid w:val="00D31FF9"/>
    <w:rsid w:val="00D32149"/>
    <w:rsid w:val="00D32256"/>
    <w:rsid w:val="00D32A27"/>
    <w:rsid w:val="00D32ABC"/>
    <w:rsid w:val="00D33FA4"/>
    <w:rsid w:val="00D34B25"/>
    <w:rsid w:val="00D34C7F"/>
    <w:rsid w:val="00D34F4E"/>
    <w:rsid w:val="00D3557A"/>
    <w:rsid w:val="00D357F3"/>
    <w:rsid w:val="00D35C0E"/>
    <w:rsid w:val="00D36FBF"/>
    <w:rsid w:val="00D373A8"/>
    <w:rsid w:val="00D379A5"/>
    <w:rsid w:val="00D37BB3"/>
    <w:rsid w:val="00D401BE"/>
    <w:rsid w:val="00D4043A"/>
    <w:rsid w:val="00D40DB0"/>
    <w:rsid w:val="00D41093"/>
    <w:rsid w:val="00D41858"/>
    <w:rsid w:val="00D41E24"/>
    <w:rsid w:val="00D41EEB"/>
    <w:rsid w:val="00D422DB"/>
    <w:rsid w:val="00D42AC2"/>
    <w:rsid w:val="00D4498E"/>
    <w:rsid w:val="00D4515F"/>
    <w:rsid w:val="00D451E8"/>
    <w:rsid w:val="00D466C9"/>
    <w:rsid w:val="00D47275"/>
    <w:rsid w:val="00D500ED"/>
    <w:rsid w:val="00D50DB9"/>
    <w:rsid w:val="00D517F6"/>
    <w:rsid w:val="00D51AB7"/>
    <w:rsid w:val="00D51E15"/>
    <w:rsid w:val="00D52B7E"/>
    <w:rsid w:val="00D52E2F"/>
    <w:rsid w:val="00D52F59"/>
    <w:rsid w:val="00D53445"/>
    <w:rsid w:val="00D53D9C"/>
    <w:rsid w:val="00D53E3E"/>
    <w:rsid w:val="00D5411D"/>
    <w:rsid w:val="00D54620"/>
    <w:rsid w:val="00D55904"/>
    <w:rsid w:val="00D55C4C"/>
    <w:rsid w:val="00D55DFF"/>
    <w:rsid w:val="00D5614E"/>
    <w:rsid w:val="00D5616F"/>
    <w:rsid w:val="00D57940"/>
    <w:rsid w:val="00D60327"/>
    <w:rsid w:val="00D61384"/>
    <w:rsid w:val="00D61526"/>
    <w:rsid w:val="00D61C39"/>
    <w:rsid w:val="00D61F81"/>
    <w:rsid w:val="00D620A6"/>
    <w:rsid w:val="00D62157"/>
    <w:rsid w:val="00D623C0"/>
    <w:rsid w:val="00D62BE6"/>
    <w:rsid w:val="00D63359"/>
    <w:rsid w:val="00D63766"/>
    <w:rsid w:val="00D63912"/>
    <w:rsid w:val="00D63923"/>
    <w:rsid w:val="00D6451B"/>
    <w:rsid w:val="00D64B57"/>
    <w:rsid w:val="00D64FF1"/>
    <w:rsid w:val="00D651A1"/>
    <w:rsid w:val="00D65DEA"/>
    <w:rsid w:val="00D6650F"/>
    <w:rsid w:val="00D66579"/>
    <w:rsid w:val="00D66968"/>
    <w:rsid w:val="00D66CF2"/>
    <w:rsid w:val="00D66D48"/>
    <w:rsid w:val="00D676D3"/>
    <w:rsid w:val="00D67B06"/>
    <w:rsid w:val="00D67BC7"/>
    <w:rsid w:val="00D67C3B"/>
    <w:rsid w:val="00D701F1"/>
    <w:rsid w:val="00D705D3"/>
    <w:rsid w:val="00D70E00"/>
    <w:rsid w:val="00D70F7C"/>
    <w:rsid w:val="00D715AC"/>
    <w:rsid w:val="00D71851"/>
    <w:rsid w:val="00D718CF"/>
    <w:rsid w:val="00D71B68"/>
    <w:rsid w:val="00D728F5"/>
    <w:rsid w:val="00D72E9D"/>
    <w:rsid w:val="00D73249"/>
    <w:rsid w:val="00D73419"/>
    <w:rsid w:val="00D73881"/>
    <w:rsid w:val="00D73CA9"/>
    <w:rsid w:val="00D751B7"/>
    <w:rsid w:val="00D7524B"/>
    <w:rsid w:val="00D75396"/>
    <w:rsid w:val="00D755C6"/>
    <w:rsid w:val="00D759C0"/>
    <w:rsid w:val="00D75E99"/>
    <w:rsid w:val="00D765CE"/>
    <w:rsid w:val="00D766C7"/>
    <w:rsid w:val="00D7692B"/>
    <w:rsid w:val="00D7734F"/>
    <w:rsid w:val="00D7791D"/>
    <w:rsid w:val="00D8039E"/>
    <w:rsid w:val="00D8044C"/>
    <w:rsid w:val="00D805D6"/>
    <w:rsid w:val="00D8075E"/>
    <w:rsid w:val="00D80860"/>
    <w:rsid w:val="00D80D4C"/>
    <w:rsid w:val="00D8184D"/>
    <w:rsid w:val="00D81A7B"/>
    <w:rsid w:val="00D8223C"/>
    <w:rsid w:val="00D82A7D"/>
    <w:rsid w:val="00D82B57"/>
    <w:rsid w:val="00D82CE5"/>
    <w:rsid w:val="00D831E3"/>
    <w:rsid w:val="00D8342C"/>
    <w:rsid w:val="00D83D08"/>
    <w:rsid w:val="00D84983"/>
    <w:rsid w:val="00D84C00"/>
    <w:rsid w:val="00D85494"/>
    <w:rsid w:val="00D8582C"/>
    <w:rsid w:val="00D85D61"/>
    <w:rsid w:val="00D86015"/>
    <w:rsid w:val="00D8616D"/>
    <w:rsid w:val="00D8711B"/>
    <w:rsid w:val="00D87384"/>
    <w:rsid w:val="00D9006C"/>
    <w:rsid w:val="00D9015D"/>
    <w:rsid w:val="00D90683"/>
    <w:rsid w:val="00D90B2A"/>
    <w:rsid w:val="00D91483"/>
    <w:rsid w:val="00D914B4"/>
    <w:rsid w:val="00D915C8"/>
    <w:rsid w:val="00D9310B"/>
    <w:rsid w:val="00D931F3"/>
    <w:rsid w:val="00D93726"/>
    <w:rsid w:val="00D93F3E"/>
    <w:rsid w:val="00D9405B"/>
    <w:rsid w:val="00D94942"/>
    <w:rsid w:val="00D95145"/>
    <w:rsid w:val="00D96594"/>
    <w:rsid w:val="00D967CB"/>
    <w:rsid w:val="00D968D4"/>
    <w:rsid w:val="00D96E12"/>
    <w:rsid w:val="00D96EE0"/>
    <w:rsid w:val="00D97260"/>
    <w:rsid w:val="00D97BD1"/>
    <w:rsid w:val="00D97EF0"/>
    <w:rsid w:val="00DA00C3"/>
    <w:rsid w:val="00DA01E9"/>
    <w:rsid w:val="00DA06B8"/>
    <w:rsid w:val="00DA14A9"/>
    <w:rsid w:val="00DA1CB3"/>
    <w:rsid w:val="00DA286D"/>
    <w:rsid w:val="00DA2969"/>
    <w:rsid w:val="00DA29B7"/>
    <w:rsid w:val="00DA2E5F"/>
    <w:rsid w:val="00DA337C"/>
    <w:rsid w:val="00DA36B3"/>
    <w:rsid w:val="00DA40C1"/>
    <w:rsid w:val="00DA422F"/>
    <w:rsid w:val="00DA4842"/>
    <w:rsid w:val="00DA4C97"/>
    <w:rsid w:val="00DA5989"/>
    <w:rsid w:val="00DA5AB1"/>
    <w:rsid w:val="00DA5F9D"/>
    <w:rsid w:val="00DA6719"/>
    <w:rsid w:val="00DA69B2"/>
    <w:rsid w:val="00DA71D7"/>
    <w:rsid w:val="00DA7462"/>
    <w:rsid w:val="00DA7AD0"/>
    <w:rsid w:val="00DB02D7"/>
    <w:rsid w:val="00DB03CC"/>
    <w:rsid w:val="00DB03F3"/>
    <w:rsid w:val="00DB12D4"/>
    <w:rsid w:val="00DB14F0"/>
    <w:rsid w:val="00DB1745"/>
    <w:rsid w:val="00DB19BB"/>
    <w:rsid w:val="00DB1A00"/>
    <w:rsid w:val="00DB1AFF"/>
    <w:rsid w:val="00DB219A"/>
    <w:rsid w:val="00DB244C"/>
    <w:rsid w:val="00DB3024"/>
    <w:rsid w:val="00DB3165"/>
    <w:rsid w:val="00DB387B"/>
    <w:rsid w:val="00DB4292"/>
    <w:rsid w:val="00DB4DF0"/>
    <w:rsid w:val="00DB5023"/>
    <w:rsid w:val="00DB5957"/>
    <w:rsid w:val="00DB6E46"/>
    <w:rsid w:val="00DB7117"/>
    <w:rsid w:val="00DB7760"/>
    <w:rsid w:val="00DB7DD4"/>
    <w:rsid w:val="00DC00B4"/>
    <w:rsid w:val="00DC0954"/>
    <w:rsid w:val="00DC0DF8"/>
    <w:rsid w:val="00DC15BA"/>
    <w:rsid w:val="00DC18CD"/>
    <w:rsid w:val="00DC1A68"/>
    <w:rsid w:val="00DC30B8"/>
    <w:rsid w:val="00DC478F"/>
    <w:rsid w:val="00DC50AA"/>
    <w:rsid w:val="00DC61AC"/>
    <w:rsid w:val="00DC62E5"/>
    <w:rsid w:val="00DC6D70"/>
    <w:rsid w:val="00DC6DAA"/>
    <w:rsid w:val="00DC6F33"/>
    <w:rsid w:val="00DC7349"/>
    <w:rsid w:val="00DC7389"/>
    <w:rsid w:val="00DD0EA9"/>
    <w:rsid w:val="00DD14D8"/>
    <w:rsid w:val="00DD1599"/>
    <w:rsid w:val="00DD16F1"/>
    <w:rsid w:val="00DD1B03"/>
    <w:rsid w:val="00DD1E43"/>
    <w:rsid w:val="00DD1EDF"/>
    <w:rsid w:val="00DD1FF6"/>
    <w:rsid w:val="00DD2A62"/>
    <w:rsid w:val="00DD2F2F"/>
    <w:rsid w:val="00DD2F7A"/>
    <w:rsid w:val="00DD36D2"/>
    <w:rsid w:val="00DD37C4"/>
    <w:rsid w:val="00DD3885"/>
    <w:rsid w:val="00DD3FDB"/>
    <w:rsid w:val="00DD5808"/>
    <w:rsid w:val="00DD5946"/>
    <w:rsid w:val="00DD5B04"/>
    <w:rsid w:val="00DD5DAE"/>
    <w:rsid w:val="00DD5EC6"/>
    <w:rsid w:val="00DD605F"/>
    <w:rsid w:val="00DD6A79"/>
    <w:rsid w:val="00DD72A0"/>
    <w:rsid w:val="00DD735D"/>
    <w:rsid w:val="00DD7F7D"/>
    <w:rsid w:val="00DD7FBE"/>
    <w:rsid w:val="00DE0159"/>
    <w:rsid w:val="00DE064A"/>
    <w:rsid w:val="00DE082D"/>
    <w:rsid w:val="00DE1410"/>
    <w:rsid w:val="00DE20C6"/>
    <w:rsid w:val="00DE3119"/>
    <w:rsid w:val="00DE3C24"/>
    <w:rsid w:val="00DE3FF0"/>
    <w:rsid w:val="00DE4105"/>
    <w:rsid w:val="00DE4BEA"/>
    <w:rsid w:val="00DE4E67"/>
    <w:rsid w:val="00DE5189"/>
    <w:rsid w:val="00DE55F5"/>
    <w:rsid w:val="00DE7108"/>
    <w:rsid w:val="00DE78D1"/>
    <w:rsid w:val="00DE78FF"/>
    <w:rsid w:val="00DE7C6E"/>
    <w:rsid w:val="00DF0263"/>
    <w:rsid w:val="00DF0EB4"/>
    <w:rsid w:val="00DF158B"/>
    <w:rsid w:val="00DF170E"/>
    <w:rsid w:val="00DF193C"/>
    <w:rsid w:val="00DF1E36"/>
    <w:rsid w:val="00DF236B"/>
    <w:rsid w:val="00DF258A"/>
    <w:rsid w:val="00DF2A91"/>
    <w:rsid w:val="00DF3889"/>
    <w:rsid w:val="00DF3CC9"/>
    <w:rsid w:val="00DF4451"/>
    <w:rsid w:val="00DF49FF"/>
    <w:rsid w:val="00DF4FFB"/>
    <w:rsid w:val="00DF5236"/>
    <w:rsid w:val="00DF651F"/>
    <w:rsid w:val="00DF6F43"/>
    <w:rsid w:val="00DF71EA"/>
    <w:rsid w:val="00DF752F"/>
    <w:rsid w:val="00DF76A2"/>
    <w:rsid w:val="00E00B25"/>
    <w:rsid w:val="00E00B7A"/>
    <w:rsid w:val="00E01677"/>
    <w:rsid w:val="00E02186"/>
    <w:rsid w:val="00E025C2"/>
    <w:rsid w:val="00E026BB"/>
    <w:rsid w:val="00E027C5"/>
    <w:rsid w:val="00E03124"/>
    <w:rsid w:val="00E031C3"/>
    <w:rsid w:val="00E03951"/>
    <w:rsid w:val="00E03DB8"/>
    <w:rsid w:val="00E03F17"/>
    <w:rsid w:val="00E0420C"/>
    <w:rsid w:val="00E04EDD"/>
    <w:rsid w:val="00E05E70"/>
    <w:rsid w:val="00E064BC"/>
    <w:rsid w:val="00E070C1"/>
    <w:rsid w:val="00E07225"/>
    <w:rsid w:val="00E076B4"/>
    <w:rsid w:val="00E07B55"/>
    <w:rsid w:val="00E10579"/>
    <w:rsid w:val="00E109DD"/>
    <w:rsid w:val="00E11229"/>
    <w:rsid w:val="00E114CA"/>
    <w:rsid w:val="00E127D1"/>
    <w:rsid w:val="00E13867"/>
    <w:rsid w:val="00E1397F"/>
    <w:rsid w:val="00E13AB8"/>
    <w:rsid w:val="00E1482E"/>
    <w:rsid w:val="00E16382"/>
    <w:rsid w:val="00E1699C"/>
    <w:rsid w:val="00E16E75"/>
    <w:rsid w:val="00E1746D"/>
    <w:rsid w:val="00E17CAC"/>
    <w:rsid w:val="00E2012A"/>
    <w:rsid w:val="00E205A2"/>
    <w:rsid w:val="00E20BA4"/>
    <w:rsid w:val="00E210D0"/>
    <w:rsid w:val="00E21887"/>
    <w:rsid w:val="00E21CC0"/>
    <w:rsid w:val="00E23137"/>
    <w:rsid w:val="00E23980"/>
    <w:rsid w:val="00E23AB0"/>
    <w:rsid w:val="00E241E9"/>
    <w:rsid w:val="00E257C3"/>
    <w:rsid w:val="00E25CB3"/>
    <w:rsid w:val="00E25DA4"/>
    <w:rsid w:val="00E26237"/>
    <w:rsid w:val="00E26CB8"/>
    <w:rsid w:val="00E26D16"/>
    <w:rsid w:val="00E26FCF"/>
    <w:rsid w:val="00E27165"/>
    <w:rsid w:val="00E275D9"/>
    <w:rsid w:val="00E3044A"/>
    <w:rsid w:val="00E30E49"/>
    <w:rsid w:val="00E31A4A"/>
    <w:rsid w:val="00E3212A"/>
    <w:rsid w:val="00E3344A"/>
    <w:rsid w:val="00E33B29"/>
    <w:rsid w:val="00E33B62"/>
    <w:rsid w:val="00E3403D"/>
    <w:rsid w:val="00E344BD"/>
    <w:rsid w:val="00E34548"/>
    <w:rsid w:val="00E34E6C"/>
    <w:rsid w:val="00E353E2"/>
    <w:rsid w:val="00E36345"/>
    <w:rsid w:val="00E36C86"/>
    <w:rsid w:val="00E36CEB"/>
    <w:rsid w:val="00E37A28"/>
    <w:rsid w:val="00E400C7"/>
    <w:rsid w:val="00E40430"/>
    <w:rsid w:val="00E40690"/>
    <w:rsid w:val="00E40AEB"/>
    <w:rsid w:val="00E40E82"/>
    <w:rsid w:val="00E40FB8"/>
    <w:rsid w:val="00E41141"/>
    <w:rsid w:val="00E4143A"/>
    <w:rsid w:val="00E420B7"/>
    <w:rsid w:val="00E424C8"/>
    <w:rsid w:val="00E4251D"/>
    <w:rsid w:val="00E427EF"/>
    <w:rsid w:val="00E43D00"/>
    <w:rsid w:val="00E443B4"/>
    <w:rsid w:val="00E445E4"/>
    <w:rsid w:val="00E457CB"/>
    <w:rsid w:val="00E45D47"/>
    <w:rsid w:val="00E45DE4"/>
    <w:rsid w:val="00E45E63"/>
    <w:rsid w:val="00E4680C"/>
    <w:rsid w:val="00E4759C"/>
    <w:rsid w:val="00E476CC"/>
    <w:rsid w:val="00E50A7B"/>
    <w:rsid w:val="00E50B0B"/>
    <w:rsid w:val="00E50C57"/>
    <w:rsid w:val="00E510FE"/>
    <w:rsid w:val="00E514BA"/>
    <w:rsid w:val="00E51513"/>
    <w:rsid w:val="00E51E25"/>
    <w:rsid w:val="00E5205B"/>
    <w:rsid w:val="00E521AE"/>
    <w:rsid w:val="00E529A3"/>
    <w:rsid w:val="00E533EE"/>
    <w:rsid w:val="00E53A21"/>
    <w:rsid w:val="00E53BCA"/>
    <w:rsid w:val="00E53DE2"/>
    <w:rsid w:val="00E53F02"/>
    <w:rsid w:val="00E5428D"/>
    <w:rsid w:val="00E54534"/>
    <w:rsid w:val="00E548C3"/>
    <w:rsid w:val="00E54F27"/>
    <w:rsid w:val="00E55FF1"/>
    <w:rsid w:val="00E56090"/>
    <w:rsid w:val="00E56408"/>
    <w:rsid w:val="00E565B9"/>
    <w:rsid w:val="00E56E7B"/>
    <w:rsid w:val="00E5733B"/>
    <w:rsid w:val="00E5756C"/>
    <w:rsid w:val="00E5768D"/>
    <w:rsid w:val="00E57811"/>
    <w:rsid w:val="00E57FB0"/>
    <w:rsid w:val="00E601BE"/>
    <w:rsid w:val="00E60A44"/>
    <w:rsid w:val="00E60B5F"/>
    <w:rsid w:val="00E613AE"/>
    <w:rsid w:val="00E61429"/>
    <w:rsid w:val="00E61ABB"/>
    <w:rsid w:val="00E61FD7"/>
    <w:rsid w:val="00E623E6"/>
    <w:rsid w:val="00E62BBF"/>
    <w:rsid w:val="00E62C76"/>
    <w:rsid w:val="00E630A2"/>
    <w:rsid w:val="00E630C0"/>
    <w:rsid w:val="00E63107"/>
    <w:rsid w:val="00E6312C"/>
    <w:rsid w:val="00E634E6"/>
    <w:rsid w:val="00E63DCE"/>
    <w:rsid w:val="00E642EF"/>
    <w:rsid w:val="00E645CF"/>
    <w:rsid w:val="00E64700"/>
    <w:rsid w:val="00E65074"/>
    <w:rsid w:val="00E65857"/>
    <w:rsid w:val="00E65E70"/>
    <w:rsid w:val="00E66087"/>
    <w:rsid w:val="00E66D79"/>
    <w:rsid w:val="00E66FF9"/>
    <w:rsid w:val="00E6706F"/>
    <w:rsid w:val="00E673A2"/>
    <w:rsid w:val="00E67856"/>
    <w:rsid w:val="00E679C8"/>
    <w:rsid w:val="00E70314"/>
    <w:rsid w:val="00E724E7"/>
    <w:rsid w:val="00E72B41"/>
    <w:rsid w:val="00E7347B"/>
    <w:rsid w:val="00E73792"/>
    <w:rsid w:val="00E73BA4"/>
    <w:rsid w:val="00E73D03"/>
    <w:rsid w:val="00E7471C"/>
    <w:rsid w:val="00E7498A"/>
    <w:rsid w:val="00E7514E"/>
    <w:rsid w:val="00E76537"/>
    <w:rsid w:val="00E77784"/>
    <w:rsid w:val="00E77AF5"/>
    <w:rsid w:val="00E8035B"/>
    <w:rsid w:val="00E80985"/>
    <w:rsid w:val="00E820F4"/>
    <w:rsid w:val="00E82263"/>
    <w:rsid w:val="00E823F9"/>
    <w:rsid w:val="00E82C1F"/>
    <w:rsid w:val="00E83671"/>
    <w:rsid w:val="00E83D1E"/>
    <w:rsid w:val="00E840EE"/>
    <w:rsid w:val="00E84314"/>
    <w:rsid w:val="00E849CA"/>
    <w:rsid w:val="00E84A71"/>
    <w:rsid w:val="00E853F3"/>
    <w:rsid w:val="00E8556F"/>
    <w:rsid w:val="00E86556"/>
    <w:rsid w:val="00E86D35"/>
    <w:rsid w:val="00E86DC2"/>
    <w:rsid w:val="00E86E32"/>
    <w:rsid w:val="00E86F2E"/>
    <w:rsid w:val="00E8732E"/>
    <w:rsid w:val="00E879C7"/>
    <w:rsid w:val="00E90067"/>
    <w:rsid w:val="00E9011F"/>
    <w:rsid w:val="00E906EB"/>
    <w:rsid w:val="00E90CE2"/>
    <w:rsid w:val="00E9170E"/>
    <w:rsid w:val="00E919FB"/>
    <w:rsid w:val="00E9241E"/>
    <w:rsid w:val="00E92460"/>
    <w:rsid w:val="00E92E62"/>
    <w:rsid w:val="00E93804"/>
    <w:rsid w:val="00E9429D"/>
    <w:rsid w:val="00E95434"/>
    <w:rsid w:val="00E96467"/>
    <w:rsid w:val="00E966DA"/>
    <w:rsid w:val="00E96948"/>
    <w:rsid w:val="00E9737B"/>
    <w:rsid w:val="00E97A3F"/>
    <w:rsid w:val="00E97F0A"/>
    <w:rsid w:val="00EA0100"/>
    <w:rsid w:val="00EA0455"/>
    <w:rsid w:val="00EA0BCE"/>
    <w:rsid w:val="00EA10E4"/>
    <w:rsid w:val="00EA17BC"/>
    <w:rsid w:val="00EA2744"/>
    <w:rsid w:val="00EA37B9"/>
    <w:rsid w:val="00EA39F7"/>
    <w:rsid w:val="00EA3DC2"/>
    <w:rsid w:val="00EA434E"/>
    <w:rsid w:val="00EA4757"/>
    <w:rsid w:val="00EA560B"/>
    <w:rsid w:val="00EA5669"/>
    <w:rsid w:val="00EA5CC6"/>
    <w:rsid w:val="00EA63EF"/>
    <w:rsid w:val="00EA7CBF"/>
    <w:rsid w:val="00EB0A89"/>
    <w:rsid w:val="00EB0BD8"/>
    <w:rsid w:val="00EB1573"/>
    <w:rsid w:val="00EB1910"/>
    <w:rsid w:val="00EB2564"/>
    <w:rsid w:val="00EB2D83"/>
    <w:rsid w:val="00EB2E97"/>
    <w:rsid w:val="00EB3416"/>
    <w:rsid w:val="00EB4AE1"/>
    <w:rsid w:val="00EB52F4"/>
    <w:rsid w:val="00EB5694"/>
    <w:rsid w:val="00EB5779"/>
    <w:rsid w:val="00EB5D2F"/>
    <w:rsid w:val="00EB67F1"/>
    <w:rsid w:val="00EB6ADA"/>
    <w:rsid w:val="00EB7132"/>
    <w:rsid w:val="00EB72CD"/>
    <w:rsid w:val="00EB749A"/>
    <w:rsid w:val="00EB76B6"/>
    <w:rsid w:val="00EB7D8A"/>
    <w:rsid w:val="00EC0487"/>
    <w:rsid w:val="00EC04F7"/>
    <w:rsid w:val="00EC05E2"/>
    <w:rsid w:val="00EC0E84"/>
    <w:rsid w:val="00EC16E2"/>
    <w:rsid w:val="00EC1CE7"/>
    <w:rsid w:val="00EC1DAE"/>
    <w:rsid w:val="00EC224E"/>
    <w:rsid w:val="00EC26F1"/>
    <w:rsid w:val="00EC2CAB"/>
    <w:rsid w:val="00EC33A8"/>
    <w:rsid w:val="00EC3ABE"/>
    <w:rsid w:val="00EC3BA2"/>
    <w:rsid w:val="00EC3C94"/>
    <w:rsid w:val="00EC44DF"/>
    <w:rsid w:val="00EC4FB9"/>
    <w:rsid w:val="00EC5393"/>
    <w:rsid w:val="00EC5741"/>
    <w:rsid w:val="00EC5DA3"/>
    <w:rsid w:val="00EC6014"/>
    <w:rsid w:val="00EC6565"/>
    <w:rsid w:val="00EC6B3E"/>
    <w:rsid w:val="00EC73DE"/>
    <w:rsid w:val="00EC7637"/>
    <w:rsid w:val="00EC7C07"/>
    <w:rsid w:val="00EC7CF2"/>
    <w:rsid w:val="00ED046C"/>
    <w:rsid w:val="00ED053A"/>
    <w:rsid w:val="00ED1F03"/>
    <w:rsid w:val="00ED249D"/>
    <w:rsid w:val="00ED2881"/>
    <w:rsid w:val="00ED2D27"/>
    <w:rsid w:val="00ED319C"/>
    <w:rsid w:val="00ED3347"/>
    <w:rsid w:val="00ED3441"/>
    <w:rsid w:val="00ED3860"/>
    <w:rsid w:val="00ED3954"/>
    <w:rsid w:val="00ED39AC"/>
    <w:rsid w:val="00ED43A2"/>
    <w:rsid w:val="00ED4967"/>
    <w:rsid w:val="00ED5140"/>
    <w:rsid w:val="00ED538C"/>
    <w:rsid w:val="00ED572F"/>
    <w:rsid w:val="00ED5771"/>
    <w:rsid w:val="00ED587F"/>
    <w:rsid w:val="00ED5964"/>
    <w:rsid w:val="00ED623F"/>
    <w:rsid w:val="00ED63A5"/>
    <w:rsid w:val="00ED69BA"/>
    <w:rsid w:val="00ED6D1A"/>
    <w:rsid w:val="00ED72E9"/>
    <w:rsid w:val="00ED732E"/>
    <w:rsid w:val="00ED74B3"/>
    <w:rsid w:val="00ED77F0"/>
    <w:rsid w:val="00ED7FBC"/>
    <w:rsid w:val="00EE0253"/>
    <w:rsid w:val="00EE0297"/>
    <w:rsid w:val="00EE1258"/>
    <w:rsid w:val="00EE13DA"/>
    <w:rsid w:val="00EE1668"/>
    <w:rsid w:val="00EE1EDB"/>
    <w:rsid w:val="00EE23DC"/>
    <w:rsid w:val="00EE24E2"/>
    <w:rsid w:val="00EE2A20"/>
    <w:rsid w:val="00EE366D"/>
    <w:rsid w:val="00EE40A4"/>
    <w:rsid w:val="00EE41AA"/>
    <w:rsid w:val="00EE5454"/>
    <w:rsid w:val="00EE59B5"/>
    <w:rsid w:val="00EE5FB7"/>
    <w:rsid w:val="00EE6783"/>
    <w:rsid w:val="00EE678B"/>
    <w:rsid w:val="00EE7813"/>
    <w:rsid w:val="00EE7B54"/>
    <w:rsid w:val="00EE7C47"/>
    <w:rsid w:val="00EE7C88"/>
    <w:rsid w:val="00EE7C8B"/>
    <w:rsid w:val="00EF0209"/>
    <w:rsid w:val="00EF0EA4"/>
    <w:rsid w:val="00EF19A5"/>
    <w:rsid w:val="00EF1E97"/>
    <w:rsid w:val="00EF2436"/>
    <w:rsid w:val="00EF2547"/>
    <w:rsid w:val="00EF26F4"/>
    <w:rsid w:val="00EF28D8"/>
    <w:rsid w:val="00EF2B2B"/>
    <w:rsid w:val="00EF2E1C"/>
    <w:rsid w:val="00EF2FD6"/>
    <w:rsid w:val="00EF326A"/>
    <w:rsid w:val="00EF397D"/>
    <w:rsid w:val="00EF427A"/>
    <w:rsid w:val="00EF45DF"/>
    <w:rsid w:val="00EF4944"/>
    <w:rsid w:val="00EF4952"/>
    <w:rsid w:val="00EF498F"/>
    <w:rsid w:val="00EF4A42"/>
    <w:rsid w:val="00EF510C"/>
    <w:rsid w:val="00EF55C4"/>
    <w:rsid w:val="00EF57BC"/>
    <w:rsid w:val="00EF5CA8"/>
    <w:rsid w:val="00EF6784"/>
    <w:rsid w:val="00EF688A"/>
    <w:rsid w:val="00EF6A03"/>
    <w:rsid w:val="00EF6DC2"/>
    <w:rsid w:val="00EF7506"/>
    <w:rsid w:val="00EF760B"/>
    <w:rsid w:val="00EF7BF4"/>
    <w:rsid w:val="00F0030F"/>
    <w:rsid w:val="00F00674"/>
    <w:rsid w:val="00F01657"/>
    <w:rsid w:val="00F01E67"/>
    <w:rsid w:val="00F02744"/>
    <w:rsid w:val="00F02BFD"/>
    <w:rsid w:val="00F02D25"/>
    <w:rsid w:val="00F03C3D"/>
    <w:rsid w:val="00F0435D"/>
    <w:rsid w:val="00F04580"/>
    <w:rsid w:val="00F04986"/>
    <w:rsid w:val="00F04ECA"/>
    <w:rsid w:val="00F04F8B"/>
    <w:rsid w:val="00F06CA4"/>
    <w:rsid w:val="00F06E19"/>
    <w:rsid w:val="00F06F84"/>
    <w:rsid w:val="00F0749E"/>
    <w:rsid w:val="00F076E7"/>
    <w:rsid w:val="00F07A86"/>
    <w:rsid w:val="00F07AA1"/>
    <w:rsid w:val="00F105AE"/>
    <w:rsid w:val="00F10618"/>
    <w:rsid w:val="00F10E7D"/>
    <w:rsid w:val="00F1108B"/>
    <w:rsid w:val="00F114FA"/>
    <w:rsid w:val="00F11768"/>
    <w:rsid w:val="00F11951"/>
    <w:rsid w:val="00F12262"/>
    <w:rsid w:val="00F12564"/>
    <w:rsid w:val="00F128D9"/>
    <w:rsid w:val="00F12AF8"/>
    <w:rsid w:val="00F12C52"/>
    <w:rsid w:val="00F13381"/>
    <w:rsid w:val="00F13828"/>
    <w:rsid w:val="00F13E62"/>
    <w:rsid w:val="00F13F51"/>
    <w:rsid w:val="00F148B7"/>
    <w:rsid w:val="00F14EA9"/>
    <w:rsid w:val="00F15505"/>
    <w:rsid w:val="00F15BFF"/>
    <w:rsid w:val="00F1634B"/>
    <w:rsid w:val="00F16E4F"/>
    <w:rsid w:val="00F171B2"/>
    <w:rsid w:val="00F17244"/>
    <w:rsid w:val="00F20918"/>
    <w:rsid w:val="00F20931"/>
    <w:rsid w:val="00F20ECE"/>
    <w:rsid w:val="00F213A0"/>
    <w:rsid w:val="00F21D54"/>
    <w:rsid w:val="00F21EF4"/>
    <w:rsid w:val="00F221A2"/>
    <w:rsid w:val="00F23113"/>
    <w:rsid w:val="00F23255"/>
    <w:rsid w:val="00F23393"/>
    <w:rsid w:val="00F23759"/>
    <w:rsid w:val="00F24644"/>
    <w:rsid w:val="00F24BB1"/>
    <w:rsid w:val="00F25947"/>
    <w:rsid w:val="00F262D6"/>
    <w:rsid w:val="00F26F33"/>
    <w:rsid w:val="00F273D5"/>
    <w:rsid w:val="00F2748A"/>
    <w:rsid w:val="00F2786C"/>
    <w:rsid w:val="00F27886"/>
    <w:rsid w:val="00F300A8"/>
    <w:rsid w:val="00F302C6"/>
    <w:rsid w:val="00F30400"/>
    <w:rsid w:val="00F3079E"/>
    <w:rsid w:val="00F31289"/>
    <w:rsid w:val="00F3232D"/>
    <w:rsid w:val="00F32356"/>
    <w:rsid w:val="00F32F80"/>
    <w:rsid w:val="00F3399B"/>
    <w:rsid w:val="00F33F4B"/>
    <w:rsid w:val="00F346ED"/>
    <w:rsid w:val="00F34945"/>
    <w:rsid w:val="00F34A54"/>
    <w:rsid w:val="00F34E1E"/>
    <w:rsid w:val="00F3570C"/>
    <w:rsid w:val="00F363A4"/>
    <w:rsid w:val="00F36765"/>
    <w:rsid w:val="00F368FF"/>
    <w:rsid w:val="00F37068"/>
    <w:rsid w:val="00F373BF"/>
    <w:rsid w:val="00F37E5F"/>
    <w:rsid w:val="00F37F3F"/>
    <w:rsid w:val="00F40190"/>
    <w:rsid w:val="00F40574"/>
    <w:rsid w:val="00F40992"/>
    <w:rsid w:val="00F40F72"/>
    <w:rsid w:val="00F41094"/>
    <w:rsid w:val="00F41596"/>
    <w:rsid w:val="00F41D8B"/>
    <w:rsid w:val="00F42121"/>
    <w:rsid w:val="00F424B3"/>
    <w:rsid w:val="00F428B1"/>
    <w:rsid w:val="00F428B4"/>
    <w:rsid w:val="00F4345D"/>
    <w:rsid w:val="00F4387B"/>
    <w:rsid w:val="00F45921"/>
    <w:rsid w:val="00F45B91"/>
    <w:rsid w:val="00F46639"/>
    <w:rsid w:val="00F47026"/>
    <w:rsid w:val="00F476FD"/>
    <w:rsid w:val="00F50183"/>
    <w:rsid w:val="00F50D92"/>
    <w:rsid w:val="00F51765"/>
    <w:rsid w:val="00F51A51"/>
    <w:rsid w:val="00F51BC6"/>
    <w:rsid w:val="00F51CB4"/>
    <w:rsid w:val="00F52200"/>
    <w:rsid w:val="00F52324"/>
    <w:rsid w:val="00F52950"/>
    <w:rsid w:val="00F52C9D"/>
    <w:rsid w:val="00F533F1"/>
    <w:rsid w:val="00F53F4F"/>
    <w:rsid w:val="00F54CBC"/>
    <w:rsid w:val="00F55185"/>
    <w:rsid w:val="00F55679"/>
    <w:rsid w:val="00F55C2A"/>
    <w:rsid w:val="00F561E3"/>
    <w:rsid w:val="00F565E6"/>
    <w:rsid w:val="00F56AFA"/>
    <w:rsid w:val="00F575E2"/>
    <w:rsid w:val="00F579FF"/>
    <w:rsid w:val="00F600E0"/>
    <w:rsid w:val="00F605EC"/>
    <w:rsid w:val="00F60F60"/>
    <w:rsid w:val="00F612CE"/>
    <w:rsid w:val="00F6133C"/>
    <w:rsid w:val="00F61405"/>
    <w:rsid w:val="00F62227"/>
    <w:rsid w:val="00F624A7"/>
    <w:rsid w:val="00F62AB6"/>
    <w:rsid w:val="00F65A3C"/>
    <w:rsid w:val="00F66009"/>
    <w:rsid w:val="00F66282"/>
    <w:rsid w:val="00F6639E"/>
    <w:rsid w:val="00F670E9"/>
    <w:rsid w:val="00F6749F"/>
    <w:rsid w:val="00F67AF1"/>
    <w:rsid w:val="00F67D8B"/>
    <w:rsid w:val="00F700CD"/>
    <w:rsid w:val="00F701C5"/>
    <w:rsid w:val="00F70961"/>
    <w:rsid w:val="00F70A8F"/>
    <w:rsid w:val="00F71397"/>
    <w:rsid w:val="00F72389"/>
    <w:rsid w:val="00F72516"/>
    <w:rsid w:val="00F72FB4"/>
    <w:rsid w:val="00F732CF"/>
    <w:rsid w:val="00F735E5"/>
    <w:rsid w:val="00F73958"/>
    <w:rsid w:val="00F73B82"/>
    <w:rsid w:val="00F73E80"/>
    <w:rsid w:val="00F7469C"/>
    <w:rsid w:val="00F7492E"/>
    <w:rsid w:val="00F74945"/>
    <w:rsid w:val="00F749A3"/>
    <w:rsid w:val="00F74AE8"/>
    <w:rsid w:val="00F76768"/>
    <w:rsid w:val="00F76C11"/>
    <w:rsid w:val="00F77021"/>
    <w:rsid w:val="00F770AB"/>
    <w:rsid w:val="00F77E61"/>
    <w:rsid w:val="00F80221"/>
    <w:rsid w:val="00F802B0"/>
    <w:rsid w:val="00F80A0A"/>
    <w:rsid w:val="00F80C81"/>
    <w:rsid w:val="00F815AC"/>
    <w:rsid w:val="00F82E28"/>
    <w:rsid w:val="00F83B33"/>
    <w:rsid w:val="00F83CAE"/>
    <w:rsid w:val="00F840BF"/>
    <w:rsid w:val="00F8427A"/>
    <w:rsid w:val="00F843DF"/>
    <w:rsid w:val="00F84646"/>
    <w:rsid w:val="00F84899"/>
    <w:rsid w:val="00F84D4E"/>
    <w:rsid w:val="00F85585"/>
    <w:rsid w:val="00F859F0"/>
    <w:rsid w:val="00F85CC1"/>
    <w:rsid w:val="00F86B5D"/>
    <w:rsid w:val="00F87634"/>
    <w:rsid w:val="00F87C13"/>
    <w:rsid w:val="00F87C5A"/>
    <w:rsid w:val="00F87E29"/>
    <w:rsid w:val="00F87F18"/>
    <w:rsid w:val="00F87F37"/>
    <w:rsid w:val="00F87F68"/>
    <w:rsid w:val="00F90C4D"/>
    <w:rsid w:val="00F9165C"/>
    <w:rsid w:val="00F9167D"/>
    <w:rsid w:val="00F91CB2"/>
    <w:rsid w:val="00F927E8"/>
    <w:rsid w:val="00F9289C"/>
    <w:rsid w:val="00F92FC1"/>
    <w:rsid w:val="00F932D1"/>
    <w:rsid w:val="00F93DBC"/>
    <w:rsid w:val="00F93DCA"/>
    <w:rsid w:val="00F93E41"/>
    <w:rsid w:val="00F94644"/>
    <w:rsid w:val="00F952E4"/>
    <w:rsid w:val="00F9537B"/>
    <w:rsid w:val="00F96079"/>
    <w:rsid w:val="00F963FC"/>
    <w:rsid w:val="00F97CF1"/>
    <w:rsid w:val="00FA015F"/>
    <w:rsid w:val="00FA0FAC"/>
    <w:rsid w:val="00FA10F7"/>
    <w:rsid w:val="00FA1817"/>
    <w:rsid w:val="00FA1DA2"/>
    <w:rsid w:val="00FA313F"/>
    <w:rsid w:val="00FA3414"/>
    <w:rsid w:val="00FA347A"/>
    <w:rsid w:val="00FA3CDE"/>
    <w:rsid w:val="00FA48C4"/>
    <w:rsid w:val="00FA49B7"/>
    <w:rsid w:val="00FA5043"/>
    <w:rsid w:val="00FA60C1"/>
    <w:rsid w:val="00FA63DD"/>
    <w:rsid w:val="00FA65A3"/>
    <w:rsid w:val="00FA66F9"/>
    <w:rsid w:val="00FA6BCA"/>
    <w:rsid w:val="00FA6F8B"/>
    <w:rsid w:val="00FA727C"/>
    <w:rsid w:val="00FA7A30"/>
    <w:rsid w:val="00FB033F"/>
    <w:rsid w:val="00FB0880"/>
    <w:rsid w:val="00FB12E3"/>
    <w:rsid w:val="00FB1570"/>
    <w:rsid w:val="00FB193B"/>
    <w:rsid w:val="00FB1FBC"/>
    <w:rsid w:val="00FB27B7"/>
    <w:rsid w:val="00FB35E3"/>
    <w:rsid w:val="00FB4743"/>
    <w:rsid w:val="00FB4C98"/>
    <w:rsid w:val="00FB4CE3"/>
    <w:rsid w:val="00FB583C"/>
    <w:rsid w:val="00FB620F"/>
    <w:rsid w:val="00FB630E"/>
    <w:rsid w:val="00FB6738"/>
    <w:rsid w:val="00FB691B"/>
    <w:rsid w:val="00FB6BE6"/>
    <w:rsid w:val="00FB731C"/>
    <w:rsid w:val="00FB7628"/>
    <w:rsid w:val="00FC0363"/>
    <w:rsid w:val="00FC05A0"/>
    <w:rsid w:val="00FC0811"/>
    <w:rsid w:val="00FC09B3"/>
    <w:rsid w:val="00FC1196"/>
    <w:rsid w:val="00FC15EB"/>
    <w:rsid w:val="00FC162C"/>
    <w:rsid w:val="00FC18DC"/>
    <w:rsid w:val="00FC2477"/>
    <w:rsid w:val="00FC2AC4"/>
    <w:rsid w:val="00FC2BC1"/>
    <w:rsid w:val="00FC2D17"/>
    <w:rsid w:val="00FC2F73"/>
    <w:rsid w:val="00FC3A9B"/>
    <w:rsid w:val="00FC3AE1"/>
    <w:rsid w:val="00FC3DFC"/>
    <w:rsid w:val="00FC3EF4"/>
    <w:rsid w:val="00FC431B"/>
    <w:rsid w:val="00FC434C"/>
    <w:rsid w:val="00FC472C"/>
    <w:rsid w:val="00FC4FDF"/>
    <w:rsid w:val="00FC5CF4"/>
    <w:rsid w:val="00FC5D64"/>
    <w:rsid w:val="00FC61D6"/>
    <w:rsid w:val="00FC6A39"/>
    <w:rsid w:val="00FC6DB9"/>
    <w:rsid w:val="00FC73EB"/>
    <w:rsid w:val="00FC76A9"/>
    <w:rsid w:val="00FC79AB"/>
    <w:rsid w:val="00FC7BE7"/>
    <w:rsid w:val="00FC7DAC"/>
    <w:rsid w:val="00FD005D"/>
    <w:rsid w:val="00FD0216"/>
    <w:rsid w:val="00FD04AE"/>
    <w:rsid w:val="00FD0DFA"/>
    <w:rsid w:val="00FD1890"/>
    <w:rsid w:val="00FD1994"/>
    <w:rsid w:val="00FD3508"/>
    <w:rsid w:val="00FD393C"/>
    <w:rsid w:val="00FD3AFF"/>
    <w:rsid w:val="00FD43BB"/>
    <w:rsid w:val="00FD4AF3"/>
    <w:rsid w:val="00FD5443"/>
    <w:rsid w:val="00FD6675"/>
    <w:rsid w:val="00FD6DC5"/>
    <w:rsid w:val="00FD72B1"/>
    <w:rsid w:val="00FD798D"/>
    <w:rsid w:val="00FE141E"/>
    <w:rsid w:val="00FE144E"/>
    <w:rsid w:val="00FE1768"/>
    <w:rsid w:val="00FE1DD5"/>
    <w:rsid w:val="00FE1E8C"/>
    <w:rsid w:val="00FE24F4"/>
    <w:rsid w:val="00FE2560"/>
    <w:rsid w:val="00FE35D0"/>
    <w:rsid w:val="00FE42ED"/>
    <w:rsid w:val="00FE4E06"/>
    <w:rsid w:val="00FE55A7"/>
    <w:rsid w:val="00FE5C5A"/>
    <w:rsid w:val="00FE601E"/>
    <w:rsid w:val="00FE6432"/>
    <w:rsid w:val="00FE72A0"/>
    <w:rsid w:val="00FF0050"/>
    <w:rsid w:val="00FF045F"/>
    <w:rsid w:val="00FF0816"/>
    <w:rsid w:val="00FF13D4"/>
    <w:rsid w:val="00FF2053"/>
    <w:rsid w:val="00FF2389"/>
    <w:rsid w:val="00FF3B37"/>
    <w:rsid w:val="00FF3CC7"/>
    <w:rsid w:val="00FF3D6F"/>
    <w:rsid w:val="00FF441A"/>
    <w:rsid w:val="00FF44D7"/>
    <w:rsid w:val="00FF4BD8"/>
    <w:rsid w:val="00FF4D11"/>
    <w:rsid w:val="00FF5214"/>
    <w:rsid w:val="00FF596E"/>
    <w:rsid w:val="00FF5B59"/>
    <w:rsid w:val="00FF5BFD"/>
    <w:rsid w:val="00FF6095"/>
    <w:rsid w:val="00FF62FE"/>
    <w:rsid w:val="00FF6553"/>
    <w:rsid w:val="00FF70BD"/>
    <w:rsid w:val="00FF7124"/>
    <w:rsid w:val="00FF7A39"/>
    <w:rsid w:val="029BC757"/>
    <w:rsid w:val="3569F5A8"/>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8E3B5CD8-1094-4A0C-AD80-0964A00BE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4FC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E8431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styleId="Mencinsinresolver">
    <w:name w:val="Unresolved Mention"/>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character" w:customStyle="1" w:styleId="baj">
    <w:name w:val="b_aj"/>
    <w:basedOn w:val="Fuentedeprrafopredeter"/>
    <w:rsid w:val="00470D73"/>
  </w:style>
  <w:style w:type="character" w:customStyle="1" w:styleId="Ttulo2Car">
    <w:name w:val="Título 2 Car"/>
    <w:basedOn w:val="Fuentedeprrafopredeter"/>
    <w:link w:val="Ttulo2"/>
    <w:uiPriority w:val="9"/>
    <w:semiHidden/>
    <w:rsid w:val="00E84314"/>
    <w:rPr>
      <w:rFonts w:asciiTheme="majorHAnsi" w:eastAsiaTheme="majorEastAsia" w:hAnsiTheme="majorHAnsi" w:cstheme="majorBidi"/>
      <w:color w:val="365F91" w:themeColor="accent1" w:themeShade="BF"/>
      <w:sz w:val="26"/>
      <w:szCs w:val="26"/>
      <w:lang w:eastAsia="es-ES_tradnl"/>
    </w:rPr>
  </w:style>
  <w:style w:type="paragraph" w:styleId="Revisin">
    <w:name w:val="Revision"/>
    <w:hidden/>
    <w:uiPriority w:val="99"/>
    <w:semiHidden/>
    <w:rsid w:val="00B20B23"/>
    <w:pPr>
      <w:spacing w:after="0" w:line="240" w:lineRule="auto"/>
    </w:pPr>
    <w:rPr>
      <w:rFonts w:ascii="Times New Roman" w:eastAsia="Times New Roman" w:hAnsi="Times New Roman" w:cs="Times New Roman"/>
      <w:sz w:val="24"/>
      <w:szCs w:val="24"/>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144344">
      <w:bodyDiv w:val="1"/>
      <w:marLeft w:val="0"/>
      <w:marRight w:val="0"/>
      <w:marTop w:val="0"/>
      <w:marBottom w:val="0"/>
      <w:divBdr>
        <w:top w:val="none" w:sz="0" w:space="0" w:color="auto"/>
        <w:left w:val="none" w:sz="0" w:space="0" w:color="auto"/>
        <w:bottom w:val="none" w:sz="0" w:space="0" w:color="auto"/>
        <w:right w:val="none" w:sz="0" w:space="0" w:color="auto"/>
      </w:divBdr>
      <w:divsChild>
        <w:div w:id="1610551597">
          <w:marLeft w:val="0"/>
          <w:marRight w:val="0"/>
          <w:marTop w:val="0"/>
          <w:marBottom w:val="0"/>
          <w:divBdr>
            <w:top w:val="none" w:sz="0" w:space="0" w:color="auto"/>
            <w:left w:val="none" w:sz="0" w:space="0" w:color="auto"/>
            <w:bottom w:val="none" w:sz="0" w:space="0" w:color="auto"/>
            <w:right w:val="none" w:sz="0" w:space="0" w:color="auto"/>
          </w:divBdr>
          <w:divsChild>
            <w:div w:id="2038459412">
              <w:marLeft w:val="0"/>
              <w:marRight w:val="0"/>
              <w:marTop w:val="0"/>
              <w:marBottom w:val="0"/>
              <w:divBdr>
                <w:top w:val="none" w:sz="0" w:space="0" w:color="auto"/>
                <w:left w:val="none" w:sz="0" w:space="0" w:color="auto"/>
                <w:bottom w:val="none" w:sz="0" w:space="0" w:color="auto"/>
                <w:right w:val="none" w:sz="0" w:space="0" w:color="auto"/>
              </w:divBdr>
              <w:divsChild>
                <w:div w:id="20606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1826938">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5637734">
      <w:bodyDiv w:val="1"/>
      <w:marLeft w:val="0"/>
      <w:marRight w:val="0"/>
      <w:marTop w:val="0"/>
      <w:marBottom w:val="0"/>
      <w:divBdr>
        <w:top w:val="none" w:sz="0" w:space="0" w:color="auto"/>
        <w:left w:val="none" w:sz="0" w:space="0" w:color="auto"/>
        <w:bottom w:val="none" w:sz="0" w:space="0" w:color="auto"/>
        <w:right w:val="none" w:sz="0" w:space="0" w:color="auto"/>
      </w:divBdr>
      <w:divsChild>
        <w:div w:id="2103181439">
          <w:marLeft w:val="0"/>
          <w:marRight w:val="0"/>
          <w:marTop w:val="0"/>
          <w:marBottom w:val="0"/>
          <w:divBdr>
            <w:top w:val="none" w:sz="0" w:space="0" w:color="auto"/>
            <w:left w:val="none" w:sz="0" w:space="0" w:color="auto"/>
            <w:bottom w:val="none" w:sz="0" w:space="0" w:color="auto"/>
            <w:right w:val="none" w:sz="0" w:space="0" w:color="auto"/>
          </w:divBdr>
          <w:divsChild>
            <w:div w:id="2070616539">
              <w:marLeft w:val="0"/>
              <w:marRight w:val="0"/>
              <w:marTop w:val="0"/>
              <w:marBottom w:val="0"/>
              <w:divBdr>
                <w:top w:val="none" w:sz="0" w:space="0" w:color="auto"/>
                <w:left w:val="none" w:sz="0" w:space="0" w:color="auto"/>
                <w:bottom w:val="none" w:sz="0" w:space="0" w:color="auto"/>
                <w:right w:val="none" w:sz="0" w:space="0" w:color="auto"/>
              </w:divBdr>
              <w:divsChild>
                <w:div w:id="758605140">
                  <w:marLeft w:val="0"/>
                  <w:marRight w:val="0"/>
                  <w:marTop w:val="0"/>
                  <w:marBottom w:val="0"/>
                  <w:divBdr>
                    <w:top w:val="none" w:sz="0" w:space="0" w:color="auto"/>
                    <w:left w:val="none" w:sz="0" w:space="0" w:color="auto"/>
                    <w:bottom w:val="none" w:sz="0" w:space="0" w:color="auto"/>
                    <w:right w:val="none" w:sz="0" w:space="0" w:color="auto"/>
                  </w:divBdr>
                  <w:divsChild>
                    <w:div w:id="184531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79496941">
      <w:bodyDiv w:val="1"/>
      <w:marLeft w:val="0"/>
      <w:marRight w:val="0"/>
      <w:marTop w:val="0"/>
      <w:marBottom w:val="0"/>
      <w:divBdr>
        <w:top w:val="none" w:sz="0" w:space="0" w:color="auto"/>
        <w:left w:val="none" w:sz="0" w:space="0" w:color="auto"/>
        <w:bottom w:val="none" w:sz="0" w:space="0" w:color="auto"/>
        <w:right w:val="none" w:sz="0" w:space="0" w:color="auto"/>
      </w:divBdr>
      <w:divsChild>
        <w:div w:id="689528428">
          <w:marLeft w:val="0"/>
          <w:marRight w:val="0"/>
          <w:marTop w:val="0"/>
          <w:marBottom w:val="0"/>
          <w:divBdr>
            <w:top w:val="none" w:sz="0" w:space="0" w:color="auto"/>
            <w:left w:val="none" w:sz="0" w:space="0" w:color="auto"/>
            <w:bottom w:val="none" w:sz="0" w:space="0" w:color="auto"/>
            <w:right w:val="none" w:sz="0" w:space="0" w:color="auto"/>
          </w:divBdr>
          <w:divsChild>
            <w:div w:id="23706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94449001">
      <w:bodyDiv w:val="1"/>
      <w:marLeft w:val="0"/>
      <w:marRight w:val="0"/>
      <w:marTop w:val="0"/>
      <w:marBottom w:val="0"/>
      <w:divBdr>
        <w:top w:val="none" w:sz="0" w:space="0" w:color="auto"/>
        <w:left w:val="none" w:sz="0" w:space="0" w:color="auto"/>
        <w:bottom w:val="none" w:sz="0" w:space="0" w:color="auto"/>
        <w:right w:val="none" w:sz="0" w:space="0" w:color="auto"/>
      </w:divBdr>
    </w:div>
    <w:div w:id="94985693">
      <w:bodyDiv w:val="1"/>
      <w:marLeft w:val="0"/>
      <w:marRight w:val="0"/>
      <w:marTop w:val="0"/>
      <w:marBottom w:val="0"/>
      <w:divBdr>
        <w:top w:val="none" w:sz="0" w:space="0" w:color="auto"/>
        <w:left w:val="none" w:sz="0" w:space="0" w:color="auto"/>
        <w:bottom w:val="none" w:sz="0" w:space="0" w:color="auto"/>
        <w:right w:val="none" w:sz="0" w:space="0" w:color="auto"/>
      </w:divBdr>
    </w:div>
    <w:div w:id="110173570">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90619">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15430727">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181">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58679361">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0133555">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1881237">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48802467">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5446229">
      <w:bodyDiv w:val="1"/>
      <w:marLeft w:val="0"/>
      <w:marRight w:val="0"/>
      <w:marTop w:val="0"/>
      <w:marBottom w:val="0"/>
      <w:divBdr>
        <w:top w:val="none" w:sz="0" w:space="0" w:color="auto"/>
        <w:left w:val="none" w:sz="0" w:space="0" w:color="auto"/>
        <w:bottom w:val="none" w:sz="0" w:space="0" w:color="auto"/>
        <w:right w:val="none" w:sz="0" w:space="0" w:color="auto"/>
      </w:divBdr>
      <w:divsChild>
        <w:div w:id="1042360156">
          <w:marLeft w:val="0"/>
          <w:marRight w:val="0"/>
          <w:marTop w:val="0"/>
          <w:marBottom w:val="0"/>
          <w:divBdr>
            <w:top w:val="none" w:sz="0" w:space="0" w:color="auto"/>
            <w:left w:val="none" w:sz="0" w:space="0" w:color="auto"/>
            <w:bottom w:val="none" w:sz="0" w:space="0" w:color="auto"/>
            <w:right w:val="none" w:sz="0" w:space="0" w:color="auto"/>
          </w:divBdr>
          <w:divsChild>
            <w:div w:id="469910124">
              <w:marLeft w:val="0"/>
              <w:marRight w:val="0"/>
              <w:marTop w:val="0"/>
              <w:marBottom w:val="0"/>
              <w:divBdr>
                <w:top w:val="none" w:sz="0" w:space="0" w:color="auto"/>
                <w:left w:val="none" w:sz="0" w:space="0" w:color="auto"/>
                <w:bottom w:val="none" w:sz="0" w:space="0" w:color="auto"/>
                <w:right w:val="none" w:sz="0" w:space="0" w:color="auto"/>
              </w:divBdr>
              <w:divsChild>
                <w:div w:id="1034884912">
                  <w:marLeft w:val="0"/>
                  <w:marRight w:val="0"/>
                  <w:marTop w:val="0"/>
                  <w:marBottom w:val="0"/>
                  <w:divBdr>
                    <w:top w:val="none" w:sz="0" w:space="0" w:color="auto"/>
                    <w:left w:val="none" w:sz="0" w:space="0" w:color="auto"/>
                    <w:bottom w:val="none" w:sz="0" w:space="0" w:color="auto"/>
                    <w:right w:val="none" w:sz="0" w:space="0" w:color="auto"/>
                  </w:divBdr>
                  <w:divsChild>
                    <w:div w:id="172166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61339907">
      <w:bodyDiv w:val="1"/>
      <w:marLeft w:val="0"/>
      <w:marRight w:val="0"/>
      <w:marTop w:val="0"/>
      <w:marBottom w:val="0"/>
      <w:divBdr>
        <w:top w:val="none" w:sz="0" w:space="0" w:color="auto"/>
        <w:left w:val="none" w:sz="0" w:space="0" w:color="auto"/>
        <w:bottom w:val="none" w:sz="0" w:space="0" w:color="auto"/>
        <w:right w:val="none" w:sz="0" w:space="0" w:color="auto"/>
      </w:divBdr>
      <w:divsChild>
        <w:div w:id="1982536059">
          <w:marLeft w:val="0"/>
          <w:marRight w:val="0"/>
          <w:marTop w:val="0"/>
          <w:marBottom w:val="0"/>
          <w:divBdr>
            <w:top w:val="none" w:sz="0" w:space="0" w:color="auto"/>
            <w:left w:val="none" w:sz="0" w:space="0" w:color="auto"/>
            <w:bottom w:val="none" w:sz="0" w:space="0" w:color="auto"/>
            <w:right w:val="none" w:sz="0" w:space="0" w:color="auto"/>
          </w:divBdr>
          <w:divsChild>
            <w:div w:id="2022706307">
              <w:marLeft w:val="0"/>
              <w:marRight w:val="0"/>
              <w:marTop w:val="0"/>
              <w:marBottom w:val="0"/>
              <w:divBdr>
                <w:top w:val="none" w:sz="0" w:space="0" w:color="auto"/>
                <w:left w:val="none" w:sz="0" w:space="0" w:color="auto"/>
                <w:bottom w:val="none" w:sz="0" w:space="0" w:color="auto"/>
                <w:right w:val="none" w:sz="0" w:space="0" w:color="auto"/>
              </w:divBdr>
              <w:divsChild>
                <w:div w:id="894196165">
                  <w:marLeft w:val="0"/>
                  <w:marRight w:val="0"/>
                  <w:marTop w:val="0"/>
                  <w:marBottom w:val="0"/>
                  <w:divBdr>
                    <w:top w:val="none" w:sz="0" w:space="0" w:color="auto"/>
                    <w:left w:val="none" w:sz="0" w:space="0" w:color="auto"/>
                    <w:bottom w:val="none" w:sz="0" w:space="0" w:color="auto"/>
                    <w:right w:val="none" w:sz="0" w:space="0" w:color="auto"/>
                  </w:divBdr>
                  <w:divsChild>
                    <w:div w:id="380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78150842">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214295">
      <w:bodyDiv w:val="1"/>
      <w:marLeft w:val="0"/>
      <w:marRight w:val="0"/>
      <w:marTop w:val="0"/>
      <w:marBottom w:val="0"/>
      <w:divBdr>
        <w:top w:val="none" w:sz="0" w:space="0" w:color="auto"/>
        <w:left w:val="none" w:sz="0" w:space="0" w:color="auto"/>
        <w:bottom w:val="none" w:sz="0" w:space="0" w:color="auto"/>
        <w:right w:val="none" w:sz="0" w:space="0" w:color="auto"/>
      </w:divBdr>
    </w:div>
    <w:div w:id="493641010">
      <w:bodyDiv w:val="1"/>
      <w:marLeft w:val="0"/>
      <w:marRight w:val="0"/>
      <w:marTop w:val="0"/>
      <w:marBottom w:val="0"/>
      <w:divBdr>
        <w:top w:val="none" w:sz="0" w:space="0" w:color="auto"/>
        <w:left w:val="none" w:sz="0" w:space="0" w:color="auto"/>
        <w:bottom w:val="none" w:sz="0" w:space="0" w:color="auto"/>
        <w:right w:val="none" w:sz="0" w:space="0" w:color="auto"/>
      </w:divBdr>
      <w:divsChild>
        <w:div w:id="2075425971">
          <w:marLeft w:val="0"/>
          <w:marRight w:val="0"/>
          <w:marTop w:val="0"/>
          <w:marBottom w:val="0"/>
          <w:divBdr>
            <w:top w:val="none" w:sz="0" w:space="0" w:color="auto"/>
            <w:left w:val="none" w:sz="0" w:space="0" w:color="auto"/>
            <w:bottom w:val="none" w:sz="0" w:space="0" w:color="auto"/>
            <w:right w:val="none" w:sz="0" w:space="0" w:color="auto"/>
          </w:divBdr>
          <w:divsChild>
            <w:div w:id="205337403">
              <w:marLeft w:val="0"/>
              <w:marRight w:val="0"/>
              <w:marTop w:val="0"/>
              <w:marBottom w:val="0"/>
              <w:divBdr>
                <w:top w:val="none" w:sz="0" w:space="0" w:color="auto"/>
                <w:left w:val="none" w:sz="0" w:space="0" w:color="auto"/>
                <w:bottom w:val="none" w:sz="0" w:space="0" w:color="auto"/>
                <w:right w:val="none" w:sz="0" w:space="0" w:color="auto"/>
              </w:divBdr>
              <w:divsChild>
                <w:div w:id="1457597653">
                  <w:marLeft w:val="0"/>
                  <w:marRight w:val="0"/>
                  <w:marTop w:val="0"/>
                  <w:marBottom w:val="0"/>
                  <w:divBdr>
                    <w:top w:val="none" w:sz="0" w:space="0" w:color="auto"/>
                    <w:left w:val="none" w:sz="0" w:space="0" w:color="auto"/>
                    <w:bottom w:val="none" w:sz="0" w:space="0" w:color="auto"/>
                    <w:right w:val="none" w:sz="0" w:space="0" w:color="auto"/>
                  </w:divBdr>
                  <w:divsChild>
                    <w:div w:id="145216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3383649">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21301682">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074164726">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18734532">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12846565">
      <w:bodyDiv w:val="1"/>
      <w:marLeft w:val="0"/>
      <w:marRight w:val="0"/>
      <w:marTop w:val="0"/>
      <w:marBottom w:val="0"/>
      <w:divBdr>
        <w:top w:val="none" w:sz="0" w:space="0" w:color="auto"/>
        <w:left w:val="none" w:sz="0" w:space="0" w:color="auto"/>
        <w:bottom w:val="none" w:sz="0" w:space="0" w:color="auto"/>
        <w:right w:val="none" w:sz="0" w:space="0" w:color="auto"/>
      </w:divBdr>
    </w:div>
    <w:div w:id="512959422">
      <w:bodyDiv w:val="1"/>
      <w:marLeft w:val="0"/>
      <w:marRight w:val="0"/>
      <w:marTop w:val="0"/>
      <w:marBottom w:val="0"/>
      <w:divBdr>
        <w:top w:val="none" w:sz="0" w:space="0" w:color="auto"/>
        <w:left w:val="none" w:sz="0" w:space="0" w:color="auto"/>
        <w:bottom w:val="none" w:sz="0" w:space="0" w:color="auto"/>
        <w:right w:val="none" w:sz="0" w:space="0" w:color="auto"/>
      </w:divBdr>
    </w:div>
    <w:div w:id="519860012">
      <w:bodyDiv w:val="1"/>
      <w:marLeft w:val="0"/>
      <w:marRight w:val="0"/>
      <w:marTop w:val="0"/>
      <w:marBottom w:val="0"/>
      <w:divBdr>
        <w:top w:val="none" w:sz="0" w:space="0" w:color="auto"/>
        <w:left w:val="none" w:sz="0" w:space="0" w:color="auto"/>
        <w:bottom w:val="none" w:sz="0" w:space="0" w:color="auto"/>
        <w:right w:val="none" w:sz="0" w:space="0" w:color="auto"/>
      </w:divBdr>
      <w:divsChild>
        <w:div w:id="935869752">
          <w:marLeft w:val="0"/>
          <w:marRight w:val="0"/>
          <w:marTop w:val="0"/>
          <w:marBottom w:val="0"/>
          <w:divBdr>
            <w:top w:val="none" w:sz="0" w:space="0" w:color="auto"/>
            <w:left w:val="none" w:sz="0" w:space="0" w:color="auto"/>
            <w:bottom w:val="none" w:sz="0" w:space="0" w:color="auto"/>
            <w:right w:val="none" w:sz="0" w:space="0" w:color="auto"/>
          </w:divBdr>
          <w:divsChild>
            <w:div w:id="1469087117">
              <w:marLeft w:val="0"/>
              <w:marRight w:val="0"/>
              <w:marTop w:val="0"/>
              <w:marBottom w:val="0"/>
              <w:divBdr>
                <w:top w:val="none" w:sz="0" w:space="0" w:color="auto"/>
                <w:left w:val="none" w:sz="0" w:space="0" w:color="auto"/>
                <w:bottom w:val="none" w:sz="0" w:space="0" w:color="auto"/>
                <w:right w:val="none" w:sz="0" w:space="0" w:color="auto"/>
              </w:divBdr>
              <w:divsChild>
                <w:div w:id="1080370908">
                  <w:marLeft w:val="0"/>
                  <w:marRight w:val="0"/>
                  <w:marTop w:val="0"/>
                  <w:marBottom w:val="0"/>
                  <w:divBdr>
                    <w:top w:val="none" w:sz="0" w:space="0" w:color="auto"/>
                    <w:left w:val="none" w:sz="0" w:space="0" w:color="auto"/>
                    <w:bottom w:val="none" w:sz="0" w:space="0" w:color="auto"/>
                    <w:right w:val="none" w:sz="0" w:space="0" w:color="auto"/>
                  </w:divBdr>
                  <w:divsChild>
                    <w:div w:id="16900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701324343">
          <w:marLeft w:val="0"/>
          <w:marRight w:val="0"/>
          <w:marTop w:val="0"/>
          <w:marBottom w:val="0"/>
          <w:divBdr>
            <w:top w:val="none" w:sz="0" w:space="0" w:color="auto"/>
            <w:left w:val="none" w:sz="0" w:space="0" w:color="auto"/>
            <w:bottom w:val="none" w:sz="0" w:space="0" w:color="auto"/>
            <w:right w:val="none" w:sz="0" w:space="0" w:color="auto"/>
          </w:divBdr>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59361122">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69076510">
      <w:bodyDiv w:val="1"/>
      <w:marLeft w:val="0"/>
      <w:marRight w:val="0"/>
      <w:marTop w:val="0"/>
      <w:marBottom w:val="0"/>
      <w:divBdr>
        <w:top w:val="none" w:sz="0" w:space="0" w:color="auto"/>
        <w:left w:val="none" w:sz="0" w:space="0" w:color="auto"/>
        <w:bottom w:val="none" w:sz="0" w:space="0" w:color="auto"/>
        <w:right w:val="none" w:sz="0" w:space="0" w:color="auto"/>
      </w:divBdr>
    </w:div>
    <w:div w:id="581140375">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08127359">
      <w:bodyDiv w:val="1"/>
      <w:marLeft w:val="0"/>
      <w:marRight w:val="0"/>
      <w:marTop w:val="0"/>
      <w:marBottom w:val="0"/>
      <w:divBdr>
        <w:top w:val="none" w:sz="0" w:space="0" w:color="auto"/>
        <w:left w:val="none" w:sz="0" w:space="0" w:color="auto"/>
        <w:bottom w:val="none" w:sz="0" w:space="0" w:color="auto"/>
        <w:right w:val="none" w:sz="0" w:space="0" w:color="auto"/>
      </w:divBdr>
      <w:divsChild>
        <w:div w:id="1523393933">
          <w:marLeft w:val="0"/>
          <w:marRight w:val="0"/>
          <w:marTop w:val="0"/>
          <w:marBottom w:val="0"/>
          <w:divBdr>
            <w:top w:val="none" w:sz="0" w:space="0" w:color="auto"/>
            <w:left w:val="none" w:sz="0" w:space="0" w:color="auto"/>
            <w:bottom w:val="none" w:sz="0" w:space="0" w:color="auto"/>
            <w:right w:val="none" w:sz="0" w:space="0" w:color="auto"/>
          </w:divBdr>
          <w:divsChild>
            <w:div w:id="668682271">
              <w:marLeft w:val="0"/>
              <w:marRight w:val="0"/>
              <w:marTop w:val="0"/>
              <w:marBottom w:val="0"/>
              <w:divBdr>
                <w:top w:val="none" w:sz="0" w:space="0" w:color="auto"/>
                <w:left w:val="none" w:sz="0" w:space="0" w:color="auto"/>
                <w:bottom w:val="none" w:sz="0" w:space="0" w:color="auto"/>
                <w:right w:val="none" w:sz="0" w:space="0" w:color="auto"/>
              </w:divBdr>
              <w:divsChild>
                <w:div w:id="89994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66786160">
      <w:bodyDiv w:val="1"/>
      <w:marLeft w:val="0"/>
      <w:marRight w:val="0"/>
      <w:marTop w:val="0"/>
      <w:marBottom w:val="0"/>
      <w:divBdr>
        <w:top w:val="none" w:sz="0" w:space="0" w:color="auto"/>
        <w:left w:val="none" w:sz="0" w:space="0" w:color="auto"/>
        <w:bottom w:val="none" w:sz="0" w:space="0" w:color="auto"/>
        <w:right w:val="none" w:sz="0" w:space="0" w:color="auto"/>
      </w:divBdr>
    </w:div>
    <w:div w:id="670984687">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27996429">
      <w:bodyDiv w:val="1"/>
      <w:marLeft w:val="0"/>
      <w:marRight w:val="0"/>
      <w:marTop w:val="0"/>
      <w:marBottom w:val="0"/>
      <w:divBdr>
        <w:top w:val="none" w:sz="0" w:space="0" w:color="auto"/>
        <w:left w:val="none" w:sz="0" w:space="0" w:color="auto"/>
        <w:bottom w:val="none" w:sz="0" w:space="0" w:color="auto"/>
        <w:right w:val="none" w:sz="0" w:space="0" w:color="auto"/>
      </w:divBdr>
      <w:divsChild>
        <w:div w:id="1994790054">
          <w:marLeft w:val="0"/>
          <w:marRight w:val="0"/>
          <w:marTop w:val="0"/>
          <w:marBottom w:val="0"/>
          <w:divBdr>
            <w:top w:val="none" w:sz="0" w:space="0" w:color="auto"/>
            <w:left w:val="none" w:sz="0" w:space="0" w:color="auto"/>
            <w:bottom w:val="none" w:sz="0" w:space="0" w:color="auto"/>
            <w:right w:val="none" w:sz="0" w:space="0" w:color="auto"/>
          </w:divBdr>
          <w:divsChild>
            <w:div w:id="1492988414">
              <w:marLeft w:val="0"/>
              <w:marRight w:val="0"/>
              <w:marTop w:val="0"/>
              <w:marBottom w:val="0"/>
              <w:divBdr>
                <w:top w:val="none" w:sz="0" w:space="0" w:color="auto"/>
                <w:left w:val="none" w:sz="0" w:space="0" w:color="auto"/>
                <w:bottom w:val="none" w:sz="0" w:space="0" w:color="auto"/>
                <w:right w:val="none" w:sz="0" w:space="0" w:color="auto"/>
              </w:divBdr>
              <w:divsChild>
                <w:div w:id="6345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7657133">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2238690">
      <w:bodyDiv w:val="1"/>
      <w:marLeft w:val="0"/>
      <w:marRight w:val="0"/>
      <w:marTop w:val="0"/>
      <w:marBottom w:val="0"/>
      <w:divBdr>
        <w:top w:val="none" w:sz="0" w:space="0" w:color="auto"/>
        <w:left w:val="none" w:sz="0" w:space="0" w:color="auto"/>
        <w:bottom w:val="none" w:sz="0" w:space="0" w:color="auto"/>
        <w:right w:val="none" w:sz="0" w:space="0" w:color="auto"/>
      </w:divBdr>
      <w:divsChild>
        <w:div w:id="1005858410">
          <w:marLeft w:val="0"/>
          <w:marRight w:val="0"/>
          <w:marTop w:val="0"/>
          <w:marBottom w:val="0"/>
          <w:divBdr>
            <w:top w:val="none" w:sz="0" w:space="0" w:color="auto"/>
            <w:left w:val="none" w:sz="0" w:space="0" w:color="auto"/>
            <w:bottom w:val="none" w:sz="0" w:space="0" w:color="auto"/>
            <w:right w:val="none" w:sz="0" w:space="0" w:color="auto"/>
          </w:divBdr>
          <w:divsChild>
            <w:div w:id="874081206">
              <w:marLeft w:val="0"/>
              <w:marRight w:val="0"/>
              <w:marTop w:val="0"/>
              <w:marBottom w:val="0"/>
              <w:divBdr>
                <w:top w:val="none" w:sz="0" w:space="0" w:color="auto"/>
                <w:left w:val="none" w:sz="0" w:space="0" w:color="auto"/>
                <w:bottom w:val="none" w:sz="0" w:space="0" w:color="auto"/>
                <w:right w:val="none" w:sz="0" w:space="0" w:color="auto"/>
              </w:divBdr>
              <w:divsChild>
                <w:div w:id="129980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6798332">
      <w:bodyDiv w:val="1"/>
      <w:marLeft w:val="0"/>
      <w:marRight w:val="0"/>
      <w:marTop w:val="0"/>
      <w:marBottom w:val="0"/>
      <w:divBdr>
        <w:top w:val="none" w:sz="0" w:space="0" w:color="auto"/>
        <w:left w:val="none" w:sz="0" w:space="0" w:color="auto"/>
        <w:bottom w:val="none" w:sz="0" w:space="0" w:color="auto"/>
        <w:right w:val="none" w:sz="0" w:space="0" w:color="auto"/>
      </w:divBdr>
      <w:divsChild>
        <w:div w:id="642001577">
          <w:marLeft w:val="0"/>
          <w:marRight w:val="0"/>
          <w:marTop w:val="0"/>
          <w:marBottom w:val="0"/>
          <w:divBdr>
            <w:top w:val="none" w:sz="0" w:space="0" w:color="auto"/>
            <w:left w:val="none" w:sz="0" w:space="0" w:color="auto"/>
            <w:bottom w:val="none" w:sz="0" w:space="0" w:color="auto"/>
            <w:right w:val="none" w:sz="0" w:space="0" w:color="auto"/>
          </w:divBdr>
          <w:divsChild>
            <w:div w:id="1454715168">
              <w:marLeft w:val="0"/>
              <w:marRight w:val="0"/>
              <w:marTop w:val="0"/>
              <w:marBottom w:val="0"/>
              <w:divBdr>
                <w:top w:val="none" w:sz="0" w:space="0" w:color="auto"/>
                <w:left w:val="none" w:sz="0" w:space="0" w:color="auto"/>
                <w:bottom w:val="none" w:sz="0" w:space="0" w:color="auto"/>
                <w:right w:val="none" w:sz="0" w:space="0" w:color="auto"/>
              </w:divBdr>
              <w:divsChild>
                <w:div w:id="97394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34757641">
          <w:marLeft w:val="0"/>
          <w:marRight w:val="0"/>
          <w:marTop w:val="0"/>
          <w:marBottom w:val="0"/>
          <w:divBdr>
            <w:top w:val="none" w:sz="0" w:space="0" w:color="auto"/>
            <w:left w:val="none" w:sz="0" w:space="0" w:color="auto"/>
            <w:bottom w:val="none" w:sz="0" w:space="0" w:color="auto"/>
            <w:right w:val="none" w:sz="0" w:space="0" w:color="auto"/>
          </w:divBdr>
        </w:div>
        <w:div w:id="183327756">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315379722">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 w:id="1640528279">
              <w:marLeft w:val="0"/>
              <w:marRight w:val="0"/>
              <w:marTop w:val="0"/>
              <w:marBottom w:val="0"/>
              <w:divBdr>
                <w:top w:val="none" w:sz="0" w:space="0" w:color="auto"/>
                <w:left w:val="none" w:sz="0" w:space="0" w:color="auto"/>
                <w:bottom w:val="none" w:sz="0" w:space="0" w:color="auto"/>
                <w:right w:val="none" w:sz="0" w:space="0" w:color="auto"/>
              </w:divBdr>
            </w:div>
          </w:divsChild>
        </w:div>
        <w:div w:id="1856578142">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40311404">
      <w:bodyDiv w:val="1"/>
      <w:marLeft w:val="0"/>
      <w:marRight w:val="0"/>
      <w:marTop w:val="0"/>
      <w:marBottom w:val="0"/>
      <w:divBdr>
        <w:top w:val="none" w:sz="0" w:space="0" w:color="auto"/>
        <w:left w:val="none" w:sz="0" w:space="0" w:color="auto"/>
        <w:bottom w:val="none" w:sz="0" w:space="0" w:color="auto"/>
        <w:right w:val="none" w:sz="0" w:space="0" w:color="auto"/>
      </w:divBdr>
    </w:div>
    <w:div w:id="841503518">
      <w:bodyDiv w:val="1"/>
      <w:marLeft w:val="0"/>
      <w:marRight w:val="0"/>
      <w:marTop w:val="0"/>
      <w:marBottom w:val="0"/>
      <w:divBdr>
        <w:top w:val="none" w:sz="0" w:space="0" w:color="auto"/>
        <w:left w:val="none" w:sz="0" w:space="0" w:color="auto"/>
        <w:bottom w:val="none" w:sz="0" w:space="0" w:color="auto"/>
        <w:right w:val="none" w:sz="0" w:space="0" w:color="auto"/>
      </w:divBdr>
      <w:divsChild>
        <w:div w:id="1472594732">
          <w:marLeft w:val="0"/>
          <w:marRight w:val="0"/>
          <w:marTop w:val="0"/>
          <w:marBottom w:val="0"/>
          <w:divBdr>
            <w:top w:val="none" w:sz="0" w:space="0" w:color="auto"/>
            <w:left w:val="none" w:sz="0" w:space="0" w:color="auto"/>
            <w:bottom w:val="none" w:sz="0" w:space="0" w:color="auto"/>
            <w:right w:val="none" w:sz="0" w:space="0" w:color="auto"/>
          </w:divBdr>
          <w:divsChild>
            <w:div w:id="558857304">
              <w:marLeft w:val="0"/>
              <w:marRight w:val="0"/>
              <w:marTop w:val="0"/>
              <w:marBottom w:val="0"/>
              <w:divBdr>
                <w:top w:val="none" w:sz="0" w:space="0" w:color="auto"/>
                <w:left w:val="none" w:sz="0" w:space="0" w:color="auto"/>
                <w:bottom w:val="none" w:sz="0" w:space="0" w:color="auto"/>
                <w:right w:val="none" w:sz="0" w:space="0" w:color="auto"/>
              </w:divBdr>
              <w:divsChild>
                <w:div w:id="164450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30520">
      <w:bodyDiv w:val="1"/>
      <w:marLeft w:val="0"/>
      <w:marRight w:val="0"/>
      <w:marTop w:val="0"/>
      <w:marBottom w:val="0"/>
      <w:divBdr>
        <w:top w:val="none" w:sz="0" w:space="0" w:color="auto"/>
        <w:left w:val="none" w:sz="0" w:space="0" w:color="auto"/>
        <w:bottom w:val="none" w:sz="0" w:space="0" w:color="auto"/>
        <w:right w:val="none" w:sz="0" w:space="0" w:color="auto"/>
      </w:divBdr>
    </w:div>
    <w:div w:id="850337716">
      <w:bodyDiv w:val="1"/>
      <w:marLeft w:val="0"/>
      <w:marRight w:val="0"/>
      <w:marTop w:val="0"/>
      <w:marBottom w:val="0"/>
      <w:divBdr>
        <w:top w:val="none" w:sz="0" w:space="0" w:color="auto"/>
        <w:left w:val="none" w:sz="0" w:space="0" w:color="auto"/>
        <w:bottom w:val="none" w:sz="0" w:space="0" w:color="auto"/>
        <w:right w:val="none" w:sz="0" w:space="0" w:color="auto"/>
      </w:divBdr>
      <w:divsChild>
        <w:div w:id="1303539871">
          <w:marLeft w:val="0"/>
          <w:marRight w:val="0"/>
          <w:marTop w:val="0"/>
          <w:marBottom w:val="0"/>
          <w:divBdr>
            <w:top w:val="none" w:sz="0" w:space="0" w:color="auto"/>
            <w:left w:val="none" w:sz="0" w:space="0" w:color="auto"/>
            <w:bottom w:val="none" w:sz="0" w:space="0" w:color="auto"/>
            <w:right w:val="none" w:sz="0" w:space="0" w:color="auto"/>
          </w:divBdr>
          <w:divsChild>
            <w:div w:id="494688211">
              <w:marLeft w:val="0"/>
              <w:marRight w:val="0"/>
              <w:marTop w:val="0"/>
              <w:marBottom w:val="0"/>
              <w:divBdr>
                <w:top w:val="none" w:sz="0" w:space="0" w:color="auto"/>
                <w:left w:val="none" w:sz="0" w:space="0" w:color="auto"/>
                <w:bottom w:val="none" w:sz="0" w:space="0" w:color="auto"/>
                <w:right w:val="none" w:sz="0" w:space="0" w:color="auto"/>
              </w:divBdr>
              <w:divsChild>
                <w:div w:id="1644038439">
                  <w:marLeft w:val="0"/>
                  <w:marRight w:val="0"/>
                  <w:marTop w:val="0"/>
                  <w:marBottom w:val="0"/>
                  <w:divBdr>
                    <w:top w:val="none" w:sz="0" w:space="0" w:color="auto"/>
                    <w:left w:val="none" w:sz="0" w:space="0" w:color="auto"/>
                    <w:bottom w:val="none" w:sz="0" w:space="0" w:color="auto"/>
                    <w:right w:val="none" w:sz="0" w:space="0" w:color="auto"/>
                  </w:divBdr>
                  <w:divsChild>
                    <w:div w:id="9324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8670">
      <w:bodyDiv w:val="1"/>
      <w:marLeft w:val="0"/>
      <w:marRight w:val="0"/>
      <w:marTop w:val="0"/>
      <w:marBottom w:val="0"/>
      <w:divBdr>
        <w:top w:val="none" w:sz="0" w:space="0" w:color="auto"/>
        <w:left w:val="none" w:sz="0" w:space="0" w:color="auto"/>
        <w:bottom w:val="none" w:sz="0" w:space="0" w:color="auto"/>
        <w:right w:val="none" w:sz="0" w:space="0" w:color="auto"/>
      </w:divBdr>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4200762">
      <w:bodyDiv w:val="1"/>
      <w:marLeft w:val="0"/>
      <w:marRight w:val="0"/>
      <w:marTop w:val="0"/>
      <w:marBottom w:val="0"/>
      <w:divBdr>
        <w:top w:val="none" w:sz="0" w:space="0" w:color="auto"/>
        <w:left w:val="none" w:sz="0" w:space="0" w:color="auto"/>
        <w:bottom w:val="none" w:sz="0" w:space="0" w:color="auto"/>
        <w:right w:val="none" w:sz="0" w:space="0" w:color="auto"/>
      </w:divBdr>
    </w:div>
    <w:div w:id="894463004">
      <w:bodyDiv w:val="1"/>
      <w:marLeft w:val="0"/>
      <w:marRight w:val="0"/>
      <w:marTop w:val="0"/>
      <w:marBottom w:val="0"/>
      <w:divBdr>
        <w:top w:val="none" w:sz="0" w:space="0" w:color="auto"/>
        <w:left w:val="none" w:sz="0" w:space="0" w:color="auto"/>
        <w:bottom w:val="none" w:sz="0" w:space="0" w:color="auto"/>
        <w:right w:val="none" w:sz="0" w:space="0" w:color="auto"/>
      </w:divBdr>
      <w:divsChild>
        <w:div w:id="68617061">
          <w:marLeft w:val="0"/>
          <w:marRight w:val="0"/>
          <w:marTop w:val="0"/>
          <w:marBottom w:val="0"/>
          <w:divBdr>
            <w:top w:val="none" w:sz="0" w:space="0" w:color="auto"/>
            <w:left w:val="none" w:sz="0" w:space="0" w:color="auto"/>
            <w:bottom w:val="none" w:sz="0" w:space="0" w:color="auto"/>
            <w:right w:val="none" w:sz="0" w:space="0" w:color="auto"/>
          </w:divBdr>
          <w:divsChild>
            <w:div w:id="1053651746">
              <w:marLeft w:val="0"/>
              <w:marRight w:val="0"/>
              <w:marTop w:val="0"/>
              <w:marBottom w:val="0"/>
              <w:divBdr>
                <w:top w:val="none" w:sz="0" w:space="0" w:color="auto"/>
                <w:left w:val="none" w:sz="0" w:space="0" w:color="auto"/>
                <w:bottom w:val="none" w:sz="0" w:space="0" w:color="auto"/>
                <w:right w:val="none" w:sz="0" w:space="0" w:color="auto"/>
              </w:divBdr>
              <w:divsChild>
                <w:div w:id="443117741">
                  <w:marLeft w:val="0"/>
                  <w:marRight w:val="0"/>
                  <w:marTop w:val="0"/>
                  <w:marBottom w:val="0"/>
                  <w:divBdr>
                    <w:top w:val="none" w:sz="0" w:space="0" w:color="auto"/>
                    <w:left w:val="none" w:sz="0" w:space="0" w:color="auto"/>
                    <w:bottom w:val="none" w:sz="0" w:space="0" w:color="auto"/>
                    <w:right w:val="none" w:sz="0" w:space="0" w:color="auto"/>
                  </w:divBdr>
                  <w:divsChild>
                    <w:div w:id="30292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639335">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430862631">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149979592">
              <w:marLeft w:val="0"/>
              <w:marRight w:val="0"/>
              <w:marTop w:val="0"/>
              <w:marBottom w:val="0"/>
              <w:divBdr>
                <w:top w:val="none" w:sz="0" w:space="0" w:color="auto"/>
                <w:left w:val="none" w:sz="0" w:space="0" w:color="auto"/>
                <w:bottom w:val="none" w:sz="0" w:space="0" w:color="auto"/>
                <w:right w:val="none" w:sz="0" w:space="0" w:color="auto"/>
              </w:divBdr>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87085">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617834">
          <w:marLeft w:val="0"/>
          <w:marRight w:val="0"/>
          <w:marTop w:val="0"/>
          <w:marBottom w:val="0"/>
          <w:divBdr>
            <w:top w:val="none" w:sz="0" w:space="0" w:color="auto"/>
            <w:left w:val="none" w:sz="0" w:space="0" w:color="auto"/>
            <w:bottom w:val="none" w:sz="0" w:space="0" w:color="auto"/>
            <w:right w:val="none" w:sz="0" w:space="0" w:color="auto"/>
          </w:divBdr>
        </w:div>
        <w:div w:id="2016032639">
          <w:marLeft w:val="0"/>
          <w:marRight w:val="0"/>
          <w:marTop w:val="0"/>
          <w:marBottom w:val="0"/>
          <w:divBdr>
            <w:top w:val="none" w:sz="0" w:space="0" w:color="auto"/>
            <w:left w:val="none" w:sz="0" w:space="0" w:color="auto"/>
            <w:bottom w:val="none" w:sz="0" w:space="0" w:color="auto"/>
            <w:right w:val="none" w:sz="0" w:space="0" w:color="auto"/>
          </w:divBdr>
        </w:div>
      </w:divsChild>
    </w:div>
    <w:div w:id="912814326">
      <w:bodyDiv w:val="1"/>
      <w:marLeft w:val="0"/>
      <w:marRight w:val="0"/>
      <w:marTop w:val="0"/>
      <w:marBottom w:val="0"/>
      <w:divBdr>
        <w:top w:val="none" w:sz="0" w:space="0" w:color="auto"/>
        <w:left w:val="none" w:sz="0" w:space="0" w:color="auto"/>
        <w:bottom w:val="none" w:sz="0" w:space="0" w:color="auto"/>
        <w:right w:val="none" w:sz="0" w:space="0" w:color="auto"/>
      </w:divBdr>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3296817">
      <w:bodyDiv w:val="1"/>
      <w:marLeft w:val="0"/>
      <w:marRight w:val="0"/>
      <w:marTop w:val="0"/>
      <w:marBottom w:val="0"/>
      <w:divBdr>
        <w:top w:val="none" w:sz="0" w:space="0" w:color="auto"/>
        <w:left w:val="none" w:sz="0" w:space="0" w:color="auto"/>
        <w:bottom w:val="none" w:sz="0" w:space="0" w:color="auto"/>
        <w:right w:val="none" w:sz="0" w:space="0" w:color="auto"/>
      </w:divBdr>
    </w:div>
    <w:div w:id="925843760">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1285824">
      <w:bodyDiv w:val="1"/>
      <w:marLeft w:val="0"/>
      <w:marRight w:val="0"/>
      <w:marTop w:val="0"/>
      <w:marBottom w:val="0"/>
      <w:divBdr>
        <w:top w:val="none" w:sz="0" w:space="0" w:color="auto"/>
        <w:left w:val="none" w:sz="0" w:space="0" w:color="auto"/>
        <w:bottom w:val="none" w:sz="0" w:space="0" w:color="auto"/>
        <w:right w:val="none" w:sz="0" w:space="0" w:color="auto"/>
      </w:divBdr>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97680798">
              <w:marLeft w:val="0"/>
              <w:marRight w:val="0"/>
              <w:marTop w:val="0"/>
              <w:marBottom w:val="0"/>
              <w:divBdr>
                <w:top w:val="none" w:sz="0" w:space="0" w:color="auto"/>
                <w:left w:val="none" w:sz="0" w:space="0" w:color="auto"/>
                <w:bottom w:val="none" w:sz="0" w:space="0" w:color="auto"/>
                <w:right w:val="none" w:sz="0" w:space="0" w:color="auto"/>
              </w:divBdr>
            </w:div>
            <w:div w:id="1104544632">
              <w:marLeft w:val="0"/>
              <w:marRight w:val="0"/>
              <w:marTop w:val="0"/>
              <w:marBottom w:val="0"/>
              <w:divBdr>
                <w:top w:val="none" w:sz="0" w:space="0" w:color="auto"/>
                <w:left w:val="none" w:sz="0" w:space="0" w:color="auto"/>
                <w:bottom w:val="none" w:sz="0" w:space="0" w:color="auto"/>
                <w:right w:val="none" w:sz="0" w:space="0" w:color="auto"/>
              </w:divBdr>
              <w:divsChild>
                <w:div w:id="244340040">
                  <w:marLeft w:val="0"/>
                  <w:marRight w:val="0"/>
                  <w:marTop w:val="0"/>
                  <w:marBottom w:val="0"/>
                  <w:divBdr>
                    <w:top w:val="none" w:sz="0" w:space="0" w:color="auto"/>
                    <w:left w:val="none" w:sz="0" w:space="0" w:color="auto"/>
                    <w:bottom w:val="none" w:sz="0" w:space="0" w:color="auto"/>
                    <w:right w:val="none" w:sz="0" w:space="0" w:color="auto"/>
                  </w:divBdr>
                </w:div>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30421742">
                  <w:marLeft w:val="0"/>
                  <w:marRight w:val="0"/>
                  <w:marTop w:val="0"/>
                  <w:marBottom w:val="0"/>
                  <w:divBdr>
                    <w:top w:val="none" w:sz="0" w:space="0" w:color="auto"/>
                    <w:left w:val="none" w:sz="0" w:space="0" w:color="auto"/>
                    <w:bottom w:val="none" w:sz="0" w:space="0" w:color="auto"/>
                    <w:right w:val="none" w:sz="0" w:space="0" w:color="auto"/>
                  </w:divBdr>
                </w:div>
                <w:div w:id="544874625">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91754144">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7260892">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sChild>
    </w:div>
    <w:div w:id="1025904290">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86416888">
      <w:bodyDiv w:val="1"/>
      <w:marLeft w:val="0"/>
      <w:marRight w:val="0"/>
      <w:marTop w:val="0"/>
      <w:marBottom w:val="0"/>
      <w:divBdr>
        <w:top w:val="none" w:sz="0" w:space="0" w:color="auto"/>
        <w:left w:val="none" w:sz="0" w:space="0" w:color="auto"/>
        <w:bottom w:val="none" w:sz="0" w:space="0" w:color="auto"/>
        <w:right w:val="none" w:sz="0" w:space="0" w:color="auto"/>
      </w:divBdr>
    </w:div>
    <w:div w:id="1102533683">
      <w:bodyDiv w:val="1"/>
      <w:marLeft w:val="0"/>
      <w:marRight w:val="0"/>
      <w:marTop w:val="0"/>
      <w:marBottom w:val="0"/>
      <w:divBdr>
        <w:top w:val="none" w:sz="0" w:space="0" w:color="auto"/>
        <w:left w:val="none" w:sz="0" w:space="0" w:color="auto"/>
        <w:bottom w:val="none" w:sz="0" w:space="0" w:color="auto"/>
        <w:right w:val="none" w:sz="0" w:space="0" w:color="auto"/>
      </w:divBdr>
      <w:divsChild>
        <w:div w:id="937952928">
          <w:marLeft w:val="0"/>
          <w:marRight w:val="0"/>
          <w:marTop w:val="0"/>
          <w:marBottom w:val="0"/>
          <w:divBdr>
            <w:top w:val="none" w:sz="0" w:space="0" w:color="auto"/>
            <w:left w:val="none" w:sz="0" w:space="0" w:color="auto"/>
            <w:bottom w:val="none" w:sz="0" w:space="0" w:color="auto"/>
            <w:right w:val="none" w:sz="0" w:space="0" w:color="auto"/>
          </w:divBdr>
          <w:divsChild>
            <w:div w:id="266161672">
              <w:marLeft w:val="0"/>
              <w:marRight w:val="0"/>
              <w:marTop w:val="0"/>
              <w:marBottom w:val="0"/>
              <w:divBdr>
                <w:top w:val="none" w:sz="0" w:space="0" w:color="auto"/>
                <w:left w:val="none" w:sz="0" w:space="0" w:color="auto"/>
                <w:bottom w:val="none" w:sz="0" w:space="0" w:color="auto"/>
                <w:right w:val="none" w:sz="0" w:space="0" w:color="auto"/>
              </w:divBdr>
              <w:divsChild>
                <w:div w:id="1082483636">
                  <w:marLeft w:val="0"/>
                  <w:marRight w:val="0"/>
                  <w:marTop w:val="0"/>
                  <w:marBottom w:val="0"/>
                  <w:divBdr>
                    <w:top w:val="none" w:sz="0" w:space="0" w:color="auto"/>
                    <w:left w:val="none" w:sz="0" w:space="0" w:color="auto"/>
                    <w:bottom w:val="none" w:sz="0" w:space="0" w:color="auto"/>
                    <w:right w:val="none" w:sz="0" w:space="0" w:color="auto"/>
                  </w:divBdr>
                  <w:divsChild>
                    <w:div w:id="167137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08046331">
      <w:bodyDiv w:val="1"/>
      <w:marLeft w:val="0"/>
      <w:marRight w:val="0"/>
      <w:marTop w:val="0"/>
      <w:marBottom w:val="0"/>
      <w:divBdr>
        <w:top w:val="none" w:sz="0" w:space="0" w:color="auto"/>
        <w:left w:val="none" w:sz="0" w:space="0" w:color="auto"/>
        <w:bottom w:val="none" w:sz="0" w:space="0" w:color="auto"/>
        <w:right w:val="none" w:sz="0" w:space="0" w:color="auto"/>
      </w:divBdr>
      <w:divsChild>
        <w:div w:id="1363172650">
          <w:marLeft w:val="0"/>
          <w:marRight w:val="0"/>
          <w:marTop w:val="0"/>
          <w:marBottom w:val="0"/>
          <w:divBdr>
            <w:top w:val="none" w:sz="0" w:space="0" w:color="auto"/>
            <w:left w:val="none" w:sz="0" w:space="0" w:color="auto"/>
            <w:bottom w:val="none" w:sz="0" w:space="0" w:color="auto"/>
            <w:right w:val="none" w:sz="0" w:space="0" w:color="auto"/>
          </w:divBdr>
          <w:divsChild>
            <w:div w:id="1155224784">
              <w:marLeft w:val="0"/>
              <w:marRight w:val="0"/>
              <w:marTop w:val="0"/>
              <w:marBottom w:val="0"/>
              <w:divBdr>
                <w:top w:val="none" w:sz="0" w:space="0" w:color="auto"/>
                <w:left w:val="none" w:sz="0" w:space="0" w:color="auto"/>
                <w:bottom w:val="none" w:sz="0" w:space="0" w:color="auto"/>
                <w:right w:val="none" w:sz="0" w:space="0" w:color="auto"/>
              </w:divBdr>
              <w:divsChild>
                <w:div w:id="160584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715178">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4709385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1649574">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2572790">
      <w:bodyDiv w:val="1"/>
      <w:marLeft w:val="0"/>
      <w:marRight w:val="0"/>
      <w:marTop w:val="0"/>
      <w:marBottom w:val="0"/>
      <w:divBdr>
        <w:top w:val="none" w:sz="0" w:space="0" w:color="auto"/>
        <w:left w:val="none" w:sz="0" w:space="0" w:color="auto"/>
        <w:bottom w:val="none" w:sz="0" w:space="0" w:color="auto"/>
        <w:right w:val="none" w:sz="0" w:space="0" w:color="auto"/>
      </w:divBdr>
    </w:div>
    <w:div w:id="1213425965">
      <w:bodyDiv w:val="1"/>
      <w:marLeft w:val="0"/>
      <w:marRight w:val="0"/>
      <w:marTop w:val="0"/>
      <w:marBottom w:val="0"/>
      <w:divBdr>
        <w:top w:val="none" w:sz="0" w:space="0" w:color="auto"/>
        <w:left w:val="none" w:sz="0" w:space="0" w:color="auto"/>
        <w:bottom w:val="none" w:sz="0" w:space="0" w:color="auto"/>
        <w:right w:val="none" w:sz="0" w:space="0" w:color="auto"/>
      </w:divBdr>
      <w:divsChild>
        <w:div w:id="1898123514">
          <w:marLeft w:val="0"/>
          <w:marRight w:val="0"/>
          <w:marTop w:val="0"/>
          <w:marBottom w:val="0"/>
          <w:divBdr>
            <w:top w:val="none" w:sz="0" w:space="0" w:color="auto"/>
            <w:left w:val="none" w:sz="0" w:space="0" w:color="auto"/>
            <w:bottom w:val="none" w:sz="0" w:space="0" w:color="auto"/>
            <w:right w:val="none" w:sz="0" w:space="0" w:color="auto"/>
          </w:divBdr>
          <w:divsChild>
            <w:div w:id="577178891">
              <w:marLeft w:val="0"/>
              <w:marRight w:val="0"/>
              <w:marTop w:val="0"/>
              <w:marBottom w:val="0"/>
              <w:divBdr>
                <w:top w:val="none" w:sz="0" w:space="0" w:color="auto"/>
                <w:left w:val="none" w:sz="0" w:space="0" w:color="auto"/>
                <w:bottom w:val="none" w:sz="0" w:space="0" w:color="auto"/>
                <w:right w:val="none" w:sz="0" w:space="0" w:color="auto"/>
              </w:divBdr>
              <w:divsChild>
                <w:div w:id="1346323552">
                  <w:marLeft w:val="0"/>
                  <w:marRight w:val="0"/>
                  <w:marTop w:val="0"/>
                  <w:marBottom w:val="0"/>
                  <w:divBdr>
                    <w:top w:val="none" w:sz="0" w:space="0" w:color="auto"/>
                    <w:left w:val="none" w:sz="0" w:space="0" w:color="auto"/>
                    <w:bottom w:val="none" w:sz="0" w:space="0" w:color="auto"/>
                    <w:right w:val="none" w:sz="0" w:space="0" w:color="auto"/>
                  </w:divBdr>
                  <w:divsChild>
                    <w:div w:id="53616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27375474">
      <w:bodyDiv w:val="1"/>
      <w:marLeft w:val="0"/>
      <w:marRight w:val="0"/>
      <w:marTop w:val="0"/>
      <w:marBottom w:val="0"/>
      <w:divBdr>
        <w:top w:val="none" w:sz="0" w:space="0" w:color="auto"/>
        <w:left w:val="none" w:sz="0" w:space="0" w:color="auto"/>
        <w:bottom w:val="none" w:sz="0" w:space="0" w:color="auto"/>
        <w:right w:val="none" w:sz="0" w:space="0" w:color="auto"/>
      </w:divBdr>
    </w:div>
    <w:div w:id="1246646857">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09088797">
      <w:bodyDiv w:val="1"/>
      <w:marLeft w:val="0"/>
      <w:marRight w:val="0"/>
      <w:marTop w:val="0"/>
      <w:marBottom w:val="0"/>
      <w:divBdr>
        <w:top w:val="none" w:sz="0" w:space="0" w:color="auto"/>
        <w:left w:val="none" w:sz="0" w:space="0" w:color="auto"/>
        <w:bottom w:val="none" w:sz="0" w:space="0" w:color="auto"/>
        <w:right w:val="none" w:sz="0" w:space="0" w:color="auto"/>
      </w:divBdr>
    </w:div>
    <w:div w:id="1312295347">
      <w:bodyDiv w:val="1"/>
      <w:marLeft w:val="0"/>
      <w:marRight w:val="0"/>
      <w:marTop w:val="0"/>
      <w:marBottom w:val="0"/>
      <w:divBdr>
        <w:top w:val="none" w:sz="0" w:space="0" w:color="auto"/>
        <w:left w:val="none" w:sz="0" w:space="0" w:color="auto"/>
        <w:bottom w:val="none" w:sz="0" w:space="0" w:color="auto"/>
        <w:right w:val="none" w:sz="0" w:space="0" w:color="auto"/>
      </w:divBdr>
    </w:div>
    <w:div w:id="1314288308">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20426134">
      <w:bodyDiv w:val="1"/>
      <w:marLeft w:val="0"/>
      <w:marRight w:val="0"/>
      <w:marTop w:val="0"/>
      <w:marBottom w:val="0"/>
      <w:divBdr>
        <w:top w:val="none" w:sz="0" w:space="0" w:color="auto"/>
        <w:left w:val="none" w:sz="0" w:space="0" w:color="auto"/>
        <w:bottom w:val="none" w:sz="0" w:space="0" w:color="auto"/>
        <w:right w:val="none" w:sz="0" w:space="0" w:color="auto"/>
      </w:divBdr>
    </w:div>
    <w:div w:id="1327973237">
      <w:bodyDiv w:val="1"/>
      <w:marLeft w:val="0"/>
      <w:marRight w:val="0"/>
      <w:marTop w:val="0"/>
      <w:marBottom w:val="0"/>
      <w:divBdr>
        <w:top w:val="none" w:sz="0" w:space="0" w:color="auto"/>
        <w:left w:val="none" w:sz="0" w:space="0" w:color="auto"/>
        <w:bottom w:val="none" w:sz="0" w:space="0" w:color="auto"/>
        <w:right w:val="none" w:sz="0" w:space="0" w:color="auto"/>
      </w:divBdr>
    </w:div>
    <w:div w:id="1329864676">
      <w:bodyDiv w:val="1"/>
      <w:marLeft w:val="0"/>
      <w:marRight w:val="0"/>
      <w:marTop w:val="0"/>
      <w:marBottom w:val="0"/>
      <w:divBdr>
        <w:top w:val="none" w:sz="0" w:space="0" w:color="auto"/>
        <w:left w:val="none" w:sz="0" w:space="0" w:color="auto"/>
        <w:bottom w:val="none" w:sz="0" w:space="0" w:color="auto"/>
        <w:right w:val="none" w:sz="0" w:space="0" w:color="auto"/>
      </w:divBdr>
      <w:divsChild>
        <w:div w:id="385421705">
          <w:marLeft w:val="0"/>
          <w:marRight w:val="0"/>
          <w:marTop w:val="0"/>
          <w:marBottom w:val="0"/>
          <w:divBdr>
            <w:top w:val="none" w:sz="0" w:space="0" w:color="auto"/>
            <w:left w:val="none" w:sz="0" w:space="0" w:color="auto"/>
            <w:bottom w:val="none" w:sz="0" w:space="0" w:color="auto"/>
            <w:right w:val="none" w:sz="0" w:space="0" w:color="auto"/>
          </w:divBdr>
          <w:divsChild>
            <w:div w:id="17966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213872">
      <w:bodyDiv w:val="1"/>
      <w:marLeft w:val="0"/>
      <w:marRight w:val="0"/>
      <w:marTop w:val="0"/>
      <w:marBottom w:val="0"/>
      <w:divBdr>
        <w:top w:val="none" w:sz="0" w:space="0" w:color="auto"/>
        <w:left w:val="none" w:sz="0" w:space="0" w:color="auto"/>
        <w:bottom w:val="none" w:sz="0" w:space="0" w:color="auto"/>
        <w:right w:val="none" w:sz="0" w:space="0" w:color="auto"/>
      </w:divBdr>
      <w:divsChild>
        <w:div w:id="694817135">
          <w:marLeft w:val="0"/>
          <w:marRight w:val="0"/>
          <w:marTop w:val="0"/>
          <w:marBottom w:val="0"/>
          <w:divBdr>
            <w:top w:val="none" w:sz="0" w:space="0" w:color="auto"/>
            <w:left w:val="none" w:sz="0" w:space="0" w:color="auto"/>
            <w:bottom w:val="none" w:sz="0" w:space="0" w:color="auto"/>
            <w:right w:val="none" w:sz="0" w:space="0" w:color="auto"/>
          </w:divBdr>
          <w:divsChild>
            <w:div w:id="1524246835">
              <w:marLeft w:val="0"/>
              <w:marRight w:val="0"/>
              <w:marTop w:val="0"/>
              <w:marBottom w:val="0"/>
              <w:divBdr>
                <w:top w:val="none" w:sz="0" w:space="0" w:color="auto"/>
                <w:left w:val="none" w:sz="0" w:space="0" w:color="auto"/>
                <w:bottom w:val="none" w:sz="0" w:space="0" w:color="auto"/>
                <w:right w:val="none" w:sz="0" w:space="0" w:color="auto"/>
              </w:divBdr>
              <w:divsChild>
                <w:div w:id="667445988">
                  <w:marLeft w:val="0"/>
                  <w:marRight w:val="0"/>
                  <w:marTop w:val="0"/>
                  <w:marBottom w:val="0"/>
                  <w:divBdr>
                    <w:top w:val="none" w:sz="0" w:space="0" w:color="auto"/>
                    <w:left w:val="none" w:sz="0" w:space="0" w:color="auto"/>
                    <w:bottom w:val="none" w:sz="0" w:space="0" w:color="auto"/>
                    <w:right w:val="none" w:sz="0" w:space="0" w:color="auto"/>
                  </w:divBdr>
                  <w:divsChild>
                    <w:div w:id="178758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3345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135342158">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631448889">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01537589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266958615">
              <w:marLeft w:val="0"/>
              <w:marRight w:val="0"/>
              <w:marTop w:val="0"/>
              <w:marBottom w:val="0"/>
              <w:divBdr>
                <w:top w:val="none" w:sz="0" w:space="0" w:color="auto"/>
                <w:left w:val="none" w:sz="0" w:space="0" w:color="auto"/>
                <w:bottom w:val="none" w:sz="0" w:space="0" w:color="auto"/>
                <w:right w:val="none" w:sz="0" w:space="0" w:color="auto"/>
              </w:divBdr>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376343">
      <w:bodyDiv w:val="1"/>
      <w:marLeft w:val="0"/>
      <w:marRight w:val="0"/>
      <w:marTop w:val="0"/>
      <w:marBottom w:val="0"/>
      <w:divBdr>
        <w:top w:val="none" w:sz="0" w:space="0" w:color="auto"/>
        <w:left w:val="none" w:sz="0" w:space="0" w:color="auto"/>
        <w:bottom w:val="none" w:sz="0" w:space="0" w:color="auto"/>
        <w:right w:val="none" w:sz="0" w:space="0" w:color="auto"/>
      </w:divBdr>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48960988">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8990800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7138254">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6140219">
      <w:bodyDiv w:val="1"/>
      <w:marLeft w:val="0"/>
      <w:marRight w:val="0"/>
      <w:marTop w:val="0"/>
      <w:marBottom w:val="0"/>
      <w:divBdr>
        <w:top w:val="none" w:sz="0" w:space="0" w:color="auto"/>
        <w:left w:val="none" w:sz="0" w:space="0" w:color="auto"/>
        <w:bottom w:val="none" w:sz="0" w:space="0" w:color="auto"/>
        <w:right w:val="none" w:sz="0" w:space="0" w:color="auto"/>
      </w:divBdr>
    </w:div>
    <w:div w:id="1573925530">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627735588">
                  <w:marLeft w:val="0"/>
                  <w:marRight w:val="0"/>
                  <w:marTop w:val="0"/>
                  <w:marBottom w:val="0"/>
                  <w:divBdr>
                    <w:top w:val="none" w:sz="0" w:space="0" w:color="auto"/>
                    <w:left w:val="none" w:sz="0" w:space="0" w:color="auto"/>
                    <w:bottom w:val="none" w:sz="0" w:space="0" w:color="auto"/>
                    <w:right w:val="none" w:sz="0" w:space="0" w:color="auto"/>
                  </w:divBdr>
                </w:div>
                <w:div w:id="198076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121466798">
                  <w:marLeft w:val="0"/>
                  <w:marRight w:val="0"/>
                  <w:marTop w:val="0"/>
                  <w:marBottom w:val="0"/>
                  <w:divBdr>
                    <w:top w:val="none" w:sz="0" w:space="0" w:color="auto"/>
                    <w:left w:val="none" w:sz="0" w:space="0" w:color="auto"/>
                    <w:bottom w:val="none" w:sz="0" w:space="0" w:color="auto"/>
                    <w:right w:val="none" w:sz="0" w:space="0" w:color="auto"/>
                  </w:divBdr>
                </w:div>
                <w:div w:id="3197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0132949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0284887">
      <w:bodyDiv w:val="1"/>
      <w:marLeft w:val="0"/>
      <w:marRight w:val="0"/>
      <w:marTop w:val="0"/>
      <w:marBottom w:val="0"/>
      <w:divBdr>
        <w:top w:val="none" w:sz="0" w:space="0" w:color="auto"/>
        <w:left w:val="none" w:sz="0" w:space="0" w:color="auto"/>
        <w:bottom w:val="none" w:sz="0" w:space="0" w:color="auto"/>
        <w:right w:val="none" w:sz="0" w:space="0" w:color="auto"/>
      </w:divBdr>
      <w:divsChild>
        <w:div w:id="927079769">
          <w:marLeft w:val="0"/>
          <w:marRight w:val="0"/>
          <w:marTop w:val="0"/>
          <w:marBottom w:val="0"/>
          <w:divBdr>
            <w:top w:val="none" w:sz="0" w:space="0" w:color="auto"/>
            <w:left w:val="none" w:sz="0" w:space="0" w:color="auto"/>
            <w:bottom w:val="none" w:sz="0" w:space="0" w:color="auto"/>
            <w:right w:val="none" w:sz="0" w:space="0" w:color="auto"/>
          </w:divBdr>
          <w:divsChild>
            <w:div w:id="1644701967">
              <w:marLeft w:val="0"/>
              <w:marRight w:val="0"/>
              <w:marTop w:val="0"/>
              <w:marBottom w:val="0"/>
              <w:divBdr>
                <w:top w:val="none" w:sz="0" w:space="0" w:color="auto"/>
                <w:left w:val="none" w:sz="0" w:space="0" w:color="auto"/>
                <w:bottom w:val="none" w:sz="0" w:space="0" w:color="auto"/>
                <w:right w:val="none" w:sz="0" w:space="0" w:color="auto"/>
              </w:divBdr>
              <w:divsChild>
                <w:div w:id="371923142">
                  <w:marLeft w:val="0"/>
                  <w:marRight w:val="0"/>
                  <w:marTop w:val="0"/>
                  <w:marBottom w:val="0"/>
                  <w:divBdr>
                    <w:top w:val="none" w:sz="0" w:space="0" w:color="auto"/>
                    <w:left w:val="none" w:sz="0" w:space="0" w:color="auto"/>
                    <w:bottom w:val="none" w:sz="0" w:space="0" w:color="auto"/>
                    <w:right w:val="none" w:sz="0" w:space="0" w:color="auto"/>
                  </w:divBdr>
                  <w:divsChild>
                    <w:div w:id="195251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3193784">
      <w:bodyDiv w:val="1"/>
      <w:marLeft w:val="0"/>
      <w:marRight w:val="0"/>
      <w:marTop w:val="0"/>
      <w:marBottom w:val="0"/>
      <w:divBdr>
        <w:top w:val="none" w:sz="0" w:space="0" w:color="auto"/>
        <w:left w:val="none" w:sz="0" w:space="0" w:color="auto"/>
        <w:bottom w:val="none" w:sz="0" w:space="0" w:color="auto"/>
        <w:right w:val="none" w:sz="0" w:space="0" w:color="auto"/>
      </w:divBdr>
      <w:divsChild>
        <w:div w:id="1417903108">
          <w:marLeft w:val="0"/>
          <w:marRight w:val="0"/>
          <w:marTop w:val="0"/>
          <w:marBottom w:val="0"/>
          <w:divBdr>
            <w:top w:val="none" w:sz="0" w:space="0" w:color="auto"/>
            <w:left w:val="none" w:sz="0" w:space="0" w:color="auto"/>
            <w:bottom w:val="none" w:sz="0" w:space="0" w:color="auto"/>
            <w:right w:val="none" w:sz="0" w:space="0" w:color="auto"/>
          </w:divBdr>
          <w:divsChild>
            <w:div w:id="1264530621">
              <w:marLeft w:val="0"/>
              <w:marRight w:val="0"/>
              <w:marTop w:val="0"/>
              <w:marBottom w:val="0"/>
              <w:divBdr>
                <w:top w:val="none" w:sz="0" w:space="0" w:color="auto"/>
                <w:left w:val="none" w:sz="0" w:space="0" w:color="auto"/>
                <w:bottom w:val="none" w:sz="0" w:space="0" w:color="auto"/>
                <w:right w:val="none" w:sz="0" w:space="0" w:color="auto"/>
              </w:divBdr>
              <w:divsChild>
                <w:div w:id="196064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5423701">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139924342">
              <w:marLeft w:val="0"/>
              <w:marRight w:val="0"/>
              <w:marTop w:val="0"/>
              <w:marBottom w:val="0"/>
              <w:divBdr>
                <w:top w:val="none" w:sz="0" w:space="0" w:color="auto"/>
                <w:left w:val="none" w:sz="0" w:space="0" w:color="auto"/>
                <w:bottom w:val="none" w:sz="0" w:space="0" w:color="auto"/>
                <w:right w:val="none" w:sz="0" w:space="0" w:color="auto"/>
              </w:divBdr>
            </w:div>
            <w:div w:id="258952796">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sChild>
        </w:div>
        <w:div w:id="1479225221">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sChild>
    </w:div>
    <w:div w:id="1708410328">
      <w:bodyDiv w:val="1"/>
      <w:marLeft w:val="0"/>
      <w:marRight w:val="0"/>
      <w:marTop w:val="0"/>
      <w:marBottom w:val="0"/>
      <w:divBdr>
        <w:top w:val="none" w:sz="0" w:space="0" w:color="auto"/>
        <w:left w:val="none" w:sz="0" w:space="0" w:color="auto"/>
        <w:bottom w:val="none" w:sz="0" w:space="0" w:color="auto"/>
        <w:right w:val="none" w:sz="0" w:space="0" w:color="auto"/>
      </w:divBdr>
      <w:divsChild>
        <w:div w:id="932855324">
          <w:marLeft w:val="0"/>
          <w:marRight w:val="0"/>
          <w:marTop w:val="0"/>
          <w:marBottom w:val="0"/>
          <w:divBdr>
            <w:top w:val="none" w:sz="0" w:space="0" w:color="auto"/>
            <w:left w:val="none" w:sz="0" w:space="0" w:color="auto"/>
            <w:bottom w:val="none" w:sz="0" w:space="0" w:color="auto"/>
            <w:right w:val="none" w:sz="0" w:space="0" w:color="auto"/>
          </w:divBdr>
          <w:divsChild>
            <w:div w:id="984509499">
              <w:marLeft w:val="0"/>
              <w:marRight w:val="0"/>
              <w:marTop w:val="0"/>
              <w:marBottom w:val="0"/>
              <w:divBdr>
                <w:top w:val="none" w:sz="0" w:space="0" w:color="auto"/>
                <w:left w:val="none" w:sz="0" w:space="0" w:color="auto"/>
                <w:bottom w:val="none" w:sz="0" w:space="0" w:color="auto"/>
                <w:right w:val="none" w:sz="0" w:space="0" w:color="auto"/>
              </w:divBdr>
              <w:divsChild>
                <w:div w:id="1891262088">
                  <w:marLeft w:val="0"/>
                  <w:marRight w:val="0"/>
                  <w:marTop w:val="0"/>
                  <w:marBottom w:val="0"/>
                  <w:divBdr>
                    <w:top w:val="none" w:sz="0" w:space="0" w:color="auto"/>
                    <w:left w:val="none" w:sz="0" w:space="0" w:color="auto"/>
                    <w:bottom w:val="none" w:sz="0" w:space="0" w:color="auto"/>
                    <w:right w:val="none" w:sz="0" w:space="0" w:color="auto"/>
                  </w:divBdr>
                  <w:divsChild>
                    <w:div w:id="69195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8769308">
      <w:bodyDiv w:val="1"/>
      <w:marLeft w:val="0"/>
      <w:marRight w:val="0"/>
      <w:marTop w:val="0"/>
      <w:marBottom w:val="0"/>
      <w:divBdr>
        <w:top w:val="none" w:sz="0" w:space="0" w:color="auto"/>
        <w:left w:val="none" w:sz="0" w:space="0" w:color="auto"/>
        <w:bottom w:val="none" w:sz="0" w:space="0" w:color="auto"/>
        <w:right w:val="none" w:sz="0" w:space="0" w:color="auto"/>
      </w:divBdr>
      <w:divsChild>
        <w:div w:id="849875501">
          <w:marLeft w:val="0"/>
          <w:marRight w:val="0"/>
          <w:marTop w:val="0"/>
          <w:marBottom w:val="0"/>
          <w:divBdr>
            <w:top w:val="none" w:sz="0" w:space="0" w:color="auto"/>
            <w:left w:val="none" w:sz="0" w:space="0" w:color="auto"/>
            <w:bottom w:val="none" w:sz="0" w:space="0" w:color="auto"/>
            <w:right w:val="none" w:sz="0" w:space="0" w:color="auto"/>
          </w:divBdr>
          <w:divsChild>
            <w:div w:id="627515589">
              <w:marLeft w:val="0"/>
              <w:marRight w:val="0"/>
              <w:marTop w:val="0"/>
              <w:marBottom w:val="0"/>
              <w:divBdr>
                <w:top w:val="none" w:sz="0" w:space="0" w:color="auto"/>
                <w:left w:val="none" w:sz="0" w:space="0" w:color="auto"/>
                <w:bottom w:val="none" w:sz="0" w:space="0" w:color="auto"/>
                <w:right w:val="none" w:sz="0" w:space="0" w:color="auto"/>
              </w:divBdr>
              <w:divsChild>
                <w:div w:id="210410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400849">
      <w:bodyDiv w:val="1"/>
      <w:marLeft w:val="0"/>
      <w:marRight w:val="0"/>
      <w:marTop w:val="0"/>
      <w:marBottom w:val="0"/>
      <w:divBdr>
        <w:top w:val="none" w:sz="0" w:space="0" w:color="auto"/>
        <w:left w:val="none" w:sz="0" w:space="0" w:color="auto"/>
        <w:bottom w:val="none" w:sz="0" w:space="0" w:color="auto"/>
        <w:right w:val="none" w:sz="0" w:space="0" w:color="auto"/>
      </w:divBdr>
      <w:divsChild>
        <w:div w:id="2108649876">
          <w:marLeft w:val="0"/>
          <w:marRight w:val="0"/>
          <w:marTop w:val="0"/>
          <w:marBottom w:val="0"/>
          <w:divBdr>
            <w:top w:val="none" w:sz="0" w:space="0" w:color="auto"/>
            <w:left w:val="none" w:sz="0" w:space="0" w:color="auto"/>
            <w:bottom w:val="none" w:sz="0" w:space="0" w:color="auto"/>
            <w:right w:val="none" w:sz="0" w:space="0" w:color="auto"/>
          </w:divBdr>
          <w:divsChild>
            <w:div w:id="955403916">
              <w:marLeft w:val="0"/>
              <w:marRight w:val="0"/>
              <w:marTop w:val="0"/>
              <w:marBottom w:val="0"/>
              <w:divBdr>
                <w:top w:val="none" w:sz="0" w:space="0" w:color="auto"/>
                <w:left w:val="none" w:sz="0" w:space="0" w:color="auto"/>
                <w:bottom w:val="none" w:sz="0" w:space="0" w:color="auto"/>
                <w:right w:val="none" w:sz="0" w:space="0" w:color="auto"/>
              </w:divBdr>
              <w:divsChild>
                <w:div w:id="933324785">
                  <w:marLeft w:val="0"/>
                  <w:marRight w:val="0"/>
                  <w:marTop w:val="0"/>
                  <w:marBottom w:val="0"/>
                  <w:divBdr>
                    <w:top w:val="none" w:sz="0" w:space="0" w:color="auto"/>
                    <w:left w:val="none" w:sz="0" w:space="0" w:color="auto"/>
                    <w:bottom w:val="none" w:sz="0" w:space="0" w:color="auto"/>
                    <w:right w:val="none" w:sz="0" w:space="0" w:color="auto"/>
                  </w:divBdr>
                  <w:divsChild>
                    <w:div w:id="31676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682798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946305">
      <w:bodyDiv w:val="1"/>
      <w:marLeft w:val="0"/>
      <w:marRight w:val="0"/>
      <w:marTop w:val="0"/>
      <w:marBottom w:val="0"/>
      <w:divBdr>
        <w:top w:val="none" w:sz="0" w:space="0" w:color="auto"/>
        <w:left w:val="none" w:sz="0" w:space="0" w:color="auto"/>
        <w:bottom w:val="none" w:sz="0" w:space="0" w:color="auto"/>
        <w:right w:val="none" w:sz="0" w:space="0" w:color="auto"/>
      </w:divBdr>
    </w:div>
    <w:div w:id="178946684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6777416">
      <w:bodyDiv w:val="1"/>
      <w:marLeft w:val="0"/>
      <w:marRight w:val="0"/>
      <w:marTop w:val="0"/>
      <w:marBottom w:val="0"/>
      <w:divBdr>
        <w:top w:val="none" w:sz="0" w:space="0" w:color="auto"/>
        <w:left w:val="none" w:sz="0" w:space="0" w:color="auto"/>
        <w:bottom w:val="none" w:sz="0" w:space="0" w:color="auto"/>
        <w:right w:val="none" w:sz="0" w:space="0" w:color="auto"/>
      </w:divBdr>
      <w:divsChild>
        <w:div w:id="878473400">
          <w:marLeft w:val="0"/>
          <w:marRight w:val="0"/>
          <w:marTop w:val="0"/>
          <w:marBottom w:val="0"/>
          <w:divBdr>
            <w:top w:val="none" w:sz="0" w:space="0" w:color="auto"/>
            <w:left w:val="none" w:sz="0" w:space="0" w:color="auto"/>
            <w:bottom w:val="none" w:sz="0" w:space="0" w:color="auto"/>
            <w:right w:val="none" w:sz="0" w:space="0" w:color="auto"/>
          </w:divBdr>
          <w:divsChild>
            <w:div w:id="636031269">
              <w:marLeft w:val="0"/>
              <w:marRight w:val="0"/>
              <w:marTop w:val="0"/>
              <w:marBottom w:val="0"/>
              <w:divBdr>
                <w:top w:val="none" w:sz="0" w:space="0" w:color="auto"/>
                <w:left w:val="none" w:sz="0" w:space="0" w:color="auto"/>
                <w:bottom w:val="none" w:sz="0" w:space="0" w:color="auto"/>
                <w:right w:val="none" w:sz="0" w:space="0" w:color="auto"/>
              </w:divBdr>
              <w:divsChild>
                <w:div w:id="990787999">
                  <w:marLeft w:val="0"/>
                  <w:marRight w:val="0"/>
                  <w:marTop w:val="0"/>
                  <w:marBottom w:val="0"/>
                  <w:divBdr>
                    <w:top w:val="none" w:sz="0" w:space="0" w:color="auto"/>
                    <w:left w:val="none" w:sz="0" w:space="0" w:color="auto"/>
                    <w:bottom w:val="none" w:sz="0" w:space="0" w:color="auto"/>
                    <w:right w:val="none" w:sz="0" w:space="0" w:color="auto"/>
                  </w:divBdr>
                  <w:divsChild>
                    <w:div w:id="21004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085538">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4857320">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327903512">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252204489">
          <w:marLeft w:val="0"/>
          <w:marRight w:val="0"/>
          <w:marTop w:val="0"/>
          <w:marBottom w:val="0"/>
          <w:divBdr>
            <w:top w:val="none" w:sz="0" w:space="0" w:color="auto"/>
            <w:left w:val="none" w:sz="0" w:space="0" w:color="auto"/>
            <w:bottom w:val="none" w:sz="0" w:space="0" w:color="auto"/>
            <w:right w:val="none" w:sz="0" w:space="0" w:color="auto"/>
          </w:divBdr>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73372197">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159733033">
          <w:marLeft w:val="0"/>
          <w:marRight w:val="0"/>
          <w:marTop w:val="0"/>
          <w:marBottom w:val="0"/>
          <w:divBdr>
            <w:top w:val="none" w:sz="0" w:space="0" w:color="auto"/>
            <w:left w:val="none" w:sz="0" w:space="0" w:color="auto"/>
            <w:bottom w:val="none" w:sz="0" w:space="0" w:color="auto"/>
            <w:right w:val="none" w:sz="0" w:space="0" w:color="auto"/>
          </w:divBdr>
        </w:div>
        <w:div w:id="643392868">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749620085">
              <w:marLeft w:val="0"/>
              <w:marRight w:val="0"/>
              <w:marTop w:val="0"/>
              <w:marBottom w:val="0"/>
              <w:divBdr>
                <w:top w:val="none" w:sz="0" w:space="0" w:color="auto"/>
                <w:left w:val="none" w:sz="0" w:space="0" w:color="auto"/>
                <w:bottom w:val="none" w:sz="0" w:space="0" w:color="auto"/>
                <w:right w:val="none" w:sz="0" w:space="0" w:color="auto"/>
              </w:divBdr>
            </w:div>
            <w:div w:id="198596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333555">
      <w:bodyDiv w:val="1"/>
      <w:marLeft w:val="0"/>
      <w:marRight w:val="0"/>
      <w:marTop w:val="0"/>
      <w:marBottom w:val="0"/>
      <w:divBdr>
        <w:top w:val="none" w:sz="0" w:space="0" w:color="auto"/>
        <w:left w:val="none" w:sz="0" w:space="0" w:color="auto"/>
        <w:bottom w:val="none" w:sz="0" w:space="0" w:color="auto"/>
        <w:right w:val="none" w:sz="0" w:space="0" w:color="auto"/>
      </w:divBdr>
      <w:divsChild>
        <w:div w:id="1618832351">
          <w:marLeft w:val="0"/>
          <w:marRight w:val="0"/>
          <w:marTop w:val="0"/>
          <w:marBottom w:val="0"/>
          <w:divBdr>
            <w:top w:val="none" w:sz="0" w:space="0" w:color="auto"/>
            <w:left w:val="none" w:sz="0" w:space="0" w:color="auto"/>
            <w:bottom w:val="none" w:sz="0" w:space="0" w:color="auto"/>
            <w:right w:val="none" w:sz="0" w:space="0" w:color="auto"/>
          </w:divBdr>
          <w:divsChild>
            <w:div w:id="438573280">
              <w:marLeft w:val="0"/>
              <w:marRight w:val="0"/>
              <w:marTop w:val="0"/>
              <w:marBottom w:val="0"/>
              <w:divBdr>
                <w:top w:val="none" w:sz="0" w:space="0" w:color="auto"/>
                <w:left w:val="none" w:sz="0" w:space="0" w:color="auto"/>
                <w:bottom w:val="none" w:sz="0" w:space="0" w:color="auto"/>
                <w:right w:val="none" w:sz="0" w:space="0" w:color="auto"/>
              </w:divBdr>
              <w:divsChild>
                <w:div w:id="371198100">
                  <w:marLeft w:val="0"/>
                  <w:marRight w:val="0"/>
                  <w:marTop w:val="0"/>
                  <w:marBottom w:val="0"/>
                  <w:divBdr>
                    <w:top w:val="none" w:sz="0" w:space="0" w:color="auto"/>
                    <w:left w:val="none" w:sz="0" w:space="0" w:color="auto"/>
                    <w:bottom w:val="none" w:sz="0" w:space="0" w:color="auto"/>
                    <w:right w:val="none" w:sz="0" w:space="0" w:color="auto"/>
                  </w:divBdr>
                  <w:divsChild>
                    <w:div w:id="91528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67008671">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0964369">
      <w:bodyDiv w:val="1"/>
      <w:marLeft w:val="0"/>
      <w:marRight w:val="0"/>
      <w:marTop w:val="0"/>
      <w:marBottom w:val="0"/>
      <w:divBdr>
        <w:top w:val="none" w:sz="0" w:space="0" w:color="auto"/>
        <w:left w:val="none" w:sz="0" w:space="0" w:color="auto"/>
        <w:bottom w:val="none" w:sz="0" w:space="0" w:color="auto"/>
        <w:right w:val="none" w:sz="0" w:space="0" w:color="auto"/>
      </w:divBdr>
    </w:div>
    <w:div w:id="2007396015">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09597345">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285818572">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541938974">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31392902">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69962719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sChild>
        </w:div>
        <w:div w:id="2124106103">
          <w:marLeft w:val="0"/>
          <w:marRight w:val="0"/>
          <w:marTop w:val="0"/>
          <w:marBottom w:val="0"/>
          <w:divBdr>
            <w:top w:val="none" w:sz="0" w:space="0" w:color="auto"/>
            <w:left w:val="none" w:sz="0" w:space="0" w:color="auto"/>
            <w:bottom w:val="none" w:sz="0" w:space="0" w:color="auto"/>
            <w:right w:val="none" w:sz="0" w:space="0" w:color="auto"/>
          </w:divBdr>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45056635">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158097">
      <w:bodyDiv w:val="1"/>
      <w:marLeft w:val="0"/>
      <w:marRight w:val="0"/>
      <w:marTop w:val="0"/>
      <w:marBottom w:val="0"/>
      <w:divBdr>
        <w:top w:val="none" w:sz="0" w:space="0" w:color="auto"/>
        <w:left w:val="none" w:sz="0" w:space="0" w:color="auto"/>
        <w:bottom w:val="none" w:sz="0" w:space="0" w:color="auto"/>
        <w:right w:val="none" w:sz="0" w:space="0" w:color="auto"/>
      </w:divBdr>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86803058">
      <w:bodyDiv w:val="1"/>
      <w:marLeft w:val="0"/>
      <w:marRight w:val="0"/>
      <w:marTop w:val="0"/>
      <w:marBottom w:val="0"/>
      <w:divBdr>
        <w:top w:val="none" w:sz="0" w:space="0" w:color="auto"/>
        <w:left w:val="none" w:sz="0" w:space="0" w:color="auto"/>
        <w:bottom w:val="none" w:sz="0" w:space="0" w:color="auto"/>
        <w:right w:val="none" w:sz="0" w:space="0" w:color="auto"/>
      </w:divBdr>
      <w:divsChild>
        <w:div w:id="177240049">
          <w:marLeft w:val="0"/>
          <w:marRight w:val="0"/>
          <w:marTop w:val="0"/>
          <w:marBottom w:val="0"/>
          <w:divBdr>
            <w:top w:val="none" w:sz="0" w:space="0" w:color="auto"/>
            <w:left w:val="none" w:sz="0" w:space="0" w:color="auto"/>
            <w:bottom w:val="none" w:sz="0" w:space="0" w:color="auto"/>
            <w:right w:val="none" w:sz="0" w:space="0" w:color="auto"/>
          </w:divBdr>
          <w:divsChild>
            <w:div w:id="1581257025">
              <w:marLeft w:val="0"/>
              <w:marRight w:val="0"/>
              <w:marTop w:val="0"/>
              <w:marBottom w:val="0"/>
              <w:divBdr>
                <w:top w:val="none" w:sz="0" w:space="0" w:color="auto"/>
                <w:left w:val="none" w:sz="0" w:space="0" w:color="auto"/>
                <w:bottom w:val="none" w:sz="0" w:space="0" w:color="auto"/>
                <w:right w:val="none" w:sz="0" w:space="0" w:color="auto"/>
              </w:divBdr>
              <w:divsChild>
                <w:div w:id="81048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398012">
      <w:bodyDiv w:val="1"/>
      <w:marLeft w:val="0"/>
      <w:marRight w:val="0"/>
      <w:marTop w:val="0"/>
      <w:marBottom w:val="0"/>
      <w:divBdr>
        <w:top w:val="none" w:sz="0" w:space="0" w:color="auto"/>
        <w:left w:val="none" w:sz="0" w:space="0" w:color="auto"/>
        <w:bottom w:val="none" w:sz="0" w:space="0" w:color="auto"/>
        <w:right w:val="none" w:sz="0" w:space="0" w:color="auto"/>
      </w:divBdr>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570193454">
          <w:marLeft w:val="0"/>
          <w:marRight w:val="0"/>
          <w:marTop w:val="0"/>
          <w:marBottom w:val="0"/>
          <w:divBdr>
            <w:top w:val="none" w:sz="0" w:space="0" w:color="auto"/>
            <w:left w:val="none" w:sz="0" w:space="0" w:color="auto"/>
            <w:bottom w:val="none" w:sz="0" w:space="0" w:color="auto"/>
            <w:right w:val="none" w:sz="0" w:space="0" w:color="auto"/>
          </w:divBdr>
        </w:div>
        <w:div w:id="610279058">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1393228">
      <w:bodyDiv w:val="1"/>
      <w:marLeft w:val="0"/>
      <w:marRight w:val="0"/>
      <w:marTop w:val="0"/>
      <w:marBottom w:val="0"/>
      <w:divBdr>
        <w:top w:val="none" w:sz="0" w:space="0" w:color="auto"/>
        <w:left w:val="none" w:sz="0" w:space="0" w:color="auto"/>
        <w:bottom w:val="none" w:sz="0" w:space="0" w:color="auto"/>
        <w:right w:val="none" w:sz="0" w:space="0" w:color="auto"/>
      </w:divBdr>
      <w:divsChild>
        <w:div w:id="1693536321">
          <w:marLeft w:val="0"/>
          <w:marRight w:val="0"/>
          <w:marTop w:val="0"/>
          <w:marBottom w:val="0"/>
          <w:divBdr>
            <w:top w:val="none" w:sz="0" w:space="0" w:color="auto"/>
            <w:left w:val="none" w:sz="0" w:space="0" w:color="auto"/>
            <w:bottom w:val="none" w:sz="0" w:space="0" w:color="auto"/>
            <w:right w:val="none" w:sz="0" w:space="0" w:color="auto"/>
          </w:divBdr>
        </w:div>
      </w:divsChild>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sites/cce_public/files/cce_documentos/umbrales_2020_-_2021.pdf" TargetMode="External"/><Relationship Id="rId1" Type="http://schemas.openxmlformats.org/officeDocument/2006/relationships/hyperlink" Target="https://www.banrep.gov.co/es/estadisticas/tr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521671-D56A-F342-8BC5-FA15744391E7}">
  <ds:schemaRefs>
    <ds:schemaRef ds:uri="http://schemas.openxmlformats.org/officeDocument/2006/bibliography"/>
  </ds:schemaRefs>
</ds:datastoreItem>
</file>

<file path=customXml/itemProps2.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FECD50CD-9F2F-41BD-98C2-1AFD5DB1B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8AACCB-338D-4E1C-91B3-8763C3BB18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C:\Users\ximena.cabezas\AppData\Local\Microsoft\Windows\INetCache\Content.Outlook\N37DCYCK\Respuesta a consultas.dotm</Template>
  <TotalTime>0</TotalTime>
  <Pages>14</Pages>
  <Words>5313</Words>
  <Characters>29225</Characters>
  <Application>Microsoft Office Word</Application>
  <DocSecurity>0</DocSecurity>
  <Lines>243</Lines>
  <Paragraphs>68</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34470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dc:description/>
  <cp:lastModifiedBy>MARIA CLAUDIA DE LA OSSA BOBADILLA</cp:lastModifiedBy>
  <cp:revision>2</cp:revision>
  <cp:lastPrinted>2020-01-30T15:05:00Z</cp:lastPrinted>
  <dcterms:created xsi:type="dcterms:W3CDTF">2022-08-01T17:19:00Z</dcterms:created>
  <dcterms:modified xsi:type="dcterms:W3CDTF">2022-08-01T17:19:00Z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