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6C5EC" w14:textId="77777777" w:rsidR="008572B5" w:rsidRPr="008572B5" w:rsidRDefault="008572B5" w:rsidP="008572B5">
      <w:pPr>
        <w:tabs>
          <w:tab w:val="left" w:pos="426"/>
        </w:tabs>
        <w:spacing w:after="0" w:line="240" w:lineRule="auto"/>
        <w:rPr>
          <w:rFonts w:ascii="Arial" w:eastAsia="Calibri" w:hAnsi="Arial" w:cs="Arial"/>
          <w:bCs/>
          <w:sz w:val="20"/>
          <w:szCs w:val="20"/>
        </w:rPr>
      </w:pPr>
      <w:bookmarkStart w:id="0" w:name="_Hlk77165666"/>
      <w:bookmarkStart w:id="1" w:name="_Hlk78821436"/>
    </w:p>
    <w:p w14:paraId="6160998C" w14:textId="77777777" w:rsidR="004F7E9A" w:rsidRPr="004F7E9A" w:rsidRDefault="004F7E9A" w:rsidP="004F7E9A">
      <w:pPr>
        <w:spacing w:after="0" w:line="240" w:lineRule="auto"/>
        <w:jc w:val="right"/>
        <w:rPr>
          <w:rFonts w:ascii="Arial" w:eastAsia="Calibri" w:hAnsi="Arial" w:cs="Arial"/>
          <w:b/>
          <w:bCs/>
          <w:color w:val="000000"/>
          <w:sz w:val="20"/>
          <w:szCs w:val="20"/>
          <w:lang w:val="es-ES"/>
        </w:rPr>
      </w:pPr>
    </w:p>
    <w:p w14:paraId="51EF80C7" w14:textId="77777777" w:rsidR="004F7E9A" w:rsidRPr="004F7E9A" w:rsidRDefault="004F7E9A" w:rsidP="004F7E9A">
      <w:pPr>
        <w:spacing w:after="0"/>
        <w:rPr>
          <w:rFonts w:ascii="Arial" w:eastAsia="Calibri" w:hAnsi="Arial" w:cs="Arial"/>
          <w:b/>
          <w:bCs/>
          <w:color w:val="000000"/>
          <w:sz w:val="22"/>
          <w:lang w:val="es-ES_tradnl"/>
        </w:rPr>
      </w:pPr>
      <w:r w:rsidRPr="004F7E9A">
        <w:rPr>
          <w:rFonts w:ascii="Arial" w:eastAsia="Calibri" w:hAnsi="Arial" w:cs="Arial"/>
          <w:b/>
          <w:bCs/>
          <w:color w:val="000000"/>
          <w:sz w:val="22"/>
          <w:lang w:val="es-ES"/>
        </w:rPr>
        <w:t xml:space="preserve">DOCUMENTOS TIPO – Interventoría </w:t>
      </w:r>
      <w:r w:rsidRPr="004F7E9A">
        <w:rPr>
          <w:rFonts w:ascii="Arial" w:eastAsia="Calibri" w:hAnsi="Arial" w:cs="Arial"/>
          <w:b/>
          <w:bCs/>
          <w:color w:val="000000"/>
          <w:sz w:val="22"/>
          <w:lang w:val="es-ES_tradnl"/>
        </w:rPr>
        <w:t xml:space="preserve">de obra pública de infraestructura de transporte – Obligatoriedad </w:t>
      </w:r>
    </w:p>
    <w:p w14:paraId="6C2C21DD" w14:textId="77777777" w:rsidR="004F7E9A" w:rsidRPr="004F7E9A" w:rsidRDefault="004F7E9A" w:rsidP="004F7E9A">
      <w:pPr>
        <w:spacing w:after="0" w:line="240" w:lineRule="auto"/>
        <w:rPr>
          <w:rFonts w:ascii="Arial" w:eastAsia="Calibri" w:hAnsi="Arial" w:cs="Arial"/>
          <w:bCs/>
          <w:color w:val="000000"/>
          <w:sz w:val="20"/>
          <w:szCs w:val="20"/>
          <w:lang w:val="es-ES_tradnl" w:eastAsia="es-ES"/>
        </w:rPr>
      </w:pPr>
    </w:p>
    <w:p w14:paraId="741C17BD" w14:textId="159C0125" w:rsidR="004F7E9A" w:rsidRPr="004F7E9A" w:rsidRDefault="004F7E9A" w:rsidP="004F7E9A">
      <w:pPr>
        <w:spacing w:after="120" w:line="240" w:lineRule="auto"/>
        <w:rPr>
          <w:rFonts w:ascii="Arial" w:eastAsia="Calibri" w:hAnsi="Arial" w:cs="Arial"/>
          <w:bCs/>
          <w:color w:val="000000"/>
          <w:sz w:val="20"/>
          <w:szCs w:val="20"/>
          <w:lang w:val="es-ES_tradnl"/>
        </w:rPr>
      </w:pPr>
      <w:r w:rsidRPr="004F7E9A">
        <w:rPr>
          <w:rFonts w:ascii="Arial" w:eastAsia="Calibri" w:hAnsi="Arial" w:cs="Arial"/>
          <w:bCs/>
          <w:color w:val="000000"/>
          <w:sz w:val="20"/>
          <w:szCs w:val="20"/>
          <w:lang w:val="es-ES_tradnl"/>
        </w:rPr>
        <w:t xml:space="preserve">[…] </w:t>
      </w:r>
      <w:r w:rsidR="00AB6A94" w:rsidRPr="00AB6A94">
        <w:rPr>
          <w:rFonts w:ascii="Arial" w:eastAsia="Calibri" w:hAnsi="Arial" w:cs="Arial"/>
          <w:bCs/>
          <w:color w:val="000000"/>
          <w:sz w:val="20"/>
          <w:szCs w:val="20"/>
          <w:lang w:val="es-ES_tradnl"/>
        </w:rPr>
        <w:t>Por otra parte, con base en la Ley 2022 de 2020, la Agencia Nacional de Contratación Pública expidió la Resolución 160 del 15 de septiembre de 2020, «Por la cual se adopta el procedimiento para implementar los documentos tipo y se define el sistema para su revisión». Además, con fundamento en esta ley, expidió la Resolución 240 del 27 de noviembre de 2020, «Por la cual se actualizan los Documentos Tipo para los procesos de selección de licitación de obra pública de infraestructura de transporte», hoy compilada bajo la vigente Resolución 304 del 2 de noviembre de 2021, la cual dispuso los Documentos Tipo para la licitación de obra pública de infraestructura de transporte – Versión 3.</w:t>
      </w:r>
    </w:p>
    <w:p w14:paraId="74C7A29F" w14:textId="77777777" w:rsidR="004F7E9A" w:rsidRPr="004F7E9A" w:rsidRDefault="004F7E9A" w:rsidP="004F7E9A">
      <w:pPr>
        <w:spacing w:after="0" w:line="240" w:lineRule="auto"/>
        <w:jc w:val="right"/>
        <w:rPr>
          <w:rFonts w:ascii="Arial" w:eastAsia="Calibri" w:hAnsi="Arial" w:cs="Arial"/>
          <w:bCs/>
          <w:color w:val="000000"/>
          <w:sz w:val="20"/>
          <w:szCs w:val="20"/>
          <w:lang w:val="es-ES_tradnl"/>
        </w:rPr>
      </w:pPr>
    </w:p>
    <w:p w14:paraId="29B69C6F" w14:textId="77777777" w:rsidR="004F7E9A" w:rsidRPr="004F7E9A" w:rsidRDefault="004F7E9A" w:rsidP="004F7E9A">
      <w:pPr>
        <w:spacing w:after="0"/>
        <w:rPr>
          <w:rFonts w:ascii="Arial" w:eastAsia="Calibri" w:hAnsi="Arial" w:cs="Arial"/>
          <w:b/>
          <w:bCs/>
          <w:color w:val="000000"/>
          <w:sz w:val="22"/>
          <w:lang w:val="es-ES_tradnl"/>
        </w:rPr>
      </w:pPr>
      <w:r w:rsidRPr="004F7E9A">
        <w:rPr>
          <w:rFonts w:ascii="Arial" w:eastAsia="Calibri" w:hAnsi="Arial" w:cs="Arial"/>
          <w:b/>
          <w:bCs/>
          <w:color w:val="000000"/>
          <w:sz w:val="22"/>
          <w:lang w:val="es-ES_tradnl"/>
        </w:rPr>
        <w:t xml:space="preserve">DOCUMENTOS TIPO – </w:t>
      </w:r>
      <w:r w:rsidRPr="004F7E9A">
        <w:rPr>
          <w:rFonts w:ascii="Arial" w:eastAsia="Calibri" w:hAnsi="Arial" w:cs="Arial"/>
          <w:b/>
          <w:bCs/>
          <w:color w:val="000000"/>
          <w:sz w:val="22"/>
          <w:lang w:val="es-ES"/>
        </w:rPr>
        <w:t xml:space="preserve">Interventoría </w:t>
      </w:r>
      <w:r w:rsidRPr="004F7E9A">
        <w:rPr>
          <w:rFonts w:ascii="Arial" w:eastAsia="Calibri" w:hAnsi="Arial" w:cs="Arial"/>
          <w:b/>
          <w:bCs/>
          <w:color w:val="000000"/>
          <w:sz w:val="22"/>
          <w:lang w:val="es-ES_tradnl"/>
        </w:rPr>
        <w:t>de obra pública de infraestructura de transporte – Subsanabilidad – Experiencia mínima habilitante</w:t>
      </w:r>
    </w:p>
    <w:p w14:paraId="5D9C0CBD" w14:textId="77777777" w:rsidR="004F7E9A" w:rsidRPr="004F7E9A" w:rsidRDefault="004F7E9A" w:rsidP="004F7E9A">
      <w:pPr>
        <w:spacing w:after="120" w:line="240" w:lineRule="auto"/>
        <w:rPr>
          <w:rFonts w:ascii="Arial" w:eastAsia="Calibri" w:hAnsi="Arial" w:cs="Arial"/>
          <w:bCs/>
          <w:color w:val="000000"/>
          <w:sz w:val="20"/>
          <w:szCs w:val="20"/>
          <w:lang w:val="es-ES_tradnl"/>
        </w:rPr>
      </w:pPr>
      <w:r w:rsidRPr="004F7E9A">
        <w:rPr>
          <w:rFonts w:ascii="Arial" w:eastAsia="Calibri" w:hAnsi="Arial" w:cs="Arial"/>
          <w:bCs/>
          <w:color w:val="000000"/>
          <w:sz w:val="20"/>
          <w:szCs w:val="20"/>
          <w:lang w:val="es-ES_tradnl"/>
        </w:rPr>
        <w:br/>
        <w:t>Esta Subdirección se ha pronunciado en diversas oportunidades acerca del alcance de la regla de la subsanabilidad, contenida actualmente en el artículo 5 de la Ley 1150 de 2007. Al respecto, la postura que se reitera en el presente concepto es la siguiente: por regla general, i) la falta de entrega o ii) los defectos de los requisitos que no asignen puntaje son subsanables. La excepción se encuentra en los casos, previstos en la ley, que limitan la subsanabilidad, es decir, en la prohibición de entregar la garantía de seriedad de la oferta que no fue aportada con la propuesta y de acreditar circunstancias ocurridas con posterioridad al cierre del proceso. En tal sentido, tampoco es posible subsanar requisitos de la propuesta que afecten la asignación de puntaje.</w:t>
      </w:r>
    </w:p>
    <w:p w14:paraId="46A19443" w14:textId="77777777" w:rsidR="004F7E9A" w:rsidRPr="004F7E9A" w:rsidRDefault="004F7E9A" w:rsidP="004F7E9A">
      <w:pPr>
        <w:spacing w:after="0" w:line="240" w:lineRule="auto"/>
        <w:rPr>
          <w:rFonts w:ascii="Arial" w:eastAsia="Calibri" w:hAnsi="Arial" w:cs="Arial"/>
          <w:b/>
          <w:bCs/>
          <w:color w:val="000000"/>
          <w:sz w:val="22"/>
          <w:lang w:val="es-ES_tradnl"/>
        </w:rPr>
      </w:pPr>
    </w:p>
    <w:p w14:paraId="3FC1B3DE" w14:textId="77777777" w:rsidR="004F7E9A" w:rsidRPr="004F7E9A" w:rsidRDefault="004F7E9A" w:rsidP="004F7E9A">
      <w:pPr>
        <w:spacing w:after="0" w:line="240" w:lineRule="auto"/>
        <w:rPr>
          <w:rFonts w:ascii="Arial" w:eastAsia="Calibri" w:hAnsi="Arial" w:cs="Arial"/>
          <w:b/>
          <w:bCs/>
          <w:color w:val="000000"/>
          <w:sz w:val="22"/>
          <w:lang w:val="es-ES_tradnl"/>
        </w:rPr>
      </w:pPr>
      <w:r w:rsidRPr="004F7E9A">
        <w:rPr>
          <w:rFonts w:ascii="Arial" w:eastAsia="Calibri" w:hAnsi="Arial" w:cs="Arial"/>
          <w:b/>
          <w:bCs/>
          <w:color w:val="000000"/>
          <w:sz w:val="22"/>
          <w:lang w:val="es-ES_tradnl"/>
        </w:rPr>
        <w:t xml:space="preserve">DOCUMENTOS TIPO – </w:t>
      </w:r>
      <w:r w:rsidRPr="004F7E9A">
        <w:rPr>
          <w:rFonts w:ascii="Arial" w:eastAsia="Calibri" w:hAnsi="Arial" w:cs="Arial"/>
          <w:b/>
          <w:bCs/>
          <w:color w:val="000000"/>
          <w:sz w:val="22"/>
          <w:lang w:val="es-ES"/>
        </w:rPr>
        <w:t xml:space="preserve">Interventoría </w:t>
      </w:r>
      <w:r w:rsidRPr="004F7E9A">
        <w:rPr>
          <w:rFonts w:ascii="Arial" w:eastAsia="Calibri" w:hAnsi="Arial" w:cs="Arial"/>
          <w:b/>
          <w:bCs/>
          <w:color w:val="000000"/>
          <w:sz w:val="22"/>
          <w:lang w:val="es-ES_tradnl"/>
        </w:rPr>
        <w:t>de obra pública de infraestructura de transporte – Método de ponderación – Selección aleatoria – TRM</w:t>
      </w:r>
    </w:p>
    <w:p w14:paraId="051E2A36" w14:textId="77777777" w:rsidR="004F7E9A" w:rsidRPr="004F7E9A" w:rsidRDefault="004F7E9A" w:rsidP="004F7E9A">
      <w:pPr>
        <w:spacing w:after="0" w:line="240" w:lineRule="auto"/>
        <w:rPr>
          <w:rFonts w:ascii="Arial" w:eastAsia="Calibri" w:hAnsi="Arial" w:cs="Arial"/>
          <w:color w:val="000000"/>
          <w:sz w:val="20"/>
          <w:szCs w:val="20"/>
          <w:lang w:val="es-ES_tradnl"/>
        </w:rPr>
      </w:pPr>
    </w:p>
    <w:p w14:paraId="714615EF" w14:textId="77777777" w:rsidR="004F7E9A" w:rsidRPr="004F7E9A" w:rsidRDefault="004F7E9A" w:rsidP="004F7E9A">
      <w:pPr>
        <w:spacing w:after="120" w:line="240" w:lineRule="auto"/>
        <w:rPr>
          <w:rFonts w:ascii="Arial" w:eastAsia="Calibri" w:hAnsi="Arial" w:cs="Arial"/>
          <w:color w:val="000000"/>
          <w:sz w:val="20"/>
          <w:szCs w:val="20"/>
          <w:lang w:val="es-ES_tradnl"/>
        </w:rPr>
      </w:pPr>
      <w:r w:rsidRPr="004F7E9A">
        <w:rPr>
          <w:rFonts w:ascii="Arial" w:eastAsia="Calibri" w:hAnsi="Arial" w:cs="Arial"/>
          <w:color w:val="000000"/>
          <w:sz w:val="20"/>
          <w:szCs w:val="20"/>
          <w:lang w:val="es-ES_tradnl"/>
        </w:rPr>
        <w:t xml:space="preserve">El numeral 4.1. del Documento Base de Interventoría de Obra Pública de Infraestructura de Transporte estableció que, dependiendo del método aleatorio establecido según la TRM, cada uno de los proponentes habilitados participarán con el «valor del promedio de los contratos válidos aportados según la metodología descrita para cada alternativa», señalando 4 alternativas para asignar puntaje en relación con la experiencia de los proponentes: i) media con valor absoluto; ii) media geométrica; iii) media aritmética alta y iv) media aritmética baja, cuya selección es aleatoria […]. </w:t>
      </w:r>
    </w:p>
    <w:p w14:paraId="28C45422" w14:textId="77777777" w:rsidR="004F7E9A" w:rsidRPr="004F7E9A" w:rsidRDefault="004F7E9A" w:rsidP="004F7E9A">
      <w:pPr>
        <w:spacing w:after="120" w:line="240" w:lineRule="auto"/>
        <w:rPr>
          <w:rFonts w:ascii="Arial" w:eastAsia="Calibri" w:hAnsi="Arial" w:cs="Arial"/>
          <w:color w:val="000000"/>
          <w:sz w:val="20"/>
          <w:szCs w:val="20"/>
          <w:lang w:val="es-ES_tradnl"/>
        </w:rPr>
      </w:pPr>
      <w:r w:rsidRPr="004F7E9A">
        <w:rPr>
          <w:rFonts w:ascii="Arial" w:eastAsia="Calibri" w:hAnsi="Arial" w:cs="Arial"/>
          <w:color w:val="000000"/>
          <w:sz w:val="20"/>
          <w:szCs w:val="20"/>
          <w:lang w:val="es-ES_tradnl"/>
        </w:rPr>
        <w:t>Los métodos de ponderación permiten evaluar la experiencia del proponente con base en el valor del promedio de los contratos válidos que fueron aportados; a su vez, la elección aleatoria empleando un índice como la TRM garantiza los principios de transparencia e igualdad en el marco de la contratación pública, asegurando así que los intervinientes en los procesos contractuales del Estado actuarán conforme al principio de selección objetiva.</w:t>
      </w:r>
    </w:p>
    <w:p w14:paraId="6156B69A" w14:textId="0F0C2E80" w:rsidR="006E74A5" w:rsidRDefault="001453EF" w:rsidP="00F176B9">
      <w:pPr>
        <w:spacing w:after="0" w:line="240" w:lineRule="auto"/>
        <w:rPr>
          <w:rFonts w:ascii="Arial" w:eastAsia="Calibri" w:hAnsi="Arial" w:cs="Arial"/>
          <w:sz w:val="22"/>
          <w:lang w:val="es-CO"/>
        </w:rPr>
      </w:pPr>
      <w:r>
        <w:rPr>
          <w:rFonts w:ascii="Arial" w:eastAsia="Calibri" w:hAnsi="Arial" w:cs="Arial"/>
          <w:noProof/>
          <w:sz w:val="20"/>
          <w:szCs w:val="20"/>
          <w:lang w:val="es-ES"/>
        </w:rPr>
        <w:br w:type="page"/>
      </w:r>
      <w:bookmarkEnd w:id="0"/>
      <w:bookmarkEnd w:id="1"/>
    </w:p>
    <w:p w14:paraId="586A809B" w14:textId="77777777" w:rsidR="00CF5936" w:rsidRDefault="00CF5936" w:rsidP="00F176B9">
      <w:pPr>
        <w:spacing w:after="0" w:line="240" w:lineRule="auto"/>
        <w:rPr>
          <w:rFonts w:ascii="Arial" w:eastAsia="Calibri" w:hAnsi="Arial" w:cs="Arial"/>
          <w:sz w:val="22"/>
          <w:lang w:val="es-CO"/>
        </w:rPr>
      </w:pPr>
    </w:p>
    <w:p w14:paraId="14B4CB56" w14:textId="49A122C7" w:rsidR="00CF5936" w:rsidRDefault="00CF5936" w:rsidP="00CF5936">
      <w:pPr>
        <w:spacing w:after="0" w:line="240" w:lineRule="auto"/>
        <w:jc w:val="right"/>
        <w:rPr>
          <w:rFonts w:ascii="Arial" w:eastAsia="Calibri" w:hAnsi="Arial" w:cs="Arial"/>
          <w:sz w:val="22"/>
          <w:lang w:val="es-CO"/>
        </w:rPr>
      </w:pPr>
      <w:r w:rsidRPr="00CF5936">
        <w:rPr>
          <w:rFonts w:ascii="Arial" w:eastAsia="Calibri" w:hAnsi="Arial" w:cs="Arial"/>
          <w:noProof/>
          <w:sz w:val="22"/>
          <w:lang w:val="es-CO"/>
        </w:rPr>
        <w:drawing>
          <wp:inline distT="0" distB="0" distL="0" distR="0" wp14:anchorId="06A339E6" wp14:editId="4B7B791E">
            <wp:extent cx="3336218" cy="6680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45592" cy="669897"/>
                    </a:xfrm>
                    <a:prstGeom prst="rect">
                      <a:avLst/>
                    </a:prstGeom>
                    <a:noFill/>
                    <a:ln>
                      <a:noFill/>
                    </a:ln>
                  </pic:spPr>
                </pic:pic>
              </a:graphicData>
            </a:graphic>
          </wp:inline>
        </w:drawing>
      </w:r>
    </w:p>
    <w:p w14:paraId="5F99B025" w14:textId="77777777" w:rsidR="00CF5936" w:rsidRDefault="00CF5936" w:rsidP="00F176B9">
      <w:pPr>
        <w:spacing w:after="0" w:line="240" w:lineRule="auto"/>
        <w:rPr>
          <w:rFonts w:ascii="Arial" w:eastAsia="Calibri" w:hAnsi="Arial" w:cs="Arial"/>
          <w:sz w:val="22"/>
          <w:lang w:val="es-CO"/>
        </w:rPr>
      </w:pPr>
    </w:p>
    <w:p w14:paraId="464F1DC0" w14:textId="77777777" w:rsidR="00CF5936" w:rsidRDefault="00CF5936" w:rsidP="00F176B9">
      <w:pPr>
        <w:spacing w:after="0" w:line="240" w:lineRule="auto"/>
        <w:rPr>
          <w:rFonts w:ascii="Arial" w:eastAsia="Calibri" w:hAnsi="Arial" w:cs="Arial"/>
          <w:sz w:val="22"/>
          <w:lang w:val="es-CO"/>
        </w:rPr>
      </w:pPr>
    </w:p>
    <w:p w14:paraId="6A81B1B9" w14:textId="6ACC9A7A" w:rsidR="00303D47" w:rsidRPr="00F176B9" w:rsidRDefault="004653E7" w:rsidP="00F176B9">
      <w:pPr>
        <w:spacing w:after="0" w:line="240" w:lineRule="auto"/>
        <w:rPr>
          <w:rFonts w:ascii="Arial" w:eastAsia="Calibri" w:hAnsi="Arial" w:cs="Arial"/>
          <w:sz w:val="22"/>
          <w:lang w:val="es-CO"/>
        </w:rPr>
      </w:pPr>
      <w:r w:rsidRPr="00F176B9">
        <w:rPr>
          <w:rFonts w:ascii="Arial" w:eastAsia="Calibri" w:hAnsi="Arial" w:cs="Arial"/>
          <w:sz w:val="22"/>
          <w:lang w:val="es-CO"/>
        </w:rPr>
        <w:t>Señor</w:t>
      </w:r>
    </w:p>
    <w:p w14:paraId="38F5C0DE" w14:textId="0679E2AA" w:rsidR="004653E7" w:rsidRPr="00F176B9" w:rsidRDefault="00DA7F58" w:rsidP="00F176B9">
      <w:pPr>
        <w:spacing w:after="0" w:line="240" w:lineRule="auto"/>
        <w:rPr>
          <w:rFonts w:ascii="Arial" w:eastAsia="Calibri" w:hAnsi="Arial" w:cs="Arial"/>
          <w:b/>
          <w:sz w:val="22"/>
          <w:lang w:val="es-CO"/>
        </w:rPr>
      </w:pPr>
      <w:r>
        <w:rPr>
          <w:rFonts w:ascii="Arial" w:eastAsia="Calibri" w:hAnsi="Arial" w:cs="Arial"/>
          <w:b/>
          <w:sz w:val="22"/>
          <w:lang w:val="es-CO"/>
        </w:rPr>
        <w:t xml:space="preserve">Iván Felipe Acevedo Forero </w:t>
      </w:r>
      <w:r w:rsidR="0041386A">
        <w:rPr>
          <w:rFonts w:ascii="Arial" w:eastAsia="Calibri" w:hAnsi="Arial" w:cs="Arial"/>
          <w:b/>
          <w:sz w:val="22"/>
          <w:lang w:val="es-CO"/>
        </w:rPr>
        <w:t xml:space="preserve"> </w:t>
      </w:r>
    </w:p>
    <w:p w14:paraId="72352372" w14:textId="26D8E19C" w:rsidR="00303D47" w:rsidRPr="00F176B9" w:rsidRDefault="00DA7F58" w:rsidP="00F176B9">
      <w:pPr>
        <w:spacing w:after="0" w:line="240" w:lineRule="auto"/>
        <w:rPr>
          <w:rFonts w:ascii="Arial" w:eastAsia="Calibri" w:hAnsi="Arial" w:cs="Arial"/>
          <w:sz w:val="22"/>
          <w:lang w:val="es-CO"/>
        </w:rPr>
      </w:pPr>
      <w:r>
        <w:rPr>
          <w:rFonts w:ascii="Arial" w:eastAsia="Calibri" w:hAnsi="Arial" w:cs="Arial"/>
          <w:sz w:val="22"/>
          <w:lang w:val="es-CO"/>
        </w:rPr>
        <w:t>Bucaramanga</w:t>
      </w:r>
      <w:r w:rsidR="00042B29">
        <w:rPr>
          <w:rFonts w:ascii="Arial" w:eastAsia="Calibri" w:hAnsi="Arial" w:cs="Arial"/>
          <w:sz w:val="22"/>
          <w:lang w:val="es-CO"/>
        </w:rPr>
        <w:t xml:space="preserve">, </w:t>
      </w:r>
      <w:r>
        <w:rPr>
          <w:rFonts w:ascii="Arial" w:eastAsia="Calibri" w:hAnsi="Arial" w:cs="Arial"/>
          <w:sz w:val="22"/>
          <w:lang w:val="es-CO"/>
        </w:rPr>
        <w:t>Santander</w:t>
      </w:r>
    </w:p>
    <w:p w14:paraId="20C73A65" w14:textId="77777777" w:rsidR="002B72C0" w:rsidRPr="00F176B9" w:rsidRDefault="002B72C0" w:rsidP="00F176B9">
      <w:pPr>
        <w:spacing w:after="0" w:line="240" w:lineRule="auto"/>
        <w:rPr>
          <w:rFonts w:ascii="Arial" w:eastAsia="Calibri" w:hAnsi="Arial" w:cs="Arial"/>
          <w:sz w:val="22"/>
          <w:lang w:val="es-CO"/>
        </w:rPr>
      </w:pPr>
    </w:p>
    <w:p w14:paraId="6316E3D6" w14:textId="24D01534" w:rsidR="00FE0395" w:rsidRPr="00F176B9" w:rsidRDefault="00904CD9" w:rsidP="00F176B9">
      <w:pPr>
        <w:spacing w:after="0" w:line="240" w:lineRule="auto"/>
        <w:rPr>
          <w:rFonts w:ascii="Arial" w:hAnsi="Arial" w:cs="Arial"/>
          <w:sz w:val="22"/>
          <w:lang w:val="es-CO"/>
        </w:rPr>
      </w:pPr>
      <w:r w:rsidRPr="00F176B9">
        <w:rPr>
          <w:rFonts w:ascii="Arial" w:eastAsia="Calibri" w:hAnsi="Arial" w:cs="Arial"/>
          <w:sz w:val="22"/>
          <w:lang w:val="es-CO"/>
        </w:rPr>
        <w:t xml:space="preserve">                                            </w:t>
      </w:r>
      <w:r w:rsidRPr="00F176B9">
        <w:rPr>
          <w:rFonts w:ascii="Arial" w:eastAsia="Calibri" w:hAnsi="Arial" w:cs="Arial"/>
          <w:b/>
          <w:sz w:val="22"/>
          <w:lang w:val="es-CO"/>
        </w:rPr>
        <w:t>Concepto C –</w:t>
      </w:r>
      <w:r w:rsidR="000E190F" w:rsidRPr="00F176B9">
        <w:rPr>
          <w:rFonts w:ascii="Arial" w:eastAsia="Calibri" w:hAnsi="Arial" w:cs="Arial"/>
          <w:b/>
          <w:sz w:val="22"/>
          <w:lang w:val="es-CO"/>
        </w:rPr>
        <w:t xml:space="preserve"> </w:t>
      </w:r>
      <w:r w:rsidR="00DA7F58">
        <w:rPr>
          <w:rFonts w:ascii="Arial" w:eastAsia="Calibri" w:hAnsi="Arial" w:cs="Arial"/>
          <w:b/>
          <w:sz w:val="22"/>
          <w:lang w:val="es-CO"/>
        </w:rPr>
        <w:t>381</w:t>
      </w:r>
      <w:r w:rsidR="00F63738">
        <w:rPr>
          <w:rFonts w:ascii="Arial" w:eastAsia="Calibri" w:hAnsi="Arial" w:cs="Arial"/>
          <w:b/>
          <w:sz w:val="22"/>
          <w:lang w:val="es-CO"/>
        </w:rPr>
        <w:t xml:space="preserve"> </w:t>
      </w:r>
      <w:r w:rsidR="00285D82" w:rsidRPr="00F176B9">
        <w:rPr>
          <w:rFonts w:ascii="Arial" w:eastAsia="Calibri" w:hAnsi="Arial" w:cs="Arial"/>
          <w:b/>
          <w:sz w:val="22"/>
          <w:lang w:val="es-CO"/>
        </w:rPr>
        <w:t>de 202</w:t>
      </w:r>
      <w:r w:rsidR="001640BC" w:rsidRPr="00F176B9">
        <w:rPr>
          <w:rFonts w:ascii="Arial" w:eastAsia="Calibri" w:hAnsi="Arial" w:cs="Arial"/>
          <w:b/>
          <w:sz w:val="22"/>
          <w:lang w:val="es-CO"/>
        </w:rPr>
        <w:t>2</w:t>
      </w:r>
      <w:r w:rsidR="00B346CC" w:rsidRPr="00F176B9">
        <w:rPr>
          <w:rFonts w:ascii="Arial" w:hAnsi="Arial" w:cs="Arial"/>
          <w:sz w:val="22"/>
          <w:lang w:val="es-CO"/>
        </w:rPr>
        <w:t xml:space="preserve"> </w:t>
      </w:r>
    </w:p>
    <w:p w14:paraId="4736A594" w14:textId="77777777" w:rsidR="00303D47" w:rsidRPr="00F176B9" w:rsidRDefault="00303D47" w:rsidP="00F176B9">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176B9" w:rsidRPr="00F176B9" w14:paraId="1701BC3D" w14:textId="77777777" w:rsidTr="000641BE">
        <w:trPr>
          <w:trHeight w:val="485"/>
        </w:trPr>
        <w:tc>
          <w:tcPr>
            <w:tcW w:w="2689" w:type="dxa"/>
            <w:hideMark/>
          </w:tcPr>
          <w:p w14:paraId="69F7D7B9" w14:textId="77777777" w:rsidR="00714833" w:rsidRPr="00F176B9" w:rsidRDefault="00714833" w:rsidP="00F176B9">
            <w:pPr>
              <w:contextualSpacing/>
              <w:rPr>
                <w:rFonts w:ascii="Arial" w:eastAsia="Calibri" w:hAnsi="Arial" w:cs="Arial"/>
                <w:noProof/>
                <w:sz w:val="22"/>
                <w:lang w:val="es-ES_tradnl"/>
              </w:rPr>
            </w:pPr>
            <w:r w:rsidRPr="00F176B9">
              <w:rPr>
                <w:rFonts w:ascii="Arial" w:eastAsia="Calibri" w:hAnsi="Arial" w:cs="Arial"/>
                <w:b/>
                <w:noProof/>
                <w:sz w:val="22"/>
                <w:lang w:val="es-ES_tradnl"/>
              </w:rPr>
              <w:t>Temas:</w:t>
            </w:r>
            <w:r w:rsidRPr="00F176B9">
              <w:rPr>
                <w:rFonts w:ascii="Arial" w:eastAsia="Calibri" w:hAnsi="Arial" w:cs="Arial"/>
                <w:noProof/>
                <w:sz w:val="22"/>
                <w:lang w:val="es-ES_tradnl"/>
              </w:rPr>
              <w:t xml:space="preserve">        </w:t>
            </w:r>
          </w:p>
        </w:tc>
        <w:tc>
          <w:tcPr>
            <w:tcW w:w="6237" w:type="dxa"/>
            <w:hideMark/>
          </w:tcPr>
          <w:p w14:paraId="43CD10CC" w14:textId="77777777" w:rsidR="004F7E9A" w:rsidRPr="004F7E9A" w:rsidRDefault="004F7E9A" w:rsidP="004F7E9A">
            <w:pPr>
              <w:rPr>
                <w:rFonts w:ascii="Arial" w:eastAsia="Calibri" w:hAnsi="Arial" w:cs="Arial"/>
                <w:color w:val="000000"/>
                <w:sz w:val="20"/>
                <w:szCs w:val="20"/>
                <w:lang w:val="es-ES_tradnl"/>
              </w:rPr>
            </w:pPr>
            <w:r w:rsidRPr="004F7E9A">
              <w:rPr>
                <w:rFonts w:ascii="Arial" w:eastAsia="Calibri" w:hAnsi="Arial" w:cs="Arial"/>
                <w:color w:val="000000"/>
                <w:sz w:val="22"/>
                <w:lang w:val="es-ES"/>
              </w:rPr>
              <w:t>DOCUMENTOS TIPO – Interventoría de obra pública de infraestructura de transporte – Obligatoriedad</w:t>
            </w:r>
            <w:r w:rsidRPr="004F7E9A">
              <w:rPr>
                <w:rFonts w:ascii="Arial" w:eastAsia="Calibri" w:hAnsi="Arial" w:cs="Arial"/>
                <w:color w:val="000000"/>
                <w:sz w:val="22"/>
                <w:lang w:val="es-ES_tradnl"/>
              </w:rPr>
              <w:t xml:space="preserve"> / DOCUMENTOS TIPO – Interventoría de obra pública de infraestructura de transporte – Subsanabilidad – Experiencia mínima habilitante / DOCUMENTOS TIPO – Interventoría de obra pública de infraestructura de transporte – Método de ponderación – Selección aleatoria – TRM</w:t>
            </w:r>
          </w:p>
          <w:p w14:paraId="641BBBD5" w14:textId="6AEA9117" w:rsidR="00714833" w:rsidRPr="00F176B9" w:rsidRDefault="00714833" w:rsidP="002F7E31">
            <w:pPr>
              <w:spacing w:after="120"/>
              <w:ind w:right="703"/>
              <w:jc w:val="both"/>
              <w:rPr>
                <w:rFonts w:ascii="Arial" w:eastAsia="Calibri" w:hAnsi="Arial" w:cs="Arial"/>
                <w:bCs/>
                <w:sz w:val="22"/>
              </w:rPr>
            </w:pPr>
          </w:p>
        </w:tc>
      </w:tr>
      <w:tr w:rsidR="00B66D78" w:rsidRPr="00F176B9" w14:paraId="4074FCE6" w14:textId="77777777" w:rsidTr="000641BE">
        <w:tc>
          <w:tcPr>
            <w:tcW w:w="2689" w:type="dxa"/>
          </w:tcPr>
          <w:p w14:paraId="389F2C2E" w14:textId="77777777" w:rsidR="00FE0395" w:rsidRPr="00F176B9" w:rsidRDefault="00FE0395" w:rsidP="00F176B9">
            <w:pPr>
              <w:contextualSpacing/>
              <w:rPr>
                <w:rFonts w:ascii="Arial" w:eastAsia="Calibri" w:hAnsi="Arial" w:cs="Arial"/>
                <w:b/>
                <w:noProof/>
                <w:sz w:val="22"/>
                <w:lang w:val="es-ES_tradnl"/>
              </w:rPr>
            </w:pPr>
            <w:r w:rsidRPr="00F176B9">
              <w:rPr>
                <w:rFonts w:ascii="Arial" w:eastAsia="Calibri" w:hAnsi="Arial" w:cs="Arial"/>
                <w:b/>
                <w:noProof/>
                <w:sz w:val="22"/>
                <w:lang w:val="es-ES_tradnl"/>
              </w:rPr>
              <w:t>Radicación:</w:t>
            </w:r>
            <w:r w:rsidRPr="00F176B9">
              <w:rPr>
                <w:rFonts w:ascii="Arial" w:eastAsia="Calibri" w:hAnsi="Arial" w:cs="Arial"/>
                <w:noProof/>
                <w:sz w:val="22"/>
                <w:lang w:val="es-ES_tradnl"/>
              </w:rPr>
              <w:t xml:space="preserve">                              </w:t>
            </w:r>
          </w:p>
        </w:tc>
        <w:tc>
          <w:tcPr>
            <w:tcW w:w="6237" w:type="dxa"/>
          </w:tcPr>
          <w:p w14:paraId="290F0664" w14:textId="76FE9857" w:rsidR="00FE0395" w:rsidRPr="00F176B9" w:rsidRDefault="00FE0395" w:rsidP="00F176B9">
            <w:pPr>
              <w:contextualSpacing/>
              <w:jc w:val="both"/>
              <w:rPr>
                <w:rFonts w:ascii="Arial" w:eastAsia="Calibri" w:hAnsi="Arial" w:cs="Arial"/>
                <w:noProof/>
                <w:sz w:val="22"/>
                <w:lang w:val="es-ES_tradnl"/>
              </w:rPr>
            </w:pPr>
            <w:r w:rsidRPr="00F176B9">
              <w:rPr>
                <w:rFonts w:ascii="Arial" w:eastAsia="Calibri" w:hAnsi="Arial" w:cs="Arial"/>
                <w:noProof/>
                <w:sz w:val="22"/>
                <w:lang w:val="es-ES_tradnl"/>
              </w:rPr>
              <w:t xml:space="preserve">Respuesta a consulta </w:t>
            </w:r>
            <w:r w:rsidR="004653E7" w:rsidRPr="00F176B9">
              <w:rPr>
                <w:rFonts w:ascii="Arial" w:eastAsia="Calibri" w:hAnsi="Arial" w:cs="Arial"/>
                <w:noProof/>
                <w:sz w:val="22"/>
                <w:lang w:val="es-ES_tradnl"/>
              </w:rPr>
              <w:t>P2022</w:t>
            </w:r>
            <w:r w:rsidR="006E34D5">
              <w:rPr>
                <w:rFonts w:ascii="Arial" w:eastAsia="Calibri" w:hAnsi="Arial" w:cs="Arial"/>
                <w:noProof/>
                <w:sz w:val="22"/>
                <w:lang w:val="es-ES_tradnl"/>
              </w:rPr>
              <w:t>05</w:t>
            </w:r>
            <w:r w:rsidR="00DA7F58">
              <w:rPr>
                <w:rFonts w:ascii="Arial" w:eastAsia="Calibri" w:hAnsi="Arial" w:cs="Arial"/>
                <w:noProof/>
                <w:sz w:val="22"/>
                <w:lang w:val="es-ES_tradnl"/>
              </w:rPr>
              <w:t>31005379</w:t>
            </w:r>
            <w:r w:rsidR="003F7230">
              <w:rPr>
                <w:rFonts w:ascii="Arial" w:eastAsia="Calibri" w:hAnsi="Arial" w:cs="Arial"/>
                <w:noProof/>
                <w:sz w:val="22"/>
                <w:lang w:val="es-ES_tradnl"/>
              </w:rPr>
              <w:t xml:space="preserve"> </w:t>
            </w:r>
          </w:p>
        </w:tc>
      </w:tr>
    </w:tbl>
    <w:p w14:paraId="0CB3D4D0" w14:textId="77777777" w:rsidR="00FE0395" w:rsidRPr="00F176B9" w:rsidRDefault="00FE0395" w:rsidP="00F176B9">
      <w:pPr>
        <w:spacing w:after="0" w:line="240" w:lineRule="auto"/>
        <w:rPr>
          <w:rFonts w:ascii="Arial" w:eastAsia="Calibri" w:hAnsi="Arial" w:cs="Arial"/>
          <w:sz w:val="22"/>
          <w:lang w:val="es-CO"/>
        </w:rPr>
      </w:pPr>
    </w:p>
    <w:p w14:paraId="3C6248D2" w14:textId="77777777" w:rsidR="00F246FE" w:rsidRPr="00F176B9" w:rsidRDefault="00F246FE" w:rsidP="00F176B9">
      <w:pPr>
        <w:spacing w:after="0" w:line="240" w:lineRule="auto"/>
        <w:rPr>
          <w:rFonts w:ascii="Arial" w:eastAsia="Calibri" w:hAnsi="Arial" w:cs="Arial"/>
          <w:sz w:val="22"/>
          <w:lang w:val="es-CO"/>
        </w:rPr>
      </w:pPr>
    </w:p>
    <w:p w14:paraId="0ADE9D41" w14:textId="77735E3F" w:rsidR="00990612" w:rsidRPr="00F176B9" w:rsidRDefault="00990612" w:rsidP="00F176B9">
      <w:pPr>
        <w:spacing w:after="0"/>
        <w:rPr>
          <w:rFonts w:ascii="Arial" w:eastAsia="Calibri" w:hAnsi="Arial" w:cs="Arial"/>
          <w:sz w:val="22"/>
          <w:lang w:val="es-CO"/>
        </w:rPr>
      </w:pPr>
      <w:r w:rsidRPr="00F176B9">
        <w:rPr>
          <w:rFonts w:ascii="Arial" w:eastAsia="Calibri" w:hAnsi="Arial" w:cs="Arial"/>
          <w:sz w:val="22"/>
          <w:lang w:val="es-CO"/>
        </w:rPr>
        <w:t>Estimad</w:t>
      </w:r>
      <w:r w:rsidR="001260C4">
        <w:rPr>
          <w:rFonts w:ascii="Arial" w:eastAsia="Calibri" w:hAnsi="Arial" w:cs="Arial"/>
          <w:sz w:val="22"/>
          <w:lang w:val="es-CO"/>
        </w:rPr>
        <w:t>o</w:t>
      </w:r>
      <w:r w:rsidR="009D7290" w:rsidRPr="00F176B9">
        <w:rPr>
          <w:rFonts w:ascii="Arial" w:eastAsia="Calibri" w:hAnsi="Arial" w:cs="Arial"/>
          <w:sz w:val="22"/>
          <w:lang w:val="es-CO"/>
        </w:rPr>
        <w:t xml:space="preserve"> </w:t>
      </w:r>
      <w:r w:rsidR="004653E7" w:rsidRPr="00F176B9">
        <w:rPr>
          <w:rFonts w:ascii="Arial" w:eastAsia="Calibri" w:hAnsi="Arial" w:cs="Arial"/>
          <w:sz w:val="22"/>
          <w:lang w:val="es-CO"/>
        </w:rPr>
        <w:t>señ</w:t>
      </w:r>
      <w:r w:rsidR="00042B29">
        <w:rPr>
          <w:rFonts w:ascii="Arial" w:eastAsia="Calibri" w:hAnsi="Arial" w:cs="Arial"/>
          <w:sz w:val="22"/>
          <w:lang w:val="es-CO"/>
        </w:rPr>
        <w:t>or</w:t>
      </w:r>
      <w:r w:rsidR="00DA7F58">
        <w:rPr>
          <w:rFonts w:ascii="Arial" w:eastAsia="Calibri" w:hAnsi="Arial" w:cs="Arial"/>
          <w:sz w:val="22"/>
          <w:lang w:val="es-CO"/>
        </w:rPr>
        <w:t xml:space="preserve"> Acevedo Forero</w:t>
      </w:r>
      <w:r w:rsidR="006D44E6">
        <w:rPr>
          <w:rFonts w:ascii="Arial" w:eastAsia="Calibri" w:hAnsi="Arial" w:cs="Arial"/>
          <w:sz w:val="22"/>
          <w:lang w:val="es-CO"/>
        </w:rPr>
        <w:t>:</w:t>
      </w:r>
    </w:p>
    <w:p w14:paraId="19436ABB" w14:textId="77777777" w:rsidR="00990612" w:rsidRPr="00F176B9" w:rsidRDefault="00990612" w:rsidP="00F176B9">
      <w:pPr>
        <w:spacing w:after="0"/>
        <w:ind w:firstLine="709"/>
        <w:rPr>
          <w:rFonts w:ascii="Arial" w:eastAsia="Calibri" w:hAnsi="Arial" w:cs="Arial"/>
          <w:sz w:val="22"/>
          <w:lang w:val="es-CO"/>
        </w:rPr>
      </w:pPr>
    </w:p>
    <w:p w14:paraId="4A62508A" w14:textId="4658CDD4" w:rsidR="00990612" w:rsidRPr="00F176B9" w:rsidRDefault="00990612" w:rsidP="00F176B9">
      <w:pPr>
        <w:spacing w:after="0"/>
        <w:ind w:right="51"/>
        <w:rPr>
          <w:rFonts w:ascii="Arial" w:eastAsia="Calibri" w:hAnsi="Arial" w:cs="Arial"/>
          <w:sz w:val="22"/>
          <w:lang w:val="es-CO"/>
        </w:rPr>
      </w:pPr>
      <w:r w:rsidRPr="00F176B9">
        <w:rPr>
          <w:rFonts w:ascii="Arial" w:eastAsia="Calibri" w:hAnsi="Arial" w:cs="Arial"/>
          <w:sz w:val="22"/>
          <w:lang w:val="es-CO"/>
        </w:rPr>
        <w:t>En ejercicio de la competencia otorgada por el numeral 8 del artículo 11 y el numeral 5 del artículo 3 del Decreto Ley 4170 de 2011, la Agencia Nacional de Contratación Pública – Colombia Compra Eficiente</w:t>
      </w:r>
      <w:r w:rsidR="00E7503A" w:rsidRPr="00F176B9">
        <w:rPr>
          <w:rFonts w:ascii="Arial" w:eastAsia="Calibri" w:hAnsi="Arial" w:cs="Arial"/>
          <w:sz w:val="22"/>
          <w:lang w:val="es-CO"/>
        </w:rPr>
        <w:t xml:space="preserve"> responde</w:t>
      </w:r>
      <w:r w:rsidRPr="00F176B9">
        <w:rPr>
          <w:rFonts w:ascii="Arial" w:eastAsia="Calibri" w:hAnsi="Arial" w:cs="Arial"/>
          <w:sz w:val="22"/>
          <w:lang w:val="es-CO"/>
        </w:rPr>
        <w:t xml:space="preserve"> la consulta </w:t>
      </w:r>
      <w:r w:rsidR="00FE65B4" w:rsidRPr="00F176B9">
        <w:rPr>
          <w:rFonts w:ascii="Arial" w:eastAsia="Calibri" w:hAnsi="Arial" w:cs="Arial"/>
          <w:sz w:val="22"/>
          <w:lang w:val="es-CO"/>
        </w:rPr>
        <w:t xml:space="preserve">radicada </w:t>
      </w:r>
      <w:r w:rsidRPr="00F176B9">
        <w:rPr>
          <w:rFonts w:ascii="Arial" w:eastAsia="Calibri" w:hAnsi="Arial" w:cs="Arial"/>
          <w:sz w:val="22"/>
          <w:lang w:val="es-CO"/>
        </w:rPr>
        <w:t xml:space="preserve">el </w:t>
      </w:r>
      <w:r w:rsidR="004F7E9A">
        <w:rPr>
          <w:rFonts w:ascii="Arial" w:eastAsia="Calibri" w:hAnsi="Arial" w:cs="Arial"/>
          <w:sz w:val="22"/>
          <w:lang w:val="es-CO"/>
        </w:rPr>
        <w:t>31</w:t>
      </w:r>
      <w:r w:rsidR="006D44E6">
        <w:rPr>
          <w:rFonts w:ascii="Arial" w:eastAsia="Calibri" w:hAnsi="Arial" w:cs="Arial"/>
          <w:sz w:val="22"/>
          <w:lang w:val="es-CO"/>
        </w:rPr>
        <w:t xml:space="preserve"> </w:t>
      </w:r>
      <w:r w:rsidR="00975490" w:rsidRPr="00F176B9">
        <w:rPr>
          <w:rFonts w:ascii="Arial" w:eastAsia="Calibri" w:hAnsi="Arial" w:cs="Arial"/>
          <w:sz w:val="22"/>
          <w:lang w:val="es-CO"/>
        </w:rPr>
        <w:t>de</w:t>
      </w:r>
      <w:r w:rsidR="006D44E6">
        <w:rPr>
          <w:rFonts w:ascii="Arial" w:eastAsia="Calibri" w:hAnsi="Arial" w:cs="Arial"/>
          <w:sz w:val="22"/>
          <w:lang w:val="es-CO"/>
        </w:rPr>
        <w:t xml:space="preserve"> </w:t>
      </w:r>
      <w:r w:rsidR="00861F65">
        <w:rPr>
          <w:rFonts w:ascii="Arial" w:eastAsia="Calibri" w:hAnsi="Arial" w:cs="Arial"/>
          <w:sz w:val="22"/>
          <w:lang w:val="es-CO"/>
        </w:rPr>
        <w:t>mayo</w:t>
      </w:r>
      <w:r w:rsidR="00E3568A" w:rsidRPr="00F176B9">
        <w:rPr>
          <w:rFonts w:ascii="Arial" w:eastAsia="Calibri" w:hAnsi="Arial" w:cs="Arial"/>
          <w:sz w:val="22"/>
          <w:lang w:val="es-CO"/>
        </w:rPr>
        <w:t xml:space="preserve"> </w:t>
      </w:r>
      <w:r w:rsidRPr="00F176B9">
        <w:rPr>
          <w:rFonts w:ascii="Arial" w:eastAsia="Calibri" w:hAnsi="Arial" w:cs="Arial"/>
          <w:sz w:val="22"/>
          <w:lang w:val="es-CO"/>
        </w:rPr>
        <w:t>de 202</w:t>
      </w:r>
      <w:r w:rsidR="004653E7" w:rsidRPr="00F176B9">
        <w:rPr>
          <w:rFonts w:ascii="Arial" w:eastAsia="Calibri" w:hAnsi="Arial" w:cs="Arial"/>
          <w:sz w:val="22"/>
          <w:lang w:val="es-CO"/>
        </w:rPr>
        <w:t>2</w:t>
      </w:r>
      <w:r w:rsidRPr="00F176B9">
        <w:rPr>
          <w:rFonts w:ascii="Arial" w:eastAsia="Calibri" w:hAnsi="Arial" w:cs="Arial"/>
          <w:sz w:val="22"/>
          <w:lang w:val="es-CO"/>
        </w:rPr>
        <w:t xml:space="preserve">. </w:t>
      </w:r>
    </w:p>
    <w:p w14:paraId="6512D341" w14:textId="77777777" w:rsidR="00303D47" w:rsidRPr="00F176B9" w:rsidRDefault="00303D47" w:rsidP="00F176B9">
      <w:pPr>
        <w:spacing w:after="0"/>
        <w:rPr>
          <w:rFonts w:ascii="Arial" w:eastAsia="Calibri" w:hAnsi="Arial" w:cs="Arial"/>
          <w:sz w:val="22"/>
          <w:lang w:val="es-CO"/>
        </w:rPr>
      </w:pPr>
    </w:p>
    <w:p w14:paraId="3B0D1063" w14:textId="420ECC95" w:rsidR="005A114C" w:rsidRPr="00F176B9" w:rsidRDefault="002B72C0" w:rsidP="00F176B9">
      <w:pPr>
        <w:tabs>
          <w:tab w:val="left" w:pos="284"/>
        </w:tabs>
        <w:spacing w:after="0"/>
        <w:rPr>
          <w:rFonts w:ascii="Arial" w:eastAsia="Calibri" w:hAnsi="Arial" w:cs="Arial"/>
          <w:b/>
          <w:sz w:val="22"/>
          <w:lang w:val="es-CO"/>
        </w:rPr>
      </w:pPr>
      <w:r w:rsidRPr="00F176B9">
        <w:rPr>
          <w:rFonts w:ascii="Arial" w:eastAsia="Calibri" w:hAnsi="Arial" w:cs="Arial"/>
          <w:b/>
          <w:sz w:val="22"/>
          <w:lang w:val="es-CO"/>
        </w:rPr>
        <w:t xml:space="preserve">1. </w:t>
      </w:r>
      <w:r w:rsidR="00990612" w:rsidRPr="00F176B9">
        <w:rPr>
          <w:rFonts w:ascii="Arial" w:eastAsia="Calibri" w:hAnsi="Arial" w:cs="Arial"/>
          <w:b/>
          <w:sz w:val="22"/>
          <w:lang w:val="es-CO"/>
        </w:rPr>
        <w:t>Problema</w:t>
      </w:r>
      <w:r w:rsidR="00AD55A8">
        <w:rPr>
          <w:rFonts w:ascii="Arial" w:eastAsia="Calibri" w:hAnsi="Arial" w:cs="Arial"/>
          <w:b/>
          <w:sz w:val="22"/>
          <w:lang w:val="es-CO"/>
        </w:rPr>
        <w:t>s</w:t>
      </w:r>
      <w:r w:rsidR="00990612" w:rsidRPr="00F176B9">
        <w:rPr>
          <w:rFonts w:ascii="Arial" w:eastAsia="Calibri" w:hAnsi="Arial" w:cs="Arial"/>
          <w:b/>
          <w:sz w:val="22"/>
          <w:lang w:val="es-CO"/>
        </w:rPr>
        <w:t xml:space="preserve"> planteado</w:t>
      </w:r>
      <w:r w:rsidR="00AD55A8">
        <w:rPr>
          <w:rFonts w:ascii="Arial" w:eastAsia="Calibri" w:hAnsi="Arial" w:cs="Arial"/>
          <w:b/>
          <w:sz w:val="22"/>
          <w:lang w:val="es-CO"/>
        </w:rPr>
        <w:t>s</w:t>
      </w:r>
    </w:p>
    <w:p w14:paraId="2FBDB7F6" w14:textId="77777777" w:rsidR="005A114C" w:rsidRPr="007B78B9" w:rsidRDefault="005A114C" w:rsidP="00F176B9">
      <w:pPr>
        <w:pStyle w:val="Prrafodelista"/>
        <w:tabs>
          <w:tab w:val="left" w:pos="284"/>
        </w:tabs>
        <w:spacing w:after="0"/>
        <w:ind w:left="0" w:firstLine="709"/>
        <w:rPr>
          <w:rFonts w:ascii="Arial" w:eastAsia="Calibri" w:hAnsi="Arial" w:cs="Arial"/>
          <w:b/>
          <w:sz w:val="18"/>
          <w:szCs w:val="18"/>
          <w:lang w:val="es-CO"/>
        </w:rPr>
      </w:pPr>
    </w:p>
    <w:p w14:paraId="1598A224" w14:textId="123A2BF2" w:rsidR="009B2C78" w:rsidRDefault="004653E7" w:rsidP="002E7E35">
      <w:pPr>
        <w:autoSpaceDE w:val="0"/>
        <w:autoSpaceDN w:val="0"/>
        <w:adjustRightInd w:val="0"/>
        <w:spacing w:after="0" w:line="240" w:lineRule="auto"/>
        <w:jc w:val="left"/>
        <w:rPr>
          <w:rFonts w:ascii="Arial" w:hAnsi="Arial" w:cs="Arial"/>
          <w:sz w:val="22"/>
          <w:shd w:val="clear" w:color="auto" w:fill="FFFFFF"/>
        </w:rPr>
      </w:pPr>
      <w:bookmarkStart w:id="2" w:name="_Hlk58917991"/>
      <w:bookmarkStart w:id="3" w:name="_Hlk56103000"/>
      <w:r w:rsidRPr="00F176B9">
        <w:rPr>
          <w:rFonts w:ascii="Arial" w:hAnsi="Arial" w:cs="Arial"/>
          <w:sz w:val="22"/>
        </w:rPr>
        <w:t xml:space="preserve">Usted realiza </w:t>
      </w:r>
      <w:r w:rsidR="00C67716">
        <w:rPr>
          <w:rFonts w:ascii="Arial" w:hAnsi="Arial" w:cs="Arial"/>
          <w:sz w:val="22"/>
        </w:rPr>
        <w:t xml:space="preserve">la siguiente </w:t>
      </w:r>
      <w:r w:rsidRPr="00F176B9">
        <w:rPr>
          <w:rFonts w:ascii="Arial" w:hAnsi="Arial" w:cs="Arial"/>
          <w:sz w:val="22"/>
        </w:rPr>
        <w:t>consulta</w:t>
      </w:r>
      <w:r w:rsidR="00861F65">
        <w:rPr>
          <w:rFonts w:ascii="Arial" w:hAnsi="Arial" w:cs="Arial"/>
          <w:sz w:val="22"/>
        </w:rPr>
        <w:t xml:space="preserve"> relacionada con </w:t>
      </w:r>
      <w:r w:rsidR="00476B68">
        <w:rPr>
          <w:rFonts w:ascii="Arial" w:hAnsi="Arial" w:cs="Arial"/>
          <w:sz w:val="22"/>
        </w:rPr>
        <w:t>los documentos tipo de interventoría y consultoría de obra pública de infraestructura de transporte, al respecto consulta</w:t>
      </w:r>
      <w:r w:rsidR="008C710C" w:rsidRPr="00F176B9">
        <w:rPr>
          <w:rFonts w:ascii="Arial" w:hAnsi="Arial" w:cs="Arial"/>
          <w:sz w:val="22"/>
          <w:shd w:val="clear" w:color="auto" w:fill="FFFFFF"/>
        </w:rPr>
        <w:t xml:space="preserve">: </w:t>
      </w:r>
    </w:p>
    <w:p w14:paraId="267A195A" w14:textId="77777777" w:rsidR="009B2C78" w:rsidRDefault="009B2C78" w:rsidP="002E7E35">
      <w:pPr>
        <w:autoSpaceDE w:val="0"/>
        <w:autoSpaceDN w:val="0"/>
        <w:adjustRightInd w:val="0"/>
        <w:spacing w:after="0" w:line="240" w:lineRule="auto"/>
        <w:jc w:val="left"/>
        <w:rPr>
          <w:rFonts w:ascii="Arial" w:hAnsi="Arial" w:cs="Arial"/>
          <w:sz w:val="22"/>
          <w:shd w:val="clear" w:color="auto" w:fill="FFFFFF"/>
        </w:rPr>
      </w:pPr>
    </w:p>
    <w:p w14:paraId="6639328B" w14:textId="7C5AAD80" w:rsidR="00714833" w:rsidRDefault="00AE10E4" w:rsidP="009728CB">
      <w:pPr>
        <w:autoSpaceDE w:val="0"/>
        <w:autoSpaceDN w:val="0"/>
        <w:adjustRightInd w:val="0"/>
        <w:spacing w:after="0" w:line="240" w:lineRule="auto"/>
        <w:ind w:left="709" w:right="709"/>
        <w:rPr>
          <w:rFonts w:ascii="Arial" w:hAnsi="Arial" w:cs="Arial"/>
          <w:sz w:val="21"/>
          <w:szCs w:val="21"/>
        </w:rPr>
      </w:pPr>
      <w:bookmarkStart w:id="4" w:name="_Hlk101815807"/>
      <w:bookmarkStart w:id="5" w:name="_Hlk107498242"/>
      <w:bookmarkStart w:id="6" w:name="_Hlk108533250"/>
      <w:bookmarkStart w:id="7" w:name="_Hlk105769369"/>
      <w:r w:rsidRPr="005977FA">
        <w:rPr>
          <w:rFonts w:ascii="Arial" w:hAnsi="Arial" w:cs="Arial"/>
          <w:sz w:val="21"/>
          <w:szCs w:val="21"/>
          <w:shd w:val="clear" w:color="auto" w:fill="FFFFFF"/>
        </w:rPr>
        <w:t>«</w:t>
      </w:r>
      <w:bookmarkEnd w:id="4"/>
      <w:r w:rsidR="009728CB">
        <w:rPr>
          <w:rFonts w:ascii="Arial" w:hAnsi="Arial" w:cs="Arial"/>
          <w:sz w:val="21"/>
          <w:szCs w:val="21"/>
          <w:shd w:val="clear" w:color="auto" w:fill="FFFFFF"/>
        </w:rPr>
        <w:t xml:space="preserve"> </w:t>
      </w:r>
      <w:r w:rsidR="009728CB">
        <w:rPr>
          <w:rFonts w:ascii="Arial" w:hAnsi="Arial" w:cs="Arial"/>
          <w:sz w:val="21"/>
          <w:szCs w:val="21"/>
        </w:rPr>
        <w:t xml:space="preserve">[…] </w:t>
      </w:r>
      <w:r w:rsidR="009728CB" w:rsidRPr="009728CB">
        <w:rPr>
          <w:rFonts w:ascii="Arial" w:hAnsi="Arial" w:cs="Arial"/>
          <w:sz w:val="21"/>
          <w:szCs w:val="21"/>
        </w:rPr>
        <w:t>surge la duda de si en</w:t>
      </w:r>
      <w:r w:rsidR="009728CB">
        <w:rPr>
          <w:rFonts w:ascii="Arial" w:hAnsi="Arial" w:cs="Arial"/>
          <w:sz w:val="21"/>
          <w:szCs w:val="21"/>
        </w:rPr>
        <w:t xml:space="preserve"> </w:t>
      </w:r>
      <w:r w:rsidR="009728CB" w:rsidRPr="009728CB">
        <w:rPr>
          <w:rFonts w:ascii="Arial" w:hAnsi="Arial" w:cs="Arial"/>
          <w:sz w:val="21"/>
          <w:szCs w:val="21"/>
        </w:rPr>
        <w:t>caso que el proponente allegue, por ejemplo, un RUP desactualizado y sea necesario</w:t>
      </w:r>
      <w:r w:rsidR="009728CB">
        <w:rPr>
          <w:rFonts w:ascii="Arial" w:hAnsi="Arial" w:cs="Arial"/>
          <w:sz w:val="21"/>
          <w:szCs w:val="21"/>
        </w:rPr>
        <w:t xml:space="preserve"> </w:t>
      </w:r>
      <w:r w:rsidR="009728CB" w:rsidRPr="009728CB">
        <w:rPr>
          <w:rFonts w:ascii="Arial" w:hAnsi="Arial" w:cs="Arial"/>
          <w:sz w:val="21"/>
          <w:szCs w:val="21"/>
        </w:rPr>
        <w:t>que subsane aportando por ejemplo una certificación de cámara de comercio de haber</w:t>
      </w:r>
      <w:r w:rsidR="009728CB">
        <w:rPr>
          <w:rFonts w:ascii="Arial" w:hAnsi="Arial" w:cs="Arial"/>
          <w:sz w:val="21"/>
          <w:szCs w:val="21"/>
        </w:rPr>
        <w:t xml:space="preserve"> </w:t>
      </w:r>
      <w:r w:rsidR="009728CB" w:rsidRPr="009728CB">
        <w:rPr>
          <w:rFonts w:ascii="Arial" w:hAnsi="Arial" w:cs="Arial"/>
          <w:sz w:val="21"/>
          <w:szCs w:val="21"/>
        </w:rPr>
        <w:t>realizado el pago por los derechos de renovación y que no han cesado los efectos del</w:t>
      </w:r>
      <w:r w:rsidR="009728CB">
        <w:rPr>
          <w:rFonts w:ascii="Arial" w:hAnsi="Arial" w:cs="Arial"/>
          <w:sz w:val="21"/>
          <w:szCs w:val="21"/>
        </w:rPr>
        <w:t xml:space="preserve"> </w:t>
      </w:r>
      <w:r w:rsidR="009728CB" w:rsidRPr="009728CB">
        <w:rPr>
          <w:rFonts w:ascii="Arial" w:hAnsi="Arial" w:cs="Arial"/>
          <w:sz w:val="21"/>
          <w:szCs w:val="21"/>
        </w:rPr>
        <w:t>RUP, o que por ejemplo en lugar de RUP allegue RUES, en caso que subsane</w:t>
      </w:r>
      <w:r w:rsidR="009728CB">
        <w:rPr>
          <w:rFonts w:ascii="Arial" w:hAnsi="Arial" w:cs="Arial"/>
          <w:sz w:val="21"/>
          <w:szCs w:val="21"/>
        </w:rPr>
        <w:t xml:space="preserve"> </w:t>
      </w:r>
      <w:r w:rsidR="009728CB" w:rsidRPr="009728CB">
        <w:rPr>
          <w:rFonts w:ascii="Arial" w:hAnsi="Arial" w:cs="Arial"/>
          <w:sz w:val="21"/>
          <w:szCs w:val="21"/>
        </w:rPr>
        <w:t>demostrando que contaba con RUP actualizado y en firme para la fecha de cierre, es</w:t>
      </w:r>
      <w:r w:rsidR="009728CB">
        <w:rPr>
          <w:rFonts w:ascii="Arial" w:hAnsi="Arial" w:cs="Arial"/>
          <w:sz w:val="21"/>
          <w:szCs w:val="21"/>
        </w:rPr>
        <w:t xml:space="preserve"> </w:t>
      </w:r>
      <w:r w:rsidR="009728CB" w:rsidRPr="009728CB">
        <w:rPr>
          <w:rFonts w:ascii="Arial" w:hAnsi="Arial" w:cs="Arial"/>
          <w:sz w:val="21"/>
          <w:szCs w:val="21"/>
        </w:rPr>
        <w:t>obvio que el proponente estará habilitado y que sus contratos son validos para</w:t>
      </w:r>
      <w:r w:rsidR="009728CB">
        <w:rPr>
          <w:rFonts w:ascii="Arial" w:hAnsi="Arial" w:cs="Arial"/>
          <w:sz w:val="21"/>
          <w:szCs w:val="21"/>
        </w:rPr>
        <w:t xml:space="preserve"> </w:t>
      </w:r>
      <w:r w:rsidR="009728CB" w:rsidRPr="009728CB">
        <w:rPr>
          <w:rFonts w:ascii="Arial" w:hAnsi="Arial" w:cs="Arial"/>
          <w:sz w:val="21"/>
          <w:szCs w:val="21"/>
        </w:rPr>
        <w:t>acreditar la experiencia mínima, pero no queda del todo claro si esto lo privaría de</w:t>
      </w:r>
      <w:r w:rsidR="009728CB">
        <w:rPr>
          <w:rFonts w:ascii="Arial" w:hAnsi="Arial" w:cs="Arial"/>
          <w:sz w:val="21"/>
          <w:szCs w:val="21"/>
        </w:rPr>
        <w:t xml:space="preserve"> </w:t>
      </w:r>
      <w:r w:rsidR="009728CB" w:rsidRPr="009728CB">
        <w:rPr>
          <w:rFonts w:ascii="Arial" w:hAnsi="Arial" w:cs="Arial"/>
          <w:sz w:val="21"/>
          <w:szCs w:val="21"/>
        </w:rPr>
        <w:t>participar en la asignación de puntaje conforme se señaló en líneas precedentes, toda</w:t>
      </w:r>
      <w:r w:rsidR="009728CB">
        <w:rPr>
          <w:rFonts w:ascii="Arial" w:hAnsi="Arial" w:cs="Arial"/>
          <w:sz w:val="21"/>
          <w:szCs w:val="21"/>
        </w:rPr>
        <w:t xml:space="preserve"> </w:t>
      </w:r>
      <w:r w:rsidR="009728CB" w:rsidRPr="009728CB">
        <w:rPr>
          <w:rFonts w:ascii="Arial" w:hAnsi="Arial" w:cs="Arial"/>
          <w:sz w:val="21"/>
          <w:szCs w:val="21"/>
        </w:rPr>
        <w:t>vez que al subsanar la experiencia queda habilitado, pero pierde el puntaje respecto a</w:t>
      </w:r>
      <w:r w:rsidR="009728CB">
        <w:rPr>
          <w:rFonts w:ascii="Arial" w:hAnsi="Arial" w:cs="Arial"/>
          <w:sz w:val="21"/>
          <w:szCs w:val="21"/>
        </w:rPr>
        <w:t xml:space="preserve"> </w:t>
      </w:r>
      <w:r w:rsidR="009728CB" w:rsidRPr="009728CB">
        <w:rPr>
          <w:rFonts w:ascii="Arial" w:hAnsi="Arial" w:cs="Arial"/>
          <w:sz w:val="21"/>
          <w:szCs w:val="21"/>
        </w:rPr>
        <w:t xml:space="preserve">la experiencia que fue necesario subsanar. En este sentido, se quiere conocer </w:t>
      </w:r>
      <w:r w:rsidR="009728CB" w:rsidRPr="009728CB">
        <w:rPr>
          <w:rFonts w:ascii="Arial" w:hAnsi="Arial" w:cs="Arial"/>
          <w:sz w:val="21"/>
          <w:szCs w:val="21"/>
        </w:rPr>
        <w:lastRenderedPageBreak/>
        <w:t>si al</w:t>
      </w:r>
      <w:r w:rsidR="009728CB">
        <w:rPr>
          <w:rFonts w:ascii="Arial" w:hAnsi="Arial" w:cs="Arial"/>
          <w:sz w:val="21"/>
          <w:szCs w:val="21"/>
        </w:rPr>
        <w:t xml:space="preserve"> </w:t>
      </w:r>
      <w:r w:rsidR="009728CB" w:rsidRPr="009728CB">
        <w:rPr>
          <w:rFonts w:ascii="Arial" w:hAnsi="Arial" w:cs="Arial"/>
          <w:sz w:val="21"/>
          <w:szCs w:val="21"/>
        </w:rPr>
        <w:t>subsanarse el requisito del RUP y este</w:t>
      </w:r>
      <w:r w:rsidR="005746A3">
        <w:rPr>
          <w:rFonts w:ascii="Arial" w:hAnsi="Arial" w:cs="Arial"/>
          <w:sz w:val="21"/>
          <w:szCs w:val="21"/>
        </w:rPr>
        <w:t xml:space="preserve"> (sic)</w:t>
      </w:r>
      <w:r w:rsidR="009728CB" w:rsidRPr="009728CB">
        <w:rPr>
          <w:rFonts w:ascii="Arial" w:hAnsi="Arial" w:cs="Arial"/>
          <w:sz w:val="21"/>
          <w:szCs w:val="21"/>
        </w:rPr>
        <w:t xml:space="preserve"> estar relacionado con la forma de probar la</w:t>
      </w:r>
      <w:r w:rsidR="009728CB">
        <w:rPr>
          <w:rFonts w:ascii="Arial" w:hAnsi="Arial" w:cs="Arial"/>
          <w:sz w:val="21"/>
          <w:szCs w:val="21"/>
        </w:rPr>
        <w:t xml:space="preserve"> </w:t>
      </w:r>
      <w:r w:rsidR="009728CB" w:rsidRPr="009728CB">
        <w:rPr>
          <w:rFonts w:ascii="Arial" w:hAnsi="Arial" w:cs="Arial"/>
          <w:sz w:val="21"/>
          <w:szCs w:val="21"/>
        </w:rPr>
        <w:t>experiencia, se pierde el puntaje o esta subsanación no se entiende como una</w:t>
      </w:r>
      <w:r w:rsidR="009728CB">
        <w:rPr>
          <w:rFonts w:ascii="Arial" w:hAnsi="Arial" w:cs="Arial"/>
          <w:sz w:val="21"/>
          <w:szCs w:val="21"/>
        </w:rPr>
        <w:t xml:space="preserve"> </w:t>
      </w:r>
      <w:r w:rsidR="009728CB" w:rsidRPr="009728CB">
        <w:rPr>
          <w:rFonts w:ascii="Arial" w:hAnsi="Arial" w:cs="Arial"/>
          <w:sz w:val="21"/>
          <w:szCs w:val="21"/>
        </w:rPr>
        <w:t>subsanación de la experiencia.</w:t>
      </w:r>
      <w:r w:rsidR="004653E7" w:rsidRPr="005977FA">
        <w:rPr>
          <w:rFonts w:ascii="Arial" w:hAnsi="Arial" w:cs="Arial"/>
          <w:sz w:val="21"/>
          <w:szCs w:val="21"/>
        </w:rPr>
        <w:t>»</w:t>
      </w:r>
      <w:r w:rsidR="0067388D" w:rsidRPr="005977FA">
        <w:rPr>
          <w:rFonts w:ascii="Arial" w:hAnsi="Arial" w:cs="Arial"/>
          <w:sz w:val="21"/>
          <w:szCs w:val="21"/>
        </w:rPr>
        <w:t>.</w:t>
      </w:r>
      <w:r w:rsidR="00AE0CBF" w:rsidRPr="005977FA">
        <w:rPr>
          <w:rFonts w:ascii="Arial" w:hAnsi="Arial" w:cs="Arial"/>
          <w:sz w:val="21"/>
          <w:szCs w:val="21"/>
        </w:rPr>
        <w:t xml:space="preserve"> </w:t>
      </w:r>
      <w:bookmarkEnd w:id="5"/>
    </w:p>
    <w:bookmarkEnd w:id="6"/>
    <w:p w14:paraId="3DBF133E" w14:textId="15F0E3C2" w:rsidR="00FD15B5" w:rsidRDefault="00FD15B5" w:rsidP="009728CB">
      <w:pPr>
        <w:autoSpaceDE w:val="0"/>
        <w:autoSpaceDN w:val="0"/>
        <w:adjustRightInd w:val="0"/>
        <w:spacing w:after="0" w:line="240" w:lineRule="auto"/>
        <w:ind w:left="709" w:right="709"/>
        <w:rPr>
          <w:rFonts w:ascii="Arial" w:hAnsi="Arial" w:cs="Arial"/>
          <w:sz w:val="21"/>
          <w:szCs w:val="21"/>
        </w:rPr>
      </w:pPr>
    </w:p>
    <w:bookmarkEnd w:id="7"/>
    <w:bookmarkEnd w:id="2"/>
    <w:bookmarkEnd w:id="3"/>
    <w:p w14:paraId="509ED1DE" w14:textId="4F8AAED4" w:rsidR="005027F0" w:rsidRDefault="002B72C0" w:rsidP="00F176B9">
      <w:pPr>
        <w:tabs>
          <w:tab w:val="left" w:pos="284"/>
        </w:tabs>
        <w:spacing w:after="0"/>
        <w:rPr>
          <w:rFonts w:ascii="Arial" w:eastAsia="Calibri" w:hAnsi="Arial" w:cs="Arial"/>
          <w:b/>
          <w:sz w:val="22"/>
          <w:lang w:val="es-CO"/>
        </w:rPr>
      </w:pPr>
      <w:r w:rsidRPr="00F176B9">
        <w:rPr>
          <w:rFonts w:ascii="Arial" w:eastAsia="Calibri" w:hAnsi="Arial" w:cs="Arial"/>
          <w:b/>
          <w:sz w:val="22"/>
          <w:lang w:val="es-CO"/>
        </w:rPr>
        <w:t xml:space="preserve">2. </w:t>
      </w:r>
      <w:r w:rsidR="00990612" w:rsidRPr="00F176B9">
        <w:rPr>
          <w:rFonts w:ascii="Arial" w:eastAsia="Calibri" w:hAnsi="Arial" w:cs="Arial"/>
          <w:b/>
          <w:sz w:val="22"/>
          <w:lang w:val="es-CO"/>
        </w:rPr>
        <w:t>Consideraciones</w:t>
      </w:r>
    </w:p>
    <w:p w14:paraId="1661D409" w14:textId="167BE9D4" w:rsidR="00817931" w:rsidRDefault="00817931" w:rsidP="00F176B9">
      <w:pPr>
        <w:tabs>
          <w:tab w:val="left" w:pos="284"/>
        </w:tabs>
        <w:spacing w:after="0"/>
        <w:rPr>
          <w:rFonts w:ascii="Arial" w:eastAsia="Calibri" w:hAnsi="Arial" w:cs="Arial"/>
          <w:b/>
          <w:sz w:val="22"/>
          <w:lang w:val="es-CO"/>
        </w:rPr>
      </w:pPr>
    </w:p>
    <w:p w14:paraId="16F98412" w14:textId="77777777" w:rsidR="00817931" w:rsidRPr="00817931" w:rsidRDefault="00817931" w:rsidP="00817931">
      <w:pPr>
        <w:spacing w:after="0"/>
        <w:rPr>
          <w:rFonts w:ascii="Arial" w:eastAsia="Calibri" w:hAnsi="Arial" w:cs="Arial"/>
          <w:color w:val="000000"/>
          <w:sz w:val="22"/>
          <w:szCs w:val="24"/>
          <w:lang w:val="es-CO" w:eastAsia="es-ES_tradnl"/>
        </w:rPr>
      </w:pPr>
      <w:r w:rsidRPr="00817931">
        <w:rPr>
          <w:rFonts w:ascii="Arial" w:eastAsia="Calibri" w:hAnsi="Arial" w:cs="Arial"/>
          <w:color w:val="000000"/>
          <w:sz w:val="22"/>
          <w:szCs w:val="24"/>
          <w:lang w:val="es-CO"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817931">
        <w:rPr>
          <w:rFonts w:ascii="Arial" w:eastAsia="Calibri" w:hAnsi="Arial" w:cs="Arial"/>
          <w:color w:val="000000"/>
          <w:sz w:val="22"/>
          <w:szCs w:val="24"/>
          <w:vertAlign w:val="superscript"/>
          <w:lang w:val="es-CO" w:eastAsia="es-ES_tradnl"/>
        </w:rPr>
        <w:footnoteReference w:id="1"/>
      </w:r>
      <w:r w:rsidRPr="00817931">
        <w:rPr>
          <w:rFonts w:ascii="Arial" w:eastAsia="Calibri" w:hAnsi="Arial" w:cs="Arial"/>
          <w:color w:val="000000"/>
          <w:sz w:val="22"/>
          <w:szCs w:val="24"/>
          <w:lang w:val="es-CO" w:eastAsia="es-ES_tradnl"/>
        </w:rPr>
        <w:t>.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508EB392" w14:textId="2A912BDE" w:rsidR="00F43FC8" w:rsidRDefault="00817931" w:rsidP="00231255">
      <w:pPr>
        <w:spacing w:before="120" w:after="120"/>
        <w:ind w:firstLine="708"/>
        <w:rPr>
          <w:rFonts w:ascii="Arial" w:eastAsia="Calibri" w:hAnsi="Arial" w:cs="Arial"/>
          <w:color w:val="000000"/>
          <w:sz w:val="22"/>
          <w:szCs w:val="24"/>
          <w:lang w:val="es-CO" w:eastAsia="es-ES_tradnl"/>
        </w:rPr>
      </w:pPr>
      <w:r w:rsidRPr="00817931">
        <w:rPr>
          <w:rFonts w:ascii="Arial" w:eastAsia="Calibri" w:hAnsi="Arial" w:cs="Arial"/>
          <w:color w:val="000000"/>
          <w:sz w:val="22"/>
          <w:szCs w:val="24"/>
          <w:lang w:val="es-CO"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w:t>
      </w:r>
    </w:p>
    <w:p w14:paraId="4B35FBB2" w14:textId="758FBF81" w:rsidR="00066743" w:rsidRDefault="00A66F25" w:rsidP="00231255">
      <w:pPr>
        <w:tabs>
          <w:tab w:val="left" w:pos="284"/>
        </w:tabs>
        <w:spacing w:after="120"/>
        <w:rPr>
          <w:rFonts w:ascii="Arial" w:eastAsia="Calibri" w:hAnsi="Arial" w:cs="Arial"/>
          <w:b/>
          <w:sz w:val="22"/>
          <w:lang w:val="es-CO"/>
        </w:rPr>
      </w:pPr>
      <w:r>
        <w:rPr>
          <w:rFonts w:ascii="Arial" w:eastAsia="Calibri" w:hAnsi="Arial" w:cs="Arial"/>
          <w:bCs/>
          <w:color w:val="000000" w:themeColor="text1"/>
          <w:sz w:val="22"/>
          <w:lang w:val="es-ES_tradnl"/>
        </w:rPr>
        <w:tab/>
      </w:r>
      <w:r>
        <w:rPr>
          <w:rFonts w:ascii="Arial" w:eastAsia="Calibri" w:hAnsi="Arial" w:cs="Arial"/>
          <w:bCs/>
          <w:color w:val="000000" w:themeColor="text1"/>
          <w:sz w:val="22"/>
          <w:lang w:val="es-ES_tradnl"/>
        </w:rPr>
        <w:tab/>
      </w:r>
      <w:r w:rsidR="00817931">
        <w:rPr>
          <w:rFonts w:ascii="Arial" w:eastAsia="Calibri" w:hAnsi="Arial" w:cs="Arial"/>
          <w:bCs/>
          <w:color w:val="000000" w:themeColor="text1"/>
          <w:sz w:val="22"/>
          <w:lang w:val="es-ES_tradnl"/>
        </w:rPr>
        <w:t>Sin perjuicio de lo anterior, dentro de los límites de la competencia consultiva atribuida a esta entidad, se resolverán sus preguntas, previo análisis</w:t>
      </w:r>
      <w:r w:rsidR="00817931">
        <w:rPr>
          <w:rFonts w:ascii="Arial" w:eastAsia="Calibri" w:hAnsi="Arial" w:cs="Arial"/>
          <w:color w:val="000000" w:themeColor="text1"/>
          <w:sz w:val="22"/>
          <w:lang w:val="es-ES"/>
        </w:rPr>
        <w:t xml:space="preserve"> de </w:t>
      </w:r>
      <w:r w:rsidR="00817931" w:rsidRPr="0098556F">
        <w:rPr>
          <w:rFonts w:ascii="Arial" w:eastAsia="Calibri" w:hAnsi="Arial" w:cs="Arial"/>
          <w:color w:val="000000" w:themeColor="text1"/>
          <w:sz w:val="22"/>
          <w:lang w:val="es-ES"/>
        </w:rPr>
        <w:t>los siguientes temas</w:t>
      </w:r>
      <w:r w:rsidR="00817931" w:rsidRPr="0098556F">
        <w:rPr>
          <w:rFonts w:ascii="Arial" w:hAnsi="Arial" w:cs="Arial"/>
          <w:color w:val="000000" w:themeColor="text1"/>
          <w:sz w:val="22"/>
          <w:lang w:val="es-ES"/>
        </w:rPr>
        <w:t>:</w:t>
      </w:r>
      <w:r w:rsidR="00F87B39">
        <w:rPr>
          <w:rFonts w:ascii="Arial" w:eastAsia="Calibri" w:hAnsi="Arial" w:cs="Arial"/>
          <w:color w:val="000000"/>
          <w:sz w:val="22"/>
          <w:lang w:val="es-CO"/>
        </w:rPr>
        <w:t xml:space="preserve"> </w:t>
      </w:r>
      <w:r w:rsidR="00FB7DD6" w:rsidRPr="00FB7DD6">
        <w:rPr>
          <w:rFonts w:ascii="Arial" w:eastAsia="Calibri" w:hAnsi="Arial" w:cs="Arial"/>
          <w:color w:val="000000"/>
          <w:sz w:val="22"/>
          <w:lang w:val="es-CO"/>
        </w:rPr>
        <w:t xml:space="preserve">i) </w:t>
      </w:r>
      <w:r w:rsidR="00F11122">
        <w:rPr>
          <w:rFonts w:ascii="Arial" w:eastAsia="Calibri" w:hAnsi="Arial" w:cs="Arial"/>
          <w:color w:val="000000"/>
          <w:sz w:val="22"/>
          <w:lang w:val="es-CO"/>
        </w:rPr>
        <w:t>f</w:t>
      </w:r>
      <w:r w:rsidR="00FB7DD6" w:rsidRPr="00FB7DD6">
        <w:rPr>
          <w:rFonts w:ascii="Arial" w:eastAsia="Calibri" w:hAnsi="Arial" w:cs="Arial"/>
          <w:color w:val="000000"/>
          <w:sz w:val="22"/>
          <w:lang w:val="es-CO"/>
        </w:rPr>
        <w:t xml:space="preserve">undamento normativo de los documentos tipo, en particular </w:t>
      </w:r>
      <w:r w:rsidR="00FB7DD6">
        <w:rPr>
          <w:rFonts w:ascii="Arial" w:eastAsia="Calibri" w:hAnsi="Arial" w:cs="Arial"/>
          <w:color w:val="000000"/>
          <w:sz w:val="22"/>
          <w:lang w:val="es-CO"/>
        </w:rPr>
        <w:t>los</w:t>
      </w:r>
      <w:r w:rsidR="00FB7DD6" w:rsidRPr="00FB7DD6">
        <w:rPr>
          <w:rFonts w:ascii="Arial" w:eastAsia="Calibri" w:hAnsi="Arial" w:cs="Arial"/>
          <w:color w:val="000000"/>
          <w:sz w:val="22"/>
          <w:lang w:val="es-CO"/>
        </w:rPr>
        <w:t xml:space="preserve"> documento tipo para interventoría</w:t>
      </w:r>
      <w:r w:rsidR="00FB7DD6">
        <w:rPr>
          <w:rFonts w:ascii="Arial" w:eastAsia="Calibri" w:hAnsi="Arial" w:cs="Arial"/>
          <w:color w:val="000000"/>
          <w:sz w:val="22"/>
          <w:lang w:val="es-CO"/>
        </w:rPr>
        <w:t xml:space="preserve"> y consultoría</w:t>
      </w:r>
      <w:r w:rsidR="00FB7DD6" w:rsidRPr="00FB7DD6">
        <w:rPr>
          <w:rFonts w:ascii="Arial" w:eastAsia="Calibri" w:hAnsi="Arial" w:cs="Arial"/>
          <w:color w:val="000000"/>
          <w:sz w:val="22"/>
          <w:lang w:val="es-CO"/>
        </w:rPr>
        <w:t xml:space="preserve"> de obras de infraestructura de transporte;</w:t>
      </w:r>
      <w:r w:rsidR="00F11122">
        <w:rPr>
          <w:rFonts w:ascii="Arial" w:eastAsia="Calibri" w:hAnsi="Arial" w:cs="Arial"/>
          <w:color w:val="000000"/>
          <w:sz w:val="22"/>
          <w:lang w:val="es-CO"/>
        </w:rPr>
        <w:t xml:space="preserve"> y</w:t>
      </w:r>
      <w:r w:rsidR="00FB7DD6" w:rsidRPr="00FB7DD6">
        <w:rPr>
          <w:rFonts w:ascii="Arial" w:eastAsia="Calibri" w:hAnsi="Arial" w:cs="Arial"/>
          <w:color w:val="000000"/>
          <w:sz w:val="22"/>
          <w:lang w:val="es-CO"/>
        </w:rPr>
        <w:t xml:space="preserve"> ii) </w:t>
      </w:r>
      <w:r w:rsidR="00F11122" w:rsidRPr="00F11122">
        <w:rPr>
          <w:rFonts w:ascii="Arial" w:eastAsia="Calibri" w:hAnsi="Arial" w:cs="Arial"/>
          <w:color w:val="000000"/>
          <w:sz w:val="22"/>
          <w:lang w:val="es-CO"/>
        </w:rPr>
        <w:t>Subsanabilidad de la experiencia del proponente en los documentos tipo de concurso de méritos de interventoría y consultoría de estudios de ingeniería de obras públicas de infraestructura de transporte</w:t>
      </w:r>
      <w:r w:rsidR="00F11122">
        <w:rPr>
          <w:rFonts w:ascii="Arial" w:eastAsia="Calibri" w:hAnsi="Arial" w:cs="Arial"/>
          <w:color w:val="000000"/>
          <w:sz w:val="22"/>
          <w:lang w:val="es-CO"/>
        </w:rPr>
        <w:t>.</w:t>
      </w:r>
    </w:p>
    <w:p w14:paraId="0898451C" w14:textId="30664045" w:rsidR="006D0734" w:rsidRDefault="006D0734" w:rsidP="00AC6B00">
      <w:pPr>
        <w:spacing w:after="0"/>
        <w:ind w:firstLine="708"/>
        <w:rPr>
          <w:rFonts w:ascii="Arial" w:eastAsia="Calibri" w:hAnsi="Arial" w:cs="Arial"/>
          <w:color w:val="000000"/>
          <w:sz w:val="22"/>
          <w:szCs w:val="24"/>
          <w:lang w:val="es-CO" w:eastAsia="es-ES_tradnl"/>
        </w:rPr>
      </w:pPr>
      <w:r w:rsidRPr="006D0734">
        <w:rPr>
          <w:rFonts w:ascii="Arial" w:eastAsia="Calibri" w:hAnsi="Arial" w:cs="Arial"/>
          <w:color w:val="000000"/>
          <w:sz w:val="22"/>
          <w:szCs w:val="24"/>
          <w:lang w:val="es-CO" w:eastAsia="es-ES_tradnl"/>
        </w:rPr>
        <w:lastRenderedPageBreak/>
        <w:t>La Agencia Nacional de Contratación Pública – Colombia Compra Eficiente se pronunció sobre la regulación relacionada con la elección y aplicación del método de ponderación de ofertas en procesos contractuales regidos por documentos tipo mediante los conceptos C-193 del 6 de abril de 2020, C-279 del 18 de mayo de 2020, C-349 del 23 de junio de 2020, C-431 del 9 de julio de 2020, C-793 del 20 de enero de 2021, C-810 del 8 de febrero de 2021, C-011 del 17 de febrero de 2021, C-042 del 3 de marzo de 2021</w:t>
      </w:r>
      <w:r w:rsidR="00DA3F91">
        <w:rPr>
          <w:rFonts w:ascii="Arial" w:eastAsia="Calibri" w:hAnsi="Arial" w:cs="Arial"/>
          <w:color w:val="000000"/>
          <w:sz w:val="22"/>
          <w:szCs w:val="24"/>
          <w:lang w:val="es-CO" w:eastAsia="es-ES_tradnl"/>
        </w:rPr>
        <w:t xml:space="preserve">, </w:t>
      </w:r>
      <w:r w:rsidRPr="006D0734">
        <w:rPr>
          <w:rFonts w:ascii="Arial" w:eastAsia="Calibri" w:hAnsi="Arial" w:cs="Arial"/>
          <w:color w:val="000000"/>
          <w:sz w:val="22"/>
          <w:szCs w:val="24"/>
          <w:lang w:val="es-CO" w:eastAsia="es-ES_tradnl"/>
        </w:rPr>
        <w:t>C-174 del 26 de abril de 2021</w:t>
      </w:r>
      <w:r w:rsidR="00DA3F91">
        <w:t xml:space="preserve">, </w:t>
      </w:r>
      <w:r w:rsidR="00DA3F91" w:rsidRPr="00DA3F91">
        <w:rPr>
          <w:rFonts w:ascii="Arial" w:eastAsia="Calibri" w:hAnsi="Arial" w:cs="Arial"/>
          <w:color w:val="000000"/>
          <w:sz w:val="22"/>
          <w:szCs w:val="24"/>
          <w:lang w:val="es-CO" w:eastAsia="es-ES_tradnl"/>
        </w:rPr>
        <w:t>C-361 del 10 de agosto de 2021, C-690 del 27 de diciembre de 2021, C-672 del 27 de diciembre de 2021, C-010 del 15 de febrero de 2022, C-018 del 22 de febrero de 2022, C-025 del 22 de febrero de 2022 y C-130 del 22 de marzo de 2022.</w:t>
      </w:r>
      <w:r w:rsidRPr="006D0734">
        <w:rPr>
          <w:rFonts w:ascii="Arial" w:eastAsia="Calibri" w:hAnsi="Arial" w:cs="Arial"/>
          <w:color w:val="000000"/>
          <w:sz w:val="22"/>
          <w:szCs w:val="24"/>
          <w:lang w:val="es-CO" w:eastAsia="es-ES_tradnl"/>
        </w:rPr>
        <w:t xml:space="preserve"> </w:t>
      </w:r>
    </w:p>
    <w:p w14:paraId="2F0D73D1" w14:textId="4CE1FB83" w:rsidR="006D0734" w:rsidRPr="006D0734" w:rsidRDefault="006D0734" w:rsidP="006D0734">
      <w:pPr>
        <w:spacing w:before="120" w:after="0"/>
        <w:ind w:firstLine="709"/>
        <w:rPr>
          <w:rFonts w:ascii="Arial" w:eastAsia="Calibri" w:hAnsi="Arial" w:cs="Arial"/>
          <w:color w:val="000000"/>
          <w:sz w:val="22"/>
          <w:lang w:val="es-ES_tradnl"/>
        </w:rPr>
      </w:pPr>
      <w:r w:rsidRPr="006D0734">
        <w:rPr>
          <w:rFonts w:ascii="Arial" w:eastAsia="Calibri" w:hAnsi="Arial" w:cs="Arial"/>
          <w:color w:val="000000"/>
          <w:sz w:val="22"/>
          <w:lang w:val="es-ES_tradnl"/>
        </w:rPr>
        <w:t>En cuanto a los criterios que deben ser tenidos en cuenta para la subsanabilidad de las propuestas, esta Agencia unificó su criterio mediante el concepto C</w:t>
      </w:r>
      <w:r w:rsidR="009A5CDD">
        <w:rPr>
          <w:rFonts w:ascii="Arial" w:eastAsia="Calibri" w:hAnsi="Arial" w:cs="Arial"/>
          <w:color w:val="000000"/>
          <w:sz w:val="22"/>
          <w:lang w:val="es-ES_tradnl"/>
        </w:rPr>
        <w:t>U</w:t>
      </w:r>
      <w:r w:rsidRPr="006D0734">
        <w:rPr>
          <w:rFonts w:ascii="Arial" w:eastAsia="Calibri" w:hAnsi="Arial" w:cs="Arial"/>
          <w:color w:val="000000"/>
          <w:sz w:val="22"/>
          <w:lang w:val="es-ES_tradnl"/>
        </w:rPr>
        <w:t>-060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y C-779 de 18 de enero de 2021. Particularmente, en el concepto C-055 del 10 de marzo de 2021 se estudió la aplicación de la regla de subsanabilidad en los procesos de concurso de méritos adelantados con documentos tipo de interventoría de obra pública de infraestructura de transporte. Las tesis expuestas en los anteriores conceptos se reiteran a continuación y se complementan en lo pertinente.</w:t>
      </w:r>
    </w:p>
    <w:p w14:paraId="1578CA7E" w14:textId="3D49892F" w:rsidR="006D0734" w:rsidRDefault="006D0734" w:rsidP="006D0734">
      <w:pPr>
        <w:spacing w:after="0"/>
        <w:rPr>
          <w:rFonts w:ascii="Arial" w:eastAsia="Calibri" w:hAnsi="Arial" w:cs="Arial"/>
          <w:color w:val="000000"/>
          <w:sz w:val="22"/>
          <w:szCs w:val="24"/>
          <w:lang w:val="es-CO" w:eastAsia="es-ES_tradnl"/>
        </w:rPr>
      </w:pPr>
    </w:p>
    <w:p w14:paraId="01AE82DE" w14:textId="3FDFEC97" w:rsidR="00964418" w:rsidRPr="00964418" w:rsidRDefault="00964418" w:rsidP="00964418">
      <w:pPr>
        <w:spacing w:after="0"/>
        <w:rPr>
          <w:rFonts w:ascii="Arial" w:eastAsia="Arial" w:hAnsi="Arial" w:cs="Arial"/>
          <w:b/>
          <w:bCs/>
          <w:color w:val="000000"/>
          <w:sz w:val="22"/>
          <w:lang w:val="es-ES_tradnl"/>
        </w:rPr>
      </w:pPr>
      <w:r w:rsidRPr="00964418">
        <w:rPr>
          <w:rFonts w:ascii="Arial" w:eastAsia="Arial" w:hAnsi="Arial" w:cs="Arial"/>
          <w:b/>
          <w:bCs/>
          <w:color w:val="000000"/>
          <w:sz w:val="22"/>
          <w:lang w:val="es-ES_tradnl"/>
        </w:rPr>
        <w:t>2.1. Fundamento normativo de los documentos</w:t>
      </w:r>
      <w:r w:rsidR="004E4A87">
        <w:rPr>
          <w:rFonts w:ascii="Arial" w:eastAsia="Arial" w:hAnsi="Arial" w:cs="Arial"/>
          <w:b/>
          <w:bCs/>
          <w:color w:val="000000"/>
          <w:sz w:val="22"/>
          <w:lang w:val="es-ES_tradnl"/>
        </w:rPr>
        <w:t xml:space="preserve"> tipo de </w:t>
      </w:r>
      <w:r w:rsidRPr="00964418">
        <w:rPr>
          <w:rFonts w:ascii="Arial" w:eastAsia="Arial" w:hAnsi="Arial" w:cs="Arial"/>
          <w:b/>
          <w:bCs/>
          <w:color w:val="000000"/>
          <w:sz w:val="22"/>
          <w:lang w:val="es-ES_tradnl"/>
        </w:rPr>
        <w:t xml:space="preserve">interventoría </w:t>
      </w:r>
      <w:r w:rsidR="004E4A87">
        <w:rPr>
          <w:rFonts w:ascii="Arial" w:eastAsia="Arial" w:hAnsi="Arial" w:cs="Arial"/>
          <w:b/>
          <w:bCs/>
          <w:color w:val="000000"/>
          <w:sz w:val="22"/>
          <w:lang w:val="es-ES_tradnl"/>
        </w:rPr>
        <w:t xml:space="preserve">y consultoría </w:t>
      </w:r>
      <w:r w:rsidRPr="00964418">
        <w:rPr>
          <w:rFonts w:ascii="Arial" w:eastAsia="Arial" w:hAnsi="Arial" w:cs="Arial"/>
          <w:b/>
          <w:bCs/>
          <w:color w:val="000000"/>
          <w:sz w:val="22"/>
          <w:lang w:val="es-ES_tradnl"/>
        </w:rPr>
        <w:t>de obras de infraestructura de transporte</w:t>
      </w:r>
    </w:p>
    <w:p w14:paraId="1EDF2BD5" w14:textId="77777777" w:rsidR="00964418" w:rsidRPr="00964418" w:rsidRDefault="00964418" w:rsidP="00964418">
      <w:pPr>
        <w:spacing w:after="0" w:line="240" w:lineRule="auto"/>
        <w:rPr>
          <w:rFonts w:ascii="Arial" w:eastAsia="Calibri" w:hAnsi="Arial" w:cs="Arial"/>
          <w:color w:val="000000"/>
          <w:sz w:val="22"/>
          <w:lang w:val="es-ES_tradnl"/>
        </w:rPr>
      </w:pPr>
    </w:p>
    <w:p w14:paraId="021006E3" w14:textId="77777777" w:rsidR="003D1513" w:rsidRPr="003D1513" w:rsidRDefault="003D1513" w:rsidP="003D1513">
      <w:pPr>
        <w:spacing w:after="120"/>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La adopción de los documentos tipo obligatorios en el ordenamiento jurídico colombiano se incluyó por primera vez en el parágrafo 3 del artículo 2 de la Ley 1150 de 2007</w:t>
      </w:r>
      <w:r w:rsidRPr="003D1513">
        <w:rPr>
          <w:rFonts w:ascii="Arial" w:eastAsia="Calibri" w:hAnsi="Arial" w:cs="Arial"/>
          <w:sz w:val="22"/>
          <w:szCs w:val="24"/>
          <w:vertAlign w:val="superscript"/>
          <w:lang w:val="es-ES_tradnl" w:eastAsia="es-ES_tradnl"/>
        </w:rPr>
        <w:footnoteReference w:id="2"/>
      </w:r>
      <w:r w:rsidRPr="003D1513">
        <w:rPr>
          <w:rFonts w:ascii="Arial" w:eastAsia="Calibri" w:hAnsi="Arial" w:cs="Arial"/>
          <w:sz w:val="22"/>
          <w:szCs w:val="24"/>
          <w:lang w:val="es-ES_tradnl" w:eastAsia="es-ES_tradnl"/>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3BE4D528" w14:textId="77777777" w:rsidR="003D1513" w:rsidRPr="003D1513" w:rsidRDefault="003D1513" w:rsidP="003D1513">
      <w:pPr>
        <w:spacing w:after="0"/>
        <w:ind w:firstLine="708"/>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Debe señalarse que en virtud de la Ley 1882 de 2018 se expidieron </w:t>
      </w:r>
      <w:r w:rsidRPr="003D1513">
        <w:rPr>
          <w:rFonts w:ascii="Arial" w:eastAsia="Calibri" w:hAnsi="Arial" w:cs="Arial"/>
          <w:sz w:val="22"/>
          <w:szCs w:val="24"/>
          <w:lang w:val="es-ES_tradnl" w:eastAsia="es-ES_tradnl"/>
        </w:rPr>
        <w:lastRenderedPageBreak/>
        <w:t xml:space="preserve">varios documentos tipo para el sector de infraestructura de transporte y, por tanto, es importante explicar el proceso previsto en dicho cuerpo normativo. </w:t>
      </w:r>
    </w:p>
    <w:p w14:paraId="54D23D31" w14:textId="77777777" w:rsidR="003D1513" w:rsidRPr="003D1513" w:rsidRDefault="003D1513" w:rsidP="003D1513">
      <w:pPr>
        <w:spacing w:before="120" w:after="120"/>
        <w:ind w:firstLine="708"/>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3D1513">
        <w:rPr>
          <w:rFonts w:ascii="Arial" w:eastAsia="Calibri" w:hAnsi="Arial" w:cs="Arial"/>
          <w:sz w:val="22"/>
          <w:szCs w:val="24"/>
          <w:vertAlign w:val="superscript"/>
          <w:lang w:val="es-ES_tradnl" w:eastAsia="es-ES_tradnl"/>
        </w:rPr>
        <w:footnoteReference w:id="3"/>
      </w:r>
      <w:r w:rsidRPr="003D1513">
        <w:rPr>
          <w:rFonts w:ascii="Arial" w:eastAsia="Calibri" w:hAnsi="Arial" w:cs="Arial"/>
          <w:sz w:val="22"/>
          <w:szCs w:val="24"/>
          <w:lang w:val="es-ES_tradnl" w:eastAsia="es-ES_tradnl"/>
        </w:rPr>
        <w:t>.</w:t>
      </w:r>
    </w:p>
    <w:p w14:paraId="20827398" w14:textId="77777777" w:rsidR="003D1513" w:rsidRPr="003D1513" w:rsidRDefault="003D1513" w:rsidP="003D1513">
      <w:pPr>
        <w:spacing w:before="120" w:after="120"/>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47994C2F" w14:textId="77777777" w:rsidR="003D1513" w:rsidRPr="003D1513" w:rsidRDefault="003D1513" w:rsidP="003D1513">
      <w:pPr>
        <w:spacing w:before="120" w:after="120"/>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ab/>
        <w:t xml:space="preserve">De la norma descrita se concluía lo siguiente: i) la adopción de los documentos tipo estaba en cabeza del gobierno nacional. ii) Estos debían relacionarse con procesos de obras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w:t>
      </w:r>
      <w:r w:rsidRPr="003D1513">
        <w:rPr>
          <w:rFonts w:ascii="Arial" w:eastAsia="Calibri" w:hAnsi="Arial" w:cs="Arial"/>
          <w:sz w:val="22"/>
          <w:szCs w:val="24"/>
          <w:lang w:val="es-ES_tradnl" w:eastAsia="es-ES_tradnl"/>
        </w:rPr>
        <w:lastRenderedPageBreak/>
        <w:t xml:space="preserve">gobierno nacional tenía la facultad de adoptar documentos tipo en otros contratos o procesos de selección. Por último, vi) los documentos tipo serían adoptados por categorías de acuerdo con la cuantía de la contratación. </w:t>
      </w:r>
    </w:p>
    <w:p w14:paraId="5F0C893B" w14:textId="77777777" w:rsidR="003D1513" w:rsidRPr="003D1513" w:rsidRDefault="003D1513" w:rsidP="003D1513">
      <w:pPr>
        <w:spacing w:before="120" w:after="120"/>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ab/>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3D1513">
        <w:rPr>
          <w:rFonts w:ascii="Arial" w:eastAsia="Calibri" w:hAnsi="Arial" w:cs="Arial"/>
          <w:sz w:val="22"/>
          <w:szCs w:val="24"/>
          <w:vertAlign w:val="superscript"/>
          <w:lang w:val="es-ES_tradnl" w:eastAsia="es-ES_tradnl"/>
        </w:rPr>
        <w:footnoteReference w:id="4"/>
      </w:r>
      <w:r w:rsidRPr="003D1513">
        <w:rPr>
          <w:rFonts w:ascii="Arial" w:eastAsia="Calibri" w:hAnsi="Arial" w:cs="Arial"/>
          <w:sz w:val="22"/>
          <w:szCs w:val="24"/>
          <w:lang w:val="es-ES_tradnl" w:eastAsia="es-ES_tradnl"/>
        </w:rPr>
        <w:t>.</w:t>
      </w:r>
    </w:p>
    <w:p w14:paraId="7EF97452" w14:textId="77777777" w:rsidR="003D1513" w:rsidRPr="003D1513" w:rsidRDefault="003D1513" w:rsidP="003D1513">
      <w:pPr>
        <w:spacing w:before="120" w:after="120"/>
        <w:rPr>
          <w:rFonts w:ascii="Arial" w:eastAsia="Calibri" w:hAnsi="Arial" w:cs="Arial"/>
          <w:sz w:val="22"/>
          <w:szCs w:val="24"/>
          <w:lang w:val="es-ES_tradnl" w:eastAsia="es-ES_tradnl"/>
        </w:rPr>
      </w:pPr>
      <w:r w:rsidRPr="003D1513">
        <w:rPr>
          <w:rFonts w:ascii="Arial" w:eastAsia="Calibri" w:hAnsi="Arial" w:cs="Arial"/>
          <w:sz w:val="22"/>
          <w:szCs w:val="24"/>
          <w:lang w:val="es-ES_tradnl" w:eastAsia="es-ES_tradnl"/>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42F07077" w14:textId="77777777" w:rsidR="003D1513" w:rsidRPr="003D1513" w:rsidRDefault="003D1513" w:rsidP="003D1513">
      <w:pPr>
        <w:spacing w:before="120" w:after="120"/>
        <w:rPr>
          <w:rFonts w:ascii="Arial" w:eastAsia="Calibri" w:hAnsi="Arial" w:cs="Arial"/>
          <w:sz w:val="22"/>
          <w:lang w:val="es-ES_tradnl"/>
        </w:rPr>
      </w:pPr>
      <w:r w:rsidRPr="003D1513">
        <w:rPr>
          <w:rFonts w:ascii="Arial" w:eastAsia="Calibri" w:hAnsi="Arial" w:cs="Arial"/>
          <w:sz w:val="22"/>
          <w:lang w:val="es-ES_tradnl" w:eastAsia="es-ES_tradnl"/>
        </w:rPr>
        <w:tab/>
      </w:r>
      <w:r w:rsidRPr="003D1513">
        <w:rPr>
          <w:rFonts w:ascii="Arial" w:eastAsia="Calibri" w:hAnsi="Arial" w:cs="Arial"/>
          <w:sz w:val="22"/>
          <w:lang w:val="es-ES_tradnl"/>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del 5 de marzo de 2019, relacionado con los documentos tipo para los procesos de selección de licitación de obra pública de infraestructura de transporte. 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w:t>
      </w:r>
    </w:p>
    <w:p w14:paraId="1D1756AE" w14:textId="77777777" w:rsidR="003D1513" w:rsidRPr="003D1513" w:rsidRDefault="003D1513" w:rsidP="003D1513">
      <w:pPr>
        <w:spacing w:before="120" w:after="120"/>
        <w:ind w:firstLine="708"/>
        <w:rPr>
          <w:rFonts w:ascii="Arial" w:eastAsia="Calibri" w:hAnsi="Arial" w:cs="Arial"/>
          <w:sz w:val="22"/>
          <w:lang w:val="es-ES_tradnl" w:eastAsia="es-ES_tradnl"/>
        </w:rPr>
      </w:pPr>
      <w:r w:rsidRPr="003D1513">
        <w:rPr>
          <w:rFonts w:ascii="Arial" w:eastAsia="Calibri" w:hAnsi="Arial" w:cs="Arial"/>
          <w:sz w:val="22"/>
          <w:lang w:val="es-ES_tradnl"/>
        </w:rPr>
        <w:lastRenderedPageBreak/>
        <w:t>Finalmente, se profirió el Decreto 594 del 25 de abril de 2020, frente a los documentos tipo para los contratos de obra pública</w:t>
      </w:r>
      <w:r w:rsidRPr="003D1513" w:rsidDel="00A434AB">
        <w:rPr>
          <w:rFonts w:ascii="Arial" w:eastAsia="Calibri" w:hAnsi="Arial" w:cs="Arial"/>
          <w:sz w:val="22"/>
          <w:lang w:val="es-ES_tradnl"/>
        </w:rPr>
        <w:t xml:space="preserve"> </w:t>
      </w:r>
      <w:r w:rsidRPr="003D1513">
        <w:rPr>
          <w:rFonts w:ascii="Arial" w:eastAsia="Calibri" w:hAnsi="Arial" w:cs="Arial"/>
          <w:sz w:val="22"/>
          <w:lang w:val="es-ES_tradnl"/>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236515B3" w14:textId="77777777" w:rsidR="003D1513" w:rsidRPr="003D1513" w:rsidRDefault="003D1513" w:rsidP="003D1513">
      <w:pPr>
        <w:spacing w:before="120" w:after="0"/>
        <w:ind w:firstLine="709"/>
        <w:rPr>
          <w:rFonts w:ascii="Arial" w:eastAsia="Calibri" w:hAnsi="Arial" w:cs="Arial"/>
          <w:sz w:val="22"/>
          <w:lang w:val="es-ES_tradnl" w:eastAsia="es-ES"/>
        </w:rPr>
      </w:pPr>
      <w:r w:rsidRPr="003D1513">
        <w:rPr>
          <w:rFonts w:ascii="Arial" w:eastAsia="Calibri" w:hAnsi="Arial" w:cs="Arial"/>
          <w:sz w:val="22"/>
          <w:lang w:val="es-ES_tradnl" w:eastAsia="es-ES"/>
        </w:rPr>
        <w:t>Con posterioridad a la expedición de los anteriores documentos tipo, se expidió la Ley 2022 de 2020, norma que modificó el contenido del parágrafo 7 del artículo 2 de la Ley 1150 de 2007, que había sido adicionado por la Ley 1882 de 2018</w:t>
      </w:r>
      <w:r w:rsidRPr="003D1513">
        <w:rPr>
          <w:rFonts w:ascii="Arial" w:eastAsia="Calibri" w:hAnsi="Arial" w:cs="Arial"/>
          <w:sz w:val="22"/>
          <w:vertAlign w:val="superscript"/>
          <w:lang w:val="es-ES_tradnl" w:eastAsia="es-ES"/>
        </w:rPr>
        <w:footnoteReference w:id="5"/>
      </w:r>
      <w:r w:rsidRPr="003D1513">
        <w:rPr>
          <w:rFonts w:ascii="Arial" w:eastAsia="Calibri" w:hAnsi="Arial" w:cs="Arial"/>
          <w:sz w:val="22"/>
          <w:lang w:val="es-ES_tradnl" w:eastAsia="es-ES"/>
        </w:rPr>
        <w:t xml:space="preserve">. Con esta modificación, si bien se mantuvo el mandato de aplicación obligatoria de los documentos tipo por parte de las entidades sometidas al Estatuto General de Contratación de la Administración Pública, se atribuyó a la </w:t>
      </w:r>
      <w:r w:rsidRPr="003D1513">
        <w:rPr>
          <w:rFonts w:ascii="Arial" w:eastAsia="Calibri" w:hAnsi="Arial" w:cs="Arial"/>
          <w:sz w:val="22"/>
          <w:lang w:val="es-ES_tradnl"/>
        </w:rPr>
        <w:t xml:space="preserve">Agencia Nacional de Contratación Pública – Colombia Compra Eficiente la competencia para su expedición. </w:t>
      </w:r>
      <w:r w:rsidRPr="003D1513">
        <w:rPr>
          <w:rFonts w:ascii="Arial" w:eastAsia="Calibri" w:hAnsi="Arial" w:cs="Arial"/>
          <w:sz w:val="22"/>
          <w:lang w:val="es-ES_tradnl" w:eastAsia="es-ES"/>
        </w:rPr>
        <w:t xml:space="preserve">En este marco,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Asimismo, con fundamento en dicha Ley, se profirió la Resolución 240 del 27 de noviembre de 2020, </w:t>
      </w:r>
      <w:r w:rsidRPr="003D1513">
        <w:rPr>
          <w:rFonts w:ascii="Arial" w:eastAsia="Calibri" w:hAnsi="Arial" w:cs="Arial"/>
          <w:sz w:val="22"/>
          <w:lang w:val="es-ES_tradnl" w:eastAsia="es-ES"/>
        </w:rPr>
        <w:lastRenderedPageBreak/>
        <w:t xml:space="preserve">«Por la cual se actualizan los Documentos Tipo para los procesos de selección de licitación de obra pública de infraestructura de transporte y se deroga la Resolución 0045 de 2020». </w:t>
      </w:r>
    </w:p>
    <w:p w14:paraId="77FE2840" w14:textId="77777777" w:rsidR="003D1513" w:rsidRPr="003D1513" w:rsidRDefault="003D1513" w:rsidP="003D1513">
      <w:pPr>
        <w:spacing w:before="120" w:after="0"/>
        <w:ind w:firstLine="709"/>
        <w:rPr>
          <w:rFonts w:ascii="Arial" w:eastAsia="Calibri" w:hAnsi="Arial" w:cs="Arial"/>
          <w:sz w:val="22"/>
          <w:lang w:val="es-ES_tradnl" w:eastAsia="es-ES"/>
        </w:rPr>
      </w:pPr>
      <w:r w:rsidRPr="003D1513">
        <w:rPr>
          <w:rFonts w:ascii="Arial" w:eastAsia="Calibri" w:hAnsi="Arial" w:cs="Arial"/>
          <w:sz w:val="22"/>
          <w:lang w:val="es-ES_tradnl" w:eastAsia="es-ES"/>
        </w:rPr>
        <w:t>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vigencia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6C5B103D" w14:textId="77777777" w:rsidR="003D1513" w:rsidRPr="003D1513" w:rsidRDefault="003D1513" w:rsidP="003D1513">
      <w:pPr>
        <w:spacing w:before="120" w:after="0"/>
        <w:ind w:firstLine="709"/>
        <w:rPr>
          <w:rFonts w:ascii="Arial" w:eastAsia="Times New Roman" w:hAnsi="Arial" w:cs="Arial"/>
          <w:sz w:val="22"/>
          <w:lang w:val="es-ES_tradnl" w:eastAsia="es-ES"/>
        </w:rPr>
      </w:pPr>
      <w:r w:rsidRPr="003D1513">
        <w:rPr>
          <w:rFonts w:ascii="Arial" w:eastAsia="Calibri" w:hAnsi="Arial" w:cs="Arial"/>
          <w:sz w:val="22"/>
          <w:lang w:val="es-ES_tradnl" w:eastAsia="es-ES"/>
        </w:rPr>
        <w:t xml:space="preserve">A los actos administrativos mencionados se suman: i) la Resolución 193 de 14 de julio de 2021, </w:t>
      </w:r>
      <w:r w:rsidRPr="003D1513">
        <w:rPr>
          <w:rFonts w:ascii="Arial" w:eastAsia="Times New Roman" w:hAnsi="Arial" w:cs="Arial"/>
          <w:sz w:val="22"/>
          <w:lang w:val="es-ES_tradnl" w:eastAsia="es-ES"/>
        </w:rPr>
        <w:t>«Por la cual se adoptan los documentos tipo para los procesos de selección de concurso de méritos, para contratar la consultoría de estudios de ingeniería de infraestructura de transporte», ii)</w:t>
      </w:r>
      <w:r w:rsidRPr="003D1513">
        <w:rPr>
          <w:rFonts w:ascii="Arial" w:eastAsia="Calibri" w:hAnsi="Arial" w:cs="Arial"/>
          <w:sz w:val="22"/>
          <w:lang w:val="es-ES_tradnl" w:eastAsia="es-ES"/>
        </w:rPr>
        <w:t xml:space="preserve"> la Resolución 219 de 2021,</w:t>
      </w:r>
      <w:r w:rsidRPr="003D1513">
        <w:rPr>
          <w:rFonts w:ascii="Arial" w:eastAsia="Times New Roman" w:hAnsi="Arial" w:cs="Arial"/>
          <w:sz w:val="22"/>
          <w:lang w:val="es-ES_tradnl" w:eastAsia="es-ES"/>
        </w:rPr>
        <w:t xml:space="preserve"> «Por la cual se adoptan los documentos tipo para los procesos de licitación de obra pública de infraestructura social», iii) la Resolución 220 del 6 de agosto de 2021, «Por la cual se adoptan los documentos tipo complementarios para los procesos de licitación de obra pública de infraestructura social relacionados con el sector educativo», iv) la Resolución 392 del 18 de noviembre de 2021, «Por la cual se adoptan los documentos tipo complementarios para los procesos de licitación de obra pública de infraestructura social relacionados con el sector salud», y v) la Resolución 454 del 16 de diciembre de 2021, «Por la cual se adoptan los documentos tipo complementarios para los procesos de licitación de obra pública de infraestructura social relacionados con el sector cultura, recreación y deporte». </w:t>
      </w:r>
    </w:p>
    <w:p w14:paraId="7C8AF110" w14:textId="77777777" w:rsidR="003D1513" w:rsidRPr="003D1513" w:rsidRDefault="003D1513" w:rsidP="003D1513">
      <w:pPr>
        <w:spacing w:before="120" w:after="0"/>
        <w:ind w:firstLine="708"/>
        <w:rPr>
          <w:rFonts w:ascii="Arial" w:eastAsia="Calibri" w:hAnsi="Arial" w:cs="Arial"/>
          <w:color w:val="000000"/>
          <w:sz w:val="22"/>
          <w:lang w:val="es-ES_tradnl" w:eastAsia="es-ES"/>
        </w:rPr>
      </w:pPr>
      <w:r w:rsidRPr="003D1513">
        <w:rPr>
          <w:rFonts w:ascii="Arial" w:eastAsia="Calibri" w:hAnsi="Arial" w:cs="Arial"/>
          <w:color w:val="000000"/>
          <w:sz w:val="22"/>
          <w:lang w:val="es-ES_tradnl" w:eastAsia="es-ES"/>
        </w:rPr>
        <w:t xml:space="preserve">Las resoluciones señaladas </w:t>
      </w:r>
      <w:r w:rsidRPr="003D1513">
        <w:rPr>
          <w:rFonts w:ascii="Arial" w:eastAsia="Times New Roman" w:hAnsi="Arial" w:cs="Arial"/>
          <w:color w:val="000000"/>
          <w:sz w:val="22"/>
          <w:bdr w:val="none" w:sz="0" w:space="0" w:color="auto" w:frame="1"/>
          <w:lang w:val="es-CO" w:eastAsia="es-MX"/>
        </w:rPr>
        <w:t>reiteran el alcance de la obligatoriedad de los documentos tipo en la materia</w:t>
      </w:r>
      <w:r w:rsidRPr="003D1513">
        <w:rPr>
          <w:rFonts w:ascii="Arial" w:eastAsia="Calibri" w:hAnsi="Arial" w:cs="Arial"/>
          <w:color w:val="000000"/>
          <w:sz w:val="22"/>
          <w:lang w:val="es-ES_tradnl" w:eastAsia="es-ES"/>
        </w:rPr>
        <w:t xml:space="preserve"> y establecen parámetros obligatorios para las entidades estatales cuya contratación se rija por el Estatuto General de Contratación de la Administración Pública,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794EEB38"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lastRenderedPageBreak/>
        <w:t xml:space="preserve">En síntesis, hasta el momento se han expedido los siguientes documentos tipo que son obligatorios para todas las entidades sometidas al Estatuto General de Contratación de la Administración Pública: </w:t>
      </w:r>
    </w:p>
    <w:p w14:paraId="63A2BFA6"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 xml:space="preserve">i) Documentos tipo para licitación de obra pública de infraestructura de transporte –versión 1–, obligatorios para los procesos cuyo aviso de convocatoria se haya publicado desde el 1 de abril de 2019. </w:t>
      </w:r>
    </w:p>
    <w:p w14:paraId="759F2A54"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ii) Documentos tipo para licitación de obra pública de infraestructura de transporte –versión 2–, obligatorios para los procesos cuyo aviso de convocatoria se haya publicado desde el 10 de marzo de 2020.</w:t>
      </w:r>
    </w:p>
    <w:p w14:paraId="7627CF59"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iii) Documentos tipo para licitación de obra pública de infraestructura de transporte –versión 3–, obligatorios para los procesos cuyo aviso de convocatoria se haya publicado desde el 1 de enero de 2021.</w:t>
      </w:r>
    </w:p>
    <w:p w14:paraId="704A8CD4"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iv) Documentos tipo para procesos de selección abreviada de menor cuantía de infraestructura de transporte –versión 1–, obligatorios para los procesos cuyo aviso de convocatoria se haya publicado desde el 17 de febrero de 2020.</w:t>
      </w:r>
    </w:p>
    <w:p w14:paraId="770998D3"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4638C193"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vi) Documentos tipo para procesos de mínima cuantía de infraestructura de transporte, obligatorios para los procesos cuya invitación pública se haya publicado a partir del 10 de junio de 2020.</w:t>
      </w:r>
    </w:p>
    <w:p w14:paraId="0A67060A"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vii) Documentos tipo para procesos de concurso de méritos para contratar la interventoría de obras públicas de infraestructura de transporte, obligatorios para los procesos cuyo aviso de convocatoria se haya publicado desde el 1 de enero de 2021.</w:t>
      </w:r>
    </w:p>
    <w:p w14:paraId="2D5F54BF"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viii) Documentos tipo para procesos de licitación pública para obras de infraestructura de agua potable y saneamiento básico, obligatorios para los procesos cuyo aviso de convocatoria se haya publicado desde el 11 de diciembre de 2020.</w:t>
      </w:r>
    </w:p>
    <w:p w14:paraId="3D42F62F"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ix)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4CEB37E6" w14:textId="77777777" w:rsidR="003D1513" w:rsidRPr="003D1513" w:rsidRDefault="003D1513" w:rsidP="003D1513">
      <w:pPr>
        <w:spacing w:before="120" w:after="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x) Documentos tipo para procesos de gestión catastral con enfoque multipropósito que se celebren a través de contratos interadministrativos, a partir del 1 de febrero de 2021.</w:t>
      </w:r>
    </w:p>
    <w:p w14:paraId="76CC4FB0" w14:textId="77777777" w:rsidR="003D1513" w:rsidRPr="003D1513" w:rsidRDefault="003D1513" w:rsidP="003D1513">
      <w:pPr>
        <w:spacing w:before="120" w:after="120"/>
        <w:ind w:firstLine="709"/>
        <w:rPr>
          <w:rFonts w:ascii="Arial" w:eastAsia="Calibri" w:hAnsi="Arial" w:cs="Arial"/>
          <w:color w:val="000000"/>
          <w:sz w:val="22"/>
          <w:lang w:val="es-ES" w:eastAsia="es-ES"/>
        </w:rPr>
      </w:pPr>
      <w:r w:rsidRPr="003D1513">
        <w:rPr>
          <w:rFonts w:ascii="Arial" w:eastAsia="Calibri" w:hAnsi="Arial" w:cs="Arial"/>
          <w:color w:val="000000"/>
          <w:sz w:val="22"/>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171A0AAD" w14:textId="77777777" w:rsidR="003D1513" w:rsidRPr="003D1513" w:rsidRDefault="003D1513" w:rsidP="003D1513">
      <w:pPr>
        <w:spacing w:after="120"/>
        <w:ind w:firstLine="708"/>
        <w:rPr>
          <w:rFonts w:ascii="Arial" w:eastAsia="Calibri" w:hAnsi="Arial" w:cs="Arial"/>
          <w:sz w:val="22"/>
          <w:lang w:val="es-ES_tradnl" w:eastAsia="es-ES_tradnl"/>
        </w:rPr>
      </w:pPr>
      <w:r w:rsidRPr="003D1513">
        <w:rPr>
          <w:rFonts w:ascii="Arial" w:eastAsia="Calibri" w:hAnsi="Arial" w:cs="Arial"/>
          <w:color w:val="000000"/>
          <w:sz w:val="22"/>
          <w:lang w:val="es-ES" w:eastAsia="es-ES"/>
        </w:rPr>
        <w:lastRenderedPageBreak/>
        <w:t xml:space="preserve">xii) Documentos tipo para procesos de licitación de obra pública de infraestructura social, que </w:t>
      </w:r>
      <w:r w:rsidRPr="003D1513">
        <w:rPr>
          <w:rFonts w:ascii="Arial" w:eastAsia="Times New Roman" w:hAnsi="Arial" w:cs="Arial"/>
          <w:sz w:val="22"/>
          <w:lang w:val="es-ES_tradnl" w:eastAsia="es-ES_tradnl"/>
        </w:rPr>
        <w:t>entrarán a regir de acuerdo con los términos establecidos en el artículo 6 de la Resolución 219 de 2021 −modificado por el artículo 1 de la Resolución 336 del 2 de noviembre de 2021−</w:t>
      </w:r>
      <w:r w:rsidRPr="003D1513">
        <w:rPr>
          <w:rFonts w:ascii="Arial" w:eastAsia="Calibri" w:hAnsi="Arial" w:cs="Arial"/>
          <w:sz w:val="22"/>
          <w:lang w:val="es-ES_tradnl" w:eastAsia="es-ES_tradnl"/>
        </w:rPr>
        <w:t>.</w:t>
      </w:r>
    </w:p>
    <w:p w14:paraId="5D184C83" w14:textId="77777777" w:rsidR="003D1513" w:rsidRPr="003D1513" w:rsidRDefault="003D1513" w:rsidP="003D1513">
      <w:pPr>
        <w:spacing w:after="120"/>
        <w:ind w:firstLine="708"/>
        <w:rPr>
          <w:rFonts w:ascii="Arial" w:eastAsia="Calibri" w:hAnsi="Arial" w:cs="Arial"/>
          <w:sz w:val="22"/>
          <w:lang w:val="es-ES_tradnl" w:eastAsia="es-ES_tradnl"/>
        </w:rPr>
      </w:pPr>
      <w:r w:rsidRPr="003D1513">
        <w:rPr>
          <w:rFonts w:ascii="Arial" w:eastAsia="Calibri" w:hAnsi="Arial" w:cs="Arial"/>
          <w:color w:val="000000"/>
          <w:sz w:val="22"/>
          <w:lang w:val="es-ES" w:eastAsia="es-ES"/>
        </w:rPr>
        <w:t xml:space="preserve">xiii) Documentos tipo complementarios para los procesos de licitación de obra pública de infraestructura social relacionados con el sector educativo, que </w:t>
      </w:r>
      <w:r w:rsidRPr="003D1513">
        <w:rPr>
          <w:rFonts w:ascii="Arial" w:eastAsia="Times New Roman" w:hAnsi="Arial" w:cs="Arial"/>
          <w:sz w:val="22"/>
          <w:lang w:val="es-ES_tradnl" w:eastAsia="es-ES_tradnl"/>
        </w:rPr>
        <w:t>entrarán a regir de acuerdo con los términos establecidos en el artículo 6 de la Resolución 219 de 2021 −modificado por el artículo 1 de la Resolución 336 del 2 de noviembre de 2021−.</w:t>
      </w:r>
    </w:p>
    <w:p w14:paraId="083C2A3D" w14:textId="77777777" w:rsidR="003D1513" w:rsidRPr="003D1513" w:rsidRDefault="003D1513" w:rsidP="003D1513">
      <w:pPr>
        <w:spacing w:after="120"/>
        <w:ind w:firstLine="708"/>
        <w:rPr>
          <w:rFonts w:ascii="Arial" w:eastAsia="Calibri" w:hAnsi="Arial" w:cs="Arial"/>
          <w:sz w:val="22"/>
          <w:lang w:val="es-ES_tradnl" w:eastAsia="es-ES_tradnl"/>
        </w:rPr>
      </w:pPr>
      <w:r w:rsidRPr="003D1513">
        <w:rPr>
          <w:rFonts w:ascii="Arial" w:eastAsia="Calibri" w:hAnsi="Arial" w:cs="Arial"/>
          <w:color w:val="000000"/>
          <w:sz w:val="22"/>
          <w:lang w:val="es-ES" w:eastAsia="es-ES"/>
        </w:rPr>
        <w:t xml:space="preserve">xiv) Documentos tipo complementarios para los procesos de licitación de obra pública de infraestructura social relacionados con el sector salud, que entrarán a regir </w:t>
      </w:r>
      <w:r w:rsidRPr="003D1513">
        <w:rPr>
          <w:rFonts w:ascii="Arial" w:eastAsia="Times New Roman" w:hAnsi="Arial" w:cs="Arial"/>
          <w:sz w:val="22"/>
          <w:lang w:val="es-ES_tradnl" w:eastAsia="es-ES_tradnl"/>
        </w:rPr>
        <w:t>de acuerdo con los términos establecidos en el artículo 6 de la Resolución 219 de 2021 −modificado por el artículo 1 de la Resolución 336 del 2 de noviembre de 2021− y en el artículo 4 de la Resolución 392 de 18 de noviembre de 2021</w:t>
      </w:r>
      <w:r w:rsidRPr="003D1513">
        <w:rPr>
          <w:rFonts w:ascii="Arial" w:eastAsia="Calibri" w:hAnsi="Arial" w:cs="Arial"/>
          <w:sz w:val="22"/>
          <w:lang w:val="es-ES_tradnl" w:eastAsia="es-ES_tradnl"/>
        </w:rPr>
        <w:t>.</w:t>
      </w:r>
    </w:p>
    <w:p w14:paraId="072D282D" w14:textId="54910844" w:rsidR="003D1513" w:rsidRPr="003D1513" w:rsidRDefault="003D1513" w:rsidP="003D1513">
      <w:pPr>
        <w:spacing w:after="120"/>
        <w:ind w:firstLine="708"/>
        <w:rPr>
          <w:rFonts w:ascii="Arial" w:eastAsia="Calibri" w:hAnsi="Arial" w:cs="Arial"/>
          <w:sz w:val="22"/>
          <w:lang w:val="es-ES_tradnl" w:eastAsia="es-ES_tradnl"/>
        </w:rPr>
      </w:pPr>
      <w:r w:rsidRPr="003D1513">
        <w:rPr>
          <w:rFonts w:ascii="Arial" w:eastAsia="Calibri" w:hAnsi="Arial" w:cs="Arial"/>
          <w:sz w:val="22"/>
          <w:lang w:val="es-ES_tradnl" w:eastAsia="es-ES_tradnl"/>
        </w:rPr>
        <w:t xml:space="preserve">xv) </w:t>
      </w:r>
      <w:r w:rsidRPr="003D1513">
        <w:rPr>
          <w:rFonts w:ascii="Arial" w:eastAsia="Calibri" w:hAnsi="Arial" w:cs="Arial"/>
          <w:color w:val="000000"/>
          <w:sz w:val="22"/>
          <w:lang w:val="es-ES" w:eastAsia="es-ES"/>
        </w:rPr>
        <w:t>Documentos tipo complementarios para los procesos de licitación de obra pública de infraestructura social relacionados con el sector cultura, recreación y deporte</w:t>
      </w:r>
      <w:r w:rsidRPr="003D1513">
        <w:rPr>
          <w:rFonts w:ascii="Arial" w:eastAsia="Calibri" w:hAnsi="Arial" w:cs="Arial"/>
          <w:sz w:val="22"/>
          <w:lang w:val="es-ES_tradnl" w:eastAsia="es-ES_tradnl"/>
        </w:rPr>
        <w:t xml:space="preserve">, </w:t>
      </w:r>
      <w:r w:rsidRPr="003D1513">
        <w:rPr>
          <w:rFonts w:ascii="Arial" w:eastAsia="Calibri" w:hAnsi="Arial" w:cs="Arial"/>
          <w:color w:val="000000"/>
          <w:sz w:val="22"/>
          <w:lang w:val="es-ES" w:eastAsia="es-ES"/>
        </w:rPr>
        <w:t xml:space="preserve">que entrarán a regir </w:t>
      </w:r>
      <w:r w:rsidRPr="003D1513">
        <w:rPr>
          <w:rFonts w:ascii="Arial" w:eastAsia="Times New Roman" w:hAnsi="Arial" w:cs="Arial"/>
          <w:sz w:val="22"/>
          <w:lang w:val="es-ES_tradnl" w:eastAsia="es-ES_tradnl"/>
        </w:rPr>
        <w:t>de acuerdo con los términos establecidos en el artículo 4 de la Resolución 454 de 2021</w:t>
      </w:r>
      <w:r>
        <w:rPr>
          <w:rFonts w:ascii="Arial" w:eastAsia="Times New Roman" w:hAnsi="Arial" w:cs="Arial"/>
          <w:sz w:val="22"/>
          <w:lang w:val="es-ES_tradnl" w:eastAsia="es-ES_tradnl"/>
        </w:rPr>
        <w:t>.</w:t>
      </w:r>
    </w:p>
    <w:p w14:paraId="6A6AFACC" w14:textId="77777777" w:rsidR="003D1513" w:rsidRPr="003D1513" w:rsidRDefault="003D1513" w:rsidP="003D1513">
      <w:pPr>
        <w:shd w:val="clear" w:color="auto" w:fill="FFFFFF"/>
        <w:spacing w:after="0"/>
        <w:ind w:firstLine="709"/>
        <w:textAlignment w:val="baseline"/>
        <w:rPr>
          <w:rFonts w:ascii="Arial" w:eastAsia="Calibri" w:hAnsi="Arial" w:cs="Arial"/>
          <w:sz w:val="22"/>
          <w:lang w:val="es-CO"/>
        </w:rPr>
      </w:pPr>
      <w:r w:rsidRPr="003D1513">
        <w:rPr>
          <w:rFonts w:ascii="Arial" w:eastAsia="Calibri" w:hAnsi="Arial" w:cs="Arial"/>
          <w:sz w:val="22"/>
          <w:lang w:val="es-CO"/>
        </w:rPr>
        <w:t xml:space="preserve">De acuerdo con lo expuesto, </w:t>
      </w:r>
      <w:r w:rsidRPr="003D1513">
        <w:rPr>
          <w:rFonts w:ascii="Arial" w:eastAsia="Calibri" w:hAnsi="Arial" w:cs="Arial"/>
          <w:color w:val="000000"/>
          <w:sz w:val="22"/>
          <w:bdr w:val="none" w:sz="0" w:space="0" w:color="auto" w:frame="1"/>
          <w:lang w:val="es-CO"/>
        </w:rPr>
        <w:t>los documentos tipo adoptados son obligatorios para las entidades estatales cuyos contratos se rijan por el Estatuto General de la Contratación de la Administración Pública, que adelanten procesos de contratación mediante la modalidad que establecen los documentos tipo para cada sector y teniendo en cuenta el ámbito de aplicación determinado en la Matriz de Experiencia de cada documento tipo.</w:t>
      </w:r>
    </w:p>
    <w:p w14:paraId="419884AC" w14:textId="77777777" w:rsidR="00964418" w:rsidRPr="00964418" w:rsidRDefault="00964418" w:rsidP="00964418">
      <w:pPr>
        <w:spacing w:after="0"/>
        <w:rPr>
          <w:rFonts w:ascii="Arial" w:eastAsia="Calibri" w:hAnsi="Arial" w:cs="Arial"/>
          <w:b/>
          <w:bCs/>
          <w:color w:val="000000"/>
          <w:sz w:val="22"/>
          <w:lang w:val="es-ES_tradnl"/>
        </w:rPr>
      </w:pPr>
    </w:p>
    <w:p w14:paraId="132681D2" w14:textId="0DB618EF" w:rsidR="00964418" w:rsidRPr="00964418" w:rsidRDefault="00964418" w:rsidP="00964418">
      <w:pPr>
        <w:spacing w:after="0"/>
        <w:rPr>
          <w:rFonts w:ascii="Arial" w:eastAsia="Calibri" w:hAnsi="Arial" w:cs="Arial"/>
          <w:b/>
          <w:bCs/>
          <w:color w:val="000000"/>
          <w:sz w:val="22"/>
          <w:lang w:val="es-ES_tradnl"/>
        </w:rPr>
      </w:pPr>
      <w:r w:rsidRPr="00964418">
        <w:rPr>
          <w:rFonts w:ascii="Arial" w:eastAsia="Calibri" w:hAnsi="Arial" w:cs="Arial"/>
          <w:b/>
          <w:bCs/>
          <w:color w:val="000000"/>
          <w:sz w:val="22"/>
          <w:lang w:val="es-ES_tradnl"/>
        </w:rPr>
        <w:t xml:space="preserve">2.2. Subsanabilidad de la experiencia del proponente en los documentos tipo </w:t>
      </w:r>
      <w:r w:rsidR="00043CD1">
        <w:rPr>
          <w:rFonts w:ascii="Arial" w:eastAsia="Calibri" w:hAnsi="Arial" w:cs="Arial"/>
          <w:b/>
          <w:bCs/>
          <w:color w:val="000000"/>
          <w:sz w:val="22"/>
          <w:lang w:val="es-ES_tradnl"/>
        </w:rPr>
        <w:t>de</w:t>
      </w:r>
      <w:r w:rsidRPr="00964418">
        <w:rPr>
          <w:rFonts w:ascii="Arial" w:eastAsia="Calibri" w:hAnsi="Arial" w:cs="Arial"/>
          <w:b/>
          <w:bCs/>
          <w:color w:val="000000"/>
          <w:sz w:val="22"/>
          <w:lang w:val="es-ES_tradnl"/>
        </w:rPr>
        <w:t xml:space="preserve"> </w:t>
      </w:r>
      <w:r w:rsidR="00F11122">
        <w:rPr>
          <w:rFonts w:ascii="Arial" w:eastAsia="Calibri" w:hAnsi="Arial" w:cs="Arial"/>
          <w:b/>
          <w:bCs/>
          <w:color w:val="000000"/>
          <w:sz w:val="22"/>
          <w:lang w:val="es-ES_tradnl"/>
        </w:rPr>
        <w:t xml:space="preserve">concurso de méritos de </w:t>
      </w:r>
      <w:r w:rsidRPr="00964418">
        <w:rPr>
          <w:rFonts w:ascii="Arial" w:eastAsia="Calibri" w:hAnsi="Arial" w:cs="Arial"/>
          <w:b/>
          <w:bCs/>
          <w:color w:val="000000"/>
          <w:sz w:val="22"/>
          <w:lang w:val="es-ES_tradnl"/>
        </w:rPr>
        <w:t xml:space="preserve">interventoría </w:t>
      </w:r>
      <w:r w:rsidR="00043CD1">
        <w:rPr>
          <w:rFonts w:ascii="Arial" w:eastAsia="Calibri" w:hAnsi="Arial" w:cs="Arial"/>
          <w:b/>
          <w:bCs/>
          <w:color w:val="000000"/>
          <w:sz w:val="22"/>
          <w:lang w:val="es-ES_tradnl"/>
        </w:rPr>
        <w:t xml:space="preserve">y consultoría </w:t>
      </w:r>
      <w:r w:rsidR="00F11122">
        <w:rPr>
          <w:rFonts w:ascii="Arial" w:eastAsia="Calibri" w:hAnsi="Arial" w:cs="Arial"/>
          <w:b/>
          <w:bCs/>
          <w:color w:val="000000"/>
          <w:sz w:val="22"/>
          <w:lang w:val="es-ES_tradnl"/>
        </w:rPr>
        <w:t xml:space="preserve">de estudios de ingeniería </w:t>
      </w:r>
      <w:r w:rsidRPr="00964418">
        <w:rPr>
          <w:rFonts w:ascii="Arial" w:eastAsia="Calibri" w:hAnsi="Arial" w:cs="Arial"/>
          <w:b/>
          <w:bCs/>
          <w:color w:val="000000"/>
          <w:sz w:val="22"/>
          <w:lang w:val="es-ES_tradnl"/>
        </w:rPr>
        <w:t>de obras públicas de infraestructura de transporte</w:t>
      </w:r>
    </w:p>
    <w:p w14:paraId="474F05C4" w14:textId="77777777" w:rsidR="00964418" w:rsidRPr="00964418" w:rsidRDefault="00964418" w:rsidP="00964418">
      <w:pPr>
        <w:spacing w:after="0" w:line="240" w:lineRule="auto"/>
        <w:rPr>
          <w:rFonts w:ascii="Arial" w:eastAsia="Calibri" w:hAnsi="Arial" w:cs="Arial"/>
          <w:b/>
          <w:bCs/>
          <w:color w:val="000000"/>
          <w:sz w:val="22"/>
          <w:lang w:val="es-ES_tradnl"/>
        </w:rPr>
      </w:pPr>
    </w:p>
    <w:p w14:paraId="3D9D1E0C" w14:textId="1DE75195" w:rsidR="00964418" w:rsidRPr="00AC6B00" w:rsidRDefault="00964418" w:rsidP="00964418">
      <w:pPr>
        <w:spacing w:after="120"/>
        <w:rPr>
          <w:rFonts w:ascii="Arial" w:eastAsia="Calibri" w:hAnsi="Arial" w:cs="Arial"/>
          <w:color w:val="000000"/>
          <w:sz w:val="22"/>
          <w:lang w:val="es-ES_tradnl"/>
        </w:rPr>
      </w:pPr>
      <w:r w:rsidRPr="00AC6B00">
        <w:rPr>
          <w:rFonts w:ascii="Arial" w:eastAsia="Calibri" w:hAnsi="Arial" w:cs="Arial"/>
          <w:color w:val="000000"/>
          <w:sz w:val="22"/>
          <w:lang w:val="es-ES_tradnl"/>
        </w:rPr>
        <w:t xml:space="preserve">Esta Subdirección se ha pronunciado en diversas oportunidades acerca del alcance de la regla de la subsanabilidad, contenida en el artículo 5 de la Ley 1150 de 2007. Al respecto, la postura que se reitera en el presente concepto es la siguiente: por regla general, i) la falta de entrega o ii) los defectos de los requisitos que no asignen puntaje son subsanables. La excepción se encuentra en los casos, previstos en la ley, que limitan la subsanabilidad, es decir, en la prohibición de entregar la garantía de seriedad de la oferta que no fue aportada con la propuesta y de acreditar circunstancias ocurridas con posterioridad al cierre del proceso. En tal sentido, </w:t>
      </w:r>
      <w:r w:rsidR="003D1513" w:rsidRPr="00AC6B00">
        <w:rPr>
          <w:rFonts w:ascii="Arial" w:eastAsia="Calibri" w:hAnsi="Arial" w:cs="Arial"/>
          <w:color w:val="000000"/>
          <w:sz w:val="22"/>
          <w:lang w:val="es-ES_tradnl"/>
        </w:rPr>
        <w:t xml:space="preserve">no </w:t>
      </w:r>
      <w:r w:rsidRPr="00AC6B00">
        <w:rPr>
          <w:rFonts w:ascii="Arial" w:eastAsia="Calibri" w:hAnsi="Arial" w:cs="Arial"/>
          <w:color w:val="000000"/>
          <w:sz w:val="22"/>
          <w:lang w:val="es-ES_tradnl"/>
        </w:rPr>
        <w:t xml:space="preserve">es posible subsanar </w:t>
      </w:r>
      <w:r w:rsidRPr="00AC6B00">
        <w:rPr>
          <w:rFonts w:ascii="Arial" w:eastAsia="Calibri" w:hAnsi="Arial" w:cs="Arial"/>
          <w:bCs/>
          <w:color w:val="000000"/>
          <w:sz w:val="21"/>
          <w:szCs w:val="21"/>
          <w:lang w:val="es-ES_tradnl"/>
        </w:rPr>
        <w:t>requisitos de la propuesta que afecten la asignación de puntaje.</w:t>
      </w:r>
    </w:p>
    <w:p w14:paraId="4F969723" w14:textId="77777777" w:rsidR="00964418" w:rsidRPr="00964418" w:rsidRDefault="00964418" w:rsidP="00964418">
      <w:pPr>
        <w:spacing w:before="120" w:after="120"/>
        <w:ind w:firstLine="708"/>
        <w:rPr>
          <w:rFonts w:ascii="Arial" w:eastAsia="Calibri" w:hAnsi="Arial" w:cs="Arial"/>
          <w:color w:val="000000"/>
          <w:sz w:val="22"/>
          <w:lang w:val="es-ES_tradnl"/>
        </w:rPr>
      </w:pPr>
      <w:r w:rsidRPr="00964418">
        <w:rPr>
          <w:rFonts w:ascii="Arial" w:eastAsia="Calibri" w:hAnsi="Arial" w:cs="Arial"/>
          <w:color w:val="000000"/>
          <w:sz w:val="22"/>
          <w:lang w:val="es-ES_tradnl"/>
        </w:rPr>
        <w:t xml:space="preserve">En efecto, la Agencia Nacional de Contratación Pública – Colombia Compra Eficiente, en el Concepto CU–060 de 16 de enero de 2020, unificó su criterio en torno al </w:t>
      </w:r>
      <w:r w:rsidRPr="00964418">
        <w:rPr>
          <w:rFonts w:ascii="Arial" w:eastAsia="Calibri" w:hAnsi="Arial" w:cs="Arial"/>
          <w:color w:val="000000"/>
          <w:sz w:val="22"/>
          <w:lang w:val="es-ES_tradnl"/>
        </w:rPr>
        <w:lastRenderedPageBreak/>
        <w:t>alcance de la regla de la subsanabilidad, contenida en el artículo 5 de la Ley 1150 de 2007. En dicho concepto se unificó la tesis expuesta en los conceptos con radicado No. 4201913000006471 del 28 de octubre de 2019, 4201912000006711 del 12 de noviembre de 2019 y 4201912000006496 del 15 de noviembre de 2019, la cual ha sido reiterada en varios conceptos expedidos con posterioridad al concepto de unificación</w:t>
      </w:r>
      <w:r w:rsidRPr="00964418">
        <w:rPr>
          <w:rFonts w:ascii="Arial" w:eastAsia="Calibri" w:hAnsi="Arial" w:cs="Arial"/>
          <w:color w:val="000000"/>
          <w:sz w:val="22"/>
          <w:vertAlign w:val="superscript"/>
          <w:lang w:val="es-ES_tradnl"/>
        </w:rPr>
        <w:footnoteReference w:id="6"/>
      </w:r>
      <w:r w:rsidRPr="00964418">
        <w:rPr>
          <w:rFonts w:ascii="Arial" w:eastAsia="Calibri" w:hAnsi="Arial" w:cs="Arial"/>
          <w:color w:val="000000"/>
          <w:sz w:val="22"/>
        </w:rPr>
        <w:t>.</w:t>
      </w:r>
      <w:r w:rsidRPr="00964418">
        <w:rPr>
          <w:rFonts w:ascii="Arial" w:eastAsia="Calibri" w:hAnsi="Arial" w:cs="Arial"/>
          <w:color w:val="000000"/>
          <w:sz w:val="22"/>
          <w:lang w:val="es-ES_tradnl"/>
        </w:rPr>
        <w:t xml:space="preserve"> De las tesis desarrolladas se tomarán algunas consideraciones para ilustrar el alcance de la regla de subsanabilidad.</w:t>
      </w:r>
    </w:p>
    <w:p w14:paraId="5F30FF51" w14:textId="77777777" w:rsidR="00964418" w:rsidRPr="00964418" w:rsidRDefault="00964418" w:rsidP="00964418">
      <w:pPr>
        <w:spacing w:before="120" w:after="0"/>
        <w:ind w:firstLine="709"/>
        <w:rPr>
          <w:rFonts w:ascii="Arial" w:eastAsia="Calibri" w:hAnsi="Arial" w:cs="Arial"/>
          <w:color w:val="000000"/>
          <w:sz w:val="22"/>
          <w:lang w:val="es-ES_tradnl"/>
        </w:rPr>
      </w:pPr>
      <w:r w:rsidRPr="00964418">
        <w:rPr>
          <w:rFonts w:ascii="Arial" w:eastAsia="Calibri" w:hAnsi="Arial" w:cs="Arial"/>
          <w:color w:val="000000"/>
          <w:sz w:val="22"/>
          <w:lang w:val="es-ES_tradnl"/>
        </w:rPr>
        <w:t>De esta manera, el régimen actual de subsanabilidad de ofertas está regulado en el parágrafo 1 del artículo 5 de la Ley 1150 de 2007, modificado por el artículo 5 de la Ley 1882 de 2018. La disposición vigente establece:</w:t>
      </w:r>
    </w:p>
    <w:p w14:paraId="75BFABF3" w14:textId="77777777" w:rsidR="00964418" w:rsidRPr="00964418" w:rsidRDefault="00964418" w:rsidP="00964418">
      <w:pPr>
        <w:tabs>
          <w:tab w:val="left" w:pos="426"/>
        </w:tabs>
        <w:spacing w:after="0" w:line="240" w:lineRule="auto"/>
        <w:ind w:left="709" w:right="709"/>
        <w:rPr>
          <w:rFonts w:ascii="Arial" w:eastAsia="Calibri" w:hAnsi="Arial" w:cs="Arial"/>
          <w:bCs/>
          <w:color w:val="000000"/>
          <w:sz w:val="21"/>
          <w:szCs w:val="21"/>
          <w:lang w:val="es-ES_tradnl"/>
        </w:rPr>
      </w:pPr>
    </w:p>
    <w:p w14:paraId="55348E33" w14:textId="77777777" w:rsidR="00964418" w:rsidRPr="00964418" w:rsidRDefault="00964418" w:rsidP="00964418">
      <w:pPr>
        <w:tabs>
          <w:tab w:val="left" w:pos="426"/>
        </w:tabs>
        <w:spacing w:after="0" w:line="240" w:lineRule="auto"/>
        <w:ind w:left="709" w:right="709"/>
        <w:rPr>
          <w:rFonts w:ascii="Arial" w:eastAsia="Calibri" w:hAnsi="Arial" w:cs="Arial"/>
          <w:bCs/>
          <w:color w:val="000000"/>
          <w:sz w:val="21"/>
          <w:szCs w:val="21"/>
          <w:lang w:val="es-ES_tradnl"/>
        </w:rPr>
      </w:pPr>
      <w:r w:rsidRPr="00964418">
        <w:rPr>
          <w:rFonts w:ascii="Arial" w:eastAsia="Calibri" w:hAnsi="Arial" w:cs="Arial"/>
          <w:bCs/>
          <w:color w:val="000000"/>
          <w:sz w:val="21"/>
          <w:szCs w:val="21"/>
          <w:lang w:val="es-ES_tradnl"/>
        </w:rPr>
        <w:t xml:space="preserve">Artículo 5°. De la selección objetiva. </w:t>
      </w:r>
    </w:p>
    <w:p w14:paraId="5C401D5B" w14:textId="77777777" w:rsidR="00964418" w:rsidRPr="00964418" w:rsidRDefault="00964418" w:rsidP="00964418">
      <w:pPr>
        <w:tabs>
          <w:tab w:val="left" w:pos="426"/>
        </w:tabs>
        <w:spacing w:after="0" w:line="240" w:lineRule="auto"/>
        <w:ind w:left="709" w:right="709"/>
        <w:rPr>
          <w:rFonts w:ascii="Arial" w:eastAsia="Calibri" w:hAnsi="Arial" w:cs="Arial"/>
          <w:bCs/>
          <w:color w:val="000000"/>
          <w:sz w:val="21"/>
          <w:szCs w:val="21"/>
          <w:lang w:val="es-ES_tradnl"/>
        </w:rPr>
      </w:pPr>
      <w:r w:rsidRPr="00964418">
        <w:rPr>
          <w:rFonts w:ascii="Arial" w:eastAsia="Calibri" w:hAnsi="Arial" w:cs="Arial"/>
          <w:bCs/>
          <w:color w:val="000000"/>
          <w:sz w:val="21"/>
          <w:szCs w:val="21"/>
          <w:lang w:val="es-ES_tradnl"/>
        </w:rPr>
        <w:t xml:space="preserve">[... ] </w:t>
      </w:r>
    </w:p>
    <w:p w14:paraId="22B31C4E" w14:textId="77777777" w:rsidR="00964418" w:rsidRPr="00964418" w:rsidRDefault="00964418" w:rsidP="00964418">
      <w:pPr>
        <w:tabs>
          <w:tab w:val="left" w:pos="426"/>
        </w:tabs>
        <w:spacing w:after="0" w:line="240" w:lineRule="auto"/>
        <w:ind w:left="709" w:right="709"/>
        <w:rPr>
          <w:rFonts w:ascii="Arial" w:eastAsia="Calibri" w:hAnsi="Arial" w:cs="Arial"/>
          <w:bCs/>
          <w:color w:val="000000"/>
          <w:sz w:val="21"/>
          <w:szCs w:val="21"/>
          <w:lang w:val="es-ES_tradnl"/>
        </w:rPr>
      </w:pPr>
      <w:r w:rsidRPr="00964418">
        <w:rPr>
          <w:rFonts w:ascii="Arial" w:eastAsia="Calibri" w:hAnsi="Arial" w:cs="Arial"/>
          <w:bCs/>
          <w:color w:val="000000"/>
          <w:sz w:val="21"/>
          <w:szCs w:val="21"/>
          <w:lang w:val="es-ES_tradnl"/>
        </w:rPr>
        <w:t>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p>
    <w:p w14:paraId="4C51938F" w14:textId="77777777" w:rsidR="00964418" w:rsidRPr="00964418" w:rsidRDefault="00964418" w:rsidP="00964418">
      <w:pPr>
        <w:spacing w:after="0"/>
        <w:ind w:firstLine="709"/>
        <w:rPr>
          <w:rFonts w:ascii="Arial" w:eastAsia="Calibri" w:hAnsi="Arial" w:cs="Arial"/>
          <w:color w:val="000000"/>
          <w:sz w:val="22"/>
          <w:lang w:val="es-ES_tradnl"/>
        </w:rPr>
      </w:pPr>
    </w:p>
    <w:p w14:paraId="7096A9C4" w14:textId="77777777" w:rsidR="00964418" w:rsidRPr="00964418" w:rsidRDefault="00964418" w:rsidP="00964418">
      <w:pPr>
        <w:spacing w:after="120"/>
        <w:ind w:firstLine="709"/>
        <w:rPr>
          <w:rFonts w:ascii="Arial" w:eastAsia="Calibri" w:hAnsi="Arial" w:cs="Arial"/>
          <w:bCs/>
          <w:color w:val="000000"/>
          <w:sz w:val="21"/>
          <w:szCs w:val="21"/>
          <w:lang w:val="es-ES_tradnl"/>
        </w:rPr>
      </w:pPr>
      <w:r w:rsidRPr="00AC6B00">
        <w:rPr>
          <w:rFonts w:ascii="Arial" w:eastAsia="Calibri" w:hAnsi="Arial" w:cs="Arial"/>
          <w:color w:val="000000"/>
          <w:sz w:val="22"/>
          <w:lang w:val="es-ES_tradnl"/>
        </w:rPr>
        <w:t xml:space="preserve">Esta norma, conservando la filosofía de las disposiciones anteriores que regulaban el régimen de subsanabilidad de ofertas, mantiene el criterio de la Ley 80 de 1993, relativo a que todo lo que no sea necesario para la comparación de propuestas no es título suficiente para su rechazo; y ii) mantiene el criterio aclaratorio de la Ley 1150 de 2007, según el cual todo lo que no afecte la asignación de puntaje puede subsanarse. Pese a que la disposición tiene varios elementos adicionales relevantes, para efectos de la consulta, basta con destacar los elementos anteriores, particularmente, que la subsanación procede sobre </w:t>
      </w:r>
      <w:r w:rsidRPr="00AC6B00">
        <w:rPr>
          <w:rFonts w:ascii="Arial" w:eastAsia="Calibri" w:hAnsi="Arial" w:cs="Arial"/>
          <w:bCs/>
          <w:color w:val="000000"/>
          <w:sz w:val="21"/>
          <w:szCs w:val="21"/>
          <w:lang w:val="es-ES_tradnl"/>
        </w:rPr>
        <w:t>todos aquellos requisitos de la propuesta que no afecten la asignación de puntaje.</w:t>
      </w:r>
    </w:p>
    <w:p w14:paraId="5EFBB5B8" w14:textId="10A3D0F5" w:rsidR="00964418" w:rsidRPr="00964418" w:rsidRDefault="00964418" w:rsidP="00964418">
      <w:pPr>
        <w:spacing w:after="120"/>
        <w:ind w:firstLine="709"/>
        <w:rPr>
          <w:rFonts w:ascii="Arial" w:eastAsia="Calibri" w:hAnsi="Arial" w:cs="Arial"/>
          <w:color w:val="000000"/>
          <w:sz w:val="22"/>
          <w:lang w:val="es-ES_tradnl"/>
        </w:rPr>
      </w:pPr>
      <w:r w:rsidRPr="00964418">
        <w:rPr>
          <w:rFonts w:ascii="Arial" w:eastAsia="Calibri" w:hAnsi="Arial" w:cs="Arial"/>
          <w:color w:val="000000"/>
          <w:sz w:val="22"/>
          <w:lang w:val="es-ES_tradnl"/>
        </w:rPr>
        <w:t>Teniendo en cuenta lo anterior, debe destacarse, por otro lado, que de conformidad con el artículo 5 de la Ley 1150 de 2007, las condiciones de experiencia podrán exigirse en los procedimientos de selección como requisito habilitante. Por regla general, la experiencia no se podrá establecer como requisito de asignación de puntaje, constituyendo la selección de consultores uno de los casos excepcionales en que podrán utilizarse criterios de experiencia específica del oferente y del equipo de trabajo como factores de calificación de las propuestas</w:t>
      </w:r>
      <w:r w:rsidR="00514C87">
        <w:rPr>
          <w:rFonts w:ascii="Arial" w:eastAsia="Calibri" w:hAnsi="Arial" w:cs="Arial"/>
          <w:color w:val="000000"/>
          <w:sz w:val="22"/>
          <w:lang w:val="es-ES_tradnl"/>
        </w:rPr>
        <w:t>, como se establece en el numeral 4 del artículo señalado</w:t>
      </w:r>
      <w:r w:rsidRPr="00964418">
        <w:rPr>
          <w:rFonts w:ascii="Arial" w:eastAsia="Calibri" w:hAnsi="Arial" w:cs="Arial"/>
          <w:color w:val="000000"/>
          <w:sz w:val="22"/>
          <w:vertAlign w:val="superscript"/>
          <w:lang w:val="es-ES_tradnl"/>
        </w:rPr>
        <w:footnoteReference w:id="7"/>
      </w:r>
      <w:r w:rsidRPr="00964418">
        <w:rPr>
          <w:rFonts w:ascii="Arial" w:eastAsia="Calibri" w:hAnsi="Arial" w:cs="Arial"/>
          <w:color w:val="000000"/>
          <w:sz w:val="22"/>
          <w:lang w:val="es-ES_tradnl"/>
        </w:rPr>
        <w:t>.</w:t>
      </w:r>
    </w:p>
    <w:p w14:paraId="797734DF" w14:textId="569CE5BA" w:rsidR="00964418" w:rsidRPr="00964418" w:rsidRDefault="00964418" w:rsidP="00964418">
      <w:pPr>
        <w:spacing w:after="0"/>
        <w:ind w:firstLine="709"/>
        <w:rPr>
          <w:rFonts w:ascii="Arial" w:eastAsia="Calibri" w:hAnsi="Arial" w:cs="Arial"/>
          <w:bCs/>
          <w:color w:val="000000"/>
          <w:sz w:val="21"/>
          <w:szCs w:val="21"/>
          <w:lang w:val="es-ES_tradnl"/>
        </w:rPr>
      </w:pPr>
      <w:r w:rsidRPr="00964418">
        <w:rPr>
          <w:rFonts w:ascii="Arial" w:eastAsia="Calibri" w:hAnsi="Arial" w:cs="Arial"/>
          <w:color w:val="000000"/>
          <w:sz w:val="22"/>
          <w:lang w:val="es-ES_tradnl"/>
        </w:rPr>
        <w:t>El caso excepcional indicado en la norma aplica a los documentos tipo analizados en este concepto, dirigidos a la celebración de contratos de consultoría, género dentro del cual se enmarcan los de interventoría</w:t>
      </w:r>
      <w:r w:rsidRPr="00964418">
        <w:rPr>
          <w:rFonts w:ascii="Arial" w:eastAsia="Calibri" w:hAnsi="Arial" w:cs="Arial"/>
          <w:color w:val="000000"/>
          <w:sz w:val="22"/>
          <w:vertAlign w:val="superscript"/>
          <w:lang w:val="es-ES_tradnl"/>
        </w:rPr>
        <w:footnoteReference w:id="8"/>
      </w:r>
      <w:r w:rsidRPr="00964418">
        <w:rPr>
          <w:rFonts w:ascii="Arial" w:eastAsia="Calibri" w:hAnsi="Arial" w:cs="Arial"/>
          <w:color w:val="000000"/>
          <w:sz w:val="22"/>
          <w:lang w:val="es-ES_tradnl"/>
        </w:rPr>
        <w:t xml:space="preserve">. En este sentido, como se precisará, el enfoque adoptado en el documento tipo de interventoría consiste en permitir exclusivamente la subsanación de la experiencia mínima –habilitante–, toda vez que de conformidad con los fundamentos anteriores, </w:t>
      </w:r>
      <w:r w:rsidRPr="00AC6B00">
        <w:rPr>
          <w:rFonts w:ascii="Arial" w:eastAsia="Calibri" w:hAnsi="Arial" w:cs="Arial"/>
          <w:color w:val="000000"/>
          <w:sz w:val="22"/>
          <w:lang w:val="es-ES_tradnl"/>
        </w:rPr>
        <w:t xml:space="preserve">no es posible subsanar los </w:t>
      </w:r>
      <w:r w:rsidRPr="00AC6B00">
        <w:rPr>
          <w:rFonts w:ascii="Arial" w:eastAsia="Calibri" w:hAnsi="Arial" w:cs="Arial"/>
          <w:bCs/>
          <w:color w:val="000000"/>
          <w:sz w:val="21"/>
          <w:szCs w:val="21"/>
          <w:lang w:val="es-ES_tradnl"/>
        </w:rPr>
        <w:t>requisitos de la propuesta que afecten la asignación de puntaje.</w:t>
      </w:r>
      <w:r w:rsidRPr="00514C87">
        <w:rPr>
          <w:rFonts w:ascii="Arial" w:eastAsia="Calibri" w:hAnsi="Arial" w:cs="Arial"/>
          <w:bCs/>
          <w:color w:val="000000"/>
          <w:sz w:val="21"/>
          <w:szCs w:val="21"/>
          <w:lang w:val="es-ES_tradnl"/>
        </w:rPr>
        <w:t xml:space="preserve"> </w:t>
      </w:r>
      <w:r w:rsidRPr="00964418">
        <w:rPr>
          <w:rFonts w:ascii="Arial" w:eastAsia="Calibri" w:hAnsi="Arial" w:cs="Arial"/>
          <w:bCs/>
          <w:color w:val="000000"/>
          <w:sz w:val="21"/>
          <w:szCs w:val="21"/>
          <w:lang w:val="es-ES_tradnl"/>
        </w:rPr>
        <w:t xml:space="preserve">De esta manera, el «documento base» del documento tipo de interventoría </w:t>
      </w:r>
      <w:r w:rsidR="00514C87">
        <w:rPr>
          <w:rFonts w:ascii="Arial" w:eastAsia="Calibri" w:hAnsi="Arial" w:cs="Arial"/>
          <w:bCs/>
          <w:color w:val="000000"/>
          <w:sz w:val="21"/>
          <w:szCs w:val="21"/>
          <w:lang w:val="es-ES_tradnl"/>
        </w:rPr>
        <w:t xml:space="preserve">de obra pública de infraestructura de transporte </w:t>
      </w:r>
      <w:r w:rsidRPr="00964418">
        <w:rPr>
          <w:rFonts w:ascii="Arial" w:eastAsia="Calibri" w:hAnsi="Arial" w:cs="Arial"/>
          <w:bCs/>
          <w:color w:val="000000"/>
          <w:sz w:val="21"/>
          <w:szCs w:val="21"/>
          <w:lang w:val="es-ES_tradnl"/>
        </w:rPr>
        <w:t>establece en el numeral 3.8.1. lo siguiente:</w:t>
      </w:r>
    </w:p>
    <w:p w14:paraId="6D3457D4" w14:textId="77777777" w:rsidR="00964418" w:rsidRPr="00964418" w:rsidRDefault="00964418" w:rsidP="00964418">
      <w:pPr>
        <w:spacing w:after="0"/>
        <w:ind w:firstLine="709"/>
        <w:rPr>
          <w:rFonts w:ascii="Arial" w:eastAsia="Calibri" w:hAnsi="Arial" w:cs="Arial"/>
          <w:bCs/>
          <w:color w:val="000000"/>
          <w:sz w:val="21"/>
          <w:szCs w:val="21"/>
          <w:lang w:val="es-ES_tradnl"/>
        </w:rPr>
      </w:pPr>
    </w:p>
    <w:p w14:paraId="0C1A53EF" w14:textId="77777777" w:rsidR="00964418" w:rsidRPr="00964418" w:rsidRDefault="00964418" w:rsidP="00964418">
      <w:pPr>
        <w:tabs>
          <w:tab w:val="left" w:pos="426"/>
        </w:tabs>
        <w:spacing w:after="120" w:line="240" w:lineRule="auto"/>
        <w:ind w:left="709" w:right="709"/>
        <w:rPr>
          <w:rFonts w:ascii="Arial" w:eastAsia="Calibri" w:hAnsi="Arial" w:cs="Arial"/>
          <w:bCs/>
          <w:color w:val="000000"/>
          <w:sz w:val="21"/>
          <w:szCs w:val="21"/>
          <w:lang w:val="es-ES_tradnl"/>
        </w:rPr>
      </w:pPr>
      <w:bookmarkStart w:id="8" w:name="_Toc58777511"/>
      <w:r w:rsidRPr="00964418">
        <w:rPr>
          <w:rFonts w:ascii="Arial" w:eastAsia="Calibri" w:hAnsi="Arial" w:cs="Arial"/>
          <w:bCs/>
          <w:color w:val="000000"/>
          <w:sz w:val="21"/>
          <w:szCs w:val="21"/>
          <w:lang w:val="es-ES_tradnl"/>
        </w:rPr>
        <w:t>3.8.1. EXIGENCIA MÍNIMA DE LA EXPERIENCIA DEL PROPONENTE</w:t>
      </w:r>
      <w:bookmarkEnd w:id="8"/>
    </w:p>
    <w:p w14:paraId="6912AB4C" w14:textId="77777777" w:rsidR="00964418" w:rsidRPr="00964418" w:rsidRDefault="00964418" w:rsidP="00964418">
      <w:pPr>
        <w:tabs>
          <w:tab w:val="left" w:pos="426"/>
        </w:tabs>
        <w:spacing w:after="120" w:line="240" w:lineRule="auto"/>
        <w:ind w:left="709" w:right="709"/>
        <w:rPr>
          <w:rFonts w:ascii="Arial" w:eastAsia="Calibri" w:hAnsi="Arial" w:cs="Arial"/>
          <w:bCs/>
          <w:color w:val="000000"/>
          <w:sz w:val="21"/>
          <w:szCs w:val="21"/>
          <w:lang w:val="es-ES_tradnl"/>
        </w:rPr>
      </w:pPr>
      <w:r w:rsidRPr="00964418">
        <w:rPr>
          <w:rFonts w:ascii="Arial" w:eastAsia="Calibri" w:hAnsi="Arial" w:cs="Arial"/>
          <w:bCs/>
          <w:i/>
          <w:iCs/>
          <w:color w:val="000000"/>
          <w:sz w:val="21"/>
          <w:szCs w:val="21"/>
          <w:lang w:val="es-ES_tradnl"/>
        </w:rPr>
        <w:t>Para habilitarse en el procedimiento de selección, el proponente acreditará que la sumatoria de los contratos aportados como experiencia es mayor o igual al 100% respecto del valor total del presupuesto oficial establecido para el presente proceso de selección expresado en SMMLV</w:t>
      </w:r>
      <w:r w:rsidRPr="00964418">
        <w:rPr>
          <w:rFonts w:ascii="Arial" w:eastAsia="Calibri" w:hAnsi="Arial" w:cs="Arial"/>
          <w:bCs/>
          <w:color w:val="000000"/>
          <w:sz w:val="21"/>
          <w:szCs w:val="21"/>
          <w:lang w:val="es-ES_tradnl"/>
        </w:rPr>
        <w:t>. Estos contratos serán verificados en el RUP y en el Formato 3 – Experiencia, para los proponentes que no están obligados a estar inscritos en el RUP, cumpliendo con los requisitos de experiencia previstos en el numeral “10.1 Experiencia del proponente”.</w:t>
      </w:r>
    </w:p>
    <w:p w14:paraId="0C427AA6" w14:textId="77777777" w:rsidR="00964418" w:rsidRPr="00964418" w:rsidRDefault="00964418" w:rsidP="00964418">
      <w:pPr>
        <w:tabs>
          <w:tab w:val="left" w:pos="426"/>
        </w:tabs>
        <w:spacing w:after="0" w:line="240" w:lineRule="auto"/>
        <w:ind w:left="709" w:right="709"/>
        <w:rPr>
          <w:rFonts w:ascii="Arial" w:eastAsia="Calibri" w:hAnsi="Arial" w:cs="Arial"/>
          <w:bCs/>
          <w:color w:val="000000"/>
          <w:sz w:val="21"/>
          <w:szCs w:val="21"/>
          <w:lang w:val="es-ES_tradnl"/>
        </w:rPr>
      </w:pPr>
      <w:r w:rsidRPr="00964418">
        <w:rPr>
          <w:rFonts w:ascii="Arial" w:eastAsia="Calibri" w:hAnsi="Arial" w:cs="Arial"/>
          <w:bCs/>
          <w:color w:val="000000"/>
          <w:sz w:val="21"/>
          <w:szCs w:val="21"/>
          <w:lang w:val="es-ES_tradnl"/>
        </w:rPr>
        <w:t>En caso que con los contratos aportados no se acredite este porcentaje mínimo, la entidad solicitará al proponente que subsane su oferta en los términos del numeral 1.6. Si el proponente subsana el requisito mínimo de experiencia, se habilitará en el proceso de contratación, pero no será objeto de puntuación en relación con este factor de evaluación, por lo que obtendrá cero (0) puntos por el factor “experiencia del proponente”.</w:t>
      </w:r>
    </w:p>
    <w:p w14:paraId="6D67E554" w14:textId="77777777" w:rsidR="00964418" w:rsidRPr="00964418" w:rsidRDefault="00964418" w:rsidP="00964418">
      <w:pPr>
        <w:spacing w:after="0" w:line="240" w:lineRule="auto"/>
        <w:rPr>
          <w:rFonts w:ascii="Arial" w:eastAsia="Calibri" w:hAnsi="Arial" w:cs="Arial"/>
          <w:color w:val="000000"/>
          <w:sz w:val="22"/>
          <w:lang w:val="es-ES_tradnl"/>
        </w:rPr>
      </w:pPr>
    </w:p>
    <w:p w14:paraId="45D5BC1B" w14:textId="77777777" w:rsidR="00964418" w:rsidRPr="00964418" w:rsidRDefault="00964418" w:rsidP="00964418">
      <w:pPr>
        <w:spacing w:after="120"/>
        <w:ind w:firstLine="709"/>
        <w:rPr>
          <w:rFonts w:ascii="Arial" w:eastAsia="Calibri" w:hAnsi="Arial" w:cs="Arial"/>
          <w:color w:val="000000"/>
          <w:sz w:val="22"/>
          <w:lang w:val="es-ES_tradnl"/>
        </w:rPr>
      </w:pPr>
      <w:r w:rsidRPr="00964418">
        <w:rPr>
          <w:rFonts w:ascii="Arial" w:eastAsia="Calibri" w:hAnsi="Arial" w:cs="Arial"/>
          <w:color w:val="000000"/>
          <w:sz w:val="22"/>
          <w:lang w:val="es-ES_tradnl"/>
        </w:rPr>
        <w:t xml:space="preserve">Como se observa, en el documento tipo de interventoría se estableció un requisito mínimo de experiencia habilitante, consistente en que el proponente debe acreditar que la sumatoria de los contratos aportados como experiencia es mayor o igual al 100% respecto del valor total del presupuesto oficial expresado en SMMLV. El fundamento para exigir esta experiencia mínima radica en la inconveniencia de adjudicarle el contrato a un proponente que, por ejemplo, no cuenta con ninguna experiencia o no logra acreditar esta idoneidad mínima. En tal sentido, el cumplimiento de la exigencia indicada de demostrar una experiencia mínima constituye un requisito para participar en el procedimiento de selección y solo en relación con quienes cumplan tal exigencia mínima se ponderarán sus ofertas en relación con la asignación de puntaje. De esta manera, las ofertas que no cumplan este requisito o no logren subsanarse conforme a la regla anterior, deberán rechazarse. </w:t>
      </w:r>
    </w:p>
    <w:p w14:paraId="339E2390" w14:textId="0AED8AB1" w:rsidR="00964418" w:rsidRPr="00964418" w:rsidRDefault="00964418" w:rsidP="00964418">
      <w:pPr>
        <w:spacing w:after="120"/>
        <w:ind w:firstLine="709"/>
        <w:rPr>
          <w:rFonts w:ascii="Arial" w:eastAsia="Calibri" w:hAnsi="Arial" w:cs="Arial"/>
          <w:color w:val="000000"/>
          <w:sz w:val="22"/>
          <w:lang w:val="es-ES_tradnl"/>
        </w:rPr>
      </w:pPr>
      <w:r w:rsidRPr="00AC6B00">
        <w:rPr>
          <w:rFonts w:ascii="Arial" w:eastAsia="Calibri" w:hAnsi="Arial" w:cs="Arial"/>
          <w:color w:val="000000"/>
          <w:sz w:val="22"/>
          <w:lang w:val="es-ES_tradnl"/>
        </w:rPr>
        <w:t>Ahora bien, como se indicó, de acuerdo con el parágrafo 1 del artículo 5 de la Ley 1150 de 2007, todos aquellos requisitos de la propuesta que no afecten la asignación de puntaje podrán subsanarse, regla de donde se deriva la imposibilidad de subsanar aquellos que incidan en la asignación de puntaje.</w:t>
      </w:r>
      <w:r w:rsidRPr="00964418">
        <w:rPr>
          <w:rFonts w:ascii="Arial" w:eastAsia="Calibri" w:hAnsi="Arial" w:cs="Arial"/>
          <w:color w:val="000000"/>
          <w:sz w:val="22"/>
          <w:lang w:val="es-ES_tradnl"/>
        </w:rPr>
        <w:t xml:space="preserve"> </w:t>
      </w:r>
      <w:r w:rsidR="00514C87">
        <w:rPr>
          <w:rFonts w:ascii="Arial" w:eastAsia="Calibri" w:hAnsi="Arial" w:cs="Arial"/>
          <w:color w:val="000000"/>
          <w:sz w:val="22"/>
          <w:lang w:val="es-ES_tradnl"/>
        </w:rPr>
        <w:t>En este sentido</w:t>
      </w:r>
      <w:r w:rsidRPr="00964418">
        <w:rPr>
          <w:rFonts w:ascii="Arial" w:eastAsia="Calibri" w:hAnsi="Arial" w:cs="Arial"/>
          <w:color w:val="000000"/>
          <w:sz w:val="22"/>
          <w:lang w:val="es-ES_tradnl"/>
        </w:rPr>
        <w:t xml:space="preserve">, debe destacarse que la experiencia del proponente también </w:t>
      </w:r>
      <w:r w:rsidR="00514C87">
        <w:rPr>
          <w:rFonts w:ascii="Arial" w:eastAsia="Calibri" w:hAnsi="Arial" w:cs="Arial"/>
          <w:color w:val="000000"/>
          <w:sz w:val="22"/>
          <w:lang w:val="es-ES_tradnl"/>
        </w:rPr>
        <w:t xml:space="preserve">es </w:t>
      </w:r>
      <w:r w:rsidRPr="00964418">
        <w:rPr>
          <w:rFonts w:ascii="Arial" w:eastAsia="Calibri" w:hAnsi="Arial" w:cs="Arial"/>
          <w:color w:val="000000"/>
          <w:sz w:val="22"/>
          <w:lang w:val="es-ES_tradnl"/>
        </w:rPr>
        <w:t xml:space="preserve">un factor que otorga puntaje, conforme a las reglas del numeral 4.1 del Documento Base, las cuales permiten valorar la totalidad de la experiencia acreditada por los proponentes que cumplieron con la experiencia mínima habilitante, y asignar un puntaje en función de tal valoración. Teniendo en cuenta lo </w:t>
      </w:r>
      <w:r w:rsidR="002E3CBA" w:rsidRPr="00964418">
        <w:rPr>
          <w:rFonts w:ascii="Arial" w:eastAsia="Calibri" w:hAnsi="Arial" w:cs="Arial"/>
          <w:color w:val="000000"/>
          <w:sz w:val="22"/>
          <w:lang w:val="es-ES_tradnl"/>
        </w:rPr>
        <w:t>anterior,</w:t>
      </w:r>
      <w:r w:rsidR="002E3CBA" w:rsidRPr="00964418" w:rsidDel="006D5A9A">
        <w:rPr>
          <w:rFonts w:ascii="Arial" w:eastAsia="Calibri" w:hAnsi="Arial" w:cs="Arial"/>
          <w:color w:val="000000"/>
          <w:sz w:val="22"/>
          <w:lang w:val="es-ES_tradnl"/>
        </w:rPr>
        <w:t xml:space="preserve"> </w:t>
      </w:r>
      <w:r w:rsidR="002E3CBA" w:rsidRPr="00964418">
        <w:rPr>
          <w:rFonts w:ascii="Arial" w:eastAsia="Calibri" w:hAnsi="Arial" w:cs="Arial"/>
          <w:color w:val="000000"/>
          <w:sz w:val="22"/>
          <w:lang w:val="es-ES_tradnl"/>
        </w:rPr>
        <w:t>en</w:t>
      </w:r>
      <w:r w:rsidRPr="00964418">
        <w:rPr>
          <w:rFonts w:ascii="Arial" w:eastAsia="Calibri" w:hAnsi="Arial" w:cs="Arial"/>
          <w:color w:val="000000"/>
          <w:sz w:val="22"/>
          <w:lang w:val="es-ES_tradnl"/>
        </w:rPr>
        <w:t xml:space="preserve"> principio, se presentaría una </w:t>
      </w:r>
      <w:r w:rsidR="002E3CBA" w:rsidRPr="00964418">
        <w:rPr>
          <w:rFonts w:ascii="Arial" w:eastAsia="Calibri" w:hAnsi="Arial" w:cs="Arial"/>
          <w:color w:val="000000"/>
          <w:sz w:val="22"/>
          <w:lang w:val="es-ES_tradnl"/>
        </w:rPr>
        <w:t>dificultad para</w:t>
      </w:r>
      <w:r w:rsidRPr="00964418">
        <w:rPr>
          <w:rFonts w:ascii="Arial" w:eastAsia="Calibri" w:hAnsi="Arial" w:cs="Arial"/>
          <w:color w:val="000000"/>
          <w:sz w:val="22"/>
          <w:lang w:val="es-ES_tradnl"/>
        </w:rPr>
        <w:t xml:space="preserve"> la subsanación de la experiencia mínima habilitante, ya que ella hace parte de la experiencia en función de la cual se otorga puntaje. </w:t>
      </w:r>
    </w:p>
    <w:p w14:paraId="54C7174A" w14:textId="77777777" w:rsidR="00964418" w:rsidRPr="00964418" w:rsidRDefault="00964418" w:rsidP="00964418">
      <w:pPr>
        <w:spacing w:after="120"/>
        <w:ind w:firstLine="709"/>
        <w:rPr>
          <w:rFonts w:ascii="Arial" w:eastAsia="Calibri" w:hAnsi="Arial" w:cs="Arial"/>
          <w:bCs/>
          <w:color w:val="000000"/>
          <w:sz w:val="22"/>
          <w:lang w:val="es-ES_tradnl"/>
        </w:rPr>
      </w:pPr>
      <w:r w:rsidRPr="00964418">
        <w:rPr>
          <w:rFonts w:ascii="Arial" w:eastAsia="Calibri" w:hAnsi="Arial" w:cs="Arial"/>
          <w:color w:val="000000"/>
          <w:sz w:val="22"/>
          <w:lang w:val="es-ES_tradnl"/>
        </w:rPr>
        <w:t>Debido a lo anterior, la Agencia al elaborar el documento tipo optó por ser garantista en cuanto a la posibilidad de subsanar el requisito habilitante de experiencia; pero evitando incurrir en la prohibición de permitir la subsanación de requisitos de la propuesta que incidieran en la asignación de puntaje. En este sentido, como se desprende de la literalidad del numeral 3.8.1, la subsanabilidad de la experiencia solo se presenta en los casos en que con los contratos aportados por el proponente no se logre cumplir con la experiencia mínima habilitante, esto es, «</w:t>
      </w:r>
      <w:r w:rsidRPr="00964418">
        <w:rPr>
          <w:rFonts w:ascii="Arial" w:eastAsia="Calibri" w:hAnsi="Arial" w:cs="Arial"/>
          <w:bCs/>
          <w:color w:val="000000"/>
          <w:sz w:val="22"/>
          <w:lang w:val="es-ES_tradnl"/>
        </w:rPr>
        <w:t>En caso que con los contratos aportados no se acredite este porcentaje mínimo, la entidad solicitará al proponente que subsane su oferta en los términos del numeral 1.6». De esta manera, la subsanabilidad únicamente tendrá por efecto habilitar al oferente cuando acredite la experiencia que se solicita como requisito habilitante, permitiendo que en el evento en que se subsane, sea susceptible de adjudicársele el contrato, evitando que, eventualmente, el proceso tenga que declararse desierto, en los casos en que tal proponente se convierta en el único habilitado.</w:t>
      </w:r>
    </w:p>
    <w:p w14:paraId="74D552C3" w14:textId="77777777" w:rsidR="00964418" w:rsidRPr="00964418" w:rsidRDefault="00964418" w:rsidP="00964418">
      <w:pPr>
        <w:spacing w:after="120"/>
        <w:ind w:firstLine="709"/>
        <w:rPr>
          <w:rFonts w:ascii="Arial" w:eastAsia="Calibri" w:hAnsi="Arial" w:cs="Arial"/>
          <w:bCs/>
          <w:color w:val="000000"/>
          <w:sz w:val="22"/>
          <w:lang w:val="es-ES_tradnl"/>
        </w:rPr>
      </w:pPr>
      <w:r w:rsidRPr="00AC6B00">
        <w:rPr>
          <w:rFonts w:ascii="Arial" w:eastAsia="Calibri" w:hAnsi="Arial" w:cs="Arial"/>
          <w:bCs/>
          <w:color w:val="000000"/>
          <w:sz w:val="22"/>
          <w:lang w:val="es-ES_tradnl"/>
        </w:rPr>
        <w:t>De esta manera, la subsanación procede únicamente con la finalidad de habilitarse en el procedimiento de selección, pero no para subsanar la experiencia incidiendo en la asignación de puntaje. Por este motivo, se dispone que cuando el proponente tenga que subsanar la experiencia por no cumplir el requisito mínimo –habilitante– se le asignarán cero puntos por el criterio de asignación de puntaje «experiencia del proponente</w:t>
      </w:r>
      <w:bookmarkStart w:id="9" w:name="_Hlk108544372"/>
      <w:r w:rsidRPr="00AC6B00">
        <w:rPr>
          <w:rFonts w:ascii="Arial" w:eastAsia="Calibri" w:hAnsi="Arial" w:cs="Arial"/>
          <w:bCs/>
          <w:color w:val="000000"/>
          <w:sz w:val="22"/>
          <w:lang w:val="es-ES_tradnl"/>
        </w:rPr>
        <w:t>»</w:t>
      </w:r>
      <w:bookmarkEnd w:id="9"/>
      <w:r w:rsidRPr="00AC6B00">
        <w:rPr>
          <w:rFonts w:ascii="Arial" w:eastAsia="Calibri" w:hAnsi="Arial" w:cs="Arial"/>
          <w:bCs/>
          <w:color w:val="000000"/>
          <w:sz w:val="22"/>
          <w:lang w:val="es-ES_tradnl"/>
        </w:rPr>
        <w:t>. Esta regulación se ajusta al ordenamiento, toda vez que si se permitiera la subsanación de la experiencia para efectos de la asignación de puntaje se estaría excediendo la regla del parágrafo 1 del artículo 5 de la Ley 1150 de 2007.</w:t>
      </w:r>
    </w:p>
    <w:p w14:paraId="36D4FDB9" w14:textId="093ED2FC" w:rsidR="00964418" w:rsidRDefault="00964418" w:rsidP="00964418">
      <w:pPr>
        <w:spacing w:after="120"/>
        <w:ind w:firstLine="709"/>
        <w:rPr>
          <w:rFonts w:ascii="Arial" w:eastAsia="Calibri" w:hAnsi="Arial" w:cs="Arial"/>
          <w:bCs/>
          <w:color w:val="000000"/>
          <w:sz w:val="22"/>
          <w:lang w:val="es-ES_tradnl"/>
        </w:rPr>
      </w:pPr>
      <w:r w:rsidRPr="00964418">
        <w:rPr>
          <w:rFonts w:ascii="Arial" w:eastAsia="Calibri" w:hAnsi="Arial" w:cs="Arial"/>
          <w:bCs/>
          <w:color w:val="000000"/>
          <w:sz w:val="22"/>
          <w:lang w:val="es-ES_tradnl"/>
        </w:rPr>
        <w:t>En armonía con lo anterior y con la regla precisa de subsanabilidad establecida en el documento tipo de interventoría, en los supuestos en que el proponente cumpla con el requisito mínimo de experiencia habilitante, no será posible subsanar aspectos relacionados con la experiencia, debido a que ello implicaría subsanar un requisito que incidiría en la asignación de puntaje.</w:t>
      </w:r>
    </w:p>
    <w:p w14:paraId="4A30C6A4" w14:textId="2C7FE4D1" w:rsidR="000A04B0" w:rsidRPr="00AC6B00" w:rsidRDefault="000A04B0" w:rsidP="00964418">
      <w:pPr>
        <w:spacing w:after="120"/>
        <w:ind w:firstLine="709"/>
        <w:rPr>
          <w:rFonts w:ascii="Arial" w:eastAsia="Calibri" w:hAnsi="Arial" w:cs="Arial"/>
          <w:bCs/>
          <w:color w:val="000000"/>
          <w:sz w:val="22"/>
          <w:lang w:val="es-ES_tradnl"/>
        </w:rPr>
      </w:pPr>
      <w:r w:rsidRPr="00AC6B00">
        <w:rPr>
          <w:rFonts w:ascii="Arial" w:eastAsia="Calibri" w:hAnsi="Arial" w:cs="Arial"/>
          <w:bCs/>
          <w:color w:val="000000"/>
          <w:sz w:val="22"/>
          <w:lang w:val="es-ES_tradnl"/>
        </w:rPr>
        <w:t xml:space="preserve">Visto lo anterior, el </w:t>
      </w:r>
      <w:bookmarkStart w:id="10" w:name="_Hlk108544641"/>
      <w:r w:rsidRPr="00AC6B00">
        <w:rPr>
          <w:rFonts w:ascii="Arial" w:eastAsia="Calibri" w:hAnsi="Arial" w:cs="Arial"/>
          <w:bCs/>
          <w:color w:val="000000"/>
          <w:sz w:val="22"/>
          <w:lang w:val="es-ES_tradnl"/>
        </w:rPr>
        <w:t xml:space="preserve">literal A del numeral 4.1 </w:t>
      </w:r>
      <w:bookmarkEnd w:id="10"/>
      <w:r w:rsidRPr="00AC6B00">
        <w:rPr>
          <w:rFonts w:ascii="Arial" w:eastAsia="Calibri" w:hAnsi="Arial" w:cs="Arial"/>
          <w:bCs/>
          <w:color w:val="000000"/>
          <w:sz w:val="22"/>
          <w:lang w:val="es-ES_tradnl"/>
        </w:rPr>
        <w:t xml:space="preserve">del </w:t>
      </w:r>
      <w:r w:rsidR="008D4E21" w:rsidRPr="00AC6B00">
        <w:rPr>
          <w:rFonts w:ascii="Arial" w:eastAsia="Calibri" w:hAnsi="Arial" w:cs="Arial"/>
          <w:bCs/>
          <w:color w:val="000000"/>
          <w:sz w:val="22"/>
          <w:lang w:val="es-ES_tradnl"/>
        </w:rPr>
        <w:t>D</w:t>
      </w:r>
      <w:r w:rsidRPr="00AC6B00">
        <w:rPr>
          <w:rFonts w:ascii="Arial" w:eastAsia="Calibri" w:hAnsi="Arial" w:cs="Arial"/>
          <w:bCs/>
          <w:color w:val="000000"/>
          <w:sz w:val="22"/>
          <w:lang w:val="es-ES_tradnl"/>
        </w:rPr>
        <w:t xml:space="preserve">ocumento </w:t>
      </w:r>
      <w:r w:rsidR="008D4E21" w:rsidRPr="00AC6B00">
        <w:rPr>
          <w:rFonts w:ascii="Arial" w:eastAsia="Calibri" w:hAnsi="Arial" w:cs="Arial"/>
          <w:bCs/>
          <w:color w:val="000000"/>
          <w:sz w:val="22"/>
          <w:lang w:val="es-ES_tradnl"/>
        </w:rPr>
        <w:t>B</w:t>
      </w:r>
      <w:r w:rsidRPr="00AC6B00">
        <w:rPr>
          <w:rFonts w:ascii="Arial" w:eastAsia="Calibri" w:hAnsi="Arial" w:cs="Arial"/>
          <w:bCs/>
          <w:color w:val="000000"/>
          <w:sz w:val="22"/>
          <w:lang w:val="es-ES_tradnl"/>
        </w:rPr>
        <w:t>as</w:t>
      </w:r>
      <w:r w:rsidR="00C622CD" w:rsidRPr="00AC6B00">
        <w:rPr>
          <w:rFonts w:ascii="Arial" w:eastAsia="Calibri" w:hAnsi="Arial" w:cs="Arial"/>
          <w:bCs/>
          <w:color w:val="000000"/>
          <w:sz w:val="22"/>
          <w:lang w:val="es-ES_tradnl"/>
        </w:rPr>
        <w:t xml:space="preserve">e de </w:t>
      </w:r>
      <w:r w:rsidR="00A845D8" w:rsidRPr="00AC6B00">
        <w:rPr>
          <w:rFonts w:ascii="Arial" w:eastAsia="Calibri" w:hAnsi="Arial" w:cs="Arial"/>
          <w:bCs/>
          <w:color w:val="000000"/>
          <w:sz w:val="22"/>
          <w:lang w:val="es-ES_tradnl"/>
        </w:rPr>
        <w:t xml:space="preserve">concurso de méritos para la </w:t>
      </w:r>
      <w:r w:rsidR="00C622CD" w:rsidRPr="00AC6B00">
        <w:rPr>
          <w:rFonts w:ascii="Arial" w:eastAsia="Calibri" w:hAnsi="Arial" w:cs="Arial"/>
          <w:bCs/>
          <w:color w:val="000000"/>
          <w:sz w:val="22"/>
          <w:lang w:val="es-ES_tradnl"/>
        </w:rPr>
        <w:t xml:space="preserve">interventoría de obra pública de infraestructura de </w:t>
      </w:r>
      <w:r w:rsidR="0003576C" w:rsidRPr="00AC6B00">
        <w:rPr>
          <w:rFonts w:ascii="Arial" w:eastAsia="Calibri" w:hAnsi="Arial" w:cs="Arial"/>
          <w:bCs/>
          <w:color w:val="000000"/>
          <w:sz w:val="22"/>
          <w:lang w:val="es-ES_tradnl"/>
        </w:rPr>
        <w:t>transporte, respecto</w:t>
      </w:r>
      <w:r w:rsidR="00C622CD" w:rsidRPr="00AC6B00">
        <w:rPr>
          <w:rFonts w:ascii="Arial" w:eastAsia="Calibri" w:hAnsi="Arial" w:cs="Arial"/>
          <w:bCs/>
          <w:color w:val="000000"/>
          <w:sz w:val="22"/>
          <w:lang w:val="es-ES_tradnl"/>
        </w:rPr>
        <w:t xml:space="preserve"> a la </w:t>
      </w:r>
      <w:bookmarkStart w:id="11" w:name="_Hlk108544734"/>
      <w:r w:rsidR="00C622CD" w:rsidRPr="00AC6B00">
        <w:rPr>
          <w:rFonts w:ascii="Arial" w:eastAsia="Calibri" w:hAnsi="Arial" w:cs="Arial"/>
          <w:bCs/>
          <w:color w:val="000000"/>
          <w:sz w:val="22"/>
          <w:lang w:val="es-ES_tradnl"/>
        </w:rPr>
        <w:t>«verificación y asignación del puntaje por la experiencia del proponente»</w:t>
      </w:r>
      <w:bookmarkEnd w:id="11"/>
      <w:r w:rsidR="00C622CD" w:rsidRPr="00AC6B00">
        <w:rPr>
          <w:rFonts w:ascii="Arial" w:eastAsia="Calibri" w:hAnsi="Arial" w:cs="Arial"/>
          <w:bCs/>
          <w:color w:val="000000"/>
          <w:sz w:val="22"/>
          <w:lang w:val="es-ES_tradnl"/>
        </w:rPr>
        <w:t xml:space="preserve">, dispuso lo siguiente: </w:t>
      </w:r>
    </w:p>
    <w:p w14:paraId="17621116" w14:textId="074444EF" w:rsidR="00C622CD" w:rsidRPr="00AC6B00" w:rsidRDefault="00C622CD" w:rsidP="00C622CD">
      <w:pPr>
        <w:tabs>
          <w:tab w:val="left" w:pos="426"/>
        </w:tabs>
        <w:spacing w:after="0" w:line="240" w:lineRule="auto"/>
        <w:ind w:left="709" w:right="709"/>
        <w:rPr>
          <w:rFonts w:ascii="Arial" w:eastAsia="Calibri" w:hAnsi="Arial" w:cs="Arial"/>
          <w:bCs/>
          <w:color w:val="000000"/>
          <w:sz w:val="21"/>
          <w:szCs w:val="21"/>
          <w:lang w:val="es-ES_tradnl"/>
        </w:rPr>
      </w:pPr>
      <w:r w:rsidRPr="00AC6B00">
        <w:rPr>
          <w:rFonts w:ascii="Arial" w:eastAsia="Calibri" w:hAnsi="Arial" w:cs="Arial"/>
          <w:bCs/>
          <w:color w:val="000000"/>
          <w:sz w:val="21"/>
          <w:szCs w:val="21"/>
          <w:lang w:val="es-ES_tradnl"/>
        </w:rPr>
        <w:t>A.</w:t>
      </w:r>
      <w:r w:rsidRPr="00AC6B00">
        <w:rPr>
          <w:rFonts w:ascii="Arial" w:eastAsia="Calibri" w:hAnsi="Arial" w:cs="Arial"/>
          <w:bCs/>
          <w:color w:val="000000"/>
          <w:sz w:val="21"/>
          <w:szCs w:val="21"/>
          <w:lang w:val="es-ES_tradnl"/>
        </w:rPr>
        <w:tab/>
        <w:t>El proponente cumplirá con la exigencia mínima de experiencia prevista en el numeral 3.8.1, de acuerdo con lo anterior, si el proponente debió subsanar el cumplimiento de la experiencia mínima no será susceptible de puntuación, por lo que obtendrá cero (0) puntos por este criterio de evaluación.</w:t>
      </w:r>
    </w:p>
    <w:p w14:paraId="4043B58D" w14:textId="77777777" w:rsidR="00C622CD" w:rsidRPr="00AC6B00" w:rsidRDefault="00C622CD" w:rsidP="00964418">
      <w:pPr>
        <w:spacing w:after="120"/>
        <w:ind w:firstLine="709"/>
        <w:rPr>
          <w:rFonts w:ascii="Arial" w:eastAsia="Calibri" w:hAnsi="Arial" w:cs="Arial"/>
          <w:bCs/>
          <w:color w:val="000000"/>
          <w:sz w:val="22"/>
          <w:lang w:val="es-ES_tradnl"/>
        </w:rPr>
      </w:pPr>
    </w:p>
    <w:p w14:paraId="25C6245E" w14:textId="55EE715B" w:rsidR="000A04B0" w:rsidRPr="00AC6B00" w:rsidRDefault="00A845D8" w:rsidP="00964418">
      <w:pPr>
        <w:spacing w:after="120"/>
        <w:ind w:firstLine="709"/>
        <w:rPr>
          <w:rFonts w:ascii="Arial" w:eastAsia="Calibri" w:hAnsi="Arial" w:cs="Arial"/>
          <w:bCs/>
          <w:color w:val="000000"/>
          <w:sz w:val="22"/>
          <w:lang w:val="es-ES_tradnl"/>
        </w:rPr>
      </w:pPr>
      <w:r w:rsidRPr="00AC6B00">
        <w:rPr>
          <w:rFonts w:ascii="Arial" w:eastAsia="Calibri" w:hAnsi="Arial" w:cs="Arial"/>
          <w:bCs/>
          <w:color w:val="000000"/>
          <w:sz w:val="22"/>
          <w:lang w:val="es-ES_tradnl"/>
        </w:rPr>
        <w:t>Con una orientación similar,</w:t>
      </w:r>
      <w:r w:rsidR="000A04B0" w:rsidRPr="00AC6B00">
        <w:rPr>
          <w:rFonts w:ascii="Arial" w:eastAsia="Calibri" w:hAnsi="Arial" w:cs="Arial"/>
          <w:bCs/>
          <w:color w:val="000000"/>
          <w:sz w:val="22"/>
          <w:lang w:val="es-ES_tradnl"/>
        </w:rPr>
        <w:t xml:space="preserve"> el </w:t>
      </w:r>
      <w:r w:rsidR="008D4E21" w:rsidRPr="00AC6B00">
        <w:rPr>
          <w:rFonts w:ascii="Arial" w:eastAsia="Calibri" w:hAnsi="Arial" w:cs="Arial"/>
          <w:bCs/>
          <w:color w:val="000000"/>
          <w:sz w:val="22"/>
          <w:lang w:val="es-ES_tradnl"/>
        </w:rPr>
        <w:t>D</w:t>
      </w:r>
      <w:r w:rsidR="000A04B0" w:rsidRPr="00AC6B00">
        <w:rPr>
          <w:rFonts w:ascii="Arial" w:eastAsia="Calibri" w:hAnsi="Arial" w:cs="Arial"/>
          <w:bCs/>
          <w:color w:val="000000"/>
          <w:sz w:val="22"/>
          <w:lang w:val="es-ES_tradnl"/>
        </w:rPr>
        <w:t xml:space="preserve">ocumento </w:t>
      </w:r>
      <w:r w:rsidR="008D4E21" w:rsidRPr="00AC6B00">
        <w:rPr>
          <w:rFonts w:ascii="Arial" w:eastAsia="Calibri" w:hAnsi="Arial" w:cs="Arial"/>
          <w:bCs/>
          <w:color w:val="000000"/>
          <w:sz w:val="22"/>
          <w:lang w:val="es-ES_tradnl"/>
        </w:rPr>
        <w:t>B</w:t>
      </w:r>
      <w:r w:rsidR="000A04B0" w:rsidRPr="00AC6B00">
        <w:rPr>
          <w:rFonts w:ascii="Arial" w:eastAsia="Calibri" w:hAnsi="Arial" w:cs="Arial"/>
          <w:bCs/>
          <w:color w:val="000000"/>
          <w:sz w:val="22"/>
          <w:lang w:val="es-ES_tradnl"/>
        </w:rPr>
        <w:t xml:space="preserve">ase de </w:t>
      </w:r>
      <w:r w:rsidRPr="00AC6B00">
        <w:rPr>
          <w:rFonts w:ascii="Arial" w:eastAsia="Calibri" w:hAnsi="Arial" w:cs="Arial"/>
          <w:bCs/>
          <w:color w:val="000000"/>
          <w:sz w:val="22"/>
          <w:lang w:val="es-ES_tradnl"/>
        </w:rPr>
        <w:t xml:space="preserve">concurso de méritos de </w:t>
      </w:r>
      <w:r w:rsidR="000A04B0" w:rsidRPr="00AC6B00">
        <w:rPr>
          <w:rFonts w:ascii="Arial" w:eastAsia="Calibri" w:hAnsi="Arial" w:cs="Arial"/>
          <w:bCs/>
          <w:color w:val="000000"/>
          <w:sz w:val="22"/>
          <w:lang w:val="es-ES_tradnl"/>
        </w:rPr>
        <w:t xml:space="preserve">consultoría </w:t>
      </w:r>
      <w:r w:rsidR="0003576C" w:rsidRPr="00AC6B00">
        <w:rPr>
          <w:rFonts w:ascii="Arial" w:eastAsia="Calibri" w:hAnsi="Arial" w:cs="Arial"/>
          <w:bCs/>
          <w:color w:val="000000"/>
          <w:sz w:val="22"/>
          <w:lang w:val="es-ES_tradnl"/>
        </w:rPr>
        <w:t xml:space="preserve">de estudios de ingeniería de infraestructura de transporte, también en </w:t>
      </w:r>
      <w:r w:rsidR="008D5A74" w:rsidRPr="00AC6B00">
        <w:rPr>
          <w:rFonts w:ascii="Arial" w:eastAsia="Calibri" w:hAnsi="Arial" w:cs="Arial"/>
          <w:bCs/>
          <w:color w:val="000000"/>
          <w:sz w:val="22"/>
          <w:lang w:val="es-ES_tradnl"/>
        </w:rPr>
        <w:t>el literal</w:t>
      </w:r>
      <w:r w:rsidR="0003576C" w:rsidRPr="00AC6B00">
        <w:rPr>
          <w:rFonts w:ascii="Arial" w:eastAsia="Calibri" w:hAnsi="Arial" w:cs="Arial"/>
          <w:bCs/>
          <w:color w:val="000000"/>
          <w:sz w:val="22"/>
          <w:lang w:val="es-ES_tradnl"/>
        </w:rPr>
        <w:t xml:space="preserve"> A del numeral 4.1, dispone la siguiente regla sobre la «forma de verificación y asignación del puntaje por la experiencia del proponente»</w:t>
      </w:r>
      <w:r w:rsidR="008D5A74" w:rsidRPr="00AC6B00">
        <w:rPr>
          <w:rFonts w:ascii="Arial" w:eastAsia="Calibri" w:hAnsi="Arial" w:cs="Arial"/>
          <w:bCs/>
          <w:color w:val="000000"/>
          <w:sz w:val="22"/>
          <w:lang w:val="es-ES_tradnl"/>
        </w:rPr>
        <w:t xml:space="preserve">, al respecto el documento base refiere lo siguiente: </w:t>
      </w:r>
    </w:p>
    <w:p w14:paraId="24A74E24" w14:textId="77777777" w:rsidR="008D5A74" w:rsidRPr="00AC6B00" w:rsidRDefault="008D5A74" w:rsidP="008D5A74">
      <w:pPr>
        <w:tabs>
          <w:tab w:val="left" w:pos="426"/>
        </w:tabs>
        <w:spacing w:after="0" w:line="240" w:lineRule="auto"/>
        <w:ind w:left="709" w:right="709"/>
        <w:rPr>
          <w:rFonts w:ascii="Arial" w:eastAsia="Calibri" w:hAnsi="Arial" w:cs="Arial"/>
          <w:bCs/>
          <w:color w:val="000000"/>
          <w:sz w:val="21"/>
          <w:szCs w:val="21"/>
          <w:lang w:val="es-ES_tradnl"/>
        </w:rPr>
      </w:pPr>
      <w:r w:rsidRPr="00AC6B00">
        <w:rPr>
          <w:rFonts w:ascii="Arial" w:eastAsia="Calibri" w:hAnsi="Arial" w:cs="Arial"/>
          <w:bCs/>
          <w:color w:val="000000"/>
          <w:sz w:val="21"/>
          <w:szCs w:val="21"/>
          <w:lang w:val="es-ES_tradnl"/>
        </w:rPr>
        <w:t>A.</w:t>
      </w:r>
      <w:r w:rsidRPr="00AC6B00">
        <w:rPr>
          <w:rFonts w:ascii="Arial" w:eastAsia="Calibri" w:hAnsi="Arial" w:cs="Arial"/>
          <w:bCs/>
          <w:color w:val="000000"/>
          <w:sz w:val="21"/>
          <w:szCs w:val="21"/>
          <w:lang w:val="es-ES_tradnl"/>
        </w:rPr>
        <w:tab/>
        <w:t xml:space="preserve">El Proponente cumplirá con la exigencia mínima de experiencia prevista en el numeral 3.8.1. De acuerdo con lo anterior, si el Proponente debió subsanar el cumplimiento de la experiencia mínima, para la asignación de puntaje no se tendrán en cuenta los contratos que hayan sido objeto de subsanación, ni para definir el promedio de los contratos válidos aportados que se refiere el literal B) de este numeral. </w:t>
      </w:r>
    </w:p>
    <w:p w14:paraId="416D8EA0" w14:textId="77777777" w:rsidR="008D5A74" w:rsidRPr="00AC6B00" w:rsidRDefault="008D5A74" w:rsidP="008D5A74">
      <w:pPr>
        <w:tabs>
          <w:tab w:val="left" w:pos="426"/>
        </w:tabs>
        <w:spacing w:after="0" w:line="240" w:lineRule="auto"/>
        <w:ind w:left="709" w:right="709"/>
        <w:rPr>
          <w:rFonts w:ascii="Arial" w:eastAsia="Calibri" w:hAnsi="Arial" w:cs="Arial"/>
          <w:bCs/>
          <w:color w:val="000000"/>
          <w:sz w:val="21"/>
          <w:szCs w:val="21"/>
          <w:lang w:val="es-ES_tradnl"/>
        </w:rPr>
      </w:pPr>
    </w:p>
    <w:p w14:paraId="6DBA12E5" w14:textId="3AE71E28" w:rsidR="008D5A74" w:rsidRPr="00AC6B00" w:rsidRDefault="008D5A74" w:rsidP="008D5A74">
      <w:pPr>
        <w:tabs>
          <w:tab w:val="left" w:pos="426"/>
        </w:tabs>
        <w:spacing w:after="0" w:line="240" w:lineRule="auto"/>
        <w:ind w:left="709" w:right="709"/>
        <w:rPr>
          <w:rFonts w:ascii="Arial" w:eastAsia="Calibri" w:hAnsi="Arial" w:cs="Arial"/>
          <w:bCs/>
          <w:color w:val="000000"/>
          <w:sz w:val="21"/>
          <w:szCs w:val="21"/>
          <w:lang w:val="es-ES_tradnl"/>
        </w:rPr>
      </w:pPr>
      <w:r w:rsidRPr="00AC6B00">
        <w:rPr>
          <w:rFonts w:ascii="Arial" w:eastAsia="Calibri" w:hAnsi="Arial" w:cs="Arial"/>
          <w:bCs/>
          <w:color w:val="000000"/>
          <w:sz w:val="21"/>
          <w:szCs w:val="21"/>
          <w:lang w:val="es-ES_tradnl"/>
        </w:rPr>
        <w:t>En el caso en el cual un Proponente haya subsanado la totalidad de los Contratos aportados, su oferta no será tenida en cuenta para aplicar las fórmulas para la ponderación de la Experiencia del Proponente, por lo que, además, por este criterio de asignación de puntaje obtendrá cero (0) puntos.</w:t>
      </w:r>
    </w:p>
    <w:p w14:paraId="4F7CC15E" w14:textId="77777777" w:rsidR="00D92E77" w:rsidRPr="00FE5C7F" w:rsidRDefault="00D92E77" w:rsidP="008D5A74">
      <w:pPr>
        <w:tabs>
          <w:tab w:val="left" w:pos="426"/>
        </w:tabs>
        <w:spacing w:after="0" w:line="240" w:lineRule="auto"/>
        <w:ind w:left="709" w:right="709"/>
        <w:rPr>
          <w:rFonts w:ascii="Arial" w:eastAsia="Calibri" w:hAnsi="Arial" w:cs="Arial"/>
          <w:bCs/>
          <w:color w:val="000000"/>
          <w:sz w:val="21"/>
          <w:szCs w:val="21"/>
          <w:highlight w:val="yellow"/>
          <w:lang w:val="es-ES_tradnl"/>
        </w:rPr>
      </w:pPr>
    </w:p>
    <w:p w14:paraId="241677DA" w14:textId="4CAB8D3D" w:rsidR="00964418" w:rsidRPr="00964418" w:rsidRDefault="00964418" w:rsidP="00964418">
      <w:pPr>
        <w:spacing w:after="120"/>
        <w:ind w:firstLine="709"/>
        <w:rPr>
          <w:rFonts w:ascii="Arial" w:eastAsia="Calibri" w:hAnsi="Arial" w:cs="Arial"/>
          <w:bCs/>
          <w:color w:val="000000"/>
          <w:sz w:val="22"/>
          <w:lang w:val="es-ES_tradnl"/>
        </w:rPr>
      </w:pPr>
      <w:r w:rsidRPr="00964418">
        <w:rPr>
          <w:rFonts w:ascii="Arial" w:eastAsia="Calibri" w:hAnsi="Arial" w:cs="Arial"/>
          <w:bCs/>
          <w:color w:val="000000"/>
          <w:sz w:val="22"/>
          <w:lang w:val="es-ES_tradnl"/>
        </w:rPr>
        <w:t>Ahora bien, la</w:t>
      </w:r>
      <w:r w:rsidR="00D92E77">
        <w:rPr>
          <w:rFonts w:ascii="Arial" w:eastAsia="Calibri" w:hAnsi="Arial" w:cs="Arial"/>
          <w:bCs/>
          <w:color w:val="000000"/>
          <w:sz w:val="22"/>
          <w:lang w:val="es-ES_tradnl"/>
        </w:rPr>
        <w:t>s</w:t>
      </w:r>
      <w:r w:rsidRPr="00964418">
        <w:rPr>
          <w:rFonts w:ascii="Arial" w:eastAsia="Calibri" w:hAnsi="Arial" w:cs="Arial"/>
          <w:bCs/>
          <w:color w:val="000000"/>
          <w:sz w:val="22"/>
          <w:lang w:val="es-ES_tradnl"/>
        </w:rPr>
        <w:t xml:space="preserve"> regla</w:t>
      </w:r>
      <w:r w:rsidR="00D92E77">
        <w:rPr>
          <w:rFonts w:ascii="Arial" w:eastAsia="Calibri" w:hAnsi="Arial" w:cs="Arial"/>
          <w:bCs/>
          <w:color w:val="000000"/>
          <w:sz w:val="22"/>
          <w:lang w:val="es-ES_tradnl"/>
        </w:rPr>
        <w:t>s</w:t>
      </w:r>
      <w:r w:rsidRPr="00964418">
        <w:rPr>
          <w:rFonts w:ascii="Arial" w:eastAsia="Calibri" w:hAnsi="Arial" w:cs="Arial"/>
          <w:bCs/>
          <w:color w:val="000000"/>
          <w:sz w:val="22"/>
          <w:lang w:val="es-ES_tradnl"/>
        </w:rPr>
        <w:t xml:space="preserve"> anterior</w:t>
      </w:r>
      <w:r w:rsidR="00D92E77">
        <w:rPr>
          <w:rFonts w:ascii="Arial" w:eastAsia="Calibri" w:hAnsi="Arial" w:cs="Arial"/>
          <w:bCs/>
          <w:color w:val="000000"/>
          <w:sz w:val="22"/>
          <w:lang w:val="es-ES_tradnl"/>
        </w:rPr>
        <w:t>es</w:t>
      </w:r>
      <w:r w:rsidRPr="00964418">
        <w:rPr>
          <w:rFonts w:ascii="Arial" w:eastAsia="Calibri" w:hAnsi="Arial" w:cs="Arial"/>
          <w:bCs/>
          <w:color w:val="000000"/>
          <w:sz w:val="22"/>
          <w:lang w:val="es-ES_tradnl"/>
        </w:rPr>
        <w:t xml:space="preserve"> no implica</w:t>
      </w:r>
      <w:r w:rsidR="00D92E77">
        <w:rPr>
          <w:rFonts w:ascii="Arial" w:eastAsia="Calibri" w:hAnsi="Arial" w:cs="Arial"/>
          <w:bCs/>
          <w:color w:val="000000"/>
          <w:sz w:val="22"/>
          <w:lang w:val="es-ES_tradnl"/>
        </w:rPr>
        <w:t>n</w:t>
      </w:r>
      <w:r w:rsidRPr="00964418">
        <w:rPr>
          <w:rFonts w:ascii="Arial" w:eastAsia="Calibri" w:hAnsi="Arial" w:cs="Arial"/>
          <w:bCs/>
          <w:color w:val="000000"/>
          <w:sz w:val="22"/>
          <w:lang w:val="es-ES_tradnl"/>
        </w:rPr>
        <w:t xml:space="preserve"> limitar o incidir en la posibilidad de presentar </w:t>
      </w:r>
      <w:r w:rsidRPr="00964418">
        <w:rPr>
          <w:rFonts w:ascii="Arial" w:eastAsia="Calibri" w:hAnsi="Arial" w:cs="Arial"/>
          <w:bCs/>
          <w:i/>
          <w:iCs/>
          <w:color w:val="000000"/>
          <w:sz w:val="22"/>
          <w:lang w:val="es-ES_tradnl"/>
        </w:rPr>
        <w:t xml:space="preserve">explicaciones o aclaraciones </w:t>
      </w:r>
      <w:r w:rsidRPr="00964418">
        <w:rPr>
          <w:rFonts w:ascii="Arial" w:eastAsia="Calibri" w:hAnsi="Arial" w:cs="Arial"/>
          <w:bCs/>
          <w:color w:val="000000"/>
          <w:sz w:val="22"/>
          <w:lang w:val="es-ES_tradnl"/>
        </w:rPr>
        <w:t>del contenido de las ofertas, actuación que esta Agencia y la jurisprudencia ha diferenciado de la posibilidad de subsanar, fundamentando tal actuación en el artículo 30, numeral 7 de la Ley 80 de 1993</w:t>
      </w:r>
      <w:r w:rsidRPr="00964418">
        <w:rPr>
          <w:rFonts w:ascii="Arial" w:eastAsia="Calibri" w:hAnsi="Arial" w:cs="Arial"/>
          <w:bCs/>
          <w:color w:val="000000"/>
          <w:sz w:val="22"/>
          <w:vertAlign w:val="superscript"/>
          <w:lang w:val="es-ES_tradnl"/>
        </w:rPr>
        <w:footnoteReference w:id="9"/>
      </w:r>
      <w:r w:rsidRPr="00964418">
        <w:rPr>
          <w:rFonts w:ascii="Arial" w:eastAsia="Calibri" w:hAnsi="Arial" w:cs="Arial"/>
          <w:bCs/>
          <w:color w:val="000000"/>
          <w:sz w:val="22"/>
          <w:lang w:val="es-ES_tradnl"/>
        </w:rPr>
        <w:t xml:space="preserve">. De esta manera, es posible que las entidades requieran al proponente para que explique o aclare el contenido de lo que está presente en la oferta, lo que procede tanto frente a los requisitos habilitantes como los que asignan puntaje. En efecto, en el «documento base» del documento tipo de interventoría se establece en el numeral 1.6. –inciso segundo–: «En caso de ser necesario, la entidad debe solicitar a los proponentes durante el proceso de evaluación, y a más tardar en el informe de evaluación, las aclaraciones, precisiones o solicitud de documentos que puedan ser subsanables. </w:t>
      </w:r>
      <w:r w:rsidRPr="00964418">
        <w:rPr>
          <w:rFonts w:ascii="Arial" w:eastAsia="Calibri" w:hAnsi="Arial" w:cs="Arial"/>
          <w:bCs/>
          <w:i/>
          <w:iCs/>
          <w:color w:val="000000"/>
          <w:sz w:val="22"/>
          <w:lang w:val="es-ES_tradnl"/>
        </w:rPr>
        <w:t>No obstante, los proponentes no podrán completar, adicionar o mejorar sus propuestas en los aspectos que otorgan puntaje, los cuales podrán ser objeto de aclaraciones y explicaciones</w:t>
      </w:r>
      <w:r w:rsidRPr="00964418">
        <w:rPr>
          <w:rFonts w:ascii="Arial" w:eastAsia="Calibri" w:hAnsi="Arial" w:cs="Arial"/>
          <w:bCs/>
          <w:color w:val="000000"/>
          <w:sz w:val="22"/>
          <w:lang w:val="es-ES_tradnl"/>
        </w:rPr>
        <w:t xml:space="preserve">». </w:t>
      </w:r>
    </w:p>
    <w:p w14:paraId="0D00B147" w14:textId="77777777" w:rsidR="00964418" w:rsidRPr="00964418" w:rsidRDefault="00964418" w:rsidP="00964418">
      <w:pPr>
        <w:spacing w:after="0"/>
        <w:ind w:firstLine="709"/>
        <w:rPr>
          <w:rFonts w:ascii="Arial" w:eastAsia="Calibri" w:hAnsi="Arial" w:cs="Arial"/>
          <w:bCs/>
          <w:color w:val="000000"/>
          <w:sz w:val="22"/>
          <w:lang w:val="es-ES_tradnl"/>
        </w:rPr>
      </w:pPr>
      <w:r w:rsidRPr="00964418">
        <w:rPr>
          <w:rFonts w:ascii="Arial" w:eastAsia="Calibri" w:hAnsi="Arial" w:cs="Arial"/>
          <w:bCs/>
          <w:color w:val="000000"/>
          <w:sz w:val="22"/>
          <w:lang w:val="es-ES_tradnl"/>
        </w:rPr>
        <w:t>Así las cosas, el «Anexo 3 – Glosario» del documento tipo de interventoría en relación con esta posibilidad establece la siguiente remisión: «Aclaraciones y explicaciones de ofertas: Se remite a las nociones desarrolladas en la sentencia del Consejo de Estado, Sección Tercera, Subsección C, del 12 de noviembre de 2014, Radicado 27.986, Consejero Ponente: Enrique Gil Botero». De esta manera, la posibilidad de «subsanar» la experiencia mínima habilitante, no incide en la posibilidad amplia de presentar «aclaraciones o explicaciones» del contenido de las ofertas.</w:t>
      </w:r>
    </w:p>
    <w:p w14:paraId="6E9DA46B" w14:textId="77777777" w:rsidR="00964418" w:rsidRPr="00964418" w:rsidRDefault="00964418" w:rsidP="00964418">
      <w:pPr>
        <w:spacing w:after="0" w:line="240" w:lineRule="auto"/>
        <w:rPr>
          <w:rFonts w:ascii="Arial" w:eastAsia="Calibri" w:hAnsi="Arial" w:cs="Arial"/>
          <w:b/>
          <w:bCs/>
          <w:color w:val="000000"/>
          <w:sz w:val="22"/>
          <w:lang w:val="es-ES_tradnl"/>
        </w:rPr>
      </w:pPr>
    </w:p>
    <w:p w14:paraId="52ACB68C" w14:textId="65210C65" w:rsidR="001C1A26" w:rsidRPr="00231255" w:rsidRDefault="00231E50" w:rsidP="00F176B9">
      <w:pPr>
        <w:spacing w:after="0"/>
        <w:rPr>
          <w:rFonts w:ascii="Arial" w:eastAsia="Calibri" w:hAnsi="Arial" w:cs="Arial"/>
          <w:b/>
          <w:sz w:val="22"/>
          <w:lang w:val="es-CO"/>
        </w:rPr>
      </w:pPr>
      <w:r w:rsidRPr="00231255">
        <w:rPr>
          <w:rFonts w:ascii="Arial" w:eastAsia="Calibri" w:hAnsi="Arial" w:cs="Arial"/>
          <w:b/>
          <w:sz w:val="22"/>
          <w:lang w:val="es-CO"/>
        </w:rPr>
        <w:t>3</w:t>
      </w:r>
      <w:r w:rsidR="00CF2AA3" w:rsidRPr="00231255">
        <w:rPr>
          <w:rFonts w:ascii="Arial" w:eastAsia="Calibri" w:hAnsi="Arial" w:cs="Arial"/>
          <w:b/>
          <w:sz w:val="22"/>
          <w:lang w:val="es-CO"/>
        </w:rPr>
        <w:t>. Respuest</w:t>
      </w:r>
      <w:r w:rsidR="001C1A26" w:rsidRPr="00231255">
        <w:rPr>
          <w:rFonts w:ascii="Arial" w:eastAsia="Calibri" w:hAnsi="Arial" w:cs="Arial"/>
          <w:b/>
          <w:sz w:val="22"/>
          <w:lang w:val="es-CO"/>
        </w:rPr>
        <w:t>a</w:t>
      </w:r>
    </w:p>
    <w:p w14:paraId="79A8F50A" w14:textId="77777777" w:rsidR="00264924" w:rsidRPr="00231255" w:rsidRDefault="00264924" w:rsidP="00F176B9">
      <w:pPr>
        <w:spacing w:after="0" w:line="240" w:lineRule="auto"/>
        <w:rPr>
          <w:rFonts w:ascii="Arial" w:eastAsia="Calibri" w:hAnsi="Arial" w:cs="Arial"/>
          <w:bCs/>
          <w:sz w:val="22"/>
          <w:lang w:val="es-CO"/>
        </w:rPr>
      </w:pPr>
    </w:p>
    <w:p w14:paraId="693FFAF6" w14:textId="77777777" w:rsidR="009C2F1B" w:rsidRDefault="007E536A" w:rsidP="007E536A">
      <w:pPr>
        <w:spacing w:after="0" w:line="240" w:lineRule="auto"/>
        <w:ind w:left="709" w:right="709"/>
        <w:rPr>
          <w:rFonts w:ascii="Arial" w:hAnsi="Arial" w:cs="Arial"/>
          <w:sz w:val="21"/>
          <w:szCs w:val="21"/>
          <w:shd w:val="clear" w:color="auto" w:fill="FFFFFF"/>
          <w:lang w:val="es-CO"/>
        </w:rPr>
      </w:pPr>
      <w:bookmarkStart w:id="12" w:name="_Hlk101816210"/>
      <w:bookmarkStart w:id="13" w:name="_Hlk57650395"/>
      <w:r w:rsidRPr="007E536A">
        <w:rPr>
          <w:rFonts w:ascii="Arial" w:hAnsi="Arial" w:cs="Arial"/>
          <w:sz w:val="21"/>
          <w:szCs w:val="21"/>
          <w:shd w:val="clear" w:color="auto" w:fill="FFFFFF"/>
          <w:lang w:val="es-CO"/>
        </w:rPr>
        <w:t>« […] surge la duda de si en caso que el proponente allegue, por ejemplo, un RUP desactualizado y sea necesario que subsane aportando por ejemplo una certificación de cámara de comercio de haber realizado el pago por los derechos de renovación y que no han cesado los efectos del RUP, o que por ejemplo en lugar de RUP allegue RUES, en caso que subsane demostrando que contaba con RUP actualizado y en firme para la fecha de cierre, es obvio que el proponente estará habilitado y que sus contratos son validos para acreditar la experiencia mínima, pero no queda del todo claro si esto lo privaría de participar en la asignación de puntaje conforme se señaló en líneas precedentes, toda vez que al subsanar la experiencia queda habilitado, pero pierde el puntaje respecto a la experiencia que fue necesario subsanar. En este sentido, se quiere conocer si al subsanarse el requisito del RUP y este (sic) estar relacionado con la forma de probar la experiencia, se pierde el puntaje o esta subsanación no se entiende como una subsanación de la experiencia.».</w:t>
      </w:r>
      <w:r w:rsidR="00C449F2" w:rsidRPr="00231255">
        <w:rPr>
          <w:rFonts w:ascii="Arial" w:hAnsi="Arial" w:cs="Arial"/>
          <w:sz w:val="21"/>
          <w:szCs w:val="21"/>
          <w:shd w:val="clear" w:color="auto" w:fill="FFFFFF"/>
          <w:lang w:val="es-CO"/>
        </w:rPr>
        <w:t xml:space="preserve">   </w:t>
      </w:r>
    </w:p>
    <w:p w14:paraId="34C2DA00" w14:textId="43C4A021" w:rsidR="00EF6B86" w:rsidRPr="00231255" w:rsidRDefault="00C449F2" w:rsidP="007E536A">
      <w:pPr>
        <w:spacing w:after="0" w:line="240" w:lineRule="auto"/>
        <w:ind w:left="709" w:right="709"/>
        <w:rPr>
          <w:rFonts w:ascii="Arial" w:hAnsi="Arial" w:cs="Arial"/>
          <w:sz w:val="21"/>
          <w:szCs w:val="21"/>
          <w:shd w:val="clear" w:color="auto" w:fill="FFFFFF"/>
          <w:lang w:val="es-CO"/>
        </w:rPr>
      </w:pPr>
      <w:r w:rsidRPr="00231255">
        <w:rPr>
          <w:rFonts w:ascii="Arial" w:hAnsi="Arial" w:cs="Arial"/>
          <w:sz w:val="21"/>
          <w:szCs w:val="21"/>
          <w:shd w:val="clear" w:color="auto" w:fill="FFFFFF"/>
          <w:lang w:val="es-CO"/>
        </w:rPr>
        <w:t xml:space="preserve">  </w:t>
      </w:r>
    </w:p>
    <w:p w14:paraId="54998365" w14:textId="0FDA5E94" w:rsidR="009C2F1B" w:rsidRDefault="009C2F1B" w:rsidP="009C2F1B">
      <w:pPr>
        <w:spacing w:after="120"/>
        <w:rPr>
          <w:rFonts w:ascii="Arial" w:eastAsia="Calibri" w:hAnsi="Arial" w:cs="Arial"/>
          <w:color w:val="000000"/>
          <w:sz w:val="22"/>
        </w:rPr>
      </w:pPr>
      <w:r w:rsidRPr="009C2F1B">
        <w:rPr>
          <w:rFonts w:ascii="Arial" w:eastAsia="Calibri" w:hAnsi="Arial" w:cs="Arial"/>
          <w:color w:val="000000"/>
          <w:sz w:val="22"/>
        </w:rPr>
        <w:t xml:space="preserve">Conforme </w:t>
      </w:r>
      <w:r w:rsidR="003F554B">
        <w:rPr>
          <w:rFonts w:ascii="Arial" w:eastAsia="Calibri" w:hAnsi="Arial" w:cs="Arial"/>
          <w:color w:val="000000"/>
          <w:sz w:val="22"/>
        </w:rPr>
        <w:t>con</w:t>
      </w:r>
      <w:r w:rsidRPr="009C2F1B">
        <w:rPr>
          <w:rFonts w:ascii="Arial" w:eastAsia="Calibri" w:hAnsi="Arial" w:cs="Arial"/>
          <w:color w:val="000000"/>
          <w:sz w:val="22"/>
        </w:rPr>
        <w:t xml:space="preserve"> lo expuesto, </w:t>
      </w:r>
      <w:r w:rsidR="00136D34">
        <w:rPr>
          <w:rFonts w:ascii="Arial" w:eastAsia="Calibri" w:hAnsi="Arial" w:cs="Arial"/>
          <w:color w:val="000000"/>
          <w:sz w:val="22"/>
        </w:rPr>
        <w:t xml:space="preserve">los </w:t>
      </w:r>
      <w:r w:rsidR="00136D34" w:rsidRPr="009C2F1B">
        <w:rPr>
          <w:rFonts w:ascii="Arial" w:eastAsia="Calibri" w:hAnsi="Arial" w:cs="Arial"/>
          <w:color w:val="000000"/>
          <w:sz w:val="22"/>
        </w:rPr>
        <w:t>documentos tipo</w:t>
      </w:r>
      <w:r w:rsidR="00136D34" w:rsidRPr="00136D34">
        <w:rPr>
          <w:rFonts w:ascii="Arial" w:eastAsia="Calibri" w:hAnsi="Arial" w:cs="Arial"/>
          <w:color w:val="000000"/>
          <w:sz w:val="22"/>
        </w:rPr>
        <w:t xml:space="preserve"> </w:t>
      </w:r>
      <w:r w:rsidR="00136D34">
        <w:rPr>
          <w:rFonts w:ascii="Arial" w:eastAsia="Calibri" w:hAnsi="Arial" w:cs="Arial"/>
          <w:color w:val="000000"/>
          <w:sz w:val="22"/>
        </w:rPr>
        <w:t xml:space="preserve">de concurso de méritos de </w:t>
      </w:r>
      <w:r w:rsidR="00136D34" w:rsidRPr="00136D34">
        <w:rPr>
          <w:rFonts w:ascii="Arial" w:eastAsia="Calibri" w:hAnsi="Arial" w:cs="Arial"/>
          <w:color w:val="000000"/>
          <w:sz w:val="22"/>
        </w:rPr>
        <w:t xml:space="preserve">interventoría de obra pública de infraestructura de transporte y </w:t>
      </w:r>
      <w:r w:rsidR="00136D34">
        <w:rPr>
          <w:rFonts w:ascii="Arial" w:eastAsia="Calibri" w:hAnsi="Arial" w:cs="Arial"/>
          <w:color w:val="000000"/>
          <w:sz w:val="22"/>
        </w:rPr>
        <w:t xml:space="preserve">de </w:t>
      </w:r>
      <w:r w:rsidR="00136D34" w:rsidRPr="00136D34">
        <w:rPr>
          <w:rFonts w:ascii="Arial" w:eastAsia="Calibri" w:hAnsi="Arial" w:cs="Arial"/>
          <w:color w:val="000000"/>
          <w:sz w:val="22"/>
        </w:rPr>
        <w:t>consultoría de estudios de ingeniería de infraestructura de transporte</w:t>
      </w:r>
      <w:r w:rsidR="00136D34" w:rsidRPr="009C2F1B">
        <w:rPr>
          <w:rFonts w:ascii="Arial" w:eastAsia="Calibri" w:hAnsi="Arial" w:cs="Arial"/>
          <w:color w:val="000000"/>
          <w:sz w:val="22"/>
        </w:rPr>
        <w:t xml:space="preserve">, </w:t>
      </w:r>
      <w:r w:rsidRPr="009C2F1B">
        <w:rPr>
          <w:rFonts w:ascii="Arial" w:eastAsia="Calibri" w:hAnsi="Arial" w:cs="Arial"/>
          <w:color w:val="000000"/>
          <w:sz w:val="22"/>
        </w:rPr>
        <w:t xml:space="preserve">establecen como </w:t>
      </w:r>
      <w:r w:rsidR="00136D34">
        <w:rPr>
          <w:rFonts w:ascii="Arial" w:eastAsia="Calibri" w:hAnsi="Arial" w:cs="Arial"/>
          <w:color w:val="000000"/>
          <w:sz w:val="22"/>
        </w:rPr>
        <w:t xml:space="preserve">uno de los </w:t>
      </w:r>
      <w:r w:rsidRPr="009C2F1B">
        <w:rPr>
          <w:rFonts w:ascii="Arial" w:eastAsia="Calibri" w:hAnsi="Arial" w:cs="Arial"/>
          <w:color w:val="000000"/>
          <w:sz w:val="22"/>
        </w:rPr>
        <w:t>factores d</w:t>
      </w:r>
      <w:r w:rsidR="00136D34">
        <w:rPr>
          <w:rFonts w:ascii="Arial" w:eastAsia="Calibri" w:hAnsi="Arial" w:cs="Arial"/>
          <w:color w:val="000000"/>
          <w:sz w:val="22"/>
        </w:rPr>
        <w:t>e</w:t>
      </w:r>
      <w:r w:rsidRPr="009C2F1B">
        <w:rPr>
          <w:rFonts w:ascii="Arial" w:eastAsia="Calibri" w:hAnsi="Arial" w:cs="Arial"/>
          <w:color w:val="000000"/>
          <w:sz w:val="22"/>
        </w:rPr>
        <w:t xml:space="preserve"> asignación de puntaje</w:t>
      </w:r>
      <w:r w:rsidR="00136D34">
        <w:rPr>
          <w:rFonts w:ascii="Arial" w:eastAsia="Calibri" w:hAnsi="Arial" w:cs="Arial"/>
          <w:color w:val="000000"/>
          <w:sz w:val="22"/>
        </w:rPr>
        <w:t xml:space="preserve"> la experiencia del proponente.</w:t>
      </w:r>
    </w:p>
    <w:p w14:paraId="31DDFADC" w14:textId="7AF5C87F" w:rsidR="00C4445C" w:rsidRPr="00AC6B00" w:rsidRDefault="00C4445C" w:rsidP="00F6270E">
      <w:pPr>
        <w:spacing w:after="120"/>
        <w:ind w:firstLine="709"/>
        <w:rPr>
          <w:rFonts w:ascii="Arial" w:eastAsia="Calibri" w:hAnsi="Arial" w:cs="Arial"/>
          <w:bCs/>
          <w:color w:val="000000"/>
          <w:sz w:val="21"/>
          <w:szCs w:val="21"/>
          <w:lang w:val="es-ES_tradnl"/>
        </w:rPr>
      </w:pPr>
      <w:r w:rsidRPr="00AC6B00">
        <w:rPr>
          <w:rFonts w:ascii="Arial" w:eastAsia="Calibri" w:hAnsi="Arial" w:cs="Arial"/>
          <w:bCs/>
          <w:color w:val="000000"/>
          <w:sz w:val="22"/>
          <w:lang w:val="es-ES_tradnl"/>
        </w:rPr>
        <w:t>En armonía con lo anterior, el literal A del numeral 4.1 del Documento Base de concurso de méritos para la interventoría de obra pública de infraestructura de transporte, respecto a la «verificación y asignación del puntaje por la experiencia del proponente» establece que:</w:t>
      </w:r>
      <w:r w:rsidRPr="00AC6B00">
        <w:rPr>
          <w:rFonts w:ascii="Arial" w:eastAsia="Calibri" w:hAnsi="Arial" w:cs="Arial"/>
          <w:bCs/>
          <w:color w:val="000000"/>
          <w:sz w:val="21"/>
          <w:szCs w:val="21"/>
          <w:lang w:val="es-ES_tradnl"/>
        </w:rPr>
        <w:t xml:space="preserve"> «si el proponente debió subsanar el cumplimiento de la experiencia mínima no será susceptible de puntuación, por lo que obtendrá cero (0) puntos por este criterio de evaluación». De otro lado, </w:t>
      </w:r>
      <w:r w:rsidRPr="00AC6B00">
        <w:rPr>
          <w:rFonts w:ascii="Arial" w:eastAsia="Calibri" w:hAnsi="Arial" w:cs="Arial"/>
          <w:bCs/>
          <w:color w:val="000000"/>
          <w:sz w:val="22"/>
          <w:lang w:val="es-ES_tradnl"/>
        </w:rPr>
        <w:t xml:space="preserve">el Documento Base de concurso de méritos de consultoría de estudios de ingeniería de infraestructura de transporte, también en el literal A del numeral 4.1, </w:t>
      </w:r>
      <w:r w:rsidR="00F6270E" w:rsidRPr="00AC6B00">
        <w:rPr>
          <w:rFonts w:ascii="Arial" w:eastAsia="Calibri" w:hAnsi="Arial" w:cs="Arial"/>
          <w:bCs/>
          <w:color w:val="000000"/>
          <w:sz w:val="22"/>
          <w:lang w:val="es-ES_tradnl"/>
        </w:rPr>
        <w:t>respecto a</w:t>
      </w:r>
      <w:r w:rsidRPr="00AC6B00">
        <w:rPr>
          <w:rFonts w:ascii="Arial" w:eastAsia="Calibri" w:hAnsi="Arial" w:cs="Arial"/>
          <w:bCs/>
          <w:color w:val="000000"/>
          <w:sz w:val="22"/>
          <w:lang w:val="es-ES_tradnl"/>
        </w:rPr>
        <w:t xml:space="preserve"> la «forma de verificación y asignación del puntaje por la experiencia del proponente»</w:t>
      </w:r>
      <w:r w:rsidR="00F6270E" w:rsidRPr="00AC6B00">
        <w:rPr>
          <w:rFonts w:ascii="Arial" w:eastAsia="Calibri" w:hAnsi="Arial" w:cs="Arial"/>
          <w:bCs/>
          <w:color w:val="000000"/>
          <w:sz w:val="22"/>
          <w:lang w:val="es-ES_tradnl"/>
        </w:rPr>
        <w:t xml:space="preserve"> establece que</w:t>
      </w:r>
      <w:r w:rsidR="00883F4C" w:rsidRPr="00AC6B00">
        <w:rPr>
          <w:rFonts w:ascii="Arial" w:eastAsia="Calibri" w:hAnsi="Arial" w:cs="Arial"/>
          <w:bCs/>
          <w:color w:val="000000"/>
          <w:sz w:val="22"/>
          <w:lang w:val="es-ES_tradnl"/>
        </w:rPr>
        <w:t>:</w:t>
      </w:r>
      <w:r w:rsidR="00F6270E" w:rsidRPr="00AC6B00">
        <w:rPr>
          <w:rFonts w:ascii="Arial" w:eastAsia="Calibri" w:hAnsi="Arial" w:cs="Arial"/>
          <w:bCs/>
          <w:color w:val="000000"/>
          <w:sz w:val="22"/>
          <w:lang w:val="es-ES_tradnl"/>
        </w:rPr>
        <w:t xml:space="preserve"> «</w:t>
      </w:r>
      <w:r w:rsidRPr="00AC6B00">
        <w:rPr>
          <w:rFonts w:ascii="Arial" w:eastAsia="Calibri" w:hAnsi="Arial" w:cs="Arial"/>
          <w:bCs/>
          <w:color w:val="000000"/>
          <w:sz w:val="21"/>
          <w:szCs w:val="21"/>
          <w:lang w:val="es-ES_tradnl"/>
        </w:rPr>
        <w:t>En el caso en el cual un Proponente haya subsanado la totalidad de los Contratos aportados, su oferta no será tenida en cuenta para aplicar las fórmulas para la ponderación de la Experiencia del Proponente, por lo que, además, por este criterio de asignación de puntaje obtendrá cero (0) puntos</w:t>
      </w:r>
      <w:r w:rsidR="00F6270E" w:rsidRPr="00AC6B00">
        <w:rPr>
          <w:rFonts w:ascii="Arial" w:eastAsia="Calibri" w:hAnsi="Arial" w:cs="Arial"/>
          <w:bCs/>
          <w:color w:val="000000"/>
          <w:sz w:val="21"/>
          <w:szCs w:val="21"/>
          <w:lang w:val="es-ES_tradnl"/>
        </w:rPr>
        <w:t>»</w:t>
      </w:r>
      <w:r w:rsidRPr="00AC6B00">
        <w:rPr>
          <w:rFonts w:ascii="Arial" w:eastAsia="Calibri" w:hAnsi="Arial" w:cs="Arial"/>
          <w:bCs/>
          <w:color w:val="000000"/>
          <w:sz w:val="21"/>
          <w:szCs w:val="21"/>
          <w:lang w:val="es-ES_tradnl"/>
        </w:rPr>
        <w:t>.</w:t>
      </w:r>
      <w:r w:rsidR="00F6270E" w:rsidRPr="00AC6B00">
        <w:rPr>
          <w:rFonts w:ascii="Arial" w:eastAsia="Calibri" w:hAnsi="Arial" w:cs="Arial"/>
          <w:bCs/>
          <w:color w:val="000000"/>
          <w:sz w:val="21"/>
          <w:szCs w:val="21"/>
          <w:lang w:val="es-ES_tradnl"/>
        </w:rPr>
        <w:t xml:space="preserve"> </w:t>
      </w:r>
    </w:p>
    <w:p w14:paraId="289B0495" w14:textId="06696F3C" w:rsidR="007D4CA6" w:rsidRDefault="00F6270E" w:rsidP="00AC6B00">
      <w:pPr>
        <w:spacing w:after="120"/>
        <w:ind w:firstLine="709"/>
        <w:rPr>
          <w:rFonts w:ascii="Arial" w:eastAsia="Calibri" w:hAnsi="Arial" w:cs="Arial"/>
          <w:color w:val="000000"/>
          <w:sz w:val="22"/>
          <w:lang w:val="es-ES_tradnl"/>
        </w:rPr>
      </w:pPr>
      <w:r w:rsidRPr="00AC6B00">
        <w:rPr>
          <w:rFonts w:ascii="Arial" w:eastAsia="Calibri" w:hAnsi="Arial" w:cs="Arial"/>
          <w:bCs/>
          <w:color w:val="000000"/>
          <w:sz w:val="21"/>
          <w:szCs w:val="21"/>
          <w:lang w:val="es-ES_tradnl"/>
        </w:rPr>
        <w:t xml:space="preserve">Teniendo en cuenta lo anterior, en los casos en que el proponente no aporte adecuadamente el Registro Único de Proponentes, en los términos establecidos en el pliego de condiciones y, por tanto, deba subsanar su presentación, no podrá obtener puntos en relación con el criterio de asignación de puntaje de experiencia del proponente, toda vez que el Registro Único de Proponentes es uno de los documentos indispensables para acreditar la experiencia. En tal sentido, la evaluación de las ofertas debe realizarse conforme con las reglas establecidas en los documentos tipo, </w:t>
      </w:r>
      <w:r w:rsidR="00883F4C" w:rsidRPr="00AC6B00">
        <w:rPr>
          <w:rFonts w:ascii="Arial" w:eastAsia="Calibri" w:hAnsi="Arial" w:cs="Arial"/>
          <w:bCs/>
          <w:color w:val="000000"/>
          <w:sz w:val="21"/>
          <w:szCs w:val="21"/>
          <w:lang w:val="es-ES_tradnl"/>
        </w:rPr>
        <w:t>que en cu</w:t>
      </w:r>
      <w:r w:rsidR="00FF75DB" w:rsidRPr="00AC6B00">
        <w:rPr>
          <w:rFonts w:ascii="Arial" w:eastAsia="Calibri" w:hAnsi="Arial" w:cs="Arial"/>
          <w:bCs/>
          <w:color w:val="000000"/>
          <w:sz w:val="21"/>
          <w:szCs w:val="21"/>
          <w:lang w:val="es-ES_tradnl"/>
        </w:rPr>
        <w:t>a</w:t>
      </w:r>
      <w:r w:rsidR="00883F4C" w:rsidRPr="00AC6B00">
        <w:rPr>
          <w:rFonts w:ascii="Arial" w:eastAsia="Calibri" w:hAnsi="Arial" w:cs="Arial"/>
          <w:bCs/>
          <w:color w:val="000000"/>
          <w:sz w:val="21"/>
          <w:szCs w:val="21"/>
          <w:lang w:val="es-ES_tradnl"/>
        </w:rPr>
        <w:t xml:space="preserve">nto a lo desarrollado en este concepto son armónicas con el </w:t>
      </w:r>
      <w:r w:rsidR="007D4CA6" w:rsidRPr="007D4CA6">
        <w:rPr>
          <w:rFonts w:ascii="Arial" w:eastAsia="Calibri" w:hAnsi="Arial" w:cs="Arial"/>
          <w:color w:val="000000"/>
          <w:sz w:val="22"/>
          <w:lang w:val="es-ES_tradnl"/>
        </w:rPr>
        <w:t xml:space="preserve">parágrafo 1 del artículo 5 de la Ley 1150 de 2007, </w:t>
      </w:r>
      <w:r w:rsidR="00883F4C">
        <w:rPr>
          <w:rFonts w:ascii="Arial" w:eastAsia="Calibri" w:hAnsi="Arial" w:cs="Arial"/>
          <w:color w:val="000000"/>
          <w:sz w:val="22"/>
          <w:lang w:val="es-ES_tradnl"/>
        </w:rPr>
        <w:t xml:space="preserve">que establece que </w:t>
      </w:r>
      <w:r w:rsidR="007D4CA6" w:rsidRPr="007D4CA6">
        <w:rPr>
          <w:rFonts w:ascii="Arial" w:eastAsia="Calibri" w:hAnsi="Arial" w:cs="Arial"/>
          <w:color w:val="000000"/>
          <w:sz w:val="22"/>
          <w:lang w:val="es-ES_tradnl"/>
        </w:rPr>
        <w:t xml:space="preserve">todos aquellos requisitos de la propuesta que no afecten la asignación de puntaje podrán subsanarse, </w:t>
      </w:r>
      <w:r w:rsidR="007D4CA6" w:rsidRPr="00AC6B00">
        <w:rPr>
          <w:rFonts w:ascii="Arial" w:eastAsia="Calibri" w:hAnsi="Arial" w:cs="Arial"/>
          <w:color w:val="000000"/>
          <w:sz w:val="22"/>
          <w:lang w:val="es-ES_tradnl"/>
        </w:rPr>
        <w:t xml:space="preserve">regla de donde se deriva la imposibilidad de subsanar aquellos que </w:t>
      </w:r>
      <w:r w:rsidR="00883F4C" w:rsidRPr="00AC6B00">
        <w:rPr>
          <w:rFonts w:ascii="Arial" w:eastAsia="Calibri" w:hAnsi="Arial" w:cs="Arial"/>
          <w:color w:val="000000"/>
          <w:sz w:val="22"/>
          <w:lang w:val="es-ES_tradnl"/>
        </w:rPr>
        <w:t>afecten</w:t>
      </w:r>
      <w:r w:rsidR="007D4CA6" w:rsidRPr="00AC6B00">
        <w:rPr>
          <w:rFonts w:ascii="Arial" w:eastAsia="Calibri" w:hAnsi="Arial" w:cs="Arial"/>
          <w:color w:val="000000"/>
          <w:sz w:val="22"/>
          <w:lang w:val="es-ES_tradnl"/>
        </w:rPr>
        <w:t xml:space="preserve"> la asignación de puntaje.</w:t>
      </w:r>
    </w:p>
    <w:p w14:paraId="20529901" w14:textId="130B88B4" w:rsidR="009C2F1B" w:rsidRPr="009C2F1B" w:rsidRDefault="009C2F1B" w:rsidP="009C2F1B">
      <w:pPr>
        <w:spacing w:after="120"/>
        <w:rPr>
          <w:rFonts w:ascii="Arial" w:eastAsia="Calibri" w:hAnsi="Arial" w:cs="Arial"/>
          <w:color w:val="000000"/>
          <w:sz w:val="22"/>
        </w:rPr>
      </w:pPr>
      <w:r w:rsidRPr="009C2F1B">
        <w:rPr>
          <w:rFonts w:ascii="Arial" w:eastAsia="Calibri" w:hAnsi="Arial" w:cs="Arial"/>
          <w:color w:val="000000"/>
          <w:sz w:val="22"/>
        </w:rPr>
        <w:t xml:space="preserve"> </w:t>
      </w:r>
    </w:p>
    <w:p w14:paraId="0C2CAB70" w14:textId="6E002ABF" w:rsidR="00D777A2" w:rsidRPr="00231255" w:rsidRDefault="00D777A2" w:rsidP="00D777A2">
      <w:pPr>
        <w:spacing w:after="0" w:line="240" w:lineRule="auto"/>
        <w:ind w:right="709"/>
        <w:rPr>
          <w:rFonts w:ascii="Arial" w:hAnsi="Arial" w:cs="Arial"/>
          <w:sz w:val="21"/>
          <w:szCs w:val="21"/>
          <w:shd w:val="clear" w:color="auto" w:fill="FFFFFF"/>
          <w:lang w:val="es-CO"/>
        </w:rPr>
      </w:pPr>
    </w:p>
    <w:bookmarkEnd w:id="12"/>
    <w:p w14:paraId="06025F48" w14:textId="1C6BD03F" w:rsidR="00506085" w:rsidRPr="000D75DD" w:rsidRDefault="00506085" w:rsidP="00F176B9">
      <w:pPr>
        <w:spacing w:after="0"/>
        <w:rPr>
          <w:rFonts w:ascii="Times New Roman" w:eastAsia="Times New Roman" w:hAnsi="Times New Roman" w:cs="Times New Roman"/>
          <w:szCs w:val="24"/>
          <w:lang w:val="es-CO" w:eastAsia="es-ES_tradnl"/>
        </w:rPr>
      </w:pPr>
      <w:r w:rsidRPr="000D75DD">
        <w:rPr>
          <w:rFonts w:ascii="Arial" w:eastAsia="Calibri" w:hAnsi="Arial" w:cs="Arial"/>
          <w:sz w:val="22"/>
          <w:lang w:val="es-CO"/>
        </w:rPr>
        <w:t>Este concepto tiene el alcance previsto en el artículo 28 del Código de Procedimiento Administrativo y de lo Contencioso Administrativo.</w:t>
      </w:r>
      <w:r w:rsidRPr="000D75DD">
        <w:rPr>
          <w:rFonts w:ascii="Arial" w:hAnsi="Arial" w:cs="Arial"/>
          <w:noProof/>
          <w:lang w:val="es-CO" w:eastAsia="es-CO"/>
        </w:rPr>
        <mc:AlternateContent>
          <mc:Choice Requires="wps">
            <w:drawing>
              <wp:anchor distT="0" distB="0" distL="114300" distR="114300" simplePos="0" relativeHeight="251659264" behindDoc="0" locked="0" layoutInCell="1" allowOverlap="1" wp14:anchorId="6B9241D6" wp14:editId="64F49FCF">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C5130A1"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p w14:paraId="0827501E" w14:textId="77777777" w:rsidR="00717A45" w:rsidRPr="000D75DD" w:rsidRDefault="00717A45" w:rsidP="00F176B9">
      <w:pPr>
        <w:spacing w:after="0"/>
        <w:rPr>
          <w:noProof/>
        </w:rPr>
      </w:pPr>
    </w:p>
    <w:p w14:paraId="240E0475" w14:textId="58454EEA" w:rsidR="00506085" w:rsidRDefault="00506085" w:rsidP="00F176B9">
      <w:pPr>
        <w:rPr>
          <w:rFonts w:ascii="Arial" w:eastAsia="Times New Roman" w:hAnsi="Arial" w:cs="Arial"/>
          <w:sz w:val="22"/>
          <w:lang w:val="es-CO" w:eastAsia="es-CO"/>
        </w:rPr>
      </w:pPr>
      <w:r w:rsidRPr="000D75DD">
        <w:rPr>
          <w:rFonts w:ascii="Arial" w:eastAsia="Times New Roman" w:hAnsi="Arial" w:cs="Arial"/>
          <w:sz w:val="22"/>
          <w:lang w:val="es-CO" w:eastAsia="es-CO"/>
        </w:rPr>
        <w:t>Atentamente,</w:t>
      </w:r>
    </w:p>
    <w:p w14:paraId="75F15872" w14:textId="708A7496" w:rsidR="00F46EA2" w:rsidRPr="000D75DD" w:rsidRDefault="00F46EA2" w:rsidP="00F46EA2">
      <w:pPr>
        <w:jc w:val="center"/>
        <w:rPr>
          <w:rFonts w:ascii="Arial" w:eastAsia="Times New Roman" w:hAnsi="Arial" w:cs="Arial"/>
          <w:sz w:val="22"/>
          <w:lang w:val="es-CO" w:eastAsia="es-CO"/>
        </w:rPr>
      </w:pPr>
      <w:r w:rsidRPr="00F46EA2">
        <w:rPr>
          <w:rFonts w:ascii="Times New Roman" w:eastAsia="Times New Roman" w:hAnsi="Times New Roman" w:cs="Times New Roman"/>
          <w:noProof/>
          <w:szCs w:val="24"/>
          <w:lang w:val="es-CO" w:eastAsia="es-ES_tradnl"/>
        </w:rPr>
        <w:drawing>
          <wp:inline distT="0" distB="0" distL="0" distR="0" wp14:anchorId="0AA78453" wp14:editId="578C11EF">
            <wp:extent cx="2533650" cy="990600"/>
            <wp:effectExtent l="0" t="0" r="0" b="0"/>
            <wp:docPr id="968045507" name="Imagen 968045507"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533650" cy="990600"/>
                    </a:xfrm>
                    <a:prstGeom prst="rect">
                      <a:avLst/>
                    </a:prstGeom>
                  </pic:spPr>
                </pic:pic>
              </a:graphicData>
            </a:graphic>
          </wp:inline>
        </w:drawing>
      </w:r>
    </w:p>
    <w:p w14:paraId="300BE44C" w14:textId="58B1520D" w:rsidR="00843449" w:rsidRPr="000D75DD" w:rsidRDefault="00843449" w:rsidP="00F176B9">
      <w:pPr>
        <w:jc w:val="center"/>
        <w:rPr>
          <w:rFonts w:ascii="Arial" w:eastAsia="Times New Roman"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F176B9" w:rsidRPr="000D75DD" w14:paraId="59E26AD8" w14:textId="77777777" w:rsidTr="00DE279B">
        <w:trPr>
          <w:trHeight w:val="315"/>
        </w:trPr>
        <w:tc>
          <w:tcPr>
            <w:tcW w:w="812" w:type="dxa"/>
            <w:vAlign w:val="center"/>
            <w:hideMark/>
          </w:tcPr>
          <w:p w14:paraId="53421173"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Elaboró:</w:t>
            </w:r>
          </w:p>
        </w:tc>
        <w:tc>
          <w:tcPr>
            <w:tcW w:w="4291" w:type="dxa"/>
            <w:tcBorders>
              <w:top w:val="nil"/>
              <w:left w:val="nil"/>
              <w:bottom w:val="dotted" w:sz="4" w:space="0" w:color="7F7F7F" w:themeColor="text1" w:themeTint="80"/>
              <w:right w:val="nil"/>
            </w:tcBorders>
            <w:vAlign w:val="center"/>
            <w:hideMark/>
          </w:tcPr>
          <w:p w14:paraId="6E5507FB" w14:textId="77777777" w:rsidR="00F354B5" w:rsidRPr="00F354B5" w:rsidRDefault="00F354B5" w:rsidP="00F354B5">
            <w:pPr>
              <w:rPr>
                <w:rFonts w:ascii="Arial" w:eastAsia="Times New Roman" w:hAnsi="Arial" w:cs="Arial"/>
                <w:color w:val="000000" w:themeColor="text1"/>
                <w:sz w:val="16"/>
                <w:szCs w:val="16"/>
                <w:lang w:val="es-ES_tradnl" w:eastAsia="es-ES"/>
              </w:rPr>
            </w:pPr>
            <w:r w:rsidRPr="00F354B5">
              <w:rPr>
                <w:rFonts w:ascii="Arial" w:eastAsia="Times New Roman" w:hAnsi="Arial" w:cs="Arial"/>
                <w:color w:val="000000" w:themeColor="text1"/>
                <w:sz w:val="16"/>
                <w:szCs w:val="16"/>
                <w:lang w:val="es-ES_tradnl" w:eastAsia="es-ES"/>
              </w:rPr>
              <w:t>Gabriel Alejandro Murcia Taboada</w:t>
            </w:r>
          </w:p>
          <w:p w14:paraId="3F63272B" w14:textId="4F20144E" w:rsidR="00843449" w:rsidRPr="000D75DD" w:rsidRDefault="00F354B5" w:rsidP="00F354B5">
            <w:pPr>
              <w:rPr>
                <w:rFonts w:ascii="Arial" w:eastAsia="Times New Roman" w:hAnsi="Arial" w:cs="Arial"/>
                <w:sz w:val="16"/>
                <w:szCs w:val="16"/>
                <w:lang w:val="es-CO" w:eastAsia="es-ES"/>
              </w:rPr>
            </w:pPr>
            <w:r w:rsidRPr="00F354B5">
              <w:rPr>
                <w:rFonts w:ascii="Arial" w:eastAsia="Times New Roman" w:hAnsi="Arial" w:cs="Arial"/>
                <w:color w:val="000000" w:themeColor="text1"/>
                <w:sz w:val="16"/>
                <w:szCs w:val="16"/>
                <w:lang w:val="es-ES_tradnl" w:eastAsia="es-ES"/>
              </w:rPr>
              <w:t>Contratista de la Subdirección de Gestión Contractual</w:t>
            </w:r>
          </w:p>
        </w:tc>
      </w:tr>
      <w:tr w:rsidR="00F176B9" w:rsidRPr="000D75DD" w14:paraId="363E18D7" w14:textId="77777777" w:rsidTr="00DE279B">
        <w:trPr>
          <w:trHeight w:val="330"/>
        </w:trPr>
        <w:tc>
          <w:tcPr>
            <w:tcW w:w="812" w:type="dxa"/>
            <w:vAlign w:val="center"/>
            <w:hideMark/>
          </w:tcPr>
          <w:p w14:paraId="5E29D295"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Revisó: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34021DD6" w14:textId="77777777" w:rsidR="00DA3ACF" w:rsidRPr="00DA3ACF" w:rsidRDefault="00DA3ACF" w:rsidP="00DA3ACF">
            <w:pPr>
              <w:jc w:val="left"/>
              <w:rPr>
                <w:rFonts w:ascii="Arial" w:eastAsia="Times New Roman" w:hAnsi="Arial" w:cs="Arial"/>
                <w:sz w:val="16"/>
                <w:szCs w:val="16"/>
                <w:lang w:val="es-ES_tradnl" w:eastAsia="es-ES"/>
              </w:rPr>
            </w:pPr>
            <w:r w:rsidRPr="00DA3ACF">
              <w:rPr>
                <w:rFonts w:ascii="Arial" w:eastAsia="Times New Roman" w:hAnsi="Arial" w:cs="Arial"/>
                <w:sz w:val="16"/>
                <w:szCs w:val="16"/>
                <w:lang w:val="es-ES_tradnl" w:eastAsia="es-ES"/>
              </w:rPr>
              <w:t>Sebastián Ramírez Grisales</w:t>
            </w:r>
          </w:p>
          <w:p w14:paraId="30332C7A" w14:textId="09025EB1" w:rsidR="00843449" w:rsidRPr="000D75DD" w:rsidRDefault="00DA3ACF" w:rsidP="00DA3ACF">
            <w:pPr>
              <w:rPr>
                <w:rFonts w:ascii="Arial" w:eastAsia="Times New Roman" w:hAnsi="Arial" w:cs="Arial"/>
                <w:sz w:val="16"/>
                <w:szCs w:val="16"/>
                <w:lang w:val="es-CO" w:eastAsia="es-ES"/>
              </w:rPr>
            </w:pPr>
            <w:r w:rsidRPr="00DA3ACF">
              <w:rPr>
                <w:rFonts w:ascii="Arial" w:eastAsia="Times New Roman" w:hAnsi="Arial" w:cs="Arial"/>
                <w:sz w:val="16"/>
                <w:szCs w:val="16"/>
                <w:lang w:val="es-ES_tradnl" w:eastAsia="es-ES"/>
              </w:rPr>
              <w:t xml:space="preserve">Contratista </w:t>
            </w:r>
            <w:r w:rsidR="00784E6C" w:rsidRPr="00DA3ACF">
              <w:rPr>
                <w:rFonts w:ascii="Arial" w:eastAsia="Times New Roman" w:hAnsi="Arial" w:cs="Arial"/>
                <w:sz w:val="16"/>
                <w:szCs w:val="16"/>
                <w:lang w:val="es-ES_tradnl" w:eastAsia="es-ES"/>
              </w:rPr>
              <w:t>de la</w:t>
            </w:r>
            <w:r w:rsidRPr="00DA3ACF">
              <w:rPr>
                <w:rFonts w:ascii="Arial" w:eastAsia="Times New Roman" w:hAnsi="Arial" w:cs="Arial"/>
                <w:sz w:val="16"/>
                <w:szCs w:val="16"/>
                <w:lang w:val="es-ES_tradnl" w:eastAsia="es-ES"/>
              </w:rPr>
              <w:t xml:space="preserve"> Subdirección de Gestión Contractual</w:t>
            </w:r>
          </w:p>
        </w:tc>
      </w:tr>
      <w:tr w:rsidR="00F176B9" w:rsidRPr="00F176B9" w14:paraId="4231B1F9" w14:textId="77777777" w:rsidTr="00DE279B">
        <w:trPr>
          <w:trHeight w:val="300"/>
        </w:trPr>
        <w:tc>
          <w:tcPr>
            <w:tcW w:w="812" w:type="dxa"/>
            <w:vAlign w:val="center"/>
            <w:hideMark/>
          </w:tcPr>
          <w:p w14:paraId="074BC5C1"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Aprobó: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00EE21D5" w14:textId="27DCBD0A"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J</w:t>
            </w:r>
            <w:r w:rsidR="003D2C5E">
              <w:rPr>
                <w:rFonts w:ascii="Arial" w:eastAsia="Times New Roman" w:hAnsi="Arial" w:cs="Arial"/>
                <w:sz w:val="16"/>
                <w:szCs w:val="16"/>
                <w:lang w:val="es-CO" w:eastAsia="es-ES"/>
              </w:rPr>
              <w:t>uan David Marín López</w:t>
            </w:r>
          </w:p>
          <w:p w14:paraId="4A949C01" w14:textId="4789A239" w:rsidR="00843449" w:rsidRPr="00F176B9"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 xml:space="preserve">Subdirector de Gestión Contractual </w:t>
            </w:r>
            <w:r w:rsidR="001427BC">
              <w:rPr>
                <w:rFonts w:ascii="Arial" w:eastAsia="Times New Roman" w:hAnsi="Arial" w:cs="Arial"/>
                <w:sz w:val="16"/>
                <w:szCs w:val="16"/>
                <w:lang w:val="es-CO" w:eastAsia="es-ES"/>
              </w:rPr>
              <w:t>(E)</w:t>
            </w:r>
          </w:p>
        </w:tc>
      </w:tr>
      <w:bookmarkEnd w:id="13"/>
    </w:tbl>
    <w:p w14:paraId="20333B98" w14:textId="77777777" w:rsidR="006674C1" w:rsidRPr="00F176B9" w:rsidRDefault="006674C1" w:rsidP="00F176B9">
      <w:pPr>
        <w:spacing w:after="120"/>
        <w:contextualSpacing/>
        <w:rPr>
          <w:rFonts w:ascii="Arial" w:eastAsia="Calibri" w:hAnsi="Arial" w:cs="Arial"/>
          <w:b/>
          <w:bCs/>
          <w:sz w:val="20"/>
          <w:szCs w:val="20"/>
        </w:rPr>
      </w:pPr>
    </w:p>
    <w:sectPr w:rsidR="006674C1" w:rsidRPr="00F176B9" w:rsidSect="00231255">
      <w:headerReference w:type="default" r:id="rId13"/>
      <w:footerReference w:type="default" r:id="rId14"/>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197A7" w14:textId="77777777" w:rsidR="00241AB9" w:rsidRDefault="00241AB9">
      <w:r>
        <w:separator/>
      </w:r>
    </w:p>
  </w:endnote>
  <w:endnote w:type="continuationSeparator" w:id="0">
    <w:p w14:paraId="6E55A158" w14:textId="77777777" w:rsidR="00241AB9" w:rsidRDefault="00241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8D1CB" w14:textId="1AB2AE8F" w:rsidR="00412132" w:rsidRDefault="00412132" w:rsidP="00B6444C">
    <w:pPr>
      <w:pStyle w:val="Sinespaciado"/>
      <w:rPr>
        <w:rFonts w:ascii="Arial" w:hAnsi="Arial" w:cs="Arial"/>
        <w:sz w:val="18"/>
        <w:szCs w:val="18"/>
      </w:rPr>
    </w:pPr>
  </w:p>
  <w:p w14:paraId="312C4A14" w14:textId="6A24D930" w:rsidR="00412132" w:rsidRPr="005A79FE" w:rsidRDefault="00412132"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D6148F">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D6148F">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48FC6A04" w14:textId="4A5E79D2" w:rsidR="00412132" w:rsidRDefault="00412132" w:rsidP="007B0854">
    <w:pPr>
      <w:pStyle w:val="Piedepgina"/>
      <w:jc w:val="center"/>
      <w:rPr>
        <w:lang w:val="es-ES"/>
      </w:rPr>
    </w:pPr>
    <w:r>
      <w:rPr>
        <w:noProof/>
        <w:lang w:val="es-CO" w:eastAsia="es-CO"/>
      </w:rPr>
      <w:drawing>
        <wp:inline distT="0" distB="0" distL="0" distR="0" wp14:anchorId="608B196D" wp14:editId="577C97FD">
          <wp:extent cx="4241994" cy="595165"/>
          <wp:effectExtent l="0" t="0" r="6350" b="0"/>
          <wp:docPr id="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645768A8" w14:textId="77777777" w:rsidR="00412132" w:rsidRPr="007B0854" w:rsidRDefault="00412132"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BC200" w14:textId="77777777" w:rsidR="00241AB9" w:rsidRDefault="00241AB9">
      <w:r>
        <w:separator/>
      </w:r>
    </w:p>
  </w:footnote>
  <w:footnote w:type="continuationSeparator" w:id="0">
    <w:p w14:paraId="753884B1" w14:textId="77777777" w:rsidR="00241AB9" w:rsidRDefault="00241AB9">
      <w:r>
        <w:continuationSeparator/>
      </w:r>
    </w:p>
  </w:footnote>
  <w:footnote w:id="1">
    <w:p w14:paraId="7445E736" w14:textId="77777777" w:rsidR="00817931" w:rsidRPr="00AC6B00" w:rsidRDefault="00817931" w:rsidP="003F554B">
      <w:pPr>
        <w:pStyle w:val="Textonotapie"/>
        <w:spacing w:after="0" w:line="240" w:lineRule="auto"/>
        <w:ind w:firstLine="708"/>
        <w:rPr>
          <w:rFonts w:ascii="Arial" w:hAnsi="Arial" w:cs="Arial"/>
          <w:color w:val="000000" w:themeColor="text1"/>
          <w:sz w:val="19"/>
          <w:szCs w:val="19"/>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«Artículo 3°. Funciones. La Agencia Nacional de Contratación Pública –Colombia Compra Eficiente– ejercerá las siguientes funciones: </w:t>
      </w:r>
    </w:p>
    <w:p w14:paraId="38C3EA8B" w14:textId="77777777" w:rsidR="00817931" w:rsidRPr="00AC6B00" w:rsidRDefault="00817931" w:rsidP="003F554B">
      <w:pPr>
        <w:pStyle w:val="Textonotapie"/>
        <w:spacing w:after="0" w:line="240" w:lineRule="auto"/>
        <w:ind w:firstLine="709"/>
        <w:rPr>
          <w:rFonts w:ascii="Arial" w:hAnsi="Arial" w:cs="Arial"/>
          <w:color w:val="000000" w:themeColor="text1"/>
          <w:sz w:val="19"/>
          <w:szCs w:val="19"/>
          <w:lang w:val="es-ES"/>
        </w:rPr>
      </w:pPr>
      <w:r w:rsidRPr="00AC6B00">
        <w:rPr>
          <w:rFonts w:ascii="Arial" w:hAnsi="Arial" w:cs="Arial"/>
          <w:color w:val="000000" w:themeColor="text1"/>
          <w:sz w:val="19"/>
          <w:szCs w:val="19"/>
          <w:lang w:val="es-ES"/>
        </w:rPr>
        <w:t xml:space="preserve">»[...] </w:t>
      </w:r>
    </w:p>
    <w:p w14:paraId="4F09ADF0" w14:textId="77777777" w:rsidR="00817931" w:rsidRPr="00AC6B00" w:rsidRDefault="00817931" w:rsidP="003F554B">
      <w:pPr>
        <w:pStyle w:val="Textonotapie"/>
        <w:spacing w:after="0" w:line="240" w:lineRule="auto"/>
        <w:ind w:firstLine="709"/>
        <w:rPr>
          <w:rFonts w:ascii="Arial" w:hAnsi="Arial" w:cs="Arial"/>
          <w:color w:val="000000" w:themeColor="text1"/>
          <w:sz w:val="19"/>
          <w:szCs w:val="19"/>
          <w:lang w:val="es-ES"/>
        </w:rPr>
      </w:pPr>
      <w:r w:rsidRPr="00AC6B00">
        <w:rPr>
          <w:rFonts w:ascii="Arial" w:hAnsi="Arial" w:cs="Arial"/>
          <w:color w:val="000000" w:themeColor="text1"/>
          <w:sz w:val="19"/>
          <w:szCs w:val="19"/>
          <w:lang w:val="es-ES"/>
        </w:rPr>
        <w:t>»5. Absolver consultas sobre la aplicación de normas de carácter general y expedir circulares externas en materia de compras y contratación pública».</w:t>
      </w:r>
    </w:p>
    <w:p w14:paraId="4162A90D" w14:textId="77777777" w:rsidR="00817931" w:rsidRPr="00AC6B00" w:rsidRDefault="00817931" w:rsidP="003F554B">
      <w:pPr>
        <w:pStyle w:val="Textonotapie"/>
        <w:spacing w:after="0" w:line="240" w:lineRule="auto"/>
        <w:ind w:firstLine="709"/>
        <w:rPr>
          <w:rFonts w:ascii="Arial" w:hAnsi="Arial" w:cs="Arial"/>
          <w:color w:val="000000" w:themeColor="text1"/>
          <w:sz w:val="19"/>
          <w:szCs w:val="19"/>
          <w:lang w:val="es-ES"/>
        </w:rPr>
      </w:pPr>
      <w:r w:rsidRPr="00AC6B00">
        <w:rPr>
          <w:rFonts w:ascii="Arial" w:eastAsia="Times New Roman" w:hAnsi="Arial" w:cs="Arial"/>
          <w:color w:val="000000" w:themeColor="text1"/>
          <w:sz w:val="19"/>
          <w:szCs w:val="19"/>
          <w:lang w:val="es-CO" w:eastAsia="es-ES_tradnl"/>
        </w:rPr>
        <w:t>«</w:t>
      </w:r>
      <w:r w:rsidRPr="00AC6B00">
        <w:rPr>
          <w:rFonts w:ascii="Arial" w:hAnsi="Arial" w:cs="Arial"/>
          <w:color w:val="000000" w:themeColor="text1"/>
          <w:sz w:val="19"/>
          <w:szCs w:val="19"/>
          <w:lang w:val="es-ES"/>
        </w:rPr>
        <w:t xml:space="preserve">Artículo 11. Subdirección de Gestión Contractual. Son funciones de la Subdirección de Gestión Contractual las siguientes: </w:t>
      </w:r>
    </w:p>
    <w:p w14:paraId="00FC41E6" w14:textId="77777777" w:rsidR="00817931" w:rsidRPr="00AC6B00" w:rsidRDefault="00817931" w:rsidP="003F554B">
      <w:pPr>
        <w:pStyle w:val="Textonotapie"/>
        <w:spacing w:after="0" w:line="240" w:lineRule="auto"/>
        <w:ind w:firstLine="709"/>
        <w:rPr>
          <w:rFonts w:ascii="Arial" w:hAnsi="Arial" w:cs="Arial"/>
          <w:color w:val="000000" w:themeColor="text1"/>
          <w:sz w:val="19"/>
          <w:szCs w:val="19"/>
          <w:lang w:val="es-ES"/>
        </w:rPr>
      </w:pPr>
      <w:r w:rsidRPr="00AC6B00">
        <w:rPr>
          <w:rFonts w:ascii="Arial" w:hAnsi="Arial" w:cs="Arial"/>
          <w:color w:val="000000" w:themeColor="text1"/>
          <w:sz w:val="19"/>
          <w:szCs w:val="19"/>
          <w:lang w:val="es-ES"/>
        </w:rPr>
        <w:t xml:space="preserve">»[...] </w:t>
      </w:r>
    </w:p>
    <w:p w14:paraId="6878D6CA" w14:textId="77777777" w:rsidR="00817931" w:rsidRPr="00AC6B00" w:rsidRDefault="00817931" w:rsidP="003F554B">
      <w:pPr>
        <w:pStyle w:val="Textonotapie"/>
        <w:spacing w:after="0" w:line="240" w:lineRule="auto"/>
        <w:ind w:firstLine="708"/>
        <w:rPr>
          <w:rFonts w:ascii="Arial" w:hAnsi="Arial" w:cs="Arial"/>
          <w:color w:val="000000" w:themeColor="text1"/>
          <w:sz w:val="19"/>
          <w:szCs w:val="19"/>
        </w:rPr>
      </w:pPr>
      <w:r w:rsidRPr="00AC6B00">
        <w:rPr>
          <w:rFonts w:ascii="Arial" w:eastAsia="Times New Roman" w:hAnsi="Arial" w:cs="Arial"/>
          <w:color w:val="000000" w:themeColor="text1"/>
          <w:sz w:val="19"/>
          <w:szCs w:val="19"/>
          <w:lang w:val="es-CO" w:eastAsia="es-ES_tradnl"/>
        </w:rPr>
        <w:t>»</w:t>
      </w:r>
      <w:r w:rsidRPr="00AC6B00">
        <w:rPr>
          <w:rFonts w:ascii="Arial" w:hAnsi="Arial" w:cs="Arial"/>
          <w:color w:val="000000" w:themeColor="text1"/>
          <w:sz w:val="19"/>
          <w:szCs w:val="19"/>
          <w:lang w:val="es-ES"/>
        </w:rPr>
        <w:t>8. Absolver consultas sobre la aplicación de normas de carácter general».</w:t>
      </w:r>
    </w:p>
  </w:footnote>
  <w:footnote w:id="2">
    <w:p w14:paraId="252443A5" w14:textId="77777777" w:rsidR="003D1513" w:rsidRPr="00AC6B00" w:rsidRDefault="003D1513" w:rsidP="00AC6B00">
      <w:pPr>
        <w:pStyle w:val="Textonotapie"/>
        <w:spacing w:after="0" w:line="240" w:lineRule="auto"/>
        <w:ind w:firstLine="709"/>
        <w:rPr>
          <w:rFonts w:ascii="Arial" w:hAnsi="Arial" w:cs="Arial"/>
          <w:color w:val="000000" w:themeColor="text1"/>
          <w:sz w:val="19"/>
          <w:szCs w:val="19"/>
          <w:lang w:val="es-CO"/>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footnote>
  <w:footnote w:id="3">
    <w:p w14:paraId="7B43DB1E" w14:textId="77777777" w:rsidR="003D1513" w:rsidRPr="00AC6B00" w:rsidRDefault="003D1513" w:rsidP="00AC6B00">
      <w:pPr>
        <w:pStyle w:val="Textonotapie"/>
        <w:spacing w:after="0" w:line="240" w:lineRule="auto"/>
        <w:ind w:firstLine="709"/>
        <w:rPr>
          <w:rFonts w:ascii="Arial" w:hAnsi="Arial" w:cs="Arial"/>
          <w:color w:val="000000" w:themeColor="text1"/>
          <w:sz w:val="19"/>
          <w:szCs w:val="19"/>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w:t>
      </w:r>
      <w:r w:rsidRPr="00AC6B00">
        <w:rPr>
          <w:rFonts w:ascii="Arial" w:hAnsi="Arial" w:cs="Arial"/>
          <w:color w:val="000000" w:themeColor="text1"/>
          <w:sz w:val="19"/>
          <w:szCs w:val="19"/>
          <w:lang w:val="es-CO"/>
        </w:rPr>
        <w:t xml:space="preserve">Ley 1882 de 2018: «Artículo 4. </w:t>
      </w:r>
      <w:r w:rsidRPr="00AC6B00">
        <w:rPr>
          <w:rFonts w:ascii="Arial" w:hAnsi="Arial" w:cs="Arial"/>
          <w:color w:val="000000" w:themeColor="text1"/>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53A075B" w14:textId="77777777" w:rsidR="003D1513" w:rsidRPr="00AC6B00" w:rsidRDefault="003D1513" w:rsidP="00AC6B00">
      <w:pPr>
        <w:pStyle w:val="Textonotapie"/>
        <w:spacing w:after="0" w:line="240" w:lineRule="auto"/>
        <w:ind w:firstLine="709"/>
        <w:rPr>
          <w:rFonts w:ascii="Arial" w:hAnsi="Arial" w:cs="Arial"/>
          <w:color w:val="000000" w:themeColor="text1"/>
          <w:sz w:val="19"/>
          <w:szCs w:val="19"/>
          <w:lang w:val="es-CO"/>
        </w:rPr>
      </w:pPr>
      <w:r w:rsidRPr="00AC6B00">
        <w:rPr>
          <w:rFonts w:ascii="Arial" w:hAnsi="Arial" w:cs="Arial"/>
          <w:color w:val="000000" w:themeColor="text1"/>
          <w:sz w:val="19"/>
          <w:szCs w:val="19"/>
          <w:lang w:val="es-CO"/>
        </w:rPr>
        <w:t>»La facultad de adoptar documentos tipo la tendrá el Gobierno nacional, cuando lo considere necesario, en relación con otros contratos o procesos de selección.</w:t>
      </w:r>
    </w:p>
    <w:p w14:paraId="4E3918D5" w14:textId="77777777" w:rsidR="003D1513" w:rsidRPr="00AC6B00" w:rsidRDefault="003D1513" w:rsidP="00AC6B00">
      <w:pPr>
        <w:pStyle w:val="Textonotapie"/>
        <w:spacing w:after="0" w:line="240" w:lineRule="auto"/>
        <w:ind w:firstLine="709"/>
        <w:rPr>
          <w:rFonts w:ascii="Arial" w:hAnsi="Arial" w:cs="Arial"/>
          <w:color w:val="000000" w:themeColor="text1"/>
          <w:sz w:val="19"/>
          <w:szCs w:val="19"/>
          <w:lang w:val="es-CO"/>
        </w:rPr>
      </w:pPr>
      <w:r w:rsidRPr="00AC6B00">
        <w:rPr>
          <w:rFonts w:ascii="Arial" w:hAnsi="Arial" w:cs="Arial"/>
          <w:color w:val="000000" w:themeColor="text1"/>
          <w:sz w:val="19"/>
          <w:szCs w:val="19"/>
          <w:lang w:val="es-CO"/>
        </w:rPr>
        <w:t>»Los pliegos tipo se adoptarán por categorías de acuerdo con la cuantía de la contratación, según la reglamentación que expida el Gobierno nacional».</w:t>
      </w:r>
    </w:p>
  </w:footnote>
  <w:footnote w:id="4">
    <w:p w14:paraId="7F7A7712" w14:textId="77777777" w:rsidR="003D1513" w:rsidRPr="00AC6B00" w:rsidRDefault="003D1513" w:rsidP="00AC6B00">
      <w:pPr>
        <w:pStyle w:val="Textonotapie"/>
        <w:spacing w:after="0" w:line="240" w:lineRule="auto"/>
        <w:ind w:firstLine="709"/>
        <w:rPr>
          <w:rFonts w:ascii="Arial" w:hAnsi="Arial" w:cs="Arial"/>
          <w:color w:val="000000" w:themeColor="text1"/>
          <w:sz w:val="19"/>
          <w:szCs w:val="19"/>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1836E9A0" w14:textId="77777777" w:rsidR="003D1513" w:rsidRPr="00AC6B00" w:rsidRDefault="003D1513" w:rsidP="00AC6B00">
      <w:pPr>
        <w:pStyle w:val="Textonotapie"/>
        <w:spacing w:after="0" w:line="240" w:lineRule="auto"/>
        <w:ind w:firstLine="709"/>
        <w:rPr>
          <w:rFonts w:ascii="Arial" w:hAnsi="Arial" w:cs="Arial"/>
          <w:color w:val="000000" w:themeColor="text1"/>
          <w:sz w:val="19"/>
          <w:szCs w:val="19"/>
        </w:rPr>
      </w:pPr>
    </w:p>
  </w:footnote>
  <w:footnote w:id="5">
    <w:p w14:paraId="0DAD4AD0"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Ley 2022 de 2020: «Artículo 1º. Modifíquese el artículo 4º de la Ley 1882 de 2018, el cual quedará así: </w:t>
      </w:r>
    </w:p>
    <w:p w14:paraId="4C1BBD11"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»Artículo 4º. Adiciónese el siguiente parágrafo al artículo 2º de la Ley 1150 de 2007. </w:t>
      </w:r>
    </w:p>
    <w:p w14:paraId="5F311528"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79059384"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65F9360C"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249B5762"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76740917" w14:textId="77777777" w:rsidR="003D1513" w:rsidRPr="00AC6B00" w:rsidRDefault="003D1513"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5AB1A1B9"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lang w:val="es-ES"/>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w:t>
      </w:r>
      <w:r w:rsidRPr="00AC6B00">
        <w:rPr>
          <w:rFonts w:ascii="Arial" w:hAnsi="Arial" w:cs="Arial"/>
          <w:color w:val="000000" w:themeColor="text1"/>
          <w:sz w:val="19"/>
          <w:szCs w:val="19"/>
          <w:lang w:val="es-ES"/>
        </w:rPr>
        <w:t>Cfr. conceptos C-218 de 2020, C-267 de 2020, C-283 de 2020, C-307 de 2020, C-365 de 2020, C-391 de 2020, C-675 de 2020, C-683 de 2020, C-730 de 2020 y C-779 de 2020. Los conceptos expedidos por la Agencia pueden consultarse en el siguiente link: http://relatoria.colombiacompra.gov.co/busqueda/conceptos.</w:t>
      </w:r>
    </w:p>
    <w:p w14:paraId="6B961F7B"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lang w:val="es-CO"/>
        </w:rPr>
      </w:pPr>
    </w:p>
  </w:footnote>
  <w:footnote w:id="7">
    <w:p w14:paraId="79429363"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Las conclusiones indicadas se fundamentan en los numerales primero y cuarto de la Ley 1150 de 2007, de donde se destaca en cursivas lo más relevante: «1. La capacidad jurídica y </w:t>
      </w:r>
      <w:r w:rsidRPr="00AC6B00">
        <w:rPr>
          <w:rFonts w:ascii="Arial" w:hAnsi="Arial" w:cs="Arial"/>
          <w:i/>
          <w:iCs/>
          <w:color w:val="000000" w:themeColor="text1"/>
          <w:sz w:val="19"/>
          <w:szCs w:val="19"/>
        </w:rPr>
        <w:t>las condiciones de experiencia</w:t>
      </w:r>
      <w:r w:rsidRPr="00AC6B00">
        <w:rPr>
          <w:rFonts w:ascii="Arial" w:hAnsi="Arial" w:cs="Arial"/>
          <w:color w:val="000000" w:themeColor="text1"/>
          <w:sz w:val="19"/>
          <w:szCs w:val="19"/>
        </w:rPr>
        <w:t xml:space="preserve">, capacidad financiera y de organización de los proponentes </w:t>
      </w:r>
      <w:r w:rsidRPr="00AC6B00">
        <w:rPr>
          <w:rFonts w:ascii="Arial" w:hAnsi="Arial" w:cs="Arial"/>
          <w:i/>
          <w:iCs/>
          <w:color w:val="000000" w:themeColor="text1"/>
          <w:sz w:val="19"/>
          <w:szCs w:val="19"/>
        </w:rPr>
        <w:t>serán objeto de verificación de cumplimiento como requisitos habilitantes para la participación en el proceso de selección y no otorgarán puntaje, con excepción de lo previsto en el numeral 4 del presente artículo […]</w:t>
      </w:r>
      <w:r w:rsidRPr="00AC6B00">
        <w:rPr>
          <w:rFonts w:ascii="Arial" w:hAnsi="Arial" w:cs="Arial"/>
          <w:color w:val="000000" w:themeColor="text1"/>
          <w:sz w:val="19"/>
          <w:szCs w:val="19"/>
        </w:rPr>
        <w:t xml:space="preserve">. </w:t>
      </w:r>
    </w:p>
    <w:p w14:paraId="0A1D37C7"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w:t>
      </w:r>
    </w:p>
    <w:p w14:paraId="1DF175AF" w14:textId="77777777" w:rsidR="00964418" w:rsidRPr="00AC6B00" w:rsidRDefault="00964418"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rPr>
        <w:t xml:space="preserve">«4. </w:t>
      </w:r>
      <w:r w:rsidRPr="00AC6B00">
        <w:rPr>
          <w:rFonts w:ascii="Arial" w:hAnsi="Arial" w:cs="Arial"/>
          <w:i/>
          <w:iCs/>
          <w:color w:val="000000" w:themeColor="text1"/>
          <w:sz w:val="19"/>
          <w:szCs w:val="19"/>
        </w:rPr>
        <w:t>En los procesos para la selección de consultores</w:t>
      </w:r>
      <w:r w:rsidRPr="00AC6B00">
        <w:rPr>
          <w:rFonts w:ascii="Arial" w:hAnsi="Arial" w:cs="Arial"/>
          <w:color w:val="000000" w:themeColor="text1"/>
          <w:sz w:val="19"/>
          <w:szCs w:val="19"/>
        </w:rPr>
        <w:t xml:space="preserve"> se hará uso de factores de calificación destinados a valorar los aspectos técnicos de la oferta o proyecto. De conformidad con las condiciones que señale el reglamento, </w:t>
      </w:r>
      <w:r w:rsidRPr="00AC6B00">
        <w:rPr>
          <w:rFonts w:ascii="Arial" w:hAnsi="Arial" w:cs="Arial"/>
          <w:i/>
          <w:iCs/>
          <w:color w:val="000000" w:themeColor="text1"/>
          <w:sz w:val="19"/>
          <w:szCs w:val="19"/>
        </w:rPr>
        <w:t xml:space="preserve">se podrán utilizar criterios de experiencia específica del oferente </w:t>
      </w:r>
      <w:r w:rsidRPr="00AC6B00">
        <w:rPr>
          <w:rFonts w:ascii="Arial" w:hAnsi="Arial" w:cs="Arial"/>
          <w:color w:val="000000" w:themeColor="text1"/>
          <w:sz w:val="19"/>
          <w:szCs w:val="19"/>
        </w:rPr>
        <w:t>y del equipo de trabajo, en el campo de que se trate» (Cursivas fuera del original).</w:t>
      </w:r>
    </w:p>
    <w:p w14:paraId="533C6A61"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lang w:val="es-CO"/>
        </w:rPr>
      </w:pPr>
    </w:p>
  </w:footnote>
  <w:footnote w:id="8">
    <w:p w14:paraId="4FC9E0BB" w14:textId="77777777" w:rsidR="00964418" w:rsidRPr="00AC6B00" w:rsidRDefault="00964418" w:rsidP="00AC6B00">
      <w:pPr>
        <w:pStyle w:val="NormalWeb"/>
        <w:spacing w:before="0" w:beforeAutospacing="0" w:after="0" w:afterAutospacing="0" w:line="240" w:lineRule="auto"/>
        <w:ind w:firstLine="708"/>
        <w:rPr>
          <w:rFonts w:ascii="Arial" w:hAnsi="Arial" w:cs="Arial"/>
          <w:color w:val="000000" w:themeColor="text1"/>
          <w:sz w:val="19"/>
          <w:szCs w:val="19"/>
        </w:rPr>
      </w:pPr>
      <w:r w:rsidRPr="00AC6B00">
        <w:rPr>
          <w:rFonts w:ascii="Arial" w:hAnsi="Arial" w:cs="Arial"/>
          <w:color w:val="000000" w:themeColor="text1"/>
          <w:sz w:val="19"/>
          <w:szCs w:val="19"/>
          <w:vertAlign w:val="superscript"/>
        </w:rPr>
        <w:footnoteRef/>
      </w:r>
      <w:r w:rsidRPr="00AC6B00">
        <w:rPr>
          <w:rFonts w:ascii="Arial" w:hAnsi="Arial" w:cs="Arial"/>
          <w:color w:val="000000" w:themeColor="text1"/>
          <w:sz w:val="19"/>
          <w:szCs w:val="19"/>
        </w:rPr>
        <w:t xml:space="preserve"> Artículo 32 de la Ley 80 de 1993, artículo 2, inciso 2, establece que: «Son también contratos de consultoría los que tienen por objeto la interventoría […]».</w:t>
      </w:r>
    </w:p>
    <w:p w14:paraId="0EBF4971"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lang w:val="es-CO"/>
        </w:rPr>
      </w:pPr>
      <w:r w:rsidRPr="00AC6B00">
        <w:rPr>
          <w:rFonts w:ascii="Arial" w:hAnsi="Arial" w:cs="Arial"/>
          <w:color w:val="000000" w:themeColor="text1"/>
          <w:sz w:val="19"/>
          <w:szCs w:val="19"/>
        </w:rPr>
        <w:t xml:space="preserve"> </w:t>
      </w:r>
    </w:p>
  </w:footnote>
  <w:footnote w:id="9">
    <w:p w14:paraId="5B712FEB" w14:textId="77777777" w:rsidR="00964418" w:rsidRPr="00AC6B00" w:rsidRDefault="00964418" w:rsidP="00AC6B00">
      <w:pPr>
        <w:pStyle w:val="Textonotapie"/>
        <w:spacing w:after="0" w:line="240" w:lineRule="auto"/>
        <w:ind w:firstLine="708"/>
        <w:rPr>
          <w:rFonts w:ascii="Arial" w:hAnsi="Arial" w:cs="Arial"/>
          <w:color w:val="000000" w:themeColor="text1"/>
          <w:sz w:val="19"/>
          <w:szCs w:val="19"/>
          <w:lang w:val="es-CO"/>
        </w:rPr>
      </w:pPr>
      <w:r w:rsidRPr="00AC6B00">
        <w:rPr>
          <w:rStyle w:val="Refdenotaalpie"/>
          <w:rFonts w:ascii="Arial" w:hAnsi="Arial" w:cs="Arial"/>
          <w:color w:val="000000" w:themeColor="text1"/>
          <w:sz w:val="19"/>
          <w:szCs w:val="19"/>
        </w:rPr>
        <w:footnoteRef/>
      </w:r>
      <w:r w:rsidRPr="00AC6B00">
        <w:rPr>
          <w:rFonts w:ascii="Arial" w:hAnsi="Arial" w:cs="Arial"/>
          <w:color w:val="000000" w:themeColor="text1"/>
          <w:sz w:val="19"/>
          <w:szCs w:val="19"/>
        </w:rPr>
        <w:t xml:space="preserve"> «7o. De acuerdo con la naturaleza, objeto y cuantía del contrato, en los pliegos de condiciones, se señalará el plazo razonable dentro del cual la entidad deberá elaborar los estudios técnicos, económicos y jurídicos necesarios para la evaluación de las propuestas y para solicitar a los proponentes las aclaraciones y explicaciones que se estimen indispensables».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23BDB" w14:textId="1CCC219A" w:rsidR="00412132" w:rsidRDefault="00412132">
    <w:pPr>
      <w:pStyle w:val="Encabezado"/>
    </w:pPr>
    <w:r>
      <w:rPr>
        <w:noProof/>
        <w:lang w:val="es-CO" w:eastAsia="es-CO"/>
      </w:rPr>
      <w:drawing>
        <wp:anchor distT="0" distB="0" distL="114300" distR="114300" simplePos="0" relativeHeight="251673600" behindDoc="1" locked="0" layoutInCell="1" allowOverlap="1" wp14:anchorId="1A706351" wp14:editId="7CA6CDD4">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31D607" w14:textId="77777777" w:rsidR="00FE0395" w:rsidRDefault="00FE0395" w:rsidP="00FE0395">
    <w:pPr>
      <w:pStyle w:val="Encabezado"/>
      <w:spacing w:after="0"/>
    </w:pPr>
  </w:p>
  <w:p w14:paraId="6520770B" w14:textId="18EB07B5" w:rsidR="00412132" w:rsidRDefault="0041213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EE161D"/>
    <w:multiLevelType w:val="hybridMultilevel"/>
    <w:tmpl w:val="5E9052F8"/>
    <w:lvl w:ilvl="0" w:tplc="864A5026">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8CE7502"/>
    <w:multiLevelType w:val="hybridMultilevel"/>
    <w:tmpl w:val="8A348CD6"/>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88E33FD"/>
    <w:multiLevelType w:val="hybridMultilevel"/>
    <w:tmpl w:val="8DB4960C"/>
    <w:lvl w:ilvl="0" w:tplc="35F8F35A">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4" w15:restartNumberingAfterBreak="0">
    <w:nsid w:val="25613221"/>
    <w:multiLevelType w:val="hybridMultilevel"/>
    <w:tmpl w:val="74E8714E"/>
    <w:lvl w:ilvl="0" w:tplc="67744F1C">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5" w15:restartNumberingAfterBreak="0">
    <w:nsid w:val="283D5E85"/>
    <w:multiLevelType w:val="multilevel"/>
    <w:tmpl w:val="374260C8"/>
    <w:lvl w:ilvl="0">
      <w:start w:val="1"/>
      <w:numFmt w:val="decimal"/>
      <w:lvlText w:val="%1."/>
      <w:lvlJc w:val="left"/>
      <w:pPr>
        <w:ind w:left="720" w:hanging="360"/>
      </w:pPr>
      <w:rPr>
        <w:rFonts w:hint="default"/>
        <w:b/>
        <w:bCs/>
      </w:rPr>
    </w:lvl>
    <w:lvl w:ilvl="1">
      <w:start w:val="7"/>
      <w:numFmt w:val="decimal"/>
      <w:isLgl/>
      <w:lvlText w:val="%1.%2."/>
      <w:lvlJc w:val="left"/>
      <w:pPr>
        <w:ind w:left="1080" w:hanging="720"/>
      </w:pPr>
      <w:rPr>
        <w:rFonts w:eastAsia="Calibri" w:hint="default"/>
        <w:color w:val="000000" w:themeColor="text1"/>
      </w:rPr>
    </w:lvl>
    <w:lvl w:ilvl="2">
      <w:start w:val="1"/>
      <w:numFmt w:val="decimal"/>
      <w:isLgl/>
      <w:lvlText w:val="%1.%2.%3."/>
      <w:lvlJc w:val="left"/>
      <w:pPr>
        <w:ind w:left="1080" w:hanging="720"/>
      </w:pPr>
      <w:rPr>
        <w:rFonts w:eastAsia="Calibri" w:hint="default"/>
        <w:color w:val="000000" w:themeColor="text1"/>
      </w:rPr>
    </w:lvl>
    <w:lvl w:ilvl="3">
      <w:start w:val="1"/>
      <w:numFmt w:val="decimal"/>
      <w:isLgl/>
      <w:lvlText w:val="%1.%2.%3.%4."/>
      <w:lvlJc w:val="left"/>
      <w:pPr>
        <w:ind w:left="1440" w:hanging="1080"/>
      </w:pPr>
      <w:rPr>
        <w:rFonts w:eastAsia="Calibri" w:hint="default"/>
        <w:color w:val="000000" w:themeColor="text1"/>
      </w:rPr>
    </w:lvl>
    <w:lvl w:ilvl="4">
      <w:start w:val="1"/>
      <w:numFmt w:val="decimal"/>
      <w:isLgl/>
      <w:lvlText w:val="%1.%2.%3.%4.%5."/>
      <w:lvlJc w:val="left"/>
      <w:pPr>
        <w:ind w:left="1440" w:hanging="1080"/>
      </w:pPr>
      <w:rPr>
        <w:rFonts w:eastAsia="Calibri" w:hint="default"/>
        <w:color w:val="000000" w:themeColor="text1"/>
      </w:rPr>
    </w:lvl>
    <w:lvl w:ilvl="5">
      <w:start w:val="1"/>
      <w:numFmt w:val="decimal"/>
      <w:isLgl/>
      <w:lvlText w:val="%1.%2.%3.%4.%5.%6."/>
      <w:lvlJc w:val="left"/>
      <w:pPr>
        <w:ind w:left="1800" w:hanging="1440"/>
      </w:pPr>
      <w:rPr>
        <w:rFonts w:eastAsia="Calibri" w:hint="default"/>
        <w:color w:val="000000" w:themeColor="text1"/>
      </w:rPr>
    </w:lvl>
    <w:lvl w:ilvl="6">
      <w:start w:val="1"/>
      <w:numFmt w:val="decimal"/>
      <w:isLgl/>
      <w:lvlText w:val="%1.%2.%3.%4.%5.%6.%7."/>
      <w:lvlJc w:val="left"/>
      <w:pPr>
        <w:ind w:left="1800" w:hanging="1440"/>
      </w:pPr>
      <w:rPr>
        <w:rFonts w:eastAsia="Calibri" w:hint="default"/>
        <w:color w:val="000000" w:themeColor="text1"/>
      </w:rPr>
    </w:lvl>
    <w:lvl w:ilvl="7">
      <w:start w:val="1"/>
      <w:numFmt w:val="decimal"/>
      <w:isLgl/>
      <w:lvlText w:val="%1.%2.%3.%4.%5.%6.%7.%8."/>
      <w:lvlJc w:val="left"/>
      <w:pPr>
        <w:ind w:left="2160" w:hanging="1800"/>
      </w:pPr>
      <w:rPr>
        <w:rFonts w:eastAsia="Calibri" w:hint="default"/>
        <w:color w:val="000000" w:themeColor="text1"/>
      </w:rPr>
    </w:lvl>
    <w:lvl w:ilvl="8">
      <w:start w:val="1"/>
      <w:numFmt w:val="decimal"/>
      <w:isLgl/>
      <w:lvlText w:val="%1.%2.%3.%4.%5.%6.%7.%8.%9."/>
      <w:lvlJc w:val="left"/>
      <w:pPr>
        <w:ind w:left="2160" w:hanging="1800"/>
      </w:pPr>
      <w:rPr>
        <w:rFonts w:eastAsia="Calibri" w:hint="default"/>
        <w:color w:val="000000" w:themeColor="text1"/>
      </w:rPr>
    </w:lvl>
  </w:abstractNum>
  <w:abstractNum w:abstractNumId="6" w15:restartNumberingAfterBreak="0">
    <w:nsid w:val="2BAA45F7"/>
    <w:multiLevelType w:val="hybridMultilevel"/>
    <w:tmpl w:val="B8785494"/>
    <w:lvl w:ilvl="0" w:tplc="369A2F20">
      <w:start w:val="1"/>
      <w:numFmt w:val="decimal"/>
      <w:pStyle w:val="Capitulo3"/>
      <w:lvlText w:val="3.%1."/>
      <w:lvlJc w:val="left"/>
      <w:pPr>
        <w:ind w:left="786" w:hanging="360"/>
      </w:pPr>
      <w:rPr>
        <w:rFonts w:hint="default"/>
        <w:b/>
        <w:color w:val="262626" w:themeColor="text1" w:themeTint="D9"/>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7" w15:restartNumberingAfterBreak="0">
    <w:nsid w:val="2E52434E"/>
    <w:multiLevelType w:val="multilevel"/>
    <w:tmpl w:val="451480FA"/>
    <w:lvl w:ilvl="0">
      <w:start w:val="3"/>
      <w:numFmt w:val="decimal"/>
      <w:lvlText w:val="%1."/>
      <w:lvlJc w:val="left"/>
      <w:pPr>
        <w:ind w:left="360" w:hanging="360"/>
      </w:pPr>
      <w:rPr>
        <w:rFonts w:hint="default"/>
        <w:color w:val="3C3C3C" w:themeColor="background2" w:themeShade="40"/>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3C3C3C" w:themeColor="background2" w:themeShade="40"/>
      </w:rPr>
    </w:lvl>
    <w:lvl w:ilvl="3">
      <w:start w:val="1"/>
      <w:numFmt w:val="decimal"/>
      <w:lvlText w:val="%1.%2.%3.%4."/>
      <w:lvlJc w:val="left"/>
      <w:pPr>
        <w:ind w:left="720" w:hanging="720"/>
      </w:pPr>
      <w:rPr>
        <w:rFonts w:hint="default"/>
        <w:color w:val="3C3C3C" w:themeColor="background2" w:themeShade="40"/>
      </w:rPr>
    </w:lvl>
    <w:lvl w:ilvl="4">
      <w:start w:val="1"/>
      <w:numFmt w:val="decimal"/>
      <w:lvlText w:val="%1.%2.%3.%4.%5."/>
      <w:lvlJc w:val="left"/>
      <w:pPr>
        <w:ind w:left="1080" w:hanging="1080"/>
      </w:pPr>
      <w:rPr>
        <w:rFonts w:hint="default"/>
        <w:color w:val="3C3C3C" w:themeColor="background2" w:themeShade="40"/>
      </w:rPr>
    </w:lvl>
    <w:lvl w:ilvl="5">
      <w:start w:val="1"/>
      <w:numFmt w:val="decimal"/>
      <w:lvlText w:val="%1.%2.%3.%4.%5.%6."/>
      <w:lvlJc w:val="left"/>
      <w:pPr>
        <w:ind w:left="1080" w:hanging="1080"/>
      </w:pPr>
      <w:rPr>
        <w:rFonts w:hint="default"/>
        <w:color w:val="3C3C3C" w:themeColor="background2" w:themeShade="40"/>
      </w:rPr>
    </w:lvl>
    <w:lvl w:ilvl="6">
      <w:start w:val="1"/>
      <w:numFmt w:val="decimal"/>
      <w:lvlText w:val="%1.%2.%3.%4.%5.%6.%7."/>
      <w:lvlJc w:val="left"/>
      <w:pPr>
        <w:ind w:left="1440" w:hanging="1440"/>
      </w:pPr>
      <w:rPr>
        <w:rFonts w:hint="default"/>
        <w:color w:val="3C3C3C" w:themeColor="background2" w:themeShade="40"/>
      </w:rPr>
    </w:lvl>
    <w:lvl w:ilvl="7">
      <w:start w:val="1"/>
      <w:numFmt w:val="decimal"/>
      <w:lvlText w:val="%1.%2.%3.%4.%5.%6.%7.%8."/>
      <w:lvlJc w:val="left"/>
      <w:pPr>
        <w:ind w:left="1440" w:hanging="1440"/>
      </w:pPr>
      <w:rPr>
        <w:rFonts w:hint="default"/>
        <w:color w:val="3C3C3C" w:themeColor="background2" w:themeShade="40"/>
      </w:rPr>
    </w:lvl>
    <w:lvl w:ilvl="8">
      <w:start w:val="1"/>
      <w:numFmt w:val="decimal"/>
      <w:lvlText w:val="%1.%2.%3.%4.%5.%6.%7.%8.%9."/>
      <w:lvlJc w:val="left"/>
      <w:pPr>
        <w:ind w:left="1800" w:hanging="1800"/>
      </w:pPr>
      <w:rPr>
        <w:rFonts w:hint="default"/>
        <w:color w:val="3C3C3C" w:themeColor="background2" w:themeShade="40"/>
      </w:rPr>
    </w:lvl>
  </w:abstractNum>
  <w:abstractNum w:abstractNumId="8" w15:restartNumberingAfterBreak="0">
    <w:nsid w:val="30BD7991"/>
    <w:multiLevelType w:val="hybridMultilevel"/>
    <w:tmpl w:val="195AF042"/>
    <w:lvl w:ilvl="0" w:tplc="864A5026">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18D3B73"/>
    <w:multiLevelType w:val="hybridMultilevel"/>
    <w:tmpl w:val="6F464806"/>
    <w:lvl w:ilvl="0" w:tplc="6388BED4">
      <w:start w:val="1"/>
      <w:numFmt w:val="lowerRoman"/>
      <w:lvlText w:val="(%1)"/>
      <w:lvlJc w:val="left"/>
      <w:pPr>
        <w:ind w:left="720" w:hanging="720"/>
      </w:pPr>
      <w:rPr>
        <w:rFonts w:hint="default"/>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37E1E1A"/>
    <w:multiLevelType w:val="hybridMultilevel"/>
    <w:tmpl w:val="E5D0DD6E"/>
    <w:lvl w:ilvl="0" w:tplc="199E3AAA">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D020FD"/>
    <w:multiLevelType w:val="hybridMultilevel"/>
    <w:tmpl w:val="69487C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DAC2D17"/>
    <w:multiLevelType w:val="multilevel"/>
    <w:tmpl w:val="080A0027"/>
    <w:lvl w:ilvl="0">
      <w:start w:val="1"/>
      <w:numFmt w:val="upperRoman"/>
      <w:pStyle w:val="Ttulo1"/>
      <w:lvlText w:val="%1."/>
      <w:lvlJc w:val="left"/>
      <w:pPr>
        <w:tabs>
          <w:tab w:val="num" w:pos="360"/>
        </w:tabs>
        <w:ind w:left="0" w:firstLine="0"/>
      </w:pPr>
      <w:rPr>
        <w:rFonts w:hint="default"/>
        <w:b/>
        <w:i w:val="0"/>
        <w:sz w:val="28"/>
        <w:szCs w:val="28"/>
      </w:rPr>
    </w:lvl>
    <w:lvl w:ilvl="1">
      <w:start w:val="1"/>
      <w:numFmt w:val="upperLetter"/>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1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0854227"/>
    <w:multiLevelType w:val="hybridMultilevel"/>
    <w:tmpl w:val="D4542102"/>
    <w:lvl w:ilvl="0" w:tplc="B0E60088">
      <w:start w:val="1"/>
      <w:numFmt w:val="lowerRoman"/>
      <w:lvlText w:val="%1)"/>
      <w:lvlJc w:val="left"/>
      <w:pPr>
        <w:tabs>
          <w:tab w:val="num" w:pos="1080"/>
        </w:tabs>
        <w:ind w:left="1080" w:hanging="72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7" w15:restartNumberingAfterBreak="0">
    <w:nsid w:val="50A51052"/>
    <w:multiLevelType w:val="hybridMultilevel"/>
    <w:tmpl w:val="7FA0C0A8"/>
    <w:lvl w:ilvl="0" w:tplc="BA54D6B6">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52F41B34"/>
    <w:multiLevelType w:val="multilevel"/>
    <w:tmpl w:val="A3DE2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143B48"/>
    <w:multiLevelType w:val="hybridMultilevel"/>
    <w:tmpl w:val="1888776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8155FF0"/>
    <w:multiLevelType w:val="hybridMultilevel"/>
    <w:tmpl w:val="0B66AD4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2" w15:restartNumberingAfterBreak="0">
    <w:nsid w:val="664E7E45"/>
    <w:multiLevelType w:val="hybridMultilevel"/>
    <w:tmpl w:val="EDE2AF5C"/>
    <w:lvl w:ilvl="0" w:tplc="E842EB0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4" w15:restartNumberingAfterBreak="0">
    <w:nsid w:val="6C747154"/>
    <w:multiLevelType w:val="hybridMultilevel"/>
    <w:tmpl w:val="EFCAB862"/>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cs="Times New Roman"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cs="Times New Roman"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cs="Times New Roman" w:hint="default"/>
      </w:rPr>
    </w:lvl>
    <w:lvl w:ilvl="8" w:tplc="477E1BD4">
      <w:start w:val="1"/>
      <w:numFmt w:val="bullet"/>
      <w:lvlText w:val=""/>
      <w:lvlJc w:val="left"/>
      <w:pPr>
        <w:ind w:left="6480" w:hanging="360"/>
      </w:pPr>
      <w:rPr>
        <w:rFonts w:ascii="Wingdings" w:hAnsi="Wingdings" w:hint="default"/>
      </w:rPr>
    </w:lvl>
  </w:abstractNum>
  <w:abstractNum w:abstractNumId="25" w15:restartNumberingAfterBreak="0">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26" w15:restartNumberingAfterBreak="0">
    <w:nsid w:val="73D92557"/>
    <w:multiLevelType w:val="multilevel"/>
    <w:tmpl w:val="8D08ECD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48E3ACF"/>
    <w:multiLevelType w:val="hybridMultilevel"/>
    <w:tmpl w:val="E1BEC994"/>
    <w:lvl w:ilvl="0" w:tplc="717067A0">
      <w:start w:val="1"/>
      <w:numFmt w:val="lowerLetter"/>
      <w:lvlText w:val="%1)"/>
      <w:lvlJc w:val="left"/>
      <w:pPr>
        <w:ind w:left="1080" w:hanging="360"/>
      </w:pPr>
      <w:rPr>
        <w:rFonts w:hint="default"/>
        <w:b/>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8" w15:restartNumberingAfterBreak="0">
    <w:nsid w:val="7DDB11D6"/>
    <w:multiLevelType w:val="hybridMultilevel"/>
    <w:tmpl w:val="35A8EA74"/>
    <w:lvl w:ilvl="0" w:tplc="27A090D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106723387">
    <w:abstractNumId w:val="11"/>
  </w:num>
  <w:num w:numId="2" w16cid:durableId="1958440169">
    <w:abstractNumId w:val="9"/>
  </w:num>
  <w:num w:numId="3" w16cid:durableId="316155424">
    <w:abstractNumId w:val="15"/>
  </w:num>
  <w:num w:numId="4" w16cid:durableId="1768383740">
    <w:abstractNumId w:val="21"/>
  </w:num>
  <w:num w:numId="5" w16cid:durableId="1484350696">
    <w:abstractNumId w:val="23"/>
  </w:num>
  <w:num w:numId="6" w16cid:durableId="158911959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30550102">
    <w:abstractNumId w:val="6"/>
  </w:num>
  <w:num w:numId="8" w16cid:durableId="1737043428">
    <w:abstractNumId w:val="24"/>
  </w:num>
  <w:num w:numId="9" w16cid:durableId="1268270013">
    <w:abstractNumId w:val="6"/>
    <w:lvlOverride w:ilvl="0">
      <w:startOverride w:val="1"/>
    </w:lvlOverride>
  </w:num>
  <w:num w:numId="10" w16cid:durableId="706569284">
    <w:abstractNumId w:val="25"/>
  </w:num>
  <w:num w:numId="11" w16cid:durableId="1309550324">
    <w:abstractNumId w:val="7"/>
  </w:num>
  <w:num w:numId="12" w16cid:durableId="2042898743">
    <w:abstractNumId w:val="2"/>
  </w:num>
  <w:num w:numId="13" w16cid:durableId="290479431">
    <w:abstractNumId w:val="4"/>
  </w:num>
  <w:num w:numId="14" w16cid:durableId="1064569126">
    <w:abstractNumId w:val="20"/>
  </w:num>
  <w:num w:numId="15" w16cid:durableId="1195926361">
    <w:abstractNumId w:val="13"/>
  </w:num>
  <w:num w:numId="16" w16cid:durableId="1651592925">
    <w:abstractNumId w:val="10"/>
  </w:num>
  <w:num w:numId="17" w16cid:durableId="646201754">
    <w:abstractNumId w:val="14"/>
  </w:num>
  <w:num w:numId="18" w16cid:durableId="209729287">
    <w:abstractNumId w:val="16"/>
  </w:num>
  <w:num w:numId="19" w16cid:durableId="506094081">
    <w:abstractNumId w:val="5"/>
  </w:num>
  <w:num w:numId="20" w16cid:durableId="728847338">
    <w:abstractNumId w:val="28"/>
  </w:num>
  <w:num w:numId="21" w16cid:durableId="2070036288">
    <w:abstractNumId w:val="22"/>
  </w:num>
  <w:num w:numId="22" w16cid:durableId="1975478088">
    <w:abstractNumId w:val="18"/>
  </w:num>
  <w:num w:numId="23" w16cid:durableId="1406099759">
    <w:abstractNumId w:val="17"/>
  </w:num>
  <w:num w:numId="24" w16cid:durableId="1081949993">
    <w:abstractNumId w:val="8"/>
  </w:num>
  <w:num w:numId="25" w16cid:durableId="2041709872">
    <w:abstractNumId w:val="19"/>
  </w:num>
  <w:num w:numId="26" w16cid:durableId="1114787580">
    <w:abstractNumId w:val="1"/>
  </w:num>
  <w:num w:numId="27" w16cid:durableId="2065519921">
    <w:abstractNumId w:val="12"/>
  </w:num>
  <w:num w:numId="28" w16cid:durableId="869076342">
    <w:abstractNumId w:val="27"/>
  </w:num>
  <w:num w:numId="29" w16cid:durableId="123697915">
    <w:abstractNumId w:val="3"/>
  </w:num>
  <w:num w:numId="30" w16cid:durableId="40692851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attachedTemplate r:id="rId1"/>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002D"/>
    <w:rsid w:val="0000210D"/>
    <w:rsid w:val="0000268F"/>
    <w:rsid w:val="000029BC"/>
    <w:rsid w:val="000031A6"/>
    <w:rsid w:val="00003AEE"/>
    <w:rsid w:val="0000404B"/>
    <w:rsid w:val="00004F5E"/>
    <w:rsid w:val="000058C4"/>
    <w:rsid w:val="0000645E"/>
    <w:rsid w:val="0000682D"/>
    <w:rsid w:val="00006906"/>
    <w:rsid w:val="000105E2"/>
    <w:rsid w:val="00010981"/>
    <w:rsid w:val="00011726"/>
    <w:rsid w:val="000123BA"/>
    <w:rsid w:val="000126BB"/>
    <w:rsid w:val="00012A1B"/>
    <w:rsid w:val="000136DC"/>
    <w:rsid w:val="0001574B"/>
    <w:rsid w:val="000165EE"/>
    <w:rsid w:val="00016F33"/>
    <w:rsid w:val="00016FAC"/>
    <w:rsid w:val="0001726A"/>
    <w:rsid w:val="0001794A"/>
    <w:rsid w:val="0001795B"/>
    <w:rsid w:val="00020801"/>
    <w:rsid w:val="000208AF"/>
    <w:rsid w:val="00020D8D"/>
    <w:rsid w:val="000236CF"/>
    <w:rsid w:val="00024BE5"/>
    <w:rsid w:val="00025A4D"/>
    <w:rsid w:val="00026AD9"/>
    <w:rsid w:val="000271AD"/>
    <w:rsid w:val="000271FE"/>
    <w:rsid w:val="00027555"/>
    <w:rsid w:val="00027940"/>
    <w:rsid w:val="00027E9A"/>
    <w:rsid w:val="00027F74"/>
    <w:rsid w:val="000303EC"/>
    <w:rsid w:val="0003041B"/>
    <w:rsid w:val="00030C1F"/>
    <w:rsid w:val="0003107B"/>
    <w:rsid w:val="00031D2D"/>
    <w:rsid w:val="00034F55"/>
    <w:rsid w:val="0003576C"/>
    <w:rsid w:val="00035AC7"/>
    <w:rsid w:val="00036083"/>
    <w:rsid w:val="000365C0"/>
    <w:rsid w:val="00036FF6"/>
    <w:rsid w:val="00037112"/>
    <w:rsid w:val="00037F22"/>
    <w:rsid w:val="00042B29"/>
    <w:rsid w:val="00043CD1"/>
    <w:rsid w:val="000465F7"/>
    <w:rsid w:val="00046F46"/>
    <w:rsid w:val="000471AA"/>
    <w:rsid w:val="0004770A"/>
    <w:rsid w:val="000503A1"/>
    <w:rsid w:val="00050E2C"/>
    <w:rsid w:val="00051590"/>
    <w:rsid w:val="000522B1"/>
    <w:rsid w:val="0005275D"/>
    <w:rsid w:val="000527A5"/>
    <w:rsid w:val="00052CE1"/>
    <w:rsid w:val="00053983"/>
    <w:rsid w:val="00053991"/>
    <w:rsid w:val="00054C6E"/>
    <w:rsid w:val="00054E46"/>
    <w:rsid w:val="00055141"/>
    <w:rsid w:val="00055B28"/>
    <w:rsid w:val="00056024"/>
    <w:rsid w:val="00056809"/>
    <w:rsid w:val="000568C7"/>
    <w:rsid w:val="00057953"/>
    <w:rsid w:val="00057D35"/>
    <w:rsid w:val="00061727"/>
    <w:rsid w:val="00061C7B"/>
    <w:rsid w:val="0006235E"/>
    <w:rsid w:val="0006293E"/>
    <w:rsid w:val="0006331A"/>
    <w:rsid w:val="00063E52"/>
    <w:rsid w:val="000641BE"/>
    <w:rsid w:val="00064542"/>
    <w:rsid w:val="0006625D"/>
    <w:rsid w:val="00066743"/>
    <w:rsid w:val="00067665"/>
    <w:rsid w:val="00070770"/>
    <w:rsid w:val="00070A22"/>
    <w:rsid w:val="00071D6E"/>
    <w:rsid w:val="00072274"/>
    <w:rsid w:val="000731F3"/>
    <w:rsid w:val="000743C2"/>
    <w:rsid w:val="0007460B"/>
    <w:rsid w:val="000751BB"/>
    <w:rsid w:val="0007590A"/>
    <w:rsid w:val="0007639B"/>
    <w:rsid w:val="00077C34"/>
    <w:rsid w:val="00077D20"/>
    <w:rsid w:val="00077E04"/>
    <w:rsid w:val="00077E1C"/>
    <w:rsid w:val="00080D35"/>
    <w:rsid w:val="00081AF3"/>
    <w:rsid w:val="00081B2F"/>
    <w:rsid w:val="00081E50"/>
    <w:rsid w:val="0008260E"/>
    <w:rsid w:val="000828E9"/>
    <w:rsid w:val="00083B1B"/>
    <w:rsid w:val="00083BE4"/>
    <w:rsid w:val="00084DC0"/>
    <w:rsid w:val="0008592F"/>
    <w:rsid w:val="00085CC3"/>
    <w:rsid w:val="0008644C"/>
    <w:rsid w:val="00086C08"/>
    <w:rsid w:val="000873C1"/>
    <w:rsid w:val="00087888"/>
    <w:rsid w:val="00087D9E"/>
    <w:rsid w:val="00090D35"/>
    <w:rsid w:val="000914F4"/>
    <w:rsid w:val="0009180B"/>
    <w:rsid w:val="000932C2"/>
    <w:rsid w:val="000939E0"/>
    <w:rsid w:val="00093D35"/>
    <w:rsid w:val="0009402D"/>
    <w:rsid w:val="000942EB"/>
    <w:rsid w:val="0009479D"/>
    <w:rsid w:val="000953A7"/>
    <w:rsid w:val="0009651A"/>
    <w:rsid w:val="00096EAB"/>
    <w:rsid w:val="0009712F"/>
    <w:rsid w:val="000972BA"/>
    <w:rsid w:val="000976FD"/>
    <w:rsid w:val="00097ABD"/>
    <w:rsid w:val="00097B95"/>
    <w:rsid w:val="000A04B0"/>
    <w:rsid w:val="000A15CB"/>
    <w:rsid w:val="000A1B81"/>
    <w:rsid w:val="000A1DA7"/>
    <w:rsid w:val="000A2C01"/>
    <w:rsid w:val="000A4D0D"/>
    <w:rsid w:val="000A5189"/>
    <w:rsid w:val="000A668C"/>
    <w:rsid w:val="000A66CF"/>
    <w:rsid w:val="000A7E46"/>
    <w:rsid w:val="000B0A9A"/>
    <w:rsid w:val="000B103F"/>
    <w:rsid w:val="000B1C28"/>
    <w:rsid w:val="000B2DA6"/>
    <w:rsid w:val="000B3893"/>
    <w:rsid w:val="000B3F99"/>
    <w:rsid w:val="000B41CF"/>
    <w:rsid w:val="000B4AA9"/>
    <w:rsid w:val="000B4FC6"/>
    <w:rsid w:val="000B53D0"/>
    <w:rsid w:val="000B680C"/>
    <w:rsid w:val="000B707E"/>
    <w:rsid w:val="000C00B6"/>
    <w:rsid w:val="000C0B7C"/>
    <w:rsid w:val="000C21BA"/>
    <w:rsid w:val="000C2DD2"/>
    <w:rsid w:val="000C5BA1"/>
    <w:rsid w:val="000C6347"/>
    <w:rsid w:val="000C7235"/>
    <w:rsid w:val="000C73E5"/>
    <w:rsid w:val="000C755D"/>
    <w:rsid w:val="000C7852"/>
    <w:rsid w:val="000C7BB6"/>
    <w:rsid w:val="000D0148"/>
    <w:rsid w:val="000D05AD"/>
    <w:rsid w:val="000D0AFA"/>
    <w:rsid w:val="000D17D2"/>
    <w:rsid w:val="000D28E0"/>
    <w:rsid w:val="000D2ADD"/>
    <w:rsid w:val="000D44F0"/>
    <w:rsid w:val="000D457E"/>
    <w:rsid w:val="000D5150"/>
    <w:rsid w:val="000D58C2"/>
    <w:rsid w:val="000D75DD"/>
    <w:rsid w:val="000E1761"/>
    <w:rsid w:val="000E182B"/>
    <w:rsid w:val="000E190F"/>
    <w:rsid w:val="000E1F13"/>
    <w:rsid w:val="000E24E1"/>
    <w:rsid w:val="000E32F8"/>
    <w:rsid w:val="000E331F"/>
    <w:rsid w:val="000E33BC"/>
    <w:rsid w:val="000E4B6B"/>
    <w:rsid w:val="000E5299"/>
    <w:rsid w:val="000E576C"/>
    <w:rsid w:val="000E59C2"/>
    <w:rsid w:val="000E68FA"/>
    <w:rsid w:val="000E6962"/>
    <w:rsid w:val="000E6D84"/>
    <w:rsid w:val="000E7C3A"/>
    <w:rsid w:val="000F14E8"/>
    <w:rsid w:val="000F17FC"/>
    <w:rsid w:val="000F1D24"/>
    <w:rsid w:val="000F354B"/>
    <w:rsid w:val="000F3B04"/>
    <w:rsid w:val="000F3C44"/>
    <w:rsid w:val="000F3D91"/>
    <w:rsid w:val="000F6869"/>
    <w:rsid w:val="000F7AE4"/>
    <w:rsid w:val="001000EC"/>
    <w:rsid w:val="001015E9"/>
    <w:rsid w:val="001017F1"/>
    <w:rsid w:val="001024CE"/>
    <w:rsid w:val="00102AA1"/>
    <w:rsid w:val="00103915"/>
    <w:rsid w:val="00103D3D"/>
    <w:rsid w:val="00104423"/>
    <w:rsid w:val="00104CDA"/>
    <w:rsid w:val="00105B6D"/>
    <w:rsid w:val="001065D1"/>
    <w:rsid w:val="00106AC5"/>
    <w:rsid w:val="00106B75"/>
    <w:rsid w:val="00107244"/>
    <w:rsid w:val="001100DE"/>
    <w:rsid w:val="001112CF"/>
    <w:rsid w:val="00111438"/>
    <w:rsid w:val="00111636"/>
    <w:rsid w:val="00112192"/>
    <w:rsid w:val="00112D2F"/>
    <w:rsid w:val="00112D6B"/>
    <w:rsid w:val="001139AE"/>
    <w:rsid w:val="00114236"/>
    <w:rsid w:val="00114A81"/>
    <w:rsid w:val="00114E2B"/>
    <w:rsid w:val="001152BA"/>
    <w:rsid w:val="0011536E"/>
    <w:rsid w:val="0011561C"/>
    <w:rsid w:val="0011730D"/>
    <w:rsid w:val="001208F1"/>
    <w:rsid w:val="00121409"/>
    <w:rsid w:val="001214FF"/>
    <w:rsid w:val="001229C6"/>
    <w:rsid w:val="00122B23"/>
    <w:rsid w:val="00123C67"/>
    <w:rsid w:val="001245D8"/>
    <w:rsid w:val="00124E73"/>
    <w:rsid w:val="00124EC3"/>
    <w:rsid w:val="00124EE5"/>
    <w:rsid w:val="00125291"/>
    <w:rsid w:val="00125390"/>
    <w:rsid w:val="001259FF"/>
    <w:rsid w:val="00125D4C"/>
    <w:rsid w:val="00126087"/>
    <w:rsid w:val="001260C4"/>
    <w:rsid w:val="0012687C"/>
    <w:rsid w:val="0012754A"/>
    <w:rsid w:val="00127BA6"/>
    <w:rsid w:val="00130142"/>
    <w:rsid w:val="001303E1"/>
    <w:rsid w:val="0013045B"/>
    <w:rsid w:val="001308DC"/>
    <w:rsid w:val="001310A5"/>
    <w:rsid w:val="001316AB"/>
    <w:rsid w:val="0013236F"/>
    <w:rsid w:val="001332D0"/>
    <w:rsid w:val="00134030"/>
    <w:rsid w:val="001342C0"/>
    <w:rsid w:val="001344AA"/>
    <w:rsid w:val="001355F5"/>
    <w:rsid w:val="00135C93"/>
    <w:rsid w:val="00136D34"/>
    <w:rsid w:val="00137BA1"/>
    <w:rsid w:val="00137FFA"/>
    <w:rsid w:val="00140015"/>
    <w:rsid w:val="001406ED"/>
    <w:rsid w:val="00141C42"/>
    <w:rsid w:val="00141E84"/>
    <w:rsid w:val="00141F99"/>
    <w:rsid w:val="001420C8"/>
    <w:rsid w:val="001425C5"/>
    <w:rsid w:val="001427BC"/>
    <w:rsid w:val="001448B5"/>
    <w:rsid w:val="001449F1"/>
    <w:rsid w:val="001453EF"/>
    <w:rsid w:val="0014582F"/>
    <w:rsid w:val="00145AAA"/>
    <w:rsid w:val="00146E1D"/>
    <w:rsid w:val="00147605"/>
    <w:rsid w:val="0014792F"/>
    <w:rsid w:val="001509CD"/>
    <w:rsid w:val="00151D31"/>
    <w:rsid w:val="001520A3"/>
    <w:rsid w:val="00152609"/>
    <w:rsid w:val="00152C65"/>
    <w:rsid w:val="00152CA8"/>
    <w:rsid w:val="0015382E"/>
    <w:rsid w:val="00154879"/>
    <w:rsid w:val="00154A20"/>
    <w:rsid w:val="001550CF"/>
    <w:rsid w:val="001554A4"/>
    <w:rsid w:val="001568EE"/>
    <w:rsid w:val="00156DAF"/>
    <w:rsid w:val="0015784C"/>
    <w:rsid w:val="00160F84"/>
    <w:rsid w:val="0016135A"/>
    <w:rsid w:val="0016149E"/>
    <w:rsid w:val="00161D78"/>
    <w:rsid w:val="0016262F"/>
    <w:rsid w:val="0016397F"/>
    <w:rsid w:val="001640BC"/>
    <w:rsid w:val="001650A0"/>
    <w:rsid w:val="00165EA8"/>
    <w:rsid w:val="0016680A"/>
    <w:rsid w:val="00167B9D"/>
    <w:rsid w:val="00167F0C"/>
    <w:rsid w:val="00170733"/>
    <w:rsid w:val="00170813"/>
    <w:rsid w:val="00170C89"/>
    <w:rsid w:val="00170E51"/>
    <w:rsid w:val="00171D50"/>
    <w:rsid w:val="00172B2A"/>
    <w:rsid w:val="00172E0A"/>
    <w:rsid w:val="001738F5"/>
    <w:rsid w:val="00173980"/>
    <w:rsid w:val="00173D30"/>
    <w:rsid w:val="00174107"/>
    <w:rsid w:val="00174FBC"/>
    <w:rsid w:val="0017528B"/>
    <w:rsid w:val="001755EC"/>
    <w:rsid w:val="00175795"/>
    <w:rsid w:val="001765FA"/>
    <w:rsid w:val="001770E9"/>
    <w:rsid w:val="00177BAA"/>
    <w:rsid w:val="00180B3B"/>
    <w:rsid w:val="00182427"/>
    <w:rsid w:val="00182855"/>
    <w:rsid w:val="00182C6C"/>
    <w:rsid w:val="00183DD7"/>
    <w:rsid w:val="00184A68"/>
    <w:rsid w:val="00184E93"/>
    <w:rsid w:val="001857DA"/>
    <w:rsid w:val="00186082"/>
    <w:rsid w:val="00186253"/>
    <w:rsid w:val="00186B95"/>
    <w:rsid w:val="00186D8E"/>
    <w:rsid w:val="001900CF"/>
    <w:rsid w:val="00190205"/>
    <w:rsid w:val="001918D6"/>
    <w:rsid w:val="00192341"/>
    <w:rsid w:val="00192D85"/>
    <w:rsid w:val="001939B7"/>
    <w:rsid w:val="0019596D"/>
    <w:rsid w:val="00195A58"/>
    <w:rsid w:val="00195EDB"/>
    <w:rsid w:val="0019626E"/>
    <w:rsid w:val="001963C6"/>
    <w:rsid w:val="0019713D"/>
    <w:rsid w:val="0019745D"/>
    <w:rsid w:val="001A028B"/>
    <w:rsid w:val="001A0467"/>
    <w:rsid w:val="001A08F7"/>
    <w:rsid w:val="001A0DF1"/>
    <w:rsid w:val="001A0EC0"/>
    <w:rsid w:val="001A26FC"/>
    <w:rsid w:val="001A27D7"/>
    <w:rsid w:val="001A3721"/>
    <w:rsid w:val="001A387A"/>
    <w:rsid w:val="001A3F04"/>
    <w:rsid w:val="001A56E7"/>
    <w:rsid w:val="001A7176"/>
    <w:rsid w:val="001B0FEE"/>
    <w:rsid w:val="001B2EA0"/>
    <w:rsid w:val="001B2F7F"/>
    <w:rsid w:val="001B3306"/>
    <w:rsid w:val="001B38FB"/>
    <w:rsid w:val="001B464A"/>
    <w:rsid w:val="001B4A46"/>
    <w:rsid w:val="001B4CC5"/>
    <w:rsid w:val="001B4D86"/>
    <w:rsid w:val="001B528A"/>
    <w:rsid w:val="001B53B4"/>
    <w:rsid w:val="001B59D6"/>
    <w:rsid w:val="001B6044"/>
    <w:rsid w:val="001B686F"/>
    <w:rsid w:val="001B7618"/>
    <w:rsid w:val="001B7DEA"/>
    <w:rsid w:val="001C1A26"/>
    <w:rsid w:val="001C219D"/>
    <w:rsid w:val="001C33CB"/>
    <w:rsid w:val="001C398F"/>
    <w:rsid w:val="001C4EEE"/>
    <w:rsid w:val="001C5292"/>
    <w:rsid w:val="001C722C"/>
    <w:rsid w:val="001C775D"/>
    <w:rsid w:val="001D0988"/>
    <w:rsid w:val="001D172E"/>
    <w:rsid w:val="001D1FD0"/>
    <w:rsid w:val="001D2E79"/>
    <w:rsid w:val="001D4536"/>
    <w:rsid w:val="001D5E4D"/>
    <w:rsid w:val="001D64EC"/>
    <w:rsid w:val="001D6B16"/>
    <w:rsid w:val="001D7B74"/>
    <w:rsid w:val="001E0042"/>
    <w:rsid w:val="001E008B"/>
    <w:rsid w:val="001E0545"/>
    <w:rsid w:val="001E0849"/>
    <w:rsid w:val="001E118B"/>
    <w:rsid w:val="001E1988"/>
    <w:rsid w:val="001E1A13"/>
    <w:rsid w:val="001E3B90"/>
    <w:rsid w:val="001E3E0C"/>
    <w:rsid w:val="001E453C"/>
    <w:rsid w:val="001E4A2B"/>
    <w:rsid w:val="001E4FA3"/>
    <w:rsid w:val="001E505B"/>
    <w:rsid w:val="001E610D"/>
    <w:rsid w:val="001E75AD"/>
    <w:rsid w:val="001F0524"/>
    <w:rsid w:val="001F0570"/>
    <w:rsid w:val="001F13B9"/>
    <w:rsid w:val="001F140A"/>
    <w:rsid w:val="001F1781"/>
    <w:rsid w:val="001F1AFA"/>
    <w:rsid w:val="001F267A"/>
    <w:rsid w:val="001F2AD0"/>
    <w:rsid w:val="001F2FC2"/>
    <w:rsid w:val="001F3276"/>
    <w:rsid w:val="001F3D53"/>
    <w:rsid w:val="001F416A"/>
    <w:rsid w:val="001F4316"/>
    <w:rsid w:val="001F48BD"/>
    <w:rsid w:val="001F4F3C"/>
    <w:rsid w:val="001F55B5"/>
    <w:rsid w:val="001F59AB"/>
    <w:rsid w:val="001F5E0A"/>
    <w:rsid w:val="001F62DC"/>
    <w:rsid w:val="001F63E1"/>
    <w:rsid w:val="001F64DE"/>
    <w:rsid w:val="001F6AAC"/>
    <w:rsid w:val="001F790E"/>
    <w:rsid w:val="0020033D"/>
    <w:rsid w:val="002005CC"/>
    <w:rsid w:val="002007D2"/>
    <w:rsid w:val="00200F34"/>
    <w:rsid w:val="00203F1A"/>
    <w:rsid w:val="00204114"/>
    <w:rsid w:val="00204C65"/>
    <w:rsid w:val="00204F6E"/>
    <w:rsid w:val="00204FCD"/>
    <w:rsid w:val="0020536A"/>
    <w:rsid w:val="002059AF"/>
    <w:rsid w:val="0020646E"/>
    <w:rsid w:val="00206BC8"/>
    <w:rsid w:val="00211909"/>
    <w:rsid w:val="002135F3"/>
    <w:rsid w:val="002146C0"/>
    <w:rsid w:val="00214A72"/>
    <w:rsid w:val="00215A2F"/>
    <w:rsid w:val="00215BB7"/>
    <w:rsid w:val="00215CA0"/>
    <w:rsid w:val="00216F1A"/>
    <w:rsid w:val="00217155"/>
    <w:rsid w:val="0021759E"/>
    <w:rsid w:val="00217662"/>
    <w:rsid w:val="0022085C"/>
    <w:rsid w:val="002208DC"/>
    <w:rsid w:val="00220CE5"/>
    <w:rsid w:val="00220ED5"/>
    <w:rsid w:val="002215FF"/>
    <w:rsid w:val="002216AA"/>
    <w:rsid w:val="0022173B"/>
    <w:rsid w:val="002217B4"/>
    <w:rsid w:val="002226D4"/>
    <w:rsid w:val="002229F4"/>
    <w:rsid w:val="002236DB"/>
    <w:rsid w:val="00224570"/>
    <w:rsid w:val="00225A48"/>
    <w:rsid w:val="002261EB"/>
    <w:rsid w:val="0022655C"/>
    <w:rsid w:val="0022678E"/>
    <w:rsid w:val="002272CA"/>
    <w:rsid w:val="00227541"/>
    <w:rsid w:val="00227D81"/>
    <w:rsid w:val="002311BD"/>
    <w:rsid w:val="00231255"/>
    <w:rsid w:val="0023158E"/>
    <w:rsid w:val="00231E50"/>
    <w:rsid w:val="0023236C"/>
    <w:rsid w:val="00233A24"/>
    <w:rsid w:val="00233DF3"/>
    <w:rsid w:val="00234500"/>
    <w:rsid w:val="0023484E"/>
    <w:rsid w:val="00234B84"/>
    <w:rsid w:val="00235B42"/>
    <w:rsid w:val="00236137"/>
    <w:rsid w:val="00236740"/>
    <w:rsid w:val="00237253"/>
    <w:rsid w:val="00237329"/>
    <w:rsid w:val="002400B3"/>
    <w:rsid w:val="00240225"/>
    <w:rsid w:val="00240A06"/>
    <w:rsid w:val="002416BA"/>
    <w:rsid w:val="00241AB9"/>
    <w:rsid w:val="002427B1"/>
    <w:rsid w:val="0024280B"/>
    <w:rsid w:val="00244181"/>
    <w:rsid w:val="002446B8"/>
    <w:rsid w:val="00244C00"/>
    <w:rsid w:val="0024535C"/>
    <w:rsid w:val="002457FD"/>
    <w:rsid w:val="00245C7E"/>
    <w:rsid w:val="00246AB2"/>
    <w:rsid w:val="00250718"/>
    <w:rsid w:val="00251445"/>
    <w:rsid w:val="0025237E"/>
    <w:rsid w:val="002523D6"/>
    <w:rsid w:val="00252AEC"/>
    <w:rsid w:val="00253276"/>
    <w:rsid w:val="002536AE"/>
    <w:rsid w:val="00253C1D"/>
    <w:rsid w:val="00254319"/>
    <w:rsid w:val="00254D37"/>
    <w:rsid w:val="002553F1"/>
    <w:rsid w:val="0025578A"/>
    <w:rsid w:val="002563B9"/>
    <w:rsid w:val="0025685E"/>
    <w:rsid w:val="0025768C"/>
    <w:rsid w:val="00257BC1"/>
    <w:rsid w:val="00257C73"/>
    <w:rsid w:val="00257F4E"/>
    <w:rsid w:val="00261631"/>
    <w:rsid w:val="00264666"/>
    <w:rsid w:val="00264924"/>
    <w:rsid w:val="00264AE6"/>
    <w:rsid w:val="00265C96"/>
    <w:rsid w:val="00265CEB"/>
    <w:rsid w:val="00265ED0"/>
    <w:rsid w:val="00265F6D"/>
    <w:rsid w:val="00266E0C"/>
    <w:rsid w:val="0026775B"/>
    <w:rsid w:val="00270234"/>
    <w:rsid w:val="0027071C"/>
    <w:rsid w:val="0027122E"/>
    <w:rsid w:val="00272C62"/>
    <w:rsid w:val="002755B8"/>
    <w:rsid w:val="00275701"/>
    <w:rsid w:val="0027630F"/>
    <w:rsid w:val="00276521"/>
    <w:rsid w:val="00276D7E"/>
    <w:rsid w:val="00277428"/>
    <w:rsid w:val="002806C6"/>
    <w:rsid w:val="002812E1"/>
    <w:rsid w:val="00281E62"/>
    <w:rsid w:val="00281ED6"/>
    <w:rsid w:val="00282493"/>
    <w:rsid w:val="0028312F"/>
    <w:rsid w:val="00283380"/>
    <w:rsid w:val="00284F66"/>
    <w:rsid w:val="00285D7E"/>
    <w:rsid w:val="00285D82"/>
    <w:rsid w:val="00285FED"/>
    <w:rsid w:val="0028630C"/>
    <w:rsid w:val="00286660"/>
    <w:rsid w:val="00286A53"/>
    <w:rsid w:val="00287542"/>
    <w:rsid w:val="002877E9"/>
    <w:rsid w:val="0029159E"/>
    <w:rsid w:val="002933BF"/>
    <w:rsid w:val="002937F6"/>
    <w:rsid w:val="00293B18"/>
    <w:rsid w:val="00293EA5"/>
    <w:rsid w:val="00294801"/>
    <w:rsid w:val="00294EFD"/>
    <w:rsid w:val="0029562E"/>
    <w:rsid w:val="002956E0"/>
    <w:rsid w:val="00296D38"/>
    <w:rsid w:val="00296EA4"/>
    <w:rsid w:val="00296FA3"/>
    <w:rsid w:val="0029772C"/>
    <w:rsid w:val="002A1031"/>
    <w:rsid w:val="002A1308"/>
    <w:rsid w:val="002A3472"/>
    <w:rsid w:val="002A34C5"/>
    <w:rsid w:val="002A3975"/>
    <w:rsid w:val="002A3C58"/>
    <w:rsid w:val="002A4F10"/>
    <w:rsid w:val="002A50DC"/>
    <w:rsid w:val="002A632D"/>
    <w:rsid w:val="002A63F4"/>
    <w:rsid w:val="002B03FF"/>
    <w:rsid w:val="002B0B61"/>
    <w:rsid w:val="002B0CA6"/>
    <w:rsid w:val="002B1AAF"/>
    <w:rsid w:val="002B1BDA"/>
    <w:rsid w:val="002B287D"/>
    <w:rsid w:val="002B36EB"/>
    <w:rsid w:val="002B3BD7"/>
    <w:rsid w:val="002B3DA6"/>
    <w:rsid w:val="002B3F20"/>
    <w:rsid w:val="002B484D"/>
    <w:rsid w:val="002B4907"/>
    <w:rsid w:val="002B5092"/>
    <w:rsid w:val="002B50DA"/>
    <w:rsid w:val="002B5AD8"/>
    <w:rsid w:val="002B5ED5"/>
    <w:rsid w:val="002B729F"/>
    <w:rsid w:val="002B72C0"/>
    <w:rsid w:val="002B76BD"/>
    <w:rsid w:val="002B7DD1"/>
    <w:rsid w:val="002C05A7"/>
    <w:rsid w:val="002C087E"/>
    <w:rsid w:val="002C09B8"/>
    <w:rsid w:val="002C0DF9"/>
    <w:rsid w:val="002C27C5"/>
    <w:rsid w:val="002C2BF2"/>
    <w:rsid w:val="002C4BB5"/>
    <w:rsid w:val="002C6D5B"/>
    <w:rsid w:val="002C7E7F"/>
    <w:rsid w:val="002D0C96"/>
    <w:rsid w:val="002D2D19"/>
    <w:rsid w:val="002D3456"/>
    <w:rsid w:val="002D4BB3"/>
    <w:rsid w:val="002D5D70"/>
    <w:rsid w:val="002D6942"/>
    <w:rsid w:val="002D7A44"/>
    <w:rsid w:val="002D7E62"/>
    <w:rsid w:val="002D7F92"/>
    <w:rsid w:val="002E0633"/>
    <w:rsid w:val="002E0A18"/>
    <w:rsid w:val="002E1888"/>
    <w:rsid w:val="002E18A4"/>
    <w:rsid w:val="002E1964"/>
    <w:rsid w:val="002E19A5"/>
    <w:rsid w:val="002E1E7E"/>
    <w:rsid w:val="002E27E0"/>
    <w:rsid w:val="002E39A3"/>
    <w:rsid w:val="002E3CBA"/>
    <w:rsid w:val="002E5EB7"/>
    <w:rsid w:val="002E6150"/>
    <w:rsid w:val="002E631C"/>
    <w:rsid w:val="002E6B6F"/>
    <w:rsid w:val="002E74C9"/>
    <w:rsid w:val="002E7874"/>
    <w:rsid w:val="002E7E35"/>
    <w:rsid w:val="002F0800"/>
    <w:rsid w:val="002F098C"/>
    <w:rsid w:val="002F1307"/>
    <w:rsid w:val="002F3451"/>
    <w:rsid w:val="002F3606"/>
    <w:rsid w:val="002F3CF5"/>
    <w:rsid w:val="002F5131"/>
    <w:rsid w:val="002F51E1"/>
    <w:rsid w:val="002F70EB"/>
    <w:rsid w:val="002F72BB"/>
    <w:rsid w:val="002F7411"/>
    <w:rsid w:val="002F779E"/>
    <w:rsid w:val="002F7AB3"/>
    <w:rsid w:val="002F7E31"/>
    <w:rsid w:val="00301514"/>
    <w:rsid w:val="003033BA"/>
    <w:rsid w:val="003033C0"/>
    <w:rsid w:val="00303888"/>
    <w:rsid w:val="003038BC"/>
    <w:rsid w:val="00303D47"/>
    <w:rsid w:val="00303DF8"/>
    <w:rsid w:val="00303EFC"/>
    <w:rsid w:val="00304081"/>
    <w:rsid w:val="00304130"/>
    <w:rsid w:val="003043B4"/>
    <w:rsid w:val="003046D6"/>
    <w:rsid w:val="0030629D"/>
    <w:rsid w:val="00307855"/>
    <w:rsid w:val="00310422"/>
    <w:rsid w:val="0031068B"/>
    <w:rsid w:val="00311152"/>
    <w:rsid w:val="003112B5"/>
    <w:rsid w:val="0031293C"/>
    <w:rsid w:val="00312DEB"/>
    <w:rsid w:val="00312F3D"/>
    <w:rsid w:val="00313BBA"/>
    <w:rsid w:val="00313CB3"/>
    <w:rsid w:val="00313D9F"/>
    <w:rsid w:val="00314352"/>
    <w:rsid w:val="00314899"/>
    <w:rsid w:val="00315623"/>
    <w:rsid w:val="00316182"/>
    <w:rsid w:val="003203D9"/>
    <w:rsid w:val="0032072B"/>
    <w:rsid w:val="00320DFD"/>
    <w:rsid w:val="003210F8"/>
    <w:rsid w:val="00321947"/>
    <w:rsid w:val="00323ECD"/>
    <w:rsid w:val="00326A5D"/>
    <w:rsid w:val="00326F22"/>
    <w:rsid w:val="00327032"/>
    <w:rsid w:val="003276A0"/>
    <w:rsid w:val="003278FA"/>
    <w:rsid w:val="0033002D"/>
    <w:rsid w:val="00330686"/>
    <w:rsid w:val="00332906"/>
    <w:rsid w:val="00332B6F"/>
    <w:rsid w:val="00332C3C"/>
    <w:rsid w:val="00333BE1"/>
    <w:rsid w:val="00334708"/>
    <w:rsid w:val="00334B76"/>
    <w:rsid w:val="00336644"/>
    <w:rsid w:val="003370FB"/>
    <w:rsid w:val="00337299"/>
    <w:rsid w:val="0033763C"/>
    <w:rsid w:val="00337ADB"/>
    <w:rsid w:val="00337BD8"/>
    <w:rsid w:val="00340206"/>
    <w:rsid w:val="003410DC"/>
    <w:rsid w:val="0034149E"/>
    <w:rsid w:val="003418AA"/>
    <w:rsid w:val="00341CE5"/>
    <w:rsid w:val="00342202"/>
    <w:rsid w:val="003426C6"/>
    <w:rsid w:val="003429C9"/>
    <w:rsid w:val="00343AE9"/>
    <w:rsid w:val="00343C28"/>
    <w:rsid w:val="00344889"/>
    <w:rsid w:val="00345462"/>
    <w:rsid w:val="00345FC4"/>
    <w:rsid w:val="0034680A"/>
    <w:rsid w:val="00347661"/>
    <w:rsid w:val="003478E7"/>
    <w:rsid w:val="00350095"/>
    <w:rsid w:val="00350DC7"/>
    <w:rsid w:val="00350DCD"/>
    <w:rsid w:val="003510C2"/>
    <w:rsid w:val="00351383"/>
    <w:rsid w:val="003528F0"/>
    <w:rsid w:val="00352927"/>
    <w:rsid w:val="00352FE4"/>
    <w:rsid w:val="0035318E"/>
    <w:rsid w:val="00353FDF"/>
    <w:rsid w:val="00354545"/>
    <w:rsid w:val="00354FD8"/>
    <w:rsid w:val="003551A5"/>
    <w:rsid w:val="003555B4"/>
    <w:rsid w:val="00356A4C"/>
    <w:rsid w:val="0035733D"/>
    <w:rsid w:val="0036048D"/>
    <w:rsid w:val="0036064B"/>
    <w:rsid w:val="00360753"/>
    <w:rsid w:val="00360A53"/>
    <w:rsid w:val="00362486"/>
    <w:rsid w:val="00362CEC"/>
    <w:rsid w:val="00362F73"/>
    <w:rsid w:val="003630B0"/>
    <w:rsid w:val="00363A73"/>
    <w:rsid w:val="0036497E"/>
    <w:rsid w:val="00364F1A"/>
    <w:rsid w:val="00366B93"/>
    <w:rsid w:val="00366C32"/>
    <w:rsid w:val="00367ACD"/>
    <w:rsid w:val="0037099D"/>
    <w:rsid w:val="00372A55"/>
    <w:rsid w:val="003735C0"/>
    <w:rsid w:val="0037401A"/>
    <w:rsid w:val="00374753"/>
    <w:rsid w:val="0037676F"/>
    <w:rsid w:val="003767EE"/>
    <w:rsid w:val="00377AD6"/>
    <w:rsid w:val="00377BF5"/>
    <w:rsid w:val="00381B41"/>
    <w:rsid w:val="00382349"/>
    <w:rsid w:val="003833D7"/>
    <w:rsid w:val="003839DC"/>
    <w:rsid w:val="00383C5B"/>
    <w:rsid w:val="00383DDA"/>
    <w:rsid w:val="00384041"/>
    <w:rsid w:val="00384B44"/>
    <w:rsid w:val="00384F42"/>
    <w:rsid w:val="00385EC9"/>
    <w:rsid w:val="00386456"/>
    <w:rsid w:val="00387241"/>
    <w:rsid w:val="00387E1C"/>
    <w:rsid w:val="00390091"/>
    <w:rsid w:val="0039010E"/>
    <w:rsid w:val="003901D8"/>
    <w:rsid w:val="00390732"/>
    <w:rsid w:val="00390B41"/>
    <w:rsid w:val="0039100A"/>
    <w:rsid w:val="00391D93"/>
    <w:rsid w:val="00392714"/>
    <w:rsid w:val="00392E7E"/>
    <w:rsid w:val="00392F63"/>
    <w:rsid w:val="00393184"/>
    <w:rsid w:val="0039340C"/>
    <w:rsid w:val="003934DD"/>
    <w:rsid w:val="00394337"/>
    <w:rsid w:val="00395BF9"/>
    <w:rsid w:val="00396D23"/>
    <w:rsid w:val="003978D0"/>
    <w:rsid w:val="003A0468"/>
    <w:rsid w:val="003A046A"/>
    <w:rsid w:val="003A0603"/>
    <w:rsid w:val="003A0EF8"/>
    <w:rsid w:val="003A1031"/>
    <w:rsid w:val="003A1157"/>
    <w:rsid w:val="003A25E4"/>
    <w:rsid w:val="003A2A86"/>
    <w:rsid w:val="003A2C66"/>
    <w:rsid w:val="003A2D28"/>
    <w:rsid w:val="003A433D"/>
    <w:rsid w:val="003A4C65"/>
    <w:rsid w:val="003A4F71"/>
    <w:rsid w:val="003A581E"/>
    <w:rsid w:val="003A5E28"/>
    <w:rsid w:val="003A651C"/>
    <w:rsid w:val="003A6DA8"/>
    <w:rsid w:val="003B0136"/>
    <w:rsid w:val="003B0B16"/>
    <w:rsid w:val="003B3D8A"/>
    <w:rsid w:val="003B4162"/>
    <w:rsid w:val="003B5540"/>
    <w:rsid w:val="003B6EE4"/>
    <w:rsid w:val="003B79A5"/>
    <w:rsid w:val="003C1943"/>
    <w:rsid w:val="003C347B"/>
    <w:rsid w:val="003C3D13"/>
    <w:rsid w:val="003C40DD"/>
    <w:rsid w:val="003C4141"/>
    <w:rsid w:val="003C432C"/>
    <w:rsid w:val="003C50C9"/>
    <w:rsid w:val="003C62BD"/>
    <w:rsid w:val="003C71EE"/>
    <w:rsid w:val="003C7DC2"/>
    <w:rsid w:val="003D0503"/>
    <w:rsid w:val="003D1513"/>
    <w:rsid w:val="003D2137"/>
    <w:rsid w:val="003D284B"/>
    <w:rsid w:val="003D2C5E"/>
    <w:rsid w:val="003D40F4"/>
    <w:rsid w:val="003D4187"/>
    <w:rsid w:val="003D43F8"/>
    <w:rsid w:val="003D4F72"/>
    <w:rsid w:val="003D603B"/>
    <w:rsid w:val="003D6CF0"/>
    <w:rsid w:val="003D70AA"/>
    <w:rsid w:val="003D73F1"/>
    <w:rsid w:val="003E07B4"/>
    <w:rsid w:val="003E11A8"/>
    <w:rsid w:val="003E14B0"/>
    <w:rsid w:val="003E15E5"/>
    <w:rsid w:val="003E1ABD"/>
    <w:rsid w:val="003E1F12"/>
    <w:rsid w:val="003E4331"/>
    <w:rsid w:val="003E443D"/>
    <w:rsid w:val="003E5505"/>
    <w:rsid w:val="003E55AE"/>
    <w:rsid w:val="003E5C80"/>
    <w:rsid w:val="003E5ED1"/>
    <w:rsid w:val="003E6682"/>
    <w:rsid w:val="003E7261"/>
    <w:rsid w:val="003E7A20"/>
    <w:rsid w:val="003E7AAD"/>
    <w:rsid w:val="003F088B"/>
    <w:rsid w:val="003F0FBE"/>
    <w:rsid w:val="003F165C"/>
    <w:rsid w:val="003F28CF"/>
    <w:rsid w:val="003F2AD2"/>
    <w:rsid w:val="003F30B1"/>
    <w:rsid w:val="003F328D"/>
    <w:rsid w:val="003F3340"/>
    <w:rsid w:val="003F47E5"/>
    <w:rsid w:val="003F5439"/>
    <w:rsid w:val="003F554B"/>
    <w:rsid w:val="003F5C24"/>
    <w:rsid w:val="003F5CDD"/>
    <w:rsid w:val="003F5D5D"/>
    <w:rsid w:val="003F60D3"/>
    <w:rsid w:val="003F6F65"/>
    <w:rsid w:val="003F7230"/>
    <w:rsid w:val="003F7E6A"/>
    <w:rsid w:val="00400083"/>
    <w:rsid w:val="0040059A"/>
    <w:rsid w:val="00402FD5"/>
    <w:rsid w:val="00403A30"/>
    <w:rsid w:val="00404797"/>
    <w:rsid w:val="00405524"/>
    <w:rsid w:val="00406868"/>
    <w:rsid w:val="00406898"/>
    <w:rsid w:val="00407BD2"/>
    <w:rsid w:val="0041043C"/>
    <w:rsid w:val="004105AB"/>
    <w:rsid w:val="00410682"/>
    <w:rsid w:val="004106B4"/>
    <w:rsid w:val="00411B85"/>
    <w:rsid w:val="00412132"/>
    <w:rsid w:val="00412214"/>
    <w:rsid w:val="0041266E"/>
    <w:rsid w:val="0041386A"/>
    <w:rsid w:val="00413E71"/>
    <w:rsid w:val="004140EB"/>
    <w:rsid w:val="00414B54"/>
    <w:rsid w:val="0041612C"/>
    <w:rsid w:val="00416511"/>
    <w:rsid w:val="00416C2E"/>
    <w:rsid w:val="00417C69"/>
    <w:rsid w:val="004207E3"/>
    <w:rsid w:val="00420A13"/>
    <w:rsid w:val="00420B44"/>
    <w:rsid w:val="00420D01"/>
    <w:rsid w:val="00421774"/>
    <w:rsid w:val="00421906"/>
    <w:rsid w:val="0042321C"/>
    <w:rsid w:val="00423267"/>
    <w:rsid w:val="004252E8"/>
    <w:rsid w:val="00425B6B"/>
    <w:rsid w:val="00426EEE"/>
    <w:rsid w:val="00426F4A"/>
    <w:rsid w:val="00427BD7"/>
    <w:rsid w:val="00430927"/>
    <w:rsid w:val="0043155D"/>
    <w:rsid w:val="00431A07"/>
    <w:rsid w:val="0043205F"/>
    <w:rsid w:val="00432915"/>
    <w:rsid w:val="00432C5F"/>
    <w:rsid w:val="0043330C"/>
    <w:rsid w:val="0043346D"/>
    <w:rsid w:val="00433A6D"/>
    <w:rsid w:val="00433BA1"/>
    <w:rsid w:val="00435749"/>
    <w:rsid w:val="004357BB"/>
    <w:rsid w:val="00435AA2"/>
    <w:rsid w:val="004363BC"/>
    <w:rsid w:val="00436652"/>
    <w:rsid w:val="004367C8"/>
    <w:rsid w:val="00436A63"/>
    <w:rsid w:val="0043754D"/>
    <w:rsid w:val="00437BF5"/>
    <w:rsid w:val="00437BF8"/>
    <w:rsid w:val="00440400"/>
    <w:rsid w:val="00440E0E"/>
    <w:rsid w:val="004422D6"/>
    <w:rsid w:val="00442BFD"/>
    <w:rsid w:val="00444A46"/>
    <w:rsid w:val="00444A4E"/>
    <w:rsid w:val="00445831"/>
    <w:rsid w:val="00445EE4"/>
    <w:rsid w:val="00446B03"/>
    <w:rsid w:val="00446CAA"/>
    <w:rsid w:val="00447095"/>
    <w:rsid w:val="00447483"/>
    <w:rsid w:val="00447B2D"/>
    <w:rsid w:val="0045067B"/>
    <w:rsid w:val="004507CF"/>
    <w:rsid w:val="00452BCB"/>
    <w:rsid w:val="0045342C"/>
    <w:rsid w:val="004537E3"/>
    <w:rsid w:val="004547B6"/>
    <w:rsid w:val="00454B0F"/>
    <w:rsid w:val="00454C62"/>
    <w:rsid w:val="0045548D"/>
    <w:rsid w:val="00456BF3"/>
    <w:rsid w:val="004570AB"/>
    <w:rsid w:val="004573BC"/>
    <w:rsid w:val="004620B3"/>
    <w:rsid w:val="00463997"/>
    <w:rsid w:val="004648D2"/>
    <w:rsid w:val="004652E5"/>
    <w:rsid w:val="004653E7"/>
    <w:rsid w:val="0046604D"/>
    <w:rsid w:val="00471F7A"/>
    <w:rsid w:val="0047250D"/>
    <w:rsid w:val="0047358F"/>
    <w:rsid w:val="0047429E"/>
    <w:rsid w:val="00474434"/>
    <w:rsid w:val="0047444E"/>
    <w:rsid w:val="00474614"/>
    <w:rsid w:val="00474880"/>
    <w:rsid w:val="004750AA"/>
    <w:rsid w:val="004755D2"/>
    <w:rsid w:val="004768C9"/>
    <w:rsid w:val="00476A0B"/>
    <w:rsid w:val="00476B68"/>
    <w:rsid w:val="00477A49"/>
    <w:rsid w:val="00477BFF"/>
    <w:rsid w:val="00480940"/>
    <w:rsid w:val="00481FA4"/>
    <w:rsid w:val="004821AB"/>
    <w:rsid w:val="00482A4E"/>
    <w:rsid w:val="004832C7"/>
    <w:rsid w:val="0048509E"/>
    <w:rsid w:val="00485197"/>
    <w:rsid w:val="00485AD7"/>
    <w:rsid w:val="00485ED3"/>
    <w:rsid w:val="004866CB"/>
    <w:rsid w:val="00487569"/>
    <w:rsid w:val="004878C1"/>
    <w:rsid w:val="00487986"/>
    <w:rsid w:val="004928C4"/>
    <w:rsid w:val="00492EB5"/>
    <w:rsid w:val="00493E48"/>
    <w:rsid w:val="0049475A"/>
    <w:rsid w:val="0049505C"/>
    <w:rsid w:val="00496626"/>
    <w:rsid w:val="0049684A"/>
    <w:rsid w:val="00496DBC"/>
    <w:rsid w:val="00497B27"/>
    <w:rsid w:val="00497F48"/>
    <w:rsid w:val="004A0A76"/>
    <w:rsid w:val="004A29A9"/>
    <w:rsid w:val="004A34D2"/>
    <w:rsid w:val="004A36C3"/>
    <w:rsid w:val="004A3CCB"/>
    <w:rsid w:val="004A411B"/>
    <w:rsid w:val="004A486C"/>
    <w:rsid w:val="004A488B"/>
    <w:rsid w:val="004A4EE9"/>
    <w:rsid w:val="004A5218"/>
    <w:rsid w:val="004A5B0B"/>
    <w:rsid w:val="004A5B41"/>
    <w:rsid w:val="004A606D"/>
    <w:rsid w:val="004A6356"/>
    <w:rsid w:val="004A7E8A"/>
    <w:rsid w:val="004B159B"/>
    <w:rsid w:val="004B1F7C"/>
    <w:rsid w:val="004B219E"/>
    <w:rsid w:val="004B2774"/>
    <w:rsid w:val="004B28F8"/>
    <w:rsid w:val="004B411E"/>
    <w:rsid w:val="004B4A0E"/>
    <w:rsid w:val="004B4CAD"/>
    <w:rsid w:val="004B567B"/>
    <w:rsid w:val="004B5CAA"/>
    <w:rsid w:val="004B6DE0"/>
    <w:rsid w:val="004B742E"/>
    <w:rsid w:val="004C003F"/>
    <w:rsid w:val="004C026F"/>
    <w:rsid w:val="004C0993"/>
    <w:rsid w:val="004C0ABB"/>
    <w:rsid w:val="004C0B1C"/>
    <w:rsid w:val="004C1226"/>
    <w:rsid w:val="004C1573"/>
    <w:rsid w:val="004C1F44"/>
    <w:rsid w:val="004C1F93"/>
    <w:rsid w:val="004C2021"/>
    <w:rsid w:val="004C21E9"/>
    <w:rsid w:val="004C5092"/>
    <w:rsid w:val="004C5273"/>
    <w:rsid w:val="004C544E"/>
    <w:rsid w:val="004C6C01"/>
    <w:rsid w:val="004C7677"/>
    <w:rsid w:val="004D1653"/>
    <w:rsid w:val="004D1B75"/>
    <w:rsid w:val="004D1CE5"/>
    <w:rsid w:val="004D2B08"/>
    <w:rsid w:val="004D2C64"/>
    <w:rsid w:val="004D2E7D"/>
    <w:rsid w:val="004D3473"/>
    <w:rsid w:val="004D3521"/>
    <w:rsid w:val="004D4556"/>
    <w:rsid w:val="004D47D0"/>
    <w:rsid w:val="004D4FFE"/>
    <w:rsid w:val="004D5372"/>
    <w:rsid w:val="004D6525"/>
    <w:rsid w:val="004D6799"/>
    <w:rsid w:val="004D725A"/>
    <w:rsid w:val="004D78D4"/>
    <w:rsid w:val="004D7A98"/>
    <w:rsid w:val="004D7B77"/>
    <w:rsid w:val="004E06CD"/>
    <w:rsid w:val="004E1267"/>
    <w:rsid w:val="004E2760"/>
    <w:rsid w:val="004E27A0"/>
    <w:rsid w:val="004E2973"/>
    <w:rsid w:val="004E2F8D"/>
    <w:rsid w:val="004E3A4E"/>
    <w:rsid w:val="004E4142"/>
    <w:rsid w:val="004E4900"/>
    <w:rsid w:val="004E4A6B"/>
    <w:rsid w:val="004E4A87"/>
    <w:rsid w:val="004E4AB3"/>
    <w:rsid w:val="004E5102"/>
    <w:rsid w:val="004E5B78"/>
    <w:rsid w:val="004E5BC5"/>
    <w:rsid w:val="004E6147"/>
    <w:rsid w:val="004E638B"/>
    <w:rsid w:val="004E6C63"/>
    <w:rsid w:val="004F00FF"/>
    <w:rsid w:val="004F0B50"/>
    <w:rsid w:val="004F1050"/>
    <w:rsid w:val="004F1065"/>
    <w:rsid w:val="004F32CC"/>
    <w:rsid w:val="004F38A9"/>
    <w:rsid w:val="004F4394"/>
    <w:rsid w:val="004F46FC"/>
    <w:rsid w:val="004F4EB9"/>
    <w:rsid w:val="004F5711"/>
    <w:rsid w:val="004F5F6A"/>
    <w:rsid w:val="004F71C2"/>
    <w:rsid w:val="004F7E9A"/>
    <w:rsid w:val="0050188C"/>
    <w:rsid w:val="00501BC4"/>
    <w:rsid w:val="00501D8A"/>
    <w:rsid w:val="00501E99"/>
    <w:rsid w:val="00501FA2"/>
    <w:rsid w:val="0050246B"/>
    <w:rsid w:val="005027F0"/>
    <w:rsid w:val="00502929"/>
    <w:rsid w:val="00502F06"/>
    <w:rsid w:val="005037BC"/>
    <w:rsid w:val="005037CD"/>
    <w:rsid w:val="00503872"/>
    <w:rsid w:val="00503C1E"/>
    <w:rsid w:val="005046C0"/>
    <w:rsid w:val="005053B0"/>
    <w:rsid w:val="00506085"/>
    <w:rsid w:val="005064F9"/>
    <w:rsid w:val="0051074C"/>
    <w:rsid w:val="0051089A"/>
    <w:rsid w:val="00510BB6"/>
    <w:rsid w:val="0051288D"/>
    <w:rsid w:val="005132B5"/>
    <w:rsid w:val="00513A69"/>
    <w:rsid w:val="00513AF2"/>
    <w:rsid w:val="005144E0"/>
    <w:rsid w:val="00514C87"/>
    <w:rsid w:val="005152C2"/>
    <w:rsid w:val="005153B7"/>
    <w:rsid w:val="00516462"/>
    <w:rsid w:val="0051690C"/>
    <w:rsid w:val="005200B5"/>
    <w:rsid w:val="00521B54"/>
    <w:rsid w:val="005222B7"/>
    <w:rsid w:val="00522983"/>
    <w:rsid w:val="0052307C"/>
    <w:rsid w:val="0052446F"/>
    <w:rsid w:val="00524F8D"/>
    <w:rsid w:val="00525D6C"/>
    <w:rsid w:val="005268C9"/>
    <w:rsid w:val="0052715F"/>
    <w:rsid w:val="00527CC7"/>
    <w:rsid w:val="00527D39"/>
    <w:rsid w:val="005305AF"/>
    <w:rsid w:val="00531545"/>
    <w:rsid w:val="00533367"/>
    <w:rsid w:val="00533C01"/>
    <w:rsid w:val="00535161"/>
    <w:rsid w:val="0053557D"/>
    <w:rsid w:val="00535A7F"/>
    <w:rsid w:val="0053606E"/>
    <w:rsid w:val="005369C0"/>
    <w:rsid w:val="00536C0D"/>
    <w:rsid w:val="0053771E"/>
    <w:rsid w:val="00537D21"/>
    <w:rsid w:val="005403D5"/>
    <w:rsid w:val="005418FA"/>
    <w:rsid w:val="00542FF3"/>
    <w:rsid w:val="0054323F"/>
    <w:rsid w:val="00543D6E"/>
    <w:rsid w:val="0054413A"/>
    <w:rsid w:val="005443C9"/>
    <w:rsid w:val="00545144"/>
    <w:rsid w:val="00545326"/>
    <w:rsid w:val="005457A0"/>
    <w:rsid w:val="005465E5"/>
    <w:rsid w:val="00546A34"/>
    <w:rsid w:val="00550551"/>
    <w:rsid w:val="00551DC1"/>
    <w:rsid w:val="00553411"/>
    <w:rsid w:val="00554515"/>
    <w:rsid w:val="00555967"/>
    <w:rsid w:val="005564CA"/>
    <w:rsid w:val="00556CA1"/>
    <w:rsid w:val="00556F5B"/>
    <w:rsid w:val="00557DD1"/>
    <w:rsid w:val="00560437"/>
    <w:rsid w:val="00560C9C"/>
    <w:rsid w:val="0056142D"/>
    <w:rsid w:val="00561510"/>
    <w:rsid w:val="005617FA"/>
    <w:rsid w:val="005620AD"/>
    <w:rsid w:val="005626E7"/>
    <w:rsid w:val="00562D14"/>
    <w:rsid w:val="00563DEE"/>
    <w:rsid w:val="00564281"/>
    <w:rsid w:val="00566EEE"/>
    <w:rsid w:val="00567CF6"/>
    <w:rsid w:val="00570BD6"/>
    <w:rsid w:val="00571897"/>
    <w:rsid w:val="005722C5"/>
    <w:rsid w:val="0057266E"/>
    <w:rsid w:val="00572788"/>
    <w:rsid w:val="005731B5"/>
    <w:rsid w:val="0057389B"/>
    <w:rsid w:val="00573D85"/>
    <w:rsid w:val="0057417D"/>
    <w:rsid w:val="005746A3"/>
    <w:rsid w:val="00574CA8"/>
    <w:rsid w:val="00574D20"/>
    <w:rsid w:val="0057530E"/>
    <w:rsid w:val="00575B77"/>
    <w:rsid w:val="00575D08"/>
    <w:rsid w:val="005770F6"/>
    <w:rsid w:val="00577DD4"/>
    <w:rsid w:val="00577EF5"/>
    <w:rsid w:val="00580136"/>
    <w:rsid w:val="005811F1"/>
    <w:rsid w:val="00584E86"/>
    <w:rsid w:val="0058506F"/>
    <w:rsid w:val="0058589B"/>
    <w:rsid w:val="005867BF"/>
    <w:rsid w:val="00587B36"/>
    <w:rsid w:val="0059058A"/>
    <w:rsid w:val="00590963"/>
    <w:rsid w:val="00590DD9"/>
    <w:rsid w:val="00590E6F"/>
    <w:rsid w:val="00591C90"/>
    <w:rsid w:val="00591F4C"/>
    <w:rsid w:val="0059266D"/>
    <w:rsid w:val="00592AC9"/>
    <w:rsid w:val="00592E5C"/>
    <w:rsid w:val="005942C5"/>
    <w:rsid w:val="0059458E"/>
    <w:rsid w:val="00595BD5"/>
    <w:rsid w:val="00596F22"/>
    <w:rsid w:val="005977FA"/>
    <w:rsid w:val="005A0585"/>
    <w:rsid w:val="005A114C"/>
    <w:rsid w:val="005A1570"/>
    <w:rsid w:val="005A1A11"/>
    <w:rsid w:val="005A1C9C"/>
    <w:rsid w:val="005A2D51"/>
    <w:rsid w:val="005A32AF"/>
    <w:rsid w:val="005A34F0"/>
    <w:rsid w:val="005A3C9D"/>
    <w:rsid w:val="005A4079"/>
    <w:rsid w:val="005A436F"/>
    <w:rsid w:val="005A456B"/>
    <w:rsid w:val="005A4A4C"/>
    <w:rsid w:val="005A5275"/>
    <w:rsid w:val="005A54CB"/>
    <w:rsid w:val="005A6DCD"/>
    <w:rsid w:val="005A79FE"/>
    <w:rsid w:val="005B0132"/>
    <w:rsid w:val="005B2AF3"/>
    <w:rsid w:val="005B2F60"/>
    <w:rsid w:val="005B373F"/>
    <w:rsid w:val="005B4049"/>
    <w:rsid w:val="005B41D2"/>
    <w:rsid w:val="005B43FE"/>
    <w:rsid w:val="005B4AA6"/>
    <w:rsid w:val="005B4BC3"/>
    <w:rsid w:val="005B5336"/>
    <w:rsid w:val="005B6B9E"/>
    <w:rsid w:val="005B6F12"/>
    <w:rsid w:val="005B7215"/>
    <w:rsid w:val="005B7515"/>
    <w:rsid w:val="005B7A2F"/>
    <w:rsid w:val="005C0D43"/>
    <w:rsid w:val="005C1E33"/>
    <w:rsid w:val="005C1FFD"/>
    <w:rsid w:val="005C266E"/>
    <w:rsid w:val="005C39A3"/>
    <w:rsid w:val="005C3C95"/>
    <w:rsid w:val="005C3CCE"/>
    <w:rsid w:val="005C4308"/>
    <w:rsid w:val="005C4C81"/>
    <w:rsid w:val="005C5026"/>
    <w:rsid w:val="005C51A7"/>
    <w:rsid w:val="005C5A22"/>
    <w:rsid w:val="005C5B5C"/>
    <w:rsid w:val="005C6D84"/>
    <w:rsid w:val="005D064A"/>
    <w:rsid w:val="005D1CE8"/>
    <w:rsid w:val="005D29B5"/>
    <w:rsid w:val="005D3445"/>
    <w:rsid w:val="005D37F7"/>
    <w:rsid w:val="005D3807"/>
    <w:rsid w:val="005D3A4B"/>
    <w:rsid w:val="005D474D"/>
    <w:rsid w:val="005D552E"/>
    <w:rsid w:val="005D5C5D"/>
    <w:rsid w:val="005D7512"/>
    <w:rsid w:val="005D7F00"/>
    <w:rsid w:val="005E0385"/>
    <w:rsid w:val="005E06A4"/>
    <w:rsid w:val="005E1BC6"/>
    <w:rsid w:val="005E1CF3"/>
    <w:rsid w:val="005E1F70"/>
    <w:rsid w:val="005E23E2"/>
    <w:rsid w:val="005E2E0F"/>
    <w:rsid w:val="005E2F44"/>
    <w:rsid w:val="005E3788"/>
    <w:rsid w:val="005E4F20"/>
    <w:rsid w:val="005E605B"/>
    <w:rsid w:val="005E67FC"/>
    <w:rsid w:val="005E72D5"/>
    <w:rsid w:val="005E7572"/>
    <w:rsid w:val="005E7A0B"/>
    <w:rsid w:val="005F0348"/>
    <w:rsid w:val="005F0C78"/>
    <w:rsid w:val="005F1050"/>
    <w:rsid w:val="005F137C"/>
    <w:rsid w:val="005F3431"/>
    <w:rsid w:val="005F4AB3"/>
    <w:rsid w:val="005F4BF5"/>
    <w:rsid w:val="005F5C6D"/>
    <w:rsid w:val="006007CC"/>
    <w:rsid w:val="00600FA4"/>
    <w:rsid w:val="00601496"/>
    <w:rsid w:val="0060197B"/>
    <w:rsid w:val="00601E1F"/>
    <w:rsid w:val="00601FCA"/>
    <w:rsid w:val="006028B1"/>
    <w:rsid w:val="00602A32"/>
    <w:rsid w:val="006030AA"/>
    <w:rsid w:val="00603215"/>
    <w:rsid w:val="00603999"/>
    <w:rsid w:val="00603BDE"/>
    <w:rsid w:val="006044E9"/>
    <w:rsid w:val="00604737"/>
    <w:rsid w:val="00610C94"/>
    <w:rsid w:val="00611379"/>
    <w:rsid w:val="00611D58"/>
    <w:rsid w:val="00612142"/>
    <w:rsid w:val="00612BDB"/>
    <w:rsid w:val="00612ED3"/>
    <w:rsid w:val="00613073"/>
    <w:rsid w:val="006133BD"/>
    <w:rsid w:val="006134DB"/>
    <w:rsid w:val="006135E8"/>
    <w:rsid w:val="00613F45"/>
    <w:rsid w:val="0061564E"/>
    <w:rsid w:val="00616C91"/>
    <w:rsid w:val="00616F60"/>
    <w:rsid w:val="00617024"/>
    <w:rsid w:val="00617066"/>
    <w:rsid w:val="006178DB"/>
    <w:rsid w:val="006179AB"/>
    <w:rsid w:val="00620CBF"/>
    <w:rsid w:val="00620E47"/>
    <w:rsid w:val="0062127B"/>
    <w:rsid w:val="00621771"/>
    <w:rsid w:val="006219B0"/>
    <w:rsid w:val="00622002"/>
    <w:rsid w:val="006220A1"/>
    <w:rsid w:val="006231D1"/>
    <w:rsid w:val="00623F97"/>
    <w:rsid w:val="00624730"/>
    <w:rsid w:val="00624D8F"/>
    <w:rsid w:val="0062567A"/>
    <w:rsid w:val="0062792C"/>
    <w:rsid w:val="00632406"/>
    <w:rsid w:val="006334A8"/>
    <w:rsid w:val="00633633"/>
    <w:rsid w:val="00633AB3"/>
    <w:rsid w:val="006360B1"/>
    <w:rsid w:val="006362A0"/>
    <w:rsid w:val="0063656E"/>
    <w:rsid w:val="006367B1"/>
    <w:rsid w:val="0063788B"/>
    <w:rsid w:val="006404C9"/>
    <w:rsid w:val="0064055D"/>
    <w:rsid w:val="00640B75"/>
    <w:rsid w:val="006426C6"/>
    <w:rsid w:val="00642D57"/>
    <w:rsid w:val="0064395A"/>
    <w:rsid w:val="00646512"/>
    <w:rsid w:val="00646829"/>
    <w:rsid w:val="00647622"/>
    <w:rsid w:val="0065089D"/>
    <w:rsid w:val="00650BA6"/>
    <w:rsid w:val="00651C73"/>
    <w:rsid w:val="00651D31"/>
    <w:rsid w:val="00652478"/>
    <w:rsid w:val="006524A2"/>
    <w:rsid w:val="006524BE"/>
    <w:rsid w:val="00652A5C"/>
    <w:rsid w:val="006533F8"/>
    <w:rsid w:val="006537D0"/>
    <w:rsid w:val="0065455F"/>
    <w:rsid w:val="00655360"/>
    <w:rsid w:val="00655371"/>
    <w:rsid w:val="00655569"/>
    <w:rsid w:val="00656388"/>
    <w:rsid w:val="006563C3"/>
    <w:rsid w:val="00657151"/>
    <w:rsid w:val="00661024"/>
    <w:rsid w:val="006616CE"/>
    <w:rsid w:val="006625BC"/>
    <w:rsid w:val="00663A05"/>
    <w:rsid w:val="006645BF"/>
    <w:rsid w:val="006652E9"/>
    <w:rsid w:val="0066584D"/>
    <w:rsid w:val="00665A16"/>
    <w:rsid w:val="00665E49"/>
    <w:rsid w:val="00666AF7"/>
    <w:rsid w:val="006670F5"/>
    <w:rsid w:val="006674C1"/>
    <w:rsid w:val="00667B7F"/>
    <w:rsid w:val="00667EBB"/>
    <w:rsid w:val="0067040F"/>
    <w:rsid w:val="00670B1B"/>
    <w:rsid w:val="006716ED"/>
    <w:rsid w:val="006729E6"/>
    <w:rsid w:val="00672A0B"/>
    <w:rsid w:val="00672B53"/>
    <w:rsid w:val="00672EEC"/>
    <w:rsid w:val="0067317F"/>
    <w:rsid w:val="00673789"/>
    <w:rsid w:val="0067388D"/>
    <w:rsid w:val="00673AB7"/>
    <w:rsid w:val="00673AB9"/>
    <w:rsid w:val="00674512"/>
    <w:rsid w:val="00675933"/>
    <w:rsid w:val="00676340"/>
    <w:rsid w:val="00681A07"/>
    <w:rsid w:val="00682D0A"/>
    <w:rsid w:val="00683085"/>
    <w:rsid w:val="0068338B"/>
    <w:rsid w:val="00683404"/>
    <w:rsid w:val="006837E9"/>
    <w:rsid w:val="00683D48"/>
    <w:rsid w:val="00686E92"/>
    <w:rsid w:val="006914D0"/>
    <w:rsid w:val="0069158F"/>
    <w:rsid w:val="006916C0"/>
    <w:rsid w:val="00691C58"/>
    <w:rsid w:val="0069232F"/>
    <w:rsid w:val="00692BB0"/>
    <w:rsid w:val="00693CC2"/>
    <w:rsid w:val="00694B76"/>
    <w:rsid w:val="00695E74"/>
    <w:rsid w:val="0069678A"/>
    <w:rsid w:val="00696932"/>
    <w:rsid w:val="00697665"/>
    <w:rsid w:val="00697D73"/>
    <w:rsid w:val="006A00B7"/>
    <w:rsid w:val="006A049D"/>
    <w:rsid w:val="006A0BF9"/>
    <w:rsid w:val="006A11F5"/>
    <w:rsid w:val="006A12F4"/>
    <w:rsid w:val="006A1757"/>
    <w:rsid w:val="006A1A12"/>
    <w:rsid w:val="006A2013"/>
    <w:rsid w:val="006A2F2D"/>
    <w:rsid w:val="006A3206"/>
    <w:rsid w:val="006A3CD1"/>
    <w:rsid w:val="006A3CF2"/>
    <w:rsid w:val="006A454C"/>
    <w:rsid w:val="006A5273"/>
    <w:rsid w:val="006A58B8"/>
    <w:rsid w:val="006A64A9"/>
    <w:rsid w:val="006A7A49"/>
    <w:rsid w:val="006A7FD0"/>
    <w:rsid w:val="006B161A"/>
    <w:rsid w:val="006B2195"/>
    <w:rsid w:val="006B34D7"/>
    <w:rsid w:val="006B4C1B"/>
    <w:rsid w:val="006B5004"/>
    <w:rsid w:val="006B5571"/>
    <w:rsid w:val="006B55C5"/>
    <w:rsid w:val="006B7576"/>
    <w:rsid w:val="006C0662"/>
    <w:rsid w:val="006C084F"/>
    <w:rsid w:val="006C0B38"/>
    <w:rsid w:val="006C14D1"/>
    <w:rsid w:val="006C2EB8"/>
    <w:rsid w:val="006C37B3"/>
    <w:rsid w:val="006C41CF"/>
    <w:rsid w:val="006C453C"/>
    <w:rsid w:val="006C4F96"/>
    <w:rsid w:val="006C5A51"/>
    <w:rsid w:val="006C627E"/>
    <w:rsid w:val="006C68E5"/>
    <w:rsid w:val="006C6A3B"/>
    <w:rsid w:val="006C6E36"/>
    <w:rsid w:val="006C7E2B"/>
    <w:rsid w:val="006D0734"/>
    <w:rsid w:val="006D09F8"/>
    <w:rsid w:val="006D18A5"/>
    <w:rsid w:val="006D23BA"/>
    <w:rsid w:val="006D2CB8"/>
    <w:rsid w:val="006D2CF6"/>
    <w:rsid w:val="006D40DC"/>
    <w:rsid w:val="006D4498"/>
    <w:rsid w:val="006D44E6"/>
    <w:rsid w:val="006D4EC2"/>
    <w:rsid w:val="006D4F07"/>
    <w:rsid w:val="006D5176"/>
    <w:rsid w:val="006D5415"/>
    <w:rsid w:val="006D5EA2"/>
    <w:rsid w:val="006D717D"/>
    <w:rsid w:val="006D7687"/>
    <w:rsid w:val="006E0385"/>
    <w:rsid w:val="006E0572"/>
    <w:rsid w:val="006E0C98"/>
    <w:rsid w:val="006E0F9F"/>
    <w:rsid w:val="006E1324"/>
    <w:rsid w:val="006E140D"/>
    <w:rsid w:val="006E1CCF"/>
    <w:rsid w:val="006E28FE"/>
    <w:rsid w:val="006E2F8F"/>
    <w:rsid w:val="006E34D5"/>
    <w:rsid w:val="006E4F08"/>
    <w:rsid w:val="006E6202"/>
    <w:rsid w:val="006E6B65"/>
    <w:rsid w:val="006E6D63"/>
    <w:rsid w:val="006E6E42"/>
    <w:rsid w:val="006E74A5"/>
    <w:rsid w:val="006F0E22"/>
    <w:rsid w:val="006F2EC7"/>
    <w:rsid w:val="006F2F30"/>
    <w:rsid w:val="006F3DAA"/>
    <w:rsid w:val="006F514F"/>
    <w:rsid w:val="006F5461"/>
    <w:rsid w:val="006F70A0"/>
    <w:rsid w:val="00700377"/>
    <w:rsid w:val="007008A4"/>
    <w:rsid w:val="00700E8E"/>
    <w:rsid w:val="007018AF"/>
    <w:rsid w:val="00701D9E"/>
    <w:rsid w:val="00701E35"/>
    <w:rsid w:val="007020A1"/>
    <w:rsid w:val="00702115"/>
    <w:rsid w:val="007029A4"/>
    <w:rsid w:val="00703E2C"/>
    <w:rsid w:val="00705631"/>
    <w:rsid w:val="00705FE1"/>
    <w:rsid w:val="00706399"/>
    <w:rsid w:val="007067D9"/>
    <w:rsid w:val="00707D87"/>
    <w:rsid w:val="00707EFD"/>
    <w:rsid w:val="00707FF5"/>
    <w:rsid w:val="00711266"/>
    <w:rsid w:val="00711A50"/>
    <w:rsid w:val="007125A7"/>
    <w:rsid w:val="007130EA"/>
    <w:rsid w:val="00713DE5"/>
    <w:rsid w:val="00713FA0"/>
    <w:rsid w:val="00714254"/>
    <w:rsid w:val="00714718"/>
    <w:rsid w:val="007147D2"/>
    <w:rsid w:val="00714833"/>
    <w:rsid w:val="00714C43"/>
    <w:rsid w:val="00715929"/>
    <w:rsid w:val="0071654A"/>
    <w:rsid w:val="007173EA"/>
    <w:rsid w:val="00717A45"/>
    <w:rsid w:val="00717D15"/>
    <w:rsid w:val="0072005B"/>
    <w:rsid w:val="00720966"/>
    <w:rsid w:val="007210EC"/>
    <w:rsid w:val="0072127D"/>
    <w:rsid w:val="007229B0"/>
    <w:rsid w:val="00723351"/>
    <w:rsid w:val="00724809"/>
    <w:rsid w:val="007252B4"/>
    <w:rsid w:val="00725AC2"/>
    <w:rsid w:val="00726279"/>
    <w:rsid w:val="00726DBE"/>
    <w:rsid w:val="00727EAE"/>
    <w:rsid w:val="00727FB6"/>
    <w:rsid w:val="007300F3"/>
    <w:rsid w:val="007303E0"/>
    <w:rsid w:val="00730AB8"/>
    <w:rsid w:val="00734D43"/>
    <w:rsid w:val="007357B0"/>
    <w:rsid w:val="00735A39"/>
    <w:rsid w:val="00736FC1"/>
    <w:rsid w:val="007372C3"/>
    <w:rsid w:val="007404BC"/>
    <w:rsid w:val="00741FC4"/>
    <w:rsid w:val="0074287A"/>
    <w:rsid w:val="00742DD2"/>
    <w:rsid w:val="00744115"/>
    <w:rsid w:val="00744B26"/>
    <w:rsid w:val="00744E7F"/>
    <w:rsid w:val="00745879"/>
    <w:rsid w:val="00745950"/>
    <w:rsid w:val="007464C8"/>
    <w:rsid w:val="00746A77"/>
    <w:rsid w:val="00746D17"/>
    <w:rsid w:val="0074728F"/>
    <w:rsid w:val="00747873"/>
    <w:rsid w:val="00747E9B"/>
    <w:rsid w:val="007506F2"/>
    <w:rsid w:val="00751EE7"/>
    <w:rsid w:val="00752568"/>
    <w:rsid w:val="00752CB1"/>
    <w:rsid w:val="007539E1"/>
    <w:rsid w:val="0075455D"/>
    <w:rsid w:val="00754621"/>
    <w:rsid w:val="0075582E"/>
    <w:rsid w:val="0075647A"/>
    <w:rsid w:val="00756E36"/>
    <w:rsid w:val="007573C1"/>
    <w:rsid w:val="007574E5"/>
    <w:rsid w:val="007605B5"/>
    <w:rsid w:val="00760612"/>
    <w:rsid w:val="007611DB"/>
    <w:rsid w:val="007634AD"/>
    <w:rsid w:val="00763BF0"/>
    <w:rsid w:val="00764CD2"/>
    <w:rsid w:val="0076566F"/>
    <w:rsid w:val="007656E6"/>
    <w:rsid w:val="00765BE2"/>
    <w:rsid w:val="007673F0"/>
    <w:rsid w:val="0076744F"/>
    <w:rsid w:val="00767455"/>
    <w:rsid w:val="007679AF"/>
    <w:rsid w:val="00767DCC"/>
    <w:rsid w:val="007701D9"/>
    <w:rsid w:val="00772C6C"/>
    <w:rsid w:val="00772D54"/>
    <w:rsid w:val="007741D9"/>
    <w:rsid w:val="007743B6"/>
    <w:rsid w:val="007748F6"/>
    <w:rsid w:val="00774A8C"/>
    <w:rsid w:val="007750BB"/>
    <w:rsid w:val="00775779"/>
    <w:rsid w:val="00776ED5"/>
    <w:rsid w:val="007805D0"/>
    <w:rsid w:val="007809E9"/>
    <w:rsid w:val="00780D84"/>
    <w:rsid w:val="0078122E"/>
    <w:rsid w:val="0078165F"/>
    <w:rsid w:val="00782024"/>
    <w:rsid w:val="007828DB"/>
    <w:rsid w:val="00782DC1"/>
    <w:rsid w:val="007831EF"/>
    <w:rsid w:val="00783506"/>
    <w:rsid w:val="0078442B"/>
    <w:rsid w:val="00784AB3"/>
    <w:rsid w:val="00784E6C"/>
    <w:rsid w:val="007853BD"/>
    <w:rsid w:val="00785467"/>
    <w:rsid w:val="00785A12"/>
    <w:rsid w:val="00785E18"/>
    <w:rsid w:val="0078614D"/>
    <w:rsid w:val="00787B6F"/>
    <w:rsid w:val="00791C0F"/>
    <w:rsid w:val="007924DC"/>
    <w:rsid w:val="0079261A"/>
    <w:rsid w:val="00793845"/>
    <w:rsid w:val="00793FA2"/>
    <w:rsid w:val="0079520D"/>
    <w:rsid w:val="007966FB"/>
    <w:rsid w:val="0079697F"/>
    <w:rsid w:val="00796BD1"/>
    <w:rsid w:val="00796EC8"/>
    <w:rsid w:val="00797DF7"/>
    <w:rsid w:val="007A0D0E"/>
    <w:rsid w:val="007A1418"/>
    <w:rsid w:val="007A166F"/>
    <w:rsid w:val="007A1BB6"/>
    <w:rsid w:val="007A490A"/>
    <w:rsid w:val="007A4C5A"/>
    <w:rsid w:val="007A615D"/>
    <w:rsid w:val="007A6DA5"/>
    <w:rsid w:val="007A7F82"/>
    <w:rsid w:val="007B0724"/>
    <w:rsid w:val="007B0854"/>
    <w:rsid w:val="007B0F2D"/>
    <w:rsid w:val="007B0F58"/>
    <w:rsid w:val="007B16E2"/>
    <w:rsid w:val="007B234F"/>
    <w:rsid w:val="007B24B5"/>
    <w:rsid w:val="007B44DA"/>
    <w:rsid w:val="007B5F82"/>
    <w:rsid w:val="007B6218"/>
    <w:rsid w:val="007B6351"/>
    <w:rsid w:val="007B78B9"/>
    <w:rsid w:val="007C0326"/>
    <w:rsid w:val="007C0A36"/>
    <w:rsid w:val="007C19C1"/>
    <w:rsid w:val="007C2221"/>
    <w:rsid w:val="007C36EC"/>
    <w:rsid w:val="007C3946"/>
    <w:rsid w:val="007C60A9"/>
    <w:rsid w:val="007C6117"/>
    <w:rsid w:val="007C6410"/>
    <w:rsid w:val="007C672F"/>
    <w:rsid w:val="007C7077"/>
    <w:rsid w:val="007C7370"/>
    <w:rsid w:val="007C7638"/>
    <w:rsid w:val="007C7F04"/>
    <w:rsid w:val="007D0305"/>
    <w:rsid w:val="007D0F47"/>
    <w:rsid w:val="007D1727"/>
    <w:rsid w:val="007D1AD1"/>
    <w:rsid w:val="007D1B47"/>
    <w:rsid w:val="007D1FD8"/>
    <w:rsid w:val="007D28C9"/>
    <w:rsid w:val="007D3103"/>
    <w:rsid w:val="007D40E2"/>
    <w:rsid w:val="007D4CA6"/>
    <w:rsid w:val="007D58E1"/>
    <w:rsid w:val="007D5E0B"/>
    <w:rsid w:val="007D65D4"/>
    <w:rsid w:val="007D71A4"/>
    <w:rsid w:val="007E01FC"/>
    <w:rsid w:val="007E03C8"/>
    <w:rsid w:val="007E044F"/>
    <w:rsid w:val="007E1384"/>
    <w:rsid w:val="007E38F5"/>
    <w:rsid w:val="007E4585"/>
    <w:rsid w:val="007E536A"/>
    <w:rsid w:val="007E56BA"/>
    <w:rsid w:val="007E5B03"/>
    <w:rsid w:val="007E6035"/>
    <w:rsid w:val="007E750C"/>
    <w:rsid w:val="007F047F"/>
    <w:rsid w:val="007F0D40"/>
    <w:rsid w:val="007F1322"/>
    <w:rsid w:val="007F168F"/>
    <w:rsid w:val="007F25AB"/>
    <w:rsid w:val="007F2AC3"/>
    <w:rsid w:val="007F3452"/>
    <w:rsid w:val="007F367B"/>
    <w:rsid w:val="007F3F7B"/>
    <w:rsid w:val="007F4347"/>
    <w:rsid w:val="007F5F3B"/>
    <w:rsid w:val="007F723E"/>
    <w:rsid w:val="007F72CB"/>
    <w:rsid w:val="00800175"/>
    <w:rsid w:val="00802A13"/>
    <w:rsid w:val="00802D30"/>
    <w:rsid w:val="0080423D"/>
    <w:rsid w:val="00804C29"/>
    <w:rsid w:val="00804CE6"/>
    <w:rsid w:val="00804EB1"/>
    <w:rsid w:val="0080594C"/>
    <w:rsid w:val="008101D2"/>
    <w:rsid w:val="00810C11"/>
    <w:rsid w:val="00810CB8"/>
    <w:rsid w:val="008111B0"/>
    <w:rsid w:val="00811ED3"/>
    <w:rsid w:val="008125CD"/>
    <w:rsid w:val="0081348A"/>
    <w:rsid w:val="00813504"/>
    <w:rsid w:val="00815027"/>
    <w:rsid w:val="008159D3"/>
    <w:rsid w:val="00816191"/>
    <w:rsid w:val="00816302"/>
    <w:rsid w:val="0081643A"/>
    <w:rsid w:val="00816A51"/>
    <w:rsid w:val="00817931"/>
    <w:rsid w:val="00817A26"/>
    <w:rsid w:val="00817CA8"/>
    <w:rsid w:val="00817DDD"/>
    <w:rsid w:val="0082251D"/>
    <w:rsid w:val="00822D58"/>
    <w:rsid w:val="00822F0F"/>
    <w:rsid w:val="008232F1"/>
    <w:rsid w:val="00824AA3"/>
    <w:rsid w:val="00824D50"/>
    <w:rsid w:val="008259B9"/>
    <w:rsid w:val="00826A9D"/>
    <w:rsid w:val="008303BC"/>
    <w:rsid w:val="0083119B"/>
    <w:rsid w:val="00831238"/>
    <w:rsid w:val="0083133A"/>
    <w:rsid w:val="008313DB"/>
    <w:rsid w:val="008334FC"/>
    <w:rsid w:val="008339C5"/>
    <w:rsid w:val="008344BC"/>
    <w:rsid w:val="00834864"/>
    <w:rsid w:val="008349A7"/>
    <w:rsid w:val="00834EAB"/>
    <w:rsid w:val="00835417"/>
    <w:rsid w:val="008366AF"/>
    <w:rsid w:val="00836793"/>
    <w:rsid w:val="00836AFB"/>
    <w:rsid w:val="00836EAB"/>
    <w:rsid w:val="0083716D"/>
    <w:rsid w:val="008409BE"/>
    <w:rsid w:val="00840B58"/>
    <w:rsid w:val="00841280"/>
    <w:rsid w:val="0084152B"/>
    <w:rsid w:val="00841639"/>
    <w:rsid w:val="00841E0B"/>
    <w:rsid w:val="00842535"/>
    <w:rsid w:val="00842A9F"/>
    <w:rsid w:val="00842F23"/>
    <w:rsid w:val="00843449"/>
    <w:rsid w:val="00843BC4"/>
    <w:rsid w:val="00843E6C"/>
    <w:rsid w:val="00843F7A"/>
    <w:rsid w:val="00844326"/>
    <w:rsid w:val="0084483F"/>
    <w:rsid w:val="00845303"/>
    <w:rsid w:val="00846F5C"/>
    <w:rsid w:val="0084737E"/>
    <w:rsid w:val="00847B6B"/>
    <w:rsid w:val="00847DD7"/>
    <w:rsid w:val="0085092D"/>
    <w:rsid w:val="008509DD"/>
    <w:rsid w:val="00850DF5"/>
    <w:rsid w:val="0085128C"/>
    <w:rsid w:val="00852018"/>
    <w:rsid w:val="008524B4"/>
    <w:rsid w:val="0085264F"/>
    <w:rsid w:val="00852BB0"/>
    <w:rsid w:val="00852E12"/>
    <w:rsid w:val="00852F5E"/>
    <w:rsid w:val="008534E9"/>
    <w:rsid w:val="00853776"/>
    <w:rsid w:val="008541AC"/>
    <w:rsid w:val="00854DBB"/>
    <w:rsid w:val="00856468"/>
    <w:rsid w:val="00856B57"/>
    <w:rsid w:val="008572B5"/>
    <w:rsid w:val="00857F63"/>
    <w:rsid w:val="00860189"/>
    <w:rsid w:val="008601EE"/>
    <w:rsid w:val="00860B10"/>
    <w:rsid w:val="00860C12"/>
    <w:rsid w:val="008610DF"/>
    <w:rsid w:val="008612BF"/>
    <w:rsid w:val="00861408"/>
    <w:rsid w:val="008617E0"/>
    <w:rsid w:val="00861F65"/>
    <w:rsid w:val="00862B2A"/>
    <w:rsid w:val="00862D58"/>
    <w:rsid w:val="0086356F"/>
    <w:rsid w:val="00863C35"/>
    <w:rsid w:val="00865014"/>
    <w:rsid w:val="00865967"/>
    <w:rsid w:val="00865EEA"/>
    <w:rsid w:val="008700C1"/>
    <w:rsid w:val="008705C2"/>
    <w:rsid w:val="008705DE"/>
    <w:rsid w:val="00871295"/>
    <w:rsid w:val="0087249D"/>
    <w:rsid w:val="00873BCF"/>
    <w:rsid w:val="00874A6C"/>
    <w:rsid w:val="00876B9A"/>
    <w:rsid w:val="00877366"/>
    <w:rsid w:val="0087745C"/>
    <w:rsid w:val="00877FC5"/>
    <w:rsid w:val="00880626"/>
    <w:rsid w:val="00881690"/>
    <w:rsid w:val="00881742"/>
    <w:rsid w:val="008817ED"/>
    <w:rsid w:val="0088243F"/>
    <w:rsid w:val="00882EA0"/>
    <w:rsid w:val="00883662"/>
    <w:rsid w:val="00883715"/>
    <w:rsid w:val="00883F4C"/>
    <w:rsid w:val="0088457C"/>
    <w:rsid w:val="00885287"/>
    <w:rsid w:val="00885AA7"/>
    <w:rsid w:val="00886201"/>
    <w:rsid w:val="00886A5B"/>
    <w:rsid w:val="008871CF"/>
    <w:rsid w:val="00887B15"/>
    <w:rsid w:val="00890549"/>
    <w:rsid w:val="00890882"/>
    <w:rsid w:val="00890A8B"/>
    <w:rsid w:val="008927A8"/>
    <w:rsid w:val="00893165"/>
    <w:rsid w:val="00893180"/>
    <w:rsid w:val="00893C06"/>
    <w:rsid w:val="00894D34"/>
    <w:rsid w:val="00895AA2"/>
    <w:rsid w:val="00896174"/>
    <w:rsid w:val="008967AF"/>
    <w:rsid w:val="00896A1B"/>
    <w:rsid w:val="00897ED9"/>
    <w:rsid w:val="008A0425"/>
    <w:rsid w:val="008A0A11"/>
    <w:rsid w:val="008A0B2C"/>
    <w:rsid w:val="008A0CCC"/>
    <w:rsid w:val="008A1966"/>
    <w:rsid w:val="008A257A"/>
    <w:rsid w:val="008A2F81"/>
    <w:rsid w:val="008A3228"/>
    <w:rsid w:val="008A41E2"/>
    <w:rsid w:val="008A46C3"/>
    <w:rsid w:val="008A53F7"/>
    <w:rsid w:val="008A54C1"/>
    <w:rsid w:val="008A575E"/>
    <w:rsid w:val="008A6443"/>
    <w:rsid w:val="008A69BA"/>
    <w:rsid w:val="008A7AAC"/>
    <w:rsid w:val="008A7DFA"/>
    <w:rsid w:val="008B1A31"/>
    <w:rsid w:val="008B250F"/>
    <w:rsid w:val="008B3299"/>
    <w:rsid w:val="008B3EAF"/>
    <w:rsid w:val="008B4490"/>
    <w:rsid w:val="008C0AF6"/>
    <w:rsid w:val="008C0ED3"/>
    <w:rsid w:val="008C26E3"/>
    <w:rsid w:val="008C2BFB"/>
    <w:rsid w:val="008C41C5"/>
    <w:rsid w:val="008C4353"/>
    <w:rsid w:val="008C596E"/>
    <w:rsid w:val="008C6600"/>
    <w:rsid w:val="008C6B51"/>
    <w:rsid w:val="008C710C"/>
    <w:rsid w:val="008D1B84"/>
    <w:rsid w:val="008D2B54"/>
    <w:rsid w:val="008D3FBB"/>
    <w:rsid w:val="008D4085"/>
    <w:rsid w:val="008D4225"/>
    <w:rsid w:val="008D4533"/>
    <w:rsid w:val="008D4B97"/>
    <w:rsid w:val="008D4C63"/>
    <w:rsid w:val="008D4E21"/>
    <w:rsid w:val="008D5A74"/>
    <w:rsid w:val="008D5F00"/>
    <w:rsid w:val="008D71C9"/>
    <w:rsid w:val="008D76C2"/>
    <w:rsid w:val="008D776A"/>
    <w:rsid w:val="008E0A7E"/>
    <w:rsid w:val="008E197B"/>
    <w:rsid w:val="008E1C15"/>
    <w:rsid w:val="008E3219"/>
    <w:rsid w:val="008E425D"/>
    <w:rsid w:val="008E5380"/>
    <w:rsid w:val="008E55D9"/>
    <w:rsid w:val="008E5D4B"/>
    <w:rsid w:val="008E5EBF"/>
    <w:rsid w:val="008E6F70"/>
    <w:rsid w:val="008E7715"/>
    <w:rsid w:val="008E7D23"/>
    <w:rsid w:val="008F0394"/>
    <w:rsid w:val="008F14CC"/>
    <w:rsid w:val="008F1D84"/>
    <w:rsid w:val="008F1E25"/>
    <w:rsid w:val="008F2734"/>
    <w:rsid w:val="008F30C9"/>
    <w:rsid w:val="008F35B7"/>
    <w:rsid w:val="008F39BD"/>
    <w:rsid w:val="008F4123"/>
    <w:rsid w:val="008F489B"/>
    <w:rsid w:val="008F5C25"/>
    <w:rsid w:val="008F646E"/>
    <w:rsid w:val="008F6E4A"/>
    <w:rsid w:val="008F71EB"/>
    <w:rsid w:val="008F7353"/>
    <w:rsid w:val="008F7ABD"/>
    <w:rsid w:val="00900239"/>
    <w:rsid w:val="00900DDB"/>
    <w:rsid w:val="0090136A"/>
    <w:rsid w:val="00901CD9"/>
    <w:rsid w:val="00902199"/>
    <w:rsid w:val="009030CB"/>
    <w:rsid w:val="00903CAD"/>
    <w:rsid w:val="009047C5"/>
    <w:rsid w:val="00904CD9"/>
    <w:rsid w:val="00905603"/>
    <w:rsid w:val="00906322"/>
    <w:rsid w:val="009063A9"/>
    <w:rsid w:val="009064C4"/>
    <w:rsid w:val="009066C0"/>
    <w:rsid w:val="009071F2"/>
    <w:rsid w:val="0090765B"/>
    <w:rsid w:val="00907A73"/>
    <w:rsid w:val="00907E9D"/>
    <w:rsid w:val="009106BD"/>
    <w:rsid w:val="0091085E"/>
    <w:rsid w:val="00910B86"/>
    <w:rsid w:val="009110E3"/>
    <w:rsid w:val="0091237C"/>
    <w:rsid w:val="00914F02"/>
    <w:rsid w:val="00915E71"/>
    <w:rsid w:val="0091678A"/>
    <w:rsid w:val="00916A72"/>
    <w:rsid w:val="00916C89"/>
    <w:rsid w:val="0091746C"/>
    <w:rsid w:val="00917585"/>
    <w:rsid w:val="009176F3"/>
    <w:rsid w:val="00917700"/>
    <w:rsid w:val="00920F53"/>
    <w:rsid w:val="0092110B"/>
    <w:rsid w:val="009213FA"/>
    <w:rsid w:val="00921659"/>
    <w:rsid w:val="009217EE"/>
    <w:rsid w:val="00921A66"/>
    <w:rsid w:val="00921CF3"/>
    <w:rsid w:val="00923DC9"/>
    <w:rsid w:val="00924541"/>
    <w:rsid w:val="0092462A"/>
    <w:rsid w:val="0092465E"/>
    <w:rsid w:val="0092478E"/>
    <w:rsid w:val="00924928"/>
    <w:rsid w:val="00924A84"/>
    <w:rsid w:val="00924C21"/>
    <w:rsid w:val="0092603A"/>
    <w:rsid w:val="009278F1"/>
    <w:rsid w:val="00930831"/>
    <w:rsid w:val="00931364"/>
    <w:rsid w:val="0093167B"/>
    <w:rsid w:val="0093193A"/>
    <w:rsid w:val="00931B7E"/>
    <w:rsid w:val="00932FBD"/>
    <w:rsid w:val="009339B8"/>
    <w:rsid w:val="00933F8F"/>
    <w:rsid w:val="0093633E"/>
    <w:rsid w:val="00936B09"/>
    <w:rsid w:val="00937348"/>
    <w:rsid w:val="00937362"/>
    <w:rsid w:val="00937BFF"/>
    <w:rsid w:val="00937C4F"/>
    <w:rsid w:val="00937E01"/>
    <w:rsid w:val="00937E58"/>
    <w:rsid w:val="00940531"/>
    <w:rsid w:val="0094059F"/>
    <w:rsid w:val="00940714"/>
    <w:rsid w:val="009409CA"/>
    <w:rsid w:val="009418E8"/>
    <w:rsid w:val="009424CF"/>
    <w:rsid w:val="00942B12"/>
    <w:rsid w:val="00942D7C"/>
    <w:rsid w:val="00944342"/>
    <w:rsid w:val="00944CF7"/>
    <w:rsid w:val="00944EA4"/>
    <w:rsid w:val="00945AD3"/>
    <w:rsid w:val="00946218"/>
    <w:rsid w:val="009465F7"/>
    <w:rsid w:val="00946737"/>
    <w:rsid w:val="00946C75"/>
    <w:rsid w:val="00946CFA"/>
    <w:rsid w:val="00947536"/>
    <w:rsid w:val="00947D1F"/>
    <w:rsid w:val="00947D28"/>
    <w:rsid w:val="00947EF5"/>
    <w:rsid w:val="00950258"/>
    <w:rsid w:val="00951364"/>
    <w:rsid w:val="009519B0"/>
    <w:rsid w:val="009521FC"/>
    <w:rsid w:val="00952E20"/>
    <w:rsid w:val="0095385A"/>
    <w:rsid w:val="00953A90"/>
    <w:rsid w:val="00954ABD"/>
    <w:rsid w:val="00955CAC"/>
    <w:rsid w:val="00955E10"/>
    <w:rsid w:val="0095681F"/>
    <w:rsid w:val="009568DA"/>
    <w:rsid w:val="00956C80"/>
    <w:rsid w:val="00956E82"/>
    <w:rsid w:val="009604AE"/>
    <w:rsid w:val="00960A8B"/>
    <w:rsid w:val="00961FA1"/>
    <w:rsid w:val="00962034"/>
    <w:rsid w:val="00962A37"/>
    <w:rsid w:val="00964418"/>
    <w:rsid w:val="00964C6F"/>
    <w:rsid w:val="00965849"/>
    <w:rsid w:val="00967FE3"/>
    <w:rsid w:val="00970217"/>
    <w:rsid w:val="00971941"/>
    <w:rsid w:val="00971A67"/>
    <w:rsid w:val="009728CB"/>
    <w:rsid w:val="00972B69"/>
    <w:rsid w:val="009738F8"/>
    <w:rsid w:val="00973D6C"/>
    <w:rsid w:val="00973F55"/>
    <w:rsid w:val="00975490"/>
    <w:rsid w:val="00975D1B"/>
    <w:rsid w:val="00976CC3"/>
    <w:rsid w:val="00977088"/>
    <w:rsid w:val="0098054E"/>
    <w:rsid w:val="00980A92"/>
    <w:rsid w:val="00981B5D"/>
    <w:rsid w:val="00982489"/>
    <w:rsid w:val="00984DFB"/>
    <w:rsid w:val="009859D0"/>
    <w:rsid w:val="009866C8"/>
    <w:rsid w:val="009874B4"/>
    <w:rsid w:val="00987787"/>
    <w:rsid w:val="00987DBA"/>
    <w:rsid w:val="00987F32"/>
    <w:rsid w:val="00990612"/>
    <w:rsid w:val="00990A26"/>
    <w:rsid w:val="00990A2F"/>
    <w:rsid w:val="0099113C"/>
    <w:rsid w:val="0099114C"/>
    <w:rsid w:val="0099165C"/>
    <w:rsid w:val="00995007"/>
    <w:rsid w:val="0099549D"/>
    <w:rsid w:val="00995CA3"/>
    <w:rsid w:val="009966E7"/>
    <w:rsid w:val="00996D56"/>
    <w:rsid w:val="009A0B76"/>
    <w:rsid w:val="009A1A89"/>
    <w:rsid w:val="009A1A94"/>
    <w:rsid w:val="009A1B74"/>
    <w:rsid w:val="009A1C15"/>
    <w:rsid w:val="009A353C"/>
    <w:rsid w:val="009A3AEB"/>
    <w:rsid w:val="009A4864"/>
    <w:rsid w:val="009A5CDD"/>
    <w:rsid w:val="009B053C"/>
    <w:rsid w:val="009B0BF6"/>
    <w:rsid w:val="009B0CB9"/>
    <w:rsid w:val="009B1415"/>
    <w:rsid w:val="009B1685"/>
    <w:rsid w:val="009B17C2"/>
    <w:rsid w:val="009B19D2"/>
    <w:rsid w:val="009B1BF2"/>
    <w:rsid w:val="009B2695"/>
    <w:rsid w:val="009B29F8"/>
    <w:rsid w:val="009B2C78"/>
    <w:rsid w:val="009B5EA5"/>
    <w:rsid w:val="009B6258"/>
    <w:rsid w:val="009B63F0"/>
    <w:rsid w:val="009B7EC0"/>
    <w:rsid w:val="009C02BD"/>
    <w:rsid w:val="009C0EC1"/>
    <w:rsid w:val="009C17B9"/>
    <w:rsid w:val="009C1933"/>
    <w:rsid w:val="009C1FFB"/>
    <w:rsid w:val="009C24BD"/>
    <w:rsid w:val="009C28F4"/>
    <w:rsid w:val="009C2A57"/>
    <w:rsid w:val="009C2F1B"/>
    <w:rsid w:val="009C375E"/>
    <w:rsid w:val="009C376A"/>
    <w:rsid w:val="009C3A06"/>
    <w:rsid w:val="009C3D5F"/>
    <w:rsid w:val="009C446F"/>
    <w:rsid w:val="009C4DAD"/>
    <w:rsid w:val="009C55A7"/>
    <w:rsid w:val="009C5D1B"/>
    <w:rsid w:val="009C7648"/>
    <w:rsid w:val="009C782E"/>
    <w:rsid w:val="009C7F2E"/>
    <w:rsid w:val="009D07CB"/>
    <w:rsid w:val="009D0F4D"/>
    <w:rsid w:val="009D0FC4"/>
    <w:rsid w:val="009D3049"/>
    <w:rsid w:val="009D310C"/>
    <w:rsid w:val="009D4A2A"/>
    <w:rsid w:val="009D4C0B"/>
    <w:rsid w:val="009D4FF8"/>
    <w:rsid w:val="009D54EC"/>
    <w:rsid w:val="009D65B4"/>
    <w:rsid w:val="009D7290"/>
    <w:rsid w:val="009E01BD"/>
    <w:rsid w:val="009E0D1B"/>
    <w:rsid w:val="009E16CE"/>
    <w:rsid w:val="009E1F5A"/>
    <w:rsid w:val="009E245B"/>
    <w:rsid w:val="009E2882"/>
    <w:rsid w:val="009E31DD"/>
    <w:rsid w:val="009E3217"/>
    <w:rsid w:val="009E411D"/>
    <w:rsid w:val="009E4454"/>
    <w:rsid w:val="009E48B1"/>
    <w:rsid w:val="009E50F2"/>
    <w:rsid w:val="009E5DF3"/>
    <w:rsid w:val="009E6915"/>
    <w:rsid w:val="009E70F0"/>
    <w:rsid w:val="009F0BCE"/>
    <w:rsid w:val="009F1817"/>
    <w:rsid w:val="009F1BD6"/>
    <w:rsid w:val="009F2418"/>
    <w:rsid w:val="009F3083"/>
    <w:rsid w:val="009F33B9"/>
    <w:rsid w:val="009F372D"/>
    <w:rsid w:val="009F3C99"/>
    <w:rsid w:val="009F48F0"/>
    <w:rsid w:val="009F5699"/>
    <w:rsid w:val="009F57D1"/>
    <w:rsid w:val="009F596F"/>
    <w:rsid w:val="009F6369"/>
    <w:rsid w:val="009F6523"/>
    <w:rsid w:val="009F6B3F"/>
    <w:rsid w:val="009F773F"/>
    <w:rsid w:val="009F7802"/>
    <w:rsid w:val="009F7D1F"/>
    <w:rsid w:val="00A00987"/>
    <w:rsid w:val="00A0154B"/>
    <w:rsid w:val="00A01B73"/>
    <w:rsid w:val="00A01F14"/>
    <w:rsid w:val="00A028FC"/>
    <w:rsid w:val="00A02DEF"/>
    <w:rsid w:val="00A03186"/>
    <w:rsid w:val="00A0353C"/>
    <w:rsid w:val="00A0353D"/>
    <w:rsid w:val="00A03556"/>
    <w:rsid w:val="00A035A4"/>
    <w:rsid w:val="00A036C4"/>
    <w:rsid w:val="00A044A1"/>
    <w:rsid w:val="00A07446"/>
    <w:rsid w:val="00A10135"/>
    <w:rsid w:val="00A10706"/>
    <w:rsid w:val="00A1089F"/>
    <w:rsid w:val="00A11267"/>
    <w:rsid w:val="00A113C9"/>
    <w:rsid w:val="00A118A0"/>
    <w:rsid w:val="00A13257"/>
    <w:rsid w:val="00A136ED"/>
    <w:rsid w:val="00A13C07"/>
    <w:rsid w:val="00A14F3C"/>
    <w:rsid w:val="00A17B91"/>
    <w:rsid w:val="00A206C9"/>
    <w:rsid w:val="00A20C68"/>
    <w:rsid w:val="00A21624"/>
    <w:rsid w:val="00A23088"/>
    <w:rsid w:val="00A23DDC"/>
    <w:rsid w:val="00A23E37"/>
    <w:rsid w:val="00A24560"/>
    <w:rsid w:val="00A24CAF"/>
    <w:rsid w:val="00A25834"/>
    <w:rsid w:val="00A25EC5"/>
    <w:rsid w:val="00A26731"/>
    <w:rsid w:val="00A26D28"/>
    <w:rsid w:val="00A2734F"/>
    <w:rsid w:val="00A27EFE"/>
    <w:rsid w:val="00A30501"/>
    <w:rsid w:val="00A305CD"/>
    <w:rsid w:val="00A308D1"/>
    <w:rsid w:val="00A3167C"/>
    <w:rsid w:val="00A316F7"/>
    <w:rsid w:val="00A31770"/>
    <w:rsid w:val="00A31AAB"/>
    <w:rsid w:val="00A3216E"/>
    <w:rsid w:val="00A32529"/>
    <w:rsid w:val="00A32559"/>
    <w:rsid w:val="00A338FC"/>
    <w:rsid w:val="00A33A2C"/>
    <w:rsid w:val="00A34538"/>
    <w:rsid w:val="00A35156"/>
    <w:rsid w:val="00A36062"/>
    <w:rsid w:val="00A37529"/>
    <w:rsid w:val="00A41BFA"/>
    <w:rsid w:val="00A4289E"/>
    <w:rsid w:val="00A42A3B"/>
    <w:rsid w:val="00A43490"/>
    <w:rsid w:val="00A43FD5"/>
    <w:rsid w:val="00A44DA5"/>
    <w:rsid w:val="00A46384"/>
    <w:rsid w:val="00A46CED"/>
    <w:rsid w:val="00A470F2"/>
    <w:rsid w:val="00A47803"/>
    <w:rsid w:val="00A47CCC"/>
    <w:rsid w:val="00A47DA6"/>
    <w:rsid w:val="00A47E0A"/>
    <w:rsid w:val="00A47F59"/>
    <w:rsid w:val="00A47F6D"/>
    <w:rsid w:val="00A507B2"/>
    <w:rsid w:val="00A50AD2"/>
    <w:rsid w:val="00A50F5C"/>
    <w:rsid w:val="00A51D51"/>
    <w:rsid w:val="00A5228B"/>
    <w:rsid w:val="00A5235A"/>
    <w:rsid w:val="00A53B56"/>
    <w:rsid w:val="00A53E7C"/>
    <w:rsid w:val="00A546CA"/>
    <w:rsid w:val="00A54A2B"/>
    <w:rsid w:val="00A54AB9"/>
    <w:rsid w:val="00A5584C"/>
    <w:rsid w:val="00A56A79"/>
    <w:rsid w:val="00A572E1"/>
    <w:rsid w:val="00A578E2"/>
    <w:rsid w:val="00A61FEE"/>
    <w:rsid w:val="00A62BAF"/>
    <w:rsid w:val="00A63DEC"/>
    <w:rsid w:val="00A6404B"/>
    <w:rsid w:val="00A641CA"/>
    <w:rsid w:val="00A656EF"/>
    <w:rsid w:val="00A65AA6"/>
    <w:rsid w:val="00A66F25"/>
    <w:rsid w:val="00A679E3"/>
    <w:rsid w:val="00A70311"/>
    <w:rsid w:val="00A70419"/>
    <w:rsid w:val="00A71148"/>
    <w:rsid w:val="00A72A3B"/>
    <w:rsid w:val="00A7332D"/>
    <w:rsid w:val="00A7461D"/>
    <w:rsid w:val="00A80248"/>
    <w:rsid w:val="00A80CF4"/>
    <w:rsid w:val="00A814D6"/>
    <w:rsid w:val="00A8268C"/>
    <w:rsid w:val="00A8275B"/>
    <w:rsid w:val="00A82E32"/>
    <w:rsid w:val="00A84361"/>
    <w:rsid w:val="00A845D8"/>
    <w:rsid w:val="00A84904"/>
    <w:rsid w:val="00A852F0"/>
    <w:rsid w:val="00A853DD"/>
    <w:rsid w:val="00A85C05"/>
    <w:rsid w:val="00A86F68"/>
    <w:rsid w:val="00A87177"/>
    <w:rsid w:val="00A87B23"/>
    <w:rsid w:val="00A923B7"/>
    <w:rsid w:val="00A95B45"/>
    <w:rsid w:val="00A95D9F"/>
    <w:rsid w:val="00A972D0"/>
    <w:rsid w:val="00A97342"/>
    <w:rsid w:val="00AA03C4"/>
    <w:rsid w:val="00AA077E"/>
    <w:rsid w:val="00AA18DB"/>
    <w:rsid w:val="00AA195D"/>
    <w:rsid w:val="00AA1C27"/>
    <w:rsid w:val="00AA33BA"/>
    <w:rsid w:val="00AA3DEF"/>
    <w:rsid w:val="00AA442B"/>
    <w:rsid w:val="00AA58FD"/>
    <w:rsid w:val="00AA59F5"/>
    <w:rsid w:val="00AA671A"/>
    <w:rsid w:val="00AA686E"/>
    <w:rsid w:val="00AA6CC1"/>
    <w:rsid w:val="00AB00BD"/>
    <w:rsid w:val="00AB0D4D"/>
    <w:rsid w:val="00AB14CE"/>
    <w:rsid w:val="00AB1580"/>
    <w:rsid w:val="00AB1690"/>
    <w:rsid w:val="00AB196B"/>
    <w:rsid w:val="00AB1AC8"/>
    <w:rsid w:val="00AB1CC8"/>
    <w:rsid w:val="00AB214B"/>
    <w:rsid w:val="00AB232F"/>
    <w:rsid w:val="00AB265E"/>
    <w:rsid w:val="00AB30DF"/>
    <w:rsid w:val="00AB3E40"/>
    <w:rsid w:val="00AB47E2"/>
    <w:rsid w:val="00AB4996"/>
    <w:rsid w:val="00AB4B1B"/>
    <w:rsid w:val="00AB4DF6"/>
    <w:rsid w:val="00AB61DC"/>
    <w:rsid w:val="00AB6A94"/>
    <w:rsid w:val="00AB769D"/>
    <w:rsid w:val="00AB7F25"/>
    <w:rsid w:val="00AC004D"/>
    <w:rsid w:val="00AC060F"/>
    <w:rsid w:val="00AC0EEB"/>
    <w:rsid w:val="00AC1272"/>
    <w:rsid w:val="00AC1646"/>
    <w:rsid w:val="00AC1839"/>
    <w:rsid w:val="00AC1887"/>
    <w:rsid w:val="00AC3414"/>
    <w:rsid w:val="00AC3ACC"/>
    <w:rsid w:val="00AC3B09"/>
    <w:rsid w:val="00AC6B00"/>
    <w:rsid w:val="00AD0B1D"/>
    <w:rsid w:val="00AD0F7C"/>
    <w:rsid w:val="00AD204B"/>
    <w:rsid w:val="00AD22FC"/>
    <w:rsid w:val="00AD2E44"/>
    <w:rsid w:val="00AD2F7B"/>
    <w:rsid w:val="00AD47FB"/>
    <w:rsid w:val="00AD48B1"/>
    <w:rsid w:val="00AD493D"/>
    <w:rsid w:val="00AD4EBB"/>
    <w:rsid w:val="00AD55A8"/>
    <w:rsid w:val="00AD5E7A"/>
    <w:rsid w:val="00AD6135"/>
    <w:rsid w:val="00AD73E8"/>
    <w:rsid w:val="00AD7A11"/>
    <w:rsid w:val="00AD7C52"/>
    <w:rsid w:val="00AE0AC7"/>
    <w:rsid w:val="00AE0CBF"/>
    <w:rsid w:val="00AE10E4"/>
    <w:rsid w:val="00AE1289"/>
    <w:rsid w:val="00AE19FC"/>
    <w:rsid w:val="00AE1FAC"/>
    <w:rsid w:val="00AE24EC"/>
    <w:rsid w:val="00AE3710"/>
    <w:rsid w:val="00AE39BD"/>
    <w:rsid w:val="00AE3A7C"/>
    <w:rsid w:val="00AE3E75"/>
    <w:rsid w:val="00AE4072"/>
    <w:rsid w:val="00AE4119"/>
    <w:rsid w:val="00AE4E69"/>
    <w:rsid w:val="00AE5307"/>
    <w:rsid w:val="00AE5B43"/>
    <w:rsid w:val="00AE65B9"/>
    <w:rsid w:val="00AE6719"/>
    <w:rsid w:val="00AE6D68"/>
    <w:rsid w:val="00AE7610"/>
    <w:rsid w:val="00AF0F32"/>
    <w:rsid w:val="00AF1383"/>
    <w:rsid w:val="00AF152E"/>
    <w:rsid w:val="00AF1ED8"/>
    <w:rsid w:val="00AF28FF"/>
    <w:rsid w:val="00AF51A0"/>
    <w:rsid w:val="00AF5644"/>
    <w:rsid w:val="00AF5C13"/>
    <w:rsid w:val="00AF5CE1"/>
    <w:rsid w:val="00AF6D47"/>
    <w:rsid w:val="00AF713D"/>
    <w:rsid w:val="00AF7FCE"/>
    <w:rsid w:val="00B00147"/>
    <w:rsid w:val="00B00F9B"/>
    <w:rsid w:val="00B01850"/>
    <w:rsid w:val="00B02601"/>
    <w:rsid w:val="00B029E3"/>
    <w:rsid w:val="00B0312C"/>
    <w:rsid w:val="00B04003"/>
    <w:rsid w:val="00B04843"/>
    <w:rsid w:val="00B055C7"/>
    <w:rsid w:val="00B0560B"/>
    <w:rsid w:val="00B06243"/>
    <w:rsid w:val="00B07B14"/>
    <w:rsid w:val="00B07BE4"/>
    <w:rsid w:val="00B101EE"/>
    <w:rsid w:val="00B1060D"/>
    <w:rsid w:val="00B118E9"/>
    <w:rsid w:val="00B12054"/>
    <w:rsid w:val="00B120C2"/>
    <w:rsid w:val="00B1288F"/>
    <w:rsid w:val="00B12A7B"/>
    <w:rsid w:val="00B12C01"/>
    <w:rsid w:val="00B12C69"/>
    <w:rsid w:val="00B14315"/>
    <w:rsid w:val="00B162E3"/>
    <w:rsid w:val="00B16C38"/>
    <w:rsid w:val="00B16C94"/>
    <w:rsid w:val="00B16D08"/>
    <w:rsid w:val="00B16D7C"/>
    <w:rsid w:val="00B16E58"/>
    <w:rsid w:val="00B17763"/>
    <w:rsid w:val="00B17C06"/>
    <w:rsid w:val="00B21D6C"/>
    <w:rsid w:val="00B22E22"/>
    <w:rsid w:val="00B23B33"/>
    <w:rsid w:val="00B243F7"/>
    <w:rsid w:val="00B258A0"/>
    <w:rsid w:val="00B25E2E"/>
    <w:rsid w:val="00B2636B"/>
    <w:rsid w:val="00B26374"/>
    <w:rsid w:val="00B26EC1"/>
    <w:rsid w:val="00B273B5"/>
    <w:rsid w:val="00B305CF"/>
    <w:rsid w:val="00B30D3C"/>
    <w:rsid w:val="00B32C0B"/>
    <w:rsid w:val="00B32DE6"/>
    <w:rsid w:val="00B33C57"/>
    <w:rsid w:val="00B33D08"/>
    <w:rsid w:val="00B340FE"/>
    <w:rsid w:val="00B346CC"/>
    <w:rsid w:val="00B351B5"/>
    <w:rsid w:val="00B35587"/>
    <w:rsid w:val="00B360BE"/>
    <w:rsid w:val="00B36547"/>
    <w:rsid w:val="00B36E67"/>
    <w:rsid w:val="00B371E9"/>
    <w:rsid w:val="00B401D0"/>
    <w:rsid w:val="00B403DE"/>
    <w:rsid w:val="00B40A2A"/>
    <w:rsid w:val="00B42A55"/>
    <w:rsid w:val="00B439B4"/>
    <w:rsid w:val="00B43AA5"/>
    <w:rsid w:val="00B43C9B"/>
    <w:rsid w:val="00B442B7"/>
    <w:rsid w:val="00B45158"/>
    <w:rsid w:val="00B45DA9"/>
    <w:rsid w:val="00B46798"/>
    <w:rsid w:val="00B46BC7"/>
    <w:rsid w:val="00B47E57"/>
    <w:rsid w:val="00B50315"/>
    <w:rsid w:val="00B512C3"/>
    <w:rsid w:val="00B513FE"/>
    <w:rsid w:val="00B51451"/>
    <w:rsid w:val="00B5146F"/>
    <w:rsid w:val="00B515CA"/>
    <w:rsid w:val="00B51689"/>
    <w:rsid w:val="00B5178D"/>
    <w:rsid w:val="00B525CB"/>
    <w:rsid w:val="00B531D7"/>
    <w:rsid w:val="00B53F68"/>
    <w:rsid w:val="00B54F70"/>
    <w:rsid w:val="00B5556E"/>
    <w:rsid w:val="00B55682"/>
    <w:rsid w:val="00B56556"/>
    <w:rsid w:val="00B57AC1"/>
    <w:rsid w:val="00B60926"/>
    <w:rsid w:val="00B610D5"/>
    <w:rsid w:val="00B613B5"/>
    <w:rsid w:val="00B613B9"/>
    <w:rsid w:val="00B6143C"/>
    <w:rsid w:val="00B62CA6"/>
    <w:rsid w:val="00B630A6"/>
    <w:rsid w:val="00B6341F"/>
    <w:rsid w:val="00B6352C"/>
    <w:rsid w:val="00B637F3"/>
    <w:rsid w:val="00B63CB2"/>
    <w:rsid w:val="00B63F56"/>
    <w:rsid w:val="00B64278"/>
    <w:rsid w:val="00B6442E"/>
    <w:rsid w:val="00B6444C"/>
    <w:rsid w:val="00B66866"/>
    <w:rsid w:val="00B66D78"/>
    <w:rsid w:val="00B67C3D"/>
    <w:rsid w:val="00B70169"/>
    <w:rsid w:val="00B70283"/>
    <w:rsid w:val="00B7078C"/>
    <w:rsid w:val="00B710C4"/>
    <w:rsid w:val="00B71561"/>
    <w:rsid w:val="00B72871"/>
    <w:rsid w:val="00B7345C"/>
    <w:rsid w:val="00B737A3"/>
    <w:rsid w:val="00B73B11"/>
    <w:rsid w:val="00B754CA"/>
    <w:rsid w:val="00B75BAA"/>
    <w:rsid w:val="00B75C7C"/>
    <w:rsid w:val="00B77ADE"/>
    <w:rsid w:val="00B77C1C"/>
    <w:rsid w:val="00B77D93"/>
    <w:rsid w:val="00B80316"/>
    <w:rsid w:val="00B80794"/>
    <w:rsid w:val="00B80D4A"/>
    <w:rsid w:val="00B80D60"/>
    <w:rsid w:val="00B8193B"/>
    <w:rsid w:val="00B81A41"/>
    <w:rsid w:val="00B81ACB"/>
    <w:rsid w:val="00B81F14"/>
    <w:rsid w:val="00B8385C"/>
    <w:rsid w:val="00B83F84"/>
    <w:rsid w:val="00B84B3E"/>
    <w:rsid w:val="00B85623"/>
    <w:rsid w:val="00B87B9E"/>
    <w:rsid w:val="00B90205"/>
    <w:rsid w:val="00B90B22"/>
    <w:rsid w:val="00B90B34"/>
    <w:rsid w:val="00B91CF1"/>
    <w:rsid w:val="00B91EAD"/>
    <w:rsid w:val="00B92CB6"/>
    <w:rsid w:val="00B93287"/>
    <w:rsid w:val="00B94B1F"/>
    <w:rsid w:val="00B9556D"/>
    <w:rsid w:val="00B95717"/>
    <w:rsid w:val="00B979C2"/>
    <w:rsid w:val="00BA0FA8"/>
    <w:rsid w:val="00BA101A"/>
    <w:rsid w:val="00BA1433"/>
    <w:rsid w:val="00BA2BEC"/>
    <w:rsid w:val="00BA32EF"/>
    <w:rsid w:val="00BA4904"/>
    <w:rsid w:val="00BA4B5B"/>
    <w:rsid w:val="00BA549C"/>
    <w:rsid w:val="00BA54F0"/>
    <w:rsid w:val="00BA5612"/>
    <w:rsid w:val="00BA5B4B"/>
    <w:rsid w:val="00BA6306"/>
    <w:rsid w:val="00BB16AA"/>
    <w:rsid w:val="00BB325C"/>
    <w:rsid w:val="00BB32EA"/>
    <w:rsid w:val="00BB37BD"/>
    <w:rsid w:val="00BB5B30"/>
    <w:rsid w:val="00BB5C7A"/>
    <w:rsid w:val="00BB7738"/>
    <w:rsid w:val="00BB7CF2"/>
    <w:rsid w:val="00BC0980"/>
    <w:rsid w:val="00BC11CA"/>
    <w:rsid w:val="00BC1901"/>
    <w:rsid w:val="00BC20AF"/>
    <w:rsid w:val="00BC2F8F"/>
    <w:rsid w:val="00BC3610"/>
    <w:rsid w:val="00BC3A7B"/>
    <w:rsid w:val="00BC3E50"/>
    <w:rsid w:val="00BC46FA"/>
    <w:rsid w:val="00BC4CFC"/>
    <w:rsid w:val="00BC5E6E"/>
    <w:rsid w:val="00BC638A"/>
    <w:rsid w:val="00BC754C"/>
    <w:rsid w:val="00BC7A70"/>
    <w:rsid w:val="00BD075C"/>
    <w:rsid w:val="00BD0942"/>
    <w:rsid w:val="00BD09C9"/>
    <w:rsid w:val="00BD1370"/>
    <w:rsid w:val="00BD16E4"/>
    <w:rsid w:val="00BD3ADF"/>
    <w:rsid w:val="00BD404B"/>
    <w:rsid w:val="00BD4104"/>
    <w:rsid w:val="00BD418A"/>
    <w:rsid w:val="00BD484B"/>
    <w:rsid w:val="00BD5979"/>
    <w:rsid w:val="00BD5CBA"/>
    <w:rsid w:val="00BD5F18"/>
    <w:rsid w:val="00BD5F91"/>
    <w:rsid w:val="00BD78FE"/>
    <w:rsid w:val="00BE1B2E"/>
    <w:rsid w:val="00BE1EB7"/>
    <w:rsid w:val="00BE3C30"/>
    <w:rsid w:val="00BE43C0"/>
    <w:rsid w:val="00BE4C31"/>
    <w:rsid w:val="00BE5743"/>
    <w:rsid w:val="00BE60C5"/>
    <w:rsid w:val="00BE62F9"/>
    <w:rsid w:val="00BE646C"/>
    <w:rsid w:val="00BE68A7"/>
    <w:rsid w:val="00BE7972"/>
    <w:rsid w:val="00BF0438"/>
    <w:rsid w:val="00BF0945"/>
    <w:rsid w:val="00BF0F80"/>
    <w:rsid w:val="00BF2195"/>
    <w:rsid w:val="00BF239F"/>
    <w:rsid w:val="00BF26EF"/>
    <w:rsid w:val="00BF2870"/>
    <w:rsid w:val="00BF29E3"/>
    <w:rsid w:val="00BF2E6F"/>
    <w:rsid w:val="00BF38C7"/>
    <w:rsid w:val="00BF3E3E"/>
    <w:rsid w:val="00BF3E9C"/>
    <w:rsid w:val="00BF46EB"/>
    <w:rsid w:val="00BF52BB"/>
    <w:rsid w:val="00BF5655"/>
    <w:rsid w:val="00BF59DD"/>
    <w:rsid w:val="00BF6F68"/>
    <w:rsid w:val="00BF765B"/>
    <w:rsid w:val="00BF7DC7"/>
    <w:rsid w:val="00BF7FBC"/>
    <w:rsid w:val="00C01713"/>
    <w:rsid w:val="00C01888"/>
    <w:rsid w:val="00C0300E"/>
    <w:rsid w:val="00C037BA"/>
    <w:rsid w:val="00C03968"/>
    <w:rsid w:val="00C03D7A"/>
    <w:rsid w:val="00C04038"/>
    <w:rsid w:val="00C05889"/>
    <w:rsid w:val="00C05EFC"/>
    <w:rsid w:val="00C06AA8"/>
    <w:rsid w:val="00C06C24"/>
    <w:rsid w:val="00C06D8D"/>
    <w:rsid w:val="00C06F4E"/>
    <w:rsid w:val="00C074ED"/>
    <w:rsid w:val="00C07969"/>
    <w:rsid w:val="00C07BA3"/>
    <w:rsid w:val="00C07EFC"/>
    <w:rsid w:val="00C1063D"/>
    <w:rsid w:val="00C108FF"/>
    <w:rsid w:val="00C11C22"/>
    <w:rsid w:val="00C128D8"/>
    <w:rsid w:val="00C13117"/>
    <w:rsid w:val="00C13B27"/>
    <w:rsid w:val="00C140C5"/>
    <w:rsid w:val="00C14392"/>
    <w:rsid w:val="00C14CDE"/>
    <w:rsid w:val="00C14D9E"/>
    <w:rsid w:val="00C15F8E"/>
    <w:rsid w:val="00C16340"/>
    <w:rsid w:val="00C16E80"/>
    <w:rsid w:val="00C1755A"/>
    <w:rsid w:val="00C20311"/>
    <w:rsid w:val="00C20858"/>
    <w:rsid w:val="00C210EA"/>
    <w:rsid w:val="00C215F9"/>
    <w:rsid w:val="00C21979"/>
    <w:rsid w:val="00C2235E"/>
    <w:rsid w:val="00C22C1C"/>
    <w:rsid w:val="00C2341D"/>
    <w:rsid w:val="00C23442"/>
    <w:rsid w:val="00C236F1"/>
    <w:rsid w:val="00C23EB2"/>
    <w:rsid w:val="00C248DB"/>
    <w:rsid w:val="00C248E6"/>
    <w:rsid w:val="00C24CB7"/>
    <w:rsid w:val="00C25356"/>
    <w:rsid w:val="00C260AE"/>
    <w:rsid w:val="00C26FF5"/>
    <w:rsid w:val="00C2785E"/>
    <w:rsid w:val="00C301D9"/>
    <w:rsid w:val="00C3050E"/>
    <w:rsid w:val="00C30E92"/>
    <w:rsid w:val="00C31E79"/>
    <w:rsid w:val="00C32E42"/>
    <w:rsid w:val="00C33584"/>
    <w:rsid w:val="00C355B4"/>
    <w:rsid w:val="00C358C6"/>
    <w:rsid w:val="00C35C94"/>
    <w:rsid w:val="00C35CCA"/>
    <w:rsid w:val="00C36B79"/>
    <w:rsid w:val="00C3789F"/>
    <w:rsid w:val="00C37E77"/>
    <w:rsid w:val="00C40376"/>
    <w:rsid w:val="00C403FB"/>
    <w:rsid w:val="00C40C20"/>
    <w:rsid w:val="00C41A44"/>
    <w:rsid w:val="00C41D28"/>
    <w:rsid w:val="00C420C0"/>
    <w:rsid w:val="00C421D2"/>
    <w:rsid w:val="00C4266A"/>
    <w:rsid w:val="00C4281E"/>
    <w:rsid w:val="00C42841"/>
    <w:rsid w:val="00C429CB"/>
    <w:rsid w:val="00C43FAA"/>
    <w:rsid w:val="00C44120"/>
    <w:rsid w:val="00C4445C"/>
    <w:rsid w:val="00C445C0"/>
    <w:rsid w:val="00C44882"/>
    <w:rsid w:val="00C449F2"/>
    <w:rsid w:val="00C451B2"/>
    <w:rsid w:val="00C4553B"/>
    <w:rsid w:val="00C46C7E"/>
    <w:rsid w:val="00C46DAD"/>
    <w:rsid w:val="00C474F7"/>
    <w:rsid w:val="00C5029B"/>
    <w:rsid w:val="00C50FFB"/>
    <w:rsid w:val="00C51383"/>
    <w:rsid w:val="00C5178F"/>
    <w:rsid w:val="00C529C9"/>
    <w:rsid w:val="00C52AA0"/>
    <w:rsid w:val="00C52E69"/>
    <w:rsid w:val="00C53904"/>
    <w:rsid w:val="00C539FA"/>
    <w:rsid w:val="00C53C40"/>
    <w:rsid w:val="00C54A27"/>
    <w:rsid w:val="00C54A9A"/>
    <w:rsid w:val="00C54E31"/>
    <w:rsid w:val="00C54E4E"/>
    <w:rsid w:val="00C54ED0"/>
    <w:rsid w:val="00C5659C"/>
    <w:rsid w:val="00C579C6"/>
    <w:rsid w:val="00C606C0"/>
    <w:rsid w:val="00C60A58"/>
    <w:rsid w:val="00C611EF"/>
    <w:rsid w:val="00C61389"/>
    <w:rsid w:val="00C622CD"/>
    <w:rsid w:val="00C63537"/>
    <w:rsid w:val="00C63B97"/>
    <w:rsid w:val="00C63E4C"/>
    <w:rsid w:val="00C64C51"/>
    <w:rsid w:val="00C6585A"/>
    <w:rsid w:val="00C668D4"/>
    <w:rsid w:val="00C67675"/>
    <w:rsid w:val="00C67716"/>
    <w:rsid w:val="00C70C9A"/>
    <w:rsid w:val="00C7127A"/>
    <w:rsid w:val="00C713D7"/>
    <w:rsid w:val="00C71798"/>
    <w:rsid w:val="00C74D7F"/>
    <w:rsid w:val="00C75515"/>
    <w:rsid w:val="00C76A33"/>
    <w:rsid w:val="00C8023B"/>
    <w:rsid w:val="00C80B95"/>
    <w:rsid w:val="00C80DCC"/>
    <w:rsid w:val="00C80ECB"/>
    <w:rsid w:val="00C8107E"/>
    <w:rsid w:val="00C81676"/>
    <w:rsid w:val="00C818C5"/>
    <w:rsid w:val="00C81AC2"/>
    <w:rsid w:val="00C82037"/>
    <w:rsid w:val="00C8219B"/>
    <w:rsid w:val="00C821FE"/>
    <w:rsid w:val="00C82754"/>
    <w:rsid w:val="00C8292A"/>
    <w:rsid w:val="00C83D45"/>
    <w:rsid w:val="00C845E6"/>
    <w:rsid w:val="00C847FA"/>
    <w:rsid w:val="00C84D6B"/>
    <w:rsid w:val="00C8577F"/>
    <w:rsid w:val="00C859B3"/>
    <w:rsid w:val="00C85EAF"/>
    <w:rsid w:val="00C878E8"/>
    <w:rsid w:val="00C87A79"/>
    <w:rsid w:val="00C87FB1"/>
    <w:rsid w:val="00C90A72"/>
    <w:rsid w:val="00C91D94"/>
    <w:rsid w:val="00C91E02"/>
    <w:rsid w:val="00C92306"/>
    <w:rsid w:val="00C92639"/>
    <w:rsid w:val="00C92842"/>
    <w:rsid w:val="00C94383"/>
    <w:rsid w:val="00C949D9"/>
    <w:rsid w:val="00C95026"/>
    <w:rsid w:val="00C9670A"/>
    <w:rsid w:val="00C969DD"/>
    <w:rsid w:val="00C9707B"/>
    <w:rsid w:val="00C974E8"/>
    <w:rsid w:val="00C97546"/>
    <w:rsid w:val="00CA0AB5"/>
    <w:rsid w:val="00CA0C3E"/>
    <w:rsid w:val="00CA1177"/>
    <w:rsid w:val="00CA131B"/>
    <w:rsid w:val="00CA1540"/>
    <w:rsid w:val="00CA287E"/>
    <w:rsid w:val="00CA2B13"/>
    <w:rsid w:val="00CA3F40"/>
    <w:rsid w:val="00CA44C0"/>
    <w:rsid w:val="00CA44E6"/>
    <w:rsid w:val="00CA4B84"/>
    <w:rsid w:val="00CA5926"/>
    <w:rsid w:val="00CA5AD8"/>
    <w:rsid w:val="00CA5FFD"/>
    <w:rsid w:val="00CA6B80"/>
    <w:rsid w:val="00CA70E5"/>
    <w:rsid w:val="00CA7139"/>
    <w:rsid w:val="00CA73A8"/>
    <w:rsid w:val="00CB084F"/>
    <w:rsid w:val="00CB127A"/>
    <w:rsid w:val="00CB1B38"/>
    <w:rsid w:val="00CB1D4D"/>
    <w:rsid w:val="00CB21C6"/>
    <w:rsid w:val="00CB22AF"/>
    <w:rsid w:val="00CB2894"/>
    <w:rsid w:val="00CB3DAB"/>
    <w:rsid w:val="00CB4B63"/>
    <w:rsid w:val="00CB4C30"/>
    <w:rsid w:val="00CB532E"/>
    <w:rsid w:val="00CB5663"/>
    <w:rsid w:val="00CB58CF"/>
    <w:rsid w:val="00CB61ED"/>
    <w:rsid w:val="00CB6518"/>
    <w:rsid w:val="00CB7FCB"/>
    <w:rsid w:val="00CC00CD"/>
    <w:rsid w:val="00CC0E2F"/>
    <w:rsid w:val="00CC14C5"/>
    <w:rsid w:val="00CC1A35"/>
    <w:rsid w:val="00CC2C34"/>
    <w:rsid w:val="00CC2D5F"/>
    <w:rsid w:val="00CC4A96"/>
    <w:rsid w:val="00CC5BE0"/>
    <w:rsid w:val="00CC5E3E"/>
    <w:rsid w:val="00CC670C"/>
    <w:rsid w:val="00CC786F"/>
    <w:rsid w:val="00CD080F"/>
    <w:rsid w:val="00CD1434"/>
    <w:rsid w:val="00CD1A2C"/>
    <w:rsid w:val="00CD2200"/>
    <w:rsid w:val="00CD22B2"/>
    <w:rsid w:val="00CD2709"/>
    <w:rsid w:val="00CD2B02"/>
    <w:rsid w:val="00CD39D4"/>
    <w:rsid w:val="00CD47FC"/>
    <w:rsid w:val="00CD4833"/>
    <w:rsid w:val="00CD4CEE"/>
    <w:rsid w:val="00CD542B"/>
    <w:rsid w:val="00CD5688"/>
    <w:rsid w:val="00CD5978"/>
    <w:rsid w:val="00CD5988"/>
    <w:rsid w:val="00CD59EC"/>
    <w:rsid w:val="00CD5AB4"/>
    <w:rsid w:val="00CD5C2C"/>
    <w:rsid w:val="00CD5CFD"/>
    <w:rsid w:val="00CD5F34"/>
    <w:rsid w:val="00CD66AC"/>
    <w:rsid w:val="00CD6EED"/>
    <w:rsid w:val="00CD7A66"/>
    <w:rsid w:val="00CE026A"/>
    <w:rsid w:val="00CE041B"/>
    <w:rsid w:val="00CE170E"/>
    <w:rsid w:val="00CE2F86"/>
    <w:rsid w:val="00CE33FA"/>
    <w:rsid w:val="00CE3652"/>
    <w:rsid w:val="00CE50B8"/>
    <w:rsid w:val="00CE72E3"/>
    <w:rsid w:val="00CE79BA"/>
    <w:rsid w:val="00CE7D43"/>
    <w:rsid w:val="00CF2AA3"/>
    <w:rsid w:val="00CF2CA1"/>
    <w:rsid w:val="00CF2EF6"/>
    <w:rsid w:val="00CF38A3"/>
    <w:rsid w:val="00CF397F"/>
    <w:rsid w:val="00CF404E"/>
    <w:rsid w:val="00CF4690"/>
    <w:rsid w:val="00CF4A4E"/>
    <w:rsid w:val="00CF4DAF"/>
    <w:rsid w:val="00CF532E"/>
    <w:rsid w:val="00CF5675"/>
    <w:rsid w:val="00CF5936"/>
    <w:rsid w:val="00CF6456"/>
    <w:rsid w:val="00CF6B14"/>
    <w:rsid w:val="00CF7778"/>
    <w:rsid w:val="00CF7DE3"/>
    <w:rsid w:val="00D00084"/>
    <w:rsid w:val="00D004A0"/>
    <w:rsid w:val="00D03273"/>
    <w:rsid w:val="00D04268"/>
    <w:rsid w:val="00D047D3"/>
    <w:rsid w:val="00D0488F"/>
    <w:rsid w:val="00D04F45"/>
    <w:rsid w:val="00D050E1"/>
    <w:rsid w:val="00D054BD"/>
    <w:rsid w:val="00D05E28"/>
    <w:rsid w:val="00D063D2"/>
    <w:rsid w:val="00D06D43"/>
    <w:rsid w:val="00D07E72"/>
    <w:rsid w:val="00D07F68"/>
    <w:rsid w:val="00D1038E"/>
    <w:rsid w:val="00D10D52"/>
    <w:rsid w:val="00D111AF"/>
    <w:rsid w:val="00D1185B"/>
    <w:rsid w:val="00D11E53"/>
    <w:rsid w:val="00D121E4"/>
    <w:rsid w:val="00D12348"/>
    <w:rsid w:val="00D1347F"/>
    <w:rsid w:val="00D1440B"/>
    <w:rsid w:val="00D147AB"/>
    <w:rsid w:val="00D14A78"/>
    <w:rsid w:val="00D150E7"/>
    <w:rsid w:val="00D1587C"/>
    <w:rsid w:val="00D15D40"/>
    <w:rsid w:val="00D16345"/>
    <w:rsid w:val="00D164E5"/>
    <w:rsid w:val="00D16E21"/>
    <w:rsid w:val="00D16E36"/>
    <w:rsid w:val="00D16E39"/>
    <w:rsid w:val="00D20355"/>
    <w:rsid w:val="00D20C61"/>
    <w:rsid w:val="00D2159B"/>
    <w:rsid w:val="00D228A3"/>
    <w:rsid w:val="00D235C6"/>
    <w:rsid w:val="00D23B7C"/>
    <w:rsid w:val="00D24CC2"/>
    <w:rsid w:val="00D24E22"/>
    <w:rsid w:val="00D250D0"/>
    <w:rsid w:val="00D25B15"/>
    <w:rsid w:val="00D2740A"/>
    <w:rsid w:val="00D30416"/>
    <w:rsid w:val="00D31F4A"/>
    <w:rsid w:val="00D32C9D"/>
    <w:rsid w:val="00D32F77"/>
    <w:rsid w:val="00D3549C"/>
    <w:rsid w:val="00D356F9"/>
    <w:rsid w:val="00D35D5C"/>
    <w:rsid w:val="00D361D0"/>
    <w:rsid w:val="00D3638A"/>
    <w:rsid w:val="00D37454"/>
    <w:rsid w:val="00D376C1"/>
    <w:rsid w:val="00D40159"/>
    <w:rsid w:val="00D40DDB"/>
    <w:rsid w:val="00D429EC"/>
    <w:rsid w:val="00D43978"/>
    <w:rsid w:val="00D44121"/>
    <w:rsid w:val="00D44846"/>
    <w:rsid w:val="00D454B6"/>
    <w:rsid w:val="00D478EC"/>
    <w:rsid w:val="00D502F1"/>
    <w:rsid w:val="00D50796"/>
    <w:rsid w:val="00D5088B"/>
    <w:rsid w:val="00D521EA"/>
    <w:rsid w:val="00D52852"/>
    <w:rsid w:val="00D52B1B"/>
    <w:rsid w:val="00D52CF7"/>
    <w:rsid w:val="00D53EA2"/>
    <w:rsid w:val="00D542C3"/>
    <w:rsid w:val="00D544C5"/>
    <w:rsid w:val="00D55CA0"/>
    <w:rsid w:val="00D55E8F"/>
    <w:rsid w:val="00D56AB8"/>
    <w:rsid w:val="00D57255"/>
    <w:rsid w:val="00D577D1"/>
    <w:rsid w:val="00D60192"/>
    <w:rsid w:val="00D60372"/>
    <w:rsid w:val="00D6148F"/>
    <w:rsid w:val="00D626A3"/>
    <w:rsid w:val="00D63081"/>
    <w:rsid w:val="00D63787"/>
    <w:rsid w:val="00D6420F"/>
    <w:rsid w:val="00D64459"/>
    <w:rsid w:val="00D644AA"/>
    <w:rsid w:val="00D64797"/>
    <w:rsid w:val="00D64CCE"/>
    <w:rsid w:val="00D65554"/>
    <w:rsid w:val="00D65806"/>
    <w:rsid w:val="00D66450"/>
    <w:rsid w:val="00D70679"/>
    <w:rsid w:val="00D70901"/>
    <w:rsid w:val="00D710DF"/>
    <w:rsid w:val="00D729F6"/>
    <w:rsid w:val="00D72E9D"/>
    <w:rsid w:val="00D73D07"/>
    <w:rsid w:val="00D73D62"/>
    <w:rsid w:val="00D74389"/>
    <w:rsid w:val="00D74E75"/>
    <w:rsid w:val="00D7538F"/>
    <w:rsid w:val="00D7663C"/>
    <w:rsid w:val="00D76689"/>
    <w:rsid w:val="00D7722E"/>
    <w:rsid w:val="00D777A2"/>
    <w:rsid w:val="00D80E2D"/>
    <w:rsid w:val="00D80EB6"/>
    <w:rsid w:val="00D81B3A"/>
    <w:rsid w:val="00D82056"/>
    <w:rsid w:val="00D82CE5"/>
    <w:rsid w:val="00D83D88"/>
    <w:rsid w:val="00D8437F"/>
    <w:rsid w:val="00D84567"/>
    <w:rsid w:val="00D84C74"/>
    <w:rsid w:val="00D84D9D"/>
    <w:rsid w:val="00D84F1E"/>
    <w:rsid w:val="00D854F8"/>
    <w:rsid w:val="00D856F4"/>
    <w:rsid w:val="00D90A4E"/>
    <w:rsid w:val="00D90C79"/>
    <w:rsid w:val="00D9244A"/>
    <w:rsid w:val="00D927D2"/>
    <w:rsid w:val="00D9294F"/>
    <w:rsid w:val="00D92C46"/>
    <w:rsid w:val="00D92E77"/>
    <w:rsid w:val="00D9457C"/>
    <w:rsid w:val="00D96A62"/>
    <w:rsid w:val="00D96B0B"/>
    <w:rsid w:val="00D9727E"/>
    <w:rsid w:val="00D97A59"/>
    <w:rsid w:val="00DA01E8"/>
    <w:rsid w:val="00DA0AC7"/>
    <w:rsid w:val="00DA0F03"/>
    <w:rsid w:val="00DA0FD1"/>
    <w:rsid w:val="00DA17CF"/>
    <w:rsid w:val="00DA1A20"/>
    <w:rsid w:val="00DA1E8F"/>
    <w:rsid w:val="00DA28E9"/>
    <w:rsid w:val="00DA2FF5"/>
    <w:rsid w:val="00DA3222"/>
    <w:rsid w:val="00DA3452"/>
    <w:rsid w:val="00DA3ACF"/>
    <w:rsid w:val="00DA3BF1"/>
    <w:rsid w:val="00DA3F91"/>
    <w:rsid w:val="00DA499F"/>
    <w:rsid w:val="00DA4FD9"/>
    <w:rsid w:val="00DA5253"/>
    <w:rsid w:val="00DA5AB1"/>
    <w:rsid w:val="00DA6996"/>
    <w:rsid w:val="00DA6EE1"/>
    <w:rsid w:val="00DA7078"/>
    <w:rsid w:val="00DA72B4"/>
    <w:rsid w:val="00DA7F58"/>
    <w:rsid w:val="00DB12BD"/>
    <w:rsid w:val="00DB236B"/>
    <w:rsid w:val="00DB2BFA"/>
    <w:rsid w:val="00DB2EB1"/>
    <w:rsid w:val="00DB3448"/>
    <w:rsid w:val="00DB3C24"/>
    <w:rsid w:val="00DB44D8"/>
    <w:rsid w:val="00DB49AA"/>
    <w:rsid w:val="00DB5ED4"/>
    <w:rsid w:val="00DB6093"/>
    <w:rsid w:val="00DB61B2"/>
    <w:rsid w:val="00DB6533"/>
    <w:rsid w:val="00DB73EC"/>
    <w:rsid w:val="00DB768D"/>
    <w:rsid w:val="00DB796B"/>
    <w:rsid w:val="00DC2BC5"/>
    <w:rsid w:val="00DC32BD"/>
    <w:rsid w:val="00DC33DC"/>
    <w:rsid w:val="00DC3D67"/>
    <w:rsid w:val="00DC40BD"/>
    <w:rsid w:val="00DC443C"/>
    <w:rsid w:val="00DC4962"/>
    <w:rsid w:val="00DC5454"/>
    <w:rsid w:val="00DC578F"/>
    <w:rsid w:val="00DC5D0C"/>
    <w:rsid w:val="00DC62E5"/>
    <w:rsid w:val="00DC6ACC"/>
    <w:rsid w:val="00DC6C76"/>
    <w:rsid w:val="00DC7561"/>
    <w:rsid w:val="00DC7ABE"/>
    <w:rsid w:val="00DD160B"/>
    <w:rsid w:val="00DD1C18"/>
    <w:rsid w:val="00DD2116"/>
    <w:rsid w:val="00DD21A2"/>
    <w:rsid w:val="00DD2D30"/>
    <w:rsid w:val="00DD31A9"/>
    <w:rsid w:val="00DD3432"/>
    <w:rsid w:val="00DD593D"/>
    <w:rsid w:val="00DD5E33"/>
    <w:rsid w:val="00DD6339"/>
    <w:rsid w:val="00DD735D"/>
    <w:rsid w:val="00DD7602"/>
    <w:rsid w:val="00DD7D8D"/>
    <w:rsid w:val="00DE0618"/>
    <w:rsid w:val="00DE0A17"/>
    <w:rsid w:val="00DE0BE3"/>
    <w:rsid w:val="00DE1FEF"/>
    <w:rsid w:val="00DE279B"/>
    <w:rsid w:val="00DE2C7B"/>
    <w:rsid w:val="00DE2F27"/>
    <w:rsid w:val="00DE3119"/>
    <w:rsid w:val="00DE3ABA"/>
    <w:rsid w:val="00DE4CF0"/>
    <w:rsid w:val="00DE4D23"/>
    <w:rsid w:val="00DE5084"/>
    <w:rsid w:val="00DE5723"/>
    <w:rsid w:val="00DE6489"/>
    <w:rsid w:val="00DE683C"/>
    <w:rsid w:val="00DE6B11"/>
    <w:rsid w:val="00DE6E79"/>
    <w:rsid w:val="00DE6FE1"/>
    <w:rsid w:val="00DE70DC"/>
    <w:rsid w:val="00DF0AB4"/>
    <w:rsid w:val="00DF0AE3"/>
    <w:rsid w:val="00DF1287"/>
    <w:rsid w:val="00DF1308"/>
    <w:rsid w:val="00DF16DA"/>
    <w:rsid w:val="00DF1DAA"/>
    <w:rsid w:val="00DF236B"/>
    <w:rsid w:val="00DF29D3"/>
    <w:rsid w:val="00DF3E38"/>
    <w:rsid w:val="00DF5090"/>
    <w:rsid w:val="00DF6ACD"/>
    <w:rsid w:val="00DF78DE"/>
    <w:rsid w:val="00DF79C3"/>
    <w:rsid w:val="00E000C8"/>
    <w:rsid w:val="00E008F1"/>
    <w:rsid w:val="00E01453"/>
    <w:rsid w:val="00E017C4"/>
    <w:rsid w:val="00E048EE"/>
    <w:rsid w:val="00E04A00"/>
    <w:rsid w:val="00E04C9B"/>
    <w:rsid w:val="00E056B2"/>
    <w:rsid w:val="00E06F42"/>
    <w:rsid w:val="00E0740A"/>
    <w:rsid w:val="00E07843"/>
    <w:rsid w:val="00E10A6D"/>
    <w:rsid w:val="00E113F7"/>
    <w:rsid w:val="00E116A9"/>
    <w:rsid w:val="00E11FC1"/>
    <w:rsid w:val="00E12E3E"/>
    <w:rsid w:val="00E13AB8"/>
    <w:rsid w:val="00E13FD3"/>
    <w:rsid w:val="00E14299"/>
    <w:rsid w:val="00E144AB"/>
    <w:rsid w:val="00E169BF"/>
    <w:rsid w:val="00E17118"/>
    <w:rsid w:val="00E17C49"/>
    <w:rsid w:val="00E17EE1"/>
    <w:rsid w:val="00E206ED"/>
    <w:rsid w:val="00E21256"/>
    <w:rsid w:val="00E21494"/>
    <w:rsid w:val="00E217A5"/>
    <w:rsid w:val="00E21B32"/>
    <w:rsid w:val="00E22BCE"/>
    <w:rsid w:val="00E238B4"/>
    <w:rsid w:val="00E2399D"/>
    <w:rsid w:val="00E23B36"/>
    <w:rsid w:val="00E240CB"/>
    <w:rsid w:val="00E240E7"/>
    <w:rsid w:val="00E24EBF"/>
    <w:rsid w:val="00E25161"/>
    <w:rsid w:val="00E251D4"/>
    <w:rsid w:val="00E2553E"/>
    <w:rsid w:val="00E2799E"/>
    <w:rsid w:val="00E3090F"/>
    <w:rsid w:val="00E329F7"/>
    <w:rsid w:val="00E335CF"/>
    <w:rsid w:val="00E33A20"/>
    <w:rsid w:val="00E33B62"/>
    <w:rsid w:val="00E33CB5"/>
    <w:rsid w:val="00E3568A"/>
    <w:rsid w:val="00E36BAD"/>
    <w:rsid w:val="00E36E37"/>
    <w:rsid w:val="00E36FBA"/>
    <w:rsid w:val="00E37D12"/>
    <w:rsid w:val="00E37E82"/>
    <w:rsid w:val="00E40158"/>
    <w:rsid w:val="00E412EA"/>
    <w:rsid w:val="00E41A26"/>
    <w:rsid w:val="00E425E7"/>
    <w:rsid w:val="00E42CEA"/>
    <w:rsid w:val="00E42F9D"/>
    <w:rsid w:val="00E432B4"/>
    <w:rsid w:val="00E43A2C"/>
    <w:rsid w:val="00E43A34"/>
    <w:rsid w:val="00E449E0"/>
    <w:rsid w:val="00E44D4E"/>
    <w:rsid w:val="00E45104"/>
    <w:rsid w:val="00E453B7"/>
    <w:rsid w:val="00E45D1C"/>
    <w:rsid w:val="00E46467"/>
    <w:rsid w:val="00E467FE"/>
    <w:rsid w:val="00E4777A"/>
    <w:rsid w:val="00E50019"/>
    <w:rsid w:val="00E50065"/>
    <w:rsid w:val="00E52D01"/>
    <w:rsid w:val="00E54AE8"/>
    <w:rsid w:val="00E5557F"/>
    <w:rsid w:val="00E5588F"/>
    <w:rsid w:val="00E60196"/>
    <w:rsid w:val="00E60756"/>
    <w:rsid w:val="00E618EA"/>
    <w:rsid w:val="00E61E09"/>
    <w:rsid w:val="00E62ACD"/>
    <w:rsid w:val="00E62C5F"/>
    <w:rsid w:val="00E63108"/>
    <w:rsid w:val="00E6402F"/>
    <w:rsid w:val="00E6457F"/>
    <w:rsid w:val="00E64B60"/>
    <w:rsid w:val="00E66E98"/>
    <w:rsid w:val="00E6724C"/>
    <w:rsid w:val="00E67E83"/>
    <w:rsid w:val="00E7057D"/>
    <w:rsid w:val="00E71AEB"/>
    <w:rsid w:val="00E72E97"/>
    <w:rsid w:val="00E737A7"/>
    <w:rsid w:val="00E74239"/>
    <w:rsid w:val="00E7503A"/>
    <w:rsid w:val="00E7556E"/>
    <w:rsid w:val="00E768B7"/>
    <w:rsid w:val="00E76D76"/>
    <w:rsid w:val="00E76F51"/>
    <w:rsid w:val="00E76F61"/>
    <w:rsid w:val="00E7700C"/>
    <w:rsid w:val="00E776ED"/>
    <w:rsid w:val="00E80C3F"/>
    <w:rsid w:val="00E8112D"/>
    <w:rsid w:val="00E81AFD"/>
    <w:rsid w:val="00E832F8"/>
    <w:rsid w:val="00E8330E"/>
    <w:rsid w:val="00E83789"/>
    <w:rsid w:val="00E854A0"/>
    <w:rsid w:val="00E86E90"/>
    <w:rsid w:val="00E87315"/>
    <w:rsid w:val="00E90810"/>
    <w:rsid w:val="00E91203"/>
    <w:rsid w:val="00E91308"/>
    <w:rsid w:val="00E91477"/>
    <w:rsid w:val="00E91585"/>
    <w:rsid w:val="00E915AC"/>
    <w:rsid w:val="00E9178F"/>
    <w:rsid w:val="00E917AE"/>
    <w:rsid w:val="00E91DA5"/>
    <w:rsid w:val="00E92488"/>
    <w:rsid w:val="00E9442D"/>
    <w:rsid w:val="00E94DA3"/>
    <w:rsid w:val="00E970AD"/>
    <w:rsid w:val="00E97548"/>
    <w:rsid w:val="00E9754A"/>
    <w:rsid w:val="00E9760B"/>
    <w:rsid w:val="00E97CC7"/>
    <w:rsid w:val="00E97E46"/>
    <w:rsid w:val="00EA04EF"/>
    <w:rsid w:val="00EA1131"/>
    <w:rsid w:val="00EA3483"/>
    <w:rsid w:val="00EA38C4"/>
    <w:rsid w:val="00EA6BEE"/>
    <w:rsid w:val="00EA704D"/>
    <w:rsid w:val="00EA79EB"/>
    <w:rsid w:val="00EB0DF1"/>
    <w:rsid w:val="00EB372E"/>
    <w:rsid w:val="00EB3AB3"/>
    <w:rsid w:val="00EB5145"/>
    <w:rsid w:val="00EB7836"/>
    <w:rsid w:val="00EB7E20"/>
    <w:rsid w:val="00EC08B0"/>
    <w:rsid w:val="00EC2A8B"/>
    <w:rsid w:val="00EC3B81"/>
    <w:rsid w:val="00EC443D"/>
    <w:rsid w:val="00EC4988"/>
    <w:rsid w:val="00EC4A47"/>
    <w:rsid w:val="00EC4BBB"/>
    <w:rsid w:val="00EC58BE"/>
    <w:rsid w:val="00EC5A9E"/>
    <w:rsid w:val="00EC5E1B"/>
    <w:rsid w:val="00EC5F41"/>
    <w:rsid w:val="00EC60CB"/>
    <w:rsid w:val="00EC7091"/>
    <w:rsid w:val="00EC7470"/>
    <w:rsid w:val="00EC7B4C"/>
    <w:rsid w:val="00ED009B"/>
    <w:rsid w:val="00ED0667"/>
    <w:rsid w:val="00ED0F19"/>
    <w:rsid w:val="00ED2EB1"/>
    <w:rsid w:val="00ED2EFF"/>
    <w:rsid w:val="00ED3700"/>
    <w:rsid w:val="00ED3AC7"/>
    <w:rsid w:val="00ED3BF4"/>
    <w:rsid w:val="00ED4234"/>
    <w:rsid w:val="00ED42A5"/>
    <w:rsid w:val="00ED612C"/>
    <w:rsid w:val="00ED7F90"/>
    <w:rsid w:val="00EE094E"/>
    <w:rsid w:val="00EE1CCD"/>
    <w:rsid w:val="00EE4DB7"/>
    <w:rsid w:val="00EE5189"/>
    <w:rsid w:val="00EE6E21"/>
    <w:rsid w:val="00EE7272"/>
    <w:rsid w:val="00EE776B"/>
    <w:rsid w:val="00EE7C4F"/>
    <w:rsid w:val="00EF15DA"/>
    <w:rsid w:val="00EF16DD"/>
    <w:rsid w:val="00EF2FB0"/>
    <w:rsid w:val="00EF3555"/>
    <w:rsid w:val="00EF3915"/>
    <w:rsid w:val="00EF4A52"/>
    <w:rsid w:val="00EF51E8"/>
    <w:rsid w:val="00EF5D1E"/>
    <w:rsid w:val="00EF66A8"/>
    <w:rsid w:val="00EF66D5"/>
    <w:rsid w:val="00EF66D6"/>
    <w:rsid w:val="00EF6B86"/>
    <w:rsid w:val="00EF7EB1"/>
    <w:rsid w:val="00F01322"/>
    <w:rsid w:val="00F02183"/>
    <w:rsid w:val="00F038E5"/>
    <w:rsid w:val="00F03B2B"/>
    <w:rsid w:val="00F04511"/>
    <w:rsid w:val="00F04839"/>
    <w:rsid w:val="00F04CC2"/>
    <w:rsid w:val="00F058FE"/>
    <w:rsid w:val="00F05D63"/>
    <w:rsid w:val="00F05F75"/>
    <w:rsid w:val="00F06B15"/>
    <w:rsid w:val="00F06C51"/>
    <w:rsid w:val="00F0755F"/>
    <w:rsid w:val="00F07DD0"/>
    <w:rsid w:val="00F109B1"/>
    <w:rsid w:val="00F10F67"/>
    <w:rsid w:val="00F11122"/>
    <w:rsid w:val="00F1157D"/>
    <w:rsid w:val="00F11CF5"/>
    <w:rsid w:val="00F11EDA"/>
    <w:rsid w:val="00F121A8"/>
    <w:rsid w:val="00F1301C"/>
    <w:rsid w:val="00F134D2"/>
    <w:rsid w:val="00F13DF7"/>
    <w:rsid w:val="00F13E07"/>
    <w:rsid w:val="00F145B8"/>
    <w:rsid w:val="00F155B7"/>
    <w:rsid w:val="00F15A44"/>
    <w:rsid w:val="00F160B9"/>
    <w:rsid w:val="00F16C53"/>
    <w:rsid w:val="00F17613"/>
    <w:rsid w:val="00F176B9"/>
    <w:rsid w:val="00F20348"/>
    <w:rsid w:val="00F20F65"/>
    <w:rsid w:val="00F23A10"/>
    <w:rsid w:val="00F24361"/>
    <w:rsid w:val="00F246FE"/>
    <w:rsid w:val="00F26EF6"/>
    <w:rsid w:val="00F277D0"/>
    <w:rsid w:val="00F27A52"/>
    <w:rsid w:val="00F30A5C"/>
    <w:rsid w:val="00F3240B"/>
    <w:rsid w:val="00F34720"/>
    <w:rsid w:val="00F354B5"/>
    <w:rsid w:val="00F355D3"/>
    <w:rsid w:val="00F368C1"/>
    <w:rsid w:val="00F36B58"/>
    <w:rsid w:val="00F36E11"/>
    <w:rsid w:val="00F36F4A"/>
    <w:rsid w:val="00F37460"/>
    <w:rsid w:val="00F379A3"/>
    <w:rsid w:val="00F37C6E"/>
    <w:rsid w:val="00F37D26"/>
    <w:rsid w:val="00F404F8"/>
    <w:rsid w:val="00F41D25"/>
    <w:rsid w:val="00F421CA"/>
    <w:rsid w:val="00F42730"/>
    <w:rsid w:val="00F43565"/>
    <w:rsid w:val="00F43FC8"/>
    <w:rsid w:val="00F449FE"/>
    <w:rsid w:val="00F44CA3"/>
    <w:rsid w:val="00F452B6"/>
    <w:rsid w:val="00F45AD2"/>
    <w:rsid w:val="00F46903"/>
    <w:rsid w:val="00F46AAC"/>
    <w:rsid w:val="00F46EA2"/>
    <w:rsid w:val="00F47B8F"/>
    <w:rsid w:val="00F50393"/>
    <w:rsid w:val="00F5072C"/>
    <w:rsid w:val="00F50F9E"/>
    <w:rsid w:val="00F517D0"/>
    <w:rsid w:val="00F52D4A"/>
    <w:rsid w:val="00F53D1B"/>
    <w:rsid w:val="00F555DB"/>
    <w:rsid w:val="00F55AA3"/>
    <w:rsid w:val="00F562BD"/>
    <w:rsid w:val="00F57B5D"/>
    <w:rsid w:val="00F60049"/>
    <w:rsid w:val="00F608B9"/>
    <w:rsid w:val="00F60DB7"/>
    <w:rsid w:val="00F60E91"/>
    <w:rsid w:val="00F61159"/>
    <w:rsid w:val="00F6156F"/>
    <w:rsid w:val="00F62302"/>
    <w:rsid w:val="00F6270E"/>
    <w:rsid w:val="00F62DA6"/>
    <w:rsid w:val="00F62E77"/>
    <w:rsid w:val="00F63738"/>
    <w:rsid w:val="00F63D87"/>
    <w:rsid w:val="00F672BE"/>
    <w:rsid w:val="00F701A7"/>
    <w:rsid w:val="00F71570"/>
    <w:rsid w:val="00F7173E"/>
    <w:rsid w:val="00F71883"/>
    <w:rsid w:val="00F726FC"/>
    <w:rsid w:val="00F72899"/>
    <w:rsid w:val="00F728C3"/>
    <w:rsid w:val="00F72BAE"/>
    <w:rsid w:val="00F7558E"/>
    <w:rsid w:val="00F76205"/>
    <w:rsid w:val="00F801B3"/>
    <w:rsid w:val="00F803F1"/>
    <w:rsid w:val="00F809EF"/>
    <w:rsid w:val="00F81111"/>
    <w:rsid w:val="00F8177B"/>
    <w:rsid w:val="00F81B47"/>
    <w:rsid w:val="00F83810"/>
    <w:rsid w:val="00F83B75"/>
    <w:rsid w:val="00F845A1"/>
    <w:rsid w:val="00F84899"/>
    <w:rsid w:val="00F8492C"/>
    <w:rsid w:val="00F85499"/>
    <w:rsid w:val="00F859F0"/>
    <w:rsid w:val="00F863DA"/>
    <w:rsid w:val="00F86883"/>
    <w:rsid w:val="00F8789E"/>
    <w:rsid w:val="00F87B39"/>
    <w:rsid w:val="00F91CA6"/>
    <w:rsid w:val="00F92D56"/>
    <w:rsid w:val="00F92E29"/>
    <w:rsid w:val="00F93448"/>
    <w:rsid w:val="00F94AEF"/>
    <w:rsid w:val="00FA06A3"/>
    <w:rsid w:val="00FA0AD1"/>
    <w:rsid w:val="00FA0E3E"/>
    <w:rsid w:val="00FA273C"/>
    <w:rsid w:val="00FA2ACB"/>
    <w:rsid w:val="00FA310C"/>
    <w:rsid w:val="00FA3B5A"/>
    <w:rsid w:val="00FA40C0"/>
    <w:rsid w:val="00FA4A30"/>
    <w:rsid w:val="00FA4B7C"/>
    <w:rsid w:val="00FA4CDC"/>
    <w:rsid w:val="00FA540E"/>
    <w:rsid w:val="00FA6587"/>
    <w:rsid w:val="00FA6DE2"/>
    <w:rsid w:val="00FA723D"/>
    <w:rsid w:val="00FB0D40"/>
    <w:rsid w:val="00FB301D"/>
    <w:rsid w:val="00FB42FF"/>
    <w:rsid w:val="00FB47F3"/>
    <w:rsid w:val="00FB516F"/>
    <w:rsid w:val="00FB5564"/>
    <w:rsid w:val="00FB58AF"/>
    <w:rsid w:val="00FB5BF9"/>
    <w:rsid w:val="00FB7DD6"/>
    <w:rsid w:val="00FC0862"/>
    <w:rsid w:val="00FC0B6A"/>
    <w:rsid w:val="00FC0F82"/>
    <w:rsid w:val="00FC3D45"/>
    <w:rsid w:val="00FC4435"/>
    <w:rsid w:val="00FC4647"/>
    <w:rsid w:val="00FC55C2"/>
    <w:rsid w:val="00FC62E4"/>
    <w:rsid w:val="00FC6A13"/>
    <w:rsid w:val="00FC6EB3"/>
    <w:rsid w:val="00FC711A"/>
    <w:rsid w:val="00FC7299"/>
    <w:rsid w:val="00FC7C2E"/>
    <w:rsid w:val="00FC7F10"/>
    <w:rsid w:val="00FD019A"/>
    <w:rsid w:val="00FD140C"/>
    <w:rsid w:val="00FD15B5"/>
    <w:rsid w:val="00FD2533"/>
    <w:rsid w:val="00FD254D"/>
    <w:rsid w:val="00FD3213"/>
    <w:rsid w:val="00FD3A2E"/>
    <w:rsid w:val="00FD4AFF"/>
    <w:rsid w:val="00FD50F2"/>
    <w:rsid w:val="00FD674C"/>
    <w:rsid w:val="00FD7A75"/>
    <w:rsid w:val="00FD7C2D"/>
    <w:rsid w:val="00FD7C89"/>
    <w:rsid w:val="00FE0395"/>
    <w:rsid w:val="00FE0DC4"/>
    <w:rsid w:val="00FE0E9C"/>
    <w:rsid w:val="00FE0EBA"/>
    <w:rsid w:val="00FE125A"/>
    <w:rsid w:val="00FE141E"/>
    <w:rsid w:val="00FE1AF1"/>
    <w:rsid w:val="00FE24F4"/>
    <w:rsid w:val="00FE2A33"/>
    <w:rsid w:val="00FE46AA"/>
    <w:rsid w:val="00FE5C7F"/>
    <w:rsid w:val="00FE5ECC"/>
    <w:rsid w:val="00FE65B4"/>
    <w:rsid w:val="00FE674D"/>
    <w:rsid w:val="00FE6E5C"/>
    <w:rsid w:val="00FF10B9"/>
    <w:rsid w:val="00FF1325"/>
    <w:rsid w:val="00FF2832"/>
    <w:rsid w:val="00FF3657"/>
    <w:rsid w:val="00FF417D"/>
    <w:rsid w:val="00FF49BD"/>
    <w:rsid w:val="00FF4A64"/>
    <w:rsid w:val="00FF521D"/>
    <w:rsid w:val="00FF5C43"/>
    <w:rsid w:val="00FF5EBA"/>
    <w:rsid w:val="00FF60FB"/>
    <w:rsid w:val="00FF66DD"/>
    <w:rsid w:val="00FF6C03"/>
    <w:rsid w:val="00FF6F65"/>
    <w:rsid w:val="00FF75DB"/>
    <w:rsid w:val="00FF7737"/>
    <w:rsid w:val="00FF773A"/>
    <w:rsid w:val="00FF7BEE"/>
    <w:rsid w:val="00FF7E87"/>
    <w:rsid w:val="03C30222"/>
    <w:rsid w:val="127BF070"/>
    <w:rsid w:val="1756A024"/>
    <w:rsid w:val="374C1BEF"/>
    <w:rsid w:val="4AD19253"/>
    <w:rsid w:val="73FCB41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A38B7638-A09F-430D-BC5A-CEE74186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003"/>
    <w:rPr>
      <w:sz w:val="24"/>
      <w:lang w:val="es-MX"/>
    </w:rPr>
  </w:style>
  <w:style w:type="paragraph" w:styleId="Ttulo1">
    <w:name w:val="heading 1"/>
    <w:basedOn w:val="Normal"/>
    <w:next w:val="Normal"/>
    <w:link w:val="Ttulo1Car"/>
    <w:qFormat/>
    <w:rsid w:val="00050E2C"/>
    <w:pPr>
      <w:keepNext/>
      <w:numPr>
        <w:numId w:val="17"/>
      </w:numPr>
      <w:spacing w:before="240" w:after="60" w:line="240" w:lineRule="auto"/>
      <w:jc w:val="left"/>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050E2C"/>
    <w:pPr>
      <w:keepNext/>
      <w:numPr>
        <w:ilvl w:val="1"/>
        <w:numId w:val="17"/>
      </w:numPr>
      <w:spacing w:before="240" w:after="60" w:line="240" w:lineRule="auto"/>
      <w:jc w:val="left"/>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050E2C"/>
    <w:pPr>
      <w:keepNext/>
      <w:numPr>
        <w:ilvl w:val="2"/>
        <w:numId w:val="17"/>
      </w:numPr>
      <w:spacing w:before="240" w:after="60" w:line="240" w:lineRule="auto"/>
      <w:jc w:val="left"/>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qFormat/>
    <w:rsid w:val="00050E2C"/>
    <w:pPr>
      <w:keepNext/>
      <w:numPr>
        <w:ilvl w:val="3"/>
        <w:numId w:val="17"/>
      </w:numPr>
      <w:spacing w:before="240" w:after="60" w:line="240" w:lineRule="auto"/>
      <w:jc w:val="left"/>
      <w:outlineLvl w:val="3"/>
    </w:pPr>
    <w:rPr>
      <w:rFonts w:ascii="Times New Roman" w:eastAsia="Times New Roman" w:hAnsi="Times New Roman" w:cs="Times New Roman"/>
      <w:b/>
      <w:bCs/>
      <w:sz w:val="28"/>
      <w:szCs w:val="28"/>
      <w:lang w:val="es-ES" w:eastAsia="es-ES"/>
    </w:rPr>
  </w:style>
  <w:style w:type="paragraph" w:styleId="Ttulo5">
    <w:name w:val="heading 5"/>
    <w:basedOn w:val="Normal"/>
    <w:next w:val="Normal"/>
    <w:link w:val="Ttulo5Car"/>
    <w:qFormat/>
    <w:rsid w:val="00050E2C"/>
    <w:pPr>
      <w:numPr>
        <w:ilvl w:val="4"/>
        <w:numId w:val="17"/>
      </w:numPr>
      <w:spacing w:before="240" w:after="60" w:line="240" w:lineRule="auto"/>
      <w:jc w:val="left"/>
      <w:outlineLvl w:val="4"/>
    </w:pPr>
    <w:rPr>
      <w:rFonts w:ascii="Times New Roman" w:eastAsia="Times New Roman" w:hAnsi="Times New Roman" w:cs="Times New Roman"/>
      <w:b/>
      <w:bCs/>
      <w:i/>
      <w:iCs/>
      <w:sz w:val="26"/>
      <w:szCs w:val="26"/>
      <w:lang w:val="es-ES" w:eastAsia="es-ES"/>
    </w:rPr>
  </w:style>
  <w:style w:type="paragraph" w:styleId="Ttulo6">
    <w:name w:val="heading 6"/>
    <w:basedOn w:val="Normal"/>
    <w:next w:val="Normal"/>
    <w:link w:val="Ttulo6Car"/>
    <w:qFormat/>
    <w:rsid w:val="00050E2C"/>
    <w:pPr>
      <w:numPr>
        <w:ilvl w:val="5"/>
        <w:numId w:val="17"/>
      </w:numPr>
      <w:spacing w:before="240" w:after="60" w:line="240" w:lineRule="auto"/>
      <w:jc w:val="left"/>
      <w:outlineLvl w:val="5"/>
    </w:pPr>
    <w:rPr>
      <w:rFonts w:ascii="Times New Roman" w:eastAsia="Times New Roman" w:hAnsi="Times New Roman" w:cs="Times New Roman"/>
      <w:b/>
      <w:bCs/>
      <w:sz w:val="22"/>
      <w:lang w:val="es-ES" w:eastAsia="es-ES"/>
    </w:rPr>
  </w:style>
  <w:style w:type="paragraph" w:styleId="Ttulo7">
    <w:name w:val="heading 7"/>
    <w:basedOn w:val="Normal"/>
    <w:next w:val="Normal"/>
    <w:link w:val="Ttulo7Car"/>
    <w:qFormat/>
    <w:rsid w:val="00050E2C"/>
    <w:pPr>
      <w:numPr>
        <w:ilvl w:val="6"/>
        <w:numId w:val="17"/>
      </w:numPr>
      <w:spacing w:before="240" w:after="60" w:line="240" w:lineRule="auto"/>
      <w:jc w:val="left"/>
      <w:outlineLvl w:val="6"/>
    </w:pPr>
    <w:rPr>
      <w:rFonts w:ascii="Times New Roman" w:eastAsia="Times New Roman" w:hAnsi="Times New Roman" w:cs="Times New Roman"/>
      <w:szCs w:val="24"/>
      <w:lang w:val="es-ES" w:eastAsia="es-ES"/>
    </w:rPr>
  </w:style>
  <w:style w:type="paragraph" w:styleId="Ttulo8">
    <w:name w:val="heading 8"/>
    <w:basedOn w:val="Normal"/>
    <w:next w:val="Normal"/>
    <w:link w:val="Ttulo8Car"/>
    <w:qFormat/>
    <w:rsid w:val="00050E2C"/>
    <w:pPr>
      <w:numPr>
        <w:ilvl w:val="7"/>
        <w:numId w:val="17"/>
      </w:numPr>
      <w:spacing w:before="240" w:after="60" w:line="240" w:lineRule="auto"/>
      <w:jc w:val="left"/>
      <w:outlineLvl w:val="7"/>
    </w:pPr>
    <w:rPr>
      <w:rFonts w:ascii="Times New Roman" w:eastAsia="Times New Roman" w:hAnsi="Times New Roman" w:cs="Times New Roman"/>
      <w:i/>
      <w:iCs/>
      <w:szCs w:val="24"/>
      <w:lang w:val="es-ES" w:eastAsia="es-ES"/>
    </w:rPr>
  </w:style>
  <w:style w:type="paragraph" w:styleId="Ttulo9">
    <w:name w:val="heading 9"/>
    <w:basedOn w:val="Normal"/>
    <w:next w:val="Normal"/>
    <w:link w:val="Ttulo9Car"/>
    <w:qFormat/>
    <w:rsid w:val="00050E2C"/>
    <w:pPr>
      <w:numPr>
        <w:ilvl w:val="8"/>
        <w:numId w:val="17"/>
      </w:numPr>
      <w:spacing w:before="240" w:after="60" w:line="240" w:lineRule="auto"/>
      <w:jc w:val="left"/>
      <w:outlineLvl w:val="8"/>
    </w:pPr>
    <w:rPr>
      <w:rFonts w:ascii="Arial" w:eastAsia="Times New Roman" w:hAnsi="Arial" w:cs="Arial"/>
      <w:sz w:val="2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uiPriority w:val="99"/>
    <w:qFormat/>
    <w:rsid w:val="007B0854"/>
    <w:pPr>
      <w:keepNext/>
      <w:spacing w:before="120"/>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B0854"/>
    <w:rPr>
      <w:vertAlign w:val="superscript"/>
    </w:rPr>
  </w:style>
  <w:style w:type="paragraph" w:customStyle="1" w:styleId="pa22">
    <w:name w:val="pa22"/>
    <w:basedOn w:val="Normal"/>
    <w:rsid w:val="00887B15"/>
    <w:pPr>
      <w:spacing w:before="100" w:beforeAutospacing="1" w:after="100" w:afterAutospacing="1"/>
    </w:pPr>
    <w:rPr>
      <w:rFonts w:ascii="Times New Roman" w:eastAsia="Times New Roman" w:hAnsi="Times New Roman" w:cs="Times New Roman"/>
      <w:szCs w:val="24"/>
      <w:lang w:val="es-ES" w:eastAsia="es-ES"/>
    </w:rPr>
  </w:style>
  <w:style w:type="character" w:styleId="Textoennegrita">
    <w:name w:val="Strong"/>
    <w:basedOn w:val="Fuentedeprrafopredeter"/>
    <w:uiPriority w:val="22"/>
    <w:qFormat/>
    <w:rsid w:val="00AF1ED8"/>
    <w:rPr>
      <w:b/>
      <w:bCs/>
    </w:rPr>
  </w:style>
  <w:style w:type="character" w:styleId="nfasis">
    <w:name w:val="Emphasis"/>
    <w:basedOn w:val="Fuentedeprrafopredeter"/>
    <w:uiPriority w:val="20"/>
    <w:qFormat/>
    <w:rsid w:val="00AF1ED8"/>
    <w:rPr>
      <w:i/>
      <w:iCs/>
    </w:rPr>
  </w:style>
  <w:style w:type="character" w:customStyle="1" w:styleId="Mencinsinresolver1">
    <w:name w:val="Mención sin resolver1"/>
    <w:basedOn w:val="Fuentedeprrafopredeter"/>
    <w:uiPriority w:val="99"/>
    <w:semiHidden/>
    <w:unhideWhenUsed/>
    <w:rsid w:val="00620E47"/>
    <w:rPr>
      <w:color w:val="605E5C"/>
      <w:shd w:val="clear" w:color="auto" w:fill="E1DFDD"/>
    </w:rPr>
  </w:style>
  <w:style w:type="paragraph" w:customStyle="1" w:styleId="Capitulo3">
    <w:name w:val="Capitulo 3"/>
    <w:basedOn w:val="Normal"/>
    <w:qFormat/>
    <w:rsid w:val="00DF6ACD"/>
    <w:pPr>
      <w:keepNext/>
      <w:numPr>
        <w:numId w:val="7"/>
      </w:numPr>
      <w:spacing w:before="120"/>
      <w:outlineLvl w:val="1"/>
    </w:pPr>
    <w:rPr>
      <w:rFonts w:ascii="Arial" w:eastAsia="Times New Roman" w:hAnsi="Arial" w:cs="Arial"/>
      <w:b/>
      <w:color w:val="000000"/>
      <w:sz w:val="20"/>
      <w:szCs w:val="20"/>
      <w:lang w:val="es-CO" w:eastAsia="es-CO"/>
    </w:rPr>
  </w:style>
  <w:style w:type="paragraph" w:customStyle="1" w:styleId="InviasNormal">
    <w:name w:val="Invias Normal"/>
    <w:basedOn w:val="Normal"/>
    <w:link w:val="InviasNormalCar"/>
    <w:qFormat/>
    <w:rsid w:val="001A27D7"/>
    <w:pPr>
      <w:tabs>
        <w:tab w:val="left" w:pos="-142"/>
      </w:tabs>
      <w:autoSpaceDE w:val="0"/>
      <w:autoSpaceDN w:val="0"/>
      <w:adjustRightInd w:val="0"/>
      <w:spacing w:before="120" w:after="240"/>
    </w:pPr>
    <w:rPr>
      <w:rFonts w:ascii="Arial Narrow" w:eastAsia="Times New Roman" w:hAnsi="Arial Narrow" w:cs="Times New Roman"/>
      <w:color w:val="3C3C3C" w:themeColor="background2" w:themeShade="40"/>
      <w:szCs w:val="24"/>
      <w:lang w:val="x-none" w:eastAsia="es-ES"/>
    </w:rPr>
  </w:style>
  <w:style w:type="character" w:customStyle="1" w:styleId="InviasNormalCar">
    <w:name w:val="Invias Normal Car"/>
    <w:link w:val="InviasNormal"/>
    <w:locked/>
    <w:rsid w:val="001A27D7"/>
    <w:rPr>
      <w:rFonts w:ascii="Arial Narrow" w:eastAsia="Times New Roman" w:hAnsi="Arial Narrow" w:cs="Times New Roman"/>
      <w:color w:val="3C3C3C" w:themeColor="background2" w:themeShade="40"/>
      <w:sz w:val="24"/>
      <w:szCs w:val="24"/>
      <w:lang w:val="x-none" w:eastAsia="es-ES"/>
    </w:rPr>
  </w:style>
  <w:style w:type="paragraph" w:customStyle="1" w:styleId="Entidad-Capitulo">
    <w:name w:val="Entidad-Capitulo"/>
    <w:next w:val="Normal"/>
    <w:autoRedefine/>
    <w:uiPriority w:val="99"/>
    <w:qFormat/>
    <w:rsid w:val="001A27D7"/>
    <w:pPr>
      <w:keepNext/>
      <w:spacing w:before="240" w:after="0" w:line="240" w:lineRule="auto"/>
      <w:jc w:val="center"/>
      <w:outlineLvl w:val="0"/>
    </w:pPr>
    <w:rPr>
      <w:rFonts w:ascii="Arial" w:eastAsia="Times New Roman" w:hAnsi="Arial" w:cs="Arial"/>
      <w:b/>
      <w:smallCaps/>
      <w:sz w:val="20"/>
      <w:szCs w:val="20"/>
      <w:lang w:eastAsia="es-ES"/>
    </w:rPr>
  </w:style>
  <w:style w:type="paragraph" w:styleId="Revisin">
    <w:name w:val="Revision"/>
    <w:hidden/>
    <w:uiPriority w:val="99"/>
    <w:semiHidden/>
    <w:rsid w:val="009409CA"/>
    <w:pPr>
      <w:spacing w:after="0" w:line="240" w:lineRule="auto"/>
    </w:pPr>
    <w:rPr>
      <w:sz w:val="24"/>
      <w:lang w:val="es-MX"/>
    </w:rPr>
  </w:style>
  <w:style w:type="paragraph" w:customStyle="1" w:styleId="Appelnotedebasde">
    <w:name w:val="Appel note de bas de..."/>
    <w:basedOn w:val="Normal"/>
    <w:link w:val="Refdenotaalpie"/>
    <w:uiPriority w:val="99"/>
    <w:rsid w:val="00904CD9"/>
    <w:pPr>
      <w:spacing w:after="160" w:line="240" w:lineRule="exact"/>
    </w:pPr>
    <w:rPr>
      <w:sz w:val="22"/>
      <w:vertAlign w:val="superscript"/>
      <w:lang w:val="es-CO"/>
    </w:rPr>
  </w:style>
  <w:style w:type="character" w:customStyle="1" w:styleId="NormalWebCar">
    <w:name w:val="Normal (Web) Car"/>
    <w:link w:val="NormalWeb"/>
    <w:uiPriority w:val="99"/>
    <w:locked/>
    <w:rsid w:val="00904CD9"/>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F0755F"/>
  </w:style>
  <w:style w:type="paragraph" w:styleId="Textoindependiente">
    <w:name w:val="Body Text"/>
    <w:basedOn w:val="Normal"/>
    <w:link w:val="TextoindependienteCar"/>
    <w:uiPriority w:val="1"/>
    <w:qFormat/>
    <w:rsid w:val="008E0A7E"/>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8E0A7E"/>
    <w:rPr>
      <w:rFonts w:ascii="Arial" w:eastAsia="Arial" w:hAnsi="Arial" w:cs="Arial"/>
      <w:lang w:val="es-ES" w:eastAsia="es-ES" w:bidi="es-ES"/>
    </w:rPr>
  </w:style>
  <w:style w:type="paragraph" w:styleId="Textonotaalfinal">
    <w:name w:val="endnote text"/>
    <w:basedOn w:val="Normal"/>
    <w:link w:val="TextonotaalfinalCar"/>
    <w:uiPriority w:val="99"/>
    <w:semiHidden/>
    <w:unhideWhenUsed/>
    <w:rsid w:val="00A8268C"/>
    <w:rPr>
      <w:sz w:val="20"/>
      <w:szCs w:val="20"/>
    </w:rPr>
  </w:style>
  <w:style w:type="character" w:customStyle="1" w:styleId="TextonotaalfinalCar">
    <w:name w:val="Texto nota al final Car"/>
    <w:basedOn w:val="Fuentedeprrafopredeter"/>
    <w:link w:val="Textonotaalfinal"/>
    <w:uiPriority w:val="99"/>
    <w:semiHidden/>
    <w:rsid w:val="00A8268C"/>
    <w:rPr>
      <w:sz w:val="20"/>
      <w:szCs w:val="20"/>
      <w:lang w:val="es-MX"/>
    </w:rPr>
  </w:style>
  <w:style w:type="character" w:styleId="Refdenotaalfinal">
    <w:name w:val="endnote reference"/>
    <w:basedOn w:val="Fuentedeprrafopredeter"/>
    <w:uiPriority w:val="99"/>
    <w:semiHidden/>
    <w:unhideWhenUsed/>
    <w:rsid w:val="00A8268C"/>
    <w:rPr>
      <w:vertAlign w:val="superscript"/>
    </w:rPr>
  </w:style>
  <w:style w:type="table" w:customStyle="1" w:styleId="Tablaconcuadrcula1">
    <w:name w:val="Tabla con cuadrícula1"/>
    <w:basedOn w:val="Tablanormal"/>
    <w:next w:val="Tablaconcuadrcula"/>
    <w:uiPriority w:val="39"/>
    <w:rsid w:val="00FE0395"/>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22085C"/>
  </w:style>
  <w:style w:type="table" w:customStyle="1" w:styleId="Tablaconcuadrcula2">
    <w:name w:val="Tabla con cuadrícula2"/>
    <w:basedOn w:val="Tablanormal"/>
    <w:next w:val="Tablaconcuadrcula"/>
    <w:uiPriority w:val="39"/>
    <w:rsid w:val="000C00B6"/>
    <w:pPr>
      <w:spacing w:before="12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050E2C"/>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050E2C"/>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050E2C"/>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050E2C"/>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050E2C"/>
    <w:rPr>
      <w:rFonts w:ascii="Times New Roman" w:eastAsia="Times New Roman" w:hAnsi="Times New Roman" w:cs="Times New Roman"/>
      <w:b/>
      <w:bCs/>
      <w:i/>
      <w:iCs/>
      <w:sz w:val="26"/>
      <w:szCs w:val="26"/>
      <w:lang w:val="es-ES" w:eastAsia="es-ES"/>
    </w:rPr>
  </w:style>
  <w:style w:type="character" w:customStyle="1" w:styleId="Ttulo6Car">
    <w:name w:val="Título 6 Car"/>
    <w:basedOn w:val="Fuentedeprrafopredeter"/>
    <w:link w:val="Ttulo6"/>
    <w:rsid w:val="00050E2C"/>
    <w:rPr>
      <w:rFonts w:ascii="Times New Roman" w:eastAsia="Times New Roman" w:hAnsi="Times New Roman" w:cs="Times New Roman"/>
      <w:b/>
      <w:bCs/>
      <w:lang w:val="es-ES" w:eastAsia="es-ES"/>
    </w:rPr>
  </w:style>
  <w:style w:type="character" w:customStyle="1" w:styleId="Ttulo7Car">
    <w:name w:val="Título 7 Car"/>
    <w:basedOn w:val="Fuentedeprrafopredeter"/>
    <w:link w:val="Ttulo7"/>
    <w:rsid w:val="00050E2C"/>
    <w:rPr>
      <w:rFonts w:ascii="Times New Roman" w:eastAsia="Times New Roman" w:hAnsi="Times New Roman" w:cs="Times New Roman"/>
      <w:sz w:val="24"/>
      <w:szCs w:val="24"/>
      <w:lang w:val="es-ES" w:eastAsia="es-ES"/>
    </w:rPr>
  </w:style>
  <w:style w:type="character" w:customStyle="1" w:styleId="Ttulo8Car">
    <w:name w:val="Título 8 Car"/>
    <w:basedOn w:val="Fuentedeprrafopredeter"/>
    <w:link w:val="Ttulo8"/>
    <w:rsid w:val="00050E2C"/>
    <w:rPr>
      <w:rFonts w:ascii="Times New Roman" w:eastAsia="Times New Roman" w:hAnsi="Times New Roman" w:cs="Times New Roman"/>
      <w:i/>
      <w:iCs/>
      <w:sz w:val="24"/>
      <w:szCs w:val="24"/>
      <w:lang w:val="es-ES" w:eastAsia="es-ES"/>
    </w:rPr>
  </w:style>
  <w:style w:type="character" w:customStyle="1" w:styleId="Ttulo9Car">
    <w:name w:val="Título 9 Car"/>
    <w:basedOn w:val="Fuentedeprrafopredeter"/>
    <w:link w:val="Ttulo9"/>
    <w:rsid w:val="00050E2C"/>
    <w:rPr>
      <w:rFonts w:ascii="Arial" w:eastAsia="Times New Roman" w:hAnsi="Arial" w:cs="Arial"/>
      <w:lang w:val="es-ES" w:eastAsia="es-ES"/>
    </w:rPr>
  </w:style>
  <w:style w:type="table" w:customStyle="1" w:styleId="Tablaconcuadrcula3">
    <w:name w:val="Tabla con cuadrícula3"/>
    <w:basedOn w:val="Tablanormal"/>
    <w:next w:val="Tablaconcuadrcula"/>
    <w:uiPriority w:val="39"/>
    <w:rsid w:val="000751BB"/>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qFormat/>
    <w:rsid w:val="001F59AB"/>
    <w:pPr>
      <w:overflowPunct w:val="0"/>
      <w:autoSpaceDE w:val="0"/>
      <w:autoSpaceDN w:val="0"/>
      <w:adjustRightInd w:val="0"/>
      <w:spacing w:after="0" w:line="240" w:lineRule="auto"/>
      <w:jc w:val="right"/>
      <w:textAlignment w:val="baseline"/>
    </w:pPr>
    <w:rPr>
      <w:rFonts w:ascii="Verdana" w:eastAsia="Times New Roman" w:hAnsi="Verdana" w:cs="Times New Roman"/>
      <w:b/>
      <w:sz w:val="28"/>
      <w:szCs w:val="20"/>
      <w:lang w:val="es-ES_tradnl" w:eastAsia="es-ES"/>
    </w:rPr>
  </w:style>
  <w:style w:type="paragraph" w:customStyle="1" w:styleId="Default">
    <w:name w:val="Default"/>
    <w:rsid w:val="001F59AB"/>
    <w:pPr>
      <w:autoSpaceDE w:val="0"/>
      <w:autoSpaceDN w:val="0"/>
      <w:adjustRightInd w:val="0"/>
      <w:spacing w:after="0" w:line="240" w:lineRule="auto"/>
      <w:jc w:val="left"/>
    </w:pPr>
    <w:rPr>
      <w:rFonts w:ascii="Arial" w:hAnsi="Arial" w:cs="Arial"/>
      <w:color w:val="000000"/>
      <w:sz w:val="24"/>
      <w:szCs w:val="24"/>
      <w:lang w:val="es-ES"/>
    </w:rPr>
  </w:style>
  <w:style w:type="paragraph" w:customStyle="1" w:styleId="CM203">
    <w:name w:val="CM203"/>
    <w:basedOn w:val="Normal"/>
    <w:next w:val="Normal"/>
    <w:uiPriority w:val="99"/>
    <w:rsid w:val="001F59AB"/>
    <w:pPr>
      <w:widowControl w:val="0"/>
      <w:autoSpaceDE w:val="0"/>
      <w:autoSpaceDN w:val="0"/>
      <w:adjustRightInd w:val="0"/>
      <w:spacing w:after="0" w:line="240" w:lineRule="auto"/>
      <w:jc w:val="left"/>
    </w:pPr>
    <w:rPr>
      <w:rFonts w:ascii="Times New Roman" w:eastAsia="Times New Roman" w:hAnsi="Times New Roman" w:cs="Times New Roman"/>
      <w:szCs w:val="24"/>
      <w:lang w:val="es-ES" w:eastAsia="es-ES"/>
    </w:rPr>
  </w:style>
  <w:style w:type="paragraph" w:styleId="Textoindependiente2">
    <w:name w:val="Body Text 2"/>
    <w:basedOn w:val="Normal"/>
    <w:link w:val="Textoindependiente2Car"/>
    <w:uiPriority w:val="99"/>
    <w:semiHidden/>
    <w:unhideWhenUsed/>
    <w:rsid w:val="00C1755A"/>
    <w:pPr>
      <w:spacing w:after="120" w:line="480" w:lineRule="auto"/>
    </w:pPr>
  </w:style>
  <w:style w:type="character" w:customStyle="1" w:styleId="Textoindependiente2Car">
    <w:name w:val="Texto independiente 2 Car"/>
    <w:basedOn w:val="Fuentedeprrafopredeter"/>
    <w:link w:val="Textoindependiente2"/>
    <w:uiPriority w:val="99"/>
    <w:semiHidden/>
    <w:rsid w:val="00C1755A"/>
    <w:rPr>
      <w:sz w:val="24"/>
      <w:lang w:val="es-MX"/>
    </w:rPr>
  </w:style>
  <w:style w:type="character" w:customStyle="1" w:styleId="apple-converted-space">
    <w:name w:val="apple-converted-space"/>
    <w:basedOn w:val="Fuentedeprrafopredeter"/>
    <w:rsid w:val="00877FC5"/>
  </w:style>
  <w:style w:type="character" w:styleId="Mencinsinresolver">
    <w:name w:val="Unresolved Mention"/>
    <w:basedOn w:val="Fuentedeprrafopredeter"/>
    <w:uiPriority w:val="99"/>
    <w:semiHidden/>
    <w:unhideWhenUsed/>
    <w:rsid w:val="00946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76068">
      <w:bodyDiv w:val="1"/>
      <w:marLeft w:val="0"/>
      <w:marRight w:val="0"/>
      <w:marTop w:val="0"/>
      <w:marBottom w:val="0"/>
      <w:divBdr>
        <w:top w:val="none" w:sz="0" w:space="0" w:color="auto"/>
        <w:left w:val="none" w:sz="0" w:space="0" w:color="auto"/>
        <w:bottom w:val="none" w:sz="0" w:space="0" w:color="auto"/>
        <w:right w:val="none" w:sz="0" w:space="0" w:color="auto"/>
      </w:divBdr>
    </w:div>
    <w:div w:id="38094185">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65686981">
      <w:bodyDiv w:val="1"/>
      <w:marLeft w:val="0"/>
      <w:marRight w:val="0"/>
      <w:marTop w:val="0"/>
      <w:marBottom w:val="0"/>
      <w:divBdr>
        <w:top w:val="none" w:sz="0" w:space="0" w:color="auto"/>
        <w:left w:val="none" w:sz="0" w:space="0" w:color="auto"/>
        <w:bottom w:val="none" w:sz="0" w:space="0" w:color="auto"/>
        <w:right w:val="none" w:sz="0" w:space="0" w:color="auto"/>
      </w:divBdr>
      <w:divsChild>
        <w:div w:id="1403675036">
          <w:marLeft w:val="0"/>
          <w:marRight w:val="0"/>
          <w:marTop w:val="0"/>
          <w:marBottom w:val="0"/>
          <w:divBdr>
            <w:top w:val="none" w:sz="0" w:space="0" w:color="auto"/>
            <w:left w:val="none" w:sz="0" w:space="0" w:color="auto"/>
            <w:bottom w:val="none" w:sz="0" w:space="0" w:color="auto"/>
            <w:right w:val="none" w:sz="0" w:space="0" w:color="auto"/>
          </w:divBdr>
        </w:div>
        <w:div w:id="1127549938">
          <w:marLeft w:val="0"/>
          <w:marRight w:val="0"/>
          <w:marTop w:val="0"/>
          <w:marBottom w:val="0"/>
          <w:divBdr>
            <w:top w:val="none" w:sz="0" w:space="0" w:color="auto"/>
            <w:left w:val="none" w:sz="0" w:space="0" w:color="auto"/>
            <w:bottom w:val="none" w:sz="0" w:space="0" w:color="auto"/>
            <w:right w:val="none" w:sz="0" w:space="0" w:color="auto"/>
          </w:divBdr>
        </w:div>
      </w:divsChild>
    </w:div>
    <w:div w:id="70544669">
      <w:bodyDiv w:val="1"/>
      <w:marLeft w:val="0"/>
      <w:marRight w:val="0"/>
      <w:marTop w:val="0"/>
      <w:marBottom w:val="0"/>
      <w:divBdr>
        <w:top w:val="none" w:sz="0" w:space="0" w:color="auto"/>
        <w:left w:val="none" w:sz="0" w:space="0" w:color="auto"/>
        <w:bottom w:val="none" w:sz="0" w:space="0" w:color="auto"/>
        <w:right w:val="none" w:sz="0" w:space="0" w:color="auto"/>
      </w:divBdr>
      <w:divsChild>
        <w:div w:id="1513495133">
          <w:marLeft w:val="0"/>
          <w:marRight w:val="0"/>
          <w:marTop w:val="0"/>
          <w:marBottom w:val="0"/>
          <w:divBdr>
            <w:top w:val="none" w:sz="0" w:space="0" w:color="auto"/>
            <w:left w:val="none" w:sz="0" w:space="0" w:color="auto"/>
            <w:bottom w:val="none" w:sz="0" w:space="0" w:color="auto"/>
            <w:right w:val="none" w:sz="0" w:space="0" w:color="auto"/>
          </w:divBdr>
          <w:divsChild>
            <w:div w:id="734858809">
              <w:marLeft w:val="0"/>
              <w:marRight w:val="0"/>
              <w:marTop w:val="0"/>
              <w:marBottom w:val="0"/>
              <w:divBdr>
                <w:top w:val="none" w:sz="0" w:space="0" w:color="auto"/>
                <w:left w:val="none" w:sz="0" w:space="0" w:color="auto"/>
                <w:bottom w:val="none" w:sz="0" w:space="0" w:color="auto"/>
                <w:right w:val="none" w:sz="0" w:space="0" w:color="auto"/>
              </w:divBdr>
              <w:divsChild>
                <w:div w:id="1385987392">
                  <w:marLeft w:val="0"/>
                  <w:marRight w:val="0"/>
                  <w:marTop w:val="0"/>
                  <w:marBottom w:val="0"/>
                  <w:divBdr>
                    <w:top w:val="none" w:sz="0" w:space="0" w:color="auto"/>
                    <w:left w:val="none" w:sz="0" w:space="0" w:color="auto"/>
                    <w:bottom w:val="none" w:sz="0" w:space="0" w:color="auto"/>
                    <w:right w:val="none" w:sz="0" w:space="0" w:color="auto"/>
                  </w:divBdr>
                </w:div>
              </w:divsChild>
            </w:div>
            <w:div w:id="414395898">
              <w:marLeft w:val="0"/>
              <w:marRight w:val="0"/>
              <w:marTop w:val="0"/>
              <w:marBottom w:val="0"/>
              <w:divBdr>
                <w:top w:val="none" w:sz="0" w:space="0" w:color="auto"/>
                <w:left w:val="none" w:sz="0" w:space="0" w:color="auto"/>
                <w:bottom w:val="none" w:sz="0" w:space="0" w:color="auto"/>
                <w:right w:val="none" w:sz="0" w:space="0" w:color="auto"/>
              </w:divBdr>
              <w:divsChild>
                <w:div w:id="8498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75642">
      <w:bodyDiv w:val="1"/>
      <w:marLeft w:val="0"/>
      <w:marRight w:val="0"/>
      <w:marTop w:val="0"/>
      <w:marBottom w:val="0"/>
      <w:divBdr>
        <w:top w:val="none" w:sz="0" w:space="0" w:color="auto"/>
        <w:left w:val="none" w:sz="0" w:space="0" w:color="auto"/>
        <w:bottom w:val="none" w:sz="0" w:space="0" w:color="auto"/>
        <w:right w:val="none" w:sz="0" w:space="0" w:color="auto"/>
      </w:divBdr>
      <w:divsChild>
        <w:div w:id="2089033513">
          <w:marLeft w:val="0"/>
          <w:marRight w:val="0"/>
          <w:marTop w:val="0"/>
          <w:marBottom w:val="0"/>
          <w:divBdr>
            <w:top w:val="none" w:sz="0" w:space="0" w:color="auto"/>
            <w:left w:val="none" w:sz="0" w:space="0" w:color="auto"/>
            <w:bottom w:val="none" w:sz="0" w:space="0" w:color="auto"/>
            <w:right w:val="none" w:sz="0" w:space="0" w:color="auto"/>
          </w:divBdr>
          <w:divsChild>
            <w:div w:id="563024260">
              <w:marLeft w:val="0"/>
              <w:marRight w:val="0"/>
              <w:marTop w:val="0"/>
              <w:marBottom w:val="0"/>
              <w:divBdr>
                <w:top w:val="none" w:sz="0" w:space="0" w:color="auto"/>
                <w:left w:val="none" w:sz="0" w:space="0" w:color="auto"/>
                <w:bottom w:val="none" w:sz="0" w:space="0" w:color="auto"/>
                <w:right w:val="none" w:sz="0" w:space="0" w:color="auto"/>
              </w:divBdr>
              <w:divsChild>
                <w:div w:id="1068923680">
                  <w:marLeft w:val="0"/>
                  <w:marRight w:val="0"/>
                  <w:marTop w:val="0"/>
                  <w:marBottom w:val="0"/>
                  <w:divBdr>
                    <w:top w:val="none" w:sz="0" w:space="0" w:color="auto"/>
                    <w:left w:val="none" w:sz="0" w:space="0" w:color="auto"/>
                    <w:bottom w:val="none" w:sz="0" w:space="0" w:color="auto"/>
                    <w:right w:val="none" w:sz="0" w:space="0" w:color="auto"/>
                  </w:divBdr>
                  <w:divsChild>
                    <w:div w:id="75034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0035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528690911">
      <w:bodyDiv w:val="1"/>
      <w:marLeft w:val="0"/>
      <w:marRight w:val="0"/>
      <w:marTop w:val="0"/>
      <w:marBottom w:val="0"/>
      <w:divBdr>
        <w:top w:val="none" w:sz="0" w:space="0" w:color="auto"/>
        <w:left w:val="none" w:sz="0" w:space="0" w:color="auto"/>
        <w:bottom w:val="none" w:sz="0" w:space="0" w:color="auto"/>
        <w:right w:val="none" w:sz="0" w:space="0" w:color="auto"/>
      </w:divBdr>
    </w:div>
    <w:div w:id="538052457">
      <w:bodyDiv w:val="1"/>
      <w:marLeft w:val="0"/>
      <w:marRight w:val="0"/>
      <w:marTop w:val="0"/>
      <w:marBottom w:val="0"/>
      <w:divBdr>
        <w:top w:val="none" w:sz="0" w:space="0" w:color="auto"/>
        <w:left w:val="none" w:sz="0" w:space="0" w:color="auto"/>
        <w:bottom w:val="none" w:sz="0" w:space="0" w:color="auto"/>
        <w:right w:val="none" w:sz="0" w:space="0" w:color="auto"/>
      </w:divBdr>
      <w:divsChild>
        <w:div w:id="293679258">
          <w:marLeft w:val="0"/>
          <w:marRight w:val="0"/>
          <w:marTop w:val="0"/>
          <w:marBottom w:val="0"/>
          <w:divBdr>
            <w:top w:val="none" w:sz="0" w:space="0" w:color="auto"/>
            <w:left w:val="none" w:sz="0" w:space="0" w:color="auto"/>
            <w:bottom w:val="none" w:sz="0" w:space="0" w:color="auto"/>
            <w:right w:val="none" w:sz="0" w:space="0" w:color="auto"/>
          </w:divBdr>
          <w:divsChild>
            <w:div w:id="1751930579">
              <w:marLeft w:val="0"/>
              <w:marRight w:val="0"/>
              <w:marTop w:val="0"/>
              <w:marBottom w:val="0"/>
              <w:divBdr>
                <w:top w:val="none" w:sz="0" w:space="0" w:color="auto"/>
                <w:left w:val="none" w:sz="0" w:space="0" w:color="auto"/>
                <w:bottom w:val="none" w:sz="0" w:space="0" w:color="auto"/>
                <w:right w:val="none" w:sz="0" w:space="0" w:color="auto"/>
              </w:divBdr>
              <w:divsChild>
                <w:div w:id="1477531553">
                  <w:marLeft w:val="0"/>
                  <w:marRight w:val="0"/>
                  <w:marTop w:val="0"/>
                  <w:marBottom w:val="0"/>
                  <w:divBdr>
                    <w:top w:val="none" w:sz="0" w:space="0" w:color="auto"/>
                    <w:left w:val="none" w:sz="0" w:space="0" w:color="auto"/>
                    <w:bottom w:val="none" w:sz="0" w:space="0" w:color="auto"/>
                    <w:right w:val="none" w:sz="0" w:space="0" w:color="auto"/>
                  </w:divBdr>
                  <w:divsChild>
                    <w:div w:id="6693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623194">
      <w:bodyDiv w:val="1"/>
      <w:marLeft w:val="0"/>
      <w:marRight w:val="0"/>
      <w:marTop w:val="0"/>
      <w:marBottom w:val="0"/>
      <w:divBdr>
        <w:top w:val="none" w:sz="0" w:space="0" w:color="auto"/>
        <w:left w:val="none" w:sz="0" w:space="0" w:color="auto"/>
        <w:bottom w:val="none" w:sz="0" w:space="0" w:color="auto"/>
        <w:right w:val="none" w:sz="0" w:space="0" w:color="auto"/>
      </w:divBdr>
      <w:divsChild>
        <w:div w:id="597257731">
          <w:marLeft w:val="0"/>
          <w:marRight w:val="0"/>
          <w:marTop w:val="0"/>
          <w:marBottom w:val="0"/>
          <w:divBdr>
            <w:top w:val="none" w:sz="0" w:space="0" w:color="auto"/>
            <w:left w:val="none" w:sz="0" w:space="0" w:color="auto"/>
            <w:bottom w:val="none" w:sz="0" w:space="0" w:color="auto"/>
            <w:right w:val="none" w:sz="0" w:space="0" w:color="auto"/>
          </w:divBdr>
          <w:divsChild>
            <w:div w:id="1566644036">
              <w:marLeft w:val="0"/>
              <w:marRight w:val="0"/>
              <w:marTop w:val="0"/>
              <w:marBottom w:val="0"/>
              <w:divBdr>
                <w:top w:val="none" w:sz="0" w:space="0" w:color="auto"/>
                <w:left w:val="none" w:sz="0" w:space="0" w:color="auto"/>
                <w:bottom w:val="none" w:sz="0" w:space="0" w:color="auto"/>
                <w:right w:val="none" w:sz="0" w:space="0" w:color="auto"/>
              </w:divBdr>
              <w:divsChild>
                <w:div w:id="20895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506">
      <w:bodyDiv w:val="1"/>
      <w:marLeft w:val="0"/>
      <w:marRight w:val="0"/>
      <w:marTop w:val="0"/>
      <w:marBottom w:val="0"/>
      <w:divBdr>
        <w:top w:val="none" w:sz="0" w:space="0" w:color="auto"/>
        <w:left w:val="none" w:sz="0" w:space="0" w:color="auto"/>
        <w:bottom w:val="none" w:sz="0" w:space="0" w:color="auto"/>
        <w:right w:val="none" w:sz="0" w:space="0" w:color="auto"/>
      </w:divBdr>
    </w:div>
    <w:div w:id="657923463">
      <w:bodyDiv w:val="1"/>
      <w:marLeft w:val="0"/>
      <w:marRight w:val="0"/>
      <w:marTop w:val="0"/>
      <w:marBottom w:val="0"/>
      <w:divBdr>
        <w:top w:val="none" w:sz="0" w:space="0" w:color="auto"/>
        <w:left w:val="none" w:sz="0" w:space="0" w:color="auto"/>
        <w:bottom w:val="none" w:sz="0" w:space="0" w:color="auto"/>
        <w:right w:val="none" w:sz="0" w:space="0" w:color="auto"/>
      </w:divBdr>
    </w:div>
    <w:div w:id="685834933">
      <w:bodyDiv w:val="1"/>
      <w:marLeft w:val="0"/>
      <w:marRight w:val="0"/>
      <w:marTop w:val="0"/>
      <w:marBottom w:val="0"/>
      <w:divBdr>
        <w:top w:val="none" w:sz="0" w:space="0" w:color="auto"/>
        <w:left w:val="none" w:sz="0" w:space="0" w:color="auto"/>
        <w:bottom w:val="none" w:sz="0" w:space="0" w:color="auto"/>
        <w:right w:val="none" w:sz="0" w:space="0" w:color="auto"/>
      </w:divBdr>
      <w:divsChild>
        <w:div w:id="1827236719">
          <w:marLeft w:val="0"/>
          <w:marRight w:val="0"/>
          <w:marTop w:val="0"/>
          <w:marBottom w:val="0"/>
          <w:divBdr>
            <w:top w:val="none" w:sz="0" w:space="0" w:color="auto"/>
            <w:left w:val="none" w:sz="0" w:space="0" w:color="auto"/>
            <w:bottom w:val="none" w:sz="0" w:space="0" w:color="auto"/>
            <w:right w:val="none" w:sz="0" w:space="0" w:color="auto"/>
          </w:divBdr>
          <w:divsChild>
            <w:div w:id="1528986041">
              <w:marLeft w:val="0"/>
              <w:marRight w:val="0"/>
              <w:marTop w:val="0"/>
              <w:marBottom w:val="0"/>
              <w:divBdr>
                <w:top w:val="none" w:sz="0" w:space="0" w:color="auto"/>
                <w:left w:val="none" w:sz="0" w:space="0" w:color="auto"/>
                <w:bottom w:val="none" w:sz="0" w:space="0" w:color="auto"/>
                <w:right w:val="none" w:sz="0" w:space="0" w:color="auto"/>
              </w:divBdr>
              <w:divsChild>
                <w:div w:id="22557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141978">
      <w:bodyDiv w:val="1"/>
      <w:marLeft w:val="0"/>
      <w:marRight w:val="0"/>
      <w:marTop w:val="0"/>
      <w:marBottom w:val="0"/>
      <w:divBdr>
        <w:top w:val="none" w:sz="0" w:space="0" w:color="auto"/>
        <w:left w:val="none" w:sz="0" w:space="0" w:color="auto"/>
        <w:bottom w:val="none" w:sz="0" w:space="0" w:color="auto"/>
        <w:right w:val="none" w:sz="0" w:space="0" w:color="auto"/>
      </w:divBdr>
    </w:div>
    <w:div w:id="742486387">
      <w:bodyDiv w:val="1"/>
      <w:marLeft w:val="0"/>
      <w:marRight w:val="0"/>
      <w:marTop w:val="0"/>
      <w:marBottom w:val="0"/>
      <w:divBdr>
        <w:top w:val="none" w:sz="0" w:space="0" w:color="auto"/>
        <w:left w:val="none" w:sz="0" w:space="0" w:color="auto"/>
        <w:bottom w:val="none" w:sz="0" w:space="0" w:color="auto"/>
        <w:right w:val="none" w:sz="0" w:space="0" w:color="auto"/>
      </w:divBdr>
    </w:div>
    <w:div w:id="773549469">
      <w:bodyDiv w:val="1"/>
      <w:marLeft w:val="0"/>
      <w:marRight w:val="0"/>
      <w:marTop w:val="0"/>
      <w:marBottom w:val="0"/>
      <w:divBdr>
        <w:top w:val="none" w:sz="0" w:space="0" w:color="auto"/>
        <w:left w:val="none" w:sz="0" w:space="0" w:color="auto"/>
        <w:bottom w:val="none" w:sz="0" w:space="0" w:color="auto"/>
        <w:right w:val="none" w:sz="0" w:space="0" w:color="auto"/>
      </w:divBdr>
      <w:divsChild>
        <w:div w:id="1693219852">
          <w:marLeft w:val="0"/>
          <w:marRight w:val="0"/>
          <w:marTop w:val="0"/>
          <w:marBottom w:val="0"/>
          <w:divBdr>
            <w:top w:val="none" w:sz="0" w:space="0" w:color="auto"/>
            <w:left w:val="none" w:sz="0" w:space="0" w:color="auto"/>
            <w:bottom w:val="none" w:sz="0" w:space="0" w:color="auto"/>
            <w:right w:val="none" w:sz="0" w:space="0" w:color="auto"/>
          </w:divBdr>
          <w:divsChild>
            <w:div w:id="2023359027">
              <w:marLeft w:val="0"/>
              <w:marRight w:val="0"/>
              <w:marTop w:val="0"/>
              <w:marBottom w:val="0"/>
              <w:divBdr>
                <w:top w:val="none" w:sz="0" w:space="0" w:color="auto"/>
                <w:left w:val="none" w:sz="0" w:space="0" w:color="auto"/>
                <w:bottom w:val="none" w:sz="0" w:space="0" w:color="auto"/>
                <w:right w:val="none" w:sz="0" w:space="0" w:color="auto"/>
              </w:divBdr>
            </w:div>
          </w:divsChild>
        </w:div>
        <w:div w:id="1795442581">
          <w:marLeft w:val="0"/>
          <w:marRight w:val="0"/>
          <w:marTop w:val="0"/>
          <w:marBottom w:val="0"/>
          <w:divBdr>
            <w:top w:val="none" w:sz="0" w:space="0" w:color="auto"/>
            <w:left w:val="none" w:sz="0" w:space="0" w:color="auto"/>
            <w:bottom w:val="none" w:sz="0" w:space="0" w:color="auto"/>
            <w:right w:val="none" w:sz="0" w:space="0" w:color="auto"/>
          </w:divBdr>
          <w:divsChild>
            <w:div w:id="14254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831276">
      <w:bodyDiv w:val="1"/>
      <w:marLeft w:val="0"/>
      <w:marRight w:val="0"/>
      <w:marTop w:val="0"/>
      <w:marBottom w:val="0"/>
      <w:divBdr>
        <w:top w:val="none" w:sz="0" w:space="0" w:color="auto"/>
        <w:left w:val="none" w:sz="0" w:space="0" w:color="auto"/>
        <w:bottom w:val="none" w:sz="0" w:space="0" w:color="auto"/>
        <w:right w:val="none" w:sz="0" w:space="0" w:color="auto"/>
      </w:divBdr>
    </w:div>
    <w:div w:id="893934457">
      <w:bodyDiv w:val="1"/>
      <w:marLeft w:val="0"/>
      <w:marRight w:val="0"/>
      <w:marTop w:val="0"/>
      <w:marBottom w:val="0"/>
      <w:divBdr>
        <w:top w:val="none" w:sz="0" w:space="0" w:color="auto"/>
        <w:left w:val="none" w:sz="0" w:space="0" w:color="auto"/>
        <w:bottom w:val="none" w:sz="0" w:space="0" w:color="auto"/>
        <w:right w:val="none" w:sz="0" w:space="0" w:color="auto"/>
      </w:divBdr>
    </w:div>
    <w:div w:id="910164740">
      <w:bodyDiv w:val="1"/>
      <w:marLeft w:val="0"/>
      <w:marRight w:val="0"/>
      <w:marTop w:val="0"/>
      <w:marBottom w:val="0"/>
      <w:divBdr>
        <w:top w:val="none" w:sz="0" w:space="0" w:color="auto"/>
        <w:left w:val="none" w:sz="0" w:space="0" w:color="auto"/>
        <w:bottom w:val="none" w:sz="0" w:space="0" w:color="auto"/>
        <w:right w:val="none" w:sz="0" w:space="0" w:color="auto"/>
      </w:divBdr>
    </w:div>
    <w:div w:id="953173263">
      <w:bodyDiv w:val="1"/>
      <w:marLeft w:val="0"/>
      <w:marRight w:val="0"/>
      <w:marTop w:val="0"/>
      <w:marBottom w:val="0"/>
      <w:divBdr>
        <w:top w:val="none" w:sz="0" w:space="0" w:color="auto"/>
        <w:left w:val="none" w:sz="0" w:space="0" w:color="auto"/>
        <w:bottom w:val="none" w:sz="0" w:space="0" w:color="auto"/>
        <w:right w:val="none" w:sz="0" w:space="0" w:color="auto"/>
      </w:divBdr>
    </w:div>
    <w:div w:id="974724308">
      <w:bodyDiv w:val="1"/>
      <w:marLeft w:val="0"/>
      <w:marRight w:val="0"/>
      <w:marTop w:val="0"/>
      <w:marBottom w:val="0"/>
      <w:divBdr>
        <w:top w:val="none" w:sz="0" w:space="0" w:color="auto"/>
        <w:left w:val="none" w:sz="0" w:space="0" w:color="auto"/>
        <w:bottom w:val="none" w:sz="0" w:space="0" w:color="auto"/>
        <w:right w:val="none" w:sz="0" w:space="0" w:color="auto"/>
      </w:divBdr>
    </w:div>
    <w:div w:id="1004672872">
      <w:bodyDiv w:val="1"/>
      <w:marLeft w:val="0"/>
      <w:marRight w:val="0"/>
      <w:marTop w:val="0"/>
      <w:marBottom w:val="0"/>
      <w:divBdr>
        <w:top w:val="none" w:sz="0" w:space="0" w:color="auto"/>
        <w:left w:val="none" w:sz="0" w:space="0" w:color="auto"/>
        <w:bottom w:val="none" w:sz="0" w:space="0" w:color="auto"/>
        <w:right w:val="none" w:sz="0" w:space="0" w:color="auto"/>
      </w:divBdr>
    </w:div>
    <w:div w:id="1008944424">
      <w:bodyDiv w:val="1"/>
      <w:marLeft w:val="0"/>
      <w:marRight w:val="0"/>
      <w:marTop w:val="0"/>
      <w:marBottom w:val="0"/>
      <w:divBdr>
        <w:top w:val="none" w:sz="0" w:space="0" w:color="auto"/>
        <w:left w:val="none" w:sz="0" w:space="0" w:color="auto"/>
        <w:bottom w:val="none" w:sz="0" w:space="0" w:color="auto"/>
        <w:right w:val="none" w:sz="0" w:space="0" w:color="auto"/>
      </w:divBdr>
    </w:div>
    <w:div w:id="1014107879">
      <w:bodyDiv w:val="1"/>
      <w:marLeft w:val="0"/>
      <w:marRight w:val="0"/>
      <w:marTop w:val="0"/>
      <w:marBottom w:val="0"/>
      <w:divBdr>
        <w:top w:val="none" w:sz="0" w:space="0" w:color="auto"/>
        <w:left w:val="none" w:sz="0" w:space="0" w:color="auto"/>
        <w:bottom w:val="none" w:sz="0" w:space="0" w:color="auto"/>
        <w:right w:val="none" w:sz="0" w:space="0" w:color="auto"/>
      </w:divBdr>
    </w:div>
    <w:div w:id="1161699058">
      <w:bodyDiv w:val="1"/>
      <w:marLeft w:val="0"/>
      <w:marRight w:val="0"/>
      <w:marTop w:val="0"/>
      <w:marBottom w:val="0"/>
      <w:divBdr>
        <w:top w:val="none" w:sz="0" w:space="0" w:color="auto"/>
        <w:left w:val="none" w:sz="0" w:space="0" w:color="auto"/>
        <w:bottom w:val="none" w:sz="0" w:space="0" w:color="auto"/>
        <w:right w:val="none" w:sz="0" w:space="0" w:color="auto"/>
      </w:divBdr>
    </w:div>
    <w:div w:id="1193224216">
      <w:bodyDiv w:val="1"/>
      <w:marLeft w:val="0"/>
      <w:marRight w:val="0"/>
      <w:marTop w:val="0"/>
      <w:marBottom w:val="0"/>
      <w:divBdr>
        <w:top w:val="none" w:sz="0" w:space="0" w:color="auto"/>
        <w:left w:val="none" w:sz="0" w:space="0" w:color="auto"/>
        <w:bottom w:val="none" w:sz="0" w:space="0" w:color="auto"/>
        <w:right w:val="none" w:sz="0" w:space="0" w:color="auto"/>
      </w:divBdr>
    </w:div>
    <w:div w:id="1213887254">
      <w:bodyDiv w:val="1"/>
      <w:marLeft w:val="0"/>
      <w:marRight w:val="0"/>
      <w:marTop w:val="0"/>
      <w:marBottom w:val="0"/>
      <w:divBdr>
        <w:top w:val="none" w:sz="0" w:space="0" w:color="auto"/>
        <w:left w:val="none" w:sz="0" w:space="0" w:color="auto"/>
        <w:bottom w:val="none" w:sz="0" w:space="0" w:color="auto"/>
        <w:right w:val="none" w:sz="0" w:space="0" w:color="auto"/>
      </w:divBdr>
    </w:div>
    <w:div w:id="1264339739">
      <w:bodyDiv w:val="1"/>
      <w:marLeft w:val="0"/>
      <w:marRight w:val="0"/>
      <w:marTop w:val="0"/>
      <w:marBottom w:val="0"/>
      <w:divBdr>
        <w:top w:val="none" w:sz="0" w:space="0" w:color="auto"/>
        <w:left w:val="none" w:sz="0" w:space="0" w:color="auto"/>
        <w:bottom w:val="none" w:sz="0" w:space="0" w:color="auto"/>
        <w:right w:val="none" w:sz="0" w:space="0" w:color="auto"/>
      </w:divBdr>
    </w:div>
    <w:div w:id="1372682995">
      <w:bodyDiv w:val="1"/>
      <w:marLeft w:val="0"/>
      <w:marRight w:val="0"/>
      <w:marTop w:val="0"/>
      <w:marBottom w:val="0"/>
      <w:divBdr>
        <w:top w:val="none" w:sz="0" w:space="0" w:color="auto"/>
        <w:left w:val="none" w:sz="0" w:space="0" w:color="auto"/>
        <w:bottom w:val="none" w:sz="0" w:space="0" w:color="auto"/>
        <w:right w:val="none" w:sz="0" w:space="0" w:color="auto"/>
      </w:divBdr>
      <w:divsChild>
        <w:div w:id="593783861">
          <w:marLeft w:val="0"/>
          <w:marRight w:val="0"/>
          <w:marTop w:val="0"/>
          <w:marBottom w:val="0"/>
          <w:divBdr>
            <w:top w:val="none" w:sz="0" w:space="0" w:color="auto"/>
            <w:left w:val="none" w:sz="0" w:space="0" w:color="auto"/>
            <w:bottom w:val="none" w:sz="0" w:space="0" w:color="auto"/>
            <w:right w:val="none" w:sz="0" w:space="0" w:color="auto"/>
          </w:divBdr>
          <w:divsChild>
            <w:div w:id="233509266">
              <w:marLeft w:val="0"/>
              <w:marRight w:val="0"/>
              <w:marTop w:val="0"/>
              <w:marBottom w:val="0"/>
              <w:divBdr>
                <w:top w:val="none" w:sz="0" w:space="0" w:color="auto"/>
                <w:left w:val="none" w:sz="0" w:space="0" w:color="auto"/>
                <w:bottom w:val="none" w:sz="0" w:space="0" w:color="auto"/>
                <w:right w:val="none" w:sz="0" w:space="0" w:color="auto"/>
              </w:divBdr>
              <w:divsChild>
                <w:div w:id="160564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550300">
      <w:bodyDiv w:val="1"/>
      <w:marLeft w:val="0"/>
      <w:marRight w:val="0"/>
      <w:marTop w:val="0"/>
      <w:marBottom w:val="0"/>
      <w:divBdr>
        <w:top w:val="none" w:sz="0" w:space="0" w:color="auto"/>
        <w:left w:val="none" w:sz="0" w:space="0" w:color="auto"/>
        <w:bottom w:val="none" w:sz="0" w:space="0" w:color="auto"/>
        <w:right w:val="none" w:sz="0" w:space="0" w:color="auto"/>
      </w:divBdr>
    </w:div>
    <w:div w:id="1539856460">
      <w:bodyDiv w:val="1"/>
      <w:marLeft w:val="0"/>
      <w:marRight w:val="0"/>
      <w:marTop w:val="0"/>
      <w:marBottom w:val="0"/>
      <w:divBdr>
        <w:top w:val="none" w:sz="0" w:space="0" w:color="auto"/>
        <w:left w:val="none" w:sz="0" w:space="0" w:color="auto"/>
        <w:bottom w:val="none" w:sz="0" w:space="0" w:color="auto"/>
        <w:right w:val="none" w:sz="0" w:space="0" w:color="auto"/>
      </w:divBdr>
      <w:divsChild>
        <w:div w:id="777288955">
          <w:marLeft w:val="0"/>
          <w:marRight w:val="0"/>
          <w:marTop w:val="0"/>
          <w:marBottom w:val="0"/>
          <w:divBdr>
            <w:top w:val="none" w:sz="0" w:space="0" w:color="auto"/>
            <w:left w:val="none" w:sz="0" w:space="0" w:color="auto"/>
            <w:bottom w:val="none" w:sz="0" w:space="0" w:color="auto"/>
            <w:right w:val="none" w:sz="0" w:space="0" w:color="auto"/>
          </w:divBdr>
          <w:divsChild>
            <w:div w:id="413863534">
              <w:marLeft w:val="0"/>
              <w:marRight w:val="0"/>
              <w:marTop w:val="0"/>
              <w:marBottom w:val="0"/>
              <w:divBdr>
                <w:top w:val="none" w:sz="0" w:space="0" w:color="auto"/>
                <w:left w:val="none" w:sz="0" w:space="0" w:color="auto"/>
                <w:bottom w:val="none" w:sz="0" w:space="0" w:color="auto"/>
                <w:right w:val="none" w:sz="0" w:space="0" w:color="auto"/>
              </w:divBdr>
              <w:divsChild>
                <w:div w:id="148681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4086">
      <w:bodyDiv w:val="1"/>
      <w:marLeft w:val="0"/>
      <w:marRight w:val="0"/>
      <w:marTop w:val="0"/>
      <w:marBottom w:val="0"/>
      <w:divBdr>
        <w:top w:val="none" w:sz="0" w:space="0" w:color="auto"/>
        <w:left w:val="none" w:sz="0" w:space="0" w:color="auto"/>
        <w:bottom w:val="none" w:sz="0" w:space="0" w:color="auto"/>
        <w:right w:val="none" w:sz="0" w:space="0" w:color="auto"/>
      </w:divBdr>
    </w:div>
    <w:div w:id="1571423430">
      <w:bodyDiv w:val="1"/>
      <w:marLeft w:val="0"/>
      <w:marRight w:val="0"/>
      <w:marTop w:val="0"/>
      <w:marBottom w:val="0"/>
      <w:divBdr>
        <w:top w:val="none" w:sz="0" w:space="0" w:color="auto"/>
        <w:left w:val="none" w:sz="0" w:space="0" w:color="auto"/>
        <w:bottom w:val="none" w:sz="0" w:space="0" w:color="auto"/>
        <w:right w:val="none" w:sz="0" w:space="0" w:color="auto"/>
      </w:divBdr>
    </w:div>
    <w:div w:id="1587418584">
      <w:bodyDiv w:val="1"/>
      <w:marLeft w:val="0"/>
      <w:marRight w:val="0"/>
      <w:marTop w:val="0"/>
      <w:marBottom w:val="0"/>
      <w:divBdr>
        <w:top w:val="none" w:sz="0" w:space="0" w:color="auto"/>
        <w:left w:val="none" w:sz="0" w:space="0" w:color="auto"/>
        <w:bottom w:val="none" w:sz="0" w:space="0" w:color="auto"/>
        <w:right w:val="none" w:sz="0" w:space="0" w:color="auto"/>
      </w:divBdr>
      <w:divsChild>
        <w:div w:id="1181119235">
          <w:marLeft w:val="0"/>
          <w:marRight w:val="0"/>
          <w:marTop w:val="0"/>
          <w:marBottom w:val="0"/>
          <w:divBdr>
            <w:top w:val="none" w:sz="0" w:space="0" w:color="auto"/>
            <w:left w:val="none" w:sz="0" w:space="0" w:color="auto"/>
            <w:bottom w:val="none" w:sz="0" w:space="0" w:color="auto"/>
            <w:right w:val="none" w:sz="0" w:space="0" w:color="auto"/>
          </w:divBdr>
          <w:divsChild>
            <w:div w:id="933243238">
              <w:marLeft w:val="0"/>
              <w:marRight w:val="0"/>
              <w:marTop w:val="0"/>
              <w:marBottom w:val="0"/>
              <w:divBdr>
                <w:top w:val="none" w:sz="0" w:space="0" w:color="auto"/>
                <w:left w:val="none" w:sz="0" w:space="0" w:color="auto"/>
                <w:bottom w:val="none" w:sz="0" w:space="0" w:color="auto"/>
                <w:right w:val="none" w:sz="0" w:space="0" w:color="auto"/>
              </w:divBdr>
              <w:divsChild>
                <w:div w:id="64724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343173">
      <w:bodyDiv w:val="1"/>
      <w:marLeft w:val="0"/>
      <w:marRight w:val="0"/>
      <w:marTop w:val="0"/>
      <w:marBottom w:val="0"/>
      <w:divBdr>
        <w:top w:val="none" w:sz="0" w:space="0" w:color="auto"/>
        <w:left w:val="none" w:sz="0" w:space="0" w:color="auto"/>
        <w:bottom w:val="none" w:sz="0" w:space="0" w:color="auto"/>
        <w:right w:val="none" w:sz="0" w:space="0" w:color="auto"/>
      </w:divBdr>
    </w:div>
    <w:div w:id="1594314269">
      <w:bodyDiv w:val="1"/>
      <w:marLeft w:val="0"/>
      <w:marRight w:val="0"/>
      <w:marTop w:val="0"/>
      <w:marBottom w:val="0"/>
      <w:divBdr>
        <w:top w:val="none" w:sz="0" w:space="0" w:color="auto"/>
        <w:left w:val="none" w:sz="0" w:space="0" w:color="auto"/>
        <w:bottom w:val="none" w:sz="0" w:space="0" w:color="auto"/>
        <w:right w:val="none" w:sz="0" w:space="0" w:color="auto"/>
      </w:divBdr>
    </w:div>
    <w:div w:id="1612132252">
      <w:bodyDiv w:val="1"/>
      <w:marLeft w:val="0"/>
      <w:marRight w:val="0"/>
      <w:marTop w:val="0"/>
      <w:marBottom w:val="0"/>
      <w:divBdr>
        <w:top w:val="none" w:sz="0" w:space="0" w:color="auto"/>
        <w:left w:val="none" w:sz="0" w:space="0" w:color="auto"/>
        <w:bottom w:val="none" w:sz="0" w:space="0" w:color="auto"/>
        <w:right w:val="none" w:sz="0" w:space="0" w:color="auto"/>
      </w:divBdr>
    </w:div>
    <w:div w:id="1757092349">
      <w:bodyDiv w:val="1"/>
      <w:marLeft w:val="0"/>
      <w:marRight w:val="0"/>
      <w:marTop w:val="0"/>
      <w:marBottom w:val="0"/>
      <w:divBdr>
        <w:top w:val="none" w:sz="0" w:space="0" w:color="auto"/>
        <w:left w:val="none" w:sz="0" w:space="0" w:color="auto"/>
        <w:bottom w:val="none" w:sz="0" w:space="0" w:color="auto"/>
        <w:right w:val="none" w:sz="0" w:space="0" w:color="auto"/>
      </w:divBdr>
    </w:div>
    <w:div w:id="1804958937">
      <w:bodyDiv w:val="1"/>
      <w:marLeft w:val="0"/>
      <w:marRight w:val="0"/>
      <w:marTop w:val="0"/>
      <w:marBottom w:val="0"/>
      <w:divBdr>
        <w:top w:val="none" w:sz="0" w:space="0" w:color="auto"/>
        <w:left w:val="none" w:sz="0" w:space="0" w:color="auto"/>
        <w:bottom w:val="none" w:sz="0" w:space="0" w:color="auto"/>
        <w:right w:val="none" w:sz="0" w:space="0" w:color="auto"/>
      </w:divBdr>
    </w:div>
    <w:div w:id="1844125587">
      <w:bodyDiv w:val="1"/>
      <w:marLeft w:val="0"/>
      <w:marRight w:val="0"/>
      <w:marTop w:val="0"/>
      <w:marBottom w:val="0"/>
      <w:divBdr>
        <w:top w:val="none" w:sz="0" w:space="0" w:color="auto"/>
        <w:left w:val="none" w:sz="0" w:space="0" w:color="auto"/>
        <w:bottom w:val="none" w:sz="0" w:space="0" w:color="auto"/>
        <w:right w:val="none" w:sz="0" w:space="0" w:color="auto"/>
      </w:divBdr>
      <w:divsChild>
        <w:div w:id="376858781">
          <w:marLeft w:val="0"/>
          <w:marRight w:val="0"/>
          <w:marTop w:val="0"/>
          <w:marBottom w:val="0"/>
          <w:divBdr>
            <w:top w:val="none" w:sz="0" w:space="0" w:color="auto"/>
            <w:left w:val="none" w:sz="0" w:space="0" w:color="auto"/>
            <w:bottom w:val="none" w:sz="0" w:space="0" w:color="auto"/>
            <w:right w:val="none" w:sz="0" w:space="0" w:color="auto"/>
          </w:divBdr>
          <w:divsChild>
            <w:div w:id="558325464">
              <w:marLeft w:val="0"/>
              <w:marRight w:val="0"/>
              <w:marTop w:val="0"/>
              <w:marBottom w:val="0"/>
              <w:divBdr>
                <w:top w:val="none" w:sz="0" w:space="0" w:color="auto"/>
                <w:left w:val="none" w:sz="0" w:space="0" w:color="auto"/>
                <w:bottom w:val="none" w:sz="0" w:space="0" w:color="auto"/>
                <w:right w:val="none" w:sz="0" w:space="0" w:color="auto"/>
              </w:divBdr>
              <w:divsChild>
                <w:div w:id="141153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896840">
      <w:bodyDiv w:val="1"/>
      <w:marLeft w:val="0"/>
      <w:marRight w:val="0"/>
      <w:marTop w:val="0"/>
      <w:marBottom w:val="0"/>
      <w:divBdr>
        <w:top w:val="none" w:sz="0" w:space="0" w:color="auto"/>
        <w:left w:val="none" w:sz="0" w:space="0" w:color="auto"/>
        <w:bottom w:val="none" w:sz="0" w:space="0" w:color="auto"/>
        <w:right w:val="none" w:sz="0" w:space="0" w:color="auto"/>
      </w:divBdr>
    </w:div>
    <w:div w:id="1904362898">
      <w:bodyDiv w:val="1"/>
      <w:marLeft w:val="0"/>
      <w:marRight w:val="0"/>
      <w:marTop w:val="0"/>
      <w:marBottom w:val="0"/>
      <w:divBdr>
        <w:top w:val="none" w:sz="0" w:space="0" w:color="auto"/>
        <w:left w:val="none" w:sz="0" w:space="0" w:color="auto"/>
        <w:bottom w:val="none" w:sz="0" w:space="0" w:color="auto"/>
        <w:right w:val="none" w:sz="0" w:space="0" w:color="auto"/>
      </w:divBdr>
    </w:div>
    <w:div w:id="1909195364">
      <w:bodyDiv w:val="1"/>
      <w:marLeft w:val="0"/>
      <w:marRight w:val="0"/>
      <w:marTop w:val="0"/>
      <w:marBottom w:val="0"/>
      <w:divBdr>
        <w:top w:val="none" w:sz="0" w:space="0" w:color="auto"/>
        <w:left w:val="none" w:sz="0" w:space="0" w:color="auto"/>
        <w:bottom w:val="none" w:sz="0" w:space="0" w:color="auto"/>
        <w:right w:val="none" w:sz="0" w:space="0" w:color="auto"/>
      </w:divBdr>
    </w:div>
    <w:div w:id="1920285568">
      <w:bodyDiv w:val="1"/>
      <w:marLeft w:val="0"/>
      <w:marRight w:val="0"/>
      <w:marTop w:val="0"/>
      <w:marBottom w:val="0"/>
      <w:divBdr>
        <w:top w:val="none" w:sz="0" w:space="0" w:color="auto"/>
        <w:left w:val="none" w:sz="0" w:space="0" w:color="auto"/>
        <w:bottom w:val="none" w:sz="0" w:space="0" w:color="auto"/>
        <w:right w:val="none" w:sz="0" w:space="0" w:color="auto"/>
      </w:divBdr>
    </w:div>
    <w:div w:id="1968584149">
      <w:bodyDiv w:val="1"/>
      <w:marLeft w:val="0"/>
      <w:marRight w:val="0"/>
      <w:marTop w:val="0"/>
      <w:marBottom w:val="0"/>
      <w:divBdr>
        <w:top w:val="none" w:sz="0" w:space="0" w:color="auto"/>
        <w:left w:val="none" w:sz="0" w:space="0" w:color="auto"/>
        <w:bottom w:val="none" w:sz="0" w:space="0" w:color="auto"/>
        <w:right w:val="none" w:sz="0" w:space="0" w:color="auto"/>
      </w:divBdr>
      <w:divsChild>
        <w:div w:id="445658312">
          <w:marLeft w:val="0"/>
          <w:marRight w:val="0"/>
          <w:marTop w:val="0"/>
          <w:marBottom w:val="0"/>
          <w:divBdr>
            <w:top w:val="none" w:sz="0" w:space="0" w:color="auto"/>
            <w:left w:val="none" w:sz="0" w:space="0" w:color="auto"/>
            <w:bottom w:val="none" w:sz="0" w:space="0" w:color="auto"/>
            <w:right w:val="none" w:sz="0" w:space="0" w:color="auto"/>
          </w:divBdr>
          <w:divsChild>
            <w:div w:id="289482795">
              <w:marLeft w:val="0"/>
              <w:marRight w:val="0"/>
              <w:marTop w:val="0"/>
              <w:marBottom w:val="0"/>
              <w:divBdr>
                <w:top w:val="none" w:sz="0" w:space="0" w:color="auto"/>
                <w:left w:val="none" w:sz="0" w:space="0" w:color="auto"/>
                <w:bottom w:val="none" w:sz="0" w:space="0" w:color="auto"/>
                <w:right w:val="none" w:sz="0" w:space="0" w:color="auto"/>
              </w:divBdr>
              <w:divsChild>
                <w:div w:id="99490715">
                  <w:marLeft w:val="0"/>
                  <w:marRight w:val="0"/>
                  <w:marTop w:val="0"/>
                  <w:marBottom w:val="0"/>
                  <w:divBdr>
                    <w:top w:val="none" w:sz="0" w:space="0" w:color="auto"/>
                    <w:left w:val="none" w:sz="0" w:space="0" w:color="auto"/>
                    <w:bottom w:val="none" w:sz="0" w:space="0" w:color="auto"/>
                    <w:right w:val="none" w:sz="0" w:space="0" w:color="auto"/>
                  </w:divBdr>
                  <w:divsChild>
                    <w:div w:id="54540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564049">
      <w:bodyDiv w:val="1"/>
      <w:marLeft w:val="0"/>
      <w:marRight w:val="0"/>
      <w:marTop w:val="0"/>
      <w:marBottom w:val="0"/>
      <w:divBdr>
        <w:top w:val="none" w:sz="0" w:space="0" w:color="auto"/>
        <w:left w:val="none" w:sz="0" w:space="0" w:color="auto"/>
        <w:bottom w:val="none" w:sz="0" w:space="0" w:color="auto"/>
        <w:right w:val="none" w:sz="0" w:space="0" w:color="auto"/>
      </w:divBdr>
    </w:div>
    <w:div w:id="2047414404">
      <w:bodyDiv w:val="1"/>
      <w:marLeft w:val="0"/>
      <w:marRight w:val="0"/>
      <w:marTop w:val="0"/>
      <w:marBottom w:val="0"/>
      <w:divBdr>
        <w:top w:val="none" w:sz="0" w:space="0" w:color="auto"/>
        <w:left w:val="none" w:sz="0" w:space="0" w:color="auto"/>
        <w:bottom w:val="none" w:sz="0" w:space="0" w:color="auto"/>
        <w:right w:val="none" w:sz="0" w:space="0" w:color="auto"/>
      </w:divBdr>
    </w:div>
    <w:div w:id="2057849768">
      <w:bodyDiv w:val="1"/>
      <w:marLeft w:val="0"/>
      <w:marRight w:val="0"/>
      <w:marTop w:val="0"/>
      <w:marBottom w:val="0"/>
      <w:divBdr>
        <w:top w:val="none" w:sz="0" w:space="0" w:color="auto"/>
        <w:left w:val="none" w:sz="0" w:space="0" w:color="auto"/>
        <w:bottom w:val="none" w:sz="0" w:space="0" w:color="auto"/>
        <w:right w:val="none" w:sz="0" w:space="0" w:color="auto"/>
      </w:divBdr>
      <w:divsChild>
        <w:div w:id="121307556">
          <w:marLeft w:val="0"/>
          <w:marRight w:val="0"/>
          <w:marTop w:val="0"/>
          <w:marBottom w:val="0"/>
          <w:divBdr>
            <w:top w:val="none" w:sz="0" w:space="0" w:color="auto"/>
            <w:left w:val="none" w:sz="0" w:space="0" w:color="auto"/>
            <w:bottom w:val="none" w:sz="0" w:space="0" w:color="auto"/>
            <w:right w:val="none" w:sz="0" w:space="0" w:color="auto"/>
          </w:divBdr>
          <w:divsChild>
            <w:div w:id="983703154">
              <w:marLeft w:val="0"/>
              <w:marRight w:val="0"/>
              <w:marTop w:val="0"/>
              <w:marBottom w:val="0"/>
              <w:divBdr>
                <w:top w:val="none" w:sz="0" w:space="0" w:color="auto"/>
                <w:left w:val="none" w:sz="0" w:space="0" w:color="auto"/>
                <w:bottom w:val="none" w:sz="0" w:space="0" w:color="auto"/>
                <w:right w:val="none" w:sz="0" w:space="0" w:color="auto"/>
              </w:divBdr>
              <w:divsChild>
                <w:div w:id="193770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DE6967-6D1F-4950-801E-24F321611220}">
  <ds:schemaRefs>
    <ds:schemaRef ds:uri="http://schemas.openxmlformats.org/officeDocument/2006/bibliography"/>
  </ds:schemaRefs>
</ds:datastoreItem>
</file>

<file path=customXml/itemProps2.xml><?xml version="1.0" encoding="utf-8"?>
<ds:datastoreItem xmlns:ds="http://schemas.openxmlformats.org/officeDocument/2006/customXml" ds:itemID="{A6531237-C176-4595-9494-449A98B1F90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6C548BFE-DCA2-451E-9BF8-B9F25C7AF4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0</TotalTime>
  <Pages>11</Pages>
  <Words>6194</Words>
  <Characters>34071</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anv</dc:creator>
  <cp:lastModifiedBy>MARIA CLAUDIA DE LA OSSA BOBADILLA</cp:lastModifiedBy>
  <cp:revision>2</cp:revision>
  <dcterms:created xsi:type="dcterms:W3CDTF">2022-08-01T17:58:00Z</dcterms:created>
  <dcterms:modified xsi:type="dcterms:W3CDTF">2022-08-01T17:58:00Z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