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DC938" w14:textId="77777777" w:rsidR="002D3DED" w:rsidRPr="00B351BB" w:rsidRDefault="002D3DED" w:rsidP="002D3DED">
      <w:pPr>
        <w:spacing w:after="0" w:line="240" w:lineRule="auto"/>
        <w:jc w:val="both"/>
        <w:rPr>
          <w:rFonts w:ascii="Arial" w:eastAsia="Calibri" w:hAnsi="Arial" w:cs="Arial"/>
          <w:b/>
          <w:szCs w:val="24"/>
          <w:lang w:val="es-ES_tradnl" w:eastAsia="en-GB"/>
        </w:rPr>
      </w:pPr>
      <w:bookmarkStart w:id="0" w:name="_Hlk112834533"/>
      <w:r w:rsidRPr="00B351BB">
        <w:rPr>
          <w:rFonts w:ascii="Arial" w:eastAsia="Calibri" w:hAnsi="Arial" w:cs="Arial"/>
          <w:b/>
          <w:szCs w:val="24"/>
          <w:lang w:val="es-ES_tradnl" w:eastAsia="en-GB"/>
        </w:rPr>
        <w:t>DOCUMENTOS TIPO – Obligatoriedad – Inalterabilidad</w:t>
      </w:r>
    </w:p>
    <w:p w14:paraId="778D152C" w14:textId="77777777" w:rsidR="002D3DED" w:rsidRPr="00B351BB" w:rsidRDefault="002D3DED" w:rsidP="002D3DED">
      <w:pPr>
        <w:spacing w:after="0" w:line="240" w:lineRule="auto"/>
        <w:jc w:val="both"/>
        <w:rPr>
          <w:rFonts w:ascii="Arial" w:eastAsia="Calibri" w:hAnsi="Arial" w:cs="Arial"/>
          <w:sz w:val="20"/>
          <w:szCs w:val="20"/>
          <w:lang w:val="es-ES_tradnl" w:eastAsia="en-GB"/>
        </w:rPr>
      </w:pPr>
    </w:p>
    <w:p w14:paraId="7A724326" w14:textId="77777777" w:rsidR="002D3DED" w:rsidRPr="007509CD" w:rsidRDefault="002D3DED" w:rsidP="002D3DED">
      <w:pPr>
        <w:spacing w:after="0" w:line="240" w:lineRule="auto"/>
        <w:jc w:val="both"/>
        <w:rPr>
          <w:rFonts w:ascii="Arial" w:eastAsia="Calibri" w:hAnsi="Arial" w:cs="Arial"/>
          <w:sz w:val="20"/>
          <w:szCs w:val="20"/>
          <w:lang w:eastAsia="en-GB"/>
        </w:rPr>
      </w:pPr>
      <w:r w:rsidRPr="007509CD">
        <w:rPr>
          <w:rFonts w:ascii="Arial" w:eastAsia="Calibri" w:hAnsi="Arial" w:cs="Arial"/>
          <w:sz w:val="20"/>
          <w:szCs w:val="20"/>
          <w:lang w:eastAsia="en-GB"/>
        </w:rPr>
        <w:t xml:space="preserve">[…] la Ley 2022 de 2020 señala que los documentos tipo adoptados por la Agencia Nacional de Contratación Pública son de </w:t>
      </w:r>
      <w:r w:rsidRPr="007509CD">
        <w:rPr>
          <w:rFonts w:ascii="Arial" w:eastAsia="Calibri" w:hAnsi="Arial" w:cs="Arial"/>
          <w:i/>
          <w:sz w:val="20"/>
          <w:szCs w:val="20"/>
          <w:lang w:eastAsia="en-GB"/>
        </w:rPr>
        <w:t>obligatorio</w:t>
      </w:r>
      <w:r w:rsidRPr="007509CD">
        <w:rPr>
          <w:rFonts w:ascii="Arial" w:eastAsia="Calibri" w:hAnsi="Arial" w:cs="Arial"/>
          <w:sz w:val="20"/>
          <w:szCs w:val="20"/>
          <w:lang w:eastAsia="en-GB"/>
        </w:rPr>
        <w:t xml:space="preserve">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Lo anterior, por cuanto los documentos tipo se caracterizan por ser inalterables, es decir, que las entidades públicas carecen de la facultad de modificarlos, con excepción de aquellos aspectos que pueden diligenciar, es decir, las descripciones que están incluidas entre corchetes y resaltadas en gris en cada uno de los documentos tipo.</w:t>
      </w:r>
    </w:p>
    <w:p w14:paraId="0C87154C" w14:textId="77777777" w:rsidR="002D3DED" w:rsidRPr="00B351BB" w:rsidRDefault="002D3DED" w:rsidP="002D3DED">
      <w:pPr>
        <w:spacing w:after="0" w:line="240" w:lineRule="auto"/>
        <w:jc w:val="both"/>
        <w:rPr>
          <w:rFonts w:ascii="Arial" w:eastAsia="Calibri" w:hAnsi="Arial" w:cs="Arial"/>
          <w:b/>
        </w:rPr>
      </w:pPr>
    </w:p>
    <w:p w14:paraId="3548CE44" w14:textId="77777777" w:rsidR="002D3DED" w:rsidRPr="00B351BB" w:rsidRDefault="002D3DED" w:rsidP="002D3DED">
      <w:pPr>
        <w:spacing w:after="0" w:line="240" w:lineRule="auto"/>
        <w:jc w:val="both"/>
        <w:rPr>
          <w:rFonts w:ascii="Arial" w:eastAsia="Calibri" w:hAnsi="Arial" w:cs="Arial"/>
          <w:b/>
        </w:rPr>
      </w:pPr>
      <w:r w:rsidRPr="00B351BB">
        <w:rPr>
          <w:rFonts w:ascii="Arial" w:eastAsia="Calibri" w:hAnsi="Arial" w:cs="Arial"/>
          <w:b/>
          <w:bCs/>
          <w:szCs w:val="24"/>
          <w:lang w:val="es-ES_tradnl" w:eastAsia="en-GB"/>
        </w:rPr>
        <w:t>DOCUMENTOS TIPO – Infraestructura social – Sector</w:t>
      </w:r>
      <w:r>
        <w:rPr>
          <w:rFonts w:ascii="Arial" w:eastAsia="Calibri" w:hAnsi="Arial" w:cs="Arial"/>
          <w:b/>
          <w:bCs/>
          <w:szCs w:val="24"/>
          <w:lang w:val="es-ES_tradnl" w:eastAsia="en-GB"/>
        </w:rPr>
        <w:t>es – Educativo – Salud – Cultura, recreación y deporte</w:t>
      </w:r>
    </w:p>
    <w:p w14:paraId="451DCF62" w14:textId="77777777" w:rsidR="002D3DED" w:rsidRPr="00B351BB" w:rsidRDefault="002D3DED" w:rsidP="002D3DED">
      <w:pPr>
        <w:spacing w:after="0" w:line="240" w:lineRule="auto"/>
        <w:jc w:val="both"/>
        <w:rPr>
          <w:rFonts w:ascii="Arial" w:eastAsia="Calibri" w:hAnsi="Arial" w:cs="Arial"/>
          <w:sz w:val="20"/>
          <w:szCs w:val="20"/>
        </w:rPr>
      </w:pPr>
    </w:p>
    <w:p w14:paraId="23A9C3C9" w14:textId="77777777" w:rsidR="002D3DED" w:rsidRPr="007509CD" w:rsidRDefault="002D3DED" w:rsidP="002D3DED">
      <w:pPr>
        <w:spacing w:after="120" w:line="240" w:lineRule="auto"/>
        <w:jc w:val="both"/>
        <w:rPr>
          <w:rFonts w:ascii="Arial" w:eastAsia="Times New Roman" w:hAnsi="Arial" w:cs="Arial"/>
          <w:sz w:val="20"/>
          <w:szCs w:val="20"/>
          <w:lang w:val="es-ES" w:eastAsia="en-GB"/>
        </w:rPr>
      </w:pPr>
      <w:r w:rsidRPr="007509CD">
        <w:rPr>
          <w:rFonts w:ascii="Arial" w:eastAsia="Calibri" w:hAnsi="Arial" w:cs="Arial"/>
          <w:bCs/>
          <w:sz w:val="20"/>
          <w:szCs w:val="20"/>
          <w:lang w:val="es-ES" w:eastAsia="en-GB"/>
        </w:rPr>
        <w:t xml:space="preserve">[…] </w:t>
      </w:r>
      <w:r w:rsidRPr="007509CD">
        <w:rPr>
          <w:rFonts w:ascii="Arial" w:eastAsia="Times New Roman" w:hAnsi="Arial" w:cs="Arial"/>
          <w:sz w:val="20"/>
          <w:szCs w:val="20"/>
          <w:lang w:val="es-ES" w:eastAsia="en-GB"/>
        </w:rPr>
        <w:t xml:space="preserve">en materia de infraestructura social debe tenerse en cuenta que existen dos (2) clases de documentos tipo que se integran en cada proceso:  i) los documentos </w:t>
      </w:r>
      <w:r w:rsidRPr="007509CD">
        <w:rPr>
          <w:rFonts w:ascii="Arial" w:eastAsia="Times New Roman" w:hAnsi="Arial" w:cs="Arial"/>
          <w:i/>
          <w:sz w:val="20"/>
          <w:szCs w:val="20"/>
          <w:lang w:val="es-ES" w:eastAsia="en-GB"/>
        </w:rPr>
        <w:t>transversales</w:t>
      </w:r>
      <w:r w:rsidRPr="007509CD">
        <w:rPr>
          <w:rFonts w:ascii="Arial" w:eastAsia="Times New Roman" w:hAnsi="Arial" w:cs="Arial"/>
          <w:sz w:val="20"/>
          <w:szCs w:val="20"/>
          <w:lang w:val="es-ES" w:eastAsia="en-GB"/>
        </w:rPr>
        <w:t xml:space="preserve"> a todos los sectores de infraestructura social, es decir, el documento base, los anexos, los formatos, los formularios y las matrices adoptados mediante la Resolución No. 219 de 2021; y </w:t>
      </w:r>
      <w:proofErr w:type="spellStart"/>
      <w:r w:rsidRPr="007509CD">
        <w:rPr>
          <w:rFonts w:ascii="Arial" w:eastAsia="Times New Roman" w:hAnsi="Arial" w:cs="Arial"/>
          <w:sz w:val="20"/>
          <w:szCs w:val="20"/>
          <w:lang w:val="es-ES" w:eastAsia="en-GB"/>
        </w:rPr>
        <w:t>ii</w:t>
      </w:r>
      <w:proofErr w:type="spellEnd"/>
      <w:r w:rsidRPr="007509CD">
        <w:rPr>
          <w:rFonts w:ascii="Arial" w:eastAsia="Times New Roman" w:hAnsi="Arial" w:cs="Arial"/>
          <w:sz w:val="20"/>
          <w:szCs w:val="20"/>
          <w:lang w:val="es-ES" w:eastAsia="en-GB"/>
        </w:rPr>
        <w:t xml:space="preserve">) los documentos tipo </w:t>
      </w:r>
      <w:r w:rsidRPr="007509CD">
        <w:rPr>
          <w:rFonts w:ascii="Arial" w:eastAsia="Times New Roman" w:hAnsi="Arial" w:cs="Arial"/>
          <w:i/>
          <w:sz w:val="20"/>
          <w:szCs w:val="20"/>
          <w:lang w:val="es-ES" w:eastAsia="en-GB"/>
        </w:rPr>
        <w:t>complementarios</w:t>
      </w:r>
      <w:r w:rsidRPr="007509CD">
        <w:rPr>
          <w:rFonts w:ascii="Arial" w:eastAsia="Times New Roman" w:hAnsi="Arial" w:cs="Arial"/>
          <w:iCs/>
          <w:sz w:val="20"/>
          <w:szCs w:val="20"/>
          <w:lang w:val="es-ES" w:eastAsia="en-GB"/>
        </w:rPr>
        <w:t>,</w:t>
      </w:r>
      <w:r w:rsidRPr="007509CD">
        <w:rPr>
          <w:rFonts w:ascii="Arial" w:eastAsia="Times New Roman" w:hAnsi="Arial" w:cs="Arial"/>
          <w:i/>
          <w:sz w:val="20"/>
          <w:szCs w:val="20"/>
          <w:lang w:val="es-ES" w:eastAsia="en-GB"/>
        </w:rPr>
        <w:t xml:space="preserve"> </w:t>
      </w:r>
      <w:r w:rsidRPr="007509CD">
        <w:rPr>
          <w:rFonts w:ascii="Arial" w:eastAsia="Times New Roman" w:hAnsi="Arial" w:cs="Arial"/>
          <w:sz w:val="20"/>
          <w:szCs w:val="20"/>
          <w:lang w:val="es-ES" w:eastAsia="en-GB"/>
        </w:rPr>
        <w:t>referentes a la matriz de experiencia y el glosario, los cuales han sido adoptados en la resolución para cada sector específico.</w:t>
      </w:r>
    </w:p>
    <w:p w14:paraId="42C8C00D" w14:textId="77777777" w:rsidR="002D3DED" w:rsidRPr="007509CD" w:rsidRDefault="002D3DED" w:rsidP="002D3DED">
      <w:pPr>
        <w:spacing w:after="0" w:line="240" w:lineRule="auto"/>
        <w:jc w:val="both"/>
        <w:rPr>
          <w:rFonts w:ascii="Arial" w:eastAsia="Times New Roman" w:hAnsi="Arial" w:cs="Arial"/>
          <w:i/>
          <w:iCs/>
          <w:sz w:val="20"/>
          <w:szCs w:val="20"/>
        </w:rPr>
      </w:pPr>
      <w:r w:rsidRPr="007509CD">
        <w:rPr>
          <w:rFonts w:ascii="Arial" w:eastAsia="Times New Roman" w:hAnsi="Arial" w:cs="Arial"/>
          <w:sz w:val="20"/>
          <w:szCs w:val="20"/>
        </w:rPr>
        <w:t>De esta forma, esta Agencia expidió distintos actos administrativos a partir de los cuales se adoptaron la «Matriz – Experiencia» y el «Anexo – Glosario». Así las cosas, la Agencia expidió: i) la Resolución 220 del 6 de agosto de 2021, «Por la cual se adoptan los documentos tipo complementarios para los procesos de licitación de obra pública de infraestructura social relacionados con el sector educativo»;</w:t>
      </w:r>
      <w:r w:rsidRPr="007509CD">
        <w:rPr>
          <w:rFonts w:ascii="Arial" w:eastAsia="Times New Roman" w:hAnsi="Arial" w:cs="Arial"/>
          <w:i/>
          <w:iCs/>
          <w:sz w:val="20"/>
          <w:szCs w:val="20"/>
        </w:rPr>
        <w:t xml:space="preserve"> </w:t>
      </w:r>
      <w:proofErr w:type="spellStart"/>
      <w:r w:rsidRPr="007509CD">
        <w:rPr>
          <w:rFonts w:ascii="Arial" w:eastAsia="Times New Roman" w:hAnsi="Arial" w:cs="Arial"/>
          <w:sz w:val="20"/>
          <w:szCs w:val="20"/>
        </w:rPr>
        <w:t>ii</w:t>
      </w:r>
      <w:proofErr w:type="spellEnd"/>
      <w:r w:rsidRPr="007509CD">
        <w:rPr>
          <w:rFonts w:ascii="Arial" w:eastAsia="Times New Roman" w:hAnsi="Arial" w:cs="Arial"/>
          <w:sz w:val="20"/>
          <w:szCs w:val="20"/>
        </w:rPr>
        <w:t>)</w:t>
      </w:r>
      <w:r w:rsidRPr="007509CD">
        <w:rPr>
          <w:rFonts w:ascii="Arial" w:eastAsia="Times New Roman" w:hAnsi="Arial" w:cs="Arial"/>
          <w:i/>
          <w:iCs/>
          <w:sz w:val="20"/>
          <w:szCs w:val="20"/>
        </w:rPr>
        <w:t xml:space="preserve"> </w:t>
      </w:r>
      <w:r w:rsidRPr="007509CD">
        <w:rPr>
          <w:rFonts w:ascii="Arial" w:eastAsia="Times New Roman" w:hAnsi="Arial" w:cs="Arial"/>
          <w:sz w:val="20"/>
          <w:szCs w:val="20"/>
        </w:rPr>
        <w:t xml:space="preserve">la Resolución 392 del 18 de noviembre de 2021, «Por la cual se adoptan los documentos tipo complementarios para los procesos de licitación de obra pública de infraestructura social relacionados con el sector salud»; y </w:t>
      </w:r>
      <w:proofErr w:type="spellStart"/>
      <w:r w:rsidRPr="007509CD">
        <w:rPr>
          <w:rFonts w:ascii="Arial" w:eastAsia="Times New Roman" w:hAnsi="Arial" w:cs="Arial"/>
          <w:sz w:val="20"/>
          <w:szCs w:val="20"/>
        </w:rPr>
        <w:t>iii</w:t>
      </w:r>
      <w:proofErr w:type="spellEnd"/>
      <w:r w:rsidRPr="007509CD">
        <w:rPr>
          <w:rFonts w:ascii="Arial" w:eastAsia="Times New Roman" w:hAnsi="Arial" w:cs="Arial"/>
          <w:sz w:val="20"/>
          <w:szCs w:val="20"/>
        </w:rPr>
        <w:t>) la Resolución 454 del 16 de diciembre de 2021,</w:t>
      </w:r>
      <w:r w:rsidRPr="007509CD">
        <w:rPr>
          <w:sz w:val="20"/>
          <w:szCs w:val="20"/>
        </w:rPr>
        <w:t xml:space="preserve"> </w:t>
      </w:r>
      <w:r w:rsidRPr="007509CD">
        <w:rPr>
          <w:rFonts w:ascii="Arial" w:eastAsia="Times New Roman" w:hAnsi="Arial" w:cs="Arial"/>
          <w:sz w:val="20"/>
          <w:szCs w:val="20"/>
        </w:rPr>
        <w:t>«Por la cual se adoptan los documentos tipo complementarios para los procesos de licitación de obra pública de infraestructura social relacionados con el sector cultura, recreación y deporte»</w:t>
      </w:r>
      <w:r w:rsidRPr="007509CD">
        <w:rPr>
          <w:rFonts w:ascii="Arial" w:eastAsia="Times New Roman" w:hAnsi="Arial" w:cs="Arial"/>
          <w:i/>
          <w:iCs/>
          <w:sz w:val="20"/>
          <w:szCs w:val="20"/>
        </w:rPr>
        <w:t>.</w:t>
      </w:r>
    </w:p>
    <w:p w14:paraId="2A7C77E2" w14:textId="77777777" w:rsidR="002D3DED" w:rsidRDefault="002D3DED" w:rsidP="002D3DED">
      <w:pPr>
        <w:spacing w:after="0" w:line="240" w:lineRule="auto"/>
        <w:jc w:val="both"/>
        <w:rPr>
          <w:rFonts w:ascii="Arial" w:eastAsia="Times New Roman" w:hAnsi="Arial" w:cs="Arial"/>
          <w:i/>
          <w:iCs/>
          <w:sz w:val="20"/>
          <w:szCs w:val="20"/>
        </w:rPr>
      </w:pPr>
    </w:p>
    <w:p w14:paraId="040FE5AF" w14:textId="77777777" w:rsidR="002D3DED" w:rsidRPr="00301AF0" w:rsidRDefault="002D3DED" w:rsidP="002D3DED">
      <w:pPr>
        <w:spacing w:after="0" w:line="240" w:lineRule="auto"/>
        <w:jc w:val="both"/>
        <w:rPr>
          <w:rFonts w:ascii="Arial" w:eastAsia="Calibri" w:hAnsi="Arial" w:cs="Arial"/>
          <w:b/>
        </w:rPr>
      </w:pPr>
      <w:r w:rsidRPr="00301AF0">
        <w:rPr>
          <w:rFonts w:ascii="Arial" w:eastAsia="Calibri" w:hAnsi="Arial" w:cs="Arial"/>
          <w:b/>
          <w:bCs/>
          <w:lang w:val="es-ES_tradnl" w:eastAsia="en-GB"/>
        </w:rPr>
        <w:t xml:space="preserve">DOCUMENTOS TIPO – Infraestructura social – Sectores – Educativo – Salud – Cultura, recreación y deporte – Matriz de experiencia – Aplicación </w:t>
      </w:r>
    </w:p>
    <w:p w14:paraId="70EB101C" w14:textId="77777777" w:rsidR="002D3DED" w:rsidRPr="00301AF0" w:rsidRDefault="002D3DED" w:rsidP="002D3DED">
      <w:pPr>
        <w:shd w:val="clear" w:color="auto" w:fill="FFFFFF"/>
        <w:spacing w:after="0" w:line="240" w:lineRule="auto"/>
        <w:jc w:val="both"/>
        <w:rPr>
          <w:rFonts w:ascii="Arial" w:eastAsia="Calibri" w:hAnsi="Arial" w:cs="Arial"/>
          <w:sz w:val="20"/>
          <w:szCs w:val="20"/>
          <w:lang w:val="es-MX"/>
        </w:rPr>
      </w:pPr>
    </w:p>
    <w:p w14:paraId="04D60274" w14:textId="77777777" w:rsidR="002D3DED" w:rsidRPr="006D43F3" w:rsidRDefault="002D3DED" w:rsidP="002D3DED">
      <w:pPr>
        <w:spacing w:after="120" w:line="240" w:lineRule="auto"/>
        <w:jc w:val="both"/>
        <w:rPr>
          <w:rFonts w:ascii="Arial" w:eastAsia="Times New Roman" w:hAnsi="Arial" w:cs="Arial"/>
          <w:sz w:val="20"/>
          <w:szCs w:val="20"/>
          <w:lang w:val="es-ES" w:eastAsia="en-GB"/>
        </w:rPr>
      </w:pPr>
      <w:r w:rsidRPr="006D43F3">
        <w:rPr>
          <w:rFonts w:ascii="Arial" w:eastAsia="Times New Roman" w:hAnsi="Arial" w:cs="Arial"/>
          <w:sz w:val="20"/>
          <w:szCs w:val="20"/>
          <w:lang w:val="es-ES" w:eastAsia="en-GB"/>
        </w:rPr>
        <w:t xml:space="preserve">Las Resoluciones 220, 392 y 454 del 2021, en el artículo 2, desarrollan el «Anexo − Glosario» y la «Matriz − Experiencia» de cada sector en particular −educativo; salud; cultura, recreación y deporte− de los documentos tipo complementarios de licitación de obra pública de infraestructura social, lo que significa que estos documentos definen el alcance para cada sector. </w:t>
      </w:r>
    </w:p>
    <w:p w14:paraId="2128CE6B" w14:textId="77777777" w:rsidR="002D3DED" w:rsidRPr="006D43F3" w:rsidRDefault="002D3DED" w:rsidP="002D3DED">
      <w:pPr>
        <w:spacing w:after="120" w:line="240" w:lineRule="auto"/>
        <w:jc w:val="both"/>
        <w:rPr>
          <w:rFonts w:ascii="Arial" w:eastAsia="Calibri" w:hAnsi="Arial" w:cs="Arial"/>
          <w:color w:val="0D0D0D"/>
          <w:sz w:val="20"/>
          <w:szCs w:val="20"/>
          <w:lang w:val="es-MX"/>
        </w:rPr>
      </w:pPr>
      <w:r w:rsidRPr="006D43F3">
        <w:rPr>
          <w:rFonts w:ascii="Arial" w:eastAsia="Times New Roman" w:hAnsi="Arial" w:cs="Arial"/>
          <w:sz w:val="20"/>
          <w:szCs w:val="20"/>
          <w:lang w:val="es-ES" w:eastAsia="en-GB"/>
        </w:rPr>
        <w:t xml:space="preserve">De esta forma, la Matriz de experiencia de cada sector mencionado </w:t>
      </w:r>
      <w:r w:rsidRPr="006D43F3">
        <w:rPr>
          <w:rFonts w:ascii="Arial" w:eastAsia="Calibri" w:hAnsi="Arial" w:cs="Arial"/>
          <w:color w:val="0D0D0D"/>
          <w:sz w:val="20"/>
          <w:szCs w:val="20"/>
          <w:lang w:val="es-MX"/>
        </w:rPr>
        <w:t>consta de unas celdas en las que se describe la experiencia requerida en relación con el objeto a contratar</w:t>
      </w:r>
      <w:r w:rsidRPr="006D43F3">
        <w:rPr>
          <w:rFonts w:ascii="Arial" w:eastAsia="Times New Roman" w:hAnsi="Arial" w:cs="Arial"/>
          <w:sz w:val="20"/>
          <w:szCs w:val="20"/>
          <w:lang w:val="es-ES" w:eastAsia="en-GB"/>
        </w:rPr>
        <w:t xml:space="preserve">, señalando, además, los proyectos o contratos concretos a los cuales aplican los documentos tipo de cada uno de los sectores, en el entendido de que aplicarán a los procesos contractuales cuyo objeto se relacione con alguna de las actividades establecidas de forma detallada en la Matriz de experiencia respectiva. </w:t>
      </w:r>
      <w:r w:rsidRPr="006D43F3">
        <w:rPr>
          <w:rFonts w:ascii="Arial" w:eastAsia="Calibri" w:hAnsi="Arial" w:cs="Arial"/>
          <w:color w:val="0D0D0D"/>
          <w:sz w:val="20"/>
          <w:szCs w:val="20"/>
          <w:lang w:val="es-MX"/>
        </w:rPr>
        <w:t xml:space="preserve">Por otro lado, el «Anexo 3 – Glosario», contiene las definiciones de los términos usados en los documentos del proceso. Utilizando estos dos documentos, la entidad estatal puede definir si el objeto a contratarse debe aplicar los documentos tipo de licitación de obra pública de infraestructura social relacionados con el sector educativo, salud y cultura, recreación y deporte −según corresponda−. </w:t>
      </w:r>
    </w:p>
    <w:p w14:paraId="3583B424" w14:textId="77777777" w:rsidR="002D3DED" w:rsidRPr="006D43F3" w:rsidRDefault="002D3DED" w:rsidP="002D3DED">
      <w:pPr>
        <w:spacing w:before="120" w:after="120" w:line="240" w:lineRule="auto"/>
        <w:jc w:val="both"/>
        <w:rPr>
          <w:rFonts w:ascii="Arial" w:eastAsia="Calibri" w:hAnsi="Arial" w:cs="Arial"/>
          <w:color w:val="0D0D0D"/>
          <w:sz w:val="20"/>
          <w:szCs w:val="20"/>
          <w:lang w:val="es-MX"/>
        </w:rPr>
      </w:pPr>
      <w:r w:rsidRPr="006D43F3">
        <w:rPr>
          <w:rFonts w:ascii="Arial" w:eastAsia="Calibri" w:hAnsi="Arial" w:cs="Arial"/>
          <w:color w:val="0D0D0D"/>
          <w:sz w:val="20"/>
          <w:szCs w:val="20"/>
          <w:lang w:val="es-MX"/>
        </w:rPr>
        <w:t xml:space="preserve">De acuerdo con lo anterior, la Matriz de experiencia, cumple una doble función. Por un lado, sirve para estandarizar las condiciones de experiencia, conforme al parágrafo 7 del artículo 2 de la Ley 1150 de 2007. De otro lado, dicha matriz permite determinar el ámbito de aplicación de los documentos tipo complementarios de licitación de obra pública de infraestructura social, respecto de </w:t>
      </w:r>
      <w:r w:rsidRPr="006D43F3">
        <w:rPr>
          <w:rFonts w:ascii="Arial" w:eastAsia="Calibri" w:hAnsi="Arial" w:cs="Arial"/>
          <w:color w:val="0D0D0D"/>
          <w:sz w:val="20"/>
          <w:szCs w:val="20"/>
          <w:lang w:val="es-MX"/>
        </w:rPr>
        <w:lastRenderedPageBreak/>
        <w:t>objetos contractuales asociados, ya que son las actividades descritas en esta las que, obligatoriamente, deben contratarse aplicando estos documentos tipo.</w:t>
      </w:r>
    </w:p>
    <w:p w14:paraId="18A297AE" w14:textId="77777777" w:rsidR="002D3DED" w:rsidRPr="006D43F3" w:rsidRDefault="002D3DED" w:rsidP="002D3DED">
      <w:pPr>
        <w:spacing w:before="120" w:after="120" w:line="240" w:lineRule="auto"/>
        <w:jc w:val="both"/>
        <w:rPr>
          <w:rFonts w:ascii="Arial" w:eastAsia="Calibri" w:hAnsi="Arial" w:cs="Arial"/>
          <w:color w:val="0D0D0D"/>
          <w:sz w:val="20"/>
          <w:szCs w:val="20"/>
          <w:lang w:val="es-MX"/>
        </w:rPr>
      </w:pPr>
      <w:r w:rsidRPr="006D43F3">
        <w:rPr>
          <w:rFonts w:ascii="Arial" w:eastAsia="Calibri" w:hAnsi="Arial" w:cs="Arial"/>
          <w:color w:val="0D0D0D"/>
          <w:sz w:val="20"/>
          <w:szCs w:val="20"/>
          <w:lang w:val="es-MX"/>
        </w:rPr>
        <w:t>De esta manera, para saber a qué actividades deben aplicarse los documentos tipo de licitación de obra pública de infraestructura social relacionados con el sector educativo, salud y cultura, recreación y deporte,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0A1B671" w14:textId="77777777" w:rsidR="002D3DED" w:rsidRDefault="002D3DED" w:rsidP="002D3DED">
      <w:pPr>
        <w:rPr>
          <w:rFonts w:ascii="Arial" w:eastAsia="Calibri" w:hAnsi="Arial" w:cs="Arial"/>
          <w:bCs/>
        </w:rPr>
      </w:pPr>
    </w:p>
    <w:p w14:paraId="46E0EAC9" w14:textId="77777777" w:rsidR="002D3DED" w:rsidRDefault="002D3DED" w:rsidP="002D3DED">
      <w:pPr>
        <w:rPr>
          <w:rFonts w:ascii="Arial" w:eastAsia="Calibri" w:hAnsi="Arial" w:cs="Arial"/>
          <w:b/>
          <w:bCs/>
          <w:color w:val="000000" w:themeColor="text1"/>
          <w:sz w:val="20"/>
          <w:szCs w:val="20"/>
          <w:lang w:val="es-MX"/>
        </w:rPr>
      </w:pPr>
      <w:r w:rsidRPr="007418E5">
        <w:rPr>
          <w:rFonts w:ascii="Arial" w:eastAsia="Calibri" w:hAnsi="Arial" w:cs="Arial"/>
          <w:b/>
          <w:bCs/>
          <w:sz w:val="20"/>
          <w:szCs w:val="20"/>
          <w:lang w:val="es-ES_tradnl" w:eastAsia="en-GB"/>
        </w:rPr>
        <w:t xml:space="preserve">DOCUMENTOS TIPO - </w:t>
      </w:r>
      <w:r w:rsidRPr="007418E5">
        <w:rPr>
          <w:rFonts w:ascii="Arial" w:eastAsia="Calibri" w:hAnsi="Arial" w:cs="Arial"/>
          <w:b/>
          <w:bCs/>
          <w:color w:val="000000" w:themeColor="text1"/>
          <w:sz w:val="20"/>
          <w:szCs w:val="20"/>
          <w:lang w:val="es-MX"/>
        </w:rPr>
        <w:t>Matriz Experiencia</w:t>
      </w:r>
      <w:r w:rsidRPr="007418E5">
        <w:rPr>
          <w:rFonts w:ascii="Arial" w:eastAsia="Calibri" w:hAnsi="Arial" w:cs="Arial"/>
          <w:b/>
          <w:bCs/>
          <w:sz w:val="20"/>
          <w:szCs w:val="20"/>
        </w:rPr>
        <w:t xml:space="preserve"> - N</w:t>
      </w:r>
      <w:proofErr w:type="spellStart"/>
      <w:r w:rsidRPr="007418E5">
        <w:rPr>
          <w:rFonts w:ascii="Arial" w:eastAsia="Calibri" w:hAnsi="Arial" w:cs="Arial"/>
          <w:b/>
          <w:bCs/>
          <w:color w:val="000000" w:themeColor="text1"/>
          <w:sz w:val="20"/>
          <w:szCs w:val="20"/>
          <w:lang w:val="es-MX"/>
        </w:rPr>
        <w:t>umeral</w:t>
      </w:r>
      <w:proofErr w:type="spellEnd"/>
      <w:r w:rsidRPr="007418E5">
        <w:rPr>
          <w:rFonts w:ascii="Arial" w:eastAsia="Calibri" w:hAnsi="Arial" w:cs="Arial"/>
          <w:b/>
          <w:bCs/>
          <w:color w:val="000000" w:themeColor="text1"/>
          <w:sz w:val="20"/>
          <w:szCs w:val="20"/>
          <w:lang w:val="es-MX"/>
        </w:rPr>
        <w:t xml:space="preserve"> 2.5</w:t>
      </w:r>
    </w:p>
    <w:p w14:paraId="3D9C03C7" w14:textId="77777777" w:rsidR="002D3DED" w:rsidRPr="007418E5" w:rsidRDefault="002D3DED" w:rsidP="002D3DED">
      <w:pPr>
        <w:spacing w:before="120" w:after="120" w:line="240" w:lineRule="auto"/>
        <w:jc w:val="both"/>
        <w:rPr>
          <w:rFonts w:ascii="Arial" w:eastAsia="Calibri" w:hAnsi="Arial" w:cs="Arial"/>
          <w:color w:val="000000" w:themeColor="text1"/>
          <w:sz w:val="20"/>
          <w:szCs w:val="20"/>
          <w:lang w:val="es-MX"/>
        </w:rPr>
      </w:pPr>
      <w:r>
        <w:rPr>
          <w:rFonts w:ascii="Arial" w:eastAsia="Calibri" w:hAnsi="Arial" w:cs="Arial"/>
          <w:color w:val="000000" w:themeColor="text1"/>
          <w:sz w:val="20"/>
          <w:szCs w:val="20"/>
          <w:lang w:val="es-MX"/>
        </w:rPr>
        <w:t>[…] e</w:t>
      </w:r>
      <w:r w:rsidRPr="007418E5">
        <w:rPr>
          <w:rFonts w:ascii="Arial" w:eastAsia="Calibri" w:hAnsi="Arial" w:cs="Arial"/>
          <w:color w:val="000000" w:themeColor="text1"/>
          <w:sz w:val="20"/>
          <w:szCs w:val="20"/>
          <w:lang w:val="es-MX"/>
        </w:rPr>
        <w:t xml:space="preserve">ste requisito de experiencia general establece dos componentes, en cada uno de los cuales se describen actividades de obra pública referidas a dos tipos de infraestructura distintos. En primer lugar, se hace referencia a contratos que hayan contenido intervenciones a título de construcción, mejoramiento, rehabilitación, mantenimiento, adecuación y/o ampliación de parques, canchas o escenarios deportivos. En segundo lugar, se alude a obras tendientes a la construcción, mejoramiento, adecuación y/o ampliación de espacio público. </w:t>
      </w:r>
    </w:p>
    <w:p w14:paraId="2549AC35" w14:textId="77777777" w:rsidR="002D3DED" w:rsidRPr="007418E5" w:rsidRDefault="002D3DED" w:rsidP="002D3DED">
      <w:pPr>
        <w:spacing w:before="120" w:after="120" w:line="240" w:lineRule="auto"/>
        <w:jc w:val="both"/>
        <w:rPr>
          <w:rFonts w:ascii="Arial" w:eastAsia="Calibri" w:hAnsi="Arial" w:cs="Arial"/>
          <w:color w:val="000000" w:themeColor="text1"/>
          <w:sz w:val="20"/>
          <w:szCs w:val="20"/>
          <w:lang w:val="es-MX"/>
        </w:rPr>
      </w:pPr>
      <w:r w:rsidRPr="007418E5">
        <w:rPr>
          <w:rFonts w:ascii="Arial" w:eastAsia="Calibri" w:hAnsi="Arial" w:cs="Arial"/>
          <w:color w:val="000000" w:themeColor="text1"/>
          <w:sz w:val="20"/>
          <w:szCs w:val="20"/>
          <w:lang w:val="es-MX"/>
        </w:rPr>
        <w:t xml:space="preserve">Conforme se desprende del alcance de la expresión que antecede lo mencionados componentes, para cumplir el requisito de experiencia en comento, basta con que el proponente presente contratos mediante los que acredite haber desarrollado actividades que se enmarquen en al menos uno de los dos componentes a los que se refiere el requisito de experiencia general establecido en el numeral 2.5. Esto significa que, para verificar el cumplimiento del requisito basta con establecer que en el marco de los contratos presentados se hayan ejecutado intervenciones en parques, canchas o escenarios deportivos, o que, en su defecto, se ejecutaron trabajos materiales sobre espacio público, en los términos señalados en la matriz. Sin embargo, nada obsta para que se acredite el cumplimiento de este requisito de experiencia general con contratos mediante los que se demuestre experiencia en ambos componentes, lo cual en ningún caso podrá exigirse como obligatorio.  </w:t>
      </w:r>
    </w:p>
    <w:p w14:paraId="3C481FFD" w14:textId="1F69B888" w:rsidR="00853344" w:rsidRDefault="00853344" w:rsidP="00D23EB1">
      <w:pPr>
        <w:spacing w:after="0" w:line="276" w:lineRule="auto"/>
        <w:rPr>
          <w:rFonts w:ascii="Calibri" w:eastAsia="Calibri" w:hAnsi="Calibri" w:cs="Arial"/>
        </w:rPr>
      </w:pPr>
    </w:p>
    <w:p w14:paraId="35D8ED1C" w14:textId="5E0D0B62" w:rsidR="002D3DED" w:rsidRDefault="002D3DED" w:rsidP="00D23EB1">
      <w:pPr>
        <w:spacing w:after="0" w:line="276" w:lineRule="auto"/>
        <w:rPr>
          <w:rFonts w:ascii="Calibri" w:eastAsia="Calibri" w:hAnsi="Calibri" w:cs="Arial"/>
        </w:rPr>
      </w:pPr>
    </w:p>
    <w:p w14:paraId="357AA1FE" w14:textId="3CA55C9F" w:rsidR="002D3DED" w:rsidRDefault="002D3DED" w:rsidP="00D23EB1">
      <w:pPr>
        <w:spacing w:after="0" w:line="276" w:lineRule="auto"/>
        <w:rPr>
          <w:rFonts w:ascii="Calibri" w:eastAsia="Calibri" w:hAnsi="Calibri" w:cs="Arial"/>
        </w:rPr>
      </w:pPr>
    </w:p>
    <w:p w14:paraId="2EDF2750" w14:textId="41F402F3" w:rsidR="002D3DED" w:rsidRDefault="002D3DED" w:rsidP="00D23EB1">
      <w:pPr>
        <w:spacing w:after="0" w:line="276" w:lineRule="auto"/>
        <w:rPr>
          <w:rFonts w:ascii="Calibri" w:eastAsia="Calibri" w:hAnsi="Calibri" w:cs="Arial"/>
        </w:rPr>
      </w:pPr>
    </w:p>
    <w:p w14:paraId="49220AC7" w14:textId="3A0460B7" w:rsidR="002D3DED" w:rsidRDefault="002D3DED" w:rsidP="00D23EB1">
      <w:pPr>
        <w:spacing w:after="0" w:line="276" w:lineRule="auto"/>
        <w:rPr>
          <w:rFonts w:ascii="Calibri" w:eastAsia="Calibri" w:hAnsi="Calibri" w:cs="Arial"/>
        </w:rPr>
      </w:pPr>
    </w:p>
    <w:p w14:paraId="54FF1FF3" w14:textId="5A799474" w:rsidR="002D3DED" w:rsidRDefault="002D3DED" w:rsidP="00D23EB1">
      <w:pPr>
        <w:spacing w:after="0" w:line="276" w:lineRule="auto"/>
        <w:rPr>
          <w:rFonts w:ascii="Calibri" w:eastAsia="Calibri" w:hAnsi="Calibri" w:cs="Arial"/>
        </w:rPr>
      </w:pPr>
    </w:p>
    <w:p w14:paraId="0541048E" w14:textId="2A5869F8" w:rsidR="002D3DED" w:rsidRDefault="002D3DED" w:rsidP="00D23EB1">
      <w:pPr>
        <w:spacing w:after="0" w:line="276" w:lineRule="auto"/>
        <w:rPr>
          <w:rFonts w:ascii="Calibri" w:eastAsia="Calibri" w:hAnsi="Calibri" w:cs="Arial"/>
        </w:rPr>
      </w:pPr>
    </w:p>
    <w:p w14:paraId="1CE61348" w14:textId="417E6FDF" w:rsidR="002D3DED" w:rsidRDefault="002D3DED" w:rsidP="00D23EB1">
      <w:pPr>
        <w:spacing w:after="0" w:line="276" w:lineRule="auto"/>
        <w:rPr>
          <w:rFonts w:ascii="Calibri" w:eastAsia="Calibri" w:hAnsi="Calibri" w:cs="Arial"/>
        </w:rPr>
      </w:pPr>
    </w:p>
    <w:p w14:paraId="2A969920" w14:textId="6E7D35AB" w:rsidR="002D3DED" w:rsidRDefault="002D3DED" w:rsidP="00D23EB1">
      <w:pPr>
        <w:spacing w:after="0" w:line="276" w:lineRule="auto"/>
        <w:rPr>
          <w:rFonts w:ascii="Calibri" w:eastAsia="Calibri" w:hAnsi="Calibri" w:cs="Arial"/>
        </w:rPr>
      </w:pPr>
    </w:p>
    <w:p w14:paraId="5480C12E" w14:textId="6A7FD674" w:rsidR="002D3DED" w:rsidRDefault="002D3DED" w:rsidP="00D23EB1">
      <w:pPr>
        <w:spacing w:after="0" w:line="276" w:lineRule="auto"/>
        <w:rPr>
          <w:rFonts w:ascii="Calibri" w:eastAsia="Calibri" w:hAnsi="Calibri" w:cs="Arial"/>
        </w:rPr>
      </w:pPr>
    </w:p>
    <w:p w14:paraId="45530AB0" w14:textId="1DCDE705" w:rsidR="002D3DED" w:rsidRDefault="002D3DED" w:rsidP="00D23EB1">
      <w:pPr>
        <w:spacing w:after="0" w:line="276" w:lineRule="auto"/>
        <w:rPr>
          <w:rFonts w:ascii="Calibri" w:eastAsia="Calibri" w:hAnsi="Calibri" w:cs="Arial"/>
        </w:rPr>
      </w:pPr>
    </w:p>
    <w:p w14:paraId="7F245F90" w14:textId="317312B8" w:rsidR="002D3DED" w:rsidRDefault="002D3DED" w:rsidP="00D23EB1">
      <w:pPr>
        <w:spacing w:after="0" w:line="276" w:lineRule="auto"/>
        <w:rPr>
          <w:rFonts w:ascii="Calibri" w:eastAsia="Calibri" w:hAnsi="Calibri" w:cs="Arial"/>
        </w:rPr>
      </w:pPr>
    </w:p>
    <w:p w14:paraId="26A1FCFB" w14:textId="2F72DE62" w:rsidR="002D3DED" w:rsidRDefault="002D3DED" w:rsidP="00D23EB1">
      <w:pPr>
        <w:spacing w:after="0" w:line="276" w:lineRule="auto"/>
        <w:rPr>
          <w:rFonts w:ascii="Calibri" w:eastAsia="Calibri" w:hAnsi="Calibri" w:cs="Arial"/>
        </w:rPr>
      </w:pPr>
    </w:p>
    <w:p w14:paraId="64CA2E17" w14:textId="3B57160D" w:rsidR="002D3DED" w:rsidRDefault="002D3DED" w:rsidP="00D23EB1">
      <w:pPr>
        <w:spacing w:after="0" w:line="276" w:lineRule="auto"/>
        <w:rPr>
          <w:rFonts w:ascii="Calibri" w:eastAsia="Calibri" w:hAnsi="Calibri" w:cs="Arial"/>
        </w:rPr>
      </w:pPr>
    </w:p>
    <w:p w14:paraId="16F5C791" w14:textId="6DF5CD28" w:rsidR="002D3DED" w:rsidRDefault="002D3DED" w:rsidP="00D23EB1">
      <w:pPr>
        <w:spacing w:after="0" w:line="276" w:lineRule="auto"/>
        <w:rPr>
          <w:rFonts w:ascii="Calibri" w:eastAsia="Calibri" w:hAnsi="Calibri" w:cs="Arial"/>
        </w:rPr>
      </w:pPr>
    </w:p>
    <w:p w14:paraId="09CC5C50" w14:textId="7FFE2860" w:rsidR="002D3DED" w:rsidRDefault="002D3DED" w:rsidP="00D23EB1">
      <w:pPr>
        <w:spacing w:after="0" w:line="276" w:lineRule="auto"/>
        <w:rPr>
          <w:rFonts w:ascii="Calibri" w:eastAsia="Calibri" w:hAnsi="Calibri" w:cs="Arial"/>
        </w:rPr>
      </w:pPr>
    </w:p>
    <w:p w14:paraId="545FD75F" w14:textId="77777777" w:rsidR="002D3DED" w:rsidRDefault="002D3DED" w:rsidP="00D23EB1">
      <w:pPr>
        <w:spacing w:after="0" w:line="276" w:lineRule="auto"/>
        <w:rPr>
          <w:rFonts w:ascii="Calibri" w:eastAsia="Calibri" w:hAnsi="Calibri" w:cs="Arial"/>
        </w:rPr>
      </w:pPr>
    </w:p>
    <w:p w14:paraId="3B491753" w14:textId="77777777" w:rsidR="00853344" w:rsidRDefault="00853344" w:rsidP="00D23EB1">
      <w:pPr>
        <w:spacing w:after="0" w:line="276" w:lineRule="auto"/>
        <w:rPr>
          <w:rFonts w:ascii="Calibri" w:eastAsia="Calibri" w:hAnsi="Calibri" w:cs="Arial"/>
        </w:rPr>
      </w:pPr>
    </w:p>
    <w:p w14:paraId="61318373" w14:textId="4F932998" w:rsidR="00853344" w:rsidRDefault="002D3DED" w:rsidP="002D3DED">
      <w:pPr>
        <w:spacing w:after="0" w:line="276" w:lineRule="auto"/>
        <w:jc w:val="right"/>
        <w:rPr>
          <w:rFonts w:ascii="Calibri" w:eastAsia="Calibri" w:hAnsi="Calibri" w:cs="Arial"/>
        </w:rPr>
      </w:pPr>
      <w:r w:rsidRPr="002D3DED">
        <w:rPr>
          <w:rFonts w:ascii="Calibri" w:eastAsia="Calibri" w:hAnsi="Calibri" w:cs="Arial"/>
          <w:noProof/>
        </w:rPr>
        <w:lastRenderedPageBreak/>
        <w:drawing>
          <wp:inline distT="0" distB="0" distL="0" distR="0" wp14:anchorId="5BAF9E2F" wp14:editId="7121CC1E">
            <wp:extent cx="3070321" cy="804231"/>
            <wp:effectExtent l="0" t="0" r="0"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8"/>
                    <a:stretch>
                      <a:fillRect/>
                    </a:stretch>
                  </pic:blipFill>
                  <pic:spPr>
                    <a:xfrm>
                      <a:off x="0" y="0"/>
                      <a:ext cx="3086224" cy="808397"/>
                    </a:xfrm>
                    <a:prstGeom prst="rect">
                      <a:avLst/>
                    </a:prstGeom>
                  </pic:spPr>
                </pic:pic>
              </a:graphicData>
            </a:graphic>
          </wp:inline>
        </w:drawing>
      </w:r>
    </w:p>
    <w:p w14:paraId="2C695ED4" w14:textId="77777777" w:rsidR="002D3DED" w:rsidRDefault="002D3DED" w:rsidP="00D23EB1">
      <w:pPr>
        <w:spacing w:after="0" w:line="276" w:lineRule="auto"/>
        <w:rPr>
          <w:rFonts w:ascii="Calibri" w:eastAsia="Calibri" w:hAnsi="Calibri" w:cs="Arial"/>
        </w:rPr>
      </w:pPr>
    </w:p>
    <w:p w14:paraId="43032DFD" w14:textId="06B7E91A" w:rsidR="00D23EB1" w:rsidRPr="002D3DED" w:rsidRDefault="00D23EB1" w:rsidP="00D23EB1">
      <w:pPr>
        <w:spacing w:after="0" w:line="276" w:lineRule="auto"/>
        <w:rPr>
          <w:rFonts w:ascii="Arial" w:eastAsia="Times New Roman" w:hAnsi="Arial" w:cs="Arial"/>
          <w:b/>
          <w:bCs/>
          <w:sz w:val="20"/>
          <w:lang w:eastAsia="es-MX"/>
        </w:rPr>
      </w:pPr>
      <w:r w:rsidRPr="002D3DED">
        <w:rPr>
          <w:rFonts w:ascii="Arial" w:eastAsia="Calibri" w:hAnsi="Arial" w:cs="Arial"/>
          <w:sz w:val="20"/>
          <w:szCs w:val="20"/>
        </w:rPr>
        <w:t>Bogotá,</w:t>
      </w:r>
      <w:r w:rsidRPr="002D3DED">
        <w:rPr>
          <w:rFonts w:ascii="Arial" w:eastAsia="Calibri" w:hAnsi="Arial" w:cs="Arial"/>
          <w:sz w:val="20"/>
          <w:szCs w:val="20"/>
        </w:rPr>
        <w:tab/>
      </w:r>
      <w:r w:rsidR="002D3DED" w:rsidRPr="002D3DED">
        <w:rPr>
          <w:rFonts w:ascii="Arial" w:eastAsia="Calibri" w:hAnsi="Arial" w:cs="Arial"/>
          <w:sz w:val="20"/>
          <w:szCs w:val="20"/>
        </w:rPr>
        <w:t xml:space="preserve"> 31 agosto 2022</w:t>
      </w:r>
    </w:p>
    <w:p w14:paraId="6C082A75" w14:textId="77777777" w:rsidR="00D23EB1" w:rsidRPr="00D23EB1" w:rsidRDefault="00D23EB1" w:rsidP="00D23EB1">
      <w:pPr>
        <w:spacing w:after="0" w:line="276" w:lineRule="auto"/>
        <w:rPr>
          <w:rFonts w:ascii="Arial" w:eastAsia="Times New Roman" w:hAnsi="Arial" w:cs="Arial"/>
          <w:b/>
          <w:bCs/>
          <w:szCs w:val="24"/>
          <w:lang w:eastAsia="es-MX"/>
        </w:rPr>
      </w:pPr>
    </w:p>
    <w:p w14:paraId="1051CBC2" w14:textId="43DA9628" w:rsidR="00D23EB1" w:rsidRPr="00D23EB1" w:rsidRDefault="00D23EB1" w:rsidP="00F31A38">
      <w:pPr>
        <w:spacing w:after="0" w:line="240" w:lineRule="auto"/>
        <w:rPr>
          <w:rFonts w:ascii="Arial" w:eastAsia="Calibri" w:hAnsi="Arial" w:cs="Arial"/>
          <w:color w:val="000000" w:themeColor="text1"/>
          <w:szCs w:val="24"/>
          <w:lang w:eastAsia="es-MX"/>
        </w:rPr>
      </w:pPr>
      <w:r w:rsidRPr="00D23EB1">
        <w:rPr>
          <w:rFonts w:ascii="Arial" w:eastAsia="Calibri" w:hAnsi="Arial" w:cs="Arial"/>
          <w:color w:val="000000" w:themeColor="text1"/>
          <w:szCs w:val="24"/>
          <w:lang w:eastAsia="es-MX"/>
        </w:rPr>
        <w:t>Señor</w:t>
      </w:r>
    </w:p>
    <w:p w14:paraId="2D0291B1" w14:textId="0CBEE16B" w:rsidR="00D23EB1" w:rsidRPr="00D23EB1" w:rsidRDefault="00F56D09" w:rsidP="00F31A38">
      <w:pPr>
        <w:spacing w:after="0" w:line="240" w:lineRule="auto"/>
        <w:rPr>
          <w:rFonts w:ascii="Arial" w:eastAsia="Calibri" w:hAnsi="Arial" w:cs="Arial"/>
        </w:rPr>
      </w:pPr>
      <w:r>
        <w:rPr>
          <w:rFonts w:ascii="Arial" w:eastAsia="Calibri" w:hAnsi="Arial" w:cs="Arial"/>
          <w:b/>
          <w:bCs/>
        </w:rPr>
        <w:t>Mario de Jesús Álvarez Carrillo</w:t>
      </w:r>
    </w:p>
    <w:p w14:paraId="569C0053" w14:textId="21FDE24B" w:rsidR="00D23EB1" w:rsidRPr="00D23EB1" w:rsidRDefault="00F56D09" w:rsidP="00F31A38">
      <w:pPr>
        <w:spacing w:after="0" w:line="240" w:lineRule="auto"/>
        <w:rPr>
          <w:rFonts w:ascii="Arial" w:eastAsia="Calibri" w:hAnsi="Arial" w:cs="Arial"/>
          <w:b/>
          <w:bCs/>
        </w:rPr>
      </w:pPr>
      <w:r>
        <w:rPr>
          <w:rFonts w:ascii="Arial" w:eastAsia="Calibri" w:hAnsi="Arial" w:cs="Arial"/>
        </w:rPr>
        <w:t xml:space="preserve">Ciudad </w:t>
      </w:r>
    </w:p>
    <w:p w14:paraId="39C565DE" w14:textId="77777777" w:rsidR="00D23EB1" w:rsidRPr="00D23EB1" w:rsidRDefault="00D23EB1" w:rsidP="00D23EB1">
      <w:pPr>
        <w:spacing w:after="0" w:line="240" w:lineRule="auto"/>
        <w:rPr>
          <w:rFonts w:ascii="Arial" w:eastAsia="Calibri" w:hAnsi="Arial" w:cs="Arial"/>
          <w:b/>
          <w:color w:val="000000" w:themeColor="text1"/>
          <w:szCs w:val="24"/>
          <w:lang w:eastAsia="es-MX"/>
        </w:rPr>
      </w:pPr>
    </w:p>
    <w:p w14:paraId="42300AA1" w14:textId="4057E09D" w:rsidR="00D23EB1" w:rsidRPr="00D23EB1" w:rsidRDefault="00D23EB1" w:rsidP="00D23EB1">
      <w:pPr>
        <w:spacing w:after="0" w:line="240" w:lineRule="auto"/>
        <w:rPr>
          <w:rFonts w:ascii="Arial" w:eastAsia="Calibri" w:hAnsi="Arial" w:cs="Arial"/>
          <w:b/>
          <w:color w:val="000000" w:themeColor="text1"/>
          <w:szCs w:val="24"/>
          <w:lang w:eastAsia="es-MX"/>
        </w:rPr>
      </w:pPr>
      <w:r w:rsidRPr="00D23EB1">
        <w:rPr>
          <w:rFonts w:ascii="Arial" w:eastAsia="Calibri" w:hAnsi="Arial" w:cs="Arial"/>
          <w:b/>
          <w:color w:val="000000" w:themeColor="text1"/>
          <w:szCs w:val="24"/>
          <w:lang w:eastAsia="es-MX"/>
        </w:rPr>
        <w:t xml:space="preserve">                                        Concepto C –</w:t>
      </w:r>
      <w:r w:rsidR="00BD4C46">
        <w:rPr>
          <w:rFonts w:ascii="Arial" w:eastAsia="Calibri" w:hAnsi="Arial" w:cs="Arial"/>
          <w:b/>
          <w:color w:val="000000" w:themeColor="text1"/>
          <w:szCs w:val="24"/>
          <w:lang w:eastAsia="es-MX"/>
        </w:rPr>
        <w:t xml:space="preserve"> 507 </w:t>
      </w:r>
      <w:r w:rsidRPr="00D23EB1">
        <w:rPr>
          <w:rFonts w:ascii="Arial" w:eastAsia="Calibri" w:hAnsi="Arial" w:cs="Arial"/>
          <w:b/>
          <w:color w:val="000000" w:themeColor="text1"/>
          <w:szCs w:val="24"/>
          <w:lang w:eastAsia="es-MX"/>
        </w:rPr>
        <w:t xml:space="preserve">de 2022 </w:t>
      </w:r>
    </w:p>
    <w:p w14:paraId="4814A8FD" w14:textId="77777777" w:rsidR="00D23EB1" w:rsidRPr="00D23EB1" w:rsidRDefault="00D23EB1" w:rsidP="00D23EB1">
      <w:pPr>
        <w:spacing w:after="0" w:line="240" w:lineRule="auto"/>
        <w:rPr>
          <w:rFonts w:ascii="Arial" w:eastAsia="Calibri" w:hAnsi="Arial" w:cs="Arial"/>
          <w:b/>
          <w:color w:val="000000" w:themeColor="text1"/>
          <w:szCs w:val="24"/>
          <w:lang w:eastAsia="es-MX"/>
        </w:rPr>
      </w:pPr>
    </w:p>
    <w:tbl>
      <w:tblPr>
        <w:tblStyle w:val="Tablaconcuadrcula"/>
        <w:tblW w:w="868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272"/>
      </w:tblGrid>
      <w:tr w:rsidR="00D23EB1" w:rsidRPr="00D23EB1" w14:paraId="4F52DB82" w14:textId="77777777" w:rsidTr="00D23EB1">
        <w:trPr>
          <w:trHeight w:val="1120"/>
        </w:trPr>
        <w:tc>
          <w:tcPr>
            <w:tcW w:w="2410" w:type="dxa"/>
            <w:hideMark/>
          </w:tcPr>
          <w:p w14:paraId="5BA3DE54" w14:textId="77777777" w:rsidR="00D23EB1" w:rsidRPr="00D23EB1" w:rsidRDefault="00D23EB1" w:rsidP="00D23EB1">
            <w:pPr>
              <w:widowControl w:val="0"/>
              <w:autoSpaceDE w:val="0"/>
              <w:autoSpaceDN w:val="0"/>
              <w:spacing w:line="276" w:lineRule="auto"/>
              <w:jc w:val="both"/>
              <w:rPr>
                <w:rFonts w:ascii="Arial" w:hAnsi="Arial"/>
                <w:b/>
                <w:bCs/>
              </w:rPr>
            </w:pPr>
            <w:r w:rsidRPr="00D23EB1">
              <w:rPr>
                <w:rFonts w:ascii="Arial" w:hAnsi="Arial"/>
                <w:b/>
                <w:color w:val="000000" w:themeColor="text1"/>
                <w:lang w:val="es-ES"/>
              </w:rPr>
              <w:t>Temas:</w:t>
            </w:r>
            <w:r w:rsidRPr="00D23EB1">
              <w:rPr>
                <w:rFonts w:ascii="Arial" w:hAnsi="Arial"/>
                <w:color w:val="000000" w:themeColor="text1"/>
                <w:sz w:val="20"/>
                <w:szCs w:val="20"/>
                <w:lang w:val="es-ES"/>
              </w:rPr>
              <w:t xml:space="preserve">   </w:t>
            </w:r>
          </w:p>
        </w:tc>
        <w:tc>
          <w:tcPr>
            <w:tcW w:w="6272" w:type="dxa"/>
            <w:hideMark/>
          </w:tcPr>
          <w:p w14:paraId="3895365A" w14:textId="77777777" w:rsidR="00D23EB1" w:rsidRPr="00D23EB1" w:rsidRDefault="00D23EB1" w:rsidP="00B174EF">
            <w:pPr>
              <w:spacing w:after="120"/>
              <w:jc w:val="both"/>
              <w:rPr>
                <w:rFonts w:ascii="Arial" w:eastAsia="Times New Roman" w:hAnsi="Arial"/>
                <w:lang w:eastAsia="es-MX"/>
              </w:rPr>
            </w:pPr>
            <w:r w:rsidRPr="00D23EB1">
              <w:rPr>
                <w:rFonts w:ascii="Arial" w:hAnsi="Arial"/>
                <w:bCs/>
                <w:szCs w:val="24"/>
                <w:lang w:val="es-ES_tradnl" w:eastAsia="en-GB"/>
              </w:rPr>
              <w:t xml:space="preserve">DOCUMENTOS TIPO – Obligatoriedad – Inalterabilidad / DOCUMENTOS TIPO – Infraestructura social – Sectores – Educativo – Salud – Cultura, recreación y deporte / </w:t>
            </w:r>
            <w:r w:rsidRPr="00D23EB1">
              <w:rPr>
                <w:rFonts w:ascii="Arial" w:hAnsi="Arial"/>
                <w:bCs/>
                <w:lang w:val="es-ES_tradnl" w:eastAsia="en-GB"/>
              </w:rPr>
              <w:t xml:space="preserve">DOCUMENTOS TIPO – Infraestructura social – Sectores – Educativo – Salud – Cultura, recreación y deporte – Matriz de experiencia – Aplicación </w:t>
            </w:r>
          </w:p>
        </w:tc>
      </w:tr>
      <w:tr w:rsidR="00D23EB1" w:rsidRPr="00D23EB1" w14:paraId="5D31668D" w14:textId="77777777" w:rsidTr="00D23EB1">
        <w:trPr>
          <w:trHeight w:val="126"/>
        </w:trPr>
        <w:tc>
          <w:tcPr>
            <w:tcW w:w="2410" w:type="dxa"/>
            <w:hideMark/>
          </w:tcPr>
          <w:p w14:paraId="38BBE8A3" w14:textId="77777777" w:rsidR="00D23EB1" w:rsidRPr="00D23EB1" w:rsidRDefault="00D23EB1" w:rsidP="00D23EB1">
            <w:pPr>
              <w:jc w:val="both"/>
              <w:rPr>
                <w:rFonts w:ascii="Arial" w:hAnsi="Arial"/>
                <w:color w:val="000000" w:themeColor="text1"/>
                <w:lang w:eastAsia="es-MX"/>
              </w:rPr>
            </w:pPr>
            <w:r w:rsidRPr="00D23EB1">
              <w:rPr>
                <w:rFonts w:ascii="Arial" w:hAnsi="Arial"/>
                <w:b/>
                <w:color w:val="000000" w:themeColor="text1"/>
                <w:lang w:eastAsia="es-MX"/>
              </w:rPr>
              <w:t>Radicación:</w:t>
            </w:r>
            <w:r w:rsidRPr="00D23EB1">
              <w:rPr>
                <w:rFonts w:ascii="Arial" w:hAnsi="Arial"/>
                <w:color w:val="000000" w:themeColor="text1"/>
                <w:lang w:eastAsia="es-MX"/>
              </w:rPr>
              <w:t xml:space="preserve">                              </w:t>
            </w:r>
          </w:p>
        </w:tc>
        <w:tc>
          <w:tcPr>
            <w:tcW w:w="6272" w:type="dxa"/>
            <w:hideMark/>
          </w:tcPr>
          <w:p w14:paraId="1BD889F6" w14:textId="556E5D46" w:rsidR="00D23EB1" w:rsidRPr="00D23EB1" w:rsidRDefault="00D23EB1" w:rsidP="00D23EB1">
            <w:pPr>
              <w:jc w:val="both"/>
              <w:rPr>
                <w:rFonts w:ascii="Arial" w:hAnsi="Arial"/>
                <w:color w:val="000000" w:themeColor="text1"/>
                <w:lang w:eastAsia="es-MX"/>
              </w:rPr>
            </w:pPr>
            <w:r w:rsidRPr="00D23EB1">
              <w:rPr>
                <w:rFonts w:ascii="Arial" w:hAnsi="Arial"/>
                <w:color w:val="000000" w:themeColor="text1"/>
                <w:lang w:eastAsia="es-MX"/>
              </w:rPr>
              <w:t xml:space="preserve">Respuesta a consulta </w:t>
            </w:r>
            <w:r w:rsidR="00F56D09" w:rsidRPr="00F56D09">
              <w:rPr>
                <w:rFonts w:ascii="Arial" w:hAnsi="Arial"/>
                <w:color w:val="000000" w:themeColor="text1"/>
                <w:lang w:eastAsia="es-MX"/>
              </w:rPr>
              <w:t>P20220729007434</w:t>
            </w:r>
          </w:p>
        </w:tc>
      </w:tr>
    </w:tbl>
    <w:p w14:paraId="4B38144D" w14:textId="77777777" w:rsidR="00D23EB1" w:rsidRPr="00D23EB1" w:rsidRDefault="00D23EB1" w:rsidP="00D23EB1">
      <w:pPr>
        <w:spacing w:after="0" w:line="276" w:lineRule="auto"/>
        <w:rPr>
          <w:rFonts w:ascii="Times New Roman" w:eastAsia="Times New Roman" w:hAnsi="Times New Roman" w:cs="Times New Roman"/>
          <w:sz w:val="24"/>
          <w:szCs w:val="24"/>
          <w:lang w:eastAsia="es-MX"/>
        </w:rPr>
      </w:pPr>
    </w:p>
    <w:p w14:paraId="416FA916" w14:textId="77777777" w:rsidR="00D23EB1" w:rsidRPr="00D23EB1" w:rsidRDefault="00D23EB1" w:rsidP="00D23EB1">
      <w:pPr>
        <w:spacing w:after="0" w:line="276" w:lineRule="auto"/>
        <w:rPr>
          <w:rFonts w:ascii="Times New Roman" w:eastAsia="Times New Roman" w:hAnsi="Times New Roman" w:cs="Times New Roman"/>
          <w:sz w:val="24"/>
          <w:szCs w:val="24"/>
          <w:lang w:eastAsia="es-MX"/>
        </w:rPr>
      </w:pPr>
    </w:p>
    <w:p w14:paraId="73B68608" w14:textId="45917050" w:rsidR="00D23EB1" w:rsidRPr="00D23EB1" w:rsidRDefault="00D23EB1" w:rsidP="00D23EB1">
      <w:pPr>
        <w:tabs>
          <w:tab w:val="left" w:pos="3736"/>
        </w:tabs>
        <w:spacing w:after="0" w:line="276" w:lineRule="auto"/>
        <w:rPr>
          <w:rFonts w:ascii="Arial" w:eastAsia="Calibri" w:hAnsi="Arial" w:cs="Arial"/>
          <w:color w:val="000000" w:themeColor="text1"/>
          <w:szCs w:val="24"/>
          <w:lang w:eastAsia="es-MX"/>
        </w:rPr>
      </w:pPr>
      <w:r w:rsidRPr="00D23EB1">
        <w:rPr>
          <w:rFonts w:ascii="Arial" w:eastAsia="Calibri" w:hAnsi="Arial" w:cs="Arial"/>
          <w:color w:val="000000" w:themeColor="text1"/>
          <w:szCs w:val="24"/>
          <w:lang w:eastAsia="es-MX"/>
        </w:rPr>
        <w:t>Estimad</w:t>
      </w:r>
      <w:r w:rsidR="00F56D09">
        <w:rPr>
          <w:rFonts w:ascii="Arial" w:eastAsia="Calibri" w:hAnsi="Arial" w:cs="Arial"/>
          <w:color w:val="000000" w:themeColor="text1"/>
          <w:szCs w:val="24"/>
          <w:lang w:eastAsia="es-MX"/>
        </w:rPr>
        <w:t>o</w:t>
      </w:r>
      <w:r w:rsidRPr="00D23EB1">
        <w:rPr>
          <w:rFonts w:ascii="Arial" w:eastAsia="Calibri" w:hAnsi="Arial" w:cs="Arial"/>
          <w:color w:val="000000" w:themeColor="text1"/>
          <w:szCs w:val="24"/>
          <w:lang w:eastAsia="es-MX"/>
        </w:rPr>
        <w:t xml:space="preserve"> Señor</w:t>
      </w:r>
      <w:r w:rsidRPr="00D23EB1">
        <w:rPr>
          <w:rFonts w:ascii="Arial" w:eastAsia="Calibri" w:hAnsi="Arial" w:cs="Arial"/>
          <w:b/>
          <w:bCs/>
        </w:rPr>
        <w:t xml:space="preserve"> </w:t>
      </w:r>
      <w:r w:rsidR="00F56D09" w:rsidRPr="00F56D09">
        <w:rPr>
          <w:rFonts w:ascii="Arial" w:eastAsia="Calibri" w:hAnsi="Arial" w:cs="Arial"/>
        </w:rPr>
        <w:t>Álvarez Carrillo</w:t>
      </w:r>
      <w:r w:rsidRPr="00D23EB1">
        <w:rPr>
          <w:rFonts w:ascii="Arial" w:eastAsia="Calibri" w:hAnsi="Arial" w:cs="Arial"/>
          <w:color w:val="000000" w:themeColor="text1"/>
          <w:szCs w:val="24"/>
          <w:lang w:eastAsia="es-MX"/>
        </w:rPr>
        <w:t xml:space="preserve">: </w:t>
      </w:r>
      <w:r w:rsidRPr="00D23EB1">
        <w:rPr>
          <w:rFonts w:ascii="Arial" w:eastAsia="Calibri" w:hAnsi="Arial" w:cs="Arial"/>
          <w:color w:val="000000" w:themeColor="text1"/>
          <w:szCs w:val="24"/>
          <w:lang w:eastAsia="es-MX"/>
        </w:rPr>
        <w:tab/>
      </w:r>
    </w:p>
    <w:p w14:paraId="3C40E754" w14:textId="77777777" w:rsidR="00D23EB1" w:rsidRPr="00D23EB1" w:rsidRDefault="00D23EB1" w:rsidP="00D23EB1">
      <w:pPr>
        <w:spacing w:after="0" w:line="276" w:lineRule="auto"/>
        <w:rPr>
          <w:rFonts w:ascii="Arial" w:eastAsia="Calibri" w:hAnsi="Arial" w:cs="Arial"/>
          <w:color w:val="000000" w:themeColor="text1"/>
          <w:lang w:eastAsia="es-MX"/>
        </w:rPr>
      </w:pPr>
    </w:p>
    <w:p w14:paraId="20F75643" w14:textId="77777777" w:rsidR="00D23EB1" w:rsidRPr="00D23EB1" w:rsidRDefault="00D23EB1" w:rsidP="00D23EB1">
      <w:pPr>
        <w:spacing w:after="0" w:line="276" w:lineRule="auto"/>
        <w:jc w:val="both"/>
        <w:rPr>
          <w:rFonts w:ascii="Arial" w:eastAsia="Calibri" w:hAnsi="Arial" w:cs="Arial"/>
          <w:color w:val="000000" w:themeColor="text1"/>
          <w:lang w:eastAsia="es-MX"/>
        </w:rPr>
      </w:pPr>
      <w:r w:rsidRPr="00D23EB1">
        <w:rPr>
          <w:rFonts w:ascii="Arial" w:eastAsia="Calibri" w:hAnsi="Arial" w:cs="Arial"/>
          <w:lang w:val="es-MX" w:eastAsia="es-MX"/>
        </w:rPr>
        <w:t>En ejercicio de la competencia otorgada por los artículos 11, numeral 8º, y 3º, numeral 5º, del Decreto Ley 4170 de 2011,</w:t>
      </w:r>
      <w:r w:rsidRPr="00D23EB1">
        <w:rPr>
          <w:rFonts w:ascii="Arial" w:eastAsia="Calibri" w:hAnsi="Arial" w:cs="Arial"/>
          <w:color w:val="000000" w:themeColor="text1"/>
          <w:lang w:val="es-ES_tradnl" w:eastAsia="es-MX"/>
        </w:rPr>
        <w:t xml:space="preserve"> </w:t>
      </w:r>
      <w:r w:rsidRPr="00D23EB1">
        <w:rPr>
          <w:rFonts w:ascii="Arial" w:eastAsia="Calibri" w:hAnsi="Arial" w:cs="Arial"/>
          <w:lang w:val="es-MX" w:eastAsia="es-MX"/>
        </w:rPr>
        <w:t xml:space="preserve">la Agencia Nacional de Contratación Pública − Colombia Compra Eficiente responde su consulta </w:t>
      </w:r>
      <w:r w:rsidRPr="00D23EB1">
        <w:rPr>
          <w:rFonts w:ascii="Arial" w:eastAsia="Calibri" w:hAnsi="Arial" w:cs="Arial"/>
          <w:color w:val="000000" w:themeColor="text1"/>
          <w:lang w:eastAsia="es-MX"/>
        </w:rPr>
        <w:t xml:space="preserve">del 27 de abril de 2022. </w:t>
      </w:r>
    </w:p>
    <w:p w14:paraId="4BB50C86" w14:textId="77777777" w:rsidR="00D23EB1" w:rsidRPr="00D23EB1" w:rsidRDefault="00D23EB1" w:rsidP="00D23EB1">
      <w:pPr>
        <w:spacing w:line="276" w:lineRule="auto"/>
        <w:contextualSpacing/>
        <w:rPr>
          <w:rFonts w:ascii="Arial" w:eastAsia="Calibri" w:hAnsi="Arial" w:cs="Arial"/>
          <w:color w:val="000000" w:themeColor="text1"/>
          <w:lang w:val="es-MX"/>
        </w:rPr>
      </w:pPr>
    </w:p>
    <w:p w14:paraId="7BAE55C1" w14:textId="77777777" w:rsidR="00D23EB1" w:rsidRPr="00D23EB1" w:rsidRDefault="00D23EB1" w:rsidP="00D23EB1">
      <w:pPr>
        <w:tabs>
          <w:tab w:val="left" w:pos="0"/>
        </w:tabs>
        <w:spacing w:after="0" w:line="276" w:lineRule="auto"/>
        <w:jc w:val="both"/>
        <w:rPr>
          <w:rFonts w:ascii="Arial" w:eastAsia="Calibri" w:hAnsi="Arial" w:cs="Arial"/>
          <w:b/>
          <w:color w:val="000000" w:themeColor="text1"/>
          <w:szCs w:val="24"/>
          <w:lang w:eastAsia="es-MX"/>
        </w:rPr>
      </w:pPr>
      <w:r w:rsidRPr="00D23EB1">
        <w:rPr>
          <w:rFonts w:ascii="Arial" w:eastAsia="Calibri" w:hAnsi="Arial" w:cs="Arial"/>
          <w:b/>
          <w:color w:val="000000" w:themeColor="text1"/>
          <w:szCs w:val="24"/>
          <w:lang w:eastAsia="es-MX"/>
        </w:rPr>
        <w:t>1. Problemas planteados</w:t>
      </w:r>
    </w:p>
    <w:p w14:paraId="3B19025A" w14:textId="77777777" w:rsidR="00530CE5" w:rsidRDefault="00530CE5" w:rsidP="00530CE5">
      <w:pPr>
        <w:spacing w:after="0" w:line="276" w:lineRule="auto"/>
        <w:jc w:val="both"/>
        <w:rPr>
          <w:rFonts w:ascii="Arial" w:eastAsia="Calibri" w:hAnsi="Arial" w:cs="Arial"/>
        </w:rPr>
      </w:pPr>
      <w:bookmarkStart w:id="1" w:name="_Hlk103768430"/>
    </w:p>
    <w:p w14:paraId="1AD3F394" w14:textId="7A3ECA92" w:rsidR="00B81D65" w:rsidRDefault="00530CE5" w:rsidP="00530CE5">
      <w:pPr>
        <w:spacing w:after="0" w:line="276" w:lineRule="auto"/>
        <w:jc w:val="both"/>
        <w:rPr>
          <w:rFonts w:ascii="Arial" w:eastAsia="Calibri" w:hAnsi="Arial" w:cs="Arial"/>
        </w:rPr>
      </w:pPr>
      <w:r>
        <w:rPr>
          <w:rFonts w:ascii="Arial" w:eastAsia="Calibri" w:hAnsi="Arial" w:cs="Arial"/>
        </w:rPr>
        <w:t>Usted realiza consu</w:t>
      </w:r>
      <w:r w:rsidR="00B81D65">
        <w:rPr>
          <w:rFonts w:ascii="Arial" w:eastAsia="Calibri" w:hAnsi="Arial" w:cs="Arial"/>
        </w:rPr>
        <w:t xml:space="preserve">lta en </w:t>
      </w:r>
      <w:r w:rsidR="00A42864" w:rsidRPr="00A42864">
        <w:rPr>
          <w:rFonts w:ascii="Arial" w:eastAsia="Calibri" w:hAnsi="Arial" w:cs="Arial"/>
        </w:rPr>
        <w:t xml:space="preserve">relación con los documentos tipo </w:t>
      </w:r>
      <w:r w:rsidR="00F56D09" w:rsidRPr="00A42864">
        <w:rPr>
          <w:rFonts w:ascii="Arial" w:eastAsia="Calibri" w:hAnsi="Arial" w:cs="Arial"/>
        </w:rPr>
        <w:t>de licitación de obra pública de infraestructura social</w:t>
      </w:r>
      <w:r w:rsidR="00B81D65">
        <w:rPr>
          <w:rFonts w:ascii="Arial" w:eastAsia="Calibri" w:hAnsi="Arial" w:cs="Arial"/>
        </w:rPr>
        <w:t>. En particula</w:t>
      </w:r>
      <w:r w:rsidR="00C36E42">
        <w:rPr>
          <w:rFonts w:ascii="Arial" w:eastAsia="Calibri" w:hAnsi="Arial" w:cs="Arial"/>
        </w:rPr>
        <w:t>r, usted solicit</w:t>
      </w:r>
      <w:r w:rsidR="008C6A01">
        <w:rPr>
          <w:rFonts w:ascii="Arial" w:eastAsia="Calibri" w:hAnsi="Arial" w:cs="Arial"/>
        </w:rPr>
        <w:t>a</w:t>
      </w:r>
      <w:r w:rsidR="00C36E42">
        <w:rPr>
          <w:rFonts w:ascii="Arial" w:eastAsia="Calibri" w:hAnsi="Arial" w:cs="Arial"/>
        </w:rPr>
        <w:t xml:space="preserve"> se aclare como debe</w:t>
      </w:r>
      <w:r w:rsidR="009857F4">
        <w:rPr>
          <w:rFonts w:ascii="Arial" w:eastAsia="Calibri" w:hAnsi="Arial" w:cs="Arial"/>
        </w:rPr>
        <w:t>n</w:t>
      </w:r>
      <w:r w:rsidR="00C36E42">
        <w:rPr>
          <w:rFonts w:ascii="Arial" w:eastAsia="Calibri" w:hAnsi="Arial" w:cs="Arial"/>
        </w:rPr>
        <w:t xml:space="preserve"> ser </w:t>
      </w:r>
      <w:r w:rsidR="0021381E">
        <w:rPr>
          <w:rFonts w:ascii="Arial" w:eastAsia="Calibri" w:hAnsi="Arial" w:cs="Arial"/>
        </w:rPr>
        <w:t>entendidos</w:t>
      </w:r>
      <w:r w:rsidR="009857F4">
        <w:rPr>
          <w:rFonts w:ascii="Arial" w:eastAsia="Calibri" w:hAnsi="Arial" w:cs="Arial"/>
        </w:rPr>
        <w:t xml:space="preserve"> los dos</w:t>
      </w:r>
      <w:r w:rsidR="00C36E42">
        <w:rPr>
          <w:rFonts w:ascii="Arial" w:eastAsia="Calibri" w:hAnsi="Arial" w:cs="Arial"/>
        </w:rPr>
        <w:t xml:space="preserve"> requisito</w:t>
      </w:r>
      <w:r w:rsidR="009857F4">
        <w:rPr>
          <w:rFonts w:ascii="Arial" w:eastAsia="Calibri" w:hAnsi="Arial" w:cs="Arial"/>
        </w:rPr>
        <w:t>s</w:t>
      </w:r>
      <w:r w:rsidR="00C36E42">
        <w:rPr>
          <w:rFonts w:ascii="Arial" w:eastAsia="Calibri" w:hAnsi="Arial" w:cs="Arial"/>
        </w:rPr>
        <w:t xml:space="preserve"> de experiencia general contemplado</w:t>
      </w:r>
      <w:r w:rsidR="009857F4">
        <w:rPr>
          <w:rFonts w:ascii="Arial" w:eastAsia="Calibri" w:hAnsi="Arial" w:cs="Arial"/>
        </w:rPr>
        <w:t xml:space="preserve">s </w:t>
      </w:r>
      <w:r w:rsidR="00C36E42">
        <w:rPr>
          <w:rFonts w:ascii="Arial" w:eastAsia="Calibri" w:hAnsi="Arial" w:cs="Arial"/>
        </w:rPr>
        <w:t xml:space="preserve">para la actividad </w:t>
      </w:r>
      <w:r w:rsidR="00FC1F9B">
        <w:rPr>
          <w:rFonts w:ascii="Arial" w:eastAsia="Calibri" w:hAnsi="Arial" w:cs="Arial"/>
        </w:rPr>
        <w:t>2.5 de la «Matriz de Experiencia del sector recreación, cultura y deporte»</w:t>
      </w:r>
      <w:r w:rsidR="006D55B3">
        <w:rPr>
          <w:rFonts w:ascii="Arial" w:eastAsia="Calibri" w:hAnsi="Arial" w:cs="Arial"/>
        </w:rPr>
        <w:t>.</w:t>
      </w:r>
      <w:r w:rsidR="008C6A01">
        <w:rPr>
          <w:rFonts w:ascii="Arial" w:eastAsia="Calibri" w:hAnsi="Arial" w:cs="Arial"/>
        </w:rPr>
        <w:t xml:space="preserve"> </w:t>
      </w:r>
      <w:r w:rsidR="006D55B3">
        <w:rPr>
          <w:rFonts w:ascii="Arial" w:eastAsia="Calibri" w:hAnsi="Arial" w:cs="Arial"/>
        </w:rPr>
        <w:t>A</w:t>
      </w:r>
      <w:r w:rsidR="009857F4">
        <w:rPr>
          <w:rFonts w:ascii="Arial" w:eastAsia="Calibri" w:hAnsi="Arial" w:cs="Arial"/>
        </w:rPr>
        <w:t>l respecto solicita</w:t>
      </w:r>
      <w:r w:rsidR="008C6A01">
        <w:rPr>
          <w:rFonts w:ascii="Arial" w:eastAsia="Calibri" w:hAnsi="Arial" w:cs="Arial"/>
        </w:rPr>
        <w:t>:</w:t>
      </w:r>
      <w:r w:rsidR="00A57572">
        <w:rPr>
          <w:rFonts w:ascii="Arial" w:eastAsia="Calibri" w:hAnsi="Arial" w:cs="Arial"/>
        </w:rPr>
        <w:t xml:space="preserve"> «[…] nos indique si se deben acreditar </w:t>
      </w:r>
      <w:r w:rsidR="00F31A38">
        <w:rPr>
          <w:rFonts w:ascii="Arial" w:eastAsia="Calibri" w:hAnsi="Arial" w:cs="Arial"/>
        </w:rPr>
        <w:t>las dos condiciones</w:t>
      </w:r>
      <w:r w:rsidR="0007266E">
        <w:rPr>
          <w:rFonts w:ascii="Arial" w:eastAsia="Calibri" w:hAnsi="Arial" w:cs="Arial"/>
        </w:rPr>
        <w:t xml:space="preserve"> de acreditación de la experiencia general».</w:t>
      </w:r>
      <w:r w:rsidR="008C6A01">
        <w:rPr>
          <w:rFonts w:ascii="Arial" w:eastAsia="Calibri" w:hAnsi="Arial" w:cs="Arial"/>
        </w:rPr>
        <w:t xml:space="preserve"> </w:t>
      </w:r>
    </w:p>
    <w:bookmarkEnd w:id="1"/>
    <w:p w14:paraId="26F8D9C8" w14:textId="77777777" w:rsidR="00D23EB1" w:rsidRPr="00D23EB1" w:rsidRDefault="00D23EB1" w:rsidP="00D23EB1">
      <w:pPr>
        <w:spacing w:after="0" w:line="276" w:lineRule="auto"/>
        <w:jc w:val="both"/>
        <w:rPr>
          <w:rFonts w:ascii="Arial" w:eastAsia="Calibri" w:hAnsi="Arial" w:cs="Arial"/>
          <w:lang w:eastAsia="es-MX"/>
        </w:rPr>
      </w:pPr>
    </w:p>
    <w:p w14:paraId="33C791D8" w14:textId="301F5442" w:rsidR="00D23EB1" w:rsidRDefault="00D23EB1" w:rsidP="00D23EB1">
      <w:pPr>
        <w:spacing w:after="0" w:line="276" w:lineRule="auto"/>
        <w:jc w:val="both"/>
        <w:rPr>
          <w:rFonts w:ascii="Arial" w:eastAsia="Calibri" w:hAnsi="Arial" w:cs="Arial"/>
          <w:b/>
          <w:color w:val="000000" w:themeColor="text1"/>
          <w:szCs w:val="24"/>
          <w:lang w:eastAsia="es-MX"/>
        </w:rPr>
      </w:pPr>
      <w:r w:rsidRPr="00D23EB1">
        <w:rPr>
          <w:rFonts w:ascii="Arial" w:eastAsia="Calibri" w:hAnsi="Arial" w:cs="Arial"/>
          <w:b/>
          <w:color w:val="000000" w:themeColor="text1"/>
          <w:szCs w:val="24"/>
          <w:lang w:eastAsia="es-MX"/>
        </w:rPr>
        <w:t>2. Consideraciones</w:t>
      </w:r>
    </w:p>
    <w:p w14:paraId="3CF032AE" w14:textId="77777777" w:rsidR="00C8048A" w:rsidRPr="00D23EB1" w:rsidRDefault="00C8048A" w:rsidP="00F31A38">
      <w:pPr>
        <w:spacing w:after="0" w:line="240" w:lineRule="auto"/>
        <w:jc w:val="both"/>
        <w:rPr>
          <w:rFonts w:ascii="Arial" w:eastAsia="Calibri" w:hAnsi="Arial" w:cs="Arial"/>
          <w:color w:val="000000" w:themeColor="text1"/>
          <w:szCs w:val="24"/>
          <w:lang w:eastAsia="es-MX"/>
        </w:rPr>
      </w:pPr>
    </w:p>
    <w:p w14:paraId="32195041" w14:textId="41D0FFE2" w:rsidR="00C8048A" w:rsidRPr="00C8048A" w:rsidRDefault="00C8048A" w:rsidP="00C8048A">
      <w:pPr>
        <w:spacing w:after="0" w:line="276" w:lineRule="auto"/>
        <w:jc w:val="both"/>
        <w:rPr>
          <w:rFonts w:ascii="Arial" w:eastAsia="Calibri" w:hAnsi="Arial" w:cs="Arial"/>
          <w:bCs/>
          <w:lang w:val="es-ES_tradnl" w:eastAsia="es-ES_tradnl"/>
        </w:rPr>
      </w:pPr>
      <w:r w:rsidRPr="001C1667">
        <w:rPr>
          <w:rFonts w:ascii="Arial" w:eastAsia="Calibri" w:hAnsi="Arial" w:cs="Arial"/>
          <w:bCs/>
          <w:szCs w:val="24"/>
          <w:lang w:eastAsia="en-GB"/>
        </w:rPr>
        <w:t xml:space="preserve">Para efectos de responder su consulta se </w:t>
      </w:r>
      <w:r>
        <w:rPr>
          <w:rFonts w:ascii="Arial" w:eastAsia="Calibri" w:hAnsi="Arial" w:cs="Arial"/>
          <w:bCs/>
          <w:szCs w:val="24"/>
          <w:lang w:eastAsia="en-GB"/>
        </w:rPr>
        <w:t>realizaran algunas consideraciones sobre</w:t>
      </w:r>
      <w:r w:rsidRPr="001C1667">
        <w:rPr>
          <w:rFonts w:ascii="Arial" w:eastAsia="Calibri" w:hAnsi="Arial" w:cs="Arial"/>
          <w:bCs/>
          <w:szCs w:val="24"/>
          <w:lang w:eastAsia="en-GB"/>
        </w:rPr>
        <w:t xml:space="preserve"> los siguientes temas: i) ámbito de aplicación, obligatoriedad e inalterabilidad de los documentos tipo; </w:t>
      </w:r>
      <w:proofErr w:type="spellStart"/>
      <w:r w:rsidRPr="001C1667">
        <w:rPr>
          <w:rFonts w:ascii="Arial" w:eastAsia="Calibri" w:hAnsi="Arial" w:cs="Arial"/>
          <w:bCs/>
          <w:szCs w:val="24"/>
          <w:lang w:eastAsia="en-GB"/>
        </w:rPr>
        <w:t>ii</w:t>
      </w:r>
      <w:proofErr w:type="spellEnd"/>
      <w:r w:rsidRPr="001C1667">
        <w:rPr>
          <w:rFonts w:ascii="Arial" w:eastAsia="Calibri" w:hAnsi="Arial" w:cs="Arial"/>
          <w:bCs/>
          <w:szCs w:val="24"/>
          <w:lang w:eastAsia="en-GB"/>
        </w:rPr>
        <w:t xml:space="preserve">) documentos tipo complementarios para los procesos de licitación de obra pública de infraestructura social relacionados con el sector educativo, salud y cultura, recreación y deporte; y </w:t>
      </w:r>
      <w:proofErr w:type="spellStart"/>
      <w:r w:rsidRPr="001C1667">
        <w:rPr>
          <w:rFonts w:ascii="Arial" w:eastAsia="Times New Roman" w:hAnsi="Arial" w:cs="Arial"/>
          <w:bCs/>
          <w:lang w:eastAsia="es-MX"/>
        </w:rPr>
        <w:t>iii</w:t>
      </w:r>
      <w:proofErr w:type="spellEnd"/>
      <w:r w:rsidRPr="001C1667">
        <w:rPr>
          <w:rFonts w:ascii="Arial" w:eastAsia="Times New Roman" w:hAnsi="Arial" w:cs="Arial"/>
          <w:bCs/>
          <w:lang w:eastAsia="es-MX"/>
        </w:rPr>
        <w:t xml:space="preserve">) aplicación de la Matriz de experiencia de los documentos tipo </w:t>
      </w:r>
      <w:r w:rsidRPr="001C1667">
        <w:rPr>
          <w:rFonts w:ascii="Arial" w:eastAsia="Calibri" w:hAnsi="Arial" w:cs="Arial"/>
          <w:bCs/>
          <w:szCs w:val="24"/>
          <w:lang w:eastAsia="en-GB"/>
        </w:rPr>
        <w:t>complementarios para los procesos de licitación de obra pública de infraestructura social relacionados con el sector educativo, salud y cultura, recreación y deporte.</w:t>
      </w:r>
    </w:p>
    <w:p w14:paraId="0962A540" w14:textId="77777777" w:rsidR="00C8048A" w:rsidRDefault="00C8048A" w:rsidP="00D23EB1">
      <w:pPr>
        <w:spacing w:after="0" w:line="276" w:lineRule="auto"/>
        <w:jc w:val="both"/>
        <w:rPr>
          <w:rFonts w:ascii="Arial" w:eastAsia="Calibri" w:hAnsi="Arial" w:cs="Arial"/>
          <w:lang w:val="es-ES_tradnl" w:eastAsia="es-ES_tradnl"/>
        </w:rPr>
      </w:pPr>
    </w:p>
    <w:p w14:paraId="61F66ECB" w14:textId="0EF7494D" w:rsidR="00B174EF" w:rsidRDefault="00CA69F3" w:rsidP="00F31A38">
      <w:pPr>
        <w:spacing w:after="0" w:line="276" w:lineRule="auto"/>
        <w:ind w:firstLine="708"/>
        <w:jc w:val="both"/>
        <w:rPr>
          <w:rFonts w:ascii="Arial" w:eastAsia="Calibri" w:hAnsi="Arial" w:cs="Arial"/>
          <w:lang w:val="es-ES_tradnl" w:eastAsia="es-ES_tradnl"/>
        </w:rPr>
      </w:pPr>
      <w:r w:rsidRPr="00CA69F3">
        <w:rPr>
          <w:rFonts w:ascii="Arial" w:eastAsia="Calibri" w:hAnsi="Arial" w:cs="Arial"/>
          <w:lang w:val="es-ES_tradnl" w:eastAsia="es-ES_tradnl"/>
        </w:rPr>
        <w:t xml:space="preserve">La Agencia Nacional de Contratación Pública – Colombia Compra Eficiente se pronunció sobre la definición y el alcance de los documentos tipo en las siguientes consultas C-144 del 2 de marzo de 2020, C-143 del 18 de marzo de 2020, C-286 del 26 de mayo de 2020, C-450 del 3 de agosto de 2020, C-643 del 26 de octubre de 2020, C-773 del 14 de enero de 2021, C-789 del 19 de enero de 2021, C-064 del 8 de marzo de 2021 y C-157 del 13 de abril del 2021, C-244 del 4 de mayo de 2021, C-224 del 20 de mayo de 2020, C-233 del 24 de mayo de 2021, C-251 del 2 de junio de 2021 y C-273 del 11 de junio de 2021, C-375 de 27 de septiembre de 2021, C-536 de 29 de septiembre de 2021, C-719 de 24 de enero de 2022 y C-090 de 16 de marzo de 2022. </w:t>
      </w:r>
      <w:r w:rsidR="00DA3944">
        <w:rPr>
          <w:rFonts w:ascii="Arial" w:eastAsia="Calibri" w:hAnsi="Arial" w:cs="Arial"/>
          <w:lang w:val="es-ES_tradnl" w:eastAsia="es-ES_tradnl"/>
        </w:rPr>
        <w:t>De otra parte</w:t>
      </w:r>
      <w:r w:rsidRPr="00CA69F3">
        <w:rPr>
          <w:rFonts w:ascii="Arial" w:eastAsia="Calibri" w:hAnsi="Arial" w:cs="Arial"/>
          <w:lang w:val="es-ES_tradnl" w:eastAsia="es-ES_tradnl"/>
        </w:rPr>
        <w:t xml:space="preserve">, en los conceptos C-375 del 27 de septiembre de 2021, C-536 del 29 de septiembre de 2021, P20210826007696 del 6 de octubre de 2021, C-729 del 24 de enero de 2022, C-090 del 16 de marzo de 2022, </w:t>
      </w:r>
      <w:r w:rsidR="00B96F8E">
        <w:rPr>
          <w:rFonts w:ascii="Arial" w:eastAsia="Calibri" w:hAnsi="Arial" w:cs="Arial"/>
          <w:lang w:val="es-ES_tradnl" w:eastAsia="es-ES_tradnl"/>
        </w:rPr>
        <w:t>C-33</w:t>
      </w:r>
      <w:r w:rsidR="00DA3944">
        <w:rPr>
          <w:rFonts w:ascii="Arial" w:eastAsia="Calibri" w:hAnsi="Arial" w:cs="Arial"/>
          <w:lang w:val="es-ES_tradnl" w:eastAsia="es-ES_tradnl"/>
        </w:rPr>
        <w:t>4</w:t>
      </w:r>
      <w:r w:rsidR="00B96F8E">
        <w:rPr>
          <w:rFonts w:ascii="Arial" w:eastAsia="Calibri" w:hAnsi="Arial" w:cs="Arial"/>
          <w:lang w:val="es-ES_tradnl" w:eastAsia="es-ES_tradnl"/>
        </w:rPr>
        <w:t xml:space="preserve"> del 24 de mayo de 2022, C</w:t>
      </w:r>
      <w:r w:rsidRPr="00CA69F3">
        <w:rPr>
          <w:rFonts w:ascii="Arial" w:eastAsia="Calibri" w:hAnsi="Arial" w:cs="Arial"/>
          <w:lang w:val="es-ES_tradnl" w:eastAsia="es-ES_tradnl"/>
        </w:rPr>
        <w:t>-33</w:t>
      </w:r>
      <w:r w:rsidR="00DA3944">
        <w:rPr>
          <w:rFonts w:ascii="Arial" w:eastAsia="Calibri" w:hAnsi="Arial" w:cs="Arial"/>
          <w:lang w:val="es-ES_tradnl" w:eastAsia="es-ES_tradnl"/>
        </w:rPr>
        <w:t>6</w:t>
      </w:r>
      <w:r w:rsidRPr="00CA69F3">
        <w:rPr>
          <w:rFonts w:ascii="Arial" w:eastAsia="Calibri" w:hAnsi="Arial" w:cs="Arial"/>
          <w:lang w:val="es-ES_tradnl" w:eastAsia="es-ES_tradnl"/>
        </w:rPr>
        <w:t xml:space="preserve"> del 2</w:t>
      </w:r>
      <w:r w:rsidR="00DA3944">
        <w:rPr>
          <w:rFonts w:ascii="Arial" w:eastAsia="Calibri" w:hAnsi="Arial" w:cs="Arial"/>
          <w:lang w:val="es-ES_tradnl" w:eastAsia="es-ES_tradnl"/>
        </w:rPr>
        <w:t>4</w:t>
      </w:r>
      <w:r w:rsidRPr="00CA69F3">
        <w:rPr>
          <w:rFonts w:ascii="Arial" w:eastAsia="Calibri" w:hAnsi="Arial" w:cs="Arial"/>
          <w:lang w:val="es-ES_tradnl" w:eastAsia="es-ES_tradnl"/>
        </w:rPr>
        <w:t xml:space="preserve"> de mayo de 2022</w:t>
      </w:r>
      <w:r w:rsidR="00163746">
        <w:rPr>
          <w:rFonts w:ascii="Arial" w:eastAsia="Calibri" w:hAnsi="Arial" w:cs="Arial"/>
          <w:lang w:val="es-ES_tradnl" w:eastAsia="es-ES_tradnl"/>
        </w:rPr>
        <w:t>,</w:t>
      </w:r>
      <w:r w:rsidRPr="00CA69F3">
        <w:rPr>
          <w:rFonts w:ascii="Arial" w:eastAsia="Calibri" w:hAnsi="Arial" w:cs="Arial"/>
          <w:lang w:val="es-ES_tradnl" w:eastAsia="es-ES_tradnl"/>
        </w:rPr>
        <w:t xml:space="preserve"> </w:t>
      </w:r>
      <w:r w:rsidR="002E4E80">
        <w:rPr>
          <w:rFonts w:ascii="Arial" w:eastAsia="Calibri" w:hAnsi="Arial" w:cs="Arial"/>
          <w:lang w:val="es-ES_tradnl" w:eastAsia="es-ES_tradnl"/>
        </w:rPr>
        <w:t xml:space="preserve">C-360 del 25 de mayo de 2022, </w:t>
      </w:r>
      <w:r w:rsidRPr="00CA69F3">
        <w:rPr>
          <w:rFonts w:ascii="Arial" w:eastAsia="Calibri" w:hAnsi="Arial" w:cs="Arial"/>
          <w:lang w:val="es-ES_tradnl" w:eastAsia="es-ES_tradnl"/>
        </w:rPr>
        <w:t>C-344 del 9 de junio de 2022</w:t>
      </w:r>
      <w:r w:rsidR="00271362">
        <w:rPr>
          <w:rFonts w:ascii="Arial" w:eastAsia="Calibri" w:hAnsi="Arial" w:cs="Arial"/>
          <w:lang w:val="es-ES_tradnl" w:eastAsia="es-ES_tradnl"/>
        </w:rPr>
        <w:t xml:space="preserve"> y</w:t>
      </w:r>
      <w:r w:rsidR="00163746">
        <w:rPr>
          <w:rFonts w:ascii="Arial" w:eastAsia="Calibri" w:hAnsi="Arial" w:cs="Arial"/>
          <w:lang w:val="es-ES_tradnl" w:eastAsia="es-ES_tradnl"/>
        </w:rPr>
        <w:t xml:space="preserve"> C-436 del 6 de julio de 2022</w:t>
      </w:r>
      <w:r w:rsidR="008F3A2F">
        <w:rPr>
          <w:rFonts w:ascii="Arial" w:eastAsia="Calibri" w:hAnsi="Arial" w:cs="Arial"/>
          <w:lang w:val="es-ES_tradnl" w:eastAsia="es-ES_tradnl"/>
        </w:rPr>
        <w:t xml:space="preserve"> </w:t>
      </w:r>
      <w:r w:rsidR="008F3A2F" w:rsidRPr="009054EF">
        <w:rPr>
          <w:rFonts w:ascii="Arial" w:eastAsia="Calibri" w:hAnsi="Arial" w:cs="Arial"/>
          <w:color w:val="000000" w:themeColor="text1"/>
        </w:rPr>
        <w:t>se anali</w:t>
      </w:r>
      <w:r w:rsidR="00271362">
        <w:rPr>
          <w:rFonts w:ascii="Arial" w:eastAsia="Calibri" w:hAnsi="Arial" w:cs="Arial"/>
          <w:color w:val="000000" w:themeColor="text1"/>
        </w:rPr>
        <w:t>zaron distintos aspe</w:t>
      </w:r>
      <w:r w:rsidR="00D450D6">
        <w:rPr>
          <w:rFonts w:ascii="Arial" w:eastAsia="Calibri" w:hAnsi="Arial" w:cs="Arial"/>
          <w:color w:val="000000" w:themeColor="text1"/>
        </w:rPr>
        <w:t>ctos relativos a</w:t>
      </w:r>
      <w:r w:rsidR="008F3A2F" w:rsidRPr="009054EF">
        <w:rPr>
          <w:rFonts w:ascii="Arial" w:eastAsia="Calibri" w:hAnsi="Arial" w:cs="Arial"/>
          <w:color w:val="000000" w:themeColor="text1"/>
        </w:rPr>
        <w:t xml:space="preserve"> la aplicación de los documentos tipo </w:t>
      </w:r>
      <w:r w:rsidR="00D450D6">
        <w:rPr>
          <w:rFonts w:ascii="Arial" w:eastAsia="Calibri" w:hAnsi="Arial" w:cs="Arial"/>
        </w:rPr>
        <w:t>para</w:t>
      </w:r>
      <w:r w:rsidR="008F3A2F" w:rsidRPr="009054EF">
        <w:rPr>
          <w:rFonts w:ascii="Arial" w:eastAsia="Calibri" w:hAnsi="Arial" w:cs="Arial"/>
        </w:rPr>
        <w:t xml:space="preserve"> procesos de licitación de obra pública de infraestructura social.</w:t>
      </w:r>
      <w:r w:rsidR="008F3A2F" w:rsidRPr="009054EF">
        <w:rPr>
          <w:rFonts w:ascii="Arial" w:eastAsia="Calibri" w:hAnsi="Arial" w:cs="Arial"/>
          <w:color w:val="000000" w:themeColor="text1"/>
          <w:lang w:val="es-ES_tradnl"/>
        </w:rPr>
        <w:t xml:space="preserve"> </w:t>
      </w:r>
      <w:r w:rsidR="00D450D6">
        <w:rPr>
          <w:rFonts w:ascii="Arial" w:eastAsia="Calibri" w:hAnsi="Arial" w:cs="Arial"/>
          <w:color w:val="000000" w:themeColor="text1"/>
          <w:lang w:val="es-ES_tradnl"/>
        </w:rPr>
        <w:t>Algunos de los argumentos expuestos en estos concept</w:t>
      </w:r>
      <w:r w:rsidR="00866C68">
        <w:rPr>
          <w:rFonts w:ascii="Arial" w:eastAsia="Calibri" w:hAnsi="Arial" w:cs="Arial"/>
          <w:color w:val="000000" w:themeColor="text1"/>
          <w:lang w:val="es-ES_tradnl"/>
        </w:rPr>
        <w:t>os se reiteran a continuación.</w:t>
      </w:r>
      <w:r w:rsidRPr="00CA69F3">
        <w:rPr>
          <w:rFonts w:ascii="Arial" w:eastAsia="Calibri" w:hAnsi="Arial" w:cs="Arial"/>
          <w:lang w:val="es-ES_tradnl" w:eastAsia="es-ES_tradnl"/>
        </w:rPr>
        <w:t xml:space="preserve"> </w:t>
      </w:r>
    </w:p>
    <w:p w14:paraId="546C731A" w14:textId="77777777" w:rsidR="00D23EB1" w:rsidRPr="00D23EB1" w:rsidRDefault="00D23EB1" w:rsidP="00F31A38">
      <w:pPr>
        <w:spacing w:after="0" w:line="276" w:lineRule="auto"/>
        <w:jc w:val="both"/>
        <w:rPr>
          <w:rFonts w:ascii="Arial" w:eastAsia="Calibri" w:hAnsi="Arial" w:cs="Arial"/>
        </w:rPr>
      </w:pPr>
    </w:p>
    <w:p w14:paraId="5F889BB6" w14:textId="77777777" w:rsidR="00D23EB1" w:rsidRPr="00D23EB1" w:rsidRDefault="00D23EB1" w:rsidP="00D23EB1">
      <w:pPr>
        <w:spacing w:after="0" w:line="240" w:lineRule="auto"/>
        <w:jc w:val="both"/>
        <w:rPr>
          <w:rFonts w:ascii="Arial" w:eastAsia="Times New Roman" w:hAnsi="Arial" w:cs="Arial"/>
          <w:color w:val="0D0D0D"/>
          <w:szCs w:val="24"/>
          <w:bdr w:val="none" w:sz="0" w:space="0" w:color="auto" w:frame="1"/>
          <w:lang w:eastAsia="es-CO"/>
        </w:rPr>
      </w:pPr>
      <w:r w:rsidRPr="00D23EB1">
        <w:rPr>
          <w:rFonts w:ascii="Arial" w:eastAsia="Calibri" w:hAnsi="Arial" w:cs="Arial"/>
          <w:b/>
          <w:szCs w:val="24"/>
          <w:lang w:eastAsia="en-GB"/>
        </w:rPr>
        <w:t xml:space="preserve">2.1. Ámbito de aplicación, obligatoriedad e inalterabilidad de los documentos tipo </w:t>
      </w:r>
    </w:p>
    <w:p w14:paraId="16CA8B35" w14:textId="77777777" w:rsidR="00D23EB1" w:rsidRPr="00D23EB1" w:rsidRDefault="00D23EB1" w:rsidP="00D23EB1">
      <w:pPr>
        <w:spacing w:after="0" w:line="240" w:lineRule="auto"/>
        <w:jc w:val="both"/>
        <w:rPr>
          <w:rFonts w:ascii="Arial" w:eastAsia="Calibri" w:hAnsi="Arial" w:cs="Arial"/>
          <w:b/>
          <w:szCs w:val="24"/>
          <w:lang w:eastAsia="en-GB"/>
        </w:rPr>
      </w:pPr>
    </w:p>
    <w:p w14:paraId="734B2DEB" w14:textId="77777777" w:rsidR="00D23EB1" w:rsidRPr="00D23EB1" w:rsidRDefault="00D23EB1" w:rsidP="00D23EB1">
      <w:pPr>
        <w:spacing w:after="0" w:line="276" w:lineRule="auto"/>
        <w:jc w:val="both"/>
        <w:rPr>
          <w:rFonts w:ascii="Arial" w:eastAsia="Times New Roman" w:hAnsi="Arial" w:cs="Arial"/>
          <w:color w:val="0D0D0D"/>
          <w:szCs w:val="24"/>
          <w:bdr w:val="none" w:sz="0" w:space="0" w:color="auto" w:frame="1"/>
          <w:lang w:eastAsia="es-CO"/>
        </w:rPr>
      </w:pPr>
      <w:r w:rsidRPr="00D23EB1">
        <w:rPr>
          <w:rFonts w:ascii="Arial" w:eastAsia="Times New Roman" w:hAnsi="Arial" w:cs="Arial"/>
          <w:color w:val="0D0D0D"/>
          <w:szCs w:val="24"/>
          <w:bdr w:val="none" w:sz="0" w:space="0" w:color="auto" w:frame="1"/>
          <w:lang w:eastAsia="es-CO"/>
        </w:rPr>
        <w:t>Los documentos tipo surgen con la expedición de la Ley 1150 de 2007 cuando el legislador facultó al Gobierno Nacional para adoptarlos en la compra o suministro de bienes y servicios de características técnicas uniformes</w:t>
      </w:r>
      <w:r w:rsidRPr="00D23EB1">
        <w:rPr>
          <w:rFonts w:ascii="Arial" w:eastAsia="Times New Roman" w:hAnsi="Arial" w:cs="Arial"/>
          <w:color w:val="0D0D0D"/>
          <w:szCs w:val="24"/>
          <w:bdr w:val="none" w:sz="0" w:space="0" w:color="auto" w:frame="1"/>
          <w:vertAlign w:val="superscript"/>
          <w:lang w:eastAsia="es-CO"/>
        </w:rPr>
        <w:footnoteReference w:id="1"/>
      </w:r>
      <w:r w:rsidRPr="00D23EB1">
        <w:rPr>
          <w:rFonts w:ascii="Arial" w:eastAsia="Times New Roman" w:hAnsi="Arial" w:cs="Arial"/>
          <w:color w:val="0D0D0D"/>
          <w:szCs w:val="24"/>
          <w:bdr w:val="none" w:sz="0" w:space="0" w:color="auto" w:frame="1"/>
          <w:lang w:eastAsia="es-CO"/>
        </w:rPr>
        <w:t>. Posteriormente, la Ley 1882 de 2018 en el artículo 4, adiciona el parágrafo 7º al artículo 2 de la Ley 1150 de 2007, y establece la obligatoriedad de la adopción de documentos tipo para algunos contratos, en los siguientes términos: </w:t>
      </w:r>
    </w:p>
    <w:p w14:paraId="262D7D05" w14:textId="77777777" w:rsidR="00D23EB1" w:rsidRPr="00D23EB1" w:rsidRDefault="00D23EB1" w:rsidP="00D23EB1">
      <w:pPr>
        <w:shd w:val="clear" w:color="auto" w:fill="FFFFFF"/>
        <w:spacing w:after="0" w:line="276" w:lineRule="auto"/>
        <w:ind w:firstLine="709"/>
        <w:jc w:val="both"/>
        <w:rPr>
          <w:rFonts w:ascii="Arial" w:eastAsia="Times New Roman" w:hAnsi="Arial" w:cs="Arial"/>
          <w:color w:val="0D0D0D"/>
          <w:szCs w:val="24"/>
          <w:bdr w:val="none" w:sz="0" w:space="0" w:color="auto" w:frame="1"/>
          <w:lang w:eastAsia="es-CO"/>
        </w:rPr>
      </w:pPr>
    </w:p>
    <w:p w14:paraId="3A21EAFB" w14:textId="77777777" w:rsidR="00D23EB1" w:rsidRPr="00D23EB1" w:rsidRDefault="00D23EB1" w:rsidP="00D23EB1">
      <w:pPr>
        <w:shd w:val="clear" w:color="auto" w:fill="FFFFFF"/>
        <w:spacing w:after="0" w:line="240" w:lineRule="auto"/>
        <w:ind w:left="709" w:right="709"/>
        <w:jc w:val="both"/>
        <w:rPr>
          <w:rFonts w:ascii="Arial" w:eastAsia="Times New Roman" w:hAnsi="Arial" w:cs="Arial"/>
          <w:color w:val="0D0D0D"/>
          <w:sz w:val="21"/>
          <w:szCs w:val="21"/>
          <w:bdr w:val="none" w:sz="0" w:space="0" w:color="auto" w:frame="1"/>
          <w:lang w:eastAsia="es-CO"/>
        </w:rPr>
      </w:pPr>
      <w:r w:rsidRPr="00D23EB1">
        <w:rPr>
          <w:rFonts w:ascii="Arial" w:eastAsia="Times New Roman" w:hAnsi="Arial" w:cs="Arial"/>
          <w:color w:val="0D0D0D"/>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D23EB1">
        <w:rPr>
          <w:rFonts w:ascii="Arial" w:eastAsia="Times New Roman" w:hAnsi="Arial" w:cs="Arial"/>
          <w:i/>
          <w:iCs/>
          <w:color w:val="0D0D0D"/>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D23EB1">
        <w:rPr>
          <w:rFonts w:ascii="Arial" w:eastAsia="Times New Roman" w:hAnsi="Arial" w:cs="Arial"/>
          <w:color w:val="0D0D0D"/>
          <w:sz w:val="21"/>
          <w:szCs w:val="21"/>
          <w:bdr w:val="none" w:sz="0" w:space="0" w:color="auto" w:frame="1"/>
          <w:lang w:eastAsia="es-CO"/>
        </w:rPr>
        <w:t> […] </w:t>
      </w:r>
      <w:r w:rsidRPr="00D23EB1">
        <w:rPr>
          <w:rFonts w:ascii="Arial" w:eastAsia="Times New Roman" w:hAnsi="Arial" w:cs="Arial"/>
          <w:i/>
          <w:iCs/>
          <w:color w:val="0D0D0D"/>
          <w:sz w:val="21"/>
          <w:szCs w:val="21"/>
          <w:bdr w:val="none" w:sz="0" w:space="0" w:color="auto" w:frame="1"/>
          <w:lang w:eastAsia="es-CO"/>
        </w:rPr>
        <w:t>teniendo en cuenta la naturaleza y cuantía de los contratos</w:t>
      </w:r>
      <w:r w:rsidRPr="00D23EB1">
        <w:rPr>
          <w:rFonts w:ascii="Arial" w:eastAsia="Times New Roman" w:hAnsi="Arial" w:cs="Arial"/>
          <w:color w:val="0D0D0D"/>
          <w:sz w:val="21"/>
          <w:szCs w:val="21"/>
          <w:bdr w:val="none" w:sz="0" w:space="0" w:color="auto" w:frame="1"/>
          <w:lang w:eastAsia="es-CO"/>
        </w:rPr>
        <w:t> […] (Énfasis fuera de texto). </w:t>
      </w:r>
    </w:p>
    <w:p w14:paraId="42406192" w14:textId="77777777" w:rsidR="00D23EB1" w:rsidRPr="00D23EB1" w:rsidRDefault="00D23EB1" w:rsidP="00D23EB1">
      <w:pPr>
        <w:spacing w:after="0" w:line="276" w:lineRule="auto"/>
        <w:jc w:val="both"/>
        <w:rPr>
          <w:rFonts w:ascii="Arial" w:eastAsia="Calibri" w:hAnsi="Arial" w:cs="Arial"/>
          <w:szCs w:val="24"/>
          <w:lang w:val="es-ES" w:eastAsia="en-GB"/>
        </w:rPr>
      </w:pPr>
      <w:r w:rsidRPr="00D23EB1">
        <w:rPr>
          <w:rFonts w:ascii="Arial" w:eastAsia="Calibri" w:hAnsi="Arial" w:cs="Arial"/>
          <w:szCs w:val="24"/>
          <w:lang w:val="es-ES" w:eastAsia="en-GB"/>
        </w:rPr>
        <w:tab/>
      </w:r>
    </w:p>
    <w:p w14:paraId="3AEBF555" w14:textId="77777777" w:rsidR="00D23EB1" w:rsidRPr="00D23EB1" w:rsidRDefault="00D23EB1" w:rsidP="00D23EB1">
      <w:pPr>
        <w:spacing w:after="120" w:line="276" w:lineRule="auto"/>
        <w:ind w:firstLine="708"/>
        <w:jc w:val="both"/>
        <w:rPr>
          <w:rFonts w:ascii="Arial" w:eastAsia="Calibri" w:hAnsi="Arial" w:cs="Arial"/>
          <w:color w:val="0D0D0D"/>
          <w:szCs w:val="24"/>
          <w:lang w:val="es-ES" w:eastAsia="en-GB"/>
        </w:rPr>
      </w:pPr>
      <w:r w:rsidRPr="00D23EB1">
        <w:rPr>
          <w:rFonts w:ascii="Arial" w:eastAsia="Calibri" w:hAnsi="Arial" w:cs="Arial"/>
          <w:szCs w:val="24"/>
          <w:lang w:val="es-ES" w:eastAsia="en-GB"/>
        </w:rPr>
        <w:t>La redacción original del artículo 4 de la Ley 1882 de 2018 establecía que al Gobierno Nacional le correspondía adoptar los documentos tipo, pero p</w:t>
      </w:r>
      <w:r w:rsidRPr="00D23EB1">
        <w:rPr>
          <w:rFonts w:ascii="Arial" w:eastAsia="Calibri" w:hAnsi="Arial" w:cs="Arial"/>
          <w:color w:val="0D0D0D"/>
          <w:szCs w:val="24"/>
          <w:lang w:val="es-ES" w:eastAsia="en-GB"/>
        </w:rPr>
        <w:t xml:space="preserve">osteriormente, la </w:t>
      </w:r>
      <w:r w:rsidRPr="00D23EB1">
        <w:rPr>
          <w:rFonts w:ascii="Arial" w:eastAsia="Calibri" w:hAnsi="Arial" w:cs="Arial"/>
          <w:color w:val="0D0D0D"/>
          <w:szCs w:val="24"/>
          <w:lang w:val="es-ES" w:eastAsia="en-GB"/>
        </w:rPr>
        <w:lastRenderedPageBreak/>
        <w:t xml:space="preserve">Ley 2022 del 22 de julio de 2020 otorgó esta competencia a la Agencia Nacional de Contratación Pública – Colombia Compra Eficiente. Así, el artículo 1 de esta Ley modificó el artículo 4 de la Ley 1882 de 2018 en relación con: i) el sujeto encargado de la adopción de los documentos tipo, pues la competencia había sido otorgada al Gobierno Nacional, pero ahora la entidad encargada directamente por la ley es la Agencia Nacional de Contratación Pública – Colombia Compra Eficiente, o quien haga sus veces; </w:t>
      </w:r>
      <w:proofErr w:type="spellStart"/>
      <w:r w:rsidRPr="00D23EB1">
        <w:rPr>
          <w:rFonts w:ascii="Arial" w:eastAsia="Calibri" w:hAnsi="Arial" w:cs="Arial"/>
          <w:color w:val="0D0D0D"/>
          <w:szCs w:val="24"/>
          <w:lang w:val="es-ES" w:eastAsia="en-GB"/>
        </w:rPr>
        <w:t>ii</w:t>
      </w:r>
      <w:proofErr w:type="spellEnd"/>
      <w:r w:rsidRPr="00D23EB1">
        <w:rPr>
          <w:rFonts w:ascii="Arial" w:eastAsia="Calibri" w:hAnsi="Arial" w:cs="Arial"/>
          <w:color w:val="0D0D0D"/>
          <w:szCs w:val="24"/>
          <w:lang w:val="es-ES" w:eastAsia="en-GB"/>
        </w:rPr>
        <w:t xml:space="preserve">) la inclusión de buenas prácticas contractuales y los principios de la contratación pública para establecer los requisitos habilitantes, factores técnicos, económicos y otros factores de escogencia en los documentos tipo; </w:t>
      </w:r>
      <w:proofErr w:type="spellStart"/>
      <w:r w:rsidRPr="00D23EB1">
        <w:rPr>
          <w:rFonts w:ascii="Arial" w:eastAsia="Calibri" w:hAnsi="Arial" w:cs="Arial"/>
          <w:color w:val="0D0D0D"/>
          <w:szCs w:val="24"/>
          <w:lang w:val="es-ES" w:eastAsia="en-GB"/>
        </w:rPr>
        <w:t>iii</w:t>
      </w:r>
      <w:proofErr w:type="spellEnd"/>
      <w:r w:rsidRPr="00D23EB1">
        <w:rPr>
          <w:rFonts w:ascii="Arial" w:eastAsia="Calibri" w:hAnsi="Arial" w:cs="Arial"/>
          <w:color w:val="0D0D0D"/>
          <w:szCs w:val="24"/>
          <w:lang w:val="es-ES" w:eastAsia="en-GB"/>
        </w:rPr>
        <w:t xml:space="preserve">) la implementación de procesos de capacitación en los municipios para la utilización de los documentos tipo buscando el desarrollo de la economía local; y </w:t>
      </w:r>
      <w:proofErr w:type="spellStart"/>
      <w:r w:rsidRPr="00D23EB1">
        <w:rPr>
          <w:rFonts w:ascii="Arial" w:eastAsia="Calibri" w:hAnsi="Arial" w:cs="Arial"/>
          <w:color w:val="0D0D0D"/>
          <w:szCs w:val="24"/>
          <w:lang w:val="es-ES" w:eastAsia="en-GB"/>
        </w:rPr>
        <w:t>iv</w:t>
      </w:r>
      <w:proofErr w:type="spellEnd"/>
      <w:r w:rsidRPr="00D23EB1">
        <w:rPr>
          <w:rFonts w:ascii="Arial" w:eastAsia="Calibri" w:hAnsi="Arial" w:cs="Arial"/>
          <w:color w:val="0D0D0D"/>
          <w:szCs w:val="24"/>
          <w:lang w:val="es-ES" w:eastAsia="en-GB"/>
        </w:rPr>
        <w:t>) la responsabilidad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D23EB1">
        <w:rPr>
          <w:rFonts w:ascii="Arial" w:eastAsia="Calibri" w:hAnsi="Arial" w:cs="Arial"/>
          <w:color w:val="0D0D0D"/>
          <w:szCs w:val="24"/>
          <w:vertAlign w:val="superscript"/>
          <w:lang w:val="es-ES" w:eastAsia="en-GB"/>
        </w:rPr>
        <w:footnoteReference w:id="2"/>
      </w:r>
      <w:r w:rsidRPr="00D23EB1">
        <w:rPr>
          <w:rFonts w:ascii="Arial" w:eastAsia="Calibri" w:hAnsi="Arial" w:cs="Arial"/>
          <w:color w:val="0D0D0D"/>
          <w:szCs w:val="24"/>
          <w:lang w:val="es-ES" w:eastAsia="en-GB"/>
        </w:rPr>
        <w:t xml:space="preserve">. </w:t>
      </w:r>
    </w:p>
    <w:p w14:paraId="092F88D0" w14:textId="77777777" w:rsidR="00D23EB1" w:rsidRPr="00D23EB1" w:rsidRDefault="00D23EB1" w:rsidP="00D23EB1">
      <w:pPr>
        <w:spacing w:before="120" w:after="120" w:line="276" w:lineRule="auto"/>
        <w:ind w:firstLine="708"/>
        <w:jc w:val="both"/>
        <w:rPr>
          <w:rFonts w:ascii="Arial" w:eastAsia="Calibri" w:hAnsi="Arial" w:cs="Arial"/>
          <w:szCs w:val="24"/>
          <w:lang w:eastAsia="en-GB"/>
        </w:rPr>
      </w:pPr>
      <w:r w:rsidRPr="00D23EB1">
        <w:rPr>
          <w:rFonts w:ascii="Arial" w:eastAsia="Calibri" w:hAnsi="Arial" w:cs="Arial"/>
          <w:szCs w:val="24"/>
          <w:lang w:eastAsia="en-GB"/>
        </w:rPr>
        <w:t xml:space="preserve">Además, la Ley 2022 de 2020 señala que los documentos tipo adoptados por la Agencia Nacional de Contratación Pública son de </w:t>
      </w:r>
      <w:r w:rsidRPr="00D23EB1">
        <w:rPr>
          <w:rFonts w:ascii="Arial" w:eastAsia="Calibri" w:hAnsi="Arial" w:cs="Arial"/>
          <w:i/>
          <w:szCs w:val="24"/>
          <w:lang w:eastAsia="en-GB"/>
        </w:rPr>
        <w:t>obligatorio</w:t>
      </w:r>
      <w:r w:rsidRPr="00D23EB1">
        <w:rPr>
          <w:rFonts w:ascii="Arial" w:eastAsia="Calibri" w:hAnsi="Arial" w:cs="Arial"/>
          <w:szCs w:val="24"/>
          <w:lang w:eastAsia="en-GB"/>
        </w:rPr>
        <w:t xml:space="preserve">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Lo anterior, por cuanto los documentos tipo se caracterizan por ser inalterables, es decir, que las entidades públicas carecen de la facultad de modificarlos, con excepción de aquellos aspectos que pueden diligenciar, es decir, las descripciones que están incluidas entre corchetes y resaltadas en gris en cada uno de los documentos tipo. </w:t>
      </w:r>
    </w:p>
    <w:p w14:paraId="7FA0393F" w14:textId="77777777" w:rsidR="00D23EB1" w:rsidRPr="00D23EB1" w:rsidRDefault="00D23EB1" w:rsidP="00D23EB1">
      <w:pPr>
        <w:spacing w:before="120" w:after="120" w:line="276" w:lineRule="auto"/>
        <w:ind w:firstLine="708"/>
        <w:jc w:val="both"/>
        <w:rPr>
          <w:rFonts w:ascii="Arial" w:eastAsia="Calibri" w:hAnsi="Arial" w:cs="Arial"/>
          <w:color w:val="000000"/>
          <w:szCs w:val="24"/>
          <w:lang w:val="es-ES_tradnl" w:eastAsia="en-GB"/>
        </w:rPr>
      </w:pPr>
      <w:r w:rsidRPr="00D23EB1">
        <w:rPr>
          <w:rFonts w:ascii="Arial" w:eastAsia="Calibri" w:hAnsi="Arial" w:cs="Arial"/>
          <w:color w:val="000000"/>
          <w:szCs w:val="24"/>
          <w:lang w:eastAsia="en-GB"/>
        </w:rPr>
        <w:lastRenderedPageBreak/>
        <w:t>Esta es una regla que está consagrada en la</w:t>
      </w:r>
      <w:r w:rsidRPr="00D23EB1">
        <w:rPr>
          <w:rFonts w:ascii="Arial" w:eastAsia="Calibri" w:hAnsi="Arial" w:cs="Arial"/>
          <w:color w:val="000000"/>
          <w:szCs w:val="24"/>
          <w:lang w:val="es-ES_tradnl" w:eastAsia="en-GB"/>
        </w:rPr>
        <w:t xml:space="preserve">s resoluciones expedidas por la Agencia Nacional de Contratación Pública – Colombia Compra Eficiente, mediante las cuales se han adoptado los distintos documentos. Por ello, la inalterabilidad es una prohibición que consiste en que las entidades estatales no pueden incluir o modificar en los </w:t>
      </w:r>
      <w:r w:rsidRPr="00D23EB1">
        <w:rPr>
          <w:rFonts w:ascii="Arial" w:eastAsia="Calibri" w:hAnsi="Arial" w:cs="Arial"/>
          <w:i/>
          <w:iCs/>
          <w:color w:val="000000"/>
          <w:szCs w:val="24"/>
          <w:lang w:val="es-ES_tradnl" w:eastAsia="en-GB"/>
        </w:rPr>
        <w:t>Documentos del Proceso</w:t>
      </w:r>
      <w:r w:rsidRPr="00D23EB1">
        <w:rPr>
          <w:rFonts w:ascii="Arial" w:eastAsia="Calibri" w:hAnsi="Arial" w:cs="Arial"/>
          <w:color w:val="000000"/>
          <w:szCs w:val="24"/>
          <w:lang w:val="es-ES_tradnl" w:eastAsia="en-GB"/>
        </w:rPr>
        <w:t xml:space="preserve"> las condiciones habilitantes, los factores técnicos y económicos de escogencia y los sistemas de ponderación distintos a los señalados en los documentos tipo.  </w:t>
      </w:r>
    </w:p>
    <w:p w14:paraId="40C1341A" w14:textId="77777777" w:rsidR="00D23EB1" w:rsidRPr="00D23EB1" w:rsidRDefault="00D23EB1" w:rsidP="00D23EB1">
      <w:pPr>
        <w:spacing w:after="0" w:line="276" w:lineRule="auto"/>
        <w:ind w:firstLine="708"/>
        <w:jc w:val="both"/>
        <w:rPr>
          <w:rFonts w:ascii="Arial" w:eastAsia="Calibri" w:hAnsi="Arial" w:cs="Arial"/>
          <w:color w:val="000000"/>
          <w:szCs w:val="24"/>
          <w:lang w:val="es-ES_tradnl" w:eastAsia="en-GB"/>
        </w:rPr>
      </w:pPr>
      <w:r w:rsidRPr="00D23EB1">
        <w:rPr>
          <w:rFonts w:ascii="Arial" w:eastAsia="Calibri" w:hAnsi="Arial" w:cs="Arial"/>
          <w:color w:val="000000"/>
          <w:szCs w:val="24"/>
          <w:lang w:val="es-ES_tradnl" w:eastAsia="en-GB"/>
        </w:rPr>
        <w:t>En consecuencia, las condiciones establecidas en los documentos tipo son de obligatorio cumplimiento para las entidades sometidas al Estatuto General de Contratación de la Administración Pública que adelanten procesos que deban regirse por su contenido, y su alcance y ámbito de aplicación está definido en las resoluciones que los adoptan dentro del sistema de compra pública.</w:t>
      </w:r>
    </w:p>
    <w:p w14:paraId="4EF899FE" w14:textId="77777777" w:rsidR="00D23EB1" w:rsidRPr="00D23EB1" w:rsidRDefault="00D23EB1" w:rsidP="00D23EB1">
      <w:pPr>
        <w:spacing w:after="0" w:line="276" w:lineRule="auto"/>
        <w:ind w:firstLine="708"/>
        <w:jc w:val="both"/>
        <w:rPr>
          <w:rFonts w:ascii="Arial" w:eastAsia="Calibri" w:hAnsi="Arial" w:cs="Arial"/>
          <w:color w:val="000000"/>
          <w:szCs w:val="24"/>
          <w:lang w:val="es-ES_tradnl" w:eastAsia="en-GB"/>
        </w:rPr>
      </w:pPr>
    </w:p>
    <w:p w14:paraId="3238893B" w14:textId="77777777" w:rsidR="00D23EB1" w:rsidRPr="00D23EB1" w:rsidRDefault="00D23EB1" w:rsidP="00D23EB1">
      <w:pPr>
        <w:spacing w:after="0" w:line="240" w:lineRule="auto"/>
        <w:jc w:val="both"/>
        <w:rPr>
          <w:rFonts w:ascii="Arial" w:eastAsia="Calibri" w:hAnsi="Arial" w:cs="Arial"/>
          <w:b/>
          <w:bCs/>
          <w:szCs w:val="24"/>
          <w:lang w:eastAsia="en-GB"/>
        </w:rPr>
      </w:pPr>
      <w:r w:rsidRPr="00D23EB1">
        <w:rPr>
          <w:rFonts w:ascii="Arial" w:eastAsia="Calibri" w:hAnsi="Arial" w:cs="Arial"/>
          <w:b/>
          <w:szCs w:val="24"/>
          <w:lang w:eastAsia="en-GB"/>
        </w:rPr>
        <w:t xml:space="preserve">2.2. </w:t>
      </w:r>
      <w:r w:rsidRPr="00D23EB1">
        <w:rPr>
          <w:rFonts w:ascii="Arial" w:eastAsia="Calibri" w:hAnsi="Arial" w:cs="Arial"/>
          <w:b/>
          <w:bCs/>
          <w:szCs w:val="24"/>
          <w:lang w:eastAsia="en-GB"/>
        </w:rPr>
        <w:t xml:space="preserve">Documentos tipo complementarios para los procesos de licitación de obra pública de infraestructura social relacionados con el sector educativo, salud y cultura, recreación y deporte </w:t>
      </w:r>
    </w:p>
    <w:p w14:paraId="3DF55BC0" w14:textId="77777777" w:rsidR="00D23EB1" w:rsidRPr="00D23EB1" w:rsidRDefault="00D23EB1" w:rsidP="00D23EB1">
      <w:pPr>
        <w:spacing w:after="0" w:line="240" w:lineRule="auto"/>
        <w:jc w:val="both"/>
        <w:rPr>
          <w:rFonts w:ascii="Arial" w:eastAsia="Calibri" w:hAnsi="Arial" w:cs="Arial"/>
          <w:b/>
          <w:szCs w:val="24"/>
          <w:lang w:eastAsia="en-GB"/>
        </w:rPr>
      </w:pPr>
    </w:p>
    <w:p w14:paraId="08CD9AE3" w14:textId="77777777" w:rsidR="00D23EB1" w:rsidRPr="00D23EB1" w:rsidRDefault="00D23EB1" w:rsidP="00D23EB1">
      <w:pPr>
        <w:spacing w:after="0" w:line="276" w:lineRule="auto"/>
        <w:jc w:val="both"/>
        <w:rPr>
          <w:rFonts w:ascii="Arial" w:eastAsia="Times New Roman" w:hAnsi="Arial" w:cs="Arial"/>
          <w:szCs w:val="24"/>
          <w:lang w:val="es-ES" w:eastAsia="en-GB"/>
        </w:rPr>
      </w:pPr>
      <w:r w:rsidRPr="00D23EB1">
        <w:rPr>
          <w:rFonts w:ascii="Arial" w:eastAsia="Calibri" w:hAnsi="Arial" w:cs="Arial"/>
          <w:szCs w:val="24"/>
          <w:lang w:eastAsia="en-GB"/>
        </w:rPr>
        <w:t xml:space="preserve">En desarrollo de la Ley 2022 de 2020, la Agencia Nacional de Contratación Pública – Colombia Compra Eficiente expidió la Resolución 219 </w:t>
      </w:r>
      <w:r w:rsidRPr="00D23EB1">
        <w:rPr>
          <w:rFonts w:ascii="Arial" w:eastAsia="Times New Roman" w:hAnsi="Arial" w:cs="Arial"/>
          <w:bCs/>
          <w:color w:val="000000"/>
          <w:szCs w:val="24"/>
          <w:lang w:eastAsia="es-ES_tradnl"/>
        </w:rPr>
        <w:t xml:space="preserve">del 6 de agosto </w:t>
      </w:r>
      <w:r w:rsidRPr="00D23EB1">
        <w:rPr>
          <w:rFonts w:ascii="Arial" w:eastAsia="Calibri" w:hAnsi="Arial" w:cs="Arial"/>
          <w:szCs w:val="24"/>
          <w:lang w:eastAsia="en-GB"/>
        </w:rPr>
        <w:t>de 2021, «Por la cual se adoptan los documentos tipo para los procesos de licitación de obra pública de infraestructura social». Dentro de esta categoría fue incluida la infraestructura asociada a los sectores de la salud, el educativo y el de cultura, recreación y deporte,</w:t>
      </w:r>
      <w:r w:rsidRPr="00D23EB1">
        <w:rPr>
          <w:rFonts w:ascii="Arial" w:eastAsia="Times New Roman" w:hAnsi="Arial" w:cs="Arial"/>
          <w:szCs w:val="24"/>
          <w:lang w:val="es-ES" w:eastAsia="en-GB"/>
        </w:rPr>
        <w:t xml:space="preserve"> tal como lo establece</w:t>
      </w:r>
      <w:r w:rsidRPr="00D23EB1">
        <w:rPr>
          <w:rFonts w:ascii="Arial" w:eastAsia="Times New Roman" w:hAnsi="Arial" w:cs="Arial"/>
          <w:color w:val="000000"/>
          <w:szCs w:val="24"/>
          <w:lang w:val="es-ES" w:eastAsia="en-GB"/>
        </w:rPr>
        <w:t xml:space="preserve"> </w:t>
      </w:r>
      <w:r w:rsidRPr="00D23EB1">
        <w:rPr>
          <w:rFonts w:ascii="Arial" w:eastAsia="Times New Roman" w:hAnsi="Arial" w:cs="Arial"/>
          <w:szCs w:val="24"/>
          <w:lang w:val="es-ES" w:eastAsia="en-GB"/>
        </w:rPr>
        <w:t xml:space="preserve">el parágrafo 2 del artículo 2 de la resolución indicada, de la siguiente manera: </w:t>
      </w:r>
    </w:p>
    <w:p w14:paraId="52BBAA8A" w14:textId="77777777" w:rsidR="00D23EB1" w:rsidRPr="00D23EB1" w:rsidRDefault="00D23EB1" w:rsidP="00F31A38">
      <w:pPr>
        <w:spacing w:after="0" w:line="240" w:lineRule="auto"/>
        <w:jc w:val="both"/>
        <w:rPr>
          <w:rFonts w:ascii="Arial" w:eastAsia="Times New Roman" w:hAnsi="Arial" w:cs="Arial"/>
          <w:szCs w:val="24"/>
          <w:lang w:val="es-ES" w:eastAsia="en-GB"/>
        </w:rPr>
      </w:pPr>
    </w:p>
    <w:p w14:paraId="048A5331" w14:textId="77777777" w:rsidR="00D23EB1" w:rsidRPr="00D23EB1" w:rsidRDefault="00D23EB1" w:rsidP="00D23EB1">
      <w:pPr>
        <w:spacing w:after="0" w:line="240" w:lineRule="auto"/>
        <w:ind w:left="709" w:right="709"/>
        <w:jc w:val="both"/>
        <w:rPr>
          <w:rFonts w:ascii="Arial" w:eastAsia="Times New Roman" w:hAnsi="Arial" w:cs="Arial"/>
          <w:sz w:val="21"/>
          <w:szCs w:val="21"/>
          <w:lang w:val="es-ES" w:eastAsia="en-GB"/>
        </w:rPr>
      </w:pPr>
      <w:r w:rsidRPr="00D23EB1">
        <w:rPr>
          <w:rFonts w:ascii="Arial" w:eastAsia="Times New Roman" w:hAnsi="Arial" w:cs="Arial"/>
          <w:sz w:val="21"/>
          <w:szCs w:val="21"/>
          <w:lang w:val="es-ES" w:eastAsia="en-GB"/>
        </w:rPr>
        <w:t xml:space="preserve">Estos documentos tipo aplicarán a los proyectos de infraestructura social, tales como, </w:t>
      </w:r>
      <w:r w:rsidRPr="00D23EB1">
        <w:rPr>
          <w:rFonts w:ascii="Arial" w:eastAsia="Times New Roman" w:hAnsi="Arial" w:cs="Arial"/>
          <w:i/>
          <w:iCs/>
          <w:sz w:val="21"/>
          <w:szCs w:val="21"/>
          <w:lang w:val="es-ES" w:eastAsia="en-GB"/>
        </w:rPr>
        <w:t>sector educativo</w:t>
      </w:r>
      <w:r w:rsidRPr="00D23EB1">
        <w:rPr>
          <w:rFonts w:ascii="Arial" w:eastAsia="Times New Roman" w:hAnsi="Arial" w:cs="Arial"/>
          <w:sz w:val="21"/>
          <w:szCs w:val="21"/>
          <w:lang w:val="es-ES" w:eastAsia="en-GB"/>
        </w:rPr>
        <w:t xml:space="preserve">, sector salud y sector cultural, recreación y deporte, </w:t>
      </w:r>
      <w:r w:rsidRPr="00D23EB1">
        <w:rPr>
          <w:rFonts w:ascii="Arial" w:eastAsia="Times New Roman" w:hAnsi="Arial" w:cs="Arial"/>
          <w:i/>
          <w:iCs/>
          <w:sz w:val="21"/>
          <w:szCs w:val="21"/>
          <w:lang w:val="es-ES" w:eastAsia="en-GB"/>
        </w:rPr>
        <w:t>de conformidad con cada una de las resoluciones que expida la Agencia Nacional de Contratación Pública -Colombia Compra Eficiente-</w:t>
      </w:r>
      <w:r w:rsidRPr="00D23EB1">
        <w:rPr>
          <w:rFonts w:ascii="Arial" w:eastAsia="Times New Roman" w:hAnsi="Arial" w:cs="Arial"/>
          <w:sz w:val="21"/>
          <w:szCs w:val="21"/>
          <w:lang w:val="es-ES" w:eastAsia="en-GB"/>
        </w:rPr>
        <w:t>, donde se precisará el alcance concreto de estos documentos tipo; sin perjuicio de que se incluyan otros tipos de infraestructura social. (Énfasis fuera del texto)</w:t>
      </w:r>
    </w:p>
    <w:p w14:paraId="49A63739" w14:textId="77777777" w:rsidR="00D23EB1" w:rsidRPr="00D23EB1" w:rsidRDefault="00D23EB1" w:rsidP="00D23EB1">
      <w:pPr>
        <w:spacing w:after="0" w:line="276" w:lineRule="auto"/>
        <w:jc w:val="both"/>
        <w:rPr>
          <w:rFonts w:ascii="Arial" w:eastAsia="Times New Roman" w:hAnsi="Arial" w:cs="Arial"/>
          <w:szCs w:val="24"/>
          <w:lang w:val="es-ES" w:eastAsia="en-GB"/>
        </w:rPr>
      </w:pPr>
      <w:r w:rsidRPr="00D23EB1">
        <w:rPr>
          <w:rFonts w:ascii="Arial" w:eastAsia="Times New Roman" w:hAnsi="Arial" w:cs="Arial"/>
          <w:szCs w:val="24"/>
          <w:lang w:val="es-ES" w:eastAsia="en-GB"/>
        </w:rPr>
        <w:tab/>
      </w:r>
    </w:p>
    <w:p w14:paraId="08A156EF" w14:textId="77777777" w:rsidR="00D23EB1" w:rsidRPr="00D23EB1" w:rsidRDefault="00D23EB1" w:rsidP="00D23EB1">
      <w:pPr>
        <w:spacing w:after="0" w:line="276" w:lineRule="auto"/>
        <w:ind w:firstLine="708"/>
        <w:jc w:val="both"/>
        <w:rPr>
          <w:rFonts w:ascii="Arial" w:eastAsia="Times New Roman" w:hAnsi="Arial" w:cs="Arial"/>
          <w:szCs w:val="24"/>
          <w:lang w:val="es-ES" w:eastAsia="en-GB"/>
        </w:rPr>
      </w:pPr>
      <w:r w:rsidRPr="00D23EB1">
        <w:rPr>
          <w:rFonts w:ascii="Arial" w:eastAsia="Times New Roman" w:hAnsi="Arial" w:cs="Arial"/>
          <w:szCs w:val="24"/>
          <w:lang w:val="es-ES" w:eastAsia="en-GB"/>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3090BE68" w14:textId="77777777" w:rsidR="00D23EB1" w:rsidRPr="00D23EB1" w:rsidRDefault="00D23EB1" w:rsidP="00D23EB1">
      <w:pPr>
        <w:spacing w:before="120" w:after="120" w:line="276" w:lineRule="auto"/>
        <w:ind w:firstLine="708"/>
        <w:jc w:val="both"/>
        <w:rPr>
          <w:rFonts w:ascii="Arial" w:eastAsia="Times New Roman" w:hAnsi="Arial" w:cs="Arial"/>
          <w:bCs/>
          <w:color w:val="000000"/>
          <w:szCs w:val="24"/>
          <w:lang w:val="es-ES" w:eastAsia="es-ES_tradnl"/>
        </w:rPr>
      </w:pPr>
      <w:r w:rsidRPr="00D23EB1">
        <w:rPr>
          <w:rFonts w:ascii="Arial" w:eastAsia="Times New Roman" w:hAnsi="Arial" w:cs="Arial"/>
          <w:lang w:val="es-ES" w:eastAsia="en-GB"/>
        </w:rPr>
        <w:t>Así lo señala el parágrafo 3 del artículo 2 que dispone lo siguiente:</w:t>
      </w:r>
      <w:r w:rsidRPr="00D23EB1">
        <w:rPr>
          <w:rFonts w:ascii="Arial" w:eastAsia="Calibri" w:hAnsi="Arial" w:cs="Arial"/>
          <w:lang w:eastAsia="en-GB"/>
        </w:rPr>
        <w:t xml:space="preserve"> «</w:t>
      </w:r>
      <w:r w:rsidRPr="00D23EB1">
        <w:rPr>
          <w:rFonts w:ascii="Arial" w:eastAsia="Times New Roman" w:hAnsi="Arial" w:cs="Arial"/>
          <w:lang w:val="es-ES" w:eastAsia="en-GB"/>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D23EB1">
        <w:rPr>
          <w:rFonts w:ascii="Arial" w:eastAsia="Calibri" w:hAnsi="Arial" w:cs="Arial"/>
          <w:lang w:eastAsia="en-GB"/>
        </w:rPr>
        <w:t>».</w:t>
      </w:r>
      <w:r w:rsidRPr="00D23EB1">
        <w:rPr>
          <w:rFonts w:ascii="Arial" w:eastAsia="Times New Roman" w:hAnsi="Arial" w:cs="Arial"/>
          <w:lang w:val="es-ES" w:eastAsia="en-GB"/>
        </w:rPr>
        <w:t xml:space="preserve"> En concordancia, el «Documento Base» de </w:t>
      </w:r>
      <w:r w:rsidRPr="00D23EB1">
        <w:rPr>
          <w:rFonts w:ascii="Arial" w:eastAsia="Calibri" w:hAnsi="Arial" w:cs="Arial"/>
          <w:lang w:eastAsia="en-GB"/>
        </w:rPr>
        <w:t>licitación de obra pública de infraestructura social</w:t>
      </w:r>
      <w:r w:rsidRPr="00D23EB1">
        <w:rPr>
          <w:rFonts w:ascii="Arial" w:eastAsia="Times New Roman" w:hAnsi="Arial" w:cs="Arial"/>
          <w:vertAlign w:val="superscript"/>
          <w:lang w:val="es-ES" w:eastAsia="en-GB"/>
        </w:rPr>
        <w:footnoteReference w:id="3"/>
      </w:r>
      <w:r w:rsidRPr="00D23EB1">
        <w:rPr>
          <w:rFonts w:ascii="Arial" w:eastAsia="Calibri" w:hAnsi="Arial" w:cs="Arial"/>
          <w:lang w:eastAsia="en-GB"/>
        </w:rPr>
        <w:t xml:space="preserve"> prescribe en la parte introductoria que «</w:t>
      </w:r>
      <w:r w:rsidRPr="00D23EB1">
        <w:rPr>
          <w:rFonts w:ascii="Arial" w:eastAsia="Times New Roman" w:hAnsi="Arial" w:cs="Arial"/>
          <w:bCs/>
          <w:color w:val="000000"/>
          <w:lang w:eastAsia="es-CO"/>
        </w:rPr>
        <w:t xml:space="preserve">Este Documento Tipo de </w:t>
      </w:r>
      <w:r w:rsidRPr="00D23EB1">
        <w:rPr>
          <w:rFonts w:ascii="Arial" w:eastAsia="Times New Roman" w:hAnsi="Arial" w:cs="Arial"/>
          <w:bCs/>
          <w:color w:val="000000"/>
          <w:lang w:eastAsia="es-CO"/>
        </w:rPr>
        <w:lastRenderedPageBreak/>
        <w:t>“infraestructura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D23EB1">
        <w:rPr>
          <w:rFonts w:ascii="Arial" w:eastAsia="Calibri" w:hAnsi="Arial" w:cs="Arial"/>
          <w:lang w:eastAsia="en-GB"/>
        </w:rPr>
        <w:t>».</w:t>
      </w:r>
    </w:p>
    <w:p w14:paraId="3BE55C5F" w14:textId="77777777" w:rsidR="00D23EB1" w:rsidRPr="00D23EB1" w:rsidRDefault="00D23EB1" w:rsidP="00D23EB1">
      <w:pPr>
        <w:spacing w:before="120" w:after="120" w:line="276" w:lineRule="auto"/>
        <w:ind w:firstLine="708"/>
        <w:jc w:val="both"/>
        <w:rPr>
          <w:rFonts w:ascii="Arial" w:eastAsia="Times New Roman" w:hAnsi="Arial" w:cs="Arial"/>
          <w:szCs w:val="24"/>
          <w:lang w:val="es-ES" w:eastAsia="en-GB"/>
        </w:rPr>
      </w:pPr>
      <w:r w:rsidRPr="00D23EB1">
        <w:rPr>
          <w:rFonts w:ascii="Arial" w:eastAsia="Times New Roman" w:hAnsi="Arial" w:cs="Arial"/>
          <w:bCs/>
          <w:color w:val="000000"/>
          <w:szCs w:val="24"/>
          <w:lang w:val="es-ES" w:eastAsia="es-ES_tradnl"/>
        </w:rPr>
        <w:t xml:space="preserve">Cabe anotar que </w:t>
      </w:r>
      <w:r w:rsidRPr="00D23EB1">
        <w:rPr>
          <w:rFonts w:ascii="Arial" w:eastAsia="Times New Roman" w:hAnsi="Arial" w:cs="Arial"/>
          <w:bCs/>
          <w:color w:val="000000"/>
          <w:szCs w:val="24"/>
          <w:lang w:eastAsia="es-ES_tradnl"/>
        </w:rPr>
        <w:t xml:space="preserve">la Resolución 219 del 6 de agosto de 2021 contiene los documentos tipo que aplican </w:t>
      </w:r>
      <w:r w:rsidRPr="00D23EB1">
        <w:rPr>
          <w:rFonts w:ascii="Arial" w:eastAsia="Times New Roman" w:hAnsi="Arial" w:cs="Arial"/>
          <w:szCs w:val="24"/>
          <w:lang w:val="es-ES" w:eastAsia="en-GB"/>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69157204" w14:textId="77777777" w:rsidR="00D23EB1" w:rsidRPr="00D23EB1" w:rsidRDefault="00D23EB1" w:rsidP="00D23EB1">
      <w:pPr>
        <w:spacing w:before="120" w:after="120" w:line="276" w:lineRule="auto"/>
        <w:ind w:firstLine="708"/>
        <w:jc w:val="both"/>
        <w:rPr>
          <w:rFonts w:ascii="Arial" w:eastAsia="Times New Roman" w:hAnsi="Arial" w:cs="Arial"/>
          <w:szCs w:val="24"/>
          <w:lang w:val="es-ES" w:eastAsia="en-GB"/>
        </w:rPr>
      </w:pPr>
      <w:r w:rsidRPr="00D23EB1">
        <w:rPr>
          <w:rFonts w:ascii="Arial" w:eastAsia="Times New Roman" w:hAnsi="Arial" w:cs="Arial"/>
          <w:szCs w:val="24"/>
          <w:lang w:val="es-ES" w:eastAsia="en-GB"/>
        </w:rPr>
        <w:t xml:space="preserve">En consecuencia, en materia de infraestructura social debe tenerse en cuenta que existen dos (2) clases de documentos tipo que se integran en cada proceso:  i) los documentos </w:t>
      </w:r>
      <w:r w:rsidRPr="00D23EB1">
        <w:rPr>
          <w:rFonts w:ascii="Arial" w:eastAsia="Times New Roman" w:hAnsi="Arial" w:cs="Arial"/>
          <w:i/>
          <w:szCs w:val="24"/>
          <w:lang w:val="es-ES" w:eastAsia="en-GB"/>
        </w:rPr>
        <w:t>transversales</w:t>
      </w:r>
      <w:r w:rsidRPr="00D23EB1">
        <w:rPr>
          <w:rFonts w:ascii="Arial" w:eastAsia="Times New Roman" w:hAnsi="Arial" w:cs="Arial"/>
          <w:szCs w:val="24"/>
          <w:lang w:val="es-ES" w:eastAsia="en-GB"/>
        </w:rPr>
        <w:t xml:space="preserve"> a todos los sectores de infraestructura social, es decir, el documento base, los anexos, los formatos, los formularios y las matrices adoptados mediante la Resolución No. 219 de 2021; y </w:t>
      </w:r>
      <w:proofErr w:type="spellStart"/>
      <w:r w:rsidRPr="00D23EB1">
        <w:rPr>
          <w:rFonts w:ascii="Arial" w:eastAsia="Times New Roman" w:hAnsi="Arial" w:cs="Arial"/>
          <w:szCs w:val="24"/>
          <w:lang w:val="es-ES" w:eastAsia="en-GB"/>
        </w:rPr>
        <w:t>ii</w:t>
      </w:r>
      <w:proofErr w:type="spellEnd"/>
      <w:r w:rsidRPr="00D23EB1">
        <w:rPr>
          <w:rFonts w:ascii="Arial" w:eastAsia="Times New Roman" w:hAnsi="Arial" w:cs="Arial"/>
          <w:szCs w:val="24"/>
          <w:lang w:val="es-ES" w:eastAsia="en-GB"/>
        </w:rPr>
        <w:t xml:space="preserve">) los documentos tipo </w:t>
      </w:r>
      <w:r w:rsidRPr="00D23EB1">
        <w:rPr>
          <w:rFonts w:ascii="Arial" w:eastAsia="Times New Roman" w:hAnsi="Arial" w:cs="Arial"/>
          <w:i/>
          <w:szCs w:val="24"/>
          <w:lang w:val="es-ES" w:eastAsia="en-GB"/>
        </w:rPr>
        <w:t>complementarios</w:t>
      </w:r>
      <w:r w:rsidRPr="00D23EB1">
        <w:rPr>
          <w:rFonts w:ascii="Arial" w:eastAsia="Times New Roman" w:hAnsi="Arial" w:cs="Arial"/>
          <w:iCs/>
          <w:szCs w:val="24"/>
          <w:lang w:val="es-ES" w:eastAsia="en-GB"/>
        </w:rPr>
        <w:t>,</w:t>
      </w:r>
      <w:r w:rsidRPr="00D23EB1">
        <w:rPr>
          <w:rFonts w:ascii="Arial" w:eastAsia="Times New Roman" w:hAnsi="Arial" w:cs="Arial"/>
          <w:i/>
          <w:szCs w:val="24"/>
          <w:lang w:val="es-ES" w:eastAsia="en-GB"/>
        </w:rPr>
        <w:t xml:space="preserve"> </w:t>
      </w:r>
      <w:r w:rsidRPr="00D23EB1">
        <w:rPr>
          <w:rFonts w:ascii="Arial" w:eastAsia="Times New Roman" w:hAnsi="Arial" w:cs="Arial"/>
          <w:szCs w:val="24"/>
          <w:lang w:val="es-ES" w:eastAsia="en-GB"/>
        </w:rPr>
        <w:t>referentes a la matriz de experiencia y el glosario, los cuales han sido adoptados en la resolución para cada sector específico.</w:t>
      </w:r>
    </w:p>
    <w:p w14:paraId="76C3E48F" w14:textId="77777777" w:rsidR="00D23EB1" w:rsidRPr="00D23EB1" w:rsidRDefault="00D23EB1" w:rsidP="00D23EB1">
      <w:pPr>
        <w:spacing w:after="0" w:line="276" w:lineRule="auto"/>
        <w:ind w:firstLine="708"/>
        <w:jc w:val="both"/>
        <w:rPr>
          <w:rFonts w:ascii="Arial" w:eastAsia="Times New Roman" w:hAnsi="Arial" w:cs="Arial"/>
          <w:i/>
          <w:iCs/>
        </w:rPr>
      </w:pPr>
      <w:r w:rsidRPr="00D23EB1">
        <w:rPr>
          <w:rFonts w:ascii="Arial" w:eastAsia="Times New Roman" w:hAnsi="Arial" w:cs="Arial"/>
        </w:rPr>
        <w:t>De esta forma, esta Agencia expidió distintos actos administrativos a partir de los cuales se adoptaron la</w:t>
      </w:r>
      <w:r w:rsidRPr="00D23EB1">
        <w:rPr>
          <w:rFonts w:ascii="Arial" w:eastAsia="Times New Roman" w:hAnsi="Arial" w:cs="Arial"/>
          <w:sz w:val="20"/>
          <w:szCs w:val="20"/>
        </w:rPr>
        <w:t xml:space="preserve"> </w:t>
      </w:r>
      <w:r w:rsidRPr="00D23EB1">
        <w:rPr>
          <w:rFonts w:ascii="Arial" w:eastAsia="Times New Roman" w:hAnsi="Arial" w:cs="Arial"/>
        </w:rPr>
        <w:t>«Matriz – Experiencia» y el «Anexo – Glosario». Así las cosas, la Agencia expidió: i) la Resolución 220 del 6 de agosto de 2021, «Por la cual se adoptan los documentos tipo complementarios para los procesos de licitación de obra pública de infraestructura social relacionados con el sector educativo»;</w:t>
      </w:r>
      <w:r w:rsidRPr="00D23EB1">
        <w:rPr>
          <w:rFonts w:ascii="Arial" w:eastAsia="Times New Roman" w:hAnsi="Arial" w:cs="Arial"/>
          <w:i/>
          <w:iCs/>
        </w:rPr>
        <w:t xml:space="preserve"> </w:t>
      </w:r>
      <w:proofErr w:type="spellStart"/>
      <w:r w:rsidRPr="00D23EB1">
        <w:rPr>
          <w:rFonts w:ascii="Arial" w:eastAsia="Times New Roman" w:hAnsi="Arial" w:cs="Arial"/>
        </w:rPr>
        <w:t>ii</w:t>
      </w:r>
      <w:proofErr w:type="spellEnd"/>
      <w:r w:rsidRPr="00D23EB1">
        <w:rPr>
          <w:rFonts w:ascii="Arial" w:eastAsia="Times New Roman" w:hAnsi="Arial" w:cs="Arial"/>
        </w:rPr>
        <w:t>)</w:t>
      </w:r>
      <w:r w:rsidRPr="00D23EB1">
        <w:rPr>
          <w:rFonts w:ascii="Arial" w:eastAsia="Times New Roman" w:hAnsi="Arial" w:cs="Arial"/>
          <w:i/>
          <w:iCs/>
        </w:rPr>
        <w:t xml:space="preserve"> </w:t>
      </w:r>
      <w:r w:rsidRPr="00D23EB1">
        <w:rPr>
          <w:rFonts w:ascii="Arial" w:eastAsia="Times New Roman" w:hAnsi="Arial" w:cs="Arial"/>
        </w:rPr>
        <w:t xml:space="preserve">la Resolución 392 del 18 de noviembre de 2021, «Por la cual se adoptan los documentos tipo complementarios para los procesos de licitación de obra pública de infraestructura social relacionados con el sector salud»; y </w:t>
      </w:r>
      <w:proofErr w:type="spellStart"/>
      <w:r w:rsidRPr="00D23EB1">
        <w:rPr>
          <w:rFonts w:ascii="Arial" w:eastAsia="Times New Roman" w:hAnsi="Arial" w:cs="Arial"/>
        </w:rPr>
        <w:t>iii</w:t>
      </w:r>
      <w:proofErr w:type="spellEnd"/>
      <w:r w:rsidRPr="00D23EB1">
        <w:rPr>
          <w:rFonts w:ascii="Arial" w:eastAsia="Times New Roman" w:hAnsi="Arial" w:cs="Arial"/>
        </w:rPr>
        <w:t>) la Resolución 454 del 16 de diciembre de 2021,</w:t>
      </w:r>
      <w:r w:rsidRPr="00D23EB1">
        <w:rPr>
          <w:rFonts w:ascii="Calibri" w:eastAsia="Calibri" w:hAnsi="Calibri" w:cs="Arial"/>
        </w:rPr>
        <w:t xml:space="preserve"> </w:t>
      </w:r>
      <w:r w:rsidRPr="00D23EB1">
        <w:rPr>
          <w:rFonts w:ascii="Arial" w:eastAsia="Times New Roman" w:hAnsi="Arial" w:cs="Arial"/>
        </w:rPr>
        <w:t>«Por la cual se adoptan los documentos tipo complementarios para los procesos de licitación de obra pública de infraestructura social relacionados con el sector cultura, recreación y deporte»</w:t>
      </w:r>
      <w:r w:rsidRPr="00D23EB1">
        <w:rPr>
          <w:rFonts w:ascii="Arial" w:eastAsia="Times New Roman" w:hAnsi="Arial" w:cs="Arial"/>
          <w:i/>
          <w:iCs/>
        </w:rPr>
        <w:t>.</w:t>
      </w:r>
    </w:p>
    <w:p w14:paraId="54242B5F" w14:textId="77777777" w:rsidR="00D23EB1" w:rsidRPr="00D23EB1" w:rsidRDefault="00D23EB1" w:rsidP="00D23EB1">
      <w:pPr>
        <w:spacing w:after="0" w:line="276" w:lineRule="auto"/>
        <w:ind w:firstLine="708"/>
        <w:jc w:val="both"/>
        <w:rPr>
          <w:rFonts w:ascii="Arial" w:eastAsia="Times New Roman" w:hAnsi="Arial" w:cs="Arial"/>
          <w:szCs w:val="24"/>
          <w:lang w:val="es-ES" w:eastAsia="en-GB"/>
        </w:rPr>
      </w:pPr>
    </w:p>
    <w:p w14:paraId="0AA0CB3C" w14:textId="77777777" w:rsidR="00D23EB1" w:rsidRPr="00D23EB1" w:rsidRDefault="00D23EB1" w:rsidP="00D23EB1">
      <w:pPr>
        <w:spacing w:after="0" w:line="240" w:lineRule="auto"/>
        <w:jc w:val="both"/>
        <w:rPr>
          <w:rFonts w:ascii="Arial" w:eastAsia="Times New Roman" w:hAnsi="Arial" w:cs="Arial"/>
          <w:b/>
          <w:bCs/>
          <w:lang w:eastAsia="es-MX"/>
        </w:rPr>
      </w:pPr>
      <w:r w:rsidRPr="00D23EB1">
        <w:rPr>
          <w:rFonts w:ascii="Arial" w:eastAsia="Calibri" w:hAnsi="Arial" w:cs="Arial"/>
          <w:b/>
          <w:color w:val="000000"/>
          <w:lang w:eastAsia="es-ES_tradnl"/>
        </w:rPr>
        <w:t xml:space="preserve">2.3. </w:t>
      </w:r>
      <w:r w:rsidRPr="00D23EB1">
        <w:rPr>
          <w:rFonts w:ascii="Arial" w:eastAsia="Times New Roman" w:hAnsi="Arial" w:cs="Arial"/>
          <w:b/>
          <w:bCs/>
          <w:lang w:eastAsia="es-MX"/>
        </w:rPr>
        <w:t xml:space="preserve">Aplicación de la Matriz de experiencia de los documentos tipo </w:t>
      </w:r>
      <w:r w:rsidRPr="00D23EB1">
        <w:rPr>
          <w:rFonts w:ascii="Arial" w:eastAsia="Calibri" w:hAnsi="Arial" w:cs="Arial"/>
          <w:b/>
          <w:bCs/>
          <w:szCs w:val="24"/>
          <w:lang w:eastAsia="en-GB"/>
        </w:rPr>
        <w:t>complementarios para los procesos de licitación de obra pública de infraestructura social relacionados con el sector educativo, salud y cultura, recreación y deporte</w:t>
      </w:r>
    </w:p>
    <w:p w14:paraId="55A1699A" w14:textId="77777777" w:rsidR="00D23EB1" w:rsidRPr="00D23EB1" w:rsidRDefault="00D23EB1" w:rsidP="00D23EB1">
      <w:pPr>
        <w:shd w:val="clear" w:color="auto" w:fill="FFFFFF"/>
        <w:spacing w:after="0" w:line="276" w:lineRule="auto"/>
        <w:jc w:val="both"/>
        <w:rPr>
          <w:rFonts w:ascii="Arial" w:eastAsia="Calibri" w:hAnsi="Arial" w:cs="Arial"/>
          <w:lang w:val="es-MX"/>
        </w:rPr>
      </w:pPr>
    </w:p>
    <w:p w14:paraId="2C5D2A9D" w14:textId="77777777" w:rsidR="00D23EB1" w:rsidRPr="00D23EB1" w:rsidRDefault="00D23EB1" w:rsidP="00D23EB1">
      <w:pPr>
        <w:spacing w:after="120" w:line="276" w:lineRule="auto"/>
        <w:jc w:val="both"/>
        <w:rPr>
          <w:rFonts w:ascii="Arial" w:eastAsia="Times New Roman" w:hAnsi="Arial" w:cs="Arial"/>
          <w:szCs w:val="24"/>
          <w:lang w:val="es-ES" w:eastAsia="en-GB"/>
        </w:rPr>
      </w:pPr>
      <w:r w:rsidRPr="00D23EB1">
        <w:rPr>
          <w:rFonts w:ascii="Arial" w:eastAsia="Times New Roman" w:hAnsi="Arial" w:cs="Arial"/>
          <w:szCs w:val="24"/>
          <w:lang w:val="es-ES" w:eastAsia="en-GB"/>
        </w:rPr>
        <w:t xml:space="preserve">Las Resoluciones 220, 392 y 454 del 2021, en el artículo 2, desarrollan el «Anexo − Glosario» y la «Matriz − Experiencia» de cada sector en particular −educativo; salud; cultura, recreación y deporte− de los documentos tipo complementarios de licitación de obra pública de infraestructura social, lo que significa que estos documentos definen el alcance para cada sector. </w:t>
      </w:r>
    </w:p>
    <w:p w14:paraId="0D389192" w14:textId="77777777" w:rsidR="00D23EB1" w:rsidRPr="00D23EB1" w:rsidRDefault="00D23EB1" w:rsidP="00D23EB1">
      <w:pPr>
        <w:spacing w:after="120" w:line="276" w:lineRule="auto"/>
        <w:ind w:firstLine="708"/>
        <w:jc w:val="both"/>
        <w:rPr>
          <w:rFonts w:ascii="Arial" w:eastAsia="Calibri" w:hAnsi="Arial" w:cs="Arial"/>
          <w:color w:val="0D0D0D"/>
          <w:lang w:val="es-MX"/>
        </w:rPr>
      </w:pPr>
      <w:r w:rsidRPr="00D23EB1">
        <w:rPr>
          <w:rFonts w:ascii="Arial" w:eastAsia="Times New Roman" w:hAnsi="Arial" w:cs="Arial"/>
          <w:szCs w:val="24"/>
          <w:lang w:val="es-ES" w:eastAsia="en-GB"/>
        </w:rPr>
        <w:t xml:space="preserve">De esta forma, la Matriz de experiencia de cada sector mencionado </w:t>
      </w:r>
      <w:r w:rsidRPr="00D23EB1">
        <w:rPr>
          <w:rFonts w:ascii="Arial" w:eastAsia="Calibri" w:hAnsi="Arial" w:cs="Arial"/>
          <w:color w:val="0D0D0D"/>
          <w:lang w:val="es-MX"/>
        </w:rPr>
        <w:t>consta de unas celdas en las que se describe la experiencia requerida en relación con el objeto a contratar</w:t>
      </w:r>
      <w:r w:rsidRPr="00D23EB1">
        <w:rPr>
          <w:rFonts w:ascii="Arial" w:eastAsia="Times New Roman" w:hAnsi="Arial" w:cs="Arial"/>
          <w:szCs w:val="24"/>
          <w:lang w:val="es-ES" w:eastAsia="en-GB"/>
        </w:rPr>
        <w:t xml:space="preserve">, señalando, además, los proyectos o contratos concretos a los cuales aplican los documentos tipo de cada uno de los sectores, en el entendido de que aplicarán a los procesos contractuales cuyo objeto se relacione con alguna de las actividades establecidas de forma detallada en la Matriz de experiencia respectiva. </w:t>
      </w:r>
      <w:r w:rsidRPr="00D23EB1">
        <w:rPr>
          <w:rFonts w:ascii="Arial" w:eastAsia="Calibri" w:hAnsi="Arial" w:cs="Arial"/>
          <w:color w:val="0D0D0D"/>
          <w:lang w:val="es-MX"/>
        </w:rPr>
        <w:t xml:space="preserve">Por otro lado, el «Anexo 3 – </w:t>
      </w:r>
      <w:r w:rsidRPr="00D23EB1">
        <w:rPr>
          <w:rFonts w:ascii="Arial" w:eastAsia="Calibri" w:hAnsi="Arial" w:cs="Arial"/>
          <w:color w:val="0D0D0D"/>
          <w:lang w:val="es-MX"/>
        </w:rPr>
        <w:lastRenderedPageBreak/>
        <w:t xml:space="preserve">Glosario», contiene las definiciones de los términos usados en los documentos del proceso. Utilizando estos dos documentos, la entidad estatal puede definir si el objeto a contratarse debe aplicar los documentos tipo de licitación de obra pública de infraestructura social relacionados con el sector educativo, salud y cultura, recreación y deporte −según corresponda−. </w:t>
      </w:r>
    </w:p>
    <w:p w14:paraId="4E353AEC" w14:textId="77777777" w:rsidR="00D23EB1" w:rsidRPr="00D23EB1" w:rsidRDefault="00D23EB1" w:rsidP="00D23EB1">
      <w:pPr>
        <w:spacing w:before="120" w:after="120" w:line="276" w:lineRule="auto"/>
        <w:ind w:firstLine="709"/>
        <w:jc w:val="both"/>
        <w:rPr>
          <w:rFonts w:ascii="Arial" w:eastAsia="Calibri" w:hAnsi="Arial" w:cs="Arial"/>
          <w:color w:val="0D0D0D"/>
          <w:lang w:val="es-MX"/>
        </w:rPr>
      </w:pPr>
      <w:r w:rsidRPr="00D23EB1">
        <w:rPr>
          <w:rFonts w:ascii="Arial" w:eastAsia="Calibri" w:hAnsi="Arial" w:cs="Arial"/>
          <w:color w:val="0D0D0D"/>
          <w:lang w:val="es-MX"/>
        </w:rPr>
        <w:t>De acuerdo con lo anterior, la Matriz de experiencia, cumple una doble función. Por un lado, sirve para estandarizar las condiciones de experiencia, conforme al parágrafo 7 del artículo 2 de la Ley 1150 de 2007. De otro lado, dicha matriz permite determinar el ámbito de aplicación de los documentos tipo complementarios de licitación de obra pública de infraestructura social, respecto de objetos contractuales asociados, ya que son las actividades descritas en esta las que, obligatoriamente, deben contratarse aplicando estos documentos tipo.</w:t>
      </w:r>
    </w:p>
    <w:p w14:paraId="6B224201" w14:textId="77777777" w:rsidR="00D23EB1" w:rsidRPr="00D23EB1" w:rsidRDefault="00D23EB1" w:rsidP="00D23EB1">
      <w:pPr>
        <w:spacing w:before="120" w:after="120" w:line="276" w:lineRule="auto"/>
        <w:ind w:firstLine="709"/>
        <w:jc w:val="both"/>
        <w:rPr>
          <w:rFonts w:ascii="Arial" w:eastAsia="Calibri" w:hAnsi="Arial" w:cs="Arial"/>
          <w:color w:val="0D0D0D"/>
          <w:lang w:val="es-MX"/>
        </w:rPr>
      </w:pPr>
      <w:r w:rsidRPr="00D23EB1">
        <w:rPr>
          <w:rFonts w:ascii="Arial" w:eastAsia="Calibri" w:hAnsi="Arial" w:cs="Arial"/>
          <w:color w:val="0D0D0D"/>
          <w:lang w:val="es-MX"/>
        </w:rPr>
        <w:t>De esta manera, para saber a qué actividades deben aplicarse los documentos tipo de licitación de obra pública de infraestructura social relacionados con el sector educativo, salud y cultura, recreación y deporte,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1C4B0B23" w14:textId="77777777" w:rsidR="00D23EB1" w:rsidRPr="00D23EB1" w:rsidRDefault="00D23EB1" w:rsidP="00D23EB1">
      <w:pPr>
        <w:spacing w:after="0" w:line="276" w:lineRule="auto"/>
        <w:ind w:firstLine="708"/>
        <w:jc w:val="both"/>
        <w:rPr>
          <w:rFonts w:ascii="Arial" w:eastAsia="Times New Roman" w:hAnsi="Arial" w:cs="Arial"/>
          <w:color w:val="000000"/>
          <w:bdr w:val="none" w:sz="0" w:space="0" w:color="auto" w:frame="1"/>
          <w:lang w:val="es-ES_tradnl" w:eastAsia="es-MX"/>
        </w:rPr>
      </w:pPr>
      <w:r w:rsidRPr="00D23EB1">
        <w:rPr>
          <w:rFonts w:ascii="Arial" w:eastAsia="Calibri" w:hAnsi="Arial" w:cs="Arial"/>
          <w:color w:val="0D0D0D"/>
          <w:lang w:val="es-MX"/>
        </w:rPr>
        <w:t>En este sentido, l</w:t>
      </w:r>
      <w:r w:rsidRPr="00D23EB1">
        <w:rPr>
          <w:rFonts w:ascii="Arial" w:eastAsia="Times New Roman" w:hAnsi="Arial" w:cs="Arial"/>
          <w:color w:val="000000"/>
          <w:bdr w:val="none" w:sz="0" w:space="0" w:color="auto" w:frame="1"/>
          <w:lang w:val="es-ES_tradnl" w:eastAsia="es-MX"/>
        </w:rPr>
        <w:t xml:space="preserve">a experiencia general y específica que puede exigir la entidad estatal y que deben acreditar los proponentes están detalladas de manera expresa en la Matriz </w:t>
      </w:r>
      <w:r w:rsidRPr="00D23EB1">
        <w:rPr>
          <w:rFonts w:ascii="Arial" w:eastAsia="Calibri" w:hAnsi="Arial" w:cs="Arial"/>
          <w:lang w:val="es-MX"/>
        </w:rPr>
        <w:t>adoptada para cada uno de los sectores −educativo, salud y cultura, recreación y deporte− de los documentos tipo de licitación de obra pública de infraestructura social</w:t>
      </w:r>
      <w:r w:rsidRPr="00D23EB1">
        <w:rPr>
          <w:rFonts w:ascii="Arial" w:eastAsia="Times New Roman" w:hAnsi="Arial" w:cs="Arial"/>
          <w:color w:val="000000"/>
          <w:bdr w:val="none" w:sz="0" w:space="0" w:color="auto" w:frame="1"/>
          <w:lang w:val="es-ES_tradnl" w:eastAsia="es-MX"/>
        </w:rPr>
        <w:t xml:space="preserve">. </w:t>
      </w:r>
    </w:p>
    <w:p w14:paraId="05F7116A" w14:textId="77777777" w:rsidR="00D23EB1" w:rsidRPr="00D23EB1" w:rsidRDefault="00D23EB1" w:rsidP="00D23EB1">
      <w:pPr>
        <w:spacing w:before="120" w:after="120" w:line="276" w:lineRule="auto"/>
        <w:ind w:firstLine="708"/>
        <w:jc w:val="both"/>
        <w:rPr>
          <w:rFonts w:ascii="Arial" w:eastAsia="Times New Roman" w:hAnsi="Arial" w:cs="Arial"/>
          <w:color w:val="000000"/>
          <w:bdr w:val="none" w:sz="0" w:space="0" w:color="auto" w:frame="1"/>
          <w:lang w:val="es-ES_tradnl" w:eastAsia="es-MX"/>
        </w:rPr>
      </w:pPr>
      <w:r w:rsidRPr="00D23EB1">
        <w:rPr>
          <w:rFonts w:ascii="Arial" w:eastAsia="Times New Roman" w:hAnsi="Arial" w:cs="Arial"/>
          <w:color w:val="000000"/>
          <w:bdr w:val="none" w:sz="0" w:space="0" w:color="auto" w:frame="1"/>
          <w:lang w:val="es-ES_tradnl" w:eastAsia="es-MX"/>
        </w:rPr>
        <w:t>Siguiendo el procedimiento referido,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7263BEDC" w14:textId="77777777" w:rsidR="00D23EB1" w:rsidRPr="00D23EB1" w:rsidRDefault="00D23EB1" w:rsidP="00D23EB1">
      <w:pPr>
        <w:spacing w:before="120" w:after="0" w:line="276" w:lineRule="auto"/>
        <w:ind w:firstLine="708"/>
        <w:jc w:val="both"/>
        <w:rPr>
          <w:rFonts w:ascii="Arial" w:eastAsia="Calibri" w:hAnsi="Arial" w:cs="Arial"/>
          <w:color w:val="000000" w:themeColor="text1"/>
          <w:lang w:val="es-MX"/>
        </w:rPr>
      </w:pPr>
      <w:r w:rsidRPr="00D23EB1">
        <w:rPr>
          <w:rFonts w:ascii="Arial" w:eastAsia="Calibri" w:hAnsi="Arial" w:cs="Arial"/>
          <w:color w:val="000000" w:themeColor="text1"/>
          <w:lang w:val="es-MX"/>
        </w:rPr>
        <w:t>De esta manera, la entidad estatal que adelanta un proceso de contratación de licitación de obra pública de infraestructura social asociado al sector educativo, salud o cultura, recreación y deporte, debe definir la experiencia exigible, teniendo en cuenta las condiciones fijadas en la Matriz de experiencia, de acuerdo con los siguientes pasos</w:t>
      </w:r>
      <w:r w:rsidRPr="00D23EB1">
        <w:rPr>
          <w:rFonts w:ascii="Arial" w:eastAsia="Calibri" w:hAnsi="Arial" w:cs="Arial"/>
          <w:color w:val="000000" w:themeColor="text1"/>
          <w:vertAlign w:val="superscript"/>
          <w:lang w:val="es-MX"/>
        </w:rPr>
        <w:footnoteReference w:id="4"/>
      </w:r>
      <w:r w:rsidRPr="00D23EB1">
        <w:rPr>
          <w:rFonts w:ascii="Arial" w:eastAsia="Calibri" w:hAnsi="Arial" w:cs="Arial"/>
          <w:color w:val="000000" w:themeColor="text1"/>
          <w:lang w:val="es-MX"/>
        </w:rPr>
        <w:t>:</w:t>
      </w:r>
    </w:p>
    <w:p w14:paraId="779DF654" w14:textId="77777777" w:rsidR="00D23EB1" w:rsidRPr="00D23EB1" w:rsidRDefault="00D23EB1" w:rsidP="00D23EB1">
      <w:pPr>
        <w:spacing w:before="120" w:after="0" w:line="276" w:lineRule="auto"/>
        <w:ind w:firstLine="708"/>
        <w:jc w:val="both"/>
        <w:rPr>
          <w:rFonts w:ascii="Arial" w:eastAsia="Calibri" w:hAnsi="Arial" w:cs="Arial"/>
          <w:color w:val="000000" w:themeColor="text1"/>
          <w:lang w:val="es-MX"/>
        </w:rPr>
      </w:pPr>
      <w:r w:rsidRPr="00D23EB1">
        <w:rPr>
          <w:rFonts w:ascii="Arial" w:eastAsia="Calibri" w:hAnsi="Arial" w:cs="Arial"/>
          <w:color w:val="000000" w:themeColor="text1"/>
          <w:lang w:val="es-MX"/>
        </w:rPr>
        <w:lastRenderedPageBreak/>
        <w:t xml:space="preserve">a) </w:t>
      </w:r>
      <w:r w:rsidRPr="00D23EB1">
        <w:rPr>
          <w:rFonts w:ascii="Arial" w:eastAsia="Calibri" w:hAnsi="Arial" w:cs="Arial"/>
          <w:lang w:val="es-MX"/>
        </w:rPr>
        <w:t xml:space="preserve">Determinar la matriz de experiencia aplicable en atención al tipo de proyecto de infraestructura social a contratarse, ya sea de educación, salud o recreación, cultura y deporte. </w:t>
      </w:r>
    </w:p>
    <w:p w14:paraId="01FFF0D3" w14:textId="77777777" w:rsidR="00D23EB1" w:rsidRPr="00D23EB1" w:rsidRDefault="00D23EB1" w:rsidP="00D23EB1">
      <w:pPr>
        <w:spacing w:before="120" w:after="0" w:line="276" w:lineRule="auto"/>
        <w:ind w:firstLine="708"/>
        <w:jc w:val="both"/>
        <w:rPr>
          <w:rFonts w:ascii="Arial" w:eastAsia="Calibri" w:hAnsi="Arial" w:cs="Arial"/>
          <w:color w:val="000000" w:themeColor="text1"/>
          <w:lang w:val="es-MX"/>
        </w:rPr>
      </w:pPr>
      <w:r w:rsidRPr="00D23EB1">
        <w:rPr>
          <w:rFonts w:ascii="Arial" w:eastAsia="Calibri" w:hAnsi="Arial" w:cs="Arial"/>
          <w:color w:val="000000" w:themeColor="text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52C68F51" w14:textId="77777777" w:rsidR="00D23EB1" w:rsidRPr="00D23EB1" w:rsidRDefault="00D23EB1" w:rsidP="00D23EB1">
      <w:pPr>
        <w:spacing w:before="120" w:after="0" w:line="276" w:lineRule="auto"/>
        <w:ind w:firstLine="708"/>
        <w:jc w:val="both"/>
        <w:rPr>
          <w:rFonts w:ascii="Arial" w:eastAsia="Calibri" w:hAnsi="Arial" w:cs="Arial"/>
          <w:color w:val="000000" w:themeColor="text1"/>
          <w:lang w:val="es-MX"/>
        </w:rPr>
      </w:pPr>
      <w:r w:rsidRPr="00D23EB1">
        <w:rPr>
          <w:rFonts w:ascii="Arial" w:eastAsia="Calibri" w:hAnsi="Arial" w:cs="Arial"/>
          <w:color w:val="000000" w:themeColor="text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2674E6E7" w14:textId="77777777" w:rsidR="00D23EB1" w:rsidRPr="00D23EB1" w:rsidRDefault="00D23EB1" w:rsidP="00D23EB1">
      <w:pPr>
        <w:spacing w:before="120" w:after="120" w:line="276" w:lineRule="auto"/>
        <w:ind w:firstLine="708"/>
        <w:jc w:val="both"/>
        <w:rPr>
          <w:rFonts w:ascii="Arial" w:eastAsia="Calibri" w:hAnsi="Arial" w:cs="Arial"/>
          <w:color w:val="000000" w:themeColor="text1"/>
          <w:lang w:val="es-MX"/>
        </w:rPr>
      </w:pPr>
      <w:r w:rsidRPr="00D23EB1">
        <w:rPr>
          <w:rFonts w:ascii="Arial" w:eastAsia="Calibri" w:hAnsi="Arial" w:cs="Arial"/>
          <w:color w:val="000000" w:themeColor="text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3877A29B" w14:textId="2EFC1EAC" w:rsidR="00831317" w:rsidRDefault="00D23EB1" w:rsidP="00BE27FD">
      <w:pPr>
        <w:spacing w:before="120" w:after="120" w:line="276" w:lineRule="auto"/>
        <w:ind w:firstLine="709"/>
        <w:jc w:val="both"/>
        <w:rPr>
          <w:rFonts w:ascii="Arial" w:eastAsia="Calibri" w:hAnsi="Arial" w:cs="Arial"/>
          <w:color w:val="000000" w:themeColor="text1"/>
          <w:lang w:val="es-MX"/>
        </w:rPr>
      </w:pPr>
      <w:r w:rsidRPr="00D23EB1">
        <w:rPr>
          <w:rFonts w:ascii="Arial" w:eastAsia="Calibri" w:hAnsi="Arial" w:cs="Arial"/>
          <w:color w:val="000000" w:themeColor="text1"/>
          <w:lang w:val="es-MX"/>
        </w:rPr>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14:paraId="7912750E" w14:textId="3DEF4C8F" w:rsidR="00470A90" w:rsidRDefault="005A272F" w:rsidP="00F31A38">
      <w:pPr>
        <w:spacing w:before="120" w:after="0" w:line="276" w:lineRule="auto"/>
        <w:ind w:firstLine="708"/>
        <w:jc w:val="both"/>
        <w:rPr>
          <w:rFonts w:ascii="Arial" w:eastAsia="Calibri" w:hAnsi="Arial" w:cs="Arial"/>
          <w:color w:val="000000" w:themeColor="text1"/>
          <w:lang w:val="es-MX"/>
        </w:rPr>
      </w:pPr>
      <w:r>
        <w:rPr>
          <w:rFonts w:ascii="Arial" w:eastAsia="Calibri" w:hAnsi="Arial" w:cs="Arial"/>
          <w:color w:val="000000" w:themeColor="text1"/>
          <w:lang w:val="es-MX"/>
        </w:rPr>
        <w:t>Teniendo en cuenta los anteriores criterios se advierte que</w:t>
      </w:r>
      <w:r w:rsidR="00330A97">
        <w:rPr>
          <w:rFonts w:ascii="Arial" w:eastAsia="Calibri" w:hAnsi="Arial" w:cs="Arial"/>
          <w:color w:val="000000" w:themeColor="text1"/>
          <w:lang w:val="es-MX"/>
        </w:rPr>
        <w:t xml:space="preserve">, en la relación con la actividad objeto de la consulta, </w:t>
      </w:r>
      <w:r w:rsidR="009A2A01">
        <w:rPr>
          <w:rFonts w:ascii="Arial" w:eastAsia="Calibri" w:hAnsi="Arial" w:cs="Arial"/>
          <w:color w:val="000000" w:themeColor="text1"/>
          <w:lang w:val="es-MX"/>
        </w:rPr>
        <w:t xml:space="preserve">esto es, la establecida en el numeral 2.5 </w:t>
      </w:r>
      <w:r w:rsidR="003F3D1E">
        <w:rPr>
          <w:rFonts w:ascii="Arial" w:eastAsia="Calibri" w:hAnsi="Arial" w:cs="Arial"/>
          <w:color w:val="000000" w:themeColor="text1"/>
          <w:lang w:val="es-MX"/>
        </w:rPr>
        <w:t xml:space="preserve">la </w:t>
      </w:r>
      <w:r w:rsidR="00B86623">
        <w:rPr>
          <w:rFonts w:ascii="Arial" w:eastAsia="Calibri" w:hAnsi="Arial" w:cs="Arial"/>
          <w:color w:val="000000" w:themeColor="text1"/>
          <w:lang w:val="es-MX"/>
        </w:rPr>
        <w:t>«</w:t>
      </w:r>
      <w:r w:rsidR="009850BD">
        <w:rPr>
          <w:rFonts w:ascii="Arial" w:eastAsia="Calibri" w:hAnsi="Arial" w:cs="Arial"/>
          <w:color w:val="000000" w:themeColor="text1"/>
          <w:lang w:val="es-MX"/>
        </w:rPr>
        <w:t xml:space="preserve">Matriz </w:t>
      </w:r>
      <w:r w:rsidR="003F3257">
        <w:rPr>
          <w:rFonts w:ascii="Arial" w:eastAsia="Calibri" w:hAnsi="Arial" w:cs="Arial"/>
          <w:color w:val="000000" w:themeColor="text1"/>
          <w:lang w:val="es-MX"/>
        </w:rPr>
        <w:t xml:space="preserve">Experiencia </w:t>
      </w:r>
      <w:r w:rsidR="003F3257" w:rsidRPr="003F3257">
        <w:rPr>
          <w:rFonts w:ascii="Arial" w:eastAsia="Calibri" w:hAnsi="Arial" w:cs="Arial"/>
          <w:color w:val="000000" w:themeColor="text1"/>
          <w:lang w:val="es-MX"/>
        </w:rPr>
        <w:t xml:space="preserve">para proyectos de infraestructura social </w:t>
      </w:r>
      <w:r w:rsidR="003F3257">
        <w:rPr>
          <w:rFonts w:ascii="Arial" w:eastAsia="Calibri" w:hAnsi="Arial" w:cs="Arial"/>
          <w:color w:val="000000" w:themeColor="text1"/>
          <w:lang w:val="es-MX"/>
        </w:rPr>
        <w:t>d</w:t>
      </w:r>
      <w:r w:rsidR="003F3257" w:rsidRPr="003F3257">
        <w:rPr>
          <w:rFonts w:ascii="Arial" w:eastAsia="Calibri" w:hAnsi="Arial" w:cs="Arial"/>
          <w:color w:val="000000" w:themeColor="text1"/>
          <w:lang w:val="es-MX"/>
        </w:rPr>
        <w:t>el sector cultura, recreación y deporte</w:t>
      </w:r>
      <w:r w:rsidR="00B86623">
        <w:rPr>
          <w:rFonts w:ascii="Arial" w:eastAsia="Calibri" w:hAnsi="Arial" w:cs="Arial"/>
          <w:color w:val="000000" w:themeColor="text1"/>
          <w:lang w:val="es-MX"/>
        </w:rPr>
        <w:t>»</w:t>
      </w:r>
      <w:r w:rsidR="003F3257">
        <w:rPr>
          <w:rFonts w:ascii="Arial" w:eastAsia="Calibri" w:hAnsi="Arial" w:cs="Arial"/>
          <w:color w:val="000000" w:themeColor="text1"/>
          <w:lang w:val="es-MX"/>
        </w:rPr>
        <w:t xml:space="preserve">, </w:t>
      </w:r>
      <w:r w:rsidR="009A2A01">
        <w:rPr>
          <w:rFonts w:ascii="Arial" w:eastAsia="Calibri" w:hAnsi="Arial" w:cs="Arial"/>
          <w:color w:val="000000" w:themeColor="text1"/>
          <w:lang w:val="es-MX"/>
        </w:rPr>
        <w:t xml:space="preserve">la cual se refiere a los </w:t>
      </w:r>
      <w:r w:rsidR="00DE3B5B">
        <w:rPr>
          <w:rFonts w:ascii="Arial" w:eastAsia="Calibri" w:hAnsi="Arial" w:cs="Arial"/>
          <w:color w:val="000000" w:themeColor="text1"/>
          <w:lang w:val="es-MX"/>
        </w:rPr>
        <w:t>«</w:t>
      </w:r>
      <w:r w:rsidR="00DE3B5B" w:rsidRPr="00DE3B5B">
        <w:rPr>
          <w:rFonts w:ascii="Arial" w:eastAsia="Calibri" w:hAnsi="Arial" w:cs="Arial"/>
          <w:color w:val="000000" w:themeColor="text1"/>
          <w:lang w:val="es-MX"/>
        </w:rPr>
        <w:t>PROYECTOS DE CONSTRUCCIÓN Y/O MEJORAMIENTO Y/O REHABILITACIÓN Y/O MANTENIMIENTO Y/O ADECUACIÓN Y/O AMPLIACIÓN Y/O INTERVENCIÓN DE CANCHAS DEPORTIVAS</w:t>
      </w:r>
      <w:r w:rsidR="00DE3B5B">
        <w:rPr>
          <w:rFonts w:ascii="Arial" w:eastAsia="Calibri" w:hAnsi="Arial" w:cs="Arial"/>
          <w:color w:val="000000" w:themeColor="text1"/>
          <w:lang w:val="es-MX"/>
        </w:rPr>
        <w:t>»</w:t>
      </w:r>
      <w:r w:rsidR="00470A90">
        <w:rPr>
          <w:rFonts w:ascii="Arial" w:eastAsia="Calibri" w:hAnsi="Arial" w:cs="Arial"/>
          <w:color w:val="000000" w:themeColor="text1"/>
          <w:lang w:val="es-MX"/>
        </w:rPr>
        <w:t>, se estandariz</w:t>
      </w:r>
      <w:r w:rsidR="00197F8E">
        <w:rPr>
          <w:rFonts w:ascii="Arial" w:eastAsia="Calibri" w:hAnsi="Arial" w:cs="Arial"/>
          <w:color w:val="000000" w:themeColor="text1"/>
          <w:lang w:val="es-MX"/>
        </w:rPr>
        <w:t>ó</w:t>
      </w:r>
      <w:r w:rsidR="00470A90">
        <w:rPr>
          <w:rFonts w:ascii="Arial" w:eastAsia="Calibri" w:hAnsi="Arial" w:cs="Arial"/>
          <w:color w:val="000000" w:themeColor="text1"/>
          <w:lang w:val="es-MX"/>
        </w:rPr>
        <w:t xml:space="preserve"> un requisito</w:t>
      </w:r>
      <w:r w:rsidR="00B04532">
        <w:rPr>
          <w:rFonts w:ascii="Arial" w:eastAsia="Calibri" w:hAnsi="Arial" w:cs="Arial"/>
          <w:color w:val="000000" w:themeColor="text1"/>
          <w:lang w:val="es-MX"/>
        </w:rPr>
        <w:t xml:space="preserve"> de experiencia</w:t>
      </w:r>
      <w:r w:rsidR="00197F8E">
        <w:rPr>
          <w:rFonts w:ascii="Arial" w:eastAsia="Calibri" w:hAnsi="Arial" w:cs="Arial"/>
          <w:color w:val="000000" w:themeColor="text1"/>
          <w:lang w:val="es-MX"/>
        </w:rPr>
        <w:t xml:space="preserve"> general</w:t>
      </w:r>
      <w:r w:rsidR="008A14D8">
        <w:rPr>
          <w:rFonts w:ascii="Arial" w:eastAsia="Calibri" w:hAnsi="Arial" w:cs="Arial"/>
          <w:color w:val="000000" w:themeColor="text1"/>
          <w:lang w:val="es-MX"/>
        </w:rPr>
        <w:t xml:space="preserve"> al siguiente tenor</w:t>
      </w:r>
      <w:r w:rsidR="00197F8E">
        <w:rPr>
          <w:rFonts w:ascii="Arial" w:eastAsia="Calibri" w:hAnsi="Arial" w:cs="Arial"/>
          <w:color w:val="000000" w:themeColor="text1"/>
          <w:lang w:val="es-MX"/>
        </w:rPr>
        <w:t>:</w:t>
      </w:r>
    </w:p>
    <w:p w14:paraId="06B4B80F" w14:textId="77777777" w:rsidR="00BB6052" w:rsidRDefault="00BB6052" w:rsidP="008A14D8">
      <w:pPr>
        <w:spacing w:after="0" w:line="276" w:lineRule="auto"/>
        <w:ind w:left="709" w:right="709"/>
        <w:jc w:val="both"/>
        <w:rPr>
          <w:rFonts w:ascii="Arial" w:eastAsia="Calibri" w:hAnsi="Arial" w:cs="Arial"/>
          <w:color w:val="000000" w:themeColor="text1"/>
          <w:sz w:val="21"/>
          <w:szCs w:val="21"/>
          <w:lang w:val="es-MX"/>
        </w:rPr>
      </w:pPr>
    </w:p>
    <w:p w14:paraId="6709BDB3" w14:textId="1CF88FE3" w:rsidR="00D83F9F" w:rsidRPr="00F31A38" w:rsidRDefault="00D83F9F" w:rsidP="00F31A38">
      <w:pPr>
        <w:spacing w:after="0" w:line="276" w:lineRule="auto"/>
        <w:ind w:left="709" w:right="709"/>
        <w:jc w:val="both"/>
        <w:rPr>
          <w:rFonts w:ascii="Arial" w:eastAsia="Calibri" w:hAnsi="Arial" w:cs="Arial"/>
          <w:i/>
          <w:iCs/>
          <w:color w:val="000000" w:themeColor="text1"/>
          <w:sz w:val="21"/>
          <w:szCs w:val="21"/>
          <w:u w:val="single"/>
          <w:lang w:val="es-MX"/>
        </w:rPr>
      </w:pPr>
      <w:r w:rsidRPr="00F31A38">
        <w:rPr>
          <w:rFonts w:ascii="Arial" w:eastAsia="Calibri" w:hAnsi="Arial" w:cs="Arial"/>
          <w:i/>
          <w:iCs/>
          <w:color w:val="000000" w:themeColor="text1"/>
          <w:sz w:val="21"/>
          <w:szCs w:val="21"/>
          <w:u w:val="single"/>
          <w:lang w:val="es-MX"/>
        </w:rPr>
        <w:t xml:space="preserve">PROYECTOS QUE CORRESPONDAN O HAYAN CONTENIDO UNA O ALGUNAS DE LAS SIGUIENTES ACTIVIDADES: </w:t>
      </w:r>
    </w:p>
    <w:p w14:paraId="7BBF5A0F" w14:textId="77777777" w:rsidR="00D83F9F" w:rsidRPr="00F31A38" w:rsidRDefault="00D83F9F" w:rsidP="00F31A38">
      <w:pPr>
        <w:spacing w:after="0" w:line="276" w:lineRule="auto"/>
        <w:ind w:left="709" w:right="709" w:firstLine="709"/>
        <w:jc w:val="both"/>
        <w:rPr>
          <w:rFonts w:ascii="Arial" w:eastAsia="Calibri" w:hAnsi="Arial" w:cs="Arial"/>
          <w:color w:val="000000" w:themeColor="text1"/>
          <w:sz w:val="21"/>
          <w:szCs w:val="21"/>
          <w:lang w:val="es-MX"/>
        </w:rPr>
      </w:pPr>
    </w:p>
    <w:p w14:paraId="76EEF013" w14:textId="452BE68F" w:rsidR="00D83F9F" w:rsidRDefault="00D83F9F" w:rsidP="008A14D8">
      <w:pPr>
        <w:spacing w:after="0" w:line="276" w:lineRule="auto"/>
        <w:ind w:left="709" w:right="709"/>
        <w:jc w:val="both"/>
        <w:rPr>
          <w:rFonts w:ascii="Arial" w:eastAsia="Calibri" w:hAnsi="Arial" w:cs="Arial"/>
          <w:color w:val="000000" w:themeColor="text1"/>
          <w:sz w:val="21"/>
          <w:szCs w:val="21"/>
          <w:lang w:val="es-MX"/>
        </w:rPr>
      </w:pPr>
      <w:r w:rsidRPr="00F31A38">
        <w:rPr>
          <w:rFonts w:ascii="Arial" w:eastAsia="Calibri" w:hAnsi="Arial" w:cs="Arial"/>
          <w:color w:val="000000" w:themeColor="text1"/>
          <w:sz w:val="21"/>
          <w:szCs w:val="21"/>
          <w:lang w:val="es-MX"/>
        </w:rPr>
        <w:t xml:space="preserve">- CONSTRUCCIÓN Y/O MEJORAMIENTO Y/O REHABILITACIÓN Y/O MANTENIMIENTO Y/O ADECUACIÓN Y/O AMPLIACIÓN DE PARQUES Y/O CANCHAS DEPORTIVAS Y/O ESCENARIOS DEPORTIVOS. </w:t>
      </w:r>
    </w:p>
    <w:p w14:paraId="4038D796" w14:textId="77777777" w:rsidR="00197F8E" w:rsidRPr="00F31A38" w:rsidRDefault="00197F8E" w:rsidP="00F31A38">
      <w:pPr>
        <w:spacing w:after="0" w:line="276" w:lineRule="auto"/>
        <w:ind w:left="709" w:right="709"/>
        <w:jc w:val="both"/>
        <w:rPr>
          <w:rFonts w:ascii="Arial" w:eastAsia="Calibri" w:hAnsi="Arial" w:cs="Arial"/>
          <w:color w:val="000000" w:themeColor="text1"/>
          <w:sz w:val="21"/>
          <w:szCs w:val="21"/>
          <w:lang w:val="es-MX"/>
        </w:rPr>
      </w:pPr>
    </w:p>
    <w:p w14:paraId="19316656" w14:textId="102CB9E6" w:rsidR="003F3D1E" w:rsidRPr="00F31A38" w:rsidRDefault="00D83F9F" w:rsidP="00F31A38">
      <w:pPr>
        <w:spacing w:after="0" w:line="276" w:lineRule="auto"/>
        <w:ind w:left="709" w:right="709"/>
        <w:jc w:val="both"/>
        <w:rPr>
          <w:rFonts w:ascii="Arial" w:eastAsia="Calibri" w:hAnsi="Arial" w:cs="Arial"/>
          <w:color w:val="000000" w:themeColor="text1"/>
          <w:sz w:val="21"/>
          <w:szCs w:val="21"/>
          <w:lang w:val="es-MX"/>
        </w:rPr>
      </w:pPr>
      <w:r w:rsidRPr="00F31A38">
        <w:rPr>
          <w:rFonts w:ascii="Arial" w:eastAsia="Calibri" w:hAnsi="Arial" w:cs="Arial"/>
          <w:color w:val="000000" w:themeColor="text1"/>
          <w:sz w:val="21"/>
          <w:szCs w:val="21"/>
          <w:lang w:val="es-MX"/>
        </w:rPr>
        <w:t>- CONSTRUCCIÓN Y/O MEJORAMIENTO Y/O REHABILITACIÓN Y/O MANTENIMIENTO Y/O ADECUACIÓN Y/O AMPLIACIÓN DE ESPACIO PÚBLICO.</w:t>
      </w:r>
      <w:r w:rsidR="00232D5C">
        <w:rPr>
          <w:rFonts w:ascii="Arial" w:eastAsia="Calibri" w:hAnsi="Arial" w:cs="Arial"/>
          <w:color w:val="000000" w:themeColor="text1"/>
          <w:sz w:val="21"/>
          <w:szCs w:val="21"/>
          <w:lang w:val="es-MX"/>
        </w:rPr>
        <w:t xml:space="preserve"> (Énfasis fuera de texto)</w:t>
      </w:r>
    </w:p>
    <w:p w14:paraId="4DB32473" w14:textId="573C935E" w:rsidR="001C5C8C" w:rsidRDefault="00232D5C" w:rsidP="001C5C8C">
      <w:pPr>
        <w:spacing w:before="120" w:after="120" w:line="276" w:lineRule="auto"/>
        <w:ind w:firstLine="709"/>
        <w:jc w:val="both"/>
        <w:rPr>
          <w:rFonts w:ascii="Arial" w:eastAsia="Calibri" w:hAnsi="Arial" w:cs="Arial"/>
          <w:color w:val="000000" w:themeColor="text1"/>
          <w:lang w:val="es-MX"/>
        </w:rPr>
      </w:pPr>
      <w:r>
        <w:rPr>
          <w:rFonts w:ascii="Arial" w:eastAsia="Calibri" w:hAnsi="Arial" w:cs="Arial"/>
          <w:color w:val="000000" w:themeColor="text1"/>
          <w:lang w:val="es-MX"/>
        </w:rPr>
        <w:lastRenderedPageBreak/>
        <w:t>De acuerdo con el texto, e</w:t>
      </w:r>
      <w:r w:rsidR="002B6719">
        <w:rPr>
          <w:rFonts w:ascii="Arial" w:eastAsia="Calibri" w:hAnsi="Arial" w:cs="Arial"/>
          <w:color w:val="000000" w:themeColor="text1"/>
          <w:lang w:val="es-MX"/>
        </w:rPr>
        <w:t>ste</w:t>
      </w:r>
      <w:r>
        <w:rPr>
          <w:rFonts w:ascii="Arial" w:eastAsia="Calibri" w:hAnsi="Arial" w:cs="Arial"/>
          <w:color w:val="000000" w:themeColor="text1"/>
          <w:lang w:val="es-MX"/>
        </w:rPr>
        <w:t xml:space="preserve"> </w:t>
      </w:r>
      <w:r w:rsidR="007F3B43">
        <w:rPr>
          <w:rFonts w:ascii="Arial" w:eastAsia="Calibri" w:hAnsi="Arial" w:cs="Arial"/>
          <w:color w:val="000000" w:themeColor="text1"/>
          <w:lang w:val="es-MX"/>
        </w:rPr>
        <w:t xml:space="preserve">requisito de experiencia general </w:t>
      </w:r>
      <w:r w:rsidR="00C550D8">
        <w:rPr>
          <w:rFonts w:ascii="Arial" w:eastAsia="Calibri" w:hAnsi="Arial" w:cs="Arial"/>
          <w:color w:val="000000" w:themeColor="text1"/>
          <w:lang w:val="es-MX"/>
        </w:rPr>
        <w:t xml:space="preserve">establece dos componentes, en cada uno de los cuales se describen </w:t>
      </w:r>
      <w:r w:rsidR="00064FF8">
        <w:rPr>
          <w:rFonts w:ascii="Arial" w:eastAsia="Calibri" w:hAnsi="Arial" w:cs="Arial"/>
          <w:color w:val="000000" w:themeColor="text1"/>
          <w:lang w:val="es-MX"/>
        </w:rPr>
        <w:t>actividades de obra pública referidas a dos</w:t>
      </w:r>
      <w:r w:rsidR="00C31D12">
        <w:rPr>
          <w:rFonts w:ascii="Arial" w:eastAsia="Calibri" w:hAnsi="Arial" w:cs="Arial"/>
          <w:color w:val="000000" w:themeColor="text1"/>
          <w:lang w:val="es-MX"/>
        </w:rPr>
        <w:t xml:space="preserve"> tipos de infraestructura distintos</w:t>
      </w:r>
      <w:r w:rsidR="00221C90">
        <w:rPr>
          <w:rFonts w:ascii="Arial" w:eastAsia="Calibri" w:hAnsi="Arial" w:cs="Arial"/>
          <w:color w:val="000000" w:themeColor="text1"/>
          <w:lang w:val="es-MX"/>
        </w:rPr>
        <w:t>. En primer lugar,</w:t>
      </w:r>
      <w:r w:rsidR="00C31D12">
        <w:rPr>
          <w:rFonts w:ascii="Arial" w:eastAsia="Calibri" w:hAnsi="Arial" w:cs="Arial"/>
          <w:color w:val="000000" w:themeColor="text1"/>
          <w:lang w:val="es-MX"/>
        </w:rPr>
        <w:t xml:space="preserve"> se</w:t>
      </w:r>
      <w:r w:rsidR="00221C90">
        <w:rPr>
          <w:rFonts w:ascii="Arial" w:eastAsia="Calibri" w:hAnsi="Arial" w:cs="Arial"/>
          <w:color w:val="000000" w:themeColor="text1"/>
          <w:lang w:val="es-MX"/>
        </w:rPr>
        <w:t xml:space="preserve"> hace referencia a contratos que </w:t>
      </w:r>
      <w:r w:rsidR="00FF7581">
        <w:rPr>
          <w:rFonts w:ascii="Arial" w:eastAsia="Calibri" w:hAnsi="Arial" w:cs="Arial"/>
          <w:color w:val="000000" w:themeColor="text1"/>
          <w:lang w:val="es-MX"/>
        </w:rPr>
        <w:t xml:space="preserve">hayan contenido intervenciones a </w:t>
      </w:r>
      <w:r w:rsidR="0075165C">
        <w:rPr>
          <w:rFonts w:ascii="Arial" w:eastAsia="Calibri" w:hAnsi="Arial" w:cs="Arial"/>
          <w:color w:val="000000" w:themeColor="text1"/>
          <w:lang w:val="es-MX"/>
        </w:rPr>
        <w:t>título</w:t>
      </w:r>
      <w:r w:rsidR="00FF7581">
        <w:rPr>
          <w:rFonts w:ascii="Arial" w:eastAsia="Calibri" w:hAnsi="Arial" w:cs="Arial"/>
          <w:color w:val="000000" w:themeColor="text1"/>
          <w:lang w:val="es-MX"/>
        </w:rPr>
        <w:t xml:space="preserve"> de construcción, </w:t>
      </w:r>
      <w:r w:rsidR="008B7FFB">
        <w:rPr>
          <w:rFonts w:ascii="Arial" w:eastAsia="Calibri" w:hAnsi="Arial" w:cs="Arial"/>
          <w:color w:val="000000" w:themeColor="text1"/>
          <w:lang w:val="es-MX"/>
        </w:rPr>
        <w:t xml:space="preserve">mejoramiento, rehabilitación, mantenimiento, adecuación </w:t>
      </w:r>
      <w:r w:rsidR="0075165C">
        <w:rPr>
          <w:rFonts w:ascii="Arial" w:eastAsia="Calibri" w:hAnsi="Arial" w:cs="Arial"/>
          <w:color w:val="000000" w:themeColor="text1"/>
          <w:lang w:val="es-MX"/>
        </w:rPr>
        <w:t xml:space="preserve">y/o ampliación de parques, </w:t>
      </w:r>
      <w:r w:rsidR="00C31D12">
        <w:rPr>
          <w:rFonts w:ascii="Arial" w:eastAsia="Calibri" w:hAnsi="Arial" w:cs="Arial"/>
          <w:color w:val="000000" w:themeColor="text1"/>
          <w:lang w:val="es-MX"/>
        </w:rPr>
        <w:t>canchas o escenarios deportivos</w:t>
      </w:r>
      <w:r w:rsidR="00D377C3">
        <w:rPr>
          <w:rFonts w:ascii="Arial" w:eastAsia="Calibri" w:hAnsi="Arial" w:cs="Arial"/>
          <w:color w:val="000000" w:themeColor="text1"/>
          <w:lang w:val="es-MX"/>
        </w:rPr>
        <w:t xml:space="preserve">. En segundo lugar, </w:t>
      </w:r>
      <w:r w:rsidR="0030231C">
        <w:rPr>
          <w:rFonts w:ascii="Arial" w:eastAsia="Calibri" w:hAnsi="Arial" w:cs="Arial"/>
          <w:color w:val="000000" w:themeColor="text1"/>
          <w:lang w:val="es-MX"/>
        </w:rPr>
        <w:t xml:space="preserve">se alude a </w:t>
      </w:r>
      <w:r w:rsidR="006C6DB0">
        <w:rPr>
          <w:rFonts w:ascii="Arial" w:eastAsia="Calibri" w:hAnsi="Arial" w:cs="Arial"/>
          <w:color w:val="000000" w:themeColor="text1"/>
          <w:lang w:val="es-MX"/>
        </w:rPr>
        <w:t>obras</w:t>
      </w:r>
      <w:r w:rsidR="0030231C">
        <w:rPr>
          <w:rFonts w:ascii="Arial" w:eastAsia="Calibri" w:hAnsi="Arial" w:cs="Arial"/>
          <w:color w:val="000000" w:themeColor="text1"/>
          <w:lang w:val="es-MX"/>
        </w:rPr>
        <w:t xml:space="preserve"> tendientes a la construcción, mejoramient</w:t>
      </w:r>
      <w:r w:rsidR="00025B1C">
        <w:rPr>
          <w:rFonts w:ascii="Arial" w:eastAsia="Calibri" w:hAnsi="Arial" w:cs="Arial"/>
          <w:color w:val="000000" w:themeColor="text1"/>
          <w:lang w:val="es-MX"/>
        </w:rPr>
        <w:t xml:space="preserve">o, adecuación y/o ampliación de espacio público. </w:t>
      </w:r>
    </w:p>
    <w:p w14:paraId="5A95AFE5" w14:textId="78F05216" w:rsidR="00CA30D7" w:rsidRDefault="004B61E4" w:rsidP="00BE27FD">
      <w:pPr>
        <w:spacing w:before="120" w:after="120" w:line="276" w:lineRule="auto"/>
        <w:ind w:firstLine="709"/>
        <w:jc w:val="both"/>
        <w:rPr>
          <w:rFonts w:ascii="Arial" w:eastAsia="Calibri" w:hAnsi="Arial" w:cs="Arial"/>
          <w:color w:val="000000" w:themeColor="text1"/>
          <w:lang w:val="es-MX"/>
        </w:rPr>
      </w:pPr>
      <w:r>
        <w:rPr>
          <w:rFonts w:ascii="Arial" w:eastAsia="Calibri" w:hAnsi="Arial" w:cs="Arial"/>
          <w:color w:val="000000" w:themeColor="text1"/>
          <w:lang w:val="es-MX"/>
        </w:rPr>
        <w:t>C</w:t>
      </w:r>
      <w:r w:rsidR="00E917D2">
        <w:rPr>
          <w:rFonts w:ascii="Arial" w:eastAsia="Calibri" w:hAnsi="Arial" w:cs="Arial"/>
          <w:color w:val="000000" w:themeColor="text1"/>
          <w:lang w:val="es-MX"/>
        </w:rPr>
        <w:t>onforme se desprende del alcance de la expresión</w:t>
      </w:r>
      <w:r>
        <w:rPr>
          <w:rFonts w:ascii="Arial" w:eastAsia="Calibri" w:hAnsi="Arial" w:cs="Arial"/>
          <w:color w:val="000000" w:themeColor="text1"/>
          <w:lang w:val="es-MX"/>
        </w:rPr>
        <w:t xml:space="preserve"> que antecede</w:t>
      </w:r>
      <w:r w:rsidR="00BA3DD1">
        <w:rPr>
          <w:rFonts w:ascii="Arial" w:eastAsia="Calibri" w:hAnsi="Arial" w:cs="Arial"/>
          <w:color w:val="000000" w:themeColor="text1"/>
          <w:lang w:val="es-MX"/>
        </w:rPr>
        <w:t xml:space="preserve"> lo mencionados componentes,</w:t>
      </w:r>
      <w:r>
        <w:rPr>
          <w:rFonts w:ascii="Arial" w:eastAsia="Calibri" w:hAnsi="Arial" w:cs="Arial"/>
          <w:color w:val="000000" w:themeColor="text1"/>
          <w:lang w:val="es-MX"/>
        </w:rPr>
        <w:t xml:space="preserve"> </w:t>
      </w:r>
      <w:r w:rsidR="00866B52">
        <w:rPr>
          <w:rFonts w:ascii="Arial" w:eastAsia="Calibri" w:hAnsi="Arial" w:cs="Arial"/>
          <w:color w:val="000000" w:themeColor="text1"/>
          <w:lang w:val="es-MX"/>
        </w:rPr>
        <w:t xml:space="preserve">para </w:t>
      </w:r>
      <w:r w:rsidR="00FD27C5">
        <w:rPr>
          <w:rFonts w:ascii="Arial" w:eastAsia="Calibri" w:hAnsi="Arial" w:cs="Arial"/>
          <w:color w:val="000000" w:themeColor="text1"/>
          <w:lang w:val="es-MX"/>
        </w:rPr>
        <w:t>cumpli</w:t>
      </w:r>
      <w:r w:rsidR="00A52F10">
        <w:rPr>
          <w:rFonts w:ascii="Arial" w:eastAsia="Calibri" w:hAnsi="Arial" w:cs="Arial"/>
          <w:color w:val="000000" w:themeColor="text1"/>
          <w:lang w:val="es-MX"/>
        </w:rPr>
        <w:t>r</w:t>
      </w:r>
      <w:r w:rsidR="00CE3EB5">
        <w:rPr>
          <w:rFonts w:ascii="Arial" w:eastAsia="Calibri" w:hAnsi="Arial" w:cs="Arial"/>
          <w:color w:val="000000" w:themeColor="text1"/>
          <w:lang w:val="es-MX"/>
        </w:rPr>
        <w:t xml:space="preserve"> el requisito de experiencia en comento</w:t>
      </w:r>
      <w:r w:rsidR="00BA3DD1">
        <w:rPr>
          <w:rFonts w:ascii="Arial" w:eastAsia="Calibri" w:hAnsi="Arial" w:cs="Arial"/>
          <w:color w:val="000000" w:themeColor="text1"/>
          <w:lang w:val="es-MX"/>
        </w:rPr>
        <w:t>,</w:t>
      </w:r>
      <w:r w:rsidR="00FD27C5">
        <w:rPr>
          <w:rFonts w:ascii="Arial" w:eastAsia="Calibri" w:hAnsi="Arial" w:cs="Arial"/>
          <w:color w:val="000000" w:themeColor="text1"/>
          <w:lang w:val="es-MX"/>
        </w:rPr>
        <w:t xml:space="preserve"> basta con que</w:t>
      </w:r>
      <w:r w:rsidR="00C12F3B">
        <w:rPr>
          <w:rFonts w:ascii="Arial" w:eastAsia="Calibri" w:hAnsi="Arial" w:cs="Arial"/>
          <w:color w:val="000000" w:themeColor="text1"/>
          <w:lang w:val="es-MX"/>
        </w:rPr>
        <w:t xml:space="preserve"> </w:t>
      </w:r>
      <w:r w:rsidR="00CE3EB5">
        <w:rPr>
          <w:rFonts w:ascii="Arial" w:eastAsia="Calibri" w:hAnsi="Arial" w:cs="Arial"/>
          <w:color w:val="000000" w:themeColor="text1"/>
          <w:lang w:val="es-MX"/>
        </w:rPr>
        <w:t xml:space="preserve">el proponente presente contratos </w:t>
      </w:r>
      <w:r w:rsidR="00DB3557">
        <w:rPr>
          <w:rFonts w:ascii="Arial" w:eastAsia="Calibri" w:hAnsi="Arial" w:cs="Arial"/>
          <w:color w:val="000000" w:themeColor="text1"/>
          <w:lang w:val="es-MX"/>
        </w:rPr>
        <w:t>mediante los que acredite haber</w:t>
      </w:r>
      <w:r w:rsidR="00CE3EB5">
        <w:rPr>
          <w:rFonts w:ascii="Arial" w:eastAsia="Calibri" w:hAnsi="Arial" w:cs="Arial"/>
          <w:color w:val="000000" w:themeColor="text1"/>
          <w:lang w:val="es-MX"/>
        </w:rPr>
        <w:t xml:space="preserve"> desarrollado </w:t>
      </w:r>
      <w:r w:rsidR="00902985">
        <w:rPr>
          <w:rFonts w:ascii="Arial" w:eastAsia="Calibri" w:hAnsi="Arial" w:cs="Arial"/>
          <w:color w:val="000000" w:themeColor="text1"/>
          <w:lang w:val="es-MX"/>
        </w:rPr>
        <w:t xml:space="preserve">actividades que se enmarquen en al </w:t>
      </w:r>
      <w:r w:rsidR="00CE3EB5">
        <w:rPr>
          <w:rFonts w:ascii="Arial" w:eastAsia="Calibri" w:hAnsi="Arial" w:cs="Arial"/>
          <w:color w:val="000000" w:themeColor="text1"/>
          <w:lang w:val="es-MX"/>
        </w:rPr>
        <w:t>menos</w:t>
      </w:r>
      <w:r w:rsidR="00E93F5B">
        <w:rPr>
          <w:rFonts w:ascii="Arial" w:eastAsia="Calibri" w:hAnsi="Arial" w:cs="Arial"/>
          <w:color w:val="000000" w:themeColor="text1"/>
          <w:lang w:val="es-MX"/>
        </w:rPr>
        <w:t xml:space="preserve"> </w:t>
      </w:r>
      <w:r w:rsidR="00902985">
        <w:rPr>
          <w:rFonts w:ascii="Arial" w:eastAsia="Calibri" w:hAnsi="Arial" w:cs="Arial"/>
          <w:color w:val="000000" w:themeColor="text1"/>
          <w:lang w:val="es-MX"/>
        </w:rPr>
        <w:t xml:space="preserve">uno </w:t>
      </w:r>
      <w:r w:rsidR="00E93F5B">
        <w:rPr>
          <w:rFonts w:ascii="Arial" w:eastAsia="Calibri" w:hAnsi="Arial" w:cs="Arial"/>
          <w:color w:val="000000" w:themeColor="text1"/>
          <w:lang w:val="es-MX"/>
        </w:rPr>
        <w:t>de l</w:t>
      </w:r>
      <w:r w:rsidR="00902985">
        <w:rPr>
          <w:rFonts w:ascii="Arial" w:eastAsia="Calibri" w:hAnsi="Arial" w:cs="Arial"/>
          <w:color w:val="000000" w:themeColor="text1"/>
          <w:lang w:val="es-MX"/>
        </w:rPr>
        <w:t>os</w:t>
      </w:r>
      <w:r w:rsidR="00E93F5B">
        <w:rPr>
          <w:rFonts w:ascii="Arial" w:eastAsia="Calibri" w:hAnsi="Arial" w:cs="Arial"/>
          <w:color w:val="000000" w:themeColor="text1"/>
          <w:lang w:val="es-MX"/>
        </w:rPr>
        <w:t xml:space="preserve"> dos </w:t>
      </w:r>
      <w:r w:rsidR="00902985">
        <w:rPr>
          <w:rFonts w:ascii="Arial" w:eastAsia="Calibri" w:hAnsi="Arial" w:cs="Arial"/>
          <w:color w:val="000000" w:themeColor="text1"/>
          <w:lang w:val="es-MX"/>
        </w:rPr>
        <w:t xml:space="preserve">componentes </w:t>
      </w:r>
      <w:r w:rsidR="00E93F5B">
        <w:rPr>
          <w:rFonts w:ascii="Arial" w:eastAsia="Calibri" w:hAnsi="Arial" w:cs="Arial"/>
          <w:color w:val="000000" w:themeColor="text1"/>
          <w:lang w:val="es-MX"/>
        </w:rPr>
        <w:t>a los que se refiere</w:t>
      </w:r>
      <w:r w:rsidR="00DB3557">
        <w:rPr>
          <w:rFonts w:ascii="Arial" w:eastAsia="Calibri" w:hAnsi="Arial" w:cs="Arial"/>
          <w:color w:val="000000" w:themeColor="text1"/>
          <w:lang w:val="es-MX"/>
        </w:rPr>
        <w:t xml:space="preserve"> el</w:t>
      </w:r>
      <w:r w:rsidR="00902985">
        <w:rPr>
          <w:rFonts w:ascii="Arial" w:eastAsia="Calibri" w:hAnsi="Arial" w:cs="Arial"/>
          <w:color w:val="000000" w:themeColor="text1"/>
          <w:lang w:val="es-MX"/>
        </w:rPr>
        <w:t xml:space="preserve"> requisito de experiencia general establecido en el</w:t>
      </w:r>
      <w:r w:rsidR="00DB3557">
        <w:rPr>
          <w:rFonts w:ascii="Arial" w:eastAsia="Calibri" w:hAnsi="Arial" w:cs="Arial"/>
          <w:color w:val="000000" w:themeColor="text1"/>
          <w:lang w:val="es-MX"/>
        </w:rPr>
        <w:t xml:space="preserve"> numeral 2.5</w:t>
      </w:r>
      <w:r w:rsidR="006D630C">
        <w:rPr>
          <w:rFonts w:ascii="Arial" w:eastAsia="Calibri" w:hAnsi="Arial" w:cs="Arial"/>
          <w:color w:val="000000" w:themeColor="text1"/>
          <w:lang w:val="es-MX"/>
        </w:rPr>
        <w:t>. Esto significa que</w:t>
      </w:r>
      <w:r w:rsidR="00353DFF">
        <w:rPr>
          <w:rFonts w:ascii="Arial" w:eastAsia="Calibri" w:hAnsi="Arial" w:cs="Arial"/>
          <w:color w:val="000000" w:themeColor="text1"/>
          <w:lang w:val="es-MX"/>
        </w:rPr>
        <w:t>,</w:t>
      </w:r>
      <w:r w:rsidR="008659C1">
        <w:rPr>
          <w:rFonts w:ascii="Arial" w:eastAsia="Calibri" w:hAnsi="Arial" w:cs="Arial"/>
          <w:color w:val="000000" w:themeColor="text1"/>
          <w:lang w:val="es-MX"/>
        </w:rPr>
        <w:t xml:space="preserve"> </w:t>
      </w:r>
      <w:r w:rsidR="00CA30D7">
        <w:rPr>
          <w:rFonts w:ascii="Arial" w:eastAsia="Calibri" w:hAnsi="Arial" w:cs="Arial"/>
          <w:color w:val="000000" w:themeColor="text1"/>
          <w:lang w:val="es-MX"/>
        </w:rPr>
        <w:t>para verificar el cumplimiento del requisito basta con establecer</w:t>
      </w:r>
      <w:r w:rsidR="008659C1">
        <w:rPr>
          <w:rFonts w:ascii="Arial" w:eastAsia="Calibri" w:hAnsi="Arial" w:cs="Arial"/>
          <w:color w:val="000000" w:themeColor="text1"/>
          <w:lang w:val="es-MX"/>
        </w:rPr>
        <w:t xml:space="preserve"> que </w:t>
      </w:r>
      <w:r w:rsidR="00BE692D">
        <w:rPr>
          <w:rFonts w:ascii="Arial" w:eastAsia="Calibri" w:hAnsi="Arial" w:cs="Arial"/>
          <w:color w:val="000000" w:themeColor="text1"/>
          <w:lang w:val="es-MX"/>
        </w:rPr>
        <w:t xml:space="preserve">en el marco de </w:t>
      </w:r>
      <w:r w:rsidR="008659C1">
        <w:rPr>
          <w:rFonts w:ascii="Arial" w:eastAsia="Calibri" w:hAnsi="Arial" w:cs="Arial"/>
          <w:color w:val="000000" w:themeColor="text1"/>
          <w:lang w:val="es-MX"/>
        </w:rPr>
        <w:t xml:space="preserve">los contratos </w:t>
      </w:r>
      <w:r w:rsidR="00CA30D7">
        <w:rPr>
          <w:rFonts w:ascii="Arial" w:eastAsia="Calibri" w:hAnsi="Arial" w:cs="Arial"/>
          <w:color w:val="000000" w:themeColor="text1"/>
          <w:lang w:val="es-MX"/>
        </w:rPr>
        <w:t>presentado</w:t>
      </w:r>
      <w:r w:rsidR="00BE692D">
        <w:rPr>
          <w:rFonts w:ascii="Arial" w:eastAsia="Calibri" w:hAnsi="Arial" w:cs="Arial"/>
          <w:color w:val="000000" w:themeColor="text1"/>
          <w:lang w:val="es-MX"/>
        </w:rPr>
        <w:t>s</w:t>
      </w:r>
      <w:r w:rsidR="00CA30D7">
        <w:rPr>
          <w:rFonts w:ascii="Arial" w:eastAsia="Calibri" w:hAnsi="Arial" w:cs="Arial"/>
          <w:color w:val="000000" w:themeColor="text1"/>
          <w:lang w:val="es-MX"/>
        </w:rPr>
        <w:t xml:space="preserve"> </w:t>
      </w:r>
      <w:r w:rsidR="00BE692D">
        <w:rPr>
          <w:rFonts w:ascii="Arial" w:eastAsia="Calibri" w:hAnsi="Arial" w:cs="Arial"/>
          <w:color w:val="000000" w:themeColor="text1"/>
          <w:lang w:val="es-MX"/>
        </w:rPr>
        <w:t xml:space="preserve">se </w:t>
      </w:r>
      <w:r w:rsidR="00CA30D7">
        <w:rPr>
          <w:rFonts w:ascii="Arial" w:eastAsia="Calibri" w:hAnsi="Arial" w:cs="Arial"/>
          <w:color w:val="000000" w:themeColor="text1"/>
          <w:lang w:val="es-MX"/>
        </w:rPr>
        <w:t>hayan ejecut</w:t>
      </w:r>
      <w:r w:rsidR="00E917D2">
        <w:rPr>
          <w:rFonts w:ascii="Arial" w:eastAsia="Calibri" w:hAnsi="Arial" w:cs="Arial"/>
          <w:color w:val="000000" w:themeColor="text1"/>
          <w:lang w:val="es-MX"/>
        </w:rPr>
        <w:t xml:space="preserve">ado </w:t>
      </w:r>
      <w:r w:rsidR="00693BD7">
        <w:rPr>
          <w:rFonts w:ascii="Arial" w:eastAsia="Calibri" w:hAnsi="Arial" w:cs="Arial"/>
          <w:color w:val="000000" w:themeColor="text1"/>
          <w:lang w:val="es-MX"/>
        </w:rPr>
        <w:t>intervenciones</w:t>
      </w:r>
      <w:r w:rsidR="00E917D2">
        <w:rPr>
          <w:rFonts w:ascii="Arial" w:eastAsia="Calibri" w:hAnsi="Arial" w:cs="Arial"/>
          <w:color w:val="000000" w:themeColor="text1"/>
          <w:lang w:val="es-MX"/>
        </w:rPr>
        <w:t xml:space="preserve"> en parques</w:t>
      </w:r>
      <w:r w:rsidR="00693BD7">
        <w:rPr>
          <w:rFonts w:ascii="Arial" w:eastAsia="Calibri" w:hAnsi="Arial" w:cs="Arial"/>
          <w:color w:val="000000" w:themeColor="text1"/>
          <w:lang w:val="es-MX"/>
        </w:rPr>
        <w:t xml:space="preserve">, </w:t>
      </w:r>
      <w:r w:rsidR="00A3268A">
        <w:rPr>
          <w:rFonts w:ascii="Arial" w:eastAsia="Calibri" w:hAnsi="Arial" w:cs="Arial"/>
          <w:color w:val="000000" w:themeColor="text1"/>
          <w:lang w:val="es-MX"/>
        </w:rPr>
        <w:t>canchas o escenarios deportivos</w:t>
      </w:r>
      <w:r w:rsidR="00693BD7">
        <w:rPr>
          <w:rFonts w:ascii="Arial" w:eastAsia="Calibri" w:hAnsi="Arial" w:cs="Arial"/>
          <w:color w:val="000000" w:themeColor="text1"/>
          <w:lang w:val="es-MX"/>
        </w:rPr>
        <w:t xml:space="preserve">, </w:t>
      </w:r>
      <w:r w:rsidR="00BE692D">
        <w:rPr>
          <w:rFonts w:ascii="Arial" w:eastAsia="Calibri" w:hAnsi="Arial" w:cs="Arial"/>
          <w:color w:val="000000" w:themeColor="text1"/>
          <w:lang w:val="es-MX"/>
        </w:rPr>
        <w:t xml:space="preserve">o que, en su defecto, </w:t>
      </w:r>
      <w:r w:rsidR="000C4017">
        <w:rPr>
          <w:rFonts w:ascii="Arial" w:eastAsia="Calibri" w:hAnsi="Arial" w:cs="Arial"/>
          <w:color w:val="000000" w:themeColor="text1"/>
          <w:lang w:val="es-MX"/>
        </w:rPr>
        <w:t xml:space="preserve">se ejecutaron trabajos materiales sobre espacio público, en los términos señalados en la matriz. </w:t>
      </w:r>
      <w:r w:rsidR="00540E11">
        <w:rPr>
          <w:rFonts w:ascii="Arial" w:eastAsia="Calibri" w:hAnsi="Arial" w:cs="Arial"/>
          <w:color w:val="000000" w:themeColor="text1"/>
          <w:lang w:val="es-MX"/>
        </w:rPr>
        <w:t>Sin embargo</w:t>
      </w:r>
      <w:r w:rsidR="00295B9A">
        <w:rPr>
          <w:rFonts w:ascii="Arial" w:eastAsia="Calibri" w:hAnsi="Arial" w:cs="Arial"/>
          <w:color w:val="000000" w:themeColor="text1"/>
          <w:lang w:val="es-MX"/>
        </w:rPr>
        <w:t>, nada obsta para que se acredite el cumplimiento de</w:t>
      </w:r>
      <w:r w:rsidR="00540E11">
        <w:rPr>
          <w:rFonts w:ascii="Arial" w:eastAsia="Calibri" w:hAnsi="Arial" w:cs="Arial"/>
          <w:color w:val="000000" w:themeColor="text1"/>
          <w:lang w:val="es-MX"/>
        </w:rPr>
        <w:t xml:space="preserve"> este</w:t>
      </w:r>
      <w:r w:rsidR="00295B9A">
        <w:rPr>
          <w:rFonts w:ascii="Arial" w:eastAsia="Calibri" w:hAnsi="Arial" w:cs="Arial"/>
          <w:color w:val="000000" w:themeColor="text1"/>
          <w:lang w:val="es-MX"/>
        </w:rPr>
        <w:t xml:space="preserve"> requisito de experiencia general</w:t>
      </w:r>
      <w:r w:rsidR="00700F69">
        <w:rPr>
          <w:rFonts w:ascii="Arial" w:eastAsia="Calibri" w:hAnsi="Arial" w:cs="Arial"/>
          <w:color w:val="000000" w:themeColor="text1"/>
          <w:lang w:val="es-MX"/>
        </w:rPr>
        <w:t xml:space="preserve"> con contratos mediante los que se demuestre experiencia en</w:t>
      </w:r>
      <w:r w:rsidR="000339E1">
        <w:rPr>
          <w:rFonts w:ascii="Arial" w:eastAsia="Calibri" w:hAnsi="Arial" w:cs="Arial"/>
          <w:color w:val="000000" w:themeColor="text1"/>
          <w:lang w:val="es-MX"/>
        </w:rPr>
        <w:t xml:space="preserve"> </w:t>
      </w:r>
      <w:r w:rsidR="00FA7A04">
        <w:rPr>
          <w:rFonts w:ascii="Arial" w:eastAsia="Calibri" w:hAnsi="Arial" w:cs="Arial"/>
          <w:color w:val="000000" w:themeColor="text1"/>
          <w:lang w:val="es-MX"/>
        </w:rPr>
        <w:t>ambos</w:t>
      </w:r>
      <w:r w:rsidR="003A5DEF">
        <w:rPr>
          <w:rFonts w:ascii="Arial" w:eastAsia="Calibri" w:hAnsi="Arial" w:cs="Arial"/>
          <w:color w:val="000000" w:themeColor="text1"/>
          <w:lang w:val="es-MX"/>
        </w:rPr>
        <w:t xml:space="preserve"> </w:t>
      </w:r>
      <w:r w:rsidR="000339E1">
        <w:rPr>
          <w:rFonts w:ascii="Arial" w:eastAsia="Calibri" w:hAnsi="Arial" w:cs="Arial"/>
          <w:color w:val="000000" w:themeColor="text1"/>
          <w:lang w:val="es-MX"/>
        </w:rPr>
        <w:t>componentes</w:t>
      </w:r>
      <w:r w:rsidR="00902985">
        <w:rPr>
          <w:rFonts w:ascii="Arial" w:eastAsia="Calibri" w:hAnsi="Arial" w:cs="Arial"/>
          <w:color w:val="000000" w:themeColor="text1"/>
          <w:lang w:val="es-MX"/>
        </w:rPr>
        <w:t xml:space="preserve">, lo cual en ningún caso podrá exigirse como obligatorio. </w:t>
      </w:r>
      <w:r w:rsidR="000339E1">
        <w:rPr>
          <w:rFonts w:ascii="Arial" w:eastAsia="Calibri" w:hAnsi="Arial" w:cs="Arial"/>
          <w:color w:val="000000" w:themeColor="text1"/>
          <w:lang w:val="es-MX"/>
        </w:rPr>
        <w:t xml:space="preserve"> </w:t>
      </w:r>
    </w:p>
    <w:p w14:paraId="75D2E695" w14:textId="6C2597F8" w:rsidR="00C3265F" w:rsidRDefault="002C01DC" w:rsidP="00BE27FD">
      <w:pPr>
        <w:spacing w:before="120" w:after="120" w:line="276" w:lineRule="auto"/>
        <w:ind w:firstLine="709"/>
        <w:jc w:val="both"/>
        <w:rPr>
          <w:rFonts w:ascii="Arial" w:eastAsia="Calibri" w:hAnsi="Arial" w:cs="Arial"/>
          <w:color w:val="000000" w:themeColor="text1"/>
          <w:lang w:val="es-MX"/>
        </w:rPr>
      </w:pPr>
      <w:r>
        <w:rPr>
          <w:rFonts w:ascii="Arial" w:eastAsia="Calibri" w:hAnsi="Arial" w:cs="Arial"/>
          <w:color w:val="000000" w:themeColor="text1"/>
          <w:lang w:val="es-MX"/>
        </w:rPr>
        <w:t>De otra parte</w:t>
      </w:r>
      <w:r w:rsidR="00A3268A">
        <w:rPr>
          <w:rFonts w:ascii="Arial" w:eastAsia="Calibri" w:hAnsi="Arial" w:cs="Arial"/>
          <w:color w:val="000000" w:themeColor="text1"/>
          <w:lang w:val="es-MX"/>
        </w:rPr>
        <w:t>, conforme se desprende de la expresi</w:t>
      </w:r>
      <w:r w:rsidR="001647CC">
        <w:rPr>
          <w:rFonts w:ascii="Arial" w:eastAsia="Calibri" w:hAnsi="Arial" w:cs="Arial"/>
          <w:color w:val="000000" w:themeColor="text1"/>
          <w:lang w:val="es-MX"/>
        </w:rPr>
        <w:t>ón «y/o»</w:t>
      </w:r>
      <w:r w:rsidR="00C3265F">
        <w:rPr>
          <w:rFonts w:ascii="Arial" w:eastAsia="Calibri" w:hAnsi="Arial" w:cs="Arial"/>
          <w:color w:val="000000" w:themeColor="text1"/>
          <w:lang w:val="es-MX"/>
        </w:rPr>
        <w:t>,</w:t>
      </w:r>
      <w:r w:rsidR="001647CC">
        <w:rPr>
          <w:rFonts w:ascii="Arial" w:eastAsia="Calibri" w:hAnsi="Arial" w:cs="Arial"/>
          <w:color w:val="000000" w:themeColor="text1"/>
          <w:lang w:val="es-MX"/>
        </w:rPr>
        <w:t xml:space="preserve"> incluid</w:t>
      </w:r>
      <w:r w:rsidR="00C70905">
        <w:rPr>
          <w:rFonts w:ascii="Arial" w:eastAsia="Calibri" w:hAnsi="Arial" w:cs="Arial"/>
          <w:color w:val="000000" w:themeColor="text1"/>
          <w:lang w:val="es-MX"/>
        </w:rPr>
        <w:t>a varias veces</w:t>
      </w:r>
      <w:r w:rsidR="001647CC">
        <w:rPr>
          <w:rFonts w:ascii="Arial" w:eastAsia="Calibri" w:hAnsi="Arial" w:cs="Arial"/>
          <w:color w:val="000000" w:themeColor="text1"/>
          <w:lang w:val="es-MX"/>
        </w:rPr>
        <w:t xml:space="preserve"> como conector entre los diferentes tipos de </w:t>
      </w:r>
      <w:r w:rsidR="009442EF">
        <w:rPr>
          <w:rFonts w:ascii="Arial" w:eastAsia="Calibri" w:hAnsi="Arial" w:cs="Arial"/>
          <w:color w:val="000000" w:themeColor="text1"/>
          <w:lang w:val="es-MX"/>
        </w:rPr>
        <w:t xml:space="preserve">intervenciones de </w:t>
      </w:r>
      <w:r w:rsidR="001647CC">
        <w:rPr>
          <w:rFonts w:ascii="Arial" w:eastAsia="Calibri" w:hAnsi="Arial" w:cs="Arial"/>
          <w:color w:val="000000" w:themeColor="text1"/>
          <w:lang w:val="es-MX"/>
        </w:rPr>
        <w:t>obra</w:t>
      </w:r>
      <w:r w:rsidR="009442EF">
        <w:rPr>
          <w:rFonts w:ascii="Arial" w:eastAsia="Calibri" w:hAnsi="Arial" w:cs="Arial"/>
          <w:color w:val="000000" w:themeColor="text1"/>
          <w:lang w:val="es-MX"/>
        </w:rPr>
        <w:t xml:space="preserve"> pública</w:t>
      </w:r>
      <w:r w:rsidR="00C70905">
        <w:rPr>
          <w:rFonts w:ascii="Arial" w:eastAsia="Calibri" w:hAnsi="Arial" w:cs="Arial"/>
          <w:color w:val="000000" w:themeColor="text1"/>
          <w:lang w:val="es-MX"/>
        </w:rPr>
        <w:t xml:space="preserve"> a los que se refiere el requisito de experiencia</w:t>
      </w:r>
      <w:r w:rsidR="009442EF">
        <w:rPr>
          <w:rFonts w:ascii="Arial" w:eastAsia="Calibri" w:hAnsi="Arial" w:cs="Arial"/>
          <w:color w:val="000000" w:themeColor="text1"/>
          <w:lang w:val="es-MX"/>
        </w:rPr>
        <w:t xml:space="preserve"> </w:t>
      </w:r>
      <w:r w:rsidR="00AB547E">
        <w:rPr>
          <w:rFonts w:ascii="Arial" w:eastAsia="Calibri" w:hAnsi="Arial" w:cs="Arial"/>
          <w:color w:val="000000" w:themeColor="text1"/>
          <w:lang w:val="es-MX"/>
        </w:rPr>
        <w:t xml:space="preserve">–construcción, mejoramiento, </w:t>
      </w:r>
      <w:r w:rsidR="009442EF">
        <w:rPr>
          <w:rFonts w:ascii="Arial" w:eastAsia="Calibri" w:hAnsi="Arial" w:cs="Arial"/>
          <w:color w:val="000000" w:themeColor="text1"/>
          <w:lang w:val="es-MX"/>
        </w:rPr>
        <w:t xml:space="preserve">rehabilitación, mantenimiento, adecuación, ampliación, </w:t>
      </w:r>
      <w:proofErr w:type="spellStart"/>
      <w:r w:rsidR="009442EF">
        <w:rPr>
          <w:rFonts w:ascii="Arial" w:eastAsia="Calibri" w:hAnsi="Arial" w:cs="Arial"/>
          <w:color w:val="000000" w:themeColor="text1"/>
          <w:lang w:val="es-MX"/>
        </w:rPr>
        <w:t>etc</w:t>
      </w:r>
      <w:proofErr w:type="spellEnd"/>
      <w:r w:rsidR="009442EF">
        <w:rPr>
          <w:rFonts w:ascii="Arial" w:eastAsia="Calibri" w:hAnsi="Arial" w:cs="Arial"/>
          <w:color w:val="000000" w:themeColor="text1"/>
          <w:lang w:val="es-MX"/>
        </w:rPr>
        <w:t>–</w:t>
      </w:r>
      <w:r w:rsidR="00C70905">
        <w:rPr>
          <w:rFonts w:ascii="Arial" w:eastAsia="Calibri" w:hAnsi="Arial" w:cs="Arial"/>
          <w:color w:val="000000" w:themeColor="text1"/>
          <w:lang w:val="es-MX"/>
        </w:rPr>
        <w:t xml:space="preserve">, </w:t>
      </w:r>
      <w:r w:rsidR="00C3265F">
        <w:rPr>
          <w:rFonts w:ascii="Arial" w:eastAsia="Calibri" w:hAnsi="Arial" w:cs="Arial"/>
          <w:color w:val="000000" w:themeColor="text1"/>
          <w:lang w:val="es-MX"/>
        </w:rPr>
        <w:t xml:space="preserve">se advierte que, </w:t>
      </w:r>
      <w:r w:rsidR="002D4B46">
        <w:rPr>
          <w:rFonts w:ascii="Arial" w:eastAsia="Calibri" w:hAnsi="Arial" w:cs="Arial"/>
          <w:color w:val="000000" w:themeColor="text1"/>
          <w:lang w:val="es-MX"/>
        </w:rPr>
        <w:t xml:space="preserve">el requisito está establecido de tal manera que, para </w:t>
      </w:r>
      <w:r w:rsidR="004F2046">
        <w:rPr>
          <w:rFonts w:ascii="Arial" w:eastAsia="Calibri" w:hAnsi="Arial" w:cs="Arial"/>
          <w:color w:val="000000" w:themeColor="text1"/>
          <w:lang w:val="es-MX"/>
        </w:rPr>
        <w:t xml:space="preserve">que un contrato </w:t>
      </w:r>
      <w:r w:rsidR="00AC4AD8">
        <w:rPr>
          <w:rFonts w:ascii="Arial" w:eastAsia="Calibri" w:hAnsi="Arial" w:cs="Arial"/>
          <w:color w:val="000000" w:themeColor="text1"/>
          <w:lang w:val="es-MX"/>
        </w:rPr>
        <w:t xml:space="preserve">lo </w:t>
      </w:r>
      <w:r w:rsidR="004F2046">
        <w:rPr>
          <w:rFonts w:ascii="Arial" w:eastAsia="Calibri" w:hAnsi="Arial" w:cs="Arial"/>
          <w:color w:val="000000" w:themeColor="text1"/>
          <w:lang w:val="es-MX"/>
        </w:rPr>
        <w:t xml:space="preserve">cumpla </w:t>
      </w:r>
      <w:r w:rsidR="00CC5E3B">
        <w:rPr>
          <w:rFonts w:ascii="Arial" w:eastAsia="Calibri" w:hAnsi="Arial" w:cs="Arial"/>
          <w:color w:val="000000" w:themeColor="text1"/>
          <w:lang w:val="es-MX"/>
        </w:rPr>
        <w:t xml:space="preserve">es suficiente que en el mismo se haya ejecutado una de </w:t>
      </w:r>
      <w:r w:rsidR="00EA2D86">
        <w:rPr>
          <w:rFonts w:ascii="Arial" w:eastAsia="Calibri" w:hAnsi="Arial" w:cs="Arial"/>
          <w:color w:val="000000" w:themeColor="text1"/>
          <w:lang w:val="es-MX"/>
        </w:rPr>
        <w:t>las</w:t>
      </w:r>
      <w:r w:rsidR="00CC5E3B">
        <w:rPr>
          <w:rFonts w:ascii="Arial" w:eastAsia="Calibri" w:hAnsi="Arial" w:cs="Arial"/>
          <w:color w:val="000000" w:themeColor="text1"/>
          <w:lang w:val="es-MX"/>
        </w:rPr>
        <w:t xml:space="preserve"> actividades</w:t>
      </w:r>
      <w:r w:rsidR="00EA2D86">
        <w:rPr>
          <w:rFonts w:ascii="Arial" w:eastAsia="Calibri" w:hAnsi="Arial" w:cs="Arial"/>
          <w:color w:val="000000" w:themeColor="text1"/>
          <w:lang w:val="es-MX"/>
        </w:rPr>
        <w:t xml:space="preserve"> relacionadas en las dos tipos de intervenciones que contempla el requisito</w:t>
      </w:r>
      <w:r w:rsidR="00CC5E3B">
        <w:rPr>
          <w:rFonts w:ascii="Arial" w:eastAsia="Calibri" w:hAnsi="Arial" w:cs="Arial"/>
          <w:color w:val="000000" w:themeColor="text1"/>
          <w:lang w:val="es-MX"/>
        </w:rPr>
        <w:t>.</w:t>
      </w:r>
      <w:r w:rsidR="00EA2D86">
        <w:rPr>
          <w:rFonts w:ascii="Arial" w:eastAsia="Calibri" w:hAnsi="Arial" w:cs="Arial"/>
          <w:color w:val="000000" w:themeColor="text1"/>
          <w:lang w:val="es-MX"/>
        </w:rPr>
        <w:t xml:space="preserve"> De esta manera, para cumplir el requisito mediante el componente referido a actividades en parques, canchas </w:t>
      </w:r>
      <w:r w:rsidR="006B0A6C">
        <w:rPr>
          <w:rFonts w:ascii="Arial" w:eastAsia="Calibri" w:hAnsi="Arial" w:cs="Arial"/>
          <w:color w:val="000000" w:themeColor="text1"/>
          <w:lang w:val="es-MX"/>
        </w:rPr>
        <w:t>o escenarios deportivos, deben presentarse contratos que demuestren que se ejec</w:t>
      </w:r>
      <w:r w:rsidR="004D302B">
        <w:rPr>
          <w:rFonts w:ascii="Arial" w:eastAsia="Calibri" w:hAnsi="Arial" w:cs="Arial"/>
          <w:color w:val="000000" w:themeColor="text1"/>
          <w:lang w:val="es-MX"/>
        </w:rPr>
        <w:t>utaron actividades de construcción, o en su defecto, de mejoramiento, rehabilitaci</w:t>
      </w:r>
      <w:r w:rsidR="00C6239B">
        <w:rPr>
          <w:rFonts w:ascii="Arial" w:eastAsia="Calibri" w:hAnsi="Arial" w:cs="Arial"/>
          <w:color w:val="000000" w:themeColor="text1"/>
          <w:lang w:val="es-MX"/>
        </w:rPr>
        <w:t>ón, mantenimiento o adecuación, sin perjuicio de la posibilidad de que se hayan ejecutado varias de estas</w:t>
      </w:r>
      <w:r w:rsidR="009F1B36">
        <w:rPr>
          <w:rFonts w:ascii="Arial" w:eastAsia="Calibri" w:hAnsi="Arial" w:cs="Arial"/>
          <w:color w:val="000000" w:themeColor="text1"/>
          <w:lang w:val="es-MX"/>
        </w:rPr>
        <w:t xml:space="preserve"> en un mismo contrato. </w:t>
      </w:r>
      <w:r w:rsidR="00C6239B">
        <w:rPr>
          <w:rFonts w:ascii="Arial" w:eastAsia="Calibri" w:hAnsi="Arial" w:cs="Arial"/>
          <w:color w:val="000000" w:themeColor="text1"/>
          <w:lang w:val="es-MX"/>
        </w:rPr>
        <w:t xml:space="preserve"> </w:t>
      </w:r>
    </w:p>
    <w:p w14:paraId="174897B1" w14:textId="5DE10A98" w:rsidR="003055B1" w:rsidRDefault="003055B1" w:rsidP="00F31A38">
      <w:pPr>
        <w:spacing w:before="120" w:after="0" w:line="276" w:lineRule="auto"/>
        <w:ind w:firstLine="709"/>
        <w:jc w:val="both"/>
        <w:rPr>
          <w:rFonts w:ascii="Arial" w:eastAsia="Calibri" w:hAnsi="Arial" w:cs="Arial"/>
          <w:color w:val="000000" w:themeColor="text1"/>
          <w:lang w:val="es-MX"/>
        </w:rPr>
      </w:pPr>
      <w:r>
        <w:rPr>
          <w:rFonts w:ascii="Arial" w:eastAsia="Calibri" w:hAnsi="Arial" w:cs="Arial"/>
          <w:color w:val="000000" w:themeColor="text1"/>
          <w:lang w:val="es-MX"/>
        </w:rPr>
        <w:t>Por último, se destaca que la matriz establece dos notas que deben tenerse en cuenta al momento de establecer y acreditar la experiencia. La Nota 1 señala que «</w:t>
      </w:r>
      <w:r w:rsidRPr="00137C93">
        <w:rPr>
          <w:rFonts w:ascii="Arial" w:eastAsia="Calibri" w:hAnsi="Arial" w:cs="Arial"/>
          <w:color w:val="000000" w:themeColor="text1"/>
          <w:lang w:val="es-MX"/>
        </w:rPr>
        <w:t>Para el caso de experiencia de ESPACIO PÚBLICO se excluyen de estos las vías destinadas al tránsito vehicular, así como la conservación y/o preservación de playas marítimas.</w:t>
      </w:r>
      <w:r>
        <w:rPr>
          <w:rFonts w:ascii="Arial" w:eastAsia="Calibri" w:hAnsi="Arial" w:cs="Arial"/>
          <w:color w:val="000000" w:themeColor="text1"/>
          <w:lang w:val="es-MX"/>
        </w:rPr>
        <w:t xml:space="preserve"> A su vez, la Nota 2 indica que «</w:t>
      </w:r>
      <w:r w:rsidRPr="00137C93">
        <w:rPr>
          <w:rFonts w:ascii="Arial" w:eastAsia="Calibri" w:hAnsi="Arial" w:cs="Arial"/>
          <w:color w:val="000000" w:themeColor="text1"/>
          <w:lang w:val="es-MX"/>
        </w:rPr>
        <w:t>En el caso en el cual el proceso de selección contemple actividades de dotación de mobiliario, la experiencia válida aportada deberá acreditar en por lo menos uno (1) de los contratos actividades de suministro e instalación de mobiliario</w:t>
      </w:r>
      <w:r>
        <w:rPr>
          <w:rFonts w:ascii="Arial" w:eastAsia="Calibri" w:hAnsi="Arial" w:cs="Arial"/>
          <w:color w:val="000000" w:themeColor="text1"/>
          <w:lang w:val="es-MX"/>
        </w:rPr>
        <w:t>»</w:t>
      </w:r>
      <w:r w:rsidRPr="00137C93">
        <w:rPr>
          <w:rFonts w:ascii="Arial" w:eastAsia="Calibri" w:hAnsi="Arial" w:cs="Arial"/>
          <w:color w:val="000000" w:themeColor="text1"/>
          <w:lang w:val="es-MX"/>
        </w:rPr>
        <w:t>.</w:t>
      </w:r>
    </w:p>
    <w:p w14:paraId="53EB4B85" w14:textId="77777777" w:rsidR="00C3265F" w:rsidRDefault="00C3265F" w:rsidP="00F31A38">
      <w:pPr>
        <w:spacing w:after="0" w:line="276" w:lineRule="auto"/>
        <w:ind w:firstLine="709"/>
        <w:jc w:val="both"/>
        <w:rPr>
          <w:rFonts w:ascii="Arial" w:eastAsia="Calibri" w:hAnsi="Arial" w:cs="Arial"/>
          <w:color w:val="000000" w:themeColor="text1"/>
          <w:lang w:val="es-MX"/>
        </w:rPr>
      </w:pPr>
    </w:p>
    <w:p w14:paraId="5E04DA5D" w14:textId="2C100FF8" w:rsidR="00831317" w:rsidRPr="00F31A38" w:rsidRDefault="002858C1" w:rsidP="00831317">
      <w:pPr>
        <w:spacing w:after="0" w:line="276" w:lineRule="auto"/>
        <w:jc w:val="both"/>
        <w:rPr>
          <w:rFonts w:ascii="Arial" w:eastAsia="Times New Roman" w:hAnsi="Arial" w:cs="Arial"/>
          <w:b/>
          <w:bCs/>
          <w:lang w:eastAsia="es-MX"/>
        </w:rPr>
      </w:pPr>
      <w:r w:rsidRPr="00F31A38">
        <w:rPr>
          <w:rFonts w:ascii="Arial" w:eastAsia="Times New Roman" w:hAnsi="Arial" w:cs="Arial"/>
          <w:b/>
          <w:bCs/>
          <w:lang w:eastAsia="es-MX"/>
        </w:rPr>
        <w:t xml:space="preserve">3. </w:t>
      </w:r>
      <w:r w:rsidR="00831317" w:rsidRPr="00F31A38">
        <w:rPr>
          <w:rFonts w:ascii="Arial" w:eastAsia="Times New Roman" w:hAnsi="Arial" w:cs="Arial"/>
          <w:b/>
          <w:bCs/>
          <w:lang w:eastAsia="es-MX"/>
        </w:rPr>
        <w:t>Respuesta</w:t>
      </w:r>
    </w:p>
    <w:p w14:paraId="1A315B69" w14:textId="4AAEFC7B" w:rsidR="002858C1" w:rsidRDefault="002858C1" w:rsidP="00831317">
      <w:pPr>
        <w:spacing w:after="0" w:line="276" w:lineRule="auto"/>
        <w:jc w:val="both"/>
        <w:rPr>
          <w:rFonts w:ascii="Arial" w:eastAsia="Times New Roman" w:hAnsi="Arial" w:cs="Arial"/>
          <w:b/>
          <w:bCs/>
          <w:highlight w:val="yellow"/>
          <w:lang w:eastAsia="es-MX"/>
        </w:rPr>
      </w:pPr>
    </w:p>
    <w:p w14:paraId="3618E89B" w14:textId="7B37235D" w:rsidR="002858C1" w:rsidRDefault="002858C1" w:rsidP="00F31A38">
      <w:pPr>
        <w:spacing w:after="0" w:line="276" w:lineRule="auto"/>
        <w:ind w:left="709" w:right="709"/>
        <w:jc w:val="both"/>
        <w:rPr>
          <w:rFonts w:ascii="Arial" w:eastAsia="Times New Roman" w:hAnsi="Arial" w:cs="Arial"/>
          <w:b/>
          <w:bCs/>
          <w:highlight w:val="yellow"/>
          <w:lang w:eastAsia="es-MX"/>
        </w:rPr>
      </w:pPr>
      <w:r>
        <w:rPr>
          <w:rFonts w:ascii="Arial" w:eastAsia="Calibri" w:hAnsi="Arial" w:cs="Arial"/>
        </w:rPr>
        <w:t xml:space="preserve">«[…] nos indique si se deben acreditar </w:t>
      </w:r>
      <w:r w:rsidR="002D3DED">
        <w:rPr>
          <w:rFonts w:ascii="Arial" w:eastAsia="Calibri" w:hAnsi="Arial" w:cs="Arial"/>
        </w:rPr>
        <w:t>las dos condiciones</w:t>
      </w:r>
      <w:r>
        <w:rPr>
          <w:rFonts w:ascii="Arial" w:eastAsia="Calibri" w:hAnsi="Arial" w:cs="Arial"/>
        </w:rPr>
        <w:t xml:space="preserve"> de acreditación de la experiencia general».</w:t>
      </w:r>
    </w:p>
    <w:p w14:paraId="286C4CB0" w14:textId="77777777" w:rsidR="00831317" w:rsidRDefault="00831317" w:rsidP="00831317">
      <w:pPr>
        <w:spacing w:after="0" w:line="276" w:lineRule="auto"/>
        <w:ind w:firstLine="708"/>
        <w:jc w:val="both"/>
        <w:rPr>
          <w:rFonts w:ascii="Arial" w:eastAsia="Calibri" w:hAnsi="Arial" w:cs="Arial"/>
        </w:rPr>
      </w:pPr>
    </w:p>
    <w:p w14:paraId="0801DC11" w14:textId="5F1855ED" w:rsidR="00A3178E" w:rsidRDefault="00E33088" w:rsidP="00F31A38">
      <w:pPr>
        <w:spacing w:after="120" w:line="276" w:lineRule="auto"/>
        <w:jc w:val="both"/>
        <w:rPr>
          <w:rFonts w:ascii="Arial" w:eastAsia="Calibri" w:hAnsi="Arial" w:cs="Arial"/>
        </w:rPr>
      </w:pPr>
      <w:r w:rsidRPr="001F5209">
        <w:rPr>
          <w:rFonts w:ascii="Arial" w:eastAsia="Calibri" w:hAnsi="Arial" w:cs="Arial"/>
        </w:rPr>
        <w:lastRenderedPageBreak/>
        <w:t xml:space="preserve">Conforme a lo expuesto, la </w:t>
      </w:r>
      <w:r w:rsidR="000B3C91" w:rsidRPr="001F5209">
        <w:rPr>
          <w:rFonts w:ascii="Arial" w:eastAsia="Calibri" w:hAnsi="Arial" w:cs="Arial"/>
        </w:rPr>
        <w:t>«</w:t>
      </w:r>
      <w:r w:rsidRPr="001F5209">
        <w:rPr>
          <w:rFonts w:ascii="Arial" w:eastAsia="Calibri" w:hAnsi="Arial" w:cs="Arial"/>
        </w:rPr>
        <w:t>Matriz Experiencia – Sector recreación, cultura y deporte</w:t>
      </w:r>
      <w:r w:rsidR="000B3C91" w:rsidRPr="001F5209">
        <w:rPr>
          <w:rFonts w:ascii="Arial" w:eastAsia="Calibri" w:hAnsi="Arial" w:cs="Arial"/>
        </w:rPr>
        <w:t>»</w:t>
      </w:r>
      <w:r w:rsidRPr="001F5209">
        <w:rPr>
          <w:rFonts w:ascii="Arial" w:eastAsia="Calibri" w:hAnsi="Arial" w:cs="Arial"/>
        </w:rPr>
        <w:t xml:space="preserve"> adoptada por la Resolución No. 454 de 2021 </w:t>
      </w:r>
      <w:r w:rsidR="00D70C3E">
        <w:rPr>
          <w:rFonts w:ascii="Arial" w:eastAsia="Calibri" w:hAnsi="Arial" w:cs="Arial"/>
        </w:rPr>
        <w:t>contempla</w:t>
      </w:r>
      <w:r w:rsidR="00A3178E" w:rsidRPr="001F5209">
        <w:rPr>
          <w:rFonts w:ascii="Arial" w:eastAsia="Calibri" w:hAnsi="Arial" w:cs="Arial"/>
        </w:rPr>
        <w:t xml:space="preserve"> en su numeral 2.5 la actividad «</w:t>
      </w:r>
      <w:r w:rsidR="00831317" w:rsidRPr="00F31A38">
        <w:rPr>
          <w:rFonts w:ascii="Arial" w:eastAsia="Calibri" w:hAnsi="Arial" w:cs="Arial"/>
        </w:rPr>
        <w:t>PROYECTOS DE CONSTRUCCIÓN Y/O MEJORAMIENTO Y/O REHABILITACIÓN Y/O MANTENIMIENTO Y/O ADECUACIÓN Y/O AMPLIACIÓN Y/O INTERVENCIÓN DE CANCHAS DEPORTIVAS</w:t>
      </w:r>
      <w:r w:rsidR="00A3178E" w:rsidRPr="00F31A38">
        <w:rPr>
          <w:rFonts w:ascii="Arial" w:eastAsia="Calibri" w:hAnsi="Arial" w:cs="Arial"/>
        </w:rPr>
        <w:t>»</w:t>
      </w:r>
      <w:r w:rsidR="00A3178E" w:rsidRPr="001F5209">
        <w:rPr>
          <w:rFonts w:ascii="Arial" w:eastAsia="Calibri" w:hAnsi="Arial" w:cs="Arial"/>
        </w:rPr>
        <w:t xml:space="preserve">. Para esta actividad </w:t>
      </w:r>
      <w:r w:rsidR="009A5DF5" w:rsidRPr="001F5209">
        <w:rPr>
          <w:rFonts w:ascii="Arial" w:eastAsia="Calibri" w:hAnsi="Arial" w:cs="Arial"/>
        </w:rPr>
        <w:t xml:space="preserve">se </w:t>
      </w:r>
      <w:r w:rsidR="00D70C3E">
        <w:rPr>
          <w:rFonts w:ascii="Arial" w:eastAsia="Calibri" w:hAnsi="Arial" w:cs="Arial"/>
        </w:rPr>
        <w:t>estandarizó</w:t>
      </w:r>
      <w:r w:rsidR="009A5DF5" w:rsidRPr="001F5209">
        <w:rPr>
          <w:rFonts w:ascii="Arial" w:eastAsia="Calibri" w:hAnsi="Arial" w:cs="Arial"/>
        </w:rPr>
        <w:t xml:space="preserve"> un requisito de experiencia</w:t>
      </w:r>
      <w:r w:rsidR="00D70C3E">
        <w:rPr>
          <w:rFonts w:ascii="Arial" w:eastAsia="Calibri" w:hAnsi="Arial" w:cs="Arial"/>
        </w:rPr>
        <w:t xml:space="preserve"> general</w:t>
      </w:r>
      <w:r w:rsidR="009A5DF5" w:rsidRPr="001F5209">
        <w:rPr>
          <w:rFonts w:ascii="Arial" w:eastAsia="Calibri" w:hAnsi="Arial" w:cs="Arial"/>
        </w:rPr>
        <w:t xml:space="preserve"> con</w:t>
      </w:r>
      <w:r w:rsidR="001F5209" w:rsidRPr="001F5209">
        <w:rPr>
          <w:rFonts w:ascii="Arial" w:eastAsia="Calibri" w:hAnsi="Arial" w:cs="Arial"/>
        </w:rPr>
        <w:t>formado por</w:t>
      </w:r>
      <w:r w:rsidR="009A5DF5" w:rsidRPr="001F5209">
        <w:rPr>
          <w:rFonts w:ascii="Arial" w:eastAsia="Calibri" w:hAnsi="Arial" w:cs="Arial"/>
        </w:rPr>
        <w:t xml:space="preserve"> dos componentes alternativos</w:t>
      </w:r>
      <w:r w:rsidR="009E7189" w:rsidRPr="001F5209">
        <w:rPr>
          <w:rFonts w:ascii="Arial" w:eastAsia="Calibri" w:hAnsi="Arial" w:cs="Arial"/>
        </w:rPr>
        <w:t>, el primero de los cuales se refiere a «CONSTRUCCIÓN Y/O MEJORAMIENTO Y/O REHABILITACIÓN Y/O MANTENIMIENTO Y/O ADECUACIÓN Y/O AMPLIACIÓN DE PARQUES Y/O CANCHAS DEPORTIVAS Y/O ESCENARIOS DEPORTIVOS». El segundo componente</w:t>
      </w:r>
      <w:r w:rsidR="000B3C91" w:rsidRPr="001F5209">
        <w:rPr>
          <w:rFonts w:ascii="Arial" w:eastAsia="Calibri" w:hAnsi="Arial" w:cs="Arial"/>
        </w:rPr>
        <w:t xml:space="preserve"> está descrito al siguiente tenor:</w:t>
      </w:r>
      <w:r w:rsidR="001F5209" w:rsidRPr="001F5209">
        <w:rPr>
          <w:rFonts w:ascii="Arial" w:eastAsia="Calibri" w:hAnsi="Arial" w:cs="Arial"/>
        </w:rPr>
        <w:t xml:space="preserve"> </w:t>
      </w:r>
      <w:r w:rsidR="000B3C91" w:rsidRPr="001F5209">
        <w:rPr>
          <w:rFonts w:ascii="Arial" w:eastAsia="Calibri" w:hAnsi="Arial" w:cs="Arial"/>
        </w:rPr>
        <w:t>«</w:t>
      </w:r>
      <w:r w:rsidR="009E7189" w:rsidRPr="001F5209">
        <w:rPr>
          <w:rFonts w:ascii="Arial" w:eastAsia="Calibri" w:hAnsi="Arial" w:cs="Arial"/>
        </w:rPr>
        <w:t>CONSTRUCCIÓN Y/O MEJORAMIENTO Y/O REHABILITACIÓN Y/O MANTENIMIENTO Y/O ADECUACIÓN Y/O AMPLIACIÓN DE ESPACIO PÚBLICO</w:t>
      </w:r>
      <w:r w:rsidR="000B3C91" w:rsidRPr="001F5209">
        <w:rPr>
          <w:rFonts w:ascii="Arial" w:eastAsia="Calibri" w:hAnsi="Arial" w:cs="Arial"/>
        </w:rPr>
        <w:t xml:space="preserve">». </w:t>
      </w:r>
    </w:p>
    <w:p w14:paraId="5C294CC2" w14:textId="74198ABF" w:rsidR="005B771E" w:rsidRPr="00F31A38" w:rsidRDefault="005B771E" w:rsidP="009E7189">
      <w:pPr>
        <w:spacing w:after="0" w:line="276" w:lineRule="auto"/>
        <w:jc w:val="both"/>
        <w:rPr>
          <w:rFonts w:ascii="Arial" w:eastAsia="Calibri" w:hAnsi="Arial" w:cs="Arial"/>
        </w:rPr>
      </w:pPr>
      <w:r>
        <w:rPr>
          <w:rFonts w:ascii="Arial" w:eastAsia="Calibri" w:hAnsi="Arial" w:cs="Arial"/>
        </w:rPr>
        <w:tab/>
      </w:r>
      <w:r w:rsidR="004420C7">
        <w:rPr>
          <w:rFonts w:ascii="Arial" w:eastAsia="Calibri" w:hAnsi="Arial" w:cs="Arial"/>
        </w:rPr>
        <w:t>No obstante</w:t>
      </w:r>
      <w:r>
        <w:rPr>
          <w:rFonts w:ascii="Arial" w:eastAsia="Calibri" w:hAnsi="Arial" w:cs="Arial"/>
        </w:rPr>
        <w:t xml:space="preserve">, según se desprende de lo señalado en la </w:t>
      </w:r>
      <w:r w:rsidR="007B4B8B">
        <w:rPr>
          <w:rFonts w:ascii="Arial" w:eastAsia="Calibri" w:hAnsi="Arial" w:cs="Arial"/>
        </w:rPr>
        <w:t>referida matriz</w:t>
      </w:r>
      <w:r w:rsidR="00142382">
        <w:rPr>
          <w:rFonts w:ascii="Arial" w:eastAsia="Calibri" w:hAnsi="Arial" w:cs="Arial"/>
        </w:rPr>
        <w:t>, para el cumplimiento de este requisito de experiencia general</w:t>
      </w:r>
      <w:r w:rsidR="005B12ED">
        <w:rPr>
          <w:rFonts w:ascii="Arial" w:eastAsia="Calibri" w:hAnsi="Arial" w:cs="Arial"/>
        </w:rPr>
        <w:t xml:space="preserve"> basta con que los contratos presentados acrediten actividades </w:t>
      </w:r>
      <w:r w:rsidR="002D2456">
        <w:rPr>
          <w:rFonts w:ascii="Arial" w:eastAsia="Calibri" w:hAnsi="Arial" w:cs="Arial"/>
        </w:rPr>
        <w:t>que se encuadren en al menos uno de los mencionados componentes. En ese sentido, para determinar si un contrato cumple con este requisito</w:t>
      </w:r>
      <w:r w:rsidR="008C163B">
        <w:rPr>
          <w:rFonts w:ascii="Arial" w:eastAsia="Calibri" w:hAnsi="Arial" w:cs="Arial"/>
        </w:rPr>
        <w:t xml:space="preserve"> debe verificarse que </w:t>
      </w:r>
      <w:r w:rsidR="00245B0E">
        <w:rPr>
          <w:rFonts w:ascii="Arial" w:eastAsia="Calibri" w:hAnsi="Arial" w:cs="Arial"/>
        </w:rPr>
        <w:t xml:space="preserve">en desarrollo </w:t>
      </w:r>
      <w:r w:rsidR="00AA01C6">
        <w:rPr>
          <w:rFonts w:ascii="Arial" w:eastAsia="Calibri" w:hAnsi="Arial" w:cs="Arial"/>
        </w:rPr>
        <w:t>de este</w:t>
      </w:r>
      <w:r w:rsidR="00245B0E">
        <w:rPr>
          <w:rFonts w:ascii="Arial" w:eastAsia="Calibri" w:hAnsi="Arial" w:cs="Arial"/>
        </w:rPr>
        <w:t xml:space="preserve"> se</w:t>
      </w:r>
      <w:r w:rsidR="008C163B">
        <w:rPr>
          <w:rFonts w:ascii="Arial" w:eastAsia="Calibri" w:hAnsi="Arial" w:cs="Arial"/>
        </w:rPr>
        <w:t xml:space="preserve"> realizaron actividades de construcción, mejoramiento, rehabilitación, mantenimiento</w:t>
      </w:r>
      <w:r w:rsidR="00D94685">
        <w:rPr>
          <w:rFonts w:ascii="Arial" w:eastAsia="Calibri" w:hAnsi="Arial" w:cs="Arial"/>
        </w:rPr>
        <w:t xml:space="preserve">, adecuación </w:t>
      </w:r>
      <w:r w:rsidR="00245B0E">
        <w:rPr>
          <w:rFonts w:ascii="Arial" w:eastAsia="Calibri" w:hAnsi="Arial" w:cs="Arial"/>
        </w:rPr>
        <w:t>y/</w:t>
      </w:r>
      <w:r w:rsidR="00D94685">
        <w:rPr>
          <w:rFonts w:ascii="Arial" w:eastAsia="Calibri" w:hAnsi="Arial" w:cs="Arial"/>
        </w:rPr>
        <w:t xml:space="preserve">o ampliación en parques, canchas o escenarios deportivos, o en su defecto, que se ejecutaron </w:t>
      </w:r>
      <w:r w:rsidR="009121D5">
        <w:rPr>
          <w:rFonts w:ascii="Arial" w:eastAsia="Calibri" w:hAnsi="Arial" w:cs="Arial"/>
        </w:rPr>
        <w:t>actividades tendientes a la construcción, mejoramiento, rehabilitación</w:t>
      </w:r>
      <w:r w:rsidR="00845747">
        <w:rPr>
          <w:rFonts w:ascii="Arial" w:eastAsia="Calibri" w:hAnsi="Arial" w:cs="Arial"/>
        </w:rPr>
        <w:t xml:space="preserve">, mantenimiento, adecuación </w:t>
      </w:r>
      <w:r w:rsidR="00245B0E">
        <w:rPr>
          <w:rFonts w:ascii="Arial" w:eastAsia="Calibri" w:hAnsi="Arial" w:cs="Arial"/>
        </w:rPr>
        <w:t>y/o</w:t>
      </w:r>
      <w:r w:rsidR="00845747">
        <w:rPr>
          <w:rFonts w:ascii="Arial" w:eastAsia="Calibri" w:hAnsi="Arial" w:cs="Arial"/>
        </w:rPr>
        <w:t xml:space="preserve"> ampliación de espacio público.</w:t>
      </w:r>
      <w:r w:rsidR="004420C7">
        <w:rPr>
          <w:rFonts w:ascii="Arial" w:eastAsia="Calibri" w:hAnsi="Arial" w:cs="Arial"/>
        </w:rPr>
        <w:t xml:space="preserve"> Lo anterior sin perjuicio de que se present</w:t>
      </w:r>
      <w:r w:rsidR="00460515">
        <w:rPr>
          <w:rFonts w:ascii="Arial" w:eastAsia="Calibri" w:hAnsi="Arial" w:cs="Arial"/>
        </w:rPr>
        <w:t>en contratos que se enmarquen en ambos componentes, los cuales también cumplirían el requisito</w:t>
      </w:r>
      <w:r w:rsidR="00AA01C6">
        <w:rPr>
          <w:rFonts w:ascii="Arial" w:eastAsia="Calibri" w:hAnsi="Arial" w:cs="Arial"/>
        </w:rPr>
        <w:t>.</w:t>
      </w:r>
      <w:r w:rsidR="00845747">
        <w:rPr>
          <w:rFonts w:ascii="Arial" w:eastAsia="Calibri" w:hAnsi="Arial" w:cs="Arial"/>
        </w:rPr>
        <w:t xml:space="preserve"> </w:t>
      </w:r>
      <w:r w:rsidR="00142382">
        <w:rPr>
          <w:rFonts w:ascii="Arial" w:eastAsia="Calibri" w:hAnsi="Arial" w:cs="Arial"/>
        </w:rPr>
        <w:t xml:space="preserve"> </w:t>
      </w:r>
    </w:p>
    <w:p w14:paraId="22323574" w14:textId="77777777" w:rsidR="00C97D05" w:rsidRDefault="00C97D05" w:rsidP="00F31A38">
      <w:pPr>
        <w:spacing w:after="0" w:line="240" w:lineRule="auto"/>
        <w:jc w:val="both"/>
        <w:rPr>
          <w:rFonts w:ascii="Arial" w:eastAsia="Arial" w:hAnsi="Arial" w:cs="Arial"/>
          <w:lang w:val="es-ES_tradnl" w:eastAsia="es-ES_tradnl"/>
        </w:rPr>
      </w:pPr>
    </w:p>
    <w:p w14:paraId="0C4A1BBD" w14:textId="44FFBE3E" w:rsidR="00BF736F" w:rsidRDefault="00BF736F" w:rsidP="00F31A38">
      <w:pPr>
        <w:spacing w:after="0" w:line="276" w:lineRule="auto"/>
        <w:jc w:val="both"/>
        <w:rPr>
          <w:rFonts w:ascii="Arial" w:eastAsia="Arial" w:hAnsi="Arial" w:cs="Arial"/>
          <w:lang w:val="es-ES_tradnl" w:eastAsia="es-ES_tradnl"/>
        </w:rPr>
      </w:pPr>
      <w:r w:rsidRPr="00BF736F">
        <w:rPr>
          <w:rFonts w:ascii="Arial" w:eastAsia="Arial" w:hAnsi="Arial" w:cs="Arial"/>
          <w:lang w:val="es-ES_tradnl" w:eastAsia="es-ES_tradnl"/>
        </w:rPr>
        <w:t>Este concepto tiene el alcance previsto en el artículo 28 del Código de Procedimiento Administrativo y de lo Contencioso Administrativo.</w:t>
      </w:r>
    </w:p>
    <w:p w14:paraId="6622672B" w14:textId="77777777" w:rsidR="00BF736F" w:rsidRPr="00BF736F" w:rsidRDefault="00BF736F" w:rsidP="00F31A38">
      <w:pPr>
        <w:spacing w:after="0" w:line="276" w:lineRule="auto"/>
        <w:jc w:val="both"/>
        <w:rPr>
          <w:rFonts w:ascii="Arial" w:eastAsia="Arial" w:hAnsi="Arial" w:cs="Arial"/>
          <w:lang w:val="es-ES_tradnl" w:eastAsia="es-ES_tradnl"/>
        </w:rPr>
      </w:pPr>
    </w:p>
    <w:p w14:paraId="1216DDFB" w14:textId="77777777" w:rsidR="00BF736F" w:rsidRPr="00BF736F" w:rsidRDefault="00BF736F" w:rsidP="00BF736F">
      <w:pPr>
        <w:spacing w:after="200" w:line="276" w:lineRule="auto"/>
        <w:jc w:val="both"/>
        <w:rPr>
          <w:rFonts w:ascii="Arial" w:eastAsia="Arial" w:hAnsi="Arial" w:cs="Arial"/>
          <w:lang w:val="es-ES_tradnl" w:eastAsia="es-ES_tradnl"/>
        </w:rPr>
      </w:pPr>
      <w:r w:rsidRPr="00BF736F">
        <w:rPr>
          <w:rFonts w:ascii="Arial" w:eastAsia="Arial" w:hAnsi="Arial" w:cs="Arial"/>
          <w:lang w:val="es-ES_tradnl" w:eastAsia="es-ES_tradnl"/>
        </w:rPr>
        <w:t>Atentamente,</w:t>
      </w:r>
    </w:p>
    <w:p w14:paraId="21E785A1" w14:textId="2F1FBFFE" w:rsidR="00DF4A30" w:rsidRDefault="00DD083E" w:rsidP="008057AD">
      <w:pPr>
        <w:jc w:val="center"/>
        <w:rPr>
          <w:rFonts w:ascii="Arial" w:hAnsi="Arial" w:cs="Arial"/>
          <w:lang w:val="es-MX"/>
        </w:rPr>
      </w:pPr>
      <w:r>
        <w:rPr>
          <w:rFonts w:ascii="Arial" w:hAnsi="Arial" w:cs="Arial"/>
          <w:noProof/>
          <w:color w:val="1A1A1A" w:themeColor="background1" w:themeShade="1A"/>
          <w:lang w:eastAsia="es-CO"/>
        </w:rPr>
        <w:drawing>
          <wp:inline distT="0" distB="0" distL="0" distR="0" wp14:anchorId="70153D00" wp14:editId="79D21F02">
            <wp:extent cx="2533650" cy="981075"/>
            <wp:effectExtent l="0" t="0" r="0" b="9525"/>
            <wp:docPr id="2" name="Imagen 2"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 Carta&#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33650" cy="981075"/>
                    </a:xfrm>
                    <a:prstGeom prst="rect">
                      <a:avLst/>
                    </a:prstGeom>
                    <a:noFill/>
                    <a:ln>
                      <a:noFill/>
                    </a:ln>
                  </pic:spPr>
                </pic:pic>
              </a:graphicData>
            </a:graphic>
          </wp:inline>
        </w:drawing>
      </w:r>
    </w:p>
    <w:p w14:paraId="3A28A183" w14:textId="43C8F68E" w:rsidR="00AA1771" w:rsidRDefault="00AA1771" w:rsidP="00B87BBF">
      <w:pPr>
        <w:jc w:val="both"/>
        <w:rPr>
          <w:rFonts w:ascii="Arial" w:hAnsi="Arial" w:cs="Arial"/>
          <w:lang w:val="es-MX"/>
        </w:rPr>
      </w:pPr>
    </w:p>
    <w:p w14:paraId="293A79FA" w14:textId="77777777" w:rsidR="00AA1771" w:rsidRPr="00920432" w:rsidRDefault="00AA1771" w:rsidP="00AA1771">
      <w:pPr>
        <w:spacing w:after="0" w:line="276" w:lineRule="auto"/>
        <w:jc w:val="center"/>
        <w:textAlignment w:val="baseline"/>
        <w:rPr>
          <w:rFonts w:ascii="Segoe UI" w:eastAsia="Times New Roman" w:hAnsi="Segoe UI" w:cs="Segoe UI"/>
          <w:sz w:val="18"/>
          <w:szCs w:val="18"/>
          <w:lang w:eastAsia="es-CO"/>
        </w:rPr>
      </w:pPr>
      <w:r w:rsidRPr="00920432">
        <w:rPr>
          <w:rFonts w:ascii="Arial" w:eastAsia="Times New Roman" w:hAnsi="Arial" w:cs="Arial"/>
          <w:sz w:val="18"/>
          <w:szCs w:val="18"/>
          <w:lang w:eastAsia="es-CO"/>
        </w:rPr>
        <w:t> </w:t>
      </w: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4410"/>
      </w:tblGrid>
      <w:tr w:rsidR="00AA1771" w:rsidRPr="00920432" w14:paraId="486BE720" w14:textId="77777777" w:rsidTr="006D4880">
        <w:trPr>
          <w:trHeight w:val="315"/>
        </w:trPr>
        <w:tc>
          <w:tcPr>
            <w:tcW w:w="810" w:type="dxa"/>
            <w:tcBorders>
              <w:top w:val="nil"/>
              <w:left w:val="nil"/>
              <w:bottom w:val="nil"/>
              <w:right w:val="nil"/>
            </w:tcBorders>
            <w:shd w:val="clear" w:color="auto" w:fill="auto"/>
            <w:vAlign w:val="center"/>
            <w:hideMark/>
          </w:tcPr>
          <w:p w14:paraId="436630AE" w14:textId="77777777" w:rsidR="00AA1771" w:rsidRPr="00920432" w:rsidRDefault="00AA1771" w:rsidP="006D4880">
            <w:pPr>
              <w:spacing w:after="0" w:line="276" w:lineRule="auto"/>
              <w:textAlignment w:val="baseline"/>
              <w:rPr>
                <w:rFonts w:ascii="Segoe UI" w:eastAsia="Times New Roman" w:hAnsi="Segoe UI" w:cs="Segoe UI"/>
                <w:sz w:val="18"/>
                <w:szCs w:val="18"/>
                <w:lang w:eastAsia="es-CO"/>
              </w:rPr>
            </w:pPr>
            <w:r w:rsidRPr="00920432">
              <w:rPr>
                <w:rFonts w:ascii="Arial" w:eastAsia="Times New Roman" w:hAnsi="Arial" w:cs="Arial"/>
                <w:sz w:val="16"/>
                <w:szCs w:val="16"/>
                <w:lang w:val="es-MX" w:eastAsia="es-CO"/>
              </w:rPr>
              <w:t>Elaboró:</w:t>
            </w:r>
            <w:r w:rsidRPr="00920432">
              <w:rPr>
                <w:rFonts w:ascii="Arial" w:eastAsia="Times New Roman" w:hAnsi="Arial" w:cs="Arial"/>
                <w:sz w:val="16"/>
                <w:szCs w:val="16"/>
                <w:lang w:eastAsia="es-CO"/>
              </w:rPr>
              <w:t>   </w:t>
            </w:r>
          </w:p>
        </w:tc>
        <w:tc>
          <w:tcPr>
            <w:tcW w:w="4410" w:type="dxa"/>
            <w:tcBorders>
              <w:top w:val="nil"/>
              <w:left w:val="nil"/>
              <w:bottom w:val="dotted" w:sz="6" w:space="0" w:color="7F7F7F"/>
              <w:right w:val="nil"/>
            </w:tcBorders>
            <w:shd w:val="clear" w:color="auto" w:fill="auto"/>
            <w:vAlign w:val="center"/>
            <w:hideMark/>
          </w:tcPr>
          <w:p w14:paraId="42665A47" w14:textId="77777777" w:rsidR="00AA1771" w:rsidRDefault="00AA1771" w:rsidP="006D4880">
            <w:pPr>
              <w:spacing w:after="0" w:line="240" w:lineRule="auto"/>
              <w:textAlignment w:val="baseline"/>
              <w:rPr>
                <w:rFonts w:ascii="Arial" w:eastAsia="Times New Roman" w:hAnsi="Arial" w:cs="Arial"/>
                <w:sz w:val="24"/>
                <w:szCs w:val="24"/>
                <w:lang w:eastAsia="es-CO"/>
              </w:rPr>
            </w:pPr>
            <w:r>
              <w:rPr>
                <w:rFonts w:ascii="Arial" w:eastAsia="Times New Roman" w:hAnsi="Arial" w:cs="Arial"/>
                <w:sz w:val="16"/>
                <w:szCs w:val="16"/>
                <w:lang w:val="es-MX" w:eastAsia="es-CO"/>
              </w:rPr>
              <w:t>Edwin Johan Chocontá Quintero</w:t>
            </w:r>
          </w:p>
          <w:p w14:paraId="6BA2322D" w14:textId="77777777" w:rsidR="00AA1771" w:rsidRPr="00920432" w:rsidRDefault="00AA1771" w:rsidP="006D4880">
            <w:pPr>
              <w:spacing w:after="0" w:line="276" w:lineRule="auto"/>
              <w:textAlignment w:val="baseline"/>
              <w:rPr>
                <w:rFonts w:ascii="Arial" w:eastAsia="Times New Roman" w:hAnsi="Arial" w:cs="Arial"/>
                <w:sz w:val="16"/>
                <w:szCs w:val="16"/>
                <w:lang w:val="es-MX" w:eastAsia="es-CO"/>
              </w:rPr>
            </w:pPr>
            <w:r w:rsidRPr="00E61623">
              <w:rPr>
                <w:rFonts w:ascii="Arial" w:eastAsia="Times New Roman" w:hAnsi="Arial" w:cs="Arial"/>
                <w:sz w:val="16"/>
                <w:szCs w:val="16"/>
                <w:lang w:val="es-MX" w:eastAsia="es-CO"/>
              </w:rPr>
              <w:t>Analista T2 – 0</w:t>
            </w:r>
            <w:r>
              <w:rPr>
                <w:rFonts w:ascii="Arial" w:eastAsia="Times New Roman" w:hAnsi="Arial" w:cs="Arial"/>
                <w:sz w:val="16"/>
                <w:szCs w:val="16"/>
                <w:lang w:val="es-MX" w:eastAsia="es-CO"/>
              </w:rPr>
              <w:t>2</w:t>
            </w:r>
            <w:r w:rsidRPr="00E61623">
              <w:rPr>
                <w:rFonts w:ascii="Arial" w:eastAsia="Times New Roman" w:hAnsi="Arial" w:cs="Arial"/>
                <w:sz w:val="16"/>
                <w:szCs w:val="16"/>
                <w:lang w:val="es-MX" w:eastAsia="es-CO"/>
              </w:rPr>
              <w:t xml:space="preserve"> de la </w:t>
            </w:r>
            <w:r w:rsidRPr="00E61623">
              <w:rPr>
                <w:rFonts w:ascii="Arial" w:eastAsia="Times New Roman" w:hAnsi="Arial" w:cs="Arial"/>
                <w:sz w:val="16"/>
                <w:szCs w:val="16"/>
                <w:lang w:eastAsia="es-CO"/>
              </w:rPr>
              <w:t>Subdirección de Gestión Contractual</w:t>
            </w:r>
          </w:p>
        </w:tc>
      </w:tr>
      <w:tr w:rsidR="00AA1771" w:rsidRPr="00920432" w14:paraId="3D33A89E" w14:textId="77777777" w:rsidTr="006D4880">
        <w:trPr>
          <w:trHeight w:val="315"/>
        </w:trPr>
        <w:tc>
          <w:tcPr>
            <w:tcW w:w="810" w:type="dxa"/>
            <w:tcBorders>
              <w:top w:val="nil"/>
              <w:left w:val="nil"/>
              <w:bottom w:val="nil"/>
              <w:right w:val="nil"/>
            </w:tcBorders>
            <w:shd w:val="clear" w:color="auto" w:fill="auto"/>
            <w:vAlign w:val="center"/>
            <w:hideMark/>
          </w:tcPr>
          <w:p w14:paraId="6E8E9D59" w14:textId="77777777" w:rsidR="00AA1771" w:rsidRPr="00920432" w:rsidRDefault="00AA1771" w:rsidP="006D4880">
            <w:pPr>
              <w:spacing w:after="0" w:line="276" w:lineRule="auto"/>
              <w:textAlignment w:val="baseline"/>
              <w:rPr>
                <w:rFonts w:ascii="Segoe UI" w:eastAsia="Times New Roman" w:hAnsi="Segoe UI" w:cs="Segoe UI"/>
                <w:sz w:val="18"/>
                <w:szCs w:val="18"/>
                <w:lang w:eastAsia="es-CO"/>
              </w:rPr>
            </w:pPr>
            <w:r w:rsidRPr="00920432">
              <w:rPr>
                <w:rFonts w:ascii="Arial" w:eastAsia="Times New Roman" w:hAnsi="Arial" w:cs="Arial"/>
                <w:sz w:val="16"/>
                <w:szCs w:val="16"/>
                <w:lang w:val="es-MX" w:eastAsia="es-CO"/>
              </w:rPr>
              <w:t>Revisó:</w:t>
            </w:r>
            <w:r w:rsidRPr="00920432">
              <w:rPr>
                <w:rFonts w:ascii="Arial" w:eastAsia="Times New Roman" w:hAnsi="Arial" w:cs="Arial"/>
                <w:sz w:val="16"/>
                <w:szCs w:val="16"/>
                <w:lang w:eastAsia="es-CO"/>
              </w:rPr>
              <w:t>   </w:t>
            </w:r>
          </w:p>
        </w:tc>
        <w:tc>
          <w:tcPr>
            <w:tcW w:w="4410" w:type="dxa"/>
            <w:tcBorders>
              <w:top w:val="dotted" w:sz="6" w:space="0" w:color="7F7F7F"/>
              <w:left w:val="nil"/>
              <w:bottom w:val="dotted" w:sz="6" w:space="0" w:color="7F7F7F"/>
              <w:right w:val="nil"/>
            </w:tcBorders>
            <w:shd w:val="clear" w:color="auto" w:fill="auto"/>
            <w:vAlign w:val="center"/>
            <w:hideMark/>
          </w:tcPr>
          <w:p w14:paraId="1EB577A0" w14:textId="77777777" w:rsidR="00E43AAD" w:rsidRDefault="00E43AAD" w:rsidP="006D4880">
            <w:pPr>
              <w:spacing w:after="0" w:line="276" w:lineRule="auto"/>
              <w:textAlignment w:val="baseline"/>
              <w:rPr>
                <w:rStyle w:val="normaltextrun"/>
                <w:rFonts w:ascii="Arial" w:hAnsi="Arial" w:cs="Arial"/>
                <w:color w:val="000000"/>
                <w:sz w:val="16"/>
                <w:szCs w:val="16"/>
                <w:bdr w:val="none" w:sz="0" w:space="0" w:color="auto" w:frame="1"/>
                <w:lang w:val="es-ES"/>
              </w:rPr>
            </w:pPr>
            <w:r>
              <w:rPr>
                <w:rStyle w:val="normaltextrun"/>
                <w:rFonts w:ascii="Arial" w:hAnsi="Arial" w:cs="Arial"/>
                <w:color w:val="000000"/>
                <w:sz w:val="16"/>
                <w:szCs w:val="16"/>
                <w:bdr w:val="none" w:sz="0" w:space="0" w:color="auto" w:frame="1"/>
                <w:lang w:val="es-ES"/>
              </w:rPr>
              <w:t>Alejandro Sarmiento Cantillo</w:t>
            </w:r>
          </w:p>
          <w:p w14:paraId="1783FAA7" w14:textId="7F8FBE8F" w:rsidR="00AA1771" w:rsidRPr="00920432" w:rsidRDefault="00AA1771" w:rsidP="006D4880">
            <w:pPr>
              <w:spacing w:after="0" w:line="276" w:lineRule="auto"/>
              <w:textAlignment w:val="baseline"/>
              <w:rPr>
                <w:rFonts w:ascii="Segoe UI" w:eastAsia="Times New Roman" w:hAnsi="Segoe UI" w:cs="Segoe UI"/>
                <w:sz w:val="18"/>
                <w:szCs w:val="18"/>
                <w:lang w:eastAsia="es-CO"/>
              </w:rPr>
            </w:pPr>
            <w:r w:rsidRPr="00920432">
              <w:rPr>
                <w:rFonts w:ascii="Arial" w:eastAsia="Times New Roman" w:hAnsi="Arial" w:cs="Arial"/>
                <w:sz w:val="16"/>
                <w:szCs w:val="16"/>
                <w:lang w:val="es-MX" w:eastAsia="es-CO"/>
              </w:rPr>
              <w:t>Gestor T1 ‒ 1</w:t>
            </w:r>
            <w:r w:rsidR="00E57BEF">
              <w:rPr>
                <w:rFonts w:ascii="Arial" w:eastAsia="Times New Roman" w:hAnsi="Arial" w:cs="Arial"/>
                <w:sz w:val="16"/>
                <w:szCs w:val="16"/>
                <w:lang w:val="es-MX" w:eastAsia="es-CO"/>
              </w:rPr>
              <w:t>5</w:t>
            </w:r>
            <w:r w:rsidRPr="00920432">
              <w:rPr>
                <w:rFonts w:ascii="Arial" w:eastAsia="Times New Roman" w:hAnsi="Arial" w:cs="Arial"/>
                <w:sz w:val="16"/>
                <w:szCs w:val="16"/>
                <w:lang w:val="es-MX" w:eastAsia="es-CO"/>
              </w:rPr>
              <w:t> de la Subdirección de Gestión Contractual</w:t>
            </w:r>
            <w:r w:rsidRPr="00920432">
              <w:rPr>
                <w:rFonts w:ascii="Arial" w:eastAsia="Times New Roman" w:hAnsi="Arial" w:cs="Arial"/>
                <w:sz w:val="16"/>
                <w:szCs w:val="16"/>
                <w:lang w:eastAsia="es-CO"/>
              </w:rPr>
              <w:t>  </w:t>
            </w:r>
          </w:p>
        </w:tc>
      </w:tr>
      <w:tr w:rsidR="00AA1771" w:rsidRPr="00920432" w14:paraId="3AAC6334" w14:textId="77777777" w:rsidTr="006D4880">
        <w:trPr>
          <w:trHeight w:val="300"/>
        </w:trPr>
        <w:tc>
          <w:tcPr>
            <w:tcW w:w="810" w:type="dxa"/>
            <w:tcBorders>
              <w:top w:val="nil"/>
              <w:left w:val="nil"/>
              <w:bottom w:val="nil"/>
              <w:right w:val="nil"/>
            </w:tcBorders>
            <w:shd w:val="clear" w:color="auto" w:fill="auto"/>
            <w:vAlign w:val="center"/>
            <w:hideMark/>
          </w:tcPr>
          <w:p w14:paraId="01D887F9" w14:textId="77777777" w:rsidR="00AA1771" w:rsidRPr="00920432" w:rsidRDefault="00AA1771" w:rsidP="006D4880">
            <w:pPr>
              <w:spacing w:after="0" w:line="276" w:lineRule="auto"/>
              <w:textAlignment w:val="baseline"/>
              <w:rPr>
                <w:rFonts w:ascii="Segoe UI" w:eastAsia="Times New Roman" w:hAnsi="Segoe UI" w:cs="Segoe UI"/>
                <w:sz w:val="18"/>
                <w:szCs w:val="18"/>
                <w:lang w:eastAsia="es-CO"/>
              </w:rPr>
            </w:pPr>
            <w:r w:rsidRPr="00920432">
              <w:rPr>
                <w:rFonts w:ascii="Arial" w:eastAsia="Times New Roman" w:hAnsi="Arial" w:cs="Arial"/>
                <w:sz w:val="16"/>
                <w:szCs w:val="16"/>
                <w:lang w:val="es-MX" w:eastAsia="es-CO"/>
              </w:rPr>
              <w:t>Aprobó:</w:t>
            </w:r>
            <w:r w:rsidRPr="00920432">
              <w:rPr>
                <w:rFonts w:ascii="Arial" w:eastAsia="Times New Roman" w:hAnsi="Arial" w:cs="Arial"/>
                <w:sz w:val="16"/>
                <w:szCs w:val="16"/>
                <w:lang w:eastAsia="es-CO"/>
              </w:rPr>
              <w:t>   </w:t>
            </w:r>
          </w:p>
        </w:tc>
        <w:tc>
          <w:tcPr>
            <w:tcW w:w="4410" w:type="dxa"/>
            <w:tcBorders>
              <w:top w:val="dotted" w:sz="6" w:space="0" w:color="7F7F7F"/>
              <w:left w:val="nil"/>
              <w:bottom w:val="dotted" w:sz="6" w:space="0" w:color="7F7F7F"/>
              <w:right w:val="nil"/>
            </w:tcBorders>
            <w:shd w:val="clear" w:color="auto" w:fill="auto"/>
            <w:vAlign w:val="center"/>
            <w:hideMark/>
          </w:tcPr>
          <w:p w14:paraId="6E01386C" w14:textId="45B40E78" w:rsidR="008057AD" w:rsidRPr="008057AD" w:rsidRDefault="008057AD" w:rsidP="008057AD">
            <w:pPr>
              <w:spacing w:after="0" w:line="276" w:lineRule="auto"/>
              <w:textAlignment w:val="baseline"/>
              <w:rPr>
                <w:rFonts w:ascii="Arial" w:eastAsia="Times New Roman" w:hAnsi="Arial" w:cs="Arial"/>
                <w:sz w:val="16"/>
                <w:szCs w:val="16"/>
                <w:lang w:val="es-MX" w:eastAsia="es-CO"/>
              </w:rPr>
            </w:pPr>
            <w:r w:rsidRPr="008057AD">
              <w:rPr>
                <w:rFonts w:ascii="Arial" w:eastAsia="Times New Roman" w:hAnsi="Arial" w:cs="Arial"/>
                <w:sz w:val="16"/>
                <w:szCs w:val="16"/>
                <w:lang w:val="es-MX" w:eastAsia="es-CO"/>
              </w:rPr>
              <w:t xml:space="preserve">Juan David Marín López  </w:t>
            </w:r>
          </w:p>
          <w:p w14:paraId="7171ED60" w14:textId="3FDE7F45" w:rsidR="00AA1771" w:rsidRPr="00920432" w:rsidRDefault="008057AD" w:rsidP="008057AD">
            <w:pPr>
              <w:spacing w:after="0" w:line="276" w:lineRule="auto"/>
              <w:textAlignment w:val="baseline"/>
              <w:rPr>
                <w:rFonts w:ascii="Segoe UI" w:eastAsia="Times New Roman" w:hAnsi="Segoe UI" w:cs="Segoe UI"/>
                <w:sz w:val="18"/>
                <w:szCs w:val="18"/>
                <w:lang w:eastAsia="es-CO"/>
              </w:rPr>
            </w:pPr>
            <w:r w:rsidRPr="008057AD">
              <w:rPr>
                <w:rFonts w:ascii="Arial" w:eastAsia="Times New Roman" w:hAnsi="Arial" w:cs="Arial"/>
                <w:sz w:val="16"/>
                <w:szCs w:val="16"/>
                <w:lang w:val="es-MX" w:eastAsia="es-CO"/>
              </w:rPr>
              <w:t>Subdirector de Gestión Contractual de la ANCP – CCE (E)</w:t>
            </w:r>
          </w:p>
        </w:tc>
      </w:tr>
      <w:bookmarkEnd w:id="0"/>
    </w:tbl>
    <w:p w14:paraId="0FA788DF" w14:textId="77777777" w:rsidR="00AA1771" w:rsidRPr="00A830F3" w:rsidRDefault="00AA1771" w:rsidP="00B87BBF">
      <w:pPr>
        <w:jc w:val="both"/>
        <w:rPr>
          <w:rFonts w:ascii="Arial" w:hAnsi="Arial" w:cs="Arial"/>
          <w:lang w:val="es-MX"/>
        </w:rPr>
      </w:pPr>
    </w:p>
    <w:sectPr w:rsidR="00AA1771" w:rsidRPr="00A830F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9664B" w14:textId="77777777" w:rsidR="007C410B" w:rsidRDefault="007C410B" w:rsidP="00D23EB1">
      <w:pPr>
        <w:spacing w:after="0" w:line="240" w:lineRule="auto"/>
      </w:pPr>
      <w:r>
        <w:separator/>
      </w:r>
    </w:p>
  </w:endnote>
  <w:endnote w:type="continuationSeparator" w:id="0">
    <w:p w14:paraId="0F20B311" w14:textId="77777777" w:rsidR="007C410B" w:rsidRDefault="007C410B" w:rsidP="00D23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2B1DE" w14:textId="77777777" w:rsidR="007C410B" w:rsidRDefault="007C410B" w:rsidP="00D23EB1">
      <w:pPr>
        <w:spacing w:after="0" w:line="240" w:lineRule="auto"/>
      </w:pPr>
      <w:r>
        <w:separator/>
      </w:r>
    </w:p>
  </w:footnote>
  <w:footnote w:type="continuationSeparator" w:id="0">
    <w:p w14:paraId="40964F00" w14:textId="77777777" w:rsidR="007C410B" w:rsidRDefault="007C410B" w:rsidP="00D23EB1">
      <w:pPr>
        <w:spacing w:after="0" w:line="240" w:lineRule="auto"/>
      </w:pPr>
      <w:r>
        <w:continuationSeparator/>
      </w:r>
    </w:p>
  </w:footnote>
  <w:footnote w:id="1">
    <w:p w14:paraId="1ED42A3B" w14:textId="77777777" w:rsidR="00D23EB1" w:rsidRDefault="00D23EB1" w:rsidP="00C8048A">
      <w:pPr>
        <w:pStyle w:val="Textonotapie"/>
        <w:ind w:firstLine="709"/>
        <w:jc w:val="both"/>
        <w:rPr>
          <w:rFonts w:ascii="Arial" w:eastAsia="Calibri" w:hAnsi="Arial"/>
          <w:sz w:val="19"/>
          <w:szCs w:val="19"/>
        </w:rPr>
      </w:pPr>
      <w:r>
        <w:rPr>
          <w:rStyle w:val="Refdenotaalpie"/>
          <w:rFonts w:ascii="Arial" w:hAnsi="Arial"/>
          <w:sz w:val="19"/>
          <w:szCs w:val="19"/>
        </w:rPr>
        <w:footnoteRef/>
      </w:r>
      <w:r>
        <w:rPr>
          <w:rFonts w:ascii="Arial" w:hAnsi="Arial"/>
          <w:sz w:val="19"/>
          <w:szCs w:val="19"/>
        </w:rPr>
        <w:t xml:space="preserve"> </w:t>
      </w:r>
      <w:r>
        <w:rPr>
          <w:rFonts w:ascii="Arial" w:eastAsia="Times New Roman" w:hAnsi="Arial"/>
          <w:color w:val="000000"/>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footnote>
  <w:footnote w:id="2">
    <w:p w14:paraId="4C64E017" w14:textId="77777777" w:rsidR="00D23EB1" w:rsidRDefault="00D23EB1" w:rsidP="00C8048A">
      <w:pPr>
        <w:pStyle w:val="Textonotapie"/>
        <w:ind w:firstLine="708"/>
        <w:jc w:val="both"/>
        <w:rPr>
          <w:rFonts w:ascii="Arial" w:hAnsi="Arial"/>
          <w:sz w:val="19"/>
          <w:szCs w:val="19"/>
        </w:rPr>
      </w:pPr>
      <w:r>
        <w:rPr>
          <w:rStyle w:val="Refdenotaalpie"/>
          <w:rFonts w:ascii="Arial" w:hAnsi="Arial"/>
          <w:sz w:val="19"/>
          <w:szCs w:val="19"/>
        </w:rPr>
        <w:footnoteRef/>
      </w:r>
      <w:r>
        <w:rPr>
          <w:rFonts w:ascii="Arial" w:hAnsi="Arial"/>
          <w:sz w:val="19"/>
          <w:szCs w:val="19"/>
        </w:rPr>
        <w:t xml:space="preserve"> El artículo 1 de la Ley 2022 de 2020 modifica el artículo 4 de la Ley 1882 de 2018, el cual adicionó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4F5B735" w14:textId="77777777" w:rsidR="00D23EB1" w:rsidRDefault="00D23EB1" w:rsidP="00C8048A">
      <w:pPr>
        <w:pStyle w:val="Textonotapie"/>
        <w:ind w:firstLine="708"/>
        <w:jc w:val="both"/>
        <w:rPr>
          <w:rFonts w:ascii="Arial" w:hAnsi="Arial"/>
          <w:sz w:val="19"/>
          <w:szCs w:val="19"/>
        </w:rPr>
      </w:pPr>
      <w:r>
        <w:rPr>
          <w:rFonts w:ascii="Arial" w:hAnsi="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18258D3" w14:textId="77777777" w:rsidR="00D23EB1" w:rsidRDefault="00D23EB1" w:rsidP="00C8048A">
      <w:pPr>
        <w:pStyle w:val="Textonotapie"/>
        <w:ind w:firstLine="708"/>
        <w:jc w:val="both"/>
        <w:rPr>
          <w:rFonts w:ascii="Arial" w:hAnsi="Arial"/>
          <w:sz w:val="19"/>
          <w:szCs w:val="19"/>
        </w:rPr>
      </w:pPr>
      <w:r>
        <w:rPr>
          <w:rFonts w:ascii="Arial" w:hAnsi="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3096780F" w14:textId="77777777" w:rsidR="00D23EB1" w:rsidRDefault="00D23EB1" w:rsidP="00C8048A">
      <w:pPr>
        <w:pStyle w:val="Textonotapie"/>
        <w:ind w:firstLine="708"/>
        <w:jc w:val="both"/>
        <w:rPr>
          <w:rFonts w:ascii="Arial" w:hAnsi="Arial"/>
          <w:sz w:val="19"/>
          <w:szCs w:val="19"/>
        </w:rPr>
      </w:pPr>
      <w:r>
        <w:rPr>
          <w:rFonts w:ascii="Arial" w:hAnsi="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788B663" w14:textId="77777777" w:rsidR="00D23EB1" w:rsidRDefault="00D23EB1" w:rsidP="00C8048A">
      <w:pPr>
        <w:pStyle w:val="Textonotapie"/>
        <w:ind w:firstLine="708"/>
        <w:jc w:val="both"/>
        <w:rPr>
          <w:rFonts w:ascii="Arial" w:hAnsi="Arial"/>
          <w:sz w:val="19"/>
          <w:szCs w:val="19"/>
          <w:lang w:val="es-ES"/>
        </w:rPr>
      </w:pPr>
      <w:r>
        <w:rPr>
          <w:rFonts w:ascii="Arial" w:hAnsi="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
    <w:p w14:paraId="72C9ACC2" w14:textId="77777777" w:rsidR="00D23EB1" w:rsidRDefault="00D23EB1" w:rsidP="00C8048A">
      <w:pPr>
        <w:pStyle w:val="Textonotapie"/>
        <w:ind w:firstLine="708"/>
        <w:jc w:val="both"/>
        <w:rPr>
          <w:rFonts w:ascii="Arial" w:hAnsi="Arial"/>
          <w:sz w:val="19"/>
          <w:szCs w:val="19"/>
          <w:lang w:val="es-ES"/>
        </w:rPr>
      </w:pPr>
      <w:r>
        <w:rPr>
          <w:rStyle w:val="Refdenotaalpie"/>
          <w:rFonts w:ascii="Arial" w:hAnsi="Arial"/>
          <w:sz w:val="19"/>
          <w:szCs w:val="19"/>
        </w:rPr>
        <w:footnoteRef/>
      </w:r>
      <w:r>
        <w:rPr>
          <w:rFonts w:ascii="Arial" w:hAnsi="Arial"/>
          <w:sz w:val="19"/>
          <w:szCs w:val="19"/>
        </w:rPr>
        <w:t xml:space="preserve"> Código: CCE-EICP-GI-14. Versión 1</w:t>
      </w:r>
    </w:p>
  </w:footnote>
  <w:footnote w:id="4">
    <w:p w14:paraId="3DF5828A" w14:textId="77777777" w:rsidR="00D23EB1" w:rsidRDefault="00D23EB1" w:rsidP="00C8048A">
      <w:pPr>
        <w:pStyle w:val="Textonotapie"/>
        <w:ind w:firstLine="708"/>
        <w:jc w:val="both"/>
        <w:rPr>
          <w:rFonts w:ascii="Arial" w:hAnsi="Arial"/>
          <w:sz w:val="19"/>
          <w:szCs w:val="19"/>
          <w:lang w:val="es-CO"/>
        </w:rPr>
      </w:pPr>
      <w:r>
        <w:rPr>
          <w:rStyle w:val="Refdenotaalpie"/>
          <w:rFonts w:ascii="Arial" w:hAnsi="Arial"/>
          <w:sz w:val="19"/>
          <w:szCs w:val="19"/>
        </w:rPr>
        <w:footnoteRef/>
      </w:r>
      <w:r>
        <w:rPr>
          <w:rFonts w:ascii="Arial" w:hAnsi="Arial"/>
          <w:sz w:val="19"/>
          <w:szCs w:val="19"/>
        </w:rPr>
        <w:t xml:space="preserve"> Estos parámetros se encuentran dispuestos de forma gráfica en </w:t>
      </w:r>
      <w:r>
        <w:rPr>
          <w:rFonts w:ascii="Arial" w:hAnsi="Arial"/>
          <w:sz w:val="19"/>
          <w:szCs w:val="19"/>
          <w:lang w:val="es-CO"/>
        </w:rPr>
        <w:t xml:space="preserve">la segunda página “Interpretación de la matriz 1 – experiencia” de cada una de las Matrices de experiencia adoptadas mediante las </w:t>
      </w:r>
      <w:r>
        <w:rPr>
          <w:rFonts w:ascii="Arial" w:eastAsia="Times New Roman" w:hAnsi="Arial"/>
          <w:sz w:val="19"/>
          <w:szCs w:val="19"/>
          <w:lang w:val="es-ES" w:eastAsia="en-GB"/>
        </w:rPr>
        <w:t>Resoluciones Nos. 220, 392 y 454 del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129B1"/>
    <w:multiLevelType w:val="hybridMultilevel"/>
    <w:tmpl w:val="CB702642"/>
    <w:lvl w:ilvl="0" w:tplc="66622D94">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490A57F0"/>
    <w:multiLevelType w:val="hybridMultilevel"/>
    <w:tmpl w:val="57D4F846"/>
    <w:lvl w:ilvl="0" w:tplc="F82C5B0C">
      <w:start w:val="1"/>
      <w:numFmt w:val="bullet"/>
      <w:lvlText w:val="-"/>
      <w:lvlJc w:val="left"/>
      <w:pPr>
        <w:ind w:left="785" w:hanging="360"/>
      </w:pPr>
      <w:rPr>
        <w:rFonts w:ascii="Arial" w:eastAsia="Calibri" w:hAnsi="Arial" w:cs="Arial" w:hint="default"/>
      </w:rPr>
    </w:lvl>
    <w:lvl w:ilvl="1" w:tplc="240A0003">
      <w:start w:val="1"/>
      <w:numFmt w:val="bullet"/>
      <w:lvlText w:val="o"/>
      <w:lvlJc w:val="left"/>
      <w:pPr>
        <w:ind w:left="1505" w:hanging="360"/>
      </w:pPr>
      <w:rPr>
        <w:rFonts w:ascii="Courier New" w:hAnsi="Courier New" w:cs="Courier New" w:hint="default"/>
      </w:rPr>
    </w:lvl>
    <w:lvl w:ilvl="2" w:tplc="240A0005">
      <w:start w:val="1"/>
      <w:numFmt w:val="bullet"/>
      <w:lvlText w:val=""/>
      <w:lvlJc w:val="left"/>
      <w:pPr>
        <w:ind w:left="2225" w:hanging="360"/>
      </w:pPr>
      <w:rPr>
        <w:rFonts w:ascii="Wingdings" w:hAnsi="Wingdings" w:hint="default"/>
      </w:rPr>
    </w:lvl>
    <w:lvl w:ilvl="3" w:tplc="240A0001">
      <w:start w:val="1"/>
      <w:numFmt w:val="bullet"/>
      <w:lvlText w:val=""/>
      <w:lvlJc w:val="left"/>
      <w:pPr>
        <w:ind w:left="2945" w:hanging="360"/>
      </w:pPr>
      <w:rPr>
        <w:rFonts w:ascii="Symbol" w:hAnsi="Symbol" w:hint="default"/>
      </w:rPr>
    </w:lvl>
    <w:lvl w:ilvl="4" w:tplc="240A0003">
      <w:start w:val="1"/>
      <w:numFmt w:val="bullet"/>
      <w:lvlText w:val="o"/>
      <w:lvlJc w:val="left"/>
      <w:pPr>
        <w:ind w:left="3665" w:hanging="360"/>
      </w:pPr>
      <w:rPr>
        <w:rFonts w:ascii="Courier New" w:hAnsi="Courier New" w:cs="Courier New" w:hint="default"/>
      </w:rPr>
    </w:lvl>
    <w:lvl w:ilvl="5" w:tplc="240A0005">
      <w:start w:val="1"/>
      <w:numFmt w:val="bullet"/>
      <w:lvlText w:val=""/>
      <w:lvlJc w:val="left"/>
      <w:pPr>
        <w:ind w:left="4385" w:hanging="360"/>
      </w:pPr>
      <w:rPr>
        <w:rFonts w:ascii="Wingdings" w:hAnsi="Wingdings" w:hint="default"/>
      </w:rPr>
    </w:lvl>
    <w:lvl w:ilvl="6" w:tplc="240A0001">
      <w:start w:val="1"/>
      <w:numFmt w:val="bullet"/>
      <w:lvlText w:val=""/>
      <w:lvlJc w:val="left"/>
      <w:pPr>
        <w:ind w:left="5105" w:hanging="360"/>
      </w:pPr>
      <w:rPr>
        <w:rFonts w:ascii="Symbol" w:hAnsi="Symbol" w:hint="default"/>
      </w:rPr>
    </w:lvl>
    <w:lvl w:ilvl="7" w:tplc="240A0003">
      <w:start w:val="1"/>
      <w:numFmt w:val="bullet"/>
      <w:lvlText w:val="o"/>
      <w:lvlJc w:val="left"/>
      <w:pPr>
        <w:ind w:left="5825" w:hanging="360"/>
      </w:pPr>
      <w:rPr>
        <w:rFonts w:ascii="Courier New" w:hAnsi="Courier New" w:cs="Courier New" w:hint="default"/>
      </w:rPr>
    </w:lvl>
    <w:lvl w:ilvl="8" w:tplc="240A0005">
      <w:start w:val="1"/>
      <w:numFmt w:val="bullet"/>
      <w:lvlText w:val=""/>
      <w:lvlJc w:val="left"/>
      <w:pPr>
        <w:ind w:left="6545" w:hanging="360"/>
      </w:pPr>
      <w:rPr>
        <w:rFonts w:ascii="Wingdings" w:hAnsi="Wingdings" w:hint="default"/>
      </w:rPr>
    </w:lvl>
  </w:abstractNum>
  <w:num w:numId="1" w16cid:durableId="1980769740">
    <w:abstractNumId w:val="1"/>
  </w:num>
  <w:num w:numId="2" w16cid:durableId="1658417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124"/>
    <w:rsid w:val="000137E9"/>
    <w:rsid w:val="00023B95"/>
    <w:rsid w:val="00025B1C"/>
    <w:rsid w:val="000339E1"/>
    <w:rsid w:val="00040AFC"/>
    <w:rsid w:val="00040D2B"/>
    <w:rsid w:val="00064FF8"/>
    <w:rsid w:val="00065992"/>
    <w:rsid w:val="0007266E"/>
    <w:rsid w:val="000B3C91"/>
    <w:rsid w:val="000C4017"/>
    <w:rsid w:val="00137C93"/>
    <w:rsid w:val="00142382"/>
    <w:rsid w:val="00163746"/>
    <w:rsid w:val="001647CC"/>
    <w:rsid w:val="00167124"/>
    <w:rsid w:val="00197F8E"/>
    <w:rsid w:val="001C5C8C"/>
    <w:rsid w:val="001F5209"/>
    <w:rsid w:val="0021381E"/>
    <w:rsid w:val="00221C90"/>
    <w:rsid w:val="00232D5C"/>
    <w:rsid w:val="00245B0E"/>
    <w:rsid w:val="00271362"/>
    <w:rsid w:val="002858C1"/>
    <w:rsid w:val="00295B9A"/>
    <w:rsid w:val="002B6719"/>
    <w:rsid w:val="002C01DC"/>
    <w:rsid w:val="002C1EF8"/>
    <w:rsid w:val="002D2456"/>
    <w:rsid w:val="002D3DED"/>
    <w:rsid w:val="002D4B46"/>
    <w:rsid w:val="002E4E80"/>
    <w:rsid w:val="0030231C"/>
    <w:rsid w:val="003055B1"/>
    <w:rsid w:val="00305A01"/>
    <w:rsid w:val="00312DF9"/>
    <w:rsid w:val="00314531"/>
    <w:rsid w:val="00327ADE"/>
    <w:rsid w:val="00330A97"/>
    <w:rsid w:val="00353DFF"/>
    <w:rsid w:val="00355F5D"/>
    <w:rsid w:val="0036480D"/>
    <w:rsid w:val="00382F9A"/>
    <w:rsid w:val="003A5DEF"/>
    <w:rsid w:val="003B3997"/>
    <w:rsid w:val="003F3257"/>
    <w:rsid w:val="003F3D1E"/>
    <w:rsid w:val="004420C7"/>
    <w:rsid w:val="00460515"/>
    <w:rsid w:val="00470A90"/>
    <w:rsid w:val="00483A7E"/>
    <w:rsid w:val="004952C1"/>
    <w:rsid w:val="004B61E4"/>
    <w:rsid w:val="004D302B"/>
    <w:rsid w:val="004D4B64"/>
    <w:rsid w:val="004F2046"/>
    <w:rsid w:val="00530CE5"/>
    <w:rsid w:val="00540E11"/>
    <w:rsid w:val="00542A60"/>
    <w:rsid w:val="005A272F"/>
    <w:rsid w:val="005B12ED"/>
    <w:rsid w:val="005B771E"/>
    <w:rsid w:val="005D5F30"/>
    <w:rsid w:val="005F7BBF"/>
    <w:rsid w:val="00602AE2"/>
    <w:rsid w:val="006408BA"/>
    <w:rsid w:val="00644EAF"/>
    <w:rsid w:val="00660504"/>
    <w:rsid w:val="00693BD7"/>
    <w:rsid w:val="006B0A6C"/>
    <w:rsid w:val="006C6DB0"/>
    <w:rsid w:val="006D4E87"/>
    <w:rsid w:val="006D55B3"/>
    <w:rsid w:val="006D630C"/>
    <w:rsid w:val="006F5D1C"/>
    <w:rsid w:val="006F657F"/>
    <w:rsid w:val="00700F69"/>
    <w:rsid w:val="007418E5"/>
    <w:rsid w:val="0075165C"/>
    <w:rsid w:val="007B08D9"/>
    <w:rsid w:val="007B4B8B"/>
    <w:rsid w:val="007C410B"/>
    <w:rsid w:val="007F3B43"/>
    <w:rsid w:val="008057AD"/>
    <w:rsid w:val="00831317"/>
    <w:rsid w:val="00842031"/>
    <w:rsid w:val="00845747"/>
    <w:rsid w:val="00853344"/>
    <w:rsid w:val="0085757B"/>
    <w:rsid w:val="008659C1"/>
    <w:rsid w:val="00866B52"/>
    <w:rsid w:val="00866C68"/>
    <w:rsid w:val="008933B3"/>
    <w:rsid w:val="008A14D8"/>
    <w:rsid w:val="008B7FFB"/>
    <w:rsid w:val="008C163B"/>
    <w:rsid w:val="008C6A01"/>
    <w:rsid w:val="008D2769"/>
    <w:rsid w:val="008F3A2F"/>
    <w:rsid w:val="00902985"/>
    <w:rsid w:val="009121D5"/>
    <w:rsid w:val="009442EF"/>
    <w:rsid w:val="00981C79"/>
    <w:rsid w:val="009850BD"/>
    <w:rsid w:val="009857F4"/>
    <w:rsid w:val="009A2A01"/>
    <w:rsid w:val="009A5DF5"/>
    <w:rsid w:val="009E7189"/>
    <w:rsid w:val="009F1B36"/>
    <w:rsid w:val="00A07175"/>
    <w:rsid w:val="00A3178E"/>
    <w:rsid w:val="00A3268A"/>
    <w:rsid w:val="00A35AA8"/>
    <w:rsid w:val="00A42864"/>
    <w:rsid w:val="00A42D32"/>
    <w:rsid w:val="00A52F10"/>
    <w:rsid w:val="00A57572"/>
    <w:rsid w:val="00A830F3"/>
    <w:rsid w:val="00A85536"/>
    <w:rsid w:val="00AA01C6"/>
    <w:rsid w:val="00AA1771"/>
    <w:rsid w:val="00AB547E"/>
    <w:rsid w:val="00AC4AD8"/>
    <w:rsid w:val="00AE1559"/>
    <w:rsid w:val="00B04532"/>
    <w:rsid w:val="00B174EF"/>
    <w:rsid w:val="00B2727F"/>
    <w:rsid w:val="00B32C53"/>
    <w:rsid w:val="00B42BED"/>
    <w:rsid w:val="00B61426"/>
    <w:rsid w:val="00B81D65"/>
    <w:rsid w:val="00B86623"/>
    <w:rsid w:val="00B87BBF"/>
    <w:rsid w:val="00B96F8E"/>
    <w:rsid w:val="00BA3DD1"/>
    <w:rsid w:val="00BB6052"/>
    <w:rsid w:val="00BD4C46"/>
    <w:rsid w:val="00BE27FD"/>
    <w:rsid w:val="00BE692D"/>
    <w:rsid w:val="00BF3BB6"/>
    <w:rsid w:val="00BF736F"/>
    <w:rsid w:val="00C12F3B"/>
    <w:rsid w:val="00C31D12"/>
    <w:rsid w:val="00C3265F"/>
    <w:rsid w:val="00C36E42"/>
    <w:rsid w:val="00C550D8"/>
    <w:rsid w:val="00C6239B"/>
    <w:rsid w:val="00C70905"/>
    <w:rsid w:val="00C8048A"/>
    <w:rsid w:val="00C85BD3"/>
    <w:rsid w:val="00C97D05"/>
    <w:rsid w:val="00CA1634"/>
    <w:rsid w:val="00CA30D7"/>
    <w:rsid w:val="00CA69F3"/>
    <w:rsid w:val="00CC5E3B"/>
    <w:rsid w:val="00CE0F02"/>
    <w:rsid w:val="00CE3EB5"/>
    <w:rsid w:val="00D02C6F"/>
    <w:rsid w:val="00D23EB1"/>
    <w:rsid w:val="00D377C3"/>
    <w:rsid w:val="00D450D6"/>
    <w:rsid w:val="00D70C3E"/>
    <w:rsid w:val="00D83F9F"/>
    <w:rsid w:val="00D94685"/>
    <w:rsid w:val="00DA3944"/>
    <w:rsid w:val="00DB3557"/>
    <w:rsid w:val="00DB67AE"/>
    <w:rsid w:val="00DC1568"/>
    <w:rsid w:val="00DD083E"/>
    <w:rsid w:val="00DE3B5B"/>
    <w:rsid w:val="00DF4A30"/>
    <w:rsid w:val="00E203C6"/>
    <w:rsid w:val="00E33088"/>
    <w:rsid w:val="00E43AAD"/>
    <w:rsid w:val="00E57BEF"/>
    <w:rsid w:val="00E8704B"/>
    <w:rsid w:val="00E917D2"/>
    <w:rsid w:val="00E93F5B"/>
    <w:rsid w:val="00E97906"/>
    <w:rsid w:val="00EA2D86"/>
    <w:rsid w:val="00EB130E"/>
    <w:rsid w:val="00EF471F"/>
    <w:rsid w:val="00F17487"/>
    <w:rsid w:val="00F31A38"/>
    <w:rsid w:val="00F56D09"/>
    <w:rsid w:val="00F75AAC"/>
    <w:rsid w:val="00FA7A04"/>
    <w:rsid w:val="00FC1F9B"/>
    <w:rsid w:val="00FD27C5"/>
    <w:rsid w:val="00FF758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CEED3"/>
  <w15:chartTrackingRefBased/>
  <w15:docId w15:val="{68C317AA-8739-4D51-9F1C-84E842683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8E5"/>
  </w:style>
  <w:style w:type="paragraph" w:styleId="Ttulo2">
    <w:name w:val="heading 2"/>
    <w:basedOn w:val="Normal"/>
    <w:next w:val="Normal"/>
    <w:link w:val="Ttulo2Car"/>
    <w:uiPriority w:val="9"/>
    <w:unhideWhenUsed/>
    <w:qFormat/>
    <w:rsid w:val="001647C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semiHidden/>
    <w:qFormat/>
    <w:locked/>
    <w:rsid w:val="00D23EB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semiHidden/>
    <w:unhideWhenUsed/>
    <w:qFormat/>
    <w:rsid w:val="00D23EB1"/>
    <w:pPr>
      <w:spacing w:after="0" w:line="240" w:lineRule="auto"/>
    </w:pPr>
    <w:rPr>
      <w:sz w:val="20"/>
      <w:szCs w:val="20"/>
      <w:lang w:val="es-MX"/>
    </w:rPr>
  </w:style>
  <w:style w:type="character" w:customStyle="1" w:styleId="TextonotapieCar1">
    <w:name w:val="Texto nota pie Car1"/>
    <w:basedOn w:val="Fuentedeprrafopredeter"/>
    <w:uiPriority w:val="99"/>
    <w:semiHidden/>
    <w:rsid w:val="00D23EB1"/>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23EB1"/>
    <w:rPr>
      <w:vertAlign w:val="superscript"/>
    </w:rPr>
  </w:style>
  <w:style w:type="paragraph" w:customStyle="1" w:styleId="Appelnotedebasde">
    <w:name w:val="Appel note de bas de..."/>
    <w:basedOn w:val="Normal"/>
    <w:link w:val="Refdenotaalpie"/>
    <w:uiPriority w:val="99"/>
    <w:rsid w:val="00D23EB1"/>
    <w:pPr>
      <w:spacing w:line="240" w:lineRule="exact"/>
    </w:pPr>
    <w:rPr>
      <w:vertAlign w:val="superscript"/>
    </w:rPr>
  </w:style>
  <w:style w:type="table" w:styleId="Tablaconcuadrcula">
    <w:name w:val="Table Grid"/>
    <w:basedOn w:val="Tablanormal"/>
    <w:uiPriority w:val="39"/>
    <w:qFormat/>
    <w:rsid w:val="00D23EB1"/>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31317"/>
    <w:pPr>
      <w:spacing w:line="256" w:lineRule="auto"/>
      <w:ind w:left="720"/>
      <w:contextualSpacing/>
    </w:pPr>
  </w:style>
  <w:style w:type="character" w:customStyle="1" w:styleId="normaltextrun">
    <w:name w:val="normaltextrun"/>
    <w:basedOn w:val="Fuentedeprrafopredeter"/>
    <w:rsid w:val="00E43AAD"/>
  </w:style>
  <w:style w:type="character" w:styleId="Refdecomentario">
    <w:name w:val="annotation reference"/>
    <w:basedOn w:val="Fuentedeprrafopredeter"/>
    <w:uiPriority w:val="99"/>
    <w:semiHidden/>
    <w:unhideWhenUsed/>
    <w:rsid w:val="00327ADE"/>
    <w:rPr>
      <w:sz w:val="16"/>
      <w:szCs w:val="16"/>
    </w:rPr>
  </w:style>
  <w:style w:type="paragraph" w:styleId="Textocomentario">
    <w:name w:val="annotation text"/>
    <w:basedOn w:val="Normal"/>
    <w:link w:val="TextocomentarioCar"/>
    <w:uiPriority w:val="99"/>
    <w:unhideWhenUsed/>
    <w:rsid w:val="00327ADE"/>
    <w:pPr>
      <w:spacing w:line="240" w:lineRule="auto"/>
    </w:pPr>
    <w:rPr>
      <w:sz w:val="20"/>
      <w:szCs w:val="20"/>
    </w:rPr>
  </w:style>
  <w:style w:type="character" w:customStyle="1" w:styleId="TextocomentarioCar">
    <w:name w:val="Texto comentario Car"/>
    <w:basedOn w:val="Fuentedeprrafopredeter"/>
    <w:link w:val="Textocomentario"/>
    <w:uiPriority w:val="99"/>
    <w:rsid w:val="00327ADE"/>
    <w:rPr>
      <w:sz w:val="20"/>
      <w:szCs w:val="20"/>
    </w:rPr>
  </w:style>
  <w:style w:type="paragraph" w:styleId="Asuntodelcomentario">
    <w:name w:val="annotation subject"/>
    <w:basedOn w:val="Textocomentario"/>
    <w:next w:val="Textocomentario"/>
    <w:link w:val="AsuntodelcomentarioCar"/>
    <w:uiPriority w:val="99"/>
    <w:semiHidden/>
    <w:unhideWhenUsed/>
    <w:rsid w:val="00327ADE"/>
    <w:rPr>
      <w:b/>
      <w:bCs/>
    </w:rPr>
  </w:style>
  <w:style w:type="character" w:customStyle="1" w:styleId="AsuntodelcomentarioCar">
    <w:name w:val="Asunto del comentario Car"/>
    <w:basedOn w:val="TextocomentarioCar"/>
    <w:link w:val="Asuntodelcomentario"/>
    <w:uiPriority w:val="99"/>
    <w:semiHidden/>
    <w:rsid w:val="00327ADE"/>
    <w:rPr>
      <w:b/>
      <w:bCs/>
      <w:sz w:val="20"/>
      <w:szCs w:val="20"/>
    </w:rPr>
  </w:style>
  <w:style w:type="paragraph" w:styleId="Revisin">
    <w:name w:val="Revision"/>
    <w:hidden/>
    <w:uiPriority w:val="99"/>
    <w:semiHidden/>
    <w:rsid w:val="0007266E"/>
    <w:pPr>
      <w:spacing w:after="0" w:line="240" w:lineRule="auto"/>
    </w:pPr>
  </w:style>
  <w:style w:type="character" w:customStyle="1" w:styleId="Ttulo2Car">
    <w:name w:val="Título 2 Car"/>
    <w:basedOn w:val="Fuentedeprrafopredeter"/>
    <w:link w:val="Ttulo2"/>
    <w:uiPriority w:val="9"/>
    <w:rsid w:val="001647CC"/>
    <w:rPr>
      <w:rFonts w:asciiTheme="majorHAnsi" w:eastAsiaTheme="majorEastAsia" w:hAnsiTheme="majorHAnsi" w:cstheme="majorBidi"/>
      <w:color w:val="2F5496" w:themeColor="accent1" w:themeShade="BF"/>
      <w:sz w:val="26"/>
      <w:szCs w:val="26"/>
    </w:rPr>
  </w:style>
  <w:style w:type="paragraph" w:styleId="Encabezado">
    <w:name w:val="header"/>
    <w:basedOn w:val="Normal"/>
    <w:link w:val="EncabezadoCar"/>
    <w:uiPriority w:val="99"/>
    <w:unhideWhenUsed/>
    <w:rsid w:val="00AA01C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A01C6"/>
  </w:style>
  <w:style w:type="paragraph" w:styleId="Piedepgina">
    <w:name w:val="footer"/>
    <w:basedOn w:val="Normal"/>
    <w:link w:val="PiedepginaCar"/>
    <w:uiPriority w:val="99"/>
    <w:unhideWhenUsed/>
    <w:rsid w:val="00AA01C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A01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536842">
      <w:bodyDiv w:val="1"/>
      <w:marLeft w:val="0"/>
      <w:marRight w:val="0"/>
      <w:marTop w:val="0"/>
      <w:marBottom w:val="0"/>
      <w:divBdr>
        <w:top w:val="none" w:sz="0" w:space="0" w:color="auto"/>
        <w:left w:val="none" w:sz="0" w:space="0" w:color="auto"/>
        <w:bottom w:val="none" w:sz="0" w:space="0" w:color="auto"/>
        <w:right w:val="none" w:sz="0" w:space="0" w:color="auto"/>
      </w:divBdr>
    </w:div>
    <w:div w:id="1059403211">
      <w:bodyDiv w:val="1"/>
      <w:marLeft w:val="0"/>
      <w:marRight w:val="0"/>
      <w:marTop w:val="0"/>
      <w:marBottom w:val="0"/>
      <w:divBdr>
        <w:top w:val="none" w:sz="0" w:space="0" w:color="auto"/>
        <w:left w:val="none" w:sz="0" w:space="0" w:color="auto"/>
        <w:bottom w:val="none" w:sz="0" w:space="0" w:color="auto"/>
        <w:right w:val="none" w:sz="0" w:space="0" w:color="auto"/>
      </w:divBdr>
    </w:div>
    <w:div w:id="1817145329">
      <w:bodyDiv w:val="1"/>
      <w:marLeft w:val="0"/>
      <w:marRight w:val="0"/>
      <w:marTop w:val="0"/>
      <w:marBottom w:val="0"/>
      <w:divBdr>
        <w:top w:val="none" w:sz="0" w:space="0" w:color="auto"/>
        <w:left w:val="none" w:sz="0" w:space="0" w:color="auto"/>
        <w:bottom w:val="none" w:sz="0" w:space="0" w:color="auto"/>
        <w:right w:val="none" w:sz="0" w:space="0" w:color="auto"/>
      </w:divBdr>
    </w:div>
    <w:div w:id="184990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4F8D8-4F1F-49A4-B981-820A19235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4835</Words>
  <Characters>26595</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Johan Chocontá Quintero</dc:creator>
  <cp:keywords/>
  <dc:description/>
  <cp:lastModifiedBy>Edwin Johan Chocontá Quintero</cp:lastModifiedBy>
  <cp:revision>3</cp:revision>
  <dcterms:created xsi:type="dcterms:W3CDTF">2022-08-31T16:52:00Z</dcterms:created>
  <dcterms:modified xsi:type="dcterms:W3CDTF">2022-09-14T18:21:00Z</dcterms:modified>
</cp:coreProperties>
</file>