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64CBB" w14:textId="77777777" w:rsidR="003C38DF" w:rsidRPr="003C38DF" w:rsidRDefault="003C38DF" w:rsidP="003C38DF">
      <w:pPr>
        <w:spacing w:after="0" w:line="240" w:lineRule="auto"/>
        <w:jc w:val="right"/>
        <w:rPr>
          <w:rFonts w:ascii="Arial" w:eastAsia="Calibri" w:hAnsi="Arial" w:cs="Arial"/>
          <w:b/>
          <w:color w:val="000000"/>
          <w:sz w:val="20"/>
          <w:szCs w:val="20"/>
          <w:lang w:val="es-ES_tradnl"/>
        </w:rPr>
      </w:pPr>
      <w:bookmarkStart w:id="0" w:name="_Hlk28946138"/>
      <w:bookmarkStart w:id="1" w:name="_Hlk29548183"/>
      <w:bookmarkStart w:id="2" w:name="_Hlk53205539"/>
      <w:r w:rsidRPr="003C38DF">
        <w:rPr>
          <w:rFonts w:ascii="Arial" w:eastAsia="Calibri" w:hAnsi="Arial" w:cs="Arial"/>
          <w:bCs/>
          <w:color w:val="000000"/>
          <w:sz w:val="16"/>
          <w:szCs w:val="16"/>
          <w:lang w:val="es-MX" w:eastAsia="es-ES"/>
        </w:rPr>
        <w:t>CCE-DES-FM-17</w:t>
      </w:r>
    </w:p>
    <w:p w14:paraId="00FC802D" w14:textId="170D68CF" w:rsidR="00F270B1" w:rsidRDefault="00F270B1" w:rsidP="00F270B1">
      <w:pPr>
        <w:spacing w:after="0" w:line="240" w:lineRule="auto"/>
        <w:jc w:val="both"/>
        <w:rPr>
          <w:rFonts w:ascii="Arial" w:eastAsia="Calibri" w:hAnsi="Arial" w:cs="Arial"/>
          <w:b/>
          <w:bCs/>
          <w:color w:val="000000"/>
          <w:lang w:val="es-MX"/>
        </w:rPr>
      </w:pPr>
      <w:bookmarkStart w:id="3" w:name="_Hlk53205460"/>
      <w:bookmarkEnd w:id="0"/>
      <w:bookmarkEnd w:id="1"/>
    </w:p>
    <w:p w14:paraId="72562B46" w14:textId="77777777" w:rsidR="003C38DF" w:rsidRPr="003C38DF" w:rsidRDefault="003C38DF" w:rsidP="003C38DF">
      <w:pPr>
        <w:spacing w:after="0" w:line="240" w:lineRule="auto"/>
        <w:jc w:val="both"/>
        <w:rPr>
          <w:rFonts w:ascii="Arial" w:eastAsia="Calibri" w:hAnsi="Arial" w:cs="Arial"/>
          <w:b/>
          <w:bCs/>
        </w:rPr>
      </w:pPr>
      <w:r w:rsidRPr="003C38DF">
        <w:rPr>
          <w:rFonts w:ascii="Arial" w:eastAsia="Calibri" w:hAnsi="Arial" w:cs="Arial"/>
          <w:b/>
          <w:bCs/>
        </w:rPr>
        <w:t>SERVICIO PÚBLICO DE GESTIÓN CATASTRAL ‒ Concepto</w:t>
      </w:r>
    </w:p>
    <w:p w14:paraId="6EC6FF42" w14:textId="77777777" w:rsidR="003C38DF" w:rsidRPr="003C38DF" w:rsidRDefault="003C38DF" w:rsidP="003C38DF">
      <w:pPr>
        <w:spacing w:after="0" w:line="240" w:lineRule="auto"/>
        <w:jc w:val="both"/>
        <w:rPr>
          <w:rFonts w:ascii="Arial" w:eastAsia="Calibri" w:hAnsi="Arial" w:cs="Arial"/>
          <w:sz w:val="20"/>
          <w:szCs w:val="20"/>
        </w:rPr>
      </w:pPr>
    </w:p>
    <w:p w14:paraId="558D8D56" w14:textId="32740AD6" w:rsidR="003C05E6" w:rsidRPr="003C05E6" w:rsidRDefault="003C05E6" w:rsidP="003C05E6">
      <w:pPr>
        <w:spacing w:after="0" w:line="240" w:lineRule="auto"/>
        <w:jc w:val="both"/>
        <w:rPr>
          <w:rFonts w:ascii="Arial" w:eastAsia="Calibri" w:hAnsi="Arial" w:cs="Arial"/>
          <w:color w:val="000000"/>
          <w:sz w:val="20"/>
          <w:szCs w:val="20"/>
          <w:shd w:val="clear" w:color="auto" w:fill="FFFFFF"/>
          <w:lang w:val="es-MX"/>
        </w:rPr>
      </w:pPr>
      <w:r w:rsidRPr="003C05E6">
        <w:rPr>
          <w:rFonts w:ascii="Arial" w:eastAsia="Calibri" w:hAnsi="Arial" w:cs="Arial"/>
          <w:color w:val="000000"/>
          <w:sz w:val="20"/>
          <w:szCs w:val="20"/>
          <w:shd w:val="clear" w:color="auto" w:fill="FFFFFF"/>
          <w:lang w:val="es-MX"/>
        </w:rPr>
        <w:t>Conforme al artículo 79 de la Ley 1955 de 2019 la gestión catastral es un servicio público que tiene como propósito la adecuada formación, actualización, conservación y difusión de la información catastral, así como los procedimientos del enfoque catastral multipropósito que sean adoptados</w:t>
      </w:r>
      <w:r w:rsidRPr="003C05E6">
        <w:rPr>
          <w:rFonts w:ascii="Arial" w:eastAsia="Calibri" w:hAnsi="Arial" w:cs="Arial"/>
          <w:sz w:val="20"/>
          <w:szCs w:val="20"/>
          <w:shd w:val="clear" w:color="auto" w:fill="FFFFFF"/>
          <w:lang w:val="es-MX"/>
        </w:rPr>
        <w:t xml:space="preserve">. </w:t>
      </w:r>
      <w:r w:rsidRPr="003C05E6">
        <w:rPr>
          <w:rFonts w:ascii="Arial" w:eastAsia="Calibri" w:hAnsi="Arial" w:cs="Arial"/>
          <w:color w:val="000000"/>
          <w:sz w:val="20"/>
          <w:szCs w:val="20"/>
          <w:shd w:val="clear" w:color="auto" w:fill="FFFFFF"/>
          <w:lang w:val="es-MX"/>
        </w:rPr>
        <w:t xml:space="preserve">De conformidad con la norma citada, la gestión catastral será prestada por: i) una autoridad nacional que regulará la gestión catastral, y estará a cargo del Instituto Geográfico Agustín Codazzi; </w:t>
      </w:r>
      <w:proofErr w:type="spellStart"/>
      <w:r w:rsidRPr="003C05E6">
        <w:rPr>
          <w:rFonts w:ascii="Arial" w:eastAsia="Calibri" w:hAnsi="Arial" w:cs="Arial"/>
          <w:color w:val="000000"/>
          <w:sz w:val="20"/>
          <w:szCs w:val="20"/>
          <w:shd w:val="clear" w:color="auto" w:fill="FFFFFF"/>
          <w:lang w:val="es-MX"/>
        </w:rPr>
        <w:t>ii</w:t>
      </w:r>
      <w:proofErr w:type="spellEnd"/>
      <w:r w:rsidRPr="003C05E6">
        <w:rPr>
          <w:rFonts w:ascii="Arial" w:eastAsia="Calibri" w:hAnsi="Arial" w:cs="Arial"/>
          <w:color w:val="000000"/>
          <w:sz w:val="20"/>
          <w:szCs w:val="20"/>
          <w:shd w:val="clear" w:color="auto" w:fill="FFFFFF"/>
          <w:lang w:val="es-MX"/>
        </w:rPr>
        <w:t xml:space="preserve">) por gestores catastrales, encargados de adelantar la formación, actualización, conservación y difusión catastral, así como los procedimientos del enfoque catastral multipropósito adoptados para el efecto; y </w:t>
      </w:r>
      <w:proofErr w:type="spellStart"/>
      <w:r w:rsidRPr="003C05E6">
        <w:rPr>
          <w:rFonts w:ascii="Arial" w:eastAsia="Calibri" w:hAnsi="Arial" w:cs="Arial"/>
          <w:color w:val="000000"/>
          <w:sz w:val="20"/>
          <w:szCs w:val="20"/>
          <w:shd w:val="clear" w:color="auto" w:fill="FFFFFF"/>
          <w:lang w:val="es-MX"/>
        </w:rPr>
        <w:t>iii</w:t>
      </w:r>
      <w:proofErr w:type="spellEnd"/>
      <w:r w:rsidRPr="003C05E6">
        <w:rPr>
          <w:rFonts w:ascii="Arial" w:eastAsia="Calibri" w:hAnsi="Arial" w:cs="Arial"/>
          <w:color w:val="000000"/>
          <w:sz w:val="20"/>
          <w:szCs w:val="20"/>
          <w:shd w:val="clear" w:color="auto" w:fill="FFFFFF"/>
          <w:lang w:val="es-MX"/>
        </w:rPr>
        <w:t xml:space="preserve">) por operadores catastrales, quienes desarrollarán labores operativas relativas a la gestión catastral. </w:t>
      </w:r>
    </w:p>
    <w:p w14:paraId="7B5C5CDF" w14:textId="77777777" w:rsidR="003C38DF" w:rsidRPr="003C38DF" w:rsidRDefault="003C38DF" w:rsidP="003C05E6">
      <w:pPr>
        <w:spacing w:after="0" w:line="240" w:lineRule="auto"/>
        <w:jc w:val="both"/>
        <w:rPr>
          <w:rFonts w:ascii="Arial" w:eastAsia="Calibri" w:hAnsi="Arial" w:cs="Arial"/>
          <w:sz w:val="20"/>
          <w:szCs w:val="20"/>
        </w:rPr>
      </w:pPr>
    </w:p>
    <w:p w14:paraId="2163D50B" w14:textId="77777777" w:rsidR="003C38DF" w:rsidRPr="003C38DF" w:rsidRDefault="003C38DF" w:rsidP="003C05E6">
      <w:pPr>
        <w:spacing w:after="0" w:line="240" w:lineRule="auto"/>
        <w:jc w:val="both"/>
        <w:rPr>
          <w:rFonts w:ascii="Arial" w:eastAsia="Calibri" w:hAnsi="Arial" w:cs="Arial"/>
          <w:b/>
          <w:bCs/>
          <w:color w:val="000000"/>
        </w:rPr>
      </w:pPr>
      <w:r w:rsidRPr="003C38DF">
        <w:rPr>
          <w:rFonts w:ascii="Arial" w:eastAsia="Calibri" w:hAnsi="Arial" w:cs="Arial"/>
          <w:b/>
          <w:bCs/>
        </w:rPr>
        <w:t>GESTORES CATASTRALES ‒ Requisitos ‒ Entidades públicas ‒ Contratación</w:t>
      </w:r>
    </w:p>
    <w:p w14:paraId="0DF0CE8E" w14:textId="77777777" w:rsidR="003C38DF" w:rsidRPr="003C38DF" w:rsidRDefault="003C38DF" w:rsidP="003C05E6">
      <w:pPr>
        <w:spacing w:after="0" w:line="240" w:lineRule="auto"/>
        <w:jc w:val="both"/>
        <w:rPr>
          <w:rFonts w:ascii="Arial" w:eastAsia="Calibri" w:hAnsi="Arial" w:cs="Arial"/>
          <w:sz w:val="20"/>
          <w:szCs w:val="20"/>
        </w:rPr>
      </w:pPr>
    </w:p>
    <w:p w14:paraId="21BD15E7" w14:textId="01FB9C77" w:rsidR="003C05E6" w:rsidRPr="003C05E6" w:rsidRDefault="003C05E6" w:rsidP="003C05E6">
      <w:pPr>
        <w:spacing w:after="120" w:line="240" w:lineRule="auto"/>
        <w:jc w:val="both"/>
        <w:rPr>
          <w:rFonts w:ascii="Arial" w:eastAsia="Calibri" w:hAnsi="Arial" w:cs="Arial"/>
          <w:color w:val="000000"/>
          <w:sz w:val="20"/>
          <w:szCs w:val="20"/>
          <w:lang w:val="es-MX"/>
        </w:rPr>
      </w:pPr>
      <w:r w:rsidRPr="003C05E6">
        <w:rPr>
          <w:rFonts w:ascii="Arial" w:eastAsia="Calibri" w:hAnsi="Arial" w:cs="Arial"/>
          <w:color w:val="000000"/>
          <w:sz w:val="20"/>
          <w:szCs w:val="20"/>
          <w:lang w:val="es-MX"/>
        </w:rPr>
        <w:t xml:space="preserve">El artículo 2.2.2.1.5 del Decreto 148 de 2020 prescribe que los gestores catastrales son las entidades públicas del orden nacional o territorial, así como los esquemas asociativos de entidades territoriales que hayan sido habilitadas por el Instituto Geográfico Agustín Codazzi –IGAC–. Por tanto, los requisitos para la prestación del servicio de gestión catastral en calidad de gestor son dos (2): i) ser una entidad pública del orden nacional o territorial o esquema asociativo de entidades territoriales y </w:t>
      </w:r>
      <w:proofErr w:type="spellStart"/>
      <w:r w:rsidRPr="003C05E6">
        <w:rPr>
          <w:rFonts w:ascii="Arial" w:eastAsia="Calibri" w:hAnsi="Arial" w:cs="Arial"/>
          <w:color w:val="000000"/>
          <w:sz w:val="20"/>
          <w:szCs w:val="20"/>
          <w:lang w:val="es-MX"/>
        </w:rPr>
        <w:t>ii</w:t>
      </w:r>
      <w:proofErr w:type="spellEnd"/>
      <w:r w:rsidRPr="003C05E6">
        <w:rPr>
          <w:rFonts w:ascii="Arial" w:eastAsia="Calibri" w:hAnsi="Arial" w:cs="Arial"/>
          <w:color w:val="000000"/>
          <w:sz w:val="20"/>
          <w:szCs w:val="20"/>
          <w:lang w:val="es-MX"/>
        </w:rPr>
        <w:t xml:space="preserve">) estar habilitado como gestor catastral por parte del IGAC. Lo anterior, sin perjuicio del IGAC actúe como prestador por excepción. </w:t>
      </w:r>
    </w:p>
    <w:p w14:paraId="7F2E5E4D" w14:textId="2CAE4471" w:rsidR="003C38DF" w:rsidRPr="003C05E6" w:rsidRDefault="003C05E6" w:rsidP="003C05E6">
      <w:pPr>
        <w:spacing w:after="120" w:line="240" w:lineRule="auto"/>
        <w:jc w:val="both"/>
        <w:rPr>
          <w:rFonts w:ascii="Arial" w:eastAsia="Calibri" w:hAnsi="Arial" w:cs="Arial"/>
          <w:i/>
          <w:iCs/>
          <w:color w:val="000000"/>
          <w:sz w:val="20"/>
          <w:szCs w:val="20"/>
          <w:shd w:val="clear" w:color="auto" w:fill="FFFFFF"/>
          <w:lang w:val="es-MX"/>
        </w:rPr>
      </w:pPr>
      <w:r w:rsidRPr="003C05E6">
        <w:rPr>
          <w:rFonts w:ascii="Arial" w:eastAsia="Calibri" w:hAnsi="Arial" w:cs="Arial"/>
          <w:color w:val="000000"/>
          <w:sz w:val="20"/>
          <w:szCs w:val="20"/>
          <w:shd w:val="clear" w:color="auto" w:fill="FFFFFF"/>
          <w:lang w:val="es-MX"/>
        </w:rPr>
        <w:t xml:space="preserve">En lo relacionado con la contratación de los gestores catastrales, el artículo 2.2.2.5.6 del Decreto 1983 de 2019 dispone que las entidades territoriales que no estén habilitadas podrán contratar a un gestor catastral en los términos de dicho Decreto para la prestación del servicio público en su territorio. Así mismo, prescribe que el gestor catastral contratado </w:t>
      </w:r>
      <w:r w:rsidRPr="003C05E6">
        <w:rPr>
          <w:rFonts w:ascii="Arial" w:eastAsia="Calibri" w:hAnsi="Arial" w:cs="Arial"/>
          <w:color w:val="000000"/>
          <w:sz w:val="20"/>
          <w:szCs w:val="20"/>
          <w:lang w:val="es-MX"/>
        </w:rPr>
        <w:t>«</w:t>
      </w:r>
      <w:r w:rsidRPr="003C05E6">
        <w:rPr>
          <w:rFonts w:ascii="Arial" w:eastAsia="Calibri" w:hAnsi="Arial" w:cs="Arial"/>
          <w:color w:val="000000"/>
          <w:sz w:val="20"/>
          <w:szCs w:val="20"/>
          <w:shd w:val="clear" w:color="auto" w:fill="FFFFFF"/>
          <w:lang w:val="es-MX"/>
        </w:rPr>
        <w:t>deberá asegurar la prestación integral del servicio, es decir, incluyendo las actividades de formación, actualización y conservación, así como los procedimientos del enfoque catastral multipropósito que sean adoptados</w:t>
      </w:r>
      <w:r w:rsidRPr="003C05E6">
        <w:rPr>
          <w:rFonts w:ascii="Arial" w:eastAsia="Calibri" w:hAnsi="Arial" w:cs="Arial"/>
          <w:color w:val="000000"/>
          <w:sz w:val="20"/>
          <w:szCs w:val="20"/>
          <w:lang w:val="es-MX"/>
        </w:rPr>
        <w:t>».</w:t>
      </w:r>
      <w:r w:rsidRPr="003C05E6">
        <w:rPr>
          <w:rFonts w:ascii="Arial" w:eastAsia="Calibri" w:hAnsi="Arial" w:cs="Arial"/>
          <w:color w:val="000000"/>
          <w:sz w:val="20"/>
          <w:szCs w:val="20"/>
          <w:shd w:val="clear" w:color="auto" w:fill="FFFFFF"/>
          <w:lang w:val="es-MX"/>
        </w:rPr>
        <w:t xml:space="preserve"> Además, según el artículo 2.2.2.5.7 la contratación del gestor catastral se sujetará a las siguientes reglas, prescribiendo explícitamente que se realizará mediante </w:t>
      </w:r>
      <w:r w:rsidRPr="003C05E6">
        <w:rPr>
          <w:rFonts w:ascii="Arial" w:eastAsia="Calibri" w:hAnsi="Arial" w:cs="Arial"/>
          <w:i/>
          <w:iCs/>
          <w:color w:val="000000"/>
          <w:sz w:val="20"/>
          <w:szCs w:val="20"/>
          <w:shd w:val="clear" w:color="auto" w:fill="FFFFFF"/>
          <w:lang w:val="es-MX"/>
        </w:rPr>
        <w:t>contrato interadministrativo</w:t>
      </w:r>
      <w:r w:rsidRPr="003C05E6">
        <w:rPr>
          <w:rFonts w:ascii="Arial" w:eastAsia="Calibri" w:hAnsi="Arial" w:cs="Arial"/>
          <w:i/>
          <w:iCs/>
          <w:color w:val="000000"/>
          <w:sz w:val="20"/>
          <w:szCs w:val="20"/>
          <w:shd w:val="clear" w:color="auto" w:fill="FFFFFF"/>
          <w:lang w:val="es-MX"/>
        </w:rPr>
        <w:t>.</w:t>
      </w:r>
    </w:p>
    <w:p w14:paraId="2007E82D" w14:textId="77777777" w:rsidR="003C05E6" w:rsidRPr="003C38DF" w:rsidRDefault="003C05E6" w:rsidP="003C05E6">
      <w:pPr>
        <w:spacing w:after="0" w:line="276" w:lineRule="auto"/>
        <w:ind w:firstLine="709"/>
        <w:jc w:val="both"/>
        <w:rPr>
          <w:rFonts w:ascii="Arial" w:eastAsia="Calibri" w:hAnsi="Arial" w:cs="Arial"/>
          <w:sz w:val="20"/>
          <w:szCs w:val="20"/>
        </w:rPr>
      </w:pPr>
    </w:p>
    <w:p w14:paraId="30E4B160" w14:textId="77777777" w:rsidR="003C38DF" w:rsidRPr="003C38DF" w:rsidRDefault="003C38DF" w:rsidP="003C05E6">
      <w:pPr>
        <w:spacing w:after="0" w:line="240" w:lineRule="auto"/>
        <w:jc w:val="both"/>
        <w:rPr>
          <w:rFonts w:ascii="Arial" w:eastAsia="Calibri" w:hAnsi="Arial" w:cs="Arial"/>
          <w:b/>
          <w:bCs/>
        </w:rPr>
      </w:pPr>
      <w:r w:rsidRPr="003C38DF">
        <w:rPr>
          <w:rFonts w:ascii="Arial" w:eastAsia="Calibri" w:hAnsi="Arial" w:cs="Arial"/>
          <w:b/>
          <w:bCs/>
        </w:rPr>
        <w:t>MINUTA TIPO ‒ Documento tipo ‒ Catastro multipropósito ‒ Contrato interadministrativo</w:t>
      </w:r>
    </w:p>
    <w:p w14:paraId="50757E06" w14:textId="77777777" w:rsidR="003C38DF" w:rsidRPr="003C38DF" w:rsidRDefault="003C38DF" w:rsidP="003C38DF">
      <w:pPr>
        <w:spacing w:after="0" w:line="240" w:lineRule="auto"/>
        <w:jc w:val="both"/>
        <w:rPr>
          <w:rFonts w:ascii="Arial" w:eastAsia="Calibri" w:hAnsi="Arial" w:cs="Arial"/>
          <w:b/>
          <w:bCs/>
        </w:rPr>
      </w:pPr>
    </w:p>
    <w:p w14:paraId="686A419D" w14:textId="06074372" w:rsidR="003C38DF" w:rsidRPr="003C05E6" w:rsidRDefault="003C05E6" w:rsidP="003C05E6">
      <w:pPr>
        <w:spacing w:after="0" w:line="240" w:lineRule="auto"/>
        <w:jc w:val="both"/>
        <w:rPr>
          <w:rFonts w:ascii="Arial" w:eastAsia="Calibri" w:hAnsi="Arial" w:cs="Arial"/>
          <w:color w:val="000000"/>
          <w:sz w:val="20"/>
          <w:szCs w:val="20"/>
          <w:shd w:val="clear" w:color="auto" w:fill="FFFFFF"/>
          <w:lang w:val="es-MX"/>
        </w:rPr>
      </w:pPr>
      <w:r w:rsidRPr="003C05E6">
        <w:rPr>
          <w:rFonts w:ascii="Arial" w:eastAsia="Calibri" w:hAnsi="Arial" w:cs="Arial"/>
          <w:sz w:val="20"/>
          <w:szCs w:val="20"/>
          <w:lang w:val="es-MX"/>
        </w:rPr>
        <w:t xml:space="preserve">[…] </w:t>
      </w:r>
      <w:r w:rsidRPr="003C05E6">
        <w:rPr>
          <w:rFonts w:ascii="Arial" w:eastAsia="Calibri" w:hAnsi="Arial" w:cs="Arial"/>
          <w:sz w:val="20"/>
          <w:szCs w:val="20"/>
          <w:lang w:val="es-MX"/>
        </w:rPr>
        <w:t xml:space="preserve">el documento tipo o minuta tipo adoptado por la </w:t>
      </w:r>
      <w:r w:rsidRPr="003C05E6">
        <w:rPr>
          <w:rFonts w:ascii="Arial" w:eastAsia="Calibri" w:hAnsi="Arial" w:cs="Arial"/>
          <w:color w:val="000000"/>
          <w:sz w:val="20"/>
          <w:szCs w:val="20"/>
          <w:shd w:val="clear" w:color="auto" w:fill="FFFFFF"/>
          <w:lang w:val="es-MX"/>
        </w:rPr>
        <w:t xml:space="preserve">Agencia Nacional de Contratación Pública – Colombia Compra Eficiente, en conjunto con el Instituto Geográfico Agustín Codazzi –IGAC- y el Departamento Administrativo Nacional de Estadística ‒DANE, es el instrumento que concreta una de las formas de prestación del servicio público de gestión catastral, fundamentado particularmente en los artículos 2.2.2.5.6 y 2.2.2.5.7 del Decreto 1983 de 2019. El primero, como se expuso </w:t>
      </w:r>
      <w:r w:rsidRPr="003C05E6">
        <w:rPr>
          <w:rFonts w:ascii="Arial" w:eastAsia="Calibri" w:hAnsi="Arial" w:cs="Arial"/>
          <w:i/>
          <w:iCs/>
          <w:color w:val="000000"/>
          <w:sz w:val="20"/>
          <w:szCs w:val="20"/>
          <w:shd w:val="clear" w:color="auto" w:fill="FFFFFF"/>
          <w:lang w:val="es-MX"/>
        </w:rPr>
        <w:t>ut supra</w:t>
      </w:r>
      <w:r w:rsidRPr="003C05E6">
        <w:rPr>
          <w:rFonts w:ascii="Arial" w:eastAsia="Calibri" w:hAnsi="Arial" w:cs="Arial"/>
          <w:color w:val="000000"/>
          <w:sz w:val="20"/>
          <w:szCs w:val="20"/>
          <w:shd w:val="clear" w:color="auto" w:fill="FFFFFF"/>
          <w:lang w:val="es-MX"/>
        </w:rPr>
        <w:t>, referente a la facultad que tienen las entidades territoriales no habilitadas para contratar con un gestor catastral la prestación integral del servicio público en su territorio; mientras que el segundo artículo, entre otros requerimientos, dispone que la contratación de este servicio podrá realizarse a través de contratación directa, observando los principios de selección objetiva y transparencia, por tratarse de un contrato interadministrativo.</w:t>
      </w:r>
    </w:p>
    <w:p w14:paraId="3361476D" w14:textId="77777777" w:rsidR="003C05E6" w:rsidRPr="003C38DF" w:rsidRDefault="003C05E6" w:rsidP="003C38DF">
      <w:pPr>
        <w:spacing w:after="0" w:line="240" w:lineRule="auto"/>
        <w:jc w:val="both"/>
        <w:rPr>
          <w:rFonts w:ascii="Arial" w:eastAsia="Calibri" w:hAnsi="Arial" w:cs="Arial"/>
          <w:sz w:val="20"/>
          <w:szCs w:val="20"/>
          <w:lang w:val="es-MX"/>
        </w:rPr>
      </w:pPr>
    </w:p>
    <w:p w14:paraId="4F64048B" w14:textId="77777777" w:rsidR="003C38DF" w:rsidRPr="003C38DF" w:rsidRDefault="003C38DF" w:rsidP="003C38DF">
      <w:pPr>
        <w:spacing w:after="0" w:line="240" w:lineRule="auto"/>
        <w:jc w:val="both"/>
        <w:rPr>
          <w:rFonts w:ascii="Arial" w:eastAsia="Calibri" w:hAnsi="Arial" w:cs="Arial"/>
          <w:b/>
          <w:bCs/>
        </w:rPr>
      </w:pPr>
      <w:r w:rsidRPr="003C38DF">
        <w:rPr>
          <w:rFonts w:ascii="Arial" w:eastAsia="Calibri" w:hAnsi="Arial" w:cs="Arial"/>
          <w:b/>
          <w:bCs/>
        </w:rPr>
        <w:t xml:space="preserve">MINUTA TIPO ‒ Ámbito de aplicación ‒ Servicio de gestión catastral integral  </w:t>
      </w:r>
    </w:p>
    <w:p w14:paraId="4B0F2089" w14:textId="77777777" w:rsidR="003C38DF" w:rsidRPr="003C38DF" w:rsidRDefault="003C38DF" w:rsidP="003C38DF">
      <w:pPr>
        <w:spacing w:after="0" w:line="240" w:lineRule="auto"/>
        <w:jc w:val="both"/>
        <w:rPr>
          <w:rFonts w:ascii="Arial" w:eastAsia="Calibri" w:hAnsi="Arial" w:cs="Arial"/>
          <w:b/>
          <w:bCs/>
        </w:rPr>
      </w:pPr>
    </w:p>
    <w:p w14:paraId="66A01305" w14:textId="6C9E605F" w:rsidR="003C38DF" w:rsidRPr="003C05E6" w:rsidRDefault="003C05E6" w:rsidP="003C05E6">
      <w:pPr>
        <w:spacing w:after="0" w:line="240" w:lineRule="auto"/>
        <w:jc w:val="both"/>
        <w:rPr>
          <w:rFonts w:ascii="Arial" w:eastAsia="Calibri" w:hAnsi="Arial" w:cs="Arial"/>
          <w:sz w:val="20"/>
          <w:szCs w:val="20"/>
          <w:lang w:val="es-MX"/>
        </w:rPr>
      </w:pPr>
      <w:r w:rsidRPr="003C05E6">
        <w:rPr>
          <w:rFonts w:ascii="Arial" w:eastAsia="Calibri" w:hAnsi="Arial" w:cs="Arial"/>
          <w:color w:val="000000"/>
          <w:sz w:val="20"/>
          <w:szCs w:val="20"/>
          <w:lang w:val="es-MX"/>
        </w:rPr>
        <w:lastRenderedPageBreak/>
        <w:t xml:space="preserve">[…] </w:t>
      </w:r>
      <w:r w:rsidRPr="003C05E6">
        <w:rPr>
          <w:rFonts w:ascii="Arial" w:eastAsia="Calibri" w:hAnsi="Arial" w:cs="Arial"/>
          <w:color w:val="000000"/>
          <w:sz w:val="20"/>
          <w:szCs w:val="20"/>
          <w:lang w:val="es-MX"/>
        </w:rPr>
        <w:t xml:space="preserve">el objeto de la minuta tipo se circunscribe a la prestación integral de la gestión catastral que comprende, de manera conjunta, las actividades de formación o actualización, según corresponda, conservación y difusión catastral. Esto significa que, con fundamento en esta minuta, únicamente se podrá contratar al gestor catastral para la ejecución de las actividades señaladas de manera integral. </w:t>
      </w:r>
      <w:r w:rsidRPr="003C05E6">
        <w:rPr>
          <w:rFonts w:ascii="Arial" w:eastAsia="Calibri" w:hAnsi="Arial" w:cs="Arial"/>
          <w:color w:val="000000"/>
          <w:sz w:val="20"/>
          <w:szCs w:val="20"/>
          <w:shd w:val="clear" w:color="auto" w:fill="FFFFFF"/>
          <w:lang w:val="es-MX"/>
        </w:rPr>
        <w:t xml:space="preserve">Así lo determina la parte introductoria de la minuta tipo que expresamente dispone que </w:t>
      </w:r>
      <w:r w:rsidRPr="003C05E6">
        <w:rPr>
          <w:rFonts w:ascii="Arial" w:eastAsia="Calibri" w:hAnsi="Arial" w:cs="Arial"/>
          <w:sz w:val="20"/>
          <w:szCs w:val="20"/>
          <w:lang w:val="es-MX"/>
        </w:rPr>
        <w:t>«</w:t>
      </w:r>
      <w:r w:rsidRPr="003C05E6">
        <w:rPr>
          <w:rFonts w:ascii="Arial" w:eastAsia="Calibri" w:hAnsi="Arial" w:cs="Arial"/>
          <w:color w:val="000000"/>
          <w:sz w:val="20"/>
          <w:szCs w:val="20"/>
          <w:shd w:val="clear" w:color="auto" w:fill="FFFFFF"/>
          <w:lang w:val="es-MX"/>
        </w:rPr>
        <w:t>Debido a que la prestación del servicio catastral es integral, en los términos del artículo 2.2.2.5.6. del Decreto 1983 de 2019, se contratará la actividad de formación o actualización catastral junto con su conservación. Es decir, no será posible contratar de forma aislada, con fundamento en esta minuta, las actividades de formación, actualización o conservación catastral</w:t>
      </w:r>
      <w:r w:rsidRPr="003C05E6">
        <w:rPr>
          <w:rFonts w:ascii="Arial" w:eastAsia="Calibri" w:hAnsi="Arial" w:cs="Arial"/>
          <w:sz w:val="20"/>
          <w:szCs w:val="20"/>
          <w:lang w:val="es-MX"/>
        </w:rPr>
        <w:t>».</w:t>
      </w:r>
    </w:p>
    <w:p w14:paraId="483590E2" w14:textId="77777777" w:rsidR="003C05E6" w:rsidRPr="003C38DF" w:rsidRDefault="003C05E6" w:rsidP="003C38DF">
      <w:pPr>
        <w:spacing w:after="0" w:line="240" w:lineRule="auto"/>
        <w:jc w:val="both"/>
        <w:rPr>
          <w:rFonts w:ascii="Arial" w:eastAsia="Calibri" w:hAnsi="Arial" w:cs="Arial"/>
          <w:b/>
          <w:color w:val="000000"/>
          <w:lang w:val="es-MX"/>
        </w:rPr>
      </w:pPr>
    </w:p>
    <w:p w14:paraId="154E524F" w14:textId="02CB57E1" w:rsidR="003C38DF" w:rsidRPr="003C38DF" w:rsidRDefault="003C38DF" w:rsidP="00D64D59">
      <w:pPr>
        <w:spacing w:after="0" w:line="240" w:lineRule="auto"/>
        <w:jc w:val="both"/>
        <w:rPr>
          <w:rFonts w:ascii="Arial" w:eastAsia="Calibri" w:hAnsi="Arial" w:cs="Arial"/>
          <w:sz w:val="20"/>
          <w:szCs w:val="20"/>
        </w:rPr>
      </w:pPr>
      <w:r w:rsidRPr="003C38DF">
        <w:rPr>
          <w:rFonts w:ascii="Arial" w:eastAsia="Calibri" w:hAnsi="Arial" w:cs="Arial"/>
          <w:b/>
          <w:color w:val="000000"/>
          <w:lang w:val="es-MX"/>
        </w:rPr>
        <w:t xml:space="preserve">DOCUMENTO TIPO DE GESTIÓN CATASTRAL – </w:t>
      </w:r>
      <w:r w:rsidR="00D64D59">
        <w:rPr>
          <w:rFonts w:ascii="Arial" w:eastAsia="Calibri" w:hAnsi="Arial" w:cs="Arial"/>
          <w:b/>
          <w:color w:val="000000"/>
          <w:lang w:val="es-MX"/>
        </w:rPr>
        <w:t>Inalterabilidad</w:t>
      </w:r>
    </w:p>
    <w:p w14:paraId="547BFD42" w14:textId="77777777" w:rsidR="003C38DF" w:rsidRPr="003C38DF" w:rsidRDefault="003C38DF" w:rsidP="003C38DF">
      <w:pPr>
        <w:spacing w:after="0" w:line="240" w:lineRule="auto"/>
        <w:jc w:val="both"/>
        <w:rPr>
          <w:rFonts w:ascii="Arial" w:eastAsia="Calibri" w:hAnsi="Arial" w:cs="Arial"/>
          <w:color w:val="000000"/>
          <w:lang w:val="es-MX"/>
        </w:rPr>
      </w:pPr>
    </w:p>
    <w:p w14:paraId="4D645B39" w14:textId="77777777" w:rsidR="003C05E6" w:rsidRPr="00835CA7" w:rsidRDefault="003C05E6" w:rsidP="00835CA7">
      <w:pPr>
        <w:spacing w:after="120" w:line="240" w:lineRule="auto"/>
        <w:jc w:val="both"/>
        <w:rPr>
          <w:rFonts w:ascii="Arial" w:eastAsia="Calibri" w:hAnsi="Arial" w:cs="Arial"/>
          <w:sz w:val="20"/>
          <w:szCs w:val="20"/>
          <w:lang w:val="es-ES_tradnl"/>
        </w:rPr>
      </w:pPr>
      <w:r w:rsidRPr="00835CA7">
        <w:rPr>
          <w:rFonts w:ascii="Arial" w:eastAsia="Calibri" w:hAnsi="Arial" w:cs="Arial"/>
          <w:sz w:val="20"/>
          <w:szCs w:val="20"/>
          <w:lang w:val="es-ES_tradnl"/>
        </w:rPr>
        <w:t>El artículo 3 de la Resolución 269 del 16 de diciembre de 2021 «</w:t>
      </w:r>
      <w:r w:rsidRPr="00835CA7">
        <w:rPr>
          <w:rFonts w:ascii="Arial" w:hAnsi="Arial" w:cs="Arial"/>
          <w:sz w:val="20"/>
          <w:szCs w:val="20"/>
        </w:rPr>
        <w:t>Por la cual se adopta el documento tipo para los procesos de gestión catastral con enfoque multipropósito que se celebren a través de contratos interadministrativos», dispone sobre la regla de inalterabilidad de estos documentos tipo.</w:t>
      </w:r>
      <w:r w:rsidRPr="00835CA7">
        <w:rPr>
          <w:rFonts w:ascii="Arial" w:eastAsia="Calibri" w:hAnsi="Arial" w:cs="Arial"/>
          <w:sz w:val="20"/>
          <w:szCs w:val="20"/>
          <w:lang w:val="es-ES_tradnl"/>
        </w:rPr>
        <w:t xml:space="preserve"> Así, se determina que las condiciones establecidas en los documentos tipo de gestión catastral con enfoque multipropósito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E0C830F" w14:textId="77777777" w:rsidR="003C05E6" w:rsidRPr="00835CA7" w:rsidRDefault="003C05E6" w:rsidP="00835CA7">
      <w:pPr>
        <w:spacing w:after="120" w:line="240" w:lineRule="auto"/>
        <w:jc w:val="both"/>
        <w:rPr>
          <w:rFonts w:ascii="Arial" w:eastAsia="Calibri" w:hAnsi="Arial" w:cs="Arial"/>
          <w:sz w:val="20"/>
          <w:szCs w:val="20"/>
          <w:lang w:val="es-MX"/>
        </w:rPr>
      </w:pPr>
      <w:r w:rsidRPr="00835CA7">
        <w:rPr>
          <w:rFonts w:ascii="Arial" w:eastAsia="Calibri" w:hAnsi="Arial" w:cs="Arial"/>
          <w:sz w:val="20"/>
          <w:szCs w:val="20"/>
          <w:lang w:val="es-MX"/>
        </w:rPr>
        <w:t>Adicionalmente, la parte introductoria de la minuta tipo, del documento tipo de gestión catastral con enfoque multipropósito, dispone que «</w:t>
      </w:r>
      <w:r w:rsidRPr="00835CA7">
        <w:rPr>
          <w:rFonts w:ascii="Arial" w:hAnsi="Arial" w:cs="Arial"/>
          <w:color w:val="000000"/>
          <w:sz w:val="20"/>
          <w:szCs w:val="20"/>
          <w:highlight w:val="lightGray"/>
        </w:rPr>
        <w:t>[l]os aspectos incluidos en corchetes y resaltados en gris, al igual que los espacios con una raya “____” deben ser diligenciados por el Municipio, por lo que su contenido es susceptible de modificación</w:t>
      </w:r>
      <w:r w:rsidRPr="00835CA7">
        <w:rPr>
          <w:rFonts w:ascii="Arial" w:hAnsi="Arial" w:cs="Arial"/>
          <w:color w:val="000000"/>
          <w:sz w:val="20"/>
          <w:szCs w:val="20"/>
        </w:rPr>
        <w:t xml:space="preserve"> […]»</w:t>
      </w:r>
      <w:r w:rsidRPr="00835CA7">
        <w:rPr>
          <w:rFonts w:ascii="Arial" w:eastAsia="Calibri" w:hAnsi="Arial" w:cs="Arial"/>
          <w:sz w:val="20"/>
          <w:szCs w:val="20"/>
          <w:lang w:val="es-MX"/>
        </w:rPr>
        <w:t xml:space="preserve">. Así mismo, la minuta establece que </w:t>
      </w:r>
      <w:r w:rsidRPr="00835CA7">
        <w:rPr>
          <w:rFonts w:ascii="Arial" w:hAnsi="Arial" w:cs="Arial"/>
          <w:color w:val="000000"/>
          <w:sz w:val="20"/>
          <w:szCs w:val="20"/>
          <w:highlight w:val="lightGray"/>
        </w:rPr>
        <w:t xml:space="preserve">[Cuando se utilice el símbolo: </w:t>
      </w:r>
      <w:proofErr w:type="gramStart"/>
      <w:r w:rsidRPr="00835CA7">
        <w:rPr>
          <w:rFonts w:ascii="Arial" w:hAnsi="Arial" w:cs="Arial"/>
          <w:color w:val="000000"/>
          <w:sz w:val="20"/>
          <w:szCs w:val="20"/>
          <w:highlight w:val="lightGray"/>
        </w:rPr>
        <w:t>“ /</w:t>
      </w:r>
      <w:proofErr w:type="gramEnd"/>
      <w:r w:rsidRPr="00835CA7">
        <w:rPr>
          <w:rFonts w:ascii="Arial" w:hAnsi="Arial" w:cs="Arial"/>
          <w:color w:val="000000"/>
          <w:sz w:val="20"/>
          <w:szCs w:val="20"/>
          <w:highlight w:val="lightGray"/>
        </w:rPr>
        <w:t xml:space="preserve"> ” significa que se puede seleccionar entre una u otra opción]</w:t>
      </w:r>
      <w:r w:rsidRPr="00835CA7">
        <w:rPr>
          <w:rFonts w:ascii="Arial" w:hAnsi="Arial" w:cs="Arial"/>
          <w:color w:val="000000"/>
          <w:sz w:val="20"/>
          <w:szCs w:val="20"/>
        </w:rPr>
        <w:t>.</w:t>
      </w:r>
      <w:r w:rsidRPr="00835CA7">
        <w:rPr>
          <w:rFonts w:ascii="Arial" w:eastAsia="Calibri" w:hAnsi="Arial" w:cs="Arial"/>
          <w:sz w:val="20"/>
          <w:szCs w:val="20"/>
          <w:lang w:val="es-MX"/>
        </w:rPr>
        <w:t xml:space="preserve"> Conforme con lo anterior, en cada acápite que esté resaltado en gris el municipio tendrá la libertad de determinar la información que se diligenciará en esta minuta, o seleccionar entre una u otra opción, de acuerdo con su necesidad y las instrucciones que se de en esta. </w:t>
      </w:r>
    </w:p>
    <w:p w14:paraId="3B4D412A" w14:textId="77777777" w:rsidR="003C05E6" w:rsidRPr="00835CA7" w:rsidRDefault="003C05E6" w:rsidP="00835CA7">
      <w:pPr>
        <w:spacing w:after="0" w:line="240" w:lineRule="auto"/>
        <w:jc w:val="both"/>
        <w:rPr>
          <w:rFonts w:ascii="Arial" w:eastAsia="Calibri" w:hAnsi="Arial" w:cs="Arial"/>
          <w:sz w:val="20"/>
          <w:szCs w:val="20"/>
          <w:lang w:val="es-MX"/>
        </w:rPr>
      </w:pPr>
      <w:r w:rsidRPr="00835CA7">
        <w:rPr>
          <w:rFonts w:ascii="Arial" w:eastAsia="Calibri" w:hAnsi="Arial" w:cs="Arial"/>
          <w:sz w:val="20"/>
          <w:szCs w:val="20"/>
          <w:lang w:val="es-MX"/>
        </w:rPr>
        <w:t>El carácter inalterable de los documentos tipo no puede, entonces,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 es decir, no afectan su contenido esencial y, mucho menos, las obligaciones, deberes y derechos que se derivan para las partes contratantes.</w:t>
      </w:r>
    </w:p>
    <w:p w14:paraId="33AFAA1D" w14:textId="77777777" w:rsidR="003C38DF" w:rsidRPr="00835CA7" w:rsidRDefault="003C38DF" w:rsidP="00835CA7">
      <w:pPr>
        <w:spacing w:after="0" w:line="240" w:lineRule="auto"/>
        <w:jc w:val="both"/>
        <w:rPr>
          <w:rFonts w:ascii="Arial" w:eastAsia="Calibri" w:hAnsi="Arial" w:cs="Arial"/>
          <w:color w:val="000000"/>
          <w:sz w:val="20"/>
          <w:szCs w:val="20"/>
          <w:lang w:val="es-MX"/>
        </w:rPr>
      </w:pPr>
    </w:p>
    <w:p w14:paraId="751DEBE8" w14:textId="5C59CE18" w:rsidR="003C38DF" w:rsidRDefault="003C38DF" w:rsidP="00835CA7">
      <w:pPr>
        <w:spacing w:after="0" w:line="240" w:lineRule="auto"/>
        <w:jc w:val="both"/>
        <w:rPr>
          <w:rFonts w:ascii="Arial" w:eastAsia="Calibri" w:hAnsi="Arial" w:cs="Arial"/>
          <w:color w:val="000000"/>
          <w:sz w:val="20"/>
          <w:szCs w:val="20"/>
        </w:rPr>
      </w:pPr>
    </w:p>
    <w:p w14:paraId="7C4444F5" w14:textId="62166DD4" w:rsidR="00835CA7" w:rsidRDefault="00835CA7" w:rsidP="00835CA7">
      <w:pPr>
        <w:spacing w:after="0" w:line="240" w:lineRule="auto"/>
        <w:jc w:val="both"/>
        <w:rPr>
          <w:rFonts w:ascii="Arial" w:eastAsia="Calibri" w:hAnsi="Arial" w:cs="Arial"/>
          <w:color w:val="000000"/>
          <w:sz w:val="20"/>
          <w:szCs w:val="20"/>
        </w:rPr>
      </w:pPr>
    </w:p>
    <w:p w14:paraId="11803D8D" w14:textId="7FC61466" w:rsidR="00835CA7" w:rsidRDefault="00835CA7" w:rsidP="00835CA7">
      <w:pPr>
        <w:spacing w:after="0" w:line="240" w:lineRule="auto"/>
        <w:jc w:val="both"/>
        <w:rPr>
          <w:rFonts w:ascii="Arial" w:eastAsia="Calibri" w:hAnsi="Arial" w:cs="Arial"/>
          <w:color w:val="000000"/>
          <w:sz w:val="20"/>
          <w:szCs w:val="20"/>
        </w:rPr>
      </w:pPr>
    </w:p>
    <w:p w14:paraId="6D098683" w14:textId="217A3A5D" w:rsidR="00835CA7" w:rsidRDefault="00835CA7" w:rsidP="00835CA7">
      <w:pPr>
        <w:spacing w:after="0" w:line="240" w:lineRule="auto"/>
        <w:jc w:val="both"/>
        <w:rPr>
          <w:rFonts w:ascii="Arial" w:eastAsia="Calibri" w:hAnsi="Arial" w:cs="Arial"/>
          <w:color w:val="000000"/>
          <w:sz w:val="20"/>
          <w:szCs w:val="20"/>
        </w:rPr>
      </w:pPr>
    </w:p>
    <w:p w14:paraId="691DD57A" w14:textId="3893A567" w:rsidR="00835CA7" w:rsidRDefault="00835CA7" w:rsidP="00835CA7">
      <w:pPr>
        <w:spacing w:after="0" w:line="240" w:lineRule="auto"/>
        <w:jc w:val="both"/>
        <w:rPr>
          <w:rFonts w:ascii="Arial" w:eastAsia="Calibri" w:hAnsi="Arial" w:cs="Arial"/>
          <w:color w:val="000000"/>
          <w:sz w:val="20"/>
          <w:szCs w:val="20"/>
        </w:rPr>
      </w:pPr>
    </w:p>
    <w:p w14:paraId="133D3278" w14:textId="77777777" w:rsidR="00835CA7" w:rsidRPr="00835CA7" w:rsidRDefault="00835CA7" w:rsidP="00835CA7">
      <w:pPr>
        <w:spacing w:after="0" w:line="240" w:lineRule="auto"/>
        <w:jc w:val="both"/>
        <w:rPr>
          <w:rFonts w:ascii="Arial" w:eastAsia="Calibri" w:hAnsi="Arial" w:cs="Arial"/>
          <w:color w:val="000000"/>
          <w:sz w:val="20"/>
          <w:szCs w:val="20"/>
        </w:rPr>
      </w:pPr>
    </w:p>
    <w:p w14:paraId="192C185B" w14:textId="4BAF1594" w:rsidR="00D64D59" w:rsidRPr="00835CA7" w:rsidRDefault="00D64D59" w:rsidP="00835CA7">
      <w:pPr>
        <w:spacing w:after="0" w:line="240" w:lineRule="auto"/>
        <w:jc w:val="both"/>
        <w:rPr>
          <w:rFonts w:ascii="Arial" w:eastAsia="Calibri" w:hAnsi="Arial" w:cs="Arial"/>
          <w:color w:val="000000"/>
          <w:sz w:val="20"/>
          <w:szCs w:val="20"/>
        </w:rPr>
      </w:pPr>
    </w:p>
    <w:p w14:paraId="05EBC5A1" w14:textId="2138D7E6" w:rsidR="00203833" w:rsidRDefault="00203833" w:rsidP="00203833">
      <w:pPr>
        <w:tabs>
          <w:tab w:val="left" w:pos="1535"/>
        </w:tabs>
        <w:spacing w:after="0" w:line="240" w:lineRule="auto"/>
        <w:jc w:val="right"/>
        <w:rPr>
          <w:rFonts w:ascii="Arial" w:eastAsia="Times New Roman" w:hAnsi="Arial" w:cs="Arial"/>
          <w:szCs w:val="24"/>
          <w:lang w:val="es-MX" w:eastAsia="es-ES"/>
        </w:rPr>
      </w:pPr>
      <w:r>
        <w:rPr>
          <w:noProof/>
        </w:rPr>
        <w:lastRenderedPageBreak/>
        <w:drawing>
          <wp:inline distT="0" distB="0" distL="0" distR="0" wp14:anchorId="1CBF48BB" wp14:editId="154FE1AD">
            <wp:extent cx="3302520" cy="8953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54311" t="34716" r="7502" b="46870"/>
                    <a:stretch/>
                  </pic:blipFill>
                  <pic:spPr bwMode="auto">
                    <a:xfrm>
                      <a:off x="0" y="0"/>
                      <a:ext cx="3306686" cy="896479"/>
                    </a:xfrm>
                    <a:prstGeom prst="rect">
                      <a:avLst/>
                    </a:prstGeom>
                    <a:ln>
                      <a:noFill/>
                    </a:ln>
                    <a:extLst>
                      <a:ext uri="{53640926-AAD7-44D8-BBD7-CCE9431645EC}">
                        <a14:shadowObscured xmlns:a14="http://schemas.microsoft.com/office/drawing/2010/main"/>
                      </a:ext>
                    </a:extLst>
                  </pic:spPr>
                </pic:pic>
              </a:graphicData>
            </a:graphic>
          </wp:inline>
        </w:drawing>
      </w:r>
    </w:p>
    <w:p w14:paraId="7D217A6E" w14:textId="539E95F5" w:rsidR="003C38DF" w:rsidRPr="003C38DF" w:rsidRDefault="00203833" w:rsidP="00203833">
      <w:pPr>
        <w:tabs>
          <w:tab w:val="left" w:pos="1535"/>
        </w:tabs>
        <w:spacing w:after="0" w:line="240" w:lineRule="auto"/>
        <w:rPr>
          <w:rFonts w:ascii="Arial" w:eastAsia="Calibri" w:hAnsi="Arial" w:cs="Arial"/>
          <w:color w:val="000000"/>
          <w:lang w:val="pt-BR"/>
        </w:rPr>
      </w:pPr>
      <w:r>
        <w:rPr>
          <w:rFonts w:ascii="Arial" w:eastAsia="Times New Roman" w:hAnsi="Arial" w:cs="Arial"/>
          <w:szCs w:val="24"/>
          <w:lang w:val="es-MX" w:eastAsia="es-ES"/>
        </w:rPr>
        <w:t>Bogotá 29 de agosto de 2022</w:t>
      </w:r>
    </w:p>
    <w:p w14:paraId="0862CA45" w14:textId="77777777" w:rsidR="003C38DF" w:rsidRPr="003C38DF" w:rsidRDefault="003C38DF" w:rsidP="003C38DF">
      <w:pPr>
        <w:tabs>
          <w:tab w:val="left" w:pos="1535"/>
        </w:tabs>
        <w:spacing w:after="0" w:line="240" w:lineRule="auto"/>
        <w:jc w:val="both"/>
        <w:rPr>
          <w:rFonts w:ascii="Arial" w:eastAsia="Calibri" w:hAnsi="Arial" w:cs="Arial"/>
          <w:color w:val="000000"/>
          <w:lang w:val="pt-BR"/>
        </w:rPr>
      </w:pPr>
    </w:p>
    <w:p w14:paraId="50F679BB" w14:textId="5BF55748" w:rsidR="003C38DF" w:rsidRDefault="003C38DF" w:rsidP="00F362E5">
      <w:pPr>
        <w:tabs>
          <w:tab w:val="left" w:pos="1535"/>
        </w:tabs>
        <w:spacing w:after="0" w:line="276" w:lineRule="auto"/>
        <w:jc w:val="both"/>
        <w:rPr>
          <w:rFonts w:ascii="Arial" w:eastAsia="Calibri" w:hAnsi="Arial" w:cs="Arial"/>
          <w:color w:val="000000"/>
          <w:lang w:val="pt-BR"/>
        </w:rPr>
      </w:pPr>
    </w:p>
    <w:p w14:paraId="6E224DFA" w14:textId="73C956F0" w:rsidR="00835CA7" w:rsidRDefault="00835CA7" w:rsidP="00F362E5">
      <w:pPr>
        <w:tabs>
          <w:tab w:val="left" w:pos="1535"/>
        </w:tabs>
        <w:spacing w:after="0" w:line="276" w:lineRule="auto"/>
        <w:jc w:val="both"/>
        <w:rPr>
          <w:rFonts w:ascii="Arial" w:eastAsia="Calibri" w:hAnsi="Arial" w:cs="Arial"/>
          <w:color w:val="000000"/>
          <w:lang w:val="pt-BR"/>
        </w:rPr>
      </w:pPr>
    </w:p>
    <w:p w14:paraId="0E192D9A" w14:textId="77777777" w:rsidR="00835CA7" w:rsidRPr="003C38DF" w:rsidRDefault="00835CA7" w:rsidP="00F362E5">
      <w:pPr>
        <w:tabs>
          <w:tab w:val="left" w:pos="1535"/>
        </w:tabs>
        <w:spacing w:after="0" w:line="276" w:lineRule="auto"/>
        <w:jc w:val="both"/>
        <w:rPr>
          <w:rFonts w:ascii="Arial" w:eastAsia="Calibri" w:hAnsi="Arial" w:cs="Arial"/>
          <w:color w:val="000000"/>
          <w:lang w:val="pt-BR"/>
        </w:rPr>
      </w:pPr>
    </w:p>
    <w:p w14:paraId="1AA8CB69" w14:textId="36BDD53D" w:rsidR="003C38DF" w:rsidRDefault="003C38DF" w:rsidP="00651121">
      <w:pPr>
        <w:tabs>
          <w:tab w:val="left" w:pos="1535"/>
        </w:tabs>
        <w:spacing w:after="0" w:line="276" w:lineRule="auto"/>
        <w:jc w:val="both"/>
        <w:rPr>
          <w:rFonts w:ascii="Arial" w:eastAsia="Calibri" w:hAnsi="Arial" w:cs="Arial"/>
          <w:color w:val="000000"/>
          <w:lang w:val="es-ES_tradnl"/>
        </w:rPr>
      </w:pPr>
      <w:bookmarkStart w:id="4" w:name="_Hlk112667556"/>
      <w:r w:rsidRPr="003C38DF">
        <w:rPr>
          <w:rFonts w:ascii="Arial" w:eastAsia="Calibri" w:hAnsi="Arial" w:cs="Arial"/>
          <w:color w:val="000000"/>
          <w:lang w:val="es-ES_tradnl"/>
        </w:rPr>
        <w:t>Señor</w:t>
      </w:r>
    </w:p>
    <w:p w14:paraId="2BAA58EE" w14:textId="310F97DA" w:rsidR="00F362E5" w:rsidRPr="003C38DF" w:rsidRDefault="00F362E5" w:rsidP="00651121">
      <w:pPr>
        <w:tabs>
          <w:tab w:val="left" w:pos="1535"/>
        </w:tabs>
        <w:spacing w:after="0" w:line="276" w:lineRule="auto"/>
        <w:jc w:val="both"/>
        <w:rPr>
          <w:rFonts w:ascii="Arial" w:eastAsia="Calibri" w:hAnsi="Arial" w:cs="Arial"/>
          <w:b/>
          <w:bCs/>
          <w:color w:val="000000"/>
          <w:lang w:val="es-ES_tradnl"/>
        </w:rPr>
      </w:pPr>
      <w:r w:rsidRPr="00F362E5">
        <w:rPr>
          <w:rFonts w:ascii="Arial" w:eastAsia="Calibri" w:hAnsi="Arial" w:cs="Arial"/>
          <w:b/>
          <w:bCs/>
          <w:color w:val="000000"/>
          <w:lang w:val="es-ES_tradnl"/>
        </w:rPr>
        <w:t>Carlos Alfonso Sabogal Mart</w:t>
      </w:r>
      <w:r>
        <w:rPr>
          <w:rFonts w:ascii="Arial" w:eastAsia="Calibri" w:hAnsi="Arial" w:cs="Arial"/>
          <w:b/>
          <w:bCs/>
          <w:color w:val="000000"/>
          <w:lang w:val="es-ES_tradnl"/>
        </w:rPr>
        <w:t>í</w:t>
      </w:r>
      <w:r w:rsidRPr="00F362E5">
        <w:rPr>
          <w:rFonts w:ascii="Arial" w:eastAsia="Calibri" w:hAnsi="Arial" w:cs="Arial"/>
          <w:b/>
          <w:bCs/>
          <w:color w:val="000000"/>
          <w:lang w:val="es-ES_tradnl"/>
        </w:rPr>
        <w:t xml:space="preserve">nez </w:t>
      </w:r>
    </w:p>
    <w:p w14:paraId="4CA2EA1F" w14:textId="3890660B" w:rsidR="003C38DF" w:rsidRDefault="00F362E5" w:rsidP="00651121">
      <w:pPr>
        <w:spacing w:after="0" w:line="276" w:lineRule="auto"/>
        <w:jc w:val="both"/>
        <w:rPr>
          <w:rFonts w:ascii="Arial" w:eastAsia="Calibri" w:hAnsi="Arial" w:cs="Arial"/>
          <w:color w:val="000000"/>
          <w:lang w:val="es-ES_tradnl"/>
        </w:rPr>
      </w:pPr>
      <w:r w:rsidRPr="00F362E5">
        <w:rPr>
          <w:rFonts w:ascii="Arial" w:eastAsia="Calibri" w:hAnsi="Arial" w:cs="Arial"/>
          <w:color w:val="000000"/>
          <w:lang w:val="es-ES_tradnl"/>
        </w:rPr>
        <w:t>Bogotá D.C</w:t>
      </w:r>
    </w:p>
    <w:p w14:paraId="16A77F87" w14:textId="27B45A0E" w:rsidR="00835CA7" w:rsidRDefault="00835CA7" w:rsidP="00651121">
      <w:pPr>
        <w:spacing w:after="0" w:line="276" w:lineRule="auto"/>
        <w:jc w:val="both"/>
        <w:rPr>
          <w:rFonts w:ascii="Arial" w:eastAsia="Calibri" w:hAnsi="Arial" w:cs="Arial"/>
          <w:color w:val="000000"/>
          <w:lang w:val="es-ES_tradnl"/>
        </w:rPr>
      </w:pPr>
    </w:p>
    <w:p w14:paraId="4CEF84EE" w14:textId="1BCB80FF" w:rsidR="00835CA7" w:rsidRDefault="00835CA7" w:rsidP="00651121">
      <w:pPr>
        <w:spacing w:after="0" w:line="276" w:lineRule="auto"/>
        <w:jc w:val="both"/>
        <w:rPr>
          <w:rFonts w:ascii="Arial" w:eastAsia="Calibri" w:hAnsi="Arial" w:cs="Arial"/>
          <w:color w:val="000000"/>
          <w:lang w:val="es-ES_tradnl"/>
        </w:rPr>
      </w:pPr>
    </w:p>
    <w:p w14:paraId="692064A4" w14:textId="77777777" w:rsidR="00835CA7" w:rsidRPr="003C38DF" w:rsidRDefault="00835CA7" w:rsidP="00651121">
      <w:pPr>
        <w:spacing w:after="0" w:line="276" w:lineRule="auto"/>
        <w:jc w:val="both"/>
        <w:rPr>
          <w:rFonts w:ascii="Arial" w:eastAsia="Calibri" w:hAnsi="Arial" w:cs="Arial"/>
          <w:color w:val="000000"/>
          <w:lang w:val="es-ES_tradnl"/>
        </w:rPr>
      </w:pPr>
    </w:p>
    <w:p w14:paraId="20FC8539" w14:textId="77777777" w:rsidR="003C38DF" w:rsidRPr="003C38DF" w:rsidRDefault="003C38DF" w:rsidP="003C38DF">
      <w:pPr>
        <w:spacing w:after="0" w:line="240" w:lineRule="auto"/>
        <w:jc w:val="both"/>
        <w:rPr>
          <w:rFonts w:ascii="Arial" w:eastAsia="Calibri" w:hAnsi="Arial" w:cs="Arial"/>
          <w:color w:val="000000"/>
          <w:lang w:val="es-ES_tradnl"/>
        </w:rPr>
      </w:pPr>
    </w:p>
    <w:p w14:paraId="128FAD02" w14:textId="6B194B65" w:rsidR="003C38DF" w:rsidRPr="003C38DF" w:rsidRDefault="003C38DF" w:rsidP="003C38DF">
      <w:pPr>
        <w:spacing w:after="0" w:line="240" w:lineRule="auto"/>
        <w:rPr>
          <w:rFonts w:ascii="Arial" w:eastAsia="Calibri" w:hAnsi="Arial" w:cs="Arial"/>
          <w:b/>
          <w:bCs/>
          <w:color w:val="000000"/>
          <w:lang w:val="es-ES_tradnl"/>
        </w:rPr>
      </w:pPr>
      <w:r w:rsidRPr="003C38DF">
        <w:rPr>
          <w:rFonts w:ascii="Arial" w:eastAsia="Calibri" w:hAnsi="Arial" w:cs="Arial"/>
          <w:b/>
          <w:bCs/>
          <w:color w:val="000000"/>
          <w:lang w:val="es-ES_tradnl"/>
        </w:rPr>
        <w:t xml:space="preserve">                                            Concepto C ‒ </w:t>
      </w:r>
      <w:r w:rsidR="00F362E5">
        <w:rPr>
          <w:rFonts w:ascii="Arial" w:eastAsia="Calibri" w:hAnsi="Arial" w:cs="Arial"/>
          <w:b/>
          <w:bCs/>
          <w:color w:val="000000"/>
          <w:lang w:val="es-ES_tradnl"/>
        </w:rPr>
        <w:t>551</w:t>
      </w:r>
      <w:r w:rsidRPr="003C38DF">
        <w:rPr>
          <w:rFonts w:ascii="Arial" w:eastAsia="Calibri" w:hAnsi="Arial" w:cs="Arial"/>
          <w:b/>
          <w:bCs/>
          <w:color w:val="000000"/>
          <w:lang w:val="es-ES_tradnl"/>
        </w:rPr>
        <w:t xml:space="preserve"> de 202</w:t>
      </w:r>
      <w:r w:rsidR="00F362E5">
        <w:rPr>
          <w:rFonts w:ascii="Arial" w:eastAsia="Calibri" w:hAnsi="Arial" w:cs="Arial"/>
          <w:b/>
          <w:bCs/>
          <w:color w:val="000000"/>
          <w:lang w:val="es-ES_tradnl"/>
        </w:rPr>
        <w:t>2</w:t>
      </w:r>
    </w:p>
    <w:p w14:paraId="2CECDC47" w14:textId="77777777" w:rsidR="003C38DF" w:rsidRPr="003C38DF" w:rsidRDefault="003C38DF" w:rsidP="003C38DF">
      <w:pPr>
        <w:spacing w:after="0" w:line="240" w:lineRule="auto"/>
        <w:rPr>
          <w:rFonts w:ascii="Arial" w:eastAsia="Calibri" w:hAnsi="Arial" w:cs="Arial"/>
          <w:b/>
          <w:bCs/>
          <w:color w:val="000000"/>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3C38DF" w:rsidRPr="003C38DF" w14:paraId="49580C48" w14:textId="77777777" w:rsidTr="00A24141">
        <w:trPr>
          <w:trHeight w:val="1174"/>
        </w:trPr>
        <w:tc>
          <w:tcPr>
            <w:tcW w:w="2689" w:type="dxa"/>
          </w:tcPr>
          <w:p w14:paraId="15CB4C43" w14:textId="77777777" w:rsidR="003C38DF" w:rsidRPr="003C38DF" w:rsidRDefault="003C38DF" w:rsidP="003C38DF">
            <w:pPr>
              <w:jc w:val="both"/>
              <w:rPr>
                <w:rFonts w:ascii="Arial" w:eastAsia="Calibri" w:hAnsi="Arial" w:cs="Arial"/>
                <w:color w:val="000000"/>
                <w:lang w:val="es-ES_tradnl"/>
              </w:rPr>
            </w:pPr>
            <w:r w:rsidRPr="003C38DF">
              <w:rPr>
                <w:rFonts w:ascii="Arial" w:eastAsia="Calibri" w:hAnsi="Arial" w:cs="Arial"/>
                <w:b/>
                <w:color w:val="000000"/>
                <w:lang w:val="es-ES_tradnl"/>
              </w:rPr>
              <w:t>Temas:</w:t>
            </w:r>
            <w:r w:rsidRPr="003C38DF">
              <w:rPr>
                <w:rFonts w:ascii="Arial" w:eastAsia="Calibri" w:hAnsi="Arial" w:cs="Arial"/>
                <w:color w:val="000000"/>
                <w:lang w:val="es-ES_tradnl"/>
              </w:rPr>
              <w:t xml:space="preserve"> </w:t>
            </w:r>
          </w:p>
        </w:tc>
        <w:tc>
          <w:tcPr>
            <w:tcW w:w="6237" w:type="dxa"/>
          </w:tcPr>
          <w:p w14:paraId="419971E0" w14:textId="77777777" w:rsidR="00034531" w:rsidRPr="00034531" w:rsidRDefault="003C38DF" w:rsidP="00034531">
            <w:pPr>
              <w:jc w:val="both"/>
              <w:rPr>
                <w:rFonts w:ascii="Arial" w:eastAsia="Calibri" w:hAnsi="Arial" w:cs="Arial"/>
                <w:bCs/>
                <w:sz w:val="20"/>
                <w:szCs w:val="20"/>
              </w:rPr>
            </w:pPr>
            <w:r w:rsidRPr="003C38DF">
              <w:rPr>
                <w:rFonts w:ascii="Arial" w:eastAsia="Calibri" w:hAnsi="Arial" w:cs="Arial"/>
              </w:rPr>
              <w:t xml:space="preserve">SERVICIO PÚBLICO DE GESTIÓN CATASTRAL ‒ Concepto / GESTORES CATASTRALES ‒ Requisitos ‒ Entidades públicas ‒ Contratación / MINUTA TIPO ‒ Documento tipo ‒ Catastro multipropósito ‒ Contrato interadministrativo </w:t>
            </w:r>
            <w:r w:rsidRPr="003C38DF">
              <w:rPr>
                <w:rFonts w:ascii="Arial" w:eastAsia="Calibri" w:hAnsi="Arial" w:cs="Arial"/>
                <w:color w:val="000000"/>
                <w:lang w:val="es-MX"/>
              </w:rPr>
              <w:t xml:space="preserve">/ </w:t>
            </w:r>
            <w:r w:rsidRPr="003C38DF">
              <w:rPr>
                <w:rFonts w:ascii="Arial" w:eastAsia="Calibri" w:hAnsi="Arial" w:cs="Arial"/>
              </w:rPr>
              <w:t>MINUTA TIPO ‒ Ámbito de aplicación ‒ Servicio de gestión catastral integral</w:t>
            </w:r>
            <w:r w:rsidRPr="003C38DF">
              <w:rPr>
                <w:rFonts w:ascii="Arial" w:eastAsia="Calibri" w:hAnsi="Arial" w:cs="Arial"/>
                <w:color w:val="000000"/>
                <w:lang w:val="es-MX"/>
              </w:rPr>
              <w:t xml:space="preserve"> / </w:t>
            </w:r>
            <w:r w:rsidR="00034531" w:rsidRPr="00034531">
              <w:rPr>
                <w:rFonts w:ascii="Arial" w:eastAsia="Calibri" w:hAnsi="Arial" w:cs="Arial"/>
                <w:bCs/>
                <w:color w:val="000000"/>
                <w:lang w:val="es-MX"/>
              </w:rPr>
              <w:t>DOCUMENTO TIPO DE GESTIÓN CATASTRAL – Inalterabilidad</w:t>
            </w:r>
          </w:p>
          <w:p w14:paraId="3D92F1EE" w14:textId="36B27CA3" w:rsidR="003C38DF" w:rsidRPr="003C38DF" w:rsidRDefault="003C38DF" w:rsidP="00034531">
            <w:pPr>
              <w:jc w:val="both"/>
              <w:rPr>
                <w:rFonts w:ascii="Arial" w:eastAsia="Calibri" w:hAnsi="Arial" w:cs="Arial"/>
                <w:lang w:val="es-MX"/>
              </w:rPr>
            </w:pPr>
          </w:p>
        </w:tc>
      </w:tr>
      <w:tr w:rsidR="003C38DF" w:rsidRPr="003C38DF" w14:paraId="13E7BC86" w14:textId="77777777" w:rsidTr="00A24141">
        <w:tc>
          <w:tcPr>
            <w:tcW w:w="2689" w:type="dxa"/>
          </w:tcPr>
          <w:p w14:paraId="51DBF14F" w14:textId="77777777" w:rsidR="003C38DF" w:rsidRPr="003C38DF" w:rsidRDefault="003C38DF" w:rsidP="003C38DF">
            <w:pPr>
              <w:spacing w:before="120"/>
              <w:jc w:val="both"/>
              <w:rPr>
                <w:rFonts w:ascii="Arial" w:eastAsia="Calibri" w:hAnsi="Arial" w:cs="Arial"/>
                <w:b/>
                <w:color w:val="000000"/>
                <w:lang w:val="es-ES_tradnl"/>
              </w:rPr>
            </w:pPr>
            <w:r w:rsidRPr="003C38DF">
              <w:rPr>
                <w:rFonts w:ascii="Arial" w:eastAsia="Calibri" w:hAnsi="Arial" w:cs="Arial"/>
                <w:b/>
                <w:color w:val="000000"/>
                <w:lang w:val="es-ES_tradnl"/>
              </w:rPr>
              <w:t>Radicación:</w:t>
            </w:r>
            <w:r w:rsidRPr="003C38DF">
              <w:rPr>
                <w:rFonts w:ascii="Arial" w:eastAsia="Calibri" w:hAnsi="Arial" w:cs="Arial"/>
                <w:color w:val="000000"/>
                <w:lang w:val="es-ES_tradnl"/>
              </w:rPr>
              <w:t xml:space="preserve"> </w:t>
            </w:r>
          </w:p>
        </w:tc>
        <w:tc>
          <w:tcPr>
            <w:tcW w:w="6237" w:type="dxa"/>
          </w:tcPr>
          <w:p w14:paraId="7DC544A7" w14:textId="17EA7528" w:rsidR="003C38DF" w:rsidRPr="003C38DF" w:rsidRDefault="003C38DF" w:rsidP="00831881">
            <w:pPr>
              <w:jc w:val="both"/>
              <w:rPr>
                <w:rFonts w:ascii="Arial" w:eastAsia="Calibri" w:hAnsi="Arial" w:cs="Arial"/>
                <w:color w:val="000000"/>
                <w:lang w:val="es-ES_tradnl"/>
              </w:rPr>
            </w:pPr>
            <w:r w:rsidRPr="003C38DF">
              <w:rPr>
                <w:rFonts w:ascii="Arial" w:eastAsia="Calibri" w:hAnsi="Arial" w:cs="Arial"/>
                <w:color w:val="000000"/>
                <w:lang w:val="es-ES_tradnl"/>
              </w:rPr>
              <w:t xml:space="preserve">Respuesta a la consulta </w:t>
            </w:r>
            <w:r w:rsidR="00F362E5" w:rsidRPr="00F362E5">
              <w:rPr>
                <w:rFonts w:ascii="Arial" w:eastAsia="Calibri" w:hAnsi="Arial" w:cs="Arial"/>
                <w:color w:val="000000"/>
                <w:lang w:val="es-ES_tradnl"/>
              </w:rPr>
              <w:t>P20220721007092</w:t>
            </w:r>
          </w:p>
        </w:tc>
      </w:tr>
    </w:tbl>
    <w:p w14:paraId="4D2DE26E" w14:textId="77777777" w:rsidR="003C38DF" w:rsidRPr="003C38DF" w:rsidRDefault="003C38DF" w:rsidP="003C38DF">
      <w:pPr>
        <w:spacing w:after="0" w:line="240" w:lineRule="auto"/>
        <w:jc w:val="both"/>
        <w:rPr>
          <w:rFonts w:ascii="Arial" w:eastAsia="Calibri" w:hAnsi="Arial" w:cs="Arial"/>
          <w:color w:val="000000"/>
          <w:lang w:val="es-ES_tradnl"/>
        </w:rPr>
      </w:pPr>
    </w:p>
    <w:p w14:paraId="7454684E" w14:textId="0727FA91" w:rsidR="003C38DF" w:rsidRPr="003C38DF" w:rsidRDefault="003C38DF" w:rsidP="003C38DF">
      <w:pPr>
        <w:spacing w:after="0" w:line="240" w:lineRule="auto"/>
        <w:jc w:val="both"/>
        <w:rPr>
          <w:rFonts w:ascii="Arial" w:eastAsia="Calibri" w:hAnsi="Arial" w:cs="Arial"/>
          <w:color w:val="000000"/>
          <w:lang w:val="es-ES_tradnl"/>
        </w:rPr>
      </w:pPr>
      <w:r w:rsidRPr="003C38DF">
        <w:rPr>
          <w:rFonts w:ascii="Arial" w:eastAsia="Calibri" w:hAnsi="Arial" w:cs="Arial"/>
          <w:color w:val="000000"/>
          <w:lang w:val="es-ES_tradnl"/>
        </w:rPr>
        <w:t>Estimad</w:t>
      </w:r>
      <w:r w:rsidR="00F362E5">
        <w:rPr>
          <w:rFonts w:ascii="Arial" w:eastAsia="Calibri" w:hAnsi="Arial" w:cs="Arial"/>
          <w:color w:val="000000"/>
          <w:lang w:val="es-ES_tradnl"/>
        </w:rPr>
        <w:t>o</w:t>
      </w:r>
      <w:r w:rsidRPr="003C38DF">
        <w:rPr>
          <w:rFonts w:ascii="Arial" w:eastAsia="Calibri" w:hAnsi="Arial" w:cs="Arial"/>
          <w:color w:val="000000"/>
          <w:lang w:val="es-ES_tradnl"/>
        </w:rPr>
        <w:t xml:space="preserve"> señor</w:t>
      </w:r>
      <w:r w:rsidR="00F362E5">
        <w:rPr>
          <w:rFonts w:ascii="Arial" w:eastAsia="Calibri" w:hAnsi="Arial" w:cs="Arial"/>
          <w:color w:val="000000"/>
          <w:lang w:val="es-ES_tradnl"/>
        </w:rPr>
        <w:t xml:space="preserve"> </w:t>
      </w:r>
      <w:r w:rsidR="00F362E5" w:rsidRPr="00F362E5">
        <w:rPr>
          <w:rFonts w:ascii="Arial" w:eastAsia="Calibri" w:hAnsi="Arial" w:cs="Arial"/>
          <w:color w:val="000000"/>
          <w:lang w:val="es-ES_tradnl"/>
        </w:rPr>
        <w:t>Sabogal Martínez:</w:t>
      </w:r>
    </w:p>
    <w:p w14:paraId="65326A13" w14:textId="77777777" w:rsidR="003C38DF" w:rsidRPr="003C38DF" w:rsidRDefault="003C38DF" w:rsidP="003C38DF">
      <w:pPr>
        <w:spacing w:after="0" w:line="240" w:lineRule="auto"/>
        <w:jc w:val="both"/>
        <w:rPr>
          <w:rFonts w:ascii="Arial" w:eastAsia="Calibri" w:hAnsi="Arial" w:cs="Arial"/>
          <w:color w:val="000000"/>
          <w:lang w:val="es-ES_tradnl"/>
        </w:rPr>
      </w:pPr>
    </w:p>
    <w:p w14:paraId="5A1C50EA" w14:textId="06245D01" w:rsidR="003C38DF" w:rsidRPr="003C38DF" w:rsidRDefault="003C38DF" w:rsidP="003C38DF">
      <w:pPr>
        <w:spacing w:after="0" w:line="276" w:lineRule="auto"/>
        <w:jc w:val="both"/>
        <w:rPr>
          <w:rFonts w:ascii="Arial" w:eastAsia="Calibri" w:hAnsi="Arial" w:cs="Arial"/>
          <w:color w:val="000000"/>
          <w:lang w:val="es-ES_tradnl"/>
        </w:rPr>
      </w:pPr>
      <w:r w:rsidRPr="003C38DF">
        <w:rPr>
          <w:rFonts w:ascii="Arial" w:eastAsia="Calibri" w:hAnsi="Arial" w:cs="Arial"/>
          <w:color w:val="000000"/>
          <w:lang w:val="es-ES_tradnl"/>
        </w:rPr>
        <w:t xml:space="preserve">En ejercicio de la competencia otorgada por el numeral 8 del artículo 11 y el numeral 5 del artículo 3 del Decreto Ley 4170 de 2011, la Agencia Nacional de Contratación Pública – Colombia Compra Eficiente responde su consulta del </w:t>
      </w:r>
      <w:r w:rsidR="00831881">
        <w:rPr>
          <w:rFonts w:ascii="Arial" w:eastAsia="Calibri" w:hAnsi="Arial" w:cs="Arial"/>
          <w:color w:val="000000"/>
          <w:lang w:val="es-ES_tradnl"/>
        </w:rPr>
        <w:t>21</w:t>
      </w:r>
      <w:r w:rsidRPr="003C38DF">
        <w:rPr>
          <w:rFonts w:ascii="Arial" w:eastAsia="Calibri" w:hAnsi="Arial" w:cs="Arial"/>
          <w:color w:val="000000"/>
          <w:lang w:val="es-ES_tradnl"/>
        </w:rPr>
        <w:t xml:space="preserve"> de</w:t>
      </w:r>
      <w:r w:rsidR="00831881">
        <w:rPr>
          <w:rFonts w:ascii="Arial" w:eastAsia="Calibri" w:hAnsi="Arial" w:cs="Arial"/>
          <w:color w:val="000000"/>
          <w:lang w:val="es-ES_tradnl"/>
        </w:rPr>
        <w:t xml:space="preserve"> julio </w:t>
      </w:r>
      <w:r w:rsidRPr="003C38DF">
        <w:rPr>
          <w:rFonts w:ascii="Arial" w:eastAsia="Calibri" w:hAnsi="Arial" w:cs="Arial"/>
          <w:color w:val="000000"/>
          <w:lang w:val="es-ES_tradnl"/>
        </w:rPr>
        <w:t>de 2021.</w:t>
      </w:r>
    </w:p>
    <w:p w14:paraId="0B58FE13" w14:textId="77777777" w:rsidR="003C38DF" w:rsidRPr="003C38DF" w:rsidRDefault="003C38DF" w:rsidP="003C38DF">
      <w:pPr>
        <w:spacing w:after="0" w:line="276" w:lineRule="auto"/>
        <w:jc w:val="both"/>
        <w:rPr>
          <w:rFonts w:ascii="Arial" w:eastAsia="Calibri" w:hAnsi="Arial" w:cs="Arial"/>
          <w:b/>
          <w:color w:val="000000"/>
          <w:lang w:val="es-ES_tradnl"/>
        </w:rPr>
      </w:pPr>
    </w:p>
    <w:p w14:paraId="7017C2F1" w14:textId="22A1BDB9" w:rsidR="003C38DF" w:rsidRPr="00DC259D" w:rsidRDefault="003C38DF" w:rsidP="00DC259D">
      <w:pPr>
        <w:pStyle w:val="Prrafodelista"/>
        <w:numPr>
          <w:ilvl w:val="0"/>
          <w:numId w:val="5"/>
        </w:numPr>
        <w:tabs>
          <w:tab w:val="left" w:pos="0"/>
          <w:tab w:val="left" w:pos="142"/>
          <w:tab w:val="left" w:pos="284"/>
        </w:tabs>
        <w:spacing w:after="0" w:line="276" w:lineRule="auto"/>
        <w:ind w:left="0" w:firstLine="0"/>
        <w:jc w:val="both"/>
        <w:rPr>
          <w:rFonts w:ascii="Arial" w:eastAsia="Calibri" w:hAnsi="Arial" w:cs="Arial"/>
          <w:b/>
          <w:bCs/>
          <w:color w:val="000000" w:themeColor="text1"/>
          <w:lang w:val="es-ES_tradnl"/>
        </w:rPr>
      </w:pPr>
      <w:r w:rsidRPr="00DC259D">
        <w:rPr>
          <w:rFonts w:ascii="Arial" w:eastAsia="Calibri" w:hAnsi="Arial" w:cs="Arial"/>
          <w:b/>
          <w:bCs/>
          <w:color w:val="000000" w:themeColor="text1"/>
          <w:lang w:val="es-ES_tradnl"/>
        </w:rPr>
        <w:t xml:space="preserve">Problema planteado </w:t>
      </w:r>
    </w:p>
    <w:p w14:paraId="5A9E7F8D" w14:textId="77777777" w:rsidR="003C38DF" w:rsidRPr="003C38DF" w:rsidRDefault="003C38DF" w:rsidP="003C38DF">
      <w:pPr>
        <w:tabs>
          <w:tab w:val="left" w:pos="426"/>
        </w:tabs>
        <w:spacing w:after="0" w:line="276" w:lineRule="auto"/>
        <w:jc w:val="both"/>
        <w:rPr>
          <w:rFonts w:ascii="Arial" w:eastAsia="Calibri" w:hAnsi="Arial" w:cs="Arial"/>
          <w:b/>
          <w:color w:val="000000"/>
          <w:lang w:val="es-ES_tradnl"/>
        </w:rPr>
      </w:pPr>
    </w:p>
    <w:p w14:paraId="0D902290" w14:textId="2AD6BBBE" w:rsidR="003C38DF" w:rsidRPr="003C38DF" w:rsidRDefault="003C38DF" w:rsidP="00DC259D">
      <w:pPr>
        <w:spacing w:after="0" w:line="276" w:lineRule="auto"/>
        <w:jc w:val="both"/>
        <w:rPr>
          <w:rFonts w:ascii="Arial" w:eastAsia="Calibri" w:hAnsi="Arial" w:cs="Arial"/>
          <w:bCs/>
          <w:color w:val="000000"/>
          <w:lang w:val="es-ES_tradnl"/>
        </w:rPr>
      </w:pPr>
      <w:r w:rsidRPr="003C38DF">
        <w:rPr>
          <w:rFonts w:ascii="Arial" w:eastAsia="Calibri" w:hAnsi="Arial" w:cs="Arial"/>
          <w:bCs/>
          <w:color w:val="000000"/>
          <w:lang w:val="es-ES_tradnl"/>
        </w:rPr>
        <w:t xml:space="preserve">En relación </w:t>
      </w:r>
      <w:r w:rsidRPr="003C38DF">
        <w:rPr>
          <w:rFonts w:ascii="Arial" w:eastAsia="Calibri" w:hAnsi="Arial" w:cs="Arial"/>
          <w:bCs/>
          <w:color w:val="000000"/>
          <w:lang w:val="es-MX"/>
        </w:rPr>
        <w:t xml:space="preserve">con </w:t>
      </w:r>
      <w:r w:rsidRPr="003C38DF">
        <w:rPr>
          <w:rFonts w:ascii="Arial" w:eastAsia="Calibri" w:hAnsi="Arial" w:cs="Arial"/>
          <w:bCs/>
          <w:iCs/>
          <w:color w:val="000000"/>
          <w:lang w:val="es-MX"/>
        </w:rPr>
        <w:t>el documento tipo para los procesos de gestión catastral con enfoque multipropósito que se celebren a través de contratos interadministrativos</w:t>
      </w:r>
      <w:r w:rsidRPr="003C38DF">
        <w:rPr>
          <w:rFonts w:ascii="Arial" w:eastAsia="Calibri" w:hAnsi="Arial" w:cs="Arial"/>
          <w:bCs/>
          <w:color w:val="000000"/>
          <w:lang w:val="es-MX"/>
        </w:rPr>
        <w:t>,</w:t>
      </w:r>
      <w:r w:rsidR="00DC259D">
        <w:rPr>
          <w:rFonts w:ascii="Arial" w:eastAsia="Calibri" w:hAnsi="Arial" w:cs="Arial"/>
          <w:bCs/>
          <w:color w:val="000000"/>
          <w:lang w:val="es-MX"/>
        </w:rPr>
        <w:t xml:space="preserve"> adoptados por medio de la Resolución 269 de 2020,</w:t>
      </w:r>
      <w:r w:rsidRPr="003C38DF">
        <w:rPr>
          <w:rFonts w:ascii="Arial" w:eastAsia="Calibri" w:hAnsi="Arial" w:cs="Arial"/>
          <w:bCs/>
          <w:color w:val="000000"/>
          <w:lang w:val="es-ES_tradnl"/>
        </w:rPr>
        <w:t xml:space="preserve"> usted pregunta </w:t>
      </w:r>
      <w:r w:rsidR="00DC259D">
        <w:rPr>
          <w:rFonts w:ascii="Arial" w:eastAsia="Calibri" w:hAnsi="Arial" w:cs="Arial"/>
          <w:bCs/>
          <w:color w:val="000000"/>
          <w:lang w:val="es-ES_tradnl"/>
        </w:rPr>
        <w:t xml:space="preserve">si </w:t>
      </w:r>
      <w:r w:rsidR="006A5152">
        <w:rPr>
          <w:rFonts w:ascii="Arial" w:eastAsia="Calibri" w:hAnsi="Arial" w:cs="Arial"/>
          <w:bCs/>
          <w:color w:val="000000"/>
          <w:lang w:val="es-ES_tradnl"/>
        </w:rPr>
        <w:t xml:space="preserve">a </w:t>
      </w:r>
      <w:r w:rsidR="00DC259D" w:rsidRPr="00DC259D">
        <w:rPr>
          <w:rFonts w:ascii="Arial" w:eastAsia="Calibri" w:hAnsi="Arial" w:cs="Arial"/>
          <w:shd w:val="clear" w:color="auto" w:fill="FFFFFF"/>
        </w:rPr>
        <w:t>«</w:t>
      </w:r>
      <w:r w:rsidR="006A5152">
        <w:rPr>
          <w:rFonts w:ascii="Arial" w:eastAsia="Calibri" w:hAnsi="Arial" w:cs="Arial"/>
          <w:shd w:val="clear" w:color="auto" w:fill="FFFFFF"/>
        </w:rPr>
        <w:t xml:space="preserve">[…] </w:t>
      </w:r>
      <w:r w:rsidR="00DC259D" w:rsidRPr="00DC259D">
        <w:rPr>
          <w:rFonts w:ascii="Arial" w:hAnsi="Arial" w:cs="Arial"/>
        </w:rPr>
        <w:t xml:space="preserve">dicho documento se le pueden realizar algunos ajustes técnicos y contractuales manteniendo la estructura del documento tipo necesarios para llevar a cabo el objeto contractual, o dicho documento tipo </w:t>
      </w:r>
      <w:r w:rsidR="00DC259D" w:rsidRPr="00DC259D">
        <w:rPr>
          <w:rFonts w:ascii="Arial" w:hAnsi="Arial" w:cs="Arial"/>
        </w:rPr>
        <w:lastRenderedPageBreak/>
        <w:t xml:space="preserve">tiene la característica de 'inalterable' y por lo tanto solo se pueden modificar los espacios diseñados en el archivo para tal fin». </w:t>
      </w:r>
    </w:p>
    <w:p w14:paraId="6D8A95B9" w14:textId="77777777" w:rsidR="003C38DF" w:rsidRPr="003C38DF" w:rsidRDefault="003C38DF" w:rsidP="003C38DF">
      <w:pPr>
        <w:spacing w:after="0" w:line="276" w:lineRule="auto"/>
        <w:jc w:val="both"/>
        <w:rPr>
          <w:rFonts w:ascii="Arial" w:eastAsia="Calibri" w:hAnsi="Arial" w:cs="Arial"/>
          <w:color w:val="000000"/>
          <w:lang w:val="es-ES_tradnl"/>
        </w:rPr>
      </w:pPr>
    </w:p>
    <w:p w14:paraId="789EC8DF" w14:textId="448DB583" w:rsidR="003C38DF" w:rsidRPr="00F0599F" w:rsidRDefault="00F0599F" w:rsidP="00F0599F">
      <w:pPr>
        <w:tabs>
          <w:tab w:val="left" w:pos="0"/>
          <w:tab w:val="left" w:pos="284"/>
        </w:tabs>
        <w:spacing w:after="0" w:line="240" w:lineRule="auto"/>
        <w:jc w:val="both"/>
        <w:rPr>
          <w:rFonts w:ascii="Arial" w:eastAsia="Calibri" w:hAnsi="Arial" w:cs="Arial"/>
          <w:b/>
          <w:color w:val="000000"/>
          <w:lang w:val="es-ES_tradnl"/>
        </w:rPr>
      </w:pPr>
      <w:r w:rsidRPr="00F0599F">
        <w:rPr>
          <w:rFonts w:ascii="Arial" w:eastAsia="Calibri" w:hAnsi="Arial" w:cs="Arial"/>
          <w:b/>
          <w:color w:val="000000"/>
          <w:lang w:val="es-ES_tradnl"/>
        </w:rPr>
        <w:t>2.</w:t>
      </w:r>
      <w:r>
        <w:rPr>
          <w:rFonts w:ascii="Arial" w:eastAsia="Calibri" w:hAnsi="Arial" w:cs="Arial"/>
          <w:b/>
          <w:color w:val="000000"/>
          <w:lang w:val="es-ES_tradnl"/>
        </w:rPr>
        <w:t xml:space="preserve"> </w:t>
      </w:r>
      <w:r w:rsidR="003C38DF" w:rsidRPr="00F0599F">
        <w:rPr>
          <w:rFonts w:ascii="Arial" w:eastAsia="Calibri" w:hAnsi="Arial" w:cs="Arial"/>
          <w:b/>
          <w:color w:val="000000"/>
          <w:lang w:val="es-ES_tradnl"/>
        </w:rPr>
        <w:t>Consideraciones</w:t>
      </w:r>
    </w:p>
    <w:p w14:paraId="7E8D1E26" w14:textId="77777777" w:rsidR="003C38DF" w:rsidRPr="003C38DF" w:rsidRDefault="003C38DF" w:rsidP="003C38DF">
      <w:pPr>
        <w:tabs>
          <w:tab w:val="left" w:pos="0"/>
          <w:tab w:val="left" w:pos="284"/>
        </w:tabs>
        <w:spacing w:after="0" w:line="276" w:lineRule="auto"/>
        <w:jc w:val="both"/>
        <w:rPr>
          <w:rFonts w:ascii="Arial" w:eastAsia="Calibri" w:hAnsi="Arial" w:cs="Arial"/>
          <w:b/>
          <w:color w:val="000000"/>
          <w:lang w:val="es-ES_tradnl"/>
        </w:rPr>
      </w:pPr>
    </w:p>
    <w:p w14:paraId="3F6BF170" w14:textId="3B08CFBB" w:rsidR="00DC259D" w:rsidRPr="00DC259D" w:rsidRDefault="00DC259D" w:rsidP="00C24DE8">
      <w:pPr>
        <w:spacing w:after="120" w:line="276" w:lineRule="auto"/>
        <w:jc w:val="both"/>
        <w:rPr>
          <w:rFonts w:ascii="Arial" w:eastAsia="Times New Roman" w:hAnsi="Arial" w:cs="Arial"/>
          <w:lang w:val="es-ES" w:eastAsia="es-MX" w:bidi="es-ES"/>
        </w:rPr>
      </w:pPr>
      <w:r w:rsidRPr="00DC259D">
        <w:rPr>
          <w:rFonts w:ascii="Arial" w:eastAsia="Calibri" w:hAnsi="Arial" w:cs="Arial"/>
          <w:lang w:val="es-ES" w:eastAsia="es-MX"/>
        </w:rPr>
        <w:t>Para responder la consulta se analizarán los siguientes temas: i)</w:t>
      </w:r>
      <w:r w:rsidRPr="00DC259D">
        <w:rPr>
          <w:rFonts w:ascii="Arial" w:hAnsi="Arial" w:cs="Arial"/>
          <w:color w:val="000000"/>
          <w:shd w:val="clear" w:color="auto" w:fill="FFFFFF"/>
        </w:rPr>
        <w:t xml:space="preserve"> </w:t>
      </w:r>
      <w:r>
        <w:rPr>
          <w:rStyle w:val="normaltextrun"/>
          <w:rFonts w:ascii="Arial" w:hAnsi="Arial" w:cs="Arial"/>
          <w:color w:val="000000"/>
          <w:shd w:val="clear" w:color="auto" w:fill="FFFFFF"/>
        </w:rPr>
        <w:t>c</w:t>
      </w:r>
      <w:r w:rsidRPr="00DC259D">
        <w:rPr>
          <w:rStyle w:val="normaltextrun"/>
          <w:rFonts w:ascii="Arial" w:hAnsi="Arial" w:cs="Arial"/>
          <w:color w:val="000000"/>
          <w:shd w:val="clear" w:color="auto" w:fill="FFFFFF"/>
        </w:rPr>
        <w:t>ontratación para la prestación del servicio público de gestión catastral</w:t>
      </w:r>
      <w:r w:rsidRPr="00DC259D" w:rsidDel="00862009">
        <w:rPr>
          <w:rStyle w:val="normaltextrun"/>
          <w:rFonts w:ascii="Arial" w:hAnsi="Arial" w:cs="Arial"/>
          <w:color w:val="000000"/>
          <w:shd w:val="clear" w:color="auto" w:fill="FFFFFF"/>
        </w:rPr>
        <w:t xml:space="preserve"> </w:t>
      </w:r>
      <w:r w:rsidRPr="00DC259D">
        <w:rPr>
          <w:rStyle w:val="normaltextrun"/>
          <w:rFonts w:ascii="Arial" w:hAnsi="Arial" w:cs="Arial"/>
          <w:color w:val="000000"/>
          <w:shd w:val="clear" w:color="auto" w:fill="FFFFFF"/>
        </w:rPr>
        <w:t>integral</w:t>
      </w:r>
      <w:r w:rsidRPr="00DC259D">
        <w:rPr>
          <w:rFonts w:ascii="Arial" w:eastAsia="Calibri" w:hAnsi="Arial" w:cs="Arial"/>
          <w:lang w:val="es-ES" w:eastAsia="es-MX"/>
        </w:rPr>
        <w:t xml:space="preserve">; </w:t>
      </w:r>
      <w:proofErr w:type="spellStart"/>
      <w:r w:rsidRPr="00DC259D">
        <w:rPr>
          <w:rFonts w:ascii="Arial" w:eastAsia="Calibri" w:hAnsi="Arial" w:cs="Arial"/>
          <w:lang w:val="es-ES" w:eastAsia="es-MX"/>
        </w:rPr>
        <w:t>ii</w:t>
      </w:r>
      <w:proofErr w:type="spellEnd"/>
      <w:r w:rsidRPr="00DC259D">
        <w:rPr>
          <w:rFonts w:ascii="Arial" w:eastAsia="Calibri" w:hAnsi="Arial" w:cs="Arial"/>
          <w:lang w:val="es-ES" w:eastAsia="es-MX"/>
        </w:rPr>
        <w:t>)</w:t>
      </w:r>
      <w:r w:rsidRPr="00DC259D">
        <w:rPr>
          <w:rFonts w:ascii="Arial" w:hAnsi="Arial" w:cs="Arial"/>
          <w:color w:val="000000"/>
          <w:shd w:val="clear" w:color="auto" w:fill="FFFFFF"/>
          <w:lang w:bidi="es-ES"/>
        </w:rPr>
        <w:t xml:space="preserve"> </w:t>
      </w:r>
      <w:r w:rsidR="00F0599F">
        <w:rPr>
          <w:rFonts w:ascii="Arial" w:hAnsi="Arial" w:cs="Arial"/>
          <w:color w:val="000000"/>
          <w:shd w:val="clear" w:color="auto" w:fill="FFFFFF"/>
          <w:lang w:bidi="es-ES"/>
        </w:rPr>
        <w:t>d</w:t>
      </w:r>
      <w:r w:rsidRPr="00DC259D">
        <w:rPr>
          <w:rFonts w:ascii="Arial" w:hAnsi="Arial" w:cs="Arial"/>
          <w:color w:val="000000"/>
          <w:shd w:val="clear" w:color="auto" w:fill="FFFFFF"/>
          <w:lang w:bidi="es-ES"/>
        </w:rPr>
        <w:t xml:space="preserve">ocumento </w:t>
      </w:r>
      <w:r w:rsidR="00F0599F">
        <w:rPr>
          <w:rFonts w:ascii="Arial" w:hAnsi="Arial" w:cs="Arial"/>
          <w:color w:val="000000"/>
          <w:shd w:val="clear" w:color="auto" w:fill="FFFFFF"/>
          <w:lang w:bidi="es-ES"/>
        </w:rPr>
        <w:t>t</w:t>
      </w:r>
      <w:r w:rsidRPr="00DC259D">
        <w:rPr>
          <w:rFonts w:ascii="Arial" w:hAnsi="Arial" w:cs="Arial"/>
          <w:color w:val="000000"/>
          <w:shd w:val="clear" w:color="auto" w:fill="FFFFFF"/>
          <w:lang w:bidi="es-ES"/>
        </w:rPr>
        <w:t xml:space="preserve">ipo </w:t>
      </w:r>
      <w:r w:rsidRPr="00DC259D">
        <w:rPr>
          <w:rFonts w:ascii="Arial" w:hAnsi="Arial" w:cs="Arial"/>
          <w:iCs/>
          <w:color w:val="000000"/>
          <w:shd w:val="clear" w:color="auto" w:fill="FFFFFF"/>
        </w:rPr>
        <w:t>para los procesos de gestión catastral con enfoque multipropósito que se celebren a través de contratos interadministrativos</w:t>
      </w:r>
      <w:r w:rsidRPr="00DC259D">
        <w:rPr>
          <w:rFonts w:ascii="Arial" w:eastAsia="Calibri" w:hAnsi="Arial" w:cs="Arial"/>
          <w:lang w:val="es-ES" w:eastAsia="es-MX"/>
        </w:rPr>
        <w:t xml:space="preserve">; y </w:t>
      </w:r>
      <w:proofErr w:type="spellStart"/>
      <w:r w:rsidRPr="00DC259D">
        <w:rPr>
          <w:rFonts w:ascii="Arial" w:eastAsia="Calibri" w:hAnsi="Arial" w:cs="Arial"/>
          <w:lang w:val="es-ES" w:eastAsia="es-MX"/>
        </w:rPr>
        <w:t>iii</w:t>
      </w:r>
      <w:proofErr w:type="spellEnd"/>
      <w:r w:rsidRPr="00DC259D">
        <w:rPr>
          <w:rFonts w:ascii="Arial" w:eastAsia="Calibri" w:hAnsi="Arial" w:cs="Arial"/>
          <w:lang w:val="es-ES" w:eastAsia="es-MX"/>
        </w:rPr>
        <w:t xml:space="preserve">) </w:t>
      </w:r>
      <w:r w:rsidR="00331AC2">
        <w:rPr>
          <w:rFonts w:ascii="Arial" w:eastAsia="Calibri" w:hAnsi="Arial" w:cs="Arial"/>
          <w:lang w:val="es-ES" w:eastAsia="es-MX"/>
        </w:rPr>
        <w:t xml:space="preserve">alcance de la regla de inalterabilidad de </w:t>
      </w:r>
      <w:r w:rsidRPr="00DC259D">
        <w:rPr>
          <w:rFonts w:ascii="Arial" w:eastAsia="Calibri" w:hAnsi="Arial" w:cs="Arial"/>
          <w:lang w:val="es-ES" w:eastAsia="es-MX"/>
        </w:rPr>
        <w:t xml:space="preserve">los documentos tipo para los procesos de gestión catastral con enfoque multipropósito. </w:t>
      </w:r>
    </w:p>
    <w:p w14:paraId="4B38FA07" w14:textId="77777777" w:rsidR="00FB43CA" w:rsidRDefault="00FB43CA" w:rsidP="00FB43CA">
      <w:pPr>
        <w:spacing w:after="120" w:line="276" w:lineRule="auto"/>
        <w:ind w:firstLine="709"/>
        <w:jc w:val="both"/>
        <w:textAlignment w:val="baseline"/>
        <w:rPr>
          <w:rFonts w:ascii="Arial" w:eastAsia="Calibri" w:hAnsi="Arial" w:cs="Arial"/>
          <w:color w:val="000000"/>
          <w:lang w:val="es-ES_tradnl"/>
        </w:rPr>
      </w:pPr>
      <w:r w:rsidRPr="00FB43CA">
        <w:rPr>
          <w:rFonts w:ascii="Arial" w:eastAsia="Times New Roman" w:hAnsi="Arial" w:cs="Arial"/>
          <w:color w:val="000000"/>
          <w:szCs w:val="24"/>
          <w:lang w:val="es-ES_tradnl" w:eastAsia="es-ES_tradnl"/>
        </w:rPr>
        <w:t xml:space="preserve">La Agencia Nacional de Contratación Pública – Colombia Compra Eficiente se pronunció sobre </w:t>
      </w:r>
      <w:r w:rsidRPr="00FB43CA">
        <w:rPr>
          <w:rFonts w:ascii="Arial" w:eastAsia="Arial" w:hAnsi="Arial" w:cs="Arial"/>
          <w:color w:val="000000"/>
          <w:szCs w:val="24"/>
          <w:lang w:val="es-ES_tradnl" w:eastAsia="es-ES_tradnl"/>
        </w:rPr>
        <w:t xml:space="preserve">los pliegos de condiciones tipo en la contratación estatal, así como sobre su inalterabilidad, entre otros, en los </w:t>
      </w:r>
      <w:r w:rsidRPr="00FB43CA">
        <w:rPr>
          <w:rFonts w:ascii="Arial" w:eastAsia="Calibri" w:hAnsi="Arial" w:cs="Arial"/>
          <w:color w:val="000000"/>
          <w:shd w:val="clear" w:color="auto" w:fill="FFFFFF"/>
        </w:rPr>
        <w:t>conceptos: C–144 de 2 de marzo de 2020, C-174 del 16 de marzo de 2020, C-129 del 24 de marzo de 2020, C-193 del 6 de abril de 2020, C–189 del 8 de abril de 2020,  C-009 del 27 de abril de 2020, C-289 del 26 de mayo de 2020, C-384 del 4 de junio de 2020, C-328 del 30 de junio de 2020, C-397 del 30 de junio de 2020, C-327 del 10 de julio de 2020, C-332 del 26 de mayo de 2020, C-354 del 4 de junio de 2020, C-387 del 23 de junio de 2020, C-379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w:t>
      </w:r>
      <w:r w:rsidRPr="00FB43CA">
        <w:rPr>
          <w:rFonts w:ascii="Arial" w:eastAsia="Calibri" w:hAnsi="Arial" w:cs="Arial"/>
          <w:color w:val="000000"/>
          <w:shd w:val="clear" w:color="auto" w:fill="FFFFFF"/>
          <w:lang w:val="es-ES"/>
        </w:rPr>
        <w:t>C-031 del 1 de febrero de 2021,</w:t>
      </w:r>
      <w:r w:rsidRPr="00FB43CA">
        <w:rPr>
          <w:rFonts w:ascii="Arial" w:eastAsia="Calibri" w:hAnsi="Arial" w:cs="Arial"/>
          <w:color w:val="000000"/>
          <w:shd w:val="clear" w:color="auto" w:fill="FFFFFF"/>
        </w:rPr>
        <w:t> C-027 del 1 de marzo de 2021, C-064 del 8 de marzo 2021, C-157 del 13 de abril de 2021 y C-204 del 6 de mayo de 2021, C-555 del 20 de octubre de 2021, C-691 del 28 de diciembre de 2021</w:t>
      </w:r>
      <w:r>
        <w:rPr>
          <w:rFonts w:ascii="Arial" w:eastAsia="Calibri" w:hAnsi="Arial" w:cs="Arial"/>
          <w:color w:val="000000"/>
          <w:shd w:val="clear" w:color="auto" w:fill="FFFFFF"/>
        </w:rPr>
        <w:t xml:space="preserve">, </w:t>
      </w:r>
      <w:r w:rsidRPr="00FB43CA">
        <w:rPr>
          <w:rFonts w:ascii="Arial" w:eastAsia="Calibri" w:hAnsi="Arial" w:cs="Arial"/>
          <w:color w:val="000000"/>
          <w:shd w:val="clear" w:color="auto" w:fill="FFFFFF"/>
        </w:rPr>
        <w:t>C-058 del 8 de marzo de 2022</w:t>
      </w:r>
      <w:r>
        <w:rPr>
          <w:rFonts w:ascii="Arial" w:eastAsia="Calibri" w:hAnsi="Arial" w:cs="Arial"/>
          <w:color w:val="000000"/>
          <w:lang w:val="es-ES_tradnl"/>
        </w:rPr>
        <w:t>, C-288 del 9 de mayo de 2022, C-321 del 17 de mayo de 2022, C-444 del 30 de junio de 2022 y C-356 del 6 de julio de 2022.</w:t>
      </w:r>
    </w:p>
    <w:p w14:paraId="451F0FB3" w14:textId="6AEE259B" w:rsidR="00FB43CA" w:rsidRPr="00FB43CA" w:rsidRDefault="00FB43CA" w:rsidP="003D3534">
      <w:pPr>
        <w:spacing w:after="0" w:line="276" w:lineRule="auto"/>
        <w:ind w:firstLine="708"/>
        <w:jc w:val="both"/>
        <w:rPr>
          <w:rFonts w:ascii="Arial" w:eastAsia="Calibri" w:hAnsi="Arial" w:cs="Arial"/>
          <w:color w:val="000000"/>
          <w:shd w:val="clear" w:color="auto" w:fill="FFFFFF"/>
          <w:lang w:val="es-MX"/>
        </w:rPr>
      </w:pPr>
      <w:r>
        <w:rPr>
          <w:rFonts w:ascii="Arial" w:eastAsia="Calibri" w:hAnsi="Arial" w:cs="Arial"/>
          <w:color w:val="000000"/>
          <w:lang w:val="es-ES_tradnl"/>
        </w:rPr>
        <w:t xml:space="preserve">Por otra parte, </w:t>
      </w:r>
      <w:r w:rsidRPr="00350FFC">
        <w:rPr>
          <w:rFonts w:ascii="Arial" w:hAnsi="Arial" w:cs="Arial"/>
          <w:shd w:val="clear" w:color="auto" w:fill="FFFFFF"/>
        </w:rPr>
        <w:t xml:space="preserve">la Agencia se ha referido </w:t>
      </w:r>
      <w:r w:rsidR="00A6503C">
        <w:rPr>
          <w:rFonts w:ascii="Arial" w:hAnsi="Arial" w:cs="Arial"/>
          <w:shd w:val="clear" w:color="auto" w:fill="FFFFFF"/>
        </w:rPr>
        <w:t xml:space="preserve">al alcance de </w:t>
      </w:r>
      <w:r w:rsidRPr="00350FFC">
        <w:rPr>
          <w:rStyle w:val="normaltextrun"/>
          <w:rFonts w:ascii="Arial" w:hAnsi="Arial" w:cs="Arial"/>
          <w:shd w:val="clear" w:color="auto" w:fill="FFFFFF"/>
        </w:rPr>
        <w:t xml:space="preserve">los documentos tipo adoptados mediante la Resolución No. 269 de 2020 en los oficios con radicado No. P20201203000378 del 2 de diciembre de 2020 y en los Conceptos C-809 del 11 de febrero de 2021, C-097 del 23 de marzo de 2021, </w:t>
      </w:r>
      <w:bookmarkStart w:id="5" w:name="_Hlk73718617"/>
      <w:r w:rsidRPr="00350FFC">
        <w:rPr>
          <w:rStyle w:val="normaltextrun"/>
          <w:rFonts w:ascii="Arial" w:hAnsi="Arial" w:cs="Arial"/>
          <w:shd w:val="clear" w:color="auto" w:fill="FFFFFF"/>
        </w:rPr>
        <w:t>C-159 del 20 de mayo de 2021</w:t>
      </w:r>
      <w:bookmarkEnd w:id="5"/>
      <w:r w:rsidRPr="00350FFC">
        <w:rPr>
          <w:rStyle w:val="normaltextrun"/>
          <w:rFonts w:ascii="Arial" w:hAnsi="Arial" w:cs="Arial"/>
          <w:shd w:val="clear" w:color="auto" w:fill="FFFFFF"/>
        </w:rPr>
        <w:t>, C-261 de 22 de junio de 2021</w:t>
      </w:r>
      <w:r>
        <w:rPr>
          <w:rStyle w:val="normaltextrun"/>
          <w:rFonts w:ascii="Arial" w:hAnsi="Arial" w:cs="Arial"/>
          <w:shd w:val="clear" w:color="auto" w:fill="FFFFFF"/>
        </w:rPr>
        <w:t xml:space="preserve">, </w:t>
      </w:r>
      <w:r w:rsidRPr="00350FFC">
        <w:rPr>
          <w:rStyle w:val="normaltextrun"/>
          <w:rFonts w:ascii="Arial" w:hAnsi="Arial" w:cs="Arial"/>
          <w:shd w:val="clear" w:color="auto" w:fill="FFFFFF"/>
        </w:rPr>
        <w:t>C-564 de 11 de octubre de 2021</w:t>
      </w:r>
      <w:r>
        <w:rPr>
          <w:rStyle w:val="normaltextrun"/>
          <w:rFonts w:ascii="Arial" w:hAnsi="Arial" w:cs="Arial"/>
          <w:shd w:val="clear" w:color="auto" w:fill="FFFFFF"/>
        </w:rPr>
        <w:t xml:space="preserve">, </w:t>
      </w:r>
      <w:r w:rsidR="0081173C">
        <w:rPr>
          <w:rStyle w:val="normaltextrun"/>
          <w:rFonts w:ascii="Arial" w:hAnsi="Arial" w:cs="Arial"/>
          <w:shd w:val="clear" w:color="auto" w:fill="FFFFFF"/>
        </w:rPr>
        <w:t xml:space="preserve">C-666 del 22 de diciembre de 2021, C-731 </w:t>
      </w:r>
      <w:r w:rsidR="0081173C">
        <w:rPr>
          <w:rStyle w:val="normaltextrun"/>
          <w:rFonts w:ascii="Arial" w:hAnsi="Arial" w:cs="Arial"/>
          <w:shd w:val="clear" w:color="auto" w:fill="FFFFFF"/>
        </w:rPr>
        <w:lastRenderedPageBreak/>
        <w:t xml:space="preserve">del 26 de enero de 2022 y C-302 del 12 de mayo de 2022. </w:t>
      </w:r>
      <w:r w:rsidRPr="00FB43CA">
        <w:rPr>
          <w:rFonts w:ascii="Arial" w:eastAsia="Calibri" w:hAnsi="Arial" w:cs="Arial"/>
          <w:color w:val="000000"/>
          <w:shd w:val="clear" w:color="auto" w:fill="FFFFFF"/>
          <w:lang w:val="es-MX"/>
        </w:rPr>
        <w:t>Las tesis desarrolladas en estos conceptos se reiteran a continuación y se complementan en lo pertinente: </w:t>
      </w:r>
    </w:p>
    <w:p w14:paraId="77A64971" w14:textId="77777777" w:rsidR="003C38DF" w:rsidRPr="003C38DF" w:rsidRDefault="003C38DF" w:rsidP="003D3534">
      <w:pPr>
        <w:spacing w:after="0" w:line="276" w:lineRule="auto"/>
        <w:ind w:firstLine="709"/>
        <w:jc w:val="both"/>
        <w:rPr>
          <w:rFonts w:ascii="Arial" w:eastAsia="Calibri" w:hAnsi="Arial" w:cs="Arial"/>
          <w:bCs/>
          <w:lang w:val="es-ES" w:bidi="es-ES"/>
        </w:rPr>
      </w:pPr>
    </w:p>
    <w:p w14:paraId="415C5BD4" w14:textId="77777777" w:rsidR="003C38DF" w:rsidRPr="003C38DF" w:rsidRDefault="003C38DF" w:rsidP="003D3534">
      <w:pPr>
        <w:spacing w:after="0" w:line="276" w:lineRule="auto"/>
        <w:jc w:val="both"/>
        <w:rPr>
          <w:rFonts w:ascii="Arial" w:eastAsia="Calibri" w:hAnsi="Arial" w:cs="Arial"/>
          <w:b/>
          <w:bCs/>
          <w:color w:val="000000"/>
          <w:shd w:val="clear" w:color="auto" w:fill="FFFFFF"/>
          <w:lang w:val="es-MX"/>
        </w:rPr>
      </w:pPr>
      <w:r w:rsidRPr="003C38DF">
        <w:rPr>
          <w:rFonts w:ascii="Arial" w:eastAsia="Calibri" w:hAnsi="Arial" w:cs="Arial"/>
          <w:b/>
          <w:bCs/>
          <w:color w:val="000000"/>
          <w:shd w:val="clear" w:color="auto" w:fill="FFFFFF"/>
          <w:lang w:val="es-MX"/>
        </w:rPr>
        <w:t>2.1. Contratación para la prestación del servicio público de gestión catastral</w:t>
      </w:r>
      <w:r w:rsidRPr="003C38DF" w:rsidDel="00862009">
        <w:rPr>
          <w:rFonts w:ascii="Arial" w:eastAsia="Calibri" w:hAnsi="Arial" w:cs="Arial"/>
          <w:b/>
          <w:bCs/>
          <w:color w:val="000000"/>
          <w:shd w:val="clear" w:color="auto" w:fill="FFFFFF"/>
          <w:lang w:val="es-MX"/>
        </w:rPr>
        <w:t xml:space="preserve"> </w:t>
      </w:r>
      <w:r w:rsidRPr="003C38DF">
        <w:rPr>
          <w:rFonts w:ascii="Arial" w:eastAsia="Calibri" w:hAnsi="Arial" w:cs="Arial"/>
          <w:b/>
          <w:bCs/>
          <w:color w:val="000000"/>
          <w:shd w:val="clear" w:color="auto" w:fill="FFFFFF"/>
          <w:lang w:val="es-MX"/>
        </w:rPr>
        <w:t>integral</w:t>
      </w:r>
    </w:p>
    <w:p w14:paraId="0F3B9D86" w14:textId="77777777" w:rsidR="003C38DF" w:rsidRPr="003C38DF" w:rsidRDefault="003C38DF" w:rsidP="003D3534">
      <w:pPr>
        <w:spacing w:after="0" w:line="276" w:lineRule="auto"/>
        <w:ind w:left="1080"/>
        <w:jc w:val="both"/>
        <w:rPr>
          <w:rFonts w:ascii="Arial" w:eastAsia="Calibri" w:hAnsi="Arial" w:cs="Arial"/>
          <w:b/>
          <w:bCs/>
          <w:color w:val="000000"/>
          <w:shd w:val="clear" w:color="auto" w:fill="FFFFFF"/>
          <w:lang w:val="es-MX"/>
        </w:rPr>
      </w:pPr>
    </w:p>
    <w:p w14:paraId="7D16D86C" w14:textId="77777777" w:rsidR="003C38DF" w:rsidRPr="003C38DF" w:rsidRDefault="003C38DF" w:rsidP="003D3534">
      <w:pPr>
        <w:spacing w:after="0" w:line="276" w:lineRule="auto"/>
        <w:jc w:val="both"/>
        <w:rPr>
          <w:rFonts w:ascii="Arial" w:eastAsia="Calibri" w:hAnsi="Arial" w:cs="Arial"/>
          <w:color w:val="000000"/>
          <w:shd w:val="clear" w:color="auto" w:fill="FFFFFF"/>
          <w:lang w:val="es-MX"/>
        </w:rPr>
      </w:pPr>
      <w:r w:rsidRPr="003C38DF">
        <w:rPr>
          <w:rFonts w:ascii="Arial" w:eastAsia="Calibri" w:hAnsi="Arial" w:cs="Arial"/>
          <w:color w:val="000000"/>
          <w:shd w:val="clear" w:color="auto" w:fill="FFFFFF"/>
          <w:lang w:val="es-MX"/>
        </w:rPr>
        <w:t>Conforme al artículo 79 de la Ley 1955 de 2019 la gestión catastral es un servicio público que tiene como propósito la adecuada formación, actualización, conservación y difusión de la información catastral, así como los procedimientos del enfoque catastral multipropósito que sean adoptados</w:t>
      </w:r>
      <w:r w:rsidRPr="003C38DF">
        <w:rPr>
          <w:rFonts w:ascii="Arial" w:eastAsia="Calibri" w:hAnsi="Arial" w:cs="Arial"/>
          <w:shd w:val="clear" w:color="auto" w:fill="FFFFFF"/>
          <w:lang w:val="es-MX"/>
        </w:rPr>
        <w:t xml:space="preserve">. </w:t>
      </w:r>
      <w:r w:rsidRPr="003C38DF">
        <w:rPr>
          <w:rFonts w:ascii="Arial" w:eastAsia="Calibri" w:hAnsi="Arial" w:cs="Arial"/>
          <w:color w:val="000000"/>
          <w:shd w:val="clear" w:color="auto" w:fill="FFFFFF"/>
          <w:lang w:val="es-MX"/>
        </w:rPr>
        <w:t xml:space="preserve">De conformidad con la norma citada, la gestión catastral será prestada por: i) una autoridad nacional que regulará la gestión catastral, y estará a cargo del Instituto Geográfico Agustín Codazzi; </w:t>
      </w:r>
      <w:proofErr w:type="spellStart"/>
      <w:r w:rsidRPr="003C38DF">
        <w:rPr>
          <w:rFonts w:ascii="Arial" w:eastAsia="Calibri" w:hAnsi="Arial" w:cs="Arial"/>
          <w:color w:val="000000"/>
          <w:shd w:val="clear" w:color="auto" w:fill="FFFFFF"/>
          <w:lang w:val="es-MX"/>
        </w:rPr>
        <w:t>ii</w:t>
      </w:r>
      <w:proofErr w:type="spellEnd"/>
      <w:r w:rsidRPr="003C38DF">
        <w:rPr>
          <w:rFonts w:ascii="Arial" w:eastAsia="Calibri" w:hAnsi="Arial" w:cs="Arial"/>
          <w:color w:val="000000"/>
          <w:shd w:val="clear" w:color="auto" w:fill="FFFFFF"/>
          <w:lang w:val="es-MX"/>
        </w:rPr>
        <w:t xml:space="preserve">) por gestores catastrales, encargados de adelantar la formación, actualización, conservación y difusión catastral, así como los procedimientos del enfoque catastral multipropósito adoptados para el efecto; y </w:t>
      </w:r>
      <w:proofErr w:type="spellStart"/>
      <w:r w:rsidRPr="003C38DF">
        <w:rPr>
          <w:rFonts w:ascii="Arial" w:eastAsia="Calibri" w:hAnsi="Arial" w:cs="Arial"/>
          <w:color w:val="000000"/>
          <w:shd w:val="clear" w:color="auto" w:fill="FFFFFF"/>
          <w:lang w:val="es-MX"/>
        </w:rPr>
        <w:t>iii</w:t>
      </w:r>
      <w:proofErr w:type="spellEnd"/>
      <w:r w:rsidRPr="003C38DF">
        <w:rPr>
          <w:rFonts w:ascii="Arial" w:eastAsia="Calibri" w:hAnsi="Arial" w:cs="Arial"/>
          <w:color w:val="000000"/>
          <w:shd w:val="clear" w:color="auto" w:fill="FFFFFF"/>
          <w:lang w:val="es-MX"/>
        </w:rPr>
        <w:t xml:space="preserve">) por operadores catastrales, quienes desarrollarán labores operativas relativas a la gestión catastral. A su vez, determina en cabeza </w:t>
      </w:r>
      <w:proofErr w:type="spellStart"/>
      <w:r w:rsidRPr="003C38DF">
        <w:rPr>
          <w:rFonts w:ascii="Arial" w:eastAsia="Calibri" w:hAnsi="Arial" w:cs="Arial"/>
          <w:color w:val="000000"/>
          <w:shd w:val="clear" w:color="auto" w:fill="FFFFFF"/>
          <w:lang w:val="es-MX"/>
        </w:rPr>
        <w:t>de el</w:t>
      </w:r>
      <w:proofErr w:type="spellEnd"/>
      <w:r w:rsidRPr="003C38DF">
        <w:rPr>
          <w:rFonts w:ascii="Arial" w:eastAsia="Calibri" w:hAnsi="Arial" w:cs="Arial"/>
          <w:color w:val="000000"/>
          <w:shd w:val="clear" w:color="auto" w:fill="FFFFFF"/>
          <w:lang w:val="es-MX"/>
        </w:rPr>
        <w:t xml:space="preserve"> Instituto Geográfico Agustín Codazzi –IGAC– la función de habilitar como gestores catastrales para la prestación del servicio catastral a las entidades públicas nacionales o territoriales, incluyendo, entre otros, esquemas asociativos de entidades territoriales.</w:t>
      </w:r>
    </w:p>
    <w:p w14:paraId="707990A8" w14:textId="77777777" w:rsidR="003C38DF" w:rsidRPr="003C38DF" w:rsidRDefault="003C38DF" w:rsidP="003C38DF">
      <w:pPr>
        <w:spacing w:before="120" w:after="0" w:line="276" w:lineRule="auto"/>
        <w:ind w:firstLine="709"/>
        <w:jc w:val="both"/>
        <w:rPr>
          <w:rFonts w:ascii="Arial" w:eastAsia="Calibri" w:hAnsi="Arial" w:cs="Arial"/>
          <w:color w:val="000000"/>
          <w:shd w:val="clear" w:color="auto" w:fill="FFFFFF"/>
          <w:lang w:val="es-MX"/>
        </w:rPr>
      </w:pPr>
      <w:r w:rsidRPr="003C38DF">
        <w:rPr>
          <w:rFonts w:ascii="Arial" w:eastAsia="Calibri" w:hAnsi="Arial" w:cs="Arial"/>
          <w:color w:val="000000"/>
          <w:shd w:val="clear" w:color="auto" w:fill="FFFFFF"/>
          <w:lang w:val="es-MX"/>
        </w:rPr>
        <w:t xml:space="preserve">Los Decretos 1983 de 2019 y 148 de 2020 se ocupan de reglamentar la materia. El primero define el marco de las condiciones jurídicas, técnicas, económicas y financieras para habilitar a los gestores catastrales que efectuarán la gestión catastral, la forma de contratación de estos y la contratación de los operadores catastrales. Por su parte, el Decreto 148 de 2020 regula aspectos como los principios de la gestión catastral, sus objetivos, sus intervinientes en el proceso, obligaciones generales de los gestores catastrales, los procesos de la gestión catastral, entre otros temas. </w:t>
      </w:r>
    </w:p>
    <w:p w14:paraId="02AF6CC1" w14:textId="77777777" w:rsidR="003C38DF" w:rsidRPr="003C38DF" w:rsidRDefault="003C38DF" w:rsidP="003C38DF">
      <w:pPr>
        <w:spacing w:before="120" w:after="120" w:line="276" w:lineRule="auto"/>
        <w:ind w:firstLine="705"/>
        <w:jc w:val="both"/>
        <w:rPr>
          <w:rFonts w:ascii="Arial" w:eastAsia="Calibri" w:hAnsi="Arial" w:cs="Arial"/>
          <w:color w:val="000000"/>
          <w:lang w:val="es-MX"/>
        </w:rPr>
      </w:pPr>
      <w:bookmarkStart w:id="6" w:name="_Hlk75266779"/>
      <w:r w:rsidRPr="003C38DF">
        <w:rPr>
          <w:rFonts w:ascii="Arial" w:eastAsia="Calibri" w:hAnsi="Arial" w:cs="Arial"/>
          <w:color w:val="000000"/>
          <w:szCs w:val="20"/>
          <w:lang w:val="es-MX"/>
        </w:rPr>
        <w:t xml:space="preserve">El artículo 2.2.2.1.5 del Decreto 148 de 2020 prescribe que los gestores catastrales son las entidades públicas del orden nacional o territorial, así como los esquemas asociativos de entidades territoriales que hayan sido habilitadas por el Instituto Geográfico Agustín Codazzi –IGAC–. Por tanto, los requisitos para la prestación del servicio de gestión catastral en calidad de gestor son dos (2): i) ser una entidad pública del orden nacional o territorial o esquema asociativo de entidades territoriales y </w:t>
      </w:r>
      <w:proofErr w:type="spellStart"/>
      <w:r w:rsidRPr="003C38DF">
        <w:rPr>
          <w:rFonts w:ascii="Arial" w:eastAsia="Calibri" w:hAnsi="Arial" w:cs="Arial"/>
          <w:color w:val="000000"/>
          <w:szCs w:val="20"/>
          <w:lang w:val="es-MX"/>
        </w:rPr>
        <w:t>ii</w:t>
      </w:r>
      <w:proofErr w:type="spellEnd"/>
      <w:r w:rsidRPr="003C38DF">
        <w:rPr>
          <w:rFonts w:ascii="Arial" w:eastAsia="Calibri" w:hAnsi="Arial" w:cs="Arial"/>
          <w:color w:val="000000"/>
          <w:szCs w:val="20"/>
          <w:lang w:val="es-MX"/>
        </w:rPr>
        <w:t>) estar habilitado como gestor catastral por parte del IGAC</w:t>
      </w:r>
      <w:r w:rsidRPr="003C38DF">
        <w:rPr>
          <w:rFonts w:ascii="Arial" w:eastAsia="Calibri" w:hAnsi="Arial" w:cs="Arial"/>
          <w:color w:val="000000"/>
          <w:szCs w:val="20"/>
          <w:vertAlign w:val="superscript"/>
          <w:lang w:val="es-MX"/>
        </w:rPr>
        <w:footnoteReference w:id="1"/>
      </w:r>
      <w:r w:rsidRPr="003C38DF">
        <w:rPr>
          <w:rFonts w:ascii="Arial" w:eastAsia="Calibri" w:hAnsi="Arial" w:cs="Arial"/>
          <w:color w:val="000000"/>
          <w:szCs w:val="20"/>
          <w:lang w:val="es-MX"/>
        </w:rPr>
        <w:t xml:space="preserve">. Lo anterior, sin perjuicio del IGAC actúe como prestador por excepción. </w:t>
      </w:r>
      <w:bookmarkEnd w:id="6"/>
    </w:p>
    <w:p w14:paraId="1EEBD4FF" w14:textId="77777777" w:rsidR="003C38DF" w:rsidRPr="003C38DF" w:rsidRDefault="003C38DF" w:rsidP="003C38DF">
      <w:pPr>
        <w:spacing w:after="120" w:line="276" w:lineRule="auto"/>
        <w:ind w:firstLine="705"/>
        <w:jc w:val="both"/>
        <w:rPr>
          <w:rFonts w:ascii="Arial" w:eastAsia="Calibri" w:hAnsi="Arial" w:cs="Arial"/>
          <w:color w:val="000000"/>
          <w:szCs w:val="20"/>
          <w:lang w:val="es-MX"/>
        </w:rPr>
      </w:pPr>
      <w:r w:rsidRPr="003C38DF">
        <w:rPr>
          <w:rFonts w:ascii="Arial" w:eastAsia="Calibri" w:hAnsi="Arial" w:cs="Arial"/>
          <w:color w:val="000000"/>
          <w:szCs w:val="20"/>
          <w:lang w:val="es-MX"/>
        </w:rPr>
        <w:lastRenderedPageBreak/>
        <w:t>Por su parte, el artículo 2.2.2.5.1 del Decreto 1983 de 2019, dispone las condiciones que el IGAC verifica frente a las entidades territoriales y los esquemas asociativos para habilitarlos como gestores catastrales. Es así como estas entidades territoriales o esquemas asociativos deben cumplir condiciones jurídicas, técnicas, económicas y financieras para prestar el servicio público de gestión catastral. En consecuencia, este servicio únicamente pueden prestarlo las entidades que previamente se hayan habilitado como gestores catastrales por parte del IGAC</w:t>
      </w:r>
      <w:r w:rsidRPr="003C38DF">
        <w:rPr>
          <w:rFonts w:ascii="Arial" w:eastAsia="Calibri" w:hAnsi="Arial" w:cs="Arial"/>
          <w:color w:val="000000"/>
          <w:szCs w:val="20"/>
          <w:vertAlign w:val="superscript"/>
          <w:lang w:val="es-MX"/>
        </w:rPr>
        <w:footnoteReference w:id="2"/>
      </w:r>
      <w:r w:rsidRPr="003C38DF">
        <w:rPr>
          <w:rFonts w:ascii="Arial" w:eastAsia="Calibri" w:hAnsi="Arial" w:cs="Arial"/>
          <w:color w:val="000000"/>
          <w:szCs w:val="20"/>
          <w:lang w:val="es-MX"/>
        </w:rPr>
        <w:t>.</w:t>
      </w:r>
    </w:p>
    <w:p w14:paraId="58570CE9" w14:textId="77777777" w:rsidR="003C38DF" w:rsidRPr="003C38DF" w:rsidRDefault="003C38DF" w:rsidP="003C38DF">
      <w:pPr>
        <w:spacing w:before="120" w:after="0" w:line="276" w:lineRule="auto"/>
        <w:ind w:firstLine="709"/>
        <w:jc w:val="both"/>
        <w:rPr>
          <w:rFonts w:ascii="Arial" w:eastAsia="Calibri" w:hAnsi="Arial" w:cs="Arial"/>
          <w:color w:val="000000"/>
          <w:shd w:val="clear" w:color="auto" w:fill="FFFFFF"/>
          <w:lang w:val="es-MX"/>
        </w:rPr>
      </w:pPr>
      <w:bookmarkStart w:id="7" w:name="_Hlk75266876"/>
      <w:r w:rsidRPr="003C38DF">
        <w:rPr>
          <w:rFonts w:ascii="Arial" w:eastAsia="Calibri" w:hAnsi="Arial" w:cs="Arial"/>
          <w:color w:val="000000"/>
          <w:shd w:val="clear" w:color="auto" w:fill="FFFFFF"/>
          <w:lang w:val="es-MX"/>
        </w:rPr>
        <w:t xml:space="preserve">En lo relacionado con la contratación de los gestores catastrales, el artículo 2.2.2.5.6 del Decreto 1983 de 2019 dispone que las entidades territoriales que no estén habilitadas podrán contratar a un gestor catastral en los términos de dicho Decreto para la prestación del servicio público en su territorio. Así mismo, prescribe que el gestor catastral contratado </w:t>
      </w:r>
      <w:r w:rsidRPr="003C38DF">
        <w:rPr>
          <w:rFonts w:ascii="Arial" w:eastAsia="Calibri" w:hAnsi="Arial" w:cs="Arial"/>
          <w:color w:val="000000"/>
          <w:lang w:val="es-MX"/>
        </w:rPr>
        <w:t>«</w:t>
      </w:r>
      <w:r w:rsidRPr="003C38DF">
        <w:rPr>
          <w:rFonts w:ascii="Arial" w:eastAsia="Calibri" w:hAnsi="Arial" w:cs="Arial"/>
          <w:color w:val="000000"/>
          <w:shd w:val="clear" w:color="auto" w:fill="FFFFFF"/>
          <w:lang w:val="es-MX"/>
        </w:rPr>
        <w:t>deberá asegurar la prestación integral del servicio, es decir, incluyendo las actividades de formación, actualización y conservación, así como los procedimientos del enfoque catastral multipropósito que sean adoptados</w:t>
      </w:r>
      <w:r w:rsidRPr="003C38DF">
        <w:rPr>
          <w:rFonts w:ascii="Arial" w:eastAsia="Calibri" w:hAnsi="Arial" w:cs="Arial"/>
          <w:color w:val="000000"/>
          <w:lang w:val="es-MX"/>
        </w:rPr>
        <w:t>».</w:t>
      </w:r>
      <w:r w:rsidRPr="003C38DF">
        <w:rPr>
          <w:rFonts w:ascii="Arial" w:eastAsia="Calibri" w:hAnsi="Arial" w:cs="Arial"/>
          <w:color w:val="000000"/>
          <w:shd w:val="clear" w:color="auto" w:fill="FFFFFF"/>
          <w:lang w:val="es-MX"/>
        </w:rPr>
        <w:t xml:space="preserve"> Además, según el artículo 2.2.2.5.7 la contratación del gestor catastral se sujetará a las siguientes reglas, prescribiendo explícitamente que se realizará mediante </w:t>
      </w:r>
      <w:r w:rsidRPr="003C38DF">
        <w:rPr>
          <w:rFonts w:ascii="Arial" w:eastAsia="Calibri" w:hAnsi="Arial" w:cs="Arial"/>
          <w:i/>
          <w:iCs/>
          <w:color w:val="000000"/>
          <w:shd w:val="clear" w:color="auto" w:fill="FFFFFF"/>
          <w:lang w:val="es-MX"/>
        </w:rPr>
        <w:t>contrato interadministrativo</w:t>
      </w:r>
      <w:bookmarkEnd w:id="7"/>
      <w:r w:rsidRPr="003C38DF">
        <w:rPr>
          <w:rFonts w:ascii="Arial" w:eastAsia="Calibri" w:hAnsi="Arial" w:cs="Arial"/>
          <w:color w:val="000000"/>
          <w:shd w:val="clear" w:color="auto" w:fill="FFFFFF"/>
          <w:lang w:val="es-MX"/>
        </w:rPr>
        <w:t xml:space="preserve">:  </w:t>
      </w:r>
    </w:p>
    <w:p w14:paraId="1E97220F" w14:textId="77777777" w:rsidR="003C38DF" w:rsidRPr="003C38DF" w:rsidRDefault="003C38DF" w:rsidP="003C38DF">
      <w:pPr>
        <w:spacing w:after="0" w:line="276" w:lineRule="auto"/>
        <w:ind w:firstLine="703"/>
        <w:jc w:val="both"/>
        <w:rPr>
          <w:rFonts w:ascii="Arial" w:eastAsia="Calibri" w:hAnsi="Arial" w:cs="Arial"/>
          <w:color w:val="000000"/>
          <w:shd w:val="clear" w:color="auto" w:fill="FFFFFF"/>
          <w:lang w:val="es-MX"/>
        </w:rPr>
      </w:pPr>
    </w:p>
    <w:p w14:paraId="27026401" w14:textId="77777777" w:rsidR="003C38DF" w:rsidRPr="003C38DF" w:rsidRDefault="003C38DF" w:rsidP="003C38DF">
      <w:pPr>
        <w:spacing w:after="120" w:line="240" w:lineRule="auto"/>
        <w:ind w:left="703" w:right="709"/>
        <w:jc w:val="both"/>
        <w:rPr>
          <w:rFonts w:ascii="Arial" w:eastAsia="Calibri" w:hAnsi="Arial" w:cs="Arial"/>
          <w:sz w:val="21"/>
          <w:szCs w:val="21"/>
          <w:shd w:val="clear" w:color="auto" w:fill="FFFFFF"/>
          <w:lang w:val="es-MX"/>
        </w:rPr>
      </w:pPr>
      <w:r w:rsidRPr="003C38DF">
        <w:rPr>
          <w:rFonts w:ascii="Arial" w:eastAsia="Calibri" w:hAnsi="Arial" w:cs="Arial"/>
          <w:sz w:val="21"/>
          <w:szCs w:val="21"/>
          <w:shd w:val="clear" w:color="auto" w:fill="FFFFFF"/>
          <w:lang w:val="es-MX"/>
        </w:rPr>
        <w:t>Artículo 2.2.2.5.7. Condiciones de la contratación de gestores catastrales. La contratación de que habla el artículo anterior deberá sujetarse a las siguientes condiciones:</w:t>
      </w:r>
    </w:p>
    <w:p w14:paraId="21C349F0" w14:textId="77777777" w:rsidR="003C38DF" w:rsidRPr="003C38DF" w:rsidRDefault="003C38DF" w:rsidP="003C38DF">
      <w:pPr>
        <w:spacing w:after="120" w:line="240" w:lineRule="auto"/>
        <w:ind w:left="703" w:right="709"/>
        <w:jc w:val="both"/>
        <w:rPr>
          <w:rFonts w:ascii="Arial" w:eastAsia="Calibri" w:hAnsi="Arial" w:cs="Arial"/>
          <w:sz w:val="21"/>
          <w:szCs w:val="21"/>
          <w:shd w:val="clear" w:color="auto" w:fill="FFFFFF"/>
          <w:lang w:val="es-MX"/>
        </w:rPr>
      </w:pPr>
      <w:r w:rsidRPr="003C38DF">
        <w:rPr>
          <w:rFonts w:ascii="Arial" w:eastAsia="Calibri" w:hAnsi="Arial" w:cs="Arial"/>
          <w:sz w:val="21"/>
          <w:szCs w:val="21"/>
          <w:shd w:val="clear" w:color="auto" w:fill="FFFFFF"/>
          <w:lang w:val="es-MX"/>
        </w:rPr>
        <w:t xml:space="preserve">1. El gestor catastral contratado debe contar con una habilitación vigente para prestar el servicio público de gestión catastral. </w:t>
      </w:r>
    </w:p>
    <w:p w14:paraId="5BF85247" w14:textId="77777777" w:rsidR="003C38DF" w:rsidRPr="003C38DF" w:rsidRDefault="003C38DF" w:rsidP="003C38DF">
      <w:pPr>
        <w:spacing w:after="0" w:line="240" w:lineRule="auto"/>
        <w:ind w:left="703" w:right="709"/>
        <w:jc w:val="both"/>
        <w:rPr>
          <w:rFonts w:ascii="Arial" w:eastAsia="Calibri" w:hAnsi="Arial" w:cs="Arial"/>
          <w:sz w:val="21"/>
          <w:szCs w:val="21"/>
          <w:shd w:val="clear" w:color="auto" w:fill="FFFFFF"/>
          <w:lang w:val="es-MX"/>
        </w:rPr>
      </w:pPr>
      <w:r w:rsidRPr="003C38DF">
        <w:rPr>
          <w:rFonts w:ascii="Arial" w:eastAsia="Calibri" w:hAnsi="Arial" w:cs="Arial"/>
          <w:sz w:val="21"/>
          <w:szCs w:val="21"/>
          <w:shd w:val="clear" w:color="auto" w:fill="FFFFFF"/>
          <w:lang w:val="es-MX"/>
        </w:rPr>
        <w:t xml:space="preserve">2. Teniendo en cuenta la naturaleza de las partes, la selección del contratista para la prestación del servicio público catastral podrá realizarse a través de contratación directa, observando los principios de selección objetiva y transparencia, </w:t>
      </w:r>
      <w:r w:rsidRPr="003C38DF">
        <w:rPr>
          <w:rFonts w:ascii="Arial" w:eastAsia="Calibri" w:hAnsi="Arial" w:cs="Arial"/>
          <w:i/>
          <w:iCs/>
          <w:sz w:val="21"/>
          <w:szCs w:val="21"/>
          <w:shd w:val="clear" w:color="auto" w:fill="FFFFFF"/>
          <w:lang w:val="es-MX"/>
        </w:rPr>
        <w:t>por tratarse de un contrato interadministrativo</w:t>
      </w:r>
      <w:r w:rsidRPr="003C38DF">
        <w:rPr>
          <w:rFonts w:ascii="Arial" w:eastAsia="Calibri" w:hAnsi="Arial" w:cs="Arial"/>
          <w:sz w:val="21"/>
          <w:szCs w:val="21"/>
          <w:shd w:val="clear" w:color="auto" w:fill="FFFFFF"/>
          <w:lang w:val="es-MX"/>
        </w:rPr>
        <w:t>.</w:t>
      </w:r>
    </w:p>
    <w:p w14:paraId="607962AE" w14:textId="77777777" w:rsidR="003C38DF" w:rsidRPr="003C38DF" w:rsidRDefault="003C38DF" w:rsidP="003C38DF">
      <w:pPr>
        <w:spacing w:after="0" w:line="240" w:lineRule="auto"/>
        <w:ind w:left="703" w:right="709"/>
        <w:jc w:val="both"/>
        <w:rPr>
          <w:rFonts w:ascii="Arial" w:eastAsia="Calibri" w:hAnsi="Arial" w:cs="Arial"/>
          <w:sz w:val="21"/>
          <w:szCs w:val="21"/>
          <w:shd w:val="clear" w:color="auto" w:fill="FFFFFF"/>
          <w:lang w:val="es-MX"/>
        </w:rPr>
      </w:pPr>
      <w:r w:rsidRPr="003C38DF">
        <w:rPr>
          <w:rFonts w:ascii="Arial" w:eastAsia="Calibri" w:hAnsi="Arial" w:cs="Arial"/>
          <w:sz w:val="21"/>
          <w:szCs w:val="21"/>
          <w:shd w:val="clear" w:color="auto" w:fill="FFFFFF"/>
          <w:lang w:val="es-MX"/>
        </w:rPr>
        <w:lastRenderedPageBreak/>
        <w:t xml:space="preserve">[…] </w:t>
      </w:r>
    </w:p>
    <w:p w14:paraId="2BCB94D7" w14:textId="77777777" w:rsidR="003C38DF" w:rsidRPr="003C38DF" w:rsidRDefault="003C38DF" w:rsidP="003C38DF">
      <w:pPr>
        <w:spacing w:after="0" w:line="276" w:lineRule="auto"/>
        <w:ind w:left="703" w:right="709"/>
        <w:jc w:val="both"/>
        <w:rPr>
          <w:rFonts w:ascii="Arial" w:eastAsia="Calibri" w:hAnsi="Arial" w:cs="Arial"/>
          <w:sz w:val="21"/>
          <w:szCs w:val="21"/>
          <w:shd w:val="clear" w:color="auto" w:fill="FFFFFF"/>
          <w:lang w:val="es-MX"/>
        </w:rPr>
      </w:pPr>
    </w:p>
    <w:p w14:paraId="3C19B799" w14:textId="77777777" w:rsidR="003C38DF" w:rsidRPr="003C38DF" w:rsidRDefault="003C38DF" w:rsidP="003C38DF">
      <w:pPr>
        <w:spacing w:after="0" w:line="276" w:lineRule="auto"/>
        <w:ind w:firstLine="705"/>
        <w:jc w:val="both"/>
        <w:rPr>
          <w:rFonts w:ascii="Arial" w:eastAsia="Calibri" w:hAnsi="Arial" w:cs="Arial"/>
          <w:color w:val="000000"/>
          <w:shd w:val="clear" w:color="auto" w:fill="FFFFFF"/>
          <w:lang w:val="es-MX"/>
        </w:rPr>
      </w:pPr>
      <w:r w:rsidRPr="003C38DF">
        <w:rPr>
          <w:rFonts w:ascii="Arial" w:eastAsia="Calibri" w:hAnsi="Arial" w:cs="Arial"/>
          <w:color w:val="000000"/>
          <w:shd w:val="clear" w:color="auto" w:fill="FFFFFF"/>
          <w:lang w:val="es-MX"/>
        </w:rPr>
        <w:t xml:space="preserve">De conformidad con lo anterior, el Decreto 1983 de 2019 –artículos 2.2.2.5.6 y </w:t>
      </w:r>
      <w:r w:rsidRPr="003C38DF">
        <w:rPr>
          <w:rFonts w:ascii="Arial" w:eastAsia="Calibri" w:hAnsi="Arial" w:cs="Arial"/>
          <w:bCs/>
          <w:lang w:val="es-MX" w:eastAsia="es-ES"/>
        </w:rPr>
        <w:t xml:space="preserve">2.2.2.5.7– </w:t>
      </w:r>
      <w:r w:rsidRPr="003C38DF">
        <w:rPr>
          <w:rFonts w:ascii="Arial" w:eastAsia="Calibri" w:hAnsi="Arial" w:cs="Arial"/>
          <w:color w:val="000000"/>
          <w:shd w:val="clear" w:color="auto" w:fill="FFFFFF"/>
          <w:lang w:val="es-MX"/>
        </w:rPr>
        <w:t>establece que el esquema para contratar la prestación del servicio público de gestión catastral, a través de la contratación de un gestor debidamente habilitado, debe realizarse mediante la celebración de un contrato interadministrativo.</w:t>
      </w:r>
      <w:r w:rsidRPr="003C38DF" w:rsidDel="00AF750A">
        <w:rPr>
          <w:rFonts w:ascii="Arial" w:eastAsia="Calibri" w:hAnsi="Arial" w:cs="Arial"/>
          <w:shd w:val="clear" w:color="auto" w:fill="FFFFFF"/>
          <w:lang w:val="es-MX"/>
        </w:rPr>
        <w:t xml:space="preserve"> </w:t>
      </w:r>
      <w:r w:rsidRPr="003C38DF">
        <w:rPr>
          <w:rFonts w:ascii="Arial" w:eastAsia="Calibri" w:hAnsi="Arial" w:cs="Arial"/>
          <w:shd w:val="clear" w:color="auto" w:fill="FFFFFF"/>
          <w:lang w:val="es-MX"/>
        </w:rPr>
        <w:t>Igualmente, en este contrato se debe garantizar la</w:t>
      </w:r>
      <w:r w:rsidRPr="003C38DF">
        <w:rPr>
          <w:rFonts w:ascii="Arial" w:eastAsia="Calibri" w:hAnsi="Arial" w:cs="Arial"/>
          <w:color w:val="000000"/>
          <w:shd w:val="clear" w:color="auto" w:fill="FFFFFF"/>
          <w:lang w:val="es-MX"/>
        </w:rPr>
        <w:t xml:space="preserve"> prestación integral del servicio, es decir, incluyendo las actividades de formación, actualización y conservación. </w:t>
      </w:r>
    </w:p>
    <w:p w14:paraId="41A54AF7" w14:textId="77777777" w:rsidR="003C38DF" w:rsidRPr="003C38DF" w:rsidRDefault="003C38DF" w:rsidP="003C38DF">
      <w:pPr>
        <w:spacing w:before="120" w:after="0" w:line="276" w:lineRule="auto"/>
        <w:ind w:firstLine="705"/>
        <w:jc w:val="both"/>
        <w:rPr>
          <w:rFonts w:ascii="Arial" w:eastAsia="Calibri" w:hAnsi="Arial" w:cs="Arial"/>
          <w:color w:val="000000"/>
          <w:shd w:val="clear" w:color="auto" w:fill="FFFFFF"/>
          <w:lang w:val="es-MX"/>
        </w:rPr>
      </w:pPr>
      <w:r w:rsidRPr="003C38DF">
        <w:rPr>
          <w:rFonts w:ascii="Arial" w:eastAsia="Calibri" w:hAnsi="Arial" w:cs="Arial"/>
          <w:color w:val="000000"/>
          <w:lang w:val="es-MX"/>
        </w:rPr>
        <w:t>De esta manera, el esquema establecido en los artículos señalados, respecto a las entidades territoriales que no están habilitadas como gestores catastrales, consiste en celebrar un contrato con un gestor catastral, para que este se ocupe de prestar el servicio de forma integral, de modo que estos son los únicos sujetos habilitados para desarrollar estas actividades. Lo anterior sin perjuicio de que los gestores puedan contratar «operadores catastrales».</w:t>
      </w:r>
    </w:p>
    <w:p w14:paraId="7D39AC29" w14:textId="77777777" w:rsidR="003C38DF" w:rsidRPr="003C38DF" w:rsidRDefault="003C38DF" w:rsidP="003C38DF">
      <w:pPr>
        <w:spacing w:after="0" w:line="276" w:lineRule="auto"/>
        <w:ind w:firstLine="703"/>
        <w:jc w:val="both"/>
        <w:rPr>
          <w:rFonts w:ascii="Arial" w:eastAsia="Calibri" w:hAnsi="Arial" w:cs="Arial"/>
          <w:color w:val="000000"/>
          <w:shd w:val="clear" w:color="auto" w:fill="FFFFFF"/>
          <w:lang w:val="es-MX"/>
        </w:rPr>
      </w:pPr>
    </w:p>
    <w:p w14:paraId="288E9735" w14:textId="77777777" w:rsidR="003C38DF" w:rsidRPr="003C38DF" w:rsidRDefault="003C38DF" w:rsidP="003C38DF">
      <w:pPr>
        <w:spacing w:after="0" w:line="276" w:lineRule="auto"/>
        <w:jc w:val="both"/>
        <w:rPr>
          <w:rFonts w:ascii="Arial" w:eastAsia="Calibri" w:hAnsi="Arial" w:cs="Arial"/>
          <w:b/>
          <w:bCs/>
          <w:color w:val="000000"/>
          <w:shd w:val="clear" w:color="auto" w:fill="FFFFFF"/>
          <w:lang w:val="es-MX"/>
        </w:rPr>
      </w:pPr>
      <w:r w:rsidRPr="003C38DF">
        <w:rPr>
          <w:rFonts w:ascii="Arial" w:eastAsia="Calibri" w:hAnsi="Arial" w:cs="Arial"/>
          <w:b/>
          <w:bCs/>
          <w:color w:val="000000"/>
          <w:shd w:val="clear" w:color="auto" w:fill="FFFFFF"/>
          <w:lang w:val="es-MX"/>
        </w:rPr>
        <w:t xml:space="preserve">2.2. </w:t>
      </w:r>
      <w:r w:rsidRPr="003C38DF">
        <w:rPr>
          <w:rFonts w:ascii="Arial" w:eastAsia="Calibri" w:hAnsi="Arial" w:cs="Arial"/>
          <w:b/>
          <w:bCs/>
          <w:color w:val="000000"/>
          <w:shd w:val="clear" w:color="auto" w:fill="FFFFFF"/>
          <w:lang w:val="es-MX" w:bidi="es-ES"/>
        </w:rPr>
        <w:t xml:space="preserve">Documento Tipo </w:t>
      </w:r>
      <w:r w:rsidRPr="003C38DF">
        <w:rPr>
          <w:rFonts w:ascii="Arial" w:eastAsia="Calibri" w:hAnsi="Arial" w:cs="Arial"/>
          <w:b/>
          <w:bCs/>
          <w:iCs/>
          <w:color w:val="000000"/>
          <w:shd w:val="clear" w:color="auto" w:fill="FFFFFF"/>
          <w:lang w:val="es-MX"/>
        </w:rPr>
        <w:t>para los procesos de gestión catastral con enfoque multipropósito que se celebren a través de contratos interadministrativos</w:t>
      </w:r>
    </w:p>
    <w:p w14:paraId="014B9EE7" w14:textId="77777777" w:rsidR="003C38DF" w:rsidRPr="003C38DF" w:rsidRDefault="003C38DF" w:rsidP="003C38DF">
      <w:pPr>
        <w:spacing w:after="0" w:line="276" w:lineRule="auto"/>
        <w:jc w:val="both"/>
        <w:rPr>
          <w:rFonts w:ascii="Arial" w:eastAsia="Calibri" w:hAnsi="Arial" w:cs="Arial"/>
          <w:b/>
          <w:bCs/>
          <w:color w:val="000000"/>
          <w:shd w:val="clear" w:color="auto" w:fill="FFFFFF"/>
          <w:lang w:val="es-MX"/>
        </w:rPr>
      </w:pPr>
    </w:p>
    <w:p w14:paraId="5F15EB94" w14:textId="77777777" w:rsidR="00E003E8" w:rsidRPr="00E003E8" w:rsidRDefault="00E003E8" w:rsidP="00E003E8">
      <w:pPr>
        <w:spacing w:after="0" w:line="276" w:lineRule="auto"/>
        <w:jc w:val="both"/>
        <w:rPr>
          <w:rFonts w:ascii="Arial" w:eastAsia="Calibri" w:hAnsi="Arial" w:cs="Arial"/>
          <w:lang w:val="es-MX"/>
        </w:rPr>
      </w:pPr>
      <w:r w:rsidRPr="00E003E8">
        <w:rPr>
          <w:rFonts w:ascii="Arial" w:eastAsia="Calibri" w:hAnsi="Arial" w:cs="Arial"/>
          <w:lang w:val="es-MX"/>
        </w:rPr>
        <w:t>El artículo 1 de la Ley 2022 de 2020, el cual modifica el artículo 4 de la Ley 1882 de 2018, otorgó a la Agencia Nacional de Contratación Pública – Colombia Compra Eficiente la competencia para adoptar documentos tipo de obligatorio cumplimiento en la actividad contractual de todas las entidades sometidas al Estatuto General de Contratación de la Administración Pública. Por lo anterior, debido a la necesidad de actualizar la gestión catastral e implementar herramientas que faciliten los procesos de formación, actualización, conservación y difusión catastral, era prioritario estructurar los documentos tipo que definieran la contratación de las actividades relacionadas con la gestión catastral. Así, con el objetivo de unificar y facilitar la contratación de la gestión catastral de las entidades estatales y, a su vez, cumplir la línea de acción No. 13 definida en el documento CONPES 3958 del 26 de marzo de 2019</w:t>
      </w:r>
      <w:r w:rsidRPr="00E003E8">
        <w:rPr>
          <w:rFonts w:ascii="Arial" w:eastAsia="Calibri" w:hAnsi="Arial" w:cs="Arial"/>
          <w:vertAlign w:val="superscript"/>
          <w:lang w:val="es-MX"/>
        </w:rPr>
        <w:footnoteReference w:id="3"/>
      </w:r>
      <w:r w:rsidRPr="00E003E8">
        <w:rPr>
          <w:rFonts w:ascii="Arial" w:eastAsia="Calibri" w:hAnsi="Arial" w:cs="Arial"/>
          <w:lang w:val="es-MX"/>
        </w:rPr>
        <w:t>, la Agencia expidió la Resolución No. 269 del 16 de diciembre de 2020, «Por la cual se adopta el documento tipo para los procesos de gestión catastral con enfoque multipropósito que se celebren a través de contratos interadministrativos</w:t>
      </w:r>
      <w:bookmarkStart w:id="8" w:name="_Hlk71914138"/>
      <w:r w:rsidRPr="00E003E8">
        <w:rPr>
          <w:rFonts w:ascii="Arial" w:eastAsia="Calibri" w:hAnsi="Arial" w:cs="Arial"/>
          <w:lang w:val="es-MX"/>
        </w:rPr>
        <w:t>»</w:t>
      </w:r>
      <w:bookmarkEnd w:id="8"/>
      <w:r w:rsidRPr="00E003E8">
        <w:rPr>
          <w:rFonts w:ascii="Arial" w:eastAsia="Calibri" w:hAnsi="Arial" w:cs="Arial"/>
          <w:lang w:val="es-MX"/>
        </w:rPr>
        <w:t xml:space="preserve">. </w:t>
      </w:r>
    </w:p>
    <w:p w14:paraId="66FB6C99" w14:textId="7E578B97" w:rsidR="00E003E8" w:rsidRPr="00E003E8" w:rsidRDefault="00E003E8" w:rsidP="00E003E8">
      <w:pPr>
        <w:spacing w:before="120" w:after="0" w:line="276" w:lineRule="auto"/>
        <w:ind w:firstLine="708"/>
        <w:jc w:val="both"/>
        <w:rPr>
          <w:rFonts w:ascii="Arial" w:eastAsia="Calibri" w:hAnsi="Arial" w:cs="Arial"/>
          <w:color w:val="000000"/>
          <w:shd w:val="clear" w:color="auto" w:fill="FFFFFF"/>
          <w:lang w:val="es-MX"/>
        </w:rPr>
      </w:pPr>
      <w:r w:rsidRPr="00E003E8">
        <w:rPr>
          <w:rFonts w:ascii="Arial" w:eastAsia="Calibri" w:hAnsi="Arial" w:cs="Arial"/>
          <w:lang w:val="es-MX"/>
        </w:rPr>
        <w:t>E</w:t>
      </w:r>
      <w:r w:rsidRPr="00E003E8">
        <w:rPr>
          <w:rFonts w:ascii="Arial" w:eastAsia="Calibri" w:hAnsi="Arial" w:cs="Arial"/>
          <w:color w:val="000000"/>
          <w:shd w:val="clear" w:color="auto" w:fill="FFFFFF"/>
          <w:lang w:val="es-MX"/>
        </w:rPr>
        <w:t xml:space="preserve">l argumento principal que fundamenta el enfoque regulatorio adoptado por Colombia Compra Eficiente para expedir el documento tipo se </w:t>
      </w:r>
      <w:r w:rsidR="00170E59">
        <w:rPr>
          <w:rFonts w:ascii="Arial" w:eastAsia="Calibri" w:hAnsi="Arial" w:cs="Arial"/>
          <w:color w:val="000000"/>
          <w:shd w:val="clear" w:color="auto" w:fill="FFFFFF"/>
          <w:lang w:val="es-MX"/>
        </w:rPr>
        <w:t>sustenta</w:t>
      </w:r>
      <w:r w:rsidRPr="00E003E8">
        <w:rPr>
          <w:rFonts w:ascii="Arial" w:eastAsia="Calibri" w:hAnsi="Arial" w:cs="Arial"/>
          <w:color w:val="000000"/>
          <w:shd w:val="clear" w:color="auto" w:fill="FFFFFF"/>
          <w:lang w:val="es-MX"/>
        </w:rPr>
        <w:t xml:space="preserve"> en una sujeción </w:t>
      </w:r>
      <w:r w:rsidRPr="00E003E8">
        <w:rPr>
          <w:rFonts w:ascii="Arial" w:eastAsia="Calibri" w:hAnsi="Arial" w:cs="Arial"/>
          <w:color w:val="000000"/>
          <w:shd w:val="clear" w:color="auto" w:fill="FFFFFF"/>
          <w:lang w:val="es-MX"/>
        </w:rPr>
        <w:lastRenderedPageBreak/>
        <w:t>estricta al principio de legalidad. De esta manera se apoya en la normativa legal y reglamentaria que regula la prestación del servicio público de gestión catastral, cuando se acude a celebrar un contrato para el desarrollo de esta actividad.</w:t>
      </w:r>
    </w:p>
    <w:p w14:paraId="56820FA2" w14:textId="77777777" w:rsidR="00E003E8" w:rsidRPr="00E003E8" w:rsidRDefault="00E003E8" w:rsidP="00E003E8">
      <w:pPr>
        <w:spacing w:before="120" w:after="0" w:line="276" w:lineRule="auto"/>
        <w:ind w:firstLine="708"/>
        <w:jc w:val="both"/>
        <w:rPr>
          <w:rFonts w:ascii="Arial" w:eastAsia="Calibri" w:hAnsi="Arial" w:cs="Arial"/>
          <w:color w:val="000000"/>
          <w:shd w:val="clear" w:color="auto" w:fill="FFFFFF"/>
          <w:lang w:val="es-MX"/>
        </w:rPr>
      </w:pPr>
      <w:r w:rsidRPr="00E003E8">
        <w:rPr>
          <w:rFonts w:ascii="Arial" w:eastAsia="Calibri" w:hAnsi="Arial" w:cs="Arial"/>
          <w:lang w:val="es-MX"/>
        </w:rPr>
        <w:t xml:space="preserve">En efecto, </w:t>
      </w:r>
      <w:bookmarkStart w:id="9" w:name="_Hlk72143126"/>
      <w:r w:rsidRPr="00E003E8">
        <w:rPr>
          <w:rFonts w:ascii="Arial" w:eastAsia="Calibri" w:hAnsi="Arial" w:cs="Arial"/>
          <w:lang w:val="es-MX"/>
        </w:rPr>
        <w:t xml:space="preserve">el documento tipo o minuta tipo adoptado por la </w:t>
      </w:r>
      <w:r w:rsidRPr="00E003E8">
        <w:rPr>
          <w:rFonts w:ascii="Arial" w:eastAsia="Calibri" w:hAnsi="Arial" w:cs="Arial"/>
          <w:color w:val="000000"/>
          <w:shd w:val="clear" w:color="auto" w:fill="FFFFFF"/>
          <w:lang w:val="es-MX"/>
        </w:rPr>
        <w:t xml:space="preserve">Agencia Nacional de Contratación Pública – Colombia Compra Eficiente, en conjunto con el Instituto Geográfico Agustín Codazzi –IGAC- y el Departamento Administrativo Nacional de Estadística ‒DANE, es el instrumento que concreta una de las formas de prestación del servicio público de gestión catastral, fundamentado particularmente en los artículos 2.2.2.5.6 y 2.2.2.5.7 del Decreto 1983 de 2019. El primero, como se expuso </w:t>
      </w:r>
      <w:r w:rsidRPr="00E003E8">
        <w:rPr>
          <w:rFonts w:ascii="Arial" w:eastAsia="Calibri" w:hAnsi="Arial" w:cs="Arial"/>
          <w:i/>
          <w:iCs/>
          <w:color w:val="000000"/>
          <w:shd w:val="clear" w:color="auto" w:fill="FFFFFF"/>
          <w:lang w:val="es-MX"/>
        </w:rPr>
        <w:t>ut supra</w:t>
      </w:r>
      <w:r w:rsidRPr="00E003E8">
        <w:rPr>
          <w:rFonts w:ascii="Arial" w:eastAsia="Calibri" w:hAnsi="Arial" w:cs="Arial"/>
          <w:color w:val="000000"/>
          <w:shd w:val="clear" w:color="auto" w:fill="FFFFFF"/>
          <w:lang w:val="es-MX"/>
        </w:rPr>
        <w:t xml:space="preserve">, referente a la facultad que tienen las entidades territoriales no habilitadas para contratar con un gestor catastral la prestación integral del servicio público en su territorio; mientras que el segundo artículo, entre otros requerimientos, dispone que la contratación de este servicio podrá realizarse a través de contratación directa, observando los principios de selección objetiva y transparencia, por tratarse de un contrato interadministrativo. </w:t>
      </w:r>
    </w:p>
    <w:bookmarkEnd w:id="9"/>
    <w:p w14:paraId="569EA2D3" w14:textId="77777777" w:rsidR="00E003E8" w:rsidRPr="00E003E8" w:rsidRDefault="00E003E8" w:rsidP="00E003E8">
      <w:pPr>
        <w:spacing w:before="120" w:after="0" w:line="276" w:lineRule="auto"/>
        <w:jc w:val="both"/>
        <w:rPr>
          <w:rFonts w:ascii="Arial" w:eastAsia="Calibri" w:hAnsi="Arial" w:cs="Arial"/>
          <w:color w:val="000000"/>
          <w:lang w:val="es-MX"/>
        </w:rPr>
      </w:pPr>
      <w:r w:rsidRPr="00E003E8">
        <w:rPr>
          <w:rFonts w:ascii="Arial" w:eastAsia="Calibri" w:hAnsi="Arial" w:cs="Arial"/>
          <w:color w:val="000000"/>
          <w:shd w:val="clear" w:color="auto" w:fill="FFFFFF"/>
          <w:lang w:val="es-MX"/>
        </w:rPr>
        <w:tab/>
        <w:t xml:space="preserve">De este modo, la minuta tipo materializa la forma de prestación del servicio público de gestión catastral de manera integral, mediante el cual un municipio decide contratar a un gestor catastral habilitado para la prestación de este servicio, lo cual, de conformidad con las disposiciones anteriores, debe realizarse mediante un contrato interadministrativo. Este documento </w:t>
      </w:r>
      <w:r w:rsidRPr="00E003E8">
        <w:rPr>
          <w:rFonts w:ascii="Arial" w:eastAsia="Calibri" w:hAnsi="Arial" w:cs="Arial"/>
          <w:color w:val="000000"/>
          <w:lang w:val="es-MX"/>
        </w:rPr>
        <w:t xml:space="preserve">contiene las condiciones que deben incorporarse en las minutas para contratos interadministrativos para la ejecución de las actividades de formación o actualización y conservación catastral, que celebre con cualquier gestor catastral habilitado o con el Instituto Geográfico Agustín Codazzi. </w:t>
      </w:r>
    </w:p>
    <w:p w14:paraId="1ED964DA" w14:textId="77777777" w:rsidR="00E003E8" w:rsidRPr="00E003E8" w:rsidRDefault="00E003E8" w:rsidP="00E003E8">
      <w:pPr>
        <w:spacing w:before="120" w:after="0" w:line="276" w:lineRule="auto"/>
        <w:ind w:firstLine="709"/>
        <w:jc w:val="both"/>
        <w:rPr>
          <w:rFonts w:ascii="Arial" w:eastAsia="Calibri" w:hAnsi="Arial" w:cs="Arial"/>
          <w:lang w:val="es-MX"/>
        </w:rPr>
      </w:pPr>
      <w:r w:rsidRPr="00E003E8">
        <w:rPr>
          <w:rFonts w:ascii="Arial" w:eastAsia="Calibri" w:hAnsi="Arial" w:cs="Arial"/>
          <w:color w:val="000000"/>
          <w:lang w:val="es-MX"/>
        </w:rPr>
        <w:t xml:space="preserve"> De ahí que </w:t>
      </w:r>
      <w:bookmarkStart w:id="10" w:name="_Hlk75267005"/>
      <w:r w:rsidRPr="00E003E8">
        <w:rPr>
          <w:rFonts w:ascii="Arial" w:eastAsia="Calibri" w:hAnsi="Arial" w:cs="Arial"/>
          <w:color w:val="000000"/>
          <w:lang w:val="es-MX"/>
        </w:rPr>
        <w:t xml:space="preserve">el objeto de la minuta tipo se circunscribe a la prestación integral de la gestión catastral que comprende, de manera conjunta, las actividades de formación o actualización, según corresponda, conservación y difusión catastral. Esto significa que, con fundamento en esta minuta, únicamente se podrá contratar al gestor catastral para la ejecución de las actividades señaladas de manera integral. </w:t>
      </w:r>
      <w:r w:rsidRPr="00E003E8">
        <w:rPr>
          <w:rFonts w:ascii="Arial" w:eastAsia="Calibri" w:hAnsi="Arial" w:cs="Arial"/>
          <w:color w:val="000000"/>
          <w:shd w:val="clear" w:color="auto" w:fill="FFFFFF"/>
          <w:lang w:val="es-MX"/>
        </w:rPr>
        <w:t xml:space="preserve">Así lo determina la parte introductoria de la minuta tipo que expresamente dispone que </w:t>
      </w:r>
      <w:r w:rsidRPr="00E003E8">
        <w:rPr>
          <w:rFonts w:ascii="Arial" w:eastAsia="Calibri" w:hAnsi="Arial" w:cs="Arial"/>
          <w:lang w:val="es-MX"/>
        </w:rPr>
        <w:t>«</w:t>
      </w:r>
      <w:r w:rsidRPr="00E003E8">
        <w:rPr>
          <w:rFonts w:ascii="Arial" w:eastAsia="Calibri" w:hAnsi="Arial" w:cs="Arial"/>
          <w:color w:val="000000"/>
          <w:shd w:val="clear" w:color="auto" w:fill="FFFFFF"/>
          <w:lang w:val="es-MX"/>
        </w:rPr>
        <w:t>Debido a que la prestación del servicio catastral es integral, en los términos del artículo 2.2.2.5.6. del Decreto 1983 de 2019, se contratará la actividad de formación o actualización catastral junto con su conservación. Es decir, no será posible contratar de forma aislada, con fundamento en esta minuta, las actividades de formación, actualización o conservación catastral</w:t>
      </w:r>
      <w:r w:rsidRPr="00E003E8">
        <w:rPr>
          <w:rFonts w:ascii="Arial" w:eastAsia="Calibri" w:hAnsi="Arial" w:cs="Arial"/>
          <w:lang w:val="es-MX"/>
        </w:rPr>
        <w:t>»</w:t>
      </w:r>
      <w:bookmarkEnd w:id="10"/>
      <w:r w:rsidRPr="00E003E8">
        <w:rPr>
          <w:rFonts w:ascii="Arial" w:eastAsia="Calibri" w:hAnsi="Arial" w:cs="Arial"/>
          <w:lang w:val="es-MX"/>
        </w:rPr>
        <w:t xml:space="preserve">. </w:t>
      </w:r>
    </w:p>
    <w:p w14:paraId="14FEBDC3" w14:textId="77777777" w:rsidR="00E003E8" w:rsidRPr="00E003E8" w:rsidRDefault="00E003E8" w:rsidP="00E003E8">
      <w:pPr>
        <w:spacing w:before="120" w:after="0" w:line="276" w:lineRule="auto"/>
        <w:ind w:firstLine="709"/>
        <w:jc w:val="both"/>
        <w:rPr>
          <w:rFonts w:ascii="Arial" w:eastAsia="Calibri" w:hAnsi="Arial" w:cs="Arial"/>
          <w:lang w:val="es-MX"/>
        </w:rPr>
      </w:pPr>
      <w:r w:rsidRPr="00E003E8">
        <w:rPr>
          <w:rFonts w:ascii="Arial" w:eastAsia="Calibri" w:hAnsi="Arial" w:cs="Arial"/>
          <w:lang w:val="es-MX"/>
        </w:rPr>
        <w:t xml:space="preserve">Por consiguiente, es claro que la prestación del servicio de gestión catastral que se desarrolle en el marco de la minuta tipo debe comprender, en su integridad, las actividades de </w:t>
      </w:r>
      <w:proofErr w:type="spellStart"/>
      <w:r w:rsidRPr="00E003E8">
        <w:rPr>
          <w:rFonts w:ascii="Arial" w:eastAsia="Calibri" w:hAnsi="Arial" w:cs="Arial"/>
          <w:lang w:val="es-MX"/>
        </w:rPr>
        <w:t>que</w:t>
      </w:r>
      <w:proofErr w:type="spellEnd"/>
      <w:r w:rsidRPr="00E003E8">
        <w:rPr>
          <w:rFonts w:ascii="Arial" w:eastAsia="Calibri" w:hAnsi="Arial" w:cs="Arial"/>
          <w:lang w:val="es-MX"/>
        </w:rPr>
        <w:t xml:space="preserve"> trata el </w:t>
      </w:r>
      <w:r w:rsidRPr="00E003E8">
        <w:rPr>
          <w:rFonts w:ascii="Arial" w:eastAsia="Calibri" w:hAnsi="Arial" w:cs="Arial"/>
          <w:color w:val="000000"/>
          <w:lang w:val="es-MX"/>
        </w:rPr>
        <w:t>artículo 2.2.2.5.6 del</w:t>
      </w:r>
      <w:r w:rsidRPr="00E003E8">
        <w:rPr>
          <w:rFonts w:ascii="Arial" w:eastAsia="Calibri" w:hAnsi="Arial" w:cs="Arial"/>
          <w:color w:val="000000"/>
          <w:shd w:val="clear" w:color="auto" w:fill="FFFFFF"/>
          <w:lang w:val="es-MX"/>
        </w:rPr>
        <w:t xml:space="preserve"> Decreto 1983 de 2019</w:t>
      </w:r>
      <w:r w:rsidRPr="00E003E8">
        <w:rPr>
          <w:rFonts w:ascii="Arial" w:eastAsia="Calibri" w:hAnsi="Arial" w:cs="Arial"/>
          <w:color w:val="000000"/>
          <w:lang w:val="es-MX"/>
        </w:rPr>
        <w:t xml:space="preserve">. Es importante enfatizar este aspecto, pues estas actividades constituyen la base primordial de la minuta tipo, sobre las cuales se estructuran las obligaciones y demás condiciones del contrato interadministrativo. </w:t>
      </w:r>
    </w:p>
    <w:p w14:paraId="0BC2AF05" w14:textId="77777777" w:rsidR="00E003E8" w:rsidRPr="00E003E8" w:rsidRDefault="00E003E8" w:rsidP="0076494C">
      <w:pPr>
        <w:spacing w:after="120" w:line="276" w:lineRule="auto"/>
        <w:ind w:firstLine="709"/>
        <w:jc w:val="both"/>
        <w:rPr>
          <w:rFonts w:ascii="Arial" w:eastAsia="Calibri" w:hAnsi="Arial" w:cs="Arial"/>
          <w:lang w:val="es-MX" w:eastAsia="es-CO"/>
        </w:rPr>
      </w:pPr>
      <w:r w:rsidRPr="00E003E8">
        <w:rPr>
          <w:rFonts w:ascii="Arial" w:eastAsia="Calibri" w:hAnsi="Arial" w:cs="Arial"/>
          <w:lang w:val="es-MX"/>
        </w:rPr>
        <w:lastRenderedPageBreak/>
        <w:t>Así, el municipio, con base en la información de los estudios y documentos previos elaborados, deberá señalar si la actividad de gestión catastral será la de formación o la de actualización. La primera corresponde al «</w:t>
      </w:r>
      <w:r w:rsidRPr="00E003E8">
        <w:rPr>
          <w:rFonts w:ascii="Arial" w:eastAsia="Calibri" w:hAnsi="Arial" w:cs="Arial"/>
          <w:lang w:val="es-MX" w:eastAsia="es-CO"/>
        </w:rPr>
        <w:t>conjunto de actividades destinadas a identificar, por primera vez, la información catastral en la totalidad de los predios que conforman el territorio o en parte de él</w:t>
      </w:r>
      <w:r w:rsidRPr="00E003E8">
        <w:rPr>
          <w:rFonts w:ascii="Arial" w:eastAsia="Calibri" w:hAnsi="Arial" w:cs="Arial"/>
          <w:lang w:val="es-MX"/>
        </w:rPr>
        <w:t>»</w:t>
      </w:r>
      <w:r w:rsidRPr="00E003E8">
        <w:rPr>
          <w:rFonts w:ascii="Arial" w:eastAsia="Calibri" w:hAnsi="Arial" w:cs="Arial"/>
          <w:vertAlign w:val="superscript"/>
          <w:lang w:val="es-MX" w:eastAsia="es-CO"/>
        </w:rPr>
        <w:footnoteReference w:id="4"/>
      </w:r>
      <w:r w:rsidRPr="00E003E8">
        <w:rPr>
          <w:rFonts w:ascii="Arial" w:eastAsia="Calibri" w:hAnsi="Arial" w:cs="Arial"/>
          <w:lang w:val="es-MX" w:eastAsia="es-CO"/>
        </w:rPr>
        <w:t xml:space="preserve">. Por su parte, la segunda comprende el </w:t>
      </w:r>
      <w:r w:rsidRPr="00E003E8">
        <w:rPr>
          <w:rFonts w:ascii="Arial" w:eastAsia="Calibri" w:hAnsi="Arial" w:cs="Arial"/>
          <w:lang w:val="es-MX"/>
        </w:rPr>
        <w:t>«</w:t>
      </w:r>
      <w:r w:rsidRPr="00E003E8">
        <w:rPr>
          <w:rFonts w:ascii="Arial" w:eastAsia="Calibri" w:hAnsi="Arial" w:cs="Arial"/>
          <w:lang w:val="es-MX" w:eastAsia="es-CO"/>
        </w:rPr>
        <w:t>conjunto de actividades destinadas a identificar, incorporar o rectificar los cambios o inconsistencias en la información catastral durante un periodo determinado. […]. En ningún caso, para actualizar la información de un área geográfica, será obligatorio adelantar levantamiento catastral en la totalidad de inmuebles</w:t>
      </w:r>
      <w:r w:rsidRPr="00E003E8">
        <w:rPr>
          <w:rFonts w:ascii="Arial" w:eastAsia="Calibri" w:hAnsi="Arial" w:cs="Arial"/>
          <w:lang w:val="es-MX"/>
        </w:rPr>
        <w:t>»</w:t>
      </w:r>
      <w:r w:rsidRPr="00E003E8">
        <w:rPr>
          <w:rFonts w:ascii="Arial" w:eastAsia="Calibri" w:hAnsi="Arial" w:cs="Arial"/>
          <w:vertAlign w:val="superscript"/>
          <w:lang w:val="es-MX" w:eastAsia="es-CO"/>
        </w:rPr>
        <w:footnoteReference w:id="5"/>
      </w:r>
      <w:r w:rsidRPr="00E003E8">
        <w:rPr>
          <w:rFonts w:ascii="Arial" w:eastAsia="Calibri" w:hAnsi="Arial" w:cs="Arial"/>
          <w:lang w:val="es-MX"/>
        </w:rPr>
        <w:t>. El objeto de la minuta deberá comprender alguna de estas actividades, en conjunto con la conservación y difusión catastral</w:t>
      </w:r>
      <w:r w:rsidRPr="00E003E8">
        <w:rPr>
          <w:rFonts w:ascii="Arial" w:eastAsia="Calibri" w:hAnsi="Arial" w:cs="Arial"/>
          <w:vertAlign w:val="superscript"/>
          <w:lang w:val="es-MX"/>
        </w:rPr>
        <w:footnoteReference w:id="6"/>
      </w:r>
      <w:r w:rsidRPr="00E003E8">
        <w:rPr>
          <w:rFonts w:ascii="Arial" w:eastAsia="Calibri" w:hAnsi="Arial" w:cs="Arial"/>
          <w:lang w:val="es-MX"/>
        </w:rPr>
        <w:t xml:space="preserve">. </w:t>
      </w:r>
    </w:p>
    <w:p w14:paraId="769F76F7" w14:textId="77777777" w:rsidR="00E003E8" w:rsidRPr="00E003E8" w:rsidRDefault="00E003E8" w:rsidP="0076494C">
      <w:pPr>
        <w:spacing w:after="0" w:line="276" w:lineRule="auto"/>
        <w:ind w:firstLine="709"/>
        <w:jc w:val="both"/>
        <w:rPr>
          <w:rFonts w:ascii="Arial" w:eastAsia="Calibri" w:hAnsi="Arial" w:cs="Arial"/>
          <w:color w:val="000000"/>
          <w:shd w:val="clear" w:color="auto" w:fill="FFFFFF"/>
          <w:lang w:val="es-MX"/>
        </w:rPr>
      </w:pPr>
      <w:r w:rsidRPr="00E003E8">
        <w:rPr>
          <w:rFonts w:ascii="Arial" w:eastAsia="Calibri" w:hAnsi="Arial" w:cs="Arial"/>
          <w:color w:val="000000"/>
          <w:lang w:val="es-MX"/>
        </w:rPr>
        <w:t>Así las cosas, el ámbito de aplicación de la minuta tipo para los procesos de gestión catastral con enfoque multipropósito que se celebren a través de contratos interadministrativos, se fundamenta en los artículos 2.2.2.5.6 y 2.2.2.5.7 del Decreto 1983 de 2019. Estas normas se refieren a la prestación</w:t>
      </w:r>
      <w:r w:rsidRPr="00E003E8">
        <w:rPr>
          <w:rFonts w:ascii="Arial" w:eastAsia="Calibri" w:hAnsi="Arial" w:cs="Arial"/>
          <w:color w:val="000000"/>
          <w:shd w:val="clear" w:color="auto" w:fill="FFFFFF"/>
          <w:lang w:val="es-MX"/>
        </w:rPr>
        <w:t xml:space="preserve"> integral del servicio de gestión catastral, es decir, incluyendo las actividades de formación o actualización y conservación, mediante contrato interadministrativo. Por ello, </w:t>
      </w:r>
      <w:r w:rsidRPr="00E003E8">
        <w:rPr>
          <w:rFonts w:ascii="Arial" w:eastAsia="Calibri" w:hAnsi="Arial" w:cs="Arial"/>
          <w:color w:val="000000"/>
          <w:lang w:val="es-MX"/>
        </w:rPr>
        <w:t>aquellas entidades territoriales que no estén habilitadas</w:t>
      </w:r>
      <w:r w:rsidRPr="00E003E8">
        <w:rPr>
          <w:rFonts w:ascii="Arial" w:eastAsia="Calibri" w:hAnsi="Arial" w:cs="Arial"/>
          <w:color w:val="000000"/>
          <w:shd w:val="clear" w:color="auto" w:fill="FFFFFF"/>
          <w:lang w:val="es-MX"/>
        </w:rPr>
        <w:t xml:space="preserve"> pueden contratar a cualquier gestor catastral habilitado cuando requieran la prestación integral de este servicio. </w:t>
      </w:r>
    </w:p>
    <w:p w14:paraId="5B6249AF" w14:textId="050D8601" w:rsidR="003C38DF" w:rsidRDefault="003C38DF" w:rsidP="0076494C">
      <w:pPr>
        <w:spacing w:after="0" w:line="276" w:lineRule="auto"/>
        <w:jc w:val="both"/>
        <w:rPr>
          <w:rFonts w:ascii="Arial" w:eastAsia="Calibri" w:hAnsi="Arial" w:cs="Arial"/>
          <w:lang w:val="es-MX"/>
        </w:rPr>
      </w:pPr>
    </w:p>
    <w:p w14:paraId="648510C9" w14:textId="03F0D70F" w:rsidR="00331AC2" w:rsidRPr="00331AC2" w:rsidRDefault="00331AC2" w:rsidP="0076494C">
      <w:pPr>
        <w:spacing w:after="0" w:line="276" w:lineRule="auto"/>
        <w:jc w:val="both"/>
        <w:rPr>
          <w:rFonts w:ascii="Arial" w:eastAsia="Times New Roman" w:hAnsi="Arial" w:cs="Arial"/>
          <w:b/>
          <w:bCs/>
          <w:lang w:val="es-ES" w:eastAsia="es-MX" w:bidi="es-ES"/>
        </w:rPr>
      </w:pPr>
      <w:r w:rsidRPr="00331AC2">
        <w:rPr>
          <w:rFonts w:ascii="Arial" w:eastAsia="Times New Roman" w:hAnsi="Arial" w:cs="Arial"/>
          <w:b/>
          <w:bCs/>
          <w:bdr w:val="none" w:sz="0" w:space="0" w:color="auto" w:frame="1"/>
          <w:lang w:val="es-ES_tradnl" w:eastAsia="es-CO"/>
        </w:rPr>
        <w:t>2.3.</w:t>
      </w:r>
      <w:r w:rsidRPr="00331AC2">
        <w:rPr>
          <w:rFonts w:ascii="Arial" w:eastAsia="Times New Roman" w:hAnsi="Arial" w:cs="Arial"/>
          <w:b/>
          <w:bCs/>
          <w:color w:val="000000"/>
          <w:lang w:val="es-ES_tradnl" w:eastAsia="es-CO"/>
        </w:rPr>
        <w:t xml:space="preserve"> </w:t>
      </w:r>
      <w:r w:rsidRPr="00331AC2">
        <w:rPr>
          <w:rFonts w:ascii="Arial" w:eastAsia="Calibri" w:hAnsi="Arial" w:cs="Arial"/>
          <w:b/>
          <w:bCs/>
          <w:lang w:val="es-ES" w:eastAsia="es-MX"/>
        </w:rPr>
        <w:t>Alcance de la regla de inalterabilidad de los documentos tipo para los procesos de gestión catastral con enfoque multipropósito</w:t>
      </w:r>
    </w:p>
    <w:p w14:paraId="4DB7C126" w14:textId="77777777" w:rsidR="00331AC2" w:rsidRDefault="00331AC2" w:rsidP="00074A9B">
      <w:pPr>
        <w:spacing w:after="0" w:line="276" w:lineRule="auto"/>
        <w:jc w:val="both"/>
        <w:rPr>
          <w:rFonts w:ascii="Arial" w:eastAsia="Calibri" w:hAnsi="Arial" w:cs="Arial"/>
          <w:lang w:val="es-ES_tradnl"/>
        </w:rPr>
      </w:pPr>
    </w:p>
    <w:p w14:paraId="40141C44" w14:textId="3A0DF6F7" w:rsidR="00331AC2" w:rsidRPr="00331AC2" w:rsidRDefault="00097633" w:rsidP="00F14B44">
      <w:pPr>
        <w:spacing w:after="120" w:line="276" w:lineRule="auto"/>
        <w:jc w:val="both"/>
        <w:rPr>
          <w:rFonts w:ascii="Arial" w:eastAsia="Calibri" w:hAnsi="Arial" w:cs="Arial"/>
          <w:lang w:val="es-ES_tradnl"/>
        </w:rPr>
      </w:pPr>
      <w:r w:rsidRPr="00117EEB">
        <w:rPr>
          <w:rFonts w:ascii="Arial" w:eastAsia="Calibri" w:hAnsi="Arial" w:cs="Arial"/>
          <w:lang w:val="es-ES_tradnl"/>
        </w:rPr>
        <w:t>El artículo 3</w:t>
      </w:r>
      <w:r w:rsidR="00F62AC6">
        <w:rPr>
          <w:rStyle w:val="Refdenotaalpie"/>
          <w:rFonts w:ascii="Arial" w:hAnsi="Arial" w:cs="Arial"/>
        </w:rPr>
        <w:footnoteReference w:id="7"/>
      </w:r>
      <w:r w:rsidRPr="00117EEB">
        <w:rPr>
          <w:rFonts w:ascii="Arial" w:eastAsia="Calibri" w:hAnsi="Arial" w:cs="Arial"/>
          <w:lang w:val="es-ES_tradnl"/>
        </w:rPr>
        <w:t xml:space="preserve"> </w:t>
      </w:r>
      <w:r w:rsidR="00F15D59" w:rsidRPr="00117EEB">
        <w:rPr>
          <w:rFonts w:ascii="Arial" w:eastAsia="Calibri" w:hAnsi="Arial" w:cs="Arial"/>
          <w:lang w:val="es-ES_tradnl"/>
        </w:rPr>
        <w:t xml:space="preserve">de la Resolución 269 del 16 de diciembre de 2021 </w:t>
      </w:r>
      <w:r w:rsidR="00545972" w:rsidRPr="00117EEB">
        <w:rPr>
          <w:rFonts w:ascii="Arial" w:eastAsia="Calibri" w:hAnsi="Arial" w:cs="Arial"/>
          <w:lang w:val="es-ES_tradnl"/>
        </w:rPr>
        <w:t>«</w:t>
      </w:r>
      <w:r w:rsidR="00545972" w:rsidRPr="00117EEB">
        <w:rPr>
          <w:rFonts w:ascii="Arial" w:hAnsi="Arial" w:cs="Arial"/>
        </w:rPr>
        <w:t xml:space="preserve">Por la cual se adopta el documento tipo para los procesos de gestión catastral con enfoque multipropósito que se celebren a través de contratos interadministrativos», </w:t>
      </w:r>
      <w:r w:rsidR="00AF5942">
        <w:rPr>
          <w:rFonts w:ascii="Arial" w:hAnsi="Arial" w:cs="Arial"/>
        </w:rPr>
        <w:t>dispone sobre la</w:t>
      </w:r>
      <w:r w:rsidR="00545972" w:rsidRPr="00117EEB">
        <w:rPr>
          <w:rFonts w:ascii="Arial" w:hAnsi="Arial" w:cs="Arial"/>
        </w:rPr>
        <w:t xml:space="preserve"> regla de inalterabilidad de estos documentos tipo</w:t>
      </w:r>
      <w:r w:rsidR="00117EEB" w:rsidRPr="00331AC2">
        <w:rPr>
          <w:rFonts w:ascii="Arial" w:eastAsia="Calibri" w:hAnsi="Arial" w:cs="Arial"/>
          <w:vertAlign w:val="superscript"/>
          <w:lang w:val="es-ES_tradnl"/>
        </w:rPr>
        <w:footnoteReference w:id="8"/>
      </w:r>
      <w:r w:rsidR="00545972" w:rsidRPr="00117EEB">
        <w:rPr>
          <w:rFonts w:ascii="Arial" w:hAnsi="Arial" w:cs="Arial"/>
        </w:rPr>
        <w:t>.</w:t>
      </w:r>
      <w:r w:rsidR="00AF5942">
        <w:rPr>
          <w:rFonts w:ascii="Arial" w:eastAsia="Calibri" w:hAnsi="Arial" w:cs="Arial"/>
          <w:lang w:val="es-ES_tradnl"/>
        </w:rPr>
        <w:t xml:space="preserve"> Así</w:t>
      </w:r>
      <w:r w:rsidR="00A84A75">
        <w:rPr>
          <w:rFonts w:ascii="Arial" w:eastAsia="Calibri" w:hAnsi="Arial" w:cs="Arial"/>
          <w:lang w:val="es-ES_tradnl"/>
        </w:rPr>
        <w:t>, se determina que</w:t>
      </w:r>
      <w:r w:rsidR="00331AC2" w:rsidRPr="00331AC2">
        <w:rPr>
          <w:rFonts w:ascii="Arial" w:eastAsia="Calibri" w:hAnsi="Arial" w:cs="Arial"/>
          <w:lang w:val="es-ES_tradnl"/>
        </w:rPr>
        <w:t xml:space="preserve"> las condiciones </w:t>
      </w:r>
      <w:r w:rsidR="00331AC2" w:rsidRPr="00331AC2">
        <w:rPr>
          <w:rFonts w:ascii="Arial" w:eastAsia="Calibri" w:hAnsi="Arial" w:cs="Arial"/>
          <w:lang w:val="es-ES_tradnl"/>
        </w:rPr>
        <w:lastRenderedPageBreak/>
        <w:t xml:space="preserve">establecidas en </w:t>
      </w:r>
      <w:r w:rsidR="00CC4F8D">
        <w:rPr>
          <w:rFonts w:ascii="Arial" w:eastAsia="Calibri" w:hAnsi="Arial" w:cs="Arial"/>
          <w:lang w:val="es-ES_tradnl"/>
        </w:rPr>
        <w:t xml:space="preserve">los </w:t>
      </w:r>
      <w:r w:rsidR="00331AC2" w:rsidRPr="00331AC2">
        <w:rPr>
          <w:rFonts w:ascii="Arial" w:eastAsia="Calibri" w:hAnsi="Arial" w:cs="Arial"/>
          <w:lang w:val="es-ES_tradnl"/>
        </w:rPr>
        <w:t>documentos tipo</w:t>
      </w:r>
      <w:r w:rsidR="00CC4F8D">
        <w:rPr>
          <w:rFonts w:ascii="Arial" w:eastAsia="Calibri" w:hAnsi="Arial" w:cs="Arial"/>
          <w:lang w:val="es-ES_tradnl"/>
        </w:rPr>
        <w:t xml:space="preserve"> de gestión catastral con enfoque multipropósito</w:t>
      </w:r>
      <w:r w:rsidR="00331AC2" w:rsidRPr="00331AC2">
        <w:rPr>
          <w:rFonts w:ascii="Arial" w:eastAsia="Calibri" w:hAnsi="Arial" w:cs="Arial"/>
          <w:lang w:val="es-ES_tradnl"/>
        </w:rPr>
        <w:t xml:space="preserve">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E8D45D3" w14:textId="4479CB3E" w:rsidR="00331AC2" w:rsidRPr="00331AC2" w:rsidRDefault="00331AC2" w:rsidP="00F14B44">
      <w:pPr>
        <w:spacing w:after="120" w:line="276" w:lineRule="auto"/>
        <w:ind w:firstLine="709"/>
        <w:jc w:val="both"/>
        <w:rPr>
          <w:rFonts w:ascii="Arial" w:eastAsia="Calibri" w:hAnsi="Arial" w:cs="Arial"/>
          <w:lang w:val="es-ES_tradnl"/>
        </w:rPr>
      </w:pPr>
      <w:r w:rsidRPr="00331AC2">
        <w:rPr>
          <w:rFonts w:ascii="Arial" w:eastAsia="Calibri" w:hAnsi="Arial"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w:t>
      </w:r>
      <w:r w:rsidR="00EE07C2">
        <w:rPr>
          <w:rFonts w:ascii="Arial" w:eastAsia="Calibri" w:hAnsi="Arial" w:cs="Arial"/>
          <w:lang w:val="es-ES_tradnl"/>
        </w:rPr>
        <w:t xml:space="preserve">entre estas, la </w:t>
      </w:r>
      <w:r w:rsidR="00165788">
        <w:rPr>
          <w:rFonts w:ascii="Arial" w:eastAsia="Calibri" w:hAnsi="Arial" w:cs="Arial"/>
          <w:lang w:val="es-ES_tradnl"/>
        </w:rPr>
        <w:t>R</w:t>
      </w:r>
      <w:r w:rsidR="00EE07C2">
        <w:rPr>
          <w:rFonts w:ascii="Arial" w:eastAsia="Calibri" w:hAnsi="Arial" w:cs="Arial"/>
          <w:lang w:val="es-ES_tradnl"/>
        </w:rPr>
        <w:t xml:space="preserve">esolución 269 de 2020, </w:t>
      </w:r>
      <w:r w:rsidRPr="00331AC2">
        <w:rPr>
          <w:rFonts w:ascii="Arial" w:eastAsia="Calibri" w:hAnsi="Arial" w:cs="Arial"/>
          <w:lang w:val="es-ES_tradnl"/>
        </w:rPr>
        <w:t xml:space="preserve">por lo que no pueden hacer excepciones bajo una supuesta discrecionalidad a estas reglas que son obligatorias.  </w:t>
      </w:r>
    </w:p>
    <w:p w14:paraId="6CBCA9C8" w14:textId="77777777" w:rsidR="00331AC2" w:rsidRPr="00331AC2" w:rsidRDefault="00331AC2" w:rsidP="00331AC2">
      <w:pPr>
        <w:spacing w:after="120" w:line="276" w:lineRule="auto"/>
        <w:ind w:firstLine="709"/>
        <w:jc w:val="both"/>
        <w:rPr>
          <w:rFonts w:ascii="Arial" w:eastAsia="Calibri" w:hAnsi="Arial" w:cs="Arial"/>
          <w:lang w:val="es-ES_tradnl"/>
        </w:rPr>
      </w:pPr>
      <w:r w:rsidRPr="00331AC2">
        <w:rPr>
          <w:rFonts w:ascii="Arial" w:eastAsia="Calibri" w:hAnsi="Arial" w:cs="Arial"/>
          <w:lang w:val="es-ES_tradnl"/>
        </w:rPr>
        <w:t>La inalterabilidad de los documentos es una manifestación en mayor grado de las potestades regladas, lo cual implica una reducción de la discrecionalidad de la Administración en el momento de tomar una decisión en el proceso de contratación</w:t>
      </w:r>
      <w:r w:rsidRPr="00331AC2">
        <w:rPr>
          <w:rFonts w:ascii="Arial" w:eastAsia="Calibri" w:hAnsi="Arial" w:cs="Arial"/>
          <w:vertAlign w:val="superscript"/>
          <w:lang w:val="es-ES_tradnl"/>
        </w:rPr>
        <w:footnoteReference w:id="9"/>
      </w:r>
      <w:r w:rsidRPr="00331AC2">
        <w:rPr>
          <w:rFonts w:ascii="Arial" w:eastAsia="Calibri" w:hAnsi="Arial"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1CCA60B5" w14:textId="77777777" w:rsidR="00331AC2" w:rsidRPr="00331AC2" w:rsidRDefault="00331AC2" w:rsidP="00331AC2">
      <w:pPr>
        <w:spacing w:after="120" w:line="276" w:lineRule="auto"/>
        <w:ind w:firstLine="709"/>
        <w:jc w:val="both"/>
        <w:rPr>
          <w:rFonts w:ascii="Arial" w:eastAsia="Calibri" w:hAnsi="Arial" w:cs="Arial"/>
          <w:bCs/>
          <w:lang w:val="es-ES_tradnl"/>
        </w:rPr>
      </w:pPr>
      <w:r w:rsidRPr="00331AC2">
        <w:rPr>
          <w:rFonts w:ascii="Arial" w:eastAsia="Calibri" w:hAnsi="Arial" w:cs="Arial"/>
          <w:bCs/>
          <w:lang w:val="es-ES_tradnl"/>
        </w:rPr>
        <w:t xml:space="preserve">Además, las entidades estatales deben garantizar el </w:t>
      </w:r>
      <w:r w:rsidRPr="00331AC2">
        <w:rPr>
          <w:rFonts w:ascii="Arial" w:eastAsia="Calibri" w:hAnsi="Arial" w:cs="Arial"/>
          <w:bCs/>
          <w:i/>
          <w:iCs/>
          <w:lang w:val="es-ES_tradnl"/>
        </w:rPr>
        <w:t>principio de economía</w:t>
      </w:r>
      <w:r w:rsidRPr="00331AC2">
        <w:rPr>
          <w:rFonts w:ascii="Arial" w:eastAsia="Calibri" w:hAnsi="Arial" w:cs="Arial"/>
          <w:bCs/>
          <w:lang w:val="es-ES_tradnl"/>
        </w:rPr>
        <w:t xml:space="preserve">, del cual se desprende que no pueden exigir documentos o requisitos más allá de los que permitan la Constitución, la ley y los reglamentos. Este postulado ha sido recogido no solo en la </w:t>
      </w:r>
      <w:r w:rsidRPr="00331AC2">
        <w:rPr>
          <w:rFonts w:ascii="Arial" w:eastAsia="Calibri" w:hAnsi="Arial" w:cs="Arial"/>
          <w:bCs/>
          <w:lang w:val="es-ES_tradnl"/>
        </w:rPr>
        <w:lastRenderedPageBreak/>
        <w:t>contratación estatal</w:t>
      </w:r>
      <w:r w:rsidRPr="00331AC2">
        <w:rPr>
          <w:rFonts w:ascii="Arial" w:eastAsia="Calibri" w:hAnsi="Arial" w:cs="Arial"/>
          <w:bCs/>
          <w:vertAlign w:val="superscript"/>
          <w:lang w:val="es-ES_tradnl"/>
        </w:rPr>
        <w:footnoteReference w:id="10"/>
      </w:r>
      <w:r w:rsidRPr="00331AC2">
        <w:rPr>
          <w:rFonts w:ascii="Arial" w:eastAsia="Calibri" w:hAnsi="Arial" w:cs="Arial"/>
          <w:bCs/>
          <w:lang w:val="es-ES_tradnl"/>
        </w:rPr>
        <w:t xml:space="preserve"> sino además en la normativa </w:t>
      </w:r>
      <w:proofErr w:type="spellStart"/>
      <w:r w:rsidRPr="00331AC2">
        <w:rPr>
          <w:rFonts w:ascii="Arial" w:eastAsia="Calibri" w:hAnsi="Arial" w:cs="Arial"/>
          <w:bCs/>
          <w:lang w:val="es-ES_tradnl"/>
        </w:rPr>
        <w:t>antitrámites</w:t>
      </w:r>
      <w:proofErr w:type="spellEnd"/>
      <w:r w:rsidRPr="00331AC2">
        <w:rPr>
          <w:rFonts w:ascii="Arial" w:eastAsia="Calibri" w:hAnsi="Arial" w:cs="Arial"/>
          <w:bCs/>
          <w:vertAlign w:val="superscript"/>
          <w:lang w:val="es-ES_tradnl"/>
        </w:rPr>
        <w:footnoteReference w:id="11"/>
      </w:r>
      <w:r w:rsidRPr="00331AC2">
        <w:rPr>
          <w:rFonts w:ascii="Arial" w:eastAsia="Calibri" w:hAnsi="Arial" w:cs="Arial"/>
          <w:bCs/>
          <w:lang w:val="es-ES_tradnl"/>
        </w:rPr>
        <w:t>; pues se inscribe dentro de la tendencia de simplificación y racionalización de los procedimientos administrativos. De ahí que cuando las autoridades solicitan la entrega de documentación innecesaria, desconocen el principio de economía.</w:t>
      </w:r>
    </w:p>
    <w:p w14:paraId="1AECCDC2" w14:textId="0703FEE6" w:rsidR="00331AC2" w:rsidRDefault="00331AC2" w:rsidP="00BE25BF">
      <w:pPr>
        <w:spacing w:after="120" w:line="276" w:lineRule="auto"/>
        <w:ind w:firstLine="709"/>
        <w:jc w:val="both"/>
        <w:rPr>
          <w:rFonts w:ascii="Arial" w:eastAsia="Calibri" w:hAnsi="Arial" w:cs="Arial"/>
          <w:lang w:val="es-MX"/>
        </w:rPr>
      </w:pPr>
      <w:r w:rsidRPr="00331AC2">
        <w:rPr>
          <w:rFonts w:ascii="Arial" w:eastAsia="Calibri" w:hAnsi="Arial" w:cs="Arial"/>
          <w:lang w:val="es-MX"/>
        </w:rPr>
        <w:t xml:space="preserve">Adicionalmente, la parte introductoria </w:t>
      </w:r>
      <w:r w:rsidR="008D14E4">
        <w:rPr>
          <w:rFonts w:ascii="Arial" w:eastAsia="Calibri" w:hAnsi="Arial" w:cs="Arial"/>
          <w:lang w:val="es-MX"/>
        </w:rPr>
        <w:t>de la minuta tipo</w:t>
      </w:r>
      <w:r w:rsidR="00BE25BF">
        <w:rPr>
          <w:rFonts w:ascii="Arial" w:eastAsia="Calibri" w:hAnsi="Arial" w:cs="Arial"/>
          <w:lang w:val="es-MX"/>
        </w:rPr>
        <w:t xml:space="preserve">, </w:t>
      </w:r>
      <w:r w:rsidR="00E4303C">
        <w:rPr>
          <w:rFonts w:ascii="Arial" w:eastAsia="Calibri" w:hAnsi="Arial" w:cs="Arial"/>
          <w:lang w:val="es-MX"/>
        </w:rPr>
        <w:t>del documento tipo de gestión catastral con enfoque multipropósito</w:t>
      </w:r>
      <w:r w:rsidR="0052231D">
        <w:rPr>
          <w:rFonts w:ascii="Arial" w:eastAsia="Calibri" w:hAnsi="Arial" w:cs="Arial"/>
          <w:lang w:val="es-MX"/>
        </w:rPr>
        <w:t xml:space="preserve">, </w:t>
      </w:r>
      <w:r w:rsidRPr="00331AC2">
        <w:rPr>
          <w:rFonts w:ascii="Arial" w:eastAsia="Calibri" w:hAnsi="Arial" w:cs="Arial"/>
          <w:lang w:val="es-MX"/>
        </w:rPr>
        <w:t xml:space="preserve">dispone que </w:t>
      </w:r>
      <w:r w:rsidR="001153E8">
        <w:rPr>
          <w:rFonts w:ascii="Arial" w:eastAsia="Calibri" w:hAnsi="Arial" w:cs="Arial"/>
          <w:lang w:val="es-MX"/>
        </w:rPr>
        <w:t>«</w:t>
      </w:r>
      <w:r w:rsidR="001153E8">
        <w:rPr>
          <w:rFonts w:ascii="Arial" w:hAnsi="Arial" w:cs="Arial"/>
          <w:color w:val="000000"/>
          <w:highlight w:val="lightGray"/>
        </w:rPr>
        <w:t>[l]</w:t>
      </w:r>
      <w:r w:rsidR="001153E8" w:rsidRPr="008E3F36">
        <w:rPr>
          <w:rFonts w:ascii="Arial" w:hAnsi="Arial" w:cs="Arial"/>
          <w:color w:val="000000"/>
          <w:highlight w:val="lightGray"/>
        </w:rPr>
        <w:t>os aspectos incluidos en corchetes y resaltados en gris</w:t>
      </w:r>
      <w:r w:rsidR="001153E8" w:rsidRPr="00907B35">
        <w:rPr>
          <w:rFonts w:ascii="Arial" w:hAnsi="Arial" w:cs="Arial"/>
          <w:color w:val="000000"/>
          <w:highlight w:val="lightGray"/>
        </w:rPr>
        <w:t>, al igual que los espacios con una raya “____”</w:t>
      </w:r>
      <w:r w:rsidR="001153E8" w:rsidRPr="008E3F36">
        <w:rPr>
          <w:rFonts w:ascii="Arial" w:hAnsi="Arial" w:cs="Arial"/>
          <w:color w:val="000000"/>
          <w:highlight w:val="lightGray"/>
        </w:rPr>
        <w:t xml:space="preserve"> deben ser diligenciados por </w:t>
      </w:r>
      <w:r w:rsidR="001153E8">
        <w:rPr>
          <w:rFonts w:ascii="Arial" w:hAnsi="Arial" w:cs="Arial"/>
          <w:color w:val="000000"/>
          <w:highlight w:val="lightGray"/>
        </w:rPr>
        <w:t>el Municipio, por lo que su contenido es susceptible de modificación</w:t>
      </w:r>
      <w:r w:rsidR="00100418">
        <w:rPr>
          <w:rFonts w:ascii="Arial" w:hAnsi="Arial" w:cs="Arial"/>
          <w:color w:val="000000"/>
        </w:rPr>
        <w:t xml:space="preserve"> […]</w:t>
      </w:r>
      <w:r w:rsidR="001153E8">
        <w:rPr>
          <w:rFonts w:ascii="Arial" w:hAnsi="Arial" w:cs="Arial"/>
          <w:color w:val="000000"/>
        </w:rPr>
        <w:t>»</w:t>
      </w:r>
      <w:r w:rsidRPr="00331AC2">
        <w:rPr>
          <w:rFonts w:ascii="Arial" w:eastAsia="Calibri" w:hAnsi="Arial" w:cs="Arial"/>
          <w:lang w:val="es-MX"/>
        </w:rPr>
        <w:t>.</w:t>
      </w:r>
      <w:r w:rsidR="001C366F">
        <w:rPr>
          <w:rFonts w:ascii="Arial" w:eastAsia="Calibri" w:hAnsi="Arial" w:cs="Arial"/>
          <w:lang w:val="es-MX"/>
        </w:rPr>
        <w:t xml:space="preserve"> Así mismo, la minuta establece que </w:t>
      </w:r>
      <w:r w:rsidR="00367882">
        <w:rPr>
          <w:rFonts w:ascii="Arial" w:hAnsi="Arial" w:cs="Arial"/>
          <w:color w:val="000000"/>
          <w:highlight w:val="lightGray"/>
        </w:rPr>
        <w:t xml:space="preserve">[Cuando se utilice el símbolo: </w:t>
      </w:r>
      <w:proofErr w:type="gramStart"/>
      <w:r w:rsidR="00367882">
        <w:rPr>
          <w:rFonts w:ascii="Arial" w:hAnsi="Arial" w:cs="Arial"/>
          <w:color w:val="000000"/>
          <w:highlight w:val="lightGray"/>
        </w:rPr>
        <w:t>“ /</w:t>
      </w:r>
      <w:proofErr w:type="gramEnd"/>
      <w:r w:rsidR="00367882">
        <w:rPr>
          <w:rFonts w:ascii="Arial" w:hAnsi="Arial" w:cs="Arial"/>
          <w:color w:val="000000"/>
          <w:highlight w:val="lightGray"/>
        </w:rPr>
        <w:t xml:space="preserve"> ” significa que se puede seleccionar entre una u otra opción]</w:t>
      </w:r>
      <w:r w:rsidR="00367882">
        <w:rPr>
          <w:rFonts w:ascii="Arial" w:hAnsi="Arial" w:cs="Arial"/>
          <w:color w:val="000000"/>
        </w:rPr>
        <w:t>.</w:t>
      </w:r>
      <w:r w:rsidR="00367882">
        <w:rPr>
          <w:rFonts w:ascii="Arial" w:eastAsia="Calibri" w:hAnsi="Arial" w:cs="Arial"/>
          <w:lang w:val="es-MX"/>
        </w:rPr>
        <w:t xml:space="preserve"> Conforme con lo anterior</w:t>
      </w:r>
      <w:r w:rsidRPr="00331AC2">
        <w:rPr>
          <w:rFonts w:ascii="Arial" w:eastAsia="Calibri" w:hAnsi="Arial" w:cs="Arial"/>
          <w:lang w:val="es-MX"/>
        </w:rPr>
        <w:t xml:space="preserve">, en cada acápite que esté resaltado en gris </w:t>
      </w:r>
      <w:r w:rsidR="00E5372C">
        <w:rPr>
          <w:rFonts w:ascii="Arial" w:eastAsia="Calibri" w:hAnsi="Arial" w:cs="Arial"/>
          <w:lang w:val="es-MX"/>
        </w:rPr>
        <w:t xml:space="preserve">el municipio </w:t>
      </w:r>
      <w:r w:rsidRPr="00331AC2">
        <w:rPr>
          <w:rFonts w:ascii="Arial" w:eastAsia="Calibri" w:hAnsi="Arial" w:cs="Arial"/>
          <w:lang w:val="es-MX"/>
        </w:rPr>
        <w:t>tendrá la libertad de determinar la información que se diligenciará en</w:t>
      </w:r>
      <w:r w:rsidR="00E5372C">
        <w:rPr>
          <w:rFonts w:ascii="Arial" w:eastAsia="Calibri" w:hAnsi="Arial" w:cs="Arial"/>
          <w:lang w:val="es-MX"/>
        </w:rPr>
        <w:t xml:space="preserve"> esta minuta</w:t>
      </w:r>
      <w:r w:rsidRPr="00331AC2">
        <w:rPr>
          <w:rFonts w:ascii="Arial" w:eastAsia="Calibri" w:hAnsi="Arial" w:cs="Arial"/>
          <w:lang w:val="es-MX"/>
        </w:rPr>
        <w:t xml:space="preserve">, </w:t>
      </w:r>
      <w:r w:rsidR="009D7367">
        <w:rPr>
          <w:rFonts w:ascii="Arial" w:eastAsia="Calibri" w:hAnsi="Arial" w:cs="Arial"/>
          <w:lang w:val="es-MX"/>
        </w:rPr>
        <w:t xml:space="preserve">o seleccionar entre una u otra </w:t>
      </w:r>
      <w:r w:rsidR="00C26B82">
        <w:rPr>
          <w:rFonts w:ascii="Arial" w:eastAsia="Calibri" w:hAnsi="Arial" w:cs="Arial"/>
          <w:lang w:val="es-MX"/>
        </w:rPr>
        <w:t xml:space="preserve">opción, </w:t>
      </w:r>
      <w:r w:rsidRPr="00331AC2">
        <w:rPr>
          <w:rFonts w:ascii="Arial" w:eastAsia="Calibri" w:hAnsi="Arial" w:cs="Arial"/>
          <w:lang w:val="es-MX"/>
        </w:rPr>
        <w:t>de acuerdo con su necesidad y las instrucciones</w:t>
      </w:r>
      <w:r w:rsidR="0008396F">
        <w:rPr>
          <w:rFonts w:ascii="Arial" w:eastAsia="Calibri" w:hAnsi="Arial" w:cs="Arial"/>
          <w:lang w:val="es-MX"/>
        </w:rPr>
        <w:t xml:space="preserve"> que se de en esta</w:t>
      </w:r>
      <w:r w:rsidRPr="00331AC2">
        <w:rPr>
          <w:rFonts w:ascii="Arial" w:eastAsia="Calibri" w:hAnsi="Arial" w:cs="Arial"/>
          <w:lang w:val="es-MX"/>
        </w:rPr>
        <w:t xml:space="preserve">. </w:t>
      </w:r>
    </w:p>
    <w:p w14:paraId="55FABB88" w14:textId="77777777" w:rsidR="00331AC2" w:rsidRPr="00331AC2" w:rsidRDefault="00331AC2" w:rsidP="00331AC2">
      <w:pPr>
        <w:spacing w:after="120" w:line="276" w:lineRule="auto"/>
        <w:ind w:firstLine="709"/>
        <w:jc w:val="both"/>
        <w:rPr>
          <w:rFonts w:ascii="Arial" w:eastAsia="Calibri" w:hAnsi="Arial" w:cs="Arial"/>
          <w:lang w:val="es-MX"/>
        </w:rPr>
      </w:pPr>
      <w:r w:rsidRPr="00331AC2">
        <w:rPr>
          <w:rFonts w:ascii="Arial" w:eastAsia="Calibri" w:hAnsi="Arial"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0EF92F7E" w14:textId="77777777" w:rsidR="00331AC2" w:rsidRPr="00331AC2" w:rsidRDefault="00331AC2" w:rsidP="00467107">
      <w:pPr>
        <w:spacing w:after="0" w:line="276" w:lineRule="auto"/>
        <w:ind w:firstLine="709"/>
        <w:jc w:val="both"/>
        <w:rPr>
          <w:rFonts w:ascii="Arial" w:eastAsia="Calibri" w:hAnsi="Arial" w:cs="Arial"/>
          <w:lang w:val="es-MX"/>
        </w:rPr>
      </w:pPr>
      <w:r w:rsidRPr="00331AC2">
        <w:rPr>
          <w:rFonts w:ascii="Arial" w:eastAsia="Calibri" w:hAnsi="Arial" w:cs="Arial"/>
          <w:lang w:val="es-MX"/>
        </w:rPr>
        <w:t xml:space="preserve">El carácter inalterable de los documentos tipo no puede, entonces,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 es decir, no afectan su contenido </w:t>
      </w:r>
      <w:r w:rsidRPr="00331AC2">
        <w:rPr>
          <w:rFonts w:ascii="Arial" w:eastAsia="Calibri" w:hAnsi="Arial" w:cs="Arial"/>
          <w:lang w:val="es-MX"/>
        </w:rPr>
        <w:lastRenderedPageBreak/>
        <w:t>esencial y, mucho menos, las obligaciones, deberes y derechos que se derivan para las partes contratantes.</w:t>
      </w:r>
    </w:p>
    <w:p w14:paraId="58CE7D8D" w14:textId="77777777" w:rsidR="003C38DF" w:rsidRPr="003C38DF" w:rsidRDefault="003C38DF" w:rsidP="00467107">
      <w:pPr>
        <w:spacing w:after="0" w:line="276" w:lineRule="auto"/>
        <w:jc w:val="both"/>
        <w:rPr>
          <w:rFonts w:ascii="Arial" w:eastAsia="Calibri" w:hAnsi="Arial" w:cs="Arial"/>
          <w:lang w:val="es-MX"/>
        </w:rPr>
      </w:pPr>
    </w:p>
    <w:p w14:paraId="04B364AA" w14:textId="77777777" w:rsidR="003C38DF" w:rsidRPr="003C38DF" w:rsidRDefault="003C38DF" w:rsidP="003C38DF">
      <w:pPr>
        <w:tabs>
          <w:tab w:val="left" w:pos="0"/>
        </w:tabs>
        <w:spacing w:after="0" w:line="276" w:lineRule="auto"/>
        <w:jc w:val="both"/>
        <w:rPr>
          <w:rFonts w:ascii="Arial" w:eastAsia="Calibri" w:hAnsi="Arial" w:cs="Arial"/>
          <w:b/>
          <w:color w:val="000000"/>
          <w:lang w:val="es-ES_tradnl"/>
        </w:rPr>
      </w:pPr>
      <w:r w:rsidRPr="003C38DF">
        <w:rPr>
          <w:rFonts w:ascii="Arial" w:eastAsia="Calibri" w:hAnsi="Arial" w:cs="Arial"/>
          <w:b/>
          <w:color w:val="000000"/>
          <w:lang w:val="es-ES_tradnl"/>
        </w:rPr>
        <w:t>3. Respuesta</w:t>
      </w:r>
    </w:p>
    <w:p w14:paraId="3D4A3A47" w14:textId="18F4AA14" w:rsidR="003C38DF" w:rsidRDefault="003C38DF" w:rsidP="003C38DF">
      <w:pPr>
        <w:tabs>
          <w:tab w:val="left" w:pos="0"/>
        </w:tabs>
        <w:spacing w:after="0" w:line="276" w:lineRule="auto"/>
        <w:jc w:val="both"/>
        <w:rPr>
          <w:rFonts w:ascii="Arial" w:eastAsia="Calibri" w:hAnsi="Arial" w:cs="Arial"/>
          <w:color w:val="000000"/>
          <w:lang w:val="es-MX"/>
        </w:rPr>
      </w:pPr>
    </w:p>
    <w:p w14:paraId="7D2D8FA3" w14:textId="099ADBD0" w:rsidR="001666CA" w:rsidRPr="00C130D4" w:rsidRDefault="00C130D4" w:rsidP="00784CE8">
      <w:pPr>
        <w:tabs>
          <w:tab w:val="left" w:pos="0"/>
        </w:tabs>
        <w:spacing w:after="0" w:line="240" w:lineRule="auto"/>
        <w:ind w:left="709" w:right="709"/>
        <w:jc w:val="both"/>
        <w:rPr>
          <w:rFonts w:ascii="Arial" w:hAnsi="Arial" w:cs="Arial"/>
          <w:sz w:val="21"/>
          <w:szCs w:val="21"/>
        </w:rPr>
      </w:pPr>
      <w:r w:rsidRPr="00C130D4">
        <w:rPr>
          <w:rFonts w:ascii="Arial" w:eastAsia="Calibri" w:hAnsi="Arial" w:cs="Arial"/>
          <w:sz w:val="21"/>
          <w:szCs w:val="21"/>
          <w:shd w:val="clear" w:color="auto" w:fill="FFFFFF"/>
        </w:rPr>
        <w:t>«</w:t>
      </w:r>
      <w:r w:rsidRPr="00C130D4">
        <w:rPr>
          <w:rFonts w:ascii="Arial" w:hAnsi="Arial" w:cs="Arial"/>
          <w:sz w:val="21"/>
          <w:szCs w:val="21"/>
        </w:rPr>
        <w:t>dicho documento se le pueden realizar algunos ajustes técnicos y contractuales manteniendo la estructura del documento tipo necesarios para llevar a cabo el objeto contractual, o dicho documento tipo tiene la característica de 'inalterable' y por lo tanto solo se pueden modificar los espacios diseñados en el archivo para tal fin».</w:t>
      </w:r>
    </w:p>
    <w:p w14:paraId="7E5FD5CD" w14:textId="514C7803" w:rsidR="00C130D4" w:rsidRDefault="00C130D4" w:rsidP="003C38DF">
      <w:pPr>
        <w:tabs>
          <w:tab w:val="left" w:pos="0"/>
        </w:tabs>
        <w:spacing w:after="0" w:line="276" w:lineRule="auto"/>
        <w:jc w:val="both"/>
        <w:rPr>
          <w:rFonts w:ascii="Arial" w:eastAsia="Calibri" w:hAnsi="Arial" w:cs="Arial"/>
          <w:color w:val="000000"/>
          <w:lang w:val="es-MX"/>
        </w:rPr>
      </w:pPr>
    </w:p>
    <w:p w14:paraId="09B57E87" w14:textId="0202751B" w:rsidR="00467107" w:rsidRPr="00056100" w:rsidRDefault="00467107" w:rsidP="00056100">
      <w:pPr>
        <w:spacing w:after="120" w:line="276" w:lineRule="auto"/>
        <w:jc w:val="both"/>
        <w:rPr>
          <w:rFonts w:ascii="Arial" w:eastAsia="Calibri" w:hAnsi="Arial" w:cs="Arial"/>
          <w:lang w:val="es-ES_tradnl"/>
        </w:rPr>
      </w:pPr>
      <w:r w:rsidRPr="00056100">
        <w:rPr>
          <w:rFonts w:ascii="Arial" w:eastAsia="Calibri" w:hAnsi="Arial" w:cs="Arial"/>
          <w:lang w:val="es-ES_tradnl"/>
        </w:rPr>
        <w:t>El artículo 3 de la Resolución 269 del 16 de diciembre de 2021 «</w:t>
      </w:r>
      <w:r w:rsidRPr="00056100">
        <w:rPr>
          <w:rFonts w:ascii="Arial" w:hAnsi="Arial" w:cs="Arial"/>
        </w:rPr>
        <w:t>Por la cual se adopta el documento tipo para los procesos de gestión catastral con enfoque multipropósito que se celebren a través de contratos interadministrativos», dispone sobre la regla de inalterabilidad de estos documentos tipo.</w:t>
      </w:r>
      <w:r w:rsidRPr="00056100">
        <w:rPr>
          <w:rFonts w:ascii="Arial" w:eastAsia="Calibri" w:hAnsi="Arial" w:cs="Arial"/>
          <w:lang w:val="es-ES_tradnl"/>
        </w:rPr>
        <w:t xml:space="preserve"> Así</w:t>
      </w:r>
      <w:r w:rsidR="00056100" w:rsidRPr="00056100">
        <w:rPr>
          <w:rFonts w:ascii="Arial" w:eastAsia="Calibri" w:hAnsi="Arial" w:cs="Arial"/>
          <w:lang w:val="es-ES_tradnl"/>
        </w:rPr>
        <w:t>,</w:t>
      </w:r>
      <w:r w:rsidRPr="00056100">
        <w:rPr>
          <w:rFonts w:ascii="Arial" w:eastAsia="Calibri" w:hAnsi="Arial" w:cs="Arial"/>
          <w:lang w:val="es-ES_tradnl"/>
        </w:rPr>
        <w:t xml:space="preserve"> se determina que las condiciones establecidas en los documentos tipo de gestión catastral con enfoque multipropósito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5C9E641" w14:textId="77777777" w:rsidR="00467107" w:rsidRPr="00056100" w:rsidRDefault="00467107" w:rsidP="00056100">
      <w:pPr>
        <w:spacing w:after="120" w:line="276" w:lineRule="auto"/>
        <w:ind w:firstLine="709"/>
        <w:jc w:val="both"/>
        <w:rPr>
          <w:rFonts w:ascii="Arial" w:eastAsia="Calibri" w:hAnsi="Arial" w:cs="Arial"/>
          <w:lang w:val="es-MX"/>
        </w:rPr>
      </w:pPr>
      <w:r w:rsidRPr="00056100">
        <w:rPr>
          <w:rFonts w:ascii="Arial" w:eastAsia="Calibri" w:hAnsi="Arial" w:cs="Arial"/>
          <w:lang w:val="es-MX"/>
        </w:rPr>
        <w:t>Adicionalmente, la parte introductoria de la minuta tipo, del documento tipo de gestión catastral con enfoque multipropósito, dispone que «</w:t>
      </w:r>
      <w:r w:rsidRPr="00056100">
        <w:rPr>
          <w:rFonts w:ascii="Arial" w:hAnsi="Arial" w:cs="Arial"/>
          <w:color w:val="000000"/>
          <w:highlight w:val="lightGray"/>
        </w:rPr>
        <w:t>[l]os aspectos incluidos en corchetes y resaltados en gris, al igual que los espacios con una raya “____” deben ser diligenciados por el Municipio, por lo que su contenido es susceptible de modificación</w:t>
      </w:r>
      <w:r w:rsidRPr="00056100">
        <w:rPr>
          <w:rFonts w:ascii="Arial" w:hAnsi="Arial" w:cs="Arial"/>
          <w:color w:val="000000"/>
        </w:rPr>
        <w:t xml:space="preserve"> […]»</w:t>
      </w:r>
      <w:r w:rsidRPr="00056100">
        <w:rPr>
          <w:rFonts w:ascii="Arial" w:eastAsia="Calibri" w:hAnsi="Arial" w:cs="Arial"/>
          <w:lang w:val="es-MX"/>
        </w:rPr>
        <w:t xml:space="preserve">. Así mismo, la minuta establece que </w:t>
      </w:r>
      <w:r w:rsidRPr="00056100">
        <w:rPr>
          <w:rFonts w:ascii="Arial" w:hAnsi="Arial" w:cs="Arial"/>
          <w:color w:val="000000"/>
          <w:highlight w:val="lightGray"/>
        </w:rPr>
        <w:t xml:space="preserve">[Cuando se utilice el símbolo: </w:t>
      </w:r>
      <w:proofErr w:type="gramStart"/>
      <w:r w:rsidRPr="00056100">
        <w:rPr>
          <w:rFonts w:ascii="Arial" w:hAnsi="Arial" w:cs="Arial"/>
          <w:color w:val="000000"/>
          <w:highlight w:val="lightGray"/>
        </w:rPr>
        <w:t>“ /</w:t>
      </w:r>
      <w:proofErr w:type="gramEnd"/>
      <w:r w:rsidRPr="00056100">
        <w:rPr>
          <w:rFonts w:ascii="Arial" w:hAnsi="Arial" w:cs="Arial"/>
          <w:color w:val="000000"/>
          <w:highlight w:val="lightGray"/>
        </w:rPr>
        <w:t xml:space="preserve"> ” significa que se puede seleccionar entre una u otra opción]</w:t>
      </w:r>
      <w:r w:rsidRPr="00056100">
        <w:rPr>
          <w:rFonts w:ascii="Arial" w:hAnsi="Arial" w:cs="Arial"/>
          <w:color w:val="000000"/>
        </w:rPr>
        <w:t>.</w:t>
      </w:r>
      <w:r w:rsidRPr="00056100">
        <w:rPr>
          <w:rFonts w:ascii="Arial" w:eastAsia="Calibri" w:hAnsi="Arial" w:cs="Arial"/>
          <w:lang w:val="es-MX"/>
        </w:rPr>
        <w:t xml:space="preserve"> Conforme con lo anterior, en cada acápite que esté resaltado en gris el municipio tendrá la libertad de determinar la información que se diligenciará en esta minuta, o seleccionar entre una u otra opción, de acuerdo con su necesidad y las instrucciones que se de en esta. </w:t>
      </w:r>
    </w:p>
    <w:p w14:paraId="0D932B13" w14:textId="77777777" w:rsidR="00467107" w:rsidRPr="00056100" w:rsidRDefault="00467107" w:rsidP="00056100">
      <w:pPr>
        <w:spacing w:after="120" w:line="276" w:lineRule="auto"/>
        <w:ind w:firstLine="709"/>
        <w:jc w:val="both"/>
        <w:rPr>
          <w:rFonts w:ascii="Arial" w:eastAsia="Calibri" w:hAnsi="Arial" w:cs="Arial"/>
          <w:lang w:val="es-MX"/>
        </w:rPr>
      </w:pPr>
      <w:r w:rsidRPr="00056100">
        <w:rPr>
          <w:rFonts w:ascii="Arial" w:eastAsia="Calibri" w:hAnsi="Arial"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1E83B1C" w14:textId="77777777" w:rsidR="00467107" w:rsidRPr="00056100" w:rsidRDefault="00467107" w:rsidP="00056100">
      <w:pPr>
        <w:spacing w:after="0" w:line="276" w:lineRule="auto"/>
        <w:ind w:firstLine="709"/>
        <w:jc w:val="both"/>
        <w:rPr>
          <w:rFonts w:ascii="Arial" w:eastAsia="Calibri" w:hAnsi="Arial" w:cs="Arial"/>
          <w:lang w:val="es-MX"/>
        </w:rPr>
      </w:pPr>
      <w:r w:rsidRPr="00056100">
        <w:rPr>
          <w:rFonts w:ascii="Arial" w:eastAsia="Calibri" w:hAnsi="Arial" w:cs="Arial"/>
          <w:lang w:val="es-MX"/>
        </w:rPr>
        <w:lastRenderedPageBreak/>
        <w:t>El carácter inalterable de los documentos tipo no puede, entonces,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 es decir, no afectan su contenido esencial y, mucho menos, las obligaciones, deberes y derechos que se derivan para las partes contratantes.</w:t>
      </w:r>
    </w:p>
    <w:p w14:paraId="3F13FE05" w14:textId="77777777" w:rsidR="006C4E34" w:rsidRDefault="006C4E34" w:rsidP="00784CE8">
      <w:pPr>
        <w:tabs>
          <w:tab w:val="left" w:pos="426"/>
        </w:tabs>
        <w:spacing w:after="0" w:line="276" w:lineRule="auto"/>
        <w:jc w:val="both"/>
        <w:rPr>
          <w:rFonts w:ascii="Arial" w:eastAsia="Calibri" w:hAnsi="Arial" w:cs="Arial"/>
          <w:color w:val="000000"/>
          <w:lang w:val="es-ES_tradnl"/>
        </w:rPr>
      </w:pPr>
    </w:p>
    <w:p w14:paraId="63AA8AC3" w14:textId="5DC399D0" w:rsidR="003C38DF" w:rsidRDefault="003C38DF" w:rsidP="009E5A81">
      <w:pPr>
        <w:tabs>
          <w:tab w:val="left" w:pos="426"/>
        </w:tabs>
        <w:spacing w:after="0" w:line="276" w:lineRule="auto"/>
        <w:jc w:val="both"/>
        <w:rPr>
          <w:rFonts w:ascii="Arial" w:eastAsia="Calibri" w:hAnsi="Arial" w:cs="Arial"/>
          <w:color w:val="000000"/>
          <w:lang w:val="es-ES_tradnl"/>
        </w:rPr>
      </w:pPr>
      <w:r w:rsidRPr="003C38DF">
        <w:rPr>
          <w:rFonts w:ascii="Arial" w:eastAsia="Calibri" w:hAnsi="Arial" w:cs="Arial"/>
          <w:color w:val="000000"/>
          <w:lang w:val="es-ES_tradnl"/>
        </w:rPr>
        <w:t>Este concepto tiene el alcance previsto en el artículo 28 del Código de Procedimiento Administrativo y de lo Contencioso Administrativo.</w:t>
      </w:r>
    </w:p>
    <w:p w14:paraId="33F09A07" w14:textId="77777777" w:rsidR="009E5A81" w:rsidRPr="003C38DF" w:rsidRDefault="009E5A81" w:rsidP="009E5A81">
      <w:pPr>
        <w:tabs>
          <w:tab w:val="left" w:pos="426"/>
        </w:tabs>
        <w:spacing w:after="0" w:line="276" w:lineRule="auto"/>
        <w:jc w:val="both"/>
        <w:rPr>
          <w:rFonts w:ascii="Arial" w:eastAsia="Calibri" w:hAnsi="Arial" w:cs="Arial"/>
          <w:color w:val="000000"/>
          <w:lang w:val="es-ES_tradnl"/>
        </w:rPr>
      </w:pPr>
    </w:p>
    <w:bookmarkEnd w:id="2"/>
    <w:bookmarkEnd w:id="3"/>
    <w:p w14:paraId="209A33EF" w14:textId="77777777" w:rsidR="003C38DF" w:rsidRPr="003C38DF" w:rsidRDefault="003C38DF" w:rsidP="003C38DF">
      <w:pPr>
        <w:tabs>
          <w:tab w:val="left" w:pos="426"/>
        </w:tabs>
        <w:spacing w:after="120" w:line="276" w:lineRule="auto"/>
        <w:jc w:val="both"/>
        <w:rPr>
          <w:rFonts w:ascii="Arial" w:eastAsia="Calibri" w:hAnsi="Arial" w:cs="Arial"/>
          <w:color w:val="000000"/>
          <w:lang w:val="es-ES_tradnl"/>
        </w:rPr>
      </w:pPr>
      <w:r w:rsidRPr="003C38DF">
        <w:rPr>
          <w:rFonts w:ascii="Arial" w:eastAsia="Calibri" w:hAnsi="Arial" w:cs="Arial"/>
          <w:color w:val="000000"/>
          <w:lang w:val="es-ES_tradnl"/>
        </w:rPr>
        <w:t>Atentamente,</w:t>
      </w:r>
    </w:p>
    <w:p w14:paraId="56C70A2D" w14:textId="77777777" w:rsidR="003C38DF" w:rsidRPr="003C38DF" w:rsidRDefault="003C38DF" w:rsidP="003C38DF">
      <w:pPr>
        <w:tabs>
          <w:tab w:val="left" w:pos="426"/>
        </w:tabs>
        <w:spacing w:after="120" w:line="276" w:lineRule="auto"/>
        <w:jc w:val="both"/>
        <w:rPr>
          <w:rFonts w:ascii="Arial" w:eastAsia="Calibri" w:hAnsi="Arial" w:cs="Arial"/>
          <w:color w:val="000000"/>
          <w:lang w:val="es-ES_tradnl"/>
        </w:rPr>
      </w:pPr>
    </w:p>
    <w:p w14:paraId="2719EC32" w14:textId="36D0B04B" w:rsidR="00A673D0" w:rsidRPr="00310CD0" w:rsidRDefault="003C05E6" w:rsidP="00A673D0">
      <w:pPr>
        <w:spacing w:after="0" w:line="240" w:lineRule="auto"/>
        <w:jc w:val="center"/>
        <w:rPr>
          <w:rFonts w:ascii="Arial" w:eastAsia="Times New Roman" w:hAnsi="Arial" w:cs="Arial"/>
          <w:sz w:val="18"/>
          <w:szCs w:val="20"/>
          <w:lang w:val="es-ES" w:eastAsia="es-CO"/>
        </w:rPr>
      </w:pPr>
      <w:r>
        <w:rPr>
          <w:rFonts w:ascii="Arial" w:hAnsi="Arial" w:cs="Arial"/>
          <w:noProof/>
          <w:color w:val="000000" w:themeColor="text1"/>
          <w:lang w:val="es-ES_tradnl"/>
        </w:rPr>
        <w:drawing>
          <wp:inline distT="0" distB="0" distL="0" distR="0" wp14:anchorId="7F07FBD8" wp14:editId="70557C0F">
            <wp:extent cx="2993390" cy="1164590"/>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93390" cy="1164590"/>
                    </a:xfrm>
                    <a:prstGeom prst="rect">
                      <a:avLst/>
                    </a:prstGeom>
                    <a:noFill/>
                  </pic:spPr>
                </pic:pic>
              </a:graphicData>
            </a:graphic>
          </wp:inline>
        </w:drawing>
      </w:r>
    </w:p>
    <w:p w14:paraId="28870BEA" w14:textId="77777777" w:rsidR="00A673D0" w:rsidRPr="00310CD0" w:rsidRDefault="00A673D0" w:rsidP="00A673D0">
      <w:pPr>
        <w:spacing w:after="0" w:line="240" w:lineRule="auto"/>
        <w:jc w:val="center"/>
        <w:rPr>
          <w:rFonts w:ascii="Arial" w:eastAsia="Times New Roman" w:hAnsi="Arial" w:cs="Arial"/>
          <w:sz w:val="18"/>
          <w:szCs w:val="20"/>
          <w:lang w:val="es-ES"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A673D0" w:rsidRPr="00310CD0" w14:paraId="5C6D2EA9" w14:textId="77777777" w:rsidTr="00A24141">
        <w:trPr>
          <w:trHeight w:val="315"/>
        </w:trPr>
        <w:tc>
          <w:tcPr>
            <w:tcW w:w="812" w:type="dxa"/>
            <w:vAlign w:val="center"/>
            <w:hideMark/>
          </w:tcPr>
          <w:p w14:paraId="5FE0CA00" w14:textId="77777777" w:rsidR="00A673D0" w:rsidRPr="00310CD0" w:rsidRDefault="00A673D0" w:rsidP="00A24141">
            <w:pPr>
              <w:rPr>
                <w:rFonts w:ascii="Arial" w:eastAsia="Times New Roman" w:hAnsi="Arial" w:cs="Arial"/>
                <w:sz w:val="16"/>
                <w:szCs w:val="16"/>
                <w:lang w:val="es-ES" w:eastAsia="es-ES"/>
              </w:rPr>
            </w:pPr>
            <w:r w:rsidRPr="00310CD0">
              <w:rPr>
                <w:rFonts w:ascii="Arial" w:eastAsia="Times New Roman" w:hAnsi="Arial" w:cs="Arial"/>
                <w:sz w:val="16"/>
                <w:szCs w:val="16"/>
                <w:lang w:val="es-ES" w:eastAsia="es-ES"/>
              </w:rPr>
              <w:t>Elaboró:</w:t>
            </w:r>
          </w:p>
        </w:tc>
        <w:tc>
          <w:tcPr>
            <w:tcW w:w="4413" w:type="dxa"/>
            <w:tcBorders>
              <w:top w:val="nil"/>
              <w:left w:val="nil"/>
              <w:bottom w:val="dotted" w:sz="4" w:space="0" w:color="7F7F7F" w:themeColor="text1" w:themeTint="80"/>
              <w:right w:val="nil"/>
            </w:tcBorders>
            <w:vAlign w:val="center"/>
            <w:hideMark/>
          </w:tcPr>
          <w:p w14:paraId="4DB25278" w14:textId="77777777" w:rsidR="00A673D0" w:rsidRDefault="00A673D0" w:rsidP="00A24141">
            <w:pPr>
              <w:rPr>
                <w:rFonts w:ascii="Arial" w:eastAsia="Times New Roman" w:hAnsi="Arial" w:cs="Arial"/>
                <w:sz w:val="16"/>
                <w:szCs w:val="16"/>
                <w:lang w:val="es-ES" w:eastAsia="es-ES"/>
              </w:rPr>
            </w:pPr>
            <w:r>
              <w:rPr>
                <w:rFonts w:ascii="Arial" w:eastAsia="Times New Roman" w:hAnsi="Arial" w:cs="Arial"/>
                <w:sz w:val="16"/>
                <w:szCs w:val="16"/>
                <w:lang w:val="es-ES" w:eastAsia="es-ES"/>
              </w:rPr>
              <w:t xml:space="preserve">Carlos Mario Castrillón Endo </w:t>
            </w:r>
          </w:p>
          <w:p w14:paraId="4D1291B8" w14:textId="77777777" w:rsidR="00A673D0" w:rsidRPr="00310CD0" w:rsidRDefault="00A673D0" w:rsidP="00A24141">
            <w:pPr>
              <w:rPr>
                <w:rFonts w:ascii="Arial" w:eastAsia="Times New Roman" w:hAnsi="Arial" w:cs="Arial"/>
                <w:sz w:val="16"/>
                <w:szCs w:val="16"/>
                <w:lang w:val="es-ES" w:eastAsia="es-ES"/>
              </w:rPr>
            </w:pPr>
            <w:r>
              <w:rPr>
                <w:rFonts w:ascii="Arial" w:eastAsia="Times New Roman" w:hAnsi="Arial" w:cs="Arial"/>
                <w:sz w:val="16"/>
                <w:szCs w:val="16"/>
                <w:lang w:val="es-ES" w:eastAsia="es-ES"/>
              </w:rPr>
              <w:t xml:space="preserve">Contratista de la </w:t>
            </w:r>
            <w:r w:rsidRPr="00310CD0">
              <w:rPr>
                <w:rFonts w:ascii="Arial" w:eastAsia="Times New Roman" w:hAnsi="Arial" w:cs="Arial"/>
                <w:sz w:val="16"/>
                <w:szCs w:val="16"/>
                <w:lang w:val="es-ES" w:eastAsia="es-ES"/>
              </w:rPr>
              <w:t>Subdirec</w:t>
            </w:r>
            <w:r>
              <w:rPr>
                <w:rFonts w:ascii="Arial" w:eastAsia="Times New Roman" w:hAnsi="Arial" w:cs="Arial"/>
                <w:sz w:val="16"/>
                <w:szCs w:val="16"/>
                <w:lang w:val="es-ES" w:eastAsia="es-ES"/>
              </w:rPr>
              <w:t>ción</w:t>
            </w:r>
            <w:r w:rsidRPr="00310CD0">
              <w:rPr>
                <w:rFonts w:ascii="Arial" w:eastAsia="Times New Roman" w:hAnsi="Arial" w:cs="Arial"/>
                <w:sz w:val="16"/>
                <w:szCs w:val="16"/>
                <w:lang w:val="es-ES" w:eastAsia="es-ES"/>
              </w:rPr>
              <w:t xml:space="preserve"> de Gestión Contractual</w:t>
            </w:r>
          </w:p>
        </w:tc>
      </w:tr>
      <w:tr w:rsidR="00A673D0" w:rsidRPr="00310CD0" w14:paraId="30073EE4" w14:textId="77777777" w:rsidTr="00A24141">
        <w:trPr>
          <w:trHeight w:val="330"/>
        </w:trPr>
        <w:tc>
          <w:tcPr>
            <w:tcW w:w="812" w:type="dxa"/>
            <w:vAlign w:val="center"/>
            <w:hideMark/>
          </w:tcPr>
          <w:p w14:paraId="63A3FC08" w14:textId="77777777" w:rsidR="00A673D0" w:rsidRPr="00310CD0" w:rsidRDefault="00A673D0" w:rsidP="00A24141">
            <w:pPr>
              <w:rPr>
                <w:rFonts w:ascii="Arial" w:eastAsia="Times New Roman" w:hAnsi="Arial" w:cs="Arial"/>
                <w:sz w:val="16"/>
                <w:szCs w:val="16"/>
                <w:lang w:val="es-ES" w:eastAsia="es-ES"/>
              </w:rPr>
            </w:pPr>
            <w:r w:rsidRPr="00310CD0">
              <w:rPr>
                <w:rFonts w:ascii="Arial" w:eastAsia="Times New Roman" w:hAnsi="Arial" w:cs="Arial"/>
                <w:sz w:val="16"/>
                <w:szCs w:val="16"/>
                <w:lang w:val="es-ES"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508BBAA" w14:textId="77777777" w:rsidR="00A673D0" w:rsidRDefault="00A673D0" w:rsidP="00A24141">
            <w:pPr>
              <w:rPr>
                <w:rFonts w:ascii="Arial" w:eastAsia="Calibri" w:hAnsi="Arial" w:cs="Arial"/>
                <w:sz w:val="16"/>
                <w:szCs w:val="16"/>
                <w:lang w:val="es-ES_tradnl" w:eastAsia="es-ES"/>
              </w:rPr>
            </w:pPr>
            <w:r>
              <w:rPr>
                <w:rFonts w:ascii="Arial" w:eastAsia="Calibri" w:hAnsi="Arial" w:cs="Arial"/>
                <w:sz w:val="16"/>
                <w:szCs w:val="16"/>
                <w:lang w:val="es-ES_tradnl" w:eastAsia="es-ES"/>
              </w:rPr>
              <w:t>Alejandro Sarmiento Cantillo</w:t>
            </w:r>
          </w:p>
          <w:p w14:paraId="5B142CCB" w14:textId="77777777" w:rsidR="00A673D0" w:rsidRPr="00310CD0" w:rsidRDefault="00A673D0" w:rsidP="00A24141">
            <w:pPr>
              <w:rPr>
                <w:rFonts w:ascii="Arial" w:eastAsia="Times New Roman" w:hAnsi="Arial" w:cs="Arial"/>
                <w:sz w:val="16"/>
                <w:szCs w:val="16"/>
                <w:lang w:val="es-ES" w:eastAsia="es-ES"/>
              </w:rPr>
            </w:pPr>
            <w:r w:rsidRPr="00492BDF">
              <w:rPr>
                <w:rFonts w:ascii="Arial" w:eastAsia="Calibri" w:hAnsi="Arial" w:cs="Arial"/>
                <w:sz w:val="16"/>
                <w:szCs w:val="16"/>
                <w:lang w:val="es-ES_tradnl" w:eastAsia="es-ES"/>
              </w:rPr>
              <w:t>Gestor T1-15 de la Subdirección de Gestión Contractual</w:t>
            </w:r>
          </w:p>
        </w:tc>
      </w:tr>
      <w:tr w:rsidR="00A673D0" w:rsidRPr="00310CD0" w14:paraId="60C5EAE0" w14:textId="77777777" w:rsidTr="00A24141">
        <w:trPr>
          <w:trHeight w:val="300"/>
        </w:trPr>
        <w:tc>
          <w:tcPr>
            <w:tcW w:w="812" w:type="dxa"/>
            <w:vAlign w:val="center"/>
            <w:hideMark/>
          </w:tcPr>
          <w:p w14:paraId="21046DD2" w14:textId="77777777" w:rsidR="00A673D0" w:rsidRPr="00310CD0" w:rsidRDefault="00A673D0" w:rsidP="00A24141">
            <w:pPr>
              <w:rPr>
                <w:rFonts w:ascii="Arial" w:eastAsia="Times New Roman" w:hAnsi="Arial" w:cs="Arial"/>
                <w:sz w:val="16"/>
                <w:szCs w:val="16"/>
                <w:lang w:val="es-ES" w:eastAsia="es-ES"/>
              </w:rPr>
            </w:pPr>
            <w:r w:rsidRPr="00310CD0">
              <w:rPr>
                <w:rFonts w:ascii="Arial" w:eastAsia="Times New Roman" w:hAnsi="Arial" w:cs="Arial"/>
                <w:sz w:val="16"/>
                <w:szCs w:val="16"/>
                <w:lang w:val="es-ES"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8D676DD" w14:textId="77777777" w:rsidR="00905DE2" w:rsidRPr="003F3F37" w:rsidRDefault="00905DE2" w:rsidP="00905DE2">
            <w:pPr>
              <w:rPr>
                <w:rFonts w:ascii="Arial" w:eastAsia="Calibri" w:hAnsi="Arial" w:cs="Arial"/>
                <w:sz w:val="16"/>
                <w:szCs w:val="16"/>
                <w:lang w:val="pt-BR" w:eastAsia="es-ES"/>
              </w:rPr>
            </w:pPr>
            <w:r w:rsidRPr="003F3F37">
              <w:rPr>
                <w:rFonts w:ascii="Arial" w:eastAsia="Calibri" w:hAnsi="Arial" w:cs="Arial"/>
                <w:sz w:val="16"/>
                <w:szCs w:val="16"/>
                <w:lang w:val="pt-BR" w:eastAsia="es-ES"/>
              </w:rPr>
              <w:t>Juan David Marín López</w:t>
            </w:r>
          </w:p>
          <w:p w14:paraId="11756C3C" w14:textId="069AF5AC" w:rsidR="00A673D0" w:rsidRPr="00310CD0" w:rsidRDefault="00905DE2" w:rsidP="00905DE2">
            <w:pPr>
              <w:rPr>
                <w:rFonts w:ascii="Arial" w:eastAsia="Times New Roman" w:hAnsi="Arial" w:cs="Arial"/>
                <w:sz w:val="16"/>
                <w:szCs w:val="16"/>
                <w:lang w:val="es-ES" w:eastAsia="es-ES"/>
              </w:rPr>
            </w:pPr>
            <w:proofErr w:type="spellStart"/>
            <w:r w:rsidRPr="003F3F37">
              <w:rPr>
                <w:rFonts w:ascii="Arial" w:eastAsia="Calibri" w:hAnsi="Arial" w:cs="Arial"/>
                <w:sz w:val="16"/>
                <w:szCs w:val="16"/>
                <w:lang w:val="pt-BR" w:eastAsia="es-ES"/>
              </w:rPr>
              <w:t>Subdirector</w:t>
            </w:r>
            <w:proofErr w:type="spellEnd"/>
            <w:r w:rsidRPr="003F3F37">
              <w:rPr>
                <w:rFonts w:ascii="Arial" w:eastAsia="Calibri" w:hAnsi="Arial" w:cs="Arial"/>
                <w:sz w:val="16"/>
                <w:szCs w:val="16"/>
                <w:lang w:val="pt-BR" w:eastAsia="es-ES"/>
              </w:rPr>
              <w:t xml:space="preserve"> de Gestión Contractual ANCP – CCE (E)</w:t>
            </w:r>
          </w:p>
        </w:tc>
      </w:tr>
    </w:tbl>
    <w:p w14:paraId="23D06C3E" w14:textId="77777777" w:rsidR="00A673D0" w:rsidRPr="00310CD0" w:rsidRDefault="00A673D0" w:rsidP="00A673D0">
      <w:pPr>
        <w:spacing w:after="0" w:line="240" w:lineRule="auto"/>
        <w:rPr>
          <w:rFonts w:ascii="Times New Roman" w:eastAsia="Times New Roman" w:hAnsi="Times New Roman" w:cs="Times New Roman"/>
          <w:sz w:val="24"/>
          <w:szCs w:val="24"/>
          <w:lang w:eastAsia="es-MX"/>
        </w:rPr>
      </w:pPr>
    </w:p>
    <w:bookmarkEnd w:id="4"/>
    <w:p w14:paraId="76B188A1" w14:textId="77777777" w:rsidR="00FB347B" w:rsidRDefault="00FB347B"/>
    <w:sectPr w:rsidR="00FB347B" w:rsidSect="005D791B">
      <w:headerReference w:type="default" r:id="rId10"/>
      <w:footerReference w:type="default" r:id="rId11"/>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5F812" w14:textId="77777777" w:rsidR="001B53C2" w:rsidRDefault="001B53C2" w:rsidP="003C38DF">
      <w:pPr>
        <w:spacing w:after="0" w:line="240" w:lineRule="auto"/>
      </w:pPr>
      <w:r>
        <w:separator/>
      </w:r>
    </w:p>
  </w:endnote>
  <w:endnote w:type="continuationSeparator" w:id="0">
    <w:p w14:paraId="4BD7E7E0" w14:textId="77777777" w:rsidR="001B53C2" w:rsidRDefault="001B53C2" w:rsidP="003C3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73979" w14:textId="77777777" w:rsidR="00835CA7" w:rsidRDefault="00835CA7" w:rsidP="00FE42ED">
    <w:pPr>
      <w:pStyle w:val="Piedepgina"/>
      <w:jc w:val="right"/>
      <w:rPr>
        <w:rFonts w:ascii="Arial" w:hAnsi="Arial" w:cs="Arial"/>
        <w:bCs/>
        <w:color w:val="7F7F7F"/>
        <w:sz w:val="16"/>
        <w:szCs w:val="16"/>
      </w:rPr>
    </w:pPr>
  </w:p>
  <w:p w14:paraId="27BB6A9A" w14:textId="77777777" w:rsidR="00835CA7" w:rsidRDefault="00835CA7" w:rsidP="00FE42ED">
    <w:pPr>
      <w:pStyle w:val="Piedepgina"/>
      <w:jc w:val="right"/>
      <w:rPr>
        <w:rFonts w:ascii="Arial" w:hAnsi="Arial" w:cs="Arial"/>
        <w:bCs/>
        <w:color w:val="7F7F7F"/>
        <w:sz w:val="16"/>
        <w:szCs w:val="16"/>
      </w:rPr>
    </w:pPr>
  </w:p>
  <w:p w14:paraId="53F6CAC0" w14:textId="58B4B61D" w:rsidR="0037504D" w:rsidRPr="003C38DF" w:rsidRDefault="009E5A81" w:rsidP="00FE42ED">
    <w:pPr>
      <w:pStyle w:val="Piedepgina"/>
      <w:jc w:val="right"/>
      <w:rPr>
        <w:rFonts w:ascii="Arial" w:hAnsi="Arial" w:cs="Arial"/>
        <w:color w:val="7F7F7F"/>
        <w:sz w:val="16"/>
        <w:szCs w:val="16"/>
      </w:rPr>
    </w:pPr>
    <w:r w:rsidRPr="003C38DF">
      <w:rPr>
        <w:rFonts w:ascii="Arial" w:hAnsi="Arial" w:cs="Arial"/>
        <w:bCs/>
        <w:color w:val="7F7F7F"/>
        <w:sz w:val="16"/>
        <w:szCs w:val="16"/>
      </w:rPr>
      <w:t xml:space="preserve">Página </w:t>
    </w:r>
    <w:r w:rsidRPr="003C38DF">
      <w:rPr>
        <w:rFonts w:ascii="Arial" w:hAnsi="Arial" w:cs="Arial"/>
        <w:b/>
        <w:bCs/>
        <w:color w:val="7F7F7F"/>
        <w:sz w:val="16"/>
        <w:szCs w:val="16"/>
      </w:rPr>
      <w:fldChar w:fldCharType="begin"/>
    </w:r>
    <w:r w:rsidRPr="003C38DF">
      <w:rPr>
        <w:rFonts w:ascii="Arial" w:hAnsi="Arial" w:cs="Arial"/>
        <w:b/>
        <w:bCs/>
        <w:color w:val="7F7F7F"/>
        <w:sz w:val="16"/>
        <w:szCs w:val="16"/>
      </w:rPr>
      <w:instrText>PAGE  \* Arabic  \* MERGEFORMAT</w:instrText>
    </w:r>
    <w:r w:rsidRPr="003C38DF">
      <w:rPr>
        <w:rFonts w:ascii="Arial" w:hAnsi="Arial" w:cs="Arial"/>
        <w:b/>
        <w:bCs/>
        <w:color w:val="7F7F7F"/>
        <w:sz w:val="16"/>
        <w:szCs w:val="16"/>
      </w:rPr>
      <w:fldChar w:fldCharType="separate"/>
    </w:r>
    <w:r w:rsidRPr="003C38DF">
      <w:rPr>
        <w:rFonts w:ascii="Arial" w:hAnsi="Arial" w:cs="Arial"/>
        <w:b/>
        <w:bCs/>
        <w:noProof/>
        <w:color w:val="7F7F7F"/>
        <w:sz w:val="16"/>
        <w:szCs w:val="16"/>
      </w:rPr>
      <w:t>2</w:t>
    </w:r>
    <w:r w:rsidRPr="003C38DF">
      <w:rPr>
        <w:rFonts w:ascii="Arial" w:hAnsi="Arial" w:cs="Arial"/>
        <w:b/>
        <w:bCs/>
        <w:color w:val="7F7F7F"/>
        <w:sz w:val="16"/>
        <w:szCs w:val="16"/>
      </w:rPr>
      <w:fldChar w:fldCharType="end"/>
    </w:r>
    <w:r w:rsidRPr="003C38DF">
      <w:rPr>
        <w:rFonts w:ascii="Arial" w:hAnsi="Arial" w:cs="Arial"/>
        <w:color w:val="7F7F7F"/>
        <w:sz w:val="16"/>
        <w:szCs w:val="16"/>
      </w:rPr>
      <w:t xml:space="preserve"> de </w:t>
    </w:r>
    <w:r w:rsidRPr="003C38DF">
      <w:rPr>
        <w:rFonts w:ascii="Arial" w:hAnsi="Arial" w:cs="Arial"/>
        <w:b/>
        <w:bCs/>
        <w:color w:val="7F7F7F"/>
        <w:sz w:val="16"/>
        <w:szCs w:val="16"/>
      </w:rPr>
      <w:fldChar w:fldCharType="begin"/>
    </w:r>
    <w:r w:rsidRPr="003C38DF">
      <w:rPr>
        <w:rFonts w:ascii="Arial" w:hAnsi="Arial" w:cs="Arial"/>
        <w:b/>
        <w:bCs/>
        <w:color w:val="7F7F7F"/>
        <w:sz w:val="16"/>
        <w:szCs w:val="16"/>
      </w:rPr>
      <w:instrText>NUMPAGES  \* Arabic  \* MERGEFORMAT</w:instrText>
    </w:r>
    <w:r w:rsidRPr="003C38DF">
      <w:rPr>
        <w:rFonts w:ascii="Arial" w:hAnsi="Arial" w:cs="Arial"/>
        <w:b/>
        <w:bCs/>
        <w:color w:val="7F7F7F"/>
        <w:sz w:val="16"/>
        <w:szCs w:val="16"/>
      </w:rPr>
      <w:fldChar w:fldCharType="separate"/>
    </w:r>
    <w:r w:rsidRPr="003C38DF">
      <w:rPr>
        <w:rFonts w:ascii="Arial" w:hAnsi="Arial" w:cs="Arial"/>
        <w:b/>
        <w:bCs/>
        <w:noProof/>
        <w:color w:val="7F7F7F"/>
        <w:sz w:val="16"/>
        <w:szCs w:val="16"/>
      </w:rPr>
      <w:t>15</w:t>
    </w:r>
    <w:r w:rsidRPr="003C38DF">
      <w:rPr>
        <w:rFonts w:ascii="Arial" w:hAnsi="Arial" w:cs="Arial"/>
        <w:b/>
        <w:bCs/>
        <w:color w:val="7F7F7F"/>
        <w:sz w:val="16"/>
        <w:szCs w:val="16"/>
      </w:rPr>
      <w:fldChar w:fldCharType="end"/>
    </w:r>
  </w:p>
  <w:p w14:paraId="3DCD1CA3" w14:textId="77777777" w:rsidR="0037504D" w:rsidRDefault="009E5A81" w:rsidP="00322937">
    <w:pPr>
      <w:pStyle w:val="Piedepgina"/>
      <w:jc w:val="center"/>
      <w:rPr>
        <w:lang w:val="es-ES"/>
      </w:rPr>
    </w:pPr>
    <w:r>
      <w:rPr>
        <w:noProof/>
        <w:lang w:val="es-ES_tradnl" w:eastAsia="es-ES_tradnl"/>
      </w:rPr>
      <w:drawing>
        <wp:inline distT="0" distB="0" distL="0" distR="0" wp14:anchorId="65EE2105" wp14:editId="7B75B00E">
          <wp:extent cx="3700130" cy="519139"/>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617583DB" w14:textId="74504B03" w:rsidR="003C05E6" w:rsidRDefault="003C05E6" w:rsidP="007B0854">
    <w:pPr>
      <w:pStyle w:val="Piedepgina"/>
      <w:jc w:val="center"/>
      <w:rPr>
        <w:lang w:val="es-ES"/>
      </w:rPr>
    </w:pPr>
  </w:p>
  <w:p w14:paraId="475AA5DB" w14:textId="77777777" w:rsidR="003C05E6" w:rsidRPr="007B0854" w:rsidRDefault="003C05E6"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2B2A2" w14:textId="77777777" w:rsidR="001B53C2" w:rsidRDefault="001B53C2" w:rsidP="003C38DF">
      <w:pPr>
        <w:spacing w:after="0" w:line="240" w:lineRule="auto"/>
      </w:pPr>
      <w:r>
        <w:separator/>
      </w:r>
    </w:p>
  </w:footnote>
  <w:footnote w:type="continuationSeparator" w:id="0">
    <w:p w14:paraId="0E7CD82B" w14:textId="77777777" w:rsidR="001B53C2" w:rsidRDefault="001B53C2" w:rsidP="003C38DF">
      <w:pPr>
        <w:spacing w:after="0" w:line="240" w:lineRule="auto"/>
      </w:pPr>
      <w:r>
        <w:continuationSeparator/>
      </w:r>
    </w:p>
  </w:footnote>
  <w:footnote w:id="1">
    <w:p w14:paraId="3212DD27" w14:textId="77777777" w:rsidR="003C38DF" w:rsidRPr="00784CE8" w:rsidRDefault="003C38DF" w:rsidP="00056100">
      <w:pPr>
        <w:pStyle w:val="Default"/>
        <w:ind w:firstLine="708"/>
        <w:jc w:val="both"/>
        <w:rPr>
          <w:sz w:val="17"/>
          <w:szCs w:val="17"/>
        </w:rPr>
      </w:pPr>
      <w:r w:rsidRPr="00784CE8">
        <w:rPr>
          <w:rStyle w:val="Refdenotaalpie"/>
          <w:sz w:val="17"/>
          <w:szCs w:val="17"/>
        </w:rPr>
        <w:footnoteRef/>
      </w:r>
      <w:r w:rsidRPr="00784CE8">
        <w:rPr>
          <w:sz w:val="17"/>
          <w:szCs w:val="17"/>
        </w:rPr>
        <w:t xml:space="preserve"> Decreto 148 de 2020:  Artículo 2.2.2.1.5. Intervinientes en la gestión catastral: […] “3. Los gestores catastrales: Son las entidades públicas del orden nacional o territo</w:t>
      </w:r>
      <w:r w:rsidRPr="00784CE8">
        <w:rPr>
          <w:sz w:val="17"/>
          <w:szCs w:val="17"/>
        </w:rPr>
        <w:softHyphen/>
        <w:t>rial, así como los esquemas asociativos de entidades territoriales, que hayan sido habilitadas por el Instituto Geográfico Agustín Codazzi (IGAC) según la reglamen</w:t>
      </w:r>
      <w:r w:rsidRPr="00784CE8">
        <w:rPr>
          <w:sz w:val="17"/>
          <w:szCs w:val="17"/>
        </w:rPr>
        <w:softHyphen/>
        <w:t>tación dispuesta para tal efecto, así como el IGAC por excepción. De igual mane</w:t>
      </w:r>
      <w:r w:rsidRPr="00784CE8">
        <w:rPr>
          <w:sz w:val="17"/>
          <w:szCs w:val="17"/>
        </w:rPr>
        <w:softHyphen/>
        <w:t>ra, se consideran gestores catastrales, los catastros descentralizados y delegados titulares de la gestión catastral. Así mismo, es gestor catastral la Agencia Nacional de Tierras en los términos del artículo 80 de la Ley 1955 de 2019. Los gestores ca</w:t>
      </w:r>
      <w:r w:rsidRPr="00784CE8">
        <w:rPr>
          <w:sz w:val="17"/>
          <w:szCs w:val="17"/>
        </w:rPr>
        <w:softHyphen/>
        <w:t>tastrales, independientemente de su jurisdicción, podrán prestar el servicio público catastral en cualquier parte del territorio nacional”. </w:t>
      </w:r>
    </w:p>
    <w:p w14:paraId="18BAE5BB" w14:textId="77777777" w:rsidR="003C38DF" w:rsidRPr="00784CE8" w:rsidRDefault="003C38DF" w:rsidP="00056100">
      <w:pPr>
        <w:pStyle w:val="Default"/>
        <w:jc w:val="both"/>
        <w:rPr>
          <w:sz w:val="17"/>
          <w:szCs w:val="17"/>
        </w:rPr>
      </w:pPr>
    </w:p>
  </w:footnote>
  <w:footnote w:id="2">
    <w:p w14:paraId="550BF220" w14:textId="77777777" w:rsidR="003C38DF" w:rsidRPr="00784CE8" w:rsidRDefault="003C38DF" w:rsidP="00784CE8">
      <w:pPr>
        <w:pStyle w:val="NormalWeb"/>
        <w:shd w:val="clear" w:color="auto" w:fill="FFFFFF"/>
        <w:spacing w:after="0" w:line="240" w:lineRule="auto"/>
        <w:ind w:firstLine="708"/>
        <w:jc w:val="both"/>
        <w:rPr>
          <w:rFonts w:ascii="Arial" w:hAnsi="Arial" w:cs="Arial"/>
          <w:color w:val="000000"/>
          <w:sz w:val="17"/>
          <w:szCs w:val="17"/>
        </w:rPr>
      </w:pPr>
      <w:r w:rsidRPr="00784CE8">
        <w:rPr>
          <w:rStyle w:val="Refdenotaalpie"/>
          <w:rFonts w:ascii="Arial" w:hAnsi="Arial" w:cs="Arial"/>
          <w:color w:val="000000"/>
          <w:sz w:val="17"/>
          <w:szCs w:val="17"/>
        </w:rPr>
        <w:footnoteRef/>
      </w:r>
      <w:r w:rsidRPr="00784CE8">
        <w:rPr>
          <w:rStyle w:val="Refdenotaalpie"/>
          <w:rFonts w:ascii="Arial" w:hAnsi="Arial" w:cs="Arial"/>
          <w:color w:val="000000"/>
          <w:sz w:val="17"/>
          <w:szCs w:val="17"/>
        </w:rPr>
        <w:t xml:space="preserve"> </w:t>
      </w:r>
      <w:r w:rsidRPr="00784CE8">
        <w:rPr>
          <w:rFonts w:ascii="Arial" w:hAnsi="Arial" w:cs="Arial"/>
          <w:sz w:val="17"/>
          <w:szCs w:val="17"/>
        </w:rPr>
        <w:t>D</w:t>
      </w:r>
      <w:r w:rsidRPr="00784CE8">
        <w:rPr>
          <w:rFonts w:ascii="Arial" w:hAnsi="Arial" w:cs="Arial"/>
          <w:color w:val="000000"/>
          <w:sz w:val="17"/>
          <w:szCs w:val="17"/>
        </w:rPr>
        <w:t>ecreto 1983 de 2020:</w:t>
      </w:r>
      <w:r w:rsidRPr="00784CE8">
        <w:rPr>
          <w:rFonts w:ascii="Arial" w:hAnsi="Arial" w:cs="Arial"/>
          <w:sz w:val="17"/>
          <w:szCs w:val="17"/>
        </w:rPr>
        <w:t xml:space="preserve"> </w:t>
      </w:r>
      <w:r w:rsidRPr="00784CE8">
        <w:rPr>
          <w:rFonts w:ascii="Arial" w:hAnsi="Arial" w:cs="Arial"/>
          <w:color w:val="000000"/>
          <w:sz w:val="17"/>
          <w:szCs w:val="17"/>
        </w:rPr>
        <w:t>Artículo 2.2.2.5.1. Habilitación de entidades territoriales y esquemas asociativos de entidades territoriales como gestores catastrales. Para la habilitación de las entidades territoriales y de los esquemas asociativos de entidades territoriales como gestores catastrales, el IGAC deberá verificar el cumplimiento de las siguientes condiciones:</w:t>
      </w:r>
    </w:p>
    <w:p w14:paraId="4654A27F" w14:textId="77777777" w:rsidR="003C38DF" w:rsidRPr="00784CE8" w:rsidRDefault="003C38DF" w:rsidP="00784CE8">
      <w:pPr>
        <w:shd w:val="clear" w:color="auto" w:fill="FFFFFF"/>
        <w:spacing w:line="240" w:lineRule="auto"/>
        <w:ind w:firstLine="708"/>
        <w:jc w:val="both"/>
        <w:rPr>
          <w:rFonts w:ascii="Arial" w:hAnsi="Arial" w:cs="Arial"/>
          <w:color w:val="000000"/>
          <w:sz w:val="17"/>
          <w:szCs w:val="17"/>
        </w:rPr>
      </w:pPr>
      <w:r w:rsidRPr="00784CE8">
        <w:rPr>
          <w:rFonts w:ascii="Arial" w:hAnsi="Arial" w:cs="Arial"/>
          <w:color w:val="000000"/>
          <w:sz w:val="17"/>
          <w:szCs w:val="17"/>
        </w:rPr>
        <w:t xml:space="preserve">1 </w:t>
      </w:r>
      <w:proofErr w:type="gramStart"/>
      <w:r w:rsidRPr="00784CE8">
        <w:rPr>
          <w:rFonts w:ascii="Arial" w:hAnsi="Arial" w:cs="Arial"/>
          <w:color w:val="000000"/>
          <w:sz w:val="17"/>
          <w:szCs w:val="17"/>
        </w:rPr>
        <w:t>Jurídicas</w:t>
      </w:r>
      <w:proofErr w:type="gramEnd"/>
      <w:r w:rsidRPr="00784CE8">
        <w:rPr>
          <w:rFonts w:ascii="Arial" w:hAnsi="Arial" w:cs="Arial"/>
          <w:color w:val="000000"/>
          <w:sz w:val="17"/>
          <w:szCs w:val="17"/>
        </w:rPr>
        <w:t>: El documento mediante el cual se acredite la representación legal de la entidad territorial o del esquema asociativo de conformidad con lo previsto en el artículo 249 de la Ley 1955 de 2019 o la reglamentación vigente.</w:t>
      </w:r>
    </w:p>
    <w:p w14:paraId="37EAB90E" w14:textId="77777777" w:rsidR="003C38DF" w:rsidRPr="00784CE8" w:rsidRDefault="003C38DF" w:rsidP="00784CE8">
      <w:pPr>
        <w:shd w:val="clear" w:color="auto" w:fill="FFFFFF"/>
        <w:spacing w:line="240" w:lineRule="auto"/>
        <w:ind w:firstLine="708"/>
        <w:jc w:val="both"/>
        <w:rPr>
          <w:rFonts w:ascii="Arial" w:hAnsi="Arial" w:cs="Arial"/>
          <w:color w:val="000000"/>
          <w:sz w:val="17"/>
          <w:szCs w:val="17"/>
        </w:rPr>
      </w:pPr>
      <w:r w:rsidRPr="00784CE8">
        <w:rPr>
          <w:rFonts w:ascii="Arial" w:hAnsi="Arial" w:cs="Arial"/>
          <w:color w:val="000000"/>
          <w:sz w:val="17"/>
          <w:szCs w:val="17"/>
        </w:rPr>
        <w:t>2. Técnicas: presentar. la descripción general de las condiciones en las que se llevará a cabo la prestación del servicio público de gestión catastral en relación con la formación; actualización, conservación y difusión catastral. […]</w:t>
      </w:r>
    </w:p>
    <w:p w14:paraId="42CA1C89" w14:textId="77777777" w:rsidR="003C38DF" w:rsidRPr="00784CE8" w:rsidRDefault="003C38DF" w:rsidP="00784CE8">
      <w:pPr>
        <w:shd w:val="clear" w:color="auto" w:fill="FFFFFF"/>
        <w:spacing w:line="240" w:lineRule="auto"/>
        <w:ind w:firstLine="708"/>
        <w:jc w:val="both"/>
        <w:rPr>
          <w:rFonts w:ascii="Arial" w:hAnsi="Arial" w:cs="Arial"/>
          <w:color w:val="000000"/>
          <w:sz w:val="17"/>
          <w:szCs w:val="17"/>
        </w:rPr>
      </w:pPr>
      <w:r w:rsidRPr="00784CE8">
        <w:rPr>
          <w:rFonts w:ascii="Arial" w:hAnsi="Arial" w:cs="Arial"/>
          <w:color w:val="000000"/>
          <w:sz w:val="17"/>
          <w:szCs w:val="17"/>
        </w:rPr>
        <w:t>3. Económicas y financieras: la entidad solicitante deberá presentar una proyección de ingresos y gastos con los cuales vaya a asumir la prestación del servicio. La proyección debe estar contemplada en el marco fiscal y de gasto de mediano plazo o en documento semejante, según corresponda. Así mismo, deberá precisar las fuentes de financiación de la prestación del servicio de gestión catastral. […]</w:t>
      </w:r>
    </w:p>
  </w:footnote>
  <w:footnote w:id="3">
    <w:p w14:paraId="4A99BBCE" w14:textId="77777777" w:rsidR="00E003E8" w:rsidRPr="00784CE8" w:rsidRDefault="00E003E8" w:rsidP="00056100">
      <w:pPr>
        <w:pStyle w:val="Textonotapie"/>
        <w:ind w:firstLine="709"/>
        <w:jc w:val="both"/>
        <w:rPr>
          <w:rFonts w:ascii="Arial" w:hAnsi="Arial" w:cs="Arial"/>
          <w:sz w:val="17"/>
          <w:szCs w:val="17"/>
          <w:lang w:val="es-CO"/>
        </w:rPr>
      </w:pPr>
      <w:r w:rsidRPr="00784CE8">
        <w:rPr>
          <w:rStyle w:val="Refdenotaalpie"/>
          <w:rFonts w:ascii="Arial" w:hAnsi="Arial" w:cs="Arial"/>
          <w:sz w:val="17"/>
          <w:szCs w:val="17"/>
        </w:rPr>
        <w:footnoteRef/>
      </w:r>
      <w:r w:rsidRPr="00784CE8">
        <w:rPr>
          <w:rFonts w:ascii="Arial" w:hAnsi="Arial" w:cs="Arial"/>
          <w:sz w:val="17"/>
          <w:szCs w:val="17"/>
        </w:rPr>
        <w:t xml:space="preserve"> CONPES 3958 "Estrategia para la implementación de la política pública de catastro multipropósito", 2019, pág. 56. «</w:t>
      </w:r>
      <w:r w:rsidRPr="00784CE8">
        <w:rPr>
          <w:rFonts w:ascii="Arial" w:hAnsi="Arial" w:cs="Arial"/>
          <w:i/>
          <w:iCs/>
          <w:sz w:val="17"/>
          <w:szCs w:val="17"/>
        </w:rPr>
        <w:t>Línea de acción 13. Definición de esquemas de financiación para garantizar el levantamiento de la información catastral con enfoque multipropósito en el tiempo</w:t>
      </w:r>
      <w:r w:rsidRPr="00784CE8">
        <w:rPr>
          <w:rFonts w:ascii="Arial" w:hAnsi="Arial" w:cs="Arial"/>
          <w:i/>
          <w:iCs/>
          <w:sz w:val="17"/>
          <w:szCs w:val="17"/>
          <w:lang w:val="es-CO"/>
        </w:rPr>
        <w:t>.</w:t>
      </w:r>
      <w:r w:rsidRPr="00784CE8">
        <w:rPr>
          <w:rFonts w:ascii="Arial" w:hAnsi="Arial" w:cs="Arial"/>
          <w:sz w:val="17"/>
          <w:szCs w:val="17"/>
          <w:lang w:val="es-CO"/>
        </w:rPr>
        <w:t xml:space="preserve"> […] </w:t>
      </w:r>
      <w:r w:rsidRPr="00784CE8">
        <w:rPr>
          <w:rFonts w:ascii="Arial" w:hAnsi="Arial" w:cs="Arial"/>
          <w:sz w:val="17"/>
          <w:szCs w:val="17"/>
        </w:rPr>
        <w:t>siguiendo los lineamientos de Colombia Compra Eficiente, el IGAC definirá los esquemas de contratación de cartografía y de actividades relacionadas con la gestión catastral, haciendo uso de acuerdos marco de precios en articulación con los instrumentos de proyectos tipo que se desarrollen».</w:t>
      </w:r>
    </w:p>
  </w:footnote>
  <w:footnote w:id="4">
    <w:p w14:paraId="06C69F96" w14:textId="77777777" w:rsidR="00E003E8" w:rsidRPr="00784CE8" w:rsidRDefault="00E003E8" w:rsidP="00056100">
      <w:pPr>
        <w:pStyle w:val="Textonotapie"/>
        <w:ind w:firstLine="709"/>
        <w:jc w:val="both"/>
        <w:rPr>
          <w:rFonts w:ascii="Arial" w:eastAsia="Calibri" w:hAnsi="Arial" w:cs="Arial"/>
          <w:sz w:val="17"/>
          <w:szCs w:val="17"/>
        </w:rPr>
      </w:pPr>
      <w:r w:rsidRPr="00784CE8">
        <w:rPr>
          <w:rStyle w:val="Refdenotaalpie"/>
          <w:rFonts w:ascii="Arial" w:hAnsi="Arial" w:cs="Arial"/>
          <w:sz w:val="17"/>
          <w:szCs w:val="17"/>
        </w:rPr>
        <w:footnoteRef/>
      </w:r>
      <w:r w:rsidRPr="00784CE8">
        <w:rPr>
          <w:rFonts w:ascii="Arial" w:hAnsi="Arial" w:cs="Arial"/>
          <w:sz w:val="17"/>
          <w:szCs w:val="17"/>
        </w:rPr>
        <w:t xml:space="preserve"> </w:t>
      </w:r>
      <w:r w:rsidRPr="00784CE8">
        <w:rPr>
          <w:rFonts w:ascii="Arial" w:eastAsia="Calibri" w:hAnsi="Arial" w:cs="Arial"/>
          <w:sz w:val="17"/>
          <w:szCs w:val="17"/>
          <w:lang w:eastAsia="es-CO"/>
        </w:rPr>
        <w:t xml:space="preserve">Artículo 2.2.2.2.2 del </w:t>
      </w:r>
      <w:r w:rsidRPr="00784CE8">
        <w:rPr>
          <w:rFonts w:ascii="Arial" w:eastAsia="Calibri" w:hAnsi="Arial" w:cs="Arial"/>
          <w:sz w:val="17"/>
          <w:szCs w:val="17"/>
        </w:rPr>
        <w:t>Decreto 1170 de 2015, modificado por el artículo 1 del Decreto 148 de 2020.</w:t>
      </w:r>
    </w:p>
    <w:p w14:paraId="0CE4F77D" w14:textId="77777777" w:rsidR="00E003E8" w:rsidRPr="00784CE8" w:rsidRDefault="00E003E8" w:rsidP="00056100">
      <w:pPr>
        <w:pStyle w:val="Textonotapie"/>
        <w:ind w:firstLine="709"/>
        <w:rPr>
          <w:rFonts w:ascii="Arial" w:eastAsia="Calibri" w:hAnsi="Arial" w:cs="Arial"/>
          <w:sz w:val="17"/>
          <w:szCs w:val="17"/>
        </w:rPr>
      </w:pPr>
    </w:p>
  </w:footnote>
  <w:footnote w:id="5">
    <w:p w14:paraId="46F74084" w14:textId="77777777" w:rsidR="00E003E8" w:rsidRPr="00784CE8" w:rsidRDefault="00E003E8" w:rsidP="00056100">
      <w:pPr>
        <w:pStyle w:val="Textonotapie"/>
        <w:ind w:firstLine="709"/>
        <w:rPr>
          <w:rFonts w:ascii="Arial" w:hAnsi="Arial" w:cs="Arial"/>
          <w:sz w:val="17"/>
          <w:szCs w:val="17"/>
        </w:rPr>
      </w:pPr>
      <w:r w:rsidRPr="00784CE8">
        <w:rPr>
          <w:rStyle w:val="Refdenotaalpie"/>
          <w:rFonts w:ascii="Arial" w:hAnsi="Arial" w:cs="Arial"/>
          <w:sz w:val="17"/>
          <w:szCs w:val="17"/>
        </w:rPr>
        <w:footnoteRef/>
      </w:r>
      <w:r w:rsidRPr="00784CE8">
        <w:rPr>
          <w:rFonts w:ascii="Arial" w:hAnsi="Arial" w:cs="Arial"/>
          <w:sz w:val="17"/>
          <w:szCs w:val="17"/>
        </w:rPr>
        <w:t xml:space="preserve"> </w:t>
      </w:r>
      <w:r w:rsidRPr="00784CE8">
        <w:rPr>
          <w:rFonts w:ascii="Arial" w:hAnsi="Arial" w:cs="Arial"/>
          <w:i/>
          <w:iCs/>
          <w:sz w:val="17"/>
          <w:szCs w:val="17"/>
        </w:rPr>
        <w:t>Ibidem</w:t>
      </w:r>
      <w:r w:rsidRPr="00784CE8">
        <w:rPr>
          <w:rFonts w:ascii="Arial" w:hAnsi="Arial" w:cs="Arial"/>
          <w:sz w:val="17"/>
          <w:szCs w:val="17"/>
        </w:rPr>
        <w:t xml:space="preserve">. </w:t>
      </w:r>
    </w:p>
    <w:p w14:paraId="1672D415" w14:textId="77777777" w:rsidR="00E003E8" w:rsidRPr="00784CE8" w:rsidRDefault="00E003E8" w:rsidP="00056100">
      <w:pPr>
        <w:pStyle w:val="Textonotapie"/>
        <w:ind w:firstLine="709"/>
        <w:rPr>
          <w:rFonts w:ascii="Arial" w:hAnsi="Arial" w:cs="Arial"/>
          <w:sz w:val="17"/>
          <w:szCs w:val="17"/>
        </w:rPr>
      </w:pPr>
    </w:p>
  </w:footnote>
  <w:footnote w:id="6">
    <w:p w14:paraId="4E3EF216" w14:textId="77777777" w:rsidR="00E003E8" w:rsidRPr="00784CE8" w:rsidRDefault="00E003E8" w:rsidP="00056100">
      <w:pPr>
        <w:pStyle w:val="Textonotapie"/>
        <w:ind w:firstLine="709"/>
        <w:jc w:val="both"/>
        <w:rPr>
          <w:rFonts w:ascii="Arial" w:hAnsi="Arial" w:cs="Arial"/>
          <w:sz w:val="17"/>
          <w:szCs w:val="17"/>
        </w:rPr>
      </w:pPr>
      <w:r w:rsidRPr="00784CE8">
        <w:rPr>
          <w:rStyle w:val="Refdenotaalpie"/>
          <w:rFonts w:ascii="Arial" w:hAnsi="Arial" w:cs="Arial"/>
          <w:sz w:val="17"/>
          <w:szCs w:val="17"/>
        </w:rPr>
        <w:footnoteRef/>
      </w:r>
      <w:r w:rsidRPr="00784CE8">
        <w:rPr>
          <w:rFonts w:ascii="Arial" w:hAnsi="Arial" w:cs="Arial"/>
          <w:sz w:val="17"/>
          <w:szCs w:val="17"/>
        </w:rPr>
        <w:t xml:space="preserve"> El artículo 2.2.2.2.2 del Decreto 1170 de 2015 modificado por el artículo 1 del Decreto 148 de 2020, dispone que el proceso de conservación catastral consiste en el conjunto de acciones tendientes a mantener vigente la base catastral de forma permanente, mediante la incorporación de los cambios que sufra la información de un bien inmueble. Por su parte, define a la difusión catastral como aquellas actividades tendientes al uso, disposición y acceso a la información catastral, así como la generación de insumos que contribuyan a la planeación y gestión de los territorios.</w:t>
      </w:r>
    </w:p>
  </w:footnote>
  <w:footnote w:id="7">
    <w:p w14:paraId="16758750" w14:textId="77777777" w:rsidR="00F62AC6" w:rsidRPr="00784CE8" w:rsidRDefault="00F62AC6" w:rsidP="00056100">
      <w:pPr>
        <w:pStyle w:val="Textonotapie"/>
        <w:ind w:firstLine="708"/>
        <w:jc w:val="both"/>
        <w:rPr>
          <w:rFonts w:ascii="Arial" w:hAnsi="Arial" w:cs="Arial"/>
          <w:sz w:val="17"/>
          <w:szCs w:val="17"/>
          <w:lang w:val="es-ES"/>
        </w:rPr>
      </w:pPr>
      <w:r w:rsidRPr="00784CE8">
        <w:rPr>
          <w:rStyle w:val="Refdenotaalpie"/>
          <w:rFonts w:ascii="Arial" w:hAnsi="Arial" w:cs="Arial"/>
          <w:sz w:val="17"/>
          <w:szCs w:val="17"/>
        </w:rPr>
        <w:footnoteRef/>
      </w:r>
      <w:r w:rsidRPr="00784CE8">
        <w:rPr>
          <w:rFonts w:ascii="Arial" w:hAnsi="Arial" w:cs="Arial"/>
          <w:sz w:val="17"/>
          <w:szCs w:val="17"/>
        </w:rPr>
        <w:t xml:space="preserve"> «</w:t>
      </w:r>
      <w:r w:rsidRPr="00784CE8">
        <w:rPr>
          <w:rFonts w:ascii="Arial" w:hAnsi="Arial" w:cs="Arial"/>
          <w:sz w:val="17"/>
          <w:szCs w:val="17"/>
          <w:lang w:val="es-ES"/>
        </w:rPr>
        <w:t>Artículo 3. lnalterabilidad del documento tipo. De conformidad con el artículo 1 de la Ley 2022 de 2020, los documentos tipo son obligatorios en la actividad contractual de las entidades estatales sometidas al Estatuto General de Contratación de la Administración Pública, en consecuencia, al celebrar los contratos solo podrán modificarlos en los aspectos en que los documentos tipo lo permitan».</w:t>
      </w:r>
    </w:p>
    <w:p w14:paraId="35D4BE29" w14:textId="77777777" w:rsidR="00F62AC6" w:rsidRPr="00784CE8" w:rsidRDefault="00F62AC6" w:rsidP="00056100">
      <w:pPr>
        <w:pStyle w:val="Textonotapie"/>
        <w:ind w:firstLine="708"/>
        <w:jc w:val="both"/>
        <w:rPr>
          <w:rFonts w:ascii="Arial" w:hAnsi="Arial" w:cs="Arial"/>
          <w:sz w:val="17"/>
          <w:szCs w:val="17"/>
          <w:lang w:val="es-CO"/>
        </w:rPr>
      </w:pPr>
    </w:p>
  </w:footnote>
  <w:footnote w:id="8">
    <w:p w14:paraId="2DDECC62" w14:textId="77777777" w:rsidR="00117EEB" w:rsidRPr="00784CE8" w:rsidRDefault="00117EEB" w:rsidP="00056100">
      <w:pPr>
        <w:pStyle w:val="Textonotapie"/>
        <w:ind w:firstLine="709"/>
        <w:jc w:val="both"/>
        <w:rPr>
          <w:rFonts w:ascii="Arial" w:hAnsi="Arial" w:cs="Arial"/>
          <w:sz w:val="17"/>
          <w:szCs w:val="17"/>
          <w:lang w:val="es-ES"/>
        </w:rPr>
      </w:pPr>
      <w:r w:rsidRPr="00784CE8">
        <w:rPr>
          <w:rStyle w:val="Refdenotaalpie"/>
          <w:rFonts w:ascii="Arial" w:hAnsi="Arial" w:cs="Arial"/>
          <w:sz w:val="17"/>
          <w:szCs w:val="17"/>
        </w:rPr>
        <w:footnoteRef/>
      </w:r>
      <w:r w:rsidRPr="00784CE8">
        <w:rPr>
          <w:rFonts w:ascii="Arial" w:hAnsi="Arial" w:cs="Arial"/>
          <w:sz w:val="17"/>
          <w:szCs w:val="17"/>
        </w:rPr>
        <w:t xml:space="preserve"> </w:t>
      </w:r>
      <w:r w:rsidRPr="00784CE8">
        <w:rPr>
          <w:rFonts w:ascii="Arial" w:hAnsi="Arial" w:cs="Arial"/>
          <w:sz w:val="17"/>
          <w:szCs w:val="17"/>
          <w:lang w:val="es-ES"/>
        </w:rPr>
        <w:t>En cuanto a las resoluciones vigentes, dicha regla se observa en el artículo 3 de las Resoluciones 240 de 2020, 241 de 2020, 248 de 2020, 249 de 2020, 269 de 2020, 219 de 2021, 392 de 2021, 454 de 2021, entre otras, así como lo dispuesto en el artículo 2 de la Resolución 094 de 2020.</w:t>
      </w:r>
    </w:p>
    <w:p w14:paraId="57539FAC" w14:textId="77777777" w:rsidR="00117EEB" w:rsidRPr="00784CE8" w:rsidRDefault="00117EEB" w:rsidP="00056100">
      <w:pPr>
        <w:pStyle w:val="Textonotapie"/>
        <w:ind w:firstLine="709"/>
        <w:jc w:val="both"/>
        <w:rPr>
          <w:rFonts w:ascii="Arial" w:hAnsi="Arial" w:cs="Arial"/>
          <w:sz w:val="17"/>
          <w:szCs w:val="17"/>
          <w:lang w:val="es-ES"/>
        </w:rPr>
      </w:pPr>
    </w:p>
  </w:footnote>
  <w:footnote w:id="9">
    <w:p w14:paraId="5B59A3E6" w14:textId="77777777" w:rsidR="00331AC2" w:rsidRPr="00784CE8" w:rsidRDefault="00331AC2" w:rsidP="00056100">
      <w:pPr>
        <w:pStyle w:val="Textonotapie"/>
        <w:ind w:firstLine="709"/>
        <w:jc w:val="both"/>
        <w:rPr>
          <w:rFonts w:ascii="Arial" w:hAnsi="Arial" w:cs="Arial"/>
          <w:sz w:val="17"/>
          <w:szCs w:val="17"/>
        </w:rPr>
      </w:pPr>
      <w:r w:rsidRPr="00784CE8">
        <w:rPr>
          <w:rStyle w:val="Refdenotaalpie"/>
          <w:rFonts w:ascii="Arial" w:hAnsi="Arial" w:cs="Arial"/>
          <w:sz w:val="17"/>
          <w:szCs w:val="17"/>
        </w:rPr>
        <w:footnoteRef/>
      </w:r>
      <w:r w:rsidRPr="00784CE8">
        <w:rPr>
          <w:rFonts w:ascii="Arial" w:hAnsi="Arial" w:cs="Arial"/>
          <w:sz w:val="17"/>
          <w:szCs w:val="17"/>
        </w:rPr>
        <w:t xml:space="preserve"> En torno a las potestades regladas, García de Enterría y Fernández manifiestan: «El ejercicio de las ptestades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FERNÁNDEZ, Tomás-Ramón. Curso de derecho administrativo. Tomo I. Madrid: Civitas, 1997. pp. 444-445)</w:t>
      </w:r>
    </w:p>
    <w:p w14:paraId="18F18553" w14:textId="77777777" w:rsidR="00331AC2" w:rsidRPr="00784CE8" w:rsidRDefault="00331AC2" w:rsidP="00056100">
      <w:pPr>
        <w:pStyle w:val="Textonotapie"/>
        <w:ind w:firstLine="709"/>
        <w:jc w:val="both"/>
        <w:rPr>
          <w:rFonts w:ascii="Arial" w:hAnsi="Arial" w:cs="Arial"/>
          <w:sz w:val="17"/>
          <w:szCs w:val="17"/>
        </w:rPr>
      </w:pPr>
    </w:p>
  </w:footnote>
  <w:footnote w:id="10">
    <w:p w14:paraId="049481AB" w14:textId="77777777" w:rsidR="00331AC2" w:rsidRPr="00784CE8" w:rsidRDefault="00331AC2" w:rsidP="00056100">
      <w:pPr>
        <w:pStyle w:val="Textonotapie"/>
        <w:ind w:firstLine="709"/>
        <w:jc w:val="both"/>
        <w:rPr>
          <w:rFonts w:ascii="Arial" w:hAnsi="Arial" w:cs="Arial"/>
          <w:sz w:val="17"/>
          <w:szCs w:val="17"/>
        </w:rPr>
      </w:pPr>
      <w:r w:rsidRPr="00784CE8">
        <w:rPr>
          <w:rStyle w:val="Refdenotaalpie"/>
          <w:rFonts w:ascii="Arial" w:hAnsi="Arial" w:cs="Arial"/>
          <w:sz w:val="17"/>
          <w:szCs w:val="17"/>
        </w:rPr>
        <w:footnoteRef/>
      </w:r>
      <w:r w:rsidRPr="00784CE8">
        <w:rPr>
          <w:rFonts w:ascii="Arial" w:hAnsi="Arial" w:cs="Arial"/>
          <w:sz w:val="17"/>
          <w:szCs w:val="17"/>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503F3FA8" w14:textId="77777777" w:rsidR="00331AC2" w:rsidRPr="00784CE8" w:rsidRDefault="00331AC2" w:rsidP="00056100">
      <w:pPr>
        <w:pStyle w:val="Textonotapie"/>
        <w:ind w:firstLine="709"/>
        <w:jc w:val="both"/>
        <w:rPr>
          <w:rFonts w:ascii="Arial" w:hAnsi="Arial" w:cs="Arial"/>
          <w:sz w:val="17"/>
          <w:szCs w:val="17"/>
        </w:rPr>
      </w:pPr>
    </w:p>
  </w:footnote>
  <w:footnote w:id="11">
    <w:p w14:paraId="52C2CE06" w14:textId="33534C93" w:rsidR="00331AC2" w:rsidRPr="00784CE8" w:rsidRDefault="00331AC2" w:rsidP="00784CE8">
      <w:pPr>
        <w:spacing w:after="0" w:line="240" w:lineRule="auto"/>
        <w:ind w:firstLine="709"/>
        <w:jc w:val="both"/>
        <w:rPr>
          <w:rFonts w:ascii="Arial" w:hAnsi="Arial" w:cs="Arial"/>
          <w:sz w:val="17"/>
          <w:szCs w:val="17"/>
          <w:lang w:val="es-ES"/>
        </w:rPr>
      </w:pPr>
      <w:r w:rsidRPr="00784CE8">
        <w:rPr>
          <w:rStyle w:val="Refdenotaalpie"/>
          <w:rFonts w:ascii="Arial" w:hAnsi="Arial" w:cs="Arial"/>
          <w:sz w:val="17"/>
          <w:szCs w:val="17"/>
        </w:rPr>
        <w:footnoteRef/>
      </w:r>
      <w:r w:rsidRPr="00784CE8">
        <w:rPr>
          <w:rFonts w:ascii="Arial" w:hAnsi="Arial" w:cs="Arial"/>
          <w:sz w:val="17"/>
          <w:szCs w:val="17"/>
        </w:rPr>
        <w:t xml:space="preserve"> </w:t>
      </w:r>
      <w:r w:rsidRPr="00784CE8">
        <w:rPr>
          <w:rFonts w:ascii="Arial" w:hAnsi="Arial" w:cs="Arial"/>
          <w:sz w:val="17"/>
          <w:szCs w:val="17"/>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33EF4" w14:textId="77777777" w:rsidR="0037504D" w:rsidRDefault="009E5A81">
    <w:pPr>
      <w:pStyle w:val="Encabezado"/>
    </w:pPr>
    <w:r>
      <w:rPr>
        <w:noProof/>
        <w:lang w:val="es-ES_tradnl" w:eastAsia="es-ES_tradnl"/>
      </w:rPr>
      <w:drawing>
        <wp:anchor distT="0" distB="0" distL="114300" distR="114300" simplePos="0" relativeHeight="251659264" behindDoc="1" locked="0" layoutInCell="1" allowOverlap="1" wp14:anchorId="0F861BA6" wp14:editId="26DF773D">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FC50ED"/>
    <w:multiLevelType w:val="hybridMultilevel"/>
    <w:tmpl w:val="936AC914"/>
    <w:lvl w:ilvl="0" w:tplc="2380364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D84278F"/>
    <w:multiLevelType w:val="hybridMultilevel"/>
    <w:tmpl w:val="D10C7834"/>
    <w:lvl w:ilvl="0" w:tplc="6A6E75C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CF33F71"/>
    <w:multiLevelType w:val="hybridMultilevel"/>
    <w:tmpl w:val="9D14ACCC"/>
    <w:lvl w:ilvl="0" w:tplc="945E6F70">
      <w:start w:val="1"/>
      <w:numFmt w:val="decimal"/>
      <w:lvlText w:val="CLÁUSULA %1."/>
      <w:lvlJc w:val="left"/>
      <w:pPr>
        <w:ind w:left="1766" w:hanging="360"/>
      </w:pPr>
      <w:rPr>
        <w:rFonts w:ascii="Arial" w:hAnsi="Arial" w:cs="Arial" w:hint="default"/>
        <w:b/>
        <w:i w:val="0"/>
        <w:color w:val="000000"/>
        <w:sz w:val="20"/>
        <w:szCs w:val="20"/>
      </w:rPr>
    </w:lvl>
    <w:lvl w:ilvl="1" w:tplc="240A0019" w:tentative="1">
      <w:start w:val="1"/>
      <w:numFmt w:val="lowerLetter"/>
      <w:lvlText w:val="%2."/>
      <w:lvlJc w:val="left"/>
      <w:pPr>
        <w:ind w:left="2486" w:hanging="360"/>
      </w:pPr>
    </w:lvl>
    <w:lvl w:ilvl="2" w:tplc="240A001B" w:tentative="1">
      <w:start w:val="1"/>
      <w:numFmt w:val="lowerRoman"/>
      <w:lvlText w:val="%3."/>
      <w:lvlJc w:val="right"/>
      <w:pPr>
        <w:ind w:left="3206" w:hanging="180"/>
      </w:pPr>
    </w:lvl>
    <w:lvl w:ilvl="3" w:tplc="240A000F" w:tentative="1">
      <w:start w:val="1"/>
      <w:numFmt w:val="decimal"/>
      <w:lvlText w:val="%4."/>
      <w:lvlJc w:val="left"/>
      <w:pPr>
        <w:ind w:left="3926" w:hanging="360"/>
      </w:pPr>
    </w:lvl>
    <w:lvl w:ilvl="4" w:tplc="240A0019" w:tentative="1">
      <w:start w:val="1"/>
      <w:numFmt w:val="lowerLetter"/>
      <w:lvlText w:val="%5."/>
      <w:lvlJc w:val="left"/>
      <w:pPr>
        <w:ind w:left="4646" w:hanging="360"/>
      </w:pPr>
    </w:lvl>
    <w:lvl w:ilvl="5" w:tplc="240A001B" w:tentative="1">
      <w:start w:val="1"/>
      <w:numFmt w:val="lowerRoman"/>
      <w:lvlText w:val="%6."/>
      <w:lvlJc w:val="right"/>
      <w:pPr>
        <w:ind w:left="5366" w:hanging="180"/>
      </w:pPr>
    </w:lvl>
    <w:lvl w:ilvl="6" w:tplc="240A000F" w:tentative="1">
      <w:start w:val="1"/>
      <w:numFmt w:val="decimal"/>
      <w:lvlText w:val="%7."/>
      <w:lvlJc w:val="left"/>
      <w:pPr>
        <w:ind w:left="6086" w:hanging="360"/>
      </w:pPr>
    </w:lvl>
    <w:lvl w:ilvl="7" w:tplc="240A0019" w:tentative="1">
      <w:start w:val="1"/>
      <w:numFmt w:val="lowerLetter"/>
      <w:lvlText w:val="%8."/>
      <w:lvlJc w:val="left"/>
      <w:pPr>
        <w:ind w:left="6806" w:hanging="360"/>
      </w:pPr>
    </w:lvl>
    <w:lvl w:ilvl="8" w:tplc="240A001B" w:tentative="1">
      <w:start w:val="1"/>
      <w:numFmt w:val="lowerRoman"/>
      <w:lvlText w:val="%9."/>
      <w:lvlJc w:val="right"/>
      <w:pPr>
        <w:ind w:left="7526" w:hanging="180"/>
      </w:pPr>
    </w:lvl>
  </w:abstractNum>
  <w:abstractNum w:abstractNumId="4" w15:restartNumberingAfterBreak="0">
    <w:nsid w:val="55A323C6"/>
    <w:multiLevelType w:val="hybridMultilevel"/>
    <w:tmpl w:val="BE9A951A"/>
    <w:lvl w:ilvl="0" w:tplc="6046EF8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827621879">
    <w:abstractNumId w:val="0"/>
  </w:num>
  <w:num w:numId="2" w16cid:durableId="129325367">
    <w:abstractNumId w:val="3"/>
  </w:num>
  <w:num w:numId="3" w16cid:durableId="364868990">
    <w:abstractNumId w:val="2"/>
  </w:num>
  <w:num w:numId="4" w16cid:durableId="202522301">
    <w:abstractNumId w:val="1"/>
  </w:num>
  <w:num w:numId="5" w16cid:durableId="12320804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8DF"/>
    <w:rsid w:val="00034531"/>
    <w:rsid w:val="00056100"/>
    <w:rsid w:val="00070B9B"/>
    <w:rsid w:val="00074A9B"/>
    <w:rsid w:val="0008396F"/>
    <w:rsid w:val="00097633"/>
    <w:rsid w:val="000E180A"/>
    <w:rsid w:val="00100418"/>
    <w:rsid w:val="001153E8"/>
    <w:rsid w:val="00117EEB"/>
    <w:rsid w:val="001211ED"/>
    <w:rsid w:val="001425C6"/>
    <w:rsid w:val="00165788"/>
    <w:rsid w:val="001666CA"/>
    <w:rsid w:val="00170E59"/>
    <w:rsid w:val="001812AD"/>
    <w:rsid w:val="00181A0F"/>
    <w:rsid w:val="001A5C14"/>
    <w:rsid w:val="001A72F9"/>
    <w:rsid w:val="001B53C2"/>
    <w:rsid w:val="001C366F"/>
    <w:rsid w:val="001E29A1"/>
    <w:rsid w:val="00203833"/>
    <w:rsid w:val="00320EA0"/>
    <w:rsid w:val="00331AC2"/>
    <w:rsid w:val="00367882"/>
    <w:rsid w:val="003C05E6"/>
    <w:rsid w:val="003C38DF"/>
    <w:rsid w:val="003D3534"/>
    <w:rsid w:val="00414B9B"/>
    <w:rsid w:val="004315FB"/>
    <w:rsid w:val="00467107"/>
    <w:rsid w:val="004D4C7B"/>
    <w:rsid w:val="0052231D"/>
    <w:rsid w:val="00545972"/>
    <w:rsid w:val="005A3892"/>
    <w:rsid w:val="00651121"/>
    <w:rsid w:val="00653BEB"/>
    <w:rsid w:val="006A5152"/>
    <w:rsid w:val="006C4E34"/>
    <w:rsid w:val="00712BC1"/>
    <w:rsid w:val="0076494C"/>
    <w:rsid w:val="00784CE8"/>
    <w:rsid w:val="007974AA"/>
    <w:rsid w:val="007B4C94"/>
    <w:rsid w:val="0081173C"/>
    <w:rsid w:val="00831881"/>
    <w:rsid w:val="00831A4A"/>
    <w:rsid w:val="00835CA7"/>
    <w:rsid w:val="008C06DD"/>
    <w:rsid w:val="008C2D27"/>
    <w:rsid w:val="008D14E4"/>
    <w:rsid w:val="00905DE2"/>
    <w:rsid w:val="00932DDC"/>
    <w:rsid w:val="00982EC8"/>
    <w:rsid w:val="009D7367"/>
    <w:rsid w:val="009E5A81"/>
    <w:rsid w:val="00A6503C"/>
    <w:rsid w:val="00A673D0"/>
    <w:rsid w:val="00A84A75"/>
    <w:rsid w:val="00AF5942"/>
    <w:rsid w:val="00BE25BF"/>
    <w:rsid w:val="00C130D4"/>
    <w:rsid w:val="00C24DE8"/>
    <w:rsid w:val="00C26B82"/>
    <w:rsid w:val="00CC4F8D"/>
    <w:rsid w:val="00CF5EE9"/>
    <w:rsid w:val="00D272EB"/>
    <w:rsid w:val="00D518C2"/>
    <w:rsid w:val="00D64D59"/>
    <w:rsid w:val="00D924BE"/>
    <w:rsid w:val="00DC259D"/>
    <w:rsid w:val="00DC4AAF"/>
    <w:rsid w:val="00E003E8"/>
    <w:rsid w:val="00E22AB1"/>
    <w:rsid w:val="00E31BC2"/>
    <w:rsid w:val="00E4303C"/>
    <w:rsid w:val="00E5372C"/>
    <w:rsid w:val="00E92E28"/>
    <w:rsid w:val="00EC1D61"/>
    <w:rsid w:val="00EE07C2"/>
    <w:rsid w:val="00F0599F"/>
    <w:rsid w:val="00F14B44"/>
    <w:rsid w:val="00F15D59"/>
    <w:rsid w:val="00F270B1"/>
    <w:rsid w:val="00F362E5"/>
    <w:rsid w:val="00F62AC6"/>
    <w:rsid w:val="00F636EA"/>
    <w:rsid w:val="00FB2528"/>
    <w:rsid w:val="00FB347B"/>
    <w:rsid w:val="00FB43C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79CBE"/>
  <w15:chartTrackingRefBased/>
  <w15:docId w15:val="{5162F0BE-6CFC-4DAE-A4F9-E4193CD5F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C38D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C38DF"/>
  </w:style>
  <w:style w:type="paragraph" w:styleId="Piedepgina">
    <w:name w:val="footer"/>
    <w:basedOn w:val="Normal"/>
    <w:link w:val="PiedepginaCar"/>
    <w:uiPriority w:val="99"/>
    <w:unhideWhenUsed/>
    <w:rsid w:val="003C38D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C38DF"/>
  </w:style>
  <w:style w:type="paragraph" w:styleId="NormalWeb">
    <w:name w:val="Normal (Web)"/>
    <w:basedOn w:val="Normal"/>
    <w:uiPriority w:val="99"/>
    <w:semiHidden/>
    <w:unhideWhenUsed/>
    <w:rsid w:val="003C38DF"/>
    <w:rPr>
      <w:rFonts w:ascii="Times New Roman" w:hAnsi="Times New Roman" w:cs="Times New Roman"/>
      <w:sz w:val="24"/>
      <w:szCs w:val="24"/>
    </w:rPr>
  </w:style>
  <w:style w:type="table" w:styleId="Tablaconcuadrcula">
    <w:name w:val="Table Grid"/>
    <w:basedOn w:val="Tablanormal"/>
    <w:uiPriority w:val="59"/>
    <w:qFormat/>
    <w:rsid w:val="003C38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uiPriority w:val="1"/>
    <w:qFormat/>
    <w:rsid w:val="003C38DF"/>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C38D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3C38DF"/>
    <w:pPr>
      <w:spacing w:after="0" w:line="240" w:lineRule="auto"/>
    </w:pPr>
    <w:rPr>
      <w:sz w:val="20"/>
      <w:szCs w:val="20"/>
      <w:lang w:val="es-MX"/>
    </w:rPr>
  </w:style>
  <w:style w:type="character" w:customStyle="1" w:styleId="TextonotapieCar1">
    <w:name w:val="Texto nota pie Car1"/>
    <w:basedOn w:val="Fuentedeprrafopredeter"/>
    <w:uiPriority w:val="99"/>
    <w:semiHidden/>
    <w:rsid w:val="003C38DF"/>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3C38DF"/>
    <w:rPr>
      <w:vertAlign w:val="superscript"/>
    </w:rPr>
  </w:style>
  <w:style w:type="paragraph" w:customStyle="1" w:styleId="Default">
    <w:name w:val="Default"/>
    <w:rsid w:val="003C38DF"/>
    <w:pPr>
      <w:autoSpaceDE w:val="0"/>
      <w:autoSpaceDN w:val="0"/>
      <w:adjustRightInd w:val="0"/>
      <w:spacing w:after="0" w:line="240" w:lineRule="auto"/>
    </w:pPr>
    <w:rPr>
      <w:rFonts w:ascii="Arial" w:hAnsi="Arial" w:cs="Arial"/>
      <w:color w:val="000000"/>
      <w:sz w:val="24"/>
      <w:szCs w:val="24"/>
    </w:rPr>
  </w:style>
  <w:style w:type="paragraph" w:customStyle="1" w:styleId="Appelnotedebasde">
    <w:name w:val="Appel note de bas de..."/>
    <w:basedOn w:val="Normal"/>
    <w:link w:val="Refdenotaalpie"/>
    <w:uiPriority w:val="99"/>
    <w:rsid w:val="003C38DF"/>
    <w:pPr>
      <w:spacing w:line="240" w:lineRule="exact"/>
    </w:pPr>
    <w:rPr>
      <w:vertAlign w:val="superscript"/>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F362E5"/>
    <w:pPr>
      <w:ind w:left="720"/>
      <w:contextualSpacing/>
    </w:pPr>
  </w:style>
  <w:style w:type="character" w:customStyle="1" w:styleId="normaltextrun">
    <w:name w:val="normaltextrun"/>
    <w:basedOn w:val="Fuentedeprrafopredeter"/>
    <w:rsid w:val="00DC259D"/>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C259D"/>
  </w:style>
  <w:style w:type="character" w:styleId="Hipervnculo">
    <w:name w:val="Hyperlink"/>
    <w:basedOn w:val="Fuentedeprrafopredeter"/>
    <w:uiPriority w:val="99"/>
    <w:unhideWhenUsed/>
    <w:rsid w:val="00DC259D"/>
    <w:rPr>
      <w:color w:val="0563C1" w:themeColor="hyperlink"/>
      <w:u w:val="single"/>
    </w:rPr>
  </w:style>
  <w:style w:type="paragraph" w:styleId="Revisin">
    <w:name w:val="Revision"/>
    <w:hidden/>
    <w:uiPriority w:val="99"/>
    <w:semiHidden/>
    <w:rsid w:val="00831A4A"/>
    <w:pPr>
      <w:spacing w:after="0" w:line="240" w:lineRule="auto"/>
    </w:pPr>
  </w:style>
  <w:style w:type="character" w:styleId="Refdecomentario">
    <w:name w:val="annotation reference"/>
    <w:basedOn w:val="Fuentedeprrafopredeter"/>
    <w:uiPriority w:val="99"/>
    <w:semiHidden/>
    <w:unhideWhenUsed/>
    <w:rsid w:val="00056100"/>
    <w:rPr>
      <w:sz w:val="16"/>
      <w:szCs w:val="16"/>
    </w:rPr>
  </w:style>
  <w:style w:type="paragraph" w:styleId="Textocomentario">
    <w:name w:val="annotation text"/>
    <w:basedOn w:val="Normal"/>
    <w:link w:val="TextocomentarioCar"/>
    <w:uiPriority w:val="99"/>
    <w:unhideWhenUsed/>
    <w:rsid w:val="00056100"/>
    <w:pPr>
      <w:spacing w:line="240" w:lineRule="auto"/>
    </w:pPr>
    <w:rPr>
      <w:sz w:val="20"/>
      <w:szCs w:val="20"/>
    </w:rPr>
  </w:style>
  <w:style w:type="character" w:customStyle="1" w:styleId="TextocomentarioCar">
    <w:name w:val="Texto comentario Car"/>
    <w:basedOn w:val="Fuentedeprrafopredeter"/>
    <w:link w:val="Textocomentario"/>
    <w:uiPriority w:val="99"/>
    <w:rsid w:val="00056100"/>
    <w:rPr>
      <w:sz w:val="20"/>
      <w:szCs w:val="20"/>
    </w:rPr>
  </w:style>
  <w:style w:type="paragraph" w:styleId="Asuntodelcomentario">
    <w:name w:val="annotation subject"/>
    <w:basedOn w:val="Textocomentario"/>
    <w:next w:val="Textocomentario"/>
    <w:link w:val="AsuntodelcomentarioCar"/>
    <w:uiPriority w:val="99"/>
    <w:semiHidden/>
    <w:unhideWhenUsed/>
    <w:rsid w:val="00056100"/>
    <w:rPr>
      <w:b/>
      <w:bCs/>
    </w:rPr>
  </w:style>
  <w:style w:type="character" w:customStyle="1" w:styleId="AsuntodelcomentarioCar">
    <w:name w:val="Asunto del comentario Car"/>
    <w:basedOn w:val="TextocomentarioCar"/>
    <w:link w:val="Asuntodelcomentario"/>
    <w:uiPriority w:val="99"/>
    <w:semiHidden/>
    <w:rsid w:val="0005610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D66EF8B-3454-4AAD-BAB3-17930AAE68ED}">
  <ds:schemaRefs>
    <ds:schemaRef ds:uri="http://schemas.openxmlformats.org/officeDocument/2006/bibliography"/>
  </ds:schemaRefs>
</ds:datastoreItem>
</file>

<file path=customXml/itemProps2.xml><?xml version="1.0" encoding="utf-8"?>
<ds:datastoreItem xmlns:ds="http://schemas.openxmlformats.org/officeDocument/2006/customXml" ds:itemID="{1CA6D9AB-DF7D-41DD-93CB-EF22E7B8E118}"/>
</file>

<file path=customXml/itemProps3.xml><?xml version="1.0" encoding="utf-8"?>
<ds:datastoreItem xmlns:ds="http://schemas.openxmlformats.org/officeDocument/2006/customXml" ds:itemID="{730CE7B1-EFFD-4FB9-93C4-842B5AF513D3}"/>
</file>

<file path=customXml/itemProps4.xml><?xml version="1.0" encoding="utf-8"?>
<ds:datastoreItem xmlns:ds="http://schemas.openxmlformats.org/officeDocument/2006/customXml" ds:itemID="{6BE1787C-7642-43F9-A2D3-03F22773DE44}"/>
</file>

<file path=docProps/app.xml><?xml version="1.0" encoding="utf-8"?>
<Properties xmlns="http://schemas.openxmlformats.org/officeDocument/2006/extended-properties" xmlns:vt="http://schemas.openxmlformats.org/officeDocument/2006/docPropsVTypes">
  <Template>Normal</Template>
  <TotalTime>5</TotalTime>
  <Pages>13</Pages>
  <Words>4815</Words>
  <Characters>26484</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Carlos Mario Castrillón Endo</cp:lastModifiedBy>
  <cp:revision>3</cp:revision>
  <dcterms:created xsi:type="dcterms:W3CDTF">2022-08-29T17:23:00Z</dcterms:created>
  <dcterms:modified xsi:type="dcterms:W3CDTF">2022-08-29T17:26:00Z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