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FE3BA" w14:textId="77777777" w:rsidR="006B4D51" w:rsidRPr="00D67C1A" w:rsidRDefault="006B4D51" w:rsidP="006B4D51">
      <w:pPr>
        <w:widowControl w:val="0"/>
        <w:autoSpaceDE w:val="0"/>
        <w:autoSpaceDN w:val="0"/>
        <w:rPr>
          <w:rFonts w:ascii="Arial" w:eastAsia="Calibri" w:hAnsi="Arial" w:cs="Arial"/>
          <w:sz w:val="20"/>
          <w:szCs w:val="20"/>
        </w:rPr>
      </w:pPr>
      <w:bookmarkStart w:id="0" w:name="_Hlk112833520"/>
    </w:p>
    <w:p w14:paraId="0CC01B6F" w14:textId="77777777" w:rsidR="006B4D51" w:rsidRPr="00D67C1A" w:rsidRDefault="006B4D51" w:rsidP="006B4D51">
      <w:pPr>
        <w:jc w:val="both"/>
        <w:rPr>
          <w:rFonts w:ascii="Arial" w:eastAsia="Calibri" w:hAnsi="Arial" w:cs="Arial"/>
          <w:b/>
          <w:sz w:val="22"/>
          <w:lang w:val="es-ES_tradnl"/>
        </w:rPr>
      </w:pPr>
      <w:r w:rsidRPr="00D67C1A">
        <w:rPr>
          <w:rFonts w:ascii="Arial" w:eastAsia="Calibri" w:hAnsi="Arial" w:cs="Arial"/>
          <w:b/>
          <w:sz w:val="22"/>
        </w:rPr>
        <w:t xml:space="preserve">DOCUMENTOS TIPO – Formulario 1 – Presupuesto Oficial – Propuesta económica </w:t>
      </w:r>
    </w:p>
    <w:p w14:paraId="40E92207" w14:textId="77777777" w:rsidR="006B4D51" w:rsidRPr="006B4D51" w:rsidRDefault="006B4D51" w:rsidP="006B4D51">
      <w:pPr>
        <w:jc w:val="both"/>
        <w:rPr>
          <w:rFonts w:ascii="Arial" w:eastAsia="Calibri" w:hAnsi="Arial" w:cs="Arial"/>
          <w:color w:val="000000"/>
          <w:sz w:val="20"/>
          <w:szCs w:val="20"/>
        </w:rPr>
      </w:pPr>
    </w:p>
    <w:p w14:paraId="69CA3F66" w14:textId="70FF79F3" w:rsidR="006370B0" w:rsidRDefault="006370B0" w:rsidP="006370B0">
      <w:pPr>
        <w:jc w:val="both"/>
        <w:rPr>
          <w:rFonts w:ascii="Arial" w:eastAsia="Calibri" w:hAnsi="Arial" w:cs="Arial"/>
          <w:color w:val="000000"/>
          <w:sz w:val="20"/>
          <w:szCs w:val="20"/>
        </w:rPr>
      </w:pPr>
      <w:r w:rsidRPr="006370B0">
        <w:rPr>
          <w:rFonts w:ascii="Arial" w:eastAsia="Calibri" w:hAnsi="Arial" w:cs="Arial"/>
          <w:color w:val="000000"/>
          <w:sz w:val="20"/>
          <w:szCs w:val="20"/>
        </w:rPr>
        <w:t xml:space="preserve">Los documentos tipo para los procesos de licitación pública, menor cuantía y mínima cuantía de infraestructura de transporte, contemplan el «Formulario 1 - Formulario de Presupuesto Oficial», empleado por la entidad para elaborar y presentar el presupuesto oficial, y mediante el cual el proponente estructura la oferta económica. </w:t>
      </w:r>
    </w:p>
    <w:p w14:paraId="13F64A0E" w14:textId="77777777" w:rsidR="006370B0" w:rsidRPr="006370B0" w:rsidRDefault="006370B0" w:rsidP="006370B0">
      <w:pPr>
        <w:jc w:val="both"/>
        <w:rPr>
          <w:rFonts w:ascii="Arial" w:eastAsia="Calibri" w:hAnsi="Arial" w:cs="Arial"/>
          <w:color w:val="000000"/>
          <w:sz w:val="20"/>
          <w:szCs w:val="20"/>
        </w:rPr>
      </w:pPr>
    </w:p>
    <w:p w14:paraId="0EEF1AF4" w14:textId="6A83A86A" w:rsidR="006370B0" w:rsidRDefault="006370B0" w:rsidP="006370B0">
      <w:pPr>
        <w:jc w:val="both"/>
        <w:rPr>
          <w:rFonts w:ascii="Arial" w:eastAsia="Calibri" w:hAnsi="Arial" w:cs="Arial"/>
          <w:color w:val="000000"/>
          <w:sz w:val="20"/>
          <w:szCs w:val="20"/>
        </w:rPr>
      </w:pPr>
      <w:r w:rsidRPr="006370B0">
        <w:rPr>
          <w:rFonts w:ascii="Arial" w:eastAsia="Calibri" w:hAnsi="Arial" w:cs="Arial"/>
          <w:color w:val="000000"/>
          <w:sz w:val="20"/>
          <w:szCs w:val="20"/>
        </w:rPr>
        <w:t xml:space="preserve">Este formulario lo prepara la entidad en la etapa de planeación y le permite definir el valor oficial estimado del proceso de contratación. Por tanto, las entidades estatales para su elaboración deben tener en cuenta diferentes </w:t>
      </w:r>
      <w:proofErr w:type="gramStart"/>
      <w:r w:rsidRPr="006370B0">
        <w:rPr>
          <w:rFonts w:ascii="Arial" w:eastAsia="Calibri" w:hAnsi="Arial" w:cs="Arial"/>
          <w:color w:val="000000"/>
          <w:sz w:val="20"/>
          <w:szCs w:val="20"/>
        </w:rPr>
        <w:t>variables ,</w:t>
      </w:r>
      <w:proofErr w:type="gramEnd"/>
      <w:r w:rsidRPr="006370B0">
        <w:rPr>
          <w:rFonts w:ascii="Arial" w:eastAsia="Calibri" w:hAnsi="Arial" w:cs="Arial"/>
          <w:color w:val="000000"/>
          <w:sz w:val="20"/>
          <w:szCs w:val="20"/>
        </w:rPr>
        <w:t xml:space="preserve"> como el objeto, alcance, obras a ejecutar, actividades, cantidades, particularidades de la zona de ejecución del proyecto, disponibilidad y distancia de fuentes de materiales, entre otros.</w:t>
      </w:r>
    </w:p>
    <w:p w14:paraId="57E0E697" w14:textId="77777777" w:rsidR="006370B0" w:rsidRPr="006370B0" w:rsidRDefault="006370B0" w:rsidP="006370B0">
      <w:pPr>
        <w:jc w:val="both"/>
        <w:rPr>
          <w:rFonts w:ascii="Arial" w:eastAsia="Calibri" w:hAnsi="Arial" w:cs="Arial"/>
          <w:color w:val="000000"/>
          <w:sz w:val="20"/>
          <w:szCs w:val="20"/>
        </w:rPr>
      </w:pPr>
    </w:p>
    <w:p w14:paraId="72D37CE0" w14:textId="00C200CB" w:rsidR="006B4D51" w:rsidRDefault="006370B0" w:rsidP="006370B0">
      <w:pPr>
        <w:jc w:val="both"/>
        <w:rPr>
          <w:rFonts w:ascii="Arial" w:eastAsia="Calibri" w:hAnsi="Arial" w:cs="Arial"/>
          <w:color w:val="000000"/>
          <w:sz w:val="20"/>
          <w:szCs w:val="20"/>
        </w:rPr>
      </w:pPr>
      <w:r w:rsidRPr="006370B0">
        <w:rPr>
          <w:rFonts w:ascii="Arial" w:eastAsia="Calibri" w:hAnsi="Arial" w:cs="Arial"/>
          <w:color w:val="000000"/>
          <w:sz w:val="20"/>
          <w:szCs w:val="20"/>
        </w:rPr>
        <w:t xml:space="preserve">En los documentos tipo para los procesos de licitación pública, menor cuantía y mínima cuantía de obra de infraestructura de transporte el «Formulario 1 – Formulario de Presupuesto Oficial» tiene dos connotaciones: i) por un lado, es el formulario sobre el cual la entidad estructura y presenta el presupuesto oficial del procedimiento de contratación; y </w:t>
      </w:r>
      <w:proofErr w:type="spellStart"/>
      <w:r w:rsidRPr="006370B0">
        <w:rPr>
          <w:rFonts w:ascii="Arial" w:eastAsia="Calibri" w:hAnsi="Arial" w:cs="Arial"/>
          <w:color w:val="000000"/>
          <w:sz w:val="20"/>
          <w:szCs w:val="20"/>
        </w:rPr>
        <w:t>ii</w:t>
      </w:r>
      <w:proofErr w:type="spellEnd"/>
      <w:r w:rsidRPr="006370B0">
        <w:rPr>
          <w:rFonts w:ascii="Arial" w:eastAsia="Calibri" w:hAnsi="Arial" w:cs="Arial"/>
          <w:color w:val="000000"/>
          <w:sz w:val="20"/>
          <w:szCs w:val="20"/>
        </w:rPr>
        <w:t>)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2DA50D8A" w14:textId="30053DE7" w:rsidR="005B4BC1" w:rsidRDefault="005B4BC1" w:rsidP="006370B0">
      <w:pPr>
        <w:jc w:val="both"/>
        <w:rPr>
          <w:rFonts w:ascii="Arial" w:eastAsia="Calibri" w:hAnsi="Arial" w:cs="Arial"/>
          <w:color w:val="000000"/>
          <w:sz w:val="20"/>
          <w:szCs w:val="20"/>
        </w:rPr>
      </w:pPr>
    </w:p>
    <w:p w14:paraId="5C09EE23" w14:textId="77777777" w:rsidR="002C73F8" w:rsidRPr="00D67C1A" w:rsidRDefault="002C73F8" w:rsidP="006370B0">
      <w:pPr>
        <w:jc w:val="both"/>
        <w:rPr>
          <w:rFonts w:ascii="Arial" w:eastAsia="Calibri" w:hAnsi="Arial" w:cs="Arial"/>
          <w:sz w:val="20"/>
          <w:szCs w:val="20"/>
          <w:lang w:val="es-ES"/>
        </w:rPr>
      </w:pPr>
    </w:p>
    <w:p w14:paraId="366A841A" w14:textId="33F78581" w:rsidR="006B4D51" w:rsidRPr="001E4041" w:rsidRDefault="006B4D51" w:rsidP="006B4D51">
      <w:pPr>
        <w:jc w:val="both"/>
        <w:rPr>
          <w:rFonts w:ascii="Arial" w:eastAsia="Calibri" w:hAnsi="Arial" w:cs="Arial"/>
          <w:b/>
          <w:bCs/>
          <w:sz w:val="22"/>
        </w:rPr>
      </w:pPr>
      <w:r w:rsidRPr="001E4041">
        <w:rPr>
          <w:rFonts w:ascii="Arial" w:eastAsia="Calibri" w:hAnsi="Arial" w:cs="Arial"/>
          <w:b/>
          <w:bCs/>
          <w:sz w:val="22"/>
        </w:rPr>
        <w:t xml:space="preserve">CAUSAL DE RECHAZO </w:t>
      </w:r>
      <w:r w:rsidR="009C0BF2">
        <w:rPr>
          <w:rFonts w:ascii="Arial" w:eastAsia="Calibri" w:hAnsi="Arial" w:cs="Arial"/>
          <w:b/>
          <w:bCs/>
          <w:sz w:val="22"/>
        </w:rPr>
        <w:t xml:space="preserve">- </w:t>
      </w:r>
      <w:r w:rsidRPr="001E4041">
        <w:rPr>
          <w:rFonts w:ascii="Arial" w:eastAsia="Calibri" w:hAnsi="Arial" w:cs="Arial"/>
          <w:b/>
          <w:bCs/>
          <w:sz w:val="22"/>
        </w:rPr>
        <w:t xml:space="preserve">LITERAL W – </w:t>
      </w:r>
      <w:r w:rsidR="004E0D27">
        <w:rPr>
          <w:rFonts w:ascii="Arial" w:eastAsia="Calibri" w:hAnsi="Arial" w:cs="Arial"/>
          <w:b/>
          <w:bCs/>
          <w:sz w:val="22"/>
        </w:rPr>
        <w:t>Configuración - Aplicabilidad</w:t>
      </w:r>
      <w:r w:rsidRPr="001E4041">
        <w:rPr>
          <w:rFonts w:ascii="Arial" w:eastAsia="Calibri" w:hAnsi="Arial" w:cs="Arial"/>
          <w:b/>
          <w:bCs/>
          <w:sz w:val="22"/>
        </w:rPr>
        <w:t xml:space="preserve"> </w:t>
      </w:r>
    </w:p>
    <w:p w14:paraId="2F5AB47C" w14:textId="77777777" w:rsidR="006B4D51" w:rsidRPr="00D67C1A" w:rsidRDefault="006B4D51" w:rsidP="006B4D51">
      <w:pPr>
        <w:jc w:val="both"/>
        <w:rPr>
          <w:rFonts w:ascii="Arial" w:eastAsia="Calibri" w:hAnsi="Arial" w:cs="Arial"/>
          <w:sz w:val="20"/>
          <w:szCs w:val="20"/>
        </w:rPr>
      </w:pPr>
    </w:p>
    <w:p w14:paraId="27E379FA" w14:textId="77777777" w:rsidR="00912D45" w:rsidRPr="00D8410E" w:rsidRDefault="00433B5E" w:rsidP="00912D45">
      <w:pPr>
        <w:tabs>
          <w:tab w:val="left" w:pos="709"/>
          <w:tab w:val="left" w:pos="851"/>
        </w:tabs>
        <w:spacing w:after="120" w:line="276" w:lineRule="auto"/>
        <w:jc w:val="both"/>
        <w:rPr>
          <w:rFonts w:ascii="Arial" w:eastAsia="Calibri" w:hAnsi="Arial" w:cs="Arial"/>
          <w:color w:val="000000"/>
          <w:sz w:val="20"/>
          <w:szCs w:val="20"/>
        </w:rPr>
      </w:pPr>
      <w:r w:rsidRPr="00433B5E">
        <w:rPr>
          <w:rFonts w:ascii="Arial" w:eastAsia="Calibri" w:hAnsi="Arial" w:cs="Arial"/>
          <w:color w:val="000000"/>
          <w:sz w:val="20"/>
          <w:szCs w:val="20"/>
        </w:rPr>
        <w:t>[…]</w:t>
      </w:r>
      <w:r w:rsidR="006B4D51" w:rsidRPr="00433B5E">
        <w:rPr>
          <w:rFonts w:ascii="Arial" w:eastAsia="Calibri" w:hAnsi="Arial" w:cs="Arial"/>
          <w:color w:val="000000"/>
          <w:sz w:val="20"/>
          <w:szCs w:val="20"/>
        </w:rPr>
        <w:t xml:space="preserve"> </w:t>
      </w:r>
      <w:r w:rsidR="00912D45" w:rsidRPr="00D8410E">
        <w:rPr>
          <w:rFonts w:ascii="Arial" w:eastAsia="Calibri" w:hAnsi="Arial" w:cs="Arial"/>
          <w:color w:val="000000"/>
          <w:sz w:val="20"/>
          <w:szCs w:val="20"/>
        </w:rPr>
        <w:t xml:space="preserve">En efecto el literal W establece que se constituye como causal de rechazo «Presentar más de una oferta económica con valores distintos en el Sobre 2». Conforme se desprende de este supuesto de hecho, esta causal sanciona con el rechazo a los proponentes que presenten varias ofertas económicas con valores distintos. En ese sentido, para que se configure la causal es necesario que, una vez abierto el sobre contentivo de la oferta económica, la entidad verifique que el proponente incluyó más de una oferta económica, y que las mismas tienen valores distintos.  Conforme a esto, siendo la segunda hoja del Formulario 1 el documento mediante el cual se debe presentar la oferta económica, la causal claramente se configura en aquellos casos en que el proponente presente varias de estos documentos en el sobre No. 2, con valores discordantes. </w:t>
      </w:r>
    </w:p>
    <w:p w14:paraId="20585CB9" w14:textId="2DF739DC" w:rsidR="006B4D51" w:rsidRPr="00D8410E" w:rsidRDefault="00AA40F4" w:rsidP="00912D45">
      <w:pPr>
        <w:tabs>
          <w:tab w:val="left" w:pos="709"/>
        </w:tabs>
        <w:spacing w:before="120" w:after="120"/>
        <w:jc w:val="both"/>
        <w:rPr>
          <w:rFonts w:ascii="Arial" w:eastAsia="Calibri" w:hAnsi="Arial" w:cs="Arial"/>
          <w:color w:val="000000"/>
          <w:sz w:val="20"/>
          <w:szCs w:val="20"/>
        </w:rPr>
      </w:pPr>
      <w:r w:rsidRPr="00D8410E">
        <w:rPr>
          <w:rFonts w:ascii="Arial" w:eastAsia="Calibri" w:hAnsi="Arial" w:cs="Arial"/>
          <w:color w:val="000000"/>
          <w:sz w:val="20"/>
          <w:szCs w:val="20"/>
        </w:rPr>
        <w:t xml:space="preserve">Debe destacarse que la causal del literal W es aplicable tanto en los procedimientos adelantados en medio físico con publicidad en el SECOP I, como en los adelantados de manera electrónica a través del SECOP II. En ese sentido, teniendo en cuenta que en los procesos adelantados en esta última versión de la plataforma la conformación del sobre No. 2 se realiza de manera virtual, para explicar el alcance de la referida causal respecto del supuesto que es objeto de la consulta, se hace necesario tener en cuenta algunas de las reglas establecidas en los numeral 2.3 y 2.3.2 del Documento Base, con relación a </w:t>
      </w:r>
      <w:proofErr w:type="gramStart"/>
      <w:r w:rsidRPr="00D8410E">
        <w:rPr>
          <w:rFonts w:ascii="Arial" w:eastAsia="Calibri" w:hAnsi="Arial" w:cs="Arial"/>
          <w:color w:val="000000"/>
          <w:sz w:val="20"/>
          <w:szCs w:val="20"/>
        </w:rPr>
        <w:t>la  presentación</w:t>
      </w:r>
      <w:proofErr w:type="gramEnd"/>
      <w:r w:rsidRPr="00D8410E">
        <w:rPr>
          <w:rFonts w:ascii="Arial" w:eastAsia="Calibri" w:hAnsi="Arial" w:cs="Arial"/>
          <w:color w:val="000000"/>
          <w:sz w:val="20"/>
          <w:szCs w:val="20"/>
        </w:rPr>
        <w:t xml:space="preserve"> de la propuesta. En estos numerales se contemplan unas reglas alternativas, unas de las cuales son aplicables a los procedimientos adelantados en medio físico –aquellos que deben ser publicados en el SECOP I– y otras para los procesos adelantados de manera transaccional a través del SECOP II.</w:t>
      </w:r>
    </w:p>
    <w:p w14:paraId="007378E8" w14:textId="68F20770" w:rsidR="004E0D27" w:rsidRDefault="004E0D27" w:rsidP="00912D45">
      <w:pPr>
        <w:tabs>
          <w:tab w:val="left" w:pos="709"/>
        </w:tabs>
        <w:spacing w:before="120" w:after="120"/>
        <w:jc w:val="both"/>
        <w:rPr>
          <w:rFonts w:ascii="Arial" w:eastAsia="Calibri" w:hAnsi="Arial" w:cs="Arial"/>
          <w:color w:val="000000"/>
          <w:sz w:val="22"/>
        </w:rPr>
      </w:pPr>
    </w:p>
    <w:p w14:paraId="28144582" w14:textId="2B3E8C6D" w:rsidR="004E0D27" w:rsidRDefault="004E0D27" w:rsidP="00912D45">
      <w:pPr>
        <w:tabs>
          <w:tab w:val="left" w:pos="709"/>
        </w:tabs>
        <w:spacing w:before="120" w:after="120"/>
        <w:jc w:val="both"/>
        <w:rPr>
          <w:rFonts w:ascii="Arial" w:eastAsia="Calibri" w:hAnsi="Arial" w:cs="Arial"/>
          <w:b/>
          <w:bCs/>
          <w:sz w:val="22"/>
        </w:rPr>
      </w:pPr>
      <w:r w:rsidRPr="001E4041">
        <w:rPr>
          <w:rFonts w:ascii="Arial" w:eastAsia="Calibri" w:hAnsi="Arial" w:cs="Arial"/>
          <w:b/>
          <w:bCs/>
          <w:sz w:val="22"/>
        </w:rPr>
        <w:lastRenderedPageBreak/>
        <w:t xml:space="preserve">LITERAL W – </w:t>
      </w:r>
      <w:r>
        <w:rPr>
          <w:rFonts w:ascii="Arial" w:eastAsia="Calibri" w:hAnsi="Arial" w:cs="Arial"/>
          <w:b/>
          <w:bCs/>
          <w:sz w:val="22"/>
        </w:rPr>
        <w:t>Configuración – SECOP II</w:t>
      </w:r>
      <w:r w:rsidR="00D8410E">
        <w:rPr>
          <w:rFonts w:ascii="Arial" w:eastAsia="Calibri" w:hAnsi="Arial" w:cs="Arial"/>
          <w:b/>
          <w:bCs/>
          <w:sz w:val="22"/>
        </w:rPr>
        <w:t xml:space="preserve"> – Procesos de selección cobijados por documentos tipo llevados a cabo por la plataforma del </w:t>
      </w:r>
      <w:proofErr w:type="spellStart"/>
      <w:r w:rsidR="00D8410E">
        <w:rPr>
          <w:rFonts w:ascii="Arial" w:eastAsia="Calibri" w:hAnsi="Arial" w:cs="Arial"/>
          <w:b/>
          <w:bCs/>
          <w:sz w:val="22"/>
        </w:rPr>
        <w:t>Secop</w:t>
      </w:r>
      <w:proofErr w:type="spellEnd"/>
      <w:r w:rsidR="00D8410E">
        <w:rPr>
          <w:rFonts w:ascii="Arial" w:eastAsia="Calibri" w:hAnsi="Arial" w:cs="Arial"/>
          <w:b/>
          <w:bCs/>
          <w:sz w:val="22"/>
        </w:rPr>
        <w:t xml:space="preserve"> I</w:t>
      </w:r>
      <w:r w:rsidR="001B58A0">
        <w:rPr>
          <w:rFonts w:ascii="Arial" w:eastAsia="Calibri" w:hAnsi="Arial" w:cs="Arial"/>
          <w:b/>
          <w:bCs/>
          <w:sz w:val="22"/>
        </w:rPr>
        <w:t>I</w:t>
      </w:r>
    </w:p>
    <w:p w14:paraId="199E09A4" w14:textId="77777777" w:rsidR="001B58A0" w:rsidRDefault="001B58A0" w:rsidP="00912D45">
      <w:pPr>
        <w:tabs>
          <w:tab w:val="left" w:pos="709"/>
        </w:tabs>
        <w:spacing w:before="120" w:after="120"/>
        <w:jc w:val="both"/>
        <w:rPr>
          <w:rFonts w:ascii="Arial" w:eastAsia="Calibri" w:hAnsi="Arial" w:cs="Arial"/>
          <w:b/>
          <w:bCs/>
          <w:sz w:val="22"/>
        </w:rPr>
      </w:pPr>
    </w:p>
    <w:p w14:paraId="206C8B5F" w14:textId="4F736E61" w:rsidR="007E58C0" w:rsidRPr="00D8410E" w:rsidRDefault="007E58C0" w:rsidP="00D8410E">
      <w:pPr>
        <w:tabs>
          <w:tab w:val="left" w:pos="709"/>
          <w:tab w:val="left" w:pos="851"/>
        </w:tabs>
        <w:spacing w:after="120" w:line="276" w:lineRule="auto"/>
        <w:jc w:val="both"/>
        <w:rPr>
          <w:rFonts w:ascii="Arial" w:eastAsia="Calibri" w:hAnsi="Arial" w:cs="Arial"/>
          <w:color w:val="000000"/>
          <w:sz w:val="20"/>
          <w:szCs w:val="20"/>
        </w:rPr>
      </w:pPr>
      <w:r w:rsidRPr="00D8410E">
        <w:rPr>
          <w:rFonts w:ascii="Arial" w:eastAsia="Calibri" w:hAnsi="Arial" w:cs="Arial"/>
          <w:color w:val="000000"/>
          <w:sz w:val="20"/>
          <w:szCs w:val="20"/>
        </w:rPr>
        <w:t xml:space="preserve">Según se desprende de estas reglas, tratándose de los procesos de contratación realizados a través del SECOP II, la propuesta económica debe presentarse haciendo uso del cuestionario destinado para ello en la plataforma. Este cuestionario se debe diligenciar a través de la lista de precios, previamente configurada por la entidad estatal y anexando, en caso de que así sea solicitado, las evidencias documentales de la misma – ya sea el Formulario 1 u otro documento–. Esto significa que, en estos procesos el valor de la oferta económica debe ser diligenciado en el referido cuestionario, al ser este el medio destinado para la presentación de la oferta económica al interior de la plataforma, sin perjuicio de que la entidad estatal solicite anexar el soporte documental de la información incluida en el cuestionario de lista de precios. </w:t>
      </w:r>
    </w:p>
    <w:p w14:paraId="5954AC8D" w14:textId="3EB176E1" w:rsidR="007E58C0" w:rsidRPr="00433B5E" w:rsidRDefault="004C5ACE" w:rsidP="00D8410E">
      <w:pPr>
        <w:tabs>
          <w:tab w:val="left" w:pos="709"/>
          <w:tab w:val="left" w:pos="851"/>
        </w:tabs>
        <w:spacing w:after="120" w:line="276" w:lineRule="auto"/>
        <w:jc w:val="both"/>
        <w:rPr>
          <w:rFonts w:ascii="Arial" w:eastAsia="Calibri" w:hAnsi="Arial" w:cs="Arial"/>
          <w:color w:val="000000"/>
          <w:sz w:val="20"/>
          <w:szCs w:val="20"/>
        </w:rPr>
      </w:pPr>
      <w:r>
        <w:rPr>
          <w:rFonts w:ascii="Arial" w:eastAsia="Calibri" w:hAnsi="Arial" w:cs="Arial"/>
          <w:color w:val="000000"/>
          <w:sz w:val="20"/>
          <w:szCs w:val="20"/>
        </w:rPr>
        <w:t>[…]</w:t>
      </w:r>
      <w:r w:rsidR="007E58C0" w:rsidRPr="00D8410E">
        <w:rPr>
          <w:rFonts w:ascii="Arial" w:eastAsia="Calibri" w:hAnsi="Arial" w:cs="Arial"/>
          <w:color w:val="000000"/>
          <w:sz w:val="20"/>
          <w:szCs w:val="20"/>
        </w:rPr>
        <w:t xml:space="preserve"> una situación en la cual exista una palmaria discordancia entre el valor diligenciado en el cuestionario electrónico desplegado por SECOP II y el del documento anexado a modo de soporte de la oferta económica configuran el supuesto de hecho de la causal de rechazo del literal W, en el entendido de que, al diligenciarse el cuestionario electrónico se presentó una oferta, mientras que en el documento anexo se presenta otra, quedando ambas incluidas dentro del contenido del sobre No. 2 conformado de manera electrónica.  </w:t>
      </w:r>
    </w:p>
    <w:p w14:paraId="78E9F933" w14:textId="77777777" w:rsidR="006B4D51" w:rsidRPr="00433B5E" w:rsidRDefault="006B4D51" w:rsidP="00433B5E">
      <w:pPr>
        <w:tabs>
          <w:tab w:val="left" w:pos="709"/>
          <w:tab w:val="left" w:pos="851"/>
        </w:tabs>
        <w:jc w:val="both"/>
        <w:rPr>
          <w:rFonts w:ascii="Arial" w:eastAsia="Calibri" w:hAnsi="Arial" w:cs="Arial"/>
          <w:color w:val="000000"/>
          <w:sz w:val="20"/>
          <w:szCs w:val="20"/>
        </w:rPr>
      </w:pPr>
    </w:p>
    <w:p w14:paraId="17308234" w14:textId="52E1192B" w:rsidR="006B4D51" w:rsidRPr="00433B5E" w:rsidRDefault="00E33A0B" w:rsidP="00E33A0B">
      <w:pPr>
        <w:tabs>
          <w:tab w:val="left" w:pos="3123"/>
        </w:tabs>
        <w:jc w:val="right"/>
        <w:rPr>
          <w:rFonts w:ascii="Arial" w:eastAsia="Calibri" w:hAnsi="Arial" w:cs="Arial"/>
          <w:color w:val="000000"/>
          <w:sz w:val="20"/>
          <w:szCs w:val="20"/>
        </w:rPr>
      </w:pPr>
      <w:r>
        <w:rPr>
          <w:rFonts w:ascii="Arial" w:eastAsia="Calibri" w:hAnsi="Arial" w:cs="Arial"/>
          <w:color w:val="000000"/>
          <w:sz w:val="20"/>
          <w:szCs w:val="20"/>
        </w:rPr>
        <w:tab/>
      </w:r>
      <w:r w:rsidRPr="00E33A0B">
        <w:rPr>
          <w:rFonts w:ascii="Arial" w:eastAsia="Calibri" w:hAnsi="Arial" w:cs="Arial"/>
          <w:noProof/>
          <w:color w:val="000000"/>
          <w:sz w:val="20"/>
          <w:szCs w:val="20"/>
        </w:rPr>
        <w:drawing>
          <wp:inline distT="0" distB="0" distL="0" distR="0" wp14:anchorId="208F6316" wp14:editId="79074500">
            <wp:extent cx="2448267" cy="695422"/>
            <wp:effectExtent l="0" t="0" r="9525"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a:stretch>
                      <a:fillRect/>
                    </a:stretch>
                  </pic:blipFill>
                  <pic:spPr>
                    <a:xfrm>
                      <a:off x="0" y="0"/>
                      <a:ext cx="2448267" cy="695422"/>
                    </a:xfrm>
                    <a:prstGeom prst="rect">
                      <a:avLst/>
                    </a:prstGeom>
                  </pic:spPr>
                </pic:pic>
              </a:graphicData>
            </a:graphic>
          </wp:inline>
        </w:drawing>
      </w:r>
    </w:p>
    <w:p w14:paraId="72C4AC47" w14:textId="77777777" w:rsidR="006B4D51" w:rsidRPr="00343DF1" w:rsidRDefault="006B4D51" w:rsidP="006B4D51">
      <w:pPr>
        <w:widowControl w:val="0"/>
        <w:autoSpaceDE w:val="0"/>
        <w:autoSpaceDN w:val="0"/>
        <w:rPr>
          <w:rFonts w:ascii="Arial" w:eastAsia="Arial MT" w:hAnsi="Arial MT" w:cs="Arial MT"/>
          <w:sz w:val="20"/>
          <w:lang w:val="es-ES"/>
        </w:rPr>
      </w:pPr>
    </w:p>
    <w:p w14:paraId="158DEBFA" w14:textId="51BA2FA8" w:rsidR="006B4D51" w:rsidRDefault="006B4D51" w:rsidP="006B4D51">
      <w:pPr>
        <w:widowControl w:val="0"/>
        <w:autoSpaceDE w:val="0"/>
        <w:autoSpaceDN w:val="0"/>
        <w:rPr>
          <w:rFonts w:ascii="Arial" w:eastAsia="Arial MT" w:hAnsi="Arial MT" w:cs="Arial MT"/>
          <w:sz w:val="20"/>
          <w:lang w:val="es-ES"/>
        </w:rPr>
      </w:pPr>
      <w:r w:rsidRPr="00343DF1">
        <w:rPr>
          <w:rFonts w:ascii="Arial" w:eastAsia="Arial MT" w:hAnsi="Arial MT" w:cs="Arial MT"/>
          <w:sz w:val="20"/>
          <w:lang w:val="es-ES"/>
        </w:rPr>
        <w:t>Bogot</w:t>
      </w:r>
      <w:r w:rsidRPr="00343DF1">
        <w:rPr>
          <w:rFonts w:ascii="Arial" w:eastAsia="Arial MT" w:hAnsi="Arial MT" w:cs="Arial MT"/>
          <w:sz w:val="20"/>
          <w:lang w:val="es-ES"/>
        </w:rPr>
        <w:t>á</w:t>
      </w:r>
      <w:r w:rsidRPr="00343DF1">
        <w:rPr>
          <w:rFonts w:ascii="Arial" w:eastAsia="Arial MT" w:hAnsi="Arial MT" w:cs="Arial MT"/>
          <w:sz w:val="20"/>
          <w:lang w:val="es-ES"/>
        </w:rPr>
        <w:t xml:space="preserve">. </w:t>
      </w:r>
      <w:r w:rsidR="00700D0E">
        <w:rPr>
          <w:rFonts w:ascii="Arial" w:eastAsia="Arial MT" w:hAnsi="Arial MT" w:cs="Arial MT"/>
          <w:sz w:val="20"/>
          <w:lang w:val="es-ES"/>
        </w:rPr>
        <w:t xml:space="preserve">09 </w:t>
      </w:r>
      <w:proofErr w:type="gramStart"/>
      <w:r w:rsidR="00700D0E">
        <w:rPr>
          <w:rFonts w:ascii="Arial" w:eastAsia="Arial MT" w:hAnsi="Arial MT" w:cs="Arial MT"/>
          <w:sz w:val="20"/>
          <w:lang w:val="es-ES"/>
        </w:rPr>
        <w:t>Septiembre</w:t>
      </w:r>
      <w:proofErr w:type="gramEnd"/>
      <w:r w:rsidR="00700D0E">
        <w:rPr>
          <w:rFonts w:ascii="Arial" w:eastAsia="Arial MT" w:hAnsi="Arial MT" w:cs="Arial MT"/>
          <w:sz w:val="20"/>
          <w:lang w:val="es-ES"/>
        </w:rPr>
        <w:t xml:space="preserve"> de 2022</w:t>
      </w:r>
    </w:p>
    <w:p w14:paraId="00A29297" w14:textId="77777777" w:rsidR="006B4D51" w:rsidRDefault="006B4D51" w:rsidP="006B4D51">
      <w:pPr>
        <w:widowControl w:val="0"/>
        <w:autoSpaceDE w:val="0"/>
        <w:autoSpaceDN w:val="0"/>
        <w:rPr>
          <w:rFonts w:ascii="Arial" w:eastAsia="Arial MT" w:hAnsi="Arial MT" w:cs="Arial MT"/>
          <w:sz w:val="20"/>
          <w:lang w:val="es-ES"/>
        </w:rPr>
      </w:pPr>
    </w:p>
    <w:p w14:paraId="77DE6A3E" w14:textId="77777777" w:rsidR="006B4D51" w:rsidRDefault="006B4D51" w:rsidP="006B4D51">
      <w:pPr>
        <w:widowControl w:val="0"/>
        <w:autoSpaceDE w:val="0"/>
        <w:autoSpaceDN w:val="0"/>
        <w:rPr>
          <w:rFonts w:ascii="Arial" w:eastAsia="Arial MT" w:hAnsi="Arial" w:cs="Arial"/>
          <w:sz w:val="22"/>
          <w:lang w:val="es-ES"/>
        </w:rPr>
      </w:pPr>
    </w:p>
    <w:p w14:paraId="2A9EBFFE" w14:textId="319252B9" w:rsidR="006B4D51" w:rsidRPr="00D67C1A" w:rsidRDefault="006B4D51" w:rsidP="006B4D51">
      <w:pPr>
        <w:widowControl w:val="0"/>
        <w:autoSpaceDE w:val="0"/>
        <w:autoSpaceDN w:val="0"/>
        <w:rPr>
          <w:rFonts w:ascii="Arial" w:eastAsia="Arial MT" w:hAnsi="Arial" w:cs="Arial"/>
          <w:sz w:val="22"/>
          <w:lang w:val="es-ES"/>
        </w:rPr>
      </w:pPr>
      <w:r w:rsidRPr="00D67C1A">
        <w:rPr>
          <w:rFonts w:ascii="Arial" w:eastAsia="Arial MT" w:hAnsi="Arial" w:cs="Arial"/>
          <w:sz w:val="22"/>
          <w:lang w:val="es-ES"/>
        </w:rPr>
        <w:t>Señor</w:t>
      </w:r>
      <w:r>
        <w:rPr>
          <w:rFonts w:ascii="Arial" w:eastAsia="Arial MT" w:hAnsi="Arial" w:cs="Arial"/>
          <w:sz w:val="22"/>
          <w:lang w:val="es-ES"/>
        </w:rPr>
        <w:t>a</w:t>
      </w:r>
    </w:p>
    <w:p w14:paraId="27382ED8" w14:textId="3063C5E3" w:rsidR="006B4D51" w:rsidRPr="00D67C1A" w:rsidRDefault="006B4D51" w:rsidP="006B4D51">
      <w:pPr>
        <w:widowControl w:val="0"/>
        <w:autoSpaceDE w:val="0"/>
        <w:autoSpaceDN w:val="0"/>
        <w:outlineLvl w:val="0"/>
        <w:rPr>
          <w:rFonts w:ascii="Arial" w:eastAsia="Arial" w:hAnsi="Arial" w:cs="Arial"/>
          <w:b/>
          <w:bCs/>
          <w:sz w:val="22"/>
          <w:lang w:val="es-ES"/>
        </w:rPr>
      </w:pPr>
      <w:r>
        <w:rPr>
          <w:rFonts w:ascii="Arial" w:eastAsia="Arial" w:hAnsi="Arial" w:cs="Arial"/>
          <w:b/>
          <w:bCs/>
          <w:sz w:val="22"/>
          <w:lang w:val="es-ES"/>
        </w:rPr>
        <w:t>Yaneth Alarcón Camargo</w:t>
      </w:r>
    </w:p>
    <w:p w14:paraId="3169D775" w14:textId="77777777" w:rsidR="006B4D51" w:rsidRPr="00D67C1A" w:rsidRDefault="006B4D51" w:rsidP="006B4D51">
      <w:pPr>
        <w:widowControl w:val="0"/>
        <w:autoSpaceDE w:val="0"/>
        <w:autoSpaceDN w:val="0"/>
        <w:outlineLvl w:val="0"/>
        <w:rPr>
          <w:rFonts w:ascii="Arial" w:eastAsia="Arial" w:hAnsi="Arial" w:cs="Arial"/>
          <w:sz w:val="22"/>
          <w:lang w:val="es-ES"/>
        </w:rPr>
      </w:pPr>
      <w:r w:rsidRPr="00D67C1A">
        <w:rPr>
          <w:rFonts w:ascii="Arial" w:eastAsia="Arial" w:hAnsi="Arial" w:cs="Arial"/>
          <w:sz w:val="22"/>
          <w:lang w:val="es-ES"/>
        </w:rPr>
        <w:t>Bogotá D.C.</w:t>
      </w:r>
    </w:p>
    <w:p w14:paraId="447B65D1" w14:textId="77777777" w:rsidR="006B4D51" w:rsidRPr="00D67C1A" w:rsidRDefault="006B4D51" w:rsidP="006B4D51">
      <w:pPr>
        <w:widowControl w:val="0"/>
        <w:autoSpaceDE w:val="0"/>
        <w:autoSpaceDN w:val="0"/>
        <w:outlineLvl w:val="0"/>
        <w:rPr>
          <w:rFonts w:ascii="Arial MT" w:eastAsia="Arial MT" w:hAnsi="Arial MT" w:cs="Arial MT"/>
          <w:sz w:val="20"/>
          <w:lang w:val="es-ES"/>
        </w:rPr>
      </w:pPr>
    </w:p>
    <w:p w14:paraId="4CFDD340" w14:textId="30FC58AD" w:rsidR="006B4D51" w:rsidRPr="00D67C1A" w:rsidRDefault="006B4D51" w:rsidP="006B4D51">
      <w:pPr>
        <w:ind w:left="2124" w:firstLine="570"/>
        <w:rPr>
          <w:rFonts w:ascii="Arial" w:eastAsia="Calibri" w:hAnsi="Arial" w:cs="Arial"/>
          <w:b/>
          <w:sz w:val="22"/>
        </w:rPr>
      </w:pPr>
      <w:r w:rsidRPr="00D67C1A">
        <w:rPr>
          <w:rFonts w:ascii="Arial" w:eastAsia="Calibri" w:hAnsi="Arial" w:cs="Arial"/>
          <w:b/>
          <w:sz w:val="22"/>
        </w:rPr>
        <w:t xml:space="preserve">Concepto C – </w:t>
      </w:r>
      <w:r>
        <w:rPr>
          <w:rFonts w:ascii="Arial" w:eastAsia="Calibri" w:hAnsi="Arial" w:cs="Arial"/>
          <w:b/>
          <w:sz w:val="22"/>
        </w:rPr>
        <w:t>595</w:t>
      </w:r>
      <w:r w:rsidRPr="00D67C1A">
        <w:rPr>
          <w:rFonts w:ascii="Arial" w:eastAsia="Calibri" w:hAnsi="Arial" w:cs="Arial"/>
          <w:b/>
          <w:sz w:val="22"/>
        </w:rPr>
        <w:t xml:space="preserve"> de 2022</w:t>
      </w:r>
    </w:p>
    <w:p w14:paraId="409E0D4D" w14:textId="77777777" w:rsidR="006B4D51" w:rsidRPr="00D67C1A" w:rsidRDefault="006B4D51" w:rsidP="006B4D51">
      <w:pPr>
        <w:widowControl w:val="0"/>
        <w:autoSpaceDE w:val="0"/>
        <w:autoSpaceDN w:val="0"/>
        <w:spacing w:before="10"/>
        <w:rPr>
          <w:rFonts w:ascii="Arial" w:eastAsia="Arial MT" w:hAnsi="Arial MT" w:cs="Arial MT"/>
          <w:b/>
          <w:sz w:val="22"/>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B4D51" w:rsidRPr="00D67C1A" w14:paraId="78FE1556" w14:textId="77777777" w:rsidTr="00FF2AC2">
        <w:tc>
          <w:tcPr>
            <w:tcW w:w="2689" w:type="dxa"/>
          </w:tcPr>
          <w:p w14:paraId="0A710EA7" w14:textId="77777777" w:rsidR="006B4D51" w:rsidRPr="00D67C1A" w:rsidRDefault="006B4D51" w:rsidP="00FF2AC2">
            <w:pPr>
              <w:jc w:val="both"/>
              <w:rPr>
                <w:rFonts w:ascii="Arial" w:eastAsia="Calibri" w:hAnsi="Arial" w:cs="Arial"/>
                <w:b/>
                <w:color w:val="000000" w:themeColor="text1"/>
                <w:sz w:val="22"/>
                <w:lang w:val="es-ES_tradnl"/>
              </w:rPr>
            </w:pPr>
            <w:r w:rsidRPr="00D67C1A">
              <w:rPr>
                <w:rFonts w:ascii="Arial" w:eastAsia="Calibri" w:hAnsi="Arial" w:cs="Arial"/>
                <w:b/>
                <w:color w:val="000000" w:themeColor="text1"/>
                <w:sz w:val="22"/>
                <w:lang w:val="es-ES_tradnl"/>
              </w:rPr>
              <w:t xml:space="preserve">Temas:                                      </w:t>
            </w:r>
          </w:p>
        </w:tc>
        <w:tc>
          <w:tcPr>
            <w:tcW w:w="6237" w:type="dxa"/>
          </w:tcPr>
          <w:p w14:paraId="2E4BE1AE" w14:textId="77777777" w:rsidR="006B4D51" w:rsidRPr="00D67C1A" w:rsidRDefault="006B4D51" w:rsidP="00FF2AC2">
            <w:pPr>
              <w:jc w:val="both"/>
              <w:rPr>
                <w:rFonts w:ascii="Arial" w:eastAsia="Calibri" w:hAnsi="Arial" w:cs="Arial"/>
                <w:sz w:val="22"/>
              </w:rPr>
            </w:pPr>
            <w:r w:rsidRPr="00D67C1A">
              <w:rPr>
                <w:rFonts w:ascii="Arial" w:hAnsi="Arial" w:cs="Arial"/>
                <w:color w:val="000000" w:themeColor="text1"/>
                <w:sz w:val="22"/>
                <w:lang w:val="es-ES_tradnl"/>
              </w:rPr>
              <w:t xml:space="preserve">DOCUMENTOS TIPO – Infraestructura de transporte / </w:t>
            </w:r>
            <w:r w:rsidRPr="00D67C1A">
              <w:rPr>
                <w:rFonts w:ascii="Arial" w:eastAsia="Calibri" w:hAnsi="Arial" w:cs="Arial"/>
                <w:sz w:val="22"/>
              </w:rPr>
              <w:t xml:space="preserve">DOCUMENTOS TIPO – Formulario 1 – Presupuesto Oficial – Propuesta económica </w:t>
            </w:r>
            <w:r w:rsidRPr="00D67C1A">
              <w:rPr>
                <w:rFonts w:ascii="Arial" w:eastAsia="Calibri" w:hAnsi="Arial" w:cs="Arial"/>
                <w:sz w:val="22"/>
                <w:lang w:val="es-ES_tradnl"/>
              </w:rPr>
              <w:t xml:space="preserve">/ </w:t>
            </w:r>
            <w:r>
              <w:rPr>
                <w:rFonts w:ascii="Arial" w:eastAsia="Calibri" w:hAnsi="Arial" w:cs="Arial"/>
                <w:sz w:val="22"/>
              </w:rPr>
              <w:t xml:space="preserve">CAUSAL DE RECHAZO LITERAL W </w:t>
            </w:r>
            <w:r w:rsidRPr="00D67C1A">
              <w:rPr>
                <w:rFonts w:ascii="Arial" w:eastAsia="Calibri" w:hAnsi="Arial" w:cs="Arial"/>
                <w:sz w:val="22"/>
              </w:rPr>
              <w:t xml:space="preserve">– </w:t>
            </w:r>
            <w:r>
              <w:rPr>
                <w:rFonts w:ascii="Arial" w:eastAsia="Calibri" w:hAnsi="Arial" w:cs="Arial"/>
                <w:sz w:val="22"/>
              </w:rPr>
              <w:t>Alcance</w:t>
            </w:r>
          </w:p>
          <w:p w14:paraId="301D8EDA" w14:textId="77777777" w:rsidR="006B4D51" w:rsidRPr="00D67C1A" w:rsidRDefault="006B4D51" w:rsidP="00FF2AC2">
            <w:pPr>
              <w:jc w:val="both"/>
              <w:rPr>
                <w:rFonts w:ascii="Arial" w:hAnsi="Arial" w:cs="Arial"/>
                <w:color w:val="000000" w:themeColor="text1"/>
                <w:sz w:val="22"/>
                <w:lang w:val="es-ES"/>
              </w:rPr>
            </w:pPr>
          </w:p>
        </w:tc>
      </w:tr>
      <w:tr w:rsidR="006B4D51" w:rsidRPr="00D67C1A" w14:paraId="720BBB1B" w14:textId="77777777" w:rsidTr="00FF2AC2">
        <w:tc>
          <w:tcPr>
            <w:tcW w:w="2689" w:type="dxa"/>
          </w:tcPr>
          <w:p w14:paraId="468583C5" w14:textId="77777777" w:rsidR="006B4D51" w:rsidRPr="00D67C1A" w:rsidRDefault="006B4D51" w:rsidP="00FF2AC2">
            <w:pPr>
              <w:jc w:val="both"/>
              <w:rPr>
                <w:rFonts w:ascii="Arial" w:eastAsia="Calibri" w:hAnsi="Arial" w:cs="Arial"/>
                <w:b/>
                <w:color w:val="000000" w:themeColor="text1"/>
                <w:sz w:val="22"/>
                <w:lang w:val="es-ES_tradnl"/>
              </w:rPr>
            </w:pPr>
            <w:r w:rsidRPr="00D67C1A">
              <w:rPr>
                <w:rFonts w:ascii="Arial" w:eastAsia="Calibri" w:hAnsi="Arial" w:cs="Arial"/>
                <w:b/>
                <w:color w:val="000000" w:themeColor="text1"/>
                <w:sz w:val="22"/>
                <w:lang w:val="es-ES_tradnl"/>
              </w:rPr>
              <w:t>Radicación</w:t>
            </w:r>
            <w:r w:rsidRPr="00D67C1A">
              <w:rPr>
                <w:rFonts w:ascii="Arial" w:eastAsia="Calibri" w:hAnsi="Arial" w:cs="Arial"/>
                <w:color w:val="000000" w:themeColor="text1"/>
                <w:sz w:val="22"/>
                <w:lang w:val="es-ES_tradnl"/>
              </w:rPr>
              <w:t>:</w:t>
            </w:r>
          </w:p>
        </w:tc>
        <w:tc>
          <w:tcPr>
            <w:tcW w:w="6237" w:type="dxa"/>
          </w:tcPr>
          <w:p w14:paraId="0B1CFC67" w14:textId="29ED8601" w:rsidR="006B4D51" w:rsidRPr="00D67C1A" w:rsidRDefault="006B4D51" w:rsidP="00FF2AC2">
            <w:pPr>
              <w:jc w:val="both"/>
              <w:rPr>
                <w:rFonts w:ascii="Arial" w:hAnsi="Arial" w:cs="Arial"/>
                <w:color w:val="000000" w:themeColor="text1"/>
                <w:sz w:val="22"/>
                <w:lang w:val="es-ES_tradnl"/>
              </w:rPr>
            </w:pPr>
            <w:r w:rsidRPr="00D67C1A">
              <w:rPr>
                <w:rFonts w:ascii="Arial" w:hAnsi="Arial" w:cs="Arial"/>
                <w:color w:val="000000" w:themeColor="text1"/>
                <w:sz w:val="22"/>
                <w:lang w:val="es-ES_tradnl"/>
              </w:rPr>
              <w:t xml:space="preserve">Respuesta a la consulta </w:t>
            </w:r>
            <w:r w:rsidR="009E2B21" w:rsidRPr="009E2B21">
              <w:rPr>
                <w:rFonts w:ascii="Arial" w:hAnsi="Arial" w:cs="Arial"/>
                <w:color w:val="000000" w:themeColor="text1"/>
                <w:sz w:val="22"/>
                <w:lang w:val="es-ES_tradnl"/>
              </w:rPr>
              <w:t>P20220804007667</w:t>
            </w:r>
          </w:p>
        </w:tc>
      </w:tr>
    </w:tbl>
    <w:p w14:paraId="4715E3C8" w14:textId="77777777" w:rsidR="006B4D51" w:rsidRPr="00D67C1A" w:rsidRDefault="006B4D51" w:rsidP="006B4D51">
      <w:pPr>
        <w:jc w:val="both"/>
        <w:rPr>
          <w:rFonts w:ascii="Arial" w:eastAsia="Calibri" w:hAnsi="Arial" w:cs="Arial"/>
          <w:sz w:val="22"/>
          <w:lang w:val="es-CO"/>
        </w:rPr>
      </w:pPr>
    </w:p>
    <w:p w14:paraId="2DD05BEE" w14:textId="77777777" w:rsidR="006B4D51" w:rsidRPr="00D67C1A" w:rsidRDefault="006B4D51" w:rsidP="006B4D51">
      <w:pPr>
        <w:jc w:val="both"/>
        <w:rPr>
          <w:rFonts w:ascii="Arial" w:eastAsia="Calibri" w:hAnsi="Arial" w:cs="Arial"/>
          <w:sz w:val="22"/>
          <w:lang w:val="es-CO"/>
        </w:rPr>
      </w:pPr>
    </w:p>
    <w:p w14:paraId="2D637EFF" w14:textId="7084CBFB" w:rsidR="006B4D51" w:rsidRPr="00D67C1A" w:rsidRDefault="006B4D51" w:rsidP="006B4D51">
      <w:pPr>
        <w:rPr>
          <w:rFonts w:ascii="Arial" w:eastAsia="Calibri" w:hAnsi="Arial" w:cs="Arial"/>
          <w:sz w:val="22"/>
          <w:lang w:val="es-CO"/>
        </w:rPr>
      </w:pPr>
      <w:r w:rsidRPr="00D67C1A">
        <w:rPr>
          <w:rFonts w:ascii="Arial" w:eastAsia="Calibri" w:hAnsi="Arial" w:cs="Arial"/>
          <w:sz w:val="22"/>
          <w:lang w:val="es-CO"/>
        </w:rPr>
        <w:t>Estimado señor</w:t>
      </w:r>
      <w:r>
        <w:rPr>
          <w:rFonts w:ascii="Arial" w:eastAsia="Calibri" w:hAnsi="Arial" w:cs="Arial"/>
          <w:sz w:val="22"/>
          <w:lang w:val="es-CO"/>
        </w:rPr>
        <w:t>a</w:t>
      </w:r>
      <w:r w:rsidRPr="00D67C1A">
        <w:rPr>
          <w:rFonts w:ascii="Arial" w:eastAsia="Calibri" w:hAnsi="Arial" w:cs="Arial"/>
          <w:sz w:val="22"/>
          <w:lang w:val="es-CO"/>
        </w:rPr>
        <w:t xml:space="preserve"> </w:t>
      </w:r>
      <w:r>
        <w:rPr>
          <w:rFonts w:ascii="Arial" w:eastAsia="Calibri" w:hAnsi="Arial" w:cs="Arial"/>
          <w:sz w:val="22"/>
          <w:lang w:val="es-CO"/>
        </w:rPr>
        <w:t>Alarcón</w:t>
      </w:r>
      <w:r w:rsidRPr="00D67C1A">
        <w:rPr>
          <w:rFonts w:ascii="Arial" w:eastAsia="Calibri" w:hAnsi="Arial" w:cs="Arial"/>
          <w:sz w:val="22"/>
          <w:lang w:val="es-CO"/>
        </w:rPr>
        <w:t xml:space="preserve">: </w:t>
      </w:r>
    </w:p>
    <w:p w14:paraId="5D0BC5B1" w14:textId="77777777" w:rsidR="006B4D51" w:rsidRPr="00D67C1A" w:rsidRDefault="006B4D51" w:rsidP="006B4D51">
      <w:pPr>
        <w:rPr>
          <w:rFonts w:ascii="Arial" w:eastAsia="Calibri" w:hAnsi="Arial" w:cs="Arial"/>
          <w:sz w:val="22"/>
          <w:lang w:val="es-CO"/>
        </w:rPr>
      </w:pPr>
    </w:p>
    <w:p w14:paraId="27ABF4F7" w14:textId="4F918B6E" w:rsidR="006B4D51" w:rsidRPr="00D67C1A" w:rsidRDefault="006B4D51" w:rsidP="006B4D51">
      <w:pPr>
        <w:spacing w:line="276" w:lineRule="auto"/>
        <w:ind w:right="49"/>
        <w:jc w:val="both"/>
        <w:rPr>
          <w:rFonts w:ascii="Arial" w:eastAsia="Calibri" w:hAnsi="Arial" w:cs="Arial"/>
          <w:sz w:val="22"/>
          <w:lang w:val="es-CO"/>
        </w:rPr>
      </w:pPr>
      <w:r w:rsidRPr="00D67C1A">
        <w:rPr>
          <w:rFonts w:ascii="Arial" w:eastAsia="Calibri" w:hAnsi="Arial" w:cs="Arial"/>
          <w:sz w:val="22"/>
          <w:lang w:val="es-ES_tradnl"/>
        </w:rPr>
        <w:lastRenderedPageBreak/>
        <w:t xml:space="preserve">En ejercicio de la competencia otorgada por el numeral 8 del artículo 11 y el numeral 5 del artículo 3 del Decreto Ley 4170 de 2011, la Agencia Nacional de Contratación Pública – Colombia Compra Eficiente, responde su consulta del </w:t>
      </w:r>
      <w:r w:rsidR="009E2B21">
        <w:rPr>
          <w:rFonts w:ascii="Arial" w:eastAsia="Calibri" w:hAnsi="Arial" w:cs="Arial"/>
          <w:sz w:val="22"/>
          <w:lang w:val="es-ES_tradnl"/>
        </w:rPr>
        <w:t xml:space="preserve">4 </w:t>
      </w:r>
      <w:r w:rsidRPr="00D67C1A">
        <w:rPr>
          <w:rFonts w:ascii="Arial" w:eastAsia="Calibri" w:hAnsi="Arial" w:cs="Arial"/>
          <w:sz w:val="22"/>
          <w:lang w:val="es-ES_tradnl"/>
        </w:rPr>
        <w:t xml:space="preserve">de </w:t>
      </w:r>
      <w:r w:rsidR="009E2B21">
        <w:rPr>
          <w:rFonts w:ascii="Arial" w:eastAsia="Calibri" w:hAnsi="Arial" w:cs="Arial"/>
          <w:sz w:val="22"/>
          <w:lang w:val="es-ES_tradnl"/>
        </w:rPr>
        <w:t xml:space="preserve">agosto </w:t>
      </w:r>
      <w:r w:rsidRPr="00D67C1A">
        <w:rPr>
          <w:rFonts w:ascii="Arial" w:eastAsia="Calibri" w:hAnsi="Arial" w:cs="Arial"/>
          <w:sz w:val="22"/>
          <w:lang w:val="es-ES_tradnl"/>
        </w:rPr>
        <w:t xml:space="preserve">de 2022. </w:t>
      </w:r>
    </w:p>
    <w:p w14:paraId="0AE15D28" w14:textId="77777777" w:rsidR="006B4D51" w:rsidRPr="00D67C1A" w:rsidRDefault="006B4D51" w:rsidP="006B4D51">
      <w:pPr>
        <w:spacing w:line="276" w:lineRule="auto"/>
        <w:jc w:val="both"/>
        <w:rPr>
          <w:rFonts w:ascii="Arial" w:eastAsia="Calibri" w:hAnsi="Arial" w:cs="Arial"/>
          <w:sz w:val="22"/>
          <w:lang w:val="es-CO"/>
        </w:rPr>
      </w:pPr>
    </w:p>
    <w:p w14:paraId="02BF8E91" w14:textId="77777777" w:rsidR="006B4D51" w:rsidRPr="00D67C1A" w:rsidRDefault="006B4D51" w:rsidP="006B4D51">
      <w:pPr>
        <w:pStyle w:val="Prrafodelista"/>
        <w:numPr>
          <w:ilvl w:val="0"/>
          <w:numId w:val="1"/>
        </w:numPr>
        <w:tabs>
          <w:tab w:val="left" w:pos="284"/>
        </w:tabs>
        <w:spacing w:line="276" w:lineRule="auto"/>
        <w:ind w:left="0" w:firstLine="0"/>
        <w:jc w:val="both"/>
        <w:rPr>
          <w:rFonts w:ascii="Arial" w:eastAsia="Calibri" w:hAnsi="Arial" w:cs="Arial"/>
          <w:b/>
          <w:sz w:val="22"/>
          <w:lang w:val="es-CO"/>
        </w:rPr>
      </w:pPr>
      <w:r w:rsidRPr="00D67C1A">
        <w:rPr>
          <w:rFonts w:ascii="Arial" w:eastAsia="Calibri" w:hAnsi="Arial" w:cs="Arial"/>
          <w:b/>
          <w:sz w:val="22"/>
          <w:lang w:val="es-CO"/>
        </w:rPr>
        <w:t xml:space="preserve">Problema planteado </w:t>
      </w:r>
    </w:p>
    <w:p w14:paraId="09CD0BA6" w14:textId="77777777" w:rsidR="006B4D51" w:rsidRPr="00D67C1A" w:rsidRDefault="006B4D51" w:rsidP="006B4D51">
      <w:pPr>
        <w:tabs>
          <w:tab w:val="left" w:pos="426"/>
        </w:tabs>
        <w:spacing w:line="276" w:lineRule="auto"/>
        <w:jc w:val="both"/>
        <w:rPr>
          <w:rFonts w:ascii="Arial" w:eastAsia="Calibri" w:hAnsi="Arial" w:cs="Arial"/>
          <w:b/>
          <w:sz w:val="22"/>
          <w:lang w:val="es-CO"/>
        </w:rPr>
      </w:pPr>
    </w:p>
    <w:p w14:paraId="1A4490EA" w14:textId="4B087D98" w:rsidR="006B4D51" w:rsidRPr="00D67C1A" w:rsidRDefault="006B4D51" w:rsidP="006B4D51">
      <w:pPr>
        <w:spacing w:line="276" w:lineRule="auto"/>
        <w:jc w:val="both"/>
        <w:rPr>
          <w:rFonts w:ascii="Arial" w:hAnsi="Arial" w:cs="Arial"/>
          <w:color w:val="000000" w:themeColor="text1"/>
          <w:sz w:val="22"/>
          <w:lang w:val="es-ES_tradnl"/>
        </w:rPr>
      </w:pPr>
      <w:r w:rsidRPr="00D67C1A">
        <w:rPr>
          <w:rFonts w:ascii="Arial" w:hAnsi="Arial" w:cs="Arial"/>
          <w:color w:val="000000" w:themeColor="text1"/>
          <w:sz w:val="22"/>
          <w:lang w:val="es-ES_tradnl"/>
        </w:rPr>
        <w:t>Usted formula la</w:t>
      </w:r>
      <w:r>
        <w:rPr>
          <w:rFonts w:ascii="Arial" w:hAnsi="Arial" w:cs="Arial"/>
          <w:color w:val="000000" w:themeColor="text1"/>
          <w:sz w:val="22"/>
          <w:lang w:val="es-ES_tradnl"/>
        </w:rPr>
        <w:t xml:space="preserve"> </w:t>
      </w:r>
      <w:r w:rsidRPr="00D67C1A">
        <w:rPr>
          <w:rFonts w:ascii="Arial" w:hAnsi="Arial" w:cs="Arial"/>
          <w:color w:val="000000" w:themeColor="text1"/>
          <w:sz w:val="22"/>
          <w:lang w:val="es-ES_tradnl"/>
        </w:rPr>
        <w:t>siguiente</w:t>
      </w:r>
      <w:r>
        <w:rPr>
          <w:rFonts w:ascii="Arial" w:hAnsi="Arial" w:cs="Arial"/>
          <w:color w:val="000000" w:themeColor="text1"/>
          <w:sz w:val="22"/>
          <w:lang w:val="es-ES_tradnl"/>
        </w:rPr>
        <w:t xml:space="preserve"> </w:t>
      </w:r>
      <w:r w:rsidRPr="00D67C1A">
        <w:rPr>
          <w:rFonts w:ascii="Arial" w:hAnsi="Arial" w:cs="Arial"/>
          <w:color w:val="000000" w:themeColor="text1"/>
          <w:sz w:val="22"/>
          <w:lang w:val="es-ES_tradnl"/>
        </w:rPr>
        <w:t>pregunta sobre</w:t>
      </w:r>
      <w:r>
        <w:rPr>
          <w:rFonts w:ascii="Arial" w:hAnsi="Arial" w:cs="Arial"/>
          <w:color w:val="000000" w:themeColor="text1"/>
          <w:sz w:val="22"/>
          <w:lang w:val="es-ES_tradnl"/>
        </w:rPr>
        <w:t xml:space="preserve"> la causal de rechazo contenida en el literal W de</w:t>
      </w:r>
      <w:r w:rsidRPr="00D67C1A">
        <w:rPr>
          <w:rFonts w:ascii="Arial" w:hAnsi="Arial" w:cs="Arial"/>
          <w:color w:val="000000" w:themeColor="text1"/>
          <w:sz w:val="22"/>
          <w:lang w:val="es-ES_tradnl"/>
        </w:rPr>
        <w:t xml:space="preserve"> los Documentos Tipo para obras públicas de Infraestructura de Transporte: </w:t>
      </w:r>
    </w:p>
    <w:p w14:paraId="53780E8E" w14:textId="77777777" w:rsidR="006B4D51" w:rsidRPr="00D67C1A" w:rsidRDefault="006B4D51" w:rsidP="006B4D51">
      <w:pPr>
        <w:spacing w:line="276" w:lineRule="auto"/>
        <w:ind w:firstLine="708"/>
        <w:jc w:val="both"/>
        <w:rPr>
          <w:rFonts w:ascii="Arial" w:hAnsi="Arial" w:cs="Arial"/>
          <w:sz w:val="22"/>
          <w:lang w:val="es-ES"/>
        </w:rPr>
      </w:pPr>
    </w:p>
    <w:p w14:paraId="3FD338F6" w14:textId="3D77DA86" w:rsidR="006B4D51" w:rsidRPr="00D67C1A" w:rsidRDefault="006B4D51" w:rsidP="006B4D51">
      <w:pPr>
        <w:pStyle w:val="Textoindependiente"/>
        <w:ind w:left="709" w:right="709"/>
        <w:jc w:val="both"/>
        <w:rPr>
          <w:rFonts w:eastAsia="Calibri"/>
          <w:color w:val="000000"/>
          <w:sz w:val="21"/>
          <w:szCs w:val="21"/>
        </w:rPr>
      </w:pPr>
      <w:r w:rsidRPr="00D67C1A">
        <w:rPr>
          <w:color w:val="000000" w:themeColor="text1"/>
          <w:sz w:val="21"/>
          <w:szCs w:val="21"/>
          <w:lang w:val="es-ES_tradnl"/>
        </w:rPr>
        <w:t>«</w:t>
      </w:r>
      <w:r w:rsidRPr="006B4D51">
        <w:rPr>
          <w:rFonts w:eastAsia="Calibri"/>
          <w:color w:val="000000"/>
          <w:sz w:val="21"/>
          <w:szCs w:val="21"/>
          <w:lang w:val="es-MX"/>
        </w:rPr>
        <w:t xml:space="preserve">En un proceso de licitación pública realizada por pliego tipo y adelantado por la plataforma </w:t>
      </w:r>
      <w:proofErr w:type="spellStart"/>
      <w:r w:rsidRPr="006B4D51">
        <w:rPr>
          <w:rFonts w:eastAsia="Calibri"/>
          <w:color w:val="000000"/>
          <w:sz w:val="21"/>
          <w:szCs w:val="21"/>
          <w:lang w:val="es-MX"/>
        </w:rPr>
        <w:t>Secop</w:t>
      </w:r>
      <w:proofErr w:type="spellEnd"/>
      <w:r w:rsidRPr="006B4D51">
        <w:rPr>
          <w:rFonts w:eastAsia="Calibri"/>
          <w:color w:val="000000"/>
          <w:sz w:val="21"/>
          <w:szCs w:val="21"/>
          <w:lang w:val="es-MX"/>
        </w:rPr>
        <w:t xml:space="preserve"> II, cuando el valor de la oferta del sobre 2 no coincide con el valor registrado en la plataforma la Entidad debe rechazar la oferta o debe solicitar al oferente corregir la oferta presentada en el sobre 2 o debe corregir el valor señalado en la plataforma</w:t>
      </w:r>
      <w:r w:rsidRPr="00D67C1A">
        <w:rPr>
          <w:color w:val="000000" w:themeColor="text1"/>
          <w:sz w:val="21"/>
          <w:szCs w:val="21"/>
          <w:lang w:val="es-ES_tradnl"/>
        </w:rPr>
        <w:t>»</w:t>
      </w:r>
    </w:p>
    <w:p w14:paraId="253D0F95" w14:textId="77777777" w:rsidR="006B4D51" w:rsidRPr="00D67C1A" w:rsidRDefault="006B4D51" w:rsidP="006B4D51">
      <w:pPr>
        <w:pStyle w:val="Default"/>
        <w:ind w:left="709" w:right="709"/>
        <w:jc w:val="both"/>
        <w:rPr>
          <w:color w:val="auto"/>
          <w:sz w:val="21"/>
          <w:szCs w:val="21"/>
          <w:lang w:val="es-ES"/>
        </w:rPr>
      </w:pPr>
    </w:p>
    <w:p w14:paraId="328B9548" w14:textId="77777777" w:rsidR="006B4D51" w:rsidRPr="00D67C1A" w:rsidRDefault="006B4D51" w:rsidP="006B4D51">
      <w:pPr>
        <w:spacing w:line="276" w:lineRule="auto"/>
        <w:jc w:val="both"/>
        <w:rPr>
          <w:rFonts w:ascii="Arial" w:eastAsia="Calibri" w:hAnsi="Arial" w:cs="Arial"/>
          <w:b/>
          <w:sz w:val="22"/>
        </w:rPr>
      </w:pPr>
      <w:r w:rsidRPr="00D67C1A">
        <w:rPr>
          <w:rFonts w:ascii="Arial" w:eastAsia="Calibri" w:hAnsi="Arial" w:cs="Arial"/>
          <w:b/>
          <w:sz w:val="22"/>
        </w:rPr>
        <w:t>2. Consideraciones</w:t>
      </w:r>
    </w:p>
    <w:p w14:paraId="2FEAAFF1" w14:textId="77777777" w:rsidR="006B4D51" w:rsidRPr="00D67C1A" w:rsidRDefault="006B4D51" w:rsidP="006B4D51">
      <w:pPr>
        <w:jc w:val="both"/>
        <w:rPr>
          <w:rFonts w:ascii="Arial" w:eastAsia="Calibri" w:hAnsi="Arial" w:cs="Arial"/>
          <w:b/>
          <w:sz w:val="22"/>
        </w:rPr>
      </w:pPr>
    </w:p>
    <w:p w14:paraId="596C80A6" w14:textId="34842C3B" w:rsidR="006B4D51" w:rsidRPr="00D67C1A" w:rsidRDefault="006B4D51" w:rsidP="006B4D51">
      <w:pPr>
        <w:spacing w:after="120" w:line="276" w:lineRule="auto"/>
        <w:jc w:val="both"/>
        <w:rPr>
          <w:rFonts w:ascii="Arial" w:hAnsi="Arial" w:cs="Arial"/>
          <w:sz w:val="22"/>
        </w:rPr>
      </w:pPr>
      <w:r w:rsidRPr="00102854">
        <w:rPr>
          <w:rFonts w:ascii="Arial" w:hAnsi="Arial" w:cs="Arial"/>
          <w:sz w:val="22"/>
        </w:rPr>
        <w:t>Para absolver la consulta planteada se abordarán los siguientes temas: i</w:t>
      </w:r>
      <w:r w:rsidRPr="00102854">
        <w:t xml:space="preserve">) </w:t>
      </w:r>
      <w:r w:rsidRPr="00102854">
        <w:rPr>
          <w:rFonts w:ascii="Arial" w:hAnsi="Arial" w:cs="Arial"/>
          <w:sz w:val="22"/>
        </w:rPr>
        <w:t xml:space="preserve">Expedición de los documentos tipo de obra pública de infraestructura de transporte; </w:t>
      </w:r>
      <w:proofErr w:type="spellStart"/>
      <w:r w:rsidRPr="00102854">
        <w:rPr>
          <w:rFonts w:ascii="Arial" w:hAnsi="Arial" w:cs="Arial"/>
          <w:sz w:val="22"/>
        </w:rPr>
        <w:t>ii</w:t>
      </w:r>
      <w:proofErr w:type="spellEnd"/>
      <w:r w:rsidRPr="00102854">
        <w:rPr>
          <w:rFonts w:ascii="Arial" w:hAnsi="Arial" w:cs="Arial"/>
          <w:sz w:val="22"/>
        </w:rPr>
        <w:t xml:space="preserve">) </w:t>
      </w:r>
      <w:r w:rsidRPr="00102854">
        <w:rPr>
          <w:rFonts w:ascii="Arial" w:eastAsia="Calibri" w:hAnsi="Arial" w:cs="Arial"/>
          <w:bCs/>
          <w:color w:val="000000" w:themeColor="text1"/>
          <w:sz w:val="22"/>
          <w:lang w:val="es-ES_tradnl"/>
        </w:rPr>
        <w:t xml:space="preserve">Uso del </w:t>
      </w:r>
      <w:r w:rsidRPr="00102854">
        <w:rPr>
          <w:rFonts w:ascii="Arial" w:hAnsi="Arial" w:cs="Arial"/>
          <w:color w:val="000000" w:themeColor="text1"/>
          <w:sz w:val="22"/>
          <w:lang w:val="es-ES_tradnl"/>
        </w:rPr>
        <w:t>«</w:t>
      </w:r>
      <w:r w:rsidRPr="00102854">
        <w:rPr>
          <w:rFonts w:ascii="Arial" w:eastAsia="Calibri" w:hAnsi="Arial" w:cs="Arial"/>
          <w:bCs/>
          <w:color w:val="000000" w:themeColor="text1"/>
          <w:sz w:val="22"/>
          <w:lang w:val="es-ES_tradnl"/>
        </w:rPr>
        <w:t>Formulario 1 – Formulario de Presupuesto Oficial»;</w:t>
      </w:r>
      <w:r w:rsidRPr="00102854">
        <w:rPr>
          <w:rFonts w:ascii="Arial" w:hAnsi="Arial" w:cs="Arial"/>
          <w:sz w:val="22"/>
        </w:rPr>
        <w:t xml:space="preserve"> </w:t>
      </w:r>
      <w:proofErr w:type="spellStart"/>
      <w:r w:rsidRPr="00102854">
        <w:rPr>
          <w:rFonts w:ascii="Arial" w:hAnsi="Arial" w:cs="Arial"/>
          <w:sz w:val="22"/>
        </w:rPr>
        <w:t>ii</w:t>
      </w:r>
      <w:r w:rsidR="008604E2">
        <w:rPr>
          <w:rFonts w:ascii="Arial" w:hAnsi="Arial" w:cs="Arial"/>
          <w:sz w:val="22"/>
        </w:rPr>
        <w:t>i</w:t>
      </w:r>
      <w:proofErr w:type="spellEnd"/>
      <w:r w:rsidRPr="00102854">
        <w:rPr>
          <w:rFonts w:ascii="Arial" w:hAnsi="Arial" w:cs="Arial"/>
          <w:sz w:val="22"/>
        </w:rPr>
        <w:t>)</w:t>
      </w:r>
      <w:r w:rsidR="008604E2" w:rsidRPr="008604E2">
        <w:t xml:space="preserve"> </w:t>
      </w:r>
      <w:r w:rsidR="008604E2">
        <w:rPr>
          <w:rFonts w:ascii="Arial" w:hAnsi="Arial" w:cs="Arial"/>
          <w:sz w:val="22"/>
        </w:rPr>
        <w:t>A</w:t>
      </w:r>
      <w:r w:rsidR="008604E2" w:rsidRPr="008604E2">
        <w:rPr>
          <w:rFonts w:ascii="Arial" w:hAnsi="Arial" w:cs="Arial"/>
          <w:sz w:val="22"/>
        </w:rPr>
        <w:t xml:space="preserve">lcance de la regla de la </w:t>
      </w:r>
      <w:proofErr w:type="spellStart"/>
      <w:r w:rsidR="008604E2" w:rsidRPr="008604E2">
        <w:rPr>
          <w:rFonts w:ascii="Arial" w:hAnsi="Arial" w:cs="Arial"/>
          <w:sz w:val="22"/>
        </w:rPr>
        <w:t>subsanabilidad</w:t>
      </w:r>
      <w:proofErr w:type="spellEnd"/>
      <w:r w:rsidR="008604E2" w:rsidRPr="008604E2">
        <w:rPr>
          <w:rFonts w:ascii="Arial" w:hAnsi="Arial" w:cs="Arial"/>
          <w:sz w:val="22"/>
        </w:rPr>
        <w:t xml:space="preserve"> de las ofertas en los procesos de selección que utilizan documentos tipo</w:t>
      </w:r>
      <w:r w:rsidR="008604E2">
        <w:rPr>
          <w:rFonts w:ascii="Arial" w:hAnsi="Arial" w:cs="Arial"/>
          <w:sz w:val="22"/>
        </w:rPr>
        <w:t>;</w:t>
      </w:r>
      <w:r w:rsidRPr="00102854">
        <w:rPr>
          <w:rFonts w:ascii="Arial" w:hAnsi="Arial" w:cs="Arial"/>
          <w:sz w:val="22"/>
        </w:rPr>
        <w:t xml:space="preserve"> </w:t>
      </w:r>
      <w:r w:rsidR="008604E2">
        <w:rPr>
          <w:rFonts w:ascii="Arial" w:hAnsi="Arial" w:cs="Arial"/>
          <w:sz w:val="22"/>
        </w:rPr>
        <w:t xml:space="preserve">y </w:t>
      </w:r>
      <w:proofErr w:type="spellStart"/>
      <w:r w:rsidR="008604E2">
        <w:rPr>
          <w:rFonts w:ascii="Arial" w:hAnsi="Arial" w:cs="Arial"/>
          <w:sz w:val="22"/>
        </w:rPr>
        <w:t>iv</w:t>
      </w:r>
      <w:proofErr w:type="spellEnd"/>
      <w:r w:rsidR="008604E2">
        <w:rPr>
          <w:rFonts w:ascii="Arial" w:hAnsi="Arial" w:cs="Arial"/>
          <w:sz w:val="22"/>
        </w:rPr>
        <w:t xml:space="preserve">) </w:t>
      </w:r>
      <w:r w:rsidRPr="00102854">
        <w:rPr>
          <w:rFonts w:ascii="Arial" w:hAnsi="Arial" w:cs="Arial"/>
          <w:sz w:val="22"/>
        </w:rPr>
        <w:t>Las causales de rechazo y su carácter taxativo en los documentos tipo en los documentos.</w:t>
      </w:r>
    </w:p>
    <w:p w14:paraId="329040D0" w14:textId="77777777" w:rsidR="006B4D51" w:rsidRPr="008604E2" w:rsidRDefault="006B4D51" w:rsidP="009E2B21">
      <w:pPr>
        <w:spacing w:after="120" w:line="276" w:lineRule="auto"/>
        <w:ind w:firstLine="709"/>
        <w:jc w:val="both"/>
        <w:rPr>
          <w:rStyle w:val="normaltextrun"/>
          <w:rFonts w:ascii="Arial" w:hAnsi="Arial" w:cs="Arial"/>
          <w:sz w:val="22"/>
          <w:shd w:val="clear" w:color="auto" w:fill="FFFFFF"/>
          <w:lang w:val="es-CO"/>
        </w:rPr>
      </w:pPr>
      <w:r w:rsidRPr="008604E2">
        <w:rPr>
          <w:rStyle w:val="normaltextrun"/>
          <w:rFonts w:ascii="Arial" w:hAnsi="Arial" w:cs="Arial"/>
          <w:sz w:val="22"/>
          <w:shd w:val="clear" w:color="auto" w:fill="FFFFFF"/>
          <w:lang w:val="es-CO"/>
        </w:rPr>
        <w:t xml:space="preserve">La Agencia Nacional de Contratación Pública − Colombia Compra Eficiente ha abordado el tema de los documentos tipo y las causales de rechazo, entre otros, en los conceptos C–144 de 2 de marzo de 2020, C-174 del 16 de marzo de 2020, C-129 del 24 de marzo de 2020, C-193 del 6 de abril 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w:t>
      </w:r>
      <w:r w:rsidRPr="008604E2">
        <w:rPr>
          <w:rStyle w:val="normaltextrun"/>
          <w:rFonts w:ascii="Arial" w:hAnsi="Arial" w:cs="Arial"/>
          <w:sz w:val="22"/>
          <w:shd w:val="clear" w:color="auto" w:fill="FFFFFF"/>
          <w:lang w:val="es-CO"/>
        </w:rPr>
        <w:lastRenderedPageBreak/>
        <w:t>2020, C-716 del 30 de noviembre de 2020, C-775 del 11 de diciembre de 2020, </w:t>
      </w:r>
      <w:r w:rsidRPr="008604E2">
        <w:rPr>
          <w:rStyle w:val="normaltextrun"/>
          <w:rFonts w:ascii="Arial" w:hAnsi="Arial" w:cs="Arial"/>
          <w:sz w:val="22"/>
          <w:shd w:val="clear" w:color="auto" w:fill="FFFFFF"/>
          <w:lang w:val="es-ES"/>
        </w:rPr>
        <w:t>C-031 del 1 de febrero de 2021,</w:t>
      </w:r>
      <w:r w:rsidRPr="008604E2">
        <w:rPr>
          <w:rStyle w:val="normaltextrun"/>
          <w:rFonts w:ascii="Arial" w:hAnsi="Arial" w:cs="Arial"/>
          <w:sz w:val="22"/>
          <w:shd w:val="clear" w:color="auto" w:fill="FFFFFF"/>
          <w:lang w:val="es-CO"/>
        </w:rPr>
        <w:t xml:space="preserve"> C-027 del 1 de marzo de 2021, C-064 del 8 de marzo 2021, </w:t>
      </w:r>
      <w:r w:rsidRPr="008604E2">
        <w:rPr>
          <w:rFonts w:ascii="Arial" w:eastAsia="Calibri" w:hAnsi="Arial" w:cs="Arial"/>
          <w:sz w:val="22"/>
          <w:szCs w:val="20"/>
        </w:rPr>
        <w:t xml:space="preserve">C-096 del 24 de marzo de 2021, </w:t>
      </w:r>
      <w:r w:rsidRPr="008604E2">
        <w:rPr>
          <w:rStyle w:val="normaltextrun"/>
          <w:rFonts w:ascii="Arial" w:hAnsi="Arial" w:cs="Arial"/>
          <w:sz w:val="22"/>
          <w:shd w:val="clear" w:color="auto" w:fill="FFFFFF"/>
          <w:lang w:val="es-CO"/>
        </w:rPr>
        <w:t xml:space="preserve">C-157 del 13 de abril de 2021, </w:t>
      </w:r>
      <w:r w:rsidRPr="008604E2">
        <w:rPr>
          <w:rFonts w:ascii="Arial" w:eastAsia="Calibri" w:hAnsi="Arial" w:cs="Arial"/>
          <w:sz w:val="22"/>
          <w:szCs w:val="20"/>
        </w:rPr>
        <w:t xml:space="preserve">C-056 del 20 de abril de 2021, </w:t>
      </w:r>
      <w:r w:rsidRPr="008604E2">
        <w:rPr>
          <w:rStyle w:val="normaltextrun"/>
          <w:rFonts w:ascii="Arial" w:hAnsi="Arial" w:cs="Arial"/>
          <w:sz w:val="22"/>
          <w:shd w:val="clear" w:color="auto" w:fill="FFFFFF"/>
          <w:lang w:val="es-CO"/>
        </w:rPr>
        <w:t>C-204 del 6 de mayo de 2021, C-555 del 20 de octubre de 2021, C-691 del 28 de diciembre de 2021, C-753 del 06 de febrero de 2022, C-078 del 15 de marzo de 2022, C-321 del 17 de mayo de 2022, C-113 del 22 de marzo de 2022, C-178 C-186  del 12 de abril de 2022</w:t>
      </w:r>
      <w:r w:rsidRPr="009E2B21">
        <w:rPr>
          <w:rStyle w:val="Refdenotaalpie"/>
          <w:rFonts w:ascii="Arial" w:hAnsi="Arial" w:cs="Arial"/>
          <w:sz w:val="22"/>
          <w:shd w:val="clear" w:color="auto" w:fill="FFFFFF"/>
          <w:lang w:val="es-CO"/>
        </w:rPr>
        <w:footnoteReference w:id="1"/>
      </w:r>
      <w:r w:rsidRPr="008604E2">
        <w:rPr>
          <w:rStyle w:val="normaltextrun"/>
          <w:rFonts w:ascii="Arial" w:hAnsi="Arial" w:cs="Arial"/>
          <w:sz w:val="22"/>
          <w:shd w:val="clear" w:color="auto" w:fill="FFFFFF"/>
          <w:lang w:val="es-CO"/>
        </w:rPr>
        <w:t xml:space="preserve"> y C-444 del 30 de junio de 2022.</w:t>
      </w:r>
    </w:p>
    <w:p w14:paraId="75155531" w14:textId="25665A60" w:rsidR="006B4D51" w:rsidRPr="008604E2" w:rsidRDefault="006B4D51" w:rsidP="006B4D51">
      <w:pPr>
        <w:spacing w:line="276" w:lineRule="auto"/>
        <w:ind w:firstLine="708"/>
        <w:jc w:val="both"/>
        <w:rPr>
          <w:rFonts w:ascii="Arial" w:hAnsi="Arial" w:cs="Arial"/>
          <w:sz w:val="22"/>
          <w:shd w:val="clear" w:color="auto" w:fill="FFFFFF"/>
          <w:lang w:val="es-CO"/>
        </w:rPr>
      </w:pPr>
      <w:r w:rsidRPr="008604E2">
        <w:rPr>
          <w:rStyle w:val="normaltextrun"/>
          <w:rFonts w:ascii="Arial" w:hAnsi="Arial" w:cs="Arial"/>
          <w:sz w:val="22"/>
          <w:shd w:val="clear" w:color="auto" w:fill="FFFFFF"/>
          <w:lang w:val="es-CO"/>
        </w:rPr>
        <w:t xml:space="preserve">Así mismo, </w:t>
      </w:r>
      <w:r w:rsidRPr="008604E2">
        <w:rPr>
          <w:rFonts w:ascii="Arial" w:eastAsia="Calibri" w:hAnsi="Arial" w:cs="Arial"/>
          <w:bCs/>
          <w:sz w:val="22"/>
        </w:rPr>
        <w:t xml:space="preserve">en el concepto con radicado No. 4201912000004987 del 14 de agosto de 2019, reiterado y desarrollado en los conceptos No. </w:t>
      </w:r>
      <w:r w:rsidRPr="008604E2">
        <w:rPr>
          <w:rFonts w:ascii="Arial" w:eastAsia="Calibri" w:hAnsi="Arial" w:cs="Arial"/>
          <w:sz w:val="22"/>
        </w:rPr>
        <w:t xml:space="preserve">4201913000005675 del 25 de septiembre de 2019, 4201912000005852 del 25 de septiembre de 2019, 4201912000006447 del 10 de octubre de 2019, </w:t>
      </w:r>
      <w:r w:rsidRPr="008604E2">
        <w:rPr>
          <w:rFonts w:ascii="Arial" w:hAnsi="Arial" w:cs="Arial"/>
          <w:sz w:val="22"/>
        </w:rPr>
        <w:t>4201912000006498 del 7 de octubre de 2019,</w:t>
      </w:r>
      <w:r w:rsidRPr="008604E2">
        <w:rPr>
          <w:rFonts w:ascii="Arial" w:eastAsia="Calibri" w:hAnsi="Arial" w:cs="Arial"/>
          <w:sz w:val="22"/>
        </w:rPr>
        <w:t xml:space="preserve"> 4201912000007471 del 13 de noviembre de 2019,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C – 435 de 1° de septiembre de 2021 y C-640 del 12 de noviembre de 2021 se pronunció acerca del Formulario 1 – Formulario de Presupuesto Oficial de los Documentos Tipo. Finalmente, en el concepto C-549 del 31 de agosto de 2022 se pronunció sobre el alcance y entendimiento de la causal de rechazo W. </w:t>
      </w:r>
      <w:r w:rsidRPr="008604E2">
        <w:rPr>
          <w:rStyle w:val="normaltextrun"/>
          <w:rFonts w:ascii="Arial" w:hAnsi="Arial" w:cs="Arial"/>
          <w:sz w:val="22"/>
          <w:shd w:val="clear" w:color="auto" w:fill="FFFFFF"/>
          <w:lang w:val="es-CO"/>
        </w:rPr>
        <w:t>Las tesis desarrolladas en estos conceptos se reiteran a continuación y se complementan en lo pertinente.</w:t>
      </w:r>
    </w:p>
    <w:p w14:paraId="4E72285E" w14:textId="77777777" w:rsidR="006B4D51" w:rsidRPr="00D67C1A" w:rsidRDefault="006B4D51" w:rsidP="006B4D51">
      <w:pPr>
        <w:spacing w:line="276" w:lineRule="auto"/>
        <w:jc w:val="both"/>
        <w:rPr>
          <w:rFonts w:ascii="Arial" w:eastAsia="Calibri" w:hAnsi="Arial" w:cs="Arial"/>
          <w:b/>
          <w:bCs/>
          <w:sz w:val="22"/>
          <w:lang w:val="es-CO"/>
        </w:rPr>
      </w:pPr>
    </w:p>
    <w:p w14:paraId="0C8389D3" w14:textId="77777777" w:rsidR="006B4D51" w:rsidRPr="00D67C1A" w:rsidRDefault="006B4D51" w:rsidP="006B4D51">
      <w:pPr>
        <w:spacing w:line="276" w:lineRule="auto"/>
        <w:jc w:val="both"/>
        <w:rPr>
          <w:rFonts w:ascii="Arial" w:eastAsia="Calibri" w:hAnsi="Arial" w:cs="Arial"/>
          <w:b/>
          <w:bCs/>
          <w:sz w:val="22"/>
        </w:rPr>
      </w:pPr>
      <w:r w:rsidRPr="00D67C1A">
        <w:rPr>
          <w:rFonts w:ascii="Arial" w:eastAsia="Calibri" w:hAnsi="Arial" w:cs="Arial"/>
          <w:b/>
          <w:bCs/>
          <w:sz w:val="22"/>
        </w:rPr>
        <w:t>2.1. Expedición de los documentos tipo de obra pública de infraestructura de transporte</w:t>
      </w:r>
    </w:p>
    <w:p w14:paraId="2D4B17CE" w14:textId="77777777" w:rsidR="006B4D51" w:rsidRPr="00D67C1A" w:rsidRDefault="006B4D51" w:rsidP="006B4D51">
      <w:pPr>
        <w:spacing w:line="276" w:lineRule="auto"/>
        <w:jc w:val="both"/>
        <w:rPr>
          <w:rFonts w:ascii="Arial" w:eastAsia="Calibri" w:hAnsi="Arial" w:cs="Arial"/>
          <w:b/>
          <w:bCs/>
          <w:sz w:val="22"/>
        </w:rPr>
      </w:pPr>
    </w:p>
    <w:p w14:paraId="34DCFD7F" w14:textId="77777777" w:rsidR="006B4D51" w:rsidRPr="00D67C1A" w:rsidRDefault="006B4D51" w:rsidP="006B4D51">
      <w:pPr>
        <w:shd w:val="clear" w:color="auto" w:fill="FFFFFF"/>
        <w:spacing w:after="120" w:line="276" w:lineRule="auto"/>
        <w:jc w:val="both"/>
        <w:rPr>
          <w:rFonts w:ascii="Arial" w:eastAsia="Calibri" w:hAnsi="Arial" w:cs="Arial"/>
          <w:sz w:val="22"/>
          <w:bdr w:val="none" w:sz="0" w:space="0" w:color="auto" w:frame="1"/>
          <w:lang w:eastAsia="es-CO"/>
        </w:rPr>
      </w:pPr>
      <w:r w:rsidRPr="00D67C1A">
        <w:rPr>
          <w:rFonts w:ascii="Arial" w:eastAsia="Calibri" w:hAnsi="Arial" w:cs="Arial"/>
          <w:sz w:val="22"/>
          <w:bdr w:val="none" w:sz="0" w:space="0" w:color="auto" w:frame="1"/>
          <w:lang w:eastAsia="es-CO"/>
        </w:rPr>
        <w:t>Los pliegos tipo tiene su origen en el 2007, cuando el legislador facultó al Gobierno Nacional para adoptarlos en la compra o suministro de bienes de características técnicas uniformes</w:t>
      </w:r>
      <w:r w:rsidRPr="00D67C1A">
        <w:rPr>
          <w:rFonts w:ascii="Arial" w:eastAsia="Calibri" w:hAnsi="Arial" w:cs="Arial"/>
          <w:sz w:val="22"/>
          <w:bdr w:val="none" w:sz="0" w:space="0" w:color="auto" w:frame="1"/>
          <w:vertAlign w:val="superscript"/>
          <w:lang w:eastAsia="es-CO"/>
        </w:rPr>
        <w:footnoteReference w:id="2"/>
      </w:r>
      <w:r w:rsidRPr="00D67C1A">
        <w:rPr>
          <w:rFonts w:ascii="Arial" w:eastAsia="Calibri" w:hAnsi="Arial" w:cs="Arial"/>
          <w:sz w:val="22"/>
          <w:bdr w:val="none" w:sz="0" w:space="0" w:color="auto" w:frame="1"/>
          <w:lang w:eastAsia="es-CO"/>
        </w:rPr>
        <w:t xml:space="preserve">. La orientación inicial del proyecto que se convirtió en la Ley 1150 de 2007 era facultar al Gobierno Nacional para adoptar los pliegos tipo en todos los contratos estatales, </w:t>
      </w:r>
      <w:r w:rsidRPr="00D67C1A">
        <w:rPr>
          <w:rFonts w:ascii="Arial" w:eastAsia="Calibri" w:hAnsi="Arial" w:cs="Arial"/>
          <w:sz w:val="22"/>
          <w:bdr w:val="none" w:sz="0" w:space="0" w:color="auto" w:frame="1"/>
          <w:lang w:eastAsia="es-CO"/>
        </w:rPr>
        <w:lastRenderedPageBreak/>
        <w:t>pues en el proyecto el parágrafo 3º disponía que: «El Gobierno Nacional tendrá la facultad de estandarizar los pliegos de condiciones o términos de referencia y los contratos de las entidades estatales»</w:t>
      </w:r>
      <w:r w:rsidRPr="00D67C1A">
        <w:rPr>
          <w:rFonts w:ascii="Arial" w:eastAsia="Calibri" w:hAnsi="Arial" w:cs="Arial"/>
          <w:sz w:val="22"/>
          <w:bdr w:val="none" w:sz="0" w:space="0" w:color="auto" w:frame="1"/>
          <w:vertAlign w:val="superscript"/>
          <w:lang w:eastAsia="es-CO"/>
        </w:rPr>
        <w:footnoteReference w:id="3"/>
      </w:r>
      <w:r w:rsidRPr="00D67C1A">
        <w:rPr>
          <w:rFonts w:ascii="Arial" w:eastAsia="Calibri" w:hAnsi="Arial" w:cs="Arial"/>
          <w:sz w:val="22"/>
          <w:bdr w:val="none" w:sz="0" w:space="0" w:color="auto" w:frame="1"/>
          <w:lang w:eastAsia="es-CO"/>
        </w:rPr>
        <w:t>. </w:t>
      </w:r>
    </w:p>
    <w:p w14:paraId="1CF5CBCD" w14:textId="77777777" w:rsidR="006B4D51" w:rsidRPr="00D67C1A" w:rsidRDefault="006B4D51" w:rsidP="006B4D51">
      <w:pPr>
        <w:shd w:val="clear" w:color="auto" w:fill="FFFFFF"/>
        <w:spacing w:line="276" w:lineRule="auto"/>
        <w:ind w:firstLine="708"/>
        <w:jc w:val="both"/>
        <w:rPr>
          <w:rFonts w:ascii="Arial" w:eastAsia="Calibri" w:hAnsi="Arial" w:cs="Arial"/>
          <w:sz w:val="22"/>
          <w:bdr w:val="none" w:sz="0" w:space="0" w:color="auto" w:frame="1"/>
          <w:lang w:eastAsia="es-CO"/>
        </w:rPr>
      </w:pPr>
      <w:r w:rsidRPr="00D67C1A">
        <w:rPr>
          <w:rFonts w:ascii="Arial" w:eastAsia="Calibri" w:hAnsi="Arial" w:cs="Arial"/>
          <w:sz w:val="22"/>
          <w:bdr w:val="none" w:sz="0" w:space="0" w:color="auto" w:frame="1"/>
          <w:lang w:eastAsia="es-CO"/>
        </w:rPr>
        <w:t xml:space="preserve">La intención era agilizar y generar la mayor transparencia a los procedimientos de selección, así como evitar </w:t>
      </w:r>
      <w:r>
        <w:rPr>
          <w:rFonts w:ascii="Arial" w:eastAsia="Calibri" w:hAnsi="Arial" w:cs="Arial"/>
          <w:sz w:val="22"/>
          <w:bdr w:val="none" w:sz="0" w:space="0" w:color="auto" w:frame="1"/>
          <w:lang w:eastAsia="es-CO"/>
        </w:rPr>
        <w:t xml:space="preserve">su </w:t>
      </w:r>
      <w:r w:rsidRPr="00D67C1A">
        <w:rPr>
          <w:rFonts w:ascii="Arial" w:eastAsia="Calibri" w:hAnsi="Arial" w:cs="Arial"/>
          <w:sz w:val="22"/>
          <w:bdr w:val="none" w:sz="0" w:space="0" w:color="auto" w:frame="1"/>
          <w:lang w:eastAsia="es-CO"/>
        </w:rPr>
        <w:t>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w:t>
      </w:r>
      <w:r w:rsidRPr="00D67C1A">
        <w:rPr>
          <w:rFonts w:ascii="Arial" w:eastAsia="Calibri" w:hAnsi="Arial" w:cs="Arial"/>
          <w:sz w:val="22"/>
          <w:bdr w:val="none" w:sz="0" w:space="0" w:color="auto" w:frame="1"/>
          <w:vertAlign w:val="superscript"/>
          <w:lang w:eastAsia="es-CO"/>
        </w:rPr>
        <w:footnoteReference w:id="4"/>
      </w:r>
      <w:r w:rsidRPr="00D67C1A">
        <w:rPr>
          <w:rFonts w:ascii="Arial" w:eastAsia="Calibri" w:hAnsi="Arial" w:cs="Arial"/>
          <w:sz w:val="22"/>
          <w:bdr w:val="none" w:sz="0" w:space="0" w:color="auto" w:frame="1"/>
          <w:lang w:eastAsia="es-CO"/>
        </w:rPr>
        <w:t>. Sin embargo, en el texto aprobado, los pliegos tipo se limitaron a la adquisición o suministro de bienes de características técnicas uniformes</w:t>
      </w:r>
      <w:r w:rsidRPr="00D67C1A">
        <w:rPr>
          <w:rFonts w:ascii="Arial" w:eastAsia="Calibri" w:hAnsi="Arial" w:cs="Arial"/>
          <w:sz w:val="22"/>
          <w:bdr w:val="none" w:sz="0" w:space="0" w:color="auto" w:frame="1"/>
          <w:vertAlign w:val="superscript"/>
          <w:lang w:eastAsia="es-CO"/>
        </w:rPr>
        <w:footnoteReference w:id="5"/>
      </w:r>
      <w:r w:rsidRPr="00D67C1A">
        <w:rPr>
          <w:rFonts w:ascii="Arial" w:eastAsia="Calibri" w:hAnsi="Arial" w:cs="Arial"/>
          <w:sz w:val="22"/>
          <w:bdr w:val="none" w:sz="0" w:space="0" w:color="auto" w:frame="1"/>
          <w:lang w:eastAsia="es-CO"/>
        </w:rPr>
        <w:t>. </w:t>
      </w:r>
      <w:r>
        <w:rPr>
          <w:rFonts w:ascii="Arial" w:eastAsia="Calibri" w:hAnsi="Arial" w:cs="Arial"/>
          <w:sz w:val="22"/>
          <w:bdr w:val="none" w:sz="0" w:space="0" w:color="auto" w:frame="1"/>
          <w:lang w:eastAsia="es-CO"/>
        </w:rPr>
        <w:t xml:space="preserve">La competencia para adoptar documentos tipo fue ampliada con la expedición de la Ley 1882 de 2018, la cual en su artículo 4 adicionó el   parágrafo 7º del artículo 2 de </w:t>
      </w:r>
      <w:r w:rsidRPr="00D67C1A">
        <w:rPr>
          <w:rFonts w:ascii="Arial" w:eastAsia="Calibri" w:hAnsi="Arial" w:cs="Arial"/>
          <w:sz w:val="22"/>
          <w:bdr w:val="none" w:sz="0" w:space="0" w:color="auto" w:frame="1"/>
          <w:lang w:eastAsia="es-CO"/>
        </w:rPr>
        <w:t>la Ley 1150 de 2007</w:t>
      </w:r>
      <w:proofErr w:type="gramStart"/>
      <w:r w:rsidRPr="00D67C1A">
        <w:rPr>
          <w:rFonts w:ascii="Arial" w:eastAsia="Calibri" w:hAnsi="Arial" w:cs="Arial"/>
          <w:sz w:val="22"/>
          <w:bdr w:val="none" w:sz="0" w:space="0" w:color="auto" w:frame="1"/>
          <w:lang w:eastAsia="es-CO"/>
        </w:rPr>
        <w:t>, ,</w:t>
      </w:r>
      <w:proofErr w:type="gramEnd"/>
      <w:r w:rsidRPr="00D67C1A">
        <w:rPr>
          <w:rFonts w:ascii="Arial" w:eastAsia="Calibri" w:hAnsi="Arial" w:cs="Arial"/>
          <w:sz w:val="22"/>
          <w:bdr w:val="none" w:sz="0" w:space="0" w:color="auto" w:frame="1"/>
          <w:lang w:eastAsia="es-CO"/>
        </w:rPr>
        <w:t xml:space="preserve"> en los siguientes términos: </w:t>
      </w:r>
    </w:p>
    <w:p w14:paraId="1C984912" w14:textId="77777777" w:rsidR="006B4D51" w:rsidRPr="00D67C1A" w:rsidRDefault="006B4D51" w:rsidP="006B4D51">
      <w:pPr>
        <w:shd w:val="clear" w:color="auto" w:fill="FFFFFF"/>
        <w:spacing w:line="276" w:lineRule="auto"/>
        <w:ind w:firstLine="709"/>
        <w:jc w:val="both"/>
        <w:rPr>
          <w:rFonts w:ascii="Arial" w:eastAsia="Calibri" w:hAnsi="Arial" w:cs="Arial"/>
          <w:sz w:val="22"/>
          <w:lang w:eastAsia="es-CO"/>
        </w:rPr>
      </w:pPr>
    </w:p>
    <w:p w14:paraId="193809F6" w14:textId="77777777" w:rsidR="006B4D51" w:rsidRPr="00D67C1A" w:rsidRDefault="006B4D51" w:rsidP="006B4D51">
      <w:pPr>
        <w:shd w:val="clear" w:color="auto" w:fill="FFFFFF"/>
        <w:ind w:left="709" w:right="709"/>
        <w:jc w:val="both"/>
        <w:rPr>
          <w:rFonts w:ascii="Arial" w:eastAsia="Calibri" w:hAnsi="Arial" w:cs="Arial"/>
          <w:sz w:val="21"/>
          <w:szCs w:val="21"/>
          <w:bdr w:val="none" w:sz="0" w:space="0" w:color="auto" w:frame="1"/>
          <w:lang w:eastAsia="es-CO"/>
        </w:rPr>
      </w:pPr>
      <w:r w:rsidRPr="00D67C1A">
        <w:rPr>
          <w:rFonts w:ascii="Arial" w:hAnsi="Arial" w:cs="Arial"/>
          <w:color w:val="000000" w:themeColor="text1"/>
          <w:sz w:val="21"/>
          <w:szCs w:val="21"/>
          <w:lang w:val="es-ES_tradnl"/>
        </w:rPr>
        <w:t>«</w:t>
      </w:r>
      <w:r w:rsidRPr="00D67C1A">
        <w:rPr>
          <w:rFonts w:ascii="Arial" w:eastAsia="Calibri" w:hAnsi="Arial" w:cs="Arial"/>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D67C1A">
        <w:rPr>
          <w:rFonts w:ascii="Arial" w:eastAsia="Calibri" w:hAnsi="Arial" w:cs="Arial"/>
          <w:i/>
          <w:iCs/>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D67C1A">
        <w:rPr>
          <w:rFonts w:ascii="Arial" w:eastAsia="Calibri" w:hAnsi="Arial" w:cs="Arial"/>
          <w:sz w:val="21"/>
          <w:szCs w:val="21"/>
          <w:bdr w:val="none" w:sz="0" w:space="0" w:color="auto" w:frame="1"/>
          <w:lang w:eastAsia="es-CO"/>
        </w:rPr>
        <w:t> […] </w:t>
      </w:r>
      <w:r w:rsidRPr="00D67C1A">
        <w:rPr>
          <w:rFonts w:ascii="Arial" w:eastAsia="Calibri" w:hAnsi="Arial" w:cs="Arial"/>
          <w:i/>
          <w:iCs/>
          <w:sz w:val="21"/>
          <w:szCs w:val="21"/>
          <w:bdr w:val="none" w:sz="0" w:space="0" w:color="auto" w:frame="1"/>
          <w:lang w:eastAsia="es-CO"/>
        </w:rPr>
        <w:t>teniendo en cuenta la naturaleza y cuantía de los contratos</w:t>
      </w:r>
      <w:r w:rsidRPr="00D67C1A">
        <w:rPr>
          <w:rFonts w:ascii="Arial" w:eastAsia="Calibri" w:hAnsi="Arial" w:cs="Arial"/>
          <w:sz w:val="21"/>
          <w:szCs w:val="21"/>
          <w:bdr w:val="none" w:sz="0" w:space="0" w:color="auto" w:frame="1"/>
          <w:lang w:eastAsia="es-CO"/>
        </w:rPr>
        <w:t> […]</w:t>
      </w:r>
      <w:r w:rsidRPr="00D67C1A">
        <w:rPr>
          <w:rFonts w:ascii="Arial" w:hAnsi="Arial" w:cs="Arial"/>
          <w:color w:val="000000" w:themeColor="text1"/>
          <w:sz w:val="21"/>
          <w:szCs w:val="21"/>
          <w:lang w:val="es-ES_tradnl"/>
        </w:rPr>
        <w:t>»</w:t>
      </w:r>
      <w:r w:rsidRPr="00D67C1A">
        <w:rPr>
          <w:rFonts w:ascii="Arial" w:eastAsia="Calibri" w:hAnsi="Arial" w:cs="Arial"/>
          <w:sz w:val="21"/>
          <w:szCs w:val="21"/>
          <w:bdr w:val="none" w:sz="0" w:space="0" w:color="auto" w:frame="1"/>
          <w:lang w:eastAsia="es-CO"/>
        </w:rPr>
        <w:t>. (Énfasis fuera de texto) </w:t>
      </w:r>
    </w:p>
    <w:p w14:paraId="15E2F4B7" w14:textId="77777777" w:rsidR="006B4D51" w:rsidRPr="00D67C1A" w:rsidRDefault="006B4D51" w:rsidP="006B4D51">
      <w:pPr>
        <w:shd w:val="clear" w:color="auto" w:fill="FFFFFF"/>
        <w:spacing w:line="276" w:lineRule="auto"/>
        <w:ind w:left="709" w:right="709"/>
        <w:jc w:val="both"/>
        <w:rPr>
          <w:rFonts w:ascii="Arial" w:eastAsia="Calibri" w:hAnsi="Arial" w:cs="Arial"/>
          <w:sz w:val="22"/>
          <w:lang w:eastAsia="es-CO"/>
        </w:rPr>
      </w:pPr>
    </w:p>
    <w:p w14:paraId="3ED2DBDC" w14:textId="77777777" w:rsidR="006B4D51" w:rsidRPr="00D67C1A" w:rsidRDefault="006B4D51" w:rsidP="006B4D51">
      <w:pPr>
        <w:shd w:val="clear" w:color="auto" w:fill="FFFFFF"/>
        <w:spacing w:after="120" w:line="276" w:lineRule="auto"/>
        <w:ind w:firstLine="708"/>
        <w:jc w:val="both"/>
        <w:rPr>
          <w:rFonts w:ascii="Arial" w:eastAsia="Calibri" w:hAnsi="Arial" w:cs="Arial"/>
          <w:sz w:val="22"/>
          <w:bdr w:val="none" w:sz="0" w:space="0" w:color="auto" w:frame="1"/>
          <w:lang w:eastAsia="es-CO"/>
        </w:rPr>
      </w:pPr>
      <w:r>
        <w:rPr>
          <w:rFonts w:ascii="Arial" w:eastAsia="Calibri" w:hAnsi="Arial" w:cs="Arial"/>
          <w:sz w:val="22"/>
          <w:bdr w:val="none" w:sz="0" w:space="0" w:color="auto" w:frame="1"/>
          <w:lang w:eastAsia="es-CO"/>
        </w:rPr>
        <w:t xml:space="preserve">Posteriormente, fue expedida la Ley 2022 de 2020, la cual modificó </w:t>
      </w:r>
      <w:r w:rsidRPr="00D67C1A">
        <w:rPr>
          <w:rFonts w:ascii="Arial" w:eastAsia="Calibri" w:hAnsi="Arial" w:cs="Arial"/>
          <w:sz w:val="22"/>
          <w:bdr w:val="none" w:sz="0" w:space="0" w:color="auto" w:frame="1"/>
          <w:lang w:eastAsia="es-CO"/>
        </w:rPr>
        <w:t xml:space="preserve">el artículo 4 de la Ley 1882 de 2018 en relación con los siguientes aspectos: i) el sujeto encargado de </w:t>
      </w:r>
      <w:r>
        <w:rPr>
          <w:rFonts w:ascii="Arial" w:eastAsia="Calibri" w:hAnsi="Arial" w:cs="Arial"/>
          <w:sz w:val="22"/>
          <w:bdr w:val="none" w:sz="0" w:space="0" w:color="auto" w:frame="1"/>
          <w:lang w:eastAsia="es-CO"/>
        </w:rPr>
        <w:t xml:space="preserve">adoptar </w:t>
      </w:r>
      <w:r w:rsidRPr="00D67C1A">
        <w:rPr>
          <w:rFonts w:ascii="Arial" w:eastAsia="Calibri" w:hAnsi="Arial" w:cs="Arial"/>
          <w:sz w:val="22"/>
          <w:bdr w:val="none" w:sz="0" w:space="0" w:color="auto" w:frame="1"/>
          <w:lang w:eastAsia="es-CO"/>
        </w:rPr>
        <w:t xml:space="preserve"> los documentos tipo, ya que antes se señalaba al Gobierno nacional y ahora la entidad encargada directamente por la Ley es la Agencia Nacional de Contratación Pública – Colombia Compra Eficiente o quien haga sus veces; </w:t>
      </w:r>
      <w:proofErr w:type="spellStart"/>
      <w:r w:rsidRPr="00D67C1A">
        <w:rPr>
          <w:rFonts w:ascii="Arial" w:eastAsia="Calibri" w:hAnsi="Arial" w:cs="Arial"/>
          <w:sz w:val="22"/>
          <w:bdr w:val="none" w:sz="0" w:space="0" w:color="auto" w:frame="1"/>
          <w:lang w:eastAsia="es-CO"/>
        </w:rPr>
        <w:t>ii</w:t>
      </w:r>
      <w:proofErr w:type="spellEnd"/>
      <w:r w:rsidRPr="00D67C1A">
        <w:rPr>
          <w:rFonts w:ascii="Arial" w:eastAsia="Calibri" w:hAnsi="Arial" w:cs="Arial"/>
          <w:sz w:val="22"/>
          <w:bdr w:val="none" w:sz="0" w:space="0" w:color="auto" w:frame="1"/>
          <w:lang w:eastAsia="es-CO"/>
        </w:rPr>
        <w:t xml:space="preserve">) la inclusión de buenas prácticas contractuales y los principios de la contratación pública para establecer los requisitos habilitantes, factores técnicos, económicos y otros factores de escogencia en los documentos tipo; </w:t>
      </w:r>
      <w:proofErr w:type="spellStart"/>
      <w:r w:rsidRPr="00D67C1A">
        <w:rPr>
          <w:rFonts w:ascii="Arial" w:eastAsia="Calibri" w:hAnsi="Arial" w:cs="Arial"/>
          <w:sz w:val="22"/>
          <w:bdr w:val="none" w:sz="0" w:space="0" w:color="auto" w:frame="1"/>
          <w:lang w:eastAsia="es-CO"/>
        </w:rPr>
        <w:t>iii</w:t>
      </w:r>
      <w:proofErr w:type="spellEnd"/>
      <w:r w:rsidRPr="00D67C1A">
        <w:rPr>
          <w:rFonts w:ascii="Arial" w:eastAsia="Calibri" w:hAnsi="Arial" w:cs="Arial"/>
          <w:sz w:val="22"/>
          <w:bdr w:val="none" w:sz="0" w:space="0" w:color="auto" w:frame="1"/>
          <w:lang w:eastAsia="es-CO"/>
        </w:rPr>
        <w:t xml:space="preserve">) la implementación de procesos de capacitación en los municipios para la utilización de los documentos tipo, buscando el desarrollo de la economía local, y </w:t>
      </w:r>
      <w:proofErr w:type="spellStart"/>
      <w:r w:rsidRPr="00D67C1A">
        <w:rPr>
          <w:rFonts w:ascii="Arial" w:eastAsia="Calibri" w:hAnsi="Arial" w:cs="Arial"/>
          <w:sz w:val="22"/>
          <w:bdr w:val="none" w:sz="0" w:space="0" w:color="auto" w:frame="1"/>
          <w:lang w:eastAsia="es-CO"/>
        </w:rPr>
        <w:t>iv</w:t>
      </w:r>
      <w:proofErr w:type="spellEnd"/>
      <w:r w:rsidRPr="00D67C1A">
        <w:rPr>
          <w:rFonts w:ascii="Arial" w:eastAsia="Calibri" w:hAnsi="Arial" w:cs="Arial"/>
          <w:sz w:val="22"/>
          <w:bdr w:val="none" w:sz="0" w:space="0" w:color="auto" w:frame="1"/>
          <w:lang w:eastAsia="es-CO"/>
        </w:rPr>
        <w:t xml:space="preserve">) las </w:t>
      </w:r>
      <w:r w:rsidRPr="00D67C1A">
        <w:rPr>
          <w:rFonts w:ascii="Arial" w:eastAsia="Calibri" w:hAnsi="Arial" w:cs="Arial"/>
          <w:sz w:val="22"/>
          <w:bdr w:val="none" w:sz="0" w:space="0" w:color="auto" w:frame="1"/>
          <w:lang w:eastAsia="es-CO"/>
        </w:rPr>
        <w:lastRenderedPageBreak/>
        <w:t>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D67C1A">
        <w:rPr>
          <w:rFonts w:ascii="Arial" w:eastAsia="Calibri" w:hAnsi="Arial" w:cs="Arial"/>
          <w:sz w:val="22"/>
          <w:bdr w:val="none" w:sz="0" w:space="0" w:color="auto" w:frame="1"/>
          <w:vertAlign w:val="superscript"/>
          <w:lang w:eastAsia="es-CO"/>
        </w:rPr>
        <w:footnoteReference w:id="6"/>
      </w:r>
      <w:r w:rsidRPr="00D67C1A">
        <w:rPr>
          <w:rFonts w:ascii="Arial" w:eastAsia="Calibri" w:hAnsi="Arial" w:cs="Arial"/>
          <w:sz w:val="22"/>
          <w:bdr w:val="none" w:sz="0" w:space="0" w:color="auto" w:frame="1"/>
          <w:lang w:eastAsia="es-CO"/>
        </w:rPr>
        <w:t>.  </w:t>
      </w:r>
    </w:p>
    <w:p w14:paraId="3A49566C" w14:textId="77777777" w:rsidR="006B4D51" w:rsidRPr="00D67C1A" w:rsidRDefault="006B4D51" w:rsidP="006B4D51">
      <w:pPr>
        <w:spacing w:after="120" w:line="276" w:lineRule="auto"/>
        <w:ind w:firstLine="709"/>
        <w:jc w:val="both"/>
        <w:rPr>
          <w:rFonts w:ascii="Arial" w:eastAsia="Times New Roman" w:hAnsi="Arial" w:cs="Arial"/>
          <w:sz w:val="22"/>
          <w:bdr w:val="none" w:sz="0" w:space="0" w:color="auto" w:frame="1"/>
          <w:lang w:val="es-ES_tradnl" w:eastAsia="es-CO"/>
        </w:rPr>
      </w:pPr>
      <w:r w:rsidRPr="00D67C1A">
        <w:rPr>
          <w:rFonts w:ascii="Arial" w:eastAsia="Calibri" w:hAnsi="Arial" w:cs="Arial"/>
          <w:sz w:val="22"/>
          <w:bdr w:val="none" w:sz="0" w:space="0" w:color="auto" w:frame="1"/>
          <w:lang w:eastAsia="es-CO"/>
        </w:rPr>
        <w:t>Con fundamento en las disposiciones anteriores</w:t>
      </w:r>
      <w:r w:rsidRPr="00D67C1A">
        <w:rPr>
          <w:rFonts w:ascii="Arial" w:eastAsia="Times New Roman" w:hAnsi="Arial" w:cs="Arial"/>
          <w:sz w:val="22"/>
          <w:bdr w:val="none" w:sz="0" w:space="0" w:color="auto" w:frame="1"/>
          <w:lang w:val="es-ES_tradnl" w:eastAsia="es-CO"/>
        </w:rPr>
        <w:t>, la Agencia Nacional de Contratación Pública – Colombia Compra Eficiente expidió las Resoluciones No. 240 y 241 del 27 de noviembre 2020, mediante las cuales se adoptan los documentos tipo de licitación de obra pública de infraestructura de transporte –versión 3– y de selección abreviada de menor cuantía de obra de infraestructura de transporte –versión 2</w:t>
      </w:r>
      <w:r w:rsidRPr="00D67C1A">
        <w:rPr>
          <w:rFonts w:ascii="Arial" w:eastAsia="Times New Roman" w:hAnsi="Arial" w:cs="Arial"/>
          <w:sz w:val="22"/>
          <w:bdr w:val="none" w:sz="0" w:space="0" w:color="auto" w:frame="1"/>
          <w:lang w:val="es-ES_tradnl" w:eastAsia="es-CO"/>
        </w:rPr>
        <w:softHyphen/>
        <w:t>–. Estas versiones de los documentos tipo son obligatorias a partir del 1º de enero de 2021. No obstante, con la expedición de la Ley de Emprendimiento, estos se modificaron parcialmente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De igual manera, se adoptaron los documentos tipo de mínima cuantía de obra pública de infraestructura de transporte mediante la Resolución 094 del 21 de mayo de 2020</w:t>
      </w:r>
      <w:r w:rsidRPr="00D67C1A">
        <w:rPr>
          <w:rStyle w:val="Refdenotaalpie"/>
          <w:rFonts w:eastAsia="Calibri"/>
        </w:rPr>
        <w:footnoteReference w:id="7"/>
      </w:r>
      <w:r w:rsidRPr="00D67C1A">
        <w:rPr>
          <w:rFonts w:ascii="Arial" w:eastAsia="Times New Roman" w:hAnsi="Arial" w:cs="Arial"/>
          <w:sz w:val="22"/>
          <w:bdr w:val="none" w:sz="0" w:space="0" w:color="auto" w:frame="1"/>
          <w:lang w:val="es-ES_tradnl" w:eastAsia="es-CO"/>
        </w:rPr>
        <w:t>.</w:t>
      </w:r>
    </w:p>
    <w:p w14:paraId="2A853C5C" w14:textId="77777777" w:rsidR="006B4D51" w:rsidRPr="00D67C1A" w:rsidRDefault="006B4D51" w:rsidP="006B4D51">
      <w:pPr>
        <w:spacing w:after="120" w:line="276" w:lineRule="auto"/>
        <w:ind w:firstLine="709"/>
        <w:jc w:val="both"/>
        <w:rPr>
          <w:rFonts w:ascii="Arial" w:eastAsia="Times New Roman" w:hAnsi="Arial" w:cs="Arial"/>
          <w:sz w:val="22"/>
          <w:bdr w:val="none" w:sz="0" w:space="0" w:color="auto" w:frame="1"/>
          <w:lang w:val="es-ES_tradnl" w:eastAsia="es-CO"/>
        </w:rPr>
      </w:pPr>
      <w:r w:rsidRPr="00D67C1A">
        <w:rPr>
          <w:rFonts w:ascii="Arial" w:eastAsia="Times New Roman" w:hAnsi="Arial" w:cs="Arial"/>
          <w:sz w:val="22"/>
          <w:bdr w:val="none" w:sz="0" w:space="0" w:color="auto" w:frame="1"/>
          <w:lang w:val="es-ES_tradnl" w:eastAsia="es-CO"/>
        </w:rPr>
        <w:lastRenderedPageBreak/>
        <w:t xml:space="preserve">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el cual se modifican los documentos tipo indicados. Esta modificación aplica a los procesos de contratación cuyo aviso de convocatoria se publique a partir del 2 de noviembre de 2021. </w:t>
      </w:r>
    </w:p>
    <w:p w14:paraId="54696811" w14:textId="77777777" w:rsidR="006B4D51" w:rsidRDefault="006B4D51" w:rsidP="006B4D51">
      <w:pPr>
        <w:spacing w:after="120" w:line="276" w:lineRule="auto"/>
        <w:ind w:firstLine="709"/>
        <w:jc w:val="both"/>
        <w:rPr>
          <w:rFonts w:ascii="Arial" w:hAnsi="Arial" w:cs="Arial"/>
          <w:color w:val="000000" w:themeColor="text1"/>
          <w:spacing w:val="2"/>
          <w:sz w:val="22"/>
          <w:lang w:eastAsia="es-CO"/>
        </w:rPr>
      </w:pPr>
      <w:r w:rsidRPr="00D67C1A">
        <w:rPr>
          <w:rFonts w:ascii="Arial" w:hAnsi="Arial" w:cs="Arial"/>
          <w:color w:val="000000" w:themeColor="text1"/>
          <w:spacing w:val="2"/>
          <w:sz w:val="22"/>
          <w:lang w:eastAsia="es-CO"/>
        </w:rPr>
        <w:t xml:space="preserve">Finalmente,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por lo que se expidió la Resolución 275 del 24 de junio de 2022, «Por la cual se modifican los documentos tipo adoptados por la Agencia Nacional de Contratación Pública – Colombia Compra Eficiente». </w:t>
      </w:r>
    </w:p>
    <w:p w14:paraId="077812DE" w14:textId="77777777" w:rsidR="00BB4640" w:rsidRDefault="00BB4640" w:rsidP="006B4D51">
      <w:pPr>
        <w:spacing w:line="276" w:lineRule="auto"/>
        <w:jc w:val="both"/>
        <w:rPr>
          <w:rFonts w:ascii="Arial" w:eastAsia="Calibri" w:hAnsi="Arial" w:cs="Arial"/>
          <w:b/>
          <w:bCs/>
          <w:color w:val="000000" w:themeColor="text1"/>
          <w:sz w:val="22"/>
          <w:lang w:val="es-ES_tradnl"/>
        </w:rPr>
      </w:pPr>
    </w:p>
    <w:p w14:paraId="5B275CD9" w14:textId="524DA321" w:rsidR="006B4D51" w:rsidRPr="00D67C1A" w:rsidRDefault="006B4D51" w:rsidP="006B4D51">
      <w:pPr>
        <w:spacing w:line="276" w:lineRule="auto"/>
        <w:jc w:val="both"/>
        <w:rPr>
          <w:rFonts w:ascii="Arial" w:eastAsia="Calibri" w:hAnsi="Arial" w:cs="Arial"/>
          <w:b/>
          <w:bCs/>
          <w:color w:val="000000"/>
          <w:sz w:val="22"/>
          <w:lang w:eastAsia="en-GB"/>
        </w:rPr>
      </w:pPr>
      <w:r w:rsidRPr="00D67C1A">
        <w:rPr>
          <w:rFonts w:ascii="Arial" w:eastAsia="Calibri" w:hAnsi="Arial" w:cs="Arial"/>
          <w:b/>
          <w:bCs/>
          <w:color w:val="000000" w:themeColor="text1"/>
          <w:sz w:val="22"/>
          <w:lang w:val="es-ES_tradnl"/>
        </w:rPr>
        <w:t>2.</w:t>
      </w:r>
      <w:r>
        <w:rPr>
          <w:rFonts w:ascii="Arial" w:eastAsia="Calibri" w:hAnsi="Arial" w:cs="Arial"/>
          <w:b/>
          <w:bCs/>
          <w:color w:val="000000" w:themeColor="text1"/>
          <w:sz w:val="22"/>
          <w:lang w:val="es-ES_tradnl"/>
        </w:rPr>
        <w:t>2</w:t>
      </w:r>
      <w:r w:rsidRPr="00D67C1A">
        <w:rPr>
          <w:rFonts w:ascii="Arial" w:eastAsia="Calibri" w:hAnsi="Arial" w:cs="Arial"/>
          <w:b/>
          <w:bCs/>
          <w:color w:val="000000" w:themeColor="text1"/>
          <w:sz w:val="22"/>
          <w:lang w:val="es-ES_tradnl"/>
        </w:rPr>
        <w:t xml:space="preserve">. </w:t>
      </w:r>
      <w:r w:rsidRPr="00D67C1A">
        <w:rPr>
          <w:rFonts w:ascii="Arial" w:eastAsia="Calibri" w:hAnsi="Arial" w:cs="Arial"/>
          <w:b/>
          <w:color w:val="000000"/>
          <w:sz w:val="22"/>
          <w:lang w:val="es-ES_tradnl"/>
        </w:rPr>
        <w:t>E</w:t>
      </w:r>
      <w:r w:rsidRPr="00D67C1A">
        <w:rPr>
          <w:rFonts w:ascii="Arial" w:eastAsia="Calibri" w:hAnsi="Arial" w:cs="Arial"/>
          <w:b/>
          <w:sz w:val="22"/>
          <w:lang w:val="es-ES_tradnl"/>
        </w:rPr>
        <w:t xml:space="preserve">l </w:t>
      </w:r>
      <w:r w:rsidRPr="00D67C1A">
        <w:rPr>
          <w:rFonts w:ascii="Arial" w:eastAsia="Calibri" w:hAnsi="Arial" w:cs="Arial"/>
          <w:b/>
          <w:sz w:val="22"/>
          <w:lang w:val="es-ES"/>
        </w:rPr>
        <w:t>«Formulario 1 – Formulario de Presupuesto Oficial</w:t>
      </w:r>
      <w:r w:rsidRPr="00D67C1A">
        <w:rPr>
          <w:rFonts w:ascii="Arial" w:eastAsia="Calibri" w:hAnsi="Arial" w:cs="Arial"/>
          <w:sz w:val="22"/>
          <w:lang w:val="es-ES" w:eastAsia="es-ES" w:bidi="es-ES"/>
        </w:rPr>
        <w:t>»</w:t>
      </w:r>
      <w:r w:rsidRPr="00D67C1A">
        <w:rPr>
          <w:rFonts w:ascii="Arial" w:eastAsia="Calibri" w:hAnsi="Arial" w:cs="Arial"/>
          <w:b/>
          <w:sz w:val="22"/>
          <w:lang w:val="es-ES_tradnl"/>
        </w:rPr>
        <w:t xml:space="preserve"> </w:t>
      </w:r>
    </w:p>
    <w:p w14:paraId="1021E0EE" w14:textId="77777777" w:rsidR="006B4D51" w:rsidRPr="00D67C1A" w:rsidRDefault="006B4D51" w:rsidP="006B4D51">
      <w:pPr>
        <w:spacing w:line="276" w:lineRule="auto"/>
        <w:jc w:val="both"/>
        <w:rPr>
          <w:rFonts w:ascii="Arial" w:eastAsia="Calibri" w:hAnsi="Arial" w:cs="Arial"/>
          <w:b/>
          <w:bCs/>
          <w:color w:val="000000"/>
          <w:sz w:val="22"/>
          <w:lang w:eastAsia="en-GB"/>
        </w:rPr>
      </w:pPr>
    </w:p>
    <w:p w14:paraId="7EBEB3BE" w14:textId="77777777" w:rsidR="006B4D51" w:rsidRPr="00D67C1A" w:rsidRDefault="006B4D51" w:rsidP="006B4D51">
      <w:pPr>
        <w:widowControl w:val="0"/>
        <w:autoSpaceDE w:val="0"/>
        <w:autoSpaceDN w:val="0"/>
        <w:spacing w:after="120" w:line="276" w:lineRule="auto"/>
        <w:jc w:val="both"/>
        <w:rPr>
          <w:rFonts w:ascii="Arial" w:eastAsia="Arial" w:hAnsi="Arial" w:cs="Arial"/>
          <w:sz w:val="22"/>
          <w:lang w:eastAsia="es-ES" w:bidi="es-ES"/>
        </w:rPr>
      </w:pPr>
      <w:r w:rsidRPr="00D67C1A">
        <w:rPr>
          <w:rFonts w:ascii="Arial" w:eastAsia="Arial" w:hAnsi="Arial" w:cs="Arial"/>
          <w:sz w:val="22"/>
          <w:lang w:val="es-ES" w:eastAsia="es-ES" w:bidi="es-ES"/>
        </w:rPr>
        <w:t xml:space="preserve">Los documentos tipo para los procesos de licitación pública, menor cuantía y mínima cuantía de infraestructura de transporte, </w:t>
      </w:r>
      <w:r w:rsidRPr="00D67C1A">
        <w:rPr>
          <w:rFonts w:ascii="Arial" w:eastAsia="Calibri" w:hAnsi="Arial" w:cs="Arial"/>
          <w:sz w:val="22"/>
        </w:rPr>
        <w:t xml:space="preserve">contemplan el </w:t>
      </w:r>
      <w:r w:rsidRPr="00D67C1A">
        <w:rPr>
          <w:rFonts w:ascii="Arial" w:eastAsia="Arial" w:hAnsi="Arial" w:cs="Arial"/>
          <w:sz w:val="22"/>
          <w:lang w:val="es-ES" w:eastAsia="es-ES" w:bidi="es-ES"/>
        </w:rPr>
        <w:t>«Formulario 1 - Formulario de Presupuesto Oficial</w:t>
      </w:r>
      <w:r w:rsidRPr="00D67C1A">
        <w:rPr>
          <w:rFonts w:ascii="Arial" w:eastAsia="Calibri" w:hAnsi="Arial" w:cs="Arial"/>
          <w:sz w:val="22"/>
          <w:lang w:val="es-ES" w:eastAsia="es-ES" w:bidi="es-ES"/>
        </w:rPr>
        <w:t>»</w:t>
      </w:r>
      <w:r w:rsidRPr="00D67C1A">
        <w:rPr>
          <w:rFonts w:ascii="Arial" w:eastAsia="Arial" w:hAnsi="Arial" w:cs="Arial"/>
          <w:sz w:val="22"/>
          <w:lang w:val="es-ES" w:eastAsia="es-ES" w:bidi="es-ES"/>
        </w:rPr>
        <w:t>, empleado por</w:t>
      </w:r>
      <w:r w:rsidRPr="00D67C1A">
        <w:rPr>
          <w:rFonts w:ascii="Arial" w:eastAsia="Arial" w:hAnsi="Arial" w:cs="Arial"/>
          <w:sz w:val="22"/>
          <w:lang w:eastAsia="es-ES" w:bidi="es-ES"/>
        </w:rPr>
        <w:t xml:space="preserve"> la entidad para elaborar y presentar el presupuesto oficial, y mediante el cual el proponente estructura la oferta económica. </w:t>
      </w:r>
    </w:p>
    <w:p w14:paraId="75028372" w14:textId="77777777" w:rsidR="006B4D51" w:rsidRPr="00D67C1A" w:rsidRDefault="006B4D51" w:rsidP="006B4D51">
      <w:pPr>
        <w:widowControl w:val="0"/>
        <w:autoSpaceDE w:val="0"/>
        <w:autoSpaceDN w:val="0"/>
        <w:spacing w:before="120" w:line="276" w:lineRule="auto"/>
        <w:ind w:firstLine="709"/>
        <w:jc w:val="both"/>
        <w:rPr>
          <w:rFonts w:ascii="Arial" w:eastAsia="Calibri" w:hAnsi="Arial" w:cs="Arial"/>
          <w:sz w:val="22"/>
          <w:lang w:val="es-ES"/>
        </w:rPr>
      </w:pPr>
      <w:r w:rsidRPr="00D67C1A">
        <w:rPr>
          <w:rFonts w:ascii="Arial" w:eastAsia="Calibri" w:hAnsi="Arial" w:cs="Arial"/>
          <w:sz w:val="22"/>
          <w:lang w:val="es-ES"/>
        </w:rPr>
        <w:t>Este formulario lo prepara la entidad en la etapa de planeación y le permite definir el valor oficial estimado del proceso de contratación. Por tanto, las entidades estatales para su elaboración deben tener en cuenta diferentes variables</w:t>
      </w:r>
      <w:r w:rsidRPr="00D67C1A">
        <w:rPr>
          <w:rFonts w:ascii="Arial" w:eastAsia="Calibri" w:hAnsi="Arial" w:cs="Arial"/>
          <w:sz w:val="22"/>
          <w:vertAlign w:val="superscript"/>
          <w:lang w:val="es-ES"/>
        </w:rPr>
        <w:footnoteReference w:id="8"/>
      </w:r>
      <w:r w:rsidRPr="00D67C1A">
        <w:rPr>
          <w:rFonts w:ascii="Arial" w:eastAsia="Calibri" w:hAnsi="Arial" w:cs="Arial"/>
          <w:sz w:val="22"/>
          <w:lang w:val="es-ES"/>
        </w:rPr>
        <w:t>, como el objeto, alcance, obras a ejecutar, actividades, cantidades, particularidades de la zona de ejecución del proyecto, disponibilidad y distancia de fuentes de materiales, entre otros.</w:t>
      </w:r>
    </w:p>
    <w:p w14:paraId="7C799D54" w14:textId="77777777" w:rsidR="006B4D51" w:rsidRPr="00D67C1A" w:rsidRDefault="006B4D51" w:rsidP="006B4D51">
      <w:pPr>
        <w:widowControl w:val="0"/>
        <w:autoSpaceDE w:val="0"/>
        <w:autoSpaceDN w:val="0"/>
        <w:spacing w:before="120" w:after="120" w:line="276" w:lineRule="auto"/>
        <w:ind w:firstLine="709"/>
        <w:jc w:val="both"/>
        <w:rPr>
          <w:rFonts w:ascii="Arial" w:eastAsia="Calibri" w:hAnsi="Arial" w:cs="Arial"/>
          <w:sz w:val="22"/>
        </w:rPr>
      </w:pPr>
      <w:r w:rsidRPr="00D67C1A">
        <w:rPr>
          <w:rFonts w:ascii="Arial" w:eastAsia="Calibri" w:hAnsi="Arial" w:cs="Arial"/>
          <w:sz w:val="22"/>
          <w:lang w:val="es-ES"/>
        </w:rPr>
        <w:t xml:space="preserve">En los documentos tipo </w:t>
      </w:r>
      <w:r w:rsidRPr="00D67C1A">
        <w:rPr>
          <w:rFonts w:ascii="Arial" w:eastAsia="Arial" w:hAnsi="Arial" w:cs="Arial"/>
          <w:sz w:val="22"/>
          <w:lang w:val="es-ES" w:eastAsia="es-ES" w:bidi="es-ES"/>
        </w:rPr>
        <w:t xml:space="preserve">para los procesos de licitación pública, menor cuantía y mínima cuantía de obra de infraestructura de transporte </w:t>
      </w:r>
      <w:r w:rsidRPr="00D67C1A">
        <w:rPr>
          <w:rFonts w:ascii="Arial" w:eastAsia="Calibri" w:hAnsi="Arial" w:cs="Arial"/>
          <w:sz w:val="22"/>
          <w:lang w:val="es-ES"/>
        </w:rPr>
        <w:t xml:space="preserve">el «Formulario 1 – Formulario de Presupuesto Oficial» tiene dos connotaciones: i) por un lado, </w:t>
      </w:r>
      <w:r w:rsidRPr="00D67C1A">
        <w:rPr>
          <w:rFonts w:ascii="Arial" w:eastAsia="Calibri" w:hAnsi="Arial" w:cs="Arial"/>
          <w:sz w:val="22"/>
        </w:rPr>
        <w:t xml:space="preserve">es el formulario sobre el cual la entidad estructura y presenta el presupuesto oficial del procedimiento de contratación; y </w:t>
      </w:r>
      <w:proofErr w:type="spellStart"/>
      <w:r w:rsidRPr="00D67C1A">
        <w:rPr>
          <w:rFonts w:ascii="Arial" w:eastAsia="Calibri" w:hAnsi="Arial" w:cs="Arial"/>
          <w:sz w:val="22"/>
        </w:rPr>
        <w:t>ii</w:t>
      </w:r>
      <w:proofErr w:type="spellEnd"/>
      <w:r w:rsidRPr="00D67C1A">
        <w:rPr>
          <w:rFonts w:ascii="Arial" w:eastAsia="Calibri" w:hAnsi="Arial" w:cs="Arial"/>
          <w:sz w:val="22"/>
        </w:rPr>
        <w:t>)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60959587" w14:textId="77777777" w:rsidR="006B4D51" w:rsidRPr="00D67C1A" w:rsidRDefault="006B4D51" w:rsidP="006B4D51">
      <w:pPr>
        <w:widowControl w:val="0"/>
        <w:autoSpaceDE w:val="0"/>
        <w:autoSpaceDN w:val="0"/>
        <w:spacing w:after="120" w:line="276" w:lineRule="auto"/>
        <w:ind w:firstLine="709"/>
        <w:jc w:val="both"/>
        <w:rPr>
          <w:rFonts w:ascii="Arial" w:eastAsia="Arial" w:hAnsi="Arial" w:cs="Arial"/>
          <w:iCs/>
          <w:sz w:val="22"/>
          <w:lang w:val="es-ES" w:eastAsia="es-ES" w:bidi="es-ES"/>
        </w:rPr>
      </w:pPr>
      <w:r w:rsidRPr="00D67C1A">
        <w:rPr>
          <w:rFonts w:ascii="Arial" w:eastAsia="Arial" w:hAnsi="Arial" w:cs="Arial"/>
          <w:sz w:val="22"/>
          <w:lang w:eastAsia="es-ES" w:bidi="es-ES"/>
        </w:rPr>
        <w:lastRenderedPageBreak/>
        <w:t xml:space="preserve">En ese contexto, se tiene, que en </w:t>
      </w:r>
      <w:r w:rsidRPr="00D67C1A">
        <w:rPr>
          <w:rFonts w:ascii="Arial" w:eastAsia="Arial" w:hAnsi="Arial" w:cs="Arial"/>
          <w:sz w:val="22"/>
          <w:lang w:val="es-ES" w:eastAsia="es-ES" w:bidi="es-ES"/>
        </w:rPr>
        <w:t xml:space="preserve">la primera hoja del Formulario 1, que corresponde al presupuesto oficial, la entidad debe enlistar los </w:t>
      </w:r>
      <w:r w:rsidRPr="00D67C1A">
        <w:rPr>
          <w:rFonts w:ascii="Arial" w:eastAsia="Arial" w:hAnsi="Arial" w:cs="Arial"/>
          <w:i/>
          <w:sz w:val="22"/>
          <w:lang w:val="es-ES" w:eastAsia="es-ES" w:bidi="es-ES"/>
        </w:rPr>
        <w:t xml:space="preserve">ítems de pago </w:t>
      </w:r>
      <w:r w:rsidRPr="00D67C1A">
        <w:rPr>
          <w:rFonts w:ascii="Arial" w:eastAsia="Arial" w:hAnsi="Arial" w:cs="Arial"/>
          <w:sz w:val="22"/>
          <w:lang w:val="es-ES" w:eastAsia="es-ES" w:bidi="es-ES"/>
        </w:rPr>
        <w:t xml:space="preserve">de los bienes, obras o servicios que se requieren para la ejecución de la obra pública de infraestructura de transporte. Además, es posible establecer: i) sus especificaciones generales y particulares, </w:t>
      </w:r>
      <w:proofErr w:type="spellStart"/>
      <w:r w:rsidRPr="00D67C1A">
        <w:rPr>
          <w:rFonts w:ascii="Arial" w:eastAsia="Arial" w:hAnsi="Arial" w:cs="Arial"/>
          <w:sz w:val="22"/>
          <w:lang w:val="es-ES" w:eastAsia="es-ES" w:bidi="es-ES"/>
        </w:rPr>
        <w:t>ii</w:t>
      </w:r>
      <w:proofErr w:type="spellEnd"/>
      <w:r w:rsidRPr="00D67C1A">
        <w:rPr>
          <w:rFonts w:ascii="Arial" w:eastAsia="Arial" w:hAnsi="Arial" w:cs="Arial"/>
          <w:sz w:val="22"/>
          <w:lang w:val="es-ES" w:eastAsia="es-ES" w:bidi="es-ES"/>
        </w:rPr>
        <w:t xml:space="preserve">) la descripción, </w:t>
      </w:r>
      <w:proofErr w:type="spellStart"/>
      <w:r w:rsidRPr="00D67C1A">
        <w:rPr>
          <w:rFonts w:ascii="Arial" w:eastAsia="Arial" w:hAnsi="Arial" w:cs="Arial"/>
          <w:sz w:val="22"/>
          <w:lang w:val="es-ES" w:eastAsia="es-ES" w:bidi="es-ES"/>
        </w:rPr>
        <w:t>iii</w:t>
      </w:r>
      <w:proofErr w:type="spellEnd"/>
      <w:r w:rsidRPr="00D67C1A">
        <w:rPr>
          <w:rFonts w:ascii="Arial" w:eastAsia="Arial" w:hAnsi="Arial" w:cs="Arial"/>
          <w:sz w:val="22"/>
          <w:lang w:val="es-ES" w:eastAsia="es-ES" w:bidi="es-ES"/>
        </w:rPr>
        <w:t xml:space="preserve">) la unidad de medida, </w:t>
      </w:r>
      <w:proofErr w:type="spellStart"/>
      <w:r w:rsidRPr="00D67C1A">
        <w:rPr>
          <w:rFonts w:ascii="Arial" w:eastAsia="Arial" w:hAnsi="Arial" w:cs="Arial"/>
          <w:sz w:val="22"/>
          <w:lang w:val="es-ES" w:eastAsia="es-ES" w:bidi="es-ES"/>
        </w:rPr>
        <w:t>iv</w:t>
      </w:r>
      <w:proofErr w:type="spellEnd"/>
      <w:r w:rsidRPr="00D67C1A">
        <w:rPr>
          <w:rFonts w:ascii="Arial" w:eastAsia="Arial" w:hAnsi="Arial" w:cs="Arial"/>
          <w:sz w:val="22"/>
          <w:lang w:val="es-ES" w:eastAsia="es-ES" w:bidi="es-ES"/>
        </w:rPr>
        <w:t xml:space="preserve">) la cantidad, v) el valor unitario y vi) el valor total de los </w:t>
      </w:r>
      <w:r w:rsidRPr="00D67C1A">
        <w:rPr>
          <w:rFonts w:ascii="Arial" w:eastAsia="Arial" w:hAnsi="Arial" w:cs="Arial"/>
          <w:i/>
          <w:sz w:val="22"/>
          <w:lang w:val="es-ES" w:eastAsia="es-ES" w:bidi="es-ES"/>
        </w:rPr>
        <w:t>ítems.</w:t>
      </w:r>
    </w:p>
    <w:p w14:paraId="6596392D" w14:textId="77777777" w:rsidR="006B4D51" w:rsidRDefault="006B4D51" w:rsidP="006B4D51">
      <w:pPr>
        <w:widowControl w:val="0"/>
        <w:autoSpaceDE w:val="0"/>
        <w:autoSpaceDN w:val="0"/>
        <w:spacing w:before="120" w:line="276" w:lineRule="auto"/>
        <w:ind w:firstLine="709"/>
        <w:jc w:val="both"/>
        <w:rPr>
          <w:rFonts w:ascii="Arial" w:eastAsia="Arial" w:hAnsi="Arial" w:cs="Arial"/>
          <w:sz w:val="22"/>
          <w:lang w:val="es-ES" w:eastAsia="es-ES" w:bidi="es-ES"/>
        </w:rPr>
      </w:pPr>
      <w:r w:rsidRPr="00D67C1A">
        <w:rPr>
          <w:rFonts w:ascii="Arial" w:eastAsia="Arial" w:hAnsi="Arial" w:cs="Arial"/>
          <w:sz w:val="22"/>
          <w:lang w:eastAsia="es-ES" w:bidi="es-ES"/>
        </w:rPr>
        <w:t xml:space="preserve">De otra parte, </w:t>
      </w:r>
      <w:r w:rsidRPr="00D67C1A">
        <w:rPr>
          <w:rFonts w:ascii="Arial" w:eastAsia="Arial" w:hAnsi="Arial" w:cs="Arial"/>
          <w:sz w:val="22"/>
          <w:lang w:val="es-ES" w:eastAsia="es-ES" w:bidi="es-ES"/>
        </w:rPr>
        <w:t>en los documentos tipo para procesos de licitación pública de obras de infraestructura de transporte, el «Formulario 1</w:t>
      </w:r>
      <w:r w:rsidRPr="00D67C1A">
        <w:rPr>
          <w:rFonts w:ascii="Arial" w:eastAsia="Calibri" w:hAnsi="Arial" w:cs="Arial"/>
          <w:sz w:val="22"/>
          <w:lang w:val="es-ES" w:eastAsia="es-ES" w:bidi="es-ES"/>
        </w:rPr>
        <w:t>» en su segunda pestaña en Excel, titulada «Formulario 1 propuesta económica»</w:t>
      </w:r>
      <w:r w:rsidRPr="00D67C1A">
        <w:rPr>
          <w:rFonts w:ascii="Arial" w:eastAsia="Arial" w:hAnsi="Arial" w:cs="Arial"/>
          <w:sz w:val="22"/>
          <w:lang w:val="es-ES" w:eastAsia="es-ES" w:bidi="es-ES"/>
        </w:rPr>
        <w:t xml:space="preserve"> señala en la parte superior derecha: «[La entidad puede utilizar este formulario de presentación de propuesta económica de forma detallada, sin perjuicio que la entidad pueda modificarlo o establecer la presentación de la oferta económica con un formulario distinto al indicado.]». </w:t>
      </w:r>
    </w:p>
    <w:p w14:paraId="4F1C6B15" w14:textId="54E56FAF" w:rsidR="006B4D51" w:rsidRDefault="006B4D51" w:rsidP="006B4D51">
      <w:pPr>
        <w:widowControl w:val="0"/>
        <w:autoSpaceDE w:val="0"/>
        <w:autoSpaceDN w:val="0"/>
        <w:spacing w:before="120" w:line="276" w:lineRule="auto"/>
        <w:ind w:firstLine="709"/>
        <w:jc w:val="both"/>
        <w:rPr>
          <w:rFonts w:ascii="Arial" w:eastAsia="Arial" w:hAnsi="Arial" w:cs="Arial"/>
          <w:bCs/>
          <w:sz w:val="22"/>
          <w:lang w:val="es-ES"/>
        </w:rPr>
      </w:pPr>
      <w:r w:rsidRPr="00D67C1A">
        <w:rPr>
          <w:rFonts w:ascii="Arial" w:eastAsia="Calibri" w:hAnsi="Arial" w:cs="Arial"/>
          <w:color w:val="000000"/>
          <w:sz w:val="22"/>
          <w:lang w:val="es-ES_tradnl"/>
        </w:rPr>
        <w:t>Igualmente, se indica que los proponentes emplearán el formulario establecido por la entidad para determinar su propuesta económica conforme al Formulario 1 - Presupuesto Oficial publicado por la Entidad. Esto</w:t>
      </w:r>
      <w:r w:rsidRPr="00D67C1A">
        <w:rPr>
          <w:rFonts w:ascii="Arial" w:eastAsia="Calibri" w:hAnsi="Arial" w:cs="Arial"/>
          <w:sz w:val="22"/>
          <w:lang w:val="es-ES_tradnl"/>
        </w:rPr>
        <w:t xml:space="preserve"> significa </w:t>
      </w:r>
      <w:r w:rsidRPr="00D67C1A">
        <w:rPr>
          <w:rFonts w:ascii="Arial" w:eastAsia="Calibri" w:hAnsi="Arial" w:cs="Arial"/>
          <w:sz w:val="22"/>
          <w:lang w:val="es-ES"/>
        </w:rPr>
        <w:t>que las entidades pueden diseñar un formulario para que los proponentes presenten su oferta económica, sin que sea obligatorio sujetarse al formulario que los documentos tipo proponen para el efecto.</w:t>
      </w:r>
      <w:r w:rsidRPr="00D67C1A">
        <w:rPr>
          <w:rFonts w:ascii="Arial" w:eastAsia="Arial" w:hAnsi="Arial" w:cs="Arial"/>
          <w:bCs/>
          <w:sz w:val="22"/>
          <w:lang w:val="es-ES"/>
        </w:rPr>
        <w:t xml:space="preserve"> En todo caso, el proponente deberá emplear el formulario que establezca la entidad. </w:t>
      </w:r>
    </w:p>
    <w:p w14:paraId="00FA60B9" w14:textId="77777777" w:rsidR="00BB4640" w:rsidRDefault="00BB4640" w:rsidP="009E2B21">
      <w:pPr>
        <w:widowControl w:val="0"/>
        <w:autoSpaceDE w:val="0"/>
        <w:autoSpaceDN w:val="0"/>
        <w:spacing w:line="276" w:lineRule="auto"/>
        <w:ind w:firstLine="709"/>
        <w:jc w:val="both"/>
        <w:rPr>
          <w:rFonts w:ascii="Arial" w:eastAsia="Arial" w:hAnsi="Arial" w:cs="Arial"/>
          <w:bCs/>
          <w:sz w:val="22"/>
          <w:lang w:val="es-ES"/>
        </w:rPr>
      </w:pPr>
    </w:p>
    <w:p w14:paraId="4E44C03E" w14:textId="71078113" w:rsidR="00BB4640" w:rsidRPr="009E2B21" w:rsidRDefault="00BB4640" w:rsidP="009E2B21">
      <w:pPr>
        <w:spacing w:line="276" w:lineRule="auto"/>
        <w:jc w:val="both"/>
        <w:rPr>
          <w:rStyle w:val="normaltextrun"/>
          <w:rFonts w:ascii="Arial" w:hAnsi="Arial" w:cs="Arial"/>
          <w:b/>
          <w:bCs/>
          <w:color w:val="000000"/>
          <w:sz w:val="22"/>
          <w:shd w:val="clear" w:color="auto" w:fill="FFFFFF"/>
          <w:lang w:val="es-ES"/>
        </w:rPr>
      </w:pPr>
      <w:r w:rsidRPr="009E2B21">
        <w:rPr>
          <w:rFonts w:ascii="Arial" w:hAnsi="Arial" w:cs="Arial"/>
          <w:b/>
          <w:bCs/>
          <w:sz w:val="22"/>
        </w:rPr>
        <w:t xml:space="preserve">2.3. </w:t>
      </w:r>
      <w:r w:rsidRPr="009E2B21">
        <w:rPr>
          <w:rStyle w:val="normaltextrun"/>
          <w:rFonts w:ascii="Arial" w:hAnsi="Arial" w:cs="Arial"/>
          <w:b/>
          <w:bCs/>
          <w:color w:val="000000"/>
          <w:sz w:val="22"/>
          <w:shd w:val="clear" w:color="auto" w:fill="FFFFFF"/>
          <w:lang w:val="es-ES"/>
        </w:rPr>
        <w:t>Alcance de la regla de la subsanabilidad de las ofertas en los procesos de selección que utilizan documentos tipo</w:t>
      </w:r>
    </w:p>
    <w:p w14:paraId="3E8FF36C" w14:textId="77777777" w:rsidR="00BB4640" w:rsidRPr="009E2B21" w:rsidRDefault="00BB4640" w:rsidP="00BB4640">
      <w:pPr>
        <w:spacing w:line="276" w:lineRule="auto"/>
        <w:jc w:val="both"/>
        <w:rPr>
          <w:rStyle w:val="normaltextrun"/>
          <w:rFonts w:ascii="Arial" w:hAnsi="Arial" w:cs="Arial"/>
          <w:b/>
          <w:bCs/>
          <w:color w:val="000000"/>
          <w:sz w:val="22"/>
          <w:shd w:val="clear" w:color="auto" w:fill="FFFFFF"/>
          <w:lang w:val="es-ES"/>
        </w:rPr>
      </w:pPr>
    </w:p>
    <w:p w14:paraId="337A5B77" w14:textId="77777777" w:rsidR="00BB4640" w:rsidRPr="009E2B21" w:rsidRDefault="00BB4640" w:rsidP="00BB4640">
      <w:pPr>
        <w:spacing w:after="120" w:line="276" w:lineRule="auto"/>
        <w:jc w:val="both"/>
        <w:rPr>
          <w:rFonts w:ascii="Arial" w:eastAsia="Calibri" w:hAnsi="Arial" w:cs="Arial"/>
          <w:color w:val="000000"/>
          <w:sz w:val="22"/>
          <w:lang w:val="es-ES" w:eastAsia="es-MX"/>
        </w:rPr>
      </w:pPr>
      <w:r w:rsidRPr="009E2B21">
        <w:rPr>
          <w:rFonts w:ascii="Arial" w:eastAsia="Calibri" w:hAnsi="Arial" w:cs="Arial"/>
          <w:color w:val="000000"/>
          <w:sz w:val="22"/>
          <w:lang w:val="es-ES" w:eastAsia="es-MX"/>
        </w:rPr>
        <w:t xml:space="preserve">La subsanabilidad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w:t>
      </w:r>
      <w:proofErr w:type="gramStart"/>
      <w:r w:rsidRPr="009E2B21">
        <w:rPr>
          <w:rFonts w:ascii="Arial" w:eastAsia="Calibri" w:hAnsi="Arial" w:cs="Arial"/>
          <w:color w:val="000000"/>
          <w:sz w:val="22"/>
          <w:lang w:val="es-ES" w:eastAsia="es-MX"/>
        </w:rPr>
        <w:t>la misma</w:t>
      </w:r>
      <w:proofErr w:type="gramEnd"/>
      <w:r w:rsidRPr="009E2B21">
        <w:rPr>
          <w:rFonts w:ascii="Arial" w:eastAsia="Calibri" w:hAnsi="Arial" w:cs="Arial"/>
          <w:color w:val="000000"/>
          <w:sz w:val="22"/>
          <w:lang w:val="es-ES" w:eastAsia="es-MX"/>
        </w:rPr>
        <w:t>, priven a la administración de considerar una oferta por causa de tales falencias»</w:t>
      </w:r>
      <w:r w:rsidRPr="009E2B21">
        <w:rPr>
          <w:rFonts w:ascii="Arial" w:eastAsia="Calibri" w:hAnsi="Arial" w:cs="Arial"/>
          <w:color w:val="000000"/>
          <w:sz w:val="22"/>
          <w:vertAlign w:val="superscript"/>
          <w:lang w:val="es-ES" w:eastAsia="es-MX"/>
        </w:rPr>
        <w:footnoteReference w:id="9"/>
      </w:r>
      <w:r w:rsidRPr="009E2B21">
        <w:rPr>
          <w:rFonts w:ascii="Arial" w:eastAsia="Calibri" w:hAnsi="Arial" w:cs="Arial"/>
          <w:color w:val="000000"/>
          <w:sz w:val="22"/>
          <w:lang w:val="es-ES" w:eastAsia="es-MX"/>
        </w:rPr>
        <w:t>.</w:t>
      </w:r>
    </w:p>
    <w:p w14:paraId="7813A6EA" w14:textId="77777777" w:rsidR="00BB4640" w:rsidRPr="009E2B21" w:rsidRDefault="00BB4640" w:rsidP="00BB4640">
      <w:pPr>
        <w:spacing w:after="120" w:line="276" w:lineRule="auto"/>
        <w:ind w:firstLine="708"/>
        <w:jc w:val="both"/>
        <w:rPr>
          <w:rFonts w:ascii="Arial" w:eastAsia="Times New Roman" w:hAnsi="Arial" w:cs="Arial"/>
          <w:color w:val="000000"/>
          <w:sz w:val="22"/>
          <w:lang w:val="es-ES" w:eastAsia="es-MX"/>
        </w:rPr>
      </w:pPr>
      <w:r w:rsidRPr="009E2B21">
        <w:rPr>
          <w:rFonts w:ascii="Arial" w:eastAsia="Calibri" w:hAnsi="Arial" w:cs="Arial"/>
          <w:color w:val="000000"/>
          <w:sz w:val="22"/>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9E2B21">
        <w:rPr>
          <w:rFonts w:ascii="Arial" w:eastAsia="Times New Roman" w:hAnsi="Arial" w:cs="Arial"/>
          <w:color w:val="000000"/>
          <w:sz w:val="22"/>
          <w:lang w:val="es-ES" w:eastAsia="es-MX"/>
        </w:rPr>
        <w:lastRenderedPageBreak/>
        <w:t xml:space="preserve">Ahora bien, la posibilidad de subsanar los documentos contentivos de la oferta es un tema que ha tenido diferentes momentos o etapas en el ordenamiento jurídico colombiano. </w:t>
      </w:r>
    </w:p>
    <w:p w14:paraId="24F7522D" w14:textId="77777777" w:rsidR="00BB4640" w:rsidRPr="009E2B21" w:rsidRDefault="00BB4640" w:rsidP="00BB4640">
      <w:pPr>
        <w:spacing w:before="120"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En un </w:t>
      </w:r>
      <w:r w:rsidRPr="009E2B21">
        <w:rPr>
          <w:rFonts w:ascii="Arial" w:eastAsia="Times New Roman" w:hAnsi="Arial" w:cs="Arial"/>
          <w:i/>
          <w:color w:val="000000"/>
          <w:sz w:val="22"/>
          <w:lang w:val="es-ES" w:eastAsia="es-MX"/>
        </w:rPr>
        <w:t>primer momento</w:t>
      </w:r>
      <w:r w:rsidRPr="009E2B21">
        <w:rPr>
          <w:rFonts w:ascii="Arial" w:eastAsia="Times New Roman" w:hAnsi="Arial" w:cs="Arial"/>
          <w:color w:val="000000"/>
          <w:sz w:val="22"/>
          <w:lang w:val="es-ES" w:eastAsia="es-MX"/>
        </w:rPr>
        <w:t xml:space="preserve">, antes de la entrada en vigor de la Constitución Política de 1991, el régimen jurídico de la subsanabilidad de las ofertas estaba compuesto por el Decreto Ley 150 de 1976 y el Decreto 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3F1842DE" w14:textId="77777777" w:rsidR="00BB4640" w:rsidRPr="009E2B21" w:rsidRDefault="00BB4640" w:rsidP="00BB4640">
      <w:pPr>
        <w:spacing w:before="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En un </w:t>
      </w:r>
      <w:r w:rsidRPr="009E2B21">
        <w:rPr>
          <w:rFonts w:ascii="Arial" w:eastAsia="Times New Roman" w:hAnsi="Arial" w:cs="Arial"/>
          <w:i/>
          <w:color w:val="000000"/>
          <w:sz w:val="22"/>
          <w:lang w:val="es-ES" w:eastAsia="es-MX"/>
        </w:rPr>
        <w:t>segundo momento</w:t>
      </w:r>
      <w:r w:rsidRPr="009E2B21">
        <w:rPr>
          <w:rFonts w:ascii="Arial" w:eastAsia="Times New Roman" w:hAnsi="Arial" w:cs="Arial"/>
          <w:color w:val="000000"/>
          <w:sz w:val="22"/>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 En este nuevo escenario constitucional, el artículo 25.15 de la Ley 80 de 1993 dispuso lo siguiente: </w:t>
      </w:r>
    </w:p>
    <w:p w14:paraId="4A55436D" w14:textId="77777777" w:rsidR="00BB4640" w:rsidRDefault="00BB4640" w:rsidP="00BB4640">
      <w:pPr>
        <w:spacing w:after="120"/>
        <w:ind w:left="709" w:right="709"/>
        <w:jc w:val="both"/>
        <w:rPr>
          <w:rFonts w:ascii="Arial" w:eastAsia="Times New Roman" w:hAnsi="Arial" w:cs="Arial"/>
          <w:color w:val="000000"/>
          <w:sz w:val="21"/>
          <w:szCs w:val="21"/>
          <w:lang w:val="es-ES" w:eastAsia="es-MX"/>
        </w:rPr>
      </w:pPr>
    </w:p>
    <w:p w14:paraId="20CA132B" w14:textId="568869F2" w:rsidR="00BB4640" w:rsidRPr="00FF7212" w:rsidRDefault="00BB4640" w:rsidP="00BB4640">
      <w:pPr>
        <w:spacing w:after="120"/>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034E2E45" w14:textId="77777777" w:rsidR="00BB4640" w:rsidRPr="00FF7212" w:rsidRDefault="00BB4640" w:rsidP="00BB4640">
      <w:pPr>
        <w:spacing w:before="120"/>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6951B1C7" w14:textId="77777777" w:rsidR="00BB4640" w:rsidRPr="009E2B21" w:rsidRDefault="00BB4640" w:rsidP="00BB4640">
      <w:pPr>
        <w:spacing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Bajo el amparo de esta norma, el régimen jurídico de subsanabilidad de las ofertas sufre un cambio fundamental, pues ya no era posible rechazar las ofertas por falta de requisitos o documentos que no fueran «necesarios para la comparación de propuestas».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7E1E1FA5" w14:textId="77777777" w:rsidR="00BB4640" w:rsidRPr="009E2B21" w:rsidRDefault="00BB4640" w:rsidP="00BB4640">
      <w:pPr>
        <w:spacing w:before="120"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9E2B21">
        <w:rPr>
          <w:rFonts w:ascii="Arial" w:eastAsia="Times New Roman" w:hAnsi="Arial" w:cs="Arial"/>
          <w:color w:val="000000"/>
          <w:sz w:val="22"/>
          <w:vertAlign w:val="superscript"/>
          <w:lang w:val="es-ES" w:eastAsia="es-MX"/>
        </w:rPr>
        <w:footnoteReference w:id="10"/>
      </w:r>
      <w:r w:rsidRPr="009E2B21">
        <w:rPr>
          <w:rFonts w:ascii="Arial" w:eastAsia="Times New Roman" w:hAnsi="Arial" w:cs="Arial"/>
          <w:color w:val="000000"/>
          <w:sz w:val="22"/>
          <w:lang w:val="es-ES" w:eastAsia="es-MX"/>
        </w:rPr>
        <w:t xml:space="preserve">; y con el artículo 30.8, que consagró el término de 5 días hábiles para que los </w:t>
      </w:r>
      <w:r w:rsidRPr="009E2B21">
        <w:rPr>
          <w:rFonts w:ascii="Arial" w:eastAsia="Times New Roman" w:hAnsi="Arial" w:cs="Arial"/>
          <w:color w:val="000000"/>
          <w:sz w:val="22"/>
          <w:lang w:val="es-ES" w:eastAsia="es-MX"/>
        </w:rPr>
        <w:lastRenderedPageBreak/>
        <w:t>oferentes presenten observaciones al informe de evaluación de las propuestas, sin que sea posible completar, adicionar, modificar o mejorar su oferta</w:t>
      </w:r>
      <w:r w:rsidRPr="009E2B21">
        <w:rPr>
          <w:rFonts w:ascii="Arial" w:eastAsia="Times New Roman" w:hAnsi="Arial" w:cs="Arial"/>
          <w:color w:val="000000"/>
          <w:sz w:val="22"/>
          <w:vertAlign w:val="superscript"/>
          <w:lang w:val="es-ES" w:eastAsia="es-MX"/>
        </w:rPr>
        <w:footnoteReference w:id="11"/>
      </w:r>
      <w:r w:rsidRPr="009E2B21">
        <w:rPr>
          <w:rFonts w:ascii="Arial" w:eastAsia="Times New Roman" w:hAnsi="Arial" w:cs="Arial"/>
          <w:color w:val="000000"/>
          <w:sz w:val="22"/>
          <w:lang w:val="es-ES" w:eastAsia="es-MX"/>
        </w:rPr>
        <w:t xml:space="preserve">.  </w:t>
      </w:r>
    </w:p>
    <w:p w14:paraId="64B0F38D" w14:textId="77777777" w:rsidR="00BB4640" w:rsidRPr="009E2B21" w:rsidRDefault="00BB4640" w:rsidP="00BB4640">
      <w:pPr>
        <w:spacing w:before="120"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737C56BD" w14:textId="77777777" w:rsidR="00BB4640" w:rsidRPr="009E2B21" w:rsidRDefault="00BB4640" w:rsidP="00BB4640">
      <w:pPr>
        <w:spacing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En un </w:t>
      </w:r>
      <w:r w:rsidRPr="009E2B21">
        <w:rPr>
          <w:rFonts w:ascii="Arial" w:eastAsia="Times New Roman" w:hAnsi="Arial" w:cs="Arial"/>
          <w:i/>
          <w:color w:val="000000"/>
          <w:sz w:val="22"/>
          <w:lang w:val="es-ES" w:eastAsia="es-MX"/>
        </w:rPr>
        <w:t>tercer momento</w:t>
      </w:r>
      <w:r w:rsidRPr="009E2B21">
        <w:rPr>
          <w:rFonts w:ascii="Arial" w:eastAsia="Times New Roman" w:hAnsi="Arial" w:cs="Arial"/>
          <w:color w:val="000000"/>
          <w:sz w:val="22"/>
          <w:lang w:val="es-ES" w:eastAsia="es-MX"/>
        </w:rPr>
        <w:t xml:space="preserve">, siguiendo la línea trazada por la Ley 80 de 1993, el legislador expidió la Ley 1150 de 2007, que en el parágrafo 1º del artículo 5, determinó lo siguiente: </w:t>
      </w:r>
    </w:p>
    <w:p w14:paraId="4DBF2CC5" w14:textId="77777777" w:rsidR="00BB4640" w:rsidRDefault="00BB4640" w:rsidP="00BB4640">
      <w:pPr>
        <w:ind w:left="709" w:right="709"/>
        <w:jc w:val="both"/>
        <w:rPr>
          <w:rFonts w:ascii="Arial" w:eastAsia="Times New Roman" w:hAnsi="Arial" w:cs="Arial"/>
          <w:color w:val="000000"/>
          <w:sz w:val="21"/>
          <w:szCs w:val="21"/>
          <w:lang w:val="es-ES" w:eastAsia="es-MX"/>
        </w:rPr>
      </w:pPr>
    </w:p>
    <w:p w14:paraId="04188DCB" w14:textId="3E25F152" w:rsidR="00BB4640" w:rsidRDefault="00BB4640" w:rsidP="00BB4640">
      <w:pPr>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FF7212">
        <w:rPr>
          <w:rFonts w:ascii="Arial" w:eastAsia="Times New Roman" w:hAnsi="Arial" w:cs="Arial"/>
          <w:b/>
          <w:color w:val="000000"/>
          <w:sz w:val="21"/>
          <w:szCs w:val="21"/>
          <w:lang w:val="es-ES" w:eastAsia="es-MX"/>
        </w:rPr>
        <w:t xml:space="preserve">, </w:t>
      </w:r>
      <w:r w:rsidRPr="00FF7212">
        <w:rPr>
          <w:rFonts w:ascii="Arial" w:eastAsia="Times New Roman" w:hAnsi="Arial" w:cs="Arial"/>
          <w:color w:val="000000"/>
          <w:sz w:val="21"/>
          <w:szCs w:val="21"/>
          <w:lang w:val="es-ES" w:eastAsia="es-MX"/>
        </w:rPr>
        <w:t xml:space="preserve">todos aquellos requisitos de la propuesta que no afecten la asignación de puntaje podrán ser solicitados por las entidades en cualquier momento, hasta la adjudicación. No </w:t>
      </w:r>
      <w:proofErr w:type="gramStart"/>
      <w:r w:rsidRPr="00FF7212">
        <w:rPr>
          <w:rFonts w:ascii="Arial" w:eastAsia="Times New Roman" w:hAnsi="Arial" w:cs="Arial"/>
          <w:color w:val="000000"/>
          <w:sz w:val="21"/>
          <w:szCs w:val="21"/>
          <w:lang w:val="es-ES" w:eastAsia="es-MX"/>
        </w:rPr>
        <w:t>obstante</w:t>
      </w:r>
      <w:proofErr w:type="gramEnd"/>
      <w:r w:rsidRPr="00FF7212">
        <w:rPr>
          <w:rFonts w:ascii="Arial" w:eastAsia="Times New Roman" w:hAnsi="Arial" w:cs="Arial"/>
          <w:color w:val="000000"/>
          <w:sz w:val="21"/>
          <w:szCs w:val="21"/>
          <w:lang w:val="es-ES" w:eastAsia="es-MX"/>
        </w:rPr>
        <w:t xml:space="preserve"> lo anterior, en aquellos procesos de selección en los que se utilice el mecanismo de subasta, deberán ser solicitados hasta el momento previo a su realización. </w:t>
      </w:r>
    </w:p>
    <w:p w14:paraId="50A7A4A4" w14:textId="77777777" w:rsidR="00BB4640" w:rsidRPr="00FF7212" w:rsidRDefault="00BB4640" w:rsidP="00BB4640">
      <w:pPr>
        <w:ind w:left="709" w:right="709"/>
        <w:jc w:val="both"/>
        <w:rPr>
          <w:rFonts w:ascii="Arial" w:eastAsia="Times New Roman" w:hAnsi="Arial" w:cs="Arial"/>
          <w:color w:val="000000"/>
          <w:sz w:val="21"/>
          <w:szCs w:val="21"/>
          <w:lang w:val="es-ES" w:eastAsia="es-MX"/>
        </w:rPr>
      </w:pPr>
    </w:p>
    <w:p w14:paraId="3D046569" w14:textId="77777777" w:rsidR="00BB4640" w:rsidRPr="009E2B21" w:rsidRDefault="00BB4640" w:rsidP="00BB4640">
      <w:pPr>
        <w:spacing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6CB33D9D" w14:textId="77777777" w:rsidR="00BB4640" w:rsidRPr="009E2B21" w:rsidRDefault="00BB4640" w:rsidP="00BB4640">
      <w:pPr>
        <w:spacing w:before="120"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334FB363" w14:textId="2741906C" w:rsidR="00BB4640" w:rsidRDefault="00BB4640" w:rsidP="00BB4640">
      <w:pPr>
        <w:spacing w:before="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El artículo 5 de la Ley 1150 de 2007, además de consagrar un criterio más claro, y, de paso, reducir la discrecionalidad de la Administración, fijó un ámbito temporal para la subsanación de las ofertas: «en cualquier momento, hasta la adjudicación». El Consejo de </w:t>
      </w:r>
      <w:r w:rsidRPr="009E2B21">
        <w:rPr>
          <w:rFonts w:ascii="Arial" w:eastAsia="Times New Roman" w:hAnsi="Arial" w:cs="Arial"/>
          <w:color w:val="000000"/>
          <w:sz w:val="22"/>
          <w:lang w:val="es-ES" w:eastAsia="es-MX"/>
        </w:rPr>
        <w:lastRenderedPageBreak/>
        <w:t xml:space="preserve">Estado concluyó que a partir del parágrafo 1º del artículo 5 de la Ley 1150, la definición de lo que es subsanable y lo que no lo es surge a partir del planteamiento de la pregunta sobre si el defecto asigna puntaje o no, en estos términos: </w:t>
      </w:r>
    </w:p>
    <w:p w14:paraId="194E3735" w14:textId="77777777" w:rsidR="00BB4640" w:rsidRPr="009E2B21" w:rsidRDefault="00BB4640" w:rsidP="009E2B21">
      <w:pPr>
        <w:spacing w:line="276" w:lineRule="auto"/>
        <w:ind w:firstLine="709"/>
        <w:jc w:val="both"/>
        <w:rPr>
          <w:rFonts w:ascii="Arial" w:eastAsia="Times New Roman" w:hAnsi="Arial" w:cs="Arial"/>
          <w:color w:val="000000"/>
          <w:sz w:val="22"/>
          <w:lang w:val="es-ES" w:eastAsia="es-MX"/>
        </w:rPr>
      </w:pPr>
    </w:p>
    <w:p w14:paraId="13A1A07A" w14:textId="15F2E9DF" w:rsidR="00BB4640" w:rsidRDefault="00BB4640" w:rsidP="00BB4640">
      <w:pPr>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FF7212">
        <w:rPr>
          <w:rFonts w:ascii="Arial" w:eastAsia="Times New Roman" w:hAnsi="Arial" w:cs="Arial"/>
          <w:color w:val="000000"/>
          <w:sz w:val="21"/>
          <w:szCs w:val="21"/>
          <w:vertAlign w:val="superscript"/>
          <w:lang w:val="es-ES" w:eastAsia="es-MX"/>
        </w:rPr>
        <w:footnoteReference w:id="12"/>
      </w:r>
      <w:r w:rsidRPr="00FF7212">
        <w:rPr>
          <w:rFonts w:ascii="Arial" w:eastAsia="Times New Roman" w:hAnsi="Arial" w:cs="Arial"/>
          <w:color w:val="000000"/>
          <w:sz w:val="21"/>
          <w:szCs w:val="21"/>
          <w:lang w:val="es-ES" w:eastAsia="es-MX"/>
        </w:rPr>
        <w:t>.</w:t>
      </w:r>
    </w:p>
    <w:p w14:paraId="2302BC26" w14:textId="77777777" w:rsidR="00BB4640" w:rsidRPr="00FF7212" w:rsidRDefault="00BB4640" w:rsidP="00BB4640">
      <w:pPr>
        <w:ind w:left="709" w:right="709"/>
        <w:jc w:val="both"/>
        <w:rPr>
          <w:rFonts w:ascii="Arial" w:eastAsia="Times New Roman" w:hAnsi="Arial" w:cs="Arial"/>
          <w:color w:val="000000"/>
          <w:sz w:val="21"/>
          <w:szCs w:val="21"/>
          <w:lang w:val="es-ES" w:eastAsia="es-MX"/>
        </w:rPr>
      </w:pPr>
    </w:p>
    <w:p w14:paraId="3A96350C" w14:textId="77777777" w:rsidR="00BB4640" w:rsidRPr="009E2B21" w:rsidRDefault="00BB4640" w:rsidP="00BB4640">
      <w:pPr>
        <w:tabs>
          <w:tab w:val="left" w:pos="284"/>
        </w:tabs>
        <w:spacing w:after="120" w:line="276" w:lineRule="auto"/>
        <w:ind w:firstLine="709"/>
        <w:jc w:val="both"/>
        <w:rPr>
          <w:rFonts w:ascii="Arial" w:eastAsia="Calibri" w:hAnsi="Arial" w:cs="Arial"/>
          <w:color w:val="000000"/>
          <w:sz w:val="22"/>
          <w:lang w:val="es-ES"/>
        </w:rPr>
      </w:pPr>
      <w:r w:rsidRPr="009E2B21">
        <w:rPr>
          <w:rFonts w:ascii="Arial" w:eastAsia="Calibri" w:hAnsi="Arial" w:cs="Arial"/>
          <w:color w:val="000000"/>
          <w:sz w:val="22"/>
          <w:lang w:val="es-ES"/>
        </w:rPr>
        <w:t xml:space="preserve">Esa interpretación fue compartida por la </w:t>
      </w:r>
      <w:r w:rsidRPr="009E2B21">
        <w:rPr>
          <w:rFonts w:ascii="Arial" w:eastAsia="MS Mincho" w:hAnsi="Arial" w:cs="Arial"/>
          <w:color w:val="000000"/>
          <w:sz w:val="22"/>
          <w:lang w:val="es-ES" w:eastAsia="es-CO"/>
        </w:rPr>
        <w:t>Agencia Nacional de Contratación Pública – Colombia Compra Eficiente</w:t>
      </w:r>
      <w:r w:rsidRPr="009E2B21">
        <w:rPr>
          <w:rFonts w:ascii="Arial" w:eastAsia="Calibri" w:hAnsi="Arial" w:cs="Arial"/>
          <w:color w:val="000000"/>
          <w:sz w:val="22"/>
          <w:lang w:val="es-ES"/>
        </w:rPr>
        <w:t xml:space="preserve">, pues en la Circular Externa Única se precisó </w:t>
      </w:r>
      <w:proofErr w:type="gramStart"/>
      <w:r w:rsidRPr="009E2B21">
        <w:rPr>
          <w:rFonts w:ascii="Arial" w:eastAsia="Calibri" w:hAnsi="Arial" w:cs="Arial"/>
          <w:color w:val="000000"/>
          <w:sz w:val="22"/>
          <w:lang w:val="es-ES"/>
        </w:rPr>
        <w:t>que</w:t>
      </w:r>
      <w:proofErr w:type="gramEnd"/>
      <w:r w:rsidRPr="009E2B21">
        <w:rPr>
          <w:rFonts w:ascii="Arial" w:eastAsia="Calibri" w:hAnsi="Arial" w:cs="Arial"/>
          <w:color w:val="000000"/>
          <w:sz w:val="22"/>
          <w:lang w:val="es-ES"/>
        </w:rPr>
        <w:t xml:space="preserv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2F7DE733" w14:textId="5F4B36F9" w:rsidR="00BB4640" w:rsidRDefault="00BB4640" w:rsidP="00BB4640">
      <w:pPr>
        <w:tabs>
          <w:tab w:val="left" w:pos="284"/>
        </w:tabs>
        <w:spacing w:before="120" w:line="276" w:lineRule="auto"/>
        <w:ind w:firstLine="709"/>
        <w:jc w:val="both"/>
        <w:rPr>
          <w:rFonts w:ascii="Arial" w:eastAsia="MS Mincho" w:hAnsi="Arial" w:cs="Arial"/>
          <w:color w:val="000000"/>
          <w:sz w:val="22"/>
          <w:lang w:val="es-ES" w:eastAsia="es-CO"/>
        </w:rPr>
      </w:pPr>
      <w:r w:rsidRPr="009E2B21">
        <w:rPr>
          <w:rFonts w:ascii="Arial" w:eastAsia="MS Mincho" w:hAnsi="Arial" w:cs="Arial"/>
          <w:color w:val="000000"/>
          <w:sz w:val="22"/>
          <w:lang w:val="es-ES" w:eastAsia="es-CO"/>
        </w:rPr>
        <w:t xml:space="preserve">En un </w:t>
      </w:r>
      <w:r w:rsidRPr="009E2B21">
        <w:rPr>
          <w:rFonts w:ascii="Arial" w:eastAsia="MS Mincho" w:hAnsi="Arial" w:cs="Arial"/>
          <w:i/>
          <w:iCs/>
          <w:color w:val="000000"/>
          <w:sz w:val="22"/>
          <w:lang w:val="es-ES" w:eastAsia="es-CO"/>
        </w:rPr>
        <w:t>cuarto momento</w:t>
      </w:r>
      <w:r w:rsidRPr="009E2B21">
        <w:rPr>
          <w:rFonts w:ascii="Arial" w:eastAsia="MS Mincho" w:hAnsi="Arial" w:cs="Arial"/>
          <w:color w:val="000000"/>
          <w:sz w:val="22"/>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6388D6E8" w14:textId="77777777" w:rsidR="00BB4640" w:rsidRPr="009E2B21" w:rsidRDefault="00BB4640" w:rsidP="009E2B21">
      <w:pPr>
        <w:tabs>
          <w:tab w:val="left" w:pos="284"/>
        </w:tabs>
        <w:spacing w:line="276" w:lineRule="auto"/>
        <w:ind w:firstLine="709"/>
        <w:jc w:val="both"/>
        <w:rPr>
          <w:rFonts w:ascii="Arial" w:eastAsia="MS Mincho" w:hAnsi="Arial" w:cs="Arial"/>
          <w:color w:val="000000"/>
          <w:sz w:val="22"/>
          <w:lang w:val="es-ES"/>
        </w:rPr>
      </w:pPr>
    </w:p>
    <w:p w14:paraId="0C1B6134" w14:textId="77777777" w:rsidR="00BB4640" w:rsidRPr="00FF7212" w:rsidRDefault="00BB4640" w:rsidP="00BB4640">
      <w:pPr>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 xml:space="preserve">Artículo 5°. De la selección objetiva. </w:t>
      </w:r>
    </w:p>
    <w:p w14:paraId="116CBAEC" w14:textId="77777777" w:rsidR="00BB4640" w:rsidRDefault="00BB4640" w:rsidP="00BB4640">
      <w:pPr>
        <w:spacing w:after="120"/>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w:t>
      </w:r>
    </w:p>
    <w:p w14:paraId="134B9799" w14:textId="22165E81" w:rsidR="00BB4640" w:rsidRDefault="00BB4640" w:rsidP="00BB4640">
      <w:pPr>
        <w:ind w:left="709" w:right="709"/>
        <w:jc w:val="both"/>
        <w:rPr>
          <w:rFonts w:ascii="Arial" w:eastAsia="Times New Roman" w:hAnsi="Arial" w:cs="Arial"/>
          <w:color w:val="000000"/>
          <w:sz w:val="21"/>
          <w:szCs w:val="21"/>
          <w:lang w:val="es-ES" w:eastAsia="es-MX"/>
        </w:rPr>
      </w:pPr>
      <w:r w:rsidRPr="00FF7212">
        <w:rPr>
          <w:rFonts w:ascii="Arial" w:eastAsia="Times New Roman" w:hAnsi="Arial" w:cs="Arial"/>
          <w:color w:val="000000"/>
          <w:sz w:val="21"/>
          <w:szCs w:val="21"/>
          <w:lang w:val="es-ES" w:eastAsia="es-MX"/>
        </w:rPr>
        <w:t xml:space="preserve">Parágrafo 1º. La ausencia de requisitos o la falta de documentos referentes a la futura contratación o al proponente, no necesarios para la </w:t>
      </w:r>
      <w:bookmarkStart w:id="1" w:name="_Hlk71479674"/>
      <w:r w:rsidRPr="00FF7212">
        <w:rPr>
          <w:rFonts w:ascii="Arial" w:eastAsia="Times New Roman" w:hAnsi="Arial" w:cs="Arial"/>
          <w:color w:val="000000"/>
          <w:sz w:val="21"/>
          <w:szCs w:val="21"/>
          <w:lang w:val="es-ES" w:eastAsia="es-MX"/>
        </w:rPr>
        <w:t>comparación de las propuestas</w:t>
      </w:r>
      <w:bookmarkEnd w:id="1"/>
      <w:r w:rsidRPr="00FF7212">
        <w:rPr>
          <w:rFonts w:ascii="Arial" w:eastAsia="Times New Roman" w:hAnsi="Arial" w:cs="Arial"/>
          <w:color w:val="000000"/>
          <w:sz w:val="21"/>
          <w:szCs w:val="21"/>
          <w:lang w:val="es-ES" w:eastAsia="es-MX"/>
        </w:rPr>
        <w:t xml:space="preserve"> no servirán de título suficiente para el rechazo de los ofrecimientos hechos. En consecuencia, todos aquellos requisitos de la propuesta que no afecten la asignación de puntaje</w:t>
      </w:r>
      <w:r>
        <w:rPr>
          <w:rFonts w:ascii="Arial" w:eastAsia="Times New Roman" w:hAnsi="Arial" w:cs="Arial"/>
          <w:color w:val="000000"/>
          <w:sz w:val="21"/>
          <w:szCs w:val="21"/>
          <w:lang w:val="es-ES" w:eastAsia="es-MX"/>
        </w:rPr>
        <w:t xml:space="preserve"> </w:t>
      </w:r>
      <w:r w:rsidRPr="00FF7212">
        <w:rPr>
          <w:rFonts w:ascii="Arial" w:eastAsia="Times New Roman" w:hAnsi="Arial" w:cs="Arial"/>
          <w:color w:val="000000"/>
          <w:sz w:val="21"/>
          <w:szCs w:val="21"/>
          <w:lang w:val="es-ES" w:eastAsia="es-MX"/>
        </w:rPr>
        <w:t xml:space="preserve">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w:t>
      </w:r>
      <w:r w:rsidRPr="00FF7212">
        <w:rPr>
          <w:rFonts w:ascii="Arial" w:eastAsia="Times New Roman" w:hAnsi="Arial" w:cs="Arial"/>
          <w:color w:val="000000"/>
          <w:sz w:val="21"/>
          <w:szCs w:val="21"/>
          <w:lang w:val="es-ES" w:eastAsia="es-MX"/>
        </w:rPr>
        <w:lastRenderedPageBreak/>
        <w:t xml:space="preserve">proponentes no podrán acreditar circunstancias ocurridas con posterioridad al cierre del proceso. </w:t>
      </w:r>
    </w:p>
    <w:p w14:paraId="4F343B60" w14:textId="77777777" w:rsidR="00BB4640" w:rsidRPr="00FF7212" w:rsidRDefault="00BB4640" w:rsidP="00BB4640">
      <w:pPr>
        <w:ind w:left="709" w:right="709"/>
        <w:jc w:val="both"/>
        <w:rPr>
          <w:rFonts w:ascii="Arial" w:eastAsia="Times New Roman" w:hAnsi="Arial" w:cs="Arial"/>
          <w:color w:val="000000"/>
          <w:sz w:val="21"/>
          <w:szCs w:val="21"/>
          <w:lang w:val="es-ES" w:eastAsia="es-MX"/>
        </w:rPr>
      </w:pPr>
    </w:p>
    <w:p w14:paraId="56039455" w14:textId="77777777" w:rsidR="00BB4640" w:rsidRPr="009E2B21" w:rsidRDefault="00BB4640" w:rsidP="00BB4640">
      <w:pPr>
        <w:spacing w:after="120" w:line="276" w:lineRule="auto"/>
        <w:ind w:firstLine="709"/>
        <w:jc w:val="both"/>
        <w:rPr>
          <w:rFonts w:ascii="Arial" w:eastAsia="Times New Roman" w:hAnsi="Arial" w:cs="Arial"/>
          <w:color w:val="000000"/>
          <w:sz w:val="22"/>
          <w:lang w:val="es-ES" w:eastAsia="es-MX"/>
        </w:rPr>
      </w:pPr>
      <w:r w:rsidRPr="009E2B21">
        <w:rPr>
          <w:rFonts w:ascii="Arial" w:eastAsia="Times New Roman" w:hAnsi="Arial" w:cs="Arial"/>
          <w:color w:val="000000"/>
          <w:sz w:val="22"/>
          <w:lang w:val="es-ES" w:eastAsia="es-MX"/>
        </w:rPr>
        <w:t xml:space="preserve">Esta norma: i) mantiene el criterio de la Ley 80 de 1993, relativo a que todo lo que no sea necesario para la comparación de propuestas no es título suficiente para su rechazo; </w:t>
      </w:r>
      <w:proofErr w:type="spellStart"/>
      <w:r w:rsidRPr="009E2B21">
        <w:rPr>
          <w:rFonts w:ascii="Arial" w:eastAsia="Times New Roman" w:hAnsi="Arial" w:cs="Arial"/>
          <w:color w:val="000000"/>
          <w:sz w:val="22"/>
          <w:lang w:val="es-ES" w:eastAsia="es-MX"/>
        </w:rPr>
        <w:t>ii</w:t>
      </w:r>
      <w:proofErr w:type="spellEnd"/>
      <w:r w:rsidRPr="009E2B21">
        <w:rPr>
          <w:rFonts w:ascii="Arial" w:eastAsia="Times New Roman" w:hAnsi="Arial" w:cs="Arial"/>
          <w:color w:val="000000"/>
          <w:sz w:val="22"/>
          <w:lang w:val="es-ES" w:eastAsia="es-MX"/>
        </w:rPr>
        <w:t xml:space="preserve">) mantiene el criterio aclaratorio de la Ley 1150 de 2007, según el cual todo lo que no afecte la asignación de puntaje puede subsanarse y, </w:t>
      </w:r>
      <w:proofErr w:type="spellStart"/>
      <w:r w:rsidRPr="009E2B21">
        <w:rPr>
          <w:rFonts w:ascii="Arial" w:eastAsia="Times New Roman" w:hAnsi="Arial" w:cs="Arial"/>
          <w:color w:val="000000"/>
          <w:sz w:val="22"/>
          <w:lang w:val="es-ES" w:eastAsia="es-MX"/>
        </w:rPr>
        <w:t>iii</w:t>
      </w:r>
      <w:proofErr w:type="spellEnd"/>
      <w:r w:rsidRPr="009E2B21">
        <w:rPr>
          <w:rFonts w:ascii="Arial" w:eastAsia="Times New Roman" w:hAnsi="Arial" w:cs="Arial"/>
          <w:color w:val="000000"/>
          <w:sz w:val="22"/>
          <w:lang w:val="es-ES" w:eastAsia="es-MX"/>
        </w:rPr>
        <w:t>) introduce modificaciones en relación con tres (3) aspectos que se analizarán a continuación:</w:t>
      </w:r>
    </w:p>
    <w:p w14:paraId="625E7338" w14:textId="77777777" w:rsidR="00BB4640" w:rsidRPr="009E2B21" w:rsidRDefault="00BB4640" w:rsidP="00BB4640">
      <w:pPr>
        <w:spacing w:after="120" w:line="276" w:lineRule="auto"/>
        <w:ind w:firstLine="709"/>
        <w:jc w:val="both"/>
        <w:rPr>
          <w:rFonts w:ascii="Arial" w:eastAsia="Arial" w:hAnsi="Arial" w:cs="Arial"/>
          <w:color w:val="000000"/>
          <w:sz w:val="22"/>
          <w:lang w:val="es-ES" w:eastAsia="es-MX"/>
        </w:rPr>
      </w:pPr>
      <w:r w:rsidRPr="009E2B21">
        <w:rPr>
          <w:rFonts w:ascii="Arial" w:eastAsia="Arial" w:hAnsi="Arial" w:cs="Arial"/>
          <w:color w:val="000000"/>
          <w:sz w:val="22"/>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r w:rsidRPr="009E2B21">
        <w:rPr>
          <w:rFonts w:ascii="Arial" w:eastAsia="Arial" w:hAnsi="Arial" w:cs="Arial"/>
          <w:color w:val="000000"/>
          <w:sz w:val="22"/>
          <w:vertAlign w:val="superscript"/>
          <w:lang w:val="es-ES" w:eastAsia="es-MX"/>
        </w:rPr>
        <w:footnoteReference w:id="13"/>
      </w:r>
      <w:r w:rsidRPr="009E2B21">
        <w:rPr>
          <w:rFonts w:ascii="Arial" w:eastAsia="Arial" w:hAnsi="Arial" w:cs="Arial"/>
          <w:color w:val="000000"/>
          <w:sz w:val="22"/>
          <w:lang w:val="es-ES" w:eastAsia="es-MX"/>
        </w:rPr>
        <w:t>.</w:t>
      </w:r>
    </w:p>
    <w:p w14:paraId="5C770C3A" w14:textId="77777777" w:rsidR="00BB4640" w:rsidRPr="009E2B21" w:rsidRDefault="00BB4640" w:rsidP="00BB4640">
      <w:pPr>
        <w:spacing w:after="120" w:line="276" w:lineRule="auto"/>
        <w:ind w:firstLine="709"/>
        <w:jc w:val="both"/>
        <w:rPr>
          <w:rFonts w:ascii="Arial" w:eastAsia="Arial" w:hAnsi="Arial" w:cs="Arial"/>
          <w:color w:val="000000"/>
          <w:sz w:val="22"/>
          <w:lang w:val="es-ES" w:eastAsia="es-MX"/>
        </w:rPr>
      </w:pPr>
      <w:r w:rsidRPr="009E2B21">
        <w:rPr>
          <w:rFonts w:ascii="Arial" w:eastAsia="Times New Roman" w:hAnsi="Arial" w:cs="Arial"/>
          <w:color w:val="000000"/>
          <w:sz w:val="22"/>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5E1CE197" w14:textId="77777777" w:rsidR="00BB4640" w:rsidRPr="009E2B21" w:rsidRDefault="00BB4640" w:rsidP="00BB4640">
      <w:pPr>
        <w:spacing w:after="120" w:line="276" w:lineRule="auto"/>
        <w:ind w:firstLine="720"/>
        <w:jc w:val="both"/>
        <w:rPr>
          <w:rFonts w:ascii="Arial" w:eastAsia="Calibri" w:hAnsi="Arial" w:cs="Arial"/>
          <w:color w:val="000000"/>
          <w:sz w:val="22"/>
          <w:lang w:val="es-ES" w:eastAsia="es-MX"/>
        </w:rPr>
      </w:pPr>
      <w:r w:rsidRPr="009E2B21">
        <w:rPr>
          <w:rFonts w:ascii="Arial" w:eastAsia="Arial" w:hAnsi="Arial" w:cs="Arial"/>
          <w:color w:val="000000"/>
          <w:sz w:val="22"/>
          <w:lang w:val="es-ES" w:eastAsia="es-MX"/>
        </w:rPr>
        <w:t xml:space="preserve">De otro lado, el segundo cambio importante de la Ley 1882 de 2018 </w:t>
      </w:r>
      <w:r w:rsidRPr="009E2B21">
        <w:rPr>
          <w:rFonts w:ascii="Arial" w:eastAsia="Calibri" w:hAnsi="Arial" w:cs="Arial"/>
          <w:color w:val="000000"/>
          <w:sz w:val="22"/>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w:t>
      </w:r>
      <w:proofErr w:type="gramStart"/>
      <w:r w:rsidRPr="009E2B21">
        <w:rPr>
          <w:rFonts w:ascii="Arial" w:eastAsia="Calibri" w:hAnsi="Arial" w:cs="Arial"/>
          <w:color w:val="000000"/>
          <w:sz w:val="22"/>
          <w:lang w:val="es-ES" w:eastAsia="es-MX"/>
        </w:rPr>
        <w:t>la misma</w:t>
      </w:r>
      <w:proofErr w:type="gramEnd"/>
      <w:r w:rsidRPr="009E2B21">
        <w:rPr>
          <w:rFonts w:ascii="Arial" w:eastAsia="Calibri" w:hAnsi="Arial" w:cs="Arial"/>
          <w:color w:val="000000"/>
          <w:sz w:val="22"/>
          <w:lang w:val="es-ES" w:eastAsia="es-MX"/>
        </w:rPr>
        <w:t>».</w:t>
      </w:r>
    </w:p>
    <w:p w14:paraId="15073380" w14:textId="285DBDF9" w:rsidR="00BB4640" w:rsidRDefault="00BB4640" w:rsidP="00BB4640">
      <w:pPr>
        <w:spacing w:line="276" w:lineRule="auto"/>
        <w:ind w:firstLine="709"/>
        <w:jc w:val="both"/>
        <w:rPr>
          <w:rFonts w:ascii="Arial" w:eastAsia="Times New Roman" w:hAnsi="Arial" w:cs="Arial"/>
          <w:sz w:val="22"/>
          <w:bdr w:val="none" w:sz="0" w:space="0" w:color="auto" w:frame="1"/>
          <w:lang w:val="es-ES" w:eastAsia="es-MX"/>
        </w:rPr>
      </w:pPr>
      <w:r w:rsidRPr="009E2B21">
        <w:rPr>
          <w:rFonts w:ascii="Arial" w:eastAsia="Arial" w:hAnsi="Arial" w:cs="Arial"/>
          <w:color w:val="000000"/>
          <w:sz w:val="22"/>
          <w:lang w:val="es-ES" w:eastAsia="es-MX"/>
        </w:rPr>
        <w:t xml:space="preserve">Finalmente, el último cambio importante de la Ley 1882 de 2018 fue la introducción de un criterio material, directamente relacionado con los aspectos subsanables: </w:t>
      </w:r>
      <w:r w:rsidRPr="009E2B21">
        <w:rPr>
          <w:rFonts w:ascii="Arial" w:eastAsia="Arial" w:hAnsi="Arial" w:cs="Arial"/>
          <w:i/>
          <w:iCs/>
          <w:color w:val="000000"/>
          <w:sz w:val="22"/>
          <w:lang w:val="es-ES" w:eastAsia="es-MX"/>
        </w:rPr>
        <w:t>«</w:t>
      </w:r>
      <w:r w:rsidRPr="009E2B21">
        <w:rPr>
          <w:rFonts w:ascii="Arial" w:eastAsia="Arial" w:hAnsi="Arial" w:cs="Arial"/>
          <w:color w:val="000000"/>
          <w:sz w:val="22"/>
          <w:lang w:val="es-ES" w:eastAsia="es-MX"/>
        </w:rPr>
        <w:t>los proponentes no podrán acreditar circunstancias ocurridas con posterioridad al cierre del proceso»</w:t>
      </w:r>
      <w:r w:rsidRPr="009E2B21">
        <w:rPr>
          <w:rFonts w:ascii="Arial" w:eastAsia="Arial" w:hAnsi="Arial" w:cs="Arial"/>
          <w:b/>
          <w:bCs/>
          <w:color w:val="000000"/>
          <w:sz w:val="22"/>
          <w:lang w:val="es-ES" w:eastAsia="es-MX"/>
        </w:rPr>
        <w:t>.</w:t>
      </w:r>
      <w:r w:rsidRPr="009E2B21">
        <w:rPr>
          <w:rFonts w:ascii="Arial" w:eastAsia="Times New Roman" w:hAnsi="Arial" w:cs="Arial"/>
          <w:sz w:val="22"/>
          <w:bdr w:val="none" w:sz="0" w:space="0" w:color="auto" w:frame="1"/>
          <w:lang w:val="es-ES" w:eastAsia="es-MX"/>
        </w:rPr>
        <w:t xml:space="preserve"> Esta regla tiene una finalidad particular, y es que, al momento de presentar la oferta, el proponente la deberá hacerlo de forma íntegra y así evitar que a lo largo del </w:t>
      </w:r>
      <w:r w:rsidRPr="009E2B21">
        <w:rPr>
          <w:rFonts w:ascii="Arial" w:eastAsia="Times New Roman" w:hAnsi="Arial" w:cs="Arial"/>
          <w:sz w:val="22"/>
          <w:bdr w:val="none" w:sz="0" w:space="0" w:color="auto" w:frame="1"/>
          <w:lang w:val="es-ES" w:eastAsia="es-MX"/>
        </w:rPr>
        <w:lastRenderedPageBreak/>
        <w:t>procedimiento contractual complete o adicione su propuesta, conforme mejora su situación particular. En términos del Consejo de Estado:</w:t>
      </w:r>
    </w:p>
    <w:p w14:paraId="2F4DB0FB" w14:textId="77777777" w:rsidR="00BB4640" w:rsidRPr="009E2B21" w:rsidRDefault="00BB4640" w:rsidP="00BB4640">
      <w:pPr>
        <w:spacing w:line="276" w:lineRule="auto"/>
        <w:ind w:firstLine="709"/>
        <w:jc w:val="both"/>
        <w:rPr>
          <w:rFonts w:ascii="Arial" w:eastAsia="Times New Roman" w:hAnsi="Arial" w:cs="Arial"/>
          <w:sz w:val="22"/>
          <w:bdr w:val="none" w:sz="0" w:space="0" w:color="auto" w:frame="1"/>
          <w:lang w:val="es-ES" w:eastAsia="es-MX"/>
        </w:rPr>
      </w:pPr>
    </w:p>
    <w:p w14:paraId="504F8094" w14:textId="517AF127" w:rsidR="00BB4640" w:rsidRDefault="00BB4640" w:rsidP="00BB4640">
      <w:pPr>
        <w:tabs>
          <w:tab w:val="left" w:pos="426"/>
        </w:tabs>
        <w:ind w:left="709" w:right="709"/>
        <w:jc w:val="both"/>
        <w:rPr>
          <w:rFonts w:ascii="Arial" w:eastAsia="Arial" w:hAnsi="Arial" w:cs="Arial"/>
          <w:color w:val="000000"/>
          <w:sz w:val="21"/>
          <w:szCs w:val="21"/>
          <w:lang w:val="es-ES" w:eastAsia="es-MX"/>
        </w:rPr>
      </w:pPr>
      <w:r w:rsidRPr="00FF7212">
        <w:rPr>
          <w:rFonts w:ascii="Arial" w:eastAsia="Arial" w:hAnsi="Arial" w:cs="Arial"/>
          <w:color w:val="000000"/>
          <w:sz w:val="21"/>
          <w:szCs w:val="21"/>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FF7212">
        <w:rPr>
          <w:rFonts w:ascii="Arial" w:eastAsia="Arial" w:hAnsi="Arial" w:cs="Arial"/>
          <w:color w:val="000000"/>
          <w:sz w:val="21"/>
          <w:szCs w:val="21"/>
          <w:vertAlign w:val="superscript"/>
          <w:lang w:val="es-ES" w:eastAsia="es-MX"/>
        </w:rPr>
        <w:footnoteReference w:id="14"/>
      </w:r>
    </w:p>
    <w:p w14:paraId="74825063" w14:textId="77777777" w:rsidR="00BB4640" w:rsidRPr="00FF7212" w:rsidRDefault="00BB4640" w:rsidP="00BB4640">
      <w:pPr>
        <w:tabs>
          <w:tab w:val="left" w:pos="426"/>
        </w:tabs>
        <w:ind w:left="709" w:right="709"/>
        <w:jc w:val="both"/>
        <w:rPr>
          <w:rFonts w:ascii="Arial" w:eastAsia="Arial" w:hAnsi="Arial" w:cs="Arial"/>
          <w:color w:val="000000"/>
          <w:sz w:val="21"/>
          <w:szCs w:val="21"/>
          <w:lang w:val="es-ES" w:eastAsia="es-MX"/>
        </w:rPr>
      </w:pPr>
    </w:p>
    <w:p w14:paraId="150487C2" w14:textId="77777777" w:rsidR="00BB4640" w:rsidRPr="009E2B21" w:rsidRDefault="00BB4640" w:rsidP="00BB4640">
      <w:pPr>
        <w:spacing w:line="276" w:lineRule="auto"/>
        <w:ind w:firstLine="708"/>
        <w:jc w:val="both"/>
        <w:rPr>
          <w:rFonts w:ascii="Arial" w:eastAsia="Arial" w:hAnsi="Arial" w:cs="Arial"/>
          <w:color w:val="000000"/>
          <w:sz w:val="22"/>
          <w:lang w:val="es-ES" w:eastAsia="es-MX"/>
        </w:rPr>
      </w:pPr>
      <w:r w:rsidRPr="009E2B21">
        <w:rPr>
          <w:rFonts w:ascii="Arial" w:eastAsia="Arial" w:hAnsi="Arial" w:cs="Arial"/>
          <w:color w:val="000000"/>
          <w:sz w:val="22"/>
          <w:lang w:val="es-ES" w:eastAsia="es-MX"/>
        </w:rPr>
        <w:t>De igual manera, en los documentos tipo que ha adoptado la Agencia, la obligación del proponente de presentar su oferta de manera íntegra es congruente con el numeral 1.6. de los Documentos Base</w:t>
      </w:r>
      <w:r w:rsidRPr="009E2B21">
        <w:rPr>
          <w:rStyle w:val="Refdenotaalpie"/>
          <w:rFonts w:ascii="Arial" w:eastAsia="Arial" w:hAnsi="Arial" w:cs="Arial"/>
          <w:color w:val="000000"/>
          <w:sz w:val="22"/>
          <w:lang w:val="es-ES" w:eastAsia="es-MX"/>
        </w:rPr>
        <w:footnoteReference w:id="15"/>
      </w:r>
      <w:r w:rsidRPr="009E2B21">
        <w:rPr>
          <w:rFonts w:ascii="Arial" w:eastAsia="Arial" w:hAnsi="Arial" w:cs="Arial"/>
          <w:color w:val="000000"/>
          <w:sz w:val="22"/>
          <w:lang w:val="es-ES" w:eastAsia="es-MX"/>
        </w:rPr>
        <w:t>. Al respecto, los pliegos tipo contienen la siguiente regla:</w:t>
      </w:r>
    </w:p>
    <w:p w14:paraId="69D8D6B8" w14:textId="77777777" w:rsidR="00BB4640" w:rsidRPr="00FF7212" w:rsidRDefault="00BB4640" w:rsidP="00BB4640">
      <w:pPr>
        <w:spacing w:after="120"/>
        <w:ind w:left="709" w:right="709"/>
        <w:jc w:val="both"/>
        <w:rPr>
          <w:rFonts w:ascii="Arial" w:eastAsia="Arial" w:hAnsi="Arial" w:cs="Arial"/>
          <w:color w:val="000000"/>
          <w:sz w:val="21"/>
          <w:szCs w:val="21"/>
          <w:lang w:val="es-ES" w:eastAsia="es-MX"/>
        </w:rPr>
      </w:pPr>
      <w:r w:rsidRPr="00FF7212">
        <w:rPr>
          <w:rFonts w:ascii="Arial" w:eastAsia="Arial" w:hAnsi="Arial" w:cs="Arial"/>
          <w:color w:val="000000"/>
          <w:sz w:val="21"/>
          <w:szCs w:val="21"/>
          <w:lang w:val="es-ES" w:eastAsia="es-MX"/>
        </w:rPr>
        <w:t>El Proponente tiene la responsabilidad y carga de presentar su oferta en forma completa e íntegra, esto es, respondiendo todos los puntos del Pliego de Condiciones y adjuntando todos los documentos de soporte o prueba de las condiciones que pretenda hacer valer en el Proceso.</w:t>
      </w:r>
    </w:p>
    <w:p w14:paraId="3EB2485B" w14:textId="77777777" w:rsidR="00BB4640" w:rsidRPr="00FF7212" w:rsidRDefault="00BB4640" w:rsidP="00BB4640">
      <w:pPr>
        <w:ind w:left="709" w:right="709"/>
        <w:jc w:val="both"/>
        <w:rPr>
          <w:rFonts w:ascii="Arial" w:eastAsia="Arial" w:hAnsi="Arial" w:cs="Arial"/>
          <w:color w:val="000000"/>
          <w:sz w:val="21"/>
          <w:szCs w:val="21"/>
          <w:lang w:val="es-ES" w:eastAsia="es-MX"/>
        </w:rPr>
      </w:pPr>
      <w:r w:rsidRPr="00FF7212">
        <w:rPr>
          <w:rFonts w:ascii="Arial" w:eastAsia="Arial" w:hAnsi="Arial" w:cs="Arial"/>
          <w:color w:val="000000"/>
          <w:sz w:val="21"/>
          <w:szCs w:val="21"/>
          <w:lang w:val="es-ES" w:eastAsia="es-MX"/>
        </w:rPr>
        <w:t xml:space="preserve">En caso de ser necesario, la Entidad deberá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 </w:t>
      </w:r>
    </w:p>
    <w:p w14:paraId="588E9A08" w14:textId="2BCC6337" w:rsidR="00BB4640" w:rsidRDefault="00BB4640" w:rsidP="00BB4640">
      <w:pPr>
        <w:ind w:left="709" w:right="709"/>
        <w:jc w:val="both"/>
        <w:rPr>
          <w:rFonts w:ascii="Arial" w:eastAsia="Arial" w:hAnsi="Arial" w:cs="Arial"/>
          <w:color w:val="000000"/>
          <w:sz w:val="21"/>
          <w:szCs w:val="21"/>
          <w:lang w:val="es-ES" w:eastAsia="es-MX"/>
        </w:rPr>
      </w:pPr>
      <w:r w:rsidRPr="00FF7212">
        <w:rPr>
          <w:rFonts w:ascii="Arial" w:eastAsia="Arial" w:hAnsi="Arial" w:cs="Arial"/>
          <w:color w:val="000000"/>
          <w:sz w:val="21"/>
          <w:szCs w:val="21"/>
          <w:lang w:val="es-ES" w:eastAsia="es-MX"/>
        </w:rPr>
        <w:t xml:space="preserve">En el evento en que la Entidad no advierta la ausencia de requisitos o la falta de documentos referentes a la futura contratación o al Proponente, no necesarios </w:t>
      </w:r>
      <w:r w:rsidRPr="00FF7212">
        <w:rPr>
          <w:rFonts w:ascii="Arial" w:eastAsia="Arial" w:hAnsi="Arial" w:cs="Arial"/>
          <w:color w:val="000000"/>
          <w:sz w:val="21"/>
          <w:szCs w:val="21"/>
          <w:lang w:val="es-ES" w:eastAsia="es-MX"/>
        </w:rPr>
        <w:lastRenderedPageBreak/>
        <w:t xml:space="preserve">para la comparación de las propuestas y no los haya requerido durante el proceso de evaluación, a más tardar en el informe de evaluación, podrá requerir al Proponente, otorgándole un término igual al establecido para el traslado del informe de evaluación, con el fin de que los allegue. En caso de que sea necesario, la Entidad ajustará el cronograma. </w:t>
      </w:r>
    </w:p>
    <w:p w14:paraId="5B070AEC" w14:textId="77777777" w:rsidR="00BB4640" w:rsidRPr="00FF7212" w:rsidRDefault="00BB4640" w:rsidP="00BB4640">
      <w:pPr>
        <w:ind w:left="709" w:right="709"/>
        <w:jc w:val="both"/>
        <w:rPr>
          <w:rFonts w:ascii="Arial" w:eastAsia="Arial" w:hAnsi="Arial" w:cs="Arial"/>
          <w:color w:val="000000"/>
          <w:sz w:val="21"/>
          <w:szCs w:val="21"/>
          <w:u w:val="single"/>
          <w:lang w:val="es-ES" w:eastAsia="es-MX"/>
        </w:rPr>
      </w:pPr>
    </w:p>
    <w:p w14:paraId="71B80FFA" w14:textId="77777777" w:rsidR="00BB4640" w:rsidRPr="009E2B21" w:rsidRDefault="00BB4640" w:rsidP="00BB4640">
      <w:pPr>
        <w:spacing w:after="120" w:line="276" w:lineRule="auto"/>
        <w:ind w:firstLine="709"/>
        <w:jc w:val="both"/>
        <w:rPr>
          <w:rFonts w:ascii="Arial" w:eastAsia="Times New Roman" w:hAnsi="Arial" w:cs="Arial"/>
          <w:color w:val="000000"/>
          <w:sz w:val="22"/>
          <w:shd w:val="clear" w:color="auto" w:fill="FFFFFF"/>
          <w:lang w:val="es-ES" w:eastAsia="es-MX"/>
        </w:rPr>
      </w:pPr>
      <w:r w:rsidRPr="009E2B21">
        <w:rPr>
          <w:rFonts w:ascii="Arial" w:eastAsia="Times New Roman" w:hAnsi="Arial" w:cs="Arial"/>
          <w:color w:val="000000"/>
          <w:sz w:val="22"/>
          <w:shd w:val="clear" w:color="auto" w:fill="FFFFFF"/>
          <w:lang w:val="es-ES" w:eastAsia="es-MX"/>
        </w:rPr>
        <w:t>El texto transcrito, es concordante con el parágrafo 3 del artículo 30 de la Ley 80 de 1993</w:t>
      </w:r>
      <w:r w:rsidRPr="009E2B21">
        <w:rPr>
          <w:rFonts w:ascii="Arial" w:eastAsia="Arial" w:hAnsi="Arial" w:cs="Arial"/>
          <w:color w:val="000000"/>
          <w:sz w:val="22"/>
          <w:vertAlign w:val="superscript"/>
          <w:lang w:val="es-ES" w:eastAsia="es-MX"/>
        </w:rPr>
        <w:footnoteReference w:id="16"/>
      </w:r>
      <w:r w:rsidRPr="009E2B21">
        <w:rPr>
          <w:rFonts w:ascii="Arial" w:eastAsia="Times New Roman" w:hAnsi="Arial" w:cs="Arial"/>
          <w:color w:val="000000"/>
          <w:sz w:val="22"/>
          <w:shd w:val="clear" w:color="auto" w:fill="FFFFFF"/>
          <w:lang w:val="es-ES" w:eastAsia="es-MX"/>
        </w:rPr>
        <w:t xml:space="preserve">, adicionado por la Ley 1882 de 2018, el cual regula la elaboración y traslado del informe de evaluación. Conforme indica dicho artículo, la entidad estatal debe publicar un informe de evaluación preliminar relacionado con los requisitos habilitantes, en el que se deben dar cuenta de las posibles inconsistencias en la acreditación de </w:t>
      </w:r>
      <w:proofErr w:type="gramStart"/>
      <w:r w:rsidRPr="009E2B21">
        <w:rPr>
          <w:rFonts w:ascii="Arial" w:eastAsia="Times New Roman" w:hAnsi="Arial" w:cs="Arial"/>
          <w:color w:val="000000"/>
          <w:sz w:val="22"/>
          <w:shd w:val="clear" w:color="auto" w:fill="FFFFFF"/>
          <w:lang w:val="es-ES" w:eastAsia="es-MX"/>
        </w:rPr>
        <w:t>los mismos</w:t>
      </w:r>
      <w:proofErr w:type="gramEnd"/>
      <w:r w:rsidRPr="009E2B21">
        <w:rPr>
          <w:rFonts w:ascii="Arial" w:eastAsia="Times New Roman" w:hAnsi="Arial" w:cs="Arial"/>
          <w:color w:val="000000"/>
          <w:sz w:val="22"/>
          <w:shd w:val="clear" w:color="auto" w:fill="FFFFFF"/>
          <w:lang w:val="es-ES" w:eastAsia="es-MX"/>
        </w:rPr>
        <w:t xml:space="preserve">, el cual debe ser publicado durante un plazo de cinco (5) días hábiles, durante el cual, les corresponde a los proponentes allegar los documentos requeridos para subsanar aquellos referidos a la acreditación de documentos no sometidos a puntaje. Dicho termino de traslado del informe de evaluación es al que se refieren el parágrafo 1 del artículo 5 de la Ley 1150 de 2007, y el 3 del artículo 30 de la Ley 80 de 1993 como oportunidad para subsanar en los procesos de licitación de obra pública. </w:t>
      </w:r>
    </w:p>
    <w:p w14:paraId="3D49D950" w14:textId="77777777" w:rsidR="00BB4640" w:rsidRPr="009E2B21" w:rsidRDefault="00BB4640" w:rsidP="009E2B21">
      <w:pPr>
        <w:spacing w:before="120" w:line="276" w:lineRule="auto"/>
        <w:ind w:firstLine="709"/>
        <w:jc w:val="both"/>
        <w:rPr>
          <w:rFonts w:ascii="Arial" w:eastAsia="Times New Roman" w:hAnsi="Arial" w:cs="Arial"/>
          <w:color w:val="000000"/>
          <w:sz w:val="22"/>
          <w:shd w:val="clear" w:color="auto" w:fill="FFFFFF"/>
          <w:lang w:val="es-ES" w:eastAsia="es-MX"/>
        </w:rPr>
      </w:pPr>
      <w:r w:rsidRPr="009E2B21">
        <w:rPr>
          <w:rFonts w:ascii="Arial" w:eastAsia="Times New Roman" w:hAnsi="Arial" w:cs="Arial"/>
          <w:color w:val="000000"/>
          <w:sz w:val="22"/>
          <w:shd w:val="clear" w:color="auto" w:fill="FFFFFF"/>
          <w:lang w:val="es-ES" w:eastAsia="es-MX"/>
        </w:rPr>
        <w:t>De esta manera, si un proponente no subsana o lo hace de manera errónea durante el término del informe de evaluación, la consecuencia jurídica es que se rechacé la oferta por no cumplir con los requisitos habilitantes para participar en el proceso de contratación. Así lo dispone el parágrafo 1º del artículo 5º de la Ley 1150 de 2007 al mencionar que «[…] Serán rechazadas las ofertas de aquellos proponentes que no suministren la información y la documentación solicitada por la entidad estatal hasta el plazo anteriormente señalado».</w:t>
      </w:r>
    </w:p>
    <w:p w14:paraId="1044E883" w14:textId="77777777" w:rsidR="006B4D51" w:rsidRDefault="006B4D51" w:rsidP="006B4D51">
      <w:pPr>
        <w:widowControl w:val="0"/>
        <w:autoSpaceDE w:val="0"/>
        <w:autoSpaceDN w:val="0"/>
        <w:spacing w:before="120" w:line="276" w:lineRule="auto"/>
        <w:ind w:firstLine="709"/>
        <w:jc w:val="both"/>
        <w:rPr>
          <w:rFonts w:ascii="Arial" w:eastAsia="Arial" w:hAnsi="Arial" w:cs="Arial"/>
          <w:bCs/>
          <w:sz w:val="22"/>
          <w:lang w:val="es-ES"/>
        </w:rPr>
      </w:pPr>
    </w:p>
    <w:p w14:paraId="3E98A1F0" w14:textId="2910B6C6" w:rsidR="006B4D51" w:rsidRPr="00DF4B95" w:rsidRDefault="006B4D51" w:rsidP="006B4D51">
      <w:pPr>
        <w:spacing w:line="276" w:lineRule="auto"/>
        <w:jc w:val="both"/>
        <w:rPr>
          <w:rFonts w:ascii="Arial" w:eastAsia="Calibri" w:hAnsi="Arial" w:cs="Arial"/>
          <w:b/>
          <w:sz w:val="22"/>
        </w:rPr>
      </w:pPr>
      <w:r>
        <w:rPr>
          <w:rFonts w:ascii="Arial" w:eastAsia="Calibri" w:hAnsi="Arial" w:cs="Arial"/>
          <w:b/>
          <w:sz w:val="22"/>
        </w:rPr>
        <w:t>2.</w:t>
      </w:r>
      <w:r w:rsidR="00040568">
        <w:rPr>
          <w:rFonts w:ascii="Arial" w:eastAsia="Calibri" w:hAnsi="Arial" w:cs="Arial"/>
          <w:b/>
          <w:sz w:val="22"/>
        </w:rPr>
        <w:t>4</w:t>
      </w:r>
      <w:r w:rsidRPr="00DF4B95">
        <w:rPr>
          <w:rFonts w:ascii="Arial" w:eastAsia="Calibri" w:hAnsi="Arial" w:cs="Arial"/>
          <w:b/>
          <w:sz w:val="22"/>
        </w:rPr>
        <w:t>. Causales de rechazo</w:t>
      </w:r>
      <w:r>
        <w:rPr>
          <w:rFonts w:ascii="Arial" w:eastAsia="Calibri" w:hAnsi="Arial" w:cs="Arial"/>
          <w:b/>
          <w:sz w:val="22"/>
        </w:rPr>
        <w:t xml:space="preserve"> y su carácter taxativo en los documentos tipo. Alcance de del literal W.</w:t>
      </w:r>
    </w:p>
    <w:p w14:paraId="00893E72" w14:textId="77777777" w:rsidR="006B4D51" w:rsidRDefault="006B4D51" w:rsidP="006B4D51">
      <w:pPr>
        <w:tabs>
          <w:tab w:val="left" w:pos="709"/>
        </w:tabs>
        <w:jc w:val="both"/>
        <w:rPr>
          <w:rFonts w:ascii="Arial" w:hAnsi="Arial" w:cs="Arial"/>
          <w:sz w:val="22"/>
        </w:rPr>
      </w:pPr>
    </w:p>
    <w:p w14:paraId="2C2D4F1E" w14:textId="77777777" w:rsidR="006B4D51" w:rsidRPr="004708A0" w:rsidRDefault="006B4D51" w:rsidP="006B4D51">
      <w:pPr>
        <w:tabs>
          <w:tab w:val="left" w:pos="709"/>
        </w:tabs>
        <w:spacing w:line="276" w:lineRule="auto"/>
        <w:jc w:val="both"/>
        <w:rPr>
          <w:rFonts w:ascii="Arial" w:hAnsi="Arial" w:cs="Arial"/>
          <w:sz w:val="22"/>
        </w:rPr>
      </w:pPr>
      <w:r w:rsidRPr="009B6E85">
        <w:rPr>
          <w:rFonts w:ascii="Arial" w:hAnsi="Arial" w:cs="Arial"/>
          <w:sz w:val="22"/>
        </w:rPr>
        <w:t xml:space="preserve">Las causales de rechazo son las establecidas en la Ley y las fijadas por la entidad estatal en los pliegos de condiciones. Sin embargo, en ejercicio de dicha facultad a las entidades </w:t>
      </w:r>
      <w:r w:rsidRPr="009B6E85">
        <w:rPr>
          <w:rFonts w:ascii="Arial" w:hAnsi="Arial" w:cs="Arial"/>
          <w:sz w:val="22"/>
        </w:rPr>
        <w:lastRenderedPageBreak/>
        <w:t>no le es dable fijar causales de rechazo que soslayen o afecten la selección objetiva en la contratación. Sobre el particular, el Consejo de Estado señala:</w:t>
      </w:r>
    </w:p>
    <w:p w14:paraId="6140F21D" w14:textId="77777777" w:rsidR="006B4D51" w:rsidRPr="004708A0" w:rsidRDefault="006B4D51" w:rsidP="006B4D51">
      <w:pPr>
        <w:tabs>
          <w:tab w:val="left" w:pos="709"/>
        </w:tabs>
        <w:spacing w:line="276" w:lineRule="auto"/>
        <w:ind w:firstLine="709"/>
        <w:jc w:val="both"/>
        <w:rPr>
          <w:rFonts w:ascii="Arial" w:hAnsi="Arial" w:cs="Arial"/>
          <w:sz w:val="22"/>
        </w:rPr>
      </w:pPr>
    </w:p>
    <w:p w14:paraId="13951B11" w14:textId="77777777" w:rsidR="006B4D51" w:rsidRPr="004708A0" w:rsidRDefault="006B4D51" w:rsidP="006B4D51">
      <w:pPr>
        <w:tabs>
          <w:tab w:val="left" w:pos="709"/>
        </w:tabs>
        <w:ind w:left="709" w:right="709"/>
        <w:jc w:val="both"/>
        <w:rPr>
          <w:rFonts w:ascii="Arial" w:hAnsi="Arial" w:cs="Arial"/>
          <w:sz w:val="22"/>
        </w:rPr>
      </w:pPr>
      <w:r w:rsidRPr="004708A0">
        <w:rPr>
          <w:rFonts w:ascii="Arial" w:hAnsi="Arial" w:cs="Arial"/>
          <w:sz w:val="21"/>
          <w:szCs w:val="21"/>
        </w:rPr>
        <w:t xml:space="preserve">Quiere con esto destacar la Sala que las causales de rechazo de las propuestas pueden ser legales y por lo mismo generan el efecto del descarte o exclusión de la oferta </w:t>
      </w:r>
      <w:proofErr w:type="spellStart"/>
      <w:r w:rsidRPr="004708A0">
        <w:rPr>
          <w:rFonts w:ascii="Arial" w:hAnsi="Arial" w:cs="Arial"/>
          <w:sz w:val="21"/>
          <w:szCs w:val="21"/>
        </w:rPr>
        <w:t>ope</w:t>
      </w:r>
      <w:proofErr w:type="spellEnd"/>
      <w:r w:rsidRPr="004708A0">
        <w:rPr>
          <w:rFonts w:ascii="Arial" w:hAnsi="Arial" w:cs="Arial"/>
          <w:sz w:val="21"/>
          <w:szCs w:val="21"/>
        </w:rPr>
        <w:t xml:space="preserve"> </w:t>
      </w:r>
      <w:proofErr w:type="spellStart"/>
      <w:r w:rsidRPr="004708A0">
        <w:rPr>
          <w:rFonts w:ascii="Arial" w:hAnsi="Arial" w:cs="Arial"/>
          <w:sz w:val="21"/>
          <w:szCs w:val="21"/>
        </w:rPr>
        <w:t>legis</w:t>
      </w:r>
      <w:proofErr w:type="spellEnd"/>
      <w:r w:rsidRPr="004708A0">
        <w:rPr>
          <w:rFonts w:ascii="Arial" w:hAnsi="Arial" w:cs="Arial"/>
          <w:sz w:val="21"/>
          <w:szCs w:val="21"/>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w:t>
      </w:r>
      <w:r w:rsidRPr="004708A0">
        <w:rPr>
          <w:rFonts w:ascii="Arial" w:hAnsi="Arial" w:cs="Arial"/>
          <w:sz w:val="22"/>
        </w:rPr>
        <w:t xml:space="preserve"> </w:t>
      </w:r>
      <w:r w:rsidRPr="004708A0">
        <w:rPr>
          <w:rFonts w:ascii="Arial" w:hAnsi="Arial" w:cs="Arial"/>
          <w:sz w:val="21"/>
          <w:szCs w:val="21"/>
        </w:rPr>
        <w:t>transparencia, economía y responsabilidad, así como el deber de selección objetiva en la contratación</w:t>
      </w:r>
      <w:r w:rsidRPr="004708A0">
        <w:rPr>
          <w:rFonts w:ascii="Arial" w:hAnsi="Arial" w:cs="Arial"/>
          <w:sz w:val="21"/>
          <w:szCs w:val="21"/>
          <w:vertAlign w:val="superscript"/>
        </w:rPr>
        <w:footnoteReference w:id="17"/>
      </w:r>
      <w:r w:rsidRPr="004708A0">
        <w:rPr>
          <w:rFonts w:ascii="Arial" w:hAnsi="Arial" w:cs="Arial"/>
          <w:sz w:val="21"/>
          <w:szCs w:val="21"/>
        </w:rPr>
        <w:t>.</w:t>
      </w:r>
    </w:p>
    <w:p w14:paraId="5A3C12C5" w14:textId="77777777" w:rsidR="006B4D51" w:rsidRDefault="006B4D51" w:rsidP="006B4D51">
      <w:pPr>
        <w:tabs>
          <w:tab w:val="left" w:pos="709"/>
          <w:tab w:val="left" w:pos="851"/>
        </w:tabs>
        <w:spacing w:line="276" w:lineRule="auto"/>
        <w:jc w:val="both"/>
        <w:rPr>
          <w:rFonts w:ascii="Arial" w:eastAsia="Calibri" w:hAnsi="Arial" w:cs="Arial"/>
          <w:sz w:val="22"/>
          <w:szCs w:val="20"/>
        </w:rPr>
      </w:pPr>
    </w:p>
    <w:p w14:paraId="4DA9073A" w14:textId="77777777" w:rsidR="006B4D51" w:rsidRPr="00121AE5" w:rsidRDefault="006B4D51" w:rsidP="006B4D51">
      <w:pPr>
        <w:tabs>
          <w:tab w:val="left" w:pos="709"/>
          <w:tab w:val="left" w:pos="851"/>
        </w:tabs>
        <w:spacing w:after="120" w:line="276" w:lineRule="auto"/>
        <w:jc w:val="both"/>
        <w:rPr>
          <w:rFonts w:ascii="Arial" w:eastAsia="Calibri" w:hAnsi="Arial" w:cs="Arial"/>
          <w:sz w:val="22"/>
          <w:szCs w:val="20"/>
        </w:rPr>
      </w:pPr>
      <w:r>
        <w:rPr>
          <w:rFonts w:ascii="Arial" w:eastAsia="Calibri" w:hAnsi="Arial" w:cs="Arial"/>
          <w:sz w:val="22"/>
          <w:szCs w:val="20"/>
        </w:rPr>
        <w:tab/>
      </w:r>
      <w:r w:rsidRPr="00121AE5">
        <w:rPr>
          <w:rFonts w:ascii="Arial" w:eastAsia="Calibri" w:hAnsi="Arial" w:cs="Arial"/>
          <w:sz w:val="22"/>
          <w:szCs w:val="20"/>
        </w:rPr>
        <w:t>La Agencia Nacional de Contratación Pública – Colombia Compra Eficiente – mediante los conceptos con radicados Nos. 2201913000007117 del 25 de septiembre de 2019, 2201913000009538 del 23 de diciembre de 2019 y C- 716 del 30 de octubre de 2020,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688718FB" w14:textId="77777777" w:rsidR="006B4D51" w:rsidRPr="00121AE5" w:rsidRDefault="006B4D51" w:rsidP="006B4D51">
      <w:pPr>
        <w:tabs>
          <w:tab w:val="left" w:pos="709"/>
          <w:tab w:val="left" w:pos="851"/>
        </w:tabs>
        <w:spacing w:after="120" w:line="276" w:lineRule="auto"/>
        <w:ind w:firstLine="709"/>
        <w:jc w:val="both"/>
        <w:rPr>
          <w:rFonts w:ascii="Arial" w:eastAsia="Calibri" w:hAnsi="Arial" w:cs="Arial"/>
          <w:color w:val="000000"/>
          <w:sz w:val="22"/>
        </w:rPr>
      </w:pPr>
      <w:bookmarkStart w:id="2" w:name="_Hlk112162868"/>
      <w:r w:rsidRPr="00121AE5">
        <w:rPr>
          <w:rFonts w:ascii="Arial" w:eastAsia="Calibri" w:hAnsi="Arial" w:cs="Arial"/>
          <w:sz w:val="22"/>
          <w:szCs w:val="20"/>
        </w:rPr>
        <w:t>De acuerdo con lo anterior, al consultar el</w:t>
      </w:r>
      <w:r w:rsidRPr="00121AE5">
        <w:rPr>
          <w:rFonts w:ascii="Arial" w:eastAsia="Calibri" w:hAnsi="Arial" w:cs="Arial"/>
          <w:color w:val="000000"/>
          <w:sz w:val="22"/>
        </w:rPr>
        <w:t xml:space="preserve"> numeral 1.15</w:t>
      </w:r>
      <w:r w:rsidRPr="00121AE5">
        <w:rPr>
          <w:rFonts w:ascii="Calibri" w:eastAsia="Calibri" w:hAnsi="Calibri" w:cs="Times New Roman"/>
        </w:rPr>
        <w:t xml:space="preserve"> </w:t>
      </w:r>
      <w:r w:rsidRPr="00121AE5">
        <w:rPr>
          <w:rFonts w:ascii="Arial" w:eastAsia="Calibri" w:hAnsi="Arial" w:cs="Arial"/>
          <w:color w:val="000000"/>
          <w:sz w:val="22"/>
        </w:rPr>
        <w:t>del pliego tipo «Documento Base» de «licitación de obra pública de infraestructura de transporte – Versión 3», que consagra el listado de las causales de rechazo aplicables a estos procedimientos de selección</w:t>
      </w:r>
      <w:bookmarkEnd w:id="2"/>
      <w:r w:rsidRPr="00121AE5">
        <w:rPr>
          <w:rFonts w:ascii="Arial" w:eastAsia="Calibri" w:hAnsi="Arial" w:cs="Arial"/>
          <w:color w:val="000000"/>
          <w:sz w:val="22"/>
        </w:rPr>
        <w:t>, se observa:</w:t>
      </w:r>
    </w:p>
    <w:p w14:paraId="21D63804" w14:textId="77777777" w:rsidR="006B4D51" w:rsidRPr="00121AE5" w:rsidRDefault="006B4D51" w:rsidP="006B4D51">
      <w:pPr>
        <w:tabs>
          <w:tab w:val="left" w:pos="709"/>
        </w:tabs>
        <w:spacing w:after="120" w:line="360" w:lineRule="auto"/>
        <w:ind w:left="709"/>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 xml:space="preserve">Son causales de rechazo de las propuestas las siguientes </w:t>
      </w:r>
      <w:r w:rsidRPr="00121AE5">
        <w:rPr>
          <w:rFonts w:ascii="Arial" w:eastAsia="Calibri" w:hAnsi="Arial" w:cs="Times New Roman"/>
          <w:color w:val="000000"/>
          <w:sz w:val="21"/>
          <w:szCs w:val="21"/>
          <w:highlight w:val="lightGray"/>
        </w:rPr>
        <w:t>[Las entidades no podrán incluir causales de rechazo distintas a las señaladas en la presente sección]</w:t>
      </w:r>
      <w:r w:rsidRPr="00121AE5">
        <w:rPr>
          <w:rFonts w:ascii="Arial" w:eastAsia="Calibri" w:hAnsi="Arial" w:cs="Times New Roman"/>
          <w:color w:val="000000"/>
          <w:sz w:val="21"/>
          <w:szCs w:val="21"/>
        </w:rPr>
        <w:t>:</w:t>
      </w:r>
    </w:p>
    <w:p w14:paraId="322FBB55"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proponente o alguno de los integrantes del proponente plural esté incurso en causal de inhabilidad, incompatibilidad o prohibición previstas en la legislación para contratar.</w:t>
      </w:r>
    </w:p>
    <w:p w14:paraId="6C328976" w14:textId="77777777" w:rsidR="006B4D51" w:rsidRPr="00121AE5" w:rsidRDefault="006B4D51" w:rsidP="006B4D51">
      <w:pPr>
        <w:tabs>
          <w:tab w:val="left" w:pos="709"/>
        </w:tabs>
        <w:spacing w:after="120" w:line="259" w:lineRule="auto"/>
        <w:ind w:left="709"/>
        <w:jc w:val="both"/>
        <w:rPr>
          <w:rFonts w:ascii="Arial" w:eastAsia="Calibri" w:hAnsi="Arial" w:cs="Times New Roman"/>
          <w:color w:val="000000"/>
          <w:sz w:val="21"/>
          <w:szCs w:val="21"/>
        </w:rPr>
      </w:pPr>
      <w:r w:rsidRPr="00121AE5">
        <w:rPr>
          <w:rFonts w:ascii="Arial" w:eastAsia="Calibri" w:hAnsi="Arial" w:cs="Times New Roman"/>
          <w:color w:val="000000"/>
          <w:sz w:val="21"/>
          <w:szCs w:val="21"/>
          <w:highlight w:val="lightGray"/>
        </w:rPr>
        <w:lastRenderedPageBreak/>
        <w:t>[Cuando en el mismo proceso de contratación se presentan oferentes en la situación descrita por los literales g) y h) del numeral 1 del artículo 8 de la Ley 80 de 1993, la entidad solo admitirá la oferta presentada primero en el tiempo]</w:t>
      </w:r>
    </w:p>
    <w:p w14:paraId="69D06F0C"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Cuando una misma persona natural o jurídica, o integrante de un proponente plural presente o haga parte en más de una propuesta para el presente proceso de contratación.</w:t>
      </w:r>
    </w:p>
    <w:p w14:paraId="7C4110DF" w14:textId="77777777" w:rsidR="006B4D51" w:rsidRPr="00121AE5" w:rsidRDefault="006B4D51" w:rsidP="006B4D51">
      <w:pPr>
        <w:tabs>
          <w:tab w:val="left" w:pos="709"/>
        </w:tabs>
        <w:spacing w:after="120" w:line="259" w:lineRule="auto"/>
        <w:ind w:left="709"/>
        <w:jc w:val="both"/>
        <w:rPr>
          <w:rFonts w:ascii="Arial" w:eastAsia="Calibri" w:hAnsi="Arial" w:cs="Times New Roman"/>
          <w:color w:val="000000"/>
          <w:sz w:val="21"/>
          <w:szCs w:val="21"/>
        </w:rPr>
      </w:pPr>
      <w:r w:rsidRPr="00121AE5">
        <w:rPr>
          <w:rFonts w:ascii="Arial" w:eastAsia="Calibri" w:hAnsi="Arial" w:cs="Times New Roman"/>
          <w:color w:val="000000"/>
          <w:sz w:val="21"/>
          <w:szCs w:val="21"/>
          <w:highlight w:val="lightGray"/>
        </w:rPr>
        <w:t>[Reemplazar el texto anterior por el siguiente, cuando el proceso es estructurado por lotes o grupos: Cuando una misma persona natural o jurídica, o integrante de un proponente plural presente o haga parte en más de una propuesta para el mismo lote o grupo del presente proceso de contratación]</w:t>
      </w:r>
      <w:r w:rsidRPr="00121AE5">
        <w:rPr>
          <w:rFonts w:ascii="Arial" w:eastAsia="Calibri" w:hAnsi="Arial" w:cs="Times New Roman"/>
          <w:color w:val="000000"/>
          <w:sz w:val="21"/>
          <w:szCs w:val="21"/>
        </w:rPr>
        <w:t xml:space="preserve"> </w:t>
      </w:r>
    </w:p>
    <w:p w14:paraId="67314255"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proponente o alguno de los integrantes del proponente plural esté reportado en el Boletín de Responsables Fiscales emitido por la Contraloría General de la República.</w:t>
      </w:r>
    </w:p>
    <w:p w14:paraId="67CA9284"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la persona jurídica proponente individual o integrante del proponente plural esté incursa en la situación descrita en el numeral 1 del artículo 38 de la Ley 1116 de 2006.</w:t>
      </w:r>
    </w:p>
    <w:p w14:paraId="6163B169"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proponente no aclare, subsane o aporte documentos necesarios para cumplir un requisito habilitante o aportándolos no lo haga de forma correcta, en los términos establecidos en la sección 1.6.</w:t>
      </w:r>
    </w:p>
    <w:p w14:paraId="4899F2B8"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la inscripción en el Registro Único de Proponentes (RUP) que realice el proponente, por primera vez o cuando han cesado los efectos y debe volver a inscribirse, no esté en firme en la fecha prevista para el cierre del proceso de contratación.</w:t>
      </w:r>
    </w:p>
    <w:p w14:paraId="5501540F"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 xml:space="preserve">Que el proponente no acredite la presentación de la información para renovar el Registro Único de Proponentes (RUP), a más tardar el quinto día hábil del mes de abril de cada año, o en la fecha que establezca la ley o el reglamento, si fuera una distinta. </w:t>
      </w:r>
    </w:p>
    <w:p w14:paraId="2F02ADC6"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proponente aporte información inexacta sobre la cual pueda existir una posible falsedad en los términos de la sección 1.11.</w:t>
      </w:r>
    </w:p>
    <w:p w14:paraId="14D1551B"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proponente se encuentre inmerso en un conflicto de interés previsto en una norma de rango constitucional o legal o en la causal prevista en el numeral 1.14 del pliego de condiciones.</w:t>
      </w:r>
    </w:p>
    <w:p w14:paraId="3DBAADEC"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highlight w:val="lightGray"/>
        </w:rPr>
        <w:t>[Incluir esta causal cuando las ofertas se presente en el SECOP I]</w:t>
      </w:r>
      <w:r w:rsidRPr="00121AE5">
        <w:rPr>
          <w:rFonts w:ascii="Arial" w:eastAsia="Calibri" w:hAnsi="Arial" w:cs="Times New Roman"/>
          <w:color w:val="000000"/>
          <w:sz w:val="21"/>
          <w:szCs w:val="21"/>
        </w:rPr>
        <w:t xml:space="preserve"> Que la propuesta económica no se aporte firmada.</w:t>
      </w:r>
    </w:p>
    <w:p w14:paraId="3DAF0AA8"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No entregar la Garantía de seriedad de la oferta junto con la propuesta.</w:t>
      </w:r>
    </w:p>
    <w:p w14:paraId="7F38934A"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objeto social del proponente o el de sus integrantes no le permita ejecutar el objeto del contrato.</w:t>
      </w:r>
    </w:p>
    <w:p w14:paraId="387769EE"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Que el valor total de la oferta o aquel revisado en la audiencia efectiva de adjudicación exceda el presupuesto oficial estimado para el proceso de contratación.</w:t>
      </w:r>
    </w:p>
    <w:p w14:paraId="5827A69A"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lastRenderedPageBreak/>
        <w:t>Presentar la oferta con tachaduras o enmendaduras que no estén convalidadas en la forma indicada en la sección 2.3 del pliego de condiciones.</w:t>
      </w:r>
    </w:p>
    <w:p w14:paraId="042F454E"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 xml:space="preserve">Que el proponente adicione, suprima, cambie, o modifique los ítems, la descripción, las especificaciones, el detalle, las unidades o cantidades señaladas en el Formulario 1 – Formulario de Presupuesto Oficial, de acuerdo con lo exigido por la entidad. </w:t>
      </w:r>
    </w:p>
    <w:p w14:paraId="24826F45"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highlight w:val="lightGray"/>
        </w:rPr>
        <w:t>[Incluir solo cuando la forma de pago sea por precios unitarios]</w:t>
      </w:r>
      <w:r w:rsidRPr="00121AE5">
        <w:rPr>
          <w:rFonts w:ascii="Arial" w:eastAsia="Calibri" w:hAnsi="Arial" w:cs="Times New Roman"/>
          <w:color w:val="000000"/>
          <w:sz w:val="21"/>
          <w:szCs w:val="21"/>
        </w:rPr>
        <w:t xml:space="preserve"> No ofrecer el valor de un precio unitario u ofrecerlo en cero (0) pesos. </w:t>
      </w:r>
    </w:p>
    <w:p w14:paraId="3AF36ACE"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highlight w:val="lightGray"/>
        </w:rPr>
      </w:pPr>
      <w:r w:rsidRPr="00121AE5">
        <w:rPr>
          <w:rFonts w:ascii="Arial" w:eastAsia="Calibri" w:hAnsi="Arial" w:cs="Times New Roman"/>
          <w:color w:val="000000"/>
          <w:sz w:val="21"/>
          <w:szCs w:val="21"/>
          <w:highlight w:val="lightGray"/>
        </w:rPr>
        <w:t>[Incluir solo cuando la forma de pago sea por precios unitarios]</w:t>
      </w:r>
      <w:r w:rsidRPr="00121AE5">
        <w:rPr>
          <w:rFonts w:ascii="Arial" w:eastAsia="Calibri" w:hAnsi="Arial" w:cs="Times New Roman"/>
          <w:color w:val="000000"/>
          <w:sz w:val="21"/>
          <w:szCs w:val="21"/>
        </w:rPr>
        <w:t xml:space="preserve"> Superar el valor unitario de alguno o algunos de los siguientes ítems ofrecidos con respecto al valor establecido para cada ítem del presupuesto oficial: </w:t>
      </w:r>
      <w:r w:rsidRPr="00121AE5">
        <w:rPr>
          <w:rFonts w:ascii="Arial" w:eastAsia="Calibri" w:hAnsi="Arial" w:cs="Times New Roman"/>
          <w:color w:val="000000"/>
          <w:sz w:val="21"/>
          <w:szCs w:val="21"/>
          <w:highlight w:val="lightGray"/>
        </w:rPr>
        <w:t xml:space="preserve">[La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 </w:t>
      </w:r>
    </w:p>
    <w:p w14:paraId="27553847" w14:textId="77777777" w:rsidR="006B4D51" w:rsidRPr="00121AE5" w:rsidRDefault="006B4D51" w:rsidP="006B4D51">
      <w:pPr>
        <w:tabs>
          <w:tab w:val="left" w:pos="709"/>
        </w:tabs>
        <w:spacing w:after="120" w:line="259" w:lineRule="auto"/>
        <w:ind w:left="709"/>
        <w:jc w:val="both"/>
        <w:rPr>
          <w:rFonts w:ascii="Arial" w:eastAsia="Calibri" w:hAnsi="Arial" w:cs="Times New Roman"/>
          <w:color w:val="000000"/>
          <w:sz w:val="21"/>
          <w:szCs w:val="21"/>
        </w:rPr>
      </w:pPr>
      <w:r w:rsidRPr="00121AE5">
        <w:rPr>
          <w:rFonts w:ascii="Arial" w:eastAsia="Calibri" w:hAnsi="Arial" w:cs="Times New Roman"/>
          <w:color w:val="000000"/>
          <w:sz w:val="21"/>
          <w:szCs w:val="21"/>
          <w:highlight w:val="lightGray"/>
        </w:rPr>
        <w:t>Para la aplicación de esta causal la entidad debe tener en cuenta que el valor unitario establecido en el Formulario 1 – Formulario de Presupuesto Oficial incluye el valor de AIU]</w:t>
      </w:r>
      <w:r w:rsidRPr="00121AE5">
        <w:rPr>
          <w:rFonts w:ascii="Arial" w:eastAsia="Calibri" w:hAnsi="Arial" w:cs="Times New Roman"/>
          <w:color w:val="000000"/>
          <w:sz w:val="21"/>
          <w:szCs w:val="21"/>
        </w:rPr>
        <w:t xml:space="preserve"> </w:t>
      </w:r>
    </w:p>
    <w:p w14:paraId="0B5CD4A9"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highlight w:val="lightGray"/>
        </w:rPr>
      </w:pPr>
      <w:r w:rsidRPr="00121AE5">
        <w:rPr>
          <w:rFonts w:ascii="Arial" w:eastAsia="Calibri" w:hAnsi="Arial" w:cs="Times New Roman"/>
          <w:color w:val="000000"/>
          <w:sz w:val="21"/>
          <w:szCs w:val="21"/>
          <w:highlight w:val="lightGray"/>
        </w:rPr>
        <w:t>[Esta causal aplica de acuerdo con la configuración de la oferta económica por parte de la entidad]</w:t>
      </w:r>
      <w:r w:rsidRPr="00121AE5">
        <w:rPr>
          <w:rFonts w:ascii="Arial" w:eastAsia="Calibri" w:hAnsi="Arial" w:cs="Times New Roman"/>
          <w:color w:val="000000"/>
          <w:sz w:val="21"/>
          <w:szCs w:val="21"/>
        </w:rPr>
        <w:t xml:space="preserve"> No discriminar en la oferta económica el porcentaje de AIU en la forma como lo establece el Pliego de Condiciones y el Formulario 1 – Formulario de presupuesto oficial. </w:t>
      </w:r>
      <w:r w:rsidRPr="00121AE5">
        <w:rPr>
          <w:rFonts w:ascii="Arial" w:eastAsia="Calibri" w:hAnsi="Arial" w:cs="Times New Roman"/>
          <w:color w:val="000000"/>
          <w:sz w:val="21"/>
          <w:szCs w:val="21"/>
          <w:highlight w:val="lightGray"/>
        </w:rPr>
        <w:t>[Se entiende que el proponente discrimina en la oferta económica el porcentaje de AIU cuando señala el porcentaje (%) correspondiente a la Administración, los Imprevistos y la Utilidad. En ningún caso la entidad rechazará la oferta por no presentar el desglose del AIU]</w:t>
      </w:r>
    </w:p>
    <w:p w14:paraId="03571B35"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 xml:space="preserve">Ofrecer como AIU un porcentaje cuya sumatoria sea superior al establecido por la Entidad en el </w:t>
      </w:r>
      <w:r w:rsidRPr="00121AE5">
        <w:rPr>
          <w:rFonts w:ascii="Arial" w:eastAsia="Calibri" w:hAnsi="Arial" w:cs="Times New Roman"/>
          <w:color w:val="000000"/>
          <w:sz w:val="21"/>
          <w:szCs w:val="21"/>
        </w:rPr>
        <w:fldChar w:fldCharType="begin"/>
      </w:r>
      <w:r w:rsidRPr="00121AE5">
        <w:rPr>
          <w:rFonts w:ascii="Arial" w:eastAsia="Calibri" w:hAnsi="Arial" w:cs="Times New Roman"/>
          <w:color w:val="000000"/>
          <w:sz w:val="21"/>
          <w:szCs w:val="21"/>
        </w:rPr>
        <w:instrText xml:space="preserve"> REF _Ref57725061 \h  \* MERGEFORMAT </w:instrText>
      </w:r>
      <w:r w:rsidRPr="00121AE5">
        <w:rPr>
          <w:rFonts w:ascii="Arial" w:eastAsia="Calibri" w:hAnsi="Arial" w:cs="Times New Roman"/>
          <w:color w:val="000000"/>
          <w:sz w:val="21"/>
          <w:szCs w:val="21"/>
        </w:rPr>
      </w:r>
      <w:r w:rsidRPr="00121AE5">
        <w:rPr>
          <w:rFonts w:ascii="Arial" w:eastAsia="Calibri" w:hAnsi="Arial" w:cs="Times New Roman"/>
          <w:color w:val="000000"/>
          <w:sz w:val="21"/>
          <w:szCs w:val="21"/>
        </w:rPr>
        <w:fldChar w:fldCharType="separate"/>
      </w:r>
      <w:r w:rsidRPr="00121AE5">
        <w:rPr>
          <w:rFonts w:ascii="Arial" w:eastAsia="Calibri" w:hAnsi="Arial" w:cs="Times New Roman"/>
          <w:color w:val="000000"/>
          <w:sz w:val="21"/>
          <w:szCs w:val="21"/>
        </w:rPr>
        <w:t>Formulario 1– Formulario de Presupuesto Oficial</w:t>
      </w:r>
      <w:r w:rsidRPr="00121AE5">
        <w:rPr>
          <w:rFonts w:ascii="Arial" w:eastAsia="Calibri" w:hAnsi="Arial" w:cs="Times New Roman"/>
          <w:color w:val="000000"/>
          <w:sz w:val="21"/>
          <w:szCs w:val="21"/>
        </w:rPr>
        <w:fldChar w:fldCharType="end"/>
      </w:r>
      <w:r w:rsidRPr="00121AE5">
        <w:rPr>
          <w:rFonts w:ascii="Arial" w:eastAsia="Calibri" w:hAnsi="Arial" w:cs="Times New Roman"/>
          <w:color w:val="000000"/>
          <w:sz w:val="21"/>
          <w:szCs w:val="21"/>
        </w:rPr>
        <w:t>.</w:t>
      </w:r>
    </w:p>
    <w:p w14:paraId="3FBB827E"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Cuando se presente propuesta condicionada para la adjudicación del contrato.</w:t>
      </w:r>
    </w:p>
    <w:p w14:paraId="1789E522"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Presentar la oferta extemporáneamente.</w:t>
      </w:r>
    </w:p>
    <w:p w14:paraId="2027F629"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No presentar oferta económica. Entregar la información de la propuesta económica en el sobre que no corresponda.</w:t>
      </w:r>
    </w:p>
    <w:p w14:paraId="381B4E33"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highlight w:val="lightGray"/>
        </w:rPr>
      </w:pPr>
      <w:r w:rsidRPr="00121AE5">
        <w:rPr>
          <w:rFonts w:ascii="Arial" w:eastAsia="Calibri" w:hAnsi="Arial" w:cs="Times New Roman"/>
          <w:color w:val="000000"/>
          <w:sz w:val="21"/>
          <w:szCs w:val="21"/>
        </w:rPr>
        <w:t xml:space="preserve">Presentar más de una oferta económica con valores distintos en el Sobre 2. </w:t>
      </w:r>
      <w:r w:rsidRPr="00121AE5">
        <w:rPr>
          <w:rFonts w:ascii="Arial" w:eastAsia="Calibri" w:hAnsi="Arial" w:cs="Times New Roman"/>
          <w:color w:val="000000"/>
          <w:sz w:val="21"/>
          <w:szCs w:val="21"/>
          <w:highlight w:val="lightGray"/>
        </w:rPr>
        <w:t>[Cuando el proceso se estructure por lotes o grupos reemplazar el texto anterior por el siguiente: Presentar más de una oferta económica con valores distintos para el mismo lote o grupo]</w:t>
      </w:r>
    </w:p>
    <w:p w14:paraId="0A93C310"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 xml:space="preserve">Cuando se determine que el valor total de la oferta es artificialmente bajo, de acuerdo con lo establecido en la sección 4.1.3 </w:t>
      </w:r>
    </w:p>
    <w:p w14:paraId="61AEE9B1"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Cuando se presenten propuestas parciales y esta posibilidad no haya sido establecida en el pliego de condiciones.</w:t>
      </w:r>
    </w:p>
    <w:p w14:paraId="0E4823F0" w14:textId="77777777" w:rsidR="006B4D51" w:rsidRPr="00121AE5" w:rsidRDefault="006B4D51" w:rsidP="006B4D51">
      <w:pPr>
        <w:numPr>
          <w:ilvl w:val="0"/>
          <w:numId w:val="2"/>
        </w:numPr>
        <w:tabs>
          <w:tab w:val="left" w:pos="709"/>
        </w:tabs>
        <w:spacing w:after="120" w:line="259" w:lineRule="auto"/>
        <w:ind w:left="709" w:hanging="283"/>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lastRenderedPageBreak/>
        <w:t>No informar todos los contratos que el proponente tenga en ejecución antes del cierre, necesarios para acreditar su capacidad residual conforme a la sección 3.10.</w:t>
      </w:r>
    </w:p>
    <w:p w14:paraId="0097729A" w14:textId="77777777" w:rsidR="006B4D51" w:rsidRPr="00121AE5" w:rsidRDefault="006B4D51" w:rsidP="006B4D51">
      <w:pPr>
        <w:numPr>
          <w:ilvl w:val="0"/>
          <w:numId w:val="2"/>
        </w:numPr>
        <w:tabs>
          <w:tab w:val="left" w:pos="709"/>
        </w:tabs>
        <w:spacing w:after="120" w:line="276" w:lineRule="auto"/>
        <w:ind w:left="709" w:hanging="357"/>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Ofrecer un plazo superior al señalado por la entidad en el Anexo 1 – Anexo Técnico.</w:t>
      </w:r>
    </w:p>
    <w:p w14:paraId="4D142B34" w14:textId="77777777" w:rsidR="006B4D51" w:rsidRPr="00121AE5" w:rsidRDefault="006B4D51" w:rsidP="006B4D51">
      <w:pPr>
        <w:numPr>
          <w:ilvl w:val="0"/>
          <w:numId w:val="2"/>
        </w:numPr>
        <w:tabs>
          <w:tab w:val="left" w:pos="709"/>
        </w:tabs>
        <w:spacing w:after="120" w:line="276" w:lineRule="auto"/>
        <w:ind w:left="709" w:hanging="357"/>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p>
    <w:p w14:paraId="19CA38A5" w14:textId="77777777" w:rsidR="006B4D51" w:rsidRDefault="006B4D51" w:rsidP="006B4D51">
      <w:pPr>
        <w:numPr>
          <w:ilvl w:val="0"/>
          <w:numId w:val="2"/>
        </w:numPr>
        <w:tabs>
          <w:tab w:val="left" w:pos="709"/>
        </w:tabs>
        <w:spacing w:line="276" w:lineRule="auto"/>
        <w:ind w:left="352" w:hanging="68"/>
        <w:jc w:val="both"/>
        <w:rPr>
          <w:rFonts w:ascii="Arial" w:eastAsia="Calibri" w:hAnsi="Arial" w:cs="Times New Roman"/>
          <w:color w:val="000000"/>
          <w:sz w:val="21"/>
          <w:szCs w:val="21"/>
        </w:rPr>
      </w:pPr>
      <w:r w:rsidRPr="00121AE5">
        <w:rPr>
          <w:rFonts w:ascii="Arial" w:eastAsia="Calibri" w:hAnsi="Arial" w:cs="Times New Roman"/>
          <w:color w:val="000000"/>
          <w:sz w:val="21"/>
          <w:szCs w:val="21"/>
        </w:rPr>
        <w:t>Las demás previstas en la ley.</w:t>
      </w:r>
    </w:p>
    <w:p w14:paraId="7DEBCD35" w14:textId="77777777" w:rsidR="006B4D51" w:rsidRPr="00121AE5" w:rsidRDefault="006B4D51" w:rsidP="006B4D51">
      <w:pPr>
        <w:tabs>
          <w:tab w:val="left" w:pos="709"/>
        </w:tabs>
        <w:spacing w:line="276" w:lineRule="auto"/>
        <w:ind w:left="352"/>
        <w:jc w:val="both"/>
        <w:rPr>
          <w:rFonts w:ascii="Arial" w:eastAsia="Calibri" w:hAnsi="Arial" w:cs="Times New Roman"/>
          <w:color w:val="000000"/>
          <w:sz w:val="21"/>
          <w:szCs w:val="21"/>
        </w:rPr>
      </w:pPr>
    </w:p>
    <w:p w14:paraId="5A2C5E17" w14:textId="77777777" w:rsidR="006B4D51" w:rsidRPr="00056EF4" w:rsidRDefault="006B4D51" w:rsidP="006B4D51">
      <w:pPr>
        <w:tabs>
          <w:tab w:val="left" w:pos="709"/>
          <w:tab w:val="left" w:pos="851"/>
        </w:tabs>
        <w:spacing w:after="120" w:line="276" w:lineRule="auto"/>
        <w:jc w:val="both"/>
        <w:rPr>
          <w:rFonts w:ascii="Arial" w:eastAsia="Calibri" w:hAnsi="Arial" w:cs="Arial"/>
          <w:color w:val="000000"/>
          <w:sz w:val="22"/>
        </w:rPr>
      </w:pPr>
      <w:r w:rsidRPr="00056EF4">
        <w:rPr>
          <w:rFonts w:ascii="Arial" w:eastAsia="Calibri" w:hAnsi="Arial" w:cs="Arial"/>
          <w:color w:val="000000"/>
          <w:sz w:val="22"/>
        </w:rPr>
        <w:tab/>
        <w:t>En efecto el literal W establece que se constituye como causal de rechazo «</w:t>
      </w:r>
      <w:r w:rsidRPr="00056EF4">
        <w:rPr>
          <w:rFonts w:ascii="Arial" w:eastAsia="Calibri" w:hAnsi="Arial" w:cs="Times New Roman"/>
          <w:color w:val="000000"/>
          <w:sz w:val="22"/>
        </w:rPr>
        <w:t>Presentar más de una oferta económica con valores distintos en el Sobre 2</w:t>
      </w:r>
      <w:r w:rsidRPr="00056EF4">
        <w:rPr>
          <w:rFonts w:ascii="Arial" w:eastAsia="Calibri" w:hAnsi="Arial" w:cs="Arial"/>
          <w:color w:val="000000"/>
          <w:sz w:val="22"/>
        </w:rPr>
        <w:t xml:space="preserve">». Conforme se desprende de este supuesto de hecho, esta causal sanciona con el rechazo a los proponentes que presenten varias ofertas económicas con valores distintos. En ese sentido, para que se configure la causal es necesario que, una vez abierto el sobre contentivo de la oferta económica, la entidad verifique </w:t>
      </w:r>
      <w:r>
        <w:rPr>
          <w:rFonts w:ascii="Arial" w:eastAsia="Calibri" w:hAnsi="Arial" w:cs="Arial"/>
          <w:color w:val="000000"/>
          <w:sz w:val="22"/>
        </w:rPr>
        <w:t>que</w:t>
      </w:r>
      <w:r w:rsidRPr="00056EF4">
        <w:rPr>
          <w:rFonts w:ascii="Arial" w:eastAsia="Calibri" w:hAnsi="Arial" w:cs="Arial"/>
          <w:color w:val="000000"/>
          <w:sz w:val="22"/>
        </w:rPr>
        <w:t xml:space="preserve"> el proponente incluyó más de una oferta económica, y que las mismas tienen valores distintos.  Conforme a esto, siendo la segunda hoja del Formulario 1 el documento mediante el cual se debe presentar la oferta económica, la causal claramente se configura en aquellos casos en que el proponente presente varias de estos documentos en el sobre No. 2, con valores discordantes. </w:t>
      </w:r>
    </w:p>
    <w:p w14:paraId="732291A9" w14:textId="77777777" w:rsidR="006B4D51" w:rsidRPr="00056EF4" w:rsidRDefault="006B4D51" w:rsidP="006B4D51">
      <w:pPr>
        <w:tabs>
          <w:tab w:val="left" w:pos="709"/>
          <w:tab w:val="left" w:pos="851"/>
        </w:tabs>
        <w:spacing w:line="276" w:lineRule="auto"/>
        <w:jc w:val="both"/>
        <w:rPr>
          <w:rFonts w:ascii="Arial" w:eastAsia="Calibri" w:hAnsi="Arial" w:cs="Arial"/>
          <w:color w:val="000000"/>
          <w:sz w:val="22"/>
        </w:rPr>
      </w:pPr>
      <w:r>
        <w:rPr>
          <w:rFonts w:ascii="Arial" w:eastAsia="Calibri" w:hAnsi="Arial" w:cs="Arial"/>
          <w:color w:val="000000"/>
          <w:sz w:val="22"/>
        </w:rPr>
        <w:tab/>
        <w:t>Debe destacarse que la causal del literal W es aplicable tanto en los procedimientos adelantados en medio físico con publicidad en el SECOP I, como en los adelantados de manera electrónica a través del SECOP II. En ese sentido, teniendo en cuenta que en los procesos adelantados en esta última versión de la plataforma la conformación del sobre No. 2 se realiza de manera virtual, p</w:t>
      </w:r>
      <w:r w:rsidRPr="00056EF4">
        <w:rPr>
          <w:rFonts w:ascii="Arial" w:eastAsia="Calibri" w:hAnsi="Arial" w:cs="Arial"/>
          <w:color w:val="000000"/>
          <w:sz w:val="22"/>
        </w:rPr>
        <w:t xml:space="preserve">ara explicar el alcance de la referida causal respecto del supuesto que es objeto de la consulta, </w:t>
      </w:r>
      <w:r>
        <w:rPr>
          <w:rFonts w:ascii="Arial" w:eastAsia="Calibri" w:hAnsi="Arial" w:cs="Arial"/>
          <w:color w:val="000000"/>
          <w:sz w:val="22"/>
        </w:rPr>
        <w:t>se hace</w:t>
      </w:r>
      <w:r w:rsidRPr="00056EF4">
        <w:rPr>
          <w:rFonts w:ascii="Arial" w:eastAsia="Calibri" w:hAnsi="Arial" w:cs="Arial"/>
          <w:color w:val="000000"/>
          <w:sz w:val="22"/>
        </w:rPr>
        <w:t xml:space="preserve"> necesario tener en cuenta alguna</w:t>
      </w:r>
      <w:r>
        <w:rPr>
          <w:rFonts w:ascii="Arial" w:eastAsia="Calibri" w:hAnsi="Arial" w:cs="Arial"/>
          <w:color w:val="000000"/>
          <w:sz w:val="22"/>
        </w:rPr>
        <w:t>s</w:t>
      </w:r>
      <w:r w:rsidRPr="00056EF4">
        <w:rPr>
          <w:rFonts w:ascii="Arial" w:eastAsia="Calibri" w:hAnsi="Arial" w:cs="Arial"/>
          <w:color w:val="000000"/>
          <w:sz w:val="22"/>
        </w:rPr>
        <w:t xml:space="preserve"> de las reglas establecidas en los numeral 2.3 y 2.3.2 del Documento Base, con relación a </w:t>
      </w:r>
      <w:proofErr w:type="gramStart"/>
      <w:r w:rsidRPr="00056EF4">
        <w:rPr>
          <w:rFonts w:ascii="Arial" w:eastAsia="Calibri" w:hAnsi="Arial" w:cs="Arial"/>
          <w:color w:val="000000"/>
          <w:sz w:val="22"/>
        </w:rPr>
        <w:t>la  presentación</w:t>
      </w:r>
      <w:proofErr w:type="gramEnd"/>
      <w:r w:rsidRPr="00056EF4">
        <w:rPr>
          <w:rFonts w:ascii="Arial" w:eastAsia="Calibri" w:hAnsi="Arial" w:cs="Arial"/>
          <w:color w:val="000000"/>
          <w:sz w:val="22"/>
        </w:rPr>
        <w:t xml:space="preserve"> de la propuesta. En estos numerales se contemplan unas reglas alternativas, unas de las cuales son aplicables a los procedimientos adelantados en medio físico –aquellos que deben ser publicados en el SECOP I– y otras para los procesos adelantados de manera transaccional a través del SECOP II. Al respecto se destacan las siguientes:</w:t>
      </w:r>
    </w:p>
    <w:p w14:paraId="103B0386" w14:textId="77777777" w:rsidR="006B4D51" w:rsidRDefault="006B4D51" w:rsidP="006B4D51">
      <w:pPr>
        <w:tabs>
          <w:tab w:val="left" w:pos="709"/>
          <w:tab w:val="left" w:pos="851"/>
        </w:tabs>
        <w:spacing w:line="276" w:lineRule="auto"/>
        <w:ind w:leftChars="295" w:left="708" w:right="709"/>
        <w:jc w:val="both"/>
        <w:rPr>
          <w:rFonts w:ascii="Arial" w:eastAsia="Calibri" w:hAnsi="Arial" w:cs="Arial"/>
          <w:b/>
          <w:bCs/>
          <w:color w:val="000000"/>
          <w:sz w:val="21"/>
          <w:szCs w:val="21"/>
        </w:rPr>
      </w:pPr>
    </w:p>
    <w:p w14:paraId="4302DA5C" w14:textId="77777777" w:rsidR="006B4D51" w:rsidRPr="00102854" w:rsidRDefault="006B4D51" w:rsidP="006B4D51">
      <w:pPr>
        <w:pStyle w:val="Ttulo2"/>
        <w:numPr>
          <w:ilvl w:val="1"/>
          <w:numId w:val="6"/>
        </w:numPr>
        <w:ind w:left="1134" w:hanging="425"/>
        <w:rPr>
          <w:rFonts w:cs="Arial"/>
          <w:sz w:val="21"/>
          <w:szCs w:val="21"/>
        </w:rPr>
      </w:pPr>
      <w:bookmarkStart w:id="3" w:name="_Toc107994803"/>
      <w:r w:rsidRPr="00102854">
        <w:rPr>
          <w:rFonts w:cs="Arial"/>
          <w:caps w:val="0"/>
          <w:sz w:val="21"/>
          <w:szCs w:val="21"/>
        </w:rPr>
        <w:t>ELABORACIÓN Y PRESENTACIÓN DE LA OFERTA</w:t>
      </w:r>
      <w:bookmarkEnd w:id="3"/>
    </w:p>
    <w:p w14:paraId="5F7FDB7A" w14:textId="77777777" w:rsidR="006B4D51" w:rsidRPr="00102854" w:rsidRDefault="006B4D51" w:rsidP="006B4D51">
      <w:pPr>
        <w:ind w:left="709" w:right="709"/>
        <w:jc w:val="both"/>
        <w:rPr>
          <w:rFonts w:ascii="Arial" w:eastAsia="Times New Roman" w:hAnsi="Arial" w:cs="Arial"/>
          <w:sz w:val="21"/>
          <w:szCs w:val="21"/>
          <w:lang w:val="es-ES" w:eastAsia="es-ES"/>
        </w:rPr>
      </w:pPr>
      <w:r w:rsidRPr="00102854">
        <w:rPr>
          <w:rFonts w:ascii="Arial" w:hAnsi="Arial" w:cs="Arial"/>
          <w:sz w:val="21"/>
          <w:szCs w:val="21"/>
          <w:highlight w:val="lightGray"/>
        </w:rPr>
        <w:t xml:space="preserve">[Para </w:t>
      </w:r>
      <w:r w:rsidRPr="00102854">
        <w:rPr>
          <w:rFonts w:ascii="Arial" w:eastAsia="Times New Roman" w:hAnsi="Arial" w:cs="Arial"/>
          <w:sz w:val="21"/>
          <w:szCs w:val="21"/>
          <w:highlight w:val="lightGray"/>
          <w:shd w:val="clear" w:color="auto" w:fill="D0CECE" w:themeFill="background2" w:themeFillShade="E6"/>
          <w:lang w:val="es-ES" w:eastAsia="es-ES"/>
        </w:rPr>
        <w:t>las Entidades que utilicen SECOP II la presentación de la oferta deberá adaptarse a las condiciones de la plataforma y no será posible allegar documentos en físico]</w:t>
      </w:r>
      <w:r w:rsidRPr="00102854">
        <w:rPr>
          <w:rFonts w:ascii="Arial" w:eastAsia="Times New Roman" w:hAnsi="Arial" w:cs="Arial"/>
          <w:sz w:val="21"/>
          <w:szCs w:val="21"/>
          <w:lang w:val="es-ES" w:eastAsia="es-ES"/>
        </w:rPr>
        <w:t xml:space="preserve"> </w:t>
      </w:r>
    </w:p>
    <w:p w14:paraId="4713D247" w14:textId="77777777" w:rsidR="006B4D51" w:rsidRDefault="006B4D51" w:rsidP="006B4D51">
      <w:pPr>
        <w:tabs>
          <w:tab w:val="left" w:pos="709"/>
          <w:tab w:val="left" w:pos="851"/>
        </w:tabs>
        <w:spacing w:line="276" w:lineRule="auto"/>
        <w:ind w:leftChars="295" w:left="708" w:right="709"/>
        <w:jc w:val="both"/>
        <w:rPr>
          <w:rFonts w:ascii="Arial" w:eastAsia="Calibri" w:hAnsi="Arial" w:cs="Arial"/>
          <w:b/>
          <w:bCs/>
          <w:color w:val="000000"/>
          <w:sz w:val="21"/>
          <w:szCs w:val="21"/>
        </w:rPr>
      </w:pPr>
    </w:p>
    <w:p w14:paraId="5E76CA67" w14:textId="77777777" w:rsidR="006B4D51" w:rsidRDefault="006B4D51" w:rsidP="006B4D51">
      <w:pPr>
        <w:tabs>
          <w:tab w:val="left" w:pos="709"/>
          <w:tab w:val="left" w:pos="851"/>
        </w:tabs>
        <w:spacing w:line="276" w:lineRule="auto"/>
        <w:ind w:leftChars="295" w:left="708" w:right="709"/>
        <w:jc w:val="both"/>
        <w:rPr>
          <w:rFonts w:ascii="Arial" w:eastAsia="Calibri" w:hAnsi="Arial" w:cs="Arial"/>
          <w:color w:val="000000"/>
          <w:sz w:val="21"/>
          <w:szCs w:val="21"/>
        </w:rPr>
      </w:pPr>
      <w:r>
        <w:rPr>
          <w:rFonts w:ascii="Arial" w:eastAsia="Calibri" w:hAnsi="Arial" w:cs="Arial"/>
          <w:color w:val="000000"/>
          <w:sz w:val="21"/>
          <w:szCs w:val="21"/>
        </w:rPr>
        <w:t>[…]</w:t>
      </w:r>
    </w:p>
    <w:p w14:paraId="0E3FBEBE" w14:textId="77777777" w:rsidR="006B4D51" w:rsidRPr="00102854" w:rsidRDefault="006B4D51" w:rsidP="006B4D51">
      <w:pPr>
        <w:tabs>
          <w:tab w:val="left" w:pos="709"/>
          <w:tab w:val="left" w:pos="851"/>
        </w:tabs>
        <w:spacing w:line="276" w:lineRule="auto"/>
        <w:ind w:leftChars="295" w:left="708" w:right="709"/>
        <w:jc w:val="both"/>
        <w:rPr>
          <w:rFonts w:ascii="Arial" w:eastAsia="Calibri" w:hAnsi="Arial" w:cs="Arial"/>
          <w:color w:val="000000"/>
          <w:sz w:val="21"/>
          <w:szCs w:val="21"/>
        </w:rPr>
      </w:pPr>
    </w:p>
    <w:p w14:paraId="3E853306" w14:textId="77777777" w:rsidR="006B4D51" w:rsidRPr="00102854" w:rsidRDefault="006B4D51" w:rsidP="006B4D51">
      <w:pPr>
        <w:pStyle w:val="Ttulo3"/>
        <w:numPr>
          <w:ilvl w:val="2"/>
          <w:numId w:val="5"/>
        </w:numPr>
        <w:ind w:left="993" w:right="709" w:hanging="284"/>
        <w:rPr>
          <w:sz w:val="21"/>
          <w:szCs w:val="21"/>
        </w:rPr>
      </w:pPr>
      <w:bookmarkStart w:id="4" w:name="_Toc107994805"/>
      <w:r w:rsidRPr="00102854">
        <w:rPr>
          <w:sz w:val="21"/>
          <w:szCs w:val="21"/>
        </w:rPr>
        <w:t>SOBRE No. 2</w:t>
      </w:r>
      <w:bookmarkEnd w:id="4"/>
    </w:p>
    <w:p w14:paraId="17034945" w14:textId="77777777" w:rsidR="006B4D51" w:rsidRDefault="006B4D51" w:rsidP="006B4D51">
      <w:pPr>
        <w:ind w:left="709" w:right="709"/>
        <w:rPr>
          <w:rFonts w:ascii="Arial" w:hAnsi="Arial" w:cs="Arial"/>
          <w:sz w:val="21"/>
          <w:szCs w:val="21"/>
        </w:rPr>
      </w:pPr>
      <w:r w:rsidRPr="00F82CF7">
        <w:rPr>
          <w:rFonts w:ascii="Arial" w:hAnsi="Arial" w:cs="Arial"/>
          <w:sz w:val="21"/>
          <w:szCs w:val="21"/>
        </w:rPr>
        <w:t xml:space="preserve">Contiene únicamente la oferta económica del proponente y debe tener las siguientes características: </w:t>
      </w:r>
    </w:p>
    <w:p w14:paraId="741E989B" w14:textId="77777777" w:rsidR="006B4D51" w:rsidRPr="00F82CF7" w:rsidRDefault="006B4D51" w:rsidP="006B4D51">
      <w:pPr>
        <w:ind w:left="993" w:right="709" w:hanging="284"/>
        <w:rPr>
          <w:rFonts w:ascii="Arial" w:hAnsi="Arial" w:cs="Arial"/>
          <w:sz w:val="21"/>
          <w:szCs w:val="21"/>
        </w:rPr>
      </w:pPr>
    </w:p>
    <w:p w14:paraId="54D16985" w14:textId="77777777" w:rsidR="006B4D51" w:rsidRDefault="006B4D51" w:rsidP="006B4D51">
      <w:pPr>
        <w:pStyle w:val="Prrafodelista"/>
        <w:numPr>
          <w:ilvl w:val="0"/>
          <w:numId w:val="4"/>
        </w:numPr>
        <w:spacing w:after="160" w:line="259" w:lineRule="auto"/>
        <w:ind w:left="993" w:right="709" w:hanging="284"/>
        <w:jc w:val="both"/>
        <w:rPr>
          <w:rFonts w:ascii="Arial" w:hAnsi="Arial" w:cs="Arial"/>
          <w:sz w:val="21"/>
          <w:szCs w:val="21"/>
        </w:rPr>
      </w:pPr>
      <w:r w:rsidRPr="00F82CF7">
        <w:rPr>
          <w:rFonts w:ascii="Arial" w:hAnsi="Arial" w:cs="Arial"/>
          <w:sz w:val="21"/>
          <w:szCs w:val="21"/>
        </w:rPr>
        <w:t>[</w:t>
      </w:r>
      <w:r w:rsidRPr="00F82CF7">
        <w:rPr>
          <w:rFonts w:ascii="Arial" w:hAnsi="Arial" w:cs="Arial"/>
          <w:sz w:val="21"/>
          <w:szCs w:val="21"/>
          <w:highlight w:val="lightGray"/>
        </w:rPr>
        <w:t>Para los procesos adelantados en el SECOP I</w:t>
      </w:r>
      <w:r w:rsidRPr="00F82CF7">
        <w:rPr>
          <w:rFonts w:ascii="Arial" w:hAnsi="Arial" w:cs="Arial"/>
          <w:sz w:val="21"/>
          <w:szCs w:val="21"/>
        </w:rPr>
        <w:t>] El proponente debe presentar el Sobre 2 en físico. Sin perjuicio de lo anterior, el proponente podrá presentar el contenido del sobre 2 en medio magnético u óptico debidamente sellado. El medio magnético u óptico que contiene la información de la oferta económica debe ser distinto al que contiene la información del Sobre 1. [</w:t>
      </w:r>
      <w:r w:rsidRPr="00F82CF7">
        <w:rPr>
          <w:rFonts w:ascii="Arial" w:hAnsi="Arial" w:cs="Arial"/>
          <w:sz w:val="21"/>
          <w:szCs w:val="21"/>
          <w:highlight w:val="lightGray"/>
        </w:rPr>
        <w:t>Para los procesos en SECOP II, el Sobre 2 debe presentarse en el cuestionario destinado para ello en el Módulo de “Licitación de Obra Pública” y no podrá ser entregado en físico</w:t>
      </w:r>
      <w:r w:rsidRPr="00F82CF7">
        <w:rPr>
          <w:rFonts w:ascii="Arial" w:hAnsi="Arial" w:cs="Arial"/>
          <w:sz w:val="21"/>
          <w:szCs w:val="21"/>
        </w:rPr>
        <w:t>].</w:t>
      </w:r>
    </w:p>
    <w:p w14:paraId="00C9ECDC" w14:textId="77777777" w:rsidR="006B4D51" w:rsidRPr="00F82CF7" w:rsidRDefault="006B4D51" w:rsidP="006B4D51">
      <w:pPr>
        <w:pStyle w:val="Prrafodelista"/>
        <w:spacing w:after="160" w:line="259" w:lineRule="auto"/>
        <w:ind w:left="993" w:right="709"/>
        <w:jc w:val="both"/>
        <w:rPr>
          <w:rFonts w:ascii="Arial" w:hAnsi="Arial" w:cs="Arial"/>
          <w:sz w:val="21"/>
          <w:szCs w:val="21"/>
        </w:rPr>
      </w:pPr>
    </w:p>
    <w:p w14:paraId="5D9069B8" w14:textId="77777777" w:rsidR="006B4D51" w:rsidRPr="00F82CF7" w:rsidRDefault="006B4D51" w:rsidP="006B4D51">
      <w:pPr>
        <w:pStyle w:val="Prrafodelista"/>
        <w:numPr>
          <w:ilvl w:val="0"/>
          <w:numId w:val="4"/>
        </w:numPr>
        <w:spacing w:after="160" w:line="259" w:lineRule="auto"/>
        <w:ind w:left="993" w:right="709" w:hanging="284"/>
        <w:jc w:val="both"/>
        <w:rPr>
          <w:rFonts w:ascii="Arial" w:hAnsi="Arial" w:cs="Arial"/>
          <w:sz w:val="21"/>
          <w:szCs w:val="21"/>
        </w:rPr>
      </w:pPr>
      <w:r w:rsidRPr="00F82CF7">
        <w:rPr>
          <w:rFonts w:ascii="Arial" w:hAnsi="Arial" w:cs="Arial"/>
          <w:sz w:val="21"/>
          <w:szCs w:val="21"/>
          <w:highlight w:val="lightGray"/>
        </w:rPr>
        <w:t>[Para los procesos adelantados en el SECOP I]</w:t>
      </w:r>
      <w:r w:rsidRPr="00F82CF7">
        <w:rPr>
          <w:rFonts w:ascii="Arial" w:hAnsi="Arial" w:cs="Arial"/>
          <w:sz w:val="21"/>
          <w:szCs w:val="21"/>
        </w:rPr>
        <w:t xml:space="preserve"> Debe incluir la propuesta económica debidamente diligenciada, de conformidad con todos y cada uno de los ítems exigidos y relacionados en el Formulario 1 – Formulario de Presupuesto Oficial. </w:t>
      </w:r>
    </w:p>
    <w:p w14:paraId="0834A1B9" w14:textId="77777777" w:rsidR="006B4D51" w:rsidRPr="00F82CF7" w:rsidRDefault="006B4D51" w:rsidP="006B4D51">
      <w:pPr>
        <w:pStyle w:val="Prrafodelista"/>
        <w:numPr>
          <w:ilvl w:val="0"/>
          <w:numId w:val="4"/>
        </w:numPr>
        <w:spacing w:after="160" w:line="259" w:lineRule="auto"/>
        <w:ind w:left="993" w:right="709" w:hanging="284"/>
        <w:jc w:val="both"/>
        <w:rPr>
          <w:rFonts w:ascii="Arial" w:hAnsi="Arial" w:cs="Arial"/>
          <w:sz w:val="21"/>
          <w:szCs w:val="21"/>
        </w:rPr>
      </w:pPr>
      <w:r w:rsidRPr="00F82CF7">
        <w:rPr>
          <w:rFonts w:ascii="Arial" w:hAnsi="Arial" w:cs="Arial"/>
          <w:sz w:val="21"/>
          <w:szCs w:val="21"/>
          <w:highlight w:val="lightGray"/>
        </w:rPr>
        <w:t>[Para los procesos adelantados en el SECOP I]</w:t>
      </w:r>
      <w:r w:rsidRPr="00F82CF7">
        <w:rPr>
          <w:rFonts w:ascii="Arial" w:hAnsi="Arial" w:cs="Arial"/>
          <w:sz w:val="21"/>
          <w:szCs w:val="21"/>
        </w:rPr>
        <w:t xml:space="preserve"> La información en físico y en medio magnético u óptico debe ser idéntica. En caso de presentarse discrepancias entre la información consignada en medio físico y la información incluida en el medio magnético, prevalecerá la información consignada físicamente.</w:t>
      </w:r>
    </w:p>
    <w:p w14:paraId="662CE808" w14:textId="77777777" w:rsidR="006B4D51" w:rsidRPr="00F82CF7" w:rsidRDefault="006B4D51" w:rsidP="006B4D51">
      <w:pPr>
        <w:pStyle w:val="Prrafodelista"/>
        <w:numPr>
          <w:ilvl w:val="0"/>
          <w:numId w:val="4"/>
        </w:numPr>
        <w:spacing w:after="160" w:line="259" w:lineRule="auto"/>
        <w:ind w:left="993" w:right="709" w:hanging="284"/>
        <w:jc w:val="both"/>
        <w:rPr>
          <w:rFonts w:ascii="Arial" w:hAnsi="Arial" w:cs="Arial"/>
          <w:sz w:val="21"/>
          <w:szCs w:val="21"/>
        </w:rPr>
      </w:pPr>
      <w:r w:rsidRPr="00F82CF7">
        <w:rPr>
          <w:rFonts w:ascii="Arial" w:hAnsi="Arial" w:cs="Arial"/>
          <w:sz w:val="21"/>
          <w:szCs w:val="21"/>
          <w:highlight w:val="lightGray"/>
        </w:rPr>
        <w:t>[Para los procesos adelantados en el SECOP I]</w:t>
      </w:r>
      <w:r w:rsidRPr="00F82CF7">
        <w:rPr>
          <w:rFonts w:ascii="Arial" w:hAnsi="Arial" w:cs="Arial"/>
          <w:sz w:val="21"/>
          <w:szCs w:val="21"/>
        </w:rPr>
        <w:t xml:space="preserve"> La propuesta debe presentarse firmada.</w:t>
      </w:r>
    </w:p>
    <w:p w14:paraId="63CE7317" w14:textId="77777777" w:rsidR="006B4D51" w:rsidRDefault="006B4D51" w:rsidP="006B4D51">
      <w:pPr>
        <w:tabs>
          <w:tab w:val="left" w:pos="709"/>
        </w:tabs>
        <w:spacing w:before="120" w:after="120" w:line="276" w:lineRule="auto"/>
        <w:jc w:val="both"/>
        <w:rPr>
          <w:rFonts w:ascii="Arial" w:hAnsi="Arial" w:cs="Arial"/>
          <w:sz w:val="22"/>
        </w:rPr>
      </w:pPr>
      <w:r>
        <w:rPr>
          <w:rFonts w:ascii="Arial" w:hAnsi="Arial" w:cs="Arial"/>
          <w:sz w:val="22"/>
        </w:rPr>
        <w:tab/>
      </w:r>
      <w:bookmarkStart w:id="5" w:name="_Hlk112162896"/>
      <w:r>
        <w:rPr>
          <w:rFonts w:ascii="Arial" w:hAnsi="Arial" w:cs="Arial"/>
          <w:sz w:val="22"/>
        </w:rPr>
        <w:t xml:space="preserve">Según se desprende de estas reglas, tratándose de los procesos de contratación realizados a través del SECOP II, la propuesta económica debe presentarse haciendo uso del cuestionario destinado para ello en la plataforma. Este cuestionario se debe diligenciar a través de la lista de precios, previamente configurada por la entidad estatal y anexando, en caso de que así sea solicitado, las evidencias documentales de la misma – ya sea el Formulario 1 u otro documento–. </w:t>
      </w:r>
      <w:r>
        <w:rPr>
          <w:rFonts w:ascii="Arial" w:hAnsi="Arial" w:cs="Arial"/>
          <w:sz w:val="22"/>
        </w:rPr>
        <w:tab/>
        <w:t xml:space="preserve">Esto significa que, en estos procesos el valor de la oferta económica debe ser diligenciado en el referido cuestionario, al ser este el medio destinado para la presentación de la oferta económica al interior de la plataforma, sin perjuicio de que la entidad estatal solicite anexar el soporte documental de la información incluida en el cuestionario de lista de precios. </w:t>
      </w:r>
    </w:p>
    <w:p w14:paraId="022220B0" w14:textId="01A7BD9F" w:rsidR="006B4D51" w:rsidRDefault="006B4D51" w:rsidP="006B4D51">
      <w:pPr>
        <w:tabs>
          <w:tab w:val="left" w:pos="709"/>
        </w:tabs>
        <w:spacing w:before="120" w:after="120" w:line="276" w:lineRule="auto"/>
        <w:jc w:val="both"/>
        <w:rPr>
          <w:rFonts w:ascii="Arial" w:hAnsi="Arial" w:cs="Arial"/>
          <w:sz w:val="22"/>
        </w:rPr>
      </w:pPr>
      <w:r>
        <w:rPr>
          <w:rFonts w:ascii="Arial" w:hAnsi="Arial" w:cs="Arial"/>
          <w:sz w:val="22"/>
        </w:rPr>
        <w:tab/>
        <w:t xml:space="preserve">En ese sentido, si bien en este tipo de procedimientos no se requiere que se presente oferta económica en sobre físico –comoquiera que la conformación del sobre se hace de manera electrónica a partir de la información diligenciada en el cuestionario de lista de precios–, sí pueden presentarse discordancias entre las cifras que se incluyan a título de valor de la oferta económica en el cuestionario y en el documento de soporte, evento en el cual se impone el rechazo de la oferta. Lo anterior por cuanto, una situación </w:t>
      </w:r>
      <w:r>
        <w:rPr>
          <w:rFonts w:ascii="Arial" w:hAnsi="Arial" w:cs="Arial"/>
          <w:sz w:val="22"/>
        </w:rPr>
        <w:lastRenderedPageBreak/>
        <w:t xml:space="preserve">en la cual exista una palmaria discordancia entre el valor diligenciado en el cuestionario electrónico desplegado por SECOP II y el del documento anexado a modo de soporte de la oferta económica configuran el supuesto de hecho de la causal de rechazo del literal W, en el entendido de que, al diligenciarse el cuestionario electrónico se presentó una oferta, mientras que en el documento anexo se presenta otra, quedando ambas incluidas dentro del contenido del sobre No. 2 conformado de manera electrónica.  </w:t>
      </w:r>
    </w:p>
    <w:p w14:paraId="724C9F8E" w14:textId="00057838" w:rsidR="006B4D51" w:rsidRDefault="006B4D51" w:rsidP="006B4D51">
      <w:pPr>
        <w:tabs>
          <w:tab w:val="left" w:pos="709"/>
        </w:tabs>
        <w:spacing w:before="120" w:line="276" w:lineRule="auto"/>
        <w:jc w:val="both"/>
        <w:rPr>
          <w:rFonts w:ascii="Arial" w:hAnsi="Arial" w:cs="Arial"/>
          <w:sz w:val="22"/>
        </w:rPr>
      </w:pPr>
      <w:r>
        <w:rPr>
          <w:rFonts w:ascii="Arial" w:hAnsi="Arial" w:cs="Arial"/>
          <w:sz w:val="22"/>
        </w:rPr>
        <w:tab/>
        <w:t xml:space="preserve">Dado lo anterior, para que una oferta sea evaluada, en el marco de procesos de licitación de obra pública de infraestructura de transporte se requiere que la información incluida en el cuestionario de lista de precios de SECOP II coincida con la que figura en los documentos aportados como evidencia, so pena de aplicar la causal de rechazo contemplada en el literal W, pues, la discrepancia de valores entre el cuestionario y los documentos anexos configuraría el supuesto de hecho de presentar más de una oferta económica con valores distintos. </w:t>
      </w:r>
    </w:p>
    <w:p w14:paraId="6CE1B656" w14:textId="699F05DF" w:rsidR="00DA0124" w:rsidRDefault="00DA0124" w:rsidP="006B4D51">
      <w:pPr>
        <w:tabs>
          <w:tab w:val="left" w:pos="709"/>
        </w:tabs>
        <w:spacing w:before="120" w:line="276" w:lineRule="auto"/>
        <w:jc w:val="both"/>
        <w:rPr>
          <w:rFonts w:ascii="Arial" w:hAnsi="Arial" w:cs="Arial"/>
          <w:sz w:val="22"/>
        </w:rPr>
      </w:pPr>
      <w:r>
        <w:rPr>
          <w:rFonts w:ascii="Arial" w:hAnsi="Arial" w:cs="Arial"/>
          <w:sz w:val="22"/>
        </w:rPr>
        <w:tab/>
        <w:t xml:space="preserve">Con todo, debe desatacarse que siendo la oferta económica un factor sujeto a puntaje en los procesos de licitación de obra pública adelantados con documentos tipo, </w:t>
      </w:r>
      <w:r w:rsidR="009D0CC8">
        <w:rPr>
          <w:rFonts w:ascii="Arial" w:hAnsi="Arial" w:cs="Arial"/>
          <w:sz w:val="22"/>
        </w:rPr>
        <w:t>conform</w:t>
      </w:r>
      <w:r w:rsidR="001A1AAF">
        <w:rPr>
          <w:rFonts w:ascii="Arial" w:hAnsi="Arial" w:cs="Arial"/>
          <w:sz w:val="22"/>
        </w:rPr>
        <w:t>e</w:t>
      </w:r>
      <w:r w:rsidR="009D0CC8">
        <w:rPr>
          <w:rFonts w:ascii="Arial" w:hAnsi="Arial" w:cs="Arial"/>
          <w:sz w:val="22"/>
        </w:rPr>
        <w:t xml:space="preserve"> a lo explicado en el numeral 2.3 del presente concepto, </w:t>
      </w:r>
      <w:r w:rsidR="001A1AAF">
        <w:rPr>
          <w:rFonts w:ascii="Arial" w:hAnsi="Arial" w:cs="Arial"/>
          <w:sz w:val="22"/>
        </w:rPr>
        <w:t>no resultaría valido permitir la subsanación</w:t>
      </w:r>
      <w:r w:rsidR="000A3D4D">
        <w:rPr>
          <w:rFonts w:ascii="Arial" w:hAnsi="Arial" w:cs="Arial"/>
          <w:sz w:val="22"/>
        </w:rPr>
        <w:t>, al tratarse de elemento determinante para la comparación de ofertas. En ese sentido, la causal del literal W aplica una vez la entidad verifique su con</w:t>
      </w:r>
      <w:r w:rsidR="00D84671">
        <w:rPr>
          <w:rFonts w:ascii="Arial" w:hAnsi="Arial" w:cs="Arial"/>
          <w:sz w:val="22"/>
        </w:rPr>
        <w:t xml:space="preserve">figuración, sin que sea procedente requerir al proponente para que subsane. </w:t>
      </w:r>
    </w:p>
    <w:bookmarkEnd w:id="5"/>
    <w:p w14:paraId="0091FD75" w14:textId="77777777" w:rsidR="006B4D51" w:rsidRPr="00D67C1A" w:rsidRDefault="006B4D51" w:rsidP="006B4D51">
      <w:pPr>
        <w:tabs>
          <w:tab w:val="left" w:pos="709"/>
          <w:tab w:val="left" w:pos="851"/>
        </w:tabs>
        <w:spacing w:line="276" w:lineRule="auto"/>
        <w:jc w:val="both"/>
        <w:rPr>
          <w:rFonts w:ascii="Arial" w:eastAsia="Calibri" w:hAnsi="Arial" w:cs="Arial"/>
          <w:sz w:val="22"/>
        </w:rPr>
      </w:pPr>
    </w:p>
    <w:p w14:paraId="7BB52713" w14:textId="77777777" w:rsidR="006B4D51" w:rsidRPr="00056EF4" w:rsidRDefault="006B4D51" w:rsidP="006B4D51">
      <w:pPr>
        <w:pStyle w:val="Prrafodelista"/>
        <w:numPr>
          <w:ilvl w:val="0"/>
          <w:numId w:val="7"/>
        </w:numPr>
        <w:spacing w:line="276" w:lineRule="auto"/>
        <w:jc w:val="both"/>
        <w:rPr>
          <w:rFonts w:ascii="Arial" w:eastAsia="Calibri" w:hAnsi="Arial" w:cs="Arial"/>
          <w:b/>
          <w:sz w:val="22"/>
        </w:rPr>
      </w:pPr>
      <w:r w:rsidRPr="00056EF4">
        <w:rPr>
          <w:rFonts w:ascii="Arial" w:eastAsia="Calibri" w:hAnsi="Arial" w:cs="Arial"/>
          <w:b/>
          <w:sz w:val="22"/>
        </w:rPr>
        <w:t xml:space="preserve">Respuesta. </w:t>
      </w:r>
    </w:p>
    <w:p w14:paraId="6FA8FF3C" w14:textId="77777777" w:rsidR="006B4D51" w:rsidRPr="00D67C1A" w:rsidRDefault="006B4D51" w:rsidP="006B4D51">
      <w:pPr>
        <w:jc w:val="both"/>
        <w:rPr>
          <w:rFonts w:ascii="Arial" w:eastAsia="Calibri" w:hAnsi="Arial" w:cs="Arial"/>
          <w:b/>
          <w:sz w:val="22"/>
        </w:rPr>
      </w:pPr>
    </w:p>
    <w:p w14:paraId="67B47DB4" w14:textId="77777777" w:rsidR="001507A1" w:rsidRPr="00D67C1A" w:rsidRDefault="001507A1" w:rsidP="001507A1">
      <w:pPr>
        <w:pStyle w:val="Textoindependiente"/>
        <w:ind w:left="709" w:right="709"/>
        <w:jc w:val="both"/>
        <w:rPr>
          <w:rFonts w:eastAsia="Calibri"/>
          <w:color w:val="000000"/>
          <w:sz w:val="21"/>
          <w:szCs w:val="21"/>
        </w:rPr>
      </w:pPr>
      <w:r w:rsidRPr="00D67C1A">
        <w:rPr>
          <w:color w:val="000000" w:themeColor="text1"/>
          <w:sz w:val="21"/>
          <w:szCs w:val="21"/>
          <w:lang w:val="es-ES_tradnl"/>
        </w:rPr>
        <w:t>«</w:t>
      </w:r>
      <w:r w:rsidRPr="006B4D51">
        <w:rPr>
          <w:rFonts w:eastAsia="Calibri"/>
          <w:color w:val="000000"/>
          <w:sz w:val="21"/>
          <w:szCs w:val="21"/>
          <w:lang w:val="es-MX"/>
        </w:rPr>
        <w:t xml:space="preserve">En un proceso de licitación pública realizada por pliego tipo y adelantado por la plataforma </w:t>
      </w:r>
      <w:proofErr w:type="spellStart"/>
      <w:r w:rsidRPr="006B4D51">
        <w:rPr>
          <w:rFonts w:eastAsia="Calibri"/>
          <w:color w:val="000000"/>
          <w:sz w:val="21"/>
          <w:szCs w:val="21"/>
          <w:lang w:val="es-MX"/>
        </w:rPr>
        <w:t>Secop</w:t>
      </w:r>
      <w:proofErr w:type="spellEnd"/>
      <w:r w:rsidRPr="006B4D51">
        <w:rPr>
          <w:rFonts w:eastAsia="Calibri"/>
          <w:color w:val="000000"/>
          <w:sz w:val="21"/>
          <w:szCs w:val="21"/>
          <w:lang w:val="es-MX"/>
        </w:rPr>
        <w:t xml:space="preserve"> II, cuando el valor de la oferta del sobre 2 no coincide con el valor registrado en la plataforma la Entidad debe rechazar la oferta o debe solicitar al oferente corregir la oferta presentada en el sobre 2 o debe corregir el valor señalado en la plataforma</w:t>
      </w:r>
      <w:r w:rsidRPr="00D67C1A">
        <w:rPr>
          <w:color w:val="000000" w:themeColor="text1"/>
          <w:sz w:val="21"/>
          <w:szCs w:val="21"/>
          <w:lang w:val="es-ES_tradnl"/>
        </w:rPr>
        <w:t>»</w:t>
      </w:r>
    </w:p>
    <w:p w14:paraId="628F7E56" w14:textId="77777777" w:rsidR="006B4D51" w:rsidRPr="00D67C1A" w:rsidRDefault="006B4D51" w:rsidP="006B4D51">
      <w:pPr>
        <w:pStyle w:val="Textoindependiente"/>
        <w:ind w:left="709" w:right="709"/>
        <w:jc w:val="both"/>
        <w:rPr>
          <w:sz w:val="21"/>
          <w:szCs w:val="21"/>
        </w:rPr>
      </w:pPr>
    </w:p>
    <w:p w14:paraId="35EE9DFB" w14:textId="688268C7" w:rsidR="006B4D51" w:rsidRPr="00EA4CC0" w:rsidRDefault="006B4D51" w:rsidP="006B4D51">
      <w:pPr>
        <w:pStyle w:val="Default"/>
        <w:spacing w:after="120" w:line="276" w:lineRule="auto"/>
        <w:jc w:val="both"/>
        <w:rPr>
          <w:sz w:val="22"/>
          <w:szCs w:val="22"/>
          <w:lang w:val="es-CO"/>
        </w:rPr>
      </w:pPr>
      <w:r w:rsidRPr="00EA4CC0">
        <w:rPr>
          <w:sz w:val="22"/>
          <w:szCs w:val="22"/>
          <w:lang w:val="es-CO"/>
        </w:rPr>
        <w:t>Conforme a lo expuesto,</w:t>
      </w:r>
      <w:r w:rsidR="008B20D4">
        <w:rPr>
          <w:sz w:val="22"/>
          <w:szCs w:val="22"/>
          <w:lang w:val="es-CO"/>
        </w:rPr>
        <w:t xml:space="preserve"> en eventos como el descrito la entidad debe analizar la configuración de </w:t>
      </w:r>
      <w:r w:rsidRPr="00EA4CC0">
        <w:rPr>
          <w:sz w:val="22"/>
          <w:szCs w:val="22"/>
          <w:lang w:val="es-CO"/>
        </w:rPr>
        <w:t>la causal de rechazo del</w:t>
      </w:r>
      <w:r w:rsidRPr="00056EF4">
        <w:rPr>
          <w:sz w:val="22"/>
          <w:szCs w:val="22"/>
          <w:lang w:val="es-CO"/>
        </w:rPr>
        <w:t xml:space="preserve"> literal </w:t>
      </w:r>
      <w:r w:rsidRPr="00EA4CC0">
        <w:rPr>
          <w:sz w:val="22"/>
          <w:szCs w:val="22"/>
          <w:lang w:val="es-CO"/>
        </w:rPr>
        <w:t>W</w:t>
      </w:r>
      <w:r w:rsidRPr="00056EF4">
        <w:rPr>
          <w:sz w:val="22"/>
          <w:szCs w:val="22"/>
          <w:lang w:val="es-CO"/>
        </w:rPr>
        <w:t xml:space="preserve"> </w:t>
      </w:r>
      <w:r w:rsidRPr="00EA4CC0">
        <w:rPr>
          <w:sz w:val="22"/>
          <w:szCs w:val="22"/>
          <w:lang w:val="es-CO"/>
        </w:rPr>
        <w:t xml:space="preserve">del numeral 1.15 del Documento Base de licitación de obra pública de infraestructura de transporte–versión 3– </w:t>
      </w:r>
      <w:r w:rsidRPr="00056EF4">
        <w:rPr>
          <w:sz w:val="22"/>
          <w:szCs w:val="22"/>
          <w:lang w:val="es-CO"/>
        </w:rPr>
        <w:t>s</w:t>
      </w:r>
      <w:r w:rsidRPr="00EA4CC0">
        <w:rPr>
          <w:sz w:val="22"/>
          <w:szCs w:val="22"/>
          <w:lang w:val="es-CO"/>
        </w:rPr>
        <w:t>anciona con el rechazo de la propuesta la presentación de más de una oferta económica con valores diferentes dentro sobre No. 2.</w:t>
      </w:r>
      <w:r w:rsidRPr="00056EF4">
        <w:rPr>
          <w:rFonts w:eastAsia="Calibri"/>
          <w:sz w:val="22"/>
          <w:szCs w:val="22"/>
          <w:lang w:val="es-CO"/>
        </w:rPr>
        <w:t xml:space="preserve"> Para que se configure la causal es necesario que el proponente haya incluido más de una oferta económica dentro del sobre No. 2, y que las mismas tengan valores distintos.  En todo caso, siendo la segunda hoja del Formulario 1 del documento mediante el cual se debe presentar la oferta económica, la causal se configura en aquellos casos en que el proponente presente varios de estos documentos en el sobre No. 2, siempre que tengan valores discordantes. </w:t>
      </w:r>
    </w:p>
    <w:p w14:paraId="1E2F7FE0" w14:textId="68DDF329" w:rsidR="006B4D51" w:rsidRDefault="006B4D51" w:rsidP="006B4D51">
      <w:pPr>
        <w:pStyle w:val="Default"/>
        <w:spacing w:line="276" w:lineRule="auto"/>
        <w:ind w:firstLine="708"/>
        <w:jc w:val="both"/>
        <w:rPr>
          <w:sz w:val="22"/>
          <w:szCs w:val="22"/>
          <w:lang w:val="es-CO"/>
        </w:rPr>
      </w:pPr>
      <w:r w:rsidRPr="00EA4CC0">
        <w:rPr>
          <w:sz w:val="22"/>
          <w:szCs w:val="22"/>
          <w:lang w:val="es-CO"/>
        </w:rPr>
        <w:lastRenderedPageBreak/>
        <w:t xml:space="preserve">Este supuesto aplica tanto para los procedimientos que se surten en medio físico como para los que se desarrollan de manera electrónica a través de la plataforma SECOP II. Esto implica que, en las ofertas presentadas electrónicamente en los procesos adelantados en el SECOP II debe existir coincidencia entre la información que se consigna en el cuestionario de lista de precios que se diligencia dentro de la plataforma, y la consignada en el Formulario 1 que se anexe a modo de soporte, </w:t>
      </w:r>
      <w:r w:rsidRPr="00056EF4">
        <w:rPr>
          <w:sz w:val="22"/>
          <w:szCs w:val="22"/>
          <w:lang w:val="es-CO"/>
        </w:rPr>
        <w:t>so pena de que se aplique la causal de rechazo contemplada en el literal W</w:t>
      </w:r>
      <w:r w:rsidRPr="00EA4CC0">
        <w:rPr>
          <w:sz w:val="22"/>
          <w:szCs w:val="22"/>
          <w:lang w:val="es-CO"/>
        </w:rPr>
        <w:t>. Esto por cuanto</w:t>
      </w:r>
      <w:r w:rsidRPr="00056EF4">
        <w:rPr>
          <w:sz w:val="22"/>
          <w:szCs w:val="22"/>
          <w:lang w:val="es-CO"/>
        </w:rPr>
        <w:t xml:space="preserve">, la discrepancia de valores </w:t>
      </w:r>
      <w:r w:rsidRPr="00EA4CC0">
        <w:rPr>
          <w:sz w:val="22"/>
          <w:szCs w:val="22"/>
          <w:lang w:val="es-CO"/>
        </w:rPr>
        <w:t>del</w:t>
      </w:r>
      <w:r w:rsidRPr="00056EF4">
        <w:rPr>
          <w:sz w:val="22"/>
          <w:szCs w:val="22"/>
          <w:lang w:val="es-CO"/>
        </w:rPr>
        <w:t xml:space="preserve"> el cuestionario y los documentos anexos configuraría el supuesto de hecho de presentar más de una oferta económica con valores distintos. </w:t>
      </w:r>
    </w:p>
    <w:p w14:paraId="2C873D8C" w14:textId="57D108B1" w:rsidR="00D84671" w:rsidRDefault="00D84671" w:rsidP="00D84671">
      <w:pPr>
        <w:tabs>
          <w:tab w:val="left" w:pos="709"/>
        </w:tabs>
        <w:spacing w:before="120" w:line="276" w:lineRule="auto"/>
        <w:jc w:val="both"/>
        <w:rPr>
          <w:rFonts w:ascii="Arial" w:hAnsi="Arial" w:cs="Arial"/>
          <w:sz w:val="22"/>
        </w:rPr>
      </w:pPr>
      <w:r>
        <w:rPr>
          <w:rFonts w:ascii="Arial" w:hAnsi="Arial" w:cs="Arial"/>
          <w:sz w:val="22"/>
        </w:rPr>
        <w:tab/>
      </w:r>
      <w:r w:rsidR="003B3A2F">
        <w:rPr>
          <w:rFonts w:ascii="Arial" w:hAnsi="Arial" w:cs="Arial"/>
          <w:sz w:val="22"/>
        </w:rPr>
        <w:t xml:space="preserve">Por </w:t>
      </w:r>
      <w:r w:rsidR="008604E2">
        <w:rPr>
          <w:rFonts w:ascii="Arial" w:hAnsi="Arial" w:cs="Arial"/>
          <w:sz w:val="22"/>
        </w:rPr>
        <w:t>último,</w:t>
      </w:r>
      <w:r w:rsidR="003B3A2F">
        <w:rPr>
          <w:rFonts w:ascii="Arial" w:hAnsi="Arial" w:cs="Arial"/>
          <w:sz w:val="22"/>
        </w:rPr>
        <w:t xml:space="preserve"> debe advertirse que, comoquiera que</w:t>
      </w:r>
      <w:r>
        <w:rPr>
          <w:rFonts w:ascii="Arial" w:hAnsi="Arial" w:cs="Arial"/>
          <w:sz w:val="22"/>
        </w:rPr>
        <w:t xml:space="preserve"> la oferta económica </w:t>
      </w:r>
      <w:r w:rsidR="003B3A2F">
        <w:rPr>
          <w:rFonts w:ascii="Arial" w:hAnsi="Arial" w:cs="Arial"/>
          <w:sz w:val="22"/>
        </w:rPr>
        <w:t xml:space="preserve">es </w:t>
      </w:r>
      <w:r>
        <w:rPr>
          <w:rFonts w:ascii="Arial" w:hAnsi="Arial" w:cs="Arial"/>
          <w:sz w:val="22"/>
        </w:rPr>
        <w:t xml:space="preserve">un factor sujeto a puntaje en los procesos de licitación de obra pública adelantados con documentos tipo, no resultaría valido permitir la subsanación, al tratarse de elemento determinante para la comparación de ofertas. </w:t>
      </w:r>
      <w:r w:rsidR="003B3A2F">
        <w:rPr>
          <w:rFonts w:ascii="Arial" w:hAnsi="Arial" w:cs="Arial"/>
          <w:sz w:val="22"/>
        </w:rPr>
        <w:t>Así pues,</w:t>
      </w:r>
      <w:r>
        <w:rPr>
          <w:rFonts w:ascii="Arial" w:hAnsi="Arial" w:cs="Arial"/>
          <w:sz w:val="22"/>
        </w:rPr>
        <w:t xml:space="preserve"> la aplicación de la causal del literal W </w:t>
      </w:r>
      <w:r w:rsidR="003B3A2F">
        <w:rPr>
          <w:rFonts w:ascii="Arial" w:hAnsi="Arial" w:cs="Arial"/>
          <w:sz w:val="22"/>
        </w:rPr>
        <w:t>procede</w:t>
      </w:r>
      <w:r>
        <w:rPr>
          <w:rFonts w:ascii="Arial" w:hAnsi="Arial" w:cs="Arial"/>
          <w:sz w:val="22"/>
        </w:rPr>
        <w:t xml:space="preserve"> una vez la entidad verifique su configuración, sin que sea </w:t>
      </w:r>
      <w:r w:rsidR="008604E2">
        <w:rPr>
          <w:rFonts w:ascii="Arial" w:hAnsi="Arial" w:cs="Arial"/>
          <w:sz w:val="22"/>
        </w:rPr>
        <w:t>necesario</w:t>
      </w:r>
      <w:r>
        <w:rPr>
          <w:rFonts w:ascii="Arial" w:hAnsi="Arial" w:cs="Arial"/>
          <w:sz w:val="22"/>
        </w:rPr>
        <w:t xml:space="preserve"> requerir al proponente para que subsane. </w:t>
      </w:r>
    </w:p>
    <w:p w14:paraId="1F49781D" w14:textId="77777777" w:rsidR="006B4D51" w:rsidRPr="00056EF4" w:rsidRDefault="006B4D51" w:rsidP="006B4D51">
      <w:pPr>
        <w:pStyle w:val="Default"/>
        <w:jc w:val="both"/>
        <w:rPr>
          <w:bCs/>
          <w:sz w:val="21"/>
          <w:szCs w:val="21"/>
          <w:lang w:val="es-CO"/>
        </w:rPr>
      </w:pPr>
    </w:p>
    <w:p w14:paraId="6091ABCD" w14:textId="77777777" w:rsidR="006B4D51" w:rsidRPr="00056EF4" w:rsidRDefault="006B4D51" w:rsidP="006B4D51">
      <w:pPr>
        <w:spacing w:line="276" w:lineRule="auto"/>
        <w:jc w:val="both"/>
        <w:rPr>
          <w:rFonts w:ascii="Arial" w:eastAsia="Calibri" w:hAnsi="Arial" w:cs="Arial"/>
          <w:sz w:val="22"/>
          <w:lang w:val="es-CO"/>
        </w:rPr>
      </w:pPr>
      <w:r w:rsidRPr="00056EF4">
        <w:rPr>
          <w:rFonts w:ascii="Arial" w:eastAsia="Calibri" w:hAnsi="Arial" w:cs="Arial"/>
          <w:sz w:val="22"/>
          <w:lang w:val="es-CO"/>
        </w:rPr>
        <w:t>Este concepto tiene el alcance previsto en el artículo 28 del Código de Procedimiento Administrativo y de lo Contencioso Administrativo.</w:t>
      </w:r>
    </w:p>
    <w:p w14:paraId="4F78CB50" w14:textId="77777777" w:rsidR="006B4D51" w:rsidRPr="00D67C1A" w:rsidRDefault="006B4D51" w:rsidP="006B4D51">
      <w:pPr>
        <w:spacing w:line="276" w:lineRule="auto"/>
        <w:jc w:val="both"/>
        <w:rPr>
          <w:rFonts w:ascii="Arial" w:eastAsia="Calibri" w:hAnsi="Arial" w:cs="Arial"/>
          <w:sz w:val="22"/>
        </w:rPr>
      </w:pPr>
    </w:p>
    <w:p w14:paraId="681C8EDB" w14:textId="77777777" w:rsidR="006B4D51" w:rsidRDefault="006B4D51" w:rsidP="006B4D51">
      <w:pPr>
        <w:pStyle w:val="NormalWeb"/>
        <w:spacing w:before="0" w:beforeAutospacing="0" w:after="0" w:afterAutospacing="0" w:line="276" w:lineRule="auto"/>
        <w:jc w:val="both"/>
        <w:rPr>
          <w:rFonts w:ascii="Arial" w:hAnsi="Arial" w:cs="Arial"/>
          <w:color w:val="000000" w:themeColor="text1"/>
          <w:sz w:val="22"/>
          <w:szCs w:val="22"/>
          <w:lang w:val="es-ES_tradnl"/>
        </w:rPr>
      </w:pPr>
      <w:r w:rsidRPr="00D67C1A">
        <w:rPr>
          <w:rFonts w:ascii="Arial" w:hAnsi="Arial" w:cs="Arial"/>
          <w:color w:val="000000" w:themeColor="text1"/>
          <w:sz w:val="22"/>
          <w:szCs w:val="22"/>
          <w:lang w:val="es-ES_tradnl"/>
        </w:rPr>
        <w:t>Atentamente,</w:t>
      </w:r>
    </w:p>
    <w:p w14:paraId="2AA15CC0" w14:textId="77777777" w:rsidR="006B4D51" w:rsidRDefault="006B4D51" w:rsidP="006B4D51">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0B6FE887" w14:textId="15DA76E4" w:rsidR="006B4D51" w:rsidRPr="00F45AA9" w:rsidRDefault="000B6BDB" w:rsidP="006B4D51">
      <w:pPr>
        <w:spacing w:after="160" w:line="256" w:lineRule="auto"/>
        <w:jc w:val="center"/>
        <w:rPr>
          <w:rFonts w:ascii="Arial" w:eastAsia="Calibri" w:hAnsi="Arial" w:cs="Arial"/>
          <w:sz w:val="22"/>
          <w:lang w:val="es-CO" w:eastAsia="es-CO"/>
        </w:rPr>
      </w:pPr>
      <w:r>
        <w:rPr>
          <w:noProof/>
        </w:rPr>
        <w:drawing>
          <wp:inline distT="0" distB="0" distL="0" distR="0" wp14:anchorId="790FB901" wp14:editId="6B3953B2">
            <wp:extent cx="2714625" cy="1009650"/>
            <wp:effectExtent l="0" t="0" r="9525" b="0"/>
            <wp:docPr id="704682195" name="Imagen 704682195"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704682195" name="Imagen 704682195"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714625" cy="1009650"/>
                    </a:xfrm>
                    <a:prstGeom prst="rect">
                      <a:avLst/>
                    </a:prstGeom>
                  </pic:spPr>
                </pic:pic>
              </a:graphicData>
            </a:graphic>
          </wp:inline>
        </w:drawing>
      </w:r>
    </w:p>
    <w:tbl>
      <w:tblPr>
        <w:tblStyle w:val="Tablaconcuadrcula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6B4D51" w:rsidRPr="00F45AA9" w14:paraId="53CDCD49" w14:textId="77777777" w:rsidTr="00FF2AC2">
        <w:trPr>
          <w:trHeight w:val="315"/>
        </w:trPr>
        <w:tc>
          <w:tcPr>
            <w:tcW w:w="812" w:type="dxa"/>
            <w:vAlign w:val="center"/>
            <w:hideMark/>
          </w:tcPr>
          <w:p w14:paraId="5F382E0D"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Elaboró:</w:t>
            </w:r>
          </w:p>
        </w:tc>
        <w:tc>
          <w:tcPr>
            <w:tcW w:w="4291" w:type="dxa"/>
            <w:tcBorders>
              <w:top w:val="nil"/>
              <w:left w:val="nil"/>
              <w:bottom w:val="dotted" w:sz="4" w:space="0" w:color="7F7F7F" w:themeColor="text1" w:themeTint="80"/>
              <w:right w:val="nil"/>
            </w:tcBorders>
            <w:vAlign w:val="center"/>
            <w:hideMark/>
          </w:tcPr>
          <w:p w14:paraId="094B8C9B"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Nathalia Urrego Jiménez</w:t>
            </w:r>
          </w:p>
          <w:p w14:paraId="325DCEA8"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Contratista de la Subdirección de Gestión Contractual</w:t>
            </w:r>
          </w:p>
        </w:tc>
      </w:tr>
      <w:tr w:rsidR="006B4D51" w:rsidRPr="00F45AA9" w14:paraId="6FF45D01" w14:textId="77777777" w:rsidTr="00FF2AC2">
        <w:trPr>
          <w:trHeight w:val="330"/>
        </w:trPr>
        <w:tc>
          <w:tcPr>
            <w:tcW w:w="812" w:type="dxa"/>
            <w:vAlign w:val="center"/>
            <w:hideMark/>
          </w:tcPr>
          <w:p w14:paraId="19494396"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Revisó: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2AB291B5"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Alejandro Sarmiento Cantillo</w:t>
            </w:r>
          </w:p>
          <w:p w14:paraId="1F8C99C8"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Gestor T1-15 de la Subdirección de Gestión Contractual</w:t>
            </w:r>
          </w:p>
        </w:tc>
      </w:tr>
      <w:tr w:rsidR="006B4D51" w:rsidRPr="00F45AA9" w14:paraId="3077F281" w14:textId="77777777" w:rsidTr="00FF2AC2">
        <w:trPr>
          <w:trHeight w:val="300"/>
        </w:trPr>
        <w:tc>
          <w:tcPr>
            <w:tcW w:w="812" w:type="dxa"/>
            <w:vAlign w:val="center"/>
            <w:hideMark/>
          </w:tcPr>
          <w:p w14:paraId="0CA0D6EB"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Aprobó:</w:t>
            </w:r>
          </w:p>
        </w:tc>
        <w:tc>
          <w:tcPr>
            <w:tcW w:w="4291" w:type="dxa"/>
            <w:tcBorders>
              <w:top w:val="dotted" w:sz="4" w:space="0" w:color="7F7F7F" w:themeColor="text1" w:themeTint="80"/>
              <w:left w:val="nil"/>
              <w:bottom w:val="dotted" w:sz="4" w:space="0" w:color="7F7F7F" w:themeColor="text1" w:themeTint="80"/>
              <w:right w:val="nil"/>
            </w:tcBorders>
            <w:vAlign w:val="center"/>
            <w:hideMark/>
          </w:tcPr>
          <w:p w14:paraId="1161AA0D"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Juan David Marín López</w:t>
            </w:r>
          </w:p>
          <w:p w14:paraId="6AC55C6F" w14:textId="77777777" w:rsidR="006B4D51" w:rsidRPr="00F45AA9" w:rsidRDefault="006B4D51" w:rsidP="00FF2AC2">
            <w:pPr>
              <w:rPr>
                <w:rFonts w:ascii="Arial" w:hAnsi="Arial" w:cs="Arial"/>
                <w:sz w:val="16"/>
                <w:szCs w:val="16"/>
                <w:lang w:val="es-CO" w:eastAsia="es-ES"/>
              </w:rPr>
            </w:pPr>
            <w:r w:rsidRPr="00F45AA9">
              <w:rPr>
                <w:rFonts w:ascii="Arial" w:hAnsi="Arial" w:cs="Arial"/>
                <w:sz w:val="16"/>
                <w:szCs w:val="16"/>
                <w:lang w:val="es-CO" w:eastAsia="es-ES"/>
              </w:rPr>
              <w:t>Subdirector de Gestión Contractual (e)</w:t>
            </w:r>
          </w:p>
        </w:tc>
      </w:tr>
    </w:tbl>
    <w:p w14:paraId="049F1329" w14:textId="77777777" w:rsidR="006B4D51" w:rsidRPr="00F45AA9" w:rsidRDefault="006B4D51" w:rsidP="006B4D51">
      <w:pPr>
        <w:spacing w:after="160" w:line="256" w:lineRule="auto"/>
        <w:rPr>
          <w:rFonts w:ascii="Arial" w:eastAsia="Calibri" w:hAnsi="Arial" w:cs="Arial"/>
          <w:color w:val="000000" w:themeColor="text1"/>
          <w:sz w:val="18"/>
          <w:szCs w:val="20"/>
          <w:lang w:val="es-CO" w:eastAsia="es-CO"/>
        </w:rPr>
      </w:pPr>
    </w:p>
    <w:p w14:paraId="65AECCA1" w14:textId="77777777" w:rsidR="006B4D51" w:rsidRPr="00F45AA9" w:rsidRDefault="006B4D51" w:rsidP="006B4D51">
      <w:pPr>
        <w:spacing w:after="160" w:line="256" w:lineRule="auto"/>
        <w:rPr>
          <w:rFonts w:ascii="Calibri" w:eastAsia="Calibri" w:hAnsi="Calibri" w:cs="Times New Roman"/>
          <w:sz w:val="22"/>
          <w:lang w:val="es-CO"/>
        </w:rPr>
      </w:pPr>
    </w:p>
    <w:p w14:paraId="7DED3A4A" w14:textId="77777777" w:rsidR="006B4D51" w:rsidRPr="00F14E00" w:rsidRDefault="006B4D51" w:rsidP="006B4D51">
      <w:pPr>
        <w:pStyle w:val="NormalWeb"/>
        <w:spacing w:before="0" w:beforeAutospacing="0" w:after="0" w:afterAutospacing="0" w:line="276" w:lineRule="auto"/>
        <w:jc w:val="both"/>
        <w:rPr>
          <w:bCs/>
          <w:sz w:val="21"/>
          <w:szCs w:val="21"/>
          <w:lang w:val="es-MX"/>
        </w:rPr>
      </w:pPr>
    </w:p>
    <w:bookmarkEnd w:id="0"/>
    <w:p w14:paraId="10E2281D" w14:textId="77777777" w:rsidR="006B4D51" w:rsidRDefault="006B4D51" w:rsidP="006B4D51"/>
    <w:p w14:paraId="74474889" w14:textId="77777777" w:rsidR="003E7369" w:rsidRDefault="00000000"/>
    <w:sectPr w:rsidR="003E7369" w:rsidSect="005A79FE">
      <w:headerReference w:type="default" r:id="rId12"/>
      <w:footerReference w:type="default" r:id="rId13"/>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822DB" w14:textId="77777777" w:rsidR="001D5855" w:rsidRDefault="001D5855" w:rsidP="006B4D51">
      <w:r>
        <w:separator/>
      </w:r>
    </w:p>
  </w:endnote>
  <w:endnote w:type="continuationSeparator" w:id="0">
    <w:p w14:paraId="2C67D528" w14:textId="77777777" w:rsidR="001D5855" w:rsidRDefault="001D5855" w:rsidP="006B4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BE26A" w14:textId="77777777" w:rsidR="00F14E00" w:rsidRDefault="00000000" w:rsidP="00B6444C">
    <w:pPr>
      <w:pStyle w:val="Sinespaciado"/>
      <w:rPr>
        <w:rFonts w:ascii="Arial" w:hAnsi="Arial" w:cs="Arial"/>
        <w:sz w:val="18"/>
        <w:szCs w:val="18"/>
      </w:rPr>
    </w:pPr>
  </w:p>
  <w:p w14:paraId="6119EAE0" w14:textId="77777777" w:rsidR="00F14E00" w:rsidRDefault="00000000" w:rsidP="00B6444C">
    <w:pPr>
      <w:pStyle w:val="Sinespaciado"/>
      <w:rPr>
        <w:rFonts w:ascii="Arial" w:hAnsi="Arial" w:cs="Arial"/>
        <w:sz w:val="18"/>
        <w:szCs w:val="18"/>
      </w:rPr>
    </w:pPr>
  </w:p>
  <w:p w14:paraId="3A548292" w14:textId="77777777" w:rsidR="00F14E00" w:rsidRPr="005A79FE" w:rsidRDefault="00433B5E"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18</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18</w:t>
    </w:r>
    <w:r w:rsidRPr="00084B97">
      <w:rPr>
        <w:rFonts w:ascii="Arial" w:hAnsi="Arial" w:cs="Arial"/>
        <w:b/>
        <w:bCs/>
        <w:color w:val="7F7F7F" w:themeColor="text1" w:themeTint="80"/>
        <w:sz w:val="16"/>
        <w:szCs w:val="16"/>
      </w:rPr>
      <w:fldChar w:fldCharType="end"/>
    </w:r>
  </w:p>
  <w:p w14:paraId="5721E3CB" w14:textId="77777777" w:rsidR="00F14E00" w:rsidRDefault="00433B5E" w:rsidP="007B0854">
    <w:pPr>
      <w:pStyle w:val="Piedepgina"/>
      <w:jc w:val="center"/>
      <w:rPr>
        <w:lang w:val="es-ES"/>
      </w:rPr>
    </w:pPr>
    <w:r>
      <w:rPr>
        <w:noProof/>
        <w:lang w:val="es-CO" w:eastAsia="es-CO"/>
      </w:rPr>
      <w:drawing>
        <wp:inline distT="0" distB="0" distL="0" distR="0" wp14:anchorId="2B84B602" wp14:editId="1D4728B2">
          <wp:extent cx="4241994" cy="595165"/>
          <wp:effectExtent l="0" t="0" r="6350" b="0"/>
          <wp:docPr id="183377960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4A2CCAE5" w14:textId="77777777" w:rsidR="00F14E00" w:rsidRDefault="00000000" w:rsidP="007B0854">
    <w:pPr>
      <w:pStyle w:val="Piedepgina"/>
      <w:jc w:val="center"/>
      <w:rPr>
        <w:lang w:val="es-ES"/>
      </w:rPr>
    </w:pPr>
  </w:p>
  <w:p w14:paraId="33709F77" w14:textId="77777777" w:rsidR="00F14E00" w:rsidRPr="007B0854" w:rsidRDefault="00000000"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054DBE" w14:textId="77777777" w:rsidR="001D5855" w:rsidRDefault="001D5855" w:rsidP="006B4D51">
      <w:r>
        <w:separator/>
      </w:r>
    </w:p>
  </w:footnote>
  <w:footnote w:type="continuationSeparator" w:id="0">
    <w:p w14:paraId="3E4629AC" w14:textId="77777777" w:rsidR="001D5855" w:rsidRDefault="001D5855" w:rsidP="006B4D51">
      <w:r>
        <w:continuationSeparator/>
      </w:r>
    </w:p>
  </w:footnote>
  <w:footnote w:id="1">
    <w:p w14:paraId="55AD6444" w14:textId="77777777" w:rsidR="006B4D51" w:rsidRPr="008E4B4C" w:rsidRDefault="006B4D51" w:rsidP="006B4D51">
      <w:pPr>
        <w:pStyle w:val="Textonotapie"/>
        <w:ind w:firstLine="708"/>
        <w:jc w:val="both"/>
        <w:rPr>
          <w:rFonts w:ascii="Arial" w:hAnsi="Arial" w:cs="Arial"/>
          <w:sz w:val="19"/>
          <w:szCs w:val="19"/>
        </w:rPr>
      </w:pPr>
      <w:r w:rsidRPr="008E4B4C">
        <w:rPr>
          <w:rStyle w:val="Refdenotaalpie"/>
          <w:sz w:val="19"/>
          <w:szCs w:val="19"/>
        </w:rPr>
        <w:footnoteRef/>
      </w:r>
      <w:r w:rsidRPr="008E4B4C">
        <w:rPr>
          <w:rFonts w:ascii="Arial" w:hAnsi="Arial" w:cs="Arial"/>
          <w:sz w:val="19"/>
          <w:szCs w:val="19"/>
        </w:rPr>
        <w:t xml:space="preserve"> Estos conceptos pueden ser consultados en la relatoría de la Agencia Nacional de Contratación Públilca- Colombia Compra Eficiente en el siguiente enlace: </w:t>
      </w:r>
    </w:p>
    <w:p w14:paraId="77EC6F53" w14:textId="77777777" w:rsidR="006B4D51" w:rsidRPr="008E4B4C" w:rsidRDefault="00000000" w:rsidP="006B4D51">
      <w:pPr>
        <w:pStyle w:val="Textonotapie"/>
        <w:jc w:val="both"/>
        <w:rPr>
          <w:rFonts w:ascii="Arial" w:hAnsi="Arial" w:cs="Arial"/>
          <w:color w:val="000000" w:themeColor="text1"/>
          <w:sz w:val="19"/>
          <w:szCs w:val="19"/>
          <w:lang w:val="es-ES"/>
        </w:rPr>
      </w:pPr>
      <w:hyperlink r:id="rId1" w:history="1">
        <w:r w:rsidR="006B4D51" w:rsidRPr="008E4B4C">
          <w:rPr>
            <w:rStyle w:val="Hipervnculo"/>
            <w:rFonts w:ascii="Arial" w:hAnsi="Arial" w:cs="Arial"/>
            <w:sz w:val="19"/>
            <w:szCs w:val="19"/>
            <w:lang w:val="es-ES"/>
          </w:rPr>
          <w:t>http://relatoria.colombiacompra.gov.co/busqueda/conceptos</w:t>
        </w:r>
      </w:hyperlink>
    </w:p>
    <w:p w14:paraId="4477AF33" w14:textId="77777777" w:rsidR="006B4D51" w:rsidRPr="008E4B4C" w:rsidRDefault="006B4D51" w:rsidP="006B4D51">
      <w:pPr>
        <w:pStyle w:val="Textonotapie"/>
        <w:ind w:firstLine="708"/>
        <w:jc w:val="both"/>
        <w:rPr>
          <w:rFonts w:ascii="Arial" w:hAnsi="Arial" w:cs="Arial"/>
          <w:sz w:val="19"/>
          <w:szCs w:val="19"/>
        </w:rPr>
      </w:pPr>
    </w:p>
  </w:footnote>
  <w:footnote w:id="2">
    <w:p w14:paraId="3E890EAB" w14:textId="77777777" w:rsidR="006B4D51" w:rsidRPr="00D67C1A" w:rsidRDefault="006B4D51" w:rsidP="006B4D51">
      <w:pPr>
        <w:pStyle w:val="Textonotapie"/>
        <w:ind w:firstLine="709"/>
        <w:jc w:val="both"/>
        <w:rPr>
          <w:rFonts w:ascii="Arial" w:eastAsia="Times New Roman" w:hAnsi="Arial" w:cs="Arial"/>
          <w:sz w:val="19"/>
          <w:szCs w:val="19"/>
          <w:bdr w:val="none" w:sz="0" w:space="0" w:color="auto" w:frame="1"/>
          <w:lang w:eastAsia="es-CO"/>
        </w:rPr>
      </w:pPr>
      <w:r w:rsidRPr="00D67C1A">
        <w:rPr>
          <w:rStyle w:val="Refdenotaalpie"/>
          <w:sz w:val="19"/>
          <w:szCs w:val="19"/>
        </w:rPr>
        <w:footnoteRef/>
      </w:r>
      <w:r w:rsidRPr="00D67C1A">
        <w:rPr>
          <w:rFonts w:ascii="Arial" w:hAnsi="Arial" w:cs="Arial"/>
          <w:sz w:val="19"/>
          <w:szCs w:val="19"/>
        </w:rPr>
        <w:t xml:space="preserve"> </w:t>
      </w:r>
      <w:r w:rsidRPr="00D67C1A">
        <w:rPr>
          <w:rFonts w:ascii="Arial" w:eastAsia="Times New Roman" w:hAnsi="Arial" w:cs="Arial"/>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2B04997A" w14:textId="77777777" w:rsidR="006B4D51" w:rsidRPr="00D67C1A" w:rsidRDefault="006B4D51" w:rsidP="006B4D51">
      <w:pPr>
        <w:pStyle w:val="Textonotapie"/>
        <w:ind w:firstLine="709"/>
        <w:jc w:val="both"/>
        <w:rPr>
          <w:rFonts w:ascii="Arial" w:hAnsi="Arial" w:cs="Arial"/>
          <w:sz w:val="19"/>
          <w:szCs w:val="19"/>
        </w:rPr>
      </w:pPr>
    </w:p>
  </w:footnote>
  <w:footnote w:id="3">
    <w:p w14:paraId="6A80B19D" w14:textId="77777777" w:rsidR="006B4D51" w:rsidRPr="00D67C1A" w:rsidRDefault="006B4D51" w:rsidP="006B4D51">
      <w:pPr>
        <w:pStyle w:val="Textonotapie"/>
        <w:ind w:firstLine="709"/>
        <w:jc w:val="both"/>
        <w:rPr>
          <w:rFonts w:ascii="Arial" w:eastAsia="Times New Roman" w:hAnsi="Arial" w:cs="Arial"/>
          <w:sz w:val="19"/>
          <w:szCs w:val="19"/>
          <w:bdr w:val="none" w:sz="0" w:space="0" w:color="auto" w:frame="1"/>
          <w:lang w:eastAsia="es-CO"/>
        </w:rPr>
      </w:pPr>
      <w:r w:rsidRPr="00D67C1A">
        <w:rPr>
          <w:rStyle w:val="Refdenotaalpie"/>
          <w:sz w:val="19"/>
          <w:szCs w:val="19"/>
        </w:rPr>
        <w:footnoteRef/>
      </w:r>
      <w:r w:rsidRPr="00D67C1A">
        <w:rPr>
          <w:rFonts w:ascii="Arial" w:hAnsi="Arial" w:cs="Arial"/>
          <w:sz w:val="19"/>
          <w:szCs w:val="19"/>
        </w:rPr>
        <w:t xml:space="preserve"> </w:t>
      </w:r>
      <w:r w:rsidRPr="00D67C1A">
        <w:rPr>
          <w:rFonts w:ascii="Arial" w:eastAsia="Times New Roman" w:hAnsi="Arial" w:cs="Arial"/>
          <w:sz w:val="19"/>
          <w:szCs w:val="19"/>
          <w:bdr w:val="none" w:sz="0" w:space="0" w:color="auto" w:frame="1"/>
          <w:lang w:eastAsia="es-CO"/>
        </w:rPr>
        <w:t>Diario Oficial. Gaceta del Congreso 458 de 2005.  </w:t>
      </w:r>
    </w:p>
    <w:p w14:paraId="662ABB22" w14:textId="77777777" w:rsidR="006B4D51" w:rsidRPr="00D67C1A" w:rsidRDefault="006B4D51" w:rsidP="006B4D51">
      <w:pPr>
        <w:pStyle w:val="Textonotapie"/>
        <w:ind w:firstLine="709"/>
        <w:jc w:val="both"/>
        <w:rPr>
          <w:rFonts w:ascii="Arial" w:hAnsi="Arial" w:cs="Arial"/>
          <w:sz w:val="19"/>
          <w:szCs w:val="19"/>
        </w:rPr>
      </w:pPr>
    </w:p>
  </w:footnote>
  <w:footnote w:id="4">
    <w:p w14:paraId="105A0529" w14:textId="77777777" w:rsidR="006B4D51" w:rsidRPr="00D67C1A" w:rsidRDefault="006B4D51" w:rsidP="006B4D51">
      <w:pPr>
        <w:pStyle w:val="Textonotapie"/>
        <w:ind w:firstLine="709"/>
        <w:jc w:val="both"/>
        <w:rPr>
          <w:rFonts w:ascii="Arial" w:hAnsi="Arial" w:cs="Arial"/>
          <w:sz w:val="19"/>
          <w:szCs w:val="19"/>
        </w:rPr>
      </w:pPr>
      <w:r w:rsidRPr="00D67C1A">
        <w:rPr>
          <w:rStyle w:val="Refdenotaalpie"/>
          <w:sz w:val="19"/>
          <w:szCs w:val="19"/>
        </w:rPr>
        <w:footnoteRef/>
      </w:r>
      <w:r w:rsidRPr="00D67C1A">
        <w:rPr>
          <w:rFonts w:ascii="Arial" w:hAnsi="Arial" w:cs="Arial"/>
          <w:sz w:val="19"/>
          <w:szCs w:val="19"/>
        </w:rPr>
        <w:t xml:space="preserve"> Ibídem.  </w:t>
      </w:r>
    </w:p>
    <w:p w14:paraId="6884A865" w14:textId="77777777" w:rsidR="006B4D51" w:rsidRPr="00D67C1A" w:rsidRDefault="006B4D51" w:rsidP="006B4D51">
      <w:pPr>
        <w:pStyle w:val="Textonotapie"/>
        <w:ind w:firstLine="709"/>
        <w:jc w:val="both"/>
        <w:rPr>
          <w:rFonts w:ascii="Arial" w:hAnsi="Arial" w:cs="Arial"/>
          <w:sz w:val="19"/>
          <w:szCs w:val="19"/>
        </w:rPr>
      </w:pPr>
    </w:p>
  </w:footnote>
  <w:footnote w:id="5">
    <w:p w14:paraId="443D14DD" w14:textId="77777777" w:rsidR="006B4D51" w:rsidRPr="00D67C1A" w:rsidRDefault="006B4D51" w:rsidP="006B4D51">
      <w:pPr>
        <w:shd w:val="clear" w:color="auto" w:fill="FFFFFF"/>
        <w:ind w:firstLine="709"/>
        <w:jc w:val="both"/>
        <w:textAlignment w:val="baseline"/>
        <w:rPr>
          <w:rFonts w:ascii="Arial" w:hAnsi="Arial" w:cs="Arial"/>
          <w:sz w:val="19"/>
          <w:szCs w:val="19"/>
          <w:bdr w:val="none" w:sz="0" w:space="0" w:color="auto" w:frame="1"/>
          <w:lang w:eastAsia="es-CO"/>
        </w:rPr>
      </w:pPr>
      <w:r w:rsidRPr="00D67C1A">
        <w:rPr>
          <w:rStyle w:val="Refdenotaalpie"/>
          <w:sz w:val="19"/>
          <w:szCs w:val="19"/>
        </w:rPr>
        <w:footnoteRef/>
      </w:r>
      <w:r w:rsidRPr="00D67C1A">
        <w:rPr>
          <w:rFonts w:ascii="Arial" w:hAnsi="Arial" w:cs="Arial"/>
          <w:sz w:val="19"/>
          <w:szCs w:val="19"/>
        </w:rPr>
        <w:t xml:space="preserve"> </w:t>
      </w:r>
      <w:r w:rsidRPr="00D67C1A">
        <w:rPr>
          <w:rFonts w:ascii="Arial" w:hAnsi="Arial" w:cs="Arial"/>
          <w:sz w:val="19"/>
          <w:szCs w:val="19"/>
          <w:bdr w:val="none" w:sz="0" w:space="0" w:color="auto" w:frame="1"/>
          <w:lang w:eastAsia="es-CO"/>
        </w:rPr>
        <w:t>Diario Oficial. Gaceta del Congreso 416 de 2007, Informe de Conciliación Senado. </w:t>
      </w:r>
    </w:p>
    <w:p w14:paraId="76564AE2"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p>
  </w:footnote>
  <w:footnote w:id="6">
    <w:p w14:paraId="6783AFD1"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r w:rsidRPr="00D67C1A">
        <w:rPr>
          <w:rStyle w:val="Refdenotaalpie"/>
          <w:sz w:val="19"/>
          <w:szCs w:val="19"/>
        </w:rPr>
        <w:footnoteRef/>
      </w:r>
      <w:r w:rsidRPr="00D67C1A">
        <w:rPr>
          <w:rFonts w:ascii="Arial" w:hAnsi="Arial" w:cs="Arial"/>
          <w:sz w:val="19"/>
          <w:szCs w:val="19"/>
        </w:rPr>
        <w:t xml:space="preserve"> </w:t>
      </w:r>
      <w:r w:rsidRPr="00D67C1A">
        <w:rPr>
          <w:rFonts w:ascii="Arial" w:hAnsi="Arial" w:cs="Arial"/>
          <w:sz w:val="19"/>
          <w:szCs w:val="19"/>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41FCDE89"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r w:rsidRPr="00D67C1A">
        <w:rPr>
          <w:rFonts w:ascii="Arial" w:hAnsi="Arial" w:cs="Arial"/>
          <w:sz w:val="19"/>
          <w:szCs w:val="19"/>
          <w:bdr w:val="none" w:sz="0" w:space="0" w:color="auto" w:frame="1"/>
          <w:lang w:eastAsia="es-CO"/>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1CF2000B"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r w:rsidRPr="00D67C1A">
        <w:rPr>
          <w:rFonts w:ascii="Arial" w:hAnsi="Arial" w:cs="Arial"/>
          <w:sz w:val="19"/>
          <w:szCs w:val="19"/>
          <w:bdr w:val="none" w:sz="0" w:space="0" w:color="auto" w:frame="1"/>
          <w:lang w:eastAsia="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0AF86A69"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r w:rsidRPr="00D67C1A">
        <w:rPr>
          <w:rFonts w:ascii="Arial" w:hAnsi="Arial" w:cs="Arial"/>
          <w:sz w:val="19"/>
          <w:szCs w:val="19"/>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7716EB66" w14:textId="77777777" w:rsidR="006B4D51" w:rsidRPr="00D67C1A" w:rsidRDefault="006B4D51" w:rsidP="006B4D51">
      <w:pPr>
        <w:shd w:val="clear" w:color="auto" w:fill="FFFFFF"/>
        <w:ind w:firstLine="709"/>
        <w:jc w:val="both"/>
        <w:textAlignment w:val="baseline"/>
        <w:rPr>
          <w:rFonts w:ascii="Arial" w:hAnsi="Arial" w:cs="Arial"/>
          <w:sz w:val="19"/>
          <w:szCs w:val="19"/>
          <w:lang w:eastAsia="es-CO"/>
        </w:rPr>
      </w:pPr>
      <w:r w:rsidRPr="00D67C1A">
        <w:rPr>
          <w:rFonts w:ascii="Arial" w:hAnsi="Arial" w:cs="Arial"/>
          <w:sz w:val="19"/>
          <w:szCs w:val="19"/>
          <w:bdr w:val="none" w:sz="0" w:space="0" w:color="auto" w:frame="1"/>
          <w:lang w:eastAsia="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14:paraId="45519D2B" w14:textId="77777777" w:rsidR="006B4D51" w:rsidRPr="00D67C1A" w:rsidRDefault="006B4D51" w:rsidP="006B4D51">
      <w:pPr>
        <w:pStyle w:val="Textonotapie"/>
        <w:ind w:firstLine="709"/>
        <w:jc w:val="both"/>
        <w:rPr>
          <w:rFonts w:ascii="Arial" w:hAnsi="Arial" w:cs="Arial"/>
          <w:sz w:val="19"/>
          <w:szCs w:val="19"/>
        </w:rPr>
      </w:pPr>
    </w:p>
  </w:footnote>
  <w:footnote w:id="7">
    <w:p w14:paraId="670750DD" w14:textId="77777777" w:rsidR="006B4D51" w:rsidRPr="008E4B4C" w:rsidRDefault="006B4D51" w:rsidP="006B4D51">
      <w:pPr>
        <w:pStyle w:val="Textonotapie"/>
        <w:ind w:firstLine="708"/>
        <w:jc w:val="both"/>
        <w:rPr>
          <w:rFonts w:ascii="Arial" w:hAnsi="Arial" w:cs="Arial"/>
          <w:sz w:val="19"/>
          <w:szCs w:val="19"/>
          <w:lang w:val="es-ES"/>
        </w:rPr>
      </w:pPr>
      <w:r w:rsidRPr="008E4B4C">
        <w:rPr>
          <w:rStyle w:val="Refdenotaalpie"/>
          <w:sz w:val="19"/>
          <w:szCs w:val="19"/>
        </w:rPr>
        <w:footnoteRef/>
      </w:r>
      <w:r w:rsidRPr="008E4B4C">
        <w:rPr>
          <w:rFonts w:ascii="Arial" w:hAnsi="Arial" w:cs="Arial"/>
          <w:sz w:val="19"/>
          <w:szCs w:val="19"/>
        </w:rPr>
        <w:t xml:space="preserve"> Modificada por las Resoluciones No. 161 de 2020 y 146 de 2022. </w:t>
      </w:r>
    </w:p>
  </w:footnote>
  <w:footnote w:id="8">
    <w:p w14:paraId="1EB60AC0" w14:textId="77777777" w:rsidR="006B4D51" w:rsidRPr="008E4B4C" w:rsidRDefault="006B4D51" w:rsidP="006B4D51">
      <w:pPr>
        <w:pStyle w:val="Textonotapie"/>
        <w:ind w:firstLine="708"/>
        <w:jc w:val="both"/>
        <w:rPr>
          <w:rFonts w:ascii="Arial" w:hAnsi="Arial" w:cs="Arial"/>
          <w:color w:val="000000" w:themeColor="text1"/>
          <w:sz w:val="19"/>
          <w:szCs w:val="19"/>
          <w:lang w:val="es-ES"/>
        </w:rPr>
      </w:pPr>
      <w:r w:rsidRPr="008E4B4C">
        <w:rPr>
          <w:rStyle w:val="Refdenotaalpie"/>
          <w:color w:val="000000" w:themeColor="text1"/>
          <w:sz w:val="19"/>
          <w:szCs w:val="19"/>
        </w:rPr>
        <w:footnoteRef/>
      </w:r>
      <w:r w:rsidRPr="008E4B4C">
        <w:rPr>
          <w:rFonts w:ascii="Arial" w:hAnsi="Arial" w:cs="Arial"/>
          <w:color w:val="000000" w:themeColor="text1"/>
          <w:sz w:val="19"/>
          <w:szCs w:val="19"/>
        </w:rPr>
        <w:t xml:space="preserve"> Artículo 2.2.1.1.2.1.1</w:t>
      </w:r>
      <w:r>
        <w:rPr>
          <w:rFonts w:ascii="Arial" w:hAnsi="Arial" w:cs="Arial"/>
          <w:color w:val="000000" w:themeColor="text1"/>
          <w:sz w:val="19"/>
          <w:szCs w:val="19"/>
        </w:rPr>
        <w:t xml:space="preserve"> </w:t>
      </w:r>
      <w:r w:rsidRPr="008E4B4C">
        <w:rPr>
          <w:rFonts w:ascii="Arial" w:hAnsi="Arial" w:cs="Arial"/>
          <w:color w:val="000000" w:themeColor="text1"/>
          <w:sz w:val="19"/>
          <w:szCs w:val="19"/>
        </w:rPr>
        <w:t>del Decreto 1082 de 2015.</w:t>
      </w:r>
    </w:p>
  </w:footnote>
  <w:footnote w:id="9">
    <w:p w14:paraId="5522B6B1" w14:textId="77777777" w:rsidR="00BB4640" w:rsidRPr="00473542" w:rsidRDefault="00BB4640" w:rsidP="00BB4640">
      <w:pPr>
        <w:pStyle w:val="Textonotapie"/>
        <w:ind w:firstLine="708"/>
        <w:jc w:val="both"/>
        <w:rPr>
          <w:rFonts w:ascii="Arial" w:hAnsi="Arial" w:cs="Arial"/>
          <w:sz w:val="19"/>
          <w:szCs w:val="19"/>
          <w:lang w:val="es-ES"/>
        </w:rPr>
      </w:pPr>
      <w:r w:rsidRPr="00473542">
        <w:rPr>
          <w:rStyle w:val="Refdenotaalpie"/>
          <w:rFonts w:ascii="Arial" w:hAnsi="Arial" w:cs="Arial"/>
          <w:sz w:val="19"/>
          <w:szCs w:val="19"/>
        </w:rPr>
        <w:footnoteRef/>
      </w:r>
      <w:r w:rsidRPr="00473542">
        <w:rPr>
          <w:rFonts w:ascii="Arial" w:hAnsi="Arial" w:cs="Arial"/>
          <w:sz w:val="19"/>
          <w:szCs w:val="19"/>
        </w:rPr>
        <w:t xml:space="preserve"> </w:t>
      </w:r>
      <w:r w:rsidRPr="00473542">
        <w:rPr>
          <w:rFonts w:ascii="Arial" w:hAnsi="Arial" w:cs="Arial"/>
          <w:sz w:val="19"/>
          <w:szCs w:val="19"/>
          <w:lang w:val="es-ES"/>
        </w:rPr>
        <w:t>Consejo de Estado. Sala de Consulta y Servicio Civil. Concepto del 20 de mayo de 2010. No. de Radicado: 11001-03-06-000-2010-00034-00(1992). C.P. Enrique José Arboleda Perdomo.</w:t>
      </w:r>
    </w:p>
  </w:footnote>
  <w:footnote w:id="10">
    <w:p w14:paraId="2FC77BF8" w14:textId="77777777" w:rsidR="00BB4640" w:rsidRPr="00473542" w:rsidRDefault="00BB4640" w:rsidP="00BB4640">
      <w:pPr>
        <w:pStyle w:val="Textonotapie"/>
        <w:ind w:firstLine="709"/>
        <w:jc w:val="both"/>
        <w:rPr>
          <w:rFonts w:ascii="Arial" w:hAnsi="Arial" w:cs="Arial"/>
          <w:color w:val="000000"/>
          <w:sz w:val="19"/>
          <w:szCs w:val="19"/>
        </w:rPr>
      </w:pPr>
      <w:r w:rsidRPr="00473542">
        <w:rPr>
          <w:rStyle w:val="Refdenotaalpie"/>
          <w:rFonts w:ascii="Arial" w:hAnsi="Arial" w:cs="Arial"/>
          <w:color w:val="000000"/>
          <w:sz w:val="19"/>
          <w:szCs w:val="19"/>
        </w:rPr>
        <w:footnoteRef/>
      </w:r>
      <w:r w:rsidRPr="00473542">
        <w:rPr>
          <w:rFonts w:ascii="Arial" w:hAnsi="Arial" w:cs="Arial"/>
          <w:color w:val="000000"/>
          <w:sz w:val="19"/>
          <w:szCs w:val="19"/>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12EBA081" w14:textId="77777777" w:rsidR="00BB4640" w:rsidRPr="00473542" w:rsidRDefault="00BB4640" w:rsidP="00BB4640">
      <w:pPr>
        <w:pStyle w:val="Textonotapie"/>
        <w:ind w:firstLine="709"/>
        <w:jc w:val="both"/>
        <w:rPr>
          <w:rFonts w:ascii="Arial" w:hAnsi="Arial" w:cs="Arial"/>
          <w:color w:val="000000"/>
          <w:sz w:val="19"/>
          <w:szCs w:val="19"/>
        </w:rPr>
      </w:pPr>
    </w:p>
  </w:footnote>
  <w:footnote w:id="11">
    <w:p w14:paraId="74792C4F" w14:textId="77777777" w:rsidR="00BB4640" w:rsidRPr="00473542" w:rsidRDefault="00BB4640" w:rsidP="00BB4640">
      <w:pPr>
        <w:pStyle w:val="Textonotapie"/>
        <w:ind w:firstLine="709"/>
        <w:jc w:val="both"/>
        <w:rPr>
          <w:rFonts w:ascii="Arial" w:hAnsi="Arial" w:cs="Arial"/>
          <w:color w:val="000000"/>
          <w:sz w:val="19"/>
          <w:szCs w:val="19"/>
        </w:rPr>
      </w:pPr>
      <w:r w:rsidRPr="00473542">
        <w:rPr>
          <w:rStyle w:val="Refdenotaalpie"/>
          <w:rFonts w:ascii="Arial" w:hAnsi="Arial" w:cs="Arial"/>
          <w:color w:val="000000"/>
          <w:sz w:val="19"/>
          <w:szCs w:val="19"/>
        </w:rPr>
        <w:footnoteRef/>
      </w:r>
      <w:r w:rsidRPr="00473542">
        <w:rPr>
          <w:rFonts w:ascii="Arial" w:hAnsi="Arial" w:cs="Arial"/>
          <w:color w:val="000000"/>
          <w:sz w:val="19"/>
          <w:szCs w:val="19"/>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12">
    <w:p w14:paraId="67A5BC6C" w14:textId="77777777" w:rsidR="00BB4640" w:rsidRPr="00473542" w:rsidRDefault="00BB4640" w:rsidP="00BB4640">
      <w:pPr>
        <w:pStyle w:val="Textonotapie"/>
        <w:ind w:firstLine="709"/>
        <w:jc w:val="both"/>
        <w:rPr>
          <w:rFonts w:ascii="Arial" w:hAnsi="Arial" w:cs="Arial"/>
          <w:color w:val="000000"/>
          <w:sz w:val="19"/>
          <w:szCs w:val="19"/>
        </w:rPr>
      </w:pPr>
      <w:r w:rsidRPr="00473542">
        <w:rPr>
          <w:rStyle w:val="Refdenotaalpie"/>
          <w:rFonts w:ascii="Arial" w:hAnsi="Arial" w:cs="Arial"/>
          <w:color w:val="000000"/>
          <w:sz w:val="19"/>
          <w:szCs w:val="19"/>
        </w:rPr>
        <w:footnoteRef/>
      </w:r>
      <w:r w:rsidRPr="00473542">
        <w:rPr>
          <w:rFonts w:ascii="Arial" w:hAnsi="Arial" w:cs="Arial"/>
          <w:color w:val="000000"/>
          <w:sz w:val="19"/>
          <w:szCs w:val="19"/>
        </w:rPr>
        <w:t xml:space="preserve"> Consejo de Estado. Sección Tercera. Subsección C. Sentencia del 26 de febrero de 2014. Expediente: 25.804. Consejero Ponente: Enrique Gil Botero.</w:t>
      </w:r>
    </w:p>
  </w:footnote>
  <w:footnote w:id="13">
    <w:p w14:paraId="5C3A6076" w14:textId="77777777" w:rsidR="00BB4640" w:rsidRDefault="00BB4640" w:rsidP="00BB4640">
      <w:pPr>
        <w:pBdr>
          <w:top w:val="nil"/>
          <w:left w:val="nil"/>
          <w:bottom w:val="nil"/>
          <w:right w:val="nil"/>
          <w:between w:val="nil"/>
        </w:pBdr>
        <w:ind w:firstLine="709"/>
        <w:jc w:val="both"/>
        <w:rPr>
          <w:rFonts w:ascii="Arial" w:eastAsia="Arial" w:hAnsi="Arial" w:cs="Arial"/>
          <w:color w:val="000000"/>
          <w:sz w:val="19"/>
          <w:szCs w:val="19"/>
        </w:rPr>
      </w:pPr>
      <w:r w:rsidRPr="00473542">
        <w:rPr>
          <w:rFonts w:ascii="Arial" w:hAnsi="Arial" w:cs="Arial"/>
          <w:sz w:val="19"/>
          <w:szCs w:val="19"/>
          <w:vertAlign w:val="superscript"/>
        </w:rPr>
        <w:footnoteRef/>
      </w:r>
      <w:r w:rsidRPr="00473542">
        <w:rPr>
          <w:rFonts w:ascii="Arial" w:eastAsia="Arial" w:hAnsi="Arial" w:cs="Arial"/>
          <w:color w:val="000000"/>
          <w:sz w:val="19"/>
          <w:szCs w:val="19"/>
          <w:vertAlign w:val="superscript"/>
        </w:rPr>
        <w:t xml:space="preserve"> </w:t>
      </w:r>
      <w:r w:rsidRPr="00473542">
        <w:rPr>
          <w:rFonts w:ascii="Arial" w:eastAsia="Arial" w:hAnsi="Arial" w:cs="Arial"/>
          <w:color w:val="000000"/>
          <w:sz w:val="19"/>
          <w:szCs w:val="19"/>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69377EB" w14:textId="77777777" w:rsidR="00BB4640" w:rsidRPr="00473542" w:rsidRDefault="00BB4640" w:rsidP="00BB4640">
      <w:pPr>
        <w:pBdr>
          <w:top w:val="nil"/>
          <w:left w:val="nil"/>
          <w:bottom w:val="nil"/>
          <w:right w:val="nil"/>
          <w:between w:val="nil"/>
        </w:pBdr>
        <w:ind w:firstLine="709"/>
        <w:jc w:val="both"/>
        <w:rPr>
          <w:rFonts w:ascii="Arial" w:eastAsia="Arial" w:hAnsi="Arial" w:cs="Arial"/>
          <w:color w:val="000000"/>
          <w:sz w:val="19"/>
          <w:szCs w:val="19"/>
        </w:rPr>
      </w:pPr>
    </w:p>
  </w:footnote>
  <w:footnote w:id="14">
    <w:p w14:paraId="226C3F2D" w14:textId="77777777" w:rsidR="00BB4640" w:rsidRPr="00473542" w:rsidRDefault="00BB4640" w:rsidP="00BB4640">
      <w:pPr>
        <w:pStyle w:val="Textonotapie"/>
        <w:ind w:firstLine="708"/>
        <w:jc w:val="both"/>
        <w:rPr>
          <w:rFonts w:ascii="Arial" w:hAnsi="Arial" w:cs="Arial"/>
          <w:color w:val="000000"/>
          <w:sz w:val="19"/>
          <w:szCs w:val="19"/>
          <w:lang w:val="es-ES"/>
        </w:rPr>
      </w:pPr>
      <w:r w:rsidRPr="00473542">
        <w:rPr>
          <w:rFonts w:ascii="Arial" w:eastAsia="Arial" w:hAnsi="Arial" w:cs="Arial"/>
          <w:color w:val="000000"/>
          <w:sz w:val="19"/>
          <w:szCs w:val="19"/>
          <w:vertAlign w:val="superscript"/>
        </w:rPr>
        <w:footnoteRef/>
      </w:r>
      <w:r w:rsidRPr="00473542">
        <w:rPr>
          <w:rFonts w:ascii="Arial" w:eastAsia="Arial" w:hAnsi="Arial" w:cs="Arial"/>
          <w:color w:val="000000"/>
          <w:sz w:val="19"/>
          <w:szCs w:val="19"/>
          <w:vertAlign w:val="superscript"/>
          <w:lang w:val="es-ES"/>
        </w:rPr>
        <w:t xml:space="preserve"> </w:t>
      </w:r>
      <w:r w:rsidRPr="00473542">
        <w:rPr>
          <w:rFonts w:ascii="Arial" w:eastAsia="Arial" w:hAnsi="Arial" w:cs="Arial"/>
          <w:color w:val="000000"/>
          <w:sz w:val="19"/>
          <w:szCs w:val="19"/>
          <w:lang w:val="es-ES"/>
        </w:rPr>
        <w:t>Consejo de Estado. Sala de Consulta y Servicio Civil. Concepto del 20 de mayo de 2010. No. de Radicado: 11001-03-06-000-2010-00034-00(1992). C.P. Enrique José Arboleda Perdomo.</w:t>
      </w:r>
    </w:p>
    <w:p w14:paraId="2DC05BCB" w14:textId="77777777" w:rsidR="00BB4640" w:rsidRPr="00473542" w:rsidRDefault="00BB4640" w:rsidP="00BB4640">
      <w:pPr>
        <w:pStyle w:val="Textonotapie"/>
        <w:ind w:firstLine="708"/>
        <w:jc w:val="both"/>
        <w:rPr>
          <w:rFonts w:ascii="Arial" w:hAnsi="Arial" w:cs="Arial"/>
          <w:color w:val="000000"/>
          <w:sz w:val="19"/>
          <w:szCs w:val="19"/>
        </w:rPr>
      </w:pPr>
    </w:p>
  </w:footnote>
  <w:footnote w:id="15">
    <w:p w14:paraId="478E484C" w14:textId="77777777" w:rsidR="00BB4640" w:rsidRDefault="00BB4640" w:rsidP="00BB4640">
      <w:pPr>
        <w:pStyle w:val="Textonotapie"/>
        <w:ind w:firstLine="708"/>
        <w:jc w:val="both"/>
        <w:rPr>
          <w:rFonts w:ascii="Arial" w:hAnsi="Arial" w:cs="Arial"/>
          <w:sz w:val="19"/>
          <w:szCs w:val="19"/>
          <w:lang w:val="es-ES"/>
        </w:rPr>
      </w:pPr>
      <w:r w:rsidRPr="00473542">
        <w:rPr>
          <w:rStyle w:val="Refdenotaalpie"/>
          <w:rFonts w:ascii="Arial" w:hAnsi="Arial" w:cs="Arial"/>
          <w:sz w:val="19"/>
          <w:szCs w:val="19"/>
        </w:rPr>
        <w:footnoteRef/>
      </w:r>
      <w:r w:rsidRPr="00473542">
        <w:rPr>
          <w:rFonts w:ascii="Arial" w:hAnsi="Arial" w:cs="Arial"/>
          <w:sz w:val="19"/>
          <w:szCs w:val="19"/>
        </w:rPr>
        <w:t xml:space="preserve"> </w:t>
      </w:r>
      <w:r w:rsidRPr="00473542">
        <w:rPr>
          <w:rFonts w:ascii="Arial" w:hAnsi="Arial" w:cs="Arial"/>
          <w:sz w:val="19"/>
          <w:szCs w:val="19"/>
          <w:lang w:val="es-ES"/>
        </w:rPr>
        <w:t xml:space="preserve">Se aclara que en los documentos tipo de selección abreviada de menor cuantía de infraestructura de transporte, el término del traslado del informe de evaluación no es de cinco (5) días hábiles sino de tres (3) días hábiles. Por su parte, en la invitación de los documentos tipo de mínima cuantía de infraestructura de transporte, el numeral 1.6. establece que la subsanación se puede realizar en el plazo que haya establecido la Entidad Estatal, siempre que no sea menor a un (1) día hábil. </w:t>
      </w:r>
    </w:p>
    <w:p w14:paraId="38786560" w14:textId="77777777" w:rsidR="00BB4640" w:rsidRPr="00473542" w:rsidRDefault="00BB4640" w:rsidP="00BB4640">
      <w:pPr>
        <w:pStyle w:val="Textonotapie"/>
        <w:ind w:firstLine="708"/>
        <w:jc w:val="both"/>
        <w:rPr>
          <w:rFonts w:ascii="Arial" w:hAnsi="Arial" w:cs="Arial"/>
          <w:sz w:val="19"/>
          <w:szCs w:val="19"/>
          <w:lang w:val="es-ES"/>
        </w:rPr>
      </w:pPr>
    </w:p>
  </w:footnote>
  <w:footnote w:id="16">
    <w:p w14:paraId="7DD5DE93" w14:textId="77777777" w:rsidR="00BB4640" w:rsidRDefault="00BB4640" w:rsidP="00BB4640">
      <w:pPr>
        <w:pStyle w:val="Textonotapie"/>
        <w:ind w:firstLine="708"/>
        <w:jc w:val="both"/>
        <w:rPr>
          <w:rFonts w:ascii="Arial" w:hAnsi="Arial" w:cs="Arial"/>
          <w:sz w:val="19"/>
          <w:szCs w:val="19"/>
        </w:rPr>
      </w:pPr>
      <w:r w:rsidRPr="00473542">
        <w:rPr>
          <w:rStyle w:val="Refdenotaalpie"/>
          <w:rFonts w:ascii="Arial" w:hAnsi="Arial" w:cs="Arial"/>
          <w:sz w:val="19"/>
          <w:szCs w:val="19"/>
        </w:rPr>
        <w:footnoteRef/>
      </w:r>
      <w:r w:rsidRPr="00473542">
        <w:rPr>
          <w:rFonts w:ascii="Arial" w:hAnsi="Arial" w:cs="Arial"/>
          <w:sz w:val="19"/>
          <w:szCs w:val="19"/>
        </w:rPr>
        <w:t xml:space="preserve"> Ley 80 de 1993, artículo 4 parágrafo 3º: «En los procesos de licitación pública para seleccionar contratistas de obra pública, las entidades estatales deberán publicar el informe de evaluación relacionado con los documentos de los requisitos habilitantes y los requisitos que sean objeto de puntuación diferente a la oferta económica incluida en el primer sobre, dentro del plazo establecido en el pliego de condiciones.</w:t>
      </w:r>
    </w:p>
    <w:p w14:paraId="10C8B148" w14:textId="77777777" w:rsidR="00BB4640" w:rsidRPr="00473542" w:rsidRDefault="00BB4640" w:rsidP="00BB4640">
      <w:pPr>
        <w:pStyle w:val="Textonotapie"/>
        <w:ind w:firstLine="708"/>
        <w:jc w:val="both"/>
        <w:rPr>
          <w:rFonts w:ascii="Arial" w:hAnsi="Arial" w:cs="Arial"/>
          <w:sz w:val="19"/>
          <w:szCs w:val="19"/>
        </w:rPr>
      </w:pPr>
    </w:p>
    <w:p w14:paraId="7E45BEA4" w14:textId="77777777" w:rsidR="00BB4640" w:rsidRDefault="00BB4640" w:rsidP="00BB4640">
      <w:pPr>
        <w:pStyle w:val="Textonotapie"/>
        <w:ind w:firstLine="708"/>
        <w:jc w:val="both"/>
        <w:rPr>
          <w:rFonts w:ascii="Arial" w:hAnsi="Arial" w:cs="Arial"/>
          <w:sz w:val="19"/>
          <w:szCs w:val="19"/>
        </w:rPr>
      </w:pPr>
      <w:r w:rsidRPr="00473542">
        <w:rPr>
          <w:rFonts w:ascii="Arial" w:hAnsi="Arial" w:cs="Arial"/>
          <w:sz w:val="19"/>
          <w:szCs w:val="19"/>
        </w:rPr>
        <w:t xml:space="preserve">»En estos procesos el informe permanecerá publicado en el </w:t>
      </w:r>
      <w:r w:rsidRPr="00473542">
        <w:rPr>
          <w:rFonts w:ascii="Arial" w:hAnsi="Arial" w:cs="Arial"/>
          <w:sz w:val="19"/>
          <w:szCs w:val="19"/>
        </w:rPr>
        <w:t>Secop durante cinco (5) días hábiles, término hasta el cual los proponentes podrán hacer las observaciones que consideren y entregar los documentos y la información solicitada por la entidad estatal. Al finalizar este plazo, la entidad estatal se pronunciará sobre las observaciones y publicará el informe final de evaluación de los requisitos habilitantes y los requisitos objeto de puntuación distintos a la oferta económica.»</w:t>
      </w:r>
    </w:p>
    <w:p w14:paraId="54AF8F37" w14:textId="77777777" w:rsidR="00BB4640" w:rsidRPr="00473542" w:rsidRDefault="00BB4640" w:rsidP="00BB4640">
      <w:pPr>
        <w:pStyle w:val="Textonotapie"/>
        <w:ind w:firstLine="708"/>
        <w:jc w:val="both"/>
        <w:rPr>
          <w:rFonts w:ascii="Arial" w:hAnsi="Arial" w:cs="Arial"/>
          <w:sz w:val="19"/>
          <w:szCs w:val="19"/>
          <w:lang w:val="es-ES"/>
        </w:rPr>
      </w:pPr>
    </w:p>
  </w:footnote>
  <w:footnote w:id="17">
    <w:p w14:paraId="48C720C5" w14:textId="77777777" w:rsidR="006B4D51" w:rsidRPr="00846F03" w:rsidRDefault="006B4D51" w:rsidP="006B4D51">
      <w:pPr>
        <w:pStyle w:val="Textonotapie"/>
        <w:ind w:firstLine="708"/>
        <w:jc w:val="both"/>
        <w:rPr>
          <w:rFonts w:ascii="Arial" w:eastAsia="Times New Roman" w:hAnsi="Arial" w:cs="Arial"/>
          <w:sz w:val="18"/>
          <w:szCs w:val="18"/>
          <w:lang w:val="es-CO" w:eastAsia="es-CO"/>
        </w:rPr>
      </w:pPr>
      <w:r w:rsidRPr="00846F03">
        <w:rPr>
          <w:rStyle w:val="Refdenotaalpie"/>
          <w:sz w:val="18"/>
          <w:szCs w:val="18"/>
        </w:rPr>
        <w:footnoteRef/>
      </w:r>
      <w:r w:rsidRPr="00846F03">
        <w:rPr>
          <w:rFonts w:ascii="Arial" w:hAnsi="Arial" w:cs="Arial"/>
          <w:sz w:val="18"/>
          <w:szCs w:val="18"/>
        </w:rPr>
        <w:t xml:space="preserve"> </w:t>
      </w:r>
      <w:r w:rsidRPr="00846F03">
        <w:rPr>
          <w:rFonts w:ascii="Arial" w:eastAsia="Times New Roman" w:hAnsi="Arial" w:cs="Arial"/>
          <w:sz w:val="18"/>
          <w:szCs w:val="18"/>
          <w:lang w:val="es-CO" w:eastAsia="es-CO"/>
        </w:rPr>
        <w:t xml:space="preserve">Consejo de Estado. Sección Tercera. Sentencia del 27 de abril de 2011. </w:t>
      </w:r>
      <w:r w:rsidRPr="00846F03">
        <w:rPr>
          <w:rFonts w:ascii="Arial" w:eastAsia="Times New Roman" w:hAnsi="Arial" w:cs="Arial"/>
          <w:sz w:val="18"/>
          <w:szCs w:val="18"/>
          <w:lang w:val="es-CO" w:eastAsia="es-CO"/>
        </w:rPr>
        <w:t>Exp. 18.293. C.P. Ruth Stella Correa Palacio.</w:t>
      </w:r>
    </w:p>
    <w:p w14:paraId="1A41082D" w14:textId="77777777" w:rsidR="006B4D51" w:rsidRPr="00846F03" w:rsidRDefault="006B4D51" w:rsidP="006B4D51">
      <w:pPr>
        <w:pStyle w:val="Textonotapie"/>
        <w:ind w:firstLine="708"/>
        <w:jc w:val="both"/>
        <w:rPr>
          <w:rFonts w:ascii="Arial" w:eastAsia="Calibri" w:hAnsi="Arial"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35B52" w14:textId="77777777" w:rsidR="00F14E00" w:rsidRDefault="00000000">
    <w:pPr>
      <w:pStyle w:val="Encabezado"/>
    </w:pPr>
  </w:p>
  <w:p w14:paraId="6C3342BC" w14:textId="77777777" w:rsidR="00F14E00" w:rsidRDefault="00000000">
    <w:pPr>
      <w:pStyle w:val="Encabezado"/>
    </w:pPr>
  </w:p>
  <w:p w14:paraId="0594205C" w14:textId="77777777" w:rsidR="00F14E00" w:rsidRDefault="00433B5E">
    <w:pPr>
      <w:pStyle w:val="Encabezado"/>
    </w:pPr>
    <w:r>
      <w:rPr>
        <w:noProof/>
        <w:lang w:val="es-CO" w:eastAsia="es-CO"/>
      </w:rPr>
      <w:drawing>
        <wp:anchor distT="0" distB="0" distL="114300" distR="114300" simplePos="0" relativeHeight="251659264" behindDoc="1" locked="0" layoutInCell="1" allowOverlap="1" wp14:anchorId="29F3F143" wp14:editId="0E7B4EA5">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AA18DB" w14:textId="77777777" w:rsidR="00F14E00" w:rsidRDefault="00000000">
    <w:pPr>
      <w:pStyle w:val="Encabezado"/>
    </w:pPr>
  </w:p>
  <w:p w14:paraId="7E883C35" w14:textId="77777777" w:rsidR="00F14E00" w:rsidRDefault="00000000">
    <w:pPr>
      <w:pStyle w:val="Encabezado"/>
    </w:pPr>
  </w:p>
  <w:p w14:paraId="4B7AB55D" w14:textId="77777777" w:rsidR="00F14E00" w:rsidRDefault="000000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522442D"/>
    <w:multiLevelType w:val="multilevel"/>
    <w:tmpl w:val="863C2132"/>
    <w:lvl w:ilvl="0">
      <w:start w:val="2"/>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644" w:hanging="360"/>
      </w:pPr>
      <w:rPr>
        <w:rFonts w:hint="default"/>
      </w:rPr>
    </w:lvl>
    <w:lvl w:ilvl="2">
      <w:start w:val="1"/>
      <w:numFmt w:val="decimal"/>
      <w:pStyle w:val="Ttulo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84921DB"/>
    <w:multiLevelType w:val="multilevel"/>
    <w:tmpl w:val="F468BAA4"/>
    <w:lvl w:ilvl="0">
      <w:start w:val="2"/>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6C6075DD"/>
    <w:multiLevelType w:val="hybridMultilevel"/>
    <w:tmpl w:val="EBE2CF64"/>
    <w:lvl w:ilvl="0" w:tplc="5AE47702">
      <w:start w:val="3"/>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7F121B22"/>
    <w:multiLevelType w:val="hybridMultilevel"/>
    <w:tmpl w:val="4D9A8CA4"/>
    <w:lvl w:ilvl="0" w:tplc="7996F5C0">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18752771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92406317">
    <w:abstractNumId w:val="2"/>
  </w:num>
  <w:num w:numId="3" w16cid:durableId="417530072">
    <w:abstractNumId w:val="3"/>
  </w:num>
  <w:num w:numId="4" w16cid:durableId="722096875">
    <w:abstractNumId w:val="6"/>
  </w:num>
  <w:num w:numId="5" w16cid:durableId="1988824451">
    <w:abstractNumId w:val="4"/>
  </w:num>
  <w:num w:numId="6" w16cid:durableId="117720913">
    <w:abstractNumId w:val="1"/>
  </w:num>
  <w:num w:numId="7" w16cid:durableId="3032371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D51"/>
    <w:rsid w:val="00040568"/>
    <w:rsid w:val="000A3D4D"/>
    <w:rsid w:val="000B6BDB"/>
    <w:rsid w:val="000F05AF"/>
    <w:rsid w:val="001507A1"/>
    <w:rsid w:val="001A1AAF"/>
    <w:rsid w:val="001B58A0"/>
    <w:rsid w:val="001D5855"/>
    <w:rsid w:val="002C73F8"/>
    <w:rsid w:val="00326BB0"/>
    <w:rsid w:val="003A2C29"/>
    <w:rsid w:val="003B3A2F"/>
    <w:rsid w:val="00433B5E"/>
    <w:rsid w:val="00463321"/>
    <w:rsid w:val="004C5ACE"/>
    <w:rsid w:val="004E0D27"/>
    <w:rsid w:val="005B4BC1"/>
    <w:rsid w:val="005C572C"/>
    <w:rsid w:val="006370B0"/>
    <w:rsid w:val="00674089"/>
    <w:rsid w:val="006A7A99"/>
    <w:rsid w:val="006B4D51"/>
    <w:rsid w:val="006F6BA2"/>
    <w:rsid w:val="00700D0E"/>
    <w:rsid w:val="007B015B"/>
    <w:rsid w:val="007E58C0"/>
    <w:rsid w:val="008604E2"/>
    <w:rsid w:val="008B20D4"/>
    <w:rsid w:val="00912D45"/>
    <w:rsid w:val="009C0BF2"/>
    <w:rsid w:val="009D0CC8"/>
    <w:rsid w:val="009E2B21"/>
    <w:rsid w:val="00AA40F4"/>
    <w:rsid w:val="00AA5FDA"/>
    <w:rsid w:val="00BB4640"/>
    <w:rsid w:val="00C91232"/>
    <w:rsid w:val="00CE0A36"/>
    <w:rsid w:val="00D57112"/>
    <w:rsid w:val="00D8410E"/>
    <w:rsid w:val="00D84671"/>
    <w:rsid w:val="00DA0124"/>
    <w:rsid w:val="00E33A0B"/>
    <w:rsid w:val="00E71D0F"/>
    <w:rsid w:val="00EB6D4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10CF34"/>
  <w15:chartTrackingRefBased/>
  <w15:docId w15:val="{F937FB7C-6045-479D-AE91-98A521586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D51"/>
    <w:pPr>
      <w:spacing w:after="0" w:line="240" w:lineRule="auto"/>
    </w:pPr>
    <w:rPr>
      <w:sz w:val="24"/>
      <w:lang w:val="es-MX"/>
    </w:rPr>
  </w:style>
  <w:style w:type="paragraph" w:styleId="Ttulo2">
    <w:name w:val="heading 2"/>
    <w:basedOn w:val="Normal"/>
    <w:next w:val="Normal"/>
    <w:link w:val="Ttulo2Car"/>
    <w:uiPriority w:val="9"/>
    <w:unhideWhenUsed/>
    <w:qFormat/>
    <w:rsid w:val="006B4D51"/>
    <w:pPr>
      <w:keepNext/>
      <w:keepLines/>
      <w:numPr>
        <w:ilvl w:val="1"/>
        <w:numId w:val="3"/>
      </w:numPr>
      <w:spacing w:before="40" w:after="120" w:line="259" w:lineRule="auto"/>
      <w:jc w:val="both"/>
      <w:outlineLvl w:val="1"/>
    </w:pPr>
    <w:rPr>
      <w:rFonts w:ascii="Arial" w:eastAsiaTheme="majorEastAsia" w:hAnsi="Arial" w:cstheme="majorBidi"/>
      <w:b/>
      <w:caps/>
      <w:color w:val="000000" w:themeColor="text1"/>
      <w:sz w:val="20"/>
      <w:szCs w:val="26"/>
    </w:rPr>
  </w:style>
  <w:style w:type="paragraph" w:styleId="Ttulo3">
    <w:name w:val="heading 3"/>
    <w:basedOn w:val="Normal"/>
    <w:next w:val="Normal"/>
    <w:link w:val="Ttulo3Car"/>
    <w:uiPriority w:val="9"/>
    <w:unhideWhenUsed/>
    <w:qFormat/>
    <w:rsid w:val="006B4D51"/>
    <w:pPr>
      <w:keepNext/>
      <w:keepLines/>
      <w:numPr>
        <w:ilvl w:val="2"/>
        <w:numId w:val="3"/>
      </w:numPr>
      <w:spacing w:before="40" w:after="120" w:line="259" w:lineRule="auto"/>
      <w:jc w:val="both"/>
      <w:outlineLvl w:val="2"/>
    </w:pPr>
    <w:rPr>
      <w:rFonts w:ascii="Arial" w:eastAsiaTheme="majorEastAsia" w:hAnsi="Arial" w:cstheme="majorBidi"/>
      <w:b/>
      <w:caps/>
      <w:color w:val="000000" w:themeColor="text1"/>
      <w:sz w:val="20"/>
      <w:szCs w:val="24"/>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B4D51"/>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6B4D51"/>
    <w:rPr>
      <w:rFonts w:ascii="Arial" w:eastAsiaTheme="majorEastAsia" w:hAnsi="Arial" w:cstheme="majorBidi"/>
      <w:b/>
      <w:caps/>
      <w:color w:val="000000" w:themeColor="text1"/>
      <w:sz w:val="20"/>
      <w:szCs w:val="24"/>
    </w:rPr>
  </w:style>
  <w:style w:type="paragraph" w:styleId="Piedepgina">
    <w:name w:val="footer"/>
    <w:basedOn w:val="Normal"/>
    <w:link w:val="PiedepginaCar"/>
    <w:uiPriority w:val="99"/>
    <w:unhideWhenUsed/>
    <w:rsid w:val="006B4D51"/>
    <w:pPr>
      <w:tabs>
        <w:tab w:val="center" w:pos="4419"/>
        <w:tab w:val="right" w:pos="8838"/>
      </w:tabs>
    </w:pPr>
  </w:style>
  <w:style w:type="character" w:customStyle="1" w:styleId="PiedepginaCar">
    <w:name w:val="Pie de página Car"/>
    <w:basedOn w:val="Fuentedeprrafopredeter"/>
    <w:link w:val="Piedepgina"/>
    <w:uiPriority w:val="99"/>
    <w:rsid w:val="006B4D51"/>
    <w:rPr>
      <w:sz w:val="24"/>
      <w:lang w:val="es-MX"/>
    </w:rPr>
  </w:style>
  <w:style w:type="paragraph" w:styleId="Encabezado">
    <w:name w:val="header"/>
    <w:basedOn w:val="Normal"/>
    <w:link w:val="EncabezadoCar"/>
    <w:uiPriority w:val="99"/>
    <w:unhideWhenUsed/>
    <w:rsid w:val="006B4D51"/>
    <w:pPr>
      <w:tabs>
        <w:tab w:val="center" w:pos="4252"/>
        <w:tab w:val="right" w:pos="8504"/>
      </w:tabs>
    </w:pPr>
  </w:style>
  <w:style w:type="character" w:customStyle="1" w:styleId="EncabezadoCar">
    <w:name w:val="Encabezado Car"/>
    <w:basedOn w:val="Fuentedeprrafopredeter"/>
    <w:link w:val="Encabezado"/>
    <w:uiPriority w:val="99"/>
    <w:rsid w:val="006B4D51"/>
    <w:rPr>
      <w:sz w:val="24"/>
      <w:lang w:val="es-MX"/>
    </w:rPr>
  </w:style>
  <w:style w:type="table" w:styleId="Tablaconcuadrcula">
    <w:name w:val="Table Grid"/>
    <w:basedOn w:val="Tablanormal"/>
    <w:uiPriority w:val="59"/>
    <w:rsid w:val="006B4D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6B4D51"/>
    <w:pPr>
      <w:ind w:left="720"/>
      <w:contextualSpacing/>
    </w:pPr>
  </w:style>
  <w:style w:type="character" w:styleId="Hipervnculo">
    <w:name w:val="Hyperlink"/>
    <w:basedOn w:val="Fuentedeprrafopredeter"/>
    <w:uiPriority w:val="99"/>
    <w:unhideWhenUsed/>
    <w:rsid w:val="006B4D51"/>
    <w:rPr>
      <w:color w:val="0563C1" w:themeColor="hyperlink"/>
      <w:u w:val="single"/>
    </w:rPr>
  </w:style>
  <w:style w:type="paragraph" w:styleId="NormalWeb">
    <w:name w:val="Normal (Web)"/>
    <w:basedOn w:val="Normal"/>
    <w:link w:val="NormalWebCar"/>
    <w:uiPriority w:val="99"/>
    <w:unhideWhenUsed/>
    <w:rsid w:val="006B4D51"/>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6B4D51"/>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B4D5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6B4D51"/>
    <w:rPr>
      <w:sz w:val="20"/>
      <w:szCs w:val="20"/>
    </w:rPr>
  </w:style>
  <w:style w:type="character" w:customStyle="1" w:styleId="TextonotapieCar1">
    <w:name w:val="Texto nota pie Car1"/>
    <w:basedOn w:val="Fuentedeprrafopredeter"/>
    <w:uiPriority w:val="99"/>
    <w:semiHidden/>
    <w:rsid w:val="006B4D51"/>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B4D51"/>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B4D51"/>
    <w:rPr>
      <w:vertAlign w:val="superscript"/>
    </w:rPr>
  </w:style>
  <w:style w:type="paragraph" w:customStyle="1" w:styleId="Appelnotedebasde">
    <w:name w:val="Appel note de bas de..."/>
    <w:basedOn w:val="Normal"/>
    <w:link w:val="Refdenotaalpie"/>
    <w:uiPriority w:val="99"/>
    <w:rsid w:val="006B4D51"/>
    <w:pPr>
      <w:spacing w:after="160" w:line="240" w:lineRule="exact"/>
    </w:pPr>
    <w:rPr>
      <w:sz w:val="22"/>
      <w:vertAlign w:val="superscript"/>
      <w:lang w:val="es-CO"/>
    </w:rPr>
  </w:style>
  <w:style w:type="character" w:customStyle="1" w:styleId="NormalWebCar">
    <w:name w:val="Normal (Web) Car"/>
    <w:link w:val="NormalWeb"/>
    <w:uiPriority w:val="99"/>
    <w:locked/>
    <w:rsid w:val="006B4D51"/>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6B4D51"/>
  </w:style>
  <w:style w:type="paragraph" w:customStyle="1" w:styleId="Default">
    <w:name w:val="Default"/>
    <w:rsid w:val="006B4D51"/>
    <w:pPr>
      <w:autoSpaceDE w:val="0"/>
      <w:autoSpaceDN w:val="0"/>
      <w:adjustRightInd w:val="0"/>
      <w:spacing w:after="0" w:line="240" w:lineRule="auto"/>
    </w:pPr>
    <w:rPr>
      <w:rFonts w:ascii="Arial" w:hAnsi="Arial" w:cs="Arial"/>
      <w:color w:val="000000"/>
      <w:sz w:val="24"/>
      <w:szCs w:val="24"/>
      <w:lang w:val="en-US"/>
    </w:rPr>
  </w:style>
  <w:style w:type="paragraph" w:styleId="Textoindependiente">
    <w:name w:val="Body Text"/>
    <w:basedOn w:val="Normal"/>
    <w:link w:val="TextoindependienteCar"/>
    <w:uiPriority w:val="1"/>
    <w:qFormat/>
    <w:rsid w:val="006B4D51"/>
    <w:pPr>
      <w:widowControl w:val="0"/>
      <w:autoSpaceDE w:val="0"/>
      <w:autoSpaceDN w:val="0"/>
    </w:pPr>
    <w:rPr>
      <w:rFonts w:ascii="Arial" w:eastAsia="Arial" w:hAnsi="Arial" w:cs="Arial"/>
      <w:sz w:val="22"/>
      <w:lang w:val="es-ES"/>
    </w:rPr>
  </w:style>
  <w:style w:type="character" w:customStyle="1" w:styleId="TextoindependienteCar">
    <w:name w:val="Texto independiente Car"/>
    <w:basedOn w:val="Fuentedeprrafopredeter"/>
    <w:link w:val="Textoindependiente"/>
    <w:uiPriority w:val="1"/>
    <w:rsid w:val="006B4D51"/>
    <w:rPr>
      <w:rFonts w:ascii="Arial" w:eastAsia="Arial" w:hAnsi="Arial" w:cs="Arial"/>
      <w:lang w:val="es-ES"/>
    </w:rPr>
  </w:style>
  <w:style w:type="table" w:customStyle="1" w:styleId="Tablaconcuadrcula2">
    <w:name w:val="Tabla con cuadrícula2"/>
    <w:basedOn w:val="Tablanormal"/>
    <w:next w:val="Tablaconcuadrcula"/>
    <w:uiPriority w:val="59"/>
    <w:qFormat/>
    <w:rsid w:val="006B4D5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B4D51"/>
    <w:rPr>
      <w:sz w:val="16"/>
      <w:szCs w:val="16"/>
    </w:rPr>
  </w:style>
  <w:style w:type="paragraph" w:styleId="Textocomentario">
    <w:name w:val="annotation text"/>
    <w:basedOn w:val="Normal"/>
    <w:link w:val="TextocomentarioCar"/>
    <w:uiPriority w:val="99"/>
    <w:unhideWhenUsed/>
    <w:rsid w:val="006B4D51"/>
    <w:rPr>
      <w:sz w:val="20"/>
      <w:szCs w:val="20"/>
    </w:rPr>
  </w:style>
  <w:style w:type="character" w:customStyle="1" w:styleId="TextocomentarioCar">
    <w:name w:val="Texto comentario Car"/>
    <w:basedOn w:val="Fuentedeprrafopredeter"/>
    <w:link w:val="Textocomentario"/>
    <w:uiPriority w:val="99"/>
    <w:rsid w:val="006B4D51"/>
    <w:rPr>
      <w:sz w:val="20"/>
      <w:szCs w:val="20"/>
      <w:lang w:val="es-MX"/>
    </w:rPr>
  </w:style>
  <w:style w:type="paragraph" w:styleId="Textodeglobo">
    <w:name w:val="Balloon Text"/>
    <w:basedOn w:val="Normal"/>
    <w:link w:val="TextodegloboCar"/>
    <w:uiPriority w:val="99"/>
    <w:semiHidden/>
    <w:unhideWhenUsed/>
    <w:rsid w:val="006B4D5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B4D51"/>
    <w:rPr>
      <w:rFonts w:ascii="Segoe UI" w:hAnsi="Segoe UI" w:cs="Segoe UI"/>
      <w:sz w:val="18"/>
      <w:szCs w:val="18"/>
      <w:lang w:val="es-MX"/>
    </w:rPr>
  </w:style>
  <w:style w:type="paragraph" w:styleId="Revisin">
    <w:name w:val="Revision"/>
    <w:hidden/>
    <w:uiPriority w:val="99"/>
    <w:semiHidden/>
    <w:rsid w:val="007B015B"/>
    <w:pPr>
      <w:spacing w:after="0" w:line="240" w:lineRule="auto"/>
    </w:pPr>
    <w:rPr>
      <w:sz w:val="24"/>
      <w:lang w:val="es-MX"/>
    </w:rPr>
  </w:style>
  <w:style w:type="paragraph" w:styleId="Asuntodelcomentario">
    <w:name w:val="annotation subject"/>
    <w:basedOn w:val="Textocomentario"/>
    <w:next w:val="Textocomentario"/>
    <w:link w:val="AsuntodelcomentarioCar"/>
    <w:uiPriority w:val="99"/>
    <w:semiHidden/>
    <w:unhideWhenUsed/>
    <w:rsid w:val="00D57112"/>
    <w:rPr>
      <w:b/>
      <w:bCs/>
    </w:rPr>
  </w:style>
  <w:style w:type="character" w:customStyle="1" w:styleId="AsuntodelcomentarioCar">
    <w:name w:val="Asunto del comentario Car"/>
    <w:basedOn w:val="TextocomentarioCar"/>
    <w:link w:val="Asuntodelcomentario"/>
    <w:uiPriority w:val="99"/>
    <w:semiHidden/>
    <w:rsid w:val="00D57112"/>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1DEADA-BD80-4C94-8245-C80945B2F2C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CF8F71E8-CEA2-41BC-ACFE-67215B0075E8}">
  <ds:schemaRefs>
    <ds:schemaRef ds:uri="http://schemas.microsoft.com/sharepoint/v3/contenttype/forms"/>
  </ds:schemaRefs>
</ds:datastoreItem>
</file>

<file path=customXml/itemProps3.xml><?xml version="1.0" encoding="utf-8"?>
<ds:datastoreItem xmlns:ds="http://schemas.openxmlformats.org/officeDocument/2006/customXml" ds:itemID="{D954F167-C16A-451D-BF1C-2E73CA2A8D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21</Pages>
  <Words>8003</Words>
  <Characters>44020</Characters>
  <Application>Microsoft Office Word</Application>
  <DocSecurity>0</DocSecurity>
  <Lines>366</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Nathalia Andrea Urrego Jimenez</dc:creator>
  <cp:keywords/>
  <dc:description/>
  <cp:lastModifiedBy>Jorge Eliecer Moran Buitrón</cp:lastModifiedBy>
  <cp:revision>22</cp:revision>
  <dcterms:created xsi:type="dcterms:W3CDTF">2022-09-09T14:08:00Z</dcterms:created>
  <dcterms:modified xsi:type="dcterms:W3CDTF">2022-09-23T21:16:00Z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