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4CDBC" w14:textId="51E87DED" w:rsidR="00481619" w:rsidRDefault="00481619" w:rsidP="00501651">
      <w:pPr>
        <w:spacing w:after="0" w:line="240" w:lineRule="auto"/>
        <w:rPr>
          <w:rFonts w:ascii="Arial" w:eastAsia="Calibri" w:hAnsi="Arial" w:cs="Arial"/>
          <w:sz w:val="20"/>
          <w:szCs w:val="20"/>
          <w:lang w:val="es-ES_tradnl"/>
        </w:rPr>
      </w:pPr>
      <w:bookmarkStart w:id="0" w:name="_Hlk77165666"/>
      <w:bookmarkStart w:id="1" w:name="_Hlk78821436"/>
    </w:p>
    <w:p w14:paraId="5F33D94B" w14:textId="0353C27A" w:rsidR="00481619" w:rsidRDefault="00481619" w:rsidP="00501651">
      <w:pPr>
        <w:spacing w:after="0" w:line="240" w:lineRule="auto"/>
        <w:rPr>
          <w:rFonts w:ascii="Arial" w:eastAsia="Calibri" w:hAnsi="Arial" w:cs="Arial"/>
          <w:b/>
          <w:color w:val="000000"/>
          <w:sz w:val="22"/>
        </w:rPr>
      </w:pPr>
      <w:r w:rsidRPr="00481619">
        <w:rPr>
          <w:rFonts w:ascii="Arial" w:eastAsia="Calibri" w:hAnsi="Arial" w:cs="Arial"/>
          <w:b/>
          <w:bCs/>
          <w:sz w:val="22"/>
          <w:lang w:val="es-ES_tradnl"/>
        </w:rPr>
        <w:t xml:space="preserve">FORMULARIO 1 </w:t>
      </w:r>
      <w:r w:rsidRPr="00481619">
        <w:rPr>
          <w:rFonts w:ascii="Arial" w:eastAsia="Calibri" w:hAnsi="Arial" w:cs="Arial"/>
          <w:b/>
          <w:color w:val="000000"/>
          <w:sz w:val="22"/>
        </w:rPr>
        <w:t>– Formulario de presupuesto oficial</w:t>
      </w:r>
    </w:p>
    <w:p w14:paraId="3F588349" w14:textId="3E2E40CB" w:rsidR="00481619" w:rsidRDefault="00481619" w:rsidP="00501651">
      <w:pPr>
        <w:spacing w:after="0" w:line="240" w:lineRule="auto"/>
        <w:rPr>
          <w:rFonts w:ascii="Arial" w:eastAsia="Calibri" w:hAnsi="Arial" w:cs="Arial"/>
          <w:b/>
          <w:color w:val="000000"/>
          <w:sz w:val="22"/>
        </w:rPr>
      </w:pPr>
    </w:p>
    <w:p w14:paraId="0F8C35B9" w14:textId="77777777" w:rsidR="00481619" w:rsidRPr="00481619" w:rsidRDefault="00481619" w:rsidP="00481619">
      <w:pPr>
        <w:widowControl w:val="0"/>
        <w:autoSpaceDE w:val="0"/>
        <w:autoSpaceDN w:val="0"/>
        <w:spacing w:after="120" w:line="240" w:lineRule="auto"/>
        <w:rPr>
          <w:rFonts w:ascii="Arial" w:eastAsia="Arial" w:hAnsi="Arial" w:cs="Arial"/>
          <w:sz w:val="20"/>
          <w:szCs w:val="20"/>
          <w:lang w:val="es-ES" w:eastAsia="es-ES" w:bidi="es-ES"/>
        </w:rPr>
      </w:pPr>
      <w:r w:rsidRPr="00481619">
        <w:rPr>
          <w:rFonts w:ascii="Arial" w:eastAsia="Arial" w:hAnsi="Arial" w:cs="Arial"/>
          <w:sz w:val="20"/>
          <w:szCs w:val="20"/>
          <w:lang w:val="es-ES" w:eastAsia="es-ES" w:bidi="es-ES"/>
        </w:rPr>
        <w:t xml:space="preserve">[…] en la primera hoja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481619">
        <w:rPr>
          <w:rFonts w:ascii="Arial" w:eastAsia="Arial" w:hAnsi="Arial" w:cs="Arial"/>
          <w:sz w:val="20"/>
          <w:szCs w:val="20"/>
          <w:lang w:val="es-ES" w:eastAsia="es-ES" w:bidi="es-ES"/>
        </w:rPr>
        <w:t>ii</w:t>
      </w:r>
      <w:proofErr w:type="spellEnd"/>
      <w:r w:rsidRPr="00481619">
        <w:rPr>
          <w:rFonts w:ascii="Arial" w:eastAsia="Arial" w:hAnsi="Arial" w:cs="Arial"/>
          <w:sz w:val="20"/>
          <w:szCs w:val="20"/>
          <w:lang w:val="es-ES" w:eastAsia="es-ES" w:bidi="es-ES"/>
        </w:rPr>
        <w:t xml:space="preserve">) imprevistos y </w:t>
      </w:r>
      <w:proofErr w:type="spellStart"/>
      <w:r w:rsidRPr="00481619">
        <w:rPr>
          <w:rFonts w:ascii="Arial" w:eastAsia="Arial" w:hAnsi="Arial" w:cs="Arial"/>
          <w:sz w:val="20"/>
          <w:szCs w:val="20"/>
          <w:lang w:val="es-ES" w:eastAsia="es-ES" w:bidi="es-ES"/>
        </w:rPr>
        <w:t>iii</w:t>
      </w:r>
      <w:proofErr w:type="spellEnd"/>
      <w:r w:rsidRPr="00481619">
        <w:rPr>
          <w:rFonts w:ascii="Arial" w:eastAsia="Arial" w:hAnsi="Arial" w:cs="Arial"/>
          <w:sz w:val="20"/>
          <w:szCs w:val="20"/>
          <w:lang w:val="es-ES" w:eastAsia="es-ES" w:bidi="es-ES"/>
        </w:rPr>
        <w:t>) utilidad cuando el proceso de contratación sea por precios unitarios.</w:t>
      </w:r>
    </w:p>
    <w:p w14:paraId="5110301A" w14:textId="75123773" w:rsidR="00B30A37" w:rsidRDefault="00B30A37" w:rsidP="00501651">
      <w:pPr>
        <w:widowControl w:val="0"/>
        <w:autoSpaceDE w:val="0"/>
        <w:autoSpaceDN w:val="0"/>
        <w:spacing w:after="0" w:line="240" w:lineRule="auto"/>
        <w:rPr>
          <w:rFonts w:ascii="Arial" w:eastAsia="Arial" w:hAnsi="Arial" w:cs="Arial"/>
          <w:b/>
          <w:bCs/>
          <w:sz w:val="22"/>
          <w:lang w:val="es-ES_tradnl"/>
        </w:rPr>
      </w:pPr>
    </w:p>
    <w:p w14:paraId="56E62718" w14:textId="37CA5235" w:rsidR="00B30A37" w:rsidRDefault="00860CA0" w:rsidP="00501651">
      <w:pPr>
        <w:widowControl w:val="0"/>
        <w:autoSpaceDE w:val="0"/>
        <w:autoSpaceDN w:val="0"/>
        <w:spacing w:after="0" w:line="240" w:lineRule="auto"/>
        <w:rPr>
          <w:rFonts w:ascii="Arial" w:eastAsia="Arial" w:hAnsi="Arial" w:cs="Arial"/>
          <w:b/>
          <w:bCs/>
          <w:sz w:val="22"/>
          <w:lang w:val="es-ES_tradnl"/>
        </w:rPr>
      </w:pPr>
      <w:r>
        <w:rPr>
          <w:rFonts w:ascii="Arial" w:eastAsia="Arial" w:hAnsi="Arial" w:cs="Arial"/>
          <w:b/>
          <w:bCs/>
          <w:sz w:val="22"/>
          <w:lang w:val="es-ES_tradnl"/>
        </w:rPr>
        <w:t xml:space="preserve">ANÁLISIS DE PRECIOS UNITARIOS – Documentos tipo – Infraestructura de transporte – Licitación Pública – Alcance </w:t>
      </w:r>
    </w:p>
    <w:p w14:paraId="19728E16" w14:textId="77777777" w:rsidR="00860CA0" w:rsidRPr="00AF3FC8" w:rsidRDefault="00860CA0" w:rsidP="00501651">
      <w:pPr>
        <w:widowControl w:val="0"/>
        <w:autoSpaceDE w:val="0"/>
        <w:autoSpaceDN w:val="0"/>
        <w:spacing w:after="0" w:line="240" w:lineRule="auto"/>
        <w:rPr>
          <w:rFonts w:ascii="Arial" w:eastAsia="Arial" w:hAnsi="Arial" w:cs="Arial"/>
          <w:b/>
          <w:bCs/>
          <w:sz w:val="20"/>
          <w:szCs w:val="20"/>
          <w:lang w:val="es-ES_tradnl"/>
        </w:rPr>
      </w:pPr>
    </w:p>
    <w:p w14:paraId="16EDF95F" w14:textId="77777777" w:rsidR="001C4B6F" w:rsidRDefault="00AF3FC8" w:rsidP="00A0283E">
      <w:pPr>
        <w:widowControl w:val="0"/>
        <w:autoSpaceDE w:val="0"/>
        <w:autoSpaceDN w:val="0"/>
        <w:spacing w:after="0" w:line="240" w:lineRule="auto"/>
      </w:pPr>
      <w:r>
        <w:rPr>
          <w:rFonts w:ascii="Arial" w:eastAsia="Calibri" w:hAnsi="Arial" w:cs="Arial"/>
          <w:sz w:val="20"/>
          <w:szCs w:val="20"/>
          <w:lang w:val="es-ES_tradnl"/>
        </w:rPr>
        <w:t>[…] E</w:t>
      </w:r>
      <w:r w:rsidR="00B30A37" w:rsidRPr="00BF23D9">
        <w:rPr>
          <w:rFonts w:ascii="Arial" w:eastAsia="Calibri" w:hAnsi="Arial" w:cs="Arial"/>
          <w:sz w:val="20"/>
          <w:szCs w:val="20"/>
          <w:lang w:val="es-ES_tradnl"/>
        </w:rPr>
        <w:t>n el Documento Base se establece que aquel análisis publicado por la entidad es únicamente de referencia y constituye una guía para la preparación de la oferta por parte de los interesados. Así, se establece también que, si existe alguna duda o interrogante sobre estos Análisis de Precios Unitarios y el precio de estudios publicados por la entidad, es deber de los proponentes hacerlos</w:t>
      </w:r>
      <w:r w:rsidR="00B30A37" w:rsidRPr="00AF3FC8">
        <w:rPr>
          <w:rFonts w:ascii="Arial" w:eastAsia="Calibri" w:hAnsi="Arial" w:cs="Arial"/>
          <w:sz w:val="20"/>
          <w:szCs w:val="20"/>
          <w:lang w:val="es-ES_tradnl"/>
        </w:rPr>
        <w:t xml:space="preserve"> </w:t>
      </w:r>
      <w:r w:rsidR="00B30A37" w:rsidRPr="00BF23D9">
        <w:rPr>
          <w:rFonts w:ascii="Arial" w:eastAsia="Calibri" w:hAnsi="Arial" w:cs="Arial"/>
          <w:sz w:val="20"/>
          <w:szCs w:val="20"/>
          <w:lang w:val="es-ES_tradnl"/>
        </w:rPr>
        <w:t>conocer dentro del plazo establecido en el Anexo 2 - Cronograma para la presentación de observaciones al proyecto de pliego de condiciones, para que la entidad los pueda estudiar.</w:t>
      </w:r>
      <w:r w:rsidR="00A0283E" w:rsidRPr="00A0283E">
        <w:t xml:space="preserve"> </w:t>
      </w:r>
    </w:p>
    <w:p w14:paraId="58D1F5F1" w14:textId="6C009122" w:rsidR="00A0283E" w:rsidRPr="00A0283E" w:rsidRDefault="001C4B6F" w:rsidP="00A0283E">
      <w:pPr>
        <w:widowControl w:val="0"/>
        <w:autoSpaceDE w:val="0"/>
        <w:autoSpaceDN w:val="0"/>
        <w:spacing w:after="0" w:line="240" w:lineRule="auto"/>
        <w:rPr>
          <w:rFonts w:ascii="Arial" w:eastAsia="Calibri" w:hAnsi="Arial" w:cs="Arial"/>
          <w:sz w:val="20"/>
          <w:szCs w:val="20"/>
          <w:lang w:val="es-ES_tradnl"/>
        </w:rPr>
      </w:pPr>
      <w:r>
        <w:rPr>
          <w:rFonts w:ascii="Arial" w:eastAsia="Calibri" w:hAnsi="Arial" w:cs="Arial"/>
          <w:sz w:val="20"/>
          <w:szCs w:val="20"/>
          <w:lang w:val="es-ES_tradnl"/>
        </w:rPr>
        <w:t>E</w:t>
      </w:r>
      <w:r w:rsidR="00A0283E" w:rsidRPr="00A0283E">
        <w:rPr>
          <w:rFonts w:ascii="Arial" w:eastAsia="Calibri" w:hAnsi="Arial" w:cs="Arial"/>
          <w:sz w:val="20"/>
          <w:szCs w:val="20"/>
          <w:lang w:val="es-ES_tradnl"/>
        </w:rPr>
        <w:t>s en la oferta económica en donde se encontrará reflejado el análisis de precios unitarios hecho por el oferente –hoja número 2 del Formulario 1 de los documentos tipo–, el cual debe ser estructurado con base en el análisis de precios unitarios efectuado por la entidad, que son, en todo caso, según lo contenido en el numeral 4.1 del Documento Base, únicamente de referencia y constituyen una guía para la preparación de la oferta. Con todo, dicho análisis de precios reflejado en la oferta económica presentada por el proponente en el Sobre No. 2, deberá hacerse a partir del debido diligenciamiento del Formulario 1, teniendo en cuenta la configuración de este que haya determinado la entidad estatal.</w:t>
      </w:r>
    </w:p>
    <w:p w14:paraId="21253600" w14:textId="26FB3544" w:rsidR="00B30A37" w:rsidRDefault="00A0283E" w:rsidP="00A0283E">
      <w:pPr>
        <w:widowControl w:val="0"/>
        <w:autoSpaceDE w:val="0"/>
        <w:autoSpaceDN w:val="0"/>
        <w:spacing w:after="0" w:line="240" w:lineRule="auto"/>
        <w:rPr>
          <w:rFonts w:ascii="Arial" w:eastAsia="Calibri" w:hAnsi="Arial" w:cs="Arial"/>
          <w:sz w:val="20"/>
          <w:szCs w:val="20"/>
          <w:lang w:val="es-ES_tradnl"/>
        </w:rPr>
      </w:pPr>
      <w:r w:rsidRPr="00A0283E">
        <w:rPr>
          <w:rFonts w:ascii="Arial" w:eastAsia="Calibri" w:hAnsi="Arial" w:cs="Arial"/>
          <w:sz w:val="20"/>
          <w:szCs w:val="20"/>
          <w:lang w:val="es-ES_tradnl"/>
        </w:rPr>
        <w:t>Distinta es la obligación que se deriva del numeral 8.1 del Documento base, que a efectos del control de la ejecución de la obra establece que el contratista debe presentar al interventor de la obra cierta información, dentro de la cual se encuentra el «análisis de precios unitarios correspondientes a la propuesta económica», es decir, la información que fue objeto de análisis por parte de la entidad para evaluar la propuesta, que corresponde a aquella información contenida en la hoja número 2 del Formulario 1 de los documentos tipo, con fundamento en la cual se elabora la oferta económica.</w:t>
      </w:r>
    </w:p>
    <w:p w14:paraId="607C0E63" w14:textId="77777777" w:rsidR="00C225F4" w:rsidRPr="00AF3FC8" w:rsidRDefault="00C225F4" w:rsidP="00501651">
      <w:pPr>
        <w:widowControl w:val="0"/>
        <w:autoSpaceDE w:val="0"/>
        <w:autoSpaceDN w:val="0"/>
        <w:spacing w:after="0" w:line="240" w:lineRule="auto"/>
        <w:rPr>
          <w:rFonts w:ascii="Arial" w:eastAsia="Arial" w:hAnsi="Arial" w:cs="Arial"/>
          <w:b/>
          <w:bCs/>
          <w:sz w:val="20"/>
          <w:szCs w:val="20"/>
          <w:lang w:val="es-ES_tradnl"/>
        </w:rPr>
      </w:pPr>
    </w:p>
    <w:p w14:paraId="5C57C696" w14:textId="0BBBE2AC" w:rsidR="006E74A5" w:rsidRDefault="001453EF" w:rsidP="007E11A8">
      <w:pPr>
        <w:rPr>
          <w:rFonts w:ascii="Arial" w:eastAsia="Calibri" w:hAnsi="Arial" w:cs="Arial"/>
          <w:sz w:val="22"/>
          <w:lang w:val="es-CO"/>
        </w:rPr>
      </w:pPr>
      <w:r>
        <w:rPr>
          <w:rFonts w:ascii="Arial" w:eastAsia="Calibri" w:hAnsi="Arial" w:cs="Arial"/>
          <w:noProof/>
          <w:sz w:val="20"/>
          <w:szCs w:val="20"/>
          <w:lang w:val="es-ES"/>
        </w:rPr>
        <w:br w:type="page"/>
      </w:r>
      <w:bookmarkEnd w:id="0"/>
      <w:bookmarkEnd w:id="1"/>
    </w:p>
    <w:p w14:paraId="6156B69A" w14:textId="6276D7BC" w:rsidR="006E74A5" w:rsidRDefault="00696E68" w:rsidP="00F176B9">
      <w:pPr>
        <w:spacing w:after="0" w:line="240" w:lineRule="auto"/>
        <w:rPr>
          <w:rFonts w:ascii="Arial" w:eastAsia="Calibri" w:hAnsi="Arial" w:cs="Arial"/>
          <w:b/>
          <w:bCs/>
          <w:sz w:val="22"/>
          <w:lang w:val="es-CO"/>
        </w:rPr>
      </w:pPr>
      <w:r>
        <w:rPr>
          <w:rFonts w:ascii="Arial" w:eastAsia="Calibri" w:hAnsi="Arial" w:cs="Arial"/>
          <w:b/>
          <w:bCs/>
          <w:sz w:val="22"/>
          <w:lang w:val="es-CO"/>
        </w:rPr>
        <w:lastRenderedPageBreak/>
        <w:t>Bogotá D.C., 13 de septiembre de 2022</w:t>
      </w:r>
    </w:p>
    <w:p w14:paraId="043F396B" w14:textId="088A637D" w:rsidR="00696E68" w:rsidRDefault="00696E68" w:rsidP="00F176B9">
      <w:pPr>
        <w:spacing w:after="0" w:line="240" w:lineRule="auto"/>
        <w:rPr>
          <w:rFonts w:ascii="Arial" w:eastAsia="Calibri" w:hAnsi="Arial" w:cs="Arial"/>
          <w:b/>
          <w:bCs/>
          <w:sz w:val="22"/>
          <w:lang w:val="es-CO"/>
        </w:rPr>
      </w:pPr>
    </w:p>
    <w:p w14:paraId="40176CEE" w14:textId="77777777" w:rsidR="00696E68" w:rsidRPr="00696E68" w:rsidRDefault="00696E68" w:rsidP="00F176B9">
      <w:pPr>
        <w:spacing w:after="0" w:line="240" w:lineRule="auto"/>
        <w:rPr>
          <w:rFonts w:ascii="Arial" w:eastAsia="Calibri" w:hAnsi="Arial" w:cs="Arial"/>
          <w:b/>
          <w:bCs/>
          <w:sz w:val="22"/>
          <w:lang w:val="es-CO"/>
        </w:rPr>
      </w:pPr>
    </w:p>
    <w:p w14:paraId="63933AE9" w14:textId="7EB9094F" w:rsidR="0046682E" w:rsidRDefault="003F28EE" w:rsidP="003F28EE">
      <w:pPr>
        <w:spacing w:after="0" w:line="240" w:lineRule="auto"/>
        <w:jc w:val="right"/>
        <w:rPr>
          <w:rFonts w:ascii="Arial" w:eastAsia="Calibri" w:hAnsi="Arial" w:cs="Arial"/>
          <w:sz w:val="22"/>
          <w:lang w:val="es-CO"/>
        </w:rPr>
      </w:pPr>
      <w:r>
        <w:rPr>
          <w:noProof/>
        </w:rPr>
        <w:drawing>
          <wp:inline distT="0" distB="0" distL="0" distR="0" wp14:anchorId="1BA7105D" wp14:editId="732B9294">
            <wp:extent cx="2676525" cy="714375"/>
            <wp:effectExtent l="0" t="0" r="9525" b="952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1"/>
                    <a:stretch>
                      <a:fillRect/>
                    </a:stretch>
                  </pic:blipFill>
                  <pic:spPr>
                    <a:xfrm>
                      <a:off x="0" y="0"/>
                      <a:ext cx="2676525" cy="714375"/>
                    </a:xfrm>
                    <a:prstGeom prst="rect">
                      <a:avLst/>
                    </a:prstGeom>
                  </pic:spPr>
                </pic:pic>
              </a:graphicData>
            </a:graphic>
          </wp:inline>
        </w:drawing>
      </w:r>
    </w:p>
    <w:p w14:paraId="7356EDBE" w14:textId="77777777" w:rsidR="0046682E" w:rsidRDefault="0046682E" w:rsidP="00F176B9">
      <w:pPr>
        <w:spacing w:after="0" w:line="240" w:lineRule="auto"/>
        <w:rPr>
          <w:rFonts w:ascii="Arial" w:eastAsia="Calibri" w:hAnsi="Arial" w:cs="Arial"/>
          <w:sz w:val="22"/>
          <w:lang w:val="es-CO"/>
        </w:rPr>
      </w:pPr>
    </w:p>
    <w:p w14:paraId="3DF7A118" w14:textId="11941F9B" w:rsidR="0046682E" w:rsidRDefault="0046682E" w:rsidP="33DBE69E">
      <w:pPr>
        <w:spacing w:after="0" w:line="240" w:lineRule="auto"/>
        <w:jc w:val="right"/>
        <w:rPr>
          <w:rFonts w:ascii="Arial" w:eastAsia="Calibri" w:hAnsi="Arial" w:cs="Arial"/>
          <w:sz w:val="22"/>
          <w:lang w:val="es-CO"/>
        </w:rPr>
      </w:pPr>
    </w:p>
    <w:p w14:paraId="38FC9810" w14:textId="716C6425" w:rsidR="00AD0985" w:rsidRDefault="00AD0985" w:rsidP="00F176B9">
      <w:pPr>
        <w:spacing w:after="0" w:line="240" w:lineRule="auto"/>
        <w:rPr>
          <w:rFonts w:ascii="Arial" w:eastAsia="Calibri" w:hAnsi="Arial" w:cs="Arial"/>
          <w:sz w:val="22"/>
          <w:lang w:val="es-CO"/>
        </w:rPr>
      </w:pPr>
    </w:p>
    <w:p w14:paraId="664ADC1F" w14:textId="77777777" w:rsidR="00AD0985" w:rsidRDefault="00AD0985" w:rsidP="00F176B9">
      <w:pPr>
        <w:spacing w:after="0" w:line="240" w:lineRule="auto"/>
        <w:rPr>
          <w:rFonts w:ascii="Arial" w:eastAsia="Calibri" w:hAnsi="Arial" w:cs="Arial"/>
          <w:sz w:val="22"/>
          <w:lang w:val="es-CO"/>
        </w:rPr>
      </w:pPr>
    </w:p>
    <w:p w14:paraId="6A81B1B9" w14:textId="4010D8B7" w:rsidR="00303D47" w:rsidRPr="00F176B9" w:rsidRDefault="004653E7" w:rsidP="00F176B9">
      <w:pPr>
        <w:spacing w:after="0" w:line="240" w:lineRule="auto"/>
        <w:rPr>
          <w:rFonts w:ascii="Arial" w:eastAsia="Calibri" w:hAnsi="Arial" w:cs="Arial"/>
          <w:sz w:val="22"/>
          <w:lang w:val="es-CO"/>
        </w:rPr>
      </w:pPr>
      <w:r w:rsidRPr="00F176B9">
        <w:rPr>
          <w:rFonts w:ascii="Arial" w:eastAsia="Calibri" w:hAnsi="Arial" w:cs="Arial"/>
          <w:sz w:val="22"/>
          <w:lang w:val="es-CO"/>
        </w:rPr>
        <w:t>Señor</w:t>
      </w:r>
    </w:p>
    <w:p w14:paraId="38F5C0DE" w14:textId="2508F589" w:rsidR="004653E7" w:rsidRPr="00F176B9" w:rsidRDefault="005D3E2F" w:rsidP="00F176B9">
      <w:pPr>
        <w:spacing w:after="0" w:line="240" w:lineRule="auto"/>
        <w:rPr>
          <w:rFonts w:ascii="Arial" w:eastAsia="Calibri" w:hAnsi="Arial" w:cs="Arial"/>
          <w:b/>
          <w:sz w:val="22"/>
          <w:lang w:val="es-CO"/>
        </w:rPr>
      </w:pPr>
      <w:r>
        <w:rPr>
          <w:rFonts w:ascii="Arial" w:eastAsia="Calibri" w:hAnsi="Arial" w:cs="Arial"/>
          <w:b/>
          <w:sz w:val="22"/>
          <w:lang w:val="es-CO"/>
        </w:rPr>
        <w:t>Carlos Pascual Neira Rivera</w:t>
      </w:r>
    </w:p>
    <w:p w14:paraId="72352372" w14:textId="7615F16C" w:rsidR="00303D47" w:rsidRDefault="00A972D0" w:rsidP="00F176B9">
      <w:pPr>
        <w:spacing w:after="0" w:line="240" w:lineRule="auto"/>
        <w:rPr>
          <w:rFonts w:ascii="Arial" w:eastAsia="Calibri" w:hAnsi="Arial" w:cs="Arial"/>
          <w:sz w:val="22"/>
          <w:lang w:val="es-CO"/>
        </w:rPr>
      </w:pPr>
      <w:r>
        <w:rPr>
          <w:rFonts w:ascii="Arial" w:eastAsia="Calibri" w:hAnsi="Arial" w:cs="Arial"/>
          <w:sz w:val="22"/>
          <w:lang w:val="es-CO"/>
        </w:rPr>
        <w:t>B</w:t>
      </w:r>
      <w:r w:rsidR="005D3E2F">
        <w:rPr>
          <w:rFonts w:ascii="Arial" w:eastAsia="Calibri" w:hAnsi="Arial" w:cs="Arial"/>
          <w:sz w:val="22"/>
          <w:lang w:val="es-CO"/>
        </w:rPr>
        <w:t xml:space="preserve">ogotá </w:t>
      </w:r>
    </w:p>
    <w:p w14:paraId="42DBA1FD" w14:textId="77777777" w:rsidR="005D3E2F" w:rsidRPr="00F176B9" w:rsidRDefault="005D3E2F" w:rsidP="00F176B9">
      <w:pPr>
        <w:spacing w:after="0" w:line="240" w:lineRule="auto"/>
        <w:rPr>
          <w:rFonts w:ascii="Arial" w:eastAsia="Calibri" w:hAnsi="Arial" w:cs="Arial"/>
          <w:sz w:val="22"/>
          <w:lang w:val="es-CO"/>
        </w:rPr>
      </w:pPr>
    </w:p>
    <w:p w14:paraId="20C73A65" w14:textId="77777777" w:rsidR="002B72C0" w:rsidRPr="00F176B9" w:rsidRDefault="002B72C0" w:rsidP="00F176B9">
      <w:pPr>
        <w:spacing w:after="0" w:line="240" w:lineRule="auto"/>
        <w:rPr>
          <w:rFonts w:ascii="Arial" w:eastAsia="Calibri" w:hAnsi="Arial" w:cs="Arial"/>
          <w:sz w:val="22"/>
          <w:lang w:val="es-CO"/>
        </w:rPr>
      </w:pPr>
    </w:p>
    <w:p w14:paraId="6316E3D6" w14:textId="425B9EE1" w:rsidR="00FE0395" w:rsidRPr="00F176B9" w:rsidRDefault="00904CD9" w:rsidP="00F176B9">
      <w:pPr>
        <w:spacing w:after="0" w:line="240" w:lineRule="auto"/>
        <w:rPr>
          <w:rFonts w:ascii="Arial" w:hAnsi="Arial" w:cs="Arial"/>
          <w:sz w:val="22"/>
          <w:lang w:val="es-CO"/>
        </w:rPr>
      </w:pPr>
      <w:r w:rsidRPr="00F176B9">
        <w:rPr>
          <w:rFonts w:ascii="Arial" w:eastAsia="Calibri" w:hAnsi="Arial" w:cs="Arial"/>
          <w:sz w:val="22"/>
          <w:lang w:val="es-CO"/>
        </w:rPr>
        <w:t xml:space="preserve">                                            </w:t>
      </w:r>
      <w:r w:rsidRPr="00F176B9">
        <w:rPr>
          <w:rFonts w:ascii="Arial" w:eastAsia="Calibri" w:hAnsi="Arial" w:cs="Arial"/>
          <w:b/>
          <w:sz w:val="22"/>
          <w:lang w:val="es-CO"/>
        </w:rPr>
        <w:t>Concepto C –</w:t>
      </w:r>
      <w:r w:rsidR="000E190F" w:rsidRPr="00F176B9">
        <w:rPr>
          <w:rFonts w:ascii="Arial" w:eastAsia="Calibri" w:hAnsi="Arial" w:cs="Arial"/>
          <w:b/>
          <w:sz w:val="22"/>
          <w:lang w:val="es-CO"/>
        </w:rPr>
        <w:t xml:space="preserve"> </w:t>
      </w:r>
      <w:r w:rsidR="005D3E2F">
        <w:rPr>
          <w:rFonts w:ascii="Arial" w:eastAsia="Calibri" w:hAnsi="Arial" w:cs="Arial"/>
          <w:b/>
          <w:sz w:val="22"/>
          <w:lang w:val="es-CO"/>
        </w:rPr>
        <w:t>593</w:t>
      </w:r>
      <w:r w:rsidR="00F63738">
        <w:rPr>
          <w:rFonts w:ascii="Arial" w:eastAsia="Calibri" w:hAnsi="Arial" w:cs="Arial"/>
          <w:b/>
          <w:sz w:val="22"/>
          <w:lang w:val="es-CO"/>
        </w:rPr>
        <w:t xml:space="preserve"> </w:t>
      </w:r>
      <w:r w:rsidR="00285D82" w:rsidRPr="00F176B9">
        <w:rPr>
          <w:rFonts w:ascii="Arial" w:eastAsia="Calibri" w:hAnsi="Arial" w:cs="Arial"/>
          <w:b/>
          <w:sz w:val="22"/>
          <w:lang w:val="es-CO"/>
        </w:rPr>
        <w:t>de 202</w:t>
      </w:r>
      <w:r w:rsidR="001640BC" w:rsidRPr="00F176B9">
        <w:rPr>
          <w:rFonts w:ascii="Arial" w:eastAsia="Calibri" w:hAnsi="Arial" w:cs="Arial"/>
          <w:b/>
          <w:sz w:val="22"/>
          <w:lang w:val="es-CO"/>
        </w:rPr>
        <w:t>2</w:t>
      </w:r>
      <w:r w:rsidR="00B346CC" w:rsidRPr="00F176B9">
        <w:rPr>
          <w:rFonts w:ascii="Arial" w:hAnsi="Arial" w:cs="Arial"/>
          <w:sz w:val="22"/>
          <w:lang w:val="es-CO"/>
        </w:rPr>
        <w:t xml:space="preserve"> </w:t>
      </w:r>
    </w:p>
    <w:p w14:paraId="4736A594" w14:textId="77777777" w:rsidR="00303D47" w:rsidRPr="00F176B9" w:rsidRDefault="00303D47" w:rsidP="00F176B9">
      <w:pPr>
        <w:spacing w:after="0" w:line="240" w:lineRule="auto"/>
        <w:rPr>
          <w:rFonts w:ascii="Arial" w:eastAsia="Calibri" w:hAnsi="Arial" w:cs="Arial"/>
          <w:b/>
          <w:sz w:val="22"/>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176B9" w:rsidRPr="00F176B9" w14:paraId="1701BC3D" w14:textId="77777777" w:rsidTr="000641BE">
        <w:trPr>
          <w:trHeight w:val="485"/>
        </w:trPr>
        <w:tc>
          <w:tcPr>
            <w:tcW w:w="2689" w:type="dxa"/>
            <w:hideMark/>
          </w:tcPr>
          <w:p w14:paraId="69F7D7B9" w14:textId="77777777" w:rsidR="00714833" w:rsidRPr="00F176B9" w:rsidRDefault="00714833" w:rsidP="00F176B9">
            <w:pPr>
              <w:contextualSpacing/>
              <w:rPr>
                <w:rFonts w:ascii="Arial" w:eastAsia="Calibri" w:hAnsi="Arial" w:cs="Arial"/>
                <w:noProof/>
                <w:sz w:val="22"/>
                <w:lang w:val="es-ES_tradnl"/>
              </w:rPr>
            </w:pPr>
            <w:r w:rsidRPr="00F176B9">
              <w:rPr>
                <w:rFonts w:ascii="Arial" w:eastAsia="Calibri" w:hAnsi="Arial" w:cs="Arial"/>
                <w:b/>
                <w:noProof/>
                <w:sz w:val="22"/>
                <w:lang w:val="es-ES_tradnl"/>
              </w:rPr>
              <w:t>Temas:</w:t>
            </w:r>
            <w:r w:rsidRPr="00F176B9">
              <w:rPr>
                <w:rFonts w:ascii="Arial" w:eastAsia="Calibri" w:hAnsi="Arial" w:cs="Arial"/>
                <w:noProof/>
                <w:sz w:val="22"/>
                <w:lang w:val="es-ES_tradnl"/>
              </w:rPr>
              <w:t xml:space="preserve">        </w:t>
            </w:r>
          </w:p>
        </w:tc>
        <w:tc>
          <w:tcPr>
            <w:tcW w:w="6237" w:type="dxa"/>
            <w:hideMark/>
          </w:tcPr>
          <w:p w14:paraId="6A77440D" w14:textId="1257AC2F" w:rsidR="00AC1839" w:rsidRPr="00AF3FC8" w:rsidRDefault="00002DB1" w:rsidP="003B2F5C">
            <w:pPr>
              <w:widowControl w:val="0"/>
              <w:autoSpaceDE w:val="0"/>
              <w:autoSpaceDN w:val="0"/>
              <w:spacing w:line="276" w:lineRule="auto"/>
              <w:rPr>
                <w:rFonts w:ascii="Arial" w:eastAsia="Arial" w:hAnsi="Arial" w:cs="Arial"/>
                <w:bCs/>
                <w:sz w:val="22"/>
                <w:lang w:val="es-ES_tradnl"/>
              </w:rPr>
            </w:pPr>
            <w:r w:rsidRPr="00AF3FC8">
              <w:rPr>
                <w:rFonts w:ascii="Arial" w:eastAsia="Calibri" w:hAnsi="Arial" w:cs="Arial"/>
                <w:bCs/>
                <w:sz w:val="22"/>
                <w:lang w:val="es-ES_tradnl"/>
              </w:rPr>
              <w:t xml:space="preserve">FORMULARIO 1 – Formulario de presupuesto oficial / </w:t>
            </w:r>
            <w:r w:rsidR="00AF3FC8" w:rsidRPr="00AF3FC8">
              <w:rPr>
                <w:rFonts w:ascii="Arial" w:eastAsia="Arial" w:hAnsi="Arial" w:cs="Arial"/>
                <w:bCs/>
                <w:sz w:val="22"/>
                <w:lang w:val="es-ES_tradnl"/>
              </w:rPr>
              <w:t>ANÁLISIS DE PRECIOS UNITARIOS – Documentos tipo – Infraestructura de transporte – Licitación Pública – Alcance /</w:t>
            </w:r>
          </w:p>
          <w:p w14:paraId="641BBBD5" w14:textId="7C7AA2BA" w:rsidR="00714833" w:rsidRPr="00AF3FC8" w:rsidRDefault="00714833" w:rsidP="003B2F5C">
            <w:pPr>
              <w:spacing w:after="120" w:line="276" w:lineRule="auto"/>
              <w:rPr>
                <w:rFonts w:ascii="Arial" w:eastAsia="Calibri" w:hAnsi="Arial" w:cs="Arial"/>
                <w:bCs/>
                <w:sz w:val="22"/>
              </w:rPr>
            </w:pPr>
          </w:p>
        </w:tc>
      </w:tr>
      <w:tr w:rsidR="00B66D78" w:rsidRPr="00F176B9" w14:paraId="4074FCE6" w14:textId="77777777" w:rsidTr="000641BE">
        <w:tc>
          <w:tcPr>
            <w:tcW w:w="2689" w:type="dxa"/>
          </w:tcPr>
          <w:p w14:paraId="389F2C2E" w14:textId="77777777" w:rsidR="00FE0395" w:rsidRPr="00F176B9" w:rsidRDefault="00FE0395" w:rsidP="00F176B9">
            <w:pPr>
              <w:contextualSpacing/>
              <w:rPr>
                <w:rFonts w:ascii="Arial" w:eastAsia="Calibri" w:hAnsi="Arial" w:cs="Arial"/>
                <w:b/>
                <w:noProof/>
                <w:sz w:val="22"/>
                <w:lang w:val="es-ES_tradnl"/>
              </w:rPr>
            </w:pPr>
            <w:r w:rsidRPr="00F176B9">
              <w:rPr>
                <w:rFonts w:ascii="Arial" w:eastAsia="Calibri" w:hAnsi="Arial" w:cs="Arial"/>
                <w:b/>
                <w:noProof/>
                <w:sz w:val="22"/>
                <w:lang w:val="es-ES_tradnl"/>
              </w:rPr>
              <w:t>Radicación:</w:t>
            </w:r>
            <w:r w:rsidRPr="00F176B9">
              <w:rPr>
                <w:rFonts w:ascii="Arial" w:eastAsia="Calibri" w:hAnsi="Arial" w:cs="Arial"/>
                <w:noProof/>
                <w:sz w:val="22"/>
                <w:lang w:val="es-ES_tradnl"/>
              </w:rPr>
              <w:t xml:space="preserve">                              </w:t>
            </w:r>
          </w:p>
        </w:tc>
        <w:tc>
          <w:tcPr>
            <w:tcW w:w="6237" w:type="dxa"/>
          </w:tcPr>
          <w:p w14:paraId="290F0664" w14:textId="3AE5C7CB" w:rsidR="00FE0395" w:rsidRPr="00F176B9" w:rsidRDefault="00FE0395" w:rsidP="003B2F5C">
            <w:pPr>
              <w:spacing w:line="276" w:lineRule="auto"/>
              <w:contextualSpacing/>
              <w:jc w:val="both"/>
              <w:rPr>
                <w:rFonts w:ascii="Arial" w:eastAsia="Calibri" w:hAnsi="Arial" w:cs="Arial"/>
                <w:noProof/>
                <w:sz w:val="22"/>
                <w:lang w:val="es-ES_tradnl"/>
              </w:rPr>
            </w:pPr>
            <w:r w:rsidRPr="00F176B9">
              <w:rPr>
                <w:rFonts w:ascii="Arial" w:eastAsia="Calibri" w:hAnsi="Arial" w:cs="Arial"/>
                <w:noProof/>
                <w:sz w:val="22"/>
                <w:lang w:val="es-ES_tradnl"/>
              </w:rPr>
              <w:t xml:space="preserve">Respuesta a consulta </w:t>
            </w:r>
            <w:r w:rsidR="004653E7" w:rsidRPr="00F176B9">
              <w:rPr>
                <w:rFonts w:ascii="Arial" w:eastAsia="Calibri" w:hAnsi="Arial" w:cs="Arial"/>
                <w:noProof/>
                <w:sz w:val="22"/>
                <w:lang w:val="es-ES_tradnl"/>
              </w:rPr>
              <w:t>P2022</w:t>
            </w:r>
            <w:r w:rsidR="0041386A">
              <w:rPr>
                <w:rFonts w:ascii="Arial" w:eastAsia="Calibri" w:hAnsi="Arial" w:cs="Arial"/>
                <w:noProof/>
                <w:sz w:val="22"/>
                <w:lang w:val="es-ES_tradnl"/>
              </w:rPr>
              <w:t>0</w:t>
            </w:r>
            <w:r w:rsidR="005D3E2F">
              <w:rPr>
                <w:rFonts w:ascii="Arial" w:eastAsia="Calibri" w:hAnsi="Arial" w:cs="Arial"/>
                <w:noProof/>
                <w:sz w:val="22"/>
                <w:lang w:val="es-ES_tradnl"/>
              </w:rPr>
              <w:t>808007797</w:t>
            </w:r>
          </w:p>
        </w:tc>
      </w:tr>
    </w:tbl>
    <w:p w14:paraId="0CB3D4D0" w14:textId="77777777" w:rsidR="00FE0395" w:rsidRPr="00F176B9" w:rsidRDefault="00FE0395" w:rsidP="00F176B9">
      <w:pPr>
        <w:spacing w:after="0" w:line="240" w:lineRule="auto"/>
        <w:rPr>
          <w:rFonts w:ascii="Arial" w:eastAsia="Calibri" w:hAnsi="Arial" w:cs="Arial"/>
          <w:sz w:val="22"/>
          <w:lang w:val="es-CO"/>
        </w:rPr>
      </w:pPr>
    </w:p>
    <w:p w14:paraId="3C6248D2" w14:textId="77777777" w:rsidR="00F246FE" w:rsidRPr="00F176B9" w:rsidRDefault="00F246FE" w:rsidP="00F176B9">
      <w:pPr>
        <w:spacing w:after="0" w:line="240" w:lineRule="auto"/>
        <w:rPr>
          <w:rFonts w:ascii="Arial" w:eastAsia="Calibri" w:hAnsi="Arial" w:cs="Arial"/>
          <w:sz w:val="22"/>
          <w:lang w:val="es-CO"/>
        </w:rPr>
      </w:pPr>
    </w:p>
    <w:p w14:paraId="0ADE9D41" w14:textId="1ED8BC55" w:rsidR="00990612" w:rsidRPr="00F176B9" w:rsidRDefault="00990612" w:rsidP="00F176B9">
      <w:pPr>
        <w:spacing w:after="0"/>
        <w:rPr>
          <w:rFonts w:ascii="Arial" w:eastAsia="Calibri" w:hAnsi="Arial" w:cs="Arial"/>
          <w:sz w:val="22"/>
          <w:lang w:val="es-CO"/>
        </w:rPr>
      </w:pPr>
      <w:r w:rsidRPr="00F176B9">
        <w:rPr>
          <w:rFonts w:ascii="Arial" w:eastAsia="Calibri" w:hAnsi="Arial" w:cs="Arial"/>
          <w:sz w:val="22"/>
          <w:lang w:val="es-CO"/>
        </w:rPr>
        <w:t>Estimad</w:t>
      </w:r>
      <w:r w:rsidR="001260C4">
        <w:rPr>
          <w:rFonts w:ascii="Arial" w:eastAsia="Calibri" w:hAnsi="Arial" w:cs="Arial"/>
          <w:sz w:val="22"/>
          <w:lang w:val="es-CO"/>
        </w:rPr>
        <w:t>o</w:t>
      </w:r>
      <w:r w:rsidR="009D7290" w:rsidRPr="00F176B9">
        <w:rPr>
          <w:rFonts w:ascii="Arial" w:eastAsia="Calibri" w:hAnsi="Arial" w:cs="Arial"/>
          <w:sz w:val="22"/>
          <w:lang w:val="es-CO"/>
        </w:rPr>
        <w:t xml:space="preserve"> </w:t>
      </w:r>
      <w:r w:rsidR="004653E7" w:rsidRPr="00F176B9">
        <w:rPr>
          <w:rFonts w:ascii="Arial" w:eastAsia="Calibri" w:hAnsi="Arial" w:cs="Arial"/>
          <w:sz w:val="22"/>
          <w:lang w:val="es-CO"/>
        </w:rPr>
        <w:t>señor</w:t>
      </w:r>
      <w:r w:rsidR="001640BC" w:rsidRPr="00F176B9">
        <w:rPr>
          <w:rFonts w:ascii="Arial" w:eastAsia="Calibri" w:hAnsi="Arial" w:cs="Arial"/>
          <w:sz w:val="22"/>
          <w:lang w:val="es-CO"/>
        </w:rPr>
        <w:t xml:space="preserve"> </w:t>
      </w:r>
      <w:r w:rsidR="005D3E2F">
        <w:rPr>
          <w:rFonts w:ascii="Arial" w:eastAsia="Calibri" w:hAnsi="Arial" w:cs="Arial"/>
          <w:sz w:val="22"/>
          <w:lang w:val="es-CO"/>
        </w:rPr>
        <w:t xml:space="preserve">Neira: </w:t>
      </w:r>
    </w:p>
    <w:p w14:paraId="19436ABB" w14:textId="77777777" w:rsidR="00990612" w:rsidRPr="00F176B9" w:rsidRDefault="00990612" w:rsidP="00F176B9">
      <w:pPr>
        <w:spacing w:after="0"/>
        <w:ind w:firstLine="709"/>
        <w:rPr>
          <w:rFonts w:ascii="Arial" w:eastAsia="Calibri" w:hAnsi="Arial" w:cs="Arial"/>
          <w:sz w:val="22"/>
          <w:lang w:val="es-CO"/>
        </w:rPr>
      </w:pPr>
    </w:p>
    <w:p w14:paraId="4A62508A" w14:textId="733A2276" w:rsidR="00990612" w:rsidRPr="00F176B9" w:rsidRDefault="00990612" w:rsidP="00F176B9">
      <w:pPr>
        <w:spacing w:after="0"/>
        <w:ind w:right="51"/>
        <w:rPr>
          <w:rFonts w:ascii="Arial" w:eastAsia="Calibri" w:hAnsi="Arial" w:cs="Arial"/>
          <w:sz w:val="22"/>
          <w:lang w:val="es-CO"/>
        </w:rPr>
      </w:pPr>
      <w:r w:rsidRPr="00F176B9">
        <w:rPr>
          <w:rFonts w:ascii="Arial" w:eastAsia="Calibri" w:hAnsi="Arial" w:cs="Arial"/>
          <w:sz w:val="22"/>
          <w:lang w:val="es-CO"/>
        </w:rPr>
        <w:t>En ejercicio de la competencia otorgada por el numeral 8 del artículo 11 y el numeral 5 del artículo 3 del Decreto Ley 4170 de 2011, la Agencia Nacional de Contratación Pública – Colombia Compra Eficiente</w:t>
      </w:r>
      <w:r w:rsidR="00E7503A" w:rsidRPr="00F176B9">
        <w:rPr>
          <w:rFonts w:ascii="Arial" w:eastAsia="Calibri" w:hAnsi="Arial" w:cs="Arial"/>
          <w:sz w:val="22"/>
          <w:lang w:val="es-CO"/>
        </w:rPr>
        <w:t xml:space="preserve"> responde</w:t>
      </w:r>
      <w:r w:rsidRPr="00F176B9">
        <w:rPr>
          <w:rFonts w:ascii="Arial" w:eastAsia="Calibri" w:hAnsi="Arial" w:cs="Arial"/>
          <w:sz w:val="22"/>
          <w:lang w:val="es-CO"/>
        </w:rPr>
        <w:t xml:space="preserve"> la consulta </w:t>
      </w:r>
      <w:r w:rsidR="00FE65B4" w:rsidRPr="00F176B9">
        <w:rPr>
          <w:rFonts w:ascii="Arial" w:eastAsia="Calibri" w:hAnsi="Arial" w:cs="Arial"/>
          <w:sz w:val="22"/>
          <w:lang w:val="es-CO"/>
        </w:rPr>
        <w:t xml:space="preserve">radicada </w:t>
      </w:r>
      <w:r w:rsidR="005D3E2F">
        <w:rPr>
          <w:rFonts w:ascii="Arial" w:eastAsia="Calibri" w:hAnsi="Arial" w:cs="Arial"/>
          <w:sz w:val="22"/>
          <w:lang w:val="es-CO"/>
        </w:rPr>
        <w:t>el 8 de agosto</w:t>
      </w:r>
      <w:r w:rsidR="00E3568A" w:rsidRPr="00F176B9">
        <w:rPr>
          <w:rFonts w:ascii="Arial" w:eastAsia="Calibri" w:hAnsi="Arial" w:cs="Arial"/>
          <w:sz w:val="22"/>
          <w:lang w:val="es-CO"/>
        </w:rPr>
        <w:t xml:space="preserve"> </w:t>
      </w:r>
      <w:r w:rsidRPr="00F176B9">
        <w:rPr>
          <w:rFonts w:ascii="Arial" w:eastAsia="Calibri" w:hAnsi="Arial" w:cs="Arial"/>
          <w:sz w:val="22"/>
          <w:lang w:val="es-CO"/>
        </w:rPr>
        <w:t>de 202</w:t>
      </w:r>
      <w:r w:rsidR="004653E7" w:rsidRPr="00F176B9">
        <w:rPr>
          <w:rFonts w:ascii="Arial" w:eastAsia="Calibri" w:hAnsi="Arial" w:cs="Arial"/>
          <w:sz w:val="22"/>
          <w:lang w:val="es-CO"/>
        </w:rPr>
        <w:t>2</w:t>
      </w:r>
      <w:r w:rsidRPr="00F176B9">
        <w:rPr>
          <w:rFonts w:ascii="Arial" w:eastAsia="Calibri" w:hAnsi="Arial" w:cs="Arial"/>
          <w:sz w:val="22"/>
          <w:lang w:val="es-CO"/>
        </w:rPr>
        <w:t xml:space="preserve">. </w:t>
      </w:r>
    </w:p>
    <w:p w14:paraId="6512D341" w14:textId="77777777" w:rsidR="00303D47" w:rsidRPr="00F176B9" w:rsidRDefault="00303D47" w:rsidP="00F176B9">
      <w:pPr>
        <w:spacing w:after="0"/>
        <w:rPr>
          <w:rFonts w:ascii="Arial" w:eastAsia="Calibri" w:hAnsi="Arial" w:cs="Arial"/>
          <w:sz w:val="22"/>
          <w:lang w:val="es-CO"/>
        </w:rPr>
      </w:pPr>
    </w:p>
    <w:p w14:paraId="3B0D1063" w14:textId="33CFB035" w:rsidR="005A114C" w:rsidRPr="00F176B9" w:rsidRDefault="002B72C0" w:rsidP="00F176B9">
      <w:pPr>
        <w:tabs>
          <w:tab w:val="left" w:pos="284"/>
        </w:tabs>
        <w:spacing w:after="0"/>
        <w:rPr>
          <w:rFonts w:ascii="Arial" w:eastAsia="Calibri" w:hAnsi="Arial" w:cs="Arial"/>
          <w:b/>
          <w:sz w:val="22"/>
          <w:lang w:val="es-CO"/>
        </w:rPr>
      </w:pPr>
      <w:r w:rsidRPr="00F176B9">
        <w:rPr>
          <w:rFonts w:ascii="Arial" w:eastAsia="Calibri" w:hAnsi="Arial" w:cs="Arial"/>
          <w:b/>
          <w:sz w:val="22"/>
          <w:lang w:val="es-CO"/>
        </w:rPr>
        <w:t xml:space="preserve">1. </w:t>
      </w:r>
      <w:r w:rsidR="00990612" w:rsidRPr="00F176B9">
        <w:rPr>
          <w:rFonts w:ascii="Arial" w:eastAsia="Calibri" w:hAnsi="Arial" w:cs="Arial"/>
          <w:b/>
          <w:sz w:val="22"/>
          <w:lang w:val="es-CO"/>
        </w:rPr>
        <w:t xml:space="preserve">Problema planteado </w:t>
      </w:r>
    </w:p>
    <w:p w14:paraId="2FBDB7F6" w14:textId="77777777" w:rsidR="005A114C" w:rsidRPr="00645C55" w:rsidRDefault="005A114C" w:rsidP="00B34D92">
      <w:pPr>
        <w:pStyle w:val="Prrafodelista"/>
        <w:tabs>
          <w:tab w:val="left" w:pos="284"/>
        </w:tabs>
        <w:spacing w:after="0"/>
        <w:ind w:left="0" w:firstLine="709"/>
        <w:rPr>
          <w:rFonts w:ascii="Arial" w:eastAsia="Calibri" w:hAnsi="Arial" w:cs="Arial"/>
          <w:b/>
          <w:sz w:val="22"/>
          <w:lang w:val="es-CO"/>
        </w:rPr>
      </w:pPr>
    </w:p>
    <w:p w14:paraId="3E9FF470" w14:textId="134D4A74" w:rsidR="005D3E2F" w:rsidRDefault="004653E7" w:rsidP="0003550A">
      <w:pPr>
        <w:autoSpaceDE w:val="0"/>
        <w:autoSpaceDN w:val="0"/>
        <w:adjustRightInd w:val="0"/>
        <w:spacing w:after="0"/>
        <w:rPr>
          <w:rFonts w:ascii="Arial" w:hAnsi="Arial" w:cs="Arial"/>
          <w:sz w:val="22"/>
          <w:shd w:val="clear" w:color="auto" w:fill="FFFFFF"/>
        </w:rPr>
      </w:pPr>
      <w:bookmarkStart w:id="2" w:name="_Hlk58917991"/>
      <w:bookmarkStart w:id="3" w:name="_Hlk56103000"/>
      <w:r w:rsidRPr="00B34D92">
        <w:rPr>
          <w:rFonts w:ascii="Arial" w:hAnsi="Arial" w:cs="Arial"/>
          <w:sz w:val="22"/>
        </w:rPr>
        <w:t xml:space="preserve">Usted realiza </w:t>
      </w:r>
      <w:r w:rsidR="00C67716" w:rsidRPr="00B34D92">
        <w:rPr>
          <w:rFonts w:ascii="Arial" w:hAnsi="Arial" w:cs="Arial"/>
          <w:sz w:val="22"/>
        </w:rPr>
        <w:t xml:space="preserve">la siguiente </w:t>
      </w:r>
      <w:r w:rsidRPr="00B34D92">
        <w:rPr>
          <w:rFonts w:ascii="Arial" w:hAnsi="Arial" w:cs="Arial"/>
          <w:sz w:val="22"/>
        </w:rPr>
        <w:t>consulta</w:t>
      </w:r>
      <w:r w:rsidR="0056204C" w:rsidRPr="00B34D92">
        <w:rPr>
          <w:rFonts w:ascii="Arial" w:hAnsi="Arial" w:cs="Arial"/>
          <w:sz w:val="22"/>
        </w:rPr>
        <w:t>, en rel</w:t>
      </w:r>
      <w:r w:rsidR="00A27D41" w:rsidRPr="00B34D92">
        <w:rPr>
          <w:rFonts w:ascii="Arial" w:hAnsi="Arial" w:cs="Arial"/>
          <w:sz w:val="22"/>
        </w:rPr>
        <w:t>a</w:t>
      </w:r>
      <w:r w:rsidR="0056204C" w:rsidRPr="00B34D92">
        <w:rPr>
          <w:rFonts w:ascii="Arial" w:hAnsi="Arial" w:cs="Arial"/>
          <w:sz w:val="22"/>
        </w:rPr>
        <w:t xml:space="preserve">ción con </w:t>
      </w:r>
      <w:r w:rsidR="005D3E2F">
        <w:rPr>
          <w:rFonts w:ascii="Arial" w:hAnsi="Arial" w:cs="Arial"/>
          <w:sz w:val="22"/>
        </w:rPr>
        <w:t>el sobre 2 de la oferta económica, en los documentos tipo</w:t>
      </w:r>
      <w:r w:rsidR="00BE0B45" w:rsidRPr="00B34D92">
        <w:rPr>
          <w:rFonts w:ascii="Arial" w:hAnsi="Arial" w:cs="Arial"/>
          <w:sz w:val="22"/>
        </w:rPr>
        <w:t xml:space="preserve"> de licitación de obra pública de infraestructura de transporte – Versión 3</w:t>
      </w:r>
      <w:r w:rsidR="008C710C" w:rsidRPr="00B34D92">
        <w:rPr>
          <w:rFonts w:ascii="Arial" w:hAnsi="Arial" w:cs="Arial"/>
          <w:sz w:val="22"/>
          <w:shd w:val="clear" w:color="auto" w:fill="FFFFFF"/>
        </w:rPr>
        <w:t xml:space="preserve">: </w:t>
      </w:r>
    </w:p>
    <w:p w14:paraId="172E0A5A" w14:textId="77777777" w:rsidR="00DE7D1A" w:rsidRDefault="00DE7D1A" w:rsidP="005D3E2F">
      <w:pPr>
        <w:autoSpaceDE w:val="0"/>
        <w:autoSpaceDN w:val="0"/>
        <w:adjustRightInd w:val="0"/>
        <w:spacing w:after="0"/>
        <w:rPr>
          <w:rFonts w:ascii="Arial" w:hAnsi="Arial" w:cs="Arial"/>
          <w:sz w:val="22"/>
          <w:shd w:val="clear" w:color="auto" w:fill="FFFFFF"/>
        </w:rPr>
      </w:pPr>
    </w:p>
    <w:p w14:paraId="6639328B" w14:textId="70A55F7E" w:rsidR="00714833" w:rsidRPr="00DE7D1A" w:rsidRDefault="008C710C" w:rsidP="00DE7D1A">
      <w:pPr>
        <w:autoSpaceDE w:val="0"/>
        <w:autoSpaceDN w:val="0"/>
        <w:adjustRightInd w:val="0"/>
        <w:spacing w:after="0" w:line="240" w:lineRule="auto"/>
        <w:ind w:left="709" w:right="709"/>
        <w:rPr>
          <w:rFonts w:ascii="Arial" w:hAnsi="Arial" w:cs="Arial"/>
          <w:sz w:val="21"/>
          <w:szCs w:val="21"/>
          <w:shd w:val="clear" w:color="auto" w:fill="FFFFFF"/>
        </w:rPr>
      </w:pPr>
      <w:r w:rsidRPr="00DE7D1A">
        <w:rPr>
          <w:rFonts w:ascii="Arial" w:hAnsi="Arial" w:cs="Arial"/>
          <w:sz w:val="21"/>
          <w:szCs w:val="21"/>
          <w:shd w:val="clear" w:color="auto" w:fill="FFFFFF"/>
        </w:rPr>
        <w:lastRenderedPageBreak/>
        <w:t>«</w:t>
      </w:r>
      <w:r w:rsidR="005D3E2F" w:rsidRPr="00DE7D1A">
        <w:rPr>
          <w:rFonts w:ascii="Arial" w:hAnsi="Arial" w:cs="Arial"/>
          <w:sz w:val="21"/>
          <w:szCs w:val="21"/>
          <w:shd w:val="clear" w:color="auto" w:fill="FFFFFF"/>
        </w:rPr>
        <w:t xml:space="preserve">[…] aclarar si dentro del Sobre 2 de la oferta Económica, como oferentes debemos aportar anexos como los Análisis de precios Unitarios (APU) dentro de la oferta económica, en proyectos de Licitación de Obra Pública de Infraestructura de Transporte o si dichos APU se le solicitarán solo al oferente adjudicatario. Lo anterior dado que en el proceso de Selección No. OCA LP009-2022 del Municipio de Acacias (CONSTRUCCIÓN DE PLACAHUELLAS EN DIFERENTES SECTORES DE LAS VÍAS QUE PERTENECEN A LA VEREDA SAN JUANITO DEL MUNICIPIO DE ACACIAS META) los están solicitando y rechazando a los oferentes que solo allegaron dentro de su oferta económica el Formulario 1 debidamente diligenciado y sin los APU, </w:t>
      </w:r>
      <w:proofErr w:type="gramStart"/>
      <w:r w:rsidR="005D3E2F" w:rsidRPr="00DE7D1A">
        <w:rPr>
          <w:rFonts w:ascii="Arial" w:hAnsi="Arial" w:cs="Arial"/>
          <w:sz w:val="21"/>
          <w:szCs w:val="21"/>
          <w:shd w:val="clear" w:color="auto" w:fill="FFFFFF"/>
        </w:rPr>
        <w:t>dado que</w:t>
      </w:r>
      <w:proofErr w:type="gramEnd"/>
      <w:r w:rsidR="005D3E2F" w:rsidRPr="00DE7D1A">
        <w:rPr>
          <w:rFonts w:ascii="Arial" w:hAnsi="Arial" w:cs="Arial"/>
          <w:sz w:val="21"/>
          <w:szCs w:val="21"/>
          <w:shd w:val="clear" w:color="auto" w:fill="FFFFFF"/>
        </w:rPr>
        <w:t xml:space="preserve"> según ellos, estos deben ser aportados en la oferta económica</w:t>
      </w:r>
      <w:r w:rsidR="004653E7" w:rsidRPr="00DE7D1A">
        <w:rPr>
          <w:rFonts w:ascii="Arial" w:hAnsi="Arial" w:cs="Arial"/>
          <w:sz w:val="21"/>
          <w:szCs w:val="21"/>
        </w:rPr>
        <w:t>»</w:t>
      </w:r>
      <w:r w:rsidR="0067388D" w:rsidRPr="00DE7D1A">
        <w:rPr>
          <w:rFonts w:ascii="Arial" w:hAnsi="Arial" w:cs="Arial"/>
          <w:sz w:val="21"/>
          <w:szCs w:val="21"/>
        </w:rPr>
        <w:t>.</w:t>
      </w:r>
      <w:r w:rsidR="00AE0CBF" w:rsidRPr="00DE7D1A">
        <w:rPr>
          <w:rFonts w:ascii="Arial" w:hAnsi="Arial" w:cs="Arial"/>
          <w:sz w:val="21"/>
          <w:szCs w:val="21"/>
        </w:rPr>
        <w:t xml:space="preserve"> </w:t>
      </w:r>
    </w:p>
    <w:p w14:paraId="0340A3A7" w14:textId="77777777" w:rsidR="009F3C99" w:rsidRPr="00F176B9" w:rsidRDefault="009F3C99" w:rsidP="00F176B9">
      <w:pPr>
        <w:tabs>
          <w:tab w:val="left" w:pos="426"/>
        </w:tabs>
        <w:spacing w:after="0"/>
        <w:rPr>
          <w:rFonts w:ascii="Arial" w:eastAsia="Calibri" w:hAnsi="Arial" w:cs="Arial"/>
          <w:sz w:val="22"/>
          <w:lang w:val="es-CO"/>
        </w:rPr>
      </w:pPr>
    </w:p>
    <w:bookmarkEnd w:id="2"/>
    <w:bookmarkEnd w:id="3"/>
    <w:p w14:paraId="509ED1DE" w14:textId="63729AFF" w:rsidR="005027F0" w:rsidRDefault="002B72C0" w:rsidP="00F176B9">
      <w:pPr>
        <w:tabs>
          <w:tab w:val="left" w:pos="284"/>
        </w:tabs>
        <w:spacing w:after="0"/>
        <w:rPr>
          <w:rFonts w:ascii="Arial" w:eastAsia="Calibri" w:hAnsi="Arial" w:cs="Arial"/>
          <w:b/>
          <w:sz w:val="22"/>
          <w:lang w:val="es-CO"/>
        </w:rPr>
      </w:pPr>
      <w:r w:rsidRPr="00F176B9">
        <w:rPr>
          <w:rFonts w:ascii="Arial" w:eastAsia="Calibri" w:hAnsi="Arial" w:cs="Arial"/>
          <w:b/>
          <w:sz w:val="22"/>
          <w:lang w:val="es-CO"/>
        </w:rPr>
        <w:t xml:space="preserve">2. </w:t>
      </w:r>
      <w:r w:rsidR="00990612" w:rsidRPr="00F176B9">
        <w:rPr>
          <w:rFonts w:ascii="Arial" w:eastAsia="Calibri" w:hAnsi="Arial" w:cs="Arial"/>
          <w:b/>
          <w:sz w:val="22"/>
          <w:lang w:val="es-CO"/>
        </w:rPr>
        <w:t>Consideraciones</w:t>
      </w:r>
    </w:p>
    <w:p w14:paraId="3EB11908" w14:textId="332E79FC" w:rsidR="003A4C65" w:rsidRDefault="003A4C65" w:rsidP="00F176B9">
      <w:pPr>
        <w:tabs>
          <w:tab w:val="left" w:pos="284"/>
        </w:tabs>
        <w:spacing w:after="0"/>
        <w:rPr>
          <w:rFonts w:ascii="Arial" w:eastAsia="Calibri" w:hAnsi="Arial" w:cs="Arial"/>
          <w:b/>
          <w:sz w:val="22"/>
          <w:lang w:val="es-CO"/>
        </w:rPr>
      </w:pPr>
    </w:p>
    <w:p w14:paraId="727C9E07" w14:textId="77777777" w:rsidR="008C0A95" w:rsidRPr="008C0A95" w:rsidRDefault="008C0A95" w:rsidP="008C0A95">
      <w:pPr>
        <w:spacing w:after="120"/>
        <w:rPr>
          <w:rFonts w:ascii="Arial" w:eastAsia="Calibri" w:hAnsi="Arial" w:cs="Arial"/>
          <w:sz w:val="22"/>
          <w:lang w:val="es-ES_tradnl" w:eastAsia="es-ES_tradnl"/>
        </w:rPr>
      </w:pPr>
      <w:r w:rsidRPr="008C0A95">
        <w:rPr>
          <w:rFonts w:ascii="Arial" w:eastAsia="Calibri" w:hAnsi="Arial" w:cs="Arial"/>
          <w:sz w:val="22"/>
          <w:lang w:val="es-ES_tradnl" w:eastAsia="es-ES_tradnl"/>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 Es necesario tener en cuenta que esta entidad solo tiene atribuciones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w:t>
      </w:r>
    </w:p>
    <w:p w14:paraId="31C760B0" w14:textId="77777777" w:rsidR="008C0A95" w:rsidRPr="008C0A95" w:rsidRDefault="008C0A95" w:rsidP="008C0A95">
      <w:pPr>
        <w:tabs>
          <w:tab w:val="left" w:pos="426"/>
        </w:tabs>
        <w:spacing w:after="120"/>
        <w:rPr>
          <w:rFonts w:ascii="Arial" w:eastAsia="Calibri" w:hAnsi="Arial" w:cs="Arial"/>
          <w:bCs/>
          <w:sz w:val="22"/>
          <w:lang w:val="es-CO"/>
        </w:rPr>
      </w:pPr>
      <w:r w:rsidRPr="008C0A95">
        <w:rPr>
          <w:rFonts w:ascii="Arial" w:eastAsia="Calibri" w:hAnsi="Arial" w:cs="Arial"/>
          <w:sz w:val="22"/>
          <w:lang w:val="es-ES_tradnl" w:eastAsia="es-ES_tradnl"/>
        </w:rPr>
        <w:tab/>
      </w:r>
      <w:r w:rsidRPr="008C0A95">
        <w:rPr>
          <w:rFonts w:ascii="Arial" w:eastAsia="Calibri" w:hAnsi="Arial" w:cs="Arial"/>
          <w:sz w:val="22"/>
          <w:lang w:val="es-ES_tradnl" w:eastAsia="es-ES_tradnl"/>
        </w:rPr>
        <w:tab/>
        <w:t xml:space="preserve">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Esto en la medida en </w:t>
      </w:r>
      <w:proofErr w:type="gramStart"/>
      <w:r w:rsidRPr="008C0A95">
        <w:rPr>
          <w:rFonts w:ascii="Arial" w:eastAsia="Calibri" w:hAnsi="Arial" w:cs="Arial"/>
          <w:sz w:val="22"/>
          <w:lang w:val="es-ES_tradnl" w:eastAsia="es-ES_tradnl"/>
        </w:rPr>
        <w:t>que</w:t>
      </w:r>
      <w:proofErr w:type="gramEnd"/>
      <w:r w:rsidRPr="008C0A95">
        <w:rPr>
          <w:rFonts w:ascii="Arial" w:eastAsia="Calibri" w:hAnsi="Arial" w:cs="Arial"/>
          <w:sz w:val="22"/>
          <w:lang w:val="es-ES_tradnl" w:eastAsia="es-ES_tradnl"/>
        </w:rPr>
        <w:t xml:space="preserv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w:t>
      </w:r>
      <w:r w:rsidRPr="008C0A95">
        <w:rPr>
          <w:rFonts w:ascii="Arial" w:eastAsia="Calibri" w:hAnsi="Arial" w:cs="Arial"/>
          <w:bCs/>
          <w:sz w:val="22"/>
          <w:lang w:val="es-CO"/>
        </w:rPr>
        <w:t>que adelanta el procedimiento de selección y, en caso de conflicto, a las autoridades judiciales, fiscales y disciplinarias.</w:t>
      </w:r>
    </w:p>
    <w:p w14:paraId="48D51A60" w14:textId="77777777" w:rsidR="008C0A95" w:rsidRPr="008C0A95" w:rsidRDefault="008C0A95" w:rsidP="008C0A95">
      <w:pPr>
        <w:tabs>
          <w:tab w:val="left" w:pos="426"/>
        </w:tabs>
        <w:spacing w:after="120"/>
        <w:rPr>
          <w:rFonts w:ascii="Arial" w:eastAsia="Calibri" w:hAnsi="Arial" w:cs="Arial"/>
          <w:bCs/>
          <w:sz w:val="22"/>
          <w:lang w:val="es-CO"/>
        </w:rPr>
      </w:pPr>
      <w:r w:rsidRPr="008C0A95">
        <w:rPr>
          <w:rFonts w:ascii="Arial" w:eastAsia="Calibri" w:hAnsi="Arial" w:cs="Arial"/>
          <w:bCs/>
          <w:sz w:val="22"/>
          <w:lang w:val="es-CO"/>
        </w:rPr>
        <w:tab/>
      </w:r>
      <w:r w:rsidRPr="008C0A95">
        <w:rPr>
          <w:rFonts w:ascii="Arial" w:eastAsia="Calibri" w:hAnsi="Arial" w:cs="Arial"/>
          <w:bCs/>
          <w:sz w:val="22"/>
          <w:lang w:val="es-CO"/>
        </w:rPr>
        <w:tab/>
        <w:t xml:space="preserve">Bajo estas consideraciones, corresponde a cada entidad pública, en ejercicio de su competencia y previa valoración de los elementos fácticos y jurídicos, </w:t>
      </w:r>
      <w:r w:rsidRPr="008C0A95">
        <w:rPr>
          <w:rFonts w:ascii="Arial" w:eastAsia="Calibri" w:hAnsi="Arial" w:cs="Arial"/>
          <w:bCs/>
          <w:sz w:val="22"/>
          <w:lang w:val="es-CO"/>
        </w:rPr>
        <w:lastRenderedPageBreak/>
        <w:t>determinar si es procedente o no la celebración de un determinado contrato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7AB25673" w14:textId="4FF12069" w:rsidR="00FD7130" w:rsidRDefault="008C0A95" w:rsidP="003B2F5C">
      <w:pPr>
        <w:spacing w:after="120"/>
        <w:rPr>
          <w:rFonts w:ascii="Arial" w:eastAsia="Calibri" w:hAnsi="Arial" w:cs="Arial"/>
          <w:sz w:val="22"/>
          <w:lang w:val="es-ES_tradnl"/>
        </w:rPr>
      </w:pPr>
      <w:r w:rsidRPr="008C0A95">
        <w:rPr>
          <w:rFonts w:ascii="Arial" w:eastAsia="Calibri" w:hAnsi="Arial" w:cs="Arial"/>
          <w:bCs/>
          <w:sz w:val="22"/>
          <w:lang w:val="es-CO"/>
        </w:rPr>
        <w:tab/>
        <w:t>Por</w:t>
      </w:r>
      <w:r w:rsidRPr="008C0A95">
        <w:rPr>
          <w:rFonts w:ascii="Arial" w:eastAsia="Calibri" w:hAnsi="Arial" w:cs="Arial"/>
          <w:color w:val="000000"/>
          <w:sz w:val="22"/>
          <w:lang w:val="es-ES"/>
        </w:rPr>
        <w:t xml:space="preserve"> ello, la Subdirección, dentro de los límites de sus atribuciones, resolverá la consulta conforme a las normas generales en materia de contratación estatal. Con este objetivo se analizarán los siguientes temas</w:t>
      </w:r>
      <w:r>
        <w:rPr>
          <w:rFonts w:ascii="Arial" w:eastAsia="Calibri" w:hAnsi="Arial" w:cs="Arial"/>
          <w:color w:val="000000"/>
          <w:sz w:val="22"/>
          <w:lang w:val="es-ES"/>
        </w:rPr>
        <w:t xml:space="preserve">: </w:t>
      </w:r>
      <w:r w:rsidR="007539E1" w:rsidRPr="00B9642A">
        <w:rPr>
          <w:rFonts w:ascii="Arial" w:eastAsia="Calibri" w:hAnsi="Arial" w:cs="Arial"/>
          <w:sz w:val="22"/>
          <w:lang w:val="es-ES_tradnl"/>
        </w:rPr>
        <w:t xml:space="preserve">i) </w:t>
      </w:r>
      <w:r w:rsidR="00FD7130">
        <w:rPr>
          <w:rFonts w:ascii="Arial" w:eastAsia="Calibri" w:hAnsi="Arial" w:cs="Arial"/>
          <w:sz w:val="22"/>
          <w:lang w:val="es-ES_tradnl"/>
        </w:rPr>
        <w:t>uso del</w:t>
      </w:r>
      <w:r w:rsidR="00CC1DFC">
        <w:rPr>
          <w:rFonts w:ascii="Arial" w:eastAsia="Calibri" w:hAnsi="Arial" w:cs="Arial"/>
          <w:sz w:val="22"/>
          <w:lang w:val="es-ES_tradnl"/>
        </w:rPr>
        <w:t xml:space="preserve"> </w:t>
      </w:r>
      <w:r w:rsidR="00CC1DFC" w:rsidRPr="00CC1DFC">
        <w:rPr>
          <w:rFonts w:ascii="Arial" w:eastAsia="Calibri" w:hAnsi="Arial" w:cs="Arial"/>
          <w:sz w:val="22"/>
          <w:lang w:val="es-ES_tradnl"/>
        </w:rPr>
        <w:t>Formulario 1 – Formulario de presupuesto oficial</w:t>
      </w:r>
      <w:r w:rsidR="00CC1DFC">
        <w:rPr>
          <w:rFonts w:ascii="Arial" w:eastAsia="Calibri" w:hAnsi="Arial" w:cs="Arial"/>
          <w:sz w:val="22"/>
          <w:lang w:val="es-ES_tradnl"/>
        </w:rPr>
        <w:t xml:space="preserve"> y </w:t>
      </w:r>
      <w:proofErr w:type="spellStart"/>
      <w:r w:rsidR="00FD7130">
        <w:rPr>
          <w:rFonts w:ascii="Arial" w:eastAsia="Calibri" w:hAnsi="Arial" w:cs="Arial"/>
          <w:sz w:val="22"/>
          <w:lang w:val="es-ES_tradnl"/>
        </w:rPr>
        <w:t>ii</w:t>
      </w:r>
      <w:proofErr w:type="spellEnd"/>
      <w:r w:rsidR="00FD7130">
        <w:rPr>
          <w:rFonts w:ascii="Arial" w:eastAsia="Calibri" w:hAnsi="Arial" w:cs="Arial"/>
          <w:sz w:val="22"/>
          <w:lang w:val="es-ES_tradnl"/>
        </w:rPr>
        <w:t xml:space="preserve">) </w:t>
      </w:r>
      <w:r w:rsidR="00FD7130" w:rsidRPr="00FD7130">
        <w:rPr>
          <w:rFonts w:ascii="Arial" w:eastAsia="Calibri" w:hAnsi="Arial" w:cs="Arial"/>
          <w:sz w:val="22"/>
          <w:lang w:val="es-ES_tradnl"/>
        </w:rPr>
        <w:t>Documentos tipo de licitación de obra de infraestructura de transporte: análisis de precios unitarios</w:t>
      </w:r>
      <w:r w:rsidR="00FD7130">
        <w:rPr>
          <w:rFonts w:ascii="Arial" w:eastAsia="Calibri" w:hAnsi="Arial" w:cs="Arial"/>
          <w:sz w:val="22"/>
          <w:lang w:val="es-ES_tradnl"/>
        </w:rPr>
        <w:t xml:space="preserve">. </w:t>
      </w:r>
    </w:p>
    <w:p w14:paraId="376CB216" w14:textId="4C0E2461" w:rsidR="000D750F" w:rsidRPr="00FD7130" w:rsidRDefault="008C50B2" w:rsidP="00FD7130">
      <w:pPr>
        <w:tabs>
          <w:tab w:val="left" w:pos="426"/>
        </w:tabs>
        <w:spacing w:after="120"/>
        <w:rPr>
          <w:rFonts w:ascii="Arial" w:eastAsia="Calibri" w:hAnsi="Arial" w:cs="Arial"/>
          <w:bCs/>
          <w:sz w:val="22"/>
          <w:lang w:val="es-CO"/>
        </w:rPr>
      </w:pPr>
      <w:r>
        <w:rPr>
          <w:rFonts w:ascii="Arial" w:eastAsia="Calibri" w:hAnsi="Arial" w:cs="Arial"/>
          <w:bCs/>
          <w:sz w:val="22"/>
          <w:lang w:val="es-CO"/>
        </w:rPr>
        <w:tab/>
      </w:r>
      <w:r w:rsidR="00234500" w:rsidRPr="00FD7130">
        <w:rPr>
          <w:rFonts w:ascii="Arial" w:eastAsia="Calibri" w:hAnsi="Arial" w:cs="Arial"/>
          <w:bCs/>
          <w:sz w:val="22"/>
          <w:lang w:val="es-CO"/>
        </w:rPr>
        <w:t>La Agencia Nacional de Contratación Pública – Colombia Compra Eficiente</w:t>
      </w:r>
      <w:r w:rsidR="002F0C8F" w:rsidRPr="00FD7130">
        <w:rPr>
          <w:rFonts w:ascii="Arial" w:eastAsia="Calibri" w:hAnsi="Arial" w:cs="Arial"/>
          <w:bCs/>
          <w:sz w:val="22"/>
          <w:lang w:val="es-CO"/>
        </w:rPr>
        <w:t xml:space="preserve"> en los conceptos C-037 del 28 de enero de 2020, C-038 del 28 de enero de 2020, C-093 del 28 de febrero de 2020, C-133 del 30 de marzo de 2020, C-153 del 1 de abril de 2020, C-184 del 2 de abril de 2020, C-603 del 22 de septiembre de 2020, C-704 del 11 de diciembre de 2020</w:t>
      </w:r>
      <w:r w:rsidR="00583558" w:rsidRPr="00FD7130">
        <w:rPr>
          <w:rFonts w:ascii="Arial" w:eastAsia="Calibri" w:hAnsi="Arial" w:cs="Arial"/>
          <w:bCs/>
          <w:sz w:val="22"/>
          <w:lang w:val="es-CO"/>
        </w:rPr>
        <w:t xml:space="preserve">, </w:t>
      </w:r>
      <w:r w:rsidR="002F0C8F" w:rsidRPr="00FD7130">
        <w:rPr>
          <w:rFonts w:ascii="Arial" w:eastAsia="Calibri" w:hAnsi="Arial" w:cs="Arial"/>
          <w:bCs/>
          <w:sz w:val="22"/>
          <w:lang w:val="es-CO"/>
        </w:rPr>
        <w:t>C-030 del 26 de febrero de 2021</w:t>
      </w:r>
      <w:r w:rsidR="00583558" w:rsidRPr="00FD7130">
        <w:rPr>
          <w:rFonts w:ascii="Arial" w:eastAsia="Calibri" w:hAnsi="Arial" w:cs="Arial"/>
          <w:bCs/>
          <w:sz w:val="22"/>
          <w:lang w:val="es-CO"/>
        </w:rPr>
        <w:t xml:space="preserve"> y C-204 del 6 de mayo de 2021</w:t>
      </w:r>
      <w:r w:rsidR="002F0C8F" w:rsidRPr="00FD7130">
        <w:rPr>
          <w:rFonts w:ascii="Arial" w:eastAsia="Calibri" w:hAnsi="Arial" w:cs="Arial"/>
          <w:bCs/>
          <w:sz w:val="22"/>
          <w:lang w:val="es-CO"/>
        </w:rPr>
        <w:t>,</w:t>
      </w:r>
      <w:r w:rsidR="00F10EDE" w:rsidRPr="00FD7130">
        <w:rPr>
          <w:rFonts w:ascii="Arial" w:eastAsia="Calibri" w:hAnsi="Arial" w:cs="Arial"/>
          <w:bCs/>
          <w:sz w:val="22"/>
          <w:lang w:val="es-CO"/>
        </w:rPr>
        <w:t xml:space="preserve"> C-078 de </w:t>
      </w:r>
      <w:r w:rsidR="00815EAC" w:rsidRPr="00FD7130">
        <w:rPr>
          <w:rFonts w:ascii="Arial" w:eastAsia="Calibri" w:hAnsi="Arial" w:cs="Arial"/>
          <w:bCs/>
          <w:sz w:val="22"/>
          <w:lang w:val="es-CO"/>
        </w:rPr>
        <w:t xml:space="preserve">15 de marzo de 2022, C-113 de 22 de marzo de 2022, C-298 de 9 de mayo de 2022 y  C-342 </w:t>
      </w:r>
      <w:r w:rsidR="00166B8B" w:rsidRPr="00FD7130">
        <w:rPr>
          <w:rFonts w:ascii="Arial" w:eastAsia="Calibri" w:hAnsi="Arial" w:cs="Arial"/>
          <w:bCs/>
          <w:sz w:val="22"/>
          <w:lang w:val="es-CO"/>
        </w:rPr>
        <w:t>de 24 de mayo de 2022,</w:t>
      </w:r>
      <w:r w:rsidR="002F0C8F" w:rsidRPr="00FD7130">
        <w:rPr>
          <w:rFonts w:ascii="Arial" w:eastAsia="Calibri" w:hAnsi="Arial" w:cs="Arial"/>
          <w:bCs/>
          <w:sz w:val="22"/>
          <w:lang w:val="es-CO"/>
        </w:rPr>
        <w:t xml:space="preserve"> estudió diferentes cuestiones relacionadas con la presentación de ofertas</w:t>
      </w:r>
      <w:r w:rsidR="00583558" w:rsidRPr="00FD7130">
        <w:rPr>
          <w:rFonts w:ascii="Arial" w:eastAsia="Calibri" w:hAnsi="Arial" w:cs="Arial"/>
          <w:bCs/>
          <w:sz w:val="22"/>
          <w:lang w:val="es-CO"/>
        </w:rPr>
        <w:t>, causales de rechazo</w:t>
      </w:r>
      <w:r w:rsidR="002F0C8F" w:rsidRPr="00FD7130">
        <w:rPr>
          <w:rFonts w:ascii="Arial" w:eastAsia="Calibri" w:hAnsi="Arial" w:cs="Arial"/>
          <w:bCs/>
          <w:sz w:val="22"/>
          <w:lang w:val="es-CO"/>
        </w:rPr>
        <w:t xml:space="preserve"> y uso del «Formulario 1 - Formulario de Presupuesto Oficial» en procesos licitación de obra pública de infraestructura de transporte adelantados con Documentos Tipo</w:t>
      </w:r>
      <w:r w:rsidR="00234500" w:rsidRPr="00FD7130">
        <w:rPr>
          <w:rFonts w:ascii="Arial" w:eastAsia="Calibri" w:hAnsi="Arial" w:cs="Arial"/>
          <w:bCs/>
          <w:sz w:val="22"/>
          <w:lang w:val="es-CO"/>
        </w:rPr>
        <w:t>.</w:t>
      </w:r>
      <w:r w:rsidR="00020B00" w:rsidRPr="00FD7130">
        <w:rPr>
          <w:rFonts w:ascii="Arial" w:eastAsia="Calibri" w:hAnsi="Arial" w:cs="Arial"/>
          <w:bCs/>
          <w:sz w:val="22"/>
          <w:lang w:val="es-CO"/>
        </w:rPr>
        <w:t xml:space="preserve"> </w:t>
      </w:r>
    </w:p>
    <w:p w14:paraId="444D7609" w14:textId="559670B5" w:rsidR="00234500" w:rsidRPr="00FD7130" w:rsidRDefault="008C50B2" w:rsidP="003B2F5C">
      <w:pPr>
        <w:tabs>
          <w:tab w:val="left" w:pos="426"/>
        </w:tabs>
        <w:spacing w:after="0"/>
        <w:rPr>
          <w:rFonts w:ascii="Arial" w:eastAsia="Calibri" w:hAnsi="Arial" w:cs="Arial"/>
          <w:bCs/>
          <w:sz w:val="22"/>
          <w:lang w:val="es-CO"/>
        </w:rPr>
      </w:pPr>
      <w:r>
        <w:rPr>
          <w:rFonts w:ascii="Arial" w:eastAsia="Calibri" w:hAnsi="Arial" w:cs="Arial"/>
          <w:bCs/>
          <w:sz w:val="22"/>
          <w:lang w:val="es-CO"/>
        </w:rPr>
        <w:tab/>
      </w:r>
      <w:r w:rsidR="00FD7130">
        <w:rPr>
          <w:rFonts w:ascii="Arial" w:eastAsia="Calibri" w:hAnsi="Arial" w:cs="Arial"/>
          <w:bCs/>
          <w:sz w:val="22"/>
          <w:lang w:val="es-CO"/>
        </w:rPr>
        <w:t xml:space="preserve">Asimismo, </w:t>
      </w:r>
      <w:r w:rsidR="000D750F" w:rsidRPr="00FD7130">
        <w:rPr>
          <w:rFonts w:ascii="Arial" w:eastAsia="Calibri" w:hAnsi="Arial" w:cs="Arial"/>
          <w:bCs/>
          <w:sz w:val="22"/>
          <w:lang w:val="es-CO"/>
        </w:rPr>
        <w:t>se pronunció sobre los pliegos de condiciones tipo en la contratación estatal y su inalterabilidad, entre otros, en los Conceptos C-294 del 18 de mayo de 2020, C-276 y C-277 del 26 de mayo de 2020, C–380 y C–381 del 1 de junio de 2020, C-404 del 12 de junio de 2020, C-352 del 30 de junio de 2020, C-430 del 7 de julio de 2020, C-481 del 27 de julio de 2020, C-502 del 29 de julio de 2020, C-500 del 3 de agosto de 2020, C-563 del 26 de agosto de 2020, C-570 del 27 de agosto de 2020, C-713 del 2 de diciembre de 2020, C-744 del 22 de diciembre de 2020, C-031 del 1 de febrero de 2021 y C-157 de 13 de abril de 2021. Sobre el Decreto 680 de 2021, esta Agencia se pronunció en los Concepto C-442 del 26 de agosto de 2021, C-547 del 5 de octubre de 2021, C-542 del 20 de octubre de 2021</w:t>
      </w:r>
      <w:r w:rsidR="002C50A0" w:rsidRPr="00FD7130">
        <w:rPr>
          <w:rFonts w:ascii="Arial" w:eastAsia="Calibri" w:hAnsi="Arial" w:cs="Arial"/>
          <w:bCs/>
          <w:sz w:val="22"/>
          <w:lang w:val="es-CO"/>
        </w:rPr>
        <w:t xml:space="preserve">, </w:t>
      </w:r>
      <w:r w:rsidR="000D750F" w:rsidRPr="00FD7130">
        <w:rPr>
          <w:rFonts w:ascii="Arial" w:eastAsia="Calibri" w:hAnsi="Arial" w:cs="Arial"/>
          <w:bCs/>
          <w:sz w:val="22"/>
          <w:lang w:val="es-CO"/>
        </w:rPr>
        <w:t>C-647 del 22 de noviembre de 2021</w:t>
      </w:r>
      <w:r w:rsidR="00072F45">
        <w:rPr>
          <w:rFonts w:ascii="Arial" w:eastAsia="Calibri" w:hAnsi="Arial" w:cs="Arial"/>
          <w:bCs/>
          <w:sz w:val="22"/>
          <w:lang w:val="es-CO"/>
        </w:rPr>
        <w:t xml:space="preserve">, </w:t>
      </w:r>
      <w:r w:rsidR="002C50A0" w:rsidRPr="00FD7130">
        <w:rPr>
          <w:rFonts w:ascii="Arial" w:eastAsia="Calibri" w:hAnsi="Arial" w:cs="Arial"/>
          <w:bCs/>
          <w:sz w:val="22"/>
          <w:lang w:val="es-CO"/>
        </w:rPr>
        <w:t xml:space="preserve">C- 356 de </w:t>
      </w:r>
      <w:r w:rsidR="0021373D" w:rsidRPr="00FD7130">
        <w:rPr>
          <w:rFonts w:ascii="Arial" w:eastAsia="Calibri" w:hAnsi="Arial" w:cs="Arial"/>
          <w:bCs/>
          <w:sz w:val="22"/>
          <w:lang w:val="es-CO"/>
        </w:rPr>
        <w:t>6 de julio de 2022</w:t>
      </w:r>
      <w:r w:rsidR="00072F45">
        <w:rPr>
          <w:rFonts w:ascii="Arial" w:eastAsia="Calibri" w:hAnsi="Arial" w:cs="Arial"/>
          <w:bCs/>
          <w:sz w:val="22"/>
          <w:lang w:val="es-CO"/>
        </w:rPr>
        <w:t xml:space="preserve"> y C- 478 de </w:t>
      </w:r>
      <w:r>
        <w:rPr>
          <w:rFonts w:ascii="Arial" w:eastAsia="Calibri" w:hAnsi="Arial" w:cs="Arial"/>
          <w:bCs/>
          <w:sz w:val="22"/>
          <w:lang w:val="es-CO"/>
        </w:rPr>
        <w:t>27 de julio de 2022</w:t>
      </w:r>
      <w:r w:rsidR="0021373D" w:rsidRPr="00FD7130">
        <w:rPr>
          <w:rFonts w:ascii="Arial" w:eastAsia="Calibri" w:hAnsi="Arial" w:cs="Arial"/>
          <w:bCs/>
          <w:sz w:val="22"/>
          <w:lang w:val="es-CO"/>
        </w:rPr>
        <w:t xml:space="preserve">. </w:t>
      </w:r>
      <w:r w:rsidR="00234500" w:rsidRPr="00FD7130">
        <w:rPr>
          <w:rFonts w:ascii="Arial" w:eastAsia="Calibri" w:hAnsi="Arial" w:cs="Arial"/>
          <w:bCs/>
          <w:sz w:val="22"/>
          <w:lang w:val="es-CO"/>
        </w:rPr>
        <w:t>Las consideraciones de estos conceptos se reiteran a continuación y se complementan en lo pertinente:</w:t>
      </w:r>
    </w:p>
    <w:p w14:paraId="76F44215" w14:textId="23CAA4B2" w:rsidR="00E7556E" w:rsidRDefault="00E7556E" w:rsidP="00234500">
      <w:pPr>
        <w:spacing w:after="0"/>
        <w:rPr>
          <w:rFonts w:ascii="Arial" w:eastAsia="Calibri" w:hAnsi="Arial" w:cs="Arial"/>
          <w:sz w:val="22"/>
          <w:lang w:val="es-ES_tradnl"/>
        </w:rPr>
      </w:pPr>
    </w:p>
    <w:p w14:paraId="438B9AF8" w14:textId="77777777" w:rsidR="00FD7130" w:rsidRPr="008C50B2" w:rsidRDefault="00E70C56" w:rsidP="003B2F5C">
      <w:pPr>
        <w:spacing w:after="0"/>
        <w:rPr>
          <w:rFonts w:ascii="Arial" w:eastAsia="Calibri" w:hAnsi="Arial" w:cs="Arial"/>
          <w:b/>
          <w:bCs/>
          <w:color w:val="000000"/>
          <w:sz w:val="22"/>
          <w:lang w:eastAsia="en-GB"/>
        </w:rPr>
      </w:pPr>
      <w:r w:rsidRPr="008C50B2">
        <w:rPr>
          <w:rFonts w:ascii="Arial" w:hAnsi="Arial" w:cs="Arial"/>
          <w:b/>
          <w:bCs/>
          <w:sz w:val="22"/>
          <w:bdr w:val="none" w:sz="0" w:space="0" w:color="auto" w:frame="1"/>
          <w:lang w:eastAsia="es-CO"/>
        </w:rPr>
        <w:t>2.1</w:t>
      </w:r>
      <w:r w:rsidR="00E27B26" w:rsidRPr="008C50B2">
        <w:rPr>
          <w:rFonts w:ascii="Arial" w:hAnsi="Arial" w:cs="Arial"/>
          <w:b/>
          <w:bCs/>
          <w:sz w:val="22"/>
          <w:bdr w:val="none" w:sz="0" w:space="0" w:color="auto" w:frame="1"/>
          <w:lang w:eastAsia="es-CO"/>
        </w:rPr>
        <w:t xml:space="preserve">. </w:t>
      </w:r>
      <w:r w:rsidR="00FD7130" w:rsidRPr="008C50B2">
        <w:rPr>
          <w:rFonts w:ascii="Arial" w:eastAsia="Calibri" w:hAnsi="Arial" w:cs="Arial"/>
          <w:b/>
          <w:color w:val="000000"/>
          <w:sz w:val="22"/>
          <w:lang w:val="es-ES_tradnl"/>
        </w:rPr>
        <w:t>E</w:t>
      </w:r>
      <w:r w:rsidR="00FD7130" w:rsidRPr="008C50B2">
        <w:rPr>
          <w:rFonts w:ascii="Arial" w:eastAsia="Calibri" w:hAnsi="Arial" w:cs="Arial"/>
          <w:b/>
          <w:sz w:val="22"/>
          <w:lang w:val="es-ES_tradnl"/>
        </w:rPr>
        <w:t xml:space="preserve">l </w:t>
      </w:r>
      <w:r w:rsidR="00FD7130" w:rsidRPr="008C50B2">
        <w:rPr>
          <w:rFonts w:ascii="Arial" w:eastAsia="Calibri" w:hAnsi="Arial" w:cs="Arial"/>
          <w:b/>
          <w:sz w:val="22"/>
          <w:lang w:val="es-ES"/>
        </w:rPr>
        <w:t>«Formulario 1 – Formulario de Presupuesto Oficial</w:t>
      </w:r>
      <w:r w:rsidR="00FD7130" w:rsidRPr="008C50B2">
        <w:rPr>
          <w:rFonts w:ascii="Arial" w:eastAsia="Calibri" w:hAnsi="Arial" w:cs="Arial"/>
          <w:sz w:val="22"/>
          <w:lang w:val="es-ES" w:eastAsia="es-ES" w:bidi="es-ES"/>
        </w:rPr>
        <w:t>»</w:t>
      </w:r>
      <w:r w:rsidR="00FD7130" w:rsidRPr="008C50B2">
        <w:rPr>
          <w:rFonts w:ascii="Arial" w:eastAsia="Calibri" w:hAnsi="Arial" w:cs="Arial"/>
          <w:b/>
          <w:sz w:val="22"/>
          <w:lang w:val="es-ES_tradnl"/>
        </w:rPr>
        <w:t xml:space="preserve"> </w:t>
      </w:r>
    </w:p>
    <w:p w14:paraId="5DC4F807" w14:textId="77777777" w:rsidR="00FD7130" w:rsidRPr="00FD7130" w:rsidRDefault="00FD7130" w:rsidP="003B2F5C">
      <w:pPr>
        <w:spacing w:after="0" w:line="240" w:lineRule="auto"/>
        <w:rPr>
          <w:rFonts w:ascii="Arial" w:eastAsia="Calibri" w:hAnsi="Arial" w:cs="Arial"/>
          <w:b/>
          <w:bCs/>
          <w:color w:val="000000"/>
          <w:sz w:val="22"/>
          <w:lang w:eastAsia="en-GB"/>
        </w:rPr>
      </w:pPr>
    </w:p>
    <w:p w14:paraId="686C1FDF" w14:textId="0CCD95B3" w:rsidR="00FD7130" w:rsidRPr="00FD7130" w:rsidRDefault="00FD7130" w:rsidP="00FD7130">
      <w:pPr>
        <w:widowControl w:val="0"/>
        <w:autoSpaceDE w:val="0"/>
        <w:autoSpaceDN w:val="0"/>
        <w:spacing w:after="120"/>
        <w:rPr>
          <w:rFonts w:ascii="Arial" w:eastAsia="Arial" w:hAnsi="Arial" w:cs="Arial"/>
          <w:sz w:val="22"/>
          <w:lang w:eastAsia="es-ES" w:bidi="es-ES"/>
        </w:rPr>
      </w:pPr>
      <w:r w:rsidRPr="00FD7130">
        <w:rPr>
          <w:rFonts w:ascii="Arial" w:eastAsia="Arial" w:hAnsi="Arial" w:cs="Arial"/>
          <w:sz w:val="22"/>
          <w:lang w:val="es-ES" w:eastAsia="es-ES" w:bidi="es-ES"/>
        </w:rPr>
        <w:t>Los documentos tipo para los procesos de licitación pública</w:t>
      </w:r>
      <w:r w:rsidR="001C5539">
        <w:rPr>
          <w:rFonts w:ascii="Arial" w:eastAsia="Arial" w:hAnsi="Arial" w:cs="Arial"/>
          <w:sz w:val="22"/>
          <w:lang w:val="es-ES" w:eastAsia="es-ES" w:bidi="es-ES"/>
        </w:rPr>
        <w:t xml:space="preserve"> </w:t>
      </w:r>
      <w:r w:rsidRPr="00FD7130">
        <w:rPr>
          <w:rFonts w:ascii="Arial" w:eastAsia="Arial" w:hAnsi="Arial" w:cs="Arial"/>
          <w:sz w:val="22"/>
          <w:lang w:val="es-ES" w:eastAsia="es-ES" w:bidi="es-ES"/>
        </w:rPr>
        <w:t xml:space="preserve">de infraestructura de transporte, </w:t>
      </w:r>
      <w:r w:rsidRPr="00FD7130">
        <w:rPr>
          <w:rFonts w:ascii="Arial" w:eastAsia="Calibri" w:hAnsi="Arial" w:cs="Arial"/>
          <w:sz w:val="22"/>
        </w:rPr>
        <w:t xml:space="preserve">contemplan el </w:t>
      </w:r>
      <w:r w:rsidRPr="00FD7130">
        <w:rPr>
          <w:rFonts w:ascii="Arial" w:eastAsia="Arial" w:hAnsi="Arial" w:cs="Arial"/>
          <w:sz w:val="22"/>
          <w:lang w:val="es-ES" w:eastAsia="es-ES" w:bidi="es-ES"/>
        </w:rPr>
        <w:t>«Formulario 1 - Formulario de Presupuesto Oficial</w:t>
      </w:r>
      <w:r w:rsidRPr="00FD7130">
        <w:rPr>
          <w:rFonts w:ascii="Arial" w:eastAsia="Calibri" w:hAnsi="Arial" w:cs="Arial"/>
          <w:sz w:val="22"/>
          <w:lang w:val="es-ES" w:eastAsia="es-ES" w:bidi="es-ES"/>
        </w:rPr>
        <w:t>»</w:t>
      </w:r>
      <w:r w:rsidRPr="00FD7130">
        <w:rPr>
          <w:rFonts w:ascii="Arial" w:eastAsia="Arial" w:hAnsi="Arial" w:cs="Arial"/>
          <w:sz w:val="22"/>
          <w:lang w:val="es-ES" w:eastAsia="es-ES" w:bidi="es-ES"/>
        </w:rPr>
        <w:t>, empleado por</w:t>
      </w:r>
      <w:r w:rsidRPr="00FD7130">
        <w:rPr>
          <w:rFonts w:ascii="Arial" w:eastAsia="Arial" w:hAnsi="Arial" w:cs="Arial"/>
          <w:sz w:val="22"/>
          <w:lang w:eastAsia="es-ES" w:bidi="es-ES"/>
        </w:rPr>
        <w:t xml:space="preserve"> la entidad para elaborar y presentar el presupuesto oficial, y mediante el cual el proponente estructura la oferta económica. </w:t>
      </w:r>
    </w:p>
    <w:p w14:paraId="170FAD78" w14:textId="77777777" w:rsidR="00FD7130" w:rsidRPr="00FD7130" w:rsidRDefault="00FD7130" w:rsidP="00FD7130">
      <w:pPr>
        <w:widowControl w:val="0"/>
        <w:autoSpaceDE w:val="0"/>
        <w:autoSpaceDN w:val="0"/>
        <w:spacing w:before="120" w:after="0"/>
        <w:ind w:firstLine="709"/>
        <w:rPr>
          <w:rFonts w:ascii="Arial" w:eastAsia="Calibri" w:hAnsi="Arial" w:cs="Arial"/>
          <w:sz w:val="22"/>
          <w:lang w:val="es-ES"/>
        </w:rPr>
      </w:pPr>
      <w:r w:rsidRPr="00FD7130">
        <w:rPr>
          <w:rFonts w:ascii="Arial" w:eastAsia="Calibri" w:hAnsi="Arial" w:cs="Arial"/>
          <w:sz w:val="22"/>
          <w:lang w:val="es-ES"/>
        </w:rPr>
        <w:t>Este formulario lo prepara la entidad en la etapa de planeación y le permite definir el valor oficial estimado del proceso de contratación. Por tanto, las entidades estatales para su elaboración deben tener en cuenta diferentes variables</w:t>
      </w:r>
      <w:r w:rsidRPr="00FD7130">
        <w:rPr>
          <w:rFonts w:ascii="Arial" w:eastAsia="Calibri" w:hAnsi="Arial" w:cs="Arial"/>
          <w:sz w:val="22"/>
          <w:vertAlign w:val="superscript"/>
          <w:lang w:val="es-ES"/>
        </w:rPr>
        <w:footnoteReference w:id="1"/>
      </w:r>
      <w:r w:rsidRPr="00FD7130">
        <w:rPr>
          <w:rFonts w:ascii="Arial" w:eastAsia="Calibri" w:hAnsi="Arial" w:cs="Arial"/>
          <w:sz w:val="22"/>
          <w:lang w:val="es-ES"/>
        </w:rPr>
        <w:t>, como el objeto, alcance, obras a ejecutar, actividades, cantidades, particularidades de la zona de ejecución del proyecto, disponibilidad y distancia de fuentes de materiales, entre otros.</w:t>
      </w:r>
    </w:p>
    <w:p w14:paraId="4F7E86F2" w14:textId="71DA18BC" w:rsidR="00FD7130" w:rsidRPr="00FD7130" w:rsidRDefault="00FD7130" w:rsidP="00FD7130">
      <w:pPr>
        <w:widowControl w:val="0"/>
        <w:autoSpaceDE w:val="0"/>
        <w:autoSpaceDN w:val="0"/>
        <w:spacing w:before="120" w:after="120"/>
        <w:ind w:firstLine="709"/>
        <w:rPr>
          <w:rFonts w:ascii="Arial" w:eastAsia="Calibri" w:hAnsi="Arial" w:cs="Arial"/>
          <w:sz w:val="22"/>
        </w:rPr>
      </w:pPr>
      <w:r w:rsidRPr="00FD7130">
        <w:rPr>
          <w:rFonts w:ascii="Arial" w:eastAsia="Calibri" w:hAnsi="Arial" w:cs="Arial"/>
          <w:sz w:val="22"/>
          <w:lang w:val="es-ES"/>
        </w:rPr>
        <w:t xml:space="preserve">En los documentos tipo </w:t>
      </w:r>
      <w:r w:rsidRPr="00FD7130">
        <w:rPr>
          <w:rFonts w:ascii="Arial" w:eastAsia="Arial" w:hAnsi="Arial" w:cs="Arial"/>
          <w:sz w:val="22"/>
          <w:lang w:val="es-ES" w:eastAsia="es-ES" w:bidi="es-ES"/>
        </w:rPr>
        <w:t>para los procesos de licitación pública de obra de infraestructura de transporte</w:t>
      </w:r>
      <w:r w:rsidR="00BC1835">
        <w:rPr>
          <w:rFonts w:ascii="Arial" w:eastAsia="Arial" w:hAnsi="Arial" w:cs="Arial"/>
          <w:sz w:val="22"/>
          <w:lang w:val="es-ES" w:eastAsia="es-ES" w:bidi="es-ES"/>
        </w:rPr>
        <w:t xml:space="preserve"> versión 3, </w:t>
      </w:r>
      <w:r w:rsidRPr="00FD7130">
        <w:rPr>
          <w:rFonts w:ascii="Arial" w:eastAsia="Calibri" w:hAnsi="Arial" w:cs="Arial"/>
          <w:sz w:val="22"/>
          <w:lang w:val="es-ES"/>
        </w:rPr>
        <w:t xml:space="preserve">el «Formulario 1 – Formulario de Presupuesto Oficial» tiene dos connotaciones: i) por un lado, </w:t>
      </w:r>
      <w:r w:rsidRPr="00FD7130">
        <w:rPr>
          <w:rFonts w:ascii="Arial" w:eastAsia="Calibri" w:hAnsi="Arial" w:cs="Arial"/>
          <w:sz w:val="22"/>
        </w:rPr>
        <w:t xml:space="preserve">es el formulario sobre el cual la entidad estructura y presenta el presupuesto oficial del procedimiento de contratación; y </w:t>
      </w:r>
      <w:proofErr w:type="spellStart"/>
      <w:r w:rsidRPr="00FD7130">
        <w:rPr>
          <w:rFonts w:ascii="Arial" w:eastAsia="Calibri" w:hAnsi="Arial" w:cs="Arial"/>
          <w:sz w:val="22"/>
        </w:rPr>
        <w:t>ii</w:t>
      </w:r>
      <w:proofErr w:type="spellEnd"/>
      <w:r w:rsidRPr="00FD7130">
        <w:rPr>
          <w:rFonts w:ascii="Arial" w:eastAsia="Calibri" w:hAnsi="Arial" w:cs="Arial"/>
          <w:sz w:val="22"/>
        </w:rPr>
        <w:t>) por el otro, es el formulario sobre el cual los proponentes elaboran y presentan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440BCE27" w14:textId="77777777" w:rsidR="00FD7130" w:rsidRPr="00FD7130" w:rsidRDefault="00FD7130" w:rsidP="00FD7130">
      <w:pPr>
        <w:widowControl w:val="0"/>
        <w:autoSpaceDE w:val="0"/>
        <w:autoSpaceDN w:val="0"/>
        <w:spacing w:after="120"/>
        <w:ind w:firstLine="709"/>
        <w:rPr>
          <w:rFonts w:ascii="Arial" w:eastAsia="Arial" w:hAnsi="Arial" w:cs="Arial"/>
          <w:iCs/>
          <w:sz w:val="22"/>
          <w:lang w:val="es-ES" w:eastAsia="es-ES" w:bidi="es-ES"/>
        </w:rPr>
      </w:pPr>
      <w:r w:rsidRPr="00FD7130">
        <w:rPr>
          <w:rFonts w:ascii="Arial" w:eastAsia="Arial" w:hAnsi="Arial" w:cs="Arial"/>
          <w:sz w:val="22"/>
          <w:lang w:eastAsia="es-ES" w:bidi="es-ES"/>
        </w:rPr>
        <w:t xml:space="preserve">En ese contexto, se tiene, que en </w:t>
      </w:r>
      <w:r w:rsidRPr="00FD7130">
        <w:rPr>
          <w:rFonts w:ascii="Arial" w:eastAsia="Arial" w:hAnsi="Arial" w:cs="Arial"/>
          <w:sz w:val="22"/>
          <w:lang w:val="es-ES" w:eastAsia="es-ES" w:bidi="es-ES"/>
        </w:rPr>
        <w:t xml:space="preserve">la primera hoja del Formulario 1, que corresponde al presupuesto oficial, la entidad debe enlistar los </w:t>
      </w:r>
      <w:r w:rsidRPr="00FD7130">
        <w:rPr>
          <w:rFonts w:ascii="Arial" w:eastAsia="Arial" w:hAnsi="Arial" w:cs="Arial"/>
          <w:i/>
          <w:sz w:val="22"/>
          <w:lang w:val="es-ES" w:eastAsia="es-ES" w:bidi="es-ES"/>
        </w:rPr>
        <w:t xml:space="preserve">ítems de pago </w:t>
      </w:r>
      <w:r w:rsidRPr="00FD7130">
        <w:rPr>
          <w:rFonts w:ascii="Arial" w:eastAsia="Arial" w:hAnsi="Arial" w:cs="Arial"/>
          <w:sz w:val="22"/>
          <w:lang w:val="es-ES" w:eastAsia="es-ES" w:bidi="es-ES"/>
        </w:rPr>
        <w:t xml:space="preserve">de los bienes, obras o servicios que se requieren para la ejecución de la obra pública de infraestructura de transporte. Además, es posible establecer: i) sus especificaciones generales y particulares, </w:t>
      </w:r>
      <w:proofErr w:type="spellStart"/>
      <w:r w:rsidRPr="00FD7130">
        <w:rPr>
          <w:rFonts w:ascii="Arial" w:eastAsia="Arial" w:hAnsi="Arial" w:cs="Arial"/>
          <w:sz w:val="22"/>
          <w:lang w:val="es-ES" w:eastAsia="es-ES" w:bidi="es-ES"/>
        </w:rPr>
        <w:t>ii</w:t>
      </w:r>
      <w:proofErr w:type="spellEnd"/>
      <w:r w:rsidRPr="00FD7130">
        <w:rPr>
          <w:rFonts w:ascii="Arial" w:eastAsia="Arial" w:hAnsi="Arial" w:cs="Arial"/>
          <w:sz w:val="22"/>
          <w:lang w:val="es-ES" w:eastAsia="es-ES" w:bidi="es-ES"/>
        </w:rPr>
        <w:t xml:space="preserve">) la descripción, </w:t>
      </w:r>
      <w:proofErr w:type="spellStart"/>
      <w:r w:rsidRPr="00FD7130">
        <w:rPr>
          <w:rFonts w:ascii="Arial" w:eastAsia="Arial" w:hAnsi="Arial" w:cs="Arial"/>
          <w:sz w:val="22"/>
          <w:lang w:val="es-ES" w:eastAsia="es-ES" w:bidi="es-ES"/>
        </w:rPr>
        <w:t>iii</w:t>
      </w:r>
      <w:proofErr w:type="spellEnd"/>
      <w:r w:rsidRPr="00FD7130">
        <w:rPr>
          <w:rFonts w:ascii="Arial" w:eastAsia="Arial" w:hAnsi="Arial" w:cs="Arial"/>
          <w:sz w:val="22"/>
          <w:lang w:val="es-ES" w:eastAsia="es-ES" w:bidi="es-ES"/>
        </w:rPr>
        <w:t xml:space="preserve">) la unidad de medida, </w:t>
      </w:r>
      <w:proofErr w:type="spellStart"/>
      <w:r w:rsidRPr="00FD7130">
        <w:rPr>
          <w:rFonts w:ascii="Arial" w:eastAsia="Arial" w:hAnsi="Arial" w:cs="Arial"/>
          <w:sz w:val="22"/>
          <w:lang w:val="es-ES" w:eastAsia="es-ES" w:bidi="es-ES"/>
        </w:rPr>
        <w:t>iv</w:t>
      </w:r>
      <w:proofErr w:type="spellEnd"/>
      <w:r w:rsidRPr="00FD7130">
        <w:rPr>
          <w:rFonts w:ascii="Arial" w:eastAsia="Arial" w:hAnsi="Arial" w:cs="Arial"/>
          <w:sz w:val="22"/>
          <w:lang w:val="es-ES" w:eastAsia="es-ES" w:bidi="es-ES"/>
        </w:rPr>
        <w:t xml:space="preserve">) la cantidad, v) el valor unitario y vi) el valor total de los </w:t>
      </w:r>
      <w:r w:rsidRPr="00FD7130">
        <w:rPr>
          <w:rFonts w:ascii="Arial" w:eastAsia="Arial" w:hAnsi="Arial" w:cs="Arial"/>
          <w:i/>
          <w:sz w:val="22"/>
          <w:lang w:val="es-ES" w:eastAsia="es-ES" w:bidi="es-ES"/>
        </w:rPr>
        <w:t>ítems.</w:t>
      </w:r>
    </w:p>
    <w:p w14:paraId="13F078A6" w14:textId="77777777" w:rsidR="00FD7130" w:rsidRPr="00FD7130" w:rsidRDefault="00FD7130" w:rsidP="00FD7130">
      <w:pPr>
        <w:widowControl w:val="0"/>
        <w:autoSpaceDE w:val="0"/>
        <w:autoSpaceDN w:val="0"/>
        <w:spacing w:after="120"/>
        <w:ind w:firstLine="709"/>
        <w:rPr>
          <w:rFonts w:ascii="Arial" w:eastAsia="Arial" w:hAnsi="Arial" w:cs="Arial"/>
          <w:sz w:val="22"/>
          <w:lang w:val="es-ES" w:eastAsia="es-ES" w:bidi="es-ES"/>
        </w:rPr>
      </w:pPr>
      <w:r w:rsidRPr="00FD7130">
        <w:rPr>
          <w:rFonts w:ascii="Arial" w:eastAsia="Arial" w:hAnsi="Arial" w:cs="Arial"/>
          <w:iCs/>
          <w:sz w:val="22"/>
          <w:lang w:val="es-ES" w:eastAsia="es-ES" w:bidi="es-ES"/>
        </w:rPr>
        <w:t xml:space="preserve">En el marco del ejercicio de planeación, la entidad podrá determinar la necesidad de establecer algunos valores topes para algunos </w:t>
      </w:r>
      <w:r w:rsidRPr="00FD7130">
        <w:rPr>
          <w:rFonts w:ascii="Arial" w:eastAsia="Arial" w:hAnsi="Arial" w:cs="Arial"/>
          <w:i/>
          <w:sz w:val="22"/>
          <w:lang w:val="es-ES" w:eastAsia="es-ES" w:bidi="es-ES"/>
        </w:rPr>
        <w:t xml:space="preserve">ítems, </w:t>
      </w:r>
      <w:r w:rsidRPr="00FD7130">
        <w:rPr>
          <w:rFonts w:ascii="Arial" w:eastAsia="Arial" w:hAnsi="Arial" w:cs="Arial"/>
          <w:iCs/>
          <w:sz w:val="22"/>
          <w:lang w:val="es-ES" w:eastAsia="es-ES" w:bidi="es-ES"/>
        </w:rPr>
        <w:t>los cuales no podrán ser excedidos por los proponentes al presentar sus ofertas.</w:t>
      </w:r>
      <w:r w:rsidRPr="00FD7130">
        <w:rPr>
          <w:rFonts w:ascii="Arial" w:eastAsia="Arial" w:hAnsi="Arial" w:cs="Arial"/>
          <w:sz w:val="22"/>
          <w:lang w:val="es-ES" w:eastAsia="es-ES" w:bidi="es-ES"/>
        </w:rPr>
        <w:t xml:space="preserve"> La inclusión que hace la entidad de valores que no deben ser excedidos por los proponentes al presentar sus ofertas no es una práctica generalizada ni obligatoria para todas las entidades, por cuanto la inclusión de estos </w:t>
      </w:r>
      <w:r w:rsidRPr="00FD7130">
        <w:rPr>
          <w:rFonts w:ascii="Arial" w:eastAsia="Arial" w:hAnsi="Arial" w:cs="Arial"/>
          <w:i/>
          <w:sz w:val="22"/>
          <w:lang w:val="es-ES" w:eastAsia="es-ES" w:bidi="es-ES"/>
        </w:rPr>
        <w:t>ítems</w:t>
      </w:r>
      <w:r w:rsidRPr="00FD7130">
        <w:rPr>
          <w:rFonts w:ascii="Arial" w:eastAsia="Arial" w:hAnsi="Arial" w:cs="Arial"/>
          <w:sz w:val="22"/>
          <w:lang w:val="es-ES" w:eastAsia="es-ES" w:bidi="es-ES"/>
        </w:rPr>
        <w:t xml:space="preserve"> debe estar justificada en situaciones </w:t>
      </w:r>
      <w:r w:rsidRPr="00FD7130">
        <w:rPr>
          <w:rFonts w:ascii="Arial" w:eastAsia="Arial" w:hAnsi="Arial" w:cs="Arial"/>
          <w:sz w:val="22"/>
          <w:lang w:val="es-ES" w:eastAsia="es-ES" w:bidi="es-ES"/>
        </w:rPr>
        <w:lastRenderedPageBreak/>
        <w:t xml:space="preserve">y eventos particulares de determinados procedimientos de contratación. Cuando las entidades estructuran el Formulario 1, incluyendo este tipo de </w:t>
      </w:r>
      <w:r w:rsidRPr="00FD7130">
        <w:rPr>
          <w:rFonts w:ascii="Arial" w:eastAsia="Arial" w:hAnsi="Arial" w:cs="Arial"/>
          <w:i/>
          <w:sz w:val="22"/>
          <w:lang w:val="es-ES" w:eastAsia="es-ES" w:bidi="es-ES"/>
        </w:rPr>
        <w:t>ítems</w:t>
      </w:r>
      <w:r w:rsidRPr="00FD7130">
        <w:rPr>
          <w:rFonts w:ascii="Arial" w:eastAsia="Arial" w:hAnsi="Arial" w:cs="Arial"/>
          <w:sz w:val="22"/>
          <w:lang w:val="es-ES" w:eastAsia="es-ES" w:bidi="es-ES"/>
        </w:rPr>
        <w:t xml:space="preserve"> y justificando su decisión, los proponentes deben incluirlos dentro de la oferta económica sin exceder el valor que la entidad ha definido, so pena del rechazo de la propuesta</w:t>
      </w:r>
      <w:r w:rsidRPr="00FD7130">
        <w:rPr>
          <w:rFonts w:ascii="Arial" w:eastAsia="Arial" w:hAnsi="Arial" w:cs="Arial"/>
          <w:sz w:val="22"/>
          <w:vertAlign w:val="superscript"/>
          <w:lang w:val="es-ES" w:eastAsia="es-ES" w:bidi="es-ES"/>
        </w:rPr>
        <w:footnoteReference w:id="2"/>
      </w:r>
      <w:r w:rsidRPr="00FD7130">
        <w:rPr>
          <w:rFonts w:ascii="Arial" w:eastAsia="Arial" w:hAnsi="Arial" w:cs="Arial"/>
          <w:sz w:val="22"/>
          <w:lang w:val="es-ES" w:eastAsia="es-ES" w:bidi="es-ES"/>
        </w:rPr>
        <w:t xml:space="preserve">. </w:t>
      </w:r>
    </w:p>
    <w:p w14:paraId="0B5140EA" w14:textId="77777777" w:rsidR="00FD7130" w:rsidRPr="00FD7130" w:rsidRDefault="00FD7130" w:rsidP="00FD7130">
      <w:pPr>
        <w:widowControl w:val="0"/>
        <w:autoSpaceDE w:val="0"/>
        <w:autoSpaceDN w:val="0"/>
        <w:spacing w:after="120"/>
        <w:ind w:firstLine="709"/>
        <w:rPr>
          <w:rFonts w:ascii="Arial" w:eastAsia="Arial" w:hAnsi="Arial" w:cs="Arial"/>
          <w:sz w:val="22"/>
          <w:lang w:val="es-ES" w:eastAsia="es-ES" w:bidi="es-ES"/>
        </w:rPr>
      </w:pPr>
      <w:r w:rsidRPr="00FD7130">
        <w:rPr>
          <w:rFonts w:ascii="Arial" w:eastAsia="Arial" w:hAnsi="Arial" w:cs="Arial"/>
          <w:sz w:val="22"/>
          <w:lang w:val="es-ES" w:eastAsia="es-ES" w:bidi="es-ES"/>
        </w:rPr>
        <w:t xml:space="preserve">De igual manera, en la primera hoja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FD7130">
        <w:rPr>
          <w:rFonts w:ascii="Arial" w:eastAsia="Arial" w:hAnsi="Arial" w:cs="Arial"/>
          <w:sz w:val="22"/>
          <w:lang w:val="es-ES" w:eastAsia="es-ES" w:bidi="es-ES"/>
        </w:rPr>
        <w:t>ii</w:t>
      </w:r>
      <w:proofErr w:type="spellEnd"/>
      <w:r w:rsidRPr="00FD7130">
        <w:rPr>
          <w:rFonts w:ascii="Arial" w:eastAsia="Arial" w:hAnsi="Arial" w:cs="Arial"/>
          <w:sz w:val="22"/>
          <w:lang w:val="es-ES" w:eastAsia="es-ES" w:bidi="es-ES"/>
        </w:rPr>
        <w:t xml:space="preserve">) imprevistos y </w:t>
      </w:r>
      <w:proofErr w:type="spellStart"/>
      <w:r w:rsidRPr="00FD7130">
        <w:rPr>
          <w:rFonts w:ascii="Arial" w:eastAsia="Arial" w:hAnsi="Arial" w:cs="Arial"/>
          <w:sz w:val="22"/>
          <w:lang w:val="es-ES" w:eastAsia="es-ES" w:bidi="es-ES"/>
        </w:rPr>
        <w:t>iii</w:t>
      </w:r>
      <w:proofErr w:type="spellEnd"/>
      <w:r w:rsidRPr="00FD7130">
        <w:rPr>
          <w:rFonts w:ascii="Arial" w:eastAsia="Arial" w:hAnsi="Arial" w:cs="Arial"/>
          <w:sz w:val="22"/>
          <w:lang w:val="es-ES" w:eastAsia="es-ES" w:bidi="es-ES"/>
        </w:rPr>
        <w:t>) utilidad, cuando el proceso de contratación sea por precios unitarios.</w:t>
      </w:r>
    </w:p>
    <w:p w14:paraId="473404DC" w14:textId="77777777" w:rsidR="00FD7130" w:rsidRPr="00FD7130" w:rsidRDefault="00FD7130" w:rsidP="00FD7130">
      <w:pPr>
        <w:widowControl w:val="0"/>
        <w:autoSpaceDE w:val="0"/>
        <w:autoSpaceDN w:val="0"/>
        <w:spacing w:after="120"/>
        <w:ind w:firstLine="709"/>
        <w:rPr>
          <w:rFonts w:ascii="Arial" w:eastAsia="Arial" w:hAnsi="Arial" w:cs="Arial"/>
          <w:sz w:val="22"/>
          <w:lang w:val="es-ES" w:eastAsia="es-ES" w:bidi="es-ES"/>
        </w:rPr>
      </w:pPr>
      <w:r w:rsidRPr="00FD7130">
        <w:rPr>
          <w:rFonts w:ascii="Arial" w:eastAsia="Arial" w:hAnsi="Arial" w:cs="Arial"/>
          <w:sz w:val="22"/>
          <w:lang w:val="es-ES" w:eastAsia="es-ES" w:bidi="es-ES"/>
        </w:rPr>
        <w:t xml:space="preserve">Al respecto, en la «Nota 1» se establece que el precio unitario incluye el valor de A.I.U. Por su parte, la «Nota 2» indica la regla que cuando la fracción decimal del peso sea igual o superior a 5 se aproximará por exceso al número entero siguiente del peso y cuando la fracción decimal del peso sea inferior a 5 se aproximará por defecto al número entero del peso. Finalmente, en la «Nota 3» se indica que el A.I.U y su discriminación debe ser en porcentaje. </w:t>
      </w:r>
    </w:p>
    <w:p w14:paraId="31AB3A13" w14:textId="77777777" w:rsidR="00FD7130" w:rsidRPr="00FD7130" w:rsidRDefault="00FD7130" w:rsidP="00FD7130">
      <w:pPr>
        <w:widowControl w:val="0"/>
        <w:autoSpaceDE w:val="0"/>
        <w:autoSpaceDN w:val="0"/>
        <w:spacing w:after="120"/>
        <w:ind w:firstLine="709"/>
        <w:rPr>
          <w:rFonts w:ascii="Arial" w:eastAsia="Arial" w:hAnsi="Arial" w:cs="Arial"/>
          <w:sz w:val="22"/>
          <w:lang w:val="es-ES" w:eastAsia="es-ES" w:bidi="es-ES"/>
        </w:rPr>
      </w:pPr>
      <w:r w:rsidRPr="00FD7130">
        <w:rPr>
          <w:rFonts w:ascii="Arial" w:eastAsia="Arial" w:hAnsi="Arial" w:cs="Arial"/>
          <w:sz w:val="22"/>
          <w:lang w:val="es-ES" w:eastAsia="es-ES" w:bidi="es-ES"/>
        </w:rPr>
        <w:t xml:space="preserve">De la redacción de estas notas se infiere que las entidades obligatoriamente aplicarán las notas definidas en el «Formulario 1 – Formulario del presupuesto oficial», cuando el proceso de contratación es estructurado por precios unitarios y, por ende, se incluirá el porcentaje respectivo a la: i) administración, </w:t>
      </w:r>
      <w:proofErr w:type="spellStart"/>
      <w:r w:rsidRPr="00FD7130">
        <w:rPr>
          <w:rFonts w:ascii="Arial" w:eastAsia="Arial" w:hAnsi="Arial" w:cs="Arial"/>
          <w:sz w:val="22"/>
          <w:lang w:val="es-ES" w:eastAsia="es-ES" w:bidi="es-ES"/>
        </w:rPr>
        <w:t>ii</w:t>
      </w:r>
      <w:proofErr w:type="spellEnd"/>
      <w:r w:rsidRPr="00FD7130">
        <w:rPr>
          <w:rFonts w:ascii="Arial" w:eastAsia="Arial" w:hAnsi="Arial" w:cs="Arial"/>
          <w:sz w:val="22"/>
          <w:lang w:val="es-ES" w:eastAsia="es-ES" w:bidi="es-ES"/>
        </w:rPr>
        <w:t xml:space="preserve">) imprevistos y </w:t>
      </w:r>
      <w:proofErr w:type="spellStart"/>
      <w:r w:rsidRPr="00FD7130">
        <w:rPr>
          <w:rFonts w:ascii="Arial" w:eastAsia="Arial" w:hAnsi="Arial" w:cs="Arial"/>
          <w:sz w:val="22"/>
          <w:lang w:val="es-ES" w:eastAsia="es-ES" w:bidi="es-ES"/>
        </w:rPr>
        <w:t>iii</w:t>
      </w:r>
      <w:proofErr w:type="spellEnd"/>
      <w:r w:rsidRPr="00FD7130">
        <w:rPr>
          <w:rFonts w:ascii="Arial" w:eastAsia="Arial" w:hAnsi="Arial" w:cs="Arial"/>
          <w:sz w:val="22"/>
          <w:lang w:val="es-ES" w:eastAsia="es-ES" w:bidi="es-ES"/>
        </w:rPr>
        <w:t xml:space="preserve">) utilidad. En consecuencia, las entidades no podrán omitir alguno de sus componentes y lo definirán de acuerdo con el estudio de mercado y el sector, incluyendo el valor que consideren procedente. Además, el «Formulario 1 – Formulario de Presupuesto Oficial» señala los espacios en los cuales se incluirán estos porcentajes. Así se determina en los siguientes términos: </w:t>
      </w:r>
    </w:p>
    <w:tbl>
      <w:tblPr>
        <w:tblStyle w:val="Tablaconcuadrcula11"/>
        <w:tblW w:w="8247" w:type="dxa"/>
        <w:jc w:val="center"/>
        <w:tblInd w:w="0" w:type="dxa"/>
        <w:tblLook w:val="04A0" w:firstRow="1" w:lastRow="0" w:firstColumn="1" w:lastColumn="0" w:noHBand="0" w:noVBand="1"/>
      </w:tblPr>
      <w:tblGrid>
        <w:gridCol w:w="2794"/>
        <w:gridCol w:w="2409"/>
        <w:gridCol w:w="3044"/>
      </w:tblGrid>
      <w:tr w:rsidR="00FD7130" w:rsidRPr="00FD7130" w14:paraId="3E3E10C7" w14:textId="77777777" w:rsidTr="003B2F5C">
        <w:trPr>
          <w:trHeight w:val="256"/>
          <w:jc w:val="center"/>
        </w:trPr>
        <w:tc>
          <w:tcPr>
            <w:tcW w:w="5203" w:type="dxa"/>
            <w:gridSpan w:val="2"/>
            <w:hideMark/>
          </w:tcPr>
          <w:p w14:paraId="10DFAFB1"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t>DESCRIPCION</w:t>
            </w:r>
          </w:p>
        </w:tc>
        <w:tc>
          <w:tcPr>
            <w:tcW w:w="3044" w:type="dxa"/>
            <w:noWrap/>
            <w:hideMark/>
          </w:tcPr>
          <w:p w14:paraId="7063C309"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t xml:space="preserve"> PORCENTAJE </w:t>
            </w:r>
          </w:p>
        </w:tc>
      </w:tr>
      <w:tr w:rsidR="00FD7130" w:rsidRPr="00FD7130" w14:paraId="267C7337" w14:textId="77777777" w:rsidTr="0043106B">
        <w:trPr>
          <w:trHeight w:val="375"/>
          <w:jc w:val="center"/>
        </w:trPr>
        <w:tc>
          <w:tcPr>
            <w:tcW w:w="2794" w:type="dxa"/>
            <w:noWrap/>
            <w:hideMark/>
          </w:tcPr>
          <w:p w14:paraId="6E167A55"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lastRenderedPageBreak/>
              <w:t>ADMINISTRACIÓN</w:t>
            </w:r>
          </w:p>
        </w:tc>
        <w:tc>
          <w:tcPr>
            <w:tcW w:w="2408" w:type="dxa"/>
            <w:noWrap/>
            <w:hideMark/>
          </w:tcPr>
          <w:p w14:paraId="6F5FF920"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t xml:space="preserve"> A= </w:t>
            </w:r>
          </w:p>
        </w:tc>
        <w:tc>
          <w:tcPr>
            <w:tcW w:w="3044" w:type="dxa"/>
            <w:noWrap/>
            <w:hideMark/>
          </w:tcPr>
          <w:p w14:paraId="4FE53058" w14:textId="77777777" w:rsidR="00FD7130" w:rsidRPr="00FD7130" w:rsidRDefault="00FD7130" w:rsidP="00FD7130">
            <w:pPr>
              <w:jc w:val="center"/>
              <w:rPr>
                <w:rFonts w:ascii="Arial" w:hAnsi="Arial" w:cs="Arial"/>
                <w:sz w:val="20"/>
                <w:lang w:eastAsia="es-CO"/>
              </w:rPr>
            </w:pPr>
            <w:r w:rsidRPr="00FD7130">
              <w:rPr>
                <w:rFonts w:ascii="Arial" w:hAnsi="Arial" w:cs="Arial"/>
                <w:sz w:val="20"/>
                <w:lang w:eastAsia="es-CO"/>
              </w:rPr>
              <w:t>[Determinar por la Entidad]</w:t>
            </w:r>
          </w:p>
        </w:tc>
      </w:tr>
      <w:tr w:rsidR="00FD7130" w:rsidRPr="00FD7130" w14:paraId="630C0138" w14:textId="77777777" w:rsidTr="0043106B">
        <w:trPr>
          <w:trHeight w:val="349"/>
          <w:jc w:val="center"/>
        </w:trPr>
        <w:tc>
          <w:tcPr>
            <w:tcW w:w="2794" w:type="dxa"/>
            <w:hideMark/>
          </w:tcPr>
          <w:p w14:paraId="0F5CD741"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t>IMPREVISTO</w:t>
            </w:r>
          </w:p>
        </w:tc>
        <w:tc>
          <w:tcPr>
            <w:tcW w:w="2408" w:type="dxa"/>
            <w:noWrap/>
            <w:hideMark/>
          </w:tcPr>
          <w:p w14:paraId="77BA9D05"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t xml:space="preserve"> I= </w:t>
            </w:r>
          </w:p>
        </w:tc>
        <w:tc>
          <w:tcPr>
            <w:tcW w:w="3044" w:type="dxa"/>
            <w:noWrap/>
            <w:hideMark/>
          </w:tcPr>
          <w:p w14:paraId="4D26C2CD" w14:textId="77777777" w:rsidR="00FD7130" w:rsidRPr="00FD7130" w:rsidRDefault="00FD7130" w:rsidP="00FD7130">
            <w:pPr>
              <w:jc w:val="center"/>
              <w:rPr>
                <w:rFonts w:ascii="Arial" w:hAnsi="Arial" w:cs="Arial"/>
                <w:sz w:val="20"/>
                <w:lang w:eastAsia="es-CO"/>
              </w:rPr>
            </w:pPr>
            <w:r w:rsidRPr="00FD7130">
              <w:rPr>
                <w:rFonts w:ascii="Arial" w:hAnsi="Arial" w:cs="Arial"/>
                <w:sz w:val="20"/>
                <w:lang w:eastAsia="es-CO"/>
              </w:rPr>
              <w:t>[Determinar por la Entidad]</w:t>
            </w:r>
          </w:p>
        </w:tc>
      </w:tr>
      <w:tr w:rsidR="00FD7130" w:rsidRPr="00FD7130" w14:paraId="33220966" w14:textId="77777777" w:rsidTr="003B2F5C">
        <w:trPr>
          <w:trHeight w:val="384"/>
          <w:jc w:val="center"/>
        </w:trPr>
        <w:tc>
          <w:tcPr>
            <w:tcW w:w="2794" w:type="dxa"/>
            <w:hideMark/>
          </w:tcPr>
          <w:p w14:paraId="5E97BDDF"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t>UTILIDAD</w:t>
            </w:r>
          </w:p>
        </w:tc>
        <w:tc>
          <w:tcPr>
            <w:tcW w:w="2408" w:type="dxa"/>
            <w:noWrap/>
            <w:hideMark/>
          </w:tcPr>
          <w:p w14:paraId="7E5C0FDD"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t xml:space="preserve"> U= </w:t>
            </w:r>
          </w:p>
        </w:tc>
        <w:tc>
          <w:tcPr>
            <w:tcW w:w="3044" w:type="dxa"/>
            <w:noWrap/>
            <w:hideMark/>
          </w:tcPr>
          <w:p w14:paraId="2CD99B28" w14:textId="77777777" w:rsidR="00FD7130" w:rsidRPr="00FD7130" w:rsidRDefault="00FD7130" w:rsidP="00FD7130">
            <w:pPr>
              <w:jc w:val="center"/>
              <w:rPr>
                <w:rFonts w:ascii="Arial" w:hAnsi="Arial" w:cs="Arial"/>
                <w:sz w:val="20"/>
                <w:lang w:eastAsia="es-CO"/>
              </w:rPr>
            </w:pPr>
            <w:r w:rsidRPr="00FD7130">
              <w:rPr>
                <w:rFonts w:ascii="Arial" w:hAnsi="Arial" w:cs="Arial"/>
                <w:sz w:val="20"/>
                <w:lang w:eastAsia="es-CO"/>
              </w:rPr>
              <w:t>[Determinar por la Entidad]</w:t>
            </w:r>
          </w:p>
        </w:tc>
      </w:tr>
      <w:tr w:rsidR="00FD7130" w:rsidRPr="00FD7130" w14:paraId="451D28A8" w14:textId="77777777" w:rsidTr="003B2F5C">
        <w:trPr>
          <w:trHeight w:val="276"/>
          <w:jc w:val="center"/>
        </w:trPr>
        <w:tc>
          <w:tcPr>
            <w:tcW w:w="2794" w:type="dxa"/>
            <w:noWrap/>
            <w:hideMark/>
          </w:tcPr>
          <w:p w14:paraId="3BCF6CEA"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t>TOTAL A.I.U.</w:t>
            </w:r>
          </w:p>
        </w:tc>
        <w:tc>
          <w:tcPr>
            <w:tcW w:w="2408" w:type="dxa"/>
            <w:noWrap/>
            <w:hideMark/>
          </w:tcPr>
          <w:p w14:paraId="1F922533" w14:textId="77777777" w:rsidR="00FD7130" w:rsidRPr="00FD7130" w:rsidRDefault="00FD7130" w:rsidP="00FD7130">
            <w:pPr>
              <w:jc w:val="center"/>
              <w:rPr>
                <w:rFonts w:ascii="Arial" w:hAnsi="Arial" w:cs="Arial"/>
                <w:b/>
                <w:bCs/>
                <w:sz w:val="20"/>
                <w:lang w:eastAsia="es-CO"/>
              </w:rPr>
            </w:pPr>
            <w:r w:rsidRPr="00FD7130">
              <w:rPr>
                <w:rFonts w:ascii="Arial" w:hAnsi="Arial" w:cs="Arial"/>
                <w:b/>
                <w:bCs/>
                <w:sz w:val="20"/>
                <w:lang w:eastAsia="es-CO"/>
              </w:rPr>
              <w:t xml:space="preserve"> A.I.U.= </w:t>
            </w:r>
          </w:p>
        </w:tc>
        <w:tc>
          <w:tcPr>
            <w:tcW w:w="3044" w:type="dxa"/>
            <w:noWrap/>
            <w:hideMark/>
          </w:tcPr>
          <w:p w14:paraId="44A9E759" w14:textId="77777777" w:rsidR="00FD7130" w:rsidRPr="00FD7130" w:rsidRDefault="00FD7130" w:rsidP="00FD7130">
            <w:pPr>
              <w:jc w:val="center"/>
              <w:rPr>
                <w:rFonts w:ascii="Arial" w:hAnsi="Arial" w:cs="Arial"/>
                <w:sz w:val="20"/>
                <w:lang w:eastAsia="es-CO"/>
              </w:rPr>
            </w:pPr>
            <w:r w:rsidRPr="00FD7130">
              <w:rPr>
                <w:rFonts w:ascii="Arial" w:hAnsi="Arial" w:cs="Arial"/>
                <w:sz w:val="20"/>
                <w:lang w:eastAsia="es-CO"/>
              </w:rPr>
              <w:t>[Determinar por la Entidad]</w:t>
            </w:r>
          </w:p>
        </w:tc>
      </w:tr>
    </w:tbl>
    <w:p w14:paraId="243C0345" w14:textId="77777777" w:rsidR="002257D4" w:rsidRDefault="002257D4" w:rsidP="00FD7130">
      <w:pPr>
        <w:widowControl w:val="0"/>
        <w:autoSpaceDE w:val="0"/>
        <w:autoSpaceDN w:val="0"/>
        <w:spacing w:after="120"/>
        <w:ind w:firstLine="709"/>
        <w:rPr>
          <w:rFonts w:ascii="Arial" w:eastAsia="Arial" w:hAnsi="Arial" w:cs="Arial"/>
          <w:sz w:val="22"/>
          <w:lang w:val="es-ES" w:eastAsia="es-ES" w:bidi="es-ES"/>
        </w:rPr>
      </w:pPr>
    </w:p>
    <w:p w14:paraId="4214D2BE" w14:textId="463617CE" w:rsidR="00FD7130" w:rsidRPr="00FD7130" w:rsidRDefault="00FD7130" w:rsidP="00FD7130">
      <w:pPr>
        <w:widowControl w:val="0"/>
        <w:autoSpaceDE w:val="0"/>
        <w:autoSpaceDN w:val="0"/>
        <w:spacing w:after="120"/>
        <w:ind w:firstLine="709"/>
        <w:rPr>
          <w:rFonts w:ascii="Arial" w:eastAsia="Arial" w:hAnsi="Arial" w:cs="Arial"/>
          <w:sz w:val="22"/>
          <w:lang w:val="es-ES" w:eastAsia="es-ES" w:bidi="es-ES"/>
        </w:rPr>
      </w:pPr>
      <w:r w:rsidRPr="00FD7130">
        <w:rPr>
          <w:rFonts w:ascii="Arial" w:eastAsia="Arial" w:hAnsi="Arial" w:cs="Arial"/>
          <w:sz w:val="22"/>
          <w:lang w:val="es-ES" w:eastAsia="es-ES" w:bidi="es-ES"/>
        </w:rPr>
        <w:t>En este sentido,</w:t>
      </w:r>
      <w:r w:rsidR="002811F4">
        <w:rPr>
          <w:rFonts w:ascii="Arial" w:eastAsia="Arial" w:hAnsi="Arial" w:cs="Arial"/>
          <w:sz w:val="22"/>
          <w:lang w:val="es-ES" w:eastAsia="es-ES" w:bidi="es-ES"/>
        </w:rPr>
        <w:t xml:space="preserve"> en virtud d</w:t>
      </w:r>
      <w:r w:rsidRPr="00FD7130">
        <w:rPr>
          <w:rFonts w:ascii="Arial" w:eastAsia="Arial" w:hAnsi="Arial" w:cs="Arial"/>
          <w:sz w:val="22"/>
          <w:lang w:val="es-ES" w:eastAsia="es-ES" w:bidi="es-ES"/>
        </w:rPr>
        <w:t>el principio de inalterabilidad, las entidades solo pueden modificar aquello que el documento tipo permita. Por ello, debido a que la primera hoja del Formulario 1 – Formulario del Presupuesto Oficial parcialmente impide su modificación en los procesos estructurados por precios unitarios, no será posible omitir alguno de los componentes del A.I.U. Bajo ese entendido, las entidades no podrán eliminar o modificar la fila correspondiente al imprevisto, ni eliminar o modificar las «Nota 1 a 3» que versan sobre el uso de precios unitarios con componentes del A.I.U.</w:t>
      </w:r>
    </w:p>
    <w:p w14:paraId="33E587F5" w14:textId="7C688B1F" w:rsidR="00FD7130" w:rsidRPr="00FD7130" w:rsidRDefault="00FD7130" w:rsidP="00FD7130">
      <w:pPr>
        <w:widowControl w:val="0"/>
        <w:autoSpaceDE w:val="0"/>
        <w:autoSpaceDN w:val="0"/>
        <w:spacing w:before="120" w:after="0"/>
        <w:ind w:firstLine="709"/>
        <w:rPr>
          <w:rFonts w:ascii="Arial" w:eastAsia="Arial" w:hAnsi="Arial" w:cs="Arial"/>
          <w:sz w:val="22"/>
          <w:lang w:val="es-ES" w:eastAsia="es-ES" w:bidi="es-ES"/>
        </w:rPr>
      </w:pPr>
      <w:r w:rsidRPr="00FD7130">
        <w:rPr>
          <w:rFonts w:ascii="Arial" w:eastAsia="Arial" w:hAnsi="Arial" w:cs="Arial"/>
          <w:sz w:val="22"/>
          <w:lang w:eastAsia="es-ES" w:bidi="es-ES"/>
        </w:rPr>
        <w:t xml:space="preserve">De otra parte, </w:t>
      </w:r>
      <w:r w:rsidRPr="00FD7130">
        <w:rPr>
          <w:rFonts w:ascii="Arial" w:eastAsia="Arial" w:hAnsi="Arial" w:cs="Arial"/>
          <w:sz w:val="22"/>
          <w:lang w:val="es-ES" w:eastAsia="es-ES" w:bidi="es-ES"/>
        </w:rPr>
        <w:t>en los documentos tipo para procesos de licitación pública de obras de infraestructura de transporte</w:t>
      </w:r>
      <w:r w:rsidR="00037837">
        <w:rPr>
          <w:rFonts w:ascii="Arial" w:eastAsia="Arial" w:hAnsi="Arial" w:cs="Arial"/>
          <w:sz w:val="22"/>
          <w:lang w:val="es-ES" w:eastAsia="es-ES" w:bidi="es-ES"/>
        </w:rPr>
        <w:t xml:space="preserve"> – versión 3 – , </w:t>
      </w:r>
      <w:r w:rsidRPr="00FD7130">
        <w:rPr>
          <w:rFonts w:ascii="Arial" w:eastAsia="Arial" w:hAnsi="Arial" w:cs="Arial"/>
          <w:sz w:val="22"/>
          <w:lang w:val="es-ES" w:eastAsia="es-ES" w:bidi="es-ES"/>
        </w:rPr>
        <w:t xml:space="preserve"> el «Formulario 1</w:t>
      </w:r>
      <w:r w:rsidRPr="00FD7130">
        <w:rPr>
          <w:rFonts w:ascii="Arial" w:eastAsia="Calibri" w:hAnsi="Arial" w:cs="Arial"/>
          <w:sz w:val="22"/>
          <w:lang w:val="es-ES" w:eastAsia="es-ES" w:bidi="es-ES"/>
        </w:rPr>
        <w:t>» en su segunda pestaña en Excel, titulada «Formulario 1 propuesta económica»</w:t>
      </w:r>
      <w:r w:rsidRPr="00FD7130">
        <w:rPr>
          <w:rFonts w:ascii="Arial" w:eastAsia="Arial" w:hAnsi="Arial" w:cs="Arial"/>
          <w:sz w:val="22"/>
          <w:lang w:val="es-ES" w:eastAsia="es-ES" w:bidi="es-ES"/>
        </w:rPr>
        <w:t xml:space="preserve"> señala en la parte superior derecha: «[La entidad puede utilizar este formulario de presentación de propuesta económica de forma detallada, sin perjuicio que la entidad pueda modificarlo o establecer la presentación de la oferta económica con un formulario distinto al indicado.]». </w:t>
      </w:r>
      <w:r w:rsidRPr="00FD7130">
        <w:rPr>
          <w:rFonts w:ascii="Arial" w:eastAsia="Calibri" w:hAnsi="Arial" w:cs="Arial"/>
          <w:color w:val="000000"/>
          <w:sz w:val="22"/>
          <w:lang w:val="es-ES_tradnl"/>
        </w:rPr>
        <w:t>Igualmente, se indica que los proponentes emplearán el formulario establecido por la entidad para determinar su propuesta económica conforme al Formulario 1 - Presupuesto Oficial publicado por la Entidad. Esto</w:t>
      </w:r>
      <w:r w:rsidRPr="00FD7130">
        <w:rPr>
          <w:rFonts w:ascii="Arial" w:eastAsia="Calibri" w:hAnsi="Arial" w:cs="Arial"/>
          <w:sz w:val="22"/>
          <w:lang w:val="es-ES_tradnl"/>
        </w:rPr>
        <w:t xml:space="preserve"> significa </w:t>
      </w:r>
      <w:r w:rsidRPr="00FD7130">
        <w:rPr>
          <w:rFonts w:ascii="Arial" w:eastAsia="Calibri" w:hAnsi="Arial" w:cs="Arial"/>
          <w:sz w:val="22"/>
          <w:lang w:val="es-ES"/>
        </w:rPr>
        <w:t>que las entidades pueden diseñar un formulario para que los proponentes presenten su oferta económica, sin que sea obligatorio sujetarse al formulario que los documentos tipo proponen para el efecto.</w:t>
      </w:r>
      <w:r w:rsidRPr="00FD7130">
        <w:rPr>
          <w:rFonts w:ascii="Arial" w:eastAsia="Arial" w:hAnsi="Arial" w:cs="Arial"/>
          <w:bCs/>
          <w:sz w:val="22"/>
          <w:lang w:val="es-ES"/>
        </w:rPr>
        <w:t xml:space="preserve"> En todo caso, el proponente deberá emplear el formulario que establezca la entidad. </w:t>
      </w:r>
    </w:p>
    <w:p w14:paraId="079DA00B" w14:textId="77777777" w:rsidR="00FD7130" w:rsidRPr="00FD7130" w:rsidRDefault="00FD7130" w:rsidP="00FD7130">
      <w:pPr>
        <w:widowControl w:val="0"/>
        <w:autoSpaceDE w:val="0"/>
        <w:autoSpaceDN w:val="0"/>
        <w:spacing w:before="120" w:after="0"/>
        <w:ind w:firstLine="709"/>
        <w:rPr>
          <w:rFonts w:ascii="Arial" w:eastAsia="Arial" w:hAnsi="Arial" w:cs="Arial"/>
          <w:bCs/>
          <w:sz w:val="22"/>
          <w:lang w:val="es-ES"/>
        </w:rPr>
      </w:pPr>
      <w:r w:rsidRPr="00FD7130">
        <w:rPr>
          <w:rFonts w:ascii="Arial" w:eastAsia="Arial" w:hAnsi="Arial" w:cs="Arial"/>
          <w:bCs/>
          <w:sz w:val="22"/>
          <w:lang w:val="es-ES"/>
        </w:rPr>
        <w:t xml:space="preserve">Lo anterior es concordante con lo dispuesto en el numeral 4.1 del Documento Base, que establece que la entidad «debe configurar el formato de oferta económica que se encuentra en el Formulario 1 – Formulario de Presupuesto Oficial, para que sea diligenciado por los proponentes». En tales términos, la presentación de la oferta económica por parte del proponente se realizará teniendo en cuenta el formato determinado por la entidad, sea el que configure de acuerdo con el Formulario 1 o aquel que disponga sobre el particular. Adicionalmente, los proponentes al presentar su oferta deberán ceñirse a las reglas para la presentación de oferta establecidas en los numerales 2.3 y 4.1 del Documento Base, así como observar el análisis de precios </w:t>
      </w:r>
      <w:r w:rsidRPr="00FD7130">
        <w:rPr>
          <w:rFonts w:ascii="Arial" w:eastAsia="Arial" w:hAnsi="Arial" w:cs="Arial"/>
          <w:bCs/>
          <w:sz w:val="22"/>
          <w:lang w:val="es-ES"/>
        </w:rPr>
        <w:lastRenderedPageBreak/>
        <w:t xml:space="preserve">unitarios, procurando no ofertar por encima de los valores tope establecidos por la entidad para algunos de los </w:t>
      </w:r>
      <w:r w:rsidRPr="00FD7130">
        <w:rPr>
          <w:rFonts w:ascii="Arial" w:eastAsia="Arial" w:hAnsi="Arial" w:cs="Arial"/>
          <w:bCs/>
          <w:i/>
          <w:iCs/>
          <w:sz w:val="22"/>
          <w:lang w:val="es-ES"/>
        </w:rPr>
        <w:t>ítems</w:t>
      </w:r>
      <w:r w:rsidRPr="00FD7130">
        <w:rPr>
          <w:rFonts w:ascii="Arial" w:eastAsia="Arial" w:hAnsi="Arial" w:cs="Arial"/>
          <w:bCs/>
          <w:sz w:val="22"/>
          <w:lang w:val="es-ES"/>
        </w:rPr>
        <w:t xml:space="preserve">, en caso de que se opte por dicha regulación.  </w:t>
      </w:r>
    </w:p>
    <w:p w14:paraId="451177E6" w14:textId="77777777" w:rsidR="00FD7130" w:rsidRPr="00FD7130" w:rsidRDefault="00FD7130" w:rsidP="00FD7130">
      <w:pPr>
        <w:widowControl w:val="0"/>
        <w:autoSpaceDE w:val="0"/>
        <w:autoSpaceDN w:val="0"/>
        <w:spacing w:before="120" w:after="0"/>
        <w:ind w:firstLine="709"/>
        <w:rPr>
          <w:rFonts w:ascii="Arial" w:eastAsia="Calibri" w:hAnsi="Arial" w:cs="Arial"/>
          <w:sz w:val="22"/>
          <w:lang w:val="es-ES"/>
        </w:rPr>
      </w:pPr>
      <w:r w:rsidRPr="00FD7130">
        <w:rPr>
          <w:rFonts w:ascii="Arial" w:eastAsia="Calibri" w:hAnsi="Arial" w:cs="Arial"/>
          <w:sz w:val="22"/>
          <w:lang w:val="es-ES"/>
        </w:rPr>
        <w:t>Así las cosas, los oferentes deben usar la segunda pestaña del «Formulario 1 – Formulario de Presupuesto Oficial» puesta a disposición en formato Excel por la respectiva entidad, titulada «propuesta económica», sin perjuicio de que las entidades estatales modifiquen o establezcan la presentación de la oferta económica en un formulario distinto o que realicen modificaciones parciales al mismo, dentro de las posibilidades que admite el mismo Formulario.</w:t>
      </w:r>
    </w:p>
    <w:p w14:paraId="4A318B58" w14:textId="56F3DAAF" w:rsidR="00FD7130" w:rsidRPr="00FD7130" w:rsidRDefault="00FD7130" w:rsidP="00FD7130">
      <w:pPr>
        <w:widowControl w:val="0"/>
        <w:autoSpaceDE w:val="0"/>
        <w:autoSpaceDN w:val="0"/>
        <w:spacing w:before="120" w:after="0"/>
        <w:ind w:firstLine="709"/>
        <w:rPr>
          <w:rFonts w:ascii="Arial" w:eastAsia="Arial" w:hAnsi="Arial" w:cs="Arial"/>
          <w:sz w:val="22"/>
          <w:lang w:val="es-ES" w:eastAsia="es-ES" w:bidi="es-ES"/>
        </w:rPr>
      </w:pPr>
      <w:r w:rsidRPr="00FD7130">
        <w:rPr>
          <w:rFonts w:ascii="Arial" w:eastAsia="Calibri" w:hAnsi="Arial" w:cs="Arial"/>
          <w:sz w:val="22"/>
          <w:lang w:val="es-ES"/>
        </w:rPr>
        <w:t xml:space="preserve">En línea con lo anterior, cabe precisar que </w:t>
      </w:r>
      <w:r w:rsidR="008E1374" w:rsidRPr="00FD7130">
        <w:rPr>
          <w:rFonts w:ascii="Arial" w:eastAsia="Calibri" w:hAnsi="Arial" w:cs="Arial"/>
          <w:sz w:val="22"/>
          <w:lang w:val="es-ES"/>
        </w:rPr>
        <w:t>consideraciones</w:t>
      </w:r>
      <w:r w:rsidRPr="00FD7130">
        <w:rPr>
          <w:rFonts w:ascii="Arial" w:eastAsia="Calibri" w:hAnsi="Arial" w:cs="Arial"/>
          <w:sz w:val="22"/>
          <w:lang w:val="es-ES"/>
        </w:rPr>
        <w:t xml:space="preserve"> similares a las realizadas frente a la primera pestaña de Excel, donde la entidad elabora el presupuesto oficial, son aplicables a la segunda pestaña donde la entidad configura el formulario mediante el cual los proponentes presentarán sus </w:t>
      </w:r>
      <w:proofErr w:type="gramStart"/>
      <w:r w:rsidRPr="00FD7130">
        <w:rPr>
          <w:rFonts w:ascii="Arial" w:eastAsia="Calibri" w:hAnsi="Arial" w:cs="Arial"/>
          <w:sz w:val="22"/>
          <w:lang w:val="es-ES"/>
        </w:rPr>
        <w:t>ofertas económica</w:t>
      </w:r>
      <w:proofErr w:type="gramEnd"/>
      <w:r w:rsidRPr="00FD7130">
        <w:rPr>
          <w:rFonts w:ascii="Arial" w:eastAsia="Calibri" w:hAnsi="Arial" w:cs="Arial"/>
          <w:sz w:val="22"/>
          <w:lang w:val="es-ES"/>
        </w:rPr>
        <w:t>, lo anterior debido a que ambas pestañas tienen instrucciones similares respecto a su configuración por parte de las entidades estatales. En efecto, es posible, como se señaló anteriormente, que la entidad configure un formulario distinto para la presentación de las ofertas económicas o que lo modifique. Sin embargo, la segunda pestaña de Excel tiene la instrucción consisten</w:t>
      </w:r>
      <w:r w:rsidR="00692C1D">
        <w:rPr>
          <w:rFonts w:ascii="Arial" w:eastAsia="Calibri" w:hAnsi="Arial" w:cs="Arial"/>
          <w:sz w:val="22"/>
          <w:lang w:val="es-ES"/>
        </w:rPr>
        <w:t>t</w:t>
      </w:r>
      <w:r w:rsidRPr="00FD7130">
        <w:rPr>
          <w:rFonts w:ascii="Arial" w:eastAsia="Calibri" w:hAnsi="Arial" w:cs="Arial"/>
          <w:sz w:val="22"/>
          <w:lang w:val="es-ES"/>
        </w:rPr>
        <w:t>e en que: «</w:t>
      </w:r>
      <w:proofErr w:type="spellStart"/>
      <w:r w:rsidR="00692C1D" w:rsidRPr="00692C1D">
        <w:rPr>
          <w:rFonts w:ascii="Arial" w:hAnsi="Arial" w:cs="Arial"/>
        </w:rPr>
        <w:t>cu</w:t>
      </w:r>
      <w:proofErr w:type="spellEnd"/>
      <w:r w:rsidRPr="00FD7130">
        <w:rPr>
          <w:rFonts w:ascii="Arial" w:eastAsia="Calibri" w:hAnsi="Arial" w:cs="Arial"/>
          <w:sz w:val="22"/>
          <w:lang w:val="es-ES"/>
        </w:rPr>
        <w:t xml:space="preserve">ando el proceso de contratación es estructurado por precios unitarios, la Entidad debe aplicar las notas 1, 2 y 3 del presente formato y las casillas de "Descripción", "Porcentaje" de la Administración, Imprevisto, Utilidad y </w:t>
      </w:r>
      <w:proofErr w:type="gramStart"/>
      <w:r w:rsidRPr="00FD7130">
        <w:rPr>
          <w:rFonts w:ascii="Arial" w:eastAsia="Calibri" w:hAnsi="Arial" w:cs="Arial"/>
          <w:sz w:val="22"/>
          <w:lang w:val="es-ES"/>
        </w:rPr>
        <w:t>total  A.I.U.</w:t>
      </w:r>
      <w:proofErr w:type="gramEnd"/>
      <w:r w:rsidRPr="00FD7130">
        <w:rPr>
          <w:rFonts w:ascii="Arial" w:eastAsia="Calibri" w:hAnsi="Arial" w:cs="Arial"/>
          <w:sz w:val="22"/>
          <w:lang w:val="es-ES"/>
        </w:rPr>
        <w:t xml:space="preserve">  resaltadas en color amarillo». En este sentido, cuando se trate de un proceso estructurado por precios unitarios, la entidad obligatoriamente debe mantener y aplicar las notas 1, 2 y 3; además de mantener las casillas de "Descripción", "Porcentaje" de la Administración, Imprevisto, Utilidad y total A.I.U. P</w:t>
      </w:r>
      <w:r w:rsidRPr="00FD7130">
        <w:rPr>
          <w:rFonts w:ascii="Arial" w:eastAsia="Arial" w:hAnsi="Arial" w:cs="Arial"/>
          <w:sz w:val="22"/>
          <w:lang w:val="es-ES" w:eastAsia="es-ES" w:bidi="es-ES"/>
        </w:rPr>
        <w:t xml:space="preserve">or ende, se incluirá el porcentaje respectivo a la: i) administración, </w:t>
      </w:r>
      <w:proofErr w:type="spellStart"/>
      <w:r w:rsidRPr="00FD7130">
        <w:rPr>
          <w:rFonts w:ascii="Arial" w:eastAsia="Arial" w:hAnsi="Arial" w:cs="Arial"/>
          <w:sz w:val="22"/>
          <w:lang w:val="es-ES" w:eastAsia="es-ES" w:bidi="es-ES"/>
        </w:rPr>
        <w:t>ii</w:t>
      </w:r>
      <w:proofErr w:type="spellEnd"/>
      <w:r w:rsidRPr="00FD7130">
        <w:rPr>
          <w:rFonts w:ascii="Arial" w:eastAsia="Arial" w:hAnsi="Arial" w:cs="Arial"/>
          <w:sz w:val="22"/>
          <w:lang w:val="es-ES" w:eastAsia="es-ES" w:bidi="es-ES"/>
        </w:rPr>
        <w:t xml:space="preserve">) imprevistos y </w:t>
      </w:r>
      <w:proofErr w:type="spellStart"/>
      <w:r w:rsidRPr="00FD7130">
        <w:rPr>
          <w:rFonts w:ascii="Arial" w:eastAsia="Arial" w:hAnsi="Arial" w:cs="Arial"/>
          <w:sz w:val="22"/>
          <w:lang w:val="es-ES" w:eastAsia="es-ES" w:bidi="es-ES"/>
        </w:rPr>
        <w:t>iii</w:t>
      </w:r>
      <w:proofErr w:type="spellEnd"/>
      <w:r w:rsidRPr="00FD7130">
        <w:rPr>
          <w:rFonts w:ascii="Arial" w:eastAsia="Arial" w:hAnsi="Arial" w:cs="Arial"/>
          <w:sz w:val="22"/>
          <w:lang w:val="es-ES" w:eastAsia="es-ES" w:bidi="es-ES"/>
        </w:rPr>
        <w:t xml:space="preserve">) utilidad. </w:t>
      </w:r>
    </w:p>
    <w:p w14:paraId="0384BA85" w14:textId="470D2CC3" w:rsidR="00B0312C" w:rsidRPr="00FD7130" w:rsidRDefault="00FD7130" w:rsidP="00FD7130">
      <w:pPr>
        <w:widowControl w:val="0"/>
        <w:autoSpaceDE w:val="0"/>
        <w:autoSpaceDN w:val="0"/>
        <w:spacing w:before="120" w:after="0"/>
        <w:ind w:firstLine="709"/>
        <w:rPr>
          <w:rFonts w:ascii="Arial" w:eastAsia="Calibri" w:hAnsi="Arial" w:cs="Arial"/>
          <w:sz w:val="22"/>
          <w:lang w:val="es-ES"/>
        </w:rPr>
      </w:pPr>
      <w:r w:rsidRPr="00FD7130">
        <w:rPr>
          <w:rFonts w:ascii="Arial" w:eastAsia="Arial" w:hAnsi="Arial" w:cs="Arial"/>
          <w:sz w:val="22"/>
          <w:lang w:val="es-ES" w:eastAsia="es-ES" w:bidi="es-ES"/>
        </w:rPr>
        <w:t xml:space="preserve">Sin perjuicio de las restricciones anteriores, respecto a la modificación del formulario que las entidades pondrán a disposición de los oferentes para la presentación de las ofertas económicas, que aplican cuando el proceso se estructura por precios unitarios, es posible, como se desprende de las instrucciones del formulario, que se realicen </w:t>
      </w:r>
      <w:r w:rsidR="009368EF" w:rsidRPr="00FD7130">
        <w:rPr>
          <w:rFonts w:ascii="Arial" w:eastAsia="Arial" w:hAnsi="Arial" w:cs="Arial"/>
          <w:sz w:val="22"/>
          <w:lang w:val="es-ES" w:eastAsia="es-ES" w:bidi="es-ES"/>
        </w:rPr>
        <w:t>modificaciones</w:t>
      </w:r>
      <w:r w:rsidRPr="00FD7130">
        <w:rPr>
          <w:rFonts w:ascii="Arial" w:eastAsia="Arial" w:hAnsi="Arial" w:cs="Arial"/>
          <w:sz w:val="22"/>
          <w:lang w:val="es-ES" w:eastAsia="es-ES" w:bidi="es-ES"/>
        </w:rPr>
        <w:t xml:space="preserve"> al mismo, lo que permitiría, por ejemplo, incluir notas adicionales. En todo caso, las eventuales </w:t>
      </w:r>
      <w:r w:rsidR="009368EF" w:rsidRPr="00FD7130">
        <w:rPr>
          <w:rFonts w:ascii="Arial" w:eastAsia="Arial" w:hAnsi="Arial" w:cs="Arial"/>
          <w:sz w:val="22"/>
          <w:lang w:val="es-ES" w:eastAsia="es-ES" w:bidi="es-ES"/>
        </w:rPr>
        <w:t>modificaciones</w:t>
      </w:r>
      <w:r w:rsidRPr="00FD7130">
        <w:rPr>
          <w:rFonts w:ascii="Arial" w:eastAsia="Arial" w:hAnsi="Arial" w:cs="Arial"/>
          <w:sz w:val="22"/>
          <w:lang w:val="es-ES" w:eastAsia="es-ES" w:bidi="es-ES"/>
        </w:rPr>
        <w:t xml:space="preserve"> que se realicen al formulario deben respetar las demás reglas establecidas en los documentos tipo, por lo que no sería posible incluir notas o </w:t>
      </w:r>
      <w:r w:rsidR="009368EF" w:rsidRPr="00FD7130">
        <w:rPr>
          <w:rFonts w:ascii="Arial" w:eastAsia="Arial" w:hAnsi="Arial" w:cs="Arial"/>
          <w:sz w:val="22"/>
          <w:lang w:val="es-ES" w:eastAsia="es-ES" w:bidi="es-ES"/>
        </w:rPr>
        <w:t>modificaciones</w:t>
      </w:r>
      <w:r w:rsidRPr="00FD7130">
        <w:rPr>
          <w:rFonts w:ascii="Arial" w:eastAsia="Arial" w:hAnsi="Arial" w:cs="Arial"/>
          <w:sz w:val="22"/>
          <w:lang w:val="es-ES" w:eastAsia="es-ES" w:bidi="es-ES"/>
        </w:rPr>
        <w:t xml:space="preserve"> que impliquen alterar otras reglas dispuestas en dichos documentos.</w:t>
      </w:r>
    </w:p>
    <w:p w14:paraId="5824B895" w14:textId="77777777" w:rsidR="0003550A" w:rsidRDefault="0003550A" w:rsidP="00C529C9">
      <w:pPr>
        <w:spacing w:after="0"/>
        <w:rPr>
          <w:rFonts w:ascii="Arial" w:eastAsia="Calibri" w:hAnsi="Arial" w:cs="Arial"/>
          <w:sz w:val="22"/>
        </w:rPr>
      </w:pPr>
    </w:p>
    <w:p w14:paraId="71036DBA" w14:textId="46A8D9EC" w:rsidR="00BF23D9" w:rsidRPr="00BF23D9" w:rsidRDefault="00BF23D9" w:rsidP="00BF23D9">
      <w:pPr>
        <w:spacing w:after="120"/>
        <w:rPr>
          <w:rFonts w:ascii="Arial" w:eastAsia="Times New Roman" w:hAnsi="Arial" w:cs="Arial"/>
          <w:b/>
          <w:bCs/>
          <w:sz w:val="22"/>
          <w:shd w:val="clear" w:color="auto" w:fill="FFFFFF"/>
          <w:lang w:val="es-ES_tradnl" w:eastAsia="es-ES_tradnl"/>
        </w:rPr>
      </w:pPr>
      <w:bookmarkStart w:id="4" w:name="_Hlk108018615"/>
      <w:r>
        <w:rPr>
          <w:rFonts w:ascii="Arial" w:eastAsia="Times New Roman" w:hAnsi="Arial" w:cs="Arial"/>
          <w:b/>
          <w:bCs/>
          <w:sz w:val="22"/>
          <w:shd w:val="clear" w:color="auto" w:fill="FFFFFF"/>
          <w:lang w:val="es-ES_tradnl" w:eastAsia="es-ES_tradnl"/>
        </w:rPr>
        <w:lastRenderedPageBreak/>
        <w:t xml:space="preserve">2.2. </w:t>
      </w:r>
      <w:r w:rsidRPr="00BF23D9">
        <w:rPr>
          <w:rFonts w:ascii="Arial" w:eastAsia="Times New Roman" w:hAnsi="Arial" w:cs="Arial"/>
          <w:b/>
          <w:bCs/>
          <w:sz w:val="22"/>
          <w:shd w:val="clear" w:color="auto" w:fill="FFFFFF"/>
          <w:lang w:val="es-ES_tradnl" w:eastAsia="es-ES_tradnl"/>
        </w:rPr>
        <w:t xml:space="preserve">Documentos tipo de licitación de obra de infraestructura de transporte: análisis de precios unitarios </w:t>
      </w:r>
      <w:bookmarkEnd w:id="4"/>
    </w:p>
    <w:p w14:paraId="2B9568D1" w14:textId="77777777" w:rsidR="00BF23D9" w:rsidRPr="00BF23D9" w:rsidRDefault="00BF23D9" w:rsidP="00BF23D9">
      <w:pPr>
        <w:spacing w:before="120" w:after="160"/>
        <w:rPr>
          <w:rFonts w:ascii="Arial" w:eastAsia="Calibri" w:hAnsi="Arial" w:cs="Arial"/>
          <w:sz w:val="22"/>
          <w:lang w:val="es-ES_tradnl"/>
        </w:rPr>
      </w:pPr>
      <w:r w:rsidRPr="00BF23D9">
        <w:rPr>
          <w:rFonts w:ascii="Arial" w:eastAsia="Calibri" w:hAnsi="Arial" w:cs="Arial"/>
          <w:sz w:val="22"/>
          <w:lang w:val="es-ES_tradnl"/>
        </w:rPr>
        <w:t>El numeral 4.1 del Documento base de los documentos tipo de licitación de obra pública de infraestructura de transporte – versión 3 establece lo siguiente en relación con la oferta económica:</w:t>
      </w:r>
    </w:p>
    <w:p w14:paraId="1DE2D14D" w14:textId="77777777" w:rsidR="00BF23D9" w:rsidRPr="00BF23D9" w:rsidRDefault="00BF23D9" w:rsidP="00BF23D9">
      <w:pPr>
        <w:spacing w:after="120" w:line="240" w:lineRule="auto"/>
        <w:ind w:left="709" w:right="709"/>
        <w:rPr>
          <w:rFonts w:ascii="Arial" w:eastAsia="Calibri" w:hAnsi="Arial" w:cs="Arial"/>
          <w:sz w:val="21"/>
          <w:szCs w:val="21"/>
          <w:highlight w:val="lightGray"/>
        </w:rPr>
      </w:pPr>
      <w:r w:rsidRPr="00BF23D9">
        <w:rPr>
          <w:rFonts w:ascii="Arial" w:eastAsia="Calibri" w:hAnsi="Arial" w:cs="Arial"/>
          <w:sz w:val="21"/>
          <w:szCs w:val="21"/>
          <w:highlight w:val="lightGray"/>
        </w:rPr>
        <w:t>[La entidad debe indicar si la forma de pago es por precio global, llave en mano, precios unitarios, administración delegada o reembolso de gastos. El Anexo 1 – Anexo Técnico y el Formulario 1– Formulario de Presupuesto Oficial debe ser concordante con la modalidad de pago seleccionada]</w:t>
      </w:r>
    </w:p>
    <w:p w14:paraId="2184335E" w14:textId="77777777" w:rsidR="00BF23D9" w:rsidRPr="00BF23D9" w:rsidRDefault="00BF23D9" w:rsidP="00BF23D9">
      <w:pPr>
        <w:spacing w:after="120" w:line="240" w:lineRule="auto"/>
        <w:ind w:left="709" w:right="709"/>
        <w:rPr>
          <w:rFonts w:ascii="Arial" w:eastAsia="Calibri" w:hAnsi="Arial" w:cs="Arial"/>
          <w:sz w:val="21"/>
          <w:szCs w:val="21"/>
        </w:rPr>
      </w:pPr>
      <w:r w:rsidRPr="00BF23D9">
        <w:rPr>
          <w:rFonts w:ascii="Arial" w:eastAsia="Calibri" w:hAnsi="Arial" w:cs="Arial"/>
          <w:sz w:val="21"/>
          <w:szCs w:val="21"/>
          <w:highlight w:val="lightGray"/>
        </w:rPr>
        <w:t>[Cuando el presupuesto del proceso de contratación es estructurado por precios unitarios, la entidad debe aplicar las notas señaladas en el Formulario 1 – Formulario de Presupuesto oficial. Cuando se estructura a través de otra modalidad de pago, la entidad debe definir las notas que debe tener en cuenta el proponente para presentar su oferta económica]</w:t>
      </w:r>
    </w:p>
    <w:p w14:paraId="67B3600F" w14:textId="77777777" w:rsidR="00BF23D9" w:rsidRPr="00BF23D9" w:rsidRDefault="00BF23D9" w:rsidP="00BF23D9">
      <w:pPr>
        <w:spacing w:after="120" w:line="240" w:lineRule="auto"/>
        <w:ind w:left="709" w:right="709"/>
        <w:rPr>
          <w:rFonts w:ascii="Arial" w:eastAsia="Calibri" w:hAnsi="Arial" w:cs="Arial"/>
          <w:sz w:val="21"/>
          <w:szCs w:val="21"/>
        </w:rPr>
      </w:pPr>
      <w:r w:rsidRPr="00BF23D9">
        <w:rPr>
          <w:rFonts w:ascii="Arial" w:eastAsia="Calibri" w:hAnsi="Arial" w:cs="Arial"/>
          <w:sz w:val="21"/>
          <w:szCs w:val="21"/>
        </w:rPr>
        <w:t>Para calificar este factor se tendrá en cuenta el valor total indicado en la propuesta económica o el obtenido de la corrección aritmética. La propuesta económica deberá ser allegada en el Sobre No. 2 y firmada.</w:t>
      </w:r>
    </w:p>
    <w:p w14:paraId="67790127" w14:textId="77777777" w:rsidR="00BF23D9" w:rsidRPr="00BF23D9" w:rsidRDefault="00BF23D9" w:rsidP="00BF23D9">
      <w:pPr>
        <w:spacing w:after="120" w:line="240" w:lineRule="auto"/>
        <w:ind w:left="709" w:right="709"/>
        <w:rPr>
          <w:rFonts w:ascii="Arial" w:eastAsia="Calibri" w:hAnsi="Arial" w:cs="Arial"/>
          <w:sz w:val="21"/>
          <w:szCs w:val="21"/>
          <w:highlight w:val="lightGray"/>
        </w:rPr>
      </w:pPr>
      <w:r w:rsidRPr="00BF23D9">
        <w:rPr>
          <w:rFonts w:ascii="Arial" w:eastAsia="Calibri" w:hAnsi="Arial" w:cs="Arial"/>
          <w:sz w:val="21"/>
          <w:szCs w:val="21"/>
          <w:highlight w:val="lightGray"/>
        </w:rPr>
        <w:t xml:space="preserve">[La entidad debe configurar el formato de oferta económica que se encuentra en el Formulario 1 – Formulario de Presupuesto Oficial, para que sea diligenciado por los proponentes. </w:t>
      </w:r>
    </w:p>
    <w:p w14:paraId="282E2FFA" w14:textId="77777777" w:rsidR="00BF23D9" w:rsidRPr="00BF23D9" w:rsidRDefault="00BF23D9" w:rsidP="00BF23D9">
      <w:pPr>
        <w:spacing w:after="120" w:line="240" w:lineRule="auto"/>
        <w:ind w:left="709" w:right="709"/>
        <w:rPr>
          <w:rFonts w:ascii="Arial" w:eastAsia="Calibri" w:hAnsi="Arial" w:cs="Arial"/>
          <w:sz w:val="21"/>
          <w:szCs w:val="21"/>
        </w:rPr>
      </w:pPr>
      <w:r w:rsidRPr="00BF23D9">
        <w:rPr>
          <w:rFonts w:ascii="Arial" w:eastAsia="Calibri" w:hAnsi="Arial" w:cs="Arial"/>
          <w:sz w:val="21"/>
          <w:szCs w:val="21"/>
          <w:highlight w:val="lightGray"/>
        </w:rPr>
        <w:t>La entidad debe incluir el Formulario 1 – Formulario de Presupuesto Oficial y la oferta económica en formato Excel]</w:t>
      </w:r>
      <w:r w:rsidRPr="00BF23D9">
        <w:rPr>
          <w:rFonts w:ascii="Arial" w:eastAsia="Calibri" w:hAnsi="Arial" w:cs="Arial"/>
          <w:sz w:val="21"/>
          <w:szCs w:val="21"/>
        </w:rPr>
        <w:t xml:space="preserve"> </w:t>
      </w:r>
    </w:p>
    <w:p w14:paraId="0EF35880" w14:textId="77777777" w:rsidR="00BF23D9" w:rsidRPr="00BF23D9" w:rsidRDefault="00BF23D9" w:rsidP="00BF23D9">
      <w:pPr>
        <w:spacing w:after="120" w:line="240" w:lineRule="auto"/>
        <w:ind w:left="709" w:right="709"/>
        <w:rPr>
          <w:rFonts w:ascii="Arial" w:eastAsia="Calibri" w:hAnsi="Arial" w:cs="Arial"/>
          <w:sz w:val="21"/>
          <w:szCs w:val="21"/>
        </w:rPr>
      </w:pPr>
      <w:r w:rsidRPr="00BF23D9">
        <w:rPr>
          <w:rFonts w:ascii="Arial" w:eastAsia="Calibri" w:hAnsi="Arial" w:cs="Arial"/>
          <w:sz w:val="21"/>
          <w:szCs w:val="21"/>
        </w:rPr>
        <w:t>El valor de la propuesta económica debe presentarse en pesos colombianos y contemplar todos los costos directos e indirectos para la completa y adecuada ejecución de la obra del presente proceso, los riesgos y la administración de estos.</w:t>
      </w:r>
    </w:p>
    <w:p w14:paraId="2896CF56" w14:textId="77777777" w:rsidR="00BF23D9" w:rsidRPr="00BF23D9" w:rsidRDefault="00BF23D9" w:rsidP="00BF23D9">
      <w:pPr>
        <w:spacing w:after="120" w:line="240" w:lineRule="auto"/>
        <w:ind w:left="709" w:right="709"/>
        <w:rPr>
          <w:rFonts w:ascii="Arial" w:eastAsia="Calibri" w:hAnsi="Arial" w:cs="Arial"/>
          <w:sz w:val="21"/>
          <w:szCs w:val="21"/>
        </w:rPr>
      </w:pPr>
      <w:r w:rsidRPr="00BF23D9">
        <w:rPr>
          <w:rFonts w:ascii="Arial" w:eastAsia="Calibri" w:hAnsi="Arial" w:cs="Arial"/>
          <w:sz w:val="21"/>
          <w:szCs w:val="21"/>
        </w:rPr>
        <w:t>Al formular la oferta, el proponente acepta que estarán a su cargo todos los impuestos, tasas y contribuciones establecidos por las diferentes autoridades nacionales, departamentales o municipales y dentro de estos mismos niveles territoriales, los impuestos, tasas y contribuciones establecidos por las diferentes autoridades.</w:t>
      </w:r>
    </w:p>
    <w:p w14:paraId="3C9CEFDB" w14:textId="77777777" w:rsidR="00BF23D9" w:rsidRPr="00BF23D9" w:rsidRDefault="00BF23D9" w:rsidP="00BF23D9">
      <w:pPr>
        <w:spacing w:after="120" w:line="240" w:lineRule="auto"/>
        <w:ind w:left="709" w:right="709"/>
        <w:rPr>
          <w:rFonts w:ascii="Arial" w:eastAsia="Calibri" w:hAnsi="Arial" w:cs="Arial"/>
          <w:sz w:val="21"/>
          <w:szCs w:val="21"/>
        </w:rPr>
      </w:pPr>
      <w:r w:rsidRPr="00BF23D9">
        <w:rPr>
          <w:rFonts w:ascii="Arial" w:eastAsia="Calibri" w:hAnsi="Arial" w:cs="Arial"/>
          <w:sz w:val="21"/>
          <w:szCs w:val="21"/>
        </w:rPr>
        <w:t>Los estimativos técnicos que hagan los proponentes para la presentación de sus ofertas deben tener en cuenta que la ejecución del contrato se regirá íntegramente por lo previsto en los documentos del proceso y que en sus cálculos económicos deben incluir todos los aspectos y requerimientos necesarios para cumplir con todas las obligaciones contractuales y asumir los riesgos previstos en dichos documentos.</w:t>
      </w:r>
    </w:p>
    <w:p w14:paraId="6BAA87B0" w14:textId="77777777" w:rsidR="00BF23D9" w:rsidRPr="00BF23D9" w:rsidRDefault="00BF23D9" w:rsidP="00BF23D9">
      <w:pPr>
        <w:spacing w:after="120" w:line="240" w:lineRule="auto"/>
        <w:ind w:left="709" w:right="709"/>
        <w:rPr>
          <w:rFonts w:ascii="Arial" w:eastAsia="Calibri" w:hAnsi="Arial" w:cs="Arial"/>
          <w:sz w:val="21"/>
          <w:szCs w:val="21"/>
        </w:rPr>
      </w:pPr>
      <w:r w:rsidRPr="00BF23D9">
        <w:rPr>
          <w:rFonts w:ascii="Arial" w:eastAsia="Calibri" w:hAnsi="Arial" w:cs="Arial"/>
          <w:sz w:val="21"/>
          <w:szCs w:val="21"/>
          <w:highlight w:val="lightGray"/>
        </w:rPr>
        <w:t>[Incluir en el evento en el que el proceso de contratación sea por precios unitarios]</w:t>
      </w:r>
      <w:r w:rsidRPr="00BF23D9">
        <w:rPr>
          <w:rFonts w:ascii="Arial" w:eastAsia="Calibri" w:hAnsi="Arial" w:cs="Arial"/>
          <w:sz w:val="21"/>
          <w:szCs w:val="21"/>
        </w:rPr>
        <w:t xml:space="preserve"> El desglose de los Análisis de Precios Unitarios publicados por </w:t>
      </w:r>
      <w:r w:rsidRPr="00BF23D9">
        <w:rPr>
          <w:rFonts w:ascii="Arial" w:eastAsia="Calibri" w:hAnsi="Arial" w:cs="Arial"/>
          <w:sz w:val="21"/>
          <w:szCs w:val="21"/>
        </w:rPr>
        <w:lastRenderedPageBreak/>
        <w:t>la entidad es únicamente de referencia, constituye una guía para la preparación de la oferta. Si existe alguna duda o interrogante sobre la presentación de estos Análisis de Precios Unitarios y el precio de estudios publicados por la entidad, es deber de los Proponente hacerlos conocer dentro del plazo establecido en el Anexo 2 - Cronograma para la presentación de observaciones al proyecto de pliego de condiciones para que la Entidad los pueda estudiar.</w:t>
      </w:r>
    </w:p>
    <w:p w14:paraId="082450B2" w14:textId="77777777" w:rsidR="00BF23D9" w:rsidRPr="00BF23D9" w:rsidRDefault="00BF23D9" w:rsidP="00BF23D9">
      <w:pPr>
        <w:spacing w:after="120" w:line="240" w:lineRule="auto"/>
        <w:ind w:left="709" w:right="709"/>
        <w:rPr>
          <w:rFonts w:ascii="Arial" w:eastAsia="Calibri" w:hAnsi="Arial" w:cs="Arial"/>
          <w:sz w:val="21"/>
          <w:szCs w:val="21"/>
        </w:rPr>
      </w:pPr>
      <w:r w:rsidRPr="00BF23D9">
        <w:rPr>
          <w:rFonts w:ascii="Arial" w:eastAsia="Calibri" w:hAnsi="Arial" w:cs="Arial"/>
          <w:sz w:val="21"/>
          <w:szCs w:val="21"/>
          <w:highlight w:val="lightGray"/>
        </w:rPr>
        <w:t>[La entidad estatal en esta sección o en el “Formulario 1 – Formulario del presupuesto oficial” discriminará los impuestos, tasas o contribuciones que aplican al proceso de contratación. Los oferentes tendrán en cuenta está información al presentar su oferta]</w:t>
      </w:r>
    </w:p>
    <w:p w14:paraId="2B688B65" w14:textId="6419451D" w:rsidR="001D0F2B" w:rsidRPr="00BF23D9" w:rsidRDefault="00BF23D9" w:rsidP="003B2F5C">
      <w:pPr>
        <w:spacing w:before="120" w:after="120"/>
        <w:rPr>
          <w:rFonts w:ascii="Arial" w:eastAsia="Calibri" w:hAnsi="Arial" w:cs="Arial"/>
          <w:sz w:val="22"/>
          <w:lang w:val="es-ES_tradnl"/>
        </w:rPr>
      </w:pPr>
      <w:r w:rsidRPr="00BF23D9">
        <w:rPr>
          <w:rFonts w:ascii="Arial" w:eastAsia="Calibri" w:hAnsi="Arial" w:cs="Arial"/>
          <w:sz w:val="22"/>
        </w:rPr>
        <w:tab/>
      </w:r>
      <w:r w:rsidRPr="00BF23D9">
        <w:rPr>
          <w:rFonts w:ascii="Arial" w:eastAsia="Calibri" w:hAnsi="Arial" w:cs="Arial"/>
          <w:sz w:val="22"/>
          <w:lang w:val="es-ES_tradnl"/>
        </w:rPr>
        <w:t>Los párrafos que están en corchetes son notas aclaratorias o instrucciones para la entidad contratante, que deben ser seguidas sin vulnerar el carácter obligatorio y la regla de inalterabilidad de los documentos tipo. En específico, sobre la escogencia de precios unitarios como modalidad de pago del contrato, según el texto transcrito, se tiene que:</w:t>
      </w:r>
    </w:p>
    <w:p w14:paraId="38AB028E" w14:textId="38E7A78A" w:rsidR="001D0F2B" w:rsidRPr="00BF23D9" w:rsidRDefault="001D0F2B" w:rsidP="003B2F5C">
      <w:pPr>
        <w:rPr>
          <w:lang w:val="es-ES_tradnl"/>
        </w:rPr>
      </w:pPr>
      <w:r w:rsidRPr="001D0F2B">
        <w:rPr>
          <w:rFonts w:ascii="Arial" w:eastAsia="Calibri" w:hAnsi="Arial" w:cs="Arial"/>
          <w:sz w:val="22"/>
          <w:lang w:val="es-ES_tradnl"/>
        </w:rPr>
        <w:tab/>
        <w:t>i</w:t>
      </w:r>
      <w:r>
        <w:rPr>
          <w:rFonts w:ascii="Arial" w:eastAsia="Calibri" w:hAnsi="Arial" w:cs="Arial"/>
          <w:sz w:val="22"/>
          <w:lang w:val="es-ES_tradnl"/>
        </w:rPr>
        <w:t xml:space="preserve">) </w:t>
      </w:r>
      <w:r w:rsidR="00BF23D9" w:rsidRPr="003B2F5C">
        <w:rPr>
          <w:rFonts w:ascii="Arial" w:eastAsia="Calibri" w:hAnsi="Arial" w:cs="Arial"/>
          <w:sz w:val="22"/>
          <w:lang w:val="es-ES_tradnl"/>
        </w:rPr>
        <w:t>La entidad debe aplicar las notas señaladas en el Formulario 1 – Formulario de Presupuesto oficial. Sin embargo, cuando se estructura a través de otra modalidad de pago, la entidad debe definir las notas que debe tener en cuenta el proponente para presentar su oferta económica</w:t>
      </w:r>
      <w:r w:rsidRPr="003B2F5C">
        <w:rPr>
          <w:rFonts w:ascii="Arial" w:eastAsia="Calibri" w:hAnsi="Arial" w:cs="Arial"/>
          <w:sz w:val="22"/>
          <w:lang w:val="es-ES_tradnl"/>
        </w:rPr>
        <w:t xml:space="preserve">; </w:t>
      </w:r>
    </w:p>
    <w:p w14:paraId="1FBB6780" w14:textId="77777777" w:rsidR="001D0F2B" w:rsidRDefault="001D0F2B" w:rsidP="003B2F5C">
      <w:pPr>
        <w:spacing w:before="120" w:after="120"/>
        <w:rPr>
          <w:rFonts w:ascii="Arial" w:eastAsia="Calibri" w:hAnsi="Arial" w:cs="Arial"/>
          <w:sz w:val="22"/>
          <w:lang w:val="es-ES_tradnl"/>
        </w:rPr>
      </w:pPr>
      <w:r>
        <w:rPr>
          <w:rFonts w:ascii="Arial" w:eastAsia="Calibri" w:hAnsi="Arial" w:cs="Arial"/>
          <w:sz w:val="22"/>
          <w:lang w:val="es-ES_tradnl"/>
        </w:rPr>
        <w:tab/>
      </w:r>
      <w:proofErr w:type="spellStart"/>
      <w:r>
        <w:rPr>
          <w:rFonts w:ascii="Arial" w:eastAsia="Calibri" w:hAnsi="Arial" w:cs="Arial"/>
          <w:sz w:val="22"/>
          <w:lang w:val="es-ES_tradnl"/>
        </w:rPr>
        <w:t>ii</w:t>
      </w:r>
      <w:proofErr w:type="spellEnd"/>
      <w:r>
        <w:rPr>
          <w:rFonts w:ascii="Arial" w:eastAsia="Calibri" w:hAnsi="Arial" w:cs="Arial"/>
          <w:sz w:val="22"/>
          <w:lang w:val="es-ES_tradnl"/>
        </w:rPr>
        <w:t xml:space="preserve">) </w:t>
      </w:r>
      <w:r w:rsidR="00BF23D9" w:rsidRPr="00BF23D9">
        <w:rPr>
          <w:rFonts w:ascii="Arial" w:eastAsia="Calibri" w:hAnsi="Arial" w:cs="Arial"/>
          <w:sz w:val="22"/>
          <w:lang w:val="es-ES_tradnl"/>
        </w:rPr>
        <w:t>El valor de la propuesta económica debe presentarse en pesos colombianos y contemplar todos los costos directos e indirectos para la completa y adecuada ejecución de la obra, los riesgos y la administración de estos.</w:t>
      </w:r>
      <w:r>
        <w:rPr>
          <w:rFonts w:ascii="Arial" w:eastAsia="Calibri" w:hAnsi="Arial" w:cs="Arial"/>
          <w:sz w:val="22"/>
          <w:lang w:val="es-ES_tradnl"/>
        </w:rPr>
        <w:t xml:space="preserve"> </w:t>
      </w:r>
    </w:p>
    <w:p w14:paraId="2680A9FB" w14:textId="2A1325DC" w:rsidR="00BF23D9" w:rsidRPr="00BF23D9" w:rsidRDefault="001D0F2B" w:rsidP="003B2F5C">
      <w:pPr>
        <w:spacing w:before="120" w:after="120"/>
        <w:rPr>
          <w:rFonts w:ascii="Arial" w:eastAsia="Calibri" w:hAnsi="Arial" w:cs="Arial"/>
          <w:sz w:val="22"/>
          <w:lang w:val="es-ES_tradnl"/>
        </w:rPr>
      </w:pPr>
      <w:r>
        <w:rPr>
          <w:rFonts w:ascii="Arial" w:eastAsia="Calibri" w:hAnsi="Arial" w:cs="Arial"/>
          <w:sz w:val="22"/>
          <w:lang w:val="es-ES_tradnl"/>
        </w:rPr>
        <w:tab/>
      </w:r>
      <w:proofErr w:type="spellStart"/>
      <w:r>
        <w:rPr>
          <w:rFonts w:ascii="Arial" w:eastAsia="Calibri" w:hAnsi="Arial" w:cs="Arial"/>
          <w:sz w:val="22"/>
          <w:lang w:val="es-ES_tradnl"/>
        </w:rPr>
        <w:t>iii</w:t>
      </w:r>
      <w:proofErr w:type="spellEnd"/>
      <w:r>
        <w:rPr>
          <w:rFonts w:ascii="Arial" w:eastAsia="Calibri" w:hAnsi="Arial" w:cs="Arial"/>
          <w:sz w:val="22"/>
          <w:lang w:val="es-ES_tradnl"/>
        </w:rPr>
        <w:t xml:space="preserve">) </w:t>
      </w:r>
      <w:r w:rsidR="00BF23D9" w:rsidRPr="00BF23D9">
        <w:rPr>
          <w:rFonts w:ascii="Arial" w:eastAsia="Calibri" w:hAnsi="Arial" w:cs="Arial"/>
          <w:sz w:val="22"/>
          <w:lang w:val="es-ES_tradnl"/>
        </w:rPr>
        <w:t>Al formular la oferta, el proponente acepta que estarán a su cargo todos los impuestos, tasas y contribuciones establecidos por las diferentes autoridades nacionales, departamentales o municipales y dentro de estos mismos niveles territoriales, los impuestos, tasas y contribuciones establecidos por las diferentes autoridades.</w:t>
      </w:r>
    </w:p>
    <w:p w14:paraId="3105D5E1" w14:textId="7FFBEC21" w:rsidR="00BF23D9" w:rsidRPr="00BF23D9" w:rsidRDefault="00BF23D9" w:rsidP="00800C33">
      <w:pPr>
        <w:spacing w:before="120" w:after="160"/>
        <w:ind w:firstLine="709"/>
        <w:rPr>
          <w:rFonts w:ascii="Arial" w:eastAsia="Calibri" w:hAnsi="Arial" w:cs="Arial"/>
          <w:sz w:val="22"/>
          <w:lang w:val="es-ES_tradnl"/>
        </w:rPr>
      </w:pPr>
      <w:r w:rsidRPr="00BF23D9">
        <w:rPr>
          <w:rFonts w:ascii="Arial" w:eastAsia="Calibri" w:hAnsi="Arial" w:cs="Arial"/>
          <w:sz w:val="22"/>
          <w:lang w:val="es-ES_tradnl"/>
        </w:rPr>
        <w:t>Por su parte, en relación con el análisis de precios unitarios, y a efect</w:t>
      </w:r>
      <w:r w:rsidR="00285452">
        <w:rPr>
          <w:rFonts w:ascii="Arial" w:eastAsia="Calibri" w:hAnsi="Arial" w:cs="Arial"/>
          <w:sz w:val="22"/>
          <w:lang w:val="es-ES_tradnl"/>
        </w:rPr>
        <w:t>o de la pregunta del peticionario</w:t>
      </w:r>
      <w:r w:rsidRPr="00BF23D9">
        <w:rPr>
          <w:rFonts w:ascii="Arial" w:eastAsia="Calibri" w:hAnsi="Arial" w:cs="Arial"/>
          <w:sz w:val="22"/>
          <w:lang w:val="es-ES_tradnl"/>
        </w:rPr>
        <w:t xml:space="preserve">, en el Documento Base se establece que aquel análisis publicado por la entidad es únicamente de referencia y constituye una guía para la preparación de la oferta por parte de los interesados. Así, se establece también que, si existe alguna duda o interrogante sobre estos Análisis de Precios Unitarios y el precio de estudios publicados por la entidad, es deber de los proponentes hacerlos conocer dentro del plazo establecido en el Anexo 2 - Cronograma para la </w:t>
      </w:r>
      <w:r w:rsidRPr="00BF23D9">
        <w:rPr>
          <w:rFonts w:ascii="Arial" w:eastAsia="Calibri" w:hAnsi="Arial" w:cs="Arial"/>
          <w:sz w:val="22"/>
          <w:lang w:val="es-ES_tradnl"/>
        </w:rPr>
        <w:lastRenderedPageBreak/>
        <w:t>presentación de observaciones al proyecto de pliego de condiciones, para que la entidad los pueda estudiar.</w:t>
      </w:r>
    </w:p>
    <w:p w14:paraId="47EAEE75" w14:textId="2EE598A6" w:rsidR="00BF23D9" w:rsidRPr="00BF23D9" w:rsidRDefault="00BF23D9" w:rsidP="00BF23D9">
      <w:pPr>
        <w:spacing w:before="120" w:after="160"/>
        <w:rPr>
          <w:rFonts w:ascii="Arial" w:eastAsia="Calibri" w:hAnsi="Arial" w:cs="Arial"/>
          <w:sz w:val="22"/>
          <w:lang w:val="es-ES_tradnl"/>
        </w:rPr>
      </w:pPr>
      <w:r w:rsidRPr="00BF23D9">
        <w:rPr>
          <w:rFonts w:ascii="Arial" w:eastAsia="Calibri" w:hAnsi="Arial" w:cs="Arial"/>
          <w:sz w:val="22"/>
          <w:lang w:val="es-ES_tradnl"/>
        </w:rPr>
        <w:tab/>
        <w:t>Esta última previsión del Documento Base se refiere a la posibilidad dada a los proponentes para que, mediante las observaciones al proyecto de pliego de condiciones y en los tiempos previstos en el Anexo 2 – Cronograma, pongan en conocimiento de la entidad contratante las dudas o interrogantes que tengan sobre el Análisis de Precios Unitarios, con el fin de que sean estudiadas. Es decir, a efectos de su</w:t>
      </w:r>
      <w:r w:rsidR="00021512">
        <w:rPr>
          <w:rFonts w:ascii="Arial" w:eastAsia="Calibri" w:hAnsi="Arial" w:cs="Arial"/>
          <w:sz w:val="22"/>
          <w:lang w:val="es-ES_tradnl"/>
        </w:rPr>
        <w:t xml:space="preserve"> </w:t>
      </w:r>
      <w:r w:rsidRPr="00BF23D9">
        <w:rPr>
          <w:rFonts w:ascii="Arial" w:eastAsia="Calibri" w:hAnsi="Arial" w:cs="Arial"/>
          <w:sz w:val="22"/>
          <w:lang w:val="es-ES_tradnl"/>
        </w:rPr>
        <w:t>consulta, no se trata de una oportunidad dentro del procedimiento de selección para que la entidad estatal solicite algún tipo de información a los proponentes sobre la estructuración de la oferta y de los precios unitarios.</w:t>
      </w:r>
    </w:p>
    <w:p w14:paraId="1ACAD08E" w14:textId="5033643C" w:rsidR="00BF23D9" w:rsidRPr="00BF23D9" w:rsidRDefault="00BF23D9" w:rsidP="003B2F5C">
      <w:pPr>
        <w:spacing w:before="120" w:after="120"/>
        <w:rPr>
          <w:rFonts w:ascii="Arial" w:eastAsia="Calibri" w:hAnsi="Arial" w:cs="Arial"/>
          <w:sz w:val="22"/>
          <w:lang w:val="es-ES_tradnl"/>
        </w:rPr>
      </w:pPr>
      <w:r w:rsidRPr="00BF23D9">
        <w:rPr>
          <w:rFonts w:ascii="Arial" w:eastAsia="Calibri" w:hAnsi="Arial" w:cs="Arial"/>
          <w:sz w:val="22"/>
          <w:lang w:val="es-ES_tradnl"/>
        </w:rPr>
        <w:tab/>
        <w:t>A su turno, el numeral 8.1 del Documento Base de los documentos tipo de licitación de obra pública de infraestructura de transporte – Versión 3 regula lo relativo a la «información para el control de la ejecución de la obra» y, al efecto, establece la obligación del contratista de presentar al interventor de obra dentro del término previsto por la entidad estatal algunos documentos, diligenciados de conformidad con el pliego de condiciones, dentro de los cuales se encuentra «3. Análisis de precios unitarios correspondientes a la propuesta económica». Se trata, en esta oportunidad, del análisis de precios unitarios efectuado, no por la entidad estatal, sino por el contratista en el momento de elaborar su propuesta económica. En estricto sentido, esta información es la contenida en la hoja número 2 del Formulario 1 de los documentos tipo, con fundamento en la cual se elabora la «Propuesta económica» del proponente.</w:t>
      </w:r>
    </w:p>
    <w:p w14:paraId="71AF8716" w14:textId="4806FD4A" w:rsidR="00BF23D9" w:rsidRPr="00BF23D9" w:rsidRDefault="00BF23D9" w:rsidP="00BF23D9">
      <w:pPr>
        <w:spacing w:before="120" w:after="160"/>
        <w:rPr>
          <w:rFonts w:ascii="Arial" w:eastAsia="Calibri" w:hAnsi="Arial" w:cs="Arial"/>
          <w:sz w:val="22"/>
          <w:lang w:val="es-ES_tradnl"/>
        </w:rPr>
      </w:pPr>
      <w:r w:rsidRPr="00BF23D9">
        <w:rPr>
          <w:rFonts w:ascii="Arial" w:eastAsia="Calibri" w:hAnsi="Arial" w:cs="Arial"/>
          <w:sz w:val="22"/>
          <w:lang w:val="es-ES_tradnl"/>
        </w:rPr>
        <w:tab/>
        <w:t xml:space="preserve">De este modo, es en la </w:t>
      </w:r>
      <w:r w:rsidR="007A671F">
        <w:rPr>
          <w:rFonts w:ascii="Arial" w:eastAsia="Calibri" w:hAnsi="Arial" w:cs="Arial"/>
          <w:sz w:val="22"/>
          <w:lang w:val="es-ES_tradnl"/>
        </w:rPr>
        <w:t>oferta</w:t>
      </w:r>
      <w:r w:rsidR="007A671F" w:rsidRPr="00BF23D9">
        <w:rPr>
          <w:rFonts w:ascii="Arial" w:eastAsia="Calibri" w:hAnsi="Arial" w:cs="Arial"/>
          <w:sz w:val="22"/>
          <w:lang w:val="es-ES_tradnl"/>
        </w:rPr>
        <w:t xml:space="preserve"> </w:t>
      </w:r>
      <w:r w:rsidRPr="00BF23D9">
        <w:rPr>
          <w:rFonts w:ascii="Arial" w:eastAsia="Calibri" w:hAnsi="Arial" w:cs="Arial"/>
          <w:sz w:val="22"/>
          <w:lang w:val="es-ES_tradnl"/>
        </w:rPr>
        <w:t xml:space="preserve">económica en donde se encontrará reflejado el análisis de precios unitarios hecho por el oferente –hoja número 2 del Formulario 1 de los documentos tipo–, el cual debe ser estructurado con base en el análisis de precios unitarios efectuado por la entidad, </w:t>
      </w:r>
      <w:r w:rsidR="007A671F">
        <w:rPr>
          <w:rFonts w:ascii="Arial" w:eastAsia="Calibri" w:hAnsi="Arial" w:cs="Arial"/>
          <w:sz w:val="22"/>
          <w:lang w:val="es-ES_tradnl"/>
        </w:rPr>
        <w:t xml:space="preserve">el cual, </w:t>
      </w:r>
      <w:r w:rsidRPr="00BF23D9">
        <w:rPr>
          <w:rFonts w:ascii="Arial" w:eastAsia="Calibri" w:hAnsi="Arial" w:cs="Arial"/>
          <w:sz w:val="22"/>
          <w:lang w:val="es-ES_tradnl"/>
        </w:rPr>
        <w:t>según lo contenido en el numeral 4.1 del Documento Base, constituye una</w:t>
      </w:r>
      <w:r w:rsidR="00CF55FB">
        <w:rPr>
          <w:rFonts w:ascii="Arial" w:eastAsia="Calibri" w:hAnsi="Arial" w:cs="Arial"/>
          <w:sz w:val="22"/>
          <w:lang w:val="es-ES_tradnl"/>
        </w:rPr>
        <w:t xml:space="preserve"> referencia</w:t>
      </w:r>
      <w:r w:rsidRPr="00BF23D9">
        <w:rPr>
          <w:rFonts w:ascii="Arial" w:eastAsia="Calibri" w:hAnsi="Arial" w:cs="Arial"/>
          <w:sz w:val="22"/>
          <w:lang w:val="es-ES_tradnl"/>
        </w:rPr>
        <w:t xml:space="preserve"> </w:t>
      </w:r>
      <w:r w:rsidR="00CF55FB">
        <w:rPr>
          <w:rFonts w:ascii="Arial" w:eastAsia="Calibri" w:hAnsi="Arial" w:cs="Arial"/>
          <w:sz w:val="22"/>
          <w:lang w:val="es-ES_tradnl"/>
        </w:rPr>
        <w:t xml:space="preserve">o </w:t>
      </w:r>
      <w:r w:rsidRPr="00BF23D9">
        <w:rPr>
          <w:rFonts w:ascii="Arial" w:eastAsia="Calibri" w:hAnsi="Arial" w:cs="Arial"/>
          <w:sz w:val="22"/>
          <w:lang w:val="es-ES_tradnl"/>
        </w:rPr>
        <w:t>guía para la preparación de la oferta.</w:t>
      </w:r>
      <w:r w:rsidR="00CF55FB">
        <w:rPr>
          <w:rFonts w:ascii="Arial" w:eastAsia="Calibri" w:hAnsi="Arial" w:cs="Arial"/>
          <w:sz w:val="22"/>
          <w:lang w:val="es-ES_tradnl"/>
        </w:rPr>
        <w:t xml:space="preserve"> En todo caso, </w:t>
      </w:r>
      <w:r w:rsidR="005F624A">
        <w:rPr>
          <w:rFonts w:ascii="Arial" w:eastAsia="Calibri" w:hAnsi="Arial" w:cs="Arial"/>
          <w:sz w:val="22"/>
          <w:lang w:val="es-ES_tradnl"/>
        </w:rPr>
        <w:t>dicho análisis de precios</w:t>
      </w:r>
      <w:r w:rsidR="004F266E">
        <w:rPr>
          <w:rFonts w:ascii="Arial" w:eastAsia="Calibri" w:hAnsi="Arial" w:cs="Arial"/>
          <w:sz w:val="22"/>
          <w:lang w:val="es-ES_tradnl"/>
        </w:rPr>
        <w:t xml:space="preserve"> unitarios</w:t>
      </w:r>
      <w:r w:rsidR="005F624A">
        <w:rPr>
          <w:rFonts w:ascii="Arial" w:eastAsia="Calibri" w:hAnsi="Arial" w:cs="Arial"/>
          <w:sz w:val="22"/>
          <w:lang w:val="es-ES_tradnl"/>
        </w:rPr>
        <w:t xml:space="preserve"> reflejado en la oferta económica presentada por el proponente en </w:t>
      </w:r>
      <w:r w:rsidR="004F266E">
        <w:rPr>
          <w:rFonts w:ascii="Arial" w:eastAsia="Calibri" w:hAnsi="Arial" w:cs="Arial"/>
          <w:sz w:val="22"/>
          <w:lang w:val="es-ES_tradnl"/>
        </w:rPr>
        <w:t>el S</w:t>
      </w:r>
      <w:r w:rsidR="005F624A">
        <w:rPr>
          <w:rFonts w:ascii="Arial" w:eastAsia="Calibri" w:hAnsi="Arial" w:cs="Arial"/>
          <w:sz w:val="22"/>
          <w:lang w:val="es-ES_tradnl"/>
        </w:rPr>
        <w:t>obre</w:t>
      </w:r>
      <w:r w:rsidR="004F266E">
        <w:rPr>
          <w:rFonts w:ascii="Arial" w:eastAsia="Calibri" w:hAnsi="Arial" w:cs="Arial"/>
          <w:sz w:val="22"/>
          <w:lang w:val="es-ES_tradnl"/>
        </w:rPr>
        <w:t xml:space="preserve"> No.</w:t>
      </w:r>
      <w:r w:rsidR="005F624A">
        <w:rPr>
          <w:rFonts w:ascii="Arial" w:eastAsia="Calibri" w:hAnsi="Arial" w:cs="Arial"/>
          <w:sz w:val="22"/>
          <w:lang w:val="es-ES_tradnl"/>
        </w:rPr>
        <w:t xml:space="preserve"> 2 deberá</w:t>
      </w:r>
      <w:r w:rsidR="00A85F50">
        <w:rPr>
          <w:rFonts w:ascii="Arial" w:eastAsia="Calibri" w:hAnsi="Arial" w:cs="Arial"/>
          <w:sz w:val="22"/>
          <w:lang w:val="es-ES_tradnl"/>
        </w:rPr>
        <w:t xml:space="preserve"> hacerse a partir del debido diligenciamiento del Formulario 1</w:t>
      </w:r>
      <w:r w:rsidR="003F6C03">
        <w:rPr>
          <w:rFonts w:ascii="Arial" w:eastAsia="Calibri" w:hAnsi="Arial" w:cs="Arial"/>
          <w:sz w:val="22"/>
          <w:lang w:val="es-ES_tradnl"/>
        </w:rPr>
        <w:t xml:space="preserve">, teniendo en cuenta la configuración </w:t>
      </w:r>
      <w:proofErr w:type="gramStart"/>
      <w:r w:rsidR="003F6C03">
        <w:rPr>
          <w:rFonts w:ascii="Arial" w:eastAsia="Calibri" w:hAnsi="Arial" w:cs="Arial"/>
          <w:sz w:val="22"/>
          <w:lang w:val="es-ES_tradnl"/>
        </w:rPr>
        <w:t>del mismo</w:t>
      </w:r>
      <w:proofErr w:type="gramEnd"/>
      <w:r w:rsidR="003F6C03">
        <w:rPr>
          <w:rFonts w:ascii="Arial" w:eastAsia="Calibri" w:hAnsi="Arial" w:cs="Arial"/>
          <w:sz w:val="22"/>
          <w:lang w:val="es-ES_tradnl"/>
        </w:rPr>
        <w:t xml:space="preserve"> que haya determinado la entidad estatal. </w:t>
      </w:r>
    </w:p>
    <w:p w14:paraId="104932BE" w14:textId="2091F30D" w:rsidR="00BF23D9" w:rsidRPr="00BF23D9" w:rsidRDefault="00BF23D9" w:rsidP="003B2F5C">
      <w:pPr>
        <w:spacing w:before="120" w:after="0"/>
        <w:rPr>
          <w:rFonts w:ascii="Arial" w:eastAsia="Calibri" w:hAnsi="Arial" w:cs="Arial"/>
          <w:sz w:val="22"/>
          <w:lang w:val="es-ES_tradnl"/>
        </w:rPr>
      </w:pPr>
      <w:r w:rsidRPr="00BF23D9">
        <w:rPr>
          <w:rFonts w:ascii="Arial" w:eastAsia="Calibri" w:hAnsi="Arial" w:cs="Arial"/>
          <w:sz w:val="22"/>
          <w:lang w:val="es-ES_tradnl"/>
        </w:rPr>
        <w:tab/>
        <w:t xml:space="preserve">Distinta es la obligación que se deriva del numeral 8.1 del Documento base, que a efectos del control de la ejecución de la obra establece que el contratista debe presentar al interventor de la obra cierta información, dentro de la cual se encuentra el «análisis de precios unitarios correspondientes a la propuesta económica», es </w:t>
      </w:r>
      <w:r w:rsidRPr="00BF23D9">
        <w:rPr>
          <w:rFonts w:ascii="Arial" w:eastAsia="Calibri" w:hAnsi="Arial" w:cs="Arial"/>
          <w:sz w:val="22"/>
          <w:lang w:val="es-ES_tradnl"/>
        </w:rPr>
        <w:lastRenderedPageBreak/>
        <w:t>decir, la información que fue objeto de análisis por parte de la entidad para evaluar la propuesta, que corresponde a aquella información contenida en la hoja número 2 del Formulario 1 de los documentos tipo, con fundamento en la cual se elabora la oferta económica.</w:t>
      </w:r>
    </w:p>
    <w:p w14:paraId="6E9139F2" w14:textId="77777777" w:rsidR="00ED76E2" w:rsidRPr="000D75DD" w:rsidRDefault="00ED76E2" w:rsidP="00C529C9">
      <w:pPr>
        <w:spacing w:after="0"/>
        <w:rPr>
          <w:rFonts w:ascii="Arial" w:eastAsia="Calibri" w:hAnsi="Arial" w:cs="Arial"/>
          <w:sz w:val="22"/>
        </w:rPr>
      </w:pPr>
    </w:p>
    <w:p w14:paraId="52ACB68C" w14:textId="65210C65" w:rsidR="001C1A26" w:rsidRPr="000D75DD" w:rsidRDefault="00231E50" w:rsidP="00F176B9">
      <w:pPr>
        <w:spacing w:after="0"/>
        <w:rPr>
          <w:rFonts w:ascii="Arial" w:eastAsia="Calibri" w:hAnsi="Arial" w:cs="Arial"/>
          <w:b/>
          <w:sz w:val="22"/>
          <w:lang w:val="es-CO"/>
        </w:rPr>
      </w:pPr>
      <w:r w:rsidRPr="000D75DD">
        <w:rPr>
          <w:rFonts w:ascii="Arial" w:eastAsia="Calibri" w:hAnsi="Arial" w:cs="Arial"/>
          <w:b/>
          <w:sz w:val="22"/>
          <w:lang w:val="es-CO"/>
        </w:rPr>
        <w:t>3</w:t>
      </w:r>
      <w:r w:rsidR="00CF2AA3" w:rsidRPr="000D75DD">
        <w:rPr>
          <w:rFonts w:ascii="Arial" w:eastAsia="Calibri" w:hAnsi="Arial" w:cs="Arial"/>
          <w:b/>
          <w:sz w:val="22"/>
          <w:lang w:val="es-CO"/>
        </w:rPr>
        <w:t>. Respuest</w:t>
      </w:r>
      <w:r w:rsidR="001C1A26" w:rsidRPr="000D75DD">
        <w:rPr>
          <w:rFonts w:ascii="Arial" w:eastAsia="Calibri" w:hAnsi="Arial" w:cs="Arial"/>
          <w:b/>
          <w:sz w:val="22"/>
          <w:lang w:val="es-CO"/>
        </w:rPr>
        <w:t>a</w:t>
      </w:r>
    </w:p>
    <w:p w14:paraId="79A8F50A" w14:textId="77777777" w:rsidR="00264924" w:rsidRPr="000D75DD" w:rsidRDefault="00264924" w:rsidP="00F176B9">
      <w:pPr>
        <w:spacing w:after="0" w:line="240" w:lineRule="auto"/>
        <w:rPr>
          <w:rFonts w:ascii="Arial" w:eastAsia="Calibri" w:hAnsi="Arial" w:cs="Arial"/>
          <w:bCs/>
          <w:sz w:val="22"/>
          <w:lang w:val="es-CO"/>
        </w:rPr>
      </w:pPr>
    </w:p>
    <w:p w14:paraId="013D3738" w14:textId="1C088247" w:rsidR="0011042E" w:rsidRPr="00DE7D1A" w:rsidRDefault="0011042E" w:rsidP="0011042E">
      <w:pPr>
        <w:autoSpaceDE w:val="0"/>
        <w:autoSpaceDN w:val="0"/>
        <w:adjustRightInd w:val="0"/>
        <w:spacing w:after="0" w:line="240" w:lineRule="auto"/>
        <w:ind w:left="709" w:right="709"/>
        <w:rPr>
          <w:rFonts w:ascii="Arial" w:hAnsi="Arial" w:cs="Arial"/>
          <w:sz w:val="21"/>
          <w:szCs w:val="21"/>
          <w:shd w:val="clear" w:color="auto" w:fill="FFFFFF"/>
        </w:rPr>
      </w:pPr>
      <w:bookmarkStart w:id="5" w:name="_Hlk101816210"/>
      <w:bookmarkStart w:id="6" w:name="_Hlk57650395"/>
      <w:r w:rsidRPr="00DE7D1A">
        <w:rPr>
          <w:rFonts w:ascii="Arial" w:hAnsi="Arial" w:cs="Arial"/>
          <w:sz w:val="21"/>
          <w:szCs w:val="21"/>
          <w:shd w:val="clear" w:color="auto" w:fill="FFFFFF"/>
        </w:rPr>
        <w:t xml:space="preserve">«[…] aclarar si dentro del Sobre 2 de la oferta Económica, como oferentes debemos aportar anexos como los Análisis de precios Unitarios (APU) dentro de la oferta económica, en proyectos de Licitación de Obra Pública de Infraestructura de Transporte o si dichos APU se le solicitarán solo al oferente adjudicatario. Lo anterior dado que en el proceso de Selección No. OCA LP009-2022 del Municipio de Acacias (CONSTRUCCIÓN DE PLACAHUELLAS EN DIFERENTES SECTORES DE LAS VÍAS QUE PERTENECEN A LA VEREDA SAN JUANITO DEL MUNICIPIO DE ACACIAS META) los están solicitando y rechazando a los oferentes que solo allegaron dentro de su oferta económica el Formulario 1 debidamente diligenciado y sin los APU, </w:t>
      </w:r>
      <w:proofErr w:type="gramStart"/>
      <w:r w:rsidRPr="00DE7D1A">
        <w:rPr>
          <w:rFonts w:ascii="Arial" w:hAnsi="Arial" w:cs="Arial"/>
          <w:sz w:val="21"/>
          <w:szCs w:val="21"/>
          <w:shd w:val="clear" w:color="auto" w:fill="FFFFFF"/>
        </w:rPr>
        <w:t>dado</w:t>
      </w:r>
      <w:r w:rsidR="004F266E">
        <w:rPr>
          <w:rFonts w:ascii="Arial" w:hAnsi="Arial" w:cs="Arial"/>
          <w:sz w:val="21"/>
          <w:szCs w:val="21"/>
          <w:shd w:val="clear" w:color="auto" w:fill="FFFFFF"/>
        </w:rPr>
        <w:t xml:space="preserve"> </w:t>
      </w:r>
      <w:r w:rsidRPr="00DE7D1A">
        <w:rPr>
          <w:rFonts w:ascii="Arial" w:hAnsi="Arial" w:cs="Arial"/>
          <w:sz w:val="21"/>
          <w:szCs w:val="21"/>
          <w:shd w:val="clear" w:color="auto" w:fill="FFFFFF"/>
        </w:rPr>
        <w:t>que</w:t>
      </w:r>
      <w:proofErr w:type="gramEnd"/>
      <w:r w:rsidRPr="00DE7D1A">
        <w:rPr>
          <w:rFonts w:ascii="Arial" w:hAnsi="Arial" w:cs="Arial"/>
          <w:sz w:val="21"/>
          <w:szCs w:val="21"/>
          <w:shd w:val="clear" w:color="auto" w:fill="FFFFFF"/>
        </w:rPr>
        <w:t xml:space="preserve"> según ellos, estos deben ser aportados en la oferta económica</w:t>
      </w:r>
      <w:r w:rsidRPr="00DE7D1A">
        <w:rPr>
          <w:rFonts w:ascii="Arial" w:hAnsi="Arial" w:cs="Arial"/>
          <w:sz w:val="21"/>
          <w:szCs w:val="21"/>
        </w:rPr>
        <w:t xml:space="preserve">». </w:t>
      </w:r>
    </w:p>
    <w:p w14:paraId="6C647347" w14:textId="2647B7AA" w:rsidR="00C7127A" w:rsidRPr="000D75DD" w:rsidRDefault="00C7127A" w:rsidP="00F176B9">
      <w:pPr>
        <w:spacing w:after="0" w:line="240" w:lineRule="auto"/>
        <w:ind w:left="709" w:right="709"/>
        <w:rPr>
          <w:rFonts w:ascii="Arial" w:eastAsia="Times New Roman" w:hAnsi="Arial" w:cs="Arial"/>
          <w:sz w:val="21"/>
          <w:szCs w:val="21"/>
          <w:shd w:val="clear" w:color="auto" w:fill="FFFFFF"/>
          <w:lang w:val="es-CO" w:eastAsia="es-CO"/>
        </w:rPr>
      </w:pPr>
    </w:p>
    <w:bookmarkEnd w:id="5"/>
    <w:p w14:paraId="242D675C" w14:textId="5B231CC5" w:rsidR="00800C33" w:rsidRPr="00BF23D9" w:rsidRDefault="00615B7F" w:rsidP="003B2F5C">
      <w:pPr>
        <w:spacing w:after="120"/>
      </w:pPr>
      <w:r>
        <w:rPr>
          <w:rFonts w:ascii="Arial" w:eastAsia="Calibri" w:hAnsi="Arial" w:cs="Arial"/>
          <w:sz w:val="22"/>
          <w:lang w:val="es-ES_tradnl"/>
        </w:rPr>
        <w:t>Con</w:t>
      </w:r>
      <w:r w:rsidR="004F744D" w:rsidRPr="004F744D">
        <w:rPr>
          <w:rFonts w:ascii="Arial" w:eastAsia="Calibri" w:hAnsi="Arial" w:cs="Arial"/>
          <w:sz w:val="22"/>
          <w:lang w:val="es-ES_tradnl"/>
        </w:rPr>
        <w:t xml:space="preserve"> </w:t>
      </w:r>
      <w:proofErr w:type="gramStart"/>
      <w:r w:rsidR="004F744D" w:rsidRPr="004F744D">
        <w:rPr>
          <w:rFonts w:ascii="Arial" w:eastAsia="Calibri" w:hAnsi="Arial" w:cs="Arial"/>
          <w:sz w:val="22"/>
          <w:lang w:val="es-ES_tradnl"/>
        </w:rPr>
        <w:t xml:space="preserve">relación  </w:t>
      </w:r>
      <w:r>
        <w:rPr>
          <w:rFonts w:ascii="Arial" w:eastAsia="Calibri" w:hAnsi="Arial" w:cs="Arial"/>
          <w:sz w:val="22"/>
          <w:lang w:val="es-ES_tradnl"/>
        </w:rPr>
        <w:t>a</w:t>
      </w:r>
      <w:r w:rsidR="004F744D" w:rsidRPr="004F744D">
        <w:rPr>
          <w:rFonts w:ascii="Arial" w:eastAsia="Calibri" w:hAnsi="Arial" w:cs="Arial"/>
          <w:sz w:val="22"/>
          <w:lang w:val="es-ES_tradnl"/>
        </w:rPr>
        <w:t>l</w:t>
      </w:r>
      <w:proofErr w:type="gramEnd"/>
      <w:r w:rsidR="004F744D" w:rsidRPr="004F744D">
        <w:rPr>
          <w:rFonts w:ascii="Arial" w:eastAsia="Calibri" w:hAnsi="Arial" w:cs="Arial"/>
          <w:sz w:val="22"/>
          <w:lang w:val="es-ES_tradnl"/>
        </w:rPr>
        <w:t xml:space="preserve"> análisis de precios unitarios en </w:t>
      </w:r>
      <w:r w:rsidR="003F6C03">
        <w:rPr>
          <w:rFonts w:ascii="Arial" w:eastAsia="Calibri" w:hAnsi="Arial" w:cs="Arial"/>
          <w:sz w:val="22"/>
          <w:lang w:val="es-ES_tradnl"/>
        </w:rPr>
        <w:t xml:space="preserve">el marco </w:t>
      </w:r>
      <w:r>
        <w:rPr>
          <w:rFonts w:ascii="Arial" w:eastAsia="Calibri" w:hAnsi="Arial" w:cs="Arial"/>
          <w:sz w:val="22"/>
          <w:lang w:val="es-ES_tradnl"/>
        </w:rPr>
        <w:t>de procesos de contratación adelantados</w:t>
      </w:r>
      <w:r w:rsidR="004F744D" w:rsidRPr="004F744D">
        <w:rPr>
          <w:rFonts w:ascii="Arial" w:eastAsia="Calibri" w:hAnsi="Arial" w:cs="Arial"/>
          <w:sz w:val="22"/>
          <w:lang w:val="es-ES_tradnl"/>
        </w:rPr>
        <w:t xml:space="preserve"> </w:t>
      </w:r>
      <w:r>
        <w:rPr>
          <w:rFonts w:ascii="Arial" w:eastAsia="Calibri" w:hAnsi="Arial" w:cs="Arial"/>
          <w:sz w:val="22"/>
          <w:lang w:val="es-ES_tradnl"/>
        </w:rPr>
        <w:t xml:space="preserve">con </w:t>
      </w:r>
      <w:r w:rsidR="004F744D" w:rsidRPr="004F744D">
        <w:rPr>
          <w:rFonts w:ascii="Arial" w:eastAsia="Calibri" w:hAnsi="Arial" w:cs="Arial"/>
          <w:sz w:val="22"/>
          <w:lang w:val="es-ES_tradnl"/>
        </w:rPr>
        <w:t>los documentos tipo de licitación de obra pública de infraestructura de transporte</w:t>
      </w:r>
      <w:r w:rsidR="00800C33">
        <w:rPr>
          <w:rFonts w:ascii="Arial" w:eastAsia="Calibri" w:hAnsi="Arial" w:cs="Arial"/>
          <w:sz w:val="22"/>
          <w:lang w:val="es-ES_tradnl"/>
        </w:rPr>
        <w:t xml:space="preserve"> – Versión 3 – </w:t>
      </w:r>
      <w:r w:rsidR="004F744D" w:rsidRPr="004F744D">
        <w:rPr>
          <w:rFonts w:ascii="Arial" w:eastAsia="Calibri" w:hAnsi="Arial" w:cs="Arial"/>
          <w:sz w:val="22"/>
          <w:lang w:val="es-ES_tradnl"/>
        </w:rPr>
        <w:t>,</w:t>
      </w:r>
      <w:r>
        <w:rPr>
          <w:rFonts w:ascii="Arial" w:eastAsia="Calibri" w:hAnsi="Arial" w:cs="Arial"/>
          <w:sz w:val="22"/>
          <w:lang w:val="es-ES_tradnl"/>
        </w:rPr>
        <w:t xml:space="preserve"> </w:t>
      </w:r>
      <w:r w:rsidR="00800C33">
        <w:rPr>
          <w:rFonts w:ascii="Arial" w:eastAsia="Calibri" w:hAnsi="Arial" w:cs="Arial"/>
          <w:sz w:val="22"/>
          <w:lang w:val="es-ES_tradnl"/>
        </w:rPr>
        <w:t xml:space="preserve">se tiene que, </w:t>
      </w:r>
      <w:r w:rsidR="00800C33" w:rsidRPr="00BF23D9">
        <w:rPr>
          <w:rFonts w:ascii="Arial" w:eastAsia="Calibri" w:hAnsi="Arial" w:cs="Arial"/>
          <w:sz w:val="22"/>
          <w:lang w:val="es-ES_tradnl"/>
        </w:rPr>
        <w:t>en el Documento Base se establece que aquel análisis publicado por la entidad es únicamente de referencia y constituye una guía para la preparación de la oferta por parte de los interesados. Así, se establece también que, si existe alguna duda o interrogante sobre estos Análisis de Precios Unitarios y el precio de estudios publicados por la entidad, es deber de los proponentes hacerlos</w:t>
      </w:r>
      <w:r w:rsidR="00800C33">
        <w:rPr>
          <w:rFonts w:ascii="Arial" w:eastAsia="Calibri" w:hAnsi="Arial" w:cs="Arial"/>
          <w:sz w:val="22"/>
          <w:lang w:val="es-ES_tradnl"/>
        </w:rPr>
        <w:t xml:space="preserve"> </w:t>
      </w:r>
      <w:r w:rsidR="00800C33" w:rsidRPr="00BF23D9">
        <w:rPr>
          <w:rFonts w:ascii="Arial" w:eastAsia="Calibri" w:hAnsi="Arial" w:cs="Arial"/>
          <w:sz w:val="22"/>
          <w:lang w:val="es-ES_tradnl"/>
        </w:rPr>
        <w:t>conocer dentro del plazo establecido en el Anexo 2 - Cronograma para la presentación de observaciones al proyecto de pliego de condiciones, para que la entidad los pueda estudiar.</w:t>
      </w:r>
    </w:p>
    <w:p w14:paraId="7CE2EE7D" w14:textId="77777777" w:rsidR="00800C33" w:rsidRPr="00BF23D9" w:rsidRDefault="00800C33" w:rsidP="003B2F5C">
      <w:pPr>
        <w:spacing w:after="120"/>
        <w:rPr>
          <w:rFonts w:ascii="Arial" w:eastAsia="Calibri" w:hAnsi="Arial" w:cs="Arial"/>
          <w:sz w:val="22"/>
          <w:lang w:val="es-ES_tradnl"/>
        </w:rPr>
      </w:pPr>
      <w:r w:rsidRPr="00BF23D9">
        <w:rPr>
          <w:rFonts w:ascii="Arial" w:eastAsia="Calibri" w:hAnsi="Arial" w:cs="Arial"/>
          <w:sz w:val="22"/>
          <w:lang w:val="es-ES_tradnl"/>
        </w:rPr>
        <w:tab/>
        <w:t>Esta última previsión del Documento Base se refiere a la posibilidad dada a los proponentes para que, mediante las observaciones al proyecto de pliego de condiciones y en los tiempos previstos en el Anexo 2 – Cronograma, pongan en conocimiento de la entidad contratante las dudas o interrogantes que tengan sobre el Análisis de Precios Unitarios, con el fin de que sean estudiadas. Es decir, a efectos de su</w:t>
      </w:r>
      <w:r>
        <w:rPr>
          <w:rFonts w:ascii="Arial" w:eastAsia="Calibri" w:hAnsi="Arial" w:cs="Arial"/>
          <w:sz w:val="22"/>
          <w:lang w:val="es-ES_tradnl"/>
        </w:rPr>
        <w:t xml:space="preserve"> </w:t>
      </w:r>
      <w:r w:rsidRPr="00BF23D9">
        <w:rPr>
          <w:rFonts w:ascii="Arial" w:eastAsia="Calibri" w:hAnsi="Arial" w:cs="Arial"/>
          <w:sz w:val="22"/>
          <w:lang w:val="es-ES_tradnl"/>
        </w:rPr>
        <w:t>consulta, no se trata de una oportunidad dentro del procedimiento de selección para que la entidad estatal solicite algún tipo de información a los proponentes sobre la estructuración de la oferta y de los precios unitarios.</w:t>
      </w:r>
    </w:p>
    <w:p w14:paraId="28E428D9" w14:textId="77777777" w:rsidR="00800C33" w:rsidRPr="00BF23D9" w:rsidRDefault="00800C33" w:rsidP="003B2F5C">
      <w:pPr>
        <w:spacing w:after="120"/>
        <w:rPr>
          <w:rFonts w:ascii="Arial" w:eastAsia="Calibri" w:hAnsi="Arial" w:cs="Arial"/>
          <w:sz w:val="22"/>
          <w:lang w:val="es-ES_tradnl"/>
        </w:rPr>
      </w:pPr>
      <w:r w:rsidRPr="00BF23D9">
        <w:rPr>
          <w:rFonts w:ascii="Arial" w:eastAsia="Calibri" w:hAnsi="Arial" w:cs="Arial"/>
          <w:sz w:val="22"/>
          <w:lang w:val="es-ES_tradnl"/>
        </w:rPr>
        <w:lastRenderedPageBreak/>
        <w:tab/>
        <w:t>A su turno, el numeral 8.1 del Documento Base de los documentos tipo de licitación de obra pública de infraestructura de transporte – Versión 3 regula lo relativo a la «información para el control de la ejecución de la obra» y, al efecto, establece la obligación del contratista de presentar al interventor de obra dentro del término previsto por la entidad estatal algunos documentos, diligenciados de conformidad con el pliego de condiciones, dentro de los cuales se encuentra «3. Análisis de precios unitarios correspondientes a la propuesta económica». Se trata, en esta oportunidad, del análisis de precios unitarios efectuado, no por la entidad estatal, sino por el contratista en el momento de elaborar su propuesta económica. En estricto sentido, esta información es la contenida en la hoja número 2 del Formulario 1 de los documentos tipo, con fundamento en la cual se elabora la «Propuesta económica» del proponente.</w:t>
      </w:r>
    </w:p>
    <w:p w14:paraId="53FFD4FD" w14:textId="6D321A3C" w:rsidR="00800C33" w:rsidRPr="00BF23D9" w:rsidRDefault="00800C33" w:rsidP="003B2F5C">
      <w:pPr>
        <w:spacing w:after="120"/>
        <w:rPr>
          <w:rFonts w:ascii="Arial" w:eastAsia="Calibri" w:hAnsi="Arial" w:cs="Arial"/>
          <w:sz w:val="22"/>
          <w:lang w:val="es-ES_tradnl"/>
        </w:rPr>
      </w:pPr>
      <w:r w:rsidRPr="00BF23D9">
        <w:rPr>
          <w:rFonts w:ascii="Arial" w:eastAsia="Calibri" w:hAnsi="Arial" w:cs="Arial"/>
          <w:sz w:val="22"/>
          <w:lang w:val="es-ES_tradnl"/>
        </w:rPr>
        <w:tab/>
        <w:t xml:space="preserve">De este modo, es en la </w:t>
      </w:r>
      <w:r w:rsidR="00B039D0">
        <w:rPr>
          <w:rFonts w:ascii="Arial" w:eastAsia="Calibri" w:hAnsi="Arial" w:cs="Arial"/>
          <w:sz w:val="22"/>
          <w:lang w:val="es-ES_tradnl"/>
        </w:rPr>
        <w:t>oferta</w:t>
      </w:r>
      <w:r w:rsidR="00B039D0" w:rsidRPr="00BF23D9">
        <w:rPr>
          <w:rFonts w:ascii="Arial" w:eastAsia="Calibri" w:hAnsi="Arial" w:cs="Arial"/>
          <w:sz w:val="22"/>
          <w:lang w:val="es-ES_tradnl"/>
        </w:rPr>
        <w:t xml:space="preserve"> </w:t>
      </w:r>
      <w:r w:rsidRPr="00BF23D9">
        <w:rPr>
          <w:rFonts w:ascii="Arial" w:eastAsia="Calibri" w:hAnsi="Arial" w:cs="Arial"/>
          <w:sz w:val="22"/>
          <w:lang w:val="es-ES_tradnl"/>
        </w:rPr>
        <w:t>económica en donde se encontrará reflejado el análisis de precios unitarios hecho por el oferente –hoja número 2 del Formulario 1 de los documentos tipo–, el cual debe ser estructurado con base en el análisis de precios unitarios efectuado por la entidad, que son, en todo caso, según lo contenido en el numeral 4.1 del Documento Base, únicamente de referencia y constituyen una guía para la preparación de la oferta.</w:t>
      </w:r>
      <w:r w:rsidR="004F266E">
        <w:rPr>
          <w:rFonts w:ascii="Arial" w:eastAsia="Calibri" w:hAnsi="Arial" w:cs="Arial"/>
          <w:sz w:val="22"/>
          <w:lang w:val="es-ES_tradnl"/>
        </w:rPr>
        <w:t xml:space="preserve"> Con todo, dicho análisis de precios reflejado en la oferta económica presentada por el proponente en el </w:t>
      </w:r>
      <w:r w:rsidR="00324B9A">
        <w:rPr>
          <w:rFonts w:ascii="Arial" w:eastAsia="Calibri" w:hAnsi="Arial" w:cs="Arial"/>
          <w:sz w:val="22"/>
          <w:lang w:val="es-ES_tradnl"/>
        </w:rPr>
        <w:t>S</w:t>
      </w:r>
      <w:r w:rsidR="004F266E">
        <w:rPr>
          <w:rFonts w:ascii="Arial" w:eastAsia="Calibri" w:hAnsi="Arial" w:cs="Arial"/>
          <w:sz w:val="22"/>
          <w:lang w:val="es-ES_tradnl"/>
        </w:rPr>
        <w:t>obre</w:t>
      </w:r>
      <w:r w:rsidR="00324B9A">
        <w:rPr>
          <w:rFonts w:ascii="Arial" w:eastAsia="Calibri" w:hAnsi="Arial" w:cs="Arial"/>
          <w:sz w:val="22"/>
          <w:lang w:val="es-ES_tradnl"/>
        </w:rPr>
        <w:t xml:space="preserve"> No.</w:t>
      </w:r>
      <w:r w:rsidR="004F266E">
        <w:rPr>
          <w:rFonts w:ascii="Arial" w:eastAsia="Calibri" w:hAnsi="Arial" w:cs="Arial"/>
          <w:sz w:val="22"/>
          <w:lang w:val="es-ES_tradnl"/>
        </w:rPr>
        <w:t xml:space="preserve"> 2, deberá hacerse a partir del debido diligenciamiento del Formulario 1, teniendo en cuenta la configuración </w:t>
      </w:r>
      <w:r w:rsidR="00324B9A">
        <w:rPr>
          <w:rFonts w:ascii="Arial" w:eastAsia="Calibri" w:hAnsi="Arial" w:cs="Arial"/>
          <w:sz w:val="22"/>
          <w:lang w:val="es-ES_tradnl"/>
        </w:rPr>
        <w:t>de este</w:t>
      </w:r>
      <w:r w:rsidR="004F266E">
        <w:rPr>
          <w:rFonts w:ascii="Arial" w:eastAsia="Calibri" w:hAnsi="Arial" w:cs="Arial"/>
          <w:sz w:val="22"/>
          <w:lang w:val="es-ES_tradnl"/>
        </w:rPr>
        <w:t xml:space="preserve"> que haya determinado la entidad estatal.</w:t>
      </w:r>
    </w:p>
    <w:p w14:paraId="189AC4AE" w14:textId="77777777" w:rsidR="00800C33" w:rsidRPr="00324B9A" w:rsidRDefault="00800C33" w:rsidP="003B2F5C">
      <w:pPr>
        <w:spacing w:after="0"/>
        <w:rPr>
          <w:rFonts w:ascii="Arial" w:eastAsia="Calibri" w:hAnsi="Arial" w:cs="Arial"/>
          <w:sz w:val="22"/>
          <w:lang w:val="es-ES_tradnl"/>
        </w:rPr>
      </w:pPr>
      <w:r w:rsidRPr="00BF23D9">
        <w:rPr>
          <w:rFonts w:ascii="Arial" w:eastAsia="Calibri" w:hAnsi="Arial" w:cs="Arial"/>
          <w:sz w:val="22"/>
          <w:lang w:val="es-ES_tradnl"/>
        </w:rPr>
        <w:tab/>
      </w:r>
      <w:r w:rsidRPr="00324B9A">
        <w:rPr>
          <w:rFonts w:ascii="Arial" w:eastAsia="Calibri" w:hAnsi="Arial" w:cs="Arial"/>
          <w:sz w:val="22"/>
          <w:lang w:val="es-ES_tradnl"/>
        </w:rPr>
        <w:t>Distinta es la obligación que se deriva del numeral 8.1 del Documento base, que a efectos del control de la ejecución de la obra establece que el contratista debe presentar al interventor de la obra cierta información, dentro de la cual se encuentra el «análisis de precios unitarios correspondientes a la propuesta económica», es decir, la información que fue objeto de análisis por parte de la entidad para evaluar la propuesta, que corresponde a aquella información contenida en la hoja número 2 del Formulario 1 de los documentos tipo, con fundamento en la cual se elabora la oferta económica.</w:t>
      </w:r>
    </w:p>
    <w:p w14:paraId="44D53150" w14:textId="77777777" w:rsidR="004F266E" w:rsidRPr="00324B9A" w:rsidRDefault="004F266E" w:rsidP="003B2F5C">
      <w:pPr>
        <w:spacing w:after="0"/>
        <w:rPr>
          <w:rFonts w:ascii="Arial" w:eastAsia="Calibri" w:hAnsi="Arial" w:cs="Arial"/>
          <w:sz w:val="22"/>
          <w:lang w:val="es-CO"/>
        </w:rPr>
      </w:pPr>
    </w:p>
    <w:p w14:paraId="274A48F4" w14:textId="77777777" w:rsidR="00696E68" w:rsidRDefault="00506085" w:rsidP="003B2F5C">
      <w:pPr>
        <w:spacing w:after="0"/>
        <w:rPr>
          <w:rFonts w:ascii="Arial" w:eastAsia="Calibri" w:hAnsi="Arial" w:cs="Arial"/>
          <w:sz w:val="22"/>
          <w:lang w:val="es-CO"/>
        </w:rPr>
      </w:pPr>
      <w:r w:rsidRPr="00324B9A">
        <w:rPr>
          <w:rFonts w:ascii="Arial" w:eastAsia="Calibri" w:hAnsi="Arial" w:cs="Arial"/>
          <w:sz w:val="22"/>
          <w:lang w:val="es-CO"/>
        </w:rPr>
        <w:t>Este concepto tiene el alcance previsto en el artículo 28 del Código de Procedimiento Administrativo y de lo Contencioso Administrativo.</w:t>
      </w:r>
    </w:p>
    <w:p w14:paraId="1443AD43" w14:textId="77777777" w:rsidR="00696E68" w:rsidRDefault="00506085" w:rsidP="00696E68">
      <w:pPr>
        <w:rPr>
          <w:rFonts w:ascii="Arial" w:eastAsia="Times New Roman" w:hAnsi="Arial" w:cs="Arial"/>
          <w:sz w:val="22"/>
          <w:lang w:val="es-CO" w:eastAsia="es-CO"/>
        </w:rPr>
      </w:pPr>
      <w:r w:rsidRPr="000D75DD">
        <w:rPr>
          <w:rFonts w:ascii="Arial" w:hAnsi="Arial" w:cs="Arial"/>
          <w:noProof/>
          <w:lang w:val="es-CO" w:eastAsia="es-CO"/>
        </w:rPr>
        <mc:AlternateContent>
          <mc:Choice Requires="wps">
            <w:drawing>
              <wp:anchor distT="0" distB="0" distL="114300" distR="114300" simplePos="0" relativeHeight="251659264" behindDoc="0" locked="0" layoutInCell="1" allowOverlap="1" wp14:anchorId="6B9241D6" wp14:editId="64F49FCF">
                <wp:simplePos x="0" y="0"/>
                <wp:positionH relativeFrom="page">
                  <wp:posOffset>1514475</wp:posOffset>
                </wp:positionH>
                <wp:positionV relativeFrom="paragraph">
                  <wp:posOffset>10160</wp:posOffset>
                </wp:positionV>
                <wp:extent cx="4686300"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13F950BE">
              <v:line id="Conector recto 2"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o:spid="_x0000_s1026" strokecolor="#dbdbdb" from="119.25pt,.8pt" to="488.25pt,.8pt" w14:anchorId="799FED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w10:wrap anchorx="page"/>
              </v:line>
            </w:pict>
          </mc:Fallback>
        </mc:AlternateContent>
      </w:r>
      <w:r w:rsidR="00696E68" w:rsidRPr="00696E68">
        <w:rPr>
          <w:rFonts w:ascii="Arial" w:eastAsia="Times New Roman" w:hAnsi="Arial" w:cs="Arial"/>
          <w:sz w:val="22"/>
          <w:lang w:val="es-CO" w:eastAsia="es-CO"/>
        </w:rPr>
        <w:t xml:space="preserve"> </w:t>
      </w:r>
    </w:p>
    <w:p w14:paraId="47CE2546" w14:textId="77777777" w:rsidR="00696E68" w:rsidRDefault="00696E68" w:rsidP="00696E68">
      <w:pPr>
        <w:rPr>
          <w:rFonts w:ascii="Arial" w:eastAsia="Times New Roman" w:hAnsi="Arial" w:cs="Arial"/>
          <w:sz w:val="22"/>
          <w:lang w:val="es-CO" w:eastAsia="es-CO"/>
        </w:rPr>
      </w:pPr>
    </w:p>
    <w:p w14:paraId="5335F66F" w14:textId="035AA73B" w:rsidR="00696E68" w:rsidRDefault="00696E68" w:rsidP="00696E68">
      <w:pPr>
        <w:rPr>
          <w:rFonts w:ascii="Arial" w:eastAsia="Times New Roman" w:hAnsi="Arial" w:cs="Arial"/>
          <w:sz w:val="22"/>
          <w:lang w:val="es-CO" w:eastAsia="es-CO"/>
        </w:rPr>
      </w:pPr>
      <w:r w:rsidRPr="000D75DD">
        <w:rPr>
          <w:rFonts w:ascii="Arial" w:eastAsia="Times New Roman" w:hAnsi="Arial" w:cs="Arial"/>
          <w:sz w:val="22"/>
          <w:lang w:val="es-CO" w:eastAsia="es-CO"/>
        </w:rPr>
        <w:t>Atentamente,</w:t>
      </w:r>
    </w:p>
    <w:p w14:paraId="300BE44C" w14:textId="583BEB78" w:rsidR="00843449" w:rsidRDefault="00696E68" w:rsidP="00696E68">
      <w:pPr>
        <w:spacing w:after="0"/>
        <w:jc w:val="center"/>
        <w:rPr>
          <w:noProof/>
        </w:rPr>
      </w:pPr>
      <w:r>
        <w:rPr>
          <w:noProof/>
        </w:rPr>
        <w:lastRenderedPageBreak/>
        <w:drawing>
          <wp:inline distT="0" distB="0" distL="0" distR="0" wp14:anchorId="28CBEF57" wp14:editId="7286E234">
            <wp:extent cx="3124636" cy="1000265"/>
            <wp:effectExtent l="0" t="0" r="0" b="9525"/>
            <wp:docPr id="7" name="Imagen 7"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Texto, Carta&#10;&#10;Descripción generada automáticamente"/>
                    <pic:cNvPicPr/>
                  </pic:nvPicPr>
                  <pic:blipFill>
                    <a:blip r:embed="rId12"/>
                    <a:stretch>
                      <a:fillRect/>
                    </a:stretch>
                  </pic:blipFill>
                  <pic:spPr>
                    <a:xfrm>
                      <a:off x="0" y="0"/>
                      <a:ext cx="3124636" cy="1000265"/>
                    </a:xfrm>
                    <a:prstGeom prst="rect">
                      <a:avLst/>
                    </a:prstGeom>
                  </pic:spPr>
                </pic:pic>
              </a:graphicData>
            </a:graphic>
          </wp:inline>
        </w:drawing>
      </w:r>
    </w:p>
    <w:p w14:paraId="6C9EB45B" w14:textId="77777777" w:rsidR="00696E68" w:rsidRPr="00696E68" w:rsidRDefault="00696E68" w:rsidP="00696E68">
      <w:pPr>
        <w:spacing w:after="0"/>
        <w:jc w:val="center"/>
        <w:rPr>
          <w:noProof/>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291"/>
      </w:tblGrid>
      <w:tr w:rsidR="00F176B9" w:rsidRPr="000D75DD" w14:paraId="59E26AD8" w14:textId="77777777" w:rsidTr="00DE279B">
        <w:trPr>
          <w:trHeight w:val="315"/>
        </w:trPr>
        <w:tc>
          <w:tcPr>
            <w:tcW w:w="812" w:type="dxa"/>
            <w:vAlign w:val="center"/>
            <w:hideMark/>
          </w:tcPr>
          <w:p w14:paraId="53421173" w14:textId="77777777" w:rsidR="00843449" w:rsidRPr="000D75DD" w:rsidRDefault="00843449" w:rsidP="00696E68">
            <w:pPr>
              <w:jc w:val="cente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Elaboró:</w:t>
            </w:r>
          </w:p>
        </w:tc>
        <w:tc>
          <w:tcPr>
            <w:tcW w:w="4291" w:type="dxa"/>
            <w:tcBorders>
              <w:top w:val="nil"/>
              <w:left w:val="nil"/>
              <w:bottom w:val="dotted" w:sz="4" w:space="0" w:color="7F7F7F" w:themeColor="text1" w:themeTint="80"/>
              <w:right w:val="nil"/>
            </w:tcBorders>
            <w:vAlign w:val="center"/>
            <w:hideMark/>
          </w:tcPr>
          <w:p w14:paraId="6E5507FB" w14:textId="4A78DA07" w:rsidR="00F354B5" w:rsidRPr="00F354B5" w:rsidRDefault="004F744D" w:rsidP="00696E68">
            <w:pPr>
              <w:jc w:val="center"/>
              <w:rPr>
                <w:rFonts w:ascii="Arial" w:eastAsia="Times New Roman" w:hAnsi="Arial" w:cs="Arial"/>
                <w:color w:val="000000" w:themeColor="text1"/>
                <w:sz w:val="16"/>
                <w:szCs w:val="16"/>
                <w:lang w:val="es-ES_tradnl" w:eastAsia="es-ES"/>
              </w:rPr>
            </w:pPr>
            <w:r>
              <w:rPr>
                <w:rFonts w:ascii="Arial" w:eastAsia="Times New Roman" w:hAnsi="Arial" w:cs="Arial"/>
                <w:color w:val="000000" w:themeColor="text1"/>
                <w:sz w:val="16"/>
                <w:szCs w:val="16"/>
                <w:lang w:val="es-ES_tradnl" w:eastAsia="es-ES"/>
              </w:rPr>
              <w:t>Nina María Padrón Ballestas</w:t>
            </w:r>
          </w:p>
          <w:p w14:paraId="3F63272B" w14:textId="4F20144E" w:rsidR="00843449" w:rsidRPr="000D75DD" w:rsidRDefault="00F354B5" w:rsidP="00696E68">
            <w:pPr>
              <w:jc w:val="center"/>
              <w:rPr>
                <w:rFonts w:ascii="Arial" w:eastAsia="Times New Roman" w:hAnsi="Arial" w:cs="Arial"/>
                <w:sz w:val="16"/>
                <w:szCs w:val="16"/>
                <w:lang w:val="es-CO" w:eastAsia="es-ES"/>
              </w:rPr>
            </w:pPr>
            <w:r w:rsidRPr="00F354B5">
              <w:rPr>
                <w:rFonts w:ascii="Arial" w:eastAsia="Times New Roman" w:hAnsi="Arial" w:cs="Arial"/>
                <w:color w:val="000000" w:themeColor="text1"/>
                <w:sz w:val="16"/>
                <w:szCs w:val="16"/>
                <w:lang w:val="es-ES_tradnl" w:eastAsia="es-ES"/>
              </w:rPr>
              <w:t>Contratista de la Subdirección de Gestión Contractual</w:t>
            </w:r>
          </w:p>
        </w:tc>
      </w:tr>
      <w:tr w:rsidR="00F176B9" w:rsidRPr="000D75DD" w14:paraId="363E18D7" w14:textId="77777777" w:rsidTr="00DE279B">
        <w:trPr>
          <w:trHeight w:val="330"/>
        </w:trPr>
        <w:tc>
          <w:tcPr>
            <w:tcW w:w="812" w:type="dxa"/>
            <w:vAlign w:val="center"/>
            <w:hideMark/>
          </w:tcPr>
          <w:p w14:paraId="5E29D295" w14:textId="77777777" w:rsidR="00843449" w:rsidRPr="000D75DD" w:rsidRDefault="00843449" w:rsidP="00696E68">
            <w:pPr>
              <w:jc w:val="cente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Revisó: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05809079" w14:textId="52250CF4" w:rsidR="00843449" w:rsidRPr="000D75DD" w:rsidRDefault="00F354B5" w:rsidP="00696E68">
            <w:pPr>
              <w:jc w:val="cente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Alejandro Sarmiento Cantillo</w:t>
            </w:r>
          </w:p>
          <w:p w14:paraId="30332C7A" w14:textId="77777777" w:rsidR="00843449" w:rsidRPr="000D75DD" w:rsidRDefault="00843449" w:rsidP="00696E68">
            <w:pPr>
              <w:jc w:val="cente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Gestor T1-15 de la Subdirección de Gestión Contractual</w:t>
            </w:r>
          </w:p>
        </w:tc>
      </w:tr>
      <w:tr w:rsidR="00F176B9" w:rsidRPr="00F176B9" w14:paraId="4231B1F9" w14:textId="77777777" w:rsidTr="00DE279B">
        <w:trPr>
          <w:trHeight w:val="300"/>
        </w:trPr>
        <w:tc>
          <w:tcPr>
            <w:tcW w:w="812" w:type="dxa"/>
            <w:vAlign w:val="center"/>
            <w:hideMark/>
          </w:tcPr>
          <w:p w14:paraId="074BC5C1" w14:textId="77777777" w:rsidR="00843449" w:rsidRPr="000D75DD" w:rsidRDefault="00843449" w:rsidP="00696E68">
            <w:pPr>
              <w:jc w:val="cente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Aprobó: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00EE21D5" w14:textId="19511217" w:rsidR="00843449" w:rsidRPr="000D75DD" w:rsidRDefault="00843449" w:rsidP="00696E68">
            <w:pPr>
              <w:jc w:val="cente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J</w:t>
            </w:r>
            <w:r w:rsidR="004F744D">
              <w:rPr>
                <w:rFonts w:ascii="Arial" w:eastAsia="Times New Roman" w:hAnsi="Arial" w:cs="Arial"/>
                <w:sz w:val="16"/>
                <w:szCs w:val="16"/>
                <w:lang w:val="es-CO" w:eastAsia="es-ES"/>
              </w:rPr>
              <w:t xml:space="preserve">uan David Marín </w:t>
            </w:r>
            <w:r w:rsidR="00C46F2D">
              <w:rPr>
                <w:rFonts w:ascii="Arial" w:eastAsia="Times New Roman" w:hAnsi="Arial" w:cs="Arial"/>
                <w:sz w:val="16"/>
                <w:szCs w:val="16"/>
                <w:lang w:val="es-CO" w:eastAsia="es-ES"/>
              </w:rPr>
              <w:t>López</w:t>
            </w:r>
          </w:p>
          <w:p w14:paraId="4A949C01" w14:textId="30D61FAB" w:rsidR="00843449" w:rsidRPr="00F176B9" w:rsidRDefault="00843449" w:rsidP="00696E68">
            <w:pPr>
              <w:jc w:val="center"/>
              <w:rPr>
                <w:rFonts w:ascii="Arial" w:eastAsia="Times New Roman" w:hAnsi="Arial" w:cs="Arial"/>
                <w:sz w:val="16"/>
                <w:szCs w:val="16"/>
                <w:lang w:val="es-CO" w:eastAsia="es-ES"/>
              </w:rPr>
            </w:pPr>
            <w:r w:rsidRPr="000D75DD">
              <w:rPr>
                <w:rFonts w:ascii="Arial" w:eastAsia="Times New Roman" w:hAnsi="Arial" w:cs="Arial"/>
                <w:sz w:val="16"/>
                <w:szCs w:val="16"/>
                <w:lang w:val="es-CO" w:eastAsia="es-ES"/>
              </w:rPr>
              <w:t>Subdirector de Gestión Contractual ANCP – CCE</w:t>
            </w:r>
            <w:r w:rsidR="004F744D">
              <w:rPr>
                <w:rFonts w:ascii="Arial" w:eastAsia="Times New Roman" w:hAnsi="Arial" w:cs="Arial"/>
                <w:sz w:val="16"/>
                <w:szCs w:val="16"/>
                <w:lang w:val="es-CO" w:eastAsia="es-ES"/>
              </w:rPr>
              <w:t xml:space="preserve"> (E)</w:t>
            </w:r>
          </w:p>
        </w:tc>
      </w:tr>
      <w:bookmarkEnd w:id="6"/>
    </w:tbl>
    <w:p w14:paraId="20333B98" w14:textId="77777777" w:rsidR="006674C1" w:rsidRPr="00F176B9" w:rsidRDefault="006674C1" w:rsidP="00696E68">
      <w:pPr>
        <w:spacing w:after="120"/>
        <w:contextualSpacing/>
        <w:jc w:val="center"/>
        <w:rPr>
          <w:rFonts w:ascii="Arial" w:eastAsia="Calibri" w:hAnsi="Arial" w:cs="Arial"/>
          <w:b/>
          <w:bCs/>
          <w:sz w:val="20"/>
          <w:szCs w:val="20"/>
        </w:rPr>
      </w:pPr>
    </w:p>
    <w:sectPr w:rsidR="006674C1" w:rsidRPr="00F176B9" w:rsidSect="003D603B">
      <w:headerReference w:type="default" r:id="rId13"/>
      <w:footerReference w:type="default" r:id="rId14"/>
      <w:pgSz w:w="12240" w:h="15840"/>
      <w:pgMar w:top="411" w:right="2317"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197A7" w14:textId="77777777" w:rsidR="00241AB9" w:rsidRDefault="00241AB9">
      <w:r>
        <w:separator/>
      </w:r>
    </w:p>
  </w:endnote>
  <w:endnote w:type="continuationSeparator" w:id="0">
    <w:p w14:paraId="6E55A158" w14:textId="77777777" w:rsidR="00241AB9" w:rsidRDefault="00241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8D1CB" w14:textId="1AB2AE8F" w:rsidR="00412132" w:rsidRDefault="00412132" w:rsidP="00B6444C">
    <w:pPr>
      <w:pStyle w:val="Sinespaciado"/>
      <w:rPr>
        <w:rFonts w:ascii="Arial" w:hAnsi="Arial" w:cs="Arial"/>
        <w:sz w:val="18"/>
        <w:szCs w:val="18"/>
      </w:rPr>
    </w:pPr>
  </w:p>
  <w:p w14:paraId="53DF6B5B" w14:textId="77777777" w:rsidR="00412132" w:rsidRDefault="00412132" w:rsidP="00B6444C">
    <w:pPr>
      <w:pStyle w:val="Sinespaciado"/>
      <w:rPr>
        <w:rFonts w:ascii="Arial" w:hAnsi="Arial" w:cs="Arial"/>
        <w:sz w:val="18"/>
        <w:szCs w:val="18"/>
      </w:rPr>
    </w:pPr>
  </w:p>
  <w:p w14:paraId="312C4A14" w14:textId="6A24D930" w:rsidR="00412132" w:rsidRPr="00501651" w:rsidRDefault="00412132" w:rsidP="005A79FE">
    <w:pPr>
      <w:pStyle w:val="Piedepgina"/>
      <w:jc w:val="right"/>
      <w:rPr>
        <w:rFonts w:ascii="Arial" w:hAnsi="Arial" w:cs="Arial"/>
        <w:color w:val="7F7F7F"/>
        <w:sz w:val="16"/>
        <w:szCs w:val="16"/>
      </w:rPr>
    </w:pPr>
    <w:r w:rsidRPr="00501651">
      <w:rPr>
        <w:rFonts w:ascii="Arial" w:hAnsi="Arial" w:cs="Arial"/>
        <w:bCs/>
        <w:color w:val="7F7F7F"/>
        <w:sz w:val="16"/>
        <w:szCs w:val="16"/>
      </w:rPr>
      <w:t xml:space="preserve">Página </w:t>
    </w:r>
    <w:r w:rsidRPr="00501651">
      <w:rPr>
        <w:rFonts w:ascii="Arial" w:hAnsi="Arial" w:cs="Arial"/>
        <w:b/>
        <w:bCs/>
        <w:color w:val="7F7F7F"/>
        <w:sz w:val="16"/>
        <w:szCs w:val="16"/>
      </w:rPr>
      <w:fldChar w:fldCharType="begin"/>
    </w:r>
    <w:r w:rsidRPr="00501651">
      <w:rPr>
        <w:rFonts w:ascii="Arial" w:hAnsi="Arial" w:cs="Arial"/>
        <w:b/>
        <w:bCs/>
        <w:color w:val="7F7F7F"/>
        <w:sz w:val="16"/>
        <w:szCs w:val="16"/>
      </w:rPr>
      <w:instrText>PAGE  \* Arabic  \* MERGEFORMAT</w:instrText>
    </w:r>
    <w:r w:rsidRPr="00501651">
      <w:rPr>
        <w:rFonts w:ascii="Arial" w:hAnsi="Arial" w:cs="Arial"/>
        <w:b/>
        <w:bCs/>
        <w:color w:val="7F7F7F"/>
        <w:sz w:val="16"/>
        <w:szCs w:val="16"/>
      </w:rPr>
      <w:fldChar w:fldCharType="separate"/>
    </w:r>
    <w:r w:rsidR="00D6148F" w:rsidRPr="00501651">
      <w:rPr>
        <w:rFonts w:ascii="Arial" w:hAnsi="Arial" w:cs="Arial"/>
        <w:b/>
        <w:bCs/>
        <w:noProof/>
        <w:color w:val="7F7F7F"/>
        <w:sz w:val="16"/>
        <w:szCs w:val="16"/>
      </w:rPr>
      <w:t>17</w:t>
    </w:r>
    <w:r w:rsidRPr="00501651">
      <w:rPr>
        <w:rFonts w:ascii="Arial" w:hAnsi="Arial" w:cs="Arial"/>
        <w:b/>
        <w:bCs/>
        <w:color w:val="7F7F7F"/>
        <w:sz w:val="16"/>
        <w:szCs w:val="16"/>
      </w:rPr>
      <w:fldChar w:fldCharType="end"/>
    </w:r>
    <w:r w:rsidRPr="00501651">
      <w:rPr>
        <w:rFonts w:ascii="Arial" w:hAnsi="Arial" w:cs="Arial"/>
        <w:color w:val="7F7F7F"/>
        <w:sz w:val="16"/>
        <w:szCs w:val="16"/>
      </w:rPr>
      <w:t xml:space="preserve"> de </w:t>
    </w:r>
    <w:r w:rsidRPr="00501651">
      <w:rPr>
        <w:rFonts w:ascii="Arial" w:hAnsi="Arial" w:cs="Arial"/>
        <w:b/>
        <w:bCs/>
        <w:color w:val="7F7F7F"/>
        <w:sz w:val="16"/>
        <w:szCs w:val="16"/>
      </w:rPr>
      <w:fldChar w:fldCharType="begin"/>
    </w:r>
    <w:r w:rsidRPr="00501651">
      <w:rPr>
        <w:rFonts w:ascii="Arial" w:hAnsi="Arial" w:cs="Arial"/>
        <w:b/>
        <w:bCs/>
        <w:color w:val="7F7F7F"/>
        <w:sz w:val="16"/>
        <w:szCs w:val="16"/>
      </w:rPr>
      <w:instrText>NUMPAGES  \* Arabic  \* MERGEFORMAT</w:instrText>
    </w:r>
    <w:r w:rsidRPr="00501651">
      <w:rPr>
        <w:rFonts w:ascii="Arial" w:hAnsi="Arial" w:cs="Arial"/>
        <w:b/>
        <w:bCs/>
        <w:color w:val="7F7F7F"/>
        <w:sz w:val="16"/>
        <w:szCs w:val="16"/>
      </w:rPr>
      <w:fldChar w:fldCharType="separate"/>
    </w:r>
    <w:r w:rsidR="00D6148F" w:rsidRPr="00501651">
      <w:rPr>
        <w:rFonts w:ascii="Arial" w:hAnsi="Arial" w:cs="Arial"/>
        <w:b/>
        <w:bCs/>
        <w:noProof/>
        <w:color w:val="7F7F7F"/>
        <w:sz w:val="16"/>
        <w:szCs w:val="16"/>
      </w:rPr>
      <w:t>17</w:t>
    </w:r>
    <w:r w:rsidRPr="00501651">
      <w:rPr>
        <w:rFonts w:ascii="Arial" w:hAnsi="Arial" w:cs="Arial"/>
        <w:b/>
        <w:bCs/>
        <w:color w:val="7F7F7F"/>
        <w:sz w:val="16"/>
        <w:szCs w:val="16"/>
      </w:rPr>
      <w:fldChar w:fldCharType="end"/>
    </w:r>
  </w:p>
  <w:p w14:paraId="48FC6A04" w14:textId="4A5E79D2" w:rsidR="00412132" w:rsidRDefault="00412132" w:rsidP="007B0854">
    <w:pPr>
      <w:pStyle w:val="Piedepgina"/>
      <w:jc w:val="center"/>
      <w:rPr>
        <w:lang w:val="es-ES"/>
      </w:rPr>
    </w:pPr>
    <w:r>
      <w:rPr>
        <w:noProof/>
        <w:lang w:val="es-CO" w:eastAsia="es-CO"/>
      </w:rPr>
      <w:drawing>
        <wp:inline distT="0" distB="0" distL="0" distR="0" wp14:anchorId="608B196D" wp14:editId="577C97FD">
          <wp:extent cx="4241994" cy="595165"/>
          <wp:effectExtent l="0" t="0" r="6350" b="0"/>
          <wp:docPr id="6"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25744B2D" w14:textId="77777777" w:rsidR="00412132" w:rsidRDefault="00412132" w:rsidP="007B0854">
    <w:pPr>
      <w:pStyle w:val="Piedepgina"/>
      <w:jc w:val="center"/>
      <w:rPr>
        <w:lang w:val="es-ES"/>
      </w:rPr>
    </w:pPr>
  </w:p>
  <w:p w14:paraId="645768A8" w14:textId="77777777" w:rsidR="00412132" w:rsidRPr="007B0854" w:rsidRDefault="00412132" w:rsidP="00A5235A">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FBC200" w14:textId="77777777" w:rsidR="00241AB9" w:rsidRDefault="00241AB9">
      <w:r>
        <w:separator/>
      </w:r>
    </w:p>
  </w:footnote>
  <w:footnote w:type="continuationSeparator" w:id="0">
    <w:p w14:paraId="753884B1" w14:textId="77777777" w:rsidR="00241AB9" w:rsidRDefault="00241AB9">
      <w:r>
        <w:continuationSeparator/>
      </w:r>
    </w:p>
  </w:footnote>
  <w:footnote w:id="1">
    <w:p w14:paraId="7C98C8FC" w14:textId="4E15B35B" w:rsidR="00FD7130" w:rsidRDefault="00FD7130" w:rsidP="0003550A">
      <w:pPr>
        <w:pStyle w:val="Textonotapie"/>
        <w:spacing w:after="0" w:line="240" w:lineRule="auto"/>
        <w:ind w:firstLine="709"/>
        <w:rPr>
          <w:rFonts w:ascii="Arial" w:hAnsi="Arial" w:cs="Arial"/>
          <w:color w:val="000000" w:themeColor="text1"/>
          <w:sz w:val="18"/>
          <w:szCs w:val="18"/>
        </w:rPr>
      </w:pPr>
      <w:r w:rsidRPr="003B2F5C">
        <w:rPr>
          <w:rStyle w:val="Refdenotaalpie"/>
          <w:rFonts w:ascii="Arial" w:hAnsi="Arial" w:cs="Arial"/>
          <w:color w:val="000000" w:themeColor="text1"/>
          <w:sz w:val="18"/>
          <w:szCs w:val="18"/>
        </w:rPr>
        <w:footnoteRef/>
      </w:r>
      <w:r w:rsidRPr="003B2F5C">
        <w:rPr>
          <w:rFonts w:ascii="Arial" w:hAnsi="Arial" w:cs="Arial"/>
          <w:color w:val="000000" w:themeColor="text1"/>
          <w:sz w:val="18"/>
          <w:szCs w:val="18"/>
        </w:rPr>
        <w:t xml:space="preserve"> Artículo 2.2.1.1.2.1.1. del Decreto 1082 de 2015.</w:t>
      </w:r>
    </w:p>
    <w:p w14:paraId="318E8B18" w14:textId="77777777" w:rsidR="0003550A" w:rsidRPr="003B2F5C" w:rsidRDefault="0003550A" w:rsidP="003B2F5C">
      <w:pPr>
        <w:pStyle w:val="Textonotapie"/>
        <w:spacing w:after="0" w:line="240" w:lineRule="auto"/>
        <w:ind w:firstLine="709"/>
        <w:rPr>
          <w:rFonts w:ascii="Arial" w:hAnsi="Arial" w:cs="Arial"/>
          <w:color w:val="000000" w:themeColor="text1"/>
          <w:sz w:val="18"/>
          <w:szCs w:val="18"/>
          <w:lang w:val="es-ES"/>
        </w:rPr>
      </w:pPr>
    </w:p>
  </w:footnote>
  <w:footnote w:id="2">
    <w:p w14:paraId="0C6371D2" w14:textId="77777777" w:rsidR="00FD7130" w:rsidRPr="003B2F5C" w:rsidRDefault="00FD7130" w:rsidP="003B2F5C">
      <w:pPr>
        <w:spacing w:after="0" w:line="240" w:lineRule="auto"/>
        <w:ind w:firstLine="709"/>
        <w:rPr>
          <w:rFonts w:ascii="Arial" w:hAnsi="Arial" w:cs="Arial"/>
          <w:sz w:val="18"/>
          <w:szCs w:val="18"/>
        </w:rPr>
      </w:pPr>
      <w:r w:rsidRPr="003B2F5C">
        <w:rPr>
          <w:rStyle w:val="Refdenotaalpie"/>
          <w:rFonts w:ascii="Arial" w:hAnsi="Arial" w:cs="Arial"/>
          <w:sz w:val="18"/>
          <w:szCs w:val="18"/>
        </w:rPr>
        <w:footnoteRef/>
      </w:r>
      <w:r w:rsidRPr="003B2F5C">
        <w:rPr>
          <w:rFonts w:ascii="Arial" w:hAnsi="Arial" w:cs="Arial"/>
          <w:sz w:val="18"/>
          <w:szCs w:val="18"/>
        </w:rPr>
        <w:t xml:space="preserve"> En efecto, la causal de rechazo del literal Q de los documentos tipo de licitación de obra pública de infraestructura de transporte – Versión 3 establece: «[Incluir solo cuando la forma de pago sea por precios unitarios] Superar el valor unitario de alguno o algunos de los siguientes ítems ofrecidos con respecto al valor establecido para cada ítem del presupuesto oficial: [La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 </w:t>
      </w:r>
    </w:p>
    <w:p w14:paraId="5E124BF2" w14:textId="77777777" w:rsidR="00FD7130" w:rsidRPr="003B2F5C" w:rsidRDefault="00FD7130" w:rsidP="003B2F5C">
      <w:pPr>
        <w:pStyle w:val="Textonotapie"/>
        <w:spacing w:after="0" w:line="240" w:lineRule="auto"/>
        <w:ind w:firstLine="709"/>
        <w:rPr>
          <w:rFonts w:ascii="Arial" w:hAnsi="Arial" w:cs="Arial"/>
          <w:sz w:val="18"/>
          <w:szCs w:val="18"/>
          <w:lang w:val="es-CO"/>
        </w:rPr>
      </w:pPr>
      <w:r w:rsidRPr="003B2F5C">
        <w:rPr>
          <w:rFonts w:ascii="Arial" w:hAnsi="Arial" w:cs="Arial"/>
          <w:sz w:val="18"/>
          <w:szCs w:val="18"/>
        </w:rPr>
        <w:t>»Para la aplicación de esta causal la entidad debe tener en cuenta que el valor unitario establecido en el Formulario 1 – Formulario de Presupuesto Oficial incluye el valor de AIU]»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23BDB" w14:textId="1CCC219A" w:rsidR="00412132" w:rsidRDefault="00412132">
    <w:pPr>
      <w:pStyle w:val="Encabezado"/>
    </w:pPr>
    <w:r>
      <w:rPr>
        <w:noProof/>
        <w:lang w:val="es-CO" w:eastAsia="es-CO"/>
      </w:rPr>
      <w:drawing>
        <wp:anchor distT="0" distB="0" distL="114300" distR="114300" simplePos="0" relativeHeight="251673600" behindDoc="1" locked="0" layoutInCell="1" allowOverlap="1" wp14:anchorId="1A706351" wp14:editId="7CA6CDD4">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31D607" w14:textId="77777777" w:rsidR="00FE0395" w:rsidRDefault="00FE0395" w:rsidP="00FE0395">
    <w:pPr>
      <w:pStyle w:val="Encabezado"/>
      <w:spacing w:after="0"/>
    </w:pPr>
  </w:p>
  <w:p w14:paraId="6520770B" w14:textId="18EB07B5" w:rsidR="00412132" w:rsidRDefault="0041213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923CB4E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6A425D"/>
    <w:multiLevelType w:val="hybridMultilevel"/>
    <w:tmpl w:val="6B04D01A"/>
    <w:lvl w:ilvl="0" w:tplc="0C0A0019">
      <w:start w:val="1"/>
      <w:numFmt w:val="lowerLetter"/>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2" w15:restartNumberingAfterBreak="0">
    <w:nsid w:val="06EE161D"/>
    <w:multiLevelType w:val="hybridMultilevel"/>
    <w:tmpl w:val="5E9052F8"/>
    <w:lvl w:ilvl="0" w:tplc="864A5026">
      <w:start w:val="1"/>
      <w:numFmt w:val="lowerLetter"/>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8CE7502"/>
    <w:multiLevelType w:val="hybridMultilevel"/>
    <w:tmpl w:val="8A348CD6"/>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88E33FD"/>
    <w:multiLevelType w:val="hybridMultilevel"/>
    <w:tmpl w:val="8DB4960C"/>
    <w:lvl w:ilvl="0" w:tplc="35F8F35A">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5" w15:restartNumberingAfterBreak="0">
    <w:nsid w:val="24922130"/>
    <w:multiLevelType w:val="hybridMultilevel"/>
    <w:tmpl w:val="F77AA9EE"/>
    <w:lvl w:ilvl="0" w:tplc="525273FC">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6" w15:restartNumberingAfterBreak="0">
    <w:nsid w:val="25613221"/>
    <w:multiLevelType w:val="hybridMultilevel"/>
    <w:tmpl w:val="74E8714E"/>
    <w:lvl w:ilvl="0" w:tplc="67744F1C">
      <w:start w:val="1"/>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7" w15:restartNumberingAfterBreak="0">
    <w:nsid w:val="283D5E85"/>
    <w:multiLevelType w:val="multilevel"/>
    <w:tmpl w:val="374260C8"/>
    <w:lvl w:ilvl="0">
      <w:start w:val="1"/>
      <w:numFmt w:val="decimal"/>
      <w:lvlText w:val="%1."/>
      <w:lvlJc w:val="left"/>
      <w:pPr>
        <w:ind w:left="720" w:hanging="360"/>
      </w:pPr>
      <w:rPr>
        <w:rFonts w:hint="default"/>
        <w:b/>
        <w:bCs/>
      </w:rPr>
    </w:lvl>
    <w:lvl w:ilvl="1">
      <w:start w:val="7"/>
      <w:numFmt w:val="decimal"/>
      <w:isLgl/>
      <w:lvlText w:val="%1.%2."/>
      <w:lvlJc w:val="left"/>
      <w:pPr>
        <w:ind w:left="1080" w:hanging="720"/>
      </w:pPr>
      <w:rPr>
        <w:rFonts w:eastAsia="Calibri" w:hint="default"/>
        <w:color w:val="000000" w:themeColor="text1"/>
      </w:rPr>
    </w:lvl>
    <w:lvl w:ilvl="2">
      <w:start w:val="1"/>
      <w:numFmt w:val="decimal"/>
      <w:isLgl/>
      <w:lvlText w:val="%1.%2.%3."/>
      <w:lvlJc w:val="left"/>
      <w:pPr>
        <w:ind w:left="1080" w:hanging="720"/>
      </w:pPr>
      <w:rPr>
        <w:rFonts w:eastAsia="Calibri" w:hint="default"/>
        <w:color w:val="000000" w:themeColor="text1"/>
      </w:rPr>
    </w:lvl>
    <w:lvl w:ilvl="3">
      <w:start w:val="1"/>
      <w:numFmt w:val="decimal"/>
      <w:isLgl/>
      <w:lvlText w:val="%1.%2.%3.%4."/>
      <w:lvlJc w:val="left"/>
      <w:pPr>
        <w:ind w:left="1440" w:hanging="1080"/>
      </w:pPr>
      <w:rPr>
        <w:rFonts w:eastAsia="Calibri" w:hint="default"/>
        <w:color w:val="000000" w:themeColor="text1"/>
      </w:rPr>
    </w:lvl>
    <w:lvl w:ilvl="4">
      <w:start w:val="1"/>
      <w:numFmt w:val="decimal"/>
      <w:isLgl/>
      <w:lvlText w:val="%1.%2.%3.%4.%5."/>
      <w:lvlJc w:val="left"/>
      <w:pPr>
        <w:ind w:left="1440" w:hanging="1080"/>
      </w:pPr>
      <w:rPr>
        <w:rFonts w:eastAsia="Calibri" w:hint="default"/>
        <w:color w:val="000000" w:themeColor="text1"/>
      </w:rPr>
    </w:lvl>
    <w:lvl w:ilvl="5">
      <w:start w:val="1"/>
      <w:numFmt w:val="decimal"/>
      <w:isLgl/>
      <w:lvlText w:val="%1.%2.%3.%4.%5.%6."/>
      <w:lvlJc w:val="left"/>
      <w:pPr>
        <w:ind w:left="1800" w:hanging="1440"/>
      </w:pPr>
      <w:rPr>
        <w:rFonts w:eastAsia="Calibri" w:hint="default"/>
        <w:color w:val="000000" w:themeColor="text1"/>
      </w:rPr>
    </w:lvl>
    <w:lvl w:ilvl="6">
      <w:start w:val="1"/>
      <w:numFmt w:val="decimal"/>
      <w:isLgl/>
      <w:lvlText w:val="%1.%2.%3.%4.%5.%6.%7."/>
      <w:lvlJc w:val="left"/>
      <w:pPr>
        <w:ind w:left="1800" w:hanging="1440"/>
      </w:pPr>
      <w:rPr>
        <w:rFonts w:eastAsia="Calibri" w:hint="default"/>
        <w:color w:val="000000" w:themeColor="text1"/>
      </w:rPr>
    </w:lvl>
    <w:lvl w:ilvl="7">
      <w:start w:val="1"/>
      <w:numFmt w:val="decimal"/>
      <w:isLgl/>
      <w:lvlText w:val="%1.%2.%3.%4.%5.%6.%7.%8."/>
      <w:lvlJc w:val="left"/>
      <w:pPr>
        <w:ind w:left="2160" w:hanging="1800"/>
      </w:pPr>
      <w:rPr>
        <w:rFonts w:eastAsia="Calibri" w:hint="default"/>
        <w:color w:val="000000" w:themeColor="text1"/>
      </w:rPr>
    </w:lvl>
    <w:lvl w:ilvl="8">
      <w:start w:val="1"/>
      <w:numFmt w:val="decimal"/>
      <w:isLgl/>
      <w:lvlText w:val="%1.%2.%3.%4.%5.%6.%7.%8.%9."/>
      <w:lvlJc w:val="left"/>
      <w:pPr>
        <w:ind w:left="2160" w:hanging="1800"/>
      </w:pPr>
      <w:rPr>
        <w:rFonts w:eastAsia="Calibri" w:hint="default"/>
        <w:color w:val="000000" w:themeColor="text1"/>
      </w:rPr>
    </w:lvl>
  </w:abstractNum>
  <w:abstractNum w:abstractNumId="8" w15:restartNumberingAfterBreak="0">
    <w:nsid w:val="2BAA45F7"/>
    <w:multiLevelType w:val="hybridMultilevel"/>
    <w:tmpl w:val="B8785494"/>
    <w:lvl w:ilvl="0" w:tplc="369A2F20">
      <w:start w:val="1"/>
      <w:numFmt w:val="decimal"/>
      <w:pStyle w:val="Capitulo3"/>
      <w:lvlText w:val="3.%1."/>
      <w:lvlJc w:val="left"/>
      <w:pPr>
        <w:ind w:left="786" w:hanging="360"/>
      </w:pPr>
      <w:rPr>
        <w:rFonts w:hint="default"/>
        <w:b/>
        <w:color w:val="262626" w:themeColor="text1" w:themeTint="D9"/>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9" w15:restartNumberingAfterBreak="0">
    <w:nsid w:val="2E52434E"/>
    <w:multiLevelType w:val="multilevel"/>
    <w:tmpl w:val="451480FA"/>
    <w:lvl w:ilvl="0">
      <w:start w:val="3"/>
      <w:numFmt w:val="decimal"/>
      <w:lvlText w:val="%1."/>
      <w:lvlJc w:val="left"/>
      <w:pPr>
        <w:ind w:left="360" w:hanging="360"/>
      </w:pPr>
      <w:rPr>
        <w:rFonts w:hint="default"/>
        <w:color w:val="3C3C3C" w:themeColor="background2" w:themeShade="40"/>
      </w:rPr>
    </w:lvl>
    <w:lvl w:ilvl="1">
      <w:start w:val="6"/>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3C3C3C" w:themeColor="background2" w:themeShade="40"/>
      </w:rPr>
    </w:lvl>
    <w:lvl w:ilvl="3">
      <w:start w:val="1"/>
      <w:numFmt w:val="decimal"/>
      <w:lvlText w:val="%1.%2.%3.%4."/>
      <w:lvlJc w:val="left"/>
      <w:pPr>
        <w:ind w:left="720" w:hanging="720"/>
      </w:pPr>
      <w:rPr>
        <w:rFonts w:hint="default"/>
        <w:color w:val="3C3C3C" w:themeColor="background2" w:themeShade="40"/>
      </w:rPr>
    </w:lvl>
    <w:lvl w:ilvl="4">
      <w:start w:val="1"/>
      <w:numFmt w:val="decimal"/>
      <w:lvlText w:val="%1.%2.%3.%4.%5."/>
      <w:lvlJc w:val="left"/>
      <w:pPr>
        <w:ind w:left="1080" w:hanging="1080"/>
      </w:pPr>
      <w:rPr>
        <w:rFonts w:hint="default"/>
        <w:color w:val="3C3C3C" w:themeColor="background2" w:themeShade="40"/>
      </w:rPr>
    </w:lvl>
    <w:lvl w:ilvl="5">
      <w:start w:val="1"/>
      <w:numFmt w:val="decimal"/>
      <w:lvlText w:val="%1.%2.%3.%4.%5.%6."/>
      <w:lvlJc w:val="left"/>
      <w:pPr>
        <w:ind w:left="1080" w:hanging="1080"/>
      </w:pPr>
      <w:rPr>
        <w:rFonts w:hint="default"/>
        <w:color w:val="3C3C3C" w:themeColor="background2" w:themeShade="40"/>
      </w:rPr>
    </w:lvl>
    <w:lvl w:ilvl="6">
      <w:start w:val="1"/>
      <w:numFmt w:val="decimal"/>
      <w:lvlText w:val="%1.%2.%3.%4.%5.%6.%7."/>
      <w:lvlJc w:val="left"/>
      <w:pPr>
        <w:ind w:left="1440" w:hanging="1440"/>
      </w:pPr>
      <w:rPr>
        <w:rFonts w:hint="default"/>
        <w:color w:val="3C3C3C" w:themeColor="background2" w:themeShade="40"/>
      </w:rPr>
    </w:lvl>
    <w:lvl w:ilvl="7">
      <w:start w:val="1"/>
      <w:numFmt w:val="decimal"/>
      <w:lvlText w:val="%1.%2.%3.%4.%5.%6.%7.%8."/>
      <w:lvlJc w:val="left"/>
      <w:pPr>
        <w:ind w:left="1440" w:hanging="1440"/>
      </w:pPr>
      <w:rPr>
        <w:rFonts w:hint="default"/>
        <w:color w:val="3C3C3C" w:themeColor="background2" w:themeShade="40"/>
      </w:rPr>
    </w:lvl>
    <w:lvl w:ilvl="8">
      <w:start w:val="1"/>
      <w:numFmt w:val="decimal"/>
      <w:lvlText w:val="%1.%2.%3.%4.%5.%6.%7.%8.%9."/>
      <w:lvlJc w:val="left"/>
      <w:pPr>
        <w:ind w:left="1800" w:hanging="1800"/>
      </w:pPr>
      <w:rPr>
        <w:rFonts w:hint="default"/>
        <w:color w:val="3C3C3C" w:themeColor="background2" w:themeShade="40"/>
      </w:rPr>
    </w:lvl>
  </w:abstractNum>
  <w:abstractNum w:abstractNumId="10" w15:restartNumberingAfterBreak="0">
    <w:nsid w:val="30BD7991"/>
    <w:multiLevelType w:val="hybridMultilevel"/>
    <w:tmpl w:val="195AF042"/>
    <w:lvl w:ilvl="0" w:tplc="864A5026">
      <w:start w:val="1"/>
      <w:numFmt w:val="lowerLetter"/>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18D3B73"/>
    <w:multiLevelType w:val="hybridMultilevel"/>
    <w:tmpl w:val="6F464806"/>
    <w:lvl w:ilvl="0" w:tplc="6388BED4">
      <w:start w:val="1"/>
      <w:numFmt w:val="lowerRoman"/>
      <w:lvlText w:val="(%1)"/>
      <w:lvlJc w:val="left"/>
      <w:pPr>
        <w:ind w:left="720" w:hanging="720"/>
      </w:pPr>
      <w:rPr>
        <w:rFonts w:hint="default"/>
        <w:b w:val="0"/>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37E1E1A"/>
    <w:multiLevelType w:val="hybridMultilevel"/>
    <w:tmpl w:val="E5D0DD6E"/>
    <w:lvl w:ilvl="0" w:tplc="199E3AAA">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5D020FD"/>
    <w:multiLevelType w:val="hybridMultilevel"/>
    <w:tmpl w:val="69487CE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DAC2D17"/>
    <w:multiLevelType w:val="multilevel"/>
    <w:tmpl w:val="080A0027"/>
    <w:lvl w:ilvl="0">
      <w:start w:val="1"/>
      <w:numFmt w:val="upperRoman"/>
      <w:pStyle w:val="Ttulo1"/>
      <w:lvlText w:val="%1."/>
      <w:lvlJc w:val="left"/>
      <w:pPr>
        <w:tabs>
          <w:tab w:val="num" w:pos="360"/>
        </w:tabs>
        <w:ind w:left="0" w:firstLine="0"/>
      </w:pPr>
      <w:rPr>
        <w:rFonts w:hint="default"/>
        <w:b/>
        <w:i w:val="0"/>
        <w:sz w:val="28"/>
        <w:szCs w:val="28"/>
      </w:rPr>
    </w:lvl>
    <w:lvl w:ilvl="1">
      <w:start w:val="1"/>
      <w:numFmt w:val="upperLetter"/>
      <w:pStyle w:val="Ttulo2"/>
      <w:lvlText w:val="%2."/>
      <w:lvlJc w:val="left"/>
      <w:pPr>
        <w:tabs>
          <w:tab w:val="num" w:pos="1080"/>
        </w:tabs>
        <w:ind w:left="720" w:firstLine="0"/>
      </w:pPr>
      <w:rPr>
        <w:rFonts w:hint="default"/>
      </w:rPr>
    </w:lvl>
    <w:lvl w:ilvl="2">
      <w:start w:val="1"/>
      <w:numFmt w:val="decimal"/>
      <w:pStyle w:val="Ttulo3"/>
      <w:lvlText w:val="%3."/>
      <w:lvlJc w:val="left"/>
      <w:pPr>
        <w:tabs>
          <w:tab w:val="num" w:pos="1800"/>
        </w:tabs>
        <w:ind w:left="1440" w:firstLine="0"/>
      </w:pPr>
      <w:rPr>
        <w:rFonts w:hint="default"/>
      </w:rPr>
    </w:lvl>
    <w:lvl w:ilvl="3">
      <w:start w:val="1"/>
      <w:numFmt w:val="lowerLetter"/>
      <w:pStyle w:val="Ttulo4"/>
      <w:lvlText w:val="%4)"/>
      <w:lvlJc w:val="left"/>
      <w:pPr>
        <w:tabs>
          <w:tab w:val="num" w:pos="2520"/>
        </w:tabs>
        <w:ind w:left="2160" w:firstLine="0"/>
      </w:pPr>
      <w:rPr>
        <w:rFonts w:hint="default"/>
      </w:rPr>
    </w:lvl>
    <w:lvl w:ilvl="4">
      <w:start w:val="1"/>
      <w:numFmt w:val="decimal"/>
      <w:pStyle w:val="Ttulo5"/>
      <w:lvlText w:val="(%5)"/>
      <w:lvlJc w:val="left"/>
      <w:pPr>
        <w:tabs>
          <w:tab w:val="num" w:pos="3240"/>
        </w:tabs>
        <w:ind w:left="2880" w:firstLine="0"/>
      </w:pPr>
      <w:rPr>
        <w:rFonts w:hint="default"/>
      </w:rPr>
    </w:lvl>
    <w:lvl w:ilvl="5">
      <w:start w:val="1"/>
      <w:numFmt w:val="lowerLetter"/>
      <w:pStyle w:val="Ttulo6"/>
      <w:lvlText w:val="(%6)"/>
      <w:lvlJc w:val="left"/>
      <w:pPr>
        <w:tabs>
          <w:tab w:val="num" w:pos="3960"/>
        </w:tabs>
        <w:ind w:left="3600" w:firstLine="0"/>
      </w:pPr>
      <w:rPr>
        <w:rFonts w:hint="default"/>
      </w:rPr>
    </w:lvl>
    <w:lvl w:ilvl="6">
      <w:start w:val="1"/>
      <w:numFmt w:val="lowerRoman"/>
      <w:pStyle w:val="Ttulo7"/>
      <w:lvlText w:val="(%7)"/>
      <w:lvlJc w:val="left"/>
      <w:pPr>
        <w:tabs>
          <w:tab w:val="num" w:pos="4680"/>
        </w:tabs>
        <w:ind w:left="4320" w:firstLine="0"/>
      </w:pPr>
      <w:rPr>
        <w:rFonts w:hint="default"/>
      </w:rPr>
    </w:lvl>
    <w:lvl w:ilvl="7">
      <w:start w:val="1"/>
      <w:numFmt w:val="lowerLetter"/>
      <w:pStyle w:val="Ttulo8"/>
      <w:lvlText w:val="(%8)"/>
      <w:lvlJc w:val="left"/>
      <w:pPr>
        <w:tabs>
          <w:tab w:val="num" w:pos="5400"/>
        </w:tabs>
        <w:ind w:left="5040" w:firstLine="0"/>
      </w:pPr>
      <w:rPr>
        <w:rFonts w:hint="default"/>
      </w:rPr>
    </w:lvl>
    <w:lvl w:ilvl="8">
      <w:start w:val="1"/>
      <w:numFmt w:val="lowerRoman"/>
      <w:pStyle w:val="Ttulo9"/>
      <w:lvlText w:val="(%9)"/>
      <w:lvlJc w:val="left"/>
      <w:pPr>
        <w:tabs>
          <w:tab w:val="num" w:pos="6120"/>
        </w:tabs>
        <w:ind w:left="5760" w:firstLine="0"/>
      </w:pPr>
      <w:rPr>
        <w:rFonts w:hint="default"/>
      </w:rPr>
    </w:lvl>
  </w:abstractNum>
  <w:abstractNum w:abstractNumId="17"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0854227"/>
    <w:multiLevelType w:val="hybridMultilevel"/>
    <w:tmpl w:val="D4542102"/>
    <w:lvl w:ilvl="0" w:tplc="B0E60088">
      <w:start w:val="1"/>
      <w:numFmt w:val="lowerRoman"/>
      <w:lvlText w:val="%1)"/>
      <w:lvlJc w:val="left"/>
      <w:pPr>
        <w:tabs>
          <w:tab w:val="num" w:pos="1080"/>
        </w:tabs>
        <w:ind w:left="1080" w:hanging="720"/>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9" w15:restartNumberingAfterBreak="0">
    <w:nsid w:val="50A51052"/>
    <w:multiLevelType w:val="hybridMultilevel"/>
    <w:tmpl w:val="7FA0C0A8"/>
    <w:lvl w:ilvl="0" w:tplc="BA54D6B6">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0" w15:restartNumberingAfterBreak="0">
    <w:nsid w:val="52F41B34"/>
    <w:multiLevelType w:val="multilevel"/>
    <w:tmpl w:val="A3DE2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8143B48"/>
    <w:multiLevelType w:val="hybridMultilevel"/>
    <w:tmpl w:val="1888776A"/>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58155FF0"/>
    <w:multiLevelType w:val="hybridMultilevel"/>
    <w:tmpl w:val="0B66AD4A"/>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4" w15:restartNumberingAfterBreak="0">
    <w:nsid w:val="664E7E45"/>
    <w:multiLevelType w:val="hybridMultilevel"/>
    <w:tmpl w:val="EDE2AF5C"/>
    <w:lvl w:ilvl="0" w:tplc="E842EB00">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6" w15:restartNumberingAfterBreak="0">
    <w:nsid w:val="6C747154"/>
    <w:multiLevelType w:val="hybridMultilevel"/>
    <w:tmpl w:val="EFCAB862"/>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cs="Times New Roman"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cs="Times New Roman"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cs="Times New Roman" w:hint="default"/>
      </w:rPr>
    </w:lvl>
    <w:lvl w:ilvl="8" w:tplc="477E1BD4">
      <w:start w:val="1"/>
      <w:numFmt w:val="bullet"/>
      <w:lvlText w:val=""/>
      <w:lvlJc w:val="left"/>
      <w:pPr>
        <w:ind w:left="6480" w:hanging="360"/>
      </w:pPr>
      <w:rPr>
        <w:rFonts w:ascii="Wingdings" w:hAnsi="Wingdings" w:hint="default"/>
      </w:rPr>
    </w:lvl>
  </w:abstractNum>
  <w:abstractNum w:abstractNumId="27" w15:restartNumberingAfterBreak="0">
    <w:nsid w:val="70053A3C"/>
    <w:multiLevelType w:val="hybridMultilevel"/>
    <w:tmpl w:val="B6AC8E9A"/>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abstractNum w:abstractNumId="28" w15:restartNumberingAfterBreak="0">
    <w:nsid w:val="748E3ACF"/>
    <w:multiLevelType w:val="hybridMultilevel"/>
    <w:tmpl w:val="E1BEC994"/>
    <w:lvl w:ilvl="0" w:tplc="717067A0">
      <w:start w:val="1"/>
      <w:numFmt w:val="lowerLetter"/>
      <w:lvlText w:val="%1)"/>
      <w:lvlJc w:val="left"/>
      <w:pPr>
        <w:ind w:left="1080" w:hanging="360"/>
      </w:pPr>
      <w:rPr>
        <w:rFonts w:hint="default"/>
        <w:b/>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9" w15:restartNumberingAfterBreak="0">
    <w:nsid w:val="7DDB11D6"/>
    <w:multiLevelType w:val="hybridMultilevel"/>
    <w:tmpl w:val="35A8EA74"/>
    <w:lvl w:ilvl="0" w:tplc="27A090D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106723387">
    <w:abstractNumId w:val="13"/>
  </w:num>
  <w:num w:numId="2" w16cid:durableId="1958440169">
    <w:abstractNumId w:val="11"/>
  </w:num>
  <w:num w:numId="3" w16cid:durableId="316155424">
    <w:abstractNumId w:val="17"/>
  </w:num>
  <w:num w:numId="4" w16cid:durableId="1768383740">
    <w:abstractNumId w:val="23"/>
  </w:num>
  <w:num w:numId="5" w16cid:durableId="1484350696">
    <w:abstractNumId w:val="25"/>
  </w:num>
  <w:num w:numId="6" w16cid:durableId="158911959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30550102">
    <w:abstractNumId w:val="8"/>
  </w:num>
  <w:num w:numId="8" w16cid:durableId="1737043428">
    <w:abstractNumId w:val="26"/>
  </w:num>
  <w:num w:numId="9" w16cid:durableId="1268270013">
    <w:abstractNumId w:val="8"/>
    <w:lvlOverride w:ilvl="0">
      <w:startOverride w:val="1"/>
    </w:lvlOverride>
  </w:num>
  <w:num w:numId="10" w16cid:durableId="706569284">
    <w:abstractNumId w:val="27"/>
  </w:num>
  <w:num w:numId="11" w16cid:durableId="1309550324">
    <w:abstractNumId w:val="9"/>
  </w:num>
  <w:num w:numId="12" w16cid:durableId="2042898743">
    <w:abstractNumId w:val="3"/>
  </w:num>
  <w:num w:numId="13" w16cid:durableId="290479431">
    <w:abstractNumId w:val="6"/>
  </w:num>
  <w:num w:numId="14" w16cid:durableId="1064569126">
    <w:abstractNumId w:val="22"/>
  </w:num>
  <w:num w:numId="15" w16cid:durableId="1195926361">
    <w:abstractNumId w:val="15"/>
  </w:num>
  <w:num w:numId="16" w16cid:durableId="1651592925">
    <w:abstractNumId w:val="12"/>
  </w:num>
  <w:num w:numId="17" w16cid:durableId="646201754">
    <w:abstractNumId w:val="16"/>
  </w:num>
  <w:num w:numId="18" w16cid:durableId="209729287">
    <w:abstractNumId w:val="18"/>
  </w:num>
  <w:num w:numId="19" w16cid:durableId="506094081">
    <w:abstractNumId w:val="7"/>
  </w:num>
  <w:num w:numId="20" w16cid:durableId="728847338">
    <w:abstractNumId w:val="29"/>
  </w:num>
  <w:num w:numId="21" w16cid:durableId="2070036288">
    <w:abstractNumId w:val="24"/>
  </w:num>
  <w:num w:numId="22" w16cid:durableId="1975478088">
    <w:abstractNumId w:val="20"/>
  </w:num>
  <w:num w:numId="23" w16cid:durableId="1406099759">
    <w:abstractNumId w:val="19"/>
  </w:num>
  <w:num w:numId="24" w16cid:durableId="1081949993">
    <w:abstractNumId w:val="10"/>
  </w:num>
  <w:num w:numId="25" w16cid:durableId="2041709872">
    <w:abstractNumId w:val="21"/>
  </w:num>
  <w:num w:numId="26" w16cid:durableId="1114787580">
    <w:abstractNumId w:val="2"/>
  </w:num>
  <w:num w:numId="27" w16cid:durableId="2065519921">
    <w:abstractNumId w:val="14"/>
  </w:num>
  <w:num w:numId="28" w16cid:durableId="869076342">
    <w:abstractNumId w:val="28"/>
  </w:num>
  <w:num w:numId="29" w16cid:durableId="123697915">
    <w:abstractNumId w:val="4"/>
  </w:num>
  <w:num w:numId="30" w16cid:durableId="24067237">
    <w:abstractNumId w:val="1"/>
  </w:num>
  <w:num w:numId="31" w16cid:durableId="235576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210D"/>
    <w:rsid w:val="0000268F"/>
    <w:rsid w:val="000029BC"/>
    <w:rsid w:val="00002DB1"/>
    <w:rsid w:val="000031A6"/>
    <w:rsid w:val="00003AEE"/>
    <w:rsid w:val="0000404B"/>
    <w:rsid w:val="00004F5E"/>
    <w:rsid w:val="00005E4E"/>
    <w:rsid w:val="0000645E"/>
    <w:rsid w:val="0000682D"/>
    <w:rsid w:val="00006906"/>
    <w:rsid w:val="000105E2"/>
    <w:rsid w:val="00010981"/>
    <w:rsid w:val="00011726"/>
    <w:rsid w:val="000123BA"/>
    <w:rsid w:val="000126BB"/>
    <w:rsid w:val="00012A1B"/>
    <w:rsid w:val="000136DC"/>
    <w:rsid w:val="0001574B"/>
    <w:rsid w:val="000165EE"/>
    <w:rsid w:val="00016F33"/>
    <w:rsid w:val="00016FAC"/>
    <w:rsid w:val="0001726A"/>
    <w:rsid w:val="0001794A"/>
    <w:rsid w:val="0001795B"/>
    <w:rsid w:val="00020801"/>
    <w:rsid w:val="000208AF"/>
    <w:rsid w:val="00020B00"/>
    <w:rsid w:val="00020D8D"/>
    <w:rsid w:val="00021512"/>
    <w:rsid w:val="000236CF"/>
    <w:rsid w:val="00024BE5"/>
    <w:rsid w:val="00024D80"/>
    <w:rsid w:val="00025A4D"/>
    <w:rsid w:val="00026AD9"/>
    <w:rsid w:val="000271AD"/>
    <w:rsid w:val="000271FE"/>
    <w:rsid w:val="00027555"/>
    <w:rsid w:val="00027940"/>
    <w:rsid w:val="00027E9A"/>
    <w:rsid w:val="00027F74"/>
    <w:rsid w:val="000303EC"/>
    <w:rsid w:val="0003041B"/>
    <w:rsid w:val="00030C1F"/>
    <w:rsid w:val="0003107B"/>
    <w:rsid w:val="00031D2D"/>
    <w:rsid w:val="00034F55"/>
    <w:rsid w:val="0003550A"/>
    <w:rsid w:val="00035AC7"/>
    <w:rsid w:val="00036083"/>
    <w:rsid w:val="000365C0"/>
    <w:rsid w:val="00036FF6"/>
    <w:rsid w:val="00037112"/>
    <w:rsid w:val="00037837"/>
    <w:rsid w:val="00037F22"/>
    <w:rsid w:val="000465F7"/>
    <w:rsid w:val="00046F46"/>
    <w:rsid w:val="000471AA"/>
    <w:rsid w:val="0004770A"/>
    <w:rsid w:val="000503A1"/>
    <w:rsid w:val="00050E2C"/>
    <w:rsid w:val="00051590"/>
    <w:rsid w:val="000522B1"/>
    <w:rsid w:val="0005275D"/>
    <w:rsid w:val="000527A5"/>
    <w:rsid w:val="00052CE1"/>
    <w:rsid w:val="00053983"/>
    <w:rsid w:val="00053991"/>
    <w:rsid w:val="00054C6E"/>
    <w:rsid w:val="00054E46"/>
    <w:rsid w:val="00055141"/>
    <w:rsid w:val="00055B28"/>
    <w:rsid w:val="00056024"/>
    <w:rsid w:val="00056809"/>
    <w:rsid w:val="000568C7"/>
    <w:rsid w:val="00057953"/>
    <w:rsid w:val="00057D35"/>
    <w:rsid w:val="00061727"/>
    <w:rsid w:val="00061C7B"/>
    <w:rsid w:val="0006235E"/>
    <w:rsid w:val="0006293E"/>
    <w:rsid w:val="0006331A"/>
    <w:rsid w:val="00063E52"/>
    <w:rsid w:val="000641BE"/>
    <w:rsid w:val="00064542"/>
    <w:rsid w:val="0006625D"/>
    <w:rsid w:val="00067665"/>
    <w:rsid w:val="00070770"/>
    <w:rsid w:val="00070A22"/>
    <w:rsid w:val="00071D6E"/>
    <w:rsid w:val="00072274"/>
    <w:rsid w:val="00072F45"/>
    <w:rsid w:val="000743C2"/>
    <w:rsid w:val="0007460B"/>
    <w:rsid w:val="000751BB"/>
    <w:rsid w:val="0007590A"/>
    <w:rsid w:val="0007639B"/>
    <w:rsid w:val="00077C34"/>
    <w:rsid w:val="00077D20"/>
    <w:rsid w:val="00077E04"/>
    <w:rsid w:val="00077E1C"/>
    <w:rsid w:val="00080D35"/>
    <w:rsid w:val="00081AF3"/>
    <w:rsid w:val="00081B2F"/>
    <w:rsid w:val="00081E50"/>
    <w:rsid w:val="0008260E"/>
    <w:rsid w:val="000828E9"/>
    <w:rsid w:val="00083B1B"/>
    <w:rsid w:val="00083BE4"/>
    <w:rsid w:val="00084DC0"/>
    <w:rsid w:val="0008592F"/>
    <w:rsid w:val="00085CC3"/>
    <w:rsid w:val="0008644C"/>
    <w:rsid w:val="00086C08"/>
    <w:rsid w:val="000873C1"/>
    <w:rsid w:val="00087888"/>
    <w:rsid w:val="00090D35"/>
    <w:rsid w:val="000914F4"/>
    <w:rsid w:val="0009180B"/>
    <w:rsid w:val="000932C2"/>
    <w:rsid w:val="000939E0"/>
    <w:rsid w:val="00093D35"/>
    <w:rsid w:val="0009402D"/>
    <w:rsid w:val="000942EB"/>
    <w:rsid w:val="000953A7"/>
    <w:rsid w:val="0009651A"/>
    <w:rsid w:val="00096EAB"/>
    <w:rsid w:val="0009712F"/>
    <w:rsid w:val="000972BA"/>
    <w:rsid w:val="000976FD"/>
    <w:rsid w:val="00097ABD"/>
    <w:rsid w:val="00097B95"/>
    <w:rsid w:val="000A15CB"/>
    <w:rsid w:val="000A1B81"/>
    <w:rsid w:val="000A1DA7"/>
    <w:rsid w:val="000A2C01"/>
    <w:rsid w:val="000A4D0D"/>
    <w:rsid w:val="000A5189"/>
    <w:rsid w:val="000A668C"/>
    <w:rsid w:val="000A66CF"/>
    <w:rsid w:val="000A7E46"/>
    <w:rsid w:val="000B0A9A"/>
    <w:rsid w:val="000B103F"/>
    <w:rsid w:val="000B1C28"/>
    <w:rsid w:val="000B2DA6"/>
    <w:rsid w:val="000B3893"/>
    <w:rsid w:val="000B3F99"/>
    <w:rsid w:val="000B41CF"/>
    <w:rsid w:val="000B4AA9"/>
    <w:rsid w:val="000B4FC6"/>
    <w:rsid w:val="000B53D0"/>
    <w:rsid w:val="000B680C"/>
    <w:rsid w:val="000B707E"/>
    <w:rsid w:val="000C00B6"/>
    <w:rsid w:val="000C0B7C"/>
    <w:rsid w:val="000C19F0"/>
    <w:rsid w:val="000C21BA"/>
    <w:rsid w:val="000C2DD2"/>
    <w:rsid w:val="000C5BA1"/>
    <w:rsid w:val="000C6347"/>
    <w:rsid w:val="000C7235"/>
    <w:rsid w:val="000C73E5"/>
    <w:rsid w:val="000C755D"/>
    <w:rsid w:val="000C7BB6"/>
    <w:rsid w:val="000D0148"/>
    <w:rsid w:val="000D05AD"/>
    <w:rsid w:val="000D0AFA"/>
    <w:rsid w:val="000D17D2"/>
    <w:rsid w:val="000D28E0"/>
    <w:rsid w:val="000D2ADD"/>
    <w:rsid w:val="000D457E"/>
    <w:rsid w:val="000D5150"/>
    <w:rsid w:val="000D58C2"/>
    <w:rsid w:val="000D750F"/>
    <w:rsid w:val="000D75DD"/>
    <w:rsid w:val="000E1761"/>
    <w:rsid w:val="000E182B"/>
    <w:rsid w:val="000E190F"/>
    <w:rsid w:val="000E1F13"/>
    <w:rsid w:val="000E24E1"/>
    <w:rsid w:val="000E32F8"/>
    <w:rsid w:val="000E331F"/>
    <w:rsid w:val="000E33BC"/>
    <w:rsid w:val="000E4B6B"/>
    <w:rsid w:val="000E5299"/>
    <w:rsid w:val="000E576C"/>
    <w:rsid w:val="000E59C2"/>
    <w:rsid w:val="000E68FA"/>
    <w:rsid w:val="000E6962"/>
    <w:rsid w:val="000E6D84"/>
    <w:rsid w:val="000F14E8"/>
    <w:rsid w:val="000F17FC"/>
    <w:rsid w:val="000F1D24"/>
    <w:rsid w:val="000F354B"/>
    <w:rsid w:val="000F3B04"/>
    <w:rsid w:val="000F3C44"/>
    <w:rsid w:val="000F3D91"/>
    <w:rsid w:val="000F6869"/>
    <w:rsid w:val="000F7AE4"/>
    <w:rsid w:val="001000EC"/>
    <w:rsid w:val="001015E9"/>
    <w:rsid w:val="001017F1"/>
    <w:rsid w:val="001024CE"/>
    <w:rsid w:val="00102AA1"/>
    <w:rsid w:val="00103915"/>
    <w:rsid w:val="00103D3D"/>
    <w:rsid w:val="00104423"/>
    <w:rsid w:val="00104CDA"/>
    <w:rsid w:val="00105B6D"/>
    <w:rsid w:val="001065D1"/>
    <w:rsid w:val="00106AC5"/>
    <w:rsid w:val="00106B75"/>
    <w:rsid w:val="00107244"/>
    <w:rsid w:val="001100DE"/>
    <w:rsid w:val="0011042E"/>
    <w:rsid w:val="001112CF"/>
    <w:rsid w:val="00111438"/>
    <w:rsid w:val="00111636"/>
    <w:rsid w:val="00112192"/>
    <w:rsid w:val="00112D2F"/>
    <w:rsid w:val="00112D6B"/>
    <w:rsid w:val="001139AE"/>
    <w:rsid w:val="00114236"/>
    <w:rsid w:val="00114A81"/>
    <w:rsid w:val="00114E2B"/>
    <w:rsid w:val="001152BA"/>
    <w:rsid w:val="0011561C"/>
    <w:rsid w:val="0011730D"/>
    <w:rsid w:val="0011763F"/>
    <w:rsid w:val="00121409"/>
    <w:rsid w:val="001214FF"/>
    <w:rsid w:val="001229C6"/>
    <w:rsid w:val="00122B23"/>
    <w:rsid w:val="00123C67"/>
    <w:rsid w:val="00124E73"/>
    <w:rsid w:val="00124EC3"/>
    <w:rsid w:val="00124EE5"/>
    <w:rsid w:val="00125291"/>
    <w:rsid w:val="00125390"/>
    <w:rsid w:val="00125D4C"/>
    <w:rsid w:val="00126087"/>
    <w:rsid w:val="001260C4"/>
    <w:rsid w:val="0012687C"/>
    <w:rsid w:val="0012754A"/>
    <w:rsid w:val="00127BA6"/>
    <w:rsid w:val="0013045B"/>
    <w:rsid w:val="001308DC"/>
    <w:rsid w:val="001310A5"/>
    <w:rsid w:val="001316AB"/>
    <w:rsid w:val="0013236F"/>
    <w:rsid w:val="00132E0F"/>
    <w:rsid w:val="001332D0"/>
    <w:rsid w:val="00134030"/>
    <w:rsid w:val="001344AA"/>
    <w:rsid w:val="001355F5"/>
    <w:rsid w:val="00135C93"/>
    <w:rsid w:val="00137BA1"/>
    <w:rsid w:val="00137FFA"/>
    <w:rsid w:val="00140015"/>
    <w:rsid w:val="001406ED"/>
    <w:rsid w:val="00141C42"/>
    <w:rsid w:val="00141E84"/>
    <w:rsid w:val="00141F99"/>
    <w:rsid w:val="001420C8"/>
    <w:rsid w:val="001425C5"/>
    <w:rsid w:val="001448B5"/>
    <w:rsid w:val="001453EF"/>
    <w:rsid w:val="0014582F"/>
    <w:rsid w:val="00145AAA"/>
    <w:rsid w:val="00146E1D"/>
    <w:rsid w:val="00147605"/>
    <w:rsid w:val="0014792F"/>
    <w:rsid w:val="001509CD"/>
    <w:rsid w:val="00151D31"/>
    <w:rsid w:val="001520A3"/>
    <w:rsid w:val="00152609"/>
    <w:rsid w:val="00152C65"/>
    <w:rsid w:val="00152CA8"/>
    <w:rsid w:val="00153777"/>
    <w:rsid w:val="0015382E"/>
    <w:rsid w:val="00154879"/>
    <w:rsid w:val="00154A20"/>
    <w:rsid w:val="00154EDE"/>
    <w:rsid w:val="001550CF"/>
    <w:rsid w:val="001554A4"/>
    <w:rsid w:val="001568EE"/>
    <w:rsid w:val="00156DAF"/>
    <w:rsid w:val="0015784C"/>
    <w:rsid w:val="00160F84"/>
    <w:rsid w:val="0016135A"/>
    <w:rsid w:val="0016149E"/>
    <w:rsid w:val="00161D78"/>
    <w:rsid w:val="0016262F"/>
    <w:rsid w:val="0016397F"/>
    <w:rsid w:val="001640BC"/>
    <w:rsid w:val="001650A0"/>
    <w:rsid w:val="00165EA8"/>
    <w:rsid w:val="0016680A"/>
    <w:rsid w:val="00166B8B"/>
    <w:rsid w:val="00167B9D"/>
    <w:rsid w:val="00167F0C"/>
    <w:rsid w:val="00170733"/>
    <w:rsid w:val="00170813"/>
    <w:rsid w:val="00170C89"/>
    <w:rsid w:val="00170E51"/>
    <w:rsid w:val="00171D50"/>
    <w:rsid w:val="00172B2A"/>
    <w:rsid w:val="00172E0A"/>
    <w:rsid w:val="001734E7"/>
    <w:rsid w:val="00173980"/>
    <w:rsid w:val="00173D30"/>
    <w:rsid w:val="00174107"/>
    <w:rsid w:val="00174FBC"/>
    <w:rsid w:val="0017528B"/>
    <w:rsid w:val="001755EC"/>
    <w:rsid w:val="00175795"/>
    <w:rsid w:val="001765FA"/>
    <w:rsid w:val="001770E9"/>
    <w:rsid w:val="00177BAA"/>
    <w:rsid w:val="00180B3B"/>
    <w:rsid w:val="00182427"/>
    <w:rsid w:val="00182855"/>
    <w:rsid w:val="00182C6C"/>
    <w:rsid w:val="00183269"/>
    <w:rsid w:val="00183DD7"/>
    <w:rsid w:val="00184A68"/>
    <w:rsid w:val="00184E93"/>
    <w:rsid w:val="001857DA"/>
    <w:rsid w:val="00186253"/>
    <w:rsid w:val="00186B95"/>
    <w:rsid w:val="00186D8E"/>
    <w:rsid w:val="001900CF"/>
    <w:rsid w:val="00190205"/>
    <w:rsid w:val="001918D6"/>
    <w:rsid w:val="00192341"/>
    <w:rsid w:val="00192D85"/>
    <w:rsid w:val="001939B7"/>
    <w:rsid w:val="0019596D"/>
    <w:rsid w:val="001959BF"/>
    <w:rsid w:val="00195A58"/>
    <w:rsid w:val="00195EDB"/>
    <w:rsid w:val="0019626E"/>
    <w:rsid w:val="001963C6"/>
    <w:rsid w:val="0019713D"/>
    <w:rsid w:val="0019745D"/>
    <w:rsid w:val="001A028B"/>
    <w:rsid w:val="001A0467"/>
    <w:rsid w:val="001A08F7"/>
    <w:rsid w:val="001A0DF1"/>
    <w:rsid w:val="001A0EC0"/>
    <w:rsid w:val="001A26FC"/>
    <w:rsid w:val="001A27D7"/>
    <w:rsid w:val="001A3721"/>
    <w:rsid w:val="001A387A"/>
    <w:rsid w:val="001A3F04"/>
    <w:rsid w:val="001A7176"/>
    <w:rsid w:val="001B0FEE"/>
    <w:rsid w:val="001B2EA0"/>
    <w:rsid w:val="001B2F7F"/>
    <w:rsid w:val="001B3306"/>
    <w:rsid w:val="001B38FB"/>
    <w:rsid w:val="001B464A"/>
    <w:rsid w:val="001B4A46"/>
    <w:rsid w:val="001B4CC5"/>
    <w:rsid w:val="001B4D86"/>
    <w:rsid w:val="001B4DD5"/>
    <w:rsid w:val="001B528A"/>
    <w:rsid w:val="001B53B4"/>
    <w:rsid w:val="001B59D6"/>
    <w:rsid w:val="001B6044"/>
    <w:rsid w:val="001B686F"/>
    <w:rsid w:val="001B7618"/>
    <w:rsid w:val="001B7DEA"/>
    <w:rsid w:val="001C1A26"/>
    <w:rsid w:val="001C219D"/>
    <w:rsid w:val="001C33CB"/>
    <w:rsid w:val="001C398F"/>
    <w:rsid w:val="001C4B6F"/>
    <w:rsid w:val="001C5292"/>
    <w:rsid w:val="001C5539"/>
    <w:rsid w:val="001C722C"/>
    <w:rsid w:val="001C775D"/>
    <w:rsid w:val="001D0988"/>
    <w:rsid w:val="001D0F2B"/>
    <w:rsid w:val="001D172E"/>
    <w:rsid w:val="001D1FD0"/>
    <w:rsid w:val="001D2E79"/>
    <w:rsid w:val="001D5E4D"/>
    <w:rsid w:val="001D64EC"/>
    <w:rsid w:val="001D6B16"/>
    <w:rsid w:val="001D7B74"/>
    <w:rsid w:val="001E0042"/>
    <w:rsid w:val="001E008B"/>
    <w:rsid w:val="001E0545"/>
    <w:rsid w:val="001E07CE"/>
    <w:rsid w:val="001E0849"/>
    <w:rsid w:val="001E118B"/>
    <w:rsid w:val="001E1988"/>
    <w:rsid w:val="001E1A13"/>
    <w:rsid w:val="001E3B90"/>
    <w:rsid w:val="001E3E0C"/>
    <w:rsid w:val="001E453C"/>
    <w:rsid w:val="001E4A2B"/>
    <w:rsid w:val="001E4FA3"/>
    <w:rsid w:val="001E505B"/>
    <w:rsid w:val="001E610D"/>
    <w:rsid w:val="001E75AD"/>
    <w:rsid w:val="001E7D5C"/>
    <w:rsid w:val="001F0524"/>
    <w:rsid w:val="001F0570"/>
    <w:rsid w:val="001F13B9"/>
    <w:rsid w:val="001F140A"/>
    <w:rsid w:val="001F1781"/>
    <w:rsid w:val="001F1AFA"/>
    <w:rsid w:val="001F267A"/>
    <w:rsid w:val="001F2AD0"/>
    <w:rsid w:val="001F2FC2"/>
    <w:rsid w:val="001F3276"/>
    <w:rsid w:val="001F3D53"/>
    <w:rsid w:val="001F416A"/>
    <w:rsid w:val="001F4316"/>
    <w:rsid w:val="001F4F3C"/>
    <w:rsid w:val="001F55B5"/>
    <w:rsid w:val="001F59AB"/>
    <w:rsid w:val="001F5A71"/>
    <w:rsid w:val="001F5E0A"/>
    <w:rsid w:val="001F62DC"/>
    <w:rsid w:val="001F63E1"/>
    <w:rsid w:val="001F6AAC"/>
    <w:rsid w:val="001F790E"/>
    <w:rsid w:val="0020033D"/>
    <w:rsid w:val="002005CC"/>
    <w:rsid w:val="002007D2"/>
    <w:rsid w:val="00200F34"/>
    <w:rsid w:val="00203F1A"/>
    <w:rsid w:val="00204114"/>
    <w:rsid w:val="00204C65"/>
    <w:rsid w:val="00204F6E"/>
    <w:rsid w:val="00204FCD"/>
    <w:rsid w:val="0020536A"/>
    <w:rsid w:val="002059AF"/>
    <w:rsid w:val="0020646E"/>
    <w:rsid w:val="00206BC8"/>
    <w:rsid w:val="00211909"/>
    <w:rsid w:val="002135F3"/>
    <w:rsid w:val="0021373D"/>
    <w:rsid w:val="002146C0"/>
    <w:rsid w:val="00214A72"/>
    <w:rsid w:val="00215A2F"/>
    <w:rsid w:val="00215BB7"/>
    <w:rsid w:val="00215CA0"/>
    <w:rsid w:val="00216F1A"/>
    <w:rsid w:val="00217155"/>
    <w:rsid w:val="0021759E"/>
    <w:rsid w:val="00217662"/>
    <w:rsid w:val="0022085C"/>
    <w:rsid w:val="002208DC"/>
    <w:rsid w:val="00220CE5"/>
    <w:rsid w:val="002215FF"/>
    <w:rsid w:val="002216AA"/>
    <w:rsid w:val="0022173B"/>
    <w:rsid w:val="002217B4"/>
    <w:rsid w:val="002226D4"/>
    <w:rsid w:val="002229F4"/>
    <w:rsid w:val="002236DB"/>
    <w:rsid w:val="00224570"/>
    <w:rsid w:val="002257D4"/>
    <w:rsid w:val="00225A48"/>
    <w:rsid w:val="002261EB"/>
    <w:rsid w:val="0022655C"/>
    <w:rsid w:val="0022678E"/>
    <w:rsid w:val="002272CA"/>
    <w:rsid w:val="00227541"/>
    <w:rsid w:val="00227D81"/>
    <w:rsid w:val="002311BD"/>
    <w:rsid w:val="0023158E"/>
    <w:rsid w:val="00231E50"/>
    <w:rsid w:val="0023236C"/>
    <w:rsid w:val="00233A24"/>
    <w:rsid w:val="00233DF3"/>
    <w:rsid w:val="00234500"/>
    <w:rsid w:val="0023484E"/>
    <w:rsid w:val="00234B84"/>
    <w:rsid w:val="00235B42"/>
    <w:rsid w:val="00236137"/>
    <w:rsid w:val="00236740"/>
    <w:rsid w:val="00237253"/>
    <w:rsid w:val="00237329"/>
    <w:rsid w:val="0023749C"/>
    <w:rsid w:val="002400B3"/>
    <w:rsid w:val="00240225"/>
    <w:rsid w:val="00240A06"/>
    <w:rsid w:val="002414ED"/>
    <w:rsid w:val="002416BA"/>
    <w:rsid w:val="00241AB9"/>
    <w:rsid w:val="002427B1"/>
    <w:rsid w:val="0024280B"/>
    <w:rsid w:val="00244181"/>
    <w:rsid w:val="002446B8"/>
    <w:rsid w:val="00244C00"/>
    <w:rsid w:val="0024535C"/>
    <w:rsid w:val="002457FD"/>
    <w:rsid w:val="00245909"/>
    <w:rsid w:val="00245C7E"/>
    <w:rsid w:val="00245FBF"/>
    <w:rsid w:val="00250718"/>
    <w:rsid w:val="00251445"/>
    <w:rsid w:val="0025237E"/>
    <w:rsid w:val="002523D6"/>
    <w:rsid w:val="00252AEC"/>
    <w:rsid w:val="00253276"/>
    <w:rsid w:val="002536AE"/>
    <w:rsid w:val="00253C1D"/>
    <w:rsid w:val="00254319"/>
    <w:rsid w:val="00254D37"/>
    <w:rsid w:val="002553F1"/>
    <w:rsid w:val="002563B9"/>
    <w:rsid w:val="0025685E"/>
    <w:rsid w:val="0025768C"/>
    <w:rsid w:val="00257AFF"/>
    <w:rsid w:val="00257BC1"/>
    <w:rsid w:val="00257BEC"/>
    <w:rsid w:val="00257C73"/>
    <w:rsid w:val="00257F4E"/>
    <w:rsid w:val="00261631"/>
    <w:rsid w:val="00264666"/>
    <w:rsid w:val="00264924"/>
    <w:rsid w:val="00264AE6"/>
    <w:rsid w:val="00265C96"/>
    <w:rsid w:val="00265CEB"/>
    <w:rsid w:val="00265ED0"/>
    <w:rsid w:val="00265F6D"/>
    <w:rsid w:val="00266061"/>
    <w:rsid w:val="00266E0C"/>
    <w:rsid w:val="0026775B"/>
    <w:rsid w:val="00270234"/>
    <w:rsid w:val="0027071C"/>
    <w:rsid w:val="0027122E"/>
    <w:rsid w:val="00272C62"/>
    <w:rsid w:val="00272FBB"/>
    <w:rsid w:val="002755B8"/>
    <w:rsid w:val="00275701"/>
    <w:rsid w:val="00276521"/>
    <w:rsid w:val="00276D7E"/>
    <w:rsid w:val="00277428"/>
    <w:rsid w:val="002806C6"/>
    <w:rsid w:val="002811F4"/>
    <w:rsid w:val="002812E1"/>
    <w:rsid w:val="00281E62"/>
    <w:rsid w:val="00281ED6"/>
    <w:rsid w:val="00282493"/>
    <w:rsid w:val="0028312F"/>
    <w:rsid w:val="00283380"/>
    <w:rsid w:val="00284F66"/>
    <w:rsid w:val="00285452"/>
    <w:rsid w:val="00285D7E"/>
    <w:rsid w:val="00285D82"/>
    <w:rsid w:val="00285FED"/>
    <w:rsid w:val="0028630C"/>
    <w:rsid w:val="00286660"/>
    <w:rsid w:val="00286A53"/>
    <w:rsid w:val="00287542"/>
    <w:rsid w:val="002877E9"/>
    <w:rsid w:val="002905F3"/>
    <w:rsid w:val="0029159E"/>
    <w:rsid w:val="002933BF"/>
    <w:rsid w:val="002937F6"/>
    <w:rsid w:val="00293B18"/>
    <w:rsid w:val="00293EA5"/>
    <w:rsid w:val="00294801"/>
    <w:rsid w:val="00294EFD"/>
    <w:rsid w:val="0029562E"/>
    <w:rsid w:val="002956E0"/>
    <w:rsid w:val="00296D38"/>
    <w:rsid w:val="00296EA4"/>
    <w:rsid w:val="00296FA3"/>
    <w:rsid w:val="0029772C"/>
    <w:rsid w:val="00297AE2"/>
    <w:rsid w:val="002A1031"/>
    <w:rsid w:val="002A1308"/>
    <w:rsid w:val="002A3472"/>
    <w:rsid w:val="002A34C5"/>
    <w:rsid w:val="002A3C58"/>
    <w:rsid w:val="002A4F10"/>
    <w:rsid w:val="002A632D"/>
    <w:rsid w:val="002A63F4"/>
    <w:rsid w:val="002B03FF"/>
    <w:rsid w:val="002B0B61"/>
    <w:rsid w:val="002B0CA6"/>
    <w:rsid w:val="002B1AAF"/>
    <w:rsid w:val="002B1BDA"/>
    <w:rsid w:val="002B287D"/>
    <w:rsid w:val="002B36EB"/>
    <w:rsid w:val="002B3BD7"/>
    <w:rsid w:val="002B3DA6"/>
    <w:rsid w:val="002B3F20"/>
    <w:rsid w:val="002B484D"/>
    <w:rsid w:val="002B4907"/>
    <w:rsid w:val="002B5092"/>
    <w:rsid w:val="002B50DA"/>
    <w:rsid w:val="002B5AD8"/>
    <w:rsid w:val="002B5ED5"/>
    <w:rsid w:val="002B72C0"/>
    <w:rsid w:val="002B7DD1"/>
    <w:rsid w:val="002C05A7"/>
    <w:rsid w:val="002C087E"/>
    <w:rsid w:val="002C09B8"/>
    <w:rsid w:val="002C0DF9"/>
    <w:rsid w:val="002C27C5"/>
    <w:rsid w:val="002C2BF2"/>
    <w:rsid w:val="002C4BB5"/>
    <w:rsid w:val="002C50A0"/>
    <w:rsid w:val="002C6D5B"/>
    <w:rsid w:val="002C7E7F"/>
    <w:rsid w:val="002D0C96"/>
    <w:rsid w:val="002D2D19"/>
    <w:rsid w:val="002D3456"/>
    <w:rsid w:val="002D4BB3"/>
    <w:rsid w:val="002D5D70"/>
    <w:rsid w:val="002D6942"/>
    <w:rsid w:val="002D7A44"/>
    <w:rsid w:val="002D7E62"/>
    <w:rsid w:val="002D7F92"/>
    <w:rsid w:val="002E0633"/>
    <w:rsid w:val="002E0A18"/>
    <w:rsid w:val="002E1888"/>
    <w:rsid w:val="002E1964"/>
    <w:rsid w:val="002E19A5"/>
    <w:rsid w:val="002E1E7E"/>
    <w:rsid w:val="002E27E0"/>
    <w:rsid w:val="002E39A3"/>
    <w:rsid w:val="002E5EB7"/>
    <w:rsid w:val="002E6150"/>
    <w:rsid w:val="002E631C"/>
    <w:rsid w:val="002E6B6F"/>
    <w:rsid w:val="002E74C9"/>
    <w:rsid w:val="002E7874"/>
    <w:rsid w:val="002E7E35"/>
    <w:rsid w:val="002F0800"/>
    <w:rsid w:val="002F0C8F"/>
    <w:rsid w:val="002F3451"/>
    <w:rsid w:val="002F3606"/>
    <w:rsid w:val="002F3CF5"/>
    <w:rsid w:val="002F43F8"/>
    <w:rsid w:val="002F5131"/>
    <w:rsid w:val="002F51E1"/>
    <w:rsid w:val="002F70EB"/>
    <w:rsid w:val="002F72BB"/>
    <w:rsid w:val="002F7411"/>
    <w:rsid w:val="002F779E"/>
    <w:rsid w:val="002F7AB3"/>
    <w:rsid w:val="00301514"/>
    <w:rsid w:val="003033BA"/>
    <w:rsid w:val="003033C0"/>
    <w:rsid w:val="003038BC"/>
    <w:rsid w:val="00303D47"/>
    <w:rsid w:val="00303DF8"/>
    <w:rsid w:val="00303EFC"/>
    <w:rsid w:val="00304081"/>
    <w:rsid w:val="00304130"/>
    <w:rsid w:val="003043B4"/>
    <w:rsid w:val="003046D6"/>
    <w:rsid w:val="0030629D"/>
    <w:rsid w:val="00307855"/>
    <w:rsid w:val="00310422"/>
    <w:rsid w:val="0031068B"/>
    <w:rsid w:val="00311152"/>
    <w:rsid w:val="003112B5"/>
    <w:rsid w:val="0031293C"/>
    <w:rsid w:val="00312DEB"/>
    <w:rsid w:val="00312F3D"/>
    <w:rsid w:val="00313BBA"/>
    <w:rsid w:val="00313CB3"/>
    <w:rsid w:val="00313D9F"/>
    <w:rsid w:val="00314352"/>
    <w:rsid w:val="00314899"/>
    <w:rsid w:val="00315623"/>
    <w:rsid w:val="00316182"/>
    <w:rsid w:val="003203D9"/>
    <w:rsid w:val="0032072B"/>
    <w:rsid w:val="00320DFD"/>
    <w:rsid w:val="003210F8"/>
    <w:rsid w:val="00321947"/>
    <w:rsid w:val="00322642"/>
    <w:rsid w:val="00323ECD"/>
    <w:rsid w:val="00324B9A"/>
    <w:rsid w:val="00326A5D"/>
    <w:rsid w:val="00326F22"/>
    <w:rsid w:val="00327032"/>
    <w:rsid w:val="003276A0"/>
    <w:rsid w:val="003278FA"/>
    <w:rsid w:val="0033002D"/>
    <w:rsid w:val="00330686"/>
    <w:rsid w:val="00332906"/>
    <w:rsid w:val="00332B6F"/>
    <w:rsid w:val="00332C3C"/>
    <w:rsid w:val="00333BE1"/>
    <w:rsid w:val="00334708"/>
    <w:rsid w:val="00334B76"/>
    <w:rsid w:val="00336644"/>
    <w:rsid w:val="003370FB"/>
    <w:rsid w:val="00337243"/>
    <w:rsid w:val="00337299"/>
    <w:rsid w:val="0033763C"/>
    <w:rsid w:val="00337ADB"/>
    <w:rsid w:val="00337BD8"/>
    <w:rsid w:val="00340206"/>
    <w:rsid w:val="003410DC"/>
    <w:rsid w:val="0034149E"/>
    <w:rsid w:val="003418AA"/>
    <w:rsid w:val="00341CE5"/>
    <w:rsid w:val="00342202"/>
    <w:rsid w:val="003426C6"/>
    <w:rsid w:val="003429C9"/>
    <w:rsid w:val="00343AE9"/>
    <w:rsid w:val="00343C28"/>
    <w:rsid w:val="00344889"/>
    <w:rsid w:val="00345462"/>
    <w:rsid w:val="00345FC4"/>
    <w:rsid w:val="0034680A"/>
    <w:rsid w:val="00347661"/>
    <w:rsid w:val="003478E7"/>
    <w:rsid w:val="00350095"/>
    <w:rsid w:val="00350DC7"/>
    <w:rsid w:val="00350DCD"/>
    <w:rsid w:val="00351383"/>
    <w:rsid w:val="003528F0"/>
    <w:rsid w:val="00352927"/>
    <w:rsid w:val="00352FE4"/>
    <w:rsid w:val="00353FDF"/>
    <w:rsid w:val="00354545"/>
    <w:rsid w:val="00354FD8"/>
    <w:rsid w:val="003551A5"/>
    <w:rsid w:val="003555B4"/>
    <w:rsid w:val="00356A4C"/>
    <w:rsid w:val="00360753"/>
    <w:rsid w:val="00360A53"/>
    <w:rsid w:val="00362486"/>
    <w:rsid w:val="00362CEC"/>
    <w:rsid w:val="00362F73"/>
    <w:rsid w:val="003630B0"/>
    <w:rsid w:val="00363A73"/>
    <w:rsid w:val="0036497E"/>
    <w:rsid w:val="00364F1A"/>
    <w:rsid w:val="00366B93"/>
    <w:rsid w:val="00366C32"/>
    <w:rsid w:val="00367ACD"/>
    <w:rsid w:val="0037099D"/>
    <w:rsid w:val="00372A55"/>
    <w:rsid w:val="003735C0"/>
    <w:rsid w:val="0037401A"/>
    <w:rsid w:val="00374271"/>
    <w:rsid w:val="00374753"/>
    <w:rsid w:val="0037676F"/>
    <w:rsid w:val="003767EE"/>
    <w:rsid w:val="00377AD6"/>
    <w:rsid w:val="00377BF5"/>
    <w:rsid w:val="00381B41"/>
    <w:rsid w:val="00382349"/>
    <w:rsid w:val="003833D7"/>
    <w:rsid w:val="003839DC"/>
    <w:rsid w:val="00383C5B"/>
    <w:rsid w:val="00383DDA"/>
    <w:rsid w:val="00384041"/>
    <w:rsid w:val="00384B44"/>
    <w:rsid w:val="00384F42"/>
    <w:rsid w:val="00385EC9"/>
    <w:rsid w:val="00386456"/>
    <w:rsid w:val="00387241"/>
    <w:rsid w:val="00387E1C"/>
    <w:rsid w:val="0039010E"/>
    <w:rsid w:val="003901D8"/>
    <w:rsid w:val="00390732"/>
    <w:rsid w:val="00390B41"/>
    <w:rsid w:val="0039100A"/>
    <w:rsid w:val="00391D93"/>
    <w:rsid w:val="00392714"/>
    <w:rsid w:val="00392E7E"/>
    <w:rsid w:val="00392F63"/>
    <w:rsid w:val="00393184"/>
    <w:rsid w:val="0039340C"/>
    <w:rsid w:val="003934DD"/>
    <w:rsid w:val="00394337"/>
    <w:rsid w:val="00395BF9"/>
    <w:rsid w:val="00396D23"/>
    <w:rsid w:val="003978D0"/>
    <w:rsid w:val="003A0468"/>
    <w:rsid w:val="003A046A"/>
    <w:rsid w:val="003A0603"/>
    <w:rsid w:val="003A1031"/>
    <w:rsid w:val="003A1157"/>
    <w:rsid w:val="003A25E4"/>
    <w:rsid w:val="003A2A86"/>
    <w:rsid w:val="003A2C66"/>
    <w:rsid w:val="003A2D28"/>
    <w:rsid w:val="003A433D"/>
    <w:rsid w:val="003A4C65"/>
    <w:rsid w:val="003A4F71"/>
    <w:rsid w:val="003A581E"/>
    <w:rsid w:val="003A5E28"/>
    <w:rsid w:val="003A651C"/>
    <w:rsid w:val="003A6DA8"/>
    <w:rsid w:val="003B0136"/>
    <w:rsid w:val="003B0B16"/>
    <w:rsid w:val="003B2F5C"/>
    <w:rsid w:val="003B3D8A"/>
    <w:rsid w:val="003B4162"/>
    <w:rsid w:val="003B5540"/>
    <w:rsid w:val="003B6EE4"/>
    <w:rsid w:val="003B79A5"/>
    <w:rsid w:val="003B7F16"/>
    <w:rsid w:val="003C1943"/>
    <w:rsid w:val="003C347B"/>
    <w:rsid w:val="003C3D13"/>
    <w:rsid w:val="003C40DD"/>
    <w:rsid w:val="003C4141"/>
    <w:rsid w:val="003C432C"/>
    <w:rsid w:val="003C50C9"/>
    <w:rsid w:val="003C62BD"/>
    <w:rsid w:val="003C71EE"/>
    <w:rsid w:val="003C7DC2"/>
    <w:rsid w:val="003D2137"/>
    <w:rsid w:val="003D284B"/>
    <w:rsid w:val="003D3083"/>
    <w:rsid w:val="003D40F4"/>
    <w:rsid w:val="003D4187"/>
    <w:rsid w:val="003D43F8"/>
    <w:rsid w:val="003D4F72"/>
    <w:rsid w:val="003D603B"/>
    <w:rsid w:val="003D6CF0"/>
    <w:rsid w:val="003D70AA"/>
    <w:rsid w:val="003D73F1"/>
    <w:rsid w:val="003E07B4"/>
    <w:rsid w:val="003E11A8"/>
    <w:rsid w:val="003E14B0"/>
    <w:rsid w:val="003E15E5"/>
    <w:rsid w:val="003E1ABD"/>
    <w:rsid w:val="003E1F12"/>
    <w:rsid w:val="003E443D"/>
    <w:rsid w:val="003E5505"/>
    <w:rsid w:val="003E55AE"/>
    <w:rsid w:val="003E5C80"/>
    <w:rsid w:val="003E5ED1"/>
    <w:rsid w:val="003E6682"/>
    <w:rsid w:val="003E7261"/>
    <w:rsid w:val="003E7A20"/>
    <w:rsid w:val="003E7AAD"/>
    <w:rsid w:val="003F088B"/>
    <w:rsid w:val="003F0FBE"/>
    <w:rsid w:val="003F165C"/>
    <w:rsid w:val="003F28CF"/>
    <w:rsid w:val="003F28EE"/>
    <w:rsid w:val="003F2AD2"/>
    <w:rsid w:val="003F30B1"/>
    <w:rsid w:val="003F328D"/>
    <w:rsid w:val="003F3340"/>
    <w:rsid w:val="003F47E5"/>
    <w:rsid w:val="003F5439"/>
    <w:rsid w:val="003F5CDD"/>
    <w:rsid w:val="003F5D5D"/>
    <w:rsid w:val="003F60D3"/>
    <w:rsid w:val="003F6C03"/>
    <w:rsid w:val="003F6F65"/>
    <w:rsid w:val="003F7E6A"/>
    <w:rsid w:val="00400083"/>
    <w:rsid w:val="0040059A"/>
    <w:rsid w:val="00402FD5"/>
    <w:rsid w:val="00403A30"/>
    <w:rsid w:val="00404797"/>
    <w:rsid w:val="00405524"/>
    <w:rsid w:val="00406868"/>
    <w:rsid w:val="00406898"/>
    <w:rsid w:val="00407BD2"/>
    <w:rsid w:val="0041043C"/>
    <w:rsid w:val="004105AB"/>
    <w:rsid w:val="004106B4"/>
    <w:rsid w:val="00411B85"/>
    <w:rsid w:val="00412132"/>
    <w:rsid w:val="00412214"/>
    <w:rsid w:val="0041266E"/>
    <w:rsid w:val="0041386A"/>
    <w:rsid w:val="00413E71"/>
    <w:rsid w:val="004140EB"/>
    <w:rsid w:val="00414B54"/>
    <w:rsid w:val="0041612C"/>
    <w:rsid w:val="00416511"/>
    <w:rsid w:val="00416C2E"/>
    <w:rsid w:val="00417C69"/>
    <w:rsid w:val="004207E3"/>
    <w:rsid w:val="00420A13"/>
    <w:rsid w:val="00420B44"/>
    <w:rsid w:val="00420D01"/>
    <w:rsid w:val="0042131D"/>
    <w:rsid w:val="00421774"/>
    <w:rsid w:val="00421906"/>
    <w:rsid w:val="0042321C"/>
    <w:rsid w:val="00423267"/>
    <w:rsid w:val="004252E8"/>
    <w:rsid w:val="00425B6B"/>
    <w:rsid w:val="00426EEE"/>
    <w:rsid w:val="00426F4A"/>
    <w:rsid w:val="00427BD7"/>
    <w:rsid w:val="00430927"/>
    <w:rsid w:val="0043155D"/>
    <w:rsid w:val="00431A07"/>
    <w:rsid w:val="0043205F"/>
    <w:rsid w:val="00432915"/>
    <w:rsid w:val="00432C5F"/>
    <w:rsid w:val="0043330C"/>
    <w:rsid w:val="0043346D"/>
    <w:rsid w:val="00433A6D"/>
    <w:rsid w:val="00433BA1"/>
    <w:rsid w:val="00435749"/>
    <w:rsid w:val="00435AA2"/>
    <w:rsid w:val="004363BC"/>
    <w:rsid w:val="00436652"/>
    <w:rsid w:val="004367C8"/>
    <w:rsid w:val="00436A63"/>
    <w:rsid w:val="0043754D"/>
    <w:rsid w:val="00437BF5"/>
    <w:rsid w:val="00437BF8"/>
    <w:rsid w:val="00440E0E"/>
    <w:rsid w:val="004422D6"/>
    <w:rsid w:val="00442BFD"/>
    <w:rsid w:val="00444A46"/>
    <w:rsid w:val="00445EE4"/>
    <w:rsid w:val="00446B03"/>
    <w:rsid w:val="00446CAA"/>
    <w:rsid w:val="00447095"/>
    <w:rsid w:val="00447483"/>
    <w:rsid w:val="00447B2D"/>
    <w:rsid w:val="004507CF"/>
    <w:rsid w:val="00452BCB"/>
    <w:rsid w:val="0045342C"/>
    <w:rsid w:val="004537E3"/>
    <w:rsid w:val="004547B6"/>
    <w:rsid w:val="00454B0F"/>
    <w:rsid w:val="00454C62"/>
    <w:rsid w:val="0045548D"/>
    <w:rsid w:val="00456BF3"/>
    <w:rsid w:val="004570AB"/>
    <w:rsid w:val="004573BC"/>
    <w:rsid w:val="004620B3"/>
    <w:rsid w:val="00463997"/>
    <w:rsid w:val="004648D2"/>
    <w:rsid w:val="00464E39"/>
    <w:rsid w:val="004652E5"/>
    <w:rsid w:val="004653E7"/>
    <w:rsid w:val="0046604D"/>
    <w:rsid w:val="0046682E"/>
    <w:rsid w:val="00471F7A"/>
    <w:rsid w:val="0047250D"/>
    <w:rsid w:val="00472694"/>
    <w:rsid w:val="0047358F"/>
    <w:rsid w:val="0047429E"/>
    <w:rsid w:val="00474434"/>
    <w:rsid w:val="0047444E"/>
    <w:rsid w:val="00474614"/>
    <w:rsid w:val="00474880"/>
    <w:rsid w:val="004750AA"/>
    <w:rsid w:val="004755D2"/>
    <w:rsid w:val="004768C9"/>
    <w:rsid w:val="00476A0B"/>
    <w:rsid w:val="00477A49"/>
    <w:rsid w:val="00477BFF"/>
    <w:rsid w:val="00480940"/>
    <w:rsid w:val="00481619"/>
    <w:rsid w:val="00481FA4"/>
    <w:rsid w:val="004821AB"/>
    <w:rsid w:val="00482A4E"/>
    <w:rsid w:val="004832C7"/>
    <w:rsid w:val="00485197"/>
    <w:rsid w:val="00485AD7"/>
    <w:rsid w:val="00485ED3"/>
    <w:rsid w:val="004866CB"/>
    <w:rsid w:val="00487569"/>
    <w:rsid w:val="004878C1"/>
    <w:rsid w:val="00487986"/>
    <w:rsid w:val="004928C4"/>
    <w:rsid w:val="00492EB5"/>
    <w:rsid w:val="00493E48"/>
    <w:rsid w:val="0049475A"/>
    <w:rsid w:val="0049505C"/>
    <w:rsid w:val="00496626"/>
    <w:rsid w:val="0049684A"/>
    <w:rsid w:val="00496DBC"/>
    <w:rsid w:val="00497B27"/>
    <w:rsid w:val="00497F48"/>
    <w:rsid w:val="004A0508"/>
    <w:rsid w:val="004A0A76"/>
    <w:rsid w:val="004A29A9"/>
    <w:rsid w:val="004A34D2"/>
    <w:rsid w:val="004A36C3"/>
    <w:rsid w:val="004A3CCB"/>
    <w:rsid w:val="004A411B"/>
    <w:rsid w:val="004A486C"/>
    <w:rsid w:val="004A488B"/>
    <w:rsid w:val="004A4EE9"/>
    <w:rsid w:val="004A5218"/>
    <w:rsid w:val="004A5B0B"/>
    <w:rsid w:val="004A5B41"/>
    <w:rsid w:val="004A606D"/>
    <w:rsid w:val="004A6356"/>
    <w:rsid w:val="004A7E8A"/>
    <w:rsid w:val="004B159B"/>
    <w:rsid w:val="004B1F7C"/>
    <w:rsid w:val="004B219E"/>
    <w:rsid w:val="004B2774"/>
    <w:rsid w:val="004B28F8"/>
    <w:rsid w:val="004B411E"/>
    <w:rsid w:val="004B4A0E"/>
    <w:rsid w:val="004B4CAD"/>
    <w:rsid w:val="004B567B"/>
    <w:rsid w:val="004B5CAA"/>
    <w:rsid w:val="004B6DE0"/>
    <w:rsid w:val="004B742E"/>
    <w:rsid w:val="004C003F"/>
    <w:rsid w:val="004C026F"/>
    <w:rsid w:val="004C0993"/>
    <w:rsid w:val="004C0ABB"/>
    <w:rsid w:val="004C0B1C"/>
    <w:rsid w:val="004C1226"/>
    <w:rsid w:val="004C1573"/>
    <w:rsid w:val="004C1F44"/>
    <w:rsid w:val="004C1F93"/>
    <w:rsid w:val="004C2021"/>
    <w:rsid w:val="004C5092"/>
    <w:rsid w:val="004C5273"/>
    <w:rsid w:val="004C544E"/>
    <w:rsid w:val="004C6C01"/>
    <w:rsid w:val="004C7677"/>
    <w:rsid w:val="004D1653"/>
    <w:rsid w:val="004D1B75"/>
    <w:rsid w:val="004D1CE5"/>
    <w:rsid w:val="004D1E91"/>
    <w:rsid w:val="004D2B08"/>
    <w:rsid w:val="004D2C64"/>
    <w:rsid w:val="004D3473"/>
    <w:rsid w:val="004D3521"/>
    <w:rsid w:val="004D4556"/>
    <w:rsid w:val="004D47D0"/>
    <w:rsid w:val="004D4FFE"/>
    <w:rsid w:val="004D5372"/>
    <w:rsid w:val="004D6525"/>
    <w:rsid w:val="004D6799"/>
    <w:rsid w:val="004D725A"/>
    <w:rsid w:val="004D78D4"/>
    <w:rsid w:val="004D7A98"/>
    <w:rsid w:val="004D7B77"/>
    <w:rsid w:val="004E06CD"/>
    <w:rsid w:val="004E1267"/>
    <w:rsid w:val="004E2760"/>
    <w:rsid w:val="004E27A0"/>
    <w:rsid w:val="004E2973"/>
    <w:rsid w:val="004E2F8D"/>
    <w:rsid w:val="004E3A4E"/>
    <w:rsid w:val="004E4142"/>
    <w:rsid w:val="004E4900"/>
    <w:rsid w:val="004E4A6B"/>
    <w:rsid w:val="004E4AB3"/>
    <w:rsid w:val="004E5102"/>
    <w:rsid w:val="004E5B78"/>
    <w:rsid w:val="004E5BC5"/>
    <w:rsid w:val="004E6147"/>
    <w:rsid w:val="004E638B"/>
    <w:rsid w:val="004E6C63"/>
    <w:rsid w:val="004F00FF"/>
    <w:rsid w:val="004F0B50"/>
    <w:rsid w:val="004F1050"/>
    <w:rsid w:val="004F1065"/>
    <w:rsid w:val="004F266E"/>
    <w:rsid w:val="004F32CC"/>
    <w:rsid w:val="004F38A9"/>
    <w:rsid w:val="004F4394"/>
    <w:rsid w:val="004F46FC"/>
    <w:rsid w:val="004F4EB9"/>
    <w:rsid w:val="004F5711"/>
    <w:rsid w:val="004F5F6A"/>
    <w:rsid w:val="004F71C2"/>
    <w:rsid w:val="004F744D"/>
    <w:rsid w:val="00501651"/>
    <w:rsid w:val="0050188C"/>
    <w:rsid w:val="00501BC4"/>
    <w:rsid w:val="00501D8A"/>
    <w:rsid w:val="00501FA2"/>
    <w:rsid w:val="0050246B"/>
    <w:rsid w:val="005027F0"/>
    <w:rsid w:val="00502929"/>
    <w:rsid w:val="00502F06"/>
    <w:rsid w:val="005037BC"/>
    <w:rsid w:val="005037CD"/>
    <w:rsid w:val="00503872"/>
    <w:rsid w:val="00503C1E"/>
    <w:rsid w:val="005046C0"/>
    <w:rsid w:val="005053B0"/>
    <w:rsid w:val="00506085"/>
    <w:rsid w:val="005064F9"/>
    <w:rsid w:val="0051074C"/>
    <w:rsid w:val="0051089A"/>
    <w:rsid w:val="00510BB6"/>
    <w:rsid w:val="0051288D"/>
    <w:rsid w:val="005132B5"/>
    <w:rsid w:val="00513A69"/>
    <w:rsid w:val="00513AF2"/>
    <w:rsid w:val="005144E0"/>
    <w:rsid w:val="005152C2"/>
    <w:rsid w:val="005153B7"/>
    <w:rsid w:val="00516462"/>
    <w:rsid w:val="0051690C"/>
    <w:rsid w:val="005200B5"/>
    <w:rsid w:val="00521B54"/>
    <w:rsid w:val="005222B7"/>
    <w:rsid w:val="00522983"/>
    <w:rsid w:val="0052307C"/>
    <w:rsid w:val="0052446F"/>
    <w:rsid w:val="00524F8D"/>
    <w:rsid w:val="00525D6C"/>
    <w:rsid w:val="005268C9"/>
    <w:rsid w:val="0052715F"/>
    <w:rsid w:val="00527CC7"/>
    <w:rsid w:val="00527D39"/>
    <w:rsid w:val="005305AF"/>
    <w:rsid w:val="00531545"/>
    <w:rsid w:val="00533367"/>
    <w:rsid w:val="00533C01"/>
    <w:rsid w:val="00535161"/>
    <w:rsid w:val="0053557D"/>
    <w:rsid w:val="00535A7F"/>
    <w:rsid w:val="0053606E"/>
    <w:rsid w:val="005369C0"/>
    <w:rsid w:val="00536C0D"/>
    <w:rsid w:val="0053771E"/>
    <w:rsid w:val="00537D21"/>
    <w:rsid w:val="005403D5"/>
    <w:rsid w:val="005418FA"/>
    <w:rsid w:val="00542FF3"/>
    <w:rsid w:val="0054323F"/>
    <w:rsid w:val="00543D6E"/>
    <w:rsid w:val="0054413A"/>
    <w:rsid w:val="005443C9"/>
    <w:rsid w:val="00545144"/>
    <w:rsid w:val="00545326"/>
    <w:rsid w:val="00545730"/>
    <w:rsid w:val="005457A0"/>
    <w:rsid w:val="005465E5"/>
    <w:rsid w:val="00546A34"/>
    <w:rsid w:val="00550551"/>
    <w:rsid w:val="00551DC1"/>
    <w:rsid w:val="00553411"/>
    <w:rsid w:val="00554515"/>
    <w:rsid w:val="00555967"/>
    <w:rsid w:val="00556216"/>
    <w:rsid w:val="005564CA"/>
    <w:rsid w:val="00556CA1"/>
    <w:rsid w:val="00556F5B"/>
    <w:rsid w:val="00557DD1"/>
    <w:rsid w:val="00560437"/>
    <w:rsid w:val="00560C9C"/>
    <w:rsid w:val="0056142D"/>
    <w:rsid w:val="00561510"/>
    <w:rsid w:val="005617FA"/>
    <w:rsid w:val="0056204C"/>
    <w:rsid w:val="005620AD"/>
    <w:rsid w:val="005626E7"/>
    <w:rsid w:val="00562D14"/>
    <w:rsid w:val="00563DEE"/>
    <w:rsid w:val="00564281"/>
    <w:rsid w:val="00566169"/>
    <w:rsid w:val="00566EEE"/>
    <w:rsid w:val="00567CF6"/>
    <w:rsid w:val="00570BD6"/>
    <w:rsid w:val="00571897"/>
    <w:rsid w:val="005722C5"/>
    <w:rsid w:val="00572788"/>
    <w:rsid w:val="005731B5"/>
    <w:rsid w:val="0057389B"/>
    <w:rsid w:val="00573D85"/>
    <w:rsid w:val="0057417D"/>
    <w:rsid w:val="00574D20"/>
    <w:rsid w:val="0057530E"/>
    <w:rsid w:val="00575B77"/>
    <w:rsid w:val="00575D08"/>
    <w:rsid w:val="00576132"/>
    <w:rsid w:val="0057662F"/>
    <w:rsid w:val="005770F6"/>
    <w:rsid w:val="00577DD4"/>
    <w:rsid w:val="00577EF5"/>
    <w:rsid w:val="00580136"/>
    <w:rsid w:val="005811F1"/>
    <w:rsid w:val="00583558"/>
    <w:rsid w:val="00583EB7"/>
    <w:rsid w:val="00584E86"/>
    <w:rsid w:val="0058589B"/>
    <w:rsid w:val="005867BF"/>
    <w:rsid w:val="00587B36"/>
    <w:rsid w:val="0059058A"/>
    <w:rsid w:val="00590963"/>
    <w:rsid w:val="00590DD9"/>
    <w:rsid w:val="00590E6F"/>
    <w:rsid w:val="00591C90"/>
    <w:rsid w:val="00591F4C"/>
    <w:rsid w:val="0059266D"/>
    <w:rsid w:val="00592AC9"/>
    <w:rsid w:val="005942C5"/>
    <w:rsid w:val="0059458E"/>
    <w:rsid w:val="00595BD5"/>
    <w:rsid w:val="00596F22"/>
    <w:rsid w:val="005A0585"/>
    <w:rsid w:val="005A114C"/>
    <w:rsid w:val="005A1570"/>
    <w:rsid w:val="005A1C9C"/>
    <w:rsid w:val="005A2D51"/>
    <w:rsid w:val="005A32AF"/>
    <w:rsid w:val="005A34F0"/>
    <w:rsid w:val="005A3C9D"/>
    <w:rsid w:val="005A4079"/>
    <w:rsid w:val="005A436F"/>
    <w:rsid w:val="005A456B"/>
    <w:rsid w:val="005A4A4C"/>
    <w:rsid w:val="005A5275"/>
    <w:rsid w:val="005A54CB"/>
    <w:rsid w:val="005A6DCD"/>
    <w:rsid w:val="005A79FE"/>
    <w:rsid w:val="005B0132"/>
    <w:rsid w:val="005B1C07"/>
    <w:rsid w:val="005B2AF3"/>
    <w:rsid w:val="005B2F60"/>
    <w:rsid w:val="005B373F"/>
    <w:rsid w:val="005B4049"/>
    <w:rsid w:val="005B41D2"/>
    <w:rsid w:val="005B43FE"/>
    <w:rsid w:val="005B4AA6"/>
    <w:rsid w:val="005B4BC3"/>
    <w:rsid w:val="005B5336"/>
    <w:rsid w:val="005B6F12"/>
    <w:rsid w:val="005B7215"/>
    <w:rsid w:val="005B7515"/>
    <w:rsid w:val="005B7A2F"/>
    <w:rsid w:val="005C0D43"/>
    <w:rsid w:val="005C1C8F"/>
    <w:rsid w:val="005C1E33"/>
    <w:rsid w:val="005C1FFD"/>
    <w:rsid w:val="005C266E"/>
    <w:rsid w:val="005C39A3"/>
    <w:rsid w:val="005C3C95"/>
    <w:rsid w:val="005C3CCE"/>
    <w:rsid w:val="005C4308"/>
    <w:rsid w:val="005C4C81"/>
    <w:rsid w:val="005C5026"/>
    <w:rsid w:val="005C51A7"/>
    <w:rsid w:val="005C5A22"/>
    <w:rsid w:val="005C5B5C"/>
    <w:rsid w:val="005C5C89"/>
    <w:rsid w:val="005C6D84"/>
    <w:rsid w:val="005D064A"/>
    <w:rsid w:val="005D1CE8"/>
    <w:rsid w:val="005D29B5"/>
    <w:rsid w:val="005D3445"/>
    <w:rsid w:val="005D37F7"/>
    <w:rsid w:val="005D3807"/>
    <w:rsid w:val="005D3A4B"/>
    <w:rsid w:val="005D3E2F"/>
    <w:rsid w:val="005D474D"/>
    <w:rsid w:val="005D552E"/>
    <w:rsid w:val="005D5C5D"/>
    <w:rsid w:val="005D7F00"/>
    <w:rsid w:val="005E0385"/>
    <w:rsid w:val="005E06A4"/>
    <w:rsid w:val="005E1BC6"/>
    <w:rsid w:val="005E1CF3"/>
    <w:rsid w:val="005E1F70"/>
    <w:rsid w:val="005E23E2"/>
    <w:rsid w:val="005E2E0F"/>
    <w:rsid w:val="005E2F44"/>
    <w:rsid w:val="005E3788"/>
    <w:rsid w:val="005E4F20"/>
    <w:rsid w:val="005E605B"/>
    <w:rsid w:val="005E67FC"/>
    <w:rsid w:val="005E72D5"/>
    <w:rsid w:val="005E7572"/>
    <w:rsid w:val="005E7A0B"/>
    <w:rsid w:val="005F0348"/>
    <w:rsid w:val="005F0C78"/>
    <w:rsid w:val="005F1050"/>
    <w:rsid w:val="005F137C"/>
    <w:rsid w:val="005F3431"/>
    <w:rsid w:val="005F4AB3"/>
    <w:rsid w:val="005F4BF5"/>
    <w:rsid w:val="005F5C6D"/>
    <w:rsid w:val="005F624A"/>
    <w:rsid w:val="005F730F"/>
    <w:rsid w:val="005F7477"/>
    <w:rsid w:val="006007CC"/>
    <w:rsid w:val="00600FA4"/>
    <w:rsid w:val="00601496"/>
    <w:rsid w:val="0060197B"/>
    <w:rsid w:val="00601E1F"/>
    <w:rsid w:val="00601FCA"/>
    <w:rsid w:val="006028B1"/>
    <w:rsid w:val="00602A32"/>
    <w:rsid w:val="006030AA"/>
    <w:rsid w:val="00603999"/>
    <w:rsid w:val="00603BDE"/>
    <w:rsid w:val="006044E9"/>
    <w:rsid w:val="00604737"/>
    <w:rsid w:val="00610C94"/>
    <w:rsid w:val="00611379"/>
    <w:rsid w:val="00611D58"/>
    <w:rsid w:val="00612142"/>
    <w:rsid w:val="00612BDB"/>
    <w:rsid w:val="00612ED3"/>
    <w:rsid w:val="00613073"/>
    <w:rsid w:val="006133BD"/>
    <w:rsid w:val="006134DB"/>
    <w:rsid w:val="006135E8"/>
    <w:rsid w:val="00613F45"/>
    <w:rsid w:val="0061564E"/>
    <w:rsid w:val="00615B7F"/>
    <w:rsid w:val="00616C91"/>
    <w:rsid w:val="00616F60"/>
    <w:rsid w:val="00617024"/>
    <w:rsid w:val="00617066"/>
    <w:rsid w:val="006178DB"/>
    <w:rsid w:val="00620CBF"/>
    <w:rsid w:val="00620E47"/>
    <w:rsid w:val="0062127B"/>
    <w:rsid w:val="006219B0"/>
    <w:rsid w:val="00622002"/>
    <w:rsid w:val="006231D1"/>
    <w:rsid w:val="00623F97"/>
    <w:rsid w:val="00624730"/>
    <w:rsid w:val="00624D8F"/>
    <w:rsid w:val="0062567A"/>
    <w:rsid w:val="0062792C"/>
    <w:rsid w:val="00632406"/>
    <w:rsid w:val="006334A8"/>
    <w:rsid w:val="00633633"/>
    <w:rsid w:val="00633AB3"/>
    <w:rsid w:val="006360B1"/>
    <w:rsid w:val="006362A0"/>
    <w:rsid w:val="0063656E"/>
    <w:rsid w:val="006367B1"/>
    <w:rsid w:val="0063788B"/>
    <w:rsid w:val="006404C9"/>
    <w:rsid w:val="0064055D"/>
    <w:rsid w:val="00640B75"/>
    <w:rsid w:val="006426C6"/>
    <w:rsid w:val="00642D57"/>
    <w:rsid w:val="0064395A"/>
    <w:rsid w:val="00645C55"/>
    <w:rsid w:val="00646512"/>
    <w:rsid w:val="00646829"/>
    <w:rsid w:val="00647622"/>
    <w:rsid w:val="0065089D"/>
    <w:rsid w:val="00650BA6"/>
    <w:rsid w:val="00651C73"/>
    <w:rsid w:val="00651D31"/>
    <w:rsid w:val="00652478"/>
    <w:rsid w:val="006524A2"/>
    <w:rsid w:val="006524BE"/>
    <w:rsid w:val="00652A5C"/>
    <w:rsid w:val="006533F8"/>
    <w:rsid w:val="006537D0"/>
    <w:rsid w:val="0065455F"/>
    <w:rsid w:val="00655360"/>
    <w:rsid w:val="00655371"/>
    <w:rsid w:val="00655569"/>
    <w:rsid w:val="00656388"/>
    <w:rsid w:val="006563C3"/>
    <w:rsid w:val="00657A38"/>
    <w:rsid w:val="00657CFF"/>
    <w:rsid w:val="00661024"/>
    <w:rsid w:val="006616CE"/>
    <w:rsid w:val="006625BC"/>
    <w:rsid w:val="00663A05"/>
    <w:rsid w:val="006645BF"/>
    <w:rsid w:val="006652E9"/>
    <w:rsid w:val="0066584D"/>
    <w:rsid w:val="00665A16"/>
    <w:rsid w:val="00665E49"/>
    <w:rsid w:val="00666AF7"/>
    <w:rsid w:val="006670F5"/>
    <w:rsid w:val="006674C1"/>
    <w:rsid w:val="00667EBB"/>
    <w:rsid w:val="0067040F"/>
    <w:rsid w:val="00670B1B"/>
    <w:rsid w:val="006716ED"/>
    <w:rsid w:val="006729E6"/>
    <w:rsid w:val="00672A0B"/>
    <w:rsid w:val="00672B53"/>
    <w:rsid w:val="00672EEC"/>
    <w:rsid w:val="0067317F"/>
    <w:rsid w:val="00673789"/>
    <w:rsid w:val="0067388D"/>
    <w:rsid w:val="00673AB7"/>
    <w:rsid w:val="00673AB9"/>
    <w:rsid w:val="00674512"/>
    <w:rsid w:val="00675933"/>
    <w:rsid w:val="00676340"/>
    <w:rsid w:val="00680FD5"/>
    <w:rsid w:val="00681A07"/>
    <w:rsid w:val="00682D0A"/>
    <w:rsid w:val="00683085"/>
    <w:rsid w:val="0068338B"/>
    <w:rsid w:val="00683404"/>
    <w:rsid w:val="00683D48"/>
    <w:rsid w:val="00686E92"/>
    <w:rsid w:val="006914D0"/>
    <w:rsid w:val="0069158F"/>
    <w:rsid w:val="006916C0"/>
    <w:rsid w:val="00691C58"/>
    <w:rsid w:val="00692BB0"/>
    <w:rsid w:val="00692C1D"/>
    <w:rsid w:val="00693CC2"/>
    <w:rsid w:val="00694B76"/>
    <w:rsid w:val="00695E74"/>
    <w:rsid w:val="0069678A"/>
    <w:rsid w:val="00696E68"/>
    <w:rsid w:val="00697665"/>
    <w:rsid w:val="00697D73"/>
    <w:rsid w:val="006A00B7"/>
    <w:rsid w:val="006A049D"/>
    <w:rsid w:val="006A0BF9"/>
    <w:rsid w:val="006A12F4"/>
    <w:rsid w:val="006A1A12"/>
    <w:rsid w:val="006A2013"/>
    <w:rsid w:val="006A2F2D"/>
    <w:rsid w:val="006A3206"/>
    <w:rsid w:val="006A3CD1"/>
    <w:rsid w:val="006A3CF2"/>
    <w:rsid w:val="006A454C"/>
    <w:rsid w:val="006A5273"/>
    <w:rsid w:val="006A58B8"/>
    <w:rsid w:val="006A64A9"/>
    <w:rsid w:val="006A7FD0"/>
    <w:rsid w:val="006B0CA2"/>
    <w:rsid w:val="006B161A"/>
    <w:rsid w:val="006B2195"/>
    <w:rsid w:val="006B34D7"/>
    <w:rsid w:val="006B4C1B"/>
    <w:rsid w:val="006B5004"/>
    <w:rsid w:val="006B5571"/>
    <w:rsid w:val="006B55C5"/>
    <w:rsid w:val="006B7576"/>
    <w:rsid w:val="006B7958"/>
    <w:rsid w:val="006C0662"/>
    <w:rsid w:val="006C084F"/>
    <w:rsid w:val="006C0B38"/>
    <w:rsid w:val="006C14D1"/>
    <w:rsid w:val="006C2EB8"/>
    <w:rsid w:val="006C41CF"/>
    <w:rsid w:val="006C453C"/>
    <w:rsid w:val="006C4F96"/>
    <w:rsid w:val="006C5A51"/>
    <w:rsid w:val="006C627E"/>
    <w:rsid w:val="006C68E5"/>
    <w:rsid w:val="006C6A3B"/>
    <w:rsid w:val="006C6E36"/>
    <w:rsid w:val="006C7E2B"/>
    <w:rsid w:val="006D09F8"/>
    <w:rsid w:val="006D18A5"/>
    <w:rsid w:val="006D23BA"/>
    <w:rsid w:val="006D2CB8"/>
    <w:rsid w:val="006D2CF6"/>
    <w:rsid w:val="006D40DC"/>
    <w:rsid w:val="006D4498"/>
    <w:rsid w:val="006D44E6"/>
    <w:rsid w:val="006D4EC2"/>
    <w:rsid w:val="006D4F07"/>
    <w:rsid w:val="006D5176"/>
    <w:rsid w:val="006D5415"/>
    <w:rsid w:val="006D5EA2"/>
    <w:rsid w:val="006D717D"/>
    <w:rsid w:val="006D7687"/>
    <w:rsid w:val="006E0385"/>
    <w:rsid w:val="006E0572"/>
    <w:rsid w:val="006E0C98"/>
    <w:rsid w:val="006E0F9F"/>
    <w:rsid w:val="006E1324"/>
    <w:rsid w:val="006E140D"/>
    <w:rsid w:val="006E1CCF"/>
    <w:rsid w:val="006E28FE"/>
    <w:rsid w:val="006E4F08"/>
    <w:rsid w:val="006E6202"/>
    <w:rsid w:val="006E6B65"/>
    <w:rsid w:val="006E6D63"/>
    <w:rsid w:val="006E6E42"/>
    <w:rsid w:val="006E74A5"/>
    <w:rsid w:val="006F0E22"/>
    <w:rsid w:val="006F2EC7"/>
    <w:rsid w:val="006F3DAA"/>
    <w:rsid w:val="006F514F"/>
    <w:rsid w:val="006F5461"/>
    <w:rsid w:val="006F70A0"/>
    <w:rsid w:val="00700377"/>
    <w:rsid w:val="007008A4"/>
    <w:rsid w:val="00700E8E"/>
    <w:rsid w:val="007018AF"/>
    <w:rsid w:val="00701D9E"/>
    <w:rsid w:val="00701E35"/>
    <w:rsid w:val="007020A1"/>
    <w:rsid w:val="00702115"/>
    <w:rsid w:val="007029A4"/>
    <w:rsid w:val="00703E2C"/>
    <w:rsid w:val="00705631"/>
    <w:rsid w:val="00705E94"/>
    <w:rsid w:val="00705FE1"/>
    <w:rsid w:val="00706399"/>
    <w:rsid w:val="00707D87"/>
    <w:rsid w:val="00707EFD"/>
    <w:rsid w:val="00707FF5"/>
    <w:rsid w:val="00711266"/>
    <w:rsid w:val="00711A50"/>
    <w:rsid w:val="007125A7"/>
    <w:rsid w:val="007130EA"/>
    <w:rsid w:val="00713DE5"/>
    <w:rsid w:val="00713FA0"/>
    <w:rsid w:val="00714254"/>
    <w:rsid w:val="00714718"/>
    <w:rsid w:val="00714833"/>
    <w:rsid w:val="00714C43"/>
    <w:rsid w:val="00715929"/>
    <w:rsid w:val="0071654A"/>
    <w:rsid w:val="007173EA"/>
    <w:rsid w:val="00717A45"/>
    <w:rsid w:val="00717D15"/>
    <w:rsid w:val="0072005B"/>
    <w:rsid w:val="00720966"/>
    <w:rsid w:val="007210EC"/>
    <w:rsid w:val="0072127D"/>
    <w:rsid w:val="007229B0"/>
    <w:rsid w:val="00723351"/>
    <w:rsid w:val="00724809"/>
    <w:rsid w:val="007252B4"/>
    <w:rsid w:val="00725AC2"/>
    <w:rsid w:val="00726DBE"/>
    <w:rsid w:val="00727EAE"/>
    <w:rsid w:val="00727FB6"/>
    <w:rsid w:val="007300F3"/>
    <w:rsid w:val="007303E0"/>
    <w:rsid w:val="00730AB8"/>
    <w:rsid w:val="00734D43"/>
    <w:rsid w:val="007357B0"/>
    <w:rsid w:val="00735A39"/>
    <w:rsid w:val="00736FC1"/>
    <w:rsid w:val="007372C3"/>
    <w:rsid w:val="007404BC"/>
    <w:rsid w:val="00741FC4"/>
    <w:rsid w:val="0074287A"/>
    <w:rsid w:val="00742DD2"/>
    <w:rsid w:val="00744115"/>
    <w:rsid w:val="00744B26"/>
    <w:rsid w:val="00744E7F"/>
    <w:rsid w:val="00745879"/>
    <w:rsid w:val="00745950"/>
    <w:rsid w:val="007464C8"/>
    <w:rsid w:val="00746A77"/>
    <w:rsid w:val="00746D17"/>
    <w:rsid w:val="0074728F"/>
    <w:rsid w:val="00747E9B"/>
    <w:rsid w:val="007506F2"/>
    <w:rsid w:val="00751EE7"/>
    <w:rsid w:val="00752568"/>
    <w:rsid w:val="00752CB1"/>
    <w:rsid w:val="007539E1"/>
    <w:rsid w:val="0075455D"/>
    <w:rsid w:val="00754621"/>
    <w:rsid w:val="0075582E"/>
    <w:rsid w:val="0075647A"/>
    <w:rsid w:val="00756E36"/>
    <w:rsid w:val="007573C1"/>
    <w:rsid w:val="007574E5"/>
    <w:rsid w:val="007605B5"/>
    <w:rsid w:val="007611DB"/>
    <w:rsid w:val="007634AD"/>
    <w:rsid w:val="00764CD2"/>
    <w:rsid w:val="0076566F"/>
    <w:rsid w:val="007656E6"/>
    <w:rsid w:val="00765BE2"/>
    <w:rsid w:val="007673F0"/>
    <w:rsid w:val="0076744F"/>
    <w:rsid w:val="00767455"/>
    <w:rsid w:val="007679AF"/>
    <w:rsid w:val="007701D9"/>
    <w:rsid w:val="00772C6C"/>
    <w:rsid w:val="00772D54"/>
    <w:rsid w:val="007741D9"/>
    <w:rsid w:val="007743B6"/>
    <w:rsid w:val="007748F6"/>
    <w:rsid w:val="00774A8C"/>
    <w:rsid w:val="007750BB"/>
    <w:rsid w:val="00775779"/>
    <w:rsid w:val="00776ED5"/>
    <w:rsid w:val="007809E9"/>
    <w:rsid w:val="00780D84"/>
    <w:rsid w:val="0078122E"/>
    <w:rsid w:val="0078165F"/>
    <w:rsid w:val="00782024"/>
    <w:rsid w:val="00782DC1"/>
    <w:rsid w:val="007831EF"/>
    <w:rsid w:val="00783506"/>
    <w:rsid w:val="0078442B"/>
    <w:rsid w:val="007853BD"/>
    <w:rsid w:val="00785A12"/>
    <w:rsid w:val="00785E18"/>
    <w:rsid w:val="0078614D"/>
    <w:rsid w:val="00791C0F"/>
    <w:rsid w:val="007924DC"/>
    <w:rsid w:val="00793845"/>
    <w:rsid w:val="00793FA2"/>
    <w:rsid w:val="0079520D"/>
    <w:rsid w:val="007966FB"/>
    <w:rsid w:val="0079697F"/>
    <w:rsid w:val="00796BD1"/>
    <w:rsid w:val="00796EC8"/>
    <w:rsid w:val="00797DF7"/>
    <w:rsid w:val="007A0D0E"/>
    <w:rsid w:val="007A1418"/>
    <w:rsid w:val="007A166F"/>
    <w:rsid w:val="007A1BB6"/>
    <w:rsid w:val="007A490A"/>
    <w:rsid w:val="007A4C5A"/>
    <w:rsid w:val="007A615D"/>
    <w:rsid w:val="007A671F"/>
    <w:rsid w:val="007A6DA5"/>
    <w:rsid w:val="007A7F82"/>
    <w:rsid w:val="007B0724"/>
    <w:rsid w:val="007B0854"/>
    <w:rsid w:val="007B0F2D"/>
    <w:rsid w:val="007B0F58"/>
    <w:rsid w:val="007B16E2"/>
    <w:rsid w:val="007B234F"/>
    <w:rsid w:val="007B24B5"/>
    <w:rsid w:val="007B44DA"/>
    <w:rsid w:val="007B5F82"/>
    <w:rsid w:val="007B6218"/>
    <w:rsid w:val="007B6351"/>
    <w:rsid w:val="007B78B9"/>
    <w:rsid w:val="007C0326"/>
    <w:rsid w:val="007C0A36"/>
    <w:rsid w:val="007C2221"/>
    <w:rsid w:val="007C36EC"/>
    <w:rsid w:val="007C3946"/>
    <w:rsid w:val="007C60A9"/>
    <w:rsid w:val="007C6117"/>
    <w:rsid w:val="007C6410"/>
    <w:rsid w:val="007C672F"/>
    <w:rsid w:val="007C7077"/>
    <w:rsid w:val="007C7370"/>
    <w:rsid w:val="007C7638"/>
    <w:rsid w:val="007C7F04"/>
    <w:rsid w:val="007D0305"/>
    <w:rsid w:val="007D0F47"/>
    <w:rsid w:val="007D1727"/>
    <w:rsid w:val="007D1AD1"/>
    <w:rsid w:val="007D1FD8"/>
    <w:rsid w:val="007D28C9"/>
    <w:rsid w:val="007D40E2"/>
    <w:rsid w:val="007D58E1"/>
    <w:rsid w:val="007D5E0B"/>
    <w:rsid w:val="007D65D4"/>
    <w:rsid w:val="007D71A4"/>
    <w:rsid w:val="007E01FC"/>
    <w:rsid w:val="007E03C8"/>
    <w:rsid w:val="007E044F"/>
    <w:rsid w:val="007E11A8"/>
    <w:rsid w:val="007E1384"/>
    <w:rsid w:val="007E38F5"/>
    <w:rsid w:val="007E4585"/>
    <w:rsid w:val="007E56BA"/>
    <w:rsid w:val="007E5B03"/>
    <w:rsid w:val="007E6035"/>
    <w:rsid w:val="007E750C"/>
    <w:rsid w:val="007F047F"/>
    <w:rsid w:val="007F0D40"/>
    <w:rsid w:val="007F1322"/>
    <w:rsid w:val="007F168F"/>
    <w:rsid w:val="007F25AB"/>
    <w:rsid w:val="007F2AC3"/>
    <w:rsid w:val="007F3452"/>
    <w:rsid w:val="007F367B"/>
    <w:rsid w:val="007F3F7B"/>
    <w:rsid w:val="007F4347"/>
    <w:rsid w:val="007F5F3B"/>
    <w:rsid w:val="007F723E"/>
    <w:rsid w:val="007F72CB"/>
    <w:rsid w:val="00800175"/>
    <w:rsid w:val="00800C33"/>
    <w:rsid w:val="00802A13"/>
    <w:rsid w:val="00802D30"/>
    <w:rsid w:val="00804C29"/>
    <w:rsid w:val="00804CE6"/>
    <w:rsid w:val="00804EB1"/>
    <w:rsid w:val="0080594C"/>
    <w:rsid w:val="008101D2"/>
    <w:rsid w:val="00810C11"/>
    <w:rsid w:val="00810CB8"/>
    <w:rsid w:val="008111B0"/>
    <w:rsid w:val="00811ED3"/>
    <w:rsid w:val="008125CD"/>
    <w:rsid w:val="0081348A"/>
    <w:rsid w:val="00813504"/>
    <w:rsid w:val="00815027"/>
    <w:rsid w:val="008159D3"/>
    <w:rsid w:val="00815AF3"/>
    <w:rsid w:val="00815EAC"/>
    <w:rsid w:val="00816191"/>
    <w:rsid w:val="00816302"/>
    <w:rsid w:val="0081643A"/>
    <w:rsid w:val="00816A51"/>
    <w:rsid w:val="00817A26"/>
    <w:rsid w:val="00817CA8"/>
    <w:rsid w:val="00817DDD"/>
    <w:rsid w:val="0082251D"/>
    <w:rsid w:val="00822D58"/>
    <w:rsid w:val="00822F0F"/>
    <w:rsid w:val="008232F1"/>
    <w:rsid w:val="00824AA3"/>
    <w:rsid w:val="00824D50"/>
    <w:rsid w:val="008259B9"/>
    <w:rsid w:val="008264EF"/>
    <w:rsid w:val="00826A9D"/>
    <w:rsid w:val="008273B7"/>
    <w:rsid w:val="008303BC"/>
    <w:rsid w:val="0083119B"/>
    <w:rsid w:val="00831238"/>
    <w:rsid w:val="0083133A"/>
    <w:rsid w:val="008313DB"/>
    <w:rsid w:val="008334FC"/>
    <w:rsid w:val="008339C5"/>
    <w:rsid w:val="00833AE2"/>
    <w:rsid w:val="00833EB1"/>
    <w:rsid w:val="008344BC"/>
    <w:rsid w:val="00834864"/>
    <w:rsid w:val="008349A7"/>
    <w:rsid w:val="00834EAB"/>
    <w:rsid w:val="00835417"/>
    <w:rsid w:val="008366AF"/>
    <w:rsid w:val="00836793"/>
    <w:rsid w:val="00836AFB"/>
    <w:rsid w:val="00836EAB"/>
    <w:rsid w:val="0083716D"/>
    <w:rsid w:val="008409BE"/>
    <w:rsid w:val="00840B58"/>
    <w:rsid w:val="00841280"/>
    <w:rsid w:val="0084152B"/>
    <w:rsid w:val="00841639"/>
    <w:rsid w:val="00841E0B"/>
    <w:rsid w:val="00842535"/>
    <w:rsid w:val="00842A9F"/>
    <w:rsid w:val="00842F23"/>
    <w:rsid w:val="00843449"/>
    <w:rsid w:val="00843BC4"/>
    <w:rsid w:val="00843E6C"/>
    <w:rsid w:val="00843F7A"/>
    <w:rsid w:val="00844326"/>
    <w:rsid w:val="0084483F"/>
    <w:rsid w:val="00845303"/>
    <w:rsid w:val="00846F5C"/>
    <w:rsid w:val="0084737E"/>
    <w:rsid w:val="00847B6B"/>
    <w:rsid w:val="00847DD7"/>
    <w:rsid w:val="0085092D"/>
    <w:rsid w:val="008509DD"/>
    <w:rsid w:val="00850DF5"/>
    <w:rsid w:val="0085128C"/>
    <w:rsid w:val="00852018"/>
    <w:rsid w:val="008524B4"/>
    <w:rsid w:val="0085264F"/>
    <w:rsid w:val="00852BB0"/>
    <w:rsid w:val="00852E12"/>
    <w:rsid w:val="00852F5E"/>
    <w:rsid w:val="008534E9"/>
    <w:rsid w:val="00853776"/>
    <w:rsid w:val="008541AC"/>
    <w:rsid w:val="00854DBB"/>
    <w:rsid w:val="00856468"/>
    <w:rsid w:val="00856B57"/>
    <w:rsid w:val="00857F63"/>
    <w:rsid w:val="00860189"/>
    <w:rsid w:val="008601EE"/>
    <w:rsid w:val="00860B10"/>
    <w:rsid w:val="00860C12"/>
    <w:rsid w:val="00860CA0"/>
    <w:rsid w:val="008610DF"/>
    <w:rsid w:val="008612BF"/>
    <w:rsid w:val="00861408"/>
    <w:rsid w:val="008617E0"/>
    <w:rsid w:val="00862B2A"/>
    <w:rsid w:val="00862D58"/>
    <w:rsid w:val="00865014"/>
    <w:rsid w:val="00865967"/>
    <w:rsid w:val="00865EEA"/>
    <w:rsid w:val="008700C1"/>
    <w:rsid w:val="008705DE"/>
    <w:rsid w:val="00871295"/>
    <w:rsid w:val="0087249D"/>
    <w:rsid w:val="00873BCF"/>
    <w:rsid w:val="00874A6C"/>
    <w:rsid w:val="00877366"/>
    <w:rsid w:val="0087745C"/>
    <w:rsid w:val="00877FC5"/>
    <w:rsid w:val="00880626"/>
    <w:rsid w:val="00881690"/>
    <w:rsid w:val="00881742"/>
    <w:rsid w:val="008817ED"/>
    <w:rsid w:val="0088243F"/>
    <w:rsid w:val="00882EA0"/>
    <w:rsid w:val="00883662"/>
    <w:rsid w:val="00883715"/>
    <w:rsid w:val="0088457C"/>
    <w:rsid w:val="00885287"/>
    <w:rsid w:val="00885AA7"/>
    <w:rsid w:val="00885C0F"/>
    <w:rsid w:val="00886201"/>
    <w:rsid w:val="00886A5B"/>
    <w:rsid w:val="008871CF"/>
    <w:rsid w:val="00887B15"/>
    <w:rsid w:val="00890549"/>
    <w:rsid w:val="00890882"/>
    <w:rsid w:val="00890A8B"/>
    <w:rsid w:val="008927A8"/>
    <w:rsid w:val="00893165"/>
    <w:rsid w:val="00893180"/>
    <w:rsid w:val="00893C06"/>
    <w:rsid w:val="00894D34"/>
    <w:rsid w:val="00895AA2"/>
    <w:rsid w:val="00896174"/>
    <w:rsid w:val="008967AF"/>
    <w:rsid w:val="00896A1B"/>
    <w:rsid w:val="00897ED9"/>
    <w:rsid w:val="008A0425"/>
    <w:rsid w:val="008A0A11"/>
    <w:rsid w:val="008A0B2C"/>
    <w:rsid w:val="008A1966"/>
    <w:rsid w:val="008A257A"/>
    <w:rsid w:val="008A2F81"/>
    <w:rsid w:val="008A3228"/>
    <w:rsid w:val="008A41E2"/>
    <w:rsid w:val="008A46C3"/>
    <w:rsid w:val="008A53F7"/>
    <w:rsid w:val="008A54C1"/>
    <w:rsid w:val="008A575E"/>
    <w:rsid w:val="008A6443"/>
    <w:rsid w:val="008A69BA"/>
    <w:rsid w:val="008A7AAC"/>
    <w:rsid w:val="008A7DFA"/>
    <w:rsid w:val="008B1A31"/>
    <w:rsid w:val="008B250F"/>
    <w:rsid w:val="008B3299"/>
    <w:rsid w:val="008B3EAF"/>
    <w:rsid w:val="008B4490"/>
    <w:rsid w:val="008C03B7"/>
    <w:rsid w:val="008C0A95"/>
    <w:rsid w:val="008C0AF6"/>
    <w:rsid w:val="008C0ED3"/>
    <w:rsid w:val="008C26E3"/>
    <w:rsid w:val="008C2BFB"/>
    <w:rsid w:val="008C41C5"/>
    <w:rsid w:val="008C4353"/>
    <w:rsid w:val="008C50B2"/>
    <w:rsid w:val="008C596E"/>
    <w:rsid w:val="008C6600"/>
    <w:rsid w:val="008C6B51"/>
    <w:rsid w:val="008C710C"/>
    <w:rsid w:val="008D1B84"/>
    <w:rsid w:val="008D2B54"/>
    <w:rsid w:val="008D3FBB"/>
    <w:rsid w:val="008D4085"/>
    <w:rsid w:val="008D4225"/>
    <w:rsid w:val="008D4533"/>
    <w:rsid w:val="008D4B97"/>
    <w:rsid w:val="008D4C63"/>
    <w:rsid w:val="008D5F00"/>
    <w:rsid w:val="008D71C9"/>
    <w:rsid w:val="008D76C2"/>
    <w:rsid w:val="008D776A"/>
    <w:rsid w:val="008E0A7E"/>
    <w:rsid w:val="008E1374"/>
    <w:rsid w:val="008E197B"/>
    <w:rsid w:val="008E1C15"/>
    <w:rsid w:val="008E3219"/>
    <w:rsid w:val="008E425D"/>
    <w:rsid w:val="008E5380"/>
    <w:rsid w:val="008E55D9"/>
    <w:rsid w:val="008E5D4B"/>
    <w:rsid w:val="008E5EBF"/>
    <w:rsid w:val="008E6F70"/>
    <w:rsid w:val="008E7715"/>
    <w:rsid w:val="008E7D23"/>
    <w:rsid w:val="008F0394"/>
    <w:rsid w:val="008F14CC"/>
    <w:rsid w:val="008F1D84"/>
    <w:rsid w:val="008F1E25"/>
    <w:rsid w:val="008F2734"/>
    <w:rsid w:val="008F30C9"/>
    <w:rsid w:val="008F35B7"/>
    <w:rsid w:val="008F39BD"/>
    <w:rsid w:val="008F4123"/>
    <w:rsid w:val="008F489B"/>
    <w:rsid w:val="008F5C25"/>
    <w:rsid w:val="008F646E"/>
    <w:rsid w:val="008F6E4A"/>
    <w:rsid w:val="008F71EB"/>
    <w:rsid w:val="008F7353"/>
    <w:rsid w:val="008F7ABD"/>
    <w:rsid w:val="00900239"/>
    <w:rsid w:val="00900DDB"/>
    <w:rsid w:val="0090136A"/>
    <w:rsid w:val="00901CD9"/>
    <w:rsid w:val="00902199"/>
    <w:rsid w:val="009030CB"/>
    <w:rsid w:val="00903CAD"/>
    <w:rsid w:val="00904005"/>
    <w:rsid w:val="009047C5"/>
    <w:rsid w:val="00904CD9"/>
    <w:rsid w:val="00905603"/>
    <w:rsid w:val="00906322"/>
    <w:rsid w:val="009063A9"/>
    <w:rsid w:val="009064C4"/>
    <w:rsid w:val="009066C0"/>
    <w:rsid w:val="009071F2"/>
    <w:rsid w:val="0090765B"/>
    <w:rsid w:val="00907A73"/>
    <w:rsid w:val="00907E9D"/>
    <w:rsid w:val="009106BD"/>
    <w:rsid w:val="0091085E"/>
    <w:rsid w:val="00910B86"/>
    <w:rsid w:val="009110E3"/>
    <w:rsid w:val="0091237C"/>
    <w:rsid w:val="00914F02"/>
    <w:rsid w:val="00915E71"/>
    <w:rsid w:val="0091678A"/>
    <w:rsid w:val="00916A72"/>
    <w:rsid w:val="00916C89"/>
    <w:rsid w:val="0091746C"/>
    <w:rsid w:val="00917585"/>
    <w:rsid w:val="009176F3"/>
    <w:rsid w:val="00917700"/>
    <w:rsid w:val="0092110B"/>
    <w:rsid w:val="009213FA"/>
    <w:rsid w:val="00921659"/>
    <w:rsid w:val="009217EE"/>
    <w:rsid w:val="00921A66"/>
    <w:rsid w:val="00921CF3"/>
    <w:rsid w:val="009234CD"/>
    <w:rsid w:val="00923DC9"/>
    <w:rsid w:val="00924541"/>
    <w:rsid w:val="0092462A"/>
    <w:rsid w:val="0092465E"/>
    <w:rsid w:val="0092478E"/>
    <w:rsid w:val="00924928"/>
    <w:rsid w:val="00924A84"/>
    <w:rsid w:val="00924C21"/>
    <w:rsid w:val="0092603A"/>
    <w:rsid w:val="009278F1"/>
    <w:rsid w:val="00930831"/>
    <w:rsid w:val="00931364"/>
    <w:rsid w:val="0093167B"/>
    <w:rsid w:val="0093193A"/>
    <w:rsid w:val="00931B7E"/>
    <w:rsid w:val="00932FBD"/>
    <w:rsid w:val="009339B8"/>
    <w:rsid w:val="00933F8F"/>
    <w:rsid w:val="00934CB4"/>
    <w:rsid w:val="0093633E"/>
    <w:rsid w:val="009368EF"/>
    <w:rsid w:val="00936B09"/>
    <w:rsid w:val="00937362"/>
    <w:rsid w:val="00937BFF"/>
    <w:rsid w:val="00937C4F"/>
    <w:rsid w:val="00937E01"/>
    <w:rsid w:val="00937E58"/>
    <w:rsid w:val="00940531"/>
    <w:rsid w:val="0094059F"/>
    <w:rsid w:val="00940714"/>
    <w:rsid w:val="009409CA"/>
    <w:rsid w:val="009418E8"/>
    <w:rsid w:val="009424CF"/>
    <w:rsid w:val="00942B12"/>
    <w:rsid w:val="00942D7C"/>
    <w:rsid w:val="00944342"/>
    <w:rsid w:val="00944EA4"/>
    <w:rsid w:val="00945AD3"/>
    <w:rsid w:val="009465F7"/>
    <w:rsid w:val="00946737"/>
    <w:rsid w:val="00946C75"/>
    <w:rsid w:val="00946CFA"/>
    <w:rsid w:val="00947536"/>
    <w:rsid w:val="00947D1F"/>
    <w:rsid w:val="00947D28"/>
    <w:rsid w:val="00947EF5"/>
    <w:rsid w:val="00950258"/>
    <w:rsid w:val="00951364"/>
    <w:rsid w:val="009521FC"/>
    <w:rsid w:val="00952E20"/>
    <w:rsid w:val="0095385A"/>
    <w:rsid w:val="00953A90"/>
    <w:rsid w:val="00954ABD"/>
    <w:rsid w:val="00955CAC"/>
    <w:rsid w:val="00955E10"/>
    <w:rsid w:val="009568DA"/>
    <w:rsid w:val="00956C80"/>
    <w:rsid w:val="00956E82"/>
    <w:rsid w:val="009604AE"/>
    <w:rsid w:val="00961FA1"/>
    <w:rsid w:val="00962034"/>
    <w:rsid w:val="00962A37"/>
    <w:rsid w:val="00964C6F"/>
    <w:rsid w:val="00965849"/>
    <w:rsid w:val="00967FE3"/>
    <w:rsid w:val="00970217"/>
    <w:rsid w:val="00971941"/>
    <w:rsid w:val="00971A67"/>
    <w:rsid w:val="009738F8"/>
    <w:rsid w:val="00973D6C"/>
    <w:rsid w:val="00973F55"/>
    <w:rsid w:val="00975490"/>
    <w:rsid w:val="00975D1B"/>
    <w:rsid w:val="00976CC3"/>
    <w:rsid w:val="00977088"/>
    <w:rsid w:val="0098054E"/>
    <w:rsid w:val="00981B5D"/>
    <w:rsid w:val="00982489"/>
    <w:rsid w:val="00984C72"/>
    <w:rsid w:val="00984DFB"/>
    <w:rsid w:val="00985305"/>
    <w:rsid w:val="009859D0"/>
    <w:rsid w:val="009866C8"/>
    <w:rsid w:val="009874B4"/>
    <w:rsid w:val="00987DBA"/>
    <w:rsid w:val="00987F32"/>
    <w:rsid w:val="009903AE"/>
    <w:rsid w:val="00990612"/>
    <w:rsid w:val="00990A26"/>
    <w:rsid w:val="00990A2F"/>
    <w:rsid w:val="0099113C"/>
    <w:rsid w:val="0099114C"/>
    <w:rsid w:val="0099165C"/>
    <w:rsid w:val="00995007"/>
    <w:rsid w:val="0099549D"/>
    <w:rsid w:val="00995CA3"/>
    <w:rsid w:val="009966E7"/>
    <w:rsid w:val="00996D56"/>
    <w:rsid w:val="009A0B76"/>
    <w:rsid w:val="009A1A89"/>
    <w:rsid w:val="009A1A94"/>
    <w:rsid w:val="009A1B74"/>
    <w:rsid w:val="009A1C15"/>
    <w:rsid w:val="009A353C"/>
    <w:rsid w:val="009A3AEB"/>
    <w:rsid w:val="009A4864"/>
    <w:rsid w:val="009B053C"/>
    <w:rsid w:val="009B0BF6"/>
    <w:rsid w:val="009B0CB9"/>
    <w:rsid w:val="009B17C2"/>
    <w:rsid w:val="009B19D2"/>
    <w:rsid w:val="009B1BF2"/>
    <w:rsid w:val="009B20BF"/>
    <w:rsid w:val="009B2695"/>
    <w:rsid w:val="009B29F8"/>
    <w:rsid w:val="009B2C78"/>
    <w:rsid w:val="009B5EA5"/>
    <w:rsid w:val="009B6258"/>
    <w:rsid w:val="009B63F0"/>
    <w:rsid w:val="009B7EC0"/>
    <w:rsid w:val="009C02BD"/>
    <w:rsid w:val="009C0EC1"/>
    <w:rsid w:val="009C17B9"/>
    <w:rsid w:val="009C1933"/>
    <w:rsid w:val="009C1FFB"/>
    <w:rsid w:val="009C24BD"/>
    <w:rsid w:val="009C28F4"/>
    <w:rsid w:val="009C2A57"/>
    <w:rsid w:val="009C375E"/>
    <w:rsid w:val="009C376A"/>
    <w:rsid w:val="009C3A06"/>
    <w:rsid w:val="009C3D5F"/>
    <w:rsid w:val="009C446F"/>
    <w:rsid w:val="009C4DAD"/>
    <w:rsid w:val="009C55A7"/>
    <w:rsid w:val="009C5D1B"/>
    <w:rsid w:val="009C7648"/>
    <w:rsid w:val="009C782E"/>
    <w:rsid w:val="009C7F2E"/>
    <w:rsid w:val="009D07CB"/>
    <w:rsid w:val="009D0F4D"/>
    <w:rsid w:val="009D0FC4"/>
    <w:rsid w:val="009D3049"/>
    <w:rsid w:val="009D310C"/>
    <w:rsid w:val="009D4A2A"/>
    <w:rsid w:val="009D4FF8"/>
    <w:rsid w:val="009D54EC"/>
    <w:rsid w:val="009D59E1"/>
    <w:rsid w:val="009D65B4"/>
    <w:rsid w:val="009D7290"/>
    <w:rsid w:val="009E01BD"/>
    <w:rsid w:val="009E0D1B"/>
    <w:rsid w:val="009E16CE"/>
    <w:rsid w:val="009E1F5A"/>
    <w:rsid w:val="009E245B"/>
    <w:rsid w:val="009E2882"/>
    <w:rsid w:val="009E3217"/>
    <w:rsid w:val="009E411D"/>
    <w:rsid w:val="009E4454"/>
    <w:rsid w:val="009E48B1"/>
    <w:rsid w:val="009E50F2"/>
    <w:rsid w:val="009E5DF3"/>
    <w:rsid w:val="009E6915"/>
    <w:rsid w:val="009E70F0"/>
    <w:rsid w:val="009F0BCE"/>
    <w:rsid w:val="009F1817"/>
    <w:rsid w:val="009F1BD6"/>
    <w:rsid w:val="009F2418"/>
    <w:rsid w:val="009F3083"/>
    <w:rsid w:val="009F372D"/>
    <w:rsid w:val="009F3C99"/>
    <w:rsid w:val="009F48F0"/>
    <w:rsid w:val="009F57D1"/>
    <w:rsid w:val="009F596F"/>
    <w:rsid w:val="009F6369"/>
    <w:rsid w:val="009F6523"/>
    <w:rsid w:val="009F6B3F"/>
    <w:rsid w:val="009F773F"/>
    <w:rsid w:val="009F7802"/>
    <w:rsid w:val="009F7D1F"/>
    <w:rsid w:val="00A00987"/>
    <w:rsid w:val="00A0154B"/>
    <w:rsid w:val="00A01B73"/>
    <w:rsid w:val="00A01F14"/>
    <w:rsid w:val="00A0283E"/>
    <w:rsid w:val="00A028FC"/>
    <w:rsid w:val="00A02DEF"/>
    <w:rsid w:val="00A03186"/>
    <w:rsid w:val="00A0353C"/>
    <w:rsid w:val="00A0353D"/>
    <w:rsid w:val="00A03556"/>
    <w:rsid w:val="00A035A4"/>
    <w:rsid w:val="00A036C4"/>
    <w:rsid w:val="00A044A1"/>
    <w:rsid w:val="00A07446"/>
    <w:rsid w:val="00A10135"/>
    <w:rsid w:val="00A10706"/>
    <w:rsid w:val="00A1089F"/>
    <w:rsid w:val="00A11267"/>
    <w:rsid w:val="00A113C9"/>
    <w:rsid w:val="00A118A0"/>
    <w:rsid w:val="00A136ED"/>
    <w:rsid w:val="00A14F3C"/>
    <w:rsid w:val="00A17B91"/>
    <w:rsid w:val="00A206C9"/>
    <w:rsid w:val="00A20C68"/>
    <w:rsid w:val="00A21624"/>
    <w:rsid w:val="00A23088"/>
    <w:rsid w:val="00A23E37"/>
    <w:rsid w:val="00A24560"/>
    <w:rsid w:val="00A24CAF"/>
    <w:rsid w:val="00A25834"/>
    <w:rsid w:val="00A25EC5"/>
    <w:rsid w:val="00A26731"/>
    <w:rsid w:val="00A26D28"/>
    <w:rsid w:val="00A2734F"/>
    <w:rsid w:val="00A27D41"/>
    <w:rsid w:val="00A27EFE"/>
    <w:rsid w:val="00A30501"/>
    <w:rsid w:val="00A305CD"/>
    <w:rsid w:val="00A308D1"/>
    <w:rsid w:val="00A3167C"/>
    <w:rsid w:val="00A316F7"/>
    <w:rsid w:val="00A31770"/>
    <w:rsid w:val="00A31AAB"/>
    <w:rsid w:val="00A3216E"/>
    <w:rsid w:val="00A32529"/>
    <w:rsid w:val="00A32559"/>
    <w:rsid w:val="00A338FC"/>
    <w:rsid w:val="00A33A2C"/>
    <w:rsid w:val="00A34538"/>
    <w:rsid w:val="00A35156"/>
    <w:rsid w:val="00A36062"/>
    <w:rsid w:val="00A37529"/>
    <w:rsid w:val="00A41BFA"/>
    <w:rsid w:val="00A4289E"/>
    <w:rsid w:val="00A42A3B"/>
    <w:rsid w:val="00A43490"/>
    <w:rsid w:val="00A43FD5"/>
    <w:rsid w:val="00A44DA5"/>
    <w:rsid w:val="00A46384"/>
    <w:rsid w:val="00A46CED"/>
    <w:rsid w:val="00A470F2"/>
    <w:rsid w:val="00A47803"/>
    <w:rsid w:val="00A47CCC"/>
    <w:rsid w:val="00A47DA6"/>
    <w:rsid w:val="00A47E0A"/>
    <w:rsid w:val="00A47F59"/>
    <w:rsid w:val="00A47F6D"/>
    <w:rsid w:val="00A507B2"/>
    <w:rsid w:val="00A50AD2"/>
    <w:rsid w:val="00A50F5C"/>
    <w:rsid w:val="00A51BBE"/>
    <w:rsid w:val="00A51D51"/>
    <w:rsid w:val="00A5228B"/>
    <w:rsid w:val="00A5235A"/>
    <w:rsid w:val="00A53B56"/>
    <w:rsid w:val="00A53E7C"/>
    <w:rsid w:val="00A546CA"/>
    <w:rsid w:val="00A54A2B"/>
    <w:rsid w:val="00A54AB9"/>
    <w:rsid w:val="00A5584C"/>
    <w:rsid w:val="00A56A79"/>
    <w:rsid w:val="00A572E1"/>
    <w:rsid w:val="00A578E2"/>
    <w:rsid w:val="00A604A4"/>
    <w:rsid w:val="00A61FEE"/>
    <w:rsid w:val="00A62BAF"/>
    <w:rsid w:val="00A639A0"/>
    <w:rsid w:val="00A63DEC"/>
    <w:rsid w:val="00A6404B"/>
    <w:rsid w:val="00A641CA"/>
    <w:rsid w:val="00A656EF"/>
    <w:rsid w:val="00A65AA6"/>
    <w:rsid w:val="00A679E3"/>
    <w:rsid w:val="00A70311"/>
    <w:rsid w:val="00A70419"/>
    <w:rsid w:val="00A71148"/>
    <w:rsid w:val="00A72A3B"/>
    <w:rsid w:val="00A7461D"/>
    <w:rsid w:val="00A80248"/>
    <w:rsid w:val="00A80CF4"/>
    <w:rsid w:val="00A814D6"/>
    <w:rsid w:val="00A8268C"/>
    <w:rsid w:val="00A8275B"/>
    <w:rsid w:val="00A82E32"/>
    <w:rsid w:val="00A84361"/>
    <w:rsid w:val="00A84904"/>
    <w:rsid w:val="00A852F0"/>
    <w:rsid w:val="00A853DD"/>
    <w:rsid w:val="00A85C05"/>
    <w:rsid w:val="00A85F50"/>
    <w:rsid w:val="00A86F68"/>
    <w:rsid w:val="00A87177"/>
    <w:rsid w:val="00A87B23"/>
    <w:rsid w:val="00A90A38"/>
    <w:rsid w:val="00A923B7"/>
    <w:rsid w:val="00A95B45"/>
    <w:rsid w:val="00A95D9F"/>
    <w:rsid w:val="00A972D0"/>
    <w:rsid w:val="00A97342"/>
    <w:rsid w:val="00AA03C4"/>
    <w:rsid w:val="00AA077E"/>
    <w:rsid w:val="00AA18DB"/>
    <w:rsid w:val="00AA195D"/>
    <w:rsid w:val="00AA1C27"/>
    <w:rsid w:val="00AA33BA"/>
    <w:rsid w:val="00AA3DEF"/>
    <w:rsid w:val="00AA4353"/>
    <w:rsid w:val="00AA442B"/>
    <w:rsid w:val="00AA58FD"/>
    <w:rsid w:val="00AA59F5"/>
    <w:rsid w:val="00AA671A"/>
    <w:rsid w:val="00AA686E"/>
    <w:rsid w:val="00AA6CC1"/>
    <w:rsid w:val="00AB00BD"/>
    <w:rsid w:val="00AB0D4D"/>
    <w:rsid w:val="00AB14CE"/>
    <w:rsid w:val="00AB1580"/>
    <w:rsid w:val="00AB1690"/>
    <w:rsid w:val="00AB196B"/>
    <w:rsid w:val="00AB1AC8"/>
    <w:rsid w:val="00AB1CC8"/>
    <w:rsid w:val="00AB214B"/>
    <w:rsid w:val="00AB232F"/>
    <w:rsid w:val="00AB30DF"/>
    <w:rsid w:val="00AB3E40"/>
    <w:rsid w:val="00AB47E2"/>
    <w:rsid w:val="00AB4996"/>
    <w:rsid w:val="00AB4B1B"/>
    <w:rsid w:val="00AB4DF6"/>
    <w:rsid w:val="00AB61DC"/>
    <w:rsid w:val="00AB769D"/>
    <w:rsid w:val="00AB7F25"/>
    <w:rsid w:val="00AC004D"/>
    <w:rsid w:val="00AC060F"/>
    <w:rsid w:val="00AC0EEB"/>
    <w:rsid w:val="00AC1272"/>
    <w:rsid w:val="00AC1646"/>
    <w:rsid w:val="00AC1839"/>
    <w:rsid w:val="00AC1887"/>
    <w:rsid w:val="00AC3414"/>
    <w:rsid w:val="00AC3ACC"/>
    <w:rsid w:val="00AC3B09"/>
    <w:rsid w:val="00AC3E4A"/>
    <w:rsid w:val="00AD0985"/>
    <w:rsid w:val="00AD0B1D"/>
    <w:rsid w:val="00AD0F7C"/>
    <w:rsid w:val="00AD22FC"/>
    <w:rsid w:val="00AD2E44"/>
    <w:rsid w:val="00AD2F7B"/>
    <w:rsid w:val="00AD47FB"/>
    <w:rsid w:val="00AD48B1"/>
    <w:rsid w:val="00AD493D"/>
    <w:rsid w:val="00AD4EBB"/>
    <w:rsid w:val="00AD5E7A"/>
    <w:rsid w:val="00AD6135"/>
    <w:rsid w:val="00AD73E8"/>
    <w:rsid w:val="00AD7A11"/>
    <w:rsid w:val="00AD7C52"/>
    <w:rsid w:val="00AE0AC7"/>
    <w:rsid w:val="00AE0CBF"/>
    <w:rsid w:val="00AE1289"/>
    <w:rsid w:val="00AE19FC"/>
    <w:rsid w:val="00AE1FAC"/>
    <w:rsid w:val="00AE24EC"/>
    <w:rsid w:val="00AE3710"/>
    <w:rsid w:val="00AE39BD"/>
    <w:rsid w:val="00AE3A7C"/>
    <w:rsid w:val="00AE3E75"/>
    <w:rsid w:val="00AE4072"/>
    <w:rsid w:val="00AE4119"/>
    <w:rsid w:val="00AE4E69"/>
    <w:rsid w:val="00AE5307"/>
    <w:rsid w:val="00AE5B43"/>
    <w:rsid w:val="00AE6188"/>
    <w:rsid w:val="00AE65B9"/>
    <w:rsid w:val="00AE6719"/>
    <w:rsid w:val="00AE6D68"/>
    <w:rsid w:val="00AE7610"/>
    <w:rsid w:val="00AF0F32"/>
    <w:rsid w:val="00AF1383"/>
    <w:rsid w:val="00AF152E"/>
    <w:rsid w:val="00AF1ED8"/>
    <w:rsid w:val="00AF28FF"/>
    <w:rsid w:val="00AF3FC8"/>
    <w:rsid w:val="00AF416F"/>
    <w:rsid w:val="00AF51A0"/>
    <w:rsid w:val="00AF5644"/>
    <w:rsid w:val="00AF5CE1"/>
    <w:rsid w:val="00AF5F09"/>
    <w:rsid w:val="00AF6D47"/>
    <w:rsid w:val="00AF713D"/>
    <w:rsid w:val="00AF7FCE"/>
    <w:rsid w:val="00B00F9B"/>
    <w:rsid w:val="00B01850"/>
    <w:rsid w:val="00B02601"/>
    <w:rsid w:val="00B029E3"/>
    <w:rsid w:val="00B0312C"/>
    <w:rsid w:val="00B039D0"/>
    <w:rsid w:val="00B04843"/>
    <w:rsid w:val="00B055C7"/>
    <w:rsid w:val="00B0560B"/>
    <w:rsid w:val="00B06243"/>
    <w:rsid w:val="00B07B14"/>
    <w:rsid w:val="00B07BE4"/>
    <w:rsid w:val="00B101EE"/>
    <w:rsid w:val="00B1060D"/>
    <w:rsid w:val="00B118E9"/>
    <w:rsid w:val="00B12054"/>
    <w:rsid w:val="00B120C2"/>
    <w:rsid w:val="00B1288F"/>
    <w:rsid w:val="00B12A7B"/>
    <w:rsid w:val="00B12C01"/>
    <w:rsid w:val="00B12C69"/>
    <w:rsid w:val="00B14315"/>
    <w:rsid w:val="00B162E3"/>
    <w:rsid w:val="00B16C38"/>
    <w:rsid w:val="00B16C94"/>
    <w:rsid w:val="00B16D08"/>
    <w:rsid w:val="00B16D7C"/>
    <w:rsid w:val="00B16E58"/>
    <w:rsid w:val="00B17763"/>
    <w:rsid w:val="00B17C06"/>
    <w:rsid w:val="00B21D6C"/>
    <w:rsid w:val="00B22E22"/>
    <w:rsid w:val="00B23B33"/>
    <w:rsid w:val="00B243F7"/>
    <w:rsid w:val="00B258A0"/>
    <w:rsid w:val="00B25E2E"/>
    <w:rsid w:val="00B2636B"/>
    <w:rsid w:val="00B26374"/>
    <w:rsid w:val="00B26EC1"/>
    <w:rsid w:val="00B273B5"/>
    <w:rsid w:val="00B274A2"/>
    <w:rsid w:val="00B305CF"/>
    <w:rsid w:val="00B30A37"/>
    <w:rsid w:val="00B30D3C"/>
    <w:rsid w:val="00B32C0B"/>
    <w:rsid w:val="00B32DE6"/>
    <w:rsid w:val="00B33C57"/>
    <w:rsid w:val="00B33D08"/>
    <w:rsid w:val="00B340FE"/>
    <w:rsid w:val="00B346CC"/>
    <w:rsid w:val="00B34D92"/>
    <w:rsid w:val="00B351B5"/>
    <w:rsid w:val="00B35587"/>
    <w:rsid w:val="00B360BE"/>
    <w:rsid w:val="00B36547"/>
    <w:rsid w:val="00B36E67"/>
    <w:rsid w:val="00B371E9"/>
    <w:rsid w:val="00B401D0"/>
    <w:rsid w:val="00B403DE"/>
    <w:rsid w:val="00B40A2A"/>
    <w:rsid w:val="00B42A55"/>
    <w:rsid w:val="00B439B4"/>
    <w:rsid w:val="00B43AA5"/>
    <w:rsid w:val="00B43C9B"/>
    <w:rsid w:val="00B442B7"/>
    <w:rsid w:val="00B45158"/>
    <w:rsid w:val="00B45DA9"/>
    <w:rsid w:val="00B46798"/>
    <w:rsid w:val="00B46BC7"/>
    <w:rsid w:val="00B50315"/>
    <w:rsid w:val="00B512C3"/>
    <w:rsid w:val="00B513FE"/>
    <w:rsid w:val="00B51451"/>
    <w:rsid w:val="00B5146F"/>
    <w:rsid w:val="00B515CA"/>
    <w:rsid w:val="00B51689"/>
    <w:rsid w:val="00B5178D"/>
    <w:rsid w:val="00B525CB"/>
    <w:rsid w:val="00B531D7"/>
    <w:rsid w:val="00B53F68"/>
    <w:rsid w:val="00B541E2"/>
    <w:rsid w:val="00B54F70"/>
    <w:rsid w:val="00B5556E"/>
    <w:rsid w:val="00B55682"/>
    <w:rsid w:val="00B56556"/>
    <w:rsid w:val="00B57A53"/>
    <w:rsid w:val="00B57AC1"/>
    <w:rsid w:val="00B60926"/>
    <w:rsid w:val="00B610D5"/>
    <w:rsid w:val="00B613B5"/>
    <w:rsid w:val="00B613B9"/>
    <w:rsid w:val="00B6143C"/>
    <w:rsid w:val="00B62CA6"/>
    <w:rsid w:val="00B630A6"/>
    <w:rsid w:val="00B6341F"/>
    <w:rsid w:val="00B6352C"/>
    <w:rsid w:val="00B637F3"/>
    <w:rsid w:val="00B63CB2"/>
    <w:rsid w:val="00B63F56"/>
    <w:rsid w:val="00B64278"/>
    <w:rsid w:val="00B6444C"/>
    <w:rsid w:val="00B66866"/>
    <w:rsid w:val="00B66D78"/>
    <w:rsid w:val="00B67C3D"/>
    <w:rsid w:val="00B70169"/>
    <w:rsid w:val="00B70283"/>
    <w:rsid w:val="00B7078C"/>
    <w:rsid w:val="00B710C4"/>
    <w:rsid w:val="00B71561"/>
    <w:rsid w:val="00B72871"/>
    <w:rsid w:val="00B72E61"/>
    <w:rsid w:val="00B7345C"/>
    <w:rsid w:val="00B737A3"/>
    <w:rsid w:val="00B73B11"/>
    <w:rsid w:val="00B754CA"/>
    <w:rsid w:val="00B75BAA"/>
    <w:rsid w:val="00B75C7C"/>
    <w:rsid w:val="00B7757B"/>
    <w:rsid w:val="00B77ADE"/>
    <w:rsid w:val="00B77C1C"/>
    <w:rsid w:val="00B77D93"/>
    <w:rsid w:val="00B80316"/>
    <w:rsid w:val="00B80794"/>
    <w:rsid w:val="00B80D4A"/>
    <w:rsid w:val="00B80D60"/>
    <w:rsid w:val="00B8193B"/>
    <w:rsid w:val="00B81A41"/>
    <w:rsid w:val="00B81ACB"/>
    <w:rsid w:val="00B81F14"/>
    <w:rsid w:val="00B8385C"/>
    <w:rsid w:val="00B83F84"/>
    <w:rsid w:val="00B84B3E"/>
    <w:rsid w:val="00B85623"/>
    <w:rsid w:val="00B87B9E"/>
    <w:rsid w:val="00B90205"/>
    <w:rsid w:val="00B90B22"/>
    <w:rsid w:val="00B90B34"/>
    <w:rsid w:val="00B91CF1"/>
    <w:rsid w:val="00B91EAD"/>
    <w:rsid w:val="00B92CB6"/>
    <w:rsid w:val="00B93287"/>
    <w:rsid w:val="00B94B1F"/>
    <w:rsid w:val="00B9556D"/>
    <w:rsid w:val="00B95717"/>
    <w:rsid w:val="00B979C2"/>
    <w:rsid w:val="00BA0FA8"/>
    <w:rsid w:val="00BA101A"/>
    <w:rsid w:val="00BA1433"/>
    <w:rsid w:val="00BA2BEC"/>
    <w:rsid w:val="00BA32EF"/>
    <w:rsid w:val="00BA4904"/>
    <w:rsid w:val="00BA4B5B"/>
    <w:rsid w:val="00BA549C"/>
    <w:rsid w:val="00BA54F0"/>
    <w:rsid w:val="00BA5612"/>
    <w:rsid w:val="00BA5B4B"/>
    <w:rsid w:val="00BA6306"/>
    <w:rsid w:val="00BB16AA"/>
    <w:rsid w:val="00BB325C"/>
    <w:rsid w:val="00BB32EA"/>
    <w:rsid w:val="00BB37BD"/>
    <w:rsid w:val="00BB5B30"/>
    <w:rsid w:val="00BB5C7A"/>
    <w:rsid w:val="00BB7738"/>
    <w:rsid w:val="00BB7CF2"/>
    <w:rsid w:val="00BC0980"/>
    <w:rsid w:val="00BC11CA"/>
    <w:rsid w:val="00BC1835"/>
    <w:rsid w:val="00BC1901"/>
    <w:rsid w:val="00BC20AF"/>
    <w:rsid w:val="00BC2F8F"/>
    <w:rsid w:val="00BC3610"/>
    <w:rsid w:val="00BC3A7B"/>
    <w:rsid w:val="00BC3E50"/>
    <w:rsid w:val="00BC46FA"/>
    <w:rsid w:val="00BC4CFC"/>
    <w:rsid w:val="00BC5E6E"/>
    <w:rsid w:val="00BC638A"/>
    <w:rsid w:val="00BC754C"/>
    <w:rsid w:val="00BC7A70"/>
    <w:rsid w:val="00BD075C"/>
    <w:rsid w:val="00BD0942"/>
    <w:rsid w:val="00BD09C9"/>
    <w:rsid w:val="00BD1370"/>
    <w:rsid w:val="00BD16E4"/>
    <w:rsid w:val="00BD3ADF"/>
    <w:rsid w:val="00BD404B"/>
    <w:rsid w:val="00BD4104"/>
    <w:rsid w:val="00BD418A"/>
    <w:rsid w:val="00BD484B"/>
    <w:rsid w:val="00BD5979"/>
    <w:rsid w:val="00BD5F18"/>
    <w:rsid w:val="00BD5F91"/>
    <w:rsid w:val="00BD78FE"/>
    <w:rsid w:val="00BE0B45"/>
    <w:rsid w:val="00BE1B2E"/>
    <w:rsid w:val="00BE1EB7"/>
    <w:rsid w:val="00BE3C30"/>
    <w:rsid w:val="00BE43C0"/>
    <w:rsid w:val="00BE4555"/>
    <w:rsid w:val="00BE4C31"/>
    <w:rsid w:val="00BE5743"/>
    <w:rsid w:val="00BE60C5"/>
    <w:rsid w:val="00BE62F9"/>
    <w:rsid w:val="00BE646C"/>
    <w:rsid w:val="00BE68A7"/>
    <w:rsid w:val="00BE7972"/>
    <w:rsid w:val="00BF0438"/>
    <w:rsid w:val="00BF0945"/>
    <w:rsid w:val="00BF0F80"/>
    <w:rsid w:val="00BF2195"/>
    <w:rsid w:val="00BF239F"/>
    <w:rsid w:val="00BF23D9"/>
    <w:rsid w:val="00BF26EF"/>
    <w:rsid w:val="00BF2870"/>
    <w:rsid w:val="00BF2E6F"/>
    <w:rsid w:val="00BF38C7"/>
    <w:rsid w:val="00BF3E3E"/>
    <w:rsid w:val="00BF3E9C"/>
    <w:rsid w:val="00BF46EB"/>
    <w:rsid w:val="00BF52BB"/>
    <w:rsid w:val="00BF5655"/>
    <w:rsid w:val="00BF59DD"/>
    <w:rsid w:val="00BF5B89"/>
    <w:rsid w:val="00BF6765"/>
    <w:rsid w:val="00BF6F68"/>
    <w:rsid w:val="00BF7FBC"/>
    <w:rsid w:val="00C01713"/>
    <w:rsid w:val="00C01888"/>
    <w:rsid w:val="00C0300E"/>
    <w:rsid w:val="00C036DF"/>
    <w:rsid w:val="00C03968"/>
    <w:rsid w:val="00C03D7A"/>
    <w:rsid w:val="00C04038"/>
    <w:rsid w:val="00C05889"/>
    <w:rsid w:val="00C05EFC"/>
    <w:rsid w:val="00C06AA8"/>
    <w:rsid w:val="00C06C24"/>
    <w:rsid w:val="00C06D8D"/>
    <w:rsid w:val="00C06F4E"/>
    <w:rsid w:val="00C074ED"/>
    <w:rsid w:val="00C07969"/>
    <w:rsid w:val="00C07BA3"/>
    <w:rsid w:val="00C07EFC"/>
    <w:rsid w:val="00C1063D"/>
    <w:rsid w:val="00C108FF"/>
    <w:rsid w:val="00C11C22"/>
    <w:rsid w:val="00C128D8"/>
    <w:rsid w:val="00C13117"/>
    <w:rsid w:val="00C13B27"/>
    <w:rsid w:val="00C140C5"/>
    <w:rsid w:val="00C14392"/>
    <w:rsid w:val="00C14CDE"/>
    <w:rsid w:val="00C14D9E"/>
    <w:rsid w:val="00C15F8E"/>
    <w:rsid w:val="00C16340"/>
    <w:rsid w:val="00C1755A"/>
    <w:rsid w:val="00C20311"/>
    <w:rsid w:val="00C20858"/>
    <w:rsid w:val="00C210EA"/>
    <w:rsid w:val="00C215F9"/>
    <w:rsid w:val="00C21979"/>
    <w:rsid w:val="00C2235E"/>
    <w:rsid w:val="00C225F4"/>
    <w:rsid w:val="00C22C1C"/>
    <w:rsid w:val="00C2341D"/>
    <w:rsid w:val="00C236F1"/>
    <w:rsid w:val="00C23EB2"/>
    <w:rsid w:val="00C248E6"/>
    <w:rsid w:val="00C24CB7"/>
    <w:rsid w:val="00C25356"/>
    <w:rsid w:val="00C260AE"/>
    <w:rsid w:val="00C26667"/>
    <w:rsid w:val="00C26FF5"/>
    <w:rsid w:val="00C2785E"/>
    <w:rsid w:val="00C301D9"/>
    <w:rsid w:val="00C3050E"/>
    <w:rsid w:val="00C31E79"/>
    <w:rsid w:val="00C32E42"/>
    <w:rsid w:val="00C33584"/>
    <w:rsid w:val="00C355B4"/>
    <w:rsid w:val="00C358C6"/>
    <w:rsid w:val="00C35C94"/>
    <w:rsid w:val="00C35CCA"/>
    <w:rsid w:val="00C36B79"/>
    <w:rsid w:val="00C3789F"/>
    <w:rsid w:val="00C37E77"/>
    <w:rsid w:val="00C40376"/>
    <w:rsid w:val="00C403FB"/>
    <w:rsid w:val="00C40C20"/>
    <w:rsid w:val="00C41A44"/>
    <w:rsid w:val="00C41D28"/>
    <w:rsid w:val="00C420C0"/>
    <w:rsid w:val="00C421D2"/>
    <w:rsid w:val="00C4266A"/>
    <w:rsid w:val="00C4281E"/>
    <w:rsid w:val="00C42841"/>
    <w:rsid w:val="00C429CB"/>
    <w:rsid w:val="00C43FAA"/>
    <w:rsid w:val="00C4408B"/>
    <w:rsid w:val="00C44120"/>
    <w:rsid w:val="00C445C0"/>
    <w:rsid w:val="00C44882"/>
    <w:rsid w:val="00C451B2"/>
    <w:rsid w:val="00C4553B"/>
    <w:rsid w:val="00C46C7E"/>
    <w:rsid w:val="00C46DAD"/>
    <w:rsid w:val="00C46F2D"/>
    <w:rsid w:val="00C474F7"/>
    <w:rsid w:val="00C5029B"/>
    <w:rsid w:val="00C50FFB"/>
    <w:rsid w:val="00C51383"/>
    <w:rsid w:val="00C5178F"/>
    <w:rsid w:val="00C529C9"/>
    <w:rsid w:val="00C52AA0"/>
    <w:rsid w:val="00C52E69"/>
    <w:rsid w:val="00C53904"/>
    <w:rsid w:val="00C539FA"/>
    <w:rsid w:val="00C53C40"/>
    <w:rsid w:val="00C54A9A"/>
    <w:rsid w:val="00C54E31"/>
    <w:rsid w:val="00C54E4E"/>
    <w:rsid w:val="00C5659C"/>
    <w:rsid w:val="00C579C6"/>
    <w:rsid w:val="00C606C0"/>
    <w:rsid w:val="00C60A58"/>
    <w:rsid w:val="00C611EF"/>
    <w:rsid w:val="00C61389"/>
    <w:rsid w:val="00C63537"/>
    <w:rsid w:val="00C63B97"/>
    <w:rsid w:val="00C63E4C"/>
    <w:rsid w:val="00C64C51"/>
    <w:rsid w:val="00C6585A"/>
    <w:rsid w:val="00C67675"/>
    <w:rsid w:val="00C67716"/>
    <w:rsid w:val="00C70C9A"/>
    <w:rsid w:val="00C70CCA"/>
    <w:rsid w:val="00C7127A"/>
    <w:rsid w:val="00C713D7"/>
    <w:rsid w:val="00C71798"/>
    <w:rsid w:val="00C74D7F"/>
    <w:rsid w:val="00C75515"/>
    <w:rsid w:val="00C76A33"/>
    <w:rsid w:val="00C8023B"/>
    <w:rsid w:val="00C80B95"/>
    <w:rsid w:val="00C80DCC"/>
    <w:rsid w:val="00C8107E"/>
    <w:rsid w:val="00C81676"/>
    <w:rsid w:val="00C818C5"/>
    <w:rsid w:val="00C81AC2"/>
    <w:rsid w:val="00C82037"/>
    <w:rsid w:val="00C8219B"/>
    <w:rsid w:val="00C821FE"/>
    <w:rsid w:val="00C82754"/>
    <w:rsid w:val="00C8292A"/>
    <w:rsid w:val="00C83545"/>
    <w:rsid w:val="00C83D45"/>
    <w:rsid w:val="00C845E6"/>
    <w:rsid w:val="00C847FA"/>
    <w:rsid w:val="00C84D6B"/>
    <w:rsid w:val="00C8577F"/>
    <w:rsid w:val="00C859B3"/>
    <w:rsid w:val="00C85EAF"/>
    <w:rsid w:val="00C878E8"/>
    <w:rsid w:val="00C87A79"/>
    <w:rsid w:val="00C87FB1"/>
    <w:rsid w:val="00C90A72"/>
    <w:rsid w:val="00C91D94"/>
    <w:rsid w:val="00C91E02"/>
    <w:rsid w:val="00C92306"/>
    <w:rsid w:val="00C92639"/>
    <w:rsid w:val="00C94383"/>
    <w:rsid w:val="00C949D9"/>
    <w:rsid w:val="00C95026"/>
    <w:rsid w:val="00C9670A"/>
    <w:rsid w:val="00C969DD"/>
    <w:rsid w:val="00C9707B"/>
    <w:rsid w:val="00C974E8"/>
    <w:rsid w:val="00C97546"/>
    <w:rsid w:val="00CA0AB5"/>
    <w:rsid w:val="00CA0C3E"/>
    <w:rsid w:val="00CA1177"/>
    <w:rsid w:val="00CA131B"/>
    <w:rsid w:val="00CA1540"/>
    <w:rsid w:val="00CA287E"/>
    <w:rsid w:val="00CA2B13"/>
    <w:rsid w:val="00CA3F40"/>
    <w:rsid w:val="00CA44C0"/>
    <w:rsid w:val="00CA44E6"/>
    <w:rsid w:val="00CA4B84"/>
    <w:rsid w:val="00CA5926"/>
    <w:rsid w:val="00CA5AD8"/>
    <w:rsid w:val="00CA5FFD"/>
    <w:rsid w:val="00CA6B80"/>
    <w:rsid w:val="00CA7139"/>
    <w:rsid w:val="00CA73A8"/>
    <w:rsid w:val="00CB084F"/>
    <w:rsid w:val="00CB127A"/>
    <w:rsid w:val="00CB1B38"/>
    <w:rsid w:val="00CB1D4D"/>
    <w:rsid w:val="00CB21C6"/>
    <w:rsid w:val="00CB22AF"/>
    <w:rsid w:val="00CB2894"/>
    <w:rsid w:val="00CB3DAB"/>
    <w:rsid w:val="00CB4B63"/>
    <w:rsid w:val="00CB4C30"/>
    <w:rsid w:val="00CB532E"/>
    <w:rsid w:val="00CB5663"/>
    <w:rsid w:val="00CB58CF"/>
    <w:rsid w:val="00CB61ED"/>
    <w:rsid w:val="00CB6518"/>
    <w:rsid w:val="00CB7FCB"/>
    <w:rsid w:val="00CC00CD"/>
    <w:rsid w:val="00CC0E2F"/>
    <w:rsid w:val="00CC14C5"/>
    <w:rsid w:val="00CC1A35"/>
    <w:rsid w:val="00CC1DFC"/>
    <w:rsid w:val="00CC2C34"/>
    <w:rsid w:val="00CC2D5F"/>
    <w:rsid w:val="00CC4A96"/>
    <w:rsid w:val="00CC5BE0"/>
    <w:rsid w:val="00CC5E3E"/>
    <w:rsid w:val="00CC670C"/>
    <w:rsid w:val="00CC786F"/>
    <w:rsid w:val="00CD080F"/>
    <w:rsid w:val="00CD1434"/>
    <w:rsid w:val="00CD1A2C"/>
    <w:rsid w:val="00CD2200"/>
    <w:rsid w:val="00CD22B2"/>
    <w:rsid w:val="00CD2709"/>
    <w:rsid w:val="00CD2B02"/>
    <w:rsid w:val="00CD39D4"/>
    <w:rsid w:val="00CD47FC"/>
    <w:rsid w:val="00CD4833"/>
    <w:rsid w:val="00CD4CEE"/>
    <w:rsid w:val="00CD4D21"/>
    <w:rsid w:val="00CD542B"/>
    <w:rsid w:val="00CD5688"/>
    <w:rsid w:val="00CD5978"/>
    <w:rsid w:val="00CD5988"/>
    <w:rsid w:val="00CD59EC"/>
    <w:rsid w:val="00CD5AB4"/>
    <w:rsid w:val="00CD5C2C"/>
    <w:rsid w:val="00CD5CFD"/>
    <w:rsid w:val="00CD5F34"/>
    <w:rsid w:val="00CD66AC"/>
    <w:rsid w:val="00CD6EED"/>
    <w:rsid w:val="00CD7A66"/>
    <w:rsid w:val="00CE026A"/>
    <w:rsid w:val="00CE041B"/>
    <w:rsid w:val="00CE170E"/>
    <w:rsid w:val="00CE1E15"/>
    <w:rsid w:val="00CE2F86"/>
    <w:rsid w:val="00CE33FA"/>
    <w:rsid w:val="00CE3652"/>
    <w:rsid w:val="00CE50B8"/>
    <w:rsid w:val="00CE72E3"/>
    <w:rsid w:val="00CE79BA"/>
    <w:rsid w:val="00CE7D43"/>
    <w:rsid w:val="00CF2AA3"/>
    <w:rsid w:val="00CF2CA1"/>
    <w:rsid w:val="00CF2EF6"/>
    <w:rsid w:val="00CF38A3"/>
    <w:rsid w:val="00CF397F"/>
    <w:rsid w:val="00CF404E"/>
    <w:rsid w:val="00CF4690"/>
    <w:rsid w:val="00CF4A4E"/>
    <w:rsid w:val="00CF4DAF"/>
    <w:rsid w:val="00CF532E"/>
    <w:rsid w:val="00CF55FB"/>
    <w:rsid w:val="00CF5675"/>
    <w:rsid w:val="00CF6B14"/>
    <w:rsid w:val="00CF7778"/>
    <w:rsid w:val="00CF7DE3"/>
    <w:rsid w:val="00D004A0"/>
    <w:rsid w:val="00D03273"/>
    <w:rsid w:val="00D04268"/>
    <w:rsid w:val="00D047D3"/>
    <w:rsid w:val="00D0488F"/>
    <w:rsid w:val="00D04F45"/>
    <w:rsid w:val="00D054BD"/>
    <w:rsid w:val="00D05E28"/>
    <w:rsid w:val="00D063D2"/>
    <w:rsid w:val="00D06D43"/>
    <w:rsid w:val="00D07E72"/>
    <w:rsid w:val="00D07F68"/>
    <w:rsid w:val="00D1038E"/>
    <w:rsid w:val="00D111AF"/>
    <w:rsid w:val="00D1185B"/>
    <w:rsid w:val="00D11E53"/>
    <w:rsid w:val="00D11F10"/>
    <w:rsid w:val="00D121E4"/>
    <w:rsid w:val="00D12348"/>
    <w:rsid w:val="00D1440B"/>
    <w:rsid w:val="00D147AB"/>
    <w:rsid w:val="00D14A78"/>
    <w:rsid w:val="00D150E7"/>
    <w:rsid w:val="00D1587C"/>
    <w:rsid w:val="00D15D40"/>
    <w:rsid w:val="00D16345"/>
    <w:rsid w:val="00D164E5"/>
    <w:rsid w:val="00D16E21"/>
    <w:rsid w:val="00D16E36"/>
    <w:rsid w:val="00D16E39"/>
    <w:rsid w:val="00D20355"/>
    <w:rsid w:val="00D20C61"/>
    <w:rsid w:val="00D2159B"/>
    <w:rsid w:val="00D228A3"/>
    <w:rsid w:val="00D23B7C"/>
    <w:rsid w:val="00D24CC2"/>
    <w:rsid w:val="00D24E22"/>
    <w:rsid w:val="00D250D0"/>
    <w:rsid w:val="00D25B15"/>
    <w:rsid w:val="00D2740A"/>
    <w:rsid w:val="00D30416"/>
    <w:rsid w:val="00D31F4A"/>
    <w:rsid w:val="00D32C9D"/>
    <w:rsid w:val="00D3549C"/>
    <w:rsid w:val="00D354B9"/>
    <w:rsid w:val="00D356F9"/>
    <w:rsid w:val="00D35D5C"/>
    <w:rsid w:val="00D361D0"/>
    <w:rsid w:val="00D37454"/>
    <w:rsid w:val="00D376C1"/>
    <w:rsid w:val="00D40159"/>
    <w:rsid w:val="00D40DDB"/>
    <w:rsid w:val="00D429EC"/>
    <w:rsid w:val="00D43978"/>
    <w:rsid w:val="00D44121"/>
    <w:rsid w:val="00D44846"/>
    <w:rsid w:val="00D454B6"/>
    <w:rsid w:val="00D46A77"/>
    <w:rsid w:val="00D478EC"/>
    <w:rsid w:val="00D502F1"/>
    <w:rsid w:val="00D50796"/>
    <w:rsid w:val="00D5088B"/>
    <w:rsid w:val="00D521EA"/>
    <w:rsid w:val="00D52852"/>
    <w:rsid w:val="00D52B1B"/>
    <w:rsid w:val="00D52CF7"/>
    <w:rsid w:val="00D53EA2"/>
    <w:rsid w:val="00D542C3"/>
    <w:rsid w:val="00D544C5"/>
    <w:rsid w:val="00D55CA0"/>
    <w:rsid w:val="00D55E8F"/>
    <w:rsid w:val="00D56AB8"/>
    <w:rsid w:val="00D57255"/>
    <w:rsid w:val="00D577D1"/>
    <w:rsid w:val="00D60192"/>
    <w:rsid w:val="00D60372"/>
    <w:rsid w:val="00D6148F"/>
    <w:rsid w:val="00D626A3"/>
    <w:rsid w:val="00D63081"/>
    <w:rsid w:val="00D63787"/>
    <w:rsid w:val="00D6420F"/>
    <w:rsid w:val="00D64459"/>
    <w:rsid w:val="00D644AA"/>
    <w:rsid w:val="00D64797"/>
    <w:rsid w:val="00D64CCE"/>
    <w:rsid w:val="00D65554"/>
    <w:rsid w:val="00D66450"/>
    <w:rsid w:val="00D70679"/>
    <w:rsid w:val="00D70901"/>
    <w:rsid w:val="00D710DF"/>
    <w:rsid w:val="00D729F6"/>
    <w:rsid w:val="00D72E9D"/>
    <w:rsid w:val="00D73D07"/>
    <w:rsid w:val="00D73D62"/>
    <w:rsid w:val="00D74389"/>
    <w:rsid w:val="00D74E75"/>
    <w:rsid w:val="00D7538F"/>
    <w:rsid w:val="00D7663C"/>
    <w:rsid w:val="00D76689"/>
    <w:rsid w:val="00D7722E"/>
    <w:rsid w:val="00D80E2D"/>
    <w:rsid w:val="00D80EB6"/>
    <w:rsid w:val="00D81B3A"/>
    <w:rsid w:val="00D82056"/>
    <w:rsid w:val="00D82CE5"/>
    <w:rsid w:val="00D83D88"/>
    <w:rsid w:val="00D8437F"/>
    <w:rsid w:val="00D84C74"/>
    <w:rsid w:val="00D84D9D"/>
    <w:rsid w:val="00D84EFE"/>
    <w:rsid w:val="00D84F1E"/>
    <w:rsid w:val="00D854F8"/>
    <w:rsid w:val="00D856F4"/>
    <w:rsid w:val="00D90A4E"/>
    <w:rsid w:val="00D90C79"/>
    <w:rsid w:val="00D9244A"/>
    <w:rsid w:val="00D927D2"/>
    <w:rsid w:val="00D9294F"/>
    <w:rsid w:val="00D92C46"/>
    <w:rsid w:val="00D9457C"/>
    <w:rsid w:val="00D96A62"/>
    <w:rsid w:val="00D96B0B"/>
    <w:rsid w:val="00D9727E"/>
    <w:rsid w:val="00D97A59"/>
    <w:rsid w:val="00DA01E8"/>
    <w:rsid w:val="00DA0AC7"/>
    <w:rsid w:val="00DA0FD1"/>
    <w:rsid w:val="00DA17CF"/>
    <w:rsid w:val="00DA1A20"/>
    <w:rsid w:val="00DA1E8F"/>
    <w:rsid w:val="00DA28E9"/>
    <w:rsid w:val="00DA2FF5"/>
    <w:rsid w:val="00DA3222"/>
    <w:rsid w:val="00DA3452"/>
    <w:rsid w:val="00DA499F"/>
    <w:rsid w:val="00DA4FD9"/>
    <w:rsid w:val="00DA5253"/>
    <w:rsid w:val="00DA5AB1"/>
    <w:rsid w:val="00DA6996"/>
    <w:rsid w:val="00DA6EE1"/>
    <w:rsid w:val="00DA7078"/>
    <w:rsid w:val="00DA72B4"/>
    <w:rsid w:val="00DB12BD"/>
    <w:rsid w:val="00DB236B"/>
    <w:rsid w:val="00DB2BFA"/>
    <w:rsid w:val="00DB2EB1"/>
    <w:rsid w:val="00DB3448"/>
    <w:rsid w:val="00DB3C24"/>
    <w:rsid w:val="00DB44D8"/>
    <w:rsid w:val="00DB49AA"/>
    <w:rsid w:val="00DB5ED4"/>
    <w:rsid w:val="00DB6093"/>
    <w:rsid w:val="00DB61B2"/>
    <w:rsid w:val="00DB6533"/>
    <w:rsid w:val="00DB73EC"/>
    <w:rsid w:val="00DB768D"/>
    <w:rsid w:val="00DB796B"/>
    <w:rsid w:val="00DC0ED5"/>
    <w:rsid w:val="00DC26AB"/>
    <w:rsid w:val="00DC2BC5"/>
    <w:rsid w:val="00DC32BD"/>
    <w:rsid w:val="00DC33DC"/>
    <w:rsid w:val="00DC3D67"/>
    <w:rsid w:val="00DC40BD"/>
    <w:rsid w:val="00DC443C"/>
    <w:rsid w:val="00DC4962"/>
    <w:rsid w:val="00DC578F"/>
    <w:rsid w:val="00DC5D0C"/>
    <w:rsid w:val="00DC62E5"/>
    <w:rsid w:val="00DC6ACC"/>
    <w:rsid w:val="00DC6C76"/>
    <w:rsid w:val="00DC7561"/>
    <w:rsid w:val="00DD160B"/>
    <w:rsid w:val="00DD1C18"/>
    <w:rsid w:val="00DD2116"/>
    <w:rsid w:val="00DD21A2"/>
    <w:rsid w:val="00DD2D30"/>
    <w:rsid w:val="00DD31A9"/>
    <w:rsid w:val="00DD3432"/>
    <w:rsid w:val="00DD5E33"/>
    <w:rsid w:val="00DD6339"/>
    <w:rsid w:val="00DD735D"/>
    <w:rsid w:val="00DD7602"/>
    <w:rsid w:val="00DD7D8D"/>
    <w:rsid w:val="00DE03D6"/>
    <w:rsid w:val="00DE0618"/>
    <w:rsid w:val="00DE0A17"/>
    <w:rsid w:val="00DE0BE3"/>
    <w:rsid w:val="00DE1FEF"/>
    <w:rsid w:val="00DE279B"/>
    <w:rsid w:val="00DE2F27"/>
    <w:rsid w:val="00DE3119"/>
    <w:rsid w:val="00DE3ABA"/>
    <w:rsid w:val="00DE4CF0"/>
    <w:rsid w:val="00DE4D23"/>
    <w:rsid w:val="00DE5084"/>
    <w:rsid w:val="00DE5723"/>
    <w:rsid w:val="00DE6489"/>
    <w:rsid w:val="00DE683C"/>
    <w:rsid w:val="00DE6B11"/>
    <w:rsid w:val="00DE6E79"/>
    <w:rsid w:val="00DE6FE1"/>
    <w:rsid w:val="00DE70DC"/>
    <w:rsid w:val="00DE7D1A"/>
    <w:rsid w:val="00DF0AB4"/>
    <w:rsid w:val="00DF0AE3"/>
    <w:rsid w:val="00DF1287"/>
    <w:rsid w:val="00DF1308"/>
    <w:rsid w:val="00DF16DA"/>
    <w:rsid w:val="00DF1DAA"/>
    <w:rsid w:val="00DF236B"/>
    <w:rsid w:val="00DF29D3"/>
    <w:rsid w:val="00DF3E38"/>
    <w:rsid w:val="00DF5090"/>
    <w:rsid w:val="00DF6ACD"/>
    <w:rsid w:val="00DF78DE"/>
    <w:rsid w:val="00DF79C3"/>
    <w:rsid w:val="00E000C8"/>
    <w:rsid w:val="00E00110"/>
    <w:rsid w:val="00E008F1"/>
    <w:rsid w:val="00E01453"/>
    <w:rsid w:val="00E017C4"/>
    <w:rsid w:val="00E048EE"/>
    <w:rsid w:val="00E04A00"/>
    <w:rsid w:val="00E04C9B"/>
    <w:rsid w:val="00E056B2"/>
    <w:rsid w:val="00E06F42"/>
    <w:rsid w:val="00E0740A"/>
    <w:rsid w:val="00E07843"/>
    <w:rsid w:val="00E07FE6"/>
    <w:rsid w:val="00E10A6D"/>
    <w:rsid w:val="00E113F7"/>
    <w:rsid w:val="00E116A9"/>
    <w:rsid w:val="00E11FC1"/>
    <w:rsid w:val="00E13AB8"/>
    <w:rsid w:val="00E13FD3"/>
    <w:rsid w:val="00E14299"/>
    <w:rsid w:val="00E144AB"/>
    <w:rsid w:val="00E17C49"/>
    <w:rsid w:val="00E17EE1"/>
    <w:rsid w:val="00E206ED"/>
    <w:rsid w:val="00E21256"/>
    <w:rsid w:val="00E21494"/>
    <w:rsid w:val="00E217A5"/>
    <w:rsid w:val="00E21B32"/>
    <w:rsid w:val="00E22BCE"/>
    <w:rsid w:val="00E238B4"/>
    <w:rsid w:val="00E2399D"/>
    <w:rsid w:val="00E23B36"/>
    <w:rsid w:val="00E240CB"/>
    <w:rsid w:val="00E240E7"/>
    <w:rsid w:val="00E24EBF"/>
    <w:rsid w:val="00E25161"/>
    <w:rsid w:val="00E251D4"/>
    <w:rsid w:val="00E2553E"/>
    <w:rsid w:val="00E2799E"/>
    <w:rsid w:val="00E27B26"/>
    <w:rsid w:val="00E3090F"/>
    <w:rsid w:val="00E327A8"/>
    <w:rsid w:val="00E329F7"/>
    <w:rsid w:val="00E335CF"/>
    <w:rsid w:val="00E33B62"/>
    <w:rsid w:val="00E33CB5"/>
    <w:rsid w:val="00E3568A"/>
    <w:rsid w:val="00E36BAD"/>
    <w:rsid w:val="00E36E37"/>
    <w:rsid w:val="00E36FBA"/>
    <w:rsid w:val="00E37D12"/>
    <w:rsid w:val="00E37E82"/>
    <w:rsid w:val="00E40158"/>
    <w:rsid w:val="00E41A26"/>
    <w:rsid w:val="00E425E7"/>
    <w:rsid w:val="00E42CEA"/>
    <w:rsid w:val="00E42F9D"/>
    <w:rsid w:val="00E432B4"/>
    <w:rsid w:val="00E43828"/>
    <w:rsid w:val="00E43A2C"/>
    <w:rsid w:val="00E43A34"/>
    <w:rsid w:val="00E449E0"/>
    <w:rsid w:val="00E44D4E"/>
    <w:rsid w:val="00E45104"/>
    <w:rsid w:val="00E453B7"/>
    <w:rsid w:val="00E45D1C"/>
    <w:rsid w:val="00E46467"/>
    <w:rsid w:val="00E467FE"/>
    <w:rsid w:val="00E4777A"/>
    <w:rsid w:val="00E50019"/>
    <w:rsid w:val="00E52D01"/>
    <w:rsid w:val="00E54AE8"/>
    <w:rsid w:val="00E5557F"/>
    <w:rsid w:val="00E5588F"/>
    <w:rsid w:val="00E60196"/>
    <w:rsid w:val="00E60756"/>
    <w:rsid w:val="00E618EA"/>
    <w:rsid w:val="00E61E09"/>
    <w:rsid w:val="00E62ACD"/>
    <w:rsid w:val="00E62C5F"/>
    <w:rsid w:val="00E63108"/>
    <w:rsid w:val="00E6402F"/>
    <w:rsid w:val="00E6457F"/>
    <w:rsid w:val="00E64B60"/>
    <w:rsid w:val="00E66E98"/>
    <w:rsid w:val="00E6724C"/>
    <w:rsid w:val="00E67E83"/>
    <w:rsid w:val="00E7057D"/>
    <w:rsid w:val="00E70C56"/>
    <w:rsid w:val="00E71AEB"/>
    <w:rsid w:val="00E72E97"/>
    <w:rsid w:val="00E737A7"/>
    <w:rsid w:val="00E7503A"/>
    <w:rsid w:val="00E7556E"/>
    <w:rsid w:val="00E768B7"/>
    <w:rsid w:val="00E76D76"/>
    <w:rsid w:val="00E76F51"/>
    <w:rsid w:val="00E76F61"/>
    <w:rsid w:val="00E7700C"/>
    <w:rsid w:val="00E776ED"/>
    <w:rsid w:val="00E77D22"/>
    <w:rsid w:val="00E80C3F"/>
    <w:rsid w:val="00E8112D"/>
    <w:rsid w:val="00E81AFD"/>
    <w:rsid w:val="00E832F8"/>
    <w:rsid w:val="00E8330E"/>
    <w:rsid w:val="00E83789"/>
    <w:rsid w:val="00E854A0"/>
    <w:rsid w:val="00E86E90"/>
    <w:rsid w:val="00E87315"/>
    <w:rsid w:val="00E90810"/>
    <w:rsid w:val="00E91203"/>
    <w:rsid w:val="00E91477"/>
    <w:rsid w:val="00E91585"/>
    <w:rsid w:val="00E915AC"/>
    <w:rsid w:val="00E9178F"/>
    <w:rsid w:val="00E917AE"/>
    <w:rsid w:val="00E91DA5"/>
    <w:rsid w:val="00E92488"/>
    <w:rsid w:val="00E9442D"/>
    <w:rsid w:val="00E94DA3"/>
    <w:rsid w:val="00E970AD"/>
    <w:rsid w:val="00E97548"/>
    <w:rsid w:val="00E9754A"/>
    <w:rsid w:val="00E9760B"/>
    <w:rsid w:val="00E97CC7"/>
    <w:rsid w:val="00E97E46"/>
    <w:rsid w:val="00EA04EF"/>
    <w:rsid w:val="00EA1131"/>
    <w:rsid w:val="00EA3483"/>
    <w:rsid w:val="00EA38C4"/>
    <w:rsid w:val="00EA6BEE"/>
    <w:rsid w:val="00EA704D"/>
    <w:rsid w:val="00EA79EB"/>
    <w:rsid w:val="00EB0DF1"/>
    <w:rsid w:val="00EB372E"/>
    <w:rsid w:val="00EB3AB3"/>
    <w:rsid w:val="00EB5145"/>
    <w:rsid w:val="00EB7836"/>
    <w:rsid w:val="00EB7E20"/>
    <w:rsid w:val="00EC08B0"/>
    <w:rsid w:val="00EC2A8B"/>
    <w:rsid w:val="00EC3B81"/>
    <w:rsid w:val="00EC443D"/>
    <w:rsid w:val="00EC4988"/>
    <w:rsid w:val="00EC4A47"/>
    <w:rsid w:val="00EC58BE"/>
    <w:rsid w:val="00EC5A9E"/>
    <w:rsid w:val="00EC5E1B"/>
    <w:rsid w:val="00EC5F41"/>
    <w:rsid w:val="00EC60CB"/>
    <w:rsid w:val="00EC7091"/>
    <w:rsid w:val="00EC7470"/>
    <w:rsid w:val="00EC7A53"/>
    <w:rsid w:val="00EC7B4C"/>
    <w:rsid w:val="00ED009B"/>
    <w:rsid w:val="00ED0667"/>
    <w:rsid w:val="00ED0F19"/>
    <w:rsid w:val="00ED2EB1"/>
    <w:rsid w:val="00ED2EFF"/>
    <w:rsid w:val="00ED3700"/>
    <w:rsid w:val="00ED3AC7"/>
    <w:rsid w:val="00ED3BF4"/>
    <w:rsid w:val="00ED4234"/>
    <w:rsid w:val="00ED42A5"/>
    <w:rsid w:val="00ED76E2"/>
    <w:rsid w:val="00ED7F90"/>
    <w:rsid w:val="00EE094E"/>
    <w:rsid w:val="00EE1CCD"/>
    <w:rsid w:val="00EE4DB7"/>
    <w:rsid w:val="00EE5189"/>
    <w:rsid w:val="00EE6BC8"/>
    <w:rsid w:val="00EE6E21"/>
    <w:rsid w:val="00EE7272"/>
    <w:rsid w:val="00EE776B"/>
    <w:rsid w:val="00EE7C4F"/>
    <w:rsid w:val="00EF15DA"/>
    <w:rsid w:val="00EF16DD"/>
    <w:rsid w:val="00EF2FB0"/>
    <w:rsid w:val="00EF3555"/>
    <w:rsid w:val="00EF3915"/>
    <w:rsid w:val="00EF51E8"/>
    <w:rsid w:val="00EF6403"/>
    <w:rsid w:val="00EF66A8"/>
    <w:rsid w:val="00EF66D5"/>
    <w:rsid w:val="00EF66D6"/>
    <w:rsid w:val="00EF7EB1"/>
    <w:rsid w:val="00F01322"/>
    <w:rsid w:val="00F02183"/>
    <w:rsid w:val="00F038E5"/>
    <w:rsid w:val="00F03B2B"/>
    <w:rsid w:val="00F04511"/>
    <w:rsid w:val="00F04CC2"/>
    <w:rsid w:val="00F058FE"/>
    <w:rsid w:val="00F05D63"/>
    <w:rsid w:val="00F05F75"/>
    <w:rsid w:val="00F06B15"/>
    <w:rsid w:val="00F06C4D"/>
    <w:rsid w:val="00F06C51"/>
    <w:rsid w:val="00F0755F"/>
    <w:rsid w:val="00F07DD0"/>
    <w:rsid w:val="00F109B1"/>
    <w:rsid w:val="00F10EDE"/>
    <w:rsid w:val="00F10F67"/>
    <w:rsid w:val="00F1157D"/>
    <w:rsid w:val="00F11CF5"/>
    <w:rsid w:val="00F11EDA"/>
    <w:rsid w:val="00F121A8"/>
    <w:rsid w:val="00F1301C"/>
    <w:rsid w:val="00F134D2"/>
    <w:rsid w:val="00F13DF7"/>
    <w:rsid w:val="00F13E07"/>
    <w:rsid w:val="00F145B8"/>
    <w:rsid w:val="00F155B7"/>
    <w:rsid w:val="00F15A44"/>
    <w:rsid w:val="00F160B9"/>
    <w:rsid w:val="00F16C53"/>
    <w:rsid w:val="00F17613"/>
    <w:rsid w:val="00F176B9"/>
    <w:rsid w:val="00F20348"/>
    <w:rsid w:val="00F20F65"/>
    <w:rsid w:val="00F23A10"/>
    <w:rsid w:val="00F24361"/>
    <w:rsid w:val="00F246FE"/>
    <w:rsid w:val="00F26EF6"/>
    <w:rsid w:val="00F277D0"/>
    <w:rsid w:val="00F27A52"/>
    <w:rsid w:val="00F30A5C"/>
    <w:rsid w:val="00F3240B"/>
    <w:rsid w:val="00F34720"/>
    <w:rsid w:val="00F354B5"/>
    <w:rsid w:val="00F355D3"/>
    <w:rsid w:val="00F368C1"/>
    <w:rsid w:val="00F36B58"/>
    <w:rsid w:val="00F36E11"/>
    <w:rsid w:val="00F37460"/>
    <w:rsid w:val="00F379A3"/>
    <w:rsid w:val="00F37C6E"/>
    <w:rsid w:val="00F404F8"/>
    <w:rsid w:val="00F41D25"/>
    <w:rsid w:val="00F421CA"/>
    <w:rsid w:val="00F42730"/>
    <w:rsid w:val="00F43565"/>
    <w:rsid w:val="00F449FE"/>
    <w:rsid w:val="00F44CA3"/>
    <w:rsid w:val="00F452B6"/>
    <w:rsid w:val="00F45AD2"/>
    <w:rsid w:val="00F46903"/>
    <w:rsid w:val="00F46AAC"/>
    <w:rsid w:val="00F47B8F"/>
    <w:rsid w:val="00F50393"/>
    <w:rsid w:val="00F5072C"/>
    <w:rsid w:val="00F50F9E"/>
    <w:rsid w:val="00F517D0"/>
    <w:rsid w:val="00F52D4A"/>
    <w:rsid w:val="00F53D1B"/>
    <w:rsid w:val="00F555DB"/>
    <w:rsid w:val="00F55AA3"/>
    <w:rsid w:val="00F562BD"/>
    <w:rsid w:val="00F56B73"/>
    <w:rsid w:val="00F57B5D"/>
    <w:rsid w:val="00F60049"/>
    <w:rsid w:val="00F608B9"/>
    <w:rsid w:val="00F60DB7"/>
    <w:rsid w:val="00F60E91"/>
    <w:rsid w:val="00F61159"/>
    <w:rsid w:val="00F6156F"/>
    <w:rsid w:val="00F62302"/>
    <w:rsid w:val="00F62DA6"/>
    <w:rsid w:val="00F62E77"/>
    <w:rsid w:val="00F63738"/>
    <w:rsid w:val="00F701A7"/>
    <w:rsid w:val="00F71570"/>
    <w:rsid w:val="00F7173E"/>
    <w:rsid w:val="00F71883"/>
    <w:rsid w:val="00F726FC"/>
    <w:rsid w:val="00F72899"/>
    <w:rsid w:val="00F728C3"/>
    <w:rsid w:val="00F72BAE"/>
    <w:rsid w:val="00F7558E"/>
    <w:rsid w:val="00F76205"/>
    <w:rsid w:val="00F801B3"/>
    <w:rsid w:val="00F803F1"/>
    <w:rsid w:val="00F809EF"/>
    <w:rsid w:val="00F81111"/>
    <w:rsid w:val="00F8177B"/>
    <w:rsid w:val="00F81B47"/>
    <w:rsid w:val="00F83810"/>
    <w:rsid w:val="00F83B75"/>
    <w:rsid w:val="00F8417C"/>
    <w:rsid w:val="00F845A1"/>
    <w:rsid w:val="00F84899"/>
    <w:rsid w:val="00F8492C"/>
    <w:rsid w:val="00F85499"/>
    <w:rsid w:val="00F859F0"/>
    <w:rsid w:val="00F86883"/>
    <w:rsid w:val="00F8789E"/>
    <w:rsid w:val="00F91CA6"/>
    <w:rsid w:val="00F92E29"/>
    <w:rsid w:val="00F93448"/>
    <w:rsid w:val="00F94AEF"/>
    <w:rsid w:val="00FA06A3"/>
    <w:rsid w:val="00FA0AD1"/>
    <w:rsid w:val="00FA0E3E"/>
    <w:rsid w:val="00FA273C"/>
    <w:rsid w:val="00FA2ACB"/>
    <w:rsid w:val="00FA310C"/>
    <w:rsid w:val="00FA3B5A"/>
    <w:rsid w:val="00FA40C0"/>
    <w:rsid w:val="00FA4A30"/>
    <w:rsid w:val="00FA4B7C"/>
    <w:rsid w:val="00FA4CDC"/>
    <w:rsid w:val="00FA540E"/>
    <w:rsid w:val="00FA6587"/>
    <w:rsid w:val="00FA6DE2"/>
    <w:rsid w:val="00FA723D"/>
    <w:rsid w:val="00FB0175"/>
    <w:rsid w:val="00FB0D40"/>
    <w:rsid w:val="00FB301D"/>
    <w:rsid w:val="00FB42FF"/>
    <w:rsid w:val="00FB47F3"/>
    <w:rsid w:val="00FB516F"/>
    <w:rsid w:val="00FB5564"/>
    <w:rsid w:val="00FB58AF"/>
    <w:rsid w:val="00FB5BF9"/>
    <w:rsid w:val="00FC0B6A"/>
    <w:rsid w:val="00FC0F82"/>
    <w:rsid w:val="00FC2CD1"/>
    <w:rsid w:val="00FC3D45"/>
    <w:rsid w:val="00FC4647"/>
    <w:rsid w:val="00FC6EB3"/>
    <w:rsid w:val="00FC711A"/>
    <w:rsid w:val="00FC7299"/>
    <w:rsid w:val="00FC7C2E"/>
    <w:rsid w:val="00FC7F10"/>
    <w:rsid w:val="00FD019A"/>
    <w:rsid w:val="00FD140C"/>
    <w:rsid w:val="00FD2533"/>
    <w:rsid w:val="00FD3213"/>
    <w:rsid w:val="00FD3A2E"/>
    <w:rsid w:val="00FD4AFF"/>
    <w:rsid w:val="00FD50F2"/>
    <w:rsid w:val="00FD674C"/>
    <w:rsid w:val="00FD7130"/>
    <w:rsid w:val="00FD7A75"/>
    <w:rsid w:val="00FD7C2D"/>
    <w:rsid w:val="00FD7C89"/>
    <w:rsid w:val="00FE0395"/>
    <w:rsid w:val="00FE0DC4"/>
    <w:rsid w:val="00FE0E9C"/>
    <w:rsid w:val="00FE0EBA"/>
    <w:rsid w:val="00FE125A"/>
    <w:rsid w:val="00FE141E"/>
    <w:rsid w:val="00FE1AF1"/>
    <w:rsid w:val="00FE24F4"/>
    <w:rsid w:val="00FE2A33"/>
    <w:rsid w:val="00FE46AA"/>
    <w:rsid w:val="00FE5ECC"/>
    <w:rsid w:val="00FE65B4"/>
    <w:rsid w:val="00FE674D"/>
    <w:rsid w:val="00FF10B9"/>
    <w:rsid w:val="00FF2832"/>
    <w:rsid w:val="00FF3657"/>
    <w:rsid w:val="00FF417D"/>
    <w:rsid w:val="00FF49BD"/>
    <w:rsid w:val="00FF4A64"/>
    <w:rsid w:val="00FF521D"/>
    <w:rsid w:val="00FF5C43"/>
    <w:rsid w:val="00FF5EBA"/>
    <w:rsid w:val="00FF60FB"/>
    <w:rsid w:val="00FF66DD"/>
    <w:rsid w:val="00FF6C03"/>
    <w:rsid w:val="00FF6F65"/>
    <w:rsid w:val="00FF7737"/>
    <w:rsid w:val="00FF773A"/>
    <w:rsid w:val="00FF7E87"/>
    <w:rsid w:val="03C30222"/>
    <w:rsid w:val="127BF070"/>
    <w:rsid w:val="1756A024"/>
    <w:rsid w:val="33DBE69E"/>
    <w:rsid w:val="374C1BEF"/>
    <w:rsid w:val="4AD19253"/>
    <w:rsid w:val="73FCB413"/>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A38B7638-A09F-430D-BC5A-CEE741865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4EC"/>
    <w:rPr>
      <w:sz w:val="24"/>
      <w:lang w:val="es-MX"/>
    </w:rPr>
  </w:style>
  <w:style w:type="paragraph" w:styleId="Ttulo1">
    <w:name w:val="heading 1"/>
    <w:basedOn w:val="Normal"/>
    <w:next w:val="Normal"/>
    <w:link w:val="Ttulo1Car"/>
    <w:qFormat/>
    <w:rsid w:val="00050E2C"/>
    <w:pPr>
      <w:keepNext/>
      <w:numPr>
        <w:numId w:val="17"/>
      </w:numPr>
      <w:spacing w:before="240" w:after="60" w:line="240" w:lineRule="auto"/>
      <w:jc w:val="left"/>
      <w:outlineLvl w:val="0"/>
    </w:pPr>
    <w:rPr>
      <w:rFonts w:ascii="Arial" w:eastAsia="Times New Roman" w:hAnsi="Arial" w:cs="Arial"/>
      <w:b/>
      <w:bCs/>
      <w:kern w:val="32"/>
      <w:sz w:val="32"/>
      <w:szCs w:val="32"/>
      <w:lang w:val="es-ES" w:eastAsia="es-ES"/>
    </w:rPr>
  </w:style>
  <w:style w:type="paragraph" w:styleId="Ttulo2">
    <w:name w:val="heading 2"/>
    <w:basedOn w:val="Normal"/>
    <w:next w:val="Normal"/>
    <w:link w:val="Ttulo2Car"/>
    <w:qFormat/>
    <w:rsid w:val="00050E2C"/>
    <w:pPr>
      <w:keepNext/>
      <w:numPr>
        <w:ilvl w:val="1"/>
        <w:numId w:val="17"/>
      </w:numPr>
      <w:spacing w:before="240" w:after="60" w:line="240" w:lineRule="auto"/>
      <w:jc w:val="left"/>
      <w:outlineLvl w:val="1"/>
    </w:pPr>
    <w:rPr>
      <w:rFonts w:ascii="Arial" w:eastAsia="Times New Roman" w:hAnsi="Arial" w:cs="Arial"/>
      <w:b/>
      <w:bCs/>
      <w:i/>
      <w:iCs/>
      <w:sz w:val="28"/>
      <w:szCs w:val="28"/>
      <w:lang w:val="es-ES" w:eastAsia="es-ES"/>
    </w:rPr>
  </w:style>
  <w:style w:type="paragraph" w:styleId="Ttulo3">
    <w:name w:val="heading 3"/>
    <w:basedOn w:val="Normal"/>
    <w:next w:val="Normal"/>
    <w:link w:val="Ttulo3Car"/>
    <w:qFormat/>
    <w:rsid w:val="00050E2C"/>
    <w:pPr>
      <w:keepNext/>
      <w:numPr>
        <w:ilvl w:val="2"/>
        <w:numId w:val="17"/>
      </w:numPr>
      <w:spacing w:before="240" w:after="60" w:line="240" w:lineRule="auto"/>
      <w:jc w:val="left"/>
      <w:outlineLvl w:val="2"/>
    </w:pPr>
    <w:rPr>
      <w:rFonts w:ascii="Arial" w:eastAsia="Times New Roman" w:hAnsi="Arial" w:cs="Arial"/>
      <w:b/>
      <w:bCs/>
      <w:sz w:val="26"/>
      <w:szCs w:val="26"/>
      <w:lang w:val="es-ES" w:eastAsia="es-ES"/>
    </w:rPr>
  </w:style>
  <w:style w:type="paragraph" w:styleId="Ttulo4">
    <w:name w:val="heading 4"/>
    <w:basedOn w:val="Normal"/>
    <w:next w:val="Normal"/>
    <w:link w:val="Ttulo4Car"/>
    <w:qFormat/>
    <w:rsid w:val="00050E2C"/>
    <w:pPr>
      <w:keepNext/>
      <w:numPr>
        <w:ilvl w:val="3"/>
        <w:numId w:val="17"/>
      </w:numPr>
      <w:spacing w:before="240" w:after="60" w:line="240" w:lineRule="auto"/>
      <w:jc w:val="left"/>
      <w:outlineLvl w:val="3"/>
    </w:pPr>
    <w:rPr>
      <w:rFonts w:ascii="Times New Roman" w:eastAsia="Times New Roman" w:hAnsi="Times New Roman" w:cs="Times New Roman"/>
      <w:b/>
      <w:bCs/>
      <w:sz w:val="28"/>
      <w:szCs w:val="28"/>
      <w:lang w:val="es-ES" w:eastAsia="es-ES"/>
    </w:rPr>
  </w:style>
  <w:style w:type="paragraph" w:styleId="Ttulo5">
    <w:name w:val="heading 5"/>
    <w:basedOn w:val="Normal"/>
    <w:next w:val="Normal"/>
    <w:link w:val="Ttulo5Car"/>
    <w:qFormat/>
    <w:rsid w:val="00050E2C"/>
    <w:pPr>
      <w:numPr>
        <w:ilvl w:val="4"/>
        <w:numId w:val="17"/>
      </w:numPr>
      <w:spacing w:before="240" w:after="60" w:line="240" w:lineRule="auto"/>
      <w:jc w:val="left"/>
      <w:outlineLvl w:val="4"/>
    </w:pPr>
    <w:rPr>
      <w:rFonts w:ascii="Times New Roman" w:eastAsia="Times New Roman" w:hAnsi="Times New Roman" w:cs="Times New Roman"/>
      <w:b/>
      <w:bCs/>
      <w:i/>
      <w:iCs/>
      <w:sz w:val="26"/>
      <w:szCs w:val="26"/>
      <w:lang w:val="es-ES" w:eastAsia="es-ES"/>
    </w:rPr>
  </w:style>
  <w:style w:type="paragraph" w:styleId="Ttulo6">
    <w:name w:val="heading 6"/>
    <w:basedOn w:val="Normal"/>
    <w:next w:val="Normal"/>
    <w:link w:val="Ttulo6Car"/>
    <w:qFormat/>
    <w:rsid w:val="00050E2C"/>
    <w:pPr>
      <w:numPr>
        <w:ilvl w:val="5"/>
        <w:numId w:val="17"/>
      </w:numPr>
      <w:spacing w:before="240" w:after="60" w:line="240" w:lineRule="auto"/>
      <w:jc w:val="left"/>
      <w:outlineLvl w:val="5"/>
    </w:pPr>
    <w:rPr>
      <w:rFonts w:ascii="Times New Roman" w:eastAsia="Times New Roman" w:hAnsi="Times New Roman" w:cs="Times New Roman"/>
      <w:b/>
      <w:bCs/>
      <w:sz w:val="22"/>
      <w:lang w:val="es-ES" w:eastAsia="es-ES"/>
    </w:rPr>
  </w:style>
  <w:style w:type="paragraph" w:styleId="Ttulo7">
    <w:name w:val="heading 7"/>
    <w:basedOn w:val="Normal"/>
    <w:next w:val="Normal"/>
    <w:link w:val="Ttulo7Car"/>
    <w:qFormat/>
    <w:rsid w:val="00050E2C"/>
    <w:pPr>
      <w:numPr>
        <w:ilvl w:val="6"/>
        <w:numId w:val="17"/>
      </w:numPr>
      <w:spacing w:before="240" w:after="60" w:line="240" w:lineRule="auto"/>
      <w:jc w:val="left"/>
      <w:outlineLvl w:val="6"/>
    </w:pPr>
    <w:rPr>
      <w:rFonts w:ascii="Times New Roman" w:eastAsia="Times New Roman" w:hAnsi="Times New Roman" w:cs="Times New Roman"/>
      <w:szCs w:val="24"/>
      <w:lang w:val="es-ES" w:eastAsia="es-ES"/>
    </w:rPr>
  </w:style>
  <w:style w:type="paragraph" w:styleId="Ttulo8">
    <w:name w:val="heading 8"/>
    <w:basedOn w:val="Normal"/>
    <w:next w:val="Normal"/>
    <w:link w:val="Ttulo8Car"/>
    <w:qFormat/>
    <w:rsid w:val="00050E2C"/>
    <w:pPr>
      <w:numPr>
        <w:ilvl w:val="7"/>
        <w:numId w:val="17"/>
      </w:numPr>
      <w:spacing w:before="240" w:after="60" w:line="240" w:lineRule="auto"/>
      <w:jc w:val="left"/>
      <w:outlineLvl w:val="7"/>
    </w:pPr>
    <w:rPr>
      <w:rFonts w:ascii="Times New Roman" w:eastAsia="Times New Roman" w:hAnsi="Times New Roman" w:cs="Times New Roman"/>
      <w:i/>
      <w:iCs/>
      <w:szCs w:val="24"/>
      <w:lang w:val="es-ES" w:eastAsia="es-ES"/>
    </w:rPr>
  </w:style>
  <w:style w:type="paragraph" w:styleId="Ttulo9">
    <w:name w:val="heading 9"/>
    <w:basedOn w:val="Normal"/>
    <w:next w:val="Normal"/>
    <w:link w:val="Ttulo9Car"/>
    <w:qFormat/>
    <w:rsid w:val="00050E2C"/>
    <w:pPr>
      <w:numPr>
        <w:ilvl w:val="8"/>
        <w:numId w:val="17"/>
      </w:numPr>
      <w:spacing w:before="240" w:after="60" w:line="240" w:lineRule="auto"/>
      <w:jc w:val="left"/>
      <w:outlineLvl w:val="8"/>
    </w:pPr>
    <w:rPr>
      <w:rFonts w:ascii="Arial" w:eastAsia="Times New Roman" w:hAnsi="Arial" w:cs="Arial"/>
      <w:sz w:val="22"/>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sz w:val="20"/>
      <w:szCs w:val="20"/>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R"/>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uiPriority w:val="99"/>
    <w:qFormat/>
    <w:rsid w:val="007B0854"/>
    <w:pPr>
      <w:keepNext/>
      <w:spacing w:before="120"/>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7B0854"/>
    <w:rPr>
      <w:vertAlign w:val="superscript"/>
    </w:rPr>
  </w:style>
  <w:style w:type="paragraph" w:customStyle="1" w:styleId="pa22">
    <w:name w:val="pa22"/>
    <w:basedOn w:val="Normal"/>
    <w:rsid w:val="00887B15"/>
    <w:pPr>
      <w:spacing w:before="100" w:beforeAutospacing="1" w:after="100" w:afterAutospacing="1"/>
    </w:pPr>
    <w:rPr>
      <w:rFonts w:ascii="Times New Roman" w:eastAsia="Times New Roman" w:hAnsi="Times New Roman" w:cs="Times New Roman"/>
      <w:szCs w:val="24"/>
      <w:lang w:val="es-ES" w:eastAsia="es-ES"/>
    </w:rPr>
  </w:style>
  <w:style w:type="character" w:styleId="Textoennegrita">
    <w:name w:val="Strong"/>
    <w:basedOn w:val="Fuentedeprrafopredeter"/>
    <w:uiPriority w:val="22"/>
    <w:qFormat/>
    <w:rsid w:val="00AF1ED8"/>
    <w:rPr>
      <w:b/>
      <w:bCs/>
    </w:rPr>
  </w:style>
  <w:style w:type="character" w:styleId="nfasis">
    <w:name w:val="Emphasis"/>
    <w:basedOn w:val="Fuentedeprrafopredeter"/>
    <w:uiPriority w:val="20"/>
    <w:qFormat/>
    <w:rsid w:val="00AF1ED8"/>
    <w:rPr>
      <w:i/>
      <w:iCs/>
    </w:rPr>
  </w:style>
  <w:style w:type="character" w:customStyle="1" w:styleId="Mencinsinresolver1">
    <w:name w:val="Mención sin resolver1"/>
    <w:basedOn w:val="Fuentedeprrafopredeter"/>
    <w:uiPriority w:val="99"/>
    <w:semiHidden/>
    <w:unhideWhenUsed/>
    <w:rsid w:val="00620E47"/>
    <w:rPr>
      <w:color w:val="605E5C"/>
      <w:shd w:val="clear" w:color="auto" w:fill="E1DFDD"/>
    </w:rPr>
  </w:style>
  <w:style w:type="paragraph" w:customStyle="1" w:styleId="Capitulo3">
    <w:name w:val="Capitulo 3"/>
    <w:basedOn w:val="Normal"/>
    <w:qFormat/>
    <w:rsid w:val="00DF6ACD"/>
    <w:pPr>
      <w:keepNext/>
      <w:numPr>
        <w:numId w:val="7"/>
      </w:numPr>
      <w:spacing w:before="120"/>
      <w:outlineLvl w:val="1"/>
    </w:pPr>
    <w:rPr>
      <w:rFonts w:ascii="Arial" w:eastAsia="Times New Roman" w:hAnsi="Arial" w:cs="Arial"/>
      <w:b/>
      <w:color w:val="000000"/>
      <w:sz w:val="20"/>
      <w:szCs w:val="20"/>
      <w:lang w:val="es-CO" w:eastAsia="es-CO"/>
    </w:rPr>
  </w:style>
  <w:style w:type="paragraph" w:customStyle="1" w:styleId="InviasNormal">
    <w:name w:val="Invias Normal"/>
    <w:basedOn w:val="Normal"/>
    <w:link w:val="InviasNormalCar"/>
    <w:qFormat/>
    <w:rsid w:val="001A27D7"/>
    <w:pPr>
      <w:tabs>
        <w:tab w:val="left" w:pos="-142"/>
      </w:tabs>
      <w:autoSpaceDE w:val="0"/>
      <w:autoSpaceDN w:val="0"/>
      <w:adjustRightInd w:val="0"/>
      <w:spacing w:before="120" w:after="240"/>
    </w:pPr>
    <w:rPr>
      <w:rFonts w:ascii="Arial Narrow" w:eastAsia="Times New Roman" w:hAnsi="Arial Narrow" w:cs="Times New Roman"/>
      <w:color w:val="3C3C3C" w:themeColor="background2" w:themeShade="40"/>
      <w:szCs w:val="24"/>
      <w:lang w:val="x-none" w:eastAsia="es-ES"/>
    </w:rPr>
  </w:style>
  <w:style w:type="character" w:customStyle="1" w:styleId="InviasNormalCar">
    <w:name w:val="Invias Normal Car"/>
    <w:link w:val="InviasNormal"/>
    <w:locked/>
    <w:rsid w:val="001A27D7"/>
    <w:rPr>
      <w:rFonts w:ascii="Arial Narrow" w:eastAsia="Times New Roman" w:hAnsi="Arial Narrow" w:cs="Times New Roman"/>
      <w:color w:val="3C3C3C" w:themeColor="background2" w:themeShade="40"/>
      <w:sz w:val="24"/>
      <w:szCs w:val="24"/>
      <w:lang w:val="x-none" w:eastAsia="es-ES"/>
    </w:rPr>
  </w:style>
  <w:style w:type="paragraph" w:customStyle="1" w:styleId="Entidad-Capitulo">
    <w:name w:val="Entidad-Capitulo"/>
    <w:next w:val="Normal"/>
    <w:autoRedefine/>
    <w:uiPriority w:val="99"/>
    <w:qFormat/>
    <w:rsid w:val="001A27D7"/>
    <w:pPr>
      <w:keepNext/>
      <w:spacing w:before="240" w:after="0" w:line="240" w:lineRule="auto"/>
      <w:jc w:val="center"/>
      <w:outlineLvl w:val="0"/>
    </w:pPr>
    <w:rPr>
      <w:rFonts w:ascii="Arial" w:eastAsia="Times New Roman" w:hAnsi="Arial" w:cs="Arial"/>
      <w:b/>
      <w:smallCaps/>
      <w:sz w:val="20"/>
      <w:szCs w:val="20"/>
      <w:lang w:eastAsia="es-ES"/>
    </w:rPr>
  </w:style>
  <w:style w:type="paragraph" w:styleId="Revisin">
    <w:name w:val="Revision"/>
    <w:hidden/>
    <w:uiPriority w:val="99"/>
    <w:semiHidden/>
    <w:rsid w:val="009409CA"/>
    <w:pPr>
      <w:spacing w:after="0" w:line="240" w:lineRule="auto"/>
    </w:pPr>
    <w:rPr>
      <w:sz w:val="24"/>
      <w:lang w:val="es-MX"/>
    </w:rPr>
  </w:style>
  <w:style w:type="paragraph" w:customStyle="1" w:styleId="Appelnotedebasde">
    <w:name w:val="Appel note de bas de..."/>
    <w:basedOn w:val="Normal"/>
    <w:link w:val="Refdenotaalpie"/>
    <w:uiPriority w:val="99"/>
    <w:rsid w:val="00904CD9"/>
    <w:pPr>
      <w:spacing w:after="160" w:line="240" w:lineRule="exact"/>
    </w:pPr>
    <w:rPr>
      <w:sz w:val="22"/>
      <w:vertAlign w:val="superscript"/>
      <w:lang w:val="es-CO"/>
    </w:rPr>
  </w:style>
  <w:style w:type="character" w:customStyle="1" w:styleId="NormalWebCar">
    <w:name w:val="Normal (Web) Car"/>
    <w:link w:val="NormalWeb"/>
    <w:uiPriority w:val="99"/>
    <w:locked/>
    <w:rsid w:val="00904CD9"/>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F0755F"/>
  </w:style>
  <w:style w:type="paragraph" w:styleId="Textoindependiente">
    <w:name w:val="Body Text"/>
    <w:basedOn w:val="Normal"/>
    <w:link w:val="TextoindependienteCar"/>
    <w:uiPriority w:val="1"/>
    <w:qFormat/>
    <w:rsid w:val="008E0A7E"/>
    <w:pPr>
      <w:widowControl w:val="0"/>
      <w:autoSpaceDE w:val="0"/>
      <w:autoSpaceDN w:val="0"/>
    </w:pPr>
    <w:rPr>
      <w:rFonts w:ascii="Arial" w:eastAsia="Arial" w:hAnsi="Arial" w:cs="Arial"/>
      <w:sz w:val="22"/>
      <w:lang w:val="es-ES" w:eastAsia="es-ES" w:bidi="es-ES"/>
    </w:rPr>
  </w:style>
  <w:style w:type="character" w:customStyle="1" w:styleId="TextoindependienteCar">
    <w:name w:val="Texto independiente Car"/>
    <w:basedOn w:val="Fuentedeprrafopredeter"/>
    <w:link w:val="Textoindependiente"/>
    <w:uiPriority w:val="1"/>
    <w:rsid w:val="008E0A7E"/>
    <w:rPr>
      <w:rFonts w:ascii="Arial" w:eastAsia="Arial" w:hAnsi="Arial" w:cs="Arial"/>
      <w:lang w:val="es-ES" w:eastAsia="es-ES" w:bidi="es-ES"/>
    </w:rPr>
  </w:style>
  <w:style w:type="paragraph" w:styleId="Textonotaalfinal">
    <w:name w:val="endnote text"/>
    <w:basedOn w:val="Normal"/>
    <w:link w:val="TextonotaalfinalCar"/>
    <w:uiPriority w:val="99"/>
    <w:semiHidden/>
    <w:unhideWhenUsed/>
    <w:rsid w:val="00A8268C"/>
    <w:rPr>
      <w:sz w:val="20"/>
      <w:szCs w:val="20"/>
    </w:rPr>
  </w:style>
  <w:style w:type="character" w:customStyle="1" w:styleId="TextonotaalfinalCar">
    <w:name w:val="Texto nota al final Car"/>
    <w:basedOn w:val="Fuentedeprrafopredeter"/>
    <w:link w:val="Textonotaalfinal"/>
    <w:uiPriority w:val="99"/>
    <w:semiHidden/>
    <w:rsid w:val="00A8268C"/>
    <w:rPr>
      <w:sz w:val="20"/>
      <w:szCs w:val="20"/>
      <w:lang w:val="es-MX"/>
    </w:rPr>
  </w:style>
  <w:style w:type="character" w:styleId="Refdenotaalfinal">
    <w:name w:val="endnote reference"/>
    <w:basedOn w:val="Fuentedeprrafopredeter"/>
    <w:uiPriority w:val="99"/>
    <w:semiHidden/>
    <w:unhideWhenUsed/>
    <w:rsid w:val="00A8268C"/>
    <w:rPr>
      <w:vertAlign w:val="superscript"/>
    </w:rPr>
  </w:style>
  <w:style w:type="table" w:customStyle="1" w:styleId="Tablaconcuadrcula1">
    <w:name w:val="Tabla con cuadrícula1"/>
    <w:basedOn w:val="Tablanormal"/>
    <w:next w:val="Tablaconcuadrcula"/>
    <w:uiPriority w:val="39"/>
    <w:rsid w:val="00FE0395"/>
    <w:pPr>
      <w:spacing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22085C"/>
  </w:style>
  <w:style w:type="table" w:customStyle="1" w:styleId="Tablaconcuadrcula2">
    <w:name w:val="Tabla con cuadrícula2"/>
    <w:basedOn w:val="Tablanormal"/>
    <w:next w:val="Tablaconcuadrcula"/>
    <w:uiPriority w:val="39"/>
    <w:rsid w:val="000C00B6"/>
    <w:pPr>
      <w:spacing w:before="12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050E2C"/>
    <w:rPr>
      <w:rFonts w:ascii="Arial" w:eastAsia="Times New Roman" w:hAnsi="Arial" w:cs="Arial"/>
      <w:b/>
      <w:bCs/>
      <w:kern w:val="32"/>
      <w:sz w:val="32"/>
      <w:szCs w:val="32"/>
      <w:lang w:val="es-ES" w:eastAsia="es-ES"/>
    </w:rPr>
  </w:style>
  <w:style w:type="character" w:customStyle="1" w:styleId="Ttulo2Car">
    <w:name w:val="Título 2 Car"/>
    <w:basedOn w:val="Fuentedeprrafopredeter"/>
    <w:link w:val="Ttulo2"/>
    <w:rsid w:val="00050E2C"/>
    <w:rPr>
      <w:rFonts w:ascii="Arial" w:eastAsia="Times New Roman" w:hAnsi="Arial" w:cs="Arial"/>
      <w:b/>
      <w:bCs/>
      <w:i/>
      <w:iCs/>
      <w:sz w:val="28"/>
      <w:szCs w:val="28"/>
      <w:lang w:val="es-ES" w:eastAsia="es-ES"/>
    </w:rPr>
  </w:style>
  <w:style w:type="character" w:customStyle="1" w:styleId="Ttulo3Car">
    <w:name w:val="Título 3 Car"/>
    <w:basedOn w:val="Fuentedeprrafopredeter"/>
    <w:link w:val="Ttulo3"/>
    <w:rsid w:val="00050E2C"/>
    <w:rPr>
      <w:rFonts w:ascii="Arial" w:eastAsia="Times New Roman" w:hAnsi="Arial" w:cs="Arial"/>
      <w:b/>
      <w:bCs/>
      <w:sz w:val="26"/>
      <w:szCs w:val="26"/>
      <w:lang w:val="es-ES" w:eastAsia="es-ES"/>
    </w:rPr>
  </w:style>
  <w:style w:type="character" w:customStyle="1" w:styleId="Ttulo4Car">
    <w:name w:val="Título 4 Car"/>
    <w:basedOn w:val="Fuentedeprrafopredeter"/>
    <w:link w:val="Ttulo4"/>
    <w:rsid w:val="00050E2C"/>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050E2C"/>
    <w:rPr>
      <w:rFonts w:ascii="Times New Roman" w:eastAsia="Times New Roman" w:hAnsi="Times New Roman" w:cs="Times New Roman"/>
      <w:b/>
      <w:bCs/>
      <w:i/>
      <w:iCs/>
      <w:sz w:val="26"/>
      <w:szCs w:val="26"/>
      <w:lang w:val="es-ES" w:eastAsia="es-ES"/>
    </w:rPr>
  </w:style>
  <w:style w:type="character" w:customStyle="1" w:styleId="Ttulo6Car">
    <w:name w:val="Título 6 Car"/>
    <w:basedOn w:val="Fuentedeprrafopredeter"/>
    <w:link w:val="Ttulo6"/>
    <w:rsid w:val="00050E2C"/>
    <w:rPr>
      <w:rFonts w:ascii="Times New Roman" w:eastAsia="Times New Roman" w:hAnsi="Times New Roman" w:cs="Times New Roman"/>
      <w:b/>
      <w:bCs/>
      <w:lang w:val="es-ES" w:eastAsia="es-ES"/>
    </w:rPr>
  </w:style>
  <w:style w:type="character" w:customStyle="1" w:styleId="Ttulo7Car">
    <w:name w:val="Título 7 Car"/>
    <w:basedOn w:val="Fuentedeprrafopredeter"/>
    <w:link w:val="Ttulo7"/>
    <w:rsid w:val="00050E2C"/>
    <w:rPr>
      <w:rFonts w:ascii="Times New Roman" w:eastAsia="Times New Roman" w:hAnsi="Times New Roman" w:cs="Times New Roman"/>
      <w:sz w:val="24"/>
      <w:szCs w:val="24"/>
      <w:lang w:val="es-ES" w:eastAsia="es-ES"/>
    </w:rPr>
  </w:style>
  <w:style w:type="character" w:customStyle="1" w:styleId="Ttulo8Car">
    <w:name w:val="Título 8 Car"/>
    <w:basedOn w:val="Fuentedeprrafopredeter"/>
    <w:link w:val="Ttulo8"/>
    <w:rsid w:val="00050E2C"/>
    <w:rPr>
      <w:rFonts w:ascii="Times New Roman" w:eastAsia="Times New Roman" w:hAnsi="Times New Roman" w:cs="Times New Roman"/>
      <w:i/>
      <w:iCs/>
      <w:sz w:val="24"/>
      <w:szCs w:val="24"/>
      <w:lang w:val="es-ES" w:eastAsia="es-ES"/>
    </w:rPr>
  </w:style>
  <w:style w:type="character" w:customStyle="1" w:styleId="Ttulo9Car">
    <w:name w:val="Título 9 Car"/>
    <w:basedOn w:val="Fuentedeprrafopredeter"/>
    <w:link w:val="Ttulo9"/>
    <w:rsid w:val="00050E2C"/>
    <w:rPr>
      <w:rFonts w:ascii="Arial" w:eastAsia="Times New Roman" w:hAnsi="Arial" w:cs="Arial"/>
      <w:lang w:val="es-ES" w:eastAsia="es-ES"/>
    </w:rPr>
  </w:style>
  <w:style w:type="table" w:customStyle="1" w:styleId="Tablaconcuadrcula3">
    <w:name w:val="Tabla con cuadrícula3"/>
    <w:basedOn w:val="Tablanormal"/>
    <w:next w:val="Tablaconcuadrcula"/>
    <w:uiPriority w:val="39"/>
    <w:rsid w:val="000751BB"/>
    <w:pPr>
      <w:spacing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qFormat/>
    <w:rsid w:val="001F59AB"/>
    <w:pPr>
      <w:overflowPunct w:val="0"/>
      <w:autoSpaceDE w:val="0"/>
      <w:autoSpaceDN w:val="0"/>
      <w:adjustRightInd w:val="0"/>
      <w:spacing w:after="0" w:line="240" w:lineRule="auto"/>
      <w:jc w:val="right"/>
      <w:textAlignment w:val="baseline"/>
    </w:pPr>
    <w:rPr>
      <w:rFonts w:ascii="Verdana" w:eastAsia="Times New Roman" w:hAnsi="Verdana" w:cs="Times New Roman"/>
      <w:b/>
      <w:sz w:val="28"/>
      <w:szCs w:val="20"/>
      <w:lang w:val="es-ES_tradnl" w:eastAsia="es-ES"/>
    </w:rPr>
  </w:style>
  <w:style w:type="paragraph" w:customStyle="1" w:styleId="Default">
    <w:name w:val="Default"/>
    <w:rsid w:val="001F59AB"/>
    <w:pPr>
      <w:autoSpaceDE w:val="0"/>
      <w:autoSpaceDN w:val="0"/>
      <w:adjustRightInd w:val="0"/>
      <w:spacing w:after="0" w:line="240" w:lineRule="auto"/>
      <w:jc w:val="left"/>
    </w:pPr>
    <w:rPr>
      <w:rFonts w:ascii="Arial" w:hAnsi="Arial" w:cs="Arial"/>
      <w:color w:val="000000"/>
      <w:sz w:val="24"/>
      <w:szCs w:val="24"/>
      <w:lang w:val="es-ES"/>
    </w:rPr>
  </w:style>
  <w:style w:type="paragraph" w:customStyle="1" w:styleId="CM203">
    <w:name w:val="CM203"/>
    <w:basedOn w:val="Normal"/>
    <w:next w:val="Normal"/>
    <w:uiPriority w:val="99"/>
    <w:rsid w:val="001F59AB"/>
    <w:pPr>
      <w:widowControl w:val="0"/>
      <w:autoSpaceDE w:val="0"/>
      <w:autoSpaceDN w:val="0"/>
      <w:adjustRightInd w:val="0"/>
      <w:spacing w:after="0" w:line="240" w:lineRule="auto"/>
      <w:jc w:val="left"/>
    </w:pPr>
    <w:rPr>
      <w:rFonts w:ascii="Times New Roman" w:eastAsia="Times New Roman" w:hAnsi="Times New Roman" w:cs="Times New Roman"/>
      <w:szCs w:val="24"/>
      <w:lang w:val="es-ES" w:eastAsia="es-ES"/>
    </w:rPr>
  </w:style>
  <w:style w:type="paragraph" w:styleId="Textoindependiente2">
    <w:name w:val="Body Text 2"/>
    <w:basedOn w:val="Normal"/>
    <w:link w:val="Textoindependiente2Car"/>
    <w:uiPriority w:val="99"/>
    <w:semiHidden/>
    <w:unhideWhenUsed/>
    <w:rsid w:val="00C1755A"/>
    <w:pPr>
      <w:spacing w:after="120" w:line="480" w:lineRule="auto"/>
    </w:pPr>
  </w:style>
  <w:style w:type="character" w:customStyle="1" w:styleId="Textoindependiente2Car">
    <w:name w:val="Texto independiente 2 Car"/>
    <w:basedOn w:val="Fuentedeprrafopredeter"/>
    <w:link w:val="Textoindependiente2"/>
    <w:uiPriority w:val="99"/>
    <w:semiHidden/>
    <w:rsid w:val="00C1755A"/>
    <w:rPr>
      <w:sz w:val="24"/>
      <w:lang w:val="es-MX"/>
    </w:rPr>
  </w:style>
  <w:style w:type="character" w:customStyle="1" w:styleId="apple-converted-space">
    <w:name w:val="apple-converted-space"/>
    <w:basedOn w:val="Fuentedeprrafopredeter"/>
    <w:rsid w:val="00877FC5"/>
  </w:style>
  <w:style w:type="character" w:styleId="Mencinsinresolver">
    <w:name w:val="Unresolved Mention"/>
    <w:basedOn w:val="Fuentedeprrafopredeter"/>
    <w:uiPriority w:val="99"/>
    <w:semiHidden/>
    <w:unhideWhenUsed/>
    <w:rsid w:val="00946C75"/>
    <w:rPr>
      <w:color w:val="605E5C"/>
      <w:shd w:val="clear" w:color="auto" w:fill="E1DFDD"/>
    </w:rPr>
  </w:style>
  <w:style w:type="paragraph" w:customStyle="1" w:styleId="Normal11pt">
    <w:name w:val="Normal + 11 pt"/>
    <w:aliases w:val="Negro,Justificado,Izquierda:  -0,95 cm,Derecha:  0,04 cm"/>
    <w:basedOn w:val="Normal"/>
    <w:uiPriority w:val="99"/>
    <w:rsid w:val="00E70C56"/>
    <w:pPr>
      <w:spacing w:after="0" w:line="240" w:lineRule="auto"/>
      <w:ind w:left="-540"/>
    </w:pPr>
    <w:rPr>
      <w:rFonts w:ascii="Arial" w:eastAsia="Times New Roman" w:hAnsi="Arial" w:cs="Arial"/>
      <w:color w:val="000000"/>
      <w:sz w:val="22"/>
      <w:lang w:val="es-ES_tradnl" w:eastAsia="es-ES"/>
    </w:rPr>
  </w:style>
  <w:style w:type="table" w:customStyle="1" w:styleId="Tablaconcuadrcula11">
    <w:name w:val="Tabla con cuadrícula11"/>
    <w:basedOn w:val="Tablanormal"/>
    <w:next w:val="Tablaconcuadrcula"/>
    <w:uiPriority w:val="59"/>
    <w:rsid w:val="00FD7130"/>
    <w:pPr>
      <w:spacing w:after="0" w:line="240" w:lineRule="auto"/>
      <w:jc w:val="left"/>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76068">
      <w:bodyDiv w:val="1"/>
      <w:marLeft w:val="0"/>
      <w:marRight w:val="0"/>
      <w:marTop w:val="0"/>
      <w:marBottom w:val="0"/>
      <w:divBdr>
        <w:top w:val="none" w:sz="0" w:space="0" w:color="auto"/>
        <w:left w:val="none" w:sz="0" w:space="0" w:color="auto"/>
        <w:bottom w:val="none" w:sz="0" w:space="0" w:color="auto"/>
        <w:right w:val="none" w:sz="0" w:space="0" w:color="auto"/>
      </w:divBdr>
    </w:div>
    <w:div w:id="38094185">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65686981">
      <w:bodyDiv w:val="1"/>
      <w:marLeft w:val="0"/>
      <w:marRight w:val="0"/>
      <w:marTop w:val="0"/>
      <w:marBottom w:val="0"/>
      <w:divBdr>
        <w:top w:val="none" w:sz="0" w:space="0" w:color="auto"/>
        <w:left w:val="none" w:sz="0" w:space="0" w:color="auto"/>
        <w:bottom w:val="none" w:sz="0" w:space="0" w:color="auto"/>
        <w:right w:val="none" w:sz="0" w:space="0" w:color="auto"/>
      </w:divBdr>
      <w:divsChild>
        <w:div w:id="1403675036">
          <w:marLeft w:val="0"/>
          <w:marRight w:val="0"/>
          <w:marTop w:val="0"/>
          <w:marBottom w:val="0"/>
          <w:divBdr>
            <w:top w:val="none" w:sz="0" w:space="0" w:color="auto"/>
            <w:left w:val="none" w:sz="0" w:space="0" w:color="auto"/>
            <w:bottom w:val="none" w:sz="0" w:space="0" w:color="auto"/>
            <w:right w:val="none" w:sz="0" w:space="0" w:color="auto"/>
          </w:divBdr>
        </w:div>
        <w:div w:id="1127549938">
          <w:marLeft w:val="0"/>
          <w:marRight w:val="0"/>
          <w:marTop w:val="0"/>
          <w:marBottom w:val="0"/>
          <w:divBdr>
            <w:top w:val="none" w:sz="0" w:space="0" w:color="auto"/>
            <w:left w:val="none" w:sz="0" w:space="0" w:color="auto"/>
            <w:bottom w:val="none" w:sz="0" w:space="0" w:color="auto"/>
            <w:right w:val="none" w:sz="0" w:space="0" w:color="auto"/>
          </w:divBdr>
        </w:div>
      </w:divsChild>
    </w:div>
    <w:div w:id="70544669">
      <w:bodyDiv w:val="1"/>
      <w:marLeft w:val="0"/>
      <w:marRight w:val="0"/>
      <w:marTop w:val="0"/>
      <w:marBottom w:val="0"/>
      <w:divBdr>
        <w:top w:val="none" w:sz="0" w:space="0" w:color="auto"/>
        <w:left w:val="none" w:sz="0" w:space="0" w:color="auto"/>
        <w:bottom w:val="none" w:sz="0" w:space="0" w:color="auto"/>
        <w:right w:val="none" w:sz="0" w:space="0" w:color="auto"/>
      </w:divBdr>
      <w:divsChild>
        <w:div w:id="1513495133">
          <w:marLeft w:val="0"/>
          <w:marRight w:val="0"/>
          <w:marTop w:val="0"/>
          <w:marBottom w:val="0"/>
          <w:divBdr>
            <w:top w:val="none" w:sz="0" w:space="0" w:color="auto"/>
            <w:left w:val="none" w:sz="0" w:space="0" w:color="auto"/>
            <w:bottom w:val="none" w:sz="0" w:space="0" w:color="auto"/>
            <w:right w:val="none" w:sz="0" w:space="0" w:color="auto"/>
          </w:divBdr>
          <w:divsChild>
            <w:div w:id="734858809">
              <w:marLeft w:val="0"/>
              <w:marRight w:val="0"/>
              <w:marTop w:val="0"/>
              <w:marBottom w:val="0"/>
              <w:divBdr>
                <w:top w:val="none" w:sz="0" w:space="0" w:color="auto"/>
                <w:left w:val="none" w:sz="0" w:space="0" w:color="auto"/>
                <w:bottom w:val="none" w:sz="0" w:space="0" w:color="auto"/>
                <w:right w:val="none" w:sz="0" w:space="0" w:color="auto"/>
              </w:divBdr>
              <w:divsChild>
                <w:div w:id="1385987392">
                  <w:marLeft w:val="0"/>
                  <w:marRight w:val="0"/>
                  <w:marTop w:val="0"/>
                  <w:marBottom w:val="0"/>
                  <w:divBdr>
                    <w:top w:val="none" w:sz="0" w:space="0" w:color="auto"/>
                    <w:left w:val="none" w:sz="0" w:space="0" w:color="auto"/>
                    <w:bottom w:val="none" w:sz="0" w:space="0" w:color="auto"/>
                    <w:right w:val="none" w:sz="0" w:space="0" w:color="auto"/>
                  </w:divBdr>
                </w:div>
              </w:divsChild>
            </w:div>
            <w:div w:id="414395898">
              <w:marLeft w:val="0"/>
              <w:marRight w:val="0"/>
              <w:marTop w:val="0"/>
              <w:marBottom w:val="0"/>
              <w:divBdr>
                <w:top w:val="none" w:sz="0" w:space="0" w:color="auto"/>
                <w:left w:val="none" w:sz="0" w:space="0" w:color="auto"/>
                <w:bottom w:val="none" w:sz="0" w:space="0" w:color="auto"/>
                <w:right w:val="none" w:sz="0" w:space="0" w:color="auto"/>
              </w:divBdr>
              <w:divsChild>
                <w:div w:id="84987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75642">
      <w:bodyDiv w:val="1"/>
      <w:marLeft w:val="0"/>
      <w:marRight w:val="0"/>
      <w:marTop w:val="0"/>
      <w:marBottom w:val="0"/>
      <w:divBdr>
        <w:top w:val="none" w:sz="0" w:space="0" w:color="auto"/>
        <w:left w:val="none" w:sz="0" w:space="0" w:color="auto"/>
        <w:bottom w:val="none" w:sz="0" w:space="0" w:color="auto"/>
        <w:right w:val="none" w:sz="0" w:space="0" w:color="auto"/>
      </w:divBdr>
      <w:divsChild>
        <w:div w:id="2089033513">
          <w:marLeft w:val="0"/>
          <w:marRight w:val="0"/>
          <w:marTop w:val="0"/>
          <w:marBottom w:val="0"/>
          <w:divBdr>
            <w:top w:val="none" w:sz="0" w:space="0" w:color="auto"/>
            <w:left w:val="none" w:sz="0" w:space="0" w:color="auto"/>
            <w:bottom w:val="none" w:sz="0" w:space="0" w:color="auto"/>
            <w:right w:val="none" w:sz="0" w:space="0" w:color="auto"/>
          </w:divBdr>
          <w:divsChild>
            <w:div w:id="563024260">
              <w:marLeft w:val="0"/>
              <w:marRight w:val="0"/>
              <w:marTop w:val="0"/>
              <w:marBottom w:val="0"/>
              <w:divBdr>
                <w:top w:val="none" w:sz="0" w:space="0" w:color="auto"/>
                <w:left w:val="none" w:sz="0" w:space="0" w:color="auto"/>
                <w:bottom w:val="none" w:sz="0" w:space="0" w:color="auto"/>
                <w:right w:val="none" w:sz="0" w:space="0" w:color="auto"/>
              </w:divBdr>
              <w:divsChild>
                <w:div w:id="1068923680">
                  <w:marLeft w:val="0"/>
                  <w:marRight w:val="0"/>
                  <w:marTop w:val="0"/>
                  <w:marBottom w:val="0"/>
                  <w:divBdr>
                    <w:top w:val="none" w:sz="0" w:space="0" w:color="auto"/>
                    <w:left w:val="none" w:sz="0" w:space="0" w:color="auto"/>
                    <w:bottom w:val="none" w:sz="0" w:space="0" w:color="auto"/>
                    <w:right w:val="none" w:sz="0" w:space="0" w:color="auto"/>
                  </w:divBdr>
                  <w:divsChild>
                    <w:div w:id="75034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0035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528690911">
      <w:bodyDiv w:val="1"/>
      <w:marLeft w:val="0"/>
      <w:marRight w:val="0"/>
      <w:marTop w:val="0"/>
      <w:marBottom w:val="0"/>
      <w:divBdr>
        <w:top w:val="none" w:sz="0" w:space="0" w:color="auto"/>
        <w:left w:val="none" w:sz="0" w:space="0" w:color="auto"/>
        <w:bottom w:val="none" w:sz="0" w:space="0" w:color="auto"/>
        <w:right w:val="none" w:sz="0" w:space="0" w:color="auto"/>
      </w:divBdr>
    </w:div>
    <w:div w:id="538052457">
      <w:bodyDiv w:val="1"/>
      <w:marLeft w:val="0"/>
      <w:marRight w:val="0"/>
      <w:marTop w:val="0"/>
      <w:marBottom w:val="0"/>
      <w:divBdr>
        <w:top w:val="none" w:sz="0" w:space="0" w:color="auto"/>
        <w:left w:val="none" w:sz="0" w:space="0" w:color="auto"/>
        <w:bottom w:val="none" w:sz="0" w:space="0" w:color="auto"/>
        <w:right w:val="none" w:sz="0" w:space="0" w:color="auto"/>
      </w:divBdr>
      <w:divsChild>
        <w:div w:id="293679258">
          <w:marLeft w:val="0"/>
          <w:marRight w:val="0"/>
          <w:marTop w:val="0"/>
          <w:marBottom w:val="0"/>
          <w:divBdr>
            <w:top w:val="none" w:sz="0" w:space="0" w:color="auto"/>
            <w:left w:val="none" w:sz="0" w:space="0" w:color="auto"/>
            <w:bottom w:val="none" w:sz="0" w:space="0" w:color="auto"/>
            <w:right w:val="none" w:sz="0" w:space="0" w:color="auto"/>
          </w:divBdr>
          <w:divsChild>
            <w:div w:id="1751930579">
              <w:marLeft w:val="0"/>
              <w:marRight w:val="0"/>
              <w:marTop w:val="0"/>
              <w:marBottom w:val="0"/>
              <w:divBdr>
                <w:top w:val="none" w:sz="0" w:space="0" w:color="auto"/>
                <w:left w:val="none" w:sz="0" w:space="0" w:color="auto"/>
                <w:bottom w:val="none" w:sz="0" w:space="0" w:color="auto"/>
                <w:right w:val="none" w:sz="0" w:space="0" w:color="auto"/>
              </w:divBdr>
              <w:divsChild>
                <w:div w:id="1477531553">
                  <w:marLeft w:val="0"/>
                  <w:marRight w:val="0"/>
                  <w:marTop w:val="0"/>
                  <w:marBottom w:val="0"/>
                  <w:divBdr>
                    <w:top w:val="none" w:sz="0" w:space="0" w:color="auto"/>
                    <w:left w:val="none" w:sz="0" w:space="0" w:color="auto"/>
                    <w:bottom w:val="none" w:sz="0" w:space="0" w:color="auto"/>
                    <w:right w:val="none" w:sz="0" w:space="0" w:color="auto"/>
                  </w:divBdr>
                  <w:divsChild>
                    <w:div w:id="6693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623194">
      <w:bodyDiv w:val="1"/>
      <w:marLeft w:val="0"/>
      <w:marRight w:val="0"/>
      <w:marTop w:val="0"/>
      <w:marBottom w:val="0"/>
      <w:divBdr>
        <w:top w:val="none" w:sz="0" w:space="0" w:color="auto"/>
        <w:left w:val="none" w:sz="0" w:space="0" w:color="auto"/>
        <w:bottom w:val="none" w:sz="0" w:space="0" w:color="auto"/>
        <w:right w:val="none" w:sz="0" w:space="0" w:color="auto"/>
      </w:divBdr>
      <w:divsChild>
        <w:div w:id="597257731">
          <w:marLeft w:val="0"/>
          <w:marRight w:val="0"/>
          <w:marTop w:val="0"/>
          <w:marBottom w:val="0"/>
          <w:divBdr>
            <w:top w:val="none" w:sz="0" w:space="0" w:color="auto"/>
            <w:left w:val="none" w:sz="0" w:space="0" w:color="auto"/>
            <w:bottom w:val="none" w:sz="0" w:space="0" w:color="auto"/>
            <w:right w:val="none" w:sz="0" w:space="0" w:color="auto"/>
          </w:divBdr>
          <w:divsChild>
            <w:div w:id="1566644036">
              <w:marLeft w:val="0"/>
              <w:marRight w:val="0"/>
              <w:marTop w:val="0"/>
              <w:marBottom w:val="0"/>
              <w:divBdr>
                <w:top w:val="none" w:sz="0" w:space="0" w:color="auto"/>
                <w:left w:val="none" w:sz="0" w:space="0" w:color="auto"/>
                <w:bottom w:val="none" w:sz="0" w:space="0" w:color="auto"/>
                <w:right w:val="none" w:sz="0" w:space="0" w:color="auto"/>
              </w:divBdr>
              <w:divsChild>
                <w:div w:id="20895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506">
      <w:bodyDiv w:val="1"/>
      <w:marLeft w:val="0"/>
      <w:marRight w:val="0"/>
      <w:marTop w:val="0"/>
      <w:marBottom w:val="0"/>
      <w:divBdr>
        <w:top w:val="none" w:sz="0" w:space="0" w:color="auto"/>
        <w:left w:val="none" w:sz="0" w:space="0" w:color="auto"/>
        <w:bottom w:val="none" w:sz="0" w:space="0" w:color="auto"/>
        <w:right w:val="none" w:sz="0" w:space="0" w:color="auto"/>
      </w:divBdr>
    </w:div>
    <w:div w:id="657923463">
      <w:bodyDiv w:val="1"/>
      <w:marLeft w:val="0"/>
      <w:marRight w:val="0"/>
      <w:marTop w:val="0"/>
      <w:marBottom w:val="0"/>
      <w:divBdr>
        <w:top w:val="none" w:sz="0" w:space="0" w:color="auto"/>
        <w:left w:val="none" w:sz="0" w:space="0" w:color="auto"/>
        <w:bottom w:val="none" w:sz="0" w:space="0" w:color="auto"/>
        <w:right w:val="none" w:sz="0" w:space="0" w:color="auto"/>
      </w:divBdr>
    </w:div>
    <w:div w:id="685834933">
      <w:bodyDiv w:val="1"/>
      <w:marLeft w:val="0"/>
      <w:marRight w:val="0"/>
      <w:marTop w:val="0"/>
      <w:marBottom w:val="0"/>
      <w:divBdr>
        <w:top w:val="none" w:sz="0" w:space="0" w:color="auto"/>
        <w:left w:val="none" w:sz="0" w:space="0" w:color="auto"/>
        <w:bottom w:val="none" w:sz="0" w:space="0" w:color="auto"/>
        <w:right w:val="none" w:sz="0" w:space="0" w:color="auto"/>
      </w:divBdr>
      <w:divsChild>
        <w:div w:id="1827236719">
          <w:marLeft w:val="0"/>
          <w:marRight w:val="0"/>
          <w:marTop w:val="0"/>
          <w:marBottom w:val="0"/>
          <w:divBdr>
            <w:top w:val="none" w:sz="0" w:space="0" w:color="auto"/>
            <w:left w:val="none" w:sz="0" w:space="0" w:color="auto"/>
            <w:bottom w:val="none" w:sz="0" w:space="0" w:color="auto"/>
            <w:right w:val="none" w:sz="0" w:space="0" w:color="auto"/>
          </w:divBdr>
          <w:divsChild>
            <w:div w:id="1528986041">
              <w:marLeft w:val="0"/>
              <w:marRight w:val="0"/>
              <w:marTop w:val="0"/>
              <w:marBottom w:val="0"/>
              <w:divBdr>
                <w:top w:val="none" w:sz="0" w:space="0" w:color="auto"/>
                <w:left w:val="none" w:sz="0" w:space="0" w:color="auto"/>
                <w:bottom w:val="none" w:sz="0" w:space="0" w:color="auto"/>
                <w:right w:val="none" w:sz="0" w:space="0" w:color="auto"/>
              </w:divBdr>
              <w:divsChild>
                <w:div w:id="22557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141978">
      <w:bodyDiv w:val="1"/>
      <w:marLeft w:val="0"/>
      <w:marRight w:val="0"/>
      <w:marTop w:val="0"/>
      <w:marBottom w:val="0"/>
      <w:divBdr>
        <w:top w:val="none" w:sz="0" w:space="0" w:color="auto"/>
        <w:left w:val="none" w:sz="0" w:space="0" w:color="auto"/>
        <w:bottom w:val="none" w:sz="0" w:space="0" w:color="auto"/>
        <w:right w:val="none" w:sz="0" w:space="0" w:color="auto"/>
      </w:divBdr>
    </w:div>
    <w:div w:id="742486387">
      <w:bodyDiv w:val="1"/>
      <w:marLeft w:val="0"/>
      <w:marRight w:val="0"/>
      <w:marTop w:val="0"/>
      <w:marBottom w:val="0"/>
      <w:divBdr>
        <w:top w:val="none" w:sz="0" w:space="0" w:color="auto"/>
        <w:left w:val="none" w:sz="0" w:space="0" w:color="auto"/>
        <w:bottom w:val="none" w:sz="0" w:space="0" w:color="auto"/>
        <w:right w:val="none" w:sz="0" w:space="0" w:color="auto"/>
      </w:divBdr>
    </w:div>
    <w:div w:id="773549469">
      <w:bodyDiv w:val="1"/>
      <w:marLeft w:val="0"/>
      <w:marRight w:val="0"/>
      <w:marTop w:val="0"/>
      <w:marBottom w:val="0"/>
      <w:divBdr>
        <w:top w:val="none" w:sz="0" w:space="0" w:color="auto"/>
        <w:left w:val="none" w:sz="0" w:space="0" w:color="auto"/>
        <w:bottom w:val="none" w:sz="0" w:space="0" w:color="auto"/>
        <w:right w:val="none" w:sz="0" w:space="0" w:color="auto"/>
      </w:divBdr>
      <w:divsChild>
        <w:div w:id="1693219852">
          <w:marLeft w:val="0"/>
          <w:marRight w:val="0"/>
          <w:marTop w:val="0"/>
          <w:marBottom w:val="0"/>
          <w:divBdr>
            <w:top w:val="none" w:sz="0" w:space="0" w:color="auto"/>
            <w:left w:val="none" w:sz="0" w:space="0" w:color="auto"/>
            <w:bottom w:val="none" w:sz="0" w:space="0" w:color="auto"/>
            <w:right w:val="none" w:sz="0" w:space="0" w:color="auto"/>
          </w:divBdr>
          <w:divsChild>
            <w:div w:id="2023359027">
              <w:marLeft w:val="0"/>
              <w:marRight w:val="0"/>
              <w:marTop w:val="0"/>
              <w:marBottom w:val="0"/>
              <w:divBdr>
                <w:top w:val="none" w:sz="0" w:space="0" w:color="auto"/>
                <w:left w:val="none" w:sz="0" w:space="0" w:color="auto"/>
                <w:bottom w:val="none" w:sz="0" w:space="0" w:color="auto"/>
                <w:right w:val="none" w:sz="0" w:space="0" w:color="auto"/>
              </w:divBdr>
            </w:div>
          </w:divsChild>
        </w:div>
        <w:div w:id="1795442581">
          <w:marLeft w:val="0"/>
          <w:marRight w:val="0"/>
          <w:marTop w:val="0"/>
          <w:marBottom w:val="0"/>
          <w:divBdr>
            <w:top w:val="none" w:sz="0" w:space="0" w:color="auto"/>
            <w:left w:val="none" w:sz="0" w:space="0" w:color="auto"/>
            <w:bottom w:val="none" w:sz="0" w:space="0" w:color="auto"/>
            <w:right w:val="none" w:sz="0" w:space="0" w:color="auto"/>
          </w:divBdr>
          <w:divsChild>
            <w:div w:id="14254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831276">
      <w:bodyDiv w:val="1"/>
      <w:marLeft w:val="0"/>
      <w:marRight w:val="0"/>
      <w:marTop w:val="0"/>
      <w:marBottom w:val="0"/>
      <w:divBdr>
        <w:top w:val="none" w:sz="0" w:space="0" w:color="auto"/>
        <w:left w:val="none" w:sz="0" w:space="0" w:color="auto"/>
        <w:bottom w:val="none" w:sz="0" w:space="0" w:color="auto"/>
        <w:right w:val="none" w:sz="0" w:space="0" w:color="auto"/>
      </w:divBdr>
    </w:div>
    <w:div w:id="893934457">
      <w:bodyDiv w:val="1"/>
      <w:marLeft w:val="0"/>
      <w:marRight w:val="0"/>
      <w:marTop w:val="0"/>
      <w:marBottom w:val="0"/>
      <w:divBdr>
        <w:top w:val="none" w:sz="0" w:space="0" w:color="auto"/>
        <w:left w:val="none" w:sz="0" w:space="0" w:color="auto"/>
        <w:bottom w:val="none" w:sz="0" w:space="0" w:color="auto"/>
        <w:right w:val="none" w:sz="0" w:space="0" w:color="auto"/>
      </w:divBdr>
    </w:div>
    <w:div w:id="910164740">
      <w:bodyDiv w:val="1"/>
      <w:marLeft w:val="0"/>
      <w:marRight w:val="0"/>
      <w:marTop w:val="0"/>
      <w:marBottom w:val="0"/>
      <w:divBdr>
        <w:top w:val="none" w:sz="0" w:space="0" w:color="auto"/>
        <w:left w:val="none" w:sz="0" w:space="0" w:color="auto"/>
        <w:bottom w:val="none" w:sz="0" w:space="0" w:color="auto"/>
        <w:right w:val="none" w:sz="0" w:space="0" w:color="auto"/>
      </w:divBdr>
    </w:div>
    <w:div w:id="953173263">
      <w:bodyDiv w:val="1"/>
      <w:marLeft w:val="0"/>
      <w:marRight w:val="0"/>
      <w:marTop w:val="0"/>
      <w:marBottom w:val="0"/>
      <w:divBdr>
        <w:top w:val="none" w:sz="0" w:space="0" w:color="auto"/>
        <w:left w:val="none" w:sz="0" w:space="0" w:color="auto"/>
        <w:bottom w:val="none" w:sz="0" w:space="0" w:color="auto"/>
        <w:right w:val="none" w:sz="0" w:space="0" w:color="auto"/>
      </w:divBdr>
    </w:div>
    <w:div w:id="974724308">
      <w:bodyDiv w:val="1"/>
      <w:marLeft w:val="0"/>
      <w:marRight w:val="0"/>
      <w:marTop w:val="0"/>
      <w:marBottom w:val="0"/>
      <w:divBdr>
        <w:top w:val="none" w:sz="0" w:space="0" w:color="auto"/>
        <w:left w:val="none" w:sz="0" w:space="0" w:color="auto"/>
        <w:bottom w:val="none" w:sz="0" w:space="0" w:color="auto"/>
        <w:right w:val="none" w:sz="0" w:space="0" w:color="auto"/>
      </w:divBdr>
    </w:div>
    <w:div w:id="1004672872">
      <w:bodyDiv w:val="1"/>
      <w:marLeft w:val="0"/>
      <w:marRight w:val="0"/>
      <w:marTop w:val="0"/>
      <w:marBottom w:val="0"/>
      <w:divBdr>
        <w:top w:val="none" w:sz="0" w:space="0" w:color="auto"/>
        <w:left w:val="none" w:sz="0" w:space="0" w:color="auto"/>
        <w:bottom w:val="none" w:sz="0" w:space="0" w:color="auto"/>
        <w:right w:val="none" w:sz="0" w:space="0" w:color="auto"/>
      </w:divBdr>
    </w:div>
    <w:div w:id="1008944424">
      <w:bodyDiv w:val="1"/>
      <w:marLeft w:val="0"/>
      <w:marRight w:val="0"/>
      <w:marTop w:val="0"/>
      <w:marBottom w:val="0"/>
      <w:divBdr>
        <w:top w:val="none" w:sz="0" w:space="0" w:color="auto"/>
        <w:left w:val="none" w:sz="0" w:space="0" w:color="auto"/>
        <w:bottom w:val="none" w:sz="0" w:space="0" w:color="auto"/>
        <w:right w:val="none" w:sz="0" w:space="0" w:color="auto"/>
      </w:divBdr>
    </w:div>
    <w:div w:id="1014107879">
      <w:bodyDiv w:val="1"/>
      <w:marLeft w:val="0"/>
      <w:marRight w:val="0"/>
      <w:marTop w:val="0"/>
      <w:marBottom w:val="0"/>
      <w:divBdr>
        <w:top w:val="none" w:sz="0" w:space="0" w:color="auto"/>
        <w:left w:val="none" w:sz="0" w:space="0" w:color="auto"/>
        <w:bottom w:val="none" w:sz="0" w:space="0" w:color="auto"/>
        <w:right w:val="none" w:sz="0" w:space="0" w:color="auto"/>
      </w:divBdr>
    </w:div>
    <w:div w:id="1161699058">
      <w:bodyDiv w:val="1"/>
      <w:marLeft w:val="0"/>
      <w:marRight w:val="0"/>
      <w:marTop w:val="0"/>
      <w:marBottom w:val="0"/>
      <w:divBdr>
        <w:top w:val="none" w:sz="0" w:space="0" w:color="auto"/>
        <w:left w:val="none" w:sz="0" w:space="0" w:color="auto"/>
        <w:bottom w:val="none" w:sz="0" w:space="0" w:color="auto"/>
        <w:right w:val="none" w:sz="0" w:space="0" w:color="auto"/>
      </w:divBdr>
    </w:div>
    <w:div w:id="1193224216">
      <w:bodyDiv w:val="1"/>
      <w:marLeft w:val="0"/>
      <w:marRight w:val="0"/>
      <w:marTop w:val="0"/>
      <w:marBottom w:val="0"/>
      <w:divBdr>
        <w:top w:val="none" w:sz="0" w:space="0" w:color="auto"/>
        <w:left w:val="none" w:sz="0" w:space="0" w:color="auto"/>
        <w:bottom w:val="none" w:sz="0" w:space="0" w:color="auto"/>
        <w:right w:val="none" w:sz="0" w:space="0" w:color="auto"/>
      </w:divBdr>
    </w:div>
    <w:div w:id="1213887254">
      <w:bodyDiv w:val="1"/>
      <w:marLeft w:val="0"/>
      <w:marRight w:val="0"/>
      <w:marTop w:val="0"/>
      <w:marBottom w:val="0"/>
      <w:divBdr>
        <w:top w:val="none" w:sz="0" w:space="0" w:color="auto"/>
        <w:left w:val="none" w:sz="0" w:space="0" w:color="auto"/>
        <w:bottom w:val="none" w:sz="0" w:space="0" w:color="auto"/>
        <w:right w:val="none" w:sz="0" w:space="0" w:color="auto"/>
      </w:divBdr>
    </w:div>
    <w:div w:id="1264339739">
      <w:bodyDiv w:val="1"/>
      <w:marLeft w:val="0"/>
      <w:marRight w:val="0"/>
      <w:marTop w:val="0"/>
      <w:marBottom w:val="0"/>
      <w:divBdr>
        <w:top w:val="none" w:sz="0" w:space="0" w:color="auto"/>
        <w:left w:val="none" w:sz="0" w:space="0" w:color="auto"/>
        <w:bottom w:val="none" w:sz="0" w:space="0" w:color="auto"/>
        <w:right w:val="none" w:sz="0" w:space="0" w:color="auto"/>
      </w:divBdr>
    </w:div>
    <w:div w:id="1372682995">
      <w:bodyDiv w:val="1"/>
      <w:marLeft w:val="0"/>
      <w:marRight w:val="0"/>
      <w:marTop w:val="0"/>
      <w:marBottom w:val="0"/>
      <w:divBdr>
        <w:top w:val="none" w:sz="0" w:space="0" w:color="auto"/>
        <w:left w:val="none" w:sz="0" w:space="0" w:color="auto"/>
        <w:bottom w:val="none" w:sz="0" w:space="0" w:color="auto"/>
        <w:right w:val="none" w:sz="0" w:space="0" w:color="auto"/>
      </w:divBdr>
      <w:divsChild>
        <w:div w:id="593783861">
          <w:marLeft w:val="0"/>
          <w:marRight w:val="0"/>
          <w:marTop w:val="0"/>
          <w:marBottom w:val="0"/>
          <w:divBdr>
            <w:top w:val="none" w:sz="0" w:space="0" w:color="auto"/>
            <w:left w:val="none" w:sz="0" w:space="0" w:color="auto"/>
            <w:bottom w:val="none" w:sz="0" w:space="0" w:color="auto"/>
            <w:right w:val="none" w:sz="0" w:space="0" w:color="auto"/>
          </w:divBdr>
          <w:divsChild>
            <w:div w:id="233509266">
              <w:marLeft w:val="0"/>
              <w:marRight w:val="0"/>
              <w:marTop w:val="0"/>
              <w:marBottom w:val="0"/>
              <w:divBdr>
                <w:top w:val="none" w:sz="0" w:space="0" w:color="auto"/>
                <w:left w:val="none" w:sz="0" w:space="0" w:color="auto"/>
                <w:bottom w:val="none" w:sz="0" w:space="0" w:color="auto"/>
                <w:right w:val="none" w:sz="0" w:space="0" w:color="auto"/>
              </w:divBdr>
              <w:divsChild>
                <w:div w:id="160564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550300">
      <w:bodyDiv w:val="1"/>
      <w:marLeft w:val="0"/>
      <w:marRight w:val="0"/>
      <w:marTop w:val="0"/>
      <w:marBottom w:val="0"/>
      <w:divBdr>
        <w:top w:val="none" w:sz="0" w:space="0" w:color="auto"/>
        <w:left w:val="none" w:sz="0" w:space="0" w:color="auto"/>
        <w:bottom w:val="none" w:sz="0" w:space="0" w:color="auto"/>
        <w:right w:val="none" w:sz="0" w:space="0" w:color="auto"/>
      </w:divBdr>
    </w:div>
    <w:div w:id="1539856460">
      <w:bodyDiv w:val="1"/>
      <w:marLeft w:val="0"/>
      <w:marRight w:val="0"/>
      <w:marTop w:val="0"/>
      <w:marBottom w:val="0"/>
      <w:divBdr>
        <w:top w:val="none" w:sz="0" w:space="0" w:color="auto"/>
        <w:left w:val="none" w:sz="0" w:space="0" w:color="auto"/>
        <w:bottom w:val="none" w:sz="0" w:space="0" w:color="auto"/>
        <w:right w:val="none" w:sz="0" w:space="0" w:color="auto"/>
      </w:divBdr>
      <w:divsChild>
        <w:div w:id="777288955">
          <w:marLeft w:val="0"/>
          <w:marRight w:val="0"/>
          <w:marTop w:val="0"/>
          <w:marBottom w:val="0"/>
          <w:divBdr>
            <w:top w:val="none" w:sz="0" w:space="0" w:color="auto"/>
            <w:left w:val="none" w:sz="0" w:space="0" w:color="auto"/>
            <w:bottom w:val="none" w:sz="0" w:space="0" w:color="auto"/>
            <w:right w:val="none" w:sz="0" w:space="0" w:color="auto"/>
          </w:divBdr>
          <w:divsChild>
            <w:div w:id="413863534">
              <w:marLeft w:val="0"/>
              <w:marRight w:val="0"/>
              <w:marTop w:val="0"/>
              <w:marBottom w:val="0"/>
              <w:divBdr>
                <w:top w:val="none" w:sz="0" w:space="0" w:color="auto"/>
                <w:left w:val="none" w:sz="0" w:space="0" w:color="auto"/>
                <w:bottom w:val="none" w:sz="0" w:space="0" w:color="auto"/>
                <w:right w:val="none" w:sz="0" w:space="0" w:color="auto"/>
              </w:divBdr>
              <w:divsChild>
                <w:div w:id="148681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54086">
      <w:bodyDiv w:val="1"/>
      <w:marLeft w:val="0"/>
      <w:marRight w:val="0"/>
      <w:marTop w:val="0"/>
      <w:marBottom w:val="0"/>
      <w:divBdr>
        <w:top w:val="none" w:sz="0" w:space="0" w:color="auto"/>
        <w:left w:val="none" w:sz="0" w:space="0" w:color="auto"/>
        <w:bottom w:val="none" w:sz="0" w:space="0" w:color="auto"/>
        <w:right w:val="none" w:sz="0" w:space="0" w:color="auto"/>
      </w:divBdr>
    </w:div>
    <w:div w:id="1571423430">
      <w:bodyDiv w:val="1"/>
      <w:marLeft w:val="0"/>
      <w:marRight w:val="0"/>
      <w:marTop w:val="0"/>
      <w:marBottom w:val="0"/>
      <w:divBdr>
        <w:top w:val="none" w:sz="0" w:space="0" w:color="auto"/>
        <w:left w:val="none" w:sz="0" w:space="0" w:color="auto"/>
        <w:bottom w:val="none" w:sz="0" w:space="0" w:color="auto"/>
        <w:right w:val="none" w:sz="0" w:space="0" w:color="auto"/>
      </w:divBdr>
    </w:div>
    <w:div w:id="1587418584">
      <w:bodyDiv w:val="1"/>
      <w:marLeft w:val="0"/>
      <w:marRight w:val="0"/>
      <w:marTop w:val="0"/>
      <w:marBottom w:val="0"/>
      <w:divBdr>
        <w:top w:val="none" w:sz="0" w:space="0" w:color="auto"/>
        <w:left w:val="none" w:sz="0" w:space="0" w:color="auto"/>
        <w:bottom w:val="none" w:sz="0" w:space="0" w:color="auto"/>
        <w:right w:val="none" w:sz="0" w:space="0" w:color="auto"/>
      </w:divBdr>
      <w:divsChild>
        <w:div w:id="1181119235">
          <w:marLeft w:val="0"/>
          <w:marRight w:val="0"/>
          <w:marTop w:val="0"/>
          <w:marBottom w:val="0"/>
          <w:divBdr>
            <w:top w:val="none" w:sz="0" w:space="0" w:color="auto"/>
            <w:left w:val="none" w:sz="0" w:space="0" w:color="auto"/>
            <w:bottom w:val="none" w:sz="0" w:space="0" w:color="auto"/>
            <w:right w:val="none" w:sz="0" w:space="0" w:color="auto"/>
          </w:divBdr>
          <w:divsChild>
            <w:div w:id="933243238">
              <w:marLeft w:val="0"/>
              <w:marRight w:val="0"/>
              <w:marTop w:val="0"/>
              <w:marBottom w:val="0"/>
              <w:divBdr>
                <w:top w:val="none" w:sz="0" w:space="0" w:color="auto"/>
                <w:left w:val="none" w:sz="0" w:space="0" w:color="auto"/>
                <w:bottom w:val="none" w:sz="0" w:space="0" w:color="auto"/>
                <w:right w:val="none" w:sz="0" w:space="0" w:color="auto"/>
              </w:divBdr>
              <w:divsChild>
                <w:div w:id="64724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343173">
      <w:bodyDiv w:val="1"/>
      <w:marLeft w:val="0"/>
      <w:marRight w:val="0"/>
      <w:marTop w:val="0"/>
      <w:marBottom w:val="0"/>
      <w:divBdr>
        <w:top w:val="none" w:sz="0" w:space="0" w:color="auto"/>
        <w:left w:val="none" w:sz="0" w:space="0" w:color="auto"/>
        <w:bottom w:val="none" w:sz="0" w:space="0" w:color="auto"/>
        <w:right w:val="none" w:sz="0" w:space="0" w:color="auto"/>
      </w:divBdr>
    </w:div>
    <w:div w:id="1594314269">
      <w:bodyDiv w:val="1"/>
      <w:marLeft w:val="0"/>
      <w:marRight w:val="0"/>
      <w:marTop w:val="0"/>
      <w:marBottom w:val="0"/>
      <w:divBdr>
        <w:top w:val="none" w:sz="0" w:space="0" w:color="auto"/>
        <w:left w:val="none" w:sz="0" w:space="0" w:color="auto"/>
        <w:bottom w:val="none" w:sz="0" w:space="0" w:color="auto"/>
        <w:right w:val="none" w:sz="0" w:space="0" w:color="auto"/>
      </w:divBdr>
    </w:div>
    <w:div w:id="1612132252">
      <w:bodyDiv w:val="1"/>
      <w:marLeft w:val="0"/>
      <w:marRight w:val="0"/>
      <w:marTop w:val="0"/>
      <w:marBottom w:val="0"/>
      <w:divBdr>
        <w:top w:val="none" w:sz="0" w:space="0" w:color="auto"/>
        <w:left w:val="none" w:sz="0" w:space="0" w:color="auto"/>
        <w:bottom w:val="none" w:sz="0" w:space="0" w:color="auto"/>
        <w:right w:val="none" w:sz="0" w:space="0" w:color="auto"/>
      </w:divBdr>
    </w:div>
    <w:div w:id="1757092349">
      <w:bodyDiv w:val="1"/>
      <w:marLeft w:val="0"/>
      <w:marRight w:val="0"/>
      <w:marTop w:val="0"/>
      <w:marBottom w:val="0"/>
      <w:divBdr>
        <w:top w:val="none" w:sz="0" w:space="0" w:color="auto"/>
        <w:left w:val="none" w:sz="0" w:space="0" w:color="auto"/>
        <w:bottom w:val="none" w:sz="0" w:space="0" w:color="auto"/>
        <w:right w:val="none" w:sz="0" w:space="0" w:color="auto"/>
      </w:divBdr>
    </w:div>
    <w:div w:id="1804958937">
      <w:bodyDiv w:val="1"/>
      <w:marLeft w:val="0"/>
      <w:marRight w:val="0"/>
      <w:marTop w:val="0"/>
      <w:marBottom w:val="0"/>
      <w:divBdr>
        <w:top w:val="none" w:sz="0" w:space="0" w:color="auto"/>
        <w:left w:val="none" w:sz="0" w:space="0" w:color="auto"/>
        <w:bottom w:val="none" w:sz="0" w:space="0" w:color="auto"/>
        <w:right w:val="none" w:sz="0" w:space="0" w:color="auto"/>
      </w:divBdr>
    </w:div>
    <w:div w:id="1844125587">
      <w:bodyDiv w:val="1"/>
      <w:marLeft w:val="0"/>
      <w:marRight w:val="0"/>
      <w:marTop w:val="0"/>
      <w:marBottom w:val="0"/>
      <w:divBdr>
        <w:top w:val="none" w:sz="0" w:space="0" w:color="auto"/>
        <w:left w:val="none" w:sz="0" w:space="0" w:color="auto"/>
        <w:bottom w:val="none" w:sz="0" w:space="0" w:color="auto"/>
        <w:right w:val="none" w:sz="0" w:space="0" w:color="auto"/>
      </w:divBdr>
      <w:divsChild>
        <w:div w:id="376858781">
          <w:marLeft w:val="0"/>
          <w:marRight w:val="0"/>
          <w:marTop w:val="0"/>
          <w:marBottom w:val="0"/>
          <w:divBdr>
            <w:top w:val="none" w:sz="0" w:space="0" w:color="auto"/>
            <w:left w:val="none" w:sz="0" w:space="0" w:color="auto"/>
            <w:bottom w:val="none" w:sz="0" w:space="0" w:color="auto"/>
            <w:right w:val="none" w:sz="0" w:space="0" w:color="auto"/>
          </w:divBdr>
          <w:divsChild>
            <w:div w:id="558325464">
              <w:marLeft w:val="0"/>
              <w:marRight w:val="0"/>
              <w:marTop w:val="0"/>
              <w:marBottom w:val="0"/>
              <w:divBdr>
                <w:top w:val="none" w:sz="0" w:space="0" w:color="auto"/>
                <w:left w:val="none" w:sz="0" w:space="0" w:color="auto"/>
                <w:bottom w:val="none" w:sz="0" w:space="0" w:color="auto"/>
                <w:right w:val="none" w:sz="0" w:space="0" w:color="auto"/>
              </w:divBdr>
              <w:divsChild>
                <w:div w:id="141153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896840">
      <w:bodyDiv w:val="1"/>
      <w:marLeft w:val="0"/>
      <w:marRight w:val="0"/>
      <w:marTop w:val="0"/>
      <w:marBottom w:val="0"/>
      <w:divBdr>
        <w:top w:val="none" w:sz="0" w:space="0" w:color="auto"/>
        <w:left w:val="none" w:sz="0" w:space="0" w:color="auto"/>
        <w:bottom w:val="none" w:sz="0" w:space="0" w:color="auto"/>
        <w:right w:val="none" w:sz="0" w:space="0" w:color="auto"/>
      </w:divBdr>
    </w:div>
    <w:div w:id="1904362898">
      <w:bodyDiv w:val="1"/>
      <w:marLeft w:val="0"/>
      <w:marRight w:val="0"/>
      <w:marTop w:val="0"/>
      <w:marBottom w:val="0"/>
      <w:divBdr>
        <w:top w:val="none" w:sz="0" w:space="0" w:color="auto"/>
        <w:left w:val="none" w:sz="0" w:space="0" w:color="auto"/>
        <w:bottom w:val="none" w:sz="0" w:space="0" w:color="auto"/>
        <w:right w:val="none" w:sz="0" w:space="0" w:color="auto"/>
      </w:divBdr>
    </w:div>
    <w:div w:id="1909195364">
      <w:bodyDiv w:val="1"/>
      <w:marLeft w:val="0"/>
      <w:marRight w:val="0"/>
      <w:marTop w:val="0"/>
      <w:marBottom w:val="0"/>
      <w:divBdr>
        <w:top w:val="none" w:sz="0" w:space="0" w:color="auto"/>
        <w:left w:val="none" w:sz="0" w:space="0" w:color="auto"/>
        <w:bottom w:val="none" w:sz="0" w:space="0" w:color="auto"/>
        <w:right w:val="none" w:sz="0" w:space="0" w:color="auto"/>
      </w:divBdr>
    </w:div>
    <w:div w:id="1920285568">
      <w:bodyDiv w:val="1"/>
      <w:marLeft w:val="0"/>
      <w:marRight w:val="0"/>
      <w:marTop w:val="0"/>
      <w:marBottom w:val="0"/>
      <w:divBdr>
        <w:top w:val="none" w:sz="0" w:space="0" w:color="auto"/>
        <w:left w:val="none" w:sz="0" w:space="0" w:color="auto"/>
        <w:bottom w:val="none" w:sz="0" w:space="0" w:color="auto"/>
        <w:right w:val="none" w:sz="0" w:space="0" w:color="auto"/>
      </w:divBdr>
    </w:div>
    <w:div w:id="1968584149">
      <w:bodyDiv w:val="1"/>
      <w:marLeft w:val="0"/>
      <w:marRight w:val="0"/>
      <w:marTop w:val="0"/>
      <w:marBottom w:val="0"/>
      <w:divBdr>
        <w:top w:val="none" w:sz="0" w:space="0" w:color="auto"/>
        <w:left w:val="none" w:sz="0" w:space="0" w:color="auto"/>
        <w:bottom w:val="none" w:sz="0" w:space="0" w:color="auto"/>
        <w:right w:val="none" w:sz="0" w:space="0" w:color="auto"/>
      </w:divBdr>
      <w:divsChild>
        <w:div w:id="445658312">
          <w:marLeft w:val="0"/>
          <w:marRight w:val="0"/>
          <w:marTop w:val="0"/>
          <w:marBottom w:val="0"/>
          <w:divBdr>
            <w:top w:val="none" w:sz="0" w:space="0" w:color="auto"/>
            <w:left w:val="none" w:sz="0" w:space="0" w:color="auto"/>
            <w:bottom w:val="none" w:sz="0" w:space="0" w:color="auto"/>
            <w:right w:val="none" w:sz="0" w:space="0" w:color="auto"/>
          </w:divBdr>
          <w:divsChild>
            <w:div w:id="289482795">
              <w:marLeft w:val="0"/>
              <w:marRight w:val="0"/>
              <w:marTop w:val="0"/>
              <w:marBottom w:val="0"/>
              <w:divBdr>
                <w:top w:val="none" w:sz="0" w:space="0" w:color="auto"/>
                <w:left w:val="none" w:sz="0" w:space="0" w:color="auto"/>
                <w:bottom w:val="none" w:sz="0" w:space="0" w:color="auto"/>
                <w:right w:val="none" w:sz="0" w:space="0" w:color="auto"/>
              </w:divBdr>
              <w:divsChild>
                <w:div w:id="99490715">
                  <w:marLeft w:val="0"/>
                  <w:marRight w:val="0"/>
                  <w:marTop w:val="0"/>
                  <w:marBottom w:val="0"/>
                  <w:divBdr>
                    <w:top w:val="none" w:sz="0" w:space="0" w:color="auto"/>
                    <w:left w:val="none" w:sz="0" w:space="0" w:color="auto"/>
                    <w:bottom w:val="none" w:sz="0" w:space="0" w:color="auto"/>
                    <w:right w:val="none" w:sz="0" w:space="0" w:color="auto"/>
                  </w:divBdr>
                  <w:divsChild>
                    <w:div w:id="54540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2564049">
      <w:bodyDiv w:val="1"/>
      <w:marLeft w:val="0"/>
      <w:marRight w:val="0"/>
      <w:marTop w:val="0"/>
      <w:marBottom w:val="0"/>
      <w:divBdr>
        <w:top w:val="none" w:sz="0" w:space="0" w:color="auto"/>
        <w:left w:val="none" w:sz="0" w:space="0" w:color="auto"/>
        <w:bottom w:val="none" w:sz="0" w:space="0" w:color="auto"/>
        <w:right w:val="none" w:sz="0" w:space="0" w:color="auto"/>
      </w:divBdr>
    </w:div>
    <w:div w:id="2047414404">
      <w:bodyDiv w:val="1"/>
      <w:marLeft w:val="0"/>
      <w:marRight w:val="0"/>
      <w:marTop w:val="0"/>
      <w:marBottom w:val="0"/>
      <w:divBdr>
        <w:top w:val="none" w:sz="0" w:space="0" w:color="auto"/>
        <w:left w:val="none" w:sz="0" w:space="0" w:color="auto"/>
        <w:bottom w:val="none" w:sz="0" w:space="0" w:color="auto"/>
        <w:right w:val="none" w:sz="0" w:space="0" w:color="auto"/>
      </w:divBdr>
    </w:div>
    <w:div w:id="2057849768">
      <w:bodyDiv w:val="1"/>
      <w:marLeft w:val="0"/>
      <w:marRight w:val="0"/>
      <w:marTop w:val="0"/>
      <w:marBottom w:val="0"/>
      <w:divBdr>
        <w:top w:val="none" w:sz="0" w:space="0" w:color="auto"/>
        <w:left w:val="none" w:sz="0" w:space="0" w:color="auto"/>
        <w:bottom w:val="none" w:sz="0" w:space="0" w:color="auto"/>
        <w:right w:val="none" w:sz="0" w:space="0" w:color="auto"/>
      </w:divBdr>
      <w:divsChild>
        <w:div w:id="121307556">
          <w:marLeft w:val="0"/>
          <w:marRight w:val="0"/>
          <w:marTop w:val="0"/>
          <w:marBottom w:val="0"/>
          <w:divBdr>
            <w:top w:val="none" w:sz="0" w:space="0" w:color="auto"/>
            <w:left w:val="none" w:sz="0" w:space="0" w:color="auto"/>
            <w:bottom w:val="none" w:sz="0" w:space="0" w:color="auto"/>
            <w:right w:val="none" w:sz="0" w:space="0" w:color="auto"/>
          </w:divBdr>
          <w:divsChild>
            <w:div w:id="983703154">
              <w:marLeft w:val="0"/>
              <w:marRight w:val="0"/>
              <w:marTop w:val="0"/>
              <w:marBottom w:val="0"/>
              <w:divBdr>
                <w:top w:val="none" w:sz="0" w:space="0" w:color="auto"/>
                <w:left w:val="none" w:sz="0" w:space="0" w:color="auto"/>
                <w:bottom w:val="none" w:sz="0" w:space="0" w:color="auto"/>
                <w:right w:val="none" w:sz="0" w:space="0" w:color="auto"/>
              </w:divBdr>
              <w:divsChild>
                <w:div w:id="193770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332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605DD1-D378-4D2A-B784-F5AD85C4AC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DE6967-6D1F-4950-801E-24F321611220}">
  <ds:schemaRefs>
    <ds:schemaRef ds:uri="http://schemas.openxmlformats.org/officeDocument/2006/bibliography"/>
  </ds:schemaRefs>
</ds:datastoreItem>
</file>

<file path=customXml/itemProps3.xml><?xml version="1.0" encoding="utf-8"?>
<ds:datastoreItem xmlns:ds="http://schemas.openxmlformats.org/officeDocument/2006/customXml" ds:itemID="{A6531237-C176-4595-9494-449A98B1F90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22</TotalTime>
  <Pages>14</Pages>
  <Words>4855</Words>
  <Characters>26704</Characters>
  <Application>Microsoft Office Word</Application>
  <DocSecurity>0</DocSecurity>
  <Lines>222</Lines>
  <Paragraphs>62</Paragraphs>
  <ScaleCrop>false</ScaleCrop>
  <Company/>
  <LinksUpToDate>false</LinksUpToDate>
  <CharactersWithSpaces>31497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anv</dc:creator>
  <cp:lastModifiedBy>Nina María Padrón</cp:lastModifiedBy>
  <cp:revision>8</cp:revision>
  <dcterms:created xsi:type="dcterms:W3CDTF">2022-09-13T12:43:00Z</dcterms:created>
  <dcterms:modified xsi:type="dcterms:W3CDTF">2022-09-27T16:40:00Z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