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6EC5F" w14:textId="77777777" w:rsidR="00650248" w:rsidRPr="00105CF9" w:rsidRDefault="00650248" w:rsidP="007D0C93">
      <w:pPr>
        <w:spacing w:after="0" w:line="240" w:lineRule="auto"/>
        <w:rPr>
          <w:rFonts w:ascii="Arial" w:eastAsia="Calibri" w:hAnsi="Arial" w:cs="Arial"/>
          <w:b/>
          <w:bCs/>
          <w:color w:val="000000" w:themeColor="text1"/>
          <w:sz w:val="22"/>
          <w:lang w:val="es-ES" w:eastAsia="es-ES_tradnl"/>
        </w:rPr>
      </w:pPr>
      <w:bookmarkStart w:id="0" w:name="_Hlk78821436"/>
    </w:p>
    <w:p w14:paraId="62D6A7DC" w14:textId="4D40BA47" w:rsidR="00A12D0A" w:rsidRDefault="00A12D0A" w:rsidP="007D0C93">
      <w:pPr>
        <w:spacing w:after="0" w:line="240" w:lineRule="auto"/>
        <w:rPr>
          <w:rFonts w:ascii="Arial" w:eastAsia="Calibri" w:hAnsi="Arial" w:cs="Arial"/>
          <w:b/>
          <w:bCs/>
          <w:color w:val="000000" w:themeColor="text1"/>
          <w:sz w:val="22"/>
          <w:lang w:val="es-ES"/>
        </w:rPr>
      </w:pPr>
      <w:r>
        <w:rPr>
          <w:rFonts w:ascii="Arial" w:eastAsia="Calibri" w:hAnsi="Arial" w:cs="Arial"/>
          <w:b/>
          <w:bCs/>
          <w:color w:val="000000" w:themeColor="text1"/>
          <w:sz w:val="22"/>
          <w:lang w:val="es-ES"/>
        </w:rPr>
        <w:t>DOCUMENTOS TIPO</w:t>
      </w:r>
      <w:r w:rsidRPr="00105CF9">
        <w:rPr>
          <w:rFonts w:ascii="Arial" w:eastAsia="Calibri" w:hAnsi="Arial" w:cs="Arial"/>
          <w:b/>
          <w:bCs/>
          <w:color w:val="000000" w:themeColor="text1"/>
          <w:sz w:val="22"/>
          <w:lang w:val="es-ES"/>
        </w:rPr>
        <w:t xml:space="preserve"> – </w:t>
      </w:r>
      <w:r>
        <w:rPr>
          <w:rFonts w:ascii="Arial" w:eastAsia="Calibri" w:hAnsi="Arial" w:cs="Arial"/>
          <w:b/>
          <w:bCs/>
          <w:color w:val="000000" w:themeColor="text1"/>
          <w:sz w:val="22"/>
          <w:lang w:val="es-ES"/>
        </w:rPr>
        <w:t xml:space="preserve">PROCESOS DE LICITACIÓN DE OBRA PÚBLICA EN INFRAESTRUCTURA SOCIAL </w:t>
      </w:r>
      <w:r w:rsidRPr="00105CF9">
        <w:rPr>
          <w:rFonts w:ascii="Arial" w:eastAsia="Calibri" w:hAnsi="Arial" w:cs="Arial"/>
          <w:b/>
          <w:bCs/>
          <w:color w:val="000000" w:themeColor="text1"/>
          <w:sz w:val="22"/>
          <w:lang w:val="es-ES"/>
        </w:rPr>
        <w:t>–</w:t>
      </w:r>
      <w:r>
        <w:rPr>
          <w:rFonts w:ascii="Arial" w:eastAsia="Calibri" w:hAnsi="Arial" w:cs="Arial"/>
          <w:b/>
          <w:bCs/>
          <w:color w:val="000000" w:themeColor="text1"/>
          <w:sz w:val="22"/>
          <w:lang w:val="es-ES"/>
        </w:rPr>
        <w:t xml:space="preserve"> Marco normativo</w:t>
      </w:r>
      <w:r w:rsidR="00024861">
        <w:rPr>
          <w:rFonts w:ascii="Arial" w:eastAsia="Calibri" w:hAnsi="Arial" w:cs="Arial"/>
          <w:b/>
          <w:bCs/>
          <w:color w:val="000000" w:themeColor="text1"/>
          <w:sz w:val="22"/>
          <w:lang w:val="es-ES"/>
        </w:rPr>
        <w:t xml:space="preserve"> </w:t>
      </w:r>
      <w:r w:rsidR="00024861" w:rsidRPr="00105CF9">
        <w:rPr>
          <w:rFonts w:ascii="Arial" w:eastAsia="Calibri" w:hAnsi="Arial" w:cs="Arial"/>
          <w:b/>
          <w:bCs/>
          <w:color w:val="000000" w:themeColor="text1"/>
          <w:sz w:val="22"/>
          <w:lang w:val="es-ES"/>
        </w:rPr>
        <w:t>–</w:t>
      </w:r>
      <w:r w:rsidR="00024861">
        <w:rPr>
          <w:rFonts w:ascii="Arial" w:eastAsia="Calibri" w:hAnsi="Arial" w:cs="Arial"/>
          <w:b/>
          <w:bCs/>
          <w:color w:val="000000" w:themeColor="text1"/>
          <w:sz w:val="22"/>
          <w:lang w:val="es-ES"/>
        </w:rPr>
        <w:t xml:space="preserve"> Vigencia</w:t>
      </w:r>
    </w:p>
    <w:p w14:paraId="5AFDCF02" w14:textId="77777777" w:rsidR="00A12D0A" w:rsidRDefault="00A12D0A" w:rsidP="007D0C93">
      <w:pPr>
        <w:spacing w:after="0" w:line="240" w:lineRule="auto"/>
        <w:rPr>
          <w:rFonts w:ascii="Arial" w:eastAsia="Calibri" w:hAnsi="Arial" w:cs="Arial"/>
          <w:sz w:val="22"/>
        </w:rPr>
      </w:pPr>
    </w:p>
    <w:p w14:paraId="49A2C8CB" w14:textId="118CFCB3" w:rsidR="00650248" w:rsidRDefault="00FE01A4" w:rsidP="00FE01A4">
      <w:pPr>
        <w:spacing w:line="240" w:lineRule="auto"/>
        <w:rPr>
          <w:rFonts w:ascii="Arial" w:eastAsia="Times New Roman" w:hAnsi="Arial" w:cs="Arial"/>
          <w:sz w:val="20"/>
          <w:szCs w:val="20"/>
          <w:lang w:val="es-ES_tradnl" w:eastAsia="es-ES"/>
        </w:rPr>
      </w:pPr>
      <w:r>
        <w:rPr>
          <w:rFonts w:ascii="Arial" w:eastAsia="Calibri" w:hAnsi="Arial" w:cs="Arial"/>
          <w:sz w:val="20"/>
          <w:szCs w:val="20"/>
        </w:rPr>
        <w:t>[E]</w:t>
      </w:r>
      <w:r w:rsidRPr="00FE01A4">
        <w:rPr>
          <w:rFonts w:ascii="Arial" w:eastAsia="Calibri" w:hAnsi="Arial" w:cs="Arial"/>
          <w:sz w:val="20"/>
          <w:szCs w:val="20"/>
        </w:rPr>
        <w:t>l 22 de julio de 2020, el Gobierno Nacional sancionó la Ley 2022, que rige a partir de su publicación y cuyo artículo 1 modifica el artículo 4 de la Ley 1882 de 2018 en relación con los siguientes aspectos: i) el sujeto encargado de la adopción de los documentos tipo, ya que antes se señalaba al Gobierno Nacional y ahora la entidad encargada directamente por la Ley es la Agencia Nacional de Contratación Pública – Colombia Compra Eficiente o quien haga sus veces; ii) la inclusión de buenas prácticas contractuales y los principios de la contratación pública para establecer los requisitos habilitantes, factores técnicos, económicos y otros factores de escogencia en los documentos tipo; iii) la implementación de procesos de capacitación en los municipios para la utilización de los documentos tipo buscando el desarrollo de la economía local; y iv) las responsabilidades para Colombia Compra Eficiente en la definición del desarrollo e implementación de los documentos tipo mediante cronogramas, coordinación con otras entidades especializadas, recepción de comentarios de los interesados y revisión de los documentos tipo expedidos</w:t>
      </w:r>
      <w:r>
        <w:rPr>
          <w:rFonts w:ascii="Arial" w:eastAsia="Calibri" w:hAnsi="Arial" w:cs="Arial"/>
          <w:sz w:val="20"/>
          <w:szCs w:val="20"/>
        </w:rPr>
        <w:t xml:space="preserve"> […]. </w:t>
      </w:r>
      <w:r w:rsidRPr="00FE01A4">
        <w:rPr>
          <w:rFonts w:ascii="Arial" w:eastAsia="Calibri" w:hAnsi="Arial" w:cs="Arial"/>
          <w:sz w:val="20"/>
          <w:szCs w:val="20"/>
        </w:rPr>
        <w:t>En consecuencia, en materia de infraestructura social debe tenerse en cuenta que existen dos (2) clases de documentos tipo que se integran en cada proceso: i) los documentos transversales a todos los sectores de infraestructura social, es decir, el documento base, los anexos, los formatos, los formularios y las matrices adoptados mediante la Resolución No. 219 de 2021; y ii) los documentos tipo complementarios, referentes a la matriz de experiencia y el glosario, los cuales han sido adoptados en la resolución para cada sector específico, así: i) la Resolución 220 de 2021, «Por la cual se adoptan los documentos tipo complementarios para los procesos de licitación de obra pública de infraestructura social relacionados con el sector educativo»; ii) la Resolución 392 de 2021, «Por la cual se adoptan los documentos tipo complementarios para los procesos de licitación de obra pública de infraestructura social relacionados con el sector salud»; y iii) la Resolución 454 de 2021, «Por la cual se adoptan los documentos tipo complementarios para los procesos de licitación de obra pública de infraestructura social relacionados con el sector cultura, recreación y deporte».</w:t>
      </w:r>
      <w:r w:rsidR="008E7DAA">
        <w:rPr>
          <w:rFonts w:ascii="Arial" w:eastAsia="Calibri" w:hAnsi="Arial" w:cs="Arial"/>
          <w:sz w:val="20"/>
          <w:szCs w:val="20"/>
        </w:rPr>
        <w:t xml:space="preserve"> </w:t>
      </w:r>
      <w:r w:rsidRPr="00FE01A4">
        <w:rPr>
          <w:rFonts w:ascii="Arial" w:eastAsia="Calibri" w:hAnsi="Arial" w:cs="Arial"/>
          <w:sz w:val="20"/>
          <w:szCs w:val="20"/>
        </w:rPr>
        <w:t>El ámbito de aplicación de cada uno de los sectores señalados está dado por las resoluciones mediante las cuales se implementan los documentos complementarios y que desarrollan las matrices de experiencia y los glosarios que definirán concretamente cada sector y que precisan de forma detallada su ámbito de aplicación</w:t>
      </w:r>
      <w:r w:rsidR="008E7DAA">
        <w:rPr>
          <w:rFonts w:ascii="Arial" w:eastAsia="Calibri" w:hAnsi="Arial" w:cs="Arial"/>
          <w:sz w:val="20"/>
          <w:szCs w:val="20"/>
        </w:rPr>
        <w:t xml:space="preserve"> </w:t>
      </w:r>
      <w:r w:rsidR="008E7DAA">
        <w:rPr>
          <w:rFonts w:ascii="Arial" w:eastAsia="Calibri" w:hAnsi="Arial" w:cs="Arial"/>
          <w:sz w:val="20"/>
          <w:szCs w:val="20"/>
        </w:rPr>
        <w:t>[…]</w:t>
      </w:r>
      <w:r w:rsidR="00A12D0A" w:rsidRPr="006E5488">
        <w:rPr>
          <w:rFonts w:ascii="Arial" w:eastAsia="Times New Roman" w:hAnsi="Arial" w:cs="Arial"/>
          <w:sz w:val="20"/>
          <w:szCs w:val="20"/>
          <w:lang w:val="es-ES_tradnl" w:eastAsia="es-ES"/>
        </w:rPr>
        <w:t>.</w:t>
      </w:r>
      <w:bookmarkEnd w:id="0"/>
    </w:p>
    <w:p w14:paraId="431D6D3E" w14:textId="3E311624" w:rsidR="008E7DAA" w:rsidRPr="00015DA5" w:rsidRDefault="008E7DAA" w:rsidP="00FE01A4">
      <w:pPr>
        <w:spacing w:line="240" w:lineRule="auto"/>
        <w:rPr>
          <w:rFonts w:ascii="Arial" w:eastAsia="Times New Roman" w:hAnsi="Arial" w:cs="Arial"/>
          <w:sz w:val="20"/>
          <w:szCs w:val="20"/>
          <w:lang w:val="es-ES_tradnl" w:eastAsia="es-ES"/>
        </w:rPr>
      </w:pPr>
      <w:r w:rsidRPr="008E7DAA">
        <w:rPr>
          <w:rFonts w:ascii="Arial" w:eastAsia="Times New Roman" w:hAnsi="Arial" w:cs="Arial"/>
          <w:sz w:val="20"/>
          <w:szCs w:val="20"/>
          <w:lang w:val="es-ES" w:eastAsia="es-ES"/>
        </w:rPr>
        <w:t xml:space="preserve">Vale anotar </w:t>
      </w:r>
      <w:r w:rsidRPr="008E7DAA">
        <w:rPr>
          <w:rFonts w:ascii="Arial" w:eastAsia="Times New Roman" w:hAnsi="Arial" w:cs="Arial"/>
          <w:sz w:val="20"/>
          <w:szCs w:val="20"/>
          <w:lang w:val="es-ES_tradnl" w:eastAsia="es-ES"/>
        </w:rPr>
        <w:t xml:space="preserve">que mediante la Resolución 336 del 2 de noviembre de 2021, se aplazó y se dispuso la implementación gradual y progresiva de los documentos tipo complementarios para procesos de licitación de obra pública de infraestructura social, de acuerdo con los grupos de entidades y fechas señaladas en el cronograma del artículo 6 de la Resolución No. 219 de 2021. Teniendo en cuenta lo anterior, a partir del 1 de abril de 2022 estos documentos tipo deben ser implementados en todas las entidades en las que resulte obligatorio para los procedimientos de selección de licitación de obra pública de infraestructura social que estas adelanten. </w:t>
      </w:r>
    </w:p>
    <w:p w14:paraId="60D22453" w14:textId="77777777" w:rsidR="00A12D0A" w:rsidRPr="00105CF9" w:rsidRDefault="00A12D0A" w:rsidP="006E5488">
      <w:pPr>
        <w:spacing w:after="0" w:line="240" w:lineRule="auto"/>
        <w:jc w:val="right"/>
        <w:rPr>
          <w:rFonts w:ascii="Arial" w:eastAsia="Calibri" w:hAnsi="Arial" w:cs="Arial"/>
          <w:b/>
          <w:bCs/>
          <w:color w:val="000000" w:themeColor="text1"/>
          <w:sz w:val="22"/>
          <w:lang w:val="es-ES"/>
        </w:rPr>
      </w:pPr>
    </w:p>
    <w:p w14:paraId="04FE0292" w14:textId="0028346A" w:rsidR="00650248" w:rsidRPr="00105CF9" w:rsidRDefault="00A12D0A" w:rsidP="006E5488">
      <w:pPr>
        <w:spacing w:after="0" w:line="240" w:lineRule="auto"/>
        <w:rPr>
          <w:rFonts w:ascii="Arial" w:eastAsia="Calibri" w:hAnsi="Arial" w:cs="Arial"/>
          <w:b/>
          <w:bCs/>
          <w:color w:val="000000" w:themeColor="text1"/>
          <w:sz w:val="22"/>
          <w:lang w:val="es-ES"/>
        </w:rPr>
      </w:pPr>
      <w:r>
        <w:rPr>
          <w:rFonts w:ascii="Arial" w:eastAsia="Calibri" w:hAnsi="Arial" w:cs="Arial"/>
          <w:b/>
          <w:bCs/>
          <w:color w:val="000000" w:themeColor="text1"/>
          <w:sz w:val="22"/>
          <w:lang w:val="es-ES"/>
        </w:rPr>
        <w:t>DOCUMENTOS TIPO</w:t>
      </w:r>
      <w:r w:rsidR="00650248" w:rsidRPr="00105CF9">
        <w:rPr>
          <w:rFonts w:ascii="Arial" w:eastAsia="Calibri" w:hAnsi="Arial" w:cs="Arial"/>
          <w:b/>
          <w:bCs/>
          <w:color w:val="000000" w:themeColor="text1"/>
          <w:sz w:val="22"/>
          <w:lang w:val="es-ES"/>
        </w:rPr>
        <w:t xml:space="preserve"> – </w:t>
      </w:r>
      <w:r>
        <w:rPr>
          <w:rFonts w:ascii="Arial" w:eastAsia="Calibri" w:hAnsi="Arial" w:cs="Arial"/>
          <w:b/>
          <w:bCs/>
          <w:color w:val="000000" w:themeColor="text1"/>
          <w:sz w:val="22"/>
          <w:lang w:val="es-ES"/>
        </w:rPr>
        <w:t xml:space="preserve">PROCESOS DE LICITACIÓN DE OBRA PÚBLICA EN INFRAESTRUCTURA SOCIAL </w:t>
      </w:r>
      <w:r w:rsidRPr="00105CF9">
        <w:rPr>
          <w:rFonts w:ascii="Arial" w:eastAsia="Calibri" w:hAnsi="Arial" w:cs="Arial"/>
          <w:b/>
          <w:bCs/>
          <w:color w:val="000000" w:themeColor="text1"/>
          <w:sz w:val="22"/>
          <w:lang w:val="es-ES"/>
        </w:rPr>
        <w:t>–</w:t>
      </w:r>
      <w:r>
        <w:rPr>
          <w:rFonts w:ascii="Arial" w:eastAsia="Calibri" w:hAnsi="Arial" w:cs="Arial"/>
          <w:b/>
          <w:bCs/>
          <w:color w:val="000000" w:themeColor="text1"/>
          <w:sz w:val="22"/>
          <w:lang w:val="es-ES"/>
        </w:rPr>
        <w:t xml:space="preserve"> </w:t>
      </w:r>
      <w:r w:rsidR="008E7DAA">
        <w:rPr>
          <w:rFonts w:ascii="Arial" w:eastAsia="Calibri" w:hAnsi="Arial" w:cs="Arial"/>
          <w:b/>
          <w:bCs/>
          <w:color w:val="000000" w:themeColor="text1"/>
          <w:sz w:val="22"/>
          <w:lang w:val="es-ES"/>
        </w:rPr>
        <w:t>Acreditación de experiencia</w:t>
      </w:r>
    </w:p>
    <w:p w14:paraId="1FB540F5" w14:textId="77777777" w:rsidR="00650248" w:rsidRPr="00105CF9" w:rsidRDefault="00650248" w:rsidP="006E5488">
      <w:pPr>
        <w:spacing w:after="0" w:line="240" w:lineRule="auto"/>
        <w:rPr>
          <w:rFonts w:ascii="Arial" w:eastAsia="Calibri" w:hAnsi="Arial" w:cs="Arial"/>
          <w:b/>
          <w:bCs/>
          <w:color w:val="000000" w:themeColor="text1"/>
          <w:sz w:val="22"/>
          <w:lang w:val="es-ES"/>
        </w:rPr>
      </w:pPr>
    </w:p>
    <w:p w14:paraId="76DEF32F" w14:textId="2E23FCD4" w:rsidR="008E7DAA" w:rsidRDefault="008E7DAA" w:rsidP="008E7DAA">
      <w:pPr>
        <w:spacing w:after="0" w:line="240" w:lineRule="auto"/>
        <w:rPr>
          <w:rFonts w:ascii="Arial" w:eastAsia="Times New Roman" w:hAnsi="Arial" w:cs="Arial"/>
          <w:sz w:val="20"/>
          <w:szCs w:val="20"/>
          <w:lang w:val="es-ES" w:eastAsia="es-ES_tradnl"/>
        </w:rPr>
      </w:pPr>
      <w:r w:rsidRPr="008E7DAA">
        <w:rPr>
          <w:rFonts w:ascii="Arial" w:eastAsia="Times New Roman" w:hAnsi="Arial" w:cs="Arial"/>
          <w:sz w:val="20"/>
          <w:szCs w:val="20"/>
          <w:lang w:val="es-ES" w:eastAsia="es-ES_tradnl"/>
        </w:rPr>
        <w:t xml:space="preserve">El documento base que aplica de forma transversal a los proyectos de infraestructura social en los sectores educativo, salud, cultura, recreación y deporte, establece en el numeral 3.5 «Experiencia» las reglas para acreditar y evaluar la experiencia requerida en el procedimiento de contratación. Este numeral dispone que los proponentes deben acreditar la experiencia a través de: i) la información consignada en el RUP para aquellos que estén obligados a tenerlo, </w:t>
      </w:r>
      <w:proofErr w:type="spellStart"/>
      <w:r w:rsidRPr="008E7DAA">
        <w:rPr>
          <w:rFonts w:ascii="Arial" w:eastAsia="Times New Roman" w:hAnsi="Arial" w:cs="Arial"/>
          <w:sz w:val="20"/>
          <w:szCs w:val="20"/>
          <w:lang w:val="es-ES" w:eastAsia="es-ES_tradnl"/>
        </w:rPr>
        <w:t>ii</w:t>
      </w:r>
      <w:proofErr w:type="spellEnd"/>
      <w:r w:rsidRPr="008E7DAA">
        <w:rPr>
          <w:rFonts w:ascii="Arial" w:eastAsia="Times New Roman" w:hAnsi="Arial" w:cs="Arial"/>
          <w:sz w:val="20"/>
          <w:szCs w:val="20"/>
          <w:lang w:val="es-ES" w:eastAsia="es-ES_tradnl"/>
        </w:rPr>
        <w:t xml:space="preserve">) la presentación del «Formato </w:t>
      </w:r>
      <w:r w:rsidRPr="008E7DAA">
        <w:rPr>
          <w:rFonts w:ascii="Arial" w:eastAsia="Times New Roman" w:hAnsi="Arial" w:cs="Arial"/>
          <w:sz w:val="20"/>
          <w:szCs w:val="20"/>
          <w:lang w:val="es-ES" w:eastAsia="es-ES_tradnl"/>
        </w:rPr>
        <w:lastRenderedPageBreak/>
        <w:t xml:space="preserve">3 – Experiencia» para todos los proponentes y </w:t>
      </w:r>
      <w:proofErr w:type="spellStart"/>
      <w:r w:rsidRPr="008E7DAA">
        <w:rPr>
          <w:rFonts w:ascii="Arial" w:eastAsia="Times New Roman" w:hAnsi="Arial" w:cs="Arial"/>
          <w:sz w:val="20"/>
          <w:szCs w:val="20"/>
          <w:lang w:val="es-ES" w:eastAsia="es-ES_tradnl"/>
        </w:rPr>
        <w:t>iii</w:t>
      </w:r>
      <w:proofErr w:type="spellEnd"/>
      <w:r w:rsidRPr="008E7DAA">
        <w:rPr>
          <w:rFonts w:ascii="Arial" w:eastAsia="Times New Roman" w:hAnsi="Arial" w:cs="Arial"/>
          <w:sz w:val="20"/>
          <w:szCs w:val="20"/>
          <w:lang w:val="es-ES" w:eastAsia="es-ES_tradnl"/>
        </w:rPr>
        <w:t>) alguno de los documentos válidos para la acreditación de la experiencia señalados en el numeral 3.5.5 cuando se requiera la verificación de información del proponente adicional a la contenida en el RUP. Además, señala que la evaluación de los proponentes se efectuará de acuerdo con la experiencia contenida en el Registro Único de Proponentes –RUP– vigente y en firme antes del cierre del proceso. De esta manera, en los documentos tipo la experiencia se acreditará a través del RUP para los proponentes que estén obligados a tenerlo y para la verificación de la información adicional a la contenida en el RUP, el proponente deberá aportar la documentación requerida en los pliegos de condiciones</w:t>
      </w:r>
      <w:r>
        <w:rPr>
          <w:rFonts w:ascii="Arial" w:eastAsia="Times New Roman" w:hAnsi="Arial" w:cs="Arial"/>
          <w:sz w:val="20"/>
          <w:szCs w:val="20"/>
          <w:lang w:val="es-ES" w:eastAsia="es-ES_tradnl"/>
        </w:rPr>
        <w:t>.</w:t>
      </w:r>
    </w:p>
    <w:p w14:paraId="35A72097" w14:textId="77777777" w:rsidR="008E7DAA" w:rsidRDefault="008E7DAA" w:rsidP="008E7DAA">
      <w:pPr>
        <w:spacing w:after="0" w:line="240" w:lineRule="auto"/>
        <w:rPr>
          <w:rFonts w:ascii="Arial" w:eastAsia="Times New Roman" w:hAnsi="Arial" w:cs="Arial"/>
          <w:sz w:val="20"/>
          <w:szCs w:val="20"/>
          <w:lang w:val="es-ES" w:eastAsia="es-ES_tradnl"/>
        </w:rPr>
      </w:pPr>
    </w:p>
    <w:p w14:paraId="465291FB" w14:textId="5E781C8B" w:rsidR="008E7DAA" w:rsidRDefault="008E7DAA" w:rsidP="008E7DAA">
      <w:pPr>
        <w:spacing w:after="0" w:line="240" w:lineRule="auto"/>
        <w:rPr>
          <w:rFonts w:ascii="Arial" w:eastAsia="Times New Roman" w:hAnsi="Arial" w:cs="Arial"/>
          <w:sz w:val="20"/>
          <w:szCs w:val="20"/>
          <w:lang w:val="es-ES" w:eastAsia="es-ES_tradnl"/>
        </w:rPr>
      </w:pPr>
      <w:r w:rsidRPr="008E7DAA">
        <w:rPr>
          <w:rFonts w:ascii="Arial" w:eastAsia="Times New Roman" w:hAnsi="Arial" w:cs="Arial"/>
          <w:sz w:val="20"/>
          <w:szCs w:val="20"/>
          <w:lang w:val="es-ES" w:eastAsia="es-ES_tradnl"/>
        </w:rPr>
        <w:t>De acuerdo con las condiciones fijadas en el documento base de infraestructura social y las modificaciones efectuadas por la Resolución 275 de 2022, la acreditación del requisito habilitante de experiencia se aborda desde distintos criterios. En primer lugar, los contratos presentados por los proponentes deben corresponder a la actividad o actividades de experiencia general y específica que la entidad exija en el pliego de condiciones de acuerdo con los parámetros definidos en la Matriz 1 - Experiencia, sin perjuicio de las combinaciones de experiencia señalada en el literal A del numeral 3.5.1. en caso de requerirse</w:t>
      </w:r>
      <w:r>
        <w:rPr>
          <w:rFonts w:ascii="Arial" w:eastAsia="Times New Roman" w:hAnsi="Arial" w:cs="Arial"/>
          <w:sz w:val="20"/>
          <w:szCs w:val="20"/>
          <w:lang w:val="es-ES" w:eastAsia="es-ES_tradnl"/>
        </w:rPr>
        <w:t>.</w:t>
      </w:r>
      <w:r w:rsidRPr="008E7DAA">
        <w:rPr>
          <w:rFonts w:ascii="Arial" w:eastAsia="Times New Roman" w:hAnsi="Arial" w:cs="Arial"/>
          <w:sz w:val="20"/>
          <w:szCs w:val="20"/>
          <w:lang w:val="es-ES" w:eastAsia="es-ES_tradnl"/>
        </w:rPr>
        <w:t xml:space="preserve"> En segundo lugar, los proponentes deben acreditar el cumplimiento de las condiciones fijadas con mínimo uno (1) y máximo cinco (5) contratos, que debieron terminar antes de la fecha de cierre del proceso de contratación. En este punto, vale anotar que mediante la Resolución 275 de 2022 se modificó el número de contratos para acreditar la experiencia teniendo en cuenta los criterios diferenciales habilitantes para </w:t>
      </w:r>
      <w:proofErr w:type="spellStart"/>
      <w:r w:rsidRPr="008E7DAA">
        <w:rPr>
          <w:rFonts w:ascii="Arial" w:eastAsia="Times New Roman" w:hAnsi="Arial" w:cs="Arial"/>
          <w:sz w:val="20"/>
          <w:szCs w:val="20"/>
          <w:lang w:val="es-ES" w:eastAsia="es-ES_tradnl"/>
        </w:rPr>
        <w:t>Mipyme</w:t>
      </w:r>
      <w:proofErr w:type="spellEnd"/>
      <w:r w:rsidRPr="008E7DAA">
        <w:rPr>
          <w:rFonts w:ascii="Arial" w:eastAsia="Times New Roman" w:hAnsi="Arial" w:cs="Arial"/>
          <w:sz w:val="20"/>
          <w:szCs w:val="20"/>
          <w:lang w:val="es-ES" w:eastAsia="es-ES_tradnl"/>
        </w:rPr>
        <w:t xml:space="preserve"> y emprendimientos y empresas de mujeres establecidos en el Decreto 1860 de 2021. De esta manera, en los procesos cuyo aviso de convocatoria fue publicado después del 29 de agosto de 2022 el proponente acreditará la experiencia solicitada con máximo cinco (5) contratos. Sin embargo, si el proponente prueba la calidad de </w:t>
      </w:r>
      <w:proofErr w:type="spellStart"/>
      <w:r w:rsidRPr="008E7DAA">
        <w:rPr>
          <w:rFonts w:ascii="Arial" w:eastAsia="Times New Roman" w:hAnsi="Arial" w:cs="Arial"/>
          <w:sz w:val="20"/>
          <w:szCs w:val="20"/>
          <w:lang w:val="es-ES" w:eastAsia="es-ES_tradnl"/>
        </w:rPr>
        <w:t>Mipyme</w:t>
      </w:r>
      <w:proofErr w:type="spellEnd"/>
      <w:r w:rsidRPr="008E7DAA">
        <w:rPr>
          <w:rFonts w:ascii="Arial" w:eastAsia="Times New Roman" w:hAnsi="Arial" w:cs="Arial"/>
          <w:sz w:val="20"/>
          <w:szCs w:val="20"/>
          <w:lang w:val="es-ES" w:eastAsia="es-ES_tradnl"/>
        </w:rPr>
        <w:t xml:space="preserve"> o de emprendimiento y empresa de mujer con domicilio en el territorio nacional de conformidad con lo previsto en el artículo 2.2.1.13.2.2 del Decreto 1074 de 2015 y los artículos 2.2.1.2.4.2.4. y 2.2.1.2.4.2.14 del Decreto 1082 de 2015, podrá acreditar la experiencia solicitada con un (1) contrato adicional a los cinco (5) inicialmente previstos, para un máximo de seis (6) contratos. En caso de que el proponente pruebe la calidad de </w:t>
      </w:r>
      <w:proofErr w:type="spellStart"/>
      <w:r w:rsidRPr="008E7DAA">
        <w:rPr>
          <w:rFonts w:ascii="Arial" w:eastAsia="Times New Roman" w:hAnsi="Arial" w:cs="Arial"/>
          <w:sz w:val="20"/>
          <w:szCs w:val="20"/>
          <w:lang w:val="es-ES" w:eastAsia="es-ES_tradnl"/>
        </w:rPr>
        <w:t>Mipyme</w:t>
      </w:r>
      <w:proofErr w:type="spellEnd"/>
      <w:r w:rsidRPr="008E7DAA">
        <w:rPr>
          <w:rFonts w:ascii="Arial" w:eastAsia="Times New Roman" w:hAnsi="Arial" w:cs="Arial"/>
          <w:sz w:val="20"/>
          <w:szCs w:val="20"/>
          <w:lang w:val="es-ES" w:eastAsia="es-ES_tradnl"/>
        </w:rPr>
        <w:t xml:space="preserve"> y de emprendimiento y empresa de mujer con domicilio en el territorio nacional de manera conjunta, podrá demostrar la experiencia solicitada con dos (2) contratos adicionales a los cinco (5) inicialmente previstos, para un máximo de siete (7).</w:t>
      </w:r>
      <w:r>
        <w:rPr>
          <w:rFonts w:ascii="Arial" w:eastAsia="Times New Roman" w:hAnsi="Arial" w:cs="Arial"/>
          <w:sz w:val="20"/>
          <w:szCs w:val="20"/>
          <w:lang w:val="es-ES" w:eastAsia="es-ES_tradnl"/>
        </w:rPr>
        <w:t xml:space="preserve"> </w:t>
      </w:r>
      <w:r w:rsidRPr="008E7DAA">
        <w:rPr>
          <w:rFonts w:ascii="Arial" w:eastAsia="Times New Roman" w:hAnsi="Arial" w:cs="Arial"/>
          <w:sz w:val="20"/>
          <w:szCs w:val="20"/>
          <w:lang w:val="es-ES" w:eastAsia="es-ES_tradnl"/>
        </w:rPr>
        <w:t xml:space="preserve">Por último, el número de contratos aportados por el proponente debe certificar un valor mínimo correspondiente a un porcentaje del presupuesto oficial del proceso de obra expresado en SMMLV, cuya evaluación se realizará teniendo en cuenta la tabla establecida en el numeral 3.5.7. del pliego de condiciones. </w:t>
      </w:r>
    </w:p>
    <w:p w14:paraId="66CB8215" w14:textId="77777777" w:rsidR="008E7DAA" w:rsidRDefault="008E7DAA" w:rsidP="008E7DAA">
      <w:pPr>
        <w:spacing w:after="0" w:line="240" w:lineRule="auto"/>
        <w:rPr>
          <w:rFonts w:ascii="Arial" w:eastAsia="Times New Roman" w:hAnsi="Arial" w:cs="Arial"/>
          <w:sz w:val="20"/>
          <w:szCs w:val="20"/>
          <w:lang w:val="es-ES" w:eastAsia="es-ES_tradnl"/>
        </w:rPr>
      </w:pPr>
    </w:p>
    <w:p w14:paraId="5A9B1765" w14:textId="576BBDED" w:rsidR="00A12D0A" w:rsidRDefault="008E7DAA" w:rsidP="008E7DAA">
      <w:pPr>
        <w:spacing w:after="0" w:line="240" w:lineRule="auto"/>
        <w:rPr>
          <w:rFonts w:ascii="Arial" w:eastAsia="Times New Roman" w:hAnsi="Arial" w:cs="Arial"/>
          <w:sz w:val="20"/>
          <w:szCs w:val="20"/>
          <w:lang w:val="es-ES" w:eastAsia="es-ES_tradnl"/>
        </w:rPr>
      </w:pPr>
      <w:r w:rsidRPr="008E7DAA">
        <w:rPr>
          <w:rFonts w:ascii="Arial" w:eastAsia="Times New Roman" w:hAnsi="Arial" w:cs="Arial"/>
          <w:sz w:val="20"/>
          <w:szCs w:val="20"/>
          <w:lang w:val="es-ES" w:eastAsia="es-ES_tradnl"/>
        </w:rPr>
        <w:t xml:space="preserve">De esta manera, quienes acrediten la experiencia mediante 1 </w:t>
      </w:r>
      <w:proofErr w:type="spellStart"/>
      <w:r w:rsidRPr="008E7DAA">
        <w:rPr>
          <w:rFonts w:ascii="Arial" w:eastAsia="Times New Roman" w:hAnsi="Arial" w:cs="Arial"/>
          <w:sz w:val="20"/>
          <w:szCs w:val="20"/>
          <w:lang w:val="es-ES" w:eastAsia="es-ES_tradnl"/>
        </w:rPr>
        <w:t>ó</w:t>
      </w:r>
      <w:proofErr w:type="spellEnd"/>
      <w:r w:rsidRPr="008E7DAA">
        <w:rPr>
          <w:rFonts w:ascii="Arial" w:eastAsia="Times New Roman" w:hAnsi="Arial" w:cs="Arial"/>
          <w:sz w:val="20"/>
          <w:szCs w:val="20"/>
          <w:lang w:val="es-ES" w:eastAsia="es-ES_tradnl"/>
        </w:rPr>
        <w:t xml:space="preserve"> 2 contratos, la sumatoria de los valores ejecutados debe ser superior al 75% del valor del presupuesto oficial de obra expresado en SMMLV; si emplea 3 </w:t>
      </w:r>
      <w:proofErr w:type="spellStart"/>
      <w:r w:rsidRPr="008E7DAA">
        <w:rPr>
          <w:rFonts w:ascii="Arial" w:eastAsia="Times New Roman" w:hAnsi="Arial" w:cs="Arial"/>
          <w:sz w:val="20"/>
          <w:szCs w:val="20"/>
          <w:lang w:val="es-ES" w:eastAsia="es-ES_tradnl"/>
        </w:rPr>
        <w:t>ó</w:t>
      </w:r>
      <w:proofErr w:type="spellEnd"/>
      <w:r w:rsidRPr="008E7DAA">
        <w:rPr>
          <w:rFonts w:ascii="Arial" w:eastAsia="Times New Roman" w:hAnsi="Arial" w:cs="Arial"/>
          <w:sz w:val="20"/>
          <w:szCs w:val="20"/>
          <w:lang w:val="es-ES" w:eastAsia="es-ES_tradnl"/>
        </w:rPr>
        <w:t xml:space="preserve"> 4 contratos, la sumatoria de estos debe ser superior al 120% del valor del presupuesto oficial; y si emplea 5 contratos, sus valores sumados deberán alcanzar o superar el 150% del presupuesto oficial. Si el número de contratos aportados supera los cinco (5) inicialmente previstos en este numeral, puesto que el proponente demostró la calidad de </w:t>
      </w:r>
      <w:proofErr w:type="spellStart"/>
      <w:r w:rsidRPr="008E7DAA">
        <w:rPr>
          <w:rFonts w:ascii="Arial" w:eastAsia="Times New Roman" w:hAnsi="Arial" w:cs="Arial"/>
          <w:sz w:val="20"/>
          <w:szCs w:val="20"/>
          <w:lang w:val="es-ES" w:eastAsia="es-ES_tradnl"/>
        </w:rPr>
        <w:t>Mipyme</w:t>
      </w:r>
      <w:proofErr w:type="spellEnd"/>
      <w:r w:rsidRPr="008E7DAA">
        <w:rPr>
          <w:rFonts w:ascii="Arial" w:eastAsia="Times New Roman" w:hAnsi="Arial" w:cs="Arial"/>
          <w:sz w:val="20"/>
          <w:szCs w:val="20"/>
          <w:lang w:val="es-ES" w:eastAsia="es-ES_tradnl"/>
        </w:rPr>
        <w:t xml:space="preserve"> y/o emprendimiento y empresa de mujer, estos contratos adicionales, se tendrán en cuenta para demostrar el valor del ciento cincuenta por ciento (150 %) del valor del presupuesto </w:t>
      </w:r>
      <w:proofErr w:type="gramStart"/>
      <w:r w:rsidRPr="008E7DAA">
        <w:rPr>
          <w:rFonts w:ascii="Arial" w:eastAsia="Times New Roman" w:hAnsi="Arial" w:cs="Arial"/>
          <w:sz w:val="20"/>
          <w:szCs w:val="20"/>
          <w:lang w:val="es-ES" w:eastAsia="es-ES_tradnl"/>
        </w:rPr>
        <w:t>oficial.</w:t>
      </w:r>
      <w:r w:rsidR="00A12D0A" w:rsidRPr="006E5488">
        <w:rPr>
          <w:rFonts w:ascii="Arial" w:eastAsia="Times New Roman" w:hAnsi="Arial" w:cs="Arial"/>
          <w:sz w:val="20"/>
          <w:szCs w:val="20"/>
          <w:lang w:val="es-ES" w:eastAsia="es-ES_tradnl"/>
        </w:rPr>
        <w:t>.</w:t>
      </w:r>
      <w:proofErr w:type="gramEnd"/>
      <w:r>
        <w:rPr>
          <w:rFonts w:ascii="Arial" w:eastAsia="Times New Roman" w:hAnsi="Arial" w:cs="Arial"/>
          <w:sz w:val="20"/>
          <w:szCs w:val="20"/>
          <w:lang w:val="es-ES" w:eastAsia="es-ES_tradnl"/>
        </w:rPr>
        <w:t xml:space="preserve"> </w:t>
      </w:r>
    </w:p>
    <w:p w14:paraId="5726E5D7" w14:textId="77777777" w:rsidR="008E7DAA" w:rsidRPr="006E5488" w:rsidRDefault="008E7DAA" w:rsidP="00015DA5">
      <w:pPr>
        <w:spacing w:after="0" w:line="240" w:lineRule="auto"/>
        <w:rPr>
          <w:rFonts w:ascii="Arial" w:eastAsia="Times New Roman" w:hAnsi="Arial" w:cs="Arial"/>
          <w:sz w:val="20"/>
          <w:szCs w:val="20"/>
          <w:lang w:val="es-ES" w:eastAsia="es-ES_tradnl"/>
        </w:rPr>
      </w:pPr>
    </w:p>
    <w:p w14:paraId="11973424" w14:textId="1CC8C424" w:rsidR="00024861" w:rsidRPr="00105CF9" w:rsidRDefault="00024861" w:rsidP="006E5488">
      <w:pPr>
        <w:spacing w:line="240" w:lineRule="auto"/>
        <w:rPr>
          <w:rFonts w:ascii="Arial" w:eastAsia="Calibri" w:hAnsi="Arial" w:cs="Arial"/>
          <w:b/>
          <w:bCs/>
          <w:color w:val="000000" w:themeColor="text1"/>
          <w:sz w:val="22"/>
          <w:lang w:val="es-ES" w:eastAsia="es-ES_tradnl"/>
        </w:rPr>
      </w:pPr>
      <w:r>
        <w:rPr>
          <w:rFonts w:ascii="Arial" w:eastAsia="Calibri" w:hAnsi="Arial" w:cs="Arial"/>
          <w:b/>
          <w:bCs/>
          <w:sz w:val="22"/>
        </w:rPr>
        <w:t>PROYECTOS DE INFRAESTRUCRURA SOCIAL ESTRUCTURADOS POR LOTES, MÓDULOS O GRUPOS</w:t>
      </w:r>
      <w:r w:rsidR="00650248" w:rsidRPr="00105CF9">
        <w:rPr>
          <w:rFonts w:ascii="Arial" w:eastAsia="Calibri" w:hAnsi="Arial" w:cs="Arial"/>
          <w:sz w:val="22"/>
        </w:rPr>
        <w:t xml:space="preserve"> </w:t>
      </w:r>
      <w:r w:rsidR="00650248" w:rsidRPr="00105CF9">
        <w:rPr>
          <w:rFonts w:ascii="Arial" w:eastAsia="Calibri" w:hAnsi="Arial" w:cs="Arial"/>
          <w:b/>
          <w:bCs/>
          <w:color w:val="000000" w:themeColor="text1"/>
          <w:sz w:val="22"/>
          <w:lang w:eastAsia="es-ES_tradnl"/>
        </w:rPr>
        <w:t>–</w:t>
      </w:r>
      <w:r>
        <w:rPr>
          <w:rFonts w:ascii="Arial" w:eastAsia="Calibri" w:hAnsi="Arial" w:cs="Arial"/>
          <w:b/>
          <w:bCs/>
          <w:color w:val="000000" w:themeColor="text1"/>
          <w:sz w:val="22"/>
          <w:lang w:val="es-ES" w:eastAsia="es-ES_tradnl"/>
        </w:rPr>
        <w:t xml:space="preserve"> Acreditación de experiencia</w:t>
      </w:r>
    </w:p>
    <w:p w14:paraId="1D7545A5" w14:textId="03EBBBFE" w:rsidR="00015DA5" w:rsidRPr="00015DA5" w:rsidRDefault="008E7DAA" w:rsidP="00015DA5">
      <w:pPr>
        <w:tabs>
          <w:tab w:val="left" w:pos="426"/>
        </w:tabs>
        <w:spacing w:line="240" w:lineRule="auto"/>
        <w:rPr>
          <w:rFonts w:ascii="Arial" w:eastAsia="Arial" w:hAnsi="Arial" w:cs="Arial"/>
          <w:color w:val="000000" w:themeColor="text1"/>
          <w:sz w:val="20"/>
          <w:szCs w:val="20"/>
          <w:lang w:val="es-ES_tradnl"/>
        </w:rPr>
      </w:pPr>
      <w:r w:rsidRPr="008E7DAA">
        <w:rPr>
          <w:rFonts w:ascii="Arial" w:eastAsia="Calibri" w:hAnsi="Arial" w:cs="Arial"/>
          <w:color w:val="000000" w:themeColor="text1"/>
          <w:sz w:val="20"/>
          <w:szCs w:val="20"/>
          <w:lang w:val="es-ES_tradnl"/>
        </w:rPr>
        <w:t>En relación con los proceso</w:t>
      </w:r>
      <w:r>
        <w:rPr>
          <w:rFonts w:ascii="Arial" w:eastAsia="Calibri" w:hAnsi="Arial" w:cs="Arial"/>
          <w:color w:val="000000" w:themeColor="text1"/>
          <w:sz w:val="20"/>
          <w:szCs w:val="20"/>
          <w:lang w:val="es-ES_tradnl"/>
        </w:rPr>
        <w:t>s</w:t>
      </w:r>
      <w:r w:rsidRPr="008E7DAA">
        <w:rPr>
          <w:rFonts w:ascii="Arial" w:eastAsia="Calibri" w:hAnsi="Arial" w:cs="Arial"/>
          <w:color w:val="000000" w:themeColor="text1"/>
          <w:sz w:val="20"/>
          <w:szCs w:val="20"/>
          <w:lang w:val="es-ES_tradnl"/>
        </w:rPr>
        <w:t xml:space="preserve"> estructurados en lotes o grupos es preciso señalar que el numeral 2.10 del documento base establece las reglas que se deben aplicar cuando las entidades estructuren sus procesos por lotes o </w:t>
      </w:r>
      <w:proofErr w:type="gramStart"/>
      <w:r w:rsidRPr="008E7DAA">
        <w:rPr>
          <w:rFonts w:ascii="Arial" w:eastAsia="Calibri" w:hAnsi="Arial" w:cs="Arial"/>
          <w:color w:val="000000" w:themeColor="text1"/>
          <w:sz w:val="20"/>
          <w:szCs w:val="20"/>
          <w:lang w:val="es-ES_tradnl"/>
        </w:rPr>
        <w:t>grupos.</w:t>
      </w:r>
      <w:r>
        <w:rPr>
          <w:rFonts w:ascii="Arial" w:eastAsia="Calibri" w:hAnsi="Arial" w:cs="Arial"/>
          <w:sz w:val="20"/>
          <w:szCs w:val="20"/>
        </w:rPr>
        <w:t>[</w:t>
      </w:r>
      <w:proofErr w:type="gramEnd"/>
      <w:r>
        <w:rPr>
          <w:rFonts w:ascii="Arial" w:eastAsia="Calibri" w:hAnsi="Arial" w:cs="Arial"/>
          <w:sz w:val="20"/>
          <w:szCs w:val="20"/>
        </w:rPr>
        <w:t>…]</w:t>
      </w:r>
      <w:r w:rsidR="00015DA5">
        <w:rPr>
          <w:rFonts w:ascii="Arial" w:eastAsia="Arial" w:hAnsi="Arial" w:cs="Arial"/>
          <w:color w:val="000000" w:themeColor="text1"/>
          <w:sz w:val="20"/>
          <w:szCs w:val="20"/>
        </w:rPr>
        <w:t xml:space="preserve"> </w:t>
      </w:r>
      <w:r w:rsidR="00015DA5" w:rsidRPr="00015DA5">
        <w:rPr>
          <w:rFonts w:ascii="Arial" w:eastAsia="Arial" w:hAnsi="Arial" w:cs="Arial"/>
          <w:color w:val="000000" w:themeColor="text1"/>
          <w:sz w:val="20"/>
          <w:szCs w:val="20"/>
          <w:lang w:val="es-ES_tradnl"/>
        </w:rPr>
        <w:t xml:space="preserve">En primer lugar, de conformidad con los documentos tipo para </w:t>
      </w:r>
      <w:r w:rsidR="00015DA5" w:rsidRPr="00015DA5">
        <w:rPr>
          <w:rFonts w:ascii="Arial" w:eastAsia="Arial" w:hAnsi="Arial" w:cs="Arial"/>
          <w:color w:val="000000" w:themeColor="text1"/>
          <w:sz w:val="20"/>
          <w:szCs w:val="20"/>
          <w:lang w:val="es-ES_tradnl"/>
        </w:rPr>
        <w:lastRenderedPageBreak/>
        <w:t xml:space="preserve">licitación de obra pública de infraestructura social, las entidades estatales cuentan con discrecionalidad para estructurar sus procesos por lotes o grupos. En segundo lugar, habiendo optado por configurar así el procedimiento de selección, las entidades estatales igualmente tienen libertad para indicar si los proponentes pueden presentar oferta para más de un lote o grupo. En tercer lugar, una vez definido </w:t>
      </w:r>
      <w:proofErr w:type="gramStart"/>
      <w:r w:rsidR="00015DA5" w:rsidRPr="00015DA5">
        <w:rPr>
          <w:rFonts w:ascii="Arial" w:eastAsia="Arial" w:hAnsi="Arial" w:cs="Arial"/>
          <w:color w:val="000000" w:themeColor="text1"/>
          <w:sz w:val="20"/>
          <w:szCs w:val="20"/>
          <w:lang w:val="es-ES_tradnl"/>
        </w:rPr>
        <w:t>que</w:t>
      </w:r>
      <w:proofErr w:type="gramEnd"/>
      <w:r w:rsidR="00015DA5" w:rsidRPr="00015DA5">
        <w:rPr>
          <w:rFonts w:ascii="Arial" w:eastAsia="Arial" w:hAnsi="Arial" w:cs="Arial"/>
          <w:color w:val="000000" w:themeColor="text1"/>
          <w:sz w:val="20"/>
          <w:szCs w:val="20"/>
          <w:lang w:val="es-ES_tradnl"/>
        </w:rPr>
        <w:t xml:space="preserve"> si es posible lo anterior, las entidades estatales deben indicar si es viable que un oferente sea adjudicatario de más de un lote o grupo. En cuarto lugar, los proponentes deberán acreditar las condiciones habilitantes requeridas para cada uno de los lotes a los que se presente, teniendo en cuenta los requisitos establecidos por la entidad en el pliego de condiciones. En quinto lugar, la verificación de la experiencia solicitada se realiza de forma independiente para cada lote o grupo al que se presente el proponente. </w:t>
      </w:r>
    </w:p>
    <w:p w14:paraId="4DC75D10" w14:textId="4C767168" w:rsidR="00024861" w:rsidRPr="00024861" w:rsidRDefault="00015DA5" w:rsidP="00015DA5">
      <w:pPr>
        <w:tabs>
          <w:tab w:val="left" w:pos="426"/>
        </w:tabs>
        <w:spacing w:line="240" w:lineRule="auto"/>
        <w:rPr>
          <w:rFonts w:ascii="Arial" w:eastAsia="Arial" w:hAnsi="Arial" w:cs="Arial"/>
          <w:color w:val="000000" w:themeColor="text1"/>
          <w:sz w:val="22"/>
        </w:rPr>
      </w:pPr>
      <w:r w:rsidRPr="00015DA5">
        <w:rPr>
          <w:rFonts w:ascii="Arial" w:eastAsia="Arial" w:hAnsi="Arial" w:cs="Arial"/>
          <w:color w:val="000000" w:themeColor="text1"/>
          <w:sz w:val="20"/>
          <w:szCs w:val="20"/>
          <w:lang w:val="es-ES_tradnl"/>
        </w:rPr>
        <w:t xml:space="preserve">De esta manera, para efectos de la acreditación de experiencia en los procesos estructurados por lote o grupos </w:t>
      </w:r>
      <w:r w:rsidRPr="00015DA5">
        <w:rPr>
          <w:rFonts w:ascii="Arial" w:eastAsia="Arial" w:hAnsi="Arial" w:cs="Arial"/>
          <w:color w:val="000000" w:themeColor="text1"/>
          <w:sz w:val="20"/>
          <w:szCs w:val="20"/>
          <w:lang w:val="es-CO"/>
        </w:rPr>
        <w:t>el proponente podrá aportar el número máximo de contratos permitidos para cada uno de los lotes o grupos a los que se presente,</w:t>
      </w:r>
      <w:r w:rsidRPr="00015DA5">
        <w:rPr>
          <w:rFonts w:ascii="Arial" w:eastAsia="Arial" w:hAnsi="Arial" w:cs="Arial"/>
          <w:bCs/>
          <w:color w:val="000000" w:themeColor="text1"/>
          <w:sz w:val="20"/>
          <w:szCs w:val="20"/>
          <w:lang w:val="es-ES_tradnl"/>
        </w:rPr>
        <w:t xml:space="preserve"> es decir, podrá </w:t>
      </w:r>
      <w:proofErr w:type="spellStart"/>
      <w:r w:rsidRPr="00015DA5">
        <w:rPr>
          <w:rFonts w:ascii="Arial" w:eastAsia="Arial" w:hAnsi="Arial" w:cs="Arial"/>
          <w:bCs/>
          <w:color w:val="000000" w:themeColor="text1"/>
          <w:sz w:val="20"/>
          <w:szCs w:val="20"/>
          <w:lang w:val="es-ES_tradnl"/>
        </w:rPr>
        <w:t>allegar</w:t>
      </w:r>
      <w:proofErr w:type="spellEnd"/>
      <w:r w:rsidRPr="00015DA5">
        <w:rPr>
          <w:rFonts w:ascii="Arial" w:eastAsia="Arial" w:hAnsi="Arial" w:cs="Arial"/>
          <w:bCs/>
          <w:color w:val="000000" w:themeColor="text1"/>
          <w:sz w:val="20"/>
          <w:szCs w:val="20"/>
          <w:lang w:val="es-ES_tradnl"/>
        </w:rPr>
        <w:t xml:space="preserve"> hasta 5 contratos para cada lote, sin perjuicio de las reglas sobre la acreditación de </w:t>
      </w:r>
      <w:proofErr w:type="spellStart"/>
      <w:r w:rsidRPr="00015DA5">
        <w:rPr>
          <w:rFonts w:ascii="Arial" w:eastAsia="Arial" w:hAnsi="Arial" w:cs="Arial"/>
          <w:bCs/>
          <w:color w:val="000000" w:themeColor="text1"/>
          <w:sz w:val="20"/>
          <w:szCs w:val="20"/>
          <w:lang w:val="es-ES_tradnl"/>
        </w:rPr>
        <w:t>Mipyme</w:t>
      </w:r>
      <w:proofErr w:type="spellEnd"/>
      <w:r w:rsidRPr="00015DA5">
        <w:rPr>
          <w:rFonts w:ascii="Arial" w:eastAsia="Arial" w:hAnsi="Arial" w:cs="Arial"/>
          <w:bCs/>
          <w:color w:val="000000" w:themeColor="text1"/>
          <w:sz w:val="20"/>
          <w:szCs w:val="20"/>
          <w:lang w:val="es-ES_tradnl"/>
        </w:rPr>
        <w:t xml:space="preserve"> y emprendimiento y empresas de mujeres. También podrá optar por allegar el mismo o varios contratos para todos o varios de los lotes o grupos, lo que significa que el contrato que aportó para un lote también podrá acreditar la experiencia respecto de otro lote o grupo, siempre que cumpla con los requisitos de experiencia general y especifica exigidos para cada uno de ellos. En todo caso, debe tenerse en cuenta que el número de contratos que aporte para cada lote o grupo impacta en relación con el valor </w:t>
      </w:r>
      <w:r w:rsidRPr="00015DA5">
        <w:rPr>
          <w:rFonts w:ascii="Arial" w:eastAsia="Arial" w:hAnsi="Arial" w:cs="Arial"/>
          <w:color w:val="000000" w:themeColor="text1"/>
          <w:sz w:val="20"/>
          <w:szCs w:val="20"/>
          <w:lang w:val="es-ES_tradnl"/>
        </w:rPr>
        <w:t xml:space="preserve">mínimo a certificar que debe ser en relación con el valor del presupuesto oficial del respectivo lote o grupo </w:t>
      </w:r>
      <w:r w:rsidRPr="00015DA5">
        <w:rPr>
          <w:rFonts w:ascii="Arial" w:eastAsia="Arial" w:hAnsi="Arial" w:cs="Arial"/>
          <w:bCs/>
          <w:color w:val="000000" w:themeColor="text1"/>
          <w:sz w:val="20"/>
          <w:szCs w:val="20"/>
          <w:lang w:val="es-ES_tradnl"/>
        </w:rPr>
        <w:t>expresado en SMMLV de acuerdo con la tabla establecida en el numeral 3.5.7 del documento base.</w:t>
      </w:r>
    </w:p>
    <w:p w14:paraId="2B4CF750" w14:textId="77777777" w:rsidR="00650248" w:rsidRDefault="00650248" w:rsidP="00650248">
      <w:pPr>
        <w:spacing w:after="0"/>
        <w:rPr>
          <w:rFonts w:ascii="Arial" w:eastAsia="Calibri" w:hAnsi="Arial" w:cs="Arial"/>
          <w:b/>
          <w:bCs/>
          <w:color w:val="000000" w:themeColor="text1"/>
          <w:sz w:val="20"/>
          <w:szCs w:val="20"/>
          <w:lang w:val="es-ES"/>
        </w:rPr>
      </w:pPr>
    </w:p>
    <w:p w14:paraId="42B87C79" w14:textId="77777777" w:rsidR="00650248" w:rsidRDefault="00650248" w:rsidP="00650248">
      <w:pPr>
        <w:spacing w:after="0"/>
        <w:rPr>
          <w:rFonts w:ascii="Arial" w:eastAsia="Calibri" w:hAnsi="Arial" w:cs="Arial"/>
          <w:b/>
          <w:bCs/>
          <w:color w:val="000000" w:themeColor="text1"/>
          <w:sz w:val="20"/>
          <w:szCs w:val="20"/>
          <w:lang w:val="es-ES"/>
        </w:rPr>
      </w:pPr>
    </w:p>
    <w:p w14:paraId="3A8C0194" w14:textId="77777777" w:rsidR="00650248" w:rsidRDefault="00650248" w:rsidP="00650248">
      <w:pPr>
        <w:spacing w:after="0"/>
        <w:rPr>
          <w:rFonts w:ascii="Arial" w:eastAsia="Calibri" w:hAnsi="Arial" w:cs="Arial"/>
          <w:b/>
          <w:bCs/>
          <w:color w:val="000000" w:themeColor="text1"/>
          <w:sz w:val="20"/>
          <w:szCs w:val="20"/>
          <w:lang w:val="es-ES"/>
        </w:rPr>
      </w:pPr>
    </w:p>
    <w:p w14:paraId="28255984" w14:textId="3471EF68" w:rsidR="00650248" w:rsidRDefault="00650248" w:rsidP="00650248">
      <w:pPr>
        <w:spacing w:after="0"/>
        <w:rPr>
          <w:rFonts w:ascii="Arial" w:eastAsia="Calibri" w:hAnsi="Arial" w:cs="Arial"/>
          <w:b/>
          <w:bCs/>
          <w:color w:val="000000" w:themeColor="text1"/>
          <w:sz w:val="20"/>
          <w:szCs w:val="20"/>
          <w:lang w:val="es-ES"/>
        </w:rPr>
      </w:pPr>
    </w:p>
    <w:p w14:paraId="11FA4745" w14:textId="4FA5C2FD" w:rsidR="007D0C93" w:rsidRDefault="007D0C93" w:rsidP="00650248">
      <w:pPr>
        <w:spacing w:after="0"/>
        <w:rPr>
          <w:rFonts w:ascii="Arial" w:eastAsia="Calibri" w:hAnsi="Arial" w:cs="Arial"/>
          <w:b/>
          <w:bCs/>
          <w:color w:val="000000" w:themeColor="text1"/>
          <w:sz w:val="20"/>
          <w:szCs w:val="20"/>
          <w:lang w:val="es-ES"/>
        </w:rPr>
      </w:pPr>
    </w:p>
    <w:p w14:paraId="2536362F" w14:textId="4D94A0DA" w:rsidR="007D0C93" w:rsidRDefault="007D0C93" w:rsidP="00650248">
      <w:pPr>
        <w:spacing w:after="0"/>
        <w:rPr>
          <w:rFonts w:ascii="Arial" w:eastAsia="Calibri" w:hAnsi="Arial" w:cs="Arial"/>
          <w:b/>
          <w:bCs/>
          <w:color w:val="000000" w:themeColor="text1"/>
          <w:sz w:val="20"/>
          <w:szCs w:val="20"/>
          <w:lang w:val="es-ES"/>
        </w:rPr>
      </w:pPr>
    </w:p>
    <w:p w14:paraId="59EBBA8A" w14:textId="0BAEDD18" w:rsidR="007D0C93" w:rsidRDefault="007D0C93" w:rsidP="00650248">
      <w:pPr>
        <w:spacing w:after="0"/>
        <w:rPr>
          <w:rFonts w:ascii="Arial" w:eastAsia="Calibri" w:hAnsi="Arial" w:cs="Arial"/>
          <w:b/>
          <w:bCs/>
          <w:color w:val="000000" w:themeColor="text1"/>
          <w:sz w:val="20"/>
          <w:szCs w:val="20"/>
          <w:lang w:val="es-ES"/>
        </w:rPr>
      </w:pPr>
    </w:p>
    <w:p w14:paraId="4E6495F1" w14:textId="0E7CC266" w:rsidR="007D0C93" w:rsidRDefault="007D0C93" w:rsidP="00650248">
      <w:pPr>
        <w:spacing w:after="0"/>
        <w:rPr>
          <w:rFonts w:ascii="Arial" w:eastAsia="Calibri" w:hAnsi="Arial" w:cs="Arial"/>
          <w:b/>
          <w:bCs/>
          <w:color w:val="000000" w:themeColor="text1"/>
          <w:sz w:val="20"/>
          <w:szCs w:val="20"/>
          <w:lang w:val="es-ES"/>
        </w:rPr>
      </w:pPr>
    </w:p>
    <w:p w14:paraId="633A6C7D" w14:textId="53507C5A" w:rsidR="007D0C93" w:rsidRDefault="007D0C93" w:rsidP="00650248">
      <w:pPr>
        <w:spacing w:after="0"/>
        <w:rPr>
          <w:rFonts w:ascii="Arial" w:eastAsia="Calibri" w:hAnsi="Arial" w:cs="Arial"/>
          <w:b/>
          <w:bCs/>
          <w:color w:val="000000" w:themeColor="text1"/>
          <w:sz w:val="20"/>
          <w:szCs w:val="20"/>
          <w:lang w:val="es-ES"/>
        </w:rPr>
      </w:pPr>
    </w:p>
    <w:p w14:paraId="51BF6A7A" w14:textId="72D4926F" w:rsidR="007D0C93" w:rsidRDefault="007D0C93" w:rsidP="00650248">
      <w:pPr>
        <w:spacing w:after="0"/>
        <w:rPr>
          <w:rFonts w:ascii="Arial" w:eastAsia="Calibri" w:hAnsi="Arial" w:cs="Arial"/>
          <w:b/>
          <w:bCs/>
          <w:color w:val="000000" w:themeColor="text1"/>
          <w:sz w:val="20"/>
          <w:szCs w:val="20"/>
          <w:lang w:val="es-ES"/>
        </w:rPr>
      </w:pPr>
    </w:p>
    <w:p w14:paraId="60029659" w14:textId="57DADE39" w:rsidR="007D0C93" w:rsidRDefault="007D0C93" w:rsidP="00650248">
      <w:pPr>
        <w:spacing w:after="0"/>
        <w:rPr>
          <w:rFonts w:ascii="Arial" w:eastAsia="Calibri" w:hAnsi="Arial" w:cs="Arial"/>
          <w:b/>
          <w:bCs/>
          <w:color w:val="000000" w:themeColor="text1"/>
          <w:sz w:val="20"/>
          <w:szCs w:val="20"/>
          <w:lang w:val="es-ES"/>
        </w:rPr>
      </w:pPr>
    </w:p>
    <w:p w14:paraId="028C1052" w14:textId="4E50C63B" w:rsidR="007D0C93" w:rsidRDefault="007D0C93" w:rsidP="00650248">
      <w:pPr>
        <w:spacing w:after="0"/>
        <w:rPr>
          <w:rFonts w:ascii="Arial" w:eastAsia="Calibri" w:hAnsi="Arial" w:cs="Arial"/>
          <w:b/>
          <w:bCs/>
          <w:color w:val="000000" w:themeColor="text1"/>
          <w:sz w:val="20"/>
          <w:szCs w:val="20"/>
          <w:lang w:val="es-ES"/>
        </w:rPr>
      </w:pPr>
    </w:p>
    <w:p w14:paraId="0BD1AB6A" w14:textId="3E1009F5" w:rsidR="007D0C93" w:rsidRDefault="007D0C93" w:rsidP="00650248">
      <w:pPr>
        <w:spacing w:after="0"/>
        <w:rPr>
          <w:rFonts w:ascii="Arial" w:eastAsia="Calibri" w:hAnsi="Arial" w:cs="Arial"/>
          <w:b/>
          <w:bCs/>
          <w:color w:val="000000" w:themeColor="text1"/>
          <w:sz w:val="20"/>
          <w:szCs w:val="20"/>
          <w:lang w:val="es-ES"/>
        </w:rPr>
      </w:pPr>
    </w:p>
    <w:p w14:paraId="085AE43C" w14:textId="756058EE" w:rsidR="007D0C93" w:rsidRDefault="007D0C93" w:rsidP="00650248">
      <w:pPr>
        <w:spacing w:after="0"/>
        <w:rPr>
          <w:rFonts w:ascii="Arial" w:eastAsia="Calibri" w:hAnsi="Arial" w:cs="Arial"/>
          <w:b/>
          <w:bCs/>
          <w:color w:val="000000" w:themeColor="text1"/>
          <w:sz w:val="20"/>
          <w:szCs w:val="20"/>
          <w:lang w:val="es-ES"/>
        </w:rPr>
      </w:pPr>
    </w:p>
    <w:p w14:paraId="0C40904F" w14:textId="07C2961B" w:rsidR="007D0C93" w:rsidRDefault="007D0C93" w:rsidP="00650248">
      <w:pPr>
        <w:spacing w:after="0"/>
        <w:rPr>
          <w:rFonts w:ascii="Arial" w:eastAsia="Calibri" w:hAnsi="Arial" w:cs="Arial"/>
          <w:b/>
          <w:bCs/>
          <w:color w:val="000000" w:themeColor="text1"/>
          <w:sz w:val="20"/>
          <w:szCs w:val="20"/>
          <w:lang w:val="es-ES"/>
        </w:rPr>
      </w:pPr>
    </w:p>
    <w:p w14:paraId="4F0541EE" w14:textId="24A2CDFE" w:rsidR="007D0C93" w:rsidRDefault="007D0C93" w:rsidP="00650248">
      <w:pPr>
        <w:spacing w:after="0"/>
        <w:rPr>
          <w:rFonts w:ascii="Arial" w:eastAsia="Calibri" w:hAnsi="Arial" w:cs="Arial"/>
          <w:b/>
          <w:bCs/>
          <w:color w:val="000000" w:themeColor="text1"/>
          <w:sz w:val="20"/>
          <w:szCs w:val="20"/>
          <w:lang w:val="es-ES"/>
        </w:rPr>
      </w:pPr>
    </w:p>
    <w:p w14:paraId="14C55CAC" w14:textId="41789A49" w:rsidR="007D0C93" w:rsidRDefault="007D0C93" w:rsidP="00650248">
      <w:pPr>
        <w:spacing w:after="0"/>
        <w:rPr>
          <w:rFonts w:ascii="Arial" w:eastAsia="Calibri" w:hAnsi="Arial" w:cs="Arial"/>
          <w:b/>
          <w:bCs/>
          <w:color w:val="000000" w:themeColor="text1"/>
          <w:sz w:val="20"/>
          <w:szCs w:val="20"/>
          <w:lang w:val="es-ES"/>
        </w:rPr>
      </w:pPr>
    </w:p>
    <w:p w14:paraId="4AC3B9D0" w14:textId="7F32D8B5" w:rsidR="007D0C93" w:rsidRDefault="007D0C93" w:rsidP="00650248">
      <w:pPr>
        <w:spacing w:after="0"/>
        <w:rPr>
          <w:rFonts w:ascii="Arial" w:eastAsia="Calibri" w:hAnsi="Arial" w:cs="Arial"/>
          <w:b/>
          <w:bCs/>
          <w:color w:val="000000" w:themeColor="text1"/>
          <w:sz w:val="20"/>
          <w:szCs w:val="20"/>
          <w:lang w:val="es-ES"/>
        </w:rPr>
      </w:pPr>
    </w:p>
    <w:p w14:paraId="5CB0830D" w14:textId="1C02B27B" w:rsidR="007D0C93" w:rsidRDefault="007D0C93" w:rsidP="00650248">
      <w:pPr>
        <w:spacing w:after="0"/>
        <w:rPr>
          <w:rFonts w:ascii="Arial" w:eastAsia="Calibri" w:hAnsi="Arial" w:cs="Arial"/>
          <w:b/>
          <w:bCs/>
          <w:color w:val="000000" w:themeColor="text1"/>
          <w:sz w:val="20"/>
          <w:szCs w:val="20"/>
          <w:lang w:val="es-ES"/>
        </w:rPr>
      </w:pPr>
    </w:p>
    <w:p w14:paraId="05363C75" w14:textId="4D689127" w:rsidR="00015DA5" w:rsidRDefault="00015DA5" w:rsidP="00650248">
      <w:pPr>
        <w:spacing w:after="0"/>
        <w:rPr>
          <w:rFonts w:ascii="Arial" w:eastAsia="Calibri" w:hAnsi="Arial" w:cs="Arial"/>
          <w:b/>
          <w:bCs/>
          <w:color w:val="000000" w:themeColor="text1"/>
          <w:sz w:val="20"/>
          <w:szCs w:val="20"/>
          <w:lang w:val="es-ES"/>
        </w:rPr>
      </w:pPr>
    </w:p>
    <w:p w14:paraId="3F9565FA" w14:textId="692EBDCE" w:rsidR="00015DA5" w:rsidRDefault="00015DA5" w:rsidP="00650248">
      <w:pPr>
        <w:spacing w:after="0"/>
        <w:rPr>
          <w:rFonts w:ascii="Arial" w:eastAsia="Calibri" w:hAnsi="Arial" w:cs="Arial"/>
          <w:b/>
          <w:bCs/>
          <w:color w:val="000000" w:themeColor="text1"/>
          <w:sz w:val="20"/>
          <w:szCs w:val="20"/>
          <w:lang w:val="es-ES"/>
        </w:rPr>
      </w:pPr>
    </w:p>
    <w:p w14:paraId="4134686B" w14:textId="4C635EC0" w:rsidR="00015DA5" w:rsidRDefault="00015DA5" w:rsidP="00650248">
      <w:pPr>
        <w:spacing w:after="0"/>
        <w:rPr>
          <w:rFonts w:ascii="Arial" w:eastAsia="Calibri" w:hAnsi="Arial" w:cs="Arial"/>
          <w:b/>
          <w:bCs/>
          <w:color w:val="000000" w:themeColor="text1"/>
          <w:sz w:val="20"/>
          <w:szCs w:val="20"/>
          <w:lang w:val="es-ES"/>
        </w:rPr>
      </w:pPr>
    </w:p>
    <w:p w14:paraId="1B36D3FA" w14:textId="77777777" w:rsidR="00015DA5" w:rsidRDefault="00015DA5" w:rsidP="00650248">
      <w:pPr>
        <w:spacing w:after="0"/>
        <w:rPr>
          <w:rFonts w:ascii="Arial" w:eastAsia="Calibri" w:hAnsi="Arial" w:cs="Arial"/>
          <w:b/>
          <w:bCs/>
          <w:color w:val="000000" w:themeColor="text1"/>
          <w:sz w:val="20"/>
          <w:szCs w:val="20"/>
          <w:lang w:val="es-ES"/>
        </w:rPr>
      </w:pPr>
    </w:p>
    <w:p w14:paraId="4C66C1C1" w14:textId="77777777" w:rsidR="00650248" w:rsidRDefault="00650248" w:rsidP="00650248">
      <w:pPr>
        <w:spacing w:after="0"/>
        <w:rPr>
          <w:rFonts w:ascii="Arial" w:eastAsia="Calibri" w:hAnsi="Arial" w:cs="Arial"/>
          <w:b/>
          <w:bCs/>
          <w:color w:val="000000" w:themeColor="text1"/>
          <w:sz w:val="20"/>
          <w:szCs w:val="20"/>
          <w:lang w:val="es-ES"/>
        </w:rPr>
      </w:pPr>
    </w:p>
    <w:p w14:paraId="1D23EC9F" w14:textId="1550014E" w:rsidR="00650248" w:rsidRDefault="00FD3F3D" w:rsidP="00650248">
      <w:pPr>
        <w:spacing w:after="0"/>
        <w:jc w:val="right"/>
        <w:rPr>
          <w:rFonts w:ascii="Arial" w:eastAsia="Times New Roman" w:hAnsi="Arial" w:cs="Arial"/>
          <w:b/>
          <w:bCs/>
          <w:sz w:val="16"/>
          <w:szCs w:val="16"/>
          <w:lang w:val="es-CO" w:eastAsia="es-ES"/>
        </w:rPr>
      </w:pPr>
      <w:r>
        <w:rPr>
          <w:rFonts w:ascii="Times New Roman" w:eastAsia="Times New Roman" w:hAnsi="Times New Roman" w:cs="Times New Roman"/>
          <w:noProof/>
          <w:szCs w:val="24"/>
          <w:lang w:val="es-CO" w:eastAsia="es-MX"/>
        </w:rPr>
        <w:lastRenderedPageBreak/>
        <w:drawing>
          <wp:anchor distT="0" distB="0" distL="114300" distR="114300" simplePos="0" relativeHeight="251658240" behindDoc="0" locked="0" layoutInCell="1" allowOverlap="1" wp14:anchorId="1A0B9E22" wp14:editId="5965D980">
            <wp:simplePos x="0" y="0"/>
            <wp:positionH relativeFrom="column">
              <wp:posOffset>1819910</wp:posOffset>
            </wp:positionH>
            <wp:positionV relativeFrom="paragraph">
              <wp:posOffset>-724131</wp:posOffset>
            </wp:positionV>
            <wp:extent cx="2570018" cy="77488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2570018" cy="774880"/>
                    </a:xfrm>
                    <a:prstGeom prst="rect">
                      <a:avLst/>
                    </a:prstGeom>
                  </pic:spPr>
                </pic:pic>
              </a:graphicData>
            </a:graphic>
            <wp14:sizeRelH relativeFrom="page">
              <wp14:pctWidth>0</wp14:pctWidth>
            </wp14:sizeRelH>
            <wp14:sizeRelV relativeFrom="page">
              <wp14:pctHeight>0</wp14:pctHeight>
            </wp14:sizeRelV>
          </wp:anchor>
        </w:drawing>
      </w:r>
    </w:p>
    <w:p w14:paraId="06394BA2" w14:textId="34FE27F7" w:rsidR="00650248" w:rsidRPr="00403E6E" w:rsidRDefault="00650248" w:rsidP="00650248">
      <w:pPr>
        <w:spacing w:after="0"/>
        <w:jc w:val="right"/>
        <w:rPr>
          <w:rFonts w:ascii="Arial" w:eastAsia="Calibri" w:hAnsi="Arial" w:cs="Arial"/>
          <w:b/>
          <w:bCs/>
          <w:sz w:val="16"/>
          <w:szCs w:val="16"/>
          <w:lang w:val="es-CO"/>
        </w:rPr>
      </w:pPr>
      <w:r w:rsidRPr="000E190F">
        <w:rPr>
          <w:rFonts w:ascii="Arial" w:eastAsia="Times New Roman" w:hAnsi="Arial" w:cs="Arial"/>
          <w:b/>
          <w:bCs/>
          <w:sz w:val="16"/>
          <w:szCs w:val="16"/>
          <w:lang w:val="es-CO" w:eastAsia="es-ES"/>
        </w:rPr>
        <w:t>CCE-DES-FM-17</w:t>
      </w:r>
    </w:p>
    <w:p w14:paraId="5F173E59" w14:textId="7C4F5002" w:rsidR="00650248" w:rsidRPr="00646770" w:rsidRDefault="00650248" w:rsidP="00650248">
      <w:pPr>
        <w:spacing w:after="0" w:line="240" w:lineRule="auto"/>
        <w:jc w:val="right"/>
        <w:rPr>
          <w:rFonts w:ascii="Times New Roman" w:eastAsia="Times New Roman" w:hAnsi="Times New Roman" w:cs="Times New Roman"/>
          <w:szCs w:val="24"/>
          <w:lang w:val="es-CO" w:eastAsia="es-MX"/>
        </w:rPr>
      </w:pPr>
    </w:p>
    <w:p w14:paraId="19BFB486" w14:textId="77777777" w:rsidR="00650248" w:rsidRDefault="00650248" w:rsidP="00650248">
      <w:pPr>
        <w:spacing w:after="0" w:line="240" w:lineRule="auto"/>
        <w:rPr>
          <w:rFonts w:ascii="Arial" w:eastAsia="Calibri" w:hAnsi="Arial" w:cs="Arial"/>
          <w:noProof/>
          <w:sz w:val="22"/>
          <w:lang w:val="es-CO"/>
        </w:rPr>
      </w:pPr>
    </w:p>
    <w:p w14:paraId="6A7D4A80" w14:textId="77777777" w:rsidR="00650248" w:rsidRDefault="00650248" w:rsidP="00650248">
      <w:pPr>
        <w:spacing w:after="0" w:line="240" w:lineRule="auto"/>
        <w:rPr>
          <w:rFonts w:ascii="Arial" w:eastAsia="Calibri" w:hAnsi="Arial" w:cs="Arial"/>
          <w:noProof/>
          <w:sz w:val="22"/>
          <w:lang w:val="es-CO"/>
        </w:rPr>
      </w:pPr>
      <w:r>
        <w:rPr>
          <w:rFonts w:ascii="Arial" w:eastAsia="Calibri" w:hAnsi="Arial" w:cs="Arial"/>
          <w:noProof/>
          <w:sz w:val="22"/>
          <w:lang w:val="es-CO"/>
        </w:rPr>
        <w:t xml:space="preserve">Bogotá D.C., </w:t>
      </w:r>
    </w:p>
    <w:p w14:paraId="639FF7D3" w14:textId="77777777" w:rsidR="00650248" w:rsidRDefault="00650248" w:rsidP="00650248">
      <w:pPr>
        <w:spacing w:after="0" w:line="240" w:lineRule="auto"/>
        <w:rPr>
          <w:rFonts w:ascii="Arial" w:eastAsia="Calibri" w:hAnsi="Arial" w:cs="Arial"/>
          <w:sz w:val="22"/>
          <w:lang w:val="es-CO"/>
        </w:rPr>
      </w:pPr>
    </w:p>
    <w:p w14:paraId="0AF34601" w14:textId="77777777" w:rsidR="00650248" w:rsidRPr="00446B03" w:rsidRDefault="00650248" w:rsidP="00650248">
      <w:pPr>
        <w:spacing w:after="0" w:line="240" w:lineRule="auto"/>
        <w:rPr>
          <w:rFonts w:ascii="Arial" w:eastAsia="Calibri" w:hAnsi="Arial" w:cs="Arial"/>
          <w:sz w:val="22"/>
          <w:lang w:val="es-CO"/>
        </w:rPr>
      </w:pPr>
    </w:p>
    <w:p w14:paraId="31D13A81" w14:textId="362105E0" w:rsidR="00650248" w:rsidRDefault="00650248" w:rsidP="00650248">
      <w:pPr>
        <w:spacing w:after="0" w:line="240" w:lineRule="auto"/>
        <w:rPr>
          <w:rFonts w:ascii="Arial" w:eastAsia="Calibri" w:hAnsi="Arial" w:cs="Arial"/>
          <w:sz w:val="22"/>
          <w:lang w:val="es-CO"/>
        </w:rPr>
      </w:pPr>
      <w:bookmarkStart w:id="1" w:name="_Hlk96417464"/>
      <w:r>
        <w:rPr>
          <w:rFonts w:ascii="Arial" w:eastAsia="Calibri" w:hAnsi="Arial" w:cs="Arial"/>
          <w:sz w:val="22"/>
          <w:lang w:val="es-CO"/>
        </w:rPr>
        <w:t>Señor</w:t>
      </w:r>
      <w:r w:rsidR="006E5488">
        <w:rPr>
          <w:rFonts w:ascii="Arial" w:eastAsia="Calibri" w:hAnsi="Arial" w:cs="Arial"/>
          <w:sz w:val="22"/>
          <w:lang w:val="es-CO"/>
        </w:rPr>
        <w:t>es</w:t>
      </w:r>
    </w:p>
    <w:p w14:paraId="0BAF3A78" w14:textId="0DA17E3D" w:rsidR="006E5488" w:rsidRPr="008E3D73" w:rsidRDefault="006E5488" w:rsidP="00650248">
      <w:pPr>
        <w:spacing w:after="0" w:line="240" w:lineRule="auto"/>
        <w:rPr>
          <w:rFonts w:ascii="Arial" w:eastAsia="Calibri" w:hAnsi="Arial" w:cs="Arial"/>
          <w:b/>
          <w:bCs/>
          <w:sz w:val="22"/>
          <w:lang w:val="es-CO"/>
        </w:rPr>
      </w:pPr>
      <w:r w:rsidRPr="006E5488">
        <w:rPr>
          <w:rFonts w:ascii="Arial" w:eastAsia="Calibri" w:hAnsi="Arial" w:cs="Arial"/>
          <w:b/>
          <w:bCs/>
          <w:sz w:val="22"/>
          <w:lang w:val="es-CO"/>
        </w:rPr>
        <w:t>Profesionales Asociados Ltda</w:t>
      </w:r>
      <w:r>
        <w:rPr>
          <w:rFonts w:ascii="Arial" w:eastAsia="Calibri" w:hAnsi="Arial" w:cs="Arial"/>
          <w:b/>
          <w:bCs/>
          <w:sz w:val="22"/>
          <w:lang w:val="es-CO"/>
        </w:rPr>
        <w:t>.</w:t>
      </w:r>
    </w:p>
    <w:p w14:paraId="14A30F26" w14:textId="22F52E4C" w:rsidR="00650248" w:rsidRPr="00446B03" w:rsidRDefault="00650248" w:rsidP="00650248">
      <w:pPr>
        <w:spacing w:after="0" w:line="240" w:lineRule="auto"/>
        <w:rPr>
          <w:rFonts w:ascii="Arial" w:eastAsia="Calibri" w:hAnsi="Arial" w:cs="Arial"/>
          <w:sz w:val="22"/>
          <w:lang w:val="es-CO"/>
        </w:rPr>
      </w:pPr>
      <w:r>
        <w:rPr>
          <w:rFonts w:ascii="Arial" w:eastAsia="Calibri" w:hAnsi="Arial" w:cs="Arial"/>
          <w:sz w:val="22"/>
          <w:lang w:val="es-CO"/>
        </w:rPr>
        <w:t>Bogotá D.C.</w:t>
      </w:r>
    </w:p>
    <w:p w14:paraId="4E88D6B5" w14:textId="77777777" w:rsidR="00650248" w:rsidRDefault="00650248" w:rsidP="00650248">
      <w:pPr>
        <w:spacing w:after="0" w:line="240" w:lineRule="auto"/>
        <w:rPr>
          <w:rFonts w:ascii="Arial" w:eastAsia="Calibri" w:hAnsi="Arial" w:cs="Arial"/>
          <w:sz w:val="22"/>
          <w:lang w:val="es-CO"/>
        </w:rPr>
      </w:pPr>
    </w:p>
    <w:p w14:paraId="72A1B68B" w14:textId="77777777" w:rsidR="00650248" w:rsidRPr="00446B03" w:rsidRDefault="00650248" w:rsidP="00650248">
      <w:pPr>
        <w:spacing w:after="0" w:line="240" w:lineRule="auto"/>
        <w:rPr>
          <w:rFonts w:ascii="Arial" w:eastAsia="Calibri" w:hAnsi="Arial" w:cs="Arial"/>
          <w:sz w:val="22"/>
          <w:lang w:val="es-CO"/>
        </w:rPr>
      </w:pPr>
    </w:p>
    <w:p w14:paraId="40E4D5B4" w14:textId="49929198" w:rsidR="00650248" w:rsidRPr="00446B03" w:rsidRDefault="00650248" w:rsidP="00650248">
      <w:pPr>
        <w:spacing w:after="0" w:line="240" w:lineRule="auto"/>
        <w:rPr>
          <w:rFonts w:ascii="Arial" w:hAnsi="Arial" w:cs="Arial"/>
          <w:sz w:val="22"/>
          <w:lang w:val="es-CO"/>
        </w:rPr>
      </w:pPr>
      <w:r w:rsidRPr="00446B03">
        <w:rPr>
          <w:rFonts w:ascii="Arial" w:eastAsia="Calibri" w:hAnsi="Arial" w:cs="Arial"/>
          <w:sz w:val="22"/>
          <w:lang w:val="es-CO"/>
        </w:rPr>
        <w:t xml:space="preserve">                                            </w:t>
      </w:r>
      <w:r w:rsidRPr="00446B03">
        <w:rPr>
          <w:rFonts w:ascii="Arial" w:eastAsia="Calibri" w:hAnsi="Arial" w:cs="Arial"/>
          <w:b/>
          <w:sz w:val="22"/>
          <w:lang w:val="es-CO"/>
        </w:rPr>
        <w:t xml:space="preserve">Concepto C </w:t>
      </w:r>
      <w:r w:rsidRPr="000E190F">
        <w:rPr>
          <w:rFonts w:ascii="Arial" w:eastAsia="Calibri" w:hAnsi="Arial" w:cs="Arial"/>
          <w:b/>
          <w:sz w:val="22"/>
          <w:lang w:val="es-CO"/>
        </w:rPr>
        <w:t xml:space="preserve">– </w:t>
      </w:r>
      <w:r>
        <w:rPr>
          <w:rFonts w:ascii="Arial" w:eastAsia="Calibri" w:hAnsi="Arial" w:cs="Arial"/>
          <w:b/>
          <w:sz w:val="22"/>
          <w:lang w:val="es-CO"/>
        </w:rPr>
        <w:t>598</w:t>
      </w:r>
      <w:r w:rsidRPr="000E190F">
        <w:rPr>
          <w:rFonts w:ascii="Arial" w:eastAsia="Calibri" w:hAnsi="Arial" w:cs="Arial"/>
          <w:b/>
          <w:sz w:val="22"/>
          <w:lang w:val="es-CO"/>
        </w:rPr>
        <w:t xml:space="preserve"> de 202</w:t>
      </w:r>
      <w:r>
        <w:rPr>
          <w:rFonts w:ascii="Arial" w:eastAsia="Calibri" w:hAnsi="Arial" w:cs="Arial"/>
          <w:b/>
          <w:sz w:val="22"/>
          <w:lang w:val="es-CO"/>
        </w:rPr>
        <w:t>2</w:t>
      </w:r>
      <w:r w:rsidRPr="00446B03">
        <w:rPr>
          <w:rFonts w:ascii="Arial" w:hAnsi="Arial" w:cs="Arial"/>
          <w:sz w:val="22"/>
          <w:lang w:val="es-CO"/>
        </w:rPr>
        <w:t xml:space="preserve"> </w:t>
      </w:r>
    </w:p>
    <w:p w14:paraId="25E720C0" w14:textId="77777777" w:rsidR="00650248" w:rsidRPr="00446B03" w:rsidRDefault="00650248" w:rsidP="00650248">
      <w:pPr>
        <w:spacing w:after="0" w:line="240" w:lineRule="auto"/>
        <w:rPr>
          <w:rFonts w:ascii="Arial" w:eastAsia="Calibri" w:hAnsi="Arial" w:cs="Arial"/>
          <w:b/>
          <w:sz w:val="22"/>
          <w:lang w:val="es-CO"/>
        </w:rPr>
      </w:pPr>
    </w:p>
    <w:tbl>
      <w:tblPr>
        <w:tblStyle w:val="Tablaconcuadrcula1"/>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650248" w:rsidRPr="00446B03" w14:paraId="2B9EE409" w14:textId="77777777" w:rsidTr="009C207B">
        <w:trPr>
          <w:trHeight w:val="485"/>
        </w:trPr>
        <w:tc>
          <w:tcPr>
            <w:tcW w:w="2689" w:type="dxa"/>
            <w:hideMark/>
          </w:tcPr>
          <w:p w14:paraId="2EE02EBB" w14:textId="77777777" w:rsidR="00650248" w:rsidRPr="00446B03" w:rsidRDefault="00650248" w:rsidP="009C207B">
            <w:pPr>
              <w:contextualSpacing/>
              <w:rPr>
                <w:rFonts w:ascii="Arial" w:eastAsia="Calibri" w:hAnsi="Arial" w:cs="Arial"/>
                <w:noProof/>
                <w:lang w:val="es-ES_tradnl"/>
              </w:rPr>
            </w:pPr>
            <w:r w:rsidRPr="00446B03">
              <w:rPr>
                <w:rFonts w:ascii="Arial" w:eastAsia="Calibri" w:hAnsi="Arial" w:cs="Arial"/>
                <w:b/>
                <w:noProof/>
                <w:lang w:val="es-ES_tradnl"/>
              </w:rPr>
              <w:t>Temas:</w:t>
            </w:r>
            <w:r w:rsidRPr="00446B03">
              <w:rPr>
                <w:rFonts w:ascii="Arial" w:eastAsia="Calibri" w:hAnsi="Arial" w:cs="Arial"/>
                <w:noProof/>
                <w:lang w:val="es-ES_tradnl"/>
              </w:rPr>
              <w:t xml:space="preserve">        </w:t>
            </w:r>
          </w:p>
        </w:tc>
        <w:tc>
          <w:tcPr>
            <w:tcW w:w="6237" w:type="dxa"/>
            <w:hideMark/>
          </w:tcPr>
          <w:p w14:paraId="696D92A0" w14:textId="2FC412FD" w:rsidR="00650248" w:rsidRPr="00403E6E" w:rsidRDefault="00024861" w:rsidP="009C207B">
            <w:pPr>
              <w:spacing w:after="120"/>
              <w:ind w:right="703"/>
              <w:rPr>
                <w:rFonts w:ascii="Arial" w:eastAsia="Calibri" w:hAnsi="Arial" w:cs="Arial"/>
                <w:bCs/>
              </w:rPr>
            </w:pPr>
            <w:r w:rsidRPr="00024861">
              <w:rPr>
                <w:rFonts w:ascii="Arial" w:eastAsia="Calibri" w:hAnsi="Arial" w:cs="Arial"/>
                <w:bCs/>
              </w:rPr>
              <w:t>DOCUMENTOS TIPO – PROCESOS DE LICITACIÓN DE OBRA PÚBLICA EN INFRAESTRUCTURA SOCIAL – Marco normativo – Vigencia</w:t>
            </w:r>
            <w:r>
              <w:rPr>
                <w:rFonts w:ascii="Arial" w:eastAsia="Calibri" w:hAnsi="Arial" w:cs="Arial"/>
                <w:bCs/>
              </w:rPr>
              <w:t xml:space="preserve"> </w:t>
            </w:r>
            <w:r w:rsidRPr="00024861">
              <w:rPr>
                <w:rFonts w:ascii="Arial" w:eastAsia="Calibri" w:hAnsi="Arial" w:cs="Arial"/>
                <w:bCs/>
              </w:rPr>
              <w:t>– Ámbito de aplicación</w:t>
            </w:r>
            <w:r>
              <w:rPr>
                <w:rFonts w:ascii="Arial" w:eastAsia="Calibri" w:hAnsi="Arial" w:cs="Arial"/>
                <w:bCs/>
              </w:rPr>
              <w:t xml:space="preserve"> / </w:t>
            </w:r>
            <w:r w:rsidRPr="00024861">
              <w:rPr>
                <w:rFonts w:ascii="Arial" w:eastAsia="Calibri" w:hAnsi="Arial" w:cs="Arial"/>
                <w:bCs/>
              </w:rPr>
              <w:t>PROYECTOS DE INFRAESTRUCRURA SOCIAL ESTRUCTURADOS POR LOTES, MÓDULOS O GRUPOS – Acreditación de experiencia</w:t>
            </w:r>
          </w:p>
        </w:tc>
      </w:tr>
      <w:tr w:rsidR="00650248" w:rsidRPr="00446B03" w14:paraId="239A0B3E" w14:textId="77777777" w:rsidTr="009C207B">
        <w:tc>
          <w:tcPr>
            <w:tcW w:w="2689" w:type="dxa"/>
          </w:tcPr>
          <w:p w14:paraId="099EF3EE" w14:textId="77777777" w:rsidR="00650248" w:rsidRPr="00446B03" w:rsidRDefault="00650248" w:rsidP="009C207B">
            <w:pPr>
              <w:contextualSpacing/>
              <w:rPr>
                <w:rFonts w:ascii="Arial" w:eastAsia="Calibri" w:hAnsi="Arial" w:cs="Arial"/>
                <w:b/>
                <w:noProof/>
                <w:lang w:val="es-ES_tradnl"/>
              </w:rPr>
            </w:pPr>
            <w:r>
              <w:rPr>
                <w:rFonts w:ascii="Arial" w:eastAsia="Calibri" w:hAnsi="Arial" w:cs="Arial"/>
                <w:b/>
                <w:noProof/>
                <w:lang w:val="es-ES_tradnl"/>
              </w:rPr>
              <w:t xml:space="preserve"> </w:t>
            </w:r>
            <w:r w:rsidRPr="00446B03">
              <w:rPr>
                <w:rFonts w:ascii="Arial" w:eastAsia="Calibri" w:hAnsi="Arial" w:cs="Arial"/>
                <w:b/>
                <w:noProof/>
                <w:lang w:val="es-ES_tradnl"/>
              </w:rPr>
              <w:t>Radicación:</w:t>
            </w:r>
            <w:r w:rsidRPr="00446B03">
              <w:rPr>
                <w:rFonts w:ascii="Arial" w:eastAsia="Calibri" w:hAnsi="Arial" w:cs="Arial"/>
                <w:noProof/>
                <w:lang w:val="es-ES_tradnl"/>
              </w:rPr>
              <w:t xml:space="preserve">                              </w:t>
            </w:r>
          </w:p>
        </w:tc>
        <w:tc>
          <w:tcPr>
            <w:tcW w:w="6237" w:type="dxa"/>
          </w:tcPr>
          <w:p w14:paraId="3200AFF4" w14:textId="1EBF342D" w:rsidR="00650248" w:rsidRDefault="00650248" w:rsidP="009C207B">
            <w:pPr>
              <w:contextualSpacing/>
              <w:rPr>
                <w:rFonts w:ascii="Arial" w:eastAsia="Calibri" w:hAnsi="Arial" w:cs="Arial"/>
                <w:noProof/>
                <w:lang w:val="es-ES_tradnl"/>
              </w:rPr>
            </w:pPr>
            <w:r w:rsidRPr="00446B03">
              <w:rPr>
                <w:rFonts w:ascii="Arial" w:eastAsia="Calibri" w:hAnsi="Arial" w:cs="Arial"/>
                <w:noProof/>
                <w:lang w:val="es-ES_tradnl"/>
              </w:rPr>
              <w:t xml:space="preserve">Respuesta a consulta </w:t>
            </w:r>
            <w:r w:rsidR="006E5488" w:rsidRPr="006E5488">
              <w:rPr>
                <w:rFonts w:ascii="Arial" w:eastAsia="Calibri" w:hAnsi="Arial" w:cs="Arial"/>
                <w:noProof/>
                <w:lang w:val="es-ES_tradnl"/>
              </w:rPr>
              <w:t>P20220809007881</w:t>
            </w:r>
          </w:p>
          <w:p w14:paraId="5F6AE9D9" w14:textId="77777777" w:rsidR="00650248" w:rsidRPr="00446B03" w:rsidRDefault="00650248" w:rsidP="009C207B">
            <w:pPr>
              <w:contextualSpacing/>
              <w:rPr>
                <w:rFonts w:ascii="Arial" w:eastAsia="Calibri" w:hAnsi="Arial" w:cs="Arial"/>
                <w:noProof/>
                <w:lang w:val="es-ES_tradnl"/>
              </w:rPr>
            </w:pPr>
            <w:r>
              <w:rPr>
                <w:rFonts w:ascii="Arial" w:eastAsia="Calibri" w:hAnsi="Arial" w:cs="Arial"/>
                <w:noProof/>
                <w:lang w:val="es-ES_tradnl"/>
              </w:rPr>
              <w:t xml:space="preserve">                                    </w:t>
            </w:r>
          </w:p>
        </w:tc>
      </w:tr>
    </w:tbl>
    <w:p w14:paraId="67AE0218" w14:textId="77777777" w:rsidR="00650248" w:rsidRPr="00446B03" w:rsidRDefault="00650248" w:rsidP="00650248">
      <w:pPr>
        <w:spacing w:after="0" w:line="240" w:lineRule="auto"/>
        <w:rPr>
          <w:rFonts w:ascii="Arial" w:eastAsia="Calibri" w:hAnsi="Arial" w:cs="Arial"/>
          <w:sz w:val="22"/>
          <w:lang w:val="es-CO"/>
        </w:rPr>
      </w:pPr>
    </w:p>
    <w:p w14:paraId="199331E1" w14:textId="28415D3E" w:rsidR="00650248" w:rsidRPr="00446B03" w:rsidRDefault="00650248" w:rsidP="00650248">
      <w:pPr>
        <w:spacing w:after="0"/>
        <w:rPr>
          <w:rFonts w:ascii="Arial" w:eastAsia="Calibri" w:hAnsi="Arial" w:cs="Arial"/>
          <w:sz w:val="22"/>
          <w:lang w:val="es-CO"/>
        </w:rPr>
      </w:pPr>
      <w:r w:rsidRPr="00446B03">
        <w:rPr>
          <w:rFonts w:ascii="Arial" w:eastAsia="Calibri" w:hAnsi="Arial" w:cs="Arial"/>
          <w:sz w:val="22"/>
          <w:lang w:val="es-CO"/>
        </w:rPr>
        <w:t>Estimad</w:t>
      </w:r>
      <w:r>
        <w:rPr>
          <w:rFonts w:ascii="Arial" w:eastAsia="Calibri" w:hAnsi="Arial" w:cs="Arial"/>
          <w:sz w:val="22"/>
          <w:lang w:val="es-CO"/>
        </w:rPr>
        <w:t xml:space="preserve">o Señor </w:t>
      </w:r>
      <w:r w:rsidR="006E5488">
        <w:rPr>
          <w:rFonts w:ascii="Arial" w:eastAsia="Calibri" w:hAnsi="Arial" w:cs="Arial"/>
          <w:sz w:val="22"/>
          <w:lang w:val="es-CO"/>
        </w:rPr>
        <w:t>Neira</w:t>
      </w:r>
      <w:r>
        <w:rPr>
          <w:rFonts w:ascii="Arial" w:eastAsia="Calibri" w:hAnsi="Arial" w:cs="Arial"/>
          <w:sz w:val="22"/>
          <w:lang w:val="es-CO"/>
        </w:rPr>
        <w:t xml:space="preserve">: </w:t>
      </w:r>
    </w:p>
    <w:p w14:paraId="3EED5270" w14:textId="77777777" w:rsidR="00650248" w:rsidRDefault="00650248" w:rsidP="00650248">
      <w:pPr>
        <w:spacing w:after="0"/>
        <w:ind w:firstLine="709"/>
        <w:rPr>
          <w:rFonts w:ascii="Arial" w:eastAsia="Calibri" w:hAnsi="Arial" w:cs="Arial"/>
          <w:sz w:val="22"/>
          <w:lang w:val="es-CO"/>
        </w:rPr>
      </w:pPr>
    </w:p>
    <w:p w14:paraId="31807A64" w14:textId="7A25A9B7" w:rsidR="00650248" w:rsidRDefault="00650248" w:rsidP="00650248">
      <w:pPr>
        <w:spacing w:after="0"/>
        <w:ind w:right="51"/>
        <w:rPr>
          <w:rFonts w:ascii="Arial" w:eastAsia="Calibri" w:hAnsi="Arial" w:cs="Arial"/>
          <w:sz w:val="22"/>
          <w:lang w:val="es-CO"/>
        </w:rPr>
      </w:pPr>
      <w:r w:rsidRPr="00446B03">
        <w:rPr>
          <w:rFonts w:ascii="Arial" w:eastAsia="Calibri" w:hAnsi="Arial" w:cs="Arial"/>
          <w:sz w:val="22"/>
          <w:lang w:val="es-CO"/>
        </w:rPr>
        <w:t xml:space="preserve">En ejercicio de la competencia otorgada por el numeral 8 del artículo 11 y el numeral 5 del artículo 3 del Decreto Ley 4170 de 2011, la Agencia Nacional de Contratación Pública – Colombia Compra Eficiente responde la consulta </w:t>
      </w:r>
      <w:r>
        <w:rPr>
          <w:rFonts w:ascii="Arial" w:eastAsia="Calibri" w:hAnsi="Arial" w:cs="Arial"/>
          <w:sz w:val="22"/>
          <w:lang w:val="es-CO"/>
        </w:rPr>
        <w:t>radicada</w:t>
      </w:r>
      <w:r w:rsidRPr="00446B03">
        <w:rPr>
          <w:rFonts w:ascii="Arial" w:eastAsia="Calibri" w:hAnsi="Arial" w:cs="Arial"/>
          <w:sz w:val="22"/>
          <w:lang w:val="es-CO"/>
        </w:rPr>
        <w:t xml:space="preserve"> el </w:t>
      </w:r>
      <w:r w:rsidR="006E5488">
        <w:rPr>
          <w:rFonts w:ascii="Arial" w:eastAsia="Calibri" w:hAnsi="Arial" w:cs="Arial"/>
          <w:sz w:val="22"/>
          <w:lang w:val="es-CO"/>
        </w:rPr>
        <w:t>9</w:t>
      </w:r>
      <w:r w:rsidR="006E5488">
        <w:rPr>
          <w:rFonts w:ascii="Arial" w:eastAsia="Calibri" w:hAnsi="Arial" w:cs="Arial"/>
          <w:sz w:val="22"/>
          <w:lang w:val="es-CO"/>
        </w:rPr>
        <w:t xml:space="preserve"> </w:t>
      </w:r>
      <w:r>
        <w:rPr>
          <w:rFonts w:ascii="Arial" w:eastAsia="Calibri" w:hAnsi="Arial" w:cs="Arial"/>
          <w:sz w:val="22"/>
          <w:lang w:val="es-CO"/>
        </w:rPr>
        <w:t xml:space="preserve">de </w:t>
      </w:r>
      <w:r w:rsidR="006E5488">
        <w:rPr>
          <w:rFonts w:ascii="Arial" w:eastAsia="Calibri" w:hAnsi="Arial" w:cs="Arial"/>
          <w:sz w:val="22"/>
          <w:lang w:val="es-CO"/>
        </w:rPr>
        <w:t>agosto</w:t>
      </w:r>
      <w:r w:rsidR="006E5488">
        <w:rPr>
          <w:rFonts w:ascii="Arial" w:eastAsia="Calibri" w:hAnsi="Arial" w:cs="Arial"/>
          <w:sz w:val="22"/>
          <w:lang w:val="es-CO"/>
        </w:rPr>
        <w:t xml:space="preserve"> </w:t>
      </w:r>
      <w:r>
        <w:rPr>
          <w:rFonts w:ascii="Arial" w:eastAsia="Calibri" w:hAnsi="Arial" w:cs="Arial"/>
          <w:sz w:val="22"/>
          <w:lang w:val="es-CO"/>
        </w:rPr>
        <w:t xml:space="preserve">de 2022. </w:t>
      </w:r>
    </w:p>
    <w:p w14:paraId="28E410CB" w14:textId="77777777" w:rsidR="00650248" w:rsidRPr="00446B03" w:rsidRDefault="00650248" w:rsidP="00650248">
      <w:pPr>
        <w:spacing w:after="0"/>
        <w:ind w:right="51"/>
        <w:rPr>
          <w:rFonts w:ascii="Arial" w:eastAsia="Calibri" w:hAnsi="Arial" w:cs="Arial"/>
          <w:sz w:val="22"/>
          <w:lang w:val="es-CO"/>
        </w:rPr>
      </w:pPr>
    </w:p>
    <w:p w14:paraId="5064F3A4" w14:textId="3A55BFB8" w:rsidR="00650248" w:rsidRDefault="00650248" w:rsidP="006E5488">
      <w:pPr>
        <w:pStyle w:val="Prrafodelista"/>
        <w:numPr>
          <w:ilvl w:val="0"/>
          <w:numId w:val="6"/>
        </w:numPr>
        <w:tabs>
          <w:tab w:val="left" w:pos="284"/>
        </w:tabs>
        <w:ind w:left="426" w:hanging="501"/>
        <w:rPr>
          <w:rFonts w:ascii="Arial" w:eastAsia="Calibri" w:hAnsi="Arial" w:cs="Arial"/>
          <w:b/>
          <w:sz w:val="22"/>
        </w:rPr>
      </w:pPr>
      <w:r w:rsidRPr="006E5488">
        <w:rPr>
          <w:rFonts w:ascii="Arial" w:eastAsia="Calibri" w:hAnsi="Arial" w:cs="Arial"/>
          <w:b/>
          <w:sz w:val="22"/>
        </w:rPr>
        <w:t xml:space="preserve">Problema planteado </w:t>
      </w:r>
    </w:p>
    <w:p w14:paraId="37EBA22F" w14:textId="77777777" w:rsidR="007D0C93" w:rsidRPr="006E5488" w:rsidRDefault="007D0C93" w:rsidP="006E5488">
      <w:pPr>
        <w:pStyle w:val="Prrafodelista"/>
        <w:tabs>
          <w:tab w:val="left" w:pos="284"/>
        </w:tabs>
        <w:ind w:left="426"/>
        <w:rPr>
          <w:rFonts w:ascii="Arial" w:eastAsia="Calibri" w:hAnsi="Arial" w:cs="Arial"/>
          <w:b/>
          <w:sz w:val="22"/>
        </w:rPr>
      </w:pPr>
    </w:p>
    <w:p w14:paraId="5D963A4E" w14:textId="7F2C58FE" w:rsidR="007D0C93" w:rsidRDefault="007D0C93" w:rsidP="007D0C93">
      <w:pPr>
        <w:tabs>
          <w:tab w:val="left" w:pos="284"/>
        </w:tabs>
        <w:spacing w:after="0"/>
        <w:rPr>
          <w:rFonts w:ascii="Arial" w:eastAsia="Calibri" w:hAnsi="Arial" w:cs="Arial"/>
          <w:bCs/>
          <w:sz w:val="22"/>
        </w:rPr>
      </w:pPr>
      <w:r w:rsidRPr="006E5488">
        <w:rPr>
          <w:rFonts w:ascii="Arial" w:eastAsia="Calibri" w:hAnsi="Arial" w:cs="Arial"/>
          <w:bCs/>
          <w:sz w:val="22"/>
        </w:rPr>
        <w:t>Usted formula solicitud de consulta en los siguientes términos:</w:t>
      </w:r>
    </w:p>
    <w:p w14:paraId="635EF405" w14:textId="77777777" w:rsidR="007D0C93" w:rsidRPr="006E5488" w:rsidRDefault="007D0C93" w:rsidP="007D0C93">
      <w:pPr>
        <w:tabs>
          <w:tab w:val="left" w:pos="284"/>
        </w:tabs>
        <w:spacing w:after="0"/>
        <w:rPr>
          <w:rFonts w:ascii="Arial" w:eastAsia="Calibri" w:hAnsi="Arial" w:cs="Arial"/>
          <w:bCs/>
          <w:sz w:val="22"/>
        </w:rPr>
      </w:pPr>
    </w:p>
    <w:p w14:paraId="4BE3C7C0" w14:textId="23348DF6" w:rsidR="00650248" w:rsidRDefault="00650248" w:rsidP="007D0C93">
      <w:pPr>
        <w:pStyle w:val="NormalWeb"/>
        <w:spacing w:before="0" w:beforeAutospacing="0" w:after="0" w:afterAutospacing="0" w:line="240" w:lineRule="auto"/>
        <w:ind w:left="709" w:right="709"/>
        <w:rPr>
          <w:rFonts w:ascii="Arial" w:hAnsi="Arial" w:cs="Arial"/>
          <w:sz w:val="21"/>
          <w:szCs w:val="21"/>
        </w:rPr>
      </w:pPr>
      <w:bookmarkStart w:id="2" w:name="_Hlk103091300"/>
      <w:r w:rsidRPr="007D0C93">
        <w:rPr>
          <w:rFonts w:ascii="Arial" w:hAnsi="Arial" w:cs="Arial"/>
          <w:sz w:val="21"/>
          <w:szCs w:val="21"/>
        </w:rPr>
        <w:t>«</w:t>
      </w:r>
      <w:r w:rsidRPr="006E5488">
        <w:rPr>
          <w:rFonts w:ascii="Arial" w:hAnsi="Arial" w:cs="Arial"/>
          <w:sz w:val="21"/>
          <w:szCs w:val="21"/>
        </w:rPr>
        <w:t>En los pliegos tipo de infraestructura social, que están estructurados por lotes, ¿Para la acreditación de experiencia en el caso de que el oferente se presente a todos los lotes, se debe acreditar la experiencia para el lote de mayor valor o la sumatoria de todos los lotes en SMMLV? Por otro lado, amablemente solicito se aclare la acreditación de la experiencia, es decir, ¿si como proponentes deseamos participar a dos (02) o más grupos, es claro que se pueden acreditar los mismos contratos para los diferentes grupos; pero los SMMLV a acreditar deben ser del lote o grupo o por la sumatoria de los lotes o grupos a los que se presenta oferta?</w:t>
      </w:r>
      <w:r w:rsidRPr="007D0C93">
        <w:rPr>
          <w:rFonts w:ascii="Arial" w:hAnsi="Arial" w:cs="Arial"/>
          <w:sz w:val="21"/>
          <w:szCs w:val="21"/>
        </w:rPr>
        <w:t>»</w:t>
      </w:r>
      <w:bookmarkEnd w:id="2"/>
      <w:r w:rsidRPr="007D0C93">
        <w:rPr>
          <w:rFonts w:ascii="Arial" w:hAnsi="Arial" w:cs="Arial"/>
          <w:sz w:val="21"/>
          <w:szCs w:val="21"/>
        </w:rPr>
        <w:t>.</w:t>
      </w:r>
    </w:p>
    <w:p w14:paraId="3236EA83" w14:textId="77777777" w:rsidR="00DF7627" w:rsidRPr="007D0C93" w:rsidRDefault="00DF7627" w:rsidP="006E5488">
      <w:pPr>
        <w:pStyle w:val="NormalWeb"/>
        <w:spacing w:before="0" w:beforeAutospacing="0" w:after="0" w:afterAutospacing="0" w:line="240" w:lineRule="auto"/>
        <w:ind w:left="709" w:right="709"/>
        <w:rPr>
          <w:rFonts w:ascii="Arial" w:hAnsi="Arial" w:cs="Arial"/>
          <w:sz w:val="21"/>
          <w:szCs w:val="21"/>
        </w:rPr>
      </w:pPr>
    </w:p>
    <w:p w14:paraId="73079C88" w14:textId="77777777" w:rsidR="00DF7627" w:rsidRDefault="00650248" w:rsidP="004F5ACB">
      <w:pPr>
        <w:spacing w:after="0"/>
        <w:rPr>
          <w:rFonts w:ascii="Arial" w:eastAsia="Calibri" w:hAnsi="Arial" w:cs="Arial"/>
          <w:bCs/>
          <w:sz w:val="22"/>
          <w:lang w:val="es-CO"/>
        </w:rPr>
      </w:pPr>
      <w:r w:rsidRPr="004438F4">
        <w:rPr>
          <w:rFonts w:ascii="Arial" w:eastAsia="Calibri" w:hAnsi="Arial" w:cs="Arial"/>
          <w:b/>
          <w:sz w:val="22"/>
        </w:rPr>
        <w:t>2. Consideraciones</w:t>
      </w:r>
      <w:r w:rsidR="004F5ACB" w:rsidRPr="004F5ACB">
        <w:rPr>
          <w:rFonts w:ascii="Arial" w:eastAsia="Calibri" w:hAnsi="Arial" w:cs="Arial"/>
          <w:bCs/>
          <w:sz w:val="22"/>
          <w:lang w:val="es-CO"/>
        </w:rPr>
        <w:t xml:space="preserve"> </w:t>
      </w:r>
    </w:p>
    <w:p w14:paraId="1BB477EB" w14:textId="77777777" w:rsidR="00DF7627" w:rsidRDefault="00DF7627" w:rsidP="004F5ACB">
      <w:pPr>
        <w:spacing w:after="0"/>
        <w:rPr>
          <w:rFonts w:ascii="Arial" w:eastAsia="Calibri" w:hAnsi="Arial" w:cs="Arial"/>
          <w:bCs/>
          <w:sz w:val="22"/>
          <w:lang w:val="es-CO"/>
        </w:rPr>
      </w:pPr>
    </w:p>
    <w:p w14:paraId="7FE75F8E" w14:textId="592280CF" w:rsidR="004F5ACB" w:rsidRPr="004F5ACB" w:rsidRDefault="004F5ACB" w:rsidP="004F5ACB">
      <w:pPr>
        <w:spacing w:after="0"/>
        <w:rPr>
          <w:rFonts w:ascii="Arial" w:eastAsia="Calibri" w:hAnsi="Arial" w:cs="Arial"/>
          <w:sz w:val="22"/>
          <w:lang w:val="es-ES"/>
        </w:rPr>
      </w:pPr>
      <w:r w:rsidRPr="004F5ACB">
        <w:rPr>
          <w:rFonts w:ascii="Arial" w:eastAsia="Calibri" w:hAnsi="Arial" w:cs="Arial"/>
          <w:bCs/>
          <w:sz w:val="22"/>
          <w:lang w:val="es-CO"/>
        </w:rPr>
        <w:t xml:space="preserve">En ejercicio de las competencias establecidas en los artículos 3.5 y 11.8 del Decreto 4170 de 2011, la Agencia Nacional de Contratación Pública – Colombia Compra Eficiente resuelve consultas sobre </w:t>
      </w:r>
      <w:r w:rsidRPr="004F5ACB">
        <w:rPr>
          <w:rFonts w:ascii="Arial" w:eastAsia="Calibri" w:hAnsi="Arial" w:cs="Arial"/>
          <w:sz w:val="22"/>
          <w:lang w:val="es-ES"/>
        </w:rPr>
        <w:t>la aplicación de normas de carácter general en materia de compras y contratación pública. En ese sentido, resolver casos particulares o conceptuar sobre el alcance de normas ajenas a la contratación estatal desborda las atribuciones asignadas por el legislador extraordinario, que no concibió a Colombia Compra Eficiente como una autoridad para solucionar problemas jurídicos particulares</w:t>
      </w:r>
      <w:r w:rsidRPr="004F5ACB">
        <w:rPr>
          <w:rFonts w:ascii="Arial" w:eastAsia="Calibri" w:hAnsi="Arial" w:cs="Arial"/>
          <w:bCs/>
          <w:sz w:val="22"/>
          <w:lang w:val="es-CO"/>
        </w:rPr>
        <w:t xml:space="preserve"> de todos los partícipes de la contratación estatal ni para interpretar el alcance de cualquier norma vigente en el ordenamiento jurídico.</w:t>
      </w:r>
    </w:p>
    <w:p w14:paraId="6A49D3C7" w14:textId="77777777" w:rsidR="004F5ACB" w:rsidRPr="004F5ACB" w:rsidRDefault="004F5ACB" w:rsidP="004F5ACB">
      <w:pPr>
        <w:spacing w:before="120" w:after="0"/>
        <w:ind w:firstLine="708"/>
        <w:rPr>
          <w:rFonts w:ascii="Arial" w:eastAsia="Calibri" w:hAnsi="Arial" w:cs="Arial"/>
          <w:sz w:val="22"/>
          <w:lang w:val="es-ES"/>
        </w:rPr>
      </w:pPr>
      <w:r w:rsidRPr="004F5ACB">
        <w:rPr>
          <w:rFonts w:ascii="Arial" w:eastAsia="Calibri" w:hAnsi="Arial" w:cs="Arial"/>
          <w:sz w:val="22"/>
          <w:lang w:val="es-ES"/>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4F5ACB">
        <w:rPr>
          <w:rFonts w:ascii="Arial" w:eastAsia="Calibri" w:hAnsi="Arial" w:cs="Arial"/>
          <w:sz w:val="22"/>
          <w:vertAlign w:val="superscript"/>
          <w:lang w:val="es-ES"/>
        </w:rPr>
        <w:footnoteReference w:id="1"/>
      </w:r>
      <w:r w:rsidRPr="004F5ACB">
        <w:rPr>
          <w:rFonts w:ascii="Arial" w:eastAsia="Calibri" w:hAnsi="Arial" w:cs="Arial"/>
          <w:sz w:val="22"/>
          <w:lang w:val="es-ES"/>
        </w:rPr>
        <w:t xml:space="preserve">. Esta competencia de interpretación de normas generales, por definición, no puede extenderse a la resolución de controversias, brindar asesorías sobre casos puntuales ni interpretar normas ajenas al sistema de compras públicas. </w:t>
      </w:r>
    </w:p>
    <w:p w14:paraId="2D4E699D" w14:textId="77777777" w:rsidR="004F5ACB" w:rsidRPr="004F5ACB" w:rsidRDefault="004F5ACB" w:rsidP="004F5ACB">
      <w:pPr>
        <w:spacing w:before="120" w:after="0"/>
        <w:ind w:firstLine="708"/>
        <w:rPr>
          <w:rFonts w:ascii="Arial" w:eastAsia="Calibri" w:hAnsi="Arial" w:cs="Arial"/>
          <w:sz w:val="22"/>
          <w:lang w:val="es-ES"/>
        </w:rPr>
      </w:pPr>
      <w:r w:rsidRPr="004F5ACB">
        <w:rPr>
          <w:rFonts w:ascii="Arial" w:eastAsia="Calibri" w:hAnsi="Arial" w:cs="Arial"/>
          <w:sz w:val="22"/>
          <w:lang w:val="es-ES"/>
        </w:rPr>
        <w:t>En este contexto, l</w:t>
      </w:r>
      <w:r w:rsidRPr="004F5ACB">
        <w:rPr>
          <w:rFonts w:ascii="Arial" w:eastAsia="Calibri" w:hAnsi="Arial" w:cs="Arial"/>
          <w:color w:val="000000"/>
          <w:sz w:val="22"/>
          <w:lang w:val="es-ES"/>
        </w:rPr>
        <w:t xml:space="preserve">a Subdirección –dentro de los límites de sus atribuciones, esto es, </w:t>
      </w:r>
      <w:bookmarkStart w:id="3" w:name="_Hlk61025408"/>
      <w:r w:rsidRPr="004F5ACB">
        <w:rPr>
          <w:rFonts w:ascii="Arial" w:eastAsia="Calibri" w:hAnsi="Arial" w:cs="Arial"/>
          <w:color w:val="000000"/>
          <w:sz w:val="22"/>
          <w:lang w:val="es-ES"/>
        </w:rPr>
        <w:t>haciendo abstracción del caso particular expuesto por el peticionario</w:t>
      </w:r>
      <w:bookmarkEnd w:id="3"/>
      <w:r w:rsidRPr="004F5ACB">
        <w:rPr>
          <w:rFonts w:ascii="Arial" w:eastAsia="Calibri" w:hAnsi="Arial" w:cs="Arial"/>
          <w:color w:val="000000"/>
          <w:sz w:val="22"/>
          <w:lang w:val="es-ES"/>
        </w:rPr>
        <w:t>– resolverá la consulta conforme a las normas generales en materia de contratación estatal</w:t>
      </w:r>
      <w:r w:rsidRPr="004F5ACB">
        <w:rPr>
          <w:rFonts w:ascii="Arial" w:eastAsia="Calibri" w:hAnsi="Arial" w:cs="Arial"/>
          <w:bCs/>
          <w:color w:val="000000"/>
          <w:sz w:val="22"/>
          <w:lang w:val="es-ES"/>
        </w:rPr>
        <w:t xml:space="preserve">. </w:t>
      </w:r>
      <w:r w:rsidRPr="004F5ACB">
        <w:rPr>
          <w:rFonts w:ascii="Arial" w:eastAsia="Calibri" w:hAnsi="Arial" w:cs="Arial"/>
          <w:bCs/>
          <w:color w:val="000000"/>
          <w:sz w:val="22"/>
          <w:lang w:val="es-CO"/>
        </w:rPr>
        <w:t xml:space="preserve">Para estos efectos, </w:t>
      </w:r>
      <w:r w:rsidRPr="004F5ACB">
        <w:rPr>
          <w:rFonts w:ascii="Arial" w:eastAsia="Calibri" w:hAnsi="Arial" w:cs="Arial"/>
          <w:bCs/>
          <w:color w:val="000000"/>
          <w:sz w:val="22"/>
          <w:lang w:val="es-ES"/>
        </w:rPr>
        <w:t>se analizarán los siguientes temas:</w:t>
      </w:r>
      <w:r w:rsidRPr="004F5ACB">
        <w:rPr>
          <w:rFonts w:ascii="Arial" w:eastAsia="Calibri" w:hAnsi="Arial" w:cs="Arial"/>
          <w:bCs/>
          <w:color w:val="000000"/>
          <w:sz w:val="22"/>
          <w:lang w:val="es-CO"/>
        </w:rPr>
        <w:t xml:space="preserve"> </w:t>
      </w:r>
      <w:r w:rsidRPr="004F5ACB">
        <w:rPr>
          <w:rFonts w:ascii="Arial" w:eastAsia="Calibri" w:hAnsi="Arial" w:cs="Arial"/>
          <w:sz w:val="22"/>
          <w:lang w:val="es-ES_tradnl"/>
        </w:rPr>
        <w:t xml:space="preserve">i) </w:t>
      </w:r>
      <w:r w:rsidRPr="004F5ACB">
        <w:rPr>
          <w:rFonts w:ascii="Arial" w:eastAsia="Calibri" w:hAnsi="Arial" w:cs="Arial"/>
          <w:sz w:val="22"/>
          <w:lang w:val="es-CO"/>
        </w:rPr>
        <w:t>contexto normativo y ámbito de aplicación de los documentos tipo de licitación pública para obra de infraestructura social y</w:t>
      </w:r>
      <w:r w:rsidRPr="004F5ACB">
        <w:rPr>
          <w:rFonts w:ascii="Arial" w:eastAsia="Calibri" w:hAnsi="Arial" w:cs="Arial"/>
          <w:sz w:val="22"/>
          <w:lang w:val="es-ES"/>
        </w:rPr>
        <w:t xml:space="preserve"> </w:t>
      </w:r>
      <w:bookmarkStart w:id="4" w:name="_Hlk99807870"/>
      <w:proofErr w:type="spellStart"/>
      <w:r w:rsidRPr="004F5ACB">
        <w:rPr>
          <w:rFonts w:ascii="Arial" w:eastAsia="Calibri" w:hAnsi="Arial" w:cs="Arial"/>
          <w:sz w:val="22"/>
          <w:lang w:val="es-ES"/>
        </w:rPr>
        <w:t>ii</w:t>
      </w:r>
      <w:proofErr w:type="spellEnd"/>
      <w:r w:rsidRPr="004F5ACB">
        <w:rPr>
          <w:rFonts w:ascii="Arial" w:eastAsia="Calibri" w:hAnsi="Arial" w:cs="Arial"/>
          <w:sz w:val="22"/>
          <w:lang w:val="es-ES"/>
        </w:rPr>
        <w:t xml:space="preserve">) </w:t>
      </w:r>
      <w:r w:rsidRPr="004F5ACB">
        <w:rPr>
          <w:rFonts w:ascii="Arial" w:eastAsia="Calibri" w:hAnsi="Arial" w:cs="Arial"/>
          <w:bCs/>
          <w:sz w:val="22"/>
          <w:lang w:val="es-ES_tradnl"/>
        </w:rPr>
        <w:t>acreditación de la experiencia en los documentos tipo de licitación de obra pública de infraestructura social</w:t>
      </w:r>
      <w:bookmarkEnd w:id="4"/>
      <w:r w:rsidRPr="004F5ACB">
        <w:rPr>
          <w:rFonts w:ascii="Arial" w:eastAsia="Calibri" w:hAnsi="Arial" w:cs="Arial"/>
          <w:bCs/>
          <w:sz w:val="22"/>
          <w:lang w:val="es-ES_tradnl"/>
        </w:rPr>
        <w:t xml:space="preserve">: </w:t>
      </w:r>
      <w:r w:rsidRPr="004F5ACB">
        <w:rPr>
          <w:rFonts w:ascii="Arial" w:eastAsia="Calibri" w:hAnsi="Arial" w:cs="Arial"/>
          <w:bCs/>
          <w:sz w:val="22"/>
          <w:lang w:val="es-CO"/>
        </w:rPr>
        <w:t>procesos estructurados por lotes o grupos.</w:t>
      </w:r>
    </w:p>
    <w:p w14:paraId="34366A3A" w14:textId="77777777" w:rsidR="004F5ACB" w:rsidRPr="004F5ACB" w:rsidRDefault="004F5ACB" w:rsidP="004F5ACB">
      <w:pPr>
        <w:spacing w:before="120" w:after="0"/>
        <w:ind w:firstLine="709"/>
        <w:rPr>
          <w:rFonts w:ascii="Arial" w:eastAsia="Calibri" w:hAnsi="Arial" w:cs="Arial"/>
          <w:sz w:val="22"/>
          <w:lang w:val="es-CO"/>
        </w:rPr>
      </w:pPr>
      <w:bookmarkStart w:id="5" w:name="_Hlk113876281"/>
      <w:r w:rsidRPr="004F5ACB">
        <w:rPr>
          <w:rFonts w:ascii="Arial" w:eastAsia="Calibri" w:hAnsi="Arial" w:cs="Arial"/>
          <w:sz w:val="22"/>
          <w:lang w:val="es-ES_tradnl"/>
        </w:rPr>
        <w:t xml:space="preserve">La Agencia Nacional de Contratación Pública – Colombia Compra Eficiente se pronunció sobre la definición y el alcance de los documentos tipo en las siguientes consultas </w:t>
      </w:r>
      <w:r w:rsidRPr="004F5ACB">
        <w:rPr>
          <w:rFonts w:ascii="Arial" w:eastAsia="Calibri" w:hAnsi="Arial" w:cs="Arial"/>
          <w:sz w:val="22"/>
          <w:shd w:val="clear" w:color="auto" w:fill="FFFFFF"/>
        </w:rPr>
        <w:t>C-144 del 2 de marzo de 2020, C-143 del 18 de marzo de 2020, C-286 del 26 de mayo de 2020, C-450 del 3 de agosto de 2020, C-643 del 26 de octubre de 2020,</w:t>
      </w:r>
      <w:r w:rsidRPr="004F5ACB">
        <w:rPr>
          <w:rFonts w:ascii="Arial" w:eastAsia="Calibri" w:hAnsi="Arial" w:cs="Arial"/>
          <w:sz w:val="22"/>
        </w:rPr>
        <w:t xml:space="preserve"> C-773 del 14 de enero de 2021, C-789 del 19 de enero de 2021,</w:t>
      </w:r>
      <w:r w:rsidRPr="004F5ACB">
        <w:rPr>
          <w:rFonts w:ascii="Arial" w:eastAsia="Calibri" w:hAnsi="Arial" w:cs="Arial"/>
          <w:sz w:val="22"/>
          <w:shd w:val="clear" w:color="auto" w:fill="FFFFFF"/>
        </w:rPr>
        <w:t xml:space="preserve"> C-064 del 8 de marzo de 2021 y C-157 del 13 de abril del 2021, C-244 del 4 de mayo de 2021, C-224 del 20 de mayo de 2020, C-233 del 24 de mayo de 2021, C-251 del 2 de junio de 2021 y C-273 del 11 de junio de 2021, </w:t>
      </w:r>
      <w:r w:rsidRPr="004F5ACB">
        <w:rPr>
          <w:rFonts w:ascii="Arial" w:eastAsia="Calibri" w:hAnsi="Arial" w:cs="Arial"/>
          <w:sz w:val="22"/>
          <w:lang w:val="es-CO"/>
        </w:rPr>
        <w:t>C-</w:t>
      </w:r>
      <w:r w:rsidRPr="004F5ACB">
        <w:rPr>
          <w:rFonts w:ascii="Arial" w:eastAsia="Calibri" w:hAnsi="Arial" w:cs="Arial"/>
          <w:sz w:val="22"/>
          <w:lang w:val="es-CO"/>
        </w:rPr>
        <w:lastRenderedPageBreak/>
        <w:t>375 de 27 de septiembre de 2021, C-536 de 29 de septiembre de 2021, C-719 de 24 de enero de 2022 y C-090 de 16 de marzo de 2022.</w:t>
      </w:r>
      <w:r w:rsidRPr="004F5ACB">
        <w:rPr>
          <w:rFonts w:ascii="Arial" w:eastAsia="Calibri" w:hAnsi="Arial" w:cs="Arial"/>
          <w:sz w:val="22"/>
          <w:shd w:val="clear" w:color="auto" w:fill="FFFFFF"/>
        </w:rPr>
        <w:t xml:space="preserve"> </w:t>
      </w:r>
      <w:r w:rsidRPr="004F5ACB">
        <w:rPr>
          <w:rFonts w:ascii="Arial" w:eastAsia="Calibri" w:hAnsi="Arial" w:cs="Arial"/>
          <w:color w:val="000000"/>
          <w:sz w:val="22"/>
          <w:lang w:val="es-ES_tradnl"/>
        </w:rPr>
        <w:t xml:space="preserve">Finalmente, en los conceptos C-375 del 27 de septiembre de 2021, C-536 del 29 de septiembre de 2021, </w:t>
      </w:r>
      <w:r w:rsidRPr="004F5ACB">
        <w:rPr>
          <w:rFonts w:ascii="Arial" w:eastAsia="Calibri" w:hAnsi="Arial" w:cs="Arial"/>
          <w:color w:val="000000"/>
          <w:sz w:val="22"/>
          <w:lang w:val="es-CO"/>
        </w:rPr>
        <w:t xml:space="preserve">P20210826007696 del 6 de octubre de 2021, C-729 del 24 de enero de 2022, C-090 del 16 de marzo de 2022, C-287 del 11 de mayo de 2022, C-334 del 25 de mayo de 2022, </w:t>
      </w:r>
      <w:r w:rsidRPr="004F5ACB">
        <w:rPr>
          <w:rFonts w:ascii="Arial" w:eastAsia="Calibri" w:hAnsi="Arial" w:cs="Arial"/>
          <w:sz w:val="22"/>
          <w:lang w:val="es-ES_tradnl"/>
        </w:rPr>
        <w:t xml:space="preserve">C-344 del 9 de junio de 2022 y C-436 del 6 de julio de 2022 </w:t>
      </w:r>
      <w:r w:rsidRPr="004F5ACB">
        <w:rPr>
          <w:rFonts w:ascii="Arial" w:eastAsia="Calibri" w:hAnsi="Arial" w:cs="Arial"/>
          <w:color w:val="000000"/>
          <w:sz w:val="22"/>
          <w:lang w:val="es-CO"/>
        </w:rPr>
        <w:t xml:space="preserve">se analizó la aplicación de los documentos tipo </w:t>
      </w:r>
      <w:r w:rsidRPr="004F5ACB">
        <w:rPr>
          <w:rFonts w:ascii="Arial" w:eastAsia="Calibri" w:hAnsi="Arial" w:cs="Arial"/>
          <w:sz w:val="22"/>
          <w:lang w:val="es-CO"/>
        </w:rPr>
        <w:t>complementarios para los procesos de licitación de obra pública de infraestructura social</w:t>
      </w:r>
      <w:bookmarkEnd w:id="5"/>
      <w:r w:rsidRPr="004F5ACB">
        <w:rPr>
          <w:rFonts w:ascii="Arial" w:eastAsia="Calibri" w:hAnsi="Arial" w:cs="Arial"/>
          <w:sz w:val="22"/>
          <w:lang w:val="es-CO"/>
        </w:rPr>
        <w:t>.</w:t>
      </w:r>
      <w:r w:rsidRPr="004F5ACB">
        <w:rPr>
          <w:rFonts w:ascii="Arial" w:eastAsia="Calibri" w:hAnsi="Arial" w:cs="Arial"/>
          <w:color w:val="000000"/>
          <w:sz w:val="22"/>
          <w:lang w:val="es-ES_tradnl"/>
        </w:rPr>
        <w:t xml:space="preserve"> </w:t>
      </w:r>
      <w:r w:rsidRPr="004F5ACB">
        <w:rPr>
          <w:rFonts w:ascii="Arial" w:eastAsia="Calibri" w:hAnsi="Arial" w:cs="Arial"/>
          <w:sz w:val="22"/>
          <w:lang w:val="es-CO"/>
        </w:rPr>
        <w:t xml:space="preserve">Las tesis expuestas en los anteriores conceptos se reiteran a continuación y se complementan en lo pertinente: </w:t>
      </w:r>
    </w:p>
    <w:p w14:paraId="269603C5" w14:textId="77777777" w:rsidR="004F5ACB" w:rsidRPr="004F5ACB" w:rsidRDefault="004F5ACB" w:rsidP="004F5ACB">
      <w:pPr>
        <w:spacing w:after="0"/>
        <w:ind w:firstLine="709"/>
        <w:rPr>
          <w:rFonts w:ascii="Arial" w:eastAsia="Calibri" w:hAnsi="Arial" w:cs="Arial"/>
          <w:sz w:val="22"/>
          <w:lang w:val="es-CO"/>
        </w:rPr>
      </w:pPr>
    </w:p>
    <w:p w14:paraId="641B6818" w14:textId="77777777" w:rsidR="004F5ACB" w:rsidRPr="004F5ACB" w:rsidRDefault="004F5ACB" w:rsidP="004F5ACB">
      <w:pPr>
        <w:spacing w:after="0"/>
        <w:rPr>
          <w:rFonts w:ascii="Arial" w:eastAsia="Calibri" w:hAnsi="Arial" w:cs="Arial"/>
          <w:b/>
          <w:bCs/>
          <w:color w:val="000000"/>
          <w:sz w:val="22"/>
          <w:lang w:val="es-CO" w:eastAsia="en-GB"/>
        </w:rPr>
      </w:pPr>
      <w:r w:rsidRPr="004F5ACB">
        <w:rPr>
          <w:rFonts w:ascii="Arial" w:eastAsia="Arial" w:hAnsi="Arial" w:cs="Arial"/>
          <w:b/>
          <w:bCs/>
          <w:sz w:val="22"/>
          <w:lang w:val="es-ES_tradnl"/>
        </w:rPr>
        <w:t xml:space="preserve">2.1. </w:t>
      </w:r>
      <w:bookmarkStart w:id="6" w:name="_Hlk99816484"/>
      <w:r w:rsidRPr="004F5ACB">
        <w:rPr>
          <w:rFonts w:ascii="Arial" w:eastAsia="Calibri" w:hAnsi="Arial" w:cs="Arial"/>
          <w:b/>
          <w:bCs/>
          <w:color w:val="000000"/>
          <w:sz w:val="22"/>
          <w:lang w:val="es-CO" w:eastAsia="en-GB"/>
        </w:rPr>
        <w:t xml:space="preserve">Contexto normativo y ámbito de aplicación de los documentos tipo de licitación pública para obra de infraestructura social </w:t>
      </w:r>
    </w:p>
    <w:bookmarkEnd w:id="6"/>
    <w:p w14:paraId="0A753E28" w14:textId="77777777" w:rsidR="004F5ACB" w:rsidRPr="004F5ACB" w:rsidRDefault="004F5ACB" w:rsidP="004F5ACB">
      <w:pPr>
        <w:spacing w:after="0"/>
        <w:rPr>
          <w:rFonts w:ascii="Arial" w:eastAsia="Calibri" w:hAnsi="Arial" w:cs="Arial"/>
          <w:b/>
          <w:bCs/>
          <w:color w:val="000000"/>
          <w:sz w:val="22"/>
          <w:lang w:val="es-CO"/>
        </w:rPr>
      </w:pPr>
    </w:p>
    <w:p w14:paraId="4EDE4B6A" w14:textId="77777777" w:rsidR="004F5ACB" w:rsidRPr="004F5ACB" w:rsidRDefault="004F5ACB" w:rsidP="004F5ACB">
      <w:pPr>
        <w:spacing w:after="160"/>
        <w:rPr>
          <w:rFonts w:ascii="Arial" w:eastAsia="Calibri" w:hAnsi="Arial" w:cs="Arial"/>
          <w:color w:val="0D0D0D"/>
          <w:sz w:val="22"/>
        </w:rPr>
      </w:pPr>
      <w:r w:rsidRPr="004F5ACB">
        <w:rPr>
          <w:rFonts w:ascii="Arial" w:eastAsia="Calibri" w:hAnsi="Arial" w:cs="Arial"/>
          <w:color w:val="000000"/>
          <w:sz w:val="22"/>
          <w:lang w:val="es-CO"/>
        </w:rPr>
        <w:t xml:space="preserve">El artículo 4 de la Ley 1882 de 2018 determinó la obligatoriedad por parte de todas las entidades públicas sometidas al estatuto general de contratación pública de aplicar los documentos tipo adoptados por el gobierno </w:t>
      </w:r>
      <w:r w:rsidRPr="006E5488">
        <w:rPr>
          <w:rFonts w:ascii="Arial" w:eastAsia="Calibri" w:hAnsi="Arial" w:cs="Arial"/>
          <w:b/>
          <w:bCs/>
          <w:color w:val="000000"/>
          <w:sz w:val="22"/>
          <w:lang w:val="es-CO"/>
        </w:rPr>
        <w:t>nacional</w:t>
      </w:r>
      <w:r w:rsidRPr="004F5ACB">
        <w:rPr>
          <w:rFonts w:ascii="Arial" w:eastAsia="Calibri" w:hAnsi="Arial" w:cs="Arial"/>
          <w:color w:val="000000"/>
          <w:sz w:val="22"/>
          <w:lang w:val="es-CO"/>
        </w:rPr>
        <w:t>. Esta norma establecía que el Gobierno nacional adoptaría los documentos tipo para los pliegos de condiciones de los procesos de selección de obras públicas, interventoría para las obras públicas, interventoría para consultoría de estudios y diseños para obras públicas, consultoría en ingeniería para obras, los cuales debían ser utilizados por todas las entidades sometidas al Estatuto General de la Contratación de la Administración Pública en los procesos de selección que adelantaran</w:t>
      </w:r>
      <w:r w:rsidRPr="004F5ACB">
        <w:rPr>
          <w:rFonts w:ascii="Arial" w:eastAsia="Calibri" w:hAnsi="Arial" w:cs="Arial"/>
          <w:color w:val="000000"/>
          <w:sz w:val="22"/>
          <w:vertAlign w:val="superscript"/>
          <w:lang w:val="es-CO"/>
        </w:rPr>
        <w:footnoteReference w:id="2"/>
      </w:r>
      <w:r w:rsidRPr="004F5ACB">
        <w:rPr>
          <w:rFonts w:ascii="Arial" w:eastAsia="Calibri" w:hAnsi="Arial" w:cs="Arial"/>
          <w:color w:val="000000"/>
          <w:sz w:val="22"/>
          <w:lang w:val="es-CO"/>
        </w:rPr>
        <w:t>.</w:t>
      </w:r>
      <w:r w:rsidRPr="004F5ACB">
        <w:rPr>
          <w:rFonts w:ascii="Arial" w:eastAsia="Calibri" w:hAnsi="Arial" w:cs="Arial"/>
          <w:color w:val="0D0D0D"/>
          <w:sz w:val="22"/>
        </w:rPr>
        <w:t xml:space="preserve"> </w:t>
      </w:r>
    </w:p>
    <w:p w14:paraId="40FFF4E7" w14:textId="77777777" w:rsidR="004F5ACB" w:rsidRPr="004F5ACB" w:rsidRDefault="004F5ACB" w:rsidP="004F5ACB">
      <w:pPr>
        <w:spacing w:before="120" w:after="160"/>
        <w:ind w:firstLine="708"/>
        <w:rPr>
          <w:rFonts w:ascii="Arial" w:eastAsia="Calibri" w:hAnsi="Arial" w:cs="Arial"/>
          <w:color w:val="0D0D0D"/>
          <w:sz w:val="22"/>
        </w:rPr>
      </w:pPr>
      <w:r w:rsidRPr="004F5ACB">
        <w:rPr>
          <w:rFonts w:ascii="Arial" w:eastAsia="Calibri" w:hAnsi="Arial" w:cs="Arial"/>
          <w:color w:val="0D0D0D"/>
          <w:sz w:val="22"/>
        </w:rPr>
        <w:lastRenderedPageBreak/>
        <w:t>Posteriormente, el 22 de julio de 2020, el Gobierno Nacional sancionó la Ley 2022, que rige a partir de su publicación y cuyo artículo 1 modifica el artículo 4 de la Ley 1882 de 2018 en relación con los siguientes aspectos: i) el sujeto encargado de la adopción de los documentos tipo, ya que antes se señalaba al Gobierno Nacional y ahora la entidad encargada directamente por la Ley es la Agencia Nacional de Contratación Pública – Colombia Compra Eficiente o quien haga sus veces; ii) la inclusión de buenas prácticas contractuales y los principios de la contratación pública para establecer los requisitos habilitantes, factores técnicos, económicos y otros factores de escogencia en los documentos tipo; iii) la implementación de procesos de capacitación en los municipios para la utilización de los documentos tipo buscando el desarrollo de la economía local; y iv) las responsabilidades para Colombia Compra Eficiente en la definición del desarrollo e implementación de los documentos tipo mediante cronogramas, coordinación con otras entidades especializadas, recepción de comentarios de los interesados y revisión de los documentos tipo expedidos</w:t>
      </w:r>
      <w:r w:rsidRPr="004F5ACB">
        <w:rPr>
          <w:rFonts w:ascii="Arial" w:eastAsia="Calibri" w:hAnsi="Arial" w:cs="Arial"/>
          <w:color w:val="0D0D0D"/>
          <w:sz w:val="22"/>
          <w:vertAlign w:val="superscript"/>
        </w:rPr>
        <w:footnoteReference w:id="3"/>
      </w:r>
      <w:r w:rsidRPr="004F5ACB">
        <w:rPr>
          <w:rFonts w:ascii="Arial" w:eastAsia="Calibri" w:hAnsi="Arial" w:cs="Arial"/>
          <w:color w:val="0D0D0D"/>
          <w:sz w:val="22"/>
        </w:rPr>
        <w:t xml:space="preserve">. </w:t>
      </w:r>
    </w:p>
    <w:p w14:paraId="36632220" w14:textId="77777777" w:rsidR="004F5ACB" w:rsidRPr="004F5ACB" w:rsidRDefault="004F5ACB" w:rsidP="004F5ACB">
      <w:pPr>
        <w:spacing w:before="120" w:after="160"/>
        <w:ind w:firstLine="709"/>
        <w:rPr>
          <w:rFonts w:ascii="Arial" w:eastAsia="Calibri" w:hAnsi="Arial" w:cs="Arial"/>
          <w:sz w:val="22"/>
        </w:rPr>
      </w:pPr>
      <w:r w:rsidRPr="004F5ACB">
        <w:rPr>
          <w:rFonts w:ascii="Arial" w:eastAsia="Calibri" w:hAnsi="Arial" w:cs="Arial"/>
          <w:sz w:val="22"/>
        </w:rPr>
        <w:t xml:space="preserve">De conformidad con esta Ley, se otorgó a la Agencia Nacional de Contratación Pública – Colombia Compra Eficiente la competencia para adoptar los documentos tipo; entidad que para el cumplimiento de las funciones atribuidas por el Decreto Ley 4170 de 2011, requiere la «coordinación con entidades técnicas o especializadas». Lo anterior con </w:t>
      </w:r>
      <w:r w:rsidRPr="004F5ACB">
        <w:rPr>
          <w:rFonts w:ascii="Arial" w:eastAsia="Calibri" w:hAnsi="Arial" w:cs="Arial"/>
          <w:sz w:val="22"/>
        </w:rPr>
        <w:lastRenderedPageBreak/>
        <w:t>la finalidad de elaborar los cronogramas y procedimientos indispensables para implementarlos de forma estratégica en los distintos sectores de la economía, facilitando su incorporación en el sistema de compra pública.</w:t>
      </w:r>
    </w:p>
    <w:p w14:paraId="14210829" w14:textId="77777777" w:rsidR="004F5ACB" w:rsidRPr="004F5ACB" w:rsidRDefault="004F5ACB" w:rsidP="004F5ACB">
      <w:pPr>
        <w:spacing w:before="120" w:after="160"/>
        <w:ind w:firstLine="709"/>
        <w:rPr>
          <w:rFonts w:ascii="Arial" w:eastAsia="Calibri" w:hAnsi="Arial" w:cs="Arial"/>
          <w:sz w:val="22"/>
        </w:rPr>
      </w:pPr>
      <w:r w:rsidRPr="004F5ACB">
        <w:rPr>
          <w:rFonts w:ascii="Arial" w:eastAsia="Calibri" w:hAnsi="Arial" w:cs="Arial"/>
          <w:sz w:val="22"/>
          <w:lang w:val="es-CO"/>
        </w:rPr>
        <w:t>Además, por disposición expresa de la Ley 2022 de 2020, los «Documentos tipo» adoptados por la Agencia Nacional de Contratación Pública son de obligatorio cumplimiento por todas las entidades públicas, cuyo régimen de contratación sea el Estatuto General de la Contratación de la Administración Pública ‒EGCAP‒. Esta obligatoriedad implica que las autoridades deben implementar los documentos tipo que encuentren dentro de su ámbito de aplicación, sin perjuicio de su «inalterabilidad»</w:t>
      </w:r>
      <w:r w:rsidRPr="004F5ACB">
        <w:rPr>
          <w:rFonts w:ascii="Arial" w:eastAsia="Calibri" w:hAnsi="Arial" w:cs="Arial"/>
          <w:color w:val="000000"/>
          <w:sz w:val="22"/>
          <w:bdr w:val="none" w:sz="0" w:space="0" w:color="auto" w:frame="1"/>
          <w:lang w:val="es-CO"/>
        </w:rPr>
        <w:t>. Lo anterior significa que las entidades públicas carecen de la facultad para modificarlos, con excepción de aquellos aspectos que pueden diligenciar, es decir, los espacios que están incluidos entre corchetes y resaltados en gris</w:t>
      </w:r>
      <w:r w:rsidRPr="004F5ACB">
        <w:rPr>
          <w:rFonts w:ascii="Arial" w:eastAsia="Calibri" w:hAnsi="Arial" w:cs="Arial"/>
          <w:color w:val="000000"/>
          <w:sz w:val="22"/>
          <w:lang w:val="es-CO"/>
        </w:rPr>
        <w:t xml:space="preserve"> o cuya modificación sea permitida por los mismos documentos tipo</w:t>
      </w:r>
      <w:r w:rsidRPr="004F5ACB">
        <w:rPr>
          <w:rFonts w:ascii="Arial" w:eastAsia="Calibri" w:hAnsi="Arial" w:cs="Arial"/>
          <w:color w:val="000000"/>
          <w:sz w:val="22"/>
          <w:bdr w:val="none" w:sz="0" w:space="0" w:color="auto" w:frame="1"/>
          <w:lang w:val="es-CO"/>
        </w:rPr>
        <w:t xml:space="preserve">. </w:t>
      </w:r>
    </w:p>
    <w:p w14:paraId="5242BAE6" w14:textId="77777777" w:rsidR="004F5ACB" w:rsidRPr="004F5ACB" w:rsidRDefault="004F5ACB" w:rsidP="004F5ACB">
      <w:pPr>
        <w:tabs>
          <w:tab w:val="left" w:pos="0"/>
          <w:tab w:val="left" w:pos="284"/>
        </w:tabs>
        <w:spacing w:before="120" w:after="0"/>
        <w:ind w:firstLine="709"/>
        <w:contextualSpacing/>
        <w:rPr>
          <w:rFonts w:ascii="Arial" w:eastAsia="Times New Roman" w:hAnsi="Arial" w:cs="Arial"/>
          <w:color w:val="000000"/>
          <w:sz w:val="22"/>
          <w:bdr w:val="none" w:sz="0" w:space="0" w:color="auto" w:frame="1"/>
          <w:lang w:val="es-CO" w:eastAsia="es-ES_tradnl"/>
        </w:rPr>
      </w:pPr>
      <w:r w:rsidRPr="004F5ACB">
        <w:rPr>
          <w:rFonts w:ascii="Arial" w:eastAsia="Calibri" w:hAnsi="Arial" w:cs="Arial"/>
          <w:sz w:val="22"/>
        </w:rPr>
        <w:t xml:space="preserve">Así, en desarrollo de la Ley 2022 de 2020, la Agencia Nacional de Contratación Pública expidió la Resolución 219 del 6 de agosto de 2021, «Por la cual se adoptan los documentos tipo para los procesos de licitación de obra pública de infraestructura social». Dentro de esta categoría fue incluida la infraestructura asociada a los sectores de la salud, el educativo y el de cultura, recreación y deporte, tal como lo establece el parágrafo 2 del artículo 2 de la resolución indicada, de la siguiente manera: </w:t>
      </w:r>
    </w:p>
    <w:p w14:paraId="6508F79F" w14:textId="77777777" w:rsidR="004F5ACB" w:rsidRPr="004F5ACB" w:rsidRDefault="004F5ACB" w:rsidP="004F5ACB">
      <w:pPr>
        <w:spacing w:after="0"/>
        <w:rPr>
          <w:rFonts w:ascii="Arial" w:eastAsia="Calibri" w:hAnsi="Arial" w:cs="Arial"/>
          <w:sz w:val="22"/>
          <w:lang w:val="es-ES"/>
        </w:rPr>
      </w:pPr>
    </w:p>
    <w:p w14:paraId="24108873" w14:textId="77777777" w:rsidR="004F5ACB" w:rsidRPr="004F5ACB" w:rsidRDefault="004F5ACB" w:rsidP="004F5ACB">
      <w:pPr>
        <w:spacing w:after="0" w:line="257" w:lineRule="auto"/>
        <w:ind w:left="709" w:right="709"/>
        <w:rPr>
          <w:rFonts w:ascii="Arial" w:eastAsia="Calibri" w:hAnsi="Arial" w:cs="Arial"/>
          <w:sz w:val="21"/>
          <w:szCs w:val="21"/>
          <w:lang w:val="es-ES"/>
        </w:rPr>
      </w:pPr>
      <w:r w:rsidRPr="004F5ACB">
        <w:rPr>
          <w:rFonts w:ascii="Arial" w:eastAsia="Calibri" w:hAnsi="Arial" w:cs="Arial"/>
          <w:sz w:val="21"/>
          <w:szCs w:val="21"/>
          <w:lang w:val="es-ES"/>
        </w:rPr>
        <w:t xml:space="preserve">Estos documentos tipo aplicarán a los proyectos de infraestructura social, tales como, </w:t>
      </w:r>
      <w:r w:rsidRPr="004F5ACB">
        <w:rPr>
          <w:rFonts w:ascii="Arial" w:eastAsia="Calibri" w:hAnsi="Arial" w:cs="Arial"/>
          <w:i/>
          <w:iCs/>
          <w:sz w:val="21"/>
          <w:szCs w:val="21"/>
          <w:lang w:val="es-ES"/>
        </w:rPr>
        <w:t>sector educativo</w:t>
      </w:r>
      <w:r w:rsidRPr="004F5ACB">
        <w:rPr>
          <w:rFonts w:ascii="Arial" w:eastAsia="Calibri" w:hAnsi="Arial" w:cs="Arial"/>
          <w:sz w:val="21"/>
          <w:szCs w:val="21"/>
          <w:lang w:val="es-ES"/>
        </w:rPr>
        <w:t xml:space="preserve">, sector salud y sector cultural, recreación y deporte, </w:t>
      </w:r>
      <w:r w:rsidRPr="004F5ACB">
        <w:rPr>
          <w:rFonts w:ascii="Arial" w:eastAsia="Calibri" w:hAnsi="Arial" w:cs="Arial"/>
          <w:i/>
          <w:iCs/>
          <w:sz w:val="21"/>
          <w:szCs w:val="21"/>
          <w:lang w:val="es-ES"/>
        </w:rPr>
        <w:t>de conformidad con cada una de las resoluciones que expida la Agencia Nacional de Contratación Pública -Colombia Compra Eficiente-</w:t>
      </w:r>
      <w:r w:rsidRPr="004F5ACB">
        <w:rPr>
          <w:rFonts w:ascii="Arial" w:eastAsia="Calibri" w:hAnsi="Arial" w:cs="Arial"/>
          <w:sz w:val="21"/>
          <w:szCs w:val="21"/>
          <w:lang w:val="es-ES"/>
        </w:rPr>
        <w:t>, donde se precisará el alcance concreto de estos documentos tipo; sin perjuicio de que se incluyan otros tipos de infraestructura social. (Énfasis fuera del texto)</w:t>
      </w:r>
    </w:p>
    <w:p w14:paraId="294F56A8" w14:textId="77777777" w:rsidR="004F5ACB" w:rsidRPr="004F5ACB" w:rsidRDefault="004F5ACB" w:rsidP="004F5ACB">
      <w:pPr>
        <w:spacing w:after="0"/>
        <w:rPr>
          <w:rFonts w:ascii="Arial" w:eastAsia="Calibri" w:hAnsi="Arial" w:cs="Arial"/>
          <w:sz w:val="22"/>
          <w:lang w:val="es-ES"/>
        </w:rPr>
      </w:pPr>
      <w:r w:rsidRPr="004F5ACB">
        <w:rPr>
          <w:rFonts w:ascii="Arial" w:eastAsia="Calibri" w:hAnsi="Arial" w:cs="Arial"/>
          <w:sz w:val="22"/>
          <w:lang w:val="es-ES"/>
        </w:rPr>
        <w:tab/>
      </w:r>
    </w:p>
    <w:p w14:paraId="63BC2B51" w14:textId="77777777" w:rsidR="004F5ACB" w:rsidRPr="004F5ACB" w:rsidRDefault="004F5ACB" w:rsidP="004F5ACB">
      <w:pPr>
        <w:spacing w:after="0"/>
        <w:ind w:firstLine="709"/>
        <w:rPr>
          <w:rFonts w:ascii="Arial" w:eastAsia="Calibri" w:hAnsi="Arial" w:cs="Arial"/>
          <w:sz w:val="22"/>
          <w:lang w:val="es-ES"/>
        </w:rPr>
      </w:pPr>
      <w:r w:rsidRPr="004F5ACB">
        <w:rPr>
          <w:rFonts w:ascii="Arial" w:eastAsia="Calibri" w:hAnsi="Arial" w:cs="Arial"/>
          <w:sz w:val="22"/>
          <w:lang w:val="es-ES"/>
        </w:rPr>
        <w:t>Como se observa, la Resolución 219 de 2021 contiene un listado enunciativo de los sectores relacionados con los proyectos de infraestructura social a los cuales aplican los documentos tipo –</w:t>
      </w:r>
      <w:bookmarkStart w:id="7" w:name="_Hlk99816609"/>
      <w:r w:rsidRPr="004F5ACB">
        <w:rPr>
          <w:rFonts w:ascii="Arial" w:eastAsia="Calibri" w:hAnsi="Arial" w:cs="Arial"/>
          <w:sz w:val="22"/>
          <w:lang w:val="es-ES"/>
        </w:rPr>
        <w:t>educativo; salud; cultura, recreación y deporte</w:t>
      </w:r>
      <w:bookmarkEnd w:id="7"/>
      <w:r w:rsidRPr="004F5ACB">
        <w:rPr>
          <w:rFonts w:ascii="Arial" w:eastAsia="Calibri" w:hAnsi="Arial" w:cs="Arial"/>
          <w:sz w:val="22"/>
          <w:lang w:val="es-ES"/>
        </w:rPr>
        <w:t xml:space="preserve">–. También precisa que el alcance de cada sector estará dado por las resoluciones posteriores que expida la Agencia. A su vez, esas resoluciones desarrollarán las matrices de experiencia y los glosarios que definirán concretamente cada sector, mediante los cuales se precisará de forma detallada su ámbito de aplicación.  </w:t>
      </w:r>
    </w:p>
    <w:p w14:paraId="44D6BCC9" w14:textId="77777777" w:rsidR="004F5ACB" w:rsidRPr="004F5ACB" w:rsidRDefault="004F5ACB" w:rsidP="004F5ACB">
      <w:pPr>
        <w:spacing w:before="120" w:after="0"/>
        <w:ind w:firstLine="708"/>
        <w:rPr>
          <w:rFonts w:ascii="Arial" w:eastAsia="Calibri" w:hAnsi="Arial" w:cs="Arial"/>
          <w:bCs/>
          <w:color w:val="000000"/>
          <w:sz w:val="22"/>
          <w:lang w:val="es-ES"/>
        </w:rPr>
      </w:pPr>
      <w:r w:rsidRPr="004F5ACB">
        <w:rPr>
          <w:rFonts w:ascii="Arial" w:eastAsia="Calibri" w:hAnsi="Arial" w:cs="Arial"/>
          <w:sz w:val="22"/>
          <w:lang w:val="es-ES"/>
        </w:rPr>
        <w:t xml:space="preserve">Así lo señala el parágrafo 3 del artículo 2 que dispone lo siguiente: </w:t>
      </w:r>
      <w:r w:rsidRPr="004F5ACB">
        <w:rPr>
          <w:rFonts w:ascii="Arial" w:eastAsia="Calibri" w:hAnsi="Arial" w:cs="Arial"/>
          <w:sz w:val="22"/>
          <w:lang w:val="es-CO"/>
        </w:rPr>
        <w:t>«</w:t>
      </w:r>
      <w:r w:rsidRPr="004F5ACB">
        <w:rPr>
          <w:rFonts w:ascii="Arial" w:eastAsia="Calibri" w:hAnsi="Arial" w:cs="Arial"/>
          <w:sz w:val="22"/>
          <w:lang w:val="es-ES"/>
        </w:rPr>
        <w:t>Los documentos tipo de infraestructura social empezarán a regir para cada sector, esto es, educativo, salud y cultura, recreación y deporte, de acuerdo con lo dispuesto en las resoluciones mediante las cuales se adopten cada una de las matrices de experiencia y glosarios aplicables a cada sector</w:t>
      </w:r>
      <w:r w:rsidRPr="004F5ACB">
        <w:rPr>
          <w:rFonts w:ascii="Arial" w:eastAsia="Calibri" w:hAnsi="Arial" w:cs="Arial"/>
          <w:sz w:val="22"/>
          <w:lang w:val="es-CO"/>
        </w:rPr>
        <w:t>».</w:t>
      </w:r>
      <w:r w:rsidRPr="004F5ACB">
        <w:rPr>
          <w:rFonts w:ascii="Arial" w:eastAsia="Calibri" w:hAnsi="Arial" w:cs="Arial"/>
          <w:sz w:val="22"/>
          <w:lang w:val="es-ES"/>
        </w:rPr>
        <w:t xml:space="preserve"> En concordancia, el «Documento Base» de </w:t>
      </w:r>
      <w:r w:rsidRPr="004F5ACB">
        <w:rPr>
          <w:rFonts w:ascii="Arial" w:eastAsia="Calibri" w:hAnsi="Arial" w:cs="Arial"/>
          <w:sz w:val="22"/>
          <w:lang w:val="es-CO"/>
        </w:rPr>
        <w:t xml:space="preserve">licitación de obra pública de </w:t>
      </w:r>
      <w:r w:rsidRPr="004F5ACB">
        <w:rPr>
          <w:rFonts w:ascii="Arial" w:eastAsia="Calibri" w:hAnsi="Arial" w:cs="Arial"/>
          <w:sz w:val="22"/>
          <w:lang w:val="es-CO"/>
        </w:rPr>
        <w:lastRenderedPageBreak/>
        <w:t>infraestructura social</w:t>
      </w:r>
      <w:r w:rsidRPr="004F5ACB">
        <w:rPr>
          <w:rFonts w:ascii="Arial" w:eastAsia="Calibri" w:hAnsi="Arial" w:cs="Arial"/>
          <w:sz w:val="22"/>
          <w:vertAlign w:val="superscript"/>
          <w:lang w:val="es-ES"/>
        </w:rPr>
        <w:footnoteReference w:id="4"/>
      </w:r>
      <w:r w:rsidRPr="004F5ACB">
        <w:rPr>
          <w:rFonts w:ascii="Arial" w:eastAsia="Calibri" w:hAnsi="Arial" w:cs="Arial"/>
          <w:sz w:val="22"/>
          <w:lang w:val="es-CO"/>
        </w:rPr>
        <w:t xml:space="preserve"> prescribe en la parte introductoria que «</w:t>
      </w:r>
      <w:r w:rsidRPr="004F5ACB">
        <w:rPr>
          <w:rFonts w:ascii="Arial" w:eastAsia="Calibri" w:hAnsi="Arial" w:cs="Arial"/>
          <w:bCs/>
          <w:color w:val="000000"/>
          <w:sz w:val="22"/>
          <w:lang w:val="es-CO" w:eastAsia="es-CO"/>
        </w:rPr>
        <w:t>Este Documento Tipo de “infraestructura social” aplica a los procesos que correspondan a las actividades definidas en las matrices de experiencia, expedidas por la Agencia Nacional de Contratación Pública – Colombia Compra Eficiente para los sectores educativo, salud y cultura, recreación y deporte, sin perjuicio de que dicha Agencia incluya otros tipos de “infraestructura social”</w:t>
      </w:r>
      <w:r w:rsidRPr="004F5ACB">
        <w:rPr>
          <w:rFonts w:ascii="Arial" w:eastAsia="Calibri" w:hAnsi="Arial" w:cs="Arial"/>
          <w:sz w:val="22"/>
          <w:lang w:val="es-CO"/>
        </w:rPr>
        <w:t>».</w:t>
      </w:r>
    </w:p>
    <w:p w14:paraId="7D15363E" w14:textId="77777777" w:rsidR="004F5ACB" w:rsidRPr="004F5ACB" w:rsidRDefault="004F5ACB" w:rsidP="004F5ACB">
      <w:pPr>
        <w:spacing w:before="120" w:after="0"/>
        <w:ind w:firstLine="708"/>
        <w:rPr>
          <w:rFonts w:ascii="Arial" w:eastAsia="Calibri" w:hAnsi="Arial" w:cs="Arial"/>
          <w:sz w:val="22"/>
          <w:lang w:val="es-ES" w:eastAsia="en-GB"/>
        </w:rPr>
      </w:pPr>
      <w:r w:rsidRPr="00FE01A4">
        <w:rPr>
          <w:rFonts w:ascii="Arial" w:eastAsia="Calibri" w:hAnsi="Arial" w:cs="Arial"/>
          <w:bCs/>
          <w:color w:val="000000"/>
          <w:sz w:val="22"/>
          <w:lang w:val="es-ES"/>
        </w:rPr>
        <w:t xml:space="preserve">Cabe anotar que </w:t>
      </w:r>
      <w:r w:rsidRPr="00FE01A4">
        <w:rPr>
          <w:rFonts w:ascii="Arial" w:eastAsia="Calibri" w:hAnsi="Arial" w:cs="Arial"/>
          <w:bCs/>
          <w:color w:val="000000"/>
          <w:sz w:val="22"/>
          <w:lang w:val="es-CO"/>
        </w:rPr>
        <w:t xml:space="preserve">la Resolución 219 del 6 de agosto de 2021 contiene los documentos tipo que aplican </w:t>
      </w:r>
      <w:r w:rsidRPr="00FE01A4">
        <w:rPr>
          <w:rFonts w:ascii="Arial" w:eastAsia="Calibri" w:hAnsi="Arial" w:cs="Arial"/>
          <w:sz w:val="22"/>
          <w:lang w:val="es-ES"/>
        </w:rPr>
        <w:t>de forma transversal a los proyectos de infraestructura social en los sectores educativo; salud;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w:t>
      </w:r>
    </w:p>
    <w:p w14:paraId="31CEF6D0" w14:textId="77777777" w:rsidR="004F5ACB" w:rsidRPr="004F5ACB" w:rsidRDefault="004F5ACB" w:rsidP="004F5ACB">
      <w:pPr>
        <w:spacing w:before="120" w:after="0"/>
        <w:ind w:firstLine="708"/>
        <w:rPr>
          <w:rFonts w:ascii="Arial" w:eastAsia="Calibri" w:hAnsi="Arial" w:cs="Arial"/>
          <w:bCs/>
          <w:color w:val="000000"/>
          <w:sz w:val="22"/>
          <w:lang w:val="es-CO"/>
        </w:rPr>
      </w:pPr>
      <w:r w:rsidRPr="004F5ACB">
        <w:rPr>
          <w:rFonts w:ascii="Arial" w:eastAsia="Calibri" w:hAnsi="Arial" w:cs="Arial"/>
          <w:sz w:val="22"/>
          <w:lang w:val="es-ES"/>
        </w:rPr>
        <w:t xml:space="preserve">En consecuencia, en materia de infraestructura social debe tenerse en cuenta que existen dos (2) clases de documentos tipo que se integran en cada proceso: i) los documentos </w:t>
      </w:r>
      <w:r w:rsidRPr="004F5ACB">
        <w:rPr>
          <w:rFonts w:ascii="Arial" w:eastAsia="Calibri" w:hAnsi="Arial" w:cs="Arial"/>
          <w:i/>
          <w:sz w:val="22"/>
          <w:lang w:val="es-ES"/>
        </w:rPr>
        <w:t>transversales</w:t>
      </w:r>
      <w:r w:rsidRPr="004F5ACB">
        <w:rPr>
          <w:rFonts w:ascii="Arial" w:eastAsia="Calibri" w:hAnsi="Arial" w:cs="Arial"/>
          <w:sz w:val="22"/>
          <w:lang w:val="es-ES"/>
        </w:rPr>
        <w:t xml:space="preserve"> a todos los sectores de infraestructura social, es decir, el documento base, los anexos, los formatos, los formularios y las matrices adoptados mediante la Resolución No. 219 de 2021; y </w:t>
      </w:r>
      <w:proofErr w:type="spellStart"/>
      <w:r w:rsidRPr="004F5ACB">
        <w:rPr>
          <w:rFonts w:ascii="Arial" w:eastAsia="Calibri" w:hAnsi="Arial" w:cs="Arial"/>
          <w:sz w:val="22"/>
          <w:lang w:val="es-ES"/>
        </w:rPr>
        <w:t>ii</w:t>
      </w:r>
      <w:proofErr w:type="spellEnd"/>
      <w:r w:rsidRPr="004F5ACB">
        <w:rPr>
          <w:rFonts w:ascii="Arial" w:eastAsia="Calibri" w:hAnsi="Arial" w:cs="Arial"/>
          <w:sz w:val="22"/>
          <w:lang w:val="es-ES"/>
        </w:rPr>
        <w:t xml:space="preserve">) los documentos tipo </w:t>
      </w:r>
      <w:r w:rsidRPr="004F5ACB">
        <w:rPr>
          <w:rFonts w:ascii="Arial" w:eastAsia="Calibri" w:hAnsi="Arial" w:cs="Arial"/>
          <w:i/>
          <w:sz w:val="22"/>
          <w:lang w:val="es-ES"/>
        </w:rPr>
        <w:t>complementarios</w:t>
      </w:r>
      <w:r w:rsidRPr="004F5ACB">
        <w:rPr>
          <w:rFonts w:ascii="Arial" w:eastAsia="Calibri" w:hAnsi="Arial" w:cs="Arial"/>
          <w:iCs/>
          <w:sz w:val="22"/>
          <w:lang w:val="es-ES"/>
        </w:rPr>
        <w:t>,</w:t>
      </w:r>
      <w:r w:rsidRPr="004F5ACB">
        <w:rPr>
          <w:rFonts w:ascii="Arial" w:eastAsia="Calibri" w:hAnsi="Arial" w:cs="Arial"/>
          <w:i/>
          <w:sz w:val="22"/>
          <w:lang w:val="es-ES"/>
        </w:rPr>
        <w:t xml:space="preserve"> </w:t>
      </w:r>
      <w:r w:rsidRPr="004F5ACB">
        <w:rPr>
          <w:rFonts w:ascii="Arial" w:eastAsia="Calibri" w:hAnsi="Arial" w:cs="Arial"/>
          <w:sz w:val="22"/>
          <w:lang w:val="es-ES"/>
        </w:rPr>
        <w:t>referentes a la matriz de experiencia y el glosario, los cuales han sido adoptados en la resolución para cada sector específico</w:t>
      </w:r>
      <w:bookmarkStart w:id="8" w:name="_Hlk83803153"/>
      <w:r w:rsidRPr="004F5ACB">
        <w:rPr>
          <w:rFonts w:ascii="Arial" w:eastAsia="Calibri" w:hAnsi="Arial" w:cs="Arial"/>
          <w:sz w:val="22"/>
          <w:lang w:val="es-ES"/>
        </w:rPr>
        <w:t>, así</w:t>
      </w:r>
      <w:r w:rsidRPr="004F5ACB">
        <w:rPr>
          <w:rFonts w:ascii="Arial" w:eastAsia="Calibri" w:hAnsi="Arial" w:cs="Arial"/>
          <w:bCs/>
          <w:color w:val="000000"/>
          <w:sz w:val="22"/>
          <w:lang w:val="es-ES"/>
        </w:rPr>
        <w:t xml:space="preserve">: i) </w:t>
      </w:r>
      <w:r w:rsidRPr="004F5ACB">
        <w:rPr>
          <w:rFonts w:ascii="Arial" w:eastAsia="Calibri" w:hAnsi="Arial" w:cs="Arial"/>
          <w:bCs/>
          <w:color w:val="000000"/>
          <w:sz w:val="22"/>
          <w:lang w:val="es-CO"/>
        </w:rPr>
        <w:t xml:space="preserve">la Resolución 220 de 2021, «Por la cual se adoptan los documentos tipo complementarios para los procesos de licitación de obra pública de infraestructura social relacionados con el sector educativo»; </w:t>
      </w:r>
      <w:proofErr w:type="spellStart"/>
      <w:r w:rsidRPr="004F5ACB">
        <w:rPr>
          <w:rFonts w:ascii="Arial" w:eastAsia="Calibri" w:hAnsi="Arial" w:cs="Arial"/>
          <w:bCs/>
          <w:color w:val="000000"/>
          <w:sz w:val="22"/>
          <w:lang w:val="es-CO"/>
        </w:rPr>
        <w:t>ii</w:t>
      </w:r>
      <w:proofErr w:type="spellEnd"/>
      <w:r w:rsidRPr="004F5ACB">
        <w:rPr>
          <w:rFonts w:ascii="Arial" w:eastAsia="Calibri" w:hAnsi="Arial" w:cs="Arial"/>
          <w:bCs/>
          <w:color w:val="000000"/>
          <w:sz w:val="22"/>
          <w:lang w:val="es-CO"/>
        </w:rPr>
        <w:t xml:space="preserve">) la Resolución 392 de 2021, «Por la cual se adoptan los documentos tipo complementarios para los procesos de licitación de obra pública de infraestructura social relacionados con el sector salud»; y </w:t>
      </w:r>
      <w:proofErr w:type="spellStart"/>
      <w:r w:rsidRPr="004F5ACB">
        <w:rPr>
          <w:rFonts w:ascii="Arial" w:eastAsia="Calibri" w:hAnsi="Arial" w:cs="Arial"/>
          <w:bCs/>
          <w:color w:val="000000"/>
          <w:sz w:val="22"/>
          <w:lang w:val="es-CO"/>
        </w:rPr>
        <w:t>iii</w:t>
      </w:r>
      <w:proofErr w:type="spellEnd"/>
      <w:r w:rsidRPr="004F5ACB">
        <w:rPr>
          <w:rFonts w:ascii="Arial" w:eastAsia="Calibri" w:hAnsi="Arial" w:cs="Arial"/>
          <w:bCs/>
          <w:color w:val="000000"/>
          <w:sz w:val="22"/>
          <w:lang w:val="es-CO"/>
        </w:rPr>
        <w:t>) la Resolución 454 de 2021, «Por la cual se adoptan los documentos tipo complementarios para los procesos de licitación de obra pública de infraestructura social relacionados con el sector cultura, recreación y deporte».</w:t>
      </w:r>
    </w:p>
    <w:p w14:paraId="6BDF6100" w14:textId="77777777" w:rsidR="004F5ACB" w:rsidRPr="004F5ACB" w:rsidRDefault="004F5ACB" w:rsidP="004F5ACB">
      <w:pPr>
        <w:spacing w:before="120" w:after="120"/>
        <w:ind w:firstLine="708"/>
        <w:rPr>
          <w:rFonts w:ascii="Arial" w:eastAsia="Calibri" w:hAnsi="Arial" w:cs="Arial"/>
          <w:bCs/>
          <w:sz w:val="22"/>
          <w:lang w:val="es-CO"/>
        </w:rPr>
      </w:pPr>
      <w:bookmarkStart w:id="9" w:name="_Hlk113872443"/>
      <w:r w:rsidRPr="004F5ACB">
        <w:rPr>
          <w:rFonts w:ascii="Arial" w:eastAsia="Calibri" w:hAnsi="Arial" w:cs="Arial"/>
          <w:bCs/>
          <w:sz w:val="22"/>
          <w:lang w:val="es-ES"/>
        </w:rPr>
        <w:t xml:space="preserve">El ámbito de aplicación de cada uno de los sectores señalados está dado por las resoluciones mediante las cuales se implementan los documentos complementarios y que desarrollan las matrices de experiencia y los glosarios que definirán concretamente cada sector y que precisan de forma detallada su ámbito de aplicación. </w:t>
      </w:r>
    </w:p>
    <w:p w14:paraId="73993C3A" w14:textId="77777777" w:rsidR="004F5ACB" w:rsidRPr="004F5ACB" w:rsidRDefault="004F5ACB" w:rsidP="004F5ACB">
      <w:pPr>
        <w:spacing w:before="120" w:after="0"/>
        <w:ind w:firstLine="708"/>
        <w:rPr>
          <w:rFonts w:ascii="Arial" w:eastAsia="Calibri" w:hAnsi="Arial" w:cs="Arial"/>
          <w:sz w:val="22"/>
          <w:lang w:val="es-ES"/>
        </w:rPr>
      </w:pPr>
      <w:r w:rsidRPr="004F5ACB">
        <w:rPr>
          <w:rFonts w:ascii="Arial" w:eastAsia="Calibri" w:hAnsi="Arial" w:cs="Arial"/>
          <w:bCs/>
          <w:sz w:val="22"/>
          <w:lang w:val="es-ES"/>
        </w:rPr>
        <w:t xml:space="preserve">La </w:t>
      </w:r>
      <w:r w:rsidRPr="004F5ACB">
        <w:rPr>
          <w:rFonts w:ascii="Arial" w:eastAsia="Calibri" w:hAnsi="Arial" w:cs="Arial"/>
          <w:sz w:val="22"/>
          <w:lang w:val="es-ES"/>
        </w:rPr>
        <w:t xml:space="preserve">Matriz de experiencia de cada sector, además de estandarizar el requisito habilitante de experiencia, señala los proyectos o contratos concretos a los cuales aplican los documentos tipo, en el entendido de que aplicarán a los procesos contractuales cuyo objeto se relacione con alguna de las actividades establecidas de forma detallada en la Matriz de experiencia respectiva. Asimismo, en el Glosario de cada uno de los documentos se consagran las definiciones que guían la interpretación de los documentos. </w:t>
      </w:r>
    </w:p>
    <w:p w14:paraId="58A86764" w14:textId="77777777" w:rsidR="004F5ACB" w:rsidRPr="004F5ACB" w:rsidRDefault="004F5ACB" w:rsidP="004F5ACB">
      <w:pPr>
        <w:spacing w:before="120" w:after="0"/>
        <w:ind w:firstLine="709"/>
        <w:rPr>
          <w:rFonts w:ascii="Arial" w:eastAsia="Calibri" w:hAnsi="Arial" w:cs="Arial"/>
          <w:sz w:val="22"/>
          <w:lang w:val="es-ES_tradnl"/>
        </w:rPr>
      </w:pPr>
      <w:r w:rsidRPr="004F5ACB">
        <w:rPr>
          <w:rFonts w:ascii="Arial" w:eastAsia="Calibri" w:hAnsi="Arial" w:cs="Arial"/>
          <w:sz w:val="22"/>
          <w:lang w:val="es-ES"/>
        </w:rPr>
        <w:lastRenderedPageBreak/>
        <w:t xml:space="preserve">Así las cosas, siempre que el objeto esté relacionado con alguna de las actividades señaladas en la matriz de experiencia de cada sector, los documentos tipo adoptados mediante las Resoluciones 219, 220, 393 y 454 de 2021 son obligatorios para las entidades sometidas a la Ley 80 de 1993 que contraten la ejecución de obras públicas de infraestructura social en los sectores educativo; salud; cultura, recreación y deporte. </w:t>
      </w:r>
    </w:p>
    <w:bookmarkEnd w:id="8"/>
    <w:bookmarkEnd w:id="9"/>
    <w:p w14:paraId="4F935DF0" w14:textId="77777777" w:rsidR="004F5ACB" w:rsidRPr="004F5ACB" w:rsidRDefault="004F5ACB" w:rsidP="004F5ACB">
      <w:pPr>
        <w:spacing w:before="120" w:after="0"/>
        <w:ind w:firstLine="708"/>
        <w:rPr>
          <w:rFonts w:ascii="Arial" w:eastAsia="Calibri" w:hAnsi="Arial" w:cs="Arial"/>
          <w:color w:val="000000"/>
          <w:sz w:val="22"/>
          <w:lang w:val="es-ES_tradnl" w:eastAsia="es-ES"/>
        </w:rPr>
      </w:pPr>
      <w:r w:rsidRPr="004F5ACB">
        <w:rPr>
          <w:rFonts w:ascii="Arial" w:eastAsia="Calibri" w:hAnsi="Arial" w:cs="Arial"/>
          <w:sz w:val="22"/>
          <w:lang w:val="es-ES"/>
        </w:rPr>
        <w:t xml:space="preserve">Vale anotar </w:t>
      </w:r>
      <w:r w:rsidRPr="004F5ACB">
        <w:rPr>
          <w:rFonts w:ascii="Arial" w:eastAsia="Calibri" w:hAnsi="Arial" w:cs="Arial"/>
          <w:color w:val="000000"/>
          <w:sz w:val="22"/>
          <w:lang w:val="es-ES_tradnl" w:eastAsia="es-ES"/>
        </w:rPr>
        <w:t>que mediante la Resolución 336 del 2 de noviembre de 2021, se aplazó y se dispuso la implementación gradual y progresiva de los documentos tipo complementarios para procesos de licitación de obra pública de infraestructura social, de acuerdo con los grupos de entidades y fechas señaladas en el cronograma del artículo 6 de la Resolución No. 219 de 2021</w:t>
      </w:r>
      <w:r w:rsidRPr="004F5ACB">
        <w:rPr>
          <w:rFonts w:ascii="Arial" w:eastAsia="Calibri" w:hAnsi="Arial" w:cs="Arial"/>
          <w:color w:val="000000"/>
          <w:sz w:val="22"/>
          <w:vertAlign w:val="superscript"/>
          <w:lang w:val="es-ES_tradnl" w:eastAsia="es-ES"/>
        </w:rPr>
        <w:footnoteReference w:id="5"/>
      </w:r>
      <w:r w:rsidRPr="004F5ACB">
        <w:rPr>
          <w:rFonts w:ascii="Arial" w:eastAsia="Calibri" w:hAnsi="Arial" w:cs="Arial"/>
          <w:color w:val="000000"/>
          <w:sz w:val="22"/>
          <w:lang w:val="es-ES_tradnl" w:eastAsia="es-ES"/>
        </w:rPr>
        <w:t xml:space="preserve">. Teniendo en cuenta lo anterior, a partir del 1 de abril de 2022 estos documentos tipo deben ser implementados en todas las entidades en las que resulte obligatorio para los procedimientos de selección de licitación de obra pública de infraestructura social que estas adelanten. </w:t>
      </w:r>
    </w:p>
    <w:p w14:paraId="6387AEA1" w14:textId="77777777" w:rsidR="004F5ACB" w:rsidRPr="004F5ACB" w:rsidRDefault="004F5ACB" w:rsidP="004F5ACB">
      <w:pPr>
        <w:spacing w:before="120" w:after="0"/>
        <w:ind w:firstLine="709"/>
        <w:rPr>
          <w:rFonts w:ascii="Arial" w:eastAsia="Calibri" w:hAnsi="Arial" w:cs="Arial"/>
          <w:sz w:val="22"/>
          <w:lang w:val="es-CO" w:eastAsia="es-MX"/>
        </w:rPr>
      </w:pPr>
      <w:r w:rsidRPr="004F5ACB">
        <w:rPr>
          <w:rFonts w:ascii="Arial" w:eastAsia="Calibri" w:hAnsi="Arial" w:cs="Arial"/>
          <w:sz w:val="22"/>
          <w:lang w:val="es-CO" w:eastAsia="es-MX"/>
        </w:rPr>
        <w:lastRenderedPageBreak/>
        <w:t xml:space="preserve">Por último, </w:t>
      </w:r>
      <w:bookmarkStart w:id="10" w:name="_Hlk112854634"/>
      <w:r w:rsidRPr="004F5ACB">
        <w:rPr>
          <w:rFonts w:ascii="Arial" w:eastAsia="Calibri" w:hAnsi="Arial" w:cs="Arial"/>
          <w:sz w:val="22"/>
          <w:lang w:val="es-CO" w:eastAsia="es-MX"/>
        </w:rPr>
        <w:t xml:space="preserve">es preciso indicar que con la expedición del Decreto 1860 del 24 de diciembre de 2021, que modificó el Decreto 1082 de 2015 y reglamentó los artículos 30, 31, 32, 34 y 35 de la Ley 2069 de 2020, la Agencia modificó los diferentes documentos tipo que había expedido hasta ese momento, con la finalidad de hacerlos compatibles con la nueva regulación. De esta manera, se expidió la Resolución 275 del 24 de junio de 2022, «Por la cual se modifican los documentos tipo adoptados por la Agencia Nacional de Contratación Pública – Colombia Compra Eficiente» que se aplicará a los proceso de contratación cuyo aviso de convocatoria se publique a partir del 29 de agosto de 2022. Esta resolución reguló los criterios diferenciales habilitantes y puntajes adicionales para </w:t>
      </w:r>
      <w:proofErr w:type="spellStart"/>
      <w:r w:rsidRPr="004F5ACB">
        <w:rPr>
          <w:rFonts w:ascii="Arial" w:eastAsia="Calibri" w:hAnsi="Arial" w:cs="Arial"/>
          <w:sz w:val="22"/>
          <w:lang w:val="es-CO" w:eastAsia="es-MX"/>
        </w:rPr>
        <w:t>Mipyme</w:t>
      </w:r>
      <w:proofErr w:type="spellEnd"/>
      <w:r w:rsidRPr="004F5ACB">
        <w:rPr>
          <w:rFonts w:ascii="Arial" w:eastAsia="Calibri" w:hAnsi="Arial" w:cs="Arial"/>
          <w:sz w:val="22"/>
          <w:lang w:val="es-CO" w:eastAsia="es-MX"/>
        </w:rPr>
        <w:t xml:space="preserve"> y empresas y emprendimientos de mujeres, así como el fomento a la ejecución de contratos estatales por parte de población en pobreza extrema, desplazados por la violencia, personas en proceso de reintegración o reincorporación y sujetos de especial protección constitucional, los factores de desempate y la limitación de la convocatoria a </w:t>
      </w:r>
      <w:proofErr w:type="spellStart"/>
      <w:r w:rsidRPr="004F5ACB">
        <w:rPr>
          <w:rFonts w:ascii="Arial" w:eastAsia="Calibri" w:hAnsi="Arial" w:cs="Arial"/>
          <w:sz w:val="22"/>
          <w:lang w:val="es-CO" w:eastAsia="es-MX"/>
        </w:rPr>
        <w:t>Mipyme</w:t>
      </w:r>
      <w:proofErr w:type="spellEnd"/>
      <w:r w:rsidRPr="004F5ACB">
        <w:rPr>
          <w:rFonts w:ascii="Arial" w:eastAsia="Calibri" w:hAnsi="Arial" w:cs="Arial"/>
          <w:sz w:val="22"/>
          <w:lang w:val="es-CO" w:eastAsia="es-MX"/>
        </w:rPr>
        <w:t xml:space="preserve">. </w:t>
      </w:r>
    </w:p>
    <w:p w14:paraId="67434CA6" w14:textId="77777777" w:rsidR="004F5ACB" w:rsidRPr="004F5ACB" w:rsidRDefault="004F5ACB" w:rsidP="004F5ACB">
      <w:pPr>
        <w:spacing w:before="120" w:after="0"/>
        <w:ind w:firstLine="709"/>
        <w:rPr>
          <w:rFonts w:ascii="Arial" w:eastAsia="Calibri" w:hAnsi="Arial" w:cs="Arial"/>
          <w:sz w:val="22"/>
          <w:lang w:val="es-CO" w:eastAsia="es-MX"/>
        </w:rPr>
      </w:pPr>
      <w:r w:rsidRPr="004F5ACB">
        <w:rPr>
          <w:rFonts w:ascii="Arial" w:eastAsia="Calibri" w:hAnsi="Arial" w:cs="Arial"/>
          <w:sz w:val="22"/>
          <w:lang w:val="es-CO" w:eastAsia="es-MX"/>
        </w:rPr>
        <w:t>En desarrollo de lo anterior, se modificaron, entre otros aspectos, las reglas de acreditación de experiencia establecida en los documentos</w:t>
      </w:r>
      <w:r w:rsidRPr="004F5ACB">
        <w:rPr>
          <w:rFonts w:ascii="Arial" w:eastAsia="Calibri" w:hAnsi="Arial" w:cs="Arial"/>
          <w:i/>
          <w:sz w:val="22"/>
          <w:lang w:val="es-ES"/>
        </w:rPr>
        <w:t xml:space="preserve"> </w:t>
      </w:r>
      <w:r w:rsidRPr="004F5ACB">
        <w:rPr>
          <w:rFonts w:ascii="Arial" w:eastAsia="Calibri" w:hAnsi="Arial" w:cs="Arial"/>
          <w:iCs/>
          <w:sz w:val="22"/>
          <w:lang w:val="es-ES"/>
        </w:rPr>
        <w:t>transversales</w:t>
      </w:r>
      <w:r w:rsidRPr="004F5ACB">
        <w:rPr>
          <w:rFonts w:ascii="Arial" w:eastAsia="Calibri" w:hAnsi="Arial" w:cs="Arial"/>
          <w:sz w:val="22"/>
          <w:lang w:val="es-ES"/>
        </w:rPr>
        <w:t xml:space="preserve"> a todos los sectores de infraestructura social</w:t>
      </w:r>
      <w:r w:rsidRPr="004F5ACB">
        <w:rPr>
          <w:rFonts w:ascii="Arial" w:eastAsia="Calibri" w:hAnsi="Arial" w:cs="Arial"/>
          <w:sz w:val="22"/>
          <w:lang w:val="es-CO" w:eastAsia="es-MX"/>
        </w:rPr>
        <w:t xml:space="preserve"> para lo cual se establecieron condiciones más exigentes frente a los demás proponentes que concurran al procedimiento de selección que no demuestren la calidad de </w:t>
      </w:r>
      <w:proofErr w:type="spellStart"/>
      <w:r w:rsidRPr="004F5ACB">
        <w:rPr>
          <w:rFonts w:ascii="Arial" w:eastAsia="Calibri" w:hAnsi="Arial" w:cs="Arial"/>
          <w:sz w:val="22"/>
          <w:lang w:val="es-CO" w:eastAsia="es-MX"/>
        </w:rPr>
        <w:t>Mipyme</w:t>
      </w:r>
      <w:proofErr w:type="spellEnd"/>
      <w:r w:rsidRPr="004F5ACB">
        <w:rPr>
          <w:rFonts w:ascii="Arial" w:eastAsia="Calibri" w:hAnsi="Arial" w:cs="Arial"/>
          <w:sz w:val="22"/>
          <w:lang w:val="es-CO" w:eastAsia="es-MX"/>
        </w:rPr>
        <w:t xml:space="preserve"> y/o emprendimiento y empresas de mujeres, como se explicará a continuación. </w:t>
      </w:r>
    </w:p>
    <w:bookmarkEnd w:id="10"/>
    <w:p w14:paraId="1BE0674E" w14:textId="77777777" w:rsidR="004F5ACB" w:rsidRPr="004F5ACB" w:rsidRDefault="004F5ACB" w:rsidP="004F5ACB">
      <w:pPr>
        <w:spacing w:after="0"/>
        <w:ind w:firstLine="567"/>
        <w:rPr>
          <w:rFonts w:ascii="Arial" w:eastAsia="Calibri" w:hAnsi="Arial" w:cs="Arial"/>
          <w:bCs/>
          <w:color w:val="161616"/>
          <w:sz w:val="22"/>
        </w:rPr>
      </w:pPr>
    </w:p>
    <w:p w14:paraId="0AE7DD80" w14:textId="77777777" w:rsidR="004F5ACB" w:rsidRPr="004F5ACB" w:rsidRDefault="004F5ACB" w:rsidP="004F5ACB">
      <w:pPr>
        <w:spacing w:after="0"/>
        <w:rPr>
          <w:rFonts w:ascii="Arial" w:eastAsia="Calibri" w:hAnsi="Arial" w:cs="Arial"/>
          <w:b/>
          <w:bCs/>
          <w:color w:val="000000"/>
          <w:sz w:val="22"/>
          <w:lang w:val="es-CO"/>
        </w:rPr>
      </w:pPr>
      <w:r w:rsidRPr="004F5ACB">
        <w:rPr>
          <w:rFonts w:ascii="Arial" w:eastAsia="Calibri" w:hAnsi="Arial" w:cs="Arial"/>
          <w:b/>
          <w:sz w:val="22"/>
          <w:lang w:val="es-CO"/>
        </w:rPr>
        <w:t>2.2.</w:t>
      </w:r>
      <w:bookmarkStart w:id="11" w:name="_Hlk111132029"/>
      <w:r w:rsidRPr="004F5ACB">
        <w:rPr>
          <w:rFonts w:ascii="Arial" w:eastAsia="Calibri" w:hAnsi="Arial" w:cs="Arial"/>
          <w:b/>
          <w:sz w:val="22"/>
          <w:lang w:val="es-CO"/>
        </w:rPr>
        <w:t xml:space="preserve"> </w:t>
      </w:r>
      <w:r w:rsidRPr="004F5ACB">
        <w:rPr>
          <w:rFonts w:ascii="Arial" w:eastAsia="Calibri" w:hAnsi="Arial" w:cs="Arial"/>
          <w:b/>
          <w:bCs/>
          <w:color w:val="000000"/>
          <w:sz w:val="22"/>
          <w:lang w:val="es-CO"/>
        </w:rPr>
        <w:t>Acreditación de la</w:t>
      </w:r>
      <w:r w:rsidRPr="004F5ACB">
        <w:rPr>
          <w:rFonts w:ascii="Arial" w:eastAsia="Calibri" w:hAnsi="Arial" w:cs="Arial"/>
          <w:b/>
          <w:bCs/>
          <w:color w:val="000000"/>
          <w:sz w:val="22"/>
          <w:lang w:val="es-ES_tradnl"/>
        </w:rPr>
        <w:t xml:space="preserve"> experiencia en los documentos tipo de licitación de obra pública de infraestructura </w:t>
      </w:r>
      <w:r w:rsidRPr="004F5ACB">
        <w:rPr>
          <w:rFonts w:ascii="Arial" w:eastAsia="Calibri" w:hAnsi="Arial" w:cs="Arial"/>
          <w:b/>
          <w:bCs/>
          <w:color w:val="000000"/>
          <w:sz w:val="22"/>
          <w:lang w:val="es-CO"/>
        </w:rPr>
        <w:t>social: Procesos estructurados por lotes</w:t>
      </w:r>
    </w:p>
    <w:p w14:paraId="7C2939E2" w14:textId="77777777" w:rsidR="004F5ACB" w:rsidRPr="004F5ACB" w:rsidRDefault="004F5ACB" w:rsidP="004F5ACB">
      <w:pPr>
        <w:spacing w:after="0"/>
        <w:rPr>
          <w:rFonts w:ascii="Arial" w:eastAsia="Calibri" w:hAnsi="Arial" w:cs="Arial"/>
          <w:b/>
          <w:bCs/>
          <w:color w:val="000000"/>
          <w:sz w:val="22"/>
          <w:lang w:val="es-ES_tradnl" w:eastAsia="en-GB"/>
        </w:rPr>
      </w:pPr>
    </w:p>
    <w:p w14:paraId="549E90C1" w14:textId="77777777" w:rsidR="004F5ACB" w:rsidRPr="004F5ACB" w:rsidRDefault="004F5ACB" w:rsidP="004F5ACB">
      <w:pPr>
        <w:spacing w:after="0"/>
        <w:rPr>
          <w:rFonts w:ascii="Arial" w:eastAsia="Arial" w:hAnsi="Arial" w:cs="Arial"/>
          <w:color w:val="000000"/>
          <w:sz w:val="22"/>
          <w:lang w:eastAsia="es-ES" w:bidi="es-ES"/>
        </w:rPr>
      </w:pPr>
      <w:r w:rsidRPr="004F5ACB">
        <w:rPr>
          <w:rFonts w:ascii="Arial" w:eastAsia="Calibri" w:hAnsi="Arial" w:cs="Arial"/>
          <w:color w:val="0D0D0D"/>
          <w:sz w:val="22"/>
          <w:lang w:val="es-CO"/>
        </w:rPr>
        <w:t xml:space="preserve">El documento base </w:t>
      </w:r>
      <w:r w:rsidRPr="004F5ACB">
        <w:rPr>
          <w:rFonts w:ascii="Arial" w:eastAsia="Calibri" w:hAnsi="Arial" w:cs="Arial"/>
          <w:bCs/>
          <w:color w:val="000000"/>
          <w:sz w:val="22"/>
          <w:lang w:val="es-CO"/>
        </w:rPr>
        <w:t xml:space="preserve">que aplica </w:t>
      </w:r>
      <w:r w:rsidRPr="004F5ACB">
        <w:rPr>
          <w:rFonts w:ascii="Arial" w:eastAsia="Calibri" w:hAnsi="Arial" w:cs="Arial"/>
          <w:sz w:val="22"/>
          <w:lang w:val="es-ES"/>
        </w:rPr>
        <w:t>de forma transversal a los proyectos de infraestructura social en los sectores educativo, salud, cultura, recreación y deporte</w:t>
      </w:r>
      <w:r w:rsidRPr="004F5ACB">
        <w:rPr>
          <w:rFonts w:ascii="Arial" w:eastAsia="Calibri" w:hAnsi="Arial" w:cs="Arial"/>
          <w:color w:val="0D0D0D"/>
          <w:sz w:val="22"/>
          <w:lang w:val="es-CO"/>
        </w:rPr>
        <w:t xml:space="preserve">, establece en </w:t>
      </w:r>
      <w:r w:rsidRPr="004F5ACB">
        <w:rPr>
          <w:rFonts w:ascii="Arial" w:eastAsia="Calibri" w:hAnsi="Arial" w:cs="Arial"/>
          <w:sz w:val="22"/>
          <w:lang w:val="es-CO"/>
        </w:rPr>
        <w:t>el numeral 3.5 «Experiencia» las reglas para acreditar y evaluar la experiencia requerida en el procedimiento de contratación</w:t>
      </w:r>
      <w:r w:rsidRPr="004F5ACB">
        <w:rPr>
          <w:rFonts w:ascii="Arial" w:eastAsia="Calibri" w:hAnsi="Arial" w:cs="Arial"/>
          <w:color w:val="0D0D0D"/>
          <w:sz w:val="22"/>
          <w:lang w:val="es-CO"/>
        </w:rPr>
        <w:t>. Este numeral dispone que los proponentes deben acreditar la</w:t>
      </w:r>
      <w:r w:rsidRPr="004F5ACB">
        <w:rPr>
          <w:rFonts w:ascii="Arial" w:eastAsia="Calibri" w:hAnsi="Arial" w:cs="Arial"/>
          <w:sz w:val="22"/>
        </w:rPr>
        <w:t xml:space="preserve"> experiencia </w:t>
      </w:r>
      <w:r w:rsidRPr="004F5ACB">
        <w:rPr>
          <w:rFonts w:ascii="Arial" w:eastAsia="Arial" w:hAnsi="Arial" w:cs="Arial"/>
          <w:color w:val="000000"/>
          <w:sz w:val="22"/>
          <w:lang w:val="es-ES" w:eastAsia="es-ES" w:bidi="es-ES"/>
        </w:rPr>
        <w:t xml:space="preserve">a través de: i) la información consignada en el RUP para aquellos que estén obligados a tenerlo, </w:t>
      </w:r>
      <w:proofErr w:type="spellStart"/>
      <w:r w:rsidRPr="004F5ACB">
        <w:rPr>
          <w:rFonts w:ascii="Arial" w:eastAsia="Arial" w:hAnsi="Arial" w:cs="Arial"/>
          <w:color w:val="000000"/>
          <w:sz w:val="22"/>
          <w:lang w:val="es-ES" w:eastAsia="es-ES" w:bidi="es-ES"/>
        </w:rPr>
        <w:t>ii</w:t>
      </w:r>
      <w:proofErr w:type="spellEnd"/>
      <w:r w:rsidRPr="004F5ACB">
        <w:rPr>
          <w:rFonts w:ascii="Arial" w:eastAsia="Arial" w:hAnsi="Arial" w:cs="Arial"/>
          <w:color w:val="000000"/>
          <w:sz w:val="22"/>
          <w:lang w:val="es-ES" w:eastAsia="es-ES" w:bidi="es-ES"/>
        </w:rPr>
        <w:t xml:space="preserve">) la presentación del «Formato 3 – Experiencia» para todos los proponentes y </w:t>
      </w:r>
      <w:proofErr w:type="spellStart"/>
      <w:r w:rsidRPr="004F5ACB">
        <w:rPr>
          <w:rFonts w:ascii="Arial" w:eastAsia="Arial" w:hAnsi="Arial" w:cs="Arial"/>
          <w:color w:val="000000"/>
          <w:sz w:val="22"/>
          <w:lang w:val="es-ES" w:eastAsia="es-ES" w:bidi="es-ES"/>
        </w:rPr>
        <w:t>iii</w:t>
      </w:r>
      <w:proofErr w:type="spellEnd"/>
      <w:r w:rsidRPr="004F5ACB">
        <w:rPr>
          <w:rFonts w:ascii="Arial" w:eastAsia="Arial" w:hAnsi="Arial" w:cs="Arial"/>
          <w:color w:val="000000"/>
          <w:sz w:val="22"/>
          <w:lang w:val="es-ES" w:eastAsia="es-ES" w:bidi="es-ES"/>
        </w:rPr>
        <w:t xml:space="preserve">) alguno de los documentos válidos para la acreditación de la experiencia señalados en el numeral 3.5.5 cuando se requiera la verificación de información del proponente adicional a la contenida en el RUP. Además, señala que </w:t>
      </w:r>
      <w:r w:rsidRPr="004F5ACB">
        <w:rPr>
          <w:rFonts w:ascii="Arial" w:eastAsia="Arial" w:hAnsi="Arial" w:cs="Arial"/>
          <w:color w:val="000000"/>
          <w:sz w:val="22"/>
          <w:lang w:eastAsia="es-ES" w:bidi="es-ES"/>
        </w:rPr>
        <w:t xml:space="preserve">la evaluación de los proponentes se efectuará de acuerdo con la experiencia contenida en el Registro Único de Proponentes –RUP– vigente y en firme antes del cierre del proceso. </w:t>
      </w:r>
    </w:p>
    <w:p w14:paraId="62242D7A" w14:textId="77777777" w:rsidR="004F5ACB" w:rsidRPr="004F5ACB" w:rsidRDefault="004F5ACB" w:rsidP="004F5ACB">
      <w:pPr>
        <w:spacing w:before="120" w:after="160"/>
        <w:ind w:firstLine="709"/>
        <w:rPr>
          <w:rFonts w:ascii="Arial" w:eastAsia="Calibri" w:hAnsi="Arial" w:cs="Arial"/>
          <w:color w:val="0D0D0D"/>
          <w:sz w:val="22"/>
          <w:lang w:val="es-CO"/>
        </w:rPr>
      </w:pPr>
      <w:r w:rsidRPr="004F5ACB">
        <w:rPr>
          <w:rFonts w:ascii="Arial" w:eastAsia="Calibri" w:hAnsi="Arial" w:cs="Arial"/>
          <w:color w:val="000000"/>
          <w:sz w:val="22"/>
          <w:lang w:val="es-CO"/>
        </w:rPr>
        <w:t xml:space="preserve">De esta manera, en los documentos tipo la experiencia se acreditará a través del RUP para los proponentes que estén obligados a tenerlo y para la verificación de la información adicional a la contenida en el RUP, el proponente deberá aportar la documentación requerida en los pliegos de condiciones. </w:t>
      </w:r>
    </w:p>
    <w:p w14:paraId="20F19AB5" w14:textId="77777777" w:rsidR="004F5ACB" w:rsidRPr="004F5ACB" w:rsidRDefault="004F5ACB" w:rsidP="004F5ACB">
      <w:pPr>
        <w:spacing w:before="120" w:after="160"/>
        <w:ind w:firstLine="709"/>
        <w:rPr>
          <w:rFonts w:ascii="Arial" w:eastAsia="Calibri" w:hAnsi="Arial" w:cs="Arial"/>
          <w:sz w:val="22"/>
        </w:rPr>
      </w:pPr>
      <w:bookmarkStart w:id="12" w:name="_Hlk112857369"/>
      <w:r w:rsidRPr="004F5ACB">
        <w:rPr>
          <w:rFonts w:ascii="Arial" w:eastAsia="Calibri" w:hAnsi="Arial" w:cs="Arial"/>
          <w:sz w:val="22"/>
        </w:rPr>
        <w:lastRenderedPageBreak/>
        <w:t>D</w:t>
      </w:r>
      <w:r w:rsidRPr="004F5ACB">
        <w:rPr>
          <w:rFonts w:ascii="Arial" w:eastAsia="Calibri" w:hAnsi="Arial" w:cs="Arial"/>
          <w:sz w:val="22"/>
          <w:lang w:val="es-ES"/>
        </w:rPr>
        <w:t>e</w:t>
      </w:r>
      <w:r w:rsidRPr="004F5ACB">
        <w:rPr>
          <w:rFonts w:ascii="Arial" w:eastAsia="Calibri" w:hAnsi="Arial" w:cs="Arial"/>
          <w:sz w:val="22"/>
          <w:lang w:val="es-CO"/>
        </w:rPr>
        <w:t xml:space="preserve"> acuerdo con las condiciones fijadas en el documento base de infraestructura social y las modificaciones efectuadas por la Resolución 275 de 2022, la acreditación del requisito habilitante de experiencia se aborda desde distintos criterios.</w:t>
      </w:r>
      <w:r w:rsidRPr="004F5ACB">
        <w:rPr>
          <w:rFonts w:ascii="Arial" w:eastAsia="Calibri" w:hAnsi="Arial" w:cs="Arial"/>
          <w:color w:val="0D0D0D"/>
          <w:sz w:val="22"/>
          <w:lang w:val="es-CO"/>
        </w:rPr>
        <w:t xml:space="preserve"> </w:t>
      </w:r>
      <w:r w:rsidRPr="004F5ACB">
        <w:rPr>
          <w:rFonts w:ascii="Arial" w:eastAsia="Calibri" w:hAnsi="Arial" w:cs="Arial"/>
          <w:sz w:val="22"/>
        </w:rPr>
        <w:t>En primer lugar, los contratos presentados por los proponentes deben corresponder a la actividad o actividades de experiencia general y específica que la entidad exija en el pliego de condiciones de acuerdo con los parámetros definidos en la Matriz 1 - Experiencia, sin perjuicio de las combinaciones de experiencia señalada en el literal A del numeral 3.5.1. en caso de requerirse</w:t>
      </w:r>
      <w:r w:rsidRPr="004F5ACB">
        <w:rPr>
          <w:rFonts w:ascii="Arial" w:eastAsia="Calibri" w:hAnsi="Arial" w:cs="Arial"/>
          <w:sz w:val="22"/>
          <w:vertAlign w:val="superscript"/>
        </w:rPr>
        <w:footnoteReference w:id="6"/>
      </w:r>
      <w:r w:rsidRPr="004F5ACB">
        <w:rPr>
          <w:rFonts w:ascii="Arial" w:eastAsia="Calibri" w:hAnsi="Arial" w:cs="Arial"/>
          <w:sz w:val="22"/>
        </w:rPr>
        <w:t xml:space="preserve">. </w:t>
      </w:r>
    </w:p>
    <w:p w14:paraId="6FC8CF1E" w14:textId="77777777" w:rsidR="004F5ACB" w:rsidRPr="004F5ACB" w:rsidRDefault="004F5ACB" w:rsidP="004F5ACB">
      <w:pPr>
        <w:spacing w:before="120" w:after="160"/>
        <w:ind w:firstLine="709"/>
        <w:rPr>
          <w:rFonts w:ascii="Arial" w:eastAsia="Calibri" w:hAnsi="Arial" w:cs="Arial"/>
          <w:sz w:val="22"/>
        </w:rPr>
      </w:pPr>
      <w:r w:rsidRPr="004F5ACB">
        <w:rPr>
          <w:rFonts w:ascii="Arial" w:eastAsia="Calibri" w:hAnsi="Arial" w:cs="Arial"/>
          <w:sz w:val="22"/>
        </w:rPr>
        <w:t xml:space="preserve">En segundo lugar, los proponentes deben acreditar el cumplimiento de las condiciones fijadas con mínimo uno (1) y máximo cinco (5) contratos, que debieron terminar antes de la fecha de cierre del proceso de contratación. En este punto, vale anotar que mediante la Resolución 275 de 2022 </w:t>
      </w:r>
      <w:r w:rsidRPr="004F5ACB">
        <w:rPr>
          <w:rFonts w:ascii="Arial" w:eastAsia="Calibri" w:hAnsi="Arial" w:cs="Arial"/>
          <w:sz w:val="22"/>
          <w:lang w:val="es-CO"/>
        </w:rPr>
        <w:t xml:space="preserve">se modificó el número de contratos para acreditar la experiencia teniendo en cuenta los criterios diferenciales habilitantes para </w:t>
      </w:r>
      <w:proofErr w:type="spellStart"/>
      <w:r w:rsidRPr="004F5ACB">
        <w:rPr>
          <w:rFonts w:ascii="Arial" w:eastAsia="Calibri" w:hAnsi="Arial" w:cs="Arial"/>
          <w:sz w:val="22"/>
          <w:lang w:val="es-CO"/>
        </w:rPr>
        <w:t>Mipyme</w:t>
      </w:r>
      <w:proofErr w:type="spellEnd"/>
      <w:r w:rsidRPr="004F5ACB">
        <w:rPr>
          <w:rFonts w:ascii="Arial" w:eastAsia="Calibri" w:hAnsi="Arial" w:cs="Arial"/>
          <w:sz w:val="22"/>
          <w:lang w:val="es-CO"/>
        </w:rPr>
        <w:t xml:space="preserve"> y emprendimientos y empresas de mujeres establecidos en el Decreto 1860 de 2021. De esta manera, en los procesos cuyo aviso de convocatoria fue publicado después del 29 de agosto de 2022 el proponente acreditará la experiencia solicitada con máximo cinco (5) contratos. Sin embargo, </w:t>
      </w:r>
      <w:r w:rsidRPr="004F5ACB">
        <w:rPr>
          <w:rFonts w:ascii="Arial" w:eastAsia="Calibri" w:hAnsi="Arial" w:cs="Arial"/>
          <w:sz w:val="22"/>
        </w:rPr>
        <w:t xml:space="preserve">si el proponente </w:t>
      </w:r>
      <w:r w:rsidRPr="004F5ACB">
        <w:rPr>
          <w:rFonts w:ascii="Arial" w:eastAsia="Calibri" w:hAnsi="Arial" w:cs="Arial"/>
          <w:sz w:val="22"/>
          <w:lang w:val="es-CO"/>
        </w:rPr>
        <w:t xml:space="preserve">prueba la calidad de </w:t>
      </w:r>
      <w:proofErr w:type="spellStart"/>
      <w:r w:rsidRPr="004F5ACB">
        <w:rPr>
          <w:rFonts w:ascii="Arial" w:eastAsia="Calibri" w:hAnsi="Arial" w:cs="Arial"/>
          <w:sz w:val="22"/>
          <w:lang w:val="es-CO"/>
        </w:rPr>
        <w:t>Mipyme</w:t>
      </w:r>
      <w:proofErr w:type="spellEnd"/>
      <w:r w:rsidRPr="004F5ACB">
        <w:rPr>
          <w:rFonts w:ascii="Arial" w:eastAsia="Calibri" w:hAnsi="Arial" w:cs="Arial"/>
          <w:sz w:val="22"/>
          <w:lang w:val="es-CO"/>
        </w:rPr>
        <w:t xml:space="preserve"> o de emprendimiento y empresa de mujer con domicilio en el territorio nacional de conformidad con lo previsto en el artículo 2.2.1.13.2.2 del Decreto 1074 de 2015</w:t>
      </w:r>
      <w:r w:rsidRPr="004F5ACB">
        <w:rPr>
          <w:rFonts w:ascii="Arial" w:eastAsia="Calibri" w:hAnsi="Arial" w:cs="Arial"/>
          <w:b/>
          <w:bCs/>
          <w:sz w:val="22"/>
          <w:lang w:val="es-CO"/>
        </w:rPr>
        <w:t xml:space="preserve"> </w:t>
      </w:r>
      <w:r w:rsidRPr="004F5ACB">
        <w:rPr>
          <w:rFonts w:ascii="Arial" w:eastAsia="Calibri" w:hAnsi="Arial" w:cs="Arial"/>
          <w:sz w:val="22"/>
          <w:lang w:val="es-CO"/>
        </w:rPr>
        <w:t>y</w:t>
      </w:r>
      <w:r w:rsidRPr="004F5ACB">
        <w:rPr>
          <w:rFonts w:ascii="Arial" w:eastAsia="Calibri" w:hAnsi="Arial" w:cs="Arial"/>
          <w:b/>
          <w:bCs/>
          <w:sz w:val="22"/>
          <w:lang w:val="es-CO"/>
        </w:rPr>
        <w:t xml:space="preserve"> </w:t>
      </w:r>
      <w:r w:rsidRPr="004F5ACB">
        <w:rPr>
          <w:rFonts w:ascii="Arial" w:eastAsia="Calibri" w:hAnsi="Arial" w:cs="Arial"/>
          <w:sz w:val="22"/>
          <w:lang w:val="es-CO"/>
        </w:rPr>
        <w:t>los artículos 2.2.1.2.</w:t>
      </w:r>
      <w:r w:rsidRPr="004F5ACB">
        <w:rPr>
          <w:rFonts w:ascii="Arial" w:eastAsia="Calibri" w:hAnsi="Arial" w:cs="Arial"/>
          <w:bCs/>
          <w:sz w:val="22"/>
        </w:rPr>
        <w:t>4.2.4. y 2.2.1.2.4.2.14 del Decreto 1082 de 2015</w:t>
      </w:r>
      <w:r w:rsidRPr="004F5ACB">
        <w:rPr>
          <w:rFonts w:ascii="Arial" w:eastAsia="Calibri" w:hAnsi="Arial" w:cs="Arial"/>
          <w:sz w:val="22"/>
          <w:lang w:val="es-CO"/>
        </w:rPr>
        <w:t>, podrá acreditar la experiencia solicitada con un (1) contrato adicional a los cinco (5) inicialmente previstos, para un máximo de seis (6) contratos</w:t>
      </w:r>
      <w:r w:rsidRPr="004F5ACB">
        <w:rPr>
          <w:rFonts w:ascii="Arial" w:eastAsia="Calibri" w:hAnsi="Arial" w:cs="Arial"/>
          <w:sz w:val="22"/>
        </w:rPr>
        <w:t xml:space="preserve">. </w:t>
      </w:r>
      <w:r w:rsidRPr="004F5ACB">
        <w:rPr>
          <w:rFonts w:ascii="Arial" w:eastAsia="Calibri" w:hAnsi="Arial" w:cs="Arial"/>
          <w:sz w:val="22"/>
          <w:lang w:val="es-CO"/>
        </w:rPr>
        <w:t xml:space="preserve">En caso de que el proponente pruebe la calidad de </w:t>
      </w:r>
      <w:proofErr w:type="spellStart"/>
      <w:r w:rsidRPr="004F5ACB">
        <w:rPr>
          <w:rFonts w:ascii="Arial" w:eastAsia="Calibri" w:hAnsi="Arial" w:cs="Arial"/>
          <w:sz w:val="22"/>
          <w:lang w:val="es-CO"/>
        </w:rPr>
        <w:t>Mipyme</w:t>
      </w:r>
      <w:proofErr w:type="spellEnd"/>
      <w:r w:rsidRPr="004F5ACB">
        <w:rPr>
          <w:rFonts w:ascii="Arial" w:eastAsia="Calibri" w:hAnsi="Arial" w:cs="Arial"/>
          <w:sz w:val="22"/>
          <w:lang w:val="es-CO"/>
        </w:rPr>
        <w:t xml:space="preserve"> y de emprendimiento y empresa de mujer con domicilio en el territorio nacional de manera conjunta, podrá demostrar la experiencia solicitada con dos (2) contratos adicionales a los cinco (5) inicialmente previstos, para un máximo de siete (7)</w:t>
      </w:r>
      <w:r w:rsidRPr="004F5ACB">
        <w:rPr>
          <w:rFonts w:ascii="Arial" w:eastAsia="Calibri" w:hAnsi="Arial" w:cs="Arial"/>
          <w:sz w:val="22"/>
        </w:rPr>
        <w:t>.</w:t>
      </w:r>
    </w:p>
    <w:p w14:paraId="05BEA90A" w14:textId="77777777" w:rsidR="004F5ACB" w:rsidRPr="004F5ACB" w:rsidRDefault="004F5ACB" w:rsidP="004F5ACB">
      <w:pPr>
        <w:spacing w:before="120" w:after="160"/>
        <w:ind w:firstLine="709"/>
        <w:rPr>
          <w:rFonts w:ascii="Arial" w:eastAsia="Calibri" w:hAnsi="Arial" w:cs="Arial"/>
          <w:sz w:val="22"/>
        </w:rPr>
      </w:pPr>
      <w:r w:rsidRPr="004F5ACB">
        <w:rPr>
          <w:rFonts w:ascii="Arial" w:eastAsia="Calibri" w:hAnsi="Arial" w:cs="Arial"/>
          <w:sz w:val="22"/>
        </w:rPr>
        <w:t>Por último, el número de contratos aportados por el proponente debe certificar un valor mínimo correspondiente a un porcentaje del presupuesto oficial del proceso de obra expresado en SMMLV, cuya evaluación se realizará teniendo en cuenta la tabla establecida en el numeral 3.5.7. del pliego de condiciones</w:t>
      </w:r>
      <w:r w:rsidRPr="004F5ACB">
        <w:rPr>
          <w:rFonts w:ascii="Arial" w:eastAsia="Calibri" w:hAnsi="Arial" w:cs="Arial"/>
          <w:sz w:val="22"/>
          <w:vertAlign w:val="superscript"/>
          <w:lang w:val="es-CO"/>
        </w:rPr>
        <w:footnoteReference w:id="7"/>
      </w:r>
      <w:r w:rsidRPr="004F5ACB">
        <w:rPr>
          <w:rFonts w:ascii="Arial" w:eastAsia="Calibri" w:hAnsi="Arial" w:cs="Arial"/>
          <w:sz w:val="22"/>
        </w:rPr>
        <w:t>.</w:t>
      </w:r>
      <w:r w:rsidRPr="004F5ACB">
        <w:rPr>
          <w:rFonts w:ascii="Arial" w:eastAsia="Calibri" w:hAnsi="Arial" w:cs="Arial"/>
          <w:bCs/>
          <w:sz w:val="22"/>
          <w:lang w:val="es-ES_tradnl"/>
        </w:rPr>
        <w:t xml:space="preserve"> De esta manera, </w:t>
      </w:r>
      <w:r w:rsidRPr="004F5ACB">
        <w:rPr>
          <w:rFonts w:ascii="Arial" w:eastAsia="Calibri" w:hAnsi="Arial" w:cs="Arial"/>
          <w:bCs/>
          <w:sz w:val="22"/>
        </w:rPr>
        <w:t xml:space="preserve">quienes acrediten la </w:t>
      </w:r>
      <w:r w:rsidRPr="004F5ACB">
        <w:rPr>
          <w:rFonts w:ascii="Arial" w:eastAsia="Calibri" w:hAnsi="Arial" w:cs="Arial"/>
          <w:bCs/>
          <w:sz w:val="22"/>
        </w:rPr>
        <w:lastRenderedPageBreak/>
        <w:t>experiencia mediante 1 ó 2 contratos, la sumatoria de los valores ejecutados debe ser superior al 75% del valor del presupuesto oficial de obra expresado en SMMLV; si emplea 3 ó 4 contratos, la sumatoria de estos debe ser superior al 120% del valor del presupuesto oficial; y si emplea 5 contratos,</w:t>
      </w:r>
      <w:r w:rsidRPr="004F5ACB">
        <w:rPr>
          <w:rFonts w:ascii="Arial" w:eastAsia="Calibri" w:hAnsi="Arial" w:cs="Arial"/>
          <w:sz w:val="22"/>
          <w:lang w:val="es-CO"/>
        </w:rPr>
        <w:t xml:space="preserve"> sus valores sumados deberán alcanzar o superar el 150% del presupuesto oficial</w:t>
      </w:r>
      <w:r w:rsidRPr="004F5ACB">
        <w:rPr>
          <w:rFonts w:ascii="Arial" w:eastAsia="Calibri" w:hAnsi="Arial" w:cs="Arial"/>
          <w:bCs/>
          <w:sz w:val="22"/>
        </w:rPr>
        <w:t xml:space="preserve">. </w:t>
      </w:r>
      <w:r w:rsidRPr="004F5ACB">
        <w:rPr>
          <w:rFonts w:ascii="Arial" w:eastAsia="Calibri" w:hAnsi="Arial" w:cs="Arial"/>
          <w:bCs/>
          <w:iCs/>
          <w:sz w:val="22"/>
          <w:lang w:val="es-CO"/>
        </w:rPr>
        <w:t xml:space="preserve">Si el número de contratos aportados supera los cinco (5) inicialmente previstos en este numeral, puesto que el proponente demostró la calidad de </w:t>
      </w:r>
      <w:proofErr w:type="spellStart"/>
      <w:r w:rsidRPr="004F5ACB">
        <w:rPr>
          <w:rFonts w:ascii="Arial" w:eastAsia="Calibri" w:hAnsi="Arial" w:cs="Arial"/>
          <w:bCs/>
          <w:iCs/>
          <w:sz w:val="22"/>
          <w:lang w:val="es-CO"/>
        </w:rPr>
        <w:t>Mipyme</w:t>
      </w:r>
      <w:proofErr w:type="spellEnd"/>
      <w:r w:rsidRPr="004F5ACB">
        <w:rPr>
          <w:rFonts w:ascii="Arial" w:eastAsia="Calibri" w:hAnsi="Arial" w:cs="Arial"/>
          <w:bCs/>
          <w:iCs/>
          <w:sz w:val="22"/>
          <w:lang w:val="es-CO"/>
        </w:rPr>
        <w:t xml:space="preserve"> y/o emprendimiento y empresa de mujer, estos contratos adicionales, se tendrán en cuenta para demostrar el valor del ciento cincuenta por ciento (150 %) del valor del presupuesto oficial.</w:t>
      </w:r>
    </w:p>
    <w:p w14:paraId="7E6790E9" w14:textId="77777777" w:rsidR="004F5ACB" w:rsidRPr="004F5ACB" w:rsidRDefault="004F5ACB" w:rsidP="004F5ACB">
      <w:pPr>
        <w:spacing w:before="120" w:after="160"/>
        <w:ind w:firstLine="709"/>
        <w:rPr>
          <w:rFonts w:ascii="Arial" w:eastAsia="Calibri" w:hAnsi="Arial" w:cs="Arial"/>
          <w:sz w:val="22"/>
          <w:lang w:val="es-CO"/>
        </w:rPr>
      </w:pPr>
      <w:r w:rsidRPr="004F5ACB">
        <w:rPr>
          <w:rFonts w:ascii="Arial" w:eastAsia="Calibri" w:hAnsi="Arial" w:cs="Arial"/>
          <w:sz w:val="22"/>
        </w:rPr>
        <w:t xml:space="preserve">En este sentido, </w:t>
      </w:r>
      <w:r w:rsidRPr="004F5ACB">
        <w:rPr>
          <w:rFonts w:ascii="Arial" w:eastAsia="Calibri" w:hAnsi="Arial" w:cs="Arial"/>
          <w:sz w:val="22"/>
          <w:lang w:val="es-CO"/>
        </w:rPr>
        <w:t xml:space="preserve">los proponentes podrán optar por acreditar los requisitos de experiencia solicitada mediante mínimo uno (1) y máximo cinco (5) contratos, sin perjuicio de lo previsto en las reglas de los criterios diferenciales por ser </w:t>
      </w:r>
      <w:proofErr w:type="spellStart"/>
      <w:r w:rsidRPr="004F5ACB">
        <w:rPr>
          <w:rFonts w:ascii="Arial" w:eastAsia="Calibri" w:hAnsi="Arial" w:cs="Arial"/>
          <w:sz w:val="22"/>
          <w:lang w:val="es-CO"/>
        </w:rPr>
        <w:t>Mipyme</w:t>
      </w:r>
      <w:proofErr w:type="spellEnd"/>
      <w:r w:rsidRPr="004F5ACB">
        <w:rPr>
          <w:rFonts w:ascii="Arial" w:eastAsia="Calibri" w:hAnsi="Arial" w:cs="Arial"/>
          <w:sz w:val="22"/>
          <w:lang w:val="es-CO"/>
        </w:rPr>
        <w:t xml:space="preserve"> y/o emprendimientos y empresas de mujeres, y tendrán en cuenta que, de acuerdo con el numeral 3.5.7 del documento base, la cantidad de contratos que aporten para acreditar dicha experiencia determinará el porcentaje del valor del presupuesto oficial que la sumatoria de dichos contratos debe alcanzar para cumplir con el requisito habilitante.</w:t>
      </w:r>
    </w:p>
    <w:bookmarkEnd w:id="12"/>
    <w:p w14:paraId="662F4842" w14:textId="77777777" w:rsidR="004F5ACB" w:rsidRPr="004F5ACB" w:rsidRDefault="004F5ACB" w:rsidP="004F5ACB">
      <w:pPr>
        <w:tabs>
          <w:tab w:val="left" w:pos="426"/>
        </w:tabs>
        <w:spacing w:before="120" w:after="0"/>
        <w:ind w:firstLine="709"/>
        <w:rPr>
          <w:rFonts w:ascii="Arial" w:eastAsia="Calibri" w:hAnsi="Arial" w:cs="Arial"/>
          <w:bCs/>
          <w:sz w:val="22"/>
          <w:lang w:val="es-ES_tradnl"/>
        </w:rPr>
      </w:pPr>
      <w:r w:rsidRPr="004F5ACB">
        <w:rPr>
          <w:rFonts w:ascii="Arial" w:eastAsia="Calibri" w:hAnsi="Arial" w:cs="Arial"/>
          <w:sz w:val="22"/>
          <w:lang w:val="es-CO"/>
        </w:rPr>
        <w:t xml:space="preserve">En relación con los proceso estructurados en lotes o grupos </w:t>
      </w:r>
      <w:r w:rsidRPr="004F5ACB">
        <w:rPr>
          <w:rFonts w:ascii="Arial" w:eastAsia="Calibri" w:hAnsi="Arial" w:cs="Arial"/>
          <w:bCs/>
          <w:sz w:val="22"/>
          <w:lang w:val="es-ES_tradnl"/>
        </w:rPr>
        <w:t>es preciso señalar que el numeral 2.10 del documento base establece las reglas que se deben aplicar cuando las entidades estructuren sus procesos por lotes o grupos. Este numeral señala lo siguiente:</w:t>
      </w:r>
    </w:p>
    <w:p w14:paraId="3EF3F181" w14:textId="77777777" w:rsidR="004F5ACB" w:rsidRPr="004F5ACB" w:rsidRDefault="004F5ACB" w:rsidP="004F5ACB">
      <w:pPr>
        <w:tabs>
          <w:tab w:val="left" w:pos="426"/>
        </w:tabs>
        <w:spacing w:after="0"/>
        <w:ind w:firstLine="709"/>
        <w:rPr>
          <w:rFonts w:ascii="Arial" w:eastAsia="Calibri" w:hAnsi="Arial" w:cs="Arial"/>
          <w:bCs/>
          <w:sz w:val="22"/>
          <w:lang w:val="es-ES_tradnl"/>
        </w:rPr>
      </w:pPr>
    </w:p>
    <w:p w14:paraId="2F84C06D" w14:textId="77777777" w:rsidR="004F5ACB" w:rsidRPr="004F5ACB" w:rsidRDefault="004F5ACB" w:rsidP="00B72A9D">
      <w:pPr>
        <w:tabs>
          <w:tab w:val="left" w:pos="426"/>
        </w:tabs>
        <w:spacing w:after="0" w:line="240" w:lineRule="auto"/>
        <w:ind w:left="709" w:right="709"/>
        <w:rPr>
          <w:rFonts w:ascii="Arial" w:eastAsia="Calibri" w:hAnsi="Arial" w:cs="Arial"/>
          <w:bCs/>
          <w:color w:val="000000"/>
          <w:sz w:val="21"/>
          <w:szCs w:val="21"/>
          <w:lang w:val="es-ES_tradnl"/>
        </w:rPr>
      </w:pPr>
      <w:r w:rsidRPr="004F5ACB">
        <w:rPr>
          <w:rFonts w:ascii="Arial" w:eastAsia="Calibri" w:hAnsi="Arial" w:cs="Arial"/>
          <w:sz w:val="21"/>
          <w:szCs w:val="21"/>
        </w:rPr>
        <w:lastRenderedPageBreak/>
        <w:t>2.10</w:t>
      </w:r>
      <w:r w:rsidRPr="004F5ACB">
        <w:rPr>
          <w:rFonts w:ascii="Arial" w:eastAsia="Calibri" w:hAnsi="Arial" w:cs="Arial"/>
          <w:bCs/>
          <w:color w:val="000000"/>
          <w:sz w:val="21"/>
          <w:szCs w:val="21"/>
          <w:lang w:val="es-ES_tradnl"/>
        </w:rPr>
        <w:t xml:space="preserve"> REGLAS PARA LOS PROCESOS ESTRUCTURADOS POR LOTES O GRUPOS</w:t>
      </w:r>
    </w:p>
    <w:p w14:paraId="12D6D1EB" w14:textId="77777777" w:rsidR="004F5ACB" w:rsidRPr="004F5ACB" w:rsidRDefault="004F5ACB" w:rsidP="00B72A9D">
      <w:pPr>
        <w:tabs>
          <w:tab w:val="left" w:pos="426"/>
        </w:tabs>
        <w:spacing w:after="0" w:line="240" w:lineRule="auto"/>
        <w:ind w:left="709" w:right="709"/>
        <w:rPr>
          <w:rFonts w:ascii="Arial" w:eastAsia="Calibri" w:hAnsi="Arial" w:cs="Arial"/>
          <w:b/>
          <w:bCs/>
          <w:sz w:val="21"/>
          <w:szCs w:val="21"/>
        </w:rPr>
      </w:pPr>
    </w:p>
    <w:p w14:paraId="563FE050" w14:textId="77777777" w:rsidR="004F5ACB" w:rsidRPr="004F5ACB" w:rsidRDefault="004F5ACB" w:rsidP="00B72A9D">
      <w:pPr>
        <w:tabs>
          <w:tab w:val="left" w:pos="426"/>
        </w:tabs>
        <w:spacing w:after="0" w:line="240" w:lineRule="auto"/>
        <w:ind w:left="709" w:right="709"/>
        <w:rPr>
          <w:rFonts w:ascii="Arial" w:eastAsia="Calibri" w:hAnsi="Arial" w:cs="Arial"/>
          <w:color w:val="000000"/>
          <w:sz w:val="21"/>
          <w:szCs w:val="21"/>
          <w:highlight w:val="lightGray"/>
        </w:rPr>
      </w:pPr>
      <w:r w:rsidRPr="004F5ACB">
        <w:rPr>
          <w:rFonts w:ascii="Arial" w:eastAsia="Calibri" w:hAnsi="Arial" w:cs="Arial"/>
          <w:color w:val="000000"/>
          <w:sz w:val="21"/>
          <w:szCs w:val="21"/>
          <w:highlight w:val="lightGray"/>
        </w:rPr>
        <w:t>[La Entidad debe incluir esta sección y aplicar las reglas aquí señaladas cuando estructure el Proceso de Contratación por lotes o grupos]</w:t>
      </w:r>
    </w:p>
    <w:p w14:paraId="6B8D42E3" w14:textId="77777777" w:rsidR="004F5ACB" w:rsidRPr="004F5ACB" w:rsidRDefault="004F5ACB" w:rsidP="00B72A9D">
      <w:pPr>
        <w:tabs>
          <w:tab w:val="left" w:pos="426"/>
        </w:tabs>
        <w:spacing w:after="0" w:line="240" w:lineRule="auto"/>
        <w:ind w:left="709" w:right="709"/>
        <w:rPr>
          <w:rFonts w:ascii="Arial" w:eastAsia="Calibri" w:hAnsi="Arial" w:cs="Arial"/>
          <w:color w:val="000000"/>
          <w:sz w:val="20"/>
          <w:highlight w:val="lightGray"/>
        </w:rPr>
      </w:pPr>
    </w:p>
    <w:p w14:paraId="254BF8E6" w14:textId="77777777" w:rsidR="004F5ACB" w:rsidRPr="004F5ACB" w:rsidRDefault="004F5ACB" w:rsidP="00B72A9D">
      <w:pPr>
        <w:tabs>
          <w:tab w:val="left" w:pos="426"/>
        </w:tabs>
        <w:spacing w:after="0" w:line="240" w:lineRule="auto"/>
        <w:ind w:left="709" w:right="709"/>
        <w:rPr>
          <w:rFonts w:ascii="Arial" w:eastAsia="Calibri" w:hAnsi="Arial" w:cs="Arial"/>
          <w:bCs/>
          <w:sz w:val="21"/>
          <w:szCs w:val="21"/>
        </w:rPr>
      </w:pPr>
      <w:r w:rsidRPr="004F5ACB">
        <w:rPr>
          <w:rFonts w:ascii="Arial" w:eastAsia="Calibri" w:hAnsi="Arial" w:cs="Arial"/>
          <w:bCs/>
          <w:sz w:val="21"/>
          <w:szCs w:val="21"/>
        </w:rPr>
        <w:t xml:space="preserve">Cuando el Proceso de Contratación se estructure por lotes o grupos aplican las siguientes reglas, además de las previstas en otros numerales de este documento: </w:t>
      </w:r>
    </w:p>
    <w:p w14:paraId="6E9861E6" w14:textId="77777777" w:rsidR="004F5ACB" w:rsidRPr="004F5ACB" w:rsidRDefault="004F5ACB" w:rsidP="00B72A9D">
      <w:pPr>
        <w:tabs>
          <w:tab w:val="left" w:pos="426"/>
        </w:tabs>
        <w:spacing w:after="0" w:line="240" w:lineRule="auto"/>
        <w:ind w:left="709" w:right="709"/>
        <w:rPr>
          <w:rFonts w:ascii="Arial" w:eastAsia="Calibri" w:hAnsi="Arial" w:cs="Arial"/>
          <w:bCs/>
          <w:sz w:val="21"/>
          <w:szCs w:val="21"/>
        </w:rPr>
      </w:pPr>
    </w:p>
    <w:p w14:paraId="66F0A64B" w14:textId="77777777" w:rsidR="004F5ACB" w:rsidRPr="004F5ACB" w:rsidRDefault="004F5ACB" w:rsidP="00B72A9D">
      <w:pPr>
        <w:numPr>
          <w:ilvl w:val="0"/>
          <w:numId w:val="7"/>
        </w:numPr>
        <w:tabs>
          <w:tab w:val="left" w:pos="426"/>
          <w:tab w:val="left" w:pos="851"/>
          <w:tab w:val="left" w:pos="993"/>
        </w:tabs>
        <w:spacing w:after="0" w:line="240" w:lineRule="auto"/>
        <w:ind w:left="709" w:right="709"/>
        <w:rPr>
          <w:rFonts w:ascii="Arial" w:eastAsia="Calibri" w:hAnsi="Arial" w:cs="Arial"/>
          <w:bCs/>
          <w:sz w:val="21"/>
          <w:szCs w:val="21"/>
        </w:rPr>
      </w:pPr>
      <w:r w:rsidRPr="004F5ACB">
        <w:rPr>
          <w:rFonts w:ascii="Arial" w:eastAsia="Calibri" w:hAnsi="Arial" w:cs="Arial"/>
          <w:bCs/>
          <w:sz w:val="21"/>
          <w:szCs w:val="21"/>
        </w:rPr>
        <w:t xml:space="preserve">[En este literal la Entidad debe señalar si es posible presentar oferta a más de un lote o grupo. Cuando lo establezca, debe indicar si es factible resultar adjudicatario de más de uno]. </w:t>
      </w:r>
    </w:p>
    <w:p w14:paraId="39288142" w14:textId="77777777" w:rsidR="004F5ACB" w:rsidRPr="004F5ACB" w:rsidRDefault="004F5ACB" w:rsidP="00B72A9D">
      <w:pPr>
        <w:tabs>
          <w:tab w:val="left" w:pos="426"/>
        </w:tabs>
        <w:spacing w:after="0" w:line="240" w:lineRule="auto"/>
        <w:ind w:left="709" w:right="709"/>
        <w:rPr>
          <w:rFonts w:ascii="Arial" w:eastAsia="Calibri" w:hAnsi="Arial" w:cs="Arial"/>
          <w:bCs/>
          <w:sz w:val="21"/>
          <w:szCs w:val="21"/>
        </w:rPr>
      </w:pPr>
    </w:p>
    <w:p w14:paraId="61F39E09" w14:textId="77777777" w:rsidR="004F5ACB" w:rsidRPr="004F5ACB" w:rsidRDefault="004F5ACB" w:rsidP="00B72A9D">
      <w:pPr>
        <w:numPr>
          <w:ilvl w:val="0"/>
          <w:numId w:val="7"/>
        </w:numPr>
        <w:tabs>
          <w:tab w:val="left" w:pos="426"/>
          <w:tab w:val="left" w:pos="851"/>
          <w:tab w:val="left" w:pos="993"/>
        </w:tabs>
        <w:spacing w:after="0" w:line="240" w:lineRule="auto"/>
        <w:ind w:left="709" w:right="709"/>
        <w:rPr>
          <w:rFonts w:ascii="Arial" w:eastAsia="Calibri" w:hAnsi="Arial" w:cs="Arial"/>
          <w:bCs/>
          <w:sz w:val="21"/>
          <w:szCs w:val="21"/>
        </w:rPr>
      </w:pPr>
      <w:r w:rsidRPr="004F5ACB">
        <w:rPr>
          <w:rFonts w:ascii="Arial" w:eastAsia="Calibri" w:hAnsi="Arial" w:cs="Arial"/>
          <w:bCs/>
          <w:sz w:val="21"/>
          <w:szCs w:val="21"/>
        </w:rPr>
        <w:t>El Proponente debe presentar un solo Sobre 1 para todos los lotes o grupos a los cuales radique oferta; y el Sobre 2 que contiene la oferta económica, de forma independiente para cada uno, sin perjuicio de que incluya sus ofertas económicas en un mismo sobre. En todo caso, se recomienda a los Proponentes presentar un Sobre 2 por cada lote.</w:t>
      </w:r>
    </w:p>
    <w:p w14:paraId="5A02B009" w14:textId="77777777" w:rsidR="004F5ACB" w:rsidRPr="004F5ACB" w:rsidRDefault="004F5ACB" w:rsidP="00B72A9D">
      <w:pPr>
        <w:tabs>
          <w:tab w:val="left" w:pos="426"/>
        </w:tabs>
        <w:spacing w:after="0" w:line="240" w:lineRule="auto"/>
        <w:ind w:left="709" w:right="709"/>
        <w:rPr>
          <w:rFonts w:ascii="Arial" w:eastAsia="Calibri" w:hAnsi="Arial" w:cs="Arial"/>
          <w:bCs/>
          <w:sz w:val="21"/>
          <w:szCs w:val="21"/>
        </w:rPr>
      </w:pPr>
    </w:p>
    <w:p w14:paraId="34283145" w14:textId="77777777" w:rsidR="004F5ACB" w:rsidRPr="004F5ACB" w:rsidRDefault="004F5ACB" w:rsidP="00B72A9D">
      <w:pPr>
        <w:numPr>
          <w:ilvl w:val="0"/>
          <w:numId w:val="7"/>
        </w:numPr>
        <w:tabs>
          <w:tab w:val="left" w:pos="426"/>
          <w:tab w:val="left" w:pos="851"/>
          <w:tab w:val="left" w:pos="993"/>
        </w:tabs>
        <w:spacing w:after="0" w:line="240" w:lineRule="auto"/>
        <w:ind w:left="709" w:right="709"/>
        <w:rPr>
          <w:rFonts w:ascii="Arial" w:eastAsia="Calibri" w:hAnsi="Arial" w:cs="Arial"/>
          <w:bCs/>
          <w:sz w:val="21"/>
          <w:szCs w:val="21"/>
        </w:rPr>
      </w:pPr>
      <w:r w:rsidRPr="004F5ACB">
        <w:rPr>
          <w:rFonts w:ascii="Arial" w:eastAsia="Calibri" w:hAnsi="Arial" w:cs="Arial"/>
          <w:bCs/>
          <w:sz w:val="21"/>
          <w:szCs w:val="21"/>
          <w:lang w:val="es-CO"/>
        </w:rPr>
        <w:t xml:space="preserve">Para acreditar la experiencia el Proponente podrá aportar mínimo uno (1) y máximo cinco (5) contratos para cada uno de los lotes o grupos o podrá allegar los mismos para todos o varios de ellos, sin perjuicio de lo previsto en las reglas de los criterios diferenciales por ser </w:t>
      </w:r>
      <w:proofErr w:type="spellStart"/>
      <w:r w:rsidRPr="004F5ACB">
        <w:rPr>
          <w:rFonts w:ascii="Arial" w:eastAsia="Calibri" w:hAnsi="Arial" w:cs="Arial"/>
          <w:bCs/>
          <w:sz w:val="21"/>
          <w:szCs w:val="21"/>
          <w:lang w:val="es-CO"/>
        </w:rPr>
        <w:t>Mipyme</w:t>
      </w:r>
      <w:proofErr w:type="spellEnd"/>
      <w:r w:rsidRPr="004F5ACB">
        <w:rPr>
          <w:rFonts w:ascii="Arial" w:eastAsia="Calibri" w:hAnsi="Arial" w:cs="Arial"/>
          <w:bCs/>
          <w:sz w:val="21"/>
          <w:szCs w:val="21"/>
          <w:lang w:val="es-CO"/>
        </w:rPr>
        <w:t xml:space="preserve"> y/o emprendimientos y empresas de mujeres en cuanto a los requisitos habilitantes relacionados con el número de contratos aportados para demostrar la experiencia solicitada. En la verificación del número de contratos frente al Presupuesto Oficial, el valor mínimo se certificará de acuerdo con al valor del Presupuesto Oficial del respectivo lote o grupo expresado en SMMLV.</w:t>
      </w:r>
    </w:p>
    <w:p w14:paraId="04F70268" w14:textId="77777777" w:rsidR="004F5ACB" w:rsidRPr="004F5ACB" w:rsidRDefault="004F5ACB" w:rsidP="00B72A9D">
      <w:pPr>
        <w:tabs>
          <w:tab w:val="left" w:pos="426"/>
        </w:tabs>
        <w:spacing w:after="0" w:line="240" w:lineRule="auto"/>
        <w:ind w:left="709" w:right="709"/>
        <w:rPr>
          <w:rFonts w:ascii="Arial" w:eastAsia="Calibri" w:hAnsi="Arial" w:cs="Arial"/>
          <w:bCs/>
          <w:sz w:val="21"/>
          <w:szCs w:val="21"/>
        </w:rPr>
      </w:pPr>
    </w:p>
    <w:p w14:paraId="1323F732" w14:textId="77777777" w:rsidR="004F5ACB" w:rsidRPr="004F5ACB" w:rsidRDefault="004F5ACB" w:rsidP="00B72A9D">
      <w:pPr>
        <w:numPr>
          <w:ilvl w:val="0"/>
          <w:numId w:val="7"/>
        </w:numPr>
        <w:tabs>
          <w:tab w:val="left" w:pos="426"/>
          <w:tab w:val="left" w:pos="993"/>
        </w:tabs>
        <w:spacing w:after="0" w:line="240" w:lineRule="auto"/>
        <w:ind w:left="709" w:right="709"/>
        <w:rPr>
          <w:rFonts w:ascii="Arial" w:eastAsia="Calibri" w:hAnsi="Arial" w:cs="Arial"/>
          <w:bCs/>
          <w:sz w:val="21"/>
          <w:szCs w:val="21"/>
        </w:rPr>
      </w:pPr>
      <w:r w:rsidRPr="004F5ACB">
        <w:rPr>
          <w:rFonts w:ascii="Arial" w:eastAsia="Calibri" w:hAnsi="Arial" w:cs="Arial"/>
          <w:bCs/>
          <w:sz w:val="21"/>
          <w:szCs w:val="21"/>
        </w:rPr>
        <w:t>La experiencia que debe acreditar el Proponente será la establecida de forma independiente para cada lote o grupo de acuerdo con las actividades definidas en la m</w:t>
      </w:r>
      <w:bookmarkStart w:id="13" w:name="_Hlk67586576"/>
      <w:r w:rsidRPr="004F5ACB">
        <w:rPr>
          <w:rFonts w:ascii="Arial" w:eastAsia="Calibri" w:hAnsi="Arial" w:cs="Arial"/>
          <w:bCs/>
          <w:sz w:val="21"/>
          <w:szCs w:val="21"/>
        </w:rPr>
        <w:t>atriz de experiencia aplicable en el proyecto de infraestructura social</w:t>
      </w:r>
      <w:bookmarkEnd w:id="13"/>
      <w:r w:rsidRPr="004F5ACB">
        <w:rPr>
          <w:rFonts w:ascii="Arial" w:eastAsia="Calibri" w:hAnsi="Arial" w:cs="Arial"/>
          <w:bCs/>
          <w:sz w:val="21"/>
          <w:szCs w:val="21"/>
        </w:rPr>
        <w:t xml:space="preserve"> en el literal A de la sección 3.5.1. </w:t>
      </w:r>
    </w:p>
    <w:p w14:paraId="65CF0178" w14:textId="77777777" w:rsidR="004F5ACB" w:rsidRPr="004F5ACB" w:rsidRDefault="004F5ACB" w:rsidP="00B72A9D">
      <w:pPr>
        <w:tabs>
          <w:tab w:val="left" w:pos="426"/>
        </w:tabs>
        <w:spacing w:after="0" w:line="240" w:lineRule="auto"/>
        <w:ind w:left="709" w:right="709"/>
        <w:rPr>
          <w:rFonts w:ascii="Arial" w:eastAsia="Calibri" w:hAnsi="Arial" w:cs="Arial"/>
          <w:bCs/>
          <w:sz w:val="21"/>
          <w:szCs w:val="21"/>
        </w:rPr>
      </w:pPr>
    </w:p>
    <w:p w14:paraId="51783D4C" w14:textId="77777777" w:rsidR="004F5ACB" w:rsidRPr="004F5ACB" w:rsidRDefault="004F5ACB" w:rsidP="00B72A9D">
      <w:pPr>
        <w:numPr>
          <w:ilvl w:val="0"/>
          <w:numId w:val="7"/>
        </w:numPr>
        <w:tabs>
          <w:tab w:val="left" w:pos="426"/>
          <w:tab w:val="left" w:pos="709"/>
          <w:tab w:val="left" w:pos="993"/>
        </w:tabs>
        <w:spacing w:after="0" w:line="240" w:lineRule="auto"/>
        <w:ind w:left="709" w:right="709"/>
        <w:rPr>
          <w:rFonts w:ascii="Arial" w:eastAsia="Calibri" w:hAnsi="Arial" w:cs="Arial"/>
          <w:bCs/>
          <w:sz w:val="21"/>
          <w:szCs w:val="21"/>
        </w:rPr>
      </w:pPr>
      <w:r w:rsidRPr="004F5ACB">
        <w:rPr>
          <w:rFonts w:ascii="Arial" w:eastAsia="Calibri" w:hAnsi="Arial" w:cs="Arial"/>
          <w:bCs/>
          <w:sz w:val="21"/>
          <w:szCs w:val="21"/>
        </w:rPr>
        <w:t>Los parámetros que se seguirán para establecer el orden de elegibilidad de los lotes o grupos que conforman el Proceso de Contratación será el señalado por la Entidad en el numeral 2.6.</w:t>
      </w:r>
    </w:p>
    <w:p w14:paraId="0CD46B3F" w14:textId="77777777" w:rsidR="004F5ACB" w:rsidRPr="004F5ACB" w:rsidRDefault="004F5ACB" w:rsidP="00B72A9D">
      <w:pPr>
        <w:tabs>
          <w:tab w:val="left" w:pos="426"/>
        </w:tabs>
        <w:spacing w:after="0" w:line="240" w:lineRule="auto"/>
        <w:ind w:left="709" w:right="709"/>
        <w:rPr>
          <w:rFonts w:ascii="Arial" w:eastAsia="Calibri" w:hAnsi="Arial" w:cs="Arial"/>
          <w:bCs/>
          <w:sz w:val="21"/>
          <w:szCs w:val="21"/>
        </w:rPr>
      </w:pPr>
    </w:p>
    <w:p w14:paraId="4C23132C" w14:textId="77777777" w:rsidR="004F5ACB" w:rsidRPr="004F5ACB" w:rsidRDefault="004F5ACB" w:rsidP="00B72A9D">
      <w:pPr>
        <w:numPr>
          <w:ilvl w:val="0"/>
          <w:numId w:val="7"/>
        </w:numPr>
        <w:tabs>
          <w:tab w:val="left" w:pos="426"/>
          <w:tab w:val="left" w:pos="709"/>
          <w:tab w:val="left" w:pos="1134"/>
        </w:tabs>
        <w:spacing w:after="0" w:line="240" w:lineRule="auto"/>
        <w:ind w:left="709" w:right="709"/>
        <w:rPr>
          <w:rFonts w:ascii="Arial" w:eastAsia="Calibri" w:hAnsi="Arial" w:cs="Arial"/>
          <w:bCs/>
          <w:sz w:val="21"/>
          <w:szCs w:val="21"/>
        </w:rPr>
      </w:pPr>
      <w:r w:rsidRPr="004F5ACB">
        <w:rPr>
          <w:rFonts w:ascii="Arial" w:eastAsia="Calibri" w:hAnsi="Arial" w:cs="Arial"/>
          <w:bCs/>
          <w:sz w:val="21"/>
          <w:szCs w:val="21"/>
        </w:rPr>
        <w:t xml:space="preserve">[Incluir cuando la Entidad no establezca la posibilidad de resultar adjudicatario de más de un lote o grupo] El Proponente seleccionado debe incluirse en los demás órdenes de elegibilidad en los cuales se encuentre habilitado y de resultar ubicado en el primer orden de elegibilidad de estos lotes se adjudicará al Proponente que esté en el segundo orden de elegibilidad, y así sucesivamente. En aquellos eventos en los cuales no existan más Proponentes a quienes adjudicar los lotes o grupos restantes del Proceso de Contratación, se podrá adjudicar a un mismo Proponente más de dos (2) lotes o grupos, siempre y cuando cumpla con los requisitos contenidos en el Pliego de Condiciones. </w:t>
      </w:r>
    </w:p>
    <w:p w14:paraId="78A35D2B" w14:textId="77777777" w:rsidR="004F5ACB" w:rsidRPr="004F5ACB" w:rsidRDefault="004F5ACB" w:rsidP="00B72A9D">
      <w:pPr>
        <w:tabs>
          <w:tab w:val="left" w:pos="426"/>
        </w:tabs>
        <w:spacing w:after="0" w:line="240" w:lineRule="auto"/>
        <w:ind w:left="709" w:right="709"/>
        <w:rPr>
          <w:rFonts w:ascii="Arial" w:eastAsia="Calibri" w:hAnsi="Arial" w:cs="Arial"/>
          <w:bCs/>
          <w:sz w:val="21"/>
          <w:szCs w:val="21"/>
        </w:rPr>
      </w:pPr>
    </w:p>
    <w:p w14:paraId="2E3A20D3" w14:textId="77777777" w:rsidR="004F5ACB" w:rsidRPr="004F5ACB" w:rsidRDefault="004F5ACB" w:rsidP="00B72A9D">
      <w:pPr>
        <w:numPr>
          <w:ilvl w:val="0"/>
          <w:numId w:val="7"/>
        </w:numPr>
        <w:tabs>
          <w:tab w:val="left" w:pos="426"/>
          <w:tab w:val="left" w:pos="709"/>
          <w:tab w:val="left" w:pos="851"/>
          <w:tab w:val="left" w:pos="993"/>
        </w:tabs>
        <w:spacing w:after="0" w:line="240" w:lineRule="auto"/>
        <w:ind w:left="709" w:right="709"/>
        <w:rPr>
          <w:rFonts w:ascii="Arial" w:eastAsia="Calibri" w:hAnsi="Arial" w:cs="Arial"/>
          <w:bCs/>
          <w:sz w:val="21"/>
          <w:szCs w:val="21"/>
        </w:rPr>
      </w:pPr>
      <w:r w:rsidRPr="004F5ACB">
        <w:rPr>
          <w:rFonts w:ascii="Arial" w:eastAsia="Calibri" w:hAnsi="Arial" w:cs="Arial"/>
          <w:bCs/>
          <w:sz w:val="21"/>
          <w:szCs w:val="21"/>
        </w:rPr>
        <w:t xml:space="preserve">[Incluir cuando la Entidad establezca la posibilidad de resultar adjudicatario de más de un lote o grupo] La Entidad verifica en la audiencia de adjudicación que el Proponente cumpla con el capital de trabajo para resultar adjudicatario de un lote o grupo adicional. </w:t>
      </w:r>
    </w:p>
    <w:p w14:paraId="070A0F34" w14:textId="77777777" w:rsidR="004F5ACB" w:rsidRPr="004F5ACB" w:rsidRDefault="004F5ACB" w:rsidP="00B72A9D">
      <w:pPr>
        <w:tabs>
          <w:tab w:val="left" w:pos="426"/>
        </w:tabs>
        <w:spacing w:after="0" w:line="240" w:lineRule="auto"/>
        <w:ind w:left="709" w:right="709"/>
        <w:rPr>
          <w:rFonts w:ascii="Arial" w:eastAsia="Calibri" w:hAnsi="Arial" w:cs="Arial"/>
          <w:bCs/>
          <w:sz w:val="21"/>
          <w:szCs w:val="21"/>
        </w:rPr>
      </w:pPr>
    </w:p>
    <w:p w14:paraId="27F5FB7C" w14:textId="77777777" w:rsidR="004F5ACB" w:rsidRPr="004F5ACB" w:rsidRDefault="004F5ACB" w:rsidP="00B72A9D">
      <w:pPr>
        <w:numPr>
          <w:ilvl w:val="0"/>
          <w:numId w:val="7"/>
        </w:numPr>
        <w:tabs>
          <w:tab w:val="left" w:pos="426"/>
          <w:tab w:val="left" w:pos="993"/>
        </w:tabs>
        <w:spacing w:after="0" w:line="240" w:lineRule="auto"/>
        <w:ind w:left="709" w:right="709"/>
        <w:rPr>
          <w:rFonts w:ascii="Arial" w:eastAsia="Calibri" w:hAnsi="Arial" w:cs="Arial"/>
          <w:bCs/>
          <w:sz w:val="21"/>
          <w:szCs w:val="21"/>
        </w:rPr>
      </w:pPr>
      <w:r w:rsidRPr="004F5ACB">
        <w:rPr>
          <w:rFonts w:ascii="Arial" w:eastAsia="Calibri" w:hAnsi="Arial" w:cs="Arial"/>
          <w:bCs/>
          <w:sz w:val="21"/>
          <w:szCs w:val="21"/>
        </w:rPr>
        <w:t>[Incluir cuando la Entidad establezca la posibilidad de resultar adjudicatario de más de un lote o grupo] El Proponente deberá acreditar una capacidad residual mayor o igual a la capacidad residual del lote al cual presentó oferta o de la sumatoria de los lotes a los cuales presentó oferta. Si la capacidad residual del Proponente no es suficiente para la totalidad de los lotes a los cuales radicó una oferta, la Entidad lo habilitará únicamente en los que cumpla con la capacidad residual requerida, empezando con el lote de mayor valor en el cual radicó una oferta, y así en forma descendente.</w:t>
      </w:r>
    </w:p>
    <w:p w14:paraId="22BD835D" w14:textId="77777777" w:rsidR="004F5ACB" w:rsidRPr="004F5ACB" w:rsidRDefault="004F5ACB" w:rsidP="00B72A9D">
      <w:pPr>
        <w:tabs>
          <w:tab w:val="left" w:pos="426"/>
        </w:tabs>
        <w:spacing w:after="0" w:line="240" w:lineRule="auto"/>
        <w:ind w:left="709" w:right="709"/>
        <w:rPr>
          <w:rFonts w:ascii="Arial" w:eastAsia="Calibri" w:hAnsi="Arial" w:cs="Arial"/>
          <w:bCs/>
          <w:sz w:val="21"/>
          <w:szCs w:val="21"/>
        </w:rPr>
      </w:pPr>
    </w:p>
    <w:p w14:paraId="5B654CEB" w14:textId="77777777" w:rsidR="004F5ACB" w:rsidRPr="004F5ACB" w:rsidRDefault="004F5ACB" w:rsidP="00B72A9D">
      <w:pPr>
        <w:numPr>
          <w:ilvl w:val="0"/>
          <w:numId w:val="7"/>
        </w:numPr>
        <w:tabs>
          <w:tab w:val="left" w:pos="426"/>
          <w:tab w:val="left" w:pos="851"/>
        </w:tabs>
        <w:spacing w:after="0" w:line="240" w:lineRule="auto"/>
        <w:ind w:left="709" w:right="709"/>
        <w:rPr>
          <w:rFonts w:ascii="Arial" w:eastAsia="Calibri" w:hAnsi="Arial" w:cs="Arial"/>
          <w:bCs/>
          <w:sz w:val="21"/>
          <w:szCs w:val="21"/>
        </w:rPr>
      </w:pPr>
      <w:r w:rsidRPr="004F5ACB">
        <w:rPr>
          <w:rFonts w:ascii="Arial" w:eastAsia="Calibri" w:hAnsi="Arial" w:cs="Arial"/>
          <w:bCs/>
          <w:sz w:val="21"/>
          <w:szCs w:val="21"/>
        </w:rPr>
        <w:t>El Proponente debe indicar en el Formato 1 – Carta de presentación de la oferta y en el Formato 2 – Conformación de proponente plural (Formato 2A – Consorcios) (Formato 2B Uniones Temporales), el lote o lotes a los cuales presenta oferta.</w:t>
      </w:r>
    </w:p>
    <w:p w14:paraId="5844ADCF" w14:textId="77777777" w:rsidR="004F5ACB" w:rsidRPr="004F5ACB" w:rsidRDefault="004F5ACB" w:rsidP="00B72A9D">
      <w:pPr>
        <w:tabs>
          <w:tab w:val="left" w:pos="426"/>
        </w:tabs>
        <w:spacing w:after="0" w:line="240" w:lineRule="auto"/>
        <w:ind w:left="709" w:right="709"/>
        <w:rPr>
          <w:rFonts w:ascii="Arial" w:eastAsia="Calibri" w:hAnsi="Arial" w:cs="Arial"/>
          <w:bCs/>
          <w:sz w:val="21"/>
          <w:szCs w:val="21"/>
        </w:rPr>
      </w:pPr>
    </w:p>
    <w:p w14:paraId="5DCCC141" w14:textId="77777777" w:rsidR="004F5ACB" w:rsidRPr="004F5ACB" w:rsidRDefault="004F5ACB" w:rsidP="00B72A9D">
      <w:pPr>
        <w:numPr>
          <w:ilvl w:val="0"/>
          <w:numId w:val="7"/>
        </w:numPr>
        <w:tabs>
          <w:tab w:val="left" w:pos="426"/>
          <w:tab w:val="left" w:pos="709"/>
          <w:tab w:val="left" w:pos="993"/>
        </w:tabs>
        <w:spacing w:after="0" w:line="240" w:lineRule="auto"/>
        <w:ind w:left="709" w:right="709"/>
        <w:rPr>
          <w:rFonts w:ascii="Arial" w:eastAsia="Calibri" w:hAnsi="Arial" w:cs="Arial"/>
          <w:bCs/>
          <w:sz w:val="21"/>
          <w:szCs w:val="21"/>
        </w:rPr>
      </w:pPr>
      <w:r w:rsidRPr="004F5ACB">
        <w:rPr>
          <w:rFonts w:ascii="Arial" w:eastAsia="Calibri" w:hAnsi="Arial" w:cs="Arial"/>
          <w:bCs/>
          <w:sz w:val="21"/>
          <w:szCs w:val="21"/>
        </w:rPr>
        <w:t>Para definir el método de ponderación de la oferta económica se aplicarán las reglas definidas en el numeral 4.1.4.</w:t>
      </w:r>
    </w:p>
    <w:p w14:paraId="131EB967" w14:textId="77777777" w:rsidR="004F5ACB" w:rsidRPr="004F5ACB" w:rsidRDefault="004F5ACB" w:rsidP="004F5ACB">
      <w:pPr>
        <w:tabs>
          <w:tab w:val="left" w:pos="426"/>
        </w:tabs>
        <w:spacing w:after="160" w:line="256" w:lineRule="auto"/>
        <w:ind w:left="709" w:right="709"/>
        <w:rPr>
          <w:rFonts w:ascii="Arial" w:eastAsia="Calibri" w:hAnsi="Arial" w:cs="Arial"/>
          <w:bCs/>
          <w:sz w:val="21"/>
          <w:szCs w:val="21"/>
          <w:lang w:val="es-ES_tradnl"/>
        </w:rPr>
      </w:pPr>
    </w:p>
    <w:p w14:paraId="1CBB4F48" w14:textId="77777777" w:rsidR="004F5ACB" w:rsidRPr="004F5ACB" w:rsidRDefault="004F5ACB" w:rsidP="006E5488">
      <w:pPr>
        <w:spacing w:after="120"/>
        <w:ind w:firstLine="709"/>
        <w:rPr>
          <w:rFonts w:ascii="Arial" w:eastAsia="Calibri" w:hAnsi="Arial" w:cs="Arial"/>
          <w:sz w:val="22"/>
          <w:shd w:val="clear" w:color="auto" w:fill="FFFFFF"/>
          <w:lang w:val="es-ES_tradnl"/>
        </w:rPr>
      </w:pPr>
      <w:r w:rsidRPr="004F5ACB">
        <w:rPr>
          <w:rFonts w:ascii="Arial" w:eastAsia="Calibri" w:hAnsi="Arial" w:cs="Arial"/>
          <w:sz w:val="22"/>
          <w:shd w:val="clear" w:color="auto" w:fill="FFFFFF"/>
          <w:lang w:val="es-ES_tradnl"/>
        </w:rPr>
        <w:t xml:space="preserve">Del contenido del citado numeral, y concretamente de lo que indica el literal A, es posible deducir la idea de que la entidad estatal contratante tiene la potestad discrecional de «[…] </w:t>
      </w:r>
      <w:r w:rsidRPr="004F5ACB">
        <w:rPr>
          <w:rFonts w:ascii="Arial" w:eastAsia="Calibri" w:hAnsi="Arial" w:cs="Arial"/>
          <w:color w:val="000000"/>
          <w:sz w:val="22"/>
          <w:lang w:val="es-ES_tradnl"/>
        </w:rPr>
        <w:t>señalar si es posible presentar oferta a más de un lote o grupo». Además, «Cuando lo establezca, debe indicar si es posible resultar adjudicatario de más de uno». En este sentido, la entidad puede definir si es o no posible resultar adjudicatario de más de un lote y una vez la entidad ha determinado que se podrá ser adjudicatario de más de un lote, los oferentes podrán presentar ofertas por los lotes que quieran –2, 3, 4, 5, etc.–, estando condicionados únicamente por el cumplimiento de los requisitos habilitantes. Y, de ser el caso, podrán ser adjudicatarios si se encuentran en el primer orden de elegibilidad frente a dos o más lotes.</w:t>
      </w:r>
    </w:p>
    <w:p w14:paraId="58DD2CBC" w14:textId="77777777" w:rsidR="004F5ACB" w:rsidRPr="004F5ACB" w:rsidRDefault="004F5ACB" w:rsidP="006E5488">
      <w:pPr>
        <w:spacing w:after="120"/>
        <w:ind w:firstLine="709"/>
        <w:rPr>
          <w:rFonts w:ascii="Arial" w:eastAsia="Calibri" w:hAnsi="Arial" w:cs="Arial"/>
          <w:color w:val="000000"/>
          <w:sz w:val="22"/>
          <w:lang w:val="es-ES_tradnl"/>
        </w:rPr>
      </w:pPr>
      <w:r w:rsidRPr="004F5ACB">
        <w:rPr>
          <w:rFonts w:ascii="Arial" w:eastAsia="Calibri" w:hAnsi="Arial" w:cs="Arial"/>
          <w:sz w:val="22"/>
          <w:shd w:val="clear" w:color="auto" w:fill="FFFFFF"/>
          <w:lang w:val="es-ES_tradnl"/>
        </w:rPr>
        <w:t xml:space="preserve">En concordancia con lo anterior, el literal G del numeral 3.3.3. del documento base establece </w:t>
      </w:r>
      <w:proofErr w:type="gramStart"/>
      <w:r w:rsidRPr="004F5ACB">
        <w:rPr>
          <w:rFonts w:ascii="Arial" w:eastAsia="Calibri" w:hAnsi="Arial" w:cs="Arial"/>
          <w:sz w:val="22"/>
          <w:shd w:val="clear" w:color="auto" w:fill="FFFFFF"/>
          <w:lang w:val="es-ES_tradnl"/>
        </w:rPr>
        <w:t>que</w:t>
      </w:r>
      <w:proofErr w:type="gramEnd"/>
      <w:r w:rsidRPr="004F5ACB">
        <w:rPr>
          <w:rFonts w:ascii="Arial" w:eastAsia="Calibri" w:hAnsi="Arial" w:cs="Arial"/>
          <w:sz w:val="22"/>
          <w:shd w:val="clear" w:color="auto" w:fill="FFFFFF"/>
          <w:lang w:val="es-ES_tradnl"/>
        </w:rPr>
        <w:t xml:space="preserve"> si el proceso de licitación pública se estructura por lotes o grupos, el documento de constitución del proponente plural debe «</w:t>
      </w:r>
      <w:r w:rsidRPr="004F5ACB">
        <w:rPr>
          <w:rFonts w:ascii="Arial" w:eastAsia="Calibri" w:hAnsi="Arial" w:cs="Arial"/>
          <w:color w:val="000000"/>
          <w:sz w:val="22"/>
          <w:lang w:val="es-ES_tradnl"/>
        </w:rPr>
        <w:t>Indicar el lote o lotes a los cuales presenta oferta». Es decir, se deja a discreción del oferente indicar los lotes a los cuales presenta la oferta. Esto significa que tiene el derecho de presentarse en todos los lotes que considere conveniente, siempre que la entidad haya determinado la posibilidad de presentar oferta a más de un lote o grupo conforme el literal A del numeral 2.10</w:t>
      </w:r>
    </w:p>
    <w:p w14:paraId="380A0F40" w14:textId="77777777" w:rsidR="004F5ACB" w:rsidRPr="004F5ACB" w:rsidRDefault="004F5ACB" w:rsidP="006E5488">
      <w:pPr>
        <w:tabs>
          <w:tab w:val="left" w:pos="426"/>
        </w:tabs>
        <w:spacing w:after="120"/>
        <w:ind w:firstLine="709"/>
        <w:rPr>
          <w:rFonts w:ascii="Arial" w:eastAsia="Calibri" w:hAnsi="Arial" w:cs="Arial"/>
          <w:sz w:val="22"/>
          <w:lang w:val="es-CO"/>
        </w:rPr>
      </w:pPr>
      <w:r w:rsidRPr="004F5ACB">
        <w:rPr>
          <w:rFonts w:ascii="Arial" w:eastAsia="Calibri" w:hAnsi="Arial" w:cs="Arial"/>
          <w:bCs/>
          <w:sz w:val="22"/>
          <w:lang w:val="es-ES_tradnl"/>
        </w:rPr>
        <w:t xml:space="preserve">En cuanto a la acreditación de experiencia el literal C del numeral 2.10 señala que el proponente </w:t>
      </w:r>
      <w:r w:rsidRPr="004F5ACB">
        <w:rPr>
          <w:rFonts w:ascii="Arial" w:eastAsia="Calibri" w:hAnsi="Arial" w:cs="Arial"/>
          <w:sz w:val="22"/>
          <w:lang w:val="es-CO"/>
        </w:rPr>
        <w:t xml:space="preserve">podrá aportar mínimo uno (1) y máximo cinco (5) contratos para cada uno de los lotes o grupos o podrá allegar los mismos para todos o varios de ellos, sin perjuicio de </w:t>
      </w:r>
      <w:r w:rsidRPr="004F5ACB">
        <w:rPr>
          <w:rFonts w:ascii="Arial" w:eastAsia="Calibri" w:hAnsi="Arial" w:cs="Arial"/>
          <w:sz w:val="22"/>
          <w:lang w:val="es-CO"/>
        </w:rPr>
        <w:lastRenderedPageBreak/>
        <w:t xml:space="preserve">lo previsto en las reglas de los criterios diferenciales por ser </w:t>
      </w:r>
      <w:proofErr w:type="spellStart"/>
      <w:r w:rsidRPr="004F5ACB">
        <w:rPr>
          <w:rFonts w:ascii="Arial" w:eastAsia="Calibri" w:hAnsi="Arial" w:cs="Arial"/>
          <w:sz w:val="22"/>
          <w:lang w:val="es-CO"/>
        </w:rPr>
        <w:t>Mipyme</w:t>
      </w:r>
      <w:proofErr w:type="spellEnd"/>
      <w:r w:rsidRPr="004F5ACB">
        <w:rPr>
          <w:rFonts w:ascii="Arial" w:eastAsia="Calibri" w:hAnsi="Arial" w:cs="Arial"/>
          <w:sz w:val="22"/>
          <w:lang w:val="es-CO"/>
        </w:rPr>
        <w:t xml:space="preserve"> y/o emprendimientos y empresas de mujeres en cuanto a los requisitos habilitantes relacionados con el número de contratos aportados para demostrar la experiencia solicitada. En la verificación del número de contratos frente al presupuesto oficial, el valor mínimo se certificará de acuerdo con el valor del presupuesto oficial del respectivo lote o grupo expresado en SMMLV. Asimismo, el literal D del numeral 2.10 indica que la experiencia que debe acreditar el proponente será la establecida de forma independiente para cada lote o grupo de acuerdo con las actividades definidas en la matriz de experiencia aplicable en el proyecto de infraestructura social en el literal A de la sección 3.5.1.</w:t>
      </w:r>
    </w:p>
    <w:p w14:paraId="74F7D3C0" w14:textId="77777777" w:rsidR="004F5ACB" w:rsidRPr="004F5ACB" w:rsidRDefault="004F5ACB" w:rsidP="006E5488">
      <w:pPr>
        <w:spacing w:after="120"/>
        <w:ind w:firstLine="709"/>
        <w:rPr>
          <w:rFonts w:ascii="Arial" w:eastAsia="Calibri" w:hAnsi="Arial" w:cs="Arial"/>
          <w:color w:val="000000"/>
          <w:sz w:val="22"/>
          <w:lang w:val="es-ES_tradnl"/>
        </w:rPr>
      </w:pPr>
      <w:r w:rsidRPr="004F5ACB">
        <w:rPr>
          <w:rFonts w:ascii="Arial" w:eastAsia="Calibri" w:hAnsi="Arial" w:cs="Arial"/>
          <w:color w:val="000000"/>
          <w:sz w:val="22"/>
          <w:lang w:val="es-ES_tradnl"/>
        </w:rPr>
        <w:t>En armonía con lo expuesto, el literal C del numeral 3.5.1 señala que «[En los procesos estructurados por lotes o por grupos, el proponente podrá aportar mínimo uno (1) y máximo cinco (5) contratos para cada uno de los lotes o grupos o podrá allegar los mismos para todos los lotes o grupos]». Asimismo, el numeral 3.5.7. indica que «[En los procesos estructurados por lotes o por grupos, el valor mínimo a certificar debe ser en relación con el valor del presupuesto oficial del respectivo lote o grupo expresado en SMMLV]».</w:t>
      </w:r>
    </w:p>
    <w:p w14:paraId="62837438" w14:textId="77777777" w:rsidR="004F5ACB" w:rsidRPr="004F5ACB" w:rsidRDefault="004F5ACB" w:rsidP="006E5488">
      <w:pPr>
        <w:spacing w:after="120"/>
        <w:ind w:firstLine="709"/>
        <w:rPr>
          <w:rFonts w:ascii="Arial" w:eastAsia="Calibri" w:hAnsi="Arial" w:cs="Arial"/>
          <w:sz w:val="22"/>
          <w:shd w:val="clear" w:color="auto" w:fill="FFFFFF"/>
          <w:lang w:val="es-ES_tradnl"/>
        </w:rPr>
      </w:pPr>
      <w:r w:rsidRPr="004F5ACB">
        <w:rPr>
          <w:rFonts w:ascii="Arial" w:eastAsia="Calibri" w:hAnsi="Arial" w:cs="Arial"/>
          <w:sz w:val="22"/>
          <w:shd w:val="clear" w:color="auto" w:fill="FFFFFF"/>
          <w:lang w:val="es-ES_tradnl"/>
        </w:rPr>
        <w:t xml:space="preserve">De lo dicho se pueden extraer varias conclusiones. En primer lugar, de conformidad con los documentos tipo para licitación de obra pública de infraestructura social, las entidades estatales cuentan con discrecionalidad para estructurar sus procesos por lotes o grupos. En segundo lugar, habiendo optado por configurar así el procedimiento de selección, las entidades estatales igualmente tienen libertad para indicar si los proponentes pueden presentar oferta para más de un lote o grupo. En tercer lugar, una vez definido </w:t>
      </w:r>
      <w:proofErr w:type="gramStart"/>
      <w:r w:rsidRPr="004F5ACB">
        <w:rPr>
          <w:rFonts w:ascii="Arial" w:eastAsia="Calibri" w:hAnsi="Arial" w:cs="Arial"/>
          <w:sz w:val="22"/>
          <w:shd w:val="clear" w:color="auto" w:fill="FFFFFF"/>
          <w:lang w:val="es-ES_tradnl"/>
        </w:rPr>
        <w:t>que</w:t>
      </w:r>
      <w:proofErr w:type="gramEnd"/>
      <w:r w:rsidRPr="004F5ACB">
        <w:rPr>
          <w:rFonts w:ascii="Arial" w:eastAsia="Calibri" w:hAnsi="Arial" w:cs="Arial"/>
          <w:sz w:val="22"/>
          <w:shd w:val="clear" w:color="auto" w:fill="FFFFFF"/>
          <w:lang w:val="es-ES_tradnl"/>
        </w:rPr>
        <w:t xml:space="preserve"> si es posible lo anterior, las entidades estatales deben indicar si es viable que un oferente sea adjudicatario de más de un lote o grupo. En cuarto lugar, los proponentes deberán acreditar las condiciones habilitantes requeridas para cada uno de los lotes a los que se presente, teniendo en cuenta los requisitos establecidos por la entidad en el pliego de condiciones. En quinto lugar, la verificación de la experiencia solicitada se realiza de forma independiente para cada lote o grupo al que se presente el proponente. </w:t>
      </w:r>
    </w:p>
    <w:p w14:paraId="680E71C4" w14:textId="77777777" w:rsidR="004F5ACB" w:rsidRPr="004F5ACB" w:rsidRDefault="004F5ACB" w:rsidP="006E5488">
      <w:pPr>
        <w:spacing w:after="120"/>
        <w:ind w:firstLine="709"/>
        <w:rPr>
          <w:rFonts w:ascii="Arial" w:eastAsia="Calibri" w:hAnsi="Arial" w:cs="Arial"/>
          <w:bCs/>
          <w:sz w:val="22"/>
          <w:lang w:val="es-ES_tradnl"/>
        </w:rPr>
      </w:pPr>
      <w:r w:rsidRPr="004F5ACB">
        <w:rPr>
          <w:rFonts w:ascii="Arial" w:eastAsia="Calibri" w:hAnsi="Arial" w:cs="Arial"/>
          <w:sz w:val="22"/>
          <w:shd w:val="clear" w:color="auto" w:fill="FFFFFF"/>
          <w:lang w:val="es-ES_tradnl"/>
        </w:rPr>
        <w:t xml:space="preserve">De esta manera, para efectos de la acreditación de experiencia en los procesos estructurados por lote o grupos </w:t>
      </w:r>
      <w:r w:rsidRPr="004F5ACB">
        <w:rPr>
          <w:rFonts w:ascii="Arial" w:eastAsia="Calibri" w:hAnsi="Arial" w:cs="Arial"/>
          <w:sz w:val="22"/>
          <w:lang w:val="es-CO"/>
        </w:rPr>
        <w:t>el proponente podrá aportar el número máximo de contratos permitidos para cada uno de los lotes o grupos a los que se presente,</w:t>
      </w:r>
      <w:r w:rsidRPr="004F5ACB">
        <w:rPr>
          <w:rFonts w:ascii="Arial" w:eastAsia="Calibri" w:hAnsi="Arial" w:cs="Arial"/>
          <w:bCs/>
          <w:sz w:val="22"/>
          <w:lang w:val="es-ES_tradnl"/>
        </w:rPr>
        <w:t xml:space="preserve"> es decir, podrá </w:t>
      </w:r>
      <w:proofErr w:type="spellStart"/>
      <w:r w:rsidRPr="004F5ACB">
        <w:rPr>
          <w:rFonts w:ascii="Arial" w:eastAsia="Calibri" w:hAnsi="Arial" w:cs="Arial"/>
          <w:bCs/>
          <w:sz w:val="22"/>
          <w:lang w:val="es-ES_tradnl"/>
        </w:rPr>
        <w:t>allegar</w:t>
      </w:r>
      <w:proofErr w:type="spellEnd"/>
      <w:r w:rsidRPr="004F5ACB">
        <w:rPr>
          <w:rFonts w:ascii="Arial" w:eastAsia="Calibri" w:hAnsi="Arial" w:cs="Arial"/>
          <w:bCs/>
          <w:sz w:val="22"/>
          <w:lang w:val="es-ES_tradnl"/>
        </w:rPr>
        <w:t xml:space="preserve"> hasta 5 contratos para cada lote, sin perjuicio de las reglas sobre la acreditación de </w:t>
      </w:r>
      <w:proofErr w:type="spellStart"/>
      <w:r w:rsidRPr="004F5ACB">
        <w:rPr>
          <w:rFonts w:ascii="Arial" w:eastAsia="Calibri" w:hAnsi="Arial" w:cs="Arial"/>
          <w:bCs/>
          <w:sz w:val="22"/>
          <w:lang w:val="es-ES_tradnl"/>
        </w:rPr>
        <w:t>Mipyme</w:t>
      </w:r>
      <w:proofErr w:type="spellEnd"/>
      <w:r w:rsidRPr="004F5ACB">
        <w:rPr>
          <w:rFonts w:ascii="Arial" w:eastAsia="Calibri" w:hAnsi="Arial" w:cs="Arial"/>
          <w:bCs/>
          <w:sz w:val="22"/>
          <w:lang w:val="es-ES_tradnl"/>
        </w:rPr>
        <w:t xml:space="preserve"> y emprendimiento y empresas de mujeres. También podrá optar por allegar el mismo o varios contratos para todos o varios de los lotes o grupos, lo que significa que el contrato que aportó para un lote también podrá acreditar la experiencia respecto de otro lote o grupo, siempre que cumpla con los requisitos de experiencia general y especifica exigidos para cada uno de ellos. </w:t>
      </w:r>
    </w:p>
    <w:p w14:paraId="0D2F5BDA" w14:textId="77777777" w:rsidR="004F5ACB" w:rsidRPr="004F5ACB" w:rsidRDefault="004F5ACB" w:rsidP="006E5488">
      <w:pPr>
        <w:spacing w:after="120"/>
        <w:ind w:firstLine="709"/>
        <w:rPr>
          <w:rFonts w:ascii="Arial" w:eastAsia="Calibri" w:hAnsi="Arial" w:cs="Arial"/>
          <w:bCs/>
          <w:sz w:val="22"/>
          <w:lang w:val="es-ES_tradnl"/>
        </w:rPr>
      </w:pPr>
      <w:r w:rsidRPr="004F5ACB">
        <w:rPr>
          <w:rFonts w:ascii="Arial" w:eastAsia="Calibri" w:hAnsi="Arial" w:cs="Arial"/>
          <w:bCs/>
          <w:sz w:val="22"/>
          <w:lang w:val="es-ES_tradnl"/>
        </w:rPr>
        <w:t xml:space="preserve">En todo caso, debe tenerse en cuenta que el número de contratos que aporte para cada lote o grupo impacta en relación con el valor </w:t>
      </w:r>
      <w:r w:rsidRPr="004F5ACB">
        <w:rPr>
          <w:rFonts w:ascii="Arial" w:eastAsia="Calibri" w:hAnsi="Arial" w:cs="Arial"/>
          <w:color w:val="000000"/>
          <w:sz w:val="22"/>
          <w:lang w:val="es-ES_tradnl"/>
        </w:rPr>
        <w:t xml:space="preserve">mínimo a certificar que debe ser en </w:t>
      </w:r>
      <w:r w:rsidRPr="004F5ACB">
        <w:rPr>
          <w:rFonts w:ascii="Arial" w:eastAsia="Calibri" w:hAnsi="Arial" w:cs="Arial"/>
          <w:color w:val="000000"/>
          <w:sz w:val="22"/>
          <w:lang w:val="es-ES_tradnl"/>
        </w:rPr>
        <w:lastRenderedPageBreak/>
        <w:t xml:space="preserve">relación con el valor del presupuesto oficial del respectivo lote o grupo </w:t>
      </w:r>
      <w:r w:rsidRPr="004F5ACB">
        <w:rPr>
          <w:rFonts w:ascii="Arial" w:eastAsia="Calibri" w:hAnsi="Arial" w:cs="Arial"/>
          <w:bCs/>
          <w:sz w:val="22"/>
          <w:lang w:val="es-ES_tradnl"/>
        </w:rPr>
        <w:t>expresado en SMMLV de acuerdo con la tabla establecida en el numeral 3.5.7 del documento base</w:t>
      </w:r>
      <w:bookmarkStart w:id="14" w:name="_Hlk113872595"/>
      <w:r w:rsidRPr="004F5ACB">
        <w:rPr>
          <w:rFonts w:ascii="Arial" w:eastAsia="Calibri" w:hAnsi="Arial" w:cs="Arial"/>
          <w:bCs/>
          <w:sz w:val="22"/>
          <w:lang w:val="es-ES_tradnl"/>
        </w:rPr>
        <w:t xml:space="preserve">. </w:t>
      </w:r>
      <w:r w:rsidRPr="004F5ACB">
        <w:rPr>
          <w:rFonts w:ascii="Arial" w:eastAsia="Calibri" w:hAnsi="Arial" w:cs="Arial"/>
          <w:bCs/>
          <w:sz w:val="22"/>
        </w:rPr>
        <w:t xml:space="preserve">Por ejemplo, quienes acrediten la experiencia de un lote mediante 1 ó 2 contratos, la sumatoria de los valores ejecutados debe ser superior al 75% del valor del presupuesto oficial de obra expresado en SMMLV del lote respectivo, independientemente que se presente a más de un lote. </w:t>
      </w:r>
    </w:p>
    <w:bookmarkEnd w:id="14"/>
    <w:p w14:paraId="6CE36008" w14:textId="77777777" w:rsidR="004F5ACB" w:rsidRPr="004F5ACB" w:rsidRDefault="004F5ACB" w:rsidP="006E5488">
      <w:pPr>
        <w:tabs>
          <w:tab w:val="left" w:pos="426"/>
        </w:tabs>
        <w:spacing w:after="120"/>
        <w:ind w:firstLine="709"/>
        <w:rPr>
          <w:rFonts w:ascii="Arial" w:eastAsia="Calibri" w:hAnsi="Arial" w:cs="Arial"/>
          <w:bCs/>
          <w:sz w:val="22"/>
          <w:lang w:val="es-CO"/>
        </w:rPr>
      </w:pPr>
      <w:r w:rsidRPr="004F5ACB">
        <w:rPr>
          <w:rFonts w:ascii="Arial" w:eastAsia="Calibri" w:hAnsi="Arial" w:cs="Arial"/>
          <w:bCs/>
          <w:sz w:val="22"/>
          <w:lang w:val="es-CO"/>
        </w:rPr>
        <w:t xml:space="preserve">En este sentido, en el evento en que el proponente opte por presentar un contrato para varios lotes o grupos, dicho contrato deberá ser verificado de forma independiente en cada lote en relación con los requisitos de experiencia exigidos para cada uno de ellos y teniendo en cuenta el número total de contratos presentados en el respectivo lote con el fin de establecer el valor mínimo a certificar. En otras palabras, cada lote será evaluado de forma independiente siendo indiferente si el contrato presentado se aportó para uno o varios lotes. Ello es así pues, como se expuso, las reglas de experiencia para procesos estructurados en lotes o grupos en el documento base determinan que su acreditación se realizará respecto de cada lote o grupo </w:t>
      </w:r>
      <w:bookmarkStart w:id="15" w:name="_Hlk113874301"/>
      <w:r w:rsidRPr="004F5ACB">
        <w:rPr>
          <w:rFonts w:ascii="Arial" w:eastAsia="Calibri" w:hAnsi="Arial" w:cs="Arial"/>
          <w:bCs/>
          <w:sz w:val="22"/>
          <w:lang w:val="es-CO"/>
        </w:rPr>
        <w:t xml:space="preserve">y </w:t>
      </w:r>
      <w:r w:rsidRPr="004F5ACB">
        <w:rPr>
          <w:rFonts w:ascii="Arial" w:eastAsia="Calibri" w:hAnsi="Arial" w:cs="Arial"/>
          <w:color w:val="000000"/>
          <w:sz w:val="22"/>
          <w:lang w:val="es-ES_tradnl"/>
        </w:rPr>
        <w:t xml:space="preserve">el valor mínimo a certificar debe ser en relación con el valor del Presupuesto Oficial del respectivo lote o grupo expresado en SMMLV, </w:t>
      </w:r>
      <w:bookmarkEnd w:id="15"/>
      <w:r w:rsidRPr="004F5ACB">
        <w:rPr>
          <w:rFonts w:ascii="Arial" w:eastAsia="Calibri" w:hAnsi="Arial" w:cs="Arial"/>
          <w:bCs/>
          <w:sz w:val="22"/>
          <w:lang w:val="es-CO"/>
        </w:rPr>
        <w:t>sin que haya lugar a exigir la sumatoria del valor de todos los lote para el efecto.</w:t>
      </w:r>
    </w:p>
    <w:p w14:paraId="69E808B1" w14:textId="4C13B1D5" w:rsidR="004F5ACB" w:rsidRDefault="004F5ACB" w:rsidP="006E5488">
      <w:pPr>
        <w:spacing w:after="0"/>
        <w:ind w:firstLine="709"/>
        <w:rPr>
          <w:rFonts w:ascii="Arial" w:eastAsia="Calibri" w:hAnsi="Arial" w:cs="Arial"/>
          <w:color w:val="000000"/>
          <w:sz w:val="22"/>
          <w:lang w:val="es-ES_tradnl"/>
        </w:rPr>
      </w:pPr>
      <w:r w:rsidRPr="004F5ACB">
        <w:rPr>
          <w:rFonts w:ascii="Arial" w:eastAsia="Calibri" w:hAnsi="Arial" w:cs="Arial"/>
          <w:bCs/>
          <w:sz w:val="22"/>
          <w:lang w:val="es-CO"/>
        </w:rPr>
        <w:t xml:space="preserve">Para ilustrar lo anterior, valgámonos del siguiente ejemplo, si un proponente se presenta para los lotes 1 y 2 y aporta un (1) contrato que acredita la experiencia de esos dos lotes, este contrato deberá ser verificado respecto de la experiencia general y específica requerida para cada lote y el valor del presupuesto oficial a certificar corresponderá al </w:t>
      </w:r>
      <w:r w:rsidRPr="004F5ACB">
        <w:rPr>
          <w:rFonts w:ascii="Arial" w:eastAsia="Calibri" w:hAnsi="Arial" w:cs="Arial"/>
          <w:color w:val="000000"/>
          <w:sz w:val="22"/>
          <w:lang w:val="es-ES_tradnl"/>
        </w:rPr>
        <w:t xml:space="preserve">valor del presupuesto oficial del respectivo lote o grupo </w:t>
      </w:r>
      <w:r w:rsidRPr="004F5ACB">
        <w:rPr>
          <w:rFonts w:ascii="Arial" w:eastAsia="Calibri" w:hAnsi="Arial" w:cs="Arial"/>
          <w:bCs/>
          <w:sz w:val="22"/>
          <w:lang w:val="es-ES_tradnl"/>
        </w:rPr>
        <w:t xml:space="preserve">expresado en SMMLV de acuerdo con la tabla establecida en el numeral 3.5.7 del documento base, </w:t>
      </w:r>
      <w:r w:rsidRPr="004F5ACB">
        <w:rPr>
          <w:rFonts w:ascii="Arial" w:eastAsia="Calibri" w:hAnsi="Arial" w:cs="Arial"/>
          <w:bCs/>
          <w:sz w:val="22"/>
          <w:lang w:val="es-CO"/>
        </w:rPr>
        <w:t xml:space="preserve">sin que pueda dar lugar a descuentos por el valor acreditado en uno u otro lote. </w:t>
      </w:r>
      <w:r w:rsidRPr="004F5ACB">
        <w:rPr>
          <w:rFonts w:ascii="Arial" w:eastAsia="Calibri" w:hAnsi="Arial" w:cs="Arial"/>
          <w:bCs/>
          <w:sz w:val="22"/>
          <w:lang w:val="es-ES_tradnl"/>
        </w:rPr>
        <w:t>De esta manera, si</w:t>
      </w:r>
      <w:r w:rsidRPr="004F5ACB">
        <w:rPr>
          <w:rFonts w:ascii="Arial" w:eastAsia="Calibri" w:hAnsi="Arial" w:cs="Arial"/>
          <w:bCs/>
          <w:sz w:val="22"/>
        </w:rPr>
        <w:t xml:space="preserve"> acredita la experiencia del lote 1 mediante un (1) contrato el valor ejecutado de dicho contrato debe ser verificado en relación con el 75% del valor del presupuesto oficial de obra expresado en SMMLV de dicho lote. Por su parte, si acredita experiencia para el lote 2 con el mismo contrato, el valor mínimo a certificar será del 75% del valor del presupuesto oficial de obra expresado en SMMLV del lote 2, </w:t>
      </w:r>
      <w:r w:rsidRPr="004F5ACB">
        <w:rPr>
          <w:rFonts w:ascii="Arial" w:eastAsia="Calibri" w:hAnsi="Arial" w:cs="Arial"/>
          <w:color w:val="000000"/>
          <w:sz w:val="22"/>
          <w:lang w:val="es-ES_tradnl"/>
        </w:rPr>
        <w:t xml:space="preserve">sin que haya lugar a exigir la sumatoria del valor del presupuesto oficial de todos lotes a los que se presente. </w:t>
      </w:r>
    </w:p>
    <w:p w14:paraId="2A9A0B8D" w14:textId="77777777" w:rsidR="00BE31E3" w:rsidRPr="004F5ACB" w:rsidRDefault="00BE31E3" w:rsidP="006E5488">
      <w:pPr>
        <w:spacing w:after="0"/>
        <w:ind w:firstLine="709"/>
        <w:rPr>
          <w:rFonts w:ascii="Arial" w:eastAsia="Calibri" w:hAnsi="Arial" w:cs="Arial"/>
          <w:bCs/>
          <w:sz w:val="22"/>
          <w:lang w:val="es-CO"/>
        </w:rPr>
      </w:pPr>
    </w:p>
    <w:bookmarkEnd w:id="11"/>
    <w:p w14:paraId="082C0CE7" w14:textId="77777777" w:rsidR="00650248" w:rsidRDefault="00650248" w:rsidP="006E5488">
      <w:pPr>
        <w:pStyle w:val="NormalWeb"/>
        <w:spacing w:before="0" w:beforeAutospacing="0" w:after="0" w:afterAutospacing="0"/>
        <w:rPr>
          <w:rFonts w:ascii="Arial" w:eastAsia="Calibri" w:hAnsi="Arial" w:cs="Arial"/>
          <w:b/>
          <w:sz w:val="22"/>
        </w:rPr>
      </w:pPr>
      <w:r>
        <w:rPr>
          <w:rFonts w:ascii="Arial" w:eastAsia="Calibri" w:hAnsi="Arial" w:cs="Arial"/>
          <w:b/>
          <w:sz w:val="22"/>
        </w:rPr>
        <w:t>3</w:t>
      </w:r>
      <w:r w:rsidRPr="001770E9">
        <w:rPr>
          <w:rFonts w:ascii="Arial" w:eastAsia="Calibri" w:hAnsi="Arial" w:cs="Arial"/>
          <w:b/>
          <w:sz w:val="22"/>
        </w:rPr>
        <w:t>. Respuest</w:t>
      </w:r>
      <w:r>
        <w:rPr>
          <w:rFonts w:ascii="Arial" w:eastAsia="Calibri" w:hAnsi="Arial" w:cs="Arial"/>
          <w:b/>
          <w:sz w:val="22"/>
        </w:rPr>
        <w:t>a</w:t>
      </w:r>
    </w:p>
    <w:p w14:paraId="1CF7A9BA" w14:textId="77777777" w:rsidR="00650248" w:rsidRPr="008E3D73" w:rsidRDefault="00650248" w:rsidP="00650248">
      <w:pPr>
        <w:tabs>
          <w:tab w:val="left" w:pos="426"/>
        </w:tabs>
        <w:spacing w:after="0" w:line="240" w:lineRule="auto"/>
        <w:rPr>
          <w:rFonts w:ascii="Arial" w:eastAsia="Calibri" w:hAnsi="Arial" w:cs="Arial"/>
          <w:b/>
          <w:sz w:val="22"/>
          <w:lang w:val="es-CO"/>
        </w:rPr>
      </w:pPr>
    </w:p>
    <w:p w14:paraId="55792293" w14:textId="57D0E8F1" w:rsidR="00DC345D" w:rsidRDefault="00DC345D" w:rsidP="00BE31E3">
      <w:pPr>
        <w:shd w:val="clear" w:color="auto" w:fill="FFFFFF"/>
        <w:spacing w:after="0" w:line="240" w:lineRule="auto"/>
        <w:ind w:left="709" w:right="709"/>
        <w:rPr>
          <w:rFonts w:ascii="Arial" w:eastAsia="Times New Roman" w:hAnsi="Arial" w:cs="Arial"/>
          <w:color w:val="000000" w:themeColor="text1"/>
          <w:sz w:val="21"/>
          <w:szCs w:val="21"/>
          <w:lang w:val="es-ES" w:eastAsia="es-MX"/>
        </w:rPr>
      </w:pPr>
      <w:bookmarkStart w:id="16" w:name="_Hlk57650395"/>
      <w:r w:rsidRPr="006E5488">
        <w:rPr>
          <w:rFonts w:ascii="Arial" w:eastAsia="Times New Roman" w:hAnsi="Arial" w:cs="Arial"/>
          <w:color w:val="000000" w:themeColor="text1"/>
          <w:sz w:val="21"/>
          <w:szCs w:val="21"/>
          <w:lang w:val="es-ES" w:eastAsia="es-MX"/>
        </w:rPr>
        <w:t xml:space="preserve">«En los pliegos tipo de infraestructura social, que están estructurados por lotes, ¿Para la acreditación de experiencia en el caso de que el oferente se presente a todos los lotes, se debe acreditar la experiencia para el lote de mayor valor o la sumatoria de todos los lotes en SMMLV? Por otro lado, amablemente solicito se aclare la acreditación de la experiencia, es decir, ¿si como proponentes deseamos participar a dos (02) o más grupos, es claro que se pueden acreditar los mismos contratos para los diferentes grupos; pero los SMMLV a acreditar </w:t>
      </w:r>
      <w:r w:rsidRPr="006E5488">
        <w:rPr>
          <w:rFonts w:ascii="Arial" w:eastAsia="Times New Roman" w:hAnsi="Arial" w:cs="Arial"/>
          <w:color w:val="000000" w:themeColor="text1"/>
          <w:sz w:val="21"/>
          <w:szCs w:val="21"/>
          <w:lang w:val="es-ES" w:eastAsia="es-MX"/>
        </w:rPr>
        <w:lastRenderedPageBreak/>
        <w:t>deben ser del lote o grupo o por la sumatoria de los lotes o grupos a los que se presenta oferta?».</w:t>
      </w:r>
    </w:p>
    <w:p w14:paraId="04854F81" w14:textId="77777777" w:rsidR="00BE31E3" w:rsidRPr="006E5488" w:rsidRDefault="00BE31E3" w:rsidP="006E5488">
      <w:pPr>
        <w:shd w:val="clear" w:color="auto" w:fill="FFFFFF"/>
        <w:spacing w:after="0" w:line="240" w:lineRule="auto"/>
        <w:ind w:left="709" w:right="709"/>
        <w:rPr>
          <w:rFonts w:ascii="Arial" w:eastAsia="Times New Roman" w:hAnsi="Arial" w:cs="Arial"/>
          <w:color w:val="000000" w:themeColor="text1"/>
          <w:sz w:val="21"/>
          <w:szCs w:val="21"/>
          <w:lang w:val="es-ES" w:eastAsia="es-MX"/>
        </w:rPr>
      </w:pPr>
    </w:p>
    <w:p w14:paraId="61E049BC" w14:textId="0B19D58E" w:rsidR="00BE31E3" w:rsidRPr="00BE31E3" w:rsidRDefault="00BE31E3" w:rsidP="006E5488">
      <w:pPr>
        <w:spacing w:after="120"/>
        <w:rPr>
          <w:rFonts w:ascii="Arial" w:eastAsia="Times New Roman" w:hAnsi="Arial" w:cs="Arial"/>
          <w:bCs/>
          <w:sz w:val="22"/>
          <w:lang w:val="es-CO" w:eastAsia="es-ES_tradnl"/>
        </w:rPr>
      </w:pPr>
      <w:r>
        <w:rPr>
          <w:rFonts w:ascii="Arial" w:eastAsia="Calibri" w:hAnsi="Arial" w:cs="Arial"/>
          <w:bCs/>
          <w:sz w:val="22"/>
          <w:lang w:val="es-CO"/>
        </w:rPr>
        <w:t>D</w:t>
      </w:r>
      <w:r w:rsidRPr="00BE31E3">
        <w:rPr>
          <w:rFonts w:ascii="Arial" w:eastAsia="Calibri" w:hAnsi="Arial" w:cs="Arial"/>
          <w:sz w:val="22"/>
          <w:lang w:val="es-CO"/>
        </w:rPr>
        <w:t xml:space="preserve">e acuerdo con </w:t>
      </w:r>
      <w:r w:rsidRPr="00BE31E3">
        <w:rPr>
          <w:rFonts w:ascii="Arial" w:eastAsia="Calibri" w:hAnsi="Arial" w:cs="Arial"/>
          <w:bCs/>
          <w:sz w:val="22"/>
          <w:lang w:val="es-ES_tradnl"/>
        </w:rPr>
        <w:t xml:space="preserve">las consideraciones expuestas, en los procesos estructurados por lotes el literal C del numeral 2.10 del documento base de los documentos tipo de infraestructura social señala que el proponente </w:t>
      </w:r>
      <w:r w:rsidRPr="00BE31E3">
        <w:rPr>
          <w:rFonts w:ascii="Arial" w:eastAsia="Calibri" w:hAnsi="Arial" w:cs="Arial"/>
          <w:sz w:val="22"/>
          <w:lang w:val="es-CO"/>
        </w:rPr>
        <w:t xml:space="preserve">podrá aportar mínimo uno (1) y máximo cinco (5) contratos para cada uno de los lotes o grupos o podrá allegar los mismos para todos o varios de ellos, sin perjuicio de lo previsto en las reglas de los criterios diferenciales por ser </w:t>
      </w:r>
      <w:proofErr w:type="spellStart"/>
      <w:r w:rsidRPr="00BE31E3">
        <w:rPr>
          <w:rFonts w:ascii="Arial" w:eastAsia="Calibri" w:hAnsi="Arial" w:cs="Arial"/>
          <w:sz w:val="22"/>
          <w:lang w:val="es-CO"/>
        </w:rPr>
        <w:t>Mipyme</w:t>
      </w:r>
      <w:proofErr w:type="spellEnd"/>
      <w:r w:rsidRPr="00BE31E3">
        <w:rPr>
          <w:rFonts w:ascii="Arial" w:eastAsia="Calibri" w:hAnsi="Arial" w:cs="Arial"/>
          <w:sz w:val="22"/>
          <w:lang w:val="es-CO"/>
        </w:rPr>
        <w:t xml:space="preserve"> y/o emprendimientos y empresas de mujeres. En la verificación del número de contratos frente al presupuesto oficial, el valor mínimo se certificará de acuerdo con al valor del Presupuesto Oficial del respectivo lote o grupo expresado en SMMLV de acuerdo con la tabla del numeral 3.5.7. Asimismo, el literal D indica que la experiencia que debe acreditar el proponente será la establecida de forma independiente para cada lote o grupo de acuerdo con las actividades definidas en la matriz </w:t>
      </w:r>
      <w:bookmarkStart w:id="17" w:name="_Hlk113801018"/>
      <w:r w:rsidRPr="00BE31E3">
        <w:rPr>
          <w:rFonts w:ascii="Arial" w:eastAsia="Calibri" w:hAnsi="Arial" w:cs="Arial"/>
          <w:sz w:val="22"/>
          <w:lang w:val="es-CO"/>
        </w:rPr>
        <w:t xml:space="preserve">de experiencia aplicable en el proyecto de infraestructura social </w:t>
      </w:r>
      <w:bookmarkEnd w:id="17"/>
      <w:r w:rsidRPr="00BE31E3">
        <w:rPr>
          <w:rFonts w:ascii="Arial" w:eastAsia="Calibri" w:hAnsi="Arial" w:cs="Arial"/>
          <w:sz w:val="22"/>
          <w:lang w:val="es-CO"/>
        </w:rPr>
        <w:t>en el literal A de la sección 3.5.1.</w:t>
      </w:r>
    </w:p>
    <w:p w14:paraId="7479A582" w14:textId="77777777" w:rsidR="00BE31E3" w:rsidRPr="00BE31E3" w:rsidRDefault="00BE31E3" w:rsidP="006E5488">
      <w:pPr>
        <w:spacing w:before="120" w:after="120"/>
        <w:ind w:firstLine="709"/>
        <w:rPr>
          <w:rFonts w:ascii="Arial" w:eastAsia="Calibri" w:hAnsi="Arial" w:cs="Arial"/>
          <w:sz w:val="22"/>
        </w:rPr>
      </w:pPr>
      <w:r w:rsidRPr="00BE31E3">
        <w:rPr>
          <w:rFonts w:ascii="Arial" w:eastAsia="Calibri" w:hAnsi="Arial" w:cs="Arial"/>
          <w:color w:val="000000"/>
          <w:sz w:val="22"/>
          <w:lang w:val="es-ES_tradnl"/>
        </w:rPr>
        <w:t>En concordancia con lo anterior, el literal C del numeral 3.5.1 señala que «[En los procesos estructurados por lotes o por grupos, el proponente podrá aportar mínimo uno (1) y máximo cinco (5) contratos para cada uno de los lotes o grupos o podrá allegar los mismos para todos los lotes o grupos]». Asimismo, el numeral 3.5.7. indica que «[En los procesos estructurados por lotes o por grupos, el valor mínimo a certificar debe ser en relación con el valor del Presupuesto Oficial del respectivo lote o grupo expresado en SMMLV]».</w:t>
      </w:r>
      <w:r w:rsidRPr="00BE31E3">
        <w:rPr>
          <w:rFonts w:ascii="Arial" w:eastAsia="Calibri" w:hAnsi="Arial" w:cs="Arial"/>
          <w:bCs/>
          <w:sz w:val="22"/>
        </w:rPr>
        <w:t xml:space="preserve"> </w:t>
      </w:r>
    </w:p>
    <w:p w14:paraId="79CF61DC" w14:textId="77777777" w:rsidR="00BE31E3" w:rsidRPr="00BE31E3" w:rsidRDefault="00BE31E3" w:rsidP="006E5488">
      <w:pPr>
        <w:spacing w:before="120" w:after="120"/>
        <w:ind w:firstLine="709"/>
        <w:rPr>
          <w:rFonts w:ascii="Arial" w:eastAsia="Calibri" w:hAnsi="Arial" w:cs="Arial"/>
          <w:bCs/>
          <w:sz w:val="22"/>
          <w:lang w:val="es-ES_tradnl"/>
        </w:rPr>
      </w:pPr>
      <w:r w:rsidRPr="00BE31E3">
        <w:rPr>
          <w:rFonts w:ascii="Arial" w:eastAsia="Calibri" w:hAnsi="Arial" w:cs="Arial"/>
          <w:sz w:val="22"/>
          <w:shd w:val="clear" w:color="auto" w:fill="FFFFFF"/>
          <w:lang w:val="es-ES_tradnl"/>
        </w:rPr>
        <w:t xml:space="preserve">De esta manera, para efectos de la acreditación de experiencia en los procesos estructurados por lote o grupos </w:t>
      </w:r>
      <w:r w:rsidRPr="00BE31E3">
        <w:rPr>
          <w:rFonts w:ascii="Arial" w:eastAsia="Calibri" w:hAnsi="Arial" w:cs="Arial"/>
          <w:sz w:val="22"/>
          <w:lang w:val="es-CO"/>
        </w:rPr>
        <w:t>el proponente podrá aportar el número máximo de contratos permitidos para cada uno de los lotes o grupos a los que se presente,</w:t>
      </w:r>
      <w:r w:rsidRPr="00BE31E3">
        <w:rPr>
          <w:rFonts w:ascii="Arial" w:eastAsia="Calibri" w:hAnsi="Arial" w:cs="Arial"/>
          <w:bCs/>
          <w:sz w:val="22"/>
          <w:lang w:val="es-ES_tradnl"/>
        </w:rPr>
        <w:t xml:space="preserve"> es decir, podrá </w:t>
      </w:r>
      <w:proofErr w:type="spellStart"/>
      <w:r w:rsidRPr="00BE31E3">
        <w:rPr>
          <w:rFonts w:ascii="Arial" w:eastAsia="Calibri" w:hAnsi="Arial" w:cs="Arial"/>
          <w:bCs/>
          <w:sz w:val="22"/>
          <w:lang w:val="es-ES_tradnl"/>
        </w:rPr>
        <w:t>allegar</w:t>
      </w:r>
      <w:proofErr w:type="spellEnd"/>
      <w:r w:rsidRPr="00BE31E3">
        <w:rPr>
          <w:rFonts w:ascii="Arial" w:eastAsia="Calibri" w:hAnsi="Arial" w:cs="Arial"/>
          <w:bCs/>
          <w:sz w:val="22"/>
          <w:lang w:val="es-ES_tradnl"/>
        </w:rPr>
        <w:t xml:space="preserve"> hasta 5 contratos para cada lote, sin perjuicio de las reglas sobre la acreditación de </w:t>
      </w:r>
      <w:proofErr w:type="spellStart"/>
      <w:r w:rsidRPr="00BE31E3">
        <w:rPr>
          <w:rFonts w:ascii="Arial" w:eastAsia="Calibri" w:hAnsi="Arial" w:cs="Arial"/>
          <w:bCs/>
          <w:sz w:val="22"/>
          <w:lang w:val="es-ES_tradnl"/>
        </w:rPr>
        <w:t>Mipyme</w:t>
      </w:r>
      <w:proofErr w:type="spellEnd"/>
      <w:r w:rsidRPr="00BE31E3">
        <w:rPr>
          <w:rFonts w:ascii="Arial" w:eastAsia="Calibri" w:hAnsi="Arial" w:cs="Arial"/>
          <w:bCs/>
          <w:sz w:val="22"/>
          <w:lang w:val="es-ES_tradnl"/>
        </w:rPr>
        <w:t xml:space="preserve"> y emprendimiento y empresas de mujeres. También podrá optar por allegar el mismo o varios contratos para todos o varios de los lotes o grupos, lo que significa que el contrato que aportó para un lote también podrá acreditar la experiencia respecto de otro lote o grupo, siempre que cumpla con los requisitos de experiencia general y específica exigidos para cada uno de ellos. </w:t>
      </w:r>
    </w:p>
    <w:p w14:paraId="23EA3C05" w14:textId="77777777" w:rsidR="00BE31E3" w:rsidRPr="00BE31E3" w:rsidRDefault="00BE31E3" w:rsidP="006E5488">
      <w:pPr>
        <w:spacing w:before="120" w:after="120"/>
        <w:ind w:firstLine="709"/>
        <w:rPr>
          <w:rFonts w:ascii="Arial" w:eastAsia="Calibri" w:hAnsi="Arial" w:cs="Arial"/>
          <w:bCs/>
          <w:sz w:val="22"/>
          <w:lang w:val="es-ES_tradnl"/>
        </w:rPr>
      </w:pPr>
      <w:r w:rsidRPr="00BE31E3">
        <w:rPr>
          <w:rFonts w:ascii="Arial" w:eastAsia="Calibri" w:hAnsi="Arial" w:cs="Arial"/>
          <w:bCs/>
          <w:sz w:val="22"/>
          <w:lang w:val="es-ES_tradnl"/>
        </w:rPr>
        <w:t xml:space="preserve">En todo caso, debe tenerse en cuenta que el número de contratos que aporte para cada lote o grupo impacta en relación con el valor </w:t>
      </w:r>
      <w:r w:rsidRPr="00BE31E3">
        <w:rPr>
          <w:rFonts w:ascii="Arial" w:eastAsia="Calibri" w:hAnsi="Arial" w:cs="Arial"/>
          <w:color w:val="000000"/>
          <w:sz w:val="22"/>
          <w:lang w:val="es-ES_tradnl"/>
        </w:rPr>
        <w:t xml:space="preserve">mínimo a certificar que debe ser en relación con el valor del presupuesto oficial del respectivo lote o grupo </w:t>
      </w:r>
      <w:r w:rsidRPr="00BE31E3">
        <w:rPr>
          <w:rFonts w:ascii="Arial" w:eastAsia="Calibri" w:hAnsi="Arial" w:cs="Arial"/>
          <w:bCs/>
          <w:sz w:val="22"/>
          <w:lang w:val="es-ES_tradnl"/>
        </w:rPr>
        <w:t xml:space="preserve">expresado en SMMLV de acuerdo con la tabla establecida en el numeral 3.5.7 del documento base. </w:t>
      </w:r>
      <w:r w:rsidRPr="00BE31E3">
        <w:rPr>
          <w:rFonts w:ascii="Arial" w:eastAsia="Calibri" w:hAnsi="Arial" w:cs="Arial"/>
          <w:bCs/>
          <w:sz w:val="22"/>
        </w:rPr>
        <w:t xml:space="preserve">Por ejemplo, quienes acrediten la experiencia de un lote mediante 1 ó 2 contratos, la sumatoria de los valores ejecutados debe ser superior al 75% del valor del presupuesto oficial de obra expresado en SMMLV del lote respectivo, independientemente que se presente a más de un lote. </w:t>
      </w:r>
    </w:p>
    <w:p w14:paraId="6C0D5279" w14:textId="77777777" w:rsidR="00BE31E3" w:rsidRPr="00BE31E3" w:rsidRDefault="00BE31E3" w:rsidP="00BE31E3">
      <w:pPr>
        <w:tabs>
          <w:tab w:val="left" w:pos="426"/>
        </w:tabs>
        <w:spacing w:before="120" w:after="0"/>
        <w:ind w:firstLine="709"/>
        <w:rPr>
          <w:rFonts w:ascii="Arial" w:eastAsia="Calibri" w:hAnsi="Arial" w:cs="Arial"/>
          <w:bCs/>
          <w:sz w:val="22"/>
          <w:lang w:val="es-CO"/>
        </w:rPr>
      </w:pPr>
      <w:r w:rsidRPr="00BE31E3">
        <w:rPr>
          <w:rFonts w:ascii="Arial" w:eastAsia="Calibri" w:hAnsi="Arial" w:cs="Arial"/>
          <w:bCs/>
          <w:sz w:val="22"/>
          <w:lang w:val="es-CO"/>
        </w:rPr>
        <w:lastRenderedPageBreak/>
        <w:t xml:space="preserve">En este sentido, en el evento en que el proponente opte por presentar un contrato para varios lotes o grupos, dicho contrato deberá ser verificado de forma independiente en cada lote en relación con los requisitos de experiencia exigidos para cada uno de ellos y teniendo en cuenta el número total de contratos presentados en el respectivo lote con el fin de establecer el valor mínimo a certificar. En otras palabras, cada lote será evaluado de forma independiente siendo indiferente si el contrato presentado se aportó para uno o varios lotes. Ello es así pues, como se expuso, las reglas de experiencia para procesos estructurados en lotes o grupos en el documento base determinan que su acreditación se realizará respecto de cada lote o grupo y </w:t>
      </w:r>
      <w:r w:rsidRPr="00BE31E3">
        <w:rPr>
          <w:rFonts w:ascii="Arial" w:eastAsia="Calibri" w:hAnsi="Arial" w:cs="Arial"/>
          <w:color w:val="000000"/>
          <w:sz w:val="22"/>
          <w:lang w:val="es-ES_tradnl"/>
        </w:rPr>
        <w:t xml:space="preserve">el valor mínimo a certificar debe ser en relación con el valor del Presupuesto Oficial del respectivo lote o grupo expresado en SMMLV, </w:t>
      </w:r>
      <w:r w:rsidRPr="00BE31E3">
        <w:rPr>
          <w:rFonts w:ascii="Arial" w:eastAsia="Calibri" w:hAnsi="Arial" w:cs="Arial"/>
          <w:bCs/>
          <w:sz w:val="22"/>
          <w:lang w:val="es-CO"/>
        </w:rPr>
        <w:t>sin que haya lugar a exigir la sumatoria del valor de todos los lote para el efecto.</w:t>
      </w:r>
    </w:p>
    <w:p w14:paraId="0EE1120E" w14:textId="77777777" w:rsidR="00056947" w:rsidRPr="00DC345D" w:rsidRDefault="00056947" w:rsidP="00717D3D">
      <w:pPr>
        <w:spacing w:after="0"/>
        <w:rPr>
          <w:rFonts w:ascii="Arial" w:eastAsia="Calibri" w:hAnsi="Arial" w:cs="Arial"/>
          <w:sz w:val="22"/>
          <w:lang w:val="es-ES_tradnl"/>
        </w:rPr>
      </w:pPr>
    </w:p>
    <w:p w14:paraId="61403772" w14:textId="77777777" w:rsidR="00650248" w:rsidRDefault="00650248" w:rsidP="00650248">
      <w:pPr>
        <w:spacing w:after="0"/>
        <w:rPr>
          <w:rFonts w:ascii="Times New Roman" w:eastAsia="Times New Roman" w:hAnsi="Times New Roman" w:cs="Times New Roman"/>
          <w:szCs w:val="24"/>
          <w:lang w:val="es-CO" w:eastAsia="es-ES_tradnl"/>
        </w:rPr>
      </w:pPr>
      <w:r w:rsidRPr="00446B03">
        <w:rPr>
          <w:rFonts w:ascii="Arial" w:eastAsia="Calibri" w:hAnsi="Arial" w:cs="Arial"/>
          <w:sz w:val="22"/>
          <w:lang w:val="es-CO"/>
        </w:rPr>
        <w:t>Este concepto tiene el alcance previsto en el artículo 28 del Código de Procedimiento Administrativo y de lo Contencioso Administrativo.</w:t>
      </w:r>
    </w:p>
    <w:p w14:paraId="779C03A7" w14:textId="77777777" w:rsidR="00650248" w:rsidRPr="00113653" w:rsidRDefault="00650248" w:rsidP="00650248">
      <w:pPr>
        <w:spacing w:after="0"/>
        <w:rPr>
          <w:rFonts w:ascii="Times New Roman" w:eastAsia="Times New Roman" w:hAnsi="Times New Roman" w:cs="Times New Roman"/>
          <w:szCs w:val="24"/>
          <w:lang w:val="es-CO" w:eastAsia="es-ES_tradnl"/>
        </w:rPr>
      </w:pPr>
    </w:p>
    <w:p w14:paraId="37450572" w14:textId="77777777" w:rsidR="00650248" w:rsidRPr="008E3D73" w:rsidRDefault="00650248" w:rsidP="00650248">
      <w:pPr>
        <w:rPr>
          <w:rFonts w:ascii="Arial" w:eastAsia="Times New Roman" w:hAnsi="Arial" w:cs="Arial"/>
          <w:sz w:val="22"/>
          <w:lang w:val="es-CO" w:eastAsia="es-CO"/>
        </w:rPr>
      </w:pPr>
      <w:r w:rsidRPr="00446B03">
        <w:rPr>
          <w:rFonts w:ascii="Arial" w:eastAsia="Times New Roman" w:hAnsi="Arial" w:cs="Arial"/>
          <w:sz w:val="22"/>
          <w:lang w:val="es-CO" w:eastAsia="es-CO"/>
        </w:rPr>
        <w:t>Atentamente,</w:t>
      </w:r>
      <w:bookmarkEnd w:id="1"/>
      <w:bookmarkEnd w:id="16"/>
    </w:p>
    <w:p w14:paraId="6DEEAFEB" w14:textId="19EA67B3" w:rsidR="00650248" w:rsidRDefault="00650248" w:rsidP="00650248">
      <w:pPr>
        <w:jc w:val="center"/>
        <w:rPr>
          <w:rFonts w:ascii="Arial" w:eastAsia="Times New Roman" w:hAnsi="Arial" w:cs="Arial"/>
          <w:color w:val="000000"/>
          <w:lang w:val="es-ES_tradnl" w:eastAsia="es-CO"/>
        </w:rPr>
      </w:pPr>
    </w:p>
    <w:p w14:paraId="2F425ACC" w14:textId="4007E5FE" w:rsidR="006E5488" w:rsidRPr="004212E5" w:rsidRDefault="006E5488" w:rsidP="00650248">
      <w:pPr>
        <w:jc w:val="center"/>
        <w:rPr>
          <w:rFonts w:ascii="Arial" w:eastAsia="Times New Roman" w:hAnsi="Arial" w:cs="Arial"/>
          <w:color w:val="000000"/>
          <w:lang w:val="es-ES_tradnl" w:eastAsia="es-CO"/>
        </w:rPr>
      </w:pPr>
      <w:r>
        <w:rPr>
          <w:noProof/>
        </w:rPr>
        <w:drawing>
          <wp:inline distT="0" distB="0" distL="0" distR="0" wp14:anchorId="0A0F25AE" wp14:editId="022546FA">
            <wp:extent cx="2534004" cy="981212"/>
            <wp:effectExtent l="0" t="0" r="0" b="9525"/>
            <wp:docPr id="5" name="Imagen 5"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Texto, Carta&#10;&#10;Descripción generada automáticamente"/>
                    <pic:cNvPicPr/>
                  </pic:nvPicPr>
                  <pic:blipFill>
                    <a:blip r:embed="rId8"/>
                    <a:stretch>
                      <a:fillRect/>
                    </a:stretch>
                  </pic:blipFill>
                  <pic:spPr>
                    <a:xfrm>
                      <a:off x="0" y="0"/>
                      <a:ext cx="2534004" cy="981212"/>
                    </a:xfrm>
                    <a:prstGeom prst="rect">
                      <a:avLst/>
                    </a:prstGeom>
                  </pic:spPr>
                </pic:pic>
              </a:graphicData>
            </a:graphic>
          </wp:inline>
        </w:drawing>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650248" w:rsidRPr="00530937" w14:paraId="0B44E433" w14:textId="77777777" w:rsidTr="009C207B">
        <w:trPr>
          <w:trHeight w:val="315"/>
        </w:trPr>
        <w:tc>
          <w:tcPr>
            <w:tcW w:w="812" w:type="dxa"/>
            <w:vAlign w:val="center"/>
          </w:tcPr>
          <w:p w14:paraId="78DFAB7A" w14:textId="77777777" w:rsidR="00650248" w:rsidRPr="00FD2DFE" w:rsidRDefault="00650248" w:rsidP="006E5488">
            <w:pPr>
              <w:spacing w:after="0"/>
              <w:rPr>
                <w:rFonts w:ascii="Arial" w:eastAsia="Times New Roman" w:hAnsi="Arial" w:cs="Arial"/>
                <w:sz w:val="16"/>
                <w:szCs w:val="16"/>
                <w:lang w:eastAsia="es-ES"/>
              </w:rPr>
            </w:pPr>
            <w:r w:rsidRPr="00FD2DFE">
              <w:rPr>
                <w:rFonts w:ascii="Arial" w:eastAsia="Times New Roman" w:hAnsi="Arial" w:cs="Arial"/>
                <w:sz w:val="16"/>
                <w:szCs w:val="16"/>
                <w:lang w:eastAsia="es-ES"/>
              </w:rPr>
              <w:t>Elaboró:</w:t>
            </w:r>
          </w:p>
        </w:tc>
        <w:tc>
          <w:tcPr>
            <w:tcW w:w="4413" w:type="dxa"/>
            <w:tcBorders>
              <w:bottom w:val="dotted" w:sz="4" w:space="0" w:color="7F7F7F" w:themeColor="text1" w:themeTint="80"/>
            </w:tcBorders>
            <w:vAlign w:val="center"/>
          </w:tcPr>
          <w:p w14:paraId="37C250BF" w14:textId="77777777" w:rsidR="00650248" w:rsidRPr="00FD2DFE" w:rsidRDefault="00650248" w:rsidP="006E5488">
            <w:pPr>
              <w:spacing w:after="0"/>
              <w:rPr>
                <w:rFonts w:ascii="Arial" w:eastAsia="Times New Roman" w:hAnsi="Arial" w:cs="Arial"/>
                <w:sz w:val="16"/>
                <w:szCs w:val="16"/>
                <w:lang w:eastAsia="es-ES"/>
              </w:rPr>
            </w:pPr>
            <w:r>
              <w:rPr>
                <w:rFonts w:ascii="Arial" w:eastAsia="Times New Roman" w:hAnsi="Arial" w:cs="Arial"/>
                <w:sz w:val="16"/>
                <w:szCs w:val="16"/>
                <w:lang w:eastAsia="es-ES"/>
              </w:rPr>
              <w:t>Juan Carlos Covilla Martínez</w:t>
            </w:r>
          </w:p>
          <w:p w14:paraId="34A078BE" w14:textId="77777777" w:rsidR="00650248" w:rsidRPr="00FD2DFE" w:rsidRDefault="00650248" w:rsidP="006E5488">
            <w:pPr>
              <w:spacing w:after="0"/>
              <w:rPr>
                <w:rFonts w:ascii="Arial" w:eastAsia="Times New Roman" w:hAnsi="Arial" w:cs="Arial"/>
                <w:sz w:val="16"/>
                <w:szCs w:val="16"/>
                <w:lang w:eastAsia="es-ES"/>
              </w:rPr>
            </w:pPr>
            <w:r w:rsidRPr="00FD2DFE">
              <w:rPr>
                <w:rFonts w:ascii="Arial" w:eastAsia="Times New Roman" w:hAnsi="Arial" w:cs="Arial"/>
                <w:sz w:val="16"/>
                <w:szCs w:val="16"/>
                <w:lang w:eastAsia="es-ES"/>
              </w:rPr>
              <w:t xml:space="preserve">Contratista de la Subdirección de Gestión Contractual  </w:t>
            </w:r>
          </w:p>
        </w:tc>
      </w:tr>
      <w:tr w:rsidR="00650248" w:rsidRPr="00530937" w14:paraId="424C1848" w14:textId="77777777" w:rsidTr="009C207B">
        <w:trPr>
          <w:trHeight w:val="330"/>
        </w:trPr>
        <w:tc>
          <w:tcPr>
            <w:tcW w:w="812" w:type="dxa"/>
            <w:vAlign w:val="center"/>
          </w:tcPr>
          <w:p w14:paraId="6CF31D77" w14:textId="77777777" w:rsidR="00650248" w:rsidRPr="00FD2DFE" w:rsidRDefault="00650248" w:rsidP="006E5488">
            <w:pPr>
              <w:spacing w:after="0"/>
              <w:rPr>
                <w:rFonts w:ascii="Arial" w:eastAsia="Times New Roman" w:hAnsi="Arial" w:cs="Arial"/>
                <w:sz w:val="16"/>
                <w:szCs w:val="16"/>
                <w:lang w:eastAsia="es-ES"/>
              </w:rPr>
            </w:pPr>
            <w:r w:rsidRPr="00FD2DFE">
              <w:rPr>
                <w:rFonts w:ascii="Arial" w:eastAsia="Times New Roman" w:hAnsi="Arial" w:cs="Arial"/>
                <w:sz w:val="16"/>
                <w:szCs w:val="16"/>
                <w:lang w:eastAsia="es-ES"/>
              </w:rPr>
              <w:t>Revisó:</w:t>
            </w:r>
          </w:p>
        </w:tc>
        <w:tc>
          <w:tcPr>
            <w:tcW w:w="4413" w:type="dxa"/>
            <w:tcBorders>
              <w:top w:val="dotted" w:sz="4" w:space="0" w:color="7F7F7F" w:themeColor="text1" w:themeTint="80"/>
              <w:bottom w:val="dotted" w:sz="4" w:space="0" w:color="7F7F7F" w:themeColor="text1" w:themeTint="80"/>
            </w:tcBorders>
            <w:vAlign w:val="center"/>
          </w:tcPr>
          <w:p w14:paraId="45BE4D20" w14:textId="7326555E" w:rsidR="00650248" w:rsidRPr="00FD2DFE" w:rsidRDefault="00DC345D" w:rsidP="006E5488">
            <w:pPr>
              <w:spacing w:after="0"/>
              <w:rPr>
                <w:rFonts w:ascii="Arial" w:hAnsi="Arial" w:cs="Arial"/>
                <w:sz w:val="16"/>
                <w:szCs w:val="16"/>
                <w:lang w:eastAsia="es-ES"/>
              </w:rPr>
            </w:pPr>
            <w:r>
              <w:rPr>
                <w:rFonts w:ascii="Arial" w:hAnsi="Arial" w:cs="Arial"/>
                <w:sz w:val="16"/>
                <w:szCs w:val="16"/>
                <w:lang w:eastAsia="es-ES"/>
              </w:rPr>
              <w:t>Alejandro Sarmiento</w:t>
            </w:r>
            <w:r w:rsidR="004F5ACB">
              <w:rPr>
                <w:rFonts w:ascii="Arial" w:hAnsi="Arial" w:cs="Arial"/>
                <w:sz w:val="16"/>
                <w:szCs w:val="16"/>
                <w:lang w:eastAsia="es-ES"/>
              </w:rPr>
              <w:t xml:space="preserve"> Cantillo</w:t>
            </w:r>
          </w:p>
          <w:p w14:paraId="30A197DF" w14:textId="43C75D84" w:rsidR="00650248" w:rsidRPr="00FD2DFE" w:rsidRDefault="004F5ACB" w:rsidP="006E5488">
            <w:pPr>
              <w:spacing w:after="0"/>
              <w:rPr>
                <w:rFonts w:ascii="Arial" w:eastAsia="Times New Roman" w:hAnsi="Arial" w:cs="Arial"/>
                <w:sz w:val="16"/>
                <w:szCs w:val="16"/>
                <w:lang w:eastAsia="es-ES"/>
              </w:rPr>
            </w:pPr>
            <w:r>
              <w:rPr>
                <w:rFonts w:ascii="Arial" w:hAnsi="Arial" w:cs="Arial"/>
                <w:sz w:val="16"/>
                <w:szCs w:val="16"/>
                <w:lang w:eastAsia="es-ES"/>
              </w:rPr>
              <w:t>Gestor T1-15</w:t>
            </w:r>
            <w:r w:rsidRPr="00FD2DFE">
              <w:rPr>
                <w:rFonts w:ascii="Arial" w:hAnsi="Arial" w:cs="Arial"/>
                <w:sz w:val="16"/>
                <w:szCs w:val="16"/>
                <w:lang w:eastAsia="es-ES"/>
              </w:rPr>
              <w:t xml:space="preserve"> </w:t>
            </w:r>
            <w:r w:rsidR="00650248" w:rsidRPr="00FD2DFE">
              <w:rPr>
                <w:rFonts w:ascii="Arial" w:hAnsi="Arial" w:cs="Arial"/>
                <w:sz w:val="16"/>
                <w:szCs w:val="16"/>
                <w:lang w:eastAsia="es-ES"/>
              </w:rPr>
              <w:t>de la Subdirección de Gestión Contractual</w:t>
            </w:r>
          </w:p>
        </w:tc>
      </w:tr>
      <w:tr w:rsidR="00650248" w:rsidRPr="00530937" w14:paraId="1C160D69" w14:textId="77777777" w:rsidTr="009C207B">
        <w:trPr>
          <w:trHeight w:val="300"/>
        </w:trPr>
        <w:tc>
          <w:tcPr>
            <w:tcW w:w="812" w:type="dxa"/>
            <w:vAlign w:val="center"/>
          </w:tcPr>
          <w:p w14:paraId="7C4C6CED" w14:textId="77777777" w:rsidR="00650248" w:rsidRPr="00FD2DFE" w:rsidRDefault="00650248" w:rsidP="006E5488">
            <w:pPr>
              <w:spacing w:after="0"/>
              <w:rPr>
                <w:rFonts w:ascii="Arial" w:eastAsia="Times New Roman" w:hAnsi="Arial" w:cs="Arial"/>
                <w:sz w:val="16"/>
                <w:szCs w:val="16"/>
                <w:lang w:eastAsia="es-ES"/>
              </w:rPr>
            </w:pPr>
            <w:r w:rsidRPr="00FD2DFE">
              <w:rPr>
                <w:rFonts w:ascii="Arial" w:eastAsia="Times New Roman" w:hAnsi="Arial" w:cs="Arial"/>
                <w:sz w:val="16"/>
                <w:szCs w:val="16"/>
                <w:lang w:eastAsia="es-ES"/>
              </w:rPr>
              <w:t>Aprobó:</w:t>
            </w:r>
          </w:p>
        </w:tc>
        <w:tc>
          <w:tcPr>
            <w:tcW w:w="4413" w:type="dxa"/>
            <w:tcBorders>
              <w:top w:val="dotted" w:sz="4" w:space="0" w:color="7F7F7F" w:themeColor="text1" w:themeTint="80"/>
              <w:bottom w:val="dotted" w:sz="4" w:space="0" w:color="7F7F7F" w:themeColor="text1" w:themeTint="80"/>
            </w:tcBorders>
            <w:vAlign w:val="center"/>
          </w:tcPr>
          <w:p w14:paraId="1AFBBA15" w14:textId="77777777" w:rsidR="00650248" w:rsidRPr="00530937" w:rsidRDefault="00650248" w:rsidP="006E5488">
            <w:pPr>
              <w:spacing w:after="0"/>
              <w:rPr>
                <w:rFonts w:ascii="Arial" w:eastAsia="Calibri" w:hAnsi="Arial" w:cs="Arial"/>
                <w:sz w:val="16"/>
                <w:szCs w:val="16"/>
                <w:lang w:val="pt-BR" w:eastAsia="es-ES"/>
              </w:rPr>
            </w:pPr>
            <w:r w:rsidRPr="00530937">
              <w:rPr>
                <w:rFonts w:ascii="Arial" w:eastAsia="Calibri" w:hAnsi="Arial" w:cs="Arial"/>
                <w:sz w:val="16"/>
                <w:szCs w:val="16"/>
                <w:lang w:val="pt-BR" w:eastAsia="es-ES"/>
              </w:rPr>
              <w:t>Juan David Marín López</w:t>
            </w:r>
          </w:p>
          <w:p w14:paraId="461E8661" w14:textId="77777777" w:rsidR="00650248" w:rsidRPr="00FD2DFE" w:rsidRDefault="00650248" w:rsidP="006E5488">
            <w:pPr>
              <w:spacing w:after="0"/>
              <w:rPr>
                <w:rFonts w:ascii="Arial" w:eastAsia="Times New Roman" w:hAnsi="Arial" w:cs="Arial"/>
                <w:sz w:val="16"/>
                <w:szCs w:val="16"/>
                <w:lang w:eastAsia="es-ES"/>
              </w:rPr>
            </w:pPr>
            <w:r w:rsidRPr="00530937">
              <w:rPr>
                <w:rFonts w:ascii="Arial" w:eastAsia="Calibri" w:hAnsi="Arial" w:cs="Arial"/>
                <w:sz w:val="16"/>
                <w:szCs w:val="16"/>
                <w:lang w:eastAsia="es-ES"/>
              </w:rPr>
              <w:t xml:space="preserve">Subdirector de Gestión Contractual </w:t>
            </w:r>
            <w:r w:rsidRPr="00530937">
              <w:rPr>
                <w:rFonts w:ascii="Arial" w:eastAsia="Calibri" w:hAnsi="Arial" w:cs="Arial"/>
                <w:sz w:val="16"/>
                <w:szCs w:val="16"/>
                <w:lang w:val="pt-BR" w:eastAsia="es-ES"/>
              </w:rPr>
              <w:t>(E)</w:t>
            </w:r>
          </w:p>
        </w:tc>
      </w:tr>
    </w:tbl>
    <w:p w14:paraId="150D2447" w14:textId="77777777" w:rsidR="00650248" w:rsidRPr="006674C1" w:rsidRDefault="00650248" w:rsidP="00650248">
      <w:pPr>
        <w:spacing w:after="120"/>
        <w:contextualSpacing/>
        <w:rPr>
          <w:rFonts w:ascii="Arial" w:eastAsia="Calibri" w:hAnsi="Arial" w:cs="Arial"/>
          <w:b/>
          <w:bCs/>
          <w:sz w:val="20"/>
          <w:szCs w:val="20"/>
        </w:rPr>
      </w:pPr>
    </w:p>
    <w:p w14:paraId="343574EF" w14:textId="77777777" w:rsidR="00650248" w:rsidRDefault="00650248" w:rsidP="00650248"/>
    <w:p w14:paraId="44E871F3" w14:textId="77777777" w:rsidR="00651A7A" w:rsidRDefault="00651A7A"/>
    <w:sectPr w:rsidR="00651A7A" w:rsidSect="00491E2D">
      <w:headerReference w:type="default" r:id="rId9"/>
      <w:footerReference w:type="default" r:id="rId10"/>
      <w:pgSz w:w="12240" w:h="15840"/>
      <w:pgMar w:top="408" w:right="1701" w:bottom="1276"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B8E3B2" w14:textId="77777777" w:rsidR="00505317" w:rsidRDefault="00505317" w:rsidP="00650248">
      <w:pPr>
        <w:spacing w:after="0" w:line="240" w:lineRule="auto"/>
      </w:pPr>
      <w:r>
        <w:separator/>
      </w:r>
    </w:p>
  </w:endnote>
  <w:endnote w:type="continuationSeparator" w:id="0">
    <w:p w14:paraId="603D7738" w14:textId="77777777" w:rsidR="00505317" w:rsidRDefault="00505317" w:rsidP="006502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A0BD72" w14:textId="77777777" w:rsidR="00412132" w:rsidRDefault="00000000" w:rsidP="00B6444C">
    <w:pPr>
      <w:pStyle w:val="Sinespaciado"/>
      <w:rPr>
        <w:rFonts w:ascii="Arial" w:hAnsi="Arial" w:cs="Arial"/>
        <w:sz w:val="18"/>
        <w:szCs w:val="18"/>
      </w:rPr>
    </w:pPr>
  </w:p>
  <w:p w14:paraId="0F90B196" w14:textId="77777777" w:rsidR="00412132" w:rsidRPr="005A79FE" w:rsidRDefault="00000000" w:rsidP="005A79FE">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17</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17</w:t>
    </w:r>
    <w:r w:rsidRPr="00084B97">
      <w:rPr>
        <w:rFonts w:ascii="Arial" w:hAnsi="Arial" w:cs="Arial"/>
        <w:b/>
        <w:bCs/>
        <w:color w:val="7F7F7F" w:themeColor="text1" w:themeTint="80"/>
        <w:sz w:val="16"/>
        <w:szCs w:val="16"/>
      </w:rPr>
      <w:fldChar w:fldCharType="end"/>
    </w:r>
  </w:p>
  <w:p w14:paraId="3CF97294" w14:textId="77777777" w:rsidR="00412132" w:rsidRDefault="00000000" w:rsidP="007B0854">
    <w:pPr>
      <w:pStyle w:val="Piedepgina"/>
      <w:jc w:val="center"/>
      <w:rPr>
        <w:lang w:val="es-ES"/>
      </w:rPr>
    </w:pPr>
    <w:r>
      <w:rPr>
        <w:noProof/>
        <w:lang w:val="es-CO" w:eastAsia="es-CO"/>
      </w:rPr>
      <w:drawing>
        <wp:inline distT="0" distB="0" distL="0" distR="0" wp14:anchorId="6673A726" wp14:editId="7DE0591B">
          <wp:extent cx="4241994" cy="595165"/>
          <wp:effectExtent l="0" t="0" r="6350" b="0"/>
          <wp:docPr id="79"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pic:cNvPicPr/>
                </pic:nvPicPr>
                <pic:blipFill>
                  <a:blip r:embed="rId1">
                    <a:extLst>
                      <a:ext uri="{28A0092B-C50C-407E-A947-70E740481C1C}">
                        <a14:useLocalDpi xmlns:a14="http://schemas.microsoft.com/office/drawing/2010/main" val="0"/>
                      </a:ext>
                    </a:extLst>
                  </a:blip>
                  <a:stretch>
                    <a:fillRect/>
                  </a:stretch>
                </pic:blipFill>
                <pic:spPr>
                  <a:xfrm>
                    <a:off x="0" y="0"/>
                    <a:ext cx="4241994" cy="595165"/>
                  </a:xfrm>
                  <a:prstGeom prst="rect">
                    <a:avLst/>
                  </a:prstGeom>
                </pic:spPr>
              </pic:pic>
            </a:graphicData>
          </a:graphic>
        </wp:inline>
      </w:drawing>
    </w:r>
  </w:p>
  <w:p w14:paraId="48AD5C40" w14:textId="77777777" w:rsidR="00412132" w:rsidRPr="007B0854" w:rsidRDefault="00000000" w:rsidP="00A5235A">
    <w:pPr>
      <w:pStyle w:val="Piedepgina"/>
      <w:spacing w:line="120" w:lineRule="auto"/>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1E9CCC" w14:textId="77777777" w:rsidR="00505317" w:rsidRDefault="00505317" w:rsidP="00650248">
      <w:pPr>
        <w:spacing w:after="0" w:line="240" w:lineRule="auto"/>
      </w:pPr>
      <w:r>
        <w:separator/>
      </w:r>
    </w:p>
  </w:footnote>
  <w:footnote w:type="continuationSeparator" w:id="0">
    <w:p w14:paraId="64499D36" w14:textId="77777777" w:rsidR="00505317" w:rsidRDefault="00505317" w:rsidP="00650248">
      <w:pPr>
        <w:spacing w:after="0" w:line="240" w:lineRule="auto"/>
      </w:pPr>
      <w:r>
        <w:continuationSeparator/>
      </w:r>
    </w:p>
  </w:footnote>
  <w:footnote w:id="1">
    <w:p w14:paraId="7C47EEF6" w14:textId="77777777" w:rsidR="004F5ACB" w:rsidRPr="00DF7627" w:rsidRDefault="004F5ACB" w:rsidP="006E5488">
      <w:pPr>
        <w:pStyle w:val="Textonotapie"/>
        <w:spacing w:after="0" w:line="240" w:lineRule="auto"/>
        <w:ind w:firstLine="708"/>
        <w:rPr>
          <w:rFonts w:ascii="Arial" w:hAnsi="Arial" w:cs="Arial"/>
          <w:sz w:val="19"/>
          <w:szCs w:val="19"/>
          <w:lang w:val="es-ES"/>
        </w:rPr>
      </w:pPr>
      <w:r w:rsidRPr="00DF7627">
        <w:rPr>
          <w:rStyle w:val="Refdenotaalpie"/>
          <w:rFonts w:ascii="Arial" w:hAnsi="Arial" w:cs="Arial"/>
          <w:sz w:val="19"/>
          <w:szCs w:val="19"/>
        </w:rPr>
        <w:footnoteRef/>
      </w:r>
      <w:r w:rsidRPr="00DF7627">
        <w:rPr>
          <w:rFonts w:ascii="Arial" w:hAnsi="Arial" w:cs="Arial"/>
          <w:sz w:val="19"/>
          <w:szCs w:val="19"/>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sidRPr="00DF7627">
        <w:rPr>
          <w:rFonts w:ascii="Arial" w:hAnsi="Arial" w:cs="Arial"/>
          <w:i/>
          <w:iCs/>
          <w:sz w:val="19"/>
          <w:szCs w:val="19"/>
        </w:rPr>
        <w:t xml:space="preserve">ibidem </w:t>
      </w:r>
      <w:r w:rsidRPr="00DF7627">
        <w:rPr>
          <w:rFonts w:ascii="Arial" w:hAnsi="Arial" w:cs="Arial"/>
          <w:sz w:val="19"/>
          <w:szCs w:val="19"/>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footnote>
  <w:footnote w:id="2">
    <w:p w14:paraId="6EA73C44" w14:textId="77777777" w:rsidR="004F5ACB" w:rsidRPr="00DF7627" w:rsidRDefault="004F5ACB" w:rsidP="006E5488">
      <w:pPr>
        <w:pStyle w:val="Textonotapie"/>
        <w:spacing w:line="240" w:lineRule="auto"/>
        <w:ind w:firstLine="708"/>
        <w:rPr>
          <w:rFonts w:ascii="Arial" w:hAnsi="Arial" w:cs="Arial"/>
          <w:sz w:val="19"/>
          <w:szCs w:val="19"/>
        </w:rPr>
      </w:pPr>
      <w:r w:rsidRPr="00DF7627">
        <w:rPr>
          <w:rStyle w:val="Refdenotaalpie"/>
          <w:rFonts w:ascii="Arial" w:hAnsi="Arial" w:cs="Arial"/>
          <w:sz w:val="19"/>
          <w:szCs w:val="19"/>
        </w:rPr>
        <w:footnoteRef/>
      </w:r>
      <w:r w:rsidRPr="00DF7627">
        <w:rPr>
          <w:rFonts w:ascii="Arial" w:hAnsi="Arial" w:cs="Arial"/>
          <w:sz w:val="19"/>
          <w:szCs w:val="19"/>
        </w:rPr>
        <w:t xml:space="preserve"> </w:t>
      </w:r>
      <w:r w:rsidRPr="00DF7627">
        <w:rPr>
          <w:rFonts w:ascii="Arial" w:hAnsi="Arial" w:cs="Arial"/>
          <w:sz w:val="19"/>
          <w:szCs w:val="19"/>
          <w:lang w:val="es-CO"/>
        </w:rPr>
        <w:t xml:space="preserve">Ley 1882 de 2018: «Artículo 4. </w:t>
      </w:r>
      <w:r w:rsidRPr="00DF7627">
        <w:rPr>
          <w:rFonts w:ascii="Arial" w:hAnsi="Arial" w:cs="Arial"/>
          <w:b/>
          <w:bCs/>
          <w:sz w:val="19"/>
          <w:szCs w:val="19"/>
        </w:rPr>
        <w:t> </w:t>
      </w:r>
      <w:r w:rsidRPr="00DF7627">
        <w:rPr>
          <w:rFonts w:ascii="Arial" w:hAnsi="Arial" w:cs="Arial"/>
          <w:sz w:val="19"/>
          <w:szCs w:val="19"/>
        </w:rPr>
        <w:t>El Gobierno nacional adoptará documentos tipo para los pliegos de condiciones de los procesos de selección de obras públicas, interventoría para las obras públicas, interventoría para consultoría de estudios y diseños para obras públicas, consultoría en ingeniería para obras, los cuales deberán ser utilizados por todas las entidades sometidas al Estatuto General de la Contratación de la Administración Pública en los procesos de selección que adelanten. Dentro de los documentos tipo el Gobierno adoptará de manera general y con alcance obligatorio para todas las entidades sometidas al Estatuto General de Contratación de la Administración Pública, las condiciones habilitantes, así como los factores técnicos y económicos de escogencia, según corresponda a cada modalidad de selección y la ponderación precisa y detallada de los mismos, que deberán incluirse en los pliegos de condiciones, teniendo en cuenta la naturaleza y cuantía de los contratos. Para la adopción de esta reglamentación el Gobierno tendrá en cuenta las características propias de las regiones con el ánimo de promover el empleo local.</w:t>
      </w:r>
    </w:p>
    <w:p w14:paraId="20BFE1EF" w14:textId="77777777" w:rsidR="004F5ACB" w:rsidRPr="00DF7627" w:rsidRDefault="004F5ACB" w:rsidP="006E5488">
      <w:pPr>
        <w:pStyle w:val="Textonotapie"/>
        <w:spacing w:line="240" w:lineRule="auto"/>
        <w:ind w:firstLine="708"/>
        <w:rPr>
          <w:rFonts w:ascii="Arial" w:hAnsi="Arial" w:cs="Arial"/>
          <w:sz w:val="19"/>
          <w:szCs w:val="19"/>
          <w:lang w:val="es-CO"/>
        </w:rPr>
      </w:pPr>
      <w:r w:rsidRPr="00DF7627">
        <w:rPr>
          <w:rFonts w:ascii="Arial" w:hAnsi="Arial" w:cs="Arial"/>
          <w:sz w:val="19"/>
          <w:szCs w:val="19"/>
          <w:lang w:val="es-CO"/>
        </w:rPr>
        <w:t>»La facultad de adoptar documentos tipo la tendrá el Gobierno nacional, cuando lo considere necesario, en relación con otros contratos o procesos de selección.</w:t>
      </w:r>
    </w:p>
    <w:p w14:paraId="7C4B5095" w14:textId="77777777" w:rsidR="004F5ACB" w:rsidRPr="00DF7627" w:rsidRDefault="004F5ACB" w:rsidP="006E5488">
      <w:pPr>
        <w:pStyle w:val="Textonotapie"/>
        <w:spacing w:line="240" w:lineRule="auto"/>
        <w:ind w:firstLine="708"/>
        <w:rPr>
          <w:rFonts w:ascii="Arial" w:hAnsi="Arial" w:cs="Arial"/>
          <w:sz w:val="19"/>
          <w:szCs w:val="19"/>
          <w:lang w:val="es-CO"/>
        </w:rPr>
      </w:pPr>
      <w:r w:rsidRPr="00DF7627">
        <w:rPr>
          <w:rFonts w:ascii="Arial" w:hAnsi="Arial" w:cs="Arial"/>
          <w:sz w:val="19"/>
          <w:szCs w:val="19"/>
          <w:lang w:val="es-CO"/>
        </w:rPr>
        <w:t>»Los pliegos tipo se adoptarán por categorías de acuerdo con la cuantía de la contratación, según la reglamentación que expida el Gobierno nacional».</w:t>
      </w:r>
    </w:p>
    <w:p w14:paraId="705F5E42" w14:textId="77777777" w:rsidR="004F5ACB" w:rsidRPr="00DF7627" w:rsidRDefault="004F5ACB" w:rsidP="006E5488">
      <w:pPr>
        <w:pStyle w:val="Textonotapie"/>
        <w:spacing w:line="240" w:lineRule="auto"/>
        <w:rPr>
          <w:rFonts w:ascii="Arial" w:hAnsi="Arial" w:cs="Arial"/>
          <w:sz w:val="19"/>
          <w:szCs w:val="19"/>
          <w:lang w:val="es-CO"/>
        </w:rPr>
      </w:pPr>
    </w:p>
  </w:footnote>
  <w:footnote w:id="3">
    <w:p w14:paraId="15B00D2E" w14:textId="77777777" w:rsidR="004F5ACB" w:rsidRPr="00DF7627" w:rsidRDefault="004F5ACB" w:rsidP="006E5488">
      <w:pPr>
        <w:pStyle w:val="Textonotapie"/>
        <w:spacing w:line="240" w:lineRule="auto"/>
        <w:ind w:firstLine="709"/>
        <w:rPr>
          <w:rFonts w:ascii="Arial" w:hAnsi="Arial" w:cs="Arial"/>
          <w:sz w:val="19"/>
          <w:szCs w:val="19"/>
        </w:rPr>
      </w:pPr>
      <w:r w:rsidRPr="00DF7627">
        <w:rPr>
          <w:rStyle w:val="Refdenotaalpie"/>
          <w:rFonts w:ascii="Arial" w:hAnsi="Arial" w:cs="Arial"/>
          <w:sz w:val="19"/>
          <w:szCs w:val="19"/>
        </w:rPr>
        <w:footnoteRef/>
      </w:r>
      <w:r w:rsidRPr="00DF7627">
        <w:rPr>
          <w:rFonts w:ascii="Arial" w:hAnsi="Arial" w:cs="Arial"/>
          <w:sz w:val="19"/>
          <w:szCs w:val="19"/>
        </w:rPr>
        <w:t xml:space="preserve"> El artículo 1 de la Ley 2022 de 2020 modifica el artículo 4 de la Ley 1882 de 2018, el cual adiciona el parágrafo 7 al artículo 2 de la Ley 1150 de 2007 y dispone que: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1DF65349" w14:textId="77777777" w:rsidR="004F5ACB" w:rsidRPr="00DF7627" w:rsidRDefault="004F5ACB" w:rsidP="006E5488">
      <w:pPr>
        <w:pStyle w:val="Textonotapie"/>
        <w:spacing w:line="240" w:lineRule="auto"/>
        <w:ind w:firstLine="709"/>
        <w:rPr>
          <w:rFonts w:ascii="Arial" w:hAnsi="Arial" w:cs="Arial"/>
          <w:sz w:val="19"/>
          <w:szCs w:val="19"/>
        </w:rPr>
      </w:pPr>
      <w:r w:rsidRPr="00DF7627">
        <w:rPr>
          <w:rFonts w:ascii="Arial" w:hAnsi="Arial" w:cs="Arial"/>
          <w:sz w:val="19"/>
          <w:szCs w:val="19"/>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0DE5EC7E" w14:textId="77777777" w:rsidR="004F5ACB" w:rsidRPr="00DF7627" w:rsidRDefault="004F5ACB" w:rsidP="006E5488">
      <w:pPr>
        <w:pStyle w:val="Textonotapie"/>
        <w:spacing w:line="240" w:lineRule="auto"/>
        <w:ind w:firstLine="709"/>
        <w:rPr>
          <w:rFonts w:ascii="Arial" w:hAnsi="Arial" w:cs="Arial"/>
          <w:sz w:val="19"/>
          <w:szCs w:val="19"/>
        </w:rPr>
      </w:pPr>
      <w:r w:rsidRPr="00DF7627">
        <w:rPr>
          <w:rFonts w:ascii="Arial" w:hAnsi="Arial" w:cs="Arial"/>
          <w:sz w:val="19"/>
          <w:szCs w:val="19"/>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48AE5080" w14:textId="77777777" w:rsidR="004F5ACB" w:rsidRPr="00DF7627" w:rsidRDefault="004F5ACB" w:rsidP="006E5488">
      <w:pPr>
        <w:pStyle w:val="Textonotapie"/>
        <w:spacing w:line="240" w:lineRule="auto"/>
        <w:ind w:firstLine="709"/>
        <w:rPr>
          <w:rFonts w:ascii="Arial" w:hAnsi="Arial" w:cs="Arial"/>
          <w:sz w:val="19"/>
          <w:szCs w:val="19"/>
        </w:rPr>
      </w:pPr>
      <w:r w:rsidRPr="00DF7627">
        <w:rPr>
          <w:rFonts w:ascii="Arial" w:hAnsi="Arial" w:cs="Arial"/>
          <w:sz w:val="19"/>
          <w:szCs w:val="19"/>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62531737" w14:textId="77777777" w:rsidR="004F5ACB" w:rsidRPr="00DF7627" w:rsidRDefault="004F5ACB" w:rsidP="006E5488">
      <w:pPr>
        <w:pStyle w:val="Textonotapie"/>
        <w:spacing w:line="240" w:lineRule="auto"/>
        <w:ind w:firstLine="708"/>
        <w:rPr>
          <w:rFonts w:ascii="Arial" w:hAnsi="Arial" w:cs="Arial"/>
          <w:sz w:val="19"/>
          <w:szCs w:val="19"/>
        </w:rPr>
      </w:pPr>
      <w:r w:rsidRPr="00DF7627">
        <w:rPr>
          <w:rFonts w:ascii="Arial" w:hAnsi="Arial" w:cs="Arial"/>
          <w:sz w:val="19"/>
          <w:szCs w:val="19"/>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footnote>
  <w:footnote w:id="4">
    <w:p w14:paraId="28AE7538" w14:textId="77777777" w:rsidR="004F5ACB" w:rsidRPr="00DF7627" w:rsidRDefault="004F5ACB" w:rsidP="006E5488">
      <w:pPr>
        <w:pStyle w:val="Textonotapie"/>
        <w:spacing w:line="240" w:lineRule="auto"/>
        <w:ind w:firstLine="708"/>
        <w:rPr>
          <w:rFonts w:ascii="Arial" w:hAnsi="Arial" w:cs="Arial"/>
          <w:sz w:val="19"/>
          <w:szCs w:val="19"/>
          <w:lang w:val="es-ES"/>
        </w:rPr>
      </w:pPr>
      <w:r w:rsidRPr="00DF7627">
        <w:rPr>
          <w:rStyle w:val="Refdenotaalpie"/>
          <w:rFonts w:ascii="Arial" w:hAnsi="Arial" w:cs="Arial"/>
          <w:sz w:val="19"/>
          <w:szCs w:val="19"/>
        </w:rPr>
        <w:footnoteRef/>
      </w:r>
      <w:r w:rsidRPr="00DF7627">
        <w:rPr>
          <w:rFonts w:ascii="Arial" w:hAnsi="Arial" w:cs="Arial"/>
          <w:sz w:val="19"/>
          <w:szCs w:val="19"/>
        </w:rPr>
        <w:t xml:space="preserve"> </w:t>
      </w:r>
      <w:r w:rsidRPr="00DF7627">
        <w:rPr>
          <w:rFonts w:ascii="Arial" w:hAnsi="Arial" w:cs="Arial"/>
          <w:sz w:val="19"/>
          <w:szCs w:val="19"/>
        </w:rPr>
        <w:t>Código: CCE-EICP-GI-14. Versión 1</w:t>
      </w:r>
    </w:p>
  </w:footnote>
  <w:footnote w:id="5">
    <w:p w14:paraId="47D3AFD3" w14:textId="77777777" w:rsidR="004F5ACB" w:rsidRPr="00DF7627" w:rsidRDefault="004F5ACB" w:rsidP="006E5488">
      <w:pPr>
        <w:pStyle w:val="Textonotapie"/>
        <w:spacing w:line="240" w:lineRule="auto"/>
        <w:ind w:firstLine="709"/>
        <w:rPr>
          <w:rFonts w:ascii="Arial" w:hAnsi="Arial" w:cs="Arial"/>
          <w:sz w:val="19"/>
          <w:szCs w:val="19"/>
        </w:rPr>
      </w:pPr>
      <w:r w:rsidRPr="00DF7627">
        <w:rPr>
          <w:rStyle w:val="Refdenotaalpie"/>
          <w:rFonts w:ascii="Arial" w:hAnsi="Arial" w:cs="Arial"/>
          <w:sz w:val="19"/>
          <w:szCs w:val="19"/>
        </w:rPr>
        <w:footnoteRef/>
      </w:r>
      <w:r w:rsidRPr="00DF7627">
        <w:rPr>
          <w:rFonts w:ascii="Arial" w:hAnsi="Arial" w:cs="Arial"/>
          <w:sz w:val="19"/>
          <w:szCs w:val="19"/>
        </w:rPr>
        <w:t xml:space="preserve"> </w:t>
      </w:r>
      <w:r w:rsidRPr="00DF7627">
        <w:rPr>
          <w:rFonts w:ascii="Arial" w:hAnsi="Arial" w:cs="Arial"/>
          <w:sz w:val="19"/>
          <w:szCs w:val="19"/>
        </w:rPr>
        <w:t>«Artículo 6. Vigencia. La presente resolución rige a partir de su publicación y comenzará a aplicarse, de manera gradual y progresiva, en los procedimientos de selección de licitación de obra pública de infraestructura social, de acuerdo con el siguiente cronograma:</w:t>
      </w:r>
    </w:p>
    <w:p w14:paraId="1F0CFA43" w14:textId="77777777" w:rsidR="004F5ACB" w:rsidRPr="00DF7627" w:rsidRDefault="004F5ACB" w:rsidP="006E5488">
      <w:pPr>
        <w:pStyle w:val="Textonotapie"/>
        <w:spacing w:line="240" w:lineRule="auto"/>
        <w:ind w:firstLine="709"/>
        <w:rPr>
          <w:rFonts w:ascii="Arial" w:hAnsi="Arial" w:cs="Arial"/>
          <w:sz w:val="19"/>
          <w:szCs w:val="19"/>
        </w:rPr>
      </w:pPr>
      <w:r w:rsidRPr="00DF7627">
        <w:rPr>
          <w:rFonts w:ascii="Arial" w:hAnsi="Arial" w:cs="Arial"/>
          <w:sz w:val="19"/>
          <w:szCs w:val="19"/>
        </w:rPr>
        <w:t xml:space="preserve">»1. Las entidades de los sectores central y descentralizado de la Rama Ejecutiva del orden nacional deberán aplicar lo dispuesto en la resolución en los procedimientos de selección de licitación de obra pública de infraestructura social, cuyo aviso de convocatoria sea publicado a partir del 2 de noviembre de 2021. </w:t>
      </w:r>
    </w:p>
    <w:p w14:paraId="4FE99031" w14:textId="77777777" w:rsidR="004F5ACB" w:rsidRPr="00DF7627" w:rsidRDefault="004F5ACB" w:rsidP="006E5488">
      <w:pPr>
        <w:pStyle w:val="Textonotapie"/>
        <w:spacing w:line="240" w:lineRule="auto"/>
        <w:ind w:firstLine="709"/>
        <w:rPr>
          <w:rFonts w:ascii="Arial" w:hAnsi="Arial" w:cs="Arial"/>
          <w:sz w:val="19"/>
          <w:szCs w:val="19"/>
        </w:rPr>
      </w:pPr>
      <w:r w:rsidRPr="00DF7627">
        <w:rPr>
          <w:rFonts w:ascii="Arial" w:hAnsi="Arial" w:cs="Arial"/>
          <w:sz w:val="19"/>
          <w:szCs w:val="19"/>
        </w:rPr>
        <w:t xml:space="preserve">»2. Las entidades del sector central y del sector descentralizado de los niveles municipal y distrital de los municipios y distritos que sean capitales de departamentos deberán aplicar lo dispuesto en esta resolución en los procedimientos de selección de licitación de obra pública de infraestructura social, cuyo aviso de convocatoria sea publicado a partir del 1 de febrero de 2022. </w:t>
      </w:r>
    </w:p>
    <w:p w14:paraId="4E4D75F3" w14:textId="77777777" w:rsidR="004F5ACB" w:rsidRPr="00DF7627" w:rsidRDefault="004F5ACB" w:rsidP="006E5488">
      <w:pPr>
        <w:pStyle w:val="Textonotapie"/>
        <w:spacing w:line="240" w:lineRule="auto"/>
        <w:ind w:firstLine="709"/>
        <w:rPr>
          <w:rFonts w:ascii="Arial" w:hAnsi="Arial" w:cs="Arial"/>
          <w:sz w:val="19"/>
          <w:szCs w:val="19"/>
        </w:rPr>
      </w:pPr>
      <w:r w:rsidRPr="00DF7627">
        <w:rPr>
          <w:rFonts w:ascii="Arial" w:hAnsi="Arial" w:cs="Arial"/>
          <w:sz w:val="19"/>
          <w:szCs w:val="19"/>
        </w:rPr>
        <w:t xml:space="preserve">»3. Las entidades del sector central y del sector descentralizado del nivel departamental, así como las de los municipios categorías especial, 1, 2 y 3, no cobijadas por los anteriores numerales del presente artículo, deberán aplicar lo dispuesto en esta resolución en los procedimientos de selección de licitación de obra pública de infraestructura social, cuyo aviso de convocatoria sea publicado a partir del 1 de marzo de 2022. </w:t>
      </w:r>
    </w:p>
    <w:p w14:paraId="0CB2D66E" w14:textId="77777777" w:rsidR="004F5ACB" w:rsidRPr="00DF7627" w:rsidRDefault="004F5ACB" w:rsidP="006E5488">
      <w:pPr>
        <w:pStyle w:val="Textonotapie"/>
        <w:spacing w:line="240" w:lineRule="auto"/>
        <w:ind w:firstLine="709"/>
        <w:rPr>
          <w:rFonts w:ascii="Arial" w:hAnsi="Arial" w:cs="Arial"/>
          <w:sz w:val="19"/>
          <w:szCs w:val="19"/>
        </w:rPr>
      </w:pPr>
      <w:r w:rsidRPr="00DF7627">
        <w:rPr>
          <w:rFonts w:ascii="Arial" w:hAnsi="Arial" w:cs="Arial"/>
          <w:sz w:val="19"/>
          <w:szCs w:val="19"/>
        </w:rPr>
        <w:t xml:space="preserve">»4. Las entidades del sector central y del sector descentralizado del nivel municipal, en las categorías 4, 5 y 6, al igual que las demás entidades estatales regidas por el Estatuto General de Contratación de la Administración Pública no cobijadas por los anteriores numerales del presente artículo, deberán aplicar lo dispuesto en esta resolución en los procedimientos de selección de licitación de obra pública de infraestructura social, cuyo aviso de convocatoria sea publicado a partir del 1 de abril de 2022. </w:t>
      </w:r>
    </w:p>
    <w:p w14:paraId="43D8E3B2" w14:textId="77777777" w:rsidR="004F5ACB" w:rsidRPr="00DF7627" w:rsidRDefault="004F5ACB" w:rsidP="006E5488">
      <w:pPr>
        <w:pStyle w:val="Textonotapie"/>
        <w:spacing w:line="240" w:lineRule="auto"/>
        <w:ind w:firstLine="709"/>
        <w:rPr>
          <w:rFonts w:ascii="Arial" w:hAnsi="Arial" w:cs="Arial"/>
          <w:sz w:val="19"/>
          <w:szCs w:val="19"/>
        </w:rPr>
      </w:pPr>
      <w:r w:rsidRPr="00DF7627">
        <w:rPr>
          <w:rFonts w:ascii="Arial" w:hAnsi="Arial" w:cs="Arial"/>
          <w:sz w:val="19"/>
          <w:szCs w:val="19"/>
        </w:rPr>
        <w:t>»Parágrafo. La aplicación de los documentos tipo de licitación de obra pública de infraestructura social en los procesos de selección comienza a ser obligatoria para las entidades estatales de acuerdo con lo dispuesto en este artículo. Esto sin perjuicio de que las entidades estatales, en el marco de la autonomía y discrecionalidad que les asiste, a modo de buena práctica contractual, decidan acoger el contenido de los documentos tipo en los procesos de selección que adelanten antes de las fechas señaladas».</w:t>
      </w:r>
    </w:p>
  </w:footnote>
  <w:footnote w:id="6">
    <w:p w14:paraId="72A4042B" w14:textId="77777777" w:rsidR="004F5ACB" w:rsidRPr="00DF7627" w:rsidRDefault="004F5ACB" w:rsidP="006E5488">
      <w:pPr>
        <w:pStyle w:val="Textonotapie"/>
        <w:spacing w:line="240" w:lineRule="auto"/>
        <w:ind w:firstLine="709"/>
        <w:rPr>
          <w:rFonts w:ascii="Arial" w:hAnsi="Arial" w:cs="Arial"/>
          <w:sz w:val="19"/>
          <w:szCs w:val="19"/>
          <w:lang w:val="es-CO"/>
        </w:rPr>
      </w:pPr>
      <w:r w:rsidRPr="00DF7627">
        <w:rPr>
          <w:rStyle w:val="Refdenotaalpie"/>
          <w:rFonts w:ascii="Arial" w:hAnsi="Arial" w:cs="Arial"/>
          <w:sz w:val="19"/>
          <w:szCs w:val="19"/>
        </w:rPr>
        <w:footnoteRef/>
      </w:r>
      <w:r w:rsidRPr="00DF7627">
        <w:rPr>
          <w:rFonts w:ascii="Arial" w:hAnsi="Arial" w:cs="Arial"/>
          <w:sz w:val="19"/>
          <w:szCs w:val="19"/>
        </w:rPr>
        <w:t xml:space="preserve"> </w:t>
      </w:r>
      <w:r w:rsidRPr="00DF7627">
        <w:rPr>
          <w:rFonts w:ascii="Arial" w:hAnsi="Arial" w:cs="Arial"/>
          <w:sz w:val="19"/>
          <w:szCs w:val="19"/>
          <w:lang w:val="es-CO"/>
        </w:rPr>
        <w:t xml:space="preserve">Es importante indicar que con la expedición de la Resolución 275 del 24 de junio de 2022 se unificó la regla referente la acreditación y combinación de experiencia para todos los documentos tipo. Para estos efectos, en el literal A del numeral 3.5.2 de los documentos tipo de infraestructura social se estableció que </w:t>
      </w:r>
      <w:r w:rsidRPr="00DF7627">
        <w:rPr>
          <w:rFonts w:ascii="Arial" w:eastAsia="Times New Roman" w:hAnsi="Arial" w:cs="Arial"/>
          <w:iCs/>
          <w:color w:val="000000"/>
          <w:sz w:val="19"/>
          <w:szCs w:val="19"/>
          <w:lang w:val="es-CO" w:eastAsia="es-ES"/>
        </w:rPr>
        <w:t xml:space="preserve">en el caso que eventualmente se soliciten combinaciones de diferentes actividades a contratar con una misma o diferentes matrices de experiencia, la entidad identificará y definirá la actividad principal o de mayor relevancia y la actividad secundaria o accesoria a la principal, de acuerdo con las características del proyecto en particular y teniendo en cuenta los lineamientos señalados en dicho numeral. </w:t>
      </w:r>
      <w:r w:rsidRPr="00DF7627">
        <w:rPr>
          <w:rFonts w:ascii="Arial" w:hAnsi="Arial" w:cs="Arial"/>
          <w:sz w:val="19"/>
          <w:szCs w:val="19"/>
          <w:lang w:val="es-CO"/>
        </w:rPr>
        <w:t xml:space="preserve"> </w:t>
      </w:r>
    </w:p>
  </w:footnote>
  <w:footnote w:id="7">
    <w:p w14:paraId="1940E407" w14:textId="77777777" w:rsidR="004F5ACB" w:rsidRPr="00DF7627" w:rsidRDefault="004F5ACB" w:rsidP="00DF7627">
      <w:pPr>
        <w:spacing w:after="0" w:line="240" w:lineRule="auto"/>
        <w:ind w:firstLine="709"/>
        <w:rPr>
          <w:rFonts w:ascii="Arial" w:eastAsia="Arial" w:hAnsi="Arial" w:cs="Arial"/>
          <w:b/>
          <w:sz w:val="19"/>
          <w:szCs w:val="19"/>
        </w:rPr>
      </w:pPr>
      <w:r w:rsidRPr="00DF7627">
        <w:rPr>
          <w:rStyle w:val="Refdenotaalpie"/>
          <w:rFonts w:ascii="Arial" w:hAnsi="Arial" w:cs="Arial"/>
          <w:sz w:val="19"/>
          <w:szCs w:val="19"/>
        </w:rPr>
        <w:footnoteRef/>
      </w:r>
      <w:r w:rsidRPr="00DF7627">
        <w:rPr>
          <w:rFonts w:ascii="Arial" w:hAnsi="Arial" w:cs="Arial"/>
          <w:sz w:val="19"/>
          <w:szCs w:val="19"/>
        </w:rPr>
        <w:t xml:space="preserve"> </w:t>
      </w:r>
      <w:r w:rsidRPr="00DF7627">
        <w:rPr>
          <w:rFonts w:ascii="Arial" w:eastAsia="Arial" w:hAnsi="Arial" w:cs="Arial"/>
          <w:sz w:val="19"/>
          <w:szCs w:val="19"/>
        </w:rPr>
        <w:t>«3.5.7.</w:t>
      </w:r>
      <w:r w:rsidRPr="00DF7627">
        <w:rPr>
          <w:rFonts w:ascii="Arial" w:eastAsia="Arial" w:hAnsi="Arial" w:cs="Arial"/>
          <w:bCs/>
          <w:sz w:val="19"/>
          <w:szCs w:val="19"/>
        </w:rPr>
        <w:t>RELACIÓN DE LOS CONTRATOS FRENTE AL PRESUPUESTO OFICIAL</w:t>
      </w:r>
    </w:p>
    <w:p w14:paraId="6978A480" w14:textId="77777777" w:rsidR="004F5ACB" w:rsidRPr="00DF7627" w:rsidRDefault="004F5ACB" w:rsidP="00DF7627">
      <w:pPr>
        <w:spacing w:after="0" w:line="240" w:lineRule="auto"/>
        <w:rPr>
          <w:rFonts w:ascii="Arial" w:hAnsi="Arial" w:cs="Arial"/>
          <w:color w:val="000000"/>
          <w:sz w:val="19"/>
          <w:szCs w:val="19"/>
        </w:rPr>
      </w:pPr>
      <w:r w:rsidRPr="00DF7627">
        <w:rPr>
          <w:rFonts w:ascii="Arial" w:hAnsi="Arial" w:cs="Arial"/>
          <w:color w:val="000000"/>
          <w:sz w:val="19"/>
          <w:szCs w:val="19"/>
        </w:rPr>
        <w:t>La verificación del número de contratos para acreditar la experiencia se realiza de la siguiente manera:</w:t>
      </w:r>
    </w:p>
    <w:p w14:paraId="544BB909" w14:textId="77777777" w:rsidR="004F5ACB" w:rsidRPr="00DF7627" w:rsidRDefault="004F5ACB" w:rsidP="00DF7627">
      <w:pPr>
        <w:spacing w:after="0" w:line="240" w:lineRule="auto"/>
        <w:rPr>
          <w:rFonts w:ascii="Arial" w:hAnsi="Arial" w:cs="Arial"/>
          <w:color w:val="000000"/>
          <w:sz w:val="19"/>
          <w:szCs w:val="19"/>
        </w:rPr>
      </w:pPr>
    </w:p>
    <w:tbl>
      <w:tblPr>
        <w:tblW w:w="0" w:type="auto"/>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047"/>
        <w:gridCol w:w="4182"/>
      </w:tblGrid>
      <w:tr w:rsidR="004F5ACB" w:rsidRPr="00DF7627" w14:paraId="26F8290D" w14:textId="77777777" w:rsidTr="007E79BA">
        <w:trPr>
          <w:trHeight w:val="774"/>
          <w:tblHeader/>
        </w:trPr>
        <w:tc>
          <w:tcPr>
            <w:tcW w:w="3047" w:type="dxa"/>
            <w:tcBorders>
              <w:top w:val="double" w:sz="4" w:space="0" w:color="auto"/>
              <w:left w:val="double" w:sz="4" w:space="0" w:color="auto"/>
              <w:bottom w:val="single" w:sz="4" w:space="0" w:color="000000"/>
              <w:right w:val="single" w:sz="4" w:space="0" w:color="000000"/>
            </w:tcBorders>
            <w:shd w:val="clear" w:color="auto" w:fill="404040"/>
            <w:vAlign w:val="center"/>
            <w:hideMark/>
          </w:tcPr>
          <w:p w14:paraId="780675BE" w14:textId="77777777" w:rsidR="004F5ACB" w:rsidRPr="00DF7627" w:rsidRDefault="004F5ACB" w:rsidP="00DF7627">
            <w:pPr>
              <w:spacing w:after="0" w:line="240" w:lineRule="auto"/>
              <w:jc w:val="center"/>
              <w:rPr>
                <w:rFonts w:ascii="Arial" w:hAnsi="Arial" w:cs="Arial"/>
                <w:b/>
                <w:bCs/>
                <w:color w:val="FFFFFF"/>
                <w:sz w:val="19"/>
                <w:szCs w:val="19"/>
                <w:lang w:val="es-ES"/>
              </w:rPr>
            </w:pPr>
            <w:r w:rsidRPr="00DF7627">
              <w:rPr>
                <w:rFonts w:ascii="Arial" w:hAnsi="Arial" w:cs="Arial"/>
                <w:b/>
                <w:bCs/>
                <w:color w:val="FFFFFF"/>
                <w:sz w:val="19"/>
                <w:szCs w:val="19"/>
                <w:lang w:val="es-ES"/>
              </w:rPr>
              <w:t>Número de contratos con los cuales el Proponente cumple la experiencia acreditada</w:t>
            </w:r>
          </w:p>
        </w:tc>
        <w:tc>
          <w:tcPr>
            <w:tcW w:w="4182" w:type="dxa"/>
            <w:tcBorders>
              <w:top w:val="double" w:sz="4" w:space="0" w:color="auto"/>
              <w:left w:val="single" w:sz="4" w:space="0" w:color="000000"/>
              <w:bottom w:val="single" w:sz="4" w:space="0" w:color="000000"/>
              <w:right w:val="double" w:sz="4" w:space="0" w:color="auto"/>
            </w:tcBorders>
            <w:shd w:val="clear" w:color="auto" w:fill="404040"/>
            <w:vAlign w:val="center"/>
            <w:hideMark/>
          </w:tcPr>
          <w:p w14:paraId="2ADFF44F" w14:textId="77777777" w:rsidR="004F5ACB" w:rsidRPr="00DF7627" w:rsidRDefault="004F5ACB" w:rsidP="00DF7627">
            <w:pPr>
              <w:spacing w:after="0" w:line="240" w:lineRule="auto"/>
              <w:jc w:val="center"/>
              <w:rPr>
                <w:rFonts w:ascii="Arial" w:hAnsi="Arial" w:cs="Arial"/>
                <w:b/>
                <w:bCs/>
                <w:color w:val="FFFFFF"/>
                <w:sz w:val="19"/>
                <w:szCs w:val="19"/>
                <w:lang w:val="es-ES"/>
              </w:rPr>
            </w:pPr>
            <w:proofErr w:type="gramStart"/>
            <w:r w:rsidRPr="00DF7627">
              <w:rPr>
                <w:rFonts w:ascii="Arial" w:hAnsi="Arial" w:cs="Arial"/>
                <w:b/>
                <w:bCs/>
                <w:color w:val="FFFFFF"/>
                <w:sz w:val="19"/>
                <w:szCs w:val="19"/>
                <w:lang w:val="es-ES"/>
              </w:rPr>
              <w:t>Valor mínimo a certificar</w:t>
            </w:r>
            <w:proofErr w:type="gramEnd"/>
          </w:p>
          <w:p w14:paraId="6CAC3EF5" w14:textId="77777777" w:rsidR="004F5ACB" w:rsidRPr="00DF7627" w:rsidRDefault="004F5ACB" w:rsidP="00DF7627">
            <w:pPr>
              <w:spacing w:after="0" w:line="240" w:lineRule="auto"/>
              <w:jc w:val="center"/>
              <w:rPr>
                <w:rFonts w:ascii="Arial" w:hAnsi="Arial" w:cs="Arial"/>
                <w:b/>
                <w:bCs/>
                <w:color w:val="FFFFFF"/>
                <w:sz w:val="19"/>
                <w:szCs w:val="19"/>
                <w:lang w:val="es-ES"/>
              </w:rPr>
            </w:pPr>
            <w:r w:rsidRPr="00DF7627">
              <w:rPr>
                <w:rFonts w:ascii="Arial" w:hAnsi="Arial" w:cs="Arial"/>
                <w:b/>
                <w:bCs/>
                <w:color w:val="FFFFFF"/>
                <w:sz w:val="19"/>
                <w:szCs w:val="19"/>
                <w:lang w:val="es-ES"/>
              </w:rPr>
              <w:t>(como % del Presupuesto Oficial de obra expresado en SMMLV)</w:t>
            </w:r>
          </w:p>
        </w:tc>
      </w:tr>
      <w:tr w:rsidR="004F5ACB" w:rsidRPr="00DF7627" w14:paraId="5CE362DF" w14:textId="77777777" w:rsidTr="007E79BA">
        <w:trPr>
          <w:trHeight w:val="267"/>
        </w:trPr>
        <w:tc>
          <w:tcPr>
            <w:tcW w:w="3047" w:type="dxa"/>
            <w:tcBorders>
              <w:top w:val="single" w:sz="4" w:space="0" w:color="000000"/>
              <w:left w:val="double" w:sz="4" w:space="0" w:color="auto"/>
              <w:bottom w:val="single" w:sz="4" w:space="0" w:color="000000"/>
              <w:right w:val="single" w:sz="4" w:space="0" w:color="000000"/>
            </w:tcBorders>
            <w:vAlign w:val="center"/>
            <w:hideMark/>
          </w:tcPr>
          <w:p w14:paraId="194BAEDE" w14:textId="77777777" w:rsidR="004F5ACB" w:rsidRPr="00DF7627" w:rsidRDefault="004F5ACB" w:rsidP="00DF7627">
            <w:pPr>
              <w:spacing w:after="0" w:line="240" w:lineRule="auto"/>
              <w:jc w:val="center"/>
              <w:rPr>
                <w:rFonts w:ascii="Arial" w:hAnsi="Arial" w:cs="Arial"/>
                <w:sz w:val="19"/>
                <w:szCs w:val="19"/>
                <w:lang w:val="es-ES"/>
              </w:rPr>
            </w:pPr>
            <w:r w:rsidRPr="00DF7627">
              <w:rPr>
                <w:rFonts w:ascii="Arial" w:hAnsi="Arial" w:cs="Arial"/>
                <w:sz w:val="19"/>
                <w:szCs w:val="19"/>
                <w:lang w:val="es-ES"/>
              </w:rPr>
              <w:t>De 1 hasta 2</w:t>
            </w:r>
          </w:p>
        </w:tc>
        <w:tc>
          <w:tcPr>
            <w:tcW w:w="4182" w:type="dxa"/>
            <w:tcBorders>
              <w:top w:val="single" w:sz="4" w:space="0" w:color="000000"/>
              <w:left w:val="single" w:sz="4" w:space="0" w:color="000000"/>
              <w:bottom w:val="single" w:sz="4" w:space="0" w:color="000000"/>
              <w:right w:val="double" w:sz="4" w:space="0" w:color="auto"/>
            </w:tcBorders>
            <w:vAlign w:val="center"/>
            <w:hideMark/>
          </w:tcPr>
          <w:p w14:paraId="078037A5" w14:textId="77777777" w:rsidR="004F5ACB" w:rsidRPr="00DF7627" w:rsidRDefault="004F5ACB" w:rsidP="00DF7627">
            <w:pPr>
              <w:spacing w:after="0" w:line="240" w:lineRule="auto"/>
              <w:jc w:val="center"/>
              <w:rPr>
                <w:rFonts w:ascii="Arial" w:hAnsi="Arial" w:cs="Arial"/>
                <w:sz w:val="19"/>
                <w:szCs w:val="19"/>
                <w:lang w:val="es-ES"/>
              </w:rPr>
            </w:pPr>
            <w:r w:rsidRPr="00DF7627">
              <w:rPr>
                <w:rFonts w:ascii="Arial" w:hAnsi="Arial" w:cs="Arial"/>
                <w:sz w:val="19"/>
                <w:szCs w:val="19"/>
                <w:lang w:val="es-ES"/>
              </w:rPr>
              <w:t>75 %</w:t>
            </w:r>
          </w:p>
        </w:tc>
      </w:tr>
      <w:tr w:rsidR="004F5ACB" w:rsidRPr="00DF7627" w14:paraId="7053AEAF" w14:textId="77777777" w:rsidTr="007E79BA">
        <w:trPr>
          <w:trHeight w:val="267"/>
        </w:trPr>
        <w:tc>
          <w:tcPr>
            <w:tcW w:w="3047" w:type="dxa"/>
            <w:tcBorders>
              <w:top w:val="single" w:sz="4" w:space="0" w:color="000000"/>
              <w:left w:val="double" w:sz="4" w:space="0" w:color="auto"/>
              <w:bottom w:val="single" w:sz="4" w:space="0" w:color="000000"/>
              <w:right w:val="single" w:sz="4" w:space="0" w:color="000000"/>
            </w:tcBorders>
            <w:vAlign w:val="center"/>
            <w:hideMark/>
          </w:tcPr>
          <w:p w14:paraId="1A54EC1E" w14:textId="77777777" w:rsidR="004F5ACB" w:rsidRPr="00DF7627" w:rsidRDefault="004F5ACB" w:rsidP="00DF7627">
            <w:pPr>
              <w:spacing w:after="0" w:line="240" w:lineRule="auto"/>
              <w:jc w:val="center"/>
              <w:rPr>
                <w:rFonts w:ascii="Arial" w:hAnsi="Arial" w:cs="Arial"/>
                <w:sz w:val="19"/>
                <w:szCs w:val="19"/>
                <w:lang w:val="es-ES"/>
              </w:rPr>
            </w:pPr>
            <w:r w:rsidRPr="00DF7627">
              <w:rPr>
                <w:rFonts w:ascii="Arial" w:hAnsi="Arial" w:cs="Arial"/>
                <w:sz w:val="19"/>
                <w:szCs w:val="19"/>
                <w:lang w:val="es-ES"/>
              </w:rPr>
              <w:t>De 3 hasta 4</w:t>
            </w:r>
          </w:p>
        </w:tc>
        <w:tc>
          <w:tcPr>
            <w:tcW w:w="4182" w:type="dxa"/>
            <w:tcBorders>
              <w:top w:val="single" w:sz="4" w:space="0" w:color="000000"/>
              <w:left w:val="single" w:sz="4" w:space="0" w:color="000000"/>
              <w:bottom w:val="single" w:sz="4" w:space="0" w:color="000000"/>
              <w:right w:val="double" w:sz="4" w:space="0" w:color="auto"/>
            </w:tcBorders>
            <w:vAlign w:val="center"/>
            <w:hideMark/>
          </w:tcPr>
          <w:p w14:paraId="46F2EBFA" w14:textId="77777777" w:rsidR="004F5ACB" w:rsidRPr="00DF7627" w:rsidRDefault="004F5ACB" w:rsidP="00DF7627">
            <w:pPr>
              <w:spacing w:after="0" w:line="240" w:lineRule="auto"/>
              <w:jc w:val="center"/>
              <w:rPr>
                <w:rFonts w:ascii="Arial" w:hAnsi="Arial" w:cs="Arial"/>
                <w:sz w:val="19"/>
                <w:szCs w:val="19"/>
                <w:lang w:val="es-ES"/>
              </w:rPr>
            </w:pPr>
            <w:r w:rsidRPr="00DF7627">
              <w:rPr>
                <w:rFonts w:ascii="Arial" w:hAnsi="Arial" w:cs="Arial"/>
                <w:sz w:val="19"/>
                <w:szCs w:val="19"/>
                <w:lang w:val="es-ES"/>
              </w:rPr>
              <w:t>120 %</w:t>
            </w:r>
          </w:p>
        </w:tc>
      </w:tr>
      <w:tr w:rsidR="004F5ACB" w:rsidRPr="00DF7627" w14:paraId="72797F22" w14:textId="77777777" w:rsidTr="007E79BA">
        <w:trPr>
          <w:trHeight w:val="282"/>
        </w:trPr>
        <w:tc>
          <w:tcPr>
            <w:tcW w:w="3047" w:type="dxa"/>
            <w:tcBorders>
              <w:top w:val="single" w:sz="4" w:space="0" w:color="000000"/>
              <w:left w:val="double" w:sz="4" w:space="0" w:color="auto"/>
              <w:bottom w:val="single" w:sz="4" w:space="0" w:color="000000"/>
              <w:right w:val="single" w:sz="4" w:space="0" w:color="000000"/>
            </w:tcBorders>
            <w:vAlign w:val="center"/>
            <w:hideMark/>
          </w:tcPr>
          <w:p w14:paraId="556159BF" w14:textId="77777777" w:rsidR="004F5ACB" w:rsidRPr="00DF7627" w:rsidRDefault="004F5ACB" w:rsidP="00DF7627">
            <w:pPr>
              <w:spacing w:after="0" w:line="240" w:lineRule="auto"/>
              <w:jc w:val="center"/>
              <w:rPr>
                <w:rFonts w:ascii="Arial" w:hAnsi="Arial" w:cs="Arial"/>
                <w:sz w:val="19"/>
                <w:szCs w:val="19"/>
                <w:lang w:val="es-ES"/>
              </w:rPr>
            </w:pPr>
            <w:r w:rsidRPr="00DF7627">
              <w:rPr>
                <w:rFonts w:ascii="Arial" w:hAnsi="Arial" w:cs="Arial"/>
                <w:sz w:val="19"/>
                <w:szCs w:val="19"/>
                <w:lang w:val="es-ES"/>
              </w:rPr>
              <w:t>Hasta 5</w:t>
            </w:r>
          </w:p>
        </w:tc>
        <w:tc>
          <w:tcPr>
            <w:tcW w:w="4182" w:type="dxa"/>
            <w:tcBorders>
              <w:top w:val="single" w:sz="4" w:space="0" w:color="000000"/>
              <w:left w:val="single" w:sz="4" w:space="0" w:color="000000"/>
              <w:bottom w:val="single" w:sz="4" w:space="0" w:color="000000"/>
              <w:right w:val="double" w:sz="4" w:space="0" w:color="auto"/>
            </w:tcBorders>
            <w:vAlign w:val="center"/>
            <w:hideMark/>
          </w:tcPr>
          <w:p w14:paraId="12BCDD11" w14:textId="77777777" w:rsidR="004F5ACB" w:rsidRPr="00DF7627" w:rsidRDefault="004F5ACB" w:rsidP="00DF7627">
            <w:pPr>
              <w:spacing w:after="0" w:line="240" w:lineRule="auto"/>
              <w:jc w:val="center"/>
              <w:rPr>
                <w:rFonts w:ascii="Arial" w:hAnsi="Arial" w:cs="Arial"/>
                <w:sz w:val="19"/>
                <w:szCs w:val="19"/>
                <w:lang w:val="es-ES"/>
              </w:rPr>
            </w:pPr>
            <w:r w:rsidRPr="00DF7627">
              <w:rPr>
                <w:rFonts w:ascii="Arial" w:hAnsi="Arial" w:cs="Arial"/>
                <w:sz w:val="19"/>
                <w:szCs w:val="19"/>
                <w:lang w:val="es-ES"/>
              </w:rPr>
              <w:t>150 %</w:t>
            </w:r>
          </w:p>
        </w:tc>
      </w:tr>
    </w:tbl>
    <w:p w14:paraId="3A0F30C4" w14:textId="77777777" w:rsidR="004F5ACB" w:rsidRPr="00DF7627" w:rsidRDefault="004F5ACB" w:rsidP="00DF7627">
      <w:pPr>
        <w:spacing w:after="0" w:line="240" w:lineRule="auto"/>
        <w:ind w:firstLine="709"/>
        <w:rPr>
          <w:rFonts w:ascii="Arial" w:eastAsia="Arial" w:hAnsi="Arial" w:cs="Arial"/>
          <w:sz w:val="19"/>
          <w:szCs w:val="19"/>
        </w:rPr>
      </w:pPr>
    </w:p>
    <w:p w14:paraId="73CE9AF4" w14:textId="77777777" w:rsidR="004F5ACB" w:rsidRPr="00DF7627" w:rsidRDefault="004F5ACB" w:rsidP="00DF7627">
      <w:pPr>
        <w:spacing w:after="0" w:line="240" w:lineRule="auto"/>
        <w:ind w:firstLine="709"/>
        <w:rPr>
          <w:rFonts w:ascii="Arial" w:hAnsi="Arial" w:cs="Arial"/>
          <w:iCs/>
          <w:color w:val="000000"/>
          <w:sz w:val="19"/>
          <w:szCs w:val="19"/>
        </w:rPr>
      </w:pPr>
      <w:r w:rsidRPr="00DF7627">
        <w:rPr>
          <w:rFonts w:ascii="Arial" w:eastAsia="Arial" w:hAnsi="Arial" w:cs="Arial"/>
          <w:sz w:val="19"/>
          <w:szCs w:val="19"/>
        </w:rPr>
        <w:t>«</w:t>
      </w:r>
      <w:r w:rsidRPr="00DF7627">
        <w:rPr>
          <w:rFonts w:ascii="Arial" w:hAnsi="Arial" w:cs="Arial"/>
          <w:iCs/>
          <w:color w:val="000000"/>
          <w:sz w:val="19"/>
          <w:szCs w:val="19"/>
        </w:rPr>
        <w:t>Si el número de contratos aportados supera los cinco (5) inicialmente previstos en este numeral, debido a la posibilidad de allegar contratos adicionales por tratarse de una Mipyme y/o emprendimiento y empresa de mujer, estos contratos adicionales, ya sean seis (6) o siete (7) contratos -dependiendo si acredita una o ambas condiciones-, se tendrán en cuenta para demostrar el valor del ciento cincuenta por ciento (150 %) del valor del Presupuesto Oficial.</w:t>
      </w:r>
    </w:p>
    <w:p w14:paraId="581B74FB" w14:textId="77777777" w:rsidR="004F5ACB" w:rsidRPr="00DF7627" w:rsidRDefault="004F5ACB" w:rsidP="00DF7627">
      <w:pPr>
        <w:spacing w:after="0" w:line="240" w:lineRule="auto"/>
        <w:ind w:firstLine="709"/>
        <w:rPr>
          <w:rFonts w:ascii="Arial" w:hAnsi="Arial" w:cs="Arial"/>
          <w:iCs/>
          <w:color w:val="000000"/>
          <w:sz w:val="19"/>
          <w:szCs w:val="19"/>
        </w:rPr>
      </w:pPr>
      <w:r w:rsidRPr="00DF7627">
        <w:rPr>
          <w:rFonts w:ascii="Arial" w:eastAsia="Arial" w:hAnsi="Arial" w:cs="Arial"/>
          <w:sz w:val="19"/>
          <w:szCs w:val="19"/>
        </w:rPr>
        <w:t>«</w:t>
      </w:r>
      <w:r w:rsidRPr="00DF7627">
        <w:rPr>
          <w:rFonts w:ascii="Arial" w:hAnsi="Arial" w:cs="Arial"/>
          <w:iCs/>
          <w:color w:val="000000"/>
          <w:sz w:val="19"/>
          <w:szCs w:val="19"/>
        </w:rPr>
        <w:t>La verificación se hará con base en la sumatoria de los valores totales ejecutados (incluido IVA) en SMMLV de los contratos que cumplan con los requisitos establecidos en este Pliego de Condiciones.</w:t>
      </w:r>
    </w:p>
    <w:p w14:paraId="3063A238" w14:textId="77777777" w:rsidR="004F5ACB" w:rsidRPr="00DF7627" w:rsidRDefault="004F5ACB" w:rsidP="00DF7627">
      <w:pPr>
        <w:spacing w:after="0" w:line="240" w:lineRule="auto"/>
        <w:rPr>
          <w:rFonts w:ascii="Arial" w:hAnsi="Arial" w:cs="Arial"/>
          <w:iCs/>
          <w:color w:val="000000"/>
          <w:sz w:val="19"/>
          <w:szCs w:val="19"/>
        </w:rPr>
      </w:pPr>
      <w:r w:rsidRPr="00DF7627">
        <w:rPr>
          <w:rFonts w:ascii="Arial" w:hAnsi="Arial" w:cs="Arial"/>
          <w:iCs/>
          <w:color w:val="000000"/>
          <w:sz w:val="19"/>
          <w:szCs w:val="19"/>
        </w:rPr>
        <w:t>El Proponente cumple el requisito de experiencia si la sumatoria de los valores totales ejecutados (incluido IVA) de los contratos expresados en SMMLV es mayor o igual al valor mínimo a certificar establecido en la tabla anterior.</w:t>
      </w:r>
    </w:p>
    <w:p w14:paraId="7952FA6F" w14:textId="77777777" w:rsidR="004F5ACB" w:rsidRPr="00DF7627" w:rsidRDefault="004F5ACB" w:rsidP="00DF7627">
      <w:pPr>
        <w:spacing w:after="0" w:line="240" w:lineRule="auto"/>
        <w:ind w:firstLine="709"/>
        <w:rPr>
          <w:rFonts w:ascii="Arial" w:hAnsi="Arial" w:cs="Arial"/>
          <w:iCs/>
          <w:color w:val="000000"/>
          <w:sz w:val="19"/>
          <w:szCs w:val="19"/>
        </w:rPr>
      </w:pPr>
      <w:r w:rsidRPr="00DF7627">
        <w:rPr>
          <w:rFonts w:ascii="Arial" w:eastAsia="Arial" w:hAnsi="Arial" w:cs="Arial"/>
          <w:sz w:val="19"/>
          <w:szCs w:val="19"/>
        </w:rPr>
        <w:t>«</w:t>
      </w:r>
      <w:r w:rsidRPr="00DF7627">
        <w:rPr>
          <w:rFonts w:ascii="Arial" w:hAnsi="Arial" w:cs="Arial"/>
          <w:iCs/>
          <w:color w:val="000000"/>
          <w:sz w:val="19"/>
          <w:szCs w:val="19"/>
        </w:rPr>
        <w:t>En caso de que el número de contratos con los cuales el Proponente acredita la experiencia no satisface el porcentaje mínimo a certificar establecido en la tabla anterior, se calificará la propuesta como no hábil y el Proponente podrá subsanarla en los términos contemplados en la sección 1.6.</w:t>
      </w:r>
    </w:p>
    <w:p w14:paraId="7F5E6816" w14:textId="77777777" w:rsidR="004F5ACB" w:rsidRPr="00DF7627" w:rsidRDefault="004F5ACB" w:rsidP="00DF7627">
      <w:pPr>
        <w:spacing w:after="0" w:line="240" w:lineRule="auto"/>
        <w:ind w:firstLine="709"/>
        <w:rPr>
          <w:rFonts w:ascii="Arial" w:hAnsi="Arial" w:cs="Arial"/>
          <w:iCs/>
          <w:color w:val="000000"/>
          <w:sz w:val="19"/>
          <w:szCs w:val="19"/>
          <w:highlight w:val="lightGray"/>
        </w:rPr>
      </w:pPr>
      <w:r w:rsidRPr="00DF7627">
        <w:rPr>
          <w:rFonts w:ascii="Arial" w:eastAsia="Arial" w:hAnsi="Arial" w:cs="Arial"/>
          <w:sz w:val="19"/>
          <w:szCs w:val="19"/>
        </w:rPr>
        <w:t>«</w:t>
      </w:r>
      <w:r w:rsidRPr="00DF7627">
        <w:rPr>
          <w:rFonts w:ascii="Arial" w:hAnsi="Arial" w:cs="Arial"/>
          <w:iCs/>
          <w:color w:val="000000"/>
          <w:sz w:val="19"/>
          <w:szCs w:val="19"/>
          <w:highlight w:val="lightGray"/>
        </w:rPr>
        <w:t xml:space="preserve"> [En los procesos estructurados por lotes o por grupos, el valor mínimo a certificar debe ser en relación con el valor del Presupuesto Oficial del respectivo lote o grupo expresado en SMMLV]”.</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7184FE" w14:textId="77777777" w:rsidR="00412132" w:rsidRDefault="00000000">
    <w:pPr>
      <w:pStyle w:val="Encabezado"/>
    </w:pPr>
    <w:r>
      <w:rPr>
        <w:noProof/>
        <w:lang w:val="es-CO" w:eastAsia="es-CO"/>
      </w:rPr>
      <w:drawing>
        <wp:anchor distT="0" distB="0" distL="114300" distR="114300" simplePos="0" relativeHeight="251659264" behindDoc="1" locked="0" layoutInCell="1" allowOverlap="1" wp14:anchorId="78234BBB" wp14:editId="7D1D41D6">
          <wp:simplePos x="0" y="0"/>
          <wp:positionH relativeFrom="column">
            <wp:posOffset>4458335</wp:posOffset>
          </wp:positionH>
          <wp:positionV relativeFrom="paragraph">
            <wp:posOffset>171450</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78"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307EB26" w14:textId="77777777" w:rsidR="00FE0395" w:rsidRDefault="00000000" w:rsidP="00FE0395">
    <w:pPr>
      <w:pStyle w:val="Encabezado"/>
      <w:spacing w:after="0"/>
    </w:pPr>
  </w:p>
  <w:p w14:paraId="21D4F9B5" w14:textId="77777777" w:rsidR="00412132" w:rsidRDefault="0000000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645F11"/>
    <w:multiLevelType w:val="hybridMultilevel"/>
    <w:tmpl w:val="D0BA1E98"/>
    <w:lvl w:ilvl="0" w:tplc="160C1696">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E1C32E1"/>
    <w:multiLevelType w:val="hybridMultilevel"/>
    <w:tmpl w:val="D0BA1E98"/>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466F488C"/>
    <w:multiLevelType w:val="hybridMultilevel"/>
    <w:tmpl w:val="3E128A9E"/>
    <w:lvl w:ilvl="0" w:tplc="64EC1364">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47716ACA"/>
    <w:multiLevelType w:val="hybridMultilevel"/>
    <w:tmpl w:val="A50073CE"/>
    <w:lvl w:ilvl="0" w:tplc="AC56E9B6">
      <w:start w:val="1"/>
      <w:numFmt w:val="lowerRoman"/>
      <w:lvlText w:val="%1)"/>
      <w:lvlJc w:val="left"/>
      <w:pPr>
        <w:ind w:left="1080" w:hanging="720"/>
      </w:pPr>
      <w:rPr>
        <w:rFonts w:eastAsia="Times New Roman"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64C225ED"/>
    <w:multiLevelType w:val="hybridMultilevel"/>
    <w:tmpl w:val="F2821E88"/>
    <w:lvl w:ilvl="0" w:tplc="31DE9A38">
      <w:start w:val="1"/>
      <w:numFmt w:val="lowerRoman"/>
      <w:lvlText w:val="%1)"/>
      <w:lvlJc w:val="left"/>
      <w:pPr>
        <w:ind w:left="1080" w:hanging="720"/>
      </w:pPr>
      <w:rPr>
        <w:rFonts w:eastAsiaTheme="minorHAnsi"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6B50263C"/>
    <w:multiLevelType w:val="hybridMultilevel"/>
    <w:tmpl w:val="63E22CF2"/>
    <w:lvl w:ilvl="0" w:tplc="19D095A4">
      <w:start w:val="1"/>
      <w:numFmt w:val="upperLetter"/>
      <w:lvlText w:val="%1."/>
      <w:lvlJc w:val="left"/>
      <w:pPr>
        <w:ind w:left="710" w:hanging="71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6" w15:restartNumberingAfterBreak="0">
    <w:nsid w:val="7E2C26FE"/>
    <w:multiLevelType w:val="hybridMultilevel"/>
    <w:tmpl w:val="56BE21AA"/>
    <w:lvl w:ilvl="0" w:tplc="258A78E4">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583489495">
    <w:abstractNumId w:val="0"/>
  </w:num>
  <w:num w:numId="2" w16cid:durableId="694386444">
    <w:abstractNumId w:val="4"/>
  </w:num>
  <w:num w:numId="3" w16cid:durableId="898513249">
    <w:abstractNumId w:val="3"/>
  </w:num>
  <w:num w:numId="4" w16cid:durableId="245923226">
    <w:abstractNumId w:val="6"/>
  </w:num>
  <w:num w:numId="5" w16cid:durableId="1542739821">
    <w:abstractNumId w:val="1"/>
  </w:num>
  <w:num w:numId="6" w16cid:durableId="720520050">
    <w:abstractNumId w:val="2"/>
  </w:num>
  <w:num w:numId="7" w16cid:durableId="173824158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proofState w:spelling="clean" w:grammar="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0248"/>
    <w:rsid w:val="00015DA5"/>
    <w:rsid w:val="00024861"/>
    <w:rsid w:val="00056947"/>
    <w:rsid w:val="003403BC"/>
    <w:rsid w:val="004651E5"/>
    <w:rsid w:val="00482C3D"/>
    <w:rsid w:val="004F5ACB"/>
    <w:rsid w:val="00505317"/>
    <w:rsid w:val="00597C6A"/>
    <w:rsid w:val="00650248"/>
    <w:rsid w:val="00651A7A"/>
    <w:rsid w:val="006E5488"/>
    <w:rsid w:val="00717D3D"/>
    <w:rsid w:val="007D0C93"/>
    <w:rsid w:val="007E7F8D"/>
    <w:rsid w:val="00864CAC"/>
    <w:rsid w:val="008E7DAA"/>
    <w:rsid w:val="009633F9"/>
    <w:rsid w:val="00A12D0A"/>
    <w:rsid w:val="00A4291F"/>
    <w:rsid w:val="00AB7E65"/>
    <w:rsid w:val="00AC697E"/>
    <w:rsid w:val="00AF45C8"/>
    <w:rsid w:val="00B72A9D"/>
    <w:rsid w:val="00BE31E3"/>
    <w:rsid w:val="00C06500"/>
    <w:rsid w:val="00CE04D9"/>
    <w:rsid w:val="00D753FB"/>
    <w:rsid w:val="00D94735"/>
    <w:rsid w:val="00DC345D"/>
    <w:rsid w:val="00DF7627"/>
    <w:rsid w:val="00ED2C50"/>
    <w:rsid w:val="00FD3F3D"/>
    <w:rsid w:val="00FE01A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F48BFB"/>
  <w15:chartTrackingRefBased/>
  <w15:docId w15:val="{7ADF6F1B-EE33-5D43-B7C6-AC911768D4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0248"/>
    <w:pPr>
      <w:spacing w:after="200" w:line="276" w:lineRule="auto"/>
      <w:jc w:val="both"/>
    </w:pPr>
    <w:rPr>
      <w:szCs w:val="22"/>
      <w:lang w:val="es-MX"/>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650248"/>
    <w:pPr>
      <w:tabs>
        <w:tab w:val="center" w:pos="4419"/>
        <w:tab w:val="right" w:pos="8838"/>
      </w:tabs>
    </w:pPr>
  </w:style>
  <w:style w:type="character" w:customStyle="1" w:styleId="PiedepginaCar">
    <w:name w:val="Pie de página Car"/>
    <w:basedOn w:val="Fuentedeprrafopredeter"/>
    <w:link w:val="Piedepgina"/>
    <w:uiPriority w:val="99"/>
    <w:rsid w:val="00650248"/>
    <w:rPr>
      <w:szCs w:val="22"/>
      <w:lang w:val="es-MX"/>
    </w:rPr>
  </w:style>
  <w:style w:type="paragraph" w:styleId="Encabezado">
    <w:name w:val="header"/>
    <w:basedOn w:val="Normal"/>
    <w:link w:val="EncabezadoCar"/>
    <w:uiPriority w:val="99"/>
    <w:unhideWhenUsed/>
    <w:rsid w:val="00650248"/>
    <w:pPr>
      <w:tabs>
        <w:tab w:val="center" w:pos="4252"/>
        <w:tab w:val="right" w:pos="8504"/>
      </w:tabs>
    </w:pPr>
  </w:style>
  <w:style w:type="character" w:customStyle="1" w:styleId="EncabezadoCar">
    <w:name w:val="Encabezado Car"/>
    <w:basedOn w:val="Fuentedeprrafopredeter"/>
    <w:link w:val="Encabezado"/>
    <w:uiPriority w:val="99"/>
    <w:rsid w:val="00650248"/>
    <w:rPr>
      <w:szCs w:val="22"/>
      <w:lang w:val="es-MX"/>
    </w:rPr>
  </w:style>
  <w:style w:type="table" w:styleId="Tablaconcuadrcula">
    <w:name w:val="Table Grid"/>
    <w:basedOn w:val="Tablanormal"/>
    <w:uiPriority w:val="59"/>
    <w:qFormat/>
    <w:rsid w:val="00650248"/>
    <w:pPr>
      <w:jc w:val="both"/>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650248"/>
    <w:rPr>
      <w:color w:val="0563C1" w:themeColor="hyperlink"/>
      <w:u w:val="single"/>
    </w:rPr>
  </w:style>
  <w:style w:type="paragraph" w:styleId="NormalWeb">
    <w:name w:val="Normal (Web)"/>
    <w:basedOn w:val="Normal"/>
    <w:link w:val="NormalWebCar"/>
    <w:uiPriority w:val="99"/>
    <w:unhideWhenUsed/>
    <w:rsid w:val="00650248"/>
    <w:pPr>
      <w:spacing w:before="100" w:beforeAutospacing="1" w:after="100" w:afterAutospacing="1"/>
    </w:pPr>
    <w:rPr>
      <w:rFonts w:ascii="Times New Roman" w:eastAsia="Times New Roman" w:hAnsi="Times New Roman" w:cs="Times New Roman"/>
      <w:szCs w:val="24"/>
      <w:lang w:val="es-CO" w:eastAsia="es-CO"/>
    </w:rPr>
  </w:style>
  <w:style w:type="paragraph" w:styleId="Sinespaciado">
    <w:name w:val="No Spacing"/>
    <w:uiPriority w:val="1"/>
    <w:qFormat/>
    <w:rsid w:val="00650248"/>
    <w:pPr>
      <w:jc w:val="both"/>
    </w:pPr>
    <w:rPr>
      <w:szCs w:val="22"/>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502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R"/>
    <w:basedOn w:val="Normal"/>
    <w:link w:val="TextonotapieCar"/>
    <w:uiPriority w:val="99"/>
    <w:unhideWhenUsed/>
    <w:qFormat/>
    <w:rsid w:val="00650248"/>
    <w:rPr>
      <w:sz w:val="20"/>
      <w:szCs w:val="20"/>
    </w:rPr>
  </w:style>
  <w:style w:type="character" w:customStyle="1" w:styleId="TextonotapieCar1">
    <w:name w:val="Texto nota pie Car1"/>
    <w:basedOn w:val="Fuentedeprrafopredeter"/>
    <w:uiPriority w:val="99"/>
    <w:semiHidden/>
    <w:rsid w:val="00650248"/>
    <w:rPr>
      <w:sz w:val="20"/>
      <w:szCs w:val="20"/>
      <w:lang w:val="es-MX"/>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Re"/>
    <w:basedOn w:val="Fuentedeprrafopredeter"/>
    <w:link w:val="Appelnotedebasde"/>
    <w:uiPriority w:val="99"/>
    <w:unhideWhenUsed/>
    <w:qFormat/>
    <w:rsid w:val="00650248"/>
    <w:rPr>
      <w:vertAlign w:val="superscript"/>
    </w:rPr>
  </w:style>
  <w:style w:type="paragraph" w:customStyle="1" w:styleId="Appelnotedebasde">
    <w:name w:val="Appel note de bas de..."/>
    <w:basedOn w:val="Normal"/>
    <w:link w:val="Refdenotaalpie"/>
    <w:uiPriority w:val="99"/>
    <w:rsid w:val="00650248"/>
    <w:pPr>
      <w:spacing w:after="160" w:line="240" w:lineRule="exact"/>
    </w:pPr>
    <w:rPr>
      <w:szCs w:val="24"/>
      <w:vertAlign w:val="superscript"/>
      <w:lang w:val="es-CO"/>
    </w:rPr>
  </w:style>
  <w:style w:type="character" w:customStyle="1" w:styleId="NormalWebCar">
    <w:name w:val="Normal (Web) Car"/>
    <w:link w:val="NormalWeb"/>
    <w:uiPriority w:val="99"/>
    <w:locked/>
    <w:rsid w:val="00650248"/>
    <w:rPr>
      <w:rFonts w:ascii="Times New Roman" w:eastAsia="Times New Roman" w:hAnsi="Times New Roman" w:cs="Times New Roman"/>
      <w:lang w:eastAsia="es-CO"/>
    </w:rPr>
  </w:style>
  <w:style w:type="table" w:customStyle="1" w:styleId="Tablaconcuadrcula1">
    <w:name w:val="Tabla con cuadrícula1"/>
    <w:basedOn w:val="Tablanormal"/>
    <w:next w:val="Tablaconcuadrcula"/>
    <w:uiPriority w:val="39"/>
    <w:rsid w:val="0065024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
    <w:basedOn w:val="Normal"/>
    <w:link w:val="PrrafodelistaCar"/>
    <w:uiPriority w:val="34"/>
    <w:qFormat/>
    <w:rsid w:val="00650248"/>
    <w:pPr>
      <w:spacing w:after="0" w:line="240" w:lineRule="auto"/>
      <w:ind w:left="720"/>
      <w:contextualSpacing/>
      <w:jc w:val="left"/>
    </w:pPr>
    <w:rPr>
      <w:szCs w:val="24"/>
      <w:lang w:val="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C345D"/>
  </w:style>
  <w:style w:type="character" w:styleId="Refdecomentario">
    <w:name w:val="annotation reference"/>
    <w:basedOn w:val="Fuentedeprrafopredeter"/>
    <w:uiPriority w:val="99"/>
    <w:semiHidden/>
    <w:unhideWhenUsed/>
    <w:rsid w:val="00DC345D"/>
    <w:rPr>
      <w:sz w:val="16"/>
      <w:szCs w:val="16"/>
    </w:rPr>
  </w:style>
  <w:style w:type="paragraph" w:styleId="Textocomentario">
    <w:name w:val="annotation text"/>
    <w:basedOn w:val="Normal"/>
    <w:link w:val="TextocomentarioCar"/>
    <w:uiPriority w:val="99"/>
    <w:unhideWhenUsed/>
    <w:rsid w:val="00DC345D"/>
    <w:pPr>
      <w:spacing w:after="0" w:line="240" w:lineRule="auto"/>
      <w:jc w:val="left"/>
    </w:pPr>
    <w:rPr>
      <w:sz w:val="20"/>
      <w:szCs w:val="20"/>
      <w:lang w:val="es-CO"/>
    </w:rPr>
  </w:style>
  <w:style w:type="character" w:customStyle="1" w:styleId="TextocomentarioCar">
    <w:name w:val="Texto comentario Car"/>
    <w:basedOn w:val="Fuentedeprrafopredeter"/>
    <w:link w:val="Textocomentario"/>
    <w:uiPriority w:val="99"/>
    <w:rsid w:val="00DC345D"/>
    <w:rPr>
      <w:sz w:val="20"/>
      <w:szCs w:val="20"/>
    </w:rPr>
  </w:style>
  <w:style w:type="paragraph" w:styleId="Asuntodelcomentario">
    <w:name w:val="annotation subject"/>
    <w:basedOn w:val="Textocomentario"/>
    <w:next w:val="Textocomentario"/>
    <w:link w:val="AsuntodelcomentarioCar"/>
    <w:uiPriority w:val="99"/>
    <w:semiHidden/>
    <w:unhideWhenUsed/>
    <w:rsid w:val="00C06500"/>
    <w:pPr>
      <w:spacing w:after="200"/>
      <w:jc w:val="both"/>
    </w:pPr>
    <w:rPr>
      <w:b/>
      <w:bCs/>
      <w:lang w:val="es-MX"/>
    </w:rPr>
  </w:style>
  <w:style w:type="character" w:customStyle="1" w:styleId="AsuntodelcomentarioCar">
    <w:name w:val="Asunto del comentario Car"/>
    <w:basedOn w:val="TextocomentarioCar"/>
    <w:link w:val="Asuntodelcomentario"/>
    <w:uiPriority w:val="99"/>
    <w:semiHidden/>
    <w:rsid w:val="00C06500"/>
    <w:rPr>
      <w:b/>
      <w:bCs/>
      <w:sz w:val="20"/>
      <w:szCs w:val="20"/>
      <w:lang w:val="es-MX"/>
    </w:rPr>
  </w:style>
  <w:style w:type="paragraph" w:customStyle="1" w:styleId="InviasNormal">
    <w:name w:val="Invias Normal"/>
    <w:basedOn w:val="Normal"/>
    <w:link w:val="InviasNormalCar"/>
    <w:qFormat/>
    <w:rsid w:val="00717D3D"/>
    <w:pPr>
      <w:tabs>
        <w:tab w:val="left" w:pos="-142"/>
      </w:tabs>
      <w:autoSpaceDE w:val="0"/>
      <w:autoSpaceDN w:val="0"/>
      <w:adjustRightInd w:val="0"/>
      <w:spacing w:before="120" w:after="240" w:line="240" w:lineRule="auto"/>
    </w:pPr>
    <w:rPr>
      <w:rFonts w:ascii="Arial Narrow" w:eastAsia="Times New Roman" w:hAnsi="Arial Narrow" w:cs="Times New Roman"/>
      <w:color w:val="3C3C3C"/>
      <w:szCs w:val="24"/>
      <w:lang w:val="x-none" w:eastAsia="es-ES"/>
    </w:rPr>
  </w:style>
  <w:style w:type="character" w:customStyle="1" w:styleId="InviasNormalCar">
    <w:name w:val="Invias Normal Car"/>
    <w:link w:val="InviasNormal"/>
    <w:locked/>
    <w:rsid w:val="00717D3D"/>
    <w:rPr>
      <w:rFonts w:ascii="Arial Narrow" w:eastAsia="Times New Roman" w:hAnsi="Arial Narrow" w:cs="Times New Roman"/>
      <w:color w:val="3C3C3C"/>
      <w:lang w:val="x-none" w:eastAsia="es-ES"/>
    </w:rPr>
  </w:style>
  <w:style w:type="paragraph" w:styleId="Revisin">
    <w:name w:val="Revision"/>
    <w:hidden/>
    <w:uiPriority w:val="99"/>
    <w:semiHidden/>
    <w:rsid w:val="007D0C93"/>
    <w:rPr>
      <w:szCs w:val="22"/>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customXml" Target="../customXml/item2.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55527DE-218C-4D21-A075-77A00000E780}"/>
</file>

<file path=customXml/itemProps2.xml><?xml version="1.0" encoding="utf-8"?>
<ds:datastoreItem xmlns:ds="http://schemas.openxmlformats.org/officeDocument/2006/customXml" ds:itemID="{21E0E351-E904-48FC-A1DC-A90219B9D01A}"/>
</file>

<file path=customXml/itemProps3.xml><?xml version="1.0" encoding="utf-8"?>
<ds:datastoreItem xmlns:ds="http://schemas.openxmlformats.org/officeDocument/2006/customXml" ds:itemID="{EF4C5E9D-91B6-4BE0-A951-FF819FD0523D}"/>
</file>

<file path=docProps/app.xml><?xml version="1.0" encoding="utf-8"?>
<Properties xmlns="http://schemas.openxmlformats.org/officeDocument/2006/extended-properties" xmlns:vt="http://schemas.openxmlformats.org/officeDocument/2006/docPropsVTypes">
  <Template>Normal.dotm</Template>
  <TotalTime>39</TotalTime>
  <Pages>19</Pages>
  <Words>7352</Words>
  <Characters>40436</Characters>
  <Application>Microsoft Office Word</Application>
  <DocSecurity>0</DocSecurity>
  <Lines>336</Lines>
  <Paragraphs>95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Daniela Amaya Castro</dc:creator>
  <cp:keywords/>
  <dc:description/>
  <cp:lastModifiedBy>Daniela Amaya</cp:lastModifiedBy>
  <cp:revision>4</cp:revision>
  <dcterms:created xsi:type="dcterms:W3CDTF">2022-10-05T15:22:00Z</dcterms:created>
  <dcterms:modified xsi:type="dcterms:W3CDTF">2022-10-05T16:01:00Z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