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F23C4C" w14:textId="5CA10468" w:rsidR="006E39EA" w:rsidRPr="009903EC" w:rsidRDefault="00800DEA" w:rsidP="00CC79DE">
      <w:pPr>
        <w:spacing w:before="120"/>
        <w:jc w:val="right"/>
        <w:rPr>
          <w:rFonts w:ascii="Arial" w:hAnsi="Arial" w:cs="Arial"/>
          <w:b/>
          <w:sz w:val="16"/>
          <w:szCs w:val="16"/>
          <w:lang w:eastAsia="es-ES"/>
        </w:rPr>
      </w:pPr>
      <w:bookmarkStart w:id="0" w:name="_Hlk31875101"/>
      <w:bookmarkStart w:id="1" w:name="_Hlk29890381"/>
      <w:r w:rsidRPr="009903EC">
        <w:rPr>
          <w:rFonts w:ascii="Arial" w:hAnsi="Arial" w:cs="Arial"/>
          <w:b/>
          <w:sz w:val="16"/>
          <w:szCs w:val="16"/>
          <w:lang w:eastAsia="es-ES"/>
        </w:rPr>
        <w:t>CCE-DES-FM-17</w:t>
      </w:r>
    </w:p>
    <w:p w14:paraId="620306DE" w14:textId="603BC548" w:rsidR="005C6805" w:rsidRPr="009903EC" w:rsidRDefault="003559ED" w:rsidP="00CC79DE">
      <w:pPr>
        <w:rPr>
          <w:rFonts w:ascii="Arial" w:eastAsia="Calibri" w:hAnsi="Arial" w:cs="Arial"/>
          <w:b/>
          <w:bCs/>
          <w:sz w:val="22"/>
          <w:szCs w:val="24"/>
          <w:lang w:eastAsia="es-ES_tradnl"/>
        </w:rPr>
      </w:pPr>
      <w:r w:rsidRPr="009903EC">
        <w:rPr>
          <w:rFonts w:ascii="Arial" w:eastAsia="Arial" w:hAnsi="Arial" w:cs="Arial"/>
          <w:b/>
          <w:sz w:val="22"/>
        </w:rPr>
        <w:t>DOCUMENTOS TIPO –</w:t>
      </w:r>
      <w:r w:rsidRPr="009903EC">
        <w:rPr>
          <w:rFonts w:ascii="Arial" w:hAnsi="Arial" w:cs="Arial"/>
          <w:b/>
          <w:color w:val="000000" w:themeColor="text1"/>
          <w:sz w:val="22"/>
          <w:lang w:val="es-ES_tradnl"/>
        </w:rPr>
        <w:t xml:space="preserve"> </w:t>
      </w:r>
      <w:r w:rsidR="00EA0711" w:rsidRPr="009903EC">
        <w:rPr>
          <w:rFonts w:ascii="Arial" w:eastAsia="Calibri" w:hAnsi="Arial" w:cs="Arial"/>
          <w:b/>
          <w:bCs/>
          <w:sz w:val="22"/>
          <w:szCs w:val="24"/>
          <w:lang w:eastAsia="es-ES_tradnl"/>
        </w:rPr>
        <w:t>Obligatoriedad</w:t>
      </w:r>
      <w:r w:rsidRPr="009903EC">
        <w:rPr>
          <w:rFonts w:ascii="Arial" w:eastAsia="Calibri" w:hAnsi="Arial" w:cs="Arial"/>
          <w:b/>
          <w:bCs/>
          <w:sz w:val="22"/>
          <w:szCs w:val="24"/>
          <w:lang w:eastAsia="es-ES_tradnl"/>
        </w:rPr>
        <w:t xml:space="preserve"> </w:t>
      </w:r>
      <w:r w:rsidR="002B4EBC" w:rsidRPr="009903EC">
        <w:rPr>
          <w:rFonts w:ascii="Arial" w:eastAsia="Calibri" w:hAnsi="Arial" w:cs="Arial"/>
          <w:b/>
          <w:bCs/>
          <w:sz w:val="22"/>
          <w:szCs w:val="24"/>
          <w:lang w:eastAsia="es-ES_tradnl"/>
        </w:rPr>
        <w:t xml:space="preserve">– </w:t>
      </w:r>
      <w:r w:rsidR="00EA0711" w:rsidRPr="009903EC">
        <w:rPr>
          <w:rFonts w:ascii="Arial" w:eastAsia="Calibri" w:hAnsi="Arial" w:cs="Arial"/>
          <w:b/>
          <w:bCs/>
          <w:sz w:val="22"/>
          <w:szCs w:val="24"/>
          <w:lang w:eastAsia="es-ES_tradnl"/>
        </w:rPr>
        <w:t xml:space="preserve">Inalterabilidad </w:t>
      </w:r>
    </w:p>
    <w:p w14:paraId="6C7A643A" w14:textId="3D943315" w:rsidR="003559ED" w:rsidRPr="009903EC" w:rsidRDefault="003559ED" w:rsidP="00CC79DE">
      <w:pPr>
        <w:rPr>
          <w:rFonts w:ascii="Arial" w:eastAsia="Calibri" w:hAnsi="Arial" w:cs="Arial"/>
          <w:b/>
          <w:bCs/>
          <w:sz w:val="22"/>
          <w:szCs w:val="24"/>
          <w:lang w:eastAsia="es-ES_tradnl"/>
        </w:rPr>
      </w:pPr>
    </w:p>
    <w:p w14:paraId="0FDAD8EF" w14:textId="22280772" w:rsidR="00E92199" w:rsidRPr="009903EC" w:rsidRDefault="00EA0711" w:rsidP="00CC79DE">
      <w:pPr>
        <w:jc w:val="both"/>
        <w:rPr>
          <w:rFonts w:ascii="Arial" w:eastAsia="Calibri" w:hAnsi="Arial" w:cs="Arial"/>
          <w:noProof/>
          <w:sz w:val="20"/>
          <w:szCs w:val="20"/>
          <w:lang w:val="es-ES_tradnl"/>
        </w:rPr>
      </w:pPr>
      <w:r w:rsidRPr="009903EC">
        <w:rPr>
          <w:rFonts w:ascii="Arial" w:eastAsia="Calibri" w:hAnsi="Arial" w:cs="Arial"/>
          <w:noProof/>
          <w:color w:val="000000"/>
          <w:sz w:val="20"/>
          <w:szCs w:val="20"/>
          <w:shd w:val="clear" w:color="auto" w:fill="FFFFFF"/>
        </w:rPr>
        <w:t xml:space="preserve">[…] dadas las características  de obligatoriedad e inalterabilidad que ostentan los documentos tipo, </w:t>
      </w:r>
      <w:r w:rsidRPr="009903EC">
        <w:rPr>
          <w:rFonts w:ascii="Arial" w:eastAsia="Calibri" w:hAnsi="Arial" w:cs="Arial"/>
          <w:noProof/>
          <w:sz w:val="20"/>
          <w:szCs w:val="20"/>
          <w:lang w:val="es-ES_tradnl"/>
        </w:rPr>
        <w:t xml:space="preserve">es deber de las entidades sometidas al Estatuto General de la Contratación de la Administración Pública su utilización en los procesos de selección que adelanten, quedando vedadas de la posibilidad </w:t>
      </w:r>
      <w:r w:rsidR="003E3083" w:rsidRPr="009903EC">
        <w:rPr>
          <w:rFonts w:ascii="Arial" w:eastAsia="Calibri" w:hAnsi="Arial" w:cs="Arial"/>
          <w:noProof/>
          <w:sz w:val="20"/>
          <w:szCs w:val="20"/>
          <w:lang w:val="es-ES_tradnl"/>
        </w:rPr>
        <w:t xml:space="preserve">de apartarse de su implementación en el proceso de selección donde apliquen o </w:t>
      </w:r>
      <w:r w:rsidRPr="009903EC">
        <w:rPr>
          <w:rFonts w:ascii="Arial" w:eastAsia="Calibri" w:hAnsi="Arial" w:cs="Arial"/>
          <w:noProof/>
          <w:sz w:val="20"/>
          <w:szCs w:val="20"/>
          <w:lang w:val="es-ES_tradnl"/>
        </w:rPr>
        <w:t>de efectuar modificaciones a las condiciones habilitantes, factores de escogencia y sistemas de ponderación contenidos en los mismos, por lo que solo podrán realizar modificaciones en los lugares en que expresamente lo establezcan y permitan los Documentos Tipo.</w:t>
      </w:r>
    </w:p>
    <w:p w14:paraId="74B275E8" w14:textId="77777777" w:rsidR="00C8061B" w:rsidRPr="009903EC" w:rsidRDefault="00C8061B" w:rsidP="00CC79DE">
      <w:pPr>
        <w:jc w:val="both"/>
        <w:rPr>
          <w:rFonts w:ascii="Arial" w:eastAsia="Calibri" w:hAnsi="Arial" w:cs="Arial"/>
          <w:noProof/>
          <w:sz w:val="20"/>
          <w:szCs w:val="20"/>
          <w:lang w:val="es-ES_tradnl"/>
        </w:rPr>
      </w:pPr>
    </w:p>
    <w:p w14:paraId="3963B785" w14:textId="45ACB0B4" w:rsidR="000C400F" w:rsidRPr="009903EC" w:rsidRDefault="000C400F" w:rsidP="00CC79DE">
      <w:pPr>
        <w:tabs>
          <w:tab w:val="left" w:pos="426"/>
        </w:tabs>
        <w:jc w:val="both"/>
        <w:rPr>
          <w:rFonts w:ascii="Arial" w:eastAsia="Calibri" w:hAnsi="Arial" w:cs="Arial"/>
          <w:noProof/>
          <w:sz w:val="20"/>
          <w:szCs w:val="20"/>
          <w:lang w:val="es-ES_tradnl"/>
        </w:rPr>
      </w:pPr>
    </w:p>
    <w:p w14:paraId="458777E4" w14:textId="38C66D02" w:rsidR="000C400F" w:rsidRPr="009903EC" w:rsidRDefault="000C400F" w:rsidP="000C400F">
      <w:pPr>
        <w:jc w:val="both"/>
        <w:rPr>
          <w:rFonts w:ascii="Arial" w:hAnsi="Arial" w:cs="Arial"/>
          <w:b/>
          <w:sz w:val="22"/>
        </w:rPr>
      </w:pPr>
      <w:r w:rsidRPr="007C1AA6">
        <w:rPr>
          <w:rFonts w:ascii="Arial" w:hAnsi="Arial" w:cs="Arial"/>
          <w:b/>
          <w:sz w:val="22"/>
        </w:rPr>
        <w:t xml:space="preserve">FACTOR </w:t>
      </w:r>
      <w:r w:rsidR="00500709" w:rsidRPr="007C1AA6">
        <w:rPr>
          <w:rFonts w:ascii="Arial" w:hAnsi="Arial" w:cs="Arial"/>
          <w:b/>
          <w:sz w:val="22"/>
        </w:rPr>
        <w:t xml:space="preserve">DE </w:t>
      </w:r>
      <w:r w:rsidRPr="007C1AA6">
        <w:rPr>
          <w:rFonts w:ascii="Arial" w:hAnsi="Arial" w:cs="Arial"/>
          <w:b/>
          <w:sz w:val="22"/>
        </w:rPr>
        <w:t xml:space="preserve">CALIDAD – </w:t>
      </w:r>
      <w:r w:rsidR="00460793" w:rsidRPr="007C1AA6">
        <w:rPr>
          <w:rFonts w:ascii="Arial" w:hAnsi="Arial" w:cs="Arial"/>
          <w:b/>
          <w:sz w:val="22"/>
        </w:rPr>
        <w:t>Formatos-</w:t>
      </w:r>
      <w:r w:rsidR="00737474" w:rsidRPr="007C1AA6">
        <w:rPr>
          <w:rFonts w:ascii="Arial" w:hAnsi="Arial" w:cs="Arial"/>
          <w:b/>
          <w:sz w:val="22"/>
        </w:rPr>
        <w:t xml:space="preserve"> Obligatoriedad -</w:t>
      </w:r>
      <w:r w:rsidR="00460793" w:rsidRPr="007C1AA6">
        <w:rPr>
          <w:rFonts w:ascii="Arial" w:hAnsi="Arial" w:cs="Arial"/>
          <w:b/>
          <w:sz w:val="22"/>
        </w:rPr>
        <w:t xml:space="preserve"> </w:t>
      </w:r>
      <w:r w:rsidRPr="007C1AA6">
        <w:rPr>
          <w:rFonts w:ascii="Arial" w:hAnsi="Arial" w:cs="Arial"/>
          <w:b/>
          <w:sz w:val="22"/>
        </w:rPr>
        <w:t>Inalterabilidad – Formato 7D</w:t>
      </w:r>
      <w:r w:rsidRPr="009903EC">
        <w:rPr>
          <w:rFonts w:ascii="Arial" w:hAnsi="Arial" w:cs="Arial"/>
          <w:b/>
          <w:sz w:val="22"/>
        </w:rPr>
        <w:t xml:space="preserve"> </w:t>
      </w:r>
    </w:p>
    <w:p w14:paraId="790F2DAE" w14:textId="7D6228C8" w:rsidR="000C400F" w:rsidRPr="009903EC" w:rsidRDefault="000C400F" w:rsidP="000C400F">
      <w:pPr>
        <w:jc w:val="both"/>
        <w:rPr>
          <w:rFonts w:ascii="Arial" w:eastAsia="Calibri" w:hAnsi="Arial" w:cs="Arial"/>
          <w:b/>
        </w:rPr>
      </w:pPr>
    </w:p>
    <w:p w14:paraId="565873D5" w14:textId="77777777" w:rsidR="000C400F" w:rsidRPr="009903EC" w:rsidRDefault="000C400F" w:rsidP="000C400F">
      <w:pPr>
        <w:autoSpaceDE w:val="0"/>
        <w:autoSpaceDN w:val="0"/>
        <w:adjustRightInd w:val="0"/>
        <w:jc w:val="both"/>
        <w:rPr>
          <w:rFonts w:ascii="Arial" w:eastAsia="Calibri" w:hAnsi="Arial" w:cs="Arial"/>
          <w:bCs/>
          <w:sz w:val="20"/>
          <w:szCs w:val="20"/>
        </w:rPr>
      </w:pPr>
      <w:r w:rsidRPr="009903EC">
        <w:rPr>
          <w:rFonts w:ascii="Arial" w:eastAsia="Calibri" w:hAnsi="Arial" w:cs="Arial"/>
          <w:bCs/>
          <w:sz w:val="20"/>
          <w:szCs w:val="20"/>
        </w:rPr>
        <w:t>Todos los formatos como parte integral de los «Documentos Tipo», ostentan las características de obligatoriedad e inalterabilidad que los distingue, salvo en aquellos aspectos donde expresamente se faculte a las entidades contratantes o a los proponentes para su diligenciamiento, como ocurre con los espacios señalados entre corchetes y resaltados en gris en el Formato 7D, para diligenciamiento exclusivo por parte de los oferentes, en consecuencia, no se admite injerencia alguna por parte de la entidad para efectos de adicionar o suprimir sus elementos.</w:t>
      </w:r>
    </w:p>
    <w:p w14:paraId="0D03B84B" w14:textId="77777777" w:rsidR="000C400F" w:rsidRPr="009903EC" w:rsidRDefault="000C400F" w:rsidP="00CC79DE">
      <w:pPr>
        <w:tabs>
          <w:tab w:val="left" w:pos="426"/>
        </w:tabs>
        <w:jc w:val="both"/>
        <w:rPr>
          <w:rFonts w:ascii="Arial" w:eastAsia="Calibri" w:hAnsi="Arial" w:cs="Arial"/>
          <w:noProof/>
          <w:sz w:val="20"/>
          <w:szCs w:val="20"/>
        </w:rPr>
      </w:pPr>
    </w:p>
    <w:p w14:paraId="41EE2D41" w14:textId="145374F2" w:rsidR="00EA0711" w:rsidRPr="009903EC" w:rsidRDefault="00EA0711" w:rsidP="00CC79DE">
      <w:pPr>
        <w:jc w:val="both"/>
        <w:rPr>
          <w:rFonts w:ascii="Arial" w:hAnsi="Arial" w:cs="Arial"/>
          <w:sz w:val="20"/>
          <w:szCs w:val="20"/>
        </w:rPr>
      </w:pPr>
    </w:p>
    <w:p w14:paraId="1244D072" w14:textId="3EC31F1A" w:rsidR="00761CAA" w:rsidRPr="009903EC" w:rsidRDefault="00761CAA" w:rsidP="00CC79DE">
      <w:pPr>
        <w:jc w:val="both"/>
        <w:rPr>
          <w:rFonts w:ascii="Arial" w:hAnsi="Arial" w:cs="Arial"/>
          <w:b/>
          <w:sz w:val="22"/>
        </w:rPr>
      </w:pPr>
      <w:r w:rsidRPr="009903EC">
        <w:rPr>
          <w:rFonts w:ascii="Arial" w:hAnsi="Arial" w:cs="Arial"/>
          <w:b/>
          <w:sz w:val="22"/>
        </w:rPr>
        <w:t>GARANT</w:t>
      </w:r>
      <w:r w:rsidR="0041218E" w:rsidRPr="009903EC">
        <w:rPr>
          <w:rFonts w:ascii="Arial" w:hAnsi="Arial" w:cs="Arial"/>
          <w:b/>
          <w:sz w:val="22"/>
        </w:rPr>
        <w:t>Í</w:t>
      </w:r>
      <w:r w:rsidRPr="009903EC">
        <w:rPr>
          <w:rFonts w:ascii="Arial" w:hAnsi="Arial" w:cs="Arial"/>
          <w:b/>
          <w:sz w:val="22"/>
        </w:rPr>
        <w:t xml:space="preserve">A ADICIONAL O SUPLEMENTARIA – </w:t>
      </w:r>
      <w:r w:rsidR="00800DEA" w:rsidRPr="009903EC">
        <w:rPr>
          <w:rFonts w:ascii="Arial" w:hAnsi="Arial" w:cs="Arial"/>
          <w:b/>
          <w:sz w:val="22"/>
        </w:rPr>
        <w:t xml:space="preserve">Documentos tipo – Formato </w:t>
      </w:r>
      <w:r w:rsidR="00D73D9F" w:rsidRPr="009903EC">
        <w:rPr>
          <w:rFonts w:ascii="Arial" w:hAnsi="Arial" w:cs="Arial"/>
          <w:b/>
          <w:sz w:val="22"/>
        </w:rPr>
        <w:t>7D</w:t>
      </w:r>
      <w:r w:rsidR="00071287" w:rsidRPr="009903EC">
        <w:rPr>
          <w:rFonts w:ascii="Arial" w:hAnsi="Arial" w:cs="Arial"/>
          <w:b/>
          <w:sz w:val="22"/>
        </w:rPr>
        <w:t xml:space="preserve"> – Diligenciamiento</w:t>
      </w:r>
      <w:r w:rsidR="00800DEA" w:rsidRPr="009903EC">
        <w:rPr>
          <w:rFonts w:ascii="Arial" w:hAnsi="Arial" w:cs="Arial"/>
          <w:b/>
          <w:sz w:val="22"/>
        </w:rPr>
        <w:t xml:space="preserve"> </w:t>
      </w:r>
      <w:r w:rsidR="000C400F" w:rsidRPr="009903EC">
        <w:rPr>
          <w:rFonts w:ascii="Arial" w:hAnsi="Arial" w:cs="Arial"/>
          <w:b/>
          <w:sz w:val="22"/>
        </w:rPr>
        <w:t>- Suficiencia para obtención de puntaje</w:t>
      </w:r>
      <w:r w:rsidR="00460793" w:rsidRPr="009903EC">
        <w:rPr>
          <w:rFonts w:ascii="Arial" w:hAnsi="Arial" w:cs="Arial"/>
          <w:b/>
          <w:sz w:val="22"/>
        </w:rPr>
        <w:t xml:space="preserve"> - Tope</w:t>
      </w:r>
    </w:p>
    <w:p w14:paraId="636D1B20" w14:textId="00FF57DD" w:rsidR="00361BB8" w:rsidRPr="009903EC" w:rsidRDefault="00361BB8" w:rsidP="00CC79DE">
      <w:pPr>
        <w:rPr>
          <w:rFonts w:ascii="Arial" w:eastAsia="Calibri" w:hAnsi="Arial" w:cs="Arial"/>
          <w:sz w:val="22"/>
        </w:rPr>
      </w:pPr>
    </w:p>
    <w:p w14:paraId="068D41D7" w14:textId="6060FBB2" w:rsidR="00E92199" w:rsidRPr="009903EC" w:rsidRDefault="00800DEA" w:rsidP="00CC79DE">
      <w:pPr>
        <w:jc w:val="both"/>
        <w:rPr>
          <w:rFonts w:ascii="Arial" w:eastAsiaTheme="minorEastAsia" w:hAnsi="Arial" w:cs="Arial"/>
          <w:sz w:val="20"/>
          <w:szCs w:val="20"/>
        </w:rPr>
      </w:pPr>
      <w:r w:rsidRPr="009903EC">
        <w:rPr>
          <w:rFonts w:ascii="Arial" w:eastAsiaTheme="minorEastAsia" w:hAnsi="Arial" w:cs="Arial"/>
          <w:sz w:val="20"/>
          <w:szCs w:val="20"/>
        </w:rPr>
        <w:t xml:space="preserve">[…] </w:t>
      </w:r>
      <w:r w:rsidR="00E92199" w:rsidRPr="009903EC">
        <w:rPr>
          <w:rFonts w:ascii="Arial" w:hAnsi="Arial" w:cs="Arial"/>
          <w:sz w:val="20"/>
          <w:szCs w:val="20"/>
        </w:rPr>
        <w:t xml:space="preserve">en los documentos tipo se reconoce que la «garantía adicional o suplementaria» está asociada a la estabilidad y calidad de la obra. De igual forma, el proponente ofertará la vigencia de la garantía adicional a partir del vencimiento del plazo del amparo de estabilidad y calidad de la obra. En virtud de lo dispuesto en </w:t>
      </w:r>
      <w:r w:rsidR="00E92199" w:rsidRPr="009903EC">
        <w:rPr>
          <w:rFonts w:ascii="Arial" w:eastAsia="Calibri" w:hAnsi="Arial" w:cs="Arial"/>
          <w:sz w:val="20"/>
          <w:szCs w:val="20"/>
          <w:lang w:eastAsia="es-ES_tradnl"/>
        </w:rPr>
        <w:t xml:space="preserve">el artículo 2.2.1.2.3.1.7 </w:t>
      </w:r>
      <w:r w:rsidR="00E92199" w:rsidRPr="009903EC">
        <w:rPr>
          <w:rFonts w:ascii="Arial" w:hAnsi="Arial" w:cs="Arial"/>
          <w:sz w:val="20"/>
          <w:szCs w:val="20"/>
        </w:rPr>
        <w:t>Decreto 1082 de 2015 este amparo cubre a la Entidad Estatal de los perjuicios ocasionados por cualquier tipo de daño o deterioro, imputable al contratista, sufrido por la obra entregada a satisfacción.</w:t>
      </w:r>
      <w:r w:rsidR="00E92199" w:rsidRPr="009903EC">
        <w:rPr>
          <w:rFonts w:ascii="Arial" w:eastAsia="Calibri" w:hAnsi="Arial" w:cs="Arial"/>
          <w:sz w:val="20"/>
          <w:szCs w:val="20"/>
          <w:lang w:eastAsia="es-ES_tradnl"/>
        </w:rPr>
        <w:t xml:space="preserve"> Para este factor, la entidad otorgará el puntaje que determine de acuerdo con el número de meses que el proponente ofrezca como vigencia de la garantía adicional. </w:t>
      </w:r>
      <w:r w:rsidR="00E92199" w:rsidRPr="009903EC">
        <w:rPr>
          <w:rFonts w:ascii="Arial" w:eastAsia="Arial" w:hAnsi="Arial" w:cs="Arial"/>
          <w:sz w:val="20"/>
          <w:szCs w:val="20"/>
        </w:rPr>
        <w:t xml:space="preserve">Por tanto, le corresponde al oferente diligenciar el «Formato 7D – Garantía suplementaria o adicional», donde indicará bajo la gravedad de juramento cuál es el compromiso que asume respecto del número de meses de la garantía suplementaria o adicional. Para lo anterior, este formato contiene la siguiente nota en corchetes y resaltado en gris: </w:t>
      </w:r>
      <w:r w:rsidR="00E92199" w:rsidRPr="009903EC">
        <w:rPr>
          <w:rFonts w:ascii="Arial" w:eastAsiaTheme="minorEastAsia" w:hAnsi="Arial" w:cs="Arial"/>
          <w:sz w:val="20"/>
          <w:szCs w:val="20"/>
        </w:rPr>
        <w:t xml:space="preserve">La garantía adicional o suplementaria será otorgada por el término de </w:t>
      </w:r>
      <w:r w:rsidR="00E92199" w:rsidRPr="007C1AA6">
        <w:rPr>
          <w:rFonts w:ascii="Arial" w:eastAsiaTheme="minorEastAsia" w:hAnsi="Arial" w:cs="Arial"/>
          <w:sz w:val="20"/>
          <w:szCs w:val="20"/>
        </w:rPr>
        <w:t>[Señalar el número de meses que no supere el plazo establecido en el documento base]</w:t>
      </w:r>
      <w:r w:rsidR="00E92199" w:rsidRPr="009903EC">
        <w:rPr>
          <w:rFonts w:ascii="Arial" w:eastAsiaTheme="minorEastAsia" w:hAnsi="Arial" w:cs="Arial"/>
          <w:sz w:val="20"/>
          <w:szCs w:val="20"/>
        </w:rPr>
        <w:t>.</w:t>
      </w:r>
    </w:p>
    <w:p w14:paraId="51354F2C" w14:textId="3F3B8BEA" w:rsidR="00E92199" w:rsidRPr="009903EC" w:rsidRDefault="00E92199" w:rsidP="00CC79DE">
      <w:pPr>
        <w:jc w:val="both"/>
        <w:rPr>
          <w:rFonts w:ascii="Arial" w:eastAsiaTheme="minorEastAsia" w:hAnsi="Arial" w:cs="Arial"/>
          <w:sz w:val="20"/>
          <w:szCs w:val="20"/>
        </w:rPr>
      </w:pPr>
    </w:p>
    <w:p w14:paraId="0113DB3B" w14:textId="77777777" w:rsidR="00460793" w:rsidRPr="009903EC" w:rsidRDefault="00460793" w:rsidP="00CC79DE">
      <w:pPr>
        <w:jc w:val="both"/>
        <w:rPr>
          <w:rFonts w:ascii="Arial" w:eastAsiaTheme="minorEastAsia" w:hAnsi="Arial" w:cs="Arial"/>
          <w:sz w:val="20"/>
          <w:szCs w:val="20"/>
        </w:rPr>
      </w:pPr>
    </w:p>
    <w:p w14:paraId="398E1B06" w14:textId="70875BA3" w:rsidR="00460793" w:rsidRPr="009903EC" w:rsidRDefault="00460793" w:rsidP="00CC79DE">
      <w:pPr>
        <w:jc w:val="both"/>
        <w:rPr>
          <w:rFonts w:ascii="Arial" w:eastAsiaTheme="minorEastAsia" w:hAnsi="Arial" w:cs="Arial"/>
          <w:sz w:val="20"/>
          <w:szCs w:val="20"/>
        </w:rPr>
      </w:pPr>
      <w:r w:rsidRPr="009903EC">
        <w:rPr>
          <w:rFonts w:ascii="Arial" w:eastAsiaTheme="minorEastAsia" w:hAnsi="Arial" w:cs="Arial"/>
          <w:sz w:val="20"/>
          <w:szCs w:val="20"/>
        </w:rPr>
        <w:t xml:space="preserve">En ese orden, los proponentes estarán en la libertad de ofertar el número de meses de garantía adicional que este en capacidad de ofrecer, sin rebasar el tope establecido por la entidad.  </w:t>
      </w:r>
    </w:p>
    <w:p w14:paraId="13D37B99" w14:textId="77777777" w:rsidR="00071287" w:rsidRPr="009903EC" w:rsidRDefault="00071287" w:rsidP="00CC79DE">
      <w:pPr>
        <w:jc w:val="both"/>
        <w:rPr>
          <w:rFonts w:ascii="Arial" w:eastAsiaTheme="minorEastAsia" w:hAnsi="Arial" w:cs="Arial"/>
          <w:sz w:val="20"/>
          <w:szCs w:val="20"/>
        </w:rPr>
      </w:pPr>
    </w:p>
    <w:p w14:paraId="7691F8BD" w14:textId="73991D26" w:rsidR="006E39EA" w:rsidRPr="009903EC" w:rsidRDefault="00E92199" w:rsidP="00CC79DE">
      <w:pPr>
        <w:jc w:val="both"/>
        <w:rPr>
          <w:rFonts w:ascii="Arial" w:eastAsiaTheme="minorEastAsia" w:hAnsi="Arial" w:cs="Arial"/>
          <w:sz w:val="20"/>
          <w:szCs w:val="20"/>
        </w:rPr>
      </w:pPr>
      <w:r w:rsidRPr="009903EC">
        <w:rPr>
          <w:rFonts w:ascii="Arial" w:eastAsiaTheme="minorEastAsia" w:hAnsi="Arial" w:cs="Arial"/>
          <w:sz w:val="20"/>
          <w:szCs w:val="20"/>
        </w:rPr>
        <w:t>En todo caso, se reitera que de acuerdo con lo establecido en el documento base, la asignación del puntaje correspondiente al factor de calidad se hace en función del número de meses ofertados de vigencia de la garantía suplementaria o adicional, y no en relación con la frecuencia del seguimiento durante el término de vigencia de aquella. En ese sentido la evaluación del factor de calidad de la garantía suplementaría está determinada por los meses durante los cuales el contratista ofrece</w:t>
      </w:r>
      <w:r w:rsidR="00071287" w:rsidRPr="009903EC">
        <w:rPr>
          <w:rFonts w:ascii="Arial" w:eastAsiaTheme="minorEastAsia" w:hAnsi="Arial" w:cs="Arial"/>
          <w:sz w:val="20"/>
          <w:szCs w:val="20"/>
        </w:rPr>
        <w:t xml:space="preserve"> mantener la garantía adicional respetando el tope establecido por la entidad en el documento base, independientemente</w:t>
      </w:r>
      <w:r w:rsidRPr="009903EC">
        <w:rPr>
          <w:rFonts w:ascii="Arial" w:eastAsiaTheme="minorEastAsia" w:hAnsi="Arial" w:cs="Arial"/>
          <w:sz w:val="20"/>
          <w:szCs w:val="20"/>
        </w:rPr>
        <w:t xml:space="preserve"> de la frecuencia del seguimient</w:t>
      </w:r>
      <w:r w:rsidR="00071287" w:rsidRPr="009903EC">
        <w:rPr>
          <w:rFonts w:ascii="Arial" w:eastAsiaTheme="minorEastAsia" w:hAnsi="Arial" w:cs="Arial"/>
          <w:sz w:val="20"/>
          <w:szCs w:val="20"/>
        </w:rPr>
        <w:t>o que indique en el Formato 7D.</w:t>
      </w:r>
    </w:p>
    <w:p w14:paraId="701DA5CE" w14:textId="54EC3985" w:rsidR="000C400F" w:rsidRPr="009903EC" w:rsidRDefault="000C400F" w:rsidP="00CC79DE">
      <w:pPr>
        <w:jc w:val="both"/>
        <w:rPr>
          <w:rFonts w:ascii="Arial" w:eastAsiaTheme="minorEastAsia" w:hAnsi="Arial" w:cs="Arial"/>
          <w:sz w:val="20"/>
          <w:szCs w:val="20"/>
        </w:rPr>
      </w:pPr>
    </w:p>
    <w:p w14:paraId="05679835" w14:textId="2D810A4F" w:rsidR="000C400F" w:rsidRPr="009903EC" w:rsidRDefault="000C400F" w:rsidP="00CC79DE">
      <w:pPr>
        <w:jc w:val="both"/>
        <w:rPr>
          <w:rFonts w:ascii="Arial" w:eastAsiaTheme="minorEastAsia" w:hAnsi="Arial" w:cs="Arial"/>
          <w:sz w:val="20"/>
          <w:szCs w:val="20"/>
        </w:rPr>
      </w:pPr>
      <w:r w:rsidRPr="007C1AA6">
        <w:rPr>
          <w:rFonts w:ascii="Arial" w:hAnsi="Arial" w:cs="Arial"/>
          <w:b/>
          <w:sz w:val="22"/>
        </w:rPr>
        <w:lastRenderedPageBreak/>
        <w:t>GARANTÍA ADICIONAL O SUPLEMENTARIA – Formato 7D – Frecuencia de seguimiento - Regla supletiva</w:t>
      </w:r>
    </w:p>
    <w:p w14:paraId="5860ED6E" w14:textId="7A4B14AA" w:rsidR="003569FD" w:rsidRPr="009903EC" w:rsidRDefault="003569FD" w:rsidP="00CC79DE">
      <w:pPr>
        <w:jc w:val="both"/>
        <w:rPr>
          <w:rFonts w:ascii="Arial" w:eastAsiaTheme="minorEastAsia" w:hAnsi="Arial" w:cs="Arial"/>
          <w:sz w:val="20"/>
          <w:szCs w:val="20"/>
        </w:rPr>
      </w:pPr>
    </w:p>
    <w:p w14:paraId="78D4C5B8" w14:textId="2692EA89" w:rsidR="000C400F" w:rsidRPr="009903EC" w:rsidRDefault="000C400F" w:rsidP="000C400F">
      <w:pPr>
        <w:autoSpaceDE w:val="0"/>
        <w:autoSpaceDN w:val="0"/>
        <w:adjustRightInd w:val="0"/>
        <w:jc w:val="both"/>
        <w:rPr>
          <w:rFonts w:ascii="Arial" w:hAnsi="Arial" w:cs="Arial"/>
          <w:color w:val="000000"/>
          <w:sz w:val="20"/>
          <w:szCs w:val="20"/>
        </w:rPr>
      </w:pPr>
      <w:r w:rsidRPr="009903EC">
        <w:rPr>
          <w:rFonts w:ascii="Arial" w:hAnsi="Arial" w:cs="Arial"/>
          <w:color w:val="000000"/>
          <w:sz w:val="20"/>
          <w:szCs w:val="20"/>
        </w:rPr>
        <w:t xml:space="preserve">[…] la garantía suplementaria o adicional prevista en el Formato 7D opera una vez haya expirado la garantía de calidad y estabilidad de la obra, y tiene un carácter supletivo frente al seguimiento.  Esto significa que, en primer lugar, el seguimiento a esta garantía debe realizarlo la entidad estatal, pues tiene carácter vinculante </w:t>
      </w:r>
      <w:r w:rsidR="00737474" w:rsidRPr="009903EC">
        <w:rPr>
          <w:rFonts w:ascii="Arial" w:hAnsi="Arial" w:cs="Arial"/>
          <w:color w:val="000000"/>
          <w:sz w:val="20"/>
          <w:szCs w:val="20"/>
        </w:rPr>
        <w:t>para aquella</w:t>
      </w:r>
      <w:r w:rsidR="002F3B3F" w:rsidRPr="009903EC">
        <w:rPr>
          <w:rFonts w:ascii="Arial" w:hAnsi="Arial" w:cs="Arial"/>
          <w:color w:val="000000"/>
          <w:sz w:val="20"/>
          <w:szCs w:val="20"/>
        </w:rPr>
        <w:t xml:space="preserve">, quien </w:t>
      </w:r>
      <w:r w:rsidRPr="009903EC">
        <w:rPr>
          <w:rFonts w:ascii="Arial" w:hAnsi="Arial" w:cs="Arial"/>
          <w:color w:val="000000"/>
          <w:sz w:val="20"/>
          <w:szCs w:val="20"/>
        </w:rPr>
        <w:t>debe hacer el seguimiento de su cumplimiento conforme a lo indicado en el numeral 4 del artículo 4 de la Ley 80 de 1993; no obstante, en aquellos casos en que la entidad estatal no designe a una persona para realizar el seguimiento, lo hará el contratista de manera supletiva en la frecuencia que se haya comprometido en el Formato 7D.</w:t>
      </w:r>
    </w:p>
    <w:p w14:paraId="2D64BDE3" w14:textId="77777777" w:rsidR="003569FD" w:rsidRPr="009903EC" w:rsidRDefault="003569FD" w:rsidP="00CC79DE">
      <w:pPr>
        <w:jc w:val="both"/>
        <w:rPr>
          <w:rFonts w:ascii="Arial" w:eastAsiaTheme="minorEastAsia" w:hAnsi="Arial" w:cs="Arial"/>
          <w:sz w:val="20"/>
          <w:szCs w:val="20"/>
        </w:rPr>
      </w:pPr>
    </w:p>
    <w:p w14:paraId="6C3553A5"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50887135"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4EFA2F1F"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514DE248"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68BC7427"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22E4451F"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6E715E22"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2C4E9818"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1418599F"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0E1AA099"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5E1EB4E7"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644DD06E"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374FAAA6"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23BF5CA5"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034241B6"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5CBB7842"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1303908E"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02B6C01D"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479665FE"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25F7E1EE"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5D130F68"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0361866C"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5E7BF5C1"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2E346942"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1F8D5B9B"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530D42A4"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429ECA33"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3B3A9164" w14:textId="77777777" w:rsidR="00F61483" w:rsidRPr="009903EC" w:rsidRDefault="00F61483" w:rsidP="00892B83">
      <w:pPr>
        <w:tabs>
          <w:tab w:val="left" w:pos="709"/>
        </w:tabs>
        <w:spacing w:line="276" w:lineRule="auto"/>
        <w:jc w:val="right"/>
        <w:rPr>
          <w:rFonts w:ascii="Arial" w:hAnsi="Arial" w:cs="Arial"/>
          <w:b/>
          <w:bCs/>
          <w:sz w:val="18"/>
          <w:szCs w:val="18"/>
          <w:lang w:val="es-CO"/>
        </w:rPr>
      </w:pPr>
    </w:p>
    <w:p w14:paraId="08EE0FF0" w14:textId="36CC19CF" w:rsidR="003E6461" w:rsidRPr="009903EC" w:rsidRDefault="003E6461" w:rsidP="00830BF0">
      <w:pPr>
        <w:tabs>
          <w:tab w:val="left" w:pos="709"/>
        </w:tabs>
        <w:spacing w:line="276" w:lineRule="auto"/>
        <w:jc w:val="right"/>
        <w:rPr>
          <w:rFonts w:ascii="Arial" w:hAnsi="Arial" w:cs="Arial"/>
          <w:b/>
          <w:bCs/>
          <w:sz w:val="18"/>
          <w:szCs w:val="18"/>
          <w:lang w:val="es-CO"/>
        </w:rPr>
      </w:pPr>
    </w:p>
    <w:p w14:paraId="4F06DB3D" w14:textId="5515801C" w:rsidR="00F45C6E" w:rsidRPr="009903EC" w:rsidRDefault="00F45C6E" w:rsidP="00830BF0">
      <w:pPr>
        <w:tabs>
          <w:tab w:val="left" w:pos="709"/>
        </w:tabs>
        <w:spacing w:line="276" w:lineRule="auto"/>
        <w:jc w:val="right"/>
        <w:rPr>
          <w:rFonts w:ascii="Arial" w:hAnsi="Arial" w:cs="Arial"/>
          <w:b/>
          <w:bCs/>
          <w:sz w:val="18"/>
          <w:szCs w:val="18"/>
          <w:lang w:val="es-CO"/>
        </w:rPr>
      </w:pPr>
    </w:p>
    <w:p w14:paraId="34E0A0EB" w14:textId="288A1CAE" w:rsidR="00F45C6E" w:rsidRPr="009903EC" w:rsidRDefault="00F45C6E" w:rsidP="00830BF0">
      <w:pPr>
        <w:tabs>
          <w:tab w:val="left" w:pos="709"/>
        </w:tabs>
        <w:spacing w:line="276" w:lineRule="auto"/>
        <w:jc w:val="right"/>
        <w:rPr>
          <w:rFonts w:ascii="Arial" w:hAnsi="Arial" w:cs="Arial"/>
          <w:b/>
          <w:bCs/>
          <w:sz w:val="18"/>
          <w:szCs w:val="18"/>
          <w:lang w:val="es-CO"/>
        </w:rPr>
      </w:pPr>
    </w:p>
    <w:p w14:paraId="557B19B9" w14:textId="6E96B83A" w:rsidR="00F45C6E" w:rsidRPr="009903EC" w:rsidRDefault="00F45C6E" w:rsidP="00830BF0">
      <w:pPr>
        <w:tabs>
          <w:tab w:val="left" w:pos="709"/>
        </w:tabs>
        <w:spacing w:line="276" w:lineRule="auto"/>
        <w:jc w:val="right"/>
        <w:rPr>
          <w:rFonts w:ascii="Arial" w:hAnsi="Arial" w:cs="Arial"/>
          <w:b/>
          <w:bCs/>
          <w:sz w:val="18"/>
          <w:szCs w:val="18"/>
          <w:lang w:val="es-CO"/>
        </w:rPr>
      </w:pPr>
    </w:p>
    <w:p w14:paraId="27268A19" w14:textId="0C8CB2D5" w:rsidR="00F45C6E" w:rsidRPr="009903EC" w:rsidRDefault="00F45C6E" w:rsidP="00830BF0">
      <w:pPr>
        <w:tabs>
          <w:tab w:val="left" w:pos="709"/>
        </w:tabs>
        <w:spacing w:line="276" w:lineRule="auto"/>
        <w:jc w:val="right"/>
        <w:rPr>
          <w:rFonts w:ascii="Arial" w:hAnsi="Arial" w:cs="Arial"/>
          <w:b/>
          <w:bCs/>
          <w:sz w:val="18"/>
          <w:szCs w:val="18"/>
          <w:lang w:val="es-CO"/>
        </w:rPr>
      </w:pPr>
    </w:p>
    <w:p w14:paraId="0CB54F60" w14:textId="22B2DFFB" w:rsidR="00F45C6E" w:rsidRPr="009903EC" w:rsidRDefault="00F45C6E" w:rsidP="00830BF0">
      <w:pPr>
        <w:tabs>
          <w:tab w:val="left" w:pos="709"/>
        </w:tabs>
        <w:spacing w:line="276" w:lineRule="auto"/>
        <w:jc w:val="right"/>
        <w:rPr>
          <w:rFonts w:ascii="Arial" w:hAnsi="Arial" w:cs="Arial"/>
          <w:b/>
          <w:bCs/>
          <w:sz w:val="18"/>
          <w:szCs w:val="18"/>
          <w:lang w:val="es-CO"/>
        </w:rPr>
      </w:pPr>
    </w:p>
    <w:p w14:paraId="43476C50" w14:textId="7D4BF89C" w:rsidR="00F45C6E" w:rsidRPr="009903EC" w:rsidRDefault="00F45C6E" w:rsidP="00830BF0">
      <w:pPr>
        <w:tabs>
          <w:tab w:val="left" w:pos="709"/>
        </w:tabs>
        <w:spacing w:line="276" w:lineRule="auto"/>
        <w:jc w:val="right"/>
        <w:rPr>
          <w:rFonts w:ascii="Arial" w:hAnsi="Arial" w:cs="Arial"/>
          <w:b/>
          <w:bCs/>
          <w:sz w:val="18"/>
          <w:szCs w:val="18"/>
          <w:lang w:val="es-CO"/>
        </w:rPr>
      </w:pPr>
    </w:p>
    <w:p w14:paraId="668D6311" w14:textId="77777777" w:rsidR="00F45C6E" w:rsidRPr="009903EC" w:rsidRDefault="00F45C6E" w:rsidP="00830BF0">
      <w:pPr>
        <w:tabs>
          <w:tab w:val="left" w:pos="709"/>
        </w:tabs>
        <w:spacing w:line="276" w:lineRule="auto"/>
        <w:jc w:val="right"/>
        <w:rPr>
          <w:rFonts w:ascii="Arial" w:hAnsi="Arial" w:cs="Arial"/>
          <w:b/>
          <w:bCs/>
          <w:sz w:val="18"/>
          <w:szCs w:val="18"/>
          <w:lang w:val="es-CO"/>
        </w:rPr>
      </w:pPr>
    </w:p>
    <w:p w14:paraId="422E1798" w14:textId="77777777" w:rsidR="00F45C6E" w:rsidRPr="009903EC" w:rsidRDefault="00F45C6E" w:rsidP="00830BF0">
      <w:pPr>
        <w:tabs>
          <w:tab w:val="left" w:pos="709"/>
        </w:tabs>
        <w:spacing w:line="276" w:lineRule="auto"/>
        <w:jc w:val="right"/>
        <w:rPr>
          <w:rFonts w:ascii="Arial" w:hAnsi="Arial" w:cs="Arial"/>
          <w:b/>
          <w:bCs/>
          <w:sz w:val="18"/>
          <w:szCs w:val="18"/>
          <w:lang w:val="es-CO"/>
        </w:rPr>
      </w:pPr>
    </w:p>
    <w:p w14:paraId="231BE941" w14:textId="4F4DAA5C" w:rsidR="003E6461" w:rsidRPr="009903EC" w:rsidRDefault="003E6461" w:rsidP="00EB0BBE">
      <w:pPr>
        <w:rPr>
          <w:rFonts w:ascii="Arial" w:eastAsia="Calibri" w:hAnsi="Arial" w:cs="Arial"/>
          <w:sz w:val="22"/>
        </w:rPr>
      </w:pPr>
    </w:p>
    <w:p w14:paraId="718D62C9" w14:textId="77777777" w:rsidR="00ED7F33" w:rsidRPr="009903EC" w:rsidRDefault="00ED7F33" w:rsidP="00EB0BBE">
      <w:pPr>
        <w:rPr>
          <w:rFonts w:ascii="Arial" w:eastAsia="Calibri" w:hAnsi="Arial" w:cs="Arial"/>
          <w:sz w:val="22"/>
        </w:rPr>
      </w:pPr>
    </w:p>
    <w:p w14:paraId="49783DD7" w14:textId="4BCD4099" w:rsidR="00CF54E6" w:rsidRPr="009903EC" w:rsidRDefault="00CF54E6" w:rsidP="00CF54E6">
      <w:pPr>
        <w:spacing w:line="276" w:lineRule="auto"/>
        <w:jc w:val="both"/>
        <w:outlineLvl w:val="0"/>
        <w:rPr>
          <w:rFonts w:ascii="Arial" w:eastAsia="Calibri" w:hAnsi="Arial" w:cs="Arial"/>
          <w:sz w:val="22"/>
          <w:lang w:val="es-ES"/>
        </w:rPr>
      </w:pPr>
      <w:r w:rsidRPr="009903EC">
        <w:rPr>
          <w:rFonts w:ascii="Arial" w:eastAsia="Calibri" w:hAnsi="Arial" w:cs="Arial"/>
          <w:sz w:val="22"/>
          <w:lang w:val="es-ES"/>
        </w:rPr>
        <w:lastRenderedPageBreak/>
        <w:t>Señor</w:t>
      </w:r>
      <w:r w:rsidR="00094FF9" w:rsidRPr="009903EC">
        <w:rPr>
          <w:rFonts w:ascii="Arial" w:eastAsia="Calibri" w:hAnsi="Arial" w:cs="Arial"/>
          <w:sz w:val="22"/>
          <w:lang w:val="es-ES"/>
        </w:rPr>
        <w:t>a</w:t>
      </w:r>
    </w:p>
    <w:p w14:paraId="24E93BEC" w14:textId="6E42BAB9" w:rsidR="00CF54E6" w:rsidRPr="009903EC" w:rsidRDefault="00094FF9" w:rsidP="00CF54E6">
      <w:pPr>
        <w:spacing w:line="276" w:lineRule="auto"/>
        <w:jc w:val="both"/>
        <w:rPr>
          <w:rFonts w:ascii="Arial" w:hAnsi="Arial" w:cs="Arial"/>
          <w:b/>
          <w:bCs/>
          <w:sz w:val="22"/>
          <w:lang w:val="es-CO"/>
        </w:rPr>
      </w:pPr>
      <w:r w:rsidRPr="009903EC">
        <w:rPr>
          <w:rFonts w:ascii="Arial" w:hAnsi="Arial" w:cs="Arial"/>
          <w:b/>
          <w:bCs/>
          <w:sz w:val="22"/>
          <w:lang w:val="es-CO"/>
        </w:rPr>
        <w:t>Diana Carolina Tovar Cort</w:t>
      </w:r>
      <w:r w:rsidR="00AE115D" w:rsidRPr="009903EC">
        <w:rPr>
          <w:rFonts w:ascii="Arial" w:hAnsi="Arial" w:cs="Arial"/>
          <w:b/>
          <w:bCs/>
          <w:sz w:val="22"/>
          <w:lang w:val="es-CO"/>
        </w:rPr>
        <w:t>é</w:t>
      </w:r>
      <w:r w:rsidRPr="009903EC">
        <w:rPr>
          <w:rFonts w:ascii="Arial" w:hAnsi="Arial" w:cs="Arial"/>
          <w:b/>
          <w:bCs/>
          <w:sz w:val="22"/>
          <w:lang w:val="es-CO"/>
        </w:rPr>
        <w:t>s</w:t>
      </w:r>
    </w:p>
    <w:p w14:paraId="52C41654" w14:textId="4D91C7CB" w:rsidR="00AF1718" w:rsidRPr="009903EC" w:rsidRDefault="00094FF9" w:rsidP="00CF54E6">
      <w:pPr>
        <w:spacing w:line="276" w:lineRule="auto"/>
        <w:jc w:val="both"/>
        <w:rPr>
          <w:rFonts w:ascii="Arial" w:hAnsi="Arial" w:cs="Arial"/>
          <w:sz w:val="22"/>
          <w:lang w:val="es-CO"/>
        </w:rPr>
      </w:pPr>
      <w:r w:rsidRPr="009903EC">
        <w:rPr>
          <w:rFonts w:ascii="Arial" w:hAnsi="Arial" w:cs="Arial"/>
          <w:sz w:val="22"/>
          <w:lang w:val="es-CO"/>
        </w:rPr>
        <w:t>Neiva</w:t>
      </w:r>
      <w:r w:rsidR="00590087" w:rsidRPr="009903EC">
        <w:rPr>
          <w:rFonts w:ascii="Arial" w:hAnsi="Arial" w:cs="Arial"/>
          <w:sz w:val="22"/>
          <w:lang w:val="es-CO"/>
        </w:rPr>
        <w:t xml:space="preserve">, </w:t>
      </w:r>
      <w:r w:rsidRPr="009903EC">
        <w:rPr>
          <w:rFonts w:ascii="Arial" w:hAnsi="Arial" w:cs="Arial"/>
          <w:sz w:val="22"/>
          <w:lang w:val="es-CO"/>
        </w:rPr>
        <w:t>Huila</w:t>
      </w:r>
    </w:p>
    <w:p w14:paraId="059319F3" w14:textId="77777777" w:rsidR="000261BB" w:rsidRPr="009903EC" w:rsidRDefault="000261BB" w:rsidP="00B67F3A">
      <w:pPr>
        <w:spacing w:line="276" w:lineRule="auto"/>
        <w:rPr>
          <w:rFonts w:ascii="Arial" w:eastAsia="Calibri" w:hAnsi="Arial" w:cs="Arial"/>
          <w:sz w:val="22"/>
        </w:rPr>
      </w:pPr>
    </w:p>
    <w:p w14:paraId="479972ED" w14:textId="77777777" w:rsidR="00AF1718" w:rsidRPr="009903EC" w:rsidRDefault="00AF1718" w:rsidP="00B67F3A">
      <w:pPr>
        <w:spacing w:line="276" w:lineRule="auto"/>
        <w:rPr>
          <w:rFonts w:ascii="Arial" w:eastAsia="Calibri" w:hAnsi="Arial" w:cs="Arial"/>
          <w:sz w:val="22"/>
        </w:rPr>
      </w:pPr>
    </w:p>
    <w:p w14:paraId="5D5D21AD" w14:textId="4B3ABAB7" w:rsidR="00DF5076" w:rsidRPr="009903EC" w:rsidRDefault="00C71C51" w:rsidP="002F723E">
      <w:pPr>
        <w:spacing w:line="276" w:lineRule="auto"/>
        <w:ind w:left="2694"/>
        <w:rPr>
          <w:rFonts w:ascii="Arial" w:eastAsia="Calibri" w:hAnsi="Arial" w:cs="Arial"/>
          <w:b/>
          <w:sz w:val="22"/>
        </w:rPr>
      </w:pPr>
      <w:r w:rsidRPr="009903EC">
        <w:rPr>
          <w:rFonts w:ascii="Arial" w:eastAsia="Calibri" w:hAnsi="Arial" w:cs="Arial"/>
          <w:b/>
          <w:sz w:val="22"/>
        </w:rPr>
        <w:t>Concepto C</w:t>
      </w:r>
      <w:r w:rsidR="00967D10" w:rsidRPr="009903EC">
        <w:rPr>
          <w:rFonts w:ascii="Arial" w:eastAsia="Calibri" w:hAnsi="Arial" w:cs="Arial"/>
          <w:b/>
          <w:sz w:val="22"/>
        </w:rPr>
        <w:t xml:space="preserve"> –</w:t>
      </w:r>
      <w:r w:rsidR="00892B83" w:rsidRPr="009903EC">
        <w:rPr>
          <w:rFonts w:ascii="Arial" w:eastAsia="Calibri" w:hAnsi="Arial" w:cs="Arial"/>
          <w:b/>
          <w:sz w:val="22"/>
        </w:rPr>
        <w:t xml:space="preserve"> </w:t>
      </w:r>
      <w:r w:rsidR="00FD22AE" w:rsidRPr="009903EC">
        <w:rPr>
          <w:rFonts w:ascii="Arial" w:eastAsia="Calibri" w:hAnsi="Arial" w:cs="Arial"/>
          <w:b/>
          <w:sz w:val="22"/>
        </w:rPr>
        <w:t>6</w:t>
      </w:r>
      <w:r w:rsidR="00094FF9" w:rsidRPr="009903EC">
        <w:rPr>
          <w:rFonts w:ascii="Arial" w:eastAsia="Calibri" w:hAnsi="Arial" w:cs="Arial"/>
          <w:b/>
          <w:sz w:val="22"/>
        </w:rPr>
        <w:t>48</w:t>
      </w:r>
      <w:r w:rsidR="00FD22AE" w:rsidRPr="009903EC">
        <w:rPr>
          <w:rFonts w:ascii="Arial" w:eastAsia="Calibri" w:hAnsi="Arial" w:cs="Arial"/>
          <w:b/>
          <w:sz w:val="22"/>
        </w:rPr>
        <w:t xml:space="preserve"> </w:t>
      </w:r>
      <w:r w:rsidR="00AF1718" w:rsidRPr="009903EC">
        <w:rPr>
          <w:rFonts w:ascii="Arial" w:eastAsia="Calibri" w:hAnsi="Arial" w:cs="Arial"/>
          <w:b/>
          <w:sz w:val="22"/>
        </w:rPr>
        <w:t>de 202</w:t>
      </w:r>
      <w:r w:rsidR="00094FF9" w:rsidRPr="009903EC">
        <w:rPr>
          <w:rFonts w:ascii="Arial" w:eastAsia="Calibri" w:hAnsi="Arial" w:cs="Arial"/>
          <w:b/>
          <w:sz w:val="22"/>
        </w:rPr>
        <w:t>2</w:t>
      </w:r>
    </w:p>
    <w:p w14:paraId="3E52E0FD" w14:textId="77777777" w:rsidR="00E92199" w:rsidRPr="009903EC" w:rsidRDefault="00E92199" w:rsidP="00B67F3A">
      <w:pPr>
        <w:spacing w:line="276" w:lineRule="auto"/>
        <w:rPr>
          <w:rFonts w:ascii="Arial" w:eastAsia="Calibri" w:hAnsi="Arial" w:cs="Arial"/>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AF1718" w:rsidRPr="009903EC" w14:paraId="00B1888F" w14:textId="77777777" w:rsidTr="004E51E3">
        <w:tc>
          <w:tcPr>
            <w:tcW w:w="2689" w:type="dxa"/>
            <w:hideMark/>
          </w:tcPr>
          <w:p w14:paraId="6531557F" w14:textId="1160258F" w:rsidR="00AF1718" w:rsidRPr="009903EC" w:rsidRDefault="00AF1718" w:rsidP="00B67F3A">
            <w:pPr>
              <w:spacing w:line="276" w:lineRule="auto"/>
              <w:rPr>
                <w:rFonts w:ascii="Arial" w:eastAsia="Calibri" w:hAnsi="Arial" w:cs="Arial"/>
                <w:sz w:val="22"/>
              </w:rPr>
            </w:pPr>
            <w:r w:rsidRPr="009903EC">
              <w:rPr>
                <w:rFonts w:ascii="Arial" w:eastAsia="Calibri" w:hAnsi="Arial" w:cs="Arial"/>
                <w:b/>
                <w:sz w:val="22"/>
              </w:rPr>
              <w:t>Temas:</w:t>
            </w:r>
            <w:r w:rsidRPr="009903EC">
              <w:rPr>
                <w:rFonts w:ascii="Arial" w:eastAsia="Calibri" w:hAnsi="Arial" w:cs="Arial"/>
                <w:sz w:val="22"/>
              </w:rPr>
              <w:t xml:space="preserve"> </w:t>
            </w:r>
          </w:p>
        </w:tc>
        <w:tc>
          <w:tcPr>
            <w:tcW w:w="6237" w:type="dxa"/>
            <w:hideMark/>
          </w:tcPr>
          <w:p w14:paraId="30A9E48B" w14:textId="3F295670" w:rsidR="000261BB" w:rsidRPr="009903EC" w:rsidRDefault="00E92199" w:rsidP="002F723E">
            <w:pPr>
              <w:spacing w:after="120"/>
              <w:jc w:val="both"/>
              <w:rPr>
                <w:rFonts w:ascii="Arial" w:hAnsi="Arial" w:cs="Arial"/>
                <w:sz w:val="22"/>
              </w:rPr>
            </w:pPr>
            <w:r w:rsidRPr="009903EC">
              <w:rPr>
                <w:rFonts w:ascii="Arial" w:eastAsia="Arial" w:hAnsi="Arial" w:cs="Arial"/>
                <w:sz w:val="22"/>
              </w:rPr>
              <w:t>DOCUMENTOS TIPO –</w:t>
            </w:r>
            <w:r w:rsidRPr="009903EC">
              <w:rPr>
                <w:rFonts w:ascii="Arial" w:hAnsi="Arial" w:cs="Arial"/>
                <w:color w:val="000000" w:themeColor="text1"/>
                <w:sz w:val="22"/>
                <w:lang w:val="es-ES_tradnl"/>
              </w:rPr>
              <w:t xml:space="preserve"> </w:t>
            </w:r>
            <w:r w:rsidRPr="009903EC">
              <w:rPr>
                <w:rFonts w:ascii="Arial" w:eastAsia="Calibri" w:hAnsi="Arial" w:cs="Arial"/>
                <w:bCs/>
                <w:sz w:val="22"/>
                <w:szCs w:val="24"/>
                <w:lang w:eastAsia="es-ES_tradnl"/>
              </w:rPr>
              <w:t>Obligatoriedad – Inalterabilidad</w:t>
            </w:r>
            <w:r w:rsidR="00460793" w:rsidRPr="009903EC">
              <w:rPr>
                <w:rFonts w:ascii="Arial" w:eastAsia="Calibri" w:hAnsi="Arial" w:cs="Arial"/>
                <w:bCs/>
                <w:sz w:val="22"/>
                <w:szCs w:val="24"/>
                <w:lang w:eastAsia="es-ES_tradnl"/>
              </w:rPr>
              <w:t xml:space="preserve"> / FACTOR</w:t>
            </w:r>
            <w:r w:rsidR="00500709" w:rsidRPr="009903EC">
              <w:rPr>
                <w:rFonts w:ascii="Arial" w:eastAsia="Calibri" w:hAnsi="Arial" w:cs="Arial"/>
                <w:bCs/>
                <w:sz w:val="22"/>
                <w:szCs w:val="24"/>
                <w:lang w:eastAsia="es-ES_tradnl"/>
              </w:rPr>
              <w:t xml:space="preserve"> DE</w:t>
            </w:r>
            <w:r w:rsidR="00460793" w:rsidRPr="009903EC">
              <w:rPr>
                <w:rFonts w:ascii="Arial" w:eastAsia="Calibri" w:hAnsi="Arial" w:cs="Arial"/>
                <w:bCs/>
                <w:sz w:val="22"/>
                <w:szCs w:val="24"/>
                <w:lang w:eastAsia="es-ES_tradnl"/>
              </w:rPr>
              <w:t xml:space="preserve"> CALIDAD</w:t>
            </w:r>
            <w:r w:rsidR="00273950" w:rsidRPr="009903EC">
              <w:rPr>
                <w:rFonts w:ascii="Arial" w:eastAsia="Calibri" w:hAnsi="Arial" w:cs="Arial"/>
                <w:bCs/>
                <w:sz w:val="22"/>
                <w:szCs w:val="24"/>
                <w:lang w:eastAsia="es-ES_tradnl"/>
              </w:rPr>
              <w:t xml:space="preserve"> </w:t>
            </w:r>
            <w:r w:rsidR="00273950" w:rsidRPr="009903EC">
              <w:rPr>
                <w:rFonts w:ascii="Arial" w:eastAsia="Arial" w:hAnsi="Arial" w:cs="Arial"/>
                <w:sz w:val="22"/>
              </w:rPr>
              <w:t xml:space="preserve">– </w:t>
            </w:r>
            <w:r w:rsidR="00460793" w:rsidRPr="009903EC">
              <w:rPr>
                <w:rFonts w:ascii="Arial" w:eastAsia="Calibri" w:hAnsi="Arial" w:cs="Arial"/>
                <w:bCs/>
                <w:sz w:val="22"/>
                <w:szCs w:val="24"/>
                <w:lang w:eastAsia="es-ES_tradnl"/>
              </w:rPr>
              <w:t xml:space="preserve">Formatos </w:t>
            </w:r>
            <w:r w:rsidR="00273950" w:rsidRPr="009903EC">
              <w:rPr>
                <w:rFonts w:ascii="Arial" w:eastAsia="Arial" w:hAnsi="Arial" w:cs="Arial"/>
                <w:sz w:val="22"/>
              </w:rPr>
              <w:t>–</w:t>
            </w:r>
            <w:r w:rsidR="00460793" w:rsidRPr="009903EC">
              <w:rPr>
                <w:rFonts w:ascii="Arial" w:eastAsia="Calibri" w:hAnsi="Arial" w:cs="Arial"/>
                <w:bCs/>
                <w:sz w:val="22"/>
                <w:szCs w:val="24"/>
                <w:lang w:eastAsia="es-ES_tradnl"/>
              </w:rPr>
              <w:t xml:space="preserve"> </w:t>
            </w:r>
            <w:r w:rsidR="00737474" w:rsidRPr="009903EC">
              <w:rPr>
                <w:rFonts w:ascii="Arial" w:eastAsia="Calibri" w:hAnsi="Arial" w:cs="Arial"/>
                <w:bCs/>
                <w:sz w:val="22"/>
                <w:szCs w:val="24"/>
                <w:lang w:eastAsia="es-ES_tradnl"/>
              </w:rPr>
              <w:t xml:space="preserve">Obligatoriedad </w:t>
            </w:r>
            <w:r w:rsidR="00273950" w:rsidRPr="009903EC">
              <w:rPr>
                <w:rFonts w:ascii="Arial" w:eastAsia="Arial" w:hAnsi="Arial" w:cs="Arial"/>
                <w:sz w:val="22"/>
              </w:rPr>
              <w:t>–</w:t>
            </w:r>
            <w:r w:rsidR="00460793" w:rsidRPr="009903EC">
              <w:rPr>
                <w:rFonts w:ascii="Arial" w:eastAsia="Calibri" w:hAnsi="Arial" w:cs="Arial"/>
                <w:bCs/>
                <w:sz w:val="22"/>
                <w:szCs w:val="24"/>
                <w:lang w:eastAsia="es-ES_tradnl"/>
              </w:rPr>
              <w:t xml:space="preserve">Inalterabilidad </w:t>
            </w:r>
            <w:r w:rsidR="00273950" w:rsidRPr="009903EC">
              <w:rPr>
                <w:rFonts w:ascii="Arial" w:eastAsia="Arial" w:hAnsi="Arial" w:cs="Arial"/>
                <w:sz w:val="22"/>
              </w:rPr>
              <w:t>–</w:t>
            </w:r>
            <w:r w:rsidR="00460793" w:rsidRPr="009903EC">
              <w:rPr>
                <w:rFonts w:ascii="Arial" w:eastAsia="Calibri" w:hAnsi="Arial" w:cs="Arial"/>
                <w:bCs/>
                <w:sz w:val="22"/>
                <w:szCs w:val="24"/>
                <w:lang w:eastAsia="es-ES_tradnl"/>
              </w:rPr>
              <w:t xml:space="preserve"> Formato 7D</w:t>
            </w:r>
            <w:r w:rsidRPr="009903EC">
              <w:rPr>
                <w:rFonts w:ascii="Arial" w:eastAsia="Calibri" w:hAnsi="Arial" w:cs="Arial"/>
                <w:bCs/>
                <w:sz w:val="22"/>
                <w:szCs w:val="24"/>
                <w:lang w:eastAsia="es-ES_tradnl"/>
              </w:rPr>
              <w:t xml:space="preserve"> / </w:t>
            </w:r>
            <w:r w:rsidRPr="009903EC">
              <w:rPr>
                <w:rFonts w:ascii="Arial" w:hAnsi="Arial" w:cs="Arial"/>
                <w:sz w:val="22"/>
              </w:rPr>
              <w:t>GARANTIA ADICIONAL O SUPLEMENTARIA – Documentos tipo – Formato 7D –Frecuencia de seguimiento</w:t>
            </w:r>
            <w:r w:rsidR="00460793" w:rsidRPr="009903EC">
              <w:rPr>
                <w:rFonts w:ascii="Arial" w:hAnsi="Arial" w:cs="Arial"/>
                <w:sz w:val="22"/>
              </w:rPr>
              <w:t xml:space="preserve"> - Suficiencia para obtención de puntaje </w:t>
            </w:r>
            <w:r w:rsidR="00273950" w:rsidRPr="009903EC">
              <w:rPr>
                <w:rFonts w:ascii="Arial" w:eastAsia="Arial" w:hAnsi="Arial" w:cs="Arial"/>
                <w:sz w:val="22"/>
              </w:rPr>
              <w:t>–</w:t>
            </w:r>
            <w:r w:rsidR="00460793" w:rsidRPr="009903EC">
              <w:rPr>
                <w:rFonts w:ascii="Arial" w:hAnsi="Arial" w:cs="Arial"/>
                <w:sz w:val="22"/>
              </w:rPr>
              <w:t xml:space="preserve"> Tope / GARANTÍA ADICIONAL O SUPLEMENTARIA – Formato 7D – Frecuencia de seguimiento </w:t>
            </w:r>
            <w:r w:rsidR="00273950" w:rsidRPr="009903EC">
              <w:rPr>
                <w:rFonts w:ascii="Arial" w:eastAsia="Arial" w:hAnsi="Arial" w:cs="Arial"/>
                <w:sz w:val="22"/>
              </w:rPr>
              <w:t>–</w:t>
            </w:r>
            <w:r w:rsidR="00460793" w:rsidRPr="009903EC">
              <w:rPr>
                <w:rFonts w:ascii="Arial" w:hAnsi="Arial" w:cs="Arial"/>
                <w:sz w:val="22"/>
              </w:rPr>
              <w:t xml:space="preserve"> Regla supletiva</w:t>
            </w:r>
          </w:p>
        </w:tc>
      </w:tr>
      <w:tr w:rsidR="00AF1718" w:rsidRPr="009903EC" w14:paraId="0E180394" w14:textId="77777777" w:rsidTr="004E51E3">
        <w:tc>
          <w:tcPr>
            <w:tcW w:w="2689" w:type="dxa"/>
          </w:tcPr>
          <w:p w14:paraId="35D0842E" w14:textId="479A2990" w:rsidR="00AF1718" w:rsidRPr="009903EC" w:rsidRDefault="00AF1718" w:rsidP="00B67F3A">
            <w:pPr>
              <w:spacing w:line="276" w:lineRule="auto"/>
              <w:rPr>
                <w:rFonts w:ascii="Arial" w:eastAsia="Calibri" w:hAnsi="Arial" w:cs="Arial"/>
                <w:sz w:val="22"/>
              </w:rPr>
            </w:pPr>
            <w:r w:rsidRPr="009903EC">
              <w:rPr>
                <w:rFonts w:ascii="Arial" w:eastAsia="Calibri" w:hAnsi="Arial" w:cs="Arial"/>
                <w:sz w:val="22"/>
              </w:rPr>
              <w:t>Radicación:</w:t>
            </w:r>
          </w:p>
        </w:tc>
        <w:tc>
          <w:tcPr>
            <w:tcW w:w="6237" w:type="dxa"/>
          </w:tcPr>
          <w:p w14:paraId="1B6BB553" w14:textId="4AB92361" w:rsidR="00AF1718" w:rsidRPr="009903EC" w:rsidRDefault="00FF6BBB" w:rsidP="00892B83">
            <w:pPr>
              <w:spacing w:line="276" w:lineRule="auto"/>
              <w:ind w:left="1"/>
              <w:jc w:val="both"/>
              <w:rPr>
                <w:rFonts w:ascii="Arial" w:eastAsia="Calibri" w:hAnsi="Arial" w:cs="Arial"/>
                <w:sz w:val="22"/>
              </w:rPr>
            </w:pPr>
            <w:r w:rsidRPr="009903EC">
              <w:rPr>
                <w:rFonts w:ascii="Arial" w:eastAsia="Calibri" w:hAnsi="Arial" w:cs="Arial"/>
                <w:sz w:val="22"/>
              </w:rPr>
              <w:t xml:space="preserve">Respuesta a </w:t>
            </w:r>
            <w:r w:rsidR="000261BB" w:rsidRPr="009903EC">
              <w:rPr>
                <w:rFonts w:ascii="Arial" w:eastAsia="Calibri" w:hAnsi="Arial" w:cs="Arial"/>
                <w:sz w:val="22"/>
              </w:rPr>
              <w:t xml:space="preserve">la </w:t>
            </w:r>
            <w:r w:rsidRPr="009903EC">
              <w:rPr>
                <w:rFonts w:ascii="Arial" w:eastAsia="Calibri" w:hAnsi="Arial" w:cs="Arial"/>
                <w:sz w:val="22"/>
              </w:rPr>
              <w:t>consulta</w:t>
            </w:r>
            <w:r w:rsidR="00AF1718" w:rsidRPr="009903EC">
              <w:rPr>
                <w:rFonts w:ascii="Arial" w:eastAsia="Calibri" w:hAnsi="Arial" w:cs="Arial"/>
                <w:sz w:val="22"/>
              </w:rPr>
              <w:t xml:space="preserve"> # </w:t>
            </w:r>
            <w:r w:rsidR="00A15F44" w:rsidRPr="009903EC">
              <w:rPr>
                <w:rFonts w:ascii="Arial" w:eastAsia="Calibri" w:hAnsi="Arial" w:cs="Arial"/>
                <w:sz w:val="22"/>
              </w:rPr>
              <w:t>P202</w:t>
            </w:r>
            <w:r w:rsidR="00094FF9" w:rsidRPr="009903EC">
              <w:rPr>
                <w:rFonts w:ascii="Arial" w:eastAsia="Calibri" w:hAnsi="Arial" w:cs="Arial"/>
                <w:sz w:val="22"/>
              </w:rPr>
              <w:t>20826008514</w:t>
            </w:r>
          </w:p>
        </w:tc>
      </w:tr>
    </w:tbl>
    <w:p w14:paraId="5032701F" w14:textId="548DDDB5" w:rsidR="00E658C9" w:rsidRPr="009903EC" w:rsidRDefault="00E658C9" w:rsidP="00B67F3A">
      <w:pPr>
        <w:spacing w:line="276" w:lineRule="auto"/>
        <w:rPr>
          <w:rFonts w:ascii="Arial" w:eastAsia="Calibri" w:hAnsi="Arial" w:cs="Arial"/>
          <w:sz w:val="22"/>
        </w:rPr>
      </w:pPr>
    </w:p>
    <w:p w14:paraId="330D2A6B" w14:textId="77777777" w:rsidR="000261BB" w:rsidRPr="009903EC" w:rsidRDefault="000261BB" w:rsidP="0067722F">
      <w:pPr>
        <w:spacing w:line="276" w:lineRule="auto"/>
        <w:rPr>
          <w:rFonts w:ascii="Arial" w:eastAsia="Calibri" w:hAnsi="Arial" w:cs="Arial"/>
          <w:sz w:val="22"/>
        </w:rPr>
      </w:pPr>
    </w:p>
    <w:p w14:paraId="5585167A" w14:textId="11023589" w:rsidR="00B20EEE" w:rsidRPr="009903EC" w:rsidRDefault="00AF1718" w:rsidP="00145C2E">
      <w:pPr>
        <w:spacing w:after="120" w:line="276" w:lineRule="auto"/>
        <w:rPr>
          <w:rFonts w:ascii="Arial" w:eastAsia="Calibri" w:hAnsi="Arial" w:cs="Arial"/>
          <w:sz w:val="22"/>
        </w:rPr>
      </w:pPr>
      <w:r w:rsidRPr="009903EC">
        <w:rPr>
          <w:rFonts w:ascii="Arial" w:eastAsia="Calibri" w:hAnsi="Arial" w:cs="Arial"/>
          <w:sz w:val="22"/>
        </w:rPr>
        <w:t>Estimad</w:t>
      </w:r>
      <w:r w:rsidR="00094FF9" w:rsidRPr="009903EC">
        <w:rPr>
          <w:rFonts w:ascii="Arial" w:eastAsia="Calibri" w:hAnsi="Arial" w:cs="Arial"/>
          <w:sz w:val="22"/>
        </w:rPr>
        <w:t>a</w:t>
      </w:r>
      <w:r w:rsidRPr="009903EC">
        <w:rPr>
          <w:rFonts w:ascii="Arial" w:eastAsia="Calibri" w:hAnsi="Arial" w:cs="Arial"/>
          <w:sz w:val="22"/>
        </w:rPr>
        <w:t xml:space="preserve"> </w:t>
      </w:r>
      <w:r w:rsidR="00C71C51" w:rsidRPr="009903EC">
        <w:rPr>
          <w:rFonts w:ascii="Arial" w:eastAsia="Calibri" w:hAnsi="Arial" w:cs="Arial"/>
          <w:sz w:val="22"/>
        </w:rPr>
        <w:t>señor</w:t>
      </w:r>
      <w:r w:rsidR="00094FF9" w:rsidRPr="009903EC">
        <w:rPr>
          <w:rFonts w:ascii="Arial" w:eastAsia="Calibri" w:hAnsi="Arial" w:cs="Arial"/>
          <w:sz w:val="22"/>
        </w:rPr>
        <w:t>a</w:t>
      </w:r>
      <w:r w:rsidR="00C71C51" w:rsidRPr="009903EC">
        <w:rPr>
          <w:rFonts w:ascii="Arial" w:eastAsia="Calibri" w:hAnsi="Arial" w:cs="Arial"/>
          <w:sz w:val="22"/>
        </w:rPr>
        <w:t xml:space="preserve"> </w:t>
      </w:r>
      <w:r w:rsidR="00FF4D64" w:rsidRPr="009903EC">
        <w:rPr>
          <w:rFonts w:ascii="Arial" w:eastAsia="Calibri" w:hAnsi="Arial" w:cs="Arial"/>
          <w:sz w:val="22"/>
        </w:rPr>
        <w:t>Tovar Cort</w:t>
      </w:r>
      <w:r w:rsidR="00AE115D" w:rsidRPr="009903EC">
        <w:rPr>
          <w:rFonts w:ascii="Arial" w:eastAsia="Calibri" w:hAnsi="Arial" w:cs="Arial"/>
          <w:sz w:val="22"/>
        </w:rPr>
        <w:t>é</w:t>
      </w:r>
      <w:r w:rsidR="00FF4D64" w:rsidRPr="009903EC">
        <w:rPr>
          <w:rFonts w:ascii="Arial" w:eastAsia="Calibri" w:hAnsi="Arial" w:cs="Arial"/>
          <w:sz w:val="22"/>
        </w:rPr>
        <w:t>s:</w:t>
      </w:r>
    </w:p>
    <w:p w14:paraId="08C8CA6B" w14:textId="33CA295C" w:rsidR="00AF1718" w:rsidRPr="009903EC" w:rsidRDefault="00AF1718" w:rsidP="00B67F3A">
      <w:pPr>
        <w:spacing w:line="276" w:lineRule="auto"/>
        <w:jc w:val="both"/>
        <w:rPr>
          <w:rFonts w:ascii="Arial" w:eastAsia="Calibri" w:hAnsi="Arial" w:cs="Arial"/>
          <w:sz w:val="22"/>
        </w:rPr>
      </w:pPr>
      <w:r w:rsidRPr="009903EC">
        <w:rPr>
          <w:rFonts w:ascii="Arial" w:eastAsia="Calibri" w:hAnsi="Arial" w:cs="Arial"/>
          <w:sz w:val="22"/>
        </w:rPr>
        <w:t>En ejercicio de la competencia otorgada por el numeral 8 del artículo 11 y el numeral 5 del artículo 3 del Decreto Ley 4170 de 2011, la Agencia Nacional de Contratación Pública – Colombia Compra Eficien</w:t>
      </w:r>
      <w:r w:rsidR="004F2FA6" w:rsidRPr="009903EC">
        <w:rPr>
          <w:rFonts w:ascii="Arial" w:eastAsia="Calibri" w:hAnsi="Arial" w:cs="Arial"/>
          <w:sz w:val="22"/>
        </w:rPr>
        <w:t xml:space="preserve">te responde su consulta del </w:t>
      </w:r>
      <w:r w:rsidR="00C8061B" w:rsidRPr="009903EC">
        <w:rPr>
          <w:rFonts w:ascii="Arial" w:eastAsia="Calibri" w:hAnsi="Arial" w:cs="Arial"/>
          <w:sz w:val="22"/>
        </w:rPr>
        <w:t>2</w:t>
      </w:r>
      <w:r w:rsidR="00FF4D64" w:rsidRPr="009903EC">
        <w:rPr>
          <w:rFonts w:ascii="Arial" w:eastAsia="Calibri" w:hAnsi="Arial" w:cs="Arial"/>
          <w:sz w:val="22"/>
        </w:rPr>
        <w:t>5</w:t>
      </w:r>
      <w:r w:rsidR="00C8061B" w:rsidRPr="009903EC">
        <w:rPr>
          <w:rFonts w:ascii="Arial" w:eastAsia="Calibri" w:hAnsi="Arial" w:cs="Arial"/>
          <w:sz w:val="22"/>
        </w:rPr>
        <w:t xml:space="preserve"> </w:t>
      </w:r>
      <w:r w:rsidR="0072181F" w:rsidRPr="009903EC">
        <w:rPr>
          <w:rFonts w:ascii="Arial" w:eastAsia="Calibri" w:hAnsi="Arial" w:cs="Arial"/>
          <w:sz w:val="22"/>
        </w:rPr>
        <w:t xml:space="preserve">de </w:t>
      </w:r>
      <w:r w:rsidR="00FF4D64" w:rsidRPr="009903EC">
        <w:rPr>
          <w:rFonts w:ascii="Arial" w:eastAsia="Calibri" w:hAnsi="Arial" w:cs="Arial"/>
          <w:sz w:val="22"/>
        </w:rPr>
        <w:t>agosto</w:t>
      </w:r>
      <w:r w:rsidR="00146306" w:rsidRPr="009903EC">
        <w:rPr>
          <w:rFonts w:ascii="Arial" w:eastAsia="Calibri" w:hAnsi="Arial" w:cs="Arial"/>
          <w:sz w:val="22"/>
        </w:rPr>
        <w:t xml:space="preserve"> </w:t>
      </w:r>
      <w:r w:rsidRPr="009903EC">
        <w:rPr>
          <w:rFonts w:ascii="Arial" w:eastAsia="Calibri" w:hAnsi="Arial" w:cs="Arial"/>
          <w:sz w:val="22"/>
        </w:rPr>
        <w:t>de 202</w:t>
      </w:r>
      <w:r w:rsidR="00FF4D64" w:rsidRPr="009903EC">
        <w:rPr>
          <w:rFonts w:ascii="Arial" w:eastAsia="Calibri" w:hAnsi="Arial" w:cs="Arial"/>
          <w:sz w:val="22"/>
        </w:rPr>
        <w:t>2</w:t>
      </w:r>
      <w:r w:rsidR="00A002DA" w:rsidRPr="009903EC">
        <w:rPr>
          <w:rFonts w:ascii="Arial" w:eastAsia="Calibri" w:hAnsi="Arial" w:cs="Arial"/>
          <w:sz w:val="22"/>
        </w:rPr>
        <w:t>.</w:t>
      </w:r>
    </w:p>
    <w:p w14:paraId="1A0A2BD6" w14:textId="77777777" w:rsidR="00AF1718" w:rsidRPr="009903EC" w:rsidRDefault="00AF1718" w:rsidP="00B67F3A">
      <w:pPr>
        <w:spacing w:line="276" w:lineRule="auto"/>
        <w:jc w:val="both"/>
        <w:rPr>
          <w:rFonts w:ascii="Arial" w:eastAsia="Calibri" w:hAnsi="Arial" w:cs="Arial"/>
        </w:rPr>
      </w:pPr>
    </w:p>
    <w:p w14:paraId="269B720F" w14:textId="1A6521A5" w:rsidR="00722C4F" w:rsidRPr="009903EC" w:rsidRDefault="00AF1718" w:rsidP="00440BFC">
      <w:pPr>
        <w:pStyle w:val="Prrafodelista"/>
        <w:numPr>
          <w:ilvl w:val="0"/>
          <w:numId w:val="33"/>
        </w:numPr>
        <w:tabs>
          <w:tab w:val="left" w:pos="284"/>
        </w:tabs>
        <w:spacing w:line="276" w:lineRule="auto"/>
        <w:ind w:left="360"/>
        <w:jc w:val="both"/>
        <w:rPr>
          <w:rFonts w:ascii="Arial" w:eastAsia="Calibri" w:hAnsi="Arial" w:cs="Arial"/>
          <w:b/>
          <w:sz w:val="22"/>
        </w:rPr>
      </w:pPr>
      <w:r w:rsidRPr="009903EC">
        <w:rPr>
          <w:rFonts w:ascii="Arial" w:eastAsia="Calibri" w:hAnsi="Arial" w:cs="Arial"/>
          <w:b/>
          <w:sz w:val="22"/>
        </w:rPr>
        <w:t>Problema planteado</w:t>
      </w:r>
      <w:bookmarkStart w:id="2" w:name="_Hlk68679800"/>
    </w:p>
    <w:p w14:paraId="616B73D6" w14:textId="77777777" w:rsidR="00440BFC" w:rsidRPr="009903EC" w:rsidRDefault="00440BFC" w:rsidP="00440BFC">
      <w:pPr>
        <w:pStyle w:val="Prrafodelista"/>
        <w:tabs>
          <w:tab w:val="left" w:pos="284"/>
        </w:tabs>
        <w:spacing w:line="276" w:lineRule="auto"/>
        <w:jc w:val="both"/>
        <w:rPr>
          <w:rFonts w:ascii="Arial" w:eastAsia="Calibri" w:hAnsi="Arial" w:cs="Arial"/>
          <w:b/>
          <w:sz w:val="22"/>
        </w:rPr>
      </w:pPr>
    </w:p>
    <w:p w14:paraId="46B94649" w14:textId="6453150F" w:rsidR="00172E61" w:rsidRPr="009903EC" w:rsidRDefault="003B0B8D" w:rsidP="00672538">
      <w:pPr>
        <w:spacing w:line="276" w:lineRule="auto"/>
        <w:jc w:val="both"/>
        <w:rPr>
          <w:rFonts w:ascii="Arial" w:eastAsia="Calibri" w:hAnsi="Arial" w:cs="Arial"/>
          <w:sz w:val="22"/>
        </w:rPr>
      </w:pPr>
      <w:r w:rsidRPr="009903EC">
        <w:rPr>
          <w:rFonts w:ascii="Arial" w:eastAsia="Calibri" w:hAnsi="Arial" w:cs="Arial"/>
          <w:sz w:val="22"/>
        </w:rPr>
        <w:t>En</w:t>
      </w:r>
      <w:r w:rsidR="00672538" w:rsidRPr="009903EC">
        <w:rPr>
          <w:rFonts w:ascii="Arial" w:eastAsia="Calibri" w:hAnsi="Arial" w:cs="Arial"/>
          <w:sz w:val="22"/>
        </w:rPr>
        <w:t xml:space="preserve"> relación con la garantía suplementaria</w:t>
      </w:r>
      <w:r w:rsidR="0072181F" w:rsidRPr="009903EC">
        <w:rPr>
          <w:rFonts w:ascii="Arial" w:eastAsia="Calibri" w:hAnsi="Arial" w:cs="Arial"/>
          <w:sz w:val="22"/>
        </w:rPr>
        <w:t xml:space="preserve"> o adicional</w:t>
      </w:r>
      <w:r w:rsidR="00A13D9F" w:rsidRPr="009903EC">
        <w:rPr>
          <w:rFonts w:ascii="Arial" w:eastAsia="Calibri" w:hAnsi="Arial" w:cs="Arial"/>
          <w:sz w:val="22"/>
        </w:rPr>
        <w:t xml:space="preserve"> de los «Documentos Tipo – Versión 3» de licitació</w:t>
      </w:r>
      <w:r w:rsidR="003F48A0" w:rsidRPr="009903EC">
        <w:rPr>
          <w:rFonts w:ascii="Arial" w:eastAsia="Calibri" w:hAnsi="Arial" w:cs="Arial"/>
          <w:sz w:val="22"/>
        </w:rPr>
        <w:t>n para</w:t>
      </w:r>
      <w:r w:rsidR="00A13D9F" w:rsidRPr="009903EC">
        <w:rPr>
          <w:rFonts w:ascii="Arial" w:eastAsia="Calibri" w:hAnsi="Arial" w:cs="Arial"/>
          <w:sz w:val="22"/>
        </w:rPr>
        <w:t xml:space="preserve"> obra pública de infraestructura de </w:t>
      </w:r>
      <w:r w:rsidR="00FF4D64" w:rsidRPr="009903EC">
        <w:rPr>
          <w:rFonts w:ascii="Arial" w:eastAsia="Calibri" w:hAnsi="Arial" w:cs="Arial"/>
          <w:sz w:val="22"/>
        </w:rPr>
        <w:t>agua potable y saneamiento básico</w:t>
      </w:r>
      <w:r w:rsidR="00672538" w:rsidRPr="009903EC">
        <w:rPr>
          <w:rFonts w:ascii="Arial" w:eastAsia="Calibri" w:hAnsi="Arial" w:cs="Arial"/>
          <w:sz w:val="22"/>
        </w:rPr>
        <w:t xml:space="preserve">, usted realiza la siguiente </w:t>
      </w:r>
      <w:r w:rsidR="00A13D9F" w:rsidRPr="009903EC">
        <w:rPr>
          <w:rFonts w:ascii="Arial" w:eastAsia="Calibri" w:hAnsi="Arial" w:cs="Arial"/>
          <w:sz w:val="22"/>
        </w:rPr>
        <w:t>pregunta</w:t>
      </w:r>
      <w:r w:rsidR="00672538" w:rsidRPr="009903EC">
        <w:rPr>
          <w:rFonts w:ascii="Arial" w:eastAsia="Calibri" w:hAnsi="Arial" w:cs="Arial"/>
          <w:sz w:val="22"/>
        </w:rPr>
        <w:t xml:space="preserve">: </w:t>
      </w:r>
    </w:p>
    <w:p w14:paraId="7E46F76E" w14:textId="79071BF1" w:rsidR="00892B83" w:rsidRPr="009903EC" w:rsidRDefault="00892B83" w:rsidP="00672538">
      <w:pPr>
        <w:spacing w:line="276" w:lineRule="auto"/>
        <w:jc w:val="both"/>
        <w:rPr>
          <w:rFonts w:ascii="Arial" w:eastAsia="Calibri" w:hAnsi="Arial" w:cs="Arial"/>
          <w:sz w:val="22"/>
        </w:rPr>
      </w:pPr>
    </w:p>
    <w:p w14:paraId="6409ED82" w14:textId="248CF94F" w:rsidR="00892B83" w:rsidRPr="009903EC" w:rsidRDefault="003F48A0" w:rsidP="003F48A0">
      <w:pPr>
        <w:ind w:left="709" w:right="709"/>
        <w:jc w:val="both"/>
        <w:rPr>
          <w:rFonts w:ascii="Arial" w:hAnsi="Arial" w:cs="Arial"/>
          <w:color w:val="0D0D0D"/>
          <w:sz w:val="21"/>
          <w:szCs w:val="21"/>
          <w:bdr w:val="none" w:sz="0" w:space="0" w:color="auto" w:frame="1"/>
          <w:lang w:eastAsia="es-CO"/>
        </w:rPr>
      </w:pPr>
      <w:bookmarkStart w:id="3" w:name="_Hlk114664906"/>
      <w:r w:rsidRPr="009903EC">
        <w:rPr>
          <w:rFonts w:ascii="Arial" w:eastAsia="Calibri" w:hAnsi="Arial" w:cs="Arial"/>
          <w:sz w:val="21"/>
          <w:szCs w:val="21"/>
        </w:rPr>
        <w:t>«Cuando estaba vigente el formato 7D para los pliegos tipo de agua potable y saneamiento básico, el segundo párrafo donde el oferente ofrece realizar en caso que no haya ningún designado por la entidad seguimientos al menos tantas veces, este ofrecimiento era de libre ofrecimiento según lo considerará el oferente, o se debía proponer mínimo 1 seguimiento cada 6 meses[?]»</w:t>
      </w:r>
    </w:p>
    <w:bookmarkEnd w:id="3"/>
    <w:p w14:paraId="0D051550" w14:textId="61B33582" w:rsidR="00D73D9F" w:rsidRPr="009903EC" w:rsidRDefault="00D73D9F" w:rsidP="0067722F">
      <w:pPr>
        <w:shd w:val="clear" w:color="auto" w:fill="FFFFFF"/>
        <w:ind w:right="709"/>
        <w:jc w:val="both"/>
        <w:rPr>
          <w:rFonts w:ascii="Arial" w:hAnsi="Arial" w:cs="Arial"/>
          <w:color w:val="0D0D0D"/>
          <w:sz w:val="21"/>
          <w:szCs w:val="21"/>
          <w:bdr w:val="none" w:sz="0" w:space="0" w:color="auto" w:frame="1"/>
          <w:lang w:eastAsia="es-CO"/>
        </w:rPr>
      </w:pPr>
    </w:p>
    <w:bookmarkEnd w:id="2"/>
    <w:p w14:paraId="3426C5F7" w14:textId="426A4F91" w:rsidR="00F61483" w:rsidRPr="009903EC" w:rsidRDefault="00E7138C" w:rsidP="0067722F">
      <w:pPr>
        <w:spacing w:line="276" w:lineRule="auto"/>
        <w:jc w:val="both"/>
        <w:rPr>
          <w:rFonts w:ascii="Arial" w:eastAsia="Calibri" w:hAnsi="Arial" w:cs="Arial"/>
          <w:b/>
          <w:sz w:val="22"/>
        </w:rPr>
      </w:pPr>
      <w:r w:rsidRPr="009903EC">
        <w:rPr>
          <w:rFonts w:ascii="Arial" w:eastAsia="Calibri" w:hAnsi="Arial" w:cs="Arial"/>
          <w:b/>
          <w:sz w:val="22"/>
        </w:rPr>
        <w:t xml:space="preserve">2. </w:t>
      </w:r>
      <w:r w:rsidR="00817EA3" w:rsidRPr="009903EC">
        <w:rPr>
          <w:rFonts w:ascii="Arial" w:eastAsia="Calibri" w:hAnsi="Arial" w:cs="Arial"/>
          <w:b/>
          <w:sz w:val="22"/>
        </w:rPr>
        <w:t>C</w:t>
      </w:r>
      <w:r w:rsidRPr="009903EC">
        <w:rPr>
          <w:rFonts w:ascii="Arial" w:eastAsia="Calibri" w:hAnsi="Arial" w:cs="Arial"/>
          <w:b/>
          <w:sz w:val="22"/>
        </w:rPr>
        <w:t>onsideraciones</w:t>
      </w:r>
    </w:p>
    <w:p w14:paraId="788DA26F" w14:textId="77777777" w:rsidR="00AE115D" w:rsidRPr="009903EC" w:rsidRDefault="00AE115D" w:rsidP="007C1AA6">
      <w:pPr>
        <w:spacing w:line="276" w:lineRule="auto"/>
        <w:jc w:val="both"/>
        <w:rPr>
          <w:rFonts w:ascii="Arial" w:eastAsia="Calibri" w:hAnsi="Arial" w:cs="Arial"/>
          <w:sz w:val="22"/>
        </w:rPr>
      </w:pPr>
    </w:p>
    <w:p w14:paraId="6DF28CF4" w14:textId="6A575F1C" w:rsidR="00321A6D" w:rsidRPr="009903EC" w:rsidRDefault="00321A6D" w:rsidP="007C1AA6">
      <w:pPr>
        <w:spacing w:after="120" w:line="276" w:lineRule="auto"/>
        <w:jc w:val="both"/>
        <w:rPr>
          <w:rFonts w:ascii="Arial" w:eastAsia="Calibri" w:hAnsi="Arial" w:cs="Arial"/>
          <w:b/>
          <w:sz w:val="22"/>
        </w:rPr>
      </w:pPr>
      <w:r w:rsidRPr="009903EC">
        <w:rPr>
          <w:rFonts w:ascii="Arial" w:eastAsia="Calibri" w:hAnsi="Arial" w:cs="Arial"/>
          <w:sz w:val="22"/>
        </w:rPr>
        <w:t xml:space="preserve">Para </w:t>
      </w:r>
      <w:r w:rsidR="007F0795" w:rsidRPr="009903EC">
        <w:rPr>
          <w:rFonts w:ascii="Arial" w:eastAsia="Calibri" w:hAnsi="Arial" w:cs="Arial"/>
          <w:sz w:val="22"/>
        </w:rPr>
        <w:t xml:space="preserve">responder </w:t>
      </w:r>
      <w:r w:rsidR="00A86D55" w:rsidRPr="009903EC">
        <w:rPr>
          <w:rFonts w:ascii="Arial" w:eastAsia="Calibri" w:hAnsi="Arial" w:cs="Arial"/>
          <w:sz w:val="22"/>
        </w:rPr>
        <w:t>el</w:t>
      </w:r>
      <w:r w:rsidRPr="009903EC">
        <w:rPr>
          <w:rFonts w:ascii="Arial" w:eastAsia="Calibri" w:hAnsi="Arial" w:cs="Arial"/>
          <w:sz w:val="22"/>
        </w:rPr>
        <w:t xml:space="preserve"> interrogante formulado,</w:t>
      </w:r>
      <w:r w:rsidR="00A86D55" w:rsidRPr="009903EC">
        <w:rPr>
          <w:rFonts w:ascii="Arial" w:eastAsia="Calibri" w:hAnsi="Arial" w:cs="Arial"/>
          <w:sz w:val="22"/>
        </w:rPr>
        <w:t xml:space="preserve"> se</w:t>
      </w:r>
      <w:r w:rsidRPr="009903EC">
        <w:rPr>
          <w:rFonts w:ascii="Arial" w:eastAsia="Calibri" w:hAnsi="Arial" w:cs="Arial"/>
          <w:sz w:val="22"/>
        </w:rPr>
        <w:t xml:space="preserve"> analizará</w:t>
      </w:r>
      <w:r w:rsidR="00A86D55" w:rsidRPr="009903EC">
        <w:rPr>
          <w:rFonts w:ascii="Arial" w:eastAsia="Calibri" w:hAnsi="Arial" w:cs="Arial"/>
          <w:sz w:val="22"/>
        </w:rPr>
        <w:t>n</w:t>
      </w:r>
      <w:r w:rsidRPr="009903EC">
        <w:rPr>
          <w:rFonts w:ascii="Arial" w:eastAsia="Calibri" w:hAnsi="Arial" w:cs="Arial"/>
          <w:sz w:val="22"/>
        </w:rPr>
        <w:t xml:space="preserve"> los siguientes temas:</w:t>
      </w:r>
      <w:r w:rsidR="00DD1F15" w:rsidRPr="009903EC">
        <w:rPr>
          <w:rFonts w:ascii="Arial" w:eastAsia="Calibri" w:hAnsi="Arial" w:cs="Arial"/>
          <w:sz w:val="22"/>
        </w:rPr>
        <w:t xml:space="preserve"> </w:t>
      </w:r>
      <w:r w:rsidRPr="009903EC">
        <w:rPr>
          <w:rFonts w:ascii="Arial" w:eastAsia="Calibri" w:hAnsi="Arial" w:cs="Arial"/>
          <w:sz w:val="22"/>
        </w:rPr>
        <w:t xml:space="preserve">i) </w:t>
      </w:r>
      <w:r w:rsidR="0080456B" w:rsidRPr="009903EC">
        <w:rPr>
          <w:rFonts w:ascii="Arial" w:eastAsia="Calibri" w:hAnsi="Arial" w:cs="Arial"/>
          <w:sz w:val="22"/>
        </w:rPr>
        <w:t>o</w:t>
      </w:r>
      <w:r w:rsidR="007D59CF" w:rsidRPr="009903EC">
        <w:rPr>
          <w:rFonts w:ascii="Arial" w:eastAsia="Calibri" w:hAnsi="Arial" w:cs="Arial"/>
          <w:sz w:val="22"/>
        </w:rPr>
        <w:t>bligatoriedad e inalterabilidad de los documentos tipo de</w:t>
      </w:r>
      <w:r w:rsidR="006D1FC7" w:rsidRPr="007C1AA6">
        <w:rPr>
          <w:rFonts w:ascii="Arial" w:hAnsi="Arial" w:cs="Arial"/>
        </w:rPr>
        <w:t xml:space="preserve"> </w:t>
      </w:r>
      <w:r w:rsidR="006D1FC7" w:rsidRPr="009903EC">
        <w:rPr>
          <w:rFonts w:ascii="Arial" w:eastAsia="Calibri" w:hAnsi="Arial" w:cs="Arial"/>
          <w:sz w:val="22"/>
        </w:rPr>
        <w:t>licitación de obra pública de infraestructura de agua potable y saneamiento básico</w:t>
      </w:r>
      <w:r w:rsidR="007F0795" w:rsidRPr="009903EC">
        <w:rPr>
          <w:rFonts w:ascii="Arial" w:eastAsia="Calibri" w:hAnsi="Arial" w:cs="Arial"/>
          <w:sz w:val="22"/>
        </w:rPr>
        <w:t xml:space="preserve"> y</w:t>
      </w:r>
      <w:r w:rsidR="0080456B" w:rsidRPr="009903EC">
        <w:rPr>
          <w:rFonts w:ascii="Arial" w:eastAsia="Calibri" w:hAnsi="Arial" w:cs="Arial"/>
          <w:sz w:val="22"/>
        </w:rPr>
        <w:t xml:space="preserve"> ii) acreditación del factor de calidad «garantía suplementaria o adicional» durante el procedimiento de selección</w:t>
      </w:r>
      <w:r w:rsidR="00BD5F69" w:rsidRPr="009903EC">
        <w:rPr>
          <w:rFonts w:ascii="Arial" w:eastAsia="Calibri" w:hAnsi="Arial" w:cs="Arial"/>
          <w:sz w:val="22"/>
        </w:rPr>
        <w:t xml:space="preserve">. </w:t>
      </w:r>
    </w:p>
    <w:p w14:paraId="70784595" w14:textId="07D46170" w:rsidR="002B4EBC" w:rsidRPr="009903EC" w:rsidRDefault="00333DA4" w:rsidP="0067722F">
      <w:pPr>
        <w:spacing w:line="276" w:lineRule="auto"/>
        <w:ind w:firstLine="708"/>
        <w:jc w:val="both"/>
        <w:rPr>
          <w:rFonts w:ascii="Arial" w:eastAsia="Calibri" w:hAnsi="Arial" w:cs="Arial"/>
          <w:sz w:val="22"/>
        </w:rPr>
      </w:pPr>
      <w:r w:rsidRPr="009903EC">
        <w:rPr>
          <w:rFonts w:ascii="Arial" w:eastAsia="Calibri" w:hAnsi="Arial" w:cs="Arial"/>
          <w:sz w:val="22"/>
        </w:rPr>
        <w:t xml:space="preserve">La </w:t>
      </w:r>
      <w:r w:rsidR="00925BC4" w:rsidRPr="009903EC">
        <w:rPr>
          <w:rFonts w:ascii="Arial" w:eastAsia="Calibri" w:hAnsi="Arial" w:cs="Arial"/>
          <w:sz w:val="22"/>
        </w:rPr>
        <w:t xml:space="preserve"> </w:t>
      </w:r>
      <w:r w:rsidRPr="009903EC">
        <w:rPr>
          <w:rFonts w:ascii="Arial" w:eastAsia="Calibri" w:hAnsi="Arial" w:cs="Arial"/>
          <w:sz w:val="22"/>
        </w:rPr>
        <w:t xml:space="preserve">Agencia Nacional de Contratación Pública − Colombia Compra Eficiente </w:t>
      </w:r>
      <w:r w:rsidR="002109B6" w:rsidRPr="009903EC">
        <w:rPr>
          <w:rFonts w:ascii="Arial" w:eastAsia="Calibri" w:hAnsi="Arial" w:cs="Arial"/>
          <w:color w:val="000000" w:themeColor="text1"/>
          <w:sz w:val="22"/>
        </w:rPr>
        <w:t xml:space="preserve">analizó </w:t>
      </w:r>
      <w:r w:rsidR="00B221A3" w:rsidRPr="009903EC">
        <w:rPr>
          <w:rFonts w:ascii="Arial" w:hAnsi="Arial" w:cs="Arial"/>
          <w:sz w:val="22"/>
        </w:rPr>
        <w:t xml:space="preserve">el </w:t>
      </w:r>
      <w:r w:rsidR="00B221A3" w:rsidRPr="009903EC">
        <w:rPr>
          <w:rFonts w:ascii="Arial" w:hAnsi="Arial" w:cs="Arial"/>
          <w:bCs/>
          <w:sz w:val="22"/>
        </w:rPr>
        <w:t xml:space="preserve">factor de calidad, en relación con la opción de la garantía suplementaria o adicional en </w:t>
      </w:r>
      <w:r w:rsidR="00B221A3" w:rsidRPr="009903EC">
        <w:rPr>
          <w:rFonts w:ascii="Arial" w:hAnsi="Arial" w:cs="Arial"/>
          <w:bCs/>
          <w:sz w:val="22"/>
        </w:rPr>
        <w:lastRenderedPageBreak/>
        <w:t>procesos de selección regidos por documentos tipo</w:t>
      </w:r>
      <w:r w:rsidR="00B221A3" w:rsidRPr="009903EC">
        <w:rPr>
          <w:rFonts w:ascii="Arial" w:eastAsia="Calibri" w:hAnsi="Arial" w:cs="Arial"/>
          <w:color w:val="000000" w:themeColor="text1"/>
          <w:sz w:val="22"/>
        </w:rPr>
        <w:t xml:space="preserve"> </w:t>
      </w:r>
      <w:r w:rsidRPr="009903EC">
        <w:rPr>
          <w:rFonts w:ascii="Arial" w:eastAsia="Calibri" w:hAnsi="Arial" w:cs="Arial"/>
          <w:sz w:val="22"/>
        </w:rPr>
        <w:t xml:space="preserve">en los </w:t>
      </w:r>
      <w:r w:rsidR="00D73D9F" w:rsidRPr="009903EC">
        <w:rPr>
          <w:rFonts w:ascii="Arial" w:eastAsia="Calibri" w:hAnsi="Arial" w:cs="Arial"/>
          <w:sz w:val="22"/>
        </w:rPr>
        <w:t>c</w:t>
      </w:r>
      <w:r w:rsidRPr="009903EC">
        <w:rPr>
          <w:rFonts w:ascii="Arial" w:eastAsia="Calibri" w:hAnsi="Arial" w:cs="Arial"/>
          <w:sz w:val="22"/>
        </w:rPr>
        <w:t>onceptos</w:t>
      </w:r>
      <w:r w:rsidR="00722B21" w:rsidRPr="009903EC">
        <w:rPr>
          <w:rFonts w:ascii="Arial" w:eastAsia="Calibri" w:hAnsi="Arial" w:cs="Arial"/>
          <w:sz w:val="22"/>
        </w:rPr>
        <w:t xml:space="preserve"> </w:t>
      </w:r>
      <w:r w:rsidR="00EA6CBF" w:rsidRPr="009903EC">
        <w:rPr>
          <w:rFonts w:ascii="Arial" w:eastAsia="Arial" w:hAnsi="Arial" w:cs="Arial"/>
          <w:sz w:val="22"/>
        </w:rPr>
        <w:t xml:space="preserve">C-294 del 18 de mayo de 2020; C-276 y C-277 del 26 de mayo de 2020; </w:t>
      </w:r>
      <w:r w:rsidR="00EA6CBF" w:rsidRPr="009903EC">
        <w:rPr>
          <w:rFonts w:ascii="Arial" w:eastAsia="Calibri" w:hAnsi="Arial" w:cs="Arial"/>
          <w:bCs/>
          <w:sz w:val="22"/>
        </w:rPr>
        <w:t xml:space="preserve">C-278 del 26 de mayo de 2020; </w:t>
      </w:r>
      <w:r w:rsidR="00EA6CBF" w:rsidRPr="009903EC">
        <w:rPr>
          <w:rFonts w:ascii="Arial" w:eastAsia="Arial" w:hAnsi="Arial" w:cs="Arial"/>
          <w:sz w:val="22"/>
        </w:rPr>
        <w:t>C–380 y C–381 del 1 de junio de 2020; C-404 del 12 de junio de 2020, C-352 del 30 de junio de 2020, C-430 del 7 de julio de 2020, C-431 del 9 de julio de 2020, C-481 del 27 de julio de 2020, C-478 del 30 de julio de 2020, C-540 del 19 de agosto de 2020, C-520 del 25 de agosto de 2020, C-6</w:t>
      </w:r>
      <w:r w:rsidR="006378B6" w:rsidRPr="009903EC">
        <w:rPr>
          <w:rFonts w:ascii="Arial" w:eastAsia="Arial" w:hAnsi="Arial" w:cs="Arial"/>
          <w:sz w:val="22"/>
        </w:rPr>
        <w:t xml:space="preserve">82 del 25 de noviembre de 2020, C-766 del 8 de enero de 2021, C-001 del 10 de febrero de 2021, </w:t>
      </w:r>
      <w:r w:rsidR="00B221A3" w:rsidRPr="009903EC">
        <w:rPr>
          <w:rFonts w:ascii="Arial" w:hAnsi="Arial" w:cs="Arial"/>
          <w:sz w:val="22"/>
        </w:rPr>
        <w:t>C-046 del 08 de marzo de 2021</w:t>
      </w:r>
      <w:r w:rsidR="00892B83" w:rsidRPr="009903EC">
        <w:rPr>
          <w:rFonts w:ascii="Arial" w:hAnsi="Arial" w:cs="Arial"/>
          <w:sz w:val="22"/>
        </w:rPr>
        <w:t xml:space="preserve">, </w:t>
      </w:r>
      <w:r w:rsidR="006378B6" w:rsidRPr="009903EC">
        <w:rPr>
          <w:rFonts w:ascii="Arial" w:hAnsi="Arial" w:cs="Arial"/>
          <w:sz w:val="22"/>
        </w:rPr>
        <w:t>C-301 del 16 de junio de 2021</w:t>
      </w:r>
      <w:r w:rsidR="00C83A28" w:rsidRPr="009903EC">
        <w:rPr>
          <w:rFonts w:ascii="Arial" w:hAnsi="Arial" w:cs="Arial"/>
          <w:sz w:val="22"/>
        </w:rPr>
        <w:t>, C-380 del 29 de julio de 202</w:t>
      </w:r>
      <w:r w:rsidR="002041CC" w:rsidRPr="009903EC">
        <w:rPr>
          <w:rFonts w:ascii="Arial" w:hAnsi="Arial" w:cs="Arial"/>
          <w:sz w:val="22"/>
        </w:rPr>
        <w:t>1,</w:t>
      </w:r>
      <w:r w:rsidR="00892B83" w:rsidRPr="009903EC">
        <w:rPr>
          <w:rFonts w:ascii="Arial" w:hAnsi="Arial" w:cs="Arial"/>
          <w:sz w:val="22"/>
        </w:rPr>
        <w:t xml:space="preserve"> C-506 del 20 de septiembre de 2021</w:t>
      </w:r>
      <w:r w:rsidR="002041CC" w:rsidRPr="009903EC">
        <w:rPr>
          <w:rFonts w:ascii="Arial" w:hAnsi="Arial" w:cs="Arial"/>
          <w:sz w:val="22"/>
        </w:rPr>
        <w:t xml:space="preserve"> y C-623 del 29 de octubre de 2021</w:t>
      </w:r>
      <w:r w:rsidR="00892B83" w:rsidRPr="009903EC">
        <w:rPr>
          <w:rFonts w:ascii="Arial" w:hAnsi="Arial" w:cs="Arial"/>
          <w:sz w:val="22"/>
        </w:rPr>
        <w:t xml:space="preserve">. </w:t>
      </w:r>
      <w:r w:rsidR="00892B83" w:rsidRPr="009903EC">
        <w:rPr>
          <w:rFonts w:ascii="Arial" w:eastAsia="Calibri" w:hAnsi="Arial" w:cs="Arial"/>
          <w:sz w:val="22"/>
        </w:rPr>
        <w:t xml:space="preserve">Las tesis </w:t>
      </w:r>
      <w:r w:rsidRPr="009903EC">
        <w:rPr>
          <w:rFonts w:ascii="Arial" w:eastAsia="Calibri" w:hAnsi="Arial" w:cs="Arial"/>
          <w:sz w:val="22"/>
        </w:rPr>
        <w:t>expue</w:t>
      </w:r>
      <w:r w:rsidR="00892B83" w:rsidRPr="009903EC">
        <w:rPr>
          <w:rFonts w:ascii="Arial" w:eastAsia="Calibri" w:hAnsi="Arial" w:cs="Arial"/>
          <w:sz w:val="22"/>
        </w:rPr>
        <w:t>stas en los anteriores conceptos se reiteran a continuación y se complementan en los pertinente.</w:t>
      </w:r>
    </w:p>
    <w:p w14:paraId="4E3145A5" w14:textId="77777777" w:rsidR="00EE2BD9" w:rsidRPr="009903EC" w:rsidRDefault="00EE2BD9" w:rsidP="006D1FC7">
      <w:pPr>
        <w:spacing w:line="276" w:lineRule="auto"/>
        <w:jc w:val="both"/>
        <w:rPr>
          <w:rFonts w:ascii="Arial" w:hAnsi="Arial" w:cs="Arial"/>
          <w:color w:val="0D0D0D"/>
          <w:sz w:val="22"/>
          <w:bdr w:val="none" w:sz="0" w:space="0" w:color="auto" w:frame="1"/>
          <w:lang w:val="es-ES_tradnl" w:eastAsia="es-CO"/>
        </w:rPr>
      </w:pPr>
    </w:p>
    <w:p w14:paraId="0335534D" w14:textId="13E998E3" w:rsidR="00EE2BD9" w:rsidRPr="009903EC" w:rsidRDefault="002B4EBC" w:rsidP="00EE2BD9">
      <w:pPr>
        <w:shd w:val="clear" w:color="auto" w:fill="FFFFFF"/>
        <w:spacing w:line="276" w:lineRule="auto"/>
        <w:jc w:val="both"/>
        <w:textAlignment w:val="baseline"/>
        <w:rPr>
          <w:rFonts w:ascii="Arial" w:hAnsi="Arial" w:cs="Arial"/>
          <w:b/>
          <w:bCs/>
          <w:color w:val="000000"/>
          <w:sz w:val="22"/>
          <w:lang w:val="es-CO" w:eastAsia="es-CO"/>
        </w:rPr>
      </w:pPr>
      <w:r w:rsidRPr="009903EC">
        <w:rPr>
          <w:rFonts w:ascii="Arial" w:eastAsia="Calibri" w:hAnsi="Arial" w:cs="Arial"/>
          <w:b/>
          <w:bCs/>
          <w:sz w:val="22"/>
          <w:lang w:val="es-ES_tradnl"/>
        </w:rPr>
        <w:t>2.</w:t>
      </w:r>
      <w:r w:rsidR="006D1FC7" w:rsidRPr="009903EC">
        <w:rPr>
          <w:rFonts w:ascii="Arial" w:eastAsia="Calibri" w:hAnsi="Arial" w:cs="Arial"/>
          <w:b/>
          <w:bCs/>
          <w:sz w:val="22"/>
          <w:lang w:val="es-ES_tradnl"/>
        </w:rPr>
        <w:t>1</w:t>
      </w:r>
      <w:r w:rsidRPr="009903EC">
        <w:rPr>
          <w:rFonts w:ascii="Arial" w:eastAsia="Calibri" w:hAnsi="Arial" w:cs="Arial"/>
          <w:b/>
          <w:bCs/>
          <w:sz w:val="22"/>
          <w:lang w:val="es-ES_tradnl"/>
        </w:rPr>
        <w:t>.</w:t>
      </w:r>
      <w:r w:rsidR="00EE2BD9" w:rsidRPr="009903EC">
        <w:rPr>
          <w:rFonts w:ascii="Arial" w:hAnsi="Arial" w:cs="Arial"/>
          <w:b/>
          <w:bCs/>
          <w:color w:val="000000"/>
          <w:sz w:val="22"/>
          <w:lang w:eastAsia="es-CO"/>
        </w:rPr>
        <w:t xml:space="preserve"> </w:t>
      </w:r>
      <w:r w:rsidR="00427E90" w:rsidRPr="009903EC">
        <w:rPr>
          <w:rFonts w:ascii="Arial" w:hAnsi="Arial" w:cs="Arial"/>
          <w:b/>
          <w:bCs/>
          <w:color w:val="000000"/>
          <w:sz w:val="22"/>
          <w:lang w:eastAsia="es-CO"/>
        </w:rPr>
        <w:t>Obligatoriedad e i</w:t>
      </w:r>
      <w:r w:rsidR="00EE2BD9" w:rsidRPr="009903EC">
        <w:rPr>
          <w:rFonts w:ascii="Arial" w:hAnsi="Arial" w:cs="Arial"/>
          <w:b/>
          <w:bCs/>
          <w:color w:val="000000"/>
          <w:sz w:val="22"/>
          <w:lang w:eastAsia="es-CO"/>
        </w:rPr>
        <w:t>nalterabilidad de los documentos tipo de</w:t>
      </w:r>
      <w:r w:rsidR="00A30EFA" w:rsidRPr="009903EC">
        <w:rPr>
          <w:rFonts w:ascii="Arial" w:hAnsi="Arial" w:cs="Arial"/>
          <w:b/>
          <w:bCs/>
          <w:color w:val="000000"/>
          <w:sz w:val="22"/>
          <w:lang w:eastAsia="es-CO"/>
        </w:rPr>
        <w:t xml:space="preserve"> licitación de obra pública de</w:t>
      </w:r>
      <w:r w:rsidR="00EE2BD9" w:rsidRPr="009903EC">
        <w:rPr>
          <w:rFonts w:ascii="Arial" w:hAnsi="Arial" w:cs="Arial"/>
          <w:b/>
          <w:bCs/>
          <w:color w:val="000000"/>
          <w:sz w:val="22"/>
          <w:lang w:eastAsia="es-CO"/>
        </w:rPr>
        <w:t xml:space="preserve"> infraestructura de </w:t>
      </w:r>
      <w:r w:rsidR="00A30EFA" w:rsidRPr="009903EC">
        <w:rPr>
          <w:rFonts w:ascii="Arial" w:hAnsi="Arial" w:cs="Arial"/>
          <w:b/>
          <w:bCs/>
          <w:color w:val="000000"/>
          <w:sz w:val="22"/>
          <w:lang w:eastAsia="es-CO"/>
        </w:rPr>
        <w:t>agua potable y saneamiento básico</w:t>
      </w:r>
    </w:p>
    <w:p w14:paraId="2FC96A25" w14:textId="41C6E24F" w:rsidR="00EE2BD9" w:rsidRPr="009903EC" w:rsidRDefault="00EE2BD9" w:rsidP="00EE2BD9">
      <w:pPr>
        <w:shd w:val="clear" w:color="auto" w:fill="FFFFFF"/>
        <w:spacing w:line="276" w:lineRule="auto"/>
        <w:textAlignment w:val="baseline"/>
        <w:rPr>
          <w:rFonts w:ascii="Arial" w:hAnsi="Arial" w:cs="Arial"/>
          <w:b/>
          <w:bCs/>
          <w:color w:val="000000"/>
          <w:sz w:val="22"/>
          <w:lang w:eastAsia="es-CO"/>
        </w:rPr>
      </w:pPr>
    </w:p>
    <w:p w14:paraId="45D24D2B" w14:textId="34E8AB56" w:rsidR="00642C9D" w:rsidRPr="009903EC" w:rsidRDefault="00642C9D" w:rsidP="00BF31F1">
      <w:pPr>
        <w:spacing w:after="120" w:line="276" w:lineRule="auto"/>
        <w:jc w:val="both"/>
        <w:rPr>
          <w:rFonts w:ascii="Arial" w:hAnsi="Arial" w:cs="Arial"/>
          <w:color w:val="0D0D0D" w:themeColor="text1" w:themeTint="F2"/>
          <w:sz w:val="22"/>
        </w:rPr>
      </w:pPr>
      <w:r w:rsidRPr="009903EC">
        <w:rPr>
          <w:rFonts w:ascii="Arial" w:eastAsia="Calibri" w:hAnsi="Arial" w:cs="Arial"/>
          <w:sz w:val="22"/>
        </w:rPr>
        <w:t>Conforme a la Ley 1882 de 2018</w:t>
      </w:r>
      <w:r w:rsidR="00A30EFA" w:rsidRPr="009903EC">
        <w:rPr>
          <w:rFonts w:ascii="Arial" w:eastAsia="Calibri" w:hAnsi="Arial" w:cs="Arial"/>
          <w:sz w:val="22"/>
        </w:rPr>
        <w:t xml:space="preserve"> y </w:t>
      </w:r>
      <w:r w:rsidRPr="009903EC">
        <w:rPr>
          <w:rFonts w:ascii="Arial" w:eastAsia="Calibri" w:hAnsi="Arial" w:cs="Arial"/>
          <w:sz w:val="22"/>
        </w:rPr>
        <w:t>la Ley 2022 de 2020</w:t>
      </w:r>
      <w:r w:rsidR="00A30EFA" w:rsidRPr="009903EC">
        <w:rPr>
          <w:rFonts w:ascii="Arial" w:eastAsia="Calibri" w:hAnsi="Arial" w:cs="Arial"/>
          <w:sz w:val="22"/>
        </w:rPr>
        <w:t xml:space="preserve"> que</w:t>
      </w:r>
      <w:r w:rsidRPr="009903EC">
        <w:rPr>
          <w:rFonts w:ascii="Arial" w:eastAsia="Calibri" w:hAnsi="Arial" w:cs="Arial"/>
          <w:sz w:val="22"/>
        </w:rPr>
        <w:t xml:space="preserve"> reitera la </w:t>
      </w:r>
      <w:r w:rsidRPr="009903EC">
        <w:rPr>
          <w:rFonts w:ascii="Arial" w:eastAsia="Calibri" w:hAnsi="Arial" w:cs="Arial"/>
          <w:i/>
          <w:sz w:val="22"/>
        </w:rPr>
        <w:t>obligatoriedad</w:t>
      </w:r>
      <w:r w:rsidRPr="009903EC">
        <w:rPr>
          <w:rFonts w:ascii="Arial" w:eastAsia="Calibri" w:hAnsi="Arial" w:cs="Arial"/>
          <w:sz w:val="22"/>
        </w:rPr>
        <w:t xml:space="preserve"> de los documentos tipo por parte de todas las entidades estatales sometidas al Estatuto General de la Contratación de la Administración Pública</w:t>
      </w:r>
      <w:r w:rsidR="003D3DAE" w:rsidRPr="009903EC">
        <w:rPr>
          <w:rFonts w:ascii="Arial" w:eastAsia="Calibri" w:hAnsi="Arial" w:cs="Arial"/>
          <w:sz w:val="22"/>
        </w:rPr>
        <w:t>,</w:t>
      </w:r>
      <w:r w:rsidRPr="009903EC">
        <w:rPr>
          <w:rFonts w:ascii="Arial" w:eastAsia="Calibri" w:hAnsi="Arial" w:cs="Arial"/>
          <w:sz w:val="22"/>
        </w:rPr>
        <w:t xml:space="preserve"> </w:t>
      </w:r>
      <w:r w:rsidR="003D3DAE" w:rsidRPr="009903EC">
        <w:rPr>
          <w:rFonts w:ascii="Arial" w:eastAsia="Calibri" w:hAnsi="Arial" w:cs="Arial"/>
          <w:sz w:val="22"/>
          <w:lang w:val="es-ES_tradnl"/>
        </w:rPr>
        <w:t>l</w:t>
      </w:r>
      <w:r w:rsidRPr="009903EC">
        <w:rPr>
          <w:rFonts w:ascii="Arial" w:eastAsia="Calibri" w:hAnsi="Arial" w:cs="Arial"/>
          <w:sz w:val="22"/>
          <w:lang w:val="es-ES_tradnl"/>
        </w:rPr>
        <w:t xml:space="preserve">o anterior significa que </w:t>
      </w:r>
      <w:r w:rsidR="00222E78" w:rsidRPr="009903EC">
        <w:rPr>
          <w:rFonts w:ascii="Arial" w:eastAsia="Calibri" w:hAnsi="Arial" w:cs="Arial"/>
          <w:sz w:val="22"/>
          <w:lang w:val="es-ES_tradnl"/>
        </w:rPr>
        <w:t>estos</w:t>
      </w:r>
      <w:r w:rsidRPr="009903EC">
        <w:rPr>
          <w:rFonts w:ascii="Arial" w:eastAsia="Calibri" w:hAnsi="Arial" w:cs="Arial"/>
          <w:sz w:val="22"/>
          <w:lang w:val="es-ES_tradnl"/>
        </w:rPr>
        <w:t xml:space="preserve"> son vinculantes para las entidades que se rijan por </w:t>
      </w:r>
      <w:r w:rsidR="00FC5BA2" w:rsidRPr="009903EC">
        <w:rPr>
          <w:rFonts w:ascii="Arial" w:eastAsia="Calibri" w:hAnsi="Arial" w:cs="Arial"/>
          <w:sz w:val="22"/>
          <w:lang w:val="es-ES_tradnl"/>
        </w:rPr>
        <w:t>el Estatuto General de Contratación de la Administración Pública</w:t>
      </w:r>
      <w:r w:rsidR="001500AE" w:rsidRPr="009903EC">
        <w:rPr>
          <w:rStyle w:val="Refdenotaalpie"/>
          <w:rFonts w:ascii="Arial" w:eastAsia="Calibri" w:hAnsi="Arial" w:cs="Arial"/>
          <w:sz w:val="22"/>
          <w:lang w:val="es-ES_tradnl"/>
        </w:rPr>
        <w:footnoteReference w:id="1"/>
      </w:r>
      <w:r w:rsidRPr="009903EC">
        <w:rPr>
          <w:rFonts w:ascii="Arial" w:eastAsia="Calibri" w:hAnsi="Arial" w:cs="Arial"/>
          <w:sz w:val="22"/>
          <w:lang w:val="es-ES_tradnl"/>
        </w:rPr>
        <w:t xml:space="preserve"> al momento de adelantar los procesos de selección, teniendo en cuenta el ámbito de aplicación de estos</w:t>
      </w:r>
      <w:r w:rsidRPr="007C1AA6">
        <w:rPr>
          <w:rStyle w:val="Refdenotaalpie"/>
          <w:rFonts w:ascii="Arial" w:hAnsi="Arial" w:cs="Arial"/>
        </w:rPr>
        <w:footnoteReference w:id="2"/>
      </w:r>
      <w:r w:rsidRPr="009903EC">
        <w:rPr>
          <w:rFonts w:ascii="Arial" w:eastAsia="Calibri" w:hAnsi="Arial" w:cs="Arial"/>
          <w:sz w:val="22"/>
          <w:lang w:val="es-ES_tradnl"/>
        </w:rPr>
        <w:t xml:space="preserve">. </w:t>
      </w:r>
    </w:p>
    <w:p w14:paraId="0FDFE558" w14:textId="2939A92C" w:rsidR="00642C9D" w:rsidRPr="009903EC" w:rsidRDefault="00E950E6" w:rsidP="0067722F">
      <w:pPr>
        <w:shd w:val="clear" w:color="auto" w:fill="FFFFFF"/>
        <w:spacing w:after="120" w:line="276" w:lineRule="auto"/>
        <w:ind w:firstLine="708"/>
        <w:jc w:val="both"/>
        <w:textAlignment w:val="baseline"/>
        <w:rPr>
          <w:rFonts w:ascii="Arial" w:hAnsi="Arial" w:cs="Arial"/>
          <w:b/>
          <w:bCs/>
          <w:color w:val="000000"/>
          <w:sz w:val="22"/>
          <w:lang w:eastAsia="es-CO"/>
        </w:rPr>
      </w:pPr>
      <w:r w:rsidRPr="009903EC">
        <w:rPr>
          <w:rFonts w:ascii="Arial" w:eastAsia="Calibri" w:hAnsi="Arial" w:cs="Arial"/>
          <w:sz w:val="22"/>
        </w:rPr>
        <w:t>E</w:t>
      </w:r>
      <w:r w:rsidR="003463D9" w:rsidRPr="009903EC">
        <w:rPr>
          <w:rFonts w:ascii="Arial" w:eastAsia="Calibri" w:hAnsi="Arial" w:cs="Arial"/>
          <w:sz w:val="22"/>
        </w:rPr>
        <w:t>l carácter vinculante</w:t>
      </w:r>
      <w:r w:rsidR="00642C9D" w:rsidRPr="009903EC">
        <w:rPr>
          <w:rFonts w:ascii="Arial" w:eastAsia="Calibri" w:hAnsi="Arial" w:cs="Arial"/>
          <w:sz w:val="22"/>
        </w:rPr>
        <w:t xml:space="preserve"> de </w:t>
      </w:r>
      <w:r w:rsidR="00642C9D" w:rsidRPr="009903EC">
        <w:rPr>
          <w:rFonts w:ascii="Arial" w:hAnsi="Arial" w:cs="Arial"/>
          <w:color w:val="000000"/>
          <w:sz w:val="22"/>
          <w:bdr w:val="none" w:sz="0" w:space="0" w:color="auto" w:frame="1"/>
        </w:rPr>
        <w:t xml:space="preserve">los documentos tipo de </w:t>
      </w:r>
      <w:r w:rsidRPr="009903EC">
        <w:rPr>
          <w:rFonts w:ascii="Arial" w:hAnsi="Arial" w:cs="Arial"/>
          <w:color w:val="000000"/>
          <w:sz w:val="22"/>
          <w:bdr w:val="none" w:sz="0" w:space="0" w:color="auto" w:frame="1"/>
        </w:rPr>
        <w:t xml:space="preserve">licitación de obra pública de infraestructura de agua potable y saneamiento básico </w:t>
      </w:r>
      <w:r w:rsidR="00642C9D" w:rsidRPr="009903EC">
        <w:rPr>
          <w:rFonts w:ascii="Arial" w:hAnsi="Arial" w:cs="Arial"/>
          <w:color w:val="000000"/>
          <w:sz w:val="22"/>
          <w:bdr w:val="none" w:sz="0" w:space="0" w:color="auto" w:frame="1"/>
        </w:rPr>
        <w:t>se determina teniendo en cuenta los siguientes aspectos:</w:t>
      </w:r>
      <w:r w:rsidR="00642C9D" w:rsidRPr="009903EC">
        <w:rPr>
          <w:rFonts w:ascii="Arial" w:eastAsia="Calibri" w:hAnsi="Arial" w:cs="Arial"/>
          <w:sz w:val="22"/>
        </w:rPr>
        <w:t xml:space="preserve"> i) los </w:t>
      </w:r>
      <w:r w:rsidR="00642C9D" w:rsidRPr="009903EC">
        <w:rPr>
          <w:rFonts w:ascii="Arial" w:eastAsia="Calibri" w:hAnsi="Arial" w:cs="Arial"/>
          <w:i/>
          <w:sz w:val="22"/>
        </w:rPr>
        <w:t>sujetos obligados</w:t>
      </w:r>
      <w:r w:rsidR="00642C9D" w:rsidRPr="009903EC">
        <w:rPr>
          <w:rFonts w:ascii="Arial" w:eastAsia="Calibri" w:hAnsi="Arial" w:cs="Arial"/>
          <w:sz w:val="22"/>
        </w:rPr>
        <w:t>, dado que</w:t>
      </w:r>
      <w:r w:rsidR="00345AC9" w:rsidRPr="009903EC">
        <w:rPr>
          <w:rFonts w:ascii="Arial" w:eastAsia="Calibri" w:hAnsi="Arial" w:cs="Arial"/>
          <w:sz w:val="22"/>
        </w:rPr>
        <w:t xml:space="preserve"> el contenido de</w:t>
      </w:r>
      <w:r w:rsidR="00642C9D" w:rsidRPr="009903EC">
        <w:rPr>
          <w:rFonts w:ascii="Arial" w:eastAsia="Calibri" w:hAnsi="Arial" w:cs="Arial"/>
          <w:sz w:val="22"/>
        </w:rPr>
        <w:t xml:space="preserve"> los documentos tipo </w:t>
      </w:r>
      <w:r w:rsidR="00345AC9" w:rsidRPr="009903EC">
        <w:rPr>
          <w:rFonts w:ascii="Arial" w:hAnsi="Arial" w:cs="Arial"/>
          <w:color w:val="000000"/>
          <w:sz w:val="22"/>
          <w:bdr w:val="none" w:sz="0" w:space="0" w:color="auto" w:frame="1"/>
        </w:rPr>
        <w:t>es imperativo</w:t>
      </w:r>
      <w:r w:rsidR="00642C9D" w:rsidRPr="009903EC">
        <w:rPr>
          <w:rFonts w:ascii="Arial" w:hAnsi="Arial" w:cs="Arial"/>
          <w:color w:val="000000"/>
          <w:sz w:val="22"/>
          <w:bdr w:val="none" w:sz="0" w:space="0" w:color="auto" w:frame="1"/>
        </w:rPr>
        <w:t xml:space="preserve"> para las entidades estatales cuyos contratos se rijan por el Estatuto General de la Contratación Pública de conformidad con lo establecido en el artículo 1 de la Ley 2022 </w:t>
      </w:r>
      <w:r w:rsidR="00642C9D" w:rsidRPr="009903EC">
        <w:rPr>
          <w:rFonts w:ascii="Arial" w:hAnsi="Arial" w:cs="Arial"/>
          <w:color w:val="000000"/>
          <w:sz w:val="22"/>
          <w:bdr w:val="none" w:sz="0" w:space="0" w:color="auto" w:frame="1"/>
        </w:rPr>
        <w:lastRenderedPageBreak/>
        <w:t xml:space="preserve">de 2020; ii) la </w:t>
      </w:r>
      <w:r w:rsidR="00642C9D" w:rsidRPr="009903EC">
        <w:rPr>
          <w:rFonts w:ascii="Arial" w:hAnsi="Arial" w:cs="Arial"/>
          <w:i/>
          <w:color w:val="000000"/>
          <w:sz w:val="22"/>
          <w:bdr w:val="none" w:sz="0" w:space="0" w:color="auto" w:frame="1"/>
        </w:rPr>
        <w:t>modalidad de selección</w:t>
      </w:r>
      <w:r w:rsidR="00642C9D" w:rsidRPr="009903EC">
        <w:rPr>
          <w:rFonts w:ascii="Arial" w:hAnsi="Arial" w:cs="Arial"/>
          <w:color w:val="000000"/>
          <w:sz w:val="22"/>
          <w:bdr w:val="none" w:sz="0" w:space="0" w:color="auto" w:frame="1"/>
        </w:rPr>
        <w:t>, ya que es necesario que el proceso de contratación deba adelantarse mediante la modalidad que establecen los documentos tipo</w:t>
      </w:r>
      <w:r w:rsidR="00345AC9" w:rsidRPr="009903EC">
        <w:rPr>
          <w:rFonts w:ascii="Arial" w:hAnsi="Arial" w:cs="Arial"/>
          <w:color w:val="000000"/>
          <w:sz w:val="22"/>
          <w:bdr w:val="none" w:sz="0" w:space="0" w:color="auto" w:frame="1"/>
        </w:rPr>
        <w:t xml:space="preserve"> según corresponda</w:t>
      </w:r>
      <w:r w:rsidR="00642C9D" w:rsidRPr="009903EC">
        <w:rPr>
          <w:rFonts w:ascii="Arial" w:hAnsi="Arial" w:cs="Arial"/>
          <w:color w:val="000000"/>
          <w:sz w:val="22"/>
          <w:bdr w:val="none" w:sz="0" w:space="0" w:color="auto" w:frame="1"/>
        </w:rPr>
        <w:t xml:space="preserve">, verbigracia, licitación pública, selección abreviada de menor cuantía o mínima cuantía; y iii) el </w:t>
      </w:r>
      <w:r w:rsidR="00642C9D" w:rsidRPr="009903EC">
        <w:rPr>
          <w:rFonts w:ascii="Arial" w:hAnsi="Arial" w:cs="Arial"/>
          <w:i/>
          <w:color w:val="000000"/>
          <w:sz w:val="22"/>
          <w:bdr w:val="none" w:sz="0" w:space="0" w:color="auto" w:frame="1"/>
        </w:rPr>
        <w:t>objeto</w:t>
      </w:r>
      <w:r w:rsidR="00642C9D" w:rsidRPr="009903EC">
        <w:rPr>
          <w:rFonts w:ascii="Arial" w:hAnsi="Arial" w:cs="Arial"/>
          <w:color w:val="000000"/>
          <w:sz w:val="22"/>
          <w:bdr w:val="none" w:sz="0" w:space="0" w:color="auto" w:frame="1"/>
        </w:rPr>
        <w:t xml:space="preserve"> del proceso de contratación, en la medida que las actividades a contratar deben estar incluidas en la </w:t>
      </w:r>
      <w:r w:rsidR="00222E78" w:rsidRPr="009903EC">
        <w:rPr>
          <w:rFonts w:ascii="Arial" w:hAnsi="Arial" w:cs="Arial"/>
          <w:color w:val="000000"/>
          <w:sz w:val="22"/>
          <w:bdr w:val="none" w:sz="0" w:space="0" w:color="auto" w:frame="1"/>
        </w:rPr>
        <w:t>«</w:t>
      </w:r>
      <w:r w:rsidR="00642C9D" w:rsidRPr="009903EC">
        <w:rPr>
          <w:rFonts w:ascii="Arial" w:hAnsi="Arial" w:cs="Arial"/>
          <w:color w:val="000000"/>
          <w:sz w:val="22"/>
          <w:bdr w:val="none" w:sz="0" w:space="0" w:color="auto" w:frame="1"/>
        </w:rPr>
        <w:t xml:space="preserve">Matriz 1 </w:t>
      </w:r>
      <w:r w:rsidR="00222E78" w:rsidRPr="009903EC">
        <w:rPr>
          <w:rFonts w:ascii="Arial" w:hAnsi="Arial" w:cs="Arial"/>
          <w:color w:val="000000"/>
          <w:sz w:val="22"/>
          <w:bdr w:val="none" w:sz="0" w:space="0" w:color="auto" w:frame="1"/>
        </w:rPr>
        <w:t>–</w:t>
      </w:r>
      <w:r w:rsidR="00642C9D" w:rsidRPr="009903EC">
        <w:rPr>
          <w:rFonts w:ascii="Arial" w:hAnsi="Arial" w:cs="Arial"/>
          <w:color w:val="000000"/>
          <w:sz w:val="22"/>
          <w:bdr w:val="none" w:sz="0" w:space="0" w:color="auto" w:frame="1"/>
        </w:rPr>
        <w:t xml:space="preserve"> Experiencia</w:t>
      </w:r>
      <w:r w:rsidR="00222E78" w:rsidRPr="009903EC">
        <w:rPr>
          <w:rFonts w:ascii="Arial" w:hAnsi="Arial" w:cs="Arial"/>
          <w:color w:val="000000"/>
          <w:sz w:val="22"/>
          <w:bdr w:val="none" w:sz="0" w:space="0" w:color="auto" w:frame="1"/>
        </w:rPr>
        <w:t>»</w:t>
      </w:r>
      <w:r w:rsidR="00642C9D" w:rsidRPr="009903EC">
        <w:rPr>
          <w:rFonts w:ascii="Arial" w:hAnsi="Arial" w:cs="Arial"/>
          <w:color w:val="000000"/>
          <w:sz w:val="22"/>
          <w:bdr w:val="none" w:sz="0" w:space="0" w:color="auto" w:frame="1"/>
        </w:rPr>
        <w:t xml:space="preserve">, la cual define el ámbito de aplicación </w:t>
      </w:r>
      <w:r w:rsidR="00345AC9" w:rsidRPr="009903EC">
        <w:rPr>
          <w:rFonts w:ascii="Arial" w:hAnsi="Arial" w:cs="Arial"/>
          <w:color w:val="000000"/>
          <w:sz w:val="22"/>
          <w:bdr w:val="none" w:sz="0" w:space="0" w:color="auto" w:frame="1"/>
        </w:rPr>
        <w:t>en cada caso concreto</w:t>
      </w:r>
      <w:r w:rsidR="00642C9D" w:rsidRPr="009903EC">
        <w:rPr>
          <w:rFonts w:ascii="Arial" w:hAnsi="Arial" w:cs="Arial"/>
          <w:color w:val="000000"/>
          <w:sz w:val="22"/>
          <w:bdr w:val="none" w:sz="0" w:space="0" w:color="auto" w:frame="1"/>
        </w:rPr>
        <w:t>.</w:t>
      </w:r>
    </w:p>
    <w:p w14:paraId="5CF9D79F" w14:textId="241BB4CF" w:rsidR="00EE2BD9" w:rsidRPr="009903EC" w:rsidRDefault="00345AC9" w:rsidP="0067722F">
      <w:pPr>
        <w:shd w:val="clear" w:color="auto" w:fill="FFFFFF"/>
        <w:spacing w:line="276" w:lineRule="auto"/>
        <w:ind w:firstLine="708"/>
        <w:jc w:val="both"/>
        <w:textAlignment w:val="baseline"/>
        <w:rPr>
          <w:rFonts w:ascii="Arial" w:hAnsi="Arial" w:cs="Arial"/>
          <w:b/>
          <w:bCs/>
          <w:color w:val="000000"/>
          <w:sz w:val="22"/>
          <w:lang w:eastAsia="es-CO"/>
        </w:rPr>
      </w:pPr>
      <w:bookmarkStart w:id="4" w:name="_Hlk72774853"/>
      <w:r w:rsidRPr="009903EC">
        <w:rPr>
          <w:rFonts w:ascii="Arial" w:hAnsi="Arial" w:cs="Arial"/>
          <w:bCs/>
          <w:sz w:val="22"/>
          <w:lang w:val="es-ES_tradnl"/>
        </w:rPr>
        <w:t>Por otra parte, e</w:t>
      </w:r>
      <w:r w:rsidR="00EE2BD9" w:rsidRPr="009903EC">
        <w:rPr>
          <w:rFonts w:ascii="Arial" w:hAnsi="Arial" w:cs="Arial"/>
          <w:bCs/>
          <w:sz w:val="22"/>
          <w:lang w:val="es-ES_tradnl"/>
        </w:rPr>
        <w:t xml:space="preserve">l </w:t>
      </w:r>
      <w:bookmarkStart w:id="5" w:name="_Hlk81313863"/>
      <w:r w:rsidR="00EE2BD9" w:rsidRPr="009903EC">
        <w:rPr>
          <w:rFonts w:ascii="Arial" w:hAnsi="Arial" w:cs="Arial"/>
          <w:bCs/>
          <w:sz w:val="22"/>
          <w:lang w:val="es-ES_tradnl"/>
        </w:rPr>
        <w:t xml:space="preserve">artículo 2.2.1.2.6.1.4 del Decreto 1082 de 2015 </w:t>
      </w:r>
      <w:bookmarkEnd w:id="5"/>
      <w:r w:rsidR="00EE2BD9" w:rsidRPr="009903EC">
        <w:rPr>
          <w:rFonts w:ascii="Arial" w:hAnsi="Arial" w:cs="Arial"/>
          <w:bCs/>
          <w:sz w:val="22"/>
          <w:lang w:val="es-ES_tradnl"/>
        </w:rPr>
        <w:t>dispone la inalterabilidad de los documentos tipo para la modalidad de licitación pública, que consiste en que las entidades estatales no pueden incluir o modificar en los documentos del proceso las condiciones habilitantes, los factores técnicos y económicos de escogencia y los sistemas de ponderación distintos a los señalados en los documentos tipo</w:t>
      </w:r>
      <w:r w:rsidR="00EE2BD9" w:rsidRPr="007C1AA6">
        <w:rPr>
          <w:rStyle w:val="Refdenotaalpie"/>
          <w:rFonts w:ascii="Arial" w:hAnsi="Arial" w:cs="Arial"/>
        </w:rPr>
        <w:footnoteReference w:id="3"/>
      </w:r>
      <w:r w:rsidR="00EE2BD9" w:rsidRPr="009903EC">
        <w:rPr>
          <w:rFonts w:ascii="Arial" w:hAnsi="Arial" w:cs="Arial"/>
          <w:bCs/>
          <w:sz w:val="22"/>
          <w:lang w:val="es-ES_tradnl"/>
        </w:rPr>
        <w:t>. En consecuencia</w:t>
      </w:r>
      <w:bookmarkStart w:id="6" w:name="_Hlk64290904"/>
      <w:r w:rsidR="00EE2BD9" w:rsidRPr="009903EC">
        <w:rPr>
          <w:rFonts w:ascii="Arial" w:hAnsi="Arial" w:cs="Arial"/>
          <w:bCs/>
          <w:sz w:val="22"/>
          <w:lang w:val="es-ES_tradnl"/>
        </w:rPr>
        <w:t>, las condiciones establecidas en los documentos que adopte la Agencia, en ejercicio del mandato establecido en el artículo 1 de la Ley 2022 de 2020, son de obligatorio cumplimiento para las entidades sometidas al Estatuto General de Contratación de la Administración pública que adelanten procesos que deban regirse por su contenido y no pueden variarse los requisitos fijados en ellos.</w:t>
      </w:r>
      <w:bookmarkEnd w:id="6"/>
      <w:r w:rsidR="00EE2BD9" w:rsidRPr="009903EC">
        <w:rPr>
          <w:rFonts w:ascii="Arial" w:hAnsi="Arial" w:cs="Arial"/>
          <w:bCs/>
          <w:sz w:val="22"/>
          <w:lang w:val="es-ES_tradnl"/>
        </w:rPr>
        <w:t xml:space="preserve"> </w:t>
      </w:r>
    </w:p>
    <w:p w14:paraId="77D1D8DB" w14:textId="0015091E" w:rsidR="00EE2BD9" w:rsidRPr="009903EC" w:rsidRDefault="00EE2BD9" w:rsidP="00EE2BD9">
      <w:pPr>
        <w:spacing w:before="120" w:line="276" w:lineRule="auto"/>
        <w:ind w:firstLine="709"/>
        <w:jc w:val="both"/>
        <w:rPr>
          <w:rFonts w:ascii="Arial" w:eastAsia="Calibri" w:hAnsi="Arial" w:cs="Arial"/>
          <w:bCs/>
          <w:sz w:val="22"/>
          <w:lang w:val="es-ES_tradnl" w:eastAsia="es-ES_tradnl"/>
        </w:rPr>
      </w:pPr>
      <w:r w:rsidRPr="007C1AA6">
        <w:rPr>
          <w:rFonts w:ascii="Arial" w:hAnsi="Arial" w:cs="Arial"/>
          <w:bCs/>
          <w:sz w:val="22"/>
          <w:lang w:val="es-ES_tradnl"/>
        </w:rPr>
        <w:t>Esta prohibición la ratifica el</w:t>
      </w:r>
      <w:r w:rsidR="002F7913" w:rsidRPr="007C1AA6">
        <w:rPr>
          <w:rFonts w:ascii="Arial" w:hAnsi="Arial" w:cs="Arial"/>
          <w:bCs/>
          <w:sz w:val="22"/>
          <w:lang w:val="es-ES_tradnl"/>
        </w:rPr>
        <w:t xml:space="preserve"> literal F del numeral 1.17 del documento base de licitación de obra pública de infraestructura de agua potable y saneamiento básico, </w:t>
      </w:r>
      <w:r w:rsidRPr="007C1AA6">
        <w:rPr>
          <w:rFonts w:ascii="Arial" w:hAnsi="Arial" w:cs="Arial"/>
          <w:bCs/>
          <w:sz w:val="22"/>
          <w:lang w:val="es-ES_tradnl"/>
        </w:rPr>
        <w:t>al disponer la inalterabilidad de los documentos tipo en los siguientes términos: «Las entidades estatales contratantes no podrán incluir o modificar dentro de los documentos del proceso de selección las condiciones habilitantes, los factores técnicos y económicos de escogencia y los sistemas de ponderación que han sido definidos y señalados en los Documentos Tipo».</w:t>
      </w:r>
      <w:r w:rsidRPr="009903EC">
        <w:rPr>
          <w:rFonts w:ascii="Arial" w:hAnsi="Arial" w:cs="Arial"/>
          <w:bCs/>
          <w:sz w:val="22"/>
          <w:lang w:val="es-ES_tradnl"/>
        </w:rPr>
        <w:t xml:space="preserve"> </w:t>
      </w:r>
    </w:p>
    <w:bookmarkEnd w:id="4"/>
    <w:p w14:paraId="4879518E" w14:textId="53C040EA" w:rsidR="00EE2BD9" w:rsidRPr="009903EC" w:rsidRDefault="00EE2BD9" w:rsidP="00EE2BD9">
      <w:pPr>
        <w:spacing w:before="120" w:line="276" w:lineRule="auto"/>
        <w:ind w:firstLine="708"/>
        <w:jc w:val="both"/>
        <w:rPr>
          <w:rFonts w:ascii="Arial" w:eastAsia="Times New Roman" w:hAnsi="Arial" w:cs="Arial"/>
          <w:bCs/>
          <w:sz w:val="22"/>
          <w:lang w:val="es-ES_tradnl"/>
        </w:rPr>
      </w:pPr>
      <w:r w:rsidRPr="009903EC">
        <w:rPr>
          <w:rFonts w:ascii="Arial" w:hAnsi="Arial" w:cs="Arial"/>
          <w:bCs/>
          <w:sz w:val="22"/>
          <w:lang w:val="es-ES_tradnl"/>
        </w:rPr>
        <w:t xml:space="preserve">Además, las entidades estatales deben garantizar el </w:t>
      </w:r>
      <w:r w:rsidRPr="009903EC">
        <w:rPr>
          <w:rFonts w:ascii="Arial" w:hAnsi="Arial" w:cs="Arial"/>
          <w:bCs/>
          <w:i/>
          <w:iCs/>
          <w:sz w:val="22"/>
          <w:lang w:val="es-ES_tradnl"/>
        </w:rPr>
        <w:t>principio de economía</w:t>
      </w:r>
      <w:r w:rsidRPr="009903EC">
        <w:rPr>
          <w:rFonts w:ascii="Arial" w:hAnsi="Arial" w:cs="Arial"/>
          <w:bCs/>
          <w:sz w:val="22"/>
          <w:lang w:val="es-ES_tradnl"/>
        </w:rPr>
        <w:t xml:space="preserve">, del cual se desprende que no pueden exigir documentos o requisitos más allá de los que permitan la Constitución, la ley y los reglamentos. Este postulado </w:t>
      </w:r>
      <w:r w:rsidR="00B722C9" w:rsidRPr="009903EC">
        <w:rPr>
          <w:rFonts w:ascii="Arial" w:hAnsi="Arial" w:cs="Arial"/>
          <w:bCs/>
          <w:sz w:val="22"/>
          <w:lang w:val="es-ES_tradnl"/>
        </w:rPr>
        <w:t>tiene su fundamento</w:t>
      </w:r>
      <w:r w:rsidRPr="009903EC">
        <w:rPr>
          <w:rFonts w:ascii="Arial" w:hAnsi="Arial" w:cs="Arial"/>
          <w:bCs/>
          <w:sz w:val="22"/>
          <w:lang w:val="es-ES_tradnl"/>
        </w:rPr>
        <w:t xml:space="preserve"> no solo en la contratación estatal</w:t>
      </w:r>
      <w:r w:rsidRPr="007C1AA6">
        <w:rPr>
          <w:rStyle w:val="Refdenotaalpie"/>
          <w:rFonts w:ascii="Arial" w:hAnsi="Arial" w:cs="Arial"/>
        </w:rPr>
        <w:footnoteReference w:id="4"/>
      </w:r>
      <w:r w:rsidRPr="009903EC">
        <w:rPr>
          <w:rFonts w:ascii="Arial" w:hAnsi="Arial" w:cs="Arial"/>
          <w:bCs/>
          <w:sz w:val="22"/>
          <w:lang w:val="es-ES_tradnl"/>
        </w:rPr>
        <w:t xml:space="preserve"> sino además en la normativa </w:t>
      </w:r>
      <w:proofErr w:type="spellStart"/>
      <w:r w:rsidRPr="009903EC">
        <w:rPr>
          <w:rFonts w:ascii="Arial" w:hAnsi="Arial" w:cs="Arial"/>
          <w:bCs/>
          <w:sz w:val="22"/>
          <w:lang w:val="es-ES_tradnl"/>
        </w:rPr>
        <w:t>antitrámites</w:t>
      </w:r>
      <w:proofErr w:type="spellEnd"/>
      <w:r w:rsidRPr="009903EC">
        <w:rPr>
          <w:rFonts w:ascii="Arial" w:hAnsi="Arial" w:cs="Arial"/>
          <w:bCs/>
          <w:sz w:val="22"/>
          <w:lang w:val="es-ES_tradnl"/>
        </w:rPr>
        <w:t>, pues se inscribe dentro de la tendencia de simplificación y racionalización de los procedimientos administrativos</w:t>
      </w:r>
      <w:r w:rsidRPr="007C1AA6">
        <w:rPr>
          <w:rStyle w:val="Refdenotaalpie"/>
          <w:rFonts w:ascii="Arial" w:hAnsi="Arial" w:cs="Arial"/>
        </w:rPr>
        <w:footnoteReference w:id="5"/>
      </w:r>
      <w:r w:rsidRPr="009903EC">
        <w:rPr>
          <w:rFonts w:ascii="Arial" w:hAnsi="Arial" w:cs="Arial"/>
          <w:bCs/>
          <w:sz w:val="22"/>
          <w:lang w:val="es-ES_tradnl"/>
        </w:rPr>
        <w:t xml:space="preserve">. De </w:t>
      </w:r>
      <w:r w:rsidRPr="009903EC">
        <w:rPr>
          <w:rFonts w:ascii="Arial" w:hAnsi="Arial" w:cs="Arial"/>
          <w:bCs/>
          <w:sz w:val="22"/>
          <w:lang w:val="es-ES_tradnl"/>
        </w:rPr>
        <w:lastRenderedPageBreak/>
        <w:t>ahí que cuando las autoridades solicitan la entrega de documentación innecesaria, menoscaban el principio de economía.</w:t>
      </w:r>
    </w:p>
    <w:p w14:paraId="713A8222" w14:textId="77777777" w:rsidR="00EE2BD9" w:rsidRPr="009903EC" w:rsidRDefault="00EE2BD9" w:rsidP="00EE2BD9">
      <w:pPr>
        <w:spacing w:before="120" w:line="276" w:lineRule="auto"/>
        <w:ind w:firstLine="709"/>
        <w:jc w:val="both"/>
        <w:rPr>
          <w:rFonts w:ascii="Arial" w:hAnsi="Arial" w:cs="Arial"/>
          <w:sz w:val="22"/>
          <w:lang w:val="es-CO"/>
        </w:rPr>
      </w:pPr>
      <w:r w:rsidRPr="009903EC">
        <w:rPr>
          <w:rFonts w:ascii="Arial" w:hAnsi="Arial" w:cs="Arial"/>
          <w:sz w:val="22"/>
        </w:rPr>
        <w:t xml:space="preserve">Por su parte, la parte introductoria de los documentos tipo dispone que los aspectos incluidos en corchetes y resaltado gris </w:t>
      </w:r>
      <w:r w:rsidRPr="007C1AA6">
        <w:rPr>
          <w:rFonts w:ascii="Arial" w:hAnsi="Arial" w:cs="Arial"/>
          <w:sz w:val="22"/>
        </w:rPr>
        <w:t>–[texto de ejemplo]–</w:t>
      </w:r>
      <w:r w:rsidRPr="009903EC">
        <w:rPr>
          <w:rFonts w:ascii="Arial" w:hAnsi="Arial" w:cs="Arial"/>
          <w:sz w:val="22"/>
        </w:rPr>
        <w:t xml:space="preserve"> 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del pliego. </w:t>
      </w:r>
    </w:p>
    <w:p w14:paraId="6C9F527A" w14:textId="72AE8CF1" w:rsidR="00EE2BD9" w:rsidRPr="009903EC" w:rsidRDefault="00EE2BD9" w:rsidP="00EE2BD9">
      <w:pPr>
        <w:spacing w:before="120" w:line="276" w:lineRule="auto"/>
        <w:ind w:firstLine="709"/>
        <w:jc w:val="both"/>
        <w:rPr>
          <w:rFonts w:ascii="Arial" w:hAnsi="Arial" w:cs="Arial"/>
          <w:bCs/>
          <w:sz w:val="22"/>
        </w:rPr>
      </w:pPr>
      <w:r w:rsidRPr="009903EC">
        <w:rPr>
          <w:rFonts w:ascii="Arial" w:hAnsi="Arial" w:cs="Arial"/>
          <w:bCs/>
          <w:sz w:val="22"/>
        </w:rPr>
        <w:t>Es de precisar que la entidad</w:t>
      </w:r>
      <w:r w:rsidR="00E02CE0" w:rsidRPr="009903EC">
        <w:rPr>
          <w:rFonts w:ascii="Arial" w:hAnsi="Arial" w:cs="Arial"/>
          <w:bCs/>
          <w:sz w:val="22"/>
        </w:rPr>
        <w:t>,</w:t>
      </w:r>
      <w:r w:rsidRPr="009903EC">
        <w:rPr>
          <w:rFonts w:ascii="Arial" w:hAnsi="Arial" w:cs="Arial"/>
          <w:bCs/>
          <w:sz w:val="22"/>
        </w:rPr>
        <w:t xml:space="preserve"> durante la etapa de planeación</w:t>
      </w:r>
      <w:r w:rsidR="00E02CE0" w:rsidRPr="009903EC">
        <w:rPr>
          <w:rFonts w:ascii="Arial" w:hAnsi="Arial" w:cs="Arial"/>
          <w:bCs/>
          <w:sz w:val="22"/>
        </w:rPr>
        <w:t>,</w:t>
      </w:r>
      <w:r w:rsidRPr="009903EC">
        <w:rPr>
          <w:rFonts w:ascii="Arial" w:hAnsi="Arial" w:cs="Arial"/>
          <w:bCs/>
          <w:sz w:val="22"/>
        </w:rPr>
        <w:t xml:space="preserve"> como resultado del estudio del sector y del análisis de riesgo, debe establecer las condiciones necesarias para garantizar la ejecución del contrato, teniendo en cuenta la necesidad que pretende satisfacer, el objeto, alcance, especificaciones técnicas, forma de pago y demás aspectos inherentes al proyecto. De a</w:t>
      </w:r>
      <w:r w:rsidR="004F6430" w:rsidRPr="009903EC">
        <w:rPr>
          <w:rFonts w:ascii="Arial" w:hAnsi="Arial" w:cs="Arial"/>
          <w:bCs/>
          <w:sz w:val="22"/>
        </w:rPr>
        <w:t>h</w:t>
      </w:r>
      <w:r w:rsidRPr="009903EC">
        <w:rPr>
          <w:rFonts w:ascii="Arial" w:hAnsi="Arial" w:cs="Arial"/>
          <w:bCs/>
          <w:sz w:val="22"/>
        </w:rPr>
        <w:t>í que estas condiciones, al ser fijadas por parte de la entidad, pueden implicar modificaciones a los documentos tipo, las cuales deben ser adecuadas, proporcionales y consecuentes con su contenido, respetando el principio de inalterabilidad.</w:t>
      </w:r>
    </w:p>
    <w:p w14:paraId="2E908A4B" w14:textId="06EDFB9E" w:rsidR="00EE2BD9" w:rsidRPr="009903EC" w:rsidRDefault="00EE2BD9" w:rsidP="00EE2BD9">
      <w:pPr>
        <w:spacing w:before="120" w:line="276" w:lineRule="auto"/>
        <w:ind w:firstLine="709"/>
        <w:jc w:val="both"/>
        <w:rPr>
          <w:rFonts w:ascii="Arial" w:hAnsi="Arial" w:cs="Arial"/>
          <w:bCs/>
          <w:sz w:val="22"/>
        </w:rPr>
      </w:pPr>
      <w:r w:rsidRPr="009903EC">
        <w:rPr>
          <w:rFonts w:ascii="Arial" w:hAnsi="Arial" w:cs="Arial"/>
          <w:bCs/>
          <w:sz w:val="22"/>
        </w:rPr>
        <w:t>En suma, la regla general frente la aplicación del «Documento Base» es su inalterabilidad, y no se podrán incluir o modificar en los documentos del proceso las condiciones habilitantes, los factores técnicos y económicos de escogencia y los sistemas de ponderación distintos a los señalados en los documentos tipo. Lo anterior, salvo que el objeto contractual incluya bienes o servicios ajenos a la</w:t>
      </w:r>
      <w:r w:rsidR="00BD5194" w:rsidRPr="007C1AA6">
        <w:rPr>
          <w:rFonts w:ascii="Arial" w:hAnsi="Arial" w:cs="Arial"/>
        </w:rPr>
        <w:t xml:space="preserve"> </w:t>
      </w:r>
      <w:r w:rsidR="00BD5194" w:rsidRPr="009903EC">
        <w:rPr>
          <w:rFonts w:ascii="Arial" w:hAnsi="Arial" w:cs="Arial"/>
          <w:bCs/>
          <w:sz w:val="22"/>
        </w:rPr>
        <w:t>obra pública de infraestructura de agua potable y saneamiento básico</w:t>
      </w:r>
      <w:r w:rsidRPr="009903EC">
        <w:rPr>
          <w:rFonts w:ascii="Arial" w:hAnsi="Arial" w:cs="Arial"/>
          <w:bCs/>
          <w:sz w:val="22"/>
        </w:rPr>
        <w:t>, caso en el que se podrá incluir experiencia adicional de manera excepcional; y, además, cuando el pliego tipo de forma expresa lo permita, es decir, en los aspectos incluidos en corchetes y resaltados en gris.</w:t>
      </w:r>
    </w:p>
    <w:p w14:paraId="7A162BD2" w14:textId="77777777" w:rsidR="00EE2BD9" w:rsidRPr="009903EC" w:rsidRDefault="00EE2BD9" w:rsidP="00EE2BD9">
      <w:pPr>
        <w:spacing w:before="120" w:line="276" w:lineRule="auto"/>
        <w:ind w:firstLine="709"/>
        <w:jc w:val="both"/>
        <w:rPr>
          <w:rFonts w:ascii="Arial" w:hAnsi="Arial" w:cs="Arial"/>
          <w:bCs/>
          <w:sz w:val="22"/>
        </w:rPr>
      </w:pPr>
      <w:r w:rsidRPr="009903EC">
        <w:rPr>
          <w:rFonts w:ascii="Arial" w:hAnsi="Arial" w:cs="Arial"/>
          <w:bCs/>
          <w:sz w:val="22"/>
        </w:rPr>
        <w:t xml:space="preserve">Este principio de inalterabilidad se extiende a los formatos y anexos implementados junto con el «Documento Base», los cuales deben usarse para desarrollar el procedimiento de contratación y que los proponentes acrediten los diferentes requisitos establecidos para participar en él. Estos, al igual que el pliego de condiciones, contienen apartes entre corchetes y resaltados en gris, los cuales deben ser diligenciados por la entidad, al igual que otros aspectos relativos a información que debe ser completada por los oferentes al hacer uso del formato. </w:t>
      </w:r>
    </w:p>
    <w:p w14:paraId="3F9C098E" w14:textId="0E7B4F3E" w:rsidR="00EE2BD9" w:rsidRPr="009903EC" w:rsidRDefault="00EE2BD9" w:rsidP="00EE2BD9">
      <w:pPr>
        <w:spacing w:before="120" w:line="276" w:lineRule="auto"/>
        <w:ind w:firstLine="709"/>
        <w:jc w:val="both"/>
        <w:rPr>
          <w:rFonts w:ascii="Arial" w:hAnsi="Arial" w:cs="Arial"/>
          <w:sz w:val="22"/>
        </w:rPr>
      </w:pPr>
      <w:r w:rsidRPr="009903EC">
        <w:rPr>
          <w:rFonts w:ascii="Arial" w:hAnsi="Arial" w:cs="Arial"/>
          <w:sz w:val="22"/>
        </w:rPr>
        <w:lastRenderedPageBreak/>
        <w:t>Con todo, el principio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w:t>
      </w:r>
      <w:r w:rsidR="00A2246A" w:rsidRPr="009903EC">
        <w:rPr>
          <w:rFonts w:ascii="Arial" w:hAnsi="Arial" w:cs="Arial"/>
          <w:sz w:val="22"/>
        </w:rPr>
        <w:t>nción</w:t>
      </w:r>
      <w:r w:rsidRPr="009903EC">
        <w:rPr>
          <w:rFonts w:ascii="Arial" w:hAnsi="Arial" w:cs="Arial"/>
          <w:sz w:val="22"/>
        </w:rPr>
        <w:t xml:space="preserve"> de la formalidad de la que se sirva para ello los actores de la contratación pública. En relación con el principio constitucional </w:t>
      </w:r>
      <w:r w:rsidRPr="009903EC">
        <w:rPr>
          <w:rFonts w:ascii="Arial" w:hAnsi="Arial" w:cs="Arial"/>
          <w:i/>
          <w:iCs/>
          <w:sz w:val="22"/>
        </w:rPr>
        <w:t>sub examine</w:t>
      </w:r>
      <w:r w:rsidRPr="009903EC">
        <w:rPr>
          <w:rFonts w:ascii="Arial" w:hAnsi="Arial" w:cs="Arial"/>
          <w:sz w:val="22"/>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7C1AA6">
        <w:rPr>
          <w:rStyle w:val="Refdenotaalpie"/>
          <w:rFonts w:ascii="Arial" w:hAnsi="Arial" w:cs="Arial"/>
        </w:rPr>
        <w:footnoteReference w:id="6"/>
      </w:r>
      <w:r w:rsidRPr="009903EC">
        <w:rPr>
          <w:rFonts w:ascii="Arial" w:hAnsi="Arial" w:cs="Arial"/>
          <w:sz w:val="22"/>
        </w:rPr>
        <w:t xml:space="preserve">. </w:t>
      </w:r>
    </w:p>
    <w:p w14:paraId="60276693" w14:textId="11873D48" w:rsidR="00EE2BD9" w:rsidRPr="009903EC" w:rsidRDefault="00EE2BD9" w:rsidP="00EE2BD9">
      <w:pPr>
        <w:spacing w:before="120" w:line="276" w:lineRule="auto"/>
        <w:ind w:firstLine="709"/>
        <w:jc w:val="both"/>
        <w:rPr>
          <w:rFonts w:ascii="Arial" w:hAnsi="Arial" w:cs="Arial"/>
          <w:sz w:val="22"/>
        </w:rPr>
      </w:pPr>
      <w:r w:rsidRPr="009903EC">
        <w:rPr>
          <w:rFonts w:ascii="Arial" w:hAnsi="Arial" w:cs="Arial"/>
          <w:sz w:val="22"/>
        </w:rPr>
        <w:t>De acuerdo con lo anterior, el carácter inalterable de los documentos tipo no puede hacerse extensivo a los aspectos simplemente formales de tales documentos, esto es, el tamaño y tipo de letra, l</w:t>
      </w:r>
      <w:r w:rsidR="00B13F5E" w:rsidRPr="009903EC">
        <w:rPr>
          <w:rFonts w:ascii="Arial" w:hAnsi="Arial" w:cs="Arial"/>
          <w:sz w:val="22"/>
        </w:rPr>
        <w:t>o</w:t>
      </w:r>
      <w:r w:rsidRPr="009903EC">
        <w:rPr>
          <w:rFonts w:ascii="Arial" w:hAnsi="Arial" w:cs="Arial"/>
          <w:sz w:val="22"/>
        </w:rPr>
        <w:t>s márgenes o las expresiones que pretenden hacer más comprensible el documento, como es el caso de aquellas que informan que una expresión larga será referida con otra similar pero más corta. Lo anterior teniendo en cuenta que estos aspectos en nada afectan la aplicación y alcance de los documentos tipo, esto es, no afectan su contenido esencial y, mucho menos, las obligaciones, deberes y derechos que se derivan para las partes contratantes.</w:t>
      </w:r>
    </w:p>
    <w:p w14:paraId="49EE75DE" w14:textId="05791B4A" w:rsidR="00222E78" w:rsidRPr="009903EC" w:rsidRDefault="00222E78" w:rsidP="0067722F">
      <w:pPr>
        <w:tabs>
          <w:tab w:val="left" w:pos="426"/>
        </w:tabs>
        <w:spacing w:before="120" w:line="276" w:lineRule="auto"/>
        <w:ind w:firstLine="709"/>
        <w:jc w:val="both"/>
        <w:rPr>
          <w:rFonts w:ascii="Arial" w:eastAsia="Calibri" w:hAnsi="Arial" w:cs="Arial"/>
          <w:noProof/>
          <w:sz w:val="22"/>
          <w:lang w:val="es-ES_tradnl"/>
        </w:rPr>
      </w:pPr>
      <w:r w:rsidRPr="009903EC">
        <w:rPr>
          <w:rFonts w:ascii="Arial" w:eastAsia="Calibri" w:hAnsi="Arial" w:cs="Arial"/>
          <w:noProof/>
          <w:color w:val="000000"/>
          <w:sz w:val="22"/>
          <w:shd w:val="clear" w:color="auto" w:fill="FFFFFF"/>
        </w:rPr>
        <w:t xml:space="preserve">En resumen, dadas las características de obligatoriedad e inalterabilidad que ostentan los documentos tipo, </w:t>
      </w:r>
      <w:r w:rsidRPr="009903EC">
        <w:rPr>
          <w:rFonts w:ascii="Arial" w:eastAsia="Calibri" w:hAnsi="Arial" w:cs="Arial"/>
          <w:noProof/>
          <w:sz w:val="22"/>
          <w:lang w:val="es-ES_tradnl"/>
        </w:rPr>
        <w:t xml:space="preserve">las entidades sometidas al Estatuto General de la Contratación de la Administración Pública deben aplicarlos en los procesos de selección que adelanten. Por tanto, queda </w:t>
      </w:r>
      <w:r w:rsidR="00E9535F" w:rsidRPr="009903EC">
        <w:rPr>
          <w:rFonts w:ascii="Arial" w:eastAsia="Calibri" w:hAnsi="Arial" w:cs="Arial"/>
          <w:noProof/>
          <w:sz w:val="22"/>
          <w:lang w:val="es-ES_tradnl"/>
        </w:rPr>
        <w:t>proscrita</w:t>
      </w:r>
      <w:r w:rsidRPr="009903EC">
        <w:rPr>
          <w:rFonts w:ascii="Arial" w:eastAsia="Calibri" w:hAnsi="Arial" w:cs="Arial"/>
          <w:noProof/>
          <w:sz w:val="22"/>
          <w:lang w:val="es-ES_tradnl"/>
        </w:rPr>
        <w:t xml:space="preserve"> la posibilidad de apartarse de su implementación en el proceso de selección donde apliquen o efectuar modificaciones a las condiciones habilitantes, factores de escogencia y sistemas de ponderación contenidos en los mismos, por lo que solo podrán modificarse en los lugares en que expresamente lo permitan los </w:t>
      </w:r>
      <w:r w:rsidR="00E9535F" w:rsidRPr="009903EC">
        <w:rPr>
          <w:rFonts w:ascii="Arial" w:eastAsia="Calibri" w:hAnsi="Arial" w:cs="Arial"/>
          <w:noProof/>
          <w:sz w:val="22"/>
          <w:lang w:val="es-ES_tradnl"/>
        </w:rPr>
        <w:t>documentos tipo</w:t>
      </w:r>
      <w:r w:rsidRPr="009903EC">
        <w:rPr>
          <w:rFonts w:ascii="Arial" w:eastAsia="Calibri" w:hAnsi="Arial" w:cs="Arial"/>
          <w:noProof/>
          <w:sz w:val="22"/>
          <w:lang w:val="es-ES_tradnl"/>
        </w:rPr>
        <w:t>.</w:t>
      </w:r>
    </w:p>
    <w:p w14:paraId="51F0538E" w14:textId="12188941" w:rsidR="00EE2BD9" w:rsidRPr="009903EC" w:rsidRDefault="00EE2BD9" w:rsidP="0067722F">
      <w:pPr>
        <w:spacing w:line="276" w:lineRule="auto"/>
        <w:jc w:val="both"/>
        <w:rPr>
          <w:rFonts w:ascii="Arial" w:eastAsia="Calibri" w:hAnsi="Arial" w:cs="Arial"/>
          <w:b/>
          <w:bCs/>
          <w:sz w:val="22"/>
          <w:lang w:val="es-ES_tradnl"/>
        </w:rPr>
      </w:pPr>
    </w:p>
    <w:p w14:paraId="486D4F25" w14:textId="70BF6BAB" w:rsidR="002B4EBC" w:rsidRPr="009903EC" w:rsidRDefault="00E9535F" w:rsidP="00E9535F">
      <w:pPr>
        <w:spacing w:line="276" w:lineRule="auto"/>
        <w:jc w:val="both"/>
        <w:rPr>
          <w:rFonts w:ascii="Arial" w:eastAsia="Calibri" w:hAnsi="Arial" w:cs="Arial"/>
          <w:b/>
          <w:bCs/>
          <w:sz w:val="22"/>
          <w:lang w:val="es-ES_tradnl"/>
        </w:rPr>
      </w:pPr>
      <w:r w:rsidRPr="009903EC">
        <w:rPr>
          <w:rFonts w:ascii="Arial" w:eastAsia="Calibri" w:hAnsi="Arial" w:cs="Arial"/>
          <w:b/>
          <w:bCs/>
          <w:sz w:val="22"/>
          <w:lang w:val="es-ES_tradnl"/>
        </w:rPr>
        <w:t>2.</w:t>
      </w:r>
      <w:r w:rsidR="003D3DAE" w:rsidRPr="009903EC">
        <w:rPr>
          <w:rFonts w:ascii="Arial" w:eastAsia="Calibri" w:hAnsi="Arial" w:cs="Arial"/>
          <w:b/>
          <w:bCs/>
          <w:sz w:val="22"/>
          <w:lang w:val="es-ES_tradnl"/>
        </w:rPr>
        <w:t>2</w:t>
      </w:r>
      <w:r w:rsidRPr="009903EC">
        <w:rPr>
          <w:rFonts w:ascii="Arial" w:eastAsia="Calibri" w:hAnsi="Arial" w:cs="Arial"/>
          <w:b/>
          <w:bCs/>
          <w:sz w:val="22"/>
          <w:lang w:val="es-ES_tradnl"/>
        </w:rPr>
        <w:t xml:space="preserve">. </w:t>
      </w:r>
      <w:r w:rsidR="002B4EBC" w:rsidRPr="009903EC">
        <w:rPr>
          <w:rFonts w:ascii="Arial" w:eastAsia="Calibri" w:hAnsi="Arial" w:cs="Arial"/>
          <w:b/>
          <w:bCs/>
          <w:sz w:val="22"/>
          <w:lang w:val="es-ES_tradnl"/>
        </w:rPr>
        <w:t xml:space="preserve">Acreditación del factor de calidad </w:t>
      </w:r>
      <w:r w:rsidR="00321A6D" w:rsidRPr="009903EC">
        <w:rPr>
          <w:rFonts w:ascii="Arial" w:eastAsia="Calibri" w:hAnsi="Arial" w:cs="Arial"/>
          <w:b/>
          <w:bCs/>
          <w:sz w:val="22"/>
          <w:lang w:val="es-ES_tradnl"/>
        </w:rPr>
        <w:t>«</w:t>
      </w:r>
      <w:r w:rsidR="002B4EBC" w:rsidRPr="009903EC">
        <w:rPr>
          <w:rFonts w:ascii="Arial" w:eastAsia="Calibri" w:hAnsi="Arial" w:cs="Arial"/>
          <w:b/>
          <w:bCs/>
          <w:sz w:val="22"/>
          <w:lang w:val="es-ES_tradnl"/>
        </w:rPr>
        <w:t>garantía suplementaria o adicional</w:t>
      </w:r>
      <w:r w:rsidR="00321A6D" w:rsidRPr="009903EC">
        <w:rPr>
          <w:rFonts w:ascii="Arial" w:eastAsia="Calibri" w:hAnsi="Arial" w:cs="Arial"/>
          <w:b/>
          <w:bCs/>
          <w:sz w:val="22"/>
          <w:lang w:val="es-ES_tradnl"/>
        </w:rPr>
        <w:t>»</w:t>
      </w:r>
      <w:r w:rsidR="002B4EBC" w:rsidRPr="009903EC">
        <w:rPr>
          <w:rFonts w:ascii="Arial" w:eastAsia="Calibri" w:hAnsi="Arial" w:cs="Arial"/>
          <w:b/>
          <w:bCs/>
          <w:sz w:val="22"/>
          <w:lang w:val="es-ES_tradnl"/>
        </w:rPr>
        <w:t xml:space="preserve"> durante el procedimiento de selección</w:t>
      </w:r>
    </w:p>
    <w:p w14:paraId="0379D8F3" w14:textId="77777777" w:rsidR="00E9535F" w:rsidRPr="009903EC" w:rsidRDefault="00E9535F" w:rsidP="0067722F">
      <w:pPr>
        <w:spacing w:line="276" w:lineRule="auto"/>
        <w:jc w:val="both"/>
        <w:rPr>
          <w:rFonts w:ascii="Arial" w:eastAsia="Calibri" w:hAnsi="Arial" w:cs="Arial"/>
          <w:sz w:val="22"/>
          <w:lang w:val="es-ES_tradnl"/>
        </w:rPr>
      </w:pPr>
    </w:p>
    <w:p w14:paraId="58EEB47E" w14:textId="40E248AE" w:rsidR="00233D41" w:rsidRPr="009903EC" w:rsidRDefault="00702D5D" w:rsidP="0067722F">
      <w:pPr>
        <w:spacing w:after="120" w:line="276" w:lineRule="auto"/>
        <w:jc w:val="both"/>
        <w:rPr>
          <w:rFonts w:ascii="Arial" w:hAnsi="Arial" w:cs="Arial"/>
          <w:sz w:val="22"/>
        </w:rPr>
      </w:pPr>
      <w:r w:rsidRPr="009903EC">
        <w:rPr>
          <w:rFonts w:ascii="Arial" w:hAnsi="Arial" w:cs="Arial"/>
          <w:sz w:val="22"/>
        </w:rPr>
        <w:t>En el marco de los documentos tipo, l</w:t>
      </w:r>
      <w:r w:rsidR="00233D41" w:rsidRPr="009903EC">
        <w:rPr>
          <w:rFonts w:ascii="Arial" w:hAnsi="Arial" w:cs="Arial"/>
          <w:sz w:val="22"/>
        </w:rPr>
        <w:t>a «Gara</w:t>
      </w:r>
      <w:r w:rsidR="009603B4" w:rsidRPr="009903EC">
        <w:rPr>
          <w:rFonts w:ascii="Arial" w:hAnsi="Arial" w:cs="Arial"/>
          <w:sz w:val="22"/>
        </w:rPr>
        <w:t xml:space="preserve">ntía Suplementaria o Adicional» </w:t>
      </w:r>
      <w:r w:rsidR="00233D41" w:rsidRPr="009903EC">
        <w:rPr>
          <w:rFonts w:ascii="Arial" w:hAnsi="Arial" w:cs="Arial"/>
          <w:sz w:val="22"/>
        </w:rPr>
        <w:t>es aquella otorgada por el contratista, distinta a la legal, cuando amplíe o mejore gratuitamente la cobertura de esta, asociada a la estabilidad y calidad de la obra. En este sentido, el proponente concederá la garantía adicional a través de una aseguradora, o puede hacerlo directamente</w:t>
      </w:r>
      <w:r w:rsidR="00274B3E" w:rsidRPr="009903EC">
        <w:rPr>
          <w:rFonts w:ascii="Arial" w:hAnsi="Arial" w:cs="Arial"/>
          <w:sz w:val="22"/>
        </w:rPr>
        <w:t>,</w:t>
      </w:r>
      <w:r w:rsidR="00233D41" w:rsidRPr="009903EC">
        <w:rPr>
          <w:rFonts w:ascii="Arial" w:hAnsi="Arial" w:cs="Arial"/>
          <w:sz w:val="22"/>
        </w:rPr>
        <w:t xml:space="preserve"> como ocurre con la garantía comercial que se otorga sobre un producto. Es </w:t>
      </w:r>
      <w:r w:rsidR="00233D41" w:rsidRPr="009903EC">
        <w:rPr>
          <w:rFonts w:ascii="Arial" w:hAnsi="Arial" w:cs="Arial"/>
          <w:sz w:val="22"/>
        </w:rPr>
        <w:lastRenderedPageBreak/>
        <w:t>decir, la posibilidad de obtener puntaje por este factor no se encuentra sujeta a la existencia de un seguro que respalde el amparo adicional, dado que el proponente puede otorgar la garantía por sí mismo</w:t>
      </w:r>
      <w:r w:rsidR="00761CAA" w:rsidRPr="009903EC">
        <w:rPr>
          <w:rFonts w:ascii="Arial" w:hAnsi="Arial" w:cs="Arial"/>
          <w:sz w:val="22"/>
        </w:rPr>
        <w:t xml:space="preserve">. </w:t>
      </w:r>
    </w:p>
    <w:p w14:paraId="588F33D8" w14:textId="2D61E2FA" w:rsidR="00233D41" w:rsidRPr="009903EC" w:rsidRDefault="00233D41" w:rsidP="002F77A1">
      <w:pPr>
        <w:spacing w:before="120" w:after="120" w:line="276" w:lineRule="auto"/>
        <w:ind w:firstLine="709"/>
        <w:jc w:val="both"/>
        <w:rPr>
          <w:rFonts w:ascii="Arial" w:hAnsi="Arial" w:cs="Arial"/>
          <w:sz w:val="22"/>
        </w:rPr>
      </w:pPr>
      <w:r w:rsidRPr="009903EC">
        <w:rPr>
          <w:rFonts w:ascii="Arial" w:hAnsi="Arial" w:cs="Arial"/>
          <w:sz w:val="22"/>
        </w:rPr>
        <w:t>La Ley 1480 de 2011, en el artículo 13, señala que los productores y proveedores podrán otorgar garantías suplementarias a la legal, cuando amplíen o mejoren la cobertura de esta, de forma gratuita u onerosa. As</w:t>
      </w:r>
      <w:r w:rsidR="001D1E03" w:rsidRPr="009903EC">
        <w:rPr>
          <w:rFonts w:ascii="Arial" w:hAnsi="Arial" w:cs="Arial"/>
          <w:sz w:val="22"/>
        </w:rPr>
        <w:t>i</w:t>
      </w:r>
      <w:r w:rsidRPr="009903EC">
        <w:rPr>
          <w:rFonts w:ascii="Arial" w:hAnsi="Arial" w:cs="Arial"/>
          <w:sz w:val="22"/>
        </w:rPr>
        <w:t>mismo, señala que también podrán otorgar este tipo de garantías terceros especializados que cuenten con la infraestructura y recursos adecuados para cumplir con la garantía</w:t>
      </w:r>
      <w:r w:rsidRPr="007C1AA6">
        <w:rPr>
          <w:rStyle w:val="Refdenotaalpie"/>
          <w:rFonts w:ascii="Arial" w:hAnsi="Arial" w:cs="Arial"/>
        </w:rPr>
        <w:footnoteReference w:id="7"/>
      </w:r>
      <w:r w:rsidRPr="009903EC">
        <w:rPr>
          <w:rFonts w:ascii="Arial" w:hAnsi="Arial" w:cs="Arial"/>
          <w:sz w:val="22"/>
        </w:rPr>
        <w:t>. De este modo, la normativa también ha definido a las garantías suplementarias como aquellas que ofrecen los productores o proveedores de un bien o servicio, por el término adicional al previsto en la garantía legal.</w:t>
      </w:r>
    </w:p>
    <w:p w14:paraId="115A8F1D" w14:textId="01D83A25" w:rsidR="00060721" w:rsidRPr="009903EC" w:rsidRDefault="00233D41" w:rsidP="002F77A1">
      <w:pPr>
        <w:spacing w:before="120" w:after="120" w:line="276" w:lineRule="auto"/>
        <w:ind w:firstLine="709"/>
        <w:jc w:val="both"/>
        <w:rPr>
          <w:rFonts w:ascii="Arial" w:eastAsiaTheme="minorEastAsia" w:hAnsi="Arial" w:cs="Arial"/>
          <w:sz w:val="22"/>
        </w:rPr>
      </w:pPr>
      <w:r w:rsidRPr="009903EC">
        <w:rPr>
          <w:rFonts w:ascii="Arial" w:hAnsi="Arial" w:cs="Arial"/>
          <w:sz w:val="22"/>
        </w:rPr>
        <w:t xml:space="preserve">Por otro lado, en los documentos tipo se reconoce que la «garantía adicional o suplementaria» está asociada a la estabilidad y calidad de la obra. </w:t>
      </w:r>
      <w:r w:rsidR="00FE2E07" w:rsidRPr="009903EC">
        <w:rPr>
          <w:rFonts w:ascii="Arial" w:hAnsi="Arial" w:cs="Arial"/>
          <w:sz w:val="22"/>
        </w:rPr>
        <w:t>De igual forma,</w:t>
      </w:r>
      <w:r w:rsidRPr="009903EC">
        <w:rPr>
          <w:rFonts w:ascii="Arial" w:hAnsi="Arial" w:cs="Arial"/>
          <w:sz w:val="22"/>
        </w:rPr>
        <w:t xml:space="preserve"> el proponente ofertará la vigencia de la garantía adicional a partir del vencimiento del plazo del amparo de estabilidad y calidad de la obra. En virtud de lo dispuesto en </w:t>
      </w:r>
      <w:r w:rsidRPr="009903EC">
        <w:rPr>
          <w:rFonts w:ascii="Arial" w:eastAsia="Calibri" w:hAnsi="Arial" w:cs="Arial"/>
          <w:sz w:val="22"/>
          <w:szCs w:val="24"/>
          <w:lang w:eastAsia="es-ES_tradnl"/>
        </w:rPr>
        <w:t xml:space="preserve">el artículo 2.2.1.2.3.1.7 </w:t>
      </w:r>
      <w:r w:rsidR="0080762F" w:rsidRPr="009903EC">
        <w:rPr>
          <w:rFonts w:ascii="Arial" w:eastAsia="Calibri" w:hAnsi="Arial" w:cs="Arial"/>
          <w:sz w:val="22"/>
          <w:szCs w:val="24"/>
          <w:lang w:eastAsia="es-ES_tradnl"/>
        </w:rPr>
        <w:t xml:space="preserve">del </w:t>
      </w:r>
      <w:r w:rsidRPr="009903EC">
        <w:rPr>
          <w:rFonts w:ascii="Arial" w:hAnsi="Arial" w:cs="Arial"/>
          <w:sz w:val="22"/>
        </w:rPr>
        <w:t>Decreto 1082 de 2015</w:t>
      </w:r>
      <w:r w:rsidR="00274B3E" w:rsidRPr="009903EC">
        <w:rPr>
          <w:rFonts w:ascii="Arial" w:hAnsi="Arial" w:cs="Arial"/>
          <w:sz w:val="22"/>
        </w:rPr>
        <w:t>,</w:t>
      </w:r>
      <w:r w:rsidRPr="009903EC">
        <w:rPr>
          <w:rFonts w:ascii="Arial" w:hAnsi="Arial" w:cs="Arial"/>
          <w:sz w:val="22"/>
        </w:rPr>
        <w:t xml:space="preserve"> este amparo cubre a la Entidad Estatal de los perjuicios ocasionados por cualquier tipo de daño o deterioro, imputable al contratista, sufrido por la obra entregada a satisfacción</w:t>
      </w:r>
      <w:r w:rsidRPr="007C1AA6">
        <w:rPr>
          <w:rStyle w:val="Refdenotaalpie"/>
          <w:rFonts w:ascii="Arial" w:hAnsi="Arial" w:cs="Arial"/>
        </w:rPr>
        <w:footnoteReference w:id="8"/>
      </w:r>
      <w:r w:rsidRPr="009903EC">
        <w:rPr>
          <w:rFonts w:ascii="Arial" w:hAnsi="Arial" w:cs="Arial"/>
          <w:sz w:val="22"/>
        </w:rPr>
        <w:t>.</w:t>
      </w:r>
      <w:r w:rsidRPr="009903EC">
        <w:rPr>
          <w:rFonts w:ascii="Arial" w:eastAsia="Calibri" w:hAnsi="Arial" w:cs="Arial"/>
          <w:sz w:val="22"/>
          <w:szCs w:val="24"/>
          <w:lang w:eastAsia="es-ES_tradnl"/>
        </w:rPr>
        <w:t xml:space="preserve"> </w:t>
      </w:r>
      <w:r w:rsidR="00C05841" w:rsidRPr="009903EC">
        <w:rPr>
          <w:rFonts w:ascii="Arial" w:eastAsia="Calibri" w:hAnsi="Arial" w:cs="Arial"/>
          <w:sz w:val="22"/>
          <w:szCs w:val="24"/>
          <w:lang w:eastAsia="es-ES_tradnl"/>
        </w:rPr>
        <w:t>P</w:t>
      </w:r>
      <w:r w:rsidR="00FB4DBF" w:rsidRPr="009903EC">
        <w:rPr>
          <w:rFonts w:ascii="Arial" w:eastAsia="Calibri" w:hAnsi="Arial" w:cs="Arial"/>
          <w:sz w:val="22"/>
          <w:szCs w:val="24"/>
          <w:lang w:eastAsia="es-ES_tradnl"/>
        </w:rPr>
        <w:t xml:space="preserve">ara este factor, </w:t>
      </w:r>
      <w:r w:rsidR="00C05841" w:rsidRPr="009903EC">
        <w:rPr>
          <w:rFonts w:ascii="Arial" w:eastAsia="Calibri" w:hAnsi="Arial" w:cs="Arial"/>
          <w:sz w:val="22"/>
          <w:szCs w:val="24"/>
          <w:lang w:eastAsia="es-ES_tradnl"/>
        </w:rPr>
        <w:t xml:space="preserve">la entidad otorgará el puntaje que determine </w:t>
      </w:r>
      <w:r w:rsidR="00FB4DBF" w:rsidRPr="009903EC">
        <w:rPr>
          <w:rFonts w:ascii="Arial" w:eastAsia="Calibri" w:hAnsi="Arial" w:cs="Arial"/>
          <w:sz w:val="22"/>
          <w:szCs w:val="24"/>
          <w:lang w:eastAsia="es-ES_tradnl"/>
        </w:rPr>
        <w:t xml:space="preserve">de acuerdo con el número de meses que el proponente ofrezca como vigencia de la garantía adicional. </w:t>
      </w:r>
      <w:r w:rsidR="00FB4DBF" w:rsidRPr="007C1AA6">
        <w:rPr>
          <w:rFonts w:ascii="Arial" w:eastAsia="Arial" w:hAnsi="Arial" w:cs="Arial"/>
          <w:sz w:val="22"/>
        </w:rPr>
        <w:t>P</w:t>
      </w:r>
      <w:r w:rsidR="005C7609" w:rsidRPr="007C1AA6">
        <w:rPr>
          <w:rFonts w:ascii="Arial" w:eastAsia="Arial" w:hAnsi="Arial" w:cs="Arial"/>
          <w:sz w:val="22"/>
        </w:rPr>
        <w:t xml:space="preserve">or tanto, le corresponde al oferente </w:t>
      </w:r>
      <w:r w:rsidR="00FB4DBF" w:rsidRPr="007C1AA6">
        <w:rPr>
          <w:rFonts w:ascii="Arial" w:eastAsia="Arial" w:hAnsi="Arial" w:cs="Arial"/>
          <w:sz w:val="22"/>
        </w:rPr>
        <w:t xml:space="preserve">diligenciar </w:t>
      </w:r>
      <w:bookmarkStart w:id="7" w:name="_Hlk64235172"/>
      <w:r w:rsidR="00FB4DBF" w:rsidRPr="007C1AA6">
        <w:rPr>
          <w:rFonts w:ascii="Arial" w:eastAsia="Arial" w:hAnsi="Arial" w:cs="Arial"/>
          <w:sz w:val="22"/>
        </w:rPr>
        <w:t>el «</w:t>
      </w:r>
      <w:r w:rsidR="00474EFB" w:rsidRPr="007C1AA6">
        <w:rPr>
          <w:rFonts w:ascii="Arial" w:eastAsia="Arial" w:hAnsi="Arial" w:cs="Arial"/>
          <w:sz w:val="22"/>
        </w:rPr>
        <w:t xml:space="preserve">Formato </w:t>
      </w:r>
      <w:r w:rsidR="00FB4DBF" w:rsidRPr="007C1AA6">
        <w:rPr>
          <w:rFonts w:ascii="Arial" w:eastAsia="Arial" w:hAnsi="Arial" w:cs="Arial"/>
          <w:sz w:val="22"/>
        </w:rPr>
        <w:t>7D – Garantía suplementaria o adicional»</w:t>
      </w:r>
      <w:r w:rsidR="00E96DEA" w:rsidRPr="007C1AA6">
        <w:rPr>
          <w:rFonts w:ascii="Arial" w:eastAsia="Arial" w:hAnsi="Arial" w:cs="Arial"/>
          <w:sz w:val="22"/>
        </w:rPr>
        <w:t xml:space="preserve">, donde </w:t>
      </w:r>
      <w:r w:rsidR="00FB4DBF" w:rsidRPr="007C1AA6">
        <w:rPr>
          <w:rFonts w:ascii="Arial" w:eastAsia="Arial" w:hAnsi="Arial" w:cs="Arial"/>
          <w:sz w:val="22"/>
        </w:rPr>
        <w:t>indicar</w:t>
      </w:r>
      <w:r w:rsidR="00E96DEA" w:rsidRPr="007C1AA6">
        <w:rPr>
          <w:rFonts w:ascii="Arial" w:eastAsia="Arial" w:hAnsi="Arial" w:cs="Arial"/>
          <w:sz w:val="22"/>
        </w:rPr>
        <w:t>á</w:t>
      </w:r>
      <w:r w:rsidR="00352D00" w:rsidRPr="007C1AA6">
        <w:rPr>
          <w:rFonts w:ascii="Arial" w:eastAsia="Arial" w:hAnsi="Arial" w:cs="Arial"/>
          <w:sz w:val="22"/>
        </w:rPr>
        <w:t>,</w:t>
      </w:r>
      <w:r w:rsidR="00FB4DBF" w:rsidRPr="007C1AA6">
        <w:rPr>
          <w:rFonts w:ascii="Arial" w:eastAsia="Arial" w:hAnsi="Arial" w:cs="Arial"/>
          <w:sz w:val="22"/>
        </w:rPr>
        <w:t xml:space="preserve"> bajo la gravedad de juramento</w:t>
      </w:r>
      <w:r w:rsidR="00352D00" w:rsidRPr="007C1AA6">
        <w:rPr>
          <w:rFonts w:ascii="Arial" w:eastAsia="Arial" w:hAnsi="Arial" w:cs="Arial"/>
          <w:sz w:val="22"/>
        </w:rPr>
        <w:t>,</w:t>
      </w:r>
      <w:r w:rsidR="00FB4DBF" w:rsidRPr="007C1AA6">
        <w:rPr>
          <w:rFonts w:ascii="Arial" w:eastAsia="Arial" w:hAnsi="Arial" w:cs="Arial"/>
          <w:sz w:val="22"/>
        </w:rPr>
        <w:t xml:space="preserve"> cuál es el compromiso que asume respecto del número de meses de la garantía suplementaria o adicional</w:t>
      </w:r>
      <w:r w:rsidR="00E96DEA" w:rsidRPr="007C1AA6">
        <w:rPr>
          <w:rFonts w:ascii="Arial" w:eastAsia="Arial" w:hAnsi="Arial" w:cs="Arial"/>
          <w:sz w:val="22"/>
        </w:rPr>
        <w:t xml:space="preserve">. </w:t>
      </w:r>
      <w:r w:rsidR="00702D5D" w:rsidRPr="007C1AA6">
        <w:rPr>
          <w:rFonts w:ascii="Arial" w:eastAsia="Arial" w:hAnsi="Arial" w:cs="Arial"/>
          <w:sz w:val="22"/>
        </w:rPr>
        <w:t>Para lo anterior, e</w:t>
      </w:r>
      <w:r w:rsidR="00E96DEA" w:rsidRPr="007C1AA6">
        <w:rPr>
          <w:rFonts w:ascii="Arial" w:eastAsia="Arial" w:hAnsi="Arial" w:cs="Arial"/>
          <w:sz w:val="22"/>
        </w:rPr>
        <w:t xml:space="preserve">ste </w:t>
      </w:r>
      <w:r w:rsidR="00FB4DBF" w:rsidRPr="007C1AA6">
        <w:rPr>
          <w:rFonts w:ascii="Arial" w:eastAsia="Arial" w:hAnsi="Arial" w:cs="Arial"/>
          <w:sz w:val="22"/>
        </w:rPr>
        <w:t xml:space="preserve">formato contiene la siguiente nota en corchetes y resaltado en gris: </w:t>
      </w:r>
      <w:r w:rsidR="0055779C" w:rsidRPr="007C1AA6">
        <w:rPr>
          <w:rFonts w:ascii="Arial" w:eastAsia="Arial" w:hAnsi="Arial" w:cs="Arial"/>
          <w:sz w:val="22"/>
        </w:rPr>
        <w:t>«</w:t>
      </w:r>
      <w:r w:rsidR="00FB4DBF" w:rsidRPr="007C1AA6">
        <w:rPr>
          <w:rFonts w:ascii="Arial" w:eastAsiaTheme="minorEastAsia" w:hAnsi="Arial" w:cs="Arial"/>
          <w:sz w:val="22"/>
        </w:rPr>
        <w:t>La garantía adicional o suplementaria será otorgada por el término de [Señalar el número de meses que no supere el plazo establecido en el documento base]</w:t>
      </w:r>
      <w:r w:rsidR="0055779C" w:rsidRPr="007C1AA6">
        <w:rPr>
          <w:rFonts w:ascii="Arial" w:eastAsiaTheme="minorEastAsia" w:hAnsi="Arial" w:cs="Arial"/>
          <w:sz w:val="22"/>
        </w:rPr>
        <w:t>»</w:t>
      </w:r>
      <w:r w:rsidR="00FB4DBF" w:rsidRPr="007C1AA6">
        <w:rPr>
          <w:rFonts w:ascii="Arial" w:eastAsiaTheme="minorEastAsia" w:hAnsi="Arial" w:cs="Arial"/>
          <w:sz w:val="22"/>
        </w:rPr>
        <w:t>.</w:t>
      </w:r>
      <w:bookmarkStart w:id="8" w:name="_Hlk61008215"/>
      <w:bookmarkEnd w:id="7"/>
    </w:p>
    <w:p w14:paraId="36982475" w14:textId="1F4D5A2D" w:rsidR="00B15F4A" w:rsidRPr="009903EC" w:rsidRDefault="00702D5D" w:rsidP="002F77A1">
      <w:pPr>
        <w:spacing w:before="120" w:after="120" w:line="276" w:lineRule="auto"/>
        <w:ind w:firstLine="709"/>
        <w:jc w:val="both"/>
        <w:rPr>
          <w:rFonts w:ascii="Arial" w:eastAsia="Calibri" w:hAnsi="Arial" w:cs="Arial"/>
          <w:sz w:val="22"/>
          <w:szCs w:val="24"/>
          <w:lang w:eastAsia="es-ES_tradnl"/>
        </w:rPr>
      </w:pPr>
      <w:r w:rsidRPr="009903EC">
        <w:rPr>
          <w:rFonts w:ascii="Arial" w:eastAsia="Calibri" w:hAnsi="Arial" w:cs="Arial"/>
          <w:sz w:val="22"/>
          <w:szCs w:val="24"/>
          <w:lang w:eastAsia="es-ES_tradnl"/>
        </w:rPr>
        <w:t xml:space="preserve">De otro lado, </w:t>
      </w:r>
      <w:r w:rsidRPr="009903EC">
        <w:rPr>
          <w:rFonts w:ascii="Arial" w:eastAsia="Calibri" w:hAnsi="Arial" w:cs="Arial"/>
          <w:sz w:val="22"/>
          <w:szCs w:val="24"/>
          <w:lang w:val="es-ES_tradnl" w:eastAsia="es-ES_tradnl"/>
        </w:rPr>
        <w:t>e</w:t>
      </w:r>
      <w:r w:rsidR="004C39C9" w:rsidRPr="009903EC">
        <w:rPr>
          <w:rFonts w:ascii="Arial" w:eastAsia="Calibri" w:hAnsi="Arial" w:cs="Arial"/>
          <w:sz w:val="22"/>
          <w:szCs w:val="24"/>
          <w:lang w:val="es-ES_tradnl" w:eastAsia="es-ES_tradnl"/>
        </w:rPr>
        <w:t xml:space="preserve">l numeral 4.2.4 del Documento Base de </w:t>
      </w:r>
      <w:r w:rsidR="009E27E2" w:rsidRPr="009903EC">
        <w:rPr>
          <w:rFonts w:ascii="Arial" w:eastAsia="Calibri" w:hAnsi="Arial" w:cs="Arial"/>
          <w:sz w:val="22"/>
          <w:szCs w:val="24"/>
          <w:lang w:val="es-ES_tradnl" w:eastAsia="es-ES_tradnl"/>
        </w:rPr>
        <w:t>licitación</w:t>
      </w:r>
      <w:r w:rsidR="004C39C9" w:rsidRPr="009903EC">
        <w:rPr>
          <w:rFonts w:ascii="Arial" w:eastAsia="Calibri" w:hAnsi="Arial" w:cs="Arial"/>
          <w:sz w:val="22"/>
          <w:szCs w:val="24"/>
          <w:lang w:val="es-ES_tradnl" w:eastAsia="es-ES_tradnl"/>
        </w:rPr>
        <w:t xml:space="preserve"> de obra pública </w:t>
      </w:r>
      <w:r w:rsidR="00DC229D" w:rsidRPr="009903EC">
        <w:rPr>
          <w:rFonts w:ascii="Arial" w:eastAsia="Calibri" w:hAnsi="Arial" w:cs="Arial"/>
          <w:sz w:val="22"/>
          <w:szCs w:val="24"/>
          <w:lang w:val="es-ES_tradnl" w:eastAsia="es-ES_tradnl"/>
        </w:rPr>
        <w:t xml:space="preserve">de infraestructura de agua potable y saneamiento básico </w:t>
      </w:r>
      <w:r w:rsidR="004C39C9" w:rsidRPr="009903EC">
        <w:rPr>
          <w:rFonts w:ascii="Arial" w:eastAsia="Calibri" w:hAnsi="Arial" w:cs="Arial"/>
          <w:sz w:val="22"/>
          <w:szCs w:val="24"/>
          <w:lang w:val="es-ES_tradnl" w:eastAsia="es-ES_tradnl"/>
        </w:rPr>
        <w:t>– versión 3 dispone que «</w:t>
      </w:r>
      <w:r w:rsidR="00DC229D" w:rsidRPr="009903EC">
        <w:rPr>
          <w:rFonts w:ascii="Arial" w:eastAsia="Calibri" w:hAnsi="Arial" w:cs="Arial"/>
          <w:sz w:val="22"/>
          <w:szCs w:val="24"/>
          <w:lang w:val="es-ES_tradnl" w:eastAsia="es-ES_tradnl"/>
        </w:rPr>
        <w:t xml:space="preserve">La entidad asignará [puntaje a definir por la entidad siempre y cuando no sea superior a 19 puntos, </w:t>
      </w:r>
      <w:r w:rsidR="00DC229D" w:rsidRPr="009903EC">
        <w:rPr>
          <w:rFonts w:ascii="Arial" w:eastAsia="Calibri" w:hAnsi="Arial" w:cs="Arial"/>
          <w:sz w:val="22"/>
          <w:szCs w:val="24"/>
          <w:lang w:val="es-ES_tradnl" w:eastAsia="es-ES_tradnl"/>
        </w:rPr>
        <w:lastRenderedPageBreak/>
        <w:t>aun si escoge varios criterios] al proponente que se comprometa a otorgar garantías suplementarias o adicionales a la legal establecida para la estabilidad y calidad de la obra, mediante la suscripción del Formato 7D - Garantía Suplementaria o Adicional, en el cual bajo la gravedad de juramento conste el compromiso que asume</w:t>
      </w:r>
      <w:r w:rsidR="004C39C9" w:rsidRPr="009903EC">
        <w:rPr>
          <w:rFonts w:ascii="Arial" w:eastAsia="Calibri" w:hAnsi="Arial" w:cs="Arial"/>
          <w:sz w:val="22"/>
          <w:szCs w:val="24"/>
          <w:lang w:val="es-ES_tradnl" w:eastAsia="es-ES_tradnl"/>
        </w:rPr>
        <w:t xml:space="preserve">». </w:t>
      </w:r>
      <w:r w:rsidR="005428CA" w:rsidRPr="009903EC">
        <w:rPr>
          <w:rFonts w:ascii="Arial" w:eastAsia="Calibri" w:hAnsi="Arial" w:cs="Arial"/>
          <w:sz w:val="22"/>
          <w:szCs w:val="24"/>
          <w:lang w:val="es-ES_tradnl" w:eastAsia="es-ES_tradnl"/>
        </w:rPr>
        <w:t xml:space="preserve">En tal sentido, </w:t>
      </w:r>
      <w:r w:rsidR="00DC229D" w:rsidRPr="009903EC">
        <w:rPr>
          <w:rFonts w:ascii="Arial" w:eastAsia="Calibri" w:hAnsi="Arial" w:cs="Arial"/>
          <w:sz w:val="22"/>
          <w:szCs w:val="24"/>
          <w:lang w:val="es-ES_tradnl" w:eastAsia="es-ES_tradnl"/>
        </w:rPr>
        <w:t>la garantía suplementaria o adicional se entiende aquella que es otorgada por el contratista, distinta a la legal, cuando amplíe o mejore la cobertura de esta, de forma gratuita, asociada a la estabilidad y calidad de la obra.</w:t>
      </w:r>
    </w:p>
    <w:p w14:paraId="1402D70F" w14:textId="44CDF6BC" w:rsidR="001E1DB9" w:rsidRPr="009903EC" w:rsidRDefault="00F163C8" w:rsidP="0067722F">
      <w:pPr>
        <w:spacing w:before="120" w:line="276" w:lineRule="auto"/>
        <w:jc w:val="both"/>
        <w:rPr>
          <w:rFonts w:ascii="Arial" w:eastAsia="Arial" w:hAnsi="Arial" w:cs="Arial"/>
          <w:sz w:val="22"/>
        </w:rPr>
      </w:pPr>
      <w:r w:rsidRPr="009903EC">
        <w:rPr>
          <w:rFonts w:ascii="Arial" w:eastAsia="Calibri" w:hAnsi="Arial" w:cs="Arial"/>
          <w:sz w:val="22"/>
          <w:szCs w:val="24"/>
          <w:lang w:eastAsia="es-ES_tradnl"/>
        </w:rPr>
        <w:tab/>
      </w:r>
      <w:r w:rsidR="00274B3E" w:rsidRPr="009903EC">
        <w:rPr>
          <w:rFonts w:ascii="Arial" w:eastAsia="Calibri" w:hAnsi="Arial" w:cs="Arial"/>
          <w:sz w:val="22"/>
          <w:szCs w:val="24"/>
          <w:lang w:eastAsia="es-ES_tradnl"/>
        </w:rPr>
        <w:t>Igualmente</w:t>
      </w:r>
      <w:r w:rsidR="004C39C9" w:rsidRPr="009903EC">
        <w:rPr>
          <w:rFonts w:ascii="Arial" w:eastAsia="Calibri" w:hAnsi="Arial" w:cs="Arial"/>
          <w:sz w:val="22"/>
          <w:szCs w:val="24"/>
          <w:lang w:eastAsia="es-ES_tradnl"/>
        </w:rPr>
        <w:t>, establece que la entidad otorgará el puntaje que determine para este factor de acuerdo con el número de meses que el proponente ofrezca como vigencia de la garantía adicional</w:t>
      </w:r>
      <w:r w:rsidR="00152AD5" w:rsidRPr="009903EC">
        <w:rPr>
          <w:rFonts w:ascii="Arial" w:eastAsia="Calibri" w:hAnsi="Arial" w:cs="Arial"/>
          <w:sz w:val="22"/>
          <w:szCs w:val="24"/>
          <w:lang w:eastAsia="es-ES_tradnl"/>
        </w:rPr>
        <w:t xml:space="preserve">. </w:t>
      </w:r>
      <w:r w:rsidR="00221DB1" w:rsidRPr="009903EC">
        <w:rPr>
          <w:rFonts w:ascii="Arial" w:eastAsia="Arial" w:hAnsi="Arial" w:cs="Arial"/>
          <w:sz w:val="22"/>
        </w:rPr>
        <w:t>Así las cosas</w:t>
      </w:r>
      <w:r w:rsidR="00B15F4A" w:rsidRPr="009903EC">
        <w:rPr>
          <w:rFonts w:ascii="Arial" w:eastAsia="Arial" w:hAnsi="Arial" w:cs="Arial"/>
          <w:sz w:val="22"/>
        </w:rPr>
        <w:t>, los proponentes estarán en la libertad de ofertar el número de meses de garantía adicional que est</w:t>
      </w:r>
      <w:r w:rsidR="00274B3E" w:rsidRPr="009903EC">
        <w:rPr>
          <w:rFonts w:ascii="Arial" w:eastAsia="Arial" w:hAnsi="Arial" w:cs="Arial"/>
          <w:sz w:val="22"/>
        </w:rPr>
        <w:t>én</w:t>
      </w:r>
      <w:r w:rsidR="00B15F4A" w:rsidRPr="009903EC">
        <w:rPr>
          <w:rFonts w:ascii="Arial" w:eastAsia="Arial" w:hAnsi="Arial" w:cs="Arial"/>
          <w:sz w:val="22"/>
        </w:rPr>
        <w:t xml:space="preserve"> en capacidad de ofrecer, sin rebasar el tope establecido por la entidad.</w:t>
      </w:r>
      <w:r w:rsidR="002E7617" w:rsidRPr="009903EC">
        <w:rPr>
          <w:rFonts w:ascii="Arial" w:eastAsia="Arial" w:hAnsi="Arial" w:cs="Arial"/>
          <w:sz w:val="22"/>
        </w:rPr>
        <w:t xml:space="preserve"> </w:t>
      </w:r>
      <w:r w:rsidR="003E54F9" w:rsidRPr="009903EC">
        <w:rPr>
          <w:rFonts w:ascii="Arial" w:eastAsia="Arial" w:hAnsi="Arial" w:cs="Arial"/>
          <w:sz w:val="22"/>
        </w:rPr>
        <w:t>Por otra parte</w:t>
      </w:r>
      <w:bookmarkEnd w:id="8"/>
      <w:r w:rsidR="00702D5D" w:rsidRPr="009903EC">
        <w:rPr>
          <w:rFonts w:ascii="Arial" w:eastAsia="Arial" w:hAnsi="Arial" w:cs="Arial"/>
          <w:sz w:val="22"/>
        </w:rPr>
        <w:t>, e</w:t>
      </w:r>
      <w:r w:rsidR="00E96DEA" w:rsidRPr="009903EC">
        <w:rPr>
          <w:rFonts w:ascii="Arial" w:eastAsia="Arial" w:hAnsi="Arial" w:cs="Arial"/>
          <w:sz w:val="22"/>
        </w:rPr>
        <w:t xml:space="preserve">n cuanto a </w:t>
      </w:r>
      <w:r w:rsidR="00291854" w:rsidRPr="009903EC">
        <w:rPr>
          <w:rFonts w:ascii="Arial" w:eastAsia="Arial" w:hAnsi="Arial" w:cs="Arial"/>
          <w:sz w:val="22"/>
        </w:rPr>
        <w:t xml:space="preserve">la frecuencia </w:t>
      </w:r>
      <w:r w:rsidR="00E96DEA" w:rsidRPr="009903EC">
        <w:rPr>
          <w:rFonts w:ascii="Arial" w:eastAsia="Arial" w:hAnsi="Arial" w:cs="Arial"/>
          <w:sz w:val="22"/>
        </w:rPr>
        <w:t xml:space="preserve">para </w:t>
      </w:r>
      <w:r w:rsidR="00291854" w:rsidRPr="009903EC">
        <w:rPr>
          <w:rFonts w:ascii="Arial" w:eastAsia="Arial" w:hAnsi="Arial" w:cs="Arial"/>
          <w:sz w:val="22"/>
        </w:rPr>
        <w:t xml:space="preserve">el seguimiento a la garantía adicional o suplementaria, </w:t>
      </w:r>
      <w:r w:rsidR="00D32AF5" w:rsidRPr="009903EC">
        <w:rPr>
          <w:rFonts w:ascii="Arial" w:eastAsia="Arial" w:hAnsi="Arial" w:cs="Arial"/>
          <w:sz w:val="22"/>
        </w:rPr>
        <w:t xml:space="preserve">el </w:t>
      </w:r>
      <w:r w:rsidR="000E7F0F" w:rsidRPr="009903EC">
        <w:rPr>
          <w:rFonts w:ascii="Arial" w:eastAsia="Arial" w:hAnsi="Arial" w:cs="Arial"/>
          <w:sz w:val="22"/>
        </w:rPr>
        <w:t>«</w:t>
      </w:r>
      <w:r w:rsidR="004C39C9" w:rsidRPr="009903EC">
        <w:rPr>
          <w:rFonts w:ascii="Arial" w:eastAsia="Arial" w:hAnsi="Arial" w:cs="Arial"/>
          <w:sz w:val="22"/>
        </w:rPr>
        <w:t>D</w:t>
      </w:r>
      <w:r w:rsidR="00D32AF5" w:rsidRPr="009903EC">
        <w:rPr>
          <w:rFonts w:ascii="Arial" w:eastAsia="Arial" w:hAnsi="Arial" w:cs="Arial"/>
          <w:sz w:val="22"/>
        </w:rPr>
        <w:t xml:space="preserve">ocumento </w:t>
      </w:r>
      <w:r w:rsidR="009E27E2" w:rsidRPr="009903EC">
        <w:rPr>
          <w:rFonts w:ascii="Arial" w:eastAsia="Arial" w:hAnsi="Arial" w:cs="Arial"/>
          <w:sz w:val="22"/>
        </w:rPr>
        <w:t>B</w:t>
      </w:r>
      <w:r w:rsidR="00D32AF5" w:rsidRPr="009903EC">
        <w:rPr>
          <w:rFonts w:ascii="Arial" w:eastAsia="Arial" w:hAnsi="Arial" w:cs="Arial"/>
          <w:sz w:val="22"/>
        </w:rPr>
        <w:t>ase</w:t>
      </w:r>
      <w:r w:rsidR="000E7F0F" w:rsidRPr="009903EC">
        <w:rPr>
          <w:rFonts w:ascii="Arial" w:eastAsia="Arial" w:hAnsi="Arial" w:cs="Arial"/>
          <w:sz w:val="22"/>
        </w:rPr>
        <w:t>»</w:t>
      </w:r>
      <w:r w:rsidR="00593652" w:rsidRPr="009903EC">
        <w:rPr>
          <w:rFonts w:ascii="Arial" w:eastAsia="Arial" w:hAnsi="Arial" w:cs="Arial"/>
          <w:sz w:val="22"/>
        </w:rPr>
        <w:t xml:space="preserve"> estableció en el numeral IX, lo siguiente:</w:t>
      </w:r>
      <w:r w:rsidR="00D32AF5" w:rsidRPr="009903EC">
        <w:rPr>
          <w:rFonts w:ascii="Arial" w:eastAsia="Arial" w:hAnsi="Arial" w:cs="Arial"/>
          <w:sz w:val="22"/>
        </w:rPr>
        <w:t xml:space="preserve"> </w:t>
      </w:r>
    </w:p>
    <w:p w14:paraId="722C3819" w14:textId="77777777" w:rsidR="003E54F9" w:rsidRPr="009903EC" w:rsidRDefault="003E54F9" w:rsidP="0067722F">
      <w:pPr>
        <w:spacing w:line="276" w:lineRule="auto"/>
        <w:ind w:firstLine="709"/>
        <w:jc w:val="both"/>
        <w:rPr>
          <w:rFonts w:ascii="Arial" w:eastAsia="Arial" w:hAnsi="Arial" w:cs="Arial"/>
          <w:sz w:val="22"/>
        </w:rPr>
      </w:pPr>
    </w:p>
    <w:p w14:paraId="23C18CB1" w14:textId="7319E22D" w:rsidR="00D32AF5" w:rsidRPr="009903EC" w:rsidRDefault="00593652" w:rsidP="00C8061B">
      <w:pPr>
        <w:ind w:left="709" w:right="709"/>
        <w:jc w:val="both"/>
        <w:rPr>
          <w:rFonts w:ascii="Arial" w:eastAsia="Calibri" w:hAnsi="Arial" w:cs="Arial"/>
          <w:sz w:val="21"/>
          <w:szCs w:val="21"/>
        </w:rPr>
      </w:pPr>
      <w:r w:rsidRPr="009903EC">
        <w:rPr>
          <w:rFonts w:ascii="Arial" w:eastAsia="Calibri" w:hAnsi="Arial" w:cs="Arial"/>
          <w:sz w:val="21"/>
          <w:szCs w:val="21"/>
        </w:rPr>
        <w:t xml:space="preserve">IX.  </w:t>
      </w:r>
      <w:r w:rsidR="00D32AF5" w:rsidRPr="009903EC">
        <w:rPr>
          <w:rFonts w:ascii="Arial" w:eastAsia="Calibri" w:hAnsi="Arial" w:cs="Arial"/>
          <w:sz w:val="21"/>
          <w:szCs w:val="21"/>
        </w:rPr>
        <w:t>E</w:t>
      </w:r>
      <w:r w:rsidR="00D32AF5" w:rsidRPr="009903EC">
        <w:rPr>
          <w:rFonts w:ascii="Arial" w:hAnsi="Arial" w:cs="Arial"/>
          <w:sz w:val="21"/>
          <w:szCs w:val="21"/>
          <w:shd w:val="clear" w:color="auto" w:fill="FFFFFF"/>
          <w:lang w:val="es-ES_tradnl"/>
        </w:rPr>
        <w:t>l seguimiento al cumplimiento de la Garantía Suplementaria se realizará en los términos del numeral 4 del artículo 4 de la Ley 80 de 1993</w:t>
      </w:r>
      <w:r w:rsidR="00291854" w:rsidRPr="007C1AA6">
        <w:rPr>
          <w:rStyle w:val="Refdenotaalpie"/>
          <w:rFonts w:ascii="Arial" w:hAnsi="Arial" w:cs="Arial"/>
        </w:rPr>
        <w:footnoteReference w:id="9"/>
      </w:r>
      <w:r w:rsidR="00D32AF5" w:rsidRPr="009903EC">
        <w:rPr>
          <w:rFonts w:ascii="Arial" w:hAnsi="Arial" w:cs="Arial"/>
          <w:sz w:val="21"/>
          <w:szCs w:val="21"/>
          <w:shd w:val="clear" w:color="auto" w:fill="FFFFFF"/>
          <w:lang w:val="es-ES_tradnl"/>
        </w:rPr>
        <w:t xml:space="preserve"> por la persona designada por la entidad. Cuando no se realice la designación, el contratista deberá realizar el seguimiento como mínimo en la frecuencia que determine en el Formato 7D – Garantía Suplementaria o Adicional durante la vigencia de la Garantía Suplementaria o Adicional ofrecida</w:t>
      </w:r>
      <w:r w:rsidR="00D32AF5" w:rsidRPr="009903EC">
        <w:rPr>
          <w:rFonts w:ascii="Arial" w:eastAsia="Calibri" w:hAnsi="Arial" w:cs="Arial"/>
          <w:sz w:val="21"/>
          <w:szCs w:val="21"/>
        </w:rPr>
        <w:t xml:space="preserve">. </w:t>
      </w:r>
    </w:p>
    <w:p w14:paraId="03F51847" w14:textId="77777777" w:rsidR="004C39C9" w:rsidRPr="009903EC" w:rsidRDefault="004C39C9" w:rsidP="00C8061B">
      <w:pPr>
        <w:ind w:left="709" w:right="709"/>
        <w:jc w:val="both"/>
        <w:rPr>
          <w:rFonts w:ascii="Arial" w:eastAsia="Calibri" w:hAnsi="Arial" w:cs="Arial"/>
          <w:sz w:val="22"/>
        </w:rPr>
      </w:pPr>
    </w:p>
    <w:p w14:paraId="28A67081" w14:textId="4ED11B48" w:rsidR="004C39C9" w:rsidRPr="009903EC" w:rsidRDefault="00D32AF5" w:rsidP="00975400">
      <w:pPr>
        <w:spacing w:line="276" w:lineRule="auto"/>
        <w:jc w:val="both"/>
        <w:rPr>
          <w:rFonts w:ascii="Arial" w:eastAsia="Calibri" w:hAnsi="Arial" w:cs="Arial"/>
          <w:sz w:val="22"/>
        </w:rPr>
      </w:pPr>
      <w:r w:rsidRPr="009903EC">
        <w:rPr>
          <w:rFonts w:ascii="Arial" w:eastAsia="Calibri" w:hAnsi="Arial" w:cs="Arial"/>
          <w:sz w:val="22"/>
        </w:rPr>
        <w:t>Por su parte el Formulario 7D</w:t>
      </w:r>
      <w:r w:rsidR="00E96DEA" w:rsidRPr="009903EC">
        <w:rPr>
          <w:rFonts w:ascii="Arial" w:eastAsia="Calibri" w:hAnsi="Arial" w:cs="Arial"/>
          <w:sz w:val="22"/>
        </w:rPr>
        <w:t>,</w:t>
      </w:r>
      <w:r w:rsidRPr="009903EC">
        <w:rPr>
          <w:rFonts w:ascii="Arial" w:eastAsia="Calibri" w:hAnsi="Arial" w:cs="Arial"/>
          <w:sz w:val="22"/>
        </w:rPr>
        <w:t xml:space="preserve"> </w:t>
      </w:r>
      <w:r w:rsidR="00E96DEA" w:rsidRPr="009903EC">
        <w:rPr>
          <w:rFonts w:ascii="Arial" w:eastAsia="Calibri" w:hAnsi="Arial" w:cs="Arial"/>
          <w:sz w:val="22"/>
        </w:rPr>
        <w:t xml:space="preserve">a diligenciar por el oferente, </w:t>
      </w:r>
      <w:r w:rsidRPr="009903EC">
        <w:rPr>
          <w:rFonts w:ascii="Arial" w:eastAsia="Calibri" w:hAnsi="Arial" w:cs="Arial"/>
          <w:sz w:val="22"/>
        </w:rPr>
        <w:t xml:space="preserve">señaló: </w:t>
      </w:r>
    </w:p>
    <w:p w14:paraId="471066C8" w14:textId="77777777" w:rsidR="003E54F9" w:rsidRPr="009903EC" w:rsidRDefault="003E54F9" w:rsidP="002F77A1">
      <w:pPr>
        <w:spacing w:line="276" w:lineRule="auto"/>
        <w:ind w:firstLine="709"/>
        <w:jc w:val="both"/>
        <w:rPr>
          <w:rFonts w:ascii="Arial" w:eastAsia="Calibri" w:hAnsi="Arial" w:cs="Arial"/>
          <w:sz w:val="22"/>
        </w:rPr>
      </w:pPr>
    </w:p>
    <w:p w14:paraId="1F66A622" w14:textId="780A926A" w:rsidR="00D32AF5" w:rsidRPr="007C1AA6" w:rsidRDefault="00D32AF5" w:rsidP="0067722F">
      <w:pPr>
        <w:ind w:left="709" w:right="709"/>
        <w:jc w:val="both"/>
        <w:rPr>
          <w:rFonts w:ascii="Arial" w:eastAsiaTheme="minorEastAsia" w:hAnsi="Arial" w:cs="Arial"/>
          <w:sz w:val="20"/>
          <w:szCs w:val="20"/>
        </w:rPr>
      </w:pPr>
      <w:r w:rsidRPr="009903EC">
        <w:rPr>
          <w:rFonts w:ascii="Arial" w:hAnsi="Arial" w:cs="Arial"/>
          <w:sz w:val="21"/>
          <w:szCs w:val="21"/>
          <w:shd w:val="clear" w:color="auto" w:fill="FFFFFF"/>
          <w:lang w:val="es-ES_tradnl"/>
        </w:rPr>
        <w:t xml:space="preserve">Adicionalmente, cuando la entidad no realice la designación de una persona para realizar el seguimiento al cumplimiento de la garantía en los términos del numeral 4 del artículo 4 de la Ley 80 de 1993, manifiesto el compromiso de realizar seguimiento al menos </w:t>
      </w:r>
      <w:r w:rsidRPr="007C1AA6">
        <w:rPr>
          <w:rFonts w:ascii="Arial" w:hAnsi="Arial" w:cs="Arial"/>
          <w:sz w:val="21"/>
          <w:szCs w:val="21"/>
          <w:shd w:val="clear" w:color="auto" w:fill="FFFFFF"/>
          <w:lang w:val="es-ES_tradnl"/>
        </w:rPr>
        <w:t>[señalar el número de veces]</w:t>
      </w:r>
      <w:r w:rsidRPr="009903EC">
        <w:rPr>
          <w:rFonts w:ascii="Arial" w:hAnsi="Arial" w:cs="Arial"/>
          <w:sz w:val="21"/>
          <w:szCs w:val="21"/>
          <w:shd w:val="clear" w:color="auto" w:fill="FFFFFF"/>
          <w:lang w:val="es-ES_tradnl"/>
        </w:rPr>
        <w:t xml:space="preserve"> cada </w:t>
      </w:r>
      <w:r w:rsidRPr="007C1AA6">
        <w:rPr>
          <w:rFonts w:ascii="Arial" w:hAnsi="Arial" w:cs="Arial"/>
          <w:sz w:val="21"/>
          <w:szCs w:val="21"/>
          <w:shd w:val="clear" w:color="auto" w:fill="FFFFFF"/>
          <w:lang w:val="es-ES_tradnl"/>
        </w:rPr>
        <w:t>[señalar el periodo de tiempo]</w:t>
      </w:r>
      <w:r w:rsidRPr="009903EC">
        <w:rPr>
          <w:rFonts w:ascii="Arial" w:hAnsi="Arial" w:cs="Arial"/>
          <w:sz w:val="21"/>
          <w:szCs w:val="21"/>
          <w:shd w:val="clear" w:color="auto" w:fill="FFFFFF"/>
          <w:lang w:val="es-ES_tradnl"/>
        </w:rPr>
        <w:t xml:space="preserve"> durante la vigencia de la Garantía Suplementaria o Adicional ofrecida</w:t>
      </w:r>
      <w:r w:rsidRPr="007C1AA6">
        <w:rPr>
          <w:rFonts w:ascii="Arial" w:eastAsiaTheme="minorEastAsia" w:hAnsi="Arial" w:cs="Arial"/>
          <w:sz w:val="20"/>
          <w:szCs w:val="20"/>
        </w:rPr>
        <w:t>.</w:t>
      </w:r>
    </w:p>
    <w:p w14:paraId="306DE15E" w14:textId="77777777" w:rsidR="003E54F9" w:rsidRPr="009903EC" w:rsidRDefault="003E54F9" w:rsidP="0067722F">
      <w:pPr>
        <w:spacing w:line="276" w:lineRule="auto"/>
        <w:ind w:firstLine="709"/>
        <w:jc w:val="both"/>
        <w:rPr>
          <w:rFonts w:ascii="Arial" w:eastAsiaTheme="minorEastAsia" w:hAnsi="Arial" w:cs="Arial"/>
          <w:sz w:val="22"/>
        </w:rPr>
      </w:pPr>
    </w:p>
    <w:p w14:paraId="3E9F51DC" w14:textId="686238FB" w:rsidR="00862FD9" w:rsidRPr="009903EC" w:rsidRDefault="00A62356" w:rsidP="002F77A1">
      <w:pPr>
        <w:spacing w:before="120" w:after="120" w:line="276" w:lineRule="auto"/>
        <w:ind w:firstLine="709"/>
        <w:jc w:val="both"/>
        <w:rPr>
          <w:rFonts w:ascii="Arial" w:eastAsiaTheme="minorEastAsia" w:hAnsi="Arial" w:cs="Arial"/>
          <w:sz w:val="22"/>
        </w:rPr>
      </w:pPr>
      <w:r w:rsidRPr="007C1AA6">
        <w:rPr>
          <w:rFonts w:ascii="Arial" w:eastAsiaTheme="minorEastAsia" w:hAnsi="Arial" w:cs="Arial"/>
          <w:sz w:val="22"/>
        </w:rPr>
        <w:t>E</w:t>
      </w:r>
      <w:r w:rsidR="00862FD9" w:rsidRPr="007C1AA6">
        <w:rPr>
          <w:rFonts w:ascii="Arial" w:eastAsiaTheme="minorEastAsia" w:hAnsi="Arial" w:cs="Arial"/>
          <w:sz w:val="22"/>
        </w:rPr>
        <w:t xml:space="preserve">n virtud de lo dispuesto en el numeral 4 del artículo 4 de la Ley 80 de 1993, corresponde a la entidad contratante realizar revisiones periódicas para verificar que se cumplan las condiciones de calidad de la obra, las cuales deberán </w:t>
      </w:r>
      <w:r w:rsidR="00774F9F" w:rsidRPr="007C1AA6">
        <w:rPr>
          <w:rFonts w:ascii="Arial" w:eastAsiaTheme="minorEastAsia" w:hAnsi="Arial" w:cs="Arial"/>
          <w:sz w:val="22"/>
        </w:rPr>
        <w:t>efectuarse</w:t>
      </w:r>
      <w:r w:rsidR="00862FD9" w:rsidRPr="007C1AA6">
        <w:rPr>
          <w:rFonts w:ascii="Arial" w:eastAsiaTheme="minorEastAsia" w:hAnsi="Arial" w:cs="Arial"/>
          <w:sz w:val="22"/>
        </w:rPr>
        <w:t xml:space="preserve">, como </w:t>
      </w:r>
      <w:r w:rsidR="00862FD9" w:rsidRPr="007C1AA6">
        <w:rPr>
          <w:rFonts w:ascii="Arial" w:eastAsiaTheme="minorEastAsia" w:hAnsi="Arial" w:cs="Arial"/>
          <w:sz w:val="22"/>
        </w:rPr>
        <w:lastRenderedPageBreak/>
        <w:t>mínimo, cada seis (6) meses durante el término de vigencia de la garantía.</w:t>
      </w:r>
      <w:r w:rsidRPr="007C1AA6">
        <w:rPr>
          <w:rFonts w:ascii="Arial" w:eastAsiaTheme="minorEastAsia" w:hAnsi="Arial" w:cs="Arial"/>
          <w:sz w:val="22"/>
        </w:rPr>
        <w:t xml:space="preserve"> A efectos de aplicar este seguimiento respecto de la garantía suplementaria, el apartado transcrito del Documento Base hace referencia al deber de la entidad de designar a una persona que se encargue de verificar el cumplimiento de esta garantía de acuerdo con la frecuencia mínima indicada en la norma, sin perjuicio que la entidad disponga realizar </w:t>
      </w:r>
      <w:r w:rsidR="00702D5D" w:rsidRPr="007C1AA6">
        <w:rPr>
          <w:rFonts w:ascii="Arial" w:eastAsiaTheme="minorEastAsia" w:hAnsi="Arial" w:cs="Arial"/>
          <w:sz w:val="22"/>
        </w:rPr>
        <w:t>las revisiones</w:t>
      </w:r>
      <w:r w:rsidRPr="007C1AA6">
        <w:rPr>
          <w:rFonts w:ascii="Arial" w:eastAsiaTheme="minorEastAsia" w:hAnsi="Arial" w:cs="Arial"/>
          <w:sz w:val="22"/>
        </w:rPr>
        <w:t xml:space="preserve"> </w:t>
      </w:r>
      <w:r w:rsidR="00702D5D" w:rsidRPr="007C1AA6">
        <w:rPr>
          <w:rFonts w:ascii="Arial" w:eastAsiaTheme="minorEastAsia" w:hAnsi="Arial" w:cs="Arial"/>
          <w:sz w:val="22"/>
        </w:rPr>
        <w:t xml:space="preserve">con </w:t>
      </w:r>
      <w:r w:rsidRPr="007C1AA6">
        <w:rPr>
          <w:rFonts w:ascii="Arial" w:eastAsiaTheme="minorEastAsia" w:hAnsi="Arial" w:cs="Arial"/>
          <w:sz w:val="22"/>
        </w:rPr>
        <w:t>una frecuencia menor.</w:t>
      </w:r>
      <w:r w:rsidRPr="009903EC">
        <w:rPr>
          <w:rFonts w:ascii="Arial" w:eastAsiaTheme="minorEastAsia" w:hAnsi="Arial" w:cs="Arial"/>
          <w:sz w:val="22"/>
        </w:rPr>
        <w:t xml:space="preserve"> </w:t>
      </w:r>
    </w:p>
    <w:p w14:paraId="01382BE0" w14:textId="07B34E4D" w:rsidR="00FA128B" w:rsidRPr="009903EC" w:rsidRDefault="00702D5D" w:rsidP="002F77A1">
      <w:pPr>
        <w:spacing w:before="120" w:after="120" w:line="276" w:lineRule="auto"/>
        <w:ind w:firstLine="709"/>
        <w:jc w:val="both"/>
        <w:rPr>
          <w:rFonts w:ascii="Arial" w:eastAsiaTheme="minorEastAsia" w:hAnsi="Arial" w:cs="Arial"/>
          <w:sz w:val="22"/>
        </w:rPr>
      </w:pPr>
      <w:r w:rsidRPr="009903EC">
        <w:rPr>
          <w:rFonts w:ascii="Arial" w:eastAsiaTheme="minorEastAsia" w:hAnsi="Arial" w:cs="Arial"/>
          <w:sz w:val="22"/>
        </w:rPr>
        <w:t xml:space="preserve">Como se establece en el </w:t>
      </w:r>
      <w:r w:rsidR="003E54F9" w:rsidRPr="009903EC">
        <w:rPr>
          <w:rFonts w:ascii="Arial" w:eastAsiaTheme="minorEastAsia" w:hAnsi="Arial" w:cs="Arial"/>
          <w:sz w:val="22"/>
        </w:rPr>
        <w:t>documento base</w:t>
      </w:r>
      <w:r w:rsidRPr="009903EC">
        <w:rPr>
          <w:rFonts w:ascii="Arial" w:eastAsiaTheme="minorEastAsia" w:hAnsi="Arial" w:cs="Arial"/>
          <w:sz w:val="22"/>
        </w:rPr>
        <w:t>, e</w:t>
      </w:r>
      <w:r w:rsidR="00B761B6" w:rsidRPr="009903EC">
        <w:rPr>
          <w:rFonts w:ascii="Arial" w:eastAsiaTheme="minorEastAsia" w:hAnsi="Arial" w:cs="Arial"/>
          <w:sz w:val="22"/>
        </w:rPr>
        <w:t xml:space="preserve">n el evento </w:t>
      </w:r>
      <w:r w:rsidR="00274B3E" w:rsidRPr="009903EC">
        <w:rPr>
          <w:rFonts w:ascii="Arial" w:eastAsiaTheme="minorEastAsia" w:hAnsi="Arial" w:cs="Arial"/>
          <w:sz w:val="22"/>
        </w:rPr>
        <w:t xml:space="preserve">de </w:t>
      </w:r>
      <w:r w:rsidR="00B761B6" w:rsidRPr="009903EC">
        <w:rPr>
          <w:rFonts w:ascii="Arial" w:eastAsiaTheme="minorEastAsia" w:hAnsi="Arial" w:cs="Arial"/>
          <w:sz w:val="22"/>
        </w:rPr>
        <w:t xml:space="preserve">que la entidad no realice </w:t>
      </w:r>
      <w:r w:rsidR="00864A61" w:rsidRPr="009903EC">
        <w:rPr>
          <w:rFonts w:ascii="Arial" w:eastAsiaTheme="minorEastAsia" w:hAnsi="Arial" w:cs="Arial"/>
          <w:sz w:val="22"/>
        </w:rPr>
        <w:t xml:space="preserve">la anterior designación, </w:t>
      </w:r>
      <w:r w:rsidR="00B761B6" w:rsidRPr="009903EC">
        <w:rPr>
          <w:rFonts w:ascii="Arial" w:eastAsiaTheme="minorEastAsia" w:hAnsi="Arial" w:cs="Arial"/>
          <w:sz w:val="22"/>
        </w:rPr>
        <w:t xml:space="preserve">el oferente debe proponer </w:t>
      </w:r>
      <w:r w:rsidR="00850EFF" w:rsidRPr="009903EC">
        <w:rPr>
          <w:rFonts w:ascii="Arial" w:eastAsiaTheme="minorEastAsia" w:hAnsi="Arial" w:cs="Arial"/>
          <w:sz w:val="22"/>
        </w:rPr>
        <w:t xml:space="preserve">de manera autónoma y libre </w:t>
      </w:r>
      <w:r w:rsidR="00B761B6" w:rsidRPr="009903EC">
        <w:rPr>
          <w:rFonts w:ascii="Arial" w:eastAsiaTheme="minorEastAsia" w:hAnsi="Arial" w:cs="Arial"/>
          <w:sz w:val="22"/>
        </w:rPr>
        <w:t xml:space="preserve">en el Formato 7D </w:t>
      </w:r>
      <w:r w:rsidR="00864A61" w:rsidRPr="009903EC">
        <w:rPr>
          <w:rFonts w:ascii="Arial" w:eastAsiaTheme="minorEastAsia" w:hAnsi="Arial" w:cs="Arial"/>
          <w:sz w:val="22"/>
        </w:rPr>
        <w:t>una frecuencia</w:t>
      </w:r>
      <w:r w:rsidR="00CB1768" w:rsidRPr="009903EC">
        <w:rPr>
          <w:rFonts w:ascii="Arial" w:eastAsiaTheme="minorEastAsia" w:hAnsi="Arial" w:cs="Arial"/>
          <w:sz w:val="22"/>
        </w:rPr>
        <w:t xml:space="preserve"> mínima</w:t>
      </w:r>
      <w:r w:rsidR="00850EFF" w:rsidRPr="009903EC">
        <w:rPr>
          <w:rFonts w:ascii="Arial" w:eastAsiaTheme="minorEastAsia" w:hAnsi="Arial" w:cs="Arial"/>
          <w:sz w:val="22"/>
        </w:rPr>
        <w:t xml:space="preserve"> al momento de presentar la oferta</w:t>
      </w:r>
      <w:r w:rsidR="00B761B6" w:rsidRPr="009903EC">
        <w:rPr>
          <w:rFonts w:ascii="Arial" w:eastAsiaTheme="minorEastAsia" w:hAnsi="Arial" w:cs="Arial"/>
          <w:sz w:val="22"/>
        </w:rPr>
        <w:t xml:space="preserve">. </w:t>
      </w:r>
      <w:r w:rsidR="00850EFF" w:rsidRPr="009903EC">
        <w:rPr>
          <w:rFonts w:ascii="Arial" w:eastAsiaTheme="minorEastAsia" w:hAnsi="Arial" w:cs="Arial"/>
          <w:sz w:val="22"/>
        </w:rPr>
        <w:t>En este caso</w:t>
      </w:r>
      <w:r w:rsidR="00274B3E" w:rsidRPr="009903EC">
        <w:rPr>
          <w:rFonts w:ascii="Arial" w:eastAsiaTheme="minorEastAsia" w:hAnsi="Arial" w:cs="Arial"/>
          <w:sz w:val="22"/>
        </w:rPr>
        <w:t>,</w:t>
      </w:r>
      <w:r w:rsidR="00850EFF" w:rsidRPr="009903EC">
        <w:rPr>
          <w:rFonts w:ascii="Arial" w:eastAsiaTheme="minorEastAsia" w:hAnsi="Arial" w:cs="Arial"/>
          <w:sz w:val="22"/>
        </w:rPr>
        <w:t xml:space="preserve"> el seguimiento de la garantía suplementaria lo realizará el contratista en los términos de la frecuencia ofrecida</w:t>
      </w:r>
      <w:r w:rsidR="000626DD" w:rsidRPr="009903EC">
        <w:rPr>
          <w:rFonts w:ascii="Arial" w:eastAsiaTheme="minorEastAsia" w:hAnsi="Arial" w:cs="Arial"/>
          <w:sz w:val="22"/>
        </w:rPr>
        <w:t>,</w:t>
      </w:r>
      <w:r w:rsidR="00850EFF" w:rsidRPr="009903EC">
        <w:rPr>
          <w:rFonts w:ascii="Arial" w:eastAsiaTheme="minorEastAsia" w:hAnsi="Arial" w:cs="Arial"/>
          <w:sz w:val="22"/>
        </w:rPr>
        <w:t xml:space="preserve"> </w:t>
      </w:r>
      <w:r w:rsidR="000626DD" w:rsidRPr="009903EC">
        <w:rPr>
          <w:rFonts w:ascii="Arial" w:eastAsiaTheme="minorEastAsia" w:hAnsi="Arial" w:cs="Arial"/>
          <w:sz w:val="22"/>
        </w:rPr>
        <w:t>o</w:t>
      </w:r>
      <w:r w:rsidR="00CB1768" w:rsidRPr="009903EC">
        <w:rPr>
          <w:rFonts w:ascii="Arial" w:eastAsiaTheme="minorEastAsia" w:hAnsi="Arial" w:cs="Arial"/>
          <w:sz w:val="22"/>
        </w:rPr>
        <w:t>bligándo</w:t>
      </w:r>
      <w:r w:rsidR="00850EFF" w:rsidRPr="009903EC">
        <w:rPr>
          <w:rFonts w:ascii="Arial" w:eastAsiaTheme="minorEastAsia" w:hAnsi="Arial" w:cs="Arial"/>
          <w:sz w:val="22"/>
        </w:rPr>
        <w:t>se</w:t>
      </w:r>
      <w:r w:rsidR="00CB1768" w:rsidRPr="009903EC">
        <w:rPr>
          <w:rFonts w:ascii="Arial" w:eastAsiaTheme="minorEastAsia" w:hAnsi="Arial" w:cs="Arial"/>
          <w:sz w:val="22"/>
        </w:rPr>
        <w:t xml:space="preserve"> </w:t>
      </w:r>
      <w:r w:rsidR="00FA128B" w:rsidRPr="009903EC">
        <w:rPr>
          <w:rFonts w:ascii="Arial" w:eastAsiaTheme="minorEastAsia" w:hAnsi="Arial" w:cs="Arial"/>
          <w:sz w:val="22"/>
        </w:rPr>
        <w:t xml:space="preserve">a realizar el seguimiento en </w:t>
      </w:r>
      <w:r w:rsidR="00CB1768" w:rsidRPr="009903EC">
        <w:rPr>
          <w:rFonts w:ascii="Arial" w:eastAsiaTheme="minorEastAsia" w:hAnsi="Arial" w:cs="Arial"/>
          <w:sz w:val="22"/>
        </w:rPr>
        <w:t xml:space="preserve">los </w:t>
      </w:r>
      <w:r w:rsidR="00FA128B" w:rsidRPr="009903EC">
        <w:rPr>
          <w:rFonts w:ascii="Arial" w:eastAsiaTheme="minorEastAsia" w:hAnsi="Arial" w:cs="Arial"/>
          <w:sz w:val="22"/>
        </w:rPr>
        <w:t>términos</w:t>
      </w:r>
      <w:r w:rsidR="00CB1768" w:rsidRPr="009903EC">
        <w:rPr>
          <w:rFonts w:ascii="Arial" w:eastAsiaTheme="minorEastAsia" w:hAnsi="Arial" w:cs="Arial"/>
          <w:sz w:val="22"/>
        </w:rPr>
        <w:t xml:space="preserve"> </w:t>
      </w:r>
      <w:r w:rsidR="004B1AFD" w:rsidRPr="009903EC">
        <w:rPr>
          <w:rFonts w:ascii="Arial" w:eastAsiaTheme="minorEastAsia" w:hAnsi="Arial" w:cs="Arial"/>
          <w:sz w:val="22"/>
        </w:rPr>
        <w:t xml:space="preserve">indicados </w:t>
      </w:r>
      <w:r w:rsidR="006C6528" w:rsidRPr="009903EC">
        <w:rPr>
          <w:rFonts w:ascii="Arial" w:eastAsiaTheme="minorEastAsia" w:hAnsi="Arial" w:cs="Arial"/>
          <w:sz w:val="22"/>
        </w:rPr>
        <w:t>por él</w:t>
      </w:r>
      <w:r w:rsidR="00FA128B" w:rsidRPr="009903EC">
        <w:rPr>
          <w:rFonts w:ascii="Arial" w:eastAsiaTheme="minorEastAsia" w:hAnsi="Arial" w:cs="Arial"/>
          <w:sz w:val="22"/>
        </w:rPr>
        <w:t>, pero solo cuando la entidad</w:t>
      </w:r>
      <w:r w:rsidR="00071077" w:rsidRPr="009903EC">
        <w:rPr>
          <w:rFonts w:ascii="Arial" w:eastAsiaTheme="minorEastAsia" w:hAnsi="Arial" w:cs="Arial"/>
          <w:sz w:val="22"/>
        </w:rPr>
        <w:t xml:space="preserve"> no</w:t>
      </w:r>
      <w:r w:rsidR="00FA128B" w:rsidRPr="009903EC">
        <w:rPr>
          <w:rFonts w:ascii="Arial" w:eastAsiaTheme="minorEastAsia" w:hAnsi="Arial" w:cs="Arial"/>
          <w:sz w:val="22"/>
        </w:rPr>
        <w:t xml:space="preserve"> ha designado una persona para hacerlo, </w:t>
      </w:r>
      <w:r w:rsidR="00CB1768" w:rsidRPr="009903EC">
        <w:rPr>
          <w:rFonts w:ascii="Arial" w:eastAsiaTheme="minorEastAsia" w:hAnsi="Arial" w:cs="Arial"/>
          <w:sz w:val="22"/>
        </w:rPr>
        <w:t>de acuerdo con el</w:t>
      </w:r>
      <w:r w:rsidR="00FA128B" w:rsidRPr="009903EC">
        <w:rPr>
          <w:rFonts w:ascii="Arial" w:eastAsiaTheme="minorEastAsia" w:hAnsi="Arial" w:cs="Arial"/>
          <w:sz w:val="22"/>
        </w:rPr>
        <w:t xml:space="preserve"> numeral 4 del artículo 4 de la Ley 80 de 1993</w:t>
      </w:r>
      <w:r w:rsidR="00CB1768" w:rsidRPr="009903EC">
        <w:rPr>
          <w:rFonts w:ascii="Arial" w:eastAsiaTheme="minorEastAsia" w:hAnsi="Arial" w:cs="Arial"/>
          <w:sz w:val="22"/>
        </w:rPr>
        <w:t xml:space="preserve">, </w:t>
      </w:r>
      <w:r w:rsidR="00FA128B" w:rsidRPr="009903EC">
        <w:rPr>
          <w:rFonts w:ascii="Arial" w:eastAsiaTheme="minorEastAsia" w:hAnsi="Arial" w:cs="Arial"/>
          <w:sz w:val="22"/>
        </w:rPr>
        <w:t>el Documento Base</w:t>
      </w:r>
      <w:r w:rsidR="00CB1768" w:rsidRPr="009903EC">
        <w:rPr>
          <w:rFonts w:ascii="Arial" w:eastAsiaTheme="minorEastAsia" w:hAnsi="Arial" w:cs="Arial"/>
          <w:sz w:val="22"/>
        </w:rPr>
        <w:t xml:space="preserve"> y el Formato 7D</w:t>
      </w:r>
      <w:r w:rsidR="00FA128B" w:rsidRPr="009903EC">
        <w:rPr>
          <w:rFonts w:ascii="Arial" w:eastAsiaTheme="minorEastAsia" w:hAnsi="Arial" w:cs="Arial"/>
          <w:sz w:val="22"/>
        </w:rPr>
        <w:t xml:space="preserve">. </w:t>
      </w:r>
    </w:p>
    <w:p w14:paraId="3952D46D" w14:textId="70338619" w:rsidR="00071287" w:rsidRPr="009903EC" w:rsidRDefault="00071287" w:rsidP="002F77A1">
      <w:pPr>
        <w:spacing w:before="120" w:after="120" w:line="276" w:lineRule="auto"/>
        <w:ind w:firstLine="709"/>
        <w:jc w:val="both"/>
        <w:rPr>
          <w:rFonts w:ascii="Arial" w:eastAsiaTheme="minorEastAsia" w:hAnsi="Arial" w:cs="Arial"/>
          <w:sz w:val="22"/>
        </w:rPr>
      </w:pPr>
      <w:r w:rsidRPr="009903EC">
        <w:rPr>
          <w:rFonts w:ascii="Arial" w:eastAsiaTheme="minorEastAsia" w:hAnsi="Arial" w:cs="Arial"/>
          <w:sz w:val="22"/>
        </w:rPr>
        <w:t>En todo caso, se reitera que</w:t>
      </w:r>
      <w:r w:rsidR="009A5CA2" w:rsidRPr="009903EC">
        <w:rPr>
          <w:rFonts w:ascii="Arial" w:eastAsiaTheme="minorEastAsia" w:hAnsi="Arial" w:cs="Arial"/>
          <w:sz w:val="22"/>
        </w:rPr>
        <w:t>,</w:t>
      </w:r>
      <w:r w:rsidRPr="009903EC">
        <w:rPr>
          <w:rFonts w:ascii="Arial" w:eastAsiaTheme="minorEastAsia" w:hAnsi="Arial" w:cs="Arial"/>
          <w:sz w:val="22"/>
        </w:rPr>
        <w:t xml:space="preserve"> de acuerdo con lo establecido en el documento base, la asignación del puntaje correspondiente al factor de calidad se hace en función del número de meses ofertados de vigencia de la garantía suplementaria o adicional, y no en relación con la frecuencia del seguimiento durante el término de vigencia de aquella. En ese sentido</w:t>
      </w:r>
      <w:r w:rsidR="009A5CA2" w:rsidRPr="009903EC">
        <w:rPr>
          <w:rFonts w:ascii="Arial" w:eastAsiaTheme="minorEastAsia" w:hAnsi="Arial" w:cs="Arial"/>
          <w:sz w:val="22"/>
        </w:rPr>
        <w:t>,</w:t>
      </w:r>
      <w:r w:rsidRPr="009903EC">
        <w:rPr>
          <w:rFonts w:ascii="Arial" w:eastAsiaTheme="minorEastAsia" w:hAnsi="Arial" w:cs="Arial"/>
          <w:sz w:val="22"/>
        </w:rPr>
        <w:t xml:space="preserve"> la evaluación del factor de calidad de la garantía suplementaría está determinada por los meses durante los cuales el contratista ofrece mantener la garantía adicional</w:t>
      </w:r>
      <w:r w:rsidR="009A5CA2" w:rsidRPr="009903EC">
        <w:rPr>
          <w:rFonts w:ascii="Arial" w:eastAsiaTheme="minorEastAsia" w:hAnsi="Arial" w:cs="Arial"/>
          <w:sz w:val="22"/>
        </w:rPr>
        <w:t>,</w:t>
      </w:r>
      <w:r w:rsidRPr="009903EC">
        <w:rPr>
          <w:rFonts w:ascii="Arial" w:eastAsiaTheme="minorEastAsia" w:hAnsi="Arial" w:cs="Arial"/>
          <w:sz w:val="22"/>
        </w:rPr>
        <w:t xml:space="preserve"> respetando el tope establecido por la entidad en el documento base, independientemente de la frecuencia del seguimiento que indique en el Formato 7D.</w:t>
      </w:r>
    </w:p>
    <w:p w14:paraId="1FEED73F" w14:textId="5BA165CE" w:rsidR="003E54F9" w:rsidRPr="009903EC" w:rsidRDefault="003E54F9" w:rsidP="0067722F">
      <w:pPr>
        <w:tabs>
          <w:tab w:val="left" w:pos="426"/>
        </w:tabs>
        <w:spacing w:after="120" w:line="276" w:lineRule="auto"/>
        <w:jc w:val="both"/>
        <w:rPr>
          <w:rFonts w:ascii="Arial" w:eastAsia="Calibri" w:hAnsi="Arial" w:cs="Arial"/>
          <w:sz w:val="22"/>
        </w:rPr>
      </w:pPr>
      <w:r w:rsidRPr="009903EC">
        <w:rPr>
          <w:rFonts w:ascii="Arial" w:eastAsia="Arial" w:hAnsi="Arial" w:cs="Arial"/>
          <w:sz w:val="22"/>
        </w:rPr>
        <w:tab/>
      </w:r>
      <w:r w:rsidR="00F163C8" w:rsidRPr="009903EC">
        <w:rPr>
          <w:rFonts w:ascii="Arial" w:eastAsia="Arial" w:hAnsi="Arial" w:cs="Arial"/>
          <w:sz w:val="22"/>
        </w:rPr>
        <w:tab/>
      </w:r>
      <w:r w:rsidR="009F4103" w:rsidRPr="009903EC">
        <w:rPr>
          <w:rFonts w:ascii="Arial" w:eastAsia="Arial" w:hAnsi="Arial" w:cs="Arial"/>
          <w:sz w:val="22"/>
        </w:rPr>
        <w:t xml:space="preserve">En síntesis, </w:t>
      </w:r>
      <w:r w:rsidRPr="009903EC">
        <w:rPr>
          <w:rFonts w:ascii="Arial" w:eastAsia="Calibri" w:hAnsi="Arial" w:cs="Arial"/>
          <w:sz w:val="22"/>
        </w:rPr>
        <w:t xml:space="preserve">al tenor del </w:t>
      </w:r>
      <w:r w:rsidRPr="009903EC">
        <w:rPr>
          <w:rFonts w:ascii="Arial" w:eastAsia="Calibri" w:hAnsi="Arial" w:cs="Arial"/>
          <w:sz w:val="22"/>
          <w:szCs w:val="24"/>
          <w:lang w:val="es-ES_tradnl" w:eastAsia="es-ES_tradnl"/>
        </w:rPr>
        <w:t>numeral 4.2.4 del Documento Base</w:t>
      </w:r>
      <w:r w:rsidRPr="009903EC">
        <w:rPr>
          <w:rFonts w:ascii="Arial" w:eastAsia="Calibri" w:hAnsi="Arial" w:cs="Arial"/>
          <w:sz w:val="22"/>
        </w:rPr>
        <w:t xml:space="preserve"> y del Formato 7D, de los documentos tipo de licitación</w:t>
      </w:r>
      <w:r w:rsidR="00BF120E" w:rsidRPr="009903EC">
        <w:rPr>
          <w:rFonts w:ascii="Arial" w:eastAsia="Calibri" w:hAnsi="Arial" w:cs="Arial"/>
          <w:sz w:val="22"/>
        </w:rPr>
        <w:t xml:space="preserve"> de obra pública de infraestructura de agua potable y saneamiento básico </w:t>
      </w:r>
      <w:r w:rsidRPr="009903EC">
        <w:rPr>
          <w:rFonts w:ascii="Arial" w:eastAsia="Calibri" w:hAnsi="Arial" w:cs="Arial"/>
          <w:sz w:val="22"/>
        </w:rPr>
        <w:t xml:space="preserve">– Versión 3, se </w:t>
      </w:r>
      <w:r w:rsidR="00F163C8" w:rsidRPr="009903EC">
        <w:rPr>
          <w:rFonts w:ascii="Arial" w:eastAsia="Calibri" w:hAnsi="Arial" w:cs="Arial"/>
          <w:sz w:val="22"/>
        </w:rPr>
        <w:t>encuentra</w:t>
      </w:r>
      <w:r w:rsidRPr="009903EC">
        <w:rPr>
          <w:rFonts w:ascii="Arial" w:eastAsia="Calibri" w:hAnsi="Arial" w:cs="Arial"/>
          <w:sz w:val="22"/>
        </w:rPr>
        <w:t xml:space="preserve"> que al ofertar la garantía suplementaria mediante dicho formato, corresponde al proponente indicar una frecuencia en la que se compromete a realizar el seguimiento a la misma, cuando la entidad no designe una persona para hacerlo conforme al numeral 4 del artículo 4 de la Ley 80 de 1993. Dicha frecuencia debe ser establecida por el proponente en el Formato 7D señalando en qué período se compromete a hacer las revisiones; siempre que la entidad no designe a alguien para hacerlo. </w:t>
      </w:r>
      <w:r w:rsidRPr="009903EC">
        <w:rPr>
          <w:rFonts w:ascii="Arial" w:eastAsiaTheme="minorEastAsia" w:hAnsi="Arial" w:cs="Arial"/>
          <w:sz w:val="22"/>
        </w:rPr>
        <w:t>De esta manera el oferente debe proponer de manera autónoma y libre en el Formato indicado una frecuencia mínima al momento de presentar la oferta, donde el seguimiento de la garantía suplementaria lo realizará el contratista en los términos de la frecuencia ofrecida obligándose a realizar el seguimiento en los términos por él indicados.</w:t>
      </w:r>
    </w:p>
    <w:p w14:paraId="28C448F4" w14:textId="5D308856" w:rsidR="003E54F9" w:rsidRPr="009903EC" w:rsidRDefault="003E54F9" w:rsidP="0067722F">
      <w:pPr>
        <w:tabs>
          <w:tab w:val="left" w:pos="426"/>
        </w:tabs>
        <w:spacing w:line="276" w:lineRule="auto"/>
        <w:ind w:firstLine="709"/>
        <w:jc w:val="both"/>
        <w:rPr>
          <w:rFonts w:ascii="Arial" w:eastAsia="Calibri" w:hAnsi="Arial" w:cs="Arial"/>
          <w:sz w:val="22"/>
        </w:rPr>
      </w:pPr>
      <w:r w:rsidRPr="009903EC">
        <w:rPr>
          <w:rFonts w:ascii="Arial" w:eastAsia="Calibri" w:hAnsi="Arial" w:cs="Arial"/>
          <w:sz w:val="22"/>
        </w:rPr>
        <w:t xml:space="preserve">Sin embargo, la frecuencia ofertada por el proponente no determina el puntaje correspondiente por este factor de calidad, pues ello depende del </w:t>
      </w:r>
      <w:r w:rsidRPr="007C1AA6">
        <w:rPr>
          <w:rFonts w:ascii="Arial" w:eastAsia="Calibri" w:hAnsi="Arial" w:cs="Arial"/>
          <w:i/>
          <w:iCs/>
          <w:sz w:val="22"/>
        </w:rPr>
        <w:t>número de meses de garantía adicional</w:t>
      </w:r>
      <w:r w:rsidRPr="009903EC">
        <w:rPr>
          <w:rFonts w:ascii="Arial" w:eastAsia="Calibri" w:hAnsi="Arial" w:cs="Arial"/>
          <w:sz w:val="22"/>
        </w:rPr>
        <w:t xml:space="preserve"> ofrecida por el proponente, siendo este el factor de evaluación que será tenido en cuenta por la entidad. Por lo anterior</w:t>
      </w:r>
      <w:r w:rsidR="00E17F6D" w:rsidRPr="009903EC">
        <w:rPr>
          <w:rFonts w:ascii="Arial" w:eastAsia="Calibri" w:hAnsi="Arial" w:cs="Arial"/>
          <w:sz w:val="22"/>
        </w:rPr>
        <w:t>,</w:t>
      </w:r>
      <w:r w:rsidRPr="009903EC">
        <w:rPr>
          <w:rFonts w:ascii="Arial" w:eastAsia="Calibri" w:hAnsi="Arial" w:cs="Arial"/>
          <w:sz w:val="22"/>
        </w:rPr>
        <w:t xml:space="preserve"> se infiere que el proponente al ofrecer otorgar la garantía adicional o suplementaria por un determinado número de meses hará el o los seguimientos igualmente dentro del lapso ofrecido por él. Por lo anterior, para la </w:t>
      </w:r>
      <w:r w:rsidRPr="009903EC">
        <w:rPr>
          <w:rFonts w:ascii="Arial" w:eastAsia="Calibri" w:hAnsi="Arial" w:cs="Arial"/>
          <w:sz w:val="22"/>
        </w:rPr>
        <w:lastRenderedPageBreak/>
        <w:t xml:space="preserve">asignación de puntaje basta que el Formato 7D se presente debidamente suscrito y diligenciado, otorgándose el puntaje de acuerdo con los meses de cobertura de la garantía suplementaria o adicional. </w:t>
      </w:r>
    </w:p>
    <w:p w14:paraId="74DCBE9A" w14:textId="77777777" w:rsidR="002F77A1" w:rsidRPr="009903EC" w:rsidRDefault="002F77A1" w:rsidP="0067722F">
      <w:pPr>
        <w:spacing w:line="276" w:lineRule="auto"/>
        <w:ind w:firstLine="709"/>
        <w:jc w:val="both"/>
        <w:rPr>
          <w:rFonts w:ascii="Arial" w:eastAsia="Calibri" w:hAnsi="Arial" w:cs="Arial"/>
          <w:sz w:val="22"/>
          <w:szCs w:val="24"/>
          <w:lang w:eastAsia="es-ES_tradnl"/>
        </w:rPr>
      </w:pPr>
    </w:p>
    <w:p w14:paraId="02F7BE55" w14:textId="73512709" w:rsidR="00FC4013" w:rsidRPr="009903EC" w:rsidRDefault="00FB4DBF" w:rsidP="003E54F9">
      <w:pPr>
        <w:spacing w:line="276" w:lineRule="auto"/>
        <w:jc w:val="both"/>
        <w:rPr>
          <w:rFonts w:ascii="Arial" w:eastAsia="Calibri" w:hAnsi="Arial" w:cs="Arial"/>
          <w:b/>
          <w:sz w:val="22"/>
        </w:rPr>
      </w:pPr>
      <w:r w:rsidRPr="009903EC">
        <w:rPr>
          <w:rFonts w:ascii="Arial" w:eastAsia="Calibri" w:hAnsi="Arial" w:cs="Arial"/>
          <w:b/>
          <w:sz w:val="22"/>
        </w:rPr>
        <w:t xml:space="preserve">3. </w:t>
      </w:r>
      <w:r w:rsidR="00305947" w:rsidRPr="009903EC">
        <w:rPr>
          <w:rFonts w:ascii="Arial" w:eastAsia="Calibri" w:hAnsi="Arial" w:cs="Arial"/>
          <w:b/>
          <w:sz w:val="22"/>
        </w:rPr>
        <w:t>Respuesta</w:t>
      </w:r>
    </w:p>
    <w:p w14:paraId="0B53823A" w14:textId="77777777" w:rsidR="00F163C8" w:rsidRPr="009903EC" w:rsidRDefault="00F163C8" w:rsidP="0067722F">
      <w:pPr>
        <w:spacing w:line="276" w:lineRule="auto"/>
        <w:jc w:val="both"/>
        <w:rPr>
          <w:rFonts w:ascii="Arial" w:eastAsia="Calibri" w:hAnsi="Arial" w:cs="Arial"/>
          <w:b/>
          <w:sz w:val="22"/>
        </w:rPr>
      </w:pPr>
    </w:p>
    <w:p w14:paraId="38D97947" w14:textId="2BC634F9" w:rsidR="00FC4013" w:rsidRPr="009903EC" w:rsidRDefault="003F48A0" w:rsidP="00F163C8">
      <w:pPr>
        <w:shd w:val="clear" w:color="auto" w:fill="FFFFFF"/>
        <w:ind w:left="709" w:right="709"/>
        <w:jc w:val="both"/>
        <w:rPr>
          <w:rFonts w:ascii="Arial" w:hAnsi="Arial" w:cs="Arial"/>
          <w:color w:val="0D0D0D"/>
          <w:sz w:val="22"/>
          <w:bdr w:val="none" w:sz="0" w:space="0" w:color="auto" w:frame="1"/>
          <w:lang w:eastAsia="es-CO"/>
        </w:rPr>
      </w:pPr>
      <w:r w:rsidRPr="009903EC">
        <w:rPr>
          <w:rFonts w:ascii="Arial" w:hAnsi="Arial" w:cs="Arial"/>
          <w:color w:val="0D0D0D"/>
          <w:sz w:val="21"/>
          <w:szCs w:val="21"/>
          <w:bdr w:val="none" w:sz="0" w:space="0" w:color="auto" w:frame="1"/>
          <w:lang w:eastAsia="es-CO"/>
        </w:rPr>
        <w:t>«Cuando estaba vigente el formato 7D para los pliegos tipo de agua potable y saneamiento básico, el segundo párrafo donde el oferente ofrece realizar en caso que no haya ningún designado por la entidad seguimientos al menos tantas veces, este ofrecimiento era de libre ofrecimiento según lo considerará el oferente, o se debía proponer mínimo 1 seguimiento cada 6 meses[?]»</w:t>
      </w:r>
    </w:p>
    <w:p w14:paraId="44C71417" w14:textId="77777777" w:rsidR="00F163C8" w:rsidRPr="009903EC" w:rsidRDefault="00F163C8" w:rsidP="0067722F">
      <w:pPr>
        <w:shd w:val="clear" w:color="auto" w:fill="FFFFFF"/>
        <w:ind w:left="709" w:right="709"/>
        <w:jc w:val="both"/>
        <w:rPr>
          <w:rFonts w:ascii="Arial" w:hAnsi="Arial" w:cs="Arial"/>
          <w:color w:val="0D0D0D"/>
          <w:sz w:val="22"/>
          <w:bdr w:val="none" w:sz="0" w:space="0" w:color="auto" w:frame="1"/>
          <w:lang w:eastAsia="es-CO"/>
        </w:rPr>
      </w:pPr>
    </w:p>
    <w:p w14:paraId="1C7A4221" w14:textId="77777777" w:rsidR="000C3872" w:rsidRPr="009903EC" w:rsidRDefault="000C3872" w:rsidP="0067722F">
      <w:pPr>
        <w:shd w:val="clear" w:color="auto" w:fill="FFFFFF"/>
        <w:spacing w:line="276" w:lineRule="auto"/>
        <w:ind w:left="709" w:right="709"/>
        <w:jc w:val="both"/>
        <w:rPr>
          <w:rFonts w:ascii="Arial" w:hAnsi="Arial" w:cs="Arial"/>
          <w:b/>
          <w:color w:val="000000"/>
          <w:sz w:val="22"/>
        </w:rPr>
      </w:pPr>
    </w:p>
    <w:p w14:paraId="63325393" w14:textId="1B30F610" w:rsidR="00FC4013" w:rsidRPr="009903EC" w:rsidRDefault="00FC4013" w:rsidP="0067722F">
      <w:pPr>
        <w:autoSpaceDE w:val="0"/>
        <w:autoSpaceDN w:val="0"/>
        <w:adjustRightInd w:val="0"/>
        <w:spacing w:after="120" w:line="276" w:lineRule="auto"/>
        <w:jc w:val="both"/>
        <w:rPr>
          <w:rFonts w:ascii="Arial" w:hAnsi="Arial" w:cs="Arial"/>
          <w:color w:val="000000"/>
          <w:sz w:val="22"/>
        </w:rPr>
      </w:pPr>
      <w:r w:rsidRPr="009903EC">
        <w:rPr>
          <w:rFonts w:ascii="Arial" w:hAnsi="Arial" w:cs="Arial"/>
          <w:color w:val="000000"/>
          <w:sz w:val="22"/>
        </w:rPr>
        <w:t xml:space="preserve">El artículo 4 de la Ley 80 de 1993 </w:t>
      </w:r>
      <w:r w:rsidR="00B540C2" w:rsidRPr="009903EC">
        <w:rPr>
          <w:rFonts w:ascii="Arial" w:hAnsi="Arial" w:cs="Arial"/>
          <w:color w:val="000000"/>
          <w:sz w:val="22"/>
        </w:rPr>
        <w:t xml:space="preserve">consagra </w:t>
      </w:r>
      <w:r w:rsidRPr="009903EC">
        <w:rPr>
          <w:rFonts w:ascii="Arial" w:hAnsi="Arial" w:cs="Arial"/>
          <w:color w:val="000000"/>
          <w:sz w:val="22"/>
        </w:rPr>
        <w:t>los derechos y deberes de las entidades estatales</w:t>
      </w:r>
      <w:r w:rsidR="000C3872" w:rsidRPr="009903EC">
        <w:rPr>
          <w:rFonts w:ascii="Arial" w:hAnsi="Arial" w:cs="Arial"/>
          <w:color w:val="000000"/>
          <w:sz w:val="22"/>
        </w:rPr>
        <w:t>.</w:t>
      </w:r>
      <w:r w:rsidRPr="009903EC">
        <w:rPr>
          <w:rFonts w:ascii="Arial" w:hAnsi="Arial" w:cs="Arial"/>
          <w:color w:val="000000"/>
          <w:sz w:val="22"/>
        </w:rPr>
        <w:t xml:space="preserve"> </w:t>
      </w:r>
      <w:r w:rsidR="000C3872" w:rsidRPr="009903EC">
        <w:rPr>
          <w:rFonts w:ascii="Arial" w:hAnsi="Arial" w:cs="Arial"/>
          <w:color w:val="000000"/>
          <w:sz w:val="22"/>
        </w:rPr>
        <w:t>P</w:t>
      </w:r>
      <w:r w:rsidRPr="009903EC">
        <w:rPr>
          <w:rFonts w:ascii="Arial" w:hAnsi="Arial" w:cs="Arial"/>
          <w:color w:val="000000"/>
          <w:sz w:val="22"/>
        </w:rPr>
        <w:t xml:space="preserve">or su parte, los derechos y deberes de los contratistas se encuentran en el artículo 5 </w:t>
      </w:r>
      <w:r w:rsidRPr="009903EC">
        <w:rPr>
          <w:rFonts w:ascii="Arial" w:hAnsi="Arial" w:cs="Arial"/>
          <w:i/>
          <w:iCs/>
          <w:color w:val="000000"/>
          <w:sz w:val="22"/>
        </w:rPr>
        <w:t>ibídem</w:t>
      </w:r>
      <w:r w:rsidRPr="009903EC">
        <w:rPr>
          <w:rFonts w:ascii="Arial" w:hAnsi="Arial" w:cs="Arial"/>
          <w:color w:val="000000"/>
          <w:sz w:val="22"/>
        </w:rPr>
        <w:t xml:space="preserve">. </w:t>
      </w:r>
      <w:r w:rsidR="002C45D9" w:rsidRPr="009903EC">
        <w:rPr>
          <w:rFonts w:ascii="Arial" w:hAnsi="Arial" w:cs="Arial"/>
          <w:color w:val="000000"/>
          <w:sz w:val="22"/>
        </w:rPr>
        <w:t>Por consiguiente</w:t>
      </w:r>
      <w:r w:rsidRPr="009903EC">
        <w:rPr>
          <w:rFonts w:ascii="Arial" w:hAnsi="Arial" w:cs="Arial"/>
          <w:color w:val="000000"/>
          <w:sz w:val="22"/>
        </w:rPr>
        <w:t xml:space="preserve">, </w:t>
      </w:r>
      <w:r w:rsidR="006819F5" w:rsidRPr="009903EC">
        <w:rPr>
          <w:rFonts w:ascii="Arial" w:hAnsi="Arial" w:cs="Arial"/>
          <w:color w:val="000000"/>
          <w:sz w:val="22"/>
        </w:rPr>
        <w:t xml:space="preserve">el </w:t>
      </w:r>
      <w:r w:rsidR="002C45D9" w:rsidRPr="009903EC">
        <w:rPr>
          <w:rFonts w:ascii="Arial" w:hAnsi="Arial" w:cs="Arial"/>
          <w:color w:val="000000"/>
          <w:sz w:val="22"/>
        </w:rPr>
        <w:t xml:space="preserve">deber señalado en </w:t>
      </w:r>
      <w:r w:rsidRPr="009903EC">
        <w:rPr>
          <w:rFonts w:ascii="Arial" w:hAnsi="Arial" w:cs="Arial"/>
          <w:color w:val="000000"/>
          <w:sz w:val="22"/>
        </w:rPr>
        <w:t xml:space="preserve">el numeral 4 del artículo 4 </w:t>
      </w:r>
      <w:r w:rsidR="002C45D9" w:rsidRPr="009903EC">
        <w:rPr>
          <w:rFonts w:ascii="Arial" w:hAnsi="Arial" w:cs="Arial"/>
          <w:color w:val="000000"/>
          <w:sz w:val="22"/>
        </w:rPr>
        <w:t>de la Ley 80 de 1993 corresponde</w:t>
      </w:r>
      <w:r w:rsidR="00C242C0" w:rsidRPr="009903EC">
        <w:rPr>
          <w:rFonts w:ascii="Arial" w:hAnsi="Arial" w:cs="Arial"/>
          <w:color w:val="000000"/>
          <w:sz w:val="22"/>
        </w:rPr>
        <w:t>, en principio,</w:t>
      </w:r>
      <w:r w:rsidR="002C45D9" w:rsidRPr="009903EC">
        <w:rPr>
          <w:rFonts w:ascii="Arial" w:hAnsi="Arial" w:cs="Arial"/>
          <w:color w:val="000000"/>
          <w:sz w:val="22"/>
        </w:rPr>
        <w:t xml:space="preserve"> </w:t>
      </w:r>
      <w:r w:rsidR="000C3872" w:rsidRPr="009903EC">
        <w:rPr>
          <w:rFonts w:ascii="Arial" w:hAnsi="Arial" w:cs="Arial"/>
          <w:color w:val="000000"/>
          <w:sz w:val="22"/>
        </w:rPr>
        <w:t xml:space="preserve">únicamente </w:t>
      </w:r>
      <w:r w:rsidR="002C45D9" w:rsidRPr="009903EC">
        <w:rPr>
          <w:rFonts w:ascii="Arial" w:hAnsi="Arial" w:cs="Arial"/>
          <w:color w:val="000000"/>
          <w:sz w:val="22"/>
        </w:rPr>
        <w:t>a</w:t>
      </w:r>
      <w:r w:rsidRPr="009903EC">
        <w:rPr>
          <w:rFonts w:ascii="Arial" w:hAnsi="Arial" w:cs="Arial"/>
          <w:color w:val="000000"/>
          <w:sz w:val="22"/>
        </w:rPr>
        <w:t xml:space="preserve"> las entidades estatales. </w:t>
      </w:r>
    </w:p>
    <w:p w14:paraId="2A4D00A1" w14:textId="405C8779" w:rsidR="00FC4013" w:rsidRPr="009903EC" w:rsidRDefault="00393C53" w:rsidP="007C1AA6">
      <w:pPr>
        <w:autoSpaceDE w:val="0"/>
        <w:autoSpaceDN w:val="0"/>
        <w:adjustRightInd w:val="0"/>
        <w:spacing w:before="120" w:line="276" w:lineRule="auto"/>
        <w:ind w:firstLine="708"/>
        <w:jc w:val="both"/>
        <w:rPr>
          <w:rFonts w:ascii="Arial" w:hAnsi="Arial" w:cs="Arial"/>
          <w:b/>
          <w:color w:val="000000"/>
        </w:rPr>
      </w:pPr>
      <w:r w:rsidRPr="009903EC">
        <w:rPr>
          <w:rFonts w:ascii="Arial" w:hAnsi="Arial" w:cs="Arial"/>
          <w:color w:val="000000"/>
          <w:sz w:val="22"/>
        </w:rPr>
        <w:t>A</w:t>
      </w:r>
      <w:r w:rsidR="0024024C" w:rsidRPr="009903EC">
        <w:rPr>
          <w:rFonts w:ascii="Arial" w:hAnsi="Arial" w:cs="Arial"/>
          <w:color w:val="000000"/>
          <w:sz w:val="22"/>
        </w:rPr>
        <w:t>hora</w:t>
      </w:r>
      <w:r w:rsidR="0009313D" w:rsidRPr="009903EC">
        <w:rPr>
          <w:rFonts w:ascii="Arial" w:hAnsi="Arial" w:cs="Arial"/>
          <w:color w:val="000000"/>
          <w:sz w:val="22"/>
        </w:rPr>
        <w:t xml:space="preserve"> bien</w:t>
      </w:r>
      <w:r w:rsidR="0024024C" w:rsidRPr="009903EC">
        <w:rPr>
          <w:rFonts w:ascii="Arial" w:hAnsi="Arial" w:cs="Arial"/>
          <w:color w:val="000000"/>
          <w:sz w:val="22"/>
        </w:rPr>
        <w:t xml:space="preserve">, </w:t>
      </w:r>
      <w:r w:rsidR="002F3B3F" w:rsidRPr="009903EC">
        <w:rPr>
          <w:rFonts w:ascii="Arial" w:hAnsi="Arial" w:cs="Arial"/>
          <w:color w:val="000000"/>
          <w:sz w:val="22"/>
        </w:rPr>
        <w:t>la garantía suplementaria o adicional prevista en el Formato 7D opera una vez haya expirado la garantía de calidad y estabilidad de la obra, y tiene un carácter supletivo frente al seguimiento. E</w:t>
      </w:r>
      <w:r w:rsidR="006819F5" w:rsidRPr="009903EC">
        <w:rPr>
          <w:rFonts w:ascii="Arial" w:hAnsi="Arial" w:cs="Arial"/>
          <w:color w:val="000000"/>
          <w:sz w:val="22"/>
        </w:rPr>
        <w:t xml:space="preserve">llo quiere decir </w:t>
      </w:r>
      <w:r w:rsidR="002F3B3F" w:rsidRPr="009903EC">
        <w:rPr>
          <w:rFonts w:ascii="Arial" w:hAnsi="Arial" w:cs="Arial"/>
          <w:color w:val="000000"/>
          <w:sz w:val="22"/>
        </w:rPr>
        <w:t xml:space="preserve">que el seguimiento a esta garantía debe realizarlo la entidad estatal, pues tiene carácter vinculante para </w:t>
      </w:r>
      <w:r w:rsidR="002E709C" w:rsidRPr="009903EC">
        <w:rPr>
          <w:rFonts w:ascii="Arial" w:hAnsi="Arial" w:cs="Arial"/>
          <w:color w:val="000000"/>
          <w:sz w:val="22"/>
        </w:rPr>
        <w:t>aquella</w:t>
      </w:r>
      <w:r w:rsidR="002F3B3F" w:rsidRPr="009903EC">
        <w:rPr>
          <w:rFonts w:ascii="Arial" w:hAnsi="Arial" w:cs="Arial"/>
          <w:color w:val="000000"/>
          <w:sz w:val="22"/>
        </w:rPr>
        <w:t>, quien debe hacer el seguimiento de su cumplimiento conforme a lo indicado en el numeral 4 del artículo 4 de la Ley 80 de 1993</w:t>
      </w:r>
      <w:r w:rsidR="006819F5" w:rsidRPr="009903EC">
        <w:rPr>
          <w:rFonts w:ascii="Arial" w:hAnsi="Arial" w:cs="Arial"/>
          <w:color w:val="000000"/>
          <w:sz w:val="22"/>
        </w:rPr>
        <w:t>. N</w:t>
      </w:r>
      <w:r w:rsidR="002F3B3F" w:rsidRPr="009903EC">
        <w:rPr>
          <w:rFonts w:ascii="Arial" w:hAnsi="Arial" w:cs="Arial"/>
          <w:color w:val="000000"/>
          <w:sz w:val="22"/>
        </w:rPr>
        <w:t>o obstante, en aquellos casos en que la entidad estatal no designe a una persona para realizar el seguimiento, lo hará el contratista de manera supletiva en la frecuencia que se haya comprometido en el Formato 7D.</w:t>
      </w:r>
    </w:p>
    <w:p w14:paraId="5DEB34F1" w14:textId="2E0D1910" w:rsidR="00412C58" w:rsidRPr="009903EC" w:rsidRDefault="005747F3" w:rsidP="0009313D">
      <w:pPr>
        <w:autoSpaceDE w:val="0"/>
        <w:autoSpaceDN w:val="0"/>
        <w:adjustRightInd w:val="0"/>
        <w:spacing w:before="120" w:line="276" w:lineRule="auto"/>
        <w:ind w:firstLine="708"/>
        <w:jc w:val="both"/>
        <w:rPr>
          <w:rFonts w:ascii="Arial" w:hAnsi="Arial" w:cs="Arial"/>
          <w:color w:val="000000"/>
          <w:sz w:val="22"/>
        </w:rPr>
      </w:pPr>
      <w:r w:rsidRPr="009903EC">
        <w:rPr>
          <w:rFonts w:ascii="Arial" w:hAnsi="Arial" w:cs="Arial"/>
          <w:color w:val="000000"/>
          <w:sz w:val="22"/>
        </w:rPr>
        <w:t>En concepto de esta Subdirección, c</w:t>
      </w:r>
      <w:r w:rsidR="00F77B02" w:rsidRPr="009903EC">
        <w:rPr>
          <w:rFonts w:ascii="Arial" w:hAnsi="Arial" w:cs="Arial"/>
          <w:color w:val="000000"/>
          <w:sz w:val="22"/>
        </w:rPr>
        <w:t>onforme a las consideraciones antes indicadas y al tenor del numeral 4.2.4 del Documento Base</w:t>
      </w:r>
      <w:r w:rsidR="00260125" w:rsidRPr="009903EC">
        <w:rPr>
          <w:rFonts w:ascii="Arial" w:hAnsi="Arial" w:cs="Arial"/>
          <w:color w:val="000000"/>
          <w:sz w:val="22"/>
        </w:rPr>
        <w:t xml:space="preserve"> y del Formato 7D, de los D</w:t>
      </w:r>
      <w:r w:rsidR="00F77B02" w:rsidRPr="009903EC">
        <w:rPr>
          <w:rFonts w:ascii="Arial" w:hAnsi="Arial" w:cs="Arial"/>
          <w:color w:val="000000"/>
          <w:sz w:val="22"/>
        </w:rPr>
        <w:t xml:space="preserve">ocumentos </w:t>
      </w:r>
      <w:r w:rsidR="00E65166" w:rsidRPr="009903EC">
        <w:rPr>
          <w:rFonts w:ascii="Arial" w:hAnsi="Arial" w:cs="Arial"/>
          <w:color w:val="000000"/>
          <w:sz w:val="22"/>
        </w:rPr>
        <w:t>T</w:t>
      </w:r>
      <w:r w:rsidR="00F77B02" w:rsidRPr="009903EC">
        <w:rPr>
          <w:rFonts w:ascii="Arial" w:hAnsi="Arial" w:cs="Arial"/>
          <w:color w:val="000000"/>
          <w:sz w:val="22"/>
        </w:rPr>
        <w:t>ipo de</w:t>
      </w:r>
      <w:r w:rsidR="00E65166" w:rsidRPr="009903EC">
        <w:rPr>
          <w:rFonts w:ascii="Arial" w:hAnsi="Arial" w:cs="Arial"/>
          <w:color w:val="000000"/>
          <w:sz w:val="22"/>
        </w:rPr>
        <w:t xml:space="preserve"> obra pública de infraestructura de agua potable y saneamiento básico </w:t>
      </w:r>
      <w:r w:rsidRPr="009903EC">
        <w:rPr>
          <w:rFonts w:ascii="Arial" w:hAnsi="Arial" w:cs="Arial"/>
          <w:color w:val="000000"/>
          <w:sz w:val="22"/>
        </w:rPr>
        <w:t>–</w:t>
      </w:r>
      <w:r w:rsidR="00F77B02" w:rsidRPr="009903EC">
        <w:rPr>
          <w:rFonts w:ascii="Arial" w:hAnsi="Arial" w:cs="Arial"/>
          <w:color w:val="000000"/>
          <w:sz w:val="22"/>
        </w:rPr>
        <w:t xml:space="preserve"> </w:t>
      </w:r>
      <w:r w:rsidRPr="009903EC">
        <w:rPr>
          <w:rFonts w:ascii="Arial" w:hAnsi="Arial" w:cs="Arial"/>
          <w:color w:val="000000"/>
          <w:sz w:val="22"/>
        </w:rPr>
        <w:t>V</w:t>
      </w:r>
      <w:r w:rsidR="00F77B02" w:rsidRPr="009903EC">
        <w:rPr>
          <w:rFonts w:ascii="Arial" w:hAnsi="Arial" w:cs="Arial"/>
          <w:color w:val="000000"/>
          <w:sz w:val="22"/>
        </w:rPr>
        <w:t xml:space="preserve">ersión 3, se </w:t>
      </w:r>
      <w:r w:rsidR="000C3872" w:rsidRPr="009903EC">
        <w:rPr>
          <w:rFonts w:ascii="Arial" w:hAnsi="Arial" w:cs="Arial"/>
          <w:color w:val="000000"/>
          <w:sz w:val="22"/>
        </w:rPr>
        <w:t xml:space="preserve">observa </w:t>
      </w:r>
      <w:r w:rsidR="00F77B02" w:rsidRPr="009903EC">
        <w:rPr>
          <w:rFonts w:ascii="Arial" w:hAnsi="Arial" w:cs="Arial"/>
          <w:color w:val="000000"/>
          <w:sz w:val="22"/>
        </w:rPr>
        <w:t xml:space="preserve">que </w:t>
      </w:r>
      <w:r w:rsidR="00407636" w:rsidRPr="009903EC">
        <w:rPr>
          <w:rFonts w:ascii="Arial" w:hAnsi="Arial" w:cs="Arial"/>
          <w:color w:val="000000"/>
          <w:sz w:val="22"/>
        </w:rPr>
        <w:t>al ofertar la garantía suplementar</w:t>
      </w:r>
      <w:r w:rsidR="00412C58" w:rsidRPr="009903EC">
        <w:rPr>
          <w:rFonts w:ascii="Arial" w:hAnsi="Arial" w:cs="Arial"/>
          <w:color w:val="000000"/>
          <w:sz w:val="22"/>
        </w:rPr>
        <w:t>i</w:t>
      </w:r>
      <w:r w:rsidR="00407636" w:rsidRPr="009903EC">
        <w:rPr>
          <w:rFonts w:ascii="Arial" w:hAnsi="Arial" w:cs="Arial"/>
          <w:color w:val="000000"/>
          <w:sz w:val="22"/>
        </w:rPr>
        <w:t xml:space="preserve">a mediante </w:t>
      </w:r>
      <w:r w:rsidR="00F77B02" w:rsidRPr="009903EC">
        <w:rPr>
          <w:rFonts w:ascii="Arial" w:hAnsi="Arial" w:cs="Arial"/>
          <w:color w:val="000000"/>
          <w:sz w:val="22"/>
        </w:rPr>
        <w:t>dicho formato</w:t>
      </w:r>
      <w:r w:rsidR="00407636" w:rsidRPr="009903EC">
        <w:rPr>
          <w:rFonts w:ascii="Arial" w:hAnsi="Arial" w:cs="Arial"/>
          <w:color w:val="000000"/>
          <w:sz w:val="22"/>
        </w:rPr>
        <w:t xml:space="preserve">, corresponde al proponente indicar una frecuencia en la que se compromete a realizar el seguimiento </w:t>
      </w:r>
      <w:r w:rsidR="00334344" w:rsidRPr="009903EC">
        <w:rPr>
          <w:rFonts w:ascii="Arial" w:hAnsi="Arial" w:cs="Arial"/>
          <w:color w:val="000000"/>
          <w:sz w:val="22"/>
        </w:rPr>
        <w:t xml:space="preserve">a </w:t>
      </w:r>
      <w:r w:rsidR="00407636" w:rsidRPr="009903EC">
        <w:rPr>
          <w:rFonts w:ascii="Arial" w:hAnsi="Arial" w:cs="Arial"/>
          <w:color w:val="000000"/>
          <w:sz w:val="22"/>
        </w:rPr>
        <w:t>l</w:t>
      </w:r>
      <w:r w:rsidR="00334344" w:rsidRPr="009903EC">
        <w:rPr>
          <w:rFonts w:ascii="Arial" w:hAnsi="Arial" w:cs="Arial"/>
          <w:color w:val="000000"/>
          <w:sz w:val="22"/>
        </w:rPr>
        <w:t>a</w:t>
      </w:r>
      <w:r w:rsidR="00407636" w:rsidRPr="009903EC">
        <w:rPr>
          <w:rFonts w:ascii="Arial" w:hAnsi="Arial" w:cs="Arial"/>
          <w:color w:val="000000"/>
          <w:sz w:val="22"/>
        </w:rPr>
        <w:t xml:space="preserve"> mism</w:t>
      </w:r>
      <w:r w:rsidR="00334344" w:rsidRPr="009903EC">
        <w:rPr>
          <w:rFonts w:ascii="Arial" w:hAnsi="Arial" w:cs="Arial"/>
          <w:color w:val="000000"/>
          <w:sz w:val="22"/>
        </w:rPr>
        <w:t>a</w:t>
      </w:r>
      <w:r w:rsidR="00407636" w:rsidRPr="009903EC">
        <w:rPr>
          <w:rFonts w:ascii="Arial" w:hAnsi="Arial" w:cs="Arial"/>
          <w:color w:val="000000"/>
          <w:sz w:val="22"/>
        </w:rPr>
        <w:t>, cuando la entidad no designe una persona para hacerlo</w:t>
      </w:r>
      <w:r w:rsidR="006819F5" w:rsidRPr="009903EC">
        <w:rPr>
          <w:rFonts w:ascii="Arial" w:hAnsi="Arial" w:cs="Arial"/>
          <w:color w:val="000000"/>
          <w:sz w:val="22"/>
        </w:rPr>
        <w:t>,</w:t>
      </w:r>
      <w:r w:rsidR="00407636" w:rsidRPr="009903EC">
        <w:rPr>
          <w:rFonts w:ascii="Arial" w:hAnsi="Arial" w:cs="Arial"/>
          <w:color w:val="000000"/>
          <w:sz w:val="22"/>
        </w:rPr>
        <w:t xml:space="preserve"> conforme al numeral 4 del artículo 4 de la Ley 80 de 1993. Dicha frecuencia debe ser establecida por el proponente en el Formato 7D</w:t>
      </w:r>
      <w:r w:rsidR="006819F5" w:rsidRPr="009903EC">
        <w:rPr>
          <w:rFonts w:ascii="Arial" w:hAnsi="Arial" w:cs="Arial"/>
          <w:color w:val="000000"/>
          <w:sz w:val="22"/>
        </w:rPr>
        <w:t>,</w:t>
      </w:r>
      <w:r w:rsidR="00407636" w:rsidRPr="009903EC">
        <w:rPr>
          <w:rFonts w:ascii="Arial" w:hAnsi="Arial" w:cs="Arial"/>
          <w:color w:val="000000"/>
          <w:sz w:val="22"/>
        </w:rPr>
        <w:t xml:space="preserve"> señalando en qué per</w:t>
      </w:r>
      <w:r w:rsidR="00FC750B" w:rsidRPr="009903EC">
        <w:rPr>
          <w:rFonts w:ascii="Arial" w:hAnsi="Arial" w:cs="Arial"/>
          <w:color w:val="000000"/>
          <w:sz w:val="22"/>
        </w:rPr>
        <w:t>í</w:t>
      </w:r>
      <w:r w:rsidR="00407636" w:rsidRPr="009903EC">
        <w:rPr>
          <w:rFonts w:ascii="Arial" w:hAnsi="Arial" w:cs="Arial"/>
          <w:color w:val="000000"/>
          <w:sz w:val="22"/>
        </w:rPr>
        <w:t>odo se compromete a hacer las revisiones</w:t>
      </w:r>
      <w:r w:rsidR="00334344" w:rsidRPr="009903EC">
        <w:rPr>
          <w:rFonts w:ascii="Arial" w:hAnsi="Arial" w:cs="Arial"/>
          <w:color w:val="000000"/>
          <w:sz w:val="22"/>
        </w:rPr>
        <w:t xml:space="preserve">; siempre que </w:t>
      </w:r>
      <w:r w:rsidR="00407636" w:rsidRPr="009903EC">
        <w:rPr>
          <w:rFonts w:ascii="Arial" w:hAnsi="Arial" w:cs="Arial"/>
          <w:color w:val="000000"/>
          <w:sz w:val="22"/>
        </w:rPr>
        <w:t>la entidad no design</w:t>
      </w:r>
      <w:r w:rsidRPr="009903EC">
        <w:rPr>
          <w:rFonts w:ascii="Arial" w:hAnsi="Arial" w:cs="Arial"/>
          <w:color w:val="000000"/>
          <w:sz w:val="22"/>
        </w:rPr>
        <w:t>e</w:t>
      </w:r>
      <w:r w:rsidR="00407636" w:rsidRPr="009903EC">
        <w:rPr>
          <w:rFonts w:ascii="Arial" w:hAnsi="Arial" w:cs="Arial"/>
          <w:color w:val="000000"/>
          <w:sz w:val="22"/>
        </w:rPr>
        <w:t xml:space="preserve"> </w:t>
      </w:r>
      <w:r w:rsidR="00334344" w:rsidRPr="009903EC">
        <w:rPr>
          <w:rFonts w:ascii="Arial" w:hAnsi="Arial" w:cs="Arial"/>
          <w:color w:val="000000"/>
          <w:sz w:val="22"/>
        </w:rPr>
        <w:t xml:space="preserve">a </w:t>
      </w:r>
      <w:r w:rsidR="00407636" w:rsidRPr="009903EC">
        <w:rPr>
          <w:rFonts w:ascii="Arial" w:hAnsi="Arial" w:cs="Arial"/>
          <w:color w:val="000000"/>
          <w:sz w:val="22"/>
        </w:rPr>
        <w:t xml:space="preserve">alguien para hacerlo. </w:t>
      </w:r>
      <w:r w:rsidR="006819F5" w:rsidRPr="009903EC">
        <w:rPr>
          <w:rFonts w:ascii="Arial" w:hAnsi="Arial" w:cs="Arial"/>
          <w:color w:val="000000"/>
          <w:sz w:val="22"/>
        </w:rPr>
        <w:t>En ese sentido,</w:t>
      </w:r>
      <w:r w:rsidR="00C429B4" w:rsidRPr="009903EC">
        <w:rPr>
          <w:rFonts w:ascii="Arial" w:hAnsi="Arial" w:cs="Arial"/>
          <w:color w:val="000000"/>
          <w:sz w:val="22"/>
        </w:rPr>
        <w:t xml:space="preserve"> e</w:t>
      </w:r>
      <w:r w:rsidR="00412C58" w:rsidRPr="009903EC">
        <w:rPr>
          <w:rFonts w:ascii="Arial" w:hAnsi="Arial" w:cs="Arial"/>
          <w:color w:val="000000"/>
          <w:sz w:val="22"/>
        </w:rPr>
        <w:t xml:space="preserve">l oferente debe proponer de manera autónoma y libre </w:t>
      </w:r>
      <w:r w:rsidR="00C429B4" w:rsidRPr="009903EC">
        <w:rPr>
          <w:rFonts w:ascii="Arial" w:hAnsi="Arial" w:cs="Arial"/>
          <w:color w:val="000000"/>
          <w:sz w:val="22"/>
        </w:rPr>
        <w:t>en el Formato indicado</w:t>
      </w:r>
      <w:r w:rsidR="00412C58" w:rsidRPr="009903EC">
        <w:rPr>
          <w:rFonts w:ascii="Arial" w:hAnsi="Arial" w:cs="Arial"/>
          <w:color w:val="000000"/>
          <w:sz w:val="22"/>
        </w:rPr>
        <w:t xml:space="preserve"> una frecuencia mínima al </w:t>
      </w:r>
      <w:r w:rsidR="00C429B4" w:rsidRPr="009903EC">
        <w:rPr>
          <w:rFonts w:ascii="Arial" w:hAnsi="Arial" w:cs="Arial"/>
          <w:color w:val="000000"/>
          <w:sz w:val="22"/>
        </w:rPr>
        <w:t>momento de presentar la oferta</w:t>
      </w:r>
      <w:r w:rsidR="006819F5" w:rsidRPr="009903EC">
        <w:rPr>
          <w:rFonts w:ascii="Arial" w:hAnsi="Arial" w:cs="Arial"/>
          <w:color w:val="000000"/>
          <w:sz w:val="22"/>
        </w:rPr>
        <w:t>. E</w:t>
      </w:r>
      <w:r w:rsidR="00412C58" w:rsidRPr="009903EC">
        <w:rPr>
          <w:rFonts w:ascii="Arial" w:hAnsi="Arial" w:cs="Arial"/>
          <w:color w:val="000000"/>
          <w:sz w:val="22"/>
        </w:rPr>
        <w:t>l seguimiento de la garantía suplementaria lo realizará el contratista en los términos de la frecuencia ofre</w:t>
      </w:r>
      <w:r w:rsidR="00C429B4" w:rsidRPr="009903EC">
        <w:rPr>
          <w:rFonts w:ascii="Arial" w:hAnsi="Arial" w:cs="Arial"/>
          <w:color w:val="000000"/>
          <w:sz w:val="22"/>
        </w:rPr>
        <w:t>cida</w:t>
      </w:r>
      <w:r w:rsidR="006819F5" w:rsidRPr="009903EC">
        <w:rPr>
          <w:rFonts w:ascii="Arial" w:hAnsi="Arial" w:cs="Arial"/>
          <w:color w:val="000000"/>
          <w:sz w:val="22"/>
        </w:rPr>
        <w:t>,</w:t>
      </w:r>
      <w:r w:rsidR="00C429B4" w:rsidRPr="009903EC">
        <w:rPr>
          <w:rFonts w:ascii="Arial" w:hAnsi="Arial" w:cs="Arial"/>
          <w:color w:val="000000"/>
          <w:sz w:val="22"/>
        </w:rPr>
        <w:t xml:space="preserve"> o</w:t>
      </w:r>
      <w:r w:rsidR="00412C58" w:rsidRPr="009903EC">
        <w:rPr>
          <w:rFonts w:ascii="Arial" w:hAnsi="Arial" w:cs="Arial"/>
          <w:color w:val="000000"/>
          <w:sz w:val="22"/>
        </w:rPr>
        <w:t xml:space="preserve">bligándose a </w:t>
      </w:r>
      <w:r w:rsidR="006819F5" w:rsidRPr="009903EC">
        <w:rPr>
          <w:rFonts w:ascii="Arial" w:hAnsi="Arial" w:cs="Arial"/>
          <w:color w:val="000000"/>
          <w:sz w:val="22"/>
        </w:rPr>
        <w:t>cumplir con</w:t>
      </w:r>
      <w:r w:rsidR="00412C58" w:rsidRPr="009903EC">
        <w:rPr>
          <w:rFonts w:ascii="Arial" w:hAnsi="Arial" w:cs="Arial"/>
          <w:color w:val="000000"/>
          <w:sz w:val="22"/>
        </w:rPr>
        <w:t xml:space="preserve"> los términos por él indicados.</w:t>
      </w:r>
    </w:p>
    <w:p w14:paraId="47873BED" w14:textId="093DDE72" w:rsidR="00E65166" w:rsidRPr="009903EC" w:rsidRDefault="00D71EBA" w:rsidP="00D71EBA">
      <w:pPr>
        <w:autoSpaceDE w:val="0"/>
        <w:autoSpaceDN w:val="0"/>
        <w:adjustRightInd w:val="0"/>
        <w:spacing w:before="120" w:line="276" w:lineRule="auto"/>
        <w:ind w:firstLine="708"/>
        <w:jc w:val="both"/>
        <w:rPr>
          <w:rFonts w:ascii="Arial" w:hAnsi="Arial" w:cs="Arial"/>
          <w:color w:val="000000"/>
          <w:sz w:val="22"/>
        </w:rPr>
      </w:pPr>
      <w:r w:rsidRPr="009903EC">
        <w:rPr>
          <w:rFonts w:ascii="Arial" w:hAnsi="Arial" w:cs="Arial"/>
          <w:color w:val="000000"/>
          <w:sz w:val="22"/>
        </w:rPr>
        <w:t>Ahora bien,</w:t>
      </w:r>
      <w:r w:rsidR="00E65166" w:rsidRPr="009903EC">
        <w:rPr>
          <w:rFonts w:ascii="Arial" w:hAnsi="Arial" w:cs="Arial"/>
          <w:color w:val="000000"/>
          <w:sz w:val="22"/>
        </w:rPr>
        <w:t xml:space="preserve"> </w:t>
      </w:r>
      <w:r w:rsidR="00547137" w:rsidRPr="009903EC">
        <w:rPr>
          <w:rFonts w:ascii="Arial" w:hAnsi="Arial" w:cs="Arial"/>
          <w:color w:val="000000"/>
          <w:sz w:val="22"/>
        </w:rPr>
        <w:t>con posterioridad se expidió</w:t>
      </w:r>
      <w:r w:rsidR="00E65166" w:rsidRPr="009903EC">
        <w:rPr>
          <w:rFonts w:ascii="Arial" w:hAnsi="Arial" w:cs="Arial"/>
          <w:color w:val="000000"/>
          <w:sz w:val="22"/>
        </w:rPr>
        <w:t xml:space="preserve"> la Resolución 304 de 2021</w:t>
      </w:r>
      <w:r w:rsidR="00960077" w:rsidRPr="009903EC">
        <w:rPr>
          <w:rFonts w:ascii="Arial" w:hAnsi="Arial" w:cs="Arial"/>
          <w:color w:val="000000"/>
          <w:sz w:val="22"/>
        </w:rPr>
        <w:t xml:space="preserve"> «Por la cual se modifican los Documentos Tipo adoptados por la Agencia Nacional de Contratación Pública – Colombia Compra Eficiente</w:t>
      </w:r>
      <w:r w:rsidR="00D67A1C" w:rsidRPr="009903EC">
        <w:rPr>
          <w:rFonts w:ascii="Arial" w:hAnsi="Arial" w:cs="Arial"/>
          <w:color w:val="000000"/>
          <w:sz w:val="22"/>
        </w:rPr>
        <w:t>»</w:t>
      </w:r>
      <w:r w:rsidRPr="009903EC">
        <w:rPr>
          <w:rFonts w:ascii="Arial" w:hAnsi="Arial" w:cs="Arial"/>
          <w:color w:val="000000"/>
          <w:sz w:val="22"/>
        </w:rPr>
        <w:t>.</w:t>
      </w:r>
      <w:r w:rsidR="00E65166" w:rsidRPr="009903EC">
        <w:rPr>
          <w:rFonts w:ascii="Arial" w:hAnsi="Arial" w:cs="Arial"/>
          <w:color w:val="000000"/>
          <w:sz w:val="22"/>
        </w:rPr>
        <w:t xml:space="preserve"> </w:t>
      </w:r>
      <w:r w:rsidRPr="009903EC">
        <w:rPr>
          <w:rFonts w:ascii="Arial" w:hAnsi="Arial" w:cs="Arial"/>
          <w:color w:val="000000"/>
          <w:sz w:val="22"/>
        </w:rPr>
        <w:t>Esta, a su vez,</w:t>
      </w:r>
      <w:r w:rsidR="00E65166" w:rsidRPr="009903EC">
        <w:rPr>
          <w:rFonts w:ascii="Arial" w:hAnsi="Arial" w:cs="Arial"/>
          <w:color w:val="000000"/>
          <w:sz w:val="22"/>
        </w:rPr>
        <w:t xml:space="preserve"> estuvo vigente hasta el 28 de agosto de </w:t>
      </w:r>
      <w:r w:rsidR="00E65166" w:rsidRPr="009903EC">
        <w:rPr>
          <w:rFonts w:ascii="Arial" w:hAnsi="Arial" w:cs="Arial"/>
          <w:color w:val="000000"/>
          <w:sz w:val="22"/>
        </w:rPr>
        <w:lastRenderedPageBreak/>
        <w:t>2022</w:t>
      </w:r>
      <w:r w:rsidR="00960077" w:rsidRPr="009903EC">
        <w:rPr>
          <w:rFonts w:ascii="Arial" w:hAnsi="Arial" w:cs="Arial"/>
          <w:color w:val="000000"/>
          <w:sz w:val="22"/>
        </w:rPr>
        <w:t xml:space="preserve"> y fue la última versión que </w:t>
      </w:r>
      <w:r w:rsidR="00E65166" w:rsidRPr="009903EC">
        <w:rPr>
          <w:rFonts w:ascii="Arial" w:hAnsi="Arial" w:cs="Arial"/>
          <w:color w:val="000000"/>
          <w:sz w:val="22"/>
        </w:rPr>
        <w:t xml:space="preserve"> tenía previsto en el numeral 4.2.4</w:t>
      </w:r>
      <w:r w:rsidR="00960077" w:rsidRPr="009903EC">
        <w:rPr>
          <w:rFonts w:ascii="Arial" w:hAnsi="Arial" w:cs="Arial"/>
          <w:color w:val="000000"/>
          <w:sz w:val="22"/>
        </w:rPr>
        <w:t>, del Documento Base,</w:t>
      </w:r>
      <w:r w:rsidR="00E65166" w:rsidRPr="009903EC">
        <w:rPr>
          <w:rFonts w:ascii="Arial" w:hAnsi="Arial" w:cs="Arial"/>
          <w:color w:val="000000"/>
          <w:sz w:val="22"/>
        </w:rPr>
        <w:t xml:space="preserve"> la Garantía Suplementaria o Adicional</w:t>
      </w:r>
      <w:r w:rsidRPr="009903EC">
        <w:rPr>
          <w:rFonts w:ascii="Arial" w:hAnsi="Arial" w:cs="Arial"/>
          <w:color w:val="000000"/>
          <w:sz w:val="22"/>
        </w:rPr>
        <w:t>.</w:t>
      </w:r>
      <w:r w:rsidR="00E65166" w:rsidRPr="009903EC">
        <w:rPr>
          <w:rFonts w:ascii="Arial" w:hAnsi="Arial" w:cs="Arial"/>
          <w:color w:val="000000"/>
          <w:sz w:val="22"/>
        </w:rPr>
        <w:t xml:space="preserve"> </w:t>
      </w:r>
      <w:r w:rsidRPr="009903EC">
        <w:rPr>
          <w:rFonts w:ascii="Arial" w:hAnsi="Arial" w:cs="Arial"/>
          <w:color w:val="000000"/>
          <w:sz w:val="22"/>
        </w:rPr>
        <w:t xml:space="preserve">En consecuencia, las consideraciones efectuadas en este concepto deben entenderse para los documentos tipo que contenían esta </w:t>
      </w:r>
      <w:r w:rsidR="00482C4B" w:rsidRPr="009903EC">
        <w:rPr>
          <w:rFonts w:ascii="Arial" w:hAnsi="Arial" w:cs="Arial"/>
          <w:color w:val="000000"/>
          <w:sz w:val="22"/>
        </w:rPr>
        <w:t>garantía dentro de sus criterios de evaluación.</w:t>
      </w:r>
      <w:r w:rsidR="00960077" w:rsidRPr="009903EC">
        <w:rPr>
          <w:rFonts w:ascii="Arial" w:hAnsi="Arial" w:cs="Arial"/>
          <w:color w:val="000000"/>
          <w:sz w:val="22"/>
        </w:rPr>
        <w:t xml:space="preserve"> </w:t>
      </w:r>
      <w:r w:rsidR="00482C4B" w:rsidRPr="009903EC">
        <w:rPr>
          <w:rFonts w:ascii="Arial" w:hAnsi="Arial" w:cs="Arial"/>
          <w:color w:val="000000"/>
          <w:sz w:val="22"/>
        </w:rPr>
        <w:t>En relación con esta, se precisa</w:t>
      </w:r>
      <w:r w:rsidR="004573A5" w:rsidRPr="009903EC">
        <w:rPr>
          <w:rFonts w:ascii="Arial" w:hAnsi="Arial" w:cs="Arial"/>
          <w:color w:val="000000"/>
          <w:sz w:val="22"/>
        </w:rPr>
        <w:t>,</w:t>
      </w:r>
      <w:r w:rsidR="00482C4B" w:rsidRPr="009903EC">
        <w:rPr>
          <w:rFonts w:ascii="Arial" w:hAnsi="Arial" w:cs="Arial"/>
          <w:color w:val="000000"/>
          <w:sz w:val="22"/>
        </w:rPr>
        <w:t xml:space="preserve"> pues</w:t>
      </w:r>
      <w:r w:rsidR="004573A5" w:rsidRPr="009903EC">
        <w:rPr>
          <w:rFonts w:ascii="Arial" w:hAnsi="Arial" w:cs="Arial"/>
          <w:color w:val="000000"/>
          <w:sz w:val="22"/>
        </w:rPr>
        <w:t>,</w:t>
      </w:r>
      <w:r w:rsidR="00482C4B" w:rsidRPr="009903EC">
        <w:rPr>
          <w:rFonts w:ascii="Arial" w:hAnsi="Arial" w:cs="Arial"/>
          <w:color w:val="000000"/>
          <w:sz w:val="22"/>
        </w:rPr>
        <w:t xml:space="preserve"> que el</w:t>
      </w:r>
      <w:r w:rsidR="00E65166" w:rsidRPr="009903EC">
        <w:rPr>
          <w:rFonts w:ascii="Arial" w:hAnsi="Arial" w:cs="Arial"/>
          <w:color w:val="000000"/>
          <w:sz w:val="22"/>
        </w:rPr>
        <w:t xml:space="preserve"> seguimiento </w:t>
      </w:r>
      <w:r w:rsidR="00482C4B" w:rsidRPr="009903EC">
        <w:rPr>
          <w:rFonts w:ascii="Arial" w:hAnsi="Arial" w:cs="Arial"/>
          <w:color w:val="000000"/>
          <w:sz w:val="22"/>
        </w:rPr>
        <w:t>que debía efectuar el</w:t>
      </w:r>
      <w:r w:rsidR="00E65166" w:rsidRPr="009903EC">
        <w:rPr>
          <w:rFonts w:ascii="Arial" w:hAnsi="Arial" w:cs="Arial"/>
          <w:color w:val="000000"/>
          <w:sz w:val="22"/>
        </w:rPr>
        <w:t xml:space="preserve"> contratista</w:t>
      </w:r>
      <w:r w:rsidR="00482C4B" w:rsidRPr="009903EC">
        <w:rPr>
          <w:rFonts w:ascii="Arial" w:hAnsi="Arial" w:cs="Arial"/>
          <w:color w:val="000000"/>
          <w:sz w:val="22"/>
        </w:rPr>
        <w:t xml:space="preserve"> operaba </w:t>
      </w:r>
      <w:r w:rsidR="00E65166" w:rsidRPr="009903EC">
        <w:rPr>
          <w:rFonts w:ascii="Arial" w:hAnsi="Arial" w:cs="Arial"/>
          <w:color w:val="000000"/>
          <w:sz w:val="22"/>
        </w:rPr>
        <w:t xml:space="preserve">de manera supletiva y con la frecuencia en que se </w:t>
      </w:r>
      <w:r w:rsidR="00AA20A8" w:rsidRPr="009903EC">
        <w:rPr>
          <w:rFonts w:ascii="Arial" w:hAnsi="Arial" w:cs="Arial"/>
          <w:color w:val="000000"/>
          <w:sz w:val="22"/>
        </w:rPr>
        <w:t>hubiera</w:t>
      </w:r>
      <w:r w:rsidR="00E65166" w:rsidRPr="009903EC">
        <w:rPr>
          <w:rFonts w:ascii="Arial" w:hAnsi="Arial" w:cs="Arial"/>
          <w:color w:val="000000"/>
          <w:sz w:val="22"/>
        </w:rPr>
        <w:t xml:space="preserve"> comprometido </w:t>
      </w:r>
      <w:r w:rsidR="00333360" w:rsidRPr="009903EC">
        <w:rPr>
          <w:rFonts w:ascii="Arial" w:hAnsi="Arial" w:cs="Arial"/>
          <w:color w:val="000000"/>
          <w:sz w:val="22"/>
        </w:rPr>
        <w:t>aquel</w:t>
      </w:r>
      <w:r w:rsidR="00E65166" w:rsidRPr="009903EC">
        <w:rPr>
          <w:rFonts w:ascii="Arial" w:hAnsi="Arial" w:cs="Arial"/>
          <w:color w:val="000000"/>
          <w:sz w:val="22"/>
        </w:rPr>
        <w:t xml:space="preserve"> en el momento de diligenciar el Formato 7D</w:t>
      </w:r>
      <w:r w:rsidR="00333360" w:rsidRPr="009903EC">
        <w:rPr>
          <w:rFonts w:ascii="Arial" w:hAnsi="Arial" w:cs="Arial"/>
          <w:color w:val="000000"/>
          <w:sz w:val="22"/>
        </w:rPr>
        <w:t>.</w:t>
      </w:r>
      <w:r w:rsidR="00E65166" w:rsidRPr="009903EC">
        <w:rPr>
          <w:rFonts w:ascii="Arial" w:hAnsi="Arial" w:cs="Arial"/>
          <w:color w:val="000000"/>
          <w:sz w:val="22"/>
        </w:rPr>
        <w:t xml:space="preserve"> </w:t>
      </w:r>
      <w:r w:rsidR="00333360" w:rsidRPr="009903EC">
        <w:rPr>
          <w:rFonts w:ascii="Arial" w:hAnsi="Arial" w:cs="Arial"/>
          <w:color w:val="000000"/>
          <w:sz w:val="22"/>
        </w:rPr>
        <w:t>L</w:t>
      </w:r>
      <w:r w:rsidR="00E65166" w:rsidRPr="009903EC">
        <w:rPr>
          <w:rFonts w:ascii="Arial" w:hAnsi="Arial" w:cs="Arial"/>
          <w:color w:val="000000"/>
          <w:sz w:val="22"/>
        </w:rPr>
        <w:t>a frecuencia del seguimiento por parte del contratista depend</w:t>
      </w:r>
      <w:r w:rsidR="00482C4B" w:rsidRPr="009903EC">
        <w:rPr>
          <w:rFonts w:ascii="Arial" w:hAnsi="Arial" w:cs="Arial"/>
          <w:color w:val="000000"/>
          <w:sz w:val="22"/>
        </w:rPr>
        <w:t>ía, por tanto,</w:t>
      </w:r>
      <w:r w:rsidR="00E65166" w:rsidRPr="009903EC">
        <w:rPr>
          <w:rFonts w:ascii="Arial" w:hAnsi="Arial" w:cs="Arial"/>
          <w:color w:val="000000"/>
          <w:sz w:val="22"/>
        </w:rPr>
        <w:t xml:space="preserve"> de lo </w:t>
      </w:r>
      <w:r w:rsidR="00482C4B" w:rsidRPr="009903EC">
        <w:rPr>
          <w:rFonts w:ascii="Arial" w:hAnsi="Arial" w:cs="Arial"/>
          <w:color w:val="000000"/>
          <w:sz w:val="22"/>
        </w:rPr>
        <w:t xml:space="preserve">señalado por él en su propuesta </w:t>
      </w:r>
      <w:r w:rsidR="00E65166" w:rsidRPr="009903EC">
        <w:rPr>
          <w:rFonts w:ascii="Arial" w:hAnsi="Arial" w:cs="Arial"/>
          <w:color w:val="000000"/>
          <w:sz w:val="22"/>
        </w:rPr>
        <w:t xml:space="preserve">en ejercicio de </w:t>
      </w:r>
      <w:r w:rsidR="00482C4B" w:rsidRPr="009903EC">
        <w:rPr>
          <w:rFonts w:ascii="Arial" w:hAnsi="Arial" w:cs="Arial"/>
          <w:color w:val="000000"/>
          <w:sz w:val="22"/>
        </w:rPr>
        <w:t xml:space="preserve">su </w:t>
      </w:r>
      <w:r w:rsidR="00E65166" w:rsidRPr="009903EC">
        <w:rPr>
          <w:rFonts w:ascii="Arial" w:hAnsi="Arial" w:cs="Arial"/>
          <w:color w:val="000000"/>
          <w:sz w:val="22"/>
        </w:rPr>
        <w:t>autonomía de la voluntad.</w:t>
      </w:r>
    </w:p>
    <w:p w14:paraId="0D3A7CB9" w14:textId="6871EDE3" w:rsidR="00407636" w:rsidRPr="009903EC" w:rsidRDefault="005747F3" w:rsidP="0067722F">
      <w:pPr>
        <w:tabs>
          <w:tab w:val="left" w:pos="426"/>
        </w:tabs>
        <w:spacing w:before="120" w:line="276" w:lineRule="auto"/>
        <w:ind w:firstLine="709"/>
        <w:jc w:val="both"/>
        <w:rPr>
          <w:rFonts w:ascii="Arial" w:eastAsia="Calibri" w:hAnsi="Arial" w:cs="Arial"/>
          <w:sz w:val="22"/>
        </w:rPr>
      </w:pPr>
      <w:r w:rsidRPr="009903EC">
        <w:rPr>
          <w:rFonts w:ascii="Arial" w:eastAsia="Calibri" w:hAnsi="Arial" w:cs="Arial"/>
          <w:sz w:val="22"/>
        </w:rPr>
        <w:t>Sin embargo</w:t>
      </w:r>
      <w:r w:rsidR="00967D10" w:rsidRPr="009903EC">
        <w:rPr>
          <w:rFonts w:ascii="Arial" w:eastAsia="Calibri" w:hAnsi="Arial" w:cs="Arial"/>
          <w:sz w:val="22"/>
        </w:rPr>
        <w:t xml:space="preserve">, </w:t>
      </w:r>
      <w:r w:rsidR="00482C4B" w:rsidRPr="009903EC">
        <w:rPr>
          <w:rFonts w:ascii="Arial" w:eastAsia="Calibri" w:hAnsi="Arial" w:cs="Arial"/>
          <w:sz w:val="22"/>
        </w:rPr>
        <w:t xml:space="preserve">como se explicó, </w:t>
      </w:r>
      <w:r w:rsidR="00967D10" w:rsidRPr="009903EC">
        <w:rPr>
          <w:rFonts w:ascii="Arial" w:eastAsia="Calibri" w:hAnsi="Arial" w:cs="Arial"/>
          <w:sz w:val="22"/>
        </w:rPr>
        <w:t>la frecuencia ofertada por el proponente no determina</w:t>
      </w:r>
      <w:r w:rsidR="00482C4B" w:rsidRPr="009903EC">
        <w:rPr>
          <w:rFonts w:ascii="Arial" w:eastAsia="Calibri" w:hAnsi="Arial" w:cs="Arial"/>
          <w:sz w:val="22"/>
        </w:rPr>
        <w:t>ba</w:t>
      </w:r>
      <w:r w:rsidR="00967D10" w:rsidRPr="009903EC">
        <w:rPr>
          <w:rFonts w:ascii="Arial" w:eastAsia="Calibri" w:hAnsi="Arial" w:cs="Arial"/>
          <w:sz w:val="22"/>
        </w:rPr>
        <w:t xml:space="preserve"> el puntaje correspondiente por este factor de calidad</w:t>
      </w:r>
      <w:r w:rsidR="006819F5" w:rsidRPr="009903EC">
        <w:rPr>
          <w:rFonts w:ascii="Arial" w:eastAsia="Calibri" w:hAnsi="Arial" w:cs="Arial"/>
          <w:sz w:val="22"/>
        </w:rPr>
        <w:t>. Est</w:t>
      </w:r>
      <w:r w:rsidR="00482C4B" w:rsidRPr="009903EC">
        <w:rPr>
          <w:rFonts w:ascii="Arial" w:eastAsia="Calibri" w:hAnsi="Arial" w:cs="Arial"/>
          <w:sz w:val="22"/>
        </w:rPr>
        <w:t>e</w:t>
      </w:r>
      <w:r w:rsidR="00967D10" w:rsidRPr="009903EC">
        <w:rPr>
          <w:rFonts w:ascii="Arial" w:eastAsia="Calibri" w:hAnsi="Arial" w:cs="Arial"/>
          <w:sz w:val="22"/>
        </w:rPr>
        <w:t xml:space="preserve"> depend</w:t>
      </w:r>
      <w:r w:rsidR="00482C4B" w:rsidRPr="009903EC">
        <w:rPr>
          <w:rFonts w:ascii="Arial" w:eastAsia="Calibri" w:hAnsi="Arial" w:cs="Arial"/>
          <w:sz w:val="22"/>
        </w:rPr>
        <w:t>ía</w:t>
      </w:r>
      <w:r w:rsidR="00967D10" w:rsidRPr="009903EC">
        <w:rPr>
          <w:rFonts w:ascii="Arial" w:eastAsia="Calibri" w:hAnsi="Arial" w:cs="Arial"/>
          <w:sz w:val="22"/>
        </w:rPr>
        <w:t xml:space="preserve"> del </w:t>
      </w:r>
      <w:r w:rsidR="00967D10" w:rsidRPr="007C1AA6">
        <w:rPr>
          <w:rFonts w:ascii="Arial" w:eastAsia="Calibri" w:hAnsi="Arial" w:cs="Arial"/>
          <w:i/>
          <w:iCs/>
          <w:sz w:val="22"/>
        </w:rPr>
        <w:t>número de meses</w:t>
      </w:r>
      <w:r w:rsidR="00967D10" w:rsidRPr="009903EC">
        <w:rPr>
          <w:rFonts w:ascii="Arial" w:eastAsia="Calibri" w:hAnsi="Arial" w:cs="Arial"/>
          <w:sz w:val="22"/>
        </w:rPr>
        <w:t xml:space="preserve"> de garantía</w:t>
      </w:r>
      <w:r w:rsidRPr="009903EC">
        <w:rPr>
          <w:rFonts w:ascii="Arial" w:eastAsia="Calibri" w:hAnsi="Arial" w:cs="Arial"/>
          <w:sz w:val="22"/>
        </w:rPr>
        <w:t xml:space="preserve"> adicional</w:t>
      </w:r>
      <w:r w:rsidR="00967D10" w:rsidRPr="009903EC">
        <w:rPr>
          <w:rFonts w:ascii="Arial" w:eastAsia="Calibri" w:hAnsi="Arial" w:cs="Arial"/>
          <w:sz w:val="22"/>
        </w:rPr>
        <w:t xml:space="preserve"> o</w:t>
      </w:r>
      <w:r w:rsidR="00727946" w:rsidRPr="009903EC">
        <w:rPr>
          <w:rFonts w:ascii="Arial" w:eastAsia="Calibri" w:hAnsi="Arial" w:cs="Arial"/>
          <w:sz w:val="22"/>
        </w:rPr>
        <w:t>frecid</w:t>
      </w:r>
      <w:r w:rsidRPr="009903EC">
        <w:rPr>
          <w:rFonts w:ascii="Arial" w:eastAsia="Calibri" w:hAnsi="Arial" w:cs="Arial"/>
          <w:sz w:val="22"/>
        </w:rPr>
        <w:t>a</w:t>
      </w:r>
      <w:r w:rsidR="00727946" w:rsidRPr="009903EC">
        <w:rPr>
          <w:rFonts w:ascii="Arial" w:eastAsia="Calibri" w:hAnsi="Arial" w:cs="Arial"/>
          <w:sz w:val="22"/>
        </w:rPr>
        <w:t xml:space="preserve"> por el proponente, </w:t>
      </w:r>
      <w:r w:rsidR="0037129B" w:rsidRPr="009903EC">
        <w:rPr>
          <w:rFonts w:ascii="Arial" w:eastAsia="Calibri" w:hAnsi="Arial" w:cs="Arial"/>
          <w:sz w:val="22"/>
        </w:rPr>
        <w:t xml:space="preserve">siendo este el factor de evaluación que </w:t>
      </w:r>
      <w:r w:rsidR="00482C4B" w:rsidRPr="009903EC">
        <w:rPr>
          <w:rFonts w:ascii="Arial" w:eastAsia="Calibri" w:hAnsi="Arial" w:cs="Arial"/>
          <w:sz w:val="22"/>
        </w:rPr>
        <w:t xml:space="preserve">debía ser </w:t>
      </w:r>
      <w:r w:rsidR="0037129B" w:rsidRPr="009903EC">
        <w:rPr>
          <w:rFonts w:ascii="Arial" w:eastAsia="Calibri" w:hAnsi="Arial" w:cs="Arial"/>
          <w:sz w:val="22"/>
        </w:rPr>
        <w:t>tenido en cuenta por la entidad</w:t>
      </w:r>
      <w:r w:rsidR="00482C4B" w:rsidRPr="009903EC">
        <w:rPr>
          <w:rFonts w:ascii="Arial" w:eastAsia="Calibri" w:hAnsi="Arial" w:cs="Arial"/>
          <w:sz w:val="22"/>
        </w:rPr>
        <w:t xml:space="preserve"> estatal</w:t>
      </w:r>
      <w:r w:rsidR="0037129B" w:rsidRPr="009903EC">
        <w:rPr>
          <w:rFonts w:ascii="Arial" w:eastAsia="Calibri" w:hAnsi="Arial" w:cs="Arial"/>
          <w:sz w:val="22"/>
        </w:rPr>
        <w:t>. Por lo anterior</w:t>
      </w:r>
      <w:r w:rsidR="006819F5" w:rsidRPr="009903EC">
        <w:rPr>
          <w:rFonts w:ascii="Arial" w:eastAsia="Calibri" w:hAnsi="Arial" w:cs="Arial"/>
          <w:sz w:val="22"/>
        </w:rPr>
        <w:t>,</w:t>
      </w:r>
      <w:r w:rsidR="0037129B" w:rsidRPr="009903EC">
        <w:rPr>
          <w:rFonts w:ascii="Arial" w:eastAsia="Calibri" w:hAnsi="Arial" w:cs="Arial"/>
          <w:sz w:val="22"/>
        </w:rPr>
        <w:t xml:space="preserve"> se infiere que el proponente</w:t>
      </w:r>
      <w:r w:rsidR="006819F5" w:rsidRPr="009903EC">
        <w:rPr>
          <w:rFonts w:ascii="Arial" w:eastAsia="Calibri" w:hAnsi="Arial" w:cs="Arial"/>
          <w:sz w:val="22"/>
        </w:rPr>
        <w:t>,</w:t>
      </w:r>
      <w:r w:rsidR="0037129B" w:rsidRPr="009903EC">
        <w:rPr>
          <w:rFonts w:ascii="Arial" w:eastAsia="Calibri" w:hAnsi="Arial" w:cs="Arial"/>
          <w:sz w:val="22"/>
        </w:rPr>
        <w:t xml:space="preserve"> al </w:t>
      </w:r>
      <w:r w:rsidRPr="009903EC">
        <w:rPr>
          <w:rFonts w:ascii="Arial" w:eastAsia="Calibri" w:hAnsi="Arial" w:cs="Arial"/>
          <w:sz w:val="22"/>
        </w:rPr>
        <w:t xml:space="preserve">ofrecer </w:t>
      </w:r>
      <w:r w:rsidR="0037129B" w:rsidRPr="009903EC">
        <w:rPr>
          <w:rFonts w:ascii="Arial" w:eastAsia="Calibri" w:hAnsi="Arial" w:cs="Arial"/>
          <w:sz w:val="22"/>
        </w:rPr>
        <w:t>la garantía adicional o suplementaria por un determinado número de meses</w:t>
      </w:r>
      <w:r w:rsidR="006819F5" w:rsidRPr="009903EC">
        <w:rPr>
          <w:rFonts w:ascii="Arial" w:eastAsia="Calibri" w:hAnsi="Arial" w:cs="Arial"/>
          <w:sz w:val="22"/>
        </w:rPr>
        <w:t>,</w:t>
      </w:r>
      <w:r w:rsidR="0037129B" w:rsidRPr="009903EC">
        <w:rPr>
          <w:rFonts w:ascii="Arial" w:eastAsia="Calibri" w:hAnsi="Arial" w:cs="Arial"/>
          <w:sz w:val="22"/>
        </w:rPr>
        <w:t xml:space="preserve"> </w:t>
      </w:r>
      <w:r w:rsidR="000020FF" w:rsidRPr="009903EC">
        <w:rPr>
          <w:rFonts w:ascii="Arial" w:eastAsia="Calibri" w:hAnsi="Arial" w:cs="Arial"/>
          <w:sz w:val="22"/>
        </w:rPr>
        <w:t xml:space="preserve">debía </w:t>
      </w:r>
      <w:r w:rsidR="006819F5" w:rsidRPr="009903EC">
        <w:rPr>
          <w:rFonts w:ascii="Arial" w:eastAsia="Calibri" w:hAnsi="Arial" w:cs="Arial"/>
          <w:sz w:val="22"/>
        </w:rPr>
        <w:t>realizar</w:t>
      </w:r>
      <w:r w:rsidR="006E0DD1" w:rsidRPr="009903EC">
        <w:rPr>
          <w:rFonts w:ascii="Arial" w:eastAsia="Calibri" w:hAnsi="Arial" w:cs="Arial"/>
          <w:sz w:val="22"/>
        </w:rPr>
        <w:t xml:space="preserve"> los seguimientos igualmente </w:t>
      </w:r>
      <w:r w:rsidR="0037129B" w:rsidRPr="009903EC">
        <w:rPr>
          <w:rFonts w:ascii="Arial" w:eastAsia="Calibri" w:hAnsi="Arial" w:cs="Arial"/>
          <w:sz w:val="22"/>
        </w:rPr>
        <w:t>dentro d</w:t>
      </w:r>
      <w:r w:rsidR="006E0DD1" w:rsidRPr="009903EC">
        <w:rPr>
          <w:rFonts w:ascii="Arial" w:eastAsia="Calibri" w:hAnsi="Arial" w:cs="Arial"/>
          <w:sz w:val="22"/>
        </w:rPr>
        <w:t xml:space="preserve">el lapso </w:t>
      </w:r>
      <w:r w:rsidR="0031354B" w:rsidRPr="009903EC">
        <w:rPr>
          <w:rFonts w:ascii="Arial" w:eastAsia="Calibri" w:hAnsi="Arial" w:cs="Arial"/>
          <w:sz w:val="22"/>
        </w:rPr>
        <w:t>ofrecido</w:t>
      </w:r>
      <w:r w:rsidRPr="009903EC">
        <w:rPr>
          <w:rFonts w:ascii="Arial" w:eastAsia="Calibri" w:hAnsi="Arial" w:cs="Arial"/>
          <w:sz w:val="22"/>
        </w:rPr>
        <w:t xml:space="preserve"> </w:t>
      </w:r>
      <w:r w:rsidR="00657AFA" w:rsidRPr="009903EC">
        <w:rPr>
          <w:rFonts w:ascii="Arial" w:eastAsia="Calibri" w:hAnsi="Arial" w:cs="Arial"/>
          <w:sz w:val="22"/>
        </w:rPr>
        <w:t>por él</w:t>
      </w:r>
      <w:r w:rsidRPr="009903EC">
        <w:rPr>
          <w:rFonts w:ascii="Arial" w:eastAsia="Calibri" w:hAnsi="Arial" w:cs="Arial"/>
          <w:sz w:val="22"/>
        </w:rPr>
        <w:t xml:space="preserve">. </w:t>
      </w:r>
      <w:r w:rsidR="00657AFA" w:rsidRPr="009903EC">
        <w:rPr>
          <w:rFonts w:ascii="Arial" w:eastAsia="Calibri" w:hAnsi="Arial" w:cs="Arial"/>
          <w:sz w:val="22"/>
        </w:rPr>
        <w:t>Por lo anterior, para la asignación de puntaje</w:t>
      </w:r>
      <w:r w:rsidR="007B7D62" w:rsidRPr="009903EC">
        <w:rPr>
          <w:rFonts w:ascii="Arial" w:eastAsia="Calibri" w:hAnsi="Arial" w:cs="Arial"/>
          <w:sz w:val="22"/>
        </w:rPr>
        <w:t>,</w:t>
      </w:r>
      <w:r w:rsidR="00657AFA" w:rsidRPr="009903EC">
        <w:rPr>
          <w:rFonts w:ascii="Arial" w:eastAsia="Calibri" w:hAnsi="Arial" w:cs="Arial"/>
          <w:sz w:val="22"/>
        </w:rPr>
        <w:t xml:space="preserve"> basta</w:t>
      </w:r>
      <w:r w:rsidR="00547137" w:rsidRPr="009903EC">
        <w:rPr>
          <w:rFonts w:ascii="Arial" w:eastAsia="Calibri" w:hAnsi="Arial" w:cs="Arial"/>
          <w:sz w:val="22"/>
        </w:rPr>
        <w:t>ba</w:t>
      </w:r>
      <w:r w:rsidR="00657AFA" w:rsidRPr="009903EC">
        <w:rPr>
          <w:rFonts w:ascii="Arial" w:eastAsia="Calibri" w:hAnsi="Arial" w:cs="Arial"/>
          <w:sz w:val="22"/>
        </w:rPr>
        <w:t xml:space="preserve"> que el Formato 7D se present</w:t>
      </w:r>
      <w:r w:rsidR="00547137" w:rsidRPr="009903EC">
        <w:rPr>
          <w:rFonts w:ascii="Arial" w:eastAsia="Calibri" w:hAnsi="Arial" w:cs="Arial"/>
          <w:sz w:val="22"/>
        </w:rPr>
        <w:t>ara</w:t>
      </w:r>
      <w:r w:rsidR="00657AFA" w:rsidRPr="009903EC">
        <w:rPr>
          <w:rFonts w:ascii="Arial" w:eastAsia="Calibri" w:hAnsi="Arial" w:cs="Arial"/>
          <w:sz w:val="22"/>
        </w:rPr>
        <w:t xml:space="preserve"> debidamente suscrito y diligenciado, otorgándose el puntaje de acuerdo con los meses de cobertura de la garantía suplementaria o adicional. </w:t>
      </w:r>
    </w:p>
    <w:p w14:paraId="007FA5EC" w14:textId="77777777" w:rsidR="00967D10" w:rsidRPr="009903EC" w:rsidRDefault="00967D10" w:rsidP="0067722F">
      <w:pPr>
        <w:tabs>
          <w:tab w:val="left" w:pos="426"/>
        </w:tabs>
        <w:spacing w:line="276" w:lineRule="auto"/>
        <w:jc w:val="both"/>
        <w:rPr>
          <w:rFonts w:ascii="Arial" w:eastAsia="Calibri" w:hAnsi="Arial" w:cs="Arial"/>
          <w:b/>
          <w:sz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26B5DCA" w14:textId="027BE431" w:rsidR="00214878" w:rsidRPr="009903EC" w:rsidRDefault="00CF62EA" w:rsidP="0067722F">
      <w:pPr>
        <w:spacing w:before="120" w:line="276" w:lineRule="auto"/>
        <w:jc w:val="both"/>
        <w:rPr>
          <w:rFonts w:ascii="Arial" w:eastAsia="Calibri" w:hAnsi="Arial" w:cs="Arial"/>
          <w:sz w:val="22"/>
        </w:rPr>
      </w:pPr>
      <w:r w:rsidRPr="009903EC">
        <w:rPr>
          <w:rFonts w:ascii="Arial" w:eastAsia="Calibri" w:hAnsi="Arial" w:cs="Arial"/>
          <w:sz w:val="22"/>
        </w:rPr>
        <w:t>E</w:t>
      </w:r>
      <w:r w:rsidR="00214878" w:rsidRPr="009903EC">
        <w:rPr>
          <w:rFonts w:ascii="Arial" w:eastAsia="Calibri" w:hAnsi="Arial" w:cs="Arial"/>
          <w:sz w:val="22"/>
        </w:rPr>
        <w:t>ste concepto tiene el alcance previsto en el artículo 28 del Código de Procedimiento Administrativo y de lo Contencioso Administrativo.</w:t>
      </w:r>
    </w:p>
    <w:p w14:paraId="2B363F9B" w14:textId="77777777" w:rsidR="008515EE" w:rsidRPr="009903EC" w:rsidRDefault="008515EE" w:rsidP="008B11C1">
      <w:pPr>
        <w:spacing w:line="276" w:lineRule="auto"/>
        <w:jc w:val="both"/>
        <w:rPr>
          <w:rFonts w:ascii="Arial" w:eastAsia="Calibri" w:hAnsi="Arial" w:cs="Arial"/>
          <w:sz w:val="22"/>
        </w:rPr>
      </w:pPr>
    </w:p>
    <w:p w14:paraId="7DDC6849" w14:textId="53149CFE" w:rsidR="00847C80" w:rsidRPr="009903EC" w:rsidRDefault="00214878" w:rsidP="008B11C1">
      <w:pPr>
        <w:spacing w:line="276" w:lineRule="auto"/>
        <w:rPr>
          <w:rFonts w:ascii="Arial" w:eastAsia="Times New Roman" w:hAnsi="Arial" w:cs="Arial"/>
          <w:sz w:val="22"/>
          <w:lang w:eastAsia="es-CO"/>
        </w:rPr>
      </w:pPr>
      <w:r w:rsidRPr="009903EC">
        <w:rPr>
          <w:rFonts w:ascii="Arial" w:eastAsia="Times New Roman" w:hAnsi="Arial" w:cs="Arial"/>
          <w:sz w:val="22"/>
          <w:lang w:eastAsia="es-CO"/>
        </w:rPr>
        <w:t>Atentamente,</w:t>
      </w:r>
    </w:p>
    <w:p w14:paraId="56DC2BE6" w14:textId="354C7E8B" w:rsidR="008D7064" w:rsidRPr="009903EC" w:rsidRDefault="00601402" w:rsidP="0054602D">
      <w:pPr>
        <w:spacing w:line="276" w:lineRule="auto"/>
        <w:jc w:val="center"/>
        <w:rPr>
          <w:rFonts w:ascii="Arial" w:eastAsia="Times New Roman" w:hAnsi="Arial" w:cs="Arial"/>
          <w:sz w:val="22"/>
          <w:lang w:eastAsia="es-CO"/>
        </w:rPr>
      </w:pPr>
      <w:r w:rsidRPr="00601402">
        <w:rPr>
          <w:rFonts w:ascii="Calibri" w:eastAsia="Calibri" w:hAnsi="Calibri" w:cs="Arial"/>
          <w:noProof/>
          <w:lang w:eastAsia="es-ES_tradnl"/>
        </w:rPr>
        <w:drawing>
          <wp:inline distT="0" distB="0" distL="0" distR="0" wp14:anchorId="529F6F04" wp14:editId="4972C219">
            <wp:extent cx="2533650" cy="990600"/>
            <wp:effectExtent l="0" t="0" r="0" b="0"/>
            <wp:docPr id="968045507" name="Imagen 968045507"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533650" cy="990600"/>
                    </a:xfrm>
                    <a:prstGeom prst="rect">
                      <a:avLst/>
                    </a:prstGeom>
                  </pic:spPr>
                </pic:pic>
              </a:graphicData>
            </a:graphic>
          </wp:inline>
        </w:drawing>
      </w:r>
    </w:p>
    <w:p w14:paraId="1E60E1C2" w14:textId="77777777" w:rsidR="0054602D" w:rsidRPr="009903EC" w:rsidRDefault="0054602D" w:rsidP="0054602D">
      <w:pPr>
        <w:spacing w:line="276" w:lineRule="auto"/>
        <w:jc w:val="center"/>
        <w:rPr>
          <w:rFonts w:ascii="Arial" w:eastAsia="Times New Roman" w:hAnsi="Arial" w:cs="Arial"/>
          <w:sz w:val="14"/>
          <w:szCs w:val="14"/>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CA7FEF" w:rsidRPr="009903EC" w14:paraId="2E979D08" w14:textId="77777777" w:rsidTr="00C968EC">
        <w:trPr>
          <w:trHeight w:val="315"/>
        </w:trPr>
        <w:tc>
          <w:tcPr>
            <w:tcW w:w="812" w:type="dxa"/>
            <w:vAlign w:val="center"/>
          </w:tcPr>
          <w:p w14:paraId="1606F074" w14:textId="77777777" w:rsidR="00214878" w:rsidRPr="009903EC" w:rsidRDefault="00214878" w:rsidP="00AF2440">
            <w:pPr>
              <w:rPr>
                <w:rFonts w:ascii="Arial" w:eastAsia="Times New Roman" w:hAnsi="Arial" w:cs="Arial"/>
                <w:sz w:val="14"/>
                <w:szCs w:val="14"/>
                <w:lang w:eastAsia="es-ES"/>
              </w:rPr>
            </w:pPr>
            <w:r w:rsidRPr="009903EC">
              <w:rPr>
                <w:rFonts w:ascii="Arial" w:eastAsia="Times New Roman" w:hAnsi="Arial" w:cs="Arial"/>
                <w:sz w:val="14"/>
                <w:szCs w:val="14"/>
                <w:lang w:eastAsia="es-ES"/>
              </w:rPr>
              <w:t>Elaboró:</w:t>
            </w:r>
          </w:p>
        </w:tc>
        <w:tc>
          <w:tcPr>
            <w:tcW w:w="4413" w:type="dxa"/>
            <w:tcBorders>
              <w:bottom w:val="dotted" w:sz="4" w:space="0" w:color="7F7F7F" w:themeColor="text1" w:themeTint="80"/>
            </w:tcBorders>
            <w:vAlign w:val="center"/>
          </w:tcPr>
          <w:p w14:paraId="657F213B" w14:textId="5840E483" w:rsidR="003846C5" w:rsidRPr="009903EC" w:rsidRDefault="003846C5" w:rsidP="003846C5">
            <w:pPr>
              <w:rPr>
                <w:rFonts w:ascii="Arial" w:eastAsia="Times New Roman" w:hAnsi="Arial" w:cs="Arial"/>
                <w:sz w:val="14"/>
                <w:szCs w:val="14"/>
                <w:lang w:eastAsia="es-ES"/>
              </w:rPr>
            </w:pPr>
            <w:r w:rsidRPr="009903EC">
              <w:rPr>
                <w:rFonts w:ascii="Arial" w:eastAsia="Times New Roman" w:hAnsi="Arial" w:cs="Arial"/>
                <w:sz w:val="14"/>
                <w:szCs w:val="14"/>
                <w:lang w:eastAsia="es-ES"/>
              </w:rPr>
              <w:t>Gabriel Alejandro Murcia Taboada</w:t>
            </w:r>
          </w:p>
          <w:p w14:paraId="6995B041" w14:textId="592AC127" w:rsidR="00214878" w:rsidRPr="009903EC" w:rsidRDefault="003846C5" w:rsidP="003846C5">
            <w:pPr>
              <w:rPr>
                <w:rFonts w:ascii="Arial" w:eastAsia="Times New Roman" w:hAnsi="Arial" w:cs="Arial"/>
                <w:sz w:val="14"/>
                <w:szCs w:val="14"/>
                <w:lang w:eastAsia="es-ES"/>
              </w:rPr>
            </w:pPr>
            <w:r w:rsidRPr="009903EC">
              <w:rPr>
                <w:rFonts w:ascii="Arial" w:eastAsia="Times New Roman" w:hAnsi="Arial" w:cs="Arial"/>
                <w:sz w:val="14"/>
                <w:szCs w:val="14"/>
                <w:lang w:eastAsia="es-ES"/>
              </w:rPr>
              <w:t>Contratista de la Subdirección de Gestión Contractual</w:t>
            </w:r>
          </w:p>
        </w:tc>
      </w:tr>
      <w:tr w:rsidR="00CA7FEF" w:rsidRPr="009903EC" w14:paraId="1EFBDAAD" w14:textId="77777777" w:rsidTr="00C968EC">
        <w:trPr>
          <w:trHeight w:val="330"/>
        </w:trPr>
        <w:tc>
          <w:tcPr>
            <w:tcW w:w="812" w:type="dxa"/>
            <w:vAlign w:val="center"/>
          </w:tcPr>
          <w:p w14:paraId="09701992" w14:textId="77777777" w:rsidR="00214878" w:rsidRPr="009903EC" w:rsidRDefault="00214878" w:rsidP="00AF2440">
            <w:pPr>
              <w:rPr>
                <w:rFonts w:ascii="Arial" w:eastAsia="Times New Roman" w:hAnsi="Arial" w:cs="Arial"/>
                <w:sz w:val="14"/>
                <w:szCs w:val="14"/>
                <w:lang w:eastAsia="es-ES"/>
              </w:rPr>
            </w:pPr>
            <w:r w:rsidRPr="009903EC">
              <w:rPr>
                <w:rFonts w:ascii="Arial" w:eastAsia="Times New Roman" w:hAnsi="Arial" w:cs="Arial"/>
                <w:sz w:val="14"/>
                <w:szCs w:val="14"/>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1536C78D" w14:textId="77777777" w:rsidR="003846C5" w:rsidRPr="009903EC" w:rsidRDefault="003846C5" w:rsidP="003846C5">
            <w:pPr>
              <w:rPr>
                <w:rFonts w:ascii="Arial" w:hAnsi="Arial" w:cs="Arial"/>
                <w:sz w:val="14"/>
                <w:szCs w:val="14"/>
                <w:lang w:eastAsia="es-ES"/>
              </w:rPr>
            </w:pPr>
            <w:r w:rsidRPr="009903EC">
              <w:rPr>
                <w:rFonts w:ascii="Arial" w:hAnsi="Arial" w:cs="Arial"/>
                <w:sz w:val="14"/>
                <w:szCs w:val="14"/>
                <w:lang w:eastAsia="es-ES"/>
              </w:rPr>
              <w:t>Cristian Andrés Díaz Díez</w:t>
            </w:r>
          </w:p>
          <w:p w14:paraId="6B6BBB43" w14:textId="71923008" w:rsidR="005F3841" w:rsidRPr="007C1AA6" w:rsidRDefault="003846C5" w:rsidP="003846C5">
            <w:pPr>
              <w:rPr>
                <w:rFonts w:ascii="Arial" w:hAnsi="Arial" w:cs="Arial"/>
                <w:sz w:val="14"/>
                <w:szCs w:val="14"/>
                <w:lang w:eastAsia="es-ES"/>
              </w:rPr>
            </w:pPr>
            <w:r w:rsidRPr="009903EC">
              <w:rPr>
                <w:rFonts w:ascii="Arial" w:hAnsi="Arial" w:cs="Arial"/>
                <w:sz w:val="14"/>
                <w:szCs w:val="14"/>
                <w:lang w:eastAsia="es-ES"/>
              </w:rPr>
              <w:t>Contratista de la Subdirección de Gestión Contractual</w:t>
            </w:r>
          </w:p>
        </w:tc>
      </w:tr>
      <w:tr w:rsidR="00CA7FEF" w:rsidRPr="00FC5BA2" w14:paraId="24C3AA5B" w14:textId="77777777" w:rsidTr="00C968EC">
        <w:trPr>
          <w:trHeight w:val="300"/>
        </w:trPr>
        <w:tc>
          <w:tcPr>
            <w:tcW w:w="812" w:type="dxa"/>
            <w:vAlign w:val="center"/>
          </w:tcPr>
          <w:p w14:paraId="3F00D087" w14:textId="77777777" w:rsidR="00214878" w:rsidRPr="009903EC" w:rsidRDefault="00214878" w:rsidP="00AF2440">
            <w:pPr>
              <w:rPr>
                <w:rFonts w:ascii="Arial" w:eastAsia="Times New Roman" w:hAnsi="Arial" w:cs="Arial"/>
                <w:sz w:val="14"/>
                <w:szCs w:val="14"/>
                <w:lang w:eastAsia="es-ES"/>
              </w:rPr>
            </w:pPr>
            <w:r w:rsidRPr="009903EC">
              <w:rPr>
                <w:rFonts w:ascii="Arial" w:eastAsia="Times New Roman" w:hAnsi="Arial" w:cs="Arial"/>
                <w:sz w:val="14"/>
                <w:szCs w:val="14"/>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50C02E15" w14:textId="77777777" w:rsidR="003846C5" w:rsidRPr="009903EC" w:rsidRDefault="003846C5" w:rsidP="003846C5">
            <w:pPr>
              <w:rPr>
                <w:rFonts w:ascii="Arial" w:eastAsia="Times New Roman" w:hAnsi="Arial" w:cs="Arial"/>
                <w:sz w:val="14"/>
                <w:szCs w:val="14"/>
                <w:lang w:eastAsia="es-ES"/>
              </w:rPr>
            </w:pPr>
            <w:r w:rsidRPr="009903EC">
              <w:rPr>
                <w:rFonts w:ascii="Arial" w:eastAsia="Times New Roman" w:hAnsi="Arial" w:cs="Arial"/>
                <w:sz w:val="14"/>
                <w:szCs w:val="14"/>
                <w:lang w:eastAsia="es-ES"/>
              </w:rPr>
              <w:t>Juan David Marín López</w:t>
            </w:r>
          </w:p>
          <w:p w14:paraId="1D1409AB" w14:textId="77B4BDC8" w:rsidR="00214878" w:rsidRPr="00FC5BA2" w:rsidRDefault="003846C5" w:rsidP="003846C5">
            <w:pPr>
              <w:rPr>
                <w:rFonts w:ascii="Arial" w:eastAsia="Times New Roman" w:hAnsi="Arial" w:cs="Arial"/>
                <w:sz w:val="14"/>
                <w:szCs w:val="14"/>
                <w:lang w:eastAsia="es-ES"/>
              </w:rPr>
            </w:pPr>
            <w:r w:rsidRPr="009903EC">
              <w:rPr>
                <w:rFonts w:ascii="Arial" w:eastAsia="Times New Roman" w:hAnsi="Arial" w:cs="Arial"/>
                <w:sz w:val="14"/>
                <w:szCs w:val="14"/>
                <w:lang w:eastAsia="es-ES"/>
              </w:rPr>
              <w:t>Subdirector de Gestión Contractual (E)</w:t>
            </w:r>
          </w:p>
        </w:tc>
      </w:tr>
      <w:bookmarkEnd w:id="0"/>
      <w:bookmarkEnd w:id="1"/>
    </w:tbl>
    <w:p w14:paraId="0EEB665C" w14:textId="77777777" w:rsidR="00737DB6" w:rsidRPr="00FC5BA2" w:rsidRDefault="00737DB6" w:rsidP="004A214E">
      <w:pPr>
        <w:spacing w:before="120" w:after="120" w:line="276" w:lineRule="auto"/>
        <w:rPr>
          <w:rFonts w:ascii="Arial" w:hAnsi="Arial" w:cs="Arial"/>
          <w:sz w:val="14"/>
          <w:szCs w:val="14"/>
        </w:rPr>
      </w:pPr>
    </w:p>
    <w:sectPr w:rsidR="00737DB6" w:rsidRPr="00FC5BA2" w:rsidSect="00F65E96">
      <w:headerReference w:type="default" r:id="rId12"/>
      <w:footerReference w:type="default" r:id="rId13"/>
      <w:pgSz w:w="12240" w:h="15840"/>
      <w:pgMar w:top="1985" w:right="1750"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AB392" w14:textId="77777777" w:rsidR="00E46382" w:rsidRDefault="00E46382">
      <w:r>
        <w:separator/>
      </w:r>
    </w:p>
  </w:endnote>
  <w:endnote w:type="continuationSeparator" w:id="0">
    <w:p w14:paraId="21CA62FE" w14:textId="77777777" w:rsidR="00E46382" w:rsidRDefault="00E46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6759C" w14:textId="6D0FBFE0" w:rsidR="005F6462" w:rsidRPr="008217B7" w:rsidRDefault="005F6462" w:rsidP="00214878">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C61ED9">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C61ED9">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p>
  <w:p w14:paraId="218ACE78" w14:textId="77777777" w:rsidR="005F6462" w:rsidRDefault="005F6462" w:rsidP="00214878">
    <w:pPr>
      <w:pStyle w:val="Piedepgina"/>
      <w:jc w:val="center"/>
      <w:rPr>
        <w:lang w:val="es-ES"/>
      </w:rPr>
    </w:pPr>
    <w:r>
      <w:rPr>
        <w:noProof/>
        <w:lang w:val="en-US"/>
      </w:rPr>
      <w:drawing>
        <wp:inline distT="0" distB="0" distL="0" distR="0" wp14:anchorId="53C58075" wp14:editId="1308803E">
          <wp:extent cx="3700130" cy="519139"/>
          <wp:effectExtent l="0" t="0" r="0" b="0"/>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651FA18A" w14:textId="77777777" w:rsidR="005F6462" w:rsidRDefault="005F6462" w:rsidP="00214878">
    <w:pPr>
      <w:pStyle w:val="Piedepgina"/>
      <w:jc w:val="center"/>
      <w:rPr>
        <w:lang w:val="es-ES"/>
      </w:rPr>
    </w:pPr>
  </w:p>
  <w:p w14:paraId="6C0EFC49" w14:textId="77777777" w:rsidR="005F6462" w:rsidRPr="00214878" w:rsidRDefault="005F6462" w:rsidP="0021487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EA1FA" w14:textId="77777777" w:rsidR="00E46382" w:rsidRDefault="00E46382">
      <w:r>
        <w:separator/>
      </w:r>
    </w:p>
  </w:footnote>
  <w:footnote w:type="continuationSeparator" w:id="0">
    <w:p w14:paraId="2AFDE9A7" w14:textId="77777777" w:rsidR="00E46382" w:rsidRDefault="00E46382">
      <w:r>
        <w:continuationSeparator/>
      </w:r>
    </w:p>
  </w:footnote>
  <w:footnote w:id="1">
    <w:p w14:paraId="7DB4ACA7" w14:textId="3BB70756" w:rsidR="00513363" w:rsidRPr="007C1AA6" w:rsidRDefault="001500AE" w:rsidP="007C1AA6">
      <w:pPr>
        <w:pStyle w:val="Textonotapie"/>
        <w:ind w:firstLine="709"/>
        <w:jc w:val="both"/>
        <w:rPr>
          <w:rFonts w:ascii="Arial" w:hAnsi="Arial" w:cs="Arial"/>
          <w:sz w:val="19"/>
          <w:szCs w:val="19"/>
          <w:lang w:val="es-ES"/>
        </w:rPr>
      </w:pPr>
      <w:r w:rsidRPr="007C1AA6">
        <w:rPr>
          <w:rStyle w:val="Refdenotaalpie"/>
          <w:rFonts w:ascii="Arial" w:hAnsi="Arial" w:cs="Arial"/>
          <w:sz w:val="19"/>
          <w:szCs w:val="19"/>
        </w:rPr>
        <w:footnoteRef/>
      </w:r>
      <w:r w:rsidRPr="007C1AA6">
        <w:rPr>
          <w:rFonts w:ascii="Arial" w:hAnsi="Arial" w:cs="Arial"/>
          <w:sz w:val="19"/>
          <w:szCs w:val="19"/>
        </w:rPr>
        <w:t xml:space="preserve"> </w:t>
      </w:r>
      <w:r w:rsidRPr="007C1AA6">
        <w:rPr>
          <w:rFonts w:ascii="Arial" w:hAnsi="Arial" w:cs="Arial"/>
          <w:sz w:val="19"/>
          <w:szCs w:val="19"/>
          <w:lang w:val="es-ES"/>
        </w:rPr>
        <w:t xml:space="preserve">Sin perjuicio de lo que establece el artículo 56 de la ley 2195 de 2022: </w:t>
      </w:r>
      <w:r w:rsidR="00513363" w:rsidRPr="007C1AA6">
        <w:rPr>
          <w:rFonts w:ascii="Arial" w:hAnsi="Arial" w:cs="Arial"/>
          <w:sz w:val="19"/>
          <w:szCs w:val="19"/>
          <w:lang w:val="es-ES"/>
        </w:rPr>
        <w:t>«Para la adquisición de bienes, obras o servicios, las entidades estatales sometidas al Estatuto General de Contratación de la Administración Publica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Publica - Colombia Compra Eficiente o quien haga sus veces, conforme al parágrafo 7 del Artículo 2 de la Ley 1150 de 2007 o las normas que lo modifiquen o sustituyan.</w:t>
      </w:r>
    </w:p>
    <w:p w14:paraId="05B3E275" w14:textId="2B37DE72" w:rsidR="00513363" w:rsidRPr="007C1AA6" w:rsidRDefault="007B28DC" w:rsidP="007C1AA6">
      <w:pPr>
        <w:pStyle w:val="Textonotapie"/>
        <w:ind w:firstLine="709"/>
        <w:jc w:val="both"/>
        <w:rPr>
          <w:rFonts w:ascii="Arial" w:hAnsi="Arial" w:cs="Arial"/>
          <w:sz w:val="19"/>
          <w:szCs w:val="19"/>
          <w:lang w:val="es-ES"/>
        </w:rPr>
      </w:pPr>
      <w:r>
        <w:rPr>
          <w:rFonts w:ascii="Arial" w:hAnsi="Arial" w:cs="Arial"/>
          <w:sz w:val="19"/>
          <w:szCs w:val="19"/>
          <w:lang w:val="es-ES"/>
        </w:rPr>
        <w:t>»</w:t>
      </w:r>
      <w:r w:rsidR="00513363" w:rsidRPr="007C1AA6">
        <w:rPr>
          <w:rFonts w:ascii="Arial" w:hAnsi="Arial" w:cs="Arial"/>
          <w:sz w:val="19"/>
          <w:szCs w:val="19"/>
          <w:lang w:val="es-ES"/>
        </w:rPr>
        <w:t>Los procedimientos de selección y los contratos que realicen en desarrollo de los anteriores negocios jurídicos, donde apliquen los documentos tipo se regirán por el Estatuto General de Contratación de la Administración Publica.</w:t>
      </w:r>
    </w:p>
    <w:p w14:paraId="790EB388" w14:textId="22697C22" w:rsidR="001500AE" w:rsidRPr="007C1AA6" w:rsidRDefault="007B28DC" w:rsidP="007C1AA6">
      <w:pPr>
        <w:pStyle w:val="Textonotapie"/>
        <w:ind w:firstLine="709"/>
        <w:jc w:val="both"/>
        <w:rPr>
          <w:rFonts w:ascii="Arial" w:hAnsi="Arial" w:cs="Arial"/>
          <w:sz w:val="19"/>
          <w:szCs w:val="19"/>
          <w:lang w:val="es-ES"/>
        </w:rPr>
      </w:pPr>
      <w:r>
        <w:rPr>
          <w:rFonts w:ascii="Arial" w:hAnsi="Arial" w:cs="Arial"/>
          <w:sz w:val="19"/>
          <w:szCs w:val="19"/>
          <w:lang w:val="es-ES"/>
        </w:rPr>
        <w:t>»</w:t>
      </w:r>
      <w:r w:rsidR="00513363" w:rsidRPr="007C1AA6">
        <w:rPr>
          <w:rFonts w:ascii="Arial" w:hAnsi="Arial" w:cs="Arial"/>
          <w:sz w:val="19"/>
          <w:szCs w:val="19"/>
          <w:lang w:val="es-ES"/>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r>
        <w:rPr>
          <w:rFonts w:ascii="Arial" w:hAnsi="Arial" w:cs="Arial"/>
          <w:sz w:val="19"/>
          <w:szCs w:val="19"/>
          <w:lang w:val="es-ES"/>
        </w:rPr>
        <w:t>»</w:t>
      </w:r>
      <w:r w:rsidR="00513363" w:rsidRPr="007C1AA6">
        <w:rPr>
          <w:rFonts w:ascii="Arial" w:hAnsi="Arial" w:cs="Arial"/>
          <w:sz w:val="19"/>
          <w:szCs w:val="19"/>
          <w:lang w:val="es-ES"/>
        </w:rPr>
        <w:t>.</w:t>
      </w:r>
    </w:p>
  </w:footnote>
  <w:footnote w:id="2">
    <w:p w14:paraId="38A0829B" w14:textId="32D6C27D" w:rsidR="00642C9D" w:rsidRPr="007B28DC" w:rsidRDefault="00642C9D" w:rsidP="007B28DC">
      <w:pPr>
        <w:pStyle w:val="Textonotapie"/>
        <w:ind w:firstLine="709"/>
        <w:jc w:val="both"/>
        <w:rPr>
          <w:rFonts w:ascii="Arial" w:hAnsi="Arial" w:cs="Arial"/>
          <w:sz w:val="19"/>
          <w:szCs w:val="19"/>
          <w:lang w:val="es-ES_tradnl"/>
        </w:rPr>
      </w:pPr>
      <w:r w:rsidRPr="007C1AA6">
        <w:rPr>
          <w:rStyle w:val="Refdenotaalpie"/>
          <w:rFonts w:ascii="Arial" w:hAnsi="Arial" w:cs="Arial"/>
          <w:sz w:val="19"/>
          <w:szCs w:val="19"/>
        </w:rPr>
        <w:footnoteRef/>
      </w:r>
      <w:r w:rsidRPr="007B28DC">
        <w:rPr>
          <w:rFonts w:ascii="Arial" w:hAnsi="Arial" w:cs="Arial"/>
          <w:sz w:val="19"/>
          <w:szCs w:val="19"/>
        </w:rPr>
        <w:t xml:space="preserve"> </w:t>
      </w:r>
      <w:r w:rsidRPr="007B28DC">
        <w:rPr>
          <w:rFonts w:ascii="Arial" w:hAnsi="Arial" w:cs="Arial"/>
          <w:color w:val="000000"/>
          <w:sz w:val="19"/>
          <w:szCs w:val="19"/>
          <w:bdr w:val="none" w:sz="0" w:space="0" w:color="auto" w:frame="1"/>
        </w:rPr>
        <w:t>Por tanto, estos documentos no serían obligatorios para los contratos de entidades públicas que no se rijan por la Ley 80 de 1993. Sin embargo, estas pueden observar los documentos tipo de forma facultativa, como una forma de adoptar e incorporar políticas de buenas prácticas contractuales. </w:t>
      </w:r>
    </w:p>
  </w:footnote>
  <w:footnote w:id="3">
    <w:p w14:paraId="5442453C" w14:textId="77777777" w:rsidR="00EE2BD9" w:rsidRPr="007B28DC" w:rsidRDefault="00EE2BD9" w:rsidP="007C1AA6">
      <w:pPr>
        <w:pStyle w:val="Textonotapie"/>
        <w:ind w:firstLine="709"/>
        <w:jc w:val="both"/>
        <w:rPr>
          <w:rFonts w:ascii="Arial" w:hAnsi="Arial" w:cs="Arial"/>
          <w:sz w:val="19"/>
          <w:szCs w:val="19"/>
        </w:rPr>
      </w:pPr>
      <w:r w:rsidRPr="007C1AA6">
        <w:rPr>
          <w:rStyle w:val="Refdenotaalpie"/>
          <w:rFonts w:ascii="Arial" w:hAnsi="Arial" w:cs="Arial"/>
          <w:sz w:val="19"/>
          <w:szCs w:val="19"/>
        </w:rPr>
        <w:footnoteRef/>
      </w:r>
      <w:r w:rsidRPr="007C1AA6">
        <w:rPr>
          <w:rFonts w:ascii="Arial" w:hAnsi="Arial" w:cs="Arial"/>
          <w:sz w:val="19"/>
          <w:szCs w:val="19"/>
        </w:rPr>
        <w:t xml:space="preserve"> </w:t>
      </w:r>
      <w:r w:rsidRPr="007B28DC">
        <w:rPr>
          <w:rFonts w:ascii="Arial" w:hAnsi="Arial" w:cs="Arial"/>
          <w:sz w:val="19"/>
          <w:szCs w:val="19"/>
        </w:rPr>
        <w:t>Decreto 342 de 2019 «Artículo 2.2.1.2.6.1.4. Inalterabilidad de los Documentos Tipo. Las entidades estatales contratantes no podrán incluir o modificar dentro de los Documentos del Proceso las condiciones habilitantes, los factores técnicos y económicos de escogencia y los sistemas de ponderación distintos a los señalados en los Documentos Tipo».</w:t>
      </w:r>
    </w:p>
    <w:p w14:paraId="0D670423" w14:textId="77777777" w:rsidR="00EE2BD9" w:rsidRPr="007B28DC" w:rsidRDefault="00EE2BD9" w:rsidP="007C1AA6">
      <w:pPr>
        <w:pStyle w:val="Textonotapie"/>
        <w:ind w:firstLine="709"/>
        <w:jc w:val="both"/>
        <w:rPr>
          <w:rFonts w:ascii="Arial" w:hAnsi="Arial" w:cs="Arial"/>
          <w:sz w:val="19"/>
          <w:szCs w:val="19"/>
          <w:lang w:val="es-CO"/>
        </w:rPr>
      </w:pPr>
      <w:r w:rsidRPr="007B28DC">
        <w:rPr>
          <w:rFonts w:ascii="Arial" w:hAnsi="Arial" w:cs="Arial"/>
          <w:sz w:val="19"/>
          <w:szCs w:val="19"/>
        </w:rPr>
        <w:t xml:space="preserve"> </w:t>
      </w:r>
    </w:p>
  </w:footnote>
  <w:footnote w:id="4">
    <w:p w14:paraId="4416776D" w14:textId="77777777" w:rsidR="00EE2BD9" w:rsidRPr="007B28DC" w:rsidRDefault="00EE2BD9" w:rsidP="007B28DC">
      <w:pPr>
        <w:pStyle w:val="Textonotapie"/>
        <w:ind w:firstLine="709"/>
        <w:jc w:val="both"/>
        <w:rPr>
          <w:rFonts w:ascii="Arial" w:hAnsi="Arial" w:cs="Arial"/>
          <w:color w:val="000000" w:themeColor="text1"/>
          <w:sz w:val="19"/>
          <w:szCs w:val="19"/>
        </w:rPr>
      </w:pPr>
      <w:r w:rsidRPr="007C1AA6">
        <w:rPr>
          <w:rStyle w:val="Refdenotaalpie"/>
          <w:rFonts w:ascii="Arial" w:hAnsi="Arial" w:cs="Arial"/>
          <w:sz w:val="19"/>
          <w:szCs w:val="19"/>
        </w:rPr>
        <w:footnoteRef/>
      </w:r>
      <w:r w:rsidRPr="007B28DC">
        <w:rPr>
          <w:rFonts w:ascii="Arial" w:hAnsi="Arial" w:cs="Arial"/>
          <w:color w:val="000000" w:themeColor="text1"/>
          <w:sz w:val="19"/>
          <w:szCs w:val="19"/>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2CF059BB" w14:textId="77777777" w:rsidR="00EE2BD9" w:rsidRPr="007B28DC" w:rsidRDefault="00EE2BD9" w:rsidP="007B28DC">
      <w:pPr>
        <w:pStyle w:val="Textonotapie"/>
        <w:ind w:firstLine="709"/>
        <w:jc w:val="both"/>
        <w:rPr>
          <w:rFonts w:ascii="Arial" w:hAnsi="Arial" w:cs="Arial"/>
          <w:color w:val="000000" w:themeColor="text1"/>
          <w:sz w:val="19"/>
          <w:szCs w:val="19"/>
        </w:rPr>
      </w:pPr>
    </w:p>
  </w:footnote>
  <w:footnote w:id="5">
    <w:p w14:paraId="27669132" w14:textId="19B1C852" w:rsidR="00EE2BD9" w:rsidRPr="007B28DC" w:rsidRDefault="00EE2BD9" w:rsidP="007B28DC">
      <w:pPr>
        <w:ind w:firstLine="709"/>
        <w:jc w:val="both"/>
        <w:rPr>
          <w:rFonts w:ascii="Arial" w:hAnsi="Arial" w:cs="Arial"/>
          <w:color w:val="000000" w:themeColor="text1"/>
          <w:sz w:val="19"/>
          <w:szCs w:val="19"/>
          <w:lang w:val="es-ES"/>
        </w:rPr>
      </w:pPr>
      <w:r w:rsidRPr="007C1AA6">
        <w:rPr>
          <w:rStyle w:val="Refdenotaalpie"/>
          <w:rFonts w:ascii="Arial" w:hAnsi="Arial" w:cs="Arial"/>
          <w:sz w:val="19"/>
          <w:szCs w:val="19"/>
        </w:rPr>
        <w:footnoteRef/>
      </w:r>
      <w:r w:rsidRPr="007B28DC">
        <w:rPr>
          <w:rFonts w:ascii="Arial" w:hAnsi="Arial" w:cs="Arial"/>
          <w:color w:val="000000" w:themeColor="text1"/>
          <w:sz w:val="19"/>
          <w:szCs w:val="19"/>
        </w:rPr>
        <w:t xml:space="preserve"> </w:t>
      </w:r>
      <w:r w:rsidRPr="007B28DC">
        <w:rPr>
          <w:rFonts w:ascii="Arial" w:hAnsi="Arial" w:cs="Arial"/>
          <w:color w:val="000000" w:themeColor="text1"/>
          <w:sz w:val="19"/>
          <w:szCs w:val="19"/>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footnote>
  <w:footnote w:id="6">
    <w:p w14:paraId="790DAF58" w14:textId="7B9CF30F" w:rsidR="00EE2BD9" w:rsidRPr="007B28DC" w:rsidRDefault="00EE2BD9" w:rsidP="007C1AA6">
      <w:pPr>
        <w:ind w:firstLine="709"/>
        <w:jc w:val="both"/>
        <w:rPr>
          <w:rFonts w:ascii="Arial" w:hAnsi="Arial" w:cs="Arial"/>
          <w:color w:val="000000" w:themeColor="text1"/>
          <w:sz w:val="19"/>
          <w:szCs w:val="19"/>
          <w:lang w:val="es-CO"/>
        </w:rPr>
      </w:pPr>
      <w:r w:rsidRPr="007C1AA6">
        <w:rPr>
          <w:rStyle w:val="Refdenotaalpie"/>
          <w:rFonts w:ascii="Arial" w:hAnsi="Arial" w:cs="Arial"/>
          <w:sz w:val="19"/>
          <w:szCs w:val="19"/>
        </w:rPr>
        <w:footnoteRef/>
      </w:r>
      <w:r w:rsidRPr="007B28DC">
        <w:rPr>
          <w:rFonts w:ascii="Arial" w:hAnsi="Arial" w:cs="Arial"/>
          <w:color w:val="000000" w:themeColor="text1"/>
          <w:sz w:val="19"/>
          <w:szCs w:val="19"/>
        </w:rPr>
        <w:t xml:space="preserve"> Cita tomada de la providencia del 20 de febrero de 2020, dictada por el Consejo de Estado. Sección Tercera. Subsección A, dentro del expediente 47001-23-33-000-2018-00035-01 (63.854), cuya ponente fue Marta Nubia Velásquez Rico.</w:t>
      </w:r>
    </w:p>
  </w:footnote>
  <w:footnote w:id="7">
    <w:p w14:paraId="468F186A" w14:textId="5BF8F382" w:rsidR="005F6462" w:rsidRPr="007B28DC" w:rsidRDefault="005F6462" w:rsidP="007C1AA6">
      <w:pPr>
        <w:pStyle w:val="Textonotapie"/>
        <w:ind w:firstLine="709"/>
        <w:jc w:val="both"/>
        <w:rPr>
          <w:rFonts w:ascii="Arial" w:hAnsi="Arial" w:cs="Arial"/>
          <w:sz w:val="19"/>
          <w:szCs w:val="19"/>
        </w:rPr>
      </w:pPr>
      <w:r w:rsidRPr="007C1AA6">
        <w:rPr>
          <w:rStyle w:val="Refdenotaalpie"/>
          <w:rFonts w:ascii="Arial" w:hAnsi="Arial" w:cs="Arial"/>
          <w:sz w:val="19"/>
          <w:szCs w:val="19"/>
        </w:rPr>
        <w:footnoteRef/>
      </w:r>
      <w:r w:rsidRPr="007B28DC">
        <w:rPr>
          <w:rFonts w:ascii="Arial" w:hAnsi="Arial" w:cs="Arial"/>
          <w:sz w:val="19"/>
          <w:szCs w:val="19"/>
        </w:rPr>
        <w:t xml:space="preserve"> Ley 1480 de 2011: «Artículo 13. Garantías suplementarias. Los productores y proveedores podrán otorgar garantías suplementarias a la legal, cuando amplíen o mejoren la cobertura de esta, de forma gratuita u onerosa. En este último caso se deberá obtener la aceptación expresa por parte del consumidor, la cual deberá constar en el escrito que le dé soporte. También podrán otorgar este tipo de garantías terceros especializados que cuenten con la infraestructura y recursos adecuados para cumplir con la garantía».</w:t>
      </w:r>
    </w:p>
    <w:p w14:paraId="7AA86EA6" w14:textId="77777777" w:rsidR="005F6462" w:rsidRPr="007B28DC" w:rsidRDefault="005F6462" w:rsidP="007C1AA6">
      <w:pPr>
        <w:pStyle w:val="Textonotapie"/>
        <w:ind w:firstLine="709"/>
        <w:jc w:val="both"/>
        <w:rPr>
          <w:rFonts w:ascii="Arial" w:hAnsi="Arial" w:cs="Arial"/>
          <w:sz w:val="19"/>
          <w:szCs w:val="19"/>
          <w:lang w:val="es-CO"/>
        </w:rPr>
      </w:pPr>
    </w:p>
  </w:footnote>
  <w:footnote w:id="8">
    <w:p w14:paraId="2AA9D5D6" w14:textId="77777777" w:rsidR="005F6462" w:rsidRPr="007B28DC" w:rsidRDefault="005F6462" w:rsidP="007C1AA6">
      <w:pPr>
        <w:ind w:firstLine="709"/>
        <w:jc w:val="both"/>
        <w:rPr>
          <w:rFonts w:ascii="Arial" w:hAnsi="Arial" w:cs="Arial"/>
          <w:sz w:val="19"/>
          <w:szCs w:val="19"/>
          <w:shd w:val="clear" w:color="auto" w:fill="FFFFFF"/>
        </w:rPr>
      </w:pPr>
      <w:r w:rsidRPr="007C1AA6">
        <w:rPr>
          <w:rStyle w:val="Refdenotaalpie"/>
          <w:rFonts w:ascii="Arial" w:hAnsi="Arial" w:cs="Arial"/>
          <w:sz w:val="19"/>
          <w:szCs w:val="19"/>
        </w:rPr>
        <w:footnoteRef/>
      </w:r>
      <w:r w:rsidRPr="007B28DC">
        <w:rPr>
          <w:rFonts w:ascii="Arial" w:hAnsi="Arial" w:cs="Arial"/>
          <w:sz w:val="19"/>
          <w:szCs w:val="19"/>
        </w:rPr>
        <w:t xml:space="preserve"> Decreto 1082 de 2015: «Artículo 2.2.1.2.3.1.7. Garantía de cumplimiento</w:t>
      </w:r>
      <w:r w:rsidRPr="007B28DC">
        <w:rPr>
          <w:rStyle w:val="nfasis"/>
          <w:rFonts w:ascii="Arial" w:hAnsi="Arial" w:cs="Arial"/>
          <w:sz w:val="19"/>
          <w:szCs w:val="19"/>
          <w:shd w:val="clear" w:color="auto" w:fill="FFFFFF"/>
        </w:rPr>
        <w:t xml:space="preserve">. </w:t>
      </w:r>
      <w:r w:rsidRPr="007B28DC">
        <w:rPr>
          <w:rFonts w:ascii="Arial" w:hAnsi="Arial" w:cs="Arial"/>
          <w:sz w:val="19"/>
          <w:szCs w:val="19"/>
          <w:shd w:val="clear" w:color="auto" w:fill="FFFFFF"/>
        </w:rPr>
        <w:t>La garantía de cumplimiento del contrato debe cubrir:</w:t>
      </w:r>
    </w:p>
    <w:p w14:paraId="507D2C36" w14:textId="77777777" w:rsidR="005F6462" w:rsidRPr="007B28DC" w:rsidRDefault="005F6462" w:rsidP="007C1AA6">
      <w:pPr>
        <w:pStyle w:val="Textonotapie"/>
        <w:ind w:firstLine="709"/>
        <w:jc w:val="both"/>
        <w:rPr>
          <w:rFonts w:ascii="Arial" w:hAnsi="Arial" w:cs="Arial"/>
          <w:color w:val="333333"/>
          <w:sz w:val="19"/>
          <w:szCs w:val="19"/>
          <w:shd w:val="clear" w:color="auto" w:fill="FFFFFF"/>
        </w:rPr>
      </w:pPr>
      <w:r w:rsidRPr="007B28DC">
        <w:rPr>
          <w:rFonts w:ascii="Arial" w:hAnsi="Arial" w:cs="Arial"/>
          <w:color w:val="333333"/>
          <w:sz w:val="19"/>
          <w:szCs w:val="19"/>
          <w:shd w:val="clear" w:color="auto" w:fill="FFFFFF"/>
        </w:rPr>
        <w:t>[…]</w:t>
      </w:r>
    </w:p>
    <w:p w14:paraId="6D15F9AB" w14:textId="376C0D7F" w:rsidR="005F6462" w:rsidRPr="007B28DC" w:rsidRDefault="005F6462" w:rsidP="007C1AA6">
      <w:pPr>
        <w:pStyle w:val="Textonotapie"/>
        <w:ind w:firstLine="709"/>
        <w:jc w:val="both"/>
        <w:rPr>
          <w:rFonts w:ascii="Arial" w:hAnsi="Arial" w:cs="Arial"/>
          <w:sz w:val="19"/>
          <w:szCs w:val="19"/>
          <w:shd w:val="clear" w:color="auto" w:fill="FFFFFF"/>
        </w:rPr>
      </w:pPr>
      <w:r w:rsidRPr="007B28DC">
        <w:rPr>
          <w:rFonts w:ascii="Arial" w:hAnsi="Arial" w:cs="Arial"/>
          <w:color w:val="333333"/>
          <w:sz w:val="19"/>
          <w:szCs w:val="19"/>
          <w:shd w:val="clear" w:color="auto" w:fill="FFFFFF"/>
        </w:rPr>
        <w:t>»</w:t>
      </w:r>
      <w:r w:rsidRPr="007B28DC">
        <w:rPr>
          <w:rFonts w:ascii="Arial" w:hAnsi="Arial" w:cs="Arial"/>
          <w:sz w:val="19"/>
          <w:szCs w:val="19"/>
          <w:shd w:val="clear" w:color="auto" w:fill="FFFFFF"/>
        </w:rPr>
        <w:t>Estabilidad y calidad de la obra. Este amparo cubre a la Entidad Estatal de los perjuicios ocasionados por cualquier tipo de daño o deterioro, imputable al contratista, sufrido por la obra entregada a satisfacción».</w:t>
      </w:r>
    </w:p>
    <w:p w14:paraId="474E8073" w14:textId="77777777" w:rsidR="005F6462" w:rsidRPr="007B28DC" w:rsidRDefault="005F6462" w:rsidP="007C1AA6">
      <w:pPr>
        <w:pStyle w:val="Textonotapie"/>
        <w:ind w:firstLine="709"/>
        <w:jc w:val="both"/>
        <w:rPr>
          <w:rFonts w:ascii="Arial" w:hAnsi="Arial" w:cs="Arial"/>
          <w:sz w:val="19"/>
          <w:szCs w:val="19"/>
          <w:lang w:val="es-CO"/>
        </w:rPr>
      </w:pPr>
    </w:p>
  </w:footnote>
  <w:footnote w:id="9">
    <w:p w14:paraId="4ABFCC59" w14:textId="3D10C14F" w:rsidR="005F6462" w:rsidRPr="007B28DC" w:rsidRDefault="005F6462" w:rsidP="007C1AA6">
      <w:pPr>
        <w:pStyle w:val="Textonotapie"/>
        <w:ind w:firstLine="709"/>
        <w:jc w:val="both"/>
        <w:rPr>
          <w:rFonts w:ascii="Arial" w:hAnsi="Arial" w:cs="Arial"/>
          <w:sz w:val="19"/>
          <w:szCs w:val="19"/>
          <w:shd w:val="clear" w:color="auto" w:fill="FFFFFF"/>
        </w:rPr>
      </w:pPr>
      <w:r w:rsidRPr="007C1AA6">
        <w:rPr>
          <w:rStyle w:val="Refdenotaalpie"/>
          <w:rFonts w:ascii="Arial" w:hAnsi="Arial" w:cs="Arial"/>
          <w:sz w:val="19"/>
          <w:szCs w:val="19"/>
        </w:rPr>
        <w:footnoteRef/>
      </w:r>
      <w:r w:rsidRPr="007B28DC">
        <w:rPr>
          <w:rFonts w:ascii="Arial" w:hAnsi="Arial" w:cs="Arial"/>
          <w:sz w:val="19"/>
          <w:szCs w:val="19"/>
        </w:rPr>
        <w:t xml:space="preserve"> Ley 80 de 1993: </w:t>
      </w:r>
      <w:r w:rsidRPr="007B28DC">
        <w:rPr>
          <w:rFonts w:ascii="Arial" w:hAnsi="Arial" w:cs="Arial"/>
          <w:sz w:val="19"/>
          <w:szCs w:val="19"/>
          <w:shd w:val="clear" w:color="auto" w:fill="FFFFFF"/>
        </w:rPr>
        <w:t xml:space="preserve">«Artículo 4. De los derechos y deberes de las entidades estatales. </w:t>
      </w:r>
      <w:r w:rsidRPr="007B28DC">
        <w:rPr>
          <w:rStyle w:val="Textoennegrita"/>
          <w:rFonts w:ascii="Arial" w:hAnsi="Arial" w:cs="Arial"/>
          <w:color w:val="000000"/>
          <w:sz w:val="19"/>
          <w:szCs w:val="19"/>
        </w:rPr>
        <w:t> </w:t>
      </w:r>
      <w:r w:rsidRPr="007B28DC">
        <w:rPr>
          <w:rFonts w:ascii="Arial" w:hAnsi="Arial" w:cs="Arial"/>
          <w:color w:val="000000"/>
          <w:sz w:val="19"/>
          <w:szCs w:val="19"/>
        </w:rPr>
        <w:t>Para la consecución de los fines de que trata el artículo anterior, las entidades estatales:</w:t>
      </w:r>
    </w:p>
    <w:p w14:paraId="1CC55B81" w14:textId="3E816A6B" w:rsidR="005F6462" w:rsidRPr="007B28DC" w:rsidRDefault="005F6462" w:rsidP="007C1AA6">
      <w:pPr>
        <w:pStyle w:val="Textonotapie"/>
        <w:ind w:firstLine="709"/>
        <w:jc w:val="both"/>
        <w:rPr>
          <w:rFonts w:ascii="Arial" w:hAnsi="Arial" w:cs="Arial"/>
          <w:sz w:val="19"/>
          <w:szCs w:val="19"/>
          <w:shd w:val="clear" w:color="auto" w:fill="FFFFFF"/>
        </w:rPr>
      </w:pPr>
      <w:r w:rsidRPr="007B28DC">
        <w:rPr>
          <w:rFonts w:ascii="Arial" w:hAnsi="Arial" w:cs="Arial"/>
          <w:sz w:val="19"/>
          <w:szCs w:val="19"/>
          <w:shd w:val="clear" w:color="auto" w:fill="FFFFFF"/>
        </w:rPr>
        <w:t>[…]</w:t>
      </w:r>
    </w:p>
    <w:p w14:paraId="349E5615" w14:textId="0ECB1C71" w:rsidR="005F6462" w:rsidRPr="007B28DC" w:rsidRDefault="005F6462" w:rsidP="007C1AA6">
      <w:pPr>
        <w:pStyle w:val="Textonotapie"/>
        <w:ind w:firstLine="709"/>
        <w:jc w:val="both"/>
        <w:rPr>
          <w:rFonts w:ascii="Arial" w:hAnsi="Arial" w:cs="Arial"/>
          <w:sz w:val="19"/>
          <w:szCs w:val="19"/>
          <w:shd w:val="clear" w:color="auto" w:fill="FFFFFF"/>
        </w:rPr>
      </w:pPr>
      <w:r w:rsidRPr="007B28DC">
        <w:rPr>
          <w:rFonts w:ascii="Arial" w:hAnsi="Arial" w:cs="Arial"/>
          <w:sz w:val="19"/>
          <w:szCs w:val="19"/>
          <w:shd w:val="clear" w:color="auto" w:fill="FFFFFF"/>
        </w:rPr>
        <w:t xml:space="preserve">» 4º. Adelantaran revisiones periódicas de las obras ejecutadas, servicios prestados, o bienes suministrados, para verificar que ellos cumplan con las condiciones de calidad ofrecidas por los contratistas, y promoverán las acciones de responsabilidad contra estos y sus garantes cuando dichas condiciones no se cumplan. </w:t>
      </w:r>
    </w:p>
    <w:p w14:paraId="1D0B3B57" w14:textId="3E70E978" w:rsidR="005F6462" w:rsidRPr="007B28DC" w:rsidRDefault="005F6462" w:rsidP="007C1AA6">
      <w:pPr>
        <w:pStyle w:val="Textonotapie"/>
        <w:ind w:firstLine="709"/>
        <w:jc w:val="both"/>
        <w:rPr>
          <w:rFonts w:ascii="Arial" w:hAnsi="Arial" w:cs="Arial"/>
          <w:sz w:val="19"/>
          <w:szCs w:val="19"/>
          <w:lang w:val="es-ES"/>
        </w:rPr>
      </w:pPr>
      <w:r w:rsidRPr="007B28DC">
        <w:rPr>
          <w:rFonts w:ascii="Arial" w:hAnsi="Arial" w:cs="Arial"/>
          <w:sz w:val="19"/>
          <w:szCs w:val="19"/>
          <w:shd w:val="clear" w:color="auto" w:fill="FFFFFF"/>
        </w:rPr>
        <w:t xml:space="preserve">» Las revisiones periódicas a que se refiere el presente numeral deberán llevarse a cabo por lo menos una vez cada seis (6) meses durante el termino de vigencia de las garantías».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40902" w14:textId="77777777" w:rsidR="005F6462" w:rsidRDefault="005F6462" w:rsidP="00214878">
    <w:pPr>
      <w:pStyle w:val="Encabezado"/>
    </w:pPr>
    <w:r>
      <w:rPr>
        <w:noProof/>
        <w:lang w:val="en-US"/>
      </w:rPr>
      <w:drawing>
        <wp:anchor distT="0" distB="0" distL="114300" distR="114300" simplePos="0" relativeHeight="251679232" behindDoc="1" locked="0" layoutInCell="1" allowOverlap="1" wp14:anchorId="0CAA5338" wp14:editId="7D47356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20770B" w14:textId="06FFF985" w:rsidR="005F6462" w:rsidRPr="00214878" w:rsidRDefault="005F6462" w:rsidP="0021487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1AF6C7A8"/>
    <w:lvl w:ilvl="0">
      <w:start w:val="1"/>
      <w:numFmt w:val="decimal"/>
      <w:lvlText w:val="%1."/>
      <w:lvlJc w:val="left"/>
      <w:pPr>
        <w:ind w:left="6601" w:hanging="360"/>
      </w:pPr>
      <w:rPr>
        <w:b/>
        <w:color w:val="4E4D4D"/>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3F53BF"/>
    <w:multiLevelType w:val="multilevel"/>
    <w:tmpl w:val="24309AA0"/>
    <w:lvl w:ilvl="0">
      <w:start w:val="2"/>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EE6304E"/>
    <w:multiLevelType w:val="hybridMultilevel"/>
    <w:tmpl w:val="CA940E48"/>
    <w:lvl w:ilvl="0" w:tplc="5212F5BC">
      <w:start w:val="2"/>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2FE5668"/>
    <w:multiLevelType w:val="hybridMultilevel"/>
    <w:tmpl w:val="AC10507A"/>
    <w:lvl w:ilvl="0" w:tplc="78408D9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1A695998"/>
    <w:multiLevelType w:val="multilevel"/>
    <w:tmpl w:val="963E3286"/>
    <w:lvl w:ilvl="0">
      <w:start w:val="3"/>
      <w:numFmt w:val="decimal"/>
      <w:lvlText w:val="%1"/>
      <w:lvlJc w:val="left"/>
      <w:pPr>
        <w:ind w:left="435" w:hanging="435"/>
      </w:pPr>
      <w:rPr>
        <w:rFonts w:hint="default"/>
      </w:rPr>
    </w:lvl>
    <w:lvl w:ilvl="1">
      <w:start w:val="5"/>
      <w:numFmt w:val="decimal"/>
      <w:lvlText w:val="%1.%2"/>
      <w:lvlJc w:val="left"/>
      <w:pPr>
        <w:ind w:left="917" w:hanging="435"/>
      </w:pPr>
      <w:rPr>
        <w:rFonts w:hint="default"/>
      </w:rPr>
    </w:lvl>
    <w:lvl w:ilvl="2">
      <w:start w:val="4"/>
      <w:numFmt w:val="decimal"/>
      <w:lvlText w:val="%1.%2.%3"/>
      <w:lvlJc w:val="left"/>
      <w:pPr>
        <w:ind w:left="1684" w:hanging="720"/>
      </w:pPr>
      <w:rPr>
        <w:rFonts w:hint="default"/>
        <w:b w:val="0"/>
        <w:bCs w:val="0"/>
      </w:rPr>
    </w:lvl>
    <w:lvl w:ilvl="3">
      <w:start w:val="1"/>
      <w:numFmt w:val="decimal"/>
      <w:lvlText w:val="%1.%2.%3.%4"/>
      <w:lvlJc w:val="left"/>
      <w:pPr>
        <w:ind w:left="2166" w:hanging="720"/>
      </w:pPr>
      <w:rPr>
        <w:rFonts w:hint="default"/>
      </w:rPr>
    </w:lvl>
    <w:lvl w:ilvl="4">
      <w:start w:val="1"/>
      <w:numFmt w:val="decimal"/>
      <w:lvlText w:val="%1.%2.%3.%4.%5"/>
      <w:lvlJc w:val="left"/>
      <w:pPr>
        <w:ind w:left="3008" w:hanging="1080"/>
      </w:pPr>
      <w:rPr>
        <w:rFonts w:hint="default"/>
      </w:rPr>
    </w:lvl>
    <w:lvl w:ilvl="5">
      <w:start w:val="1"/>
      <w:numFmt w:val="decimal"/>
      <w:lvlText w:val="%1.%2.%3.%4.%5.%6"/>
      <w:lvlJc w:val="left"/>
      <w:pPr>
        <w:ind w:left="3490" w:hanging="1080"/>
      </w:pPr>
      <w:rPr>
        <w:rFonts w:hint="default"/>
      </w:rPr>
    </w:lvl>
    <w:lvl w:ilvl="6">
      <w:start w:val="1"/>
      <w:numFmt w:val="decimal"/>
      <w:lvlText w:val="%1.%2.%3.%4.%5.%6.%7"/>
      <w:lvlJc w:val="left"/>
      <w:pPr>
        <w:ind w:left="4332" w:hanging="1440"/>
      </w:pPr>
      <w:rPr>
        <w:rFonts w:hint="default"/>
      </w:rPr>
    </w:lvl>
    <w:lvl w:ilvl="7">
      <w:start w:val="1"/>
      <w:numFmt w:val="decimal"/>
      <w:lvlText w:val="%1.%2.%3.%4.%5.%6.%7.%8"/>
      <w:lvlJc w:val="left"/>
      <w:pPr>
        <w:ind w:left="4814" w:hanging="1440"/>
      </w:pPr>
      <w:rPr>
        <w:rFonts w:hint="default"/>
      </w:rPr>
    </w:lvl>
    <w:lvl w:ilvl="8">
      <w:start w:val="1"/>
      <w:numFmt w:val="decimal"/>
      <w:lvlText w:val="%1.%2.%3.%4.%5.%6.%7.%8.%9"/>
      <w:lvlJc w:val="left"/>
      <w:pPr>
        <w:ind w:left="5656" w:hanging="1800"/>
      </w:pPr>
      <w:rPr>
        <w:rFonts w:hint="default"/>
      </w:rPr>
    </w:lvl>
  </w:abstractNum>
  <w:abstractNum w:abstractNumId="5" w15:restartNumberingAfterBreak="0">
    <w:nsid w:val="26C04FD4"/>
    <w:multiLevelType w:val="hybridMultilevel"/>
    <w:tmpl w:val="D09454C0"/>
    <w:lvl w:ilvl="0" w:tplc="0024C504">
      <w:start w:val="2"/>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8D6608E"/>
    <w:multiLevelType w:val="hybridMultilevel"/>
    <w:tmpl w:val="C864379C"/>
    <w:lvl w:ilvl="0" w:tplc="0C927E24">
      <w:start w:val="2"/>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8FC776C"/>
    <w:multiLevelType w:val="multilevel"/>
    <w:tmpl w:val="DD4C4ACE"/>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0624A63"/>
    <w:multiLevelType w:val="hybridMultilevel"/>
    <w:tmpl w:val="15C81798"/>
    <w:lvl w:ilvl="0" w:tplc="556CA234">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36B4FFC"/>
    <w:multiLevelType w:val="hybridMultilevel"/>
    <w:tmpl w:val="9334BE52"/>
    <w:lvl w:ilvl="0" w:tplc="8C7019C8">
      <w:start w:val="2"/>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4C80B2A"/>
    <w:multiLevelType w:val="hybridMultilevel"/>
    <w:tmpl w:val="0096DB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DF1E13"/>
    <w:multiLevelType w:val="hybridMultilevel"/>
    <w:tmpl w:val="92BA59B4"/>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C3A4525"/>
    <w:multiLevelType w:val="hybridMultilevel"/>
    <w:tmpl w:val="ADD2DD70"/>
    <w:lvl w:ilvl="0" w:tplc="9B18833A">
      <w:start w:val="1"/>
      <w:numFmt w:val="decimal"/>
      <w:lvlText w:val="%1."/>
      <w:lvlJc w:val="left"/>
      <w:pPr>
        <w:ind w:left="709" w:hanging="360"/>
      </w:pPr>
      <w:rPr>
        <w:rFonts w:hint="default"/>
      </w:rPr>
    </w:lvl>
    <w:lvl w:ilvl="1" w:tplc="240A0019" w:tentative="1">
      <w:start w:val="1"/>
      <w:numFmt w:val="lowerLetter"/>
      <w:lvlText w:val="%2."/>
      <w:lvlJc w:val="left"/>
      <w:pPr>
        <w:ind w:left="1429" w:hanging="360"/>
      </w:pPr>
    </w:lvl>
    <w:lvl w:ilvl="2" w:tplc="240A001B" w:tentative="1">
      <w:start w:val="1"/>
      <w:numFmt w:val="lowerRoman"/>
      <w:lvlText w:val="%3."/>
      <w:lvlJc w:val="right"/>
      <w:pPr>
        <w:ind w:left="2149" w:hanging="180"/>
      </w:pPr>
    </w:lvl>
    <w:lvl w:ilvl="3" w:tplc="240A000F" w:tentative="1">
      <w:start w:val="1"/>
      <w:numFmt w:val="decimal"/>
      <w:lvlText w:val="%4."/>
      <w:lvlJc w:val="left"/>
      <w:pPr>
        <w:ind w:left="2869" w:hanging="360"/>
      </w:pPr>
    </w:lvl>
    <w:lvl w:ilvl="4" w:tplc="240A0019" w:tentative="1">
      <w:start w:val="1"/>
      <w:numFmt w:val="lowerLetter"/>
      <w:lvlText w:val="%5."/>
      <w:lvlJc w:val="left"/>
      <w:pPr>
        <w:ind w:left="3589" w:hanging="360"/>
      </w:pPr>
    </w:lvl>
    <w:lvl w:ilvl="5" w:tplc="240A001B" w:tentative="1">
      <w:start w:val="1"/>
      <w:numFmt w:val="lowerRoman"/>
      <w:lvlText w:val="%6."/>
      <w:lvlJc w:val="right"/>
      <w:pPr>
        <w:ind w:left="4309" w:hanging="180"/>
      </w:pPr>
    </w:lvl>
    <w:lvl w:ilvl="6" w:tplc="240A000F" w:tentative="1">
      <w:start w:val="1"/>
      <w:numFmt w:val="decimal"/>
      <w:lvlText w:val="%7."/>
      <w:lvlJc w:val="left"/>
      <w:pPr>
        <w:ind w:left="5029" w:hanging="360"/>
      </w:pPr>
    </w:lvl>
    <w:lvl w:ilvl="7" w:tplc="240A0019" w:tentative="1">
      <w:start w:val="1"/>
      <w:numFmt w:val="lowerLetter"/>
      <w:lvlText w:val="%8."/>
      <w:lvlJc w:val="left"/>
      <w:pPr>
        <w:ind w:left="5749" w:hanging="360"/>
      </w:pPr>
    </w:lvl>
    <w:lvl w:ilvl="8" w:tplc="240A001B" w:tentative="1">
      <w:start w:val="1"/>
      <w:numFmt w:val="lowerRoman"/>
      <w:lvlText w:val="%9."/>
      <w:lvlJc w:val="right"/>
      <w:pPr>
        <w:ind w:left="6469" w:hanging="180"/>
      </w:pPr>
    </w:lvl>
  </w:abstractNum>
  <w:abstractNum w:abstractNumId="15" w15:restartNumberingAfterBreak="0">
    <w:nsid w:val="3F93209B"/>
    <w:multiLevelType w:val="multilevel"/>
    <w:tmpl w:val="6124202A"/>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46C5409E"/>
    <w:multiLevelType w:val="hybridMultilevel"/>
    <w:tmpl w:val="8242A65E"/>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9AC1A1A"/>
    <w:multiLevelType w:val="multilevel"/>
    <w:tmpl w:val="0546864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B98467D"/>
    <w:multiLevelType w:val="hybridMultilevel"/>
    <w:tmpl w:val="BA9449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6C438C"/>
    <w:multiLevelType w:val="multilevel"/>
    <w:tmpl w:val="05BA120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0A64038"/>
    <w:multiLevelType w:val="multilevel"/>
    <w:tmpl w:val="B95A5F7E"/>
    <w:lvl w:ilvl="0">
      <w:start w:val="1"/>
      <w:numFmt w:val="decimal"/>
      <w:lvlText w:val="%1."/>
      <w:lvlJc w:val="left"/>
      <w:pPr>
        <w:ind w:left="6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65" w:hanging="365"/>
      </w:pPr>
      <w:rPr>
        <w:rFonts w:hint="default"/>
        <w:b/>
        <w:bCs/>
        <w:spacing w:val="-1"/>
        <w:w w:val="100"/>
        <w:lang w:val="es-ES" w:eastAsia="en-US" w:bidi="ar-SA"/>
      </w:rPr>
    </w:lvl>
    <w:lvl w:ilvl="2">
      <w:numFmt w:val="bullet"/>
      <w:lvlText w:val="•"/>
      <w:lvlJc w:val="left"/>
      <w:pPr>
        <w:ind w:left="2436" w:hanging="365"/>
      </w:pPr>
      <w:rPr>
        <w:rFonts w:hint="default"/>
        <w:lang w:val="es-ES" w:eastAsia="en-US" w:bidi="ar-SA"/>
      </w:rPr>
    </w:lvl>
    <w:lvl w:ilvl="3">
      <w:numFmt w:val="bullet"/>
      <w:lvlText w:val="•"/>
      <w:lvlJc w:val="left"/>
      <w:pPr>
        <w:ind w:left="3324" w:hanging="365"/>
      </w:pPr>
      <w:rPr>
        <w:rFonts w:hint="default"/>
        <w:lang w:val="es-ES" w:eastAsia="en-US" w:bidi="ar-SA"/>
      </w:rPr>
    </w:lvl>
    <w:lvl w:ilvl="4">
      <w:numFmt w:val="bullet"/>
      <w:lvlText w:val="•"/>
      <w:lvlJc w:val="left"/>
      <w:pPr>
        <w:ind w:left="4212" w:hanging="365"/>
      </w:pPr>
      <w:rPr>
        <w:rFonts w:hint="default"/>
        <w:lang w:val="es-ES" w:eastAsia="en-US" w:bidi="ar-SA"/>
      </w:rPr>
    </w:lvl>
    <w:lvl w:ilvl="5">
      <w:numFmt w:val="bullet"/>
      <w:lvlText w:val="•"/>
      <w:lvlJc w:val="left"/>
      <w:pPr>
        <w:ind w:left="5100" w:hanging="365"/>
      </w:pPr>
      <w:rPr>
        <w:rFonts w:hint="default"/>
        <w:lang w:val="es-ES" w:eastAsia="en-US" w:bidi="ar-SA"/>
      </w:rPr>
    </w:lvl>
    <w:lvl w:ilvl="6">
      <w:numFmt w:val="bullet"/>
      <w:lvlText w:val="•"/>
      <w:lvlJc w:val="left"/>
      <w:pPr>
        <w:ind w:left="5988" w:hanging="365"/>
      </w:pPr>
      <w:rPr>
        <w:rFonts w:hint="default"/>
        <w:lang w:val="es-ES" w:eastAsia="en-US" w:bidi="ar-SA"/>
      </w:rPr>
    </w:lvl>
    <w:lvl w:ilvl="7">
      <w:numFmt w:val="bullet"/>
      <w:lvlText w:val="•"/>
      <w:lvlJc w:val="left"/>
      <w:pPr>
        <w:ind w:left="6876" w:hanging="365"/>
      </w:pPr>
      <w:rPr>
        <w:rFonts w:hint="default"/>
        <w:lang w:val="es-ES" w:eastAsia="en-US" w:bidi="ar-SA"/>
      </w:rPr>
    </w:lvl>
    <w:lvl w:ilvl="8">
      <w:numFmt w:val="bullet"/>
      <w:lvlText w:val="•"/>
      <w:lvlJc w:val="left"/>
      <w:pPr>
        <w:ind w:left="7764" w:hanging="365"/>
      </w:pPr>
      <w:rPr>
        <w:rFonts w:hint="default"/>
        <w:lang w:val="es-ES" w:eastAsia="en-US" w:bidi="ar-SA"/>
      </w:rPr>
    </w:lvl>
  </w:abstractNum>
  <w:abstractNum w:abstractNumId="22" w15:restartNumberingAfterBreak="0">
    <w:nsid w:val="540806E7"/>
    <w:multiLevelType w:val="hybridMultilevel"/>
    <w:tmpl w:val="0E24D76E"/>
    <w:lvl w:ilvl="0" w:tplc="5BDC970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3" w15:restartNumberingAfterBreak="0">
    <w:nsid w:val="54B563F4"/>
    <w:multiLevelType w:val="multilevel"/>
    <w:tmpl w:val="942A7EE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5" w15:restartNumberingAfterBreak="0">
    <w:nsid w:val="5A5700A7"/>
    <w:multiLevelType w:val="hybridMultilevel"/>
    <w:tmpl w:val="622A6754"/>
    <w:lvl w:ilvl="0" w:tplc="F8243C52">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6" w15:restartNumberingAfterBreak="0">
    <w:nsid w:val="5DC52852"/>
    <w:multiLevelType w:val="multilevel"/>
    <w:tmpl w:val="10667D14"/>
    <w:lvl w:ilvl="0">
      <w:start w:val="1"/>
      <w:numFmt w:val="decimal"/>
      <w:lvlText w:val="%1."/>
      <w:lvlJc w:val="left"/>
      <w:pPr>
        <w:ind w:left="644" w:hanging="360"/>
      </w:pPr>
      <w:rPr>
        <w:rFonts w:hint="default"/>
        <w:color w:val="auto"/>
        <w:sz w:val="20"/>
        <w:szCs w:val="20"/>
      </w:rPr>
    </w:lvl>
    <w:lvl w:ilvl="1">
      <w:start w:val="1"/>
      <w:numFmt w:val="decimal"/>
      <w:lvlText w:val="3.%2."/>
      <w:lvlJc w:val="left"/>
      <w:pPr>
        <w:ind w:left="1288" w:hanging="720"/>
      </w:pPr>
      <w:rPr>
        <w:rFonts w:hint="default"/>
        <w:b/>
        <w:i w:val="0"/>
        <w:color w:val="000000"/>
      </w:rPr>
    </w:lvl>
    <w:lvl w:ilvl="2">
      <w:start w:val="1"/>
      <w:numFmt w:val="decimal"/>
      <w:lvlText w:val="3.5.%3."/>
      <w:lvlJc w:val="left"/>
      <w:pPr>
        <w:ind w:left="1248" w:hanging="624"/>
      </w:pPr>
      <w:rPr>
        <w:rFonts w:hint="default"/>
        <w:b w:val="0"/>
        <w:bCs/>
        <w:i w:val="0"/>
      </w:rPr>
    </w:lvl>
    <w:lvl w:ilvl="3">
      <w:start w:val="1"/>
      <w:numFmt w:val="decimal"/>
      <w:lvlText w:val="%1.%2.%3.%4."/>
      <w:lvlJc w:val="left"/>
      <w:pPr>
        <w:ind w:left="1364" w:hanging="1080"/>
      </w:pPr>
      <w:rPr>
        <w:rFonts w:hint="default"/>
        <w:b/>
      </w:rPr>
    </w:lvl>
    <w:lvl w:ilvl="4">
      <w:start w:val="1"/>
      <w:numFmt w:val="decimal"/>
      <w:lvlText w:val="%1.%2.%3.%4.%5."/>
      <w:lvlJc w:val="left"/>
      <w:pPr>
        <w:ind w:left="1364" w:hanging="1080"/>
      </w:pPr>
      <w:rPr>
        <w:rFonts w:hint="default"/>
      </w:rPr>
    </w:lvl>
    <w:lvl w:ilvl="5">
      <w:start w:val="1"/>
      <w:numFmt w:val="decimal"/>
      <w:lvlText w:val="%1.%2.%3.%4.%5.%6."/>
      <w:lvlJc w:val="left"/>
      <w:pPr>
        <w:ind w:left="1724" w:hanging="1440"/>
      </w:pPr>
      <w:rPr>
        <w:rFonts w:hint="default"/>
      </w:rPr>
    </w:lvl>
    <w:lvl w:ilvl="6">
      <w:start w:val="1"/>
      <w:numFmt w:val="decimal"/>
      <w:lvlText w:val="%1.%2.%3.%4.%5.%6.%7."/>
      <w:lvlJc w:val="left"/>
      <w:pPr>
        <w:ind w:left="1724" w:hanging="1440"/>
      </w:pPr>
      <w:rPr>
        <w:rFonts w:hint="default"/>
      </w:rPr>
    </w:lvl>
    <w:lvl w:ilvl="7">
      <w:start w:val="1"/>
      <w:numFmt w:val="decimal"/>
      <w:lvlText w:val="%1.%2.%3.%4.%5.%6.%7.%8."/>
      <w:lvlJc w:val="left"/>
      <w:pPr>
        <w:ind w:left="2084" w:hanging="1800"/>
      </w:pPr>
      <w:rPr>
        <w:rFonts w:hint="default"/>
      </w:rPr>
    </w:lvl>
    <w:lvl w:ilvl="8">
      <w:start w:val="1"/>
      <w:numFmt w:val="decimal"/>
      <w:lvlText w:val="%1.%2.%3.%4.%5.%6.%7.%8.%9."/>
      <w:lvlJc w:val="left"/>
      <w:pPr>
        <w:ind w:left="2084" w:hanging="1800"/>
      </w:pPr>
      <w:rPr>
        <w:rFonts w:hint="default"/>
      </w:rPr>
    </w:lvl>
  </w:abstractNum>
  <w:abstractNum w:abstractNumId="27" w15:restartNumberingAfterBreak="0">
    <w:nsid w:val="6012650E"/>
    <w:multiLevelType w:val="hybridMultilevel"/>
    <w:tmpl w:val="A1DAA0C2"/>
    <w:lvl w:ilvl="0" w:tplc="63E85894">
      <w:start w:val="2"/>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A4B052F"/>
    <w:multiLevelType w:val="hybridMultilevel"/>
    <w:tmpl w:val="5D40EA1C"/>
    <w:lvl w:ilvl="0" w:tplc="54F469E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0" w15:restartNumberingAfterBreak="0">
    <w:nsid w:val="70B22AE4"/>
    <w:multiLevelType w:val="hybridMultilevel"/>
    <w:tmpl w:val="961C3F50"/>
    <w:lvl w:ilvl="0" w:tplc="41023410">
      <w:start w:val="1"/>
      <w:numFmt w:val="upperLetter"/>
      <w:lvlText w:val="%1."/>
      <w:lvlJc w:val="left"/>
      <w:pPr>
        <w:ind w:left="1436" w:hanging="360"/>
      </w:pPr>
      <w:rPr>
        <w:rFonts w:hint="default"/>
      </w:rPr>
    </w:lvl>
    <w:lvl w:ilvl="1" w:tplc="240A0019" w:tentative="1">
      <w:start w:val="1"/>
      <w:numFmt w:val="lowerLetter"/>
      <w:lvlText w:val="%2."/>
      <w:lvlJc w:val="left"/>
      <w:pPr>
        <w:ind w:left="2156" w:hanging="360"/>
      </w:pPr>
    </w:lvl>
    <w:lvl w:ilvl="2" w:tplc="240A001B" w:tentative="1">
      <w:start w:val="1"/>
      <w:numFmt w:val="lowerRoman"/>
      <w:lvlText w:val="%3."/>
      <w:lvlJc w:val="right"/>
      <w:pPr>
        <w:ind w:left="2876" w:hanging="180"/>
      </w:pPr>
    </w:lvl>
    <w:lvl w:ilvl="3" w:tplc="240A000F" w:tentative="1">
      <w:start w:val="1"/>
      <w:numFmt w:val="decimal"/>
      <w:lvlText w:val="%4."/>
      <w:lvlJc w:val="left"/>
      <w:pPr>
        <w:ind w:left="3596" w:hanging="360"/>
      </w:pPr>
    </w:lvl>
    <w:lvl w:ilvl="4" w:tplc="240A0019" w:tentative="1">
      <w:start w:val="1"/>
      <w:numFmt w:val="lowerLetter"/>
      <w:lvlText w:val="%5."/>
      <w:lvlJc w:val="left"/>
      <w:pPr>
        <w:ind w:left="4316" w:hanging="360"/>
      </w:pPr>
    </w:lvl>
    <w:lvl w:ilvl="5" w:tplc="240A001B" w:tentative="1">
      <w:start w:val="1"/>
      <w:numFmt w:val="lowerRoman"/>
      <w:lvlText w:val="%6."/>
      <w:lvlJc w:val="right"/>
      <w:pPr>
        <w:ind w:left="5036" w:hanging="180"/>
      </w:pPr>
    </w:lvl>
    <w:lvl w:ilvl="6" w:tplc="240A000F" w:tentative="1">
      <w:start w:val="1"/>
      <w:numFmt w:val="decimal"/>
      <w:lvlText w:val="%7."/>
      <w:lvlJc w:val="left"/>
      <w:pPr>
        <w:ind w:left="5756" w:hanging="360"/>
      </w:pPr>
    </w:lvl>
    <w:lvl w:ilvl="7" w:tplc="240A0019" w:tentative="1">
      <w:start w:val="1"/>
      <w:numFmt w:val="lowerLetter"/>
      <w:lvlText w:val="%8."/>
      <w:lvlJc w:val="left"/>
      <w:pPr>
        <w:ind w:left="6476" w:hanging="360"/>
      </w:pPr>
    </w:lvl>
    <w:lvl w:ilvl="8" w:tplc="240A001B" w:tentative="1">
      <w:start w:val="1"/>
      <w:numFmt w:val="lowerRoman"/>
      <w:lvlText w:val="%9."/>
      <w:lvlJc w:val="right"/>
      <w:pPr>
        <w:ind w:left="7196" w:hanging="180"/>
      </w:pPr>
    </w:lvl>
  </w:abstractNum>
  <w:abstractNum w:abstractNumId="31" w15:restartNumberingAfterBreak="0">
    <w:nsid w:val="716D1FFB"/>
    <w:multiLevelType w:val="multilevel"/>
    <w:tmpl w:val="399A4B3A"/>
    <w:lvl w:ilvl="0">
      <w:start w:val="2"/>
      <w:numFmt w:val="decimal"/>
      <w:lvlText w:val="%1"/>
      <w:lvlJc w:val="left"/>
      <w:pPr>
        <w:ind w:left="360" w:hanging="360"/>
      </w:pPr>
      <w:rPr>
        <w:rFonts w:hint="default"/>
      </w:rPr>
    </w:lvl>
    <w:lvl w:ilvl="1">
      <w:start w:val="1"/>
      <w:numFmt w:val="decimal"/>
      <w:lvlText w:val="%1.%2"/>
      <w:lvlJc w:val="left"/>
      <w:pPr>
        <w:ind w:left="786" w:hanging="360"/>
      </w:pPr>
      <w:rPr>
        <w:rFonts w:asciiTheme="minorHAnsi" w:hAnsiTheme="minorHAnsi" w:cstheme="minorHAnsi" w:hint="default"/>
        <w:b/>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3AE1FFB"/>
    <w:multiLevelType w:val="hybridMultilevel"/>
    <w:tmpl w:val="E9203122"/>
    <w:lvl w:ilvl="0" w:tplc="96B642FA">
      <w:start w:val="2"/>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403218218">
    <w:abstractNumId w:val="10"/>
  </w:num>
  <w:num w:numId="2" w16cid:durableId="2099522564">
    <w:abstractNumId w:val="9"/>
  </w:num>
  <w:num w:numId="3" w16cid:durableId="1600480287">
    <w:abstractNumId w:val="17"/>
  </w:num>
  <w:num w:numId="4" w16cid:durableId="753429041">
    <w:abstractNumId w:val="24"/>
  </w:num>
  <w:num w:numId="5" w16cid:durableId="203979912">
    <w:abstractNumId w:val="29"/>
  </w:num>
  <w:num w:numId="6" w16cid:durableId="198037954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04371564">
    <w:abstractNumId w:val="25"/>
  </w:num>
  <w:num w:numId="8" w16cid:durableId="1166819141">
    <w:abstractNumId w:val="3"/>
  </w:num>
  <w:num w:numId="9" w16cid:durableId="466122115">
    <w:abstractNumId w:val="28"/>
  </w:num>
  <w:num w:numId="10" w16cid:durableId="1181238756">
    <w:abstractNumId w:val="21"/>
  </w:num>
  <w:num w:numId="11" w16cid:durableId="390810159">
    <w:abstractNumId w:val="18"/>
  </w:num>
  <w:num w:numId="12" w16cid:durableId="1773698424">
    <w:abstractNumId w:val="1"/>
  </w:num>
  <w:num w:numId="13" w16cid:durableId="41906624">
    <w:abstractNumId w:val="19"/>
  </w:num>
  <w:num w:numId="14" w16cid:durableId="1775049502">
    <w:abstractNumId w:val="23"/>
  </w:num>
  <w:num w:numId="15" w16cid:durableId="2071222603">
    <w:abstractNumId w:val="20"/>
  </w:num>
  <w:num w:numId="16" w16cid:durableId="159910099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75264669">
    <w:abstractNumId w:val="7"/>
  </w:num>
  <w:num w:numId="18" w16cid:durableId="97094458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102650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20564284">
    <w:abstractNumId w:val="4"/>
    <w:lvlOverride w:ilvl="0">
      <w:startOverride w:val="3"/>
    </w:lvlOverride>
    <w:lvlOverride w:ilvl="1">
      <w:startOverride w:val="5"/>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3906516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2450135">
    <w:abstractNumId w:val="16"/>
  </w:num>
  <w:num w:numId="23" w16cid:durableId="1857765474">
    <w:abstractNumId w:val="8"/>
  </w:num>
  <w:num w:numId="24" w16cid:durableId="1345866439">
    <w:abstractNumId w:val="31"/>
  </w:num>
  <w:num w:numId="25" w16cid:durableId="1477187532">
    <w:abstractNumId w:val="14"/>
  </w:num>
  <w:num w:numId="26" w16cid:durableId="929243197">
    <w:abstractNumId w:val="22"/>
  </w:num>
  <w:num w:numId="27" w16cid:durableId="1972248473">
    <w:abstractNumId w:val="6"/>
  </w:num>
  <w:num w:numId="28" w16cid:durableId="355929557">
    <w:abstractNumId w:val="5"/>
  </w:num>
  <w:num w:numId="29" w16cid:durableId="1464079487">
    <w:abstractNumId w:val="11"/>
  </w:num>
  <w:num w:numId="30" w16cid:durableId="282419358">
    <w:abstractNumId w:val="32"/>
  </w:num>
  <w:num w:numId="31" w16cid:durableId="951402640">
    <w:abstractNumId w:val="27"/>
  </w:num>
  <w:num w:numId="32" w16cid:durableId="1623076957">
    <w:abstractNumId w:val="2"/>
  </w:num>
  <w:num w:numId="33" w16cid:durableId="18585415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attachedTemplate r:id="rId1"/>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7D"/>
    <w:rsid w:val="00000CD3"/>
    <w:rsid w:val="00000DDB"/>
    <w:rsid w:val="000020FF"/>
    <w:rsid w:val="00002386"/>
    <w:rsid w:val="00007845"/>
    <w:rsid w:val="00015DF9"/>
    <w:rsid w:val="00022430"/>
    <w:rsid w:val="00023BE4"/>
    <w:rsid w:val="00023C87"/>
    <w:rsid w:val="0002551F"/>
    <w:rsid w:val="000261BB"/>
    <w:rsid w:val="000268D8"/>
    <w:rsid w:val="0003099A"/>
    <w:rsid w:val="00031FC6"/>
    <w:rsid w:val="0003293F"/>
    <w:rsid w:val="00033B21"/>
    <w:rsid w:val="00033F9B"/>
    <w:rsid w:val="00035210"/>
    <w:rsid w:val="00036204"/>
    <w:rsid w:val="0004125C"/>
    <w:rsid w:val="00043688"/>
    <w:rsid w:val="0004523D"/>
    <w:rsid w:val="00051B4F"/>
    <w:rsid w:val="0005490A"/>
    <w:rsid w:val="00054A7B"/>
    <w:rsid w:val="00056788"/>
    <w:rsid w:val="00060398"/>
    <w:rsid w:val="00060721"/>
    <w:rsid w:val="000624FC"/>
    <w:rsid w:val="000626DD"/>
    <w:rsid w:val="00064B28"/>
    <w:rsid w:val="00064E2F"/>
    <w:rsid w:val="000709B9"/>
    <w:rsid w:val="00071077"/>
    <w:rsid w:val="00071287"/>
    <w:rsid w:val="000738A4"/>
    <w:rsid w:val="00074108"/>
    <w:rsid w:val="000743F8"/>
    <w:rsid w:val="00075235"/>
    <w:rsid w:val="00077A71"/>
    <w:rsid w:val="000821B3"/>
    <w:rsid w:val="00084AF1"/>
    <w:rsid w:val="00086C1E"/>
    <w:rsid w:val="000902E3"/>
    <w:rsid w:val="0009126C"/>
    <w:rsid w:val="00091F03"/>
    <w:rsid w:val="00092172"/>
    <w:rsid w:val="00092C97"/>
    <w:rsid w:val="0009313D"/>
    <w:rsid w:val="0009351A"/>
    <w:rsid w:val="000942EB"/>
    <w:rsid w:val="00094FF9"/>
    <w:rsid w:val="000950AA"/>
    <w:rsid w:val="00095F29"/>
    <w:rsid w:val="00097B96"/>
    <w:rsid w:val="000A0382"/>
    <w:rsid w:val="000A1DB4"/>
    <w:rsid w:val="000A20ED"/>
    <w:rsid w:val="000A300E"/>
    <w:rsid w:val="000A3D48"/>
    <w:rsid w:val="000A4AA5"/>
    <w:rsid w:val="000A6FC7"/>
    <w:rsid w:val="000A785D"/>
    <w:rsid w:val="000B103F"/>
    <w:rsid w:val="000B1F29"/>
    <w:rsid w:val="000B2127"/>
    <w:rsid w:val="000B3C08"/>
    <w:rsid w:val="000B5754"/>
    <w:rsid w:val="000B6AB4"/>
    <w:rsid w:val="000C0959"/>
    <w:rsid w:val="000C19E1"/>
    <w:rsid w:val="000C3861"/>
    <w:rsid w:val="000C3872"/>
    <w:rsid w:val="000C400F"/>
    <w:rsid w:val="000C6F8D"/>
    <w:rsid w:val="000C7696"/>
    <w:rsid w:val="000C77F0"/>
    <w:rsid w:val="000D02B3"/>
    <w:rsid w:val="000D3A92"/>
    <w:rsid w:val="000D4A92"/>
    <w:rsid w:val="000E0550"/>
    <w:rsid w:val="000E1BF2"/>
    <w:rsid w:val="000E1FCB"/>
    <w:rsid w:val="000E2D78"/>
    <w:rsid w:val="000E4B5C"/>
    <w:rsid w:val="000E5799"/>
    <w:rsid w:val="000E699E"/>
    <w:rsid w:val="000E730C"/>
    <w:rsid w:val="000E7352"/>
    <w:rsid w:val="000E7F0F"/>
    <w:rsid w:val="000F14E8"/>
    <w:rsid w:val="000F18A6"/>
    <w:rsid w:val="000F22D6"/>
    <w:rsid w:val="000F4EAF"/>
    <w:rsid w:val="00101C4D"/>
    <w:rsid w:val="00103915"/>
    <w:rsid w:val="001055F3"/>
    <w:rsid w:val="001069A9"/>
    <w:rsid w:val="00110320"/>
    <w:rsid w:val="001103A2"/>
    <w:rsid w:val="00112839"/>
    <w:rsid w:val="00113958"/>
    <w:rsid w:val="00113AFB"/>
    <w:rsid w:val="00121CD3"/>
    <w:rsid w:val="00122B23"/>
    <w:rsid w:val="00123889"/>
    <w:rsid w:val="00125924"/>
    <w:rsid w:val="00125C5F"/>
    <w:rsid w:val="00130EF4"/>
    <w:rsid w:val="001353DC"/>
    <w:rsid w:val="0013568D"/>
    <w:rsid w:val="0013799F"/>
    <w:rsid w:val="00137FFA"/>
    <w:rsid w:val="00140570"/>
    <w:rsid w:val="001407F6"/>
    <w:rsid w:val="00140A32"/>
    <w:rsid w:val="00141FAC"/>
    <w:rsid w:val="001428A2"/>
    <w:rsid w:val="00145C2E"/>
    <w:rsid w:val="00146306"/>
    <w:rsid w:val="001500AE"/>
    <w:rsid w:val="00151923"/>
    <w:rsid w:val="00152AD5"/>
    <w:rsid w:val="001550A3"/>
    <w:rsid w:val="00156A2A"/>
    <w:rsid w:val="00161B7E"/>
    <w:rsid w:val="00163902"/>
    <w:rsid w:val="00166B32"/>
    <w:rsid w:val="00172E61"/>
    <w:rsid w:val="001737C9"/>
    <w:rsid w:val="00175FDC"/>
    <w:rsid w:val="00176817"/>
    <w:rsid w:val="0018007B"/>
    <w:rsid w:val="001821C5"/>
    <w:rsid w:val="00185A27"/>
    <w:rsid w:val="001929F9"/>
    <w:rsid w:val="00193DFB"/>
    <w:rsid w:val="00193EFC"/>
    <w:rsid w:val="00195745"/>
    <w:rsid w:val="001973B7"/>
    <w:rsid w:val="001A1A18"/>
    <w:rsid w:val="001A2276"/>
    <w:rsid w:val="001A36B8"/>
    <w:rsid w:val="001A695E"/>
    <w:rsid w:val="001A6D50"/>
    <w:rsid w:val="001A7009"/>
    <w:rsid w:val="001B493A"/>
    <w:rsid w:val="001B5E28"/>
    <w:rsid w:val="001B6613"/>
    <w:rsid w:val="001C01AC"/>
    <w:rsid w:val="001C092E"/>
    <w:rsid w:val="001C611F"/>
    <w:rsid w:val="001C6B55"/>
    <w:rsid w:val="001D088A"/>
    <w:rsid w:val="001D175D"/>
    <w:rsid w:val="001D1E03"/>
    <w:rsid w:val="001D5178"/>
    <w:rsid w:val="001D5C4D"/>
    <w:rsid w:val="001E0B25"/>
    <w:rsid w:val="001E0E4F"/>
    <w:rsid w:val="001E1DB9"/>
    <w:rsid w:val="001E62AF"/>
    <w:rsid w:val="001F07C0"/>
    <w:rsid w:val="001F2A9C"/>
    <w:rsid w:val="001F6CA5"/>
    <w:rsid w:val="001F7686"/>
    <w:rsid w:val="002002A3"/>
    <w:rsid w:val="00202A08"/>
    <w:rsid w:val="00202DB3"/>
    <w:rsid w:val="00202F2E"/>
    <w:rsid w:val="002041CC"/>
    <w:rsid w:val="002109B6"/>
    <w:rsid w:val="0021312A"/>
    <w:rsid w:val="0021354E"/>
    <w:rsid w:val="00213765"/>
    <w:rsid w:val="00214878"/>
    <w:rsid w:val="00215E47"/>
    <w:rsid w:val="0022174A"/>
    <w:rsid w:val="00221DB1"/>
    <w:rsid w:val="00222E78"/>
    <w:rsid w:val="00224AFF"/>
    <w:rsid w:val="00233154"/>
    <w:rsid w:val="00233D41"/>
    <w:rsid w:val="002346FC"/>
    <w:rsid w:val="00234B84"/>
    <w:rsid w:val="00237377"/>
    <w:rsid w:val="0024024C"/>
    <w:rsid w:val="00240C0E"/>
    <w:rsid w:val="002411E9"/>
    <w:rsid w:val="0024158B"/>
    <w:rsid w:val="0024213C"/>
    <w:rsid w:val="00242ED7"/>
    <w:rsid w:val="0024480D"/>
    <w:rsid w:val="002451C1"/>
    <w:rsid w:val="002454B3"/>
    <w:rsid w:val="0024669C"/>
    <w:rsid w:val="002501E7"/>
    <w:rsid w:val="00250EB5"/>
    <w:rsid w:val="00252B8B"/>
    <w:rsid w:val="0025799B"/>
    <w:rsid w:val="00260125"/>
    <w:rsid w:val="0026156A"/>
    <w:rsid w:val="0026186C"/>
    <w:rsid w:val="00261A2E"/>
    <w:rsid w:val="002630D9"/>
    <w:rsid w:val="00263252"/>
    <w:rsid w:val="002706B4"/>
    <w:rsid w:val="00271593"/>
    <w:rsid w:val="00273950"/>
    <w:rsid w:val="00274B3E"/>
    <w:rsid w:val="00275DB5"/>
    <w:rsid w:val="00277E34"/>
    <w:rsid w:val="00280E65"/>
    <w:rsid w:val="0028451A"/>
    <w:rsid w:val="00286EF9"/>
    <w:rsid w:val="00287A42"/>
    <w:rsid w:val="00291854"/>
    <w:rsid w:val="002918F7"/>
    <w:rsid w:val="00294025"/>
    <w:rsid w:val="00294A08"/>
    <w:rsid w:val="00294B09"/>
    <w:rsid w:val="00294E58"/>
    <w:rsid w:val="002A2CEC"/>
    <w:rsid w:val="002A31F8"/>
    <w:rsid w:val="002A36A9"/>
    <w:rsid w:val="002A4D54"/>
    <w:rsid w:val="002A62A8"/>
    <w:rsid w:val="002B207F"/>
    <w:rsid w:val="002B3D4E"/>
    <w:rsid w:val="002B4EBC"/>
    <w:rsid w:val="002B79DC"/>
    <w:rsid w:val="002C45D9"/>
    <w:rsid w:val="002C71CA"/>
    <w:rsid w:val="002C7B84"/>
    <w:rsid w:val="002C7E55"/>
    <w:rsid w:val="002C7E5B"/>
    <w:rsid w:val="002D1AA6"/>
    <w:rsid w:val="002D7A0C"/>
    <w:rsid w:val="002E000E"/>
    <w:rsid w:val="002E1753"/>
    <w:rsid w:val="002E5D84"/>
    <w:rsid w:val="002E709C"/>
    <w:rsid w:val="002E7375"/>
    <w:rsid w:val="002E7617"/>
    <w:rsid w:val="002E79A9"/>
    <w:rsid w:val="002F2195"/>
    <w:rsid w:val="002F3127"/>
    <w:rsid w:val="002F33C3"/>
    <w:rsid w:val="002F3B3F"/>
    <w:rsid w:val="002F723E"/>
    <w:rsid w:val="002F77A1"/>
    <w:rsid w:val="002F7913"/>
    <w:rsid w:val="00300384"/>
    <w:rsid w:val="003011A3"/>
    <w:rsid w:val="00302E0A"/>
    <w:rsid w:val="00303001"/>
    <w:rsid w:val="003033BA"/>
    <w:rsid w:val="00305947"/>
    <w:rsid w:val="00306259"/>
    <w:rsid w:val="003067C4"/>
    <w:rsid w:val="00306FCD"/>
    <w:rsid w:val="0031354B"/>
    <w:rsid w:val="00313908"/>
    <w:rsid w:val="003159B5"/>
    <w:rsid w:val="00315C98"/>
    <w:rsid w:val="00316518"/>
    <w:rsid w:val="003177B8"/>
    <w:rsid w:val="00321084"/>
    <w:rsid w:val="00321A6D"/>
    <w:rsid w:val="00323084"/>
    <w:rsid w:val="00330E9B"/>
    <w:rsid w:val="00333360"/>
    <w:rsid w:val="0033352A"/>
    <w:rsid w:val="00333538"/>
    <w:rsid w:val="00333DA4"/>
    <w:rsid w:val="00333DBC"/>
    <w:rsid w:val="00334344"/>
    <w:rsid w:val="00342C0D"/>
    <w:rsid w:val="00345AC9"/>
    <w:rsid w:val="003463D9"/>
    <w:rsid w:val="0034680A"/>
    <w:rsid w:val="00346DA2"/>
    <w:rsid w:val="003471F9"/>
    <w:rsid w:val="00350DDF"/>
    <w:rsid w:val="00352311"/>
    <w:rsid w:val="00352D00"/>
    <w:rsid w:val="0035408A"/>
    <w:rsid w:val="003559ED"/>
    <w:rsid w:val="003569FD"/>
    <w:rsid w:val="00356E6F"/>
    <w:rsid w:val="00356FAB"/>
    <w:rsid w:val="00361BB8"/>
    <w:rsid w:val="003644CA"/>
    <w:rsid w:val="003657FD"/>
    <w:rsid w:val="00366E1B"/>
    <w:rsid w:val="00367DDB"/>
    <w:rsid w:val="0037000E"/>
    <w:rsid w:val="0037129B"/>
    <w:rsid w:val="003751BE"/>
    <w:rsid w:val="003846C5"/>
    <w:rsid w:val="00386456"/>
    <w:rsid w:val="00387590"/>
    <w:rsid w:val="00391644"/>
    <w:rsid w:val="003925E0"/>
    <w:rsid w:val="00392F03"/>
    <w:rsid w:val="00393C53"/>
    <w:rsid w:val="003945B8"/>
    <w:rsid w:val="003A1AAE"/>
    <w:rsid w:val="003A299C"/>
    <w:rsid w:val="003A581E"/>
    <w:rsid w:val="003A6038"/>
    <w:rsid w:val="003B0B5A"/>
    <w:rsid w:val="003B0B8D"/>
    <w:rsid w:val="003B2D22"/>
    <w:rsid w:val="003B4F39"/>
    <w:rsid w:val="003B5BB8"/>
    <w:rsid w:val="003B743E"/>
    <w:rsid w:val="003B7F82"/>
    <w:rsid w:val="003C07D6"/>
    <w:rsid w:val="003C5438"/>
    <w:rsid w:val="003D14E8"/>
    <w:rsid w:val="003D3DAE"/>
    <w:rsid w:val="003D456C"/>
    <w:rsid w:val="003D7759"/>
    <w:rsid w:val="003E2919"/>
    <w:rsid w:val="003E3083"/>
    <w:rsid w:val="003E54F9"/>
    <w:rsid w:val="003E6461"/>
    <w:rsid w:val="003F1231"/>
    <w:rsid w:val="003F2F99"/>
    <w:rsid w:val="003F48A0"/>
    <w:rsid w:val="003F5766"/>
    <w:rsid w:val="003F6F8C"/>
    <w:rsid w:val="00400DDE"/>
    <w:rsid w:val="00405662"/>
    <w:rsid w:val="00406008"/>
    <w:rsid w:val="00407293"/>
    <w:rsid w:val="00407636"/>
    <w:rsid w:val="00410870"/>
    <w:rsid w:val="00410920"/>
    <w:rsid w:val="00411B30"/>
    <w:rsid w:val="0041218E"/>
    <w:rsid w:val="0041247F"/>
    <w:rsid w:val="00412C58"/>
    <w:rsid w:val="00414A77"/>
    <w:rsid w:val="00415395"/>
    <w:rsid w:val="00416413"/>
    <w:rsid w:val="00416AC0"/>
    <w:rsid w:val="00416B88"/>
    <w:rsid w:val="00417402"/>
    <w:rsid w:val="00421001"/>
    <w:rsid w:val="0042114E"/>
    <w:rsid w:val="00425C7A"/>
    <w:rsid w:val="004268A3"/>
    <w:rsid w:val="00427E90"/>
    <w:rsid w:val="0043152C"/>
    <w:rsid w:val="00432163"/>
    <w:rsid w:val="00434829"/>
    <w:rsid w:val="004348F9"/>
    <w:rsid w:val="00434BC9"/>
    <w:rsid w:val="00440BFC"/>
    <w:rsid w:val="00441274"/>
    <w:rsid w:val="0044200A"/>
    <w:rsid w:val="004422D6"/>
    <w:rsid w:val="00443F10"/>
    <w:rsid w:val="00444865"/>
    <w:rsid w:val="00445186"/>
    <w:rsid w:val="00445F18"/>
    <w:rsid w:val="004513E8"/>
    <w:rsid w:val="004537E9"/>
    <w:rsid w:val="00454947"/>
    <w:rsid w:val="00457177"/>
    <w:rsid w:val="004573A5"/>
    <w:rsid w:val="00460793"/>
    <w:rsid w:val="004619B2"/>
    <w:rsid w:val="00462527"/>
    <w:rsid w:val="00463385"/>
    <w:rsid w:val="00466E78"/>
    <w:rsid w:val="00467950"/>
    <w:rsid w:val="00467F4F"/>
    <w:rsid w:val="00473A25"/>
    <w:rsid w:val="00474EFB"/>
    <w:rsid w:val="00475159"/>
    <w:rsid w:val="00477B6D"/>
    <w:rsid w:val="00477DEE"/>
    <w:rsid w:val="00481988"/>
    <w:rsid w:val="004823BF"/>
    <w:rsid w:val="00482C4B"/>
    <w:rsid w:val="00483490"/>
    <w:rsid w:val="00485AE3"/>
    <w:rsid w:val="00487048"/>
    <w:rsid w:val="0048775B"/>
    <w:rsid w:val="00490869"/>
    <w:rsid w:val="0049197E"/>
    <w:rsid w:val="004A1580"/>
    <w:rsid w:val="004A214E"/>
    <w:rsid w:val="004A34D2"/>
    <w:rsid w:val="004A51B7"/>
    <w:rsid w:val="004B0F82"/>
    <w:rsid w:val="004B1AFD"/>
    <w:rsid w:val="004B6213"/>
    <w:rsid w:val="004B62BE"/>
    <w:rsid w:val="004C035A"/>
    <w:rsid w:val="004C35C3"/>
    <w:rsid w:val="004C39C9"/>
    <w:rsid w:val="004C3E24"/>
    <w:rsid w:val="004C56C4"/>
    <w:rsid w:val="004C64DF"/>
    <w:rsid w:val="004C6B9C"/>
    <w:rsid w:val="004D021E"/>
    <w:rsid w:val="004D2202"/>
    <w:rsid w:val="004D2FE0"/>
    <w:rsid w:val="004D4D4E"/>
    <w:rsid w:val="004E2DEA"/>
    <w:rsid w:val="004E420A"/>
    <w:rsid w:val="004E51E3"/>
    <w:rsid w:val="004E5772"/>
    <w:rsid w:val="004E6117"/>
    <w:rsid w:val="004F128E"/>
    <w:rsid w:val="004F1A74"/>
    <w:rsid w:val="004F2FA6"/>
    <w:rsid w:val="004F3CEB"/>
    <w:rsid w:val="004F3E22"/>
    <w:rsid w:val="004F4091"/>
    <w:rsid w:val="004F6430"/>
    <w:rsid w:val="004F6E46"/>
    <w:rsid w:val="004F7336"/>
    <w:rsid w:val="00500709"/>
    <w:rsid w:val="00500C4E"/>
    <w:rsid w:val="0050193D"/>
    <w:rsid w:val="0050196E"/>
    <w:rsid w:val="00501AD2"/>
    <w:rsid w:val="00502A6F"/>
    <w:rsid w:val="00502A9D"/>
    <w:rsid w:val="0050434E"/>
    <w:rsid w:val="00504B90"/>
    <w:rsid w:val="0051074C"/>
    <w:rsid w:val="00510EAF"/>
    <w:rsid w:val="00511ACB"/>
    <w:rsid w:val="00512714"/>
    <w:rsid w:val="00513363"/>
    <w:rsid w:val="00513AF2"/>
    <w:rsid w:val="0051416A"/>
    <w:rsid w:val="00516EA3"/>
    <w:rsid w:val="00517425"/>
    <w:rsid w:val="00517832"/>
    <w:rsid w:val="00525C51"/>
    <w:rsid w:val="00526D46"/>
    <w:rsid w:val="00531345"/>
    <w:rsid w:val="005318F6"/>
    <w:rsid w:val="00531A19"/>
    <w:rsid w:val="0053303D"/>
    <w:rsid w:val="005356EA"/>
    <w:rsid w:val="00536637"/>
    <w:rsid w:val="0053681E"/>
    <w:rsid w:val="00537683"/>
    <w:rsid w:val="00541DD0"/>
    <w:rsid w:val="0054229C"/>
    <w:rsid w:val="00542514"/>
    <w:rsid w:val="005427CF"/>
    <w:rsid w:val="005428CA"/>
    <w:rsid w:val="0054315A"/>
    <w:rsid w:val="00543CC9"/>
    <w:rsid w:val="0054413A"/>
    <w:rsid w:val="0054602D"/>
    <w:rsid w:val="00546A8C"/>
    <w:rsid w:val="00546CA7"/>
    <w:rsid w:val="00547137"/>
    <w:rsid w:val="00550BD9"/>
    <w:rsid w:val="00550FD8"/>
    <w:rsid w:val="00551AEB"/>
    <w:rsid w:val="00553EAD"/>
    <w:rsid w:val="005546BF"/>
    <w:rsid w:val="005564CA"/>
    <w:rsid w:val="0055779C"/>
    <w:rsid w:val="00557C64"/>
    <w:rsid w:val="005637B5"/>
    <w:rsid w:val="0057006A"/>
    <w:rsid w:val="00570241"/>
    <w:rsid w:val="00572EF9"/>
    <w:rsid w:val="005747F3"/>
    <w:rsid w:val="00574D76"/>
    <w:rsid w:val="00576A4A"/>
    <w:rsid w:val="00577104"/>
    <w:rsid w:val="00577185"/>
    <w:rsid w:val="00581EEC"/>
    <w:rsid w:val="00590087"/>
    <w:rsid w:val="005909E4"/>
    <w:rsid w:val="00590CFC"/>
    <w:rsid w:val="00592702"/>
    <w:rsid w:val="00592E79"/>
    <w:rsid w:val="005932FE"/>
    <w:rsid w:val="00593652"/>
    <w:rsid w:val="00595AF8"/>
    <w:rsid w:val="005A0AC1"/>
    <w:rsid w:val="005A1E1D"/>
    <w:rsid w:val="005A3893"/>
    <w:rsid w:val="005A4AEC"/>
    <w:rsid w:val="005A7711"/>
    <w:rsid w:val="005B0CD4"/>
    <w:rsid w:val="005B11C6"/>
    <w:rsid w:val="005B20E7"/>
    <w:rsid w:val="005B27C3"/>
    <w:rsid w:val="005B2CF7"/>
    <w:rsid w:val="005B2F7D"/>
    <w:rsid w:val="005B37EA"/>
    <w:rsid w:val="005B57CE"/>
    <w:rsid w:val="005B5B7D"/>
    <w:rsid w:val="005C1FC3"/>
    <w:rsid w:val="005C3EA1"/>
    <w:rsid w:val="005C4795"/>
    <w:rsid w:val="005C4E28"/>
    <w:rsid w:val="005C50CF"/>
    <w:rsid w:val="005C6805"/>
    <w:rsid w:val="005C6BD0"/>
    <w:rsid w:val="005C7609"/>
    <w:rsid w:val="005C7CDD"/>
    <w:rsid w:val="005D096F"/>
    <w:rsid w:val="005D1B45"/>
    <w:rsid w:val="005D25BD"/>
    <w:rsid w:val="005D2E6E"/>
    <w:rsid w:val="005D4405"/>
    <w:rsid w:val="005D4488"/>
    <w:rsid w:val="005E3FDC"/>
    <w:rsid w:val="005E5A01"/>
    <w:rsid w:val="005E5AD9"/>
    <w:rsid w:val="005E7B0B"/>
    <w:rsid w:val="005F05AC"/>
    <w:rsid w:val="005F3841"/>
    <w:rsid w:val="005F6462"/>
    <w:rsid w:val="00600AC5"/>
    <w:rsid w:val="00601402"/>
    <w:rsid w:val="00601EE4"/>
    <w:rsid w:val="00603487"/>
    <w:rsid w:val="006043A3"/>
    <w:rsid w:val="00604F33"/>
    <w:rsid w:val="00615A40"/>
    <w:rsid w:val="00616FE7"/>
    <w:rsid w:val="0062065E"/>
    <w:rsid w:val="0062127A"/>
    <w:rsid w:val="00621E35"/>
    <w:rsid w:val="0062303B"/>
    <w:rsid w:val="0062539B"/>
    <w:rsid w:val="00627D61"/>
    <w:rsid w:val="00630230"/>
    <w:rsid w:val="00632B90"/>
    <w:rsid w:val="00636072"/>
    <w:rsid w:val="0063778D"/>
    <w:rsid w:val="006378B6"/>
    <w:rsid w:val="00637AC0"/>
    <w:rsid w:val="00640226"/>
    <w:rsid w:val="006402FD"/>
    <w:rsid w:val="00642C9D"/>
    <w:rsid w:val="00643774"/>
    <w:rsid w:val="00644299"/>
    <w:rsid w:val="006442AE"/>
    <w:rsid w:val="00645D51"/>
    <w:rsid w:val="006535D1"/>
    <w:rsid w:val="00653A0D"/>
    <w:rsid w:val="00654AA6"/>
    <w:rsid w:val="006551DC"/>
    <w:rsid w:val="00655371"/>
    <w:rsid w:val="00656629"/>
    <w:rsid w:val="00657AFA"/>
    <w:rsid w:val="0066034E"/>
    <w:rsid w:val="006608BE"/>
    <w:rsid w:val="00660E4B"/>
    <w:rsid w:val="00662A05"/>
    <w:rsid w:val="00672538"/>
    <w:rsid w:val="0067336C"/>
    <w:rsid w:val="006735A6"/>
    <w:rsid w:val="006754C6"/>
    <w:rsid w:val="00676504"/>
    <w:rsid w:val="00676EE8"/>
    <w:rsid w:val="0067722F"/>
    <w:rsid w:val="006778AF"/>
    <w:rsid w:val="006819F5"/>
    <w:rsid w:val="00685F97"/>
    <w:rsid w:val="00687EC0"/>
    <w:rsid w:val="00690936"/>
    <w:rsid w:val="00695958"/>
    <w:rsid w:val="00697665"/>
    <w:rsid w:val="006A07D6"/>
    <w:rsid w:val="006A1F7F"/>
    <w:rsid w:val="006A5A2E"/>
    <w:rsid w:val="006A61EC"/>
    <w:rsid w:val="006A7FD0"/>
    <w:rsid w:val="006B06BF"/>
    <w:rsid w:val="006B200D"/>
    <w:rsid w:val="006B2ADC"/>
    <w:rsid w:val="006B6ED7"/>
    <w:rsid w:val="006C0B8D"/>
    <w:rsid w:val="006C1038"/>
    <w:rsid w:val="006C1231"/>
    <w:rsid w:val="006C6528"/>
    <w:rsid w:val="006C68E6"/>
    <w:rsid w:val="006C731D"/>
    <w:rsid w:val="006D1702"/>
    <w:rsid w:val="006D1878"/>
    <w:rsid w:val="006D1D47"/>
    <w:rsid w:val="006D1FC7"/>
    <w:rsid w:val="006D32A2"/>
    <w:rsid w:val="006D7687"/>
    <w:rsid w:val="006D79C0"/>
    <w:rsid w:val="006E0572"/>
    <w:rsid w:val="006E0DD1"/>
    <w:rsid w:val="006E39EA"/>
    <w:rsid w:val="006E65A3"/>
    <w:rsid w:val="006E75A3"/>
    <w:rsid w:val="006F1F20"/>
    <w:rsid w:val="006F5CF0"/>
    <w:rsid w:val="006F5D44"/>
    <w:rsid w:val="006F6BD6"/>
    <w:rsid w:val="006F7B68"/>
    <w:rsid w:val="006F7C6D"/>
    <w:rsid w:val="006F7E30"/>
    <w:rsid w:val="00700D9E"/>
    <w:rsid w:val="00702D5D"/>
    <w:rsid w:val="00704381"/>
    <w:rsid w:val="00704921"/>
    <w:rsid w:val="00704B0B"/>
    <w:rsid w:val="00705631"/>
    <w:rsid w:val="00710F03"/>
    <w:rsid w:val="00712A6A"/>
    <w:rsid w:val="007147F4"/>
    <w:rsid w:val="00715C9E"/>
    <w:rsid w:val="00716B0A"/>
    <w:rsid w:val="0071707F"/>
    <w:rsid w:val="0072181F"/>
    <w:rsid w:val="00722B21"/>
    <w:rsid w:val="00722C4F"/>
    <w:rsid w:val="00724C38"/>
    <w:rsid w:val="00727074"/>
    <w:rsid w:val="00727946"/>
    <w:rsid w:val="00727C3C"/>
    <w:rsid w:val="007343CE"/>
    <w:rsid w:val="00734B73"/>
    <w:rsid w:val="00734E1F"/>
    <w:rsid w:val="00735909"/>
    <w:rsid w:val="00737474"/>
    <w:rsid w:val="00737DB6"/>
    <w:rsid w:val="007403F4"/>
    <w:rsid w:val="007424A8"/>
    <w:rsid w:val="00742DD2"/>
    <w:rsid w:val="00744529"/>
    <w:rsid w:val="00744CB8"/>
    <w:rsid w:val="00744E2B"/>
    <w:rsid w:val="007452CF"/>
    <w:rsid w:val="00746C4F"/>
    <w:rsid w:val="00746D5B"/>
    <w:rsid w:val="0075010E"/>
    <w:rsid w:val="0075101C"/>
    <w:rsid w:val="00751CDD"/>
    <w:rsid w:val="0075639F"/>
    <w:rsid w:val="0075647A"/>
    <w:rsid w:val="00756B38"/>
    <w:rsid w:val="00756EC8"/>
    <w:rsid w:val="007575ED"/>
    <w:rsid w:val="007609E9"/>
    <w:rsid w:val="007618B2"/>
    <w:rsid w:val="00761CAA"/>
    <w:rsid w:val="007634AD"/>
    <w:rsid w:val="00764F47"/>
    <w:rsid w:val="0076747D"/>
    <w:rsid w:val="00771882"/>
    <w:rsid w:val="00774F9F"/>
    <w:rsid w:val="007774E3"/>
    <w:rsid w:val="0078122E"/>
    <w:rsid w:val="00781AA8"/>
    <w:rsid w:val="0078365A"/>
    <w:rsid w:val="00783D11"/>
    <w:rsid w:val="007846C5"/>
    <w:rsid w:val="00787D3E"/>
    <w:rsid w:val="0079134A"/>
    <w:rsid w:val="0079377E"/>
    <w:rsid w:val="00795113"/>
    <w:rsid w:val="007A1954"/>
    <w:rsid w:val="007A6A34"/>
    <w:rsid w:val="007B0854"/>
    <w:rsid w:val="007B28DC"/>
    <w:rsid w:val="007B45EA"/>
    <w:rsid w:val="007B7D62"/>
    <w:rsid w:val="007C0CCA"/>
    <w:rsid w:val="007C1AA6"/>
    <w:rsid w:val="007C7CE4"/>
    <w:rsid w:val="007D1B79"/>
    <w:rsid w:val="007D3323"/>
    <w:rsid w:val="007D4021"/>
    <w:rsid w:val="007D4803"/>
    <w:rsid w:val="007D59CF"/>
    <w:rsid w:val="007E0B27"/>
    <w:rsid w:val="007E193F"/>
    <w:rsid w:val="007E24A0"/>
    <w:rsid w:val="007E331A"/>
    <w:rsid w:val="007E6D71"/>
    <w:rsid w:val="007F0795"/>
    <w:rsid w:val="007F44E6"/>
    <w:rsid w:val="007F7255"/>
    <w:rsid w:val="007F72CB"/>
    <w:rsid w:val="00800317"/>
    <w:rsid w:val="00800AD9"/>
    <w:rsid w:val="00800DEA"/>
    <w:rsid w:val="00801F73"/>
    <w:rsid w:val="00802FF0"/>
    <w:rsid w:val="0080456B"/>
    <w:rsid w:val="008065A8"/>
    <w:rsid w:val="0080762F"/>
    <w:rsid w:val="00811EDD"/>
    <w:rsid w:val="00816B40"/>
    <w:rsid w:val="00817EA3"/>
    <w:rsid w:val="008201C7"/>
    <w:rsid w:val="008229F3"/>
    <w:rsid w:val="00823406"/>
    <w:rsid w:val="008238DA"/>
    <w:rsid w:val="00823E44"/>
    <w:rsid w:val="00824A6D"/>
    <w:rsid w:val="008259A3"/>
    <w:rsid w:val="0082768D"/>
    <w:rsid w:val="00830306"/>
    <w:rsid w:val="00830BF0"/>
    <w:rsid w:val="0083119B"/>
    <w:rsid w:val="00833A0B"/>
    <w:rsid w:val="00835C7D"/>
    <w:rsid w:val="0083646A"/>
    <w:rsid w:val="00836EAB"/>
    <w:rsid w:val="00837C23"/>
    <w:rsid w:val="00845A51"/>
    <w:rsid w:val="00847C80"/>
    <w:rsid w:val="008502A5"/>
    <w:rsid w:val="0085092D"/>
    <w:rsid w:val="00850EFF"/>
    <w:rsid w:val="008515EE"/>
    <w:rsid w:val="008537E9"/>
    <w:rsid w:val="00854B8E"/>
    <w:rsid w:val="008574D1"/>
    <w:rsid w:val="008615FD"/>
    <w:rsid w:val="00862405"/>
    <w:rsid w:val="00862FD9"/>
    <w:rsid w:val="00864A61"/>
    <w:rsid w:val="008659FF"/>
    <w:rsid w:val="008662E2"/>
    <w:rsid w:val="00871A33"/>
    <w:rsid w:val="0087201C"/>
    <w:rsid w:val="008735F6"/>
    <w:rsid w:val="00874B3D"/>
    <w:rsid w:val="00884F75"/>
    <w:rsid w:val="008865C0"/>
    <w:rsid w:val="00886C7B"/>
    <w:rsid w:val="0088776A"/>
    <w:rsid w:val="008903AE"/>
    <w:rsid w:val="00892B83"/>
    <w:rsid w:val="00894063"/>
    <w:rsid w:val="008941DC"/>
    <w:rsid w:val="00894712"/>
    <w:rsid w:val="00896CE7"/>
    <w:rsid w:val="008A1444"/>
    <w:rsid w:val="008A1F4E"/>
    <w:rsid w:val="008A2F4B"/>
    <w:rsid w:val="008A4522"/>
    <w:rsid w:val="008A56B5"/>
    <w:rsid w:val="008A7BB3"/>
    <w:rsid w:val="008B0FC4"/>
    <w:rsid w:val="008B11C1"/>
    <w:rsid w:val="008B3DDE"/>
    <w:rsid w:val="008B48B6"/>
    <w:rsid w:val="008B58DD"/>
    <w:rsid w:val="008B79E0"/>
    <w:rsid w:val="008C449B"/>
    <w:rsid w:val="008C5872"/>
    <w:rsid w:val="008C5FE5"/>
    <w:rsid w:val="008D1C27"/>
    <w:rsid w:val="008D3488"/>
    <w:rsid w:val="008D4418"/>
    <w:rsid w:val="008D5921"/>
    <w:rsid w:val="008D7064"/>
    <w:rsid w:val="008E021A"/>
    <w:rsid w:val="008E1C15"/>
    <w:rsid w:val="008E65F4"/>
    <w:rsid w:val="008E7610"/>
    <w:rsid w:val="008E7DD0"/>
    <w:rsid w:val="008F3AB1"/>
    <w:rsid w:val="008F53F4"/>
    <w:rsid w:val="00901339"/>
    <w:rsid w:val="00902872"/>
    <w:rsid w:val="009047C5"/>
    <w:rsid w:val="00906FED"/>
    <w:rsid w:val="009101AA"/>
    <w:rsid w:val="00911BF7"/>
    <w:rsid w:val="009123E9"/>
    <w:rsid w:val="009125D0"/>
    <w:rsid w:val="00913B77"/>
    <w:rsid w:val="00913C8E"/>
    <w:rsid w:val="00916DB5"/>
    <w:rsid w:val="009170FB"/>
    <w:rsid w:val="00921955"/>
    <w:rsid w:val="00921D40"/>
    <w:rsid w:val="00923BCA"/>
    <w:rsid w:val="00925BC4"/>
    <w:rsid w:val="009272AE"/>
    <w:rsid w:val="009329A4"/>
    <w:rsid w:val="009329BE"/>
    <w:rsid w:val="009344B3"/>
    <w:rsid w:val="0093661C"/>
    <w:rsid w:val="00936B57"/>
    <w:rsid w:val="00941B45"/>
    <w:rsid w:val="00945A85"/>
    <w:rsid w:val="00947197"/>
    <w:rsid w:val="00947945"/>
    <w:rsid w:val="00950AE6"/>
    <w:rsid w:val="009513A9"/>
    <w:rsid w:val="00951524"/>
    <w:rsid w:val="0095340A"/>
    <w:rsid w:val="0095385A"/>
    <w:rsid w:val="00954AC6"/>
    <w:rsid w:val="00960077"/>
    <w:rsid w:val="009603B4"/>
    <w:rsid w:val="00965006"/>
    <w:rsid w:val="00966595"/>
    <w:rsid w:val="00967D10"/>
    <w:rsid w:val="00967ED9"/>
    <w:rsid w:val="00971321"/>
    <w:rsid w:val="00973C2B"/>
    <w:rsid w:val="0097455B"/>
    <w:rsid w:val="00975400"/>
    <w:rsid w:val="00976CDB"/>
    <w:rsid w:val="00981254"/>
    <w:rsid w:val="00982F90"/>
    <w:rsid w:val="009839A9"/>
    <w:rsid w:val="00984ACB"/>
    <w:rsid w:val="009853D5"/>
    <w:rsid w:val="009859D4"/>
    <w:rsid w:val="00985F55"/>
    <w:rsid w:val="0098629E"/>
    <w:rsid w:val="009903EC"/>
    <w:rsid w:val="00990443"/>
    <w:rsid w:val="00995D22"/>
    <w:rsid w:val="009A035F"/>
    <w:rsid w:val="009A0487"/>
    <w:rsid w:val="009A5CA2"/>
    <w:rsid w:val="009A6978"/>
    <w:rsid w:val="009A7840"/>
    <w:rsid w:val="009A7EAF"/>
    <w:rsid w:val="009B751B"/>
    <w:rsid w:val="009C2F8F"/>
    <w:rsid w:val="009C4045"/>
    <w:rsid w:val="009C501C"/>
    <w:rsid w:val="009C50D0"/>
    <w:rsid w:val="009C7373"/>
    <w:rsid w:val="009D02F9"/>
    <w:rsid w:val="009E1FEB"/>
    <w:rsid w:val="009E27E2"/>
    <w:rsid w:val="009E49CC"/>
    <w:rsid w:val="009E4AF0"/>
    <w:rsid w:val="009E56BA"/>
    <w:rsid w:val="009E5FD4"/>
    <w:rsid w:val="009E6E5C"/>
    <w:rsid w:val="009F12D8"/>
    <w:rsid w:val="009F15A3"/>
    <w:rsid w:val="009F2412"/>
    <w:rsid w:val="009F4103"/>
    <w:rsid w:val="009F7D55"/>
    <w:rsid w:val="00A002DA"/>
    <w:rsid w:val="00A06772"/>
    <w:rsid w:val="00A074BF"/>
    <w:rsid w:val="00A0798E"/>
    <w:rsid w:val="00A12E39"/>
    <w:rsid w:val="00A13D9F"/>
    <w:rsid w:val="00A1500F"/>
    <w:rsid w:val="00A15F44"/>
    <w:rsid w:val="00A17103"/>
    <w:rsid w:val="00A2246A"/>
    <w:rsid w:val="00A22A44"/>
    <w:rsid w:val="00A23EDF"/>
    <w:rsid w:val="00A241AD"/>
    <w:rsid w:val="00A24322"/>
    <w:rsid w:val="00A24560"/>
    <w:rsid w:val="00A24780"/>
    <w:rsid w:val="00A24FCF"/>
    <w:rsid w:val="00A257F1"/>
    <w:rsid w:val="00A27EBA"/>
    <w:rsid w:val="00A30EFA"/>
    <w:rsid w:val="00A34538"/>
    <w:rsid w:val="00A348FB"/>
    <w:rsid w:val="00A408C7"/>
    <w:rsid w:val="00A413DA"/>
    <w:rsid w:val="00A4436B"/>
    <w:rsid w:val="00A504F9"/>
    <w:rsid w:val="00A50EA1"/>
    <w:rsid w:val="00A54843"/>
    <w:rsid w:val="00A5495C"/>
    <w:rsid w:val="00A54BEB"/>
    <w:rsid w:val="00A54C72"/>
    <w:rsid w:val="00A54FA1"/>
    <w:rsid w:val="00A56DCE"/>
    <w:rsid w:val="00A60147"/>
    <w:rsid w:val="00A60595"/>
    <w:rsid w:val="00A60725"/>
    <w:rsid w:val="00A620C8"/>
    <w:rsid w:val="00A62356"/>
    <w:rsid w:val="00A64ADC"/>
    <w:rsid w:val="00A72528"/>
    <w:rsid w:val="00A737CD"/>
    <w:rsid w:val="00A75A39"/>
    <w:rsid w:val="00A76494"/>
    <w:rsid w:val="00A8084F"/>
    <w:rsid w:val="00A8663D"/>
    <w:rsid w:val="00A86D55"/>
    <w:rsid w:val="00A9550C"/>
    <w:rsid w:val="00A95A3C"/>
    <w:rsid w:val="00A95E66"/>
    <w:rsid w:val="00AA20A8"/>
    <w:rsid w:val="00AA442B"/>
    <w:rsid w:val="00AA6D04"/>
    <w:rsid w:val="00AA707B"/>
    <w:rsid w:val="00AB31E7"/>
    <w:rsid w:val="00AB41A9"/>
    <w:rsid w:val="00AB55A6"/>
    <w:rsid w:val="00AB7B09"/>
    <w:rsid w:val="00AC1C9A"/>
    <w:rsid w:val="00AC54C6"/>
    <w:rsid w:val="00AC654E"/>
    <w:rsid w:val="00AC7B70"/>
    <w:rsid w:val="00AD017C"/>
    <w:rsid w:val="00AD0BB9"/>
    <w:rsid w:val="00AD0C27"/>
    <w:rsid w:val="00AD0EDA"/>
    <w:rsid w:val="00AD64EA"/>
    <w:rsid w:val="00AE115D"/>
    <w:rsid w:val="00AE3229"/>
    <w:rsid w:val="00AE3C7C"/>
    <w:rsid w:val="00AF02E3"/>
    <w:rsid w:val="00AF1059"/>
    <w:rsid w:val="00AF1718"/>
    <w:rsid w:val="00AF2440"/>
    <w:rsid w:val="00AF3A20"/>
    <w:rsid w:val="00AF4CF9"/>
    <w:rsid w:val="00AF693C"/>
    <w:rsid w:val="00AF798A"/>
    <w:rsid w:val="00B04223"/>
    <w:rsid w:val="00B05FD5"/>
    <w:rsid w:val="00B06DB4"/>
    <w:rsid w:val="00B114C0"/>
    <w:rsid w:val="00B11CB1"/>
    <w:rsid w:val="00B13059"/>
    <w:rsid w:val="00B13F5E"/>
    <w:rsid w:val="00B15F4A"/>
    <w:rsid w:val="00B174B9"/>
    <w:rsid w:val="00B17644"/>
    <w:rsid w:val="00B17EC0"/>
    <w:rsid w:val="00B20EEE"/>
    <w:rsid w:val="00B2165B"/>
    <w:rsid w:val="00B221A3"/>
    <w:rsid w:val="00B22E22"/>
    <w:rsid w:val="00B23C3C"/>
    <w:rsid w:val="00B333CE"/>
    <w:rsid w:val="00B35AA5"/>
    <w:rsid w:val="00B36C98"/>
    <w:rsid w:val="00B37256"/>
    <w:rsid w:val="00B42559"/>
    <w:rsid w:val="00B444B2"/>
    <w:rsid w:val="00B46173"/>
    <w:rsid w:val="00B52462"/>
    <w:rsid w:val="00B525CB"/>
    <w:rsid w:val="00B53388"/>
    <w:rsid w:val="00B53816"/>
    <w:rsid w:val="00B540C2"/>
    <w:rsid w:val="00B54C59"/>
    <w:rsid w:val="00B55E9C"/>
    <w:rsid w:val="00B56418"/>
    <w:rsid w:val="00B5744B"/>
    <w:rsid w:val="00B61BDD"/>
    <w:rsid w:val="00B61FD8"/>
    <w:rsid w:val="00B624BF"/>
    <w:rsid w:val="00B6341B"/>
    <w:rsid w:val="00B63CB2"/>
    <w:rsid w:val="00B67F3A"/>
    <w:rsid w:val="00B722C9"/>
    <w:rsid w:val="00B72E99"/>
    <w:rsid w:val="00B74072"/>
    <w:rsid w:val="00B76167"/>
    <w:rsid w:val="00B761B6"/>
    <w:rsid w:val="00B775E8"/>
    <w:rsid w:val="00B800BA"/>
    <w:rsid w:val="00B81BD8"/>
    <w:rsid w:val="00B851DC"/>
    <w:rsid w:val="00B86854"/>
    <w:rsid w:val="00B91AD0"/>
    <w:rsid w:val="00B962FF"/>
    <w:rsid w:val="00BA52D6"/>
    <w:rsid w:val="00BA75AD"/>
    <w:rsid w:val="00BA7C60"/>
    <w:rsid w:val="00BB2C01"/>
    <w:rsid w:val="00BB3E2C"/>
    <w:rsid w:val="00BB6F85"/>
    <w:rsid w:val="00BC1B41"/>
    <w:rsid w:val="00BC52A5"/>
    <w:rsid w:val="00BC6BDC"/>
    <w:rsid w:val="00BD0D6C"/>
    <w:rsid w:val="00BD1EF0"/>
    <w:rsid w:val="00BD367E"/>
    <w:rsid w:val="00BD422F"/>
    <w:rsid w:val="00BD5194"/>
    <w:rsid w:val="00BD5F69"/>
    <w:rsid w:val="00BD6ED0"/>
    <w:rsid w:val="00BD78FE"/>
    <w:rsid w:val="00BE03A7"/>
    <w:rsid w:val="00BE0EDB"/>
    <w:rsid w:val="00BE4A79"/>
    <w:rsid w:val="00BF00DE"/>
    <w:rsid w:val="00BF120E"/>
    <w:rsid w:val="00BF1906"/>
    <w:rsid w:val="00BF31F1"/>
    <w:rsid w:val="00BF46F6"/>
    <w:rsid w:val="00BF624E"/>
    <w:rsid w:val="00C03DC6"/>
    <w:rsid w:val="00C05841"/>
    <w:rsid w:val="00C0689F"/>
    <w:rsid w:val="00C074B4"/>
    <w:rsid w:val="00C07C55"/>
    <w:rsid w:val="00C14E5A"/>
    <w:rsid w:val="00C172E8"/>
    <w:rsid w:val="00C17D54"/>
    <w:rsid w:val="00C217DB"/>
    <w:rsid w:val="00C22704"/>
    <w:rsid w:val="00C22B69"/>
    <w:rsid w:val="00C242C0"/>
    <w:rsid w:val="00C343AD"/>
    <w:rsid w:val="00C3521A"/>
    <w:rsid w:val="00C35F7C"/>
    <w:rsid w:val="00C36E40"/>
    <w:rsid w:val="00C371A6"/>
    <w:rsid w:val="00C429B4"/>
    <w:rsid w:val="00C474AC"/>
    <w:rsid w:val="00C5124A"/>
    <w:rsid w:val="00C5128E"/>
    <w:rsid w:val="00C523AA"/>
    <w:rsid w:val="00C5495E"/>
    <w:rsid w:val="00C55274"/>
    <w:rsid w:val="00C55E36"/>
    <w:rsid w:val="00C56AE4"/>
    <w:rsid w:val="00C60F20"/>
    <w:rsid w:val="00C61A73"/>
    <w:rsid w:val="00C61ED9"/>
    <w:rsid w:val="00C64FD0"/>
    <w:rsid w:val="00C6675D"/>
    <w:rsid w:val="00C6768A"/>
    <w:rsid w:val="00C67FE4"/>
    <w:rsid w:val="00C7160E"/>
    <w:rsid w:val="00C71C51"/>
    <w:rsid w:val="00C77A9F"/>
    <w:rsid w:val="00C8061B"/>
    <w:rsid w:val="00C80C66"/>
    <w:rsid w:val="00C82793"/>
    <w:rsid w:val="00C83A28"/>
    <w:rsid w:val="00C85959"/>
    <w:rsid w:val="00C85EF8"/>
    <w:rsid w:val="00C8716A"/>
    <w:rsid w:val="00C914CD"/>
    <w:rsid w:val="00C93A8A"/>
    <w:rsid w:val="00C93E70"/>
    <w:rsid w:val="00C968EC"/>
    <w:rsid w:val="00C97A89"/>
    <w:rsid w:val="00CA14F9"/>
    <w:rsid w:val="00CA3F2F"/>
    <w:rsid w:val="00CA6816"/>
    <w:rsid w:val="00CA7D82"/>
    <w:rsid w:val="00CA7FEF"/>
    <w:rsid w:val="00CB1768"/>
    <w:rsid w:val="00CC00CD"/>
    <w:rsid w:val="00CC1FBB"/>
    <w:rsid w:val="00CC22E3"/>
    <w:rsid w:val="00CC79DE"/>
    <w:rsid w:val="00CC7FF4"/>
    <w:rsid w:val="00CD0562"/>
    <w:rsid w:val="00CD10EE"/>
    <w:rsid w:val="00CD3ACB"/>
    <w:rsid w:val="00CD5C88"/>
    <w:rsid w:val="00CD6009"/>
    <w:rsid w:val="00CE11B1"/>
    <w:rsid w:val="00CE14B9"/>
    <w:rsid w:val="00CE1F6E"/>
    <w:rsid w:val="00CE2C94"/>
    <w:rsid w:val="00CE352A"/>
    <w:rsid w:val="00CE3995"/>
    <w:rsid w:val="00CE675D"/>
    <w:rsid w:val="00CF10C1"/>
    <w:rsid w:val="00CF2489"/>
    <w:rsid w:val="00CF2BDE"/>
    <w:rsid w:val="00CF2E86"/>
    <w:rsid w:val="00CF3EC4"/>
    <w:rsid w:val="00CF415E"/>
    <w:rsid w:val="00CF482F"/>
    <w:rsid w:val="00CF4890"/>
    <w:rsid w:val="00CF54E6"/>
    <w:rsid w:val="00CF62EA"/>
    <w:rsid w:val="00D00015"/>
    <w:rsid w:val="00D10740"/>
    <w:rsid w:val="00D10C4B"/>
    <w:rsid w:val="00D10C4C"/>
    <w:rsid w:val="00D10E69"/>
    <w:rsid w:val="00D117C5"/>
    <w:rsid w:val="00D1627F"/>
    <w:rsid w:val="00D16E39"/>
    <w:rsid w:val="00D22239"/>
    <w:rsid w:val="00D2531F"/>
    <w:rsid w:val="00D259D7"/>
    <w:rsid w:val="00D25C34"/>
    <w:rsid w:val="00D309A0"/>
    <w:rsid w:val="00D31956"/>
    <w:rsid w:val="00D3211C"/>
    <w:rsid w:val="00D32AF5"/>
    <w:rsid w:val="00D34176"/>
    <w:rsid w:val="00D40843"/>
    <w:rsid w:val="00D41357"/>
    <w:rsid w:val="00D433FD"/>
    <w:rsid w:val="00D44C1E"/>
    <w:rsid w:val="00D45789"/>
    <w:rsid w:val="00D50CDE"/>
    <w:rsid w:val="00D51773"/>
    <w:rsid w:val="00D52F10"/>
    <w:rsid w:val="00D531FA"/>
    <w:rsid w:val="00D55602"/>
    <w:rsid w:val="00D60615"/>
    <w:rsid w:val="00D648B5"/>
    <w:rsid w:val="00D67A1C"/>
    <w:rsid w:val="00D71EBA"/>
    <w:rsid w:val="00D721FE"/>
    <w:rsid w:val="00D72E9D"/>
    <w:rsid w:val="00D73D97"/>
    <w:rsid w:val="00D73D9F"/>
    <w:rsid w:val="00D74CDA"/>
    <w:rsid w:val="00D75DF3"/>
    <w:rsid w:val="00D763D4"/>
    <w:rsid w:val="00D76F4F"/>
    <w:rsid w:val="00D77683"/>
    <w:rsid w:val="00D802C1"/>
    <w:rsid w:val="00D81907"/>
    <w:rsid w:val="00D82CE5"/>
    <w:rsid w:val="00D8775D"/>
    <w:rsid w:val="00D92575"/>
    <w:rsid w:val="00D97C64"/>
    <w:rsid w:val="00DA3E32"/>
    <w:rsid w:val="00DA4606"/>
    <w:rsid w:val="00DA5AB1"/>
    <w:rsid w:val="00DB36AB"/>
    <w:rsid w:val="00DB4C4A"/>
    <w:rsid w:val="00DB5657"/>
    <w:rsid w:val="00DC09FD"/>
    <w:rsid w:val="00DC229D"/>
    <w:rsid w:val="00DC2432"/>
    <w:rsid w:val="00DC5121"/>
    <w:rsid w:val="00DC5FAA"/>
    <w:rsid w:val="00DC62E5"/>
    <w:rsid w:val="00DD07F7"/>
    <w:rsid w:val="00DD1F15"/>
    <w:rsid w:val="00DD20BA"/>
    <w:rsid w:val="00DD38D8"/>
    <w:rsid w:val="00DD4605"/>
    <w:rsid w:val="00DD735D"/>
    <w:rsid w:val="00DE208B"/>
    <w:rsid w:val="00DE3119"/>
    <w:rsid w:val="00DE60EA"/>
    <w:rsid w:val="00DE6CFD"/>
    <w:rsid w:val="00DF02DC"/>
    <w:rsid w:val="00DF05A6"/>
    <w:rsid w:val="00DF21D4"/>
    <w:rsid w:val="00DF236B"/>
    <w:rsid w:val="00DF248A"/>
    <w:rsid w:val="00DF2D13"/>
    <w:rsid w:val="00DF3046"/>
    <w:rsid w:val="00DF5076"/>
    <w:rsid w:val="00DF5488"/>
    <w:rsid w:val="00E02CE0"/>
    <w:rsid w:val="00E03244"/>
    <w:rsid w:val="00E048A2"/>
    <w:rsid w:val="00E0587A"/>
    <w:rsid w:val="00E100EC"/>
    <w:rsid w:val="00E115B4"/>
    <w:rsid w:val="00E13AB8"/>
    <w:rsid w:val="00E17F6D"/>
    <w:rsid w:val="00E203DD"/>
    <w:rsid w:val="00E263C3"/>
    <w:rsid w:val="00E27716"/>
    <w:rsid w:val="00E27C85"/>
    <w:rsid w:val="00E315A2"/>
    <w:rsid w:val="00E318E0"/>
    <w:rsid w:val="00E33B62"/>
    <w:rsid w:val="00E357DC"/>
    <w:rsid w:val="00E412B7"/>
    <w:rsid w:val="00E429C9"/>
    <w:rsid w:val="00E44E00"/>
    <w:rsid w:val="00E461F1"/>
    <w:rsid w:val="00E46382"/>
    <w:rsid w:val="00E51329"/>
    <w:rsid w:val="00E51556"/>
    <w:rsid w:val="00E53964"/>
    <w:rsid w:val="00E554DC"/>
    <w:rsid w:val="00E57323"/>
    <w:rsid w:val="00E57B05"/>
    <w:rsid w:val="00E602F2"/>
    <w:rsid w:val="00E608C9"/>
    <w:rsid w:val="00E62A61"/>
    <w:rsid w:val="00E63AED"/>
    <w:rsid w:val="00E65166"/>
    <w:rsid w:val="00E658C9"/>
    <w:rsid w:val="00E65F49"/>
    <w:rsid w:val="00E6610F"/>
    <w:rsid w:val="00E67BE3"/>
    <w:rsid w:val="00E7138C"/>
    <w:rsid w:val="00E73815"/>
    <w:rsid w:val="00E7595D"/>
    <w:rsid w:val="00E77706"/>
    <w:rsid w:val="00E80C82"/>
    <w:rsid w:val="00E855D9"/>
    <w:rsid w:val="00E903AB"/>
    <w:rsid w:val="00E92199"/>
    <w:rsid w:val="00E93948"/>
    <w:rsid w:val="00E950E6"/>
    <w:rsid w:val="00E9535F"/>
    <w:rsid w:val="00E95B00"/>
    <w:rsid w:val="00E96DEA"/>
    <w:rsid w:val="00E97CD5"/>
    <w:rsid w:val="00EA0711"/>
    <w:rsid w:val="00EA1C4C"/>
    <w:rsid w:val="00EA4E7D"/>
    <w:rsid w:val="00EA6CBF"/>
    <w:rsid w:val="00EA728D"/>
    <w:rsid w:val="00EA76D7"/>
    <w:rsid w:val="00EB0BBE"/>
    <w:rsid w:val="00EB5248"/>
    <w:rsid w:val="00EC7366"/>
    <w:rsid w:val="00EC7673"/>
    <w:rsid w:val="00ED1754"/>
    <w:rsid w:val="00ED305A"/>
    <w:rsid w:val="00ED676F"/>
    <w:rsid w:val="00ED718F"/>
    <w:rsid w:val="00ED7F33"/>
    <w:rsid w:val="00ED7FE6"/>
    <w:rsid w:val="00EE2BD9"/>
    <w:rsid w:val="00EE7B12"/>
    <w:rsid w:val="00EF1C91"/>
    <w:rsid w:val="00EF5956"/>
    <w:rsid w:val="00EF7BAE"/>
    <w:rsid w:val="00F0190D"/>
    <w:rsid w:val="00F046A7"/>
    <w:rsid w:val="00F05293"/>
    <w:rsid w:val="00F06B82"/>
    <w:rsid w:val="00F070FE"/>
    <w:rsid w:val="00F10D45"/>
    <w:rsid w:val="00F13A3B"/>
    <w:rsid w:val="00F14031"/>
    <w:rsid w:val="00F157F7"/>
    <w:rsid w:val="00F163C8"/>
    <w:rsid w:val="00F22044"/>
    <w:rsid w:val="00F22827"/>
    <w:rsid w:val="00F30541"/>
    <w:rsid w:val="00F3057D"/>
    <w:rsid w:val="00F30772"/>
    <w:rsid w:val="00F33293"/>
    <w:rsid w:val="00F341A0"/>
    <w:rsid w:val="00F36A58"/>
    <w:rsid w:val="00F41499"/>
    <w:rsid w:val="00F4285A"/>
    <w:rsid w:val="00F444A4"/>
    <w:rsid w:val="00F45C6E"/>
    <w:rsid w:val="00F45FE4"/>
    <w:rsid w:val="00F53A3E"/>
    <w:rsid w:val="00F55644"/>
    <w:rsid w:val="00F57426"/>
    <w:rsid w:val="00F6121F"/>
    <w:rsid w:val="00F61462"/>
    <w:rsid w:val="00F61483"/>
    <w:rsid w:val="00F617C8"/>
    <w:rsid w:val="00F61BBD"/>
    <w:rsid w:val="00F64252"/>
    <w:rsid w:val="00F65E96"/>
    <w:rsid w:val="00F6642D"/>
    <w:rsid w:val="00F67D6E"/>
    <w:rsid w:val="00F70C89"/>
    <w:rsid w:val="00F74D1D"/>
    <w:rsid w:val="00F75297"/>
    <w:rsid w:val="00F77B02"/>
    <w:rsid w:val="00F80272"/>
    <w:rsid w:val="00F83681"/>
    <w:rsid w:val="00F8436F"/>
    <w:rsid w:val="00F84899"/>
    <w:rsid w:val="00F84C2E"/>
    <w:rsid w:val="00F859F0"/>
    <w:rsid w:val="00F9050C"/>
    <w:rsid w:val="00F908C1"/>
    <w:rsid w:val="00F913B5"/>
    <w:rsid w:val="00F96760"/>
    <w:rsid w:val="00F97396"/>
    <w:rsid w:val="00F974BA"/>
    <w:rsid w:val="00FA128B"/>
    <w:rsid w:val="00FA1EB2"/>
    <w:rsid w:val="00FA2D53"/>
    <w:rsid w:val="00FA4AE4"/>
    <w:rsid w:val="00FA4D0C"/>
    <w:rsid w:val="00FA6E00"/>
    <w:rsid w:val="00FA7208"/>
    <w:rsid w:val="00FA7689"/>
    <w:rsid w:val="00FA7D4C"/>
    <w:rsid w:val="00FB2490"/>
    <w:rsid w:val="00FB289E"/>
    <w:rsid w:val="00FB46F8"/>
    <w:rsid w:val="00FB4DBF"/>
    <w:rsid w:val="00FB52A0"/>
    <w:rsid w:val="00FC0CF3"/>
    <w:rsid w:val="00FC180A"/>
    <w:rsid w:val="00FC4013"/>
    <w:rsid w:val="00FC5BA2"/>
    <w:rsid w:val="00FC750B"/>
    <w:rsid w:val="00FD22AE"/>
    <w:rsid w:val="00FD4DE7"/>
    <w:rsid w:val="00FD6AF5"/>
    <w:rsid w:val="00FD71FF"/>
    <w:rsid w:val="00FE141E"/>
    <w:rsid w:val="00FE1470"/>
    <w:rsid w:val="00FE1991"/>
    <w:rsid w:val="00FE2E07"/>
    <w:rsid w:val="00FE5042"/>
    <w:rsid w:val="00FE6583"/>
    <w:rsid w:val="00FE6C03"/>
    <w:rsid w:val="00FF3E2C"/>
    <w:rsid w:val="00FF4936"/>
    <w:rsid w:val="00FF4BB8"/>
    <w:rsid w:val="00FF4D64"/>
    <w:rsid w:val="00FF4FDD"/>
    <w:rsid w:val="00FF51FE"/>
    <w:rsid w:val="00FF6BBB"/>
    <w:rsid w:val="00FF767D"/>
    <w:rsid w:val="1126E876"/>
    <w:rsid w:val="27CBFCDF"/>
    <w:rsid w:val="2FDB9056"/>
    <w:rsid w:val="38839815"/>
    <w:rsid w:val="39D2D54E"/>
    <w:rsid w:val="3FBCC6C3"/>
    <w:rsid w:val="7065A23A"/>
    <w:rsid w:val="712165EB"/>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AF4849F8-D709-445D-B9CD-B2835FC36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34A"/>
    <w:pPr>
      <w:spacing w:after="0" w:line="240" w:lineRule="auto"/>
    </w:pPr>
    <w:rPr>
      <w:sz w:val="24"/>
      <w:lang w:val="es-MX"/>
    </w:rPr>
  </w:style>
  <w:style w:type="paragraph" w:styleId="Ttulo1">
    <w:name w:val="heading 1"/>
    <w:basedOn w:val="Normal"/>
    <w:link w:val="Ttulo1Car"/>
    <w:uiPriority w:val="9"/>
    <w:qFormat/>
    <w:rsid w:val="00361BB8"/>
    <w:pPr>
      <w:widowControl w:val="0"/>
      <w:autoSpaceDE w:val="0"/>
      <w:autoSpaceDN w:val="0"/>
      <w:ind w:left="300"/>
      <w:outlineLvl w:val="0"/>
    </w:pPr>
    <w:rPr>
      <w:rFonts w:ascii="Arial" w:eastAsia="Arial" w:hAnsi="Arial" w:cs="Arial"/>
      <w:b/>
      <w:bCs/>
      <w:sz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sz w:val="20"/>
      <w:szCs w:val="20"/>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Footnote symbol,F,R"/>
    <w:basedOn w:val="Fuentedeprrafopredeter"/>
    <w:link w:val="Appelnotedebasde"/>
    <w:uiPriority w:val="99"/>
    <w:unhideWhenUsed/>
    <w:qFormat/>
    <w:rsid w:val="007B0854"/>
    <w:rPr>
      <w:vertAlign w:val="superscript"/>
    </w:rPr>
  </w:style>
  <w:style w:type="character" w:customStyle="1" w:styleId="baj">
    <w:name w:val="b_aj"/>
    <w:basedOn w:val="Fuentedeprrafopredeter"/>
    <w:rsid w:val="008A7BB3"/>
  </w:style>
  <w:style w:type="character" w:styleId="Textoennegrita">
    <w:name w:val="Strong"/>
    <w:basedOn w:val="Fuentedeprrafopredeter"/>
    <w:uiPriority w:val="22"/>
    <w:qFormat/>
    <w:rsid w:val="001103A2"/>
    <w:rPr>
      <w:b/>
      <w:bCs/>
    </w:rPr>
  </w:style>
  <w:style w:type="character" w:styleId="nfasis">
    <w:name w:val="Emphasis"/>
    <w:basedOn w:val="Fuentedeprrafopredeter"/>
    <w:uiPriority w:val="20"/>
    <w:qFormat/>
    <w:rsid w:val="001103A2"/>
    <w:rPr>
      <w:i/>
      <w:iCs/>
    </w:rPr>
  </w:style>
  <w:style w:type="paragraph" w:styleId="Revisin">
    <w:name w:val="Revision"/>
    <w:hidden/>
    <w:uiPriority w:val="99"/>
    <w:semiHidden/>
    <w:rsid w:val="00D117C5"/>
    <w:pPr>
      <w:spacing w:after="0" w:line="240" w:lineRule="auto"/>
    </w:pPr>
    <w:rPr>
      <w:sz w:val="24"/>
      <w:lang w:val="es-MX"/>
    </w:rPr>
  </w:style>
  <w:style w:type="character" w:customStyle="1" w:styleId="Mencinsinresolver1">
    <w:name w:val="Mención sin resolver1"/>
    <w:basedOn w:val="Fuentedeprrafopredeter"/>
    <w:uiPriority w:val="99"/>
    <w:semiHidden/>
    <w:unhideWhenUsed/>
    <w:rsid w:val="00654AA6"/>
    <w:rPr>
      <w:color w:val="605E5C"/>
      <w:shd w:val="clear" w:color="auto" w:fill="E1DFDD"/>
    </w:rPr>
  </w:style>
  <w:style w:type="paragraph" w:customStyle="1" w:styleId="Default">
    <w:name w:val="Default"/>
    <w:rsid w:val="00AE3C7C"/>
    <w:pPr>
      <w:autoSpaceDE w:val="0"/>
      <w:autoSpaceDN w:val="0"/>
      <w:adjustRightInd w:val="0"/>
      <w:spacing w:after="0" w:line="240" w:lineRule="auto"/>
    </w:pPr>
    <w:rPr>
      <w:rFonts w:ascii="Arial" w:hAnsi="Arial" w:cs="Arial"/>
      <w:color w:val="000000"/>
      <w:sz w:val="24"/>
      <w:szCs w:val="24"/>
    </w:rPr>
  </w:style>
  <w:style w:type="paragraph" w:customStyle="1" w:styleId="Appelnotedebasde">
    <w:name w:val="Appel note de bas de..."/>
    <w:basedOn w:val="Normal"/>
    <w:link w:val="Refdenotaalpie"/>
    <w:uiPriority w:val="99"/>
    <w:rsid w:val="003159B5"/>
    <w:pPr>
      <w:spacing w:after="160" w:line="240" w:lineRule="exact"/>
    </w:pPr>
    <w:rPr>
      <w:sz w:val="22"/>
      <w:vertAlign w:val="superscript"/>
      <w:lang w:val="es-CO"/>
    </w:rPr>
  </w:style>
  <w:style w:type="character" w:customStyle="1" w:styleId="NormalWebCar">
    <w:name w:val="Normal (Web) Car"/>
    <w:link w:val="NormalWeb"/>
    <w:uiPriority w:val="99"/>
    <w:rsid w:val="003159B5"/>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541DD0"/>
    <w:pPr>
      <w:widowControl w:val="0"/>
      <w:autoSpaceDE w:val="0"/>
      <w:autoSpaceDN w:val="0"/>
    </w:pPr>
    <w:rPr>
      <w:rFonts w:ascii="Arial" w:eastAsia="Arial" w:hAnsi="Arial" w:cs="Arial"/>
      <w:sz w:val="20"/>
      <w:szCs w:val="20"/>
      <w:lang w:val="es-ES" w:eastAsia="es-ES" w:bidi="es-ES"/>
    </w:rPr>
  </w:style>
  <w:style w:type="character" w:customStyle="1" w:styleId="TextoindependienteCar">
    <w:name w:val="Texto independiente Car"/>
    <w:basedOn w:val="Fuentedeprrafopredeter"/>
    <w:link w:val="Textoindependiente"/>
    <w:uiPriority w:val="1"/>
    <w:rsid w:val="00541DD0"/>
    <w:rPr>
      <w:rFonts w:ascii="Arial" w:eastAsia="Arial" w:hAnsi="Arial" w:cs="Arial"/>
      <w:sz w:val="20"/>
      <w:szCs w:val="20"/>
      <w:lang w:val="es-ES" w:eastAsia="es-ES" w:bidi="es-ES"/>
    </w:rPr>
  </w:style>
  <w:style w:type="paragraph" w:customStyle="1" w:styleId="Normal11pt">
    <w:name w:val="Normal + 11 pt"/>
    <w:aliases w:val="Negro,Justificado,Izquierda:  -0,95 cm,Derecha:  0,04 cm"/>
    <w:basedOn w:val="Normal"/>
    <w:uiPriority w:val="99"/>
    <w:rsid w:val="00DD38D8"/>
    <w:pPr>
      <w:ind w:left="-540"/>
      <w:jc w:val="both"/>
    </w:pPr>
    <w:rPr>
      <w:rFonts w:ascii="Arial" w:eastAsia="Times New Roman" w:hAnsi="Arial" w:cs="Arial"/>
      <w:color w:val="000000"/>
      <w:sz w:val="22"/>
      <w:lang w:val="es-ES_tradnl" w:eastAsia="es-ES"/>
    </w:rPr>
  </w:style>
  <w:style w:type="character" w:customStyle="1" w:styleId="Ttulo1Car">
    <w:name w:val="Título 1 Car"/>
    <w:basedOn w:val="Fuentedeprrafopredeter"/>
    <w:link w:val="Ttulo1"/>
    <w:uiPriority w:val="9"/>
    <w:rsid w:val="00361BB8"/>
    <w:rPr>
      <w:rFonts w:ascii="Arial" w:eastAsia="Arial" w:hAnsi="Arial" w:cs="Arial"/>
      <w:b/>
      <w:bCs/>
      <w:lang w:val="es-ES"/>
    </w:rPr>
  </w:style>
  <w:style w:type="character" w:customStyle="1" w:styleId="normaltextrun">
    <w:name w:val="normaltextrun"/>
    <w:basedOn w:val="Fuentedeprrafopredeter"/>
    <w:rsid w:val="000B5754"/>
  </w:style>
  <w:style w:type="paragraph" w:customStyle="1" w:styleId="InviasNormal">
    <w:name w:val="Invias Normal"/>
    <w:basedOn w:val="Normal"/>
    <w:link w:val="InviasNormalCar"/>
    <w:qFormat/>
    <w:rsid w:val="00DF5076"/>
    <w:pPr>
      <w:tabs>
        <w:tab w:val="left" w:pos="-142"/>
      </w:tabs>
      <w:autoSpaceDE w:val="0"/>
      <w:autoSpaceDN w:val="0"/>
      <w:adjustRightInd w:val="0"/>
      <w:spacing w:before="120" w:after="240"/>
      <w:jc w:val="both"/>
    </w:pPr>
    <w:rPr>
      <w:rFonts w:ascii="Arial Narrow" w:eastAsia="Times New Roman" w:hAnsi="Arial Narrow" w:cs="Times New Roman"/>
      <w:color w:val="3C3C3C" w:themeColor="background2" w:themeShade="40"/>
      <w:szCs w:val="24"/>
      <w:lang w:val="x-none" w:eastAsia="es-ES"/>
    </w:rPr>
  </w:style>
  <w:style w:type="character" w:customStyle="1" w:styleId="InviasNormalCar">
    <w:name w:val="Invias Normal Car"/>
    <w:link w:val="InviasNormal"/>
    <w:locked/>
    <w:rsid w:val="00DF5076"/>
    <w:rPr>
      <w:rFonts w:ascii="Arial Narrow" w:eastAsia="Times New Roman" w:hAnsi="Arial Narrow" w:cs="Times New Roman"/>
      <w:color w:val="3C3C3C" w:themeColor="background2" w:themeShade="40"/>
      <w:sz w:val="24"/>
      <w:szCs w:val="24"/>
      <w:lang w:val="x-none" w:eastAsia="es-ES"/>
    </w:rPr>
  </w:style>
  <w:style w:type="paragraph" w:customStyle="1" w:styleId="Invias-VietaNumerada">
    <w:name w:val="Invias-Viñeta Numerada"/>
    <w:next w:val="Normal"/>
    <w:link w:val="Invias-VietaNumeradaCar"/>
    <w:uiPriority w:val="99"/>
    <w:qFormat/>
    <w:rsid w:val="00F97396"/>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F97396"/>
    <w:rPr>
      <w:rFonts w:ascii="Arial Narrow" w:eastAsia="Times New Roman" w:hAnsi="Arial Narrow" w:cs="Times New Roman"/>
      <w:sz w:val="24"/>
      <w:szCs w:val="24"/>
      <w:lang w:val="en-US" w:eastAsia="es-ES"/>
    </w:rPr>
  </w:style>
  <w:style w:type="paragraph" w:customStyle="1" w:styleId="Car1">
    <w:name w:val="Car1"/>
    <w:basedOn w:val="Normal"/>
    <w:next w:val="Textonotapie"/>
    <w:uiPriority w:val="99"/>
    <w:unhideWhenUsed/>
    <w:qFormat/>
    <w:rsid w:val="002B4EBC"/>
    <w:rPr>
      <w:noProof/>
      <w:sz w:val="20"/>
      <w:szCs w:val="20"/>
    </w:rPr>
  </w:style>
  <w:style w:type="paragraph" w:customStyle="1" w:styleId="xmsonospacing">
    <w:name w:val="x_msonospacing"/>
    <w:basedOn w:val="Normal"/>
    <w:rsid w:val="00D55602"/>
    <w:pPr>
      <w:spacing w:before="100" w:beforeAutospacing="1" w:after="100" w:afterAutospacing="1"/>
    </w:pPr>
    <w:rPr>
      <w:rFonts w:ascii="Times New Roman" w:eastAsia="Times New Roman" w:hAnsi="Times New Roman" w:cs="Times New Roman"/>
      <w:szCs w:val="24"/>
      <w:lang w:val="es-CO" w:eastAsia="es-MX"/>
    </w:rPr>
  </w:style>
  <w:style w:type="character" w:styleId="Refdenotaalfinal">
    <w:name w:val="endnote reference"/>
    <w:basedOn w:val="Fuentedeprrafopredeter"/>
    <w:uiPriority w:val="99"/>
    <w:semiHidden/>
    <w:unhideWhenUsed/>
    <w:rsid w:val="000A300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210195732">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643202272">
      <w:bodyDiv w:val="1"/>
      <w:marLeft w:val="0"/>
      <w:marRight w:val="0"/>
      <w:marTop w:val="0"/>
      <w:marBottom w:val="0"/>
      <w:divBdr>
        <w:top w:val="none" w:sz="0" w:space="0" w:color="auto"/>
        <w:left w:val="none" w:sz="0" w:space="0" w:color="auto"/>
        <w:bottom w:val="none" w:sz="0" w:space="0" w:color="auto"/>
        <w:right w:val="none" w:sz="0" w:space="0" w:color="auto"/>
      </w:divBdr>
    </w:div>
    <w:div w:id="1020203048">
      <w:bodyDiv w:val="1"/>
      <w:marLeft w:val="0"/>
      <w:marRight w:val="0"/>
      <w:marTop w:val="0"/>
      <w:marBottom w:val="0"/>
      <w:divBdr>
        <w:top w:val="none" w:sz="0" w:space="0" w:color="auto"/>
        <w:left w:val="none" w:sz="0" w:space="0" w:color="auto"/>
        <w:bottom w:val="none" w:sz="0" w:space="0" w:color="auto"/>
        <w:right w:val="none" w:sz="0" w:space="0" w:color="auto"/>
      </w:divBdr>
    </w:div>
    <w:div w:id="1089036503">
      <w:bodyDiv w:val="1"/>
      <w:marLeft w:val="0"/>
      <w:marRight w:val="0"/>
      <w:marTop w:val="0"/>
      <w:marBottom w:val="0"/>
      <w:divBdr>
        <w:top w:val="none" w:sz="0" w:space="0" w:color="auto"/>
        <w:left w:val="none" w:sz="0" w:space="0" w:color="auto"/>
        <w:bottom w:val="none" w:sz="0" w:space="0" w:color="auto"/>
        <w:right w:val="none" w:sz="0" w:space="0" w:color="auto"/>
      </w:divBdr>
    </w:div>
    <w:div w:id="1244535879">
      <w:bodyDiv w:val="1"/>
      <w:marLeft w:val="0"/>
      <w:marRight w:val="0"/>
      <w:marTop w:val="0"/>
      <w:marBottom w:val="0"/>
      <w:divBdr>
        <w:top w:val="none" w:sz="0" w:space="0" w:color="auto"/>
        <w:left w:val="none" w:sz="0" w:space="0" w:color="auto"/>
        <w:bottom w:val="none" w:sz="0" w:space="0" w:color="auto"/>
        <w:right w:val="none" w:sz="0" w:space="0" w:color="auto"/>
      </w:divBdr>
    </w:div>
    <w:div w:id="1425148738">
      <w:bodyDiv w:val="1"/>
      <w:marLeft w:val="0"/>
      <w:marRight w:val="0"/>
      <w:marTop w:val="0"/>
      <w:marBottom w:val="0"/>
      <w:divBdr>
        <w:top w:val="none" w:sz="0" w:space="0" w:color="auto"/>
        <w:left w:val="none" w:sz="0" w:space="0" w:color="auto"/>
        <w:bottom w:val="none" w:sz="0" w:space="0" w:color="auto"/>
        <w:right w:val="none" w:sz="0" w:space="0" w:color="auto"/>
      </w:divBdr>
    </w:div>
    <w:div w:id="1636056792">
      <w:bodyDiv w:val="1"/>
      <w:marLeft w:val="0"/>
      <w:marRight w:val="0"/>
      <w:marTop w:val="0"/>
      <w:marBottom w:val="0"/>
      <w:divBdr>
        <w:top w:val="none" w:sz="0" w:space="0" w:color="auto"/>
        <w:left w:val="none" w:sz="0" w:space="0" w:color="auto"/>
        <w:bottom w:val="none" w:sz="0" w:space="0" w:color="auto"/>
        <w:right w:val="none" w:sz="0" w:space="0" w:color="auto"/>
      </w:divBdr>
    </w:div>
    <w:div w:id="1659848784">
      <w:bodyDiv w:val="1"/>
      <w:marLeft w:val="0"/>
      <w:marRight w:val="0"/>
      <w:marTop w:val="0"/>
      <w:marBottom w:val="0"/>
      <w:divBdr>
        <w:top w:val="none" w:sz="0" w:space="0" w:color="auto"/>
        <w:left w:val="none" w:sz="0" w:space="0" w:color="auto"/>
        <w:bottom w:val="none" w:sz="0" w:space="0" w:color="auto"/>
        <w:right w:val="none" w:sz="0" w:space="0" w:color="auto"/>
      </w:divBdr>
    </w:div>
    <w:div w:id="1807821409">
      <w:bodyDiv w:val="1"/>
      <w:marLeft w:val="0"/>
      <w:marRight w:val="0"/>
      <w:marTop w:val="0"/>
      <w:marBottom w:val="0"/>
      <w:divBdr>
        <w:top w:val="none" w:sz="0" w:space="0" w:color="auto"/>
        <w:left w:val="none" w:sz="0" w:space="0" w:color="auto"/>
        <w:bottom w:val="none" w:sz="0" w:space="0" w:color="auto"/>
        <w:right w:val="none" w:sz="0" w:space="0" w:color="auto"/>
      </w:divBdr>
    </w:div>
    <w:div w:id="1833525111">
      <w:bodyDiv w:val="1"/>
      <w:marLeft w:val="0"/>
      <w:marRight w:val="0"/>
      <w:marTop w:val="0"/>
      <w:marBottom w:val="0"/>
      <w:divBdr>
        <w:top w:val="none" w:sz="0" w:space="0" w:color="auto"/>
        <w:left w:val="none" w:sz="0" w:space="0" w:color="auto"/>
        <w:bottom w:val="none" w:sz="0" w:space="0" w:color="auto"/>
        <w:right w:val="none" w:sz="0" w:space="0" w:color="auto"/>
      </w:divBdr>
      <w:divsChild>
        <w:div w:id="186606538">
          <w:marLeft w:val="0"/>
          <w:marRight w:val="0"/>
          <w:marTop w:val="0"/>
          <w:marBottom w:val="0"/>
          <w:divBdr>
            <w:top w:val="none" w:sz="0" w:space="0" w:color="auto"/>
            <w:left w:val="none" w:sz="0" w:space="0" w:color="auto"/>
            <w:bottom w:val="none" w:sz="0" w:space="0" w:color="auto"/>
            <w:right w:val="none" w:sz="0" w:space="0" w:color="auto"/>
          </w:divBdr>
          <w:divsChild>
            <w:div w:id="1528372486">
              <w:marLeft w:val="0"/>
              <w:marRight w:val="0"/>
              <w:marTop w:val="0"/>
              <w:marBottom w:val="0"/>
              <w:divBdr>
                <w:top w:val="none" w:sz="0" w:space="0" w:color="auto"/>
                <w:left w:val="none" w:sz="0" w:space="0" w:color="auto"/>
                <w:bottom w:val="none" w:sz="0" w:space="0" w:color="auto"/>
                <w:right w:val="none" w:sz="0" w:space="0" w:color="auto"/>
              </w:divBdr>
              <w:divsChild>
                <w:div w:id="161208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E8E3A6-77E7-4328-9AEA-266054033C2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7A6B946D-14BD-4417-BFCD-EA4303C022F6}">
  <ds:schemaRefs>
    <ds:schemaRef ds:uri="http://schemas.openxmlformats.org/officeDocument/2006/bibliography"/>
  </ds:schemaRefs>
</ds:datastoreItem>
</file>

<file path=customXml/itemProps4.xml><?xml version="1.0" encoding="utf-8"?>
<ds:datastoreItem xmlns:ds="http://schemas.openxmlformats.org/officeDocument/2006/customXml" ds:itemID="{75FA38ED-085C-484A-ACAE-65116978F9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0</TotalTime>
  <Pages>12</Pages>
  <Words>4413</Words>
  <Characters>24277</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MARIA CLAUDIA DE LA OSSA BOBADILLA</cp:lastModifiedBy>
  <cp:revision>2</cp:revision>
  <dcterms:created xsi:type="dcterms:W3CDTF">2022-10-19T19:17:00Z</dcterms:created>
  <dcterms:modified xsi:type="dcterms:W3CDTF">2022-10-19T19:17:00Z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