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D3549" w14:textId="77777777" w:rsidR="00385131" w:rsidRPr="0074364C" w:rsidRDefault="00385131" w:rsidP="00193B52">
      <w:pPr>
        <w:jc w:val="right"/>
        <w:rPr>
          <w:rFonts w:ascii="Arial" w:hAnsi="Arial" w:cs="Arial"/>
          <w:b/>
          <w:color w:val="000000" w:themeColor="text1"/>
          <w:sz w:val="22"/>
          <w:szCs w:val="22"/>
          <w:lang w:val="es-ES_tradnl" w:eastAsia="es-ES"/>
        </w:rPr>
      </w:pPr>
      <w:bookmarkStart w:id="0" w:name="_Hlk50481752"/>
    </w:p>
    <w:p w14:paraId="61128224" w14:textId="1CE64DAD" w:rsidR="00385131" w:rsidRPr="0074364C" w:rsidRDefault="001F190A" w:rsidP="00385131">
      <w:pPr>
        <w:jc w:val="both"/>
        <w:rPr>
          <w:rFonts w:ascii="Arial" w:eastAsia="Calibri" w:hAnsi="Arial" w:cs="Arial"/>
          <w:b/>
          <w:color w:val="000000" w:themeColor="text1"/>
          <w:sz w:val="22"/>
          <w:szCs w:val="22"/>
          <w:lang w:val="es-MX" w:eastAsia="en-US"/>
        </w:rPr>
      </w:pPr>
      <w:r w:rsidRPr="0074364C">
        <w:rPr>
          <w:rFonts w:ascii="Arial" w:eastAsia="Calibri" w:hAnsi="Arial" w:cs="Arial"/>
          <w:b/>
          <w:color w:val="000000" w:themeColor="text1"/>
          <w:sz w:val="22"/>
          <w:szCs w:val="22"/>
          <w:lang w:val="es-MX" w:eastAsia="en-US"/>
        </w:rPr>
        <w:t>AUDIENCIA DE ASIGNACIÓN DE RIESGOS</w:t>
      </w:r>
      <w:r w:rsidR="00385131" w:rsidRPr="0074364C">
        <w:rPr>
          <w:rFonts w:ascii="Arial" w:eastAsia="Calibri" w:hAnsi="Arial" w:cs="Arial"/>
          <w:b/>
          <w:color w:val="000000" w:themeColor="text1"/>
          <w:sz w:val="22"/>
          <w:szCs w:val="22"/>
          <w:lang w:val="es-MX" w:eastAsia="en-US"/>
        </w:rPr>
        <w:t xml:space="preserve"> –</w:t>
      </w:r>
      <w:r w:rsidR="0074364C" w:rsidRPr="0074364C">
        <w:rPr>
          <w:rFonts w:ascii="Arial" w:eastAsia="Calibri" w:hAnsi="Arial" w:cs="Arial"/>
          <w:b/>
          <w:color w:val="000000" w:themeColor="text1"/>
          <w:sz w:val="22"/>
          <w:szCs w:val="22"/>
          <w:lang w:val="es-MX" w:eastAsia="en-US"/>
        </w:rPr>
        <w:t xml:space="preserve"> </w:t>
      </w:r>
      <w:r w:rsidRPr="0074364C">
        <w:rPr>
          <w:rFonts w:ascii="Arial" w:eastAsia="Calibri" w:hAnsi="Arial" w:cs="Arial"/>
          <w:b/>
          <w:color w:val="000000" w:themeColor="text1"/>
          <w:sz w:val="22"/>
          <w:szCs w:val="22"/>
          <w:lang w:val="es-ES_tradnl" w:eastAsia="en-US"/>
        </w:rPr>
        <w:t xml:space="preserve">Obligatoriedad de adelantar la audiencia de asignación de riesgos. </w:t>
      </w:r>
    </w:p>
    <w:p w14:paraId="1E1799D0" w14:textId="77777777" w:rsidR="00385131" w:rsidRPr="006E0D83" w:rsidRDefault="00385131" w:rsidP="00385131">
      <w:pPr>
        <w:jc w:val="both"/>
        <w:rPr>
          <w:rFonts w:ascii="Arial" w:eastAsia="Calibri" w:hAnsi="Arial" w:cs="Arial"/>
          <w:b/>
          <w:color w:val="000000" w:themeColor="text1"/>
          <w:sz w:val="20"/>
          <w:szCs w:val="20"/>
          <w:lang w:val="es-MX" w:eastAsia="en-US"/>
        </w:rPr>
      </w:pPr>
    </w:p>
    <w:p w14:paraId="0A748846" w14:textId="5AD012A5" w:rsidR="00385131" w:rsidRPr="006E0D83" w:rsidRDefault="001F190A" w:rsidP="00385131">
      <w:pPr>
        <w:jc w:val="both"/>
        <w:rPr>
          <w:rFonts w:ascii="Arial" w:eastAsiaTheme="minorHAnsi" w:hAnsi="Arial" w:cs="Arial"/>
          <w:color w:val="000000" w:themeColor="text1"/>
          <w:sz w:val="20"/>
          <w:szCs w:val="20"/>
          <w:lang w:val="es-MX" w:eastAsia="en-US"/>
        </w:rPr>
      </w:pPr>
      <w:r w:rsidRPr="006E0D83">
        <w:rPr>
          <w:rFonts w:ascii="Arial" w:hAnsi="Arial" w:cs="Arial"/>
          <w:sz w:val="20"/>
          <w:szCs w:val="20"/>
          <w:shd w:val="clear" w:color="auto" w:fill="FFFFFF"/>
          <w:lang w:val="es-ES_tradnl"/>
        </w:rPr>
        <w:t>La audiencia de asignación de riesgos no fue prevista como obligatoria para todos los procesos de selección, sino únicamente para la licitación pública. Su propósito es que los oferentes y la entidad revisen, en un espacio de diálogo, la asignación de los riesgos que previamente se han incluido en el pliego de condiciones. De esta manera, podrán identificar y valorar los riesgos previsibles del contrato, así como designar a la parte contractual que tendrá la responsabilidad de tomar las medidas para prevenir y mitigar el riesgo, con el fin de establecer su distribución definitiva</w:t>
      </w:r>
      <w:r w:rsidR="00385131" w:rsidRPr="006E0D83">
        <w:rPr>
          <w:rFonts w:ascii="Arial" w:eastAsiaTheme="minorHAnsi" w:hAnsi="Arial" w:cs="Arial"/>
          <w:color w:val="000000" w:themeColor="text1"/>
          <w:sz w:val="20"/>
          <w:szCs w:val="20"/>
          <w:lang w:val="es-MX" w:eastAsia="en-US"/>
        </w:rPr>
        <w:t>.</w:t>
      </w:r>
    </w:p>
    <w:p w14:paraId="529D9785" w14:textId="02CA9D17" w:rsidR="000E3C5A" w:rsidRPr="006E0D83" w:rsidRDefault="000E3C5A" w:rsidP="00385131">
      <w:pPr>
        <w:jc w:val="both"/>
        <w:rPr>
          <w:rFonts w:ascii="Arial" w:eastAsiaTheme="minorHAnsi" w:hAnsi="Arial" w:cs="Arial"/>
          <w:color w:val="000000" w:themeColor="text1"/>
          <w:sz w:val="20"/>
          <w:szCs w:val="20"/>
          <w:lang w:val="es-MX" w:eastAsia="en-US"/>
        </w:rPr>
      </w:pPr>
    </w:p>
    <w:p w14:paraId="026C61F7" w14:textId="77B8FCB0" w:rsidR="000E3C5A" w:rsidRPr="0074364C" w:rsidRDefault="001F190A" w:rsidP="00385131">
      <w:pPr>
        <w:jc w:val="both"/>
        <w:rPr>
          <w:rFonts w:ascii="Arial" w:eastAsiaTheme="minorHAnsi" w:hAnsi="Arial" w:cs="Arial"/>
          <w:b/>
          <w:bCs/>
          <w:color w:val="000000" w:themeColor="text1"/>
          <w:sz w:val="22"/>
          <w:szCs w:val="22"/>
          <w:lang w:val="es-MX" w:eastAsia="en-US"/>
        </w:rPr>
      </w:pPr>
      <w:r w:rsidRPr="0074364C">
        <w:rPr>
          <w:rFonts w:ascii="Arial" w:eastAsia="Calibri" w:hAnsi="Arial" w:cs="Arial"/>
          <w:b/>
          <w:color w:val="000000" w:themeColor="text1"/>
          <w:sz w:val="22"/>
          <w:szCs w:val="22"/>
          <w:lang w:val="es-MX" w:eastAsia="en-US"/>
        </w:rPr>
        <w:t xml:space="preserve">AUDIENCIA DE ASIGNACIÓN DE RIESGOS </w:t>
      </w:r>
      <w:r w:rsidR="000E3C5A" w:rsidRPr="0074364C">
        <w:rPr>
          <w:rFonts w:ascii="Arial" w:eastAsiaTheme="minorHAnsi" w:hAnsi="Arial" w:cs="Arial"/>
          <w:b/>
          <w:bCs/>
          <w:color w:val="000000" w:themeColor="text1"/>
          <w:sz w:val="22"/>
          <w:szCs w:val="22"/>
          <w:lang w:val="es-MX" w:eastAsia="en-US"/>
        </w:rPr>
        <w:t xml:space="preserve">– </w:t>
      </w:r>
      <w:r w:rsidRPr="0074364C">
        <w:rPr>
          <w:rFonts w:ascii="Arial" w:eastAsiaTheme="minorHAnsi" w:hAnsi="Arial" w:cs="Arial"/>
          <w:b/>
          <w:bCs/>
          <w:color w:val="000000" w:themeColor="text1"/>
          <w:sz w:val="22"/>
          <w:szCs w:val="22"/>
          <w:lang w:val="es-MX" w:eastAsia="en-US"/>
        </w:rPr>
        <w:t>implicaciones legales de no asistir a la audiencia de asignación de riesgos</w:t>
      </w:r>
    </w:p>
    <w:p w14:paraId="2F492DB0" w14:textId="2722C41E" w:rsidR="000E3C5A" w:rsidRPr="006E0D83" w:rsidRDefault="000E3C5A" w:rsidP="00385131">
      <w:pPr>
        <w:jc w:val="both"/>
        <w:rPr>
          <w:rFonts w:ascii="Arial" w:eastAsiaTheme="minorHAnsi" w:hAnsi="Arial" w:cs="Arial"/>
          <w:b/>
          <w:bCs/>
          <w:color w:val="000000" w:themeColor="text1"/>
          <w:sz w:val="20"/>
          <w:szCs w:val="20"/>
          <w:lang w:val="es-MX" w:eastAsia="en-US"/>
        </w:rPr>
      </w:pPr>
    </w:p>
    <w:p w14:paraId="7BCA7788" w14:textId="6CDD1B28" w:rsidR="000E3C5A" w:rsidRPr="006E0D83" w:rsidRDefault="000E3C5A" w:rsidP="00385131">
      <w:pPr>
        <w:jc w:val="both"/>
        <w:rPr>
          <w:rFonts w:ascii="Arial" w:hAnsi="Arial" w:cs="Arial"/>
          <w:sz w:val="20"/>
          <w:szCs w:val="20"/>
          <w:shd w:val="clear" w:color="auto" w:fill="FFFFFF"/>
          <w:lang w:val="es-ES_tradnl"/>
        </w:rPr>
      </w:pPr>
      <w:r w:rsidRPr="006E0D83">
        <w:rPr>
          <w:rFonts w:ascii="Arial" w:hAnsi="Arial" w:cs="Arial"/>
          <w:sz w:val="20"/>
          <w:szCs w:val="20"/>
          <w:shd w:val="clear" w:color="auto" w:fill="FFFFFF"/>
          <w:lang w:val="es-ES_tradnl"/>
        </w:rPr>
        <w:t>[…</w:t>
      </w:r>
      <w:r w:rsidR="001F190A" w:rsidRPr="006E0D83">
        <w:rPr>
          <w:rFonts w:ascii="Arial" w:hAnsi="Arial" w:cs="Arial"/>
          <w:sz w:val="20"/>
          <w:szCs w:val="20"/>
          <w:shd w:val="clear" w:color="auto" w:fill="FFFFFF"/>
          <w:lang w:val="es-ES_tradnl"/>
        </w:rPr>
        <w:t xml:space="preserve">] la asistencia a la audiencia de asignación de riesgos es un derecho del futuro proponente y no una obligación. Por tal motivo no puede ser una causal que implique el rechazo de la oferta o impida la presentación de </w:t>
      </w:r>
      <w:proofErr w:type="gramStart"/>
      <w:r w:rsidR="001F190A" w:rsidRPr="006E0D83">
        <w:rPr>
          <w:rFonts w:ascii="Arial" w:hAnsi="Arial" w:cs="Arial"/>
          <w:sz w:val="20"/>
          <w:szCs w:val="20"/>
          <w:shd w:val="clear" w:color="auto" w:fill="FFFFFF"/>
          <w:lang w:val="es-ES_tradnl"/>
        </w:rPr>
        <w:t>la misma</w:t>
      </w:r>
      <w:proofErr w:type="gramEnd"/>
      <w:r w:rsidR="001F190A" w:rsidRPr="006E0D83">
        <w:rPr>
          <w:rFonts w:ascii="Arial" w:hAnsi="Arial" w:cs="Arial"/>
          <w:sz w:val="20"/>
          <w:szCs w:val="20"/>
          <w:shd w:val="clear" w:color="auto" w:fill="FFFFFF"/>
          <w:lang w:val="es-ES_tradnl"/>
        </w:rPr>
        <w:t>. Sin embargo, se reitera que la inasistencia a la audiencia implica la aceptación por parte del oferente de la forma en la que han sido estimados, tipificados y distribuidos los riesgos por parte de la entidad pública</w:t>
      </w:r>
      <w:r w:rsidR="00F2520A" w:rsidRPr="006E0D83">
        <w:rPr>
          <w:rFonts w:ascii="Arial" w:hAnsi="Arial" w:cs="Arial"/>
          <w:sz w:val="20"/>
          <w:szCs w:val="20"/>
          <w:shd w:val="clear" w:color="auto" w:fill="FFFFFF"/>
          <w:lang w:val="es-ES_tradnl"/>
        </w:rPr>
        <w:t>.</w:t>
      </w:r>
    </w:p>
    <w:p w14:paraId="0E294A42" w14:textId="77777777" w:rsidR="00385131" w:rsidRPr="006E0D83" w:rsidRDefault="00385131" w:rsidP="00385131">
      <w:pPr>
        <w:rPr>
          <w:rFonts w:ascii="Arial" w:hAnsi="Arial" w:cs="Arial"/>
          <w:b/>
          <w:color w:val="000000" w:themeColor="text1"/>
          <w:sz w:val="16"/>
          <w:szCs w:val="16"/>
          <w:lang w:val="es-ES_tradnl" w:eastAsia="es-ES"/>
        </w:rPr>
      </w:pPr>
    </w:p>
    <w:p w14:paraId="60379D49" w14:textId="5099EE68"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31E2C132" w14:textId="631A5E4C" w:rsidR="00464278" w:rsidRPr="006E0D83" w:rsidRDefault="00464278" w:rsidP="00C25DCC">
      <w:pPr>
        <w:jc w:val="both"/>
        <w:rPr>
          <w:rFonts w:ascii="Arial" w:hAnsi="Arial" w:cs="Arial"/>
          <w:b/>
          <w:color w:val="000000" w:themeColor="text1"/>
          <w:sz w:val="16"/>
          <w:szCs w:val="16"/>
          <w:highlight w:val="yellow"/>
          <w:lang w:val="es-ES_tradnl" w:eastAsia="es-ES"/>
        </w:rPr>
      </w:pPr>
    </w:p>
    <w:p w14:paraId="05A0803A" w14:textId="7963D2C9"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059A5F2F" w14:textId="0E4252C9"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216EB227" w14:textId="2EB5406F"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7A75B9FD" w14:textId="116D0CAF"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765EC121" w14:textId="2C23F4F8"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7A7989CF" w14:textId="23A8C17D"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1C13927B" w14:textId="35E749C2"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05055F7D" w14:textId="3A2CE0E1"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66BBE07E" w14:textId="50A029EC"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2B752F02" w14:textId="49992542"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13374466" w14:textId="77777777"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3F0526AF" w14:textId="43A9F0B3"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6983D6CC" w14:textId="01D42CCD" w:rsidR="00464278" w:rsidRPr="006E0D83" w:rsidRDefault="00464278" w:rsidP="00193B52">
      <w:pPr>
        <w:jc w:val="right"/>
        <w:rPr>
          <w:rFonts w:ascii="Arial" w:hAnsi="Arial" w:cs="Arial"/>
          <w:b/>
          <w:color w:val="000000" w:themeColor="text1"/>
          <w:sz w:val="16"/>
          <w:szCs w:val="16"/>
          <w:highlight w:val="yellow"/>
          <w:lang w:val="es-ES_tradnl" w:eastAsia="es-ES"/>
        </w:rPr>
      </w:pPr>
    </w:p>
    <w:p w14:paraId="43C75C09" w14:textId="30084363" w:rsidR="00464278" w:rsidRPr="006E0D83" w:rsidRDefault="00464278" w:rsidP="00193B52">
      <w:pPr>
        <w:jc w:val="right"/>
        <w:rPr>
          <w:rFonts w:ascii="Arial" w:eastAsia="Calibri" w:hAnsi="Arial" w:cs="Arial"/>
          <w:b/>
          <w:color w:val="000000" w:themeColor="text1"/>
          <w:sz w:val="20"/>
          <w:szCs w:val="20"/>
          <w:highlight w:val="yellow"/>
          <w:lang w:val="es-ES_tradnl"/>
        </w:rPr>
      </w:pPr>
    </w:p>
    <w:p w14:paraId="480DFFE9" w14:textId="5C1F6A68" w:rsidR="00486C85" w:rsidRPr="006E0D83" w:rsidRDefault="00486C85" w:rsidP="00193B52">
      <w:pPr>
        <w:jc w:val="right"/>
        <w:rPr>
          <w:rFonts w:ascii="Arial" w:eastAsia="Calibri" w:hAnsi="Arial" w:cs="Arial"/>
          <w:b/>
          <w:color w:val="000000" w:themeColor="text1"/>
          <w:sz w:val="20"/>
          <w:szCs w:val="20"/>
          <w:highlight w:val="yellow"/>
          <w:lang w:val="es-ES_tradnl"/>
        </w:rPr>
      </w:pPr>
    </w:p>
    <w:p w14:paraId="3C41ECAD" w14:textId="48217AF8" w:rsidR="00486C85" w:rsidRPr="006E0D83" w:rsidRDefault="00486C85" w:rsidP="00193B52">
      <w:pPr>
        <w:jc w:val="right"/>
        <w:rPr>
          <w:rFonts w:ascii="Arial" w:eastAsia="Calibri" w:hAnsi="Arial" w:cs="Arial"/>
          <w:b/>
          <w:color w:val="000000" w:themeColor="text1"/>
          <w:sz w:val="20"/>
          <w:szCs w:val="20"/>
          <w:highlight w:val="yellow"/>
          <w:lang w:val="es-ES_tradnl"/>
        </w:rPr>
      </w:pPr>
    </w:p>
    <w:p w14:paraId="477758EE" w14:textId="489B7E53" w:rsidR="00486C85" w:rsidRPr="006E0D83" w:rsidRDefault="00486C85" w:rsidP="00193B52">
      <w:pPr>
        <w:jc w:val="right"/>
        <w:rPr>
          <w:rFonts w:ascii="Arial" w:eastAsia="Calibri" w:hAnsi="Arial" w:cs="Arial"/>
          <w:b/>
          <w:color w:val="000000" w:themeColor="text1"/>
          <w:sz w:val="20"/>
          <w:szCs w:val="20"/>
          <w:highlight w:val="yellow"/>
          <w:lang w:val="es-ES_tradnl"/>
        </w:rPr>
      </w:pPr>
    </w:p>
    <w:p w14:paraId="104A0428" w14:textId="028E2962" w:rsidR="00486C85" w:rsidRPr="006E0D83" w:rsidRDefault="00486C85" w:rsidP="00193B52">
      <w:pPr>
        <w:jc w:val="right"/>
        <w:rPr>
          <w:rFonts w:ascii="Arial" w:eastAsia="Calibri" w:hAnsi="Arial" w:cs="Arial"/>
          <w:b/>
          <w:color w:val="000000" w:themeColor="text1"/>
          <w:sz w:val="20"/>
          <w:szCs w:val="20"/>
          <w:highlight w:val="yellow"/>
          <w:lang w:val="es-ES_tradnl"/>
        </w:rPr>
      </w:pPr>
    </w:p>
    <w:p w14:paraId="22D64695" w14:textId="115E7B88" w:rsidR="00486C85" w:rsidRPr="006E0D83" w:rsidRDefault="00486C85" w:rsidP="00193B52">
      <w:pPr>
        <w:jc w:val="right"/>
        <w:rPr>
          <w:rFonts w:ascii="Arial" w:eastAsia="Calibri" w:hAnsi="Arial" w:cs="Arial"/>
          <w:b/>
          <w:color w:val="000000" w:themeColor="text1"/>
          <w:sz w:val="20"/>
          <w:szCs w:val="20"/>
          <w:highlight w:val="yellow"/>
          <w:lang w:val="es-ES_tradnl"/>
        </w:rPr>
      </w:pPr>
    </w:p>
    <w:p w14:paraId="70B5B9C4" w14:textId="06A4783C" w:rsidR="00486C85" w:rsidRPr="006E0D83" w:rsidRDefault="00486C85" w:rsidP="00193B52">
      <w:pPr>
        <w:jc w:val="right"/>
        <w:rPr>
          <w:rFonts w:ascii="Arial" w:eastAsia="Calibri" w:hAnsi="Arial" w:cs="Arial"/>
          <w:b/>
          <w:color w:val="000000" w:themeColor="text1"/>
          <w:sz w:val="20"/>
          <w:szCs w:val="20"/>
          <w:highlight w:val="yellow"/>
          <w:lang w:val="es-ES_tradnl"/>
        </w:rPr>
      </w:pPr>
    </w:p>
    <w:bookmarkEnd w:id="0"/>
    <w:p w14:paraId="4A701961" w14:textId="77777777" w:rsidR="00523E23" w:rsidRPr="006E0D83" w:rsidRDefault="00523E23" w:rsidP="00C118DB">
      <w:pPr>
        <w:spacing w:line="276" w:lineRule="auto"/>
        <w:jc w:val="both"/>
        <w:rPr>
          <w:rFonts w:ascii="Arial" w:hAnsi="Arial" w:cs="Arial"/>
          <w:noProof/>
          <w:color w:val="000000" w:themeColor="text1"/>
          <w:sz w:val="22"/>
          <w:highlight w:val="yellow"/>
          <w:lang w:val="pt-BR"/>
        </w:rPr>
      </w:pPr>
    </w:p>
    <w:p w14:paraId="498A7814" w14:textId="77777777" w:rsidR="00523E23" w:rsidRPr="006E0D83" w:rsidRDefault="00523E23" w:rsidP="00C118DB">
      <w:pPr>
        <w:spacing w:line="276" w:lineRule="auto"/>
        <w:jc w:val="both"/>
        <w:rPr>
          <w:rFonts w:ascii="Arial" w:hAnsi="Arial" w:cs="Arial"/>
          <w:noProof/>
          <w:color w:val="000000" w:themeColor="text1"/>
          <w:sz w:val="22"/>
          <w:highlight w:val="yellow"/>
          <w:lang w:val="pt-BR"/>
        </w:rPr>
      </w:pPr>
    </w:p>
    <w:p w14:paraId="602D68F0" w14:textId="77777777" w:rsidR="00523E23" w:rsidRPr="006E0D83" w:rsidRDefault="00523E23" w:rsidP="00C118DB">
      <w:pPr>
        <w:spacing w:line="276" w:lineRule="auto"/>
        <w:jc w:val="both"/>
        <w:rPr>
          <w:rFonts w:ascii="Arial" w:hAnsi="Arial" w:cs="Arial"/>
          <w:noProof/>
          <w:color w:val="000000" w:themeColor="text1"/>
          <w:sz w:val="22"/>
          <w:lang w:val="pt-BR"/>
        </w:rPr>
      </w:pPr>
    </w:p>
    <w:p w14:paraId="491F9894" w14:textId="77777777" w:rsidR="00523E23" w:rsidRPr="006E0D83" w:rsidRDefault="00523E23" w:rsidP="00C118DB">
      <w:pPr>
        <w:spacing w:line="276" w:lineRule="auto"/>
        <w:jc w:val="both"/>
        <w:rPr>
          <w:rFonts w:ascii="Arial" w:hAnsi="Arial" w:cs="Arial"/>
          <w:noProof/>
          <w:color w:val="000000" w:themeColor="text1"/>
          <w:sz w:val="22"/>
          <w:lang w:val="pt-BR"/>
        </w:rPr>
      </w:pPr>
    </w:p>
    <w:p w14:paraId="5C2D33FD" w14:textId="77777777" w:rsidR="00523E23" w:rsidRPr="006E0D83" w:rsidRDefault="00523E23" w:rsidP="00C118DB">
      <w:pPr>
        <w:spacing w:line="276" w:lineRule="auto"/>
        <w:jc w:val="both"/>
        <w:rPr>
          <w:rFonts w:ascii="Arial" w:hAnsi="Arial" w:cs="Arial"/>
          <w:noProof/>
          <w:color w:val="000000" w:themeColor="text1"/>
          <w:sz w:val="22"/>
          <w:lang w:val="pt-BR"/>
        </w:rPr>
      </w:pPr>
    </w:p>
    <w:p w14:paraId="65AC2502" w14:textId="77777777" w:rsidR="0074364C" w:rsidRDefault="0074364C" w:rsidP="00C118DB">
      <w:pPr>
        <w:spacing w:line="276" w:lineRule="auto"/>
        <w:jc w:val="both"/>
        <w:rPr>
          <w:rFonts w:ascii="Arial" w:hAnsi="Arial" w:cs="Arial"/>
          <w:noProof/>
          <w:color w:val="000000" w:themeColor="text1"/>
          <w:sz w:val="22"/>
          <w:lang w:val="pt-BR"/>
        </w:rPr>
      </w:pPr>
    </w:p>
    <w:p w14:paraId="4EFEDC0D" w14:textId="3D544A1E" w:rsidR="003C60BB" w:rsidRPr="006E0D83" w:rsidRDefault="00747E74" w:rsidP="00C118DB">
      <w:pPr>
        <w:spacing w:line="276" w:lineRule="auto"/>
        <w:jc w:val="both"/>
        <w:rPr>
          <w:rFonts w:ascii="Arial" w:hAnsi="Arial" w:cs="Arial"/>
          <w:noProof/>
          <w:color w:val="000000" w:themeColor="text1"/>
          <w:sz w:val="22"/>
          <w:lang w:val="pt-BR"/>
        </w:rPr>
      </w:pPr>
      <w:r w:rsidRPr="00747E74">
        <w:rPr>
          <w:rFonts w:ascii="Arial" w:hAnsi="Arial" w:cs="Arial"/>
          <w:noProof/>
          <w:color w:val="000000" w:themeColor="text1"/>
          <w:sz w:val="22"/>
          <w:lang w:val="pt-BR"/>
        </w:rPr>
        <w:drawing>
          <wp:anchor distT="0" distB="0" distL="114300" distR="114300" simplePos="0" relativeHeight="251658240" behindDoc="1" locked="0" layoutInCell="1" allowOverlap="1" wp14:anchorId="7BFD0FA8" wp14:editId="64FD5440">
            <wp:simplePos x="0" y="0"/>
            <wp:positionH relativeFrom="column">
              <wp:posOffset>3213100</wp:posOffset>
            </wp:positionH>
            <wp:positionV relativeFrom="paragraph">
              <wp:posOffset>-152400</wp:posOffset>
            </wp:positionV>
            <wp:extent cx="2653780" cy="704695"/>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659418" cy="706192"/>
                    </a:xfrm>
                    <a:prstGeom prst="rect">
                      <a:avLst/>
                    </a:prstGeom>
                  </pic:spPr>
                </pic:pic>
              </a:graphicData>
            </a:graphic>
            <wp14:sizeRelH relativeFrom="margin">
              <wp14:pctWidth>0</wp14:pctWidth>
            </wp14:sizeRelH>
            <wp14:sizeRelV relativeFrom="margin">
              <wp14:pctHeight>0</wp14:pctHeight>
            </wp14:sizeRelV>
          </wp:anchor>
        </w:drawing>
      </w:r>
      <w:r w:rsidR="00207C1E" w:rsidRPr="006E0D83">
        <w:rPr>
          <w:rFonts w:ascii="Arial" w:hAnsi="Arial" w:cs="Arial"/>
          <w:noProof/>
          <w:color w:val="000000" w:themeColor="text1"/>
          <w:sz w:val="22"/>
          <w:lang w:val="pt-BR"/>
        </w:rPr>
        <w:t>Bogotá</w:t>
      </w:r>
      <w:r w:rsidR="00690FF7" w:rsidRPr="006E0D83">
        <w:rPr>
          <w:rFonts w:ascii="Arial" w:hAnsi="Arial" w:cs="Arial"/>
          <w:noProof/>
          <w:color w:val="000000" w:themeColor="text1"/>
          <w:sz w:val="22"/>
          <w:lang w:val="pt-BR"/>
        </w:rPr>
        <w:t>, D.C.</w:t>
      </w:r>
      <w:r w:rsidR="00305E10">
        <w:rPr>
          <w:rFonts w:ascii="Arial" w:hAnsi="Arial" w:cs="Arial"/>
          <w:noProof/>
          <w:color w:val="000000" w:themeColor="text1"/>
          <w:sz w:val="22"/>
          <w:lang w:val="pt-BR"/>
        </w:rPr>
        <w:t>, 20 de octubre de 2022</w:t>
      </w:r>
      <w:r w:rsidRPr="00747E74">
        <w:rPr>
          <w:noProof/>
          <w:lang w:eastAsia="es-CO"/>
        </w:rPr>
        <w:t xml:space="preserve"> </w:t>
      </w:r>
    </w:p>
    <w:p w14:paraId="40FCB7BD" w14:textId="29091962" w:rsidR="00C25DCC" w:rsidRDefault="00C25DCC" w:rsidP="00C118DB">
      <w:pPr>
        <w:spacing w:line="276" w:lineRule="auto"/>
        <w:jc w:val="both"/>
        <w:rPr>
          <w:rFonts w:ascii="Arial" w:hAnsi="Arial" w:cs="Arial"/>
          <w:noProof/>
          <w:color w:val="000000" w:themeColor="text1"/>
          <w:sz w:val="22"/>
          <w:lang w:val="pt-BR"/>
        </w:rPr>
      </w:pPr>
    </w:p>
    <w:p w14:paraId="47A6811D" w14:textId="77777777" w:rsidR="0074364C" w:rsidRPr="006E0D83" w:rsidRDefault="0074364C" w:rsidP="00C118DB">
      <w:pPr>
        <w:spacing w:line="276" w:lineRule="auto"/>
        <w:jc w:val="both"/>
        <w:rPr>
          <w:rFonts w:ascii="Arial" w:hAnsi="Arial" w:cs="Arial"/>
          <w:noProof/>
          <w:color w:val="000000" w:themeColor="text1"/>
          <w:sz w:val="22"/>
          <w:lang w:val="pt-BR"/>
        </w:rPr>
      </w:pPr>
    </w:p>
    <w:p w14:paraId="5F5AE9EF" w14:textId="2E4D0233" w:rsidR="00B95C30" w:rsidRPr="006E0D83" w:rsidRDefault="00B95C30" w:rsidP="00B95C30">
      <w:pPr>
        <w:jc w:val="both"/>
        <w:rPr>
          <w:rFonts w:ascii="Arial" w:eastAsia="Calibri" w:hAnsi="Arial" w:cs="Arial"/>
          <w:color w:val="000000" w:themeColor="text1"/>
          <w:sz w:val="22"/>
          <w:lang w:val="es-ES_tradnl"/>
        </w:rPr>
      </w:pPr>
      <w:bookmarkStart w:id="1" w:name="_Hlk95237798"/>
      <w:r w:rsidRPr="006E0D83">
        <w:rPr>
          <w:rFonts w:ascii="Arial" w:eastAsia="Calibri" w:hAnsi="Arial" w:cs="Arial"/>
          <w:color w:val="000000" w:themeColor="text1"/>
          <w:sz w:val="22"/>
          <w:lang w:val="es-ES_tradnl"/>
        </w:rPr>
        <w:t>Señor</w:t>
      </w:r>
    </w:p>
    <w:p w14:paraId="5CE13CF9" w14:textId="5746AF89" w:rsidR="00A55F36" w:rsidRPr="006E0D83" w:rsidRDefault="00A55F36" w:rsidP="00B95C30">
      <w:pPr>
        <w:jc w:val="both"/>
        <w:rPr>
          <w:rFonts w:ascii="Arial" w:hAnsi="Arial" w:cs="Arial"/>
          <w:b/>
          <w:bCs/>
          <w:color w:val="0D0D0D" w:themeColor="text1" w:themeTint="F2"/>
          <w:sz w:val="22"/>
          <w:szCs w:val="22"/>
          <w:lang w:eastAsia="es-ES"/>
        </w:rPr>
      </w:pPr>
      <w:r w:rsidRPr="006E0D83">
        <w:rPr>
          <w:rFonts w:ascii="Arial" w:hAnsi="Arial" w:cs="Arial"/>
          <w:b/>
          <w:bCs/>
          <w:color w:val="0D0D0D" w:themeColor="text1" w:themeTint="F2"/>
          <w:sz w:val="22"/>
          <w:szCs w:val="22"/>
          <w:lang w:eastAsia="es-ES"/>
        </w:rPr>
        <w:t>Alexander Macias Avella</w:t>
      </w:r>
    </w:p>
    <w:p w14:paraId="6F1EED12" w14:textId="6C5EE7B7" w:rsidR="00F96D27" w:rsidRPr="006E0D83" w:rsidRDefault="00A55F36" w:rsidP="00B95C30">
      <w:pPr>
        <w:jc w:val="both"/>
        <w:rPr>
          <w:rFonts w:ascii="Arial" w:hAnsi="Arial" w:cs="Arial"/>
          <w:noProof/>
          <w:color w:val="000000" w:themeColor="text1"/>
          <w:sz w:val="22"/>
          <w:lang w:val="pt-BR"/>
        </w:rPr>
      </w:pPr>
      <w:r w:rsidRPr="006E0D83">
        <w:rPr>
          <w:rFonts w:ascii="Arial" w:hAnsi="Arial" w:cs="Arial"/>
          <w:noProof/>
          <w:color w:val="000000" w:themeColor="text1"/>
          <w:sz w:val="22"/>
          <w:lang w:val="pt-BR"/>
        </w:rPr>
        <w:t>Sogamoso</w:t>
      </w:r>
      <w:r w:rsidR="005F2FFF">
        <w:rPr>
          <w:rFonts w:ascii="Arial" w:hAnsi="Arial" w:cs="Arial"/>
          <w:noProof/>
          <w:color w:val="000000" w:themeColor="text1"/>
          <w:sz w:val="22"/>
          <w:lang w:val="pt-BR"/>
        </w:rPr>
        <w:t>, Boyacá</w:t>
      </w:r>
    </w:p>
    <w:p w14:paraId="035A0098" w14:textId="77777777" w:rsidR="00523E23" w:rsidRPr="006E0D83" w:rsidRDefault="00523E23" w:rsidP="00B95C30">
      <w:pPr>
        <w:jc w:val="both"/>
        <w:rPr>
          <w:rFonts w:ascii="Arial" w:eastAsia="Calibri" w:hAnsi="Arial" w:cs="Arial"/>
          <w:color w:val="000000" w:themeColor="text1"/>
          <w:sz w:val="22"/>
          <w:lang w:val="es-ES_tradnl"/>
        </w:rPr>
      </w:pPr>
    </w:p>
    <w:p w14:paraId="1BD594F9" w14:textId="6A968C87" w:rsidR="00B95C30" w:rsidRPr="006E0D83" w:rsidRDefault="007F1C42" w:rsidP="003C0791">
      <w:pPr>
        <w:rPr>
          <w:rFonts w:ascii="Arial" w:eastAsia="Calibri" w:hAnsi="Arial" w:cs="Arial"/>
          <w:b/>
          <w:bCs/>
          <w:color w:val="000000" w:themeColor="text1"/>
          <w:sz w:val="22"/>
          <w:lang w:val="es-ES_tradnl"/>
        </w:rPr>
      </w:pPr>
      <w:r w:rsidRPr="006E0D83">
        <w:rPr>
          <w:rFonts w:ascii="Arial" w:eastAsia="Calibri" w:hAnsi="Arial" w:cs="Arial"/>
          <w:b/>
          <w:bCs/>
          <w:color w:val="000000" w:themeColor="text1"/>
          <w:sz w:val="22"/>
          <w:lang w:val="es-ES_tradnl"/>
        </w:rPr>
        <w:t xml:space="preserve">                                            </w:t>
      </w:r>
      <w:r w:rsidR="00023FA5" w:rsidRPr="006E0D83">
        <w:rPr>
          <w:rFonts w:ascii="Arial" w:eastAsia="Calibri" w:hAnsi="Arial" w:cs="Arial"/>
          <w:b/>
          <w:bCs/>
          <w:color w:val="000000" w:themeColor="text1"/>
          <w:sz w:val="22"/>
          <w:lang w:val="es-ES_tradnl"/>
        </w:rPr>
        <w:t xml:space="preserve">Concepto </w:t>
      </w:r>
      <w:r w:rsidR="00AC3F88" w:rsidRPr="006E0D83">
        <w:rPr>
          <w:rFonts w:ascii="Arial" w:eastAsia="Calibri" w:hAnsi="Arial" w:cs="Arial"/>
          <w:b/>
          <w:bCs/>
          <w:color w:val="000000" w:themeColor="text1"/>
          <w:sz w:val="22"/>
        </w:rPr>
        <w:t xml:space="preserve">C-694 </w:t>
      </w:r>
      <w:r w:rsidR="00275FBF" w:rsidRPr="006E0D83">
        <w:rPr>
          <w:rFonts w:ascii="Arial" w:eastAsia="Calibri" w:hAnsi="Arial" w:cs="Arial"/>
          <w:b/>
          <w:bCs/>
          <w:color w:val="000000" w:themeColor="text1"/>
          <w:sz w:val="22"/>
          <w:lang w:val="es-ES_tradnl"/>
        </w:rPr>
        <w:t>de 202</w:t>
      </w:r>
      <w:r w:rsidR="0092085F" w:rsidRPr="006E0D83">
        <w:rPr>
          <w:rFonts w:ascii="Arial" w:eastAsia="Calibri" w:hAnsi="Arial" w:cs="Arial"/>
          <w:b/>
          <w:bCs/>
          <w:color w:val="000000" w:themeColor="text1"/>
          <w:sz w:val="22"/>
          <w:lang w:val="es-ES_tradnl"/>
        </w:rPr>
        <w:t>2</w:t>
      </w:r>
    </w:p>
    <w:p w14:paraId="1E43C8B9" w14:textId="77777777" w:rsidR="009A52E4" w:rsidRPr="006E0D83" w:rsidRDefault="009A52E4" w:rsidP="003C0791">
      <w:pPr>
        <w:rPr>
          <w:rFonts w:ascii="Arial" w:eastAsia="Calibri" w:hAnsi="Arial" w:cs="Arial"/>
          <w:b/>
          <w:bCs/>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6E0D83" w14:paraId="19DFC051" w14:textId="77777777" w:rsidTr="00A415AA">
        <w:tc>
          <w:tcPr>
            <w:tcW w:w="2689" w:type="dxa"/>
          </w:tcPr>
          <w:p w14:paraId="6BC0D1AC" w14:textId="77777777" w:rsidR="00B95C30" w:rsidRPr="006E0D83" w:rsidRDefault="00B95C30" w:rsidP="00D15356">
            <w:pPr>
              <w:jc w:val="both"/>
              <w:rPr>
                <w:rFonts w:ascii="Arial" w:eastAsia="Calibri" w:hAnsi="Arial" w:cs="Arial"/>
                <w:color w:val="000000" w:themeColor="text1"/>
                <w:sz w:val="22"/>
                <w:szCs w:val="22"/>
                <w:lang w:val="es-ES_tradnl"/>
              </w:rPr>
            </w:pPr>
            <w:r w:rsidRPr="006E0D83">
              <w:rPr>
                <w:rFonts w:ascii="Arial" w:eastAsia="Calibri" w:hAnsi="Arial" w:cs="Arial"/>
                <w:b/>
                <w:color w:val="000000" w:themeColor="text1"/>
                <w:sz w:val="22"/>
                <w:szCs w:val="22"/>
                <w:lang w:val="es-ES_tradnl"/>
              </w:rPr>
              <w:t>Temas:</w:t>
            </w:r>
            <w:r w:rsidRPr="006E0D83">
              <w:rPr>
                <w:rFonts w:ascii="Arial" w:eastAsia="Calibri" w:hAnsi="Arial" w:cs="Arial"/>
                <w:color w:val="000000" w:themeColor="text1"/>
                <w:sz w:val="22"/>
                <w:szCs w:val="22"/>
                <w:lang w:val="es-ES_tradnl"/>
              </w:rPr>
              <w:t xml:space="preserve">                                      </w:t>
            </w:r>
          </w:p>
        </w:tc>
        <w:tc>
          <w:tcPr>
            <w:tcW w:w="6237" w:type="dxa"/>
          </w:tcPr>
          <w:p w14:paraId="5F389CAF" w14:textId="6192764D" w:rsidR="00284007" w:rsidRPr="005F2FFF" w:rsidRDefault="001F190A" w:rsidP="00747E74">
            <w:pPr>
              <w:spacing w:after="60" w:line="276" w:lineRule="auto"/>
              <w:jc w:val="both"/>
              <w:rPr>
                <w:rFonts w:ascii="Arial" w:eastAsia="Calibri" w:hAnsi="Arial" w:cs="Arial"/>
                <w:b/>
                <w:color w:val="000000" w:themeColor="text1"/>
                <w:sz w:val="22"/>
                <w:szCs w:val="22"/>
                <w:lang w:val="es-ES_tradnl"/>
              </w:rPr>
            </w:pPr>
            <w:r w:rsidRPr="005F2FFF">
              <w:rPr>
                <w:rFonts w:ascii="Arial" w:eastAsia="Calibri" w:hAnsi="Arial" w:cs="Arial"/>
                <w:bCs/>
                <w:color w:val="000000" w:themeColor="text1"/>
                <w:sz w:val="22"/>
                <w:szCs w:val="22"/>
                <w:lang w:val="es-MX" w:eastAsia="en-US"/>
              </w:rPr>
              <w:t xml:space="preserve">AUDIENCIA DE ASIGNACIÓN DE RIESGOS –Obligatoriedad de adelantar la audiencia de asignación de riesgos. </w:t>
            </w:r>
            <w:r w:rsidR="000E3C5A" w:rsidRPr="005F2FFF">
              <w:rPr>
                <w:rFonts w:ascii="Arial" w:eastAsia="Calibri" w:hAnsi="Arial" w:cs="Arial"/>
                <w:bCs/>
                <w:color w:val="000000" w:themeColor="text1"/>
                <w:sz w:val="22"/>
                <w:szCs w:val="22"/>
                <w:lang w:val="es-MX" w:eastAsia="en-US"/>
              </w:rPr>
              <w:t xml:space="preserve">/ </w:t>
            </w:r>
            <w:r w:rsidRPr="00747E74">
              <w:rPr>
                <w:rFonts w:ascii="Arial" w:eastAsiaTheme="minorHAnsi" w:hAnsi="Arial" w:cs="Arial"/>
                <w:bCs/>
                <w:color w:val="000000" w:themeColor="text1"/>
                <w:sz w:val="22"/>
                <w:szCs w:val="22"/>
                <w:lang w:val="es-MX" w:eastAsia="en-US"/>
              </w:rPr>
              <w:t>AUDIENCIA DE ASIGNACIÓN DE RIESGOS – implicaciones legales de no asistir a la audiencia de asignación de riesgos</w:t>
            </w:r>
          </w:p>
        </w:tc>
      </w:tr>
      <w:tr w:rsidR="00B95C30" w:rsidRPr="006E0D83" w14:paraId="27CD52AB" w14:textId="77777777" w:rsidTr="00A415AA">
        <w:tc>
          <w:tcPr>
            <w:tcW w:w="2689" w:type="dxa"/>
          </w:tcPr>
          <w:p w14:paraId="014464E7" w14:textId="77777777" w:rsidR="00747E74" w:rsidRDefault="00747E74" w:rsidP="00D15356">
            <w:pPr>
              <w:spacing w:before="120"/>
              <w:jc w:val="both"/>
              <w:rPr>
                <w:rFonts w:ascii="Arial" w:eastAsia="Calibri" w:hAnsi="Arial" w:cs="Arial"/>
                <w:b/>
                <w:color w:val="000000" w:themeColor="text1"/>
                <w:sz w:val="22"/>
                <w:szCs w:val="22"/>
                <w:lang w:val="es-ES_tradnl"/>
              </w:rPr>
            </w:pPr>
          </w:p>
          <w:p w14:paraId="37E195A1" w14:textId="65D3E02B" w:rsidR="00B95C30" w:rsidRPr="006E0D83" w:rsidRDefault="00B95C30" w:rsidP="00D15356">
            <w:pPr>
              <w:spacing w:before="120"/>
              <w:jc w:val="both"/>
              <w:rPr>
                <w:rFonts w:ascii="Arial" w:eastAsia="Calibri" w:hAnsi="Arial" w:cs="Arial"/>
                <w:b/>
                <w:color w:val="000000" w:themeColor="text1"/>
                <w:sz w:val="22"/>
                <w:szCs w:val="22"/>
                <w:lang w:val="es-ES_tradnl"/>
              </w:rPr>
            </w:pPr>
            <w:r w:rsidRPr="006E0D83">
              <w:rPr>
                <w:rFonts w:ascii="Arial" w:eastAsia="Calibri" w:hAnsi="Arial" w:cs="Arial"/>
                <w:b/>
                <w:color w:val="000000" w:themeColor="text1"/>
                <w:sz w:val="22"/>
                <w:szCs w:val="22"/>
                <w:lang w:val="es-ES_tradnl"/>
              </w:rPr>
              <w:t>Radicación:</w:t>
            </w:r>
            <w:r w:rsidRPr="006E0D83">
              <w:rPr>
                <w:rFonts w:ascii="Arial" w:eastAsia="Calibri" w:hAnsi="Arial" w:cs="Arial"/>
                <w:color w:val="000000" w:themeColor="text1"/>
                <w:sz w:val="22"/>
                <w:szCs w:val="22"/>
                <w:lang w:val="es-ES_tradnl"/>
              </w:rPr>
              <w:t xml:space="preserve">                              </w:t>
            </w:r>
          </w:p>
        </w:tc>
        <w:tc>
          <w:tcPr>
            <w:tcW w:w="6237" w:type="dxa"/>
          </w:tcPr>
          <w:p w14:paraId="09088B1B" w14:textId="6109D336" w:rsidR="00B95C30" w:rsidRPr="006E0D83" w:rsidRDefault="00B95C30" w:rsidP="000052C4">
            <w:pPr>
              <w:spacing w:line="276" w:lineRule="auto"/>
              <w:rPr>
                <w:rFonts w:ascii="Arial" w:eastAsia="Calibri" w:hAnsi="Arial" w:cs="Arial"/>
                <w:color w:val="000000" w:themeColor="text1"/>
                <w:sz w:val="22"/>
                <w:szCs w:val="22"/>
                <w:lang w:val="es-ES_tradnl"/>
              </w:rPr>
            </w:pPr>
            <w:r w:rsidRPr="006E0D83">
              <w:rPr>
                <w:rFonts w:ascii="Arial" w:eastAsia="Calibri" w:hAnsi="Arial" w:cs="Arial"/>
                <w:color w:val="000000" w:themeColor="text1"/>
                <w:sz w:val="22"/>
                <w:szCs w:val="22"/>
                <w:lang w:val="es-ES_tradnl"/>
              </w:rPr>
              <w:t>Respuesta a consulta</w:t>
            </w:r>
            <w:r w:rsidR="00F21D6D" w:rsidRPr="006E0D83">
              <w:rPr>
                <w:rFonts w:ascii="Arial" w:eastAsia="Calibri" w:hAnsi="Arial" w:cs="Arial"/>
                <w:color w:val="000000" w:themeColor="text1"/>
                <w:sz w:val="22"/>
                <w:szCs w:val="22"/>
                <w:lang w:val="es-ES_tradnl"/>
              </w:rPr>
              <w:t xml:space="preserve"> </w:t>
            </w:r>
            <w:r w:rsidR="00A55F36" w:rsidRPr="006E0D83">
              <w:rPr>
                <w:rFonts w:ascii="Arial" w:hAnsi="Arial" w:cs="Arial"/>
                <w:sz w:val="22"/>
                <w:szCs w:val="22"/>
              </w:rPr>
              <w:t>P20220909009085</w:t>
            </w:r>
          </w:p>
        </w:tc>
      </w:tr>
    </w:tbl>
    <w:p w14:paraId="7F7926D6" w14:textId="2FFE9C90" w:rsidR="009A52E4" w:rsidRDefault="009A52E4" w:rsidP="003C3339">
      <w:pPr>
        <w:jc w:val="both"/>
        <w:rPr>
          <w:rFonts w:ascii="Arial" w:eastAsia="Calibri" w:hAnsi="Arial" w:cs="Arial"/>
          <w:color w:val="000000" w:themeColor="text1"/>
          <w:sz w:val="22"/>
          <w:lang w:val="es-ES_tradnl"/>
        </w:rPr>
      </w:pPr>
    </w:p>
    <w:p w14:paraId="1CF4AEA0" w14:textId="217CEFA3" w:rsidR="003C3339" w:rsidRPr="006E0D83" w:rsidRDefault="003C3339" w:rsidP="003C3339">
      <w:pPr>
        <w:jc w:val="both"/>
        <w:rPr>
          <w:rFonts w:ascii="Arial" w:eastAsia="Calibri" w:hAnsi="Arial" w:cs="Arial"/>
          <w:color w:val="000000" w:themeColor="text1"/>
          <w:sz w:val="22"/>
          <w:lang w:val="es-ES_tradnl"/>
        </w:rPr>
      </w:pPr>
      <w:r w:rsidRPr="006E0D83">
        <w:rPr>
          <w:rFonts w:ascii="Arial" w:eastAsia="Calibri" w:hAnsi="Arial" w:cs="Arial"/>
          <w:color w:val="000000" w:themeColor="text1"/>
          <w:sz w:val="22"/>
          <w:lang w:val="es-ES_tradnl"/>
        </w:rPr>
        <w:t>Estimad</w:t>
      </w:r>
      <w:r w:rsidR="00207C1E" w:rsidRPr="006E0D83">
        <w:rPr>
          <w:rFonts w:ascii="Arial" w:eastAsia="Calibri" w:hAnsi="Arial" w:cs="Arial"/>
          <w:color w:val="000000" w:themeColor="text1"/>
          <w:sz w:val="22"/>
          <w:lang w:val="es-ES_tradnl"/>
        </w:rPr>
        <w:t>o</w:t>
      </w:r>
      <w:r w:rsidR="00523E23" w:rsidRPr="006E0D83">
        <w:rPr>
          <w:rFonts w:ascii="Arial" w:eastAsia="Calibri" w:hAnsi="Arial" w:cs="Arial"/>
          <w:color w:val="000000" w:themeColor="text1"/>
          <w:sz w:val="22"/>
          <w:lang w:val="es-ES_tradnl"/>
        </w:rPr>
        <w:t>s Señor</w:t>
      </w:r>
      <w:r w:rsidR="000052C4" w:rsidRPr="006E0D83">
        <w:rPr>
          <w:rFonts w:ascii="Arial" w:eastAsia="Calibri" w:hAnsi="Arial" w:cs="Arial"/>
          <w:color w:val="000000" w:themeColor="text1"/>
          <w:sz w:val="22"/>
          <w:lang w:val="es-ES_tradnl"/>
        </w:rPr>
        <w:t xml:space="preserve"> </w:t>
      </w:r>
      <w:r w:rsidR="00A55F36" w:rsidRPr="006E0D83">
        <w:rPr>
          <w:rFonts w:ascii="Arial" w:eastAsia="Calibri" w:hAnsi="Arial" w:cs="Arial"/>
          <w:color w:val="000000" w:themeColor="text1"/>
          <w:sz w:val="22"/>
          <w:lang w:val="es-ES_tradnl"/>
        </w:rPr>
        <w:t>Macias</w:t>
      </w:r>
      <w:r w:rsidR="00523E23" w:rsidRPr="006E0D83">
        <w:rPr>
          <w:rFonts w:ascii="Arial" w:eastAsia="Calibri" w:hAnsi="Arial" w:cs="Arial"/>
          <w:color w:val="000000" w:themeColor="text1"/>
          <w:sz w:val="22"/>
          <w:lang w:val="es-ES_tradnl"/>
        </w:rPr>
        <w:t>:</w:t>
      </w:r>
    </w:p>
    <w:p w14:paraId="1EAE5543" w14:textId="37990AD8" w:rsidR="00DD5B04" w:rsidRPr="006E0D83" w:rsidRDefault="00DD5B04" w:rsidP="00DF76A2">
      <w:pPr>
        <w:jc w:val="both"/>
        <w:rPr>
          <w:rFonts w:ascii="Arial" w:eastAsia="Calibri" w:hAnsi="Arial" w:cs="Arial"/>
          <w:color w:val="000000" w:themeColor="text1"/>
          <w:sz w:val="22"/>
          <w:lang w:val="es-ES_tradnl"/>
        </w:rPr>
      </w:pPr>
    </w:p>
    <w:p w14:paraId="2109B2D3" w14:textId="5B4EFDC8" w:rsidR="00DD5B04" w:rsidRPr="006E0D83" w:rsidRDefault="00DD5B04" w:rsidP="006B47F2">
      <w:pPr>
        <w:spacing w:line="276" w:lineRule="auto"/>
        <w:jc w:val="both"/>
        <w:rPr>
          <w:rFonts w:ascii="Arial" w:eastAsia="Calibri" w:hAnsi="Arial" w:cs="Arial"/>
          <w:color w:val="000000" w:themeColor="text1"/>
          <w:sz w:val="22"/>
          <w:lang w:val="es-ES_tradnl"/>
        </w:rPr>
      </w:pPr>
      <w:r w:rsidRPr="006E0D83">
        <w:rPr>
          <w:rFonts w:ascii="Arial" w:eastAsia="Calibri" w:hAnsi="Arial" w:cs="Arial"/>
          <w:color w:val="000000" w:themeColor="text1"/>
          <w:sz w:val="22"/>
          <w:lang w:val="es-ES_tradnl"/>
        </w:rPr>
        <w:t>En ejercicio de la competencia otorgada por el numeral 8 del artículo 11 y el numeral 5 del artículo 3 del Decreto Ley 4170 de 2011, la Agencia Nacional de Contratación Pública ― Colombia Compra Eficiente</w:t>
      </w:r>
      <w:r w:rsidR="00CE69CC" w:rsidRPr="006E0D83">
        <w:rPr>
          <w:rFonts w:ascii="Arial" w:eastAsia="Calibri" w:hAnsi="Arial" w:cs="Arial"/>
          <w:color w:val="000000" w:themeColor="text1"/>
          <w:sz w:val="22"/>
          <w:lang w:val="es-ES_tradnl"/>
        </w:rPr>
        <w:t>,</w:t>
      </w:r>
      <w:r w:rsidRPr="006E0D83">
        <w:rPr>
          <w:rFonts w:ascii="Arial" w:eastAsia="Calibri" w:hAnsi="Arial" w:cs="Arial"/>
          <w:color w:val="000000" w:themeColor="text1"/>
          <w:sz w:val="22"/>
          <w:lang w:val="es-ES_tradnl"/>
        </w:rPr>
        <w:t xml:space="preserve"> responde su consulta</w:t>
      </w:r>
      <w:r w:rsidR="00E8414B" w:rsidRPr="006E0D83">
        <w:rPr>
          <w:rFonts w:ascii="Arial" w:eastAsia="Calibri" w:hAnsi="Arial" w:cs="Arial"/>
          <w:color w:val="000000" w:themeColor="text1"/>
          <w:sz w:val="22"/>
          <w:lang w:val="es-ES_tradnl"/>
        </w:rPr>
        <w:t xml:space="preserve"> </w:t>
      </w:r>
      <w:r w:rsidRPr="006E0D83">
        <w:rPr>
          <w:rFonts w:ascii="Arial" w:eastAsia="Calibri" w:hAnsi="Arial" w:cs="Arial"/>
          <w:color w:val="000000" w:themeColor="text1"/>
          <w:sz w:val="22"/>
          <w:lang w:val="es-ES_tradnl"/>
        </w:rPr>
        <w:t>del</w:t>
      </w:r>
      <w:r w:rsidR="00846DBE" w:rsidRPr="006E0D83">
        <w:rPr>
          <w:rFonts w:ascii="Arial" w:eastAsia="Calibri" w:hAnsi="Arial" w:cs="Arial"/>
          <w:color w:val="000000" w:themeColor="text1"/>
          <w:sz w:val="22"/>
          <w:lang w:val="es-ES_tradnl"/>
        </w:rPr>
        <w:t xml:space="preserve"> </w:t>
      </w:r>
      <w:r w:rsidR="006B47F2" w:rsidRPr="006E0D83">
        <w:rPr>
          <w:rFonts w:ascii="Arial" w:eastAsia="Calibri" w:hAnsi="Arial" w:cs="Arial"/>
          <w:color w:val="000000" w:themeColor="text1"/>
          <w:sz w:val="22"/>
          <w:lang w:val="es-ES_tradnl"/>
        </w:rPr>
        <w:t>6</w:t>
      </w:r>
      <w:r w:rsidR="000052C4" w:rsidRPr="006E0D83">
        <w:rPr>
          <w:rFonts w:ascii="Arial" w:eastAsia="Calibri" w:hAnsi="Arial" w:cs="Arial"/>
          <w:color w:val="000000" w:themeColor="text1"/>
          <w:sz w:val="22"/>
          <w:lang w:val="es-ES_tradnl"/>
        </w:rPr>
        <w:t xml:space="preserve"> </w:t>
      </w:r>
      <w:r w:rsidR="00C52FB1" w:rsidRPr="006E0D83">
        <w:rPr>
          <w:rFonts w:ascii="Arial" w:eastAsia="Calibri" w:hAnsi="Arial" w:cs="Arial"/>
          <w:color w:val="000000" w:themeColor="text1"/>
          <w:sz w:val="22"/>
          <w:lang w:val="es-ES_tradnl"/>
        </w:rPr>
        <w:t xml:space="preserve">de </w:t>
      </w:r>
      <w:r w:rsidR="005F2FFF">
        <w:rPr>
          <w:rFonts w:ascii="Arial" w:eastAsia="Calibri" w:hAnsi="Arial" w:cs="Arial"/>
          <w:color w:val="000000" w:themeColor="text1"/>
          <w:sz w:val="22"/>
          <w:lang w:val="es-ES_tradnl"/>
        </w:rPr>
        <w:t>s</w:t>
      </w:r>
      <w:r w:rsidR="006B47F2" w:rsidRPr="006E0D83">
        <w:rPr>
          <w:rFonts w:ascii="Arial" w:eastAsia="Calibri" w:hAnsi="Arial" w:cs="Arial"/>
          <w:color w:val="000000" w:themeColor="text1"/>
          <w:sz w:val="22"/>
          <w:lang w:val="es-ES_tradnl"/>
        </w:rPr>
        <w:t xml:space="preserve">eptiembre </w:t>
      </w:r>
      <w:r w:rsidR="00207C1E" w:rsidRPr="006E0D83">
        <w:rPr>
          <w:rFonts w:ascii="Arial" w:eastAsia="Calibri" w:hAnsi="Arial" w:cs="Arial"/>
          <w:color w:val="000000" w:themeColor="text1"/>
          <w:sz w:val="22"/>
          <w:lang w:val="es-ES_tradnl"/>
        </w:rPr>
        <w:t>de 2022</w:t>
      </w:r>
      <w:r w:rsidR="00F21D6D" w:rsidRPr="006E0D83">
        <w:rPr>
          <w:rFonts w:ascii="Arial" w:eastAsia="Calibri" w:hAnsi="Arial" w:cs="Arial"/>
          <w:color w:val="000000" w:themeColor="text1"/>
          <w:sz w:val="22"/>
          <w:lang w:val="es-ES_tradnl"/>
        </w:rPr>
        <w:t>.</w:t>
      </w:r>
    </w:p>
    <w:p w14:paraId="0C1E0712" w14:textId="77777777" w:rsidR="00DD5B04" w:rsidRPr="006E0D83"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6E0D83"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6E0D83">
        <w:rPr>
          <w:rFonts w:ascii="Arial" w:eastAsia="Calibri" w:hAnsi="Arial" w:cs="Arial"/>
          <w:b/>
          <w:color w:val="000000" w:themeColor="text1"/>
          <w:sz w:val="22"/>
          <w:lang w:val="es-ES_tradnl"/>
        </w:rPr>
        <w:t xml:space="preserve">Problema planteado </w:t>
      </w:r>
    </w:p>
    <w:p w14:paraId="3D22AAE5" w14:textId="77777777" w:rsidR="00384466" w:rsidRPr="006E0D83" w:rsidRDefault="00384466" w:rsidP="00384466">
      <w:pPr>
        <w:pStyle w:val="NormalWeb"/>
        <w:spacing w:before="0" w:beforeAutospacing="0" w:after="0" w:afterAutospacing="0" w:line="276" w:lineRule="auto"/>
        <w:jc w:val="both"/>
        <w:rPr>
          <w:rFonts w:ascii="Arial" w:hAnsi="Arial" w:cs="Arial"/>
          <w:color w:val="000000" w:themeColor="text1"/>
          <w:sz w:val="22"/>
          <w:lang w:val="es-ES_tradnl"/>
        </w:rPr>
      </w:pPr>
    </w:p>
    <w:p w14:paraId="20E7D16A" w14:textId="1BB2F146" w:rsidR="00F0351E" w:rsidRPr="00747E74" w:rsidRDefault="005C69F7" w:rsidP="00747E74">
      <w:pPr>
        <w:spacing w:line="276" w:lineRule="auto"/>
        <w:jc w:val="both"/>
        <w:rPr>
          <w:rFonts w:ascii="Arial" w:eastAsia="Calibri" w:hAnsi="Arial" w:cs="Arial"/>
          <w:sz w:val="22"/>
          <w:szCs w:val="22"/>
          <w:lang w:eastAsia="en-US"/>
        </w:rPr>
      </w:pPr>
      <w:r w:rsidRPr="006E0D83">
        <w:rPr>
          <w:rFonts w:ascii="Arial" w:hAnsi="Arial" w:cs="Arial"/>
          <w:color w:val="000000" w:themeColor="text1"/>
          <w:sz w:val="22"/>
          <w:szCs w:val="22"/>
          <w:lang w:val="es-ES_tradnl"/>
        </w:rPr>
        <w:t xml:space="preserve">En relación </w:t>
      </w:r>
      <w:r w:rsidR="006B47F2" w:rsidRPr="006E0D83">
        <w:rPr>
          <w:rFonts w:ascii="Arial" w:hAnsi="Arial" w:cs="Arial"/>
          <w:color w:val="000000" w:themeColor="text1"/>
          <w:sz w:val="22"/>
          <w:szCs w:val="22"/>
          <w:lang w:val="es-ES_tradnl"/>
        </w:rPr>
        <w:t xml:space="preserve">con </w:t>
      </w:r>
      <w:r w:rsidR="00A55F36" w:rsidRPr="006E0D83">
        <w:rPr>
          <w:rFonts w:ascii="Arial" w:hAnsi="Arial" w:cs="Arial"/>
          <w:color w:val="000000" w:themeColor="text1"/>
          <w:sz w:val="22"/>
          <w:szCs w:val="22"/>
          <w:lang w:val="es-ES_tradnl"/>
        </w:rPr>
        <w:t>la audiencia de asignación de riesgos</w:t>
      </w:r>
      <w:r w:rsidR="00486C85" w:rsidRPr="006E0D83">
        <w:rPr>
          <w:rFonts w:ascii="Arial" w:hAnsi="Arial" w:cs="Arial"/>
          <w:color w:val="000000" w:themeColor="text1"/>
          <w:sz w:val="22"/>
          <w:szCs w:val="22"/>
          <w:lang w:val="es-ES_tradnl"/>
        </w:rPr>
        <w:t>,</w:t>
      </w:r>
      <w:r w:rsidRPr="006E0D83">
        <w:rPr>
          <w:rFonts w:ascii="Arial" w:hAnsi="Arial" w:cs="Arial"/>
          <w:color w:val="000000" w:themeColor="text1"/>
          <w:sz w:val="22"/>
          <w:szCs w:val="22"/>
          <w:lang w:val="es-ES_tradnl"/>
        </w:rPr>
        <w:t xml:space="preserve"> usted </w:t>
      </w:r>
      <w:r w:rsidR="000841A2" w:rsidRPr="006E0D83">
        <w:rPr>
          <w:rFonts w:ascii="Arial" w:hAnsi="Arial" w:cs="Arial"/>
          <w:color w:val="000000" w:themeColor="text1"/>
          <w:sz w:val="22"/>
          <w:szCs w:val="22"/>
          <w:lang w:val="es-ES_tradnl"/>
        </w:rPr>
        <w:t>realiza</w:t>
      </w:r>
      <w:r w:rsidR="00827203" w:rsidRPr="006E0D83">
        <w:rPr>
          <w:rFonts w:ascii="Arial" w:hAnsi="Arial" w:cs="Arial"/>
          <w:color w:val="000000" w:themeColor="text1"/>
          <w:sz w:val="22"/>
          <w:szCs w:val="22"/>
          <w:lang w:val="es-ES_tradnl"/>
        </w:rPr>
        <w:t xml:space="preserve"> </w:t>
      </w:r>
      <w:r w:rsidR="00026092" w:rsidRPr="006E0D83">
        <w:rPr>
          <w:rFonts w:ascii="Arial" w:hAnsi="Arial" w:cs="Arial"/>
          <w:color w:val="000000" w:themeColor="text1"/>
          <w:sz w:val="22"/>
          <w:szCs w:val="22"/>
          <w:lang w:val="es-ES_tradnl"/>
        </w:rPr>
        <w:t>la siguiente</w:t>
      </w:r>
      <w:r w:rsidR="00AC4D8F" w:rsidRPr="006E0D83">
        <w:rPr>
          <w:rFonts w:ascii="Arial" w:hAnsi="Arial" w:cs="Arial"/>
          <w:color w:val="000000" w:themeColor="text1"/>
          <w:sz w:val="22"/>
          <w:szCs w:val="22"/>
          <w:lang w:val="es-ES_tradnl"/>
        </w:rPr>
        <w:t xml:space="preserve"> consulta</w:t>
      </w:r>
      <w:r w:rsidR="007577DA" w:rsidRPr="006E0D83">
        <w:rPr>
          <w:rFonts w:ascii="Arial" w:hAnsi="Arial" w:cs="Arial"/>
          <w:color w:val="000000" w:themeColor="text1"/>
          <w:sz w:val="22"/>
          <w:szCs w:val="22"/>
          <w:lang w:val="es-ES_tradnl"/>
        </w:rPr>
        <w:t xml:space="preserve">: </w:t>
      </w:r>
      <w:r w:rsidR="00F0351E" w:rsidRPr="00747E74">
        <w:rPr>
          <w:rFonts w:ascii="Arial" w:eastAsia="Calibri" w:hAnsi="Arial" w:cs="Arial"/>
          <w:sz w:val="22"/>
          <w:szCs w:val="22"/>
          <w:lang w:eastAsia="en-US"/>
        </w:rPr>
        <w:t>«</w:t>
      </w:r>
      <w:bookmarkStart w:id="2" w:name="_Hlk103091300"/>
      <w:r w:rsidR="00AC3F88" w:rsidRPr="00747E74">
        <w:rPr>
          <w:rFonts w:ascii="Arial" w:eastAsia="Calibri" w:hAnsi="Arial" w:cs="Arial"/>
          <w:sz w:val="22"/>
          <w:szCs w:val="22"/>
          <w:lang w:eastAsia="en-US"/>
        </w:rPr>
        <w:t xml:space="preserve">En una entidad Estatal, ¿qué debe incluir en los procesos de </w:t>
      </w:r>
      <w:r w:rsidR="00A55F36" w:rsidRPr="00747E74">
        <w:rPr>
          <w:rFonts w:ascii="Arial" w:eastAsia="Calibri" w:hAnsi="Arial" w:cs="Arial"/>
          <w:sz w:val="22"/>
          <w:szCs w:val="22"/>
          <w:lang w:eastAsia="en-US"/>
        </w:rPr>
        <w:t>contratación</w:t>
      </w:r>
      <w:r w:rsidR="00AC3F88" w:rsidRPr="00747E74">
        <w:rPr>
          <w:rFonts w:ascii="Arial" w:eastAsia="Calibri" w:hAnsi="Arial" w:cs="Arial"/>
          <w:sz w:val="22"/>
          <w:szCs w:val="22"/>
          <w:lang w:eastAsia="en-US"/>
        </w:rPr>
        <w:t xml:space="preserve"> y en la audiencia de asignación de riesgos? ¿En qué etapa del proceso de contratación se origina? ¿Qué norma faculta tales procesos?</w:t>
      </w:r>
      <w:r w:rsidR="00F0351E" w:rsidRPr="00747E74">
        <w:rPr>
          <w:rFonts w:ascii="Arial" w:eastAsia="Calibri" w:hAnsi="Arial" w:cs="Arial"/>
          <w:sz w:val="22"/>
          <w:szCs w:val="22"/>
          <w:lang w:eastAsia="en-US"/>
        </w:rPr>
        <w:t>»</w:t>
      </w:r>
      <w:bookmarkEnd w:id="2"/>
      <w:r w:rsidR="00A64026" w:rsidRPr="00747E74">
        <w:rPr>
          <w:rFonts w:ascii="Arial" w:eastAsia="Calibri" w:hAnsi="Arial" w:cs="Arial"/>
          <w:sz w:val="22"/>
          <w:szCs w:val="22"/>
          <w:lang w:eastAsia="en-US"/>
        </w:rPr>
        <w:t>.</w:t>
      </w:r>
      <w:r w:rsidR="00F0351E" w:rsidRPr="006E0D83">
        <w:rPr>
          <w:rFonts w:ascii="Arial" w:hAnsi="Arial" w:cs="Arial"/>
          <w:sz w:val="22"/>
          <w:szCs w:val="22"/>
          <w:lang w:eastAsia="es-MX"/>
        </w:rPr>
        <w:t xml:space="preserve"> </w:t>
      </w:r>
    </w:p>
    <w:p w14:paraId="53BFB9F0" w14:textId="77777777" w:rsidR="00A64026" w:rsidRPr="006E0D83" w:rsidRDefault="00A64026" w:rsidP="00316FC7">
      <w:pPr>
        <w:ind w:left="708" w:right="900"/>
        <w:jc w:val="both"/>
        <w:rPr>
          <w:rFonts w:ascii="Arial" w:hAnsi="Arial" w:cs="Arial"/>
          <w:sz w:val="22"/>
          <w:szCs w:val="22"/>
          <w:highlight w:val="yellow"/>
          <w:lang w:eastAsia="es-MX"/>
        </w:rPr>
      </w:pPr>
    </w:p>
    <w:p w14:paraId="4A54C3B6" w14:textId="22E01109" w:rsidR="00AC6C90" w:rsidRPr="006E0D83" w:rsidRDefault="00AC6C90" w:rsidP="00384466">
      <w:pPr>
        <w:pStyle w:val="NormalWeb"/>
        <w:numPr>
          <w:ilvl w:val="0"/>
          <w:numId w:val="8"/>
        </w:numPr>
        <w:spacing w:before="0" w:beforeAutospacing="0" w:after="0" w:afterAutospacing="0" w:line="276" w:lineRule="auto"/>
        <w:jc w:val="both"/>
        <w:rPr>
          <w:rFonts w:ascii="Arial" w:hAnsi="Arial" w:cs="Arial"/>
          <w:sz w:val="22"/>
          <w:szCs w:val="22"/>
        </w:rPr>
      </w:pPr>
      <w:r w:rsidRPr="006E0D83">
        <w:rPr>
          <w:rFonts w:ascii="Arial" w:eastAsia="Calibri" w:hAnsi="Arial" w:cs="Arial"/>
          <w:b/>
          <w:color w:val="000000" w:themeColor="text1"/>
          <w:sz w:val="22"/>
          <w:lang w:val="es-ES_tradnl"/>
        </w:rPr>
        <w:t>Consideraciones</w:t>
      </w:r>
    </w:p>
    <w:p w14:paraId="14C799C5" w14:textId="77777777" w:rsidR="00AC6C90" w:rsidRPr="006E0D83" w:rsidRDefault="00AC6C90" w:rsidP="00AC6C90">
      <w:pPr>
        <w:spacing w:line="276" w:lineRule="auto"/>
        <w:jc w:val="both"/>
        <w:rPr>
          <w:rFonts w:ascii="Arial" w:eastAsia="Calibri" w:hAnsi="Arial" w:cs="Arial"/>
          <w:sz w:val="22"/>
          <w:szCs w:val="22"/>
          <w:lang w:val="es-ES_tradnl"/>
        </w:rPr>
      </w:pPr>
    </w:p>
    <w:p w14:paraId="2273091F" w14:textId="7379DA52" w:rsidR="009D0B5D" w:rsidRPr="006E0D83" w:rsidRDefault="009D0B5D" w:rsidP="00316FC7">
      <w:pPr>
        <w:spacing w:after="120" w:line="276" w:lineRule="auto"/>
        <w:jc w:val="both"/>
        <w:rPr>
          <w:rFonts w:ascii="Arial" w:hAnsi="Arial" w:cs="Arial"/>
          <w:sz w:val="22"/>
          <w:lang w:val="es-ES"/>
        </w:rPr>
      </w:pPr>
      <w:r w:rsidRPr="006E0D83">
        <w:rPr>
          <w:rFonts w:ascii="Arial" w:hAnsi="Arial" w:cs="Arial"/>
          <w:bCs/>
          <w:sz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00E02F61" w:rsidRPr="006E0D83">
        <w:rPr>
          <w:rFonts w:ascii="Arial" w:hAnsi="Arial" w:cs="Arial"/>
          <w:bCs/>
          <w:sz w:val="22"/>
        </w:rPr>
        <w:t xml:space="preserve"> </w:t>
      </w:r>
      <w:bookmarkStart w:id="3" w:name="_Hlk61701014"/>
      <w:bookmarkStart w:id="4" w:name="_Hlk62136649"/>
      <w:r w:rsidRPr="006E0D83">
        <w:rPr>
          <w:rFonts w:ascii="Arial" w:hAnsi="Arial" w:cs="Arial"/>
          <w:sz w:val="22"/>
          <w:lang w:val="es-ES"/>
        </w:rPr>
        <w:t xml:space="preserve">Es necesario tener en cuenta que </w:t>
      </w:r>
      <w:bookmarkStart w:id="5" w:name="_Hlk61026958"/>
      <w:r w:rsidRPr="006E0D83">
        <w:rPr>
          <w:rFonts w:ascii="Arial" w:hAnsi="Arial" w:cs="Arial"/>
          <w:sz w:val="22"/>
          <w:lang w:val="es-ES"/>
        </w:rPr>
        <w:t xml:space="preserve">esta entidad solo tiene competencia para responder solicitudes sobre la </w:t>
      </w:r>
      <w:r w:rsidRPr="006E0D83">
        <w:rPr>
          <w:rFonts w:ascii="Arial" w:hAnsi="Arial" w:cs="Arial"/>
          <w:sz w:val="22"/>
          <w:lang w:val="es-ES"/>
        </w:rPr>
        <w:lastRenderedPageBreak/>
        <w:t>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6E0D83">
        <w:rPr>
          <w:rFonts w:ascii="Arial" w:hAnsi="Arial" w:cs="Arial"/>
          <w:bCs/>
          <w:sz w:val="22"/>
        </w:rPr>
        <w:t xml:space="preserve"> de todos los partícipes de la contratación estatal.</w:t>
      </w:r>
    </w:p>
    <w:p w14:paraId="3231BBDC" w14:textId="77777777" w:rsidR="009D0B5D" w:rsidRPr="00747E74" w:rsidRDefault="009D0B5D" w:rsidP="009D0B5D">
      <w:pPr>
        <w:spacing w:after="120" w:line="276" w:lineRule="auto"/>
        <w:ind w:firstLine="708"/>
        <w:jc w:val="both"/>
        <w:rPr>
          <w:rFonts w:ascii="Arial" w:hAnsi="Arial" w:cs="Arial"/>
          <w:sz w:val="22"/>
          <w:lang w:val="es-ES"/>
        </w:rPr>
      </w:pPr>
      <w:r w:rsidRPr="006E0D83">
        <w:rPr>
          <w:rFonts w:ascii="Arial" w:hAnsi="Arial"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6E0D83">
        <w:rPr>
          <w:rFonts w:ascii="Arial" w:hAnsi="Arial" w:cs="Arial"/>
          <w:sz w:val="22"/>
          <w:vertAlign w:val="superscript"/>
          <w:lang w:val="es-ES"/>
        </w:rPr>
        <w:footnoteReference w:id="2"/>
      </w:r>
      <w:r w:rsidRPr="006E0D83">
        <w:rPr>
          <w:rFonts w:ascii="Arial" w:hAnsi="Arial" w:cs="Arial"/>
          <w:sz w:val="22"/>
          <w:lang w:val="es-ES"/>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5"/>
      <w:r w:rsidRPr="006E0D83">
        <w:rPr>
          <w:rFonts w:ascii="Arial" w:hAnsi="Arial" w:cs="Arial"/>
          <w:sz w:val="22"/>
          <w:lang w:val="es-ES"/>
        </w:rPr>
        <w:t xml:space="preserve">. Por lo anterior, previo concepto de sus órganos asesores, la solución de estos temas corresponde a la entidad que </w:t>
      </w:r>
      <w:r w:rsidRPr="00747E74">
        <w:rPr>
          <w:rFonts w:ascii="Arial" w:hAnsi="Arial" w:cs="Arial"/>
          <w:sz w:val="22"/>
          <w:lang w:val="es-ES"/>
        </w:rPr>
        <w:t xml:space="preserve">adelanta el procedimiento de selección y, en caso de conflicto, a las autoridades judiciales, fiscales y disciplinarias. </w:t>
      </w:r>
      <w:bookmarkEnd w:id="3"/>
    </w:p>
    <w:bookmarkEnd w:id="4"/>
    <w:p w14:paraId="0E7E36F4" w14:textId="5F47501A" w:rsidR="00AC6C90" w:rsidRPr="00747E74" w:rsidRDefault="009D0B5D" w:rsidP="00747E74">
      <w:pPr>
        <w:spacing w:after="120" w:line="276" w:lineRule="auto"/>
        <w:ind w:firstLine="709"/>
        <w:jc w:val="both"/>
        <w:rPr>
          <w:rFonts w:ascii="Arial" w:eastAsia="Calibri" w:hAnsi="Arial" w:cs="Arial"/>
          <w:sz w:val="22"/>
          <w:szCs w:val="22"/>
          <w:lang w:val="es-ES_tradnl"/>
        </w:rPr>
      </w:pPr>
      <w:r w:rsidRPr="00747E74">
        <w:rPr>
          <w:rFonts w:ascii="Arial" w:eastAsia="Calibri" w:hAnsi="Arial" w:cs="Arial"/>
          <w:color w:val="000000" w:themeColor="text1"/>
          <w:sz w:val="22"/>
        </w:rPr>
        <w:t xml:space="preserve">Sin perjuicio de lo anterior, </w:t>
      </w:r>
      <w:r w:rsidRPr="00747E74">
        <w:rPr>
          <w:rFonts w:ascii="Arial" w:eastAsia="Calibri" w:hAnsi="Arial" w:cs="Arial"/>
          <w:color w:val="000000" w:themeColor="text1"/>
          <w:sz w:val="22"/>
          <w:lang w:val="es-ES"/>
        </w:rPr>
        <w:t xml:space="preserve">la Subdirección –dentro de los límites de sus atribuciones– resolverá la consulta conforme a las normas generales en materia de contratación estatal. </w:t>
      </w:r>
      <w:r w:rsidR="00906E31" w:rsidRPr="00747E74">
        <w:rPr>
          <w:rFonts w:ascii="Arial" w:eastAsia="Calibri" w:hAnsi="Arial" w:cs="Arial"/>
          <w:color w:val="000000" w:themeColor="text1"/>
          <w:sz w:val="22"/>
          <w:lang w:val="es-ES"/>
        </w:rPr>
        <w:t xml:space="preserve">Con este objeto se analizarán </w:t>
      </w:r>
      <w:r w:rsidR="00B66316" w:rsidRPr="00747E74">
        <w:rPr>
          <w:rFonts w:ascii="Arial" w:eastAsia="Calibri" w:hAnsi="Arial" w:cs="Arial"/>
          <w:sz w:val="22"/>
          <w:szCs w:val="22"/>
          <w:lang w:val="es-ES_tradnl"/>
        </w:rPr>
        <w:t>los</w:t>
      </w:r>
      <w:r w:rsidR="00906E31" w:rsidRPr="00747E74">
        <w:rPr>
          <w:rFonts w:ascii="Arial" w:eastAsia="Calibri" w:hAnsi="Arial" w:cs="Arial"/>
          <w:sz w:val="22"/>
          <w:szCs w:val="22"/>
          <w:lang w:val="es-ES_tradnl"/>
        </w:rPr>
        <w:t xml:space="preserve"> </w:t>
      </w:r>
      <w:r w:rsidR="00486C85" w:rsidRPr="00747E74">
        <w:rPr>
          <w:rFonts w:ascii="Arial" w:eastAsia="Calibri" w:hAnsi="Arial" w:cs="Arial"/>
          <w:sz w:val="22"/>
          <w:szCs w:val="22"/>
          <w:lang w:val="es-ES_tradnl"/>
        </w:rPr>
        <w:t>siguiente</w:t>
      </w:r>
      <w:r w:rsidR="00B66316" w:rsidRPr="00747E74">
        <w:rPr>
          <w:rFonts w:ascii="Arial" w:eastAsia="Calibri" w:hAnsi="Arial" w:cs="Arial"/>
          <w:sz w:val="22"/>
          <w:szCs w:val="22"/>
          <w:lang w:val="es-ES_tradnl"/>
        </w:rPr>
        <w:t>s</w:t>
      </w:r>
      <w:r w:rsidR="00486C85" w:rsidRPr="00747E74">
        <w:rPr>
          <w:rFonts w:ascii="Arial" w:eastAsia="Calibri" w:hAnsi="Arial" w:cs="Arial"/>
          <w:sz w:val="22"/>
          <w:szCs w:val="22"/>
          <w:lang w:val="es-ES_tradnl"/>
        </w:rPr>
        <w:t xml:space="preserve"> tema</w:t>
      </w:r>
      <w:r w:rsidR="00B66316" w:rsidRPr="00747E74">
        <w:rPr>
          <w:rFonts w:ascii="Arial" w:eastAsia="Calibri" w:hAnsi="Arial" w:cs="Arial"/>
          <w:sz w:val="22"/>
          <w:szCs w:val="22"/>
          <w:lang w:val="es-ES_tradnl"/>
        </w:rPr>
        <w:t>s</w:t>
      </w:r>
      <w:r w:rsidR="00486C85" w:rsidRPr="00747E74">
        <w:rPr>
          <w:rFonts w:ascii="Arial" w:eastAsia="Calibri" w:hAnsi="Arial" w:cs="Arial"/>
          <w:sz w:val="22"/>
          <w:szCs w:val="22"/>
          <w:lang w:val="es-ES_tradnl"/>
        </w:rPr>
        <w:t>: i)</w:t>
      </w:r>
      <w:r w:rsidR="001852C1" w:rsidRPr="00747E74">
        <w:rPr>
          <w:rFonts w:ascii="Arial" w:eastAsia="Calibri" w:hAnsi="Arial" w:cs="Arial"/>
          <w:sz w:val="22"/>
          <w:szCs w:val="22"/>
          <w:lang w:val="es-ES_tradnl"/>
        </w:rPr>
        <w:t xml:space="preserve"> Audiencia de asignación de riesgos en la licitación pública</w:t>
      </w:r>
      <w:r w:rsidR="00DD7E17" w:rsidRPr="00747E74">
        <w:rPr>
          <w:rFonts w:ascii="Arial" w:eastAsia="Calibri" w:hAnsi="Arial" w:cs="Arial"/>
          <w:sz w:val="22"/>
          <w:szCs w:val="22"/>
          <w:lang w:val="es-ES_tradnl"/>
        </w:rPr>
        <w:t>,</w:t>
      </w:r>
      <w:r w:rsidR="00F0351E" w:rsidRPr="00747E74">
        <w:rPr>
          <w:rFonts w:ascii="Arial" w:eastAsia="Calibri" w:hAnsi="Arial" w:cs="Arial"/>
          <w:sz w:val="22"/>
          <w:szCs w:val="22"/>
          <w:lang w:val="es-ES_tradnl"/>
        </w:rPr>
        <w:t xml:space="preserve"> ii) </w:t>
      </w:r>
      <w:r w:rsidR="001852C1" w:rsidRPr="00747E74">
        <w:rPr>
          <w:rFonts w:ascii="Arial" w:eastAsia="Calibri" w:hAnsi="Arial" w:cs="Arial"/>
          <w:sz w:val="22"/>
          <w:szCs w:val="22"/>
          <w:lang w:val="es-ES_tradnl"/>
        </w:rPr>
        <w:t>Carácter preclusivo de las etapas del procedimiento contractual. El caso de la audiencia de asignación de riesgos en la licitación pública</w:t>
      </w:r>
      <w:r w:rsidR="00B66316" w:rsidRPr="00747E74">
        <w:rPr>
          <w:rFonts w:ascii="Arial" w:eastAsia="Calibri" w:hAnsi="Arial" w:cs="Arial"/>
          <w:sz w:val="22"/>
          <w:szCs w:val="22"/>
          <w:lang w:val="es-ES_tradnl"/>
        </w:rPr>
        <w:t xml:space="preserve">. </w:t>
      </w:r>
    </w:p>
    <w:p w14:paraId="09DE976B" w14:textId="55FA9E59" w:rsidR="004E0DC6" w:rsidRPr="00747E74" w:rsidRDefault="004E0DC6" w:rsidP="004E0DC6">
      <w:pPr>
        <w:spacing w:line="276" w:lineRule="auto"/>
        <w:jc w:val="both"/>
        <w:rPr>
          <w:rFonts w:ascii="Arial" w:eastAsia="Calibri" w:hAnsi="Arial" w:cs="Arial"/>
          <w:sz w:val="22"/>
        </w:rPr>
      </w:pPr>
      <w:r w:rsidRPr="00747E74">
        <w:rPr>
          <w:rFonts w:ascii="Arial" w:hAnsi="Arial" w:cs="Arial"/>
          <w:bCs/>
          <w:color w:val="161616" w:themeColor="background1" w:themeShade="1A"/>
          <w:sz w:val="22"/>
          <w:szCs w:val="22"/>
        </w:rPr>
        <w:tab/>
      </w:r>
      <w:r w:rsidRPr="00747E74">
        <w:rPr>
          <w:rFonts w:ascii="Arial" w:hAnsi="Arial" w:cs="Arial"/>
          <w:sz w:val="22"/>
        </w:rPr>
        <w:t xml:space="preserve">La Agencia </w:t>
      </w:r>
      <w:r w:rsidRPr="00747E74">
        <w:rPr>
          <w:rFonts w:ascii="Arial" w:eastAsia="Calibri" w:hAnsi="Arial" w:cs="Arial"/>
          <w:sz w:val="22"/>
        </w:rPr>
        <w:t>Nacional</w:t>
      </w:r>
      <w:r w:rsidRPr="00747E74">
        <w:rPr>
          <w:rFonts w:ascii="Arial" w:hAnsi="Arial" w:cs="Arial"/>
          <w:sz w:val="22"/>
        </w:rPr>
        <w:t xml:space="preserve"> de Contratación Pública – Colombia Compra Eficiente </w:t>
      </w:r>
      <w:r w:rsidRPr="00747E74">
        <w:rPr>
          <w:rFonts w:ascii="Arial" w:eastAsia="Calibri" w:hAnsi="Arial" w:cs="Arial"/>
          <w:sz w:val="22"/>
        </w:rPr>
        <w:t>analizó la audiencia de adjudicación en los conceptos con radicado No. 4201912000005935 del 25 de noviembre de 2019, reiterado y desarrollado en el concepto con radicado No. 4201912000007600 del 23 de diciembre de 2019, C-679 del 23 de noviembre de 2020, y C-042 del 3 de marzo de 2021</w:t>
      </w:r>
      <w:r w:rsidR="000F53F8" w:rsidRPr="00747E74">
        <w:rPr>
          <w:rFonts w:ascii="Arial" w:eastAsia="Calibri" w:hAnsi="Arial" w:cs="Arial"/>
          <w:sz w:val="22"/>
        </w:rPr>
        <w:t xml:space="preserve"> y</w:t>
      </w:r>
      <w:r w:rsidR="00A54FEA" w:rsidRPr="00747E74">
        <w:rPr>
          <w:rFonts w:ascii="Arial" w:eastAsia="Calibri" w:hAnsi="Arial" w:cs="Arial"/>
          <w:sz w:val="22"/>
        </w:rPr>
        <w:t xml:space="preserve"> </w:t>
      </w:r>
      <w:r w:rsidR="000F53F8" w:rsidRPr="00747E74">
        <w:rPr>
          <w:rFonts w:ascii="Arial" w:eastAsia="Calibri" w:hAnsi="Arial" w:cs="Arial"/>
          <w:sz w:val="22"/>
        </w:rPr>
        <w:t>C-472 de 18 de julio de 2022</w:t>
      </w:r>
      <w:r w:rsidRPr="00747E74">
        <w:rPr>
          <w:rFonts w:ascii="Arial" w:eastAsia="Calibri" w:hAnsi="Arial" w:cs="Arial"/>
          <w:sz w:val="22"/>
        </w:rPr>
        <w:t xml:space="preserve">. Mediante los Conceptos C-046 del 19 de febrero de 2020 y C-466 del 3 de septiembre de 2021 también estudió lo referente </w:t>
      </w:r>
      <w:r w:rsidRPr="00747E74">
        <w:rPr>
          <w:rFonts w:ascii="Arial" w:eastAsia="Calibri" w:hAnsi="Arial" w:cs="Arial"/>
          <w:sz w:val="22"/>
        </w:rPr>
        <w:lastRenderedPageBreak/>
        <w:t>al mandato conferido por el oferente en caso de no poder asistir a la audiencia de adjudicación. La tesis desarrollada en estos conceptos se expone a continuación:</w:t>
      </w:r>
    </w:p>
    <w:p w14:paraId="35380E44" w14:textId="77777777" w:rsidR="000F53F8" w:rsidRPr="00747E74" w:rsidRDefault="000F53F8" w:rsidP="007E65AD">
      <w:pPr>
        <w:tabs>
          <w:tab w:val="left" w:pos="426"/>
        </w:tabs>
        <w:spacing w:line="276" w:lineRule="auto"/>
        <w:jc w:val="both"/>
        <w:rPr>
          <w:rFonts w:ascii="Arial" w:eastAsia="Calibri" w:hAnsi="Arial" w:cs="Arial"/>
          <w:b/>
          <w:color w:val="000000"/>
          <w:sz w:val="22"/>
          <w:lang w:val="es-ES_tradnl" w:eastAsia="en-US"/>
        </w:rPr>
      </w:pPr>
    </w:p>
    <w:p w14:paraId="77263508" w14:textId="09524BF1" w:rsidR="007E65AD" w:rsidRPr="00747E74" w:rsidRDefault="007E65AD" w:rsidP="007E65AD">
      <w:pPr>
        <w:tabs>
          <w:tab w:val="left" w:pos="426"/>
        </w:tabs>
        <w:spacing w:line="276" w:lineRule="auto"/>
        <w:jc w:val="both"/>
        <w:rPr>
          <w:rFonts w:ascii="Arial" w:eastAsia="Calibri" w:hAnsi="Arial" w:cs="Arial"/>
          <w:b/>
          <w:color w:val="000000"/>
          <w:sz w:val="22"/>
          <w:lang w:val="es-ES_tradnl" w:eastAsia="en-US"/>
        </w:rPr>
      </w:pPr>
      <w:r w:rsidRPr="00747E74">
        <w:rPr>
          <w:rFonts w:ascii="Arial" w:eastAsia="Calibri" w:hAnsi="Arial" w:cs="Arial"/>
          <w:b/>
          <w:color w:val="000000"/>
          <w:sz w:val="22"/>
          <w:lang w:val="es-ES_tradnl" w:eastAsia="en-US"/>
        </w:rPr>
        <w:t xml:space="preserve">2.1. Audiencia de asignación de riesgos en la licitación pública </w:t>
      </w:r>
    </w:p>
    <w:p w14:paraId="0FCD64C0" w14:textId="77777777" w:rsidR="007E65AD" w:rsidRPr="00747E74" w:rsidRDefault="007E65AD" w:rsidP="007E65AD">
      <w:pPr>
        <w:spacing w:line="276" w:lineRule="auto"/>
        <w:jc w:val="both"/>
        <w:rPr>
          <w:rFonts w:ascii="Arial" w:eastAsia="Calibri" w:hAnsi="Arial" w:cs="Arial"/>
          <w:color w:val="000000"/>
          <w:sz w:val="22"/>
          <w:lang w:val="es-ES_tradnl" w:eastAsia="en-US"/>
        </w:rPr>
      </w:pPr>
    </w:p>
    <w:p w14:paraId="559EE281" w14:textId="77777777" w:rsidR="007E65AD" w:rsidRPr="00747E74" w:rsidRDefault="007E65AD" w:rsidP="007E65AD">
      <w:pPr>
        <w:spacing w:line="276" w:lineRule="auto"/>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En materia de contrataci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el marco normativo ha establecido el deber de las entidades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blicas de incluir en los pliegos de condiciones o sus equivalentes la estimaci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tipificaci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y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previsibles involucrados en la contrataci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Esto, con el fin de administrarlos, controlarlos, gestionarlos, mitigarlos y efectuar una distribuci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n proporcional entre las partes, </w:t>
      </w:r>
      <w:r w:rsidRPr="00747E74">
        <w:rPr>
          <w:rFonts w:ascii="Arial" w:eastAsia="Calibri" w:hAnsi="Arial" w:cs="Arial" w:hint="eastAsia"/>
          <w:color w:val="000000"/>
          <w:sz w:val="22"/>
          <w:lang w:val="es-ES_tradnl" w:eastAsia="en-US"/>
        </w:rPr>
        <w:t>«</w:t>
      </w:r>
      <w:r w:rsidRPr="00747E74">
        <w:rPr>
          <w:rFonts w:ascii="Arial" w:eastAsia="Calibri" w:hAnsi="Arial" w:cs="Arial"/>
          <w:color w:val="000000"/>
          <w:sz w:val="22"/>
          <w:lang w:val="es-ES_tradnl" w:eastAsia="en-US"/>
        </w:rPr>
        <w:t>actividad que debe sujetarse a un criterio de justicia y equidad, al tiempo que corresponde ejercerse con apego a los principios y reglas constitucionales y legales que orientan la actividad contractual del Estado»</w:t>
      </w:r>
      <w:r w:rsidRPr="00747E74">
        <w:rPr>
          <w:rFonts w:ascii="Arial" w:eastAsia="Calibri" w:hAnsi="Arial" w:cs="Arial"/>
          <w:vertAlign w:val="superscript"/>
          <w:lang w:val="es-ES_tradnl" w:eastAsia="en-US"/>
        </w:rPr>
        <w:footnoteReference w:id="3"/>
      </w:r>
      <w:r w:rsidRPr="00747E74">
        <w:rPr>
          <w:rFonts w:ascii="Arial" w:eastAsia="Calibri" w:hAnsi="Arial" w:cs="Arial"/>
          <w:color w:val="000000"/>
          <w:sz w:val="22"/>
          <w:lang w:val="es-ES_tradnl" w:eastAsia="en-US"/>
        </w:rPr>
        <w:t>. La Ley 1150 de 2007, en su art</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culo 4, regula la materia, prescribiendo lo siguiente: </w:t>
      </w:r>
    </w:p>
    <w:p w14:paraId="4B645703" w14:textId="77777777" w:rsidR="007E65AD" w:rsidRPr="00747E74" w:rsidRDefault="007E65AD" w:rsidP="007E65AD">
      <w:pPr>
        <w:spacing w:line="276" w:lineRule="auto"/>
        <w:ind w:firstLine="709"/>
        <w:jc w:val="both"/>
        <w:rPr>
          <w:rFonts w:ascii="Arial" w:eastAsia="Calibri" w:hAnsi="Arial" w:cs="Arial"/>
          <w:color w:val="000000"/>
          <w:sz w:val="19"/>
          <w:szCs w:val="19"/>
          <w:lang w:val="es-ES_tradnl" w:eastAsia="en-US"/>
        </w:rPr>
      </w:pPr>
    </w:p>
    <w:p w14:paraId="636AFA5C"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Los pliegos de condiciones o sus equivalentes deberán incluir la estimación, tipificación y asignación de los riesgos previsibles involucrados en la contratación.</w:t>
      </w:r>
    </w:p>
    <w:p w14:paraId="1A138752"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7A3B1DD7"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En las licitaciones públicas, los pliegos de condiciones de las entidades estatales deberán señalar el momento en el que, con anterioridad a la presentación de las ofertas, los oferentes y la entidad revisarán la asignación de riesgos con el fin de establecer su distribución definitiva.</w:t>
      </w:r>
    </w:p>
    <w:p w14:paraId="48F4C521" w14:textId="77777777" w:rsidR="007E65AD" w:rsidRPr="00747E74" w:rsidRDefault="007E65AD" w:rsidP="007E65AD">
      <w:pPr>
        <w:spacing w:line="276" w:lineRule="auto"/>
        <w:ind w:left="709" w:right="709"/>
        <w:jc w:val="both"/>
        <w:rPr>
          <w:rFonts w:ascii="Arial" w:eastAsia="Calibri" w:hAnsi="Arial" w:cs="Arial"/>
          <w:color w:val="000000"/>
          <w:sz w:val="21"/>
          <w:szCs w:val="21"/>
          <w:lang w:val="es-ES_tradnl" w:eastAsia="en-US"/>
        </w:rPr>
      </w:pPr>
    </w:p>
    <w:p w14:paraId="713B5EEC"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De la lectura de este precepto se deduce que en los procedimientos de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las entidades estatales deben incorporar en el pliego de condicione la estimaci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tipificaci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y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los riesgos previsibles. Adem</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s de lo anterior, tienen la obligaci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definir un momento para que los oferentes y la entidad estatal revisen la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los riesgos, con el fin de determinar su distribuci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definitiva. En efecto, el art</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culo 30, numeral 4, de la Ley 80 de 1993, modificado por el art</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culo 220 del Decreto-Ley 019 de 2012, indica que en los procesos de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se debe revisar en audiencia la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previsibles, con el fin de establecer su estimaci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tipificaci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y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definitiva. Al respecto, esta norma dispone lo siguiente:</w:t>
      </w:r>
    </w:p>
    <w:p w14:paraId="0DB57F12"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La licitación se efectuará conforme a las siguientes reglas:</w:t>
      </w:r>
    </w:p>
    <w:p w14:paraId="06D8886B"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3BF63129"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 xml:space="preserve">4o. &lt;Numeral modificado por el artículo 220 del Decreto 19 de 2012. El nuevo texto es el siguiente:&gt; Dentro de los tres (3) días hábiles siguientes al inicio del plazo para la presentación de propuestas y a solicitud de cualquiera de las personas interesadas en el proceso se celebrará una audiencia con el objeto de precisar el contenido y alcance de los </w:t>
      </w:r>
      <w:r w:rsidRPr="00747E74">
        <w:rPr>
          <w:rFonts w:ascii="Arial" w:eastAsia="Calibri" w:hAnsi="Arial" w:cs="Arial"/>
          <w:color w:val="000000"/>
          <w:sz w:val="19"/>
          <w:szCs w:val="19"/>
          <w:lang w:val="es-ES_tradnl" w:eastAsia="en-US"/>
        </w:rPr>
        <w:lastRenderedPageBreak/>
        <w:t>pliegos de condiciones, de lo cual se levantará un acta suscrita por los intervinientes. En la misma audiencia se revisará la asignación de riesgos que trata el artículo 4 de la Ley 1150 de 2007 con el fin de establecer su tipificación, estimación y asignación definitiva.</w:t>
      </w:r>
    </w:p>
    <w:p w14:paraId="6EC8C5E3"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275C870F"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Como resultado de lo debatido en la audiencia y cuando resulte conveniente, el jefe o representante de la entidad expedirá las modificaciones pertinentes a dichos documentos y prorrogará, si fuere necesario, el plazo de la licitación o concurso* hasta por seis (6) días hábiles.</w:t>
      </w:r>
    </w:p>
    <w:p w14:paraId="23B60C03"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19F7A675"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 xml:space="preserve">Lo anterior no impide </w:t>
      </w:r>
      <w:proofErr w:type="gramStart"/>
      <w:r w:rsidRPr="00747E74">
        <w:rPr>
          <w:rFonts w:ascii="Arial" w:eastAsia="Calibri" w:hAnsi="Arial" w:cs="Arial"/>
          <w:color w:val="000000"/>
          <w:sz w:val="19"/>
          <w:szCs w:val="19"/>
          <w:lang w:val="es-ES_tradnl" w:eastAsia="en-US"/>
        </w:rPr>
        <w:t>que</w:t>
      </w:r>
      <w:proofErr w:type="gramEnd"/>
      <w:r w:rsidRPr="00747E74">
        <w:rPr>
          <w:rFonts w:ascii="Arial" w:eastAsia="Calibri" w:hAnsi="Arial" w:cs="Arial"/>
          <w:color w:val="000000"/>
          <w:sz w:val="19"/>
          <w:szCs w:val="19"/>
          <w:lang w:val="es-ES_tradnl" w:eastAsia="en-US"/>
        </w:rPr>
        <w:t xml:space="preserve"> dentro del plazo de la licitación, cualquier interesado pueda solicitar aclaraciones adicionales que la entidad contratante responderá mediante comunicación escrita, la cual remitirá al interesado y publicará en el SECOP para conocimiento público.</w:t>
      </w:r>
    </w:p>
    <w:p w14:paraId="4CB9A866" w14:textId="77777777" w:rsidR="007E65AD" w:rsidRPr="00747E74" w:rsidRDefault="007E65AD" w:rsidP="007E65AD">
      <w:pPr>
        <w:spacing w:line="276" w:lineRule="auto"/>
        <w:ind w:left="709" w:right="709"/>
        <w:jc w:val="both"/>
        <w:rPr>
          <w:rFonts w:ascii="Arial" w:eastAsia="Calibri" w:hAnsi="Arial" w:cs="Arial"/>
          <w:color w:val="000000"/>
          <w:sz w:val="21"/>
          <w:szCs w:val="21"/>
          <w:lang w:val="es-ES_tradnl" w:eastAsia="en-US"/>
        </w:rPr>
      </w:pPr>
    </w:p>
    <w:p w14:paraId="097E3F5A" w14:textId="43A18DFC" w:rsidR="007E65AD" w:rsidRPr="00747E74" w:rsidRDefault="007E65AD" w:rsidP="007E65AD">
      <w:pPr>
        <w:spacing w:after="120" w:line="276" w:lineRule="auto"/>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ab/>
        <w:t>Por su parte, el art</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culo 2.2.1.1.2.1.3 del Decreto 1082 de 2015 establece que los pliegos de condiciones deben contener, entre otros aspectos, </w:t>
      </w:r>
      <w:r w:rsidRPr="00747E74">
        <w:rPr>
          <w:rFonts w:ascii="Arial" w:eastAsia="Calibri" w:hAnsi="Arial" w:cs="Arial"/>
          <w:color w:val="000000"/>
          <w:sz w:val="21"/>
          <w:szCs w:val="21"/>
          <w:lang w:val="es-ES_tradnl" w:eastAsia="en-US"/>
        </w:rPr>
        <w:t>«</w:t>
      </w:r>
      <w:r w:rsidRPr="00747E74">
        <w:rPr>
          <w:rFonts w:ascii="Arial" w:eastAsia="Calibri" w:hAnsi="Arial" w:cs="Arial"/>
          <w:color w:val="000000"/>
          <w:sz w:val="22"/>
          <w:lang w:val="es-ES_tradnl" w:eastAsia="en-US"/>
        </w:rPr>
        <w:t>los Riesgos asociados al contrato, la forma de mitigarlos y la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del Riesgo entre las partes contratantes</w:t>
      </w:r>
      <w:r w:rsidRPr="00747E74">
        <w:rPr>
          <w:rFonts w:ascii="Arial" w:eastAsia="Calibri" w:hAnsi="Arial" w:cs="Arial" w:hint="eastAsia"/>
          <w:color w:val="000000"/>
          <w:sz w:val="22"/>
          <w:vertAlign w:val="superscript"/>
          <w:lang w:val="es-ES_tradnl" w:eastAsia="en-US"/>
        </w:rPr>
        <w:t>»</w:t>
      </w:r>
      <w:r w:rsidRPr="00747E74">
        <w:rPr>
          <w:rFonts w:ascii="Arial" w:eastAsia="Calibri" w:hAnsi="Arial" w:cs="Arial"/>
          <w:color w:val="000000"/>
          <w:sz w:val="22"/>
          <w:lang w:val="es-ES_tradnl" w:eastAsia="en-US"/>
        </w:rPr>
        <w:t>. As</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 mismo, el art</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culo 2.2.1.2.1.1.2. </w:t>
      </w:r>
      <w:r w:rsidR="001F190A" w:rsidRPr="00747E74">
        <w:rPr>
          <w:rFonts w:ascii="Arial" w:eastAsia="Calibri" w:hAnsi="Arial" w:cs="Arial"/>
          <w:color w:val="000000"/>
          <w:sz w:val="22"/>
          <w:lang w:val="es-ES_tradnl" w:eastAsia="en-US"/>
        </w:rPr>
        <w:t>Del</w:t>
      </w:r>
      <w:r w:rsidRPr="00747E74">
        <w:rPr>
          <w:rFonts w:ascii="Arial" w:eastAsia="Calibri" w:hAnsi="Arial" w:cs="Arial"/>
          <w:color w:val="000000"/>
          <w:sz w:val="22"/>
          <w:lang w:val="es-ES_tradnl" w:eastAsia="en-US"/>
        </w:rPr>
        <w:t xml:space="preserve"> Decreto 1082 de 2015 fij</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 dos audiencias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blicas obligatorias en la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i) la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y ii) la de adjudicaci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En relaci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con la primera, indic</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 que la entidad estatal debe presentar el an</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lisis de riesgos efectuado y hacer la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definitiva</w:t>
      </w:r>
      <w:r w:rsidRPr="00747E74">
        <w:rPr>
          <w:rFonts w:ascii="Arial" w:eastAsia="Calibri" w:hAnsi="Arial" w:cs="Arial"/>
          <w:color w:val="000000"/>
          <w:sz w:val="22"/>
          <w:vertAlign w:val="superscript"/>
          <w:lang w:val="es-ES_tradnl" w:eastAsia="en-US"/>
        </w:rPr>
        <w:footnoteReference w:id="4"/>
      </w:r>
      <w:r w:rsidRPr="00747E74">
        <w:rPr>
          <w:rFonts w:ascii="Arial" w:eastAsia="Calibri" w:hAnsi="Arial" w:cs="Arial"/>
          <w:color w:val="000000"/>
          <w:sz w:val="22"/>
          <w:lang w:val="es-ES_tradnl" w:eastAsia="en-US"/>
        </w:rPr>
        <w:t xml:space="preserve"> y, en caso de ser necesario, debe precisar el alcance y contenido del pliego de condiciones. </w:t>
      </w:r>
    </w:p>
    <w:p w14:paraId="4B51218F"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Bajo estos par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metros normativos, es claro que la tipificaci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estimaci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y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los riesgos es un deber que les corresponde a las entidades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blicas cumplir en los pliegos de condiciones o sus equivalentes. Su finalidad es determinar los riesgos previsibles que se pueden materializar en el proceso de selecci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y durante la ejecuci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del contrato, para establecer cu</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 xml:space="preserve">l de las partes debe asumir cada riesgo, conforme a la capacidad que tenga para soportarlo, gestionarlo y administrarlo. </w:t>
      </w:r>
    </w:p>
    <w:p w14:paraId="028137D4"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La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no fue prevista como obligatoria para todos los procesos de selecci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n, sino </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nicamente para la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Su propósito es que los oferentes y la entidad revisen, en un espacio de di</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logo, la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los riesgos que previamente se han incluido en el pliego de condiciones. De esta manera, podr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n identificar y valorar los riesgos previsibles del contrato, as</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 como designar a la parte contractual que </w:t>
      </w:r>
      <w:r w:rsidRPr="00747E74">
        <w:rPr>
          <w:rFonts w:ascii="Arial" w:eastAsia="Calibri" w:hAnsi="Arial" w:cs="Arial"/>
          <w:color w:val="000000"/>
          <w:sz w:val="22"/>
          <w:lang w:val="es-ES_tradnl" w:eastAsia="en-US"/>
        </w:rPr>
        <w:lastRenderedPageBreak/>
        <w:t>tendr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 xml:space="preserve"> la responsabilidad de tomar las medidas para prevenir y mitigar el riesgo, con el fin de establecer su distribución definitiva. </w:t>
      </w:r>
    </w:p>
    <w:p w14:paraId="3247816E"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Ahora bien, aunque la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es obligatoria en los procesos de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lo cierto es que dicha obligatoriedad tiene que ver con la necesidad de realizarla por parte de la entidad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m</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s no con la asistencia a la misma por parte de los futuros oferentes. Ello es as</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por cuanto los preceptos normativos se</w:t>
      </w:r>
      <w:r w:rsidRPr="00747E74">
        <w:rPr>
          <w:rFonts w:ascii="Arial" w:eastAsia="Calibri" w:hAnsi="Arial" w:cs="Arial" w:hint="eastAsia"/>
          <w:color w:val="000000"/>
          <w:sz w:val="22"/>
          <w:lang w:val="es-ES_tradnl" w:eastAsia="en-US"/>
        </w:rPr>
        <w:t>ñ</w:t>
      </w:r>
      <w:r w:rsidRPr="00747E74">
        <w:rPr>
          <w:rFonts w:ascii="Arial" w:eastAsia="Calibri" w:hAnsi="Arial" w:cs="Arial"/>
          <w:color w:val="000000"/>
          <w:sz w:val="22"/>
          <w:lang w:val="es-ES_tradnl" w:eastAsia="en-US"/>
        </w:rPr>
        <w:t>alados nada establecieron sobre la obligaci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n de asistir por parte de los eventuales interesados. </w:t>
      </w:r>
    </w:p>
    <w:p w14:paraId="7C3D2264"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Lo expuesto encuentra sustento en el documento CONPES 3714 de 2011</w:t>
      </w:r>
      <w:r w:rsidRPr="00747E74">
        <w:rPr>
          <w:rFonts w:ascii="Arial" w:eastAsia="Calibri" w:hAnsi="Arial" w:cs="Arial"/>
          <w:color w:val="000000"/>
          <w:sz w:val="22"/>
          <w:vertAlign w:val="superscript"/>
          <w:lang w:val="es-ES_tradnl" w:eastAsia="en-US"/>
        </w:rPr>
        <w:footnoteReference w:id="5"/>
      </w:r>
      <w:r w:rsidRPr="00747E74">
        <w:rPr>
          <w:rFonts w:ascii="Arial" w:eastAsia="Calibri" w:hAnsi="Arial" w:cs="Arial"/>
          <w:color w:val="000000"/>
          <w:sz w:val="22"/>
          <w:lang w:val="es-ES_tradnl" w:eastAsia="en-US"/>
        </w:rPr>
        <w:t xml:space="preserve"> que expidi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 el Gobierno Nacional en el Marco de la Pol</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tica de Contrataci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En virtud de dicho documento, se establecen lineamientos b</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sicos para el entendimiento del concepto de riesgo previsible respecto de las adquisiciones sometidas al Estatuto General de Contrataci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la Administraci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Es viable concluir entonces que la asistencia a dicha audiencia es una potestad del proponente y no una obligaci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w:t>
      </w:r>
    </w:p>
    <w:p w14:paraId="505D4778"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El Manual de Administraci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para el Proceso de Contrataci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expedido por Colombia Compra Eficiente reitera el deber de efectuar la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en la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w:t>
      </w:r>
      <w:r w:rsidRPr="00747E74">
        <w:rPr>
          <w:rFonts w:ascii="Arial" w:eastAsia="Calibri" w:hAnsi="Arial" w:cs="Arial"/>
          <w:color w:val="000000"/>
          <w:sz w:val="22"/>
          <w:vertAlign w:val="superscript"/>
          <w:lang w:val="es-ES_tradnl" w:eastAsia="en-US"/>
        </w:rPr>
        <w:footnoteReference w:id="6"/>
      </w:r>
      <w:r w:rsidRPr="00747E74">
        <w:rPr>
          <w:rFonts w:ascii="Arial" w:eastAsia="Calibri" w:hAnsi="Arial" w:cs="Arial"/>
          <w:color w:val="000000"/>
          <w:sz w:val="22"/>
          <w:lang w:val="es-ES_tradnl" w:eastAsia="en-US"/>
        </w:rPr>
        <w:t>. En efecto, dispone que la entidad estatal, en los procesos de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deben adelantar una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en la cual deben presentar el an</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lisis de riesgos efectuado, la matriz incluida en los pliegos y revisar la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n de los riesgos. </w:t>
      </w:r>
    </w:p>
    <w:p w14:paraId="258BAB39"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De acuerdo con la normativa que rige la materia y los lineamientos del gobierno nacional, se concluye entonces que, cuando se trate de procesos de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existe una obligaci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en cabeza de la entidad estatal de incluir un espacio de di</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logo sobre los riesgos, que se desarrollar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 xml:space="preserve"> en audiencia especial. Con ello se busca que la entidad y los futuros proponentes, de manera conjunta, revisen la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efectuada en los pliegos de condiciones. Por ello, la obligaci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que se asigna en esta materia recae en la entidad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 xml:space="preserve">blica, dirigida a incluir dentro del pliego de condiciones un momento determinado para tratar el asunto. </w:t>
      </w:r>
    </w:p>
    <w:p w14:paraId="7A34815F"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Respecto del futuro proponente, en cambio, la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representa el derecho de discutir esa estimaci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tipificaci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y distribuci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los riesgos. De esta manera, los eventuales interesados podr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n complementar o controvertir la informaci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n </w:t>
      </w:r>
      <w:r w:rsidRPr="00747E74">
        <w:rPr>
          <w:rFonts w:ascii="Arial" w:eastAsia="Calibri" w:hAnsi="Arial" w:cs="Arial"/>
          <w:color w:val="000000"/>
          <w:sz w:val="22"/>
          <w:lang w:val="es-ES_tradnl" w:eastAsia="en-US"/>
        </w:rPr>
        <w:lastRenderedPageBreak/>
        <w:t>plasmada por la entidad, de acuerdo con sus conocimientos especiales sobre el objeto a contratar y su ejecuci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Ello, sin perjuicio de las dem</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 xml:space="preserve">s oportunidades establecidas en el pliego de condiciones para presentar observaciones al mismo. </w:t>
      </w:r>
    </w:p>
    <w:p w14:paraId="4B540748" w14:textId="77777777" w:rsidR="007E65AD" w:rsidRPr="00747E74" w:rsidRDefault="007E65AD" w:rsidP="007E65AD">
      <w:pPr>
        <w:spacing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Lo anterior obedece a que esta distribuci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debe efectuarse con base en las reglas constitucionales y legales, es decir, debe estar sujeta a criterios de justicia y equidad, permitiendo a las partes su revisi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conjunta, para que no se presenten arbitrariedades en su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Sobre este punto, el Consejo de Estado ha se</w:t>
      </w:r>
      <w:r w:rsidRPr="00747E74">
        <w:rPr>
          <w:rFonts w:ascii="Arial" w:eastAsia="Calibri" w:hAnsi="Arial" w:cs="Arial" w:hint="eastAsia"/>
          <w:color w:val="000000"/>
          <w:sz w:val="22"/>
          <w:lang w:val="es-ES_tradnl" w:eastAsia="en-US"/>
        </w:rPr>
        <w:t>ñ</w:t>
      </w:r>
      <w:r w:rsidRPr="00747E74">
        <w:rPr>
          <w:rFonts w:ascii="Arial" w:eastAsia="Calibri" w:hAnsi="Arial" w:cs="Arial"/>
          <w:color w:val="000000"/>
          <w:sz w:val="22"/>
          <w:lang w:val="es-ES_tradnl" w:eastAsia="en-US"/>
        </w:rPr>
        <w:t xml:space="preserve">alado lo siguiente: </w:t>
      </w:r>
    </w:p>
    <w:p w14:paraId="71A8330A"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5CBAF753"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 desde antes de la expedición de la referida preceptiva, a la luz de los dictados de la Ley 80 de 1993, por vía de la interpretación a los alcances de lo dispuesto por el numeral 5 del artículo 24, se avizoraba que cualquier esquema de distribución de riesgos en el campo contractual del Estado debía contener previsiones y reglas justas, claras y objetivas que permitieran ofrecimientos de la misma índole. De igual forma, se habrían de definir con exactitud las condiciones de costo y calidad de los bienes necesarios para la ejecución del contrato, no se incluirían condiciones y exigencias de imposible cumplimiento y no se establecerían reglas que permitieran ofrecimientos de extensión ilimitada.</w:t>
      </w:r>
    </w:p>
    <w:p w14:paraId="0BAF0C30"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55734987"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 xml:space="preserve">Siguiendo esa misma línea de pensamiento, tampoco resultaría ajustado a derecho atender a un sistema de distribución de riesgos cuya materialización se </w:t>
      </w:r>
      <w:proofErr w:type="gramStart"/>
      <w:r w:rsidRPr="00747E74">
        <w:rPr>
          <w:rFonts w:ascii="Arial" w:eastAsia="Calibri" w:hAnsi="Arial" w:cs="Arial"/>
          <w:color w:val="000000"/>
          <w:sz w:val="19"/>
          <w:szCs w:val="19"/>
          <w:lang w:val="es-ES_tradnl" w:eastAsia="en-US"/>
        </w:rPr>
        <w:t>derivara</w:t>
      </w:r>
      <w:proofErr w:type="gramEnd"/>
      <w:r w:rsidRPr="00747E74">
        <w:rPr>
          <w:rFonts w:ascii="Arial" w:eastAsia="Calibri" w:hAnsi="Arial" w:cs="Arial"/>
          <w:color w:val="000000"/>
          <w:sz w:val="19"/>
          <w:szCs w:val="19"/>
          <w:lang w:val="es-ES_tradnl" w:eastAsia="en-US"/>
        </w:rPr>
        <w:t xml:space="preserve"> directamente de la voluntad exclusiva de la entidad contratante y que tuviera la virtualidad de afectar la normal ejecución del contrato. Tal sería el caso de los supuestos de incumplimiento contractual o de la ocurrencia de circunstancias constitutivas de ruptura del equilibrio económico del contrato originadas en la actuación de la Administración contratante como se presentaría en los eventos del ejercicio del ius variandi o del hecho del príncipe</w:t>
      </w:r>
      <w:r w:rsidRPr="00747E74">
        <w:rPr>
          <w:rFonts w:ascii="Arial" w:eastAsia="Calibri" w:hAnsi="Arial" w:cs="Arial"/>
          <w:color w:val="000000"/>
          <w:sz w:val="19"/>
          <w:szCs w:val="19"/>
          <w:vertAlign w:val="superscript"/>
          <w:lang w:val="es-ES_tradnl" w:eastAsia="en-US"/>
        </w:rPr>
        <w:footnoteReference w:id="7"/>
      </w:r>
      <w:r w:rsidRPr="00747E74">
        <w:rPr>
          <w:rFonts w:ascii="Arial" w:eastAsia="Calibri" w:hAnsi="Arial" w:cs="Arial"/>
          <w:color w:val="000000"/>
          <w:sz w:val="19"/>
          <w:szCs w:val="19"/>
          <w:lang w:val="es-ES_tradnl" w:eastAsia="en-US"/>
        </w:rPr>
        <w:t xml:space="preserve">. </w:t>
      </w:r>
    </w:p>
    <w:p w14:paraId="42D8B3CF"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0E76D808" w14:textId="77777777" w:rsidR="007E65AD" w:rsidRPr="00747E74" w:rsidRDefault="007E65AD" w:rsidP="007E65AD">
      <w:pPr>
        <w:spacing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As</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 las cosas, la participaci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en la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en los procesos de licitaci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es un derecho del futuro proponente, que puede o no ejercer.  El efecto pr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ctico de su inasistencia no es otro que la aceptaci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los riesgos en la forma que lo haya establecido la entidad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blica contratante. Lo se</w:t>
      </w:r>
      <w:r w:rsidRPr="00747E74">
        <w:rPr>
          <w:rFonts w:ascii="Arial" w:eastAsia="Calibri" w:hAnsi="Arial" w:cs="Arial" w:hint="eastAsia"/>
          <w:color w:val="000000"/>
          <w:sz w:val="22"/>
          <w:lang w:val="es-ES_tradnl" w:eastAsia="en-US"/>
        </w:rPr>
        <w:t>ñ</w:t>
      </w:r>
      <w:r w:rsidRPr="00747E74">
        <w:rPr>
          <w:rFonts w:ascii="Arial" w:eastAsia="Calibri" w:hAnsi="Arial" w:cs="Arial"/>
          <w:color w:val="000000"/>
          <w:sz w:val="22"/>
          <w:lang w:val="es-ES_tradnl" w:eastAsia="en-US"/>
        </w:rPr>
        <w:t xml:space="preserve">alado significa </w:t>
      </w:r>
      <w:proofErr w:type="gramStart"/>
      <w:r w:rsidRPr="00747E74">
        <w:rPr>
          <w:rFonts w:ascii="Arial" w:eastAsia="Calibri" w:hAnsi="Arial" w:cs="Arial"/>
          <w:color w:val="000000"/>
          <w:sz w:val="22"/>
          <w:lang w:val="es-ES_tradnl" w:eastAsia="en-US"/>
        </w:rPr>
        <w:t>que</w:t>
      </w:r>
      <w:proofErr w:type="gramEnd"/>
      <w:r w:rsidRPr="00747E74">
        <w:rPr>
          <w:rFonts w:ascii="Arial" w:eastAsia="Calibri" w:hAnsi="Arial" w:cs="Arial"/>
          <w:color w:val="000000"/>
          <w:sz w:val="22"/>
          <w:lang w:val="es-ES_tradnl" w:eastAsia="en-US"/>
        </w:rPr>
        <w:t xml:space="preserve"> si el futuro proponente no acude a la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y tampoco efect</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a las observaciones respectivas durante la etapa establecida en el pliego de condiciones para tal efecto, se produce una aceptaci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la forma en que los riesgos han sido estimados, tipificados y distribuidos a las partes, lo cual tendr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 xml:space="preserve"> repercusi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en todas las etapas del proceso de contrataci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ah</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 la importancia de que los posibles oferentes conozcan la distribuci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n de los riesgos y puedan tener la oportunidad de revisarlos y objetarlos.  En caso </w:t>
      </w:r>
      <w:r w:rsidRPr="00747E74">
        <w:rPr>
          <w:rFonts w:ascii="Arial" w:eastAsia="Calibri" w:hAnsi="Arial" w:cs="Arial"/>
          <w:color w:val="000000"/>
          <w:sz w:val="22"/>
          <w:lang w:val="es-ES_tradnl" w:eastAsia="en-US"/>
        </w:rPr>
        <w:lastRenderedPageBreak/>
        <w:t>de que se concrete el riesgo, estos deber</w:t>
      </w:r>
      <w:r w:rsidRPr="00747E74">
        <w:rPr>
          <w:rFonts w:ascii="Arial" w:eastAsia="Calibri" w:hAnsi="Arial" w:cs="Arial" w:hint="eastAsia"/>
          <w:color w:val="000000"/>
          <w:sz w:val="22"/>
          <w:lang w:val="es-ES_tradnl" w:eastAsia="en-US"/>
        </w:rPr>
        <w:t>á</w:t>
      </w:r>
      <w:r w:rsidRPr="00747E74">
        <w:rPr>
          <w:rFonts w:ascii="Arial" w:eastAsia="Calibri" w:hAnsi="Arial" w:cs="Arial"/>
          <w:color w:val="000000"/>
          <w:sz w:val="22"/>
          <w:lang w:val="es-ES_tradnl" w:eastAsia="en-US"/>
        </w:rPr>
        <w:t>n asumirse de la manera en que fueron dispuestos y aceptados por las partes. As</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 lo ha indicado el Consejo de Estado: </w:t>
      </w:r>
    </w:p>
    <w:p w14:paraId="004A577E"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3F0B332C"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r w:rsidRPr="00747E74">
        <w:rPr>
          <w:rFonts w:ascii="Arial" w:eastAsia="Calibri" w:hAnsi="Arial" w:cs="Arial"/>
          <w:color w:val="000000"/>
          <w:sz w:val="19"/>
          <w:szCs w:val="19"/>
          <w:lang w:val="es-ES_tradnl" w:eastAsia="en-US"/>
        </w:rPr>
        <w:t xml:space="preserve">[…] si el riesgo que acontece </w:t>
      </w:r>
      <w:proofErr w:type="gramStart"/>
      <w:r w:rsidRPr="00747E74">
        <w:rPr>
          <w:rFonts w:ascii="Arial" w:eastAsia="Calibri" w:hAnsi="Arial" w:cs="Arial"/>
          <w:color w:val="000000"/>
          <w:sz w:val="19"/>
          <w:szCs w:val="19"/>
          <w:lang w:val="es-ES_tradnl" w:eastAsia="en-US"/>
        </w:rPr>
        <w:t>se enmarca dentro de</w:t>
      </w:r>
      <w:proofErr w:type="gramEnd"/>
      <w:r w:rsidRPr="00747E74">
        <w:rPr>
          <w:rFonts w:ascii="Arial" w:eastAsia="Calibri" w:hAnsi="Arial" w:cs="Arial"/>
          <w:color w:val="000000"/>
          <w:sz w:val="19"/>
          <w:szCs w:val="19"/>
          <w:lang w:val="es-ES_tradnl" w:eastAsia="en-US"/>
        </w:rPr>
        <w:t xml:space="preserve"> los linderos de la respectiva tipificación, valoración y asignación, no habrá lugar a alegar la ruptura del equilibrio económico del contrato por cuenta de su ocurrencia, bajo la comprensión de que el mismo ya fue cubierto por la respectiva matriz y corresponderá asumirlo a quien allí se haya dispuesto en la estimación acordada</w:t>
      </w:r>
      <w:r w:rsidRPr="00747E74">
        <w:rPr>
          <w:rFonts w:ascii="Arial" w:eastAsia="Calibri" w:hAnsi="Arial" w:cs="Arial"/>
          <w:color w:val="000000"/>
          <w:sz w:val="19"/>
          <w:szCs w:val="19"/>
          <w:vertAlign w:val="superscript"/>
          <w:lang w:val="es-ES_tradnl" w:eastAsia="en-US"/>
        </w:rPr>
        <w:footnoteReference w:id="8"/>
      </w:r>
      <w:r w:rsidRPr="00747E74">
        <w:rPr>
          <w:rFonts w:ascii="Arial" w:eastAsia="Calibri" w:hAnsi="Arial" w:cs="Arial"/>
          <w:color w:val="000000"/>
          <w:sz w:val="19"/>
          <w:szCs w:val="19"/>
          <w:lang w:val="es-ES_tradnl" w:eastAsia="en-US"/>
        </w:rPr>
        <w:t>.</w:t>
      </w:r>
    </w:p>
    <w:p w14:paraId="2BB6F3E2" w14:textId="77777777" w:rsidR="007E65AD" w:rsidRPr="00747E74" w:rsidRDefault="007E65AD" w:rsidP="007E65AD">
      <w:pPr>
        <w:ind w:left="709" w:right="709"/>
        <w:jc w:val="both"/>
        <w:rPr>
          <w:rFonts w:ascii="Arial" w:eastAsia="Calibri" w:hAnsi="Arial" w:cs="Arial"/>
          <w:color w:val="000000"/>
          <w:sz w:val="19"/>
          <w:szCs w:val="19"/>
          <w:lang w:val="es-ES_tradnl" w:eastAsia="en-US"/>
        </w:rPr>
      </w:pPr>
    </w:p>
    <w:p w14:paraId="24B6DF3F" w14:textId="77777777" w:rsidR="007E65AD" w:rsidRPr="00747E74" w:rsidRDefault="007E65AD" w:rsidP="007E65AD">
      <w:pPr>
        <w:spacing w:after="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As</w:t>
      </w:r>
      <w:r w:rsidRPr="00747E74">
        <w:rPr>
          <w:rFonts w:ascii="Arial" w:eastAsia="Calibri" w:hAnsi="Arial" w:cs="Arial" w:hint="eastAsia"/>
          <w:color w:val="000000"/>
          <w:sz w:val="22"/>
          <w:lang w:val="es-ES_tradnl" w:eastAsia="en-US"/>
        </w:rPr>
        <w:t>í</w:t>
      </w:r>
      <w:r w:rsidRPr="00747E74">
        <w:rPr>
          <w:rFonts w:ascii="Arial" w:eastAsia="Calibri" w:hAnsi="Arial" w:cs="Arial"/>
          <w:color w:val="000000"/>
          <w:sz w:val="22"/>
          <w:lang w:val="es-ES_tradnl" w:eastAsia="en-US"/>
        </w:rPr>
        <w:t xml:space="preserve"> las cosas, la asistencia a la audiencia de asignaci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de riesgos es un derecho del futuro proponente y no una obligaci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Por tal motivo no puede ser una causal que implique el rechazo de la oferta o impida la presentaci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 xml:space="preserve">n de </w:t>
      </w:r>
      <w:proofErr w:type="gramStart"/>
      <w:r w:rsidRPr="00747E74">
        <w:rPr>
          <w:rFonts w:ascii="Arial" w:eastAsia="Calibri" w:hAnsi="Arial" w:cs="Arial"/>
          <w:color w:val="000000"/>
          <w:sz w:val="22"/>
          <w:lang w:val="es-ES_tradnl" w:eastAsia="en-US"/>
        </w:rPr>
        <w:t>la misma</w:t>
      </w:r>
      <w:proofErr w:type="gramEnd"/>
      <w:r w:rsidRPr="00747E74">
        <w:rPr>
          <w:rFonts w:ascii="Arial" w:eastAsia="Calibri" w:hAnsi="Arial" w:cs="Arial"/>
          <w:color w:val="000000"/>
          <w:sz w:val="22"/>
          <w:lang w:val="es-ES_tradnl" w:eastAsia="en-US"/>
        </w:rPr>
        <w:t>. Sin embargo, se reitera que la inasistencia a la audiencia implica la aceptaci</w:t>
      </w:r>
      <w:r w:rsidRPr="00747E74">
        <w:rPr>
          <w:rFonts w:ascii="Arial" w:eastAsia="Calibri" w:hAnsi="Arial" w:cs="Arial" w:hint="eastAsia"/>
          <w:color w:val="000000"/>
          <w:sz w:val="22"/>
          <w:lang w:val="es-ES_tradnl" w:eastAsia="en-US"/>
        </w:rPr>
        <w:t>ó</w:t>
      </w:r>
      <w:r w:rsidRPr="00747E74">
        <w:rPr>
          <w:rFonts w:ascii="Arial" w:eastAsia="Calibri" w:hAnsi="Arial" w:cs="Arial"/>
          <w:color w:val="000000"/>
          <w:sz w:val="22"/>
          <w:lang w:val="es-ES_tradnl" w:eastAsia="en-US"/>
        </w:rPr>
        <w:t>n por parte del oferente de la forma en la que han sido estimados, tipificados y distribuidos los riesgos por parte de la entidad p</w:t>
      </w:r>
      <w:r w:rsidRPr="00747E74">
        <w:rPr>
          <w:rFonts w:ascii="Arial" w:eastAsia="Calibri" w:hAnsi="Arial" w:cs="Arial" w:hint="eastAsia"/>
          <w:color w:val="000000"/>
          <w:sz w:val="22"/>
          <w:lang w:val="es-ES_tradnl" w:eastAsia="en-US"/>
        </w:rPr>
        <w:t>ú</w:t>
      </w:r>
      <w:r w:rsidRPr="00747E74">
        <w:rPr>
          <w:rFonts w:ascii="Arial" w:eastAsia="Calibri" w:hAnsi="Arial" w:cs="Arial"/>
          <w:color w:val="000000"/>
          <w:sz w:val="22"/>
          <w:lang w:val="es-ES_tradnl" w:eastAsia="en-US"/>
        </w:rPr>
        <w:t xml:space="preserve">blica. </w:t>
      </w:r>
    </w:p>
    <w:p w14:paraId="169F4BEE" w14:textId="77777777" w:rsidR="007E65AD" w:rsidRPr="00747E74" w:rsidRDefault="007E65AD" w:rsidP="007E65AD">
      <w:pPr>
        <w:tabs>
          <w:tab w:val="left" w:pos="426"/>
        </w:tabs>
        <w:spacing w:line="276" w:lineRule="auto"/>
        <w:ind w:right="51"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Finalmente, en lo que ata</w:t>
      </w:r>
      <w:r w:rsidRPr="00747E74">
        <w:rPr>
          <w:rFonts w:ascii="Arial" w:eastAsia="Calibri" w:hAnsi="Arial" w:cs="Arial" w:hint="eastAsia"/>
          <w:color w:val="000000"/>
          <w:sz w:val="22"/>
          <w:lang w:val="es-ES_tradnl" w:eastAsia="en-US"/>
        </w:rPr>
        <w:t>ñ</w:t>
      </w:r>
      <w:r w:rsidRPr="00747E74">
        <w:rPr>
          <w:rFonts w:ascii="Arial" w:eastAsia="Calibri" w:hAnsi="Arial" w:cs="Arial"/>
          <w:color w:val="000000"/>
          <w:sz w:val="22"/>
          <w:lang w:val="es-ES_tradnl" w:eastAsia="en-US"/>
        </w:rPr>
        <w:t xml:space="preserve">e a los demás procesos de selección diferentes de la licitación pública, la realización de la audiencia de asignación de riesgos no es obligatoria. No obstante, la entidad podrá determinar si se realiza y, en cualquier caso, siempre deberá atender y considerar las solicitudes que efectúen los futuros proponentes sobre la estimación, tipificación y distribución de los riesgos establecidos en los pliegos de condiciones o documentos equivalentes. </w:t>
      </w:r>
    </w:p>
    <w:p w14:paraId="7E76F889" w14:textId="77777777" w:rsidR="007E65AD" w:rsidRPr="00747E74" w:rsidRDefault="007E65AD" w:rsidP="007E65AD">
      <w:pPr>
        <w:tabs>
          <w:tab w:val="left" w:pos="426"/>
        </w:tabs>
        <w:spacing w:line="276" w:lineRule="auto"/>
        <w:jc w:val="both"/>
        <w:rPr>
          <w:rFonts w:ascii="Arial" w:eastAsia="Calibri" w:hAnsi="Arial" w:cs="Arial"/>
          <w:b/>
          <w:color w:val="000000"/>
          <w:sz w:val="22"/>
          <w:lang w:val="es-ES_tradnl" w:eastAsia="en-US"/>
        </w:rPr>
      </w:pPr>
    </w:p>
    <w:p w14:paraId="35298B71" w14:textId="77777777" w:rsidR="007E65AD" w:rsidRPr="00747E74" w:rsidRDefault="007E65AD" w:rsidP="007E65AD">
      <w:pPr>
        <w:tabs>
          <w:tab w:val="left" w:pos="426"/>
        </w:tabs>
        <w:spacing w:line="276" w:lineRule="auto"/>
        <w:jc w:val="both"/>
        <w:rPr>
          <w:rFonts w:ascii="Arial" w:eastAsia="Calibri" w:hAnsi="Arial" w:cs="Arial"/>
          <w:b/>
          <w:color w:val="000000"/>
          <w:sz w:val="22"/>
          <w:lang w:val="es-ES_tradnl" w:eastAsia="en-US"/>
        </w:rPr>
      </w:pPr>
      <w:r w:rsidRPr="00747E74">
        <w:rPr>
          <w:rFonts w:ascii="Arial" w:eastAsia="Calibri" w:hAnsi="Arial" w:cs="Arial"/>
          <w:b/>
          <w:color w:val="000000"/>
          <w:sz w:val="22"/>
          <w:lang w:val="es-ES_tradnl" w:eastAsia="en-US"/>
        </w:rPr>
        <w:t>2.2. Carácter preclusivo de las etapas del procedimiento contractual. El caso de la audiencia de asignación de riesgos en la licitación pública</w:t>
      </w:r>
    </w:p>
    <w:p w14:paraId="15D748A4" w14:textId="77777777" w:rsidR="007E65AD" w:rsidRPr="00747E74" w:rsidRDefault="007E65AD" w:rsidP="007E65AD">
      <w:pPr>
        <w:tabs>
          <w:tab w:val="left" w:pos="426"/>
        </w:tabs>
        <w:spacing w:line="276" w:lineRule="auto"/>
        <w:jc w:val="both"/>
        <w:rPr>
          <w:rFonts w:ascii="Arial" w:eastAsia="Calibri" w:hAnsi="Arial" w:cs="Arial"/>
          <w:color w:val="000000"/>
          <w:sz w:val="22"/>
          <w:lang w:val="es-ES_tradnl" w:eastAsia="en-US"/>
        </w:rPr>
      </w:pPr>
    </w:p>
    <w:p w14:paraId="7F0A8634" w14:textId="77777777" w:rsidR="007E65AD" w:rsidRPr="00747E74" w:rsidRDefault="007E65AD" w:rsidP="007E65AD">
      <w:pPr>
        <w:tabs>
          <w:tab w:val="left" w:pos="426"/>
        </w:tabs>
        <w:spacing w:line="276" w:lineRule="auto"/>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Según se indicó, el artículo 30, numeral 4, de la Ley 80 de 1993, modificado por el artículo 220 del Decreto 019 de 2012, establece que «Dentro de los tres (3) días hábiles siguientes al inicio del plazo para la presentación de propuestas y a solicitud de cualquiera de las personas interesadas en el proceso» se realizará una audiencia para esclarecer el contenido del pliego de condiciones y que «En la misma audiencia se revisará la asignación de riesgos que trata el artículo 4 de la Ley 1150 de 2007 con el fin de establecer su tipificación, estimación y asignación definitiva». De la redacción de dicho precepto puede concluirse que la oportunidad para llevar a cabo la audiencia de asignación de riesgos en la licitación pública es la misma que para la audiencia que puede surtirse para precisar el alcance y contenido del pliego de condiciones, es decir, los tres (3) días hábiles siguientes al inicio del plazo para la presentación de las ofertas.</w:t>
      </w:r>
    </w:p>
    <w:p w14:paraId="51CB75CC" w14:textId="77777777" w:rsidR="007E65AD" w:rsidRPr="00747E74" w:rsidRDefault="007E65AD" w:rsidP="007E65AD">
      <w:pPr>
        <w:tabs>
          <w:tab w:val="left" w:pos="426"/>
        </w:tabs>
        <w:spacing w:before="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lastRenderedPageBreak/>
        <w:t>Antes de la expedición del Decreto-Ley 019 de 2012 se presentaba una discusión acerca del plazo en el cual debía realizarse la audiencia de asignación de riesgos, pues el artículo 4 de la Ley 1150 de 2007 la hizo obligatoria, indicando que «En las licitaciones públicas, los pliegos de condiciones de las entidades estatales deberán señalar el momento en el que, con anterioridad a la presentación de las ofertas, los oferentes y la entidad revisarán la asignación de riesgos con el fin de establecer su distribución definitiva», otorgando discrecionalidad a las entidades públicas para establecer la oportunidad de dicha audiencia. Por otra parte, la redacción de ese entonces del artículo 30, numeral 4, de la Ley 80 de 1993 no definía un término para esta audiencia, sino solo para la de aclaraciones al contenido y alcance del pliego de condiciones</w:t>
      </w:r>
      <w:r w:rsidRPr="00747E74">
        <w:rPr>
          <w:rFonts w:ascii="Arial" w:eastAsia="Calibri" w:hAnsi="Arial" w:cs="Arial"/>
          <w:color w:val="000000"/>
          <w:sz w:val="22"/>
          <w:vertAlign w:val="superscript"/>
          <w:lang w:val="es-ES_tradnl" w:eastAsia="en-US"/>
        </w:rPr>
        <w:footnoteReference w:id="9"/>
      </w:r>
      <w:r w:rsidRPr="00747E74">
        <w:rPr>
          <w:rFonts w:ascii="Arial" w:eastAsia="Calibri" w:hAnsi="Arial" w:cs="Arial"/>
          <w:color w:val="000000"/>
          <w:sz w:val="22"/>
          <w:lang w:val="es-ES_tradnl" w:eastAsia="en-US"/>
        </w:rPr>
        <w:t>.</w:t>
      </w:r>
    </w:p>
    <w:p w14:paraId="0572E529" w14:textId="77777777" w:rsidR="007E65AD" w:rsidRPr="00747E74" w:rsidRDefault="007E65AD" w:rsidP="007E65AD">
      <w:pPr>
        <w:tabs>
          <w:tab w:val="left" w:pos="426"/>
        </w:tabs>
        <w:spacing w:before="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Tan grande fue el estado de incertidumbre que el gobierno nacional, en el parágrafo del artículo 88 del Decreto 2474 de 2008, intentó aclarar el asunto, señalando que la audiencia de asignación de riesgos, a criterio de la entidad estatal, «podría coincidir» con la audiencia prevista en el artículo 30, numeral 4 de la Ley 80 de 1993, pero que la mencionada audiencia de asignación de riesgos podía también «realizarse de manera previa a la apertura del proceso». Sin embargo, en vez de zanjar la discusión, la avivó aún más, motivando la demanda de nulidad en contra de dicho parágrafo. El Consejo de Estado, al tramitar el proceso, suspendió provisionalmente el apartado del parágrafo que permitía que la audiencia de asignación de riesgos coincidiera con la de aclaraciones al pliego de condiciones</w:t>
      </w:r>
      <w:r w:rsidRPr="00747E74">
        <w:rPr>
          <w:rFonts w:ascii="Arial" w:eastAsia="Calibri" w:hAnsi="Arial" w:cs="Arial"/>
          <w:color w:val="000000"/>
          <w:sz w:val="22"/>
          <w:vertAlign w:val="superscript"/>
          <w:lang w:val="es-ES_tradnl" w:eastAsia="en-US"/>
        </w:rPr>
        <w:footnoteReference w:id="10"/>
      </w:r>
      <w:r w:rsidRPr="00747E74">
        <w:rPr>
          <w:rFonts w:ascii="Arial" w:eastAsia="Calibri" w:hAnsi="Arial" w:cs="Arial"/>
          <w:color w:val="000000"/>
          <w:sz w:val="22"/>
          <w:lang w:val="es-ES_tradnl" w:eastAsia="en-US"/>
        </w:rPr>
        <w:t xml:space="preserve">. El efecto de la suspensión provisional consistió en afirmar que la entidad estatal podía establecer discrecionalmente en el pliego de condiciones la etapa de la audiencia de asignación de riesgos, siempre que esta no superara la fecha de apertura del proceso de </w:t>
      </w:r>
      <w:r w:rsidRPr="00747E74">
        <w:rPr>
          <w:rFonts w:ascii="Arial" w:eastAsia="Calibri" w:hAnsi="Arial" w:cs="Arial"/>
          <w:color w:val="000000"/>
          <w:sz w:val="22"/>
          <w:lang w:val="es-ES_tradnl" w:eastAsia="en-US"/>
        </w:rPr>
        <w:lastRenderedPageBreak/>
        <w:t xml:space="preserve">selección. Por tal razón, en el auto del 1 de abril de 2009, la Sección Tercera del Consejo de Estado indicó lo siguiente: </w:t>
      </w:r>
    </w:p>
    <w:p w14:paraId="23CE0567" w14:textId="77777777" w:rsidR="007E65AD" w:rsidRPr="00747E74" w:rsidRDefault="007E65AD" w:rsidP="007E65AD">
      <w:pPr>
        <w:ind w:left="709" w:right="709"/>
        <w:jc w:val="both"/>
        <w:rPr>
          <w:rFonts w:ascii="Arial" w:hAnsi="Arial" w:cs="Arial"/>
          <w:sz w:val="21"/>
          <w:szCs w:val="21"/>
          <w:lang w:val="es-ES_tradnl" w:eastAsia="es-MX"/>
        </w:rPr>
      </w:pPr>
    </w:p>
    <w:p w14:paraId="31B1FA0A" w14:textId="77777777" w:rsidR="007E65AD" w:rsidRPr="00747E74" w:rsidRDefault="007E65AD" w:rsidP="007E65AD">
      <w:pPr>
        <w:ind w:left="709" w:right="709"/>
        <w:jc w:val="both"/>
        <w:rPr>
          <w:rFonts w:ascii="Arial" w:hAnsi="Arial" w:cs="Arial"/>
          <w:sz w:val="21"/>
          <w:szCs w:val="21"/>
          <w:lang w:val="es-ES_tradnl" w:eastAsia="es-MX"/>
        </w:rPr>
      </w:pPr>
      <w:r w:rsidRPr="00747E74">
        <w:rPr>
          <w:rFonts w:ascii="Arial" w:hAnsi="Arial" w:cs="Arial"/>
          <w:sz w:val="21"/>
          <w:szCs w:val="21"/>
          <w:lang w:val="es-ES_tradnl" w:eastAsia="es-MX"/>
        </w:rPr>
        <w:t xml:space="preserve">Para la Sala, asiste razón al actor en cuanto que el parágrafo del artículo 88 del Decreto 2474 de 2008 resulta notoriamente ilegal, por cuanto modifica la regla contemplada en el inciso segundo del artículo 4 de la Ley 1150 de 2007. </w:t>
      </w:r>
    </w:p>
    <w:p w14:paraId="13D21F43" w14:textId="77777777" w:rsidR="007E65AD" w:rsidRPr="00747E74" w:rsidRDefault="007E65AD" w:rsidP="007E65AD">
      <w:pPr>
        <w:ind w:left="709" w:right="709"/>
        <w:jc w:val="both"/>
        <w:rPr>
          <w:rFonts w:ascii="Arial" w:hAnsi="Arial" w:cs="Arial"/>
          <w:sz w:val="21"/>
          <w:szCs w:val="21"/>
          <w:lang w:val="es-ES_tradnl" w:eastAsia="es-MX"/>
        </w:rPr>
      </w:pPr>
    </w:p>
    <w:p w14:paraId="7F0607B5" w14:textId="77777777" w:rsidR="007E65AD" w:rsidRPr="00747E74" w:rsidRDefault="007E65AD" w:rsidP="007E65AD">
      <w:pPr>
        <w:ind w:left="709" w:right="709"/>
        <w:jc w:val="both"/>
        <w:rPr>
          <w:rFonts w:ascii="Arial" w:hAnsi="Arial" w:cs="Arial"/>
          <w:sz w:val="21"/>
          <w:szCs w:val="21"/>
          <w:lang w:val="es-ES_tradnl" w:eastAsia="es-MX"/>
        </w:rPr>
      </w:pPr>
      <w:r w:rsidRPr="00747E74">
        <w:rPr>
          <w:rFonts w:ascii="Arial" w:hAnsi="Arial" w:cs="Arial"/>
          <w:sz w:val="21"/>
          <w:szCs w:val="21"/>
          <w:lang w:val="es-ES_tradnl" w:eastAsia="es-MX"/>
        </w:rPr>
        <w:t xml:space="preserve">En efecto, del paralelo del texto de las disposiciones en conflicto, se observa que el Legislador, en el inciso segundo del artículo 4 de la Ley 1150 de 2007, nítidamente estableció que el momento para la asignación definitiva de los riesgos debía señalarse «con anterioridad a la presentación de las ofertas», o sea, para que se efectuase en forma previa al comienzo del plazo de la licitación, pues iniciado éste ya es posible para los oferentes formular sus propuestas a la Administración; mientras el Gobierno Nacional, en el parágrafo del artículo 88 del Decreto 2474 de 2008, dejó a criterio de la entidad fijar la realización de la audiencia para ese propósito coincidiendo con aquella de que trata el numeral 4 del artículo 30 de la Ley 80 de 1993, esto es, dentro de los tres (3) días siguientes al inicio del plazo para la presentación de las ofertas, de donde, sin mayores elucubraciones o razonamientos, surge una modificación y contradicción a lo regulado en la ley. </w:t>
      </w:r>
    </w:p>
    <w:p w14:paraId="256297B4" w14:textId="77777777" w:rsidR="007E65AD" w:rsidRPr="00747E74" w:rsidRDefault="007E65AD" w:rsidP="007E65AD">
      <w:pPr>
        <w:ind w:left="709" w:right="709"/>
        <w:jc w:val="both"/>
        <w:rPr>
          <w:rFonts w:ascii="Arial" w:hAnsi="Arial" w:cs="Arial"/>
          <w:sz w:val="21"/>
          <w:szCs w:val="21"/>
          <w:lang w:val="es-ES_tradnl" w:eastAsia="es-MX"/>
        </w:rPr>
      </w:pPr>
    </w:p>
    <w:p w14:paraId="52628C10" w14:textId="77777777" w:rsidR="007E65AD" w:rsidRPr="00747E74" w:rsidRDefault="007E65AD" w:rsidP="007E65AD">
      <w:pPr>
        <w:ind w:left="709" w:right="709"/>
        <w:jc w:val="both"/>
        <w:rPr>
          <w:rFonts w:ascii="Arial" w:hAnsi="Arial" w:cs="Arial"/>
          <w:sz w:val="21"/>
          <w:szCs w:val="21"/>
          <w:lang w:val="es-ES_tradnl" w:eastAsia="es-MX"/>
        </w:rPr>
      </w:pPr>
      <w:r w:rsidRPr="00747E74">
        <w:rPr>
          <w:rFonts w:ascii="Arial" w:hAnsi="Arial" w:cs="Arial"/>
          <w:sz w:val="21"/>
          <w:szCs w:val="21"/>
          <w:lang w:val="es-ES_tradnl" w:eastAsia="es-MX"/>
        </w:rPr>
        <w:t xml:space="preserve">Por consiguiente, la Sala decretará la medida cautelar solicitada, pero sólo respecto de la expresión </w:t>
      </w:r>
      <w:r w:rsidRPr="00747E74">
        <w:rPr>
          <w:rFonts w:ascii="Arial" w:hAnsi="Arial" w:cs="Arial"/>
          <w:i/>
          <w:iCs/>
          <w:sz w:val="21"/>
          <w:szCs w:val="21"/>
          <w:lang w:val="es-ES_tradnl" w:eastAsia="es-MX"/>
        </w:rPr>
        <w:t xml:space="preserve">«A criterio de la entidad, (...) podrá coincidir con aquella de que trata el numeral 4 del artículo 30 de la Ley 80 de 1993, o...» </w:t>
      </w:r>
      <w:r w:rsidRPr="00747E74">
        <w:rPr>
          <w:rFonts w:ascii="Arial" w:hAnsi="Arial" w:cs="Arial"/>
          <w:sz w:val="21"/>
          <w:szCs w:val="21"/>
          <w:lang w:val="es-ES_tradnl" w:eastAsia="es-MX"/>
        </w:rPr>
        <w:t xml:space="preserve">del parágrafo del artículo 88 del Decreto 2474 de 2008, y no en relación con la expresión restante del mismo, esto es, </w:t>
      </w:r>
      <w:r w:rsidRPr="00747E74">
        <w:rPr>
          <w:rFonts w:ascii="Arial" w:hAnsi="Arial" w:cs="Arial"/>
          <w:i/>
          <w:iCs/>
          <w:sz w:val="21"/>
          <w:szCs w:val="21"/>
          <w:lang w:val="es-ES_tradnl" w:eastAsia="es-MX"/>
        </w:rPr>
        <w:t>«...la audiencia a que se refiere el presente artículo (...) realizarse de manera previa a la apertura del proceso...»</w:t>
      </w:r>
      <w:r w:rsidRPr="00747E74">
        <w:rPr>
          <w:rFonts w:ascii="Arial" w:hAnsi="Arial" w:cs="Arial"/>
          <w:sz w:val="21"/>
          <w:szCs w:val="21"/>
          <w:lang w:val="es-ES_tradnl" w:eastAsia="es-MX"/>
        </w:rPr>
        <w:t xml:space="preserve">, pues irrumpe, con meridiana claridad, que únicamente lo contenido en la primera expresión se opone a la norma que se invoca como infringida. </w:t>
      </w:r>
    </w:p>
    <w:p w14:paraId="29A41A14" w14:textId="77777777" w:rsidR="007E65AD" w:rsidRPr="00747E74" w:rsidRDefault="007E65AD" w:rsidP="007E65AD">
      <w:pPr>
        <w:tabs>
          <w:tab w:val="left" w:pos="426"/>
        </w:tabs>
        <w:spacing w:line="276" w:lineRule="auto"/>
        <w:ind w:firstLine="709"/>
        <w:jc w:val="both"/>
        <w:rPr>
          <w:rFonts w:ascii="Arial" w:eastAsia="Calibri" w:hAnsi="Arial" w:cs="Arial"/>
          <w:color w:val="000000"/>
          <w:sz w:val="22"/>
          <w:lang w:val="es-ES_tradnl" w:eastAsia="en-US"/>
        </w:rPr>
      </w:pPr>
    </w:p>
    <w:p w14:paraId="17894A0F" w14:textId="77777777" w:rsidR="007E65AD" w:rsidRPr="00747E74" w:rsidRDefault="007E65AD" w:rsidP="007E65AD">
      <w:pPr>
        <w:tabs>
          <w:tab w:val="left" w:pos="426"/>
        </w:tabs>
        <w:spacing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 xml:space="preserve">Obsérvese que para el alto tribunal el apartado normativo suspendido, contenido en el parágrafo del artículo 88 del Decreto 2474 de 2008, podría considerarse en su momento violatorio del artículo 4 de la Ley 1150 de 2007, porque aquella norma reglamentaria permitía que la entidad estatal estableciera que la audiencia de asignación de riesgos podía coincidir en el tiempo con la de aclaraciones al pliego de condiciones, es decir, que facultaba que se realizara dentro de los tres días siguientes al inicio del plazo de la licitación. Según el Consejo de Estado esta previsión se apartaba del artículo 4 de la Ley 1150 de 2007, porque este exige que la audiencia de asignación de riesgos se efectúe «con anterioridad a la presentación de las ofertas». Por consiguiente, si se lleva a cabo después de iniciado el plazo de la licitación se contraría tal mandato, porque, como dentro de este período es posible </w:t>
      </w:r>
      <w:r w:rsidRPr="00747E74">
        <w:rPr>
          <w:rFonts w:ascii="Arial" w:eastAsia="Calibri" w:hAnsi="Arial" w:cs="Arial"/>
          <w:color w:val="000000"/>
          <w:sz w:val="22"/>
          <w:lang w:val="es-ES_tradnl" w:eastAsia="en-US"/>
        </w:rPr>
        <w:lastRenderedPageBreak/>
        <w:t>presentar las ofertas, podría darse el caso en que la entidad pública reciba propuestas antes de la audiencia de asignación de riesgos.</w:t>
      </w:r>
    </w:p>
    <w:p w14:paraId="08EADE4B" w14:textId="77777777" w:rsidR="007E65AD" w:rsidRPr="00747E74" w:rsidRDefault="007E65AD" w:rsidP="007E65AD">
      <w:pPr>
        <w:tabs>
          <w:tab w:val="left" w:pos="426"/>
        </w:tabs>
        <w:spacing w:before="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 xml:space="preserve">Fue en este contexto en el que, años más tarde, </w:t>
      </w:r>
      <w:proofErr w:type="gramStart"/>
      <w:r w:rsidRPr="00747E74">
        <w:rPr>
          <w:rFonts w:ascii="Arial" w:eastAsia="Calibri" w:hAnsi="Arial" w:cs="Arial"/>
          <w:color w:val="000000"/>
          <w:sz w:val="22"/>
          <w:lang w:val="es-ES_tradnl" w:eastAsia="en-US"/>
        </w:rPr>
        <w:t>entró en vigencia</w:t>
      </w:r>
      <w:proofErr w:type="gramEnd"/>
      <w:r w:rsidRPr="00747E74">
        <w:rPr>
          <w:rFonts w:ascii="Arial" w:eastAsia="Calibri" w:hAnsi="Arial" w:cs="Arial"/>
          <w:color w:val="000000"/>
          <w:sz w:val="22"/>
          <w:lang w:val="es-ES_tradnl" w:eastAsia="en-US"/>
        </w:rPr>
        <w:t xml:space="preserve"> el artículo 220 del Decreto-Ley 019 de 2012, con el cual, en criterio de esta Agencia, se aclaró la discusión a la que se ha hecho referencia en los párrafos anteriores. Esto por cuanto el artículo en comento indicó que «en la misma audiencia», realizada dentro de los tres días siguientes al inicio del plazo para la presentación de las ofertas, se debe revisar la asignación de los riesgos, tal como lo ordena el artículo 4 de la Ley 1150 de 2007</w:t>
      </w:r>
      <w:r w:rsidRPr="00747E74">
        <w:rPr>
          <w:rFonts w:ascii="Arial" w:eastAsia="Calibri" w:hAnsi="Arial" w:cs="Arial"/>
          <w:color w:val="000000"/>
          <w:sz w:val="22"/>
          <w:vertAlign w:val="superscript"/>
          <w:lang w:val="es-ES_tradnl" w:eastAsia="en-US"/>
        </w:rPr>
        <w:footnoteReference w:id="11"/>
      </w:r>
      <w:r w:rsidRPr="00747E74">
        <w:rPr>
          <w:rFonts w:ascii="Arial" w:eastAsia="Calibri" w:hAnsi="Arial" w:cs="Arial"/>
          <w:color w:val="000000"/>
          <w:sz w:val="22"/>
          <w:lang w:val="es-ES_tradnl" w:eastAsia="en-US"/>
        </w:rPr>
        <w:t xml:space="preserve">. Dicho de otro modo, el gobierno nacional, en un decreto con fuerza de ley, reiteró la norma suspendida provisionalmente por el Consejo de Estado. Sin embargo, con ello no se reprodujo un acto administrativo suspendido, pues se trató de una fuente del derecho distinta: una ley. Además, con esta norma no se contradice el artículo 4 de la Ley 1150 de 2007, porque en este precepto el legislador exige que la audiencia de asignación de riesgos se realice antes de la presentación de las ofertas –o sea, antes de que se cumpla esta </w:t>
      </w:r>
      <w:r w:rsidRPr="00747E74">
        <w:rPr>
          <w:rFonts w:ascii="Arial" w:eastAsia="Calibri" w:hAnsi="Arial" w:cs="Arial"/>
          <w:i/>
          <w:iCs/>
          <w:color w:val="000000"/>
          <w:sz w:val="22"/>
          <w:lang w:val="es-ES_tradnl" w:eastAsia="en-US"/>
        </w:rPr>
        <w:t>condición</w:t>
      </w:r>
      <w:r w:rsidRPr="00747E74">
        <w:rPr>
          <w:rFonts w:ascii="Arial" w:eastAsia="Calibri" w:hAnsi="Arial" w:cs="Arial"/>
          <w:color w:val="000000"/>
          <w:sz w:val="22"/>
          <w:lang w:val="es-ES_tradnl" w:eastAsia="en-US"/>
        </w:rPr>
        <w:t>–, pero no prohíbe que se surta dentro de los tres días siguientes al inicio del plazo de la licitación.</w:t>
      </w:r>
    </w:p>
    <w:p w14:paraId="355EA99B" w14:textId="77777777" w:rsidR="007E65AD" w:rsidRPr="00747E74" w:rsidRDefault="007E65AD" w:rsidP="007E65AD">
      <w:pPr>
        <w:tabs>
          <w:tab w:val="left" w:pos="426"/>
        </w:tabs>
        <w:spacing w:before="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 xml:space="preserve">En consecuencia, no cabe duda de que en la actualidad las entidades estatales deben definir en el pliego de condiciones un momento comprendido dentro de los tres días posteriores al inicio del plazo de la licitación para efectuar la audiencia de asignación de riesgos y que en esta misma audiencia se puede precisar el contenido y alcance de los pliegos de condiciones. Además, conviene recordar que la audiencia de asignación de riesgos es </w:t>
      </w:r>
      <w:r w:rsidRPr="00747E74">
        <w:rPr>
          <w:rFonts w:ascii="Arial" w:eastAsia="Calibri" w:hAnsi="Arial" w:cs="Arial"/>
          <w:i/>
          <w:iCs/>
          <w:color w:val="000000"/>
          <w:sz w:val="22"/>
          <w:lang w:val="es-ES_tradnl" w:eastAsia="en-US"/>
        </w:rPr>
        <w:t xml:space="preserve">obligatoria </w:t>
      </w:r>
      <w:r w:rsidRPr="00747E74">
        <w:rPr>
          <w:rFonts w:ascii="Arial" w:eastAsia="Calibri" w:hAnsi="Arial" w:cs="Arial"/>
          <w:color w:val="000000"/>
          <w:sz w:val="22"/>
          <w:lang w:val="es-ES_tradnl" w:eastAsia="en-US"/>
        </w:rPr>
        <w:t>dentro de la licitación pública. Así se infiere del artículo 4 de la Ley 1150 de 2007, que emplea el verbo «deberán», al referirse a la inclusión de la oportunidad de aquella en el pliego de condiciones, así como del artículo 2.2.1.2.1.1.2. del Decreto 1082 de 2015, que, de manera categórica, establece: «En la etapa de selección de la licitación son obligatorias las audiencias de: a) asignación de Riesgos, y b) adjudicación. Si a solicitud de un interesado es necesario adelantar una audiencia para precisar el contenido y alcance de los pliegos de condiciones, este tema se tratará en la audiencia de asignación de Riesgos».</w:t>
      </w:r>
    </w:p>
    <w:p w14:paraId="0B9D684B" w14:textId="77777777" w:rsidR="007E65AD" w:rsidRPr="00747E74" w:rsidRDefault="007E65AD" w:rsidP="007E65AD">
      <w:pPr>
        <w:tabs>
          <w:tab w:val="left" w:pos="426"/>
        </w:tabs>
        <w:spacing w:before="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lastRenderedPageBreak/>
        <w:t xml:space="preserve">Al tratarse de una audiencia obligatoria dentro de la licitación y al establecerse un término específico para su realización, la audiencia de asignación de riesgos debe efectuarse en el plazo definido en la ley. Aunque las entidades estatales tienen discrecionalidad para indicar la fecha exacta de la misma </w:t>
      </w:r>
      <w:r w:rsidRPr="00747E74">
        <w:rPr>
          <w:rFonts w:ascii="Arial" w:eastAsia="Calibri" w:hAnsi="Arial" w:cs="Arial"/>
          <w:i/>
          <w:iCs/>
          <w:color w:val="000000"/>
          <w:sz w:val="22"/>
          <w:lang w:val="es-ES_tradnl" w:eastAsia="en-US"/>
        </w:rPr>
        <w:t>dentro</w:t>
      </w:r>
      <w:r w:rsidRPr="00747E74">
        <w:rPr>
          <w:rFonts w:ascii="Arial" w:eastAsia="Calibri" w:hAnsi="Arial" w:cs="Arial"/>
          <w:color w:val="000000"/>
          <w:sz w:val="22"/>
          <w:lang w:val="es-ES_tradnl" w:eastAsia="en-US"/>
        </w:rPr>
        <w:t xml:space="preserve"> de los tres días siguientes al inicio del plazo para la presentación de las ofertas, no pueden exceder este período. Esto en la medida en que el artículo 6 de la Constitución hace responsables a los servidores públicos, entre otras circunstancias, por «extralimitación en el ejercicio de sus funciones» y el artículo 25, numeral 1, de la Ley 80 de 1993 –que desarrolla el principio de economía– dispone: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 A partir de este mandato puede concluirse que el término de tres días siguientes al inicio del plazo de la licitación, para realizar la audiencia de asignación de riesgos, se integra como término preclusivo al pliego de condiciones, exigiendo que en tal marco temporal se fije el momento de la audiencia de asignación de riesgos y prohibiendo su realización en una fecha posterior.</w:t>
      </w:r>
    </w:p>
    <w:p w14:paraId="30B6B593" w14:textId="77777777" w:rsidR="007E65AD" w:rsidRPr="00747E74" w:rsidRDefault="007E65AD" w:rsidP="007E65AD">
      <w:pPr>
        <w:tabs>
          <w:tab w:val="left" w:pos="426"/>
        </w:tabs>
        <w:spacing w:before="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La omisión de las etapas de la licitación o el desconocimiento del carácter preclusivo y perentorio de las mismas puede originar un vicio de nulidad de la adjudicación, pues las etapas previas a la expedición del acto administrativo constituyen formalidades que deben cumplirse, como elemento de validez de este. De lo contrario, quedará viciado por expedición en forma irregular, como lo establece el artículo 137 de la Ley 1437 de 2011</w:t>
      </w:r>
      <w:r w:rsidRPr="00747E74">
        <w:rPr>
          <w:rFonts w:ascii="Arial" w:eastAsia="Calibri" w:hAnsi="Arial" w:cs="Arial"/>
          <w:color w:val="000000"/>
          <w:sz w:val="22"/>
          <w:vertAlign w:val="superscript"/>
          <w:lang w:val="es-ES_tradnl" w:eastAsia="en-US"/>
        </w:rPr>
        <w:footnoteReference w:id="12"/>
      </w:r>
      <w:r w:rsidRPr="00747E74">
        <w:rPr>
          <w:rFonts w:ascii="Arial" w:eastAsia="Calibri" w:hAnsi="Arial" w:cs="Arial"/>
          <w:color w:val="000000"/>
          <w:sz w:val="22"/>
          <w:lang w:val="es-ES_tradnl" w:eastAsia="en-US"/>
        </w:rPr>
        <w:t>. Este vicio se presenta cuando la Administración no observa los requisitos previos y concomitantes a la expedición del acto administrativo. Como ha dicho la doctrina: «[…] la inobservancia de las “formas” y requisitos del procedimiento administrativo se traduce en un defecto de preparación de la voluntad administrativa (así la defensa en juicio en el procedimiento administrativo; la licitación pública para las contrataciones; el concurso para la provisión de cargos), […]»</w:t>
      </w:r>
      <w:r w:rsidRPr="00747E74">
        <w:rPr>
          <w:rFonts w:ascii="Arial" w:eastAsia="Calibri" w:hAnsi="Arial" w:cs="Arial"/>
          <w:color w:val="000000"/>
          <w:sz w:val="22"/>
          <w:vertAlign w:val="superscript"/>
          <w:lang w:val="es-ES_tradnl" w:eastAsia="en-US"/>
        </w:rPr>
        <w:footnoteReference w:id="13"/>
      </w:r>
      <w:r w:rsidRPr="00747E74">
        <w:rPr>
          <w:rFonts w:ascii="Arial" w:eastAsia="Calibri" w:hAnsi="Arial" w:cs="Arial"/>
          <w:color w:val="000000"/>
          <w:sz w:val="22"/>
          <w:lang w:val="es-ES_tradnl" w:eastAsia="en-US"/>
        </w:rPr>
        <w:t xml:space="preserve">. </w:t>
      </w:r>
    </w:p>
    <w:p w14:paraId="6C60A84F" w14:textId="77777777" w:rsidR="007E65AD" w:rsidRPr="00747E74" w:rsidRDefault="007E65AD" w:rsidP="007E65AD">
      <w:pPr>
        <w:tabs>
          <w:tab w:val="left" w:pos="426"/>
        </w:tabs>
        <w:spacing w:before="120"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lastRenderedPageBreak/>
        <w:t xml:space="preserve">Aunque el artículo 49 de la Ley 80 de 1993 establece que «Ante la ocurrencia de vicios </w:t>
      </w:r>
      <w:r w:rsidRPr="00747E74">
        <w:rPr>
          <w:rFonts w:ascii="Arial" w:eastAsia="Calibri" w:hAnsi="Arial" w:cs="Arial"/>
          <w:i/>
          <w:iCs/>
          <w:color w:val="000000"/>
          <w:sz w:val="22"/>
          <w:lang w:val="es-ES_tradnl" w:eastAsia="en-US"/>
        </w:rPr>
        <w:t>que no constituyan causales de nulidad</w:t>
      </w:r>
      <w:r w:rsidRPr="00747E74">
        <w:rPr>
          <w:rFonts w:ascii="Arial" w:eastAsia="Calibri" w:hAnsi="Arial" w:cs="Arial"/>
          <w:color w:val="000000"/>
          <w:sz w:val="22"/>
          <w:lang w:val="es-ES_tradnl" w:eastAsia="en-US"/>
        </w:rPr>
        <w:t xml:space="preserve"> y cuando las necesidades del servicio lo exijan o las reglas de la buena administración lo aconsejen, el jefe o representante legal de la entidad, en acto motivado, podrá sanear el correspondiente vicio» (énfasis fuera de texto), debe advertirse que este artículo condiciona dicha facultad de saneamiento de los defectos formales a que los vicios «no constituyan causales de nulidad». Desde esta perspectiva, en principio el fenecimiento de los términos establecidos en la ley como plazos preclusivos y perentorios no permite sanear el defecto formal, ya que, según se indicó, aquello genera un vicio de nulidad por expedición en forma irregular. Así lo ha interpretado el Consejo de Estado</w:t>
      </w:r>
      <w:r w:rsidRPr="00747E74">
        <w:rPr>
          <w:rFonts w:ascii="Arial" w:eastAsia="Calibri" w:hAnsi="Arial" w:cs="Arial"/>
          <w:color w:val="000000"/>
          <w:sz w:val="22"/>
          <w:vertAlign w:val="superscript"/>
          <w:lang w:val="es-ES_tradnl" w:eastAsia="en-US"/>
        </w:rPr>
        <w:footnoteReference w:id="14"/>
      </w:r>
      <w:r w:rsidRPr="00747E74">
        <w:rPr>
          <w:rFonts w:ascii="Arial" w:eastAsia="Calibri" w:hAnsi="Arial" w:cs="Arial"/>
          <w:color w:val="000000"/>
          <w:sz w:val="22"/>
          <w:lang w:val="es-ES_tradnl" w:eastAsia="en-US"/>
        </w:rPr>
        <w:t>:</w:t>
      </w:r>
    </w:p>
    <w:p w14:paraId="5325CBB8" w14:textId="77777777" w:rsidR="007E65AD" w:rsidRPr="00747E74" w:rsidRDefault="007E65AD" w:rsidP="007E65AD">
      <w:pPr>
        <w:tabs>
          <w:tab w:val="left" w:pos="426"/>
        </w:tabs>
        <w:ind w:left="709" w:right="709" w:firstLine="425"/>
        <w:jc w:val="both"/>
        <w:rPr>
          <w:rFonts w:ascii="Arial" w:eastAsia="Calibri" w:hAnsi="Arial" w:cs="Arial"/>
          <w:color w:val="000000"/>
          <w:sz w:val="21"/>
          <w:szCs w:val="21"/>
          <w:lang w:val="es-ES_tradnl" w:eastAsia="en-US"/>
        </w:rPr>
      </w:pPr>
    </w:p>
    <w:p w14:paraId="6C0536C5" w14:textId="77777777" w:rsidR="007E65AD" w:rsidRPr="00747E74" w:rsidRDefault="007E65AD" w:rsidP="007E65AD">
      <w:pPr>
        <w:tabs>
          <w:tab w:val="left" w:pos="1068"/>
        </w:tabs>
        <w:overflowPunct w:val="0"/>
        <w:autoSpaceDN w:val="0"/>
        <w:adjustRightInd w:val="0"/>
        <w:ind w:left="709" w:right="709"/>
        <w:jc w:val="both"/>
        <w:textAlignment w:val="baseline"/>
        <w:rPr>
          <w:rFonts w:ascii="Arial" w:hAnsi="Arial" w:cs="Arial"/>
          <w:sz w:val="21"/>
          <w:szCs w:val="21"/>
          <w:lang w:val="es-ES_tradnl" w:eastAsia="es-ES"/>
        </w:rPr>
      </w:pPr>
      <w:r w:rsidRPr="00747E74">
        <w:rPr>
          <w:rFonts w:ascii="Arial" w:hAnsi="Arial" w:cs="Arial"/>
          <w:sz w:val="21"/>
          <w:szCs w:val="21"/>
          <w:lang w:val="es-ES_tradnl" w:eastAsia="es-ES"/>
        </w:rPr>
        <w:t xml:space="preserve">[…] Le asiste razón a la parte demandante en el sentido que </w:t>
      </w:r>
      <w:bookmarkStart w:id="6" w:name="_Hlk8980017"/>
      <w:r w:rsidRPr="00747E74">
        <w:rPr>
          <w:rFonts w:ascii="Arial" w:hAnsi="Arial" w:cs="Arial"/>
          <w:sz w:val="21"/>
          <w:szCs w:val="21"/>
          <w:lang w:val="es-ES_tradnl" w:eastAsia="es-ES"/>
        </w:rPr>
        <w:t xml:space="preserve">la competencia de la administración en materia contractual es reglada, por lo </w:t>
      </w:r>
      <w:proofErr w:type="gramStart"/>
      <w:r w:rsidRPr="00747E74">
        <w:rPr>
          <w:rFonts w:ascii="Arial" w:hAnsi="Arial" w:cs="Arial"/>
          <w:sz w:val="21"/>
          <w:szCs w:val="21"/>
          <w:lang w:val="es-ES_tradnl" w:eastAsia="es-ES"/>
        </w:rPr>
        <w:t>que</w:t>
      </w:r>
      <w:proofErr w:type="gramEnd"/>
      <w:r w:rsidRPr="00747E74">
        <w:rPr>
          <w:rFonts w:ascii="Arial" w:hAnsi="Arial" w:cs="Arial"/>
          <w:sz w:val="21"/>
          <w:szCs w:val="21"/>
          <w:lang w:val="es-ES_tradnl" w:eastAsia="es-ES"/>
        </w:rPr>
        <w:t xml:space="preserve"> si bien el Invías sí contaba con la facultad de sanear irregularidades o vicios que se presentaren en el proceso de selección, debía procurar ejercer esta potestad de forma que se respetaran los plazos establecidos en los términos de referencia, dado su carácter preclusivo y perentorio. Sobre el particular, la Sección ha sido clara en el sentido de que la preclusivididad y perentoriedad de los términos del proceso de selección es plenamente predicable en los asuntos propios de la actividad contractual regidos por la Ley 80 de 1993, […]. </w:t>
      </w:r>
      <w:bookmarkEnd w:id="6"/>
      <w:r w:rsidRPr="00747E74">
        <w:rPr>
          <w:rFonts w:ascii="Arial" w:hAnsi="Arial" w:cs="Arial"/>
          <w:sz w:val="21"/>
          <w:szCs w:val="21"/>
          <w:lang w:val="es-ES_tradnl" w:eastAsia="es-ES"/>
        </w:rPr>
        <w:t>En concreto se ha sostenido</w:t>
      </w:r>
      <w:r w:rsidRPr="00747E74">
        <w:rPr>
          <w:rFonts w:ascii="Arial" w:eastAsia="Arial" w:hAnsi="Arial" w:cs="Arial"/>
          <w:sz w:val="21"/>
          <w:szCs w:val="21"/>
          <w:vertAlign w:val="superscript"/>
          <w:lang w:val="es-ES_tradnl" w:eastAsia="es-ES"/>
        </w:rPr>
        <w:footnoteReference w:id="15"/>
      </w:r>
      <w:r w:rsidRPr="00747E74">
        <w:rPr>
          <w:rFonts w:ascii="Arial" w:hAnsi="Arial" w:cs="Arial"/>
          <w:sz w:val="21"/>
          <w:szCs w:val="21"/>
          <w:lang w:val="es-ES_tradnl" w:eastAsia="es-ES"/>
        </w:rPr>
        <w:t>:</w:t>
      </w:r>
    </w:p>
    <w:p w14:paraId="1F13171C" w14:textId="77777777" w:rsidR="007E65AD" w:rsidRPr="00747E74" w:rsidRDefault="007E65AD" w:rsidP="007E65AD">
      <w:pPr>
        <w:tabs>
          <w:tab w:val="left" w:pos="1068"/>
        </w:tabs>
        <w:overflowPunct w:val="0"/>
        <w:autoSpaceDN w:val="0"/>
        <w:adjustRightInd w:val="0"/>
        <w:ind w:left="709" w:right="709"/>
        <w:jc w:val="both"/>
        <w:textAlignment w:val="baseline"/>
        <w:rPr>
          <w:rFonts w:ascii="Arial" w:hAnsi="Arial" w:cs="Arial"/>
          <w:sz w:val="21"/>
          <w:szCs w:val="21"/>
          <w:lang w:val="es-ES_tradnl" w:eastAsia="es-ES"/>
        </w:rPr>
      </w:pPr>
    </w:p>
    <w:p w14:paraId="3A6A443F" w14:textId="77777777" w:rsidR="007E65AD" w:rsidRPr="00747E74" w:rsidRDefault="007E65AD" w:rsidP="007E65AD">
      <w:pPr>
        <w:tabs>
          <w:tab w:val="left" w:pos="1068"/>
        </w:tabs>
        <w:overflowPunct w:val="0"/>
        <w:autoSpaceDN w:val="0"/>
        <w:adjustRightInd w:val="0"/>
        <w:ind w:left="709" w:right="709"/>
        <w:jc w:val="both"/>
        <w:textAlignment w:val="baseline"/>
        <w:rPr>
          <w:rFonts w:ascii="Arial" w:hAnsi="Arial" w:cs="Arial"/>
          <w:i/>
          <w:sz w:val="21"/>
          <w:szCs w:val="21"/>
          <w:lang w:val="es-ES_tradnl" w:eastAsia="es-ES"/>
        </w:rPr>
      </w:pPr>
      <w:r w:rsidRPr="00747E74">
        <w:rPr>
          <w:rFonts w:ascii="Arial" w:hAnsi="Arial" w:cs="Arial"/>
          <w:i/>
          <w:sz w:val="21"/>
          <w:szCs w:val="21"/>
          <w:lang w:val="es-ES_tradnl" w:eastAsia="es-ES"/>
        </w:rPr>
        <w:t xml:space="preserve">La exigencia prevista en el estatuto </w:t>
      </w:r>
      <w:proofErr w:type="gramStart"/>
      <w:r w:rsidRPr="00747E74">
        <w:rPr>
          <w:rFonts w:ascii="Arial" w:hAnsi="Arial" w:cs="Arial"/>
          <w:i/>
          <w:sz w:val="21"/>
          <w:szCs w:val="21"/>
          <w:lang w:val="es-ES_tradnl" w:eastAsia="es-ES"/>
        </w:rPr>
        <w:t>anterior,</w:t>
      </w:r>
      <w:proofErr w:type="gramEnd"/>
      <w:r w:rsidRPr="00747E74">
        <w:rPr>
          <w:rFonts w:ascii="Arial" w:hAnsi="Arial" w:cs="Arial"/>
          <w:i/>
          <w:sz w:val="21"/>
          <w:szCs w:val="21"/>
          <w:lang w:val="es-ES_tradnl" w:eastAsia="es-ES"/>
        </w:rPr>
        <w:t xml:space="preserve"> no difería para nada de lo que sucede hoy en día, pues, el artículo 25 de la Ley 80 enseña que los términos para las diferentes etapas de selección son preclusivos y perentorios. Transcurrido el tiempo indicado en los pliegos o en la ley para realizar determinada actividad sin que esta se hubiere cumplido, se habrá perdido la oportunidad para efectuarla, por cuanto el término una vez vencido no puede revivirse. […] </w:t>
      </w:r>
      <w:r w:rsidRPr="00747E74">
        <w:rPr>
          <w:rFonts w:ascii="Arial" w:hAnsi="Arial" w:cs="Arial"/>
          <w:iCs/>
          <w:sz w:val="21"/>
          <w:szCs w:val="21"/>
          <w:lang w:val="es-ES_tradnl" w:eastAsia="es-ES"/>
        </w:rPr>
        <w:t>(énfasis del texto original)</w:t>
      </w:r>
      <w:r w:rsidRPr="00747E74">
        <w:rPr>
          <w:rFonts w:ascii="Arial" w:hAnsi="Arial" w:cs="Arial"/>
          <w:i/>
          <w:sz w:val="21"/>
          <w:szCs w:val="21"/>
          <w:lang w:val="es-ES_tradnl" w:eastAsia="es-ES"/>
        </w:rPr>
        <w:t>.</w:t>
      </w:r>
    </w:p>
    <w:p w14:paraId="19C8EBC6" w14:textId="77777777" w:rsidR="007E65AD" w:rsidRPr="00747E74" w:rsidRDefault="007E65AD" w:rsidP="007E65AD">
      <w:pPr>
        <w:tabs>
          <w:tab w:val="left" w:pos="426"/>
        </w:tabs>
        <w:spacing w:line="276" w:lineRule="auto"/>
        <w:ind w:firstLine="425"/>
        <w:jc w:val="both"/>
        <w:rPr>
          <w:rFonts w:ascii="Arial" w:eastAsia="Calibri" w:hAnsi="Arial" w:cs="Arial"/>
          <w:color w:val="000000"/>
          <w:sz w:val="22"/>
          <w:lang w:val="es-ES_tradnl" w:eastAsia="en-US"/>
        </w:rPr>
      </w:pPr>
    </w:p>
    <w:p w14:paraId="4C09B7F6" w14:textId="63E2C722" w:rsidR="007E65AD" w:rsidRPr="00747E74" w:rsidRDefault="007E65AD" w:rsidP="007E65AD">
      <w:pPr>
        <w:spacing w:line="276" w:lineRule="auto"/>
        <w:ind w:firstLine="709"/>
        <w:jc w:val="both"/>
        <w:rPr>
          <w:rFonts w:ascii="Arial" w:eastAsia="Calibri" w:hAnsi="Arial" w:cs="Arial"/>
          <w:color w:val="000000"/>
          <w:sz w:val="22"/>
          <w:lang w:val="es-ES_tradnl" w:eastAsia="en-US"/>
        </w:rPr>
      </w:pPr>
      <w:r w:rsidRPr="00747E74">
        <w:rPr>
          <w:rFonts w:ascii="Arial" w:eastAsia="Calibri" w:hAnsi="Arial" w:cs="Arial"/>
          <w:color w:val="000000"/>
          <w:sz w:val="22"/>
          <w:lang w:val="es-ES_tradnl" w:eastAsia="en-US"/>
        </w:rPr>
        <w:t xml:space="preserve">Estas irregularidades pueden afectar no solo los actos administrativos expedidos dentro del procedimiento de selección, sino también el contrato. En efecto, el artículo 44, numeral 4, de la Ley 80 de 1993, establece que «Los contratos del Estado son absolutamente nulos en los casos previstos en el derecho común y además cuando […] Se declaren nulos los actos administrativos en que se fundamenten». A partir de estas consideraciones, se concluye que, en atención al carácter preclusivo y perentorio de los términos de la licitación </w:t>
      </w:r>
      <w:r w:rsidRPr="00747E74">
        <w:rPr>
          <w:rFonts w:ascii="Arial" w:eastAsia="Calibri" w:hAnsi="Arial" w:cs="Arial"/>
          <w:color w:val="000000"/>
          <w:sz w:val="22"/>
          <w:lang w:val="es-ES_tradnl" w:eastAsia="en-US"/>
        </w:rPr>
        <w:lastRenderedPageBreak/>
        <w:t xml:space="preserve">pública, la audiencia de asignación de riesgos debe efectuarse a más tardar al tercer día posterior al inicio del plazo para presentar ofertas, pues de lo contrario puede configurarse una irregularidad formal en el procedimiento y por tanto un vicio de nulidad de los actos administrativos posteriores, así como del contrato estatal. </w:t>
      </w:r>
    </w:p>
    <w:p w14:paraId="0DFE60B6" w14:textId="23E766F7" w:rsidR="00167A43" w:rsidRPr="00747E74" w:rsidRDefault="00167A43" w:rsidP="007E65AD">
      <w:pPr>
        <w:spacing w:line="276" w:lineRule="auto"/>
        <w:ind w:firstLine="709"/>
        <w:jc w:val="both"/>
        <w:rPr>
          <w:rFonts w:ascii="Arial" w:eastAsia="Calibri" w:hAnsi="Arial" w:cs="Arial"/>
          <w:color w:val="000000"/>
          <w:sz w:val="22"/>
          <w:lang w:val="es-ES_tradnl" w:eastAsia="en-US"/>
        </w:rPr>
      </w:pPr>
    </w:p>
    <w:p w14:paraId="7F65CB0C" w14:textId="6E411135" w:rsidR="00167A43" w:rsidRPr="00747E74" w:rsidRDefault="00167A43" w:rsidP="007E65AD">
      <w:pPr>
        <w:spacing w:line="276" w:lineRule="auto"/>
        <w:ind w:firstLine="709"/>
        <w:jc w:val="both"/>
        <w:rPr>
          <w:rFonts w:ascii="Arial" w:eastAsia="Calibri" w:hAnsi="Arial" w:cs="Arial"/>
          <w:color w:val="000000"/>
          <w:sz w:val="22"/>
          <w:lang w:val="es-ES_tradnl" w:eastAsia="en-US"/>
        </w:rPr>
      </w:pPr>
    </w:p>
    <w:p w14:paraId="46FE41EF" w14:textId="3504FE9F" w:rsidR="007E65AD" w:rsidRPr="00747E74" w:rsidRDefault="007E65AD" w:rsidP="00167A43">
      <w:pPr>
        <w:pStyle w:val="Prrafodelista"/>
        <w:numPr>
          <w:ilvl w:val="0"/>
          <w:numId w:val="8"/>
        </w:numPr>
        <w:rPr>
          <w:rFonts w:ascii="Arial" w:hAnsi="Arial" w:cs="Arial"/>
          <w:b/>
          <w:sz w:val="22"/>
        </w:rPr>
      </w:pPr>
      <w:r w:rsidRPr="00747E74">
        <w:rPr>
          <w:rFonts w:ascii="Arial" w:hAnsi="Arial" w:cs="Arial"/>
          <w:b/>
          <w:sz w:val="22"/>
        </w:rPr>
        <w:t xml:space="preserve">Respuesta </w:t>
      </w:r>
    </w:p>
    <w:p w14:paraId="77CF9857" w14:textId="1586A890" w:rsidR="00167A43" w:rsidRPr="00747E74" w:rsidRDefault="00167A43" w:rsidP="00167A43">
      <w:pPr>
        <w:rPr>
          <w:rFonts w:ascii="Arial" w:eastAsia="Calibri" w:hAnsi="Arial" w:cs="Arial"/>
          <w:b/>
          <w:sz w:val="22"/>
        </w:rPr>
      </w:pPr>
    </w:p>
    <w:p w14:paraId="3C045EB6" w14:textId="449E9877" w:rsidR="00167A43" w:rsidRPr="00747E74" w:rsidRDefault="00167A43" w:rsidP="00167A43">
      <w:pPr>
        <w:ind w:left="709" w:right="709"/>
        <w:jc w:val="both"/>
        <w:rPr>
          <w:rFonts w:ascii="Arial" w:hAnsi="Arial" w:cs="Arial"/>
          <w:sz w:val="21"/>
          <w:szCs w:val="21"/>
          <w:lang w:eastAsia="es-MX"/>
        </w:rPr>
      </w:pPr>
      <w:r w:rsidRPr="00747E74">
        <w:rPr>
          <w:rFonts w:ascii="Arial" w:eastAsia="Calibri" w:hAnsi="Arial" w:cs="Arial"/>
          <w:sz w:val="21"/>
          <w:szCs w:val="21"/>
          <w:lang w:eastAsia="en-US"/>
        </w:rPr>
        <w:t>«En una entidad Estatal, ¿qué debe incluir en los procesos de contratación y en la audiencia de asignación de riesgos? ¿En qué etapa del proceso de contratación se origina? ¿Qué norma faculta tales procesos?».</w:t>
      </w:r>
      <w:r w:rsidRPr="00747E74">
        <w:rPr>
          <w:rFonts w:ascii="Arial" w:hAnsi="Arial" w:cs="Arial"/>
          <w:sz w:val="21"/>
          <w:szCs w:val="21"/>
          <w:lang w:eastAsia="es-MX"/>
        </w:rPr>
        <w:t xml:space="preserve"> </w:t>
      </w:r>
    </w:p>
    <w:p w14:paraId="134BDF94" w14:textId="77777777" w:rsidR="009B123D" w:rsidRPr="00747E74" w:rsidRDefault="009B123D" w:rsidP="00747E74">
      <w:pPr>
        <w:ind w:left="709" w:right="709"/>
        <w:jc w:val="both"/>
        <w:rPr>
          <w:rFonts w:ascii="Arial" w:eastAsia="Calibri" w:hAnsi="Arial" w:cs="Arial"/>
          <w:sz w:val="21"/>
          <w:szCs w:val="21"/>
          <w:lang w:eastAsia="en-US"/>
        </w:rPr>
      </w:pPr>
    </w:p>
    <w:p w14:paraId="23344232" w14:textId="2A09754A" w:rsidR="007E65AD" w:rsidRPr="00747E74" w:rsidRDefault="007C5C31" w:rsidP="00747E74">
      <w:pPr>
        <w:tabs>
          <w:tab w:val="left" w:pos="426"/>
        </w:tabs>
        <w:spacing w:line="276" w:lineRule="auto"/>
        <w:jc w:val="both"/>
        <w:rPr>
          <w:rFonts w:ascii="Arial" w:eastAsia="Calibri" w:hAnsi="Arial" w:cs="Arial"/>
          <w:color w:val="000000"/>
          <w:sz w:val="22"/>
          <w:szCs w:val="22"/>
          <w:lang w:val="es-ES_tradnl" w:eastAsia="en-US"/>
        </w:rPr>
      </w:pPr>
      <w:r w:rsidRPr="00747E74">
        <w:rPr>
          <w:rFonts w:ascii="Arial" w:eastAsia="Calibri" w:hAnsi="Arial" w:cs="Arial"/>
          <w:sz w:val="22"/>
          <w:szCs w:val="22"/>
          <w:lang w:eastAsia="en-US"/>
        </w:rPr>
        <w:t>D</w:t>
      </w:r>
      <w:r w:rsidR="007E65AD" w:rsidRPr="00747E74">
        <w:rPr>
          <w:rFonts w:ascii="Arial" w:eastAsia="Calibri" w:hAnsi="Arial" w:cs="Arial"/>
          <w:sz w:val="22"/>
          <w:szCs w:val="22"/>
          <w:lang w:eastAsia="en-US"/>
        </w:rPr>
        <w:t xml:space="preserve">e acuerdo con lo anteriormente expuesto, </w:t>
      </w:r>
      <w:r w:rsidR="007E65AD" w:rsidRPr="00747E74">
        <w:rPr>
          <w:rFonts w:ascii="Arial" w:eastAsia="Calibri" w:hAnsi="Arial" w:cs="Arial"/>
          <w:color w:val="000000"/>
          <w:sz w:val="22"/>
          <w:szCs w:val="22"/>
          <w:lang w:val="es-ES_tradnl" w:eastAsia="en-US"/>
        </w:rPr>
        <w:t xml:space="preserve">no cabe duda de que en la actualidad las entidades estatales deben definir en el pliego de condiciones un momento comprendido dentro de los tres días posteriores al inicio del plazo de la licitación para efectuar la audiencia de asignación de riesgos y que en esta misma audiencia se puede precisar el contenido y alcance de los pliegos de condiciones. Además, conviene recordar que la audiencia de asignación de riesgos es </w:t>
      </w:r>
      <w:r w:rsidR="007E65AD" w:rsidRPr="00747E74">
        <w:rPr>
          <w:rFonts w:ascii="Arial" w:eastAsia="Calibri" w:hAnsi="Arial" w:cs="Arial"/>
          <w:i/>
          <w:iCs/>
          <w:color w:val="000000"/>
          <w:sz w:val="22"/>
          <w:szCs w:val="22"/>
          <w:lang w:val="es-ES_tradnl" w:eastAsia="en-US"/>
        </w:rPr>
        <w:t xml:space="preserve">obligatoria </w:t>
      </w:r>
      <w:r w:rsidR="007E65AD" w:rsidRPr="00747E74">
        <w:rPr>
          <w:rFonts w:ascii="Arial" w:eastAsia="Calibri" w:hAnsi="Arial" w:cs="Arial"/>
          <w:color w:val="000000"/>
          <w:sz w:val="22"/>
          <w:szCs w:val="22"/>
          <w:lang w:val="es-ES_tradnl" w:eastAsia="en-US"/>
        </w:rPr>
        <w:t>dentro de la licitación pública. Así se infiere del artículo 4 de la Ley 1150 de 2007, que emplea el verbo «deberán», al referirse a la inclusión de la oportunidad de aquella en el pliego de condiciones, así como del artículo 2.2.1.2.1.1.2. del Decreto 1082 de 2015, que, de manera categórica, establece: «En la etapa de selección de la licitación son obligatorias las audiencias de: a) asignación de Riesgos, y b) adjudicación. Si a solicitud de un interesado es necesario adelantar una audiencia para precisar el contenido y alcance de los pliegos de condiciones, este tema se tratará en la audiencia de asignación de Riesgos».</w:t>
      </w:r>
    </w:p>
    <w:p w14:paraId="45297BD5" w14:textId="77777777" w:rsidR="007C5C31" w:rsidRPr="00747E74" w:rsidRDefault="007C5C31" w:rsidP="00747E74">
      <w:pPr>
        <w:spacing w:line="276" w:lineRule="auto"/>
        <w:jc w:val="both"/>
        <w:rPr>
          <w:rFonts w:ascii="Arial" w:hAnsi="Arial" w:cs="Arial"/>
          <w:color w:val="000000" w:themeColor="text1"/>
          <w:sz w:val="22"/>
          <w:szCs w:val="22"/>
          <w:lang w:val="es-ES_tradnl"/>
        </w:rPr>
      </w:pPr>
    </w:p>
    <w:p w14:paraId="056816F7" w14:textId="3692D31C" w:rsidR="00D40F8B" w:rsidRPr="00747E74" w:rsidRDefault="00DD5B04" w:rsidP="00747E74">
      <w:pPr>
        <w:spacing w:line="276" w:lineRule="auto"/>
        <w:jc w:val="both"/>
        <w:rPr>
          <w:rFonts w:ascii="Arial" w:hAnsi="Arial" w:cs="Arial"/>
          <w:color w:val="000000" w:themeColor="text1"/>
          <w:sz w:val="22"/>
          <w:szCs w:val="22"/>
          <w:lang w:val="es-ES_tradnl"/>
        </w:rPr>
      </w:pPr>
      <w:r w:rsidRPr="00747E74">
        <w:rPr>
          <w:rFonts w:ascii="Arial" w:hAnsi="Arial" w:cs="Arial"/>
          <w:color w:val="000000" w:themeColor="text1"/>
          <w:sz w:val="22"/>
          <w:szCs w:val="22"/>
          <w:lang w:val="es-ES_tradnl"/>
        </w:rPr>
        <w:t>Este concepto tiene el alcance previsto en el artículo 28 del Código de Procedimiento Administrativo y de</w:t>
      </w:r>
      <w:r w:rsidR="00D40F8B" w:rsidRPr="00747E74">
        <w:rPr>
          <w:rFonts w:ascii="Arial" w:hAnsi="Arial" w:cs="Arial"/>
          <w:color w:val="000000" w:themeColor="text1"/>
          <w:sz w:val="22"/>
          <w:szCs w:val="22"/>
          <w:lang w:val="es-ES_tradnl"/>
        </w:rPr>
        <w:t xml:space="preserve"> lo Contencioso Administrativo.</w:t>
      </w:r>
    </w:p>
    <w:p w14:paraId="16AF0E1C" w14:textId="77777777" w:rsidR="00747E74" w:rsidRDefault="00747E7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29A36197" w14:textId="46E2F724" w:rsidR="007E65AD" w:rsidRDefault="00861F0F" w:rsidP="00747E74">
      <w:pPr>
        <w:pStyle w:val="NormalWeb"/>
        <w:spacing w:before="0" w:beforeAutospacing="0" w:after="0" w:afterAutospacing="0" w:line="276" w:lineRule="auto"/>
        <w:jc w:val="both"/>
        <w:rPr>
          <w:rFonts w:ascii="Calibri" w:eastAsia="Calibri" w:hAnsi="Calibri"/>
          <w:noProof/>
        </w:rPr>
      </w:pPr>
      <w:r w:rsidRPr="00747E74">
        <w:rPr>
          <w:rFonts w:ascii="Arial" w:hAnsi="Arial" w:cs="Arial"/>
          <w:color w:val="000000" w:themeColor="text1"/>
          <w:sz w:val="22"/>
          <w:szCs w:val="22"/>
          <w:lang w:val="es-ES_tradnl"/>
        </w:rPr>
        <w:t>Atentamente,</w:t>
      </w:r>
    </w:p>
    <w:p w14:paraId="0C2FF0A1" w14:textId="77777777" w:rsidR="00747E74" w:rsidRDefault="00747E74" w:rsidP="00747E74">
      <w:pPr>
        <w:pStyle w:val="NormalWeb"/>
        <w:spacing w:before="0" w:beforeAutospacing="0" w:after="0" w:afterAutospacing="0" w:line="276" w:lineRule="auto"/>
        <w:jc w:val="both"/>
        <w:rPr>
          <w:rFonts w:ascii="Calibri" w:eastAsia="Calibri" w:hAnsi="Calibri"/>
          <w:noProof/>
        </w:rPr>
      </w:pPr>
    </w:p>
    <w:p w14:paraId="7616DC0B" w14:textId="40CFDC54" w:rsidR="00747E74" w:rsidRPr="00747E74" w:rsidRDefault="00747E74" w:rsidP="00747E74">
      <w:pPr>
        <w:pStyle w:val="NormalWeb"/>
        <w:spacing w:before="0" w:beforeAutospacing="0" w:after="0" w:afterAutospacing="0" w:line="276" w:lineRule="auto"/>
        <w:jc w:val="center"/>
        <w:rPr>
          <w:rFonts w:ascii="Arial" w:hAnsi="Arial" w:cs="Arial"/>
          <w:noProof/>
        </w:rPr>
      </w:pPr>
      <w:r>
        <w:rPr>
          <w:noProof/>
        </w:rPr>
        <w:drawing>
          <wp:inline distT="0" distB="0" distL="0" distR="0" wp14:anchorId="1C6B2312" wp14:editId="552D2ACD">
            <wp:extent cx="2689441" cy="1041400"/>
            <wp:effectExtent l="0" t="0" r="0" b="6350"/>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12"/>
                    <a:stretch>
                      <a:fillRect/>
                    </a:stretch>
                  </pic:blipFill>
                  <pic:spPr>
                    <a:xfrm>
                      <a:off x="0" y="0"/>
                      <a:ext cx="2694741" cy="1043452"/>
                    </a:xfrm>
                    <a:prstGeom prst="rect">
                      <a:avLst/>
                    </a:prstGeom>
                  </pic:spPr>
                </pic:pic>
              </a:graphicData>
            </a:graphic>
          </wp:inline>
        </w:drawing>
      </w:r>
    </w:p>
    <w:p w14:paraId="6D40A493" w14:textId="77777777" w:rsidR="00411715" w:rsidRPr="00747E74" w:rsidRDefault="00411715"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
        <w:gridCol w:w="4502"/>
      </w:tblGrid>
      <w:tr w:rsidR="00DD5B04" w:rsidRPr="00747E74" w14:paraId="0C7DC5F7" w14:textId="77777777" w:rsidTr="003B5586">
        <w:trPr>
          <w:trHeight w:val="124"/>
        </w:trPr>
        <w:tc>
          <w:tcPr>
            <w:tcW w:w="828" w:type="dxa"/>
            <w:vAlign w:val="center"/>
            <w:hideMark/>
          </w:tcPr>
          <w:p w14:paraId="5BDB1AC9" w14:textId="77777777" w:rsidR="00DD5B04" w:rsidRPr="00747E74" w:rsidRDefault="00DD5B04" w:rsidP="00DF76A2">
            <w:pPr>
              <w:jc w:val="both"/>
              <w:rPr>
                <w:rFonts w:ascii="Arial" w:hAnsi="Arial" w:cs="Arial"/>
                <w:color w:val="000000" w:themeColor="text1"/>
                <w:sz w:val="16"/>
                <w:szCs w:val="16"/>
                <w:lang w:val="es-ES_tradnl" w:eastAsia="es-ES"/>
              </w:rPr>
            </w:pPr>
            <w:r w:rsidRPr="00747E74">
              <w:rPr>
                <w:rFonts w:ascii="Arial" w:hAnsi="Arial" w:cs="Arial"/>
                <w:color w:val="000000" w:themeColor="text1"/>
                <w:sz w:val="16"/>
                <w:szCs w:val="16"/>
                <w:lang w:val="es-ES_tradnl" w:eastAsia="es-ES"/>
              </w:rPr>
              <w:lastRenderedPageBreak/>
              <w:t>Elaboró:</w:t>
            </w:r>
          </w:p>
        </w:tc>
        <w:tc>
          <w:tcPr>
            <w:tcW w:w="4502" w:type="dxa"/>
            <w:tcBorders>
              <w:top w:val="nil"/>
              <w:left w:val="nil"/>
              <w:bottom w:val="dotted" w:sz="4" w:space="0" w:color="7F7F7F" w:themeColor="text1" w:themeTint="80"/>
              <w:right w:val="nil"/>
            </w:tcBorders>
            <w:vAlign w:val="center"/>
            <w:hideMark/>
          </w:tcPr>
          <w:p w14:paraId="42488358" w14:textId="42FA6CF4" w:rsidR="00DD5B04" w:rsidRPr="00747E74" w:rsidRDefault="00523E23" w:rsidP="00DF76A2">
            <w:pPr>
              <w:jc w:val="both"/>
              <w:rPr>
                <w:rFonts w:ascii="Arial" w:hAnsi="Arial" w:cs="Arial"/>
                <w:color w:val="000000" w:themeColor="text1"/>
                <w:sz w:val="16"/>
                <w:szCs w:val="16"/>
                <w:lang w:val="es-ES_tradnl" w:eastAsia="es-ES"/>
              </w:rPr>
            </w:pPr>
            <w:r w:rsidRPr="00747E74">
              <w:rPr>
                <w:rFonts w:ascii="Arial" w:hAnsi="Arial" w:cs="Arial"/>
                <w:color w:val="000000" w:themeColor="text1"/>
                <w:sz w:val="16"/>
                <w:szCs w:val="16"/>
                <w:lang w:val="es-ES_tradnl" w:eastAsia="es-ES"/>
              </w:rPr>
              <w:t>Daniela Zapata Arboleda</w:t>
            </w:r>
          </w:p>
          <w:p w14:paraId="240C71FD" w14:textId="7AE5F422" w:rsidR="00411715" w:rsidRPr="00747E74" w:rsidRDefault="00411715" w:rsidP="00DF76A2">
            <w:pPr>
              <w:jc w:val="both"/>
              <w:rPr>
                <w:rFonts w:ascii="Arial" w:hAnsi="Arial" w:cs="Arial"/>
                <w:color w:val="000000" w:themeColor="text1"/>
                <w:sz w:val="16"/>
                <w:szCs w:val="16"/>
                <w:lang w:val="es-ES_tradnl" w:eastAsia="es-ES"/>
              </w:rPr>
            </w:pPr>
            <w:r w:rsidRPr="00747E74">
              <w:rPr>
                <w:rFonts w:ascii="Arial" w:hAnsi="Arial" w:cs="Arial"/>
                <w:color w:val="000000" w:themeColor="text1"/>
                <w:sz w:val="16"/>
                <w:szCs w:val="16"/>
                <w:lang w:val="es-ES_tradnl" w:eastAsia="es-ES"/>
              </w:rPr>
              <w:t xml:space="preserve">Contratista de la Subdirección de Gestión Contractual </w:t>
            </w:r>
          </w:p>
        </w:tc>
      </w:tr>
      <w:tr w:rsidR="00DD5B04" w:rsidRPr="00747E74" w14:paraId="2F8FD650" w14:textId="77777777" w:rsidTr="003B5586">
        <w:trPr>
          <w:trHeight w:val="256"/>
        </w:trPr>
        <w:tc>
          <w:tcPr>
            <w:tcW w:w="828" w:type="dxa"/>
            <w:vAlign w:val="center"/>
            <w:hideMark/>
          </w:tcPr>
          <w:p w14:paraId="50203A0B" w14:textId="77777777" w:rsidR="00DD5B04" w:rsidRPr="00747E74" w:rsidRDefault="00DD5B04" w:rsidP="00DF76A2">
            <w:pPr>
              <w:jc w:val="both"/>
              <w:rPr>
                <w:rFonts w:ascii="Arial" w:hAnsi="Arial" w:cs="Arial"/>
                <w:color w:val="000000" w:themeColor="text1"/>
                <w:sz w:val="16"/>
                <w:szCs w:val="16"/>
                <w:lang w:val="es-ES_tradnl" w:eastAsia="es-ES"/>
              </w:rPr>
            </w:pPr>
            <w:r w:rsidRPr="00747E74">
              <w:rPr>
                <w:rFonts w:ascii="Arial" w:hAnsi="Arial" w:cs="Arial"/>
                <w:color w:val="000000" w:themeColor="text1"/>
                <w:sz w:val="16"/>
                <w:szCs w:val="16"/>
                <w:lang w:val="es-ES_tradnl" w:eastAsia="es-ES"/>
              </w:rPr>
              <w:t>Revisó:</w:t>
            </w:r>
          </w:p>
        </w:tc>
        <w:tc>
          <w:tcPr>
            <w:tcW w:w="4502" w:type="dxa"/>
            <w:tcBorders>
              <w:top w:val="dotted" w:sz="4" w:space="0" w:color="7F7F7F" w:themeColor="text1" w:themeTint="80"/>
              <w:left w:val="nil"/>
              <w:bottom w:val="dotted" w:sz="4" w:space="0" w:color="7F7F7F" w:themeColor="text1" w:themeTint="80"/>
              <w:right w:val="nil"/>
            </w:tcBorders>
            <w:vAlign w:val="center"/>
            <w:hideMark/>
          </w:tcPr>
          <w:p w14:paraId="03A262D0" w14:textId="72BBA8AE" w:rsidR="00384466" w:rsidRPr="00747E74" w:rsidRDefault="00AF400A" w:rsidP="00F412DF">
            <w:pPr>
              <w:jc w:val="both"/>
              <w:rPr>
                <w:rFonts w:ascii="Arial" w:hAnsi="Arial" w:cs="Arial"/>
                <w:color w:val="000000" w:themeColor="text1"/>
                <w:sz w:val="16"/>
                <w:szCs w:val="16"/>
                <w:lang w:val="es-ES_tradnl" w:eastAsia="es-ES"/>
              </w:rPr>
            </w:pPr>
            <w:r w:rsidRPr="00747E74">
              <w:rPr>
                <w:rFonts w:ascii="Arial" w:hAnsi="Arial" w:cs="Arial"/>
                <w:color w:val="000000" w:themeColor="text1"/>
                <w:sz w:val="16"/>
                <w:szCs w:val="16"/>
                <w:lang w:val="es-ES_tradnl" w:eastAsia="es-ES"/>
              </w:rPr>
              <w:t xml:space="preserve">Alejandro Sarmiento Cantillo </w:t>
            </w:r>
          </w:p>
          <w:p w14:paraId="130B3228" w14:textId="1333639D" w:rsidR="0070439B" w:rsidRPr="00747E74" w:rsidRDefault="00AF400A" w:rsidP="00AF400A">
            <w:pPr>
              <w:jc w:val="both"/>
              <w:rPr>
                <w:rFonts w:ascii="Arial" w:hAnsi="Arial" w:cs="Arial"/>
                <w:color w:val="000000" w:themeColor="text1"/>
                <w:sz w:val="16"/>
                <w:szCs w:val="16"/>
                <w:lang w:val="es-ES" w:eastAsia="es-ES"/>
              </w:rPr>
            </w:pPr>
            <w:r w:rsidRPr="00747E74">
              <w:rPr>
                <w:rFonts w:ascii="Arial" w:hAnsi="Arial" w:cs="Arial"/>
                <w:color w:val="000000" w:themeColor="text1"/>
                <w:sz w:val="16"/>
                <w:szCs w:val="16"/>
                <w:lang w:val="es-ES_tradnl" w:eastAsia="es-ES"/>
              </w:rPr>
              <w:t xml:space="preserve">Gestor T1-15 </w:t>
            </w:r>
            <w:r w:rsidR="00B22D35" w:rsidRPr="00747E74">
              <w:rPr>
                <w:rFonts w:ascii="Arial" w:hAnsi="Arial" w:cs="Arial"/>
                <w:color w:val="000000" w:themeColor="text1"/>
                <w:sz w:val="16"/>
                <w:szCs w:val="16"/>
                <w:lang w:val="es-ES_tradnl" w:eastAsia="es-ES"/>
              </w:rPr>
              <w:t>de la Subdirección de Gestión Contractual</w:t>
            </w:r>
            <w:r w:rsidR="00B22D35" w:rsidRPr="00747E74" w:rsidDel="00B22D35">
              <w:rPr>
                <w:rFonts w:ascii="Arial" w:hAnsi="Arial" w:cs="Arial"/>
                <w:color w:val="000000"/>
                <w:sz w:val="16"/>
                <w:szCs w:val="16"/>
                <w:shd w:val="clear" w:color="auto" w:fill="FFFFFF"/>
              </w:rPr>
              <w:t xml:space="preserve"> </w:t>
            </w:r>
          </w:p>
        </w:tc>
      </w:tr>
      <w:tr w:rsidR="00DD5B04" w:rsidRPr="006E0D83" w14:paraId="0FCBCA4A" w14:textId="77777777" w:rsidTr="003B5586">
        <w:trPr>
          <w:trHeight w:val="233"/>
        </w:trPr>
        <w:tc>
          <w:tcPr>
            <w:tcW w:w="828" w:type="dxa"/>
            <w:vAlign w:val="center"/>
            <w:hideMark/>
          </w:tcPr>
          <w:p w14:paraId="3C1D943A" w14:textId="77777777" w:rsidR="00DD5B04" w:rsidRPr="00747E74" w:rsidRDefault="00DD5B04" w:rsidP="00DF76A2">
            <w:pPr>
              <w:jc w:val="both"/>
              <w:rPr>
                <w:rFonts w:ascii="Arial" w:hAnsi="Arial" w:cs="Arial"/>
                <w:color w:val="000000" w:themeColor="text1"/>
                <w:sz w:val="16"/>
                <w:szCs w:val="16"/>
                <w:lang w:val="es-ES_tradnl" w:eastAsia="es-ES"/>
              </w:rPr>
            </w:pPr>
            <w:r w:rsidRPr="00747E74">
              <w:rPr>
                <w:rFonts w:ascii="Arial" w:hAnsi="Arial" w:cs="Arial"/>
                <w:color w:val="000000" w:themeColor="text1"/>
                <w:sz w:val="16"/>
                <w:szCs w:val="16"/>
                <w:lang w:val="es-ES_tradnl" w:eastAsia="es-ES"/>
              </w:rPr>
              <w:t>Aprobó:</w:t>
            </w:r>
          </w:p>
        </w:tc>
        <w:tc>
          <w:tcPr>
            <w:tcW w:w="4502" w:type="dxa"/>
            <w:tcBorders>
              <w:top w:val="dotted" w:sz="4" w:space="0" w:color="7F7F7F" w:themeColor="text1" w:themeTint="80"/>
              <w:left w:val="nil"/>
              <w:bottom w:val="dotted" w:sz="4" w:space="0" w:color="7F7F7F" w:themeColor="text1" w:themeTint="80"/>
              <w:right w:val="nil"/>
            </w:tcBorders>
            <w:vAlign w:val="center"/>
            <w:hideMark/>
          </w:tcPr>
          <w:p w14:paraId="04486817" w14:textId="77777777" w:rsidR="00573788" w:rsidRPr="00747E74" w:rsidRDefault="00573788" w:rsidP="00573788">
            <w:pPr>
              <w:rPr>
                <w:rFonts w:ascii="Arial" w:hAnsi="Arial" w:cs="Arial"/>
              </w:rPr>
            </w:pPr>
            <w:r w:rsidRPr="00747E74">
              <w:rPr>
                <w:rFonts w:ascii="Arial" w:eastAsia="Arial" w:hAnsi="Arial" w:cs="Arial"/>
                <w:color w:val="000000"/>
                <w:sz w:val="16"/>
                <w:szCs w:val="16"/>
              </w:rPr>
              <w:t>Juan David Marín López</w:t>
            </w:r>
          </w:p>
          <w:p w14:paraId="1ADC483B" w14:textId="6E3ED0C2" w:rsidR="00DD5B04" w:rsidRPr="006E0D83" w:rsidRDefault="00573788" w:rsidP="00DF76A2">
            <w:pPr>
              <w:jc w:val="both"/>
              <w:rPr>
                <w:rFonts w:ascii="Arial" w:hAnsi="Arial" w:cs="Arial"/>
                <w:color w:val="000000" w:themeColor="text1"/>
                <w:sz w:val="16"/>
                <w:szCs w:val="16"/>
                <w:lang w:val="es-ES_tradnl" w:eastAsia="es-ES"/>
              </w:rPr>
            </w:pPr>
            <w:r w:rsidRPr="00747E74">
              <w:rPr>
                <w:rFonts w:ascii="Arial" w:eastAsia="Arial" w:hAnsi="Arial" w:cs="Arial"/>
                <w:color w:val="000000"/>
                <w:sz w:val="16"/>
                <w:szCs w:val="16"/>
              </w:rPr>
              <w:t xml:space="preserve">Subdirector de Gestión </w:t>
            </w:r>
            <w:r w:rsidR="00AF400A" w:rsidRPr="00747E74">
              <w:rPr>
                <w:rFonts w:ascii="Arial" w:eastAsia="Arial" w:hAnsi="Arial" w:cs="Arial"/>
                <w:color w:val="000000"/>
                <w:sz w:val="16"/>
                <w:szCs w:val="16"/>
              </w:rPr>
              <w:t xml:space="preserve">Contractual </w:t>
            </w:r>
            <w:r w:rsidR="00B174FD" w:rsidRPr="00747E74">
              <w:rPr>
                <w:rFonts w:ascii="Arial" w:eastAsia="Arial" w:hAnsi="Arial" w:cs="Arial"/>
                <w:color w:val="000000"/>
                <w:sz w:val="16"/>
                <w:szCs w:val="16"/>
              </w:rPr>
              <w:t>(E)</w:t>
            </w:r>
          </w:p>
        </w:tc>
      </w:tr>
      <w:bookmarkEnd w:id="1"/>
    </w:tbl>
    <w:p w14:paraId="407E8F17" w14:textId="77777777" w:rsidR="00DD118B" w:rsidRPr="006E0D83" w:rsidRDefault="00DD118B" w:rsidP="00947454">
      <w:pPr>
        <w:jc w:val="both"/>
        <w:rPr>
          <w:rFonts w:ascii="Arial" w:hAnsi="Arial" w:cs="Arial"/>
          <w:lang w:val="es-ES_tradnl"/>
        </w:rPr>
      </w:pPr>
    </w:p>
    <w:sectPr w:rsidR="00DD118B" w:rsidRPr="006E0D83" w:rsidSect="006F436D">
      <w:headerReference w:type="default" r:id="rId13"/>
      <w:footerReference w:type="default" r:id="rId14"/>
      <w:pgSz w:w="12240" w:h="15840"/>
      <w:pgMar w:top="2410" w:right="1701" w:bottom="2694" w:left="1560"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A74F5" w14:textId="77777777" w:rsidR="008A7F72" w:rsidRDefault="008A7F72">
      <w:r>
        <w:separator/>
      </w:r>
    </w:p>
  </w:endnote>
  <w:endnote w:type="continuationSeparator" w:id="0">
    <w:p w14:paraId="3838F479" w14:textId="77777777" w:rsidR="008A7F72" w:rsidRDefault="008A7F72">
      <w:r>
        <w:continuationSeparator/>
      </w:r>
    </w:p>
  </w:endnote>
  <w:endnote w:type="continuationNotice" w:id="1">
    <w:p w14:paraId="4AA43121" w14:textId="77777777" w:rsidR="008A7F72" w:rsidRDefault="008A7F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42C23EB7"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305E10">
      <w:rPr>
        <w:rFonts w:ascii="Arial" w:hAnsi="Arial" w:cs="Arial"/>
        <w:b/>
        <w:bCs/>
        <w:noProof/>
        <w:color w:val="7F7F7F"/>
        <w:sz w:val="16"/>
        <w:szCs w:val="16"/>
      </w:rPr>
      <w:t>14</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305E10">
      <w:rPr>
        <w:rFonts w:ascii="Arial" w:hAnsi="Arial" w:cs="Arial"/>
        <w:b/>
        <w:bCs/>
        <w:noProof/>
        <w:color w:val="7F7F7F"/>
        <w:sz w:val="16"/>
        <w:szCs w:val="16"/>
      </w:rPr>
      <w:t>14</w:t>
    </w:r>
    <w:r w:rsidRPr="00EC6D8D">
      <w:rPr>
        <w:rFonts w:ascii="Arial" w:hAnsi="Arial" w:cs="Arial"/>
        <w:b/>
        <w:bCs/>
        <w:color w:val="7F7F7F"/>
        <w:sz w:val="16"/>
        <w:szCs w:val="16"/>
      </w:rPr>
      <w:fldChar w:fldCharType="end"/>
    </w:r>
  </w:p>
  <w:p w14:paraId="48FC6A04" w14:textId="187BB681" w:rsidR="00E2520A" w:rsidRDefault="00207C1E" w:rsidP="00322937">
    <w:pPr>
      <w:pStyle w:val="Piedepgina"/>
      <w:jc w:val="center"/>
      <w:rPr>
        <w:lang w:val="es-ES"/>
      </w:rPr>
    </w:pPr>
    <w:r w:rsidRPr="00207C1E">
      <w:rPr>
        <w:noProof/>
        <w:lang w:val="es-CO" w:eastAsia="es-CO"/>
      </w:rPr>
      <w:drawing>
        <wp:inline distT="0" distB="0" distL="0" distR="0" wp14:anchorId="5D151EC5" wp14:editId="37D9D648">
          <wp:extent cx="5778385" cy="856615"/>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81669" cy="857102"/>
                  </a:xfrm>
                  <a:prstGeom prst="rect">
                    <a:avLst/>
                  </a:prstGeom>
                </pic:spPr>
              </pic:pic>
            </a:graphicData>
          </a:graphic>
        </wp:inline>
      </w:drawing>
    </w:r>
  </w:p>
  <w:p w14:paraId="6C0EFC49" w14:textId="77777777" w:rsidR="00E2520A" w:rsidRPr="007B0854" w:rsidRDefault="00E2520A" w:rsidP="007B0854">
    <w:pPr>
      <w:pStyle w:val="Piedepgina"/>
      <w:jc w:val="center"/>
      <w:rPr>
        <w:lang w:val="es-ES"/>
      </w:rPr>
    </w:pPr>
  </w:p>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24A26" w14:textId="77777777" w:rsidR="008A7F72" w:rsidRDefault="008A7F72">
      <w:r>
        <w:separator/>
      </w:r>
    </w:p>
  </w:footnote>
  <w:footnote w:type="continuationSeparator" w:id="0">
    <w:p w14:paraId="64BD48D3" w14:textId="77777777" w:rsidR="008A7F72" w:rsidRDefault="008A7F72">
      <w:r>
        <w:continuationSeparator/>
      </w:r>
    </w:p>
  </w:footnote>
  <w:footnote w:type="continuationNotice" w:id="1">
    <w:p w14:paraId="233E8F0D" w14:textId="77777777" w:rsidR="008A7F72" w:rsidRDefault="008A7F72"/>
  </w:footnote>
  <w:footnote w:id="2">
    <w:p w14:paraId="6BD33750" w14:textId="77777777" w:rsidR="009D0B5D" w:rsidRPr="00DC3B79" w:rsidRDefault="009D0B5D" w:rsidP="009D0B5D">
      <w:pPr>
        <w:pStyle w:val="Textonotapie"/>
        <w:ind w:firstLine="708"/>
        <w:jc w:val="both"/>
        <w:rPr>
          <w:rFonts w:ascii="Arial" w:hAnsi="Arial" w:cs="Arial"/>
          <w:sz w:val="19"/>
          <w:szCs w:val="19"/>
          <w:lang w:val="es-ES"/>
        </w:rPr>
      </w:pPr>
      <w:r w:rsidRPr="00DC3B79">
        <w:rPr>
          <w:rStyle w:val="Refdenotaalpie"/>
          <w:rFonts w:ascii="Arial" w:hAnsi="Arial" w:cs="Arial"/>
          <w:sz w:val="19"/>
          <w:szCs w:val="19"/>
        </w:rPr>
        <w:footnoteRef/>
      </w:r>
      <w:r w:rsidRPr="00DC3B79">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DC3B79">
        <w:rPr>
          <w:rFonts w:ascii="Arial" w:hAnsi="Arial" w:cs="Arial"/>
          <w:i/>
          <w:iCs/>
          <w:sz w:val="19"/>
          <w:szCs w:val="19"/>
        </w:rPr>
        <w:t xml:space="preserve">ibidem </w:t>
      </w:r>
      <w:r w:rsidRPr="00DC3B79">
        <w:rPr>
          <w:rFonts w:ascii="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26DC3FDF" w14:textId="6EF8446A" w:rsidR="007E65AD" w:rsidRPr="00827F1D" w:rsidRDefault="007E65AD" w:rsidP="007E65AD">
      <w:pPr>
        <w:pStyle w:val="Textonotapie"/>
        <w:ind w:firstLine="709"/>
        <w:jc w:val="both"/>
        <w:rPr>
          <w:rFonts w:ascii="Arial" w:hAnsi="Arial" w:cs="Arial"/>
          <w:sz w:val="19"/>
          <w:szCs w:val="19"/>
          <w:lang w:val="es-CO"/>
        </w:rPr>
      </w:pPr>
      <w:r w:rsidRPr="00827F1D">
        <w:rPr>
          <w:rStyle w:val="Refdenotaalpie"/>
          <w:rFonts w:ascii="Arial" w:hAnsi="Arial" w:cs="Arial"/>
          <w:sz w:val="19"/>
          <w:szCs w:val="19"/>
        </w:rPr>
        <w:footnoteRef/>
      </w:r>
      <w:r w:rsidRPr="00827F1D">
        <w:rPr>
          <w:rFonts w:ascii="Arial" w:hAnsi="Arial" w:cs="Arial"/>
          <w:sz w:val="19"/>
          <w:szCs w:val="19"/>
        </w:rPr>
        <w:t xml:space="preserve"> </w:t>
      </w:r>
      <w:r w:rsidR="000F53F8" w:rsidRPr="00827F1D">
        <w:rPr>
          <w:rFonts w:ascii="Arial" w:hAnsi="Arial" w:cs="Arial"/>
          <w:sz w:val="19"/>
          <w:szCs w:val="19"/>
          <w:lang w:val="es-CO"/>
        </w:rPr>
        <w:t>CONSEJO DE ESTADO</w:t>
      </w:r>
      <w:r w:rsidRPr="00827F1D">
        <w:rPr>
          <w:rFonts w:ascii="Arial" w:hAnsi="Arial" w:cs="Arial"/>
          <w:sz w:val="19"/>
          <w:szCs w:val="19"/>
          <w:lang w:val="es-CO"/>
        </w:rPr>
        <w:t>. Sección Tercera. Sentencia del 23 de marzo de 2017. Consejera Ponente: Marta Nubia Velásquez Rico. Expediente: 51526.</w:t>
      </w:r>
    </w:p>
  </w:footnote>
  <w:footnote w:id="4">
    <w:p w14:paraId="6A8B2154" w14:textId="79687C2A" w:rsidR="007E65AD" w:rsidRPr="00827F1D" w:rsidRDefault="007E65AD" w:rsidP="007E65AD">
      <w:pPr>
        <w:pStyle w:val="Textonotapie"/>
        <w:ind w:firstLine="709"/>
        <w:jc w:val="both"/>
        <w:rPr>
          <w:rFonts w:ascii="Arial" w:hAnsi="Arial" w:cs="Arial"/>
          <w:sz w:val="19"/>
          <w:szCs w:val="19"/>
        </w:rPr>
      </w:pPr>
      <w:r w:rsidRPr="00827F1D">
        <w:rPr>
          <w:rFonts w:ascii="Arial" w:hAnsi="Arial" w:cs="Arial"/>
          <w:sz w:val="19"/>
          <w:szCs w:val="19"/>
          <w:vertAlign w:val="superscript"/>
        </w:rPr>
        <w:footnoteRef/>
      </w:r>
      <w:r w:rsidRPr="00827F1D">
        <w:rPr>
          <w:rFonts w:ascii="Arial" w:hAnsi="Arial" w:cs="Arial"/>
          <w:sz w:val="19"/>
          <w:szCs w:val="19"/>
          <w:vertAlign w:val="superscript"/>
        </w:rPr>
        <w:t xml:space="preserve"> </w:t>
      </w:r>
      <w:r w:rsidR="000F53F8" w:rsidRPr="00747E74">
        <w:rPr>
          <w:rFonts w:ascii="Arial" w:hAnsi="Arial" w:cs="Arial"/>
          <w:sz w:val="19"/>
          <w:szCs w:val="19"/>
        </w:rPr>
        <w:t>«</w:t>
      </w:r>
      <w:r w:rsidRPr="00827F1D">
        <w:rPr>
          <w:rFonts w:ascii="Arial" w:hAnsi="Arial" w:cs="Arial"/>
          <w:sz w:val="19"/>
          <w:szCs w:val="19"/>
        </w:rPr>
        <w:t>Artículo 2.2.1.2.1.1.2. Audiencias en la licitación. En la etapa de selección de la licitación son obligatorias las audiencias de: a) asignación de Riesgos, y b) adjudicación. Si a solicitud de un interesado es necesario adelantar una audiencia para precisar el contenido y alcance de los pliegos de condiciones, este tema se tratará en la audiencia de asignación de Riesgos.</w:t>
      </w:r>
    </w:p>
    <w:p w14:paraId="768A931E" w14:textId="77777777" w:rsidR="007E65AD" w:rsidRPr="00827F1D" w:rsidRDefault="007E65AD" w:rsidP="007E65AD">
      <w:pPr>
        <w:pStyle w:val="Textonotapie"/>
        <w:ind w:firstLine="709"/>
        <w:jc w:val="both"/>
        <w:rPr>
          <w:rFonts w:ascii="Arial" w:hAnsi="Arial" w:cs="Arial"/>
          <w:sz w:val="19"/>
          <w:szCs w:val="19"/>
        </w:rPr>
      </w:pPr>
      <w:proofErr w:type="gramStart"/>
      <w:r w:rsidRPr="00827F1D">
        <w:rPr>
          <w:rFonts w:ascii="Arial" w:hAnsi="Arial" w:cs="Arial"/>
          <w:sz w:val="19"/>
          <w:szCs w:val="19"/>
        </w:rPr>
        <w:t>»En</w:t>
      </w:r>
      <w:proofErr w:type="gramEnd"/>
      <w:r w:rsidRPr="00827F1D">
        <w:rPr>
          <w:rFonts w:ascii="Arial" w:hAnsi="Arial" w:cs="Arial"/>
          <w:sz w:val="19"/>
          <w:szCs w:val="19"/>
        </w:rPr>
        <w:t xml:space="preserve"> la audiencia de asignación de Riesgos, la Entidad Estatal debe presentar el análisis de Riesgos efectuado y hacer la asignación de Riesgos definitiva.</w:t>
      </w:r>
    </w:p>
    <w:p w14:paraId="3D3ACC8D" w14:textId="77777777" w:rsidR="007E65AD" w:rsidRPr="00827F1D" w:rsidRDefault="007E65AD" w:rsidP="007E65AD">
      <w:pPr>
        <w:pStyle w:val="Textonotapie"/>
        <w:ind w:firstLine="709"/>
        <w:jc w:val="both"/>
        <w:rPr>
          <w:rFonts w:ascii="Arial" w:hAnsi="Arial" w:cs="Arial"/>
          <w:sz w:val="19"/>
          <w:szCs w:val="19"/>
          <w:lang w:val="es-CO"/>
        </w:rPr>
      </w:pPr>
      <w:r w:rsidRPr="00827F1D">
        <w:rPr>
          <w:rFonts w:ascii="Arial" w:hAnsi="Arial" w:cs="Arial"/>
          <w:sz w:val="19"/>
          <w:szCs w:val="19"/>
        </w:rPr>
        <w:t>»[…]».</w:t>
      </w:r>
    </w:p>
  </w:footnote>
  <w:footnote w:id="5">
    <w:p w14:paraId="13C6115F" w14:textId="77777777" w:rsidR="007E65AD" w:rsidRPr="00827F1D" w:rsidRDefault="007E65AD" w:rsidP="007E65AD">
      <w:pPr>
        <w:pStyle w:val="Textonotapie"/>
        <w:ind w:firstLine="709"/>
        <w:jc w:val="both"/>
        <w:rPr>
          <w:rFonts w:ascii="Arial" w:hAnsi="Arial" w:cs="Arial"/>
          <w:sz w:val="19"/>
          <w:szCs w:val="19"/>
          <w:lang w:val="es-ES"/>
        </w:rPr>
      </w:pPr>
      <w:r w:rsidRPr="00827F1D">
        <w:rPr>
          <w:rStyle w:val="Refdenotaalpie"/>
          <w:rFonts w:ascii="Arial" w:hAnsi="Arial" w:cs="Arial"/>
          <w:sz w:val="19"/>
          <w:szCs w:val="19"/>
        </w:rPr>
        <w:footnoteRef/>
      </w:r>
      <w:r w:rsidRPr="00827F1D">
        <w:rPr>
          <w:rFonts w:ascii="Arial" w:hAnsi="Arial" w:cs="Arial"/>
          <w:sz w:val="19"/>
          <w:szCs w:val="19"/>
        </w:rPr>
        <w:t xml:space="preserve"> https://colombiacompra.gov.co/sites/default/files/normativas/conpes3714.pdf</w:t>
      </w:r>
    </w:p>
  </w:footnote>
  <w:footnote w:id="6">
    <w:p w14:paraId="30951C50" w14:textId="77777777" w:rsidR="007E65AD" w:rsidRDefault="007E65AD" w:rsidP="007E65AD">
      <w:pPr>
        <w:pStyle w:val="Textonotapie"/>
        <w:ind w:firstLine="709"/>
        <w:jc w:val="both"/>
        <w:rPr>
          <w:rFonts w:ascii="Arial" w:hAnsi="Arial"/>
          <w:sz w:val="19"/>
          <w:szCs w:val="19"/>
        </w:rPr>
      </w:pPr>
    </w:p>
    <w:p w14:paraId="636C08BE" w14:textId="77777777" w:rsidR="007E65AD" w:rsidRPr="00827F1D" w:rsidRDefault="007E65AD" w:rsidP="007E65AD">
      <w:pPr>
        <w:pStyle w:val="Textonotapie"/>
        <w:ind w:firstLine="709"/>
        <w:jc w:val="both"/>
        <w:rPr>
          <w:rFonts w:ascii="Arial" w:hAnsi="Arial"/>
          <w:sz w:val="19"/>
          <w:szCs w:val="19"/>
          <w:lang w:val="es-ES"/>
        </w:rPr>
      </w:pPr>
      <w:r w:rsidRPr="00827F1D">
        <w:rPr>
          <w:rStyle w:val="Refdenotaalpie"/>
          <w:rFonts w:ascii="Arial" w:hAnsi="Arial"/>
          <w:sz w:val="19"/>
          <w:szCs w:val="19"/>
        </w:rPr>
        <w:footnoteRef/>
      </w:r>
      <w:r w:rsidRPr="00827F1D">
        <w:rPr>
          <w:rFonts w:ascii="Arial" w:hAnsi="Arial"/>
          <w:sz w:val="19"/>
          <w:szCs w:val="19"/>
        </w:rPr>
        <w:t>https://colombiacompra.gov.co/sites/cce_public/files/cce_documents/cce_manual_cobertura_riesgo.pdf</w:t>
      </w:r>
    </w:p>
  </w:footnote>
  <w:footnote w:id="7">
    <w:p w14:paraId="42985F81" w14:textId="7A9C4CD7" w:rsidR="007E65AD" w:rsidRPr="00827F1D" w:rsidRDefault="007E65AD" w:rsidP="007E65AD">
      <w:pPr>
        <w:pStyle w:val="Textonotapie"/>
        <w:ind w:firstLine="709"/>
        <w:jc w:val="both"/>
        <w:rPr>
          <w:rFonts w:ascii="Arial" w:hAnsi="Arial" w:cs="Arial"/>
          <w:sz w:val="19"/>
          <w:szCs w:val="19"/>
          <w:lang w:val="es-CO"/>
        </w:rPr>
      </w:pPr>
      <w:r w:rsidRPr="00827F1D">
        <w:rPr>
          <w:rStyle w:val="Refdenotaalpie"/>
          <w:rFonts w:ascii="Arial" w:hAnsi="Arial" w:cs="Arial"/>
          <w:sz w:val="19"/>
          <w:szCs w:val="19"/>
        </w:rPr>
        <w:footnoteRef/>
      </w:r>
      <w:r w:rsidRPr="00827F1D">
        <w:rPr>
          <w:rFonts w:ascii="Arial" w:hAnsi="Arial" w:cs="Arial"/>
          <w:sz w:val="19"/>
          <w:szCs w:val="19"/>
        </w:rPr>
        <w:t xml:space="preserve"> </w:t>
      </w:r>
      <w:r w:rsidR="00BE195D" w:rsidRPr="00827F1D">
        <w:rPr>
          <w:rFonts w:ascii="Arial" w:hAnsi="Arial" w:cs="Arial"/>
          <w:sz w:val="19"/>
          <w:szCs w:val="19"/>
          <w:lang w:val="es-CO"/>
        </w:rPr>
        <w:t xml:space="preserve">CONSEJO DE ESTADO. </w:t>
      </w:r>
      <w:r w:rsidRPr="00827F1D">
        <w:rPr>
          <w:rFonts w:ascii="Arial" w:hAnsi="Arial" w:cs="Arial"/>
          <w:sz w:val="19"/>
          <w:szCs w:val="19"/>
          <w:lang w:val="es-CO"/>
        </w:rPr>
        <w:t>Sección Tercera, Sentencia del 23 de marzo de 2017. C.P: Marta Nubia Velásquez Rico. Exp.51526</w:t>
      </w:r>
    </w:p>
  </w:footnote>
  <w:footnote w:id="8">
    <w:p w14:paraId="6A94A2B7" w14:textId="6B887690" w:rsidR="007E65AD" w:rsidRPr="00827F1D" w:rsidRDefault="007E65AD" w:rsidP="007E65AD">
      <w:pPr>
        <w:pStyle w:val="Textonotapie"/>
        <w:ind w:firstLine="709"/>
        <w:jc w:val="both"/>
        <w:rPr>
          <w:rFonts w:ascii="Arial" w:hAnsi="Arial" w:cs="Arial"/>
          <w:sz w:val="19"/>
          <w:szCs w:val="19"/>
          <w:lang w:val="es-CO"/>
        </w:rPr>
      </w:pPr>
      <w:r w:rsidRPr="00827F1D">
        <w:rPr>
          <w:rStyle w:val="Refdenotaalpie"/>
          <w:rFonts w:ascii="Arial" w:hAnsi="Arial" w:cs="Arial"/>
          <w:sz w:val="19"/>
          <w:szCs w:val="19"/>
        </w:rPr>
        <w:footnoteRef/>
      </w:r>
      <w:r w:rsidRPr="00827F1D">
        <w:rPr>
          <w:rFonts w:ascii="Arial" w:hAnsi="Arial" w:cs="Arial"/>
          <w:sz w:val="19"/>
          <w:szCs w:val="19"/>
        </w:rPr>
        <w:t xml:space="preserve"> </w:t>
      </w:r>
      <w:r w:rsidRPr="00747E74">
        <w:rPr>
          <w:rFonts w:ascii="Arial" w:hAnsi="Arial" w:cs="Arial"/>
          <w:i/>
          <w:iCs/>
          <w:sz w:val="19"/>
          <w:szCs w:val="19"/>
          <w:lang w:val="es-CO"/>
        </w:rPr>
        <w:t>Ibídem</w:t>
      </w:r>
      <w:r w:rsidR="00BE195D">
        <w:rPr>
          <w:rFonts w:ascii="Arial" w:hAnsi="Arial" w:cs="Arial"/>
          <w:sz w:val="19"/>
          <w:szCs w:val="19"/>
          <w:lang w:val="es-CO"/>
        </w:rPr>
        <w:t>.</w:t>
      </w:r>
      <w:r w:rsidRPr="00827F1D">
        <w:rPr>
          <w:rFonts w:ascii="Arial" w:hAnsi="Arial" w:cs="Arial"/>
          <w:sz w:val="19"/>
          <w:szCs w:val="19"/>
          <w:lang w:val="es-CO"/>
        </w:rPr>
        <w:t xml:space="preserve"> </w:t>
      </w:r>
    </w:p>
  </w:footnote>
  <w:footnote w:id="9">
    <w:p w14:paraId="633331ED" w14:textId="77777777" w:rsidR="007E65AD" w:rsidRPr="00827F1D" w:rsidRDefault="007E65AD" w:rsidP="007E65AD">
      <w:pPr>
        <w:pStyle w:val="Textonotapie"/>
        <w:ind w:firstLine="709"/>
        <w:jc w:val="both"/>
        <w:rPr>
          <w:rFonts w:ascii="Arial" w:hAnsi="Arial" w:cs="Arial"/>
          <w:sz w:val="19"/>
          <w:szCs w:val="19"/>
          <w:lang w:val="es-ES"/>
        </w:rPr>
      </w:pPr>
      <w:r w:rsidRPr="00827F1D">
        <w:rPr>
          <w:rStyle w:val="Refdenotaalpie"/>
          <w:rFonts w:ascii="Arial" w:hAnsi="Arial" w:cs="Arial"/>
          <w:sz w:val="19"/>
          <w:szCs w:val="19"/>
        </w:rPr>
        <w:footnoteRef/>
      </w:r>
      <w:r w:rsidRPr="00827F1D">
        <w:rPr>
          <w:rFonts w:ascii="Arial" w:hAnsi="Arial" w:cs="Arial"/>
          <w:sz w:val="19"/>
          <w:szCs w:val="19"/>
        </w:rPr>
        <w:t xml:space="preserve"> </w:t>
      </w:r>
      <w:r w:rsidRPr="00827F1D">
        <w:rPr>
          <w:rFonts w:ascii="Arial" w:hAnsi="Arial" w:cs="Arial"/>
          <w:sz w:val="19"/>
          <w:szCs w:val="19"/>
          <w:lang w:val="es-ES"/>
        </w:rPr>
        <w:t>En efecto, el referido numeral establecía: «Dentro de los tres (3) días hábiles siguientes al inicio del plazo para la presentación de propuestas y a solicitud de cualquiera de las personas que retiraron pliegos de condiciones, se celebrará una audiencia con el objeto de precisar el contenido y alcance de los mencionados documentos y de oír a los interesados, de lo cual se levantará un acta suscrita por los intervinientes.</w:t>
      </w:r>
    </w:p>
    <w:p w14:paraId="3E0F3D12" w14:textId="77777777" w:rsidR="007E65AD" w:rsidRPr="00827F1D" w:rsidRDefault="007E65AD" w:rsidP="007E65AD">
      <w:pPr>
        <w:pStyle w:val="Textonotapie"/>
        <w:ind w:firstLine="709"/>
        <w:jc w:val="both"/>
        <w:rPr>
          <w:rFonts w:ascii="Arial" w:hAnsi="Arial" w:cs="Arial"/>
          <w:sz w:val="19"/>
          <w:szCs w:val="19"/>
          <w:lang w:val="es-ES"/>
        </w:rPr>
      </w:pPr>
      <w:proofErr w:type="gramStart"/>
      <w:r w:rsidRPr="00827F1D">
        <w:rPr>
          <w:rFonts w:ascii="Arial" w:hAnsi="Arial" w:cs="Arial"/>
          <w:sz w:val="19"/>
          <w:szCs w:val="19"/>
          <w:lang w:val="es-ES"/>
        </w:rPr>
        <w:t>»Como</w:t>
      </w:r>
      <w:proofErr w:type="gramEnd"/>
      <w:r w:rsidRPr="00827F1D">
        <w:rPr>
          <w:rFonts w:ascii="Arial" w:hAnsi="Arial" w:cs="Arial"/>
          <w:sz w:val="19"/>
          <w:szCs w:val="19"/>
          <w:lang w:val="es-ES"/>
        </w:rPr>
        <w:t xml:space="preserve"> resultado de lo debatido en la audiencia y cuando resulte conveniente, el jefe o representante de la entidad expedirá las modificaciones pertinentes a dichos documentos y prorrogará, si fuere necesario, el plazo de la licitación hasta por seis (6) días hábiles.</w:t>
      </w:r>
    </w:p>
    <w:p w14:paraId="69A6AB8F" w14:textId="021E75D3" w:rsidR="007E65AD" w:rsidRDefault="007E65AD" w:rsidP="007E65AD">
      <w:pPr>
        <w:pStyle w:val="Textonotapie"/>
        <w:ind w:firstLine="709"/>
        <w:jc w:val="both"/>
        <w:rPr>
          <w:rFonts w:ascii="Arial" w:hAnsi="Arial" w:cs="Arial"/>
          <w:sz w:val="19"/>
          <w:szCs w:val="19"/>
          <w:lang w:val="es-ES"/>
        </w:rPr>
      </w:pPr>
      <w:proofErr w:type="gramStart"/>
      <w:r w:rsidRPr="00827F1D">
        <w:rPr>
          <w:rFonts w:ascii="Arial" w:hAnsi="Arial" w:cs="Arial"/>
          <w:sz w:val="19"/>
          <w:szCs w:val="19"/>
          <w:lang w:val="es-ES"/>
        </w:rPr>
        <w:t>»Lo</w:t>
      </w:r>
      <w:proofErr w:type="gramEnd"/>
      <w:r w:rsidRPr="00827F1D">
        <w:rPr>
          <w:rFonts w:ascii="Arial" w:hAnsi="Arial" w:cs="Arial"/>
          <w:sz w:val="19"/>
          <w:szCs w:val="19"/>
          <w:lang w:val="es-ES"/>
        </w:rPr>
        <w:t xml:space="preserve"> anterior no impide que dentro del plazo de la licitación, cualquier interesado pueda solicitar aclaraciones adicionales que la entidad contratante responderá mediante comunicación escrita, copia de la cual enviará a todos y cada una de las personas que retiraron pliegos».</w:t>
      </w:r>
    </w:p>
    <w:p w14:paraId="659AC74A" w14:textId="77777777" w:rsidR="00BE195D" w:rsidRPr="00827F1D" w:rsidRDefault="00BE195D" w:rsidP="007E65AD">
      <w:pPr>
        <w:pStyle w:val="Textonotapie"/>
        <w:ind w:firstLine="709"/>
        <w:jc w:val="both"/>
        <w:rPr>
          <w:rFonts w:ascii="Arial" w:hAnsi="Arial" w:cs="Arial"/>
          <w:sz w:val="19"/>
          <w:szCs w:val="19"/>
          <w:lang w:val="es-ES"/>
        </w:rPr>
      </w:pPr>
    </w:p>
  </w:footnote>
  <w:footnote w:id="10">
    <w:p w14:paraId="3A108CDA" w14:textId="77777777" w:rsidR="007E65AD" w:rsidRPr="00827F1D" w:rsidRDefault="007E65AD" w:rsidP="007E65AD">
      <w:pPr>
        <w:pStyle w:val="Textonotapie"/>
        <w:ind w:firstLine="709"/>
        <w:jc w:val="both"/>
        <w:rPr>
          <w:rFonts w:ascii="Arial" w:hAnsi="Arial" w:cs="Arial"/>
          <w:sz w:val="19"/>
          <w:szCs w:val="19"/>
          <w:lang w:val="es-ES"/>
        </w:rPr>
      </w:pPr>
      <w:r w:rsidRPr="00827F1D">
        <w:rPr>
          <w:rStyle w:val="Refdenotaalpie"/>
          <w:rFonts w:ascii="Arial" w:hAnsi="Arial" w:cs="Arial"/>
          <w:sz w:val="19"/>
          <w:szCs w:val="19"/>
        </w:rPr>
        <w:footnoteRef/>
      </w:r>
      <w:r w:rsidRPr="00827F1D">
        <w:rPr>
          <w:rFonts w:ascii="Arial" w:hAnsi="Arial" w:cs="Arial"/>
          <w:sz w:val="19"/>
          <w:szCs w:val="19"/>
        </w:rPr>
        <w:t xml:space="preserve"> Así se lee en la decisión: «</w:t>
      </w:r>
      <w:r w:rsidRPr="00827F1D">
        <w:rPr>
          <w:rFonts w:ascii="Arial" w:hAnsi="Arial" w:cs="Arial"/>
          <w:sz w:val="19"/>
          <w:szCs w:val="19"/>
          <w:lang w:val="es-ES"/>
        </w:rPr>
        <w:t xml:space="preserve">DECRÉTASE la suspensión provisional de los efectos de la expresión demandada del parágrafo del artículo 88 del Decreto 2474 de 2008: “A criterio de la entidad, (...) podrá coincidir con aquella de que trata el numeral 4 del artículo 30 de la Ley 80 de 1993, </w:t>
      </w:r>
      <w:proofErr w:type="gramStart"/>
      <w:r w:rsidRPr="00827F1D">
        <w:rPr>
          <w:rFonts w:ascii="Arial" w:hAnsi="Arial" w:cs="Arial"/>
          <w:sz w:val="19"/>
          <w:szCs w:val="19"/>
          <w:lang w:val="es-ES"/>
        </w:rPr>
        <w:t>o...</w:t>
      </w:r>
      <w:proofErr w:type="gramEnd"/>
      <w:r w:rsidRPr="00827F1D">
        <w:rPr>
          <w:rFonts w:ascii="Arial" w:hAnsi="Arial" w:cs="Arial"/>
          <w:sz w:val="19"/>
          <w:szCs w:val="19"/>
          <w:lang w:val="es-ES"/>
        </w:rPr>
        <w:t>”» (Consejo de Estado. Sección Tercera. Auto del 1 de abril de 2009. Consejera Ponente: Ruth Stella Correa Palacio. Expediente: 36476). Esta medida fue confirmada en el Auto del 27 de mayo de 2009, dentro del mismo expediente.</w:t>
      </w:r>
    </w:p>
  </w:footnote>
  <w:footnote w:id="11">
    <w:p w14:paraId="27F8635C" w14:textId="77777777" w:rsidR="007E65AD" w:rsidRPr="00827F1D" w:rsidRDefault="007E65AD" w:rsidP="007E65AD">
      <w:pPr>
        <w:pStyle w:val="Textonotapie"/>
        <w:ind w:firstLine="709"/>
        <w:jc w:val="both"/>
        <w:rPr>
          <w:rFonts w:ascii="Arial" w:hAnsi="Arial" w:cs="Arial"/>
          <w:sz w:val="19"/>
          <w:szCs w:val="19"/>
          <w:lang w:val="es-ES"/>
        </w:rPr>
      </w:pPr>
      <w:r w:rsidRPr="00827F1D">
        <w:rPr>
          <w:rStyle w:val="Refdenotaalpie"/>
          <w:rFonts w:ascii="Arial" w:hAnsi="Arial" w:cs="Arial"/>
          <w:sz w:val="19"/>
          <w:szCs w:val="19"/>
        </w:rPr>
        <w:footnoteRef/>
      </w:r>
      <w:r w:rsidRPr="00827F1D">
        <w:rPr>
          <w:rFonts w:ascii="Arial" w:hAnsi="Arial" w:cs="Arial"/>
          <w:sz w:val="19"/>
          <w:szCs w:val="19"/>
        </w:rPr>
        <w:t xml:space="preserve"> </w:t>
      </w:r>
      <w:r w:rsidRPr="00827F1D">
        <w:rPr>
          <w:rFonts w:ascii="Arial" w:hAnsi="Arial" w:cs="Arial"/>
          <w:sz w:val="19"/>
          <w:szCs w:val="19"/>
          <w:lang w:val="es-ES"/>
        </w:rPr>
        <w:t xml:space="preserve">Esta también ha sido la interpretación de la doctrina en la materia. Cfr. DÁVILA VINUEZA, Luis Guillermo. Régimen jurídico de la contratación estatal. 3ª ed. Bogotá: Legis, 2016, quien afirma que el artículo 220 del Decreto 019 de 2012 establece que el momento de la audiencia de asignación de riesgos debe ser el mismo que el de la audiencia de aclaraciones al pliego de condiciones (p. 431). En similar sentido, Matallana sostiene que «En aplicación del artículo 220 del Decreto 019 de 2012 la audiencia de discusión de distribución de riesgos se programará </w:t>
      </w:r>
      <w:proofErr w:type="gramStart"/>
      <w:r w:rsidRPr="00827F1D">
        <w:rPr>
          <w:rFonts w:ascii="Arial" w:hAnsi="Arial" w:cs="Arial"/>
          <w:sz w:val="19"/>
          <w:szCs w:val="19"/>
          <w:lang w:val="es-ES"/>
        </w:rPr>
        <w:t>conjuntamente con</w:t>
      </w:r>
      <w:proofErr w:type="gramEnd"/>
      <w:r w:rsidRPr="00827F1D">
        <w:rPr>
          <w:rFonts w:ascii="Arial" w:hAnsi="Arial" w:cs="Arial"/>
          <w:sz w:val="19"/>
          <w:szCs w:val="19"/>
          <w:lang w:val="es-ES"/>
        </w:rPr>
        <w:t xml:space="preserve"> la audiencia de aclaraciones» (MATALLANA CAMACHO, Ernesto. Manual de contratación de la Administración pública. Reforma de la Ley 80 de 1993. 4ª ed. Bogotá: Universidad Externado de Colombia, 2015. p. 595.</w:t>
      </w:r>
    </w:p>
  </w:footnote>
  <w:footnote w:id="12">
    <w:p w14:paraId="7F0883EE" w14:textId="77777777" w:rsidR="007E65AD" w:rsidRPr="00827F1D" w:rsidRDefault="007E65AD" w:rsidP="007E65AD">
      <w:pPr>
        <w:ind w:firstLine="709"/>
        <w:jc w:val="both"/>
        <w:rPr>
          <w:rFonts w:ascii="Arial" w:hAnsi="Arial" w:cs="Arial"/>
          <w:sz w:val="19"/>
          <w:szCs w:val="19"/>
          <w:lang w:val="es-ES"/>
        </w:rPr>
      </w:pPr>
      <w:r w:rsidRPr="00827F1D">
        <w:rPr>
          <w:rStyle w:val="Refdenotaalpie"/>
          <w:rFonts w:ascii="Arial" w:hAnsi="Arial" w:cs="Arial"/>
          <w:sz w:val="19"/>
          <w:szCs w:val="19"/>
        </w:rPr>
        <w:footnoteRef/>
      </w:r>
      <w:r w:rsidRPr="00827F1D">
        <w:rPr>
          <w:rFonts w:ascii="Arial" w:hAnsi="Arial" w:cs="Arial"/>
          <w:sz w:val="19"/>
          <w:szCs w:val="19"/>
        </w:rPr>
        <w:t xml:space="preserve"> </w:t>
      </w:r>
      <w:r w:rsidRPr="00827F1D">
        <w:rPr>
          <w:rFonts w:ascii="Arial" w:hAnsi="Arial" w:cs="Arial"/>
          <w:sz w:val="19"/>
          <w:szCs w:val="19"/>
          <w:lang w:val="es-ES"/>
        </w:rPr>
        <w:t xml:space="preserve">Esta norma indica que la nulidad del acto administrativo «Procederá cuando hayan sido expedidos con infracción de las normas en que deberían fundarse, o sin competencia, </w:t>
      </w:r>
      <w:r w:rsidRPr="00827F1D">
        <w:rPr>
          <w:rFonts w:ascii="Arial" w:hAnsi="Arial" w:cs="Arial"/>
          <w:i/>
          <w:iCs/>
          <w:sz w:val="19"/>
          <w:szCs w:val="19"/>
          <w:lang w:val="es-ES"/>
        </w:rPr>
        <w:t>o en forma irregular</w:t>
      </w:r>
      <w:r w:rsidRPr="00827F1D">
        <w:rPr>
          <w:rFonts w:ascii="Arial" w:hAnsi="Arial" w:cs="Arial"/>
          <w:sz w:val="19"/>
          <w:szCs w:val="19"/>
          <w:lang w:val="es-ES"/>
        </w:rPr>
        <w:t>, o con desconocimiento del derecho de audiencia y defensa, o mediante falsa motivación, o con desviación de las atribuciones propias de quien los profirió» (énfasis fuera de texto).</w:t>
      </w:r>
    </w:p>
    <w:p w14:paraId="04BA348E" w14:textId="77777777" w:rsidR="007E65AD" w:rsidRPr="00827F1D" w:rsidRDefault="007E65AD" w:rsidP="007E65AD">
      <w:pPr>
        <w:pStyle w:val="Textonotapie"/>
        <w:ind w:firstLine="709"/>
        <w:jc w:val="both"/>
        <w:rPr>
          <w:rFonts w:ascii="Arial" w:hAnsi="Arial" w:cs="Arial"/>
          <w:sz w:val="19"/>
          <w:szCs w:val="19"/>
          <w:lang w:val="es-ES"/>
        </w:rPr>
      </w:pPr>
    </w:p>
  </w:footnote>
  <w:footnote w:id="13">
    <w:p w14:paraId="767EDF0F" w14:textId="77777777" w:rsidR="007E65AD" w:rsidRPr="00827F1D" w:rsidRDefault="007E65AD" w:rsidP="007E65AD">
      <w:pPr>
        <w:pStyle w:val="Textonotapie"/>
        <w:ind w:firstLine="709"/>
        <w:jc w:val="both"/>
        <w:rPr>
          <w:rFonts w:ascii="Arial" w:hAnsi="Arial" w:cs="Arial"/>
          <w:sz w:val="19"/>
          <w:szCs w:val="19"/>
          <w:lang w:val="es-ES"/>
        </w:rPr>
      </w:pPr>
      <w:r w:rsidRPr="00827F1D">
        <w:rPr>
          <w:rStyle w:val="Refdenotaalpie"/>
          <w:rFonts w:ascii="Arial" w:hAnsi="Arial" w:cs="Arial"/>
          <w:sz w:val="19"/>
          <w:szCs w:val="19"/>
        </w:rPr>
        <w:footnoteRef/>
      </w:r>
      <w:r w:rsidRPr="00827F1D">
        <w:rPr>
          <w:rFonts w:ascii="Arial" w:hAnsi="Arial" w:cs="Arial"/>
          <w:sz w:val="19"/>
          <w:szCs w:val="19"/>
        </w:rPr>
        <w:t xml:space="preserve"> </w:t>
      </w:r>
      <w:r w:rsidRPr="00827F1D">
        <w:rPr>
          <w:rFonts w:ascii="Arial" w:hAnsi="Arial" w:cs="Arial"/>
          <w:sz w:val="19"/>
          <w:szCs w:val="19"/>
          <w:lang w:val="es-ES"/>
        </w:rPr>
        <w:t xml:space="preserve">GORDILLO, Agustín. Tratado de derecho administrativo y obras selectas. Tomo 5. Primeras obras. Libro II. El acto administrativo. Buenos Aires: Fundación de Derecho Administrativo, 2012. p. EAA-IV-29. </w:t>
      </w:r>
    </w:p>
  </w:footnote>
  <w:footnote w:id="14">
    <w:p w14:paraId="7C403A7B" w14:textId="70519345" w:rsidR="007E65AD" w:rsidRDefault="007E65AD" w:rsidP="007E65AD">
      <w:pPr>
        <w:pStyle w:val="Textonotapie"/>
        <w:ind w:firstLine="709"/>
        <w:jc w:val="both"/>
        <w:rPr>
          <w:rFonts w:ascii="Arial" w:eastAsia="Calibri" w:hAnsi="Arial" w:cs="Arial"/>
          <w:bCs/>
          <w:sz w:val="19"/>
          <w:szCs w:val="19"/>
          <w:lang w:val="es-CO"/>
        </w:rPr>
      </w:pPr>
      <w:r w:rsidRPr="00827F1D">
        <w:rPr>
          <w:rStyle w:val="Refdenotaalpie"/>
          <w:rFonts w:ascii="Arial" w:hAnsi="Arial" w:cs="Arial"/>
          <w:sz w:val="19"/>
          <w:szCs w:val="19"/>
        </w:rPr>
        <w:footnoteRef/>
      </w:r>
      <w:r w:rsidRPr="00827F1D">
        <w:rPr>
          <w:rFonts w:ascii="Arial" w:hAnsi="Arial" w:cs="Arial"/>
          <w:sz w:val="19"/>
          <w:szCs w:val="19"/>
        </w:rPr>
        <w:t xml:space="preserve"> </w:t>
      </w:r>
      <w:r w:rsidR="009B123D" w:rsidRPr="00827F1D">
        <w:rPr>
          <w:rFonts w:ascii="Arial" w:hAnsi="Arial" w:cs="Arial"/>
          <w:sz w:val="19"/>
          <w:szCs w:val="19"/>
        </w:rPr>
        <w:t>CONSEJO DE ESTADO</w:t>
      </w:r>
      <w:r w:rsidRPr="00827F1D">
        <w:rPr>
          <w:rFonts w:ascii="Arial" w:hAnsi="Arial" w:cs="Arial"/>
          <w:sz w:val="19"/>
          <w:szCs w:val="19"/>
        </w:rPr>
        <w:t xml:space="preserve">. Sección Tercera. Sentencia del 28 de mayo de 2015. Consejero Ponente: </w:t>
      </w:r>
      <w:r w:rsidRPr="00827F1D">
        <w:rPr>
          <w:rFonts w:ascii="Arial" w:eastAsia="Calibri" w:hAnsi="Arial" w:cs="Arial"/>
          <w:bCs/>
          <w:sz w:val="19"/>
          <w:szCs w:val="19"/>
          <w:lang w:val="es-CO"/>
        </w:rPr>
        <w:t>Danilo Rojas Betancourth. Expediente: 28239.</w:t>
      </w:r>
    </w:p>
    <w:p w14:paraId="28A1E045" w14:textId="77777777" w:rsidR="009B123D" w:rsidRPr="00827F1D" w:rsidRDefault="009B123D" w:rsidP="007E65AD">
      <w:pPr>
        <w:pStyle w:val="Textonotapie"/>
        <w:ind w:firstLine="709"/>
        <w:jc w:val="both"/>
        <w:rPr>
          <w:rFonts w:ascii="Arial" w:hAnsi="Arial" w:cs="Arial"/>
          <w:sz w:val="19"/>
          <w:szCs w:val="19"/>
          <w:lang w:val="es-ES"/>
        </w:rPr>
      </w:pPr>
    </w:p>
  </w:footnote>
  <w:footnote w:id="15">
    <w:p w14:paraId="47108096" w14:textId="6981DB61" w:rsidR="007E65AD" w:rsidRPr="00827F1D" w:rsidRDefault="007E65AD" w:rsidP="007E65AD">
      <w:pPr>
        <w:pStyle w:val="Textonotapie"/>
        <w:ind w:firstLine="709"/>
        <w:jc w:val="both"/>
        <w:rPr>
          <w:rFonts w:ascii="Arial" w:hAnsi="Arial" w:cs="Arial"/>
          <w:sz w:val="19"/>
          <w:szCs w:val="19"/>
        </w:rPr>
      </w:pPr>
      <w:r w:rsidRPr="00827F1D">
        <w:rPr>
          <w:rStyle w:val="Refdenotaalpie"/>
          <w:rFonts w:ascii="Arial" w:hAnsi="Arial" w:cs="Arial"/>
          <w:sz w:val="19"/>
          <w:szCs w:val="19"/>
        </w:rPr>
        <w:footnoteRef/>
      </w:r>
      <w:r w:rsidRPr="00827F1D">
        <w:rPr>
          <w:rFonts w:ascii="Arial" w:hAnsi="Arial" w:cs="Arial"/>
          <w:sz w:val="19"/>
          <w:szCs w:val="19"/>
        </w:rPr>
        <w:t xml:space="preserve"> </w:t>
      </w:r>
      <w:r w:rsidR="009B123D" w:rsidRPr="00827F1D">
        <w:rPr>
          <w:rFonts w:ascii="Arial" w:hAnsi="Arial" w:cs="Arial"/>
          <w:sz w:val="19"/>
          <w:szCs w:val="19"/>
        </w:rPr>
        <w:t>CONSEJO DE ESTADO</w:t>
      </w:r>
      <w:r w:rsidRPr="00827F1D">
        <w:rPr>
          <w:rFonts w:ascii="Arial" w:hAnsi="Arial" w:cs="Arial"/>
          <w:sz w:val="19"/>
          <w:szCs w:val="19"/>
        </w:rPr>
        <w:t xml:space="preserve">. Sección Tercera. Sentencia del 21 de abril del 2004, </w:t>
      </w:r>
      <w:proofErr w:type="gramStart"/>
      <w:r w:rsidRPr="00827F1D">
        <w:rPr>
          <w:rFonts w:ascii="Arial" w:hAnsi="Arial" w:cs="Arial"/>
          <w:sz w:val="19"/>
          <w:szCs w:val="19"/>
        </w:rPr>
        <w:t>Consejero</w:t>
      </w:r>
      <w:proofErr w:type="gramEnd"/>
      <w:r w:rsidRPr="00827F1D">
        <w:rPr>
          <w:rFonts w:ascii="Arial" w:hAnsi="Arial" w:cs="Arial"/>
          <w:sz w:val="19"/>
          <w:szCs w:val="19"/>
        </w:rPr>
        <w:t xml:space="preserve"> Pontente: Ramiro Saavedra Becerra. Expediente: 12960.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3AFE6A3D" w:rsidR="00E2520A" w:rsidRDefault="00E2520A">
    <w:pPr>
      <w:pStyle w:val="Encabezado"/>
    </w:pPr>
  </w:p>
  <w:p w14:paraId="2A80E31D" w14:textId="77777777" w:rsidR="00E2520A" w:rsidRDefault="00E2520A"/>
  <w:p w14:paraId="5DBE9C96" w14:textId="4EE0D645" w:rsidR="00E2520A" w:rsidRDefault="00207C1E" w:rsidP="00207C1E">
    <w:pPr>
      <w:jc w:val="right"/>
    </w:pPr>
    <w:r w:rsidRPr="00207C1E">
      <w:rPr>
        <w:noProof/>
        <w:lang w:eastAsia="es-CO"/>
      </w:rPr>
      <w:drawing>
        <wp:inline distT="0" distB="0" distL="0" distR="0" wp14:anchorId="2288FA4C" wp14:editId="7BF6F84B">
          <wp:extent cx="1752600" cy="71120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752600" cy="711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83C191B"/>
    <w:multiLevelType w:val="hybridMultilevel"/>
    <w:tmpl w:val="915E5E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2"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1"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3"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8"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0"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1"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2"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60090DB1"/>
    <w:multiLevelType w:val="hybridMultilevel"/>
    <w:tmpl w:val="078E2E72"/>
    <w:lvl w:ilvl="0" w:tplc="30687C90">
      <w:start w:val="1"/>
      <w:numFmt w:val="lowerRoman"/>
      <w:lvlText w:val="%1)"/>
      <w:lvlJc w:val="left"/>
      <w:pPr>
        <w:ind w:left="1427" w:hanging="720"/>
      </w:pPr>
      <w:rPr>
        <w:rFonts w:hint="default"/>
      </w:rPr>
    </w:lvl>
    <w:lvl w:ilvl="1" w:tplc="080A0019" w:tentative="1">
      <w:start w:val="1"/>
      <w:numFmt w:val="lowerLetter"/>
      <w:lvlText w:val="%2."/>
      <w:lvlJc w:val="left"/>
      <w:pPr>
        <w:ind w:left="1787" w:hanging="360"/>
      </w:pPr>
    </w:lvl>
    <w:lvl w:ilvl="2" w:tplc="080A001B" w:tentative="1">
      <w:start w:val="1"/>
      <w:numFmt w:val="lowerRoman"/>
      <w:lvlText w:val="%3."/>
      <w:lvlJc w:val="right"/>
      <w:pPr>
        <w:ind w:left="2507" w:hanging="180"/>
      </w:pPr>
    </w:lvl>
    <w:lvl w:ilvl="3" w:tplc="080A000F" w:tentative="1">
      <w:start w:val="1"/>
      <w:numFmt w:val="decimal"/>
      <w:lvlText w:val="%4."/>
      <w:lvlJc w:val="left"/>
      <w:pPr>
        <w:ind w:left="3227" w:hanging="360"/>
      </w:pPr>
    </w:lvl>
    <w:lvl w:ilvl="4" w:tplc="080A0019" w:tentative="1">
      <w:start w:val="1"/>
      <w:numFmt w:val="lowerLetter"/>
      <w:lvlText w:val="%5."/>
      <w:lvlJc w:val="left"/>
      <w:pPr>
        <w:ind w:left="3947" w:hanging="360"/>
      </w:pPr>
    </w:lvl>
    <w:lvl w:ilvl="5" w:tplc="080A001B" w:tentative="1">
      <w:start w:val="1"/>
      <w:numFmt w:val="lowerRoman"/>
      <w:lvlText w:val="%6."/>
      <w:lvlJc w:val="right"/>
      <w:pPr>
        <w:ind w:left="4667" w:hanging="180"/>
      </w:pPr>
    </w:lvl>
    <w:lvl w:ilvl="6" w:tplc="080A000F" w:tentative="1">
      <w:start w:val="1"/>
      <w:numFmt w:val="decimal"/>
      <w:lvlText w:val="%7."/>
      <w:lvlJc w:val="left"/>
      <w:pPr>
        <w:ind w:left="5387" w:hanging="360"/>
      </w:pPr>
    </w:lvl>
    <w:lvl w:ilvl="7" w:tplc="080A0019" w:tentative="1">
      <w:start w:val="1"/>
      <w:numFmt w:val="lowerLetter"/>
      <w:lvlText w:val="%8."/>
      <w:lvlJc w:val="left"/>
      <w:pPr>
        <w:ind w:left="6107" w:hanging="360"/>
      </w:pPr>
    </w:lvl>
    <w:lvl w:ilvl="8" w:tplc="080A001B" w:tentative="1">
      <w:start w:val="1"/>
      <w:numFmt w:val="lowerRoman"/>
      <w:lvlText w:val="%9."/>
      <w:lvlJc w:val="right"/>
      <w:pPr>
        <w:ind w:left="6827" w:hanging="180"/>
      </w:pPr>
    </w:lvl>
  </w:abstractNum>
  <w:abstractNum w:abstractNumId="34" w15:restartNumberingAfterBreak="0">
    <w:nsid w:val="67032B02"/>
    <w:multiLevelType w:val="hybridMultilevel"/>
    <w:tmpl w:val="593E17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6"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7"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6FE85965"/>
    <w:multiLevelType w:val="hybridMultilevel"/>
    <w:tmpl w:val="FC64532E"/>
    <w:lvl w:ilvl="0" w:tplc="AFC6ADA2">
      <w:start w:val="1"/>
      <w:numFmt w:val="decimal"/>
      <w:lvlText w:val="%1."/>
      <w:lvlJc w:val="left"/>
      <w:pPr>
        <w:ind w:left="7449" w:hanging="360"/>
      </w:pPr>
      <w:rPr>
        <w:rFonts w:hint="default"/>
      </w:rPr>
    </w:lvl>
    <w:lvl w:ilvl="1" w:tplc="240A0019">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39"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0"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2"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865897882">
    <w:abstractNumId w:val="16"/>
  </w:num>
  <w:num w:numId="2" w16cid:durableId="30962725">
    <w:abstractNumId w:val="14"/>
  </w:num>
  <w:num w:numId="3" w16cid:durableId="1564486677">
    <w:abstractNumId w:val="25"/>
  </w:num>
  <w:num w:numId="4" w16cid:durableId="1562132953">
    <w:abstractNumId w:val="30"/>
  </w:num>
  <w:num w:numId="5" w16cid:durableId="1267885570">
    <w:abstractNumId w:val="36"/>
  </w:num>
  <w:num w:numId="6" w16cid:durableId="17238338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46305929">
    <w:abstractNumId w:val="31"/>
  </w:num>
  <w:num w:numId="8" w16cid:durableId="664750054">
    <w:abstractNumId w:val="3"/>
  </w:num>
  <w:num w:numId="9" w16cid:durableId="2042198754">
    <w:abstractNumId w:val="9"/>
  </w:num>
  <w:num w:numId="10" w16cid:durableId="1704868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249962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44956543">
    <w:abstractNumId w:val="15"/>
  </w:num>
  <w:num w:numId="13" w16cid:durableId="374935477">
    <w:abstractNumId w:val="23"/>
  </w:num>
  <w:num w:numId="14" w16cid:durableId="870150582">
    <w:abstractNumId w:val="12"/>
  </w:num>
  <w:num w:numId="15" w16cid:durableId="571430569">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78814589">
    <w:abstractNumId w:val="4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00660835">
    <w:abstractNumId w:val="39"/>
  </w:num>
  <w:num w:numId="18" w16cid:durableId="724790859">
    <w:abstractNumId w:val="26"/>
  </w:num>
  <w:num w:numId="19" w16cid:durableId="473911042">
    <w:abstractNumId w:val="8"/>
  </w:num>
  <w:num w:numId="20" w16cid:durableId="644508671">
    <w:abstractNumId w:val="40"/>
  </w:num>
  <w:num w:numId="21" w16cid:durableId="413011017">
    <w:abstractNumId w:val="28"/>
  </w:num>
  <w:num w:numId="22" w16cid:durableId="909269760">
    <w:abstractNumId w:val="11"/>
  </w:num>
  <w:num w:numId="23" w16cid:durableId="1191382661">
    <w:abstractNumId w:val="10"/>
  </w:num>
  <w:num w:numId="24" w16cid:durableId="1428695300">
    <w:abstractNumId w:val="32"/>
  </w:num>
  <w:num w:numId="25" w16cid:durableId="348262527">
    <w:abstractNumId w:val="18"/>
  </w:num>
  <w:num w:numId="26" w16cid:durableId="2052226834">
    <w:abstractNumId w:val="37"/>
  </w:num>
  <w:num w:numId="27" w16cid:durableId="5056662">
    <w:abstractNumId w:val="42"/>
  </w:num>
  <w:num w:numId="28" w16cid:durableId="1605459719">
    <w:abstractNumId w:val="24"/>
  </w:num>
  <w:num w:numId="29" w16cid:durableId="1755005758">
    <w:abstractNumId w:val="2"/>
  </w:num>
  <w:num w:numId="30" w16cid:durableId="791707089">
    <w:abstractNumId w:val="27"/>
  </w:num>
  <w:num w:numId="31" w16cid:durableId="1076779911">
    <w:abstractNumId w:val="19"/>
  </w:num>
  <w:num w:numId="32" w16cid:durableId="813984305">
    <w:abstractNumId w:val="29"/>
  </w:num>
  <w:num w:numId="33" w16cid:durableId="1355501054">
    <w:abstractNumId w:val="41"/>
  </w:num>
  <w:num w:numId="34" w16cid:durableId="987323533">
    <w:abstractNumId w:val="17"/>
  </w:num>
  <w:num w:numId="35" w16cid:durableId="606036094">
    <w:abstractNumId w:val="1"/>
  </w:num>
  <w:num w:numId="36" w16cid:durableId="18793210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1219309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1465833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205557258">
    <w:abstractNumId w:val="6"/>
  </w:num>
  <w:num w:numId="40" w16cid:durableId="233903175">
    <w:abstractNumId w:val="22"/>
  </w:num>
  <w:num w:numId="41" w16cid:durableId="930117341">
    <w:abstractNumId w:val="0"/>
  </w:num>
  <w:num w:numId="42" w16cid:durableId="34815665">
    <w:abstractNumId w:val="34"/>
  </w:num>
  <w:num w:numId="43" w16cid:durableId="1514490938">
    <w:abstractNumId w:val="33"/>
  </w:num>
  <w:num w:numId="44" w16cid:durableId="450788301">
    <w:abstractNumId w:val="21"/>
  </w:num>
  <w:num w:numId="45" w16cid:durableId="439027902">
    <w:abstractNumId w:val="4"/>
  </w:num>
  <w:num w:numId="46" w16cid:durableId="56722465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ES" w:vendorID="64" w:dllVersion="4096" w:nlCheck="1" w:checkStyle="0"/>
  <w:activeWritingStyle w:appName="MSWord" w:lang="es-CO" w:vendorID="64" w:dllVersion="4096" w:nlCheck="1" w:checkStyle="0"/>
  <w:activeWritingStyle w:appName="MSWord" w:lang="es-MX" w:vendorID="64" w:dllVersion="4096" w:nlCheck="1" w:checkStyle="0"/>
  <w:proofState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5D"/>
    <w:rsid w:val="00001FFD"/>
    <w:rsid w:val="00002027"/>
    <w:rsid w:val="000020FE"/>
    <w:rsid w:val="000031A8"/>
    <w:rsid w:val="00003233"/>
    <w:rsid w:val="00003C5C"/>
    <w:rsid w:val="000040D7"/>
    <w:rsid w:val="00004556"/>
    <w:rsid w:val="000051AF"/>
    <w:rsid w:val="000052C4"/>
    <w:rsid w:val="00005958"/>
    <w:rsid w:val="000059D3"/>
    <w:rsid w:val="00005A32"/>
    <w:rsid w:val="00005C48"/>
    <w:rsid w:val="0000600A"/>
    <w:rsid w:val="00006081"/>
    <w:rsid w:val="000060D0"/>
    <w:rsid w:val="00006FBE"/>
    <w:rsid w:val="00007011"/>
    <w:rsid w:val="000074C3"/>
    <w:rsid w:val="000075C0"/>
    <w:rsid w:val="000075EA"/>
    <w:rsid w:val="00007750"/>
    <w:rsid w:val="000077FD"/>
    <w:rsid w:val="00007E37"/>
    <w:rsid w:val="00010408"/>
    <w:rsid w:val="00010C40"/>
    <w:rsid w:val="000112B4"/>
    <w:rsid w:val="00011DCC"/>
    <w:rsid w:val="00012532"/>
    <w:rsid w:val="00012B9E"/>
    <w:rsid w:val="00012FBA"/>
    <w:rsid w:val="00013C6B"/>
    <w:rsid w:val="00013F1F"/>
    <w:rsid w:val="0001406B"/>
    <w:rsid w:val="000143F8"/>
    <w:rsid w:val="00014624"/>
    <w:rsid w:val="000147ED"/>
    <w:rsid w:val="00015B44"/>
    <w:rsid w:val="00015B5A"/>
    <w:rsid w:val="00016081"/>
    <w:rsid w:val="000165AC"/>
    <w:rsid w:val="00016651"/>
    <w:rsid w:val="00016881"/>
    <w:rsid w:val="000171A2"/>
    <w:rsid w:val="00017913"/>
    <w:rsid w:val="00017B65"/>
    <w:rsid w:val="00020158"/>
    <w:rsid w:val="000207E0"/>
    <w:rsid w:val="00020F8F"/>
    <w:rsid w:val="00021A95"/>
    <w:rsid w:val="00021C0A"/>
    <w:rsid w:val="0002256F"/>
    <w:rsid w:val="000232FF"/>
    <w:rsid w:val="00023DAE"/>
    <w:rsid w:val="00023FA5"/>
    <w:rsid w:val="00024592"/>
    <w:rsid w:val="00024896"/>
    <w:rsid w:val="000258A6"/>
    <w:rsid w:val="00026092"/>
    <w:rsid w:val="000263F0"/>
    <w:rsid w:val="00026407"/>
    <w:rsid w:val="000264F6"/>
    <w:rsid w:val="00026608"/>
    <w:rsid w:val="0002738B"/>
    <w:rsid w:val="00027545"/>
    <w:rsid w:val="00027787"/>
    <w:rsid w:val="000278D2"/>
    <w:rsid w:val="000278DF"/>
    <w:rsid w:val="00031136"/>
    <w:rsid w:val="00031384"/>
    <w:rsid w:val="000315E1"/>
    <w:rsid w:val="0003236E"/>
    <w:rsid w:val="00032D18"/>
    <w:rsid w:val="000331FB"/>
    <w:rsid w:val="00033295"/>
    <w:rsid w:val="0003339A"/>
    <w:rsid w:val="00034134"/>
    <w:rsid w:val="000341F2"/>
    <w:rsid w:val="000342EA"/>
    <w:rsid w:val="00034651"/>
    <w:rsid w:val="000351F2"/>
    <w:rsid w:val="00035224"/>
    <w:rsid w:val="00036E03"/>
    <w:rsid w:val="000404DB"/>
    <w:rsid w:val="000406DB"/>
    <w:rsid w:val="0004094D"/>
    <w:rsid w:val="00041029"/>
    <w:rsid w:val="0004149B"/>
    <w:rsid w:val="00041717"/>
    <w:rsid w:val="00041CA0"/>
    <w:rsid w:val="000427F7"/>
    <w:rsid w:val="00042961"/>
    <w:rsid w:val="00042C25"/>
    <w:rsid w:val="00042D03"/>
    <w:rsid w:val="00043086"/>
    <w:rsid w:val="000430A0"/>
    <w:rsid w:val="000434E8"/>
    <w:rsid w:val="0004386D"/>
    <w:rsid w:val="00043A33"/>
    <w:rsid w:val="00043D3B"/>
    <w:rsid w:val="00043D4D"/>
    <w:rsid w:val="00043F5D"/>
    <w:rsid w:val="0004416B"/>
    <w:rsid w:val="0004418C"/>
    <w:rsid w:val="00044204"/>
    <w:rsid w:val="000449D4"/>
    <w:rsid w:val="00046717"/>
    <w:rsid w:val="00046A63"/>
    <w:rsid w:val="00046C09"/>
    <w:rsid w:val="0004716A"/>
    <w:rsid w:val="00047385"/>
    <w:rsid w:val="000473E8"/>
    <w:rsid w:val="000504DE"/>
    <w:rsid w:val="00051074"/>
    <w:rsid w:val="0005138F"/>
    <w:rsid w:val="0005163D"/>
    <w:rsid w:val="00052B79"/>
    <w:rsid w:val="00052EA0"/>
    <w:rsid w:val="00052FE6"/>
    <w:rsid w:val="000536E3"/>
    <w:rsid w:val="00054252"/>
    <w:rsid w:val="0005474D"/>
    <w:rsid w:val="00055CB9"/>
    <w:rsid w:val="00056F66"/>
    <w:rsid w:val="0005702F"/>
    <w:rsid w:val="00057661"/>
    <w:rsid w:val="0005779C"/>
    <w:rsid w:val="00060C3F"/>
    <w:rsid w:val="00061D06"/>
    <w:rsid w:val="000621CB"/>
    <w:rsid w:val="0006294B"/>
    <w:rsid w:val="00062CDD"/>
    <w:rsid w:val="00063FA5"/>
    <w:rsid w:val="00064078"/>
    <w:rsid w:val="000640AF"/>
    <w:rsid w:val="00064940"/>
    <w:rsid w:val="00064CAE"/>
    <w:rsid w:val="00064DB7"/>
    <w:rsid w:val="00064FA7"/>
    <w:rsid w:val="00065195"/>
    <w:rsid w:val="00065A8B"/>
    <w:rsid w:val="00067B6F"/>
    <w:rsid w:val="00070AF1"/>
    <w:rsid w:val="000712FD"/>
    <w:rsid w:val="00071417"/>
    <w:rsid w:val="0007147D"/>
    <w:rsid w:val="000714DE"/>
    <w:rsid w:val="00071982"/>
    <w:rsid w:val="00071C5C"/>
    <w:rsid w:val="0007254F"/>
    <w:rsid w:val="00072A7E"/>
    <w:rsid w:val="00073C30"/>
    <w:rsid w:val="00074305"/>
    <w:rsid w:val="00074B2A"/>
    <w:rsid w:val="00075870"/>
    <w:rsid w:val="00075B3E"/>
    <w:rsid w:val="00076456"/>
    <w:rsid w:val="00076604"/>
    <w:rsid w:val="00077554"/>
    <w:rsid w:val="0007779B"/>
    <w:rsid w:val="000777E7"/>
    <w:rsid w:val="0007790A"/>
    <w:rsid w:val="00077B8F"/>
    <w:rsid w:val="0008017B"/>
    <w:rsid w:val="00080287"/>
    <w:rsid w:val="00080ACD"/>
    <w:rsid w:val="000811ED"/>
    <w:rsid w:val="00081284"/>
    <w:rsid w:val="00081D62"/>
    <w:rsid w:val="000820A1"/>
    <w:rsid w:val="000820CE"/>
    <w:rsid w:val="00082B74"/>
    <w:rsid w:val="00083099"/>
    <w:rsid w:val="00083EDC"/>
    <w:rsid w:val="00083EE6"/>
    <w:rsid w:val="000841A2"/>
    <w:rsid w:val="000847C0"/>
    <w:rsid w:val="00084B97"/>
    <w:rsid w:val="00084C21"/>
    <w:rsid w:val="0008510E"/>
    <w:rsid w:val="000856DE"/>
    <w:rsid w:val="00085F17"/>
    <w:rsid w:val="00085FB3"/>
    <w:rsid w:val="0008686B"/>
    <w:rsid w:val="000868FC"/>
    <w:rsid w:val="00086B2A"/>
    <w:rsid w:val="00086ED2"/>
    <w:rsid w:val="000875FD"/>
    <w:rsid w:val="00087604"/>
    <w:rsid w:val="00087A95"/>
    <w:rsid w:val="000903F6"/>
    <w:rsid w:val="00091114"/>
    <w:rsid w:val="000914D6"/>
    <w:rsid w:val="00091569"/>
    <w:rsid w:val="00091897"/>
    <w:rsid w:val="000918E2"/>
    <w:rsid w:val="00092DCA"/>
    <w:rsid w:val="00093C51"/>
    <w:rsid w:val="000942EB"/>
    <w:rsid w:val="000953A2"/>
    <w:rsid w:val="00095B70"/>
    <w:rsid w:val="00095C0D"/>
    <w:rsid w:val="0009617E"/>
    <w:rsid w:val="00096489"/>
    <w:rsid w:val="000979CF"/>
    <w:rsid w:val="00097A00"/>
    <w:rsid w:val="000A03C8"/>
    <w:rsid w:val="000A05F2"/>
    <w:rsid w:val="000A06C4"/>
    <w:rsid w:val="000A0861"/>
    <w:rsid w:val="000A0ED1"/>
    <w:rsid w:val="000A12DB"/>
    <w:rsid w:val="000A17C8"/>
    <w:rsid w:val="000A1AEE"/>
    <w:rsid w:val="000A20D7"/>
    <w:rsid w:val="000A2128"/>
    <w:rsid w:val="000A2DB8"/>
    <w:rsid w:val="000A362F"/>
    <w:rsid w:val="000A3B49"/>
    <w:rsid w:val="000A41BA"/>
    <w:rsid w:val="000A446A"/>
    <w:rsid w:val="000A45B0"/>
    <w:rsid w:val="000A5AAF"/>
    <w:rsid w:val="000A5F97"/>
    <w:rsid w:val="000A648E"/>
    <w:rsid w:val="000A6CC4"/>
    <w:rsid w:val="000A6E35"/>
    <w:rsid w:val="000A73BB"/>
    <w:rsid w:val="000A7EF4"/>
    <w:rsid w:val="000B0A15"/>
    <w:rsid w:val="000B0DF3"/>
    <w:rsid w:val="000B103F"/>
    <w:rsid w:val="000B1437"/>
    <w:rsid w:val="000B1470"/>
    <w:rsid w:val="000B19E4"/>
    <w:rsid w:val="000B2B86"/>
    <w:rsid w:val="000B3051"/>
    <w:rsid w:val="000B419B"/>
    <w:rsid w:val="000B4716"/>
    <w:rsid w:val="000B56E7"/>
    <w:rsid w:val="000B5781"/>
    <w:rsid w:val="000B5891"/>
    <w:rsid w:val="000C0185"/>
    <w:rsid w:val="000C0444"/>
    <w:rsid w:val="000C0960"/>
    <w:rsid w:val="000C0F81"/>
    <w:rsid w:val="000C128D"/>
    <w:rsid w:val="000C17A3"/>
    <w:rsid w:val="000C1D4B"/>
    <w:rsid w:val="000C1E0D"/>
    <w:rsid w:val="000C2028"/>
    <w:rsid w:val="000C3260"/>
    <w:rsid w:val="000C3616"/>
    <w:rsid w:val="000C3803"/>
    <w:rsid w:val="000C3B77"/>
    <w:rsid w:val="000C3ED5"/>
    <w:rsid w:val="000C45E8"/>
    <w:rsid w:val="000C4F49"/>
    <w:rsid w:val="000C5861"/>
    <w:rsid w:val="000C639D"/>
    <w:rsid w:val="000C6462"/>
    <w:rsid w:val="000C6C31"/>
    <w:rsid w:val="000C6DBC"/>
    <w:rsid w:val="000C6F79"/>
    <w:rsid w:val="000C7211"/>
    <w:rsid w:val="000C7476"/>
    <w:rsid w:val="000C7711"/>
    <w:rsid w:val="000C7AA2"/>
    <w:rsid w:val="000D0462"/>
    <w:rsid w:val="000D053D"/>
    <w:rsid w:val="000D0CD9"/>
    <w:rsid w:val="000D0ED2"/>
    <w:rsid w:val="000D1CEB"/>
    <w:rsid w:val="000D215D"/>
    <w:rsid w:val="000D2563"/>
    <w:rsid w:val="000D25BF"/>
    <w:rsid w:val="000D3FDC"/>
    <w:rsid w:val="000D4E38"/>
    <w:rsid w:val="000D50DB"/>
    <w:rsid w:val="000D5ABA"/>
    <w:rsid w:val="000D6288"/>
    <w:rsid w:val="000D6516"/>
    <w:rsid w:val="000D65A4"/>
    <w:rsid w:val="000D6CAF"/>
    <w:rsid w:val="000D7541"/>
    <w:rsid w:val="000D75E1"/>
    <w:rsid w:val="000D776B"/>
    <w:rsid w:val="000D7E45"/>
    <w:rsid w:val="000E1323"/>
    <w:rsid w:val="000E22CF"/>
    <w:rsid w:val="000E2977"/>
    <w:rsid w:val="000E2B36"/>
    <w:rsid w:val="000E30AC"/>
    <w:rsid w:val="000E3B46"/>
    <w:rsid w:val="000E3C5A"/>
    <w:rsid w:val="000E3E11"/>
    <w:rsid w:val="000E44C8"/>
    <w:rsid w:val="000E4596"/>
    <w:rsid w:val="000E5768"/>
    <w:rsid w:val="000E5843"/>
    <w:rsid w:val="000E6139"/>
    <w:rsid w:val="000E6BE1"/>
    <w:rsid w:val="000E7E0B"/>
    <w:rsid w:val="000F078A"/>
    <w:rsid w:val="000F122D"/>
    <w:rsid w:val="000F1450"/>
    <w:rsid w:val="000F14E8"/>
    <w:rsid w:val="000F1BBD"/>
    <w:rsid w:val="000F2632"/>
    <w:rsid w:val="000F2739"/>
    <w:rsid w:val="000F3138"/>
    <w:rsid w:val="000F3259"/>
    <w:rsid w:val="000F3D39"/>
    <w:rsid w:val="000F4403"/>
    <w:rsid w:val="000F4C3F"/>
    <w:rsid w:val="000F4E17"/>
    <w:rsid w:val="000F53F8"/>
    <w:rsid w:val="000F6578"/>
    <w:rsid w:val="000F70CD"/>
    <w:rsid w:val="000F726B"/>
    <w:rsid w:val="000F79F9"/>
    <w:rsid w:val="000F7A5A"/>
    <w:rsid w:val="000F7ABD"/>
    <w:rsid w:val="000F7E8F"/>
    <w:rsid w:val="000F7FBB"/>
    <w:rsid w:val="001000FB"/>
    <w:rsid w:val="00100AF1"/>
    <w:rsid w:val="00102109"/>
    <w:rsid w:val="00102605"/>
    <w:rsid w:val="00102686"/>
    <w:rsid w:val="00102745"/>
    <w:rsid w:val="001032E3"/>
    <w:rsid w:val="00103361"/>
    <w:rsid w:val="00103855"/>
    <w:rsid w:val="00103915"/>
    <w:rsid w:val="00103EA0"/>
    <w:rsid w:val="00104F1C"/>
    <w:rsid w:val="001051E5"/>
    <w:rsid w:val="00105A74"/>
    <w:rsid w:val="00105ACB"/>
    <w:rsid w:val="00105AEF"/>
    <w:rsid w:val="00106259"/>
    <w:rsid w:val="001068EB"/>
    <w:rsid w:val="001078CE"/>
    <w:rsid w:val="0011020F"/>
    <w:rsid w:val="00110548"/>
    <w:rsid w:val="00110CEB"/>
    <w:rsid w:val="00110F61"/>
    <w:rsid w:val="001111BD"/>
    <w:rsid w:val="0011165A"/>
    <w:rsid w:val="00111B2B"/>
    <w:rsid w:val="00111ED9"/>
    <w:rsid w:val="00112609"/>
    <w:rsid w:val="00112774"/>
    <w:rsid w:val="001127AC"/>
    <w:rsid w:val="00112B2E"/>
    <w:rsid w:val="00113003"/>
    <w:rsid w:val="00113062"/>
    <w:rsid w:val="00113705"/>
    <w:rsid w:val="00113975"/>
    <w:rsid w:val="00113CFC"/>
    <w:rsid w:val="00113FEA"/>
    <w:rsid w:val="00114324"/>
    <w:rsid w:val="00114A22"/>
    <w:rsid w:val="00114BF5"/>
    <w:rsid w:val="00114E9D"/>
    <w:rsid w:val="0011507B"/>
    <w:rsid w:val="00115D13"/>
    <w:rsid w:val="00116328"/>
    <w:rsid w:val="001169FD"/>
    <w:rsid w:val="001174C9"/>
    <w:rsid w:val="00117C82"/>
    <w:rsid w:val="00117E69"/>
    <w:rsid w:val="00121103"/>
    <w:rsid w:val="0012156A"/>
    <w:rsid w:val="00121BAB"/>
    <w:rsid w:val="00121E3C"/>
    <w:rsid w:val="0012232E"/>
    <w:rsid w:val="00122B23"/>
    <w:rsid w:val="00122B7E"/>
    <w:rsid w:val="00123D64"/>
    <w:rsid w:val="00123FB5"/>
    <w:rsid w:val="0012400F"/>
    <w:rsid w:val="001246C9"/>
    <w:rsid w:val="001249DC"/>
    <w:rsid w:val="0012572D"/>
    <w:rsid w:val="00125BED"/>
    <w:rsid w:val="00125C59"/>
    <w:rsid w:val="00125D4F"/>
    <w:rsid w:val="00125FDE"/>
    <w:rsid w:val="00126F9A"/>
    <w:rsid w:val="00126F9B"/>
    <w:rsid w:val="00127004"/>
    <w:rsid w:val="00127AF2"/>
    <w:rsid w:val="00127EDC"/>
    <w:rsid w:val="00127F6D"/>
    <w:rsid w:val="00130355"/>
    <w:rsid w:val="00131A8C"/>
    <w:rsid w:val="00131B5A"/>
    <w:rsid w:val="00132C30"/>
    <w:rsid w:val="00132EFD"/>
    <w:rsid w:val="00133AED"/>
    <w:rsid w:val="001341DD"/>
    <w:rsid w:val="00134FF9"/>
    <w:rsid w:val="001352AA"/>
    <w:rsid w:val="00135451"/>
    <w:rsid w:val="00135E88"/>
    <w:rsid w:val="0013695C"/>
    <w:rsid w:val="00136BF7"/>
    <w:rsid w:val="001378B9"/>
    <w:rsid w:val="00137FD1"/>
    <w:rsid w:val="00137FFA"/>
    <w:rsid w:val="00140109"/>
    <w:rsid w:val="0014029B"/>
    <w:rsid w:val="001403E0"/>
    <w:rsid w:val="00140A4F"/>
    <w:rsid w:val="001413AB"/>
    <w:rsid w:val="00141DBC"/>
    <w:rsid w:val="001425E4"/>
    <w:rsid w:val="001432AF"/>
    <w:rsid w:val="00144335"/>
    <w:rsid w:val="0014502F"/>
    <w:rsid w:val="00145282"/>
    <w:rsid w:val="001453B0"/>
    <w:rsid w:val="001454D9"/>
    <w:rsid w:val="00145D8E"/>
    <w:rsid w:val="00146083"/>
    <w:rsid w:val="001462F7"/>
    <w:rsid w:val="001466F0"/>
    <w:rsid w:val="001476D3"/>
    <w:rsid w:val="00147798"/>
    <w:rsid w:val="00150005"/>
    <w:rsid w:val="00150F55"/>
    <w:rsid w:val="00151B99"/>
    <w:rsid w:val="00151CB7"/>
    <w:rsid w:val="001521B2"/>
    <w:rsid w:val="00152288"/>
    <w:rsid w:val="001526F3"/>
    <w:rsid w:val="00152EDD"/>
    <w:rsid w:val="00153491"/>
    <w:rsid w:val="0015361C"/>
    <w:rsid w:val="0015372F"/>
    <w:rsid w:val="00153A18"/>
    <w:rsid w:val="00153BFB"/>
    <w:rsid w:val="0015407E"/>
    <w:rsid w:val="0015448E"/>
    <w:rsid w:val="00154690"/>
    <w:rsid w:val="00154A6F"/>
    <w:rsid w:val="00154DC3"/>
    <w:rsid w:val="0015591B"/>
    <w:rsid w:val="00155D08"/>
    <w:rsid w:val="00156BE5"/>
    <w:rsid w:val="00157232"/>
    <w:rsid w:val="00160401"/>
    <w:rsid w:val="00160D4E"/>
    <w:rsid w:val="00161E62"/>
    <w:rsid w:val="00161F1C"/>
    <w:rsid w:val="0016200B"/>
    <w:rsid w:val="0016226D"/>
    <w:rsid w:val="00163CD0"/>
    <w:rsid w:val="00163D7A"/>
    <w:rsid w:val="00164281"/>
    <w:rsid w:val="00164AF1"/>
    <w:rsid w:val="001654DF"/>
    <w:rsid w:val="00165ED5"/>
    <w:rsid w:val="001668A7"/>
    <w:rsid w:val="00167503"/>
    <w:rsid w:val="001676A9"/>
    <w:rsid w:val="00167A15"/>
    <w:rsid w:val="00167A43"/>
    <w:rsid w:val="00167A50"/>
    <w:rsid w:val="00167D12"/>
    <w:rsid w:val="00167DF5"/>
    <w:rsid w:val="00170001"/>
    <w:rsid w:val="0017043A"/>
    <w:rsid w:val="0017145A"/>
    <w:rsid w:val="00172198"/>
    <w:rsid w:val="001723DA"/>
    <w:rsid w:val="00172612"/>
    <w:rsid w:val="00172817"/>
    <w:rsid w:val="001734E3"/>
    <w:rsid w:val="0017350E"/>
    <w:rsid w:val="0017391B"/>
    <w:rsid w:val="001742BF"/>
    <w:rsid w:val="001749DF"/>
    <w:rsid w:val="0017593F"/>
    <w:rsid w:val="00175E49"/>
    <w:rsid w:val="00176470"/>
    <w:rsid w:val="0017659F"/>
    <w:rsid w:val="00177076"/>
    <w:rsid w:val="001805C1"/>
    <w:rsid w:val="00180A2E"/>
    <w:rsid w:val="001813AF"/>
    <w:rsid w:val="001829CD"/>
    <w:rsid w:val="00182F01"/>
    <w:rsid w:val="00182FBD"/>
    <w:rsid w:val="0018499F"/>
    <w:rsid w:val="00184F27"/>
    <w:rsid w:val="0018519B"/>
    <w:rsid w:val="001852C1"/>
    <w:rsid w:val="00185AFE"/>
    <w:rsid w:val="00185E78"/>
    <w:rsid w:val="00187177"/>
    <w:rsid w:val="00187443"/>
    <w:rsid w:val="00187A32"/>
    <w:rsid w:val="00187ABD"/>
    <w:rsid w:val="00187AC0"/>
    <w:rsid w:val="001904E3"/>
    <w:rsid w:val="0019087A"/>
    <w:rsid w:val="00191395"/>
    <w:rsid w:val="00191C5A"/>
    <w:rsid w:val="00191CEB"/>
    <w:rsid w:val="00191E63"/>
    <w:rsid w:val="00192D68"/>
    <w:rsid w:val="0019388B"/>
    <w:rsid w:val="00193B52"/>
    <w:rsid w:val="00193B9A"/>
    <w:rsid w:val="001943BA"/>
    <w:rsid w:val="001946AE"/>
    <w:rsid w:val="001946D5"/>
    <w:rsid w:val="00194E8C"/>
    <w:rsid w:val="00195B71"/>
    <w:rsid w:val="001962EC"/>
    <w:rsid w:val="001963DD"/>
    <w:rsid w:val="001965DB"/>
    <w:rsid w:val="00196DC9"/>
    <w:rsid w:val="0019734E"/>
    <w:rsid w:val="001A0236"/>
    <w:rsid w:val="001A08E1"/>
    <w:rsid w:val="001A0AF8"/>
    <w:rsid w:val="001A16A5"/>
    <w:rsid w:val="001A18D5"/>
    <w:rsid w:val="001A1D4A"/>
    <w:rsid w:val="001A2426"/>
    <w:rsid w:val="001A2ADC"/>
    <w:rsid w:val="001A2D40"/>
    <w:rsid w:val="001A3011"/>
    <w:rsid w:val="001A325B"/>
    <w:rsid w:val="001A368A"/>
    <w:rsid w:val="001A4A08"/>
    <w:rsid w:val="001A4DAF"/>
    <w:rsid w:val="001A54FD"/>
    <w:rsid w:val="001A59FB"/>
    <w:rsid w:val="001A66DF"/>
    <w:rsid w:val="001A67D0"/>
    <w:rsid w:val="001A6BF1"/>
    <w:rsid w:val="001A6C2B"/>
    <w:rsid w:val="001A7591"/>
    <w:rsid w:val="001A75B1"/>
    <w:rsid w:val="001A7ADF"/>
    <w:rsid w:val="001B0366"/>
    <w:rsid w:val="001B0444"/>
    <w:rsid w:val="001B096B"/>
    <w:rsid w:val="001B0F9F"/>
    <w:rsid w:val="001B123C"/>
    <w:rsid w:val="001B1A0D"/>
    <w:rsid w:val="001B1BF1"/>
    <w:rsid w:val="001B2456"/>
    <w:rsid w:val="001B449C"/>
    <w:rsid w:val="001B4AA2"/>
    <w:rsid w:val="001B4ADE"/>
    <w:rsid w:val="001B5C86"/>
    <w:rsid w:val="001B5EF8"/>
    <w:rsid w:val="001B622B"/>
    <w:rsid w:val="001B6973"/>
    <w:rsid w:val="001B69FF"/>
    <w:rsid w:val="001B7679"/>
    <w:rsid w:val="001C07C6"/>
    <w:rsid w:val="001C08B2"/>
    <w:rsid w:val="001C19CD"/>
    <w:rsid w:val="001C1F3C"/>
    <w:rsid w:val="001C22D5"/>
    <w:rsid w:val="001C2515"/>
    <w:rsid w:val="001C2550"/>
    <w:rsid w:val="001C26FB"/>
    <w:rsid w:val="001C33C1"/>
    <w:rsid w:val="001C3E30"/>
    <w:rsid w:val="001C3E5C"/>
    <w:rsid w:val="001C424B"/>
    <w:rsid w:val="001C4D2A"/>
    <w:rsid w:val="001C5072"/>
    <w:rsid w:val="001C5B2A"/>
    <w:rsid w:val="001C600B"/>
    <w:rsid w:val="001C6407"/>
    <w:rsid w:val="001C6898"/>
    <w:rsid w:val="001C6DD8"/>
    <w:rsid w:val="001C7C7B"/>
    <w:rsid w:val="001D068D"/>
    <w:rsid w:val="001D0A71"/>
    <w:rsid w:val="001D12D1"/>
    <w:rsid w:val="001D15DF"/>
    <w:rsid w:val="001D2970"/>
    <w:rsid w:val="001D2F4A"/>
    <w:rsid w:val="001D30F3"/>
    <w:rsid w:val="001D31A0"/>
    <w:rsid w:val="001D338E"/>
    <w:rsid w:val="001D3D3F"/>
    <w:rsid w:val="001D4141"/>
    <w:rsid w:val="001D4E70"/>
    <w:rsid w:val="001D56E9"/>
    <w:rsid w:val="001D57F0"/>
    <w:rsid w:val="001D7905"/>
    <w:rsid w:val="001D7923"/>
    <w:rsid w:val="001D796A"/>
    <w:rsid w:val="001D7A84"/>
    <w:rsid w:val="001D7C79"/>
    <w:rsid w:val="001E0E15"/>
    <w:rsid w:val="001E0EFD"/>
    <w:rsid w:val="001E15F0"/>
    <w:rsid w:val="001E1CC4"/>
    <w:rsid w:val="001E1D38"/>
    <w:rsid w:val="001E1DEE"/>
    <w:rsid w:val="001E250D"/>
    <w:rsid w:val="001E4207"/>
    <w:rsid w:val="001E4258"/>
    <w:rsid w:val="001E44F0"/>
    <w:rsid w:val="001E455B"/>
    <w:rsid w:val="001E4587"/>
    <w:rsid w:val="001E56FF"/>
    <w:rsid w:val="001E5A69"/>
    <w:rsid w:val="001E5B84"/>
    <w:rsid w:val="001E5D6A"/>
    <w:rsid w:val="001E70FB"/>
    <w:rsid w:val="001E780A"/>
    <w:rsid w:val="001F0372"/>
    <w:rsid w:val="001F039A"/>
    <w:rsid w:val="001F07D6"/>
    <w:rsid w:val="001F0FA0"/>
    <w:rsid w:val="001F1349"/>
    <w:rsid w:val="001F1863"/>
    <w:rsid w:val="001F190A"/>
    <w:rsid w:val="001F232D"/>
    <w:rsid w:val="001F2356"/>
    <w:rsid w:val="001F267C"/>
    <w:rsid w:val="001F2A68"/>
    <w:rsid w:val="001F39EA"/>
    <w:rsid w:val="001F4773"/>
    <w:rsid w:val="001F5008"/>
    <w:rsid w:val="001F512D"/>
    <w:rsid w:val="001F56AA"/>
    <w:rsid w:val="001F58AA"/>
    <w:rsid w:val="001F5EF6"/>
    <w:rsid w:val="001F657F"/>
    <w:rsid w:val="001F6FB6"/>
    <w:rsid w:val="001F7978"/>
    <w:rsid w:val="001F7A0E"/>
    <w:rsid w:val="0020022E"/>
    <w:rsid w:val="0020054E"/>
    <w:rsid w:val="00200B51"/>
    <w:rsid w:val="002014EF"/>
    <w:rsid w:val="00201962"/>
    <w:rsid w:val="00201F1E"/>
    <w:rsid w:val="0020299B"/>
    <w:rsid w:val="00202E44"/>
    <w:rsid w:val="002037AA"/>
    <w:rsid w:val="00203FE3"/>
    <w:rsid w:val="002042D8"/>
    <w:rsid w:val="00204515"/>
    <w:rsid w:val="00204BF5"/>
    <w:rsid w:val="00204D82"/>
    <w:rsid w:val="00204D91"/>
    <w:rsid w:val="00204E6B"/>
    <w:rsid w:val="002058D4"/>
    <w:rsid w:val="002058DC"/>
    <w:rsid w:val="00205BAA"/>
    <w:rsid w:val="0020632A"/>
    <w:rsid w:val="0020697F"/>
    <w:rsid w:val="0020785A"/>
    <w:rsid w:val="002079CB"/>
    <w:rsid w:val="00207C1E"/>
    <w:rsid w:val="002110EB"/>
    <w:rsid w:val="00211338"/>
    <w:rsid w:val="00211388"/>
    <w:rsid w:val="0021148C"/>
    <w:rsid w:val="00211694"/>
    <w:rsid w:val="0021201A"/>
    <w:rsid w:val="00212A83"/>
    <w:rsid w:val="00213A1F"/>
    <w:rsid w:val="00213C63"/>
    <w:rsid w:val="00214502"/>
    <w:rsid w:val="00214741"/>
    <w:rsid w:val="002149F8"/>
    <w:rsid w:val="0021539A"/>
    <w:rsid w:val="00215793"/>
    <w:rsid w:val="00215852"/>
    <w:rsid w:val="00215B8E"/>
    <w:rsid w:val="00215BE9"/>
    <w:rsid w:val="00216264"/>
    <w:rsid w:val="002168B8"/>
    <w:rsid w:val="002176B6"/>
    <w:rsid w:val="0021792D"/>
    <w:rsid w:val="00217DB8"/>
    <w:rsid w:val="0022032A"/>
    <w:rsid w:val="002221CE"/>
    <w:rsid w:val="00222BE8"/>
    <w:rsid w:val="00223102"/>
    <w:rsid w:val="002232CB"/>
    <w:rsid w:val="002233EA"/>
    <w:rsid w:val="00224022"/>
    <w:rsid w:val="00224626"/>
    <w:rsid w:val="00224D93"/>
    <w:rsid w:val="00226055"/>
    <w:rsid w:val="0022613F"/>
    <w:rsid w:val="00226236"/>
    <w:rsid w:val="00226DF9"/>
    <w:rsid w:val="002270C9"/>
    <w:rsid w:val="00227A8B"/>
    <w:rsid w:val="002305F6"/>
    <w:rsid w:val="002308BA"/>
    <w:rsid w:val="0023146B"/>
    <w:rsid w:val="00231540"/>
    <w:rsid w:val="002315A0"/>
    <w:rsid w:val="00231CE0"/>
    <w:rsid w:val="00231EC7"/>
    <w:rsid w:val="002321E0"/>
    <w:rsid w:val="00232A6C"/>
    <w:rsid w:val="00232A82"/>
    <w:rsid w:val="00232E15"/>
    <w:rsid w:val="00233079"/>
    <w:rsid w:val="0023382C"/>
    <w:rsid w:val="00233977"/>
    <w:rsid w:val="00233C58"/>
    <w:rsid w:val="00233C71"/>
    <w:rsid w:val="00233D9C"/>
    <w:rsid w:val="002345B6"/>
    <w:rsid w:val="00234B84"/>
    <w:rsid w:val="002354ED"/>
    <w:rsid w:val="00236016"/>
    <w:rsid w:val="00236B18"/>
    <w:rsid w:val="00236E24"/>
    <w:rsid w:val="00237065"/>
    <w:rsid w:val="00237492"/>
    <w:rsid w:val="00237589"/>
    <w:rsid w:val="0023758D"/>
    <w:rsid w:val="002375A7"/>
    <w:rsid w:val="0024019A"/>
    <w:rsid w:val="002411DE"/>
    <w:rsid w:val="0024131D"/>
    <w:rsid w:val="002413B5"/>
    <w:rsid w:val="002415B8"/>
    <w:rsid w:val="00241618"/>
    <w:rsid w:val="00241ACD"/>
    <w:rsid w:val="00242D62"/>
    <w:rsid w:val="002431D7"/>
    <w:rsid w:val="00243257"/>
    <w:rsid w:val="00243434"/>
    <w:rsid w:val="00244058"/>
    <w:rsid w:val="00244E90"/>
    <w:rsid w:val="00244F9A"/>
    <w:rsid w:val="00245718"/>
    <w:rsid w:val="00245E07"/>
    <w:rsid w:val="00246CD4"/>
    <w:rsid w:val="0024729C"/>
    <w:rsid w:val="002473B8"/>
    <w:rsid w:val="00247712"/>
    <w:rsid w:val="00247780"/>
    <w:rsid w:val="00250D54"/>
    <w:rsid w:val="00250EC6"/>
    <w:rsid w:val="00250F11"/>
    <w:rsid w:val="00251866"/>
    <w:rsid w:val="00251A9F"/>
    <w:rsid w:val="00252492"/>
    <w:rsid w:val="00252B35"/>
    <w:rsid w:val="0025316D"/>
    <w:rsid w:val="002532F4"/>
    <w:rsid w:val="00253A02"/>
    <w:rsid w:val="00253B81"/>
    <w:rsid w:val="0025431A"/>
    <w:rsid w:val="002554DE"/>
    <w:rsid w:val="00255E11"/>
    <w:rsid w:val="00256635"/>
    <w:rsid w:val="00256835"/>
    <w:rsid w:val="002569F0"/>
    <w:rsid w:val="00256A62"/>
    <w:rsid w:val="00256ECF"/>
    <w:rsid w:val="00257730"/>
    <w:rsid w:val="00257999"/>
    <w:rsid w:val="002604AA"/>
    <w:rsid w:val="0026129B"/>
    <w:rsid w:val="00261560"/>
    <w:rsid w:val="00261715"/>
    <w:rsid w:val="00261CF9"/>
    <w:rsid w:val="00261EC0"/>
    <w:rsid w:val="0026231B"/>
    <w:rsid w:val="00262422"/>
    <w:rsid w:val="00263101"/>
    <w:rsid w:val="00263201"/>
    <w:rsid w:val="00263A37"/>
    <w:rsid w:val="002653A6"/>
    <w:rsid w:val="0026608D"/>
    <w:rsid w:val="002661F1"/>
    <w:rsid w:val="002663BA"/>
    <w:rsid w:val="002664B7"/>
    <w:rsid w:val="00266CB5"/>
    <w:rsid w:val="002711A4"/>
    <w:rsid w:val="00271201"/>
    <w:rsid w:val="00271F13"/>
    <w:rsid w:val="002721E2"/>
    <w:rsid w:val="00274787"/>
    <w:rsid w:val="002748D9"/>
    <w:rsid w:val="00274DB5"/>
    <w:rsid w:val="002753FD"/>
    <w:rsid w:val="00275BB1"/>
    <w:rsid w:val="00275FBF"/>
    <w:rsid w:val="00276373"/>
    <w:rsid w:val="0027783B"/>
    <w:rsid w:val="00277933"/>
    <w:rsid w:val="00277EC3"/>
    <w:rsid w:val="00277F13"/>
    <w:rsid w:val="00277F8D"/>
    <w:rsid w:val="00277FA7"/>
    <w:rsid w:val="00280F3D"/>
    <w:rsid w:val="0028106A"/>
    <w:rsid w:val="00281662"/>
    <w:rsid w:val="00281EB4"/>
    <w:rsid w:val="002823FE"/>
    <w:rsid w:val="00282BCD"/>
    <w:rsid w:val="0028308E"/>
    <w:rsid w:val="002834E9"/>
    <w:rsid w:val="0028396F"/>
    <w:rsid w:val="00283A52"/>
    <w:rsid w:val="00283C5E"/>
    <w:rsid w:val="00283E26"/>
    <w:rsid w:val="00283EF2"/>
    <w:rsid w:val="00284007"/>
    <w:rsid w:val="0028428F"/>
    <w:rsid w:val="00284CFC"/>
    <w:rsid w:val="00285832"/>
    <w:rsid w:val="00285969"/>
    <w:rsid w:val="0028663B"/>
    <w:rsid w:val="00286CEC"/>
    <w:rsid w:val="002871A9"/>
    <w:rsid w:val="002873A0"/>
    <w:rsid w:val="00287B7E"/>
    <w:rsid w:val="00290781"/>
    <w:rsid w:val="00291784"/>
    <w:rsid w:val="002929BB"/>
    <w:rsid w:val="00292E53"/>
    <w:rsid w:val="00292E64"/>
    <w:rsid w:val="002932BA"/>
    <w:rsid w:val="002934B9"/>
    <w:rsid w:val="00293669"/>
    <w:rsid w:val="00294368"/>
    <w:rsid w:val="00294B78"/>
    <w:rsid w:val="0029580A"/>
    <w:rsid w:val="00295949"/>
    <w:rsid w:val="00296150"/>
    <w:rsid w:val="0029624A"/>
    <w:rsid w:val="00296922"/>
    <w:rsid w:val="00297098"/>
    <w:rsid w:val="0029770B"/>
    <w:rsid w:val="002A05D4"/>
    <w:rsid w:val="002A075F"/>
    <w:rsid w:val="002A09FF"/>
    <w:rsid w:val="002A0E60"/>
    <w:rsid w:val="002A15C5"/>
    <w:rsid w:val="002A1A58"/>
    <w:rsid w:val="002A1B02"/>
    <w:rsid w:val="002A1C53"/>
    <w:rsid w:val="002A28FC"/>
    <w:rsid w:val="002A2B44"/>
    <w:rsid w:val="002A2EA5"/>
    <w:rsid w:val="002A39C3"/>
    <w:rsid w:val="002A3D94"/>
    <w:rsid w:val="002A4736"/>
    <w:rsid w:val="002A4B1C"/>
    <w:rsid w:val="002A4BDD"/>
    <w:rsid w:val="002A4CC8"/>
    <w:rsid w:val="002A6AFB"/>
    <w:rsid w:val="002A733D"/>
    <w:rsid w:val="002A774A"/>
    <w:rsid w:val="002A7E5C"/>
    <w:rsid w:val="002A7F6D"/>
    <w:rsid w:val="002A7FC5"/>
    <w:rsid w:val="002B020D"/>
    <w:rsid w:val="002B1342"/>
    <w:rsid w:val="002B27C8"/>
    <w:rsid w:val="002B2A7F"/>
    <w:rsid w:val="002B330B"/>
    <w:rsid w:val="002B35DF"/>
    <w:rsid w:val="002B39BE"/>
    <w:rsid w:val="002B438C"/>
    <w:rsid w:val="002B48DB"/>
    <w:rsid w:val="002B4B34"/>
    <w:rsid w:val="002B4FEC"/>
    <w:rsid w:val="002B508E"/>
    <w:rsid w:val="002B541A"/>
    <w:rsid w:val="002B59AB"/>
    <w:rsid w:val="002B6407"/>
    <w:rsid w:val="002B6416"/>
    <w:rsid w:val="002B6459"/>
    <w:rsid w:val="002B64D2"/>
    <w:rsid w:val="002B73B0"/>
    <w:rsid w:val="002C1143"/>
    <w:rsid w:val="002C226B"/>
    <w:rsid w:val="002C24B4"/>
    <w:rsid w:val="002C2B3A"/>
    <w:rsid w:val="002C2B87"/>
    <w:rsid w:val="002C3CF4"/>
    <w:rsid w:val="002C40BA"/>
    <w:rsid w:val="002C441A"/>
    <w:rsid w:val="002C4A73"/>
    <w:rsid w:val="002C4B84"/>
    <w:rsid w:val="002C4C0C"/>
    <w:rsid w:val="002C5016"/>
    <w:rsid w:val="002C5186"/>
    <w:rsid w:val="002C5C2F"/>
    <w:rsid w:val="002C5D0F"/>
    <w:rsid w:val="002C5E87"/>
    <w:rsid w:val="002C60B9"/>
    <w:rsid w:val="002C6F77"/>
    <w:rsid w:val="002C704D"/>
    <w:rsid w:val="002C711C"/>
    <w:rsid w:val="002C7766"/>
    <w:rsid w:val="002C7C24"/>
    <w:rsid w:val="002D05FD"/>
    <w:rsid w:val="002D0845"/>
    <w:rsid w:val="002D0933"/>
    <w:rsid w:val="002D19BB"/>
    <w:rsid w:val="002D1A9B"/>
    <w:rsid w:val="002D22C5"/>
    <w:rsid w:val="002D2407"/>
    <w:rsid w:val="002D301F"/>
    <w:rsid w:val="002D302A"/>
    <w:rsid w:val="002D36C6"/>
    <w:rsid w:val="002D37C1"/>
    <w:rsid w:val="002D4156"/>
    <w:rsid w:val="002D444B"/>
    <w:rsid w:val="002D4A45"/>
    <w:rsid w:val="002D4A73"/>
    <w:rsid w:val="002D4AB1"/>
    <w:rsid w:val="002D4B42"/>
    <w:rsid w:val="002D4DBA"/>
    <w:rsid w:val="002D4F5F"/>
    <w:rsid w:val="002D5A1B"/>
    <w:rsid w:val="002D5DF5"/>
    <w:rsid w:val="002D61DC"/>
    <w:rsid w:val="002D65BC"/>
    <w:rsid w:val="002D6D7E"/>
    <w:rsid w:val="002D780B"/>
    <w:rsid w:val="002D7EDD"/>
    <w:rsid w:val="002E0494"/>
    <w:rsid w:val="002E055C"/>
    <w:rsid w:val="002E0A6C"/>
    <w:rsid w:val="002E1050"/>
    <w:rsid w:val="002E18E5"/>
    <w:rsid w:val="002E1953"/>
    <w:rsid w:val="002E268C"/>
    <w:rsid w:val="002E29A0"/>
    <w:rsid w:val="002E2D7D"/>
    <w:rsid w:val="002E3AB5"/>
    <w:rsid w:val="002E3D76"/>
    <w:rsid w:val="002E3F87"/>
    <w:rsid w:val="002E40A1"/>
    <w:rsid w:val="002E48EC"/>
    <w:rsid w:val="002E4B44"/>
    <w:rsid w:val="002E4ECB"/>
    <w:rsid w:val="002E4F23"/>
    <w:rsid w:val="002E5B53"/>
    <w:rsid w:val="002E5D05"/>
    <w:rsid w:val="002E6E80"/>
    <w:rsid w:val="002E7847"/>
    <w:rsid w:val="002E7FCF"/>
    <w:rsid w:val="002F0073"/>
    <w:rsid w:val="002F0544"/>
    <w:rsid w:val="002F0618"/>
    <w:rsid w:val="002F0643"/>
    <w:rsid w:val="002F0795"/>
    <w:rsid w:val="002F170E"/>
    <w:rsid w:val="002F1D41"/>
    <w:rsid w:val="002F240B"/>
    <w:rsid w:val="002F2F50"/>
    <w:rsid w:val="002F3601"/>
    <w:rsid w:val="002F3C13"/>
    <w:rsid w:val="002F45F6"/>
    <w:rsid w:val="002F692F"/>
    <w:rsid w:val="002F6986"/>
    <w:rsid w:val="002F69A0"/>
    <w:rsid w:val="002F69BE"/>
    <w:rsid w:val="002F7B66"/>
    <w:rsid w:val="00300CB4"/>
    <w:rsid w:val="00300E24"/>
    <w:rsid w:val="0030101C"/>
    <w:rsid w:val="003033BA"/>
    <w:rsid w:val="003043A3"/>
    <w:rsid w:val="00304BD4"/>
    <w:rsid w:val="00304EE4"/>
    <w:rsid w:val="0030500A"/>
    <w:rsid w:val="0030517B"/>
    <w:rsid w:val="003052EB"/>
    <w:rsid w:val="00305E10"/>
    <w:rsid w:val="00305FCB"/>
    <w:rsid w:val="0030600C"/>
    <w:rsid w:val="003063C3"/>
    <w:rsid w:val="003068A3"/>
    <w:rsid w:val="00306B44"/>
    <w:rsid w:val="00306E41"/>
    <w:rsid w:val="003075B4"/>
    <w:rsid w:val="00307C44"/>
    <w:rsid w:val="00310074"/>
    <w:rsid w:val="0031088E"/>
    <w:rsid w:val="00310A35"/>
    <w:rsid w:val="00310B04"/>
    <w:rsid w:val="00310CAF"/>
    <w:rsid w:val="00310D01"/>
    <w:rsid w:val="00311376"/>
    <w:rsid w:val="00311551"/>
    <w:rsid w:val="00311A1F"/>
    <w:rsid w:val="00311B47"/>
    <w:rsid w:val="00311D52"/>
    <w:rsid w:val="00312190"/>
    <w:rsid w:val="00312343"/>
    <w:rsid w:val="003125E0"/>
    <w:rsid w:val="00312606"/>
    <w:rsid w:val="0031271D"/>
    <w:rsid w:val="00313447"/>
    <w:rsid w:val="00313748"/>
    <w:rsid w:val="00313EA3"/>
    <w:rsid w:val="003150C6"/>
    <w:rsid w:val="00315457"/>
    <w:rsid w:val="00315AA6"/>
    <w:rsid w:val="003161A4"/>
    <w:rsid w:val="00316955"/>
    <w:rsid w:val="00316E52"/>
    <w:rsid w:val="00316FC7"/>
    <w:rsid w:val="0031720A"/>
    <w:rsid w:val="003173CF"/>
    <w:rsid w:val="0031749B"/>
    <w:rsid w:val="003174E5"/>
    <w:rsid w:val="00317C9D"/>
    <w:rsid w:val="00317CD2"/>
    <w:rsid w:val="00317D99"/>
    <w:rsid w:val="0032078D"/>
    <w:rsid w:val="00320A6E"/>
    <w:rsid w:val="00320F34"/>
    <w:rsid w:val="0032137B"/>
    <w:rsid w:val="003214F7"/>
    <w:rsid w:val="00321BD6"/>
    <w:rsid w:val="00321F66"/>
    <w:rsid w:val="00321FA3"/>
    <w:rsid w:val="003227D3"/>
    <w:rsid w:val="00322937"/>
    <w:rsid w:val="00322A46"/>
    <w:rsid w:val="00322A84"/>
    <w:rsid w:val="003231D0"/>
    <w:rsid w:val="00323881"/>
    <w:rsid w:val="00323B73"/>
    <w:rsid w:val="00324006"/>
    <w:rsid w:val="00324650"/>
    <w:rsid w:val="00325D98"/>
    <w:rsid w:val="0032664F"/>
    <w:rsid w:val="0032682A"/>
    <w:rsid w:val="00327A5C"/>
    <w:rsid w:val="0033092C"/>
    <w:rsid w:val="0033122A"/>
    <w:rsid w:val="003315AC"/>
    <w:rsid w:val="00331932"/>
    <w:rsid w:val="00333A88"/>
    <w:rsid w:val="00333DAF"/>
    <w:rsid w:val="00333F6C"/>
    <w:rsid w:val="00333FFB"/>
    <w:rsid w:val="00334104"/>
    <w:rsid w:val="00335B15"/>
    <w:rsid w:val="00335B21"/>
    <w:rsid w:val="00335D3F"/>
    <w:rsid w:val="00336104"/>
    <w:rsid w:val="00336729"/>
    <w:rsid w:val="003367CC"/>
    <w:rsid w:val="00336AB1"/>
    <w:rsid w:val="0033726D"/>
    <w:rsid w:val="00337362"/>
    <w:rsid w:val="00337CA8"/>
    <w:rsid w:val="00340854"/>
    <w:rsid w:val="0034125B"/>
    <w:rsid w:val="0034177C"/>
    <w:rsid w:val="00341A53"/>
    <w:rsid w:val="00342345"/>
    <w:rsid w:val="00342C27"/>
    <w:rsid w:val="003430C8"/>
    <w:rsid w:val="003432C8"/>
    <w:rsid w:val="003433BB"/>
    <w:rsid w:val="003434B3"/>
    <w:rsid w:val="00343536"/>
    <w:rsid w:val="00343EFB"/>
    <w:rsid w:val="003443DF"/>
    <w:rsid w:val="00344760"/>
    <w:rsid w:val="00344A64"/>
    <w:rsid w:val="0034680A"/>
    <w:rsid w:val="00346C62"/>
    <w:rsid w:val="003474F7"/>
    <w:rsid w:val="0034778E"/>
    <w:rsid w:val="003501E2"/>
    <w:rsid w:val="00350A59"/>
    <w:rsid w:val="00351E10"/>
    <w:rsid w:val="0035273A"/>
    <w:rsid w:val="00352D59"/>
    <w:rsid w:val="003533F4"/>
    <w:rsid w:val="003536F6"/>
    <w:rsid w:val="00353DD5"/>
    <w:rsid w:val="0035496B"/>
    <w:rsid w:val="003549CD"/>
    <w:rsid w:val="00354E96"/>
    <w:rsid w:val="00355131"/>
    <w:rsid w:val="00356438"/>
    <w:rsid w:val="00361A04"/>
    <w:rsid w:val="00361A59"/>
    <w:rsid w:val="003631CC"/>
    <w:rsid w:val="00363348"/>
    <w:rsid w:val="00363857"/>
    <w:rsid w:val="00363D59"/>
    <w:rsid w:val="003640F7"/>
    <w:rsid w:val="00364300"/>
    <w:rsid w:val="00365D3A"/>
    <w:rsid w:val="00365ED1"/>
    <w:rsid w:val="003661DD"/>
    <w:rsid w:val="003664FF"/>
    <w:rsid w:val="00366B70"/>
    <w:rsid w:val="00366BD2"/>
    <w:rsid w:val="003670B8"/>
    <w:rsid w:val="0036776E"/>
    <w:rsid w:val="003704A3"/>
    <w:rsid w:val="003706F2"/>
    <w:rsid w:val="0037124F"/>
    <w:rsid w:val="00371CB5"/>
    <w:rsid w:val="00372C0A"/>
    <w:rsid w:val="00373827"/>
    <w:rsid w:val="00373F04"/>
    <w:rsid w:val="0037401C"/>
    <w:rsid w:val="00374A1E"/>
    <w:rsid w:val="00374A64"/>
    <w:rsid w:val="0037507B"/>
    <w:rsid w:val="00375C7C"/>
    <w:rsid w:val="003762F6"/>
    <w:rsid w:val="00377027"/>
    <w:rsid w:val="00377135"/>
    <w:rsid w:val="0037751F"/>
    <w:rsid w:val="003777E7"/>
    <w:rsid w:val="0038006E"/>
    <w:rsid w:val="00380272"/>
    <w:rsid w:val="00380576"/>
    <w:rsid w:val="003805DB"/>
    <w:rsid w:val="003813F4"/>
    <w:rsid w:val="0038152A"/>
    <w:rsid w:val="00382AEF"/>
    <w:rsid w:val="00382BAD"/>
    <w:rsid w:val="003830E3"/>
    <w:rsid w:val="00383A8D"/>
    <w:rsid w:val="00383FF1"/>
    <w:rsid w:val="00384466"/>
    <w:rsid w:val="00384DF1"/>
    <w:rsid w:val="00384FF3"/>
    <w:rsid w:val="00385131"/>
    <w:rsid w:val="00386456"/>
    <w:rsid w:val="003865A9"/>
    <w:rsid w:val="00387642"/>
    <w:rsid w:val="00390BD6"/>
    <w:rsid w:val="00390F32"/>
    <w:rsid w:val="0039135E"/>
    <w:rsid w:val="0039200F"/>
    <w:rsid w:val="003926C1"/>
    <w:rsid w:val="0039319C"/>
    <w:rsid w:val="00393CAE"/>
    <w:rsid w:val="00393E4C"/>
    <w:rsid w:val="003945DC"/>
    <w:rsid w:val="003945F4"/>
    <w:rsid w:val="00394EB5"/>
    <w:rsid w:val="003952C5"/>
    <w:rsid w:val="003953B4"/>
    <w:rsid w:val="0039615F"/>
    <w:rsid w:val="00396A29"/>
    <w:rsid w:val="00397E1D"/>
    <w:rsid w:val="00397FF0"/>
    <w:rsid w:val="003A0878"/>
    <w:rsid w:val="003A1561"/>
    <w:rsid w:val="003A1D25"/>
    <w:rsid w:val="003A22A2"/>
    <w:rsid w:val="003A2447"/>
    <w:rsid w:val="003A2AA1"/>
    <w:rsid w:val="003A31A5"/>
    <w:rsid w:val="003A3851"/>
    <w:rsid w:val="003A39DD"/>
    <w:rsid w:val="003A4A8E"/>
    <w:rsid w:val="003A51B0"/>
    <w:rsid w:val="003A563C"/>
    <w:rsid w:val="003A581E"/>
    <w:rsid w:val="003A6160"/>
    <w:rsid w:val="003A65A5"/>
    <w:rsid w:val="003A6D3F"/>
    <w:rsid w:val="003A72F5"/>
    <w:rsid w:val="003A78E5"/>
    <w:rsid w:val="003B0341"/>
    <w:rsid w:val="003B0CB0"/>
    <w:rsid w:val="003B11C3"/>
    <w:rsid w:val="003B120F"/>
    <w:rsid w:val="003B1359"/>
    <w:rsid w:val="003B1E57"/>
    <w:rsid w:val="003B2885"/>
    <w:rsid w:val="003B2EF3"/>
    <w:rsid w:val="003B3676"/>
    <w:rsid w:val="003B4053"/>
    <w:rsid w:val="003B4B1C"/>
    <w:rsid w:val="003B4CB2"/>
    <w:rsid w:val="003B534F"/>
    <w:rsid w:val="003B5391"/>
    <w:rsid w:val="003B5586"/>
    <w:rsid w:val="003B5952"/>
    <w:rsid w:val="003B5E48"/>
    <w:rsid w:val="003B65D7"/>
    <w:rsid w:val="003B65E0"/>
    <w:rsid w:val="003B6BD4"/>
    <w:rsid w:val="003B6F4D"/>
    <w:rsid w:val="003B6FE7"/>
    <w:rsid w:val="003C0271"/>
    <w:rsid w:val="003C0791"/>
    <w:rsid w:val="003C0A42"/>
    <w:rsid w:val="003C0D1F"/>
    <w:rsid w:val="003C116A"/>
    <w:rsid w:val="003C1AF4"/>
    <w:rsid w:val="003C1B63"/>
    <w:rsid w:val="003C1CB8"/>
    <w:rsid w:val="003C2550"/>
    <w:rsid w:val="003C287F"/>
    <w:rsid w:val="003C3339"/>
    <w:rsid w:val="003C375A"/>
    <w:rsid w:val="003C43F6"/>
    <w:rsid w:val="003C4D9F"/>
    <w:rsid w:val="003C5405"/>
    <w:rsid w:val="003C5C83"/>
    <w:rsid w:val="003C5F0C"/>
    <w:rsid w:val="003C60BB"/>
    <w:rsid w:val="003C622C"/>
    <w:rsid w:val="003C73C7"/>
    <w:rsid w:val="003D03F3"/>
    <w:rsid w:val="003D050B"/>
    <w:rsid w:val="003D0652"/>
    <w:rsid w:val="003D0B98"/>
    <w:rsid w:val="003D0C3C"/>
    <w:rsid w:val="003D0DE5"/>
    <w:rsid w:val="003D1351"/>
    <w:rsid w:val="003D21C1"/>
    <w:rsid w:val="003D2442"/>
    <w:rsid w:val="003D29BB"/>
    <w:rsid w:val="003D3707"/>
    <w:rsid w:val="003D3B15"/>
    <w:rsid w:val="003D3B2E"/>
    <w:rsid w:val="003D4337"/>
    <w:rsid w:val="003D484D"/>
    <w:rsid w:val="003D49CB"/>
    <w:rsid w:val="003D4BD6"/>
    <w:rsid w:val="003D6A6D"/>
    <w:rsid w:val="003D6B8F"/>
    <w:rsid w:val="003D7566"/>
    <w:rsid w:val="003D79D3"/>
    <w:rsid w:val="003E08B3"/>
    <w:rsid w:val="003E09BB"/>
    <w:rsid w:val="003E159D"/>
    <w:rsid w:val="003E1E35"/>
    <w:rsid w:val="003E20EA"/>
    <w:rsid w:val="003E210C"/>
    <w:rsid w:val="003E2913"/>
    <w:rsid w:val="003E2F55"/>
    <w:rsid w:val="003E317C"/>
    <w:rsid w:val="003E34DB"/>
    <w:rsid w:val="003E3833"/>
    <w:rsid w:val="003E3902"/>
    <w:rsid w:val="003E3AF9"/>
    <w:rsid w:val="003E43ED"/>
    <w:rsid w:val="003E4A70"/>
    <w:rsid w:val="003E4C48"/>
    <w:rsid w:val="003E4CD9"/>
    <w:rsid w:val="003E4E8A"/>
    <w:rsid w:val="003E54B3"/>
    <w:rsid w:val="003E5780"/>
    <w:rsid w:val="003E5B9F"/>
    <w:rsid w:val="003E6072"/>
    <w:rsid w:val="003E65AF"/>
    <w:rsid w:val="003E6AB6"/>
    <w:rsid w:val="003E6E0B"/>
    <w:rsid w:val="003E71CD"/>
    <w:rsid w:val="003E74E5"/>
    <w:rsid w:val="003E76DF"/>
    <w:rsid w:val="003E78DA"/>
    <w:rsid w:val="003E7A8B"/>
    <w:rsid w:val="003F04B0"/>
    <w:rsid w:val="003F0BFA"/>
    <w:rsid w:val="003F0F14"/>
    <w:rsid w:val="003F0F7F"/>
    <w:rsid w:val="003F300D"/>
    <w:rsid w:val="003F3506"/>
    <w:rsid w:val="003F391F"/>
    <w:rsid w:val="003F4599"/>
    <w:rsid w:val="003F45E1"/>
    <w:rsid w:val="003F4F6C"/>
    <w:rsid w:val="003F516A"/>
    <w:rsid w:val="003F52D4"/>
    <w:rsid w:val="003F559E"/>
    <w:rsid w:val="003F5DB7"/>
    <w:rsid w:val="003F6181"/>
    <w:rsid w:val="003F690B"/>
    <w:rsid w:val="003F6CF0"/>
    <w:rsid w:val="003F7343"/>
    <w:rsid w:val="00400002"/>
    <w:rsid w:val="00400048"/>
    <w:rsid w:val="00400054"/>
    <w:rsid w:val="0040047E"/>
    <w:rsid w:val="004006DC"/>
    <w:rsid w:val="004006E8"/>
    <w:rsid w:val="004012EE"/>
    <w:rsid w:val="004016A3"/>
    <w:rsid w:val="00401B31"/>
    <w:rsid w:val="0040202B"/>
    <w:rsid w:val="00402B70"/>
    <w:rsid w:val="00402DE1"/>
    <w:rsid w:val="00402EEB"/>
    <w:rsid w:val="00402F4B"/>
    <w:rsid w:val="004037C2"/>
    <w:rsid w:val="00403D55"/>
    <w:rsid w:val="00404041"/>
    <w:rsid w:val="00404103"/>
    <w:rsid w:val="00404B43"/>
    <w:rsid w:val="00404C61"/>
    <w:rsid w:val="00405328"/>
    <w:rsid w:val="00405487"/>
    <w:rsid w:val="0040602B"/>
    <w:rsid w:val="00406A42"/>
    <w:rsid w:val="00407A7A"/>
    <w:rsid w:val="00407ABC"/>
    <w:rsid w:val="00407F1E"/>
    <w:rsid w:val="00410A88"/>
    <w:rsid w:val="00411317"/>
    <w:rsid w:val="00411715"/>
    <w:rsid w:val="00411A9E"/>
    <w:rsid w:val="0041259F"/>
    <w:rsid w:val="00412B4D"/>
    <w:rsid w:val="00412BBF"/>
    <w:rsid w:val="00412C51"/>
    <w:rsid w:val="00413262"/>
    <w:rsid w:val="0041329C"/>
    <w:rsid w:val="00413809"/>
    <w:rsid w:val="004139F4"/>
    <w:rsid w:val="00413FFA"/>
    <w:rsid w:val="00414246"/>
    <w:rsid w:val="0041475B"/>
    <w:rsid w:val="00414760"/>
    <w:rsid w:val="00414D9A"/>
    <w:rsid w:val="00415194"/>
    <w:rsid w:val="00415816"/>
    <w:rsid w:val="00415B88"/>
    <w:rsid w:val="00415D32"/>
    <w:rsid w:val="004160A2"/>
    <w:rsid w:val="00417089"/>
    <w:rsid w:val="004170D7"/>
    <w:rsid w:val="004177A6"/>
    <w:rsid w:val="00417EFD"/>
    <w:rsid w:val="004200EE"/>
    <w:rsid w:val="004209D2"/>
    <w:rsid w:val="00420B82"/>
    <w:rsid w:val="00420D6E"/>
    <w:rsid w:val="0042187B"/>
    <w:rsid w:val="00421BD2"/>
    <w:rsid w:val="00421E00"/>
    <w:rsid w:val="00421FCB"/>
    <w:rsid w:val="00421FF6"/>
    <w:rsid w:val="004222E3"/>
    <w:rsid w:val="00422DCA"/>
    <w:rsid w:val="00422F42"/>
    <w:rsid w:val="00423F9F"/>
    <w:rsid w:val="00425C43"/>
    <w:rsid w:val="00426C69"/>
    <w:rsid w:val="004273FA"/>
    <w:rsid w:val="00430186"/>
    <w:rsid w:val="00430740"/>
    <w:rsid w:val="0043269A"/>
    <w:rsid w:val="00432D09"/>
    <w:rsid w:val="00432E14"/>
    <w:rsid w:val="0043318B"/>
    <w:rsid w:val="004333C2"/>
    <w:rsid w:val="00433ACB"/>
    <w:rsid w:val="00434787"/>
    <w:rsid w:val="004347DA"/>
    <w:rsid w:val="00434C13"/>
    <w:rsid w:val="00436323"/>
    <w:rsid w:val="0043683F"/>
    <w:rsid w:val="00436E45"/>
    <w:rsid w:val="00436F40"/>
    <w:rsid w:val="004370FA"/>
    <w:rsid w:val="00437266"/>
    <w:rsid w:val="004372AC"/>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81A"/>
    <w:rsid w:val="00445AC2"/>
    <w:rsid w:val="00446037"/>
    <w:rsid w:val="0044642F"/>
    <w:rsid w:val="00447043"/>
    <w:rsid w:val="0044772C"/>
    <w:rsid w:val="00450846"/>
    <w:rsid w:val="00451A52"/>
    <w:rsid w:val="00451FC8"/>
    <w:rsid w:val="0045271D"/>
    <w:rsid w:val="00452755"/>
    <w:rsid w:val="00452803"/>
    <w:rsid w:val="004529C6"/>
    <w:rsid w:val="00452EAD"/>
    <w:rsid w:val="004533D1"/>
    <w:rsid w:val="004534D1"/>
    <w:rsid w:val="00453A53"/>
    <w:rsid w:val="00454548"/>
    <w:rsid w:val="00454582"/>
    <w:rsid w:val="00454717"/>
    <w:rsid w:val="00455047"/>
    <w:rsid w:val="00455354"/>
    <w:rsid w:val="0045558D"/>
    <w:rsid w:val="00455DEE"/>
    <w:rsid w:val="004564C7"/>
    <w:rsid w:val="0045658D"/>
    <w:rsid w:val="00456970"/>
    <w:rsid w:val="00456BB1"/>
    <w:rsid w:val="00456DDB"/>
    <w:rsid w:val="0045796D"/>
    <w:rsid w:val="004602D6"/>
    <w:rsid w:val="0046080F"/>
    <w:rsid w:val="00460915"/>
    <w:rsid w:val="00460946"/>
    <w:rsid w:val="004613D2"/>
    <w:rsid w:val="004614A9"/>
    <w:rsid w:val="00461B6F"/>
    <w:rsid w:val="00461E97"/>
    <w:rsid w:val="0046268F"/>
    <w:rsid w:val="0046284F"/>
    <w:rsid w:val="00462B10"/>
    <w:rsid w:val="00462C04"/>
    <w:rsid w:val="0046320A"/>
    <w:rsid w:val="0046361D"/>
    <w:rsid w:val="004638E2"/>
    <w:rsid w:val="00463CE6"/>
    <w:rsid w:val="00464030"/>
    <w:rsid w:val="00464278"/>
    <w:rsid w:val="00464526"/>
    <w:rsid w:val="004647F8"/>
    <w:rsid w:val="004647FB"/>
    <w:rsid w:val="00465456"/>
    <w:rsid w:val="00465677"/>
    <w:rsid w:val="00465AC3"/>
    <w:rsid w:val="00466616"/>
    <w:rsid w:val="00466A0C"/>
    <w:rsid w:val="00470A6A"/>
    <w:rsid w:val="00470D92"/>
    <w:rsid w:val="004712D1"/>
    <w:rsid w:val="00471DF7"/>
    <w:rsid w:val="00471F6B"/>
    <w:rsid w:val="0047295C"/>
    <w:rsid w:val="00472D8E"/>
    <w:rsid w:val="00472DA2"/>
    <w:rsid w:val="004734CF"/>
    <w:rsid w:val="00474870"/>
    <w:rsid w:val="00474889"/>
    <w:rsid w:val="00475C5A"/>
    <w:rsid w:val="00475C9C"/>
    <w:rsid w:val="0047676B"/>
    <w:rsid w:val="0047773C"/>
    <w:rsid w:val="00477C5F"/>
    <w:rsid w:val="00480050"/>
    <w:rsid w:val="004808DE"/>
    <w:rsid w:val="0048187D"/>
    <w:rsid w:val="00481AC4"/>
    <w:rsid w:val="00481CAF"/>
    <w:rsid w:val="00481DC1"/>
    <w:rsid w:val="00482507"/>
    <w:rsid w:val="0048268A"/>
    <w:rsid w:val="00483020"/>
    <w:rsid w:val="00483356"/>
    <w:rsid w:val="004835CA"/>
    <w:rsid w:val="004836F8"/>
    <w:rsid w:val="004836FE"/>
    <w:rsid w:val="00484074"/>
    <w:rsid w:val="004843F9"/>
    <w:rsid w:val="00484F0F"/>
    <w:rsid w:val="00484F40"/>
    <w:rsid w:val="00485396"/>
    <w:rsid w:val="0048540C"/>
    <w:rsid w:val="0048592F"/>
    <w:rsid w:val="0048605E"/>
    <w:rsid w:val="004861B4"/>
    <w:rsid w:val="00486AB4"/>
    <w:rsid w:val="00486B08"/>
    <w:rsid w:val="00486BD0"/>
    <w:rsid w:val="00486C85"/>
    <w:rsid w:val="00486D00"/>
    <w:rsid w:val="00487263"/>
    <w:rsid w:val="0048734F"/>
    <w:rsid w:val="004875F1"/>
    <w:rsid w:val="0049029D"/>
    <w:rsid w:val="0049030C"/>
    <w:rsid w:val="004903C0"/>
    <w:rsid w:val="0049114B"/>
    <w:rsid w:val="004912A8"/>
    <w:rsid w:val="00491577"/>
    <w:rsid w:val="0049196E"/>
    <w:rsid w:val="00491ECA"/>
    <w:rsid w:val="0049241A"/>
    <w:rsid w:val="00492C1F"/>
    <w:rsid w:val="00492E4C"/>
    <w:rsid w:val="00493B2C"/>
    <w:rsid w:val="00493E04"/>
    <w:rsid w:val="00493E9C"/>
    <w:rsid w:val="004940E3"/>
    <w:rsid w:val="0049530F"/>
    <w:rsid w:val="00496664"/>
    <w:rsid w:val="00496786"/>
    <w:rsid w:val="0049695B"/>
    <w:rsid w:val="00496D8F"/>
    <w:rsid w:val="00497463"/>
    <w:rsid w:val="00497B15"/>
    <w:rsid w:val="004A054C"/>
    <w:rsid w:val="004A08D1"/>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A6D7A"/>
    <w:rsid w:val="004B01B9"/>
    <w:rsid w:val="004B0D62"/>
    <w:rsid w:val="004B0F0B"/>
    <w:rsid w:val="004B12C3"/>
    <w:rsid w:val="004B13EE"/>
    <w:rsid w:val="004B163F"/>
    <w:rsid w:val="004B2197"/>
    <w:rsid w:val="004B298A"/>
    <w:rsid w:val="004B578D"/>
    <w:rsid w:val="004B5BE7"/>
    <w:rsid w:val="004B5E2D"/>
    <w:rsid w:val="004B6793"/>
    <w:rsid w:val="004B69FD"/>
    <w:rsid w:val="004B6C07"/>
    <w:rsid w:val="004B74D3"/>
    <w:rsid w:val="004B76D3"/>
    <w:rsid w:val="004B788E"/>
    <w:rsid w:val="004B7E5D"/>
    <w:rsid w:val="004C0DD8"/>
    <w:rsid w:val="004C22F7"/>
    <w:rsid w:val="004C2B27"/>
    <w:rsid w:val="004C334F"/>
    <w:rsid w:val="004C3358"/>
    <w:rsid w:val="004C3929"/>
    <w:rsid w:val="004C4DCB"/>
    <w:rsid w:val="004C5212"/>
    <w:rsid w:val="004C5B3B"/>
    <w:rsid w:val="004C5EF0"/>
    <w:rsid w:val="004C7226"/>
    <w:rsid w:val="004C74C9"/>
    <w:rsid w:val="004C79B2"/>
    <w:rsid w:val="004C7D70"/>
    <w:rsid w:val="004D02F9"/>
    <w:rsid w:val="004D03FE"/>
    <w:rsid w:val="004D0446"/>
    <w:rsid w:val="004D0A4F"/>
    <w:rsid w:val="004D0F95"/>
    <w:rsid w:val="004D106A"/>
    <w:rsid w:val="004D141D"/>
    <w:rsid w:val="004D2E24"/>
    <w:rsid w:val="004D31EE"/>
    <w:rsid w:val="004D36AF"/>
    <w:rsid w:val="004D3BD1"/>
    <w:rsid w:val="004D41A2"/>
    <w:rsid w:val="004D4BA1"/>
    <w:rsid w:val="004D532C"/>
    <w:rsid w:val="004D5451"/>
    <w:rsid w:val="004D584D"/>
    <w:rsid w:val="004D6826"/>
    <w:rsid w:val="004D68E0"/>
    <w:rsid w:val="004D7ADB"/>
    <w:rsid w:val="004E023F"/>
    <w:rsid w:val="004E0742"/>
    <w:rsid w:val="004E0C64"/>
    <w:rsid w:val="004E0DC6"/>
    <w:rsid w:val="004E0F36"/>
    <w:rsid w:val="004E0F6B"/>
    <w:rsid w:val="004E1545"/>
    <w:rsid w:val="004E199A"/>
    <w:rsid w:val="004E1F1C"/>
    <w:rsid w:val="004E2A35"/>
    <w:rsid w:val="004E32E1"/>
    <w:rsid w:val="004E38A2"/>
    <w:rsid w:val="004E40CE"/>
    <w:rsid w:val="004E4465"/>
    <w:rsid w:val="004E507A"/>
    <w:rsid w:val="004E518D"/>
    <w:rsid w:val="004E5736"/>
    <w:rsid w:val="004E5B36"/>
    <w:rsid w:val="004E6045"/>
    <w:rsid w:val="004E6F43"/>
    <w:rsid w:val="004E7200"/>
    <w:rsid w:val="004E7815"/>
    <w:rsid w:val="004F034D"/>
    <w:rsid w:val="004F091D"/>
    <w:rsid w:val="004F0960"/>
    <w:rsid w:val="004F0A5C"/>
    <w:rsid w:val="004F163F"/>
    <w:rsid w:val="004F18A0"/>
    <w:rsid w:val="004F1A08"/>
    <w:rsid w:val="004F2B64"/>
    <w:rsid w:val="004F3613"/>
    <w:rsid w:val="004F3764"/>
    <w:rsid w:val="004F3EEF"/>
    <w:rsid w:val="004F4B65"/>
    <w:rsid w:val="004F548C"/>
    <w:rsid w:val="004F5930"/>
    <w:rsid w:val="004F5970"/>
    <w:rsid w:val="004F5F0C"/>
    <w:rsid w:val="004F6121"/>
    <w:rsid w:val="004F6161"/>
    <w:rsid w:val="004F66BC"/>
    <w:rsid w:val="004F67B2"/>
    <w:rsid w:val="004F6C26"/>
    <w:rsid w:val="004F7AC9"/>
    <w:rsid w:val="004F7E5A"/>
    <w:rsid w:val="0050062F"/>
    <w:rsid w:val="00500887"/>
    <w:rsid w:val="005012E2"/>
    <w:rsid w:val="00501481"/>
    <w:rsid w:val="0050160F"/>
    <w:rsid w:val="00501C4F"/>
    <w:rsid w:val="005024C8"/>
    <w:rsid w:val="0050284E"/>
    <w:rsid w:val="00503BB0"/>
    <w:rsid w:val="00505DCB"/>
    <w:rsid w:val="005075CA"/>
    <w:rsid w:val="0051074C"/>
    <w:rsid w:val="00510DE9"/>
    <w:rsid w:val="005111E2"/>
    <w:rsid w:val="00511231"/>
    <w:rsid w:val="00511598"/>
    <w:rsid w:val="00512779"/>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3903"/>
    <w:rsid w:val="005239B6"/>
    <w:rsid w:val="00523C45"/>
    <w:rsid w:val="00523E23"/>
    <w:rsid w:val="00524165"/>
    <w:rsid w:val="005242BA"/>
    <w:rsid w:val="005246E7"/>
    <w:rsid w:val="00524FD2"/>
    <w:rsid w:val="00525621"/>
    <w:rsid w:val="00526431"/>
    <w:rsid w:val="005265D8"/>
    <w:rsid w:val="0052701B"/>
    <w:rsid w:val="005279FC"/>
    <w:rsid w:val="00527C6B"/>
    <w:rsid w:val="00527E57"/>
    <w:rsid w:val="00530405"/>
    <w:rsid w:val="00530522"/>
    <w:rsid w:val="005305E5"/>
    <w:rsid w:val="00530F38"/>
    <w:rsid w:val="00531F26"/>
    <w:rsid w:val="0053277C"/>
    <w:rsid w:val="005327C0"/>
    <w:rsid w:val="00533101"/>
    <w:rsid w:val="00533CA9"/>
    <w:rsid w:val="00533DA7"/>
    <w:rsid w:val="005346AD"/>
    <w:rsid w:val="00534C97"/>
    <w:rsid w:val="00534EFB"/>
    <w:rsid w:val="00534F60"/>
    <w:rsid w:val="00535083"/>
    <w:rsid w:val="0053543B"/>
    <w:rsid w:val="005357F1"/>
    <w:rsid w:val="00536053"/>
    <w:rsid w:val="005369E6"/>
    <w:rsid w:val="00536E62"/>
    <w:rsid w:val="005371AC"/>
    <w:rsid w:val="00537672"/>
    <w:rsid w:val="0053772F"/>
    <w:rsid w:val="00537B77"/>
    <w:rsid w:val="0054009B"/>
    <w:rsid w:val="005409B6"/>
    <w:rsid w:val="00540C4C"/>
    <w:rsid w:val="00541571"/>
    <w:rsid w:val="0054245B"/>
    <w:rsid w:val="0054271D"/>
    <w:rsid w:val="0054275A"/>
    <w:rsid w:val="005428B8"/>
    <w:rsid w:val="00542BD7"/>
    <w:rsid w:val="00542E67"/>
    <w:rsid w:val="00543084"/>
    <w:rsid w:val="00543CA5"/>
    <w:rsid w:val="0054413A"/>
    <w:rsid w:val="00544288"/>
    <w:rsid w:val="005446BB"/>
    <w:rsid w:val="00545E30"/>
    <w:rsid w:val="00545EA3"/>
    <w:rsid w:val="00546293"/>
    <w:rsid w:val="0054694C"/>
    <w:rsid w:val="00546C9B"/>
    <w:rsid w:val="00547BF6"/>
    <w:rsid w:val="00547D73"/>
    <w:rsid w:val="005502F9"/>
    <w:rsid w:val="00550CB1"/>
    <w:rsid w:val="00551098"/>
    <w:rsid w:val="00551581"/>
    <w:rsid w:val="00551598"/>
    <w:rsid w:val="0055162B"/>
    <w:rsid w:val="00551BFF"/>
    <w:rsid w:val="00551D68"/>
    <w:rsid w:val="00552B3E"/>
    <w:rsid w:val="00552DE3"/>
    <w:rsid w:val="005551AA"/>
    <w:rsid w:val="005564CA"/>
    <w:rsid w:val="005568EA"/>
    <w:rsid w:val="00557140"/>
    <w:rsid w:val="00557368"/>
    <w:rsid w:val="005578E6"/>
    <w:rsid w:val="0056058C"/>
    <w:rsid w:val="00560C87"/>
    <w:rsid w:val="00560EF9"/>
    <w:rsid w:val="00560F51"/>
    <w:rsid w:val="00561249"/>
    <w:rsid w:val="00561472"/>
    <w:rsid w:val="0056182B"/>
    <w:rsid w:val="005619D3"/>
    <w:rsid w:val="00561AF3"/>
    <w:rsid w:val="00561E0B"/>
    <w:rsid w:val="00562141"/>
    <w:rsid w:val="00562D86"/>
    <w:rsid w:val="005642EC"/>
    <w:rsid w:val="00564704"/>
    <w:rsid w:val="00564712"/>
    <w:rsid w:val="005657A8"/>
    <w:rsid w:val="00565952"/>
    <w:rsid w:val="00566866"/>
    <w:rsid w:val="00566D8F"/>
    <w:rsid w:val="005670A5"/>
    <w:rsid w:val="00567106"/>
    <w:rsid w:val="00567723"/>
    <w:rsid w:val="00567AB8"/>
    <w:rsid w:val="005707F7"/>
    <w:rsid w:val="00570A26"/>
    <w:rsid w:val="0057221F"/>
    <w:rsid w:val="00572539"/>
    <w:rsid w:val="0057293F"/>
    <w:rsid w:val="00573137"/>
    <w:rsid w:val="0057337D"/>
    <w:rsid w:val="00573504"/>
    <w:rsid w:val="00573788"/>
    <w:rsid w:val="00574708"/>
    <w:rsid w:val="00574932"/>
    <w:rsid w:val="00574D81"/>
    <w:rsid w:val="005756AA"/>
    <w:rsid w:val="0057582D"/>
    <w:rsid w:val="00576233"/>
    <w:rsid w:val="0057696F"/>
    <w:rsid w:val="005774FE"/>
    <w:rsid w:val="0058040C"/>
    <w:rsid w:val="00580D6D"/>
    <w:rsid w:val="00580FB3"/>
    <w:rsid w:val="005813DE"/>
    <w:rsid w:val="00581796"/>
    <w:rsid w:val="00581B45"/>
    <w:rsid w:val="005820E6"/>
    <w:rsid w:val="00582480"/>
    <w:rsid w:val="005825D7"/>
    <w:rsid w:val="0058290E"/>
    <w:rsid w:val="00582CAB"/>
    <w:rsid w:val="005831B5"/>
    <w:rsid w:val="0058375E"/>
    <w:rsid w:val="00584233"/>
    <w:rsid w:val="005842D0"/>
    <w:rsid w:val="0058439F"/>
    <w:rsid w:val="005855AE"/>
    <w:rsid w:val="00585829"/>
    <w:rsid w:val="00585BDB"/>
    <w:rsid w:val="00585CA8"/>
    <w:rsid w:val="00586412"/>
    <w:rsid w:val="005864B9"/>
    <w:rsid w:val="005866C4"/>
    <w:rsid w:val="00586BDB"/>
    <w:rsid w:val="00590A6C"/>
    <w:rsid w:val="00590F1A"/>
    <w:rsid w:val="00591C03"/>
    <w:rsid w:val="00591E2A"/>
    <w:rsid w:val="005923C4"/>
    <w:rsid w:val="00593527"/>
    <w:rsid w:val="00593F75"/>
    <w:rsid w:val="005940A0"/>
    <w:rsid w:val="0059429A"/>
    <w:rsid w:val="0059546C"/>
    <w:rsid w:val="00595FDD"/>
    <w:rsid w:val="00596AF7"/>
    <w:rsid w:val="00596CCE"/>
    <w:rsid w:val="00597E38"/>
    <w:rsid w:val="005A0122"/>
    <w:rsid w:val="005A0A2D"/>
    <w:rsid w:val="005A1100"/>
    <w:rsid w:val="005A1199"/>
    <w:rsid w:val="005A1976"/>
    <w:rsid w:val="005A2120"/>
    <w:rsid w:val="005A2501"/>
    <w:rsid w:val="005A2860"/>
    <w:rsid w:val="005A2C80"/>
    <w:rsid w:val="005A3066"/>
    <w:rsid w:val="005A3457"/>
    <w:rsid w:val="005A3B35"/>
    <w:rsid w:val="005A3C4B"/>
    <w:rsid w:val="005A3E5A"/>
    <w:rsid w:val="005A43F3"/>
    <w:rsid w:val="005A496F"/>
    <w:rsid w:val="005A4A56"/>
    <w:rsid w:val="005A5725"/>
    <w:rsid w:val="005A5A3D"/>
    <w:rsid w:val="005A5B87"/>
    <w:rsid w:val="005A6035"/>
    <w:rsid w:val="005A6B75"/>
    <w:rsid w:val="005A6E00"/>
    <w:rsid w:val="005A718A"/>
    <w:rsid w:val="005A7941"/>
    <w:rsid w:val="005B09BE"/>
    <w:rsid w:val="005B12B2"/>
    <w:rsid w:val="005B143B"/>
    <w:rsid w:val="005B174F"/>
    <w:rsid w:val="005B1A49"/>
    <w:rsid w:val="005B1E45"/>
    <w:rsid w:val="005B21C4"/>
    <w:rsid w:val="005B2A28"/>
    <w:rsid w:val="005B33B6"/>
    <w:rsid w:val="005B3621"/>
    <w:rsid w:val="005B4948"/>
    <w:rsid w:val="005B4B5B"/>
    <w:rsid w:val="005B4FE5"/>
    <w:rsid w:val="005B501D"/>
    <w:rsid w:val="005B5086"/>
    <w:rsid w:val="005B54CC"/>
    <w:rsid w:val="005B5E48"/>
    <w:rsid w:val="005B74AD"/>
    <w:rsid w:val="005B7E96"/>
    <w:rsid w:val="005C01C1"/>
    <w:rsid w:val="005C0429"/>
    <w:rsid w:val="005C084F"/>
    <w:rsid w:val="005C0CE0"/>
    <w:rsid w:val="005C0EE9"/>
    <w:rsid w:val="005C1716"/>
    <w:rsid w:val="005C1954"/>
    <w:rsid w:val="005C1C0B"/>
    <w:rsid w:val="005C1D53"/>
    <w:rsid w:val="005C2011"/>
    <w:rsid w:val="005C2BCC"/>
    <w:rsid w:val="005C36CF"/>
    <w:rsid w:val="005C3EA3"/>
    <w:rsid w:val="005C5011"/>
    <w:rsid w:val="005C529E"/>
    <w:rsid w:val="005C57BA"/>
    <w:rsid w:val="005C5C52"/>
    <w:rsid w:val="005C5D3D"/>
    <w:rsid w:val="005C5D59"/>
    <w:rsid w:val="005C5E66"/>
    <w:rsid w:val="005C5F05"/>
    <w:rsid w:val="005C69F7"/>
    <w:rsid w:val="005C7F3E"/>
    <w:rsid w:val="005D0E1C"/>
    <w:rsid w:val="005D1051"/>
    <w:rsid w:val="005D119F"/>
    <w:rsid w:val="005D2044"/>
    <w:rsid w:val="005D2472"/>
    <w:rsid w:val="005D24C7"/>
    <w:rsid w:val="005D27DC"/>
    <w:rsid w:val="005D2917"/>
    <w:rsid w:val="005D2EB2"/>
    <w:rsid w:val="005D2F48"/>
    <w:rsid w:val="005D3811"/>
    <w:rsid w:val="005D3BEE"/>
    <w:rsid w:val="005D45F9"/>
    <w:rsid w:val="005D464B"/>
    <w:rsid w:val="005D466F"/>
    <w:rsid w:val="005D49E1"/>
    <w:rsid w:val="005D49F0"/>
    <w:rsid w:val="005D51FA"/>
    <w:rsid w:val="005D53E8"/>
    <w:rsid w:val="005D5A26"/>
    <w:rsid w:val="005D5A9D"/>
    <w:rsid w:val="005D6651"/>
    <w:rsid w:val="005D691D"/>
    <w:rsid w:val="005D6A72"/>
    <w:rsid w:val="005D749F"/>
    <w:rsid w:val="005D7725"/>
    <w:rsid w:val="005D791B"/>
    <w:rsid w:val="005D7CF2"/>
    <w:rsid w:val="005D7F92"/>
    <w:rsid w:val="005E049F"/>
    <w:rsid w:val="005E0D7B"/>
    <w:rsid w:val="005E1595"/>
    <w:rsid w:val="005E1F1D"/>
    <w:rsid w:val="005E1F61"/>
    <w:rsid w:val="005E273D"/>
    <w:rsid w:val="005E2C4E"/>
    <w:rsid w:val="005E3278"/>
    <w:rsid w:val="005E363B"/>
    <w:rsid w:val="005E3B0D"/>
    <w:rsid w:val="005E3FB1"/>
    <w:rsid w:val="005E456A"/>
    <w:rsid w:val="005E4DEF"/>
    <w:rsid w:val="005E6EA5"/>
    <w:rsid w:val="005E7FB5"/>
    <w:rsid w:val="005F0081"/>
    <w:rsid w:val="005F041F"/>
    <w:rsid w:val="005F073E"/>
    <w:rsid w:val="005F0AF6"/>
    <w:rsid w:val="005F0F06"/>
    <w:rsid w:val="005F1216"/>
    <w:rsid w:val="005F1819"/>
    <w:rsid w:val="005F1D7D"/>
    <w:rsid w:val="005F1D89"/>
    <w:rsid w:val="005F2558"/>
    <w:rsid w:val="005F271F"/>
    <w:rsid w:val="005F2BED"/>
    <w:rsid w:val="005F2FFF"/>
    <w:rsid w:val="005F300C"/>
    <w:rsid w:val="005F305B"/>
    <w:rsid w:val="005F3361"/>
    <w:rsid w:val="005F3B47"/>
    <w:rsid w:val="005F4481"/>
    <w:rsid w:val="005F49AF"/>
    <w:rsid w:val="005F4A58"/>
    <w:rsid w:val="005F54DF"/>
    <w:rsid w:val="005F5888"/>
    <w:rsid w:val="005F5984"/>
    <w:rsid w:val="005F6CE2"/>
    <w:rsid w:val="005F72E9"/>
    <w:rsid w:val="005F730E"/>
    <w:rsid w:val="005F780B"/>
    <w:rsid w:val="00600195"/>
    <w:rsid w:val="00600473"/>
    <w:rsid w:val="006013C9"/>
    <w:rsid w:val="006016EA"/>
    <w:rsid w:val="0060216B"/>
    <w:rsid w:val="00602B45"/>
    <w:rsid w:val="00602FA6"/>
    <w:rsid w:val="00603499"/>
    <w:rsid w:val="006035F5"/>
    <w:rsid w:val="00603CC2"/>
    <w:rsid w:val="006047D1"/>
    <w:rsid w:val="00604A55"/>
    <w:rsid w:val="00604D3F"/>
    <w:rsid w:val="00605AC3"/>
    <w:rsid w:val="00606908"/>
    <w:rsid w:val="00606B23"/>
    <w:rsid w:val="00607996"/>
    <w:rsid w:val="00607A37"/>
    <w:rsid w:val="00607A9C"/>
    <w:rsid w:val="00607E9F"/>
    <w:rsid w:val="0061085E"/>
    <w:rsid w:val="00611398"/>
    <w:rsid w:val="0061155F"/>
    <w:rsid w:val="00612322"/>
    <w:rsid w:val="006123C0"/>
    <w:rsid w:val="00613191"/>
    <w:rsid w:val="006133F9"/>
    <w:rsid w:val="006134B3"/>
    <w:rsid w:val="00613659"/>
    <w:rsid w:val="00613DE1"/>
    <w:rsid w:val="0061401F"/>
    <w:rsid w:val="00614166"/>
    <w:rsid w:val="006145B9"/>
    <w:rsid w:val="00614817"/>
    <w:rsid w:val="006149CC"/>
    <w:rsid w:val="006157A9"/>
    <w:rsid w:val="0061591D"/>
    <w:rsid w:val="00615ED0"/>
    <w:rsid w:val="0061604C"/>
    <w:rsid w:val="0061610B"/>
    <w:rsid w:val="00616C2B"/>
    <w:rsid w:val="006174FA"/>
    <w:rsid w:val="00617572"/>
    <w:rsid w:val="006178D1"/>
    <w:rsid w:val="00620236"/>
    <w:rsid w:val="00620719"/>
    <w:rsid w:val="006212C9"/>
    <w:rsid w:val="00621459"/>
    <w:rsid w:val="00621D0C"/>
    <w:rsid w:val="00622470"/>
    <w:rsid w:val="0062264E"/>
    <w:rsid w:val="00622725"/>
    <w:rsid w:val="00622AB4"/>
    <w:rsid w:val="006231AA"/>
    <w:rsid w:val="00623482"/>
    <w:rsid w:val="00623822"/>
    <w:rsid w:val="00623AC2"/>
    <w:rsid w:val="00623FF7"/>
    <w:rsid w:val="00624332"/>
    <w:rsid w:val="00625A26"/>
    <w:rsid w:val="00625F38"/>
    <w:rsid w:val="006266D7"/>
    <w:rsid w:val="00626D42"/>
    <w:rsid w:val="00626EE3"/>
    <w:rsid w:val="006274AD"/>
    <w:rsid w:val="00627532"/>
    <w:rsid w:val="006302AA"/>
    <w:rsid w:val="006310C3"/>
    <w:rsid w:val="0063161E"/>
    <w:rsid w:val="0063167C"/>
    <w:rsid w:val="00631A31"/>
    <w:rsid w:val="00631BB5"/>
    <w:rsid w:val="00631DD0"/>
    <w:rsid w:val="006322CE"/>
    <w:rsid w:val="0063295C"/>
    <w:rsid w:val="00632DEE"/>
    <w:rsid w:val="00633367"/>
    <w:rsid w:val="0063367B"/>
    <w:rsid w:val="00633B5E"/>
    <w:rsid w:val="00633DBF"/>
    <w:rsid w:val="00634029"/>
    <w:rsid w:val="00634122"/>
    <w:rsid w:val="006355B6"/>
    <w:rsid w:val="00635E32"/>
    <w:rsid w:val="006365DE"/>
    <w:rsid w:val="00636BE4"/>
    <w:rsid w:val="0063746C"/>
    <w:rsid w:val="00637802"/>
    <w:rsid w:val="00637836"/>
    <w:rsid w:val="00637C26"/>
    <w:rsid w:val="00637F44"/>
    <w:rsid w:val="00640659"/>
    <w:rsid w:val="00641078"/>
    <w:rsid w:val="006411B0"/>
    <w:rsid w:val="00641242"/>
    <w:rsid w:val="00641762"/>
    <w:rsid w:val="006423A3"/>
    <w:rsid w:val="00642A32"/>
    <w:rsid w:val="006433D5"/>
    <w:rsid w:val="0064369C"/>
    <w:rsid w:val="00644156"/>
    <w:rsid w:val="00645D41"/>
    <w:rsid w:val="00646B20"/>
    <w:rsid w:val="00646D0F"/>
    <w:rsid w:val="0064708F"/>
    <w:rsid w:val="00647936"/>
    <w:rsid w:val="00647A36"/>
    <w:rsid w:val="00647DCC"/>
    <w:rsid w:val="00647EFA"/>
    <w:rsid w:val="00647F14"/>
    <w:rsid w:val="00647FD1"/>
    <w:rsid w:val="00650027"/>
    <w:rsid w:val="006507BF"/>
    <w:rsid w:val="00650B46"/>
    <w:rsid w:val="0065120E"/>
    <w:rsid w:val="00651389"/>
    <w:rsid w:val="0065188F"/>
    <w:rsid w:val="00651B9C"/>
    <w:rsid w:val="00651C47"/>
    <w:rsid w:val="00651D98"/>
    <w:rsid w:val="00652783"/>
    <w:rsid w:val="00652854"/>
    <w:rsid w:val="00652D2C"/>
    <w:rsid w:val="00652E70"/>
    <w:rsid w:val="0065303A"/>
    <w:rsid w:val="0065339A"/>
    <w:rsid w:val="00653469"/>
    <w:rsid w:val="00653F4A"/>
    <w:rsid w:val="00654A38"/>
    <w:rsid w:val="00654B4B"/>
    <w:rsid w:val="00655301"/>
    <w:rsid w:val="00655371"/>
    <w:rsid w:val="00655876"/>
    <w:rsid w:val="00655FB1"/>
    <w:rsid w:val="00656A0F"/>
    <w:rsid w:val="00656C4B"/>
    <w:rsid w:val="006573EA"/>
    <w:rsid w:val="00661029"/>
    <w:rsid w:val="00661042"/>
    <w:rsid w:val="0066135A"/>
    <w:rsid w:val="006614DC"/>
    <w:rsid w:val="00661639"/>
    <w:rsid w:val="0066272D"/>
    <w:rsid w:val="00662E58"/>
    <w:rsid w:val="00662F39"/>
    <w:rsid w:val="006635A0"/>
    <w:rsid w:val="00664351"/>
    <w:rsid w:val="0066553F"/>
    <w:rsid w:val="00665968"/>
    <w:rsid w:val="00665BF7"/>
    <w:rsid w:val="00666178"/>
    <w:rsid w:val="0066639E"/>
    <w:rsid w:val="00666473"/>
    <w:rsid w:val="00666611"/>
    <w:rsid w:val="00666C72"/>
    <w:rsid w:val="00666E5A"/>
    <w:rsid w:val="00666E6C"/>
    <w:rsid w:val="0066707F"/>
    <w:rsid w:val="0066731F"/>
    <w:rsid w:val="00667ED8"/>
    <w:rsid w:val="0067064C"/>
    <w:rsid w:val="00670B20"/>
    <w:rsid w:val="00670E12"/>
    <w:rsid w:val="00671229"/>
    <w:rsid w:val="00671E7D"/>
    <w:rsid w:val="00671F94"/>
    <w:rsid w:val="006720A1"/>
    <w:rsid w:val="00672E80"/>
    <w:rsid w:val="006735A4"/>
    <w:rsid w:val="006739E4"/>
    <w:rsid w:val="00673ECF"/>
    <w:rsid w:val="0067419A"/>
    <w:rsid w:val="0067426B"/>
    <w:rsid w:val="00674878"/>
    <w:rsid w:val="00674A1B"/>
    <w:rsid w:val="006754F8"/>
    <w:rsid w:val="00676127"/>
    <w:rsid w:val="006761E5"/>
    <w:rsid w:val="00676AED"/>
    <w:rsid w:val="00677981"/>
    <w:rsid w:val="00677F26"/>
    <w:rsid w:val="006802A7"/>
    <w:rsid w:val="006811C9"/>
    <w:rsid w:val="00681266"/>
    <w:rsid w:val="006812CE"/>
    <w:rsid w:val="006823DC"/>
    <w:rsid w:val="0068277A"/>
    <w:rsid w:val="00682791"/>
    <w:rsid w:val="00682C89"/>
    <w:rsid w:val="006832B8"/>
    <w:rsid w:val="006837B2"/>
    <w:rsid w:val="00683800"/>
    <w:rsid w:val="00684283"/>
    <w:rsid w:val="00684411"/>
    <w:rsid w:val="00684434"/>
    <w:rsid w:val="00684BF1"/>
    <w:rsid w:val="00684C8A"/>
    <w:rsid w:val="00684CF5"/>
    <w:rsid w:val="006853EA"/>
    <w:rsid w:val="0068553E"/>
    <w:rsid w:val="00685E7B"/>
    <w:rsid w:val="0068628A"/>
    <w:rsid w:val="00686551"/>
    <w:rsid w:val="0068730C"/>
    <w:rsid w:val="00687332"/>
    <w:rsid w:val="00687504"/>
    <w:rsid w:val="00687A14"/>
    <w:rsid w:val="00687A8C"/>
    <w:rsid w:val="006906FA"/>
    <w:rsid w:val="00690839"/>
    <w:rsid w:val="006908DB"/>
    <w:rsid w:val="00690DE9"/>
    <w:rsid w:val="00690FF7"/>
    <w:rsid w:val="00691308"/>
    <w:rsid w:val="00691DE9"/>
    <w:rsid w:val="00691EAA"/>
    <w:rsid w:val="00692245"/>
    <w:rsid w:val="00692FFA"/>
    <w:rsid w:val="00693772"/>
    <w:rsid w:val="00694160"/>
    <w:rsid w:val="006959A5"/>
    <w:rsid w:val="00695C0C"/>
    <w:rsid w:val="00695C9B"/>
    <w:rsid w:val="00695EBF"/>
    <w:rsid w:val="00696A05"/>
    <w:rsid w:val="00696E17"/>
    <w:rsid w:val="00697665"/>
    <w:rsid w:val="00697C9A"/>
    <w:rsid w:val="00697E68"/>
    <w:rsid w:val="006A0274"/>
    <w:rsid w:val="006A228F"/>
    <w:rsid w:val="006A2A43"/>
    <w:rsid w:val="006A2BF1"/>
    <w:rsid w:val="006A2EEA"/>
    <w:rsid w:val="006A2F9A"/>
    <w:rsid w:val="006A34E4"/>
    <w:rsid w:val="006A3A5A"/>
    <w:rsid w:val="006A4287"/>
    <w:rsid w:val="006A44CF"/>
    <w:rsid w:val="006A457D"/>
    <w:rsid w:val="006A544E"/>
    <w:rsid w:val="006A55EE"/>
    <w:rsid w:val="006A575B"/>
    <w:rsid w:val="006A59DE"/>
    <w:rsid w:val="006A6655"/>
    <w:rsid w:val="006A6B0B"/>
    <w:rsid w:val="006A6BF9"/>
    <w:rsid w:val="006A76BA"/>
    <w:rsid w:val="006A7CB5"/>
    <w:rsid w:val="006A7FD0"/>
    <w:rsid w:val="006B025C"/>
    <w:rsid w:val="006B0ECC"/>
    <w:rsid w:val="006B2534"/>
    <w:rsid w:val="006B2CB2"/>
    <w:rsid w:val="006B347D"/>
    <w:rsid w:val="006B3B7C"/>
    <w:rsid w:val="006B3C50"/>
    <w:rsid w:val="006B3E19"/>
    <w:rsid w:val="006B3FB6"/>
    <w:rsid w:val="006B40A8"/>
    <w:rsid w:val="006B4488"/>
    <w:rsid w:val="006B47F2"/>
    <w:rsid w:val="006B4CB2"/>
    <w:rsid w:val="006B671C"/>
    <w:rsid w:val="006B67AC"/>
    <w:rsid w:val="006B6A25"/>
    <w:rsid w:val="006B70FB"/>
    <w:rsid w:val="006B786A"/>
    <w:rsid w:val="006B78B9"/>
    <w:rsid w:val="006B7BA0"/>
    <w:rsid w:val="006B7E4E"/>
    <w:rsid w:val="006C003A"/>
    <w:rsid w:val="006C2454"/>
    <w:rsid w:val="006C2551"/>
    <w:rsid w:val="006C37CA"/>
    <w:rsid w:val="006C40B7"/>
    <w:rsid w:val="006C40D2"/>
    <w:rsid w:val="006C5B15"/>
    <w:rsid w:val="006C5D32"/>
    <w:rsid w:val="006C5D6C"/>
    <w:rsid w:val="006C5DCB"/>
    <w:rsid w:val="006C70C4"/>
    <w:rsid w:val="006C7270"/>
    <w:rsid w:val="006C775C"/>
    <w:rsid w:val="006C789C"/>
    <w:rsid w:val="006D04DA"/>
    <w:rsid w:val="006D0686"/>
    <w:rsid w:val="006D10F6"/>
    <w:rsid w:val="006D1544"/>
    <w:rsid w:val="006D1688"/>
    <w:rsid w:val="006D1FF3"/>
    <w:rsid w:val="006D2C65"/>
    <w:rsid w:val="006D32C6"/>
    <w:rsid w:val="006D360E"/>
    <w:rsid w:val="006D3697"/>
    <w:rsid w:val="006D39D2"/>
    <w:rsid w:val="006D3BB6"/>
    <w:rsid w:val="006D3F2A"/>
    <w:rsid w:val="006D4370"/>
    <w:rsid w:val="006D46A3"/>
    <w:rsid w:val="006D4AD1"/>
    <w:rsid w:val="006D658F"/>
    <w:rsid w:val="006D67A4"/>
    <w:rsid w:val="006D6988"/>
    <w:rsid w:val="006D69FA"/>
    <w:rsid w:val="006D6A12"/>
    <w:rsid w:val="006D6AAB"/>
    <w:rsid w:val="006D712D"/>
    <w:rsid w:val="006D7687"/>
    <w:rsid w:val="006D7D1F"/>
    <w:rsid w:val="006D7D8A"/>
    <w:rsid w:val="006E0572"/>
    <w:rsid w:val="006E05D8"/>
    <w:rsid w:val="006E08EE"/>
    <w:rsid w:val="006E0D83"/>
    <w:rsid w:val="006E155A"/>
    <w:rsid w:val="006E3452"/>
    <w:rsid w:val="006E39D1"/>
    <w:rsid w:val="006E437F"/>
    <w:rsid w:val="006E4B43"/>
    <w:rsid w:val="006E4D5B"/>
    <w:rsid w:val="006E602F"/>
    <w:rsid w:val="006E6720"/>
    <w:rsid w:val="006E68FA"/>
    <w:rsid w:val="006E7275"/>
    <w:rsid w:val="006E77B8"/>
    <w:rsid w:val="006F15CC"/>
    <w:rsid w:val="006F25C8"/>
    <w:rsid w:val="006F3BDD"/>
    <w:rsid w:val="006F3E7B"/>
    <w:rsid w:val="006F4147"/>
    <w:rsid w:val="006F4315"/>
    <w:rsid w:val="006F436D"/>
    <w:rsid w:val="006F4478"/>
    <w:rsid w:val="006F458D"/>
    <w:rsid w:val="006F4A6D"/>
    <w:rsid w:val="006F4CB0"/>
    <w:rsid w:val="006F4F78"/>
    <w:rsid w:val="006F547E"/>
    <w:rsid w:val="006F5656"/>
    <w:rsid w:val="006F5CA8"/>
    <w:rsid w:val="006F5CCF"/>
    <w:rsid w:val="006F5D99"/>
    <w:rsid w:val="006F688D"/>
    <w:rsid w:val="006F772B"/>
    <w:rsid w:val="006F78DC"/>
    <w:rsid w:val="00700D5F"/>
    <w:rsid w:val="007012DC"/>
    <w:rsid w:val="0070138A"/>
    <w:rsid w:val="0070157E"/>
    <w:rsid w:val="007030D4"/>
    <w:rsid w:val="0070317C"/>
    <w:rsid w:val="00703279"/>
    <w:rsid w:val="00703737"/>
    <w:rsid w:val="00703B61"/>
    <w:rsid w:val="00703E11"/>
    <w:rsid w:val="00703FB4"/>
    <w:rsid w:val="00704102"/>
    <w:rsid w:val="0070439B"/>
    <w:rsid w:val="0070461C"/>
    <w:rsid w:val="00705631"/>
    <w:rsid w:val="00705818"/>
    <w:rsid w:val="00705F62"/>
    <w:rsid w:val="0070773F"/>
    <w:rsid w:val="00707ED3"/>
    <w:rsid w:val="007101B7"/>
    <w:rsid w:val="00710549"/>
    <w:rsid w:val="00710668"/>
    <w:rsid w:val="00710AB5"/>
    <w:rsid w:val="007110F4"/>
    <w:rsid w:val="007112B1"/>
    <w:rsid w:val="0071130F"/>
    <w:rsid w:val="00711954"/>
    <w:rsid w:val="00712714"/>
    <w:rsid w:val="00712720"/>
    <w:rsid w:val="007128E3"/>
    <w:rsid w:val="007129AB"/>
    <w:rsid w:val="00712B63"/>
    <w:rsid w:val="007130F7"/>
    <w:rsid w:val="00713526"/>
    <w:rsid w:val="00713FC5"/>
    <w:rsid w:val="00715265"/>
    <w:rsid w:val="00715944"/>
    <w:rsid w:val="00715BBF"/>
    <w:rsid w:val="00715C29"/>
    <w:rsid w:val="00715CBD"/>
    <w:rsid w:val="00715E86"/>
    <w:rsid w:val="00715EAA"/>
    <w:rsid w:val="00716CAD"/>
    <w:rsid w:val="00716F18"/>
    <w:rsid w:val="00717363"/>
    <w:rsid w:val="00717786"/>
    <w:rsid w:val="00717ACB"/>
    <w:rsid w:val="00720159"/>
    <w:rsid w:val="00721BFF"/>
    <w:rsid w:val="007223E8"/>
    <w:rsid w:val="00722FD8"/>
    <w:rsid w:val="007236C4"/>
    <w:rsid w:val="00723B59"/>
    <w:rsid w:val="00724635"/>
    <w:rsid w:val="0072554B"/>
    <w:rsid w:val="00725AFD"/>
    <w:rsid w:val="00726603"/>
    <w:rsid w:val="00726772"/>
    <w:rsid w:val="00727DDC"/>
    <w:rsid w:val="00730CD6"/>
    <w:rsid w:val="00730F74"/>
    <w:rsid w:val="0073114B"/>
    <w:rsid w:val="007318A7"/>
    <w:rsid w:val="00732109"/>
    <w:rsid w:val="00734414"/>
    <w:rsid w:val="00734952"/>
    <w:rsid w:val="00734990"/>
    <w:rsid w:val="00734FF5"/>
    <w:rsid w:val="00735B78"/>
    <w:rsid w:val="00735DA7"/>
    <w:rsid w:val="007368B4"/>
    <w:rsid w:val="0073698D"/>
    <w:rsid w:val="00736A76"/>
    <w:rsid w:val="00736B78"/>
    <w:rsid w:val="007378E0"/>
    <w:rsid w:val="00737BF4"/>
    <w:rsid w:val="00737C5C"/>
    <w:rsid w:val="00740529"/>
    <w:rsid w:val="00740A6C"/>
    <w:rsid w:val="00741358"/>
    <w:rsid w:val="00741626"/>
    <w:rsid w:val="00742332"/>
    <w:rsid w:val="00742886"/>
    <w:rsid w:val="007429DB"/>
    <w:rsid w:val="00742DD2"/>
    <w:rsid w:val="0074364C"/>
    <w:rsid w:val="007437C6"/>
    <w:rsid w:val="007439EE"/>
    <w:rsid w:val="007441A2"/>
    <w:rsid w:val="00744915"/>
    <w:rsid w:val="00744E80"/>
    <w:rsid w:val="00745035"/>
    <w:rsid w:val="0074531C"/>
    <w:rsid w:val="00745452"/>
    <w:rsid w:val="00745547"/>
    <w:rsid w:val="007459D0"/>
    <w:rsid w:val="00745BA1"/>
    <w:rsid w:val="0074623A"/>
    <w:rsid w:val="00746420"/>
    <w:rsid w:val="00746E04"/>
    <w:rsid w:val="00746E08"/>
    <w:rsid w:val="00746E3D"/>
    <w:rsid w:val="007473B9"/>
    <w:rsid w:val="007473EF"/>
    <w:rsid w:val="007474ED"/>
    <w:rsid w:val="00747529"/>
    <w:rsid w:val="007476EE"/>
    <w:rsid w:val="00747C96"/>
    <w:rsid w:val="00747E74"/>
    <w:rsid w:val="00750075"/>
    <w:rsid w:val="007502EC"/>
    <w:rsid w:val="00750382"/>
    <w:rsid w:val="0075094E"/>
    <w:rsid w:val="00750FA8"/>
    <w:rsid w:val="00750FB5"/>
    <w:rsid w:val="00751B4C"/>
    <w:rsid w:val="007522E8"/>
    <w:rsid w:val="007524D4"/>
    <w:rsid w:val="0075264C"/>
    <w:rsid w:val="007533E7"/>
    <w:rsid w:val="00753BAC"/>
    <w:rsid w:val="007541FD"/>
    <w:rsid w:val="00754A0B"/>
    <w:rsid w:val="007552DB"/>
    <w:rsid w:val="00755B08"/>
    <w:rsid w:val="00755C31"/>
    <w:rsid w:val="00755DD0"/>
    <w:rsid w:val="0075647A"/>
    <w:rsid w:val="007566BE"/>
    <w:rsid w:val="00756A2F"/>
    <w:rsid w:val="007573E1"/>
    <w:rsid w:val="0075749E"/>
    <w:rsid w:val="007577DA"/>
    <w:rsid w:val="00757B2D"/>
    <w:rsid w:val="00757BAD"/>
    <w:rsid w:val="00757D62"/>
    <w:rsid w:val="00760672"/>
    <w:rsid w:val="00760844"/>
    <w:rsid w:val="00760867"/>
    <w:rsid w:val="00760EB6"/>
    <w:rsid w:val="007616DB"/>
    <w:rsid w:val="007620FC"/>
    <w:rsid w:val="0076228A"/>
    <w:rsid w:val="00762440"/>
    <w:rsid w:val="007629B7"/>
    <w:rsid w:val="00762E60"/>
    <w:rsid w:val="007634AD"/>
    <w:rsid w:val="00766E57"/>
    <w:rsid w:val="00766ECC"/>
    <w:rsid w:val="007672F3"/>
    <w:rsid w:val="007677B5"/>
    <w:rsid w:val="007678B1"/>
    <w:rsid w:val="00770317"/>
    <w:rsid w:val="007708A8"/>
    <w:rsid w:val="00772275"/>
    <w:rsid w:val="007734E4"/>
    <w:rsid w:val="0077380D"/>
    <w:rsid w:val="00773BC8"/>
    <w:rsid w:val="0077466F"/>
    <w:rsid w:val="007752B7"/>
    <w:rsid w:val="0077566B"/>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7B0"/>
    <w:rsid w:val="0078286B"/>
    <w:rsid w:val="00782D2C"/>
    <w:rsid w:val="00782FC2"/>
    <w:rsid w:val="00784714"/>
    <w:rsid w:val="00784FC4"/>
    <w:rsid w:val="00785783"/>
    <w:rsid w:val="00785BBB"/>
    <w:rsid w:val="00786FAD"/>
    <w:rsid w:val="007873C9"/>
    <w:rsid w:val="00787A7F"/>
    <w:rsid w:val="00787D90"/>
    <w:rsid w:val="00787F5E"/>
    <w:rsid w:val="00790164"/>
    <w:rsid w:val="007906E2"/>
    <w:rsid w:val="007907E8"/>
    <w:rsid w:val="00790A24"/>
    <w:rsid w:val="00790A37"/>
    <w:rsid w:val="00790A60"/>
    <w:rsid w:val="0079146D"/>
    <w:rsid w:val="00791C32"/>
    <w:rsid w:val="00791E08"/>
    <w:rsid w:val="00791FF0"/>
    <w:rsid w:val="007923D0"/>
    <w:rsid w:val="0079302C"/>
    <w:rsid w:val="007930D3"/>
    <w:rsid w:val="0079381F"/>
    <w:rsid w:val="00793B2E"/>
    <w:rsid w:val="007948F5"/>
    <w:rsid w:val="00795647"/>
    <w:rsid w:val="00795B0E"/>
    <w:rsid w:val="007963F6"/>
    <w:rsid w:val="00796418"/>
    <w:rsid w:val="00796576"/>
    <w:rsid w:val="00796E80"/>
    <w:rsid w:val="007979AD"/>
    <w:rsid w:val="00797A9C"/>
    <w:rsid w:val="007A0EAB"/>
    <w:rsid w:val="007A1948"/>
    <w:rsid w:val="007A1C21"/>
    <w:rsid w:val="007A2341"/>
    <w:rsid w:val="007A31A9"/>
    <w:rsid w:val="007A38A1"/>
    <w:rsid w:val="007A3967"/>
    <w:rsid w:val="007A3BBE"/>
    <w:rsid w:val="007A4766"/>
    <w:rsid w:val="007A5581"/>
    <w:rsid w:val="007A5816"/>
    <w:rsid w:val="007A5947"/>
    <w:rsid w:val="007A7DF2"/>
    <w:rsid w:val="007B0313"/>
    <w:rsid w:val="007B05FB"/>
    <w:rsid w:val="007B0854"/>
    <w:rsid w:val="007B0E48"/>
    <w:rsid w:val="007B18FD"/>
    <w:rsid w:val="007B1D1B"/>
    <w:rsid w:val="007B29F1"/>
    <w:rsid w:val="007B303E"/>
    <w:rsid w:val="007B32C0"/>
    <w:rsid w:val="007B32F7"/>
    <w:rsid w:val="007B3659"/>
    <w:rsid w:val="007B4263"/>
    <w:rsid w:val="007B4558"/>
    <w:rsid w:val="007B4632"/>
    <w:rsid w:val="007B46A2"/>
    <w:rsid w:val="007B4828"/>
    <w:rsid w:val="007B4B2D"/>
    <w:rsid w:val="007B4D4A"/>
    <w:rsid w:val="007B5428"/>
    <w:rsid w:val="007B54FE"/>
    <w:rsid w:val="007B57A5"/>
    <w:rsid w:val="007B699E"/>
    <w:rsid w:val="007B6C64"/>
    <w:rsid w:val="007B6EC8"/>
    <w:rsid w:val="007B6F81"/>
    <w:rsid w:val="007B787F"/>
    <w:rsid w:val="007B7992"/>
    <w:rsid w:val="007B7EA2"/>
    <w:rsid w:val="007C025A"/>
    <w:rsid w:val="007C081B"/>
    <w:rsid w:val="007C097D"/>
    <w:rsid w:val="007C13FA"/>
    <w:rsid w:val="007C1672"/>
    <w:rsid w:val="007C1F3C"/>
    <w:rsid w:val="007C312A"/>
    <w:rsid w:val="007C3570"/>
    <w:rsid w:val="007C3F2C"/>
    <w:rsid w:val="007C3F3B"/>
    <w:rsid w:val="007C4241"/>
    <w:rsid w:val="007C55FF"/>
    <w:rsid w:val="007C581D"/>
    <w:rsid w:val="007C5B11"/>
    <w:rsid w:val="007C5C31"/>
    <w:rsid w:val="007C6339"/>
    <w:rsid w:val="007C7C43"/>
    <w:rsid w:val="007C7F0D"/>
    <w:rsid w:val="007C7F6F"/>
    <w:rsid w:val="007D1134"/>
    <w:rsid w:val="007D20CF"/>
    <w:rsid w:val="007D23F7"/>
    <w:rsid w:val="007D2566"/>
    <w:rsid w:val="007D2C18"/>
    <w:rsid w:val="007D2D74"/>
    <w:rsid w:val="007D3395"/>
    <w:rsid w:val="007D3693"/>
    <w:rsid w:val="007D379C"/>
    <w:rsid w:val="007D3C6D"/>
    <w:rsid w:val="007D409B"/>
    <w:rsid w:val="007D481A"/>
    <w:rsid w:val="007D55AC"/>
    <w:rsid w:val="007D5648"/>
    <w:rsid w:val="007D58C5"/>
    <w:rsid w:val="007D5DE8"/>
    <w:rsid w:val="007D62DE"/>
    <w:rsid w:val="007D7503"/>
    <w:rsid w:val="007D7CFC"/>
    <w:rsid w:val="007D7FFC"/>
    <w:rsid w:val="007E0812"/>
    <w:rsid w:val="007E16A4"/>
    <w:rsid w:val="007E18DF"/>
    <w:rsid w:val="007E1C35"/>
    <w:rsid w:val="007E1D27"/>
    <w:rsid w:val="007E20FC"/>
    <w:rsid w:val="007E2A04"/>
    <w:rsid w:val="007E2C36"/>
    <w:rsid w:val="007E350D"/>
    <w:rsid w:val="007E3D3F"/>
    <w:rsid w:val="007E5659"/>
    <w:rsid w:val="007E5C4A"/>
    <w:rsid w:val="007E635C"/>
    <w:rsid w:val="007E64D4"/>
    <w:rsid w:val="007E65AD"/>
    <w:rsid w:val="007E66E9"/>
    <w:rsid w:val="007E66FF"/>
    <w:rsid w:val="007E69F2"/>
    <w:rsid w:val="007E7432"/>
    <w:rsid w:val="007E74BF"/>
    <w:rsid w:val="007F14D3"/>
    <w:rsid w:val="007F1C42"/>
    <w:rsid w:val="007F1D9D"/>
    <w:rsid w:val="007F1E28"/>
    <w:rsid w:val="007F1F37"/>
    <w:rsid w:val="007F1F63"/>
    <w:rsid w:val="007F21D8"/>
    <w:rsid w:val="007F22A0"/>
    <w:rsid w:val="007F280B"/>
    <w:rsid w:val="007F2F90"/>
    <w:rsid w:val="007F3320"/>
    <w:rsid w:val="007F392A"/>
    <w:rsid w:val="007F3973"/>
    <w:rsid w:val="007F3A85"/>
    <w:rsid w:val="007F3AC1"/>
    <w:rsid w:val="007F48FA"/>
    <w:rsid w:val="007F4976"/>
    <w:rsid w:val="007F5830"/>
    <w:rsid w:val="007F5A56"/>
    <w:rsid w:val="007F616E"/>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AB5"/>
    <w:rsid w:val="00803D9D"/>
    <w:rsid w:val="008059C6"/>
    <w:rsid w:val="00805AD7"/>
    <w:rsid w:val="00805BD6"/>
    <w:rsid w:val="00805DE3"/>
    <w:rsid w:val="00807037"/>
    <w:rsid w:val="00807666"/>
    <w:rsid w:val="00807C35"/>
    <w:rsid w:val="00807F69"/>
    <w:rsid w:val="008100EC"/>
    <w:rsid w:val="008100F7"/>
    <w:rsid w:val="00810206"/>
    <w:rsid w:val="00810711"/>
    <w:rsid w:val="00811898"/>
    <w:rsid w:val="00811C0F"/>
    <w:rsid w:val="008124D8"/>
    <w:rsid w:val="00813A7B"/>
    <w:rsid w:val="00813F04"/>
    <w:rsid w:val="00814B72"/>
    <w:rsid w:val="00815DA5"/>
    <w:rsid w:val="00816221"/>
    <w:rsid w:val="00816E85"/>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41CE"/>
    <w:rsid w:val="00824EDA"/>
    <w:rsid w:val="00825240"/>
    <w:rsid w:val="00825B43"/>
    <w:rsid w:val="00826E06"/>
    <w:rsid w:val="00827203"/>
    <w:rsid w:val="0082767A"/>
    <w:rsid w:val="00827CC0"/>
    <w:rsid w:val="00831026"/>
    <w:rsid w:val="008310CC"/>
    <w:rsid w:val="0083119B"/>
    <w:rsid w:val="00831BAE"/>
    <w:rsid w:val="00832216"/>
    <w:rsid w:val="00832CD0"/>
    <w:rsid w:val="00833430"/>
    <w:rsid w:val="00833592"/>
    <w:rsid w:val="00834128"/>
    <w:rsid w:val="0083417F"/>
    <w:rsid w:val="00834DF1"/>
    <w:rsid w:val="00835143"/>
    <w:rsid w:val="00835741"/>
    <w:rsid w:val="00836BCD"/>
    <w:rsid w:val="00836E74"/>
    <w:rsid w:val="00836EAB"/>
    <w:rsid w:val="0083747B"/>
    <w:rsid w:val="00837673"/>
    <w:rsid w:val="00837937"/>
    <w:rsid w:val="00837D82"/>
    <w:rsid w:val="00840893"/>
    <w:rsid w:val="00840E88"/>
    <w:rsid w:val="0084195A"/>
    <w:rsid w:val="008423EC"/>
    <w:rsid w:val="008426E0"/>
    <w:rsid w:val="0084332E"/>
    <w:rsid w:val="00843615"/>
    <w:rsid w:val="00843698"/>
    <w:rsid w:val="00843A4B"/>
    <w:rsid w:val="00843B57"/>
    <w:rsid w:val="00843B60"/>
    <w:rsid w:val="00843D33"/>
    <w:rsid w:val="00844D4F"/>
    <w:rsid w:val="0084532A"/>
    <w:rsid w:val="00845AE3"/>
    <w:rsid w:val="00845DD0"/>
    <w:rsid w:val="00846531"/>
    <w:rsid w:val="008466A0"/>
    <w:rsid w:val="00846D1D"/>
    <w:rsid w:val="00846DBE"/>
    <w:rsid w:val="00847535"/>
    <w:rsid w:val="00847B6D"/>
    <w:rsid w:val="00847FFA"/>
    <w:rsid w:val="008501B7"/>
    <w:rsid w:val="0085059A"/>
    <w:rsid w:val="0085092D"/>
    <w:rsid w:val="00850AAB"/>
    <w:rsid w:val="00850D82"/>
    <w:rsid w:val="00850F79"/>
    <w:rsid w:val="0085100B"/>
    <w:rsid w:val="0085304C"/>
    <w:rsid w:val="0085457D"/>
    <w:rsid w:val="008548CA"/>
    <w:rsid w:val="0085587C"/>
    <w:rsid w:val="008562E4"/>
    <w:rsid w:val="00856C06"/>
    <w:rsid w:val="0085790B"/>
    <w:rsid w:val="00857C95"/>
    <w:rsid w:val="00857E78"/>
    <w:rsid w:val="008605E8"/>
    <w:rsid w:val="00860AEF"/>
    <w:rsid w:val="0086122C"/>
    <w:rsid w:val="00861310"/>
    <w:rsid w:val="0086184B"/>
    <w:rsid w:val="00861B7B"/>
    <w:rsid w:val="00861F0F"/>
    <w:rsid w:val="00861F53"/>
    <w:rsid w:val="0086289E"/>
    <w:rsid w:val="00863413"/>
    <w:rsid w:val="0086394E"/>
    <w:rsid w:val="008639B6"/>
    <w:rsid w:val="00863F8A"/>
    <w:rsid w:val="00863FE3"/>
    <w:rsid w:val="00864241"/>
    <w:rsid w:val="0086468A"/>
    <w:rsid w:val="00864CD5"/>
    <w:rsid w:val="008650BE"/>
    <w:rsid w:val="0086633B"/>
    <w:rsid w:val="00866495"/>
    <w:rsid w:val="00866511"/>
    <w:rsid w:val="00866931"/>
    <w:rsid w:val="00866FEF"/>
    <w:rsid w:val="00867512"/>
    <w:rsid w:val="00867C5D"/>
    <w:rsid w:val="0087033C"/>
    <w:rsid w:val="00870B44"/>
    <w:rsid w:val="008715ED"/>
    <w:rsid w:val="008717D8"/>
    <w:rsid w:val="00871E3C"/>
    <w:rsid w:val="0087213A"/>
    <w:rsid w:val="00872F97"/>
    <w:rsid w:val="00873323"/>
    <w:rsid w:val="00873863"/>
    <w:rsid w:val="00874607"/>
    <w:rsid w:val="00874915"/>
    <w:rsid w:val="00874B89"/>
    <w:rsid w:val="00875403"/>
    <w:rsid w:val="00875434"/>
    <w:rsid w:val="008760BD"/>
    <w:rsid w:val="00876158"/>
    <w:rsid w:val="00876215"/>
    <w:rsid w:val="0087646C"/>
    <w:rsid w:val="008765B1"/>
    <w:rsid w:val="00876815"/>
    <w:rsid w:val="00877932"/>
    <w:rsid w:val="00877CDD"/>
    <w:rsid w:val="008808C7"/>
    <w:rsid w:val="00880DB3"/>
    <w:rsid w:val="0088106B"/>
    <w:rsid w:val="0088107D"/>
    <w:rsid w:val="008812E2"/>
    <w:rsid w:val="0088168A"/>
    <w:rsid w:val="00881E64"/>
    <w:rsid w:val="0088230E"/>
    <w:rsid w:val="00882D20"/>
    <w:rsid w:val="00882E39"/>
    <w:rsid w:val="008850E3"/>
    <w:rsid w:val="008850EB"/>
    <w:rsid w:val="00885D01"/>
    <w:rsid w:val="00886B32"/>
    <w:rsid w:val="00886DF2"/>
    <w:rsid w:val="00886FB9"/>
    <w:rsid w:val="00887080"/>
    <w:rsid w:val="00887BC5"/>
    <w:rsid w:val="00887C79"/>
    <w:rsid w:val="008907CC"/>
    <w:rsid w:val="00890998"/>
    <w:rsid w:val="0089107B"/>
    <w:rsid w:val="008913CC"/>
    <w:rsid w:val="00891411"/>
    <w:rsid w:val="008914AE"/>
    <w:rsid w:val="00891838"/>
    <w:rsid w:val="008919CF"/>
    <w:rsid w:val="008919EB"/>
    <w:rsid w:val="00891F84"/>
    <w:rsid w:val="0089211C"/>
    <w:rsid w:val="008928EC"/>
    <w:rsid w:val="00892E5D"/>
    <w:rsid w:val="008935CF"/>
    <w:rsid w:val="008940B2"/>
    <w:rsid w:val="00894436"/>
    <w:rsid w:val="00894BB1"/>
    <w:rsid w:val="008950CB"/>
    <w:rsid w:val="008951D0"/>
    <w:rsid w:val="0089582D"/>
    <w:rsid w:val="008958BD"/>
    <w:rsid w:val="008959C6"/>
    <w:rsid w:val="0089606D"/>
    <w:rsid w:val="00896129"/>
    <w:rsid w:val="00896244"/>
    <w:rsid w:val="008965DF"/>
    <w:rsid w:val="0089774F"/>
    <w:rsid w:val="00897875"/>
    <w:rsid w:val="00897B8F"/>
    <w:rsid w:val="008A00D8"/>
    <w:rsid w:val="008A00D9"/>
    <w:rsid w:val="008A07D5"/>
    <w:rsid w:val="008A1F7E"/>
    <w:rsid w:val="008A2527"/>
    <w:rsid w:val="008A25E2"/>
    <w:rsid w:val="008A295B"/>
    <w:rsid w:val="008A2A23"/>
    <w:rsid w:val="008A2AF5"/>
    <w:rsid w:val="008A2B5A"/>
    <w:rsid w:val="008A2DD1"/>
    <w:rsid w:val="008A3F9D"/>
    <w:rsid w:val="008A4E4C"/>
    <w:rsid w:val="008A5474"/>
    <w:rsid w:val="008A590B"/>
    <w:rsid w:val="008A59F0"/>
    <w:rsid w:val="008A5C9A"/>
    <w:rsid w:val="008A6A55"/>
    <w:rsid w:val="008A6DF0"/>
    <w:rsid w:val="008A6F6E"/>
    <w:rsid w:val="008A7577"/>
    <w:rsid w:val="008A7888"/>
    <w:rsid w:val="008A796E"/>
    <w:rsid w:val="008A7F72"/>
    <w:rsid w:val="008B0862"/>
    <w:rsid w:val="008B088C"/>
    <w:rsid w:val="008B1BF5"/>
    <w:rsid w:val="008B2268"/>
    <w:rsid w:val="008B263F"/>
    <w:rsid w:val="008B3A83"/>
    <w:rsid w:val="008B3EBB"/>
    <w:rsid w:val="008B47A6"/>
    <w:rsid w:val="008B672C"/>
    <w:rsid w:val="008B7C3F"/>
    <w:rsid w:val="008C036D"/>
    <w:rsid w:val="008C0743"/>
    <w:rsid w:val="008C0B4C"/>
    <w:rsid w:val="008C11F0"/>
    <w:rsid w:val="008C1DBA"/>
    <w:rsid w:val="008C24E7"/>
    <w:rsid w:val="008C2500"/>
    <w:rsid w:val="008C2CAC"/>
    <w:rsid w:val="008C3392"/>
    <w:rsid w:val="008C3CB5"/>
    <w:rsid w:val="008C3E2A"/>
    <w:rsid w:val="008C42F5"/>
    <w:rsid w:val="008C45BD"/>
    <w:rsid w:val="008C4B19"/>
    <w:rsid w:val="008C568F"/>
    <w:rsid w:val="008C62D4"/>
    <w:rsid w:val="008C6B89"/>
    <w:rsid w:val="008D028B"/>
    <w:rsid w:val="008D077E"/>
    <w:rsid w:val="008D18AA"/>
    <w:rsid w:val="008D1A16"/>
    <w:rsid w:val="008D1A2A"/>
    <w:rsid w:val="008D29B1"/>
    <w:rsid w:val="008D35D9"/>
    <w:rsid w:val="008D3B25"/>
    <w:rsid w:val="008D3B85"/>
    <w:rsid w:val="008D4527"/>
    <w:rsid w:val="008D462D"/>
    <w:rsid w:val="008D4869"/>
    <w:rsid w:val="008D51F2"/>
    <w:rsid w:val="008D66CA"/>
    <w:rsid w:val="008D69B1"/>
    <w:rsid w:val="008D6E07"/>
    <w:rsid w:val="008D70AD"/>
    <w:rsid w:val="008D7150"/>
    <w:rsid w:val="008D7338"/>
    <w:rsid w:val="008D7773"/>
    <w:rsid w:val="008D7A33"/>
    <w:rsid w:val="008E0012"/>
    <w:rsid w:val="008E0649"/>
    <w:rsid w:val="008E0DF7"/>
    <w:rsid w:val="008E0FAD"/>
    <w:rsid w:val="008E1347"/>
    <w:rsid w:val="008E16E0"/>
    <w:rsid w:val="008E1C15"/>
    <w:rsid w:val="008E1C9A"/>
    <w:rsid w:val="008E28BD"/>
    <w:rsid w:val="008E38B4"/>
    <w:rsid w:val="008E3BA4"/>
    <w:rsid w:val="008E3E84"/>
    <w:rsid w:val="008E41C4"/>
    <w:rsid w:val="008E44AB"/>
    <w:rsid w:val="008E4D97"/>
    <w:rsid w:val="008E5179"/>
    <w:rsid w:val="008E5CD3"/>
    <w:rsid w:val="008E6598"/>
    <w:rsid w:val="008E6A17"/>
    <w:rsid w:val="008E7214"/>
    <w:rsid w:val="008E7348"/>
    <w:rsid w:val="008E7884"/>
    <w:rsid w:val="008E7D6E"/>
    <w:rsid w:val="008F1056"/>
    <w:rsid w:val="008F1D7D"/>
    <w:rsid w:val="008F2E8D"/>
    <w:rsid w:val="008F387B"/>
    <w:rsid w:val="008F3C67"/>
    <w:rsid w:val="008F3DD9"/>
    <w:rsid w:val="008F4814"/>
    <w:rsid w:val="008F4DA6"/>
    <w:rsid w:val="008F538E"/>
    <w:rsid w:val="008F5A20"/>
    <w:rsid w:val="008F5ABA"/>
    <w:rsid w:val="008F5EDC"/>
    <w:rsid w:val="008F6CF9"/>
    <w:rsid w:val="008F7905"/>
    <w:rsid w:val="008F7989"/>
    <w:rsid w:val="00900C70"/>
    <w:rsid w:val="009026AF"/>
    <w:rsid w:val="009028E8"/>
    <w:rsid w:val="00902E5C"/>
    <w:rsid w:val="0090350D"/>
    <w:rsid w:val="009039EB"/>
    <w:rsid w:val="00903CD2"/>
    <w:rsid w:val="009046E5"/>
    <w:rsid w:val="009047C5"/>
    <w:rsid w:val="00904FA5"/>
    <w:rsid w:val="00906C7F"/>
    <w:rsid w:val="00906E31"/>
    <w:rsid w:val="00910683"/>
    <w:rsid w:val="00910E00"/>
    <w:rsid w:val="009116CE"/>
    <w:rsid w:val="00911714"/>
    <w:rsid w:val="0091194A"/>
    <w:rsid w:val="00911A5B"/>
    <w:rsid w:val="00911B95"/>
    <w:rsid w:val="009136D4"/>
    <w:rsid w:val="00913706"/>
    <w:rsid w:val="00914B9A"/>
    <w:rsid w:val="00914C3F"/>
    <w:rsid w:val="00914F33"/>
    <w:rsid w:val="0091535A"/>
    <w:rsid w:val="009153F6"/>
    <w:rsid w:val="00915FCE"/>
    <w:rsid w:val="00916AFE"/>
    <w:rsid w:val="00916FC8"/>
    <w:rsid w:val="009170D3"/>
    <w:rsid w:val="0091755C"/>
    <w:rsid w:val="0091759C"/>
    <w:rsid w:val="00917910"/>
    <w:rsid w:val="00920026"/>
    <w:rsid w:val="009203E2"/>
    <w:rsid w:val="0092085F"/>
    <w:rsid w:val="00920DCB"/>
    <w:rsid w:val="00921304"/>
    <w:rsid w:val="00921805"/>
    <w:rsid w:val="00921BA7"/>
    <w:rsid w:val="00922CB5"/>
    <w:rsid w:val="00923396"/>
    <w:rsid w:val="00923F56"/>
    <w:rsid w:val="0092411F"/>
    <w:rsid w:val="009246C4"/>
    <w:rsid w:val="00924710"/>
    <w:rsid w:val="00925743"/>
    <w:rsid w:val="0092579F"/>
    <w:rsid w:val="0092770D"/>
    <w:rsid w:val="00927D0E"/>
    <w:rsid w:val="00927E8D"/>
    <w:rsid w:val="00927F23"/>
    <w:rsid w:val="00930698"/>
    <w:rsid w:val="009307CD"/>
    <w:rsid w:val="00930E7C"/>
    <w:rsid w:val="00931451"/>
    <w:rsid w:val="009314FA"/>
    <w:rsid w:val="0093194F"/>
    <w:rsid w:val="00931BF3"/>
    <w:rsid w:val="00931C55"/>
    <w:rsid w:val="00932C11"/>
    <w:rsid w:val="00933333"/>
    <w:rsid w:val="0093349A"/>
    <w:rsid w:val="009337B2"/>
    <w:rsid w:val="00933AF1"/>
    <w:rsid w:val="00933FCB"/>
    <w:rsid w:val="00934E69"/>
    <w:rsid w:val="00934FD7"/>
    <w:rsid w:val="009367D5"/>
    <w:rsid w:val="00937401"/>
    <w:rsid w:val="00937561"/>
    <w:rsid w:val="009376FB"/>
    <w:rsid w:val="00937D6B"/>
    <w:rsid w:val="0094029D"/>
    <w:rsid w:val="00940477"/>
    <w:rsid w:val="00940876"/>
    <w:rsid w:val="00940A53"/>
    <w:rsid w:val="00940F3C"/>
    <w:rsid w:val="00940FC1"/>
    <w:rsid w:val="009410E0"/>
    <w:rsid w:val="00942BB9"/>
    <w:rsid w:val="009444B4"/>
    <w:rsid w:val="00944644"/>
    <w:rsid w:val="00945242"/>
    <w:rsid w:val="009460F9"/>
    <w:rsid w:val="00946A24"/>
    <w:rsid w:val="009470D4"/>
    <w:rsid w:val="00947337"/>
    <w:rsid w:val="00947454"/>
    <w:rsid w:val="00947824"/>
    <w:rsid w:val="00950242"/>
    <w:rsid w:val="009512FA"/>
    <w:rsid w:val="00951E57"/>
    <w:rsid w:val="00953018"/>
    <w:rsid w:val="009533E2"/>
    <w:rsid w:val="009534AD"/>
    <w:rsid w:val="00953554"/>
    <w:rsid w:val="0095385A"/>
    <w:rsid w:val="00953928"/>
    <w:rsid w:val="00955906"/>
    <w:rsid w:val="00955978"/>
    <w:rsid w:val="00957010"/>
    <w:rsid w:val="0095780A"/>
    <w:rsid w:val="009579E4"/>
    <w:rsid w:val="00957AA4"/>
    <w:rsid w:val="00957ACB"/>
    <w:rsid w:val="00957E21"/>
    <w:rsid w:val="00957F27"/>
    <w:rsid w:val="009609F0"/>
    <w:rsid w:val="00960BDB"/>
    <w:rsid w:val="0096147D"/>
    <w:rsid w:val="00961E25"/>
    <w:rsid w:val="00961E5F"/>
    <w:rsid w:val="009625C6"/>
    <w:rsid w:val="009629B5"/>
    <w:rsid w:val="00962A50"/>
    <w:rsid w:val="00962F47"/>
    <w:rsid w:val="009631BD"/>
    <w:rsid w:val="00963955"/>
    <w:rsid w:val="00963CC9"/>
    <w:rsid w:val="00964138"/>
    <w:rsid w:val="00964742"/>
    <w:rsid w:val="00964B3F"/>
    <w:rsid w:val="00964C98"/>
    <w:rsid w:val="00964E0A"/>
    <w:rsid w:val="00965717"/>
    <w:rsid w:val="00966214"/>
    <w:rsid w:val="00966FB8"/>
    <w:rsid w:val="0096799B"/>
    <w:rsid w:val="00970572"/>
    <w:rsid w:val="00971441"/>
    <w:rsid w:val="009715D4"/>
    <w:rsid w:val="00971D7B"/>
    <w:rsid w:val="00972470"/>
    <w:rsid w:val="009739A9"/>
    <w:rsid w:val="00973AA2"/>
    <w:rsid w:val="0097494E"/>
    <w:rsid w:val="00974B58"/>
    <w:rsid w:val="00975229"/>
    <w:rsid w:val="009761ED"/>
    <w:rsid w:val="009801E7"/>
    <w:rsid w:val="0098022F"/>
    <w:rsid w:val="009808B5"/>
    <w:rsid w:val="009810DE"/>
    <w:rsid w:val="009816A2"/>
    <w:rsid w:val="009820E1"/>
    <w:rsid w:val="009822D7"/>
    <w:rsid w:val="009827E6"/>
    <w:rsid w:val="00982E70"/>
    <w:rsid w:val="00982F84"/>
    <w:rsid w:val="00983697"/>
    <w:rsid w:val="009838E9"/>
    <w:rsid w:val="0098427D"/>
    <w:rsid w:val="00984567"/>
    <w:rsid w:val="00985102"/>
    <w:rsid w:val="009865D5"/>
    <w:rsid w:val="0098697F"/>
    <w:rsid w:val="009876F2"/>
    <w:rsid w:val="00987A68"/>
    <w:rsid w:val="00987C77"/>
    <w:rsid w:val="00990345"/>
    <w:rsid w:val="00990701"/>
    <w:rsid w:val="0099090B"/>
    <w:rsid w:val="0099119C"/>
    <w:rsid w:val="0099137A"/>
    <w:rsid w:val="00991805"/>
    <w:rsid w:val="00992064"/>
    <w:rsid w:val="0099211C"/>
    <w:rsid w:val="00993B78"/>
    <w:rsid w:val="00994426"/>
    <w:rsid w:val="0099483A"/>
    <w:rsid w:val="00995119"/>
    <w:rsid w:val="00995265"/>
    <w:rsid w:val="009953AD"/>
    <w:rsid w:val="009955BC"/>
    <w:rsid w:val="0099583D"/>
    <w:rsid w:val="0099656E"/>
    <w:rsid w:val="00996992"/>
    <w:rsid w:val="00996E1E"/>
    <w:rsid w:val="00997392"/>
    <w:rsid w:val="0099747C"/>
    <w:rsid w:val="0099771C"/>
    <w:rsid w:val="009A01E4"/>
    <w:rsid w:val="009A0917"/>
    <w:rsid w:val="009A0A33"/>
    <w:rsid w:val="009A10A6"/>
    <w:rsid w:val="009A1351"/>
    <w:rsid w:val="009A2435"/>
    <w:rsid w:val="009A35DC"/>
    <w:rsid w:val="009A38AB"/>
    <w:rsid w:val="009A3A3D"/>
    <w:rsid w:val="009A3CFB"/>
    <w:rsid w:val="009A3D41"/>
    <w:rsid w:val="009A3D47"/>
    <w:rsid w:val="009A4D63"/>
    <w:rsid w:val="009A52E4"/>
    <w:rsid w:val="009A5356"/>
    <w:rsid w:val="009A5468"/>
    <w:rsid w:val="009A59FD"/>
    <w:rsid w:val="009A5D99"/>
    <w:rsid w:val="009A608C"/>
    <w:rsid w:val="009A63B7"/>
    <w:rsid w:val="009A6CA7"/>
    <w:rsid w:val="009A6CE6"/>
    <w:rsid w:val="009A6FDF"/>
    <w:rsid w:val="009A7006"/>
    <w:rsid w:val="009A76D6"/>
    <w:rsid w:val="009B123D"/>
    <w:rsid w:val="009B199E"/>
    <w:rsid w:val="009B2E29"/>
    <w:rsid w:val="009B2FF3"/>
    <w:rsid w:val="009B3163"/>
    <w:rsid w:val="009B39C2"/>
    <w:rsid w:val="009B4100"/>
    <w:rsid w:val="009B422F"/>
    <w:rsid w:val="009B46BC"/>
    <w:rsid w:val="009B4D1A"/>
    <w:rsid w:val="009B558B"/>
    <w:rsid w:val="009B634C"/>
    <w:rsid w:val="009B6801"/>
    <w:rsid w:val="009B68DD"/>
    <w:rsid w:val="009B6D21"/>
    <w:rsid w:val="009B7779"/>
    <w:rsid w:val="009B78ED"/>
    <w:rsid w:val="009C181C"/>
    <w:rsid w:val="009C1C7F"/>
    <w:rsid w:val="009C28A2"/>
    <w:rsid w:val="009C2B9B"/>
    <w:rsid w:val="009C3239"/>
    <w:rsid w:val="009C3828"/>
    <w:rsid w:val="009C3D2C"/>
    <w:rsid w:val="009C41E9"/>
    <w:rsid w:val="009C4987"/>
    <w:rsid w:val="009C523F"/>
    <w:rsid w:val="009C59BF"/>
    <w:rsid w:val="009C5E4F"/>
    <w:rsid w:val="009C5F64"/>
    <w:rsid w:val="009C5F82"/>
    <w:rsid w:val="009C692B"/>
    <w:rsid w:val="009C70F8"/>
    <w:rsid w:val="009C756F"/>
    <w:rsid w:val="009C78A3"/>
    <w:rsid w:val="009C7F08"/>
    <w:rsid w:val="009D0156"/>
    <w:rsid w:val="009D05DA"/>
    <w:rsid w:val="009D0627"/>
    <w:rsid w:val="009D0B5D"/>
    <w:rsid w:val="009D11F6"/>
    <w:rsid w:val="009D13B9"/>
    <w:rsid w:val="009D1A14"/>
    <w:rsid w:val="009D1E2A"/>
    <w:rsid w:val="009D1FA0"/>
    <w:rsid w:val="009D2BDF"/>
    <w:rsid w:val="009D361F"/>
    <w:rsid w:val="009D3736"/>
    <w:rsid w:val="009D40B8"/>
    <w:rsid w:val="009D4529"/>
    <w:rsid w:val="009D4B03"/>
    <w:rsid w:val="009D5EB1"/>
    <w:rsid w:val="009D604F"/>
    <w:rsid w:val="009D61BB"/>
    <w:rsid w:val="009D6410"/>
    <w:rsid w:val="009D65FF"/>
    <w:rsid w:val="009D66B2"/>
    <w:rsid w:val="009D68BB"/>
    <w:rsid w:val="009D6E3A"/>
    <w:rsid w:val="009D70C2"/>
    <w:rsid w:val="009D7278"/>
    <w:rsid w:val="009D75EA"/>
    <w:rsid w:val="009D773A"/>
    <w:rsid w:val="009D7ADB"/>
    <w:rsid w:val="009D7B33"/>
    <w:rsid w:val="009D7C08"/>
    <w:rsid w:val="009E0703"/>
    <w:rsid w:val="009E16DA"/>
    <w:rsid w:val="009E1AC8"/>
    <w:rsid w:val="009E1CD4"/>
    <w:rsid w:val="009E20DC"/>
    <w:rsid w:val="009E2391"/>
    <w:rsid w:val="009E241B"/>
    <w:rsid w:val="009E299D"/>
    <w:rsid w:val="009E2E11"/>
    <w:rsid w:val="009E474E"/>
    <w:rsid w:val="009E476A"/>
    <w:rsid w:val="009E4E05"/>
    <w:rsid w:val="009E56FF"/>
    <w:rsid w:val="009E5CB1"/>
    <w:rsid w:val="009E5E56"/>
    <w:rsid w:val="009E61EA"/>
    <w:rsid w:val="009E6990"/>
    <w:rsid w:val="009E6FCA"/>
    <w:rsid w:val="009E6FEE"/>
    <w:rsid w:val="009F060F"/>
    <w:rsid w:val="009F0781"/>
    <w:rsid w:val="009F0850"/>
    <w:rsid w:val="009F11B2"/>
    <w:rsid w:val="009F151C"/>
    <w:rsid w:val="009F1BDF"/>
    <w:rsid w:val="009F1C47"/>
    <w:rsid w:val="009F1EAE"/>
    <w:rsid w:val="009F369D"/>
    <w:rsid w:val="009F36FE"/>
    <w:rsid w:val="009F3ADB"/>
    <w:rsid w:val="009F4386"/>
    <w:rsid w:val="009F46A9"/>
    <w:rsid w:val="009F4F25"/>
    <w:rsid w:val="009F4FA7"/>
    <w:rsid w:val="009F59C2"/>
    <w:rsid w:val="009F5B00"/>
    <w:rsid w:val="009F7263"/>
    <w:rsid w:val="009F76EA"/>
    <w:rsid w:val="009F78EB"/>
    <w:rsid w:val="009F7F32"/>
    <w:rsid w:val="009F7FEB"/>
    <w:rsid w:val="00A004CE"/>
    <w:rsid w:val="00A01852"/>
    <w:rsid w:val="00A0188B"/>
    <w:rsid w:val="00A01E73"/>
    <w:rsid w:val="00A023E7"/>
    <w:rsid w:val="00A02B88"/>
    <w:rsid w:val="00A02F3C"/>
    <w:rsid w:val="00A03160"/>
    <w:rsid w:val="00A036AC"/>
    <w:rsid w:val="00A03C54"/>
    <w:rsid w:val="00A041BC"/>
    <w:rsid w:val="00A0447F"/>
    <w:rsid w:val="00A046D2"/>
    <w:rsid w:val="00A04A54"/>
    <w:rsid w:val="00A05B4B"/>
    <w:rsid w:val="00A066C3"/>
    <w:rsid w:val="00A06754"/>
    <w:rsid w:val="00A06942"/>
    <w:rsid w:val="00A069E0"/>
    <w:rsid w:val="00A06BD7"/>
    <w:rsid w:val="00A06E4A"/>
    <w:rsid w:val="00A071B0"/>
    <w:rsid w:val="00A078FB"/>
    <w:rsid w:val="00A102E0"/>
    <w:rsid w:val="00A1036D"/>
    <w:rsid w:val="00A1069F"/>
    <w:rsid w:val="00A10919"/>
    <w:rsid w:val="00A10ACA"/>
    <w:rsid w:val="00A10D04"/>
    <w:rsid w:val="00A10D08"/>
    <w:rsid w:val="00A10EB0"/>
    <w:rsid w:val="00A11A98"/>
    <w:rsid w:val="00A12355"/>
    <w:rsid w:val="00A12384"/>
    <w:rsid w:val="00A127B7"/>
    <w:rsid w:val="00A127D2"/>
    <w:rsid w:val="00A12ADA"/>
    <w:rsid w:val="00A143EC"/>
    <w:rsid w:val="00A14A60"/>
    <w:rsid w:val="00A14C64"/>
    <w:rsid w:val="00A14F69"/>
    <w:rsid w:val="00A1500F"/>
    <w:rsid w:val="00A15621"/>
    <w:rsid w:val="00A15670"/>
    <w:rsid w:val="00A157A0"/>
    <w:rsid w:val="00A1585B"/>
    <w:rsid w:val="00A1595B"/>
    <w:rsid w:val="00A15C19"/>
    <w:rsid w:val="00A16809"/>
    <w:rsid w:val="00A1759E"/>
    <w:rsid w:val="00A176FA"/>
    <w:rsid w:val="00A17721"/>
    <w:rsid w:val="00A17769"/>
    <w:rsid w:val="00A17EA2"/>
    <w:rsid w:val="00A20264"/>
    <w:rsid w:val="00A20997"/>
    <w:rsid w:val="00A21454"/>
    <w:rsid w:val="00A22025"/>
    <w:rsid w:val="00A22498"/>
    <w:rsid w:val="00A22571"/>
    <w:rsid w:val="00A23023"/>
    <w:rsid w:val="00A23A08"/>
    <w:rsid w:val="00A24560"/>
    <w:rsid w:val="00A251AE"/>
    <w:rsid w:val="00A25B0F"/>
    <w:rsid w:val="00A25BBB"/>
    <w:rsid w:val="00A25D87"/>
    <w:rsid w:val="00A25F8E"/>
    <w:rsid w:val="00A27F18"/>
    <w:rsid w:val="00A27F20"/>
    <w:rsid w:val="00A27FB6"/>
    <w:rsid w:val="00A30121"/>
    <w:rsid w:val="00A30356"/>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7E73"/>
    <w:rsid w:val="00A37FB6"/>
    <w:rsid w:val="00A404C6"/>
    <w:rsid w:val="00A41003"/>
    <w:rsid w:val="00A4104A"/>
    <w:rsid w:val="00A41081"/>
    <w:rsid w:val="00A411CA"/>
    <w:rsid w:val="00A413AD"/>
    <w:rsid w:val="00A415AA"/>
    <w:rsid w:val="00A4169F"/>
    <w:rsid w:val="00A42096"/>
    <w:rsid w:val="00A421E7"/>
    <w:rsid w:val="00A426F3"/>
    <w:rsid w:val="00A42BBA"/>
    <w:rsid w:val="00A42FDF"/>
    <w:rsid w:val="00A430A9"/>
    <w:rsid w:val="00A431FE"/>
    <w:rsid w:val="00A434E9"/>
    <w:rsid w:val="00A439E5"/>
    <w:rsid w:val="00A43D1B"/>
    <w:rsid w:val="00A4497A"/>
    <w:rsid w:val="00A44BE8"/>
    <w:rsid w:val="00A44C96"/>
    <w:rsid w:val="00A44F54"/>
    <w:rsid w:val="00A45728"/>
    <w:rsid w:val="00A45F9B"/>
    <w:rsid w:val="00A461BF"/>
    <w:rsid w:val="00A46574"/>
    <w:rsid w:val="00A4657A"/>
    <w:rsid w:val="00A467C4"/>
    <w:rsid w:val="00A46EE4"/>
    <w:rsid w:val="00A47D53"/>
    <w:rsid w:val="00A500B1"/>
    <w:rsid w:val="00A51593"/>
    <w:rsid w:val="00A52D3F"/>
    <w:rsid w:val="00A52EE5"/>
    <w:rsid w:val="00A53037"/>
    <w:rsid w:val="00A532B9"/>
    <w:rsid w:val="00A5351D"/>
    <w:rsid w:val="00A53864"/>
    <w:rsid w:val="00A53D84"/>
    <w:rsid w:val="00A53E79"/>
    <w:rsid w:val="00A53F14"/>
    <w:rsid w:val="00A54031"/>
    <w:rsid w:val="00A5426D"/>
    <w:rsid w:val="00A54FC2"/>
    <w:rsid w:val="00A54FEA"/>
    <w:rsid w:val="00A55122"/>
    <w:rsid w:val="00A55F36"/>
    <w:rsid w:val="00A5696C"/>
    <w:rsid w:val="00A56C67"/>
    <w:rsid w:val="00A56DE7"/>
    <w:rsid w:val="00A57892"/>
    <w:rsid w:val="00A57AF7"/>
    <w:rsid w:val="00A57EB2"/>
    <w:rsid w:val="00A6009E"/>
    <w:rsid w:val="00A605F9"/>
    <w:rsid w:val="00A60762"/>
    <w:rsid w:val="00A60B1F"/>
    <w:rsid w:val="00A61C60"/>
    <w:rsid w:val="00A62589"/>
    <w:rsid w:val="00A62C3A"/>
    <w:rsid w:val="00A62FCD"/>
    <w:rsid w:val="00A63505"/>
    <w:rsid w:val="00A63812"/>
    <w:rsid w:val="00A63DF7"/>
    <w:rsid w:val="00A64026"/>
    <w:rsid w:val="00A64198"/>
    <w:rsid w:val="00A64505"/>
    <w:rsid w:val="00A668BA"/>
    <w:rsid w:val="00A66FA7"/>
    <w:rsid w:val="00A674AA"/>
    <w:rsid w:val="00A677F6"/>
    <w:rsid w:val="00A67E16"/>
    <w:rsid w:val="00A703CC"/>
    <w:rsid w:val="00A70C5C"/>
    <w:rsid w:val="00A71EA7"/>
    <w:rsid w:val="00A730AD"/>
    <w:rsid w:val="00A73855"/>
    <w:rsid w:val="00A73D64"/>
    <w:rsid w:val="00A73FEA"/>
    <w:rsid w:val="00A74216"/>
    <w:rsid w:val="00A744B4"/>
    <w:rsid w:val="00A74D61"/>
    <w:rsid w:val="00A751E3"/>
    <w:rsid w:val="00A75504"/>
    <w:rsid w:val="00A75CD9"/>
    <w:rsid w:val="00A76438"/>
    <w:rsid w:val="00A77168"/>
    <w:rsid w:val="00A7723B"/>
    <w:rsid w:val="00A7793C"/>
    <w:rsid w:val="00A77D21"/>
    <w:rsid w:val="00A80085"/>
    <w:rsid w:val="00A8043B"/>
    <w:rsid w:val="00A81323"/>
    <w:rsid w:val="00A81AC0"/>
    <w:rsid w:val="00A81D1E"/>
    <w:rsid w:val="00A820CB"/>
    <w:rsid w:val="00A82342"/>
    <w:rsid w:val="00A829EE"/>
    <w:rsid w:val="00A83BEF"/>
    <w:rsid w:val="00A84443"/>
    <w:rsid w:val="00A8487F"/>
    <w:rsid w:val="00A848FC"/>
    <w:rsid w:val="00A849A3"/>
    <w:rsid w:val="00A84A0E"/>
    <w:rsid w:val="00A851FD"/>
    <w:rsid w:val="00A86461"/>
    <w:rsid w:val="00A86B00"/>
    <w:rsid w:val="00A86E0B"/>
    <w:rsid w:val="00A90F12"/>
    <w:rsid w:val="00A9110D"/>
    <w:rsid w:val="00A9121D"/>
    <w:rsid w:val="00A93101"/>
    <w:rsid w:val="00A94293"/>
    <w:rsid w:val="00A94760"/>
    <w:rsid w:val="00A9496E"/>
    <w:rsid w:val="00A949F0"/>
    <w:rsid w:val="00A94BDE"/>
    <w:rsid w:val="00A94FCA"/>
    <w:rsid w:val="00A951D1"/>
    <w:rsid w:val="00A95E4C"/>
    <w:rsid w:val="00A964A2"/>
    <w:rsid w:val="00A96C60"/>
    <w:rsid w:val="00A9740B"/>
    <w:rsid w:val="00A9766C"/>
    <w:rsid w:val="00A977F8"/>
    <w:rsid w:val="00A97C93"/>
    <w:rsid w:val="00AA08E7"/>
    <w:rsid w:val="00AA0A06"/>
    <w:rsid w:val="00AA1351"/>
    <w:rsid w:val="00AA1859"/>
    <w:rsid w:val="00AA1C84"/>
    <w:rsid w:val="00AA2899"/>
    <w:rsid w:val="00AA30E4"/>
    <w:rsid w:val="00AA3D7B"/>
    <w:rsid w:val="00AA42A0"/>
    <w:rsid w:val="00AA442B"/>
    <w:rsid w:val="00AA46A4"/>
    <w:rsid w:val="00AA5779"/>
    <w:rsid w:val="00AA58A1"/>
    <w:rsid w:val="00AA61C7"/>
    <w:rsid w:val="00AA669D"/>
    <w:rsid w:val="00AA66ED"/>
    <w:rsid w:val="00AA6BE1"/>
    <w:rsid w:val="00AA6E80"/>
    <w:rsid w:val="00AA7416"/>
    <w:rsid w:val="00AA7A60"/>
    <w:rsid w:val="00AA7B42"/>
    <w:rsid w:val="00AB041C"/>
    <w:rsid w:val="00AB0483"/>
    <w:rsid w:val="00AB05A8"/>
    <w:rsid w:val="00AB14E8"/>
    <w:rsid w:val="00AB17EC"/>
    <w:rsid w:val="00AB1B1D"/>
    <w:rsid w:val="00AB2216"/>
    <w:rsid w:val="00AB2901"/>
    <w:rsid w:val="00AB2C0A"/>
    <w:rsid w:val="00AB358D"/>
    <w:rsid w:val="00AB37A1"/>
    <w:rsid w:val="00AB3BAD"/>
    <w:rsid w:val="00AB3CFD"/>
    <w:rsid w:val="00AB40C6"/>
    <w:rsid w:val="00AB49BC"/>
    <w:rsid w:val="00AB4DEE"/>
    <w:rsid w:val="00AB4E32"/>
    <w:rsid w:val="00AB4F86"/>
    <w:rsid w:val="00AB579A"/>
    <w:rsid w:val="00AB60A3"/>
    <w:rsid w:val="00AB724B"/>
    <w:rsid w:val="00AB726C"/>
    <w:rsid w:val="00AB72B4"/>
    <w:rsid w:val="00AC02AA"/>
    <w:rsid w:val="00AC0537"/>
    <w:rsid w:val="00AC0A84"/>
    <w:rsid w:val="00AC2A0B"/>
    <w:rsid w:val="00AC2BEC"/>
    <w:rsid w:val="00AC2BEE"/>
    <w:rsid w:val="00AC2E53"/>
    <w:rsid w:val="00AC30DB"/>
    <w:rsid w:val="00AC3F88"/>
    <w:rsid w:val="00AC484F"/>
    <w:rsid w:val="00AC4B20"/>
    <w:rsid w:val="00AC4D8F"/>
    <w:rsid w:val="00AC56F2"/>
    <w:rsid w:val="00AC5B83"/>
    <w:rsid w:val="00AC5D30"/>
    <w:rsid w:val="00AC5E8D"/>
    <w:rsid w:val="00AC6886"/>
    <w:rsid w:val="00AC6C90"/>
    <w:rsid w:val="00AC71C3"/>
    <w:rsid w:val="00AD0DA5"/>
    <w:rsid w:val="00AD1497"/>
    <w:rsid w:val="00AD1499"/>
    <w:rsid w:val="00AD1EFA"/>
    <w:rsid w:val="00AD2072"/>
    <w:rsid w:val="00AD2808"/>
    <w:rsid w:val="00AD2DBD"/>
    <w:rsid w:val="00AD2FBF"/>
    <w:rsid w:val="00AD455D"/>
    <w:rsid w:val="00AD463C"/>
    <w:rsid w:val="00AD46A2"/>
    <w:rsid w:val="00AD47E8"/>
    <w:rsid w:val="00AD4F60"/>
    <w:rsid w:val="00AD5044"/>
    <w:rsid w:val="00AD5114"/>
    <w:rsid w:val="00AD523A"/>
    <w:rsid w:val="00AD6236"/>
    <w:rsid w:val="00AD7619"/>
    <w:rsid w:val="00AD7770"/>
    <w:rsid w:val="00AD7BF3"/>
    <w:rsid w:val="00AE0588"/>
    <w:rsid w:val="00AE05F9"/>
    <w:rsid w:val="00AE1772"/>
    <w:rsid w:val="00AE1990"/>
    <w:rsid w:val="00AE1BB9"/>
    <w:rsid w:val="00AE2523"/>
    <w:rsid w:val="00AE25E8"/>
    <w:rsid w:val="00AE2AD4"/>
    <w:rsid w:val="00AE2CA7"/>
    <w:rsid w:val="00AE2F1D"/>
    <w:rsid w:val="00AE4B2B"/>
    <w:rsid w:val="00AE586F"/>
    <w:rsid w:val="00AE6582"/>
    <w:rsid w:val="00AE69D4"/>
    <w:rsid w:val="00AE6BC7"/>
    <w:rsid w:val="00AE6DC5"/>
    <w:rsid w:val="00AE7003"/>
    <w:rsid w:val="00AE7686"/>
    <w:rsid w:val="00AE799A"/>
    <w:rsid w:val="00AF00B6"/>
    <w:rsid w:val="00AF0492"/>
    <w:rsid w:val="00AF0577"/>
    <w:rsid w:val="00AF0E81"/>
    <w:rsid w:val="00AF0F32"/>
    <w:rsid w:val="00AF1130"/>
    <w:rsid w:val="00AF117A"/>
    <w:rsid w:val="00AF186E"/>
    <w:rsid w:val="00AF19DF"/>
    <w:rsid w:val="00AF1F4F"/>
    <w:rsid w:val="00AF26CF"/>
    <w:rsid w:val="00AF2AD1"/>
    <w:rsid w:val="00AF343A"/>
    <w:rsid w:val="00AF35A8"/>
    <w:rsid w:val="00AF362F"/>
    <w:rsid w:val="00AF400A"/>
    <w:rsid w:val="00AF4E92"/>
    <w:rsid w:val="00AF554B"/>
    <w:rsid w:val="00AF5C9B"/>
    <w:rsid w:val="00AF5D53"/>
    <w:rsid w:val="00AF5E2D"/>
    <w:rsid w:val="00AF644B"/>
    <w:rsid w:val="00AF6CA6"/>
    <w:rsid w:val="00AF6EB6"/>
    <w:rsid w:val="00AF72E3"/>
    <w:rsid w:val="00AF7367"/>
    <w:rsid w:val="00AF7796"/>
    <w:rsid w:val="00B011A9"/>
    <w:rsid w:val="00B0134C"/>
    <w:rsid w:val="00B015CF"/>
    <w:rsid w:val="00B015F3"/>
    <w:rsid w:val="00B01BA5"/>
    <w:rsid w:val="00B01D84"/>
    <w:rsid w:val="00B024ED"/>
    <w:rsid w:val="00B02E66"/>
    <w:rsid w:val="00B02EB3"/>
    <w:rsid w:val="00B02FCB"/>
    <w:rsid w:val="00B033F8"/>
    <w:rsid w:val="00B03540"/>
    <w:rsid w:val="00B03C1E"/>
    <w:rsid w:val="00B04400"/>
    <w:rsid w:val="00B04835"/>
    <w:rsid w:val="00B05A55"/>
    <w:rsid w:val="00B05DE1"/>
    <w:rsid w:val="00B06595"/>
    <w:rsid w:val="00B0722B"/>
    <w:rsid w:val="00B07D11"/>
    <w:rsid w:val="00B10109"/>
    <w:rsid w:val="00B1085E"/>
    <w:rsid w:val="00B10FD0"/>
    <w:rsid w:val="00B10FD1"/>
    <w:rsid w:val="00B11896"/>
    <w:rsid w:val="00B11B55"/>
    <w:rsid w:val="00B12735"/>
    <w:rsid w:val="00B129C6"/>
    <w:rsid w:val="00B12CD5"/>
    <w:rsid w:val="00B131C4"/>
    <w:rsid w:val="00B13386"/>
    <w:rsid w:val="00B13533"/>
    <w:rsid w:val="00B13C48"/>
    <w:rsid w:val="00B13E35"/>
    <w:rsid w:val="00B13EC0"/>
    <w:rsid w:val="00B13FA5"/>
    <w:rsid w:val="00B14102"/>
    <w:rsid w:val="00B14D32"/>
    <w:rsid w:val="00B1557C"/>
    <w:rsid w:val="00B155DC"/>
    <w:rsid w:val="00B15766"/>
    <w:rsid w:val="00B159AA"/>
    <w:rsid w:val="00B1666A"/>
    <w:rsid w:val="00B1686D"/>
    <w:rsid w:val="00B17037"/>
    <w:rsid w:val="00B1741D"/>
    <w:rsid w:val="00B17447"/>
    <w:rsid w:val="00B174FD"/>
    <w:rsid w:val="00B17563"/>
    <w:rsid w:val="00B1771D"/>
    <w:rsid w:val="00B1792E"/>
    <w:rsid w:val="00B17B91"/>
    <w:rsid w:val="00B20209"/>
    <w:rsid w:val="00B203AF"/>
    <w:rsid w:val="00B203C9"/>
    <w:rsid w:val="00B2088D"/>
    <w:rsid w:val="00B208FF"/>
    <w:rsid w:val="00B228D1"/>
    <w:rsid w:val="00B22C58"/>
    <w:rsid w:val="00B22D35"/>
    <w:rsid w:val="00B22E22"/>
    <w:rsid w:val="00B22F5F"/>
    <w:rsid w:val="00B23813"/>
    <w:rsid w:val="00B23FD9"/>
    <w:rsid w:val="00B24591"/>
    <w:rsid w:val="00B245D5"/>
    <w:rsid w:val="00B24C36"/>
    <w:rsid w:val="00B24F94"/>
    <w:rsid w:val="00B25126"/>
    <w:rsid w:val="00B25A52"/>
    <w:rsid w:val="00B25B0A"/>
    <w:rsid w:val="00B25FC3"/>
    <w:rsid w:val="00B261F8"/>
    <w:rsid w:val="00B26852"/>
    <w:rsid w:val="00B26C61"/>
    <w:rsid w:val="00B26CC4"/>
    <w:rsid w:val="00B27026"/>
    <w:rsid w:val="00B27386"/>
    <w:rsid w:val="00B27875"/>
    <w:rsid w:val="00B27BEC"/>
    <w:rsid w:val="00B27C18"/>
    <w:rsid w:val="00B27E51"/>
    <w:rsid w:val="00B3008D"/>
    <w:rsid w:val="00B30E11"/>
    <w:rsid w:val="00B30EEB"/>
    <w:rsid w:val="00B30FD0"/>
    <w:rsid w:val="00B31423"/>
    <w:rsid w:val="00B31710"/>
    <w:rsid w:val="00B323E0"/>
    <w:rsid w:val="00B32DC0"/>
    <w:rsid w:val="00B33137"/>
    <w:rsid w:val="00B3346C"/>
    <w:rsid w:val="00B335E4"/>
    <w:rsid w:val="00B33C23"/>
    <w:rsid w:val="00B345B4"/>
    <w:rsid w:val="00B348B1"/>
    <w:rsid w:val="00B34A28"/>
    <w:rsid w:val="00B34EB2"/>
    <w:rsid w:val="00B34FFD"/>
    <w:rsid w:val="00B35046"/>
    <w:rsid w:val="00B35B6A"/>
    <w:rsid w:val="00B35EB4"/>
    <w:rsid w:val="00B37657"/>
    <w:rsid w:val="00B3788D"/>
    <w:rsid w:val="00B37AFD"/>
    <w:rsid w:val="00B37B07"/>
    <w:rsid w:val="00B4046F"/>
    <w:rsid w:val="00B40B47"/>
    <w:rsid w:val="00B41D39"/>
    <w:rsid w:val="00B42031"/>
    <w:rsid w:val="00B422C0"/>
    <w:rsid w:val="00B426CA"/>
    <w:rsid w:val="00B426E1"/>
    <w:rsid w:val="00B437F8"/>
    <w:rsid w:val="00B4387A"/>
    <w:rsid w:val="00B43F4E"/>
    <w:rsid w:val="00B44260"/>
    <w:rsid w:val="00B44746"/>
    <w:rsid w:val="00B44854"/>
    <w:rsid w:val="00B4487B"/>
    <w:rsid w:val="00B44A23"/>
    <w:rsid w:val="00B45419"/>
    <w:rsid w:val="00B455A8"/>
    <w:rsid w:val="00B458C1"/>
    <w:rsid w:val="00B458D0"/>
    <w:rsid w:val="00B4792C"/>
    <w:rsid w:val="00B47A25"/>
    <w:rsid w:val="00B50CAE"/>
    <w:rsid w:val="00B512AD"/>
    <w:rsid w:val="00B5196C"/>
    <w:rsid w:val="00B52237"/>
    <w:rsid w:val="00B523B9"/>
    <w:rsid w:val="00B525CB"/>
    <w:rsid w:val="00B52697"/>
    <w:rsid w:val="00B53E7C"/>
    <w:rsid w:val="00B54D8F"/>
    <w:rsid w:val="00B55857"/>
    <w:rsid w:val="00B55C2B"/>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40F"/>
    <w:rsid w:val="00B64709"/>
    <w:rsid w:val="00B64EDB"/>
    <w:rsid w:val="00B6501B"/>
    <w:rsid w:val="00B65379"/>
    <w:rsid w:val="00B654D3"/>
    <w:rsid w:val="00B65938"/>
    <w:rsid w:val="00B6596B"/>
    <w:rsid w:val="00B65C8A"/>
    <w:rsid w:val="00B65CE2"/>
    <w:rsid w:val="00B65CED"/>
    <w:rsid w:val="00B660AD"/>
    <w:rsid w:val="00B660CB"/>
    <w:rsid w:val="00B66109"/>
    <w:rsid w:val="00B66316"/>
    <w:rsid w:val="00B66349"/>
    <w:rsid w:val="00B67286"/>
    <w:rsid w:val="00B67630"/>
    <w:rsid w:val="00B67BD4"/>
    <w:rsid w:val="00B67FBF"/>
    <w:rsid w:val="00B7024E"/>
    <w:rsid w:val="00B71F5F"/>
    <w:rsid w:val="00B71FA7"/>
    <w:rsid w:val="00B72110"/>
    <w:rsid w:val="00B72B91"/>
    <w:rsid w:val="00B72DE3"/>
    <w:rsid w:val="00B73019"/>
    <w:rsid w:val="00B7315F"/>
    <w:rsid w:val="00B7323A"/>
    <w:rsid w:val="00B73356"/>
    <w:rsid w:val="00B7345C"/>
    <w:rsid w:val="00B7353B"/>
    <w:rsid w:val="00B7358A"/>
    <w:rsid w:val="00B737FB"/>
    <w:rsid w:val="00B73EDA"/>
    <w:rsid w:val="00B7423D"/>
    <w:rsid w:val="00B74605"/>
    <w:rsid w:val="00B74D05"/>
    <w:rsid w:val="00B75937"/>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E66"/>
    <w:rsid w:val="00B873BA"/>
    <w:rsid w:val="00B8746F"/>
    <w:rsid w:val="00B8760D"/>
    <w:rsid w:val="00B87706"/>
    <w:rsid w:val="00B87F98"/>
    <w:rsid w:val="00B90A49"/>
    <w:rsid w:val="00B90C2B"/>
    <w:rsid w:val="00B910A5"/>
    <w:rsid w:val="00B91851"/>
    <w:rsid w:val="00B91B8E"/>
    <w:rsid w:val="00B91E13"/>
    <w:rsid w:val="00B92531"/>
    <w:rsid w:val="00B92618"/>
    <w:rsid w:val="00B92751"/>
    <w:rsid w:val="00B92B69"/>
    <w:rsid w:val="00B92CC6"/>
    <w:rsid w:val="00B935C9"/>
    <w:rsid w:val="00B93E3D"/>
    <w:rsid w:val="00B94033"/>
    <w:rsid w:val="00B95018"/>
    <w:rsid w:val="00B95464"/>
    <w:rsid w:val="00B95C30"/>
    <w:rsid w:val="00B95CB7"/>
    <w:rsid w:val="00B95E3D"/>
    <w:rsid w:val="00B9691F"/>
    <w:rsid w:val="00B969E0"/>
    <w:rsid w:val="00B96EEC"/>
    <w:rsid w:val="00B97392"/>
    <w:rsid w:val="00B974B5"/>
    <w:rsid w:val="00B97691"/>
    <w:rsid w:val="00B976C7"/>
    <w:rsid w:val="00BA0C54"/>
    <w:rsid w:val="00BA1382"/>
    <w:rsid w:val="00BA20D8"/>
    <w:rsid w:val="00BA22FC"/>
    <w:rsid w:val="00BA2F30"/>
    <w:rsid w:val="00BA4575"/>
    <w:rsid w:val="00BA4771"/>
    <w:rsid w:val="00BA4DBB"/>
    <w:rsid w:val="00BA5027"/>
    <w:rsid w:val="00BA665B"/>
    <w:rsid w:val="00BA7370"/>
    <w:rsid w:val="00BA778B"/>
    <w:rsid w:val="00BB0888"/>
    <w:rsid w:val="00BB0DF1"/>
    <w:rsid w:val="00BB0E9B"/>
    <w:rsid w:val="00BB10EB"/>
    <w:rsid w:val="00BB139D"/>
    <w:rsid w:val="00BB2729"/>
    <w:rsid w:val="00BB2841"/>
    <w:rsid w:val="00BB300F"/>
    <w:rsid w:val="00BB32C9"/>
    <w:rsid w:val="00BB35C5"/>
    <w:rsid w:val="00BB43A7"/>
    <w:rsid w:val="00BB4C8E"/>
    <w:rsid w:val="00BB57ED"/>
    <w:rsid w:val="00BB58AB"/>
    <w:rsid w:val="00BB65C3"/>
    <w:rsid w:val="00BB662E"/>
    <w:rsid w:val="00BB67A9"/>
    <w:rsid w:val="00BB6C01"/>
    <w:rsid w:val="00BB6C96"/>
    <w:rsid w:val="00BB75CB"/>
    <w:rsid w:val="00BB7942"/>
    <w:rsid w:val="00BB7CD1"/>
    <w:rsid w:val="00BC07E4"/>
    <w:rsid w:val="00BC0F33"/>
    <w:rsid w:val="00BC14A7"/>
    <w:rsid w:val="00BC1611"/>
    <w:rsid w:val="00BC17CC"/>
    <w:rsid w:val="00BC229E"/>
    <w:rsid w:val="00BC2898"/>
    <w:rsid w:val="00BC2928"/>
    <w:rsid w:val="00BC2AA9"/>
    <w:rsid w:val="00BC2BB1"/>
    <w:rsid w:val="00BC34A3"/>
    <w:rsid w:val="00BC377C"/>
    <w:rsid w:val="00BC3FF9"/>
    <w:rsid w:val="00BC4834"/>
    <w:rsid w:val="00BC4A97"/>
    <w:rsid w:val="00BC5A25"/>
    <w:rsid w:val="00BC5E28"/>
    <w:rsid w:val="00BC5FDD"/>
    <w:rsid w:val="00BC68B4"/>
    <w:rsid w:val="00BC6C2D"/>
    <w:rsid w:val="00BC7B9A"/>
    <w:rsid w:val="00BD0140"/>
    <w:rsid w:val="00BD02CC"/>
    <w:rsid w:val="00BD1675"/>
    <w:rsid w:val="00BD1945"/>
    <w:rsid w:val="00BD2063"/>
    <w:rsid w:val="00BD23F8"/>
    <w:rsid w:val="00BD33D9"/>
    <w:rsid w:val="00BD38C5"/>
    <w:rsid w:val="00BD3A71"/>
    <w:rsid w:val="00BD3CF1"/>
    <w:rsid w:val="00BD3DEA"/>
    <w:rsid w:val="00BD3E97"/>
    <w:rsid w:val="00BD40E4"/>
    <w:rsid w:val="00BD503A"/>
    <w:rsid w:val="00BD52D7"/>
    <w:rsid w:val="00BD52FE"/>
    <w:rsid w:val="00BD62CF"/>
    <w:rsid w:val="00BD67B2"/>
    <w:rsid w:val="00BD6A07"/>
    <w:rsid w:val="00BD78AB"/>
    <w:rsid w:val="00BD78FE"/>
    <w:rsid w:val="00BE0149"/>
    <w:rsid w:val="00BE0767"/>
    <w:rsid w:val="00BE12B8"/>
    <w:rsid w:val="00BE12D7"/>
    <w:rsid w:val="00BE1372"/>
    <w:rsid w:val="00BE1775"/>
    <w:rsid w:val="00BE17A2"/>
    <w:rsid w:val="00BE18DA"/>
    <w:rsid w:val="00BE195D"/>
    <w:rsid w:val="00BE1A31"/>
    <w:rsid w:val="00BE223B"/>
    <w:rsid w:val="00BE26C0"/>
    <w:rsid w:val="00BE3442"/>
    <w:rsid w:val="00BE45DF"/>
    <w:rsid w:val="00BE47B2"/>
    <w:rsid w:val="00BE48C7"/>
    <w:rsid w:val="00BE4F66"/>
    <w:rsid w:val="00BE5238"/>
    <w:rsid w:val="00BE5D35"/>
    <w:rsid w:val="00BE6074"/>
    <w:rsid w:val="00BE67A2"/>
    <w:rsid w:val="00BE7257"/>
    <w:rsid w:val="00BF020D"/>
    <w:rsid w:val="00BF1DD2"/>
    <w:rsid w:val="00BF23A3"/>
    <w:rsid w:val="00BF28DB"/>
    <w:rsid w:val="00BF2A7E"/>
    <w:rsid w:val="00BF3331"/>
    <w:rsid w:val="00BF3A45"/>
    <w:rsid w:val="00BF436F"/>
    <w:rsid w:val="00BF45A6"/>
    <w:rsid w:val="00BF4E02"/>
    <w:rsid w:val="00BF5111"/>
    <w:rsid w:val="00BF5723"/>
    <w:rsid w:val="00BF592A"/>
    <w:rsid w:val="00BF5C05"/>
    <w:rsid w:val="00BF60C8"/>
    <w:rsid w:val="00BF6FC6"/>
    <w:rsid w:val="00BF7C52"/>
    <w:rsid w:val="00BF7F99"/>
    <w:rsid w:val="00BF7FD6"/>
    <w:rsid w:val="00C004F6"/>
    <w:rsid w:val="00C00540"/>
    <w:rsid w:val="00C00713"/>
    <w:rsid w:val="00C008B4"/>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07D95"/>
    <w:rsid w:val="00C108B8"/>
    <w:rsid w:val="00C10BFE"/>
    <w:rsid w:val="00C11503"/>
    <w:rsid w:val="00C1159D"/>
    <w:rsid w:val="00C11683"/>
    <w:rsid w:val="00C11798"/>
    <w:rsid w:val="00C118DB"/>
    <w:rsid w:val="00C11D21"/>
    <w:rsid w:val="00C1233E"/>
    <w:rsid w:val="00C125C1"/>
    <w:rsid w:val="00C12F05"/>
    <w:rsid w:val="00C12FB3"/>
    <w:rsid w:val="00C138BC"/>
    <w:rsid w:val="00C13D85"/>
    <w:rsid w:val="00C14639"/>
    <w:rsid w:val="00C14E82"/>
    <w:rsid w:val="00C14FF6"/>
    <w:rsid w:val="00C15A85"/>
    <w:rsid w:val="00C1641B"/>
    <w:rsid w:val="00C165FC"/>
    <w:rsid w:val="00C173B1"/>
    <w:rsid w:val="00C176D5"/>
    <w:rsid w:val="00C2082C"/>
    <w:rsid w:val="00C20832"/>
    <w:rsid w:val="00C20EB0"/>
    <w:rsid w:val="00C21005"/>
    <w:rsid w:val="00C220B6"/>
    <w:rsid w:val="00C22206"/>
    <w:rsid w:val="00C227AF"/>
    <w:rsid w:val="00C22D7C"/>
    <w:rsid w:val="00C22DDE"/>
    <w:rsid w:val="00C2338B"/>
    <w:rsid w:val="00C233CE"/>
    <w:rsid w:val="00C23661"/>
    <w:rsid w:val="00C236AE"/>
    <w:rsid w:val="00C237DD"/>
    <w:rsid w:val="00C238F4"/>
    <w:rsid w:val="00C23A99"/>
    <w:rsid w:val="00C245EE"/>
    <w:rsid w:val="00C24AE1"/>
    <w:rsid w:val="00C24B8D"/>
    <w:rsid w:val="00C24BD7"/>
    <w:rsid w:val="00C2542B"/>
    <w:rsid w:val="00C25813"/>
    <w:rsid w:val="00C25A04"/>
    <w:rsid w:val="00C25DCC"/>
    <w:rsid w:val="00C27143"/>
    <w:rsid w:val="00C27490"/>
    <w:rsid w:val="00C27A55"/>
    <w:rsid w:val="00C27D37"/>
    <w:rsid w:val="00C27FB2"/>
    <w:rsid w:val="00C302E5"/>
    <w:rsid w:val="00C309E8"/>
    <w:rsid w:val="00C32017"/>
    <w:rsid w:val="00C325CD"/>
    <w:rsid w:val="00C3322E"/>
    <w:rsid w:val="00C337F5"/>
    <w:rsid w:val="00C33907"/>
    <w:rsid w:val="00C33B90"/>
    <w:rsid w:val="00C34B5F"/>
    <w:rsid w:val="00C356AF"/>
    <w:rsid w:val="00C358D4"/>
    <w:rsid w:val="00C35A19"/>
    <w:rsid w:val="00C36785"/>
    <w:rsid w:val="00C36845"/>
    <w:rsid w:val="00C3711C"/>
    <w:rsid w:val="00C37256"/>
    <w:rsid w:val="00C37A7B"/>
    <w:rsid w:val="00C37CFF"/>
    <w:rsid w:val="00C37FFE"/>
    <w:rsid w:val="00C40B50"/>
    <w:rsid w:val="00C41858"/>
    <w:rsid w:val="00C419E3"/>
    <w:rsid w:val="00C419F4"/>
    <w:rsid w:val="00C41E6A"/>
    <w:rsid w:val="00C42247"/>
    <w:rsid w:val="00C439BE"/>
    <w:rsid w:val="00C44E61"/>
    <w:rsid w:val="00C4539B"/>
    <w:rsid w:val="00C45466"/>
    <w:rsid w:val="00C455C1"/>
    <w:rsid w:val="00C4581D"/>
    <w:rsid w:val="00C46D21"/>
    <w:rsid w:val="00C47472"/>
    <w:rsid w:val="00C47EA5"/>
    <w:rsid w:val="00C500F0"/>
    <w:rsid w:val="00C502BB"/>
    <w:rsid w:val="00C504A7"/>
    <w:rsid w:val="00C506C9"/>
    <w:rsid w:val="00C50A16"/>
    <w:rsid w:val="00C5122B"/>
    <w:rsid w:val="00C51C9A"/>
    <w:rsid w:val="00C52428"/>
    <w:rsid w:val="00C52C68"/>
    <w:rsid w:val="00C52D98"/>
    <w:rsid w:val="00C52FB1"/>
    <w:rsid w:val="00C5325C"/>
    <w:rsid w:val="00C53D24"/>
    <w:rsid w:val="00C54640"/>
    <w:rsid w:val="00C547A6"/>
    <w:rsid w:val="00C54A3A"/>
    <w:rsid w:val="00C5503F"/>
    <w:rsid w:val="00C55C32"/>
    <w:rsid w:val="00C55DB4"/>
    <w:rsid w:val="00C56A67"/>
    <w:rsid w:val="00C56CC2"/>
    <w:rsid w:val="00C56FC3"/>
    <w:rsid w:val="00C57498"/>
    <w:rsid w:val="00C5763C"/>
    <w:rsid w:val="00C57761"/>
    <w:rsid w:val="00C577CA"/>
    <w:rsid w:val="00C5780C"/>
    <w:rsid w:val="00C5796B"/>
    <w:rsid w:val="00C619A1"/>
    <w:rsid w:val="00C62370"/>
    <w:rsid w:val="00C62545"/>
    <w:rsid w:val="00C62A11"/>
    <w:rsid w:val="00C62BBB"/>
    <w:rsid w:val="00C6305F"/>
    <w:rsid w:val="00C6325B"/>
    <w:rsid w:val="00C63E99"/>
    <w:rsid w:val="00C64161"/>
    <w:rsid w:val="00C641BD"/>
    <w:rsid w:val="00C64689"/>
    <w:rsid w:val="00C649B8"/>
    <w:rsid w:val="00C64A64"/>
    <w:rsid w:val="00C64C72"/>
    <w:rsid w:val="00C65151"/>
    <w:rsid w:val="00C657F4"/>
    <w:rsid w:val="00C6599D"/>
    <w:rsid w:val="00C66119"/>
    <w:rsid w:val="00C66292"/>
    <w:rsid w:val="00C672A3"/>
    <w:rsid w:val="00C672F1"/>
    <w:rsid w:val="00C673D0"/>
    <w:rsid w:val="00C6742E"/>
    <w:rsid w:val="00C677BE"/>
    <w:rsid w:val="00C70012"/>
    <w:rsid w:val="00C706CA"/>
    <w:rsid w:val="00C7185F"/>
    <w:rsid w:val="00C71CBB"/>
    <w:rsid w:val="00C71E2A"/>
    <w:rsid w:val="00C722A3"/>
    <w:rsid w:val="00C733BA"/>
    <w:rsid w:val="00C755EF"/>
    <w:rsid w:val="00C760DC"/>
    <w:rsid w:val="00C76DCA"/>
    <w:rsid w:val="00C8082B"/>
    <w:rsid w:val="00C80B24"/>
    <w:rsid w:val="00C80F3E"/>
    <w:rsid w:val="00C81A88"/>
    <w:rsid w:val="00C81AEC"/>
    <w:rsid w:val="00C81D46"/>
    <w:rsid w:val="00C820AD"/>
    <w:rsid w:val="00C82298"/>
    <w:rsid w:val="00C831D4"/>
    <w:rsid w:val="00C833B4"/>
    <w:rsid w:val="00C83449"/>
    <w:rsid w:val="00C84284"/>
    <w:rsid w:val="00C84E33"/>
    <w:rsid w:val="00C85FFC"/>
    <w:rsid w:val="00C86123"/>
    <w:rsid w:val="00C861FC"/>
    <w:rsid w:val="00C86C87"/>
    <w:rsid w:val="00C8705B"/>
    <w:rsid w:val="00C87090"/>
    <w:rsid w:val="00C9005E"/>
    <w:rsid w:val="00C90111"/>
    <w:rsid w:val="00C902BA"/>
    <w:rsid w:val="00C90CA9"/>
    <w:rsid w:val="00C915F2"/>
    <w:rsid w:val="00C917B1"/>
    <w:rsid w:val="00C9193C"/>
    <w:rsid w:val="00C91B77"/>
    <w:rsid w:val="00C91E5F"/>
    <w:rsid w:val="00C920E2"/>
    <w:rsid w:val="00C923AA"/>
    <w:rsid w:val="00C93154"/>
    <w:rsid w:val="00C93765"/>
    <w:rsid w:val="00C93877"/>
    <w:rsid w:val="00C93D8C"/>
    <w:rsid w:val="00C946CC"/>
    <w:rsid w:val="00C959BD"/>
    <w:rsid w:val="00C95EC4"/>
    <w:rsid w:val="00C95F44"/>
    <w:rsid w:val="00C96908"/>
    <w:rsid w:val="00C96D1B"/>
    <w:rsid w:val="00C97106"/>
    <w:rsid w:val="00C97684"/>
    <w:rsid w:val="00CA0031"/>
    <w:rsid w:val="00CA00F8"/>
    <w:rsid w:val="00CA0413"/>
    <w:rsid w:val="00CA043A"/>
    <w:rsid w:val="00CA0459"/>
    <w:rsid w:val="00CA04F8"/>
    <w:rsid w:val="00CA1691"/>
    <w:rsid w:val="00CA2E65"/>
    <w:rsid w:val="00CA2EA1"/>
    <w:rsid w:val="00CA3665"/>
    <w:rsid w:val="00CA3FC7"/>
    <w:rsid w:val="00CA41E7"/>
    <w:rsid w:val="00CA4B2B"/>
    <w:rsid w:val="00CA5520"/>
    <w:rsid w:val="00CA5812"/>
    <w:rsid w:val="00CA5BD4"/>
    <w:rsid w:val="00CA5C14"/>
    <w:rsid w:val="00CA6882"/>
    <w:rsid w:val="00CA6FDF"/>
    <w:rsid w:val="00CA76FC"/>
    <w:rsid w:val="00CA77EF"/>
    <w:rsid w:val="00CA7DB5"/>
    <w:rsid w:val="00CA7E7B"/>
    <w:rsid w:val="00CB0236"/>
    <w:rsid w:val="00CB19E3"/>
    <w:rsid w:val="00CB2C3A"/>
    <w:rsid w:val="00CB2D38"/>
    <w:rsid w:val="00CB31D6"/>
    <w:rsid w:val="00CB4137"/>
    <w:rsid w:val="00CB52D0"/>
    <w:rsid w:val="00CB5578"/>
    <w:rsid w:val="00CB5671"/>
    <w:rsid w:val="00CB591C"/>
    <w:rsid w:val="00CB5943"/>
    <w:rsid w:val="00CB5E6C"/>
    <w:rsid w:val="00CB61B3"/>
    <w:rsid w:val="00CB6F83"/>
    <w:rsid w:val="00CB72AE"/>
    <w:rsid w:val="00CB78AD"/>
    <w:rsid w:val="00CC00CD"/>
    <w:rsid w:val="00CC02EB"/>
    <w:rsid w:val="00CC0579"/>
    <w:rsid w:val="00CC0AF3"/>
    <w:rsid w:val="00CC0BC6"/>
    <w:rsid w:val="00CC0E68"/>
    <w:rsid w:val="00CC21AC"/>
    <w:rsid w:val="00CC2514"/>
    <w:rsid w:val="00CC2756"/>
    <w:rsid w:val="00CC2F69"/>
    <w:rsid w:val="00CC315F"/>
    <w:rsid w:val="00CC3D38"/>
    <w:rsid w:val="00CC404B"/>
    <w:rsid w:val="00CC40C3"/>
    <w:rsid w:val="00CC4E5D"/>
    <w:rsid w:val="00CC50AE"/>
    <w:rsid w:val="00CC518A"/>
    <w:rsid w:val="00CC5D9A"/>
    <w:rsid w:val="00CC5ED4"/>
    <w:rsid w:val="00CC61B7"/>
    <w:rsid w:val="00CC61CA"/>
    <w:rsid w:val="00CC6668"/>
    <w:rsid w:val="00CC69EC"/>
    <w:rsid w:val="00CC71D3"/>
    <w:rsid w:val="00CC743D"/>
    <w:rsid w:val="00CC7E86"/>
    <w:rsid w:val="00CD02AB"/>
    <w:rsid w:val="00CD050A"/>
    <w:rsid w:val="00CD1675"/>
    <w:rsid w:val="00CD205D"/>
    <w:rsid w:val="00CD2A22"/>
    <w:rsid w:val="00CD2B50"/>
    <w:rsid w:val="00CD2BAF"/>
    <w:rsid w:val="00CD4506"/>
    <w:rsid w:val="00CD4AF9"/>
    <w:rsid w:val="00CD4C90"/>
    <w:rsid w:val="00CD520B"/>
    <w:rsid w:val="00CD592E"/>
    <w:rsid w:val="00CD5982"/>
    <w:rsid w:val="00CD5A1A"/>
    <w:rsid w:val="00CD77E1"/>
    <w:rsid w:val="00CD7EFA"/>
    <w:rsid w:val="00CE020E"/>
    <w:rsid w:val="00CE0566"/>
    <w:rsid w:val="00CE12A4"/>
    <w:rsid w:val="00CE1CD4"/>
    <w:rsid w:val="00CE23FE"/>
    <w:rsid w:val="00CE2761"/>
    <w:rsid w:val="00CE314E"/>
    <w:rsid w:val="00CE3D5C"/>
    <w:rsid w:val="00CE3E14"/>
    <w:rsid w:val="00CE44C7"/>
    <w:rsid w:val="00CE53CC"/>
    <w:rsid w:val="00CE626A"/>
    <w:rsid w:val="00CE65A7"/>
    <w:rsid w:val="00CE68FE"/>
    <w:rsid w:val="00CE69CC"/>
    <w:rsid w:val="00CE6E98"/>
    <w:rsid w:val="00CE6EC4"/>
    <w:rsid w:val="00CE7A77"/>
    <w:rsid w:val="00CE7F26"/>
    <w:rsid w:val="00CE7FBF"/>
    <w:rsid w:val="00CF0CEA"/>
    <w:rsid w:val="00CF108D"/>
    <w:rsid w:val="00CF1226"/>
    <w:rsid w:val="00CF16C0"/>
    <w:rsid w:val="00CF1ABB"/>
    <w:rsid w:val="00CF1E1D"/>
    <w:rsid w:val="00CF24FE"/>
    <w:rsid w:val="00CF27E9"/>
    <w:rsid w:val="00CF35D0"/>
    <w:rsid w:val="00CF3DD5"/>
    <w:rsid w:val="00CF41D5"/>
    <w:rsid w:val="00CF4AF7"/>
    <w:rsid w:val="00CF4D20"/>
    <w:rsid w:val="00CF4E5A"/>
    <w:rsid w:val="00CF73F8"/>
    <w:rsid w:val="00CF7928"/>
    <w:rsid w:val="00CF7A07"/>
    <w:rsid w:val="00CF7CA2"/>
    <w:rsid w:val="00D0027C"/>
    <w:rsid w:val="00D00A8E"/>
    <w:rsid w:val="00D00DE0"/>
    <w:rsid w:val="00D00F79"/>
    <w:rsid w:val="00D012BF"/>
    <w:rsid w:val="00D01760"/>
    <w:rsid w:val="00D018B9"/>
    <w:rsid w:val="00D0350D"/>
    <w:rsid w:val="00D0368E"/>
    <w:rsid w:val="00D039F1"/>
    <w:rsid w:val="00D03D2D"/>
    <w:rsid w:val="00D03E7B"/>
    <w:rsid w:val="00D0401A"/>
    <w:rsid w:val="00D047E0"/>
    <w:rsid w:val="00D04B9F"/>
    <w:rsid w:val="00D04C7E"/>
    <w:rsid w:val="00D04FFB"/>
    <w:rsid w:val="00D05153"/>
    <w:rsid w:val="00D058E9"/>
    <w:rsid w:val="00D0612A"/>
    <w:rsid w:val="00D06A0E"/>
    <w:rsid w:val="00D06A99"/>
    <w:rsid w:val="00D1060D"/>
    <w:rsid w:val="00D10E7C"/>
    <w:rsid w:val="00D11182"/>
    <w:rsid w:val="00D1137B"/>
    <w:rsid w:val="00D11807"/>
    <w:rsid w:val="00D11DB3"/>
    <w:rsid w:val="00D12D82"/>
    <w:rsid w:val="00D12E87"/>
    <w:rsid w:val="00D1306E"/>
    <w:rsid w:val="00D134CD"/>
    <w:rsid w:val="00D14B5F"/>
    <w:rsid w:val="00D14E13"/>
    <w:rsid w:val="00D14F23"/>
    <w:rsid w:val="00D15356"/>
    <w:rsid w:val="00D160AA"/>
    <w:rsid w:val="00D16740"/>
    <w:rsid w:val="00D16A8B"/>
    <w:rsid w:val="00D16E39"/>
    <w:rsid w:val="00D17951"/>
    <w:rsid w:val="00D17AD8"/>
    <w:rsid w:val="00D17B53"/>
    <w:rsid w:val="00D17FC5"/>
    <w:rsid w:val="00D205AF"/>
    <w:rsid w:val="00D2104A"/>
    <w:rsid w:val="00D213F1"/>
    <w:rsid w:val="00D21BB5"/>
    <w:rsid w:val="00D21FFC"/>
    <w:rsid w:val="00D223A3"/>
    <w:rsid w:val="00D223B6"/>
    <w:rsid w:val="00D223E8"/>
    <w:rsid w:val="00D22DC8"/>
    <w:rsid w:val="00D243D3"/>
    <w:rsid w:val="00D24788"/>
    <w:rsid w:val="00D247D4"/>
    <w:rsid w:val="00D24ECD"/>
    <w:rsid w:val="00D24FAD"/>
    <w:rsid w:val="00D2522A"/>
    <w:rsid w:val="00D2531C"/>
    <w:rsid w:val="00D255F3"/>
    <w:rsid w:val="00D26C21"/>
    <w:rsid w:val="00D2742F"/>
    <w:rsid w:val="00D2754F"/>
    <w:rsid w:val="00D279D9"/>
    <w:rsid w:val="00D3030A"/>
    <w:rsid w:val="00D312CE"/>
    <w:rsid w:val="00D312DC"/>
    <w:rsid w:val="00D31B84"/>
    <w:rsid w:val="00D31C6A"/>
    <w:rsid w:val="00D31EDF"/>
    <w:rsid w:val="00D31FF9"/>
    <w:rsid w:val="00D32149"/>
    <w:rsid w:val="00D32256"/>
    <w:rsid w:val="00D32A27"/>
    <w:rsid w:val="00D32ABC"/>
    <w:rsid w:val="00D34B25"/>
    <w:rsid w:val="00D34F4E"/>
    <w:rsid w:val="00D357F3"/>
    <w:rsid w:val="00D35C0E"/>
    <w:rsid w:val="00D36F1E"/>
    <w:rsid w:val="00D373A8"/>
    <w:rsid w:val="00D375FF"/>
    <w:rsid w:val="00D379A5"/>
    <w:rsid w:val="00D401BE"/>
    <w:rsid w:val="00D4043A"/>
    <w:rsid w:val="00D40A8E"/>
    <w:rsid w:val="00D40DB0"/>
    <w:rsid w:val="00D40E05"/>
    <w:rsid w:val="00D40F8B"/>
    <w:rsid w:val="00D4106A"/>
    <w:rsid w:val="00D41858"/>
    <w:rsid w:val="00D422DB"/>
    <w:rsid w:val="00D42A83"/>
    <w:rsid w:val="00D42AC2"/>
    <w:rsid w:val="00D43517"/>
    <w:rsid w:val="00D4498E"/>
    <w:rsid w:val="00D4515F"/>
    <w:rsid w:val="00D451E8"/>
    <w:rsid w:val="00D4636B"/>
    <w:rsid w:val="00D466C9"/>
    <w:rsid w:val="00D467D8"/>
    <w:rsid w:val="00D47275"/>
    <w:rsid w:val="00D4767B"/>
    <w:rsid w:val="00D50414"/>
    <w:rsid w:val="00D50AEF"/>
    <w:rsid w:val="00D50C39"/>
    <w:rsid w:val="00D50F9C"/>
    <w:rsid w:val="00D51E15"/>
    <w:rsid w:val="00D52B7E"/>
    <w:rsid w:val="00D52E2F"/>
    <w:rsid w:val="00D52F59"/>
    <w:rsid w:val="00D53E3E"/>
    <w:rsid w:val="00D53F9B"/>
    <w:rsid w:val="00D555FE"/>
    <w:rsid w:val="00D55904"/>
    <w:rsid w:val="00D5616F"/>
    <w:rsid w:val="00D57940"/>
    <w:rsid w:val="00D579DE"/>
    <w:rsid w:val="00D60327"/>
    <w:rsid w:val="00D61526"/>
    <w:rsid w:val="00D61A0B"/>
    <w:rsid w:val="00D61F81"/>
    <w:rsid w:val="00D623A9"/>
    <w:rsid w:val="00D62BE6"/>
    <w:rsid w:val="00D62F13"/>
    <w:rsid w:val="00D633AC"/>
    <w:rsid w:val="00D63766"/>
    <w:rsid w:val="00D63912"/>
    <w:rsid w:val="00D63923"/>
    <w:rsid w:val="00D6417A"/>
    <w:rsid w:val="00D6451B"/>
    <w:rsid w:val="00D648A0"/>
    <w:rsid w:val="00D64B57"/>
    <w:rsid w:val="00D659EA"/>
    <w:rsid w:val="00D65DEA"/>
    <w:rsid w:val="00D65DFE"/>
    <w:rsid w:val="00D67BC7"/>
    <w:rsid w:val="00D701F1"/>
    <w:rsid w:val="00D705D3"/>
    <w:rsid w:val="00D70A52"/>
    <w:rsid w:val="00D70E00"/>
    <w:rsid w:val="00D715AC"/>
    <w:rsid w:val="00D71851"/>
    <w:rsid w:val="00D718CF"/>
    <w:rsid w:val="00D72146"/>
    <w:rsid w:val="00D728F5"/>
    <w:rsid w:val="00D72E9D"/>
    <w:rsid w:val="00D73249"/>
    <w:rsid w:val="00D73419"/>
    <w:rsid w:val="00D73C19"/>
    <w:rsid w:val="00D73CA9"/>
    <w:rsid w:val="00D7481A"/>
    <w:rsid w:val="00D751B7"/>
    <w:rsid w:val="00D7524B"/>
    <w:rsid w:val="00D75396"/>
    <w:rsid w:val="00D759C0"/>
    <w:rsid w:val="00D75BA7"/>
    <w:rsid w:val="00D75C05"/>
    <w:rsid w:val="00D75E99"/>
    <w:rsid w:val="00D766C7"/>
    <w:rsid w:val="00D7692B"/>
    <w:rsid w:val="00D7734F"/>
    <w:rsid w:val="00D8044C"/>
    <w:rsid w:val="00D805D6"/>
    <w:rsid w:val="00D8075E"/>
    <w:rsid w:val="00D80860"/>
    <w:rsid w:val="00D8090E"/>
    <w:rsid w:val="00D80D4C"/>
    <w:rsid w:val="00D810DB"/>
    <w:rsid w:val="00D8184D"/>
    <w:rsid w:val="00D81A7B"/>
    <w:rsid w:val="00D81FE9"/>
    <w:rsid w:val="00D820E8"/>
    <w:rsid w:val="00D8223C"/>
    <w:rsid w:val="00D82B57"/>
    <w:rsid w:val="00D82CE5"/>
    <w:rsid w:val="00D8342C"/>
    <w:rsid w:val="00D85367"/>
    <w:rsid w:val="00D853FE"/>
    <w:rsid w:val="00D85494"/>
    <w:rsid w:val="00D8582C"/>
    <w:rsid w:val="00D85D61"/>
    <w:rsid w:val="00D86089"/>
    <w:rsid w:val="00D8616D"/>
    <w:rsid w:val="00D8711B"/>
    <w:rsid w:val="00D87384"/>
    <w:rsid w:val="00D9014A"/>
    <w:rsid w:val="00D90683"/>
    <w:rsid w:val="00D91251"/>
    <w:rsid w:val="00D915C8"/>
    <w:rsid w:val="00D91C0A"/>
    <w:rsid w:val="00D9261C"/>
    <w:rsid w:val="00D9310B"/>
    <w:rsid w:val="00D93726"/>
    <w:rsid w:val="00D93DD3"/>
    <w:rsid w:val="00D93F3E"/>
    <w:rsid w:val="00D9405B"/>
    <w:rsid w:val="00D94942"/>
    <w:rsid w:val="00D95145"/>
    <w:rsid w:val="00D95381"/>
    <w:rsid w:val="00D95AB3"/>
    <w:rsid w:val="00D967CB"/>
    <w:rsid w:val="00D96EE0"/>
    <w:rsid w:val="00D96EE5"/>
    <w:rsid w:val="00D97BD1"/>
    <w:rsid w:val="00DA06B8"/>
    <w:rsid w:val="00DA1CA8"/>
    <w:rsid w:val="00DA2343"/>
    <w:rsid w:val="00DA286D"/>
    <w:rsid w:val="00DA2969"/>
    <w:rsid w:val="00DA29B7"/>
    <w:rsid w:val="00DA4842"/>
    <w:rsid w:val="00DA5989"/>
    <w:rsid w:val="00DA5AB1"/>
    <w:rsid w:val="00DA5F9D"/>
    <w:rsid w:val="00DA69B2"/>
    <w:rsid w:val="00DA6A7B"/>
    <w:rsid w:val="00DA7462"/>
    <w:rsid w:val="00DA777E"/>
    <w:rsid w:val="00DA7AD0"/>
    <w:rsid w:val="00DB02D7"/>
    <w:rsid w:val="00DB03CC"/>
    <w:rsid w:val="00DB12D4"/>
    <w:rsid w:val="00DB14F0"/>
    <w:rsid w:val="00DB1745"/>
    <w:rsid w:val="00DB1AFF"/>
    <w:rsid w:val="00DB219A"/>
    <w:rsid w:val="00DB3165"/>
    <w:rsid w:val="00DB4292"/>
    <w:rsid w:val="00DB48C4"/>
    <w:rsid w:val="00DB5196"/>
    <w:rsid w:val="00DB54BC"/>
    <w:rsid w:val="00DB5C03"/>
    <w:rsid w:val="00DB68BB"/>
    <w:rsid w:val="00DB6DBE"/>
    <w:rsid w:val="00DB6E46"/>
    <w:rsid w:val="00DB7117"/>
    <w:rsid w:val="00DB75D9"/>
    <w:rsid w:val="00DB7760"/>
    <w:rsid w:val="00DB7DD4"/>
    <w:rsid w:val="00DB7E44"/>
    <w:rsid w:val="00DC00B4"/>
    <w:rsid w:val="00DC037A"/>
    <w:rsid w:val="00DC0954"/>
    <w:rsid w:val="00DC15BA"/>
    <w:rsid w:val="00DC18CD"/>
    <w:rsid w:val="00DC1A68"/>
    <w:rsid w:val="00DC229A"/>
    <w:rsid w:val="00DC30B8"/>
    <w:rsid w:val="00DC32C6"/>
    <w:rsid w:val="00DC3720"/>
    <w:rsid w:val="00DC3804"/>
    <w:rsid w:val="00DC3B79"/>
    <w:rsid w:val="00DC478F"/>
    <w:rsid w:val="00DC52AB"/>
    <w:rsid w:val="00DC5AC6"/>
    <w:rsid w:val="00DC62E5"/>
    <w:rsid w:val="00DC67EB"/>
    <w:rsid w:val="00DC6AB9"/>
    <w:rsid w:val="00DC6F33"/>
    <w:rsid w:val="00DC7349"/>
    <w:rsid w:val="00DD0B21"/>
    <w:rsid w:val="00DD118B"/>
    <w:rsid w:val="00DD14D8"/>
    <w:rsid w:val="00DD1599"/>
    <w:rsid w:val="00DD177F"/>
    <w:rsid w:val="00DD1B03"/>
    <w:rsid w:val="00DD2A62"/>
    <w:rsid w:val="00DD2F2F"/>
    <w:rsid w:val="00DD2F7A"/>
    <w:rsid w:val="00DD3885"/>
    <w:rsid w:val="00DD4938"/>
    <w:rsid w:val="00DD5056"/>
    <w:rsid w:val="00DD5808"/>
    <w:rsid w:val="00DD5946"/>
    <w:rsid w:val="00DD5B04"/>
    <w:rsid w:val="00DD5DAE"/>
    <w:rsid w:val="00DD5EC6"/>
    <w:rsid w:val="00DD605F"/>
    <w:rsid w:val="00DD6657"/>
    <w:rsid w:val="00DD6D71"/>
    <w:rsid w:val="00DD72A0"/>
    <w:rsid w:val="00DD735D"/>
    <w:rsid w:val="00DD7E17"/>
    <w:rsid w:val="00DE0159"/>
    <w:rsid w:val="00DE064A"/>
    <w:rsid w:val="00DE082D"/>
    <w:rsid w:val="00DE1410"/>
    <w:rsid w:val="00DE1FD8"/>
    <w:rsid w:val="00DE3119"/>
    <w:rsid w:val="00DE3FF0"/>
    <w:rsid w:val="00DE4105"/>
    <w:rsid w:val="00DE5189"/>
    <w:rsid w:val="00DE5680"/>
    <w:rsid w:val="00DE6230"/>
    <w:rsid w:val="00DE6EA5"/>
    <w:rsid w:val="00DE7108"/>
    <w:rsid w:val="00DE78D1"/>
    <w:rsid w:val="00DF0263"/>
    <w:rsid w:val="00DF04FB"/>
    <w:rsid w:val="00DF0EB4"/>
    <w:rsid w:val="00DF1E36"/>
    <w:rsid w:val="00DF1FDB"/>
    <w:rsid w:val="00DF236B"/>
    <w:rsid w:val="00DF2A91"/>
    <w:rsid w:val="00DF2F82"/>
    <w:rsid w:val="00DF3889"/>
    <w:rsid w:val="00DF3B50"/>
    <w:rsid w:val="00DF3CC9"/>
    <w:rsid w:val="00DF4451"/>
    <w:rsid w:val="00DF49FF"/>
    <w:rsid w:val="00DF4FFB"/>
    <w:rsid w:val="00DF5236"/>
    <w:rsid w:val="00DF57B3"/>
    <w:rsid w:val="00DF651F"/>
    <w:rsid w:val="00DF67DF"/>
    <w:rsid w:val="00DF6E10"/>
    <w:rsid w:val="00DF6F43"/>
    <w:rsid w:val="00DF752F"/>
    <w:rsid w:val="00DF76A2"/>
    <w:rsid w:val="00DF7B33"/>
    <w:rsid w:val="00E00B7A"/>
    <w:rsid w:val="00E00DB0"/>
    <w:rsid w:val="00E02186"/>
    <w:rsid w:val="00E0264A"/>
    <w:rsid w:val="00E026BB"/>
    <w:rsid w:val="00E027C5"/>
    <w:rsid w:val="00E02F61"/>
    <w:rsid w:val="00E03114"/>
    <w:rsid w:val="00E03124"/>
    <w:rsid w:val="00E031EB"/>
    <w:rsid w:val="00E03951"/>
    <w:rsid w:val="00E03DB8"/>
    <w:rsid w:val="00E051B3"/>
    <w:rsid w:val="00E05E70"/>
    <w:rsid w:val="00E064BC"/>
    <w:rsid w:val="00E06564"/>
    <w:rsid w:val="00E06734"/>
    <w:rsid w:val="00E07225"/>
    <w:rsid w:val="00E07AAA"/>
    <w:rsid w:val="00E100CA"/>
    <w:rsid w:val="00E109DD"/>
    <w:rsid w:val="00E11229"/>
    <w:rsid w:val="00E114CA"/>
    <w:rsid w:val="00E1185C"/>
    <w:rsid w:val="00E11CF0"/>
    <w:rsid w:val="00E120F9"/>
    <w:rsid w:val="00E132D5"/>
    <w:rsid w:val="00E1397F"/>
    <w:rsid w:val="00E13AB8"/>
    <w:rsid w:val="00E1482E"/>
    <w:rsid w:val="00E16382"/>
    <w:rsid w:val="00E16572"/>
    <w:rsid w:val="00E1699C"/>
    <w:rsid w:val="00E16E75"/>
    <w:rsid w:val="00E17282"/>
    <w:rsid w:val="00E1746D"/>
    <w:rsid w:val="00E2012A"/>
    <w:rsid w:val="00E205A2"/>
    <w:rsid w:val="00E20BA4"/>
    <w:rsid w:val="00E226F9"/>
    <w:rsid w:val="00E23137"/>
    <w:rsid w:val="00E2324A"/>
    <w:rsid w:val="00E23980"/>
    <w:rsid w:val="00E241E9"/>
    <w:rsid w:val="00E24D6A"/>
    <w:rsid w:val="00E2520A"/>
    <w:rsid w:val="00E257C3"/>
    <w:rsid w:val="00E25CB3"/>
    <w:rsid w:val="00E25DA4"/>
    <w:rsid w:val="00E26CB8"/>
    <w:rsid w:val="00E26FCF"/>
    <w:rsid w:val="00E27165"/>
    <w:rsid w:val="00E27226"/>
    <w:rsid w:val="00E27C3F"/>
    <w:rsid w:val="00E3039F"/>
    <w:rsid w:val="00E3044A"/>
    <w:rsid w:val="00E31A4A"/>
    <w:rsid w:val="00E31C43"/>
    <w:rsid w:val="00E32DD5"/>
    <w:rsid w:val="00E32FA8"/>
    <w:rsid w:val="00E3344A"/>
    <w:rsid w:val="00E337CE"/>
    <w:rsid w:val="00E33B29"/>
    <w:rsid w:val="00E33B62"/>
    <w:rsid w:val="00E3403D"/>
    <w:rsid w:val="00E34E6C"/>
    <w:rsid w:val="00E350D8"/>
    <w:rsid w:val="00E3522B"/>
    <w:rsid w:val="00E353E2"/>
    <w:rsid w:val="00E35B65"/>
    <w:rsid w:val="00E36345"/>
    <w:rsid w:val="00E36C86"/>
    <w:rsid w:val="00E36CEB"/>
    <w:rsid w:val="00E37660"/>
    <w:rsid w:val="00E37A28"/>
    <w:rsid w:val="00E40430"/>
    <w:rsid w:val="00E40690"/>
    <w:rsid w:val="00E40AEB"/>
    <w:rsid w:val="00E4143A"/>
    <w:rsid w:val="00E424C8"/>
    <w:rsid w:val="00E4251D"/>
    <w:rsid w:val="00E42F2B"/>
    <w:rsid w:val="00E431B0"/>
    <w:rsid w:val="00E43D00"/>
    <w:rsid w:val="00E445E4"/>
    <w:rsid w:val="00E45740"/>
    <w:rsid w:val="00E457CB"/>
    <w:rsid w:val="00E45D47"/>
    <w:rsid w:val="00E45DE4"/>
    <w:rsid w:val="00E45E63"/>
    <w:rsid w:val="00E46D10"/>
    <w:rsid w:val="00E472AD"/>
    <w:rsid w:val="00E50A7B"/>
    <w:rsid w:val="00E50B0B"/>
    <w:rsid w:val="00E510FE"/>
    <w:rsid w:val="00E511D6"/>
    <w:rsid w:val="00E51C89"/>
    <w:rsid w:val="00E51E25"/>
    <w:rsid w:val="00E5201F"/>
    <w:rsid w:val="00E5205B"/>
    <w:rsid w:val="00E521AE"/>
    <w:rsid w:val="00E52C99"/>
    <w:rsid w:val="00E53BCA"/>
    <w:rsid w:val="00E53F02"/>
    <w:rsid w:val="00E540D5"/>
    <w:rsid w:val="00E54534"/>
    <w:rsid w:val="00E548C3"/>
    <w:rsid w:val="00E54F27"/>
    <w:rsid w:val="00E55552"/>
    <w:rsid w:val="00E556F5"/>
    <w:rsid w:val="00E55FF1"/>
    <w:rsid w:val="00E56090"/>
    <w:rsid w:val="00E565B9"/>
    <w:rsid w:val="00E5733B"/>
    <w:rsid w:val="00E57403"/>
    <w:rsid w:val="00E5756C"/>
    <w:rsid w:val="00E601BE"/>
    <w:rsid w:val="00E60B5F"/>
    <w:rsid w:val="00E613AE"/>
    <w:rsid w:val="00E61429"/>
    <w:rsid w:val="00E61ABB"/>
    <w:rsid w:val="00E61FD7"/>
    <w:rsid w:val="00E623E6"/>
    <w:rsid w:val="00E630C0"/>
    <w:rsid w:val="00E63107"/>
    <w:rsid w:val="00E634E6"/>
    <w:rsid w:val="00E63DCE"/>
    <w:rsid w:val="00E64700"/>
    <w:rsid w:val="00E64E0B"/>
    <w:rsid w:val="00E65074"/>
    <w:rsid w:val="00E65E70"/>
    <w:rsid w:val="00E65EE9"/>
    <w:rsid w:val="00E66087"/>
    <w:rsid w:val="00E66091"/>
    <w:rsid w:val="00E66D79"/>
    <w:rsid w:val="00E66FF9"/>
    <w:rsid w:val="00E673DC"/>
    <w:rsid w:val="00E67856"/>
    <w:rsid w:val="00E679C8"/>
    <w:rsid w:val="00E67E59"/>
    <w:rsid w:val="00E70314"/>
    <w:rsid w:val="00E70355"/>
    <w:rsid w:val="00E709C1"/>
    <w:rsid w:val="00E71238"/>
    <w:rsid w:val="00E724E7"/>
    <w:rsid w:val="00E72B41"/>
    <w:rsid w:val="00E7301D"/>
    <w:rsid w:val="00E7347B"/>
    <w:rsid w:val="00E73D03"/>
    <w:rsid w:val="00E7471C"/>
    <w:rsid w:val="00E7498A"/>
    <w:rsid w:val="00E74A1E"/>
    <w:rsid w:val="00E7514E"/>
    <w:rsid w:val="00E75B34"/>
    <w:rsid w:val="00E76D8A"/>
    <w:rsid w:val="00E77AF5"/>
    <w:rsid w:val="00E8029A"/>
    <w:rsid w:val="00E8050F"/>
    <w:rsid w:val="00E81653"/>
    <w:rsid w:val="00E823F9"/>
    <w:rsid w:val="00E82C1F"/>
    <w:rsid w:val="00E83171"/>
    <w:rsid w:val="00E83671"/>
    <w:rsid w:val="00E8414B"/>
    <w:rsid w:val="00E84A71"/>
    <w:rsid w:val="00E85409"/>
    <w:rsid w:val="00E8544B"/>
    <w:rsid w:val="00E859E8"/>
    <w:rsid w:val="00E85A3A"/>
    <w:rsid w:val="00E86556"/>
    <w:rsid w:val="00E86798"/>
    <w:rsid w:val="00E86D35"/>
    <w:rsid w:val="00E86DC2"/>
    <w:rsid w:val="00E86E32"/>
    <w:rsid w:val="00E8732E"/>
    <w:rsid w:val="00E9011F"/>
    <w:rsid w:val="00E90370"/>
    <w:rsid w:val="00E906EB"/>
    <w:rsid w:val="00E913F9"/>
    <w:rsid w:val="00E9241E"/>
    <w:rsid w:val="00E92460"/>
    <w:rsid w:val="00E92E62"/>
    <w:rsid w:val="00E937BB"/>
    <w:rsid w:val="00E93804"/>
    <w:rsid w:val="00E93A86"/>
    <w:rsid w:val="00E93AA1"/>
    <w:rsid w:val="00E94889"/>
    <w:rsid w:val="00E95434"/>
    <w:rsid w:val="00E96467"/>
    <w:rsid w:val="00E966DA"/>
    <w:rsid w:val="00E96948"/>
    <w:rsid w:val="00E9737B"/>
    <w:rsid w:val="00E97A3F"/>
    <w:rsid w:val="00E97F0A"/>
    <w:rsid w:val="00EA0100"/>
    <w:rsid w:val="00EA010D"/>
    <w:rsid w:val="00EA04DC"/>
    <w:rsid w:val="00EA0886"/>
    <w:rsid w:val="00EA0BCE"/>
    <w:rsid w:val="00EA14AC"/>
    <w:rsid w:val="00EA2726"/>
    <w:rsid w:val="00EA2744"/>
    <w:rsid w:val="00EA2937"/>
    <w:rsid w:val="00EA3626"/>
    <w:rsid w:val="00EA37B9"/>
    <w:rsid w:val="00EA39F7"/>
    <w:rsid w:val="00EA3B27"/>
    <w:rsid w:val="00EA3B95"/>
    <w:rsid w:val="00EA3DC2"/>
    <w:rsid w:val="00EA434E"/>
    <w:rsid w:val="00EA4757"/>
    <w:rsid w:val="00EA519E"/>
    <w:rsid w:val="00EA53D3"/>
    <w:rsid w:val="00EA560B"/>
    <w:rsid w:val="00EA5669"/>
    <w:rsid w:val="00EA5C05"/>
    <w:rsid w:val="00EA63EF"/>
    <w:rsid w:val="00EA6750"/>
    <w:rsid w:val="00EB0A89"/>
    <w:rsid w:val="00EB1573"/>
    <w:rsid w:val="00EB1650"/>
    <w:rsid w:val="00EB1910"/>
    <w:rsid w:val="00EB1D24"/>
    <w:rsid w:val="00EB1E66"/>
    <w:rsid w:val="00EB2E97"/>
    <w:rsid w:val="00EB3416"/>
    <w:rsid w:val="00EB3C38"/>
    <w:rsid w:val="00EB4424"/>
    <w:rsid w:val="00EB45E4"/>
    <w:rsid w:val="00EB4A3B"/>
    <w:rsid w:val="00EB4AE1"/>
    <w:rsid w:val="00EB52F4"/>
    <w:rsid w:val="00EB5694"/>
    <w:rsid w:val="00EB5779"/>
    <w:rsid w:val="00EB57A4"/>
    <w:rsid w:val="00EB6098"/>
    <w:rsid w:val="00EB65ED"/>
    <w:rsid w:val="00EB67F1"/>
    <w:rsid w:val="00EB72CD"/>
    <w:rsid w:val="00EB749A"/>
    <w:rsid w:val="00EB76B6"/>
    <w:rsid w:val="00EB7D8A"/>
    <w:rsid w:val="00EC05E2"/>
    <w:rsid w:val="00EC08AF"/>
    <w:rsid w:val="00EC0B29"/>
    <w:rsid w:val="00EC0E84"/>
    <w:rsid w:val="00EC16E2"/>
    <w:rsid w:val="00EC1CE7"/>
    <w:rsid w:val="00EC1F3F"/>
    <w:rsid w:val="00EC2676"/>
    <w:rsid w:val="00EC26F1"/>
    <w:rsid w:val="00EC36B1"/>
    <w:rsid w:val="00EC3C94"/>
    <w:rsid w:val="00EC44DF"/>
    <w:rsid w:val="00EC48D5"/>
    <w:rsid w:val="00EC4AB1"/>
    <w:rsid w:val="00EC4FB9"/>
    <w:rsid w:val="00EC51FA"/>
    <w:rsid w:val="00EC5393"/>
    <w:rsid w:val="00EC5741"/>
    <w:rsid w:val="00EC5ACE"/>
    <w:rsid w:val="00EC5AE3"/>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A2"/>
    <w:rsid w:val="00ED4967"/>
    <w:rsid w:val="00ED4EC8"/>
    <w:rsid w:val="00ED510D"/>
    <w:rsid w:val="00ED5140"/>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5E2"/>
    <w:rsid w:val="00EE162F"/>
    <w:rsid w:val="00EE1668"/>
    <w:rsid w:val="00EE1B27"/>
    <w:rsid w:val="00EE2854"/>
    <w:rsid w:val="00EE341D"/>
    <w:rsid w:val="00EE34D4"/>
    <w:rsid w:val="00EE366D"/>
    <w:rsid w:val="00EE5350"/>
    <w:rsid w:val="00EE5454"/>
    <w:rsid w:val="00EE58B8"/>
    <w:rsid w:val="00EE59B5"/>
    <w:rsid w:val="00EE5CF6"/>
    <w:rsid w:val="00EE5D1D"/>
    <w:rsid w:val="00EE5FB7"/>
    <w:rsid w:val="00EE6A1A"/>
    <w:rsid w:val="00EE77C3"/>
    <w:rsid w:val="00EE7B54"/>
    <w:rsid w:val="00EE7C88"/>
    <w:rsid w:val="00EE7C8B"/>
    <w:rsid w:val="00EF000B"/>
    <w:rsid w:val="00EF0209"/>
    <w:rsid w:val="00EF0EA4"/>
    <w:rsid w:val="00EF1A3D"/>
    <w:rsid w:val="00EF1E97"/>
    <w:rsid w:val="00EF2436"/>
    <w:rsid w:val="00EF2547"/>
    <w:rsid w:val="00EF2B2B"/>
    <w:rsid w:val="00EF2E1C"/>
    <w:rsid w:val="00EF2FD6"/>
    <w:rsid w:val="00EF326A"/>
    <w:rsid w:val="00EF427A"/>
    <w:rsid w:val="00EF45DF"/>
    <w:rsid w:val="00EF4952"/>
    <w:rsid w:val="00EF498F"/>
    <w:rsid w:val="00EF4A42"/>
    <w:rsid w:val="00EF510C"/>
    <w:rsid w:val="00EF55C4"/>
    <w:rsid w:val="00EF57BC"/>
    <w:rsid w:val="00EF5FD2"/>
    <w:rsid w:val="00EF6784"/>
    <w:rsid w:val="00EF688A"/>
    <w:rsid w:val="00EF6A03"/>
    <w:rsid w:val="00EF6DC2"/>
    <w:rsid w:val="00EF7BF4"/>
    <w:rsid w:val="00F002D7"/>
    <w:rsid w:val="00F0030F"/>
    <w:rsid w:val="00F00674"/>
    <w:rsid w:val="00F00694"/>
    <w:rsid w:val="00F01657"/>
    <w:rsid w:val="00F01E67"/>
    <w:rsid w:val="00F02704"/>
    <w:rsid w:val="00F02744"/>
    <w:rsid w:val="00F02BFD"/>
    <w:rsid w:val="00F02D25"/>
    <w:rsid w:val="00F0351E"/>
    <w:rsid w:val="00F0435D"/>
    <w:rsid w:val="00F04580"/>
    <w:rsid w:val="00F04ECA"/>
    <w:rsid w:val="00F05089"/>
    <w:rsid w:val="00F05DC2"/>
    <w:rsid w:val="00F0640E"/>
    <w:rsid w:val="00F06E19"/>
    <w:rsid w:val="00F06F84"/>
    <w:rsid w:val="00F076E7"/>
    <w:rsid w:val="00F07AA1"/>
    <w:rsid w:val="00F105AE"/>
    <w:rsid w:val="00F10618"/>
    <w:rsid w:val="00F1108B"/>
    <w:rsid w:val="00F116EC"/>
    <w:rsid w:val="00F11768"/>
    <w:rsid w:val="00F11951"/>
    <w:rsid w:val="00F11BA8"/>
    <w:rsid w:val="00F12262"/>
    <w:rsid w:val="00F12AF8"/>
    <w:rsid w:val="00F12C52"/>
    <w:rsid w:val="00F148B7"/>
    <w:rsid w:val="00F14EA9"/>
    <w:rsid w:val="00F151DA"/>
    <w:rsid w:val="00F15505"/>
    <w:rsid w:val="00F15BFF"/>
    <w:rsid w:val="00F16974"/>
    <w:rsid w:val="00F17105"/>
    <w:rsid w:val="00F20A0B"/>
    <w:rsid w:val="00F213A0"/>
    <w:rsid w:val="00F217AB"/>
    <w:rsid w:val="00F21A51"/>
    <w:rsid w:val="00F21D54"/>
    <w:rsid w:val="00F21D6D"/>
    <w:rsid w:val="00F21EF4"/>
    <w:rsid w:val="00F23113"/>
    <w:rsid w:val="00F23255"/>
    <w:rsid w:val="00F23393"/>
    <w:rsid w:val="00F23759"/>
    <w:rsid w:val="00F23CB5"/>
    <w:rsid w:val="00F23D19"/>
    <w:rsid w:val="00F24644"/>
    <w:rsid w:val="00F250F6"/>
    <w:rsid w:val="00F2520A"/>
    <w:rsid w:val="00F256FD"/>
    <w:rsid w:val="00F259F1"/>
    <w:rsid w:val="00F25D1F"/>
    <w:rsid w:val="00F26F33"/>
    <w:rsid w:val="00F277F0"/>
    <w:rsid w:val="00F27E74"/>
    <w:rsid w:val="00F300A8"/>
    <w:rsid w:val="00F30265"/>
    <w:rsid w:val="00F30400"/>
    <w:rsid w:val="00F3079E"/>
    <w:rsid w:val="00F326BD"/>
    <w:rsid w:val="00F32C50"/>
    <w:rsid w:val="00F32EBA"/>
    <w:rsid w:val="00F32EE9"/>
    <w:rsid w:val="00F33980"/>
    <w:rsid w:val="00F3399B"/>
    <w:rsid w:val="00F33C1A"/>
    <w:rsid w:val="00F3461B"/>
    <w:rsid w:val="00F346ED"/>
    <w:rsid w:val="00F34945"/>
    <w:rsid w:val="00F349AD"/>
    <w:rsid w:val="00F34E1E"/>
    <w:rsid w:val="00F3570C"/>
    <w:rsid w:val="00F368FF"/>
    <w:rsid w:val="00F37068"/>
    <w:rsid w:val="00F37CE4"/>
    <w:rsid w:val="00F37F3F"/>
    <w:rsid w:val="00F407DF"/>
    <w:rsid w:val="00F40992"/>
    <w:rsid w:val="00F40AEC"/>
    <w:rsid w:val="00F40EA1"/>
    <w:rsid w:val="00F40EDD"/>
    <w:rsid w:val="00F412DF"/>
    <w:rsid w:val="00F413A2"/>
    <w:rsid w:val="00F41596"/>
    <w:rsid w:val="00F41883"/>
    <w:rsid w:val="00F41D8B"/>
    <w:rsid w:val="00F42121"/>
    <w:rsid w:val="00F424B3"/>
    <w:rsid w:val="00F428B1"/>
    <w:rsid w:val="00F428B4"/>
    <w:rsid w:val="00F4345D"/>
    <w:rsid w:val="00F4387B"/>
    <w:rsid w:val="00F449DA"/>
    <w:rsid w:val="00F4518D"/>
    <w:rsid w:val="00F45878"/>
    <w:rsid w:val="00F45B2C"/>
    <w:rsid w:val="00F45B91"/>
    <w:rsid w:val="00F46639"/>
    <w:rsid w:val="00F46692"/>
    <w:rsid w:val="00F46BD5"/>
    <w:rsid w:val="00F474BD"/>
    <w:rsid w:val="00F47AAA"/>
    <w:rsid w:val="00F50183"/>
    <w:rsid w:val="00F50D92"/>
    <w:rsid w:val="00F51765"/>
    <w:rsid w:val="00F51A51"/>
    <w:rsid w:val="00F51CB4"/>
    <w:rsid w:val="00F52324"/>
    <w:rsid w:val="00F52950"/>
    <w:rsid w:val="00F52C9D"/>
    <w:rsid w:val="00F52E39"/>
    <w:rsid w:val="00F533F1"/>
    <w:rsid w:val="00F53B74"/>
    <w:rsid w:val="00F53BA6"/>
    <w:rsid w:val="00F5502D"/>
    <w:rsid w:val="00F55679"/>
    <w:rsid w:val="00F561E3"/>
    <w:rsid w:val="00F56318"/>
    <w:rsid w:val="00F565E6"/>
    <w:rsid w:val="00F56AFA"/>
    <w:rsid w:val="00F575E2"/>
    <w:rsid w:val="00F579FF"/>
    <w:rsid w:val="00F600E0"/>
    <w:rsid w:val="00F600FD"/>
    <w:rsid w:val="00F605EC"/>
    <w:rsid w:val="00F60F60"/>
    <w:rsid w:val="00F612CE"/>
    <w:rsid w:val="00F61E71"/>
    <w:rsid w:val="00F624A7"/>
    <w:rsid w:val="00F62AB6"/>
    <w:rsid w:val="00F62E1B"/>
    <w:rsid w:val="00F6392E"/>
    <w:rsid w:val="00F63984"/>
    <w:rsid w:val="00F643C7"/>
    <w:rsid w:val="00F65A3C"/>
    <w:rsid w:val="00F66135"/>
    <w:rsid w:val="00F66282"/>
    <w:rsid w:val="00F66491"/>
    <w:rsid w:val="00F67D8B"/>
    <w:rsid w:val="00F70961"/>
    <w:rsid w:val="00F70A8F"/>
    <w:rsid w:val="00F71397"/>
    <w:rsid w:val="00F72389"/>
    <w:rsid w:val="00F72516"/>
    <w:rsid w:val="00F72FB4"/>
    <w:rsid w:val="00F735E5"/>
    <w:rsid w:val="00F73DD9"/>
    <w:rsid w:val="00F73E80"/>
    <w:rsid w:val="00F7469C"/>
    <w:rsid w:val="00F747E9"/>
    <w:rsid w:val="00F7492E"/>
    <w:rsid w:val="00F74945"/>
    <w:rsid w:val="00F749A3"/>
    <w:rsid w:val="00F74A04"/>
    <w:rsid w:val="00F74AE8"/>
    <w:rsid w:val="00F74F57"/>
    <w:rsid w:val="00F76C11"/>
    <w:rsid w:val="00F77021"/>
    <w:rsid w:val="00F7748C"/>
    <w:rsid w:val="00F77E61"/>
    <w:rsid w:val="00F814B2"/>
    <w:rsid w:val="00F815AC"/>
    <w:rsid w:val="00F82E79"/>
    <w:rsid w:val="00F83200"/>
    <w:rsid w:val="00F83621"/>
    <w:rsid w:val="00F836E0"/>
    <w:rsid w:val="00F8389F"/>
    <w:rsid w:val="00F83B33"/>
    <w:rsid w:val="00F83CAE"/>
    <w:rsid w:val="00F840BF"/>
    <w:rsid w:val="00F8415D"/>
    <w:rsid w:val="00F8427A"/>
    <w:rsid w:val="00F843DF"/>
    <w:rsid w:val="00F84899"/>
    <w:rsid w:val="00F84A0A"/>
    <w:rsid w:val="00F84B9D"/>
    <w:rsid w:val="00F853A5"/>
    <w:rsid w:val="00F85585"/>
    <w:rsid w:val="00F859F0"/>
    <w:rsid w:val="00F85CC1"/>
    <w:rsid w:val="00F86A41"/>
    <w:rsid w:val="00F86B5D"/>
    <w:rsid w:val="00F86F93"/>
    <w:rsid w:val="00F87464"/>
    <w:rsid w:val="00F87634"/>
    <w:rsid w:val="00F87765"/>
    <w:rsid w:val="00F87C13"/>
    <w:rsid w:val="00F87C5A"/>
    <w:rsid w:val="00F87E29"/>
    <w:rsid w:val="00F87F18"/>
    <w:rsid w:val="00F87F68"/>
    <w:rsid w:val="00F90C4D"/>
    <w:rsid w:val="00F90D0F"/>
    <w:rsid w:val="00F9167D"/>
    <w:rsid w:val="00F91CB2"/>
    <w:rsid w:val="00F9289C"/>
    <w:rsid w:val="00F93DBC"/>
    <w:rsid w:val="00F93E41"/>
    <w:rsid w:val="00F94644"/>
    <w:rsid w:val="00F94B13"/>
    <w:rsid w:val="00F95075"/>
    <w:rsid w:val="00F95252"/>
    <w:rsid w:val="00F9537B"/>
    <w:rsid w:val="00F95567"/>
    <w:rsid w:val="00F963FC"/>
    <w:rsid w:val="00F96D27"/>
    <w:rsid w:val="00FA015F"/>
    <w:rsid w:val="00FA0687"/>
    <w:rsid w:val="00FA0FAC"/>
    <w:rsid w:val="00FA1DA2"/>
    <w:rsid w:val="00FA2EC7"/>
    <w:rsid w:val="00FA310E"/>
    <w:rsid w:val="00FA3414"/>
    <w:rsid w:val="00FA347A"/>
    <w:rsid w:val="00FA39D7"/>
    <w:rsid w:val="00FA3CDE"/>
    <w:rsid w:val="00FA4691"/>
    <w:rsid w:val="00FA49B7"/>
    <w:rsid w:val="00FA5043"/>
    <w:rsid w:val="00FA6F8B"/>
    <w:rsid w:val="00FA7A30"/>
    <w:rsid w:val="00FB033F"/>
    <w:rsid w:val="00FB12E3"/>
    <w:rsid w:val="00FB1570"/>
    <w:rsid w:val="00FB193B"/>
    <w:rsid w:val="00FB1FBC"/>
    <w:rsid w:val="00FB27B7"/>
    <w:rsid w:val="00FB2C36"/>
    <w:rsid w:val="00FB3483"/>
    <w:rsid w:val="00FB35E3"/>
    <w:rsid w:val="00FB4D3F"/>
    <w:rsid w:val="00FB583C"/>
    <w:rsid w:val="00FB630E"/>
    <w:rsid w:val="00FB6738"/>
    <w:rsid w:val="00FB691B"/>
    <w:rsid w:val="00FB731C"/>
    <w:rsid w:val="00FB7DF8"/>
    <w:rsid w:val="00FC05A0"/>
    <w:rsid w:val="00FC0811"/>
    <w:rsid w:val="00FC1196"/>
    <w:rsid w:val="00FC15EB"/>
    <w:rsid w:val="00FC18DC"/>
    <w:rsid w:val="00FC2AC4"/>
    <w:rsid w:val="00FC2B08"/>
    <w:rsid w:val="00FC2F73"/>
    <w:rsid w:val="00FC3A9B"/>
    <w:rsid w:val="00FC3AE1"/>
    <w:rsid w:val="00FC3DFC"/>
    <w:rsid w:val="00FC3EF4"/>
    <w:rsid w:val="00FC431B"/>
    <w:rsid w:val="00FC434C"/>
    <w:rsid w:val="00FC4FDF"/>
    <w:rsid w:val="00FC5CF4"/>
    <w:rsid w:val="00FC6A39"/>
    <w:rsid w:val="00FC6E50"/>
    <w:rsid w:val="00FC79AB"/>
    <w:rsid w:val="00FC7BE7"/>
    <w:rsid w:val="00FC7D93"/>
    <w:rsid w:val="00FC7DAC"/>
    <w:rsid w:val="00FD04AE"/>
    <w:rsid w:val="00FD1890"/>
    <w:rsid w:val="00FD1994"/>
    <w:rsid w:val="00FD269A"/>
    <w:rsid w:val="00FD2AC8"/>
    <w:rsid w:val="00FD2CA6"/>
    <w:rsid w:val="00FD3508"/>
    <w:rsid w:val="00FD36B5"/>
    <w:rsid w:val="00FD393C"/>
    <w:rsid w:val="00FD43BB"/>
    <w:rsid w:val="00FD4618"/>
    <w:rsid w:val="00FD4A85"/>
    <w:rsid w:val="00FD4AF3"/>
    <w:rsid w:val="00FD556A"/>
    <w:rsid w:val="00FD6300"/>
    <w:rsid w:val="00FD798D"/>
    <w:rsid w:val="00FD7FB9"/>
    <w:rsid w:val="00FE10F6"/>
    <w:rsid w:val="00FE1418"/>
    <w:rsid w:val="00FE141E"/>
    <w:rsid w:val="00FE144E"/>
    <w:rsid w:val="00FE1768"/>
    <w:rsid w:val="00FE24F4"/>
    <w:rsid w:val="00FE2560"/>
    <w:rsid w:val="00FE35D0"/>
    <w:rsid w:val="00FE39DD"/>
    <w:rsid w:val="00FE41AC"/>
    <w:rsid w:val="00FE42ED"/>
    <w:rsid w:val="00FE4371"/>
    <w:rsid w:val="00FE4C6D"/>
    <w:rsid w:val="00FE502D"/>
    <w:rsid w:val="00FE51FD"/>
    <w:rsid w:val="00FE55A7"/>
    <w:rsid w:val="00FE55E6"/>
    <w:rsid w:val="00FE56D5"/>
    <w:rsid w:val="00FE5C5A"/>
    <w:rsid w:val="00FE6432"/>
    <w:rsid w:val="00FE72A0"/>
    <w:rsid w:val="00FF0050"/>
    <w:rsid w:val="00FF045F"/>
    <w:rsid w:val="00FF0712"/>
    <w:rsid w:val="00FF11D3"/>
    <w:rsid w:val="00FF13D4"/>
    <w:rsid w:val="00FF2053"/>
    <w:rsid w:val="00FF2C63"/>
    <w:rsid w:val="00FF3B37"/>
    <w:rsid w:val="00FF3D6F"/>
    <w:rsid w:val="00FF3FE5"/>
    <w:rsid w:val="00FF40FA"/>
    <w:rsid w:val="00FF4BD8"/>
    <w:rsid w:val="00FF4D11"/>
    <w:rsid w:val="00FF50BD"/>
    <w:rsid w:val="00FF5214"/>
    <w:rsid w:val="00FF5403"/>
    <w:rsid w:val="00FF596E"/>
    <w:rsid w:val="00FF5B59"/>
    <w:rsid w:val="00FF5BFD"/>
    <w:rsid w:val="00FF5C01"/>
    <w:rsid w:val="00FF5F9D"/>
    <w:rsid w:val="00FF6095"/>
    <w:rsid w:val="00FF628B"/>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E7B7A6D8-5071-43F7-8E26-9CBF3DE87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988"/>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00DB0"/>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4222E3"/>
    <w:pPr>
      <w:spacing w:after="0" w:line="240" w:lineRule="auto"/>
    </w:pPr>
    <w:rPr>
      <w:rFonts w:ascii="Times New Roman" w:eastAsia="Times New Roman" w:hAnsi="Times New Roman" w:cs="Times New Roman"/>
      <w:sz w:val="24"/>
      <w:szCs w:val="24"/>
      <w:lang w:eastAsia="es-ES_tradnl"/>
    </w:rPr>
  </w:style>
  <w:style w:type="character" w:customStyle="1" w:styleId="Mencinsinresolver4">
    <w:name w:val="Mención sin resolver4"/>
    <w:basedOn w:val="Fuentedeprrafopredeter"/>
    <w:uiPriority w:val="99"/>
    <w:semiHidden/>
    <w:unhideWhenUsed/>
    <w:rsid w:val="00755C31"/>
    <w:rPr>
      <w:color w:val="605E5C"/>
      <w:shd w:val="clear" w:color="auto" w:fill="E1DFDD"/>
    </w:rPr>
  </w:style>
  <w:style w:type="table" w:customStyle="1" w:styleId="Tablaconcuadrcula3">
    <w:name w:val="Tabla con cuadrícula3"/>
    <w:basedOn w:val="Tablanormal"/>
    <w:next w:val="Tablaconcuadrcula"/>
    <w:uiPriority w:val="39"/>
    <w:qFormat/>
    <w:rsid w:val="00384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semiHidden/>
    <w:rsid w:val="00E00DB0"/>
    <w:rPr>
      <w:rFonts w:asciiTheme="majorHAnsi" w:eastAsiaTheme="majorEastAsia" w:hAnsiTheme="majorHAnsi" w:cstheme="majorBidi"/>
      <w:color w:val="365F91" w:themeColor="accent1" w:themeShade="BF"/>
      <w:sz w:val="26"/>
      <w:szCs w:val="26"/>
      <w:lang w:eastAsia="es-ES_tradnl"/>
    </w:rPr>
  </w:style>
  <w:style w:type="table" w:customStyle="1" w:styleId="Tablaconcuadrcula4">
    <w:name w:val="Tabla con cuadrícula4"/>
    <w:basedOn w:val="Tablanormal"/>
    <w:next w:val="Tablaconcuadrcula"/>
    <w:uiPriority w:val="39"/>
    <w:qFormat/>
    <w:rsid w:val="00D62F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983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099634">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534283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96267">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64672525">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945414">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0968980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001770">
      <w:bodyDiv w:val="1"/>
      <w:marLeft w:val="0"/>
      <w:marRight w:val="0"/>
      <w:marTop w:val="0"/>
      <w:marBottom w:val="0"/>
      <w:divBdr>
        <w:top w:val="none" w:sz="0" w:space="0" w:color="auto"/>
        <w:left w:val="none" w:sz="0" w:space="0" w:color="auto"/>
        <w:bottom w:val="none" w:sz="0" w:space="0" w:color="auto"/>
        <w:right w:val="none" w:sz="0" w:space="0" w:color="auto"/>
      </w:divBdr>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0629527">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3829159">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2080136">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78172304">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776126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7346258">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36527277">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59378249">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4529961">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9502989">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51349580">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235734">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22AD38-1995-46B9-9577-28F2B48294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61403E-30E4-4FA9-9E2F-88B7A57C34C4}">
  <ds:schemaRefs>
    <ds:schemaRef ds:uri="http://schemas.openxmlformats.org/officeDocument/2006/bibliography"/>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15</Pages>
  <Words>4973</Words>
  <Characters>27353</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Jorge Eliecer Moran Buitrón</cp:lastModifiedBy>
  <cp:revision>4</cp:revision>
  <cp:lastPrinted>2020-01-30T15:05:00Z</cp:lastPrinted>
  <dcterms:created xsi:type="dcterms:W3CDTF">2022-10-27T23:52:00Z</dcterms:created>
  <dcterms:modified xsi:type="dcterms:W3CDTF">2022-10-28T21:17:00Z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