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35D8CE" w14:textId="77777777" w:rsidR="00201A43" w:rsidRPr="00E55A10" w:rsidRDefault="00201A43" w:rsidP="00201A43">
      <w:pPr>
        <w:jc w:val="both"/>
        <w:rPr>
          <w:rFonts w:ascii="Geomanist Light" w:eastAsia="Calibri" w:hAnsi="Geomanist Light" w:cs="Arial"/>
          <w:b/>
          <w:color w:val="0D0D0D"/>
          <w:sz w:val="20"/>
          <w:szCs w:val="20"/>
          <w:bdr w:val="none" w:sz="0" w:space="0" w:color="auto" w:frame="1"/>
          <w:lang w:val="es-MX" w:eastAsia="es-CO"/>
        </w:rPr>
      </w:pPr>
      <w:r w:rsidRPr="00E55A10">
        <w:rPr>
          <w:rFonts w:ascii="Geomanist Light" w:eastAsia="Calibri" w:hAnsi="Geomanist Light" w:cs="Arial"/>
          <w:b/>
          <w:color w:val="0D0D0D"/>
          <w:sz w:val="20"/>
          <w:szCs w:val="20"/>
          <w:bdr w:val="none" w:sz="0" w:space="0" w:color="auto" w:frame="1"/>
          <w:lang w:val="es-MX" w:eastAsia="es-CO"/>
        </w:rPr>
        <w:t xml:space="preserve">DOCUMENTOS TIPO – Infraestructura de transporte – Matriz 1 </w:t>
      </w:r>
    </w:p>
    <w:p w14:paraId="2CCAFFAC" w14:textId="77777777" w:rsidR="00201A43" w:rsidRPr="00E55A10" w:rsidRDefault="00201A43" w:rsidP="00201A43">
      <w:pPr>
        <w:jc w:val="both"/>
        <w:rPr>
          <w:rFonts w:ascii="Geomanist Light" w:eastAsia="Calibri" w:hAnsi="Geomanist Light" w:cs="Arial"/>
          <w:b/>
          <w:color w:val="0D0D0D"/>
          <w:sz w:val="20"/>
          <w:szCs w:val="20"/>
          <w:bdr w:val="none" w:sz="0" w:space="0" w:color="auto" w:frame="1"/>
          <w:lang w:val="es-MX" w:eastAsia="es-CO"/>
        </w:rPr>
      </w:pPr>
    </w:p>
    <w:p w14:paraId="02BF431B" w14:textId="77777777" w:rsidR="00201A43" w:rsidRPr="00E55A10" w:rsidRDefault="00201A43" w:rsidP="00201A43">
      <w:pPr>
        <w:spacing w:after="120"/>
        <w:jc w:val="both"/>
        <w:rPr>
          <w:rFonts w:ascii="Geomanist Light" w:eastAsia="Calibri" w:hAnsi="Geomanist Light" w:cs="Arial"/>
          <w:color w:val="000000"/>
          <w:sz w:val="20"/>
          <w:szCs w:val="20"/>
          <w:lang w:val="es-MX" w:eastAsia="en-US"/>
        </w:rPr>
      </w:pPr>
      <w:r>
        <w:rPr>
          <w:rFonts w:ascii="Geomanist Light" w:eastAsia="Calibri" w:hAnsi="Geomanist Light" w:cs="Arial"/>
          <w:color w:val="000000"/>
          <w:sz w:val="20"/>
          <w:szCs w:val="20"/>
          <w:lang w:val="es-MX" w:eastAsia="en-US"/>
        </w:rPr>
        <w:t xml:space="preserve">[…] </w:t>
      </w:r>
      <w:r w:rsidRPr="00E55A10">
        <w:rPr>
          <w:rFonts w:ascii="Geomanist Light" w:eastAsia="Calibri" w:hAnsi="Geomanist Light" w:cs="Arial"/>
          <w:color w:val="000000"/>
          <w:sz w:val="20"/>
          <w:szCs w:val="20"/>
          <w:lang w:val="es-MX" w:eastAsia="en-US"/>
        </w:rPr>
        <w:t xml:space="preserve">de acuerdo con las condiciones fijadas en el «Documento Base» de la Resolución No. 240 del 27 de noviembre de 2020, modificado por la Resolución No. 275 de 2022, la acreditación del requisito habilitante de experiencia se aborda desde distintos criterios. En primer lugar, los contratos presentados por los proponentes deben corresponder a la actividad o actividades de experiencia general y específica que la entidad exija en el pliego de condiciones, de acuerdo con los parámetros señalados en la Matriz 1. En segundo lugar, los proponentes deben acreditar el cumplimiento de las condiciones fijadas con mínimo uno (1) y máximo cinco (5) contratos, que debieron terminar antes de la fecha de cierre del proceso de contratación. El número de contratos aportados por el proponente debe certificar un valor mínimo correspondiente a un porcentaje del presupuesto oficial del proceso de obra expresado en SMMLV, cuya verificación se hará de acuerdo con la sumatoria de los valores totales ejecutados de los contratos que cumplan con los requisitos establecidos en el pliego de condiciones. </w:t>
      </w:r>
    </w:p>
    <w:p w14:paraId="7E7E0798" w14:textId="77777777" w:rsidR="00201A43" w:rsidRPr="00E55A10" w:rsidRDefault="00201A43" w:rsidP="00201A43">
      <w:pPr>
        <w:jc w:val="both"/>
        <w:textAlignment w:val="baseline"/>
        <w:rPr>
          <w:rFonts w:ascii="Geomanist Light" w:hAnsi="Geomanist Light" w:cs="Arial"/>
          <w:b/>
          <w:bCs/>
          <w:color w:val="000000"/>
          <w:sz w:val="20"/>
          <w:szCs w:val="20"/>
          <w:lang w:val="es-MX" w:eastAsia="es-CO"/>
        </w:rPr>
      </w:pPr>
      <w:r w:rsidRPr="00E55A10">
        <w:rPr>
          <w:rFonts w:ascii="Geomanist Light" w:hAnsi="Geomanist Light" w:cs="Arial"/>
          <w:b/>
          <w:bCs/>
          <w:color w:val="000000"/>
          <w:sz w:val="20"/>
          <w:szCs w:val="20"/>
          <w:lang w:val="es-MX" w:eastAsia="es-CO"/>
        </w:rPr>
        <w:t>DOCUMENTOS TIPO – Matriz 1 – Experiencia – Aplicación – Complejidad</w:t>
      </w:r>
    </w:p>
    <w:p w14:paraId="43F6598B" w14:textId="77777777" w:rsidR="00201A43" w:rsidRPr="00E55A10" w:rsidRDefault="00201A43" w:rsidP="00201A43">
      <w:pPr>
        <w:jc w:val="both"/>
        <w:textAlignment w:val="baseline"/>
        <w:rPr>
          <w:rFonts w:ascii="Geomanist Light" w:hAnsi="Geomanist Light" w:cs="Arial"/>
          <w:bCs/>
          <w:color w:val="000000"/>
          <w:sz w:val="20"/>
          <w:szCs w:val="20"/>
          <w:lang w:val="es-MX" w:eastAsia="es-CO"/>
        </w:rPr>
      </w:pPr>
    </w:p>
    <w:p w14:paraId="5CD5F5B2" w14:textId="77777777" w:rsidR="00201A43" w:rsidRPr="00E55A10" w:rsidRDefault="00201A43" w:rsidP="00201A43">
      <w:pPr>
        <w:jc w:val="both"/>
        <w:textAlignment w:val="baseline"/>
        <w:rPr>
          <w:rFonts w:ascii="Geomanist Light" w:hAnsi="Geomanist Light" w:cs="Arial"/>
          <w:bCs/>
          <w:color w:val="000000"/>
          <w:sz w:val="20"/>
          <w:szCs w:val="20"/>
          <w:lang w:val="es-CO" w:eastAsia="es-CO"/>
        </w:rPr>
      </w:pPr>
      <w:r w:rsidRPr="00E55A10">
        <w:rPr>
          <w:rFonts w:ascii="Geomanist Light" w:hAnsi="Geomanist Light" w:cs="Arial"/>
          <w:bCs/>
          <w:color w:val="000000"/>
          <w:sz w:val="20"/>
          <w:szCs w:val="20"/>
          <w:lang w:val="es-MX" w:eastAsia="es-CO"/>
        </w:rPr>
        <w:t>[…]</w:t>
      </w:r>
      <w:r w:rsidRPr="00E55A10">
        <w:rPr>
          <w:rFonts w:ascii="Geomanist Light" w:hAnsi="Geomanist Light" w:cs="Arial"/>
          <w:bCs/>
          <w:color w:val="000000"/>
          <w:sz w:val="20"/>
          <w:szCs w:val="20"/>
          <w:lang w:val="es-CO" w:eastAsia="es-CO"/>
        </w:rPr>
        <w:t xml:space="preserve"> la Matriz 1 está constituida por ocho (8) tipos de obras de infraestructura de transporte, identificadas con un número y su descripción, los cuales son: 1) obras en vías primarias o secundarias, 2) obras en vías terciarias, 3) obras marítimas y fluviales, 4) obras en vías primarias o secundarias o terciarias o urbanas para atención, prevención o mitigación de emergencias diferentes a contratación directa, 5) obras férreas, 6) obras de infraestructura vial urbana, 7) obras en puentes y 8) obras aeroportuarias. Estas determinan el marco para la aplicación de los documentos tipo, dado que comprenden todas aquellas actividades que constituyen obra pública de infraestructura de transporte y que han sido objeto de estandarización mediante la Resolución No. 240 del 27 de noviembre de 2020 para los procesos de licitación pública.</w:t>
      </w:r>
    </w:p>
    <w:p w14:paraId="173FA374" w14:textId="77777777" w:rsidR="00201A43" w:rsidRPr="00E55A10" w:rsidRDefault="00201A43" w:rsidP="00201A43">
      <w:pPr>
        <w:jc w:val="both"/>
        <w:textAlignment w:val="baseline"/>
        <w:rPr>
          <w:rFonts w:ascii="Geomanist Light" w:hAnsi="Geomanist Light" w:cs="Arial"/>
          <w:bCs/>
          <w:color w:val="000000"/>
          <w:sz w:val="20"/>
          <w:szCs w:val="20"/>
          <w:lang w:val="es-CO" w:eastAsia="es-CO"/>
        </w:rPr>
      </w:pPr>
    </w:p>
    <w:p w14:paraId="7F6E614B" w14:textId="77777777" w:rsidR="00201A43" w:rsidRPr="00E55A10" w:rsidRDefault="00201A43" w:rsidP="00201A43">
      <w:pPr>
        <w:jc w:val="both"/>
        <w:rPr>
          <w:rFonts w:ascii="Geomanist Light" w:eastAsia="Calibri" w:hAnsi="Geomanist Light" w:cs="Arial"/>
          <w:b/>
          <w:bCs/>
          <w:sz w:val="20"/>
          <w:szCs w:val="20"/>
          <w:lang w:val="es-ES" w:eastAsia="en-US"/>
        </w:rPr>
      </w:pPr>
    </w:p>
    <w:p w14:paraId="48977760" w14:textId="5769BE2C" w:rsidR="00201A43" w:rsidRPr="00E55A10" w:rsidRDefault="00201A43" w:rsidP="00201A43">
      <w:pPr>
        <w:jc w:val="both"/>
        <w:textAlignment w:val="baseline"/>
        <w:rPr>
          <w:rFonts w:ascii="Geomanist Light" w:hAnsi="Geomanist Light" w:cs="Arial"/>
          <w:b/>
          <w:bCs/>
          <w:color w:val="000000"/>
          <w:sz w:val="20"/>
          <w:szCs w:val="20"/>
          <w:lang w:val="es-MX" w:eastAsia="es-CO"/>
        </w:rPr>
      </w:pPr>
      <w:r w:rsidRPr="00E55A10">
        <w:rPr>
          <w:rFonts w:ascii="Geomanist Light" w:hAnsi="Geomanist Light" w:cs="Arial"/>
          <w:b/>
          <w:bCs/>
          <w:color w:val="000000"/>
          <w:sz w:val="20"/>
          <w:szCs w:val="20"/>
          <w:lang w:val="es-MX" w:eastAsia="es-CO"/>
        </w:rPr>
        <w:t>DOCUMENTOS TIPO – Infraestructura de transporte- Experiencia – Exigencia-Acreditación</w:t>
      </w:r>
      <w:r>
        <w:rPr>
          <w:rFonts w:ascii="Geomanist Light" w:hAnsi="Geomanist Light" w:cs="Arial"/>
          <w:b/>
          <w:bCs/>
          <w:color w:val="000000"/>
          <w:sz w:val="20"/>
          <w:szCs w:val="20"/>
          <w:lang w:val="es-MX" w:eastAsia="es-CO"/>
        </w:rPr>
        <w:t xml:space="preserve"> – Proyecto de complejidad alta </w:t>
      </w:r>
    </w:p>
    <w:p w14:paraId="75CB84E6" w14:textId="77777777" w:rsidR="00201A43" w:rsidRPr="00E55A10" w:rsidRDefault="00201A43" w:rsidP="00201A43">
      <w:pPr>
        <w:jc w:val="both"/>
        <w:textAlignment w:val="baseline"/>
        <w:rPr>
          <w:rFonts w:ascii="Geomanist Light" w:hAnsi="Geomanist Light" w:cs="Arial"/>
          <w:b/>
          <w:bCs/>
          <w:color w:val="000000"/>
          <w:sz w:val="20"/>
          <w:szCs w:val="20"/>
          <w:lang w:val="es-MX" w:eastAsia="es-CO"/>
        </w:rPr>
      </w:pPr>
    </w:p>
    <w:p w14:paraId="1BB66265" w14:textId="77777777" w:rsidR="00201A43" w:rsidRPr="00E55A10" w:rsidRDefault="00201A43" w:rsidP="00201A43">
      <w:pPr>
        <w:jc w:val="both"/>
        <w:textAlignment w:val="baseline"/>
        <w:rPr>
          <w:rFonts w:ascii="Geomanist Light" w:hAnsi="Geomanist Light" w:cs="Arial"/>
          <w:bCs/>
          <w:color w:val="000000"/>
          <w:sz w:val="20"/>
          <w:szCs w:val="20"/>
          <w:lang w:val="es-MX" w:eastAsia="es-CO"/>
        </w:rPr>
      </w:pPr>
      <w:r w:rsidRPr="00E55A10">
        <w:rPr>
          <w:rFonts w:ascii="Geomanist Light" w:hAnsi="Geomanist Light" w:cs="Arial"/>
          <w:bCs/>
          <w:color w:val="000000"/>
          <w:sz w:val="20"/>
          <w:szCs w:val="20"/>
          <w:lang w:val="es-MX" w:eastAsia="es-CO"/>
        </w:rPr>
        <w:t>Para fijar las condiciones que deben cumplir los contratos aportados, en términos de actividades ejecutadas, las entidades deberán emplear la Matriz 1, documento que estandariza las condiciones de experiencia general y/o experiencia específica que deben requerir las entidades estatales de acuerdo con: i) el tipo de obra de infraestructura de transporte; ii) la actividad a contratar, y iii) la cuantía del proceso de contratación.</w:t>
      </w:r>
    </w:p>
    <w:p w14:paraId="3EE97377" w14:textId="77777777" w:rsidR="00201A43" w:rsidRPr="00E55A10" w:rsidRDefault="00201A43" w:rsidP="00201A43">
      <w:pPr>
        <w:jc w:val="both"/>
        <w:textAlignment w:val="baseline"/>
        <w:rPr>
          <w:rFonts w:ascii="Geomanist Light" w:hAnsi="Geomanist Light" w:cs="Arial"/>
          <w:bCs/>
          <w:color w:val="000000"/>
          <w:sz w:val="20"/>
          <w:szCs w:val="20"/>
          <w:lang w:val="es-MX" w:eastAsia="es-CO"/>
        </w:rPr>
      </w:pPr>
    </w:p>
    <w:p w14:paraId="1CFF6D9B" w14:textId="77777777" w:rsidR="00201A43" w:rsidRPr="00E55A10" w:rsidRDefault="00201A43" w:rsidP="00201A43">
      <w:pPr>
        <w:spacing w:after="120"/>
        <w:jc w:val="both"/>
        <w:rPr>
          <w:rFonts w:ascii="Geomanist Light" w:eastAsia="Calibri" w:hAnsi="Geomanist Light" w:cs="Arial"/>
          <w:i/>
          <w:color w:val="000000"/>
          <w:sz w:val="20"/>
          <w:szCs w:val="20"/>
          <w:lang w:val="es-CO" w:eastAsia="en-US"/>
        </w:rPr>
      </w:pPr>
      <w:r w:rsidRPr="00E55A10">
        <w:rPr>
          <w:rFonts w:ascii="Geomanist Light" w:eastAsia="Calibri" w:hAnsi="Geomanist Light" w:cs="Arial"/>
          <w:iCs/>
          <w:color w:val="000000"/>
          <w:sz w:val="20"/>
          <w:szCs w:val="20"/>
          <w:lang w:val="es-CO" w:eastAsia="en-US"/>
        </w:rPr>
        <w:t>T</w:t>
      </w:r>
      <w:r w:rsidRPr="00E55A10">
        <w:rPr>
          <w:rFonts w:ascii="Geomanist Light" w:eastAsia="Calibri" w:hAnsi="Geomanist Light" w:cs="Arial"/>
          <w:color w:val="000000"/>
          <w:sz w:val="20"/>
          <w:szCs w:val="20"/>
          <w:lang w:val="es-CO" w:eastAsia="en-US"/>
        </w:rPr>
        <w:t>ratándose de proyectos de complejidad alta, la experiencia general que se deberá exigir es «PROYECTOS QUE CORRESPONDAN O HAYAN CONTENIDO ACTIVIDADES DE: SEÑALIZACIÓN VERTIAL U HORIZONTAL O DEMARCACIÓN DE VÍAS PRIMARIAS O SECUNDARIAS O AEROPISTAS O URBANAS»; en caso de requerirse la intervención de la estructura de pavimento deberá combinarse con la experiencia respectiva. Estos requisitos se aplican trasversalmente, al margen de la cuantía de contratación de acuerdo con las reglas generales definidas en la respectiva matriz. Sobre la experiencia específica, la matriz prevé que, «</w:t>
      </w:r>
      <w:r w:rsidRPr="00E55A10">
        <w:rPr>
          <w:rFonts w:ascii="Geomanist Light" w:eastAsia="Calibri" w:hAnsi="Geomanist Light" w:cs="Arial"/>
          <w:i/>
          <w:color w:val="000000"/>
          <w:sz w:val="20"/>
          <w:szCs w:val="20"/>
          <w:lang w:val="es-CO" w:eastAsia="en-US"/>
        </w:rPr>
        <w:t>Por lo menos uno</w:t>
      </w:r>
      <w:r w:rsidRPr="00E55A10">
        <w:rPr>
          <w:rFonts w:ascii="Geomanist Light" w:eastAsia="Calibri" w:hAnsi="Geomanist Light" w:cs="Arial"/>
          <w:color w:val="000000"/>
          <w:sz w:val="20"/>
          <w:szCs w:val="20"/>
          <w:lang w:val="es-CO" w:eastAsia="en-US"/>
        </w:rPr>
        <w:t xml:space="preserve"> </w:t>
      </w:r>
      <w:r w:rsidRPr="00E55A10">
        <w:rPr>
          <w:rFonts w:ascii="Geomanist Light" w:eastAsia="Calibri" w:hAnsi="Geomanist Light" w:cs="Arial"/>
          <w:i/>
          <w:color w:val="000000"/>
          <w:sz w:val="20"/>
          <w:szCs w:val="20"/>
          <w:lang w:val="es-CO" w:eastAsia="en-US"/>
        </w:rPr>
        <w:t>(1) de los contratos válidos aportados como experiencia general debe acreditar en el componente de señalización o demarcación un valor igual o superior al 60% del Componente de Señalización y/o Demarcación del Presupuesto Oficial estimado de contratación».</w:t>
      </w:r>
    </w:p>
    <w:p w14:paraId="797EDB61" w14:textId="77777777" w:rsidR="008F4671" w:rsidRPr="00201A43" w:rsidRDefault="008F4671" w:rsidP="008F4671">
      <w:pPr>
        <w:jc w:val="both"/>
        <w:textAlignment w:val="baseline"/>
        <w:rPr>
          <w:rFonts w:ascii="Geomanist Light" w:hAnsi="Geomanist Light" w:cs="Arial"/>
          <w:bCs/>
          <w:color w:val="000000"/>
          <w:sz w:val="20"/>
          <w:szCs w:val="20"/>
          <w:lang w:val="es-CO" w:eastAsia="es-CO"/>
        </w:rPr>
      </w:pPr>
    </w:p>
    <w:p w14:paraId="12B31705" w14:textId="77777777" w:rsidR="008F4671" w:rsidRPr="00AF0D6E" w:rsidRDefault="008F4671" w:rsidP="008F4671">
      <w:pPr>
        <w:jc w:val="both"/>
        <w:textAlignment w:val="baseline"/>
        <w:rPr>
          <w:rFonts w:ascii="Geomanist Light" w:hAnsi="Geomanist Light" w:cs="Arial"/>
          <w:color w:val="000000"/>
          <w:sz w:val="20"/>
          <w:szCs w:val="20"/>
          <w:lang w:val="es-CO" w:eastAsia="es-CO"/>
        </w:rPr>
      </w:pPr>
    </w:p>
    <w:p w14:paraId="3F988843" w14:textId="5D274EEA" w:rsidR="00460695" w:rsidRPr="00AF0D6E" w:rsidRDefault="00FA33E4" w:rsidP="00FA33E4">
      <w:pPr>
        <w:spacing w:line="276" w:lineRule="auto"/>
        <w:jc w:val="right"/>
        <w:textAlignment w:val="baseline"/>
        <w:rPr>
          <w:rFonts w:ascii="Geomanist Light" w:hAnsi="Geomanist Light" w:cs="Arial"/>
          <w:bCs/>
          <w:color w:val="000000"/>
          <w:sz w:val="20"/>
          <w:szCs w:val="20"/>
          <w:lang w:val="es-MX" w:eastAsia="es-CO"/>
        </w:rPr>
      </w:pPr>
      <w:r w:rsidRPr="00FA33E4">
        <w:rPr>
          <w:rFonts w:ascii="Geomanist Light" w:hAnsi="Geomanist Light" w:cs="Arial"/>
          <w:bCs/>
          <w:color w:val="000000"/>
          <w:sz w:val="20"/>
          <w:szCs w:val="20"/>
          <w:lang w:val="es-MX" w:eastAsia="es-CO"/>
        </w:rPr>
        <w:lastRenderedPageBreak/>
        <w:drawing>
          <wp:inline distT="0" distB="0" distL="0" distR="0" wp14:anchorId="480B3BE7" wp14:editId="7E31E762">
            <wp:extent cx="3156625" cy="1193800"/>
            <wp:effectExtent l="0" t="0" r="5715"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3159077" cy="1194727"/>
                    </a:xfrm>
                    <a:prstGeom prst="rect">
                      <a:avLst/>
                    </a:prstGeom>
                  </pic:spPr>
                </pic:pic>
              </a:graphicData>
            </a:graphic>
          </wp:inline>
        </w:drawing>
      </w:r>
    </w:p>
    <w:p w14:paraId="68CA798E" w14:textId="77777777" w:rsidR="008F4671" w:rsidRPr="00AF0D6E" w:rsidRDefault="008F4671" w:rsidP="00460695">
      <w:pPr>
        <w:spacing w:line="276" w:lineRule="auto"/>
        <w:jc w:val="both"/>
        <w:textAlignment w:val="baseline"/>
        <w:rPr>
          <w:rFonts w:ascii="Geomanist Light" w:hAnsi="Geomanist Light" w:cs="Arial"/>
          <w:bCs/>
          <w:color w:val="000000"/>
          <w:sz w:val="20"/>
          <w:szCs w:val="20"/>
          <w:lang w:val="es-MX" w:eastAsia="es-CO"/>
        </w:rPr>
      </w:pPr>
    </w:p>
    <w:p w14:paraId="6A6BC4C7" w14:textId="77777777" w:rsidR="008F4671" w:rsidRPr="00AF0D6E" w:rsidRDefault="008F4671" w:rsidP="008F4671">
      <w:pPr>
        <w:spacing w:line="276" w:lineRule="auto"/>
        <w:jc w:val="both"/>
        <w:rPr>
          <w:rFonts w:ascii="Geomanist Light" w:eastAsia="Arial" w:hAnsi="Geomanist Light" w:cs="Arial"/>
          <w:color w:val="000000"/>
          <w:sz w:val="22"/>
          <w:szCs w:val="22"/>
          <w:lang w:val="es-MX" w:eastAsia="es-ES_tradnl"/>
        </w:rPr>
      </w:pPr>
      <w:r w:rsidRPr="00AF0D6E">
        <w:rPr>
          <w:rFonts w:ascii="Geomanist Light" w:eastAsia="Arial" w:hAnsi="Geomanist Light" w:cs="Arial"/>
          <w:color w:val="000000"/>
          <w:sz w:val="22"/>
          <w:szCs w:val="22"/>
          <w:lang w:val="es-MX" w:eastAsia="es-ES_tradnl"/>
        </w:rPr>
        <w:t>Bogotá D.C</w:t>
      </w:r>
    </w:p>
    <w:p w14:paraId="4368F32A" w14:textId="77777777" w:rsidR="008F4671" w:rsidRPr="00AF0D6E" w:rsidRDefault="008F4671" w:rsidP="008F4671">
      <w:pPr>
        <w:spacing w:line="276" w:lineRule="auto"/>
        <w:jc w:val="both"/>
        <w:rPr>
          <w:rFonts w:ascii="Geomanist Light" w:eastAsia="Arial" w:hAnsi="Geomanist Light" w:cs="Arial"/>
          <w:color w:val="000000"/>
          <w:sz w:val="22"/>
          <w:szCs w:val="22"/>
          <w:lang w:val="es-MX" w:eastAsia="es-ES_tradnl"/>
        </w:rPr>
      </w:pPr>
    </w:p>
    <w:p w14:paraId="2C45692D" w14:textId="77777777" w:rsidR="008F4671" w:rsidRPr="00AF0D6E" w:rsidRDefault="008F4671" w:rsidP="008F4671">
      <w:pPr>
        <w:spacing w:line="276" w:lineRule="auto"/>
        <w:jc w:val="both"/>
        <w:rPr>
          <w:rFonts w:ascii="Geomanist Light" w:eastAsia="Arial" w:hAnsi="Geomanist Light" w:cs="Arial"/>
          <w:color w:val="000000"/>
          <w:sz w:val="22"/>
          <w:szCs w:val="22"/>
          <w:lang w:val="es-MX" w:eastAsia="es-ES_tradnl"/>
        </w:rPr>
      </w:pPr>
      <w:r w:rsidRPr="00AF0D6E">
        <w:rPr>
          <w:rFonts w:ascii="Geomanist Light" w:eastAsia="Arial" w:hAnsi="Geomanist Light" w:cs="Arial"/>
          <w:color w:val="000000"/>
          <w:sz w:val="22"/>
          <w:szCs w:val="22"/>
          <w:lang w:val="es-MX" w:eastAsia="es-ES_tradnl"/>
        </w:rPr>
        <w:t>Señora</w:t>
      </w:r>
    </w:p>
    <w:p w14:paraId="7DE0B1CB" w14:textId="77777777" w:rsidR="008F4671" w:rsidRPr="00AF0D6E" w:rsidRDefault="008F4671" w:rsidP="008F4671">
      <w:pPr>
        <w:spacing w:line="276" w:lineRule="auto"/>
        <w:jc w:val="both"/>
        <w:rPr>
          <w:rFonts w:ascii="Geomanist Light" w:eastAsia="Arial" w:hAnsi="Geomanist Light" w:cs="Arial"/>
          <w:b/>
          <w:color w:val="000000"/>
          <w:sz w:val="22"/>
          <w:szCs w:val="22"/>
          <w:lang w:val="es-MX" w:eastAsia="es-ES_tradnl"/>
        </w:rPr>
      </w:pPr>
      <w:r w:rsidRPr="00AF0D6E">
        <w:rPr>
          <w:rFonts w:ascii="Geomanist Light" w:eastAsia="Arial" w:hAnsi="Geomanist Light" w:cs="Arial"/>
          <w:b/>
          <w:color w:val="000000"/>
          <w:sz w:val="22"/>
          <w:szCs w:val="22"/>
          <w:lang w:val="es-MX" w:eastAsia="es-ES_tradnl"/>
        </w:rPr>
        <w:t>HÉCTOR JULIO DÍAZ ENCISO</w:t>
      </w:r>
    </w:p>
    <w:p w14:paraId="3011BFC5" w14:textId="77777777" w:rsidR="008F4671" w:rsidRPr="00AF0D6E" w:rsidRDefault="008F4671" w:rsidP="008F4671">
      <w:pPr>
        <w:spacing w:line="276" w:lineRule="auto"/>
        <w:jc w:val="both"/>
        <w:rPr>
          <w:rFonts w:ascii="Geomanist Light" w:eastAsia="Arial" w:hAnsi="Geomanist Light" w:cs="Arial"/>
          <w:color w:val="000000"/>
          <w:sz w:val="22"/>
          <w:szCs w:val="22"/>
          <w:lang w:val="es-MX" w:eastAsia="es-ES_tradnl"/>
        </w:rPr>
      </w:pPr>
      <w:r w:rsidRPr="00AF0D6E">
        <w:rPr>
          <w:rFonts w:ascii="Geomanist Light" w:eastAsia="Arial" w:hAnsi="Geomanist Light" w:cs="Arial"/>
          <w:color w:val="000000"/>
          <w:sz w:val="22"/>
          <w:szCs w:val="22"/>
          <w:lang w:val="es-MX" w:eastAsia="es-ES_tradnl"/>
        </w:rPr>
        <w:t>hectordiazenciso@gmail.com</w:t>
      </w:r>
    </w:p>
    <w:p w14:paraId="33F6A855" w14:textId="77777777" w:rsidR="008F4671" w:rsidRPr="00AF0D6E" w:rsidRDefault="008F4671" w:rsidP="008F4671">
      <w:pPr>
        <w:spacing w:line="276" w:lineRule="auto"/>
        <w:jc w:val="both"/>
        <w:rPr>
          <w:rFonts w:ascii="Geomanist Light" w:eastAsia="Arial" w:hAnsi="Geomanist Light" w:cs="Arial"/>
          <w:color w:val="000000"/>
          <w:sz w:val="22"/>
          <w:szCs w:val="22"/>
          <w:lang w:val="es-MX" w:eastAsia="es-ES_tradnl"/>
        </w:rPr>
      </w:pPr>
      <w:r w:rsidRPr="00AF0D6E">
        <w:rPr>
          <w:rFonts w:ascii="Geomanist Light" w:eastAsia="Arial" w:hAnsi="Geomanist Light" w:cs="Arial"/>
          <w:color w:val="000000"/>
          <w:sz w:val="22"/>
          <w:szCs w:val="22"/>
          <w:lang w:val="es-MX" w:eastAsia="es-ES_tradnl"/>
        </w:rPr>
        <w:t>Bogotá D.C.</w:t>
      </w:r>
    </w:p>
    <w:p w14:paraId="4694E3C4" w14:textId="77777777" w:rsidR="00201A43" w:rsidRDefault="00201A43" w:rsidP="00201A43">
      <w:pPr>
        <w:spacing w:line="276" w:lineRule="auto"/>
        <w:rPr>
          <w:rFonts w:ascii="Geomanist Light" w:eastAsia="Calibri" w:hAnsi="Geomanist Light" w:cs="Arial"/>
          <w:b/>
          <w:sz w:val="22"/>
          <w:szCs w:val="22"/>
          <w:lang w:val="es-MX" w:eastAsia="es-ES_tradnl"/>
        </w:rPr>
      </w:pPr>
      <w:r>
        <w:rPr>
          <w:rFonts w:ascii="Geomanist Light" w:eastAsia="Calibri" w:hAnsi="Geomanist Light" w:cs="Arial"/>
          <w:b/>
          <w:sz w:val="22"/>
          <w:szCs w:val="22"/>
          <w:lang w:val="es-MX" w:eastAsia="es-ES_tradnl"/>
        </w:rPr>
        <w:t xml:space="preserve">                                                        </w:t>
      </w:r>
    </w:p>
    <w:p w14:paraId="709AB033" w14:textId="77777777" w:rsidR="00201A43" w:rsidRDefault="00201A43" w:rsidP="00201A43">
      <w:pPr>
        <w:spacing w:line="276" w:lineRule="auto"/>
        <w:rPr>
          <w:rFonts w:ascii="Geomanist Light" w:eastAsia="Calibri" w:hAnsi="Geomanist Light" w:cs="Arial"/>
          <w:b/>
          <w:sz w:val="22"/>
          <w:szCs w:val="22"/>
          <w:lang w:val="es-MX" w:eastAsia="es-ES_tradnl"/>
        </w:rPr>
      </w:pPr>
    </w:p>
    <w:p w14:paraId="18A48E76" w14:textId="58F2AB18" w:rsidR="008F4671" w:rsidRPr="00AF0D6E" w:rsidRDefault="008F4671" w:rsidP="00201A43">
      <w:pPr>
        <w:spacing w:line="276" w:lineRule="auto"/>
        <w:ind w:left="2832"/>
        <w:rPr>
          <w:rFonts w:ascii="Geomanist Light" w:eastAsia="Arial" w:hAnsi="Geomanist Light" w:cs="Arial"/>
          <w:color w:val="000000"/>
          <w:sz w:val="20"/>
          <w:szCs w:val="20"/>
          <w:lang w:val="es-MX" w:eastAsia="es-ES_tradnl"/>
        </w:rPr>
      </w:pPr>
      <w:r w:rsidRPr="00AF0D6E">
        <w:rPr>
          <w:rFonts w:ascii="Geomanist Light" w:eastAsia="Calibri" w:hAnsi="Geomanist Light" w:cs="Arial"/>
          <w:b/>
          <w:sz w:val="22"/>
          <w:szCs w:val="22"/>
          <w:lang w:val="es-MX" w:eastAsia="es-ES_tradnl"/>
        </w:rPr>
        <w:t>Concepto C –678 de 2022</w:t>
      </w:r>
    </w:p>
    <w:p w14:paraId="7BFA0693" w14:textId="77777777" w:rsidR="008F4671" w:rsidRPr="00AF0D6E" w:rsidRDefault="008F4671" w:rsidP="008F4671">
      <w:pPr>
        <w:spacing w:line="276" w:lineRule="auto"/>
        <w:jc w:val="both"/>
        <w:rPr>
          <w:rFonts w:ascii="Geomanist Light" w:eastAsia="Arial" w:hAnsi="Geomanist Light" w:cs="Arial"/>
          <w:color w:val="000000"/>
          <w:sz w:val="22"/>
          <w:szCs w:val="22"/>
          <w:lang w:val="es-MX" w:eastAsia="es-ES_tradnl"/>
        </w:rPr>
      </w:pPr>
      <w:r w:rsidRPr="00AF0D6E">
        <w:rPr>
          <w:rFonts w:ascii="Geomanist Light" w:eastAsia="Arial" w:hAnsi="Geomanist Light" w:cs="Arial"/>
          <w:color w:val="000000"/>
          <w:sz w:val="22"/>
          <w:szCs w:val="22"/>
          <w:lang w:val="es-MX" w:eastAsia="es-ES_tradnl"/>
        </w:rPr>
        <w:t xml:space="preserve">                                            </w:t>
      </w:r>
    </w:p>
    <w:tbl>
      <w:tblPr>
        <w:tblStyle w:val="2"/>
        <w:tblW w:w="8926" w:type="dxa"/>
        <w:tblInd w:w="0" w:type="dxa"/>
        <w:tblBorders>
          <w:top w:val="nil"/>
          <w:left w:val="nil"/>
          <w:bottom w:val="nil"/>
          <w:right w:val="nil"/>
          <w:insideH w:val="nil"/>
          <w:insideV w:val="nil"/>
        </w:tblBorders>
        <w:tblLayout w:type="fixed"/>
        <w:tblLook w:val="0400" w:firstRow="0" w:lastRow="0" w:firstColumn="0" w:lastColumn="0" w:noHBand="0" w:noVBand="1"/>
      </w:tblPr>
      <w:tblGrid>
        <w:gridCol w:w="2689"/>
        <w:gridCol w:w="6237"/>
      </w:tblGrid>
      <w:tr w:rsidR="008F4671" w:rsidRPr="00201A43" w14:paraId="4F3F5BD8" w14:textId="77777777" w:rsidTr="00AF0D6E">
        <w:trPr>
          <w:trHeight w:val="812"/>
        </w:trPr>
        <w:tc>
          <w:tcPr>
            <w:tcW w:w="2689" w:type="dxa"/>
          </w:tcPr>
          <w:p w14:paraId="41DB4112" w14:textId="77777777" w:rsidR="008F4671" w:rsidRPr="00201A43" w:rsidRDefault="008F4671" w:rsidP="008F4671">
            <w:pPr>
              <w:spacing w:line="276" w:lineRule="auto"/>
              <w:jc w:val="both"/>
              <w:rPr>
                <w:rFonts w:ascii="Geomanist Light" w:eastAsia="Arial" w:hAnsi="Geomanist Light" w:cs="Arial"/>
                <w:b/>
                <w:bCs/>
                <w:color w:val="000000"/>
                <w:sz w:val="22"/>
                <w:szCs w:val="22"/>
                <w:lang w:val="es-MX" w:eastAsia="es-ES_tradnl"/>
              </w:rPr>
            </w:pPr>
            <w:r w:rsidRPr="00201A43">
              <w:rPr>
                <w:rFonts w:ascii="Geomanist Light" w:eastAsia="Arial" w:hAnsi="Geomanist Light" w:cs="Arial"/>
                <w:b/>
                <w:bCs/>
                <w:color w:val="000000"/>
                <w:sz w:val="22"/>
                <w:szCs w:val="22"/>
                <w:lang w:val="es-MX" w:eastAsia="es-ES_tradnl"/>
              </w:rPr>
              <w:t xml:space="preserve">Temas:        </w:t>
            </w:r>
          </w:p>
        </w:tc>
        <w:tc>
          <w:tcPr>
            <w:tcW w:w="6237" w:type="dxa"/>
          </w:tcPr>
          <w:p w14:paraId="135C1932" w14:textId="796697B9" w:rsidR="008F4671" w:rsidRPr="00201A43" w:rsidRDefault="00201A43" w:rsidP="00201A43">
            <w:pPr>
              <w:jc w:val="both"/>
              <w:textAlignment w:val="baseline"/>
              <w:rPr>
                <w:rFonts w:ascii="Geomanist Light" w:hAnsi="Geomanist Light" w:cs="Arial"/>
                <w:bCs/>
                <w:color w:val="000000"/>
                <w:sz w:val="20"/>
                <w:szCs w:val="20"/>
                <w:lang w:val="es-MX" w:eastAsia="es-CO"/>
              </w:rPr>
            </w:pPr>
            <w:r w:rsidRPr="00201A43">
              <w:rPr>
                <w:rFonts w:ascii="Geomanist Light" w:eastAsia="Calibri" w:hAnsi="Geomanist Light" w:cs="Arial"/>
                <w:bCs/>
                <w:color w:val="0D0D0D"/>
                <w:sz w:val="20"/>
                <w:szCs w:val="20"/>
                <w:bdr w:val="none" w:sz="0" w:space="0" w:color="auto" w:frame="1"/>
                <w:lang w:val="es-MX" w:eastAsia="es-CO"/>
              </w:rPr>
              <w:t xml:space="preserve">DOCUMENTOS TIPO – Infraestructura de transporte – Matriz 1 / </w:t>
            </w:r>
            <w:r w:rsidRPr="00201A43">
              <w:rPr>
                <w:rFonts w:ascii="Geomanist Light" w:hAnsi="Geomanist Light" w:cs="Arial"/>
                <w:bCs/>
                <w:color w:val="000000"/>
                <w:sz w:val="20"/>
                <w:szCs w:val="20"/>
                <w:lang w:val="es-MX" w:eastAsia="es-CO"/>
              </w:rPr>
              <w:t xml:space="preserve">DOCUMENTOS TIPO – Matriz 1 – Experiencia – Aplicación – Complejidad / DOCUMENTOS TIPO – Infraestructura de transporte- Experiencia – Exigencia-Acreditación – Proyecto de complejidad alta </w:t>
            </w:r>
          </w:p>
        </w:tc>
      </w:tr>
      <w:tr w:rsidR="008F4671" w:rsidRPr="00201A43" w14:paraId="6354C15B" w14:textId="77777777" w:rsidTr="000F5F21">
        <w:tc>
          <w:tcPr>
            <w:tcW w:w="2689" w:type="dxa"/>
          </w:tcPr>
          <w:p w14:paraId="4CB34EA6" w14:textId="77777777" w:rsidR="008F4671" w:rsidRPr="00201A43" w:rsidRDefault="008F4671" w:rsidP="008F4671">
            <w:pPr>
              <w:spacing w:line="276" w:lineRule="auto"/>
              <w:rPr>
                <w:rFonts w:ascii="Geomanist Light" w:eastAsia="Arial" w:hAnsi="Geomanist Light" w:cs="Arial"/>
                <w:b/>
                <w:color w:val="000000"/>
                <w:sz w:val="22"/>
                <w:szCs w:val="22"/>
                <w:lang w:val="es-MX" w:eastAsia="es-ES_tradnl"/>
              </w:rPr>
            </w:pPr>
          </w:p>
          <w:p w14:paraId="15DD26B3" w14:textId="77777777" w:rsidR="008F4671" w:rsidRPr="00201A43" w:rsidRDefault="008F4671" w:rsidP="008F4671">
            <w:pPr>
              <w:spacing w:line="276" w:lineRule="auto"/>
              <w:rPr>
                <w:rFonts w:ascii="Geomanist Light" w:eastAsia="Arial" w:hAnsi="Geomanist Light" w:cs="Arial"/>
                <w:b/>
                <w:color w:val="000000"/>
                <w:sz w:val="22"/>
                <w:szCs w:val="22"/>
                <w:lang w:val="es-MX" w:eastAsia="es-ES_tradnl"/>
              </w:rPr>
            </w:pPr>
            <w:r w:rsidRPr="00201A43">
              <w:rPr>
                <w:rFonts w:ascii="Geomanist Light" w:eastAsia="Arial" w:hAnsi="Geomanist Light" w:cs="Arial"/>
                <w:b/>
                <w:color w:val="000000"/>
                <w:sz w:val="22"/>
                <w:szCs w:val="22"/>
                <w:lang w:val="es-MX" w:eastAsia="es-ES_tradnl"/>
              </w:rPr>
              <w:t>Radicación:</w:t>
            </w:r>
            <w:r w:rsidRPr="00201A43">
              <w:rPr>
                <w:rFonts w:ascii="Geomanist Light" w:eastAsia="Arial" w:hAnsi="Geomanist Light" w:cs="Arial"/>
                <w:color w:val="000000"/>
                <w:sz w:val="22"/>
                <w:szCs w:val="22"/>
                <w:lang w:val="es-MX" w:eastAsia="es-ES_tradnl"/>
              </w:rPr>
              <w:t xml:space="preserve">                              </w:t>
            </w:r>
          </w:p>
        </w:tc>
        <w:tc>
          <w:tcPr>
            <w:tcW w:w="6237" w:type="dxa"/>
          </w:tcPr>
          <w:p w14:paraId="6022662F" w14:textId="77777777" w:rsidR="008F4671" w:rsidRPr="00201A43" w:rsidRDefault="008F4671" w:rsidP="008F4671">
            <w:pPr>
              <w:spacing w:line="276" w:lineRule="auto"/>
              <w:jc w:val="both"/>
              <w:rPr>
                <w:rFonts w:ascii="Geomanist Light" w:eastAsia="Arial" w:hAnsi="Geomanist Light" w:cs="Arial"/>
                <w:color w:val="000000"/>
                <w:sz w:val="22"/>
                <w:szCs w:val="22"/>
                <w:lang w:val="es-MX" w:eastAsia="es-ES_tradnl"/>
              </w:rPr>
            </w:pPr>
          </w:p>
          <w:p w14:paraId="22B70C04" w14:textId="77777777" w:rsidR="008F4671" w:rsidRPr="00201A43" w:rsidRDefault="008F4671" w:rsidP="008F4671">
            <w:pPr>
              <w:spacing w:line="276" w:lineRule="auto"/>
              <w:jc w:val="both"/>
              <w:rPr>
                <w:rFonts w:ascii="Geomanist Light" w:eastAsia="Arial" w:hAnsi="Geomanist Light" w:cs="Arial"/>
                <w:color w:val="000000"/>
                <w:sz w:val="22"/>
                <w:szCs w:val="22"/>
                <w:highlight w:val="yellow"/>
                <w:lang w:val="es-MX" w:eastAsia="es-ES_tradnl"/>
              </w:rPr>
            </w:pPr>
            <w:r w:rsidRPr="00201A43">
              <w:rPr>
                <w:rFonts w:ascii="Geomanist Light" w:eastAsia="Arial" w:hAnsi="Geomanist Light" w:cs="Arial"/>
                <w:color w:val="000000"/>
                <w:sz w:val="22"/>
                <w:szCs w:val="22"/>
                <w:lang w:val="es-MX" w:eastAsia="es-ES_tradnl"/>
              </w:rPr>
              <w:t>Respuesta a consulta P20220905008838</w:t>
            </w:r>
            <w:r w:rsidRPr="00201A43">
              <w:rPr>
                <w:rFonts w:ascii="Calibri" w:eastAsia="Arial" w:hAnsi="Calibri" w:cs="Calibri"/>
                <w:color w:val="000000"/>
                <w:sz w:val="22"/>
                <w:szCs w:val="22"/>
                <w:lang w:eastAsia="es-ES_tradnl"/>
              </w:rPr>
              <w:t> </w:t>
            </w:r>
          </w:p>
        </w:tc>
      </w:tr>
      <w:tr w:rsidR="008F4671" w:rsidRPr="00201A43" w14:paraId="02269A5B" w14:textId="77777777" w:rsidTr="000F5F21">
        <w:tc>
          <w:tcPr>
            <w:tcW w:w="2689" w:type="dxa"/>
          </w:tcPr>
          <w:p w14:paraId="458A99F9" w14:textId="77777777" w:rsidR="008F4671" w:rsidRPr="00201A43" w:rsidRDefault="008F4671" w:rsidP="008F4671">
            <w:pPr>
              <w:rPr>
                <w:rFonts w:ascii="Geomanist Light" w:eastAsia="Arial" w:hAnsi="Geomanist Light" w:cs="Arial"/>
                <w:b/>
                <w:color w:val="000000"/>
                <w:sz w:val="22"/>
                <w:szCs w:val="22"/>
                <w:lang w:val="es-MX" w:eastAsia="es-ES_tradnl"/>
              </w:rPr>
            </w:pPr>
          </w:p>
        </w:tc>
        <w:tc>
          <w:tcPr>
            <w:tcW w:w="6237" w:type="dxa"/>
          </w:tcPr>
          <w:p w14:paraId="7141BE18" w14:textId="77777777" w:rsidR="008F4671" w:rsidRPr="00201A43" w:rsidRDefault="008F4671" w:rsidP="008F4671">
            <w:pPr>
              <w:rPr>
                <w:rFonts w:ascii="Geomanist Light" w:eastAsia="Arial" w:hAnsi="Geomanist Light" w:cs="Arial"/>
                <w:color w:val="000000"/>
                <w:sz w:val="22"/>
                <w:szCs w:val="22"/>
                <w:lang w:val="es-MX" w:eastAsia="es-ES_tradnl"/>
              </w:rPr>
            </w:pPr>
          </w:p>
        </w:tc>
      </w:tr>
    </w:tbl>
    <w:p w14:paraId="1DFC3D73" w14:textId="77777777" w:rsidR="008F4671" w:rsidRPr="00AF0D6E" w:rsidRDefault="008F4671" w:rsidP="008F4671">
      <w:pPr>
        <w:spacing w:line="276" w:lineRule="auto"/>
        <w:jc w:val="both"/>
        <w:rPr>
          <w:rFonts w:ascii="Geomanist Light" w:eastAsia="Arial" w:hAnsi="Geomanist Light" w:cs="Arial"/>
          <w:color w:val="000000"/>
          <w:sz w:val="22"/>
          <w:szCs w:val="22"/>
          <w:lang w:val="es-MX" w:eastAsia="es-ES_tradnl"/>
        </w:rPr>
      </w:pPr>
    </w:p>
    <w:p w14:paraId="70CE1495" w14:textId="77777777" w:rsidR="008F4671" w:rsidRPr="00AF0D6E" w:rsidRDefault="008F4671" w:rsidP="008F4671">
      <w:pPr>
        <w:spacing w:line="276" w:lineRule="auto"/>
        <w:jc w:val="both"/>
        <w:rPr>
          <w:rFonts w:ascii="Geomanist Light" w:eastAsia="Arial" w:hAnsi="Geomanist Light" w:cs="Arial"/>
          <w:color w:val="000000"/>
          <w:sz w:val="22"/>
          <w:szCs w:val="22"/>
          <w:lang w:val="es-MX" w:eastAsia="es-ES_tradnl"/>
        </w:rPr>
      </w:pPr>
      <w:r w:rsidRPr="00AF0D6E">
        <w:rPr>
          <w:rFonts w:ascii="Geomanist Light" w:eastAsia="Arial" w:hAnsi="Geomanist Light" w:cs="Arial"/>
          <w:color w:val="000000"/>
          <w:sz w:val="22"/>
          <w:szCs w:val="22"/>
          <w:lang w:val="es-MX" w:eastAsia="es-ES_tradnl"/>
        </w:rPr>
        <w:t>Estimado señor Diaz:</w:t>
      </w:r>
    </w:p>
    <w:p w14:paraId="2CF884A0" w14:textId="77777777" w:rsidR="008F4671" w:rsidRPr="00AF0D6E" w:rsidRDefault="008F4671" w:rsidP="008F4671">
      <w:pPr>
        <w:spacing w:line="276" w:lineRule="auto"/>
        <w:ind w:firstLine="709"/>
        <w:jc w:val="both"/>
        <w:rPr>
          <w:rFonts w:ascii="Geomanist Light" w:eastAsia="Arial" w:hAnsi="Geomanist Light" w:cs="Arial"/>
          <w:color w:val="000000"/>
          <w:sz w:val="22"/>
          <w:szCs w:val="22"/>
          <w:lang w:val="es-MX" w:eastAsia="es-ES_tradnl"/>
        </w:rPr>
      </w:pPr>
    </w:p>
    <w:p w14:paraId="5504C890" w14:textId="77777777" w:rsidR="008F4671" w:rsidRPr="00AF0D6E" w:rsidRDefault="008F4671" w:rsidP="008F4671">
      <w:pPr>
        <w:spacing w:line="276" w:lineRule="auto"/>
        <w:ind w:right="51"/>
        <w:jc w:val="both"/>
        <w:rPr>
          <w:rFonts w:ascii="Geomanist Light" w:eastAsia="Arial" w:hAnsi="Geomanist Light" w:cs="Arial"/>
          <w:color w:val="000000"/>
          <w:sz w:val="22"/>
          <w:szCs w:val="22"/>
          <w:lang w:val="es-MX" w:eastAsia="es-ES_tradnl"/>
        </w:rPr>
      </w:pPr>
      <w:r w:rsidRPr="00AF0D6E">
        <w:rPr>
          <w:rFonts w:ascii="Geomanist Light" w:eastAsia="Arial" w:hAnsi="Geomanist Light" w:cs="Arial"/>
          <w:color w:val="000000"/>
          <w:sz w:val="22"/>
          <w:szCs w:val="22"/>
          <w:lang w:val="es-MX" w:eastAsia="es-ES_tradnl"/>
        </w:rPr>
        <w:t xml:space="preserve">En ejercicio de la competencia otorgada por el numeral 8 del artículo 11 y el numeral 5 del artículo 3 del Decreto Ley 4170 de 2011, la Agencia Nacional de Contratación Pública – Colombia Compra Eficiente responde la consulta realizada el 5 de septiembre de 2022. </w:t>
      </w:r>
    </w:p>
    <w:p w14:paraId="338F1F5E" w14:textId="77777777" w:rsidR="008F4671" w:rsidRPr="00AF0D6E" w:rsidRDefault="008F4671" w:rsidP="008F4671">
      <w:pPr>
        <w:spacing w:line="276" w:lineRule="auto"/>
        <w:jc w:val="both"/>
        <w:rPr>
          <w:rFonts w:ascii="Geomanist Light" w:eastAsia="Arial" w:hAnsi="Geomanist Light" w:cs="Arial"/>
          <w:color w:val="000000"/>
          <w:sz w:val="22"/>
          <w:szCs w:val="22"/>
          <w:lang w:val="es-MX" w:eastAsia="es-ES_tradnl"/>
        </w:rPr>
      </w:pPr>
    </w:p>
    <w:p w14:paraId="14B337F0" w14:textId="77777777" w:rsidR="008F4671" w:rsidRPr="00AF0D6E" w:rsidRDefault="008F4671" w:rsidP="008F4671">
      <w:pPr>
        <w:tabs>
          <w:tab w:val="left" w:pos="284"/>
        </w:tabs>
        <w:spacing w:line="276" w:lineRule="auto"/>
        <w:jc w:val="both"/>
        <w:rPr>
          <w:rFonts w:ascii="Geomanist Light" w:eastAsia="Arial" w:hAnsi="Geomanist Light" w:cs="Arial"/>
          <w:b/>
          <w:color w:val="000000"/>
          <w:sz w:val="22"/>
          <w:szCs w:val="22"/>
          <w:lang w:val="es-MX" w:eastAsia="es-ES_tradnl"/>
        </w:rPr>
      </w:pPr>
      <w:r w:rsidRPr="00AF0D6E">
        <w:rPr>
          <w:rFonts w:ascii="Geomanist Light" w:eastAsia="Arial" w:hAnsi="Geomanist Light" w:cs="Arial"/>
          <w:b/>
          <w:color w:val="000000"/>
          <w:sz w:val="22"/>
          <w:szCs w:val="22"/>
          <w:lang w:val="es-MX" w:eastAsia="es-ES_tradnl"/>
        </w:rPr>
        <w:t xml:space="preserve">1. Problema planteado </w:t>
      </w:r>
    </w:p>
    <w:p w14:paraId="3A759D0C" w14:textId="77777777" w:rsidR="008F4671" w:rsidRPr="00AF0D6E" w:rsidRDefault="008F4671" w:rsidP="008F4671">
      <w:pPr>
        <w:pBdr>
          <w:top w:val="nil"/>
          <w:left w:val="nil"/>
          <w:bottom w:val="nil"/>
          <w:right w:val="nil"/>
          <w:between w:val="nil"/>
        </w:pBdr>
        <w:spacing w:line="276" w:lineRule="auto"/>
        <w:jc w:val="both"/>
        <w:rPr>
          <w:rFonts w:ascii="Geomanist Light" w:eastAsia="Arial" w:hAnsi="Geomanist Light" w:cs="Arial"/>
          <w:color w:val="000000"/>
          <w:sz w:val="22"/>
          <w:szCs w:val="22"/>
          <w:lang w:val="es-MX" w:eastAsia="es-ES_tradnl"/>
        </w:rPr>
      </w:pPr>
      <w:bookmarkStart w:id="0" w:name="_17dp8vu" w:colFirst="0" w:colLast="0"/>
      <w:bookmarkEnd w:id="0"/>
    </w:p>
    <w:p w14:paraId="4D16AB4D" w14:textId="27DEA2E2" w:rsidR="008F4671" w:rsidRPr="00AF0D6E" w:rsidRDefault="003A7E22" w:rsidP="008F4671">
      <w:pPr>
        <w:pBdr>
          <w:top w:val="nil"/>
          <w:left w:val="nil"/>
          <w:bottom w:val="nil"/>
          <w:right w:val="nil"/>
          <w:between w:val="nil"/>
        </w:pBdr>
        <w:spacing w:line="276" w:lineRule="auto"/>
        <w:jc w:val="both"/>
        <w:rPr>
          <w:rFonts w:ascii="Geomanist Light" w:eastAsia="Arial" w:hAnsi="Geomanist Light" w:cs="Arial"/>
          <w:color w:val="000000"/>
          <w:sz w:val="22"/>
          <w:szCs w:val="22"/>
          <w:lang w:val="es-MX" w:eastAsia="es-ES_tradnl"/>
        </w:rPr>
      </w:pPr>
      <w:r w:rsidRPr="00AF0D6E">
        <w:rPr>
          <w:rFonts w:ascii="Geomanist Light" w:eastAsia="Arial" w:hAnsi="Geomanist Light" w:cs="Arial"/>
          <w:color w:val="000000"/>
          <w:sz w:val="22"/>
          <w:szCs w:val="22"/>
          <w:lang w:val="es-MX" w:eastAsia="es-ES_tradnl"/>
        </w:rPr>
        <w:t>U</w:t>
      </w:r>
      <w:r w:rsidR="008F4671" w:rsidRPr="00AF0D6E">
        <w:rPr>
          <w:rFonts w:ascii="Geomanist Light" w:eastAsia="Arial" w:hAnsi="Geomanist Light" w:cs="Arial"/>
          <w:color w:val="000000"/>
          <w:sz w:val="22"/>
          <w:szCs w:val="22"/>
          <w:lang w:val="es-MX" w:eastAsia="es-ES_tradnl"/>
        </w:rPr>
        <w:t xml:space="preserve">sted </w:t>
      </w:r>
      <w:r w:rsidRPr="00AF0D6E">
        <w:rPr>
          <w:rFonts w:ascii="Geomanist Light" w:eastAsia="Arial" w:hAnsi="Geomanist Light" w:cs="Arial"/>
          <w:color w:val="000000"/>
          <w:sz w:val="22"/>
          <w:szCs w:val="22"/>
          <w:lang w:val="es-MX" w:eastAsia="es-ES_tradnl"/>
        </w:rPr>
        <w:t>plantea solicitud de consulta en</w:t>
      </w:r>
      <w:r w:rsidR="008F4671" w:rsidRPr="00AF0D6E">
        <w:rPr>
          <w:rFonts w:ascii="Geomanist Light" w:eastAsia="Arial" w:hAnsi="Geomanist Light" w:cs="Arial"/>
          <w:color w:val="000000"/>
          <w:sz w:val="22"/>
          <w:szCs w:val="22"/>
          <w:lang w:val="es-MX" w:eastAsia="es-ES_tradnl"/>
        </w:rPr>
        <w:t xml:space="preserve"> relación con el contenido del pliego tipo de licitación pública de obra de infraestructura de transporte</w:t>
      </w:r>
      <w:r w:rsidRPr="00AF0D6E">
        <w:rPr>
          <w:rFonts w:ascii="Geomanist Light" w:eastAsia="Arial" w:hAnsi="Geomanist Light" w:cs="Arial"/>
          <w:color w:val="000000"/>
          <w:sz w:val="22"/>
          <w:szCs w:val="22"/>
          <w:lang w:val="es-MX" w:eastAsia="es-ES_tradnl"/>
        </w:rPr>
        <w:t>- versión 3. Al respecto pregunta:</w:t>
      </w:r>
    </w:p>
    <w:p w14:paraId="79B68FEC" w14:textId="77777777" w:rsidR="008F4671" w:rsidRPr="00AF0D6E" w:rsidRDefault="008F4671" w:rsidP="008F4671">
      <w:pPr>
        <w:pBdr>
          <w:top w:val="nil"/>
          <w:left w:val="nil"/>
          <w:bottom w:val="nil"/>
          <w:right w:val="nil"/>
          <w:between w:val="nil"/>
        </w:pBdr>
        <w:spacing w:line="276" w:lineRule="auto"/>
        <w:jc w:val="both"/>
        <w:rPr>
          <w:rFonts w:ascii="Geomanist Light" w:eastAsia="Arial" w:hAnsi="Geomanist Light" w:cs="Arial"/>
          <w:color w:val="000000"/>
          <w:sz w:val="22"/>
          <w:szCs w:val="22"/>
          <w:lang w:val="es-MX" w:eastAsia="es-ES_tradnl"/>
        </w:rPr>
      </w:pPr>
    </w:p>
    <w:p w14:paraId="6BBC409A" w14:textId="0F85AD37" w:rsidR="008F4671" w:rsidRPr="00AF0D6E" w:rsidRDefault="000033D7" w:rsidP="00AF0D6E">
      <w:pPr>
        <w:ind w:left="709" w:right="709"/>
        <w:jc w:val="both"/>
        <w:rPr>
          <w:rFonts w:ascii="Geomanist Light" w:hAnsi="Geomanist Light" w:cs="Arial"/>
          <w:bCs/>
          <w:i/>
          <w:iCs/>
          <w:sz w:val="21"/>
          <w:szCs w:val="21"/>
          <w:lang w:val="es-CO" w:eastAsia="es-ES_tradnl"/>
        </w:rPr>
      </w:pPr>
      <w:r w:rsidRPr="00AF0D6E">
        <w:rPr>
          <w:rFonts w:ascii="Geomanist Light" w:hAnsi="Geomanist Light" w:cs="Arial"/>
          <w:bCs/>
          <w:i/>
          <w:iCs/>
          <w:sz w:val="21"/>
          <w:szCs w:val="21"/>
          <w:lang w:val="es-CO" w:eastAsia="es-ES_tradnl"/>
        </w:rPr>
        <w:t>«</w:t>
      </w:r>
      <w:r w:rsidR="008F4671" w:rsidRPr="00AF0D6E">
        <w:rPr>
          <w:rFonts w:ascii="Geomanist Light" w:hAnsi="Geomanist Light" w:cs="Arial"/>
          <w:bCs/>
          <w:i/>
          <w:iCs/>
          <w:sz w:val="21"/>
          <w:szCs w:val="21"/>
          <w:lang w:val="es-CO" w:eastAsia="es-ES_tradnl"/>
        </w:rPr>
        <w:t>En la matriz 1 de los documentos base, pliegos tipo para infraestructura vial, en la pestaña de "ALTA COMPLEJIDAD, se encuentra el numeral 6.16 "PROYECTOS DE SEÑALIZACIÓN Y/O DEMARCACIÓN DE VÍAS URBANAS", en donde se clasifica la experiencia general y específica; de este último, encontramos que "Por lo menos uno (1) de los contratos válidos aportados como experiencia general debe acreditar en el componente de señalización o demarcación un valor igual o superior al 60% del Componente de Señalización y/o Demarcación del Presupuesto Oficial estimado de contratación".</w:t>
      </w:r>
    </w:p>
    <w:p w14:paraId="30073521" w14:textId="77777777" w:rsidR="008F4671" w:rsidRPr="00AF0D6E" w:rsidRDefault="008F4671" w:rsidP="00AF0D6E">
      <w:pPr>
        <w:ind w:left="709" w:right="709"/>
        <w:jc w:val="both"/>
        <w:rPr>
          <w:rFonts w:ascii="Geomanist Light" w:hAnsi="Geomanist Light" w:cs="Arial"/>
          <w:bCs/>
          <w:i/>
          <w:iCs/>
          <w:sz w:val="21"/>
          <w:szCs w:val="21"/>
          <w:lang w:val="es-CO" w:eastAsia="es-ES_tradnl"/>
        </w:rPr>
      </w:pPr>
    </w:p>
    <w:p w14:paraId="1F8DFD18" w14:textId="77777777" w:rsidR="008F4671" w:rsidRPr="00AF0D6E" w:rsidRDefault="008F4671" w:rsidP="00AF0D6E">
      <w:pPr>
        <w:ind w:left="709" w:right="709"/>
        <w:jc w:val="both"/>
        <w:rPr>
          <w:rFonts w:ascii="Geomanist Light" w:hAnsi="Geomanist Light" w:cs="Arial"/>
          <w:bCs/>
          <w:i/>
          <w:iCs/>
          <w:sz w:val="21"/>
          <w:szCs w:val="21"/>
          <w:lang w:val="es-CO" w:eastAsia="es-ES_tradnl"/>
        </w:rPr>
      </w:pPr>
      <w:r w:rsidRPr="00AF0D6E">
        <w:rPr>
          <w:rFonts w:ascii="Geomanist Light" w:hAnsi="Geomanist Light" w:cs="Arial"/>
          <w:bCs/>
          <w:i/>
          <w:iCs/>
          <w:sz w:val="21"/>
          <w:szCs w:val="21"/>
          <w:lang w:val="es-CO" w:eastAsia="es-ES_tradnl"/>
        </w:rPr>
        <w:t>De lo anterior, se entiende que, en el caso de que el proceso de selección avance teniendo los dos componentes (señalización y demarcación), se puede demostrar la experiencia en alguno de estos; es decir, al tener los dos componentes, estos se dividen y se puede presentar el 60% de la sumatoria de los ítems que compongan solamente la señalización o la demarcación.</w:t>
      </w:r>
    </w:p>
    <w:p w14:paraId="25334DD9" w14:textId="77777777" w:rsidR="008F4671" w:rsidRPr="00AF0D6E" w:rsidRDefault="008F4671" w:rsidP="00AF0D6E">
      <w:pPr>
        <w:ind w:left="709" w:right="709"/>
        <w:jc w:val="both"/>
        <w:rPr>
          <w:rFonts w:ascii="Geomanist Light" w:hAnsi="Geomanist Light" w:cs="Arial"/>
          <w:bCs/>
          <w:i/>
          <w:iCs/>
          <w:sz w:val="21"/>
          <w:szCs w:val="21"/>
          <w:lang w:val="es-CO" w:eastAsia="es-ES_tradnl"/>
        </w:rPr>
      </w:pPr>
    </w:p>
    <w:p w14:paraId="3C3E464A" w14:textId="77777777" w:rsidR="008F4671" w:rsidRPr="00AF0D6E" w:rsidRDefault="008F4671" w:rsidP="00AF0D6E">
      <w:pPr>
        <w:ind w:left="709" w:right="709"/>
        <w:jc w:val="both"/>
        <w:rPr>
          <w:rFonts w:ascii="Geomanist Light" w:hAnsi="Geomanist Light" w:cs="Arial"/>
          <w:bCs/>
          <w:i/>
          <w:iCs/>
          <w:sz w:val="21"/>
          <w:szCs w:val="21"/>
          <w:lang w:val="es-CO" w:eastAsia="es-ES_tradnl"/>
        </w:rPr>
      </w:pPr>
      <w:r w:rsidRPr="00AF0D6E">
        <w:rPr>
          <w:rFonts w:ascii="Geomanist Light" w:hAnsi="Geomanist Light" w:cs="Arial"/>
          <w:bCs/>
          <w:i/>
          <w:iCs/>
          <w:sz w:val="21"/>
          <w:szCs w:val="21"/>
          <w:lang w:val="es-CO" w:eastAsia="es-ES_tradnl"/>
        </w:rPr>
        <w:t xml:space="preserve">(…) </w:t>
      </w:r>
    </w:p>
    <w:p w14:paraId="3C1B5129" w14:textId="7C9A0EAC" w:rsidR="008F4671" w:rsidRPr="00AF0D6E" w:rsidRDefault="008F4671" w:rsidP="00AF0D6E">
      <w:pPr>
        <w:ind w:left="709" w:right="709"/>
        <w:jc w:val="both"/>
        <w:rPr>
          <w:rFonts w:ascii="Geomanist Light" w:hAnsi="Geomanist Light" w:cs="Arial"/>
          <w:bCs/>
          <w:i/>
          <w:iCs/>
          <w:sz w:val="21"/>
          <w:szCs w:val="21"/>
          <w:lang w:val="es-CO" w:eastAsia="es-ES_tradnl"/>
        </w:rPr>
      </w:pPr>
      <w:r w:rsidRPr="00AF0D6E">
        <w:rPr>
          <w:rFonts w:ascii="Geomanist Light" w:hAnsi="Geomanist Light" w:cs="Arial"/>
          <w:bCs/>
          <w:i/>
          <w:iCs/>
          <w:sz w:val="21"/>
          <w:szCs w:val="21"/>
          <w:lang w:val="es-CO" w:eastAsia="es-ES_tradnl"/>
        </w:rPr>
        <w:t>¿Es correcta nuestra interpretación? o, por lo contrario ¿debe ser el 60% del presupuesto oficial global estimado para el proceso de selección? independientemente de los componentes</w:t>
      </w:r>
      <w:r w:rsidR="000033D7" w:rsidRPr="00AF0D6E">
        <w:rPr>
          <w:rFonts w:ascii="Geomanist Light" w:hAnsi="Geomanist Light" w:cs="Arial"/>
          <w:bCs/>
          <w:i/>
          <w:iCs/>
          <w:sz w:val="21"/>
          <w:szCs w:val="21"/>
          <w:lang w:val="es-CO" w:eastAsia="es-ES_tradnl"/>
        </w:rPr>
        <w:t>»</w:t>
      </w:r>
      <w:r w:rsidRPr="00AF0D6E">
        <w:rPr>
          <w:rFonts w:ascii="Geomanist Light" w:hAnsi="Geomanist Light" w:cs="Arial"/>
          <w:bCs/>
          <w:i/>
          <w:iCs/>
          <w:sz w:val="21"/>
          <w:szCs w:val="21"/>
          <w:lang w:val="es-CO" w:eastAsia="es-ES_tradnl"/>
        </w:rPr>
        <w:t>.</w:t>
      </w:r>
    </w:p>
    <w:p w14:paraId="7F056849" w14:textId="77777777" w:rsidR="008F4671" w:rsidRPr="00AF0D6E" w:rsidRDefault="008F4671" w:rsidP="008F4671">
      <w:pPr>
        <w:spacing w:line="276" w:lineRule="auto"/>
        <w:rPr>
          <w:rFonts w:ascii="Geomanist Light" w:hAnsi="Geomanist Light" w:cs="Arial"/>
          <w:bCs/>
          <w:sz w:val="22"/>
          <w:lang w:val="es-CO" w:eastAsia="es-ES_tradnl"/>
        </w:rPr>
      </w:pPr>
    </w:p>
    <w:p w14:paraId="0D7EA2EC" w14:textId="77777777" w:rsidR="008F4671" w:rsidRPr="00AF0D6E" w:rsidRDefault="008F4671" w:rsidP="008F4671">
      <w:pPr>
        <w:ind w:right="709"/>
        <w:jc w:val="both"/>
        <w:rPr>
          <w:rFonts w:ascii="Geomanist Light" w:eastAsia="Arial" w:hAnsi="Geomanist Light" w:cs="Arial"/>
          <w:b/>
          <w:color w:val="000000"/>
          <w:sz w:val="22"/>
          <w:szCs w:val="22"/>
          <w:lang w:val="es-MX" w:eastAsia="es-ES_tradnl"/>
        </w:rPr>
      </w:pPr>
      <w:r w:rsidRPr="00AF0D6E">
        <w:rPr>
          <w:rFonts w:ascii="Geomanist Light" w:eastAsia="Arial" w:hAnsi="Geomanist Light" w:cs="Arial"/>
          <w:b/>
          <w:color w:val="000000"/>
          <w:sz w:val="22"/>
          <w:szCs w:val="22"/>
          <w:lang w:val="es-MX" w:eastAsia="es-ES_tradnl"/>
        </w:rPr>
        <w:t xml:space="preserve">2. Consideraciones: </w:t>
      </w:r>
    </w:p>
    <w:p w14:paraId="4E3CE883" w14:textId="77777777" w:rsidR="008F4671" w:rsidRPr="00AF0D6E" w:rsidRDefault="008F4671" w:rsidP="008F4671">
      <w:pPr>
        <w:ind w:right="709"/>
        <w:jc w:val="both"/>
        <w:rPr>
          <w:rFonts w:ascii="Geomanist Light" w:eastAsia="Arial" w:hAnsi="Geomanist Light" w:cs="Arial"/>
          <w:b/>
          <w:color w:val="000000"/>
          <w:sz w:val="22"/>
          <w:szCs w:val="22"/>
          <w:lang w:val="es-MX" w:eastAsia="es-ES_tradnl"/>
        </w:rPr>
      </w:pPr>
    </w:p>
    <w:p w14:paraId="11B0CCF3" w14:textId="77777777" w:rsidR="008F4671" w:rsidRPr="00AF0D6E" w:rsidRDefault="008F4671" w:rsidP="00AF0D6E">
      <w:pPr>
        <w:spacing w:after="120" w:line="276" w:lineRule="auto"/>
        <w:jc w:val="both"/>
        <w:rPr>
          <w:rFonts w:ascii="Geomanist Light" w:hAnsi="Geomanist Light" w:cs="Arial"/>
          <w:bCs/>
          <w:sz w:val="22"/>
          <w:lang w:val="es-CO" w:eastAsia="es-ES_tradnl"/>
        </w:rPr>
      </w:pPr>
      <w:r w:rsidRPr="00AF0D6E">
        <w:rPr>
          <w:rFonts w:ascii="Geomanist Light" w:hAnsi="Geomanist Light" w:cs="Arial"/>
          <w:bCs/>
          <w:sz w:val="22"/>
          <w:lang w:val="es-CO" w:eastAsia="es-ES_tradnl"/>
        </w:rPr>
        <w:t>En ejercicio de las competencias establecidas en los artículos 3.5 y 11.8 del Decreto 4170 de 2011, la Agencia Nacional de Contratación Pública – Colombia Compra Eficiente resuelve las consultas sobre los asuntos de su competencia, esto es, sobre las temáticas de la contratación estatal y compras públicas relacionadas en los artículos citados.</w:t>
      </w:r>
      <w:bookmarkStart w:id="1" w:name="_Hlk61701014"/>
      <w:bookmarkStart w:id="2" w:name="_Hlk62136649"/>
      <w:r w:rsidRPr="00AF0D6E">
        <w:rPr>
          <w:rFonts w:ascii="Geomanist Light" w:hAnsi="Geomanist Light" w:cs="Arial"/>
          <w:bCs/>
          <w:sz w:val="22"/>
          <w:lang w:val="es-CO" w:eastAsia="es-ES_tradnl"/>
        </w:rPr>
        <w:t xml:space="preserve"> </w:t>
      </w:r>
      <w:r w:rsidRPr="00AF0D6E">
        <w:rPr>
          <w:rFonts w:ascii="Geomanist Light" w:hAnsi="Geomanist Light" w:cs="Arial"/>
          <w:sz w:val="22"/>
          <w:lang w:val="es-ES" w:eastAsia="es-ES_tradnl"/>
        </w:rPr>
        <w:t xml:space="preserve">Es necesario tener en cuenta que </w:t>
      </w:r>
      <w:bookmarkStart w:id="3" w:name="_Hlk61026958"/>
      <w:r w:rsidRPr="00AF0D6E">
        <w:rPr>
          <w:rFonts w:ascii="Geomanist Light" w:hAnsi="Geomanist Light" w:cs="Arial"/>
          <w:sz w:val="22"/>
          <w:lang w:val="es-ES" w:eastAsia="es-ES_tradnl"/>
        </w:rPr>
        <w:t>esta entidad solo tiene atribuciones para responder solicitudes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w:t>
      </w:r>
      <w:r w:rsidRPr="00AF0D6E">
        <w:rPr>
          <w:rFonts w:ascii="Geomanist Light" w:hAnsi="Geomanist Light" w:cs="Arial"/>
          <w:bCs/>
          <w:sz w:val="22"/>
          <w:lang w:val="es-CO" w:eastAsia="es-ES_tradnl"/>
        </w:rPr>
        <w:t xml:space="preserve"> de todos los partícipes de la contratación estatal.</w:t>
      </w:r>
    </w:p>
    <w:p w14:paraId="63E6BC5A" w14:textId="77777777" w:rsidR="008F4671" w:rsidRPr="00AF0D6E" w:rsidRDefault="008F4671" w:rsidP="00AF0D6E">
      <w:pPr>
        <w:spacing w:after="120" w:line="276" w:lineRule="auto"/>
        <w:ind w:firstLine="708"/>
        <w:jc w:val="both"/>
        <w:rPr>
          <w:rFonts w:ascii="Geomanist Light" w:eastAsia="Calibri" w:hAnsi="Geomanist Light" w:cs="Arial"/>
          <w:color w:val="000000"/>
          <w:sz w:val="22"/>
          <w:lang w:val="es-ES" w:eastAsia="es-ES_tradnl"/>
        </w:rPr>
      </w:pPr>
      <w:r w:rsidRPr="00AF0D6E">
        <w:rPr>
          <w:rFonts w:ascii="Geomanist Light" w:hAnsi="Geomanist Light" w:cs="Arial"/>
          <w:sz w:val="22"/>
          <w:lang w:val="es-ES" w:eastAsia="es-ES_tradnl"/>
        </w:rPr>
        <w:t>La competencia de esta entidad se fija con límites claros, con el objeto de evitar que la Agencia actúe como una instancia de validación de las actuaciones de las entidades sujetas a la Ley 80 de 1993 o de los demás participantes de la contratación pública</w:t>
      </w:r>
      <w:r w:rsidRPr="00AF0D6E">
        <w:rPr>
          <w:rFonts w:ascii="Geomanist Light" w:hAnsi="Geomanist Light" w:cs="Arial"/>
          <w:sz w:val="22"/>
          <w:vertAlign w:val="superscript"/>
          <w:lang w:val="es-ES" w:eastAsia="es-ES_tradnl"/>
        </w:rPr>
        <w:footnoteReference w:id="1"/>
      </w:r>
      <w:r w:rsidRPr="00AF0D6E">
        <w:rPr>
          <w:rFonts w:ascii="Geomanist Light" w:hAnsi="Geomanist Light" w:cs="Arial"/>
          <w:sz w:val="22"/>
          <w:lang w:val="es-ES" w:eastAsia="es-ES_tradnl"/>
        </w:rPr>
        <w:t xml:space="preserve">. Esta competencia de </w:t>
      </w:r>
      <w:r w:rsidRPr="00AF0D6E">
        <w:rPr>
          <w:rFonts w:ascii="Geomanist Light" w:hAnsi="Geomanist Light" w:cs="Arial"/>
          <w:sz w:val="22"/>
          <w:lang w:val="es-ES" w:eastAsia="es-ES_tradnl"/>
        </w:rPr>
        <w:lastRenderedPageBreak/>
        <w:t>interpretación de normas generales, por definición, no puede extenderse a la resolución de controversias, ni a brindar asesorías sobre casos puntuales</w:t>
      </w:r>
      <w:bookmarkEnd w:id="3"/>
      <w:r w:rsidRPr="00AF0D6E">
        <w:rPr>
          <w:rFonts w:ascii="Geomanist Light" w:hAnsi="Geomanist Light" w:cs="Arial"/>
          <w:sz w:val="22"/>
          <w:lang w:val="es-ES" w:eastAsia="es-ES_tradnl"/>
        </w:rPr>
        <w:t>.</w:t>
      </w:r>
      <w:bookmarkEnd w:id="1"/>
      <w:bookmarkEnd w:id="2"/>
      <w:r w:rsidRPr="00AF0D6E">
        <w:rPr>
          <w:rFonts w:ascii="Geomanist Light" w:hAnsi="Geomanist Light" w:cs="Arial"/>
          <w:sz w:val="22"/>
          <w:lang w:val="es-ES" w:eastAsia="es-ES_tradnl"/>
        </w:rPr>
        <w:t xml:space="preserve"> </w:t>
      </w:r>
      <w:r w:rsidRPr="00AF0D6E">
        <w:rPr>
          <w:rFonts w:ascii="Geomanist Light" w:eastAsia="Calibri" w:hAnsi="Geomanist Light" w:cs="Arial"/>
          <w:color w:val="000000"/>
          <w:sz w:val="22"/>
          <w:lang w:val="es-CO" w:eastAsia="es-ES_tradnl"/>
        </w:rPr>
        <w:t xml:space="preserve">De esta manera, </w:t>
      </w:r>
      <w:r w:rsidRPr="00AF0D6E">
        <w:rPr>
          <w:rFonts w:ascii="Geomanist Light" w:eastAsia="Calibri" w:hAnsi="Geomanist Light" w:cs="Arial"/>
          <w:color w:val="000000"/>
          <w:sz w:val="22"/>
          <w:lang w:val="es-ES" w:eastAsia="es-ES_tradnl"/>
        </w:rPr>
        <w:t>la Subdirección resolverá la consulta conforme a las normas generales en materia de contratación estatal.</w:t>
      </w:r>
    </w:p>
    <w:p w14:paraId="7AB4E6D1" w14:textId="400FC940" w:rsidR="008F4671" w:rsidRPr="00AF0D6E" w:rsidRDefault="008F4671" w:rsidP="00E06915">
      <w:pPr>
        <w:spacing w:line="276" w:lineRule="auto"/>
        <w:ind w:firstLine="709"/>
        <w:jc w:val="both"/>
        <w:rPr>
          <w:rFonts w:ascii="Geomanist Light" w:eastAsia="Calibri" w:hAnsi="Geomanist Light" w:cs="Arial"/>
          <w:bCs/>
          <w:color w:val="000000"/>
          <w:sz w:val="22"/>
          <w:szCs w:val="22"/>
          <w:lang w:val="es-ES" w:eastAsia="en-US"/>
        </w:rPr>
      </w:pPr>
      <w:r w:rsidRPr="00AF0D6E">
        <w:rPr>
          <w:rFonts w:ascii="Geomanist Light" w:hAnsi="Geomanist Light" w:cs="Arial"/>
          <w:sz w:val="22"/>
          <w:lang w:eastAsia="es-ES_tradnl"/>
        </w:rPr>
        <w:t xml:space="preserve">La Agencia Nacional de Contratación Pública – Colombia Compra Eficiente ha estudiado del ámbito de aplicación de los documentos tipo en los conceptos C-645 del 6 de noviembre de 2020, C-673 del 11 de noviembre de 2020, C-692 del 27 de noviembre de 2020, C-778 del 18 de enero de 2021, C-021 del 22 de febrero de 2021, C-091 del 23 de marzo de 2021, C-200 del 14 de mayo de 2021, C-231 del 24 de mayo de 2021, C-267 de 2 de junio de 2021, C-370 del 28 de julio de 2021, C-380 del 29 de julio de 2021 y C-643 del 17 de noviembre de 2021, C-751 del 7 de febrero del 2022 y C-006 del 7 de marzo del 2022, entre otros. </w:t>
      </w:r>
      <w:r w:rsidRPr="00AF0D6E">
        <w:rPr>
          <w:rFonts w:ascii="Geomanist Light" w:eastAsia="Calibri" w:hAnsi="Geomanist Light" w:cs="Arial"/>
          <w:bCs/>
          <w:color w:val="000000"/>
          <w:sz w:val="22"/>
          <w:szCs w:val="22"/>
          <w:lang w:val="es-ES" w:eastAsia="en-US"/>
        </w:rPr>
        <w:t>La tesis y argumentos expuestos en dichos conceptos se reiteran a continuación y se complementan en lo pertinente.</w:t>
      </w:r>
    </w:p>
    <w:p w14:paraId="68E4A6C1" w14:textId="77777777" w:rsidR="008F4671" w:rsidRPr="00EA1FD4" w:rsidRDefault="008F4671" w:rsidP="008F4671">
      <w:pPr>
        <w:spacing w:line="276" w:lineRule="auto"/>
        <w:jc w:val="both"/>
        <w:rPr>
          <w:rFonts w:ascii="Geomanist Light" w:hAnsi="Geomanist Light" w:cs="Arial"/>
          <w:b/>
          <w:bCs/>
          <w:color w:val="000000"/>
          <w:sz w:val="22"/>
          <w:szCs w:val="22"/>
          <w:bdr w:val="none" w:sz="0" w:space="0" w:color="auto" w:frame="1"/>
          <w:lang w:eastAsia="es-CO"/>
        </w:rPr>
      </w:pPr>
    </w:p>
    <w:p w14:paraId="26DE2890" w14:textId="76830C53" w:rsidR="008F4671" w:rsidRPr="00EA1FD4" w:rsidRDefault="008F4671" w:rsidP="008F4671">
      <w:pPr>
        <w:spacing w:line="276" w:lineRule="auto"/>
        <w:jc w:val="both"/>
        <w:rPr>
          <w:rFonts w:ascii="Geomanist Light" w:hAnsi="Geomanist Light" w:cs="Arial"/>
          <w:color w:val="000000"/>
          <w:sz w:val="22"/>
          <w:szCs w:val="22"/>
          <w:bdr w:val="none" w:sz="0" w:space="0" w:color="auto" w:frame="1"/>
          <w:lang w:eastAsia="es-CO"/>
        </w:rPr>
      </w:pPr>
      <w:r w:rsidRPr="00EA1FD4">
        <w:rPr>
          <w:rFonts w:ascii="Geomanist Light" w:hAnsi="Geomanist Light" w:cs="Arial"/>
          <w:b/>
          <w:bCs/>
          <w:color w:val="000000"/>
          <w:sz w:val="22"/>
          <w:szCs w:val="22"/>
          <w:bdr w:val="none" w:sz="0" w:space="0" w:color="auto" w:frame="1"/>
          <w:lang w:eastAsia="es-CO"/>
        </w:rPr>
        <w:t>2.</w:t>
      </w:r>
      <w:r w:rsidR="000033D7" w:rsidRPr="00EA1FD4">
        <w:rPr>
          <w:rFonts w:ascii="Geomanist Light" w:hAnsi="Geomanist Light" w:cs="Arial"/>
          <w:b/>
          <w:bCs/>
          <w:color w:val="000000"/>
          <w:sz w:val="22"/>
          <w:szCs w:val="22"/>
          <w:bdr w:val="none" w:sz="0" w:space="0" w:color="auto" w:frame="1"/>
          <w:lang w:eastAsia="es-CO"/>
        </w:rPr>
        <w:t>1</w:t>
      </w:r>
      <w:r w:rsidRPr="00EA1FD4">
        <w:rPr>
          <w:rFonts w:ascii="Geomanist Light" w:hAnsi="Geomanist Light" w:cs="Arial"/>
          <w:b/>
          <w:bCs/>
          <w:color w:val="000000"/>
          <w:sz w:val="22"/>
          <w:szCs w:val="22"/>
          <w:bdr w:val="none" w:sz="0" w:space="0" w:color="auto" w:frame="1"/>
          <w:lang w:eastAsia="es-CO"/>
        </w:rPr>
        <w:t>. Aplicación de los documentos tipo de infraestructura de transporte a partir de la Matriz 1 – Experiencia</w:t>
      </w:r>
    </w:p>
    <w:p w14:paraId="33C6DCC0" w14:textId="77777777" w:rsidR="008F4671" w:rsidRPr="00EA1FD4" w:rsidRDefault="008F4671" w:rsidP="008F4671">
      <w:pPr>
        <w:spacing w:line="276" w:lineRule="auto"/>
        <w:jc w:val="both"/>
        <w:rPr>
          <w:rFonts w:ascii="Geomanist Light" w:eastAsia="Calibri" w:hAnsi="Geomanist Light" w:cs="Arial"/>
          <w:b/>
          <w:bCs/>
          <w:color w:val="000000"/>
          <w:sz w:val="22"/>
          <w:szCs w:val="22"/>
          <w:lang w:eastAsia="es-ES"/>
        </w:rPr>
      </w:pPr>
    </w:p>
    <w:p w14:paraId="6F0F93AE" w14:textId="1C333CBC" w:rsidR="008F4671" w:rsidRPr="00EA1FD4" w:rsidRDefault="008F4671" w:rsidP="00201A43">
      <w:pPr>
        <w:spacing w:after="120" w:line="276" w:lineRule="auto"/>
        <w:jc w:val="both"/>
        <w:rPr>
          <w:rFonts w:ascii="Geomanist Light" w:eastAsia="Calibri" w:hAnsi="Geomanist Light" w:cs="Arial"/>
          <w:color w:val="000000"/>
          <w:sz w:val="22"/>
          <w:szCs w:val="22"/>
          <w:lang w:val="es-MX" w:eastAsia="en-US"/>
        </w:rPr>
      </w:pPr>
      <w:r w:rsidRPr="00EA1FD4">
        <w:rPr>
          <w:rFonts w:ascii="Geomanist Light" w:eastAsia="Calibri" w:hAnsi="Geomanist Light" w:cs="Arial"/>
          <w:color w:val="000000"/>
          <w:sz w:val="22"/>
          <w:szCs w:val="22"/>
          <w:lang w:val="es-MX" w:eastAsia="en-US"/>
        </w:rPr>
        <w:t>De conformidad con el marco normativo expuesto anteriormente y de acuerdo con las condiciones fijadas en el «Documento Base» de la Resolución No. 240 del 27 de noviembre de 2020,</w:t>
      </w:r>
      <w:r w:rsidR="0095681E" w:rsidRPr="00EA1FD4">
        <w:rPr>
          <w:rFonts w:ascii="Geomanist Light" w:eastAsia="Calibri" w:hAnsi="Geomanist Light" w:cs="Arial"/>
          <w:color w:val="000000"/>
          <w:sz w:val="22"/>
          <w:szCs w:val="22"/>
          <w:lang w:val="es-MX" w:eastAsia="en-US"/>
        </w:rPr>
        <w:t xml:space="preserve"> modificado por la Resolución No. 275 de 2022,</w:t>
      </w:r>
      <w:r w:rsidRPr="00EA1FD4">
        <w:rPr>
          <w:rFonts w:ascii="Geomanist Light" w:eastAsia="Calibri" w:hAnsi="Geomanist Light" w:cs="Arial"/>
          <w:color w:val="000000"/>
          <w:sz w:val="22"/>
          <w:szCs w:val="22"/>
          <w:lang w:val="es-MX" w:eastAsia="en-US"/>
        </w:rPr>
        <w:t xml:space="preserve"> la acreditación del requisito habilitante de experiencia se aborda desde distintos criterios. En primer lugar, los contratos presentados por los proponentes deben corresponder a la actividad o actividades de experiencia general y específica que la entidad exija en el pliego de condiciones, de acuerdo con los parámetros señalados en la Matriz 1. En segundo lugar, los proponentes deben acreditar el cumplimiento de las condiciones fijadas con mínimo uno (1) y máximo </w:t>
      </w:r>
      <w:r w:rsidR="004226BC" w:rsidRPr="00EA1FD4">
        <w:rPr>
          <w:rFonts w:ascii="Geomanist Light" w:eastAsia="Calibri" w:hAnsi="Geomanist Light" w:cs="Arial"/>
          <w:color w:val="000000"/>
          <w:sz w:val="22"/>
          <w:szCs w:val="22"/>
          <w:lang w:val="es-MX" w:eastAsia="en-US"/>
        </w:rPr>
        <w:t xml:space="preserve">cinco </w:t>
      </w:r>
      <w:r w:rsidRPr="00EA1FD4">
        <w:rPr>
          <w:rFonts w:ascii="Geomanist Light" w:eastAsia="Calibri" w:hAnsi="Geomanist Light" w:cs="Arial"/>
          <w:color w:val="000000"/>
          <w:sz w:val="22"/>
          <w:szCs w:val="22"/>
          <w:lang w:val="es-MX" w:eastAsia="en-US"/>
        </w:rPr>
        <w:t>(</w:t>
      </w:r>
      <w:r w:rsidR="004226BC" w:rsidRPr="00EA1FD4">
        <w:rPr>
          <w:rFonts w:ascii="Geomanist Light" w:eastAsia="Calibri" w:hAnsi="Geomanist Light" w:cs="Arial"/>
          <w:color w:val="000000"/>
          <w:sz w:val="22"/>
          <w:szCs w:val="22"/>
          <w:lang w:val="es-MX" w:eastAsia="en-US"/>
        </w:rPr>
        <w:t>5</w:t>
      </w:r>
      <w:r w:rsidRPr="00EA1FD4">
        <w:rPr>
          <w:rFonts w:ascii="Geomanist Light" w:eastAsia="Calibri" w:hAnsi="Geomanist Light" w:cs="Arial"/>
          <w:color w:val="000000"/>
          <w:sz w:val="22"/>
          <w:szCs w:val="22"/>
          <w:lang w:val="es-MX" w:eastAsia="en-US"/>
        </w:rPr>
        <w:t xml:space="preserve">) contratos, que debieron terminar antes de la fecha de cierre del proceso de contratación. </w:t>
      </w:r>
      <w:r w:rsidR="004226BC" w:rsidRPr="00EA1FD4">
        <w:rPr>
          <w:rFonts w:ascii="Geomanist Light" w:eastAsia="Calibri" w:hAnsi="Geomanist Light" w:cs="Arial"/>
          <w:color w:val="000000"/>
          <w:sz w:val="22"/>
          <w:szCs w:val="22"/>
          <w:lang w:val="es-MX" w:eastAsia="en-US"/>
        </w:rPr>
        <w:t>E</w:t>
      </w:r>
      <w:r w:rsidRPr="00EA1FD4">
        <w:rPr>
          <w:rFonts w:ascii="Geomanist Light" w:eastAsia="Calibri" w:hAnsi="Geomanist Light" w:cs="Arial"/>
          <w:color w:val="000000"/>
          <w:sz w:val="22"/>
          <w:szCs w:val="22"/>
          <w:lang w:val="es-MX" w:eastAsia="en-US"/>
        </w:rPr>
        <w:t xml:space="preserve">l número de contratos aportados por el proponente debe certificar un valor mínimo correspondiente a un porcentaje del presupuesto oficial del proceso de obra expresado en SMMLV, cuya verificación se hará de acuerdo con la sumatoria de los valores totales ejecutados de los contratos que cumplan con los requisitos establecidos en el pliego de condiciones. </w:t>
      </w:r>
    </w:p>
    <w:p w14:paraId="21754DC7" w14:textId="77777777" w:rsidR="008F4671" w:rsidRPr="00EA1FD4" w:rsidRDefault="008F4671" w:rsidP="00201A43">
      <w:pPr>
        <w:spacing w:after="120" w:line="276" w:lineRule="auto"/>
        <w:ind w:firstLine="709"/>
        <w:jc w:val="both"/>
        <w:rPr>
          <w:rFonts w:ascii="Geomanist Light" w:eastAsia="Calibri" w:hAnsi="Geomanist Light" w:cs="Arial"/>
          <w:color w:val="000000"/>
          <w:sz w:val="22"/>
          <w:szCs w:val="22"/>
          <w:lang w:val="es-MX" w:eastAsia="en-US"/>
        </w:rPr>
      </w:pPr>
      <w:r w:rsidRPr="00EA1FD4">
        <w:rPr>
          <w:rFonts w:ascii="Geomanist Light" w:eastAsia="Calibri" w:hAnsi="Geomanist Light" w:cs="Arial"/>
          <w:color w:val="000000"/>
          <w:sz w:val="22"/>
          <w:szCs w:val="22"/>
          <w:lang w:val="es-MX" w:eastAsia="en-US"/>
        </w:rPr>
        <w:t xml:space="preserve">Para fijar las condiciones que deben cumplir los contratos aportados, en términos de actividades ejecutadas, las entidades deberán emplear la Matriz 1, documento que estandariza las condiciones de experiencia general y/o experiencia específica que deben requerir las entidades </w:t>
      </w:r>
      <w:r w:rsidRPr="00EA1FD4">
        <w:rPr>
          <w:rFonts w:ascii="Geomanist Light" w:eastAsia="Calibri" w:hAnsi="Geomanist Light" w:cs="Arial"/>
          <w:color w:val="000000"/>
          <w:sz w:val="22"/>
          <w:szCs w:val="22"/>
          <w:lang w:val="es-MX" w:eastAsia="en-US"/>
        </w:rPr>
        <w:lastRenderedPageBreak/>
        <w:t>estatales de acuerdo con: i) el tipo de obra de infraestructura de transporte; ii) la actividad a contratar, y iii) la cuantía del proceso de contratación.</w:t>
      </w:r>
    </w:p>
    <w:p w14:paraId="1BF6B59C" w14:textId="77777777" w:rsidR="008F4671" w:rsidRPr="00EA1FD4" w:rsidRDefault="008F4671" w:rsidP="00201A43">
      <w:pPr>
        <w:spacing w:after="120" w:line="276" w:lineRule="auto"/>
        <w:ind w:firstLine="709"/>
        <w:jc w:val="both"/>
        <w:rPr>
          <w:rFonts w:ascii="Geomanist Light" w:eastAsia="Calibri" w:hAnsi="Geomanist Light" w:cs="Arial"/>
          <w:color w:val="000000"/>
          <w:sz w:val="22"/>
          <w:szCs w:val="22"/>
          <w:lang w:val="es-MX" w:eastAsia="en-US"/>
        </w:rPr>
      </w:pPr>
      <w:r w:rsidRPr="00EA1FD4">
        <w:rPr>
          <w:rFonts w:ascii="Geomanist Light" w:eastAsia="Calibri" w:hAnsi="Geomanist Light" w:cs="Arial"/>
          <w:color w:val="000000"/>
          <w:sz w:val="22"/>
          <w:szCs w:val="22"/>
          <w:lang w:val="es-MX" w:eastAsia="en-US"/>
        </w:rPr>
        <w:t>En relación con el primer aspecto, la Matriz 1 está constituida por ocho (8) tipos de obras de infraestructura de transporte, identificadas con un número y su descripción, los cuales son: 1) obras en vías primarias o secundarias, 2) obras en vías terciarias, 3) obras marítimas y fluviales, 4) obras en vías primarias o secundarias o terciarias o urbanas para atención, prevención o mitigación de emergencias diferentes a contratación directa, 5) obras férreas, 6) obras de infraestructura vial urbana, 7) obras en puentes y 8) obras aeroportuarias. Estas determinan el marco para la aplicación de los documentos tipo, dado que comprenden todas aquellas actividades que constituyen obra pública de infraestructura de transporte y que han sido objeto de estandarización mediante la Resolución No. 240 del 27 de noviembre de 2020 para los procesos de licitación pública.</w:t>
      </w:r>
    </w:p>
    <w:p w14:paraId="7833B34C" w14:textId="74ADB68F" w:rsidR="008F4671" w:rsidRPr="00201A43" w:rsidRDefault="008F4671" w:rsidP="00201A43">
      <w:pPr>
        <w:spacing w:after="120" w:line="276" w:lineRule="auto"/>
        <w:ind w:firstLine="709"/>
        <w:jc w:val="both"/>
        <w:rPr>
          <w:rFonts w:ascii="Geomanist Light" w:eastAsia="Calibri" w:hAnsi="Geomanist Light" w:cs="Arial"/>
          <w:color w:val="000000"/>
          <w:sz w:val="22"/>
          <w:szCs w:val="22"/>
          <w:highlight w:val="yellow"/>
          <w:lang w:val="es-MX" w:eastAsia="en-US"/>
        </w:rPr>
      </w:pPr>
      <w:r w:rsidRPr="00EA1FD4">
        <w:rPr>
          <w:rFonts w:ascii="Geomanist Light" w:eastAsia="Calibri" w:hAnsi="Geomanist Light" w:cs="Arial"/>
          <w:color w:val="000000"/>
          <w:sz w:val="22"/>
          <w:szCs w:val="22"/>
          <w:lang w:val="es-MX" w:eastAsia="en-US"/>
        </w:rPr>
        <w:t>Con respecto a la actividad a contratar, la Matriz 1 establece cuáles son las que corresponden a cada uno de los tipos de infraestructura mencionados, con el fin de que la entidad identifique aquellas en las cuales puede encuadrarse, de mejor forma, el objeto que pretende ejecutar y determinar los requisitos de experiencia exigibles. Por ejemplo, para el tipo de infraestructura «6. OBRAS DE INFRAESTRUCTURA VIAL URBANA», la entidad podrá verificar la experiencia requerida en su proceso, de acuerdo con las 18 actividades identificadas en la matriz 1</w:t>
      </w:r>
      <w:r w:rsidRPr="00201A43">
        <w:rPr>
          <w:rFonts w:ascii="Geomanist Light" w:eastAsia="Calibri" w:hAnsi="Geomanist Light" w:cs="Arial"/>
          <w:color w:val="000000"/>
          <w:sz w:val="22"/>
          <w:szCs w:val="22"/>
          <w:vertAlign w:val="superscript"/>
          <w:lang w:val="es-MX" w:eastAsia="en-US"/>
        </w:rPr>
        <w:footnoteReference w:id="2"/>
      </w:r>
      <w:r w:rsidRPr="00201A43">
        <w:rPr>
          <w:rFonts w:ascii="Geomanist Light" w:eastAsia="Calibri" w:hAnsi="Geomanist Light" w:cs="Arial"/>
          <w:color w:val="000000"/>
          <w:sz w:val="22"/>
          <w:szCs w:val="22"/>
          <w:lang w:val="es-MX" w:eastAsia="en-US"/>
        </w:rPr>
        <w:t>, entre las cuales se encuentra la definida en el numeral «6.16. PROYECTOS DE SEÑALIZACIÓN Y/O DEMARCACIÓN DE VÍAS URBANAS».</w:t>
      </w:r>
    </w:p>
    <w:p w14:paraId="72726903" w14:textId="474189FA" w:rsidR="008F4671" w:rsidRPr="00201A43" w:rsidRDefault="0095681E" w:rsidP="00201A43">
      <w:pPr>
        <w:spacing w:after="120" w:line="276" w:lineRule="auto"/>
        <w:ind w:firstLine="709"/>
        <w:jc w:val="both"/>
        <w:rPr>
          <w:rFonts w:ascii="Geomanist Light" w:eastAsia="Calibri" w:hAnsi="Geomanist Light" w:cs="Arial"/>
          <w:color w:val="000000"/>
          <w:sz w:val="22"/>
          <w:szCs w:val="22"/>
          <w:lang w:val="es-MX" w:eastAsia="en-US"/>
        </w:rPr>
      </w:pPr>
      <w:r w:rsidRPr="00201A43">
        <w:rPr>
          <w:rFonts w:ascii="Geomanist Light" w:eastAsia="Calibri" w:hAnsi="Geomanist Light" w:cs="Arial"/>
          <w:color w:val="000000"/>
          <w:sz w:val="22"/>
          <w:szCs w:val="22"/>
          <w:lang w:val="es-MX" w:eastAsia="en-US"/>
        </w:rPr>
        <w:t>De otra parte,</w:t>
      </w:r>
      <w:r w:rsidR="008F4671" w:rsidRPr="00201A43">
        <w:rPr>
          <w:rFonts w:ascii="Geomanist Light" w:eastAsia="Calibri" w:hAnsi="Geomanist Light" w:cs="Arial"/>
          <w:color w:val="000000"/>
          <w:sz w:val="22"/>
          <w:szCs w:val="22"/>
          <w:lang w:val="es-MX" w:eastAsia="en-US"/>
        </w:rPr>
        <w:t xml:space="preserve"> el documento establece los rangos dentro de los cuales se debe identificar el presupuesto del proceso de contratación. Estos abarcan las cuantías mínimas y máximas que son frecuentes en los procesos de contratación de obra pública de infraestructura de transporte, y son resultado de las exigencias señaladas en el inciso 3 del parágrafo 7 del artículo 2 de la Ley 1150 de 2007 –modificado por el artículo 1 de la Ley 2022 de 2020–, conforme al cual las condiciones fijadas en los documentos tipo deben tener en cuenta la cuantía, la naturaleza y la especialidad de la contratación. </w:t>
      </w:r>
    </w:p>
    <w:p w14:paraId="151EECC2" w14:textId="77777777" w:rsidR="008F4671" w:rsidRPr="00201A43" w:rsidRDefault="008F4671" w:rsidP="00201A43">
      <w:pPr>
        <w:spacing w:after="120" w:line="276" w:lineRule="auto"/>
        <w:ind w:firstLine="709"/>
        <w:jc w:val="both"/>
        <w:rPr>
          <w:rFonts w:ascii="Geomanist Light" w:eastAsia="Calibri" w:hAnsi="Geomanist Light" w:cs="Arial"/>
          <w:color w:val="000000"/>
          <w:sz w:val="22"/>
          <w:szCs w:val="22"/>
          <w:lang w:val="es-MX" w:eastAsia="en-US"/>
        </w:rPr>
      </w:pPr>
      <w:r w:rsidRPr="00201A43">
        <w:rPr>
          <w:rFonts w:ascii="Geomanist Light" w:eastAsia="Calibri" w:hAnsi="Geomanist Light" w:cs="Arial"/>
          <w:color w:val="000000"/>
          <w:sz w:val="22"/>
          <w:szCs w:val="22"/>
          <w:lang w:val="es-MX" w:eastAsia="en-US"/>
        </w:rPr>
        <w:t xml:space="preserve">Estos tres factores determinan el requisito de experiencia establecido en los documentos tipo desarrollados por la Agencia Nacional de Contratación Pública – Colombia Compra Eficiente, e incluido en la Matriz 1, que es resultado del mandato establecido en la Ley 2022 de 2020, por lo que son de obligatorio cumplimiento. Igualmente, se encuentran sometidos a la regulación prevista en </w:t>
      </w:r>
      <w:r w:rsidRPr="00201A43">
        <w:rPr>
          <w:rFonts w:ascii="Geomanist Light" w:eastAsia="Calibri" w:hAnsi="Geomanist Light" w:cs="Arial"/>
          <w:color w:val="000000"/>
          <w:sz w:val="22"/>
          <w:szCs w:val="22"/>
          <w:lang w:val="es-MX" w:eastAsia="en-US"/>
        </w:rPr>
        <w:lastRenderedPageBreak/>
        <w:t xml:space="preserve">la Resolución No. 240 del 27 de noviembre de 2020 y, por tanto, la regla general es que no pueden ser alterados, modificados o adicionados en su contenido. </w:t>
      </w:r>
    </w:p>
    <w:p w14:paraId="2D35BBC0" w14:textId="77777777" w:rsidR="008F4671" w:rsidRPr="00201A43" w:rsidRDefault="008F4671" w:rsidP="00201A43">
      <w:pPr>
        <w:spacing w:after="120" w:line="276" w:lineRule="auto"/>
        <w:ind w:firstLine="709"/>
        <w:jc w:val="both"/>
        <w:rPr>
          <w:rFonts w:ascii="Geomanist Light" w:eastAsia="Calibri" w:hAnsi="Geomanist Light" w:cs="Arial"/>
          <w:color w:val="000000"/>
          <w:sz w:val="22"/>
          <w:szCs w:val="22"/>
          <w:lang w:val="es-MX" w:eastAsia="en-US"/>
        </w:rPr>
      </w:pPr>
      <w:r w:rsidRPr="00201A43">
        <w:rPr>
          <w:rFonts w:ascii="Geomanist Light" w:eastAsia="Calibri" w:hAnsi="Geomanist Light" w:cs="Arial"/>
          <w:color w:val="000000"/>
          <w:sz w:val="22"/>
          <w:szCs w:val="22"/>
          <w:lang w:val="es-MX" w:eastAsia="en-US"/>
        </w:rPr>
        <w:t xml:space="preserve">Ahora bien, el «documento base» o pliego tipo adoptado estableció en su numeral «3.5.1 Determinación de los requisitos mínimos de experiencia según la Matriz 1 – Experiencia», en el cual la entidad debe justificar técnicamente, expresa y suficientemente la complejidad del proyecto, determinando si es de baja-media o alta complejidad, y en función de ello implementar alguna de las variantes de la «Matriz 1 – Experiencia», ya sea la de proyectos de baja–media complejidad, o la elaborada para proyectos de alta complejidad técnica. </w:t>
      </w:r>
    </w:p>
    <w:p w14:paraId="52ED8D20" w14:textId="77777777" w:rsidR="008F4671" w:rsidRPr="00201A43" w:rsidRDefault="008F4671" w:rsidP="008F4671">
      <w:pPr>
        <w:spacing w:line="276" w:lineRule="auto"/>
        <w:ind w:firstLine="709"/>
        <w:jc w:val="both"/>
        <w:rPr>
          <w:rFonts w:ascii="Geomanist Light" w:eastAsia="Calibri" w:hAnsi="Geomanist Light" w:cs="Arial"/>
          <w:color w:val="000000"/>
          <w:sz w:val="22"/>
          <w:szCs w:val="22"/>
          <w:lang w:val="es-MX" w:eastAsia="en-US"/>
        </w:rPr>
      </w:pPr>
      <w:r w:rsidRPr="00201A43">
        <w:rPr>
          <w:rFonts w:ascii="Geomanist Light" w:eastAsia="Calibri" w:hAnsi="Geomanist Light" w:cs="Arial"/>
          <w:color w:val="000000"/>
          <w:sz w:val="22"/>
          <w:szCs w:val="22"/>
          <w:lang w:val="es-MX" w:eastAsia="en-US"/>
        </w:rPr>
        <w:t xml:space="preserve">En este sentido, a partir de la actualización de los «Documentos Tipo – Versión 3» de licitación de obra pública de infraestructura de transporte se crean dos matrices de experiencia: i) para proyectos de baja o media complejidad técnica y ii) para proyectos de alta complejidad técnica. Es decir, corresponde a la entidad determinar la complejidad técnica del proceso, a partir de diversas condiciones o circunstancias geográficas, geológicas, hidrológicas, climáticas, así como el alcance físico del proyecto de infraestructura de transporte, entre otros, como lo dispone el numeral 3.5.1. del Documento Base, dejando constancia de su análisis realizado para establecer la complejidad técnica del proyecto sin limitarse exclusivamente a la cuantía del proceso. </w:t>
      </w:r>
    </w:p>
    <w:p w14:paraId="7E4BED5F" w14:textId="77777777" w:rsidR="008F4671" w:rsidRPr="00201A43" w:rsidRDefault="008F4671" w:rsidP="008F4671">
      <w:pPr>
        <w:spacing w:line="276" w:lineRule="auto"/>
        <w:ind w:right="51"/>
        <w:jc w:val="both"/>
        <w:rPr>
          <w:rFonts w:ascii="Geomanist Light" w:eastAsia="Calibri" w:hAnsi="Geomanist Light" w:cs="Arial"/>
          <w:color w:val="000000"/>
          <w:sz w:val="22"/>
          <w:szCs w:val="22"/>
          <w:lang w:val="es-MX" w:eastAsia="en-US"/>
        </w:rPr>
      </w:pPr>
      <w:bookmarkStart w:id="4" w:name="_Hlk89695510"/>
    </w:p>
    <w:bookmarkEnd w:id="4"/>
    <w:p w14:paraId="41DE5EA1" w14:textId="77777777" w:rsidR="008F4671" w:rsidRPr="00201A43" w:rsidRDefault="008F4671" w:rsidP="00201A43">
      <w:pPr>
        <w:spacing w:after="120" w:line="276" w:lineRule="auto"/>
        <w:ind w:firstLine="708"/>
        <w:jc w:val="both"/>
        <w:rPr>
          <w:rFonts w:ascii="Geomanist Light" w:eastAsia="Calibri" w:hAnsi="Geomanist Light" w:cs="Arial"/>
          <w:color w:val="000000"/>
          <w:sz w:val="22"/>
          <w:szCs w:val="22"/>
          <w:lang w:val="es-MX" w:eastAsia="en-US"/>
        </w:rPr>
      </w:pPr>
      <w:r w:rsidRPr="00201A43">
        <w:rPr>
          <w:rFonts w:ascii="Geomanist Light" w:eastAsia="Calibri" w:hAnsi="Geomanist Light" w:cs="Arial"/>
          <w:color w:val="000000"/>
          <w:sz w:val="22"/>
          <w:szCs w:val="22"/>
          <w:lang w:val="es-MX" w:eastAsia="en-US"/>
        </w:rPr>
        <w:t>De esta manera, la entidad estatal que adelanta un proceso de contratación de licitación de obra pública de infraestructura de transporte debe definir la experiencia exigible, teniendo en cuenta las condiciones fijadas en la Matriz 1, de acuerdo con los siguientes pasos:</w:t>
      </w:r>
    </w:p>
    <w:p w14:paraId="7BF7ED49" w14:textId="77777777" w:rsidR="008F4671" w:rsidRPr="00201A43" w:rsidRDefault="008F4671" w:rsidP="00201A43">
      <w:pPr>
        <w:spacing w:after="120" w:line="276" w:lineRule="auto"/>
        <w:ind w:firstLine="708"/>
        <w:jc w:val="both"/>
        <w:rPr>
          <w:rFonts w:ascii="Geomanist Light" w:eastAsia="Calibri" w:hAnsi="Geomanist Light" w:cs="Arial"/>
          <w:color w:val="000000"/>
          <w:sz w:val="22"/>
          <w:szCs w:val="22"/>
          <w:lang w:val="es-MX" w:eastAsia="en-US"/>
        </w:rPr>
      </w:pPr>
      <w:r w:rsidRPr="00201A43">
        <w:rPr>
          <w:rFonts w:ascii="Geomanist Light" w:eastAsia="Calibri" w:hAnsi="Geomanist Light" w:cs="Arial"/>
          <w:color w:val="000000"/>
          <w:sz w:val="22"/>
          <w:szCs w:val="22"/>
          <w:lang w:val="es-MX" w:eastAsia="en-US"/>
        </w:rPr>
        <w:t>a) Establecer si se trata de un proyecto de complejidad baja-media o alta, y en función de ello establecer la Matriz 1 aplicable.</w:t>
      </w:r>
    </w:p>
    <w:p w14:paraId="7156FC15" w14:textId="77777777" w:rsidR="008F4671" w:rsidRPr="00201A43" w:rsidRDefault="008F4671" w:rsidP="00201A43">
      <w:pPr>
        <w:spacing w:after="120" w:line="276" w:lineRule="auto"/>
        <w:ind w:firstLine="708"/>
        <w:jc w:val="both"/>
        <w:rPr>
          <w:rFonts w:ascii="Geomanist Light" w:eastAsia="Calibri" w:hAnsi="Geomanist Light" w:cs="Arial"/>
          <w:color w:val="000000"/>
          <w:sz w:val="22"/>
          <w:szCs w:val="22"/>
          <w:lang w:val="es-MX" w:eastAsia="en-US"/>
        </w:rPr>
      </w:pPr>
      <w:r w:rsidRPr="00201A43">
        <w:rPr>
          <w:rFonts w:ascii="Geomanist Light" w:eastAsia="Calibri" w:hAnsi="Geomanist Light" w:cs="Arial"/>
          <w:color w:val="000000"/>
          <w:sz w:val="22"/>
          <w:szCs w:val="22"/>
          <w:lang w:val="es-MX" w:eastAsia="en-US"/>
        </w:rPr>
        <w:t xml:space="preserve"> b) Identificada la respectiva Matriz 1, la entidad deberá determinar el tipo de infraestructura sobre el cual recae la obra a ejecutar. Al respecto, esta matriz contiene ocho (8) secciones que corresponden a los tipos de infraestructura estandarizados.</w:t>
      </w:r>
    </w:p>
    <w:p w14:paraId="3111A77E" w14:textId="77777777" w:rsidR="008F4671" w:rsidRPr="00201A43" w:rsidRDefault="008F4671" w:rsidP="00201A43">
      <w:pPr>
        <w:spacing w:after="120" w:line="276" w:lineRule="auto"/>
        <w:ind w:firstLine="708"/>
        <w:jc w:val="both"/>
        <w:rPr>
          <w:rFonts w:ascii="Geomanist Light" w:eastAsia="Calibri" w:hAnsi="Geomanist Light" w:cs="Arial"/>
          <w:color w:val="000000"/>
          <w:sz w:val="22"/>
          <w:szCs w:val="22"/>
          <w:lang w:val="es-MX" w:eastAsia="en-US"/>
        </w:rPr>
      </w:pPr>
      <w:r w:rsidRPr="00201A43">
        <w:rPr>
          <w:rFonts w:ascii="Geomanist Light" w:eastAsia="Calibri" w:hAnsi="Geomanist Light" w:cs="Arial"/>
          <w:color w:val="000000"/>
          <w:sz w:val="22"/>
          <w:szCs w:val="22"/>
          <w:lang w:val="es-MX" w:eastAsia="en-US"/>
        </w:rPr>
        <w:t xml:space="preserve">c) Definido el tipo de infraestructura, identificar la «ACTIVIDAD A CONTRATAR» acorde con la Matriz 1. </w:t>
      </w:r>
    </w:p>
    <w:p w14:paraId="0D535BFA" w14:textId="77777777" w:rsidR="008F4671" w:rsidRPr="00201A43" w:rsidRDefault="008F4671" w:rsidP="00201A43">
      <w:pPr>
        <w:spacing w:after="120" w:line="276" w:lineRule="auto"/>
        <w:ind w:firstLine="708"/>
        <w:jc w:val="both"/>
        <w:rPr>
          <w:rFonts w:ascii="Geomanist Light" w:eastAsia="Calibri" w:hAnsi="Geomanist Light" w:cs="Arial"/>
          <w:color w:val="000000"/>
          <w:sz w:val="22"/>
          <w:szCs w:val="22"/>
          <w:lang w:val="es-MX" w:eastAsia="en-US"/>
        </w:rPr>
      </w:pPr>
      <w:r w:rsidRPr="00201A43">
        <w:rPr>
          <w:rFonts w:ascii="Geomanist Light" w:eastAsia="Calibri" w:hAnsi="Geomanist Light" w:cs="Arial"/>
          <w:color w:val="000000"/>
          <w:sz w:val="22"/>
          <w:szCs w:val="22"/>
          <w:lang w:val="es-MX" w:eastAsia="en-US"/>
        </w:rPr>
        <w:t xml:space="preserve">d) Luego, identificar el rango en el cual se encuentra el proceso de contratación de acuerdo con el presupuesto oficial. </w:t>
      </w:r>
    </w:p>
    <w:p w14:paraId="51FC3912" w14:textId="77777777" w:rsidR="008F4671" w:rsidRPr="00201A43" w:rsidRDefault="008F4671" w:rsidP="00201A43">
      <w:pPr>
        <w:spacing w:after="120" w:line="276" w:lineRule="auto"/>
        <w:ind w:firstLine="709"/>
        <w:jc w:val="both"/>
        <w:rPr>
          <w:rFonts w:ascii="Geomanist Light" w:eastAsia="Calibri" w:hAnsi="Geomanist Light" w:cs="Arial"/>
          <w:color w:val="000000"/>
          <w:sz w:val="22"/>
          <w:szCs w:val="22"/>
          <w:lang w:val="es-MX" w:eastAsia="en-US"/>
        </w:rPr>
      </w:pPr>
      <w:r w:rsidRPr="00201A43">
        <w:rPr>
          <w:rFonts w:ascii="Geomanist Light" w:eastAsia="Calibri" w:hAnsi="Geomanist Light" w:cs="Arial"/>
          <w:color w:val="000000"/>
          <w:sz w:val="22"/>
          <w:szCs w:val="22"/>
          <w:lang w:val="es-MX" w:eastAsia="en-US"/>
        </w:rPr>
        <w:t xml:space="preserve">e) Identificar la «experiencia general» exigible acorde con la Matriz 1, teniendo en cuenta la actividad a contratar y el rango de la cuantía del Proceso de Contratación. </w:t>
      </w:r>
    </w:p>
    <w:p w14:paraId="54264AAB" w14:textId="77777777" w:rsidR="008F4671" w:rsidRPr="00201A43" w:rsidRDefault="008F4671" w:rsidP="00201A43">
      <w:pPr>
        <w:spacing w:after="120" w:line="276" w:lineRule="auto"/>
        <w:ind w:firstLine="709"/>
        <w:jc w:val="both"/>
        <w:rPr>
          <w:rFonts w:ascii="Geomanist Light" w:eastAsia="Calibri" w:hAnsi="Geomanist Light" w:cs="Arial"/>
          <w:color w:val="000000"/>
          <w:sz w:val="22"/>
          <w:szCs w:val="22"/>
          <w:lang w:val="es-MX" w:eastAsia="en-US"/>
        </w:rPr>
      </w:pPr>
      <w:r w:rsidRPr="00201A43">
        <w:rPr>
          <w:rFonts w:ascii="Geomanist Light" w:eastAsia="Calibri" w:hAnsi="Geomanist Light" w:cs="Arial"/>
          <w:color w:val="000000"/>
          <w:sz w:val="22"/>
          <w:szCs w:val="22"/>
          <w:lang w:val="es-MX" w:eastAsia="en-US"/>
        </w:rPr>
        <w:t xml:space="preserve">f) Identificar la «experiencia específica» exigible y el porcentaje de dimensionamiento que se puede solicitar acorde con la longitud a ejecutar, de acuerdo con la cuantía del proceso de </w:t>
      </w:r>
      <w:r w:rsidRPr="00201A43">
        <w:rPr>
          <w:rFonts w:ascii="Geomanist Light" w:eastAsia="Calibri" w:hAnsi="Geomanist Light" w:cs="Arial"/>
          <w:color w:val="000000"/>
          <w:sz w:val="22"/>
          <w:szCs w:val="22"/>
          <w:lang w:val="es-MX" w:eastAsia="en-US"/>
        </w:rPr>
        <w:lastRenderedPageBreak/>
        <w:t xml:space="preserve">contratación. Cuando en la «experiencia específica» se indiquen las siglas </w:t>
      </w:r>
      <w:r w:rsidRPr="00201A43">
        <w:rPr>
          <w:rFonts w:ascii="Geomanist Light" w:eastAsia="Calibri" w:hAnsi="Geomanist Light" w:cs="Arial"/>
          <w:i/>
          <w:iCs/>
          <w:color w:val="000000"/>
          <w:sz w:val="22"/>
          <w:szCs w:val="22"/>
          <w:lang w:val="es-MX" w:eastAsia="en-US"/>
        </w:rPr>
        <w:t>N.A,</w:t>
      </w:r>
      <w:r w:rsidRPr="00201A43">
        <w:rPr>
          <w:rFonts w:ascii="Geomanist Light" w:eastAsia="Calibri" w:hAnsi="Geomanist Light" w:cs="Arial"/>
          <w:color w:val="000000"/>
          <w:sz w:val="22"/>
          <w:szCs w:val="22"/>
          <w:lang w:val="es-MX" w:eastAsia="en-US"/>
        </w:rPr>
        <w:t xml:space="preserve"> significa que la entidad estatal no puede exigir a los proponentes experiencia específica en los procesos de contratación. </w:t>
      </w:r>
    </w:p>
    <w:p w14:paraId="3C9CC97A" w14:textId="77777777" w:rsidR="008F4671" w:rsidRPr="00201A43" w:rsidRDefault="008F4671" w:rsidP="00201A43">
      <w:pPr>
        <w:spacing w:after="120" w:line="276" w:lineRule="auto"/>
        <w:ind w:firstLine="709"/>
        <w:jc w:val="both"/>
        <w:rPr>
          <w:rFonts w:ascii="Geomanist Light" w:eastAsia="Calibri" w:hAnsi="Geomanist Light" w:cs="Arial"/>
          <w:color w:val="000000"/>
          <w:sz w:val="22"/>
          <w:szCs w:val="22"/>
          <w:lang w:val="es-MX" w:eastAsia="en-US"/>
        </w:rPr>
      </w:pPr>
      <w:r w:rsidRPr="00201A43">
        <w:rPr>
          <w:rFonts w:ascii="Geomanist Light" w:eastAsia="Calibri" w:hAnsi="Geomanist Light" w:cs="Arial"/>
          <w:color w:val="000000"/>
          <w:sz w:val="22"/>
          <w:szCs w:val="22"/>
          <w:lang w:val="es-MX" w:eastAsia="en-US"/>
        </w:rPr>
        <w:t xml:space="preserve">Sobre el porcentaje de dimensionamiento a exigir resulta pertinente resaltar que éste se establece, conforme a las reglas generales de la respectiva matriz, en función de la longitud requerida en el proceso de contratación y que su exigencia hace parte de la “Experiencia Específica”. </w:t>
      </w:r>
    </w:p>
    <w:p w14:paraId="626607A5" w14:textId="77777777" w:rsidR="008F4671" w:rsidRPr="00201A43" w:rsidRDefault="008F4671" w:rsidP="00201A43">
      <w:pPr>
        <w:spacing w:after="120" w:line="276" w:lineRule="auto"/>
        <w:ind w:firstLine="709"/>
        <w:jc w:val="both"/>
        <w:rPr>
          <w:rFonts w:ascii="Geomanist Light" w:eastAsia="Calibri" w:hAnsi="Geomanist Light" w:cs="Arial"/>
          <w:color w:val="000000"/>
          <w:sz w:val="22"/>
          <w:szCs w:val="22"/>
          <w:lang w:val="es-MX" w:eastAsia="en-US"/>
        </w:rPr>
      </w:pPr>
      <w:r w:rsidRPr="00201A43">
        <w:rPr>
          <w:rFonts w:ascii="Geomanist Light" w:eastAsia="Calibri" w:hAnsi="Geomanist Light" w:cs="Arial"/>
          <w:color w:val="000000"/>
          <w:sz w:val="22"/>
          <w:szCs w:val="22"/>
          <w:lang w:val="es-MX" w:eastAsia="en-US"/>
        </w:rPr>
        <w:t>g) Establecidos los requisitos de experiencia exigibles, la entidad deberá consignarlos en los apartados grises entre corchetes del literal A del numeral 3.5.2 del documento base, para que los oferentes puedan conocer los requisitos de experiencia general y específica exigidos por la entidad.</w:t>
      </w:r>
    </w:p>
    <w:p w14:paraId="5A204DDF" w14:textId="77777777" w:rsidR="008F4671" w:rsidRPr="00201A43" w:rsidRDefault="008F4671" w:rsidP="008F4671">
      <w:pPr>
        <w:spacing w:line="276" w:lineRule="auto"/>
        <w:ind w:firstLine="709"/>
        <w:jc w:val="both"/>
        <w:rPr>
          <w:rFonts w:ascii="Geomanist Light" w:eastAsia="Calibri" w:hAnsi="Geomanist Light" w:cs="Arial"/>
          <w:color w:val="000000"/>
          <w:sz w:val="22"/>
          <w:szCs w:val="22"/>
          <w:lang w:val="es-CO" w:eastAsia="en-US"/>
        </w:rPr>
      </w:pPr>
      <w:r w:rsidRPr="00201A43">
        <w:rPr>
          <w:rFonts w:ascii="Geomanist Light" w:eastAsia="Calibri" w:hAnsi="Geomanist Light" w:cs="Arial"/>
          <w:color w:val="000000"/>
          <w:sz w:val="22"/>
          <w:szCs w:val="22"/>
          <w:lang w:val="es-CO" w:eastAsia="en-US"/>
        </w:rPr>
        <w:t>Teniendo en cuenta la información suministrada en su petición, a manera de ejemplo, para efectos de los «Documentos Tipo – Versión 3» de licitación pública, se identifica la experiencia general y específica que la entidad estatal debe solicitar en un contrato cuyo objeto consista en obras de infraestructura vial urbana, de acuerdo con las características y parámetros explicados previamente:</w:t>
      </w:r>
    </w:p>
    <w:p w14:paraId="24583BE8" w14:textId="77777777" w:rsidR="008F4671" w:rsidRPr="00201A43" w:rsidRDefault="008F4671" w:rsidP="008F4671">
      <w:pPr>
        <w:spacing w:line="276" w:lineRule="auto"/>
        <w:ind w:firstLine="709"/>
        <w:jc w:val="both"/>
        <w:rPr>
          <w:rFonts w:ascii="Geomanist Light" w:eastAsia="Calibri" w:hAnsi="Geomanist Light" w:cs="Arial"/>
          <w:color w:val="000000"/>
          <w:sz w:val="22"/>
          <w:szCs w:val="22"/>
          <w:lang w:val="es-CO" w:eastAsia="en-US"/>
        </w:rPr>
      </w:pPr>
    </w:p>
    <w:p w14:paraId="67FEE93A" w14:textId="77777777" w:rsidR="008F4671" w:rsidRPr="00201A43" w:rsidRDefault="008F4671" w:rsidP="00201A43">
      <w:pPr>
        <w:spacing w:after="120" w:line="276" w:lineRule="auto"/>
        <w:ind w:firstLine="709"/>
        <w:jc w:val="both"/>
        <w:rPr>
          <w:rFonts w:ascii="Geomanist Light" w:eastAsia="Calibri" w:hAnsi="Geomanist Light" w:cs="Arial"/>
          <w:color w:val="000000"/>
          <w:sz w:val="22"/>
          <w:szCs w:val="22"/>
          <w:lang w:val="es-CO" w:eastAsia="en-US"/>
        </w:rPr>
      </w:pPr>
      <w:r w:rsidRPr="00201A43">
        <w:rPr>
          <w:rFonts w:ascii="Geomanist Light" w:eastAsia="Calibri" w:hAnsi="Geomanist Light" w:cs="Arial"/>
          <w:color w:val="000000"/>
          <w:sz w:val="22"/>
          <w:szCs w:val="22"/>
          <w:lang w:val="es-CO" w:eastAsia="en-US"/>
        </w:rPr>
        <w:t>a) De conformidad con la «Matriz 1 – Experiencia», el tipo de infraestructura que se relaciona en el objeto contractual es «6. OBRAS DE INFRAESTRUCTURA VIAL URBANA».</w:t>
      </w:r>
    </w:p>
    <w:p w14:paraId="59269B96" w14:textId="77777777" w:rsidR="008F4671" w:rsidRPr="00201A43" w:rsidRDefault="008F4671" w:rsidP="00201A43">
      <w:pPr>
        <w:spacing w:after="120" w:line="276" w:lineRule="auto"/>
        <w:ind w:firstLine="709"/>
        <w:jc w:val="both"/>
        <w:rPr>
          <w:rFonts w:ascii="Geomanist Light" w:eastAsia="Calibri" w:hAnsi="Geomanist Light" w:cs="Arial"/>
          <w:color w:val="000000"/>
          <w:sz w:val="22"/>
          <w:szCs w:val="22"/>
          <w:lang w:val="es-CO" w:eastAsia="en-US"/>
        </w:rPr>
      </w:pPr>
      <w:r w:rsidRPr="00201A43">
        <w:rPr>
          <w:rFonts w:ascii="Geomanist Light" w:eastAsia="Calibri" w:hAnsi="Geomanist Light" w:cs="Arial"/>
          <w:color w:val="000000"/>
          <w:sz w:val="22"/>
          <w:szCs w:val="22"/>
          <w:lang w:val="es-CO" w:eastAsia="en-US"/>
        </w:rPr>
        <w:t>b) La actividad que se relaciona es el numeral «</w:t>
      </w:r>
      <w:r w:rsidRPr="00201A43">
        <w:rPr>
          <w:rFonts w:ascii="Geomanist Light" w:eastAsia="Calibri" w:hAnsi="Geomanist Light" w:cs="Arial"/>
          <w:bCs/>
          <w:color w:val="000000"/>
          <w:sz w:val="22"/>
          <w:szCs w:val="22"/>
          <w:lang w:val="es-MX" w:eastAsia="en-US"/>
        </w:rPr>
        <w:t>6.16 PROYECTOS DE SEÑALIZACIÓN Y/O DEMARCACIÓN DE VÍAS URBANAS</w:t>
      </w:r>
      <w:r w:rsidRPr="00201A43">
        <w:rPr>
          <w:rFonts w:ascii="Geomanist Light" w:eastAsia="Calibri" w:hAnsi="Geomanist Light" w:cs="Arial"/>
          <w:color w:val="000000"/>
          <w:sz w:val="22"/>
          <w:szCs w:val="22"/>
          <w:lang w:val="es-CO" w:eastAsia="en-US"/>
        </w:rPr>
        <w:t>».</w:t>
      </w:r>
    </w:p>
    <w:p w14:paraId="392BA415" w14:textId="77777777" w:rsidR="008F4671" w:rsidRPr="00201A43" w:rsidRDefault="008F4671" w:rsidP="00201A43">
      <w:pPr>
        <w:spacing w:after="120" w:line="276" w:lineRule="auto"/>
        <w:ind w:firstLine="709"/>
        <w:jc w:val="both"/>
        <w:rPr>
          <w:rFonts w:ascii="Geomanist Light" w:eastAsia="Calibri" w:hAnsi="Geomanist Light" w:cs="Arial"/>
          <w:color w:val="000000"/>
          <w:sz w:val="22"/>
          <w:szCs w:val="22"/>
          <w:lang w:val="es-CO" w:eastAsia="en-US"/>
        </w:rPr>
      </w:pPr>
      <w:r w:rsidRPr="00201A43">
        <w:rPr>
          <w:rFonts w:ascii="Geomanist Light" w:eastAsia="Calibri" w:hAnsi="Geomanist Light" w:cs="Arial"/>
          <w:color w:val="000000"/>
          <w:sz w:val="22"/>
          <w:szCs w:val="22"/>
          <w:lang w:val="es-CO" w:eastAsia="en-US"/>
        </w:rPr>
        <w:t xml:space="preserve">c) </w:t>
      </w:r>
      <w:bookmarkStart w:id="5" w:name="_Hlk85793867"/>
      <w:r w:rsidRPr="00201A43">
        <w:rPr>
          <w:rFonts w:ascii="Geomanist Light" w:eastAsia="Calibri" w:hAnsi="Geomanist Light" w:cs="Arial"/>
          <w:color w:val="000000"/>
          <w:sz w:val="22"/>
          <w:szCs w:val="22"/>
          <w:lang w:val="es-CO" w:eastAsia="en-US"/>
        </w:rPr>
        <w:t xml:space="preserve">La experiencia general y específica que debe solicitarse, en un caso concreto, dependerá de la complejidad técnica y de la cuantía del proceso de contratación. </w:t>
      </w:r>
    </w:p>
    <w:p w14:paraId="44D8AE85" w14:textId="2B7C81CB" w:rsidR="008F4671" w:rsidRPr="00201A43" w:rsidRDefault="008F4671" w:rsidP="008F4671">
      <w:pPr>
        <w:spacing w:after="120" w:line="276" w:lineRule="auto"/>
        <w:ind w:firstLine="851"/>
        <w:jc w:val="both"/>
        <w:rPr>
          <w:rFonts w:ascii="Geomanist Light" w:eastAsia="Calibri" w:hAnsi="Geomanist Light" w:cs="Arial"/>
          <w:i/>
          <w:color w:val="000000"/>
          <w:sz w:val="22"/>
          <w:szCs w:val="22"/>
          <w:lang w:val="es-CO" w:eastAsia="en-US"/>
        </w:rPr>
      </w:pPr>
      <w:r w:rsidRPr="00201A43">
        <w:rPr>
          <w:rFonts w:ascii="Geomanist Light" w:eastAsia="Calibri" w:hAnsi="Geomanist Light" w:cs="Arial"/>
          <w:iCs/>
          <w:color w:val="000000"/>
          <w:sz w:val="22"/>
          <w:szCs w:val="22"/>
          <w:lang w:val="es-CO" w:eastAsia="en-US"/>
        </w:rPr>
        <w:t>T</w:t>
      </w:r>
      <w:r w:rsidRPr="00201A43">
        <w:rPr>
          <w:rFonts w:ascii="Geomanist Light" w:eastAsia="Calibri" w:hAnsi="Geomanist Light" w:cs="Arial"/>
          <w:color w:val="000000"/>
          <w:sz w:val="22"/>
          <w:szCs w:val="22"/>
          <w:lang w:val="es-CO" w:eastAsia="en-US"/>
        </w:rPr>
        <w:t>ratándose de proyectos de complejidad alta, la experiencia general que se deberá exigir es «PROYECTOS QUE CORRESPONDAN O HAYAN CONTENIDO ACTIVIDADES DE: SEÑALIZACIÓN VERTIAL U HORIZONTAL O DEMARCACIÓN DE VÍAS PRIMARIAS O SECUNDARIAS O AEROPISTAS O URBANAS»; en caso de requerirse la intervención de la estructura de pavimento deberá combinarse con la experiencia respectiva. Estos requisitos se aplican trasversalmente, al margen de la cuantía de contratación de acuerdo con las reglas generales definidas en la respectiva matriz. Sobre la experiencia específica, la matriz prevé que, «</w:t>
      </w:r>
      <w:r w:rsidRPr="00201A43">
        <w:rPr>
          <w:rFonts w:ascii="Geomanist Light" w:eastAsia="Calibri" w:hAnsi="Geomanist Light" w:cs="Arial"/>
          <w:i/>
          <w:color w:val="000000"/>
          <w:sz w:val="22"/>
          <w:szCs w:val="22"/>
          <w:lang w:val="es-CO" w:eastAsia="en-US"/>
        </w:rPr>
        <w:t>Por lo menos uno</w:t>
      </w:r>
      <w:r w:rsidRPr="00201A43">
        <w:rPr>
          <w:rFonts w:ascii="Geomanist Light" w:eastAsia="Calibri" w:hAnsi="Geomanist Light" w:cs="Arial"/>
          <w:color w:val="000000"/>
          <w:sz w:val="22"/>
          <w:szCs w:val="22"/>
          <w:lang w:val="es-CO" w:eastAsia="en-US"/>
        </w:rPr>
        <w:t xml:space="preserve"> </w:t>
      </w:r>
      <w:r w:rsidRPr="00201A43">
        <w:rPr>
          <w:rFonts w:ascii="Geomanist Light" w:eastAsia="Calibri" w:hAnsi="Geomanist Light" w:cs="Arial"/>
          <w:i/>
          <w:color w:val="000000"/>
          <w:sz w:val="22"/>
          <w:szCs w:val="22"/>
          <w:lang w:val="es-CO" w:eastAsia="en-US"/>
        </w:rPr>
        <w:t>(1) de los contratos válidos aportados como experiencia general debe acreditar en el componente de señalización o demarcación un valor igual o superior al 60% del Componente de Señalización y/o Demarcación del Presupuesto Oficial estimado de contratación</w:t>
      </w:r>
      <w:r w:rsidR="00427225" w:rsidRPr="00201A43">
        <w:rPr>
          <w:rFonts w:ascii="Geomanist Light" w:eastAsia="Calibri" w:hAnsi="Geomanist Light" w:cs="Arial"/>
          <w:i/>
          <w:color w:val="000000"/>
          <w:sz w:val="22"/>
          <w:szCs w:val="22"/>
          <w:lang w:val="es-CO" w:eastAsia="en-US"/>
        </w:rPr>
        <w:t>»</w:t>
      </w:r>
      <w:r w:rsidRPr="00201A43">
        <w:rPr>
          <w:rFonts w:ascii="Geomanist Light" w:eastAsia="Calibri" w:hAnsi="Geomanist Light" w:cs="Arial"/>
          <w:i/>
          <w:color w:val="000000"/>
          <w:sz w:val="22"/>
          <w:szCs w:val="22"/>
          <w:lang w:val="es-CO" w:eastAsia="en-US"/>
        </w:rPr>
        <w:t>.</w:t>
      </w:r>
    </w:p>
    <w:p w14:paraId="47ABF64A" w14:textId="77777777" w:rsidR="008F4671" w:rsidRPr="00201A43" w:rsidRDefault="008F4671" w:rsidP="008F4671">
      <w:pPr>
        <w:spacing w:after="120" w:line="276" w:lineRule="auto"/>
        <w:ind w:firstLine="709"/>
        <w:jc w:val="both"/>
        <w:rPr>
          <w:rFonts w:ascii="Geomanist Light" w:eastAsia="Calibri" w:hAnsi="Geomanist Light" w:cs="Arial"/>
          <w:color w:val="000000"/>
          <w:sz w:val="22"/>
          <w:szCs w:val="22"/>
          <w:lang w:val="es-CO" w:eastAsia="en-US"/>
        </w:rPr>
      </w:pPr>
      <w:r w:rsidRPr="00201A43">
        <w:rPr>
          <w:rFonts w:ascii="Geomanist Light" w:eastAsia="Calibri" w:hAnsi="Geomanist Light" w:cs="Arial"/>
          <w:color w:val="000000"/>
          <w:sz w:val="22"/>
          <w:szCs w:val="22"/>
          <w:lang w:val="es-CO" w:eastAsia="en-US"/>
        </w:rPr>
        <w:t xml:space="preserve">Las reglas generales definidas con anterioridad, son la que se deben tener en cuenta por la entidad contratante para exigir la experiencia en un caso determinado. Así mismo tales reglas son </w:t>
      </w:r>
      <w:r w:rsidRPr="00201A43">
        <w:rPr>
          <w:rFonts w:ascii="Geomanist Light" w:eastAsia="Calibri" w:hAnsi="Geomanist Light" w:cs="Arial"/>
          <w:color w:val="000000"/>
          <w:sz w:val="22"/>
          <w:szCs w:val="22"/>
          <w:lang w:val="es-CO" w:eastAsia="en-US"/>
        </w:rPr>
        <w:lastRenderedPageBreak/>
        <w:t xml:space="preserve">las que, de manera obligatoria y conforme a su aplicación en una licitación pública específica deberán acatar los respectivos proponentes. De modo que, los </w:t>
      </w:r>
      <w:r w:rsidRPr="00201A43">
        <w:rPr>
          <w:rFonts w:ascii="Geomanist Light" w:eastAsia="Calibri" w:hAnsi="Geomanist Light" w:cs="Arial"/>
          <w:color w:val="000000"/>
          <w:sz w:val="22"/>
          <w:szCs w:val="22"/>
          <w:lang w:val="es-MX" w:eastAsia="en-US"/>
        </w:rPr>
        <w:t xml:space="preserve">aspectos entre corchetes </w:t>
      </w:r>
      <w:r w:rsidRPr="00201A43">
        <w:rPr>
          <w:rFonts w:ascii="Geomanist Light" w:eastAsia="Calibri" w:hAnsi="Geomanist Light" w:cs="Arial"/>
          <w:color w:val="000000"/>
          <w:sz w:val="22"/>
          <w:szCs w:val="22"/>
          <w:lang w:val="es-CO" w:eastAsia="en-US"/>
        </w:rPr>
        <w:t>«[ ]»</w:t>
      </w:r>
      <w:bookmarkStart w:id="6" w:name="_Hlk85793685"/>
      <w:r w:rsidRPr="00201A43">
        <w:rPr>
          <w:rFonts w:ascii="Geomanist Light" w:eastAsia="Calibri" w:hAnsi="Geomanist Light" w:cs="Arial"/>
          <w:color w:val="000000"/>
          <w:sz w:val="22"/>
          <w:szCs w:val="22"/>
          <w:lang w:val="es-CO" w:eastAsia="en-US"/>
        </w:rPr>
        <w:t xml:space="preserve"> contenidos en el respectivo documento base o pliego tipo pueden modificarse por la entidad contratante, según los lineamientos establecidos para tal fin por dichos documentos tipo y sus anexos, entre éstos la matriz </w:t>
      </w:r>
      <w:proofErr w:type="spellStart"/>
      <w:r w:rsidRPr="00201A43">
        <w:rPr>
          <w:rFonts w:ascii="Geomanist Light" w:eastAsia="Calibri" w:hAnsi="Geomanist Light" w:cs="Arial"/>
          <w:color w:val="000000"/>
          <w:sz w:val="22"/>
          <w:szCs w:val="22"/>
          <w:lang w:val="es-CO" w:eastAsia="en-US"/>
        </w:rPr>
        <w:t>N°</w:t>
      </w:r>
      <w:proofErr w:type="spellEnd"/>
      <w:r w:rsidRPr="00201A43">
        <w:rPr>
          <w:rFonts w:ascii="Geomanist Light" w:eastAsia="Calibri" w:hAnsi="Geomanist Light" w:cs="Arial"/>
          <w:color w:val="000000"/>
          <w:sz w:val="22"/>
          <w:szCs w:val="22"/>
          <w:lang w:val="es-CO" w:eastAsia="en-US"/>
        </w:rPr>
        <w:t xml:space="preserve"> 1.</w:t>
      </w:r>
      <w:bookmarkEnd w:id="6"/>
    </w:p>
    <w:p w14:paraId="2B1443C9" w14:textId="57F83507" w:rsidR="008F4671" w:rsidRPr="00201A43" w:rsidRDefault="008F4671" w:rsidP="008F4671">
      <w:pPr>
        <w:spacing w:after="120" w:line="276" w:lineRule="auto"/>
        <w:ind w:firstLine="709"/>
        <w:jc w:val="both"/>
        <w:rPr>
          <w:rFonts w:ascii="Geomanist Light" w:eastAsia="Calibri" w:hAnsi="Geomanist Light" w:cs="Arial"/>
          <w:color w:val="000000"/>
          <w:sz w:val="22"/>
          <w:szCs w:val="22"/>
          <w:lang w:val="es-CO" w:eastAsia="en-US"/>
        </w:rPr>
      </w:pPr>
      <w:r w:rsidRPr="00201A43">
        <w:rPr>
          <w:rFonts w:ascii="Geomanist Light" w:eastAsia="Calibri" w:hAnsi="Geomanist Light" w:cs="Arial"/>
          <w:color w:val="000000"/>
          <w:sz w:val="22"/>
          <w:szCs w:val="22"/>
          <w:lang w:val="es-MX" w:eastAsia="en-US"/>
        </w:rPr>
        <w:t xml:space="preserve">Ahora bien, </w:t>
      </w:r>
      <w:r w:rsidRPr="00201A43">
        <w:rPr>
          <w:rFonts w:ascii="Geomanist Light" w:eastAsia="Calibri" w:hAnsi="Geomanist Light" w:cs="Arial"/>
          <w:color w:val="000000"/>
          <w:sz w:val="22"/>
          <w:szCs w:val="22"/>
          <w:lang w:val="es-CO" w:eastAsia="en-US"/>
        </w:rPr>
        <w:t xml:space="preserve">para efectos de la consulta, </w:t>
      </w:r>
      <w:bookmarkStart w:id="7" w:name="_Hlk89439228"/>
      <w:r w:rsidRPr="00201A43">
        <w:rPr>
          <w:rFonts w:ascii="Geomanist Light" w:eastAsia="Calibri" w:hAnsi="Geomanist Light" w:cs="Arial"/>
          <w:color w:val="000000"/>
          <w:sz w:val="22"/>
          <w:szCs w:val="22"/>
          <w:lang w:val="es-CO" w:eastAsia="en-US"/>
        </w:rPr>
        <w:t>resulta pertinente tener en cuenta que el numeral 3.5.2. de documento base o pliego tipo, consagra las características que deben cumplir los contratos a través de los cuales se acredita la experiencia exigida</w:t>
      </w:r>
      <w:r w:rsidRPr="00201A43">
        <w:rPr>
          <w:rFonts w:ascii="Geomanist Light" w:eastAsia="Calibri" w:hAnsi="Geomanist Light" w:cs="Arial"/>
          <w:color w:val="000000"/>
          <w:sz w:val="22"/>
          <w:szCs w:val="22"/>
          <w:vertAlign w:val="superscript"/>
          <w:lang w:val="es-MX" w:eastAsia="en-US"/>
        </w:rPr>
        <w:footnoteReference w:id="3"/>
      </w:r>
      <w:r w:rsidRPr="00201A43">
        <w:rPr>
          <w:rFonts w:ascii="Geomanist Light" w:eastAsia="Calibri" w:hAnsi="Geomanist Light" w:cs="Arial"/>
          <w:color w:val="000000"/>
          <w:sz w:val="22"/>
          <w:szCs w:val="22"/>
          <w:lang w:val="es-CO" w:eastAsia="en-US"/>
        </w:rPr>
        <w:t xml:space="preserve"> conforme a los lineamientos antes descritos y prevé que «los</w:t>
      </w:r>
      <w:r w:rsidRPr="00201A43">
        <w:rPr>
          <w:rFonts w:ascii="Geomanist Light" w:eastAsia="Calibri" w:hAnsi="Geomanist Light" w:cs="Arial"/>
          <w:color w:val="000000"/>
          <w:sz w:val="20"/>
          <w:szCs w:val="22"/>
          <w:lang w:val="es-MX" w:eastAsia="en-US"/>
        </w:rPr>
        <w:t xml:space="preserve"> </w:t>
      </w:r>
      <w:r w:rsidRPr="00201A43">
        <w:rPr>
          <w:rFonts w:ascii="Geomanist Light" w:eastAsia="Calibri" w:hAnsi="Geomanist Light" w:cs="Arial"/>
          <w:color w:val="000000"/>
          <w:sz w:val="22"/>
          <w:szCs w:val="22"/>
          <w:lang w:val="es-MX" w:eastAsia="en-US"/>
        </w:rPr>
        <w:t xml:space="preserve">proponentes podrán acreditar la experiencia con mínimo uno (1) y máximo </w:t>
      </w:r>
      <w:r w:rsidR="00427225" w:rsidRPr="00201A43">
        <w:rPr>
          <w:rFonts w:ascii="Geomanist Light" w:eastAsia="Calibri" w:hAnsi="Geomanist Light" w:cs="Arial"/>
          <w:color w:val="000000"/>
          <w:sz w:val="22"/>
          <w:szCs w:val="22"/>
          <w:lang w:val="es-MX" w:eastAsia="en-US"/>
        </w:rPr>
        <w:t>cinco (5</w:t>
      </w:r>
      <w:r w:rsidRPr="00201A43">
        <w:rPr>
          <w:rFonts w:ascii="Geomanist Light" w:eastAsia="Calibri" w:hAnsi="Geomanist Light" w:cs="Arial"/>
          <w:color w:val="000000"/>
          <w:sz w:val="22"/>
          <w:szCs w:val="22"/>
          <w:lang w:val="es-MX" w:eastAsia="en-US"/>
        </w:rPr>
        <w:t>) contratos, los cuales serán evaluados teniendo en cuenta la tabla incluida en el numeral 3.5.8 del pliego de condiciones, así como el contenido establecido en la Matriz 1 – Experiencia</w:t>
      </w:r>
      <w:r w:rsidRPr="00201A43">
        <w:rPr>
          <w:rFonts w:ascii="Geomanist Light" w:eastAsia="Calibri" w:hAnsi="Geomanist Light" w:cs="Arial"/>
          <w:color w:val="000000"/>
          <w:sz w:val="22"/>
          <w:szCs w:val="22"/>
          <w:lang w:val="es-CO" w:eastAsia="en-US"/>
        </w:rPr>
        <w:t>»</w:t>
      </w:r>
      <w:r w:rsidRPr="00201A43">
        <w:rPr>
          <w:rFonts w:ascii="Geomanist Light" w:eastAsia="Calibri" w:hAnsi="Geomanist Light" w:cs="Arial"/>
          <w:color w:val="000000"/>
          <w:sz w:val="22"/>
          <w:szCs w:val="22"/>
          <w:lang w:val="es-MX" w:eastAsia="en-US"/>
        </w:rPr>
        <w:t xml:space="preserve">. </w:t>
      </w:r>
      <w:r w:rsidRPr="00201A43">
        <w:rPr>
          <w:rFonts w:ascii="Geomanist Light" w:eastAsia="Calibri" w:hAnsi="Geomanist Light" w:cs="Arial"/>
          <w:color w:val="000000"/>
          <w:sz w:val="22"/>
          <w:szCs w:val="22"/>
          <w:lang w:val="es-CO" w:eastAsia="en-US"/>
        </w:rPr>
        <w:t xml:space="preserve"> </w:t>
      </w:r>
    </w:p>
    <w:p w14:paraId="38088F9C" w14:textId="095DD9BD" w:rsidR="008F4671" w:rsidRPr="00201A43" w:rsidRDefault="008F4671" w:rsidP="00201A43">
      <w:pPr>
        <w:spacing w:after="120" w:line="276" w:lineRule="auto"/>
        <w:ind w:firstLine="709"/>
        <w:jc w:val="both"/>
        <w:rPr>
          <w:rFonts w:ascii="Geomanist Light" w:eastAsia="Calibri" w:hAnsi="Geomanist Light" w:cs="Arial"/>
          <w:color w:val="000000"/>
          <w:sz w:val="22"/>
          <w:szCs w:val="22"/>
          <w:lang w:val="es-MX" w:eastAsia="en-US"/>
        </w:rPr>
      </w:pPr>
      <w:r w:rsidRPr="00201A43">
        <w:rPr>
          <w:rFonts w:ascii="Geomanist Light" w:eastAsia="Calibri" w:hAnsi="Geomanist Light" w:cs="Arial"/>
          <w:color w:val="000000"/>
          <w:sz w:val="22"/>
          <w:szCs w:val="22"/>
          <w:lang w:val="es-CO" w:eastAsia="en-US"/>
        </w:rPr>
        <w:t>A su turno en el numeral 3.5.3 del documento base, se previeron las reglas conforme a las cuales se debe analizar y considerar valida la experiencia acreditada en determinado proceso de selección. Entre tales reglas está comprendida la consagrada en el literal j de dicho numeral, al que se refiere la consulta, el cual dispone que: «[…</w:t>
      </w:r>
      <w:r w:rsidRPr="00201A43">
        <w:rPr>
          <w:rFonts w:ascii="Geomanist Light" w:eastAsia="Calibri" w:hAnsi="Geomanist Light" w:cs="Arial"/>
          <w:color w:val="000000"/>
          <w:sz w:val="22"/>
          <w:szCs w:val="22"/>
          <w:lang w:val="es-MX" w:eastAsia="en-US"/>
        </w:rPr>
        <w:t>]J) El cumplimiento de los requisitos de experiencia que impliquen la acreditación de valores y magnitudes intervenidas deberá evaluarse de acuerdo con lo señalado en la Matriz 1 – Experiencia para la respectiva actividad a contratar</w:t>
      </w:r>
      <w:r w:rsidR="00427225" w:rsidRPr="00201A43">
        <w:rPr>
          <w:rFonts w:ascii="Geomanist Light" w:eastAsia="Calibri" w:hAnsi="Geomanist Light" w:cs="Arial"/>
          <w:color w:val="000000"/>
          <w:sz w:val="22"/>
          <w:szCs w:val="22"/>
          <w:lang w:val="es-MX" w:eastAsia="en-US"/>
        </w:rPr>
        <w:t xml:space="preserve">» </w:t>
      </w:r>
      <w:r w:rsidRPr="00201A43">
        <w:rPr>
          <w:rFonts w:ascii="Geomanist Light" w:eastAsia="Calibri" w:hAnsi="Geomanist Light" w:cs="Arial"/>
          <w:color w:val="000000"/>
          <w:sz w:val="22"/>
          <w:szCs w:val="22"/>
          <w:lang w:val="es-MX" w:eastAsia="en-US"/>
        </w:rPr>
        <w:t>(Negrillas fuera de texto).</w:t>
      </w:r>
    </w:p>
    <w:p w14:paraId="3B7A2EDC" w14:textId="1C73ABDC" w:rsidR="008F4671" w:rsidRPr="00201A43" w:rsidRDefault="008F4671" w:rsidP="008F4671">
      <w:pPr>
        <w:spacing w:line="276" w:lineRule="auto"/>
        <w:ind w:firstLine="709"/>
        <w:jc w:val="both"/>
        <w:rPr>
          <w:rFonts w:ascii="Geomanist Light" w:eastAsia="Calibri" w:hAnsi="Geomanist Light" w:cs="Arial"/>
          <w:color w:val="000000"/>
          <w:sz w:val="22"/>
          <w:szCs w:val="22"/>
          <w:lang w:val="es-CO" w:eastAsia="en-US"/>
        </w:rPr>
      </w:pPr>
      <w:r w:rsidRPr="00201A43">
        <w:rPr>
          <w:rFonts w:ascii="Geomanist Light" w:eastAsia="Calibri" w:hAnsi="Geomanist Light" w:cs="Arial"/>
          <w:color w:val="000000"/>
          <w:sz w:val="22"/>
          <w:szCs w:val="22"/>
          <w:lang w:val="es-CO" w:eastAsia="en-US"/>
        </w:rPr>
        <w:t>Así, de conformidad con l</w:t>
      </w:r>
      <w:r w:rsidR="008305D9" w:rsidRPr="00201A43">
        <w:rPr>
          <w:rFonts w:ascii="Geomanist Light" w:eastAsia="Calibri" w:hAnsi="Geomanist Light" w:cs="Arial"/>
          <w:color w:val="000000"/>
          <w:sz w:val="22"/>
          <w:szCs w:val="22"/>
          <w:lang w:val="es-CO" w:eastAsia="en-US"/>
        </w:rPr>
        <w:t xml:space="preserve">as reglas </w:t>
      </w:r>
      <w:r w:rsidRPr="00201A43">
        <w:rPr>
          <w:rFonts w:ascii="Geomanist Light" w:eastAsia="Calibri" w:hAnsi="Geomanist Light" w:cs="Arial"/>
          <w:color w:val="000000"/>
          <w:sz w:val="22"/>
          <w:szCs w:val="22"/>
          <w:lang w:val="es-CO" w:eastAsia="en-US"/>
        </w:rPr>
        <w:t>contenid</w:t>
      </w:r>
      <w:r w:rsidR="008305D9" w:rsidRPr="00201A43">
        <w:rPr>
          <w:rFonts w:ascii="Geomanist Light" w:eastAsia="Calibri" w:hAnsi="Geomanist Light" w:cs="Arial"/>
          <w:color w:val="000000"/>
          <w:sz w:val="22"/>
          <w:szCs w:val="22"/>
          <w:lang w:val="es-CO" w:eastAsia="en-US"/>
        </w:rPr>
        <w:t>a</w:t>
      </w:r>
      <w:r w:rsidRPr="00201A43">
        <w:rPr>
          <w:rFonts w:ascii="Geomanist Light" w:eastAsia="Calibri" w:hAnsi="Geomanist Light" w:cs="Arial"/>
          <w:color w:val="000000"/>
          <w:sz w:val="22"/>
          <w:szCs w:val="22"/>
          <w:lang w:val="es-CO" w:eastAsia="en-US"/>
        </w:rPr>
        <w:t xml:space="preserve">s en el documento base, cuando se trate de requisitos de experiencia referidos a la acreditación de valores o magnitudes intervenidas, su acreditación deberá evaluarse: i) teniendo en cuenta las exigencias contenidas en la respectiva matriz 1 y </w:t>
      </w:r>
      <w:proofErr w:type="spellStart"/>
      <w:r w:rsidRPr="00201A43">
        <w:rPr>
          <w:rFonts w:ascii="Geomanist Light" w:eastAsia="Calibri" w:hAnsi="Geomanist Light" w:cs="Arial"/>
          <w:color w:val="000000"/>
          <w:sz w:val="22"/>
          <w:szCs w:val="22"/>
          <w:lang w:val="es-CO" w:eastAsia="en-US"/>
        </w:rPr>
        <w:t>ii</w:t>
      </w:r>
      <w:proofErr w:type="spellEnd"/>
      <w:r w:rsidRPr="00201A43">
        <w:rPr>
          <w:rFonts w:ascii="Geomanist Light" w:eastAsia="Calibri" w:hAnsi="Geomanist Light" w:cs="Arial"/>
          <w:color w:val="000000"/>
          <w:sz w:val="22"/>
          <w:szCs w:val="22"/>
          <w:lang w:val="es-CO" w:eastAsia="en-US"/>
        </w:rPr>
        <w:t xml:space="preserve">) excluyendo de los valores o magnitudes intervenidas aquellos que se refieran a actividades ejecutadas ajenas a la obra de infraestructura de transporte. </w:t>
      </w:r>
    </w:p>
    <w:bookmarkEnd w:id="5"/>
    <w:bookmarkEnd w:id="7"/>
    <w:p w14:paraId="010C71C4" w14:textId="77777777" w:rsidR="008F4671" w:rsidRPr="00201A43" w:rsidRDefault="008F4671" w:rsidP="008F4671">
      <w:pPr>
        <w:spacing w:after="120" w:line="276" w:lineRule="auto"/>
        <w:ind w:firstLine="709"/>
        <w:jc w:val="both"/>
        <w:rPr>
          <w:rFonts w:ascii="Geomanist Light" w:eastAsia="Calibri" w:hAnsi="Geomanist Light" w:cs="Arial"/>
          <w:color w:val="000000"/>
          <w:sz w:val="22"/>
          <w:szCs w:val="22"/>
          <w:lang w:val="es-CO" w:eastAsia="en-US"/>
        </w:rPr>
      </w:pPr>
      <w:r w:rsidRPr="00201A43">
        <w:rPr>
          <w:rFonts w:ascii="Geomanist Light" w:eastAsia="Calibri" w:hAnsi="Geomanist Light" w:cs="Arial"/>
          <w:color w:val="000000"/>
          <w:sz w:val="22"/>
          <w:szCs w:val="22"/>
          <w:lang w:val="es-CO" w:eastAsia="en-US"/>
        </w:rPr>
        <w:t xml:space="preserve">En síntesis, la «experiencia general» y la «experiencia específica» requerida es el resultado de aplicar los parámetros obligatorios fijados en los documentos tipo, de acuerdo con el tipo de infraestructura, la actividad a contratar y la cuantía del proceso de contratación. Por lo tanto, no se podrán exigir actividades o porcentajes de dimensionamiento distintas a las previstas en la «Matriz </w:t>
      </w:r>
      <w:r w:rsidRPr="00201A43">
        <w:rPr>
          <w:rFonts w:ascii="Geomanist Light" w:eastAsia="Calibri" w:hAnsi="Geomanist Light" w:cs="Arial"/>
          <w:color w:val="000000"/>
          <w:sz w:val="22"/>
          <w:szCs w:val="22"/>
          <w:lang w:val="es-CO" w:eastAsia="en-US"/>
        </w:rPr>
        <w:lastRenderedPageBreak/>
        <w:t xml:space="preserve">1 – Experiencia» o restringir a una actividad específica cuando dicho formato determine que la experiencia puede acreditarse mediante una de varias actividades. </w:t>
      </w:r>
    </w:p>
    <w:p w14:paraId="55751ACF" w14:textId="77777777" w:rsidR="008F4671" w:rsidRPr="00201A43" w:rsidRDefault="008F4671" w:rsidP="00201A43">
      <w:pPr>
        <w:spacing w:after="120" w:line="276" w:lineRule="auto"/>
        <w:ind w:firstLine="709"/>
        <w:jc w:val="both"/>
        <w:rPr>
          <w:rFonts w:ascii="Geomanist Light" w:eastAsia="Calibri" w:hAnsi="Geomanist Light" w:cs="Arial"/>
          <w:color w:val="000000"/>
          <w:sz w:val="22"/>
          <w:szCs w:val="22"/>
          <w:lang w:val="es-ES" w:eastAsia="en-US"/>
        </w:rPr>
      </w:pPr>
      <w:r w:rsidRPr="00201A43">
        <w:rPr>
          <w:rFonts w:ascii="Geomanist Light" w:eastAsia="Calibri" w:hAnsi="Geomanist Light" w:cs="Arial"/>
          <w:color w:val="000000"/>
          <w:sz w:val="22"/>
          <w:szCs w:val="22"/>
          <w:lang w:val="es-CO" w:eastAsia="en-US"/>
        </w:rPr>
        <w:t>De esta forma</w:t>
      </w:r>
      <w:r w:rsidRPr="00201A43">
        <w:rPr>
          <w:rFonts w:ascii="Geomanist Light" w:eastAsia="Calibri" w:hAnsi="Geomanist Light" w:cs="Arial"/>
          <w:color w:val="000000"/>
          <w:sz w:val="22"/>
          <w:szCs w:val="22"/>
          <w:lang w:val="es-ES" w:eastAsia="en-US"/>
        </w:rPr>
        <w:t>, cuando la entidad estatal –de acuerdo con el alcance del objeto contractual– identifique el tipo de infraestructura, la actividad a contratar y la cuantía del proceso de contratación, debe determinar la «experiencia general» y la «experiencia específica» con fundamento en la Matriz 1, conforme a la metodología previamente expuesta. Esta experiencia debe solicitarse en las condiciones allí previstas, con la descripción completa que corresponda a la experiencia general y específica.</w:t>
      </w:r>
    </w:p>
    <w:p w14:paraId="3E808880" w14:textId="00B000C0" w:rsidR="0062713E" w:rsidRDefault="008F4671" w:rsidP="008305D9">
      <w:pPr>
        <w:spacing w:after="120" w:line="276" w:lineRule="auto"/>
        <w:ind w:firstLine="709"/>
        <w:jc w:val="both"/>
        <w:rPr>
          <w:rFonts w:ascii="Geomanist Light" w:eastAsia="Calibri" w:hAnsi="Geomanist Light" w:cs="Arial"/>
          <w:color w:val="000000"/>
          <w:sz w:val="22"/>
          <w:szCs w:val="22"/>
          <w:lang w:val="es-CO" w:eastAsia="en-US"/>
        </w:rPr>
      </w:pPr>
      <w:r w:rsidRPr="00201A43">
        <w:rPr>
          <w:rFonts w:ascii="Geomanist Light" w:eastAsia="Calibri" w:hAnsi="Geomanist Light" w:cs="Arial"/>
          <w:color w:val="000000"/>
          <w:sz w:val="22"/>
          <w:szCs w:val="22"/>
          <w:lang w:val="es-ES" w:eastAsia="en-US"/>
        </w:rPr>
        <w:t xml:space="preserve">Ahora bien, explicado lo anterior y de acuerdo a la inquietud objeto de consulta, es necesario, aclarar que esta regla debe ser interpretada y entendida en su sentido literal, esto es, que al menos </w:t>
      </w:r>
      <w:r w:rsidR="00F10ED5" w:rsidRPr="00201A43">
        <w:rPr>
          <w:rFonts w:ascii="Geomanist Light" w:eastAsia="Calibri" w:hAnsi="Geomanist Light" w:cs="Arial"/>
          <w:color w:val="000000"/>
          <w:sz w:val="22"/>
          <w:szCs w:val="22"/>
          <w:lang w:val="es-ES" w:eastAsia="en-US"/>
        </w:rPr>
        <w:t>uno</w:t>
      </w:r>
      <w:r w:rsidRPr="00201A43">
        <w:rPr>
          <w:rFonts w:ascii="Geomanist Light" w:eastAsia="Calibri" w:hAnsi="Geomanist Light" w:cs="Arial"/>
          <w:color w:val="000000"/>
          <w:sz w:val="22"/>
          <w:szCs w:val="22"/>
          <w:lang w:val="es-CO" w:eastAsia="en-US"/>
        </w:rPr>
        <w:t xml:space="preserve"> de los contratos válidos aportados como experiencia general debe acreditar en el componente de señalización o </w:t>
      </w:r>
      <w:proofErr w:type="gramStart"/>
      <w:r w:rsidRPr="00201A43">
        <w:rPr>
          <w:rFonts w:ascii="Geomanist Light" w:eastAsia="Calibri" w:hAnsi="Geomanist Light" w:cs="Arial"/>
          <w:color w:val="000000"/>
          <w:sz w:val="22"/>
          <w:szCs w:val="22"/>
          <w:lang w:val="es-CO" w:eastAsia="en-US"/>
        </w:rPr>
        <w:t xml:space="preserve">demarcación </w:t>
      </w:r>
      <w:r w:rsidR="0062713E">
        <w:rPr>
          <w:rFonts w:ascii="Geomanist Light" w:eastAsia="Calibri" w:hAnsi="Geomanist Light" w:cs="Arial"/>
          <w:color w:val="000000"/>
          <w:sz w:val="22"/>
          <w:szCs w:val="22"/>
          <w:lang w:val="es-CO" w:eastAsia="en-US"/>
        </w:rPr>
        <w:t xml:space="preserve"> </w:t>
      </w:r>
      <w:r w:rsidRPr="00201A43">
        <w:rPr>
          <w:rFonts w:ascii="Geomanist Light" w:eastAsia="Calibri" w:hAnsi="Geomanist Light" w:cs="Arial"/>
          <w:color w:val="000000"/>
          <w:sz w:val="22"/>
          <w:szCs w:val="22"/>
          <w:lang w:val="es-CO" w:eastAsia="en-US"/>
        </w:rPr>
        <w:t>un</w:t>
      </w:r>
      <w:proofErr w:type="gramEnd"/>
      <w:r w:rsidRPr="00201A43">
        <w:rPr>
          <w:rFonts w:ascii="Geomanist Light" w:eastAsia="Calibri" w:hAnsi="Geomanist Light" w:cs="Arial"/>
          <w:color w:val="000000"/>
          <w:sz w:val="22"/>
          <w:szCs w:val="22"/>
          <w:lang w:val="es-CO" w:eastAsia="en-US"/>
        </w:rPr>
        <w:t xml:space="preserve"> valor igual o superior al 60% </w:t>
      </w:r>
      <w:r w:rsidR="0062713E">
        <w:rPr>
          <w:rFonts w:ascii="Geomanist Light" w:eastAsia="Calibri" w:hAnsi="Geomanist Light" w:cs="Arial"/>
          <w:color w:val="000000"/>
          <w:sz w:val="22"/>
          <w:szCs w:val="22"/>
          <w:lang w:val="es-CO" w:eastAsia="en-US"/>
        </w:rPr>
        <w:t>d</w:t>
      </w:r>
      <w:r w:rsidRPr="00201A43">
        <w:rPr>
          <w:rFonts w:ascii="Geomanist Light" w:eastAsia="Calibri" w:hAnsi="Geomanist Light" w:cs="Arial"/>
          <w:color w:val="000000"/>
          <w:sz w:val="22"/>
          <w:szCs w:val="22"/>
          <w:lang w:val="es-CO" w:eastAsia="en-US"/>
        </w:rPr>
        <w:t>el Presupuesto Oficial estimado</w:t>
      </w:r>
      <w:r w:rsidR="00172CE8">
        <w:rPr>
          <w:rFonts w:ascii="Geomanist Light" w:eastAsia="Calibri" w:hAnsi="Geomanist Light" w:cs="Arial"/>
          <w:color w:val="000000"/>
          <w:sz w:val="22"/>
          <w:szCs w:val="22"/>
          <w:lang w:val="es-CO" w:eastAsia="en-US"/>
        </w:rPr>
        <w:t xml:space="preserve"> del proceso de contratación</w:t>
      </w:r>
      <w:r w:rsidRPr="00201A43">
        <w:rPr>
          <w:rFonts w:ascii="Geomanist Light" w:eastAsia="Calibri" w:hAnsi="Geomanist Light" w:cs="Arial"/>
          <w:color w:val="000000"/>
          <w:sz w:val="22"/>
          <w:szCs w:val="22"/>
          <w:lang w:val="es-CO" w:eastAsia="en-US"/>
        </w:rPr>
        <w:t>.</w:t>
      </w:r>
      <w:r w:rsidR="008305D9" w:rsidRPr="00201A43">
        <w:rPr>
          <w:rFonts w:ascii="Geomanist Light" w:eastAsia="Calibri" w:hAnsi="Geomanist Light" w:cs="Arial"/>
          <w:color w:val="000000"/>
          <w:sz w:val="22"/>
          <w:szCs w:val="22"/>
          <w:lang w:val="es-CO" w:eastAsia="en-US"/>
        </w:rPr>
        <w:t xml:space="preserve"> En ese sentido, </w:t>
      </w:r>
      <w:r w:rsidR="0062713E">
        <w:rPr>
          <w:rFonts w:ascii="Geomanist Light" w:eastAsia="Calibri" w:hAnsi="Geomanist Light" w:cs="Arial"/>
          <w:color w:val="000000"/>
          <w:sz w:val="22"/>
          <w:szCs w:val="22"/>
          <w:lang w:val="es-CO" w:eastAsia="en-US"/>
        </w:rPr>
        <w:t xml:space="preserve">lo que debe demostrar </w:t>
      </w:r>
      <w:r w:rsidR="00552CDF">
        <w:rPr>
          <w:rFonts w:ascii="Geomanist Light" w:eastAsia="Calibri" w:hAnsi="Geomanist Light" w:cs="Arial"/>
          <w:color w:val="000000"/>
          <w:sz w:val="22"/>
          <w:szCs w:val="22"/>
          <w:lang w:val="es-CO" w:eastAsia="en-US"/>
        </w:rPr>
        <w:t xml:space="preserve">el </w:t>
      </w:r>
      <w:r w:rsidR="00E06094">
        <w:rPr>
          <w:rFonts w:ascii="Geomanist Light" w:eastAsia="Calibri" w:hAnsi="Geomanist Light" w:cs="Arial"/>
          <w:color w:val="000000"/>
          <w:sz w:val="22"/>
          <w:szCs w:val="22"/>
          <w:lang w:val="es-CO" w:eastAsia="en-US"/>
        </w:rPr>
        <w:t>proponente</w:t>
      </w:r>
      <w:r w:rsidR="00552CDF">
        <w:rPr>
          <w:rFonts w:ascii="Geomanist Light" w:eastAsia="Calibri" w:hAnsi="Geomanist Light" w:cs="Arial"/>
          <w:color w:val="000000"/>
          <w:sz w:val="22"/>
          <w:szCs w:val="22"/>
          <w:lang w:val="es-CO" w:eastAsia="en-US"/>
        </w:rPr>
        <w:t xml:space="preserve"> para efectos del requisito de experiencia especifica en comento </w:t>
      </w:r>
      <w:r w:rsidR="00E06094">
        <w:rPr>
          <w:rFonts w:ascii="Geomanist Light" w:eastAsia="Calibri" w:hAnsi="Geomanist Light" w:cs="Arial"/>
          <w:color w:val="000000"/>
          <w:sz w:val="22"/>
          <w:szCs w:val="22"/>
          <w:lang w:val="es-CO" w:eastAsia="en-US"/>
        </w:rPr>
        <w:t xml:space="preserve">es que </w:t>
      </w:r>
      <w:r w:rsidR="00552CDF">
        <w:rPr>
          <w:rFonts w:ascii="Geomanist Light" w:eastAsia="Calibri" w:hAnsi="Geomanist Light" w:cs="Arial"/>
          <w:color w:val="000000"/>
          <w:sz w:val="22"/>
          <w:szCs w:val="22"/>
          <w:lang w:val="es-CO" w:eastAsia="en-US"/>
        </w:rPr>
        <w:t>en al menos uno de</w:t>
      </w:r>
      <w:r w:rsidR="00E06094">
        <w:rPr>
          <w:rFonts w:ascii="Geomanist Light" w:eastAsia="Calibri" w:hAnsi="Geomanist Light" w:cs="Arial"/>
          <w:color w:val="000000"/>
          <w:sz w:val="22"/>
          <w:szCs w:val="22"/>
          <w:lang w:val="es-CO" w:eastAsia="en-US"/>
        </w:rPr>
        <w:t xml:space="preserve"> los contratos aportados para acreditar la experiencia general se ejecutaron obras </w:t>
      </w:r>
      <w:r w:rsidR="00552CDF">
        <w:rPr>
          <w:rFonts w:ascii="Geomanist Light" w:eastAsia="Calibri" w:hAnsi="Geomanist Light" w:cs="Arial"/>
          <w:color w:val="000000"/>
          <w:sz w:val="22"/>
          <w:szCs w:val="22"/>
          <w:lang w:val="es-CO" w:eastAsia="en-US"/>
        </w:rPr>
        <w:t xml:space="preserve">de señalización o demarcación </w:t>
      </w:r>
      <w:r w:rsidR="0012320F">
        <w:rPr>
          <w:rFonts w:ascii="Geomanist Light" w:eastAsia="Calibri" w:hAnsi="Geomanist Light" w:cs="Arial"/>
          <w:color w:val="000000"/>
          <w:sz w:val="22"/>
          <w:szCs w:val="22"/>
          <w:lang w:val="es-CO" w:eastAsia="en-US"/>
        </w:rPr>
        <w:t>por un valor igual o superior al señalado porcentaje</w:t>
      </w:r>
      <w:r w:rsidR="00130F07">
        <w:rPr>
          <w:rFonts w:ascii="Geomanist Light" w:eastAsia="Calibri" w:hAnsi="Geomanist Light" w:cs="Arial"/>
          <w:color w:val="000000"/>
          <w:sz w:val="22"/>
          <w:szCs w:val="22"/>
          <w:lang w:val="es-CO" w:eastAsia="en-US"/>
        </w:rPr>
        <w:t>. En la medida en que el requisito incluye tanto la demarcación como la señalización, el valor al que se refiere puede ser acreditado teniendo</w:t>
      </w:r>
      <w:r w:rsidR="00D07A92">
        <w:rPr>
          <w:rFonts w:ascii="Geomanist Light" w:eastAsia="Calibri" w:hAnsi="Geomanist Light" w:cs="Arial"/>
          <w:color w:val="000000"/>
          <w:sz w:val="22"/>
          <w:szCs w:val="22"/>
          <w:lang w:val="es-CO" w:eastAsia="en-US"/>
        </w:rPr>
        <w:t xml:space="preserve"> en cuenta</w:t>
      </w:r>
      <w:r w:rsidR="00130F07">
        <w:rPr>
          <w:rFonts w:ascii="Geomanist Light" w:eastAsia="Calibri" w:hAnsi="Geomanist Light" w:cs="Arial"/>
          <w:color w:val="000000"/>
          <w:sz w:val="22"/>
          <w:szCs w:val="22"/>
          <w:lang w:val="es-CO" w:eastAsia="en-US"/>
        </w:rPr>
        <w:t xml:space="preserve"> la sumatoria de los valores </w:t>
      </w:r>
      <w:r w:rsidR="00D07A92">
        <w:rPr>
          <w:rFonts w:ascii="Geomanist Light" w:eastAsia="Calibri" w:hAnsi="Geomanist Light" w:cs="Arial"/>
          <w:color w:val="000000"/>
          <w:sz w:val="22"/>
          <w:szCs w:val="22"/>
          <w:lang w:val="es-CO" w:eastAsia="en-US"/>
        </w:rPr>
        <w:t>imputables</w:t>
      </w:r>
      <w:r w:rsidR="00130F07">
        <w:rPr>
          <w:rFonts w:ascii="Geomanist Light" w:eastAsia="Calibri" w:hAnsi="Geomanist Light" w:cs="Arial"/>
          <w:color w:val="000000"/>
          <w:sz w:val="22"/>
          <w:szCs w:val="22"/>
          <w:lang w:val="es-CO" w:eastAsia="en-US"/>
        </w:rPr>
        <w:t xml:space="preserve"> a </w:t>
      </w:r>
      <w:r w:rsidR="00D07A92">
        <w:rPr>
          <w:rFonts w:ascii="Geomanist Light" w:eastAsia="Calibri" w:hAnsi="Geomanist Light" w:cs="Arial"/>
          <w:color w:val="000000"/>
          <w:sz w:val="22"/>
          <w:szCs w:val="22"/>
          <w:lang w:val="es-CO" w:eastAsia="en-US"/>
        </w:rPr>
        <w:t xml:space="preserve">ambas actividades. </w:t>
      </w:r>
      <w:r w:rsidR="00130F07">
        <w:rPr>
          <w:rFonts w:ascii="Geomanist Light" w:eastAsia="Calibri" w:hAnsi="Geomanist Light" w:cs="Arial"/>
          <w:color w:val="000000"/>
          <w:sz w:val="22"/>
          <w:szCs w:val="22"/>
          <w:lang w:val="es-CO" w:eastAsia="en-US"/>
        </w:rPr>
        <w:t xml:space="preserve"> </w:t>
      </w:r>
    </w:p>
    <w:p w14:paraId="5AB0C80A" w14:textId="77777777" w:rsidR="008F4671" w:rsidRPr="00201A43" w:rsidRDefault="008F4671" w:rsidP="008F4671">
      <w:pPr>
        <w:spacing w:line="276" w:lineRule="auto"/>
        <w:ind w:firstLine="709"/>
        <w:jc w:val="both"/>
        <w:rPr>
          <w:rFonts w:ascii="Geomanist Light" w:eastAsia="Calibri" w:hAnsi="Geomanist Light" w:cs="Arial"/>
          <w:color w:val="000000"/>
          <w:sz w:val="22"/>
          <w:szCs w:val="22"/>
          <w:lang w:val="es-MX" w:eastAsia="en-US"/>
        </w:rPr>
      </w:pPr>
      <w:r w:rsidRPr="00201A43">
        <w:rPr>
          <w:rFonts w:ascii="Geomanist Light" w:eastAsia="Calibri" w:hAnsi="Geomanist Light" w:cs="Arial"/>
          <w:color w:val="000000"/>
          <w:sz w:val="22"/>
          <w:szCs w:val="22"/>
          <w:lang w:val="es-MX" w:eastAsia="en-US"/>
        </w:rPr>
        <w:t xml:space="preserve">Por último, se reitera que, para el procedimiento de licitación pública, el artículo 3 de la Resolución No. 240 del 27 de noviembre de 2020 dispone la inalterabilidad de los documentos tipo, la cual consiste en que las entidades estatales no pueden incluir o modificar en los </w:t>
      </w:r>
      <w:r w:rsidRPr="00201A43">
        <w:rPr>
          <w:rFonts w:ascii="Geomanist Light" w:eastAsia="Calibri" w:hAnsi="Geomanist Light" w:cs="Arial"/>
          <w:i/>
          <w:iCs/>
          <w:color w:val="000000"/>
          <w:sz w:val="22"/>
          <w:szCs w:val="22"/>
          <w:lang w:val="es-MX" w:eastAsia="en-US"/>
        </w:rPr>
        <w:t>Documentos del Proceso</w:t>
      </w:r>
      <w:r w:rsidRPr="00201A43">
        <w:rPr>
          <w:rFonts w:ascii="Geomanist Light" w:eastAsia="Calibri" w:hAnsi="Geomanist Light" w:cs="Arial"/>
          <w:color w:val="000000"/>
          <w:sz w:val="22"/>
          <w:szCs w:val="22"/>
          <w:lang w:val="es-MX" w:eastAsia="en-US"/>
        </w:rPr>
        <w:t xml:space="preserve"> las condiciones habilitantes, los factores técnicos y económicos de escogencia y los sistemas de ponderación distintos a los señalados en los documentos tipo. En consecuencia, las condiciones establecidas en los documentos que adopte Colombia Compra Eficiente, en ejercicio del mandato establecido en el artículo 1 de la Ley 2022 de 2020,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elaborar sus pliegos de condiciones, deben incluir la experiencia tal como se solicita en la Matriz 1, sin perjuicio de que haya unos aspectos que se encuentran en corchetes, los cuales sí se permiten modificar.</w:t>
      </w:r>
    </w:p>
    <w:p w14:paraId="4AF70345" w14:textId="77777777" w:rsidR="008F4671" w:rsidRPr="00201A43" w:rsidRDefault="008F4671" w:rsidP="008F4671">
      <w:pPr>
        <w:tabs>
          <w:tab w:val="left" w:pos="284"/>
        </w:tabs>
        <w:spacing w:line="276" w:lineRule="auto"/>
        <w:jc w:val="both"/>
        <w:rPr>
          <w:rFonts w:ascii="Geomanist Light" w:eastAsia="Arial" w:hAnsi="Geomanist Light" w:cs="Arial"/>
          <w:b/>
          <w:color w:val="000000"/>
          <w:sz w:val="22"/>
          <w:szCs w:val="22"/>
          <w:lang w:val="es-MX" w:eastAsia="es-ES_tradnl"/>
        </w:rPr>
      </w:pPr>
    </w:p>
    <w:p w14:paraId="01454D87" w14:textId="349CAEA8" w:rsidR="008F4671" w:rsidRPr="00201A43" w:rsidRDefault="008F4671" w:rsidP="008F4671">
      <w:pPr>
        <w:tabs>
          <w:tab w:val="left" w:pos="284"/>
        </w:tabs>
        <w:spacing w:line="276" w:lineRule="auto"/>
        <w:jc w:val="both"/>
        <w:rPr>
          <w:rFonts w:ascii="Geomanist Light" w:eastAsia="Arial" w:hAnsi="Geomanist Light" w:cs="Arial"/>
          <w:b/>
          <w:color w:val="000000"/>
          <w:sz w:val="22"/>
          <w:szCs w:val="22"/>
          <w:lang w:val="es-MX" w:eastAsia="es-ES_tradnl"/>
        </w:rPr>
      </w:pPr>
      <w:r w:rsidRPr="00201A43">
        <w:rPr>
          <w:rFonts w:ascii="Geomanist Light" w:eastAsia="Arial" w:hAnsi="Geomanist Light" w:cs="Arial"/>
          <w:b/>
          <w:color w:val="000000"/>
          <w:sz w:val="22"/>
          <w:szCs w:val="22"/>
          <w:lang w:val="es-MX" w:eastAsia="es-ES_tradnl"/>
        </w:rPr>
        <w:t>3. Respuesta</w:t>
      </w:r>
    </w:p>
    <w:p w14:paraId="79E52232" w14:textId="665DCDB9" w:rsidR="00B622A9" w:rsidRPr="00201A43" w:rsidRDefault="00B622A9" w:rsidP="008F4671">
      <w:pPr>
        <w:tabs>
          <w:tab w:val="left" w:pos="284"/>
        </w:tabs>
        <w:spacing w:line="276" w:lineRule="auto"/>
        <w:jc w:val="both"/>
        <w:rPr>
          <w:rFonts w:ascii="Geomanist Light" w:eastAsia="Arial" w:hAnsi="Geomanist Light" w:cs="Arial"/>
          <w:b/>
          <w:color w:val="000000"/>
          <w:sz w:val="22"/>
          <w:szCs w:val="22"/>
          <w:lang w:val="es-MX" w:eastAsia="es-ES_tradnl"/>
        </w:rPr>
      </w:pPr>
    </w:p>
    <w:p w14:paraId="1756F814" w14:textId="0EFDE23E" w:rsidR="00B622A9" w:rsidRPr="00201A43" w:rsidRDefault="009B604D" w:rsidP="00201A43">
      <w:pPr>
        <w:ind w:left="709" w:right="709"/>
        <w:jc w:val="both"/>
        <w:rPr>
          <w:rFonts w:ascii="Geomanist Light" w:hAnsi="Geomanist Light" w:cs="Arial"/>
          <w:bCs/>
          <w:i/>
          <w:iCs/>
          <w:sz w:val="21"/>
          <w:szCs w:val="21"/>
          <w:lang w:val="es-CO" w:eastAsia="es-ES_tradnl"/>
        </w:rPr>
      </w:pPr>
      <w:r w:rsidRPr="00201A43">
        <w:rPr>
          <w:rFonts w:ascii="Geomanist Light" w:hAnsi="Geomanist Light" w:cs="Arial"/>
          <w:bCs/>
          <w:i/>
          <w:iCs/>
          <w:sz w:val="21"/>
          <w:szCs w:val="21"/>
          <w:lang w:val="es-CO" w:eastAsia="es-ES_tradnl"/>
        </w:rPr>
        <w:t>«</w:t>
      </w:r>
      <w:r w:rsidR="00B622A9" w:rsidRPr="00201A43">
        <w:rPr>
          <w:rFonts w:ascii="Geomanist Light" w:hAnsi="Geomanist Light" w:cs="Arial"/>
          <w:bCs/>
          <w:i/>
          <w:iCs/>
          <w:sz w:val="21"/>
          <w:szCs w:val="21"/>
          <w:lang w:val="es-CO" w:eastAsia="es-ES_tradnl"/>
        </w:rPr>
        <w:t xml:space="preserve">En la matriz 1 de los documentos base, pliegos tipo para infraestructura vial, en la pestaña de </w:t>
      </w:r>
      <w:r w:rsidRPr="00201A43">
        <w:rPr>
          <w:rFonts w:ascii="Geomanist Light" w:hAnsi="Geomanist Light" w:cs="Arial"/>
          <w:bCs/>
          <w:i/>
          <w:iCs/>
          <w:sz w:val="21"/>
          <w:szCs w:val="21"/>
          <w:lang w:val="es-CO" w:eastAsia="es-ES_tradnl"/>
        </w:rPr>
        <w:t>“</w:t>
      </w:r>
      <w:r w:rsidR="00B622A9" w:rsidRPr="00201A43">
        <w:rPr>
          <w:rFonts w:ascii="Geomanist Light" w:hAnsi="Geomanist Light" w:cs="Arial"/>
          <w:bCs/>
          <w:i/>
          <w:iCs/>
          <w:sz w:val="21"/>
          <w:szCs w:val="21"/>
          <w:lang w:val="es-CO" w:eastAsia="es-ES_tradnl"/>
        </w:rPr>
        <w:t xml:space="preserve">ALTA COMPLEJIDAD, se encuentra el numeral 6.16 </w:t>
      </w:r>
      <w:r w:rsidRPr="00201A43">
        <w:rPr>
          <w:rFonts w:ascii="Geomanist Light" w:hAnsi="Geomanist Light" w:cs="Arial"/>
          <w:bCs/>
          <w:i/>
          <w:iCs/>
          <w:sz w:val="21"/>
          <w:szCs w:val="21"/>
          <w:lang w:val="es-CO" w:eastAsia="es-ES_tradnl"/>
        </w:rPr>
        <w:t>“</w:t>
      </w:r>
      <w:r w:rsidR="00B622A9" w:rsidRPr="00201A43">
        <w:rPr>
          <w:rFonts w:ascii="Geomanist Light" w:hAnsi="Geomanist Light" w:cs="Arial"/>
          <w:bCs/>
          <w:i/>
          <w:iCs/>
          <w:sz w:val="21"/>
          <w:szCs w:val="21"/>
          <w:lang w:val="es-CO" w:eastAsia="es-ES_tradnl"/>
        </w:rPr>
        <w:t xml:space="preserve">PROYECTOS DE </w:t>
      </w:r>
      <w:r w:rsidR="00B622A9" w:rsidRPr="00201A43">
        <w:rPr>
          <w:rFonts w:ascii="Geomanist Light" w:hAnsi="Geomanist Light" w:cs="Arial"/>
          <w:bCs/>
          <w:i/>
          <w:iCs/>
          <w:sz w:val="21"/>
          <w:szCs w:val="21"/>
          <w:lang w:val="es-CO" w:eastAsia="es-ES_tradnl"/>
        </w:rPr>
        <w:lastRenderedPageBreak/>
        <w:t>SEÑALIZACIÓN Y/O DEMARCACIÓN DE VÍAS URBANAS</w:t>
      </w:r>
      <w:r w:rsidRPr="00201A43">
        <w:rPr>
          <w:rFonts w:ascii="Geomanist Light" w:hAnsi="Geomanist Light" w:cs="Arial"/>
          <w:bCs/>
          <w:i/>
          <w:iCs/>
          <w:sz w:val="21"/>
          <w:szCs w:val="21"/>
          <w:lang w:val="es-CO" w:eastAsia="es-ES_tradnl"/>
        </w:rPr>
        <w:t>”</w:t>
      </w:r>
      <w:r w:rsidR="00B622A9" w:rsidRPr="00201A43">
        <w:rPr>
          <w:rFonts w:ascii="Geomanist Light" w:hAnsi="Geomanist Light" w:cs="Arial"/>
          <w:bCs/>
          <w:i/>
          <w:iCs/>
          <w:sz w:val="21"/>
          <w:szCs w:val="21"/>
          <w:lang w:val="es-CO" w:eastAsia="es-ES_tradnl"/>
        </w:rPr>
        <w:t xml:space="preserve">, en donde se clasifica la experiencia general y específica; de este último, encontramos que </w:t>
      </w:r>
      <w:r w:rsidRPr="00201A43">
        <w:rPr>
          <w:rFonts w:ascii="Geomanist Light" w:hAnsi="Geomanist Light" w:cs="Arial"/>
          <w:bCs/>
          <w:i/>
          <w:iCs/>
          <w:sz w:val="21"/>
          <w:szCs w:val="21"/>
          <w:lang w:val="es-CO" w:eastAsia="es-ES_tradnl"/>
        </w:rPr>
        <w:t>“</w:t>
      </w:r>
      <w:r w:rsidR="00B622A9" w:rsidRPr="00201A43">
        <w:rPr>
          <w:rFonts w:ascii="Geomanist Light" w:hAnsi="Geomanist Light" w:cs="Arial"/>
          <w:bCs/>
          <w:i/>
          <w:iCs/>
          <w:sz w:val="21"/>
          <w:szCs w:val="21"/>
          <w:lang w:val="es-CO" w:eastAsia="es-ES_tradnl"/>
        </w:rPr>
        <w:t>Por lo menos uno (1) de los contratos válidos aportados como experiencia general debe acreditar en el componente de señalización o demarcación un valor igual o superior al 60% del Componente de Señalización y/o Demarcación del Presupuesto Oficial estimado de contratación</w:t>
      </w:r>
      <w:r w:rsidRPr="00201A43">
        <w:rPr>
          <w:rFonts w:ascii="Geomanist Light" w:hAnsi="Geomanist Light" w:cs="Arial"/>
          <w:bCs/>
          <w:i/>
          <w:iCs/>
          <w:sz w:val="21"/>
          <w:szCs w:val="21"/>
          <w:lang w:val="es-CO" w:eastAsia="es-ES_tradnl"/>
        </w:rPr>
        <w:t>”</w:t>
      </w:r>
      <w:r w:rsidR="00B622A9" w:rsidRPr="00201A43">
        <w:rPr>
          <w:rFonts w:ascii="Geomanist Light" w:hAnsi="Geomanist Light" w:cs="Arial"/>
          <w:bCs/>
          <w:i/>
          <w:iCs/>
          <w:sz w:val="21"/>
          <w:szCs w:val="21"/>
          <w:lang w:val="es-CO" w:eastAsia="es-ES_tradnl"/>
        </w:rPr>
        <w:t>.</w:t>
      </w:r>
    </w:p>
    <w:p w14:paraId="7E77D288" w14:textId="77777777" w:rsidR="00B622A9" w:rsidRPr="00201A43" w:rsidRDefault="00B622A9" w:rsidP="00201A43">
      <w:pPr>
        <w:ind w:left="709" w:right="709"/>
        <w:jc w:val="both"/>
        <w:rPr>
          <w:rFonts w:ascii="Geomanist Light" w:hAnsi="Geomanist Light" w:cs="Arial"/>
          <w:bCs/>
          <w:i/>
          <w:iCs/>
          <w:sz w:val="21"/>
          <w:szCs w:val="21"/>
          <w:lang w:val="es-CO" w:eastAsia="es-ES_tradnl"/>
        </w:rPr>
      </w:pPr>
    </w:p>
    <w:p w14:paraId="55D49F3F" w14:textId="77777777" w:rsidR="00B622A9" w:rsidRPr="00201A43" w:rsidRDefault="00B622A9" w:rsidP="00201A43">
      <w:pPr>
        <w:ind w:left="709" w:right="709"/>
        <w:jc w:val="both"/>
        <w:rPr>
          <w:rFonts w:ascii="Geomanist Light" w:hAnsi="Geomanist Light" w:cs="Arial"/>
          <w:bCs/>
          <w:i/>
          <w:iCs/>
          <w:sz w:val="21"/>
          <w:szCs w:val="21"/>
          <w:lang w:val="es-CO" w:eastAsia="es-ES_tradnl"/>
        </w:rPr>
      </w:pPr>
      <w:r w:rsidRPr="00201A43">
        <w:rPr>
          <w:rFonts w:ascii="Geomanist Light" w:hAnsi="Geomanist Light" w:cs="Arial"/>
          <w:bCs/>
          <w:i/>
          <w:iCs/>
          <w:sz w:val="21"/>
          <w:szCs w:val="21"/>
          <w:lang w:val="es-CO" w:eastAsia="es-ES_tradnl"/>
        </w:rPr>
        <w:t>De lo anterior, se entiende que, en el caso de que el proceso de selección avance teniendo los dos componentes (señalización y demarcación), se puede demostrar la experiencia en alguno de estos; es decir, al tener los dos componentes, estos se dividen y se puede presentar el 60% de la sumatoria de los ítems que compongan solamente la señalización o la demarcación.</w:t>
      </w:r>
    </w:p>
    <w:p w14:paraId="58EE06D5" w14:textId="77777777" w:rsidR="00B622A9" w:rsidRPr="00201A43" w:rsidRDefault="00B622A9" w:rsidP="00201A43">
      <w:pPr>
        <w:ind w:left="709" w:right="709"/>
        <w:jc w:val="both"/>
        <w:rPr>
          <w:rFonts w:ascii="Geomanist Light" w:hAnsi="Geomanist Light" w:cs="Arial"/>
          <w:bCs/>
          <w:i/>
          <w:iCs/>
          <w:sz w:val="21"/>
          <w:szCs w:val="21"/>
          <w:lang w:val="es-CO" w:eastAsia="es-ES_tradnl"/>
        </w:rPr>
      </w:pPr>
    </w:p>
    <w:p w14:paraId="3E88F624" w14:textId="77777777" w:rsidR="00B622A9" w:rsidRPr="00201A43" w:rsidRDefault="00B622A9" w:rsidP="00201A43">
      <w:pPr>
        <w:ind w:left="709" w:right="709"/>
        <w:jc w:val="both"/>
        <w:rPr>
          <w:rFonts w:ascii="Geomanist Light" w:hAnsi="Geomanist Light" w:cs="Arial"/>
          <w:bCs/>
          <w:i/>
          <w:iCs/>
          <w:sz w:val="21"/>
          <w:szCs w:val="21"/>
          <w:lang w:val="es-CO" w:eastAsia="es-ES_tradnl"/>
        </w:rPr>
      </w:pPr>
      <w:r w:rsidRPr="00201A43">
        <w:rPr>
          <w:rFonts w:ascii="Geomanist Light" w:hAnsi="Geomanist Light" w:cs="Arial"/>
          <w:bCs/>
          <w:i/>
          <w:iCs/>
          <w:sz w:val="21"/>
          <w:szCs w:val="21"/>
          <w:lang w:val="es-CO" w:eastAsia="es-ES_tradnl"/>
        </w:rPr>
        <w:t xml:space="preserve">(…) </w:t>
      </w:r>
    </w:p>
    <w:p w14:paraId="275797F9" w14:textId="34C134F6" w:rsidR="00B622A9" w:rsidRDefault="00B622A9" w:rsidP="004C33B8">
      <w:pPr>
        <w:ind w:left="709" w:right="709"/>
        <w:jc w:val="both"/>
        <w:rPr>
          <w:rFonts w:ascii="Geomanist Light" w:hAnsi="Geomanist Light" w:cs="Arial"/>
          <w:bCs/>
          <w:i/>
          <w:iCs/>
          <w:sz w:val="21"/>
          <w:szCs w:val="21"/>
          <w:lang w:val="es-CO" w:eastAsia="es-ES_tradnl"/>
        </w:rPr>
      </w:pPr>
      <w:r w:rsidRPr="00201A43">
        <w:rPr>
          <w:rFonts w:ascii="Geomanist Light" w:hAnsi="Geomanist Light" w:cs="Arial"/>
          <w:bCs/>
          <w:i/>
          <w:iCs/>
          <w:sz w:val="21"/>
          <w:szCs w:val="21"/>
          <w:lang w:val="es-CO" w:eastAsia="es-ES_tradnl"/>
        </w:rPr>
        <w:t xml:space="preserve">¿Es correcta nuestra interpretación? </w:t>
      </w:r>
      <w:r w:rsidR="009B604D" w:rsidRPr="00201A43">
        <w:rPr>
          <w:rFonts w:ascii="Geomanist Light" w:hAnsi="Geomanist Light" w:cs="Arial"/>
          <w:bCs/>
          <w:i/>
          <w:iCs/>
          <w:sz w:val="21"/>
          <w:szCs w:val="21"/>
          <w:lang w:val="es-CO" w:eastAsia="es-ES_tradnl"/>
        </w:rPr>
        <w:t>O</w:t>
      </w:r>
      <w:r w:rsidRPr="00201A43">
        <w:rPr>
          <w:rFonts w:ascii="Geomanist Light" w:hAnsi="Geomanist Light" w:cs="Arial"/>
          <w:bCs/>
          <w:i/>
          <w:iCs/>
          <w:sz w:val="21"/>
          <w:szCs w:val="21"/>
          <w:lang w:val="es-CO" w:eastAsia="es-ES_tradnl"/>
        </w:rPr>
        <w:t xml:space="preserve">, por lo contrario ¿debe ser el 60% del presupuesto oficial global estimado para el proceso de selección? </w:t>
      </w:r>
      <w:r w:rsidR="009B604D" w:rsidRPr="00201A43">
        <w:rPr>
          <w:rFonts w:ascii="Geomanist Light" w:hAnsi="Geomanist Light" w:cs="Arial"/>
          <w:bCs/>
          <w:i/>
          <w:iCs/>
          <w:sz w:val="21"/>
          <w:szCs w:val="21"/>
          <w:lang w:val="es-CO" w:eastAsia="es-ES_tradnl"/>
        </w:rPr>
        <w:t>I</w:t>
      </w:r>
      <w:r w:rsidRPr="00201A43">
        <w:rPr>
          <w:rFonts w:ascii="Geomanist Light" w:hAnsi="Geomanist Light" w:cs="Arial"/>
          <w:bCs/>
          <w:i/>
          <w:iCs/>
          <w:sz w:val="21"/>
          <w:szCs w:val="21"/>
          <w:lang w:val="es-CO" w:eastAsia="es-ES_tradnl"/>
        </w:rPr>
        <w:t>ndependientemente de los componentes</w:t>
      </w:r>
      <w:r w:rsidR="009B604D" w:rsidRPr="00201A43">
        <w:rPr>
          <w:rFonts w:ascii="Geomanist Light" w:hAnsi="Geomanist Light" w:cs="Arial"/>
          <w:bCs/>
          <w:i/>
          <w:iCs/>
          <w:sz w:val="21"/>
          <w:szCs w:val="21"/>
          <w:lang w:val="es-CO" w:eastAsia="es-ES_tradnl"/>
        </w:rPr>
        <w:t>»</w:t>
      </w:r>
      <w:r w:rsidRPr="00201A43">
        <w:rPr>
          <w:rFonts w:ascii="Geomanist Light" w:hAnsi="Geomanist Light" w:cs="Arial"/>
          <w:bCs/>
          <w:i/>
          <w:iCs/>
          <w:sz w:val="21"/>
          <w:szCs w:val="21"/>
          <w:lang w:val="es-CO" w:eastAsia="es-ES_tradnl"/>
        </w:rPr>
        <w:t>.</w:t>
      </w:r>
    </w:p>
    <w:p w14:paraId="731992E3" w14:textId="77777777" w:rsidR="004C33B8" w:rsidRPr="00201A43" w:rsidRDefault="004C33B8" w:rsidP="00201A43">
      <w:pPr>
        <w:ind w:left="709" w:right="709"/>
        <w:jc w:val="both"/>
        <w:rPr>
          <w:rFonts w:ascii="Geomanist Light" w:hAnsi="Geomanist Light" w:cs="Arial"/>
          <w:bCs/>
          <w:i/>
          <w:iCs/>
          <w:sz w:val="21"/>
          <w:szCs w:val="21"/>
          <w:lang w:val="es-CO" w:eastAsia="es-ES_tradnl"/>
        </w:rPr>
      </w:pPr>
    </w:p>
    <w:p w14:paraId="78094FD4" w14:textId="680561EE" w:rsidR="008F4671" w:rsidRPr="00201A43" w:rsidRDefault="00B622A9" w:rsidP="00201A43">
      <w:pPr>
        <w:spacing w:after="120" w:line="276" w:lineRule="auto"/>
        <w:jc w:val="both"/>
        <w:rPr>
          <w:rFonts w:ascii="Geomanist Light" w:eastAsia="Calibri" w:hAnsi="Geomanist Light" w:cs="Arial"/>
          <w:color w:val="000000"/>
          <w:sz w:val="22"/>
          <w:szCs w:val="22"/>
          <w:lang w:val="es-CO" w:eastAsia="en-US"/>
        </w:rPr>
      </w:pPr>
      <w:r w:rsidRPr="00201A43">
        <w:rPr>
          <w:rFonts w:ascii="Geomanist Light" w:eastAsia="Calibri" w:hAnsi="Geomanist Light" w:cs="Arial"/>
          <w:color w:val="000000"/>
          <w:sz w:val="22"/>
          <w:szCs w:val="22"/>
          <w:lang w:val="es-CO" w:eastAsia="en-US"/>
        </w:rPr>
        <w:t xml:space="preserve">De acuerdo con lo expuesto, </w:t>
      </w:r>
      <w:r w:rsidR="008F4671" w:rsidRPr="00201A43">
        <w:rPr>
          <w:rFonts w:ascii="Geomanist Light" w:eastAsia="Calibri" w:hAnsi="Geomanist Light" w:cs="Arial"/>
          <w:color w:val="000000"/>
          <w:sz w:val="22"/>
          <w:szCs w:val="22"/>
          <w:lang w:val="es-CO" w:eastAsia="en-US"/>
        </w:rPr>
        <w:t xml:space="preserve">la «experiencia general» y la «experiencia específica» requerida es el resultado de aplicar los parámetros obligatorios fijados en los documentos tipo, de acuerdo con el tipo de infraestructura, la actividad a contratar y la cuantía del proceso de contratación. Por lo tanto, no se podrán exigir actividades o porcentajes de dimensionamiento distintas a las previstas en la «Matriz 1 – Experiencia» o restringir a una actividad específica cuando dicho formato determine que la experiencia puede acreditarse mediante una de varias actividades. </w:t>
      </w:r>
    </w:p>
    <w:p w14:paraId="24E94A79" w14:textId="4030DC26" w:rsidR="00D07A92" w:rsidRPr="004B7059" w:rsidRDefault="008F4671" w:rsidP="00D07A92">
      <w:pPr>
        <w:spacing w:after="120" w:line="276" w:lineRule="auto"/>
        <w:ind w:firstLine="709"/>
        <w:jc w:val="both"/>
        <w:rPr>
          <w:rFonts w:ascii="Geomanist Light" w:eastAsia="Calibri" w:hAnsi="Geomanist Light" w:cs="Arial"/>
          <w:color w:val="000000"/>
          <w:sz w:val="22"/>
          <w:szCs w:val="22"/>
          <w:lang w:val="es-CO" w:eastAsia="en-US"/>
        </w:rPr>
      </w:pPr>
      <w:r w:rsidRPr="00201A43">
        <w:rPr>
          <w:rFonts w:ascii="Geomanist Light" w:eastAsia="Calibri" w:hAnsi="Geomanist Light" w:cs="Arial"/>
          <w:color w:val="000000"/>
          <w:sz w:val="22"/>
          <w:szCs w:val="22"/>
          <w:lang w:val="es-CO" w:eastAsia="en-US"/>
        </w:rPr>
        <w:t>De esta forma</w:t>
      </w:r>
      <w:r w:rsidRPr="00201A43">
        <w:rPr>
          <w:rFonts w:ascii="Geomanist Light" w:eastAsia="Calibri" w:hAnsi="Geomanist Light" w:cs="Arial"/>
          <w:color w:val="000000"/>
          <w:sz w:val="22"/>
          <w:szCs w:val="22"/>
          <w:lang w:val="es-ES" w:eastAsia="en-US"/>
        </w:rPr>
        <w:t>, cuando la entidad estatal –de acuerdo con el alcance del objeto contractual– identifique el tipo de infraestructura, la actividad a contratar y la cuantía del proceso de contratación, debe determinar la «experiencia general» y la «experiencia específica» con fundamento en la Matriz 1, conforme a la metodología previamente expuesta. Esta experiencia debe solicitarse en las condiciones allí previstas, con la descripción completa que corresponda a la experiencia general y específica.</w:t>
      </w:r>
    </w:p>
    <w:p w14:paraId="783FD206" w14:textId="693F8AAD" w:rsidR="00D07A92" w:rsidRPr="004B7059" w:rsidRDefault="00D07A92" w:rsidP="00D07A92">
      <w:pPr>
        <w:spacing w:after="120" w:line="276" w:lineRule="auto"/>
        <w:ind w:firstLine="851"/>
        <w:jc w:val="both"/>
        <w:rPr>
          <w:rFonts w:ascii="Geomanist Light" w:eastAsia="Calibri" w:hAnsi="Geomanist Light" w:cs="Arial"/>
          <w:i/>
          <w:color w:val="000000"/>
          <w:sz w:val="22"/>
          <w:szCs w:val="22"/>
          <w:lang w:val="es-CO" w:eastAsia="en-US"/>
        </w:rPr>
      </w:pPr>
      <w:r>
        <w:rPr>
          <w:rFonts w:ascii="Geomanist Light" w:eastAsia="Calibri" w:hAnsi="Geomanist Light" w:cs="Arial"/>
          <w:iCs/>
          <w:color w:val="000000"/>
          <w:sz w:val="22"/>
          <w:szCs w:val="22"/>
          <w:lang w:val="es-CO" w:eastAsia="en-US"/>
        </w:rPr>
        <w:t>Para la actividad «</w:t>
      </w:r>
      <w:r w:rsidRPr="004B7059">
        <w:rPr>
          <w:rFonts w:ascii="Geomanist Light" w:eastAsia="Calibri" w:hAnsi="Geomanist Light" w:cs="Arial"/>
          <w:bCs/>
          <w:color w:val="000000"/>
          <w:sz w:val="22"/>
          <w:szCs w:val="22"/>
          <w:lang w:val="es-MX" w:eastAsia="en-US"/>
        </w:rPr>
        <w:t>6.16 PROYECTOS DE SEÑALIZACIÓN Y/O DEMARCACIÓN DE VÍAS URBANAS</w:t>
      </w:r>
      <w:r w:rsidRPr="004B7059">
        <w:rPr>
          <w:rFonts w:ascii="Geomanist Light" w:eastAsia="Calibri" w:hAnsi="Geomanist Light" w:cs="Arial"/>
          <w:color w:val="000000"/>
          <w:sz w:val="22"/>
          <w:szCs w:val="22"/>
          <w:lang w:val="es-CO" w:eastAsia="en-US"/>
        </w:rPr>
        <w:t>»</w:t>
      </w:r>
      <w:r>
        <w:rPr>
          <w:rFonts w:ascii="Geomanist Light" w:eastAsia="Calibri" w:hAnsi="Geomanist Light" w:cs="Arial"/>
          <w:color w:val="000000"/>
          <w:sz w:val="22"/>
          <w:szCs w:val="22"/>
          <w:lang w:val="es-CO" w:eastAsia="en-US"/>
        </w:rPr>
        <w:t>, la</w:t>
      </w:r>
      <w:r>
        <w:rPr>
          <w:rFonts w:ascii="Geomanist Light" w:eastAsia="Calibri" w:hAnsi="Geomanist Light" w:cs="Arial"/>
          <w:iCs/>
          <w:color w:val="000000"/>
          <w:sz w:val="22"/>
          <w:szCs w:val="22"/>
          <w:lang w:val="es-CO" w:eastAsia="en-US"/>
        </w:rPr>
        <w:t xml:space="preserve"> Matriz 1 de complejidad alta establece como requisito</w:t>
      </w:r>
      <w:r w:rsidRPr="004B7059">
        <w:rPr>
          <w:rFonts w:ascii="Geomanist Light" w:eastAsia="Calibri" w:hAnsi="Geomanist Light" w:cs="Arial"/>
          <w:color w:val="000000"/>
          <w:sz w:val="22"/>
          <w:szCs w:val="22"/>
          <w:lang w:val="es-CO" w:eastAsia="en-US"/>
        </w:rPr>
        <w:t xml:space="preserve"> </w:t>
      </w:r>
      <w:r>
        <w:rPr>
          <w:rFonts w:ascii="Geomanist Light" w:eastAsia="Calibri" w:hAnsi="Geomanist Light" w:cs="Arial"/>
          <w:color w:val="000000"/>
          <w:sz w:val="22"/>
          <w:szCs w:val="22"/>
          <w:lang w:val="es-CO" w:eastAsia="en-US"/>
        </w:rPr>
        <w:t>de</w:t>
      </w:r>
      <w:r w:rsidRPr="004B7059">
        <w:rPr>
          <w:rFonts w:ascii="Geomanist Light" w:eastAsia="Calibri" w:hAnsi="Geomanist Light" w:cs="Arial"/>
          <w:color w:val="000000"/>
          <w:sz w:val="22"/>
          <w:szCs w:val="22"/>
          <w:lang w:val="es-CO" w:eastAsia="en-US"/>
        </w:rPr>
        <w:t xml:space="preserve"> experiencia general</w:t>
      </w:r>
      <w:r>
        <w:rPr>
          <w:rFonts w:ascii="Geomanist Light" w:eastAsia="Calibri" w:hAnsi="Geomanist Light" w:cs="Arial"/>
          <w:color w:val="000000"/>
          <w:sz w:val="22"/>
          <w:szCs w:val="22"/>
          <w:lang w:val="es-CO" w:eastAsia="en-US"/>
        </w:rPr>
        <w:t>:</w:t>
      </w:r>
      <w:r w:rsidRPr="004B7059">
        <w:rPr>
          <w:rFonts w:ascii="Geomanist Light" w:eastAsia="Calibri" w:hAnsi="Geomanist Light" w:cs="Arial"/>
          <w:color w:val="000000"/>
          <w:sz w:val="22"/>
          <w:szCs w:val="22"/>
          <w:lang w:val="es-CO" w:eastAsia="en-US"/>
        </w:rPr>
        <w:t xml:space="preserve"> «PROYECTOS QUE CORRESPONDAN O HAYAN CONTENIDO ACTIVIDADES DE: SEÑALIZACIÓN VERTIAL U HORIZONTAL O DEMARCACIÓN DE VÍAS PRIMARIAS O SECUNDARIAS O AEROPISTAS O URBANAS»</w:t>
      </w:r>
      <w:r w:rsidR="0060602C">
        <w:rPr>
          <w:rFonts w:ascii="Geomanist Light" w:eastAsia="Calibri" w:hAnsi="Geomanist Light" w:cs="Arial"/>
          <w:color w:val="000000"/>
          <w:sz w:val="22"/>
          <w:szCs w:val="22"/>
          <w:lang w:val="es-CO" w:eastAsia="en-US"/>
        </w:rPr>
        <w:t>. A su vez, como requisito de experiencia especifica se establece:</w:t>
      </w:r>
      <w:r w:rsidRPr="004B7059">
        <w:rPr>
          <w:rFonts w:ascii="Geomanist Light" w:eastAsia="Calibri" w:hAnsi="Geomanist Light" w:cs="Arial"/>
          <w:color w:val="000000"/>
          <w:sz w:val="22"/>
          <w:szCs w:val="22"/>
          <w:lang w:val="es-CO" w:eastAsia="en-US"/>
        </w:rPr>
        <w:t>, «</w:t>
      </w:r>
      <w:r w:rsidRPr="004B7059">
        <w:rPr>
          <w:rFonts w:ascii="Geomanist Light" w:eastAsia="Calibri" w:hAnsi="Geomanist Light" w:cs="Arial"/>
          <w:i/>
          <w:color w:val="000000"/>
          <w:sz w:val="22"/>
          <w:szCs w:val="22"/>
          <w:lang w:val="es-CO" w:eastAsia="en-US"/>
        </w:rPr>
        <w:t>Por lo menos uno</w:t>
      </w:r>
      <w:r w:rsidRPr="004B7059">
        <w:rPr>
          <w:rFonts w:ascii="Geomanist Light" w:eastAsia="Calibri" w:hAnsi="Geomanist Light" w:cs="Arial"/>
          <w:color w:val="000000"/>
          <w:sz w:val="22"/>
          <w:szCs w:val="22"/>
          <w:lang w:val="es-CO" w:eastAsia="en-US"/>
        </w:rPr>
        <w:t xml:space="preserve"> </w:t>
      </w:r>
      <w:r w:rsidRPr="004B7059">
        <w:rPr>
          <w:rFonts w:ascii="Geomanist Light" w:eastAsia="Calibri" w:hAnsi="Geomanist Light" w:cs="Arial"/>
          <w:i/>
          <w:color w:val="000000"/>
          <w:sz w:val="22"/>
          <w:szCs w:val="22"/>
          <w:lang w:val="es-CO" w:eastAsia="en-US"/>
        </w:rPr>
        <w:t>(1) de los contratos válidos aportados como experiencia general debe acreditar en el componente de señalización o demarcación un valor igual o superior al 60% del Componente de Señalización y/o Demarcación del Presupuesto Oficial estimado de contratación».</w:t>
      </w:r>
    </w:p>
    <w:p w14:paraId="1DD3A838" w14:textId="568A9E69" w:rsidR="00D07A92" w:rsidRDefault="0060602C" w:rsidP="00201A43">
      <w:pPr>
        <w:spacing w:line="276" w:lineRule="auto"/>
        <w:ind w:firstLine="708"/>
        <w:jc w:val="both"/>
        <w:rPr>
          <w:rFonts w:ascii="Geomanist Light" w:eastAsia="Calibri" w:hAnsi="Geomanist Light" w:cs="Arial"/>
          <w:color w:val="000000"/>
          <w:sz w:val="22"/>
          <w:szCs w:val="22"/>
          <w:lang w:val="es-CO" w:eastAsia="en-US"/>
        </w:rPr>
      </w:pPr>
      <w:r>
        <w:rPr>
          <w:rFonts w:ascii="Geomanist Light" w:eastAsia="Calibri" w:hAnsi="Geomanist Light" w:cs="Arial"/>
          <w:color w:val="000000"/>
          <w:sz w:val="22"/>
          <w:szCs w:val="22"/>
          <w:lang w:val="es-ES" w:eastAsia="en-US"/>
        </w:rPr>
        <w:lastRenderedPageBreak/>
        <w:t xml:space="preserve">De acuerdo con lo </w:t>
      </w:r>
      <w:proofErr w:type="gramStart"/>
      <w:r>
        <w:rPr>
          <w:rFonts w:ascii="Geomanist Light" w:eastAsia="Calibri" w:hAnsi="Geomanist Light" w:cs="Arial"/>
          <w:color w:val="000000"/>
          <w:sz w:val="22"/>
          <w:szCs w:val="22"/>
          <w:lang w:val="es-ES" w:eastAsia="en-US"/>
        </w:rPr>
        <w:t xml:space="preserve">explicado, </w:t>
      </w:r>
      <w:r w:rsidR="009B604D" w:rsidRPr="00201A43">
        <w:rPr>
          <w:rFonts w:ascii="Geomanist Light" w:eastAsia="Calibri" w:hAnsi="Geomanist Light" w:cs="Arial"/>
          <w:color w:val="000000"/>
          <w:sz w:val="22"/>
          <w:szCs w:val="22"/>
          <w:lang w:val="es-ES" w:eastAsia="en-US"/>
        </w:rPr>
        <w:t xml:space="preserve"> </w:t>
      </w:r>
      <w:r w:rsidR="00624FCB">
        <w:rPr>
          <w:rFonts w:ascii="Geomanist Light" w:eastAsia="Calibri" w:hAnsi="Geomanist Light" w:cs="Arial"/>
          <w:color w:val="000000"/>
          <w:sz w:val="22"/>
          <w:szCs w:val="22"/>
          <w:lang w:val="es-ES" w:eastAsia="en-US"/>
        </w:rPr>
        <w:t>para</w:t>
      </w:r>
      <w:proofErr w:type="gramEnd"/>
      <w:r w:rsidR="00624FCB">
        <w:rPr>
          <w:rFonts w:ascii="Geomanist Light" w:eastAsia="Calibri" w:hAnsi="Geomanist Light" w:cs="Arial"/>
          <w:color w:val="000000"/>
          <w:sz w:val="22"/>
          <w:szCs w:val="22"/>
          <w:lang w:val="es-ES" w:eastAsia="en-US"/>
        </w:rPr>
        <w:t xml:space="preserve"> efecto de cumplir con </w:t>
      </w:r>
      <w:r w:rsidR="009B604D" w:rsidRPr="00201A43">
        <w:rPr>
          <w:rFonts w:ascii="Geomanist Light" w:eastAsia="Calibri" w:hAnsi="Geomanist Light" w:cs="Arial"/>
          <w:color w:val="000000"/>
          <w:sz w:val="22"/>
          <w:szCs w:val="22"/>
          <w:lang w:val="es-ES" w:eastAsia="en-US"/>
        </w:rPr>
        <w:t xml:space="preserve">el requisito de experiencia </w:t>
      </w:r>
      <w:r>
        <w:rPr>
          <w:rFonts w:ascii="Geomanist Light" w:eastAsia="Calibri" w:hAnsi="Geomanist Light" w:cs="Arial"/>
          <w:color w:val="000000"/>
          <w:sz w:val="22"/>
          <w:szCs w:val="22"/>
          <w:lang w:val="es-ES" w:eastAsia="en-US"/>
        </w:rPr>
        <w:t>especifica</w:t>
      </w:r>
      <w:r w:rsidR="009B604D" w:rsidRPr="00201A43">
        <w:rPr>
          <w:rFonts w:ascii="Geomanist Light" w:eastAsia="Calibri" w:hAnsi="Geomanist Light" w:cs="Arial"/>
          <w:color w:val="000000"/>
          <w:sz w:val="22"/>
          <w:szCs w:val="22"/>
          <w:lang w:val="es-ES" w:eastAsia="en-US"/>
        </w:rPr>
        <w:t xml:space="preserve"> previsto en la Matriz 1 para la actividad 6.16,</w:t>
      </w:r>
      <w:r w:rsidR="00B622A9" w:rsidRPr="00201A43">
        <w:rPr>
          <w:rFonts w:ascii="Geomanist Light" w:eastAsia="Calibri" w:hAnsi="Geomanist Light" w:cs="Arial"/>
          <w:color w:val="000000"/>
          <w:sz w:val="22"/>
          <w:szCs w:val="22"/>
          <w:lang w:val="es-ES" w:eastAsia="en-US"/>
        </w:rPr>
        <w:t xml:space="preserve"> </w:t>
      </w:r>
      <w:r w:rsidR="008F4671" w:rsidRPr="00201A43">
        <w:rPr>
          <w:rFonts w:ascii="Geomanist Light" w:eastAsia="Calibri" w:hAnsi="Geomanist Light" w:cs="Arial"/>
          <w:color w:val="000000"/>
          <w:sz w:val="22"/>
          <w:szCs w:val="22"/>
          <w:lang w:val="es-ES" w:eastAsia="en-US"/>
        </w:rPr>
        <w:t xml:space="preserve">es necesario precisar que </w:t>
      </w:r>
      <w:r w:rsidR="009B604D" w:rsidRPr="00201A43">
        <w:rPr>
          <w:rFonts w:ascii="Geomanist Light" w:eastAsia="Calibri" w:hAnsi="Geomanist Light" w:cs="Arial"/>
          <w:color w:val="000000"/>
          <w:sz w:val="22"/>
          <w:szCs w:val="22"/>
          <w:lang w:val="es-ES" w:eastAsia="en-US"/>
        </w:rPr>
        <w:t xml:space="preserve">el mismo </w:t>
      </w:r>
      <w:r w:rsidR="008F4671" w:rsidRPr="00201A43">
        <w:rPr>
          <w:rFonts w:ascii="Geomanist Light" w:eastAsia="Calibri" w:hAnsi="Geomanist Light" w:cs="Arial"/>
          <w:color w:val="000000"/>
          <w:sz w:val="22"/>
          <w:szCs w:val="22"/>
          <w:lang w:val="es-ES" w:eastAsia="en-US"/>
        </w:rPr>
        <w:t xml:space="preserve">se cumple </w:t>
      </w:r>
      <w:r w:rsidR="005E02B2">
        <w:rPr>
          <w:rFonts w:ascii="Geomanist Light" w:eastAsia="Calibri" w:hAnsi="Geomanist Light" w:cs="Arial"/>
          <w:color w:val="000000"/>
          <w:sz w:val="22"/>
          <w:szCs w:val="22"/>
          <w:lang w:val="es-ES" w:eastAsia="en-US"/>
        </w:rPr>
        <w:t>demostrando</w:t>
      </w:r>
      <w:r w:rsidR="005E02B2" w:rsidRPr="00201A43">
        <w:rPr>
          <w:rFonts w:ascii="Geomanist Light" w:eastAsia="Calibri" w:hAnsi="Geomanist Light" w:cs="Arial"/>
          <w:color w:val="000000"/>
          <w:sz w:val="22"/>
          <w:szCs w:val="22"/>
          <w:lang w:val="es-ES" w:eastAsia="en-US"/>
        </w:rPr>
        <w:t xml:space="preserve"> </w:t>
      </w:r>
      <w:r w:rsidR="008F4671" w:rsidRPr="00201A43">
        <w:rPr>
          <w:rFonts w:ascii="Geomanist Light" w:eastAsia="Calibri" w:hAnsi="Geomanist Light" w:cs="Arial"/>
          <w:color w:val="000000"/>
          <w:sz w:val="22"/>
          <w:szCs w:val="22"/>
          <w:lang w:val="es-ES" w:eastAsia="en-US"/>
        </w:rPr>
        <w:t xml:space="preserve">que, al menos </w:t>
      </w:r>
      <w:r w:rsidR="00D07A92" w:rsidRPr="004B7059">
        <w:rPr>
          <w:rFonts w:ascii="Geomanist Light" w:eastAsia="Calibri" w:hAnsi="Geomanist Light" w:cs="Arial"/>
          <w:color w:val="000000"/>
          <w:sz w:val="22"/>
          <w:szCs w:val="22"/>
          <w:lang w:val="es-ES" w:eastAsia="en-US"/>
        </w:rPr>
        <w:t>uno</w:t>
      </w:r>
      <w:r w:rsidR="00D07A92" w:rsidRPr="004B7059">
        <w:rPr>
          <w:rFonts w:ascii="Geomanist Light" w:eastAsia="Calibri" w:hAnsi="Geomanist Light" w:cs="Arial"/>
          <w:color w:val="000000"/>
          <w:sz w:val="22"/>
          <w:szCs w:val="22"/>
          <w:lang w:val="es-CO" w:eastAsia="en-US"/>
        </w:rPr>
        <w:t xml:space="preserve"> de los contratos válidos aportados como experiencia general </w:t>
      </w:r>
      <w:r w:rsidR="005E02B2">
        <w:rPr>
          <w:rFonts w:ascii="Geomanist Light" w:eastAsia="Calibri" w:hAnsi="Geomanist Light" w:cs="Arial"/>
          <w:color w:val="000000"/>
          <w:sz w:val="22"/>
          <w:szCs w:val="22"/>
          <w:lang w:val="es-CO" w:eastAsia="en-US"/>
        </w:rPr>
        <w:t>acredita</w:t>
      </w:r>
      <w:r w:rsidR="00D07A92" w:rsidRPr="004B7059">
        <w:rPr>
          <w:rFonts w:ascii="Geomanist Light" w:eastAsia="Calibri" w:hAnsi="Geomanist Light" w:cs="Arial"/>
          <w:color w:val="000000"/>
          <w:sz w:val="22"/>
          <w:szCs w:val="22"/>
          <w:lang w:val="es-CO" w:eastAsia="en-US"/>
        </w:rPr>
        <w:t xml:space="preserve"> en el componente de señalización o demarcación </w:t>
      </w:r>
      <w:r w:rsidR="00D07A92">
        <w:rPr>
          <w:rFonts w:ascii="Geomanist Light" w:eastAsia="Calibri" w:hAnsi="Geomanist Light" w:cs="Arial"/>
          <w:color w:val="000000"/>
          <w:sz w:val="22"/>
          <w:szCs w:val="22"/>
          <w:lang w:val="es-CO" w:eastAsia="en-US"/>
        </w:rPr>
        <w:t xml:space="preserve"> </w:t>
      </w:r>
      <w:r w:rsidR="00D07A92" w:rsidRPr="004B7059">
        <w:rPr>
          <w:rFonts w:ascii="Geomanist Light" w:eastAsia="Calibri" w:hAnsi="Geomanist Light" w:cs="Arial"/>
          <w:color w:val="000000"/>
          <w:sz w:val="22"/>
          <w:szCs w:val="22"/>
          <w:lang w:val="es-CO" w:eastAsia="en-US"/>
        </w:rPr>
        <w:t xml:space="preserve">un valor igual o superior al 60% </w:t>
      </w:r>
      <w:r w:rsidR="00D07A92">
        <w:rPr>
          <w:rFonts w:ascii="Geomanist Light" w:eastAsia="Calibri" w:hAnsi="Geomanist Light" w:cs="Arial"/>
          <w:color w:val="000000"/>
          <w:sz w:val="22"/>
          <w:szCs w:val="22"/>
          <w:lang w:val="es-CO" w:eastAsia="en-US"/>
        </w:rPr>
        <w:t>d</w:t>
      </w:r>
      <w:r w:rsidR="00D07A92" w:rsidRPr="004B7059">
        <w:rPr>
          <w:rFonts w:ascii="Geomanist Light" w:eastAsia="Calibri" w:hAnsi="Geomanist Light" w:cs="Arial"/>
          <w:color w:val="000000"/>
          <w:sz w:val="22"/>
          <w:szCs w:val="22"/>
          <w:lang w:val="es-CO" w:eastAsia="en-US"/>
        </w:rPr>
        <w:t xml:space="preserve">el Presupuesto Oficial </w:t>
      </w:r>
      <w:r w:rsidR="00A7580A">
        <w:rPr>
          <w:rFonts w:ascii="Geomanist Light" w:eastAsia="Calibri" w:hAnsi="Geomanist Light" w:cs="Arial"/>
          <w:color w:val="000000"/>
          <w:sz w:val="22"/>
          <w:szCs w:val="22"/>
          <w:lang w:val="es-CO" w:eastAsia="en-US"/>
        </w:rPr>
        <w:t xml:space="preserve">del proceso de contratación. </w:t>
      </w:r>
      <w:r w:rsidR="00D07A92" w:rsidRPr="004B7059">
        <w:rPr>
          <w:rFonts w:ascii="Geomanist Light" w:eastAsia="Calibri" w:hAnsi="Geomanist Light" w:cs="Arial"/>
          <w:color w:val="000000"/>
          <w:sz w:val="22"/>
          <w:szCs w:val="22"/>
          <w:lang w:val="es-CO" w:eastAsia="en-US"/>
        </w:rPr>
        <w:t xml:space="preserve">En ese sentido, </w:t>
      </w:r>
      <w:r w:rsidR="00D07A92">
        <w:rPr>
          <w:rFonts w:ascii="Geomanist Light" w:eastAsia="Calibri" w:hAnsi="Geomanist Light" w:cs="Arial"/>
          <w:color w:val="000000"/>
          <w:sz w:val="22"/>
          <w:szCs w:val="22"/>
          <w:lang w:val="es-CO" w:eastAsia="en-US"/>
        </w:rPr>
        <w:t xml:space="preserve">lo que debe demostrar el proponente es que en al menos uno de los contratos aportados para acreditar la experiencia general se ejecutaron obras de señalización o demarcación por un valor igual o superior al señalado porcentaje. </w:t>
      </w:r>
      <w:r w:rsidR="009F0D1F">
        <w:rPr>
          <w:rFonts w:ascii="Geomanist Light" w:eastAsia="Calibri" w:hAnsi="Geomanist Light" w:cs="Arial"/>
          <w:color w:val="000000"/>
          <w:sz w:val="22"/>
          <w:szCs w:val="22"/>
          <w:lang w:val="es-CO" w:eastAsia="en-US"/>
        </w:rPr>
        <w:t xml:space="preserve"> En todo caso, e</w:t>
      </w:r>
      <w:r w:rsidR="00D07A92">
        <w:rPr>
          <w:rFonts w:ascii="Geomanist Light" w:eastAsia="Calibri" w:hAnsi="Geomanist Light" w:cs="Arial"/>
          <w:color w:val="000000"/>
          <w:sz w:val="22"/>
          <w:szCs w:val="22"/>
          <w:lang w:val="es-CO" w:eastAsia="en-US"/>
        </w:rPr>
        <w:t>n la medida en que el requisito</w:t>
      </w:r>
      <w:r w:rsidR="009F0D1F">
        <w:rPr>
          <w:rFonts w:ascii="Geomanist Light" w:eastAsia="Calibri" w:hAnsi="Geomanist Light" w:cs="Arial"/>
          <w:color w:val="000000"/>
          <w:sz w:val="22"/>
          <w:szCs w:val="22"/>
          <w:lang w:val="es-CO" w:eastAsia="en-US"/>
        </w:rPr>
        <w:t xml:space="preserve"> de experiencia especifica</w:t>
      </w:r>
      <w:r w:rsidR="00D07A92">
        <w:rPr>
          <w:rFonts w:ascii="Geomanist Light" w:eastAsia="Calibri" w:hAnsi="Geomanist Light" w:cs="Arial"/>
          <w:color w:val="000000"/>
          <w:sz w:val="22"/>
          <w:szCs w:val="22"/>
          <w:lang w:val="es-CO" w:eastAsia="en-US"/>
        </w:rPr>
        <w:t xml:space="preserve"> </w:t>
      </w:r>
      <w:r w:rsidR="009F0D1F">
        <w:rPr>
          <w:rFonts w:ascii="Geomanist Light" w:eastAsia="Calibri" w:hAnsi="Geomanist Light" w:cs="Arial"/>
          <w:color w:val="000000"/>
          <w:sz w:val="22"/>
          <w:szCs w:val="22"/>
          <w:lang w:val="es-CO" w:eastAsia="en-US"/>
        </w:rPr>
        <w:t>alude</w:t>
      </w:r>
      <w:r w:rsidR="00D07A92">
        <w:rPr>
          <w:rFonts w:ascii="Geomanist Light" w:eastAsia="Calibri" w:hAnsi="Geomanist Light" w:cs="Arial"/>
          <w:color w:val="000000"/>
          <w:sz w:val="22"/>
          <w:szCs w:val="22"/>
          <w:lang w:val="es-CO" w:eastAsia="en-US"/>
        </w:rPr>
        <w:t xml:space="preserve"> tanto la demarcación como la señalización, el valor al que se refiere puede ser acreditado teniendo en cuenta la sumatoria de los valores imputables a ambas actividades.  </w:t>
      </w:r>
    </w:p>
    <w:p w14:paraId="593BC882" w14:textId="77777777" w:rsidR="008F4671" w:rsidRPr="00201A43" w:rsidRDefault="008F4671" w:rsidP="008F4671">
      <w:pPr>
        <w:spacing w:line="276" w:lineRule="auto"/>
        <w:jc w:val="both"/>
        <w:rPr>
          <w:rFonts w:ascii="Geomanist Light" w:eastAsia="Arial" w:hAnsi="Geomanist Light" w:cs="Arial"/>
          <w:bCs/>
          <w:color w:val="000000"/>
          <w:sz w:val="22"/>
          <w:szCs w:val="22"/>
          <w:lang w:val="es-MX" w:eastAsia="es-ES_tradnl"/>
        </w:rPr>
      </w:pPr>
    </w:p>
    <w:p w14:paraId="65880C20" w14:textId="77777777" w:rsidR="008F4671" w:rsidRPr="00201A43" w:rsidRDefault="008F4671" w:rsidP="008F4671">
      <w:pPr>
        <w:spacing w:line="276" w:lineRule="auto"/>
        <w:jc w:val="both"/>
        <w:rPr>
          <w:rFonts w:ascii="Geomanist Light" w:eastAsia="Arial" w:hAnsi="Geomanist Light" w:cs="Arial"/>
          <w:color w:val="000000"/>
          <w:sz w:val="22"/>
          <w:szCs w:val="22"/>
          <w:lang w:val="es-MX" w:eastAsia="es-ES_tradnl"/>
        </w:rPr>
      </w:pPr>
      <w:bookmarkStart w:id="8" w:name="_2grqrue" w:colFirst="0" w:colLast="0"/>
      <w:bookmarkEnd w:id="8"/>
      <w:r w:rsidRPr="00201A43">
        <w:rPr>
          <w:rFonts w:ascii="Geomanist Light" w:eastAsia="Arial" w:hAnsi="Geomanist Light" w:cs="Arial"/>
          <w:color w:val="000000"/>
          <w:sz w:val="22"/>
          <w:szCs w:val="22"/>
          <w:lang w:val="es-MX" w:eastAsia="es-ES_tradnl"/>
        </w:rPr>
        <w:t>Este concepto tiene el alcance previsto en el artículo 28 del Código de Procedimiento Administrativo y de lo Contencioso Administrativo.</w:t>
      </w:r>
    </w:p>
    <w:p w14:paraId="2F460CDB" w14:textId="77777777" w:rsidR="008F4671" w:rsidRPr="00201A43" w:rsidRDefault="008F4671" w:rsidP="008F4671">
      <w:pPr>
        <w:spacing w:after="200" w:line="276" w:lineRule="auto"/>
        <w:jc w:val="both"/>
        <w:rPr>
          <w:rFonts w:ascii="Geomanist Light" w:eastAsia="Arial" w:hAnsi="Geomanist Light" w:cs="Arial"/>
          <w:color w:val="000000"/>
          <w:sz w:val="22"/>
          <w:szCs w:val="22"/>
          <w:lang w:val="es-MX" w:eastAsia="es-ES_tradnl"/>
        </w:rPr>
      </w:pPr>
    </w:p>
    <w:p w14:paraId="2D67F03F" w14:textId="77777777" w:rsidR="008F4671" w:rsidRPr="00201A43" w:rsidRDefault="008F4671" w:rsidP="008F4671">
      <w:pPr>
        <w:spacing w:after="200" w:line="276" w:lineRule="auto"/>
        <w:jc w:val="both"/>
        <w:rPr>
          <w:rFonts w:ascii="Geomanist Light" w:eastAsia="Arial" w:hAnsi="Geomanist Light" w:cs="Arial"/>
          <w:color w:val="000000"/>
          <w:sz w:val="22"/>
          <w:szCs w:val="22"/>
          <w:lang w:val="es-MX" w:eastAsia="es-ES_tradnl"/>
        </w:rPr>
      </w:pPr>
      <w:r w:rsidRPr="00201A43">
        <w:rPr>
          <w:rFonts w:ascii="Geomanist Light" w:eastAsia="Arial" w:hAnsi="Geomanist Light" w:cs="Arial"/>
          <w:color w:val="000000"/>
          <w:sz w:val="22"/>
          <w:szCs w:val="22"/>
          <w:lang w:val="es-MX" w:eastAsia="es-ES_tradnl"/>
        </w:rPr>
        <w:t>Atentamente,</w:t>
      </w:r>
    </w:p>
    <w:p w14:paraId="2AB97B06" w14:textId="199A01AF" w:rsidR="0015100A" w:rsidRPr="00201A43" w:rsidRDefault="00FA33E4" w:rsidP="006C16B7">
      <w:pPr>
        <w:spacing w:line="276" w:lineRule="auto"/>
        <w:jc w:val="center"/>
        <w:rPr>
          <w:rFonts w:ascii="Geomanist Light" w:hAnsi="Geomanist Light" w:cs="Arial"/>
          <w:sz w:val="22"/>
          <w:szCs w:val="22"/>
          <w:lang w:eastAsia="es-ES_tradnl"/>
        </w:rPr>
      </w:pPr>
      <w:r>
        <w:rPr>
          <w:noProof/>
          <w:lang w:val="es-ES"/>
        </w:rPr>
        <w:drawing>
          <wp:inline distT="0" distB="0" distL="0" distR="0" wp14:anchorId="443F6600" wp14:editId="4D4E62FE">
            <wp:extent cx="2564835" cy="1001949"/>
            <wp:effectExtent l="0" t="0" r="635" b="1905"/>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592210" cy="1012643"/>
                    </a:xfrm>
                    <a:prstGeom prst="rect">
                      <a:avLst/>
                    </a:prstGeom>
                    <a:noFill/>
                    <a:ln>
                      <a:noFill/>
                    </a:ln>
                  </pic:spPr>
                </pic:pic>
              </a:graphicData>
            </a:graphic>
          </wp:inline>
        </w:drawing>
      </w:r>
    </w:p>
    <w:p w14:paraId="3E76BAB0" w14:textId="77777777" w:rsidR="00457483" w:rsidRPr="00201A43" w:rsidRDefault="00457483" w:rsidP="00550397">
      <w:pPr>
        <w:spacing w:line="276" w:lineRule="auto"/>
        <w:jc w:val="center"/>
        <w:rPr>
          <w:rFonts w:ascii="Geomanist Light" w:hAnsi="Geomanist Light" w:cs="Arial"/>
          <w:sz w:val="22"/>
          <w:szCs w:val="22"/>
          <w:lang w:eastAsia="es-ES_tradnl"/>
        </w:rPr>
      </w:pPr>
    </w:p>
    <w:tbl>
      <w:tblPr>
        <w:tblStyle w:val="Tablaconcuadrcula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2"/>
        <w:gridCol w:w="4717"/>
      </w:tblGrid>
      <w:tr w:rsidR="00C06297" w:rsidRPr="004C33B8" w14:paraId="116D3F91" w14:textId="77777777" w:rsidTr="00177317">
        <w:trPr>
          <w:trHeight w:val="315"/>
        </w:trPr>
        <w:tc>
          <w:tcPr>
            <w:tcW w:w="812" w:type="dxa"/>
            <w:vAlign w:val="center"/>
            <w:hideMark/>
          </w:tcPr>
          <w:p w14:paraId="76BB6601" w14:textId="77777777" w:rsidR="00C06297" w:rsidRPr="00201A43" w:rsidRDefault="00C06297" w:rsidP="00423E96">
            <w:pPr>
              <w:jc w:val="both"/>
              <w:rPr>
                <w:rFonts w:ascii="Geomanist Light" w:hAnsi="Geomanist Light" w:cs="Arial"/>
                <w:sz w:val="16"/>
                <w:szCs w:val="16"/>
                <w:lang w:eastAsia="es-ES"/>
              </w:rPr>
            </w:pPr>
            <w:r w:rsidRPr="00201A43">
              <w:rPr>
                <w:rFonts w:ascii="Geomanist Light" w:hAnsi="Geomanist Light" w:cs="Arial"/>
                <w:sz w:val="16"/>
                <w:szCs w:val="16"/>
                <w:lang w:eastAsia="es-ES"/>
              </w:rPr>
              <w:t>Elaboró:</w:t>
            </w:r>
          </w:p>
        </w:tc>
        <w:tc>
          <w:tcPr>
            <w:tcW w:w="4717" w:type="dxa"/>
            <w:tcBorders>
              <w:top w:val="nil"/>
              <w:left w:val="nil"/>
              <w:bottom w:val="dotted" w:sz="4" w:space="0" w:color="7F7F7F" w:themeColor="text1" w:themeTint="80"/>
              <w:right w:val="nil"/>
            </w:tcBorders>
            <w:vAlign w:val="center"/>
            <w:hideMark/>
          </w:tcPr>
          <w:p w14:paraId="0E453CD0" w14:textId="77777777" w:rsidR="00C06297" w:rsidRPr="00201A43" w:rsidRDefault="00C06297" w:rsidP="00423E96">
            <w:pPr>
              <w:rPr>
                <w:rFonts w:ascii="Geomanist Light" w:hAnsi="Geomanist Light" w:cs="Arial"/>
                <w:sz w:val="16"/>
                <w:szCs w:val="16"/>
                <w:lang w:eastAsia="es-ES"/>
              </w:rPr>
            </w:pPr>
            <w:r w:rsidRPr="00201A43">
              <w:rPr>
                <w:rFonts w:ascii="Geomanist Light" w:hAnsi="Geomanist Light" w:cs="Arial"/>
                <w:sz w:val="16"/>
                <w:szCs w:val="16"/>
                <w:lang w:eastAsia="es-ES"/>
              </w:rPr>
              <w:t xml:space="preserve">Álvaro </w:t>
            </w:r>
            <w:proofErr w:type="spellStart"/>
            <w:r w:rsidRPr="00201A43">
              <w:rPr>
                <w:rFonts w:ascii="Geomanist Light" w:hAnsi="Geomanist Light" w:cs="Arial"/>
                <w:sz w:val="16"/>
                <w:szCs w:val="16"/>
                <w:lang w:eastAsia="es-ES"/>
              </w:rPr>
              <w:t>Namén</w:t>
            </w:r>
            <w:proofErr w:type="spellEnd"/>
            <w:r w:rsidRPr="00201A43">
              <w:rPr>
                <w:rFonts w:ascii="Geomanist Light" w:hAnsi="Geomanist Light" w:cs="Arial"/>
                <w:sz w:val="16"/>
                <w:szCs w:val="16"/>
                <w:lang w:eastAsia="es-ES"/>
              </w:rPr>
              <w:t xml:space="preserve"> Vargas</w:t>
            </w:r>
          </w:p>
          <w:p w14:paraId="113AA233" w14:textId="77777777" w:rsidR="00C06297" w:rsidRPr="00201A43" w:rsidRDefault="00C06297" w:rsidP="00423E96">
            <w:pPr>
              <w:jc w:val="both"/>
              <w:rPr>
                <w:rFonts w:ascii="Geomanist Light" w:hAnsi="Geomanist Light" w:cs="Arial"/>
                <w:sz w:val="16"/>
                <w:szCs w:val="16"/>
                <w:lang w:eastAsia="es-ES"/>
              </w:rPr>
            </w:pPr>
            <w:r w:rsidRPr="00201A43">
              <w:rPr>
                <w:rFonts w:ascii="Geomanist Light" w:hAnsi="Geomanist Light" w:cs="Arial"/>
                <w:sz w:val="16"/>
                <w:szCs w:val="16"/>
                <w:lang w:eastAsia="es-ES"/>
              </w:rPr>
              <w:t xml:space="preserve">Contratista de la Subdirección de Gestión Contractual  </w:t>
            </w:r>
          </w:p>
        </w:tc>
      </w:tr>
      <w:tr w:rsidR="00C06297" w:rsidRPr="004C33B8" w14:paraId="51F0CE60" w14:textId="77777777" w:rsidTr="00177317">
        <w:trPr>
          <w:trHeight w:val="330"/>
        </w:trPr>
        <w:tc>
          <w:tcPr>
            <w:tcW w:w="812" w:type="dxa"/>
            <w:vAlign w:val="center"/>
            <w:hideMark/>
          </w:tcPr>
          <w:p w14:paraId="272C6AA1" w14:textId="77777777" w:rsidR="00C06297" w:rsidRPr="00201A43" w:rsidRDefault="00C06297" w:rsidP="00423E96">
            <w:pPr>
              <w:jc w:val="both"/>
              <w:rPr>
                <w:rFonts w:ascii="Geomanist Light" w:hAnsi="Geomanist Light" w:cs="Arial"/>
                <w:sz w:val="16"/>
                <w:szCs w:val="16"/>
                <w:lang w:eastAsia="es-ES"/>
              </w:rPr>
            </w:pPr>
            <w:r w:rsidRPr="00201A43">
              <w:rPr>
                <w:rFonts w:ascii="Geomanist Light" w:hAnsi="Geomanist Light" w:cs="Arial"/>
                <w:sz w:val="16"/>
                <w:szCs w:val="16"/>
                <w:lang w:eastAsia="es-ES"/>
              </w:rPr>
              <w:t>Revisó:</w:t>
            </w:r>
          </w:p>
        </w:tc>
        <w:tc>
          <w:tcPr>
            <w:tcW w:w="4717" w:type="dxa"/>
            <w:tcBorders>
              <w:top w:val="dotted" w:sz="4" w:space="0" w:color="7F7F7F" w:themeColor="text1" w:themeTint="80"/>
              <w:left w:val="nil"/>
              <w:bottom w:val="dotted" w:sz="4" w:space="0" w:color="7F7F7F" w:themeColor="text1" w:themeTint="80"/>
              <w:right w:val="nil"/>
            </w:tcBorders>
            <w:vAlign w:val="center"/>
            <w:hideMark/>
          </w:tcPr>
          <w:p w14:paraId="6E036ADE" w14:textId="1B1E5B49" w:rsidR="00C06297" w:rsidRPr="00201A43" w:rsidRDefault="007A7DDB" w:rsidP="00423E96">
            <w:pPr>
              <w:jc w:val="both"/>
              <w:rPr>
                <w:rFonts w:ascii="Geomanist Light" w:hAnsi="Geomanist Light" w:cs="Arial"/>
                <w:sz w:val="16"/>
                <w:szCs w:val="16"/>
                <w:lang w:eastAsia="es-ES"/>
              </w:rPr>
            </w:pPr>
            <w:r w:rsidRPr="00201A43">
              <w:rPr>
                <w:rFonts w:ascii="Geomanist Light" w:hAnsi="Geomanist Light" w:cs="Arial"/>
                <w:sz w:val="16"/>
                <w:szCs w:val="16"/>
                <w:lang w:eastAsia="es-ES"/>
              </w:rPr>
              <w:t>Alejandro Sarmiento Cantillo</w:t>
            </w:r>
          </w:p>
          <w:p w14:paraId="1427B253" w14:textId="76A0B4F1" w:rsidR="00C06297" w:rsidRPr="00201A43" w:rsidRDefault="007A7DDB" w:rsidP="00423E96">
            <w:pPr>
              <w:jc w:val="both"/>
              <w:rPr>
                <w:rFonts w:ascii="Geomanist Light" w:hAnsi="Geomanist Light" w:cs="Arial"/>
                <w:sz w:val="16"/>
                <w:szCs w:val="16"/>
                <w:lang w:eastAsia="es-ES"/>
              </w:rPr>
            </w:pPr>
            <w:r w:rsidRPr="00201A43">
              <w:rPr>
                <w:rFonts w:ascii="Geomanist Light" w:hAnsi="Geomanist Light" w:cs="Arial"/>
                <w:sz w:val="16"/>
                <w:szCs w:val="16"/>
                <w:lang w:eastAsia="es-ES"/>
              </w:rPr>
              <w:t>Gestor T1-</w:t>
            </w:r>
            <w:r w:rsidR="004F507C" w:rsidRPr="00201A43">
              <w:rPr>
                <w:rFonts w:ascii="Geomanist Light" w:hAnsi="Geomanist Light" w:cs="Arial"/>
                <w:sz w:val="16"/>
                <w:szCs w:val="16"/>
                <w:lang w:eastAsia="es-ES"/>
              </w:rPr>
              <w:t>15</w:t>
            </w:r>
            <w:r w:rsidRPr="00201A43">
              <w:rPr>
                <w:rFonts w:ascii="Geomanist Light" w:hAnsi="Geomanist Light" w:cs="Arial"/>
                <w:sz w:val="16"/>
                <w:szCs w:val="16"/>
                <w:lang w:eastAsia="es-ES"/>
              </w:rPr>
              <w:t xml:space="preserve"> </w:t>
            </w:r>
            <w:r w:rsidR="00C06297" w:rsidRPr="00201A43">
              <w:rPr>
                <w:rFonts w:ascii="Geomanist Light" w:hAnsi="Geomanist Light" w:cs="Arial"/>
                <w:sz w:val="16"/>
                <w:szCs w:val="16"/>
                <w:lang w:eastAsia="es-ES"/>
              </w:rPr>
              <w:t>de la Subdirección de Gestión Contractual</w:t>
            </w:r>
          </w:p>
        </w:tc>
      </w:tr>
      <w:tr w:rsidR="00C06297" w:rsidRPr="004C33B8" w14:paraId="47905FD4" w14:textId="77777777" w:rsidTr="00177317">
        <w:trPr>
          <w:trHeight w:val="300"/>
        </w:trPr>
        <w:tc>
          <w:tcPr>
            <w:tcW w:w="812" w:type="dxa"/>
            <w:vAlign w:val="center"/>
            <w:hideMark/>
          </w:tcPr>
          <w:p w14:paraId="1E2A29DF" w14:textId="77777777" w:rsidR="00C06297" w:rsidRPr="00201A43" w:rsidRDefault="00C06297" w:rsidP="00423E96">
            <w:pPr>
              <w:jc w:val="both"/>
              <w:rPr>
                <w:rFonts w:ascii="Geomanist Light" w:hAnsi="Geomanist Light" w:cs="Arial"/>
                <w:sz w:val="16"/>
                <w:szCs w:val="16"/>
                <w:lang w:eastAsia="es-ES"/>
              </w:rPr>
            </w:pPr>
            <w:r w:rsidRPr="00201A43">
              <w:rPr>
                <w:rFonts w:ascii="Geomanist Light" w:hAnsi="Geomanist Light" w:cs="Arial"/>
                <w:sz w:val="16"/>
                <w:szCs w:val="16"/>
                <w:lang w:eastAsia="es-ES"/>
              </w:rPr>
              <w:t>Aprobó:</w:t>
            </w:r>
          </w:p>
        </w:tc>
        <w:tc>
          <w:tcPr>
            <w:tcW w:w="4717" w:type="dxa"/>
            <w:tcBorders>
              <w:top w:val="dotted" w:sz="4" w:space="0" w:color="7F7F7F" w:themeColor="text1" w:themeTint="80"/>
              <w:left w:val="nil"/>
              <w:bottom w:val="dotted" w:sz="4" w:space="0" w:color="7F7F7F" w:themeColor="text1" w:themeTint="80"/>
              <w:right w:val="nil"/>
            </w:tcBorders>
            <w:vAlign w:val="center"/>
            <w:hideMark/>
          </w:tcPr>
          <w:p w14:paraId="52950031" w14:textId="77777777" w:rsidR="00C06297" w:rsidRPr="00201A43" w:rsidRDefault="00C06297" w:rsidP="00423E96">
            <w:pPr>
              <w:jc w:val="both"/>
              <w:rPr>
                <w:rFonts w:ascii="Geomanist Light" w:hAnsi="Geomanist Light" w:cs="Arial"/>
                <w:sz w:val="16"/>
                <w:szCs w:val="16"/>
                <w:lang w:eastAsia="es-ES"/>
              </w:rPr>
            </w:pPr>
            <w:r w:rsidRPr="00201A43">
              <w:rPr>
                <w:rFonts w:ascii="Geomanist Light" w:hAnsi="Geomanist Light" w:cs="Arial"/>
                <w:sz w:val="16"/>
                <w:szCs w:val="16"/>
                <w:lang w:eastAsia="es-ES"/>
              </w:rPr>
              <w:t>Juan David Marín López</w:t>
            </w:r>
          </w:p>
          <w:p w14:paraId="393529C6" w14:textId="77777777" w:rsidR="00C06297" w:rsidRPr="00201A43" w:rsidRDefault="00C06297" w:rsidP="00423E96">
            <w:pPr>
              <w:jc w:val="both"/>
              <w:rPr>
                <w:rFonts w:ascii="Geomanist Light" w:hAnsi="Geomanist Light" w:cs="Arial"/>
                <w:sz w:val="16"/>
                <w:szCs w:val="16"/>
                <w:lang w:eastAsia="es-ES"/>
              </w:rPr>
            </w:pPr>
            <w:r w:rsidRPr="00201A43">
              <w:rPr>
                <w:rFonts w:ascii="Geomanist Light" w:hAnsi="Geomanist Light" w:cs="Arial"/>
                <w:sz w:val="16"/>
                <w:szCs w:val="16"/>
                <w:lang w:eastAsia="es-ES"/>
              </w:rPr>
              <w:t>Subdirector de Gestión Contractual (E)</w:t>
            </w:r>
          </w:p>
        </w:tc>
      </w:tr>
    </w:tbl>
    <w:p w14:paraId="019B7BEC" w14:textId="2669F477" w:rsidR="003C7067" w:rsidRPr="00201A43" w:rsidRDefault="003C7067" w:rsidP="00550397">
      <w:pPr>
        <w:spacing w:after="120" w:line="276" w:lineRule="auto"/>
        <w:jc w:val="both"/>
        <w:rPr>
          <w:rFonts w:ascii="Geomanist Light" w:hAnsi="Geomanist Light"/>
        </w:rPr>
      </w:pPr>
    </w:p>
    <w:p w14:paraId="49D4532E" w14:textId="7187FB04" w:rsidR="00560087" w:rsidRPr="00201A43" w:rsidRDefault="00560087" w:rsidP="00550397">
      <w:pPr>
        <w:spacing w:after="120" w:line="276" w:lineRule="auto"/>
        <w:jc w:val="both"/>
        <w:rPr>
          <w:rFonts w:ascii="Geomanist Light" w:hAnsi="Geomanist Light"/>
        </w:rPr>
      </w:pPr>
    </w:p>
    <w:sectPr w:rsidR="00560087" w:rsidRPr="00201A43" w:rsidSect="00D81E5B">
      <w:headerReference w:type="default" r:id="rId13"/>
      <w:footerReference w:type="default" r:id="rId14"/>
      <w:pgSz w:w="12240" w:h="15840"/>
      <w:pgMar w:top="2041" w:right="1701" w:bottom="1418" w:left="1701" w:header="340"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17BD25" w14:textId="77777777" w:rsidR="007533A6" w:rsidRDefault="007533A6" w:rsidP="003C7067">
      <w:r>
        <w:separator/>
      </w:r>
    </w:p>
  </w:endnote>
  <w:endnote w:type="continuationSeparator" w:id="0">
    <w:p w14:paraId="084B29E7" w14:textId="77777777" w:rsidR="007533A6" w:rsidRDefault="007533A6" w:rsidP="003C70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altName w:val="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Geomanist Light">
    <w:altName w:val="Calibri"/>
    <w:panose1 w:val="020B0604020202020204"/>
    <w:charset w:val="00"/>
    <w:family w:val="modern"/>
    <w:pitch w:val="variable"/>
    <w:sig w:usb0="A000002F" w:usb1="1000004A" w:usb2="00000000" w:usb3="00000000" w:csb0="00000193" w:csb1="00000000"/>
  </w:font>
  <w:font w:name="Geomanist Bold">
    <w:altName w:val="Calibri"/>
    <w:panose1 w:val="020B0604020202020204"/>
    <w:charset w:val="00"/>
    <w:family w:val="modern"/>
    <w:notTrueType/>
    <w:pitch w:val="variable"/>
    <w:sig w:usb0="A000002F" w:usb1="1000004A" w:usb2="00000000" w:usb3="00000000" w:csb0="00000193" w:csb1="00000000"/>
  </w:font>
  <w:font w:name="Arial Nova">
    <w:panose1 w:val="020B0504020202020204"/>
    <w:charset w:val="00"/>
    <w:family w:val="swiss"/>
    <w:pitch w:val="variable"/>
    <w:sig w:usb0="0000028F" w:usb1="00000002" w:usb2="00000000" w:usb3="00000000" w:csb0="0000019F" w:csb1="00000000"/>
  </w:font>
  <w:font w:name="Geo">
    <w:altName w:val="Calibri"/>
    <w:panose1 w:val="020B0604020202020204"/>
    <w:charset w:val="00"/>
    <w:family w:val="auto"/>
    <w:pitch w:val="variable"/>
    <w:sig w:usb0="8000002F" w:usb1="40000048"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2BF19D" w14:textId="77777777" w:rsidR="00D81E5B" w:rsidRDefault="00D81E5B" w:rsidP="00D81E5B">
    <w:pPr>
      <w:pStyle w:val="Sinespaciado"/>
      <w:jc w:val="right"/>
      <w:rPr>
        <w:rFonts w:ascii="Arial" w:hAnsi="Arial" w:cs="Arial"/>
        <w:sz w:val="18"/>
        <w:szCs w:val="18"/>
      </w:rPr>
    </w:pPr>
  </w:p>
  <w:p w14:paraId="14B5D1D1" w14:textId="77777777" w:rsidR="00FF547A" w:rsidRDefault="00FF547A" w:rsidP="00FF547A">
    <w:pPr>
      <w:pStyle w:val="Piedepgina"/>
    </w:pPr>
    <w:r>
      <w:rPr>
        <w:noProof/>
        <w:lang w:val="es-CO" w:eastAsia="es-CO"/>
      </w:rPr>
      <w:drawing>
        <wp:inline distT="0" distB="0" distL="0" distR="0" wp14:anchorId="6A306E23" wp14:editId="5EFE2315">
          <wp:extent cx="5742143" cy="892175"/>
          <wp:effectExtent l="0" t="0" r="0" b="3175"/>
          <wp:docPr id="4" name="Imagen 4" descr="Interfaz de usuario gráfica, Texto, Correo electrónic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descr="Interfaz de usuario gráfica, Texto, Correo electrónico&#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5792894" cy="900060"/>
                  </a:xfrm>
                  <a:prstGeom prst="rect">
                    <a:avLst/>
                  </a:prstGeom>
                </pic:spPr>
              </pic:pic>
            </a:graphicData>
          </a:graphic>
        </wp:inline>
      </w:drawing>
    </w:r>
  </w:p>
  <w:tbl>
    <w:tblPr>
      <w:tblStyle w:val="Tablaconcuadrcula"/>
      <w:tblW w:w="920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8"/>
      <w:gridCol w:w="678"/>
      <w:gridCol w:w="844"/>
      <w:gridCol w:w="1784"/>
      <w:gridCol w:w="720"/>
      <w:gridCol w:w="2818"/>
      <w:gridCol w:w="1527"/>
    </w:tblGrid>
    <w:tr w:rsidR="00460695" w:rsidRPr="00080DA3" w14:paraId="27B94BCF" w14:textId="77777777" w:rsidTr="00460695">
      <w:trPr>
        <w:trHeight w:val="198"/>
        <w:jc w:val="center"/>
      </w:trPr>
      <w:tc>
        <w:tcPr>
          <w:tcW w:w="838" w:type="dxa"/>
          <w:tcBorders>
            <w:top w:val="dotted" w:sz="4" w:space="0" w:color="808080"/>
            <w:left w:val="dotted" w:sz="4" w:space="0" w:color="808080"/>
            <w:bottom w:val="dotted" w:sz="4" w:space="0" w:color="808080"/>
          </w:tcBorders>
          <w:shd w:val="clear" w:color="auto" w:fill="auto"/>
        </w:tcPr>
        <w:p w14:paraId="1E3EFA1F" w14:textId="77777777" w:rsidR="00FF547A" w:rsidRPr="00080DA3" w:rsidRDefault="00FF547A" w:rsidP="00FF547A">
          <w:pPr>
            <w:pStyle w:val="Piedepgina"/>
            <w:jc w:val="center"/>
            <w:rPr>
              <w:rFonts w:ascii="Geomanist Light" w:hAnsi="Geomanist Light"/>
              <w:sz w:val="18"/>
              <w:szCs w:val="18"/>
            </w:rPr>
          </w:pPr>
          <w:r w:rsidRPr="00080DA3">
            <w:rPr>
              <w:rFonts w:ascii="Geomanist Light" w:hAnsi="Geomanist Light"/>
              <w:sz w:val="18"/>
              <w:szCs w:val="18"/>
            </w:rPr>
            <w:t>Versión:</w:t>
          </w:r>
        </w:p>
      </w:tc>
      <w:tc>
        <w:tcPr>
          <w:tcW w:w="678" w:type="dxa"/>
          <w:tcBorders>
            <w:top w:val="dotted" w:sz="4" w:space="0" w:color="808080"/>
            <w:bottom w:val="dotted" w:sz="4" w:space="0" w:color="808080"/>
            <w:right w:val="dotted" w:sz="4" w:space="0" w:color="808080"/>
          </w:tcBorders>
          <w:shd w:val="clear" w:color="auto" w:fill="auto"/>
        </w:tcPr>
        <w:p w14:paraId="710E3DC4" w14:textId="77777777" w:rsidR="00FF547A" w:rsidRPr="00080DA3" w:rsidRDefault="00FF547A" w:rsidP="00FF547A">
          <w:pPr>
            <w:pStyle w:val="Piedepgina"/>
            <w:jc w:val="center"/>
            <w:rPr>
              <w:rFonts w:ascii="Geomanist Light" w:hAnsi="Geomanist Light"/>
              <w:sz w:val="18"/>
              <w:szCs w:val="18"/>
            </w:rPr>
          </w:pPr>
          <w:r w:rsidRPr="00080DA3">
            <w:rPr>
              <w:rFonts w:ascii="Geomanist Light" w:hAnsi="Geomanist Light"/>
              <w:sz w:val="18"/>
              <w:szCs w:val="18"/>
            </w:rPr>
            <w:t>0</w:t>
          </w:r>
          <w:r>
            <w:rPr>
              <w:rFonts w:ascii="Geomanist Light" w:hAnsi="Geomanist Light"/>
              <w:sz w:val="18"/>
              <w:szCs w:val="18"/>
            </w:rPr>
            <w:t>1</w:t>
          </w:r>
        </w:p>
      </w:tc>
      <w:tc>
        <w:tcPr>
          <w:tcW w:w="844" w:type="dxa"/>
          <w:tcBorders>
            <w:top w:val="dotted" w:sz="4" w:space="0" w:color="808080"/>
            <w:left w:val="dotted" w:sz="4" w:space="0" w:color="808080"/>
            <w:bottom w:val="dotted" w:sz="4" w:space="0" w:color="808080"/>
          </w:tcBorders>
          <w:shd w:val="clear" w:color="auto" w:fill="auto"/>
        </w:tcPr>
        <w:p w14:paraId="4A64857C" w14:textId="77777777" w:rsidR="00FF547A" w:rsidRPr="00080DA3" w:rsidRDefault="00FF547A" w:rsidP="00FF547A">
          <w:pPr>
            <w:pStyle w:val="Piedepgina"/>
            <w:jc w:val="center"/>
            <w:rPr>
              <w:rFonts w:ascii="Geomanist Light" w:hAnsi="Geomanist Light"/>
              <w:sz w:val="18"/>
              <w:szCs w:val="18"/>
            </w:rPr>
          </w:pPr>
          <w:r w:rsidRPr="00080DA3">
            <w:rPr>
              <w:rFonts w:ascii="Geomanist Light" w:hAnsi="Geomanist Light"/>
              <w:sz w:val="18"/>
              <w:szCs w:val="18"/>
            </w:rPr>
            <w:t>Código:</w:t>
          </w:r>
        </w:p>
      </w:tc>
      <w:tc>
        <w:tcPr>
          <w:tcW w:w="1784" w:type="dxa"/>
          <w:tcBorders>
            <w:top w:val="dotted" w:sz="4" w:space="0" w:color="808080"/>
            <w:bottom w:val="dotted" w:sz="4" w:space="0" w:color="808080"/>
            <w:right w:val="dotted" w:sz="4" w:space="0" w:color="808080"/>
          </w:tcBorders>
          <w:shd w:val="clear" w:color="auto" w:fill="auto"/>
          <w:vAlign w:val="center"/>
        </w:tcPr>
        <w:p w14:paraId="0D61B480" w14:textId="77777777" w:rsidR="00FF547A" w:rsidRPr="004B6B0E" w:rsidRDefault="00FF547A" w:rsidP="00FF547A">
          <w:pPr>
            <w:pBdr>
              <w:top w:val="nil"/>
              <w:left w:val="nil"/>
              <w:bottom w:val="nil"/>
              <w:right w:val="nil"/>
              <w:between w:val="nil"/>
            </w:pBdr>
            <w:tabs>
              <w:tab w:val="center" w:pos="4419"/>
              <w:tab w:val="right" w:pos="8838"/>
              <w:tab w:val="center" w:pos="5400"/>
            </w:tabs>
            <w:jc w:val="center"/>
            <w:rPr>
              <w:rFonts w:ascii="Geomanist Bold" w:eastAsia="Geo" w:hAnsi="Geomanist Bold" w:cs="Geo"/>
              <w:b/>
              <w:color w:val="002060"/>
              <w:lang w:eastAsia="es-CO"/>
            </w:rPr>
          </w:pPr>
          <w:r w:rsidRPr="0000650B">
            <w:rPr>
              <w:rFonts w:ascii="Geomanist Light" w:eastAsia="Geo" w:hAnsi="Geomanist Light" w:cs="Geo"/>
              <w:b/>
              <w:color w:val="000000"/>
              <w:sz w:val="18"/>
              <w:szCs w:val="18"/>
              <w:lang w:eastAsia="es-CO"/>
            </w:rPr>
            <w:t>CCE-</w:t>
          </w:r>
          <w:r>
            <w:rPr>
              <w:rFonts w:ascii="Geomanist Light" w:eastAsia="Geo" w:hAnsi="Geomanist Light" w:cs="Geo"/>
              <w:b/>
              <w:color w:val="000000"/>
              <w:sz w:val="18"/>
              <w:szCs w:val="18"/>
              <w:lang w:eastAsia="es-CO"/>
            </w:rPr>
            <w:t>PQRSD</w:t>
          </w:r>
          <w:r w:rsidRPr="0000650B">
            <w:rPr>
              <w:rFonts w:ascii="Geomanist Light" w:eastAsia="Geo" w:hAnsi="Geomanist Light" w:cs="Geo"/>
              <w:b/>
              <w:color w:val="000000"/>
              <w:sz w:val="18"/>
              <w:szCs w:val="18"/>
              <w:lang w:eastAsia="es-CO"/>
            </w:rPr>
            <w:t>-</w:t>
          </w:r>
          <w:r>
            <w:rPr>
              <w:rFonts w:ascii="Geomanist Light" w:eastAsia="Geo" w:hAnsi="Geomanist Light" w:cs="Geo"/>
              <w:b/>
              <w:color w:val="000000"/>
              <w:sz w:val="18"/>
              <w:szCs w:val="18"/>
              <w:lang w:eastAsia="es-CO"/>
            </w:rPr>
            <w:t>FM</w:t>
          </w:r>
          <w:r w:rsidRPr="0000650B">
            <w:rPr>
              <w:rFonts w:ascii="Geomanist Light" w:eastAsia="Geo" w:hAnsi="Geomanist Light" w:cs="Geo"/>
              <w:b/>
              <w:color w:val="000000"/>
              <w:sz w:val="18"/>
              <w:szCs w:val="18"/>
              <w:lang w:eastAsia="es-CO"/>
            </w:rPr>
            <w:t>-</w:t>
          </w:r>
          <w:r>
            <w:rPr>
              <w:rFonts w:ascii="Geomanist Light" w:eastAsia="Geo" w:hAnsi="Geomanist Light" w:cs="Geo"/>
              <w:b/>
              <w:color w:val="000000"/>
              <w:sz w:val="18"/>
              <w:szCs w:val="18"/>
              <w:lang w:eastAsia="es-CO"/>
            </w:rPr>
            <w:t>08</w:t>
          </w:r>
        </w:p>
      </w:tc>
      <w:tc>
        <w:tcPr>
          <w:tcW w:w="720" w:type="dxa"/>
          <w:tcBorders>
            <w:top w:val="dotted" w:sz="4" w:space="0" w:color="808080"/>
            <w:left w:val="dotted" w:sz="4" w:space="0" w:color="808080"/>
            <w:bottom w:val="dotted" w:sz="4" w:space="0" w:color="808080"/>
          </w:tcBorders>
          <w:shd w:val="clear" w:color="auto" w:fill="auto"/>
        </w:tcPr>
        <w:p w14:paraId="78564CCB" w14:textId="77777777" w:rsidR="00FF547A" w:rsidRPr="00080DA3" w:rsidRDefault="00FF547A" w:rsidP="00FF547A">
          <w:pPr>
            <w:pStyle w:val="Piedepgina"/>
            <w:jc w:val="center"/>
            <w:rPr>
              <w:rFonts w:ascii="Geomanist Light" w:hAnsi="Geomanist Light"/>
              <w:sz w:val="18"/>
              <w:szCs w:val="18"/>
            </w:rPr>
          </w:pPr>
          <w:r w:rsidRPr="00080DA3">
            <w:rPr>
              <w:rFonts w:ascii="Geomanist Light" w:hAnsi="Geomanist Light"/>
              <w:sz w:val="18"/>
              <w:szCs w:val="18"/>
            </w:rPr>
            <w:t>Fecha:</w:t>
          </w:r>
        </w:p>
      </w:tc>
      <w:tc>
        <w:tcPr>
          <w:tcW w:w="2818" w:type="dxa"/>
          <w:tcBorders>
            <w:top w:val="dotted" w:sz="4" w:space="0" w:color="808080"/>
            <w:bottom w:val="dotted" w:sz="4" w:space="0" w:color="808080"/>
            <w:right w:val="dotted" w:sz="4" w:space="0" w:color="808080"/>
          </w:tcBorders>
          <w:shd w:val="clear" w:color="auto" w:fill="auto"/>
        </w:tcPr>
        <w:p w14:paraId="21CCEDBA" w14:textId="77777777" w:rsidR="00FF547A" w:rsidRPr="00080DA3" w:rsidRDefault="00FF547A" w:rsidP="00FF547A">
          <w:pPr>
            <w:pStyle w:val="Piedepgina"/>
            <w:jc w:val="center"/>
            <w:rPr>
              <w:rFonts w:ascii="Geomanist Light" w:hAnsi="Geomanist Light"/>
              <w:sz w:val="18"/>
              <w:szCs w:val="18"/>
            </w:rPr>
          </w:pPr>
          <w:r>
            <w:rPr>
              <w:rFonts w:ascii="Geomanist Light" w:hAnsi="Geomanist Light"/>
              <w:sz w:val="18"/>
              <w:szCs w:val="18"/>
            </w:rPr>
            <w:t>30</w:t>
          </w:r>
          <w:r w:rsidRPr="00080DA3">
            <w:rPr>
              <w:rFonts w:ascii="Geomanist Light" w:hAnsi="Geomanist Light"/>
              <w:sz w:val="18"/>
              <w:szCs w:val="18"/>
            </w:rPr>
            <w:t xml:space="preserve"> de </w:t>
          </w:r>
          <w:r>
            <w:rPr>
              <w:rFonts w:ascii="Geomanist Light" w:hAnsi="Geomanist Light"/>
              <w:sz w:val="18"/>
              <w:szCs w:val="18"/>
            </w:rPr>
            <w:t>agosto</w:t>
          </w:r>
          <w:r w:rsidRPr="00080DA3">
            <w:rPr>
              <w:rFonts w:ascii="Geomanist Light" w:hAnsi="Geomanist Light"/>
              <w:sz w:val="18"/>
              <w:szCs w:val="18"/>
            </w:rPr>
            <w:t xml:space="preserve"> de 202</w:t>
          </w:r>
          <w:r>
            <w:rPr>
              <w:rFonts w:ascii="Geomanist Light" w:hAnsi="Geomanist Light"/>
              <w:sz w:val="18"/>
              <w:szCs w:val="18"/>
            </w:rPr>
            <w:t>2</w:t>
          </w:r>
        </w:p>
      </w:tc>
      <w:tc>
        <w:tcPr>
          <w:tcW w:w="1527" w:type="dxa"/>
          <w:tcBorders>
            <w:top w:val="dotted" w:sz="4" w:space="0" w:color="808080"/>
            <w:left w:val="dotted" w:sz="4" w:space="0" w:color="808080"/>
            <w:bottom w:val="dotted" w:sz="4" w:space="0" w:color="808080"/>
            <w:right w:val="dotted" w:sz="4" w:space="0" w:color="808080"/>
          </w:tcBorders>
          <w:shd w:val="clear" w:color="auto" w:fill="auto"/>
        </w:tcPr>
        <w:p w14:paraId="4DC8B44A" w14:textId="77777777" w:rsidR="00FF547A" w:rsidRPr="00080DA3" w:rsidRDefault="00FF547A" w:rsidP="00FF547A">
          <w:pPr>
            <w:pStyle w:val="Piedepgina"/>
            <w:jc w:val="center"/>
            <w:rPr>
              <w:rFonts w:ascii="Geomanist Light" w:hAnsi="Geomanist Light"/>
              <w:sz w:val="18"/>
              <w:szCs w:val="18"/>
            </w:rPr>
          </w:pPr>
          <w:r w:rsidRPr="00080DA3">
            <w:rPr>
              <w:rFonts w:ascii="Geomanist Light" w:hAnsi="Geomanist Light"/>
              <w:sz w:val="18"/>
              <w:szCs w:val="18"/>
            </w:rPr>
            <w:t xml:space="preserve">Página </w:t>
          </w:r>
          <w:r w:rsidRPr="00080DA3">
            <w:rPr>
              <w:rFonts w:ascii="Geomanist Light" w:hAnsi="Geomanist Light"/>
              <w:b/>
              <w:bCs/>
              <w:sz w:val="18"/>
              <w:szCs w:val="18"/>
            </w:rPr>
            <w:fldChar w:fldCharType="begin"/>
          </w:r>
          <w:r w:rsidRPr="00080DA3">
            <w:rPr>
              <w:rFonts w:ascii="Geomanist Light" w:hAnsi="Geomanist Light"/>
              <w:b/>
              <w:bCs/>
              <w:sz w:val="18"/>
              <w:szCs w:val="18"/>
            </w:rPr>
            <w:instrText>PAGE  \* Arabic  \* MERGEFORMAT</w:instrText>
          </w:r>
          <w:r w:rsidRPr="00080DA3">
            <w:rPr>
              <w:rFonts w:ascii="Geomanist Light" w:hAnsi="Geomanist Light"/>
              <w:b/>
              <w:bCs/>
              <w:sz w:val="18"/>
              <w:szCs w:val="18"/>
            </w:rPr>
            <w:fldChar w:fldCharType="separate"/>
          </w:r>
          <w:r w:rsidR="008F4671">
            <w:rPr>
              <w:rFonts w:ascii="Geomanist Light" w:hAnsi="Geomanist Light"/>
              <w:b/>
              <w:bCs/>
              <w:noProof/>
              <w:sz w:val="18"/>
              <w:szCs w:val="18"/>
            </w:rPr>
            <w:t>15</w:t>
          </w:r>
          <w:r w:rsidRPr="00080DA3">
            <w:rPr>
              <w:rFonts w:ascii="Geomanist Light" w:hAnsi="Geomanist Light"/>
              <w:b/>
              <w:bCs/>
              <w:sz w:val="18"/>
              <w:szCs w:val="18"/>
            </w:rPr>
            <w:fldChar w:fldCharType="end"/>
          </w:r>
          <w:r w:rsidRPr="00080DA3">
            <w:rPr>
              <w:rFonts w:ascii="Geomanist Light" w:hAnsi="Geomanist Light"/>
              <w:sz w:val="18"/>
              <w:szCs w:val="18"/>
            </w:rPr>
            <w:t xml:space="preserve"> de </w:t>
          </w:r>
          <w:r w:rsidRPr="00080DA3">
            <w:rPr>
              <w:rFonts w:ascii="Geomanist Light" w:hAnsi="Geomanist Light"/>
              <w:b/>
              <w:bCs/>
              <w:sz w:val="18"/>
              <w:szCs w:val="18"/>
            </w:rPr>
            <w:fldChar w:fldCharType="begin"/>
          </w:r>
          <w:r w:rsidRPr="00080DA3">
            <w:rPr>
              <w:rFonts w:ascii="Geomanist Light" w:hAnsi="Geomanist Light"/>
              <w:b/>
              <w:bCs/>
              <w:sz w:val="18"/>
              <w:szCs w:val="18"/>
            </w:rPr>
            <w:instrText>NUMPAGES  \* Arabic  \* MERGEFORMAT</w:instrText>
          </w:r>
          <w:r w:rsidRPr="00080DA3">
            <w:rPr>
              <w:rFonts w:ascii="Geomanist Light" w:hAnsi="Geomanist Light"/>
              <w:b/>
              <w:bCs/>
              <w:sz w:val="18"/>
              <w:szCs w:val="18"/>
            </w:rPr>
            <w:fldChar w:fldCharType="separate"/>
          </w:r>
          <w:r w:rsidR="008F4671">
            <w:rPr>
              <w:rFonts w:ascii="Geomanist Light" w:hAnsi="Geomanist Light"/>
              <w:b/>
              <w:bCs/>
              <w:noProof/>
              <w:sz w:val="18"/>
              <w:szCs w:val="18"/>
            </w:rPr>
            <w:t>15</w:t>
          </w:r>
          <w:r w:rsidRPr="00080DA3">
            <w:rPr>
              <w:rFonts w:ascii="Geomanist Light" w:hAnsi="Geomanist Light"/>
              <w:b/>
              <w:bCs/>
              <w:sz w:val="18"/>
              <w:szCs w:val="18"/>
            </w:rPr>
            <w:fldChar w:fldCharType="end"/>
          </w:r>
        </w:p>
      </w:tc>
    </w:tr>
  </w:tbl>
  <w:p w14:paraId="0A9DFE46" w14:textId="77777777" w:rsidR="00FF547A" w:rsidRDefault="00FF547A" w:rsidP="00FF547A">
    <w:pPr>
      <w:pStyle w:val="Piedepgina"/>
      <w:jc w:val="center"/>
    </w:pPr>
  </w:p>
  <w:p w14:paraId="1CBE747A" w14:textId="77777777" w:rsidR="00D81E5B" w:rsidRPr="00E756AC" w:rsidRDefault="00D81E5B" w:rsidP="00FF547A">
    <w:pPr>
      <w:pStyle w:val="Sinespaciado"/>
      <w:jc w:val="right"/>
      <w:rPr>
        <w:sz w:val="18"/>
        <w:szCs w:val="18"/>
        <w:lang w:val="es-E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B4FF2B" w14:textId="77777777" w:rsidR="007533A6" w:rsidRDefault="007533A6" w:rsidP="003C7067">
      <w:r>
        <w:separator/>
      </w:r>
    </w:p>
  </w:footnote>
  <w:footnote w:type="continuationSeparator" w:id="0">
    <w:p w14:paraId="1FB6C3AD" w14:textId="77777777" w:rsidR="007533A6" w:rsidRDefault="007533A6" w:rsidP="003C7067">
      <w:r>
        <w:continuationSeparator/>
      </w:r>
    </w:p>
  </w:footnote>
  <w:footnote w:id="1">
    <w:p w14:paraId="07786DB1" w14:textId="77777777" w:rsidR="008F4671" w:rsidRPr="00AF0D6E" w:rsidRDefault="008F4671" w:rsidP="005874B6">
      <w:pPr>
        <w:pStyle w:val="Textonotapie"/>
        <w:ind w:firstLine="708"/>
        <w:jc w:val="both"/>
        <w:rPr>
          <w:rFonts w:ascii="Geomanist Light" w:hAnsi="Geomanist Light" w:cs="Arial"/>
          <w:sz w:val="19"/>
          <w:szCs w:val="19"/>
          <w:lang w:val="es-ES"/>
        </w:rPr>
      </w:pPr>
      <w:r w:rsidRPr="00AF0D6E">
        <w:rPr>
          <w:rStyle w:val="Refdenotaalpie"/>
          <w:rFonts w:ascii="Geomanist Light" w:hAnsi="Geomanist Light" w:cs="Arial"/>
          <w:sz w:val="19"/>
          <w:szCs w:val="19"/>
        </w:rPr>
        <w:footnoteRef/>
      </w:r>
      <w:r w:rsidRPr="00AF0D6E">
        <w:rPr>
          <w:rFonts w:ascii="Geomanist Light" w:hAnsi="Geomanist Light" w:cs="Arial"/>
          <w:sz w:val="19"/>
          <w:szCs w:val="19"/>
        </w:rPr>
        <w:t xml:space="preserve"> La Agencia Nacional de Contratación Pública </w:t>
      </w:r>
      <w:r w:rsidRPr="00AF0D6E">
        <w:rPr>
          <w:rFonts w:ascii="Courier New" w:hAnsi="Courier New" w:cs="Courier New"/>
          <w:sz w:val="19"/>
          <w:szCs w:val="19"/>
        </w:rPr>
        <w:t>‒</w:t>
      </w:r>
      <w:r w:rsidRPr="00AF0D6E">
        <w:rPr>
          <w:rFonts w:ascii="Geomanist Light" w:hAnsi="Geomanist Light" w:cs="Arial"/>
          <w:sz w:val="19"/>
          <w:szCs w:val="19"/>
        </w:rPr>
        <w:t xml:space="preserve"> Colombia Compra Eficiente fue creada por el Decreto Ley 4170 de 2011. Su objetivo es servir como ente rector de la pol</w:t>
      </w:r>
      <w:r w:rsidRPr="00AF0D6E">
        <w:rPr>
          <w:rFonts w:ascii="Geomanist Light" w:hAnsi="Geomanist Light" w:cs="Geomanist Light"/>
          <w:sz w:val="19"/>
          <w:szCs w:val="19"/>
        </w:rPr>
        <w:t>í</w:t>
      </w:r>
      <w:r w:rsidRPr="00AF0D6E">
        <w:rPr>
          <w:rFonts w:ascii="Geomanist Light" w:hAnsi="Geomanist Light" w:cs="Arial"/>
          <w:sz w:val="19"/>
          <w:szCs w:val="19"/>
        </w:rPr>
        <w:t>tica de compras y contrataci</w:t>
      </w:r>
      <w:r w:rsidRPr="00AF0D6E">
        <w:rPr>
          <w:rFonts w:ascii="Geomanist Light" w:hAnsi="Geomanist Light" w:cs="Geomanist Light"/>
          <w:sz w:val="19"/>
          <w:szCs w:val="19"/>
        </w:rPr>
        <w:t>ó</w:t>
      </w:r>
      <w:r w:rsidRPr="00AF0D6E">
        <w:rPr>
          <w:rFonts w:ascii="Geomanist Light" w:hAnsi="Geomanist Light" w:cs="Arial"/>
          <w:sz w:val="19"/>
          <w:szCs w:val="19"/>
        </w:rPr>
        <w:t xml:space="preserve">n del Estado. Para tales fines, como </w:t>
      </w:r>
      <w:r w:rsidRPr="00AF0D6E">
        <w:rPr>
          <w:rFonts w:ascii="Geomanist Light" w:hAnsi="Geomanist Light" w:cs="Geomanist Light"/>
          <w:sz w:val="19"/>
          <w:szCs w:val="19"/>
        </w:rPr>
        <w:t>ó</w:t>
      </w:r>
      <w:r w:rsidRPr="00AF0D6E">
        <w:rPr>
          <w:rFonts w:ascii="Geomanist Light" w:hAnsi="Geomanist Light" w:cs="Arial"/>
          <w:sz w:val="19"/>
          <w:szCs w:val="19"/>
        </w:rPr>
        <w:t>rgano t</w:t>
      </w:r>
      <w:r w:rsidRPr="00AF0D6E">
        <w:rPr>
          <w:rFonts w:ascii="Geomanist Light" w:hAnsi="Geomanist Light" w:cs="Geomanist Light"/>
          <w:sz w:val="19"/>
          <w:szCs w:val="19"/>
        </w:rPr>
        <w:t>é</w:t>
      </w:r>
      <w:r w:rsidRPr="00AF0D6E">
        <w:rPr>
          <w:rFonts w:ascii="Geomanist Light" w:hAnsi="Geomanist Light" w:cs="Arial"/>
          <w:sz w:val="19"/>
          <w:szCs w:val="19"/>
        </w:rPr>
        <w:t xml:space="preserve">cnico especializado, le corresponde formular políticas públicas y normas y unificar los procesos de contratación estatal, con el fin de lograr una mayor eficiencia, transparencia y optimización de los recursos del Estado. El artículo 3 </w:t>
      </w:r>
      <w:r w:rsidRPr="00AF0D6E">
        <w:rPr>
          <w:rFonts w:ascii="Geomanist Light" w:hAnsi="Geomanist Light" w:cs="Arial"/>
          <w:i/>
          <w:iCs/>
          <w:sz w:val="19"/>
          <w:szCs w:val="19"/>
        </w:rPr>
        <w:t xml:space="preserve">ibídem </w:t>
      </w:r>
      <w:r w:rsidRPr="00AF0D6E">
        <w:rPr>
          <w:rFonts w:ascii="Geomanist Light" w:hAnsi="Geomanist Light" w:cs="Arial"/>
          <w:sz w:val="19"/>
          <w:szCs w:val="19"/>
        </w:rPr>
        <w:t>señala, de manera precisa, las funciones de Colombia Compra Eficiente. Concretamente, el numeral 5º de este artículo establece que le corresponde a esta entidad: «[a]bsolver consultas sobre la aplicación de normas de carácter general y expedir circulares externas en materia de compras y contratación pública». Seguidamente, el numeral 8º del artículo 11 ibídem señala que es función de la Subdirección de Gestión Contractual: «[a]bsolver consultas sobre la aplicación de normas de carácter general».</w:t>
      </w:r>
    </w:p>
  </w:footnote>
  <w:footnote w:id="2">
    <w:p w14:paraId="17AABB86" w14:textId="77777777" w:rsidR="008F4671" w:rsidRPr="00AF0D6E" w:rsidRDefault="008F4671" w:rsidP="005874B6">
      <w:pPr>
        <w:pStyle w:val="Textonotapie"/>
        <w:ind w:firstLine="709"/>
        <w:jc w:val="both"/>
        <w:rPr>
          <w:rFonts w:ascii="Geomanist Light" w:hAnsi="Geomanist Light" w:cs="Arial"/>
          <w:sz w:val="19"/>
          <w:szCs w:val="19"/>
          <w:lang w:val="es-CO"/>
        </w:rPr>
      </w:pPr>
      <w:r w:rsidRPr="00AF0D6E">
        <w:rPr>
          <w:rStyle w:val="Refdenotaalpie"/>
          <w:rFonts w:ascii="Geomanist Light" w:hAnsi="Geomanist Light" w:cs="Arial"/>
          <w:sz w:val="19"/>
          <w:szCs w:val="19"/>
        </w:rPr>
        <w:footnoteRef/>
      </w:r>
      <w:r w:rsidRPr="00AF0D6E">
        <w:rPr>
          <w:rFonts w:ascii="Geomanist Light" w:hAnsi="Geomanist Light" w:cs="Arial"/>
          <w:sz w:val="19"/>
          <w:szCs w:val="19"/>
        </w:rPr>
        <w:t xml:space="preserve"> </w:t>
      </w:r>
      <w:r w:rsidRPr="00AF0D6E">
        <w:rPr>
          <w:rFonts w:ascii="Geomanist Light" w:hAnsi="Geomanist Light" w:cs="Arial"/>
          <w:sz w:val="19"/>
          <w:szCs w:val="19"/>
          <w:lang w:val="es-CO"/>
        </w:rPr>
        <w:t xml:space="preserve">El listado de actividades deberá validarse en la Matriz 1, de conformidad con la exigencia definidas para proyectos de complejidad técnica baja-media o para proyectos de complejidad técnica alta. </w:t>
      </w:r>
    </w:p>
  </w:footnote>
  <w:footnote w:id="3">
    <w:p w14:paraId="0BE8BE6D" w14:textId="77777777" w:rsidR="008F4671" w:rsidRPr="00AF0D6E" w:rsidRDefault="008F4671" w:rsidP="005874B6">
      <w:pPr>
        <w:pStyle w:val="Textonotapie"/>
        <w:ind w:firstLine="709"/>
        <w:jc w:val="both"/>
        <w:rPr>
          <w:rFonts w:ascii="Geomanist Light" w:hAnsi="Geomanist Light" w:cs="Arial"/>
          <w:sz w:val="19"/>
          <w:szCs w:val="19"/>
        </w:rPr>
      </w:pPr>
      <w:r w:rsidRPr="00AF0D6E">
        <w:rPr>
          <w:rStyle w:val="Refdenotaalpie"/>
          <w:rFonts w:ascii="Geomanist Light" w:hAnsi="Geomanist Light" w:cs="Arial"/>
          <w:sz w:val="19"/>
          <w:szCs w:val="19"/>
        </w:rPr>
        <w:footnoteRef/>
      </w:r>
      <w:r w:rsidRPr="00AF0D6E">
        <w:rPr>
          <w:rFonts w:ascii="Geomanist Light" w:hAnsi="Geomanist Light" w:cs="Arial"/>
          <w:sz w:val="19"/>
          <w:szCs w:val="19"/>
        </w:rPr>
        <w:t xml:space="preserve"> De acuerdo con lo previsto en el documento base o pliego tipo, en el literal A del numeral 3.5.2 del respectivo pliego </w:t>
      </w:r>
      <w:r w:rsidRPr="00AF0D6E">
        <w:rPr>
          <w:rFonts w:ascii="Geomanist Light" w:hAnsi="Geomanist Light" w:cs="Arial"/>
          <w:sz w:val="19"/>
          <w:szCs w:val="19"/>
          <w:lang w:val="es-CO"/>
        </w:rPr>
        <w:t>«</w:t>
      </w:r>
      <w:r w:rsidRPr="00AF0D6E">
        <w:rPr>
          <w:rFonts w:ascii="Geomanist Light" w:hAnsi="Geomanist Light" w:cs="Arial"/>
          <w:sz w:val="19"/>
          <w:szCs w:val="19"/>
        </w:rPr>
        <w:t xml:space="preserve">la entidad debe incluir, sin modificar, la actividad o actividades válidas para acreditar la experiencia general y específica, señaladas en la Matriz 1 – Experiencia. Para definir la experiencia exigible, la entidad estatal debe tener en cuenta, como lo dispone la Matriz 1: i) el alcance del objeto a contratar, ii) el tipo de infraestructura, iii) las actividades definidas allí y iv) la cuantía del proceso de contratación. </w:t>
      </w:r>
    </w:p>
    <w:p w14:paraId="364B02AD" w14:textId="2B6946D6" w:rsidR="008F4671" w:rsidRPr="00AF0D6E" w:rsidRDefault="004C33B8" w:rsidP="005874B6">
      <w:pPr>
        <w:pStyle w:val="Textonotapie"/>
        <w:ind w:firstLine="709"/>
        <w:jc w:val="both"/>
        <w:rPr>
          <w:rFonts w:ascii="Geomanist Light" w:hAnsi="Geomanist Light" w:cs="Arial"/>
          <w:sz w:val="19"/>
          <w:szCs w:val="19"/>
        </w:rPr>
      </w:pPr>
      <w:r>
        <w:rPr>
          <w:rFonts w:ascii="Geomanist Light" w:hAnsi="Geomanist Light" w:cs="Arial"/>
          <w:sz w:val="19"/>
          <w:szCs w:val="19"/>
        </w:rPr>
        <w:t>»</w:t>
      </w:r>
      <w:r w:rsidR="008F4671" w:rsidRPr="00AF0D6E">
        <w:rPr>
          <w:rFonts w:ascii="Geomanist Light" w:hAnsi="Geomanist Light" w:cs="Arial"/>
          <w:sz w:val="19"/>
          <w:szCs w:val="19"/>
        </w:rPr>
        <w:t>De conformidad con lo anterior, la entidad debe diligenciar este literal, exclusivamente, con lo señalado en la Matriz 1- Experiencia, sin realizar modificación alguna a los requisitos de experiencia general, específica y los % de dimensionamiento, lo cual implicaría la alteración del documento tipo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7F70B2" w14:textId="77777777" w:rsidR="00FF547A" w:rsidRPr="003F58A1" w:rsidRDefault="00FF547A" w:rsidP="00FF547A">
    <w:pPr>
      <w:rPr>
        <w:rFonts w:ascii="Geomanist Bold" w:hAnsi="Geomanist Bold"/>
        <w:color w:val="002060"/>
      </w:rPr>
    </w:pPr>
    <w:r w:rsidRPr="008614E5">
      <w:rPr>
        <w:rFonts w:eastAsia="Arial Nova" w:cs="Arial Nova"/>
        <w:noProof/>
        <w:lang w:val="es-CO" w:eastAsia="es-CO"/>
      </w:rPr>
      <w:drawing>
        <wp:anchor distT="0" distB="0" distL="0" distR="0" simplePos="0" relativeHeight="251659264" behindDoc="1" locked="0" layoutInCell="1" hidden="0" allowOverlap="1" wp14:anchorId="5874DB57" wp14:editId="160F8ED8">
          <wp:simplePos x="0" y="0"/>
          <wp:positionH relativeFrom="margin">
            <wp:align>right</wp:align>
          </wp:positionH>
          <wp:positionV relativeFrom="paragraph">
            <wp:posOffset>6985</wp:posOffset>
          </wp:positionV>
          <wp:extent cx="1657350" cy="676275"/>
          <wp:effectExtent l="0" t="0" r="0" b="9525"/>
          <wp:wrapNone/>
          <wp:docPr id="25" name="image3.png" descr="Icon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3.png" descr="Icono&#10;&#10;Descripción generada automáticamente"/>
                  <pic:cNvPicPr preferRelativeResize="0"/>
                </pic:nvPicPr>
                <pic:blipFill>
                  <a:blip r:embed="rId1"/>
                  <a:srcRect/>
                  <a:stretch>
                    <a:fillRect/>
                  </a:stretch>
                </pic:blipFill>
                <pic:spPr>
                  <a:xfrm>
                    <a:off x="0" y="0"/>
                    <a:ext cx="1657350" cy="676275"/>
                  </a:xfrm>
                  <a:prstGeom prst="rect">
                    <a:avLst/>
                  </a:prstGeom>
                  <a:ln/>
                </pic:spPr>
              </pic:pic>
            </a:graphicData>
          </a:graphic>
          <wp14:sizeRelH relativeFrom="margin">
            <wp14:pctWidth>0</wp14:pctWidth>
          </wp14:sizeRelH>
          <wp14:sizeRelV relativeFrom="margin">
            <wp14:pctHeight>0</wp14:pctHeight>
          </wp14:sizeRelV>
        </wp:anchor>
      </w:drawing>
    </w:r>
    <w:r w:rsidRPr="008614E5">
      <w:rPr>
        <w:rFonts w:ascii="Geomanist Bold" w:hAnsi="Geomanist Bold"/>
        <w:color w:val="002060"/>
      </w:rPr>
      <w:t xml:space="preserve">FORMATO PQRSD </w:t>
    </w:r>
  </w:p>
  <w:tbl>
    <w:tblPr>
      <w:tblW w:w="9404" w:type="dxa"/>
      <w:tblBorders>
        <w:top w:val="nil"/>
        <w:left w:val="nil"/>
        <w:bottom w:val="nil"/>
        <w:right w:val="nil"/>
        <w:insideH w:val="nil"/>
        <w:insideV w:val="nil"/>
      </w:tblBorders>
      <w:tblLayout w:type="fixed"/>
      <w:tblLook w:val="0400" w:firstRow="0" w:lastRow="0" w:firstColumn="0" w:lastColumn="0" w:noHBand="0" w:noVBand="1"/>
    </w:tblPr>
    <w:tblGrid>
      <w:gridCol w:w="6756"/>
      <w:gridCol w:w="1324"/>
      <w:gridCol w:w="1324"/>
    </w:tblGrid>
    <w:tr w:rsidR="00FF547A" w:rsidRPr="00367110" w14:paraId="5ED9DEE1" w14:textId="77777777" w:rsidTr="005C12A3">
      <w:tc>
        <w:tcPr>
          <w:tcW w:w="6756" w:type="dxa"/>
        </w:tcPr>
        <w:p w14:paraId="0A134E09" w14:textId="77777777" w:rsidR="00FF547A" w:rsidRPr="006478E3" w:rsidRDefault="00FF547A" w:rsidP="00FF547A">
          <w:pPr>
            <w:pBdr>
              <w:top w:val="nil"/>
              <w:left w:val="nil"/>
              <w:bottom w:val="nil"/>
              <w:right w:val="nil"/>
              <w:between w:val="nil"/>
            </w:pBdr>
            <w:tabs>
              <w:tab w:val="center" w:pos="4419"/>
              <w:tab w:val="right" w:pos="8838"/>
              <w:tab w:val="center" w:pos="5400"/>
            </w:tabs>
            <w:rPr>
              <w:rFonts w:ascii="Geomanist Bold" w:eastAsia="Geo" w:hAnsi="Geomanist Bold" w:cs="Geo"/>
              <w:b/>
              <w:color w:val="002060"/>
              <w:lang w:eastAsia="es-CO"/>
            </w:rPr>
          </w:pPr>
          <w:r w:rsidRPr="006478E3">
            <w:rPr>
              <w:rFonts w:ascii="Geomanist Bold" w:eastAsia="Geo" w:hAnsi="Geomanist Bold" w:cs="Geo"/>
              <w:b/>
              <w:color w:val="000000"/>
              <w:sz w:val="20"/>
              <w:szCs w:val="20"/>
              <w:lang w:eastAsia="es-CO"/>
            </w:rPr>
            <w:t>Código</w:t>
          </w:r>
          <w:r>
            <w:rPr>
              <w:rFonts w:ascii="Geomanist Bold" w:eastAsia="Geo" w:hAnsi="Geomanist Bold" w:cs="Geo"/>
              <w:b/>
              <w:color w:val="000000"/>
              <w:sz w:val="20"/>
              <w:szCs w:val="20"/>
              <w:lang w:eastAsia="es-CO"/>
            </w:rPr>
            <w:t xml:space="preserve">: </w:t>
          </w:r>
          <w:r w:rsidRPr="0000650B">
            <w:rPr>
              <w:rFonts w:ascii="Geomanist Light" w:eastAsia="Geo" w:hAnsi="Geomanist Light" w:cs="Geo"/>
              <w:b/>
              <w:color w:val="000000"/>
              <w:sz w:val="18"/>
              <w:szCs w:val="18"/>
              <w:lang w:eastAsia="es-CO"/>
            </w:rPr>
            <w:t>CCE-</w:t>
          </w:r>
          <w:r>
            <w:rPr>
              <w:rFonts w:ascii="Geomanist Light" w:eastAsia="Geo" w:hAnsi="Geomanist Light" w:cs="Geo"/>
              <w:b/>
              <w:color w:val="000000"/>
              <w:sz w:val="18"/>
              <w:szCs w:val="18"/>
              <w:lang w:eastAsia="es-CO"/>
            </w:rPr>
            <w:t>PQRSD</w:t>
          </w:r>
          <w:r w:rsidRPr="0000650B">
            <w:rPr>
              <w:rFonts w:ascii="Geomanist Light" w:eastAsia="Geo" w:hAnsi="Geomanist Light" w:cs="Geo"/>
              <w:b/>
              <w:color w:val="000000"/>
              <w:sz w:val="18"/>
              <w:szCs w:val="18"/>
              <w:lang w:eastAsia="es-CO"/>
            </w:rPr>
            <w:t>-</w:t>
          </w:r>
          <w:r>
            <w:rPr>
              <w:rFonts w:ascii="Geomanist Light" w:eastAsia="Geo" w:hAnsi="Geomanist Light" w:cs="Geo"/>
              <w:b/>
              <w:color w:val="000000"/>
              <w:sz w:val="18"/>
              <w:szCs w:val="18"/>
              <w:lang w:eastAsia="es-CO"/>
            </w:rPr>
            <w:t>FM</w:t>
          </w:r>
          <w:r w:rsidRPr="0000650B">
            <w:rPr>
              <w:rFonts w:ascii="Geomanist Light" w:eastAsia="Geo" w:hAnsi="Geomanist Light" w:cs="Geo"/>
              <w:b/>
              <w:color w:val="000000"/>
              <w:sz w:val="18"/>
              <w:szCs w:val="18"/>
              <w:lang w:eastAsia="es-CO"/>
            </w:rPr>
            <w:t>-</w:t>
          </w:r>
          <w:r>
            <w:rPr>
              <w:rFonts w:ascii="Geomanist Light" w:eastAsia="Geo" w:hAnsi="Geomanist Light" w:cs="Geo"/>
              <w:b/>
              <w:color w:val="000000"/>
              <w:sz w:val="18"/>
              <w:szCs w:val="18"/>
              <w:lang w:eastAsia="es-CO"/>
            </w:rPr>
            <w:t>08</w:t>
          </w:r>
        </w:p>
        <w:p w14:paraId="21A55BEE" w14:textId="77777777" w:rsidR="00FF547A" w:rsidRPr="0057618A" w:rsidRDefault="00FF547A" w:rsidP="00FF547A">
          <w:pPr>
            <w:pBdr>
              <w:top w:val="nil"/>
              <w:left w:val="nil"/>
              <w:bottom w:val="nil"/>
              <w:right w:val="nil"/>
              <w:between w:val="nil"/>
            </w:pBdr>
            <w:tabs>
              <w:tab w:val="center" w:pos="4419"/>
              <w:tab w:val="right" w:pos="8838"/>
              <w:tab w:val="center" w:pos="5400"/>
            </w:tabs>
            <w:rPr>
              <w:rFonts w:eastAsia="Arial Nova" w:cs="Arial Nova"/>
              <w:color w:val="000000"/>
              <w:sz w:val="18"/>
              <w:szCs w:val="18"/>
              <w:lang w:eastAsia="es-CO"/>
            </w:rPr>
          </w:pPr>
          <w:r w:rsidRPr="006478E3">
            <w:rPr>
              <w:rFonts w:ascii="Geomanist Bold" w:eastAsia="Geo" w:hAnsi="Geomanist Bold" w:cs="Geo"/>
              <w:b/>
              <w:color w:val="000000"/>
              <w:sz w:val="20"/>
              <w:szCs w:val="20"/>
              <w:lang w:eastAsia="es-CO"/>
            </w:rPr>
            <w:t>Versión</w:t>
          </w:r>
          <w:r>
            <w:rPr>
              <w:rFonts w:ascii="Geomanist Bold" w:eastAsia="Arial Nova" w:hAnsi="Geomanist Bold" w:cs="Arial Nova"/>
              <w:b/>
              <w:color w:val="000000"/>
              <w:sz w:val="20"/>
              <w:szCs w:val="20"/>
              <w:lang w:eastAsia="es-CO"/>
            </w:rPr>
            <w:t xml:space="preserve">: </w:t>
          </w:r>
          <w:r w:rsidRPr="0000650B">
            <w:rPr>
              <w:rFonts w:ascii="Geomanist Light" w:eastAsia="Geo" w:hAnsi="Geomanist Light" w:cs="Geo"/>
              <w:sz w:val="18"/>
              <w:szCs w:val="18"/>
              <w:lang w:eastAsia="es-CO"/>
            </w:rPr>
            <w:t xml:space="preserve">01 DEL </w:t>
          </w:r>
          <w:r>
            <w:rPr>
              <w:rFonts w:ascii="Geomanist Light" w:eastAsia="Geo" w:hAnsi="Geomanist Light" w:cs="Geo"/>
              <w:sz w:val="18"/>
              <w:szCs w:val="18"/>
              <w:lang w:eastAsia="es-CO"/>
            </w:rPr>
            <w:t>30 DE AGOSTO DE 2022</w:t>
          </w:r>
        </w:p>
      </w:tc>
      <w:tc>
        <w:tcPr>
          <w:tcW w:w="1324" w:type="dxa"/>
        </w:tcPr>
        <w:p w14:paraId="5FC476D3" w14:textId="77777777" w:rsidR="00FF547A" w:rsidRPr="00367110" w:rsidRDefault="00FF547A" w:rsidP="00FF547A">
          <w:pPr>
            <w:jc w:val="right"/>
            <w:rPr>
              <w:rFonts w:eastAsia="Arial Nova" w:cs="Arial Nova"/>
              <w:lang w:eastAsia="es-CO"/>
            </w:rPr>
          </w:pPr>
        </w:p>
      </w:tc>
      <w:tc>
        <w:tcPr>
          <w:tcW w:w="1324" w:type="dxa"/>
        </w:tcPr>
        <w:p w14:paraId="0F0F73CB" w14:textId="77777777" w:rsidR="00FF547A" w:rsidRPr="00367110" w:rsidRDefault="00FF547A" w:rsidP="00FF547A">
          <w:pPr>
            <w:jc w:val="right"/>
            <w:rPr>
              <w:rFonts w:eastAsia="Arial Nova" w:cs="Arial Nova"/>
              <w:lang w:eastAsia="es-CO"/>
            </w:rPr>
          </w:pPr>
        </w:p>
      </w:tc>
    </w:tr>
  </w:tbl>
  <w:p w14:paraId="6748370D" w14:textId="77777777" w:rsidR="00FF547A" w:rsidRPr="00460695" w:rsidRDefault="00FF547A" w:rsidP="00FF547A">
    <w:pPr>
      <w:pStyle w:val="Encabezado"/>
      <w:ind w:left="3545" w:firstLine="709"/>
      <w:rPr>
        <w:b/>
        <w:bCs/>
        <w:color w:val="9BBB59"/>
        <w:sz w:val="18"/>
        <w:szCs w:val="18"/>
      </w:rPr>
    </w:pPr>
    <w:r w:rsidRPr="00367110">
      <w:rPr>
        <w:rFonts w:eastAsia="Arial Nova" w:cs="Arial Nova"/>
        <w:noProof/>
        <w:color w:val="000000"/>
        <w:lang w:val="es-CO" w:eastAsia="es-CO"/>
      </w:rPr>
      <w:drawing>
        <wp:anchor distT="0" distB="0" distL="114300" distR="114300" simplePos="0" relativeHeight="251660288" behindDoc="1" locked="0" layoutInCell="1" allowOverlap="1" wp14:anchorId="6DE7C012" wp14:editId="6EC056F1">
          <wp:simplePos x="0" y="0"/>
          <wp:positionH relativeFrom="column">
            <wp:posOffset>62866</wp:posOffset>
          </wp:positionH>
          <wp:positionV relativeFrom="paragraph">
            <wp:posOffset>1905</wp:posOffset>
          </wp:positionV>
          <wp:extent cx="3238500" cy="76200"/>
          <wp:effectExtent l="0" t="0" r="0" b="0"/>
          <wp:wrapNone/>
          <wp:docPr id="26"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
                    <a:extLst>
                      <a:ext uri="{28A0092B-C50C-407E-A947-70E740481C1C}">
                        <a14:useLocalDpi xmlns:a14="http://schemas.microsoft.com/office/drawing/2010/main" val="0"/>
                      </a:ext>
                    </a:extLst>
                  </a:blip>
                  <a:srcRect/>
                  <a:stretch>
                    <a:fillRect/>
                  </a:stretch>
                </pic:blipFill>
                <pic:spPr>
                  <a:xfrm>
                    <a:off x="0" y="0"/>
                    <a:ext cx="3521652" cy="82862"/>
                  </a:xfrm>
                  <a:prstGeom prst="rect">
                    <a:avLst/>
                  </a:prstGeom>
                  <a:ln/>
                </pic:spPr>
              </pic:pic>
            </a:graphicData>
          </a:graphic>
          <wp14:sizeRelH relativeFrom="margin">
            <wp14:pctWidth>0</wp14:pctWidth>
          </wp14:sizeRelH>
          <wp14:sizeRelV relativeFrom="margin">
            <wp14:pctHeight>0</wp14:pctHeight>
          </wp14:sizeRelV>
        </wp:anchor>
      </w:drawing>
    </w:r>
  </w:p>
  <w:p w14:paraId="596DAC93" w14:textId="5AAD8977" w:rsidR="00D81E5B" w:rsidRDefault="00D81E5B">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E33D57"/>
    <w:multiLevelType w:val="hybridMultilevel"/>
    <w:tmpl w:val="F4BEBEDE"/>
    <w:lvl w:ilvl="0" w:tplc="FFFFFFFF">
      <w:start w:val="1"/>
      <w:numFmt w:val="decimal"/>
      <w:lvlText w:val="%1."/>
      <w:lvlJc w:val="left"/>
      <w:pPr>
        <w:ind w:left="720" w:hanging="360"/>
      </w:pPr>
      <w:rPr>
        <w:rFonts w:eastAsia="Calibri" w:hint="default"/>
        <w:sz w:val="21"/>
        <w:szCs w:val="21"/>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1FB360E5"/>
    <w:multiLevelType w:val="hybridMultilevel"/>
    <w:tmpl w:val="D39C906C"/>
    <w:lvl w:ilvl="0" w:tplc="D5F84DD2">
      <w:start w:val="3"/>
      <w:numFmt w:val="bullet"/>
      <w:lvlText w:val="-"/>
      <w:lvlJc w:val="left"/>
      <w:pPr>
        <w:ind w:left="720" w:hanging="360"/>
      </w:pPr>
      <w:rPr>
        <w:rFonts w:ascii="Arial" w:eastAsiaTheme="minorHAnsi"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24592630"/>
    <w:multiLevelType w:val="hybridMultilevel"/>
    <w:tmpl w:val="7A7411D8"/>
    <w:lvl w:ilvl="0" w:tplc="0A1C59BA">
      <w:start w:val="1"/>
      <w:numFmt w:val="lowerLetter"/>
      <w:lvlText w:val="%1)"/>
      <w:lvlJc w:val="left"/>
      <w:pPr>
        <w:ind w:left="1008" w:hanging="330"/>
      </w:pPr>
      <w:rPr>
        <w:rFonts w:ascii="Arial" w:eastAsia="Arial" w:hAnsi="Arial" w:cs="Arial" w:hint="default"/>
        <w:color w:val="4E4D4D"/>
        <w:spacing w:val="-3"/>
        <w:w w:val="100"/>
        <w:sz w:val="21"/>
        <w:szCs w:val="21"/>
        <w:lang w:val="es-ES" w:eastAsia="en-US" w:bidi="ar-SA"/>
      </w:rPr>
    </w:lvl>
    <w:lvl w:ilvl="1" w:tplc="C76AB28E">
      <w:numFmt w:val="bullet"/>
      <w:lvlText w:val="•"/>
      <w:lvlJc w:val="left"/>
      <w:pPr>
        <w:ind w:left="1854" w:hanging="330"/>
      </w:pPr>
      <w:rPr>
        <w:rFonts w:hint="default"/>
        <w:lang w:val="es-ES" w:eastAsia="en-US" w:bidi="ar-SA"/>
      </w:rPr>
    </w:lvl>
    <w:lvl w:ilvl="2" w:tplc="9E525040">
      <w:numFmt w:val="bullet"/>
      <w:lvlText w:val="•"/>
      <w:lvlJc w:val="left"/>
      <w:pPr>
        <w:ind w:left="2708" w:hanging="330"/>
      </w:pPr>
      <w:rPr>
        <w:rFonts w:hint="default"/>
        <w:lang w:val="es-ES" w:eastAsia="en-US" w:bidi="ar-SA"/>
      </w:rPr>
    </w:lvl>
    <w:lvl w:ilvl="3" w:tplc="157487EA">
      <w:numFmt w:val="bullet"/>
      <w:lvlText w:val="•"/>
      <w:lvlJc w:val="left"/>
      <w:pPr>
        <w:ind w:left="3562" w:hanging="330"/>
      </w:pPr>
      <w:rPr>
        <w:rFonts w:hint="default"/>
        <w:lang w:val="es-ES" w:eastAsia="en-US" w:bidi="ar-SA"/>
      </w:rPr>
    </w:lvl>
    <w:lvl w:ilvl="4" w:tplc="9C92261A">
      <w:numFmt w:val="bullet"/>
      <w:lvlText w:val="•"/>
      <w:lvlJc w:val="left"/>
      <w:pPr>
        <w:ind w:left="4416" w:hanging="330"/>
      </w:pPr>
      <w:rPr>
        <w:rFonts w:hint="default"/>
        <w:lang w:val="es-ES" w:eastAsia="en-US" w:bidi="ar-SA"/>
      </w:rPr>
    </w:lvl>
    <w:lvl w:ilvl="5" w:tplc="F6FEF14A">
      <w:numFmt w:val="bullet"/>
      <w:lvlText w:val="•"/>
      <w:lvlJc w:val="left"/>
      <w:pPr>
        <w:ind w:left="5270" w:hanging="330"/>
      </w:pPr>
      <w:rPr>
        <w:rFonts w:hint="default"/>
        <w:lang w:val="es-ES" w:eastAsia="en-US" w:bidi="ar-SA"/>
      </w:rPr>
    </w:lvl>
    <w:lvl w:ilvl="6" w:tplc="48D0A250">
      <w:numFmt w:val="bullet"/>
      <w:lvlText w:val="•"/>
      <w:lvlJc w:val="left"/>
      <w:pPr>
        <w:ind w:left="6124" w:hanging="330"/>
      </w:pPr>
      <w:rPr>
        <w:rFonts w:hint="default"/>
        <w:lang w:val="es-ES" w:eastAsia="en-US" w:bidi="ar-SA"/>
      </w:rPr>
    </w:lvl>
    <w:lvl w:ilvl="7" w:tplc="87100EE6">
      <w:numFmt w:val="bullet"/>
      <w:lvlText w:val="•"/>
      <w:lvlJc w:val="left"/>
      <w:pPr>
        <w:ind w:left="6978" w:hanging="330"/>
      </w:pPr>
      <w:rPr>
        <w:rFonts w:hint="default"/>
        <w:lang w:val="es-ES" w:eastAsia="en-US" w:bidi="ar-SA"/>
      </w:rPr>
    </w:lvl>
    <w:lvl w:ilvl="8" w:tplc="D2849722">
      <w:numFmt w:val="bullet"/>
      <w:lvlText w:val="•"/>
      <w:lvlJc w:val="left"/>
      <w:pPr>
        <w:ind w:left="7832" w:hanging="330"/>
      </w:pPr>
      <w:rPr>
        <w:rFonts w:hint="default"/>
        <w:lang w:val="es-ES" w:eastAsia="en-US" w:bidi="ar-SA"/>
      </w:rPr>
    </w:lvl>
  </w:abstractNum>
  <w:abstractNum w:abstractNumId="3" w15:restartNumberingAfterBreak="0">
    <w:nsid w:val="2D1546DC"/>
    <w:multiLevelType w:val="multilevel"/>
    <w:tmpl w:val="AB72A748"/>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440" w:hanging="108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800" w:hanging="144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2160" w:hanging="1800"/>
      </w:pPr>
      <w:rPr>
        <w:rFonts w:hint="default"/>
        <w:b/>
      </w:rPr>
    </w:lvl>
    <w:lvl w:ilvl="8">
      <w:start w:val="1"/>
      <w:numFmt w:val="decimal"/>
      <w:isLgl/>
      <w:lvlText w:val="%1.%2.%3.%4.%5.%6.%7.%8.%9."/>
      <w:lvlJc w:val="left"/>
      <w:pPr>
        <w:ind w:left="2160" w:hanging="1800"/>
      </w:pPr>
      <w:rPr>
        <w:rFonts w:hint="default"/>
        <w:b/>
      </w:rPr>
    </w:lvl>
  </w:abstractNum>
  <w:abstractNum w:abstractNumId="4" w15:restartNumberingAfterBreak="0">
    <w:nsid w:val="491D27D0"/>
    <w:multiLevelType w:val="multilevel"/>
    <w:tmpl w:val="D47AE904"/>
    <w:lvl w:ilvl="0">
      <w:start w:val="1"/>
      <w:numFmt w:val="decimal"/>
      <w:lvlText w:val="%1"/>
      <w:lvlJc w:val="left"/>
      <w:pPr>
        <w:ind w:left="725" w:hanging="425"/>
      </w:pPr>
      <w:rPr>
        <w:rFonts w:hint="default"/>
        <w:lang w:val="es-ES" w:eastAsia="en-US" w:bidi="ar-SA"/>
      </w:rPr>
    </w:lvl>
    <w:lvl w:ilvl="1">
      <w:start w:val="1"/>
      <w:numFmt w:val="decimal"/>
      <w:lvlText w:val="%1.%2."/>
      <w:lvlJc w:val="left"/>
      <w:pPr>
        <w:ind w:left="725" w:hanging="425"/>
      </w:pPr>
      <w:rPr>
        <w:rFonts w:ascii="Arial" w:eastAsia="Arial" w:hAnsi="Arial" w:cs="Arial" w:hint="default"/>
        <w:b/>
        <w:bCs/>
        <w:color w:val="000000" w:themeColor="text1"/>
        <w:spacing w:val="-1"/>
        <w:w w:val="100"/>
        <w:sz w:val="22"/>
        <w:szCs w:val="22"/>
        <w:lang w:val="es-ES" w:eastAsia="en-US" w:bidi="ar-SA"/>
      </w:rPr>
    </w:lvl>
    <w:lvl w:ilvl="2">
      <w:numFmt w:val="bullet"/>
      <w:lvlText w:val="•"/>
      <w:lvlJc w:val="left"/>
      <w:pPr>
        <w:ind w:left="1700" w:hanging="425"/>
      </w:pPr>
      <w:rPr>
        <w:rFonts w:hint="default"/>
        <w:lang w:val="es-ES" w:eastAsia="en-US" w:bidi="ar-SA"/>
      </w:rPr>
    </w:lvl>
    <w:lvl w:ilvl="3">
      <w:numFmt w:val="bullet"/>
      <w:lvlText w:val="•"/>
      <w:lvlJc w:val="left"/>
      <w:pPr>
        <w:ind w:left="2680" w:hanging="425"/>
      </w:pPr>
      <w:rPr>
        <w:rFonts w:hint="default"/>
        <w:lang w:val="es-ES" w:eastAsia="en-US" w:bidi="ar-SA"/>
      </w:rPr>
    </w:lvl>
    <w:lvl w:ilvl="4">
      <w:numFmt w:val="bullet"/>
      <w:lvlText w:val="•"/>
      <w:lvlJc w:val="left"/>
      <w:pPr>
        <w:ind w:left="3660" w:hanging="425"/>
      </w:pPr>
      <w:rPr>
        <w:rFonts w:hint="default"/>
        <w:lang w:val="es-ES" w:eastAsia="en-US" w:bidi="ar-SA"/>
      </w:rPr>
    </w:lvl>
    <w:lvl w:ilvl="5">
      <w:numFmt w:val="bullet"/>
      <w:lvlText w:val="•"/>
      <w:lvlJc w:val="left"/>
      <w:pPr>
        <w:ind w:left="4640" w:hanging="425"/>
      </w:pPr>
      <w:rPr>
        <w:rFonts w:hint="default"/>
        <w:lang w:val="es-ES" w:eastAsia="en-US" w:bidi="ar-SA"/>
      </w:rPr>
    </w:lvl>
    <w:lvl w:ilvl="6">
      <w:numFmt w:val="bullet"/>
      <w:lvlText w:val="•"/>
      <w:lvlJc w:val="left"/>
      <w:pPr>
        <w:ind w:left="5620" w:hanging="425"/>
      </w:pPr>
      <w:rPr>
        <w:rFonts w:hint="default"/>
        <w:lang w:val="es-ES" w:eastAsia="en-US" w:bidi="ar-SA"/>
      </w:rPr>
    </w:lvl>
    <w:lvl w:ilvl="7">
      <w:numFmt w:val="bullet"/>
      <w:lvlText w:val="•"/>
      <w:lvlJc w:val="left"/>
      <w:pPr>
        <w:ind w:left="6600" w:hanging="425"/>
      </w:pPr>
      <w:rPr>
        <w:rFonts w:hint="default"/>
        <w:lang w:val="es-ES" w:eastAsia="en-US" w:bidi="ar-SA"/>
      </w:rPr>
    </w:lvl>
    <w:lvl w:ilvl="8">
      <w:numFmt w:val="bullet"/>
      <w:lvlText w:val="•"/>
      <w:lvlJc w:val="left"/>
      <w:pPr>
        <w:ind w:left="7580" w:hanging="425"/>
      </w:pPr>
      <w:rPr>
        <w:rFonts w:hint="default"/>
        <w:lang w:val="es-ES" w:eastAsia="en-US" w:bidi="ar-SA"/>
      </w:rPr>
    </w:lvl>
  </w:abstractNum>
  <w:abstractNum w:abstractNumId="5" w15:restartNumberingAfterBreak="0">
    <w:nsid w:val="4C5A58BD"/>
    <w:multiLevelType w:val="multilevel"/>
    <w:tmpl w:val="314A551A"/>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5D5F44E0"/>
    <w:multiLevelType w:val="hybridMultilevel"/>
    <w:tmpl w:val="F4BEBEDE"/>
    <w:lvl w:ilvl="0" w:tplc="EC40D58E">
      <w:start w:val="1"/>
      <w:numFmt w:val="decimal"/>
      <w:lvlText w:val="%1."/>
      <w:lvlJc w:val="left"/>
      <w:pPr>
        <w:ind w:left="720" w:hanging="360"/>
      </w:pPr>
      <w:rPr>
        <w:rFonts w:eastAsia="Calibri" w:hint="default"/>
        <w:sz w:val="21"/>
        <w:szCs w:val="21"/>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61857FE1"/>
    <w:multiLevelType w:val="hybridMultilevel"/>
    <w:tmpl w:val="22081502"/>
    <w:lvl w:ilvl="0" w:tplc="01C08F3A">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67032B02"/>
    <w:multiLevelType w:val="hybridMultilevel"/>
    <w:tmpl w:val="593E172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9" w15:restartNumberingAfterBreak="0">
    <w:nsid w:val="79050F22"/>
    <w:multiLevelType w:val="hybridMultilevel"/>
    <w:tmpl w:val="775CA8A8"/>
    <w:lvl w:ilvl="0" w:tplc="240A0015">
      <w:start w:val="1"/>
      <w:numFmt w:val="upp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16cid:durableId="1691301202">
    <w:abstractNumId w:val="3"/>
  </w:num>
  <w:num w:numId="2" w16cid:durableId="1710377851">
    <w:abstractNumId w:val="8"/>
  </w:num>
  <w:num w:numId="3" w16cid:durableId="1742799227">
    <w:abstractNumId w:val="2"/>
  </w:num>
  <w:num w:numId="4" w16cid:durableId="1066997908">
    <w:abstractNumId w:val="4"/>
  </w:num>
  <w:num w:numId="5" w16cid:durableId="978069063">
    <w:abstractNumId w:val="6"/>
  </w:num>
  <w:num w:numId="6" w16cid:durableId="1394888494">
    <w:abstractNumId w:val="0"/>
  </w:num>
  <w:num w:numId="7" w16cid:durableId="1315261268">
    <w:abstractNumId w:val="1"/>
  </w:num>
  <w:num w:numId="8" w16cid:durableId="16737942">
    <w:abstractNumId w:val="7"/>
  </w:num>
  <w:num w:numId="9" w16cid:durableId="1645086545">
    <w:abstractNumId w:val="5"/>
  </w:num>
  <w:num w:numId="10" w16cid:durableId="45286540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1"/>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C7067"/>
    <w:rsid w:val="0000246D"/>
    <w:rsid w:val="000027AC"/>
    <w:rsid w:val="0000290E"/>
    <w:rsid w:val="000033D7"/>
    <w:rsid w:val="0001350A"/>
    <w:rsid w:val="00013A32"/>
    <w:rsid w:val="00015285"/>
    <w:rsid w:val="000160CE"/>
    <w:rsid w:val="00027E00"/>
    <w:rsid w:val="00034765"/>
    <w:rsid w:val="00041D4B"/>
    <w:rsid w:val="0004470C"/>
    <w:rsid w:val="00047939"/>
    <w:rsid w:val="00051DF9"/>
    <w:rsid w:val="00061670"/>
    <w:rsid w:val="00063E22"/>
    <w:rsid w:val="00064617"/>
    <w:rsid w:val="00066403"/>
    <w:rsid w:val="000714BA"/>
    <w:rsid w:val="000770A6"/>
    <w:rsid w:val="000801E4"/>
    <w:rsid w:val="00081366"/>
    <w:rsid w:val="000815BD"/>
    <w:rsid w:val="00093ECC"/>
    <w:rsid w:val="000965D3"/>
    <w:rsid w:val="000A1A65"/>
    <w:rsid w:val="000A22E0"/>
    <w:rsid w:val="000A2429"/>
    <w:rsid w:val="000A2922"/>
    <w:rsid w:val="000A6950"/>
    <w:rsid w:val="000A71F8"/>
    <w:rsid w:val="000B322A"/>
    <w:rsid w:val="000B38F9"/>
    <w:rsid w:val="000B6B23"/>
    <w:rsid w:val="000B7A2F"/>
    <w:rsid w:val="000C0C5A"/>
    <w:rsid w:val="000C176A"/>
    <w:rsid w:val="000C232E"/>
    <w:rsid w:val="000C3476"/>
    <w:rsid w:val="000C41FF"/>
    <w:rsid w:val="000C7DC5"/>
    <w:rsid w:val="000D17CE"/>
    <w:rsid w:val="000D31AF"/>
    <w:rsid w:val="000E22E1"/>
    <w:rsid w:val="000E4BCC"/>
    <w:rsid w:val="000E6606"/>
    <w:rsid w:val="000F1274"/>
    <w:rsid w:val="000F16C3"/>
    <w:rsid w:val="000F20D6"/>
    <w:rsid w:val="000F2455"/>
    <w:rsid w:val="000F416D"/>
    <w:rsid w:val="001005DA"/>
    <w:rsid w:val="00100AC8"/>
    <w:rsid w:val="0010115C"/>
    <w:rsid w:val="0010340C"/>
    <w:rsid w:val="00103ECD"/>
    <w:rsid w:val="001048AE"/>
    <w:rsid w:val="00110547"/>
    <w:rsid w:val="001221E5"/>
    <w:rsid w:val="00122D5C"/>
    <w:rsid w:val="0012320F"/>
    <w:rsid w:val="00130B50"/>
    <w:rsid w:val="00130F07"/>
    <w:rsid w:val="00132DAD"/>
    <w:rsid w:val="0014048E"/>
    <w:rsid w:val="00140BF5"/>
    <w:rsid w:val="0014294A"/>
    <w:rsid w:val="0014312B"/>
    <w:rsid w:val="00144885"/>
    <w:rsid w:val="00145CEA"/>
    <w:rsid w:val="0015100A"/>
    <w:rsid w:val="001542F1"/>
    <w:rsid w:val="00155176"/>
    <w:rsid w:val="00155A6A"/>
    <w:rsid w:val="00156332"/>
    <w:rsid w:val="00156426"/>
    <w:rsid w:val="00160025"/>
    <w:rsid w:val="00160EA4"/>
    <w:rsid w:val="0016321F"/>
    <w:rsid w:val="00166895"/>
    <w:rsid w:val="001701CA"/>
    <w:rsid w:val="00172CE8"/>
    <w:rsid w:val="00172E23"/>
    <w:rsid w:val="0017361B"/>
    <w:rsid w:val="00177317"/>
    <w:rsid w:val="00181D50"/>
    <w:rsid w:val="00192273"/>
    <w:rsid w:val="0019286E"/>
    <w:rsid w:val="0019347C"/>
    <w:rsid w:val="0019577D"/>
    <w:rsid w:val="00196387"/>
    <w:rsid w:val="00196BBE"/>
    <w:rsid w:val="00197239"/>
    <w:rsid w:val="001973D3"/>
    <w:rsid w:val="001A1FE0"/>
    <w:rsid w:val="001A3646"/>
    <w:rsid w:val="001A7515"/>
    <w:rsid w:val="001B1ED3"/>
    <w:rsid w:val="001B5043"/>
    <w:rsid w:val="001C668B"/>
    <w:rsid w:val="001C7F1C"/>
    <w:rsid w:val="001D014E"/>
    <w:rsid w:val="001D169F"/>
    <w:rsid w:val="001D579D"/>
    <w:rsid w:val="001E00A3"/>
    <w:rsid w:val="001E0D8E"/>
    <w:rsid w:val="001E3285"/>
    <w:rsid w:val="001E51C7"/>
    <w:rsid w:val="001E55F8"/>
    <w:rsid w:val="001F0BA1"/>
    <w:rsid w:val="001F1036"/>
    <w:rsid w:val="001F2112"/>
    <w:rsid w:val="001F21CD"/>
    <w:rsid w:val="001F2FE7"/>
    <w:rsid w:val="001F4A87"/>
    <w:rsid w:val="00201A43"/>
    <w:rsid w:val="0020413F"/>
    <w:rsid w:val="0020666F"/>
    <w:rsid w:val="00206E4E"/>
    <w:rsid w:val="0022027A"/>
    <w:rsid w:val="002203D9"/>
    <w:rsid w:val="00222FE7"/>
    <w:rsid w:val="0023114E"/>
    <w:rsid w:val="00234C96"/>
    <w:rsid w:val="00236169"/>
    <w:rsid w:val="002370E0"/>
    <w:rsid w:val="002410B7"/>
    <w:rsid w:val="00244285"/>
    <w:rsid w:val="00244D23"/>
    <w:rsid w:val="002465BD"/>
    <w:rsid w:val="00247860"/>
    <w:rsid w:val="002546FB"/>
    <w:rsid w:val="0025667C"/>
    <w:rsid w:val="002621C0"/>
    <w:rsid w:val="00262A58"/>
    <w:rsid w:val="0026380C"/>
    <w:rsid w:val="002650A2"/>
    <w:rsid w:val="00266469"/>
    <w:rsid w:val="00266CCA"/>
    <w:rsid w:val="00267994"/>
    <w:rsid w:val="00273DB1"/>
    <w:rsid w:val="00274FF8"/>
    <w:rsid w:val="00276E87"/>
    <w:rsid w:val="00276F1D"/>
    <w:rsid w:val="0027789E"/>
    <w:rsid w:val="002835D0"/>
    <w:rsid w:val="0028433E"/>
    <w:rsid w:val="002867FC"/>
    <w:rsid w:val="00290872"/>
    <w:rsid w:val="00292A75"/>
    <w:rsid w:val="00294A56"/>
    <w:rsid w:val="002A092A"/>
    <w:rsid w:val="002A75C7"/>
    <w:rsid w:val="002B2085"/>
    <w:rsid w:val="002B5D94"/>
    <w:rsid w:val="002B6EDD"/>
    <w:rsid w:val="002C18C8"/>
    <w:rsid w:val="002C3DC8"/>
    <w:rsid w:val="002D55E0"/>
    <w:rsid w:val="002D6662"/>
    <w:rsid w:val="002D6DB8"/>
    <w:rsid w:val="002D7CBD"/>
    <w:rsid w:val="002E0539"/>
    <w:rsid w:val="002E3E35"/>
    <w:rsid w:val="002E4878"/>
    <w:rsid w:val="002F1D1C"/>
    <w:rsid w:val="002F339A"/>
    <w:rsid w:val="002F3B48"/>
    <w:rsid w:val="002F5437"/>
    <w:rsid w:val="002F7C27"/>
    <w:rsid w:val="00303F37"/>
    <w:rsid w:val="00305DDD"/>
    <w:rsid w:val="00307D38"/>
    <w:rsid w:val="003104CB"/>
    <w:rsid w:val="00311E48"/>
    <w:rsid w:val="00313EFB"/>
    <w:rsid w:val="003142AF"/>
    <w:rsid w:val="00316157"/>
    <w:rsid w:val="0031755A"/>
    <w:rsid w:val="00320859"/>
    <w:rsid w:val="003210B5"/>
    <w:rsid w:val="003258E3"/>
    <w:rsid w:val="00325CA9"/>
    <w:rsid w:val="00326110"/>
    <w:rsid w:val="00326F82"/>
    <w:rsid w:val="00332D6E"/>
    <w:rsid w:val="00333088"/>
    <w:rsid w:val="00333656"/>
    <w:rsid w:val="00334B19"/>
    <w:rsid w:val="003362C8"/>
    <w:rsid w:val="00337918"/>
    <w:rsid w:val="00341302"/>
    <w:rsid w:val="003415D7"/>
    <w:rsid w:val="0034176C"/>
    <w:rsid w:val="0035088F"/>
    <w:rsid w:val="0035241D"/>
    <w:rsid w:val="0035529C"/>
    <w:rsid w:val="00355937"/>
    <w:rsid w:val="00356696"/>
    <w:rsid w:val="003610F4"/>
    <w:rsid w:val="00364D51"/>
    <w:rsid w:val="003702AD"/>
    <w:rsid w:val="0037154B"/>
    <w:rsid w:val="00372146"/>
    <w:rsid w:val="0037367E"/>
    <w:rsid w:val="00375947"/>
    <w:rsid w:val="00377837"/>
    <w:rsid w:val="00382463"/>
    <w:rsid w:val="0038422A"/>
    <w:rsid w:val="00385A96"/>
    <w:rsid w:val="00385B3E"/>
    <w:rsid w:val="003867C5"/>
    <w:rsid w:val="003870E4"/>
    <w:rsid w:val="00391B62"/>
    <w:rsid w:val="00393B89"/>
    <w:rsid w:val="00395260"/>
    <w:rsid w:val="003953A4"/>
    <w:rsid w:val="00396BF2"/>
    <w:rsid w:val="003A235D"/>
    <w:rsid w:val="003A279E"/>
    <w:rsid w:val="003A6173"/>
    <w:rsid w:val="003A7C69"/>
    <w:rsid w:val="003A7E22"/>
    <w:rsid w:val="003B42A6"/>
    <w:rsid w:val="003B76F3"/>
    <w:rsid w:val="003C0050"/>
    <w:rsid w:val="003C1B39"/>
    <w:rsid w:val="003C350F"/>
    <w:rsid w:val="003C4644"/>
    <w:rsid w:val="003C6B38"/>
    <w:rsid w:val="003C7067"/>
    <w:rsid w:val="003D01B8"/>
    <w:rsid w:val="003D24F8"/>
    <w:rsid w:val="003E023D"/>
    <w:rsid w:val="003E060B"/>
    <w:rsid w:val="003E0862"/>
    <w:rsid w:val="003E4620"/>
    <w:rsid w:val="003F0A31"/>
    <w:rsid w:val="003F1077"/>
    <w:rsid w:val="003F1CF4"/>
    <w:rsid w:val="003F2CA6"/>
    <w:rsid w:val="004007FB"/>
    <w:rsid w:val="00400B3F"/>
    <w:rsid w:val="00400C77"/>
    <w:rsid w:val="0040411F"/>
    <w:rsid w:val="004073F3"/>
    <w:rsid w:val="00407B88"/>
    <w:rsid w:val="004116D9"/>
    <w:rsid w:val="00412728"/>
    <w:rsid w:val="004137EC"/>
    <w:rsid w:val="00413C3B"/>
    <w:rsid w:val="004226BC"/>
    <w:rsid w:val="00425CA0"/>
    <w:rsid w:val="00427225"/>
    <w:rsid w:val="00427639"/>
    <w:rsid w:val="004317CE"/>
    <w:rsid w:val="0043199D"/>
    <w:rsid w:val="00433947"/>
    <w:rsid w:val="0043465F"/>
    <w:rsid w:val="004449CC"/>
    <w:rsid w:val="00450297"/>
    <w:rsid w:val="00450F52"/>
    <w:rsid w:val="004514C3"/>
    <w:rsid w:val="004515DC"/>
    <w:rsid w:val="00452B6D"/>
    <w:rsid w:val="00452C65"/>
    <w:rsid w:val="004530B5"/>
    <w:rsid w:val="004530DC"/>
    <w:rsid w:val="004541BB"/>
    <w:rsid w:val="00454C1E"/>
    <w:rsid w:val="00457483"/>
    <w:rsid w:val="00460695"/>
    <w:rsid w:val="00461578"/>
    <w:rsid w:val="004636E0"/>
    <w:rsid w:val="004662C1"/>
    <w:rsid w:val="004665D9"/>
    <w:rsid w:val="004708A3"/>
    <w:rsid w:val="00472517"/>
    <w:rsid w:val="00474FA1"/>
    <w:rsid w:val="00481474"/>
    <w:rsid w:val="004963B0"/>
    <w:rsid w:val="004A0C2B"/>
    <w:rsid w:val="004A1D6F"/>
    <w:rsid w:val="004A2FA1"/>
    <w:rsid w:val="004A33E3"/>
    <w:rsid w:val="004A6DF7"/>
    <w:rsid w:val="004B2DEB"/>
    <w:rsid w:val="004B3167"/>
    <w:rsid w:val="004B3476"/>
    <w:rsid w:val="004B569C"/>
    <w:rsid w:val="004B7BD5"/>
    <w:rsid w:val="004C1C33"/>
    <w:rsid w:val="004C27EC"/>
    <w:rsid w:val="004C33B8"/>
    <w:rsid w:val="004C4C02"/>
    <w:rsid w:val="004C59A9"/>
    <w:rsid w:val="004D4519"/>
    <w:rsid w:val="004D76E8"/>
    <w:rsid w:val="004E3799"/>
    <w:rsid w:val="004E43C1"/>
    <w:rsid w:val="004E5663"/>
    <w:rsid w:val="004E587A"/>
    <w:rsid w:val="004E76CB"/>
    <w:rsid w:val="004F1086"/>
    <w:rsid w:val="004F507C"/>
    <w:rsid w:val="004F654F"/>
    <w:rsid w:val="005058EF"/>
    <w:rsid w:val="005069B7"/>
    <w:rsid w:val="0051003B"/>
    <w:rsid w:val="005121D0"/>
    <w:rsid w:val="005134AE"/>
    <w:rsid w:val="00513F21"/>
    <w:rsid w:val="00514811"/>
    <w:rsid w:val="00517622"/>
    <w:rsid w:val="00521AC0"/>
    <w:rsid w:val="00525649"/>
    <w:rsid w:val="005278E3"/>
    <w:rsid w:val="0053012B"/>
    <w:rsid w:val="005313ED"/>
    <w:rsid w:val="005334E6"/>
    <w:rsid w:val="00543797"/>
    <w:rsid w:val="00545362"/>
    <w:rsid w:val="005463B4"/>
    <w:rsid w:val="00546A01"/>
    <w:rsid w:val="00546BD3"/>
    <w:rsid w:val="00550397"/>
    <w:rsid w:val="00552CDF"/>
    <w:rsid w:val="005537BE"/>
    <w:rsid w:val="00554FCF"/>
    <w:rsid w:val="00556AB7"/>
    <w:rsid w:val="00560087"/>
    <w:rsid w:val="00562968"/>
    <w:rsid w:val="00564FB9"/>
    <w:rsid w:val="005728E1"/>
    <w:rsid w:val="00573E27"/>
    <w:rsid w:val="005745BF"/>
    <w:rsid w:val="005752B3"/>
    <w:rsid w:val="00584231"/>
    <w:rsid w:val="005867C9"/>
    <w:rsid w:val="005874B6"/>
    <w:rsid w:val="00594698"/>
    <w:rsid w:val="00596212"/>
    <w:rsid w:val="005A1C22"/>
    <w:rsid w:val="005A43E5"/>
    <w:rsid w:val="005B14B2"/>
    <w:rsid w:val="005B384E"/>
    <w:rsid w:val="005B39BF"/>
    <w:rsid w:val="005B3CB1"/>
    <w:rsid w:val="005B441F"/>
    <w:rsid w:val="005C00F9"/>
    <w:rsid w:val="005C100F"/>
    <w:rsid w:val="005C6135"/>
    <w:rsid w:val="005D2019"/>
    <w:rsid w:val="005D20C7"/>
    <w:rsid w:val="005D539E"/>
    <w:rsid w:val="005E02B2"/>
    <w:rsid w:val="005E57D6"/>
    <w:rsid w:val="005F3331"/>
    <w:rsid w:val="00604DB8"/>
    <w:rsid w:val="0060602C"/>
    <w:rsid w:val="00607049"/>
    <w:rsid w:val="00611C84"/>
    <w:rsid w:val="00614569"/>
    <w:rsid w:val="0061555F"/>
    <w:rsid w:val="006169DA"/>
    <w:rsid w:val="00624FCB"/>
    <w:rsid w:val="00626DC2"/>
    <w:rsid w:val="0062713E"/>
    <w:rsid w:val="00643074"/>
    <w:rsid w:val="00644AD1"/>
    <w:rsid w:val="00645FB0"/>
    <w:rsid w:val="006465AC"/>
    <w:rsid w:val="00646C99"/>
    <w:rsid w:val="0064789F"/>
    <w:rsid w:val="00652125"/>
    <w:rsid w:val="006534EE"/>
    <w:rsid w:val="00657CB5"/>
    <w:rsid w:val="00660C19"/>
    <w:rsid w:val="006610BD"/>
    <w:rsid w:val="00663EA4"/>
    <w:rsid w:val="00664E56"/>
    <w:rsid w:val="00676C2D"/>
    <w:rsid w:val="00677721"/>
    <w:rsid w:val="006908AF"/>
    <w:rsid w:val="00696C59"/>
    <w:rsid w:val="0069743E"/>
    <w:rsid w:val="00697780"/>
    <w:rsid w:val="006A2383"/>
    <w:rsid w:val="006B040D"/>
    <w:rsid w:val="006B0534"/>
    <w:rsid w:val="006B06C7"/>
    <w:rsid w:val="006B205F"/>
    <w:rsid w:val="006B2DE3"/>
    <w:rsid w:val="006B5BAD"/>
    <w:rsid w:val="006B698E"/>
    <w:rsid w:val="006C0631"/>
    <w:rsid w:val="006C16B7"/>
    <w:rsid w:val="006C25DE"/>
    <w:rsid w:val="006C67CE"/>
    <w:rsid w:val="006C730C"/>
    <w:rsid w:val="006D1233"/>
    <w:rsid w:val="006D16C0"/>
    <w:rsid w:val="006D1DF5"/>
    <w:rsid w:val="006D42CA"/>
    <w:rsid w:val="006D43D6"/>
    <w:rsid w:val="006D4B52"/>
    <w:rsid w:val="006D4E4D"/>
    <w:rsid w:val="006D66D3"/>
    <w:rsid w:val="006D7111"/>
    <w:rsid w:val="006E01E2"/>
    <w:rsid w:val="006E280E"/>
    <w:rsid w:val="006E2E59"/>
    <w:rsid w:val="006E3684"/>
    <w:rsid w:val="006E599A"/>
    <w:rsid w:val="006E6B7C"/>
    <w:rsid w:val="006E716B"/>
    <w:rsid w:val="006F12B4"/>
    <w:rsid w:val="006F628A"/>
    <w:rsid w:val="006F6C29"/>
    <w:rsid w:val="007007D0"/>
    <w:rsid w:val="0070319B"/>
    <w:rsid w:val="00703305"/>
    <w:rsid w:val="00703E2A"/>
    <w:rsid w:val="007101DE"/>
    <w:rsid w:val="0071057D"/>
    <w:rsid w:val="007135B5"/>
    <w:rsid w:val="00714D49"/>
    <w:rsid w:val="00715151"/>
    <w:rsid w:val="0071587F"/>
    <w:rsid w:val="00716EA5"/>
    <w:rsid w:val="00717176"/>
    <w:rsid w:val="00717AA6"/>
    <w:rsid w:val="00726BB2"/>
    <w:rsid w:val="007301A5"/>
    <w:rsid w:val="00731374"/>
    <w:rsid w:val="00734358"/>
    <w:rsid w:val="00736654"/>
    <w:rsid w:val="007374F5"/>
    <w:rsid w:val="007402D6"/>
    <w:rsid w:val="0074401A"/>
    <w:rsid w:val="007444BB"/>
    <w:rsid w:val="007477FE"/>
    <w:rsid w:val="007533A6"/>
    <w:rsid w:val="007533F2"/>
    <w:rsid w:val="007566AD"/>
    <w:rsid w:val="007568B5"/>
    <w:rsid w:val="007620D3"/>
    <w:rsid w:val="00763584"/>
    <w:rsid w:val="00766606"/>
    <w:rsid w:val="007704C1"/>
    <w:rsid w:val="00771994"/>
    <w:rsid w:val="00774750"/>
    <w:rsid w:val="007748BD"/>
    <w:rsid w:val="00774EA0"/>
    <w:rsid w:val="00780EF8"/>
    <w:rsid w:val="00781A67"/>
    <w:rsid w:val="0079555C"/>
    <w:rsid w:val="007A07E6"/>
    <w:rsid w:val="007A09E8"/>
    <w:rsid w:val="007A13A0"/>
    <w:rsid w:val="007A3039"/>
    <w:rsid w:val="007A48A1"/>
    <w:rsid w:val="007A52B4"/>
    <w:rsid w:val="007A5F2D"/>
    <w:rsid w:val="007A6F08"/>
    <w:rsid w:val="007A7DDB"/>
    <w:rsid w:val="007B017F"/>
    <w:rsid w:val="007B0517"/>
    <w:rsid w:val="007B4AAC"/>
    <w:rsid w:val="007B4CC3"/>
    <w:rsid w:val="007B6D7A"/>
    <w:rsid w:val="007C14A7"/>
    <w:rsid w:val="007C18F9"/>
    <w:rsid w:val="007C285C"/>
    <w:rsid w:val="007D476C"/>
    <w:rsid w:val="007D5580"/>
    <w:rsid w:val="007D648E"/>
    <w:rsid w:val="007E16E7"/>
    <w:rsid w:val="007E3FC4"/>
    <w:rsid w:val="007E48AE"/>
    <w:rsid w:val="007E5291"/>
    <w:rsid w:val="007E52AC"/>
    <w:rsid w:val="007E7488"/>
    <w:rsid w:val="007F1DEE"/>
    <w:rsid w:val="007F22B5"/>
    <w:rsid w:val="007F3872"/>
    <w:rsid w:val="007F4036"/>
    <w:rsid w:val="007F55F8"/>
    <w:rsid w:val="007F6F80"/>
    <w:rsid w:val="007F737A"/>
    <w:rsid w:val="00802CD1"/>
    <w:rsid w:val="00806F7D"/>
    <w:rsid w:val="00812BB2"/>
    <w:rsid w:val="00814E8F"/>
    <w:rsid w:val="00817CCE"/>
    <w:rsid w:val="00821B1D"/>
    <w:rsid w:val="00823B9F"/>
    <w:rsid w:val="00826A17"/>
    <w:rsid w:val="0082778E"/>
    <w:rsid w:val="008305D9"/>
    <w:rsid w:val="0083524B"/>
    <w:rsid w:val="008353CA"/>
    <w:rsid w:val="008402CD"/>
    <w:rsid w:val="00841BDF"/>
    <w:rsid w:val="00843CDF"/>
    <w:rsid w:val="00844316"/>
    <w:rsid w:val="008443B3"/>
    <w:rsid w:val="00847A78"/>
    <w:rsid w:val="008541B6"/>
    <w:rsid w:val="008542DD"/>
    <w:rsid w:val="00854A55"/>
    <w:rsid w:val="008559E5"/>
    <w:rsid w:val="00860639"/>
    <w:rsid w:val="00862579"/>
    <w:rsid w:val="00863607"/>
    <w:rsid w:val="0087011C"/>
    <w:rsid w:val="008702BA"/>
    <w:rsid w:val="008708B7"/>
    <w:rsid w:val="00872D96"/>
    <w:rsid w:val="008735D0"/>
    <w:rsid w:val="0087674C"/>
    <w:rsid w:val="00876B78"/>
    <w:rsid w:val="00880E37"/>
    <w:rsid w:val="00887EAD"/>
    <w:rsid w:val="00890AB8"/>
    <w:rsid w:val="00890D5F"/>
    <w:rsid w:val="0089254A"/>
    <w:rsid w:val="00893807"/>
    <w:rsid w:val="00893FDF"/>
    <w:rsid w:val="008951CE"/>
    <w:rsid w:val="008958AC"/>
    <w:rsid w:val="00896007"/>
    <w:rsid w:val="00897990"/>
    <w:rsid w:val="00897B51"/>
    <w:rsid w:val="008A0C05"/>
    <w:rsid w:val="008A2551"/>
    <w:rsid w:val="008A2F7B"/>
    <w:rsid w:val="008A3050"/>
    <w:rsid w:val="008A5F02"/>
    <w:rsid w:val="008A6295"/>
    <w:rsid w:val="008B0F92"/>
    <w:rsid w:val="008B606A"/>
    <w:rsid w:val="008C1D44"/>
    <w:rsid w:val="008C34D4"/>
    <w:rsid w:val="008C368A"/>
    <w:rsid w:val="008D2933"/>
    <w:rsid w:val="008D35A4"/>
    <w:rsid w:val="008D6FD8"/>
    <w:rsid w:val="008E33F5"/>
    <w:rsid w:val="008E4FC5"/>
    <w:rsid w:val="008E518E"/>
    <w:rsid w:val="008E6740"/>
    <w:rsid w:val="008F10C7"/>
    <w:rsid w:val="008F4671"/>
    <w:rsid w:val="008F6E0C"/>
    <w:rsid w:val="00900252"/>
    <w:rsid w:val="009040A2"/>
    <w:rsid w:val="0090501B"/>
    <w:rsid w:val="0090557C"/>
    <w:rsid w:val="00913406"/>
    <w:rsid w:val="0091442D"/>
    <w:rsid w:val="0091503C"/>
    <w:rsid w:val="00915041"/>
    <w:rsid w:val="00920086"/>
    <w:rsid w:val="009204BC"/>
    <w:rsid w:val="0092073B"/>
    <w:rsid w:val="0092111A"/>
    <w:rsid w:val="009212E1"/>
    <w:rsid w:val="00924576"/>
    <w:rsid w:val="00926BCC"/>
    <w:rsid w:val="00931650"/>
    <w:rsid w:val="00932F4A"/>
    <w:rsid w:val="009346BA"/>
    <w:rsid w:val="009365AC"/>
    <w:rsid w:val="00937D33"/>
    <w:rsid w:val="009418A5"/>
    <w:rsid w:val="0094506A"/>
    <w:rsid w:val="009470FC"/>
    <w:rsid w:val="009527E4"/>
    <w:rsid w:val="009540D3"/>
    <w:rsid w:val="0095681E"/>
    <w:rsid w:val="00957674"/>
    <w:rsid w:val="00961511"/>
    <w:rsid w:val="00962D13"/>
    <w:rsid w:val="00965B3A"/>
    <w:rsid w:val="009705BB"/>
    <w:rsid w:val="00973B51"/>
    <w:rsid w:val="00975452"/>
    <w:rsid w:val="00977BC1"/>
    <w:rsid w:val="009805DC"/>
    <w:rsid w:val="0098183E"/>
    <w:rsid w:val="00984D8B"/>
    <w:rsid w:val="00987493"/>
    <w:rsid w:val="00987861"/>
    <w:rsid w:val="0098798B"/>
    <w:rsid w:val="009916A6"/>
    <w:rsid w:val="0099278D"/>
    <w:rsid w:val="009930E3"/>
    <w:rsid w:val="0099407E"/>
    <w:rsid w:val="00994D39"/>
    <w:rsid w:val="00995CAD"/>
    <w:rsid w:val="00996366"/>
    <w:rsid w:val="0099787B"/>
    <w:rsid w:val="009A246D"/>
    <w:rsid w:val="009A4017"/>
    <w:rsid w:val="009A4188"/>
    <w:rsid w:val="009B1112"/>
    <w:rsid w:val="009B20DB"/>
    <w:rsid w:val="009B2C35"/>
    <w:rsid w:val="009B5641"/>
    <w:rsid w:val="009B5F97"/>
    <w:rsid w:val="009B604D"/>
    <w:rsid w:val="009B6276"/>
    <w:rsid w:val="009C0BE5"/>
    <w:rsid w:val="009C0DBA"/>
    <w:rsid w:val="009C1414"/>
    <w:rsid w:val="009C16B3"/>
    <w:rsid w:val="009C38C7"/>
    <w:rsid w:val="009C3E55"/>
    <w:rsid w:val="009C5E1C"/>
    <w:rsid w:val="009C5E76"/>
    <w:rsid w:val="009C7BBC"/>
    <w:rsid w:val="009D408A"/>
    <w:rsid w:val="009D66B9"/>
    <w:rsid w:val="009D6BD7"/>
    <w:rsid w:val="009F0A44"/>
    <w:rsid w:val="009F0D1F"/>
    <w:rsid w:val="009F4002"/>
    <w:rsid w:val="009F4296"/>
    <w:rsid w:val="009F532D"/>
    <w:rsid w:val="009F5860"/>
    <w:rsid w:val="009F5A81"/>
    <w:rsid w:val="009F5CFA"/>
    <w:rsid w:val="009F6AF3"/>
    <w:rsid w:val="009F7627"/>
    <w:rsid w:val="00A0046D"/>
    <w:rsid w:val="00A007E0"/>
    <w:rsid w:val="00A009D4"/>
    <w:rsid w:val="00A00FCB"/>
    <w:rsid w:val="00A0194F"/>
    <w:rsid w:val="00A02727"/>
    <w:rsid w:val="00A03998"/>
    <w:rsid w:val="00A04819"/>
    <w:rsid w:val="00A053C7"/>
    <w:rsid w:val="00A061EC"/>
    <w:rsid w:val="00A10CAC"/>
    <w:rsid w:val="00A1657C"/>
    <w:rsid w:val="00A16F59"/>
    <w:rsid w:val="00A201B3"/>
    <w:rsid w:val="00A21241"/>
    <w:rsid w:val="00A21B3D"/>
    <w:rsid w:val="00A2369A"/>
    <w:rsid w:val="00A23905"/>
    <w:rsid w:val="00A304AD"/>
    <w:rsid w:val="00A412E5"/>
    <w:rsid w:val="00A55358"/>
    <w:rsid w:val="00A55366"/>
    <w:rsid w:val="00A56676"/>
    <w:rsid w:val="00A57C30"/>
    <w:rsid w:val="00A57E21"/>
    <w:rsid w:val="00A62877"/>
    <w:rsid w:val="00A63DA3"/>
    <w:rsid w:val="00A72632"/>
    <w:rsid w:val="00A7580A"/>
    <w:rsid w:val="00A83C01"/>
    <w:rsid w:val="00A844C4"/>
    <w:rsid w:val="00A86314"/>
    <w:rsid w:val="00A9003D"/>
    <w:rsid w:val="00A9127E"/>
    <w:rsid w:val="00A94591"/>
    <w:rsid w:val="00A977C8"/>
    <w:rsid w:val="00AB36B6"/>
    <w:rsid w:val="00AB60D9"/>
    <w:rsid w:val="00AC4174"/>
    <w:rsid w:val="00AC4FE9"/>
    <w:rsid w:val="00AC5A39"/>
    <w:rsid w:val="00AD027E"/>
    <w:rsid w:val="00AD17DB"/>
    <w:rsid w:val="00AD1AB6"/>
    <w:rsid w:val="00AD41E4"/>
    <w:rsid w:val="00AE28AE"/>
    <w:rsid w:val="00AE3552"/>
    <w:rsid w:val="00AE3B13"/>
    <w:rsid w:val="00AE485F"/>
    <w:rsid w:val="00AF0D6E"/>
    <w:rsid w:val="00AF2BAE"/>
    <w:rsid w:val="00AF4235"/>
    <w:rsid w:val="00AF632D"/>
    <w:rsid w:val="00AF664B"/>
    <w:rsid w:val="00B0166A"/>
    <w:rsid w:val="00B0338C"/>
    <w:rsid w:val="00B036EA"/>
    <w:rsid w:val="00B05ACC"/>
    <w:rsid w:val="00B12676"/>
    <w:rsid w:val="00B139B2"/>
    <w:rsid w:val="00B203A3"/>
    <w:rsid w:val="00B204B3"/>
    <w:rsid w:val="00B213A1"/>
    <w:rsid w:val="00B24B11"/>
    <w:rsid w:val="00B325AF"/>
    <w:rsid w:val="00B347CE"/>
    <w:rsid w:val="00B40B39"/>
    <w:rsid w:val="00B41C7A"/>
    <w:rsid w:val="00B44948"/>
    <w:rsid w:val="00B44A82"/>
    <w:rsid w:val="00B44C63"/>
    <w:rsid w:val="00B46CB5"/>
    <w:rsid w:val="00B470BB"/>
    <w:rsid w:val="00B622A9"/>
    <w:rsid w:val="00B67F77"/>
    <w:rsid w:val="00B70E91"/>
    <w:rsid w:val="00B71F0A"/>
    <w:rsid w:val="00B726EB"/>
    <w:rsid w:val="00B742C2"/>
    <w:rsid w:val="00B74E3B"/>
    <w:rsid w:val="00B76F53"/>
    <w:rsid w:val="00B82D1D"/>
    <w:rsid w:val="00B864D6"/>
    <w:rsid w:val="00B93A8D"/>
    <w:rsid w:val="00B97CE2"/>
    <w:rsid w:val="00BA0AE4"/>
    <w:rsid w:val="00BA187E"/>
    <w:rsid w:val="00BA4004"/>
    <w:rsid w:val="00BA6801"/>
    <w:rsid w:val="00BA6AA2"/>
    <w:rsid w:val="00BB5FFC"/>
    <w:rsid w:val="00BC51F1"/>
    <w:rsid w:val="00BD5A6F"/>
    <w:rsid w:val="00BD5ED5"/>
    <w:rsid w:val="00BD6A2B"/>
    <w:rsid w:val="00BD777F"/>
    <w:rsid w:val="00BD7B31"/>
    <w:rsid w:val="00BE065B"/>
    <w:rsid w:val="00BE260D"/>
    <w:rsid w:val="00BF021D"/>
    <w:rsid w:val="00BF25F4"/>
    <w:rsid w:val="00BF4336"/>
    <w:rsid w:val="00BF7A4F"/>
    <w:rsid w:val="00C007D7"/>
    <w:rsid w:val="00C01A8D"/>
    <w:rsid w:val="00C032FA"/>
    <w:rsid w:val="00C04F58"/>
    <w:rsid w:val="00C06297"/>
    <w:rsid w:val="00C06CEC"/>
    <w:rsid w:val="00C1122A"/>
    <w:rsid w:val="00C12608"/>
    <w:rsid w:val="00C15092"/>
    <w:rsid w:val="00C15870"/>
    <w:rsid w:val="00C167F8"/>
    <w:rsid w:val="00C20A90"/>
    <w:rsid w:val="00C21998"/>
    <w:rsid w:val="00C24E6D"/>
    <w:rsid w:val="00C30F2F"/>
    <w:rsid w:val="00C37069"/>
    <w:rsid w:val="00C43F7C"/>
    <w:rsid w:val="00C45EFF"/>
    <w:rsid w:val="00C46B18"/>
    <w:rsid w:val="00C5071C"/>
    <w:rsid w:val="00C52029"/>
    <w:rsid w:val="00C52A57"/>
    <w:rsid w:val="00C52F53"/>
    <w:rsid w:val="00C559FC"/>
    <w:rsid w:val="00C55E13"/>
    <w:rsid w:val="00C60930"/>
    <w:rsid w:val="00C63119"/>
    <w:rsid w:val="00C63632"/>
    <w:rsid w:val="00C667F5"/>
    <w:rsid w:val="00C67F8C"/>
    <w:rsid w:val="00C71F83"/>
    <w:rsid w:val="00C756E0"/>
    <w:rsid w:val="00C76716"/>
    <w:rsid w:val="00C807B0"/>
    <w:rsid w:val="00C81076"/>
    <w:rsid w:val="00C81CF0"/>
    <w:rsid w:val="00C85E83"/>
    <w:rsid w:val="00C9043C"/>
    <w:rsid w:val="00C93063"/>
    <w:rsid w:val="00C9506B"/>
    <w:rsid w:val="00C95355"/>
    <w:rsid w:val="00C967B4"/>
    <w:rsid w:val="00C97555"/>
    <w:rsid w:val="00CB0C0E"/>
    <w:rsid w:val="00CB0E51"/>
    <w:rsid w:val="00CB1595"/>
    <w:rsid w:val="00CC3129"/>
    <w:rsid w:val="00CC4815"/>
    <w:rsid w:val="00CC714B"/>
    <w:rsid w:val="00CC747F"/>
    <w:rsid w:val="00CD1FFB"/>
    <w:rsid w:val="00CD23C7"/>
    <w:rsid w:val="00CD5952"/>
    <w:rsid w:val="00CD683B"/>
    <w:rsid w:val="00CF21BD"/>
    <w:rsid w:val="00CF4D94"/>
    <w:rsid w:val="00D025EC"/>
    <w:rsid w:val="00D05326"/>
    <w:rsid w:val="00D05D53"/>
    <w:rsid w:val="00D06B51"/>
    <w:rsid w:val="00D07A92"/>
    <w:rsid w:val="00D13E49"/>
    <w:rsid w:val="00D14CB4"/>
    <w:rsid w:val="00D17F43"/>
    <w:rsid w:val="00D200B3"/>
    <w:rsid w:val="00D20437"/>
    <w:rsid w:val="00D2190E"/>
    <w:rsid w:val="00D21B76"/>
    <w:rsid w:val="00D26171"/>
    <w:rsid w:val="00D26A0D"/>
    <w:rsid w:val="00D30E89"/>
    <w:rsid w:val="00D34A5D"/>
    <w:rsid w:val="00D354FA"/>
    <w:rsid w:val="00D371F4"/>
    <w:rsid w:val="00D419AF"/>
    <w:rsid w:val="00D43237"/>
    <w:rsid w:val="00D4411E"/>
    <w:rsid w:val="00D45FFD"/>
    <w:rsid w:val="00D50AFB"/>
    <w:rsid w:val="00D5474B"/>
    <w:rsid w:val="00D5574A"/>
    <w:rsid w:val="00D56CA2"/>
    <w:rsid w:val="00D6088A"/>
    <w:rsid w:val="00D62647"/>
    <w:rsid w:val="00D62C94"/>
    <w:rsid w:val="00D73FBC"/>
    <w:rsid w:val="00D7400F"/>
    <w:rsid w:val="00D74DB3"/>
    <w:rsid w:val="00D81E5B"/>
    <w:rsid w:val="00D8604C"/>
    <w:rsid w:val="00D95F6B"/>
    <w:rsid w:val="00D97105"/>
    <w:rsid w:val="00D97FF7"/>
    <w:rsid w:val="00DA07F3"/>
    <w:rsid w:val="00DA13D9"/>
    <w:rsid w:val="00DA318B"/>
    <w:rsid w:val="00DA5241"/>
    <w:rsid w:val="00DB16A5"/>
    <w:rsid w:val="00DB45DC"/>
    <w:rsid w:val="00DB51CA"/>
    <w:rsid w:val="00DB5576"/>
    <w:rsid w:val="00DB587E"/>
    <w:rsid w:val="00DC1453"/>
    <w:rsid w:val="00DC7CC6"/>
    <w:rsid w:val="00DD50DE"/>
    <w:rsid w:val="00DD686B"/>
    <w:rsid w:val="00DE1D4C"/>
    <w:rsid w:val="00DE29EB"/>
    <w:rsid w:val="00DE6D2B"/>
    <w:rsid w:val="00DE7249"/>
    <w:rsid w:val="00DF02C5"/>
    <w:rsid w:val="00DF3130"/>
    <w:rsid w:val="00DF4665"/>
    <w:rsid w:val="00DF5BB0"/>
    <w:rsid w:val="00DF6DE0"/>
    <w:rsid w:val="00E006F1"/>
    <w:rsid w:val="00E02864"/>
    <w:rsid w:val="00E06094"/>
    <w:rsid w:val="00E06915"/>
    <w:rsid w:val="00E06A3D"/>
    <w:rsid w:val="00E073F4"/>
    <w:rsid w:val="00E07540"/>
    <w:rsid w:val="00E14B0C"/>
    <w:rsid w:val="00E1744A"/>
    <w:rsid w:val="00E17DD1"/>
    <w:rsid w:val="00E213E1"/>
    <w:rsid w:val="00E22184"/>
    <w:rsid w:val="00E23067"/>
    <w:rsid w:val="00E23264"/>
    <w:rsid w:val="00E2364B"/>
    <w:rsid w:val="00E2370B"/>
    <w:rsid w:val="00E30F24"/>
    <w:rsid w:val="00E36420"/>
    <w:rsid w:val="00E432E8"/>
    <w:rsid w:val="00E457BB"/>
    <w:rsid w:val="00E5054B"/>
    <w:rsid w:val="00E5158E"/>
    <w:rsid w:val="00E5202C"/>
    <w:rsid w:val="00E522CD"/>
    <w:rsid w:val="00E534BB"/>
    <w:rsid w:val="00E55AA2"/>
    <w:rsid w:val="00E56A40"/>
    <w:rsid w:val="00E60868"/>
    <w:rsid w:val="00E62B07"/>
    <w:rsid w:val="00E63A0E"/>
    <w:rsid w:val="00E63B8B"/>
    <w:rsid w:val="00E6439F"/>
    <w:rsid w:val="00E6500D"/>
    <w:rsid w:val="00E667D8"/>
    <w:rsid w:val="00E6723D"/>
    <w:rsid w:val="00E74412"/>
    <w:rsid w:val="00E76F02"/>
    <w:rsid w:val="00E84094"/>
    <w:rsid w:val="00E93DD3"/>
    <w:rsid w:val="00E94838"/>
    <w:rsid w:val="00E94A99"/>
    <w:rsid w:val="00E9754D"/>
    <w:rsid w:val="00EA003C"/>
    <w:rsid w:val="00EA1FD4"/>
    <w:rsid w:val="00EA575F"/>
    <w:rsid w:val="00EB161C"/>
    <w:rsid w:val="00EB1DBF"/>
    <w:rsid w:val="00EB2411"/>
    <w:rsid w:val="00EB32BF"/>
    <w:rsid w:val="00EB66C4"/>
    <w:rsid w:val="00EC0083"/>
    <w:rsid w:val="00EC11DC"/>
    <w:rsid w:val="00EC429E"/>
    <w:rsid w:val="00EC5476"/>
    <w:rsid w:val="00ED2577"/>
    <w:rsid w:val="00ED55F2"/>
    <w:rsid w:val="00EE1EA1"/>
    <w:rsid w:val="00EE6D46"/>
    <w:rsid w:val="00EE7141"/>
    <w:rsid w:val="00EF19AD"/>
    <w:rsid w:val="00EF2C3C"/>
    <w:rsid w:val="00EF432A"/>
    <w:rsid w:val="00EF57A8"/>
    <w:rsid w:val="00F00588"/>
    <w:rsid w:val="00F05314"/>
    <w:rsid w:val="00F06CDD"/>
    <w:rsid w:val="00F10ED5"/>
    <w:rsid w:val="00F128A6"/>
    <w:rsid w:val="00F13E1E"/>
    <w:rsid w:val="00F14E3E"/>
    <w:rsid w:val="00F15421"/>
    <w:rsid w:val="00F16C48"/>
    <w:rsid w:val="00F16F62"/>
    <w:rsid w:val="00F17E55"/>
    <w:rsid w:val="00F21F79"/>
    <w:rsid w:val="00F2234C"/>
    <w:rsid w:val="00F22795"/>
    <w:rsid w:val="00F2691F"/>
    <w:rsid w:val="00F2752E"/>
    <w:rsid w:val="00F27A54"/>
    <w:rsid w:val="00F30C0A"/>
    <w:rsid w:val="00F33EBD"/>
    <w:rsid w:val="00F37E69"/>
    <w:rsid w:val="00F37FFA"/>
    <w:rsid w:val="00F40435"/>
    <w:rsid w:val="00F4282D"/>
    <w:rsid w:val="00F42A6F"/>
    <w:rsid w:val="00F44924"/>
    <w:rsid w:val="00F44EDE"/>
    <w:rsid w:val="00F4666D"/>
    <w:rsid w:val="00F46AE1"/>
    <w:rsid w:val="00F52583"/>
    <w:rsid w:val="00F53387"/>
    <w:rsid w:val="00F537D7"/>
    <w:rsid w:val="00F646A8"/>
    <w:rsid w:val="00F66F1C"/>
    <w:rsid w:val="00F71872"/>
    <w:rsid w:val="00F7482E"/>
    <w:rsid w:val="00F90F70"/>
    <w:rsid w:val="00F967CA"/>
    <w:rsid w:val="00FA06C3"/>
    <w:rsid w:val="00FA1A45"/>
    <w:rsid w:val="00FA1DEA"/>
    <w:rsid w:val="00FA33E4"/>
    <w:rsid w:val="00FA3596"/>
    <w:rsid w:val="00FA4397"/>
    <w:rsid w:val="00FA6BCA"/>
    <w:rsid w:val="00FB1ED8"/>
    <w:rsid w:val="00FB2D69"/>
    <w:rsid w:val="00FB3415"/>
    <w:rsid w:val="00FB4302"/>
    <w:rsid w:val="00FB4A99"/>
    <w:rsid w:val="00FB59B1"/>
    <w:rsid w:val="00FB5F56"/>
    <w:rsid w:val="00FC0382"/>
    <w:rsid w:val="00FC0CA5"/>
    <w:rsid w:val="00FC460F"/>
    <w:rsid w:val="00FC52E5"/>
    <w:rsid w:val="00FC53A0"/>
    <w:rsid w:val="00FC76EE"/>
    <w:rsid w:val="00FD29DC"/>
    <w:rsid w:val="00FD2E94"/>
    <w:rsid w:val="00FD300E"/>
    <w:rsid w:val="00FD3F49"/>
    <w:rsid w:val="00FE1E54"/>
    <w:rsid w:val="00FE3D9D"/>
    <w:rsid w:val="00FF2096"/>
    <w:rsid w:val="00FF236A"/>
    <w:rsid w:val="00FF4B2A"/>
    <w:rsid w:val="00FF547A"/>
    <w:rsid w:val="00FF5495"/>
    <w:rsid w:val="449DBD2C"/>
    <w:rsid w:val="52A326C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1F49E1"/>
  <w15:docId w15:val="{354CF7AC-156D-484E-9A1E-F0FA0D7F08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CO"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3119"/>
    <w:rPr>
      <w:rFonts w:ascii="Times New Roman" w:eastAsia="Times New Roman" w:hAnsi="Times New Roman" w:cs="Times New Roman"/>
      <w:lang w:val="es-ES_tradnl" w:eastAsia="es-MX"/>
    </w:rPr>
  </w:style>
  <w:style w:type="paragraph" w:styleId="Ttulo1">
    <w:name w:val="heading 1"/>
    <w:basedOn w:val="Normal"/>
    <w:link w:val="Ttulo1Car"/>
    <w:uiPriority w:val="9"/>
    <w:qFormat/>
    <w:rsid w:val="00F128A6"/>
    <w:pPr>
      <w:widowControl w:val="0"/>
      <w:autoSpaceDE w:val="0"/>
      <w:autoSpaceDN w:val="0"/>
      <w:ind w:left="543"/>
      <w:outlineLvl w:val="0"/>
    </w:pPr>
    <w:rPr>
      <w:rFonts w:ascii="Arial" w:eastAsia="Arial" w:hAnsi="Arial" w:cs="Arial"/>
      <w:b/>
      <w:bCs/>
      <w:sz w:val="22"/>
      <w:szCs w:val="22"/>
      <w:lang w:val="es-ES" w:eastAsia="en-US"/>
    </w:rPr>
  </w:style>
  <w:style w:type="paragraph" w:styleId="Ttulo4">
    <w:name w:val="heading 4"/>
    <w:basedOn w:val="Normal"/>
    <w:next w:val="Normal"/>
    <w:link w:val="Ttulo4Car"/>
    <w:uiPriority w:val="9"/>
    <w:semiHidden/>
    <w:unhideWhenUsed/>
    <w:qFormat/>
    <w:rsid w:val="00A02727"/>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3C7067"/>
    <w:pPr>
      <w:tabs>
        <w:tab w:val="center" w:pos="4419"/>
        <w:tab w:val="right" w:pos="8838"/>
      </w:tabs>
    </w:pPr>
    <w:rPr>
      <w:rFonts w:asciiTheme="minorHAnsi" w:eastAsiaTheme="minorHAnsi" w:hAnsiTheme="minorHAnsi" w:cstheme="minorBidi"/>
      <w:szCs w:val="22"/>
      <w:lang w:val="es-MX" w:eastAsia="en-US"/>
    </w:rPr>
  </w:style>
  <w:style w:type="character" w:customStyle="1" w:styleId="PiedepginaCar">
    <w:name w:val="Pie de página Car"/>
    <w:basedOn w:val="Fuentedeprrafopredeter"/>
    <w:link w:val="Piedepgina"/>
    <w:uiPriority w:val="99"/>
    <w:rsid w:val="003C7067"/>
    <w:rPr>
      <w:szCs w:val="22"/>
      <w:lang w:val="es-MX"/>
    </w:rPr>
  </w:style>
  <w:style w:type="paragraph" w:styleId="Encabezado">
    <w:name w:val="header"/>
    <w:basedOn w:val="Normal"/>
    <w:link w:val="EncabezadoCar"/>
    <w:uiPriority w:val="99"/>
    <w:unhideWhenUsed/>
    <w:rsid w:val="003C7067"/>
    <w:pPr>
      <w:tabs>
        <w:tab w:val="center" w:pos="4252"/>
        <w:tab w:val="right" w:pos="8504"/>
      </w:tabs>
    </w:pPr>
    <w:rPr>
      <w:rFonts w:asciiTheme="minorHAnsi" w:eastAsiaTheme="minorHAnsi" w:hAnsiTheme="minorHAnsi" w:cstheme="minorBidi"/>
      <w:szCs w:val="22"/>
      <w:lang w:val="es-MX" w:eastAsia="en-US"/>
    </w:rPr>
  </w:style>
  <w:style w:type="character" w:customStyle="1" w:styleId="EncabezadoCar">
    <w:name w:val="Encabezado Car"/>
    <w:basedOn w:val="Fuentedeprrafopredeter"/>
    <w:link w:val="Encabezado"/>
    <w:uiPriority w:val="99"/>
    <w:rsid w:val="003C7067"/>
    <w:rPr>
      <w:szCs w:val="22"/>
      <w:lang w:val="es-MX"/>
    </w:rPr>
  </w:style>
  <w:style w:type="table" w:styleId="Tablaconcuadrcula">
    <w:name w:val="Table Grid"/>
    <w:basedOn w:val="Tablanormal"/>
    <w:uiPriority w:val="39"/>
    <w:qFormat/>
    <w:rsid w:val="003C7067"/>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1"/>
    <w:qFormat/>
    <w:rsid w:val="003C7067"/>
    <w:pPr>
      <w:ind w:left="720"/>
      <w:contextualSpacing/>
    </w:pPr>
    <w:rPr>
      <w:rFonts w:asciiTheme="minorHAnsi" w:eastAsiaTheme="minorHAnsi" w:hAnsiTheme="minorHAnsi" w:cstheme="minorBidi"/>
      <w:szCs w:val="22"/>
      <w:lang w:val="es-MX" w:eastAsia="en-US"/>
    </w:rPr>
  </w:style>
  <w:style w:type="paragraph" w:styleId="Sinespaciado">
    <w:name w:val="No Spacing"/>
    <w:aliases w:val="No Indent"/>
    <w:uiPriority w:val="3"/>
    <w:qFormat/>
    <w:rsid w:val="003C7067"/>
    <w:rPr>
      <w:szCs w:val="22"/>
      <w:lang w:val="es-MX"/>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3C7067"/>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Car,fn"/>
    <w:basedOn w:val="Normal"/>
    <w:link w:val="TextonotapieCar"/>
    <w:uiPriority w:val="99"/>
    <w:unhideWhenUsed/>
    <w:qFormat/>
    <w:rsid w:val="003C7067"/>
    <w:rPr>
      <w:rFonts w:asciiTheme="minorHAnsi" w:eastAsiaTheme="minorHAnsi" w:hAnsiTheme="minorHAnsi" w:cstheme="minorBidi"/>
      <w:sz w:val="20"/>
      <w:szCs w:val="20"/>
      <w:lang w:val="es-MX" w:eastAsia="en-US"/>
    </w:rPr>
  </w:style>
  <w:style w:type="character" w:customStyle="1" w:styleId="TextonotapieCar1">
    <w:name w:val="Texto nota pie Car1"/>
    <w:aliases w:val="Texto nota pie Car Car,Footnote Text Char Char Char Char Car,Footnote Text Cha Car,Footnote Text Char Char Char Car,FA Fußnotentext Car,FA Fuﬂnotentext Car"/>
    <w:basedOn w:val="Fuentedeprrafopredeter"/>
    <w:qFormat/>
    <w:rsid w:val="003C7067"/>
    <w:rPr>
      <w:rFonts w:ascii="Times New Roman" w:eastAsia="Times New Roman" w:hAnsi="Times New Roman" w:cs="Times New Roman"/>
      <w:sz w:val="20"/>
      <w:szCs w:val="20"/>
      <w:lang w:eastAsia="es-MX"/>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3C7067"/>
    <w:rPr>
      <w:szCs w:val="22"/>
      <w:lang w:val="es-MX"/>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3C7067"/>
    <w:rPr>
      <w:vertAlign w:val="superscript"/>
    </w:rPr>
  </w:style>
  <w:style w:type="paragraph" w:styleId="Textoindependiente">
    <w:name w:val="Body Text"/>
    <w:basedOn w:val="Normal"/>
    <w:link w:val="TextoindependienteCar"/>
    <w:uiPriority w:val="1"/>
    <w:qFormat/>
    <w:rsid w:val="003C7067"/>
    <w:pPr>
      <w:widowControl w:val="0"/>
      <w:autoSpaceDE w:val="0"/>
      <w:autoSpaceDN w:val="0"/>
    </w:pPr>
    <w:rPr>
      <w:rFonts w:ascii="Arial" w:eastAsia="Arial" w:hAnsi="Arial" w:cs="Arial"/>
      <w:sz w:val="20"/>
      <w:szCs w:val="20"/>
      <w:lang w:val="es-ES" w:eastAsia="en-US"/>
    </w:rPr>
  </w:style>
  <w:style w:type="character" w:customStyle="1" w:styleId="TextoindependienteCar">
    <w:name w:val="Texto independiente Car"/>
    <w:basedOn w:val="Fuentedeprrafopredeter"/>
    <w:link w:val="Textoindependiente"/>
    <w:uiPriority w:val="1"/>
    <w:rsid w:val="003C7067"/>
    <w:rPr>
      <w:rFonts w:ascii="Arial" w:eastAsia="Arial" w:hAnsi="Arial" w:cs="Arial"/>
      <w:sz w:val="20"/>
      <w:szCs w:val="20"/>
      <w:lang w:val="es-ES"/>
    </w:rPr>
  </w:style>
  <w:style w:type="paragraph" w:customStyle="1" w:styleId="Appelnotedebasde">
    <w:name w:val="Appel note de bas de..."/>
    <w:basedOn w:val="Normal"/>
    <w:link w:val="Refdenotaalpie"/>
    <w:uiPriority w:val="99"/>
    <w:rsid w:val="003C7067"/>
    <w:pPr>
      <w:spacing w:after="160" w:line="240" w:lineRule="exact"/>
    </w:pPr>
    <w:rPr>
      <w:rFonts w:asciiTheme="minorHAnsi" w:eastAsiaTheme="minorHAnsi" w:hAnsiTheme="minorHAnsi" w:cstheme="minorBidi"/>
      <w:vertAlign w:val="superscript"/>
      <w:lang w:eastAsia="en-US"/>
    </w:rPr>
  </w:style>
  <w:style w:type="paragraph" w:styleId="Textocomentario">
    <w:name w:val="annotation text"/>
    <w:basedOn w:val="Normal"/>
    <w:link w:val="TextocomentarioCar"/>
    <w:uiPriority w:val="99"/>
    <w:unhideWhenUsed/>
    <w:rsid w:val="003C7067"/>
    <w:rPr>
      <w:sz w:val="20"/>
      <w:szCs w:val="20"/>
    </w:rPr>
  </w:style>
  <w:style w:type="character" w:customStyle="1" w:styleId="TextocomentarioCar">
    <w:name w:val="Texto comentario Car"/>
    <w:basedOn w:val="Fuentedeprrafopredeter"/>
    <w:link w:val="Textocomentario"/>
    <w:uiPriority w:val="99"/>
    <w:rsid w:val="003C7067"/>
    <w:rPr>
      <w:rFonts w:ascii="Times New Roman" w:eastAsia="Times New Roman" w:hAnsi="Times New Roman" w:cs="Times New Roman"/>
      <w:sz w:val="20"/>
      <w:szCs w:val="20"/>
      <w:lang w:eastAsia="es-MX"/>
    </w:rPr>
  </w:style>
  <w:style w:type="character" w:customStyle="1" w:styleId="normaltextrun">
    <w:name w:val="normaltextrun"/>
    <w:basedOn w:val="Fuentedeprrafopredeter"/>
    <w:rsid w:val="003C7067"/>
  </w:style>
  <w:style w:type="character" w:customStyle="1" w:styleId="eop">
    <w:name w:val="eop"/>
    <w:basedOn w:val="Fuentedeprrafopredeter"/>
    <w:rsid w:val="003C7067"/>
  </w:style>
  <w:style w:type="paragraph" w:customStyle="1" w:styleId="ql-align-justify">
    <w:name w:val="ql-align-justify"/>
    <w:basedOn w:val="Normal"/>
    <w:rsid w:val="003E060B"/>
    <w:pPr>
      <w:spacing w:before="100" w:beforeAutospacing="1" w:after="100" w:afterAutospacing="1"/>
    </w:pPr>
  </w:style>
  <w:style w:type="character" w:customStyle="1" w:styleId="apple-converted-space">
    <w:name w:val="apple-converted-space"/>
    <w:basedOn w:val="Fuentedeprrafopredeter"/>
    <w:rsid w:val="003E060B"/>
  </w:style>
  <w:style w:type="character" w:styleId="Refdecomentario">
    <w:name w:val="annotation reference"/>
    <w:basedOn w:val="Fuentedeprrafopredeter"/>
    <w:uiPriority w:val="99"/>
    <w:semiHidden/>
    <w:unhideWhenUsed/>
    <w:rsid w:val="0016321F"/>
    <w:rPr>
      <w:sz w:val="16"/>
      <w:szCs w:val="16"/>
    </w:rPr>
  </w:style>
  <w:style w:type="paragraph" w:styleId="Asuntodelcomentario">
    <w:name w:val="annotation subject"/>
    <w:basedOn w:val="Textocomentario"/>
    <w:next w:val="Textocomentario"/>
    <w:link w:val="AsuntodelcomentarioCar"/>
    <w:uiPriority w:val="99"/>
    <w:semiHidden/>
    <w:unhideWhenUsed/>
    <w:rsid w:val="0016321F"/>
    <w:rPr>
      <w:b/>
      <w:bCs/>
    </w:rPr>
  </w:style>
  <w:style w:type="character" w:customStyle="1" w:styleId="AsuntodelcomentarioCar">
    <w:name w:val="Asunto del comentario Car"/>
    <w:basedOn w:val="TextocomentarioCar"/>
    <w:link w:val="Asuntodelcomentario"/>
    <w:uiPriority w:val="99"/>
    <w:semiHidden/>
    <w:rsid w:val="0016321F"/>
    <w:rPr>
      <w:rFonts w:ascii="Times New Roman" w:eastAsia="Times New Roman" w:hAnsi="Times New Roman" w:cs="Times New Roman"/>
      <w:b/>
      <w:bCs/>
      <w:sz w:val="20"/>
      <w:szCs w:val="20"/>
      <w:lang w:eastAsia="es-MX"/>
    </w:rPr>
  </w:style>
  <w:style w:type="paragraph" w:styleId="Revisin">
    <w:name w:val="Revision"/>
    <w:hidden/>
    <w:uiPriority w:val="99"/>
    <w:semiHidden/>
    <w:rsid w:val="001B1ED3"/>
    <w:rPr>
      <w:rFonts w:ascii="Times New Roman" w:eastAsia="Times New Roman" w:hAnsi="Times New Roman" w:cs="Times New Roman"/>
      <w:lang w:eastAsia="es-MX"/>
    </w:rPr>
  </w:style>
  <w:style w:type="paragraph" w:customStyle="1" w:styleId="Normal11pt">
    <w:name w:val="Normal + 11 pt"/>
    <w:aliases w:val="Negro,Justificado,Izquierda:  -0,95 cm,Derecha:  0,04 cm"/>
    <w:basedOn w:val="Normal"/>
    <w:uiPriority w:val="99"/>
    <w:rsid w:val="00236169"/>
    <w:pPr>
      <w:ind w:left="-540"/>
      <w:jc w:val="both"/>
    </w:pPr>
    <w:rPr>
      <w:rFonts w:ascii="Arial" w:hAnsi="Arial" w:cs="Arial"/>
      <w:color w:val="000000"/>
      <w:sz w:val="22"/>
      <w:szCs w:val="22"/>
      <w:lang w:eastAsia="es-ES"/>
    </w:rPr>
  </w:style>
  <w:style w:type="character" w:styleId="Hipervnculo">
    <w:name w:val="Hyperlink"/>
    <w:basedOn w:val="Fuentedeprrafopredeter"/>
    <w:uiPriority w:val="99"/>
    <w:unhideWhenUsed/>
    <w:rsid w:val="009D6BD7"/>
    <w:rPr>
      <w:color w:val="0000FF"/>
      <w:u w:val="single"/>
    </w:rPr>
  </w:style>
  <w:style w:type="paragraph" w:styleId="NormalWeb">
    <w:name w:val="Normal (Web)"/>
    <w:basedOn w:val="Normal"/>
    <w:link w:val="NormalWebCar"/>
    <w:uiPriority w:val="99"/>
    <w:unhideWhenUsed/>
    <w:rsid w:val="004963B0"/>
    <w:pPr>
      <w:spacing w:before="100" w:beforeAutospacing="1" w:after="100" w:afterAutospacing="1"/>
    </w:pPr>
  </w:style>
  <w:style w:type="character" w:styleId="Textoennegrita">
    <w:name w:val="Strong"/>
    <w:basedOn w:val="Fuentedeprrafopredeter"/>
    <w:uiPriority w:val="22"/>
    <w:qFormat/>
    <w:rsid w:val="004963B0"/>
    <w:rPr>
      <w:b/>
      <w:bCs/>
    </w:rPr>
  </w:style>
  <w:style w:type="character" w:styleId="nfasis">
    <w:name w:val="Emphasis"/>
    <w:basedOn w:val="Fuentedeprrafopredeter"/>
    <w:uiPriority w:val="20"/>
    <w:qFormat/>
    <w:rsid w:val="004963B0"/>
    <w:rPr>
      <w:i/>
      <w:iCs/>
    </w:rPr>
  </w:style>
  <w:style w:type="character" w:customStyle="1" w:styleId="Mencinsinresolver1">
    <w:name w:val="Mención sin resolver1"/>
    <w:basedOn w:val="Fuentedeprrafopredeter"/>
    <w:uiPriority w:val="99"/>
    <w:semiHidden/>
    <w:unhideWhenUsed/>
    <w:rsid w:val="001F0BA1"/>
    <w:rPr>
      <w:color w:val="605E5C"/>
      <w:shd w:val="clear" w:color="auto" w:fill="E1DFDD"/>
    </w:rPr>
  </w:style>
  <w:style w:type="table" w:customStyle="1" w:styleId="Tablaconcuadrcula2">
    <w:name w:val="Tabla con cuadrícula2"/>
    <w:basedOn w:val="Tablanormal"/>
    <w:next w:val="Tablaconcuadrcula"/>
    <w:uiPriority w:val="39"/>
    <w:rsid w:val="00826A17"/>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WebCar">
    <w:name w:val="Normal (Web) Car"/>
    <w:link w:val="NormalWeb"/>
    <w:uiPriority w:val="99"/>
    <w:rsid w:val="00826A17"/>
    <w:rPr>
      <w:rFonts w:ascii="Times New Roman" w:eastAsia="Times New Roman" w:hAnsi="Times New Roman" w:cs="Times New Roman"/>
      <w:lang w:eastAsia="es-MX"/>
    </w:rPr>
  </w:style>
  <w:style w:type="character" w:customStyle="1" w:styleId="Ttulo1Car">
    <w:name w:val="Título 1 Car"/>
    <w:basedOn w:val="Fuentedeprrafopredeter"/>
    <w:link w:val="Ttulo1"/>
    <w:uiPriority w:val="9"/>
    <w:rsid w:val="00F128A6"/>
    <w:rPr>
      <w:rFonts w:ascii="Arial" w:eastAsia="Arial" w:hAnsi="Arial" w:cs="Arial"/>
      <w:b/>
      <w:bCs/>
      <w:sz w:val="22"/>
      <w:szCs w:val="22"/>
      <w:lang w:val="es-ES"/>
    </w:rPr>
  </w:style>
  <w:style w:type="paragraph" w:customStyle="1" w:styleId="gmail-msonospacing">
    <w:name w:val="gmail-msonospacing"/>
    <w:basedOn w:val="Normal"/>
    <w:rsid w:val="00731374"/>
    <w:pPr>
      <w:spacing w:before="100" w:beforeAutospacing="1" w:after="100" w:afterAutospacing="1"/>
    </w:pPr>
    <w:rPr>
      <w:rFonts w:ascii="Calibri" w:eastAsiaTheme="minorHAnsi" w:hAnsi="Calibri" w:cs="Calibri"/>
      <w:sz w:val="22"/>
      <w:szCs w:val="22"/>
      <w:lang w:val="es-ES" w:eastAsia="es-ES"/>
    </w:rPr>
  </w:style>
  <w:style w:type="paragraph" w:customStyle="1" w:styleId="Textocomentario1">
    <w:name w:val="Texto comentario1"/>
    <w:basedOn w:val="Normal"/>
    <w:next w:val="Textocomentario"/>
    <w:uiPriority w:val="99"/>
    <w:unhideWhenUsed/>
    <w:rsid w:val="009F4296"/>
    <w:rPr>
      <w:rFonts w:asciiTheme="minorHAnsi" w:eastAsiaTheme="minorHAnsi" w:hAnsiTheme="minorHAnsi" w:cstheme="minorBidi"/>
      <w:sz w:val="20"/>
      <w:szCs w:val="20"/>
      <w:lang w:val="es-MX" w:eastAsia="en-US"/>
    </w:rPr>
  </w:style>
  <w:style w:type="paragraph" w:customStyle="1" w:styleId="Car1">
    <w:name w:val="Car1"/>
    <w:basedOn w:val="Normal"/>
    <w:next w:val="Textonotapie"/>
    <w:uiPriority w:val="99"/>
    <w:unhideWhenUsed/>
    <w:qFormat/>
    <w:rsid w:val="009F4296"/>
    <w:rPr>
      <w:rFonts w:asciiTheme="minorHAnsi" w:eastAsiaTheme="minorHAnsi" w:hAnsiTheme="minorHAnsi" w:cstheme="minorBidi"/>
      <w:sz w:val="20"/>
      <w:szCs w:val="20"/>
      <w:lang w:val="es-MX" w:eastAsia="en-US"/>
    </w:rPr>
  </w:style>
  <w:style w:type="paragraph" w:customStyle="1" w:styleId="paragraph">
    <w:name w:val="paragraph"/>
    <w:basedOn w:val="Normal"/>
    <w:rsid w:val="002835D0"/>
    <w:pPr>
      <w:spacing w:before="100" w:beforeAutospacing="1" w:after="100" w:afterAutospacing="1"/>
    </w:pPr>
    <w:rPr>
      <w:lang w:eastAsia="es-CO"/>
    </w:rPr>
  </w:style>
  <w:style w:type="table" w:customStyle="1" w:styleId="Tablaconcuadrcula1">
    <w:name w:val="Tabla con cuadrícula1"/>
    <w:basedOn w:val="Tablanormal"/>
    <w:next w:val="Tablaconcuadrcula"/>
    <w:uiPriority w:val="59"/>
    <w:rsid w:val="00DF3130"/>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aj">
    <w:name w:val="b_aj"/>
    <w:basedOn w:val="Fuentedeprrafopredeter"/>
    <w:rsid w:val="00303F37"/>
  </w:style>
  <w:style w:type="character" w:customStyle="1" w:styleId="Ttulo4Car">
    <w:name w:val="Título 4 Car"/>
    <w:basedOn w:val="Fuentedeprrafopredeter"/>
    <w:link w:val="Ttulo4"/>
    <w:uiPriority w:val="9"/>
    <w:semiHidden/>
    <w:rsid w:val="00A02727"/>
    <w:rPr>
      <w:rFonts w:asciiTheme="majorHAnsi" w:eastAsiaTheme="majorEastAsia" w:hAnsiTheme="majorHAnsi" w:cstheme="majorBidi"/>
      <w:i/>
      <w:iCs/>
      <w:color w:val="2F5496" w:themeColor="accent1" w:themeShade="BF"/>
      <w:lang w:val="es-ES_tradnl" w:eastAsia="es-MX"/>
    </w:rPr>
  </w:style>
  <w:style w:type="character" w:styleId="Hipervnculovisitado">
    <w:name w:val="FollowedHyperlink"/>
    <w:basedOn w:val="Fuentedeprrafopredeter"/>
    <w:uiPriority w:val="99"/>
    <w:semiHidden/>
    <w:unhideWhenUsed/>
    <w:rsid w:val="00C63632"/>
    <w:rPr>
      <w:color w:val="954F72" w:themeColor="followedHyperlink"/>
      <w:u w:val="single"/>
    </w:rPr>
  </w:style>
  <w:style w:type="paragraph" w:customStyle="1" w:styleId="Default">
    <w:name w:val="Default"/>
    <w:rsid w:val="00D26A0D"/>
    <w:pPr>
      <w:autoSpaceDE w:val="0"/>
      <w:autoSpaceDN w:val="0"/>
      <w:adjustRightInd w:val="0"/>
    </w:pPr>
    <w:rPr>
      <w:rFonts w:ascii="Arial" w:hAnsi="Arial" w:cs="Arial"/>
      <w:color w:val="000000"/>
      <w:lang w:val="es-MX"/>
    </w:rPr>
  </w:style>
  <w:style w:type="table" w:customStyle="1" w:styleId="2">
    <w:name w:val="2"/>
    <w:basedOn w:val="Tablanormal"/>
    <w:rsid w:val="00460695"/>
    <w:pPr>
      <w:spacing w:before="120"/>
    </w:pPr>
    <w:rPr>
      <w:rFonts w:ascii="Calibri" w:eastAsia="Calibri" w:hAnsi="Calibri" w:cs="Calibri"/>
      <w:lang w:val="es-MX" w:eastAsia="es-ES_tradnl"/>
    </w:rPr>
    <w:tblPr>
      <w:tblStyleRowBandSize w:val="1"/>
      <w:tblStyleColBandSize w:val="1"/>
      <w:tblInd w:w="0" w:type="nil"/>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70698">
      <w:bodyDiv w:val="1"/>
      <w:marLeft w:val="0"/>
      <w:marRight w:val="0"/>
      <w:marTop w:val="0"/>
      <w:marBottom w:val="0"/>
      <w:divBdr>
        <w:top w:val="none" w:sz="0" w:space="0" w:color="auto"/>
        <w:left w:val="none" w:sz="0" w:space="0" w:color="auto"/>
        <w:bottom w:val="none" w:sz="0" w:space="0" w:color="auto"/>
        <w:right w:val="none" w:sz="0" w:space="0" w:color="auto"/>
      </w:divBdr>
    </w:div>
    <w:div w:id="95178968">
      <w:bodyDiv w:val="1"/>
      <w:marLeft w:val="0"/>
      <w:marRight w:val="0"/>
      <w:marTop w:val="0"/>
      <w:marBottom w:val="0"/>
      <w:divBdr>
        <w:top w:val="none" w:sz="0" w:space="0" w:color="auto"/>
        <w:left w:val="none" w:sz="0" w:space="0" w:color="auto"/>
        <w:bottom w:val="none" w:sz="0" w:space="0" w:color="auto"/>
        <w:right w:val="none" w:sz="0" w:space="0" w:color="auto"/>
      </w:divBdr>
      <w:divsChild>
        <w:div w:id="1018432453">
          <w:marLeft w:val="0"/>
          <w:marRight w:val="0"/>
          <w:marTop w:val="0"/>
          <w:marBottom w:val="0"/>
          <w:divBdr>
            <w:top w:val="none" w:sz="0" w:space="0" w:color="auto"/>
            <w:left w:val="none" w:sz="0" w:space="0" w:color="auto"/>
            <w:bottom w:val="none" w:sz="0" w:space="0" w:color="auto"/>
            <w:right w:val="none" w:sz="0" w:space="0" w:color="auto"/>
          </w:divBdr>
        </w:div>
      </w:divsChild>
    </w:div>
    <w:div w:id="108859970">
      <w:bodyDiv w:val="1"/>
      <w:marLeft w:val="0"/>
      <w:marRight w:val="0"/>
      <w:marTop w:val="0"/>
      <w:marBottom w:val="0"/>
      <w:divBdr>
        <w:top w:val="none" w:sz="0" w:space="0" w:color="auto"/>
        <w:left w:val="none" w:sz="0" w:space="0" w:color="auto"/>
        <w:bottom w:val="none" w:sz="0" w:space="0" w:color="auto"/>
        <w:right w:val="none" w:sz="0" w:space="0" w:color="auto"/>
      </w:divBdr>
    </w:div>
    <w:div w:id="146285508">
      <w:bodyDiv w:val="1"/>
      <w:marLeft w:val="0"/>
      <w:marRight w:val="0"/>
      <w:marTop w:val="0"/>
      <w:marBottom w:val="0"/>
      <w:divBdr>
        <w:top w:val="none" w:sz="0" w:space="0" w:color="auto"/>
        <w:left w:val="none" w:sz="0" w:space="0" w:color="auto"/>
        <w:bottom w:val="none" w:sz="0" w:space="0" w:color="auto"/>
        <w:right w:val="none" w:sz="0" w:space="0" w:color="auto"/>
      </w:divBdr>
    </w:div>
    <w:div w:id="232280027">
      <w:bodyDiv w:val="1"/>
      <w:marLeft w:val="0"/>
      <w:marRight w:val="0"/>
      <w:marTop w:val="0"/>
      <w:marBottom w:val="0"/>
      <w:divBdr>
        <w:top w:val="none" w:sz="0" w:space="0" w:color="auto"/>
        <w:left w:val="none" w:sz="0" w:space="0" w:color="auto"/>
        <w:bottom w:val="none" w:sz="0" w:space="0" w:color="auto"/>
        <w:right w:val="none" w:sz="0" w:space="0" w:color="auto"/>
      </w:divBdr>
      <w:divsChild>
        <w:div w:id="399133508">
          <w:marLeft w:val="0"/>
          <w:marRight w:val="0"/>
          <w:marTop w:val="0"/>
          <w:marBottom w:val="0"/>
          <w:divBdr>
            <w:top w:val="none" w:sz="0" w:space="0" w:color="auto"/>
            <w:left w:val="none" w:sz="0" w:space="0" w:color="auto"/>
            <w:bottom w:val="none" w:sz="0" w:space="0" w:color="auto"/>
            <w:right w:val="none" w:sz="0" w:space="0" w:color="auto"/>
          </w:divBdr>
          <w:divsChild>
            <w:div w:id="110511755">
              <w:marLeft w:val="0"/>
              <w:marRight w:val="0"/>
              <w:marTop w:val="0"/>
              <w:marBottom w:val="0"/>
              <w:divBdr>
                <w:top w:val="none" w:sz="0" w:space="0" w:color="auto"/>
                <w:left w:val="none" w:sz="0" w:space="0" w:color="auto"/>
                <w:bottom w:val="none" w:sz="0" w:space="0" w:color="auto"/>
                <w:right w:val="none" w:sz="0" w:space="0" w:color="auto"/>
              </w:divBdr>
            </w:div>
            <w:div w:id="173619910">
              <w:marLeft w:val="0"/>
              <w:marRight w:val="0"/>
              <w:marTop w:val="0"/>
              <w:marBottom w:val="0"/>
              <w:divBdr>
                <w:top w:val="none" w:sz="0" w:space="0" w:color="auto"/>
                <w:left w:val="none" w:sz="0" w:space="0" w:color="auto"/>
                <w:bottom w:val="none" w:sz="0" w:space="0" w:color="auto"/>
                <w:right w:val="none" w:sz="0" w:space="0" w:color="auto"/>
              </w:divBdr>
            </w:div>
            <w:div w:id="579483539">
              <w:marLeft w:val="0"/>
              <w:marRight w:val="0"/>
              <w:marTop w:val="0"/>
              <w:marBottom w:val="0"/>
              <w:divBdr>
                <w:top w:val="none" w:sz="0" w:space="0" w:color="auto"/>
                <w:left w:val="none" w:sz="0" w:space="0" w:color="auto"/>
                <w:bottom w:val="none" w:sz="0" w:space="0" w:color="auto"/>
                <w:right w:val="none" w:sz="0" w:space="0" w:color="auto"/>
              </w:divBdr>
            </w:div>
            <w:div w:id="792556381">
              <w:marLeft w:val="0"/>
              <w:marRight w:val="0"/>
              <w:marTop w:val="0"/>
              <w:marBottom w:val="0"/>
              <w:divBdr>
                <w:top w:val="none" w:sz="0" w:space="0" w:color="auto"/>
                <w:left w:val="none" w:sz="0" w:space="0" w:color="auto"/>
                <w:bottom w:val="none" w:sz="0" w:space="0" w:color="auto"/>
                <w:right w:val="none" w:sz="0" w:space="0" w:color="auto"/>
              </w:divBdr>
            </w:div>
            <w:div w:id="806319965">
              <w:marLeft w:val="0"/>
              <w:marRight w:val="0"/>
              <w:marTop w:val="0"/>
              <w:marBottom w:val="0"/>
              <w:divBdr>
                <w:top w:val="none" w:sz="0" w:space="0" w:color="auto"/>
                <w:left w:val="none" w:sz="0" w:space="0" w:color="auto"/>
                <w:bottom w:val="none" w:sz="0" w:space="0" w:color="auto"/>
                <w:right w:val="none" w:sz="0" w:space="0" w:color="auto"/>
              </w:divBdr>
            </w:div>
            <w:div w:id="1027372752">
              <w:marLeft w:val="0"/>
              <w:marRight w:val="0"/>
              <w:marTop w:val="0"/>
              <w:marBottom w:val="0"/>
              <w:divBdr>
                <w:top w:val="none" w:sz="0" w:space="0" w:color="auto"/>
                <w:left w:val="none" w:sz="0" w:space="0" w:color="auto"/>
                <w:bottom w:val="none" w:sz="0" w:space="0" w:color="auto"/>
                <w:right w:val="none" w:sz="0" w:space="0" w:color="auto"/>
              </w:divBdr>
            </w:div>
            <w:div w:id="1208839404">
              <w:marLeft w:val="0"/>
              <w:marRight w:val="0"/>
              <w:marTop w:val="0"/>
              <w:marBottom w:val="0"/>
              <w:divBdr>
                <w:top w:val="none" w:sz="0" w:space="0" w:color="auto"/>
                <w:left w:val="none" w:sz="0" w:space="0" w:color="auto"/>
                <w:bottom w:val="none" w:sz="0" w:space="0" w:color="auto"/>
                <w:right w:val="none" w:sz="0" w:space="0" w:color="auto"/>
              </w:divBdr>
            </w:div>
            <w:div w:id="1229070665">
              <w:marLeft w:val="0"/>
              <w:marRight w:val="0"/>
              <w:marTop w:val="0"/>
              <w:marBottom w:val="0"/>
              <w:divBdr>
                <w:top w:val="none" w:sz="0" w:space="0" w:color="auto"/>
                <w:left w:val="none" w:sz="0" w:space="0" w:color="auto"/>
                <w:bottom w:val="none" w:sz="0" w:space="0" w:color="auto"/>
                <w:right w:val="none" w:sz="0" w:space="0" w:color="auto"/>
              </w:divBdr>
            </w:div>
            <w:div w:id="1411733568">
              <w:marLeft w:val="0"/>
              <w:marRight w:val="0"/>
              <w:marTop w:val="0"/>
              <w:marBottom w:val="0"/>
              <w:divBdr>
                <w:top w:val="none" w:sz="0" w:space="0" w:color="auto"/>
                <w:left w:val="none" w:sz="0" w:space="0" w:color="auto"/>
                <w:bottom w:val="none" w:sz="0" w:space="0" w:color="auto"/>
                <w:right w:val="none" w:sz="0" w:space="0" w:color="auto"/>
              </w:divBdr>
            </w:div>
            <w:div w:id="1499230849">
              <w:marLeft w:val="0"/>
              <w:marRight w:val="0"/>
              <w:marTop w:val="0"/>
              <w:marBottom w:val="0"/>
              <w:divBdr>
                <w:top w:val="none" w:sz="0" w:space="0" w:color="auto"/>
                <w:left w:val="none" w:sz="0" w:space="0" w:color="auto"/>
                <w:bottom w:val="none" w:sz="0" w:space="0" w:color="auto"/>
                <w:right w:val="none" w:sz="0" w:space="0" w:color="auto"/>
              </w:divBdr>
            </w:div>
            <w:div w:id="1549955371">
              <w:marLeft w:val="0"/>
              <w:marRight w:val="0"/>
              <w:marTop w:val="0"/>
              <w:marBottom w:val="0"/>
              <w:divBdr>
                <w:top w:val="none" w:sz="0" w:space="0" w:color="auto"/>
                <w:left w:val="none" w:sz="0" w:space="0" w:color="auto"/>
                <w:bottom w:val="none" w:sz="0" w:space="0" w:color="auto"/>
                <w:right w:val="none" w:sz="0" w:space="0" w:color="auto"/>
              </w:divBdr>
            </w:div>
            <w:div w:id="1630018027">
              <w:marLeft w:val="0"/>
              <w:marRight w:val="0"/>
              <w:marTop w:val="0"/>
              <w:marBottom w:val="0"/>
              <w:divBdr>
                <w:top w:val="none" w:sz="0" w:space="0" w:color="auto"/>
                <w:left w:val="none" w:sz="0" w:space="0" w:color="auto"/>
                <w:bottom w:val="none" w:sz="0" w:space="0" w:color="auto"/>
                <w:right w:val="none" w:sz="0" w:space="0" w:color="auto"/>
              </w:divBdr>
            </w:div>
            <w:div w:id="1639648031">
              <w:marLeft w:val="0"/>
              <w:marRight w:val="0"/>
              <w:marTop w:val="0"/>
              <w:marBottom w:val="0"/>
              <w:divBdr>
                <w:top w:val="none" w:sz="0" w:space="0" w:color="auto"/>
                <w:left w:val="none" w:sz="0" w:space="0" w:color="auto"/>
                <w:bottom w:val="none" w:sz="0" w:space="0" w:color="auto"/>
                <w:right w:val="none" w:sz="0" w:space="0" w:color="auto"/>
              </w:divBdr>
            </w:div>
            <w:div w:id="1720202991">
              <w:marLeft w:val="0"/>
              <w:marRight w:val="0"/>
              <w:marTop w:val="0"/>
              <w:marBottom w:val="0"/>
              <w:divBdr>
                <w:top w:val="none" w:sz="0" w:space="0" w:color="auto"/>
                <w:left w:val="none" w:sz="0" w:space="0" w:color="auto"/>
                <w:bottom w:val="none" w:sz="0" w:space="0" w:color="auto"/>
                <w:right w:val="none" w:sz="0" w:space="0" w:color="auto"/>
              </w:divBdr>
            </w:div>
            <w:div w:id="2006325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7421424">
      <w:bodyDiv w:val="1"/>
      <w:marLeft w:val="0"/>
      <w:marRight w:val="0"/>
      <w:marTop w:val="0"/>
      <w:marBottom w:val="0"/>
      <w:divBdr>
        <w:top w:val="none" w:sz="0" w:space="0" w:color="auto"/>
        <w:left w:val="none" w:sz="0" w:space="0" w:color="auto"/>
        <w:bottom w:val="none" w:sz="0" w:space="0" w:color="auto"/>
        <w:right w:val="none" w:sz="0" w:space="0" w:color="auto"/>
      </w:divBdr>
    </w:div>
    <w:div w:id="337074326">
      <w:bodyDiv w:val="1"/>
      <w:marLeft w:val="0"/>
      <w:marRight w:val="0"/>
      <w:marTop w:val="0"/>
      <w:marBottom w:val="0"/>
      <w:divBdr>
        <w:top w:val="none" w:sz="0" w:space="0" w:color="auto"/>
        <w:left w:val="none" w:sz="0" w:space="0" w:color="auto"/>
        <w:bottom w:val="none" w:sz="0" w:space="0" w:color="auto"/>
        <w:right w:val="none" w:sz="0" w:space="0" w:color="auto"/>
      </w:divBdr>
    </w:div>
    <w:div w:id="371344272">
      <w:bodyDiv w:val="1"/>
      <w:marLeft w:val="0"/>
      <w:marRight w:val="0"/>
      <w:marTop w:val="0"/>
      <w:marBottom w:val="0"/>
      <w:divBdr>
        <w:top w:val="none" w:sz="0" w:space="0" w:color="auto"/>
        <w:left w:val="none" w:sz="0" w:space="0" w:color="auto"/>
        <w:bottom w:val="none" w:sz="0" w:space="0" w:color="auto"/>
        <w:right w:val="none" w:sz="0" w:space="0" w:color="auto"/>
      </w:divBdr>
    </w:div>
    <w:div w:id="377316997">
      <w:bodyDiv w:val="1"/>
      <w:marLeft w:val="0"/>
      <w:marRight w:val="0"/>
      <w:marTop w:val="0"/>
      <w:marBottom w:val="0"/>
      <w:divBdr>
        <w:top w:val="none" w:sz="0" w:space="0" w:color="auto"/>
        <w:left w:val="none" w:sz="0" w:space="0" w:color="auto"/>
        <w:bottom w:val="none" w:sz="0" w:space="0" w:color="auto"/>
        <w:right w:val="none" w:sz="0" w:space="0" w:color="auto"/>
      </w:divBdr>
    </w:div>
    <w:div w:id="433718327">
      <w:bodyDiv w:val="1"/>
      <w:marLeft w:val="0"/>
      <w:marRight w:val="0"/>
      <w:marTop w:val="0"/>
      <w:marBottom w:val="0"/>
      <w:divBdr>
        <w:top w:val="none" w:sz="0" w:space="0" w:color="auto"/>
        <w:left w:val="none" w:sz="0" w:space="0" w:color="auto"/>
        <w:bottom w:val="none" w:sz="0" w:space="0" w:color="auto"/>
        <w:right w:val="none" w:sz="0" w:space="0" w:color="auto"/>
      </w:divBdr>
      <w:divsChild>
        <w:div w:id="1906069724">
          <w:marLeft w:val="0"/>
          <w:marRight w:val="0"/>
          <w:marTop w:val="0"/>
          <w:marBottom w:val="0"/>
          <w:divBdr>
            <w:top w:val="none" w:sz="0" w:space="0" w:color="auto"/>
            <w:left w:val="none" w:sz="0" w:space="0" w:color="auto"/>
            <w:bottom w:val="none" w:sz="0" w:space="0" w:color="auto"/>
            <w:right w:val="none" w:sz="0" w:space="0" w:color="auto"/>
          </w:divBdr>
          <w:divsChild>
            <w:div w:id="976883789">
              <w:marLeft w:val="0"/>
              <w:marRight w:val="0"/>
              <w:marTop w:val="0"/>
              <w:marBottom w:val="0"/>
              <w:divBdr>
                <w:top w:val="none" w:sz="0" w:space="0" w:color="auto"/>
                <w:left w:val="none" w:sz="0" w:space="0" w:color="auto"/>
                <w:bottom w:val="none" w:sz="0" w:space="0" w:color="auto"/>
                <w:right w:val="none" w:sz="0" w:space="0" w:color="auto"/>
              </w:divBdr>
              <w:divsChild>
                <w:div w:id="384914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2421877">
      <w:bodyDiv w:val="1"/>
      <w:marLeft w:val="0"/>
      <w:marRight w:val="0"/>
      <w:marTop w:val="0"/>
      <w:marBottom w:val="0"/>
      <w:divBdr>
        <w:top w:val="none" w:sz="0" w:space="0" w:color="auto"/>
        <w:left w:val="none" w:sz="0" w:space="0" w:color="auto"/>
        <w:bottom w:val="none" w:sz="0" w:space="0" w:color="auto"/>
        <w:right w:val="none" w:sz="0" w:space="0" w:color="auto"/>
      </w:divBdr>
    </w:div>
    <w:div w:id="587084021">
      <w:bodyDiv w:val="1"/>
      <w:marLeft w:val="0"/>
      <w:marRight w:val="0"/>
      <w:marTop w:val="0"/>
      <w:marBottom w:val="0"/>
      <w:divBdr>
        <w:top w:val="none" w:sz="0" w:space="0" w:color="auto"/>
        <w:left w:val="none" w:sz="0" w:space="0" w:color="auto"/>
        <w:bottom w:val="none" w:sz="0" w:space="0" w:color="auto"/>
        <w:right w:val="none" w:sz="0" w:space="0" w:color="auto"/>
      </w:divBdr>
    </w:div>
    <w:div w:id="609052755">
      <w:bodyDiv w:val="1"/>
      <w:marLeft w:val="0"/>
      <w:marRight w:val="0"/>
      <w:marTop w:val="0"/>
      <w:marBottom w:val="0"/>
      <w:divBdr>
        <w:top w:val="none" w:sz="0" w:space="0" w:color="auto"/>
        <w:left w:val="none" w:sz="0" w:space="0" w:color="auto"/>
        <w:bottom w:val="none" w:sz="0" w:space="0" w:color="auto"/>
        <w:right w:val="none" w:sz="0" w:space="0" w:color="auto"/>
      </w:divBdr>
      <w:divsChild>
        <w:div w:id="632098825">
          <w:marLeft w:val="0"/>
          <w:marRight w:val="0"/>
          <w:marTop w:val="0"/>
          <w:marBottom w:val="0"/>
          <w:divBdr>
            <w:top w:val="none" w:sz="0" w:space="0" w:color="auto"/>
            <w:left w:val="none" w:sz="0" w:space="0" w:color="auto"/>
            <w:bottom w:val="none" w:sz="0" w:space="0" w:color="auto"/>
            <w:right w:val="none" w:sz="0" w:space="0" w:color="auto"/>
          </w:divBdr>
          <w:divsChild>
            <w:div w:id="1516073896">
              <w:marLeft w:val="0"/>
              <w:marRight w:val="0"/>
              <w:marTop w:val="0"/>
              <w:marBottom w:val="0"/>
              <w:divBdr>
                <w:top w:val="none" w:sz="0" w:space="0" w:color="auto"/>
                <w:left w:val="none" w:sz="0" w:space="0" w:color="auto"/>
                <w:bottom w:val="none" w:sz="0" w:space="0" w:color="auto"/>
                <w:right w:val="none" w:sz="0" w:space="0" w:color="auto"/>
              </w:divBdr>
              <w:divsChild>
                <w:div w:id="1876500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1183442">
      <w:bodyDiv w:val="1"/>
      <w:marLeft w:val="0"/>
      <w:marRight w:val="0"/>
      <w:marTop w:val="0"/>
      <w:marBottom w:val="0"/>
      <w:divBdr>
        <w:top w:val="none" w:sz="0" w:space="0" w:color="auto"/>
        <w:left w:val="none" w:sz="0" w:space="0" w:color="auto"/>
        <w:bottom w:val="none" w:sz="0" w:space="0" w:color="auto"/>
        <w:right w:val="none" w:sz="0" w:space="0" w:color="auto"/>
      </w:divBdr>
      <w:divsChild>
        <w:div w:id="347830034">
          <w:marLeft w:val="0"/>
          <w:marRight w:val="0"/>
          <w:marTop w:val="0"/>
          <w:marBottom w:val="0"/>
          <w:divBdr>
            <w:top w:val="none" w:sz="0" w:space="0" w:color="auto"/>
            <w:left w:val="none" w:sz="0" w:space="0" w:color="auto"/>
            <w:bottom w:val="none" w:sz="0" w:space="0" w:color="auto"/>
            <w:right w:val="none" w:sz="0" w:space="0" w:color="auto"/>
          </w:divBdr>
          <w:divsChild>
            <w:div w:id="1119496435">
              <w:marLeft w:val="0"/>
              <w:marRight w:val="0"/>
              <w:marTop w:val="0"/>
              <w:marBottom w:val="0"/>
              <w:divBdr>
                <w:top w:val="none" w:sz="0" w:space="0" w:color="auto"/>
                <w:left w:val="none" w:sz="0" w:space="0" w:color="auto"/>
                <w:bottom w:val="none" w:sz="0" w:space="0" w:color="auto"/>
                <w:right w:val="none" w:sz="0" w:space="0" w:color="auto"/>
              </w:divBdr>
              <w:divsChild>
                <w:div w:id="1223172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7855812">
      <w:bodyDiv w:val="1"/>
      <w:marLeft w:val="0"/>
      <w:marRight w:val="0"/>
      <w:marTop w:val="0"/>
      <w:marBottom w:val="0"/>
      <w:divBdr>
        <w:top w:val="none" w:sz="0" w:space="0" w:color="auto"/>
        <w:left w:val="none" w:sz="0" w:space="0" w:color="auto"/>
        <w:bottom w:val="none" w:sz="0" w:space="0" w:color="auto"/>
        <w:right w:val="none" w:sz="0" w:space="0" w:color="auto"/>
      </w:divBdr>
      <w:divsChild>
        <w:div w:id="540170377">
          <w:marLeft w:val="0"/>
          <w:marRight w:val="0"/>
          <w:marTop w:val="0"/>
          <w:marBottom w:val="0"/>
          <w:divBdr>
            <w:top w:val="none" w:sz="0" w:space="0" w:color="auto"/>
            <w:left w:val="none" w:sz="0" w:space="0" w:color="auto"/>
            <w:bottom w:val="none" w:sz="0" w:space="0" w:color="auto"/>
            <w:right w:val="none" w:sz="0" w:space="0" w:color="auto"/>
          </w:divBdr>
        </w:div>
      </w:divsChild>
    </w:div>
    <w:div w:id="729768611">
      <w:bodyDiv w:val="1"/>
      <w:marLeft w:val="0"/>
      <w:marRight w:val="0"/>
      <w:marTop w:val="0"/>
      <w:marBottom w:val="0"/>
      <w:divBdr>
        <w:top w:val="none" w:sz="0" w:space="0" w:color="auto"/>
        <w:left w:val="none" w:sz="0" w:space="0" w:color="auto"/>
        <w:bottom w:val="none" w:sz="0" w:space="0" w:color="auto"/>
        <w:right w:val="none" w:sz="0" w:space="0" w:color="auto"/>
      </w:divBdr>
    </w:div>
    <w:div w:id="886841932">
      <w:bodyDiv w:val="1"/>
      <w:marLeft w:val="0"/>
      <w:marRight w:val="0"/>
      <w:marTop w:val="0"/>
      <w:marBottom w:val="0"/>
      <w:divBdr>
        <w:top w:val="none" w:sz="0" w:space="0" w:color="auto"/>
        <w:left w:val="none" w:sz="0" w:space="0" w:color="auto"/>
        <w:bottom w:val="none" w:sz="0" w:space="0" w:color="auto"/>
        <w:right w:val="none" w:sz="0" w:space="0" w:color="auto"/>
      </w:divBdr>
      <w:divsChild>
        <w:div w:id="659425936">
          <w:marLeft w:val="0"/>
          <w:marRight w:val="0"/>
          <w:marTop w:val="0"/>
          <w:marBottom w:val="0"/>
          <w:divBdr>
            <w:top w:val="none" w:sz="0" w:space="0" w:color="auto"/>
            <w:left w:val="none" w:sz="0" w:space="0" w:color="auto"/>
            <w:bottom w:val="none" w:sz="0" w:space="0" w:color="auto"/>
            <w:right w:val="none" w:sz="0" w:space="0" w:color="auto"/>
          </w:divBdr>
          <w:divsChild>
            <w:div w:id="1237932363">
              <w:marLeft w:val="0"/>
              <w:marRight w:val="0"/>
              <w:marTop w:val="0"/>
              <w:marBottom w:val="0"/>
              <w:divBdr>
                <w:top w:val="none" w:sz="0" w:space="0" w:color="auto"/>
                <w:left w:val="none" w:sz="0" w:space="0" w:color="auto"/>
                <w:bottom w:val="none" w:sz="0" w:space="0" w:color="auto"/>
                <w:right w:val="none" w:sz="0" w:space="0" w:color="auto"/>
              </w:divBdr>
              <w:divsChild>
                <w:div w:id="197941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6914450">
      <w:bodyDiv w:val="1"/>
      <w:marLeft w:val="0"/>
      <w:marRight w:val="0"/>
      <w:marTop w:val="0"/>
      <w:marBottom w:val="0"/>
      <w:divBdr>
        <w:top w:val="none" w:sz="0" w:space="0" w:color="auto"/>
        <w:left w:val="none" w:sz="0" w:space="0" w:color="auto"/>
        <w:bottom w:val="none" w:sz="0" w:space="0" w:color="auto"/>
        <w:right w:val="none" w:sz="0" w:space="0" w:color="auto"/>
      </w:divBdr>
    </w:div>
    <w:div w:id="951012285">
      <w:bodyDiv w:val="1"/>
      <w:marLeft w:val="0"/>
      <w:marRight w:val="0"/>
      <w:marTop w:val="0"/>
      <w:marBottom w:val="0"/>
      <w:divBdr>
        <w:top w:val="none" w:sz="0" w:space="0" w:color="auto"/>
        <w:left w:val="none" w:sz="0" w:space="0" w:color="auto"/>
        <w:bottom w:val="none" w:sz="0" w:space="0" w:color="auto"/>
        <w:right w:val="none" w:sz="0" w:space="0" w:color="auto"/>
      </w:divBdr>
    </w:div>
    <w:div w:id="994911990">
      <w:bodyDiv w:val="1"/>
      <w:marLeft w:val="0"/>
      <w:marRight w:val="0"/>
      <w:marTop w:val="0"/>
      <w:marBottom w:val="0"/>
      <w:divBdr>
        <w:top w:val="none" w:sz="0" w:space="0" w:color="auto"/>
        <w:left w:val="none" w:sz="0" w:space="0" w:color="auto"/>
        <w:bottom w:val="none" w:sz="0" w:space="0" w:color="auto"/>
        <w:right w:val="none" w:sz="0" w:space="0" w:color="auto"/>
      </w:divBdr>
      <w:divsChild>
        <w:div w:id="724837066">
          <w:marLeft w:val="0"/>
          <w:marRight w:val="0"/>
          <w:marTop w:val="0"/>
          <w:marBottom w:val="0"/>
          <w:divBdr>
            <w:top w:val="none" w:sz="0" w:space="0" w:color="auto"/>
            <w:left w:val="none" w:sz="0" w:space="0" w:color="auto"/>
            <w:bottom w:val="none" w:sz="0" w:space="0" w:color="auto"/>
            <w:right w:val="none" w:sz="0" w:space="0" w:color="auto"/>
          </w:divBdr>
          <w:divsChild>
            <w:div w:id="519853884">
              <w:marLeft w:val="0"/>
              <w:marRight w:val="0"/>
              <w:marTop w:val="0"/>
              <w:marBottom w:val="0"/>
              <w:divBdr>
                <w:top w:val="none" w:sz="0" w:space="0" w:color="auto"/>
                <w:left w:val="none" w:sz="0" w:space="0" w:color="auto"/>
                <w:bottom w:val="none" w:sz="0" w:space="0" w:color="auto"/>
                <w:right w:val="none" w:sz="0" w:space="0" w:color="auto"/>
              </w:divBdr>
              <w:divsChild>
                <w:div w:id="927621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0645984">
      <w:bodyDiv w:val="1"/>
      <w:marLeft w:val="0"/>
      <w:marRight w:val="0"/>
      <w:marTop w:val="0"/>
      <w:marBottom w:val="0"/>
      <w:divBdr>
        <w:top w:val="none" w:sz="0" w:space="0" w:color="auto"/>
        <w:left w:val="none" w:sz="0" w:space="0" w:color="auto"/>
        <w:bottom w:val="none" w:sz="0" w:space="0" w:color="auto"/>
        <w:right w:val="none" w:sz="0" w:space="0" w:color="auto"/>
      </w:divBdr>
    </w:div>
    <w:div w:id="1158957361">
      <w:bodyDiv w:val="1"/>
      <w:marLeft w:val="0"/>
      <w:marRight w:val="0"/>
      <w:marTop w:val="0"/>
      <w:marBottom w:val="0"/>
      <w:divBdr>
        <w:top w:val="none" w:sz="0" w:space="0" w:color="auto"/>
        <w:left w:val="none" w:sz="0" w:space="0" w:color="auto"/>
        <w:bottom w:val="none" w:sz="0" w:space="0" w:color="auto"/>
        <w:right w:val="none" w:sz="0" w:space="0" w:color="auto"/>
      </w:divBdr>
      <w:divsChild>
        <w:div w:id="370500300">
          <w:marLeft w:val="0"/>
          <w:marRight w:val="0"/>
          <w:marTop w:val="0"/>
          <w:marBottom w:val="0"/>
          <w:divBdr>
            <w:top w:val="none" w:sz="0" w:space="0" w:color="auto"/>
            <w:left w:val="none" w:sz="0" w:space="0" w:color="auto"/>
            <w:bottom w:val="none" w:sz="0" w:space="0" w:color="auto"/>
            <w:right w:val="none" w:sz="0" w:space="0" w:color="auto"/>
          </w:divBdr>
          <w:divsChild>
            <w:div w:id="381832082">
              <w:marLeft w:val="0"/>
              <w:marRight w:val="0"/>
              <w:marTop w:val="0"/>
              <w:marBottom w:val="0"/>
              <w:divBdr>
                <w:top w:val="none" w:sz="0" w:space="0" w:color="auto"/>
                <w:left w:val="none" w:sz="0" w:space="0" w:color="auto"/>
                <w:bottom w:val="none" w:sz="0" w:space="0" w:color="auto"/>
                <w:right w:val="none" w:sz="0" w:space="0" w:color="auto"/>
              </w:divBdr>
            </w:div>
            <w:div w:id="1333412044">
              <w:marLeft w:val="0"/>
              <w:marRight w:val="0"/>
              <w:marTop w:val="0"/>
              <w:marBottom w:val="0"/>
              <w:divBdr>
                <w:top w:val="none" w:sz="0" w:space="0" w:color="auto"/>
                <w:left w:val="none" w:sz="0" w:space="0" w:color="auto"/>
                <w:bottom w:val="none" w:sz="0" w:space="0" w:color="auto"/>
                <w:right w:val="none" w:sz="0" w:space="0" w:color="auto"/>
              </w:divBdr>
            </w:div>
            <w:div w:id="1901859729">
              <w:marLeft w:val="0"/>
              <w:marRight w:val="0"/>
              <w:marTop w:val="0"/>
              <w:marBottom w:val="0"/>
              <w:divBdr>
                <w:top w:val="none" w:sz="0" w:space="0" w:color="auto"/>
                <w:left w:val="none" w:sz="0" w:space="0" w:color="auto"/>
                <w:bottom w:val="none" w:sz="0" w:space="0" w:color="auto"/>
                <w:right w:val="none" w:sz="0" w:space="0" w:color="auto"/>
              </w:divBdr>
            </w:div>
            <w:div w:id="863711006">
              <w:marLeft w:val="0"/>
              <w:marRight w:val="0"/>
              <w:marTop w:val="0"/>
              <w:marBottom w:val="0"/>
              <w:divBdr>
                <w:top w:val="none" w:sz="0" w:space="0" w:color="auto"/>
                <w:left w:val="none" w:sz="0" w:space="0" w:color="auto"/>
                <w:bottom w:val="none" w:sz="0" w:space="0" w:color="auto"/>
                <w:right w:val="none" w:sz="0" w:space="0" w:color="auto"/>
              </w:divBdr>
            </w:div>
            <w:div w:id="385295333">
              <w:marLeft w:val="0"/>
              <w:marRight w:val="0"/>
              <w:marTop w:val="0"/>
              <w:marBottom w:val="0"/>
              <w:divBdr>
                <w:top w:val="none" w:sz="0" w:space="0" w:color="auto"/>
                <w:left w:val="none" w:sz="0" w:space="0" w:color="auto"/>
                <w:bottom w:val="none" w:sz="0" w:space="0" w:color="auto"/>
                <w:right w:val="none" w:sz="0" w:space="0" w:color="auto"/>
              </w:divBdr>
            </w:div>
            <w:div w:id="394662775">
              <w:marLeft w:val="0"/>
              <w:marRight w:val="0"/>
              <w:marTop w:val="0"/>
              <w:marBottom w:val="0"/>
              <w:divBdr>
                <w:top w:val="none" w:sz="0" w:space="0" w:color="auto"/>
                <w:left w:val="none" w:sz="0" w:space="0" w:color="auto"/>
                <w:bottom w:val="none" w:sz="0" w:space="0" w:color="auto"/>
                <w:right w:val="none" w:sz="0" w:space="0" w:color="auto"/>
              </w:divBdr>
            </w:div>
            <w:div w:id="1114133781">
              <w:marLeft w:val="0"/>
              <w:marRight w:val="0"/>
              <w:marTop w:val="0"/>
              <w:marBottom w:val="0"/>
              <w:divBdr>
                <w:top w:val="none" w:sz="0" w:space="0" w:color="auto"/>
                <w:left w:val="none" w:sz="0" w:space="0" w:color="auto"/>
                <w:bottom w:val="none" w:sz="0" w:space="0" w:color="auto"/>
                <w:right w:val="none" w:sz="0" w:space="0" w:color="auto"/>
              </w:divBdr>
            </w:div>
            <w:div w:id="842359195">
              <w:marLeft w:val="0"/>
              <w:marRight w:val="0"/>
              <w:marTop w:val="0"/>
              <w:marBottom w:val="0"/>
              <w:divBdr>
                <w:top w:val="none" w:sz="0" w:space="0" w:color="auto"/>
                <w:left w:val="none" w:sz="0" w:space="0" w:color="auto"/>
                <w:bottom w:val="none" w:sz="0" w:space="0" w:color="auto"/>
                <w:right w:val="none" w:sz="0" w:space="0" w:color="auto"/>
              </w:divBdr>
            </w:div>
            <w:div w:id="776799276">
              <w:marLeft w:val="0"/>
              <w:marRight w:val="0"/>
              <w:marTop w:val="0"/>
              <w:marBottom w:val="0"/>
              <w:divBdr>
                <w:top w:val="none" w:sz="0" w:space="0" w:color="auto"/>
                <w:left w:val="none" w:sz="0" w:space="0" w:color="auto"/>
                <w:bottom w:val="none" w:sz="0" w:space="0" w:color="auto"/>
                <w:right w:val="none" w:sz="0" w:space="0" w:color="auto"/>
              </w:divBdr>
            </w:div>
            <w:div w:id="151066584">
              <w:marLeft w:val="0"/>
              <w:marRight w:val="0"/>
              <w:marTop w:val="0"/>
              <w:marBottom w:val="0"/>
              <w:divBdr>
                <w:top w:val="none" w:sz="0" w:space="0" w:color="auto"/>
                <w:left w:val="none" w:sz="0" w:space="0" w:color="auto"/>
                <w:bottom w:val="none" w:sz="0" w:space="0" w:color="auto"/>
                <w:right w:val="none" w:sz="0" w:space="0" w:color="auto"/>
              </w:divBdr>
            </w:div>
            <w:div w:id="1115979721">
              <w:marLeft w:val="0"/>
              <w:marRight w:val="0"/>
              <w:marTop w:val="0"/>
              <w:marBottom w:val="0"/>
              <w:divBdr>
                <w:top w:val="none" w:sz="0" w:space="0" w:color="auto"/>
                <w:left w:val="none" w:sz="0" w:space="0" w:color="auto"/>
                <w:bottom w:val="none" w:sz="0" w:space="0" w:color="auto"/>
                <w:right w:val="none" w:sz="0" w:space="0" w:color="auto"/>
              </w:divBdr>
            </w:div>
            <w:div w:id="1664628624">
              <w:marLeft w:val="0"/>
              <w:marRight w:val="0"/>
              <w:marTop w:val="0"/>
              <w:marBottom w:val="0"/>
              <w:divBdr>
                <w:top w:val="none" w:sz="0" w:space="0" w:color="auto"/>
                <w:left w:val="none" w:sz="0" w:space="0" w:color="auto"/>
                <w:bottom w:val="none" w:sz="0" w:space="0" w:color="auto"/>
                <w:right w:val="none" w:sz="0" w:space="0" w:color="auto"/>
              </w:divBdr>
            </w:div>
            <w:div w:id="527062691">
              <w:marLeft w:val="0"/>
              <w:marRight w:val="0"/>
              <w:marTop w:val="0"/>
              <w:marBottom w:val="0"/>
              <w:divBdr>
                <w:top w:val="none" w:sz="0" w:space="0" w:color="auto"/>
                <w:left w:val="none" w:sz="0" w:space="0" w:color="auto"/>
                <w:bottom w:val="none" w:sz="0" w:space="0" w:color="auto"/>
                <w:right w:val="none" w:sz="0" w:space="0" w:color="auto"/>
              </w:divBdr>
            </w:div>
            <w:div w:id="1474448764">
              <w:marLeft w:val="0"/>
              <w:marRight w:val="0"/>
              <w:marTop w:val="0"/>
              <w:marBottom w:val="0"/>
              <w:divBdr>
                <w:top w:val="none" w:sz="0" w:space="0" w:color="auto"/>
                <w:left w:val="none" w:sz="0" w:space="0" w:color="auto"/>
                <w:bottom w:val="none" w:sz="0" w:space="0" w:color="auto"/>
                <w:right w:val="none" w:sz="0" w:space="0" w:color="auto"/>
              </w:divBdr>
            </w:div>
            <w:div w:id="959459261">
              <w:marLeft w:val="0"/>
              <w:marRight w:val="0"/>
              <w:marTop w:val="0"/>
              <w:marBottom w:val="0"/>
              <w:divBdr>
                <w:top w:val="none" w:sz="0" w:space="0" w:color="auto"/>
                <w:left w:val="none" w:sz="0" w:space="0" w:color="auto"/>
                <w:bottom w:val="none" w:sz="0" w:space="0" w:color="auto"/>
                <w:right w:val="none" w:sz="0" w:space="0" w:color="auto"/>
              </w:divBdr>
            </w:div>
            <w:div w:id="1858421292">
              <w:marLeft w:val="0"/>
              <w:marRight w:val="0"/>
              <w:marTop w:val="0"/>
              <w:marBottom w:val="0"/>
              <w:divBdr>
                <w:top w:val="none" w:sz="0" w:space="0" w:color="auto"/>
                <w:left w:val="none" w:sz="0" w:space="0" w:color="auto"/>
                <w:bottom w:val="none" w:sz="0" w:space="0" w:color="auto"/>
                <w:right w:val="none" w:sz="0" w:space="0" w:color="auto"/>
              </w:divBdr>
            </w:div>
            <w:div w:id="932393527">
              <w:marLeft w:val="0"/>
              <w:marRight w:val="0"/>
              <w:marTop w:val="0"/>
              <w:marBottom w:val="0"/>
              <w:divBdr>
                <w:top w:val="none" w:sz="0" w:space="0" w:color="auto"/>
                <w:left w:val="none" w:sz="0" w:space="0" w:color="auto"/>
                <w:bottom w:val="none" w:sz="0" w:space="0" w:color="auto"/>
                <w:right w:val="none" w:sz="0" w:space="0" w:color="auto"/>
              </w:divBdr>
            </w:div>
            <w:div w:id="2000965068">
              <w:marLeft w:val="0"/>
              <w:marRight w:val="0"/>
              <w:marTop w:val="0"/>
              <w:marBottom w:val="0"/>
              <w:divBdr>
                <w:top w:val="none" w:sz="0" w:space="0" w:color="auto"/>
                <w:left w:val="none" w:sz="0" w:space="0" w:color="auto"/>
                <w:bottom w:val="none" w:sz="0" w:space="0" w:color="auto"/>
                <w:right w:val="none" w:sz="0" w:space="0" w:color="auto"/>
              </w:divBdr>
            </w:div>
            <w:div w:id="392121971">
              <w:marLeft w:val="0"/>
              <w:marRight w:val="0"/>
              <w:marTop w:val="0"/>
              <w:marBottom w:val="0"/>
              <w:divBdr>
                <w:top w:val="none" w:sz="0" w:space="0" w:color="auto"/>
                <w:left w:val="none" w:sz="0" w:space="0" w:color="auto"/>
                <w:bottom w:val="none" w:sz="0" w:space="0" w:color="auto"/>
                <w:right w:val="none" w:sz="0" w:space="0" w:color="auto"/>
              </w:divBdr>
            </w:div>
            <w:div w:id="736972137">
              <w:marLeft w:val="0"/>
              <w:marRight w:val="0"/>
              <w:marTop w:val="0"/>
              <w:marBottom w:val="0"/>
              <w:divBdr>
                <w:top w:val="none" w:sz="0" w:space="0" w:color="auto"/>
                <w:left w:val="none" w:sz="0" w:space="0" w:color="auto"/>
                <w:bottom w:val="none" w:sz="0" w:space="0" w:color="auto"/>
                <w:right w:val="none" w:sz="0" w:space="0" w:color="auto"/>
              </w:divBdr>
            </w:div>
            <w:div w:id="1590693338">
              <w:marLeft w:val="0"/>
              <w:marRight w:val="0"/>
              <w:marTop w:val="0"/>
              <w:marBottom w:val="0"/>
              <w:divBdr>
                <w:top w:val="none" w:sz="0" w:space="0" w:color="auto"/>
                <w:left w:val="none" w:sz="0" w:space="0" w:color="auto"/>
                <w:bottom w:val="none" w:sz="0" w:space="0" w:color="auto"/>
                <w:right w:val="none" w:sz="0" w:space="0" w:color="auto"/>
              </w:divBdr>
            </w:div>
            <w:div w:id="2098090144">
              <w:marLeft w:val="0"/>
              <w:marRight w:val="0"/>
              <w:marTop w:val="0"/>
              <w:marBottom w:val="0"/>
              <w:divBdr>
                <w:top w:val="none" w:sz="0" w:space="0" w:color="auto"/>
                <w:left w:val="none" w:sz="0" w:space="0" w:color="auto"/>
                <w:bottom w:val="none" w:sz="0" w:space="0" w:color="auto"/>
                <w:right w:val="none" w:sz="0" w:space="0" w:color="auto"/>
              </w:divBdr>
            </w:div>
            <w:div w:id="514149318">
              <w:marLeft w:val="0"/>
              <w:marRight w:val="0"/>
              <w:marTop w:val="0"/>
              <w:marBottom w:val="0"/>
              <w:divBdr>
                <w:top w:val="none" w:sz="0" w:space="0" w:color="auto"/>
                <w:left w:val="none" w:sz="0" w:space="0" w:color="auto"/>
                <w:bottom w:val="none" w:sz="0" w:space="0" w:color="auto"/>
                <w:right w:val="none" w:sz="0" w:space="0" w:color="auto"/>
              </w:divBdr>
            </w:div>
            <w:div w:id="2068843972">
              <w:marLeft w:val="0"/>
              <w:marRight w:val="0"/>
              <w:marTop w:val="0"/>
              <w:marBottom w:val="0"/>
              <w:divBdr>
                <w:top w:val="none" w:sz="0" w:space="0" w:color="auto"/>
                <w:left w:val="none" w:sz="0" w:space="0" w:color="auto"/>
                <w:bottom w:val="none" w:sz="0" w:space="0" w:color="auto"/>
                <w:right w:val="none" w:sz="0" w:space="0" w:color="auto"/>
              </w:divBdr>
            </w:div>
            <w:div w:id="780957430">
              <w:marLeft w:val="0"/>
              <w:marRight w:val="0"/>
              <w:marTop w:val="0"/>
              <w:marBottom w:val="0"/>
              <w:divBdr>
                <w:top w:val="none" w:sz="0" w:space="0" w:color="auto"/>
                <w:left w:val="none" w:sz="0" w:space="0" w:color="auto"/>
                <w:bottom w:val="none" w:sz="0" w:space="0" w:color="auto"/>
                <w:right w:val="none" w:sz="0" w:space="0" w:color="auto"/>
              </w:divBdr>
            </w:div>
            <w:div w:id="1450011094">
              <w:marLeft w:val="0"/>
              <w:marRight w:val="0"/>
              <w:marTop w:val="0"/>
              <w:marBottom w:val="0"/>
              <w:divBdr>
                <w:top w:val="none" w:sz="0" w:space="0" w:color="auto"/>
                <w:left w:val="none" w:sz="0" w:space="0" w:color="auto"/>
                <w:bottom w:val="none" w:sz="0" w:space="0" w:color="auto"/>
                <w:right w:val="none" w:sz="0" w:space="0" w:color="auto"/>
              </w:divBdr>
            </w:div>
            <w:div w:id="1853690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8905248">
      <w:bodyDiv w:val="1"/>
      <w:marLeft w:val="0"/>
      <w:marRight w:val="0"/>
      <w:marTop w:val="0"/>
      <w:marBottom w:val="0"/>
      <w:divBdr>
        <w:top w:val="none" w:sz="0" w:space="0" w:color="auto"/>
        <w:left w:val="none" w:sz="0" w:space="0" w:color="auto"/>
        <w:bottom w:val="none" w:sz="0" w:space="0" w:color="auto"/>
        <w:right w:val="none" w:sz="0" w:space="0" w:color="auto"/>
      </w:divBdr>
      <w:divsChild>
        <w:div w:id="1541093712">
          <w:marLeft w:val="0"/>
          <w:marRight w:val="0"/>
          <w:marTop w:val="0"/>
          <w:marBottom w:val="0"/>
          <w:divBdr>
            <w:top w:val="none" w:sz="0" w:space="0" w:color="auto"/>
            <w:left w:val="none" w:sz="0" w:space="0" w:color="auto"/>
            <w:bottom w:val="none" w:sz="0" w:space="0" w:color="auto"/>
            <w:right w:val="none" w:sz="0" w:space="0" w:color="auto"/>
          </w:divBdr>
          <w:divsChild>
            <w:div w:id="928268909">
              <w:marLeft w:val="0"/>
              <w:marRight w:val="0"/>
              <w:marTop w:val="0"/>
              <w:marBottom w:val="0"/>
              <w:divBdr>
                <w:top w:val="none" w:sz="0" w:space="0" w:color="auto"/>
                <w:left w:val="none" w:sz="0" w:space="0" w:color="auto"/>
                <w:bottom w:val="none" w:sz="0" w:space="0" w:color="auto"/>
                <w:right w:val="none" w:sz="0" w:space="0" w:color="auto"/>
              </w:divBdr>
              <w:divsChild>
                <w:div w:id="581065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2031244">
      <w:bodyDiv w:val="1"/>
      <w:marLeft w:val="0"/>
      <w:marRight w:val="0"/>
      <w:marTop w:val="0"/>
      <w:marBottom w:val="0"/>
      <w:divBdr>
        <w:top w:val="none" w:sz="0" w:space="0" w:color="auto"/>
        <w:left w:val="none" w:sz="0" w:space="0" w:color="auto"/>
        <w:bottom w:val="none" w:sz="0" w:space="0" w:color="auto"/>
        <w:right w:val="none" w:sz="0" w:space="0" w:color="auto"/>
      </w:divBdr>
    </w:div>
    <w:div w:id="1403792217">
      <w:bodyDiv w:val="1"/>
      <w:marLeft w:val="0"/>
      <w:marRight w:val="0"/>
      <w:marTop w:val="0"/>
      <w:marBottom w:val="0"/>
      <w:divBdr>
        <w:top w:val="none" w:sz="0" w:space="0" w:color="auto"/>
        <w:left w:val="none" w:sz="0" w:space="0" w:color="auto"/>
        <w:bottom w:val="none" w:sz="0" w:space="0" w:color="auto"/>
        <w:right w:val="none" w:sz="0" w:space="0" w:color="auto"/>
      </w:divBdr>
      <w:divsChild>
        <w:div w:id="1821799566">
          <w:marLeft w:val="0"/>
          <w:marRight w:val="0"/>
          <w:marTop w:val="15"/>
          <w:marBottom w:val="0"/>
          <w:divBdr>
            <w:top w:val="single" w:sz="48" w:space="0" w:color="auto"/>
            <w:left w:val="single" w:sz="48" w:space="0" w:color="auto"/>
            <w:bottom w:val="single" w:sz="48" w:space="0" w:color="auto"/>
            <w:right w:val="single" w:sz="48" w:space="0" w:color="auto"/>
          </w:divBdr>
          <w:divsChild>
            <w:div w:id="1615357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4535866">
      <w:bodyDiv w:val="1"/>
      <w:marLeft w:val="0"/>
      <w:marRight w:val="0"/>
      <w:marTop w:val="0"/>
      <w:marBottom w:val="0"/>
      <w:divBdr>
        <w:top w:val="none" w:sz="0" w:space="0" w:color="auto"/>
        <w:left w:val="none" w:sz="0" w:space="0" w:color="auto"/>
        <w:bottom w:val="none" w:sz="0" w:space="0" w:color="auto"/>
        <w:right w:val="none" w:sz="0" w:space="0" w:color="auto"/>
      </w:divBdr>
      <w:divsChild>
        <w:div w:id="117649283">
          <w:marLeft w:val="0"/>
          <w:marRight w:val="0"/>
          <w:marTop w:val="0"/>
          <w:marBottom w:val="0"/>
          <w:divBdr>
            <w:top w:val="none" w:sz="0" w:space="0" w:color="auto"/>
            <w:left w:val="none" w:sz="0" w:space="0" w:color="auto"/>
            <w:bottom w:val="none" w:sz="0" w:space="0" w:color="auto"/>
            <w:right w:val="none" w:sz="0" w:space="0" w:color="auto"/>
          </w:divBdr>
        </w:div>
      </w:divsChild>
    </w:div>
    <w:div w:id="1560088786">
      <w:bodyDiv w:val="1"/>
      <w:marLeft w:val="0"/>
      <w:marRight w:val="0"/>
      <w:marTop w:val="0"/>
      <w:marBottom w:val="0"/>
      <w:divBdr>
        <w:top w:val="none" w:sz="0" w:space="0" w:color="auto"/>
        <w:left w:val="none" w:sz="0" w:space="0" w:color="auto"/>
        <w:bottom w:val="none" w:sz="0" w:space="0" w:color="auto"/>
        <w:right w:val="none" w:sz="0" w:space="0" w:color="auto"/>
      </w:divBdr>
      <w:divsChild>
        <w:div w:id="526336664">
          <w:marLeft w:val="0"/>
          <w:marRight w:val="0"/>
          <w:marTop w:val="0"/>
          <w:marBottom w:val="0"/>
          <w:divBdr>
            <w:top w:val="none" w:sz="0" w:space="0" w:color="auto"/>
            <w:left w:val="none" w:sz="0" w:space="0" w:color="auto"/>
            <w:bottom w:val="none" w:sz="0" w:space="0" w:color="auto"/>
            <w:right w:val="none" w:sz="0" w:space="0" w:color="auto"/>
          </w:divBdr>
          <w:divsChild>
            <w:div w:id="2057464757">
              <w:marLeft w:val="0"/>
              <w:marRight w:val="0"/>
              <w:marTop w:val="0"/>
              <w:marBottom w:val="0"/>
              <w:divBdr>
                <w:top w:val="none" w:sz="0" w:space="0" w:color="auto"/>
                <w:left w:val="none" w:sz="0" w:space="0" w:color="auto"/>
                <w:bottom w:val="none" w:sz="0" w:space="0" w:color="auto"/>
                <w:right w:val="none" w:sz="0" w:space="0" w:color="auto"/>
              </w:divBdr>
              <w:divsChild>
                <w:div w:id="907959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425548">
      <w:bodyDiv w:val="1"/>
      <w:marLeft w:val="0"/>
      <w:marRight w:val="0"/>
      <w:marTop w:val="0"/>
      <w:marBottom w:val="0"/>
      <w:divBdr>
        <w:top w:val="none" w:sz="0" w:space="0" w:color="auto"/>
        <w:left w:val="none" w:sz="0" w:space="0" w:color="auto"/>
        <w:bottom w:val="none" w:sz="0" w:space="0" w:color="auto"/>
        <w:right w:val="none" w:sz="0" w:space="0" w:color="auto"/>
      </w:divBdr>
    </w:div>
    <w:div w:id="1650090261">
      <w:bodyDiv w:val="1"/>
      <w:marLeft w:val="0"/>
      <w:marRight w:val="0"/>
      <w:marTop w:val="0"/>
      <w:marBottom w:val="0"/>
      <w:divBdr>
        <w:top w:val="none" w:sz="0" w:space="0" w:color="auto"/>
        <w:left w:val="none" w:sz="0" w:space="0" w:color="auto"/>
        <w:bottom w:val="none" w:sz="0" w:space="0" w:color="auto"/>
        <w:right w:val="none" w:sz="0" w:space="0" w:color="auto"/>
      </w:divBdr>
      <w:divsChild>
        <w:div w:id="228663037">
          <w:marLeft w:val="0"/>
          <w:marRight w:val="0"/>
          <w:marTop w:val="0"/>
          <w:marBottom w:val="0"/>
          <w:divBdr>
            <w:top w:val="none" w:sz="0" w:space="0" w:color="auto"/>
            <w:left w:val="none" w:sz="0" w:space="0" w:color="auto"/>
            <w:bottom w:val="none" w:sz="0" w:space="0" w:color="auto"/>
            <w:right w:val="none" w:sz="0" w:space="0" w:color="auto"/>
          </w:divBdr>
          <w:divsChild>
            <w:div w:id="997659273">
              <w:marLeft w:val="0"/>
              <w:marRight w:val="0"/>
              <w:marTop w:val="0"/>
              <w:marBottom w:val="0"/>
              <w:divBdr>
                <w:top w:val="none" w:sz="0" w:space="0" w:color="auto"/>
                <w:left w:val="none" w:sz="0" w:space="0" w:color="auto"/>
                <w:bottom w:val="none" w:sz="0" w:space="0" w:color="auto"/>
                <w:right w:val="none" w:sz="0" w:space="0" w:color="auto"/>
              </w:divBdr>
              <w:divsChild>
                <w:div w:id="774786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0236345">
      <w:bodyDiv w:val="1"/>
      <w:marLeft w:val="0"/>
      <w:marRight w:val="0"/>
      <w:marTop w:val="0"/>
      <w:marBottom w:val="0"/>
      <w:divBdr>
        <w:top w:val="none" w:sz="0" w:space="0" w:color="auto"/>
        <w:left w:val="none" w:sz="0" w:space="0" w:color="auto"/>
        <w:bottom w:val="none" w:sz="0" w:space="0" w:color="auto"/>
        <w:right w:val="none" w:sz="0" w:space="0" w:color="auto"/>
      </w:divBdr>
    </w:div>
    <w:div w:id="1705908602">
      <w:bodyDiv w:val="1"/>
      <w:marLeft w:val="0"/>
      <w:marRight w:val="0"/>
      <w:marTop w:val="0"/>
      <w:marBottom w:val="0"/>
      <w:divBdr>
        <w:top w:val="none" w:sz="0" w:space="0" w:color="auto"/>
        <w:left w:val="none" w:sz="0" w:space="0" w:color="auto"/>
        <w:bottom w:val="none" w:sz="0" w:space="0" w:color="auto"/>
        <w:right w:val="none" w:sz="0" w:space="0" w:color="auto"/>
      </w:divBdr>
    </w:div>
    <w:div w:id="1730685673">
      <w:bodyDiv w:val="1"/>
      <w:marLeft w:val="0"/>
      <w:marRight w:val="0"/>
      <w:marTop w:val="0"/>
      <w:marBottom w:val="0"/>
      <w:divBdr>
        <w:top w:val="none" w:sz="0" w:space="0" w:color="auto"/>
        <w:left w:val="none" w:sz="0" w:space="0" w:color="auto"/>
        <w:bottom w:val="none" w:sz="0" w:space="0" w:color="auto"/>
        <w:right w:val="none" w:sz="0" w:space="0" w:color="auto"/>
      </w:divBdr>
    </w:div>
    <w:div w:id="1768768690">
      <w:bodyDiv w:val="1"/>
      <w:marLeft w:val="0"/>
      <w:marRight w:val="0"/>
      <w:marTop w:val="0"/>
      <w:marBottom w:val="0"/>
      <w:divBdr>
        <w:top w:val="none" w:sz="0" w:space="0" w:color="auto"/>
        <w:left w:val="none" w:sz="0" w:space="0" w:color="auto"/>
        <w:bottom w:val="none" w:sz="0" w:space="0" w:color="auto"/>
        <w:right w:val="none" w:sz="0" w:space="0" w:color="auto"/>
      </w:divBdr>
    </w:div>
    <w:div w:id="1780875609">
      <w:bodyDiv w:val="1"/>
      <w:marLeft w:val="0"/>
      <w:marRight w:val="0"/>
      <w:marTop w:val="0"/>
      <w:marBottom w:val="0"/>
      <w:divBdr>
        <w:top w:val="none" w:sz="0" w:space="0" w:color="auto"/>
        <w:left w:val="none" w:sz="0" w:space="0" w:color="auto"/>
        <w:bottom w:val="none" w:sz="0" w:space="0" w:color="auto"/>
        <w:right w:val="none" w:sz="0" w:space="0" w:color="auto"/>
      </w:divBdr>
    </w:div>
    <w:div w:id="1787656124">
      <w:bodyDiv w:val="1"/>
      <w:marLeft w:val="0"/>
      <w:marRight w:val="0"/>
      <w:marTop w:val="0"/>
      <w:marBottom w:val="0"/>
      <w:divBdr>
        <w:top w:val="none" w:sz="0" w:space="0" w:color="auto"/>
        <w:left w:val="none" w:sz="0" w:space="0" w:color="auto"/>
        <w:bottom w:val="none" w:sz="0" w:space="0" w:color="auto"/>
        <w:right w:val="none" w:sz="0" w:space="0" w:color="auto"/>
      </w:divBdr>
    </w:div>
    <w:div w:id="2018271483">
      <w:bodyDiv w:val="1"/>
      <w:marLeft w:val="0"/>
      <w:marRight w:val="0"/>
      <w:marTop w:val="0"/>
      <w:marBottom w:val="0"/>
      <w:divBdr>
        <w:top w:val="none" w:sz="0" w:space="0" w:color="auto"/>
        <w:left w:val="none" w:sz="0" w:space="0" w:color="auto"/>
        <w:bottom w:val="none" w:sz="0" w:space="0" w:color="auto"/>
        <w:right w:val="none" w:sz="0" w:space="0" w:color="auto"/>
      </w:divBdr>
    </w:div>
    <w:div w:id="2050033785">
      <w:bodyDiv w:val="1"/>
      <w:marLeft w:val="0"/>
      <w:marRight w:val="0"/>
      <w:marTop w:val="0"/>
      <w:marBottom w:val="0"/>
      <w:divBdr>
        <w:top w:val="none" w:sz="0" w:space="0" w:color="auto"/>
        <w:left w:val="none" w:sz="0" w:space="0" w:color="auto"/>
        <w:bottom w:val="none" w:sz="0" w:space="0" w:color="auto"/>
        <w:right w:val="none" w:sz="0" w:space="0" w:color="auto"/>
      </w:divBdr>
    </w:div>
    <w:div w:id="2089690658">
      <w:bodyDiv w:val="1"/>
      <w:marLeft w:val="0"/>
      <w:marRight w:val="0"/>
      <w:marTop w:val="0"/>
      <w:marBottom w:val="0"/>
      <w:divBdr>
        <w:top w:val="none" w:sz="0" w:space="0" w:color="auto"/>
        <w:left w:val="none" w:sz="0" w:space="0" w:color="auto"/>
        <w:bottom w:val="none" w:sz="0" w:space="0" w:color="auto"/>
        <w:right w:val="none" w:sz="0" w:space="0" w:color="auto"/>
      </w:divBdr>
      <w:divsChild>
        <w:div w:id="135414708">
          <w:marLeft w:val="0"/>
          <w:marRight w:val="0"/>
          <w:marTop w:val="0"/>
          <w:marBottom w:val="0"/>
          <w:divBdr>
            <w:top w:val="none" w:sz="0" w:space="0" w:color="auto"/>
            <w:left w:val="none" w:sz="0" w:space="0" w:color="auto"/>
            <w:bottom w:val="none" w:sz="0" w:space="0" w:color="auto"/>
            <w:right w:val="none" w:sz="0" w:space="0" w:color="auto"/>
          </w:divBdr>
          <w:divsChild>
            <w:div w:id="196892328">
              <w:marLeft w:val="0"/>
              <w:marRight w:val="0"/>
              <w:marTop w:val="0"/>
              <w:marBottom w:val="0"/>
              <w:divBdr>
                <w:top w:val="none" w:sz="0" w:space="0" w:color="auto"/>
                <w:left w:val="none" w:sz="0" w:space="0" w:color="auto"/>
                <w:bottom w:val="none" w:sz="0" w:space="0" w:color="auto"/>
                <w:right w:val="none" w:sz="0" w:space="0" w:color="auto"/>
              </w:divBdr>
              <w:divsChild>
                <w:div w:id="13381731">
                  <w:marLeft w:val="0"/>
                  <w:marRight w:val="0"/>
                  <w:marTop w:val="0"/>
                  <w:marBottom w:val="0"/>
                  <w:divBdr>
                    <w:top w:val="none" w:sz="0" w:space="0" w:color="auto"/>
                    <w:left w:val="none" w:sz="0" w:space="0" w:color="auto"/>
                    <w:bottom w:val="none" w:sz="0" w:space="0" w:color="auto"/>
                    <w:right w:val="none" w:sz="0" w:space="0" w:color="auto"/>
                  </w:divBdr>
                </w:div>
                <w:div w:id="133526210">
                  <w:marLeft w:val="0"/>
                  <w:marRight w:val="0"/>
                  <w:marTop w:val="0"/>
                  <w:marBottom w:val="0"/>
                  <w:divBdr>
                    <w:top w:val="none" w:sz="0" w:space="0" w:color="auto"/>
                    <w:left w:val="none" w:sz="0" w:space="0" w:color="auto"/>
                    <w:bottom w:val="none" w:sz="0" w:space="0" w:color="auto"/>
                    <w:right w:val="none" w:sz="0" w:space="0" w:color="auto"/>
                  </w:divBdr>
                </w:div>
                <w:div w:id="164825959">
                  <w:marLeft w:val="0"/>
                  <w:marRight w:val="0"/>
                  <w:marTop w:val="0"/>
                  <w:marBottom w:val="0"/>
                  <w:divBdr>
                    <w:top w:val="none" w:sz="0" w:space="0" w:color="auto"/>
                    <w:left w:val="none" w:sz="0" w:space="0" w:color="auto"/>
                    <w:bottom w:val="none" w:sz="0" w:space="0" w:color="auto"/>
                    <w:right w:val="none" w:sz="0" w:space="0" w:color="auto"/>
                  </w:divBdr>
                </w:div>
                <w:div w:id="681275181">
                  <w:marLeft w:val="0"/>
                  <w:marRight w:val="0"/>
                  <w:marTop w:val="0"/>
                  <w:marBottom w:val="0"/>
                  <w:divBdr>
                    <w:top w:val="none" w:sz="0" w:space="0" w:color="auto"/>
                    <w:left w:val="none" w:sz="0" w:space="0" w:color="auto"/>
                    <w:bottom w:val="none" w:sz="0" w:space="0" w:color="auto"/>
                    <w:right w:val="none" w:sz="0" w:space="0" w:color="auto"/>
                  </w:divBdr>
                </w:div>
                <w:div w:id="723455002">
                  <w:marLeft w:val="0"/>
                  <w:marRight w:val="0"/>
                  <w:marTop w:val="0"/>
                  <w:marBottom w:val="0"/>
                  <w:divBdr>
                    <w:top w:val="none" w:sz="0" w:space="0" w:color="auto"/>
                    <w:left w:val="none" w:sz="0" w:space="0" w:color="auto"/>
                    <w:bottom w:val="none" w:sz="0" w:space="0" w:color="auto"/>
                    <w:right w:val="none" w:sz="0" w:space="0" w:color="auto"/>
                  </w:divBdr>
                </w:div>
                <w:div w:id="815923830">
                  <w:marLeft w:val="0"/>
                  <w:marRight w:val="0"/>
                  <w:marTop w:val="0"/>
                  <w:marBottom w:val="0"/>
                  <w:divBdr>
                    <w:top w:val="none" w:sz="0" w:space="0" w:color="auto"/>
                    <w:left w:val="none" w:sz="0" w:space="0" w:color="auto"/>
                    <w:bottom w:val="none" w:sz="0" w:space="0" w:color="auto"/>
                    <w:right w:val="none" w:sz="0" w:space="0" w:color="auto"/>
                  </w:divBdr>
                </w:div>
                <w:div w:id="819418525">
                  <w:marLeft w:val="0"/>
                  <w:marRight w:val="0"/>
                  <w:marTop w:val="0"/>
                  <w:marBottom w:val="0"/>
                  <w:divBdr>
                    <w:top w:val="none" w:sz="0" w:space="0" w:color="auto"/>
                    <w:left w:val="none" w:sz="0" w:space="0" w:color="auto"/>
                    <w:bottom w:val="none" w:sz="0" w:space="0" w:color="auto"/>
                    <w:right w:val="none" w:sz="0" w:space="0" w:color="auto"/>
                  </w:divBdr>
                </w:div>
                <w:div w:id="1060593502">
                  <w:marLeft w:val="0"/>
                  <w:marRight w:val="0"/>
                  <w:marTop w:val="0"/>
                  <w:marBottom w:val="0"/>
                  <w:divBdr>
                    <w:top w:val="none" w:sz="0" w:space="0" w:color="auto"/>
                    <w:left w:val="none" w:sz="0" w:space="0" w:color="auto"/>
                    <w:bottom w:val="none" w:sz="0" w:space="0" w:color="auto"/>
                    <w:right w:val="none" w:sz="0" w:space="0" w:color="auto"/>
                  </w:divBdr>
                </w:div>
                <w:div w:id="1087651719">
                  <w:marLeft w:val="0"/>
                  <w:marRight w:val="0"/>
                  <w:marTop w:val="0"/>
                  <w:marBottom w:val="0"/>
                  <w:divBdr>
                    <w:top w:val="none" w:sz="0" w:space="0" w:color="auto"/>
                    <w:left w:val="none" w:sz="0" w:space="0" w:color="auto"/>
                    <w:bottom w:val="none" w:sz="0" w:space="0" w:color="auto"/>
                    <w:right w:val="none" w:sz="0" w:space="0" w:color="auto"/>
                  </w:divBdr>
                </w:div>
                <w:div w:id="1153333282">
                  <w:marLeft w:val="0"/>
                  <w:marRight w:val="0"/>
                  <w:marTop w:val="0"/>
                  <w:marBottom w:val="0"/>
                  <w:divBdr>
                    <w:top w:val="none" w:sz="0" w:space="0" w:color="auto"/>
                    <w:left w:val="none" w:sz="0" w:space="0" w:color="auto"/>
                    <w:bottom w:val="none" w:sz="0" w:space="0" w:color="auto"/>
                    <w:right w:val="none" w:sz="0" w:space="0" w:color="auto"/>
                  </w:divBdr>
                </w:div>
                <w:div w:id="1357582108">
                  <w:marLeft w:val="0"/>
                  <w:marRight w:val="0"/>
                  <w:marTop w:val="0"/>
                  <w:marBottom w:val="0"/>
                  <w:divBdr>
                    <w:top w:val="none" w:sz="0" w:space="0" w:color="auto"/>
                    <w:left w:val="none" w:sz="0" w:space="0" w:color="auto"/>
                    <w:bottom w:val="none" w:sz="0" w:space="0" w:color="auto"/>
                    <w:right w:val="none" w:sz="0" w:space="0" w:color="auto"/>
                  </w:divBdr>
                </w:div>
                <w:div w:id="1510556059">
                  <w:marLeft w:val="0"/>
                  <w:marRight w:val="0"/>
                  <w:marTop w:val="0"/>
                  <w:marBottom w:val="0"/>
                  <w:divBdr>
                    <w:top w:val="none" w:sz="0" w:space="0" w:color="auto"/>
                    <w:left w:val="none" w:sz="0" w:space="0" w:color="auto"/>
                    <w:bottom w:val="none" w:sz="0" w:space="0" w:color="auto"/>
                    <w:right w:val="none" w:sz="0" w:space="0" w:color="auto"/>
                  </w:divBdr>
                </w:div>
                <w:div w:id="1685205253">
                  <w:marLeft w:val="0"/>
                  <w:marRight w:val="0"/>
                  <w:marTop w:val="0"/>
                  <w:marBottom w:val="0"/>
                  <w:divBdr>
                    <w:top w:val="none" w:sz="0" w:space="0" w:color="auto"/>
                    <w:left w:val="none" w:sz="0" w:space="0" w:color="auto"/>
                    <w:bottom w:val="none" w:sz="0" w:space="0" w:color="auto"/>
                    <w:right w:val="none" w:sz="0" w:space="0" w:color="auto"/>
                  </w:divBdr>
                </w:div>
                <w:div w:id="1698384643">
                  <w:marLeft w:val="0"/>
                  <w:marRight w:val="0"/>
                  <w:marTop w:val="0"/>
                  <w:marBottom w:val="0"/>
                  <w:divBdr>
                    <w:top w:val="none" w:sz="0" w:space="0" w:color="auto"/>
                    <w:left w:val="none" w:sz="0" w:space="0" w:color="auto"/>
                    <w:bottom w:val="none" w:sz="0" w:space="0" w:color="auto"/>
                    <w:right w:val="none" w:sz="0" w:space="0" w:color="auto"/>
                  </w:divBdr>
                </w:div>
                <w:div w:id="2000578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48920">
          <w:marLeft w:val="0"/>
          <w:marRight w:val="0"/>
          <w:marTop w:val="0"/>
          <w:marBottom w:val="0"/>
          <w:divBdr>
            <w:top w:val="none" w:sz="0" w:space="0" w:color="auto"/>
            <w:left w:val="none" w:sz="0" w:space="0" w:color="auto"/>
            <w:bottom w:val="none" w:sz="0" w:space="0" w:color="auto"/>
            <w:right w:val="none" w:sz="0" w:space="0" w:color="auto"/>
          </w:divBdr>
        </w:div>
      </w:divsChild>
    </w:div>
    <w:div w:id="2092847234">
      <w:bodyDiv w:val="1"/>
      <w:marLeft w:val="0"/>
      <w:marRight w:val="0"/>
      <w:marTop w:val="0"/>
      <w:marBottom w:val="0"/>
      <w:divBdr>
        <w:top w:val="none" w:sz="0" w:space="0" w:color="auto"/>
        <w:left w:val="none" w:sz="0" w:space="0" w:color="auto"/>
        <w:bottom w:val="none" w:sz="0" w:space="0" w:color="auto"/>
        <w:right w:val="none" w:sz="0" w:space="0" w:color="auto"/>
      </w:divBdr>
      <w:divsChild>
        <w:div w:id="1374696518">
          <w:marLeft w:val="0"/>
          <w:marRight w:val="0"/>
          <w:marTop w:val="0"/>
          <w:marBottom w:val="0"/>
          <w:divBdr>
            <w:top w:val="none" w:sz="0" w:space="0" w:color="auto"/>
            <w:left w:val="none" w:sz="0" w:space="0" w:color="auto"/>
            <w:bottom w:val="none" w:sz="0" w:space="0" w:color="auto"/>
            <w:right w:val="none" w:sz="0" w:space="0" w:color="auto"/>
          </w:divBdr>
          <w:divsChild>
            <w:div w:id="96683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5.jpg"/></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4d0aff64a573d8785e6a72518a5ad9d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36a2f457a6205ac8ec841d28bbb076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91C509D-0285-439D-BD13-859167D23B6F}">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A8B7F1C0-1756-4140-9A45-94FD109DB406}">
  <ds:schemaRefs>
    <ds:schemaRef ds:uri="http://schemas.microsoft.com/sharepoint/v3/contenttype/forms"/>
  </ds:schemaRefs>
</ds:datastoreItem>
</file>

<file path=customXml/itemProps3.xml><?xml version="1.0" encoding="utf-8"?>
<ds:datastoreItem xmlns:ds="http://schemas.openxmlformats.org/officeDocument/2006/customXml" ds:itemID="{D8320B32-A075-485C-9EB4-E3507E29EEAC}">
  <ds:schemaRefs>
    <ds:schemaRef ds:uri="http://schemas.openxmlformats.org/officeDocument/2006/bibliography"/>
  </ds:schemaRefs>
</ds:datastoreItem>
</file>

<file path=customXml/itemProps4.xml><?xml version="1.0" encoding="utf-8"?>
<ds:datastoreItem xmlns:ds="http://schemas.openxmlformats.org/officeDocument/2006/customXml" ds:itemID="{2C9C184F-03D0-4DA7-9E5D-996292418EF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69</TotalTime>
  <Pages>11</Pages>
  <Words>4118</Words>
  <Characters>22652</Characters>
  <Application>Microsoft Office Word</Application>
  <DocSecurity>0</DocSecurity>
  <Lines>188</Lines>
  <Paragraphs>53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nicolle saenz camargo</dc:creator>
  <cp:keywords/>
  <dc:description/>
  <cp:lastModifiedBy>Luisa Fernanda Pascuaza Cabrera</cp:lastModifiedBy>
  <cp:revision>45</cp:revision>
  <cp:lastPrinted>2022-09-23T06:38:00Z</cp:lastPrinted>
  <dcterms:created xsi:type="dcterms:W3CDTF">2022-10-04T20:08:00Z</dcterms:created>
  <dcterms:modified xsi:type="dcterms:W3CDTF">2022-11-09T23:15:00Z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