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3CAC71" w14:textId="5282EFA7" w:rsidR="002415B8" w:rsidRPr="00FC292C" w:rsidRDefault="00B55C69" w:rsidP="001A4314">
      <w:pPr>
        <w:jc w:val="right"/>
        <w:rPr>
          <w:rFonts w:ascii="Arial" w:eastAsia="Calibri" w:hAnsi="Arial" w:cs="Arial"/>
          <w:b/>
          <w:sz w:val="20"/>
          <w:szCs w:val="20"/>
          <w:lang w:val="es-ES_tradnl"/>
        </w:rPr>
      </w:pPr>
      <w:bookmarkStart w:id="0" w:name="_Hlk28946138"/>
      <w:bookmarkStart w:id="1" w:name="_Hlk29548183"/>
      <w:r w:rsidRPr="00FC292C">
        <w:rPr>
          <w:rFonts w:ascii="Arial" w:hAnsi="Arial" w:cs="Arial"/>
          <w:bCs/>
          <w:sz w:val="16"/>
          <w:szCs w:val="16"/>
          <w:lang w:val="es-ES_tradnl" w:eastAsia="es-ES"/>
        </w:rPr>
        <w:t>CCE-DES-FM-17</w:t>
      </w:r>
      <w:bookmarkEnd w:id="0"/>
      <w:bookmarkEnd w:id="1"/>
    </w:p>
    <w:p w14:paraId="55FBD910" w14:textId="77777777" w:rsidR="008536BB" w:rsidRPr="00FC292C" w:rsidRDefault="008536BB" w:rsidP="00B95C30">
      <w:pPr>
        <w:spacing w:line="276" w:lineRule="auto"/>
        <w:jc w:val="both"/>
        <w:rPr>
          <w:rFonts w:ascii="Arial" w:hAnsi="Arial" w:cs="Arial"/>
          <w:noProof/>
          <w:sz w:val="22"/>
          <w:lang w:val="es-ES_tradnl"/>
        </w:rPr>
      </w:pPr>
    </w:p>
    <w:p w14:paraId="6A9E6ADF" w14:textId="169A7A08" w:rsidR="00EC224E" w:rsidRPr="00FC292C" w:rsidRDefault="00EC224E" w:rsidP="00EC224E">
      <w:pPr>
        <w:jc w:val="both"/>
        <w:rPr>
          <w:rFonts w:ascii="Arial" w:eastAsia="Calibri" w:hAnsi="Arial" w:cs="Arial"/>
          <w:b/>
          <w:sz w:val="22"/>
          <w:lang w:val="es-ES_tradnl"/>
        </w:rPr>
      </w:pPr>
      <w:r w:rsidRPr="00FC292C">
        <w:rPr>
          <w:rFonts w:ascii="Arial" w:eastAsia="Calibri" w:hAnsi="Arial" w:cs="Arial"/>
          <w:b/>
          <w:sz w:val="22"/>
          <w:lang w:val="es-ES_tradnl"/>
        </w:rPr>
        <w:t xml:space="preserve">LEY DE EMPRENDIMIENTO – Ley </w:t>
      </w:r>
      <w:r w:rsidR="001F0325" w:rsidRPr="00FC292C">
        <w:rPr>
          <w:rFonts w:ascii="Arial" w:eastAsia="Calibri" w:hAnsi="Arial" w:cs="Arial"/>
          <w:b/>
          <w:sz w:val="22"/>
          <w:lang w:val="es-ES_tradnl"/>
        </w:rPr>
        <w:t>2069</w:t>
      </w:r>
      <w:r w:rsidRPr="00FC292C">
        <w:rPr>
          <w:rFonts w:ascii="Arial" w:eastAsia="Calibri" w:hAnsi="Arial" w:cs="Arial"/>
          <w:b/>
          <w:sz w:val="22"/>
          <w:lang w:val="es-ES_tradnl"/>
        </w:rPr>
        <w:t xml:space="preserve"> de 2020 – Vigencia </w:t>
      </w:r>
    </w:p>
    <w:p w14:paraId="5A76D430" w14:textId="77777777" w:rsidR="00EC224E" w:rsidRPr="00FC292C" w:rsidRDefault="00EC224E" w:rsidP="00EC224E">
      <w:pPr>
        <w:jc w:val="both"/>
        <w:rPr>
          <w:rFonts w:ascii="Arial" w:eastAsia="Calibri" w:hAnsi="Arial" w:cs="Arial"/>
          <w:b/>
          <w:sz w:val="22"/>
          <w:lang w:val="es-ES_tradnl"/>
        </w:rPr>
      </w:pPr>
    </w:p>
    <w:p w14:paraId="2D3EEF8C" w14:textId="374CB8DA" w:rsidR="004D0CA6" w:rsidRDefault="00FC292C" w:rsidP="004D0CA6">
      <w:pPr>
        <w:jc w:val="both"/>
        <w:rPr>
          <w:rFonts w:ascii="Arial" w:eastAsia="Calibri" w:hAnsi="Arial" w:cs="Arial"/>
          <w:sz w:val="20"/>
          <w:szCs w:val="20"/>
          <w:lang w:val="es-ES_tradnl"/>
        </w:rPr>
      </w:pPr>
      <w:r w:rsidRPr="00FC292C">
        <w:rPr>
          <w:rFonts w:ascii="Arial" w:eastAsia="Calibri" w:hAnsi="Arial" w:cs="Arial"/>
          <w:sz w:val="20"/>
          <w:szCs w:val="20"/>
          <w:lang w:val="es-ES_tradnl"/>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 potestad que fue ejercida a través de la expedición del Decreto 1860 de 2021, al cual se hará referencia más adelante</w:t>
      </w:r>
      <w:r>
        <w:rPr>
          <w:rFonts w:ascii="Arial" w:eastAsia="Calibri" w:hAnsi="Arial" w:cs="Arial"/>
          <w:sz w:val="20"/>
          <w:szCs w:val="20"/>
          <w:lang w:val="es-ES_tradnl"/>
        </w:rPr>
        <w:t>.</w:t>
      </w:r>
    </w:p>
    <w:p w14:paraId="155C4C1A" w14:textId="77777777" w:rsidR="00FC292C" w:rsidRPr="00FC292C" w:rsidRDefault="00FC292C" w:rsidP="004D0CA6">
      <w:pPr>
        <w:jc w:val="both"/>
        <w:rPr>
          <w:rFonts w:ascii="Arial" w:eastAsia="Calibri" w:hAnsi="Arial" w:cs="Arial"/>
          <w:sz w:val="20"/>
          <w:szCs w:val="20"/>
          <w:lang w:val="es-ES_tradnl"/>
        </w:rPr>
      </w:pPr>
    </w:p>
    <w:p w14:paraId="6278A885" w14:textId="773326C9" w:rsidR="004D0CA6" w:rsidRPr="00FC292C" w:rsidRDefault="00FC292C" w:rsidP="004D0CA6">
      <w:pPr>
        <w:jc w:val="both"/>
        <w:rPr>
          <w:rFonts w:ascii="Arial" w:eastAsia="Calibri" w:hAnsi="Arial" w:cs="Arial"/>
          <w:sz w:val="20"/>
          <w:szCs w:val="20"/>
          <w:lang w:val="es-ES_tradnl"/>
        </w:rPr>
      </w:pPr>
      <w:r w:rsidRPr="00FC292C">
        <w:rPr>
          <w:rFonts w:ascii="Arial" w:eastAsia="Calibri" w:hAnsi="Arial" w:cs="Arial"/>
          <w:sz w:val="20"/>
          <w:szCs w:val="20"/>
          <w:lang w:val="es-ES_tradnl"/>
        </w:rPr>
        <w:t xml:space="preserve">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FC292C">
        <w:rPr>
          <w:rFonts w:ascii="Arial" w:eastAsia="Calibri" w:hAnsi="Arial" w:cs="Arial"/>
          <w:sz w:val="20"/>
          <w:szCs w:val="20"/>
          <w:lang w:val="es-ES_tradnl"/>
        </w:rPr>
        <w:t>de acuerdo a</w:t>
      </w:r>
      <w:proofErr w:type="gramEnd"/>
      <w:r w:rsidRPr="00FC292C">
        <w:rPr>
          <w:rFonts w:ascii="Arial" w:eastAsia="Calibri" w:hAnsi="Arial" w:cs="Arial"/>
          <w:sz w:val="20"/>
          <w:szCs w:val="20"/>
          <w:lang w:val="es-ES_tradnl"/>
        </w:rPr>
        <w:t xml:space="preserve"> las realidades socioeconómicas de cada región». En desarrollo de esta finalidad, se establecen medidas de apoyo para las micro, pequeñas y medianas empresas –</w:t>
      </w:r>
      <w:proofErr w:type="spellStart"/>
      <w:r w:rsidRPr="00FC292C">
        <w:rPr>
          <w:rFonts w:ascii="Arial" w:eastAsia="Calibri" w:hAnsi="Arial" w:cs="Arial"/>
          <w:sz w:val="20"/>
          <w:szCs w:val="20"/>
          <w:lang w:val="es-ES_tradnl"/>
        </w:rPr>
        <w:t>mipymes</w:t>
      </w:r>
      <w:proofErr w:type="spellEnd"/>
      <w:r w:rsidRPr="00FC292C">
        <w:rPr>
          <w:rFonts w:ascii="Arial" w:eastAsia="Calibri" w:hAnsi="Arial" w:cs="Arial"/>
          <w:sz w:val="20"/>
          <w:szCs w:val="20"/>
          <w:lang w:val="es-ES_tradnl"/>
        </w:rPr>
        <w:t xml:space="preserve">–, mediante la racionalización y simplificación de los trámites y </w:t>
      </w:r>
      <w:proofErr w:type="gramStart"/>
      <w:r w:rsidRPr="00FC292C">
        <w:rPr>
          <w:rFonts w:ascii="Arial" w:eastAsia="Calibri" w:hAnsi="Arial" w:cs="Arial"/>
          <w:sz w:val="20"/>
          <w:szCs w:val="20"/>
          <w:lang w:val="es-ES_tradnl"/>
        </w:rPr>
        <w:t>tarifas ,</w:t>
      </w:r>
      <w:proofErr w:type="gramEnd"/>
      <w:r w:rsidRPr="00FC292C">
        <w:rPr>
          <w:rFonts w:ascii="Arial" w:eastAsia="Calibri" w:hAnsi="Arial" w:cs="Arial"/>
          <w:sz w:val="20"/>
          <w:szCs w:val="20"/>
          <w:lang w:val="es-ES_tradnl"/>
        </w:rPr>
        <w:t xml:space="preserve"> así como incentivos a favor de aquellas dentro del sistema de compras y contratación pública . También se consagran mecanismos de acceso al </w:t>
      </w:r>
      <w:proofErr w:type="gramStart"/>
      <w:r w:rsidRPr="00FC292C">
        <w:rPr>
          <w:rFonts w:ascii="Arial" w:eastAsia="Calibri" w:hAnsi="Arial" w:cs="Arial"/>
          <w:sz w:val="20"/>
          <w:szCs w:val="20"/>
          <w:lang w:val="es-ES_tradnl"/>
        </w:rPr>
        <w:t>financiamiento ,</w:t>
      </w:r>
      <w:proofErr w:type="gramEnd"/>
      <w:r w:rsidRPr="00FC292C">
        <w:rPr>
          <w:rFonts w:ascii="Arial" w:eastAsia="Calibri" w:hAnsi="Arial" w:cs="Arial"/>
          <w:sz w:val="20"/>
          <w:szCs w:val="20"/>
          <w:lang w:val="es-ES_tradnl"/>
        </w:rPr>
        <w:t xml:space="preserve"> se unifican las fuentes de emprendimiento y de desarrollo empresarial, para fortalecer y promover los distintos sectores de la economía  y se prevén medidas de educación para el emprendimiento y la innovación</w:t>
      </w:r>
      <w:r w:rsidR="004D0CA6" w:rsidRPr="00FC292C">
        <w:rPr>
          <w:rFonts w:ascii="Arial" w:eastAsia="Calibri" w:hAnsi="Arial" w:cs="Arial"/>
          <w:sz w:val="20"/>
          <w:szCs w:val="20"/>
          <w:lang w:val="es-ES_tradnl"/>
        </w:rPr>
        <w:t>.</w:t>
      </w:r>
    </w:p>
    <w:p w14:paraId="19641C5C" w14:textId="77777777" w:rsidR="00EC224E" w:rsidRPr="00FC292C" w:rsidRDefault="00EC224E" w:rsidP="00EC224E">
      <w:pPr>
        <w:jc w:val="both"/>
        <w:rPr>
          <w:rFonts w:ascii="Arial" w:eastAsia="Calibri" w:hAnsi="Arial" w:cs="Arial"/>
          <w:sz w:val="20"/>
          <w:szCs w:val="20"/>
          <w:lang w:val="es-ES_tradnl"/>
        </w:rPr>
      </w:pPr>
    </w:p>
    <w:p w14:paraId="30A0AA2C" w14:textId="6FE56A00" w:rsidR="00EC224E" w:rsidRDefault="00EC224E" w:rsidP="00EC224E">
      <w:pPr>
        <w:jc w:val="both"/>
        <w:rPr>
          <w:rFonts w:ascii="Arial" w:eastAsia="Calibri" w:hAnsi="Arial" w:cs="Arial"/>
          <w:b/>
          <w:sz w:val="22"/>
          <w:lang w:val="es-ES_tradnl"/>
        </w:rPr>
      </w:pPr>
      <w:r w:rsidRPr="00FC292C">
        <w:rPr>
          <w:rFonts w:ascii="Arial" w:eastAsia="Calibri" w:hAnsi="Arial" w:cs="Arial"/>
          <w:b/>
          <w:sz w:val="22"/>
          <w:lang w:val="es-ES_tradnl"/>
        </w:rPr>
        <w:t>MIPYMES</w:t>
      </w:r>
      <w:r w:rsidR="008459C5" w:rsidRPr="00FC292C">
        <w:rPr>
          <w:rFonts w:ascii="Arial" w:eastAsia="Calibri" w:hAnsi="Arial" w:cs="Arial"/>
          <w:b/>
          <w:sz w:val="22"/>
          <w:lang w:val="es-ES_tradnl"/>
        </w:rPr>
        <w:t xml:space="preserve"> </w:t>
      </w:r>
      <w:r w:rsidRPr="00FC292C">
        <w:rPr>
          <w:rFonts w:ascii="Arial" w:eastAsia="Calibri" w:hAnsi="Arial" w:cs="Arial"/>
          <w:b/>
          <w:sz w:val="22"/>
          <w:lang w:val="es-ES_tradnl"/>
        </w:rPr>
        <w:t xml:space="preserve">– Artículo 34 </w:t>
      </w:r>
      <w:r w:rsidR="008459C5" w:rsidRPr="00FC292C">
        <w:rPr>
          <w:rFonts w:ascii="Arial" w:eastAsia="Calibri" w:hAnsi="Arial" w:cs="Arial"/>
          <w:b/>
          <w:sz w:val="22"/>
          <w:lang w:val="es-ES_tradnl"/>
        </w:rPr>
        <w:t xml:space="preserve">de la Ley 2069 de 2020 </w:t>
      </w:r>
      <w:r w:rsidRPr="00FC292C">
        <w:rPr>
          <w:rFonts w:ascii="Arial" w:eastAsia="Calibri" w:hAnsi="Arial" w:cs="Arial"/>
          <w:b/>
          <w:sz w:val="22"/>
          <w:lang w:val="es-ES_tradnl"/>
        </w:rPr>
        <w:t xml:space="preserve">– </w:t>
      </w:r>
      <w:r w:rsidR="008459C5" w:rsidRPr="00FC292C">
        <w:rPr>
          <w:rFonts w:ascii="Arial" w:eastAsia="Calibri" w:hAnsi="Arial" w:cs="Arial"/>
          <w:b/>
          <w:sz w:val="22"/>
          <w:lang w:val="es-ES_tradnl"/>
        </w:rPr>
        <w:t xml:space="preserve">artículo 5 del Decreto 1860 de 2021 </w:t>
      </w:r>
      <w:r w:rsidRPr="00FC292C">
        <w:rPr>
          <w:rFonts w:ascii="Arial" w:eastAsia="Calibri" w:hAnsi="Arial" w:cs="Arial"/>
          <w:b/>
          <w:sz w:val="22"/>
          <w:lang w:val="es-ES_tradnl"/>
        </w:rPr>
        <w:t>Convocatorias limitadas</w:t>
      </w:r>
      <w:r w:rsidR="008459C5" w:rsidRPr="00FC292C">
        <w:rPr>
          <w:rFonts w:ascii="Arial" w:eastAsia="Calibri" w:hAnsi="Arial" w:cs="Arial"/>
          <w:b/>
          <w:sz w:val="22"/>
          <w:lang w:val="es-ES_tradnl"/>
        </w:rPr>
        <w:t xml:space="preserve"> territorialmente - Vigencia</w:t>
      </w:r>
      <w:r w:rsidRPr="00FC292C">
        <w:rPr>
          <w:rFonts w:ascii="Arial" w:eastAsia="Calibri" w:hAnsi="Arial" w:cs="Arial"/>
          <w:b/>
          <w:sz w:val="22"/>
          <w:lang w:val="es-ES_tradnl"/>
        </w:rPr>
        <w:t xml:space="preserve"> </w:t>
      </w:r>
    </w:p>
    <w:p w14:paraId="4F2062A8" w14:textId="77777777" w:rsidR="00FC292C" w:rsidRPr="00FC292C" w:rsidRDefault="00FC292C" w:rsidP="00EC224E">
      <w:pPr>
        <w:jc w:val="both"/>
        <w:rPr>
          <w:rFonts w:ascii="Arial" w:eastAsia="Calibri" w:hAnsi="Arial" w:cs="Arial"/>
          <w:b/>
          <w:sz w:val="22"/>
          <w:lang w:val="es-ES_tradnl"/>
        </w:rPr>
      </w:pPr>
    </w:p>
    <w:p w14:paraId="7F9202CE" w14:textId="78715508" w:rsidR="00FC292C" w:rsidRDefault="00FC292C" w:rsidP="00FC292C">
      <w:pPr>
        <w:jc w:val="both"/>
        <w:rPr>
          <w:rFonts w:ascii="Arial" w:eastAsia="Calibri" w:hAnsi="Arial" w:cs="Arial"/>
          <w:sz w:val="20"/>
          <w:szCs w:val="20"/>
          <w:lang w:val="es-ES_tradnl"/>
        </w:rPr>
      </w:pPr>
      <w:bookmarkStart w:id="2" w:name="_Hlk57736164"/>
      <w:r w:rsidRPr="00FC292C">
        <w:rPr>
          <w:rFonts w:ascii="Arial" w:eastAsia="Calibri" w:hAnsi="Arial" w:cs="Arial"/>
          <w:sz w:val="20"/>
          <w:szCs w:val="20"/>
          <w:lang w:val="es-ES_tradnl"/>
        </w:rPr>
        <w:t xml:space="preserve">Luego de explicar las reglas incluidas en la nueva regulación de la promoción del desarrollo en la contratación estatal, previstas en el artículo 34 de la Ley 2069 de 2020, y habiendo aclarado que dicha norma modificó el artículo 12 de la Ley 1150 de 2007, conviene preguntarse qué sucedió con la vigencia del artículo 2.2.1.2.4.2.2. del Decreto 1082 de 2015, que, hasta la expedición de la Ley 2069 de 2020, regía las convocatorias limitadas a Mipymes. En opinión de esta Agencia, dicho artículo del Decreto reglamentario perdió vigencia, porque su contenido era contrario al del artículo 34 de la Ley 2069 de 2020. En tal sentido, operó la pérdida de fuerza ejecutoria, de conformidad con el artículo 91, numeral 2, de la Ley 1437 de 2011, que establece que los actos administrativos –categoría que, como es sabido, incluye los decretos reglamentarios– dejan de ser obligatorios o decaen «Cuando desaparezcan sus fundamentos de hecho o de derecho». </w:t>
      </w:r>
    </w:p>
    <w:p w14:paraId="2ED7F936" w14:textId="77777777" w:rsidR="00FC292C" w:rsidRPr="00FC292C" w:rsidRDefault="00FC292C" w:rsidP="00FC292C">
      <w:pPr>
        <w:jc w:val="both"/>
        <w:rPr>
          <w:rFonts w:ascii="Arial" w:eastAsia="Calibri" w:hAnsi="Arial" w:cs="Arial"/>
          <w:sz w:val="20"/>
          <w:szCs w:val="20"/>
          <w:lang w:val="es-ES_tradnl"/>
        </w:rPr>
      </w:pPr>
    </w:p>
    <w:p w14:paraId="34C5F817" w14:textId="77777777" w:rsidR="00FC292C" w:rsidRDefault="00FC292C" w:rsidP="00FC292C">
      <w:pPr>
        <w:jc w:val="both"/>
        <w:rPr>
          <w:rFonts w:ascii="Arial" w:eastAsia="Calibri" w:hAnsi="Arial" w:cs="Arial"/>
          <w:sz w:val="20"/>
          <w:szCs w:val="20"/>
          <w:lang w:val="es-ES_tradnl"/>
        </w:rPr>
      </w:pPr>
      <w:r w:rsidRPr="00FC292C">
        <w:rPr>
          <w:rFonts w:ascii="Arial" w:eastAsia="Calibri" w:hAnsi="Arial" w:cs="Arial"/>
          <w:sz w:val="20"/>
          <w:szCs w:val="20"/>
          <w:lang w:val="es-ES_tradnl"/>
        </w:rPr>
        <w:t xml:space="preserve">Lo anterior quedó reafirmado con la expedición del Decreto 1860 de 24 de diciembre de 2021, reglamento que modificó, entre otros aspectos, la Subsección 5 de la Sección 1 del Capítulo 2 del Título 1 de la Parte 2 del Libro 2 y los artículos 2.2.1.2.4.2.2. y 2.2.1.2.4.2.3. y siguientes del Decreto 1082 de 2015, Único Reglamentario del Sector Administrativo de Planeación Nacional. Estas modificaciones entraron a regir el 24 de marzo de 2022, pues el artículo 8 de la nueva norma reglamentaria sometió la vigencia de los cambios al transcurso </w:t>
      </w:r>
    </w:p>
    <w:p w14:paraId="77B64787" w14:textId="77777777" w:rsidR="00FC292C" w:rsidRDefault="00FC292C" w:rsidP="00FC292C">
      <w:pPr>
        <w:jc w:val="both"/>
        <w:rPr>
          <w:rFonts w:ascii="Arial" w:eastAsia="Calibri" w:hAnsi="Arial" w:cs="Arial"/>
          <w:sz w:val="20"/>
          <w:szCs w:val="20"/>
          <w:lang w:val="es-ES_tradnl"/>
        </w:rPr>
      </w:pPr>
    </w:p>
    <w:p w14:paraId="7BEB7939" w14:textId="29CB4F84" w:rsidR="00582C8C" w:rsidRPr="00FC292C" w:rsidRDefault="00582C8C" w:rsidP="00FC292C">
      <w:pPr>
        <w:jc w:val="both"/>
        <w:rPr>
          <w:rFonts w:ascii="Arial" w:eastAsia="Arial" w:hAnsi="Arial" w:cs="Arial"/>
          <w:b/>
          <w:color w:val="000000"/>
          <w:sz w:val="22"/>
        </w:rPr>
      </w:pPr>
      <w:r w:rsidRPr="00FC292C">
        <w:rPr>
          <w:rFonts w:ascii="Arial" w:eastAsia="Arial" w:hAnsi="Arial" w:cs="Arial"/>
          <w:b/>
          <w:color w:val="000000"/>
          <w:sz w:val="22"/>
        </w:rPr>
        <w:t>CONVOCATORIAS LIMITADAS A MIPYMES NACIONALES – Limitación territorial – Relevancia del domicilio de la Mipymes</w:t>
      </w:r>
    </w:p>
    <w:bookmarkEnd w:id="2"/>
    <w:p w14:paraId="139673ED" w14:textId="77777777" w:rsidR="00582C8C" w:rsidRPr="00FC292C" w:rsidRDefault="00582C8C" w:rsidP="00582C8C">
      <w:pPr>
        <w:jc w:val="both"/>
        <w:rPr>
          <w:rFonts w:ascii="Arial" w:eastAsia="Arial" w:hAnsi="Arial" w:cs="Arial"/>
          <w:b/>
          <w:color w:val="000000"/>
          <w:sz w:val="21"/>
          <w:szCs w:val="21"/>
        </w:rPr>
      </w:pPr>
    </w:p>
    <w:p w14:paraId="76308A45" w14:textId="36129C30" w:rsidR="00D96E12" w:rsidRPr="00FC292C" w:rsidRDefault="00582C8C" w:rsidP="00FC292C">
      <w:pPr>
        <w:spacing w:after="120"/>
        <w:jc w:val="both"/>
        <w:rPr>
          <w:rFonts w:ascii="Arial" w:eastAsia="Arial" w:hAnsi="Arial" w:cs="Arial"/>
          <w:color w:val="000000"/>
          <w:sz w:val="20"/>
          <w:szCs w:val="20"/>
        </w:rPr>
      </w:pPr>
      <w:r w:rsidRPr="00FC292C">
        <w:rPr>
          <w:rFonts w:ascii="Arial" w:eastAsia="Arial" w:hAnsi="Arial" w:cs="Arial"/>
          <w:color w:val="000000"/>
          <w:sz w:val="20"/>
          <w:szCs w:val="20"/>
        </w:rPr>
        <w:t xml:space="preserve">[…] </w:t>
      </w:r>
      <w:r w:rsidR="00FC292C">
        <w:rPr>
          <w:rFonts w:ascii="Arial" w:eastAsia="Arial" w:hAnsi="Arial" w:cs="Arial"/>
          <w:color w:val="000000"/>
          <w:sz w:val="20"/>
          <w:szCs w:val="20"/>
        </w:rPr>
        <w:t>L</w:t>
      </w:r>
      <w:r w:rsidR="00FC292C" w:rsidRPr="00FC292C">
        <w:rPr>
          <w:rFonts w:ascii="Arial" w:eastAsia="Arial" w:hAnsi="Arial" w:cs="Arial"/>
          <w:color w:val="000000"/>
          <w:sz w:val="20"/>
          <w:szCs w:val="20"/>
        </w:rPr>
        <w:t xml:space="preserve">a postura sostenida por esta Agencia en vigencia del artículo 2.2.1.2.4.2.3 del Decreto 1082 de 2015 no contemplaba la posibilidad de que una Mipyme domiciliada en un departamento o municipio </w:t>
      </w:r>
      <w:r w:rsidR="00FC292C" w:rsidRPr="00FC292C">
        <w:rPr>
          <w:rFonts w:ascii="Arial" w:eastAsia="Arial" w:hAnsi="Arial" w:cs="Arial"/>
          <w:color w:val="000000"/>
          <w:sz w:val="20"/>
          <w:szCs w:val="20"/>
        </w:rPr>
        <w:lastRenderedPageBreak/>
        <w:t xml:space="preserve">diferentes al lugar de ejecución del contrato, en atención al cual se realiza la limitación territorial, participara en un proceso de selección por el hecho de tener una sucursal en este, puesto que lo relevante es el domicilio de la Mipyme. </w:t>
      </w:r>
      <w:r w:rsidR="00FC292C">
        <w:rPr>
          <w:rFonts w:ascii="Arial" w:eastAsia="Arial" w:hAnsi="Arial" w:cs="Arial"/>
          <w:color w:val="000000"/>
          <w:sz w:val="20"/>
          <w:szCs w:val="20"/>
        </w:rPr>
        <w:t xml:space="preserve">La </w:t>
      </w:r>
      <w:r w:rsidR="00FC292C" w:rsidRPr="00FC292C">
        <w:rPr>
          <w:rFonts w:ascii="Arial" w:eastAsia="Arial" w:hAnsi="Arial" w:cs="Arial"/>
          <w:color w:val="000000"/>
          <w:sz w:val="20"/>
          <w:szCs w:val="20"/>
        </w:rPr>
        <w:t xml:space="preserve">Ahora bien, el texto del actual artículo 2.2.1.2.4.2.3, modificado por el artículo 5 del Decreto 1860 de 2021, no cambia la tesis adoptada en conceptos citados anteriormente de la Agencia Nacional de Contratación Pública - Colombia Compra Eficiente emitidos antes de la expedición de este reglamento. Lo anterior en la medida que, respecto del domicilio de las </w:t>
      </w:r>
      <w:proofErr w:type="spellStart"/>
      <w:r w:rsidR="00FC292C" w:rsidRPr="00FC292C">
        <w:rPr>
          <w:rFonts w:ascii="Arial" w:eastAsia="Arial" w:hAnsi="Arial" w:cs="Arial"/>
          <w:color w:val="000000"/>
          <w:sz w:val="20"/>
          <w:szCs w:val="20"/>
        </w:rPr>
        <w:t>mipymes</w:t>
      </w:r>
      <w:proofErr w:type="spellEnd"/>
      <w:r w:rsidR="00FC292C" w:rsidRPr="00FC292C">
        <w:rPr>
          <w:rFonts w:ascii="Arial" w:eastAsia="Arial" w:hAnsi="Arial" w:cs="Arial"/>
          <w:color w:val="000000"/>
          <w:sz w:val="20"/>
          <w:szCs w:val="20"/>
        </w:rPr>
        <w:t xml:space="preserve"> en el departamento o municipio donde se ejecuta el contrato, la reglamentación no tuvo cambios.</w:t>
      </w:r>
    </w:p>
    <w:p w14:paraId="347043D8" w14:textId="77777777" w:rsidR="00FC292C" w:rsidRPr="00FC292C" w:rsidRDefault="00FC292C" w:rsidP="00FC292C">
      <w:pPr>
        <w:spacing w:after="120"/>
        <w:jc w:val="both"/>
        <w:rPr>
          <w:rFonts w:ascii="Arial" w:eastAsia="Arial" w:hAnsi="Arial" w:cs="Arial"/>
          <w:color w:val="000000"/>
          <w:sz w:val="20"/>
          <w:szCs w:val="20"/>
        </w:rPr>
      </w:pPr>
      <w:r w:rsidRPr="00FC292C">
        <w:rPr>
          <w:rFonts w:ascii="Arial" w:eastAsia="Arial" w:hAnsi="Arial" w:cs="Arial"/>
          <w:color w:val="000000"/>
          <w:sz w:val="20"/>
          <w:szCs w:val="20"/>
        </w:rPr>
        <w:t xml:space="preserve">La norma reglamentaria coincide con la redacción del parágrafo 1 del artículo 34 de la Ley 2069 de 2020, según el cual, sí es posible limitar convocatorias a la participación de Mipymes «[…] del ámbito municipal o departamental correspondiente al de la ejecución del contrato». En tales términos, la norma citada sólo contempla la posibilidad de limitar convocatorias a Mipymes con domicilio en esos dos tipos de entidades territoriales. </w:t>
      </w:r>
    </w:p>
    <w:p w14:paraId="0D6D8C3E" w14:textId="3A2CC9FC" w:rsidR="007C5A67" w:rsidRPr="00FC292C" w:rsidRDefault="00FC292C" w:rsidP="00FC292C">
      <w:pPr>
        <w:spacing w:after="120"/>
        <w:jc w:val="both"/>
        <w:rPr>
          <w:rFonts w:ascii="Arial" w:eastAsia="Arial" w:hAnsi="Arial" w:cs="Arial"/>
          <w:color w:val="000000"/>
          <w:sz w:val="20"/>
          <w:szCs w:val="20"/>
        </w:rPr>
      </w:pPr>
      <w:r w:rsidRPr="00FC292C">
        <w:rPr>
          <w:rFonts w:ascii="Arial" w:eastAsia="Arial" w:hAnsi="Arial" w:cs="Arial"/>
          <w:color w:val="000000"/>
          <w:sz w:val="20"/>
          <w:szCs w:val="20"/>
        </w:rPr>
        <w:t xml:space="preserve">En ese sentido, toda empresa constituida bajo las leyes colombianas o que tenga su domicilio principal en el territorio colombiano y, además, cumpla los criterios previstos por la Ley 590 de 2000 y el Decreto 957 de 2019, será considerada Mipymes nacional. Además, las normas de contratación permiten que las Mipymes nacionales puedan beneficiarse de la ejecución de un contrato dentro de la entidad territorial en la que tienen su «domicilio», siempre que el proceso de contratación efectivamente se limite a Mipymes domiciliadas en determinado ámbito territorial, de conformidad con las reglas establecidas en el Decreto 1082 de 2015, modificado por el Decreto 1860 de 2021. </w:t>
      </w:r>
    </w:p>
    <w:p w14:paraId="01494017" w14:textId="77777777" w:rsidR="00D96E12" w:rsidRPr="00FC292C" w:rsidRDefault="00D96E12" w:rsidP="00C978D4">
      <w:pPr>
        <w:jc w:val="both"/>
        <w:rPr>
          <w:rFonts w:ascii="Arial" w:eastAsia="Calibri" w:hAnsi="Arial" w:cs="Arial"/>
          <w:b/>
          <w:sz w:val="22"/>
          <w:lang w:val="es-ES_tradnl"/>
        </w:rPr>
      </w:pPr>
    </w:p>
    <w:p w14:paraId="095ECC05" w14:textId="77777777" w:rsidR="00D96E12" w:rsidRPr="00FC292C" w:rsidRDefault="00D96E12" w:rsidP="00B95C30">
      <w:pPr>
        <w:spacing w:line="276" w:lineRule="auto"/>
        <w:jc w:val="both"/>
        <w:rPr>
          <w:rFonts w:ascii="Arial" w:hAnsi="Arial" w:cs="Arial"/>
          <w:noProof/>
          <w:sz w:val="22"/>
          <w:lang w:val="es-ES_tradnl"/>
        </w:rPr>
      </w:pPr>
    </w:p>
    <w:p w14:paraId="7908CE12" w14:textId="0CBC88C6" w:rsidR="00D96E12" w:rsidRPr="00FC292C" w:rsidRDefault="00D96E12" w:rsidP="00B95C30">
      <w:pPr>
        <w:spacing w:line="276" w:lineRule="auto"/>
        <w:jc w:val="both"/>
        <w:rPr>
          <w:rFonts w:ascii="Arial" w:hAnsi="Arial" w:cs="Arial"/>
          <w:noProof/>
          <w:sz w:val="22"/>
          <w:lang w:val="es-ES_tradnl"/>
        </w:rPr>
      </w:pPr>
    </w:p>
    <w:p w14:paraId="37D7BB91" w14:textId="6A4386E2" w:rsidR="009F0084" w:rsidRPr="00FC292C" w:rsidRDefault="009F0084" w:rsidP="00B95C30">
      <w:pPr>
        <w:spacing w:line="276" w:lineRule="auto"/>
        <w:jc w:val="both"/>
        <w:rPr>
          <w:rFonts w:ascii="Arial" w:hAnsi="Arial" w:cs="Arial"/>
          <w:noProof/>
          <w:sz w:val="22"/>
          <w:lang w:val="es-ES_tradnl"/>
        </w:rPr>
      </w:pPr>
    </w:p>
    <w:p w14:paraId="3B9A8ACE" w14:textId="32CBE098" w:rsidR="009F0084" w:rsidRPr="00FC292C" w:rsidRDefault="009F0084" w:rsidP="00B95C30">
      <w:pPr>
        <w:spacing w:line="276" w:lineRule="auto"/>
        <w:jc w:val="both"/>
        <w:rPr>
          <w:rFonts w:ascii="Arial" w:hAnsi="Arial" w:cs="Arial"/>
          <w:noProof/>
          <w:sz w:val="22"/>
          <w:lang w:val="es-ES_tradnl"/>
        </w:rPr>
      </w:pPr>
    </w:p>
    <w:p w14:paraId="5274064D" w14:textId="4822A511" w:rsidR="009F0084" w:rsidRPr="00FC292C" w:rsidRDefault="009F0084" w:rsidP="00B95C30">
      <w:pPr>
        <w:spacing w:line="276" w:lineRule="auto"/>
        <w:jc w:val="both"/>
        <w:rPr>
          <w:rFonts w:ascii="Arial" w:hAnsi="Arial" w:cs="Arial"/>
          <w:noProof/>
          <w:sz w:val="22"/>
          <w:lang w:val="es-ES_tradnl"/>
        </w:rPr>
      </w:pPr>
    </w:p>
    <w:p w14:paraId="742368FF" w14:textId="0D7FE717" w:rsidR="009F0084" w:rsidRPr="00FC292C" w:rsidRDefault="009F0084" w:rsidP="00B95C30">
      <w:pPr>
        <w:spacing w:line="276" w:lineRule="auto"/>
        <w:jc w:val="both"/>
        <w:rPr>
          <w:rFonts w:ascii="Arial" w:hAnsi="Arial" w:cs="Arial"/>
          <w:noProof/>
          <w:sz w:val="22"/>
          <w:lang w:val="es-ES_tradnl"/>
        </w:rPr>
      </w:pPr>
    </w:p>
    <w:p w14:paraId="7ED118EC" w14:textId="36B5FF16" w:rsidR="009F0084" w:rsidRPr="00FC292C" w:rsidRDefault="009F0084" w:rsidP="00B95C30">
      <w:pPr>
        <w:spacing w:line="276" w:lineRule="auto"/>
        <w:jc w:val="both"/>
        <w:rPr>
          <w:rFonts w:ascii="Arial" w:hAnsi="Arial" w:cs="Arial"/>
          <w:noProof/>
          <w:sz w:val="22"/>
          <w:lang w:val="es-ES_tradnl"/>
        </w:rPr>
      </w:pPr>
    </w:p>
    <w:p w14:paraId="7F07B173" w14:textId="652F8D66" w:rsidR="009F0084" w:rsidRPr="00FC292C" w:rsidRDefault="009F0084" w:rsidP="00B95C30">
      <w:pPr>
        <w:spacing w:line="276" w:lineRule="auto"/>
        <w:jc w:val="both"/>
        <w:rPr>
          <w:rFonts w:ascii="Arial" w:hAnsi="Arial" w:cs="Arial"/>
          <w:noProof/>
          <w:sz w:val="22"/>
          <w:lang w:val="es-ES_tradnl"/>
        </w:rPr>
      </w:pPr>
    </w:p>
    <w:p w14:paraId="6C506F5F" w14:textId="64CD903D" w:rsidR="009F0084" w:rsidRPr="00FC292C" w:rsidRDefault="009F0084" w:rsidP="00B95C30">
      <w:pPr>
        <w:spacing w:line="276" w:lineRule="auto"/>
        <w:jc w:val="both"/>
        <w:rPr>
          <w:rFonts w:ascii="Arial" w:hAnsi="Arial" w:cs="Arial"/>
          <w:noProof/>
          <w:sz w:val="22"/>
          <w:lang w:val="es-ES_tradnl"/>
        </w:rPr>
      </w:pPr>
    </w:p>
    <w:p w14:paraId="3D235066" w14:textId="0ED02389" w:rsidR="009F0084" w:rsidRPr="00FC292C" w:rsidRDefault="009F0084" w:rsidP="00B95C30">
      <w:pPr>
        <w:spacing w:line="276" w:lineRule="auto"/>
        <w:jc w:val="both"/>
        <w:rPr>
          <w:rFonts w:ascii="Arial" w:hAnsi="Arial" w:cs="Arial"/>
          <w:noProof/>
          <w:sz w:val="22"/>
          <w:lang w:val="es-ES_tradnl"/>
        </w:rPr>
      </w:pPr>
    </w:p>
    <w:p w14:paraId="61F00760" w14:textId="5057C817" w:rsidR="009F0084" w:rsidRPr="00FC292C" w:rsidRDefault="009F0084" w:rsidP="00B95C30">
      <w:pPr>
        <w:spacing w:line="276" w:lineRule="auto"/>
        <w:jc w:val="both"/>
        <w:rPr>
          <w:rFonts w:ascii="Arial" w:hAnsi="Arial" w:cs="Arial"/>
          <w:noProof/>
          <w:sz w:val="22"/>
          <w:lang w:val="es-ES_tradnl"/>
        </w:rPr>
      </w:pPr>
    </w:p>
    <w:p w14:paraId="52A3E881" w14:textId="751B8802" w:rsidR="009F0084" w:rsidRPr="00FC292C" w:rsidRDefault="009F0084" w:rsidP="00B95C30">
      <w:pPr>
        <w:spacing w:line="276" w:lineRule="auto"/>
        <w:jc w:val="both"/>
        <w:rPr>
          <w:rFonts w:ascii="Arial" w:hAnsi="Arial" w:cs="Arial"/>
          <w:noProof/>
          <w:sz w:val="22"/>
          <w:lang w:val="es-ES_tradnl"/>
        </w:rPr>
      </w:pPr>
    </w:p>
    <w:p w14:paraId="3C3DAB30" w14:textId="24DD3106" w:rsidR="009F0084" w:rsidRPr="00FC292C" w:rsidRDefault="009F0084" w:rsidP="00B95C30">
      <w:pPr>
        <w:spacing w:line="276" w:lineRule="auto"/>
        <w:jc w:val="both"/>
        <w:rPr>
          <w:rFonts w:ascii="Arial" w:hAnsi="Arial" w:cs="Arial"/>
          <w:noProof/>
          <w:sz w:val="22"/>
          <w:lang w:val="es-ES_tradnl"/>
        </w:rPr>
      </w:pPr>
    </w:p>
    <w:p w14:paraId="54AE6BD3" w14:textId="426B63C8" w:rsidR="009F0084" w:rsidRPr="00FC292C" w:rsidRDefault="009F0084" w:rsidP="00B95C30">
      <w:pPr>
        <w:spacing w:line="276" w:lineRule="auto"/>
        <w:jc w:val="both"/>
        <w:rPr>
          <w:rFonts w:ascii="Arial" w:hAnsi="Arial" w:cs="Arial"/>
          <w:noProof/>
          <w:sz w:val="22"/>
          <w:lang w:val="es-ES_tradnl"/>
        </w:rPr>
      </w:pPr>
    </w:p>
    <w:p w14:paraId="2CDFB93D" w14:textId="1DD21AE0" w:rsidR="009F0084" w:rsidRPr="00FC292C" w:rsidRDefault="009F0084" w:rsidP="00B95C30">
      <w:pPr>
        <w:spacing w:line="276" w:lineRule="auto"/>
        <w:jc w:val="both"/>
        <w:rPr>
          <w:rFonts w:ascii="Arial" w:hAnsi="Arial" w:cs="Arial"/>
          <w:noProof/>
          <w:sz w:val="22"/>
          <w:lang w:val="es-ES_tradnl"/>
        </w:rPr>
      </w:pPr>
    </w:p>
    <w:p w14:paraId="205DC251" w14:textId="47F46715" w:rsidR="009F0084" w:rsidRPr="00FC292C" w:rsidRDefault="009F0084" w:rsidP="00B95C30">
      <w:pPr>
        <w:spacing w:line="276" w:lineRule="auto"/>
        <w:jc w:val="both"/>
        <w:rPr>
          <w:rFonts w:ascii="Arial" w:hAnsi="Arial" w:cs="Arial"/>
          <w:noProof/>
          <w:sz w:val="22"/>
          <w:lang w:val="es-ES_tradnl"/>
        </w:rPr>
      </w:pPr>
    </w:p>
    <w:p w14:paraId="06235950" w14:textId="634DA741" w:rsidR="009F0084" w:rsidRDefault="009F0084" w:rsidP="00B95C30">
      <w:pPr>
        <w:spacing w:line="276" w:lineRule="auto"/>
        <w:jc w:val="both"/>
        <w:rPr>
          <w:rFonts w:ascii="Arial" w:hAnsi="Arial" w:cs="Arial"/>
          <w:noProof/>
          <w:sz w:val="22"/>
          <w:lang w:val="es-ES_tradnl"/>
        </w:rPr>
      </w:pPr>
    </w:p>
    <w:p w14:paraId="3516593B" w14:textId="356A0680" w:rsidR="00FC292C" w:rsidRDefault="00FC292C" w:rsidP="00B95C30">
      <w:pPr>
        <w:spacing w:line="276" w:lineRule="auto"/>
        <w:jc w:val="both"/>
        <w:rPr>
          <w:rFonts w:ascii="Arial" w:hAnsi="Arial" w:cs="Arial"/>
          <w:noProof/>
          <w:sz w:val="22"/>
          <w:lang w:val="es-ES_tradnl"/>
        </w:rPr>
      </w:pPr>
    </w:p>
    <w:p w14:paraId="3F881CB7" w14:textId="77777777" w:rsidR="00FC292C" w:rsidRPr="00FC292C" w:rsidRDefault="00FC292C" w:rsidP="00B95C30">
      <w:pPr>
        <w:spacing w:line="276" w:lineRule="auto"/>
        <w:jc w:val="both"/>
        <w:rPr>
          <w:rFonts w:ascii="Arial" w:hAnsi="Arial" w:cs="Arial"/>
          <w:noProof/>
          <w:sz w:val="22"/>
          <w:lang w:val="es-ES_tradnl"/>
        </w:rPr>
      </w:pPr>
    </w:p>
    <w:p w14:paraId="6FC90421" w14:textId="0DB05184" w:rsidR="009F0084" w:rsidRPr="00FC292C" w:rsidRDefault="009F0084" w:rsidP="00B95C30">
      <w:pPr>
        <w:spacing w:line="276" w:lineRule="auto"/>
        <w:jc w:val="both"/>
        <w:rPr>
          <w:rFonts w:ascii="Arial" w:hAnsi="Arial" w:cs="Arial"/>
          <w:noProof/>
          <w:sz w:val="22"/>
          <w:lang w:val="es-ES_tradnl"/>
        </w:rPr>
      </w:pPr>
    </w:p>
    <w:p w14:paraId="2E9BD15E" w14:textId="77777777" w:rsidR="007C5A67" w:rsidRPr="00FC292C" w:rsidRDefault="007C5A67" w:rsidP="00B95C30">
      <w:pPr>
        <w:jc w:val="both"/>
        <w:rPr>
          <w:rFonts w:ascii="Arial" w:hAnsi="Arial" w:cs="Arial"/>
          <w:noProof/>
          <w:sz w:val="22"/>
          <w:lang w:val="es-ES_tradnl"/>
        </w:rPr>
      </w:pPr>
      <w:bookmarkStart w:id="3" w:name="_Hlk68680938"/>
    </w:p>
    <w:p w14:paraId="003CD413" w14:textId="77777777" w:rsidR="007C5A67" w:rsidRPr="00FC292C" w:rsidRDefault="007C5A67" w:rsidP="00B95C30">
      <w:pPr>
        <w:jc w:val="both"/>
        <w:rPr>
          <w:rFonts w:ascii="Arial" w:hAnsi="Arial" w:cs="Arial"/>
          <w:noProof/>
          <w:sz w:val="22"/>
          <w:lang w:val="es-ES_tradnl"/>
        </w:rPr>
      </w:pPr>
    </w:p>
    <w:p w14:paraId="5EF80DCC" w14:textId="4EFF4CBE" w:rsidR="00BF7CEF" w:rsidRPr="00FC292C" w:rsidRDefault="00BF7CEF" w:rsidP="00B95C30">
      <w:pPr>
        <w:jc w:val="both"/>
        <w:rPr>
          <w:rFonts w:ascii="Arial" w:eastAsia="Calibri" w:hAnsi="Arial" w:cs="Arial"/>
          <w:sz w:val="22"/>
          <w:lang w:val="es-ES_tradnl"/>
        </w:rPr>
      </w:pPr>
      <w:r w:rsidRPr="00FC292C">
        <w:rPr>
          <w:rFonts w:ascii="Arial" w:eastAsia="Calibri" w:hAnsi="Arial" w:cs="Arial"/>
          <w:sz w:val="22"/>
          <w:lang w:val="es-ES_tradnl"/>
        </w:rPr>
        <w:lastRenderedPageBreak/>
        <w:t xml:space="preserve">Bogotá D.C., </w:t>
      </w:r>
      <w:r w:rsidR="00FC292C">
        <w:rPr>
          <w:rFonts w:ascii="Arial" w:eastAsia="Calibri" w:hAnsi="Arial" w:cs="Arial"/>
          <w:sz w:val="22"/>
          <w:lang w:val="es-ES_tradnl"/>
        </w:rPr>
        <w:t>24 de noviembre de 2022</w:t>
      </w:r>
    </w:p>
    <w:p w14:paraId="46E54191" w14:textId="332FF083" w:rsidR="00510ACF" w:rsidRDefault="00510ACF" w:rsidP="00B95C30">
      <w:pPr>
        <w:jc w:val="both"/>
        <w:rPr>
          <w:rFonts w:ascii="Arial" w:eastAsia="Calibri" w:hAnsi="Arial" w:cs="Arial"/>
          <w:sz w:val="22"/>
          <w:lang w:val="es-ES_tradnl"/>
        </w:rPr>
      </w:pPr>
    </w:p>
    <w:p w14:paraId="512AA31C" w14:textId="25067540" w:rsidR="00FC292C" w:rsidRPr="00FC292C" w:rsidRDefault="00FC292C" w:rsidP="00FC292C">
      <w:pPr>
        <w:jc w:val="right"/>
        <w:rPr>
          <w:rFonts w:ascii="Arial" w:eastAsia="Calibri" w:hAnsi="Arial" w:cs="Arial"/>
          <w:sz w:val="22"/>
          <w:lang w:val="es-ES_tradnl"/>
        </w:rPr>
      </w:pPr>
      <w:r>
        <w:rPr>
          <w:noProof/>
        </w:rPr>
        <w:drawing>
          <wp:inline distT="0" distB="0" distL="0" distR="0" wp14:anchorId="03CCE3B5" wp14:editId="473D5403">
            <wp:extent cx="2743200" cy="876300"/>
            <wp:effectExtent l="0" t="0" r="0" b="0"/>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pic:nvPicPr>
                  <pic:blipFill>
                    <a:blip r:embed="rId11"/>
                    <a:stretch>
                      <a:fillRect/>
                    </a:stretch>
                  </pic:blipFill>
                  <pic:spPr>
                    <a:xfrm>
                      <a:off x="0" y="0"/>
                      <a:ext cx="2743200" cy="876300"/>
                    </a:xfrm>
                    <a:prstGeom prst="rect">
                      <a:avLst/>
                    </a:prstGeom>
                  </pic:spPr>
                </pic:pic>
              </a:graphicData>
            </a:graphic>
          </wp:inline>
        </w:drawing>
      </w:r>
    </w:p>
    <w:p w14:paraId="51D548B5" w14:textId="77777777" w:rsidR="00BF7CEF" w:rsidRPr="00FC292C" w:rsidRDefault="00BF7CEF" w:rsidP="00B95C30">
      <w:pPr>
        <w:jc w:val="both"/>
        <w:rPr>
          <w:rFonts w:ascii="Arial" w:eastAsia="Calibri" w:hAnsi="Arial" w:cs="Arial"/>
          <w:sz w:val="22"/>
          <w:lang w:val="es-ES_tradnl"/>
        </w:rPr>
      </w:pPr>
    </w:p>
    <w:p w14:paraId="5F5AE9EF" w14:textId="4F508480" w:rsidR="00B95C30" w:rsidRPr="00FC292C" w:rsidRDefault="00BE4FBF" w:rsidP="00B95C30">
      <w:pPr>
        <w:jc w:val="both"/>
        <w:rPr>
          <w:rFonts w:ascii="Arial" w:eastAsia="Calibri" w:hAnsi="Arial" w:cs="Arial"/>
          <w:sz w:val="22"/>
          <w:lang w:val="es-ES_tradnl"/>
        </w:rPr>
      </w:pPr>
      <w:r w:rsidRPr="00FC292C">
        <w:rPr>
          <w:rFonts w:ascii="Arial" w:eastAsia="Calibri" w:hAnsi="Arial" w:cs="Arial"/>
          <w:sz w:val="22"/>
          <w:lang w:val="es-ES_tradnl"/>
        </w:rPr>
        <w:t>Señor</w:t>
      </w:r>
      <w:r w:rsidR="00FE0770" w:rsidRPr="00FC292C">
        <w:rPr>
          <w:rFonts w:ascii="Arial" w:eastAsia="Calibri" w:hAnsi="Arial" w:cs="Arial"/>
          <w:sz w:val="22"/>
          <w:lang w:val="es-ES_tradnl"/>
        </w:rPr>
        <w:t>a</w:t>
      </w:r>
    </w:p>
    <w:p w14:paraId="4F449DB8" w14:textId="671BDBE9" w:rsidR="00D41E24" w:rsidRPr="00FC292C" w:rsidRDefault="009B40C4" w:rsidP="00B95C30">
      <w:pPr>
        <w:jc w:val="both"/>
        <w:rPr>
          <w:rFonts w:ascii="Arial" w:eastAsia="Calibri" w:hAnsi="Arial" w:cs="Arial"/>
          <w:b/>
          <w:sz w:val="22"/>
          <w:lang w:val="es-ES_tradnl"/>
        </w:rPr>
      </w:pPr>
      <w:r w:rsidRPr="00FC292C">
        <w:rPr>
          <w:rFonts w:ascii="Arial" w:eastAsia="Calibri" w:hAnsi="Arial" w:cs="Arial"/>
          <w:b/>
          <w:sz w:val="22"/>
          <w:lang w:val="es-ES_tradnl"/>
        </w:rPr>
        <w:t>Leidy Yolima Ochoa Guiza</w:t>
      </w:r>
    </w:p>
    <w:p w14:paraId="48151F64" w14:textId="161B93A3" w:rsidR="009B40C4" w:rsidRPr="00FC292C" w:rsidRDefault="009B40C4" w:rsidP="00B95C30">
      <w:pPr>
        <w:jc w:val="both"/>
        <w:rPr>
          <w:rFonts w:ascii="Arial" w:eastAsia="Calibri" w:hAnsi="Arial" w:cs="Arial"/>
          <w:b/>
          <w:sz w:val="22"/>
          <w:lang w:val="es-ES_tradnl"/>
        </w:rPr>
      </w:pPr>
      <w:proofErr w:type="spellStart"/>
      <w:r w:rsidRPr="00FC292C">
        <w:rPr>
          <w:rFonts w:ascii="Arial" w:eastAsia="Calibri" w:hAnsi="Arial" w:cs="Arial"/>
          <w:b/>
          <w:sz w:val="22"/>
          <w:lang w:val="es-ES_tradnl"/>
        </w:rPr>
        <w:t>Fumi</w:t>
      </w:r>
      <w:proofErr w:type="spellEnd"/>
      <w:r w:rsidRPr="00FC292C">
        <w:rPr>
          <w:rFonts w:ascii="Arial" w:eastAsia="Calibri" w:hAnsi="Arial" w:cs="Arial"/>
          <w:b/>
          <w:sz w:val="22"/>
          <w:lang w:val="es-ES_tradnl"/>
        </w:rPr>
        <w:t xml:space="preserve"> </w:t>
      </w:r>
      <w:r w:rsidR="005B19BE" w:rsidRPr="00FC292C">
        <w:rPr>
          <w:rFonts w:ascii="Arial" w:eastAsia="Calibri" w:hAnsi="Arial" w:cs="Arial"/>
          <w:b/>
          <w:sz w:val="22"/>
          <w:lang w:val="es-ES_tradnl"/>
        </w:rPr>
        <w:t xml:space="preserve">Espray </w:t>
      </w:r>
      <w:r w:rsidRPr="00FC292C">
        <w:rPr>
          <w:rFonts w:ascii="Arial" w:eastAsia="Calibri" w:hAnsi="Arial" w:cs="Arial"/>
          <w:b/>
          <w:sz w:val="22"/>
          <w:lang w:val="es-ES_tradnl"/>
        </w:rPr>
        <w:t>S</w:t>
      </w:r>
      <w:r w:rsidR="00C56600" w:rsidRPr="00FC292C">
        <w:rPr>
          <w:rFonts w:ascii="Arial" w:eastAsia="Calibri" w:hAnsi="Arial" w:cs="Arial"/>
          <w:b/>
          <w:sz w:val="22"/>
          <w:lang w:val="es-ES_tradnl"/>
        </w:rPr>
        <w:t>.</w:t>
      </w:r>
      <w:r w:rsidRPr="00FC292C">
        <w:rPr>
          <w:rFonts w:ascii="Arial" w:eastAsia="Calibri" w:hAnsi="Arial" w:cs="Arial"/>
          <w:b/>
          <w:sz w:val="22"/>
          <w:lang w:val="es-ES_tradnl"/>
        </w:rPr>
        <w:t>A</w:t>
      </w:r>
      <w:r w:rsidR="00C56600" w:rsidRPr="00FC292C">
        <w:rPr>
          <w:rFonts w:ascii="Arial" w:eastAsia="Calibri" w:hAnsi="Arial" w:cs="Arial"/>
          <w:b/>
          <w:sz w:val="22"/>
          <w:lang w:val="es-ES_tradnl"/>
        </w:rPr>
        <w:t>.</w:t>
      </w:r>
      <w:r w:rsidRPr="00FC292C">
        <w:rPr>
          <w:rFonts w:ascii="Arial" w:eastAsia="Calibri" w:hAnsi="Arial" w:cs="Arial"/>
          <w:b/>
          <w:sz w:val="22"/>
          <w:lang w:val="es-ES_tradnl"/>
        </w:rPr>
        <w:t>S</w:t>
      </w:r>
      <w:r w:rsidR="00C56600" w:rsidRPr="00FC292C">
        <w:rPr>
          <w:rFonts w:ascii="Arial" w:eastAsia="Calibri" w:hAnsi="Arial" w:cs="Arial"/>
          <w:b/>
          <w:sz w:val="22"/>
          <w:lang w:val="es-ES_tradnl"/>
        </w:rPr>
        <w:t>.</w:t>
      </w:r>
    </w:p>
    <w:p w14:paraId="09D4AEA8" w14:textId="0B0E3171" w:rsidR="00B95C30" w:rsidRPr="00FC292C" w:rsidRDefault="00966870" w:rsidP="00B95C30">
      <w:pPr>
        <w:jc w:val="both"/>
        <w:rPr>
          <w:rFonts w:ascii="Arial" w:eastAsia="Calibri" w:hAnsi="Arial" w:cs="Arial"/>
          <w:sz w:val="22"/>
          <w:lang w:val="es-ES_tradnl"/>
        </w:rPr>
      </w:pPr>
      <w:r w:rsidRPr="00FC292C">
        <w:rPr>
          <w:rFonts w:ascii="Arial" w:eastAsia="Calibri" w:hAnsi="Arial" w:cs="Arial"/>
          <w:sz w:val="22"/>
          <w:lang w:val="es-ES_tradnl"/>
        </w:rPr>
        <w:t>Neiva, Huila</w:t>
      </w:r>
    </w:p>
    <w:p w14:paraId="3B584A57" w14:textId="4528CA3D" w:rsidR="00F53F4F" w:rsidRPr="00FC292C" w:rsidRDefault="00F53F4F" w:rsidP="00B95C30">
      <w:pPr>
        <w:jc w:val="both"/>
        <w:rPr>
          <w:rFonts w:ascii="Arial" w:eastAsia="Calibri" w:hAnsi="Arial" w:cs="Arial"/>
          <w:sz w:val="22"/>
          <w:lang w:val="es-ES_tradnl"/>
        </w:rPr>
      </w:pPr>
    </w:p>
    <w:p w14:paraId="48E36FCF" w14:textId="77777777" w:rsidR="00F53F4F" w:rsidRPr="00FC292C" w:rsidRDefault="00F53F4F" w:rsidP="00B95C30">
      <w:pPr>
        <w:jc w:val="both"/>
        <w:rPr>
          <w:rFonts w:ascii="Arial" w:eastAsia="Calibri" w:hAnsi="Arial" w:cs="Arial"/>
          <w:sz w:val="22"/>
          <w:lang w:val="es-ES_tradnl"/>
        </w:rPr>
      </w:pPr>
    </w:p>
    <w:p w14:paraId="12E66182" w14:textId="1D8B77A7" w:rsidR="00B95C30" w:rsidRPr="00FC292C" w:rsidRDefault="00F53F4F" w:rsidP="001D6CD2">
      <w:pPr>
        <w:rPr>
          <w:rFonts w:ascii="Arial" w:eastAsia="Calibri" w:hAnsi="Arial" w:cs="Arial"/>
          <w:b/>
          <w:bCs/>
          <w:sz w:val="22"/>
          <w:lang w:val="es-ES_tradnl"/>
        </w:rPr>
      </w:pPr>
      <w:r w:rsidRPr="00FC292C">
        <w:rPr>
          <w:rFonts w:ascii="Arial" w:eastAsia="Calibri" w:hAnsi="Arial" w:cs="Arial"/>
          <w:b/>
          <w:bCs/>
          <w:sz w:val="22"/>
          <w:lang w:val="es-ES_tradnl"/>
        </w:rPr>
        <w:t xml:space="preserve">                                            </w:t>
      </w:r>
      <w:r w:rsidR="00B95C30" w:rsidRPr="00FC292C">
        <w:rPr>
          <w:rFonts w:ascii="Arial" w:eastAsia="Calibri" w:hAnsi="Arial" w:cs="Arial"/>
          <w:b/>
          <w:bCs/>
          <w:sz w:val="22"/>
          <w:lang w:val="es-ES_tradnl"/>
        </w:rPr>
        <w:t xml:space="preserve">Concepto C ‒ </w:t>
      </w:r>
      <w:r w:rsidR="00510ACF" w:rsidRPr="00FC292C">
        <w:rPr>
          <w:rFonts w:ascii="Arial" w:eastAsia="Calibri" w:hAnsi="Arial" w:cs="Arial"/>
          <w:b/>
          <w:bCs/>
          <w:sz w:val="22"/>
          <w:lang w:val="es-ES_tradnl"/>
        </w:rPr>
        <w:t>803 de 2022</w:t>
      </w:r>
    </w:p>
    <w:p w14:paraId="1BD594F9" w14:textId="77777777" w:rsidR="00B95C30" w:rsidRPr="00FC292C" w:rsidRDefault="00B95C30" w:rsidP="00B95C30">
      <w:pPr>
        <w:jc w:val="both"/>
        <w:rPr>
          <w:rFonts w:ascii="Arial" w:eastAsia="Calibri" w:hAnsi="Arial" w:cs="Arial"/>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9F0084" w:rsidRPr="00FC292C" w14:paraId="19DFC051" w14:textId="77777777" w:rsidTr="008F4163">
        <w:tc>
          <w:tcPr>
            <w:tcW w:w="2689" w:type="dxa"/>
          </w:tcPr>
          <w:p w14:paraId="6BC0D1AC" w14:textId="77777777" w:rsidR="00B95C30" w:rsidRPr="00FC292C" w:rsidRDefault="00B95C30" w:rsidP="008F4163">
            <w:pPr>
              <w:jc w:val="both"/>
              <w:rPr>
                <w:rFonts w:ascii="Arial" w:eastAsia="Calibri" w:hAnsi="Arial" w:cs="Arial"/>
                <w:sz w:val="22"/>
                <w:szCs w:val="22"/>
                <w:lang w:val="es-ES_tradnl"/>
              </w:rPr>
            </w:pPr>
            <w:r w:rsidRPr="00FC292C">
              <w:rPr>
                <w:rFonts w:ascii="Arial" w:eastAsia="Calibri" w:hAnsi="Arial" w:cs="Arial"/>
                <w:b/>
                <w:sz w:val="22"/>
                <w:szCs w:val="22"/>
                <w:lang w:val="es-ES_tradnl"/>
              </w:rPr>
              <w:t>Temas:</w:t>
            </w:r>
            <w:r w:rsidRPr="00FC292C">
              <w:rPr>
                <w:rFonts w:ascii="Arial" w:eastAsia="Calibri" w:hAnsi="Arial" w:cs="Arial"/>
                <w:sz w:val="22"/>
                <w:szCs w:val="22"/>
                <w:lang w:val="es-ES_tradnl"/>
              </w:rPr>
              <w:t xml:space="preserve">                                      </w:t>
            </w:r>
          </w:p>
        </w:tc>
        <w:tc>
          <w:tcPr>
            <w:tcW w:w="6237" w:type="dxa"/>
          </w:tcPr>
          <w:p w14:paraId="5F389CAF" w14:textId="09E764D3" w:rsidR="00B95C30" w:rsidRPr="00FC292C" w:rsidRDefault="000578FF" w:rsidP="008F4163">
            <w:pPr>
              <w:jc w:val="both"/>
              <w:rPr>
                <w:rFonts w:ascii="Arial" w:eastAsia="Calibri" w:hAnsi="Arial" w:cs="Arial"/>
                <w:sz w:val="22"/>
                <w:szCs w:val="22"/>
                <w:lang w:val="es-ES_tradnl"/>
              </w:rPr>
            </w:pPr>
            <w:r w:rsidRPr="00FC292C">
              <w:rPr>
                <w:rFonts w:ascii="Arial" w:eastAsia="Calibri" w:hAnsi="Arial" w:cs="Arial"/>
                <w:bCs/>
                <w:sz w:val="22"/>
                <w:szCs w:val="22"/>
                <w:lang w:val="es-ES_tradnl"/>
              </w:rPr>
              <w:t xml:space="preserve">LEY DE EMPRENDIMIENTO – Ley </w:t>
            </w:r>
            <w:r w:rsidR="001F0325" w:rsidRPr="00FC292C">
              <w:rPr>
                <w:rFonts w:ascii="Arial" w:eastAsia="Calibri" w:hAnsi="Arial" w:cs="Arial"/>
                <w:bCs/>
                <w:sz w:val="22"/>
                <w:szCs w:val="22"/>
                <w:lang w:val="es-ES_tradnl"/>
              </w:rPr>
              <w:t>2069</w:t>
            </w:r>
            <w:r w:rsidRPr="00FC292C">
              <w:rPr>
                <w:rFonts w:ascii="Arial" w:eastAsia="Calibri" w:hAnsi="Arial" w:cs="Arial"/>
                <w:bCs/>
                <w:sz w:val="22"/>
                <w:szCs w:val="22"/>
                <w:lang w:val="es-ES_tradnl"/>
              </w:rPr>
              <w:t xml:space="preserve"> de 2020 – Vigencia </w:t>
            </w:r>
            <w:r w:rsidR="00B95C30" w:rsidRPr="00FC292C">
              <w:rPr>
                <w:rFonts w:ascii="Arial" w:eastAsia="Calibri" w:hAnsi="Arial" w:cs="Arial"/>
                <w:bCs/>
                <w:sz w:val="22"/>
                <w:szCs w:val="22"/>
                <w:lang w:val="es-ES_tradnl"/>
              </w:rPr>
              <w:t>/</w:t>
            </w:r>
            <w:r w:rsidR="008B63FE" w:rsidRPr="00FC292C">
              <w:rPr>
                <w:rFonts w:ascii="Arial" w:eastAsia="Calibri" w:hAnsi="Arial" w:cs="Arial"/>
                <w:bCs/>
                <w:sz w:val="22"/>
                <w:szCs w:val="22"/>
                <w:lang w:val="es-ES_tradnl"/>
              </w:rPr>
              <w:t xml:space="preserve"> </w:t>
            </w:r>
            <w:r w:rsidR="007C5A67" w:rsidRPr="00FC292C">
              <w:rPr>
                <w:rFonts w:ascii="Arial" w:eastAsia="Calibri" w:hAnsi="Arial" w:cs="Arial"/>
                <w:bCs/>
                <w:sz w:val="22"/>
                <w:szCs w:val="22"/>
                <w:lang w:val="es-ES_tradnl"/>
              </w:rPr>
              <w:t xml:space="preserve">MIPYMES – Artículo 34 de la Ley 2069 de 2020 – artículo 5 del Decreto 1860 de 2021 Convocatorias limitadas territorialmente - Vigencia </w:t>
            </w:r>
            <w:r w:rsidR="009F0084" w:rsidRPr="00FC292C">
              <w:rPr>
                <w:rFonts w:ascii="Arial" w:eastAsia="Calibri" w:hAnsi="Arial" w:cs="Arial"/>
                <w:bCs/>
                <w:sz w:val="22"/>
                <w:szCs w:val="22"/>
                <w:lang w:val="es-ES_tradnl"/>
              </w:rPr>
              <w:t xml:space="preserve">/ </w:t>
            </w:r>
            <w:r w:rsidR="00CB6D17" w:rsidRPr="00FC292C">
              <w:rPr>
                <w:rFonts w:ascii="Arial" w:eastAsia="Calibri" w:hAnsi="Arial" w:cs="Arial"/>
                <w:bCs/>
                <w:sz w:val="22"/>
                <w:szCs w:val="22"/>
                <w:lang w:val="es-ES_tradnl"/>
              </w:rPr>
              <w:t>CONVOCATORIAS LIMITADAS A MIPYMES NACIONALES – Limitación territorial – Relevancia del domicilio de la Mipymes</w:t>
            </w:r>
          </w:p>
        </w:tc>
      </w:tr>
      <w:tr w:rsidR="00B95C30" w:rsidRPr="00FC292C" w14:paraId="27CD52AB" w14:textId="77777777" w:rsidTr="008F4163">
        <w:tc>
          <w:tcPr>
            <w:tcW w:w="2689" w:type="dxa"/>
          </w:tcPr>
          <w:p w14:paraId="37E195A1" w14:textId="1BA218D5" w:rsidR="00B95C30" w:rsidRPr="00FC292C" w:rsidRDefault="00B95C30" w:rsidP="008F4163">
            <w:pPr>
              <w:spacing w:before="120"/>
              <w:jc w:val="both"/>
              <w:rPr>
                <w:rFonts w:ascii="Arial" w:eastAsia="Calibri" w:hAnsi="Arial" w:cs="Arial"/>
                <w:b/>
                <w:sz w:val="22"/>
                <w:szCs w:val="22"/>
                <w:lang w:val="es-ES_tradnl"/>
              </w:rPr>
            </w:pPr>
            <w:r w:rsidRPr="00FC292C">
              <w:rPr>
                <w:rFonts w:ascii="Arial" w:eastAsia="Calibri" w:hAnsi="Arial" w:cs="Arial"/>
                <w:b/>
                <w:sz w:val="22"/>
                <w:szCs w:val="22"/>
                <w:lang w:val="es-ES_tradnl"/>
              </w:rPr>
              <w:t>Radicación:</w:t>
            </w:r>
            <w:r w:rsidRPr="00FC292C">
              <w:rPr>
                <w:rFonts w:ascii="Arial" w:eastAsia="Calibri" w:hAnsi="Arial" w:cs="Arial"/>
                <w:sz w:val="22"/>
                <w:szCs w:val="22"/>
                <w:lang w:val="es-ES_tradnl"/>
              </w:rPr>
              <w:t xml:space="preserve">                              </w:t>
            </w:r>
          </w:p>
        </w:tc>
        <w:tc>
          <w:tcPr>
            <w:tcW w:w="6237" w:type="dxa"/>
          </w:tcPr>
          <w:p w14:paraId="09088B1B" w14:textId="5AE30C43" w:rsidR="00B95C30" w:rsidRPr="00FC292C" w:rsidRDefault="00B95C30" w:rsidP="008F4163">
            <w:pPr>
              <w:spacing w:before="120"/>
              <w:jc w:val="both"/>
              <w:rPr>
                <w:rFonts w:ascii="Arial" w:eastAsia="Calibri" w:hAnsi="Arial" w:cs="Arial"/>
                <w:sz w:val="22"/>
                <w:szCs w:val="22"/>
                <w:lang w:val="es-ES_tradnl"/>
              </w:rPr>
            </w:pPr>
            <w:r w:rsidRPr="00FC292C">
              <w:rPr>
                <w:rFonts w:ascii="Arial" w:eastAsia="Calibri" w:hAnsi="Arial" w:cs="Arial"/>
                <w:sz w:val="22"/>
                <w:szCs w:val="22"/>
                <w:lang w:val="es-ES_tradnl"/>
              </w:rPr>
              <w:t>Respuesta a</w:t>
            </w:r>
            <w:r w:rsidR="00871793" w:rsidRPr="00FC292C">
              <w:rPr>
                <w:rFonts w:ascii="Arial" w:eastAsia="Calibri" w:hAnsi="Arial" w:cs="Arial"/>
                <w:sz w:val="22"/>
                <w:szCs w:val="22"/>
                <w:lang w:val="es-ES_tradnl"/>
              </w:rPr>
              <w:t xml:space="preserve"> </w:t>
            </w:r>
            <w:r w:rsidR="00510ACF" w:rsidRPr="00FC292C">
              <w:rPr>
                <w:rFonts w:ascii="Arial" w:eastAsia="Calibri" w:hAnsi="Arial" w:cs="Arial"/>
                <w:sz w:val="22"/>
                <w:szCs w:val="22"/>
                <w:lang w:val="es-ES_tradnl"/>
              </w:rPr>
              <w:t>consulta P20221011010219</w:t>
            </w:r>
          </w:p>
        </w:tc>
      </w:tr>
    </w:tbl>
    <w:p w14:paraId="61B55CA4" w14:textId="77777777" w:rsidR="00716BB0" w:rsidRPr="00FC292C" w:rsidRDefault="00716BB0" w:rsidP="003C3339">
      <w:pPr>
        <w:jc w:val="both"/>
        <w:rPr>
          <w:rFonts w:ascii="Arial" w:eastAsia="Calibri" w:hAnsi="Arial" w:cs="Arial"/>
          <w:sz w:val="22"/>
          <w:lang w:val="es-ES_tradnl"/>
        </w:rPr>
      </w:pPr>
    </w:p>
    <w:p w14:paraId="4B9B5156" w14:textId="77777777" w:rsidR="00716BB0" w:rsidRPr="00FC292C" w:rsidRDefault="00716BB0" w:rsidP="003C3339">
      <w:pPr>
        <w:jc w:val="both"/>
        <w:rPr>
          <w:rFonts w:ascii="Arial" w:eastAsia="Calibri" w:hAnsi="Arial" w:cs="Arial"/>
          <w:sz w:val="22"/>
          <w:lang w:val="es-ES_tradnl"/>
        </w:rPr>
      </w:pPr>
    </w:p>
    <w:p w14:paraId="1CF4AEA0" w14:textId="0DAB8451" w:rsidR="003C3339" w:rsidRPr="00FC292C" w:rsidRDefault="003C3339" w:rsidP="003C3339">
      <w:pPr>
        <w:jc w:val="both"/>
        <w:rPr>
          <w:rFonts w:ascii="Arial" w:eastAsia="Calibri" w:hAnsi="Arial" w:cs="Arial"/>
          <w:sz w:val="22"/>
          <w:lang w:val="es-ES_tradnl"/>
        </w:rPr>
      </w:pPr>
      <w:r w:rsidRPr="00FC292C">
        <w:rPr>
          <w:rFonts w:ascii="Arial" w:eastAsia="Calibri" w:hAnsi="Arial" w:cs="Arial"/>
          <w:sz w:val="22"/>
          <w:lang w:val="es-ES_tradnl"/>
        </w:rPr>
        <w:t>Estimad</w:t>
      </w:r>
      <w:r w:rsidR="00FE0770" w:rsidRPr="00FC292C">
        <w:rPr>
          <w:rFonts w:ascii="Arial" w:eastAsia="Calibri" w:hAnsi="Arial" w:cs="Arial"/>
          <w:sz w:val="22"/>
          <w:lang w:val="es-ES_tradnl"/>
        </w:rPr>
        <w:t>a</w:t>
      </w:r>
      <w:r w:rsidRPr="00FC292C">
        <w:rPr>
          <w:rFonts w:ascii="Arial" w:eastAsia="Calibri" w:hAnsi="Arial" w:cs="Arial"/>
          <w:sz w:val="22"/>
          <w:lang w:val="es-ES_tradnl"/>
        </w:rPr>
        <w:t xml:space="preserve"> </w:t>
      </w:r>
      <w:r w:rsidR="0063732C" w:rsidRPr="00FC292C">
        <w:rPr>
          <w:rFonts w:ascii="Arial" w:eastAsia="Calibri" w:hAnsi="Arial" w:cs="Arial"/>
          <w:sz w:val="22"/>
          <w:lang w:val="es-ES_tradnl"/>
        </w:rPr>
        <w:t>señor</w:t>
      </w:r>
      <w:r w:rsidR="00FE0770" w:rsidRPr="00FC292C">
        <w:rPr>
          <w:rFonts w:ascii="Arial" w:eastAsia="Calibri" w:hAnsi="Arial" w:cs="Arial"/>
          <w:sz w:val="22"/>
          <w:lang w:val="es-ES_tradnl"/>
        </w:rPr>
        <w:t>a</w:t>
      </w:r>
      <w:r w:rsidRPr="00FC292C">
        <w:rPr>
          <w:rFonts w:ascii="Arial" w:eastAsia="Calibri" w:hAnsi="Arial" w:cs="Arial"/>
          <w:sz w:val="22"/>
          <w:lang w:val="es-ES_tradnl"/>
        </w:rPr>
        <w:t>:</w:t>
      </w:r>
    </w:p>
    <w:p w14:paraId="1EAE5543" w14:textId="77777777" w:rsidR="00DD5B04" w:rsidRPr="00FC292C" w:rsidRDefault="00DD5B04" w:rsidP="00DF76A2">
      <w:pPr>
        <w:jc w:val="both"/>
        <w:rPr>
          <w:rFonts w:ascii="Arial" w:eastAsia="Calibri" w:hAnsi="Arial" w:cs="Arial"/>
          <w:sz w:val="22"/>
          <w:lang w:val="es-ES_tradnl"/>
        </w:rPr>
      </w:pPr>
    </w:p>
    <w:p w14:paraId="2109B2D3" w14:textId="11FAC3DE" w:rsidR="00DD5B04" w:rsidRPr="00FC292C" w:rsidRDefault="00DD5B04" w:rsidP="00DF76A2">
      <w:pPr>
        <w:spacing w:line="276" w:lineRule="auto"/>
        <w:jc w:val="both"/>
        <w:rPr>
          <w:rFonts w:ascii="Arial" w:eastAsia="Calibri" w:hAnsi="Arial" w:cs="Arial"/>
          <w:sz w:val="22"/>
          <w:lang w:val="es-ES_tradnl"/>
        </w:rPr>
      </w:pPr>
      <w:r w:rsidRPr="00FC292C">
        <w:rPr>
          <w:rFonts w:ascii="Arial" w:eastAsia="Calibri" w:hAnsi="Arial" w:cs="Arial"/>
          <w:sz w:val="22"/>
          <w:lang w:val="es-ES_tradnl"/>
        </w:rPr>
        <w:t>En ejercicio de la competencia otorgada por el numeral 8 del artículo 11 y el numeral 5 del artículo 3 del Decreto Ley 4170 de 2011, la Agencia Nacional de Contratación Pública ― Colombia Compra Eficiente</w:t>
      </w:r>
      <w:r w:rsidR="008C3C57" w:rsidRPr="00FC292C">
        <w:rPr>
          <w:rFonts w:ascii="Arial" w:eastAsia="Calibri" w:hAnsi="Arial" w:cs="Arial"/>
          <w:sz w:val="22"/>
          <w:lang w:val="es-ES_tradnl"/>
        </w:rPr>
        <w:t xml:space="preserve"> </w:t>
      </w:r>
      <w:r w:rsidRPr="00FC292C">
        <w:rPr>
          <w:rFonts w:ascii="Arial" w:eastAsia="Calibri" w:hAnsi="Arial" w:cs="Arial"/>
          <w:sz w:val="22"/>
          <w:lang w:val="es-ES_tradnl"/>
        </w:rPr>
        <w:t>responde su consulta</w:t>
      </w:r>
      <w:r w:rsidR="00C56600" w:rsidRPr="00FC292C">
        <w:rPr>
          <w:rFonts w:ascii="Arial" w:eastAsia="Calibri" w:hAnsi="Arial" w:cs="Arial"/>
          <w:sz w:val="22"/>
          <w:lang w:val="es-ES_tradnl"/>
        </w:rPr>
        <w:t xml:space="preserve">, la cual fue remitida por el Departamento Administrativo de la Función Pública </w:t>
      </w:r>
      <w:r w:rsidRPr="00FC292C">
        <w:rPr>
          <w:rFonts w:ascii="Arial" w:eastAsia="Calibri" w:hAnsi="Arial" w:cs="Arial"/>
          <w:sz w:val="22"/>
          <w:lang w:val="es-ES_tradnl"/>
        </w:rPr>
        <w:t xml:space="preserve">el </w:t>
      </w:r>
      <w:r w:rsidR="005B1D90" w:rsidRPr="00FC292C">
        <w:rPr>
          <w:rFonts w:ascii="Arial" w:eastAsia="Calibri" w:hAnsi="Arial" w:cs="Arial"/>
          <w:sz w:val="22"/>
          <w:lang w:val="es-ES_tradnl"/>
        </w:rPr>
        <w:t xml:space="preserve">10 de octubre de 2022. </w:t>
      </w:r>
    </w:p>
    <w:p w14:paraId="0C1E0712" w14:textId="77777777" w:rsidR="00DD5B04" w:rsidRPr="00FC292C" w:rsidRDefault="00DD5B04" w:rsidP="00FC2D17">
      <w:pPr>
        <w:jc w:val="both"/>
        <w:rPr>
          <w:rFonts w:ascii="Arial" w:eastAsia="Calibri" w:hAnsi="Arial" w:cs="Arial"/>
          <w:b/>
          <w:sz w:val="22"/>
          <w:lang w:val="es-ES_tradnl"/>
        </w:rPr>
      </w:pPr>
    </w:p>
    <w:p w14:paraId="7701FCC7" w14:textId="77777777" w:rsidR="00DD5B04" w:rsidRPr="00FC292C"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sz w:val="22"/>
          <w:lang w:val="es-ES_tradnl"/>
        </w:rPr>
      </w:pPr>
      <w:r w:rsidRPr="00FC292C">
        <w:rPr>
          <w:rFonts w:ascii="Arial" w:eastAsia="Calibri" w:hAnsi="Arial" w:cs="Arial"/>
          <w:b/>
          <w:sz w:val="22"/>
          <w:lang w:val="es-ES_tradnl"/>
        </w:rPr>
        <w:t xml:space="preserve">Problema planteado </w:t>
      </w:r>
    </w:p>
    <w:p w14:paraId="224B43D3" w14:textId="77777777" w:rsidR="00DD5B04" w:rsidRPr="00FC292C" w:rsidRDefault="00DD5B04" w:rsidP="00FC2D17">
      <w:pPr>
        <w:tabs>
          <w:tab w:val="left" w:pos="426"/>
        </w:tabs>
        <w:jc w:val="both"/>
        <w:rPr>
          <w:rFonts w:ascii="Arial" w:eastAsia="Calibri" w:hAnsi="Arial" w:cs="Arial"/>
          <w:b/>
          <w:sz w:val="22"/>
          <w:lang w:val="es-ES_tradnl"/>
        </w:rPr>
      </w:pPr>
    </w:p>
    <w:p w14:paraId="4CF62D55" w14:textId="77777777" w:rsidR="00176EEB" w:rsidRPr="00FC292C" w:rsidRDefault="0019707B" w:rsidP="00A41AA2">
      <w:pPr>
        <w:autoSpaceDE w:val="0"/>
        <w:autoSpaceDN w:val="0"/>
        <w:adjustRightInd w:val="0"/>
        <w:spacing w:line="276" w:lineRule="auto"/>
        <w:jc w:val="both"/>
        <w:rPr>
          <w:rFonts w:ascii="Arial" w:hAnsi="Arial" w:cs="Arial"/>
          <w:sz w:val="22"/>
          <w:szCs w:val="22"/>
          <w:lang w:val="es-ES_tradnl"/>
        </w:rPr>
      </w:pPr>
      <w:r w:rsidRPr="00FC292C">
        <w:rPr>
          <w:rFonts w:ascii="Arial" w:hAnsi="Arial" w:cs="Arial"/>
          <w:sz w:val="22"/>
          <w:szCs w:val="22"/>
          <w:lang w:val="es-ES_tradnl"/>
        </w:rPr>
        <w:t xml:space="preserve">En relación con las convocatorias </w:t>
      </w:r>
      <w:r w:rsidR="00176EEB" w:rsidRPr="00FC292C">
        <w:rPr>
          <w:rFonts w:ascii="Arial" w:hAnsi="Arial" w:cs="Arial"/>
          <w:sz w:val="22"/>
          <w:szCs w:val="22"/>
          <w:lang w:val="es-ES_tradnl"/>
        </w:rPr>
        <w:t xml:space="preserve">limitadas a Mipymes, usted </w:t>
      </w:r>
      <w:r w:rsidR="00B20B23" w:rsidRPr="00FC292C">
        <w:rPr>
          <w:rFonts w:ascii="Arial" w:hAnsi="Arial" w:cs="Arial"/>
          <w:sz w:val="22"/>
          <w:szCs w:val="22"/>
          <w:lang w:val="es-ES_tradnl"/>
        </w:rPr>
        <w:t>realiza</w:t>
      </w:r>
      <w:r w:rsidR="006D46A3" w:rsidRPr="00FC292C">
        <w:rPr>
          <w:rFonts w:ascii="Arial" w:hAnsi="Arial" w:cs="Arial"/>
          <w:sz w:val="22"/>
          <w:szCs w:val="22"/>
          <w:lang w:val="es-ES_tradnl"/>
        </w:rPr>
        <w:t xml:space="preserve"> la</w:t>
      </w:r>
      <w:r w:rsidR="000B56F9" w:rsidRPr="00FC292C">
        <w:rPr>
          <w:rFonts w:ascii="Arial" w:hAnsi="Arial" w:cs="Arial"/>
          <w:sz w:val="22"/>
          <w:szCs w:val="22"/>
          <w:lang w:val="es-ES_tradnl"/>
        </w:rPr>
        <w:t xml:space="preserve"> </w:t>
      </w:r>
      <w:r w:rsidR="006D46A3" w:rsidRPr="00FC292C">
        <w:rPr>
          <w:rFonts w:ascii="Arial" w:hAnsi="Arial" w:cs="Arial"/>
          <w:sz w:val="22"/>
          <w:szCs w:val="22"/>
          <w:lang w:val="es-ES_tradnl"/>
        </w:rPr>
        <w:t>siguient</w:t>
      </w:r>
      <w:r w:rsidR="003A4C7B" w:rsidRPr="00FC292C">
        <w:rPr>
          <w:rFonts w:ascii="Arial" w:hAnsi="Arial" w:cs="Arial"/>
          <w:sz w:val="22"/>
          <w:szCs w:val="22"/>
          <w:lang w:val="es-ES_tradnl"/>
        </w:rPr>
        <w:t xml:space="preserve">e </w:t>
      </w:r>
      <w:r w:rsidR="001F792A" w:rsidRPr="00FC292C">
        <w:rPr>
          <w:rFonts w:ascii="Arial" w:hAnsi="Arial" w:cs="Arial"/>
          <w:sz w:val="22"/>
          <w:szCs w:val="22"/>
          <w:lang w:val="es-ES_tradnl"/>
        </w:rPr>
        <w:t>consulta</w:t>
      </w:r>
      <w:r w:rsidR="00B422C0" w:rsidRPr="00FC292C">
        <w:rPr>
          <w:rFonts w:ascii="Arial" w:hAnsi="Arial" w:cs="Arial"/>
          <w:sz w:val="22"/>
          <w:szCs w:val="22"/>
          <w:lang w:val="es-ES_tradnl"/>
        </w:rPr>
        <w:t>:</w:t>
      </w:r>
    </w:p>
    <w:p w14:paraId="1E138F2A" w14:textId="5C38C887" w:rsidR="00176EEB" w:rsidRPr="00FC292C" w:rsidRDefault="00176EEB" w:rsidP="00A41AA2">
      <w:pPr>
        <w:autoSpaceDE w:val="0"/>
        <w:autoSpaceDN w:val="0"/>
        <w:adjustRightInd w:val="0"/>
        <w:spacing w:line="276" w:lineRule="auto"/>
        <w:jc w:val="both"/>
        <w:rPr>
          <w:rFonts w:ascii="Arial" w:hAnsi="Arial" w:cs="Arial"/>
          <w:sz w:val="22"/>
          <w:szCs w:val="22"/>
          <w:lang w:val="es-ES_tradnl"/>
        </w:rPr>
      </w:pPr>
    </w:p>
    <w:p w14:paraId="79D0132C" w14:textId="2ED0DF4E" w:rsidR="004275A7" w:rsidRPr="00FC292C" w:rsidRDefault="00F41094" w:rsidP="00FC292C">
      <w:pPr>
        <w:autoSpaceDE w:val="0"/>
        <w:autoSpaceDN w:val="0"/>
        <w:adjustRightInd w:val="0"/>
        <w:spacing w:line="276" w:lineRule="auto"/>
        <w:ind w:left="709" w:right="709"/>
        <w:jc w:val="both"/>
        <w:rPr>
          <w:rFonts w:ascii="Arial" w:eastAsiaTheme="minorHAnsi" w:hAnsi="Arial" w:cs="Arial"/>
          <w:sz w:val="21"/>
          <w:szCs w:val="21"/>
          <w:lang w:eastAsia="en-US"/>
        </w:rPr>
      </w:pPr>
      <w:r w:rsidRPr="00FC292C">
        <w:rPr>
          <w:rFonts w:ascii="Arial" w:eastAsiaTheme="minorHAnsi" w:hAnsi="Arial" w:cs="Arial"/>
          <w:sz w:val="21"/>
          <w:szCs w:val="21"/>
          <w:lang w:eastAsia="en-US"/>
        </w:rPr>
        <w:t>«</w:t>
      </w:r>
      <w:r w:rsidR="00424B4A" w:rsidRPr="00FC292C">
        <w:rPr>
          <w:rFonts w:ascii="Arial" w:eastAsiaTheme="minorHAnsi" w:hAnsi="Arial" w:cs="Arial"/>
          <w:sz w:val="21"/>
          <w:szCs w:val="21"/>
          <w:lang w:eastAsia="en-US"/>
        </w:rPr>
        <w:t xml:space="preserve">¿Cuándo en un proceso contractual cualquier entidad limita territorialmente la participación </w:t>
      </w:r>
      <w:r w:rsidR="00C27FD7" w:rsidRPr="00FC292C">
        <w:rPr>
          <w:rFonts w:ascii="Arial" w:eastAsiaTheme="minorHAnsi" w:hAnsi="Arial" w:cs="Arial"/>
          <w:sz w:val="21"/>
          <w:szCs w:val="21"/>
          <w:lang w:eastAsia="en-US"/>
        </w:rPr>
        <w:t xml:space="preserve">solo a las Mipymes con domicilio se debe admitir o entender que deberá también </w:t>
      </w:r>
      <w:r w:rsidR="002B64C5" w:rsidRPr="00FC292C">
        <w:rPr>
          <w:rFonts w:ascii="Arial" w:eastAsiaTheme="minorHAnsi" w:hAnsi="Arial" w:cs="Arial"/>
          <w:sz w:val="21"/>
          <w:szCs w:val="21"/>
          <w:lang w:eastAsia="en-US"/>
        </w:rPr>
        <w:t>aceptar aquellos oferentes que siendo Mipymes acrediten contar con agencia y/o sucursal domiciliada en la ciudad o en el departamento</w:t>
      </w:r>
      <w:r w:rsidR="004E28D2" w:rsidRPr="00FC292C">
        <w:rPr>
          <w:rFonts w:ascii="Arial" w:eastAsiaTheme="minorHAnsi" w:hAnsi="Arial" w:cs="Arial"/>
          <w:sz w:val="21"/>
          <w:szCs w:val="21"/>
          <w:lang w:eastAsia="en-US"/>
        </w:rPr>
        <w:t>?</w:t>
      </w:r>
      <w:r w:rsidR="001F792A" w:rsidRPr="00FC292C">
        <w:rPr>
          <w:rFonts w:ascii="Arial" w:eastAsiaTheme="minorHAnsi" w:hAnsi="Arial" w:cs="Arial"/>
          <w:sz w:val="21"/>
          <w:szCs w:val="21"/>
          <w:lang w:eastAsia="en-US"/>
        </w:rPr>
        <w:t>»</w:t>
      </w:r>
      <w:r w:rsidR="004E28D2" w:rsidRPr="00FC292C">
        <w:rPr>
          <w:rFonts w:ascii="Arial" w:eastAsiaTheme="minorHAnsi" w:hAnsi="Arial" w:cs="Arial"/>
          <w:sz w:val="21"/>
          <w:szCs w:val="21"/>
          <w:lang w:eastAsia="en-US"/>
        </w:rPr>
        <w:t>.</w:t>
      </w:r>
    </w:p>
    <w:p w14:paraId="3830C92C" w14:textId="77777777" w:rsidR="00507066" w:rsidRPr="00FC292C" w:rsidRDefault="00507066" w:rsidP="00AA6B44">
      <w:pPr>
        <w:spacing w:line="276" w:lineRule="auto"/>
        <w:ind w:left="709" w:right="709"/>
        <w:jc w:val="both"/>
        <w:rPr>
          <w:rFonts w:ascii="Arial" w:hAnsi="Arial" w:cs="Arial"/>
          <w:sz w:val="22"/>
          <w:szCs w:val="22"/>
          <w:lang w:val="es-ES_tradnl"/>
        </w:rPr>
      </w:pPr>
    </w:p>
    <w:p w14:paraId="124D2DCA" w14:textId="77777777" w:rsidR="00DD5B04" w:rsidRPr="00FC292C" w:rsidRDefault="00DD5B04" w:rsidP="00DF76A2">
      <w:pPr>
        <w:pStyle w:val="Prrafodelista"/>
        <w:numPr>
          <w:ilvl w:val="0"/>
          <w:numId w:val="8"/>
        </w:numPr>
        <w:tabs>
          <w:tab w:val="left" w:pos="0"/>
          <w:tab w:val="left" w:pos="284"/>
        </w:tabs>
        <w:ind w:left="0" w:firstLine="0"/>
        <w:jc w:val="both"/>
        <w:rPr>
          <w:rFonts w:ascii="Arial" w:eastAsia="Calibri" w:hAnsi="Arial" w:cs="Arial"/>
          <w:b/>
          <w:sz w:val="22"/>
          <w:lang w:val="es-ES_tradnl"/>
        </w:rPr>
      </w:pPr>
      <w:r w:rsidRPr="00FC292C">
        <w:rPr>
          <w:rFonts w:ascii="Arial" w:eastAsia="Calibri" w:hAnsi="Arial" w:cs="Arial"/>
          <w:b/>
          <w:sz w:val="22"/>
          <w:lang w:val="es-ES_tradnl"/>
        </w:rPr>
        <w:t>Consideraciones</w:t>
      </w:r>
    </w:p>
    <w:p w14:paraId="7D050D2E" w14:textId="77777777" w:rsidR="00435703" w:rsidRPr="00FC292C" w:rsidRDefault="00435703" w:rsidP="00FC2D17">
      <w:pPr>
        <w:jc w:val="both"/>
        <w:rPr>
          <w:rFonts w:ascii="Arial" w:eastAsia="Calibri" w:hAnsi="Arial" w:cs="Arial"/>
          <w:sz w:val="22"/>
          <w:szCs w:val="22"/>
          <w:lang w:val="es-ES_tradnl"/>
        </w:rPr>
      </w:pPr>
    </w:p>
    <w:p w14:paraId="305BC2F1" w14:textId="06A64BE7" w:rsidR="003C4317" w:rsidRPr="00FC292C" w:rsidRDefault="00BE6AEA" w:rsidP="00A65B3A">
      <w:pPr>
        <w:spacing w:line="276" w:lineRule="auto"/>
        <w:jc w:val="both"/>
        <w:rPr>
          <w:rFonts w:ascii="Arial" w:eastAsia="Calibri" w:hAnsi="Arial" w:cs="Arial"/>
          <w:sz w:val="22"/>
          <w:szCs w:val="22"/>
          <w:lang w:val="es-ES_tradnl"/>
        </w:rPr>
      </w:pPr>
      <w:r w:rsidRPr="00FC292C">
        <w:rPr>
          <w:rFonts w:ascii="Arial" w:hAnsi="Arial" w:cs="Arial"/>
          <w:bCs/>
          <w:sz w:val="22"/>
          <w:szCs w:val="22"/>
          <w:lang w:val="es-MX" w:eastAsia="en-GB"/>
        </w:rPr>
        <w:lastRenderedPageBreak/>
        <w:t>L</w:t>
      </w:r>
      <w:r w:rsidR="008E30C4" w:rsidRPr="00FC292C">
        <w:rPr>
          <w:rFonts w:ascii="Arial" w:eastAsia="Calibri" w:hAnsi="Arial" w:cs="Arial"/>
          <w:sz w:val="22"/>
          <w:szCs w:val="22"/>
          <w:lang w:val="es-ES_tradnl"/>
        </w:rPr>
        <w:t xml:space="preserve">a Subdirección de Gestión Contractual responderá </w:t>
      </w:r>
      <w:r w:rsidR="00271230" w:rsidRPr="00FC292C">
        <w:rPr>
          <w:rFonts w:ascii="Arial" w:eastAsia="Calibri" w:hAnsi="Arial" w:cs="Arial"/>
          <w:sz w:val="22"/>
          <w:szCs w:val="22"/>
          <w:lang w:val="es-ES_tradnl"/>
        </w:rPr>
        <w:t>la consulta</w:t>
      </w:r>
      <w:r w:rsidR="008E30C4" w:rsidRPr="00FC292C">
        <w:rPr>
          <w:rFonts w:ascii="Arial" w:eastAsia="Calibri" w:hAnsi="Arial" w:cs="Arial"/>
          <w:sz w:val="22"/>
          <w:szCs w:val="22"/>
          <w:lang w:val="es-ES_tradnl"/>
        </w:rPr>
        <w:t xml:space="preserve"> </w:t>
      </w:r>
      <w:r w:rsidR="00271230" w:rsidRPr="00FC292C">
        <w:rPr>
          <w:rFonts w:ascii="Arial" w:eastAsia="Calibri" w:hAnsi="Arial" w:cs="Arial"/>
          <w:sz w:val="22"/>
          <w:szCs w:val="22"/>
          <w:lang w:val="es-ES_tradnl"/>
        </w:rPr>
        <w:t>luego de analizar los</w:t>
      </w:r>
      <w:r w:rsidR="00822EC4" w:rsidRPr="00FC292C">
        <w:rPr>
          <w:rFonts w:ascii="Arial" w:eastAsia="Calibri" w:hAnsi="Arial" w:cs="Arial"/>
          <w:sz w:val="22"/>
          <w:szCs w:val="22"/>
          <w:lang w:val="es-ES_tradnl"/>
        </w:rPr>
        <w:t xml:space="preserve"> siguientes temas: </w:t>
      </w:r>
      <w:r w:rsidR="00833ADA" w:rsidRPr="00FC292C">
        <w:rPr>
          <w:rFonts w:ascii="Arial" w:eastAsia="Calibri" w:hAnsi="Arial" w:cs="Arial"/>
          <w:sz w:val="22"/>
          <w:szCs w:val="22"/>
          <w:lang w:val="es-ES_tradnl"/>
        </w:rPr>
        <w:t>i)</w:t>
      </w:r>
      <w:r w:rsidR="008F40DC" w:rsidRPr="00FC292C">
        <w:rPr>
          <w:rFonts w:ascii="Arial" w:eastAsia="Calibri" w:hAnsi="Arial" w:cs="Arial"/>
          <w:sz w:val="22"/>
          <w:szCs w:val="22"/>
          <w:lang w:val="es-ES_tradnl"/>
        </w:rPr>
        <w:t xml:space="preserve"> vigencia y ámbito de aplicación de la Ley </w:t>
      </w:r>
      <w:r w:rsidR="001F0325" w:rsidRPr="00FC292C">
        <w:rPr>
          <w:rFonts w:ascii="Arial" w:eastAsia="Calibri" w:hAnsi="Arial" w:cs="Arial"/>
          <w:sz w:val="22"/>
          <w:szCs w:val="22"/>
          <w:lang w:val="es-ES_tradnl"/>
        </w:rPr>
        <w:t>2069</w:t>
      </w:r>
      <w:r w:rsidR="008F40DC" w:rsidRPr="00FC292C">
        <w:rPr>
          <w:rFonts w:ascii="Arial" w:eastAsia="Calibri" w:hAnsi="Arial" w:cs="Arial"/>
          <w:sz w:val="22"/>
          <w:szCs w:val="22"/>
          <w:lang w:val="es-ES_tradnl"/>
        </w:rPr>
        <w:t xml:space="preserve"> de 2020,</w:t>
      </w:r>
      <w:r w:rsidR="00FC2D17" w:rsidRPr="00FC292C">
        <w:rPr>
          <w:rFonts w:ascii="Arial" w:eastAsia="Calibri" w:hAnsi="Arial" w:cs="Arial"/>
          <w:sz w:val="22"/>
          <w:szCs w:val="22"/>
          <w:lang w:val="es-ES_tradnl"/>
        </w:rPr>
        <w:t xml:space="preserve"> y </w:t>
      </w:r>
      <w:r w:rsidR="008F40DC" w:rsidRPr="00FC292C">
        <w:rPr>
          <w:rFonts w:ascii="Arial" w:eastAsia="Calibri" w:hAnsi="Arial" w:cs="Arial"/>
          <w:sz w:val="22"/>
          <w:szCs w:val="22"/>
          <w:lang w:val="es-ES_tradnl"/>
        </w:rPr>
        <w:t xml:space="preserve"> </w:t>
      </w:r>
      <w:proofErr w:type="spellStart"/>
      <w:r w:rsidR="008F40DC" w:rsidRPr="00FC292C">
        <w:rPr>
          <w:rFonts w:ascii="Arial" w:eastAsia="Calibri" w:hAnsi="Arial" w:cs="Arial"/>
          <w:sz w:val="22"/>
          <w:szCs w:val="22"/>
          <w:lang w:val="es-ES_tradnl"/>
        </w:rPr>
        <w:t>ii</w:t>
      </w:r>
      <w:proofErr w:type="spellEnd"/>
      <w:r w:rsidR="008F40DC" w:rsidRPr="00FC292C">
        <w:rPr>
          <w:rFonts w:ascii="Arial" w:eastAsia="Calibri" w:hAnsi="Arial" w:cs="Arial"/>
          <w:sz w:val="22"/>
          <w:szCs w:val="22"/>
          <w:lang w:val="es-ES_tradnl"/>
        </w:rPr>
        <w:t xml:space="preserve">) </w:t>
      </w:r>
      <w:r w:rsidR="00B96944" w:rsidRPr="00FC292C">
        <w:rPr>
          <w:rFonts w:ascii="Arial" w:eastAsia="Calibri" w:hAnsi="Arial" w:cs="Arial"/>
          <w:sz w:val="22"/>
          <w:szCs w:val="22"/>
          <w:lang w:val="es-ES_tradnl"/>
        </w:rPr>
        <w:t xml:space="preserve">Regulación de las convocatorias limitadas a </w:t>
      </w:r>
      <w:r w:rsidR="00176EEB" w:rsidRPr="00FC292C">
        <w:rPr>
          <w:rFonts w:ascii="Arial" w:eastAsia="Calibri" w:hAnsi="Arial" w:cs="Arial"/>
          <w:sz w:val="22"/>
          <w:szCs w:val="22"/>
          <w:lang w:val="es-ES_tradnl"/>
        </w:rPr>
        <w:t xml:space="preserve">Mipymes </w:t>
      </w:r>
      <w:r w:rsidR="00B96944" w:rsidRPr="00FC292C">
        <w:rPr>
          <w:rFonts w:ascii="Arial" w:eastAsia="Calibri" w:hAnsi="Arial" w:cs="Arial"/>
          <w:sz w:val="22"/>
          <w:szCs w:val="22"/>
          <w:lang w:val="es-ES_tradnl"/>
        </w:rPr>
        <w:t>en el ámbito territorial en el artículo 34 de la Ley 2069 de 2020 y el Decreto 1860 de 2021.</w:t>
      </w:r>
    </w:p>
    <w:p w14:paraId="1144E6B3" w14:textId="222734EE" w:rsidR="00C8331F" w:rsidRPr="00FC292C" w:rsidRDefault="00DA71D7" w:rsidP="00466224">
      <w:pPr>
        <w:spacing w:before="120"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t>L</w:t>
      </w:r>
      <w:r w:rsidR="00C8331F" w:rsidRPr="00FC292C">
        <w:rPr>
          <w:rFonts w:ascii="Arial" w:eastAsia="Calibri" w:hAnsi="Arial" w:cs="Arial"/>
          <w:sz w:val="22"/>
          <w:szCs w:val="22"/>
          <w:lang w:val="es-ES_tradnl"/>
        </w:rPr>
        <w:t>a Agencia Nacional de Contratación Pública</w:t>
      </w:r>
      <w:r w:rsidR="00EC1DAE" w:rsidRPr="00FC292C">
        <w:rPr>
          <w:rFonts w:ascii="Arial" w:eastAsia="Calibri" w:hAnsi="Arial" w:cs="Arial"/>
          <w:sz w:val="22"/>
          <w:szCs w:val="22"/>
          <w:lang w:val="es-ES_tradnl"/>
        </w:rPr>
        <w:t xml:space="preserve"> – Colombia Compra Eficiente </w:t>
      </w:r>
      <w:r w:rsidRPr="00FC292C">
        <w:rPr>
          <w:rFonts w:ascii="Arial" w:eastAsia="Calibri" w:hAnsi="Arial" w:cs="Arial"/>
          <w:sz w:val="22"/>
          <w:szCs w:val="22"/>
          <w:lang w:val="es-ES_tradnl"/>
        </w:rPr>
        <w:t>se pronunció sobre la nueva regulación de la promoción del desarrollo en la contratación estatal contenida en el artículo 34 de la Ley 2069 de 2020 en los conceptos C-043 del 09 de febrero de 2021, C-005 del 16 de febrero de 2021, C-081 del 23 de febrero de 2021, C-087 del 23 de febrero de 2021, C-025 del 25 de febrero de 2021, C-037 del 26 de febrero de 2021, C-035 del 02 de marzo de 2021, C-040 del 02 de marzo de 2021, C-044 del 03 de marzo de 2021, C-102 del 25 de marzo de 2021, C-125 del 05 de abril de 2021, C-127 del 06 de abril de 2021,  C-130 del 07 de abril de 2021, C-144 del 07 de abril de 2021, C-141 del 08 de abril de 2021, C-114 del 13 de abril de 2021, C−151 del 12 de abril de 2021,  C-160 del 20 de abril de 2021,  C−189 del 26 de abril de 2021, C-206 del 3 de mayo de 2021, C-208 del 10 de mayo de 2021, C-211 del 11 de mayo de 2021, C-234 del 24 de mayo de 2021, C-271 del 9 de junio de 2021, C-306 del 28 de junio de 2021, C-426 del 18 de agosto de 2021, C-309 del 24 de agosto de 2021</w:t>
      </w:r>
      <w:r w:rsidR="00176EEB" w:rsidRPr="00FC292C">
        <w:rPr>
          <w:rFonts w:ascii="Arial" w:eastAsia="Calibri" w:hAnsi="Arial" w:cs="Arial"/>
          <w:sz w:val="22"/>
          <w:szCs w:val="22"/>
          <w:lang w:val="es-ES_tradnl"/>
        </w:rPr>
        <w:t>,</w:t>
      </w:r>
      <w:r w:rsidRPr="00FC292C">
        <w:rPr>
          <w:rFonts w:ascii="Arial" w:eastAsia="Calibri" w:hAnsi="Arial" w:cs="Arial"/>
          <w:sz w:val="22"/>
          <w:szCs w:val="22"/>
          <w:lang w:val="es-ES_tradnl"/>
        </w:rPr>
        <w:t xml:space="preserve"> C-455 del 31 de agosto de 2021.</w:t>
      </w:r>
      <w:r w:rsidR="00B96944" w:rsidRPr="00FC292C">
        <w:rPr>
          <w:rFonts w:ascii="Arial" w:eastAsia="Calibri" w:hAnsi="Arial" w:cs="Arial"/>
          <w:sz w:val="22"/>
          <w:szCs w:val="22"/>
          <w:lang w:val="es-ES_tradnl"/>
        </w:rPr>
        <w:t xml:space="preserve"> </w:t>
      </w:r>
      <w:r w:rsidR="00176EEB" w:rsidRPr="00FC292C">
        <w:rPr>
          <w:rFonts w:ascii="Arial" w:eastAsia="Calibri" w:hAnsi="Arial" w:cs="Arial"/>
          <w:sz w:val="22"/>
          <w:szCs w:val="22"/>
          <w:lang w:val="es-ES_tradnl"/>
        </w:rPr>
        <w:t>Asimismo, s</w:t>
      </w:r>
      <w:r w:rsidR="00B96944" w:rsidRPr="00FC292C">
        <w:rPr>
          <w:rFonts w:ascii="Arial" w:eastAsia="Calibri" w:hAnsi="Arial" w:cs="Arial"/>
          <w:sz w:val="22"/>
          <w:szCs w:val="22"/>
          <w:lang w:val="es-ES_tradnl"/>
        </w:rPr>
        <w:t xml:space="preserve">obre las limitaciones territoriales de convocatorias </w:t>
      </w:r>
      <w:r w:rsidR="00176EEB" w:rsidRPr="00FC292C">
        <w:rPr>
          <w:rFonts w:ascii="Arial" w:eastAsia="Calibri" w:hAnsi="Arial" w:cs="Arial"/>
          <w:sz w:val="22"/>
          <w:szCs w:val="22"/>
          <w:lang w:val="es-ES_tradnl"/>
        </w:rPr>
        <w:t xml:space="preserve">Mipyme </w:t>
      </w:r>
      <w:r w:rsidR="00B96944" w:rsidRPr="00FC292C">
        <w:rPr>
          <w:rFonts w:ascii="Arial" w:eastAsia="Calibri" w:hAnsi="Arial" w:cs="Arial"/>
          <w:sz w:val="22"/>
          <w:szCs w:val="22"/>
          <w:lang w:val="es-ES_tradnl"/>
        </w:rPr>
        <w:t>se pronunció en el Concepto C-705 de 7 de diciembre de 2020</w:t>
      </w:r>
      <w:r w:rsidR="00A41AA2" w:rsidRPr="00FC292C">
        <w:rPr>
          <w:rFonts w:ascii="Arial" w:eastAsia="Calibri" w:hAnsi="Arial" w:cs="Arial"/>
          <w:sz w:val="22"/>
          <w:szCs w:val="22"/>
          <w:lang w:val="es-ES_tradnl"/>
        </w:rPr>
        <w:t>,</w:t>
      </w:r>
      <w:r w:rsidR="00B96944" w:rsidRPr="00FC292C">
        <w:rPr>
          <w:rFonts w:ascii="Arial" w:eastAsia="Calibri" w:hAnsi="Arial" w:cs="Arial"/>
          <w:sz w:val="22"/>
          <w:szCs w:val="22"/>
          <w:lang w:val="es-ES_tradnl"/>
        </w:rPr>
        <w:t xml:space="preserve"> C-438 de 27 de septiembre de 2021</w:t>
      </w:r>
      <w:r w:rsidR="00132E6A" w:rsidRPr="00FC292C">
        <w:rPr>
          <w:rFonts w:ascii="Arial" w:eastAsia="Calibri" w:hAnsi="Arial" w:cs="Arial"/>
          <w:sz w:val="22"/>
          <w:szCs w:val="22"/>
          <w:lang w:val="es-ES_tradnl"/>
        </w:rPr>
        <w:t>,</w:t>
      </w:r>
      <w:r w:rsidR="00A41AA2" w:rsidRPr="00FC292C">
        <w:rPr>
          <w:rFonts w:ascii="Arial" w:eastAsia="Calibri" w:hAnsi="Arial" w:cs="Arial"/>
          <w:sz w:val="22"/>
          <w:szCs w:val="22"/>
          <w:lang w:val="es-ES_tradnl"/>
        </w:rPr>
        <w:t xml:space="preserve"> C-041 de</w:t>
      </w:r>
      <w:r w:rsidR="00E20625" w:rsidRPr="00FC292C">
        <w:rPr>
          <w:rFonts w:ascii="Arial" w:eastAsia="Calibri" w:hAnsi="Arial" w:cs="Arial"/>
          <w:sz w:val="22"/>
          <w:szCs w:val="22"/>
          <w:lang w:val="es-ES_tradnl"/>
        </w:rPr>
        <w:t xml:space="preserve"> 2 de marzo de 2022</w:t>
      </w:r>
      <w:r w:rsidR="00466224" w:rsidRPr="00FC292C">
        <w:rPr>
          <w:rFonts w:ascii="Arial" w:eastAsia="Calibri" w:hAnsi="Arial" w:cs="Arial"/>
          <w:sz w:val="22"/>
          <w:szCs w:val="22"/>
          <w:lang w:val="es-ES_tradnl"/>
        </w:rPr>
        <w:t xml:space="preserve">, </w:t>
      </w:r>
      <w:r w:rsidR="008F36E4" w:rsidRPr="00FC292C">
        <w:rPr>
          <w:rFonts w:ascii="Arial" w:eastAsia="Calibri" w:hAnsi="Arial" w:cs="Arial"/>
          <w:sz w:val="22"/>
          <w:szCs w:val="22"/>
          <w:lang w:val="es-ES_tradnl"/>
        </w:rPr>
        <w:t>C-361 de 20 de mayo de 2021</w:t>
      </w:r>
      <w:r w:rsidR="008F0EBE" w:rsidRPr="00FC292C">
        <w:rPr>
          <w:rFonts w:ascii="Arial" w:eastAsia="Calibri" w:hAnsi="Arial" w:cs="Arial"/>
          <w:sz w:val="22"/>
          <w:szCs w:val="22"/>
          <w:lang w:val="es-ES_tradnl"/>
        </w:rPr>
        <w:t>,</w:t>
      </w:r>
      <w:r w:rsidR="0011641B" w:rsidRPr="00FC292C">
        <w:rPr>
          <w:rFonts w:ascii="Arial" w:eastAsia="Calibri" w:hAnsi="Arial" w:cs="Arial"/>
          <w:sz w:val="22"/>
          <w:szCs w:val="22"/>
          <w:lang w:val="es-ES_tradnl"/>
        </w:rPr>
        <w:t xml:space="preserve"> C</w:t>
      </w:r>
      <w:r w:rsidR="00176EEB" w:rsidRPr="00FC292C">
        <w:rPr>
          <w:rFonts w:ascii="Arial" w:eastAsia="Calibri" w:hAnsi="Arial" w:cs="Arial"/>
          <w:sz w:val="22"/>
          <w:szCs w:val="22"/>
          <w:lang w:val="es-ES_tradnl"/>
        </w:rPr>
        <w:t>-</w:t>
      </w:r>
      <w:r w:rsidR="0011641B" w:rsidRPr="00FC292C">
        <w:rPr>
          <w:rFonts w:ascii="Arial" w:eastAsia="Calibri" w:hAnsi="Arial" w:cs="Arial"/>
          <w:sz w:val="22"/>
          <w:szCs w:val="22"/>
          <w:lang w:val="es-ES_tradnl"/>
        </w:rPr>
        <w:t xml:space="preserve">473 de </w:t>
      </w:r>
      <w:r w:rsidR="00512FBC" w:rsidRPr="00FC292C">
        <w:rPr>
          <w:rFonts w:ascii="Arial" w:eastAsia="Calibri" w:hAnsi="Arial" w:cs="Arial"/>
          <w:sz w:val="22"/>
          <w:szCs w:val="22"/>
          <w:lang w:val="es-ES_tradnl"/>
        </w:rPr>
        <w:t>25 de julio de 2022</w:t>
      </w:r>
      <w:r w:rsidR="00176EEB" w:rsidRPr="00FC292C">
        <w:rPr>
          <w:rFonts w:ascii="Arial" w:eastAsia="Calibri" w:hAnsi="Arial" w:cs="Arial"/>
          <w:sz w:val="22"/>
          <w:szCs w:val="22"/>
          <w:lang w:val="es-ES_tradnl"/>
        </w:rPr>
        <w:t xml:space="preserve">, </w:t>
      </w:r>
      <w:r w:rsidR="00512FBC" w:rsidRPr="00FC292C">
        <w:rPr>
          <w:rFonts w:ascii="Arial" w:eastAsia="Calibri" w:hAnsi="Arial" w:cs="Arial"/>
          <w:sz w:val="22"/>
          <w:szCs w:val="22"/>
          <w:lang w:val="es-ES_tradnl"/>
        </w:rPr>
        <w:t>C</w:t>
      </w:r>
      <w:r w:rsidR="00176EEB" w:rsidRPr="00FC292C">
        <w:rPr>
          <w:rFonts w:ascii="Arial" w:eastAsia="Calibri" w:hAnsi="Arial" w:cs="Arial"/>
          <w:sz w:val="22"/>
          <w:szCs w:val="22"/>
          <w:lang w:val="es-ES_tradnl"/>
        </w:rPr>
        <w:t>-</w:t>
      </w:r>
      <w:r w:rsidR="00C16CF0" w:rsidRPr="00FC292C">
        <w:rPr>
          <w:rFonts w:ascii="Arial" w:eastAsia="Calibri" w:hAnsi="Arial" w:cs="Arial"/>
          <w:sz w:val="22"/>
          <w:szCs w:val="22"/>
          <w:lang w:val="es-ES_tradnl"/>
        </w:rPr>
        <w:t>539 de 29 de agosto de 2022,</w:t>
      </w:r>
      <w:r w:rsidR="00B96944" w:rsidRPr="00FC292C">
        <w:rPr>
          <w:rFonts w:ascii="Arial" w:eastAsia="Calibri" w:hAnsi="Arial" w:cs="Arial"/>
          <w:sz w:val="22"/>
          <w:szCs w:val="22"/>
          <w:lang w:val="es-ES_tradnl"/>
        </w:rPr>
        <w:t xml:space="preserve"> </w:t>
      </w:r>
      <w:r w:rsidR="00176EEB" w:rsidRPr="00FC292C">
        <w:rPr>
          <w:rFonts w:ascii="Arial" w:eastAsia="Calibri" w:hAnsi="Arial" w:cs="Arial"/>
          <w:sz w:val="22"/>
          <w:szCs w:val="22"/>
          <w:lang w:val="es-ES_tradnl"/>
        </w:rPr>
        <w:t xml:space="preserve">, C-585 del 19 de septiembre de 2022, C-587 del 21 de septiembre de 2022, C-597 del 9 de septiembre de 2022, C-627 del 12 de septiembre de 2022, C-643 del 10 de octubre de 2022 y C-662 del 13 de octubre de 2022, </w:t>
      </w:r>
      <w:r w:rsidR="00B96944" w:rsidRPr="00FC292C">
        <w:rPr>
          <w:rFonts w:ascii="Arial" w:eastAsia="Calibri" w:hAnsi="Arial" w:cs="Arial"/>
          <w:sz w:val="22"/>
          <w:szCs w:val="22"/>
          <w:lang w:val="es-ES_tradnl"/>
        </w:rPr>
        <w:t>entre otros</w:t>
      </w:r>
      <w:r w:rsidR="00176EEB" w:rsidRPr="00FC292C">
        <w:rPr>
          <w:rStyle w:val="Refdenotaalpie"/>
          <w:rFonts w:ascii="Arial" w:eastAsia="Calibri" w:hAnsi="Arial" w:cs="Arial"/>
          <w:sz w:val="22"/>
          <w:szCs w:val="22"/>
          <w:lang w:val="es-ES_tradnl"/>
        </w:rPr>
        <w:footnoteReference w:id="2"/>
      </w:r>
      <w:r w:rsidR="00B96944" w:rsidRPr="00FC292C">
        <w:rPr>
          <w:rFonts w:ascii="Arial" w:eastAsia="Calibri" w:hAnsi="Arial" w:cs="Arial"/>
          <w:sz w:val="22"/>
          <w:szCs w:val="22"/>
          <w:lang w:val="es-ES_tradnl"/>
        </w:rPr>
        <w:t xml:space="preserve">. </w:t>
      </w:r>
      <w:r w:rsidRPr="00FC292C">
        <w:rPr>
          <w:rFonts w:ascii="Arial" w:eastAsia="Calibri" w:hAnsi="Arial" w:cs="Arial"/>
          <w:sz w:val="22"/>
          <w:szCs w:val="22"/>
          <w:lang w:val="es-ES_tradnl"/>
        </w:rPr>
        <w:t xml:space="preserve"> Las consideraciones de estos conceptos se reiteran a continuación y se complementan en lo pertinente</w:t>
      </w:r>
      <w:r w:rsidR="00B20B23" w:rsidRPr="00FC292C">
        <w:rPr>
          <w:rFonts w:ascii="Arial" w:eastAsia="Calibri" w:hAnsi="Arial" w:cs="Arial"/>
          <w:sz w:val="22"/>
          <w:szCs w:val="22"/>
          <w:lang w:val="es-ES_tradnl"/>
        </w:rPr>
        <w:t>:</w:t>
      </w:r>
    </w:p>
    <w:p w14:paraId="331D0ECA" w14:textId="0CEC4B0A" w:rsidR="003C4317" w:rsidRPr="00FC292C" w:rsidRDefault="003C4317" w:rsidP="00271230">
      <w:pPr>
        <w:spacing w:line="276" w:lineRule="auto"/>
        <w:jc w:val="both"/>
        <w:rPr>
          <w:rFonts w:ascii="Arial" w:eastAsia="Calibri" w:hAnsi="Arial" w:cs="Arial"/>
          <w:sz w:val="22"/>
          <w:szCs w:val="22"/>
          <w:lang w:val="es-ES_tradnl"/>
        </w:rPr>
      </w:pPr>
    </w:p>
    <w:p w14:paraId="1BB98AEE" w14:textId="1CE81C6A" w:rsidR="005C6397" w:rsidRPr="00FC292C" w:rsidRDefault="005C6397" w:rsidP="005C6397">
      <w:pPr>
        <w:spacing w:line="276" w:lineRule="auto"/>
        <w:jc w:val="both"/>
        <w:rPr>
          <w:rFonts w:ascii="Arial" w:eastAsia="Calibri" w:hAnsi="Arial" w:cs="Arial"/>
          <w:b/>
          <w:bCs/>
          <w:sz w:val="22"/>
          <w:szCs w:val="22"/>
          <w:lang w:val="es-ES_tradnl"/>
        </w:rPr>
      </w:pPr>
      <w:r w:rsidRPr="00FC292C">
        <w:rPr>
          <w:rFonts w:ascii="Arial" w:eastAsia="Calibri" w:hAnsi="Arial" w:cs="Arial"/>
          <w:b/>
          <w:bCs/>
          <w:sz w:val="22"/>
          <w:szCs w:val="22"/>
          <w:lang w:val="es-ES_tradnl"/>
        </w:rPr>
        <w:t>2.</w:t>
      </w:r>
      <w:r w:rsidR="00B43718" w:rsidRPr="00FC292C">
        <w:rPr>
          <w:rFonts w:ascii="Arial" w:eastAsia="Calibri" w:hAnsi="Arial" w:cs="Arial"/>
          <w:b/>
          <w:bCs/>
          <w:sz w:val="22"/>
          <w:szCs w:val="22"/>
          <w:lang w:val="es-ES_tradnl"/>
        </w:rPr>
        <w:t>1</w:t>
      </w:r>
      <w:r w:rsidRPr="00FC292C">
        <w:rPr>
          <w:rFonts w:ascii="Arial" w:eastAsia="Calibri" w:hAnsi="Arial" w:cs="Arial"/>
          <w:b/>
          <w:bCs/>
          <w:sz w:val="22"/>
          <w:szCs w:val="22"/>
          <w:lang w:val="es-ES_tradnl"/>
        </w:rPr>
        <w:t xml:space="preserve">. Vigencia y ámbito de aplicación de la Ley </w:t>
      </w:r>
      <w:r w:rsidR="001F0325" w:rsidRPr="00FC292C">
        <w:rPr>
          <w:rFonts w:ascii="Arial" w:eastAsia="Calibri" w:hAnsi="Arial" w:cs="Arial"/>
          <w:b/>
          <w:bCs/>
          <w:sz w:val="22"/>
          <w:szCs w:val="22"/>
          <w:lang w:val="es-ES_tradnl"/>
        </w:rPr>
        <w:t>2069</w:t>
      </w:r>
      <w:r w:rsidRPr="00FC292C">
        <w:rPr>
          <w:rFonts w:ascii="Arial" w:eastAsia="Calibri" w:hAnsi="Arial" w:cs="Arial"/>
          <w:b/>
          <w:bCs/>
          <w:sz w:val="22"/>
          <w:szCs w:val="22"/>
          <w:lang w:val="es-ES_tradnl"/>
        </w:rPr>
        <w:t xml:space="preserve"> de 2020</w:t>
      </w:r>
    </w:p>
    <w:p w14:paraId="38137F57" w14:textId="77777777" w:rsidR="005C6397" w:rsidRPr="00FC292C" w:rsidRDefault="005C6397" w:rsidP="005C6397">
      <w:pPr>
        <w:spacing w:line="276" w:lineRule="auto"/>
        <w:jc w:val="both"/>
        <w:rPr>
          <w:rFonts w:ascii="Arial" w:eastAsia="Calibri" w:hAnsi="Arial" w:cs="Arial"/>
          <w:sz w:val="22"/>
          <w:szCs w:val="22"/>
          <w:lang w:val="es-ES_tradnl"/>
        </w:rPr>
      </w:pPr>
    </w:p>
    <w:p w14:paraId="33320CB6" w14:textId="07FFC042" w:rsidR="00C47F18" w:rsidRPr="00FC292C" w:rsidRDefault="00C47F18" w:rsidP="00C47F18">
      <w:pPr>
        <w:spacing w:line="276" w:lineRule="auto"/>
        <w:jc w:val="both"/>
        <w:rPr>
          <w:rFonts w:ascii="Arial" w:eastAsia="Calibri" w:hAnsi="Arial" w:cs="Arial"/>
          <w:sz w:val="22"/>
          <w:szCs w:val="22"/>
          <w:lang w:val="es-ES_tradnl"/>
        </w:rPr>
      </w:pPr>
      <w:r w:rsidRPr="00FC292C">
        <w:rPr>
          <w:rFonts w:ascii="Arial" w:eastAsia="Calibri" w:hAnsi="Arial" w:cs="Arial"/>
          <w:sz w:val="22"/>
          <w:szCs w:val="22"/>
          <w:lang w:val="es-ES_tradnl"/>
        </w:rPr>
        <w:t>El 31 de diciembre de 2020 se promulgó la Ley 2069, «Por medio de la cual se impulsa el emprendimiento en Colombia». De acuerdo con el artículo 84, «La presente Ley rige a partir del momento de su promulgación […]», lo que significa que es obligatoria para sus destinatarios desde esa fecha. Lo anterior, sin perjuicio de la posibilidad de que el gobierno nacional, en ejercicio de la potestad reglamentaria que le confiere el artículo 189, numeral 11, de la Constitución Política, expida el decreto correspondiente que permita la cumplida ejecución de esta Ley</w:t>
      </w:r>
      <w:r w:rsidR="00176EEB" w:rsidRPr="00FC292C">
        <w:rPr>
          <w:rFonts w:ascii="Arial" w:eastAsia="Calibri" w:hAnsi="Arial" w:cs="Arial"/>
          <w:sz w:val="22"/>
          <w:szCs w:val="22"/>
          <w:lang w:val="es-ES_tradnl"/>
        </w:rPr>
        <w:t xml:space="preserve">, potestad que fue ejercida a través de la expedición del Decreto 1860 de 2021, al cual se hará referencia más adelante. </w:t>
      </w:r>
    </w:p>
    <w:p w14:paraId="221E74D7" w14:textId="14CA85F8" w:rsidR="00C47F18" w:rsidRPr="00FC292C" w:rsidRDefault="00C47F18" w:rsidP="00C47F18">
      <w:pPr>
        <w:spacing w:before="120"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lastRenderedPageBreak/>
        <w:t xml:space="preserve">En cuando a su contenido, es importante señalar que, como dispone el artículo 1, aquella «tiene por objeto establecer un marco regulatorio que propicie el emprendimiento y el crecimiento, consolidación y sostenibilidad de las empresas, con el fin de aumentar el bienestar social y generar equidad». Esto, a partir de «[…] un enfoque regionalizado </w:t>
      </w:r>
      <w:proofErr w:type="gramStart"/>
      <w:r w:rsidRPr="00FC292C">
        <w:rPr>
          <w:rFonts w:ascii="Arial" w:eastAsia="Calibri" w:hAnsi="Arial" w:cs="Arial"/>
          <w:sz w:val="22"/>
          <w:szCs w:val="22"/>
          <w:lang w:val="es-ES_tradnl"/>
        </w:rPr>
        <w:t>de acuerdo a</w:t>
      </w:r>
      <w:proofErr w:type="gramEnd"/>
      <w:r w:rsidRPr="00FC292C">
        <w:rPr>
          <w:rFonts w:ascii="Arial" w:eastAsia="Calibri" w:hAnsi="Arial" w:cs="Arial"/>
          <w:sz w:val="22"/>
          <w:szCs w:val="22"/>
          <w:lang w:val="es-ES_tradnl"/>
        </w:rPr>
        <w:t xml:space="preserve"> las realidades socioeconómicas de cada región». En desarrollo de esta finalidad, se establecen medidas de apoyo para las micro, pequeñas y medianas empresas –</w:t>
      </w:r>
      <w:proofErr w:type="spellStart"/>
      <w:r w:rsidR="00443C25" w:rsidRPr="00FC292C">
        <w:rPr>
          <w:rFonts w:ascii="Arial" w:eastAsia="Calibri" w:hAnsi="Arial" w:cs="Arial"/>
          <w:sz w:val="22"/>
          <w:szCs w:val="22"/>
          <w:lang w:val="es-ES_tradnl"/>
        </w:rPr>
        <w:t>mipymes</w:t>
      </w:r>
      <w:proofErr w:type="spellEnd"/>
      <w:r w:rsidRPr="00FC292C">
        <w:rPr>
          <w:rFonts w:ascii="Arial" w:eastAsia="Calibri" w:hAnsi="Arial" w:cs="Arial"/>
          <w:sz w:val="22"/>
          <w:szCs w:val="22"/>
          <w:lang w:val="es-ES_tradnl"/>
        </w:rPr>
        <w:t>–, mediante la racionalización y simplificación de los trámites y tarifas</w:t>
      </w:r>
      <w:r w:rsidRPr="00FC292C">
        <w:rPr>
          <w:rStyle w:val="Refdenotaalpie"/>
          <w:rFonts w:ascii="Arial" w:eastAsia="Calibri" w:hAnsi="Arial" w:cs="Arial"/>
          <w:sz w:val="22"/>
          <w:szCs w:val="22"/>
          <w:lang w:val="es-ES_tradnl"/>
        </w:rPr>
        <w:footnoteReference w:id="3"/>
      </w:r>
      <w:r w:rsidRPr="00FC292C">
        <w:rPr>
          <w:rFonts w:ascii="Arial" w:eastAsia="Calibri" w:hAnsi="Arial" w:cs="Arial"/>
          <w:sz w:val="22"/>
          <w:szCs w:val="22"/>
          <w:lang w:val="es-ES_tradnl"/>
        </w:rPr>
        <w:t>, así como incentivos a favor de aquellas dentro del sistema de compras y contratación pública</w:t>
      </w:r>
      <w:r w:rsidRPr="00FC292C">
        <w:rPr>
          <w:rStyle w:val="Refdenotaalpie"/>
          <w:rFonts w:ascii="Arial" w:eastAsia="Calibri" w:hAnsi="Arial" w:cs="Arial"/>
          <w:sz w:val="22"/>
          <w:szCs w:val="22"/>
          <w:lang w:val="es-ES_tradnl"/>
        </w:rPr>
        <w:footnoteReference w:id="4"/>
      </w:r>
      <w:r w:rsidRPr="00FC292C">
        <w:rPr>
          <w:rFonts w:ascii="Arial" w:eastAsia="Calibri" w:hAnsi="Arial" w:cs="Arial"/>
          <w:sz w:val="22"/>
          <w:szCs w:val="22"/>
          <w:lang w:val="es-ES_tradnl"/>
        </w:rPr>
        <w:t>. También se consagran mecanismos de acceso al financiamiento</w:t>
      </w:r>
      <w:r w:rsidRPr="00FC292C">
        <w:rPr>
          <w:rStyle w:val="Refdenotaalpie"/>
          <w:rFonts w:ascii="Arial" w:eastAsia="Calibri" w:hAnsi="Arial" w:cs="Arial"/>
          <w:sz w:val="22"/>
          <w:szCs w:val="22"/>
          <w:lang w:val="es-ES_tradnl"/>
        </w:rPr>
        <w:footnoteReference w:id="5"/>
      </w:r>
      <w:r w:rsidRPr="00FC292C">
        <w:rPr>
          <w:rFonts w:ascii="Arial" w:eastAsia="Calibri" w:hAnsi="Arial" w:cs="Arial"/>
          <w:sz w:val="22"/>
          <w:szCs w:val="22"/>
          <w:lang w:val="es-ES_tradnl"/>
        </w:rPr>
        <w:t>, se unifican las fuentes de emprendimiento y de desarrollo empresarial, para fortalecer y promover los distintos sectores de la economía</w:t>
      </w:r>
      <w:r w:rsidRPr="00FC292C">
        <w:rPr>
          <w:rStyle w:val="Refdenotaalpie"/>
          <w:rFonts w:ascii="Arial" w:eastAsia="Calibri" w:hAnsi="Arial" w:cs="Arial"/>
          <w:sz w:val="22"/>
          <w:szCs w:val="22"/>
          <w:lang w:val="es-ES_tradnl"/>
        </w:rPr>
        <w:footnoteReference w:id="6"/>
      </w:r>
      <w:r w:rsidRPr="00FC292C">
        <w:rPr>
          <w:rFonts w:ascii="Arial" w:eastAsia="Calibri" w:hAnsi="Arial" w:cs="Arial"/>
          <w:sz w:val="22"/>
          <w:szCs w:val="22"/>
          <w:lang w:val="es-ES_tradnl"/>
        </w:rPr>
        <w:t xml:space="preserve"> y se prevén medidas de educación para el emprendimiento y la innovación</w:t>
      </w:r>
      <w:r w:rsidRPr="00FC292C">
        <w:rPr>
          <w:rStyle w:val="Refdenotaalpie"/>
          <w:rFonts w:ascii="Arial" w:eastAsia="Calibri" w:hAnsi="Arial" w:cs="Arial"/>
          <w:sz w:val="22"/>
          <w:szCs w:val="22"/>
          <w:lang w:val="es-ES_tradnl"/>
        </w:rPr>
        <w:footnoteReference w:id="7"/>
      </w:r>
      <w:r w:rsidRPr="00FC292C">
        <w:rPr>
          <w:rFonts w:ascii="Arial" w:eastAsia="Calibri" w:hAnsi="Arial" w:cs="Arial"/>
          <w:sz w:val="22"/>
          <w:szCs w:val="22"/>
          <w:lang w:val="es-ES_tradnl"/>
        </w:rPr>
        <w:t>.</w:t>
      </w:r>
    </w:p>
    <w:p w14:paraId="42EFB9AA" w14:textId="7C8A8197" w:rsidR="005C6397" w:rsidRPr="00FC292C" w:rsidRDefault="005C6397" w:rsidP="005C6397">
      <w:pPr>
        <w:spacing w:before="120"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Como se indicó, parte de la Ley </w:t>
      </w:r>
      <w:r w:rsidR="001F0325" w:rsidRPr="00FC292C">
        <w:rPr>
          <w:rFonts w:ascii="Arial" w:eastAsia="Calibri" w:hAnsi="Arial" w:cs="Arial"/>
          <w:sz w:val="22"/>
          <w:szCs w:val="22"/>
          <w:lang w:val="es-ES_tradnl"/>
        </w:rPr>
        <w:t>2069</w:t>
      </w:r>
      <w:r w:rsidRPr="00FC292C">
        <w:rPr>
          <w:rFonts w:ascii="Arial" w:eastAsia="Calibri" w:hAnsi="Arial" w:cs="Arial"/>
          <w:sz w:val="22"/>
          <w:szCs w:val="22"/>
          <w:lang w:val="es-ES_tradnl"/>
        </w:rPr>
        <w:t xml:space="preserve"> contiene normas que modifican algunos aspectos de la contratación estatal para promover el emprendimiento. Concretamente, aquellas se encuentran en el Capítulo III –artículos 30 al 36–. En su orden, tales artículos consagran: i) reglas sobre la participación de las </w:t>
      </w:r>
      <w:proofErr w:type="spellStart"/>
      <w:r w:rsidRPr="00FC292C">
        <w:rPr>
          <w:rFonts w:ascii="Arial" w:eastAsia="Calibri" w:hAnsi="Arial" w:cs="Arial"/>
          <w:sz w:val="22"/>
          <w:szCs w:val="22"/>
          <w:lang w:val="es-ES_tradnl"/>
        </w:rPr>
        <w:t>mipymes</w:t>
      </w:r>
      <w:proofErr w:type="spellEnd"/>
      <w:r w:rsidRPr="00FC292C">
        <w:rPr>
          <w:rFonts w:ascii="Arial" w:eastAsia="Calibri" w:hAnsi="Arial" w:cs="Arial"/>
          <w:sz w:val="22"/>
          <w:szCs w:val="22"/>
          <w:lang w:val="es-ES_tradnl"/>
        </w:rPr>
        <w:t xml:space="preserve"> en el procedimiento de mínima cuantía, </w:t>
      </w:r>
      <w:proofErr w:type="spellStart"/>
      <w:r w:rsidRPr="00FC292C">
        <w:rPr>
          <w:rFonts w:ascii="Arial" w:eastAsia="Calibri" w:hAnsi="Arial" w:cs="Arial"/>
          <w:sz w:val="22"/>
          <w:szCs w:val="22"/>
          <w:lang w:val="es-ES_tradnl"/>
        </w:rPr>
        <w:t>ii</w:t>
      </w:r>
      <w:proofErr w:type="spellEnd"/>
      <w:r w:rsidRPr="00FC292C">
        <w:rPr>
          <w:rFonts w:ascii="Arial" w:eastAsia="Calibri" w:hAnsi="Arial" w:cs="Arial"/>
          <w:sz w:val="22"/>
          <w:szCs w:val="22"/>
          <w:lang w:val="es-ES_tradnl"/>
        </w:rPr>
        <w:t xml:space="preserve">) criterios diferenciales para </w:t>
      </w:r>
      <w:proofErr w:type="spellStart"/>
      <w:r w:rsidRPr="00FC292C">
        <w:rPr>
          <w:rFonts w:ascii="Arial" w:eastAsia="Calibri" w:hAnsi="Arial" w:cs="Arial"/>
          <w:sz w:val="22"/>
          <w:szCs w:val="22"/>
          <w:lang w:val="es-ES_tradnl"/>
        </w:rPr>
        <w:t>mipymes</w:t>
      </w:r>
      <w:proofErr w:type="spellEnd"/>
      <w:r w:rsidRPr="00FC292C">
        <w:rPr>
          <w:rFonts w:ascii="Arial" w:eastAsia="Calibri" w:hAnsi="Arial" w:cs="Arial"/>
          <w:sz w:val="22"/>
          <w:szCs w:val="22"/>
          <w:lang w:val="es-ES_tradnl"/>
        </w:rPr>
        <w:t xml:space="preserve"> en el sistema de compras públicas, </w:t>
      </w:r>
      <w:proofErr w:type="spellStart"/>
      <w:r w:rsidRPr="00FC292C">
        <w:rPr>
          <w:rFonts w:ascii="Arial" w:eastAsia="Calibri" w:hAnsi="Arial" w:cs="Arial"/>
          <w:sz w:val="22"/>
          <w:szCs w:val="22"/>
          <w:lang w:val="es-ES_tradnl"/>
        </w:rPr>
        <w:t>iii</w:t>
      </w:r>
      <w:proofErr w:type="spellEnd"/>
      <w:r w:rsidRPr="00FC292C">
        <w:rPr>
          <w:rFonts w:ascii="Arial" w:eastAsia="Calibri" w:hAnsi="Arial" w:cs="Arial"/>
          <w:sz w:val="22"/>
          <w:szCs w:val="22"/>
          <w:lang w:val="es-ES_tradnl"/>
        </w:rPr>
        <w:t xml:space="preserve">) criterios diferenciales para emprendimientos y empresas de mujeres en el sistema de compras públicas, </w:t>
      </w:r>
      <w:proofErr w:type="spellStart"/>
      <w:r w:rsidRPr="00FC292C">
        <w:rPr>
          <w:rFonts w:ascii="Arial" w:eastAsia="Calibri" w:hAnsi="Arial" w:cs="Arial"/>
          <w:sz w:val="22"/>
          <w:szCs w:val="22"/>
          <w:lang w:val="es-ES_tradnl"/>
        </w:rPr>
        <w:t>iv</w:t>
      </w:r>
      <w:proofErr w:type="spellEnd"/>
      <w:r w:rsidRPr="00FC292C">
        <w:rPr>
          <w:rFonts w:ascii="Arial" w:eastAsia="Calibri" w:hAnsi="Arial" w:cs="Arial"/>
          <w:sz w:val="22"/>
          <w:szCs w:val="22"/>
          <w:lang w:val="es-ES_tradnl"/>
        </w:rPr>
        <w:t xml:space="preserve">) promoción del acceso de las </w:t>
      </w:r>
      <w:proofErr w:type="spellStart"/>
      <w:r w:rsidRPr="00FC292C">
        <w:rPr>
          <w:rFonts w:ascii="Arial" w:eastAsia="Calibri" w:hAnsi="Arial" w:cs="Arial"/>
          <w:sz w:val="22"/>
          <w:szCs w:val="22"/>
          <w:lang w:val="es-ES_tradnl"/>
        </w:rPr>
        <w:t>mipymes</w:t>
      </w:r>
      <w:proofErr w:type="spellEnd"/>
      <w:r w:rsidRPr="00FC292C">
        <w:rPr>
          <w:rFonts w:ascii="Arial" w:eastAsia="Calibri" w:hAnsi="Arial" w:cs="Arial"/>
          <w:sz w:val="22"/>
          <w:szCs w:val="22"/>
          <w:lang w:val="es-ES_tradnl"/>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 Teniendo en cuenta que la consulta está relacionada con la interpretación </w:t>
      </w:r>
      <w:r w:rsidR="00BA55E0" w:rsidRPr="00FC292C">
        <w:rPr>
          <w:rFonts w:ascii="Arial" w:eastAsia="Calibri" w:hAnsi="Arial" w:cs="Arial"/>
          <w:sz w:val="22"/>
          <w:szCs w:val="22"/>
          <w:lang w:val="es-ES_tradnl"/>
        </w:rPr>
        <w:t>de</w:t>
      </w:r>
      <w:r w:rsidR="00ED2881" w:rsidRPr="00FC292C">
        <w:rPr>
          <w:rFonts w:ascii="Arial" w:eastAsia="Calibri" w:hAnsi="Arial" w:cs="Arial"/>
          <w:sz w:val="22"/>
          <w:szCs w:val="22"/>
          <w:lang w:val="es-ES_tradnl"/>
        </w:rPr>
        <w:t>l</w:t>
      </w:r>
      <w:r w:rsidR="00BA55E0" w:rsidRPr="00FC292C">
        <w:rPr>
          <w:rFonts w:ascii="Arial" w:eastAsia="Calibri" w:hAnsi="Arial" w:cs="Arial"/>
          <w:sz w:val="22"/>
          <w:szCs w:val="22"/>
          <w:lang w:val="es-ES_tradnl"/>
        </w:rPr>
        <w:t xml:space="preserve"> artículo 34</w:t>
      </w:r>
      <w:r w:rsidRPr="00FC292C">
        <w:rPr>
          <w:rFonts w:ascii="Arial" w:eastAsia="Calibri" w:hAnsi="Arial" w:cs="Arial"/>
          <w:sz w:val="22"/>
          <w:szCs w:val="22"/>
          <w:lang w:val="es-ES_tradnl"/>
        </w:rPr>
        <w:t xml:space="preserve"> de la referida </w:t>
      </w:r>
      <w:r w:rsidR="00ED2881" w:rsidRPr="00FC292C">
        <w:rPr>
          <w:rFonts w:ascii="Arial" w:eastAsia="Calibri" w:hAnsi="Arial" w:cs="Arial"/>
          <w:sz w:val="22"/>
          <w:szCs w:val="22"/>
          <w:lang w:val="es-ES_tradnl"/>
        </w:rPr>
        <w:t>l</w:t>
      </w:r>
      <w:r w:rsidRPr="00FC292C">
        <w:rPr>
          <w:rFonts w:ascii="Arial" w:eastAsia="Calibri" w:hAnsi="Arial" w:cs="Arial"/>
          <w:sz w:val="22"/>
          <w:szCs w:val="22"/>
          <w:lang w:val="es-ES_tradnl"/>
        </w:rPr>
        <w:t xml:space="preserve">ey, a </w:t>
      </w:r>
      <w:r w:rsidR="00F73958" w:rsidRPr="00FC292C">
        <w:rPr>
          <w:rFonts w:ascii="Arial" w:eastAsia="Calibri" w:hAnsi="Arial" w:cs="Arial"/>
          <w:sz w:val="22"/>
          <w:szCs w:val="22"/>
          <w:lang w:val="es-ES_tradnl"/>
        </w:rPr>
        <w:t>continuación,</w:t>
      </w:r>
      <w:r w:rsidRPr="00FC292C">
        <w:rPr>
          <w:rFonts w:ascii="Arial" w:eastAsia="Calibri" w:hAnsi="Arial" w:cs="Arial"/>
          <w:sz w:val="22"/>
          <w:szCs w:val="22"/>
          <w:lang w:val="es-ES_tradnl"/>
        </w:rPr>
        <w:t xml:space="preserve"> se estudiará el contenido y alcance de dicha</w:t>
      </w:r>
      <w:r w:rsidR="00BA55E0" w:rsidRPr="00FC292C">
        <w:rPr>
          <w:rFonts w:ascii="Arial" w:eastAsia="Calibri" w:hAnsi="Arial" w:cs="Arial"/>
          <w:sz w:val="22"/>
          <w:szCs w:val="22"/>
          <w:lang w:val="es-ES_tradnl"/>
        </w:rPr>
        <w:t>s</w:t>
      </w:r>
      <w:r w:rsidRPr="00FC292C">
        <w:rPr>
          <w:rFonts w:ascii="Arial" w:eastAsia="Calibri" w:hAnsi="Arial" w:cs="Arial"/>
          <w:sz w:val="22"/>
          <w:szCs w:val="22"/>
          <w:lang w:val="es-ES_tradnl"/>
        </w:rPr>
        <w:t xml:space="preserve"> norma</w:t>
      </w:r>
      <w:r w:rsidR="00BA55E0" w:rsidRPr="00FC292C">
        <w:rPr>
          <w:rFonts w:ascii="Arial" w:eastAsia="Calibri" w:hAnsi="Arial" w:cs="Arial"/>
          <w:sz w:val="22"/>
          <w:szCs w:val="22"/>
          <w:lang w:val="es-ES_tradnl"/>
        </w:rPr>
        <w:t>s</w:t>
      </w:r>
      <w:r w:rsidRPr="00FC292C">
        <w:rPr>
          <w:rFonts w:ascii="Arial" w:eastAsia="Calibri" w:hAnsi="Arial" w:cs="Arial"/>
          <w:sz w:val="22"/>
          <w:szCs w:val="22"/>
          <w:lang w:val="es-ES_tradnl"/>
        </w:rPr>
        <w:t xml:space="preserve">.  </w:t>
      </w:r>
    </w:p>
    <w:p w14:paraId="60078656" w14:textId="20CE103E" w:rsidR="005C6397" w:rsidRPr="00FC292C" w:rsidRDefault="005C6397" w:rsidP="00271230">
      <w:pPr>
        <w:spacing w:line="276" w:lineRule="auto"/>
        <w:jc w:val="both"/>
        <w:rPr>
          <w:rFonts w:ascii="Arial" w:eastAsia="Calibri" w:hAnsi="Arial" w:cs="Arial"/>
          <w:sz w:val="22"/>
          <w:szCs w:val="22"/>
          <w:lang w:val="es-ES_tradnl"/>
        </w:rPr>
      </w:pPr>
    </w:p>
    <w:p w14:paraId="1C51DF3C" w14:textId="177A95A7" w:rsidR="00A04532" w:rsidRPr="00FC292C" w:rsidRDefault="00A04532" w:rsidP="00271230">
      <w:pPr>
        <w:spacing w:line="276" w:lineRule="auto"/>
        <w:jc w:val="both"/>
        <w:rPr>
          <w:rFonts w:ascii="Arial" w:eastAsia="Calibri" w:hAnsi="Arial" w:cs="Arial"/>
          <w:b/>
          <w:bCs/>
          <w:sz w:val="22"/>
          <w:szCs w:val="22"/>
          <w:lang w:val="es-ES_tradnl"/>
        </w:rPr>
      </w:pPr>
      <w:r w:rsidRPr="00FC292C">
        <w:rPr>
          <w:rFonts w:ascii="Arial" w:eastAsia="Calibri" w:hAnsi="Arial" w:cs="Arial"/>
          <w:b/>
          <w:bCs/>
          <w:sz w:val="22"/>
          <w:szCs w:val="22"/>
          <w:lang w:val="es-ES_tradnl"/>
        </w:rPr>
        <w:t xml:space="preserve">2.2. Regulación de las convocatorias limitadas a </w:t>
      </w:r>
      <w:r w:rsidR="00C04488" w:rsidRPr="00FC292C">
        <w:rPr>
          <w:rFonts w:ascii="Arial" w:eastAsia="Calibri" w:hAnsi="Arial" w:cs="Arial"/>
          <w:b/>
          <w:bCs/>
          <w:sz w:val="22"/>
          <w:szCs w:val="22"/>
          <w:lang w:val="es-ES_tradnl"/>
        </w:rPr>
        <w:t xml:space="preserve">Mipymes </w:t>
      </w:r>
      <w:r w:rsidR="004B0EED" w:rsidRPr="00FC292C">
        <w:rPr>
          <w:rFonts w:ascii="Arial" w:eastAsia="Calibri" w:hAnsi="Arial" w:cs="Arial"/>
          <w:b/>
          <w:bCs/>
          <w:sz w:val="22"/>
          <w:szCs w:val="22"/>
          <w:lang w:val="es-ES_tradnl"/>
        </w:rPr>
        <w:t xml:space="preserve">en el ámbito territorial </w:t>
      </w:r>
      <w:r w:rsidRPr="00FC292C">
        <w:rPr>
          <w:rFonts w:ascii="Arial" w:eastAsia="Calibri" w:hAnsi="Arial" w:cs="Arial"/>
          <w:b/>
          <w:bCs/>
          <w:sz w:val="22"/>
          <w:szCs w:val="22"/>
          <w:lang w:val="es-ES_tradnl"/>
        </w:rPr>
        <w:t xml:space="preserve">en el artículo 34 de la Ley </w:t>
      </w:r>
      <w:r w:rsidR="001F0325" w:rsidRPr="00FC292C">
        <w:rPr>
          <w:rFonts w:ascii="Arial" w:eastAsia="Calibri" w:hAnsi="Arial" w:cs="Arial"/>
          <w:b/>
          <w:bCs/>
          <w:sz w:val="22"/>
          <w:szCs w:val="22"/>
          <w:lang w:val="es-ES_tradnl"/>
        </w:rPr>
        <w:t>2069</w:t>
      </w:r>
      <w:r w:rsidRPr="00FC292C">
        <w:rPr>
          <w:rFonts w:ascii="Arial" w:eastAsia="Calibri" w:hAnsi="Arial" w:cs="Arial"/>
          <w:b/>
          <w:bCs/>
          <w:sz w:val="22"/>
          <w:szCs w:val="22"/>
          <w:lang w:val="es-ES_tradnl"/>
        </w:rPr>
        <w:t xml:space="preserve"> de 2020</w:t>
      </w:r>
      <w:r w:rsidR="004B0EED" w:rsidRPr="00FC292C">
        <w:rPr>
          <w:rFonts w:ascii="Arial" w:eastAsia="Calibri" w:hAnsi="Arial" w:cs="Arial"/>
          <w:b/>
          <w:bCs/>
          <w:sz w:val="22"/>
          <w:szCs w:val="22"/>
          <w:lang w:val="es-ES_tradnl"/>
        </w:rPr>
        <w:t xml:space="preserve"> y el Decreto 1860 de 2021</w:t>
      </w:r>
      <w:r w:rsidRPr="00FC292C">
        <w:rPr>
          <w:rFonts w:ascii="Arial" w:eastAsia="Calibri" w:hAnsi="Arial" w:cs="Arial"/>
          <w:b/>
          <w:bCs/>
          <w:sz w:val="22"/>
          <w:szCs w:val="22"/>
          <w:lang w:val="es-ES_tradnl"/>
        </w:rPr>
        <w:t xml:space="preserve"> </w:t>
      </w:r>
    </w:p>
    <w:p w14:paraId="0D50FD63" w14:textId="23BCDBD8" w:rsidR="00A04532" w:rsidRPr="00FC292C" w:rsidRDefault="00A04532" w:rsidP="00271230">
      <w:pPr>
        <w:spacing w:line="276" w:lineRule="auto"/>
        <w:jc w:val="both"/>
        <w:rPr>
          <w:rFonts w:ascii="Arial" w:eastAsia="Calibri" w:hAnsi="Arial" w:cs="Arial"/>
          <w:sz w:val="22"/>
          <w:szCs w:val="22"/>
          <w:lang w:val="es-ES_tradnl"/>
        </w:rPr>
      </w:pPr>
    </w:p>
    <w:p w14:paraId="645CC861" w14:textId="094492E8" w:rsidR="009A2B60" w:rsidRPr="00FC292C" w:rsidRDefault="00E3212A" w:rsidP="00271230">
      <w:pPr>
        <w:spacing w:line="276" w:lineRule="auto"/>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El artículo 34 de la Ley 2069 de 2020 </w:t>
      </w:r>
      <w:r w:rsidR="002A3F66" w:rsidRPr="00FC292C">
        <w:rPr>
          <w:rFonts w:ascii="Arial" w:eastAsia="Calibri" w:hAnsi="Arial" w:cs="Arial"/>
          <w:sz w:val="22"/>
          <w:szCs w:val="22"/>
          <w:lang w:val="es-ES_tradnl"/>
        </w:rPr>
        <w:t>establece</w:t>
      </w:r>
      <w:r w:rsidR="0063247E" w:rsidRPr="00FC292C">
        <w:rPr>
          <w:rFonts w:ascii="Arial" w:eastAsia="Calibri" w:hAnsi="Arial" w:cs="Arial"/>
          <w:sz w:val="22"/>
          <w:szCs w:val="22"/>
          <w:lang w:val="es-ES_tradnl"/>
        </w:rPr>
        <w:t xml:space="preserve"> nuevas reglas sobre </w:t>
      </w:r>
      <w:r w:rsidR="00F87F37" w:rsidRPr="00FC292C">
        <w:rPr>
          <w:rFonts w:ascii="Arial" w:eastAsia="Calibri" w:hAnsi="Arial" w:cs="Arial"/>
          <w:sz w:val="22"/>
          <w:szCs w:val="22"/>
          <w:lang w:val="es-ES_tradnl"/>
        </w:rPr>
        <w:t xml:space="preserve">la </w:t>
      </w:r>
      <w:r w:rsidR="0063247E" w:rsidRPr="00FC292C">
        <w:rPr>
          <w:rFonts w:ascii="Arial" w:eastAsia="Calibri" w:hAnsi="Arial" w:cs="Arial"/>
          <w:sz w:val="22"/>
          <w:szCs w:val="22"/>
          <w:lang w:val="es-ES_tradnl"/>
        </w:rPr>
        <w:t>promoción al desarrollo en la contratación estatal</w:t>
      </w:r>
      <w:r w:rsidR="000F55A8" w:rsidRPr="00FC292C">
        <w:rPr>
          <w:rFonts w:ascii="Arial" w:eastAsia="Calibri" w:hAnsi="Arial" w:cs="Arial"/>
          <w:sz w:val="22"/>
          <w:szCs w:val="22"/>
          <w:lang w:val="es-ES_tradnl"/>
        </w:rPr>
        <w:t>. Concretamente,</w:t>
      </w:r>
      <w:r w:rsidR="00C04488" w:rsidRPr="00FC292C">
        <w:rPr>
          <w:rFonts w:ascii="Arial" w:eastAsia="Calibri" w:hAnsi="Arial" w:cs="Arial"/>
          <w:sz w:val="22"/>
          <w:szCs w:val="22"/>
          <w:lang w:val="es-ES_tradnl"/>
        </w:rPr>
        <w:t xml:space="preserve"> la citada disposición</w:t>
      </w:r>
      <w:r w:rsidR="000F55A8" w:rsidRPr="00FC292C">
        <w:rPr>
          <w:rFonts w:ascii="Arial" w:eastAsia="Calibri" w:hAnsi="Arial" w:cs="Arial"/>
          <w:sz w:val="22"/>
          <w:szCs w:val="22"/>
          <w:lang w:val="es-ES_tradnl"/>
        </w:rPr>
        <w:t xml:space="preserve"> modifica </w:t>
      </w:r>
      <w:r w:rsidR="00D500ED" w:rsidRPr="00FC292C">
        <w:rPr>
          <w:rFonts w:ascii="Arial" w:eastAsia="Calibri" w:hAnsi="Arial" w:cs="Arial"/>
          <w:sz w:val="22"/>
          <w:szCs w:val="22"/>
          <w:lang w:val="es-ES_tradnl"/>
        </w:rPr>
        <w:t xml:space="preserve">el </w:t>
      </w:r>
      <w:r w:rsidR="00D500ED" w:rsidRPr="00FC292C">
        <w:rPr>
          <w:rFonts w:ascii="Arial" w:eastAsia="Calibri" w:hAnsi="Arial" w:cs="Arial"/>
          <w:sz w:val="22"/>
          <w:szCs w:val="22"/>
          <w:lang w:val="es-ES_tradnl"/>
        </w:rPr>
        <w:lastRenderedPageBreak/>
        <w:t>contenido del artículo 12 de la Ley 1150 de 2007</w:t>
      </w:r>
      <w:r w:rsidR="00903C57" w:rsidRPr="00FC292C">
        <w:rPr>
          <w:rStyle w:val="Refdenotaalpie"/>
          <w:rFonts w:ascii="Arial" w:eastAsia="Calibri" w:hAnsi="Arial" w:cs="Arial"/>
          <w:sz w:val="22"/>
          <w:szCs w:val="22"/>
          <w:lang w:val="es-ES_tradnl"/>
        </w:rPr>
        <w:footnoteReference w:id="8"/>
      </w:r>
      <w:r w:rsidR="007E7E80" w:rsidRPr="00FC292C">
        <w:rPr>
          <w:rFonts w:ascii="Arial" w:eastAsia="Calibri" w:hAnsi="Arial" w:cs="Arial"/>
          <w:sz w:val="22"/>
          <w:szCs w:val="22"/>
          <w:lang w:val="es-ES_tradnl"/>
        </w:rPr>
        <w:t xml:space="preserve">, prescribiendo </w:t>
      </w:r>
      <w:r w:rsidR="00D11687" w:rsidRPr="00FC292C">
        <w:rPr>
          <w:rFonts w:ascii="Arial" w:eastAsia="Calibri" w:hAnsi="Arial" w:cs="Arial"/>
          <w:sz w:val="22"/>
          <w:szCs w:val="22"/>
          <w:lang w:val="es-ES_tradnl"/>
        </w:rPr>
        <w:t>lo que se indica a continuación</w:t>
      </w:r>
      <w:r w:rsidR="007E7E80" w:rsidRPr="00FC292C">
        <w:rPr>
          <w:rFonts w:ascii="Arial" w:eastAsia="Calibri" w:hAnsi="Arial" w:cs="Arial"/>
          <w:sz w:val="22"/>
          <w:szCs w:val="22"/>
          <w:lang w:val="es-ES_tradnl"/>
        </w:rPr>
        <w:t>:</w:t>
      </w:r>
    </w:p>
    <w:p w14:paraId="04501723" w14:textId="536383D6" w:rsidR="007E7E80" w:rsidRPr="00FC292C" w:rsidRDefault="007E7E80" w:rsidP="009A2B60">
      <w:pPr>
        <w:spacing w:before="120"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i) </w:t>
      </w:r>
      <w:r w:rsidR="00741B0C" w:rsidRPr="00FC292C">
        <w:rPr>
          <w:rFonts w:ascii="Arial" w:eastAsia="Calibri" w:hAnsi="Arial" w:cs="Arial"/>
          <w:sz w:val="22"/>
          <w:szCs w:val="22"/>
          <w:lang w:val="es-ES_tradnl"/>
        </w:rPr>
        <w:t xml:space="preserve">Encomienda, con carácter imperativo, al gobierno nacional </w:t>
      </w:r>
      <w:r w:rsidR="00255AD7" w:rsidRPr="00FC292C">
        <w:rPr>
          <w:rFonts w:ascii="Arial" w:eastAsia="Calibri" w:hAnsi="Arial" w:cs="Arial"/>
          <w:sz w:val="22"/>
          <w:szCs w:val="22"/>
          <w:lang w:val="es-ES_tradnl"/>
        </w:rPr>
        <w:t>definir</w:t>
      </w:r>
      <w:r w:rsidR="00741B0C" w:rsidRPr="00FC292C">
        <w:rPr>
          <w:rFonts w:ascii="Arial" w:eastAsia="Calibri" w:hAnsi="Arial" w:cs="Arial"/>
          <w:sz w:val="22"/>
          <w:szCs w:val="22"/>
          <w:lang w:val="es-ES_tradnl"/>
        </w:rPr>
        <w:t xml:space="preserve"> </w:t>
      </w:r>
      <w:r w:rsidR="00C2186B" w:rsidRPr="00FC292C">
        <w:rPr>
          <w:rFonts w:ascii="Arial" w:eastAsia="Calibri" w:hAnsi="Arial" w:cs="Arial"/>
          <w:sz w:val="22"/>
          <w:szCs w:val="22"/>
          <w:lang w:val="es-ES_tradnl"/>
        </w:rPr>
        <w:t>las condiciones y los montos para que las entidades estatales</w:t>
      </w:r>
      <w:r w:rsidR="003F02A2" w:rsidRPr="00FC292C">
        <w:rPr>
          <w:rFonts w:ascii="Arial" w:eastAsia="Calibri" w:hAnsi="Arial" w:cs="Arial"/>
          <w:sz w:val="22"/>
          <w:szCs w:val="22"/>
          <w:lang w:val="es-ES_tradnl"/>
        </w:rPr>
        <w:t xml:space="preserve"> –cualquiera sea su régimen contractual–</w:t>
      </w:r>
      <w:r w:rsidR="003D4F41" w:rsidRPr="00FC292C">
        <w:rPr>
          <w:rFonts w:ascii="Arial" w:eastAsia="Calibri" w:hAnsi="Arial" w:cs="Arial"/>
          <w:sz w:val="22"/>
          <w:szCs w:val="22"/>
          <w:lang w:val="es-ES_tradnl"/>
        </w:rPr>
        <w:t xml:space="preserve">, los patrimonios autónomos constituidos por aquellas y los particulares que administren recursos </w:t>
      </w:r>
      <w:proofErr w:type="gramStart"/>
      <w:r w:rsidR="003D4F41" w:rsidRPr="00FC292C">
        <w:rPr>
          <w:rFonts w:ascii="Arial" w:eastAsia="Calibri" w:hAnsi="Arial" w:cs="Arial"/>
          <w:sz w:val="22"/>
          <w:szCs w:val="22"/>
          <w:lang w:val="es-ES_tradnl"/>
        </w:rPr>
        <w:t>públicos</w:t>
      </w:r>
      <w:r w:rsidR="003F02A2" w:rsidRPr="00FC292C">
        <w:rPr>
          <w:rFonts w:ascii="Arial" w:eastAsia="Calibri" w:hAnsi="Arial" w:cs="Arial"/>
          <w:sz w:val="22"/>
          <w:szCs w:val="22"/>
          <w:lang w:val="es-ES_tradnl"/>
        </w:rPr>
        <w:t>,</w:t>
      </w:r>
      <w:proofErr w:type="gramEnd"/>
      <w:r w:rsidR="003F02A2" w:rsidRPr="00FC292C">
        <w:rPr>
          <w:rFonts w:ascii="Arial" w:eastAsia="Calibri" w:hAnsi="Arial" w:cs="Arial"/>
          <w:sz w:val="22"/>
          <w:szCs w:val="22"/>
          <w:lang w:val="es-ES_tradnl"/>
        </w:rPr>
        <w:t xml:space="preserve"> efectúen convocatorias limitadas a </w:t>
      </w:r>
      <w:r w:rsidR="00C04488" w:rsidRPr="00FC292C">
        <w:rPr>
          <w:rFonts w:ascii="Arial" w:eastAsia="Calibri" w:hAnsi="Arial" w:cs="Arial"/>
          <w:sz w:val="22"/>
          <w:szCs w:val="22"/>
          <w:lang w:val="es-ES_tradnl"/>
        </w:rPr>
        <w:t xml:space="preserve">Mipymes </w:t>
      </w:r>
      <w:r w:rsidR="00206F4D" w:rsidRPr="00FC292C">
        <w:rPr>
          <w:rFonts w:ascii="Arial" w:eastAsia="Calibri" w:hAnsi="Arial" w:cs="Arial"/>
          <w:sz w:val="22"/>
          <w:szCs w:val="22"/>
          <w:lang w:val="es-ES_tradnl"/>
        </w:rPr>
        <w:t>en los procesos de contratación.</w:t>
      </w:r>
      <w:r w:rsidR="0082520B" w:rsidRPr="00FC292C">
        <w:rPr>
          <w:rFonts w:ascii="Arial" w:eastAsia="Calibri" w:hAnsi="Arial" w:cs="Arial"/>
          <w:sz w:val="22"/>
          <w:szCs w:val="22"/>
          <w:lang w:val="es-ES_tradnl"/>
        </w:rPr>
        <w:t xml:space="preserve"> </w:t>
      </w:r>
      <w:r w:rsidR="00DC50AA" w:rsidRPr="00FC292C">
        <w:rPr>
          <w:rFonts w:ascii="Arial" w:eastAsia="Calibri" w:hAnsi="Arial" w:cs="Arial"/>
          <w:sz w:val="22"/>
          <w:szCs w:val="22"/>
          <w:lang w:val="es-ES_tradnl"/>
        </w:rPr>
        <w:t xml:space="preserve">Y agrega que estas convocatorias se pueden realizar </w:t>
      </w:r>
      <w:r w:rsidR="003D65E0" w:rsidRPr="00FC292C">
        <w:rPr>
          <w:rFonts w:ascii="Arial" w:eastAsia="Calibri" w:hAnsi="Arial" w:cs="Arial"/>
          <w:sz w:val="22"/>
          <w:szCs w:val="22"/>
          <w:lang w:val="es-ES_tradnl"/>
        </w:rPr>
        <w:t>también en el ámbito municipal o departamental en el que se ejecute el contrato.</w:t>
      </w:r>
      <w:r w:rsidR="00DC50AA" w:rsidRPr="00FC292C">
        <w:rPr>
          <w:rFonts w:ascii="Arial" w:eastAsia="Calibri" w:hAnsi="Arial" w:cs="Arial"/>
          <w:sz w:val="22"/>
          <w:szCs w:val="22"/>
          <w:lang w:val="es-ES_tradnl"/>
        </w:rPr>
        <w:t xml:space="preserve"> </w:t>
      </w:r>
    </w:p>
    <w:p w14:paraId="3B240066" w14:textId="17A58FEF" w:rsidR="00AA47FA" w:rsidRPr="00FC292C" w:rsidRDefault="00206F4D" w:rsidP="009A2B60">
      <w:pPr>
        <w:spacing w:before="120" w:line="276" w:lineRule="auto"/>
        <w:ind w:firstLine="709"/>
        <w:jc w:val="both"/>
        <w:rPr>
          <w:rFonts w:ascii="Arial" w:eastAsia="Calibri" w:hAnsi="Arial" w:cs="Arial"/>
          <w:sz w:val="22"/>
          <w:szCs w:val="22"/>
          <w:lang w:val="es-ES_tradnl"/>
        </w:rPr>
      </w:pPr>
      <w:proofErr w:type="spellStart"/>
      <w:r w:rsidRPr="00FC292C">
        <w:rPr>
          <w:rFonts w:ascii="Arial" w:eastAsia="Calibri" w:hAnsi="Arial" w:cs="Arial"/>
          <w:sz w:val="22"/>
          <w:szCs w:val="22"/>
          <w:lang w:val="es-ES_tradnl"/>
        </w:rPr>
        <w:t>ii</w:t>
      </w:r>
      <w:proofErr w:type="spellEnd"/>
      <w:r w:rsidRPr="00FC292C">
        <w:rPr>
          <w:rFonts w:ascii="Arial" w:eastAsia="Calibri" w:hAnsi="Arial" w:cs="Arial"/>
          <w:sz w:val="22"/>
          <w:szCs w:val="22"/>
          <w:lang w:val="es-ES_tradnl"/>
        </w:rPr>
        <w:t>) Indica que</w:t>
      </w:r>
      <w:r w:rsidR="005E665F" w:rsidRPr="00FC292C">
        <w:rPr>
          <w:rFonts w:ascii="Arial" w:eastAsia="Calibri" w:hAnsi="Arial" w:cs="Arial"/>
          <w:sz w:val="22"/>
          <w:szCs w:val="22"/>
          <w:lang w:val="es-ES_tradnl"/>
        </w:rPr>
        <w:t xml:space="preserve"> dichas convocatorias se deben efectuar </w:t>
      </w:r>
      <w:r w:rsidR="009A2B60" w:rsidRPr="00FC292C">
        <w:rPr>
          <w:rFonts w:ascii="Arial" w:eastAsia="Calibri" w:hAnsi="Arial" w:cs="Arial"/>
          <w:sz w:val="22"/>
          <w:szCs w:val="22"/>
          <w:lang w:val="es-ES_tradnl"/>
        </w:rPr>
        <w:t xml:space="preserve">siempre </w:t>
      </w:r>
      <w:r w:rsidR="00D22BDD" w:rsidRPr="00FC292C">
        <w:rPr>
          <w:rFonts w:ascii="Arial" w:eastAsia="Calibri" w:hAnsi="Arial" w:cs="Arial"/>
          <w:sz w:val="22"/>
          <w:szCs w:val="22"/>
          <w:lang w:val="es-ES_tradnl"/>
        </w:rPr>
        <w:t>y cuando,</w:t>
      </w:r>
      <w:r w:rsidR="009A2B60" w:rsidRPr="00FC292C">
        <w:rPr>
          <w:rFonts w:ascii="Arial" w:eastAsia="Calibri" w:hAnsi="Arial" w:cs="Arial"/>
          <w:sz w:val="22"/>
          <w:szCs w:val="22"/>
          <w:lang w:val="es-ES_tradnl"/>
        </w:rPr>
        <w:t xml:space="preserve"> antes del acto administrativo de apertura del proceso de selección</w:t>
      </w:r>
      <w:r w:rsidR="00D22BDD" w:rsidRPr="00FC292C">
        <w:rPr>
          <w:rFonts w:ascii="Arial" w:eastAsia="Calibri" w:hAnsi="Arial" w:cs="Arial"/>
          <w:sz w:val="22"/>
          <w:szCs w:val="22"/>
          <w:lang w:val="es-ES_tradnl"/>
        </w:rPr>
        <w:t>,</w:t>
      </w:r>
      <w:r w:rsidR="009A2B60" w:rsidRPr="00FC292C">
        <w:rPr>
          <w:rFonts w:ascii="Arial" w:eastAsia="Calibri" w:hAnsi="Arial" w:cs="Arial"/>
          <w:sz w:val="22"/>
          <w:szCs w:val="22"/>
          <w:lang w:val="es-ES_tradnl"/>
        </w:rPr>
        <w:t xml:space="preserve"> </w:t>
      </w:r>
      <w:r w:rsidR="00AA47FA" w:rsidRPr="00FC292C">
        <w:rPr>
          <w:rFonts w:ascii="Arial" w:eastAsia="Calibri" w:hAnsi="Arial" w:cs="Arial"/>
          <w:sz w:val="22"/>
          <w:szCs w:val="22"/>
          <w:lang w:val="es-ES_tradnl"/>
        </w:rPr>
        <w:t>por lo menos dos</w:t>
      </w:r>
      <w:r w:rsidR="00857638" w:rsidRPr="00FC292C">
        <w:rPr>
          <w:rFonts w:ascii="Arial" w:eastAsia="Calibri" w:hAnsi="Arial" w:cs="Arial"/>
          <w:sz w:val="22"/>
          <w:szCs w:val="22"/>
          <w:lang w:val="es-ES_tradnl"/>
        </w:rPr>
        <w:t xml:space="preserve"> (2)</w:t>
      </w:r>
      <w:r w:rsidR="00AA47FA" w:rsidRPr="00FC292C">
        <w:rPr>
          <w:rFonts w:ascii="Arial" w:eastAsia="Calibri" w:hAnsi="Arial" w:cs="Arial"/>
          <w:sz w:val="22"/>
          <w:szCs w:val="22"/>
          <w:lang w:val="es-ES_tradnl"/>
        </w:rPr>
        <w:t xml:space="preserve"> </w:t>
      </w:r>
      <w:r w:rsidR="00C04488" w:rsidRPr="00FC292C">
        <w:rPr>
          <w:rFonts w:ascii="Arial" w:eastAsia="Calibri" w:hAnsi="Arial" w:cs="Arial"/>
          <w:sz w:val="22"/>
          <w:szCs w:val="22"/>
          <w:lang w:val="es-ES_tradnl"/>
        </w:rPr>
        <w:t xml:space="preserve">Mipymes </w:t>
      </w:r>
      <w:r w:rsidR="00AA47FA" w:rsidRPr="00FC292C">
        <w:rPr>
          <w:rFonts w:ascii="Arial" w:eastAsia="Calibri" w:hAnsi="Arial" w:cs="Arial"/>
          <w:sz w:val="22"/>
          <w:szCs w:val="22"/>
          <w:lang w:val="es-ES_tradnl"/>
        </w:rPr>
        <w:t>hayan manifestado su interés.</w:t>
      </w:r>
    </w:p>
    <w:p w14:paraId="065EDECD" w14:textId="0268D077" w:rsidR="00597516" w:rsidRPr="00FC292C" w:rsidRDefault="00AA47FA" w:rsidP="009A2B60">
      <w:pPr>
        <w:spacing w:before="120" w:line="276" w:lineRule="auto"/>
        <w:ind w:firstLine="709"/>
        <w:jc w:val="both"/>
        <w:rPr>
          <w:rFonts w:ascii="Arial" w:eastAsia="Calibri" w:hAnsi="Arial" w:cs="Arial"/>
          <w:sz w:val="22"/>
          <w:szCs w:val="22"/>
          <w:lang w:val="es-ES_tradnl"/>
        </w:rPr>
      </w:pPr>
      <w:proofErr w:type="spellStart"/>
      <w:r w:rsidRPr="00FC292C">
        <w:rPr>
          <w:rFonts w:ascii="Arial" w:eastAsia="Calibri" w:hAnsi="Arial" w:cs="Arial"/>
          <w:sz w:val="22"/>
          <w:szCs w:val="22"/>
          <w:lang w:val="es-ES_tradnl"/>
        </w:rPr>
        <w:t>iii</w:t>
      </w:r>
      <w:proofErr w:type="spellEnd"/>
      <w:r w:rsidRPr="00FC292C">
        <w:rPr>
          <w:rFonts w:ascii="Arial" w:eastAsia="Calibri" w:hAnsi="Arial" w:cs="Arial"/>
          <w:sz w:val="22"/>
          <w:szCs w:val="22"/>
          <w:lang w:val="es-ES_tradnl"/>
        </w:rPr>
        <w:t xml:space="preserve">) Determina que uno de los parámetros que deberá tener en cuenta el gobierno nacional para </w:t>
      </w:r>
      <w:r w:rsidR="001858C9" w:rsidRPr="00FC292C">
        <w:rPr>
          <w:rFonts w:ascii="Arial" w:eastAsia="Calibri" w:hAnsi="Arial" w:cs="Arial"/>
          <w:sz w:val="22"/>
          <w:szCs w:val="22"/>
          <w:lang w:val="es-ES_tradnl"/>
        </w:rPr>
        <w:t>reglamentar</w:t>
      </w:r>
      <w:r w:rsidRPr="00FC292C">
        <w:rPr>
          <w:rFonts w:ascii="Arial" w:eastAsia="Calibri" w:hAnsi="Arial" w:cs="Arial"/>
          <w:sz w:val="22"/>
          <w:szCs w:val="22"/>
          <w:lang w:val="es-ES_tradnl"/>
        </w:rPr>
        <w:t xml:space="preserve"> la mate</w:t>
      </w:r>
      <w:r w:rsidR="00400A1B" w:rsidRPr="00FC292C">
        <w:rPr>
          <w:rFonts w:ascii="Arial" w:eastAsia="Calibri" w:hAnsi="Arial" w:cs="Arial"/>
          <w:sz w:val="22"/>
          <w:szCs w:val="22"/>
          <w:lang w:val="es-ES_tradnl"/>
        </w:rPr>
        <w:t xml:space="preserve">ria </w:t>
      </w:r>
      <w:r w:rsidR="006A6D7B" w:rsidRPr="00FC292C">
        <w:rPr>
          <w:rFonts w:ascii="Arial" w:eastAsia="Calibri" w:hAnsi="Arial" w:cs="Arial"/>
          <w:sz w:val="22"/>
          <w:szCs w:val="22"/>
          <w:lang w:val="es-ES_tradnl"/>
        </w:rPr>
        <w:t>es el cumplimiento de</w:t>
      </w:r>
      <w:r w:rsidR="00400A1B" w:rsidRPr="00FC292C">
        <w:rPr>
          <w:rFonts w:ascii="Arial" w:eastAsia="Calibri" w:hAnsi="Arial" w:cs="Arial"/>
          <w:sz w:val="22"/>
          <w:szCs w:val="22"/>
          <w:lang w:val="es-ES_tradnl"/>
        </w:rPr>
        <w:t xml:space="preserve"> los compromisos internacionales vigentes. Es decir</w:t>
      </w:r>
      <w:r w:rsidR="00C04488" w:rsidRPr="00FC292C">
        <w:rPr>
          <w:rFonts w:ascii="Arial" w:eastAsia="Calibri" w:hAnsi="Arial" w:cs="Arial"/>
          <w:sz w:val="22"/>
          <w:szCs w:val="22"/>
          <w:lang w:val="es-ES_tradnl"/>
        </w:rPr>
        <w:t>,</w:t>
      </w:r>
      <w:r w:rsidR="00400A1B" w:rsidRPr="00FC292C">
        <w:rPr>
          <w:rFonts w:ascii="Arial" w:eastAsia="Calibri" w:hAnsi="Arial" w:cs="Arial"/>
          <w:sz w:val="22"/>
          <w:szCs w:val="22"/>
          <w:lang w:val="es-ES_tradnl"/>
        </w:rPr>
        <w:t xml:space="preserve"> que se deberán considerar las estipulaciones</w:t>
      </w:r>
      <w:r w:rsidR="00597516" w:rsidRPr="00FC292C">
        <w:rPr>
          <w:rFonts w:ascii="Arial" w:eastAsia="Calibri" w:hAnsi="Arial" w:cs="Arial"/>
          <w:sz w:val="22"/>
          <w:szCs w:val="22"/>
          <w:lang w:val="es-ES_tradnl"/>
        </w:rPr>
        <w:t xml:space="preserve"> contenidas en los tratados comerciales suscritos entre Colombia y otros Estados.</w:t>
      </w:r>
    </w:p>
    <w:p w14:paraId="7C504D48" w14:textId="0D13D4B3" w:rsidR="00D175B2" w:rsidRPr="00FC292C" w:rsidRDefault="00597516" w:rsidP="009A2B60">
      <w:pPr>
        <w:spacing w:before="120" w:line="276" w:lineRule="auto"/>
        <w:ind w:firstLine="709"/>
        <w:jc w:val="both"/>
        <w:rPr>
          <w:rFonts w:ascii="Arial" w:eastAsia="Calibri" w:hAnsi="Arial" w:cs="Arial"/>
          <w:sz w:val="22"/>
          <w:szCs w:val="22"/>
          <w:lang w:val="es-ES_tradnl"/>
        </w:rPr>
      </w:pPr>
      <w:proofErr w:type="spellStart"/>
      <w:r w:rsidRPr="00FC292C">
        <w:rPr>
          <w:rFonts w:ascii="Arial" w:eastAsia="Calibri" w:hAnsi="Arial" w:cs="Arial"/>
          <w:sz w:val="22"/>
          <w:szCs w:val="22"/>
          <w:lang w:val="es-ES_tradnl"/>
        </w:rPr>
        <w:lastRenderedPageBreak/>
        <w:t>iv</w:t>
      </w:r>
      <w:proofErr w:type="spellEnd"/>
      <w:r w:rsidRPr="00FC292C">
        <w:rPr>
          <w:rFonts w:ascii="Arial" w:eastAsia="Calibri" w:hAnsi="Arial" w:cs="Arial"/>
          <w:sz w:val="22"/>
          <w:szCs w:val="22"/>
          <w:lang w:val="es-ES_tradnl"/>
        </w:rPr>
        <w:t>)</w:t>
      </w:r>
      <w:r w:rsidR="00AA31C5" w:rsidRPr="00FC292C">
        <w:rPr>
          <w:rFonts w:ascii="Arial" w:eastAsia="Calibri" w:hAnsi="Arial" w:cs="Arial"/>
          <w:sz w:val="22"/>
          <w:szCs w:val="22"/>
          <w:lang w:val="es-ES_tradnl"/>
        </w:rPr>
        <w:t xml:space="preserve"> </w:t>
      </w:r>
      <w:r w:rsidR="00244FC3" w:rsidRPr="00FC292C">
        <w:rPr>
          <w:rFonts w:ascii="Arial" w:eastAsia="Calibri" w:hAnsi="Arial" w:cs="Arial"/>
          <w:sz w:val="22"/>
          <w:szCs w:val="22"/>
          <w:lang w:val="es-ES_tradnl"/>
        </w:rPr>
        <w:t>Establece que</w:t>
      </w:r>
      <w:r w:rsidR="001858C9" w:rsidRPr="00FC292C">
        <w:rPr>
          <w:rFonts w:ascii="Arial" w:eastAsia="Calibri" w:hAnsi="Arial" w:cs="Arial"/>
          <w:sz w:val="22"/>
          <w:szCs w:val="22"/>
          <w:lang w:val="es-ES_tradnl"/>
        </w:rPr>
        <w:t>,</w:t>
      </w:r>
      <w:r w:rsidR="00244FC3" w:rsidRPr="00FC292C">
        <w:rPr>
          <w:rFonts w:ascii="Arial" w:eastAsia="Calibri" w:hAnsi="Arial" w:cs="Arial"/>
          <w:sz w:val="22"/>
          <w:szCs w:val="22"/>
          <w:lang w:val="es-ES_tradnl"/>
        </w:rPr>
        <w:t xml:space="preserve"> en el reglamento</w:t>
      </w:r>
      <w:r w:rsidR="001858C9" w:rsidRPr="00FC292C">
        <w:rPr>
          <w:rFonts w:ascii="Arial" w:eastAsia="Calibri" w:hAnsi="Arial" w:cs="Arial"/>
          <w:sz w:val="22"/>
          <w:szCs w:val="22"/>
          <w:lang w:val="es-ES_tradnl"/>
        </w:rPr>
        <w:t>,</w:t>
      </w:r>
      <w:r w:rsidR="00244FC3" w:rsidRPr="00FC292C">
        <w:rPr>
          <w:rFonts w:ascii="Arial" w:eastAsia="Calibri" w:hAnsi="Arial" w:cs="Arial"/>
          <w:sz w:val="22"/>
          <w:szCs w:val="22"/>
          <w:lang w:val="es-ES_tradnl"/>
        </w:rPr>
        <w:t xml:space="preserve"> el gobierno nacional podría</w:t>
      </w:r>
      <w:r w:rsidR="00D175B2" w:rsidRPr="00FC292C">
        <w:rPr>
          <w:rFonts w:ascii="Arial" w:eastAsia="Calibri" w:hAnsi="Arial" w:cs="Arial"/>
          <w:sz w:val="22"/>
          <w:szCs w:val="22"/>
          <w:lang w:val="es-ES_tradnl"/>
        </w:rPr>
        <w:t xml:space="preserve"> establecer condiciones preferenciales para los bienes y servicios producidos por las </w:t>
      </w:r>
      <w:r w:rsidR="00C04488" w:rsidRPr="00FC292C">
        <w:rPr>
          <w:rFonts w:ascii="Arial" w:eastAsia="Calibri" w:hAnsi="Arial" w:cs="Arial"/>
          <w:sz w:val="22"/>
          <w:szCs w:val="22"/>
          <w:lang w:val="es-ES_tradnl"/>
        </w:rPr>
        <w:t>Mipymes</w:t>
      </w:r>
      <w:r w:rsidR="00D26DE7" w:rsidRPr="00FC292C">
        <w:rPr>
          <w:rFonts w:ascii="Arial" w:eastAsia="Calibri" w:hAnsi="Arial" w:cs="Arial"/>
          <w:sz w:val="22"/>
          <w:szCs w:val="22"/>
          <w:lang w:val="es-ES_tradnl"/>
        </w:rPr>
        <w:t xml:space="preserve">, sin contrariar los </w:t>
      </w:r>
      <w:r w:rsidR="00AA31C5" w:rsidRPr="00FC292C">
        <w:rPr>
          <w:rFonts w:ascii="Arial" w:eastAsia="Calibri" w:hAnsi="Arial" w:cs="Arial"/>
          <w:sz w:val="22"/>
          <w:szCs w:val="22"/>
          <w:lang w:val="es-ES_tradnl"/>
        </w:rPr>
        <w:t>compromisos internacionales</w:t>
      </w:r>
      <w:r w:rsidR="00D26DE7" w:rsidRPr="00FC292C">
        <w:rPr>
          <w:rFonts w:ascii="Arial" w:eastAsia="Calibri" w:hAnsi="Arial" w:cs="Arial"/>
          <w:sz w:val="22"/>
          <w:szCs w:val="22"/>
          <w:lang w:val="es-ES_tradnl"/>
        </w:rPr>
        <w:t xml:space="preserve"> vigentes.</w:t>
      </w:r>
    </w:p>
    <w:p w14:paraId="45F36E6C" w14:textId="1D675F6C" w:rsidR="005A1F51" w:rsidRPr="00FC292C" w:rsidRDefault="00D175B2" w:rsidP="009A2B60">
      <w:pPr>
        <w:spacing w:before="120"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v) </w:t>
      </w:r>
      <w:r w:rsidR="009A2B60" w:rsidRPr="00FC292C">
        <w:rPr>
          <w:rFonts w:ascii="Arial" w:eastAsia="Calibri" w:hAnsi="Arial" w:cs="Arial"/>
          <w:sz w:val="22"/>
          <w:szCs w:val="22"/>
          <w:lang w:val="es-ES_tradnl"/>
        </w:rPr>
        <w:t xml:space="preserve"> </w:t>
      </w:r>
      <w:r w:rsidR="00AA31C5" w:rsidRPr="00FC292C">
        <w:rPr>
          <w:rFonts w:ascii="Arial" w:eastAsia="Calibri" w:hAnsi="Arial" w:cs="Arial"/>
          <w:sz w:val="22"/>
          <w:szCs w:val="22"/>
          <w:lang w:val="es-ES_tradnl"/>
        </w:rPr>
        <w:t xml:space="preserve">Aclara que tanto las convocatorias limitadas a </w:t>
      </w:r>
      <w:r w:rsidR="00C04488" w:rsidRPr="00FC292C">
        <w:rPr>
          <w:rFonts w:ascii="Arial" w:eastAsia="Calibri" w:hAnsi="Arial" w:cs="Arial"/>
          <w:sz w:val="22"/>
          <w:szCs w:val="22"/>
          <w:lang w:val="es-ES_tradnl"/>
        </w:rPr>
        <w:t>Mipymes</w:t>
      </w:r>
      <w:r w:rsidR="00AA31C5" w:rsidRPr="00FC292C">
        <w:rPr>
          <w:rFonts w:ascii="Arial" w:eastAsia="Calibri" w:hAnsi="Arial" w:cs="Arial"/>
          <w:sz w:val="22"/>
          <w:szCs w:val="22"/>
          <w:lang w:val="es-ES_tradnl"/>
        </w:rPr>
        <w:t>, como</w:t>
      </w:r>
      <w:r w:rsidR="00977F52" w:rsidRPr="00FC292C">
        <w:rPr>
          <w:rFonts w:ascii="Arial" w:eastAsia="Calibri" w:hAnsi="Arial" w:cs="Arial"/>
          <w:sz w:val="22"/>
          <w:szCs w:val="22"/>
          <w:lang w:val="es-ES_tradnl"/>
        </w:rPr>
        <w:t xml:space="preserve"> las condiciones preferenciales a favor de los bienes y servicios producidos por estas, no es óbice para que deban cumplir l</w:t>
      </w:r>
      <w:r w:rsidR="005A1F51" w:rsidRPr="00FC292C">
        <w:rPr>
          <w:rFonts w:ascii="Arial" w:eastAsia="Calibri" w:hAnsi="Arial" w:cs="Arial"/>
          <w:sz w:val="22"/>
          <w:szCs w:val="22"/>
          <w:lang w:val="es-ES_tradnl"/>
        </w:rPr>
        <w:t xml:space="preserve">as </w:t>
      </w:r>
      <w:r w:rsidR="00AD30DB" w:rsidRPr="00FC292C">
        <w:rPr>
          <w:rFonts w:ascii="Arial" w:eastAsia="Calibri" w:hAnsi="Arial" w:cs="Arial"/>
          <w:sz w:val="22"/>
          <w:szCs w:val="22"/>
          <w:lang w:val="es-ES_tradnl"/>
        </w:rPr>
        <w:t>exigencias</w:t>
      </w:r>
      <w:r w:rsidR="005A1F51" w:rsidRPr="00FC292C">
        <w:rPr>
          <w:rFonts w:ascii="Arial" w:eastAsia="Calibri" w:hAnsi="Arial" w:cs="Arial"/>
          <w:sz w:val="22"/>
          <w:szCs w:val="22"/>
          <w:lang w:val="es-ES_tradnl"/>
        </w:rPr>
        <w:t xml:space="preserve"> técnicas y económicas </w:t>
      </w:r>
      <w:r w:rsidR="00AD30DB" w:rsidRPr="00FC292C">
        <w:rPr>
          <w:rFonts w:ascii="Arial" w:eastAsia="Calibri" w:hAnsi="Arial" w:cs="Arial"/>
          <w:sz w:val="22"/>
          <w:szCs w:val="22"/>
          <w:lang w:val="es-ES_tradnl"/>
        </w:rPr>
        <w:t>d</w:t>
      </w:r>
      <w:r w:rsidR="005A1F51" w:rsidRPr="00FC292C">
        <w:rPr>
          <w:rFonts w:ascii="Arial" w:eastAsia="Calibri" w:hAnsi="Arial" w:cs="Arial"/>
          <w:sz w:val="22"/>
          <w:szCs w:val="22"/>
          <w:lang w:val="es-ES_tradnl"/>
        </w:rPr>
        <w:t>el proceso de selección.</w:t>
      </w:r>
    </w:p>
    <w:p w14:paraId="41608704" w14:textId="056E24E7" w:rsidR="009E7068" w:rsidRPr="00FC292C" w:rsidRDefault="005A1F51" w:rsidP="003A058E">
      <w:pPr>
        <w:spacing w:before="120"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vi) </w:t>
      </w:r>
      <w:r w:rsidR="002C0589" w:rsidRPr="00FC292C">
        <w:rPr>
          <w:rFonts w:ascii="Arial" w:eastAsia="Calibri" w:hAnsi="Arial" w:cs="Arial"/>
          <w:sz w:val="22"/>
          <w:szCs w:val="22"/>
          <w:lang w:val="es-ES_tradnl"/>
        </w:rPr>
        <w:t xml:space="preserve">Señala que el reglamento </w:t>
      </w:r>
      <w:r w:rsidR="00443C25" w:rsidRPr="00FC292C">
        <w:rPr>
          <w:rFonts w:ascii="Arial" w:eastAsia="Calibri" w:hAnsi="Arial" w:cs="Arial"/>
          <w:sz w:val="22"/>
          <w:szCs w:val="22"/>
          <w:lang w:val="es-ES_tradnl"/>
        </w:rPr>
        <w:t xml:space="preserve">a cargo del </w:t>
      </w:r>
      <w:r w:rsidR="002C0589" w:rsidRPr="00FC292C">
        <w:rPr>
          <w:rFonts w:ascii="Arial" w:eastAsia="Calibri" w:hAnsi="Arial" w:cs="Arial"/>
          <w:sz w:val="22"/>
          <w:szCs w:val="22"/>
          <w:lang w:val="es-ES_tradnl"/>
        </w:rPr>
        <w:t>gobierno nacional</w:t>
      </w:r>
      <w:r w:rsidR="00446709" w:rsidRPr="00FC292C">
        <w:rPr>
          <w:rFonts w:ascii="Arial" w:eastAsia="Calibri" w:hAnsi="Arial" w:cs="Arial"/>
          <w:sz w:val="22"/>
          <w:szCs w:val="22"/>
          <w:lang w:val="es-ES_tradnl"/>
        </w:rPr>
        <w:t>, además de</w:t>
      </w:r>
      <w:r w:rsidR="00C04488" w:rsidRPr="00FC292C">
        <w:rPr>
          <w:rFonts w:ascii="Arial" w:eastAsia="Calibri" w:hAnsi="Arial" w:cs="Arial"/>
          <w:sz w:val="22"/>
          <w:szCs w:val="22"/>
          <w:lang w:val="es-ES_tradnl"/>
        </w:rPr>
        <w:t xml:space="preserve"> lo referente a</w:t>
      </w:r>
      <w:r w:rsidR="00446709" w:rsidRPr="00FC292C">
        <w:rPr>
          <w:rFonts w:ascii="Arial" w:eastAsia="Calibri" w:hAnsi="Arial" w:cs="Arial"/>
          <w:sz w:val="22"/>
          <w:szCs w:val="22"/>
          <w:lang w:val="es-ES_tradnl"/>
        </w:rPr>
        <w:t xml:space="preserve"> las convocatorias limitadas a </w:t>
      </w:r>
      <w:r w:rsidR="00C04488" w:rsidRPr="00FC292C">
        <w:rPr>
          <w:rFonts w:ascii="Arial" w:eastAsia="Calibri" w:hAnsi="Arial" w:cs="Arial"/>
          <w:sz w:val="22"/>
          <w:szCs w:val="22"/>
          <w:lang w:val="es-ES_tradnl"/>
        </w:rPr>
        <w:t>Mipymes</w:t>
      </w:r>
      <w:r w:rsidR="00446709" w:rsidRPr="00FC292C">
        <w:rPr>
          <w:rFonts w:ascii="Arial" w:eastAsia="Calibri" w:hAnsi="Arial" w:cs="Arial"/>
          <w:sz w:val="22"/>
          <w:szCs w:val="22"/>
          <w:lang w:val="es-ES_tradnl"/>
        </w:rPr>
        <w:t>, deberá contener disposiciones normativas que permitan la provisión de bienes y servicios, a través de la celebración de contratos estatales</w:t>
      </w:r>
      <w:r w:rsidR="00C04F1B" w:rsidRPr="00FC292C">
        <w:rPr>
          <w:rFonts w:ascii="Arial" w:eastAsia="Calibri" w:hAnsi="Arial" w:cs="Arial"/>
          <w:sz w:val="22"/>
          <w:szCs w:val="22"/>
          <w:lang w:val="es-ES_tradnl"/>
        </w:rPr>
        <w:t xml:space="preserve"> con </w:t>
      </w:r>
      <w:r w:rsidR="00446709" w:rsidRPr="00FC292C">
        <w:rPr>
          <w:rFonts w:ascii="Arial" w:eastAsia="Calibri" w:hAnsi="Arial" w:cs="Arial"/>
          <w:sz w:val="22"/>
          <w:szCs w:val="22"/>
          <w:lang w:val="es-ES_tradnl"/>
        </w:rPr>
        <w:t>algunas personas que gozan de especial protección constitucional.</w:t>
      </w:r>
      <w:r w:rsidR="00206F4D" w:rsidRPr="00FC292C">
        <w:rPr>
          <w:rFonts w:ascii="Arial" w:eastAsia="Calibri" w:hAnsi="Arial" w:cs="Arial"/>
          <w:sz w:val="22"/>
          <w:szCs w:val="22"/>
          <w:lang w:val="es-ES_tradnl"/>
        </w:rPr>
        <w:t xml:space="preserve"> </w:t>
      </w:r>
      <w:r w:rsidR="00C04F1B" w:rsidRPr="00FC292C">
        <w:rPr>
          <w:rFonts w:ascii="Arial" w:eastAsia="Calibri" w:hAnsi="Arial" w:cs="Arial"/>
          <w:sz w:val="22"/>
          <w:szCs w:val="22"/>
          <w:lang w:val="es-ES_tradnl"/>
        </w:rPr>
        <w:t>Entre tales personas se encuentran</w:t>
      </w:r>
      <w:r w:rsidR="00785FB2" w:rsidRPr="00FC292C">
        <w:rPr>
          <w:rFonts w:ascii="Arial" w:eastAsia="Calibri" w:hAnsi="Arial" w:cs="Arial"/>
          <w:sz w:val="22"/>
          <w:szCs w:val="22"/>
          <w:lang w:val="es-ES_tradnl"/>
        </w:rPr>
        <w:t xml:space="preserve"> las que tengan condiciones de pobreza extrema, las desplazadas por la violencia</w:t>
      </w:r>
      <w:r w:rsidR="007E7B55" w:rsidRPr="00FC292C">
        <w:rPr>
          <w:rFonts w:ascii="Arial" w:eastAsia="Calibri" w:hAnsi="Arial" w:cs="Arial"/>
          <w:sz w:val="22"/>
          <w:szCs w:val="22"/>
          <w:lang w:val="es-ES_tradnl"/>
        </w:rPr>
        <w:t xml:space="preserve"> y </w:t>
      </w:r>
      <w:r w:rsidR="00452A7C" w:rsidRPr="00FC292C">
        <w:rPr>
          <w:rFonts w:ascii="Arial" w:eastAsia="Calibri" w:hAnsi="Arial" w:cs="Arial"/>
          <w:sz w:val="22"/>
          <w:szCs w:val="22"/>
          <w:lang w:val="es-ES_tradnl"/>
        </w:rPr>
        <w:t>quienes estén en procesos de reintegración o reincorporación, entre otr</w:t>
      </w:r>
      <w:r w:rsidR="00F47026" w:rsidRPr="00FC292C">
        <w:rPr>
          <w:rFonts w:ascii="Arial" w:eastAsia="Calibri" w:hAnsi="Arial" w:cs="Arial"/>
          <w:sz w:val="22"/>
          <w:szCs w:val="22"/>
          <w:lang w:val="es-ES_tradnl"/>
        </w:rPr>
        <w:t>a</w:t>
      </w:r>
      <w:r w:rsidR="00452A7C" w:rsidRPr="00FC292C">
        <w:rPr>
          <w:rFonts w:ascii="Arial" w:eastAsia="Calibri" w:hAnsi="Arial" w:cs="Arial"/>
          <w:sz w:val="22"/>
          <w:szCs w:val="22"/>
          <w:lang w:val="es-ES_tradnl"/>
        </w:rPr>
        <w:t>s que incluya el reglamento.</w:t>
      </w:r>
    </w:p>
    <w:p w14:paraId="37CB71F7" w14:textId="7738739B" w:rsidR="003351FF" w:rsidRPr="00FC292C" w:rsidRDefault="003351FF" w:rsidP="003A058E">
      <w:pPr>
        <w:spacing w:before="120" w:line="276" w:lineRule="auto"/>
        <w:ind w:firstLine="709"/>
        <w:jc w:val="both"/>
        <w:rPr>
          <w:rFonts w:ascii="Arial" w:eastAsia="Calibri" w:hAnsi="Arial" w:cs="Arial"/>
          <w:sz w:val="22"/>
          <w:szCs w:val="22"/>
          <w:lang w:val="es-ES_tradnl"/>
        </w:rPr>
      </w:pPr>
      <w:proofErr w:type="spellStart"/>
      <w:r w:rsidRPr="00FC292C">
        <w:rPr>
          <w:rFonts w:ascii="Arial" w:eastAsia="Calibri" w:hAnsi="Arial" w:cs="Arial"/>
          <w:sz w:val="22"/>
          <w:szCs w:val="22"/>
          <w:lang w:val="es-ES_tradnl"/>
        </w:rPr>
        <w:t>vii</w:t>
      </w:r>
      <w:proofErr w:type="spellEnd"/>
      <w:r w:rsidRPr="00FC292C">
        <w:rPr>
          <w:rFonts w:ascii="Arial" w:eastAsia="Calibri" w:hAnsi="Arial" w:cs="Arial"/>
          <w:sz w:val="22"/>
          <w:szCs w:val="22"/>
          <w:lang w:val="es-ES_tradnl"/>
        </w:rPr>
        <w:t xml:space="preserve">) Precisa que la posibilidad de participar en convocatorias limitadas a </w:t>
      </w:r>
      <w:r w:rsidR="0045668F" w:rsidRPr="00FC292C">
        <w:rPr>
          <w:rFonts w:ascii="Arial" w:eastAsia="Calibri" w:hAnsi="Arial" w:cs="Arial"/>
          <w:sz w:val="22"/>
          <w:szCs w:val="22"/>
          <w:lang w:val="es-ES_tradnl"/>
        </w:rPr>
        <w:t xml:space="preserve">Mipymes </w:t>
      </w:r>
      <w:r w:rsidRPr="00FC292C">
        <w:rPr>
          <w:rFonts w:ascii="Arial" w:eastAsia="Calibri" w:hAnsi="Arial" w:cs="Arial"/>
          <w:sz w:val="22"/>
          <w:szCs w:val="22"/>
          <w:lang w:val="es-ES_tradnl"/>
        </w:rPr>
        <w:t>se encuentra condicionada a que estas</w:t>
      </w:r>
      <w:r w:rsidR="000C084E" w:rsidRPr="00FC292C">
        <w:rPr>
          <w:rFonts w:ascii="Arial" w:eastAsia="Calibri" w:hAnsi="Arial" w:cs="Arial"/>
          <w:sz w:val="22"/>
          <w:szCs w:val="22"/>
          <w:lang w:val="es-ES_tradnl"/>
        </w:rPr>
        <w:t xml:space="preserve"> acrediten como mínimo un</w:t>
      </w:r>
      <w:r w:rsidR="0045668F" w:rsidRPr="00FC292C">
        <w:rPr>
          <w:rFonts w:ascii="Arial" w:eastAsia="Calibri" w:hAnsi="Arial" w:cs="Arial"/>
          <w:sz w:val="22"/>
          <w:szCs w:val="22"/>
          <w:lang w:val="es-ES_tradnl"/>
        </w:rPr>
        <w:t xml:space="preserve"> (1)</w:t>
      </w:r>
      <w:r w:rsidR="000C084E" w:rsidRPr="00FC292C">
        <w:rPr>
          <w:rFonts w:ascii="Arial" w:eastAsia="Calibri" w:hAnsi="Arial" w:cs="Arial"/>
          <w:sz w:val="22"/>
          <w:szCs w:val="22"/>
          <w:lang w:val="es-ES_tradnl"/>
        </w:rPr>
        <w:t xml:space="preserve"> año de existencia, con el certificado expedido por la cámara de comercio respectiva</w:t>
      </w:r>
      <w:r w:rsidR="00A84935" w:rsidRPr="00FC292C">
        <w:rPr>
          <w:rFonts w:ascii="Arial" w:eastAsia="Calibri" w:hAnsi="Arial" w:cs="Arial"/>
          <w:sz w:val="22"/>
          <w:szCs w:val="22"/>
          <w:lang w:val="es-ES_tradnl"/>
        </w:rPr>
        <w:t xml:space="preserve"> o por la autoridad que sea competente para ello.</w:t>
      </w:r>
    </w:p>
    <w:p w14:paraId="1B793D8D" w14:textId="6CEF958B" w:rsidR="00DB387B" w:rsidRPr="00FC292C" w:rsidRDefault="00A84935" w:rsidP="00DB387B">
      <w:pPr>
        <w:spacing w:before="120" w:line="276" w:lineRule="auto"/>
        <w:ind w:firstLine="709"/>
        <w:jc w:val="both"/>
        <w:rPr>
          <w:rFonts w:ascii="Arial" w:eastAsia="Calibri" w:hAnsi="Arial" w:cs="Arial"/>
          <w:sz w:val="22"/>
          <w:szCs w:val="22"/>
          <w:lang w:val="es-ES_tradnl"/>
        </w:rPr>
      </w:pPr>
      <w:proofErr w:type="spellStart"/>
      <w:r w:rsidRPr="00FC292C">
        <w:rPr>
          <w:rFonts w:ascii="Arial" w:eastAsia="Calibri" w:hAnsi="Arial" w:cs="Arial"/>
          <w:sz w:val="22"/>
          <w:szCs w:val="22"/>
          <w:lang w:val="es-ES_tradnl"/>
        </w:rPr>
        <w:t>viii</w:t>
      </w:r>
      <w:proofErr w:type="spellEnd"/>
      <w:r w:rsidRPr="00FC292C">
        <w:rPr>
          <w:rFonts w:ascii="Arial" w:eastAsia="Calibri" w:hAnsi="Arial" w:cs="Arial"/>
          <w:sz w:val="22"/>
          <w:szCs w:val="22"/>
          <w:lang w:val="es-ES_tradnl"/>
        </w:rPr>
        <w:t xml:space="preserve">) Hace </w:t>
      </w:r>
      <w:r w:rsidR="00DE4E67" w:rsidRPr="00FC292C">
        <w:rPr>
          <w:rFonts w:ascii="Arial" w:eastAsia="Calibri" w:hAnsi="Arial" w:cs="Arial"/>
          <w:sz w:val="22"/>
          <w:szCs w:val="22"/>
          <w:lang w:val="es-ES_tradnl"/>
        </w:rPr>
        <w:t xml:space="preserve">obligatorio el cumplimiento </w:t>
      </w:r>
      <w:r w:rsidR="00772E2A" w:rsidRPr="00FC292C">
        <w:rPr>
          <w:rFonts w:ascii="Arial" w:eastAsia="Calibri" w:hAnsi="Arial" w:cs="Arial"/>
          <w:sz w:val="22"/>
          <w:szCs w:val="22"/>
          <w:lang w:val="es-ES_tradnl"/>
        </w:rPr>
        <w:t>de lo dispuesto en los artículos 90 a 95 de la Ley 418</w:t>
      </w:r>
      <w:r w:rsidR="00AE1713" w:rsidRPr="00FC292C">
        <w:rPr>
          <w:rFonts w:ascii="Arial" w:eastAsia="Calibri" w:hAnsi="Arial" w:cs="Arial"/>
          <w:sz w:val="22"/>
          <w:szCs w:val="22"/>
          <w:lang w:val="es-ES_tradnl"/>
        </w:rPr>
        <w:t xml:space="preserve"> de 1997</w:t>
      </w:r>
      <w:r w:rsidR="00496AC4" w:rsidRPr="00FC292C">
        <w:rPr>
          <w:rFonts w:ascii="Arial" w:eastAsia="Calibri" w:hAnsi="Arial" w:cs="Arial"/>
          <w:sz w:val="22"/>
          <w:szCs w:val="22"/>
          <w:lang w:val="es-ES_tradnl"/>
        </w:rPr>
        <w:t xml:space="preserve"> –</w:t>
      </w:r>
      <w:r w:rsidR="00FA66F9" w:rsidRPr="00FC292C">
        <w:rPr>
          <w:rFonts w:ascii="Arial" w:eastAsia="Calibri" w:hAnsi="Arial" w:cs="Arial"/>
          <w:sz w:val="22"/>
          <w:szCs w:val="22"/>
          <w:lang w:val="es-ES_tradnl"/>
        </w:rPr>
        <w:t xml:space="preserve">normas </w:t>
      </w:r>
      <w:r w:rsidR="00496AC4" w:rsidRPr="00FC292C">
        <w:rPr>
          <w:rFonts w:ascii="Arial" w:eastAsia="Calibri" w:hAnsi="Arial" w:cs="Arial"/>
          <w:sz w:val="22"/>
          <w:szCs w:val="22"/>
          <w:lang w:val="es-ES_tradnl"/>
        </w:rPr>
        <w:t>que establecen la obligación de declarar la caducidad y la liquidación unilateral</w:t>
      </w:r>
      <w:r w:rsidR="00A46A5F" w:rsidRPr="00FC292C">
        <w:rPr>
          <w:rFonts w:ascii="Arial" w:eastAsia="Calibri" w:hAnsi="Arial" w:cs="Arial"/>
          <w:sz w:val="22"/>
          <w:szCs w:val="22"/>
          <w:lang w:val="es-ES_tradnl"/>
        </w:rPr>
        <w:t xml:space="preserve"> cuando el contratista beneficie grupos armados </w:t>
      </w:r>
      <w:r w:rsidR="005F7DE2" w:rsidRPr="00FC292C">
        <w:rPr>
          <w:rFonts w:ascii="Arial" w:eastAsia="Calibri" w:hAnsi="Arial" w:cs="Arial"/>
          <w:sz w:val="22"/>
          <w:szCs w:val="22"/>
          <w:lang w:val="es-ES_tradnl"/>
        </w:rPr>
        <w:t>organizados al margen de la ley–</w:t>
      </w:r>
      <w:r w:rsidR="00AE1713" w:rsidRPr="00FC292C">
        <w:rPr>
          <w:rFonts w:ascii="Arial" w:eastAsia="Calibri" w:hAnsi="Arial" w:cs="Arial"/>
          <w:sz w:val="22"/>
          <w:szCs w:val="22"/>
          <w:lang w:val="es-ES_tradnl"/>
        </w:rPr>
        <w:t xml:space="preserve"> en la ejecución de los contratos celebrados </w:t>
      </w:r>
      <w:r w:rsidR="00496AC4" w:rsidRPr="00FC292C">
        <w:rPr>
          <w:rFonts w:ascii="Arial" w:eastAsia="Calibri" w:hAnsi="Arial" w:cs="Arial"/>
          <w:sz w:val="22"/>
          <w:szCs w:val="22"/>
          <w:lang w:val="es-ES_tradnl"/>
        </w:rPr>
        <w:t>en virtud del artículo 34 de la Ley 2069 de 2020.</w:t>
      </w:r>
    </w:p>
    <w:p w14:paraId="3D9B4BC9" w14:textId="77777777" w:rsidR="00141641" w:rsidRPr="00FC292C" w:rsidRDefault="00141641" w:rsidP="00141641">
      <w:pPr>
        <w:spacing w:before="120"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A partir de lo anterior, el artículo 34 de la Ley 2069 de 2020 sustituyó íntegramente el contenido del artículo 12 de la Ley 1150 de 2007. En este sentido, frente a esta última norma se produjo el fenómeno de la subrogación, el cual explica la Corte Constitucional en los siguientes términos: </w:t>
      </w:r>
    </w:p>
    <w:p w14:paraId="09B7346A" w14:textId="77777777" w:rsidR="00141641" w:rsidRPr="00FC292C" w:rsidRDefault="00141641" w:rsidP="00141641">
      <w:pPr>
        <w:spacing w:line="276" w:lineRule="auto"/>
        <w:ind w:left="709" w:right="709"/>
        <w:jc w:val="both"/>
        <w:rPr>
          <w:rFonts w:ascii="Arial" w:eastAsia="Calibri" w:hAnsi="Arial" w:cs="Arial"/>
          <w:sz w:val="21"/>
          <w:szCs w:val="21"/>
          <w:lang w:val="es-ES_tradnl"/>
        </w:rPr>
      </w:pPr>
    </w:p>
    <w:p w14:paraId="54628A8B" w14:textId="77777777" w:rsidR="00141641" w:rsidRPr="00FC292C" w:rsidRDefault="00141641" w:rsidP="00141641">
      <w:pPr>
        <w:ind w:left="709" w:right="709"/>
        <w:jc w:val="both"/>
        <w:rPr>
          <w:rFonts w:ascii="Arial" w:eastAsia="Calibri" w:hAnsi="Arial" w:cs="Arial"/>
          <w:sz w:val="21"/>
          <w:szCs w:val="21"/>
          <w:lang w:val="es-ES_tradnl"/>
        </w:rPr>
      </w:pPr>
      <w:r w:rsidRPr="00FC292C">
        <w:rPr>
          <w:rFonts w:ascii="Arial" w:eastAsia="Calibri" w:hAnsi="Arial" w:cs="Arial"/>
          <w:sz w:val="21"/>
          <w:szCs w:val="21"/>
          <w:lang w:val="es-ES_tradnl"/>
        </w:rPr>
        <w:t>La subrogación es entendida como el acto de sustituir una norma por otra. No se trata de una derogación simple, como quiera que antes que abolir o anular una disposición del sistema normativo establecido, lo que hace es poner un texto normativo en lugar de otro. Como resultado de la subrogación, las normas jurídicas preexistentes y afectadas con la medida pueden en parte ser derogadas, modificadas y en parte sustituidas por otras nuevas; pero también la subrogación puede incluir la reproducción de apartes normativos provenientes del texto legal que se subroga</w:t>
      </w:r>
      <w:r w:rsidRPr="00FC292C">
        <w:rPr>
          <w:rStyle w:val="Refdenotaalpie"/>
          <w:rFonts w:ascii="Arial" w:eastAsia="Calibri" w:hAnsi="Arial" w:cs="Arial"/>
          <w:sz w:val="21"/>
          <w:szCs w:val="21"/>
          <w:lang w:val="es-ES_tradnl"/>
        </w:rPr>
        <w:footnoteReference w:id="9"/>
      </w:r>
      <w:r w:rsidRPr="00FC292C">
        <w:rPr>
          <w:rFonts w:ascii="Arial" w:eastAsia="Calibri" w:hAnsi="Arial" w:cs="Arial"/>
          <w:sz w:val="21"/>
          <w:szCs w:val="21"/>
          <w:lang w:val="es-ES_tradnl"/>
        </w:rPr>
        <w:t>.</w:t>
      </w:r>
    </w:p>
    <w:p w14:paraId="6369CDA3" w14:textId="77777777" w:rsidR="00141641" w:rsidRPr="00FC292C" w:rsidRDefault="00141641" w:rsidP="00141641">
      <w:pPr>
        <w:spacing w:line="276" w:lineRule="auto"/>
        <w:ind w:firstLine="709"/>
        <w:jc w:val="both"/>
        <w:rPr>
          <w:rFonts w:ascii="Arial" w:eastAsia="Calibri" w:hAnsi="Arial" w:cs="Arial"/>
          <w:sz w:val="22"/>
          <w:szCs w:val="22"/>
          <w:lang w:val="es-ES_tradnl"/>
        </w:rPr>
      </w:pPr>
    </w:p>
    <w:p w14:paraId="4DB5416A" w14:textId="5002D99A" w:rsidR="00141641" w:rsidRPr="00FC292C" w:rsidRDefault="00141641" w:rsidP="00141641">
      <w:pPr>
        <w:spacing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lastRenderedPageBreak/>
        <w:t>La subrogación es, entonces, una forma de derogación de los actos normativos, que consiste en el reemplazo de su contenido por un enunciado normativo nuevo. Se distingue de la derogación simple en que en este último evento la disposición normativa posterior no sustituye el texto, sino que solo le hace perder vigencia a la disposición normativa anterior. Como lo explica la Corte Constitucional, la subrogación puede presentarse bien porque el enunciado normativo regule de manera diferente una materia o porque reproduzca apartados normativos de otra. Pero lo cierto es que, en uno u otro caso, la disposición normativa anterior pierde vigencia.</w:t>
      </w:r>
    </w:p>
    <w:p w14:paraId="1909D750" w14:textId="22E542D8" w:rsidR="00F128D9" w:rsidRPr="00FC292C" w:rsidRDefault="00BC30B3" w:rsidP="00772AAF">
      <w:pPr>
        <w:spacing w:before="120"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Luego de explicar </w:t>
      </w:r>
      <w:r w:rsidR="009715E1" w:rsidRPr="00FC292C">
        <w:rPr>
          <w:rFonts w:ascii="Arial" w:eastAsia="Calibri" w:hAnsi="Arial" w:cs="Arial"/>
          <w:sz w:val="22"/>
          <w:szCs w:val="22"/>
          <w:lang w:val="es-ES_tradnl"/>
        </w:rPr>
        <w:t xml:space="preserve">las reglas incluidas en la nueva regulación de la promoción del desarrollo en la contratación estatal, </w:t>
      </w:r>
      <w:r w:rsidR="0062267E" w:rsidRPr="00FC292C">
        <w:rPr>
          <w:rFonts w:ascii="Arial" w:eastAsia="Calibri" w:hAnsi="Arial" w:cs="Arial"/>
          <w:sz w:val="22"/>
          <w:szCs w:val="22"/>
          <w:lang w:val="es-ES_tradnl"/>
        </w:rPr>
        <w:t>previstas</w:t>
      </w:r>
      <w:r w:rsidR="009715E1" w:rsidRPr="00FC292C">
        <w:rPr>
          <w:rFonts w:ascii="Arial" w:eastAsia="Calibri" w:hAnsi="Arial" w:cs="Arial"/>
          <w:sz w:val="22"/>
          <w:szCs w:val="22"/>
          <w:lang w:val="es-ES_tradnl"/>
        </w:rPr>
        <w:t xml:space="preserve"> en el artículo 34 de la Ley 2069 de 2020</w:t>
      </w:r>
      <w:r w:rsidR="00FA66F9" w:rsidRPr="00FC292C">
        <w:rPr>
          <w:rFonts w:ascii="Arial" w:eastAsia="Calibri" w:hAnsi="Arial" w:cs="Arial"/>
          <w:sz w:val="22"/>
          <w:szCs w:val="22"/>
          <w:lang w:val="es-ES_tradnl"/>
        </w:rPr>
        <w:t>,</w:t>
      </w:r>
      <w:r w:rsidR="000F4A7F" w:rsidRPr="00FC292C">
        <w:rPr>
          <w:rFonts w:ascii="Arial" w:eastAsia="Calibri" w:hAnsi="Arial" w:cs="Arial"/>
          <w:sz w:val="22"/>
          <w:szCs w:val="22"/>
          <w:lang w:val="es-ES_tradnl"/>
        </w:rPr>
        <w:t xml:space="preserve"> y habiendo aclarado que dicha norma </w:t>
      </w:r>
      <w:r w:rsidR="00735CA5" w:rsidRPr="00FC292C">
        <w:rPr>
          <w:rFonts w:ascii="Arial" w:eastAsia="Calibri" w:hAnsi="Arial" w:cs="Arial"/>
          <w:sz w:val="22"/>
          <w:szCs w:val="22"/>
          <w:lang w:val="es-ES_tradnl"/>
        </w:rPr>
        <w:t>modificó</w:t>
      </w:r>
      <w:r w:rsidR="000F4A7F" w:rsidRPr="00FC292C">
        <w:rPr>
          <w:rFonts w:ascii="Arial" w:eastAsia="Calibri" w:hAnsi="Arial" w:cs="Arial"/>
          <w:sz w:val="22"/>
          <w:szCs w:val="22"/>
          <w:lang w:val="es-ES_tradnl"/>
        </w:rPr>
        <w:t xml:space="preserve"> el artículo 12 de la Ley 1150 de 2007, conviene preguntarse qué suced</w:t>
      </w:r>
      <w:r w:rsidR="00141641" w:rsidRPr="00FC292C">
        <w:rPr>
          <w:rFonts w:ascii="Arial" w:eastAsia="Calibri" w:hAnsi="Arial" w:cs="Arial"/>
          <w:sz w:val="22"/>
          <w:szCs w:val="22"/>
          <w:lang w:val="es-ES_tradnl"/>
        </w:rPr>
        <w:t>ió</w:t>
      </w:r>
      <w:r w:rsidR="000F4A7F" w:rsidRPr="00FC292C">
        <w:rPr>
          <w:rFonts w:ascii="Arial" w:eastAsia="Calibri" w:hAnsi="Arial" w:cs="Arial"/>
          <w:sz w:val="22"/>
          <w:szCs w:val="22"/>
          <w:lang w:val="es-ES_tradnl"/>
        </w:rPr>
        <w:t xml:space="preserve"> con la vigencia del artículo</w:t>
      </w:r>
      <w:r w:rsidR="00425B2E" w:rsidRPr="00FC292C">
        <w:rPr>
          <w:rFonts w:ascii="Arial" w:eastAsia="Calibri" w:hAnsi="Arial" w:cs="Arial"/>
          <w:sz w:val="22"/>
          <w:szCs w:val="22"/>
          <w:lang w:val="es-ES_tradnl"/>
        </w:rPr>
        <w:t xml:space="preserve"> 2.2.1.2.4.2.2. del Decreto 1082 de 2015</w:t>
      </w:r>
      <w:r w:rsidR="00384494" w:rsidRPr="00FC292C">
        <w:rPr>
          <w:rFonts w:ascii="Arial" w:eastAsia="Calibri" w:hAnsi="Arial" w:cs="Arial"/>
          <w:sz w:val="22"/>
          <w:szCs w:val="22"/>
          <w:lang w:val="es-ES_tradnl"/>
        </w:rPr>
        <w:t>, que</w:t>
      </w:r>
      <w:r w:rsidR="00735CA5" w:rsidRPr="00FC292C">
        <w:rPr>
          <w:rFonts w:ascii="Arial" w:eastAsia="Calibri" w:hAnsi="Arial" w:cs="Arial"/>
          <w:sz w:val="22"/>
          <w:szCs w:val="22"/>
          <w:lang w:val="es-ES_tradnl"/>
        </w:rPr>
        <w:t>,</w:t>
      </w:r>
      <w:r w:rsidR="00384494" w:rsidRPr="00FC292C">
        <w:rPr>
          <w:rFonts w:ascii="Arial" w:eastAsia="Calibri" w:hAnsi="Arial" w:cs="Arial"/>
          <w:sz w:val="22"/>
          <w:szCs w:val="22"/>
          <w:lang w:val="es-ES_tradnl"/>
        </w:rPr>
        <w:t xml:space="preserve"> hasta la expedición de la Ley 2069 de 2020</w:t>
      </w:r>
      <w:r w:rsidR="00735CA5" w:rsidRPr="00FC292C">
        <w:rPr>
          <w:rFonts w:ascii="Arial" w:eastAsia="Calibri" w:hAnsi="Arial" w:cs="Arial"/>
          <w:sz w:val="22"/>
          <w:szCs w:val="22"/>
          <w:lang w:val="es-ES_tradnl"/>
        </w:rPr>
        <w:t>,</w:t>
      </w:r>
      <w:r w:rsidR="00384494" w:rsidRPr="00FC292C">
        <w:rPr>
          <w:rFonts w:ascii="Arial" w:eastAsia="Calibri" w:hAnsi="Arial" w:cs="Arial"/>
          <w:sz w:val="22"/>
          <w:szCs w:val="22"/>
          <w:lang w:val="es-ES_tradnl"/>
        </w:rPr>
        <w:t xml:space="preserve"> </w:t>
      </w:r>
      <w:r w:rsidR="000323C6" w:rsidRPr="00FC292C">
        <w:rPr>
          <w:rFonts w:ascii="Arial" w:eastAsia="Calibri" w:hAnsi="Arial" w:cs="Arial"/>
          <w:sz w:val="22"/>
          <w:szCs w:val="22"/>
          <w:lang w:val="es-ES_tradnl"/>
        </w:rPr>
        <w:t>regía</w:t>
      </w:r>
      <w:r w:rsidR="00384494" w:rsidRPr="00FC292C">
        <w:rPr>
          <w:rFonts w:ascii="Arial" w:eastAsia="Calibri" w:hAnsi="Arial" w:cs="Arial"/>
          <w:sz w:val="22"/>
          <w:szCs w:val="22"/>
          <w:lang w:val="es-ES_tradnl"/>
        </w:rPr>
        <w:t xml:space="preserve"> las convocatorias limitadas a </w:t>
      </w:r>
      <w:r w:rsidR="0045668F" w:rsidRPr="00FC292C">
        <w:rPr>
          <w:rFonts w:ascii="Arial" w:eastAsia="Calibri" w:hAnsi="Arial" w:cs="Arial"/>
          <w:sz w:val="22"/>
          <w:szCs w:val="22"/>
          <w:lang w:val="es-ES_tradnl"/>
        </w:rPr>
        <w:t>Mipymes</w:t>
      </w:r>
      <w:r w:rsidR="00384494" w:rsidRPr="00FC292C">
        <w:rPr>
          <w:rFonts w:ascii="Arial" w:eastAsia="Calibri" w:hAnsi="Arial" w:cs="Arial"/>
          <w:sz w:val="22"/>
          <w:szCs w:val="22"/>
          <w:lang w:val="es-ES_tradnl"/>
        </w:rPr>
        <w:t>.</w:t>
      </w:r>
      <w:r w:rsidR="009477BD" w:rsidRPr="00FC292C">
        <w:rPr>
          <w:rFonts w:ascii="Arial" w:eastAsia="Calibri" w:hAnsi="Arial" w:cs="Arial"/>
          <w:sz w:val="22"/>
          <w:szCs w:val="22"/>
          <w:lang w:val="es-ES_tradnl"/>
        </w:rPr>
        <w:t xml:space="preserve"> En opinión de esta Agencia</w:t>
      </w:r>
      <w:r w:rsidR="000323C6" w:rsidRPr="00FC292C">
        <w:rPr>
          <w:rFonts w:ascii="Arial" w:eastAsia="Calibri" w:hAnsi="Arial" w:cs="Arial"/>
          <w:sz w:val="22"/>
          <w:szCs w:val="22"/>
          <w:lang w:val="es-ES_tradnl"/>
        </w:rPr>
        <w:t>,</w:t>
      </w:r>
      <w:r w:rsidR="009477BD" w:rsidRPr="00FC292C">
        <w:rPr>
          <w:rFonts w:ascii="Arial" w:eastAsia="Calibri" w:hAnsi="Arial" w:cs="Arial"/>
          <w:sz w:val="22"/>
          <w:szCs w:val="22"/>
          <w:lang w:val="es-ES_tradnl"/>
        </w:rPr>
        <w:t xml:space="preserve"> dicho artículo del Decreto reglamentario</w:t>
      </w:r>
      <w:r w:rsidR="00ED572F" w:rsidRPr="00FC292C">
        <w:rPr>
          <w:rFonts w:ascii="Arial" w:eastAsia="Calibri" w:hAnsi="Arial" w:cs="Arial"/>
          <w:sz w:val="22"/>
          <w:szCs w:val="22"/>
          <w:lang w:val="es-ES_tradnl"/>
        </w:rPr>
        <w:t xml:space="preserve"> </w:t>
      </w:r>
      <w:r w:rsidR="00141641" w:rsidRPr="00FC292C">
        <w:rPr>
          <w:rFonts w:ascii="Arial" w:eastAsia="Calibri" w:hAnsi="Arial" w:cs="Arial"/>
          <w:sz w:val="22"/>
          <w:szCs w:val="22"/>
          <w:lang w:val="es-ES_tradnl"/>
        </w:rPr>
        <w:t>perdió vigencia</w:t>
      </w:r>
      <w:r w:rsidR="00ED572F" w:rsidRPr="00FC292C">
        <w:rPr>
          <w:rFonts w:ascii="Arial" w:eastAsia="Calibri" w:hAnsi="Arial" w:cs="Arial"/>
          <w:sz w:val="22"/>
          <w:szCs w:val="22"/>
          <w:lang w:val="es-ES_tradnl"/>
        </w:rPr>
        <w:t xml:space="preserve">, porque su contenido </w:t>
      </w:r>
      <w:r w:rsidR="009C5D02" w:rsidRPr="00FC292C">
        <w:rPr>
          <w:rFonts w:ascii="Arial" w:eastAsia="Calibri" w:hAnsi="Arial" w:cs="Arial"/>
          <w:sz w:val="22"/>
          <w:szCs w:val="22"/>
          <w:lang w:val="es-ES_tradnl"/>
        </w:rPr>
        <w:t>era</w:t>
      </w:r>
      <w:r w:rsidR="00ED572F" w:rsidRPr="00FC292C">
        <w:rPr>
          <w:rFonts w:ascii="Arial" w:eastAsia="Calibri" w:hAnsi="Arial" w:cs="Arial"/>
          <w:sz w:val="22"/>
          <w:szCs w:val="22"/>
          <w:lang w:val="es-ES_tradnl"/>
        </w:rPr>
        <w:t xml:space="preserve"> contrario a</w:t>
      </w:r>
      <w:r w:rsidR="0062267E" w:rsidRPr="00FC292C">
        <w:rPr>
          <w:rFonts w:ascii="Arial" w:eastAsia="Calibri" w:hAnsi="Arial" w:cs="Arial"/>
          <w:sz w:val="22"/>
          <w:szCs w:val="22"/>
          <w:lang w:val="es-ES_tradnl"/>
        </w:rPr>
        <w:t xml:space="preserve">l del artículo 34 de la Ley 2069 de 2020. En tal sentido, </w:t>
      </w:r>
      <w:r w:rsidR="00141641" w:rsidRPr="00FC292C">
        <w:rPr>
          <w:rFonts w:ascii="Arial" w:eastAsia="Calibri" w:hAnsi="Arial" w:cs="Arial"/>
          <w:sz w:val="22"/>
          <w:szCs w:val="22"/>
          <w:lang w:val="es-ES_tradnl"/>
        </w:rPr>
        <w:t xml:space="preserve">operó la </w:t>
      </w:r>
      <w:r w:rsidR="0062267E" w:rsidRPr="00FC292C">
        <w:rPr>
          <w:rFonts w:ascii="Arial" w:eastAsia="Calibri" w:hAnsi="Arial" w:cs="Arial"/>
          <w:sz w:val="22"/>
          <w:szCs w:val="22"/>
          <w:lang w:val="es-ES_tradnl"/>
        </w:rPr>
        <w:t>p</w:t>
      </w:r>
      <w:r w:rsidR="00141641" w:rsidRPr="00FC292C">
        <w:rPr>
          <w:rFonts w:ascii="Arial" w:eastAsia="Calibri" w:hAnsi="Arial" w:cs="Arial"/>
          <w:sz w:val="22"/>
          <w:szCs w:val="22"/>
          <w:lang w:val="es-ES_tradnl"/>
        </w:rPr>
        <w:t>é</w:t>
      </w:r>
      <w:r w:rsidR="0062267E" w:rsidRPr="00FC292C">
        <w:rPr>
          <w:rFonts w:ascii="Arial" w:eastAsia="Calibri" w:hAnsi="Arial" w:cs="Arial"/>
          <w:sz w:val="22"/>
          <w:szCs w:val="22"/>
          <w:lang w:val="es-ES_tradnl"/>
        </w:rPr>
        <w:t>rdid</w:t>
      </w:r>
      <w:r w:rsidR="00141641" w:rsidRPr="00FC292C">
        <w:rPr>
          <w:rFonts w:ascii="Arial" w:eastAsia="Calibri" w:hAnsi="Arial" w:cs="Arial"/>
          <w:sz w:val="22"/>
          <w:szCs w:val="22"/>
          <w:lang w:val="es-ES_tradnl"/>
        </w:rPr>
        <w:t>a de</w:t>
      </w:r>
      <w:r w:rsidR="0062267E" w:rsidRPr="00FC292C">
        <w:rPr>
          <w:rFonts w:ascii="Arial" w:eastAsia="Calibri" w:hAnsi="Arial" w:cs="Arial"/>
          <w:sz w:val="22"/>
          <w:szCs w:val="22"/>
          <w:lang w:val="es-ES_tradnl"/>
        </w:rPr>
        <w:t xml:space="preserve"> fuerza ejecutoria</w:t>
      </w:r>
      <w:r w:rsidR="00F802B0" w:rsidRPr="00FC292C">
        <w:rPr>
          <w:rFonts w:ascii="Arial" w:eastAsia="Calibri" w:hAnsi="Arial" w:cs="Arial"/>
          <w:sz w:val="22"/>
          <w:szCs w:val="22"/>
          <w:lang w:val="es-ES_tradnl"/>
        </w:rPr>
        <w:t xml:space="preserve">, de conformidad con el artículo </w:t>
      </w:r>
      <w:r w:rsidR="007034D9" w:rsidRPr="00FC292C">
        <w:rPr>
          <w:rFonts w:ascii="Arial" w:eastAsia="Calibri" w:hAnsi="Arial" w:cs="Arial"/>
          <w:sz w:val="22"/>
          <w:szCs w:val="22"/>
          <w:lang w:val="es-ES_tradnl"/>
        </w:rPr>
        <w:t>91, numeral 2, de la Ley 1437 de 2011</w:t>
      </w:r>
      <w:r w:rsidR="007936E2" w:rsidRPr="00FC292C">
        <w:rPr>
          <w:rFonts w:ascii="Arial" w:eastAsia="Calibri" w:hAnsi="Arial" w:cs="Arial"/>
          <w:sz w:val="22"/>
          <w:szCs w:val="22"/>
          <w:lang w:val="es-ES_tradnl"/>
        </w:rPr>
        <w:t xml:space="preserve">, </w:t>
      </w:r>
      <w:r w:rsidR="00141641" w:rsidRPr="00FC292C">
        <w:rPr>
          <w:rFonts w:ascii="Arial" w:eastAsia="Calibri" w:hAnsi="Arial" w:cs="Arial"/>
          <w:sz w:val="22"/>
          <w:szCs w:val="22"/>
          <w:lang w:val="es-ES_tradnl"/>
        </w:rPr>
        <w:t xml:space="preserve">que </w:t>
      </w:r>
      <w:r w:rsidR="007936E2" w:rsidRPr="00FC292C">
        <w:rPr>
          <w:rFonts w:ascii="Arial" w:eastAsia="Calibri" w:hAnsi="Arial" w:cs="Arial"/>
          <w:sz w:val="22"/>
          <w:szCs w:val="22"/>
          <w:lang w:val="es-ES_tradnl"/>
        </w:rPr>
        <w:t>establece que los actos administrativos –categoría que</w:t>
      </w:r>
      <w:r w:rsidR="00AD0861" w:rsidRPr="00FC292C">
        <w:rPr>
          <w:rFonts w:ascii="Arial" w:eastAsia="Calibri" w:hAnsi="Arial" w:cs="Arial"/>
          <w:sz w:val="22"/>
          <w:szCs w:val="22"/>
          <w:lang w:val="es-ES_tradnl"/>
        </w:rPr>
        <w:t>,</w:t>
      </w:r>
      <w:r w:rsidR="004278D8" w:rsidRPr="00FC292C">
        <w:rPr>
          <w:rFonts w:ascii="Arial" w:eastAsia="Calibri" w:hAnsi="Arial" w:cs="Arial"/>
          <w:sz w:val="22"/>
          <w:szCs w:val="22"/>
          <w:lang w:val="es-ES_tradnl"/>
        </w:rPr>
        <w:t xml:space="preserve"> como es sabido, </w:t>
      </w:r>
      <w:r w:rsidR="007936E2" w:rsidRPr="00FC292C">
        <w:rPr>
          <w:rFonts w:ascii="Arial" w:eastAsia="Calibri" w:hAnsi="Arial" w:cs="Arial"/>
          <w:sz w:val="22"/>
          <w:szCs w:val="22"/>
          <w:lang w:val="es-ES_tradnl"/>
        </w:rPr>
        <w:t>incluye los decretos reglamentarios–</w:t>
      </w:r>
      <w:r w:rsidR="008D4596" w:rsidRPr="00FC292C">
        <w:rPr>
          <w:rFonts w:ascii="Arial" w:eastAsia="Calibri" w:hAnsi="Arial" w:cs="Arial"/>
          <w:sz w:val="22"/>
          <w:szCs w:val="22"/>
          <w:lang w:val="es-ES_tradnl"/>
        </w:rPr>
        <w:t xml:space="preserve"> dejan de ser obligatorios o decaen «Cuando desaparezcan sus fundamentos de hecho o de derecho».</w:t>
      </w:r>
      <w:r w:rsidR="00772AAF" w:rsidRPr="00FC292C">
        <w:rPr>
          <w:rFonts w:ascii="Arial" w:eastAsia="Calibri" w:hAnsi="Arial" w:cs="Arial"/>
          <w:sz w:val="22"/>
          <w:szCs w:val="22"/>
          <w:lang w:val="es-ES_tradnl"/>
        </w:rPr>
        <w:t xml:space="preserve"> </w:t>
      </w:r>
    </w:p>
    <w:p w14:paraId="55DEAC86" w14:textId="47A1874B" w:rsidR="00D66968" w:rsidRPr="00FC292C" w:rsidRDefault="009C5D02" w:rsidP="00D66968">
      <w:pPr>
        <w:spacing w:before="120"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Lo anterior quedó reafirmado con la expedición del Decreto 1860 de </w:t>
      </w:r>
      <w:r w:rsidR="00D66968" w:rsidRPr="00FC292C">
        <w:rPr>
          <w:rFonts w:ascii="Arial" w:eastAsia="Calibri" w:hAnsi="Arial" w:cs="Arial"/>
          <w:sz w:val="22"/>
          <w:szCs w:val="22"/>
          <w:lang w:val="es-ES_tradnl"/>
        </w:rPr>
        <w:t>24 de diciembre de 2021, reglamento que modificó</w:t>
      </w:r>
      <w:r w:rsidR="004948C5" w:rsidRPr="00FC292C">
        <w:rPr>
          <w:rFonts w:ascii="Arial" w:eastAsia="Calibri" w:hAnsi="Arial" w:cs="Arial"/>
          <w:sz w:val="22"/>
          <w:szCs w:val="22"/>
          <w:lang w:val="es-ES_tradnl"/>
        </w:rPr>
        <w:t>, entre otros aspectos,</w:t>
      </w:r>
      <w:r w:rsidR="00D66968" w:rsidRPr="00FC292C">
        <w:rPr>
          <w:rFonts w:ascii="Arial" w:eastAsia="Calibri" w:hAnsi="Arial" w:cs="Arial"/>
          <w:sz w:val="22"/>
          <w:szCs w:val="22"/>
          <w:lang w:val="es-ES_tradnl"/>
        </w:rPr>
        <w:t xml:space="preserve"> la Subsección 5 de la Sección 1 del Capítulo 2 del Título 1 de la Parte 2 del Libro 2 y los artículos 2.2.1.2.4.2.2. y</w:t>
      </w:r>
      <w:r w:rsidR="00E4680C" w:rsidRPr="00FC292C">
        <w:rPr>
          <w:rFonts w:ascii="Arial" w:eastAsia="Calibri" w:hAnsi="Arial" w:cs="Arial"/>
          <w:sz w:val="22"/>
          <w:szCs w:val="22"/>
          <w:lang w:val="es-ES_tradnl"/>
        </w:rPr>
        <w:t xml:space="preserve"> 2.2.1.2.4.2.3. y</w:t>
      </w:r>
      <w:r w:rsidR="00D66968" w:rsidRPr="00FC292C">
        <w:rPr>
          <w:rFonts w:ascii="Arial" w:eastAsia="Calibri" w:hAnsi="Arial" w:cs="Arial"/>
          <w:sz w:val="22"/>
          <w:szCs w:val="22"/>
          <w:lang w:val="es-ES_tradnl"/>
        </w:rPr>
        <w:t xml:space="preserve"> siguientes del Decreto 1082 de 2015, Único Reglamentario del Sector Administrativo de Planeación Nacional</w:t>
      </w:r>
      <w:r w:rsidR="00B20B23" w:rsidRPr="00FC292C">
        <w:rPr>
          <w:rFonts w:ascii="Arial" w:eastAsia="Calibri" w:hAnsi="Arial" w:cs="Arial"/>
          <w:sz w:val="22"/>
          <w:szCs w:val="22"/>
          <w:lang w:val="es-ES_tradnl"/>
        </w:rPr>
        <w:t>. Esta</w:t>
      </w:r>
      <w:r w:rsidR="0045668F" w:rsidRPr="00FC292C">
        <w:rPr>
          <w:rFonts w:ascii="Arial" w:eastAsia="Calibri" w:hAnsi="Arial" w:cs="Arial"/>
          <w:sz w:val="22"/>
          <w:szCs w:val="22"/>
          <w:lang w:val="es-ES_tradnl"/>
        </w:rPr>
        <w:t>s</w:t>
      </w:r>
      <w:r w:rsidR="00D66968" w:rsidRPr="00FC292C">
        <w:rPr>
          <w:rFonts w:ascii="Arial" w:eastAsia="Calibri" w:hAnsi="Arial" w:cs="Arial"/>
          <w:sz w:val="22"/>
          <w:szCs w:val="22"/>
          <w:lang w:val="es-ES_tradnl"/>
        </w:rPr>
        <w:t xml:space="preserve"> modificaci</w:t>
      </w:r>
      <w:r w:rsidR="0045668F" w:rsidRPr="00FC292C">
        <w:rPr>
          <w:rFonts w:ascii="Arial" w:eastAsia="Calibri" w:hAnsi="Arial" w:cs="Arial"/>
          <w:sz w:val="22"/>
          <w:szCs w:val="22"/>
          <w:lang w:val="es-ES_tradnl"/>
        </w:rPr>
        <w:t>ones</w:t>
      </w:r>
      <w:r w:rsidR="00D66968" w:rsidRPr="00FC292C">
        <w:rPr>
          <w:rFonts w:ascii="Arial" w:eastAsia="Calibri" w:hAnsi="Arial" w:cs="Arial"/>
          <w:sz w:val="22"/>
          <w:szCs w:val="22"/>
          <w:lang w:val="es-ES_tradnl"/>
        </w:rPr>
        <w:t xml:space="preserve"> entr</w:t>
      </w:r>
      <w:r w:rsidR="0045668F" w:rsidRPr="00FC292C">
        <w:rPr>
          <w:rFonts w:ascii="Arial" w:eastAsia="Calibri" w:hAnsi="Arial" w:cs="Arial"/>
          <w:sz w:val="22"/>
          <w:szCs w:val="22"/>
          <w:lang w:val="es-ES_tradnl"/>
        </w:rPr>
        <w:t>aron</w:t>
      </w:r>
      <w:r w:rsidR="00D66968" w:rsidRPr="00FC292C">
        <w:rPr>
          <w:rFonts w:ascii="Arial" w:eastAsia="Calibri" w:hAnsi="Arial" w:cs="Arial"/>
          <w:sz w:val="22"/>
          <w:szCs w:val="22"/>
          <w:lang w:val="es-ES_tradnl"/>
        </w:rPr>
        <w:t xml:space="preserve"> a regir el 24 de marzo de 2022, </w:t>
      </w:r>
      <w:r w:rsidR="00281451" w:rsidRPr="00FC292C">
        <w:rPr>
          <w:rFonts w:ascii="Arial" w:eastAsia="Calibri" w:hAnsi="Arial" w:cs="Arial"/>
          <w:sz w:val="22"/>
          <w:szCs w:val="22"/>
          <w:lang w:val="es-ES_tradnl"/>
        </w:rPr>
        <w:t>pues</w:t>
      </w:r>
      <w:r w:rsidR="00D66968" w:rsidRPr="00FC292C">
        <w:rPr>
          <w:rFonts w:ascii="Arial" w:eastAsia="Calibri" w:hAnsi="Arial" w:cs="Arial"/>
          <w:sz w:val="22"/>
          <w:szCs w:val="22"/>
          <w:lang w:val="es-ES_tradnl"/>
        </w:rPr>
        <w:t xml:space="preserve"> el artículo 8 de la nueva norma reglamentaria</w:t>
      </w:r>
      <w:r w:rsidR="00281451" w:rsidRPr="00FC292C">
        <w:rPr>
          <w:rFonts w:ascii="Arial" w:eastAsia="Calibri" w:hAnsi="Arial" w:cs="Arial"/>
          <w:sz w:val="22"/>
          <w:szCs w:val="22"/>
          <w:lang w:val="es-ES_tradnl"/>
        </w:rPr>
        <w:t xml:space="preserve"> </w:t>
      </w:r>
      <w:r w:rsidR="008459C5" w:rsidRPr="00FC292C">
        <w:rPr>
          <w:rFonts w:ascii="Arial" w:eastAsia="Calibri" w:hAnsi="Arial" w:cs="Arial"/>
          <w:sz w:val="22"/>
          <w:szCs w:val="22"/>
          <w:lang w:val="es-ES_tradnl"/>
        </w:rPr>
        <w:t xml:space="preserve">sometió la vigencia de los cambios al transcurso del periodo de </w:t>
      </w:r>
      <w:r w:rsidR="0045668F" w:rsidRPr="00FC292C">
        <w:rPr>
          <w:rFonts w:ascii="Arial" w:eastAsia="Calibri" w:hAnsi="Arial" w:cs="Arial"/>
          <w:sz w:val="22"/>
          <w:szCs w:val="22"/>
          <w:lang w:val="es-ES_tradnl"/>
        </w:rPr>
        <w:t>tres (</w:t>
      </w:r>
      <w:r w:rsidR="008459C5" w:rsidRPr="00FC292C">
        <w:rPr>
          <w:rFonts w:ascii="Arial" w:eastAsia="Calibri" w:hAnsi="Arial" w:cs="Arial"/>
          <w:sz w:val="22"/>
          <w:szCs w:val="22"/>
          <w:lang w:val="es-ES_tradnl"/>
        </w:rPr>
        <w:t>3</w:t>
      </w:r>
      <w:r w:rsidR="0045668F" w:rsidRPr="00FC292C">
        <w:rPr>
          <w:rFonts w:ascii="Arial" w:eastAsia="Calibri" w:hAnsi="Arial" w:cs="Arial"/>
          <w:sz w:val="22"/>
          <w:szCs w:val="22"/>
          <w:lang w:val="es-ES_tradnl"/>
        </w:rPr>
        <w:t xml:space="preserve">) </w:t>
      </w:r>
      <w:r w:rsidR="008459C5" w:rsidRPr="00FC292C">
        <w:rPr>
          <w:rFonts w:ascii="Arial" w:eastAsia="Calibri" w:hAnsi="Arial" w:cs="Arial"/>
          <w:sz w:val="22"/>
          <w:szCs w:val="22"/>
          <w:lang w:val="es-ES_tradnl"/>
        </w:rPr>
        <w:t>meses siguientes a la expedición del decreto.</w:t>
      </w:r>
    </w:p>
    <w:p w14:paraId="3E8ABB4C" w14:textId="1AD02682" w:rsidR="00B10F18" w:rsidRPr="00FC292C" w:rsidRDefault="005D6A39" w:rsidP="00772AAF">
      <w:pPr>
        <w:spacing w:before="120"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Por otro lado, </w:t>
      </w:r>
      <w:r w:rsidR="00F55C2A" w:rsidRPr="00FC292C">
        <w:rPr>
          <w:rFonts w:ascii="Arial" w:eastAsia="Calibri" w:hAnsi="Arial" w:cs="Arial"/>
          <w:sz w:val="22"/>
          <w:szCs w:val="22"/>
          <w:lang w:val="es-ES_tradnl"/>
        </w:rPr>
        <w:t>en cuanto a</w:t>
      </w:r>
      <w:r w:rsidR="00476A5C" w:rsidRPr="00FC292C">
        <w:rPr>
          <w:rFonts w:ascii="Arial" w:eastAsia="Calibri" w:hAnsi="Arial" w:cs="Arial"/>
          <w:sz w:val="22"/>
          <w:szCs w:val="22"/>
          <w:lang w:val="es-ES_tradnl"/>
        </w:rPr>
        <w:t xml:space="preserve"> </w:t>
      </w:r>
      <w:r w:rsidR="004948C5" w:rsidRPr="00FC292C">
        <w:rPr>
          <w:rFonts w:ascii="Arial" w:eastAsia="Calibri" w:hAnsi="Arial" w:cs="Arial"/>
          <w:sz w:val="22"/>
          <w:szCs w:val="22"/>
          <w:lang w:val="es-ES_tradnl"/>
        </w:rPr>
        <w:t>lo dispuesto por el antiguo</w:t>
      </w:r>
      <w:r w:rsidR="00517AC6" w:rsidRPr="00FC292C">
        <w:rPr>
          <w:rFonts w:ascii="Arial" w:eastAsia="Calibri" w:hAnsi="Arial" w:cs="Arial"/>
          <w:sz w:val="22"/>
          <w:szCs w:val="22"/>
          <w:lang w:val="es-ES_tradnl"/>
        </w:rPr>
        <w:t xml:space="preserve"> artículo 2.2.1.2.4.2.3 del Decreto 1082 de 2015</w:t>
      </w:r>
      <w:r w:rsidR="002D07FD" w:rsidRPr="00FC292C">
        <w:rPr>
          <w:rStyle w:val="Refdenotaalpie"/>
          <w:rFonts w:ascii="Arial" w:eastAsia="Calibri" w:hAnsi="Arial" w:cs="Arial"/>
          <w:sz w:val="22"/>
          <w:szCs w:val="22"/>
          <w:lang w:val="es-ES_tradnl"/>
        </w:rPr>
        <w:footnoteReference w:id="10"/>
      </w:r>
      <w:r w:rsidR="00476A5C" w:rsidRPr="00FC292C">
        <w:rPr>
          <w:rFonts w:ascii="Arial" w:eastAsia="Calibri" w:hAnsi="Arial" w:cs="Arial"/>
          <w:sz w:val="22"/>
          <w:szCs w:val="22"/>
          <w:lang w:val="es-ES_tradnl"/>
        </w:rPr>
        <w:t>,</w:t>
      </w:r>
      <w:r w:rsidR="000E707D" w:rsidRPr="00FC292C">
        <w:rPr>
          <w:rFonts w:ascii="Arial" w:eastAsia="Calibri" w:hAnsi="Arial" w:cs="Arial"/>
          <w:sz w:val="22"/>
          <w:szCs w:val="22"/>
          <w:lang w:val="es-ES_tradnl"/>
        </w:rPr>
        <w:t xml:space="preserve"> que regula</w:t>
      </w:r>
      <w:r w:rsidR="004948C5" w:rsidRPr="00FC292C">
        <w:rPr>
          <w:rFonts w:ascii="Arial" w:eastAsia="Calibri" w:hAnsi="Arial" w:cs="Arial"/>
          <w:sz w:val="22"/>
          <w:szCs w:val="22"/>
          <w:lang w:val="es-ES_tradnl"/>
        </w:rPr>
        <w:t>ba la</w:t>
      </w:r>
      <w:r w:rsidR="000E707D" w:rsidRPr="00FC292C">
        <w:rPr>
          <w:rFonts w:ascii="Arial" w:eastAsia="Calibri" w:hAnsi="Arial" w:cs="Arial"/>
          <w:sz w:val="22"/>
          <w:szCs w:val="22"/>
          <w:lang w:val="es-ES_tradnl"/>
        </w:rPr>
        <w:t xml:space="preserve"> posibilidad de limitar convocatorias a </w:t>
      </w:r>
      <w:r w:rsidR="0045668F" w:rsidRPr="00FC292C">
        <w:rPr>
          <w:rFonts w:ascii="Arial" w:eastAsia="Calibri" w:hAnsi="Arial" w:cs="Arial"/>
          <w:sz w:val="22"/>
          <w:szCs w:val="22"/>
          <w:lang w:val="es-ES_tradnl"/>
        </w:rPr>
        <w:t xml:space="preserve">Mipymes </w:t>
      </w:r>
      <w:r w:rsidR="004C3FAA" w:rsidRPr="00FC292C">
        <w:rPr>
          <w:rFonts w:ascii="Arial" w:eastAsia="Calibri" w:hAnsi="Arial" w:cs="Arial"/>
          <w:sz w:val="22"/>
          <w:szCs w:val="22"/>
          <w:lang w:val="es-ES_tradnl"/>
        </w:rPr>
        <w:t>domiciliadas en un determinado ámbito territorial,</w:t>
      </w:r>
      <w:r w:rsidR="00476A5C" w:rsidRPr="00FC292C">
        <w:rPr>
          <w:rFonts w:ascii="Arial" w:eastAsia="Calibri" w:hAnsi="Arial" w:cs="Arial"/>
          <w:sz w:val="22"/>
          <w:szCs w:val="22"/>
          <w:lang w:val="es-ES_tradnl"/>
        </w:rPr>
        <w:t xml:space="preserve"> se estima que este, al igual que el artículo 2.2.1.2.4.2.2, también </w:t>
      </w:r>
      <w:r w:rsidR="004948C5" w:rsidRPr="00FC292C">
        <w:rPr>
          <w:rFonts w:ascii="Arial" w:eastAsia="Calibri" w:hAnsi="Arial" w:cs="Arial"/>
          <w:sz w:val="22"/>
          <w:szCs w:val="22"/>
          <w:lang w:val="es-ES_tradnl"/>
        </w:rPr>
        <w:t xml:space="preserve">se afectó por </w:t>
      </w:r>
      <w:r w:rsidR="00476A5C" w:rsidRPr="00FC292C">
        <w:rPr>
          <w:rFonts w:ascii="Arial" w:eastAsia="Calibri" w:hAnsi="Arial" w:cs="Arial"/>
          <w:sz w:val="22"/>
          <w:szCs w:val="22"/>
          <w:lang w:val="es-ES_tradnl"/>
        </w:rPr>
        <w:t>el fenómeno del decaimiento</w:t>
      </w:r>
      <w:r w:rsidR="004948C5" w:rsidRPr="00FC292C">
        <w:rPr>
          <w:rFonts w:ascii="Arial" w:eastAsia="Calibri" w:hAnsi="Arial" w:cs="Arial"/>
          <w:sz w:val="22"/>
          <w:szCs w:val="22"/>
          <w:lang w:val="es-ES_tradnl"/>
        </w:rPr>
        <w:t xml:space="preserve"> y</w:t>
      </w:r>
      <w:r w:rsidR="0045668F" w:rsidRPr="00FC292C">
        <w:rPr>
          <w:rFonts w:ascii="Arial" w:eastAsia="Calibri" w:hAnsi="Arial" w:cs="Arial"/>
          <w:sz w:val="22"/>
          <w:szCs w:val="22"/>
          <w:lang w:val="es-ES_tradnl"/>
        </w:rPr>
        <w:t>, actualmente,</w:t>
      </w:r>
      <w:r w:rsidR="004948C5" w:rsidRPr="00FC292C">
        <w:rPr>
          <w:rFonts w:ascii="Arial" w:eastAsia="Calibri" w:hAnsi="Arial" w:cs="Arial"/>
          <w:sz w:val="22"/>
          <w:szCs w:val="22"/>
          <w:lang w:val="es-ES_tradnl"/>
        </w:rPr>
        <w:t xml:space="preserve"> quedó sustituido por lo dispuesto en el Decreto 1860 de</w:t>
      </w:r>
      <w:r w:rsidR="00E4680C" w:rsidRPr="00FC292C">
        <w:rPr>
          <w:rFonts w:ascii="Arial" w:eastAsia="Calibri" w:hAnsi="Arial" w:cs="Arial"/>
          <w:sz w:val="22"/>
          <w:szCs w:val="22"/>
          <w:lang w:val="es-ES_tradnl"/>
        </w:rPr>
        <w:t xml:space="preserve"> </w:t>
      </w:r>
      <w:r w:rsidR="004948C5" w:rsidRPr="00FC292C">
        <w:rPr>
          <w:rFonts w:ascii="Arial" w:eastAsia="Calibri" w:hAnsi="Arial" w:cs="Arial"/>
          <w:sz w:val="22"/>
          <w:szCs w:val="22"/>
          <w:lang w:val="es-ES_tradnl"/>
        </w:rPr>
        <w:t>2021</w:t>
      </w:r>
      <w:r w:rsidR="00ED2881" w:rsidRPr="00FC292C">
        <w:rPr>
          <w:rFonts w:ascii="Arial" w:eastAsia="Calibri" w:hAnsi="Arial" w:cs="Arial"/>
          <w:sz w:val="22"/>
          <w:szCs w:val="22"/>
          <w:lang w:val="es-ES_tradnl"/>
        </w:rPr>
        <w:t xml:space="preserve">. </w:t>
      </w:r>
    </w:p>
    <w:p w14:paraId="5F2A4E04" w14:textId="530DF5B2" w:rsidR="00875DCB" w:rsidRPr="00FC292C" w:rsidRDefault="00A90789" w:rsidP="00875DCB">
      <w:pPr>
        <w:spacing w:before="120" w:line="276" w:lineRule="auto"/>
        <w:ind w:firstLine="709"/>
        <w:jc w:val="both"/>
        <w:rPr>
          <w:rFonts w:ascii="Arial" w:eastAsia="Calibri" w:hAnsi="Arial" w:cs="Arial"/>
          <w:sz w:val="22"/>
        </w:rPr>
      </w:pPr>
      <w:r w:rsidRPr="00FC292C">
        <w:rPr>
          <w:rFonts w:ascii="Arial" w:eastAsia="Calibri" w:hAnsi="Arial" w:cs="Arial"/>
          <w:sz w:val="22"/>
          <w:szCs w:val="22"/>
          <w:lang w:val="es-ES_tradnl"/>
        </w:rPr>
        <w:t>De otra parte,</w:t>
      </w:r>
      <w:r w:rsidR="001F2868" w:rsidRPr="00FC292C">
        <w:rPr>
          <w:rFonts w:ascii="Arial" w:eastAsia="Calibri" w:hAnsi="Arial" w:cs="Arial"/>
          <w:sz w:val="22"/>
          <w:szCs w:val="22"/>
          <w:lang w:val="es-ES_tradnl"/>
        </w:rPr>
        <w:t xml:space="preserve"> sobre las limitaciones territoriales para convocatorias de </w:t>
      </w:r>
      <w:r w:rsidR="0045668F" w:rsidRPr="00FC292C">
        <w:rPr>
          <w:rFonts w:ascii="Arial" w:eastAsia="Calibri" w:hAnsi="Arial" w:cs="Arial"/>
          <w:sz w:val="22"/>
          <w:szCs w:val="22"/>
          <w:lang w:val="es-ES_tradnl"/>
        </w:rPr>
        <w:t xml:space="preserve">Mipymes </w:t>
      </w:r>
      <w:r w:rsidR="00875DCB" w:rsidRPr="00FC292C">
        <w:rPr>
          <w:rFonts w:ascii="Arial" w:eastAsia="Calibri" w:hAnsi="Arial" w:cs="Arial"/>
          <w:sz w:val="22"/>
          <w:szCs w:val="22"/>
          <w:lang w:val="es-ES_tradnl"/>
        </w:rPr>
        <w:t xml:space="preserve">a la luz del antiguo artículo 2.2.1.2.4.2.3 del Decreto 1082 de 2015, esta Agencia </w:t>
      </w:r>
      <w:r w:rsidR="001F7144" w:rsidRPr="00FC292C">
        <w:rPr>
          <w:rFonts w:ascii="Arial" w:eastAsia="Calibri" w:hAnsi="Arial" w:cs="Arial"/>
          <w:sz w:val="22"/>
          <w:szCs w:val="22"/>
          <w:lang w:val="es-ES_tradnl"/>
        </w:rPr>
        <w:t>–</w:t>
      </w:r>
      <w:r w:rsidR="00875DCB" w:rsidRPr="00FC292C">
        <w:rPr>
          <w:rFonts w:ascii="Arial" w:hAnsi="Arial" w:cs="Arial"/>
          <w:sz w:val="22"/>
        </w:rPr>
        <w:t xml:space="preserve">en los </w:t>
      </w:r>
      <w:r w:rsidR="00875DCB" w:rsidRPr="00FC292C">
        <w:rPr>
          <w:rFonts w:ascii="Arial" w:hAnsi="Arial" w:cs="Arial"/>
          <w:sz w:val="22"/>
        </w:rPr>
        <w:lastRenderedPageBreak/>
        <w:t>conceptos del 29 de enero de 2018 −radicado No. 4201714000006924−,</w:t>
      </w:r>
      <w:r w:rsidR="00875DCB" w:rsidRPr="00FC292C">
        <w:rPr>
          <w:rFonts w:ascii="Arial" w:eastAsia="Calibri" w:hAnsi="Arial" w:cs="Arial"/>
          <w:sz w:val="22"/>
        </w:rPr>
        <w:t xml:space="preserve"> C – 045 del 17 de marzo de 2020, C – 162 del 16 de abril de 2020, C – 214 del 21 de abril de 2020, C – 258 del 17 de abril de 2020, C – 364 del 4 de junio de 2020, C – 413 del 30 de junio de 2020</w:t>
      </w:r>
      <w:r w:rsidR="00875DCB" w:rsidRPr="00FC292C">
        <w:rPr>
          <w:rFonts w:ascii="Arial" w:hAnsi="Arial" w:cs="Arial"/>
          <w:sz w:val="22"/>
        </w:rPr>
        <w:t xml:space="preserve">, </w:t>
      </w:r>
      <w:r w:rsidR="00875DCB" w:rsidRPr="00FC292C">
        <w:rPr>
          <w:rFonts w:ascii="Arial" w:eastAsia="Calibri" w:hAnsi="Arial" w:cs="Arial"/>
          <w:sz w:val="22"/>
        </w:rPr>
        <w:t>C – 492 del 24 de julio de 2020, C – 523 del 11 de agosto de 2020, C – 610 del 14 de septiembre de 2020 y C-700 de 1 de diciembre de 2020</w:t>
      </w:r>
      <w:r w:rsidR="001F7144" w:rsidRPr="00FC292C">
        <w:rPr>
          <w:rFonts w:ascii="Arial" w:eastAsia="Calibri" w:hAnsi="Arial" w:cs="Arial"/>
          <w:sz w:val="22"/>
        </w:rPr>
        <w:t>–</w:t>
      </w:r>
      <w:r w:rsidR="00875DCB" w:rsidRPr="00FC292C">
        <w:rPr>
          <w:rFonts w:ascii="Arial" w:eastAsia="Calibri" w:hAnsi="Arial" w:cs="Arial"/>
          <w:sz w:val="22"/>
          <w:szCs w:val="22"/>
          <w:lang w:val="es-ES_tradnl"/>
        </w:rPr>
        <w:t xml:space="preserve"> había sostenido que, para que se permitiera la participación de una Mipyme en uno de estos procesos, era necesario que esta demostrara estar domiciliada en el municipio o departamento en el que se ejecutaría el contrato</w:t>
      </w:r>
      <w:r w:rsidR="0045668F" w:rsidRPr="00FC292C">
        <w:rPr>
          <w:rFonts w:ascii="Arial" w:eastAsia="Calibri" w:hAnsi="Arial" w:cs="Arial"/>
          <w:sz w:val="22"/>
          <w:szCs w:val="22"/>
          <w:lang w:val="es-ES_tradnl"/>
        </w:rPr>
        <w:t>.</w:t>
      </w:r>
      <w:r w:rsidR="001F2868" w:rsidRPr="00FC292C">
        <w:rPr>
          <w:rFonts w:ascii="Arial" w:eastAsia="Calibri" w:hAnsi="Arial" w:cs="Arial"/>
          <w:sz w:val="22"/>
          <w:szCs w:val="22"/>
          <w:lang w:val="es-ES_tradnl"/>
        </w:rPr>
        <w:t xml:space="preserve"> </w:t>
      </w:r>
      <w:r w:rsidR="0045668F" w:rsidRPr="00FC292C">
        <w:rPr>
          <w:rFonts w:ascii="Arial" w:eastAsia="Calibri" w:hAnsi="Arial" w:cs="Arial"/>
          <w:sz w:val="22"/>
          <w:szCs w:val="22"/>
          <w:lang w:val="es-ES_tradnl"/>
        </w:rPr>
        <w:t xml:space="preserve">La </w:t>
      </w:r>
      <w:r w:rsidR="001F2868" w:rsidRPr="00FC292C">
        <w:rPr>
          <w:rFonts w:ascii="Arial" w:eastAsia="Calibri" w:hAnsi="Arial" w:cs="Arial"/>
          <w:sz w:val="22"/>
          <w:szCs w:val="22"/>
          <w:lang w:val="es-ES_tradnl"/>
        </w:rPr>
        <w:t>tesis se expuso en los siguientes términos</w:t>
      </w:r>
      <w:r w:rsidR="00875DCB" w:rsidRPr="00FC292C">
        <w:rPr>
          <w:rFonts w:ascii="Arial" w:eastAsia="Calibri" w:hAnsi="Arial" w:cs="Arial"/>
          <w:sz w:val="22"/>
        </w:rPr>
        <w:t xml:space="preserve">: </w:t>
      </w:r>
    </w:p>
    <w:p w14:paraId="74FFD3EE" w14:textId="77777777" w:rsidR="00875DCB" w:rsidRPr="00FC292C" w:rsidRDefault="00875DCB" w:rsidP="00875DCB">
      <w:pPr>
        <w:spacing w:line="276" w:lineRule="auto"/>
        <w:ind w:firstLine="709"/>
        <w:jc w:val="both"/>
        <w:rPr>
          <w:rFonts w:ascii="Arial" w:eastAsia="Calibri" w:hAnsi="Arial" w:cs="Arial"/>
          <w:sz w:val="22"/>
        </w:rPr>
      </w:pPr>
    </w:p>
    <w:p w14:paraId="5B49B43C" w14:textId="4344400F" w:rsidR="00875DCB" w:rsidRPr="00FC292C" w:rsidRDefault="00875DCB" w:rsidP="00AA6B44">
      <w:pPr>
        <w:spacing w:after="120"/>
        <w:ind w:left="709" w:right="709"/>
        <w:jc w:val="both"/>
        <w:rPr>
          <w:rFonts w:ascii="Arial" w:hAnsi="Arial" w:cs="Arial"/>
          <w:sz w:val="21"/>
          <w:szCs w:val="21"/>
        </w:rPr>
      </w:pPr>
      <w:r w:rsidRPr="00FC292C">
        <w:rPr>
          <w:rFonts w:ascii="Arial" w:hAnsi="Arial" w:cs="Arial"/>
          <w:sz w:val="21"/>
          <w:szCs w:val="21"/>
        </w:rPr>
        <w:t xml:space="preserve">Es de resaltar que </w:t>
      </w:r>
      <w:r w:rsidRPr="00FC292C">
        <w:rPr>
          <w:rFonts w:ascii="Arial" w:hAnsi="Arial" w:cs="Arial"/>
          <w:i/>
          <w:iCs/>
          <w:sz w:val="21"/>
          <w:szCs w:val="21"/>
        </w:rPr>
        <w:t>estas normas se refieren a las Mipymes nacionales genéricamente y, particularmente, a las Mipymes nacionales «domiciliadas en los departamentos o municipios en donde se va a ejecutar el contrato».</w:t>
      </w:r>
      <w:r w:rsidRPr="00FC292C">
        <w:rPr>
          <w:rFonts w:ascii="Arial" w:hAnsi="Arial" w:cs="Arial"/>
          <w:sz w:val="21"/>
          <w:szCs w:val="21"/>
        </w:rPr>
        <w:t xml:space="preserve">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35943EDC" w14:textId="1FAFB3D0" w:rsidR="00875DCB" w:rsidRPr="00FC292C" w:rsidRDefault="00875DCB" w:rsidP="00875DCB">
      <w:pPr>
        <w:ind w:left="709" w:right="709"/>
        <w:jc w:val="both"/>
        <w:rPr>
          <w:rFonts w:ascii="Arial" w:hAnsi="Arial" w:cs="Arial"/>
          <w:sz w:val="22"/>
          <w:szCs w:val="22"/>
        </w:rPr>
      </w:pPr>
      <w:r w:rsidRPr="00FC292C">
        <w:rPr>
          <w:rFonts w:ascii="Arial" w:hAnsi="Arial" w:cs="Arial"/>
          <w:sz w:val="21"/>
          <w:szCs w:val="21"/>
        </w:rPr>
        <w:t xml:space="preserve">Igualmente, se debe precisar que </w:t>
      </w:r>
      <w:r w:rsidRPr="00FC292C">
        <w:rPr>
          <w:rFonts w:ascii="Arial" w:hAnsi="Arial" w:cs="Arial"/>
          <w:i/>
          <w:iCs/>
          <w:sz w:val="21"/>
          <w:szCs w:val="21"/>
        </w:rPr>
        <w:t>el artículo 2.2.1.2.4.2.3. del Decreto 1082 de 2015 se refiere a las «Mipyme nacionales domiciliadas en los departamentos o municipios en donde se va a ejecutar el contrato» «cursivas propias», esto es, al «domicilio» y no a las «sucursales». Esta distinción es importante porque el beneficio normativo únicamente aplica en el lugar en el que la Mipyme tiene su «domicilio», y no en donde tiene sucursales</w:t>
      </w:r>
      <w:r w:rsidRPr="00FC292C">
        <w:rPr>
          <w:rStyle w:val="Refdenotaalpie"/>
          <w:rFonts w:ascii="Arial" w:hAnsi="Arial" w:cs="Arial"/>
          <w:i/>
          <w:iCs/>
          <w:sz w:val="21"/>
          <w:szCs w:val="21"/>
        </w:rPr>
        <w:footnoteReference w:id="11"/>
      </w:r>
      <w:r w:rsidRPr="00FC292C">
        <w:rPr>
          <w:rFonts w:ascii="Arial" w:hAnsi="Arial" w:cs="Arial"/>
          <w:sz w:val="21"/>
          <w:szCs w:val="21"/>
        </w:rPr>
        <w:t xml:space="preserve">. </w:t>
      </w:r>
      <w:r w:rsidR="00281451" w:rsidRPr="00FC292C">
        <w:rPr>
          <w:rFonts w:ascii="Arial" w:hAnsi="Arial" w:cs="Arial"/>
          <w:sz w:val="22"/>
          <w:szCs w:val="22"/>
        </w:rPr>
        <w:t>(</w:t>
      </w:r>
      <w:r w:rsidRPr="00FC292C">
        <w:rPr>
          <w:rFonts w:ascii="Arial" w:hAnsi="Arial" w:cs="Arial"/>
          <w:sz w:val="22"/>
          <w:szCs w:val="22"/>
        </w:rPr>
        <w:t>Énfasis fuera de texto</w:t>
      </w:r>
      <w:r w:rsidR="00281451" w:rsidRPr="00FC292C">
        <w:rPr>
          <w:rFonts w:ascii="Arial" w:hAnsi="Arial" w:cs="Arial"/>
          <w:sz w:val="22"/>
          <w:szCs w:val="22"/>
        </w:rPr>
        <w:t>)</w:t>
      </w:r>
    </w:p>
    <w:p w14:paraId="133C4854" w14:textId="77777777" w:rsidR="00875DCB" w:rsidRPr="00FC292C" w:rsidRDefault="00875DCB" w:rsidP="00AA6B44">
      <w:pPr>
        <w:spacing w:line="276" w:lineRule="auto"/>
        <w:ind w:left="709" w:right="709"/>
        <w:jc w:val="both"/>
        <w:rPr>
          <w:rFonts w:ascii="Arial" w:hAnsi="Arial" w:cs="Arial"/>
          <w:sz w:val="22"/>
          <w:szCs w:val="22"/>
        </w:rPr>
      </w:pPr>
    </w:p>
    <w:p w14:paraId="23E7AE37" w14:textId="7B491B91" w:rsidR="001F2868" w:rsidRPr="00FC292C" w:rsidRDefault="00875DCB" w:rsidP="00AA6B44">
      <w:pPr>
        <w:spacing w:after="120" w:line="276" w:lineRule="auto"/>
        <w:ind w:firstLine="709"/>
        <w:jc w:val="both"/>
        <w:rPr>
          <w:rFonts w:ascii="Arial" w:eastAsia="Calibri" w:hAnsi="Arial" w:cs="Arial"/>
          <w:sz w:val="22"/>
          <w:szCs w:val="22"/>
          <w:lang w:val="es-ES_tradnl"/>
        </w:rPr>
      </w:pPr>
      <w:r w:rsidRPr="00FC292C">
        <w:rPr>
          <w:rFonts w:ascii="Arial" w:hAnsi="Arial" w:cs="Arial"/>
          <w:sz w:val="22"/>
          <w:szCs w:val="22"/>
        </w:rPr>
        <w:t xml:space="preserve">Como se aprecia, la postura sostenida por esta Agencia en vigencia del artículo </w:t>
      </w:r>
      <w:r w:rsidRPr="00FC292C">
        <w:rPr>
          <w:rFonts w:ascii="Arial" w:eastAsia="Calibri" w:hAnsi="Arial" w:cs="Arial"/>
          <w:sz w:val="22"/>
          <w:szCs w:val="22"/>
          <w:lang w:val="es-ES_tradnl"/>
        </w:rPr>
        <w:t xml:space="preserve">2.2.1.2.4.2.3 del Decreto 1082 de 2015 no contemplaba la posibilidad de que una Mipyme domiciliada en un departamento o municipio diferentes al lugar de ejecución del contrato, en atención al cual se realiza la limitación territorial, participara en un proceso de selección por el hecho de tener una sucursal </w:t>
      </w:r>
      <w:r w:rsidR="00B15105" w:rsidRPr="00FC292C">
        <w:rPr>
          <w:rFonts w:ascii="Arial" w:eastAsia="Calibri" w:hAnsi="Arial" w:cs="Arial"/>
          <w:sz w:val="22"/>
          <w:szCs w:val="22"/>
          <w:lang w:val="es-ES_tradnl"/>
        </w:rPr>
        <w:t xml:space="preserve">en </w:t>
      </w:r>
      <w:r w:rsidRPr="00FC292C">
        <w:rPr>
          <w:rFonts w:ascii="Arial" w:eastAsia="Calibri" w:hAnsi="Arial" w:cs="Arial"/>
          <w:sz w:val="22"/>
          <w:szCs w:val="22"/>
          <w:lang w:val="es-ES_tradnl"/>
        </w:rPr>
        <w:t xml:space="preserve">este, puesto que lo relevante es el domicilio de la </w:t>
      </w:r>
      <w:r w:rsidR="0045668F" w:rsidRPr="00FC292C">
        <w:rPr>
          <w:rFonts w:ascii="Arial" w:eastAsia="Calibri" w:hAnsi="Arial" w:cs="Arial"/>
          <w:sz w:val="22"/>
          <w:szCs w:val="22"/>
          <w:lang w:val="es-ES_tradnl"/>
        </w:rPr>
        <w:t>Mipyme</w:t>
      </w:r>
      <w:r w:rsidRPr="00FC292C">
        <w:rPr>
          <w:rFonts w:ascii="Arial" w:eastAsia="Calibri" w:hAnsi="Arial" w:cs="Arial"/>
          <w:sz w:val="22"/>
          <w:szCs w:val="22"/>
          <w:lang w:val="es-ES_tradnl"/>
        </w:rPr>
        <w:t xml:space="preserve">. </w:t>
      </w:r>
    </w:p>
    <w:p w14:paraId="3D5DF39B" w14:textId="26C89F6E" w:rsidR="001429B2" w:rsidRPr="00FC292C" w:rsidRDefault="001F2868" w:rsidP="00875DCB">
      <w:pPr>
        <w:spacing w:line="276" w:lineRule="auto"/>
        <w:ind w:firstLine="708"/>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Ahora bien, el texto del actual artículo </w:t>
      </w:r>
      <w:r w:rsidR="00875DCB" w:rsidRPr="00FC292C">
        <w:rPr>
          <w:rFonts w:ascii="Arial" w:eastAsia="Calibri" w:hAnsi="Arial" w:cs="Arial"/>
          <w:sz w:val="22"/>
          <w:szCs w:val="22"/>
          <w:lang w:val="es-ES_tradnl"/>
        </w:rPr>
        <w:t>2.2.1.2.4.2.3</w:t>
      </w:r>
      <w:r w:rsidRPr="00FC292C">
        <w:rPr>
          <w:rFonts w:ascii="Arial" w:eastAsia="Calibri" w:hAnsi="Arial" w:cs="Arial"/>
          <w:sz w:val="22"/>
          <w:szCs w:val="22"/>
          <w:lang w:val="es-ES_tradnl"/>
        </w:rPr>
        <w:t>, modificado por el artículo 5 del Decreto 1860 de 2021</w:t>
      </w:r>
      <w:r w:rsidR="001429B2" w:rsidRPr="00FC292C">
        <w:rPr>
          <w:rFonts w:ascii="Arial" w:eastAsia="Calibri" w:hAnsi="Arial" w:cs="Arial"/>
          <w:sz w:val="22"/>
          <w:szCs w:val="22"/>
          <w:lang w:val="es-ES_tradnl"/>
        </w:rPr>
        <w:t>,</w:t>
      </w:r>
      <w:r w:rsidRPr="00FC292C">
        <w:rPr>
          <w:rFonts w:ascii="Arial" w:eastAsia="Calibri" w:hAnsi="Arial" w:cs="Arial"/>
          <w:sz w:val="22"/>
          <w:szCs w:val="22"/>
          <w:lang w:val="es-ES_tradnl"/>
        </w:rPr>
        <w:t xml:space="preserve"> no cambia la tesis </w:t>
      </w:r>
      <w:r w:rsidR="001429B2" w:rsidRPr="00FC292C">
        <w:rPr>
          <w:rFonts w:ascii="Arial" w:eastAsia="Calibri" w:hAnsi="Arial" w:cs="Arial"/>
          <w:sz w:val="22"/>
          <w:szCs w:val="22"/>
          <w:lang w:val="es-ES_tradnl"/>
        </w:rPr>
        <w:t xml:space="preserve">adoptada en conceptos </w:t>
      </w:r>
      <w:r w:rsidR="0045668F" w:rsidRPr="00FC292C">
        <w:rPr>
          <w:rFonts w:ascii="Arial" w:eastAsia="Calibri" w:hAnsi="Arial" w:cs="Arial"/>
          <w:sz w:val="22"/>
          <w:szCs w:val="22"/>
          <w:lang w:val="es-ES_tradnl"/>
        </w:rPr>
        <w:t xml:space="preserve">citados </w:t>
      </w:r>
      <w:r w:rsidR="001429B2" w:rsidRPr="00FC292C">
        <w:rPr>
          <w:rFonts w:ascii="Arial" w:eastAsia="Calibri" w:hAnsi="Arial" w:cs="Arial"/>
          <w:sz w:val="22"/>
          <w:szCs w:val="22"/>
          <w:lang w:val="es-ES_tradnl"/>
        </w:rPr>
        <w:t>anterior</w:t>
      </w:r>
      <w:r w:rsidR="0045668F" w:rsidRPr="00FC292C">
        <w:rPr>
          <w:rFonts w:ascii="Arial" w:eastAsia="Calibri" w:hAnsi="Arial" w:cs="Arial"/>
          <w:sz w:val="22"/>
          <w:szCs w:val="22"/>
          <w:lang w:val="es-ES_tradnl"/>
        </w:rPr>
        <w:t>mente</w:t>
      </w:r>
      <w:r w:rsidR="001429B2" w:rsidRPr="00FC292C">
        <w:rPr>
          <w:rFonts w:ascii="Arial" w:eastAsia="Calibri" w:hAnsi="Arial" w:cs="Arial"/>
          <w:sz w:val="22"/>
          <w:szCs w:val="22"/>
          <w:lang w:val="es-ES_tradnl"/>
        </w:rPr>
        <w:t xml:space="preserve"> de</w:t>
      </w:r>
      <w:r w:rsidR="0045668F" w:rsidRPr="00FC292C">
        <w:rPr>
          <w:rFonts w:ascii="Arial" w:eastAsia="Calibri" w:hAnsi="Arial" w:cs="Arial"/>
          <w:sz w:val="22"/>
          <w:szCs w:val="22"/>
          <w:lang w:val="es-ES_tradnl"/>
        </w:rPr>
        <w:t xml:space="preserve"> </w:t>
      </w:r>
      <w:r w:rsidR="0045668F" w:rsidRPr="00FC292C">
        <w:rPr>
          <w:rFonts w:ascii="Arial" w:eastAsia="Calibri" w:hAnsi="Arial" w:cs="Arial"/>
          <w:sz w:val="22"/>
          <w:szCs w:val="22"/>
          <w:lang w:val="es-ES_tradnl"/>
        </w:rPr>
        <w:lastRenderedPageBreak/>
        <w:t xml:space="preserve">la Agencia Nacional de Contratación Pública - </w:t>
      </w:r>
      <w:r w:rsidR="001429B2" w:rsidRPr="00FC292C">
        <w:rPr>
          <w:rFonts w:ascii="Arial" w:eastAsia="Calibri" w:hAnsi="Arial" w:cs="Arial"/>
          <w:sz w:val="22"/>
          <w:szCs w:val="22"/>
          <w:lang w:val="es-ES_tradnl"/>
        </w:rPr>
        <w:t xml:space="preserve">Colombia Compra Eficiente emitidos antes de la expedición </w:t>
      </w:r>
      <w:r w:rsidR="001F7144" w:rsidRPr="00FC292C">
        <w:rPr>
          <w:rFonts w:ascii="Arial" w:eastAsia="Calibri" w:hAnsi="Arial" w:cs="Arial"/>
          <w:sz w:val="22"/>
          <w:szCs w:val="22"/>
          <w:lang w:val="es-ES_tradnl"/>
        </w:rPr>
        <w:t>de este reglamento.</w:t>
      </w:r>
      <w:r w:rsidR="001429B2" w:rsidRPr="00FC292C">
        <w:rPr>
          <w:rFonts w:ascii="Arial" w:eastAsia="Calibri" w:hAnsi="Arial" w:cs="Arial"/>
          <w:sz w:val="22"/>
          <w:szCs w:val="22"/>
          <w:lang w:val="es-ES_tradnl"/>
        </w:rPr>
        <w:t xml:space="preserve"> </w:t>
      </w:r>
      <w:r w:rsidR="001F7144" w:rsidRPr="00FC292C">
        <w:rPr>
          <w:rFonts w:ascii="Arial" w:eastAsia="Calibri" w:hAnsi="Arial" w:cs="Arial"/>
          <w:sz w:val="22"/>
          <w:szCs w:val="22"/>
          <w:lang w:val="es-ES_tradnl"/>
        </w:rPr>
        <w:t>Lo anterior en la medida</w:t>
      </w:r>
      <w:r w:rsidR="001429B2" w:rsidRPr="00FC292C">
        <w:rPr>
          <w:rFonts w:ascii="Arial" w:eastAsia="Calibri" w:hAnsi="Arial" w:cs="Arial"/>
          <w:sz w:val="22"/>
          <w:szCs w:val="22"/>
          <w:lang w:val="es-ES_tradnl"/>
        </w:rPr>
        <w:t xml:space="preserve"> que, respecto del domicilio de las </w:t>
      </w:r>
      <w:proofErr w:type="spellStart"/>
      <w:r w:rsidR="001429B2" w:rsidRPr="00FC292C">
        <w:rPr>
          <w:rFonts w:ascii="Arial" w:eastAsia="Calibri" w:hAnsi="Arial" w:cs="Arial"/>
          <w:sz w:val="22"/>
          <w:szCs w:val="22"/>
          <w:lang w:val="es-ES_tradnl"/>
        </w:rPr>
        <w:t>mipymes</w:t>
      </w:r>
      <w:proofErr w:type="spellEnd"/>
      <w:r w:rsidR="001429B2" w:rsidRPr="00FC292C">
        <w:rPr>
          <w:rFonts w:ascii="Arial" w:eastAsia="Calibri" w:hAnsi="Arial" w:cs="Arial"/>
          <w:sz w:val="22"/>
          <w:szCs w:val="22"/>
          <w:lang w:val="es-ES_tradnl"/>
        </w:rPr>
        <w:t xml:space="preserve"> en el departamento o municipio donde se ejecuta el contrato</w:t>
      </w:r>
      <w:r w:rsidR="001F7144" w:rsidRPr="00FC292C">
        <w:rPr>
          <w:rFonts w:ascii="Arial" w:eastAsia="Calibri" w:hAnsi="Arial" w:cs="Arial"/>
          <w:sz w:val="22"/>
          <w:szCs w:val="22"/>
          <w:lang w:val="es-ES_tradnl"/>
        </w:rPr>
        <w:t>,</w:t>
      </w:r>
      <w:r w:rsidR="001429B2" w:rsidRPr="00FC292C">
        <w:rPr>
          <w:rFonts w:ascii="Arial" w:eastAsia="Calibri" w:hAnsi="Arial" w:cs="Arial"/>
          <w:sz w:val="22"/>
          <w:szCs w:val="22"/>
          <w:lang w:val="es-ES_tradnl"/>
        </w:rPr>
        <w:t xml:space="preserve"> la reglamentación no tuvo cambios. Así se desprende del texto de la nueva norma que es del siguiente tenor: </w:t>
      </w:r>
    </w:p>
    <w:p w14:paraId="08CA0BAF" w14:textId="77777777" w:rsidR="001429B2" w:rsidRPr="00FC292C" w:rsidRDefault="001429B2" w:rsidP="00AA6B44">
      <w:pPr>
        <w:ind w:right="709"/>
        <w:jc w:val="both"/>
        <w:rPr>
          <w:rFonts w:ascii="Arial" w:hAnsi="Arial" w:cs="Arial"/>
          <w:sz w:val="21"/>
          <w:szCs w:val="21"/>
        </w:rPr>
      </w:pPr>
    </w:p>
    <w:p w14:paraId="14F98433" w14:textId="40705D65" w:rsidR="001429B2" w:rsidRPr="00FC292C" w:rsidRDefault="001429B2" w:rsidP="001429B2">
      <w:pPr>
        <w:ind w:left="709" w:right="709"/>
        <w:jc w:val="both"/>
        <w:rPr>
          <w:rFonts w:ascii="Arial" w:hAnsi="Arial" w:cs="Arial"/>
          <w:sz w:val="21"/>
          <w:szCs w:val="21"/>
        </w:rPr>
      </w:pPr>
      <w:r w:rsidRPr="00FC292C">
        <w:rPr>
          <w:rFonts w:ascii="Arial" w:hAnsi="Arial" w:cs="Arial"/>
          <w:sz w:val="21"/>
          <w:szCs w:val="21"/>
        </w:rPr>
        <w:t>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035C54D5" w14:textId="34D61BE9" w:rsidR="001429B2" w:rsidRPr="00FC292C" w:rsidRDefault="001429B2" w:rsidP="00AA6B44">
      <w:pPr>
        <w:spacing w:after="120"/>
        <w:ind w:left="709" w:right="709"/>
        <w:jc w:val="both"/>
        <w:rPr>
          <w:rFonts w:ascii="Arial" w:hAnsi="Arial" w:cs="Arial"/>
          <w:sz w:val="21"/>
          <w:szCs w:val="21"/>
        </w:rPr>
      </w:pPr>
      <w:r w:rsidRPr="00FC292C">
        <w:rPr>
          <w:rFonts w:ascii="Arial" w:hAnsi="Arial" w:cs="Arial"/>
          <w:sz w:val="21"/>
          <w:szCs w:val="21"/>
        </w:rPr>
        <w:t>[…]</w:t>
      </w:r>
    </w:p>
    <w:p w14:paraId="4E4B1B92" w14:textId="4DF0F2FF" w:rsidR="00E4680C" w:rsidRPr="00FC292C" w:rsidRDefault="001429B2" w:rsidP="001429B2">
      <w:pPr>
        <w:ind w:left="709" w:right="709"/>
        <w:jc w:val="both"/>
        <w:rPr>
          <w:rFonts w:ascii="Arial" w:eastAsia="Calibri" w:hAnsi="Arial" w:cs="Arial"/>
          <w:sz w:val="22"/>
          <w:szCs w:val="22"/>
          <w:lang w:val="es-ES_tradnl"/>
        </w:rPr>
      </w:pPr>
      <w:r w:rsidRPr="00FC292C">
        <w:rPr>
          <w:rFonts w:ascii="Arial" w:hAnsi="Arial" w:cs="Arial"/>
          <w:sz w:val="21"/>
          <w:szCs w:val="21"/>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 </w:t>
      </w:r>
    </w:p>
    <w:p w14:paraId="2FA6FB9A" w14:textId="77777777" w:rsidR="001429B2" w:rsidRPr="00FC292C" w:rsidRDefault="001429B2" w:rsidP="00AA6B44">
      <w:pPr>
        <w:spacing w:line="276" w:lineRule="auto"/>
        <w:ind w:left="709" w:right="709"/>
        <w:jc w:val="both"/>
        <w:rPr>
          <w:rFonts w:ascii="Arial" w:eastAsia="Calibri" w:hAnsi="Arial" w:cs="Arial"/>
          <w:sz w:val="22"/>
          <w:szCs w:val="22"/>
          <w:lang w:val="es-ES_tradnl"/>
        </w:rPr>
      </w:pPr>
    </w:p>
    <w:p w14:paraId="0B300579" w14:textId="1E4BB007" w:rsidR="005D6A39" w:rsidRPr="00FC292C" w:rsidRDefault="00FC2BC1" w:rsidP="00AA6B44">
      <w:pPr>
        <w:spacing w:line="276" w:lineRule="auto"/>
        <w:ind w:firstLine="709"/>
        <w:jc w:val="both"/>
        <w:rPr>
          <w:rFonts w:ascii="Arial" w:eastAsia="Calibri" w:hAnsi="Arial" w:cs="Arial"/>
          <w:sz w:val="22"/>
          <w:szCs w:val="22"/>
          <w:lang w:val="es-ES_tradnl"/>
        </w:rPr>
      </w:pPr>
      <w:r w:rsidRPr="00FC292C">
        <w:rPr>
          <w:rFonts w:ascii="Arial" w:eastAsia="Calibri" w:hAnsi="Arial" w:cs="Arial"/>
          <w:sz w:val="22"/>
          <w:szCs w:val="22"/>
          <w:lang w:val="es-ES_tradnl"/>
        </w:rPr>
        <w:t xml:space="preserve">La norma reglamentaria coincide con </w:t>
      </w:r>
      <w:r w:rsidR="00B10F18" w:rsidRPr="00FC292C">
        <w:rPr>
          <w:rFonts w:ascii="Arial" w:eastAsia="Calibri" w:hAnsi="Arial" w:cs="Arial"/>
          <w:sz w:val="22"/>
          <w:szCs w:val="22"/>
          <w:lang w:val="es-ES_tradnl"/>
        </w:rPr>
        <w:t xml:space="preserve">la redacción del parágrafo 1 del artículo 34 de la Ley 2069 de 2020, </w:t>
      </w:r>
      <w:r w:rsidRPr="00FC292C">
        <w:rPr>
          <w:rFonts w:ascii="Arial" w:eastAsia="Calibri" w:hAnsi="Arial" w:cs="Arial"/>
          <w:sz w:val="22"/>
          <w:szCs w:val="22"/>
          <w:lang w:val="es-ES_tradnl"/>
        </w:rPr>
        <w:t xml:space="preserve">según el cual, </w:t>
      </w:r>
      <w:r w:rsidR="00A90789" w:rsidRPr="00FC292C">
        <w:rPr>
          <w:rFonts w:ascii="Arial" w:eastAsia="Calibri" w:hAnsi="Arial" w:cs="Arial"/>
          <w:sz w:val="22"/>
          <w:szCs w:val="22"/>
          <w:lang w:val="es-ES_tradnl"/>
        </w:rPr>
        <w:t>sí</w:t>
      </w:r>
      <w:r w:rsidR="00B10F18" w:rsidRPr="00FC292C">
        <w:rPr>
          <w:rFonts w:ascii="Arial" w:eastAsia="Calibri" w:hAnsi="Arial" w:cs="Arial"/>
          <w:sz w:val="22"/>
          <w:szCs w:val="22"/>
          <w:lang w:val="es-ES_tradnl"/>
        </w:rPr>
        <w:t xml:space="preserve"> es posible limitar convocatorias a la participación de </w:t>
      </w:r>
      <w:r w:rsidR="00552DF9" w:rsidRPr="00FC292C">
        <w:rPr>
          <w:rFonts w:ascii="Arial" w:eastAsia="Calibri" w:hAnsi="Arial" w:cs="Arial"/>
          <w:sz w:val="22"/>
          <w:szCs w:val="22"/>
          <w:lang w:val="es-ES_tradnl"/>
        </w:rPr>
        <w:t xml:space="preserve">Mipymes </w:t>
      </w:r>
      <w:r w:rsidR="00B10F18" w:rsidRPr="00FC292C">
        <w:rPr>
          <w:rFonts w:ascii="Arial" w:eastAsia="Calibri" w:hAnsi="Arial" w:cs="Arial"/>
          <w:sz w:val="22"/>
          <w:szCs w:val="22"/>
          <w:lang w:val="es-ES_tradnl"/>
        </w:rPr>
        <w:t xml:space="preserve">«[…] </w:t>
      </w:r>
      <w:r w:rsidR="00B10F18" w:rsidRPr="00FC292C">
        <w:rPr>
          <w:rFonts w:ascii="Arial" w:eastAsia="Calibri" w:hAnsi="Arial" w:cs="Arial"/>
          <w:sz w:val="22"/>
          <w:szCs w:val="22"/>
        </w:rPr>
        <w:t>del ámbito municipal o departamental correspondiente al de la ejecución del contrato</w:t>
      </w:r>
      <w:r w:rsidR="00B10F18" w:rsidRPr="00FC292C">
        <w:rPr>
          <w:rFonts w:ascii="Arial" w:eastAsia="Calibri" w:hAnsi="Arial" w:cs="Arial"/>
          <w:sz w:val="22"/>
          <w:szCs w:val="22"/>
          <w:lang w:val="es-ES_tradnl"/>
        </w:rPr>
        <w:t xml:space="preserve">». En tales términos, la norma citada </w:t>
      </w:r>
      <w:r w:rsidRPr="00FC292C">
        <w:rPr>
          <w:rFonts w:ascii="Arial" w:eastAsia="Calibri" w:hAnsi="Arial" w:cs="Arial"/>
          <w:sz w:val="22"/>
          <w:szCs w:val="22"/>
          <w:lang w:val="es-ES_tradnl"/>
        </w:rPr>
        <w:t>sólo</w:t>
      </w:r>
      <w:r w:rsidR="00B10F18" w:rsidRPr="00FC292C">
        <w:rPr>
          <w:rFonts w:ascii="Arial" w:eastAsia="Calibri" w:hAnsi="Arial" w:cs="Arial"/>
          <w:sz w:val="22"/>
          <w:szCs w:val="22"/>
          <w:lang w:val="es-ES_tradnl"/>
        </w:rPr>
        <w:t xml:space="preserve"> contempla la posibilidad de limitar convocatorias a </w:t>
      </w:r>
      <w:r w:rsidR="00552DF9" w:rsidRPr="00FC292C">
        <w:rPr>
          <w:rFonts w:ascii="Arial" w:eastAsia="Calibri" w:hAnsi="Arial" w:cs="Arial"/>
          <w:sz w:val="22"/>
          <w:szCs w:val="22"/>
          <w:lang w:val="es-ES_tradnl"/>
        </w:rPr>
        <w:t xml:space="preserve">Mipymes </w:t>
      </w:r>
      <w:r w:rsidR="00B10F18" w:rsidRPr="00FC292C">
        <w:rPr>
          <w:rFonts w:ascii="Arial" w:eastAsia="Calibri" w:hAnsi="Arial" w:cs="Arial"/>
          <w:sz w:val="22"/>
          <w:szCs w:val="22"/>
          <w:lang w:val="es-ES_tradnl"/>
        </w:rPr>
        <w:t xml:space="preserve">con domicilio </w:t>
      </w:r>
      <w:r w:rsidRPr="00FC292C">
        <w:rPr>
          <w:rFonts w:ascii="Arial" w:eastAsia="Calibri" w:hAnsi="Arial" w:cs="Arial"/>
          <w:sz w:val="22"/>
          <w:szCs w:val="22"/>
          <w:lang w:val="es-ES_tradnl"/>
        </w:rPr>
        <w:t xml:space="preserve">en esos dos tipos de entidades territoriales. </w:t>
      </w:r>
    </w:p>
    <w:p w14:paraId="091FCDC3" w14:textId="650191A0" w:rsidR="00141690" w:rsidRPr="00FC292C" w:rsidRDefault="00141690" w:rsidP="00141690">
      <w:pPr>
        <w:spacing w:before="120" w:line="276" w:lineRule="auto"/>
        <w:ind w:firstLine="709"/>
        <w:jc w:val="both"/>
        <w:rPr>
          <w:rFonts w:ascii="Arial" w:eastAsia="Arial" w:hAnsi="Arial" w:cs="Arial"/>
          <w:color w:val="000000"/>
          <w:sz w:val="22"/>
          <w:szCs w:val="22"/>
          <w:lang w:val="es-MX" w:eastAsia="en-US"/>
        </w:rPr>
      </w:pPr>
      <w:r w:rsidRPr="00FC292C">
        <w:rPr>
          <w:rFonts w:ascii="Arial" w:eastAsia="Arial" w:hAnsi="Arial" w:cs="Arial"/>
          <w:color w:val="000000"/>
          <w:sz w:val="22"/>
          <w:szCs w:val="22"/>
          <w:lang w:val="es-MX" w:eastAsia="en-US"/>
        </w:rPr>
        <w:t xml:space="preserve">En ese sentido, toda empresa constituida bajo las leyes colombianas o que tenga su domicilio principal en el territorio colombiano y, además, cumpla los criterios previstos por la Ley 590 de 2000 y el Decreto 957 de 2019, será considerada Mipymes nacional. Además, </w:t>
      </w:r>
      <w:r w:rsidR="001F7144" w:rsidRPr="00FC292C">
        <w:rPr>
          <w:rFonts w:ascii="Arial" w:eastAsia="Arial" w:hAnsi="Arial" w:cs="Arial"/>
          <w:color w:val="000000"/>
          <w:sz w:val="22"/>
          <w:szCs w:val="22"/>
          <w:lang w:val="es-MX" w:eastAsia="en-US"/>
        </w:rPr>
        <w:t>las normas de contratación permiten</w:t>
      </w:r>
      <w:r w:rsidRPr="00FC292C">
        <w:rPr>
          <w:rFonts w:ascii="Arial" w:eastAsia="Arial" w:hAnsi="Arial" w:cs="Arial"/>
          <w:color w:val="000000"/>
          <w:sz w:val="22"/>
          <w:szCs w:val="22"/>
          <w:lang w:val="es-MX" w:eastAsia="en-US"/>
        </w:rPr>
        <w:t xml:space="preserve"> que las Mipymes nacionales puedan beneficiarse de la ejecución de un contrato dentro de la entidad territorial en la que tienen su «domicilio»</w:t>
      </w:r>
      <w:r w:rsidR="00552DF9" w:rsidRPr="00FC292C">
        <w:rPr>
          <w:rFonts w:ascii="Arial" w:eastAsia="Arial" w:hAnsi="Arial" w:cs="Arial"/>
          <w:color w:val="000000"/>
          <w:sz w:val="22"/>
          <w:szCs w:val="22"/>
          <w:lang w:val="es-MX" w:eastAsia="en-US"/>
        </w:rPr>
        <w:t>, siempre que el proceso de contratación efectivamente se limite a Mipymes domiciliadas en determinado ámbito territorial, de conformidad con las reglas establecidas en el Decreto 1082 de 2015, modificado por el Decreto 1860 de 2021</w:t>
      </w:r>
      <w:r w:rsidRPr="00FC292C">
        <w:rPr>
          <w:rFonts w:ascii="Arial" w:eastAsia="Arial" w:hAnsi="Arial" w:cs="Arial"/>
          <w:color w:val="000000"/>
          <w:sz w:val="22"/>
          <w:szCs w:val="22"/>
          <w:lang w:val="es-MX" w:eastAsia="en-US"/>
        </w:rPr>
        <w:t xml:space="preserve">. </w:t>
      </w:r>
    </w:p>
    <w:p w14:paraId="2425792C" w14:textId="2E6EF433" w:rsidR="00141690" w:rsidRPr="00FC292C" w:rsidRDefault="00141690" w:rsidP="00FC292C">
      <w:pPr>
        <w:spacing w:before="120" w:after="120" w:line="276" w:lineRule="auto"/>
        <w:ind w:firstLine="709"/>
        <w:jc w:val="both"/>
        <w:rPr>
          <w:rFonts w:ascii="Arial" w:eastAsia="Arial" w:hAnsi="Arial" w:cs="Arial"/>
          <w:color w:val="000000"/>
          <w:sz w:val="22"/>
          <w:szCs w:val="22"/>
          <w:lang w:val="es-MX" w:eastAsia="en-US"/>
        </w:rPr>
      </w:pPr>
      <w:r w:rsidRPr="00FC292C">
        <w:rPr>
          <w:rFonts w:ascii="Arial" w:eastAsia="Arial" w:hAnsi="Arial" w:cs="Arial"/>
          <w:color w:val="000000"/>
          <w:sz w:val="22"/>
          <w:szCs w:val="22"/>
          <w:lang w:val="es-MX" w:eastAsia="en-US"/>
        </w:rPr>
        <w:t xml:space="preserve">Ahora bien, el artículo 2.2.1.2.4.2.3. del Decreto 1082 de 2015, modificado por el artículo 5 del Decreto 1860 de 2021 se refiere a las «mipyme colombianas que tengan </w:t>
      </w:r>
      <w:r w:rsidRPr="00FC292C">
        <w:rPr>
          <w:rFonts w:ascii="Arial" w:eastAsia="Arial" w:hAnsi="Arial" w:cs="Arial"/>
          <w:i/>
          <w:iCs/>
          <w:color w:val="000000"/>
          <w:sz w:val="22"/>
          <w:szCs w:val="22"/>
          <w:lang w:val="es-MX" w:eastAsia="en-US"/>
        </w:rPr>
        <w:t>domicilio</w:t>
      </w:r>
      <w:r w:rsidRPr="00FC292C">
        <w:rPr>
          <w:rFonts w:ascii="Arial" w:eastAsia="Arial" w:hAnsi="Arial" w:cs="Arial"/>
          <w:color w:val="000000"/>
          <w:sz w:val="22"/>
          <w:szCs w:val="22"/>
          <w:lang w:val="es-MX" w:eastAsia="en-US"/>
        </w:rPr>
        <w:t xml:space="preserve"> en los departamentos o municipios en donde se va a ejecutar el contrato». Esta </w:t>
      </w:r>
      <w:r w:rsidR="001F7144" w:rsidRPr="00FC292C">
        <w:rPr>
          <w:rFonts w:ascii="Arial" w:eastAsia="Arial" w:hAnsi="Arial" w:cs="Arial"/>
          <w:color w:val="000000"/>
          <w:sz w:val="22"/>
          <w:szCs w:val="22"/>
          <w:lang w:val="es-MX" w:eastAsia="en-US"/>
        </w:rPr>
        <w:t xml:space="preserve">precisión </w:t>
      </w:r>
      <w:r w:rsidRPr="00FC292C">
        <w:rPr>
          <w:rFonts w:ascii="Arial" w:eastAsia="Arial" w:hAnsi="Arial" w:cs="Arial"/>
          <w:color w:val="000000"/>
          <w:sz w:val="22"/>
          <w:szCs w:val="22"/>
          <w:lang w:val="es-MX" w:eastAsia="en-US"/>
        </w:rPr>
        <w:t>es importante</w:t>
      </w:r>
      <w:r w:rsidR="00A026CC" w:rsidRPr="00FC292C">
        <w:rPr>
          <w:rFonts w:ascii="Arial" w:eastAsia="Arial" w:hAnsi="Arial" w:cs="Arial"/>
          <w:color w:val="000000"/>
          <w:sz w:val="22"/>
          <w:szCs w:val="22"/>
          <w:lang w:val="es-MX" w:eastAsia="en-US"/>
        </w:rPr>
        <w:t>,</w:t>
      </w:r>
      <w:r w:rsidRPr="00FC292C">
        <w:rPr>
          <w:rFonts w:ascii="Arial" w:eastAsia="Arial" w:hAnsi="Arial" w:cs="Arial"/>
          <w:color w:val="000000"/>
          <w:sz w:val="22"/>
          <w:szCs w:val="22"/>
          <w:lang w:val="es-MX" w:eastAsia="en-US"/>
        </w:rPr>
        <w:t xml:space="preserve"> p</w:t>
      </w:r>
      <w:r w:rsidR="00914921" w:rsidRPr="00FC292C">
        <w:rPr>
          <w:rFonts w:ascii="Arial" w:eastAsia="Arial" w:hAnsi="Arial" w:cs="Arial"/>
          <w:color w:val="000000"/>
          <w:sz w:val="22"/>
          <w:szCs w:val="22"/>
          <w:lang w:val="es-MX" w:eastAsia="en-US"/>
        </w:rPr>
        <w:t>ues</w:t>
      </w:r>
      <w:r w:rsidR="007E6D82" w:rsidRPr="00FC292C">
        <w:rPr>
          <w:rFonts w:ascii="Arial" w:eastAsia="Arial" w:hAnsi="Arial" w:cs="Arial"/>
          <w:color w:val="000000"/>
          <w:sz w:val="22"/>
          <w:szCs w:val="22"/>
          <w:lang w:val="es-MX" w:eastAsia="en-US"/>
        </w:rPr>
        <w:t xml:space="preserve"> el </w:t>
      </w:r>
      <w:r w:rsidR="001F7144" w:rsidRPr="00FC292C">
        <w:rPr>
          <w:rFonts w:ascii="Arial" w:eastAsia="Arial" w:hAnsi="Arial" w:cs="Arial"/>
          <w:color w:val="000000"/>
          <w:sz w:val="22"/>
          <w:szCs w:val="22"/>
          <w:lang w:val="es-MX" w:eastAsia="en-US"/>
        </w:rPr>
        <w:t>incentivo previsto en la norma</w:t>
      </w:r>
      <w:r w:rsidRPr="00FC292C">
        <w:rPr>
          <w:rFonts w:ascii="Arial" w:eastAsia="Arial" w:hAnsi="Arial" w:cs="Arial"/>
          <w:color w:val="000000"/>
          <w:sz w:val="22"/>
          <w:szCs w:val="22"/>
          <w:lang w:val="es-MX" w:eastAsia="en-US"/>
        </w:rPr>
        <w:t xml:space="preserve"> únicamente aplica en el lugar de ejecución del contrat</w:t>
      </w:r>
      <w:r w:rsidR="007C5A67" w:rsidRPr="00FC292C">
        <w:rPr>
          <w:rFonts w:ascii="Arial" w:eastAsia="Arial" w:hAnsi="Arial" w:cs="Arial"/>
          <w:color w:val="000000"/>
          <w:sz w:val="22"/>
          <w:szCs w:val="22"/>
          <w:lang w:val="es-MX" w:eastAsia="en-US"/>
        </w:rPr>
        <w:t>a</w:t>
      </w:r>
      <w:r w:rsidRPr="00FC292C">
        <w:rPr>
          <w:rFonts w:ascii="Arial" w:eastAsia="Arial" w:hAnsi="Arial" w:cs="Arial"/>
          <w:color w:val="000000"/>
          <w:sz w:val="22"/>
          <w:szCs w:val="22"/>
          <w:lang w:val="es-MX" w:eastAsia="en-US"/>
        </w:rPr>
        <w:t>do en el que la Mipyme tiene su «domicilio», y no en donde tiene sucursales</w:t>
      </w:r>
      <w:r w:rsidR="00552DF9" w:rsidRPr="00FC292C">
        <w:rPr>
          <w:rFonts w:ascii="Arial" w:eastAsia="Arial" w:hAnsi="Arial" w:cs="Arial"/>
          <w:color w:val="000000"/>
          <w:sz w:val="22"/>
          <w:szCs w:val="22"/>
          <w:lang w:val="es-MX" w:eastAsia="en-US"/>
        </w:rPr>
        <w:t>, agencias o establecimientos de comercio</w:t>
      </w:r>
      <w:r w:rsidRPr="00FC292C">
        <w:rPr>
          <w:rFonts w:ascii="Arial" w:eastAsia="Arial" w:hAnsi="Arial" w:cs="Arial"/>
          <w:color w:val="000000"/>
          <w:sz w:val="22"/>
          <w:szCs w:val="22"/>
          <w:lang w:val="es-MX" w:eastAsia="en-US"/>
        </w:rPr>
        <w:t xml:space="preserve">. </w:t>
      </w:r>
    </w:p>
    <w:p w14:paraId="3042C940" w14:textId="77777777" w:rsidR="00E31482" w:rsidRPr="00FC292C" w:rsidRDefault="00552DF9" w:rsidP="00E31482">
      <w:pPr>
        <w:spacing w:line="276" w:lineRule="auto"/>
        <w:ind w:firstLine="709"/>
        <w:jc w:val="both"/>
        <w:rPr>
          <w:rFonts w:ascii="Arial" w:hAnsi="Arial" w:cs="Arial"/>
          <w:color w:val="000000" w:themeColor="text1"/>
          <w:sz w:val="22"/>
        </w:rPr>
      </w:pPr>
      <w:r w:rsidRPr="00FC292C">
        <w:rPr>
          <w:rFonts w:ascii="Arial" w:eastAsia="Arial" w:hAnsi="Arial" w:cs="Arial"/>
          <w:color w:val="000000"/>
          <w:sz w:val="22"/>
          <w:szCs w:val="22"/>
          <w:lang w:val="es-MX" w:eastAsia="en-US"/>
        </w:rPr>
        <w:lastRenderedPageBreak/>
        <w:t xml:space="preserve">Para explicar las implicaciones del artículo, en primera instancia, debe analizarse el alcance del término </w:t>
      </w:r>
      <w:r w:rsidRPr="00FC292C">
        <w:rPr>
          <w:rFonts w:ascii="Arial" w:hAnsi="Arial" w:cs="Arial"/>
          <w:color w:val="000000" w:themeColor="text1"/>
          <w:sz w:val="22"/>
        </w:rPr>
        <w:t xml:space="preserve">«domicilio» que, para el caso de las sociedades, se constituye en uno de los atributos de su personalidad, que de acuerdo con el ordenamiento jurídico colombiano, son aquellas propiedades o características de identidad propias </w:t>
      </w:r>
      <w:r w:rsidR="00E31482" w:rsidRPr="00FC292C">
        <w:rPr>
          <w:rFonts w:ascii="Arial" w:hAnsi="Arial" w:cs="Arial"/>
          <w:color w:val="000000" w:themeColor="text1"/>
          <w:sz w:val="22"/>
        </w:rPr>
        <w:t>de las personas, sean naturales o jurídicas, como titulares de derecho. En esta línea, este término es definido por el Código Civil en el artículo 76</w:t>
      </w:r>
      <w:r w:rsidR="00E31482" w:rsidRPr="00FC292C">
        <w:rPr>
          <w:rStyle w:val="Refdenotaalpie"/>
          <w:rFonts w:ascii="Arial" w:hAnsi="Arial" w:cs="Arial"/>
          <w:color w:val="000000" w:themeColor="text1"/>
          <w:sz w:val="22"/>
        </w:rPr>
        <w:footnoteReference w:id="12"/>
      </w:r>
      <w:r w:rsidR="00E31482" w:rsidRPr="00FC292C">
        <w:rPr>
          <w:rFonts w:ascii="Arial" w:hAnsi="Arial" w:cs="Arial"/>
          <w:color w:val="000000" w:themeColor="text1"/>
          <w:sz w:val="22"/>
        </w:rPr>
        <w:t xml:space="preserve">, </w:t>
      </w:r>
      <w:r w:rsidR="00E31482" w:rsidRPr="00FC292C">
        <w:rPr>
          <w:rFonts w:ascii="Arial" w:hAnsi="Arial" w:cs="Arial"/>
          <w:color w:val="000000" w:themeColor="text1"/>
          <w:sz w:val="22"/>
          <w:szCs w:val="22"/>
        </w:rPr>
        <w:t xml:space="preserve">el cual lo concibe como la residencia acompañada real o presuntivamente del ánimo de permanecer en ella, lo cual, para el caso de las sociedades se interpreta como el sitio donde éstas tienen el asiento principal de sus negocios. </w:t>
      </w:r>
    </w:p>
    <w:p w14:paraId="6BB803ED" w14:textId="010E8583" w:rsidR="00EB46F6" w:rsidRPr="00FC292C" w:rsidRDefault="00E31482" w:rsidP="00E31482">
      <w:pPr>
        <w:spacing w:before="120" w:after="120" w:line="276" w:lineRule="auto"/>
        <w:ind w:firstLine="709"/>
        <w:jc w:val="both"/>
        <w:rPr>
          <w:rFonts w:ascii="Arial" w:eastAsia="Arial" w:hAnsi="Arial" w:cs="Arial"/>
          <w:color w:val="000000"/>
          <w:sz w:val="22"/>
          <w:szCs w:val="22"/>
          <w:lang w:val="es-MX" w:eastAsia="en-US"/>
        </w:rPr>
      </w:pPr>
      <w:r w:rsidRPr="00FC292C">
        <w:rPr>
          <w:rFonts w:ascii="Arial" w:eastAsia="Arial" w:hAnsi="Arial" w:cs="Arial"/>
          <w:color w:val="000000"/>
          <w:sz w:val="22"/>
          <w:szCs w:val="22"/>
          <w:lang w:val="es-MX" w:eastAsia="en-US"/>
        </w:rPr>
        <w:t>Por otro lado, e</w:t>
      </w:r>
      <w:r w:rsidR="00141690" w:rsidRPr="00FC292C">
        <w:rPr>
          <w:rFonts w:ascii="Arial" w:eastAsia="Arial" w:hAnsi="Arial" w:cs="Arial"/>
          <w:color w:val="000000"/>
          <w:sz w:val="22"/>
          <w:szCs w:val="22"/>
          <w:lang w:val="es-MX" w:eastAsia="en-US"/>
        </w:rPr>
        <w:t xml:space="preserv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w:t>
      </w:r>
      <w:r w:rsidR="00EB46F6" w:rsidRPr="00FC292C">
        <w:rPr>
          <w:rFonts w:ascii="Arial" w:eastAsia="Arial" w:hAnsi="Arial" w:cs="Arial"/>
          <w:color w:val="000000"/>
          <w:sz w:val="22"/>
          <w:szCs w:val="22"/>
          <w:lang w:val="es-MX" w:eastAsia="en-US"/>
        </w:rPr>
        <w:t xml:space="preserve">A renglón seguido, el artículo 264 señala que son agencias de una sociedad «sus establecimientos de comercio cuyos administradores carezcan de poder para representarla». </w:t>
      </w:r>
    </w:p>
    <w:p w14:paraId="4CA663D3" w14:textId="08C1BA56" w:rsidR="00141690" w:rsidRPr="00FC292C" w:rsidRDefault="00141690" w:rsidP="00FC292C">
      <w:pPr>
        <w:spacing w:before="120" w:after="120" w:line="276" w:lineRule="auto"/>
        <w:ind w:firstLine="709"/>
        <w:jc w:val="both"/>
        <w:rPr>
          <w:rFonts w:ascii="Arial" w:eastAsia="Arial" w:hAnsi="Arial" w:cs="Arial"/>
          <w:color w:val="000000"/>
          <w:sz w:val="22"/>
          <w:szCs w:val="22"/>
          <w:lang w:val="es-MX" w:eastAsia="en-US"/>
        </w:rPr>
      </w:pPr>
      <w:r w:rsidRPr="00FC292C">
        <w:rPr>
          <w:rFonts w:ascii="Arial" w:eastAsia="Arial" w:hAnsi="Arial" w:cs="Arial"/>
          <w:color w:val="000000"/>
          <w:sz w:val="22"/>
          <w:szCs w:val="22"/>
          <w:lang w:val="es-MX" w:eastAsia="en-US"/>
        </w:rPr>
        <w:t>Nótese que la norma se refiere a los conceptos de «sucursal»</w:t>
      </w:r>
      <w:r w:rsidR="00EB46F6" w:rsidRPr="00FC292C">
        <w:rPr>
          <w:rFonts w:ascii="Arial" w:eastAsia="Arial" w:hAnsi="Arial" w:cs="Arial"/>
          <w:color w:val="000000"/>
          <w:sz w:val="22"/>
          <w:szCs w:val="22"/>
          <w:lang w:val="es-MX" w:eastAsia="en-US"/>
        </w:rPr>
        <w:t xml:space="preserve">, «agencia» </w:t>
      </w:r>
      <w:r w:rsidRPr="00FC292C">
        <w:rPr>
          <w:rFonts w:ascii="Arial" w:eastAsia="Arial" w:hAnsi="Arial" w:cs="Arial"/>
          <w:color w:val="000000"/>
          <w:sz w:val="22"/>
          <w:szCs w:val="22"/>
          <w:lang w:val="es-MX" w:eastAsia="en-US"/>
        </w:rPr>
        <w:t>y «domicilio» de forma diferente, de lo que se deriva que las sociedades comerciales tienen un domicilio y puede</w:t>
      </w:r>
      <w:r w:rsidR="007E6D82" w:rsidRPr="00FC292C">
        <w:rPr>
          <w:rFonts w:ascii="Arial" w:eastAsia="Arial" w:hAnsi="Arial" w:cs="Arial"/>
          <w:color w:val="000000"/>
          <w:sz w:val="22"/>
          <w:szCs w:val="22"/>
          <w:lang w:val="es-MX" w:eastAsia="en-US"/>
        </w:rPr>
        <w:t>n</w:t>
      </w:r>
      <w:r w:rsidRPr="00FC292C">
        <w:rPr>
          <w:rFonts w:ascii="Arial" w:eastAsia="Arial" w:hAnsi="Arial" w:cs="Arial"/>
          <w:color w:val="000000"/>
          <w:sz w:val="22"/>
          <w:szCs w:val="22"/>
          <w:lang w:val="es-MX" w:eastAsia="en-US"/>
        </w:rPr>
        <w:t xml:space="preserve"> tener una o varias sucursales</w:t>
      </w:r>
      <w:r w:rsidR="00A746CF" w:rsidRPr="00FC292C">
        <w:rPr>
          <w:rFonts w:ascii="Arial" w:eastAsia="Arial" w:hAnsi="Arial" w:cs="Arial"/>
          <w:color w:val="000000"/>
          <w:sz w:val="22"/>
          <w:szCs w:val="22"/>
          <w:lang w:val="es-MX" w:eastAsia="en-US"/>
        </w:rPr>
        <w:t xml:space="preserve"> que son establecimientos de comercio, esto es, bienes mercantiles pertenecientes a la sociedad</w:t>
      </w:r>
      <w:r w:rsidRPr="00FC292C">
        <w:rPr>
          <w:rFonts w:ascii="Arial" w:eastAsia="Arial" w:hAnsi="Arial" w:cs="Arial"/>
          <w:color w:val="000000"/>
          <w:sz w:val="22"/>
          <w:szCs w:val="22"/>
          <w:lang w:val="es-MX" w:eastAsia="en-US"/>
        </w:rPr>
        <w:t xml:space="preserve">. En ese mismo sentido, los artículos 110 y 111 </w:t>
      </w:r>
      <w:r w:rsidRPr="00FC292C">
        <w:rPr>
          <w:rFonts w:ascii="Arial" w:eastAsia="Arial" w:hAnsi="Arial" w:cs="Arial"/>
          <w:i/>
          <w:color w:val="000000"/>
          <w:sz w:val="22"/>
          <w:szCs w:val="22"/>
          <w:lang w:val="es-MX" w:eastAsia="en-US"/>
        </w:rPr>
        <w:t>ibídem</w:t>
      </w:r>
      <w:r w:rsidRPr="00FC292C">
        <w:rPr>
          <w:rFonts w:ascii="Arial" w:eastAsia="Arial" w:hAnsi="Arial" w:cs="Arial"/>
          <w:color w:val="000000"/>
          <w:sz w:val="22"/>
          <w:szCs w:val="22"/>
          <w:lang w:val="es-MX" w:eastAsia="en-US"/>
        </w:rPr>
        <w:t xml:space="preserve"> se refieren a </w:t>
      </w:r>
      <w:r w:rsidR="00EB46F6" w:rsidRPr="00FC292C">
        <w:rPr>
          <w:rFonts w:ascii="Arial" w:eastAsia="Arial" w:hAnsi="Arial" w:cs="Arial"/>
          <w:color w:val="000000"/>
          <w:sz w:val="22"/>
          <w:szCs w:val="22"/>
          <w:lang w:val="es-MX" w:eastAsia="en-US"/>
        </w:rPr>
        <w:t xml:space="preserve">los conceptos de «sucursal» y «domicilio» </w:t>
      </w:r>
      <w:r w:rsidRPr="00FC292C">
        <w:rPr>
          <w:rFonts w:ascii="Arial" w:eastAsia="Arial" w:hAnsi="Arial" w:cs="Arial"/>
          <w:color w:val="000000"/>
          <w:sz w:val="22"/>
          <w:szCs w:val="22"/>
          <w:lang w:val="es-MX" w:eastAsia="en-US"/>
        </w:rPr>
        <w:t xml:space="preserve">de forma independiente. El uno para referirse a los requisitos de constitución de una sociedad comercial y el otro para determinar el lugar donde se debe inscribir la escritura pública de constitución de la sociedad comercial. En ese sentido, si el legislador distinguió entre uno y otro y si el reglamento se refiere al «domicilio», se entiende que no es procedente extender el beneficio contenido en el artículo 2.2.1.2.4.2.3. </w:t>
      </w:r>
      <w:r w:rsidRPr="00FC292C">
        <w:rPr>
          <w:rFonts w:ascii="Arial" w:eastAsia="Arial" w:hAnsi="Arial" w:cs="Arial"/>
          <w:i/>
          <w:color w:val="000000"/>
          <w:sz w:val="22"/>
          <w:szCs w:val="22"/>
          <w:lang w:val="es-MX" w:eastAsia="en-US"/>
        </w:rPr>
        <w:t xml:space="preserve">ibídem </w:t>
      </w:r>
      <w:r w:rsidRPr="00FC292C">
        <w:rPr>
          <w:rFonts w:ascii="Arial" w:eastAsia="Arial" w:hAnsi="Arial" w:cs="Arial"/>
          <w:color w:val="000000"/>
          <w:sz w:val="22"/>
          <w:szCs w:val="22"/>
          <w:lang w:val="es-MX" w:eastAsia="en-US"/>
        </w:rPr>
        <w:t xml:space="preserve">a las entidades que tienen «sucursales» </w:t>
      </w:r>
      <w:r w:rsidR="00EB46F6" w:rsidRPr="00FC292C">
        <w:rPr>
          <w:rFonts w:ascii="Arial" w:eastAsia="Arial" w:hAnsi="Arial" w:cs="Arial"/>
          <w:color w:val="000000"/>
          <w:sz w:val="22"/>
          <w:szCs w:val="22"/>
          <w:lang w:val="es-MX" w:eastAsia="en-US"/>
        </w:rPr>
        <w:t xml:space="preserve">y «agencias» </w:t>
      </w:r>
      <w:r w:rsidRPr="00FC292C">
        <w:rPr>
          <w:rFonts w:ascii="Arial" w:eastAsia="Arial" w:hAnsi="Arial" w:cs="Arial"/>
          <w:color w:val="000000"/>
          <w:sz w:val="22"/>
          <w:szCs w:val="22"/>
          <w:lang w:val="es-MX" w:eastAsia="en-US"/>
        </w:rPr>
        <w:t>en el municipio o departamento en donde se va a ejecutar el contrato estatal.</w:t>
      </w:r>
    </w:p>
    <w:p w14:paraId="224693FD" w14:textId="6F875213" w:rsidR="00E31482" w:rsidRPr="00FC292C" w:rsidRDefault="00E31482" w:rsidP="00E31482">
      <w:pPr>
        <w:spacing w:after="120" w:line="276" w:lineRule="auto"/>
        <w:ind w:firstLine="709"/>
        <w:jc w:val="both"/>
        <w:rPr>
          <w:rFonts w:ascii="Arial" w:eastAsia="Arial" w:hAnsi="Arial" w:cs="Arial"/>
          <w:color w:val="000000" w:themeColor="text1"/>
          <w:sz w:val="22"/>
          <w:szCs w:val="22"/>
          <w:lang w:val="es-ES_tradnl"/>
        </w:rPr>
      </w:pPr>
      <w:r w:rsidRPr="00FC292C">
        <w:rPr>
          <w:rFonts w:ascii="Arial" w:hAnsi="Arial" w:cs="Arial"/>
          <w:color w:val="000000" w:themeColor="text1"/>
          <w:sz w:val="22"/>
          <w:szCs w:val="22"/>
        </w:rPr>
        <w:t xml:space="preserve">De conformidad con lo anterior, se evidencia que la limitación territorial regulada en </w:t>
      </w:r>
      <w:r w:rsidRPr="00FC292C">
        <w:rPr>
          <w:rFonts w:ascii="Arial" w:eastAsia="Arial" w:hAnsi="Arial" w:cs="Arial"/>
          <w:color w:val="000000" w:themeColor="text1"/>
          <w:sz w:val="22"/>
          <w:szCs w:val="22"/>
          <w:lang w:val="es-ES_tradnl"/>
        </w:rPr>
        <w:t>el artículo 2.2.1.2.4.2.3 del Decreto 1082 de 2015 será aplicada para aquellas Mipymes que tengan su domicilio principal en el municipio o departamento respectivo. Por tanto, este artículo no aplicaría frente a la ubicación de las sucursales</w:t>
      </w:r>
      <w:r w:rsidR="00EB46F6" w:rsidRPr="00FC292C">
        <w:rPr>
          <w:rFonts w:ascii="Arial" w:eastAsia="Arial" w:hAnsi="Arial" w:cs="Arial"/>
          <w:color w:val="000000" w:themeColor="text1"/>
          <w:sz w:val="22"/>
          <w:szCs w:val="22"/>
          <w:lang w:val="es-ES_tradnl"/>
        </w:rPr>
        <w:t xml:space="preserve"> y agencias</w:t>
      </w:r>
      <w:r w:rsidRPr="00FC292C">
        <w:rPr>
          <w:rFonts w:ascii="Arial" w:eastAsia="Arial" w:hAnsi="Arial" w:cs="Arial"/>
          <w:color w:val="000000" w:themeColor="text1"/>
          <w:sz w:val="22"/>
          <w:szCs w:val="22"/>
          <w:lang w:val="es-ES_tradnl"/>
        </w:rPr>
        <w:t xml:space="preserve"> de las Mipymes. De este modo, la participación de los diferentes procesos de contratación cuando está limitada territorialmente está condicionada al domicilio principal de la Mipyme respectiva. </w:t>
      </w:r>
    </w:p>
    <w:p w14:paraId="489765A0" w14:textId="0D2BD4C1" w:rsidR="0009006B" w:rsidRPr="00FC292C" w:rsidRDefault="0009006B" w:rsidP="0009006B">
      <w:pPr>
        <w:spacing w:before="120" w:line="276" w:lineRule="auto"/>
        <w:ind w:firstLine="709"/>
        <w:jc w:val="both"/>
        <w:rPr>
          <w:rFonts w:ascii="Arial" w:eastAsia="Arial" w:hAnsi="Arial" w:cs="Arial"/>
          <w:color w:val="000000"/>
          <w:sz w:val="22"/>
          <w:szCs w:val="22"/>
          <w:lang w:val="es-MX" w:eastAsia="en-US"/>
        </w:rPr>
      </w:pPr>
      <w:r w:rsidRPr="00FC292C">
        <w:rPr>
          <w:rFonts w:ascii="Arial" w:eastAsia="Arial" w:hAnsi="Arial" w:cs="Arial"/>
          <w:color w:val="000000"/>
          <w:sz w:val="22"/>
          <w:szCs w:val="22"/>
          <w:lang w:val="es-MX" w:eastAsia="en-US"/>
        </w:rPr>
        <w:t>Sin perjuicio de lo anterior, no puede perderse de vista que la decisión de limitar «</w:t>
      </w:r>
      <w:r w:rsidR="00582C8C" w:rsidRPr="00FC292C">
        <w:rPr>
          <w:rFonts w:ascii="Arial" w:eastAsia="Arial" w:hAnsi="Arial" w:cs="Arial"/>
          <w:color w:val="000000"/>
          <w:sz w:val="22"/>
          <w:szCs w:val="22"/>
          <w:lang w:val="es-MX" w:eastAsia="en-US"/>
        </w:rPr>
        <w:t xml:space="preserve">a Mipyme colombianas que tengan domicilio en los departamentos o municipios en donde se </w:t>
      </w:r>
      <w:r w:rsidR="00582C8C" w:rsidRPr="00FC292C">
        <w:rPr>
          <w:rFonts w:ascii="Arial" w:eastAsia="Arial" w:hAnsi="Arial" w:cs="Arial"/>
          <w:color w:val="000000"/>
          <w:sz w:val="22"/>
          <w:szCs w:val="22"/>
          <w:lang w:val="es-MX" w:eastAsia="en-US"/>
        </w:rPr>
        <w:lastRenderedPageBreak/>
        <w:t>va a ejecutar el contrato</w:t>
      </w:r>
      <w:r w:rsidRPr="00FC292C">
        <w:rPr>
          <w:rFonts w:ascii="Arial" w:eastAsia="Arial" w:hAnsi="Arial" w:cs="Arial"/>
          <w:color w:val="000000"/>
          <w:sz w:val="22"/>
          <w:szCs w:val="22"/>
          <w:lang w:val="es-MX" w:eastAsia="en-US"/>
        </w:rPr>
        <w:t>», aunque es facultativa de la entidad, está supeditada a que se verifiquen los requisitos establecidos en los numerales 1 y 2 del artículo 2.2.1.2.4.2.2. del Decreto 1082 de 2015, modificado por el Decreto 186</w:t>
      </w:r>
      <w:r w:rsidR="001D09DB" w:rsidRPr="00FC292C">
        <w:rPr>
          <w:rFonts w:ascii="Arial" w:eastAsia="Arial" w:hAnsi="Arial" w:cs="Arial"/>
          <w:color w:val="000000"/>
          <w:sz w:val="22"/>
          <w:szCs w:val="22"/>
          <w:lang w:val="es-MX" w:eastAsia="en-US"/>
        </w:rPr>
        <w:t>0</w:t>
      </w:r>
      <w:r w:rsidRPr="00FC292C">
        <w:rPr>
          <w:rFonts w:ascii="Arial" w:eastAsia="Arial" w:hAnsi="Arial" w:cs="Arial"/>
          <w:color w:val="000000"/>
          <w:sz w:val="22"/>
          <w:szCs w:val="22"/>
          <w:lang w:val="es-MX" w:eastAsia="en-US"/>
        </w:rPr>
        <w:t xml:space="preserve"> de 2021</w:t>
      </w:r>
      <w:r w:rsidRPr="00FC292C">
        <w:rPr>
          <w:rStyle w:val="Refdenotaalpie"/>
          <w:rFonts w:ascii="Arial" w:eastAsia="Arial" w:hAnsi="Arial" w:cs="Arial"/>
          <w:color w:val="000000"/>
          <w:sz w:val="22"/>
          <w:szCs w:val="22"/>
          <w:lang w:val="es-MX" w:eastAsia="en-US"/>
        </w:rPr>
        <w:footnoteReference w:id="13"/>
      </w:r>
      <w:r w:rsidRPr="00FC292C">
        <w:rPr>
          <w:rFonts w:ascii="Arial" w:eastAsia="Arial" w:hAnsi="Arial" w:cs="Arial"/>
          <w:color w:val="000000"/>
          <w:sz w:val="22"/>
          <w:szCs w:val="22"/>
          <w:lang w:val="es-MX" w:eastAsia="en-US"/>
        </w:rPr>
        <w:t xml:space="preserve">. En ese sentido, si la entidad no recibió las solicitudes para limitar la convocatoria a Mipymes, no puede </w:t>
      </w:r>
      <w:r w:rsidRPr="00FC292C">
        <w:rPr>
          <w:rFonts w:ascii="Arial" w:eastAsia="Arial" w:hAnsi="Arial" w:cs="Arial"/>
          <w:i/>
          <w:color w:val="000000"/>
          <w:sz w:val="22"/>
          <w:szCs w:val="22"/>
          <w:lang w:val="es-MX" w:eastAsia="en-US"/>
        </w:rPr>
        <w:t xml:space="preserve">motu propio </w:t>
      </w:r>
      <w:r w:rsidR="00A026CC" w:rsidRPr="00FC292C">
        <w:rPr>
          <w:rFonts w:ascii="Arial" w:eastAsia="Arial" w:hAnsi="Arial" w:cs="Arial"/>
          <w:color w:val="000000"/>
          <w:sz w:val="22"/>
          <w:szCs w:val="22"/>
          <w:lang w:val="es-MX" w:eastAsia="en-US"/>
        </w:rPr>
        <w:t>proceder con</w:t>
      </w:r>
      <w:r w:rsidRPr="00FC292C">
        <w:rPr>
          <w:rFonts w:ascii="Arial" w:eastAsia="Arial" w:hAnsi="Arial" w:cs="Arial"/>
          <w:color w:val="000000"/>
          <w:sz w:val="22"/>
          <w:szCs w:val="22"/>
          <w:lang w:val="es-MX" w:eastAsia="en-US"/>
        </w:rPr>
        <w:t xml:space="preserve"> la «limitación territorial» de que trata el artículo 2.2.1.2.4.2.3. del Decreto 1082 de 2015</w:t>
      </w:r>
      <w:r w:rsidR="00A026CC" w:rsidRPr="00FC292C">
        <w:rPr>
          <w:rFonts w:ascii="Arial" w:eastAsia="Arial" w:hAnsi="Arial" w:cs="Arial"/>
          <w:color w:val="000000"/>
          <w:sz w:val="22"/>
          <w:szCs w:val="22"/>
          <w:lang w:val="es-MX" w:eastAsia="en-US"/>
        </w:rPr>
        <w:t xml:space="preserve">. Esto </w:t>
      </w:r>
      <w:r w:rsidR="00F54CBC" w:rsidRPr="00FC292C">
        <w:rPr>
          <w:rFonts w:ascii="Arial" w:eastAsia="Arial" w:hAnsi="Arial" w:cs="Arial"/>
          <w:color w:val="000000"/>
          <w:sz w:val="22"/>
          <w:szCs w:val="22"/>
          <w:lang w:val="es-MX" w:eastAsia="en-US"/>
        </w:rPr>
        <w:t xml:space="preserve">debido a </w:t>
      </w:r>
      <w:r w:rsidRPr="00FC292C">
        <w:rPr>
          <w:rFonts w:ascii="Arial" w:eastAsia="Arial" w:hAnsi="Arial" w:cs="Arial"/>
          <w:color w:val="000000"/>
          <w:sz w:val="22"/>
          <w:szCs w:val="22"/>
          <w:lang w:val="es-MX" w:eastAsia="en-US"/>
        </w:rPr>
        <w:t>que el ejercicio de esta facultad solo puede darse ante la «limitación a Mipymes colombianas», lo cual supone verificar los supuestos legales establecidos en los mencionados numerales.</w:t>
      </w:r>
    </w:p>
    <w:p w14:paraId="17B68656" w14:textId="1C5E9718" w:rsidR="004B0EED" w:rsidRPr="00FC292C" w:rsidRDefault="001D09DB" w:rsidP="004A3E4A">
      <w:pPr>
        <w:spacing w:before="120" w:line="276" w:lineRule="auto"/>
        <w:ind w:firstLine="709"/>
        <w:jc w:val="both"/>
        <w:rPr>
          <w:rFonts w:ascii="Arial" w:eastAsia="Arial" w:hAnsi="Arial" w:cs="Arial"/>
          <w:color w:val="000000"/>
          <w:sz w:val="22"/>
          <w:szCs w:val="22"/>
          <w:lang w:val="es-MX" w:eastAsia="en-US"/>
        </w:rPr>
      </w:pPr>
      <w:r w:rsidRPr="00FC292C">
        <w:rPr>
          <w:rFonts w:ascii="Arial" w:eastAsia="Arial" w:hAnsi="Arial" w:cs="Arial"/>
          <w:color w:val="000000"/>
          <w:sz w:val="22"/>
          <w:szCs w:val="22"/>
          <w:lang w:val="es-MX" w:eastAsia="en-US"/>
        </w:rPr>
        <w:t>Finalmente, resta precisar que el domicilio de la mipymes que quiera participar en una convocatoria limitada territorialmente se acredita con los documentos definidos en el artículo 2.2.1.2.4.2.4. del Decreto 1082 de 2015, modificado por el Decreto 1860 de 2021</w:t>
      </w:r>
      <w:r w:rsidR="00A026CC" w:rsidRPr="00FC292C">
        <w:rPr>
          <w:rFonts w:ascii="Arial" w:eastAsia="Arial" w:hAnsi="Arial" w:cs="Arial"/>
          <w:color w:val="000000"/>
          <w:sz w:val="22"/>
          <w:szCs w:val="22"/>
          <w:lang w:val="es-MX" w:eastAsia="en-US"/>
        </w:rPr>
        <w:t>. E</w:t>
      </w:r>
      <w:r w:rsidRPr="00FC292C">
        <w:rPr>
          <w:rFonts w:ascii="Arial" w:eastAsia="Arial" w:hAnsi="Arial" w:cs="Arial"/>
          <w:color w:val="000000"/>
          <w:sz w:val="22"/>
          <w:szCs w:val="22"/>
          <w:lang w:val="es-MX" w:eastAsia="en-US"/>
        </w:rPr>
        <w:t>n consecuencia</w:t>
      </w:r>
      <w:r w:rsidR="00B025FE" w:rsidRPr="00FC292C">
        <w:rPr>
          <w:rFonts w:ascii="Arial" w:eastAsia="Arial" w:hAnsi="Arial" w:cs="Arial"/>
          <w:color w:val="000000"/>
          <w:sz w:val="22"/>
          <w:szCs w:val="22"/>
          <w:lang w:val="es-MX" w:eastAsia="en-US"/>
        </w:rPr>
        <w:t xml:space="preserve">, el requisito podrá acreditarse con una certificación acompañada, ya sea, de una copia del registro mercantil </w:t>
      </w:r>
      <w:r w:rsidR="001F7144" w:rsidRPr="00FC292C">
        <w:rPr>
          <w:rFonts w:ascii="Arial" w:eastAsia="Arial" w:hAnsi="Arial" w:cs="Arial"/>
          <w:color w:val="000000"/>
          <w:sz w:val="22"/>
          <w:szCs w:val="22"/>
          <w:lang w:val="es-MX" w:eastAsia="en-US"/>
        </w:rPr>
        <w:t>–</w:t>
      </w:r>
      <w:r w:rsidR="00B025FE" w:rsidRPr="00FC292C">
        <w:rPr>
          <w:rFonts w:ascii="Arial" w:eastAsia="Arial" w:hAnsi="Arial" w:cs="Arial"/>
          <w:color w:val="000000"/>
          <w:sz w:val="22"/>
          <w:szCs w:val="22"/>
          <w:lang w:val="es-MX" w:eastAsia="en-US"/>
        </w:rPr>
        <w:t>persona natural</w:t>
      </w:r>
      <w:r w:rsidR="001F7144" w:rsidRPr="00FC292C">
        <w:rPr>
          <w:rFonts w:ascii="Arial" w:eastAsia="Arial" w:hAnsi="Arial" w:cs="Arial"/>
          <w:color w:val="000000"/>
          <w:sz w:val="22"/>
          <w:szCs w:val="22"/>
          <w:lang w:val="es-MX" w:eastAsia="en-US"/>
        </w:rPr>
        <w:t>–</w:t>
      </w:r>
      <w:r w:rsidR="00B025FE" w:rsidRPr="00FC292C">
        <w:rPr>
          <w:rFonts w:ascii="Arial" w:eastAsia="Arial" w:hAnsi="Arial" w:cs="Arial"/>
          <w:color w:val="000000"/>
          <w:sz w:val="22"/>
          <w:szCs w:val="22"/>
          <w:lang w:val="es-MX" w:eastAsia="en-US"/>
        </w:rPr>
        <w:t xml:space="preserve">, del certificado de existencia y representación legal </w:t>
      </w:r>
      <w:r w:rsidR="001F7144" w:rsidRPr="00FC292C">
        <w:rPr>
          <w:rFonts w:ascii="Arial" w:eastAsia="Arial" w:hAnsi="Arial" w:cs="Arial"/>
          <w:color w:val="000000"/>
          <w:sz w:val="22"/>
          <w:szCs w:val="22"/>
          <w:lang w:val="es-MX" w:eastAsia="en-US"/>
        </w:rPr>
        <w:t>–</w:t>
      </w:r>
      <w:r w:rsidR="00B025FE" w:rsidRPr="00FC292C">
        <w:rPr>
          <w:rFonts w:ascii="Arial" w:eastAsia="Arial" w:hAnsi="Arial" w:cs="Arial"/>
          <w:color w:val="000000"/>
          <w:sz w:val="22"/>
          <w:szCs w:val="22"/>
          <w:lang w:val="es-MX" w:eastAsia="en-US"/>
        </w:rPr>
        <w:t>persona jurídica</w:t>
      </w:r>
      <w:r w:rsidR="001F7144" w:rsidRPr="00FC292C">
        <w:rPr>
          <w:rFonts w:ascii="Arial" w:eastAsia="Arial" w:hAnsi="Arial" w:cs="Arial"/>
          <w:color w:val="000000"/>
          <w:sz w:val="22"/>
          <w:szCs w:val="22"/>
          <w:lang w:val="es-MX" w:eastAsia="en-US"/>
        </w:rPr>
        <w:t>–</w:t>
      </w:r>
      <w:r w:rsidR="00B025FE" w:rsidRPr="00FC292C">
        <w:rPr>
          <w:rFonts w:ascii="Arial" w:eastAsia="Arial" w:hAnsi="Arial" w:cs="Arial"/>
          <w:color w:val="000000"/>
          <w:sz w:val="22"/>
          <w:szCs w:val="22"/>
          <w:lang w:val="es-MX" w:eastAsia="en-US"/>
        </w:rPr>
        <w:t xml:space="preserve"> o del Registro Único de Proponentes – RUP, </w:t>
      </w:r>
      <w:r w:rsidR="004A3E4A" w:rsidRPr="00FC292C">
        <w:rPr>
          <w:rFonts w:ascii="Arial" w:eastAsia="Arial" w:hAnsi="Arial" w:cs="Arial"/>
          <w:color w:val="000000"/>
          <w:sz w:val="22"/>
          <w:szCs w:val="22"/>
          <w:lang w:val="es-MX" w:eastAsia="en-US"/>
        </w:rPr>
        <w:t>en donde conste el domicilio de la mipyme interesada en la limitación territorial de la convocatoria pública para celebrar el contrato, que corresponda con el lugar de ejecución del mismo, ya sea departamento o municipio.</w:t>
      </w:r>
      <w:r w:rsidR="00B025FE" w:rsidRPr="00FC292C">
        <w:rPr>
          <w:rFonts w:ascii="Arial" w:eastAsia="Arial" w:hAnsi="Arial" w:cs="Arial"/>
          <w:color w:val="000000"/>
          <w:sz w:val="22"/>
          <w:szCs w:val="22"/>
          <w:lang w:val="es-MX" w:eastAsia="en-US"/>
        </w:rPr>
        <w:t xml:space="preserve"> </w:t>
      </w:r>
      <w:r w:rsidRPr="00FC292C">
        <w:rPr>
          <w:rFonts w:ascii="Arial" w:eastAsia="Arial" w:hAnsi="Arial" w:cs="Arial"/>
          <w:color w:val="000000"/>
          <w:sz w:val="22"/>
          <w:szCs w:val="22"/>
          <w:lang w:val="es-MX" w:eastAsia="en-US"/>
        </w:rPr>
        <w:t xml:space="preserve"> </w:t>
      </w:r>
    </w:p>
    <w:p w14:paraId="7E83BEFA" w14:textId="77777777" w:rsidR="0060009C" w:rsidRPr="00FC292C" w:rsidRDefault="0060009C" w:rsidP="00510DE9">
      <w:pPr>
        <w:tabs>
          <w:tab w:val="left" w:pos="0"/>
        </w:tabs>
        <w:jc w:val="both"/>
        <w:rPr>
          <w:rFonts w:ascii="Arial" w:eastAsia="Calibri" w:hAnsi="Arial" w:cs="Arial"/>
          <w:b/>
          <w:sz w:val="22"/>
          <w:lang w:val="es-ES_tradnl"/>
        </w:rPr>
      </w:pPr>
    </w:p>
    <w:p w14:paraId="37CA9805" w14:textId="59BEDEBE" w:rsidR="00DD5B04" w:rsidRPr="00FC292C" w:rsidRDefault="004177A6" w:rsidP="00510DE9">
      <w:pPr>
        <w:tabs>
          <w:tab w:val="left" w:pos="0"/>
        </w:tabs>
        <w:jc w:val="both"/>
        <w:rPr>
          <w:rFonts w:ascii="Arial" w:eastAsia="Calibri" w:hAnsi="Arial" w:cs="Arial"/>
          <w:b/>
          <w:sz w:val="22"/>
          <w:lang w:val="es-ES_tradnl"/>
        </w:rPr>
      </w:pPr>
      <w:r w:rsidRPr="00FC292C">
        <w:rPr>
          <w:rFonts w:ascii="Arial" w:eastAsia="Calibri" w:hAnsi="Arial" w:cs="Arial"/>
          <w:b/>
          <w:sz w:val="22"/>
          <w:lang w:val="es-ES_tradnl"/>
        </w:rPr>
        <w:t>3</w:t>
      </w:r>
      <w:r w:rsidR="00B011A9" w:rsidRPr="00FC292C">
        <w:rPr>
          <w:rFonts w:ascii="Arial" w:eastAsia="Calibri" w:hAnsi="Arial" w:cs="Arial"/>
          <w:b/>
          <w:sz w:val="22"/>
          <w:lang w:val="es-ES_tradnl"/>
        </w:rPr>
        <w:t xml:space="preserve">. </w:t>
      </w:r>
      <w:r w:rsidR="00DD5B04" w:rsidRPr="00FC292C">
        <w:rPr>
          <w:rFonts w:ascii="Arial" w:eastAsia="Calibri" w:hAnsi="Arial" w:cs="Arial"/>
          <w:b/>
          <w:sz w:val="22"/>
          <w:lang w:val="es-ES_tradnl"/>
        </w:rPr>
        <w:t>Respuesta</w:t>
      </w:r>
    </w:p>
    <w:p w14:paraId="12DCA9F3" w14:textId="77777777" w:rsidR="004B25D8" w:rsidRPr="00FC292C" w:rsidRDefault="004B25D8" w:rsidP="00E31482">
      <w:pPr>
        <w:ind w:right="709"/>
        <w:jc w:val="both"/>
        <w:rPr>
          <w:rFonts w:ascii="Arial" w:hAnsi="Arial" w:cs="Arial"/>
          <w:sz w:val="21"/>
          <w:szCs w:val="21"/>
          <w:lang w:val="es-ES_tradnl"/>
        </w:rPr>
      </w:pPr>
    </w:p>
    <w:p w14:paraId="7A99FCC1" w14:textId="646DB7FA" w:rsidR="0064036E" w:rsidRPr="00FC292C" w:rsidRDefault="00102B05" w:rsidP="00FC292C">
      <w:pPr>
        <w:ind w:left="709" w:right="709"/>
        <w:jc w:val="both"/>
        <w:rPr>
          <w:rFonts w:ascii="Arial" w:eastAsiaTheme="minorHAnsi" w:hAnsi="Arial" w:cs="Arial"/>
          <w:sz w:val="21"/>
          <w:szCs w:val="21"/>
          <w:lang w:eastAsia="en-US"/>
        </w:rPr>
      </w:pPr>
      <w:r w:rsidRPr="00FC292C">
        <w:rPr>
          <w:rFonts w:ascii="Arial" w:eastAsiaTheme="minorHAnsi" w:hAnsi="Arial" w:cs="Arial"/>
          <w:sz w:val="21"/>
          <w:szCs w:val="21"/>
          <w:lang w:eastAsia="en-US"/>
        </w:rPr>
        <w:t>«¿Cuándo en un proceso contractual cualquier entidad limita territorialmente la participación solo a las Mipymes con domicilio se debe admitir o entender que deberá también aceptar aquellos oferentes que siendo Mipymes acrediten contar con agencia y/o sucursal domiciliada en la ciudad o en el departamento?»</w:t>
      </w:r>
    </w:p>
    <w:p w14:paraId="1A7F8DF9" w14:textId="77777777" w:rsidR="00102B05" w:rsidRPr="00FC292C" w:rsidRDefault="00102B05" w:rsidP="00FC292C">
      <w:pPr>
        <w:ind w:left="709" w:right="709"/>
        <w:jc w:val="both"/>
        <w:rPr>
          <w:rFonts w:ascii="Arial" w:eastAsiaTheme="minorHAnsi" w:hAnsi="Arial" w:cs="Arial"/>
          <w:sz w:val="21"/>
          <w:szCs w:val="21"/>
          <w:lang w:eastAsia="en-US"/>
        </w:rPr>
      </w:pPr>
    </w:p>
    <w:p w14:paraId="5230A95F" w14:textId="0B1634F9" w:rsidR="00BD67CD" w:rsidRPr="00FC292C" w:rsidRDefault="00E31482" w:rsidP="00FC292C">
      <w:pPr>
        <w:spacing w:after="120" w:line="276" w:lineRule="auto"/>
        <w:jc w:val="both"/>
        <w:rPr>
          <w:rFonts w:ascii="Arial" w:eastAsia="Calibri" w:hAnsi="Arial" w:cs="Arial"/>
          <w:sz w:val="22"/>
          <w:szCs w:val="22"/>
          <w:lang w:val="es-ES_tradnl"/>
        </w:rPr>
      </w:pPr>
      <w:r w:rsidRPr="00FC292C">
        <w:rPr>
          <w:rFonts w:ascii="Arial" w:eastAsia="Calibri" w:hAnsi="Arial" w:cs="Arial"/>
          <w:sz w:val="22"/>
          <w:szCs w:val="22"/>
          <w:lang w:val="es-ES_tradnl"/>
        </w:rPr>
        <w:lastRenderedPageBreak/>
        <w:t>De conformidad con lo expuesto en las consideraciones de este concepto, n</w:t>
      </w:r>
      <w:r w:rsidR="00BD67CD" w:rsidRPr="00FC292C">
        <w:rPr>
          <w:rFonts w:ascii="Arial" w:eastAsia="Calibri" w:hAnsi="Arial" w:cs="Arial"/>
          <w:sz w:val="22"/>
          <w:szCs w:val="22"/>
          <w:lang w:val="es-ES_tradnl"/>
        </w:rPr>
        <w:t xml:space="preserve">i en vigencia del antiguo artículo 2.2.1.2.4.2.3 del Decreto 1082 de 2015 ni con la modificación realizada por el artículo 5 del Decreto 1860 de 2021 es posible que las </w:t>
      </w:r>
      <w:r w:rsidRPr="00FC292C">
        <w:rPr>
          <w:rFonts w:ascii="Arial" w:eastAsia="Calibri" w:hAnsi="Arial" w:cs="Arial"/>
          <w:sz w:val="22"/>
          <w:szCs w:val="22"/>
          <w:lang w:val="es-ES_tradnl"/>
        </w:rPr>
        <w:t xml:space="preserve">Mipymes </w:t>
      </w:r>
      <w:r w:rsidR="00BD67CD" w:rsidRPr="00FC292C">
        <w:rPr>
          <w:rFonts w:ascii="Arial" w:eastAsia="Calibri" w:hAnsi="Arial" w:cs="Arial"/>
          <w:sz w:val="22"/>
          <w:szCs w:val="22"/>
          <w:lang w:val="es-ES_tradnl"/>
        </w:rPr>
        <w:t>participen en convocatorias públicas limitadas territorialmente a municipios o departamentos donde se va a ejecutar el contrato, acreditando que en el lugar cuentan con una sucursal</w:t>
      </w:r>
      <w:r w:rsidR="00EB46F6" w:rsidRPr="00FC292C">
        <w:rPr>
          <w:rFonts w:ascii="Arial" w:eastAsia="Calibri" w:hAnsi="Arial" w:cs="Arial"/>
          <w:sz w:val="22"/>
          <w:szCs w:val="22"/>
          <w:lang w:val="es-ES_tradnl"/>
        </w:rPr>
        <w:t xml:space="preserve"> o una agencia</w:t>
      </w:r>
      <w:r w:rsidR="00BD67CD" w:rsidRPr="00FC292C">
        <w:rPr>
          <w:rFonts w:ascii="Arial" w:eastAsia="Calibri" w:hAnsi="Arial" w:cs="Arial"/>
          <w:sz w:val="22"/>
          <w:szCs w:val="22"/>
          <w:lang w:val="es-ES_tradnl"/>
        </w:rPr>
        <w:t xml:space="preserve">. Lo anterior porque según el parágrafo 1 del artículo 34 de la Ley 2069 de 2020 y el artículo 2.2.1.2.4.2.3 del Decreto 1082 de 2015, modificado por el artículo 5 del Decreto 1860 de 2021, la limitación territorial sólo aplica a «Mipyme colombianas que tengan </w:t>
      </w:r>
      <w:r w:rsidR="00BD67CD" w:rsidRPr="00FC292C">
        <w:rPr>
          <w:rFonts w:ascii="Arial" w:eastAsia="Calibri" w:hAnsi="Arial" w:cs="Arial"/>
          <w:i/>
          <w:iCs/>
          <w:sz w:val="22"/>
          <w:szCs w:val="22"/>
          <w:lang w:val="es-ES_tradnl"/>
        </w:rPr>
        <w:t>domicilio</w:t>
      </w:r>
      <w:r w:rsidR="00BD67CD" w:rsidRPr="00FC292C">
        <w:rPr>
          <w:rFonts w:ascii="Arial" w:eastAsia="Calibri" w:hAnsi="Arial" w:cs="Arial"/>
          <w:sz w:val="22"/>
          <w:szCs w:val="22"/>
          <w:lang w:val="es-ES_tradnl"/>
        </w:rPr>
        <w:t xml:space="preserve"> en los departamentos o municipios en donde se va a ejecutar el contrato».</w:t>
      </w:r>
    </w:p>
    <w:p w14:paraId="660B248A" w14:textId="77777777" w:rsidR="00EB46F6" w:rsidRPr="00FC292C" w:rsidRDefault="00EB46F6" w:rsidP="00EB46F6">
      <w:pPr>
        <w:spacing w:before="120" w:after="120" w:line="276" w:lineRule="auto"/>
        <w:ind w:firstLine="709"/>
        <w:jc w:val="both"/>
        <w:rPr>
          <w:rFonts w:ascii="Arial" w:hAnsi="Arial" w:cs="Arial"/>
          <w:color w:val="000000" w:themeColor="text1"/>
          <w:sz w:val="22"/>
        </w:rPr>
      </w:pPr>
      <w:r w:rsidRPr="00FC292C">
        <w:rPr>
          <w:rFonts w:ascii="Arial" w:hAnsi="Arial" w:cs="Arial"/>
          <w:bCs/>
          <w:color w:val="000000" w:themeColor="text1"/>
          <w:sz w:val="22"/>
          <w:lang w:eastAsia="es-ES"/>
        </w:rPr>
        <w:t xml:space="preserve">Para entender las implicaciones de las anteriores disposiciones, </w:t>
      </w:r>
      <w:r w:rsidRPr="00FC292C">
        <w:rPr>
          <w:rFonts w:ascii="Arial" w:hAnsi="Arial" w:cs="Arial"/>
          <w:color w:val="000000" w:themeColor="text1"/>
          <w:sz w:val="22"/>
        </w:rPr>
        <w:t xml:space="preserve">debe analizarse el alcance del término «domicilio» que, para el caso de las sociedades, se constituye en uno de los atributos de su personalidad, que, de acuerdo con el ordenamiento jurídico colombiano, son aquellas propiedades o características de identidad, propias de las personas, sean estas naturales o jurídicas, como titulares de derechos. En esta línea, este término es definido por el Código Civil en el artículo 76, el cual lo concibe como la residencia acompañada real o presuntivamente del ánimo de permanecer en ella, lo cual, para el caso de las sociedades se interpreta como el sitio donde éstas tienen el asiento principal de sus negocios. </w:t>
      </w:r>
    </w:p>
    <w:p w14:paraId="357EC6C9" w14:textId="6DFAE75E" w:rsidR="00E71789" w:rsidRPr="00FC292C" w:rsidRDefault="00EB46F6" w:rsidP="00BD67CD">
      <w:pPr>
        <w:spacing w:before="120" w:line="276" w:lineRule="auto"/>
        <w:ind w:firstLine="709"/>
        <w:jc w:val="both"/>
        <w:rPr>
          <w:rFonts w:ascii="Arial" w:eastAsia="Arial" w:hAnsi="Arial" w:cs="Arial"/>
          <w:color w:val="000000"/>
          <w:sz w:val="22"/>
          <w:szCs w:val="22"/>
          <w:lang w:val="es-MX" w:eastAsia="en-US"/>
        </w:rPr>
      </w:pPr>
      <w:r w:rsidRPr="00FC292C">
        <w:rPr>
          <w:rFonts w:ascii="Arial" w:eastAsia="Arial" w:hAnsi="Arial" w:cs="Arial"/>
          <w:color w:val="000000"/>
          <w:sz w:val="22"/>
          <w:szCs w:val="22"/>
          <w:lang w:val="es-MX" w:eastAsia="en-US"/>
        </w:rPr>
        <w:t>Ahora bien, e</w:t>
      </w:r>
      <w:r w:rsidR="00BD67CD" w:rsidRPr="00FC292C">
        <w:rPr>
          <w:rFonts w:ascii="Arial" w:eastAsia="Arial" w:hAnsi="Arial" w:cs="Arial"/>
          <w:color w:val="000000"/>
          <w:sz w:val="22"/>
          <w:szCs w:val="22"/>
          <w:lang w:val="es-MX" w:eastAsia="en-US"/>
        </w:rPr>
        <w:t>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w:t>
      </w:r>
      <w:r w:rsidR="00E71789" w:rsidRPr="00FC292C">
        <w:rPr>
          <w:rFonts w:ascii="Arial" w:eastAsia="Arial" w:hAnsi="Arial" w:cs="Arial"/>
          <w:color w:val="000000"/>
          <w:sz w:val="22"/>
          <w:szCs w:val="22"/>
          <w:lang w:val="es-MX" w:eastAsia="en-US"/>
        </w:rPr>
        <w:t xml:space="preserve"> A renglón seguido, el artículo 264 señala que son agencias de una sociedad «sus establecimientos de comercio cuyos administradores carezcan de poder para representarla». </w:t>
      </w:r>
    </w:p>
    <w:p w14:paraId="2FDE84A5" w14:textId="068B718F" w:rsidR="00BD67CD" w:rsidRPr="00FC292C" w:rsidRDefault="00BD67CD" w:rsidP="00BD67CD">
      <w:pPr>
        <w:spacing w:before="120" w:line="276" w:lineRule="auto"/>
        <w:ind w:firstLine="709"/>
        <w:jc w:val="both"/>
        <w:rPr>
          <w:rFonts w:ascii="Arial" w:eastAsia="Arial" w:hAnsi="Arial" w:cs="Arial"/>
          <w:color w:val="000000"/>
          <w:sz w:val="22"/>
          <w:szCs w:val="22"/>
          <w:lang w:val="es-MX" w:eastAsia="en-US"/>
        </w:rPr>
      </w:pPr>
      <w:r w:rsidRPr="00FC292C">
        <w:rPr>
          <w:rFonts w:ascii="Arial" w:eastAsia="Arial" w:hAnsi="Arial" w:cs="Arial"/>
          <w:color w:val="000000"/>
          <w:sz w:val="22"/>
          <w:szCs w:val="22"/>
          <w:lang w:val="es-MX" w:eastAsia="en-US"/>
        </w:rPr>
        <w:t>Nótese que la norma se refiere a los conceptos de «sucursal»</w:t>
      </w:r>
      <w:r w:rsidR="00E71789" w:rsidRPr="00FC292C">
        <w:rPr>
          <w:rFonts w:ascii="Arial" w:eastAsia="Arial" w:hAnsi="Arial" w:cs="Arial"/>
          <w:color w:val="000000"/>
          <w:sz w:val="22"/>
          <w:szCs w:val="22"/>
          <w:lang w:val="es-MX" w:eastAsia="en-US"/>
        </w:rPr>
        <w:t xml:space="preserve">, «agencia» </w:t>
      </w:r>
      <w:r w:rsidRPr="00FC292C">
        <w:rPr>
          <w:rFonts w:ascii="Arial" w:eastAsia="Arial" w:hAnsi="Arial" w:cs="Arial"/>
          <w:color w:val="000000"/>
          <w:sz w:val="22"/>
          <w:szCs w:val="22"/>
          <w:lang w:val="es-MX" w:eastAsia="en-US"/>
        </w:rPr>
        <w:t>y «domicilio» de forma diferente, de lo que se deriva que las sociedades comerciales tienen un domicilio y puede tener una o varias sucursales</w:t>
      </w:r>
      <w:r w:rsidR="00E71789" w:rsidRPr="00FC292C">
        <w:rPr>
          <w:rFonts w:ascii="Arial" w:eastAsia="Arial" w:hAnsi="Arial" w:cs="Arial"/>
          <w:color w:val="000000"/>
          <w:sz w:val="22"/>
          <w:szCs w:val="22"/>
          <w:lang w:val="es-MX" w:eastAsia="en-US"/>
        </w:rPr>
        <w:t xml:space="preserve"> y agencias,</w:t>
      </w:r>
      <w:r w:rsidRPr="00FC292C">
        <w:rPr>
          <w:rFonts w:ascii="Arial" w:eastAsia="Arial" w:hAnsi="Arial" w:cs="Arial"/>
          <w:color w:val="000000"/>
          <w:sz w:val="22"/>
          <w:szCs w:val="22"/>
          <w:lang w:val="es-MX" w:eastAsia="en-US"/>
        </w:rPr>
        <w:t xml:space="preserve"> que son establecimientos de comercio, esto es, bienes mercantiles pertenecientes a la sociedad. En ese mismo sentido, los artículos 110 y 111 </w:t>
      </w:r>
      <w:r w:rsidRPr="00FC292C">
        <w:rPr>
          <w:rFonts w:ascii="Arial" w:eastAsia="Arial" w:hAnsi="Arial" w:cs="Arial"/>
          <w:i/>
          <w:color w:val="000000"/>
          <w:sz w:val="22"/>
          <w:szCs w:val="22"/>
          <w:lang w:val="es-MX" w:eastAsia="en-US"/>
        </w:rPr>
        <w:t>ibídem</w:t>
      </w:r>
      <w:r w:rsidRPr="00FC292C">
        <w:rPr>
          <w:rFonts w:ascii="Arial" w:eastAsia="Arial" w:hAnsi="Arial" w:cs="Arial"/>
          <w:color w:val="000000"/>
          <w:sz w:val="22"/>
          <w:szCs w:val="22"/>
          <w:lang w:val="es-MX" w:eastAsia="en-US"/>
        </w:rPr>
        <w:t xml:space="preserve"> se refieren a </w:t>
      </w:r>
      <w:r w:rsidR="00E71789" w:rsidRPr="00FC292C">
        <w:rPr>
          <w:rFonts w:ascii="Arial" w:eastAsia="Arial" w:hAnsi="Arial" w:cs="Arial"/>
          <w:color w:val="000000"/>
          <w:sz w:val="22"/>
          <w:szCs w:val="22"/>
          <w:lang w:val="es-MX" w:eastAsia="en-US"/>
        </w:rPr>
        <w:t>los</w:t>
      </w:r>
      <w:r w:rsidRPr="00FC292C">
        <w:rPr>
          <w:rFonts w:ascii="Arial" w:eastAsia="Arial" w:hAnsi="Arial" w:cs="Arial"/>
          <w:color w:val="000000"/>
          <w:sz w:val="22"/>
          <w:szCs w:val="22"/>
          <w:lang w:val="es-MX" w:eastAsia="en-US"/>
        </w:rPr>
        <w:t xml:space="preserve"> conceptos </w:t>
      </w:r>
      <w:r w:rsidR="00E71789" w:rsidRPr="00FC292C">
        <w:rPr>
          <w:rFonts w:ascii="Arial" w:eastAsia="Arial" w:hAnsi="Arial" w:cs="Arial"/>
          <w:color w:val="000000"/>
          <w:sz w:val="22"/>
          <w:szCs w:val="22"/>
          <w:lang w:val="es-MX" w:eastAsia="en-US"/>
        </w:rPr>
        <w:t xml:space="preserve">de «sucursal» y «domicilio» </w:t>
      </w:r>
      <w:r w:rsidRPr="00FC292C">
        <w:rPr>
          <w:rFonts w:ascii="Arial" w:eastAsia="Arial" w:hAnsi="Arial" w:cs="Arial"/>
          <w:color w:val="000000"/>
          <w:sz w:val="22"/>
          <w:szCs w:val="22"/>
          <w:lang w:val="es-MX" w:eastAsia="en-US"/>
        </w:rPr>
        <w:t>de forma independiente. El uno para referirse a los requisitos de constitución de una sociedad comercial y el otro para determinar el lugar donde se debe inscribir la escritura pública de constitución de la sociedad comercial. En ese sentido, si el legislador distinguió entre uno</w:t>
      </w:r>
      <w:r w:rsidR="00E71789" w:rsidRPr="00FC292C">
        <w:rPr>
          <w:rFonts w:ascii="Arial" w:eastAsia="Arial" w:hAnsi="Arial" w:cs="Arial"/>
          <w:color w:val="000000"/>
          <w:sz w:val="22"/>
          <w:szCs w:val="22"/>
          <w:lang w:val="es-MX" w:eastAsia="en-US"/>
        </w:rPr>
        <w:t>s</w:t>
      </w:r>
      <w:r w:rsidRPr="00FC292C">
        <w:rPr>
          <w:rFonts w:ascii="Arial" w:eastAsia="Arial" w:hAnsi="Arial" w:cs="Arial"/>
          <w:color w:val="000000"/>
          <w:sz w:val="22"/>
          <w:szCs w:val="22"/>
          <w:lang w:val="es-MX" w:eastAsia="en-US"/>
        </w:rPr>
        <w:t xml:space="preserve"> y otro</w:t>
      </w:r>
      <w:r w:rsidR="00E71789" w:rsidRPr="00FC292C">
        <w:rPr>
          <w:rFonts w:ascii="Arial" w:eastAsia="Arial" w:hAnsi="Arial" w:cs="Arial"/>
          <w:color w:val="000000"/>
          <w:sz w:val="22"/>
          <w:szCs w:val="22"/>
          <w:lang w:val="es-MX" w:eastAsia="en-US"/>
        </w:rPr>
        <w:t>s</w:t>
      </w:r>
      <w:r w:rsidRPr="00FC292C">
        <w:rPr>
          <w:rFonts w:ascii="Arial" w:eastAsia="Arial" w:hAnsi="Arial" w:cs="Arial"/>
          <w:color w:val="000000"/>
          <w:sz w:val="22"/>
          <w:szCs w:val="22"/>
          <w:lang w:val="es-MX" w:eastAsia="en-US"/>
        </w:rPr>
        <w:t xml:space="preserve"> y si el reglamento se refiere al «domicilio», se entiende que no es procedente extender el beneficio contenido en el artículo 2.2.1.2.4.2.3. </w:t>
      </w:r>
      <w:r w:rsidRPr="00FC292C">
        <w:rPr>
          <w:rFonts w:ascii="Arial" w:eastAsia="Arial" w:hAnsi="Arial" w:cs="Arial"/>
          <w:i/>
          <w:color w:val="000000"/>
          <w:sz w:val="22"/>
          <w:szCs w:val="22"/>
          <w:lang w:val="es-MX" w:eastAsia="en-US"/>
        </w:rPr>
        <w:t xml:space="preserve">ibídem </w:t>
      </w:r>
      <w:r w:rsidRPr="00FC292C">
        <w:rPr>
          <w:rFonts w:ascii="Arial" w:eastAsia="Arial" w:hAnsi="Arial" w:cs="Arial"/>
          <w:color w:val="000000"/>
          <w:sz w:val="22"/>
          <w:szCs w:val="22"/>
          <w:lang w:val="es-MX" w:eastAsia="en-US"/>
        </w:rPr>
        <w:t>a las entidades que tienen «sucursales»</w:t>
      </w:r>
      <w:r w:rsidR="00E71789" w:rsidRPr="00FC292C">
        <w:rPr>
          <w:rFonts w:ascii="Arial" w:eastAsia="Arial" w:hAnsi="Arial" w:cs="Arial"/>
          <w:color w:val="000000"/>
          <w:sz w:val="22"/>
          <w:szCs w:val="22"/>
          <w:lang w:val="es-MX" w:eastAsia="en-US"/>
        </w:rPr>
        <w:t xml:space="preserve"> y «agencias»</w:t>
      </w:r>
      <w:r w:rsidRPr="00FC292C">
        <w:rPr>
          <w:rFonts w:ascii="Arial" w:eastAsia="Arial" w:hAnsi="Arial" w:cs="Arial"/>
          <w:color w:val="000000"/>
          <w:sz w:val="22"/>
          <w:szCs w:val="22"/>
          <w:lang w:val="es-MX" w:eastAsia="en-US"/>
        </w:rPr>
        <w:t xml:space="preserve"> en el municipio o departamento en donde se va a ejecutar el contrato estatal.</w:t>
      </w:r>
    </w:p>
    <w:p w14:paraId="4CFC6630" w14:textId="71694941" w:rsidR="00EB46F6" w:rsidRPr="00FC292C" w:rsidRDefault="00E71789" w:rsidP="00EB46F6">
      <w:pPr>
        <w:spacing w:before="120" w:after="120" w:line="276" w:lineRule="auto"/>
        <w:ind w:firstLine="709"/>
        <w:jc w:val="both"/>
        <w:rPr>
          <w:rFonts w:ascii="Arial" w:eastAsia="Arial" w:hAnsi="Arial" w:cs="Arial"/>
          <w:color w:val="000000" w:themeColor="text1"/>
          <w:sz w:val="22"/>
          <w:lang w:val="es-ES_tradnl"/>
        </w:rPr>
      </w:pPr>
      <w:r w:rsidRPr="00FC292C">
        <w:rPr>
          <w:rFonts w:ascii="Arial" w:hAnsi="Arial" w:cs="Arial"/>
          <w:color w:val="000000" w:themeColor="text1"/>
          <w:sz w:val="22"/>
        </w:rPr>
        <w:t>A</w:t>
      </w:r>
      <w:r w:rsidR="00EB46F6" w:rsidRPr="00FC292C">
        <w:rPr>
          <w:rFonts w:ascii="Arial" w:hAnsi="Arial" w:cs="Arial"/>
          <w:color w:val="000000" w:themeColor="text1"/>
          <w:sz w:val="22"/>
        </w:rPr>
        <w:t xml:space="preserve"> partir de esta conceptualización, es posible concluir que la limitación territorial, regulada en </w:t>
      </w:r>
      <w:r w:rsidR="00EB46F6" w:rsidRPr="00FC292C">
        <w:rPr>
          <w:rFonts w:ascii="Arial" w:eastAsia="Arial" w:hAnsi="Arial" w:cs="Arial"/>
          <w:color w:val="000000" w:themeColor="text1"/>
          <w:sz w:val="22"/>
          <w:lang w:val="es-ES_tradnl"/>
        </w:rPr>
        <w:t xml:space="preserve">el artículo 2.2.1.2.4.2.3 del Decreto 1082 de 2015, modificada por el Decreto </w:t>
      </w:r>
      <w:r w:rsidR="00EB46F6" w:rsidRPr="00FC292C">
        <w:rPr>
          <w:rFonts w:ascii="Arial" w:eastAsia="Arial" w:hAnsi="Arial" w:cs="Arial"/>
          <w:color w:val="000000" w:themeColor="text1"/>
          <w:sz w:val="22"/>
          <w:lang w:val="es-ES_tradnl"/>
        </w:rPr>
        <w:lastRenderedPageBreak/>
        <w:t>1860 de 2021, será aplicada para aquellas Mipymes que tengan su domicilio principal en el municipio o departamento respectivo. Así mismo, se hace necesario señalar que este artículo no aplicaría frente a la ubicación de las sucursales</w:t>
      </w:r>
      <w:r w:rsidRPr="00FC292C">
        <w:rPr>
          <w:rFonts w:ascii="Arial" w:eastAsia="Arial" w:hAnsi="Arial" w:cs="Arial"/>
          <w:color w:val="000000" w:themeColor="text1"/>
          <w:sz w:val="22"/>
          <w:lang w:val="es-ES_tradnl"/>
        </w:rPr>
        <w:t xml:space="preserve"> y agencias</w:t>
      </w:r>
      <w:r w:rsidR="00EB46F6" w:rsidRPr="00FC292C">
        <w:rPr>
          <w:rFonts w:ascii="Arial" w:eastAsia="Arial" w:hAnsi="Arial" w:cs="Arial"/>
          <w:color w:val="000000" w:themeColor="text1"/>
          <w:sz w:val="22"/>
          <w:lang w:val="es-ES_tradnl"/>
        </w:rPr>
        <w:t xml:space="preserve"> de las Mipymes.</w:t>
      </w:r>
    </w:p>
    <w:p w14:paraId="35405C2F" w14:textId="09319235" w:rsidR="0080376A" w:rsidRPr="00FC292C" w:rsidRDefault="00DD5B04" w:rsidP="00FC292C">
      <w:pPr>
        <w:spacing w:line="276" w:lineRule="auto"/>
        <w:jc w:val="both"/>
        <w:rPr>
          <w:rFonts w:ascii="Arial" w:hAnsi="Arial" w:cs="Arial"/>
          <w:sz w:val="22"/>
          <w:szCs w:val="22"/>
          <w:lang w:val="es-ES_tradnl"/>
        </w:rPr>
      </w:pPr>
      <w:r w:rsidRPr="00FC292C">
        <w:rPr>
          <w:rFonts w:ascii="Arial" w:hAnsi="Arial" w:cs="Arial"/>
          <w:sz w:val="22"/>
          <w:szCs w:val="22"/>
          <w:lang w:val="es-ES_tradnl"/>
        </w:rPr>
        <w:t>Este concepto tiene el alcance previsto en el artículo 28 del Código de Procedimiento Administrativo y de lo Contencioso Administrativo.</w:t>
      </w:r>
    </w:p>
    <w:p w14:paraId="2CCA8B64" w14:textId="548F0CB9" w:rsidR="0080376A" w:rsidRPr="00FC292C" w:rsidRDefault="0080376A" w:rsidP="0080376A">
      <w:pPr>
        <w:spacing w:line="276" w:lineRule="auto"/>
        <w:rPr>
          <w:rFonts w:ascii="Arial" w:hAnsi="Arial" w:cs="Arial"/>
          <w:sz w:val="22"/>
          <w:szCs w:val="22"/>
          <w:lang w:eastAsia="es-CO"/>
        </w:rPr>
      </w:pPr>
    </w:p>
    <w:p w14:paraId="61C66791" w14:textId="485D84ED" w:rsidR="0080376A" w:rsidRPr="00FC292C" w:rsidRDefault="0080376A" w:rsidP="00BD67CD">
      <w:pPr>
        <w:spacing w:line="276" w:lineRule="auto"/>
        <w:rPr>
          <w:rFonts w:ascii="Arial" w:hAnsi="Arial" w:cs="Arial"/>
          <w:sz w:val="22"/>
          <w:szCs w:val="22"/>
        </w:rPr>
      </w:pPr>
      <w:r w:rsidRPr="00FC292C">
        <w:rPr>
          <w:rFonts w:ascii="Arial" w:hAnsi="Arial" w:cs="Arial"/>
          <w:sz w:val="22"/>
          <w:szCs w:val="22"/>
          <w:lang w:eastAsia="es-CO"/>
        </w:rPr>
        <w:t>Atentamente,</w:t>
      </w:r>
    </w:p>
    <w:p w14:paraId="353D05CB" w14:textId="6A5DB3C5" w:rsidR="0080376A" w:rsidRPr="00FC292C" w:rsidRDefault="00FC292C" w:rsidP="0080376A">
      <w:pPr>
        <w:spacing w:after="18"/>
        <w:jc w:val="center"/>
        <w:rPr>
          <w:rFonts w:ascii="Arial" w:hAnsi="Arial" w:cs="Arial"/>
          <w:lang w:eastAsia="es-CO"/>
        </w:rPr>
      </w:pPr>
      <w:r w:rsidRPr="00FC292C">
        <w:rPr>
          <w:noProof/>
        </w:rPr>
        <w:drawing>
          <wp:inline distT="0" distB="0" distL="0" distR="0" wp14:anchorId="038FD491" wp14:editId="3FDA7A3E">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86"/>
        <w:gridCol w:w="4217"/>
      </w:tblGrid>
      <w:tr w:rsidR="005B19BE" w:rsidRPr="00FC292C" w14:paraId="7178A13B" w14:textId="77777777" w:rsidTr="005B19BE">
        <w:trPr>
          <w:trHeight w:val="286"/>
        </w:trPr>
        <w:tc>
          <w:tcPr>
            <w:tcW w:w="886" w:type="dxa"/>
            <w:vAlign w:val="center"/>
            <w:hideMark/>
          </w:tcPr>
          <w:bookmarkEnd w:id="3"/>
          <w:p w14:paraId="41FDE796" w14:textId="77777777" w:rsidR="005B19BE" w:rsidRPr="00FC292C" w:rsidRDefault="005B19BE" w:rsidP="005B19BE">
            <w:pPr>
              <w:rPr>
                <w:rFonts w:ascii="Arial" w:hAnsi="Arial" w:cs="Arial"/>
                <w:sz w:val="14"/>
                <w:szCs w:val="14"/>
                <w:lang w:eastAsia="es-ES"/>
              </w:rPr>
            </w:pPr>
            <w:r w:rsidRPr="00FC292C">
              <w:rPr>
                <w:rFonts w:ascii="Arial" w:hAnsi="Arial" w:cs="Arial"/>
                <w:sz w:val="16"/>
                <w:szCs w:val="16"/>
                <w:lang w:eastAsia="es-ES"/>
              </w:rPr>
              <w:t>Elaboró:</w:t>
            </w:r>
          </w:p>
        </w:tc>
        <w:tc>
          <w:tcPr>
            <w:tcW w:w="4217" w:type="dxa"/>
            <w:tcBorders>
              <w:top w:val="nil"/>
              <w:left w:val="nil"/>
              <w:bottom w:val="dotted" w:sz="4" w:space="0" w:color="7F7F7F"/>
              <w:right w:val="nil"/>
            </w:tcBorders>
            <w:vAlign w:val="center"/>
            <w:hideMark/>
          </w:tcPr>
          <w:p w14:paraId="44AA38BD" w14:textId="77777777" w:rsidR="005B19BE" w:rsidRPr="00FC292C" w:rsidRDefault="005B19BE" w:rsidP="005B19BE">
            <w:pPr>
              <w:rPr>
                <w:rFonts w:ascii="Arial" w:hAnsi="Arial" w:cs="Arial"/>
                <w:sz w:val="16"/>
                <w:szCs w:val="16"/>
                <w:lang w:eastAsia="es-ES"/>
              </w:rPr>
            </w:pPr>
            <w:r w:rsidRPr="00FC292C">
              <w:rPr>
                <w:rFonts w:ascii="Arial" w:hAnsi="Arial" w:cs="Arial"/>
                <w:sz w:val="16"/>
                <w:szCs w:val="16"/>
                <w:lang w:eastAsia="es-ES"/>
              </w:rPr>
              <w:t>Nina María Padrón Ballestas</w:t>
            </w:r>
          </w:p>
          <w:p w14:paraId="514F7CEE" w14:textId="77777777" w:rsidR="005B19BE" w:rsidRPr="00FC292C" w:rsidRDefault="005B19BE" w:rsidP="005B19BE">
            <w:pPr>
              <w:rPr>
                <w:rFonts w:ascii="Arial" w:hAnsi="Arial" w:cs="Arial"/>
                <w:sz w:val="14"/>
                <w:szCs w:val="14"/>
                <w:lang w:eastAsia="es-ES"/>
              </w:rPr>
            </w:pPr>
            <w:r w:rsidRPr="00FC292C">
              <w:rPr>
                <w:rFonts w:ascii="Arial" w:hAnsi="Arial" w:cs="Arial"/>
                <w:sz w:val="16"/>
                <w:szCs w:val="16"/>
                <w:lang w:eastAsia="es-ES"/>
              </w:rPr>
              <w:t>Contratista de la Subdirección de Gestión Contractual</w:t>
            </w:r>
          </w:p>
        </w:tc>
      </w:tr>
      <w:tr w:rsidR="005B19BE" w:rsidRPr="00FC292C" w14:paraId="07EF3A1C" w14:textId="77777777" w:rsidTr="005B19BE">
        <w:trPr>
          <w:trHeight w:val="299"/>
        </w:trPr>
        <w:tc>
          <w:tcPr>
            <w:tcW w:w="886" w:type="dxa"/>
            <w:vAlign w:val="center"/>
          </w:tcPr>
          <w:p w14:paraId="3BCE4E6B" w14:textId="77777777" w:rsidR="005B19BE" w:rsidRPr="00FC292C" w:rsidRDefault="005B19BE" w:rsidP="005B19BE">
            <w:pPr>
              <w:rPr>
                <w:rFonts w:ascii="Arial" w:hAnsi="Arial" w:cs="Arial"/>
                <w:sz w:val="14"/>
                <w:szCs w:val="14"/>
                <w:lang w:eastAsia="es-ES"/>
              </w:rPr>
            </w:pPr>
            <w:r w:rsidRPr="00FC292C">
              <w:rPr>
                <w:rFonts w:ascii="Arial" w:hAnsi="Arial" w:cs="Arial"/>
                <w:sz w:val="16"/>
                <w:szCs w:val="16"/>
                <w:lang w:eastAsia="es-ES"/>
              </w:rPr>
              <w:t>Revisó:</w:t>
            </w:r>
          </w:p>
        </w:tc>
        <w:tc>
          <w:tcPr>
            <w:tcW w:w="4217" w:type="dxa"/>
            <w:tcBorders>
              <w:top w:val="dotted" w:sz="4" w:space="0" w:color="7F7F7F"/>
              <w:left w:val="nil"/>
              <w:bottom w:val="dotted" w:sz="4" w:space="0" w:color="7F7F7F"/>
              <w:right w:val="nil"/>
            </w:tcBorders>
            <w:vAlign w:val="center"/>
          </w:tcPr>
          <w:p w14:paraId="74A32D9E" w14:textId="13B6DD5C" w:rsidR="005B19BE" w:rsidRPr="00FC292C" w:rsidRDefault="005B19BE" w:rsidP="005B19BE">
            <w:pPr>
              <w:rPr>
                <w:rFonts w:ascii="Arial" w:hAnsi="Arial" w:cs="Arial"/>
                <w:sz w:val="16"/>
                <w:szCs w:val="16"/>
                <w:lang w:val="es-ES_tradnl" w:eastAsia="es-ES"/>
              </w:rPr>
            </w:pPr>
            <w:r w:rsidRPr="00FC292C">
              <w:rPr>
                <w:rFonts w:ascii="Arial" w:hAnsi="Arial" w:cs="Arial"/>
                <w:sz w:val="16"/>
                <w:szCs w:val="16"/>
                <w:lang w:val="es-ES_tradnl" w:eastAsia="es-ES"/>
              </w:rPr>
              <w:t xml:space="preserve">Diana </w:t>
            </w:r>
            <w:r w:rsidR="00E31482" w:rsidRPr="00FC292C">
              <w:rPr>
                <w:rFonts w:ascii="Arial" w:hAnsi="Arial" w:cs="Arial"/>
                <w:sz w:val="16"/>
                <w:szCs w:val="16"/>
                <w:lang w:val="es-ES_tradnl" w:eastAsia="es-ES"/>
              </w:rPr>
              <w:t xml:space="preserve">Lucia </w:t>
            </w:r>
            <w:r w:rsidRPr="00FC292C">
              <w:rPr>
                <w:rFonts w:ascii="Arial" w:hAnsi="Arial" w:cs="Arial"/>
                <w:sz w:val="16"/>
                <w:szCs w:val="16"/>
                <w:lang w:val="es-ES_tradnl" w:eastAsia="es-ES"/>
              </w:rPr>
              <w:t>Saavedra Castañeda</w:t>
            </w:r>
          </w:p>
          <w:p w14:paraId="331A02EE" w14:textId="77777777" w:rsidR="005B19BE" w:rsidRPr="00FC292C" w:rsidRDefault="005B19BE" w:rsidP="005B19BE">
            <w:pPr>
              <w:rPr>
                <w:rFonts w:ascii="Arial" w:hAnsi="Arial" w:cs="Arial"/>
                <w:sz w:val="14"/>
                <w:szCs w:val="14"/>
                <w:lang w:eastAsia="es-ES"/>
              </w:rPr>
            </w:pPr>
            <w:r w:rsidRPr="00FC292C">
              <w:rPr>
                <w:rFonts w:ascii="Arial" w:hAnsi="Arial" w:cs="Arial"/>
                <w:sz w:val="16"/>
                <w:szCs w:val="16"/>
                <w:lang w:eastAsia="es-ES"/>
              </w:rPr>
              <w:t>Contratista de la Subdirección de Gestión Contractual</w:t>
            </w:r>
          </w:p>
        </w:tc>
      </w:tr>
      <w:tr w:rsidR="005B19BE" w:rsidRPr="009F0084" w14:paraId="11AAE9C5" w14:textId="77777777" w:rsidTr="005B19BE">
        <w:trPr>
          <w:trHeight w:val="272"/>
        </w:trPr>
        <w:tc>
          <w:tcPr>
            <w:tcW w:w="886" w:type="dxa"/>
            <w:vAlign w:val="center"/>
            <w:hideMark/>
          </w:tcPr>
          <w:p w14:paraId="7F94E8E2" w14:textId="77777777" w:rsidR="005B19BE" w:rsidRPr="00FC292C" w:rsidRDefault="005B19BE" w:rsidP="005B19BE">
            <w:pPr>
              <w:rPr>
                <w:rFonts w:ascii="Arial" w:hAnsi="Arial" w:cs="Arial"/>
                <w:sz w:val="14"/>
                <w:szCs w:val="14"/>
                <w:lang w:eastAsia="es-ES"/>
              </w:rPr>
            </w:pPr>
            <w:r w:rsidRPr="00FC292C">
              <w:rPr>
                <w:rFonts w:ascii="Arial" w:hAnsi="Arial" w:cs="Arial"/>
                <w:sz w:val="16"/>
                <w:szCs w:val="16"/>
                <w:lang w:eastAsia="es-ES"/>
              </w:rPr>
              <w:t>Aprobó:</w:t>
            </w:r>
          </w:p>
        </w:tc>
        <w:tc>
          <w:tcPr>
            <w:tcW w:w="4217" w:type="dxa"/>
            <w:tcBorders>
              <w:top w:val="dotted" w:sz="4" w:space="0" w:color="7F7F7F"/>
              <w:left w:val="nil"/>
              <w:bottom w:val="dotted" w:sz="4" w:space="0" w:color="7F7F7F"/>
              <w:right w:val="nil"/>
            </w:tcBorders>
            <w:vAlign w:val="center"/>
            <w:hideMark/>
          </w:tcPr>
          <w:p w14:paraId="0EB72675" w14:textId="77777777" w:rsidR="005B19BE" w:rsidRPr="00FC292C" w:rsidRDefault="005B19BE" w:rsidP="005B19BE">
            <w:pPr>
              <w:rPr>
                <w:rFonts w:ascii="Arial" w:hAnsi="Arial" w:cs="Arial"/>
                <w:sz w:val="16"/>
                <w:szCs w:val="16"/>
                <w:lang w:eastAsia="es-ES"/>
              </w:rPr>
            </w:pPr>
            <w:r w:rsidRPr="00FC292C">
              <w:rPr>
                <w:rFonts w:ascii="Arial" w:hAnsi="Arial" w:cs="Arial"/>
                <w:sz w:val="16"/>
                <w:szCs w:val="16"/>
                <w:lang w:eastAsia="es-ES"/>
              </w:rPr>
              <w:t>Nohelia del Carmen Zawady Palacio</w:t>
            </w:r>
          </w:p>
          <w:p w14:paraId="234B0FD3" w14:textId="77777777" w:rsidR="005B19BE" w:rsidRPr="009F0084" w:rsidRDefault="005B19BE" w:rsidP="005B19BE">
            <w:pPr>
              <w:rPr>
                <w:rFonts w:ascii="Arial" w:hAnsi="Arial" w:cs="Arial"/>
                <w:sz w:val="14"/>
                <w:szCs w:val="14"/>
                <w:lang w:eastAsia="es-ES"/>
              </w:rPr>
            </w:pPr>
            <w:r w:rsidRPr="00FC292C">
              <w:rPr>
                <w:rFonts w:ascii="Arial" w:hAnsi="Arial" w:cs="Arial"/>
                <w:sz w:val="16"/>
                <w:szCs w:val="16"/>
                <w:lang w:eastAsia="es-ES"/>
              </w:rPr>
              <w:t>Subdirectora de Gestión Contractual ANCP – CCE</w:t>
            </w:r>
          </w:p>
        </w:tc>
      </w:tr>
    </w:tbl>
    <w:p w14:paraId="35B56F46" w14:textId="36917334" w:rsidR="00746E08" w:rsidRPr="009F0084" w:rsidRDefault="00746E08" w:rsidP="005B19BE">
      <w:pPr>
        <w:spacing w:line="276" w:lineRule="auto"/>
        <w:jc w:val="both"/>
        <w:rPr>
          <w:rFonts w:ascii="Arial" w:hAnsi="Arial" w:cs="Arial"/>
          <w:lang w:val="es-ES_tradnl"/>
        </w:rPr>
      </w:pPr>
    </w:p>
    <w:sectPr w:rsidR="00746E08" w:rsidRPr="009F0084" w:rsidSect="005D791B">
      <w:headerReference w:type="default" r:id="rId13"/>
      <w:footerReference w:type="default" r:id="rId14"/>
      <w:pgSz w:w="12240" w:h="15840"/>
      <w:pgMar w:top="2041" w:right="1701"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DF6B40" w14:textId="77777777" w:rsidR="00BF5AB4" w:rsidRDefault="00BF5AB4">
      <w:r>
        <w:separator/>
      </w:r>
    </w:p>
  </w:endnote>
  <w:endnote w:type="continuationSeparator" w:id="0">
    <w:p w14:paraId="00488F01" w14:textId="77777777" w:rsidR="00BF5AB4" w:rsidRDefault="00BF5AB4">
      <w:r>
        <w:continuationSeparator/>
      </w:r>
    </w:p>
  </w:endnote>
  <w:endnote w:type="continuationNotice" w:id="1">
    <w:p w14:paraId="5276A754" w14:textId="77777777" w:rsidR="00BF5AB4" w:rsidRDefault="00BF5A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02A34" w14:textId="77777777" w:rsidR="008F4163" w:rsidRDefault="008F4163" w:rsidP="00322937">
    <w:pPr>
      <w:pStyle w:val="Sinespaciado"/>
      <w:jc w:val="right"/>
      <w:rPr>
        <w:rFonts w:ascii="Arial" w:hAnsi="Arial" w:cs="Arial"/>
        <w:sz w:val="18"/>
        <w:szCs w:val="18"/>
      </w:rPr>
    </w:pPr>
  </w:p>
  <w:p w14:paraId="7A3785F3" w14:textId="2EF28465" w:rsidR="008F4163" w:rsidRPr="008217B7" w:rsidRDefault="008F4163"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2</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Pr>
        <w:rFonts w:ascii="Arial" w:hAnsi="Arial" w:cs="Arial"/>
        <w:b/>
        <w:bCs/>
        <w:noProof/>
        <w:color w:val="7F7F7F" w:themeColor="text1" w:themeTint="80"/>
        <w:sz w:val="16"/>
        <w:szCs w:val="16"/>
      </w:rPr>
      <w:t>15</w:t>
    </w:r>
    <w:r w:rsidRPr="00084B97">
      <w:rPr>
        <w:rFonts w:ascii="Arial" w:hAnsi="Arial" w:cs="Arial"/>
        <w:b/>
        <w:bCs/>
        <w:color w:val="7F7F7F" w:themeColor="text1" w:themeTint="80"/>
        <w:sz w:val="16"/>
        <w:szCs w:val="16"/>
      </w:rPr>
      <w:fldChar w:fldCharType="end"/>
    </w:r>
  </w:p>
  <w:p w14:paraId="48FC6A04" w14:textId="5FD1A7C9" w:rsidR="008F4163" w:rsidRDefault="029BC757" w:rsidP="00322937">
    <w:pPr>
      <w:pStyle w:val="Piedepgina"/>
      <w:jc w:val="center"/>
      <w:rPr>
        <w:lang w:val="es-ES"/>
      </w:rPr>
    </w:pPr>
    <w:r>
      <w:rPr>
        <w:noProof/>
      </w:rPr>
      <w:drawing>
        <wp:inline distT="0" distB="0" distL="0" distR="0" wp14:anchorId="608B196D" wp14:editId="5BB3F60A">
          <wp:extent cx="3700130" cy="51913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8F4163" w:rsidRDefault="008F4163" w:rsidP="007B0854">
    <w:pPr>
      <w:pStyle w:val="Piedepgina"/>
      <w:jc w:val="center"/>
      <w:rPr>
        <w:lang w:val="es-ES"/>
      </w:rPr>
    </w:pPr>
  </w:p>
  <w:p w14:paraId="6C0EFC49" w14:textId="77777777" w:rsidR="008F4163" w:rsidRPr="007B0854" w:rsidRDefault="008F4163"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0FE354" w14:textId="77777777" w:rsidR="00BF5AB4" w:rsidRDefault="00BF5AB4">
      <w:r>
        <w:separator/>
      </w:r>
    </w:p>
  </w:footnote>
  <w:footnote w:type="continuationSeparator" w:id="0">
    <w:p w14:paraId="22D82FF9" w14:textId="77777777" w:rsidR="00BF5AB4" w:rsidRDefault="00BF5AB4">
      <w:r>
        <w:continuationSeparator/>
      </w:r>
    </w:p>
  </w:footnote>
  <w:footnote w:type="continuationNotice" w:id="1">
    <w:p w14:paraId="7248C8F5" w14:textId="77777777" w:rsidR="00BF5AB4" w:rsidRDefault="00BF5AB4"/>
  </w:footnote>
  <w:footnote w:id="2">
    <w:p w14:paraId="5C576CC1" w14:textId="77777777" w:rsidR="00176EEB" w:rsidRPr="00B555C3" w:rsidRDefault="00176EEB" w:rsidP="00176EEB">
      <w:pPr>
        <w:pStyle w:val="Textonotapie"/>
        <w:ind w:firstLine="709"/>
        <w:jc w:val="both"/>
        <w:rPr>
          <w:rFonts w:ascii="Arial" w:hAnsi="Arial" w:cs="Arial"/>
          <w:color w:val="0E63A8" w:themeColor="text2"/>
          <w:sz w:val="19"/>
          <w:szCs w:val="19"/>
          <w:lang w:val="es-CO"/>
        </w:rPr>
      </w:pPr>
      <w:r w:rsidRPr="00B555C3">
        <w:rPr>
          <w:rStyle w:val="Refdenotaalpie"/>
          <w:rFonts w:ascii="Arial" w:hAnsi="Arial" w:cs="Arial"/>
          <w:sz w:val="19"/>
          <w:szCs w:val="19"/>
        </w:rPr>
        <w:footnoteRef/>
      </w:r>
      <w:r w:rsidRPr="00B555C3">
        <w:rPr>
          <w:rFonts w:ascii="Arial" w:hAnsi="Arial" w:cs="Arial"/>
          <w:sz w:val="19"/>
          <w:szCs w:val="19"/>
        </w:rPr>
        <w:t xml:space="preserve"> </w:t>
      </w:r>
      <w:r w:rsidRPr="00B555C3">
        <w:rPr>
          <w:rFonts w:ascii="Arial" w:hAnsi="Arial" w:cs="Arial"/>
          <w:sz w:val="19"/>
          <w:szCs w:val="19"/>
          <w:lang w:val="es-CO"/>
        </w:rPr>
        <w:t xml:space="preserve">Estos conceptos pueden consultarse en la página web: </w:t>
      </w:r>
      <w:hyperlink r:id="rId1" w:history="1">
        <w:r w:rsidRPr="00B555C3">
          <w:rPr>
            <w:rStyle w:val="Hipervnculo"/>
            <w:rFonts w:ascii="Arial" w:hAnsi="Arial" w:cs="Arial"/>
            <w:color w:val="0E63A8" w:themeColor="text2"/>
            <w:sz w:val="19"/>
            <w:szCs w:val="19"/>
            <w:lang w:val="es-CO"/>
          </w:rPr>
          <w:t>https://relatoria.colombiacompra.gov.co/busqueda/conceptos#</w:t>
        </w:r>
      </w:hyperlink>
      <w:r w:rsidRPr="00B555C3">
        <w:rPr>
          <w:rFonts w:ascii="Arial" w:hAnsi="Arial" w:cs="Arial"/>
          <w:sz w:val="19"/>
          <w:szCs w:val="19"/>
          <w:lang w:val="es-CO"/>
        </w:rPr>
        <w:t>.</w:t>
      </w:r>
    </w:p>
    <w:p w14:paraId="20F42060" w14:textId="77777777" w:rsidR="00176EEB" w:rsidRPr="00B555C3" w:rsidRDefault="00176EEB" w:rsidP="00176EEB">
      <w:pPr>
        <w:pStyle w:val="Textonotapie"/>
        <w:ind w:firstLine="709"/>
        <w:jc w:val="both"/>
        <w:rPr>
          <w:rFonts w:ascii="Arial" w:hAnsi="Arial" w:cs="Arial"/>
          <w:sz w:val="19"/>
          <w:szCs w:val="19"/>
          <w:lang w:val="es-CO"/>
        </w:rPr>
      </w:pPr>
    </w:p>
  </w:footnote>
  <w:footnote w:id="3">
    <w:p w14:paraId="79F1759F"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2 al 29.</w:t>
      </w:r>
    </w:p>
    <w:p w14:paraId="3F3A4C1F" w14:textId="77777777" w:rsidR="00C47F18" w:rsidRPr="008640C4" w:rsidRDefault="00C47F18" w:rsidP="00C47F18">
      <w:pPr>
        <w:pStyle w:val="Textonotapie"/>
        <w:ind w:firstLine="709"/>
        <w:jc w:val="both"/>
        <w:rPr>
          <w:rFonts w:ascii="Arial" w:hAnsi="Arial" w:cs="Arial"/>
          <w:sz w:val="19"/>
          <w:szCs w:val="19"/>
          <w:lang w:val="es-ES"/>
        </w:rPr>
      </w:pPr>
    </w:p>
  </w:footnote>
  <w:footnote w:id="4">
    <w:p w14:paraId="3A8728BD"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30 al 36.</w:t>
      </w:r>
    </w:p>
    <w:p w14:paraId="6E32AE94" w14:textId="77777777" w:rsidR="00C47F18" w:rsidRPr="008640C4" w:rsidRDefault="00C47F18" w:rsidP="00C47F18">
      <w:pPr>
        <w:pStyle w:val="Textonotapie"/>
        <w:ind w:firstLine="709"/>
        <w:jc w:val="both"/>
        <w:rPr>
          <w:rFonts w:ascii="Arial" w:hAnsi="Arial" w:cs="Arial"/>
          <w:sz w:val="19"/>
          <w:szCs w:val="19"/>
          <w:lang w:val="es-ES"/>
        </w:rPr>
      </w:pPr>
    </w:p>
  </w:footnote>
  <w:footnote w:id="5">
    <w:p w14:paraId="29604E64"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37 al 45.</w:t>
      </w:r>
    </w:p>
    <w:p w14:paraId="6EAC1815" w14:textId="77777777" w:rsidR="00C47F18" w:rsidRPr="008640C4" w:rsidRDefault="00C47F18" w:rsidP="00C47F18">
      <w:pPr>
        <w:pStyle w:val="Textonotapie"/>
        <w:ind w:firstLine="709"/>
        <w:jc w:val="both"/>
        <w:rPr>
          <w:rFonts w:ascii="Arial" w:hAnsi="Arial" w:cs="Arial"/>
          <w:sz w:val="19"/>
          <w:szCs w:val="19"/>
          <w:lang w:val="es-ES"/>
        </w:rPr>
      </w:pPr>
    </w:p>
  </w:footnote>
  <w:footnote w:id="6">
    <w:p w14:paraId="5B24E1F3"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46 al 73.</w:t>
      </w:r>
    </w:p>
    <w:p w14:paraId="30FD1F17" w14:textId="77777777" w:rsidR="00C47F18" w:rsidRPr="008640C4" w:rsidRDefault="00C47F18" w:rsidP="00C47F18">
      <w:pPr>
        <w:pStyle w:val="Textonotapie"/>
        <w:ind w:firstLine="709"/>
        <w:jc w:val="both"/>
        <w:rPr>
          <w:rFonts w:ascii="Arial" w:hAnsi="Arial" w:cs="Arial"/>
          <w:sz w:val="19"/>
          <w:szCs w:val="19"/>
          <w:lang w:val="es-ES"/>
        </w:rPr>
      </w:pPr>
    </w:p>
  </w:footnote>
  <w:footnote w:id="7">
    <w:p w14:paraId="799E79D6" w14:textId="77777777" w:rsidR="00C47F18" w:rsidRPr="008640C4" w:rsidRDefault="00C47F18" w:rsidP="00C47F18">
      <w:pPr>
        <w:pStyle w:val="Textonotapie"/>
        <w:ind w:firstLine="709"/>
        <w:jc w:val="both"/>
        <w:rPr>
          <w:rFonts w:ascii="Arial" w:hAnsi="Arial" w:cs="Arial"/>
          <w:sz w:val="19"/>
          <w:szCs w:val="19"/>
          <w:lang w:val="es-ES"/>
        </w:rPr>
      </w:pPr>
      <w:r w:rsidRPr="008640C4">
        <w:rPr>
          <w:rStyle w:val="Refdenotaalpie"/>
          <w:rFonts w:ascii="Arial" w:hAnsi="Arial" w:cs="Arial"/>
          <w:sz w:val="19"/>
          <w:szCs w:val="19"/>
        </w:rPr>
        <w:footnoteRef/>
      </w:r>
      <w:r w:rsidRPr="008640C4">
        <w:rPr>
          <w:rFonts w:ascii="Arial" w:hAnsi="Arial" w:cs="Arial"/>
          <w:sz w:val="19"/>
          <w:szCs w:val="19"/>
        </w:rPr>
        <w:t xml:space="preserve"> </w:t>
      </w:r>
      <w:r w:rsidRPr="008640C4">
        <w:rPr>
          <w:rFonts w:ascii="Arial" w:hAnsi="Arial" w:cs="Arial"/>
          <w:sz w:val="19"/>
          <w:szCs w:val="19"/>
          <w:lang w:val="es-ES"/>
        </w:rPr>
        <w:t>Artículos 74 al 83.</w:t>
      </w:r>
    </w:p>
    <w:p w14:paraId="4FB507B1" w14:textId="77777777" w:rsidR="00C47F18" w:rsidRPr="008640C4" w:rsidRDefault="00C47F18" w:rsidP="00C47F18">
      <w:pPr>
        <w:pStyle w:val="Textonotapie"/>
        <w:ind w:firstLine="709"/>
        <w:jc w:val="both"/>
        <w:rPr>
          <w:rFonts w:ascii="Arial" w:hAnsi="Arial" w:cs="Arial"/>
          <w:sz w:val="19"/>
          <w:szCs w:val="19"/>
          <w:lang w:val="es-ES"/>
        </w:rPr>
      </w:pPr>
    </w:p>
  </w:footnote>
  <w:footnote w:id="8">
    <w:p w14:paraId="007B2DE8" w14:textId="11F1F723" w:rsidR="005F0B10" w:rsidRPr="005F0B10" w:rsidRDefault="00903C57" w:rsidP="005F0B10">
      <w:pPr>
        <w:ind w:firstLine="709"/>
        <w:jc w:val="both"/>
        <w:rPr>
          <w:rFonts w:ascii="Arial" w:hAnsi="Arial" w:cs="Arial"/>
          <w:sz w:val="19"/>
          <w:szCs w:val="19"/>
        </w:rPr>
      </w:pPr>
      <w:r w:rsidRPr="005F0B10">
        <w:rPr>
          <w:rStyle w:val="Refdenotaalpie"/>
          <w:rFonts w:ascii="Arial" w:hAnsi="Arial" w:cs="Arial"/>
          <w:sz w:val="19"/>
          <w:szCs w:val="19"/>
        </w:rPr>
        <w:footnoteRef/>
      </w:r>
      <w:r w:rsidRPr="005F0B10">
        <w:rPr>
          <w:rFonts w:ascii="Arial" w:hAnsi="Arial" w:cs="Arial"/>
          <w:sz w:val="19"/>
          <w:szCs w:val="19"/>
        </w:rPr>
        <w:t xml:space="preserve"> </w:t>
      </w:r>
      <w:r w:rsidRPr="005F0B10">
        <w:rPr>
          <w:rFonts w:ascii="Arial" w:hAnsi="Arial" w:cs="Arial"/>
          <w:sz w:val="19"/>
          <w:szCs w:val="19"/>
          <w:lang w:val="es-ES"/>
        </w:rPr>
        <w:t xml:space="preserve">En efecto, el artículo </w:t>
      </w:r>
      <w:r w:rsidR="00231A18" w:rsidRPr="005F0B10">
        <w:rPr>
          <w:rFonts w:ascii="Arial" w:hAnsi="Arial" w:cs="Arial"/>
          <w:sz w:val="19"/>
          <w:szCs w:val="19"/>
          <w:lang w:val="es-ES"/>
        </w:rPr>
        <w:t xml:space="preserve">34 de la Ley 2069 de 2020 establece: </w:t>
      </w:r>
      <w:r w:rsidR="005F0B10" w:rsidRPr="005F0B10">
        <w:rPr>
          <w:rFonts w:ascii="Arial" w:hAnsi="Arial" w:cs="Arial"/>
          <w:sz w:val="19"/>
          <w:szCs w:val="19"/>
          <w:lang w:val="es-ES"/>
        </w:rPr>
        <w:t>«</w:t>
      </w:r>
      <w:r w:rsidR="005F0B10" w:rsidRPr="005F0B10">
        <w:rPr>
          <w:rFonts w:ascii="Arial" w:hAnsi="Arial" w:cs="Arial"/>
          <w:sz w:val="19"/>
          <w:szCs w:val="19"/>
        </w:rPr>
        <w:t xml:space="preserve">Modifíquese el artículo 12 de la Ley 1150 de 2007, el cual quedará así: </w:t>
      </w:r>
    </w:p>
    <w:p w14:paraId="5B3EECC1" w14:textId="7C5050AB" w:rsidR="00231A18" w:rsidRPr="005F0B10" w:rsidRDefault="005F0B10" w:rsidP="005F0B10">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rPr>
        <w:t>»</w:t>
      </w:r>
      <w:r w:rsidR="00231A18" w:rsidRPr="005F0B10">
        <w:rPr>
          <w:rFonts w:ascii="Arial" w:eastAsia="Calibri" w:hAnsi="Arial" w:cs="Arial"/>
          <w:color w:val="000000" w:themeColor="text1"/>
          <w:sz w:val="19"/>
          <w:szCs w:val="19"/>
          <w:lang w:val="es-ES_tradnl"/>
        </w:rPr>
        <w:t>"</w:t>
      </w:r>
      <w:r w:rsidRPr="005F0B10">
        <w:rPr>
          <w:rFonts w:ascii="Arial" w:eastAsia="Calibri" w:hAnsi="Arial" w:cs="Arial"/>
          <w:color w:val="000000" w:themeColor="text1"/>
          <w:sz w:val="19"/>
          <w:szCs w:val="19"/>
          <w:lang w:val="es-ES_tradnl"/>
        </w:rPr>
        <w:t>Artículo</w:t>
      </w:r>
      <w:r w:rsidR="00231A18" w:rsidRPr="005F0B10">
        <w:rPr>
          <w:rFonts w:ascii="Arial" w:eastAsia="Calibri" w:hAnsi="Arial" w:cs="Arial"/>
          <w:color w:val="000000" w:themeColor="text1"/>
          <w:sz w:val="19"/>
          <w:szCs w:val="19"/>
          <w:lang w:val="es-ES_tradnl"/>
        </w:rPr>
        <w:t xml:space="preserve"> 12. Promoción del desarrollo en la contratación pública. De conformidad con lo dispuesto en los artículos 13, 333 y 334 de la Constitución Política, el Gobierno Nacional definirá las condiciones y los montos de acuerdo con los compromisos internacionales vigentes, para que, en desarrollo de los Procesos de Contratación, las Entidades Estatales indistintamente de su régimen de contratación, los patrimonios autónomos constituidos por Entidades Estatales y los particulares que ejecuten recursos públicos, adopten en beneficio de las Mipyme, convocatorias limitadas a estas en las que, previo a la Resolución de apertura del proceso respectivo, se haya manifestado el interés de por lo menos dos (2) Mipyme.</w:t>
      </w:r>
    </w:p>
    <w:p w14:paraId="58FA426A" w14:textId="303369BB" w:rsidR="00231A18" w:rsidRPr="005F0B10" w:rsidRDefault="005F0B10" w:rsidP="005F0B10">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Asimismo, el reglamento podrá establecer condiciones preferenciales a favor de la oferta de bienes y servicios producidos por las Mipyme respetando los montos y las condiciones contenidas en los compromisos internacionales vigentes, cuando sean aplicables.</w:t>
      </w:r>
    </w:p>
    <w:p w14:paraId="18EBE081" w14:textId="1BBDB92E" w:rsidR="00231A18" w:rsidRPr="005F0B10" w:rsidRDefault="005F0B10" w:rsidP="005F0B10">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En todo caso, se deberá garantizar la satisfacción de las condiciones técnicas y económicas requeridas en el Proceso de Contratación.</w:t>
      </w:r>
    </w:p>
    <w:p w14:paraId="0B8E2E25" w14:textId="120EFCBF" w:rsidR="00231A18" w:rsidRPr="005F0B10" w:rsidRDefault="005F0B10" w:rsidP="005F0B10">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De igual forma, en los pliegos de condiciones dispondrán, de mecanismos que fomenten en la ejecución de los contratos estatales la provisión de bienes y servicios por población en pobreza extrema, desplazados por la violencia, personas en proceso de reintegración o reincorporación y, sujetos de especial protección constitucional en las condiciones que señale el reglamento; siempre que se garanticen las condiciones de calidad y cumplimiento del objeto contractual.</w:t>
      </w:r>
    </w:p>
    <w:p w14:paraId="02ADEC45" w14:textId="314C7AA9" w:rsidR="00231A18" w:rsidRPr="005F0B10" w:rsidRDefault="005F0B10" w:rsidP="005F0B10">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»Parágrafo Primero</w:t>
      </w:r>
      <w:r w:rsidR="00231A18" w:rsidRPr="005F0B10">
        <w:rPr>
          <w:rFonts w:ascii="Arial" w:eastAsia="Calibri" w:hAnsi="Arial" w:cs="Arial"/>
          <w:color w:val="000000" w:themeColor="text1"/>
          <w:sz w:val="19"/>
          <w:szCs w:val="19"/>
          <w:lang w:val="es-ES_tradnl"/>
        </w:rPr>
        <w:t>. En los Procesos de Contratación que se desarrollen con base en el primer inciso, las entidades podrán realizar las convocatorias limitadas que beneficien a las Mipyme del ámbito municipal o departamental correspondiente al de la ejecución del contrato.</w:t>
      </w:r>
    </w:p>
    <w:p w14:paraId="75C07D68" w14:textId="4D11C44A" w:rsidR="00231A18" w:rsidRPr="005F0B10" w:rsidRDefault="005F0B10" w:rsidP="005F0B10">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»Parágrafo Segundo</w:t>
      </w:r>
      <w:r w:rsidR="00231A18" w:rsidRPr="005F0B10">
        <w:rPr>
          <w:rFonts w:ascii="Arial" w:eastAsia="Calibri" w:hAnsi="Arial" w:cs="Arial"/>
          <w:color w:val="000000" w:themeColor="text1"/>
          <w:sz w:val="19"/>
          <w:szCs w:val="19"/>
          <w:lang w:val="es-ES_tradnl"/>
        </w:rPr>
        <w:t>. Sin perjuicio de lo dispuesto en los artículos 5 y 6 de la Ley 1150 de 2007, para que las Mipymes puedan participar en las convocatorias a las que se refiere este artículo, deberán acreditar como mínimo un año de existencia, para lo cual deberán presentar el certificado expedido por la cámara de comercio o por la autoridad que sea competente para dicha acreditación.</w:t>
      </w:r>
    </w:p>
    <w:p w14:paraId="7497F2C4" w14:textId="3858EBC9" w:rsidR="00231A18" w:rsidRPr="005F0B10" w:rsidRDefault="005F0B10" w:rsidP="005F0B10">
      <w:pPr>
        <w:ind w:firstLine="709"/>
        <w:jc w:val="both"/>
        <w:rPr>
          <w:rFonts w:ascii="Arial" w:eastAsia="Calibri" w:hAnsi="Arial" w:cs="Arial"/>
          <w:color w:val="000000" w:themeColor="text1"/>
          <w:sz w:val="19"/>
          <w:szCs w:val="19"/>
          <w:lang w:val="es-ES_tradnl"/>
        </w:rPr>
      </w:pPr>
      <w:r w:rsidRPr="005F0B10">
        <w:rPr>
          <w:rFonts w:ascii="Arial" w:eastAsia="Calibri" w:hAnsi="Arial" w:cs="Arial"/>
          <w:color w:val="000000" w:themeColor="text1"/>
          <w:sz w:val="19"/>
          <w:szCs w:val="19"/>
          <w:lang w:val="es-ES_tradnl"/>
        </w:rPr>
        <w:t>»Parágrafo Tercero</w:t>
      </w:r>
      <w:r w:rsidR="00231A18" w:rsidRPr="005F0B10">
        <w:rPr>
          <w:rFonts w:ascii="Arial" w:eastAsia="Calibri" w:hAnsi="Arial" w:cs="Arial"/>
          <w:color w:val="000000" w:themeColor="text1"/>
          <w:sz w:val="19"/>
          <w:szCs w:val="19"/>
          <w:lang w:val="es-ES_tradnl"/>
        </w:rPr>
        <w:t>. En la ejecución de los contratos a que se refiere el presente artículo, las entidades y los contratistas, deberán observar lo dispuesto en los artículos 90 a 95 de la Ley 418 de 1997 y las normas que la modifiquen, adicionen o subroguen."</w:t>
      </w:r>
      <w:r w:rsidRPr="005F0B10">
        <w:rPr>
          <w:rFonts w:ascii="Arial" w:eastAsia="Calibri" w:hAnsi="Arial" w:cs="Arial"/>
          <w:color w:val="000000" w:themeColor="text1"/>
          <w:sz w:val="19"/>
          <w:szCs w:val="19"/>
          <w:lang w:val="es-ES_tradnl"/>
        </w:rPr>
        <w:t>»</w:t>
      </w:r>
      <w:r w:rsidR="00231A18" w:rsidRPr="005F0B10">
        <w:rPr>
          <w:rFonts w:ascii="Arial" w:eastAsia="Calibri" w:hAnsi="Arial" w:cs="Arial"/>
          <w:color w:val="000000" w:themeColor="text1"/>
          <w:sz w:val="19"/>
          <w:szCs w:val="19"/>
          <w:lang w:val="es-ES_tradnl"/>
        </w:rPr>
        <w:t xml:space="preserve">  </w:t>
      </w:r>
    </w:p>
    <w:p w14:paraId="415AFBE5" w14:textId="0449504E" w:rsidR="00903C57" w:rsidRPr="005F0B10" w:rsidRDefault="00903C57" w:rsidP="005F0B10">
      <w:pPr>
        <w:pStyle w:val="Textonotapie"/>
        <w:ind w:firstLine="709"/>
        <w:jc w:val="both"/>
        <w:rPr>
          <w:rFonts w:ascii="Arial" w:hAnsi="Arial" w:cs="Arial"/>
          <w:sz w:val="19"/>
          <w:szCs w:val="19"/>
          <w:lang w:val="es-ES_tradnl"/>
        </w:rPr>
      </w:pPr>
    </w:p>
  </w:footnote>
  <w:footnote w:id="9">
    <w:p w14:paraId="1EFBBA56" w14:textId="77777777" w:rsidR="00141641" w:rsidRPr="00251665" w:rsidRDefault="00141641" w:rsidP="00141641">
      <w:pPr>
        <w:ind w:firstLine="709"/>
        <w:jc w:val="both"/>
        <w:rPr>
          <w:rFonts w:ascii="Arial" w:eastAsiaTheme="minorHAnsi" w:hAnsi="Arial" w:cs="Arial"/>
          <w:sz w:val="19"/>
          <w:szCs w:val="19"/>
          <w:lang w:val="es-ES" w:eastAsia="en-US"/>
        </w:rPr>
      </w:pPr>
      <w:r w:rsidRPr="00251665">
        <w:rPr>
          <w:rStyle w:val="Refdenotaalpie"/>
          <w:rFonts w:ascii="Arial" w:hAnsi="Arial" w:cs="Arial"/>
          <w:sz w:val="19"/>
          <w:szCs w:val="19"/>
        </w:rPr>
        <w:footnoteRef/>
      </w:r>
      <w:r w:rsidRPr="00251665">
        <w:rPr>
          <w:rFonts w:ascii="Arial" w:hAnsi="Arial" w:cs="Arial"/>
          <w:sz w:val="19"/>
          <w:szCs w:val="19"/>
        </w:rPr>
        <w:t xml:space="preserve"> </w:t>
      </w:r>
      <w:r w:rsidRPr="00251665">
        <w:rPr>
          <w:rFonts w:ascii="Arial" w:hAnsi="Arial" w:cs="Arial"/>
          <w:sz w:val="19"/>
          <w:szCs w:val="19"/>
          <w:lang w:val="es-ES"/>
        </w:rPr>
        <w:t xml:space="preserve">Corte Constitucional. Sentencia C-502 de 2012. Magistrada Ponente: </w:t>
      </w:r>
      <w:r w:rsidRPr="00251665">
        <w:rPr>
          <w:rFonts w:ascii="Arial" w:eastAsiaTheme="minorHAnsi" w:hAnsi="Arial" w:cs="Arial"/>
          <w:sz w:val="19"/>
          <w:szCs w:val="19"/>
          <w:lang w:val="es-ES" w:eastAsia="en-US"/>
        </w:rPr>
        <w:t>Adriana María Guillén Arango.</w:t>
      </w:r>
    </w:p>
    <w:p w14:paraId="3A28360E" w14:textId="77777777" w:rsidR="00141641" w:rsidRPr="00251665" w:rsidRDefault="00141641" w:rsidP="00141641">
      <w:pPr>
        <w:pStyle w:val="Textonotapie"/>
        <w:ind w:firstLine="709"/>
        <w:jc w:val="both"/>
        <w:rPr>
          <w:rFonts w:ascii="Arial" w:hAnsi="Arial" w:cs="Arial"/>
          <w:sz w:val="19"/>
          <w:szCs w:val="19"/>
          <w:lang w:val="es-ES"/>
        </w:rPr>
      </w:pPr>
      <w:r w:rsidRPr="00251665">
        <w:rPr>
          <w:rFonts w:ascii="Arial" w:hAnsi="Arial" w:cs="Arial"/>
          <w:sz w:val="19"/>
          <w:szCs w:val="19"/>
          <w:lang w:val="es-ES"/>
        </w:rPr>
        <w:t xml:space="preserve"> </w:t>
      </w:r>
    </w:p>
  </w:footnote>
  <w:footnote w:id="10">
    <w:p w14:paraId="6B2558FD" w14:textId="067949AC" w:rsidR="002D07FD" w:rsidRPr="002D07FD" w:rsidRDefault="002D07FD" w:rsidP="002D07FD">
      <w:pPr>
        <w:pStyle w:val="Textonotapie"/>
        <w:ind w:firstLine="708"/>
        <w:jc w:val="both"/>
        <w:rPr>
          <w:rFonts w:ascii="Arial" w:hAnsi="Arial" w:cs="Arial"/>
          <w:sz w:val="19"/>
          <w:szCs w:val="19"/>
          <w:lang w:val="es-CO"/>
        </w:rPr>
      </w:pPr>
      <w:r w:rsidRPr="002D07FD">
        <w:rPr>
          <w:rStyle w:val="Refdenotaalpie"/>
          <w:rFonts w:ascii="Arial" w:hAnsi="Arial" w:cs="Arial"/>
          <w:sz w:val="19"/>
          <w:szCs w:val="19"/>
        </w:rPr>
        <w:footnoteRef/>
      </w:r>
      <w:r w:rsidRPr="002D07FD">
        <w:rPr>
          <w:rFonts w:ascii="Arial" w:hAnsi="Arial" w:cs="Arial"/>
          <w:sz w:val="19"/>
          <w:szCs w:val="19"/>
        </w:rPr>
        <w:t xml:space="preserve"> Dicho artículo indica que «</w:t>
      </w:r>
      <w:r w:rsidRPr="002D07FD">
        <w:rPr>
          <w:rFonts w:ascii="Arial" w:hAnsi="Arial" w:cs="Arial"/>
          <w:color w:val="000000"/>
          <w:sz w:val="19"/>
          <w:szCs w:val="19"/>
        </w:rPr>
        <w:t>Las Entidades Estatales pueden realizar convocatorias limitadas a Mipyme nacionales domiciliadas en los departamentos o municipios en donde se va a ejecutar el contrato. La Mipyme debe acreditar su domicilio con el registro mercantil o el certificado de existencia y representación legal de la empresa». </w:t>
      </w:r>
      <w:r w:rsidRPr="002D07FD">
        <w:rPr>
          <w:rFonts w:ascii="Arial" w:hAnsi="Arial" w:cs="Arial"/>
          <w:sz w:val="19"/>
          <w:szCs w:val="19"/>
        </w:rPr>
        <w:t xml:space="preserve"> </w:t>
      </w:r>
    </w:p>
  </w:footnote>
  <w:footnote w:id="11">
    <w:p w14:paraId="2D3BC0A4" w14:textId="77777777" w:rsidR="00875DCB" w:rsidRPr="00251665" w:rsidRDefault="00875DCB" w:rsidP="00875DCB">
      <w:pPr>
        <w:pStyle w:val="Textonotapie"/>
        <w:ind w:firstLine="708"/>
        <w:rPr>
          <w:rFonts w:ascii="Arial" w:hAnsi="Arial" w:cs="Arial"/>
          <w:sz w:val="19"/>
          <w:szCs w:val="19"/>
        </w:rPr>
      </w:pPr>
      <w:r w:rsidRPr="00251665">
        <w:rPr>
          <w:rStyle w:val="Refdenotaalpie"/>
          <w:rFonts w:ascii="Arial" w:hAnsi="Arial" w:cs="Arial"/>
          <w:sz w:val="19"/>
          <w:szCs w:val="19"/>
        </w:rPr>
        <w:footnoteRef/>
      </w:r>
      <w:r w:rsidRPr="00251665">
        <w:rPr>
          <w:rFonts w:ascii="Arial" w:hAnsi="Arial" w:cs="Arial"/>
          <w:sz w:val="19"/>
          <w:szCs w:val="19"/>
        </w:rPr>
        <w:t xml:space="preserve">  Agencia Nacional de Contratación Pública – Colombia Compra Eficiente. Concepto C-045 del 17 de marzo de 2020. Radicado de salida No. 2202013000001974.</w:t>
      </w:r>
    </w:p>
  </w:footnote>
  <w:footnote w:id="12">
    <w:p w14:paraId="6F9E8FDD" w14:textId="77777777" w:rsidR="00E31482" w:rsidRPr="00B555C3" w:rsidRDefault="00E31482" w:rsidP="00E31482">
      <w:pPr>
        <w:pStyle w:val="Textonotapie"/>
        <w:ind w:firstLine="708"/>
        <w:jc w:val="both"/>
        <w:rPr>
          <w:rFonts w:ascii="Arial" w:hAnsi="Arial" w:cs="Arial"/>
          <w:sz w:val="19"/>
          <w:szCs w:val="19"/>
        </w:rPr>
      </w:pPr>
      <w:r w:rsidRPr="00B555C3">
        <w:rPr>
          <w:rStyle w:val="Refdenotaalpie"/>
          <w:rFonts w:ascii="Arial" w:hAnsi="Arial" w:cs="Arial"/>
          <w:sz w:val="19"/>
          <w:szCs w:val="19"/>
        </w:rPr>
        <w:footnoteRef/>
      </w:r>
      <w:r w:rsidRPr="00B555C3">
        <w:rPr>
          <w:rFonts w:ascii="Arial" w:hAnsi="Arial" w:cs="Arial"/>
          <w:sz w:val="19"/>
          <w:szCs w:val="19"/>
        </w:rPr>
        <w:t xml:space="preserve"> </w:t>
      </w:r>
      <w:bookmarkStart w:id="4" w:name="76"/>
      <w:r w:rsidRPr="00B555C3">
        <w:rPr>
          <w:rFonts w:ascii="Arial" w:hAnsi="Arial" w:cs="Arial"/>
          <w:bCs/>
          <w:sz w:val="19"/>
          <w:szCs w:val="19"/>
        </w:rPr>
        <w:t>Artículo 76. Domicilio.</w:t>
      </w:r>
      <w:bookmarkEnd w:id="4"/>
      <w:r w:rsidRPr="00B555C3">
        <w:rPr>
          <w:rFonts w:ascii="Arial" w:hAnsi="Arial" w:cs="Arial"/>
          <w:sz w:val="19"/>
          <w:szCs w:val="19"/>
        </w:rPr>
        <w:t> El domicilio consiste en la residencia acompañada, real o presuntivamente del ánimo de permanecer en ella.</w:t>
      </w:r>
    </w:p>
    <w:p w14:paraId="3101FDA2" w14:textId="77777777" w:rsidR="00E31482" w:rsidRPr="00B555C3" w:rsidRDefault="00E31482" w:rsidP="00E31482">
      <w:pPr>
        <w:pStyle w:val="Textonotapie"/>
        <w:ind w:firstLine="708"/>
        <w:jc w:val="both"/>
        <w:rPr>
          <w:rFonts w:ascii="Arial" w:hAnsi="Arial" w:cs="Arial"/>
          <w:sz w:val="19"/>
          <w:szCs w:val="19"/>
          <w:lang w:val="es-ES"/>
        </w:rPr>
      </w:pPr>
    </w:p>
  </w:footnote>
  <w:footnote w:id="13">
    <w:p w14:paraId="14041BF7" w14:textId="5D32C1D0" w:rsidR="0009006B" w:rsidRPr="0009006B" w:rsidRDefault="0009006B" w:rsidP="0009006B">
      <w:pPr>
        <w:pStyle w:val="Textonotapie"/>
        <w:ind w:firstLine="708"/>
        <w:jc w:val="both"/>
        <w:rPr>
          <w:rFonts w:ascii="Arial" w:hAnsi="Arial" w:cs="Arial"/>
          <w:sz w:val="19"/>
          <w:szCs w:val="19"/>
        </w:rPr>
      </w:pPr>
      <w:r>
        <w:rPr>
          <w:rStyle w:val="Refdenotaalpie"/>
        </w:rPr>
        <w:footnoteRef/>
      </w:r>
      <w:r>
        <w:t xml:space="preserve"> </w:t>
      </w:r>
      <w:r w:rsidRPr="0009006B">
        <w:rPr>
          <w:rFonts w:ascii="Arial" w:hAnsi="Arial" w:cs="Arial"/>
          <w:sz w:val="19"/>
          <w:szCs w:val="19"/>
        </w:rPr>
        <w:t xml:space="preserve">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 </w:t>
      </w:r>
    </w:p>
    <w:p w14:paraId="0D812A58" w14:textId="7F423F8C" w:rsidR="0009006B" w:rsidRPr="0009006B" w:rsidRDefault="0009006B" w:rsidP="0009006B">
      <w:pPr>
        <w:pStyle w:val="Textonotapie"/>
        <w:ind w:firstLine="708"/>
        <w:jc w:val="both"/>
        <w:rPr>
          <w:rFonts w:ascii="Arial" w:hAnsi="Arial" w:cs="Arial"/>
          <w:sz w:val="19"/>
          <w:szCs w:val="19"/>
        </w:rPr>
      </w:pPr>
      <w:r w:rsidRPr="0009006B">
        <w:rPr>
          <w:rFonts w:ascii="Arial" w:hAnsi="Arial" w:cs="Arial"/>
          <w:sz w:val="19"/>
          <w:szCs w:val="19"/>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18BE35D6" w14:textId="2B8CC8C9" w:rsidR="0009006B" w:rsidRPr="0009006B" w:rsidRDefault="0009006B" w:rsidP="0009006B">
      <w:pPr>
        <w:pStyle w:val="Textonotapie"/>
        <w:ind w:firstLine="708"/>
        <w:jc w:val="both"/>
        <w:rPr>
          <w:rFonts w:ascii="Arial" w:hAnsi="Arial" w:cs="Arial"/>
          <w:sz w:val="19"/>
          <w:szCs w:val="19"/>
        </w:rPr>
      </w:pPr>
      <w:r w:rsidRPr="0009006B">
        <w:rPr>
          <w:rFonts w:ascii="Arial" w:hAnsi="Arial" w:cs="Arial"/>
          <w:sz w:val="19"/>
          <w:szCs w:val="19"/>
        </w:rPr>
        <w:t xml:space="preserve">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51736A11" w14:textId="52FF8249" w:rsidR="0009006B" w:rsidRPr="0009006B" w:rsidRDefault="0009006B" w:rsidP="0009006B">
      <w:pPr>
        <w:pStyle w:val="Textonotapie"/>
        <w:ind w:firstLine="708"/>
        <w:jc w:val="both"/>
        <w:rPr>
          <w:rFonts w:ascii="Arial" w:hAnsi="Arial" w:cs="Arial"/>
          <w:sz w:val="19"/>
          <w:szCs w:val="19"/>
        </w:rPr>
      </w:pPr>
      <w:r w:rsidRPr="0009006B">
        <w:rPr>
          <w:rFonts w:ascii="Arial" w:hAnsi="Arial" w:cs="Arial"/>
          <w:sz w:val="19"/>
          <w:szCs w:val="19"/>
        </w:rPr>
        <w:t xml:space="preserve">Tratándose de personas jurídicas, las solicitudes solo las podrán realizar Mipyme, cuyo objeto social les permita ejecutar el contrato relacionado con el proceso contractual. </w:t>
      </w:r>
    </w:p>
    <w:p w14:paraId="5A2F2509" w14:textId="53B8EE28" w:rsidR="0009006B" w:rsidRPr="0009006B" w:rsidRDefault="0009006B" w:rsidP="0009006B">
      <w:pPr>
        <w:pStyle w:val="Textonotapie"/>
        <w:ind w:firstLine="708"/>
        <w:jc w:val="both"/>
        <w:rPr>
          <w:rFonts w:ascii="Arial" w:hAnsi="Arial" w:cs="Arial"/>
          <w:sz w:val="19"/>
          <w:szCs w:val="19"/>
        </w:rPr>
      </w:pPr>
      <w:r w:rsidRPr="0009006B">
        <w:rPr>
          <w:rFonts w:ascii="Arial" w:hAnsi="Arial" w:cs="Arial"/>
          <w:sz w:val="19"/>
          <w:szCs w:val="19"/>
        </w:rPr>
        <w:t>PARÁGRAFO. Las cooperativas y demás entidades de economía solidaria, siempre que tengan la calidad de Mípyme, podrán solicitar y participar en las convocatorias limitadas en las mismas condiciones dispuestas en el presente artículo.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8F4163" w:rsidRDefault="008F4163">
    <w:pPr>
      <w:pStyle w:val="Encabezado"/>
    </w:pPr>
    <w:r>
      <w:rPr>
        <w:noProof/>
        <w:lang w:val="es-ES_tradnl" w:eastAsia="es-ES_tradnl"/>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3"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6"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51F2084E"/>
    <w:multiLevelType w:val="hybridMultilevel"/>
    <w:tmpl w:val="6C4AF576"/>
    <w:lvl w:ilvl="0" w:tplc="CED44512">
      <w:start w:val="1"/>
      <w:numFmt w:val="decimal"/>
      <w:lvlText w:val="%1."/>
      <w:lvlJc w:val="left"/>
      <w:pPr>
        <w:tabs>
          <w:tab w:val="num" w:pos="720"/>
        </w:tabs>
        <w:ind w:left="720" w:hanging="360"/>
      </w:pPr>
    </w:lvl>
    <w:lvl w:ilvl="1" w:tplc="2DB862AE" w:tentative="1">
      <w:start w:val="1"/>
      <w:numFmt w:val="decimal"/>
      <w:lvlText w:val="%2."/>
      <w:lvlJc w:val="left"/>
      <w:pPr>
        <w:tabs>
          <w:tab w:val="num" w:pos="1440"/>
        </w:tabs>
        <w:ind w:left="1440" w:hanging="360"/>
      </w:pPr>
    </w:lvl>
    <w:lvl w:ilvl="2" w:tplc="03AC466C" w:tentative="1">
      <w:start w:val="1"/>
      <w:numFmt w:val="decimal"/>
      <w:lvlText w:val="%3."/>
      <w:lvlJc w:val="left"/>
      <w:pPr>
        <w:tabs>
          <w:tab w:val="num" w:pos="2160"/>
        </w:tabs>
        <w:ind w:left="2160" w:hanging="360"/>
      </w:pPr>
    </w:lvl>
    <w:lvl w:ilvl="3" w:tplc="1820C460" w:tentative="1">
      <w:start w:val="1"/>
      <w:numFmt w:val="decimal"/>
      <w:lvlText w:val="%4."/>
      <w:lvlJc w:val="left"/>
      <w:pPr>
        <w:tabs>
          <w:tab w:val="num" w:pos="2880"/>
        </w:tabs>
        <w:ind w:left="2880" w:hanging="360"/>
      </w:pPr>
    </w:lvl>
    <w:lvl w:ilvl="4" w:tplc="3294A48C" w:tentative="1">
      <w:start w:val="1"/>
      <w:numFmt w:val="decimal"/>
      <w:lvlText w:val="%5."/>
      <w:lvlJc w:val="left"/>
      <w:pPr>
        <w:tabs>
          <w:tab w:val="num" w:pos="3600"/>
        </w:tabs>
        <w:ind w:left="3600" w:hanging="360"/>
      </w:pPr>
    </w:lvl>
    <w:lvl w:ilvl="5" w:tplc="F77A9290" w:tentative="1">
      <w:start w:val="1"/>
      <w:numFmt w:val="decimal"/>
      <w:lvlText w:val="%6."/>
      <w:lvlJc w:val="left"/>
      <w:pPr>
        <w:tabs>
          <w:tab w:val="num" w:pos="4320"/>
        </w:tabs>
        <w:ind w:left="4320" w:hanging="360"/>
      </w:pPr>
    </w:lvl>
    <w:lvl w:ilvl="6" w:tplc="303A9F5E" w:tentative="1">
      <w:start w:val="1"/>
      <w:numFmt w:val="decimal"/>
      <w:lvlText w:val="%7."/>
      <w:lvlJc w:val="left"/>
      <w:pPr>
        <w:tabs>
          <w:tab w:val="num" w:pos="5040"/>
        </w:tabs>
        <w:ind w:left="5040" w:hanging="360"/>
      </w:pPr>
    </w:lvl>
    <w:lvl w:ilvl="7" w:tplc="895C1678" w:tentative="1">
      <w:start w:val="1"/>
      <w:numFmt w:val="decimal"/>
      <w:lvlText w:val="%8."/>
      <w:lvlJc w:val="left"/>
      <w:pPr>
        <w:tabs>
          <w:tab w:val="num" w:pos="5760"/>
        </w:tabs>
        <w:ind w:left="5760" w:hanging="360"/>
      </w:pPr>
    </w:lvl>
    <w:lvl w:ilvl="8" w:tplc="665C70BC" w:tentative="1">
      <w:start w:val="1"/>
      <w:numFmt w:val="decimal"/>
      <w:lvlText w:val="%9."/>
      <w:lvlJc w:val="left"/>
      <w:pPr>
        <w:tabs>
          <w:tab w:val="num" w:pos="6480"/>
        </w:tabs>
        <w:ind w:left="6480" w:hanging="360"/>
      </w:pPr>
    </w:lvl>
  </w:abstractNum>
  <w:abstractNum w:abstractNumId="15"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6"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9"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0"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2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038313572">
    <w:abstractNumId w:val="9"/>
  </w:num>
  <w:num w:numId="2" w16cid:durableId="1584796277">
    <w:abstractNumId w:val="7"/>
  </w:num>
  <w:num w:numId="3" w16cid:durableId="324862621">
    <w:abstractNumId w:val="12"/>
  </w:num>
  <w:num w:numId="4" w16cid:durableId="1042897256">
    <w:abstractNumId w:val="15"/>
  </w:num>
  <w:num w:numId="5" w16cid:durableId="967007512">
    <w:abstractNumId w:val="19"/>
  </w:num>
  <w:num w:numId="6" w16cid:durableId="113622265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80902250">
    <w:abstractNumId w:val="17"/>
  </w:num>
  <w:num w:numId="8" w16cid:durableId="1612282775">
    <w:abstractNumId w:val="0"/>
  </w:num>
  <w:num w:numId="9" w16cid:durableId="790441776">
    <w:abstractNumId w:val="3"/>
  </w:num>
  <w:num w:numId="10" w16cid:durableId="31865169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5613127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14861429">
    <w:abstractNumId w:val="8"/>
  </w:num>
  <w:num w:numId="13" w16cid:durableId="110394372">
    <w:abstractNumId w:val="11"/>
  </w:num>
  <w:num w:numId="14" w16cid:durableId="277613372">
    <w:abstractNumId w:val="6"/>
  </w:num>
  <w:num w:numId="15" w16cid:durableId="758720373">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59184570">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98057633">
    <w:abstractNumId w:val="21"/>
  </w:num>
  <w:num w:numId="18" w16cid:durableId="303854413">
    <w:abstractNumId w:val="13"/>
  </w:num>
  <w:num w:numId="19" w16cid:durableId="534777461">
    <w:abstractNumId w:val="2"/>
  </w:num>
  <w:num w:numId="20" w16cid:durableId="1463621690">
    <w:abstractNumId w:val="22"/>
  </w:num>
  <w:num w:numId="21" w16cid:durableId="1445925935">
    <w:abstractNumId w:val="14"/>
  </w:num>
  <w:num w:numId="22" w16cid:durableId="682440074">
    <w:abstractNumId w:val="5"/>
  </w:num>
  <w:num w:numId="23" w16cid:durableId="1432974467">
    <w:abstractNumId w:val="4"/>
  </w:num>
  <w:num w:numId="24" w16cid:durableId="563029951">
    <w:abstractNumId w:val="20"/>
  </w:num>
  <w:num w:numId="25" w16cid:durableId="158953611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85A"/>
    <w:rsid w:val="00000559"/>
    <w:rsid w:val="0000162E"/>
    <w:rsid w:val="00001A1C"/>
    <w:rsid w:val="00001FFD"/>
    <w:rsid w:val="00002027"/>
    <w:rsid w:val="000020FE"/>
    <w:rsid w:val="00002173"/>
    <w:rsid w:val="000031A8"/>
    <w:rsid w:val="00003C5C"/>
    <w:rsid w:val="00003D39"/>
    <w:rsid w:val="000040D7"/>
    <w:rsid w:val="00004556"/>
    <w:rsid w:val="000051AF"/>
    <w:rsid w:val="000059D3"/>
    <w:rsid w:val="00005B6D"/>
    <w:rsid w:val="0000600A"/>
    <w:rsid w:val="00006081"/>
    <w:rsid w:val="00007750"/>
    <w:rsid w:val="000077FD"/>
    <w:rsid w:val="00007E37"/>
    <w:rsid w:val="00010C40"/>
    <w:rsid w:val="000112B4"/>
    <w:rsid w:val="00011DCC"/>
    <w:rsid w:val="00011EA4"/>
    <w:rsid w:val="00012532"/>
    <w:rsid w:val="00012B9E"/>
    <w:rsid w:val="00012F37"/>
    <w:rsid w:val="00012FBA"/>
    <w:rsid w:val="00013C6B"/>
    <w:rsid w:val="0001406B"/>
    <w:rsid w:val="000140E5"/>
    <w:rsid w:val="000143F8"/>
    <w:rsid w:val="00014624"/>
    <w:rsid w:val="00015126"/>
    <w:rsid w:val="00015B44"/>
    <w:rsid w:val="00016081"/>
    <w:rsid w:val="000165AC"/>
    <w:rsid w:val="00016651"/>
    <w:rsid w:val="000171A2"/>
    <w:rsid w:val="00017B65"/>
    <w:rsid w:val="00020158"/>
    <w:rsid w:val="000207E0"/>
    <w:rsid w:val="000209E2"/>
    <w:rsid w:val="00020F8F"/>
    <w:rsid w:val="00021A95"/>
    <w:rsid w:val="00021C8A"/>
    <w:rsid w:val="0002256F"/>
    <w:rsid w:val="00023DAE"/>
    <w:rsid w:val="00024896"/>
    <w:rsid w:val="000255FA"/>
    <w:rsid w:val="00025D0A"/>
    <w:rsid w:val="000263F0"/>
    <w:rsid w:val="00026407"/>
    <w:rsid w:val="00026608"/>
    <w:rsid w:val="00027787"/>
    <w:rsid w:val="000278D2"/>
    <w:rsid w:val="00030DFB"/>
    <w:rsid w:val="00031364"/>
    <w:rsid w:val="000315E1"/>
    <w:rsid w:val="0003236E"/>
    <w:rsid w:val="000323C6"/>
    <w:rsid w:val="00032689"/>
    <w:rsid w:val="0003339A"/>
    <w:rsid w:val="000341F2"/>
    <w:rsid w:val="00035046"/>
    <w:rsid w:val="000351F2"/>
    <w:rsid w:val="0003535C"/>
    <w:rsid w:val="00035768"/>
    <w:rsid w:val="00036D03"/>
    <w:rsid w:val="00036E03"/>
    <w:rsid w:val="000406DB"/>
    <w:rsid w:val="0004094D"/>
    <w:rsid w:val="0004098C"/>
    <w:rsid w:val="00041029"/>
    <w:rsid w:val="00041357"/>
    <w:rsid w:val="0004149B"/>
    <w:rsid w:val="00041FC6"/>
    <w:rsid w:val="00042961"/>
    <w:rsid w:val="00042C25"/>
    <w:rsid w:val="00042D03"/>
    <w:rsid w:val="00043086"/>
    <w:rsid w:val="000430A0"/>
    <w:rsid w:val="00043652"/>
    <w:rsid w:val="00043D3B"/>
    <w:rsid w:val="0004418C"/>
    <w:rsid w:val="00044204"/>
    <w:rsid w:val="0004477A"/>
    <w:rsid w:val="000449D4"/>
    <w:rsid w:val="0004600D"/>
    <w:rsid w:val="000463B5"/>
    <w:rsid w:val="00046717"/>
    <w:rsid w:val="00046A63"/>
    <w:rsid w:val="00046C09"/>
    <w:rsid w:val="0004716A"/>
    <w:rsid w:val="00047385"/>
    <w:rsid w:val="000473E8"/>
    <w:rsid w:val="000504DE"/>
    <w:rsid w:val="00051074"/>
    <w:rsid w:val="000526F0"/>
    <w:rsid w:val="0005273D"/>
    <w:rsid w:val="00052B79"/>
    <w:rsid w:val="00052E4B"/>
    <w:rsid w:val="00052EA0"/>
    <w:rsid w:val="000536A7"/>
    <w:rsid w:val="000536E3"/>
    <w:rsid w:val="00053896"/>
    <w:rsid w:val="00053A00"/>
    <w:rsid w:val="00053DBC"/>
    <w:rsid w:val="0005474D"/>
    <w:rsid w:val="00055CB9"/>
    <w:rsid w:val="00056F66"/>
    <w:rsid w:val="0005702F"/>
    <w:rsid w:val="000578FF"/>
    <w:rsid w:val="00061010"/>
    <w:rsid w:val="00061D06"/>
    <w:rsid w:val="0006282F"/>
    <w:rsid w:val="00062CDD"/>
    <w:rsid w:val="00062DB3"/>
    <w:rsid w:val="00063472"/>
    <w:rsid w:val="000640AF"/>
    <w:rsid w:val="00064940"/>
    <w:rsid w:val="00064CAE"/>
    <w:rsid w:val="00064DB7"/>
    <w:rsid w:val="00064FA7"/>
    <w:rsid w:val="00065195"/>
    <w:rsid w:val="0006536C"/>
    <w:rsid w:val="0006626E"/>
    <w:rsid w:val="00066A7F"/>
    <w:rsid w:val="00070AF1"/>
    <w:rsid w:val="000714DE"/>
    <w:rsid w:val="0007254F"/>
    <w:rsid w:val="0007324F"/>
    <w:rsid w:val="0007357C"/>
    <w:rsid w:val="00073C30"/>
    <w:rsid w:val="00074305"/>
    <w:rsid w:val="000744D0"/>
    <w:rsid w:val="00074B2A"/>
    <w:rsid w:val="00074EEE"/>
    <w:rsid w:val="000753D5"/>
    <w:rsid w:val="00075B3E"/>
    <w:rsid w:val="00076456"/>
    <w:rsid w:val="0007779B"/>
    <w:rsid w:val="000777E7"/>
    <w:rsid w:val="0007790A"/>
    <w:rsid w:val="000779F2"/>
    <w:rsid w:val="0008017B"/>
    <w:rsid w:val="00080ACD"/>
    <w:rsid w:val="000811ED"/>
    <w:rsid w:val="00081D62"/>
    <w:rsid w:val="00082B74"/>
    <w:rsid w:val="00083099"/>
    <w:rsid w:val="00083EDC"/>
    <w:rsid w:val="00084B97"/>
    <w:rsid w:val="00084F87"/>
    <w:rsid w:val="00085033"/>
    <w:rsid w:val="0008510E"/>
    <w:rsid w:val="000856DE"/>
    <w:rsid w:val="00085F17"/>
    <w:rsid w:val="00085FB0"/>
    <w:rsid w:val="00085FB3"/>
    <w:rsid w:val="0008686B"/>
    <w:rsid w:val="00086B2A"/>
    <w:rsid w:val="00086ED2"/>
    <w:rsid w:val="00087A64"/>
    <w:rsid w:val="0009006B"/>
    <w:rsid w:val="0009082C"/>
    <w:rsid w:val="00090C39"/>
    <w:rsid w:val="000914D6"/>
    <w:rsid w:val="00091569"/>
    <w:rsid w:val="0009216B"/>
    <w:rsid w:val="00092CDB"/>
    <w:rsid w:val="00092DCA"/>
    <w:rsid w:val="00093851"/>
    <w:rsid w:val="000942EB"/>
    <w:rsid w:val="00095B70"/>
    <w:rsid w:val="0009616D"/>
    <w:rsid w:val="0009617E"/>
    <w:rsid w:val="0009628D"/>
    <w:rsid w:val="0009670F"/>
    <w:rsid w:val="000970E4"/>
    <w:rsid w:val="000979CF"/>
    <w:rsid w:val="000A03C8"/>
    <w:rsid w:val="000A05F2"/>
    <w:rsid w:val="000A06C4"/>
    <w:rsid w:val="000A0861"/>
    <w:rsid w:val="000A0EC4"/>
    <w:rsid w:val="000A0ED1"/>
    <w:rsid w:val="000A12DB"/>
    <w:rsid w:val="000A17C8"/>
    <w:rsid w:val="000A1B74"/>
    <w:rsid w:val="000A20D7"/>
    <w:rsid w:val="000A2128"/>
    <w:rsid w:val="000A362F"/>
    <w:rsid w:val="000A3B49"/>
    <w:rsid w:val="000A46FE"/>
    <w:rsid w:val="000A47E6"/>
    <w:rsid w:val="000A52C0"/>
    <w:rsid w:val="000A5AAF"/>
    <w:rsid w:val="000A5ACE"/>
    <w:rsid w:val="000A5F97"/>
    <w:rsid w:val="000A648E"/>
    <w:rsid w:val="000A7268"/>
    <w:rsid w:val="000A73BB"/>
    <w:rsid w:val="000A73E8"/>
    <w:rsid w:val="000A7EF4"/>
    <w:rsid w:val="000B03A7"/>
    <w:rsid w:val="000B046C"/>
    <w:rsid w:val="000B0A15"/>
    <w:rsid w:val="000B103F"/>
    <w:rsid w:val="000B1437"/>
    <w:rsid w:val="000B1470"/>
    <w:rsid w:val="000B244D"/>
    <w:rsid w:val="000B2A1A"/>
    <w:rsid w:val="000B2B86"/>
    <w:rsid w:val="000B3051"/>
    <w:rsid w:val="000B419B"/>
    <w:rsid w:val="000B56F9"/>
    <w:rsid w:val="000B5781"/>
    <w:rsid w:val="000B5CB1"/>
    <w:rsid w:val="000B75F4"/>
    <w:rsid w:val="000C0185"/>
    <w:rsid w:val="000C084E"/>
    <w:rsid w:val="000C0F81"/>
    <w:rsid w:val="000C128D"/>
    <w:rsid w:val="000C17A3"/>
    <w:rsid w:val="000C1D4B"/>
    <w:rsid w:val="000C2DC4"/>
    <w:rsid w:val="000C3260"/>
    <w:rsid w:val="000C3B77"/>
    <w:rsid w:val="000C3F6D"/>
    <w:rsid w:val="000C47E0"/>
    <w:rsid w:val="000C4F49"/>
    <w:rsid w:val="000C5861"/>
    <w:rsid w:val="000C5BDE"/>
    <w:rsid w:val="000C639D"/>
    <w:rsid w:val="000C6C31"/>
    <w:rsid w:val="000C6DBC"/>
    <w:rsid w:val="000C6F79"/>
    <w:rsid w:val="000C7476"/>
    <w:rsid w:val="000C7480"/>
    <w:rsid w:val="000C7711"/>
    <w:rsid w:val="000C7AA2"/>
    <w:rsid w:val="000D0462"/>
    <w:rsid w:val="000D053D"/>
    <w:rsid w:val="000D0ED2"/>
    <w:rsid w:val="000D107D"/>
    <w:rsid w:val="000D13FD"/>
    <w:rsid w:val="000D1CEB"/>
    <w:rsid w:val="000D2563"/>
    <w:rsid w:val="000D25BF"/>
    <w:rsid w:val="000D2FE4"/>
    <w:rsid w:val="000D3FDC"/>
    <w:rsid w:val="000D490B"/>
    <w:rsid w:val="000D4E38"/>
    <w:rsid w:val="000D50DB"/>
    <w:rsid w:val="000D6288"/>
    <w:rsid w:val="000D6C10"/>
    <w:rsid w:val="000D728B"/>
    <w:rsid w:val="000D7541"/>
    <w:rsid w:val="000D75E1"/>
    <w:rsid w:val="000E05E2"/>
    <w:rsid w:val="000E22CF"/>
    <w:rsid w:val="000E2977"/>
    <w:rsid w:val="000E2CC0"/>
    <w:rsid w:val="000E30AC"/>
    <w:rsid w:val="000E3B46"/>
    <w:rsid w:val="000E3E11"/>
    <w:rsid w:val="000E4596"/>
    <w:rsid w:val="000E4B94"/>
    <w:rsid w:val="000E4D50"/>
    <w:rsid w:val="000E5768"/>
    <w:rsid w:val="000E5843"/>
    <w:rsid w:val="000E6139"/>
    <w:rsid w:val="000E63B7"/>
    <w:rsid w:val="000E653C"/>
    <w:rsid w:val="000E6BE1"/>
    <w:rsid w:val="000E707D"/>
    <w:rsid w:val="000E7E0B"/>
    <w:rsid w:val="000F0136"/>
    <w:rsid w:val="000F078A"/>
    <w:rsid w:val="000F122D"/>
    <w:rsid w:val="000F1450"/>
    <w:rsid w:val="000F14E8"/>
    <w:rsid w:val="000F1BBD"/>
    <w:rsid w:val="000F290F"/>
    <w:rsid w:val="000F4403"/>
    <w:rsid w:val="000F480B"/>
    <w:rsid w:val="000F4A7F"/>
    <w:rsid w:val="000F4E17"/>
    <w:rsid w:val="000F55A8"/>
    <w:rsid w:val="000F5615"/>
    <w:rsid w:val="000F6578"/>
    <w:rsid w:val="000F6F92"/>
    <w:rsid w:val="000F7E8F"/>
    <w:rsid w:val="000F7FBB"/>
    <w:rsid w:val="001000FB"/>
    <w:rsid w:val="00100A9E"/>
    <w:rsid w:val="00100F6A"/>
    <w:rsid w:val="00102605"/>
    <w:rsid w:val="00102686"/>
    <w:rsid w:val="00102745"/>
    <w:rsid w:val="00102B05"/>
    <w:rsid w:val="00103795"/>
    <w:rsid w:val="00103915"/>
    <w:rsid w:val="001039AA"/>
    <w:rsid w:val="00103EA0"/>
    <w:rsid w:val="00104149"/>
    <w:rsid w:val="00104F1C"/>
    <w:rsid w:val="001051E5"/>
    <w:rsid w:val="00105A74"/>
    <w:rsid w:val="00105ACB"/>
    <w:rsid w:val="00105AEF"/>
    <w:rsid w:val="00106259"/>
    <w:rsid w:val="001068EB"/>
    <w:rsid w:val="001078CE"/>
    <w:rsid w:val="00110F61"/>
    <w:rsid w:val="001111BD"/>
    <w:rsid w:val="0011165A"/>
    <w:rsid w:val="00111B2B"/>
    <w:rsid w:val="00112774"/>
    <w:rsid w:val="00112B2E"/>
    <w:rsid w:val="00112C13"/>
    <w:rsid w:val="00113003"/>
    <w:rsid w:val="00113062"/>
    <w:rsid w:val="0011318E"/>
    <w:rsid w:val="0011359A"/>
    <w:rsid w:val="00113705"/>
    <w:rsid w:val="00113975"/>
    <w:rsid w:val="00113CFC"/>
    <w:rsid w:val="00113FEA"/>
    <w:rsid w:val="00114A22"/>
    <w:rsid w:val="00114E9D"/>
    <w:rsid w:val="0011507B"/>
    <w:rsid w:val="001156A7"/>
    <w:rsid w:val="00115C37"/>
    <w:rsid w:val="00116328"/>
    <w:rsid w:val="001163CF"/>
    <w:rsid w:val="0011641B"/>
    <w:rsid w:val="00116EC5"/>
    <w:rsid w:val="001174C9"/>
    <w:rsid w:val="001177FE"/>
    <w:rsid w:val="00117E69"/>
    <w:rsid w:val="00120427"/>
    <w:rsid w:val="00121103"/>
    <w:rsid w:val="00121B78"/>
    <w:rsid w:val="00121BAB"/>
    <w:rsid w:val="00121E3C"/>
    <w:rsid w:val="00122B23"/>
    <w:rsid w:val="00122B7E"/>
    <w:rsid w:val="00123E27"/>
    <w:rsid w:val="00123FB5"/>
    <w:rsid w:val="0012400F"/>
    <w:rsid w:val="001249DC"/>
    <w:rsid w:val="0012572D"/>
    <w:rsid w:val="00125BED"/>
    <w:rsid w:val="00125C59"/>
    <w:rsid w:val="00125D4F"/>
    <w:rsid w:val="00127004"/>
    <w:rsid w:val="0012770B"/>
    <w:rsid w:val="00127AF2"/>
    <w:rsid w:val="00127EDC"/>
    <w:rsid w:val="00127F42"/>
    <w:rsid w:val="00127F6D"/>
    <w:rsid w:val="00130355"/>
    <w:rsid w:val="00130365"/>
    <w:rsid w:val="00130413"/>
    <w:rsid w:val="001304E5"/>
    <w:rsid w:val="00131B5A"/>
    <w:rsid w:val="001329BC"/>
    <w:rsid w:val="00132C30"/>
    <w:rsid w:val="00132E6A"/>
    <w:rsid w:val="00132EFD"/>
    <w:rsid w:val="00133AED"/>
    <w:rsid w:val="00134BCD"/>
    <w:rsid w:val="00134E09"/>
    <w:rsid w:val="001350AB"/>
    <w:rsid w:val="00135DB9"/>
    <w:rsid w:val="00135E5D"/>
    <w:rsid w:val="0013695C"/>
    <w:rsid w:val="00136BF7"/>
    <w:rsid w:val="00136C78"/>
    <w:rsid w:val="00137440"/>
    <w:rsid w:val="001378B9"/>
    <w:rsid w:val="00137FFA"/>
    <w:rsid w:val="00140109"/>
    <w:rsid w:val="0014029B"/>
    <w:rsid w:val="00140464"/>
    <w:rsid w:val="00140A4F"/>
    <w:rsid w:val="001413AB"/>
    <w:rsid w:val="00141641"/>
    <w:rsid w:val="00141690"/>
    <w:rsid w:val="00141DBF"/>
    <w:rsid w:val="001429B2"/>
    <w:rsid w:val="00142EFD"/>
    <w:rsid w:val="00144335"/>
    <w:rsid w:val="0014502F"/>
    <w:rsid w:val="00145282"/>
    <w:rsid w:val="001453B0"/>
    <w:rsid w:val="001454D9"/>
    <w:rsid w:val="00145D8E"/>
    <w:rsid w:val="00146083"/>
    <w:rsid w:val="001462F7"/>
    <w:rsid w:val="001471AB"/>
    <w:rsid w:val="00147F35"/>
    <w:rsid w:val="00150005"/>
    <w:rsid w:val="00151AEB"/>
    <w:rsid w:val="00151B99"/>
    <w:rsid w:val="00151E79"/>
    <w:rsid w:val="001521B2"/>
    <w:rsid w:val="00152EDD"/>
    <w:rsid w:val="00153491"/>
    <w:rsid w:val="0015361C"/>
    <w:rsid w:val="0015372F"/>
    <w:rsid w:val="00153BFB"/>
    <w:rsid w:val="0015407E"/>
    <w:rsid w:val="0015448E"/>
    <w:rsid w:val="00154A6F"/>
    <w:rsid w:val="00154B68"/>
    <w:rsid w:val="00155BED"/>
    <w:rsid w:val="00155D08"/>
    <w:rsid w:val="0015623B"/>
    <w:rsid w:val="00156BE5"/>
    <w:rsid w:val="00157232"/>
    <w:rsid w:val="00160401"/>
    <w:rsid w:val="00160C01"/>
    <w:rsid w:val="00160D4E"/>
    <w:rsid w:val="00161DDA"/>
    <w:rsid w:val="00161E62"/>
    <w:rsid w:val="00161F1C"/>
    <w:rsid w:val="0016200B"/>
    <w:rsid w:val="0016204B"/>
    <w:rsid w:val="001630BF"/>
    <w:rsid w:val="00163D7A"/>
    <w:rsid w:val="00164281"/>
    <w:rsid w:val="00165703"/>
    <w:rsid w:val="00165E5C"/>
    <w:rsid w:val="00166204"/>
    <w:rsid w:val="00166797"/>
    <w:rsid w:val="0016685F"/>
    <w:rsid w:val="0016712F"/>
    <w:rsid w:val="00167503"/>
    <w:rsid w:val="001676A9"/>
    <w:rsid w:val="00167A15"/>
    <w:rsid w:val="00167A50"/>
    <w:rsid w:val="00167D1A"/>
    <w:rsid w:val="00167DF5"/>
    <w:rsid w:val="00170001"/>
    <w:rsid w:val="00172198"/>
    <w:rsid w:val="00172612"/>
    <w:rsid w:val="00172817"/>
    <w:rsid w:val="001734E3"/>
    <w:rsid w:val="001742BF"/>
    <w:rsid w:val="001742E1"/>
    <w:rsid w:val="00175E49"/>
    <w:rsid w:val="0017649F"/>
    <w:rsid w:val="0017655B"/>
    <w:rsid w:val="00176EEB"/>
    <w:rsid w:val="00177EAA"/>
    <w:rsid w:val="001805C1"/>
    <w:rsid w:val="00180A2E"/>
    <w:rsid w:val="00180F75"/>
    <w:rsid w:val="001813AF"/>
    <w:rsid w:val="001826C9"/>
    <w:rsid w:val="001829CD"/>
    <w:rsid w:val="00182F01"/>
    <w:rsid w:val="00184219"/>
    <w:rsid w:val="00184F27"/>
    <w:rsid w:val="0018519B"/>
    <w:rsid w:val="001858C9"/>
    <w:rsid w:val="00185966"/>
    <w:rsid w:val="00185A2D"/>
    <w:rsid w:val="00185AFE"/>
    <w:rsid w:val="00185E78"/>
    <w:rsid w:val="001868D9"/>
    <w:rsid w:val="00187177"/>
    <w:rsid w:val="00187ABD"/>
    <w:rsid w:val="001904E3"/>
    <w:rsid w:val="0019087A"/>
    <w:rsid w:val="00191C5A"/>
    <w:rsid w:val="00191CEB"/>
    <w:rsid w:val="00191E63"/>
    <w:rsid w:val="00192D68"/>
    <w:rsid w:val="0019388B"/>
    <w:rsid w:val="00193ADE"/>
    <w:rsid w:val="00193B9A"/>
    <w:rsid w:val="001940ED"/>
    <w:rsid w:val="001946AE"/>
    <w:rsid w:val="001946D5"/>
    <w:rsid w:val="00194E8C"/>
    <w:rsid w:val="001962EC"/>
    <w:rsid w:val="001963DD"/>
    <w:rsid w:val="001965DB"/>
    <w:rsid w:val="00196D01"/>
    <w:rsid w:val="00196DC9"/>
    <w:rsid w:val="00196E95"/>
    <w:rsid w:val="0019707B"/>
    <w:rsid w:val="00197758"/>
    <w:rsid w:val="001A0236"/>
    <w:rsid w:val="001A0915"/>
    <w:rsid w:val="001A0AF8"/>
    <w:rsid w:val="001A0E1B"/>
    <w:rsid w:val="001A1490"/>
    <w:rsid w:val="001A18D5"/>
    <w:rsid w:val="001A1A38"/>
    <w:rsid w:val="001A1BE0"/>
    <w:rsid w:val="001A1D4A"/>
    <w:rsid w:val="001A3011"/>
    <w:rsid w:val="001A3078"/>
    <w:rsid w:val="001A4314"/>
    <w:rsid w:val="001A4894"/>
    <w:rsid w:val="001A4A9B"/>
    <w:rsid w:val="001A4B32"/>
    <w:rsid w:val="001A4DAF"/>
    <w:rsid w:val="001A54CD"/>
    <w:rsid w:val="001A611F"/>
    <w:rsid w:val="001A66DF"/>
    <w:rsid w:val="001A67D0"/>
    <w:rsid w:val="001A6863"/>
    <w:rsid w:val="001A7591"/>
    <w:rsid w:val="001A75B1"/>
    <w:rsid w:val="001A7B06"/>
    <w:rsid w:val="001B0366"/>
    <w:rsid w:val="001B0444"/>
    <w:rsid w:val="001B096B"/>
    <w:rsid w:val="001B0F9F"/>
    <w:rsid w:val="001B123C"/>
    <w:rsid w:val="001B1A0D"/>
    <w:rsid w:val="001B1BF1"/>
    <w:rsid w:val="001B21AC"/>
    <w:rsid w:val="001B2456"/>
    <w:rsid w:val="001B3B25"/>
    <w:rsid w:val="001B449C"/>
    <w:rsid w:val="001B4AA2"/>
    <w:rsid w:val="001B4ADE"/>
    <w:rsid w:val="001B5530"/>
    <w:rsid w:val="001B5EF8"/>
    <w:rsid w:val="001B71E8"/>
    <w:rsid w:val="001C033E"/>
    <w:rsid w:val="001C07C6"/>
    <w:rsid w:val="001C120D"/>
    <w:rsid w:val="001C16DA"/>
    <w:rsid w:val="001C19CD"/>
    <w:rsid w:val="001C2119"/>
    <w:rsid w:val="001C22D5"/>
    <w:rsid w:val="001C2515"/>
    <w:rsid w:val="001C26FB"/>
    <w:rsid w:val="001C33C1"/>
    <w:rsid w:val="001C3E30"/>
    <w:rsid w:val="001C3E5C"/>
    <w:rsid w:val="001C5072"/>
    <w:rsid w:val="001C5B2A"/>
    <w:rsid w:val="001C600B"/>
    <w:rsid w:val="001C6898"/>
    <w:rsid w:val="001C6DD8"/>
    <w:rsid w:val="001C76FA"/>
    <w:rsid w:val="001C79A4"/>
    <w:rsid w:val="001C7C7B"/>
    <w:rsid w:val="001D068D"/>
    <w:rsid w:val="001D09DB"/>
    <w:rsid w:val="001D12D1"/>
    <w:rsid w:val="001D15DF"/>
    <w:rsid w:val="001D2552"/>
    <w:rsid w:val="001D2EEE"/>
    <w:rsid w:val="001D30F3"/>
    <w:rsid w:val="001D31A0"/>
    <w:rsid w:val="001D338E"/>
    <w:rsid w:val="001D4562"/>
    <w:rsid w:val="001D56E9"/>
    <w:rsid w:val="001D6944"/>
    <w:rsid w:val="001D6CD2"/>
    <w:rsid w:val="001D796A"/>
    <w:rsid w:val="001D7A84"/>
    <w:rsid w:val="001D7C79"/>
    <w:rsid w:val="001E003B"/>
    <w:rsid w:val="001E1CC4"/>
    <w:rsid w:val="001E1D38"/>
    <w:rsid w:val="001E28A0"/>
    <w:rsid w:val="001E3FFE"/>
    <w:rsid w:val="001E4258"/>
    <w:rsid w:val="001E5140"/>
    <w:rsid w:val="001E5D6A"/>
    <w:rsid w:val="001E6A94"/>
    <w:rsid w:val="001E70FB"/>
    <w:rsid w:val="001E780A"/>
    <w:rsid w:val="001F0325"/>
    <w:rsid w:val="001F0806"/>
    <w:rsid w:val="001F0D15"/>
    <w:rsid w:val="001F0FA0"/>
    <w:rsid w:val="001F1299"/>
    <w:rsid w:val="001F1349"/>
    <w:rsid w:val="001F1863"/>
    <w:rsid w:val="001F2356"/>
    <w:rsid w:val="001F2462"/>
    <w:rsid w:val="001F2868"/>
    <w:rsid w:val="001F2A68"/>
    <w:rsid w:val="001F2C47"/>
    <w:rsid w:val="001F4773"/>
    <w:rsid w:val="001F5008"/>
    <w:rsid w:val="001F56AA"/>
    <w:rsid w:val="001F57EB"/>
    <w:rsid w:val="001F58AA"/>
    <w:rsid w:val="001F5A4E"/>
    <w:rsid w:val="001F5D34"/>
    <w:rsid w:val="001F5EF6"/>
    <w:rsid w:val="001F657F"/>
    <w:rsid w:val="001F6FB6"/>
    <w:rsid w:val="001F7144"/>
    <w:rsid w:val="001F72BB"/>
    <w:rsid w:val="001F792A"/>
    <w:rsid w:val="001F7978"/>
    <w:rsid w:val="001F7A0E"/>
    <w:rsid w:val="001F7A4B"/>
    <w:rsid w:val="0020022E"/>
    <w:rsid w:val="0020054E"/>
    <w:rsid w:val="00201508"/>
    <w:rsid w:val="00201AC4"/>
    <w:rsid w:val="00201F1E"/>
    <w:rsid w:val="00202761"/>
    <w:rsid w:val="0020299B"/>
    <w:rsid w:val="00202B2A"/>
    <w:rsid w:val="00202E44"/>
    <w:rsid w:val="002037AA"/>
    <w:rsid w:val="00203FE3"/>
    <w:rsid w:val="002042D8"/>
    <w:rsid w:val="00204515"/>
    <w:rsid w:val="00204BF5"/>
    <w:rsid w:val="00204E6B"/>
    <w:rsid w:val="002053EF"/>
    <w:rsid w:val="002058D4"/>
    <w:rsid w:val="0020632A"/>
    <w:rsid w:val="0020697F"/>
    <w:rsid w:val="00206F4D"/>
    <w:rsid w:val="0020726E"/>
    <w:rsid w:val="00207389"/>
    <w:rsid w:val="002110EB"/>
    <w:rsid w:val="00211338"/>
    <w:rsid w:val="00211388"/>
    <w:rsid w:val="0021148C"/>
    <w:rsid w:val="00211694"/>
    <w:rsid w:val="0021201A"/>
    <w:rsid w:val="00212545"/>
    <w:rsid w:val="002138FE"/>
    <w:rsid w:val="00213A1F"/>
    <w:rsid w:val="00213C63"/>
    <w:rsid w:val="00214502"/>
    <w:rsid w:val="00214741"/>
    <w:rsid w:val="00214938"/>
    <w:rsid w:val="0021539A"/>
    <w:rsid w:val="00215852"/>
    <w:rsid w:val="00215B01"/>
    <w:rsid w:val="00215B8E"/>
    <w:rsid w:val="00216264"/>
    <w:rsid w:val="002169A0"/>
    <w:rsid w:val="002176B6"/>
    <w:rsid w:val="0021792D"/>
    <w:rsid w:val="00217DB8"/>
    <w:rsid w:val="002202CE"/>
    <w:rsid w:val="0022032A"/>
    <w:rsid w:val="002212FB"/>
    <w:rsid w:val="0022194E"/>
    <w:rsid w:val="002220B1"/>
    <w:rsid w:val="002221CE"/>
    <w:rsid w:val="00222BE8"/>
    <w:rsid w:val="00222DF6"/>
    <w:rsid w:val="00223102"/>
    <w:rsid w:val="002232CB"/>
    <w:rsid w:val="00224022"/>
    <w:rsid w:val="00226055"/>
    <w:rsid w:val="0022609C"/>
    <w:rsid w:val="0022613F"/>
    <w:rsid w:val="0022614F"/>
    <w:rsid w:val="00226236"/>
    <w:rsid w:val="002266AF"/>
    <w:rsid w:val="002270C9"/>
    <w:rsid w:val="00227A8B"/>
    <w:rsid w:val="00230062"/>
    <w:rsid w:val="0023146B"/>
    <w:rsid w:val="002315A0"/>
    <w:rsid w:val="00231748"/>
    <w:rsid w:val="00231A18"/>
    <w:rsid w:val="00231DCC"/>
    <w:rsid w:val="00231EC7"/>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0DA2"/>
    <w:rsid w:val="00240EC1"/>
    <w:rsid w:val="0024120F"/>
    <w:rsid w:val="0024131D"/>
    <w:rsid w:val="002415B8"/>
    <w:rsid w:val="00241B82"/>
    <w:rsid w:val="002420B3"/>
    <w:rsid w:val="00242D5F"/>
    <w:rsid w:val="00242D62"/>
    <w:rsid w:val="002430D0"/>
    <w:rsid w:val="002431D7"/>
    <w:rsid w:val="00244058"/>
    <w:rsid w:val="00244FC3"/>
    <w:rsid w:val="00245718"/>
    <w:rsid w:val="002457E9"/>
    <w:rsid w:val="00245E07"/>
    <w:rsid w:val="0024665E"/>
    <w:rsid w:val="00247712"/>
    <w:rsid w:val="00250A9E"/>
    <w:rsid w:val="00250EC6"/>
    <w:rsid w:val="002515C7"/>
    <w:rsid w:val="00251866"/>
    <w:rsid w:val="00251A9F"/>
    <w:rsid w:val="00252492"/>
    <w:rsid w:val="00252B35"/>
    <w:rsid w:val="00253070"/>
    <w:rsid w:val="0025316D"/>
    <w:rsid w:val="00253723"/>
    <w:rsid w:val="00253A02"/>
    <w:rsid w:val="00253B81"/>
    <w:rsid w:val="00254AE9"/>
    <w:rsid w:val="002554DE"/>
    <w:rsid w:val="00255575"/>
    <w:rsid w:val="00255AD7"/>
    <w:rsid w:val="00255E11"/>
    <w:rsid w:val="002564B7"/>
    <w:rsid w:val="00256835"/>
    <w:rsid w:val="002569F0"/>
    <w:rsid w:val="00256C01"/>
    <w:rsid w:val="00256E1A"/>
    <w:rsid w:val="00256ECF"/>
    <w:rsid w:val="00257730"/>
    <w:rsid w:val="00257999"/>
    <w:rsid w:val="002579B2"/>
    <w:rsid w:val="002604AA"/>
    <w:rsid w:val="00260523"/>
    <w:rsid w:val="0026129B"/>
    <w:rsid w:val="00261560"/>
    <w:rsid w:val="00261715"/>
    <w:rsid w:val="00261CF9"/>
    <w:rsid w:val="00261EC0"/>
    <w:rsid w:val="0026231B"/>
    <w:rsid w:val="00263101"/>
    <w:rsid w:val="002631D1"/>
    <w:rsid w:val="00263201"/>
    <w:rsid w:val="00263A37"/>
    <w:rsid w:val="00264266"/>
    <w:rsid w:val="0026471F"/>
    <w:rsid w:val="0026480D"/>
    <w:rsid w:val="002653A6"/>
    <w:rsid w:val="002661F1"/>
    <w:rsid w:val="00266316"/>
    <w:rsid w:val="00266DB6"/>
    <w:rsid w:val="00270797"/>
    <w:rsid w:val="002711A4"/>
    <w:rsid w:val="00271230"/>
    <w:rsid w:val="00271F13"/>
    <w:rsid w:val="00272945"/>
    <w:rsid w:val="00272E89"/>
    <w:rsid w:val="002742D0"/>
    <w:rsid w:val="0027482E"/>
    <w:rsid w:val="002748F1"/>
    <w:rsid w:val="00274DB5"/>
    <w:rsid w:val="00275BB1"/>
    <w:rsid w:val="00276EF7"/>
    <w:rsid w:val="0027770B"/>
    <w:rsid w:val="00277933"/>
    <w:rsid w:val="00277F8D"/>
    <w:rsid w:val="00277FA7"/>
    <w:rsid w:val="00280046"/>
    <w:rsid w:val="002809B4"/>
    <w:rsid w:val="00280B4F"/>
    <w:rsid w:val="00280F3D"/>
    <w:rsid w:val="0028106A"/>
    <w:rsid w:val="00281451"/>
    <w:rsid w:val="00281EB4"/>
    <w:rsid w:val="00282E03"/>
    <w:rsid w:val="0028308E"/>
    <w:rsid w:val="002834E9"/>
    <w:rsid w:val="002837BA"/>
    <w:rsid w:val="00283A52"/>
    <w:rsid w:val="00283C5E"/>
    <w:rsid w:val="00283E26"/>
    <w:rsid w:val="0028428F"/>
    <w:rsid w:val="00284CFC"/>
    <w:rsid w:val="00285832"/>
    <w:rsid w:val="00285969"/>
    <w:rsid w:val="0028599C"/>
    <w:rsid w:val="0028663B"/>
    <w:rsid w:val="00286CEC"/>
    <w:rsid w:val="002870F9"/>
    <w:rsid w:val="002871A9"/>
    <w:rsid w:val="00287505"/>
    <w:rsid w:val="00287BDB"/>
    <w:rsid w:val="00290781"/>
    <w:rsid w:val="00291784"/>
    <w:rsid w:val="002920DF"/>
    <w:rsid w:val="002928A3"/>
    <w:rsid w:val="002929BB"/>
    <w:rsid w:val="00292A27"/>
    <w:rsid w:val="00294368"/>
    <w:rsid w:val="00294B78"/>
    <w:rsid w:val="00295416"/>
    <w:rsid w:val="00295949"/>
    <w:rsid w:val="00295D7C"/>
    <w:rsid w:val="0029624A"/>
    <w:rsid w:val="00296922"/>
    <w:rsid w:val="00296F59"/>
    <w:rsid w:val="00297098"/>
    <w:rsid w:val="002A05D4"/>
    <w:rsid w:val="002A06DB"/>
    <w:rsid w:val="002A09FF"/>
    <w:rsid w:val="002A0E60"/>
    <w:rsid w:val="002A1A58"/>
    <w:rsid w:val="002A1B02"/>
    <w:rsid w:val="002A1C53"/>
    <w:rsid w:val="002A1F84"/>
    <w:rsid w:val="002A244B"/>
    <w:rsid w:val="002A28FC"/>
    <w:rsid w:val="002A2B44"/>
    <w:rsid w:val="002A2EA5"/>
    <w:rsid w:val="002A301E"/>
    <w:rsid w:val="002A3555"/>
    <w:rsid w:val="002A3D94"/>
    <w:rsid w:val="002A3F66"/>
    <w:rsid w:val="002A4736"/>
    <w:rsid w:val="002A4B1C"/>
    <w:rsid w:val="002A55FE"/>
    <w:rsid w:val="002A625C"/>
    <w:rsid w:val="002A6AFB"/>
    <w:rsid w:val="002A733D"/>
    <w:rsid w:val="002A774A"/>
    <w:rsid w:val="002A7840"/>
    <w:rsid w:val="002A78F3"/>
    <w:rsid w:val="002A7D84"/>
    <w:rsid w:val="002A7E5C"/>
    <w:rsid w:val="002A7F6D"/>
    <w:rsid w:val="002B0D83"/>
    <w:rsid w:val="002B1342"/>
    <w:rsid w:val="002B1F83"/>
    <w:rsid w:val="002B27C8"/>
    <w:rsid w:val="002B2A7F"/>
    <w:rsid w:val="002B330B"/>
    <w:rsid w:val="002B39BE"/>
    <w:rsid w:val="002B438C"/>
    <w:rsid w:val="002B48DB"/>
    <w:rsid w:val="002B4B34"/>
    <w:rsid w:val="002B541A"/>
    <w:rsid w:val="002B5EAB"/>
    <w:rsid w:val="002B5F2E"/>
    <w:rsid w:val="002B6407"/>
    <w:rsid w:val="002B6416"/>
    <w:rsid w:val="002B6459"/>
    <w:rsid w:val="002B64C5"/>
    <w:rsid w:val="002B6F22"/>
    <w:rsid w:val="002B7014"/>
    <w:rsid w:val="002B73B0"/>
    <w:rsid w:val="002C0589"/>
    <w:rsid w:val="002C24B4"/>
    <w:rsid w:val="002C2B3A"/>
    <w:rsid w:val="002C2B87"/>
    <w:rsid w:val="002C3CF4"/>
    <w:rsid w:val="002C441A"/>
    <w:rsid w:val="002C4A2B"/>
    <w:rsid w:val="002C4A73"/>
    <w:rsid w:val="002C4B84"/>
    <w:rsid w:val="002C4C0C"/>
    <w:rsid w:val="002C5016"/>
    <w:rsid w:val="002C5C2F"/>
    <w:rsid w:val="002C5D0F"/>
    <w:rsid w:val="002C60B9"/>
    <w:rsid w:val="002C6F77"/>
    <w:rsid w:val="002C704D"/>
    <w:rsid w:val="002D07FD"/>
    <w:rsid w:val="002D0845"/>
    <w:rsid w:val="002D0933"/>
    <w:rsid w:val="002D1555"/>
    <w:rsid w:val="002D15B6"/>
    <w:rsid w:val="002D19BB"/>
    <w:rsid w:val="002D1A9B"/>
    <w:rsid w:val="002D1F51"/>
    <w:rsid w:val="002D20F8"/>
    <w:rsid w:val="002D22BD"/>
    <w:rsid w:val="002D22C5"/>
    <w:rsid w:val="002D302A"/>
    <w:rsid w:val="002D36C6"/>
    <w:rsid w:val="002D37C1"/>
    <w:rsid w:val="002D444B"/>
    <w:rsid w:val="002D46A6"/>
    <w:rsid w:val="002D46B4"/>
    <w:rsid w:val="002D46CE"/>
    <w:rsid w:val="002D49C2"/>
    <w:rsid w:val="002D4A45"/>
    <w:rsid w:val="002D4B42"/>
    <w:rsid w:val="002D4B43"/>
    <w:rsid w:val="002D5A1B"/>
    <w:rsid w:val="002D6558"/>
    <w:rsid w:val="002D65BC"/>
    <w:rsid w:val="002E055C"/>
    <w:rsid w:val="002E1050"/>
    <w:rsid w:val="002E107E"/>
    <w:rsid w:val="002E18E5"/>
    <w:rsid w:val="002E1953"/>
    <w:rsid w:val="002E2C3F"/>
    <w:rsid w:val="002E2CB5"/>
    <w:rsid w:val="002E2D7D"/>
    <w:rsid w:val="002E32D0"/>
    <w:rsid w:val="002E3931"/>
    <w:rsid w:val="002E3D76"/>
    <w:rsid w:val="002E40A1"/>
    <w:rsid w:val="002E48EC"/>
    <w:rsid w:val="002E4B44"/>
    <w:rsid w:val="002E4ECB"/>
    <w:rsid w:val="002E4F23"/>
    <w:rsid w:val="002E515D"/>
    <w:rsid w:val="002E635A"/>
    <w:rsid w:val="002E6D68"/>
    <w:rsid w:val="002E77E7"/>
    <w:rsid w:val="002E7847"/>
    <w:rsid w:val="002F0073"/>
    <w:rsid w:val="002F1B27"/>
    <w:rsid w:val="002F1C67"/>
    <w:rsid w:val="002F240B"/>
    <w:rsid w:val="002F24DA"/>
    <w:rsid w:val="002F2F50"/>
    <w:rsid w:val="002F33EC"/>
    <w:rsid w:val="002F34E3"/>
    <w:rsid w:val="002F3601"/>
    <w:rsid w:val="002F40E2"/>
    <w:rsid w:val="002F45F6"/>
    <w:rsid w:val="002F5A6F"/>
    <w:rsid w:val="002F692F"/>
    <w:rsid w:val="002F7031"/>
    <w:rsid w:val="002F7961"/>
    <w:rsid w:val="002F7B66"/>
    <w:rsid w:val="00300CB4"/>
    <w:rsid w:val="00300E24"/>
    <w:rsid w:val="0030257B"/>
    <w:rsid w:val="003033BA"/>
    <w:rsid w:val="00303C19"/>
    <w:rsid w:val="003043A3"/>
    <w:rsid w:val="0030462D"/>
    <w:rsid w:val="00304BD4"/>
    <w:rsid w:val="00304F54"/>
    <w:rsid w:val="0030500A"/>
    <w:rsid w:val="003052EB"/>
    <w:rsid w:val="00305FCB"/>
    <w:rsid w:val="003063C3"/>
    <w:rsid w:val="003069DC"/>
    <w:rsid w:val="00306A13"/>
    <w:rsid w:val="00306B44"/>
    <w:rsid w:val="00307C44"/>
    <w:rsid w:val="0031040A"/>
    <w:rsid w:val="0031088E"/>
    <w:rsid w:val="00310D01"/>
    <w:rsid w:val="00311376"/>
    <w:rsid w:val="00311A1F"/>
    <w:rsid w:val="00311B47"/>
    <w:rsid w:val="00311D52"/>
    <w:rsid w:val="00312190"/>
    <w:rsid w:val="003125E0"/>
    <w:rsid w:val="0031271D"/>
    <w:rsid w:val="003132BB"/>
    <w:rsid w:val="00313337"/>
    <w:rsid w:val="00313447"/>
    <w:rsid w:val="00313748"/>
    <w:rsid w:val="00313EA3"/>
    <w:rsid w:val="003151FE"/>
    <w:rsid w:val="00315365"/>
    <w:rsid w:val="00315457"/>
    <w:rsid w:val="00315A72"/>
    <w:rsid w:val="00315FFB"/>
    <w:rsid w:val="003161A4"/>
    <w:rsid w:val="00316955"/>
    <w:rsid w:val="0031713F"/>
    <w:rsid w:val="0031720A"/>
    <w:rsid w:val="0031749B"/>
    <w:rsid w:val="003174E5"/>
    <w:rsid w:val="00317C9D"/>
    <w:rsid w:val="00317CD2"/>
    <w:rsid w:val="00317D99"/>
    <w:rsid w:val="0032078D"/>
    <w:rsid w:val="00320ADF"/>
    <w:rsid w:val="0032137B"/>
    <w:rsid w:val="00321A70"/>
    <w:rsid w:val="00321BD6"/>
    <w:rsid w:val="00321FA3"/>
    <w:rsid w:val="003227D3"/>
    <w:rsid w:val="00322937"/>
    <w:rsid w:val="00323881"/>
    <w:rsid w:val="00324885"/>
    <w:rsid w:val="003251A8"/>
    <w:rsid w:val="003254B1"/>
    <w:rsid w:val="00325AD9"/>
    <w:rsid w:val="00325D79"/>
    <w:rsid w:val="00325D98"/>
    <w:rsid w:val="0032682A"/>
    <w:rsid w:val="00327A5C"/>
    <w:rsid w:val="003305BD"/>
    <w:rsid w:val="0033092C"/>
    <w:rsid w:val="0033122A"/>
    <w:rsid w:val="003315AC"/>
    <w:rsid w:val="00331932"/>
    <w:rsid w:val="00331F74"/>
    <w:rsid w:val="00332382"/>
    <w:rsid w:val="00332453"/>
    <w:rsid w:val="0033251B"/>
    <w:rsid w:val="00333A88"/>
    <w:rsid w:val="003351FF"/>
    <w:rsid w:val="00335B15"/>
    <w:rsid w:val="00335B21"/>
    <w:rsid w:val="00335D3F"/>
    <w:rsid w:val="00336104"/>
    <w:rsid w:val="00336729"/>
    <w:rsid w:val="00336CD9"/>
    <w:rsid w:val="0033726D"/>
    <w:rsid w:val="00337CA8"/>
    <w:rsid w:val="00340D3F"/>
    <w:rsid w:val="0034174B"/>
    <w:rsid w:val="0034177C"/>
    <w:rsid w:val="003420E9"/>
    <w:rsid w:val="00342345"/>
    <w:rsid w:val="00342C27"/>
    <w:rsid w:val="003430C8"/>
    <w:rsid w:val="003432C8"/>
    <w:rsid w:val="003434B3"/>
    <w:rsid w:val="00343536"/>
    <w:rsid w:val="00343EFB"/>
    <w:rsid w:val="00344760"/>
    <w:rsid w:val="003454E8"/>
    <w:rsid w:val="00345574"/>
    <w:rsid w:val="00345965"/>
    <w:rsid w:val="0034680A"/>
    <w:rsid w:val="00346C62"/>
    <w:rsid w:val="00346DCE"/>
    <w:rsid w:val="0034713F"/>
    <w:rsid w:val="00347202"/>
    <w:rsid w:val="0034778E"/>
    <w:rsid w:val="00347A5A"/>
    <w:rsid w:val="003501E2"/>
    <w:rsid w:val="003514B8"/>
    <w:rsid w:val="00351E10"/>
    <w:rsid w:val="003533F4"/>
    <w:rsid w:val="003536F6"/>
    <w:rsid w:val="00353DD5"/>
    <w:rsid w:val="00353F36"/>
    <w:rsid w:val="00355131"/>
    <w:rsid w:val="00355F74"/>
    <w:rsid w:val="003560DB"/>
    <w:rsid w:val="003564DB"/>
    <w:rsid w:val="00356F87"/>
    <w:rsid w:val="00357E83"/>
    <w:rsid w:val="00360CF3"/>
    <w:rsid w:val="00361A59"/>
    <w:rsid w:val="00363348"/>
    <w:rsid w:val="00363857"/>
    <w:rsid w:val="00363D59"/>
    <w:rsid w:val="00363F08"/>
    <w:rsid w:val="003640F7"/>
    <w:rsid w:val="0036594A"/>
    <w:rsid w:val="00365AE5"/>
    <w:rsid w:val="00365D3A"/>
    <w:rsid w:val="003664FF"/>
    <w:rsid w:val="00366BD2"/>
    <w:rsid w:val="003670B8"/>
    <w:rsid w:val="003704A3"/>
    <w:rsid w:val="003706F2"/>
    <w:rsid w:val="003709E8"/>
    <w:rsid w:val="00371056"/>
    <w:rsid w:val="0037124F"/>
    <w:rsid w:val="00373827"/>
    <w:rsid w:val="0037401C"/>
    <w:rsid w:val="0037507B"/>
    <w:rsid w:val="00375C7C"/>
    <w:rsid w:val="00377027"/>
    <w:rsid w:val="00377135"/>
    <w:rsid w:val="00380272"/>
    <w:rsid w:val="003805DB"/>
    <w:rsid w:val="0038152A"/>
    <w:rsid w:val="0038245D"/>
    <w:rsid w:val="00382BAD"/>
    <w:rsid w:val="003835FD"/>
    <w:rsid w:val="00383DE4"/>
    <w:rsid w:val="00383EDF"/>
    <w:rsid w:val="00384494"/>
    <w:rsid w:val="00384C5E"/>
    <w:rsid w:val="00384DF1"/>
    <w:rsid w:val="00384FF3"/>
    <w:rsid w:val="00386456"/>
    <w:rsid w:val="003865A9"/>
    <w:rsid w:val="0039047D"/>
    <w:rsid w:val="003906FD"/>
    <w:rsid w:val="0039092B"/>
    <w:rsid w:val="00390BD9"/>
    <w:rsid w:val="00390F32"/>
    <w:rsid w:val="0039135E"/>
    <w:rsid w:val="00391867"/>
    <w:rsid w:val="0039285D"/>
    <w:rsid w:val="0039319C"/>
    <w:rsid w:val="00393577"/>
    <w:rsid w:val="00393CAE"/>
    <w:rsid w:val="003945F4"/>
    <w:rsid w:val="00394EB5"/>
    <w:rsid w:val="003953B4"/>
    <w:rsid w:val="00395558"/>
    <w:rsid w:val="0039615F"/>
    <w:rsid w:val="003966A0"/>
    <w:rsid w:val="00396A29"/>
    <w:rsid w:val="00397FF0"/>
    <w:rsid w:val="003A058E"/>
    <w:rsid w:val="003A0878"/>
    <w:rsid w:val="003A1561"/>
    <w:rsid w:val="003A1D25"/>
    <w:rsid w:val="003A22A2"/>
    <w:rsid w:val="003A2447"/>
    <w:rsid w:val="003A2AA1"/>
    <w:rsid w:val="003A31A5"/>
    <w:rsid w:val="003A329A"/>
    <w:rsid w:val="003A3603"/>
    <w:rsid w:val="003A3851"/>
    <w:rsid w:val="003A3898"/>
    <w:rsid w:val="003A39DD"/>
    <w:rsid w:val="003A40DB"/>
    <w:rsid w:val="003A4199"/>
    <w:rsid w:val="003A41C5"/>
    <w:rsid w:val="003A4A8E"/>
    <w:rsid w:val="003A4C7B"/>
    <w:rsid w:val="003A563C"/>
    <w:rsid w:val="003A581E"/>
    <w:rsid w:val="003A5E7E"/>
    <w:rsid w:val="003A6160"/>
    <w:rsid w:val="003A65A5"/>
    <w:rsid w:val="003A65AC"/>
    <w:rsid w:val="003A72F5"/>
    <w:rsid w:val="003A78E5"/>
    <w:rsid w:val="003B0341"/>
    <w:rsid w:val="003B1961"/>
    <w:rsid w:val="003B1E57"/>
    <w:rsid w:val="003B2EF3"/>
    <w:rsid w:val="003B534F"/>
    <w:rsid w:val="003B5391"/>
    <w:rsid w:val="003B58CE"/>
    <w:rsid w:val="003B65D7"/>
    <w:rsid w:val="003B65E0"/>
    <w:rsid w:val="003B6BD4"/>
    <w:rsid w:val="003B6F4D"/>
    <w:rsid w:val="003B6FE7"/>
    <w:rsid w:val="003C0491"/>
    <w:rsid w:val="003C0C0F"/>
    <w:rsid w:val="003C0D1F"/>
    <w:rsid w:val="003C116A"/>
    <w:rsid w:val="003C1AF4"/>
    <w:rsid w:val="003C1CB8"/>
    <w:rsid w:val="003C22DA"/>
    <w:rsid w:val="003C2550"/>
    <w:rsid w:val="003C287F"/>
    <w:rsid w:val="003C3339"/>
    <w:rsid w:val="003C375A"/>
    <w:rsid w:val="003C4317"/>
    <w:rsid w:val="003C4D9F"/>
    <w:rsid w:val="003C5247"/>
    <w:rsid w:val="003C5B02"/>
    <w:rsid w:val="003C5E8A"/>
    <w:rsid w:val="003C622C"/>
    <w:rsid w:val="003C6505"/>
    <w:rsid w:val="003C73C7"/>
    <w:rsid w:val="003C7CFB"/>
    <w:rsid w:val="003D02F3"/>
    <w:rsid w:val="003D050B"/>
    <w:rsid w:val="003D0B98"/>
    <w:rsid w:val="003D0C3C"/>
    <w:rsid w:val="003D0DE5"/>
    <w:rsid w:val="003D1351"/>
    <w:rsid w:val="003D1BCE"/>
    <w:rsid w:val="003D21C1"/>
    <w:rsid w:val="003D3B15"/>
    <w:rsid w:val="003D3B2E"/>
    <w:rsid w:val="003D3F28"/>
    <w:rsid w:val="003D4101"/>
    <w:rsid w:val="003D484D"/>
    <w:rsid w:val="003D49CB"/>
    <w:rsid w:val="003D4F41"/>
    <w:rsid w:val="003D5F10"/>
    <w:rsid w:val="003D62A4"/>
    <w:rsid w:val="003D65E0"/>
    <w:rsid w:val="003D6B8F"/>
    <w:rsid w:val="003D7566"/>
    <w:rsid w:val="003E0224"/>
    <w:rsid w:val="003E09BB"/>
    <w:rsid w:val="003E13D2"/>
    <w:rsid w:val="003E159D"/>
    <w:rsid w:val="003E20EA"/>
    <w:rsid w:val="003E210C"/>
    <w:rsid w:val="003E2F55"/>
    <w:rsid w:val="003E324A"/>
    <w:rsid w:val="003E34DB"/>
    <w:rsid w:val="003E3833"/>
    <w:rsid w:val="003E3AF9"/>
    <w:rsid w:val="003E4A70"/>
    <w:rsid w:val="003E4C48"/>
    <w:rsid w:val="003E4CD9"/>
    <w:rsid w:val="003E52C2"/>
    <w:rsid w:val="003E54B3"/>
    <w:rsid w:val="003E5780"/>
    <w:rsid w:val="003E5B9F"/>
    <w:rsid w:val="003E6072"/>
    <w:rsid w:val="003E60D6"/>
    <w:rsid w:val="003E6AB6"/>
    <w:rsid w:val="003E6E0B"/>
    <w:rsid w:val="003E71CD"/>
    <w:rsid w:val="003E78DA"/>
    <w:rsid w:val="003E7A8B"/>
    <w:rsid w:val="003F02A2"/>
    <w:rsid w:val="003F060E"/>
    <w:rsid w:val="003F0F7F"/>
    <w:rsid w:val="003F115C"/>
    <w:rsid w:val="003F153A"/>
    <w:rsid w:val="003F300D"/>
    <w:rsid w:val="003F391F"/>
    <w:rsid w:val="003F4599"/>
    <w:rsid w:val="003F45E1"/>
    <w:rsid w:val="003F4F6C"/>
    <w:rsid w:val="003F559E"/>
    <w:rsid w:val="003F6181"/>
    <w:rsid w:val="003F6BFC"/>
    <w:rsid w:val="003F7343"/>
    <w:rsid w:val="00400002"/>
    <w:rsid w:val="00400054"/>
    <w:rsid w:val="00400A1B"/>
    <w:rsid w:val="00400E06"/>
    <w:rsid w:val="00401533"/>
    <w:rsid w:val="004016A3"/>
    <w:rsid w:val="00401B31"/>
    <w:rsid w:val="0040202B"/>
    <w:rsid w:val="0040219D"/>
    <w:rsid w:val="00402DE1"/>
    <w:rsid w:val="00402EEB"/>
    <w:rsid w:val="00402FAF"/>
    <w:rsid w:val="004037C2"/>
    <w:rsid w:val="00404041"/>
    <w:rsid w:val="004040D4"/>
    <w:rsid w:val="00404B43"/>
    <w:rsid w:val="00404C61"/>
    <w:rsid w:val="00405487"/>
    <w:rsid w:val="00405B8A"/>
    <w:rsid w:val="0040602B"/>
    <w:rsid w:val="0040606C"/>
    <w:rsid w:val="004060DC"/>
    <w:rsid w:val="00406DF5"/>
    <w:rsid w:val="00406F35"/>
    <w:rsid w:val="004077D0"/>
    <w:rsid w:val="00407937"/>
    <w:rsid w:val="00407A7A"/>
    <w:rsid w:val="00407ABC"/>
    <w:rsid w:val="00407F1E"/>
    <w:rsid w:val="00410A88"/>
    <w:rsid w:val="00410CC8"/>
    <w:rsid w:val="00411317"/>
    <w:rsid w:val="00411692"/>
    <w:rsid w:val="00411A9E"/>
    <w:rsid w:val="0041259F"/>
    <w:rsid w:val="00412B1B"/>
    <w:rsid w:val="00412B4D"/>
    <w:rsid w:val="00412C51"/>
    <w:rsid w:val="00413262"/>
    <w:rsid w:val="0041329C"/>
    <w:rsid w:val="004139F4"/>
    <w:rsid w:val="00413FFA"/>
    <w:rsid w:val="00414246"/>
    <w:rsid w:val="0041463D"/>
    <w:rsid w:val="00414D9A"/>
    <w:rsid w:val="00415194"/>
    <w:rsid w:val="00415816"/>
    <w:rsid w:val="00415B88"/>
    <w:rsid w:val="00415D32"/>
    <w:rsid w:val="004160A2"/>
    <w:rsid w:val="0041674B"/>
    <w:rsid w:val="004170D7"/>
    <w:rsid w:val="004177A6"/>
    <w:rsid w:val="00417C23"/>
    <w:rsid w:val="00417EFD"/>
    <w:rsid w:val="004200EE"/>
    <w:rsid w:val="00420786"/>
    <w:rsid w:val="004207F3"/>
    <w:rsid w:val="004209D2"/>
    <w:rsid w:val="00420BBA"/>
    <w:rsid w:val="00420D6E"/>
    <w:rsid w:val="00420F50"/>
    <w:rsid w:val="0042158C"/>
    <w:rsid w:val="00421617"/>
    <w:rsid w:val="004217A7"/>
    <w:rsid w:val="00421BD2"/>
    <w:rsid w:val="00421E00"/>
    <w:rsid w:val="00421FCB"/>
    <w:rsid w:val="0042226E"/>
    <w:rsid w:val="00422DCA"/>
    <w:rsid w:val="00423D04"/>
    <w:rsid w:val="00423F9F"/>
    <w:rsid w:val="00424B4A"/>
    <w:rsid w:val="00425B2E"/>
    <w:rsid w:val="00425C43"/>
    <w:rsid w:val="004273FA"/>
    <w:rsid w:val="004275A7"/>
    <w:rsid w:val="004278D8"/>
    <w:rsid w:val="00430186"/>
    <w:rsid w:val="00430D44"/>
    <w:rsid w:val="00430DD2"/>
    <w:rsid w:val="00430F17"/>
    <w:rsid w:val="00431CC7"/>
    <w:rsid w:val="0043260C"/>
    <w:rsid w:val="0043269A"/>
    <w:rsid w:val="00432E92"/>
    <w:rsid w:val="004333C2"/>
    <w:rsid w:val="00434787"/>
    <w:rsid w:val="00434C13"/>
    <w:rsid w:val="00434D8B"/>
    <w:rsid w:val="00435294"/>
    <w:rsid w:val="00435703"/>
    <w:rsid w:val="00435BD5"/>
    <w:rsid w:val="00436323"/>
    <w:rsid w:val="0043683F"/>
    <w:rsid w:val="00436F40"/>
    <w:rsid w:val="004370FA"/>
    <w:rsid w:val="0043741B"/>
    <w:rsid w:val="00440096"/>
    <w:rsid w:val="004403DD"/>
    <w:rsid w:val="00440CF3"/>
    <w:rsid w:val="00440DB0"/>
    <w:rsid w:val="00440DDC"/>
    <w:rsid w:val="00440FAD"/>
    <w:rsid w:val="00441291"/>
    <w:rsid w:val="00441E04"/>
    <w:rsid w:val="004420AB"/>
    <w:rsid w:val="004422D6"/>
    <w:rsid w:val="004427AC"/>
    <w:rsid w:val="00442C7D"/>
    <w:rsid w:val="00442D13"/>
    <w:rsid w:val="00442D4D"/>
    <w:rsid w:val="0044361F"/>
    <w:rsid w:val="0044374D"/>
    <w:rsid w:val="00443B55"/>
    <w:rsid w:val="00443C25"/>
    <w:rsid w:val="00443D27"/>
    <w:rsid w:val="00444D7D"/>
    <w:rsid w:val="0044500B"/>
    <w:rsid w:val="004451C5"/>
    <w:rsid w:val="00446037"/>
    <w:rsid w:val="00446270"/>
    <w:rsid w:val="0044642F"/>
    <w:rsid w:val="00446709"/>
    <w:rsid w:val="00446922"/>
    <w:rsid w:val="0044772C"/>
    <w:rsid w:val="00450846"/>
    <w:rsid w:val="00451A52"/>
    <w:rsid w:val="0045271D"/>
    <w:rsid w:val="00452755"/>
    <w:rsid w:val="00452803"/>
    <w:rsid w:val="004529C6"/>
    <w:rsid w:val="00452A7C"/>
    <w:rsid w:val="00452EAD"/>
    <w:rsid w:val="004531DF"/>
    <w:rsid w:val="004533D1"/>
    <w:rsid w:val="004534D1"/>
    <w:rsid w:val="004540B8"/>
    <w:rsid w:val="00454548"/>
    <w:rsid w:val="00454717"/>
    <w:rsid w:val="00454DF8"/>
    <w:rsid w:val="00455004"/>
    <w:rsid w:val="00455047"/>
    <w:rsid w:val="00455354"/>
    <w:rsid w:val="0045558D"/>
    <w:rsid w:val="00455BD3"/>
    <w:rsid w:val="0045668F"/>
    <w:rsid w:val="004567DA"/>
    <w:rsid w:val="00456970"/>
    <w:rsid w:val="00456BB1"/>
    <w:rsid w:val="00456CD4"/>
    <w:rsid w:val="00456DDB"/>
    <w:rsid w:val="00456E61"/>
    <w:rsid w:val="00457031"/>
    <w:rsid w:val="00460915"/>
    <w:rsid w:val="00460946"/>
    <w:rsid w:val="004614A9"/>
    <w:rsid w:val="00461E97"/>
    <w:rsid w:val="0046268F"/>
    <w:rsid w:val="0046284F"/>
    <w:rsid w:val="00462B10"/>
    <w:rsid w:val="00462C04"/>
    <w:rsid w:val="0046320A"/>
    <w:rsid w:val="00463347"/>
    <w:rsid w:val="004636CC"/>
    <w:rsid w:val="004638E2"/>
    <w:rsid w:val="00464030"/>
    <w:rsid w:val="004647F8"/>
    <w:rsid w:val="004647FB"/>
    <w:rsid w:val="00465347"/>
    <w:rsid w:val="00465677"/>
    <w:rsid w:val="00466224"/>
    <w:rsid w:val="00466616"/>
    <w:rsid w:val="00466A0C"/>
    <w:rsid w:val="00466A53"/>
    <w:rsid w:val="00470A6A"/>
    <w:rsid w:val="00470D73"/>
    <w:rsid w:val="00470D92"/>
    <w:rsid w:val="00471DF7"/>
    <w:rsid w:val="004727B1"/>
    <w:rsid w:val="004734CF"/>
    <w:rsid w:val="00473F33"/>
    <w:rsid w:val="0047480D"/>
    <w:rsid w:val="0047586C"/>
    <w:rsid w:val="00475C5A"/>
    <w:rsid w:val="00475C9C"/>
    <w:rsid w:val="0047676B"/>
    <w:rsid w:val="00476A5C"/>
    <w:rsid w:val="004774C3"/>
    <w:rsid w:val="0047773C"/>
    <w:rsid w:val="00477C5F"/>
    <w:rsid w:val="00480050"/>
    <w:rsid w:val="0048011C"/>
    <w:rsid w:val="004808DE"/>
    <w:rsid w:val="00480F9A"/>
    <w:rsid w:val="00481912"/>
    <w:rsid w:val="00481AC4"/>
    <w:rsid w:val="00481DC1"/>
    <w:rsid w:val="00482507"/>
    <w:rsid w:val="0048268A"/>
    <w:rsid w:val="00482A64"/>
    <w:rsid w:val="004835CA"/>
    <w:rsid w:val="004836F8"/>
    <w:rsid w:val="004836FE"/>
    <w:rsid w:val="00484A39"/>
    <w:rsid w:val="00484F0F"/>
    <w:rsid w:val="00484F40"/>
    <w:rsid w:val="0048540C"/>
    <w:rsid w:val="004861B4"/>
    <w:rsid w:val="00486226"/>
    <w:rsid w:val="004862CD"/>
    <w:rsid w:val="00486BD0"/>
    <w:rsid w:val="00486D00"/>
    <w:rsid w:val="00486FF7"/>
    <w:rsid w:val="00487263"/>
    <w:rsid w:val="0048734F"/>
    <w:rsid w:val="0049029D"/>
    <w:rsid w:val="0049030C"/>
    <w:rsid w:val="004903C0"/>
    <w:rsid w:val="0049114B"/>
    <w:rsid w:val="004912A8"/>
    <w:rsid w:val="00491577"/>
    <w:rsid w:val="004918E1"/>
    <w:rsid w:val="0049196A"/>
    <w:rsid w:val="0049196E"/>
    <w:rsid w:val="0049241A"/>
    <w:rsid w:val="00492844"/>
    <w:rsid w:val="00492C1F"/>
    <w:rsid w:val="00492E4C"/>
    <w:rsid w:val="00493664"/>
    <w:rsid w:val="004938FD"/>
    <w:rsid w:val="00493E04"/>
    <w:rsid w:val="004940E3"/>
    <w:rsid w:val="004941CD"/>
    <w:rsid w:val="004948C5"/>
    <w:rsid w:val="0049530F"/>
    <w:rsid w:val="00496664"/>
    <w:rsid w:val="00496786"/>
    <w:rsid w:val="0049695B"/>
    <w:rsid w:val="00496AC4"/>
    <w:rsid w:val="00496D8F"/>
    <w:rsid w:val="00497463"/>
    <w:rsid w:val="004A054C"/>
    <w:rsid w:val="004A08D1"/>
    <w:rsid w:val="004A16C1"/>
    <w:rsid w:val="004A1CE2"/>
    <w:rsid w:val="004A2CC0"/>
    <w:rsid w:val="004A34D2"/>
    <w:rsid w:val="004A3E4A"/>
    <w:rsid w:val="004A4301"/>
    <w:rsid w:val="004A4D93"/>
    <w:rsid w:val="004A546E"/>
    <w:rsid w:val="004A58EE"/>
    <w:rsid w:val="004A59B7"/>
    <w:rsid w:val="004A6051"/>
    <w:rsid w:val="004A623B"/>
    <w:rsid w:val="004A6A04"/>
    <w:rsid w:val="004A6A52"/>
    <w:rsid w:val="004B0A44"/>
    <w:rsid w:val="004B0EED"/>
    <w:rsid w:val="004B0F0B"/>
    <w:rsid w:val="004B205A"/>
    <w:rsid w:val="004B2197"/>
    <w:rsid w:val="004B25D8"/>
    <w:rsid w:val="004B298A"/>
    <w:rsid w:val="004B2BB8"/>
    <w:rsid w:val="004B50CB"/>
    <w:rsid w:val="004B578D"/>
    <w:rsid w:val="004B5BE7"/>
    <w:rsid w:val="004B5E2D"/>
    <w:rsid w:val="004B65D9"/>
    <w:rsid w:val="004B6C07"/>
    <w:rsid w:val="004B74D3"/>
    <w:rsid w:val="004B755E"/>
    <w:rsid w:val="004B788E"/>
    <w:rsid w:val="004B7E5D"/>
    <w:rsid w:val="004C1198"/>
    <w:rsid w:val="004C22F7"/>
    <w:rsid w:val="004C2B27"/>
    <w:rsid w:val="004C3929"/>
    <w:rsid w:val="004C3FAA"/>
    <w:rsid w:val="004C4160"/>
    <w:rsid w:val="004C5212"/>
    <w:rsid w:val="004C5EF0"/>
    <w:rsid w:val="004C64C9"/>
    <w:rsid w:val="004C6DE8"/>
    <w:rsid w:val="004C7226"/>
    <w:rsid w:val="004C74C9"/>
    <w:rsid w:val="004C7915"/>
    <w:rsid w:val="004C7D70"/>
    <w:rsid w:val="004D02F9"/>
    <w:rsid w:val="004D03FE"/>
    <w:rsid w:val="004D0446"/>
    <w:rsid w:val="004D06A3"/>
    <w:rsid w:val="004D0CA6"/>
    <w:rsid w:val="004D0F95"/>
    <w:rsid w:val="004D106A"/>
    <w:rsid w:val="004D1C7E"/>
    <w:rsid w:val="004D245A"/>
    <w:rsid w:val="004D31EE"/>
    <w:rsid w:val="004D36AF"/>
    <w:rsid w:val="004D3BD1"/>
    <w:rsid w:val="004D4BA1"/>
    <w:rsid w:val="004D584D"/>
    <w:rsid w:val="004D5A7E"/>
    <w:rsid w:val="004D6120"/>
    <w:rsid w:val="004D6826"/>
    <w:rsid w:val="004D7497"/>
    <w:rsid w:val="004E023F"/>
    <w:rsid w:val="004E0546"/>
    <w:rsid w:val="004E0556"/>
    <w:rsid w:val="004E0742"/>
    <w:rsid w:val="004E0C64"/>
    <w:rsid w:val="004E0F6B"/>
    <w:rsid w:val="004E1545"/>
    <w:rsid w:val="004E1F1C"/>
    <w:rsid w:val="004E28D2"/>
    <w:rsid w:val="004E2A35"/>
    <w:rsid w:val="004E2CCF"/>
    <w:rsid w:val="004E3B71"/>
    <w:rsid w:val="004E40CE"/>
    <w:rsid w:val="004E5736"/>
    <w:rsid w:val="004E5A3C"/>
    <w:rsid w:val="004E5B36"/>
    <w:rsid w:val="004E5D5D"/>
    <w:rsid w:val="004E6045"/>
    <w:rsid w:val="004E6F43"/>
    <w:rsid w:val="004E71B7"/>
    <w:rsid w:val="004E7200"/>
    <w:rsid w:val="004E787E"/>
    <w:rsid w:val="004E7AA1"/>
    <w:rsid w:val="004F0805"/>
    <w:rsid w:val="004F0960"/>
    <w:rsid w:val="004F0A5C"/>
    <w:rsid w:val="004F1596"/>
    <w:rsid w:val="004F163F"/>
    <w:rsid w:val="004F18A0"/>
    <w:rsid w:val="004F1A08"/>
    <w:rsid w:val="004F1DFD"/>
    <w:rsid w:val="004F2364"/>
    <w:rsid w:val="004F2B64"/>
    <w:rsid w:val="004F31B8"/>
    <w:rsid w:val="004F375E"/>
    <w:rsid w:val="004F3764"/>
    <w:rsid w:val="004F3EEF"/>
    <w:rsid w:val="004F5180"/>
    <w:rsid w:val="004F57C9"/>
    <w:rsid w:val="004F5930"/>
    <w:rsid w:val="004F5970"/>
    <w:rsid w:val="004F5F0C"/>
    <w:rsid w:val="004F6121"/>
    <w:rsid w:val="004F6161"/>
    <w:rsid w:val="004F66BC"/>
    <w:rsid w:val="004F6C26"/>
    <w:rsid w:val="004F7AC9"/>
    <w:rsid w:val="0050062F"/>
    <w:rsid w:val="00500E74"/>
    <w:rsid w:val="0050160F"/>
    <w:rsid w:val="0050284E"/>
    <w:rsid w:val="0050306F"/>
    <w:rsid w:val="00503534"/>
    <w:rsid w:val="00503A17"/>
    <w:rsid w:val="005042E8"/>
    <w:rsid w:val="00505892"/>
    <w:rsid w:val="00505DCB"/>
    <w:rsid w:val="0050674C"/>
    <w:rsid w:val="00507066"/>
    <w:rsid w:val="00507167"/>
    <w:rsid w:val="005075CA"/>
    <w:rsid w:val="00507B06"/>
    <w:rsid w:val="00507BF1"/>
    <w:rsid w:val="0051074C"/>
    <w:rsid w:val="00510ACF"/>
    <w:rsid w:val="00510DE9"/>
    <w:rsid w:val="005111E2"/>
    <w:rsid w:val="00511231"/>
    <w:rsid w:val="00511741"/>
    <w:rsid w:val="00512C4F"/>
    <w:rsid w:val="00512FBC"/>
    <w:rsid w:val="00513042"/>
    <w:rsid w:val="0051334F"/>
    <w:rsid w:val="00513399"/>
    <w:rsid w:val="00513AF2"/>
    <w:rsid w:val="00514575"/>
    <w:rsid w:val="00514C03"/>
    <w:rsid w:val="00514D67"/>
    <w:rsid w:val="0051522A"/>
    <w:rsid w:val="00515515"/>
    <w:rsid w:val="0051635C"/>
    <w:rsid w:val="00516C5B"/>
    <w:rsid w:val="00517612"/>
    <w:rsid w:val="00517AC6"/>
    <w:rsid w:val="00517CFB"/>
    <w:rsid w:val="00517F85"/>
    <w:rsid w:val="0052002F"/>
    <w:rsid w:val="00520235"/>
    <w:rsid w:val="00520899"/>
    <w:rsid w:val="00520922"/>
    <w:rsid w:val="005209FC"/>
    <w:rsid w:val="00520C09"/>
    <w:rsid w:val="00520EC1"/>
    <w:rsid w:val="005215D6"/>
    <w:rsid w:val="00521A30"/>
    <w:rsid w:val="00521D7C"/>
    <w:rsid w:val="00521EA7"/>
    <w:rsid w:val="005224E5"/>
    <w:rsid w:val="0052311A"/>
    <w:rsid w:val="00523903"/>
    <w:rsid w:val="005239B6"/>
    <w:rsid w:val="00523C45"/>
    <w:rsid w:val="00523F41"/>
    <w:rsid w:val="00524165"/>
    <w:rsid w:val="005244FC"/>
    <w:rsid w:val="005246E7"/>
    <w:rsid w:val="00524B08"/>
    <w:rsid w:val="00524C38"/>
    <w:rsid w:val="00524EC6"/>
    <w:rsid w:val="00524FD2"/>
    <w:rsid w:val="00525621"/>
    <w:rsid w:val="00526431"/>
    <w:rsid w:val="00526440"/>
    <w:rsid w:val="00527532"/>
    <w:rsid w:val="00527DEB"/>
    <w:rsid w:val="00527E57"/>
    <w:rsid w:val="00527F2C"/>
    <w:rsid w:val="00530405"/>
    <w:rsid w:val="00530458"/>
    <w:rsid w:val="00530522"/>
    <w:rsid w:val="005305E5"/>
    <w:rsid w:val="0053086F"/>
    <w:rsid w:val="00530CBA"/>
    <w:rsid w:val="00530F38"/>
    <w:rsid w:val="00531F26"/>
    <w:rsid w:val="00532501"/>
    <w:rsid w:val="0053277C"/>
    <w:rsid w:val="005327C0"/>
    <w:rsid w:val="00533101"/>
    <w:rsid w:val="00533CA9"/>
    <w:rsid w:val="00533FF0"/>
    <w:rsid w:val="005346AD"/>
    <w:rsid w:val="00534EFB"/>
    <w:rsid w:val="00534F60"/>
    <w:rsid w:val="005357F1"/>
    <w:rsid w:val="00535C73"/>
    <w:rsid w:val="00535D15"/>
    <w:rsid w:val="00536053"/>
    <w:rsid w:val="005363C6"/>
    <w:rsid w:val="005367B6"/>
    <w:rsid w:val="005369E6"/>
    <w:rsid w:val="005371AC"/>
    <w:rsid w:val="00537672"/>
    <w:rsid w:val="005376B5"/>
    <w:rsid w:val="0053772F"/>
    <w:rsid w:val="00537A70"/>
    <w:rsid w:val="00537B64"/>
    <w:rsid w:val="00537B77"/>
    <w:rsid w:val="00540C4C"/>
    <w:rsid w:val="00541469"/>
    <w:rsid w:val="00541571"/>
    <w:rsid w:val="005419DA"/>
    <w:rsid w:val="00541B1F"/>
    <w:rsid w:val="0054275A"/>
    <w:rsid w:val="005428B8"/>
    <w:rsid w:val="005428BE"/>
    <w:rsid w:val="00542BD7"/>
    <w:rsid w:val="00543084"/>
    <w:rsid w:val="00543584"/>
    <w:rsid w:val="00543A9E"/>
    <w:rsid w:val="0054413A"/>
    <w:rsid w:val="00544288"/>
    <w:rsid w:val="005446BB"/>
    <w:rsid w:val="00544DA5"/>
    <w:rsid w:val="00544F43"/>
    <w:rsid w:val="00545997"/>
    <w:rsid w:val="00545E30"/>
    <w:rsid w:val="00545EA3"/>
    <w:rsid w:val="00546C9B"/>
    <w:rsid w:val="00547378"/>
    <w:rsid w:val="00547778"/>
    <w:rsid w:val="00547BF6"/>
    <w:rsid w:val="00547FB3"/>
    <w:rsid w:val="00551098"/>
    <w:rsid w:val="00551598"/>
    <w:rsid w:val="0055162B"/>
    <w:rsid w:val="00551A56"/>
    <w:rsid w:val="00551BFF"/>
    <w:rsid w:val="00551D68"/>
    <w:rsid w:val="00551DFF"/>
    <w:rsid w:val="005525C9"/>
    <w:rsid w:val="00552B3E"/>
    <w:rsid w:val="00552DF9"/>
    <w:rsid w:val="00553A23"/>
    <w:rsid w:val="00554578"/>
    <w:rsid w:val="00554D57"/>
    <w:rsid w:val="005551AA"/>
    <w:rsid w:val="00555BCE"/>
    <w:rsid w:val="005564CA"/>
    <w:rsid w:val="005568BD"/>
    <w:rsid w:val="005568EA"/>
    <w:rsid w:val="00557140"/>
    <w:rsid w:val="0055715A"/>
    <w:rsid w:val="0055729E"/>
    <w:rsid w:val="00557984"/>
    <w:rsid w:val="00557A3F"/>
    <w:rsid w:val="00560BC1"/>
    <w:rsid w:val="00560C87"/>
    <w:rsid w:val="00560F51"/>
    <w:rsid w:val="00561249"/>
    <w:rsid w:val="0056182B"/>
    <w:rsid w:val="00561A88"/>
    <w:rsid w:val="00561AF3"/>
    <w:rsid w:val="00561E0B"/>
    <w:rsid w:val="00562141"/>
    <w:rsid w:val="00562D86"/>
    <w:rsid w:val="005640CA"/>
    <w:rsid w:val="00564704"/>
    <w:rsid w:val="00564712"/>
    <w:rsid w:val="005657A8"/>
    <w:rsid w:val="00565952"/>
    <w:rsid w:val="00566866"/>
    <w:rsid w:val="005670A5"/>
    <w:rsid w:val="00567285"/>
    <w:rsid w:val="00567723"/>
    <w:rsid w:val="0056772D"/>
    <w:rsid w:val="005678F5"/>
    <w:rsid w:val="00567AB8"/>
    <w:rsid w:val="00570A26"/>
    <w:rsid w:val="00570CFD"/>
    <w:rsid w:val="00571872"/>
    <w:rsid w:val="0057221F"/>
    <w:rsid w:val="00572421"/>
    <w:rsid w:val="00572539"/>
    <w:rsid w:val="00573355"/>
    <w:rsid w:val="0057337D"/>
    <w:rsid w:val="00573504"/>
    <w:rsid w:val="0057355F"/>
    <w:rsid w:val="00573BA3"/>
    <w:rsid w:val="00574708"/>
    <w:rsid w:val="00574D81"/>
    <w:rsid w:val="005756AA"/>
    <w:rsid w:val="0057696F"/>
    <w:rsid w:val="00576C8A"/>
    <w:rsid w:val="005774FE"/>
    <w:rsid w:val="0058040C"/>
    <w:rsid w:val="00580D6D"/>
    <w:rsid w:val="00580FD8"/>
    <w:rsid w:val="005813DE"/>
    <w:rsid w:val="00581796"/>
    <w:rsid w:val="0058195C"/>
    <w:rsid w:val="00581B45"/>
    <w:rsid w:val="00582480"/>
    <w:rsid w:val="00582805"/>
    <w:rsid w:val="0058290E"/>
    <w:rsid w:val="00582C8C"/>
    <w:rsid w:val="00582CAB"/>
    <w:rsid w:val="00582DCD"/>
    <w:rsid w:val="00582FA6"/>
    <w:rsid w:val="005836D5"/>
    <w:rsid w:val="0058375E"/>
    <w:rsid w:val="0058394B"/>
    <w:rsid w:val="00584233"/>
    <w:rsid w:val="005842D0"/>
    <w:rsid w:val="005845FB"/>
    <w:rsid w:val="005855AE"/>
    <w:rsid w:val="00585829"/>
    <w:rsid w:val="00585CA8"/>
    <w:rsid w:val="00586412"/>
    <w:rsid w:val="005864B9"/>
    <w:rsid w:val="00586564"/>
    <w:rsid w:val="005866C4"/>
    <w:rsid w:val="00590F1A"/>
    <w:rsid w:val="00591C03"/>
    <w:rsid w:val="00591E2A"/>
    <w:rsid w:val="005923C4"/>
    <w:rsid w:val="0059397D"/>
    <w:rsid w:val="00593EA2"/>
    <w:rsid w:val="00593F75"/>
    <w:rsid w:val="005940A0"/>
    <w:rsid w:val="0059429A"/>
    <w:rsid w:val="00594CBE"/>
    <w:rsid w:val="00595561"/>
    <w:rsid w:val="00596AF7"/>
    <w:rsid w:val="00596CCE"/>
    <w:rsid w:val="00597516"/>
    <w:rsid w:val="005A0B53"/>
    <w:rsid w:val="005A1251"/>
    <w:rsid w:val="005A1976"/>
    <w:rsid w:val="005A1F51"/>
    <w:rsid w:val="005A2120"/>
    <w:rsid w:val="005A21F0"/>
    <w:rsid w:val="005A2501"/>
    <w:rsid w:val="005A2C80"/>
    <w:rsid w:val="005A3066"/>
    <w:rsid w:val="005A3B35"/>
    <w:rsid w:val="005A3C4B"/>
    <w:rsid w:val="005A3E5A"/>
    <w:rsid w:val="005A43F3"/>
    <w:rsid w:val="005A496F"/>
    <w:rsid w:val="005A4A56"/>
    <w:rsid w:val="005A5608"/>
    <w:rsid w:val="005A5A3D"/>
    <w:rsid w:val="005A6035"/>
    <w:rsid w:val="005A6B75"/>
    <w:rsid w:val="005A6E00"/>
    <w:rsid w:val="005A718A"/>
    <w:rsid w:val="005A72DD"/>
    <w:rsid w:val="005A7885"/>
    <w:rsid w:val="005B12B2"/>
    <w:rsid w:val="005B143B"/>
    <w:rsid w:val="005B19BD"/>
    <w:rsid w:val="005B19BE"/>
    <w:rsid w:val="005B1D90"/>
    <w:rsid w:val="005B1E45"/>
    <w:rsid w:val="005B21C4"/>
    <w:rsid w:val="005B2A28"/>
    <w:rsid w:val="005B35AB"/>
    <w:rsid w:val="005B3621"/>
    <w:rsid w:val="005B3EBE"/>
    <w:rsid w:val="005B4948"/>
    <w:rsid w:val="005B501D"/>
    <w:rsid w:val="005B54CC"/>
    <w:rsid w:val="005B71BB"/>
    <w:rsid w:val="005B741C"/>
    <w:rsid w:val="005B74AD"/>
    <w:rsid w:val="005B7E96"/>
    <w:rsid w:val="005C0429"/>
    <w:rsid w:val="005C06A5"/>
    <w:rsid w:val="005C084F"/>
    <w:rsid w:val="005C0EE9"/>
    <w:rsid w:val="005C169F"/>
    <w:rsid w:val="005C16A8"/>
    <w:rsid w:val="005C1716"/>
    <w:rsid w:val="005C1954"/>
    <w:rsid w:val="005C1C0B"/>
    <w:rsid w:val="005C2011"/>
    <w:rsid w:val="005C3EA3"/>
    <w:rsid w:val="005C44DE"/>
    <w:rsid w:val="005C5011"/>
    <w:rsid w:val="005C506F"/>
    <w:rsid w:val="005C5241"/>
    <w:rsid w:val="005C529E"/>
    <w:rsid w:val="005C57BA"/>
    <w:rsid w:val="005C5C52"/>
    <w:rsid w:val="005C5D3D"/>
    <w:rsid w:val="005C5F05"/>
    <w:rsid w:val="005C6186"/>
    <w:rsid w:val="005C6397"/>
    <w:rsid w:val="005C6CF7"/>
    <w:rsid w:val="005C6D19"/>
    <w:rsid w:val="005C721D"/>
    <w:rsid w:val="005C7E45"/>
    <w:rsid w:val="005C7F3E"/>
    <w:rsid w:val="005D06D3"/>
    <w:rsid w:val="005D0C3B"/>
    <w:rsid w:val="005D103E"/>
    <w:rsid w:val="005D1051"/>
    <w:rsid w:val="005D1606"/>
    <w:rsid w:val="005D1D10"/>
    <w:rsid w:val="005D2044"/>
    <w:rsid w:val="005D209E"/>
    <w:rsid w:val="005D2917"/>
    <w:rsid w:val="005D2EB2"/>
    <w:rsid w:val="005D2F48"/>
    <w:rsid w:val="005D3B32"/>
    <w:rsid w:val="005D464B"/>
    <w:rsid w:val="005D466F"/>
    <w:rsid w:val="005D49F0"/>
    <w:rsid w:val="005D51F7"/>
    <w:rsid w:val="005D51FA"/>
    <w:rsid w:val="005D53E8"/>
    <w:rsid w:val="005D5A9D"/>
    <w:rsid w:val="005D5D15"/>
    <w:rsid w:val="005D6651"/>
    <w:rsid w:val="005D691D"/>
    <w:rsid w:val="005D6A39"/>
    <w:rsid w:val="005D6A72"/>
    <w:rsid w:val="005D6F38"/>
    <w:rsid w:val="005D791B"/>
    <w:rsid w:val="005D7CF2"/>
    <w:rsid w:val="005D7F92"/>
    <w:rsid w:val="005E062C"/>
    <w:rsid w:val="005E0D7B"/>
    <w:rsid w:val="005E1595"/>
    <w:rsid w:val="005E1E16"/>
    <w:rsid w:val="005E1F1D"/>
    <w:rsid w:val="005E273D"/>
    <w:rsid w:val="005E3278"/>
    <w:rsid w:val="005E363B"/>
    <w:rsid w:val="005E3736"/>
    <w:rsid w:val="005E4B72"/>
    <w:rsid w:val="005E52C9"/>
    <w:rsid w:val="005E665F"/>
    <w:rsid w:val="005E781C"/>
    <w:rsid w:val="005F0B10"/>
    <w:rsid w:val="005F2D8B"/>
    <w:rsid w:val="005F305B"/>
    <w:rsid w:val="005F3361"/>
    <w:rsid w:val="005F361A"/>
    <w:rsid w:val="005F3B47"/>
    <w:rsid w:val="005F4481"/>
    <w:rsid w:val="005F47AC"/>
    <w:rsid w:val="005F49AF"/>
    <w:rsid w:val="005F4A58"/>
    <w:rsid w:val="005F54DF"/>
    <w:rsid w:val="005F5888"/>
    <w:rsid w:val="005F5984"/>
    <w:rsid w:val="005F5EAB"/>
    <w:rsid w:val="005F6CE2"/>
    <w:rsid w:val="005F6EC8"/>
    <w:rsid w:val="005F6F24"/>
    <w:rsid w:val="005F72E9"/>
    <w:rsid w:val="005F780B"/>
    <w:rsid w:val="005F7DE2"/>
    <w:rsid w:val="0060009C"/>
    <w:rsid w:val="00600473"/>
    <w:rsid w:val="0060139A"/>
    <w:rsid w:val="006013C9"/>
    <w:rsid w:val="00602065"/>
    <w:rsid w:val="00602931"/>
    <w:rsid w:val="00602B45"/>
    <w:rsid w:val="00603499"/>
    <w:rsid w:val="006035F5"/>
    <w:rsid w:val="00603CC2"/>
    <w:rsid w:val="006047D1"/>
    <w:rsid w:val="006048A4"/>
    <w:rsid w:val="00604A55"/>
    <w:rsid w:val="00604D4E"/>
    <w:rsid w:val="00604E3E"/>
    <w:rsid w:val="00605AC3"/>
    <w:rsid w:val="00606908"/>
    <w:rsid w:val="00607860"/>
    <w:rsid w:val="00607996"/>
    <w:rsid w:val="00607A37"/>
    <w:rsid w:val="00607E9F"/>
    <w:rsid w:val="0061085E"/>
    <w:rsid w:val="006112A7"/>
    <w:rsid w:val="00611398"/>
    <w:rsid w:val="006113B4"/>
    <w:rsid w:val="0061186D"/>
    <w:rsid w:val="00612322"/>
    <w:rsid w:val="006123C0"/>
    <w:rsid w:val="006129AB"/>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20719"/>
    <w:rsid w:val="006212C9"/>
    <w:rsid w:val="0062131B"/>
    <w:rsid w:val="00621D0C"/>
    <w:rsid w:val="00622229"/>
    <w:rsid w:val="00622470"/>
    <w:rsid w:val="0062267E"/>
    <w:rsid w:val="00622725"/>
    <w:rsid w:val="00622785"/>
    <w:rsid w:val="0062293F"/>
    <w:rsid w:val="00622B63"/>
    <w:rsid w:val="006231AA"/>
    <w:rsid w:val="00623482"/>
    <w:rsid w:val="00623AC2"/>
    <w:rsid w:val="00623EBC"/>
    <w:rsid w:val="0062475D"/>
    <w:rsid w:val="00625642"/>
    <w:rsid w:val="00625DF2"/>
    <w:rsid w:val="006266D7"/>
    <w:rsid w:val="00626D42"/>
    <w:rsid w:val="00626EE3"/>
    <w:rsid w:val="006274AD"/>
    <w:rsid w:val="00627519"/>
    <w:rsid w:val="00627532"/>
    <w:rsid w:val="006302AA"/>
    <w:rsid w:val="006310C3"/>
    <w:rsid w:val="0063161E"/>
    <w:rsid w:val="00631BB5"/>
    <w:rsid w:val="00631DD0"/>
    <w:rsid w:val="0063247E"/>
    <w:rsid w:val="00632CE0"/>
    <w:rsid w:val="00633DBF"/>
    <w:rsid w:val="00634122"/>
    <w:rsid w:val="0063444B"/>
    <w:rsid w:val="00634BEF"/>
    <w:rsid w:val="00635E32"/>
    <w:rsid w:val="006360FC"/>
    <w:rsid w:val="006361C9"/>
    <w:rsid w:val="00636405"/>
    <w:rsid w:val="006365DE"/>
    <w:rsid w:val="00636BE4"/>
    <w:rsid w:val="00636C0C"/>
    <w:rsid w:val="00636F88"/>
    <w:rsid w:val="0063732C"/>
    <w:rsid w:val="00637802"/>
    <w:rsid w:val="00637836"/>
    <w:rsid w:val="00637C26"/>
    <w:rsid w:val="00637F44"/>
    <w:rsid w:val="0064036E"/>
    <w:rsid w:val="00641078"/>
    <w:rsid w:val="00641242"/>
    <w:rsid w:val="00641761"/>
    <w:rsid w:val="00641899"/>
    <w:rsid w:val="00642126"/>
    <w:rsid w:val="00642A32"/>
    <w:rsid w:val="00642B8E"/>
    <w:rsid w:val="00642F7C"/>
    <w:rsid w:val="006433D5"/>
    <w:rsid w:val="00643412"/>
    <w:rsid w:val="00643CF5"/>
    <w:rsid w:val="00645844"/>
    <w:rsid w:val="00645CEB"/>
    <w:rsid w:val="00645E63"/>
    <w:rsid w:val="00646B20"/>
    <w:rsid w:val="00646D0F"/>
    <w:rsid w:val="00647A36"/>
    <w:rsid w:val="00647DCC"/>
    <w:rsid w:val="00647E8E"/>
    <w:rsid w:val="00647EFA"/>
    <w:rsid w:val="00647F14"/>
    <w:rsid w:val="00650027"/>
    <w:rsid w:val="00650E89"/>
    <w:rsid w:val="006516E6"/>
    <w:rsid w:val="00651B9C"/>
    <w:rsid w:val="00651C47"/>
    <w:rsid w:val="00652E70"/>
    <w:rsid w:val="0065339A"/>
    <w:rsid w:val="00653469"/>
    <w:rsid w:val="0065443A"/>
    <w:rsid w:val="00654A38"/>
    <w:rsid w:val="00655301"/>
    <w:rsid w:val="00655371"/>
    <w:rsid w:val="00655507"/>
    <w:rsid w:val="006564A5"/>
    <w:rsid w:val="00656C4B"/>
    <w:rsid w:val="006572A7"/>
    <w:rsid w:val="006573EA"/>
    <w:rsid w:val="006577C9"/>
    <w:rsid w:val="006606A4"/>
    <w:rsid w:val="00661029"/>
    <w:rsid w:val="006610C3"/>
    <w:rsid w:val="0066135A"/>
    <w:rsid w:val="00661A38"/>
    <w:rsid w:val="0066272D"/>
    <w:rsid w:val="00662E58"/>
    <w:rsid w:val="00662F39"/>
    <w:rsid w:val="0066352A"/>
    <w:rsid w:val="006635A0"/>
    <w:rsid w:val="00663D26"/>
    <w:rsid w:val="00664351"/>
    <w:rsid w:val="00665968"/>
    <w:rsid w:val="00665BF7"/>
    <w:rsid w:val="00665E65"/>
    <w:rsid w:val="006660F0"/>
    <w:rsid w:val="00666178"/>
    <w:rsid w:val="0066639E"/>
    <w:rsid w:val="00666473"/>
    <w:rsid w:val="00666B49"/>
    <w:rsid w:val="00666C72"/>
    <w:rsid w:val="00666E6C"/>
    <w:rsid w:val="0066707F"/>
    <w:rsid w:val="00667ED8"/>
    <w:rsid w:val="0067064C"/>
    <w:rsid w:val="00670B20"/>
    <w:rsid w:val="00670E12"/>
    <w:rsid w:val="00670F27"/>
    <w:rsid w:val="00672E80"/>
    <w:rsid w:val="0067333F"/>
    <w:rsid w:val="006739E4"/>
    <w:rsid w:val="00673ECF"/>
    <w:rsid w:val="0067426B"/>
    <w:rsid w:val="00674A1B"/>
    <w:rsid w:val="00674D08"/>
    <w:rsid w:val="00674F1C"/>
    <w:rsid w:val="006754F8"/>
    <w:rsid w:val="00676127"/>
    <w:rsid w:val="00676AED"/>
    <w:rsid w:val="00677212"/>
    <w:rsid w:val="00677F26"/>
    <w:rsid w:val="006800EE"/>
    <w:rsid w:val="006802A7"/>
    <w:rsid w:val="00680A86"/>
    <w:rsid w:val="00680FBE"/>
    <w:rsid w:val="006811C9"/>
    <w:rsid w:val="006812CE"/>
    <w:rsid w:val="006826C1"/>
    <w:rsid w:val="00682C89"/>
    <w:rsid w:val="006832B8"/>
    <w:rsid w:val="00683329"/>
    <w:rsid w:val="006837B2"/>
    <w:rsid w:val="00683800"/>
    <w:rsid w:val="0068420B"/>
    <w:rsid w:val="00684462"/>
    <w:rsid w:val="00684C0D"/>
    <w:rsid w:val="00684C8A"/>
    <w:rsid w:val="00684CF5"/>
    <w:rsid w:val="0068553E"/>
    <w:rsid w:val="00685D37"/>
    <w:rsid w:val="00685E7B"/>
    <w:rsid w:val="00686551"/>
    <w:rsid w:val="00686CAB"/>
    <w:rsid w:val="0068717F"/>
    <w:rsid w:val="0068730C"/>
    <w:rsid w:val="00687504"/>
    <w:rsid w:val="00687A14"/>
    <w:rsid w:val="00687A8C"/>
    <w:rsid w:val="0069069B"/>
    <w:rsid w:val="00690839"/>
    <w:rsid w:val="006908DB"/>
    <w:rsid w:val="00690DE9"/>
    <w:rsid w:val="00691563"/>
    <w:rsid w:val="00691DE9"/>
    <w:rsid w:val="00691EAA"/>
    <w:rsid w:val="00692245"/>
    <w:rsid w:val="00692745"/>
    <w:rsid w:val="00692FFA"/>
    <w:rsid w:val="00693772"/>
    <w:rsid w:val="006937EA"/>
    <w:rsid w:val="00693984"/>
    <w:rsid w:val="00693B77"/>
    <w:rsid w:val="00694156"/>
    <w:rsid w:val="00694160"/>
    <w:rsid w:val="00694E8B"/>
    <w:rsid w:val="006959A5"/>
    <w:rsid w:val="00695C0C"/>
    <w:rsid w:val="00696736"/>
    <w:rsid w:val="00696A05"/>
    <w:rsid w:val="00697665"/>
    <w:rsid w:val="00697C9A"/>
    <w:rsid w:val="00697E68"/>
    <w:rsid w:val="00697FC1"/>
    <w:rsid w:val="006A0274"/>
    <w:rsid w:val="006A27BC"/>
    <w:rsid w:val="006A2A43"/>
    <w:rsid w:val="006A2BF1"/>
    <w:rsid w:val="006A2F9A"/>
    <w:rsid w:val="006A34E4"/>
    <w:rsid w:val="006A35AC"/>
    <w:rsid w:val="006A3A5A"/>
    <w:rsid w:val="006A4249"/>
    <w:rsid w:val="006A44CF"/>
    <w:rsid w:val="006A457D"/>
    <w:rsid w:val="006A4B5A"/>
    <w:rsid w:val="006A4C06"/>
    <w:rsid w:val="006A55EE"/>
    <w:rsid w:val="006A575B"/>
    <w:rsid w:val="006A59DE"/>
    <w:rsid w:val="006A64C6"/>
    <w:rsid w:val="006A6655"/>
    <w:rsid w:val="006A6BF9"/>
    <w:rsid w:val="006A6D7B"/>
    <w:rsid w:val="006A7AB8"/>
    <w:rsid w:val="006A7CB5"/>
    <w:rsid w:val="006A7FD0"/>
    <w:rsid w:val="006B025C"/>
    <w:rsid w:val="006B04DB"/>
    <w:rsid w:val="006B08ED"/>
    <w:rsid w:val="006B2170"/>
    <w:rsid w:val="006B2534"/>
    <w:rsid w:val="006B2CB2"/>
    <w:rsid w:val="006B347D"/>
    <w:rsid w:val="006B3E19"/>
    <w:rsid w:val="006B4488"/>
    <w:rsid w:val="006B4D5D"/>
    <w:rsid w:val="006B50C4"/>
    <w:rsid w:val="006B53AE"/>
    <w:rsid w:val="006B58B4"/>
    <w:rsid w:val="006B67AC"/>
    <w:rsid w:val="006B786A"/>
    <w:rsid w:val="006B7E4E"/>
    <w:rsid w:val="006C003A"/>
    <w:rsid w:val="006C0694"/>
    <w:rsid w:val="006C107C"/>
    <w:rsid w:val="006C189C"/>
    <w:rsid w:val="006C2454"/>
    <w:rsid w:val="006C2551"/>
    <w:rsid w:val="006C27B9"/>
    <w:rsid w:val="006C2CC0"/>
    <w:rsid w:val="006C37CA"/>
    <w:rsid w:val="006C39AE"/>
    <w:rsid w:val="006C40D2"/>
    <w:rsid w:val="006C4B85"/>
    <w:rsid w:val="006C4BBD"/>
    <w:rsid w:val="006C551E"/>
    <w:rsid w:val="006C5B15"/>
    <w:rsid w:val="006C5D32"/>
    <w:rsid w:val="006C5DCB"/>
    <w:rsid w:val="006C6475"/>
    <w:rsid w:val="006C70C4"/>
    <w:rsid w:val="006C741F"/>
    <w:rsid w:val="006D0444"/>
    <w:rsid w:val="006D04DA"/>
    <w:rsid w:val="006D10F6"/>
    <w:rsid w:val="006D1544"/>
    <w:rsid w:val="006D1688"/>
    <w:rsid w:val="006D1BE1"/>
    <w:rsid w:val="006D1DD3"/>
    <w:rsid w:val="006D1FF3"/>
    <w:rsid w:val="006D2C65"/>
    <w:rsid w:val="006D32C6"/>
    <w:rsid w:val="006D360E"/>
    <w:rsid w:val="006D3697"/>
    <w:rsid w:val="006D39D2"/>
    <w:rsid w:val="006D3A94"/>
    <w:rsid w:val="006D3F2A"/>
    <w:rsid w:val="006D4370"/>
    <w:rsid w:val="006D46A3"/>
    <w:rsid w:val="006D5DCB"/>
    <w:rsid w:val="006D62E0"/>
    <w:rsid w:val="006D62EA"/>
    <w:rsid w:val="006D658F"/>
    <w:rsid w:val="006D66B2"/>
    <w:rsid w:val="006D6A12"/>
    <w:rsid w:val="006D712D"/>
    <w:rsid w:val="006D7687"/>
    <w:rsid w:val="006D7D1F"/>
    <w:rsid w:val="006D7D8A"/>
    <w:rsid w:val="006E046C"/>
    <w:rsid w:val="006E0572"/>
    <w:rsid w:val="006E05D8"/>
    <w:rsid w:val="006E08EE"/>
    <w:rsid w:val="006E0F32"/>
    <w:rsid w:val="006E155A"/>
    <w:rsid w:val="006E2C34"/>
    <w:rsid w:val="006E359B"/>
    <w:rsid w:val="006E39D1"/>
    <w:rsid w:val="006E3B05"/>
    <w:rsid w:val="006E437F"/>
    <w:rsid w:val="006E4D5B"/>
    <w:rsid w:val="006E602F"/>
    <w:rsid w:val="006E6720"/>
    <w:rsid w:val="006E7275"/>
    <w:rsid w:val="006E77B8"/>
    <w:rsid w:val="006E7AAF"/>
    <w:rsid w:val="006F0F74"/>
    <w:rsid w:val="006F13BA"/>
    <w:rsid w:val="006F15CC"/>
    <w:rsid w:val="006F15F6"/>
    <w:rsid w:val="006F36EA"/>
    <w:rsid w:val="006F4147"/>
    <w:rsid w:val="006F4315"/>
    <w:rsid w:val="006F47A7"/>
    <w:rsid w:val="006F4CB0"/>
    <w:rsid w:val="006F4F78"/>
    <w:rsid w:val="006F50C2"/>
    <w:rsid w:val="006F5389"/>
    <w:rsid w:val="006F547E"/>
    <w:rsid w:val="006F5CCF"/>
    <w:rsid w:val="006F6F04"/>
    <w:rsid w:val="006F71F5"/>
    <w:rsid w:val="006F72A8"/>
    <w:rsid w:val="006F79BB"/>
    <w:rsid w:val="007000A6"/>
    <w:rsid w:val="00700610"/>
    <w:rsid w:val="0070138A"/>
    <w:rsid w:val="0070157E"/>
    <w:rsid w:val="007030D4"/>
    <w:rsid w:val="00703279"/>
    <w:rsid w:val="007034D9"/>
    <w:rsid w:val="00703B61"/>
    <w:rsid w:val="00703E11"/>
    <w:rsid w:val="00704102"/>
    <w:rsid w:val="0070437C"/>
    <w:rsid w:val="0070461C"/>
    <w:rsid w:val="00704F37"/>
    <w:rsid w:val="00705631"/>
    <w:rsid w:val="00705818"/>
    <w:rsid w:val="00705F62"/>
    <w:rsid w:val="00706813"/>
    <w:rsid w:val="0070773F"/>
    <w:rsid w:val="00707A2E"/>
    <w:rsid w:val="00707ED3"/>
    <w:rsid w:val="007101B7"/>
    <w:rsid w:val="00710668"/>
    <w:rsid w:val="00711019"/>
    <w:rsid w:val="007110F4"/>
    <w:rsid w:val="007112B1"/>
    <w:rsid w:val="0071130F"/>
    <w:rsid w:val="00712044"/>
    <w:rsid w:val="00712507"/>
    <w:rsid w:val="00712714"/>
    <w:rsid w:val="007129AB"/>
    <w:rsid w:val="00712B63"/>
    <w:rsid w:val="00712E5F"/>
    <w:rsid w:val="00713526"/>
    <w:rsid w:val="00713FC5"/>
    <w:rsid w:val="00714BB9"/>
    <w:rsid w:val="00714DCA"/>
    <w:rsid w:val="007150F3"/>
    <w:rsid w:val="00715BBF"/>
    <w:rsid w:val="00715C29"/>
    <w:rsid w:val="00715CBD"/>
    <w:rsid w:val="00715EAA"/>
    <w:rsid w:val="00716119"/>
    <w:rsid w:val="00716630"/>
    <w:rsid w:val="00716BB0"/>
    <w:rsid w:val="00716CAD"/>
    <w:rsid w:val="00716CD3"/>
    <w:rsid w:val="00716F18"/>
    <w:rsid w:val="00717363"/>
    <w:rsid w:val="00717786"/>
    <w:rsid w:val="00717ACB"/>
    <w:rsid w:val="00717F8F"/>
    <w:rsid w:val="00721378"/>
    <w:rsid w:val="0072138B"/>
    <w:rsid w:val="00721BFF"/>
    <w:rsid w:val="007227EB"/>
    <w:rsid w:val="007232EE"/>
    <w:rsid w:val="00723475"/>
    <w:rsid w:val="007236C4"/>
    <w:rsid w:val="00724635"/>
    <w:rsid w:val="00724F21"/>
    <w:rsid w:val="00725134"/>
    <w:rsid w:val="0072554B"/>
    <w:rsid w:val="0072571F"/>
    <w:rsid w:val="00725AFD"/>
    <w:rsid w:val="00726603"/>
    <w:rsid w:val="007266AC"/>
    <w:rsid w:val="00727B1D"/>
    <w:rsid w:val="00727DDC"/>
    <w:rsid w:val="00730CD6"/>
    <w:rsid w:val="00730F74"/>
    <w:rsid w:val="0073114B"/>
    <w:rsid w:val="00732151"/>
    <w:rsid w:val="007328A6"/>
    <w:rsid w:val="00732EBC"/>
    <w:rsid w:val="00734952"/>
    <w:rsid w:val="00734987"/>
    <w:rsid w:val="00734990"/>
    <w:rsid w:val="00734FF5"/>
    <w:rsid w:val="00735B78"/>
    <w:rsid w:val="00735CA5"/>
    <w:rsid w:val="00735DA7"/>
    <w:rsid w:val="00736700"/>
    <w:rsid w:val="007368B4"/>
    <w:rsid w:val="007378E0"/>
    <w:rsid w:val="0074040E"/>
    <w:rsid w:val="00740529"/>
    <w:rsid w:val="00740876"/>
    <w:rsid w:val="00741358"/>
    <w:rsid w:val="00741626"/>
    <w:rsid w:val="00741B0C"/>
    <w:rsid w:val="00742332"/>
    <w:rsid w:val="00742886"/>
    <w:rsid w:val="00742A3A"/>
    <w:rsid w:val="00742DD2"/>
    <w:rsid w:val="007437C6"/>
    <w:rsid w:val="007441A2"/>
    <w:rsid w:val="00744273"/>
    <w:rsid w:val="00744E80"/>
    <w:rsid w:val="00745035"/>
    <w:rsid w:val="0074531C"/>
    <w:rsid w:val="00745547"/>
    <w:rsid w:val="007459D0"/>
    <w:rsid w:val="0074623A"/>
    <w:rsid w:val="00746420"/>
    <w:rsid w:val="00746A60"/>
    <w:rsid w:val="00746E04"/>
    <w:rsid w:val="00746E08"/>
    <w:rsid w:val="00746E3D"/>
    <w:rsid w:val="007473B9"/>
    <w:rsid w:val="00747C96"/>
    <w:rsid w:val="00750075"/>
    <w:rsid w:val="0075022F"/>
    <w:rsid w:val="007502EC"/>
    <w:rsid w:val="00750382"/>
    <w:rsid w:val="0075094E"/>
    <w:rsid w:val="00750FA8"/>
    <w:rsid w:val="00750FB5"/>
    <w:rsid w:val="00751FD4"/>
    <w:rsid w:val="007520F0"/>
    <w:rsid w:val="0075226F"/>
    <w:rsid w:val="007522E8"/>
    <w:rsid w:val="007529DB"/>
    <w:rsid w:val="007534AD"/>
    <w:rsid w:val="00753BAC"/>
    <w:rsid w:val="00753E86"/>
    <w:rsid w:val="00754A0B"/>
    <w:rsid w:val="00755229"/>
    <w:rsid w:val="007552DB"/>
    <w:rsid w:val="0075549F"/>
    <w:rsid w:val="00755B08"/>
    <w:rsid w:val="00755DD0"/>
    <w:rsid w:val="0075647A"/>
    <w:rsid w:val="007569B8"/>
    <w:rsid w:val="00756A2F"/>
    <w:rsid w:val="007573E1"/>
    <w:rsid w:val="0075749E"/>
    <w:rsid w:val="00757722"/>
    <w:rsid w:val="00757B2D"/>
    <w:rsid w:val="00757BAD"/>
    <w:rsid w:val="00757D62"/>
    <w:rsid w:val="00760021"/>
    <w:rsid w:val="00760561"/>
    <w:rsid w:val="00760867"/>
    <w:rsid w:val="00760EB6"/>
    <w:rsid w:val="007616DB"/>
    <w:rsid w:val="00761AB7"/>
    <w:rsid w:val="00761CE6"/>
    <w:rsid w:val="0076228A"/>
    <w:rsid w:val="00762440"/>
    <w:rsid w:val="00762499"/>
    <w:rsid w:val="0076275B"/>
    <w:rsid w:val="007629B7"/>
    <w:rsid w:val="00762A13"/>
    <w:rsid w:val="00762E60"/>
    <w:rsid w:val="00762E6C"/>
    <w:rsid w:val="00762F54"/>
    <w:rsid w:val="007634AD"/>
    <w:rsid w:val="0076445F"/>
    <w:rsid w:val="00764EC5"/>
    <w:rsid w:val="007651EF"/>
    <w:rsid w:val="00766D49"/>
    <w:rsid w:val="00766ECC"/>
    <w:rsid w:val="007672F3"/>
    <w:rsid w:val="007677B5"/>
    <w:rsid w:val="007678B1"/>
    <w:rsid w:val="007708A8"/>
    <w:rsid w:val="00772100"/>
    <w:rsid w:val="00772275"/>
    <w:rsid w:val="00772AAF"/>
    <w:rsid w:val="00772C9A"/>
    <w:rsid w:val="00772E2A"/>
    <w:rsid w:val="00773131"/>
    <w:rsid w:val="007734E4"/>
    <w:rsid w:val="0077380D"/>
    <w:rsid w:val="00773BC8"/>
    <w:rsid w:val="00774337"/>
    <w:rsid w:val="00774549"/>
    <w:rsid w:val="0077466F"/>
    <w:rsid w:val="007752B7"/>
    <w:rsid w:val="007759A8"/>
    <w:rsid w:val="00775C27"/>
    <w:rsid w:val="00775D98"/>
    <w:rsid w:val="00776B93"/>
    <w:rsid w:val="00776FE5"/>
    <w:rsid w:val="00777101"/>
    <w:rsid w:val="007774E7"/>
    <w:rsid w:val="0077768C"/>
    <w:rsid w:val="00777696"/>
    <w:rsid w:val="00777EDF"/>
    <w:rsid w:val="00777FF4"/>
    <w:rsid w:val="00780251"/>
    <w:rsid w:val="007804FE"/>
    <w:rsid w:val="00780F32"/>
    <w:rsid w:val="00781049"/>
    <w:rsid w:val="0078122E"/>
    <w:rsid w:val="00781939"/>
    <w:rsid w:val="00781D29"/>
    <w:rsid w:val="007825EF"/>
    <w:rsid w:val="0078286B"/>
    <w:rsid w:val="00782D2C"/>
    <w:rsid w:val="00782FC2"/>
    <w:rsid w:val="0078347A"/>
    <w:rsid w:val="0078410A"/>
    <w:rsid w:val="00784938"/>
    <w:rsid w:val="00784FC4"/>
    <w:rsid w:val="00785BBB"/>
    <w:rsid w:val="00785FB2"/>
    <w:rsid w:val="00786937"/>
    <w:rsid w:val="00786FAD"/>
    <w:rsid w:val="00787B1B"/>
    <w:rsid w:val="00787CCC"/>
    <w:rsid w:val="00787D90"/>
    <w:rsid w:val="00787F5E"/>
    <w:rsid w:val="00790164"/>
    <w:rsid w:val="0079041B"/>
    <w:rsid w:val="007905C6"/>
    <w:rsid w:val="00790A24"/>
    <w:rsid w:val="00790A37"/>
    <w:rsid w:val="00790A60"/>
    <w:rsid w:val="0079131A"/>
    <w:rsid w:val="0079146D"/>
    <w:rsid w:val="00791C32"/>
    <w:rsid w:val="00791FF0"/>
    <w:rsid w:val="007923D0"/>
    <w:rsid w:val="007930D3"/>
    <w:rsid w:val="007936E2"/>
    <w:rsid w:val="0079381F"/>
    <w:rsid w:val="00793A57"/>
    <w:rsid w:val="00793B2E"/>
    <w:rsid w:val="007948F5"/>
    <w:rsid w:val="00795647"/>
    <w:rsid w:val="007963F6"/>
    <w:rsid w:val="00796DC8"/>
    <w:rsid w:val="00796E80"/>
    <w:rsid w:val="0079744F"/>
    <w:rsid w:val="0079776F"/>
    <w:rsid w:val="007979AD"/>
    <w:rsid w:val="00797A9C"/>
    <w:rsid w:val="007A0502"/>
    <w:rsid w:val="007A0EAB"/>
    <w:rsid w:val="007A2341"/>
    <w:rsid w:val="007A2754"/>
    <w:rsid w:val="007A38A1"/>
    <w:rsid w:val="007A3BBE"/>
    <w:rsid w:val="007A4766"/>
    <w:rsid w:val="007A5947"/>
    <w:rsid w:val="007A717B"/>
    <w:rsid w:val="007A7714"/>
    <w:rsid w:val="007A7775"/>
    <w:rsid w:val="007B0302"/>
    <w:rsid w:val="007B0313"/>
    <w:rsid w:val="007B0854"/>
    <w:rsid w:val="007B0E48"/>
    <w:rsid w:val="007B1D1B"/>
    <w:rsid w:val="007B21AA"/>
    <w:rsid w:val="007B2504"/>
    <w:rsid w:val="007B2549"/>
    <w:rsid w:val="007B303E"/>
    <w:rsid w:val="007B32C0"/>
    <w:rsid w:val="007B32F7"/>
    <w:rsid w:val="007B3659"/>
    <w:rsid w:val="007B38B5"/>
    <w:rsid w:val="007B3BF3"/>
    <w:rsid w:val="007B431B"/>
    <w:rsid w:val="007B4558"/>
    <w:rsid w:val="007B4632"/>
    <w:rsid w:val="007B46A2"/>
    <w:rsid w:val="007B4828"/>
    <w:rsid w:val="007B4B2D"/>
    <w:rsid w:val="007B4D4A"/>
    <w:rsid w:val="007B5428"/>
    <w:rsid w:val="007B59B7"/>
    <w:rsid w:val="007B6C64"/>
    <w:rsid w:val="007B6EC8"/>
    <w:rsid w:val="007B6F81"/>
    <w:rsid w:val="007B7EA2"/>
    <w:rsid w:val="007C097D"/>
    <w:rsid w:val="007C0AF2"/>
    <w:rsid w:val="007C1672"/>
    <w:rsid w:val="007C17AE"/>
    <w:rsid w:val="007C21E1"/>
    <w:rsid w:val="007C227C"/>
    <w:rsid w:val="007C24EE"/>
    <w:rsid w:val="007C312A"/>
    <w:rsid w:val="007C3538"/>
    <w:rsid w:val="007C3570"/>
    <w:rsid w:val="007C3F3B"/>
    <w:rsid w:val="007C4097"/>
    <w:rsid w:val="007C4241"/>
    <w:rsid w:val="007C425E"/>
    <w:rsid w:val="007C55FF"/>
    <w:rsid w:val="007C5A67"/>
    <w:rsid w:val="007C5EF9"/>
    <w:rsid w:val="007C6339"/>
    <w:rsid w:val="007C753F"/>
    <w:rsid w:val="007C7C43"/>
    <w:rsid w:val="007C7E15"/>
    <w:rsid w:val="007C7F0D"/>
    <w:rsid w:val="007D06E3"/>
    <w:rsid w:val="007D09E4"/>
    <w:rsid w:val="007D1134"/>
    <w:rsid w:val="007D231B"/>
    <w:rsid w:val="007D23F7"/>
    <w:rsid w:val="007D2566"/>
    <w:rsid w:val="007D2C18"/>
    <w:rsid w:val="007D2D74"/>
    <w:rsid w:val="007D3693"/>
    <w:rsid w:val="007D3C6D"/>
    <w:rsid w:val="007D481A"/>
    <w:rsid w:val="007D4B96"/>
    <w:rsid w:val="007D4ED0"/>
    <w:rsid w:val="007D5648"/>
    <w:rsid w:val="007D58C5"/>
    <w:rsid w:val="007D5DE8"/>
    <w:rsid w:val="007D7CFC"/>
    <w:rsid w:val="007E0812"/>
    <w:rsid w:val="007E0825"/>
    <w:rsid w:val="007E18DF"/>
    <w:rsid w:val="007E214A"/>
    <w:rsid w:val="007E238D"/>
    <w:rsid w:val="007E2C36"/>
    <w:rsid w:val="007E350D"/>
    <w:rsid w:val="007E3ACA"/>
    <w:rsid w:val="007E3F4A"/>
    <w:rsid w:val="007E47D1"/>
    <w:rsid w:val="007E564D"/>
    <w:rsid w:val="007E5C4A"/>
    <w:rsid w:val="007E64D4"/>
    <w:rsid w:val="007E66E9"/>
    <w:rsid w:val="007E69F2"/>
    <w:rsid w:val="007E6D82"/>
    <w:rsid w:val="007E7432"/>
    <w:rsid w:val="007E74BF"/>
    <w:rsid w:val="007E7657"/>
    <w:rsid w:val="007E7B55"/>
    <w:rsid w:val="007E7D2E"/>
    <w:rsid w:val="007E7E80"/>
    <w:rsid w:val="007F14D3"/>
    <w:rsid w:val="007F1814"/>
    <w:rsid w:val="007F1D9D"/>
    <w:rsid w:val="007F1E28"/>
    <w:rsid w:val="007F1F63"/>
    <w:rsid w:val="007F22A0"/>
    <w:rsid w:val="007F2902"/>
    <w:rsid w:val="007F2903"/>
    <w:rsid w:val="007F2F90"/>
    <w:rsid w:val="007F3320"/>
    <w:rsid w:val="007F3AC1"/>
    <w:rsid w:val="007F4976"/>
    <w:rsid w:val="007F4B40"/>
    <w:rsid w:val="007F5A56"/>
    <w:rsid w:val="007F5D42"/>
    <w:rsid w:val="007F616E"/>
    <w:rsid w:val="007F6B46"/>
    <w:rsid w:val="007F6D29"/>
    <w:rsid w:val="007F72CB"/>
    <w:rsid w:val="007F736A"/>
    <w:rsid w:val="007F7635"/>
    <w:rsid w:val="007F785F"/>
    <w:rsid w:val="007F7961"/>
    <w:rsid w:val="007F7AF6"/>
    <w:rsid w:val="007F7E36"/>
    <w:rsid w:val="00800E34"/>
    <w:rsid w:val="00800E6D"/>
    <w:rsid w:val="008014D9"/>
    <w:rsid w:val="0080150F"/>
    <w:rsid w:val="0080153A"/>
    <w:rsid w:val="00801626"/>
    <w:rsid w:val="00801A2A"/>
    <w:rsid w:val="00802041"/>
    <w:rsid w:val="008022C9"/>
    <w:rsid w:val="00802605"/>
    <w:rsid w:val="00802F9E"/>
    <w:rsid w:val="00803566"/>
    <w:rsid w:val="00803700"/>
    <w:rsid w:val="0080376A"/>
    <w:rsid w:val="00803D9D"/>
    <w:rsid w:val="008059C6"/>
    <w:rsid w:val="00805AD7"/>
    <w:rsid w:val="00805BD6"/>
    <w:rsid w:val="00805DE3"/>
    <w:rsid w:val="00807C35"/>
    <w:rsid w:val="00807F35"/>
    <w:rsid w:val="00807F69"/>
    <w:rsid w:val="008100F7"/>
    <w:rsid w:val="00810206"/>
    <w:rsid w:val="0081022B"/>
    <w:rsid w:val="00810A15"/>
    <w:rsid w:val="00811898"/>
    <w:rsid w:val="00811CDC"/>
    <w:rsid w:val="008124D8"/>
    <w:rsid w:val="00813A7B"/>
    <w:rsid w:val="00813F04"/>
    <w:rsid w:val="0081513E"/>
    <w:rsid w:val="00815DA5"/>
    <w:rsid w:val="00816221"/>
    <w:rsid w:val="0081749A"/>
    <w:rsid w:val="008174F3"/>
    <w:rsid w:val="0081766B"/>
    <w:rsid w:val="008201DE"/>
    <w:rsid w:val="008205AC"/>
    <w:rsid w:val="00820705"/>
    <w:rsid w:val="00820CBF"/>
    <w:rsid w:val="00820FA8"/>
    <w:rsid w:val="008212FD"/>
    <w:rsid w:val="00821489"/>
    <w:rsid w:val="0082168D"/>
    <w:rsid w:val="008217B7"/>
    <w:rsid w:val="0082239B"/>
    <w:rsid w:val="0082292E"/>
    <w:rsid w:val="00822D06"/>
    <w:rsid w:val="00822EC4"/>
    <w:rsid w:val="0082348D"/>
    <w:rsid w:val="008236BE"/>
    <w:rsid w:val="008241CE"/>
    <w:rsid w:val="0082520B"/>
    <w:rsid w:val="00825240"/>
    <w:rsid w:val="00825B43"/>
    <w:rsid w:val="00826F71"/>
    <w:rsid w:val="00827CC0"/>
    <w:rsid w:val="008306AB"/>
    <w:rsid w:val="00831026"/>
    <w:rsid w:val="0083119B"/>
    <w:rsid w:val="00831BAE"/>
    <w:rsid w:val="00832216"/>
    <w:rsid w:val="00832513"/>
    <w:rsid w:val="00832CD0"/>
    <w:rsid w:val="00833430"/>
    <w:rsid w:val="00833ADA"/>
    <w:rsid w:val="00834128"/>
    <w:rsid w:val="0083417F"/>
    <w:rsid w:val="00835143"/>
    <w:rsid w:val="0083569B"/>
    <w:rsid w:val="00835741"/>
    <w:rsid w:val="00836E74"/>
    <w:rsid w:val="00836EAB"/>
    <w:rsid w:val="00837673"/>
    <w:rsid w:val="00837937"/>
    <w:rsid w:val="00837D82"/>
    <w:rsid w:val="00840893"/>
    <w:rsid w:val="00840E88"/>
    <w:rsid w:val="008410B1"/>
    <w:rsid w:val="008423EC"/>
    <w:rsid w:val="008429A6"/>
    <w:rsid w:val="00843615"/>
    <w:rsid w:val="00843698"/>
    <w:rsid w:val="00843A4B"/>
    <w:rsid w:val="00843B57"/>
    <w:rsid w:val="00843B60"/>
    <w:rsid w:val="00843D33"/>
    <w:rsid w:val="008444F0"/>
    <w:rsid w:val="00844D4F"/>
    <w:rsid w:val="00844F38"/>
    <w:rsid w:val="008459C5"/>
    <w:rsid w:val="00845AE3"/>
    <w:rsid w:val="008466A0"/>
    <w:rsid w:val="00847535"/>
    <w:rsid w:val="00847B6D"/>
    <w:rsid w:val="0085092D"/>
    <w:rsid w:val="008509A5"/>
    <w:rsid w:val="00850C79"/>
    <w:rsid w:val="00850D82"/>
    <w:rsid w:val="00850F79"/>
    <w:rsid w:val="0085100B"/>
    <w:rsid w:val="008510A1"/>
    <w:rsid w:val="0085304C"/>
    <w:rsid w:val="008536BB"/>
    <w:rsid w:val="00853A3C"/>
    <w:rsid w:val="008548CA"/>
    <w:rsid w:val="008562E7"/>
    <w:rsid w:val="008563B0"/>
    <w:rsid w:val="00856C06"/>
    <w:rsid w:val="00857638"/>
    <w:rsid w:val="0085790B"/>
    <w:rsid w:val="008579B9"/>
    <w:rsid w:val="00857C95"/>
    <w:rsid w:val="00857E78"/>
    <w:rsid w:val="00860AEF"/>
    <w:rsid w:val="00860B18"/>
    <w:rsid w:val="00860D5E"/>
    <w:rsid w:val="0086122C"/>
    <w:rsid w:val="00861310"/>
    <w:rsid w:val="00861C4D"/>
    <w:rsid w:val="00861F53"/>
    <w:rsid w:val="0086289E"/>
    <w:rsid w:val="008629CB"/>
    <w:rsid w:val="0086394E"/>
    <w:rsid w:val="00863F8A"/>
    <w:rsid w:val="00863FE3"/>
    <w:rsid w:val="008640C4"/>
    <w:rsid w:val="00864241"/>
    <w:rsid w:val="008645AA"/>
    <w:rsid w:val="0086468A"/>
    <w:rsid w:val="008650BE"/>
    <w:rsid w:val="00865EAF"/>
    <w:rsid w:val="0086633B"/>
    <w:rsid w:val="00866495"/>
    <w:rsid w:val="00866881"/>
    <w:rsid w:val="00866931"/>
    <w:rsid w:val="008673AE"/>
    <w:rsid w:val="00867512"/>
    <w:rsid w:val="008678A3"/>
    <w:rsid w:val="00867C13"/>
    <w:rsid w:val="00867C1D"/>
    <w:rsid w:val="0087033C"/>
    <w:rsid w:val="008715ED"/>
    <w:rsid w:val="00871793"/>
    <w:rsid w:val="008717D8"/>
    <w:rsid w:val="00871E3C"/>
    <w:rsid w:val="00872F97"/>
    <w:rsid w:val="00874607"/>
    <w:rsid w:val="008747E9"/>
    <w:rsid w:val="00874915"/>
    <w:rsid w:val="00874B89"/>
    <w:rsid w:val="00875403"/>
    <w:rsid w:val="00875434"/>
    <w:rsid w:val="00875C1F"/>
    <w:rsid w:val="00875DCB"/>
    <w:rsid w:val="00876215"/>
    <w:rsid w:val="0087646C"/>
    <w:rsid w:val="00876815"/>
    <w:rsid w:val="00877932"/>
    <w:rsid w:val="008808C7"/>
    <w:rsid w:val="0088106B"/>
    <w:rsid w:val="0088107D"/>
    <w:rsid w:val="0088187A"/>
    <w:rsid w:val="00881E64"/>
    <w:rsid w:val="00882E39"/>
    <w:rsid w:val="00883559"/>
    <w:rsid w:val="008850EB"/>
    <w:rsid w:val="00885228"/>
    <w:rsid w:val="008857E3"/>
    <w:rsid w:val="00886DF2"/>
    <w:rsid w:val="00886FB9"/>
    <w:rsid w:val="00887057"/>
    <w:rsid w:val="00887080"/>
    <w:rsid w:val="00887C79"/>
    <w:rsid w:val="008908DC"/>
    <w:rsid w:val="0089107B"/>
    <w:rsid w:val="008913CC"/>
    <w:rsid w:val="008914AE"/>
    <w:rsid w:val="008919CF"/>
    <w:rsid w:val="00891F84"/>
    <w:rsid w:val="00891FC3"/>
    <w:rsid w:val="008928EC"/>
    <w:rsid w:val="00892A15"/>
    <w:rsid w:val="00892E5D"/>
    <w:rsid w:val="008935CF"/>
    <w:rsid w:val="0089436B"/>
    <w:rsid w:val="00894436"/>
    <w:rsid w:val="00894BB1"/>
    <w:rsid w:val="008951D0"/>
    <w:rsid w:val="00895442"/>
    <w:rsid w:val="0089582D"/>
    <w:rsid w:val="008959C6"/>
    <w:rsid w:val="0089606D"/>
    <w:rsid w:val="00896129"/>
    <w:rsid w:val="00896316"/>
    <w:rsid w:val="0089774F"/>
    <w:rsid w:val="00897875"/>
    <w:rsid w:val="00897B8F"/>
    <w:rsid w:val="008A00D9"/>
    <w:rsid w:val="008A07D5"/>
    <w:rsid w:val="008A1C96"/>
    <w:rsid w:val="008A1F65"/>
    <w:rsid w:val="008A1FB7"/>
    <w:rsid w:val="008A229A"/>
    <w:rsid w:val="008A2A23"/>
    <w:rsid w:val="008A2AF5"/>
    <w:rsid w:val="008A2B5A"/>
    <w:rsid w:val="008A3F9D"/>
    <w:rsid w:val="008A41F8"/>
    <w:rsid w:val="008A5474"/>
    <w:rsid w:val="008A5C9A"/>
    <w:rsid w:val="008A6005"/>
    <w:rsid w:val="008A614F"/>
    <w:rsid w:val="008A6A55"/>
    <w:rsid w:val="008A6DF0"/>
    <w:rsid w:val="008A6F6E"/>
    <w:rsid w:val="008A71CF"/>
    <w:rsid w:val="008A7888"/>
    <w:rsid w:val="008A796E"/>
    <w:rsid w:val="008B0862"/>
    <w:rsid w:val="008B088C"/>
    <w:rsid w:val="008B1BF5"/>
    <w:rsid w:val="008B263F"/>
    <w:rsid w:val="008B3045"/>
    <w:rsid w:val="008B47A6"/>
    <w:rsid w:val="008B5C7C"/>
    <w:rsid w:val="008B63FE"/>
    <w:rsid w:val="008B672C"/>
    <w:rsid w:val="008B7108"/>
    <w:rsid w:val="008C065F"/>
    <w:rsid w:val="008C0743"/>
    <w:rsid w:val="008C0B4C"/>
    <w:rsid w:val="008C11F0"/>
    <w:rsid w:val="008C1918"/>
    <w:rsid w:val="008C1DBA"/>
    <w:rsid w:val="008C24E7"/>
    <w:rsid w:val="008C2500"/>
    <w:rsid w:val="008C2CAC"/>
    <w:rsid w:val="008C3C57"/>
    <w:rsid w:val="008C3E2A"/>
    <w:rsid w:val="008C45BD"/>
    <w:rsid w:val="008C4B19"/>
    <w:rsid w:val="008C5983"/>
    <w:rsid w:val="008C62D4"/>
    <w:rsid w:val="008C6B89"/>
    <w:rsid w:val="008C6B97"/>
    <w:rsid w:val="008C7EF7"/>
    <w:rsid w:val="008C7F13"/>
    <w:rsid w:val="008D094D"/>
    <w:rsid w:val="008D0ECE"/>
    <w:rsid w:val="008D18AA"/>
    <w:rsid w:val="008D1A2A"/>
    <w:rsid w:val="008D1ADE"/>
    <w:rsid w:val="008D3199"/>
    <w:rsid w:val="008D35D9"/>
    <w:rsid w:val="008D3B36"/>
    <w:rsid w:val="008D3B85"/>
    <w:rsid w:val="008D42D2"/>
    <w:rsid w:val="008D4596"/>
    <w:rsid w:val="008D462D"/>
    <w:rsid w:val="008D6084"/>
    <w:rsid w:val="008D64AC"/>
    <w:rsid w:val="008D656F"/>
    <w:rsid w:val="008D66CA"/>
    <w:rsid w:val="008D69B1"/>
    <w:rsid w:val="008D7338"/>
    <w:rsid w:val="008D785E"/>
    <w:rsid w:val="008D7D66"/>
    <w:rsid w:val="008E0012"/>
    <w:rsid w:val="008E0DF7"/>
    <w:rsid w:val="008E0FAD"/>
    <w:rsid w:val="008E11E4"/>
    <w:rsid w:val="008E1252"/>
    <w:rsid w:val="008E1347"/>
    <w:rsid w:val="008E16E0"/>
    <w:rsid w:val="008E1C15"/>
    <w:rsid w:val="008E1C9A"/>
    <w:rsid w:val="008E28BD"/>
    <w:rsid w:val="008E2BE6"/>
    <w:rsid w:val="008E30C4"/>
    <w:rsid w:val="008E38B4"/>
    <w:rsid w:val="008E3BA4"/>
    <w:rsid w:val="008E3F17"/>
    <w:rsid w:val="008E44AB"/>
    <w:rsid w:val="008E4CAE"/>
    <w:rsid w:val="008E5179"/>
    <w:rsid w:val="008E57FE"/>
    <w:rsid w:val="008E6598"/>
    <w:rsid w:val="008E710F"/>
    <w:rsid w:val="008E7214"/>
    <w:rsid w:val="008E7471"/>
    <w:rsid w:val="008E7497"/>
    <w:rsid w:val="008E7884"/>
    <w:rsid w:val="008E7D6E"/>
    <w:rsid w:val="008F0EBE"/>
    <w:rsid w:val="008F1056"/>
    <w:rsid w:val="008F2E8D"/>
    <w:rsid w:val="008F361D"/>
    <w:rsid w:val="008F36E4"/>
    <w:rsid w:val="008F387B"/>
    <w:rsid w:val="008F3DD9"/>
    <w:rsid w:val="008F40DC"/>
    <w:rsid w:val="008F4163"/>
    <w:rsid w:val="008F4814"/>
    <w:rsid w:val="008F4B18"/>
    <w:rsid w:val="008F4DA6"/>
    <w:rsid w:val="008F538E"/>
    <w:rsid w:val="008F5A20"/>
    <w:rsid w:val="008F5ABA"/>
    <w:rsid w:val="008F6157"/>
    <w:rsid w:val="008F71AB"/>
    <w:rsid w:val="008F7905"/>
    <w:rsid w:val="008F7989"/>
    <w:rsid w:val="00900912"/>
    <w:rsid w:val="009013B8"/>
    <w:rsid w:val="00901F1D"/>
    <w:rsid w:val="009028E8"/>
    <w:rsid w:val="00902E5C"/>
    <w:rsid w:val="0090363E"/>
    <w:rsid w:val="00903788"/>
    <w:rsid w:val="00903C57"/>
    <w:rsid w:val="009046E5"/>
    <w:rsid w:val="009047C5"/>
    <w:rsid w:val="009100A1"/>
    <w:rsid w:val="00910683"/>
    <w:rsid w:val="00910E00"/>
    <w:rsid w:val="00910E04"/>
    <w:rsid w:val="009116CE"/>
    <w:rsid w:val="00911714"/>
    <w:rsid w:val="00911D04"/>
    <w:rsid w:val="00911EFF"/>
    <w:rsid w:val="0091310F"/>
    <w:rsid w:val="009136D4"/>
    <w:rsid w:val="00914921"/>
    <w:rsid w:val="00914B9A"/>
    <w:rsid w:val="00914C3F"/>
    <w:rsid w:val="00914F33"/>
    <w:rsid w:val="00915EFE"/>
    <w:rsid w:val="00915FCE"/>
    <w:rsid w:val="00916907"/>
    <w:rsid w:val="00916AFE"/>
    <w:rsid w:val="00916FC8"/>
    <w:rsid w:val="009170D3"/>
    <w:rsid w:val="0091759C"/>
    <w:rsid w:val="00917CBE"/>
    <w:rsid w:val="00920026"/>
    <w:rsid w:val="009203E2"/>
    <w:rsid w:val="00920BF5"/>
    <w:rsid w:val="00920F61"/>
    <w:rsid w:val="00921304"/>
    <w:rsid w:val="00921395"/>
    <w:rsid w:val="00921805"/>
    <w:rsid w:val="00921E63"/>
    <w:rsid w:val="009220F6"/>
    <w:rsid w:val="00923396"/>
    <w:rsid w:val="00923F56"/>
    <w:rsid w:val="009242A6"/>
    <w:rsid w:val="00924770"/>
    <w:rsid w:val="00925346"/>
    <w:rsid w:val="00925743"/>
    <w:rsid w:val="0092579F"/>
    <w:rsid w:val="00927E8D"/>
    <w:rsid w:val="00927F23"/>
    <w:rsid w:val="009307CD"/>
    <w:rsid w:val="00931364"/>
    <w:rsid w:val="00931365"/>
    <w:rsid w:val="00931451"/>
    <w:rsid w:val="009314FA"/>
    <w:rsid w:val="0093194F"/>
    <w:rsid w:val="00931BF3"/>
    <w:rsid w:val="00931C55"/>
    <w:rsid w:val="0093228F"/>
    <w:rsid w:val="00933333"/>
    <w:rsid w:val="0093349A"/>
    <w:rsid w:val="0093360C"/>
    <w:rsid w:val="009338BA"/>
    <w:rsid w:val="00933FCB"/>
    <w:rsid w:val="009346C8"/>
    <w:rsid w:val="00934CEC"/>
    <w:rsid w:val="00934E69"/>
    <w:rsid w:val="0093576F"/>
    <w:rsid w:val="00935E70"/>
    <w:rsid w:val="0093609A"/>
    <w:rsid w:val="00937401"/>
    <w:rsid w:val="009376FB"/>
    <w:rsid w:val="00937D6B"/>
    <w:rsid w:val="00940207"/>
    <w:rsid w:val="00940477"/>
    <w:rsid w:val="00940876"/>
    <w:rsid w:val="00940A53"/>
    <w:rsid w:val="00940F3C"/>
    <w:rsid w:val="009410E0"/>
    <w:rsid w:val="00941FA9"/>
    <w:rsid w:val="009433BD"/>
    <w:rsid w:val="009439B6"/>
    <w:rsid w:val="00943B88"/>
    <w:rsid w:val="009444B4"/>
    <w:rsid w:val="00944644"/>
    <w:rsid w:val="00946A24"/>
    <w:rsid w:val="009470D4"/>
    <w:rsid w:val="00947337"/>
    <w:rsid w:val="009477BD"/>
    <w:rsid w:val="00947E6E"/>
    <w:rsid w:val="009512FA"/>
    <w:rsid w:val="009516A9"/>
    <w:rsid w:val="00951E57"/>
    <w:rsid w:val="00952350"/>
    <w:rsid w:val="00952505"/>
    <w:rsid w:val="00953018"/>
    <w:rsid w:val="009533E2"/>
    <w:rsid w:val="00953554"/>
    <w:rsid w:val="0095385A"/>
    <w:rsid w:val="00954F3A"/>
    <w:rsid w:val="00955541"/>
    <w:rsid w:val="00955DFD"/>
    <w:rsid w:val="0095674F"/>
    <w:rsid w:val="0095780A"/>
    <w:rsid w:val="009578C3"/>
    <w:rsid w:val="009579E4"/>
    <w:rsid w:val="00957AA4"/>
    <w:rsid w:val="00957ACB"/>
    <w:rsid w:val="00957F27"/>
    <w:rsid w:val="00960BDB"/>
    <w:rsid w:val="0096105C"/>
    <w:rsid w:val="0096147D"/>
    <w:rsid w:val="00961C14"/>
    <w:rsid w:val="00961D53"/>
    <w:rsid w:val="00961E5F"/>
    <w:rsid w:val="009625C6"/>
    <w:rsid w:val="009629B5"/>
    <w:rsid w:val="00962A50"/>
    <w:rsid w:val="00962C93"/>
    <w:rsid w:val="00963550"/>
    <w:rsid w:val="00964138"/>
    <w:rsid w:val="009648D6"/>
    <w:rsid w:val="00964B3F"/>
    <w:rsid w:val="00964C98"/>
    <w:rsid w:val="00966870"/>
    <w:rsid w:val="00971441"/>
    <w:rsid w:val="00971555"/>
    <w:rsid w:val="009715D4"/>
    <w:rsid w:val="009715E1"/>
    <w:rsid w:val="0097179A"/>
    <w:rsid w:val="00971B0A"/>
    <w:rsid w:val="009731F4"/>
    <w:rsid w:val="009732A4"/>
    <w:rsid w:val="00973AB3"/>
    <w:rsid w:val="00973C05"/>
    <w:rsid w:val="0097494E"/>
    <w:rsid w:val="00974999"/>
    <w:rsid w:val="00974B58"/>
    <w:rsid w:val="00974CBD"/>
    <w:rsid w:val="00975445"/>
    <w:rsid w:val="009761ED"/>
    <w:rsid w:val="00977F52"/>
    <w:rsid w:val="0098022F"/>
    <w:rsid w:val="009810DE"/>
    <w:rsid w:val="00981B91"/>
    <w:rsid w:val="009822D7"/>
    <w:rsid w:val="009827E6"/>
    <w:rsid w:val="00982F84"/>
    <w:rsid w:val="009831C3"/>
    <w:rsid w:val="009838C1"/>
    <w:rsid w:val="0098427D"/>
    <w:rsid w:val="00984567"/>
    <w:rsid w:val="00985102"/>
    <w:rsid w:val="009854BC"/>
    <w:rsid w:val="00985A66"/>
    <w:rsid w:val="0098606C"/>
    <w:rsid w:val="009865D5"/>
    <w:rsid w:val="009866A4"/>
    <w:rsid w:val="00986CD7"/>
    <w:rsid w:val="009876F2"/>
    <w:rsid w:val="00987C77"/>
    <w:rsid w:val="00987FED"/>
    <w:rsid w:val="00990345"/>
    <w:rsid w:val="00990701"/>
    <w:rsid w:val="0099119C"/>
    <w:rsid w:val="0099137A"/>
    <w:rsid w:val="0099211C"/>
    <w:rsid w:val="00993013"/>
    <w:rsid w:val="009930AB"/>
    <w:rsid w:val="00993125"/>
    <w:rsid w:val="00993B78"/>
    <w:rsid w:val="00994F3F"/>
    <w:rsid w:val="00995119"/>
    <w:rsid w:val="0099531F"/>
    <w:rsid w:val="009953AD"/>
    <w:rsid w:val="009957D7"/>
    <w:rsid w:val="0099583D"/>
    <w:rsid w:val="00995842"/>
    <w:rsid w:val="00996020"/>
    <w:rsid w:val="0099629E"/>
    <w:rsid w:val="00996992"/>
    <w:rsid w:val="00996E1E"/>
    <w:rsid w:val="00997148"/>
    <w:rsid w:val="00997392"/>
    <w:rsid w:val="0099747C"/>
    <w:rsid w:val="0099771C"/>
    <w:rsid w:val="009A01E4"/>
    <w:rsid w:val="009A0721"/>
    <w:rsid w:val="009A0917"/>
    <w:rsid w:val="009A0A33"/>
    <w:rsid w:val="009A10B2"/>
    <w:rsid w:val="009A1351"/>
    <w:rsid w:val="009A1458"/>
    <w:rsid w:val="009A2041"/>
    <w:rsid w:val="009A2435"/>
    <w:rsid w:val="009A2B60"/>
    <w:rsid w:val="009A35DC"/>
    <w:rsid w:val="009A38AB"/>
    <w:rsid w:val="009A39EE"/>
    <w:rsid w:val="009A3A33"/>
    <w:rsid w:val="009A3D47"/>
    <w:rsid w:val="009A4D63"/>
    <w:rsid w:val="009A5356"/>
    <w:rsid w:val="009A5468"/>
    <w:rsid w:val="009A55D8"/>
    <w:rsid w:val="009A5D99"/>
    <w:rsid w:val="009A608C"/>
    <w:rsid w:val="009A6FDF"/>
    <w:rsid w:val="009A706F"/>
    <w:rsid w:val="009A715F"/>
    <w:rsid w:val="009A76D6"/>
    <w:rsid w:val="009B03F1"/>
    <w:rsid w:val="009B2374"/>
    <w:rsid w:val="009B28D6"/>
    <w:rsid w:val="009B2E29"/>
    <w:rsid w:val="009B3163"/>
    <w:rsid w:val="009B40C4"/>
    <w:rsid w:val="009B422F"/>
    <w:rsid w:val="009B46BC"/>
    <w:rsid w:val="009B4D1A"/>
    <w:rsid w:val="009B519D"/>
    <w:rsid w:val="009B558B"/>
    <w:rsid w:val="009B663F"/>
    <w:rsid w:val="009B6D21"/>
    <w:rsid w:val="009B78ED"/>
    <w:rsid w:val="009C181C"/>
    <w:rsid w:val="009C1A44"/>
    <w:rsid w:val="009C1C7F"/>
    <w:rsid w:val="009C1EC7"/>
    <w:rsid w:val="009C2210"/>
    <w:rsid w:val="009C28A2"/>
    <w:rsid w:val="009C3239"/>
    <w:rsid w:val="009C3828"/>
    <w:rsid w:val="009C3AD3"/>
    <w:rsid w:val="009C3AF4"/>
    <w:rsid w:val="009C3D2C"/>
    <w:rsid w:val="009C4987"/>
    <w:rsid w:val="009C4A41"/>
    <w:rsid w:val="009C4FDE"/>
    <w:rsid w:val="009C523F"/>
    <w:rsid w:val="009C59BF"/>
    <w:rsid w:val="009C5D02"/>
    <w:rsid w:val="009C5E4F"/>
    <w:rsid w:val="009C5F64"/>
    <w:rsid w:val="009C5F82"/>
    <w:rsid w:val="009C60EA"/>
    <w:rsid w:val="009C6BFC"/>
    <w:rsid w:val="009C70F8"/>
    <w:rsid w:val="009C78A3"/>
    <w:rsid w:val="009C7E68"/>
    <w:rsid w:val="009D00D7"/>
    <w:rsid w:val="009D0156"/>
    <w:rsid w:val="009D03B4"/>
    <w:rsid w:val="009D05DA"/>
    <w:rsid w:val="009D11F6"/>
    <w:rsid w:val="009D1A14"/>
    <w:rsid w:val="009D1E2A"/>
    <w:rsid w:val="009D1FA0"/>
    <w:rsid w:val="009D2BDF"/>
    <w:rsid w:val="009D3736"/>
    <w:rsid w:val="009D4529"/>
    <w:rsid w:val="009D460F"/>
    <w:rsid w:val="009D604F"/>
    <w:rsid w:val="009D61BB"/>
    <w:rsid w:val="009D6410"/>
    <w:rsid w:val="009D68BB"/>
    <w:rsid w:val="009D6909"/>
    <w:rsid w:val="009D700F"/>
    <w:rsid w:val="009D70C2"/>
    <w:rsid w:val="009D7244"/>
    <w:rsid w:val="009D7ADB"/>
    <w:rsid w:val="009D7B33"/>
    <w:rsid w:val="009E0490"/>
    <w:rsid w:val="009E06C3"/>
    <w:rsid w:val="009E0703"/>
    <w:rsid w:val="009E1035"/>
    <w:rsid w:val="009E13D2"/>
    <w:rsid w:val="009E16DA"/>
    <w:rsid w:val="009E1CD4"/>
    <w:rsid w:val="009E2391"/>
    <w:rsid w:val="009E2A11"/>
    <w:rsid w:val="009E476A"/>
    <w:rsid w:val="009E4A16"/>
    <w:rsid w:val="009E4E05"/>
    <w:rsid w:val="009E56FF"/>
    <w:rsid w:val="009E5CB1"/>
    <w:rsid w:val="009E5E56"/>
    <w:rsid w:val="009E61EA"/>
    <w:rsid w:val="009E6990"/>
    <w:rsid w:val="009E6FEE"/>
    <w:rsid w:val="009E7068"/>
    <w:rsid w:val="009F0084"/>
    <w:rsid w:val="009F00B9"/>
    <w:rsid w:val="009F060F"/>
    <w:rsid w:val="009F0781"/>
    <w:rsid w:val="009F0850"/>
    <w:rsid w:val="009F0ABE"/>
    <w:rsid w:val="009F15A8"/>
    <w:rsid w:val="009F1950"/>
    <w:rsid w:val="009F1BDF"/>
    <w:rsid w:val="009F1EAE"/>
    <w:rsid w:val="009F210A"/>
    <w:rsid w:val="009F2732"/>
    <w:rsid w:val="009F2848"/>
    <w:rsid w:val="009F369D"/>
    <w:rsid w:val="009F36FE"/>
    <w:rsid w:val="009F4990"/>
    <w:rsid w:val="009F4F25"/>
    <w:rsid w:val="009F59C2"/>
    <w:rsid w:val="009F62A3"/>
    <w:rsid w:val="009F7263"/>
    <w:rsid w:val="009F76EA"/>
    <w:rsid w:val="009F78EB"/>
    <w:rsid w:val="009F7DB2"/>
    <w:rsid w:val="009F7F32"/>
    <w:rsid w:val="009F7FEB"/>
    <w:rsid w:val="00A003D5"/>
    <w:rsid w:val="00A0056C"/>
    <w:rsid w:val="00A00F5E"/>
    <w:rsid w:val="00A0120D"/>
    <w:rsid w:val="00A012BA"/>
    <w:rsid w:val="00A01852"/>
    <w:rsid w:val="00A0188B"/>
    <w:rsid w:val="00A01C35"/>
    <w:rsid w:val="00A01E73"/>
    <w:rsid w:val="00A023E7"/>
    <w:rsid w:val="00A026CC"/>
    <w:rsid w:val="00A02B88"/>
    <w:rsid w:val="00A02EF9"/>
    <w:rsid w:val="00A03160"/>
    <w:rsid w:val="00A036AC"/>
    <w:rsid w:val="00A03BF5"/>
    <w:rsid w:val="00A03C54"/>
    <w:rsid w:val="00A03DE5"/>
    <w:rsid w:val="00A041BC"/>
    <w:rsid w:val="00A0447F"/>
    <w:rsid w:val="00A04532"/>
    <w:rsid w:val="00A046D2"/>
    <w:rsid w:val="00A04A54"/>
    <w:rsid w:val="00A058B8"/>
    <w:rsid w:val="00A05B4B"/>
    <w:rsid w:val="00A066C3"/>
    <w:rsid w:val="00A06754"/>
    <w:rsid w:val="00A069E0"/>
    <w:rsid w:val="00A06E4A"/>
    <w:rsid w:val="00A06EB6"/>
    <w:rsid w:val="00A070E9"/>
    <w:rsid w:val="00A078FB"/>
    <w:rsid w:val="00A10209"/>
    <w:rsid w:val="00A1036D"/>
    <w:rsid w:val="00A1069F"/>
    <w:rsid w:val="00A10ACA"/>
    <w:rsid w:val="00A10D08"/>
    <w:rsid w:val="00A11720"/>
    <w:rsid w:val="00A11E78"/>
    <w:rsid w:val="00A12355"/>
    <w:rsid w:val="00A12574"/>
    <w:rsid w:val="00A127D2"/>
    <w:rsid w:val="00A1284E"/>
    <w:rsid w:val="00A13CF5"/>
    <w:rsid w:val="00A143EC"/>
    <w:rsid w:val="00A149E8"/>
    <w:rsid w:val="00A1500F"/>
    <w:rsid w:val="00A15621"/>
    <w:rsid w:val="00A15670"/>
    <w:rsid w:val="00A157A0"/>
    <w:rsid w:val="00A1585B"/>
    <w:rsid w:val="00A15C19"/>
    <w:rsid w:val="00A15FE9"/>
    <w:rsid w:val="00A16809"/>
    <w:rsid w:val="00A17584"/>
    <w:rsid w:val="00A17769"/>
    <w:rsid w:val="00A17EA2"/>
    <w:rsid w:val="00A20264"/>
    <w:rsid w:val="00A20997"/>
    <w:rsid w:val="00A20ECE"/>
    <w:rsid w:val="00A210D4"/>
    <w:rsid w:val="00A213DD"/>
    <w:rsid w:val="00A21454"/>
    <w:rsid w:val="00A216CE"/>
    <w:rsid w:val="00A22025"/>
    <w:rsid w:val="00A22498"/>
    <w:rsid w:val="00A22571"/>
    <w:rsid w:val="00A2298D"/>
    <w:rsid w:val="00A235E1"/>
    <w:rsid w:val="00A24560"/>
    <w:rsid w:val="00A25B0F"/>
    <w:rsid w:val="00A25BBB"/>
    <w:rsid w:val="00A27E77"/>
    <w:rsid w:val="00A27FB6"/>
    <w:rsid w:val="00A30121"/>
    <w:rsid w:val="00A30368"/>
    <w:rsid w:val="00A3043A"/>
    <w:rsid w:val="00A30E02"/>
    <w:rsid w:val="00A30F6A"/>
    <w:rsid w:val="00A31060"/>
    <w:rsid w:val="00A31C3E"/>
    <w:rsid w:val="00A34538"/>
    <w:rsid w:val="00A34677"/>
    <w:rsid w:val="00A3540F"/>
    <w:rsid w:val="00A35630"/>
    <w:rsid w:val="00A35914"/>
    <w:rsid w:val="00A36189"/>
    <w:rsid w:val="00A3677A"/>
    <w:rsid w:val="00A37E73"/>
    <w:rsid w:val="00A37FB6"/>
    <w:rsid w:val="00A409E2"/>
    <w:rsid w:val="00A4104A"/>
    <w:rsid w:val="00A41081"/>
    <w:rsid w:val="00A411CA"/>
    <w:rsid w:val="00A41AA2"/>
    <w:rsid w:val="00A42080"/>
    <w:rsid w:val="00A42096"/>
    <w:rsid w:val="00A426F3"/>
    <w:rsid w:val="00A42FDF"/>
    <w:rsid w:val="00A430A9"/>
    <w:rsid w:val="00A431FE"/>
    <w:rsid w:val="00A4384F"/>
    <w:rsid w:val="00A439E5"/>
    <w:rsid w:val="00A4414E"/>
    <w:rsid w:val="00A4497A"/>
    <w:rsid w:val="00A44AB5"/>
    <w:rsid w:val="00A44BE8"/>
    <w:rsid w:val="00A44C96"/>
    <w:rsid w:val="00A44CDD"/>
    <w:rsid w:val="00A44F54"/>
    <w:rsid w:val="00A45F9B"/>
    <w:rsid w:val="00A46574"/>
    <w:rsid w:val="00A46A5F"/>
    <w:rsid w:val="00A47701"/>
    <w:rsid w:val="00A47849"/>
    <w:rsid w:val="00A500B1"/>
    <w:rsid w:val="00A51D65"/>
    <w:rsid w:val="00A52A53"/>
    <w:rsid w:val="00A52EE5"/>
    <w:rsid w:val="00A53037"/>
    <w:rsid w:val="00A532B9"/>
    <w:rsid w:val="00A5351D"/>
    <w:rsid w:val="00A53E79"/>
    <w:rsid w:val="00A5402C"/>
    <w:rsid w:val="00A54031"/>
    <w:rsid w:val="00A5426D"/>
    <w:rsid w:val="00A54FC2"/>
    <w:rsid w:val="00A55122"/>
    <w:rsid w:val="00A55806"/>
    <w:rsid w:val="00A55CEA"/>
    <w:rsid w:val="00A560A9"/>
    <w:rsid w:val="00A56DE7"/>
    <w:rsid w:val="00A57EB2"/>
    <w:rsid w:val="00A6009E"/>
    <w:rsid w:val="00A60265"/>
    <w:rsid w:val="00A60540"/>
    <w:rsid w:val="00A60B1F"/>
    <w:rsid w:val="00A611B1"/>
    <w:rsid w:val="00A6144B"/>
    <w:rsid w:val="00A6149F"/>
    <w:rsid w:val="00A61C60"/>
    <w:rsid w:val="00A62589"/>
    <w:rsid w:val="00A62AD0"/>
    <w:rsid w:val="00A62C3A"/>
    <w:rsid w:val="00A6319C"/>
    <w:rsid w:val="00A63812"/>
    <w:rsid w:val="00A63DF7"/>
    <w:rsid w:val="00A6454D"/>
    <w:rsid w:val="00A64742"/>
    <w:rsid w:val="00A64767"/>
    <w:rsid w:val="00A64F2F"/>
    <w:rsid w:val="00A65B3A"/>
    <w:rsid w:val="00A6611E"/>
    <w:rsid w:val="00A6662C"/>
    <w:rsid w:val="00A668BA"/>
    <w:rsid w:val="00A66FA7"/>
    <w:rsid w:val="00A67035"/>
    <w:rsid w:val="00A67170"/>
    <w:rsid w:val="00A67E16"/>
    <w:rsid w:val="00A67EB1"/>
    <w:rsid w:val="00A67F1C"/>
    <w:rsid w:val="00A703CC"/>
    <w:rsid w:val="00A70C5C"/>
    <w:rsid w:val="00A710A2"/>
    <w:rsid w:val="00A71EA7"/>
    <w:rsid w:val="00A730AD"/>
    <w:rsid w:val="00A73855"/>
    <w:rsid w:val="00A73D64"/>
    <w:rsid w:val="00A74216"/>
    <w:rsid w:val="00A74360"/>
    <w:rsid w:val="00A744B4"/>
    <w:rsid w:val="00A746CF"/>
    <w:rsid w:val="00A751E3"/>
    <w:rsid w:val="00A7536B"/>
    <w:rsid w:val="00A753B9"/>
    <w:rsid w:val="00A7549A"/>
    <w:rsid w:val="00A75504"/>
    <w:rsid w:val="00A75FD7"/>
    <w:rsid w:val="00A77168"/>
    <w:rsid w:val="00A7723B"/>
    <w:rsid w:val="00A773C3"/>
    <w:rsid w:val="00A7793C"/>
    <w:rsid w:val="00A77D21"/>
    <w:rsid w:val="00A80085"/>
    <w:rsid w:val="00A8043B"/>
    <w:rsid w:val="00A80DA0"/>
    <w:rsid w:val="00A81323"/>
    <w:rsid w:val="00A820CB"/>
    <w:rsid w:val="00A82342"/>
    <w:rsid w:val="00A8236F"/>
    <w:rsid w:val="00A82D06"/>
    <w:rsid w:val="00A83BEF"/>
    <w:rsid w:val="00A84443"/>
    <w:rsid w:val="00A8487F"/>
    <w:rsid w:val="00A84935"/>
    <w:rsid w:val="00A849A3"/>
    <w:rsid w:val="00A84A0E"/>
    <w:rsid w:val="00A84C22"/>
    <w:rsid w:val="00A8575D"/>
    <w:rsid w:val="00A861F4"/>
    <w:rsid w:val="00A86E0B"/>
    <w:rsid w:val="00A90789"/>
    <w:rsid w:val="00A90F12"/>
    <w:rsid w:val="00A91DAA"/>
    <w:rsid w:val="00A93101"/>
    <w:rsid w:val="00A93239"/>
    <w:rsid w:val="00A9413E"/>
    <w:rsid w:val="00A94293"/>
    <w:rsid w:val="00A9496E"/>
    <w:rsid w:val="00A949F0"/>
    <w:rsid w:val="00A94BDE"/>
    <w:rsid w:val="00A94FCA"/>
    <w:rsid w:val="00A95E4C"/>
    <w:rsid w:val="00A96C60"/>
    <w:rsid w:val="00A9740B"/>
    <w:rsid w:val="00A9766C"/>
    <w:rsid w:val="00A977F8"/>
    <w:rsid w:val="00A979DB"/>
    <w:rsid w:val="00A97A40"/>
    <w:rsid w:val="00A97C93"/>
    <w:rsid w:val="00AA06C6"/>
    <w:rsid w:val="00AA08E7"/>
    <w:rsid w:val="00AA0A06"/>
    <w:rsid w:val="00AA1351"/>
    <w:rsid w:val="00AA184C"/>
    <w:rsid w:val="00AA1AF4"/>
    <w:rsid w:val="00AA1C84"/>
    <w:rsid w:val="00AA31C5"/>
    <w:rsid w:val="00AA3D7B"/>
    <w:rsid w:val="00AA42A0"/>
    <w:rsid w:val="00AA442B"/>
    <w:rsid w:val="00AA46A4"/>
    <w:rsid w:val="00AA47FA"/>
    <w:rsid w:val="00AA5779"/>
    <w:rsid w:val="00AA58A1"/>
    <w:rsid w:val="00AA61C7"/>
    <w:rsid w:val="00AA669D"/>
    <w:rsid w:val="00AA66ED"/>
    <w:rsid w:val="00AA6B44"/>
    <w:rsid w:val="00AA6B59"/>
    <w:rsid w:val="00AA6BE1"/>
    <w:rsid w:val="00AA7416"/>
    <w:rsid w:val="00AA7A60"/>
    <w:rsid w:val="00AA7B42"/>
    <w:rsid w:val="00AB041C"/>
    <w:rsid w:val="00AB14E8"/>
    <w:rsid w:val="00AB1B1D"/>
    <w:rsid w:val="00AB1CD8"/>
    <w:rsid w:val="00AB2216"/>
    <w:rsid w:val="00AB358D"/>
    <w:rsid w:val="00AB37A1"/>
    <w:rsid w:val="00AB3BAD"/>
    <w:rsid w:val="00AB3CFD"/>
    <w:rsid w:val="00AB49BC"/>
    <w:rsid w:val="00AB4DEE"/>
    <w:rsid w:val="00AB4E32"/>
    <w:rsid w:val="00AB5C19"/>
    <w:rsid w:val="00AB724B"/>
    <w:rsid w:val="00AB726C"/>
    <w:rsid w:val="00AB72B4"/>
    <w:rsid w:val="00AB7549"/>
    <w:rsid w:val="00AB7A7A"/>
    <w:rsid w:val="00AC02AA"/>
    <w:rsid w:val="00AC0537"/>
    <w:rsid w:val="00AC0A84"/>
    <w:rsid w:val="00AC1508"/>
    <w:rsid w:val="00AC2A0B"/>
    <w:rsid w:val="00AC2BEE"/>
    <w:rsid w:val="00AC2E53"/>
    <w:rsid w:val="00AC484F"/>
    <w:rsid w:val="00AC4AD2"/>
    <w:rsid w:val="00AC4B20"/>
    <w:rsid w:val="00AC5395"/>
    <w:rsid w:val="00AC55C7"/>
    <w:rsid w:val="00AC56F2"/>
    <w:rsid w:val="00AC5D9D"/>
    <w:rsid w:val="00AC71C3"/>
    <w:rsid w:val="00AD0861"/>
    <w:rsid w:val="00AD09F7"/>
    <w:rsid w:val="00AD1EFA"/>
    <w:rsid w:val="00AD2072"/>
    <w:rsid w:val="00AD2DBD"/>
    <w:rsid w:val="00AD2FBF"/>
    <w:rsid w:val="00AD30DB"/>
    <w:rsid w:val="00AD33A1"/>
    <w:rsid w:val="00AD340E"/>
    <w:rsid w:val="00AD455D"/>
    <w:rsid w:val="00AD463C"/>
    <w:rsid w:val="00AD4F60"/>
    <w:rsid w:val="00AD5044"/>
    <w:rsid w:val="00AD5114"/>
    <w:rsid w:val="00AD5740"/>
    <w:rsid w:val="00AD6236"/>
    <w:rsid w:val="00AD69D5"/>
    <w:rsid w:val="00AD7619"/>
    <w:rsid w:val="00AD7770"/>
    <w:rsid w:val="00AE1713"/>
    <w:rsid w:val="00AE1772"/>
    <w:rsid w:val="00AE1990"/>
    <w:rsid w:val="00AE25E8"/>
    <w:rsid w:val="00AE2AD4"/>
    <w:rsid w:val="00AE2CA7"/>
    <w:rsid w:val="00AE2F1D"/>
    <w:rsid w:val="00AE4C81"/>
    <w:rsid w:val="00AE586F"/>
    <w:rsid w:val="00AE62FE"/>
    <w:rsid w:val="00AE6582"/>
    <w:rsid w:val="00AE6DC5"/>
    <w:rsid w:val="00AE7686"/>
    <w:rsid w:val="00AE799A"/>
    <w:rsid w:val="00AF0E81"/>
    <w:rsid w:val="00AF117A"/>
    <w:rsid w:val="00AF134E"/>
    <w:rsid w:val="00AF16CA"/>
    <w:rsid w:val="00AF186E"/>
    <w:rsid w:val="00AF19DF"/>
    <w:rsid w:val="00AF1D41"/>
    <w:rsid w:val="00AF26CF"/>
    <w:rsid w:val="00AF3124"/>
    <w:rsid w:val="00AF344D"/>
    <w:rsid w:val="00AF39B3"/>
    <w:rsid w:val="00AF3C1F"/>
    <w:rsid w:val="00AF3FED"/>
    <w:rsid w:val="00AF4402"/>
    <w:rsid w:val="00AF4639"/>
    <w:rsid w:val="00AF4E92"/>
    <w:rsid w:val="00AF554B"/>
    <w:rsid w:val="00AF5C9B"/>
    <w:rsid w:val="00AF5D53"/>
    <w:rsid w:val="00AF5E2D"/>
    <w:rsid w:val="00AF644B"/>
    <w:rsid w:val="00AF69EB"/>
    <w:rsid w:val="00AF6CA6"/>
    <w:rsid w:val="00AF6DEC"/>
    <w:rsid w:val="00AF6EB6"/>
    <w:rsid w:val="00AF7796"/>
    <w:rsid w:val="00AF7E8F"/>
    <w:rsid w:val="00B011A9"/>
    <w:rsid w:val="00B01BAF"/>
    <w:rsid w:val="00B024ED"/>
    <w:rsid w:val="00B025FE"/>
    <w:rsid w:val="00B026B8"/>
    <w:rsid w:val="00B02EB3"/>
    <w:rsid w:val="00B02F7C"/>
    <w:rsid w:val="00B02FCB"/>
    <w:rsid w:val="00B033F8"/>
    <w:rsid w:val="00B0343B"/>
    <w:rsid w:val="00B03C1E"/>
    <w:rsid w:val="00B04400"/>
    <w:rsid w:val="00B04835"/>
    <w:rsid w:val="00B05A55"/>
    <w:rsid w:val="00B05DE1"/>
    <w:rsid w:val="00B06595"/>
    <w:rsid w:val="00B06862"/>
    <w:rsid w:val="00B10109"/>
    <w:rsid w:val="00B1085E"/>
    <w:rsid w:val="00B10F18"/>
    <w:rsid w:val="00B10FD1"/>
    <w:rsid w:val="00B112D5"/>
    <w:rsid w:val="00B11378"/>
    <w:rsid w:val="00B1219D"/>
    <w:rsid w:val="00B12735"/>
    <w:rsid w:val="00B12F44"/>
    <w:rsid w:val="00B12FBB"/>
    <w:rsid w:val="00B13C48"/>
    <w:rsid w:val="00B13E35"/>
    <w:rsid w:val="00B13EC0"/>
    <w:rsid w:val="00B14102"/>
    <w:rsid w:val="00B14D32"/>
    <w:rsid w:val="00B1507C"/>
    <w:rsid w:val="00B15105"/>
    <w:rsid w:val="00B1557C"/>
    <w:rsid w:val="00B155DC"/>
    <w:rsid w:val="00B15766"/>
    <w:rsid w:val="00B15E4A"/>
    <w:rsid w:val="00B1666A"/>
    <w:rsid w:val="00B167C8"/>
    <w:rsid w:val="00B1686D"/>
    <w:rsid w:val="00B16BF7"/>
    <w:rsid w:val="00B17129"/>
    <w:rsid w:val="00B1741D"/>
    <w:rsid w:val="00B17447"/>
    <w:rsid w:val="00B17719"/>
    <w:rsid w:val="00B1771D"/>
    <w:rsid w:val="00B17B91"/>
    <w:rsid w:val="00B20209"/>
    <w:rsid w:val="00B203C9"/>
    <w:rsid w:val="00B2088D"/>
    <w:rsid w:val="00B208FF"/>
    <w:rsid w:val="00B20B23"/>
    <w:rsid w:val="00B21271"/>
    <w:rsid w:val="00B22E22"/>
    <w:rsid w:val="00B22F5F"/>
    <w:rsid w:val="00B23353"/>
    <w:rsid w:val="00B237E6"/>
    <w:rsid w:val="00B23813"/>
    <w:rsid w:val="00B23FD9"/>
    <w:rsid w:val="00B24591"/>
    <w:rsid w:val="00B245D5"/>
    <w:rsid w:val="00B245EF"/>
    <w:rsid w:val="00B24C36"/>
    <w:rsid w:val="00B24D9F"/>
    <w:rsid w:val="00B24F94"/>
    <w:rsid w:val="00B25126"/>
    <w:rsid w:val="00B25703"/>
    <w:rsid w:val="00B25A52"/>
    <w:rsid w:val="00B25EAF"/>
    <w:rsid w:val="00B25FC3"/>
    <w:rsid w:val="00B2692F"/>
    <w:rsid w:val="00B27875"/>
    <w:rsid w:val="00B3008D"/>
    <w:rsid w:val="00B30884"/>
    <w:rsid w:val="00B30E11"/>
    <w:rsid w:val="00B30EAE"/>
    <w:rsid w:val="00B30EEB"/>
    <w:rsid w:val="00B31423"/>
    <w:rsid w:val="00B317AE"/>
    <w:rsid w:val="00B323E0"/>
    <w:rsid w:val="00B32413"/>
    <w:rsid w:val="00B32DC0"/>
    <w:rsid w:val="00B32E31"/>
    <w:rsid w:val="00B3346C"/>
    <w:rsid w:val="00B335E4"/>
    <w:rsid w:val="00B33C23"/>
    <w:rsid w:val="00B345B4"/>
    <w:rsid w:val="00B348B1"/>
    <w:rsid w:val="00B34A28"/>
    <w:rsid w:val="00B35046"/>
    <w:rsid w:val="00B357F4"/>
    <w:rsid w:val="00B35B6A"/>
    <w:rsid w:val="00B3692A"/>
    <w:rsid w:val="00B36D2B"/>
    <w:rsid w:val="00B37657"/>
    <w:rsid w:val="00B37AFD"/>
    <w:rsid w:val="00B37B07"/>
    <w:rsid w:val="00B4046F"/>
    <w:rsid w:val="00B406B3"/>
    <w:rsid w:val="00B40A36"/>
    <w:rsid w:val="00B41BCA"/>
    <w:rsid w:val="00B41D39"/>
    <w:rsid w:val="00B422C0"/>
    <w:rsid w:val="00B426CA"/>
    <w:rsid w:val="00B426E1"/>
    <w:rsid w:val="00B434C1"/>
    <w:rsid w:val="00B43718"/>
    <w:rsid w:val="00B4387A"/>
    <w:rsid w:val="00B44746"/>
    <w:rsid w:val="00B44854"/>
    <w:rsid w:val="00B44BA5"/>
    <w:rsid w:val="00B458D0"/>
    <w:rsid w:val="00B467FB"/>
    <w:rsid w:val="00B4792C"/>
    <w:rsid w:val="00B50CAE"/>
    <w:rsid w:val="00B512AD"/>
    <w:rsid w:val="00B5196C"/>
    <w:rsid w:val="00B525CB"/>
    <w:rsid w:val="00B52697"/>
    <w:rsid w:val="00B53D1A"/>
    <w:rsid w:val="00B54215"/>
    <w:rsid w:val="00B54D8F"/>
    <w:rsid w:val="00B55857"/>
    <w:rsid w:val="00B55C69"/>
    <w:rsid w:val="00B56851"/>
    <w:rsid w:val="00B56D6E"/>
    <w:rsid w:val="00B572F7"/>
    <w:rsid w:val="00B57B9D"/>
    <w:rsid w:val="00B57DAF"/>
    <w:rsid w:val="00B60094"/>
    <w:rsid w:val="00B6022C"/>
    <w:rsid w:val="00B6040C"/>
    <w:rsid w:val="00B614F8"/>
    <w:rsid w:val="00B61994"/>
    <w:rsid w:val="00B61B18"/>
    <w:rsid w:val="00B61FD4"/>
    <w:rsid w:val="00B6235B"/>
    <w:rsid w:val="00B62880"/>
    <w:rsid w:val="00B63872"/>
    <w:rsid w:val="00B63CB2"/>
    <w:rsid w:val="00B64246"/>
    <w:rsid w:val="00B646F3"/>
    <w:rsid w:val="00B64EDB"/>
    <w:rsid w:val="00B65938"/>
    <w:rsid w:val="00B65C8A"/>
    <w:rsid w:val="00B65CE2"/>
    <w:rsid w:val="00B660AD"/>
    <w:rsid w:val="00B66109"/>
    <w:rsid w:val="00B66349"/>
    <w:rsid w:val="00B669B3"/>
    <w:rsid w:val="00B67AA9"/>
    <w:rsid w:val="00B67FBF"/>
    <w:rsid w:val="00B70832"/>
    <w:rsid w:val="00B71376"/>
    <w:rsid w:val="00B716D7"/>
    <w:rsid w:val="00B719EA"/>
    <w:rsid w:val="00B72110"/>
    <w:rsid w:val="00B726B0"/>
    <w:rsid w:val="00B72B91"/>
    <w:rsid w:val="00B73019"/>
    <w:rsid w:val="00B7315F"/>
    <w:rsid w:val="00B7323A"/>
    <w:rsid w:val="00B7353B"/>
    <w:rsid w:val="00B737FB"/>
    <w:rsid w:val="00B73E5D"/>
    <w:rsid w:val="00B73EF3"/>
    <w:rsid w:val="00B7423D"/>
    <w:rsid w:val="00B74D05"/>
    <w:rsid w:val="00B74EF8"/>
    <w:rsid w:val="00B75893"/>
    <w:rsid w:val="00B771F4"/>
    <w:rsid w:val="00B7762A"/>
    <w:rsid w:val="00B777FA"/>
    <w:rsid w:val="00B77850"/>
    <w:rsid w:val="00B7796B"/>
    <w:rsid w:val="00B80C72"/>
    <w:rsid w:val="00B8101E"/>
    <w:rsid w:val="00B81964"/>
    <w:rsid w:val="00B81E6F"/>
    <w:rsid w:val="00B82123"/>
    <w:rsid w:val="00B8225B"/>
    <w:rsid w:val="00B82BB5"/>
    <w:rsid w:val="00B83182"/>
    <w:rsid w:val="00B839F0"/>
    <w:rsid w:val="00B851E4"/>
    <w:rsid w:val="00B8535C"/>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2531"/>
    <w:rsid w:val="00B92618"/>
    <w:rsid w:val="00B92751"/>
    <w:rsid w:val="00B92B69"/>
    <w:rsid w:val="00B92CC6"/>
    <w:rsid w:val="00B935C9"/>
    <w:rsid w:val="00B93E3D"/>
    <w:rsid w:val="00B95464"/>
    <w:rsid w:val="00B95C30"/>
    <w:rsid w:val="00B95E3D"/>
    <w:rsid w:val="00B9642A"/>
    <w:rsid w:val="00B9691F"/>
    <w:rsid w:val="00B96944"/>
    <w:rsid w:val="00B96EEC"/>
    <w:rsid w:val="00B97232"/>
    <w:rsid w:val="00B97392"/>
    <w:rsid w:val="00B976C7"/>
    <w:rsid w:val="00B97A73"/>
    <w:rsid w:val="00BA0C54"/>
    <w:rsid w:val="00BA1382"/>
    <w:rsid w:val="00BA15E3"/>
    <w:rsid w:val="00BA1A85"/>
    <w:rsid w:val="00BA1A8C"/>
    <w:rsid w:val="00BA1D07"/>
    <w:rsid w:val="00BA20B6"/>
    <w:rsid w:val="00BA20D8"/>
    <w:rsid w:val="00BA22FC"/>
    <w:rsid w:val="00BA2C2A"/>
    <w:rsid w:val="00BA2F30"/>
    <w:rsid w:val="00BA3982"/>
    <w:rsid w:val="00BA405F"/>
    <w:rsid w:val="00BA4771"/>
    <w:rsid w:val="00BA482B"/>
    <w:rsid w:val="00BA5027"/>
    <w:rsid w:val="00BA55E0"/>
    <w:rsid w:val="00BA5B88"/>
    <w:rsid w:val="00BA665B"/>
    <w:rsid w:val="00BA6FE8"/>
    <w:rsid w:val="00BA732D"/>
    <w:rsid w:val="00BA7370"/>
    <w:rsid w:val="00BA778B"/>
    <w:rsid w:val="00BB0888"/>
    <w:rsid w:val="00BB0DF1"/>
    <w:rsid w:val="00BB0E49"/>
    <w:rsid w:val="00BB0E9B"/>
    <w:rsid w:val="00BB2841"/>
    <w:rsid w:val="00BB300F"/>
    <w:rsid w:val="00BB32C9"/>
    <w:rsid w:val="00BB35C5"/>
    <w:rsid w:val="00BB4048"/>
    <w:rsid w:val="00BB4C8E"/>
    <w:rsid w:val="00BB5324"/>
    <w:rsid w:val="00BB57ED"/>
    <w:rsid w:val="00BB5A2D"/>
    <w:rsid w:val="00BB606C"/>
    <w:rsid w:val="00BB65C3"/>
    <w:rsid w:val="00BB662E"/>
    <w:rsid w:val="00BB67A9"/>
    <w:rsid w:val="00BB6C01"/>
    <w:rsid w:val="00BB7942"/>
    <w:rsid w:val="00BB7B13"/>
    <w:rsid w:val="00BB7CD1"/>
    <w:rsid w:val="00BC0F33"/>
    <w:rsid w:val="00BC14A7"/>
    <w:rsid w:val="00BC17CC"/>
    <w:rsid w:val="00BC209F"/>
    <w:rsid w:val="00BC24AD"/>
    <w:rsid w:val="00BC2898"/>
    <w:rsid w:val="00BC2928"/>
    <w:rsid w:val="00BC29BD"/>
    <w:rsid w:val="00BC2BB1"/>
    <w:rsid w:val="00BC30B3"/>
    <w:rsid w:val="00BC34A3"/>
    <w:rsid w:val="00BC3DD4"/>
    <w:rsid w:val="00BC3FF9"/>
    <w:rsid w:val="00BC4834"/>
    <w:rsid w:val="00BC4A97"/>
    <w:rsid w:val="00BC5A25"/>
    <w:rsid w:val="00BC5FDD"/>
    <w:rsid w:val="00BC68B4"/>
    <w:rsid w:val="00BC7277"/>
    <w:rsid w:val="00BD0140"/>
    <w:rsid w:val="00BD02CC"/>
    <w:rsid w:val="00BD088E"/>
    <w:rsid w:val="00BD0F18"/>
    <w:rsid w:val="00BD182E"/>
    <w:rsid w:val="00BD2063"/>
    <w:rsid w:val="00BD2950"/>
    <w:rsid w:val="00BD337A"/>
    <w:rsid w:val="00BD33D9"/>
    <w:rsid w:val="00BD38C5"/>
    <w:rsid w:val="00BD3A6D"/>
    <w:rsid w:val="00BD3AF1"/>
    <w:rsid w:val="00BD3DEA"/>
    <w:rsid w:val="00BD3E97"/>
    <w:rsid w:val="00BD40E4"/>
    <w:rsid w:val="00BD52FE"/>
    <w:rsid w:val="00BD62CF"/>
    <w:rsid w:val="00BD67B2"/>
    <w:rsid w:val="00BD67CD"/>
    <w:rsid w:val="00BD68E2"/>
    <w:rsid w:val="00BD6D41"/>
    <w:rsid w:val="00BD76E5"/>
    <w:rsid w:val="00BD78FE"/>
    <w:rsid w:val="00BE0149"/>
    <w:rsid w:val="00BE0767"/>
    <w:rsid w:val="00BE07A6"/>
    <w:rsid w:val="00BE0CDF"/>
    <w:rsid w:val="00BE0F24"/>
    <w:rsid w:val="00BE12D7"/>
    <w:rsid w:val="00BE1372"/>
    <w:rsid w:val="00BE1775"/>
    <w:rsid w:val="00BE18DA"/>
    <w:rsid w:val="00BE26C0"/>
    <w:rsid w:val="00BE3442"/>
    <w:rsid w:val="00BE37CD"/>
    <w:rsid w:val="00BE47B2"/>
    <w:rsid w:val="00BE4881"/>
    <w:rsid w:val="00BE48C7"/>
    <w:rsid w:val="00BE4F66"/>
    <w:rsid w:val="00BE4FBF"/>
    <w:rsid w:val="00BE5238"/>
    <w:rsid w:val="00BE5742"/>
    <w:rsid w:val="00BE6074"/>
    <w:rsid w:val="00BE69E2"/>
    <w:rsid w:val="00BE6AEA"/>
    <w:rsid w:val="00BE6D73"/>
    <w:rsid w:val="00BE7257"/>
    <w:rsid w:val="00BF020D"/>
    <w:rsid w:val="00BF0532"/>
    <w:rsid w:val="00BF0609"/>
    <w:rsid w:val="00BF0B32"/>
    <w:rsid w:val="00BF0EE8"/>
    <w:rsid w:val="00BF10ED"/>
    <w:rsid w:val="00BF1DD2"/>
    <w:rsid w:val="00BF23A3"/>
    <w:rsid w:val="00BF2A7E"/>
    <w:rsid w:val="00BF3331"/>
    <w:rsid w:val="00BF3A45"/>
    <w:rsid w:val="00BF436F"/>
    <w:rsid w:val="00BF5AB4"/>
    <w:rsid w:val="00BF5C05"/>
    <w:rsid w:val="00BF6A12"/>
    <w:rsid w:val="00BF6FC6"/>
    <w:rsid w:val="00BF775D"/>
    <w:rsid w:val="00BF7C52"/>
    <w:rsid w:val="00BF7CEF"/>
    <w:rsid w:val="00BF7F99"/>
    <w:rsid w:val="00C00713"/>
    <w:rsid w:val="00C009A0"/>
    <w:rsid w:val="00C01F74"/>
    <w:rsid w:val="00C020C1"/>
    <w:rsid w:val="00C02558"/>
    <w:rsid w:val="00C025FE"/>
    <w:rsid w:val="00C0285F"/>
    <w:rsid w:val="00C028F5"/>
    <w:rsid w:val="00C02F35"/>
    <w:rsid w:val="00C03305"/>
    <w:rsid w:val="00C03515"/>
    <w:rsid w:val="00C03738"/>
    <w:rsid w:val="00C037A6"/>
    <w:rsid w:val="00C04221"/>
    <w:rsid w:val="00C043F5"/>
    <w:rsid w:val="00C04488"/>
    <w:rsid w:val="00C044E3"/>
    <w:rsid w:val="00C04596"/>
    <w:rsid w:val="00C04607"/>
    <w:rsid w:val="00C04BDB"/>
    <w:rsid w:val="00C04F1B"/>
    <w:rsid w:val="00C052C6"/>
    <w:rsid w:val="00C05A61"/>
    <w:rsid w:val="00C05FBA"/>
    <w:rsid w:val="00C05FEE"/>
    <w:rsid w:val="00C066B4"/>
    <w:rsid w:val="00C06CCF"/>
    <w:rsid w:val="00C0794D"/>
    <w:rsid w:val="00C10E78"/>
    <w:rsid w:val="00C1159D"/>
    <w:rsid w:val="00C1233E"/>
    <w:rsid w:val="00C1276C"/>
    <w:rsid w:val="00C12FB3"/>
    <w:rsid w:val="00C13686"/>
    <w:rsid w:val="00C138BC"/>
    <w:rsid w:val="00C13D85"/>
    <w:rsid w:val="00C14575"/>
    <w:rsid w:val="00C14639"/>
    <w:rsid w:val="00C14E82"/>
    <w:rsid w:val="00C14FF6"/>
    <w:rsid w:val="00C15A85"/>
    <w:rsid w:val="00C1637C"/>
    <w:rsid w:val="00C1641B"/>
    <w:rsid w:val="00C165FC"/>
    <w:rsid w:val="00C167F7"/>
    <w:rsid w:val="00C16CF0"/>
    <w:rsid w:val="00C16DCE"/>
    <w:rsid w:val="00C176D5"/>
    <w:rsid w:val="00C17D24"/>
    <w:rsid w:val="00C2082C"/>
    <w:rsid w:val="00C20EB0"/>
    <w:rsid w:val="00C21004"/>
    <w:rsid w:val="00C21005"/>
    <w:rsid w:val="00C2186B"/>
    <w:rsid w:val="00C218DF"/>
    <w:rsid w:val="00C21F0C"/>
    <w:rsid w:val="00C220B6"/>
    <w:rsid w:val="00C22D7C"/>
    <w:rsid w:val="00C22DDE"/>
    <w:rsid w:val="00C22F15"/>
    <w:rsid w:val="00C2338B"/>
    <w:rsid w:val="00C233CE"/>
    <w:rsid w:val="00C237DD"/>
    <w:rsid w:val="00C238F4"/>
    <w:rsid w:val="00C2393A"/>
    <w:rsid w:val="00C23A99"/>
    <w:rsid w:val="00C23AB5"/>
    <w:rsid w:val="00C245EC"/>
    <w:rsid w:val="00C245EE"/>
    <w:rsid w:val="00C24AE1"/>
    <w:rsid w:val="00C24B8D"/>
    <w:rsid w:val="00C24BD7"/>
    <w:rsid w:val="00C24F7A"/>
    <w:rsid w:val="00C25813"/>
    <w:rsid w:val="00C26C71"/>
    <w:rsid w:val="00C27143"/>
    <w:rsid w:val="00C27490"/>
    <w:rsid w:val="00C27D37"/>
    <w:rsid w:val="00C27FD7"/>
    <w:rsid w:val="00C309E8"/>
    <w:rsid w:val="00C30C6E"/>
    <w:rsid w:val="00C32017"/>
    <w:rsid w:val="00C32571"/>
    <w:rsid w:val="00C325CD"/>
    <w:rsid w:val="00C3322E"/>
    <w:rsid w:val="00C337F5"/>
    <w:rsid w:val="00C3383E"/>
    <w:rsid w:val="00C33B90"/>
    <w:rsid w:val="00C3412F"/>
    <w:rsid w:val="00C34161"/>
    <w:rsid w:val="00C34B5F"/>
    <w:rsid w:val="00C358D4"/>
    <w:rsid w:val="00C365C6"/>
    <w:rsid w:val="00C366F4"/>
    <w:rsid w:val="00C36785"/>
    <w:rsid w:val="00C3711C"/>
    <w:rsid w:val="00C37256"/>
    <w:rsid w:val="00C37A7B"/>
    <w:rsid w:val="00C37DC1"/>
    <w:rsid w:val="00C37FFE"/>
    <w:rsid w:val="00C40B50"/>
    <w:rsid w:val="00C419E3"/>
    <w:rsid w:val="00C419F4"/>
    <w:rsid w:val="00C41E6A"/>
    <w:rsid w:val="00C42247"/>
    <w:rsid w:val="00C428E7"/>
    <w:rsid w:val="00C4317B"/>
    <w:rsid w:val="00C438A2"/>
    <w:rsid w:val="00C439BE"/>
    <w:rsid w:val="00C43E53"/>
    <w:rsid w:val="00C451B2"/>
    <w:rsid w:val="00C4539B"/>
    <w:rsid w:val="00C45466"/>
    <w:rsid w:val="00C455C1"/>
    <w:rsid w:val="00C4581D"/>
    <w:rsid w:val="00C47472"/>
    <w:rsid w:val="00C47F18"/>
    <w:rsid w:val="00C500F0"/>
    <w:rsid w:val="00C50369"/>
    <w:rsid w:val="00C504A7"/>
    <w:rsid w:val="00C506C9"/>
    <w:rsid w:val="00C50A16"/>
    <w:rsid w:val="00C51C9A"/>
    <w:rsid w:val="00C52C68"/>
    <w:rsid w:val="00C52D98"/>
    <w:rsid w:val="00C52DA1"/>
    <w:rsid w:val="00C53D24"/>
    <w:rsid w:val="00C53ED1"/>
    <w:rsid w:val="00C54640"/>
    <w:rsid w:val="00C547A6"/>
    <w:rsid w:val="00C54A3A"/>
    <w:rsid w:val="00C55C32"/>
    <w:rsid w:val="00C56600"/>
    <w:rsid w:val="00C56A67"/>
    <w:rsid w:val="00C56CC2"/>
    <w:rsid w:val="00C56D8D"/>
    <w:rsid w:val="00C57498"/>
    <w:rsid w:val="00C5763C"/>
    <w:rsid w:val="00C5780C"/>
    <w:rsid w:val="00C5796B"/>
    <w:rsid w:val="00C57C64"/>
    <w:rsid w:val="00C6031F"/>
    <w:rsid w:val="00C612C4"/>
    <w:rsid w:val="00C619A1"/>
    <w:rsid w:val="00C62370"/>
    <w:rsid w:val="00C62BBB"/>
    <w:rsid w:val="00C6305F"/>
    <w:rsid w:val="00C6325B"/>
    <w:rsid w:val="00C63DDD"/>
    <w:rsid w:val="00C63E99"/>
    <w:rsid w:val="00C649B8"/>
    <w:rsid w:val="00C64A64"/>
    <w:rsid w:val="00C65151"/>
    <w:rsid w:val="00C657F4"/>
    <w:rsid w:val="00C6598D"/>
    <w:rsid w:val="00C660FE"/>
    <w:rsid w:val="00C66119"/>
    <w:rsid w:val="00C66292"/>
    <w:rsid w:val="00C672A3"/>
    <w:rsid w:val="00C672F1"/>
    <w:rsid w:val="00C673D0"/>
    <w:rsid w:val="00C6742E"/>
    <w:rsid w:val="00C67B0B"/>
    <w:rsid w:val="00C67C0E"/>
    <w:rsid w:val="00C70012"/>
    <w:rsid w:val="00C71891"/>
    <w:rsid w:val="00C71E2A"/>
    <w:rsid w:val="00C733BA"/>
    <w:rsid w:val="00C742F6"/>
    <w:rsid w:val="00C760DC"/>
    <w:rsid w:val="00C77777"/>
    <w:rsid w:val="00C8082B"/>
    <w:rsid w:val="00C80C6B"/>
    <w:rsid w:val="00C81A88"/>
    <w:rsid w:val="00C81D46"/>
    <w:rsid w:val="00C82298"/>
    <w:rsid w:val="00C82DC7"/>
    <w:rsid w:val="00C8331F"/>
    <w:rsid w:val="00C833B4"/>
    <w:rsid w:val="00C84284"/>
    <w:rsid w:val="00C84A39"/>
    <w:rsid w:val="00C84E33"/>
    <w:rsid w:val="00C85528"/>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065"/>
    <w:rsid w:val="00C946CC"/>
    <w:rsid w:val="00C959BD"/>
    <w:rsid w:val="00C95DFE"/>
    <w:rsid w:val="00C95F44"/>
    <w:rsid w:val="00C96331"/>
    <w:rsid w:val="00C96D1B"/>
    <w:rsid w:val="00C97106"/>
    <w:rsid w:val="00C978D4"/>
    <w:rsid w:val="00CA0031"/>
    <w:rsid w:val="00CA0413"/>
    <w:rsid w:val="00CA043A"/>
    <w:rsid w:val="00CA0E51"/>
    <w:rsid w:val="00CA1691"/>
    <w:rsid w:val="00CA41E7"/>
    <w:rsid w:val="00CA4A99"/>
    <w:rsid w:val="00CA4CCC"/>
    <w:rsid w:val="00CA5520"/>
    <w:rsid w:val="00CA5812"/>
    <w:rsid w:val="00CA5984"/>
    <w:rsid w:val="00CA5BD4"/>
    <w:rsid w:val="00CA5C14"/>
    <w:rsid w:val="00CA7019"/>
    <w:rsid w:val="00CA76FC"/>
    <w:rsid w:val="00CA7E7B"/>
    <w:rsid w:val="00CB0236"/>
    <w:rsid w:val="00CB0CB1"/>
    <w:rsid w:val="00CB137C"/>
    <w:rsid w:val="00CB1881"/>
    <w:rsid w:val="00CB1969"/>
    <w:rsid w:val="00CB19E3"/>
    <w:rsid w:val="00CB2C3A"/>
    <w:rsid w:val="00CB2D38"/>
    <w:rsid w:val="00CB2F5E"/>
    <w:rsid w:val="00CB4137"/>
    <w:rsid w:val="00CB50D0"/>
    <w:rsid w:val="00CB52D0"/>
    <w:rsid w:val="00CB5578"/>
    <w:rsid w:val="00CB5671"/>
    <w:rsid w:val="00CB591C"/>
    <w:rsid w:val="00CB5943"/>
    <w:rsid w:val="00CB61B3"/>
    <w:rsid w:val="00CB6801"/>
    <w:rsid w:val="00CB6D17"/>
    <w:rsid w:val="00CB6F83"/>
    <w:rsid w:val="00CB72AE"/>
    <w:rsid w:val="00CC00CD"/>
    <w:rsid w:val="00CC0579"/>
    <w:rsid w:val="00CC0AF3"/>
    <w:rsid w:val="00CC0BC6"/>
    <w:rsid w:val="00CC0E68"/>
    <w:rsid w:val="00CC1780"/>
    <w:rsid w:val="00CC194E"/>
    <w:rsid w:val="00CC21AC"/>
    <w:rsid w:val="00CC232E"/>
    <w:rsid w:val="00CC2514"/>
    <w:rsid w:val="00CC2D34"/>
    <w:rsid w:val="00CC2F69"/>
    <w:rsid w:val="00CC315F"/>
    <w:rsid w:val="00CC3D38"/>
    <w:rsid w:val="00CC3F2F"/>
    <w:rsid w:val="00CC40C3"/>
    <w:rsid w:val="00CC45A5"/>
    <w:rsid w:val="00CC4CB4"/>
    <w:rsid w:val="00CC4E5D"/>
    <w:rsid w:val="00CC4EF4"/>
    <w:rsid w:val="00CC50AE"/>
    <w:rsid w:val="00CC5FFE"/>
    <w:rsid w:val="00CC61B7"/>
    <w:rsid w:val="00CC61CA"/>
    <w:rsid w:val="00CC69EC"/>
    <w:rsid w:val="00CC71D3"/>
    <w:rsid w:val="00CC743D"/>
    <w:rsid w:val="00CD02ED"/>
    <w:rsid w:val="00CD050A"/>
    <w:rsid w:val="00CD1017"/>
    <w:rsid w:val="00CD205D"/>
    <w:rsid w:val="00CD2537"/>
    <w:rsid w:val="00CD2A22"/>
    <w:rsid w:val="00CD2B50"/>
    <w:rsid w:val="00CD3172"/>
    <w:rsid w:val="00CD4506"/>
    <w:rsid w:val="00CD520B"/>
    <w:rsid w:val="00CD592E"/>
    <w:rsid w:val="00CD5982"/>
    <w:rsid w:val="00CD5A1A"/>
    <w:rsid w:val="00CD7EFA"/>
    <w:rsid w:val="00CE020E"/>
    <w:rsid w:val="00CE0566"/>
    <w:rsid w:val="00CE1CD4"/>
    <w:rsid w:val="00CE2761"/>
    <w:rsid w:val="00CE28FC"/>
    <w:rsid w:val="00CE314E"/>
    <w:rsid w:val="00CE3A85"/>
    <w:rsid w:val="00CE3D5C"/>
    <w:rsid w:val="00CE3E09"/>
    <w:rsid w:val="00CE3E14"/>
    <w:rsid w:val="00CE44C7"/>
    <w:rsid w:val="00CE53CC"/>
    <w:rsid w:val="00CE5F60"/>
    <w:rsid w:val="00CE65A7"/>
    <w:rsid w:val="00CE68FE"/>
    <w:rsid w:val="00CE69CC"/>
    <w:rsid w:val="00CE6EC4"/>
    <w:rsid w:val="00CE7F26"/>
    <w:rsid w:val="00CF1226"/>
    <w:rsid w:val="00CF1ABB"/>
    <w:rsid w:val="00CF1E1D"/>
    <w:rsid w:val="00CF24FE"/>
    <w:rsid w:val="00CF287F"/>
    <w:rsid w:val="00CF35D0"/>
    <w:rsid w:val="00CF3B57"/>
    <w:rsid w:val="00CF3DD5"/>
    <w:rsid w:val="00CF43E7"/>
    <w:rsid w:val="00CF4AF7"/>
    <w:rsid w:val="00CF4D20"/>
    <w:rsid w:val="00CF73F8"/>
    <w:rsid w:val="00CF7928"/>
    <w:rsid w:val="00CF7CA2"/>
    <w:rsid w:val="00D00911"/>
    <w:rsid w:val="00D00A8E"/>
    <w:rsid w:val="00D00DE0"/>
    <w:rsid w:val="00D00F79"/>
    <w:rsid w:val="00D012BF"/>
    <w:rsid w:val="00D01760"/>
    <w:rsid w:val="00D01838"/>
    <w:rsid w:val="00D0368E"/>
    <w:rsid w:val="00D03AC3"/>
    <w:rsid w:val="00D03D2D"/>
    <w:rsid w:val="00D03E7B"/>
    <w:rsid w:val="00D0401A"/>
    <w:rsid w:val="00D047E0"/>
    <w:rsid w:val="00D04B9F"/>
    <w:rsid w:val="00D04D43"/>
    <w:rsid w:val="00D04FFB"/>
    <w:rsid w:val="00D055FE"/>
    <w:rsid w:val="00D058E9"/>
    <w:rsid w:val="00D0612A"/>
    <w:rsid w:val="00D1060D"/>
    <w:rsid w:val="00D10D14"/>
    <w:rsid w:val="00D10E7C"/>
    <w:rsid w:val="00D11182"/>
    <w:rsid w:val="00D1137B"/>
    <w:rsid w:val="00D11508"/>
    <w:rsid w:val="00D11687"/>
    <w:rsid w:val="00D11807"/>
    <w:rsid w:val="00D11DB3"/>
    <w:rsid w:val="00D12D82"/>
    <w:rsid w:val="00D12F77"/>
    <w:rsid w:val="00D1306E"/>
    <w:rsid w:val="00D130B7"/>
    <w:rsid w:val="00D134CD"/>
    <w:rsid w:val="00D1401E"/>
    <w:rsid w:val="00D14B5F"/>
    <w:rsid w:val="00D14E13"/>
    <w:rsid w:val="00D14F23"/>
    <w:rsid w:val="00D160F6"/>
    <w:rsid w:val="00D165EE"/>
    <w:rsid w:val="00D16740"/>
    <w:rsid w:val="00D16A8B"/>
    <w:rsid w:val="00D16E39"/>
    <w:rsid w:val="00D171DE"/>
    <w:rsid w:val="00D172A4"/>
    <w:rsid w:val="00D175B2"/>
    <w:rsid w:val="00D17951"/>
    <w:rsid w:val="00D17AD8"/>
    <w:rsid w:val="00D2104A"/>
    <w:rsid w:val="00D21A58"/>
    <w:rsid w:val="00D21BB5"/>
    <w:rsid w:val="00D21FFC"/>
    <w:rsid w:val="00D223B6"/>
    <w:rsid w:val="00D223E8"/>
    <w:rsid w:val="00D224E1"/>
    <w:rsid w:val="00D22942"/>
    <w:rsid w:val="00D22B0F"/>
    <w:rsid w:val="00D22BDD"/>
    <w:rsid w:val="00D22DC8"/>
    <w:rsid w:val="00D2477B"/>
    <w:rsid w:val="00D2522A"/>
    <w:rsid w:val="00D2531C"/>
    <w:rsid w:val="00D25428"/>
    <w:rsid w:val="00D2553E"/>
    <w:rsid w:val="00D2587F"/>
    <w:rsid w:val="00D26DE7"/>
    <w:rsid w:val="00D2742F"/>
    <w:rsid w:val="00D2754F"/>
    <w:rsid w:val="00D277C5"/>
    <w:rsid w:val="00D279D9"/>
    <w:rsid w:val="00D312DC"/>
    <w:rsid w:val="00D31B84"/>
    <w:rsid w:val="00D31C6A"/>
    <w:rsid w:val="00D31EDF"/>
    <w:rsid w:val="00D31FF9"/>
    <w:rsid w:val="00D32149"/>
    <w:rsid w:val="00D32256"/>
    <w:rsid w:val="00D32A27"/>
    <w:rsid w:val="00D32ABC"/>
    <w:rsid w:val="00D33FA4"/>
    <w:rsid w:val="00D34B25"/>
    <w:rsid w:val="00D34C7F"/>
    <w:rsid w:val="00D34F4E"/>
    <w:rsid w:val="00D357F3"/>
    <w:rsid w:val="00D35C0E"/>
    <w:rsid w:val="00D36FBF"/>
    <w:rsid w:val="00D373A8"/>
    <w:rsid w:val="00D379A5"/>
    <w:rsid w:val="00D37BB3"/>
    <w:rsid w:val="00D401BE"/>
    <w:rsid w:val="00D4043A"/>
    <w:rsid w:val="00D40DB0"/>
    <w:rsid w:val="00D41093"/>
    <w:rsid w:val="00D41858"/>
    <w:rsid w:val="00D41E24"/>
    <w:rsid w:val="00D41EEB"/>
    <w:rsid w:val="00D422DB"/>
    <w:rsid w:val="00D42AC2"/>
    <w:rsid w:val="00D4498E"/>
    <w:rsid w:val="00D4515F"/>
    <w:rsid w:val="00D451E8"/>
    <w:rsid w:val="00D466C9"/>
    <w:rsid w:val="00D47275"/>
    <w:rsid w:val="00D47613"/>
    <w:rsid w:val="00D500ED"/>
    <w:rsid w:val="00D50DB9"/>
    <w:rsid w:val="00D517F6"/>
    <w:rsid w:val="00D51AB7"/>
    <w:rsid w:val="00D51E15"/>
    <w:rsid w:val="00D52B7E"/>
    <w:rsid w:val="00D52E2F"/>
    <w:rsid w:val="00D52F59"/>
    <w:rsid w:val="00D53445"/>
    <w:rsid w:val="00D53E3E"/>
    <w:rsid w:val="00D5411D"/>
    <w:rsid w:val="00D54620"/>
    <w:rsid w:val="00D55904"/>
    <w:rsid w:val="00D55C4C"/>
    <w:rsid w:val="00D55DFF"/>
    <w:rsid w:val="00D5614E"/>
    <w:rsid w:val="00D5616F"/>
    <w:rsid w:val="00D57940"/>
    <w:rsid w:val="00D60327"/>
    <w:rsid w:val="00D61384"/>
    <w:rsid w:val="00D61526"/>
    <w:rsid w:val="00D61C39"/>
    <w:rsid w:val="00D61F81"/>
    <w:rsid w:val="00D620A6"/>
    <w:rsid w:val="00D623C0"/>
    <w:rsid w:val="00D62BE6"/>
    <w:rsid w:val="00D63359"/>
    <w:rsid w:val="00D63766"/>
    <w:rsid w:val="00D63912"/>
    <w:rsid w:val="00D63923"/>
    <w:rsid w:val="00D6451B"/>
    <w:rsid w:val="00D64B57"/>
    <w:rsid w:val="00D64FF1"/>
    <w:rsid w:val="00D651A1"/>
    <w:rsid w:val="00D65DEA"/>
    <w:rsid w:val="00D6650F"/>
    <w:rsid w:val="00D66579"/>
    <w:rsid w:val="00D66968"/>
    <w:rsid w:val="00D66CF2"/>
    <w:rsid w:val="00D676D3"/>
    <w:rsid w:val="00D67B06"/>
    <w:rsid w:val="00D67BC7"/>
    <w:rsid w:val="00D67C3B"/>
    <w:rsid w:val="00D701F1"/>
    <w:rsid w:val="00D705D3"/>
    <w:rsid w:val="00D70E00"/>
    <w:rsid w:val="00D70F7C"/>
    <w:rsid w:val="00D715AC"/>
    <w:rsid w:val="00D71851"/>
    <w:rsid w:val="00D718CF"/>
    <w:rsid w:val="00D71B68"/>
    <w:rsid w:val="00D728F5"/>
    <w:rsid w:val="00D72E9D"/>
    <w:rsid w:val="00D73249"/>
    <w:rsid w:val="00D73419"/>
    <w:rsid w:val="00D73881"/>
    <w:rsid w:val="00D73CA9"/>
    <w:rsid w:val="00D751B7"/>
    <w:rsid w:val="00D7524B"/>
    <w:rsid w:val="00D75396"/>
    <w:rsid w:val="00D755C6"/>
    <w:rsid w:val="00D759C0"/>
    <w:rsid w:val="00D75E99"/>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A7D"/>
    <w:rsid w:val="00D82B57"/>
    <w:rsid w:val="00D82CE5"/>
    <w:rsid w:val="00D831E3"/>
    <w:rsid w:val="00D8342C"/>
    <w:rsid w:val="00D83D08"/>
    <w:rsid w:val="00D84983"/>
    <w:rsid w:val="00D84C00"/>
    <w:rsid w:val="00D85494"/>
    <w:rsid w:val="00D8582C"/>
    <w:rsid w:val="00D85D61"/>
    <w:rsid w:val="00D86015"/>
    <w:rsid w:val="00D8616D"/>
    <w:rsid w:val="00D8711B"/>
    <w:rsid w:val="00D87384"/>
    <w:rsid w:val="00D9006C"/>
    <w:rsid w:val="00D9015D"/>
    <w:rsid w:val="00D90683"/>
    <w:rsid w:val="00D90B2A"/>
    <w:rsid w:val="00D91483"/>
    <w:rsid w:val="00D914B4"/>
    <w:rsid w:val="00D915C8"/>
    <w:rsid w:val="00D9310B"/>
    <w:rsid w:val="00D931F3"/>
    <w:rsid w:val="00D93726"/>
    <w:rsid w:val="00D93F3E"/>
    <w:rsid w:val="00D9405B"/>
    <w:rsid w:val="00D94942"/>
    <w:rsid w:val="00D95145"/>
    <w:rsid w:val="00D96594"/>
    <w:rsid w:val="00D967CB"/>
    <w:rsid w:val="00D968D4"/>
    <w:rsid w:val="00D96E12"/>
    <w:rsid w:val="00D96EE0"/>
    <w:rsid w:val="00D97260"/>
    <w:rsid w:val="00D97BD1"/>
    <w:rsid w:val="00D97EF0"/>
    <w:rsid w:val="00DA00C3"/>
    <w:rsid w:val="00DA01E9"/>
    <w:rsid w:val="00DA06B8"/>
    <w:rsid w:val="00DA14A9"/>
    <w:rsid w:val="00DA1CB3"/>
    <w:rsid w:val="00DA286D"/>
    <w:rsid w:val="00DA2969"/>
    <w:rsid w:val="00DA29B7"/>
    <w:rsid w:val="00DA2E5F"/>
    <w:rsid w:val="00DA337C"/>
    <w:rsid w:val="00DA36B3"/>
    <w:rsid w:val="00DA40C1"/>
    <w:rsid w:val="00DA422F"/>
    <w:rsid w:val="00DA4842"/>
    <w:rsid w:val="00DA4C97"/>
    <w:rsid w:val="00DA5989"/>
    <w:rsid w:val="00DA5AB1"/>
    <w:rsid w:val="00DA5F9D"/>
    <w:rsid w:val="00DA6719"/>
    <w:rsid w:val="00DA69B2"/>
    <w:rsid w:val="00DA71D7"/>
    <w:rsid w:val="00DA7462"/>
    <w:rsid w:val="00DA7AD0"/>
    <w:rsid w:val="00DB02D7"/>
    <w:rsid w:val="00DB03CC"/>
    <w:rsid w:val="00DB03F3"/>
    <w:rsid w:val="00DB12D4"/>
    <w:rsid w:val="00DB14F0"/>
    <w:rsid w:val="00DB1745"/>
    <w:rsid w:val="00DB19BB"/>
    <w:rsid w:val="00DB1A00"/>
    <w:rsid w:val="00DB1AFF"/>
    <w:rsid w:val="00DB219A"/>
    <w:rsid w:val="00DB244C"/>
    <w:rsid w:val="00DB3024"/>
    <w:rsid w:val="00DB3165"/>
    <w:rsid w:val="00DB387B"/>
    <w:rsid w:val="00DB4292"/>
    <w:rsid w:val="00DB4C0B"/>
    <w:rsid w:val="00DB4DF0"/>
    <w:rsid w:val="00DB5023"/>
    <w:rsid w:val="00DB6E46"/>
    <w:rsid w:val="00DB7117"/>
    <w:rsid w:val="00DB7760"/>
    <w:rsid w:val="00DB7DD4"/>
    <w:rsid w:val="00DC00B4"/>
    <w:rsid w:val="00DC0954"/>
    <w:rsid w:val="00DC0DF8"/>
    <w:rsid w:val="00DC15BA"/>
    <w:rsid w:val="00DC18CD"/>
    <w:rsid w:val="00DC1A68"/>
    <w:rsid w:val="00DC30B8"/>
    <w:rsid w:val="00DC478F"/>
    <w:rsid w:val="00DC50AA"/>
    <w:rsid w:val="00DC61AC"/>
    <w:rsid w:val="00DC62E5"/>
    <w:rsid w:val="00DC6D70"/>
    <w:rsid w:val="00DC6DAA"/>
    <w:rsid w:val="00DC6F33"/>
    <w:rsid w:val="00DC7349"/>
    <w:rsid w:val="00DC7389"/>
    <w:rsid w:val="00DD0EA9"/>
    <w:rsid w:val="00DD14D8"/>
    <w:rsid w:val="00DD1599"/>
    <w:rsid w:val="00DD16F1"/>
    <w:rsid w:val="00DD1B03"/>
    <w:rsid w:val="00DD1E43"/>
    <w:rsid w:val="00DD1EDF"/>
    <w:rsid w:val="00DD1FF6"/>
    <w:rsid w:val="00DD2A62"/>
    <w:rsid w:val="00DD2F2F"/>
    <w:rsid w:val="00DD2F7A"/>
    <w:rsid w:val="00DD36D2"/>
    <w:rsid w:val="00DD37C4"/>
    <w:rsid w:val="00DD3885"/>
    <w:rsid w:val="00DD3FDB"/>
    <w:rsid w:val="00DD5808"/>
    <w:rsid w:val="00DD5946"/>
    <w:rsid w:val="00DD5B04"/>
    <w:rsid w:val="00DD5DAE"/>
    <w:rsid w:val="00DD5EC6"/>
    <w:rsid w:val="00DD605F"/>
    <w:rsid w:val="00DD6A79"/>
    <w:rsid w:val="00DD72A0"/>
    <w:rsid w:val="00DD735D"/>
    <w:rsid w:val="00DD7F7D"/>
    <w:rsid w:val="00DD7FBE"/>
    <w:rsid w:val="00DE0159"/>
    <w:rsid w:val="00DE064A"/>
    <w:rsid w:val="00DE082D"/>
    <w:rsid w:val="00DE1410"/>
    <w:rsid w:val="00DE20C6"/>
    <w:rsid w:val="00DE3119"/>
    <w:rsid w:val="00DE3C24"/>
    <w:rsid w:val="00DE3FF0"/>
    <w:rsid w:val="00DE4105"/>
    <w:rsid w:val="00DE4BEA"/>
    <w:rsid w:val="00DE4E67"/>
    <w:rsid w:val="00DE5189"/>
    <w:rsid w:val="00DE7108"/>
    <w:rsid w:val="00DE78D1"/>
    <w:rsid w:val="00DE78FF"/>
    <w:rsid w:val="00DE7C6E"/>
    <w:rsid w:val="00DF0263"/>
    <w:rsid w:val="00DF0EB4"/>
    <w:rsid w:val="00DF158B"/>
    <w:rsid w:val="00DF170E"/>
    <w:rsid w:val="00DF193C"/>
    <w:rsid w:val="00DF1E36"/>
    <w:rsid w:val="00DF236B"/>
    <w:rsid w:val="00DF258A"/>
    <w:rsid w:val="00DF2A91"/>
    <w:rsid w:val="00DF3889"/>
    <w:rsid w:val="00DF3CC9"/>
    <w:rsid w:val="00DF4451"/>
    <w:rsid w:val="00DF49FF"/>
    <w:rsid w:val="00DF4FFB"/>
    <w:rsid w:val="00DF5236"/>
    <w:rsid w:val="00DF651F"/>
    <w:rsid w:val="00DF6F43"/>
    <w:rsid w:val="00DF71EA"/>
    <w:rsid w:val="00DF752F"/>
    <w:rsid w:val="00DF76A2"/>
    <w:rsid w:val="00E00B25"/>
    <w:rsid w:val="00E00B7A"/>
    <w:rsid w:val="00E01677"/>
    <w:rsid w:val="00E02186"/>
    <w:rsid w:val="00E025C2"/>
    <w:rsid w:val="00E026BB"/>
    <w:rsid w:val="00E027C5"/>
    <w:rsid w:val="00E03124"/>
    <w:rsid w:val="00E031C3"/>
    <w:rsid w:val="00E03951"/>
    <w:rsid w:val="00E03DB8"/>
    <w:rsid w:val="00E03F17"/>
    <w:rsid w:val="00E0420C"/>
    <w:rsid w:val="00E04EDD"/>
    <w:rsid w:val="00E05E70"/>
    <w:rsid w:val="00E064BC"/>
    <w:rsid w:val="00E070C1"/>
    <w:rsid w:val="00E07225"/>
    <w:rsid w:val="00E076B4"/>
    <w:rsid w:val="00E07B55"/>
    <w:rsid w:val="00E10579"/>
    <w:rsid w:val="00E109DD"/>
    <w:rsid w:val="00E11229"/>
    <w:rsid w:val="00E114CA"/>
    <w:rsid w:val="00E127D1"/>
    <w:rsid w:val="00E13867"/>
    <w:rsid w:val="00E1397F"/>
    <w:rsid w:val="00E13AB8"/>
    <w:rsid w:val="00E1482E"/>
    <w:rsid w:val="00E16382"/>
    <w:rsid w:val="00E1699C"/>
    <w:rsid w:val="00E16E75"/>
    <w:rsid w:val="00E1746D"/>
    <w:rsid w:val="00E17CAC"/>
    <w:rsid w:val="00E2012A"/>
    <w:rsid w:val="00E205A2"/>
    <w:rsid w:val="00E20625"/>
    <w:rsid w:val="00E20BA4"/>
    <w:rsid w:val="00E210D0"/>
    <w:rsid w:val="00E21887"/>
    <w:rsid w:val="00E21CC0"/>
    <w:rsid w:val="00E23137"/>
    <w:rsid w:val="00E23980"/>
    <w:rsid w:val="00E23AB0"/>
    <w:rsid w:val="00E241E9"/>
    <w:rsid w:val="00E257C3"/>
    <w:rsid w:val="00E25CB3"/>
    <w:rsid w:val="00E25DA4"/>
    <w:rsid w:val="00E26237"/>
    <w:rsid w:val="00E26CB8"/>
    <w:rsid w:val="00E26D16"/>
    <w:rsid w:val="00E26FCF"/>
    <w:rsid w:val="00E27165"/>
    <w:rsid w:val="00E275D9"/>
    <w:rsid w:val="00E3044A"/>
    <w:rsid w:val="00E30E49"/>
    <w:rsid w:val="00E31482"/>
    <w:rsid w:val="00E31A4A"/>
    <w:rsid w:val="00E3212A"/>
    <w:rsid w:val="00E3344A"/>
    <w:rsid w:val="00E33B29"/>
    <w:rsid w:val="00E33B62"/>
    <w:rsid w:val="00E3403D"/>
    <w:rsid w:val="00E344BD"/>
    <w:rsid w:val="00E34548"/>
    <w:rsid w:val="00E34E6C"/>
    <w:rsid w:val="00E353E2"/>
    <w:rsid w:val="00E36345"/>
    <w:rsid w:val="00E36C86"/>
    <w:rsid w:val="00E36CEB"/>
    <w:rsid w:val="00E37A28"/>
    <w:rsid w:val="00E400C7"/>
    <w:rsid w:val="00E40430"/>
    <w:rsid w:val="00E40690"/>
    <w:rsid w:val="00E40AEB"/>
    <w:rsid w:val="00E40E82"/>
    <w:rsid w:val="00E40FB8"/>
    <w:rsid w:val="00E41141"/>
    <w:rsid w:val="00E4143A"/>
    <w:rsid w:val="00E420B7"/>
    <w:rsid w:val="00E424C8"/>
    <w:rsid w:val="00E4251D"/>
    <w:rsid w:val="00E427EF"/>
    <w:rsid w:val="00E4355D"/>
    <w:rsid w:val="00E43D00"/>
    <w:rsid w:val="00E443B4"/>
    <w:rsid w:val="00E445E4"/>
    <w:rsid w:val="00E457CB"/>
    <w:rsid w:val="00E45D47"/>
    <w:rsid w:val="00E45DE4"/>
    <w:rsid w:val="00E45E63"/>
    <w:rsid w:val="00E4680C"/>
    <w:rsid w:val="00E4759C"/>
    <w:rsid w:val="00E50A7B"/>
    <w:rsid w:val="00E50B0B"/>
    <w:rsid w:val="00E50C57"/>
    <w:rsid w:val="00E510FE"/>
    <w:rsid w:val="00E514BA"/>
    <w:rsid w:val="00E51513"/>
    <w:rsid w:val="00E51E25"/>
    <w:rsid w:val="00E5205B"/>
    <w:rsid w:val="00E521AE"/>
    <w:rsid w:val="00E529A3"/>
    <w:rsid w:val="00E533EE"/>
    <w:rsid w:val="00E53A21"/>
    <w:rsid w:val="00E53BCA"/>
    <w:rsid w:val="00E53DE2"/>
    <w:rsid w:val="00E53F02"/>
    <w:rsid w:val="00E5428D"/>
    <w:rsid w:val="00E54534"/>
    <w:rsid w:val="00E548C3"/>
    <w:rsid w:val="00E54F27"/>
    <w:rsid w:val="00E55FF1"/>
    <w:rsid w:val="00E56090"/>
    <w:rsid w:val="00E56408"/>
    <w:rsid w:val="00E565B9"/>
    <w:rsid w:val="00E56E7B"/>
    <w:rsid w:val="00E5733B"/>
    <w:rsid w:val="00E5756C"/>
    <w:rsid w:val="00E5768D"/>
    <w:rsid w:val="00E57811"/>
    <w:rsid w:val="00E57FB0"/>
    <w:rsid w:val="00E601BE"/>
    <w:rsid w:val="00E60A44"/>
    <w:rsid w:val="00E60B5F"/>
    <w:rsid w:val="00E613AE"/>
    <w:rsid w:val="00E61429"/>
    <w:rsid w:val="00E61ABB"/>
    <w:rsid w:val="00E61FD7"/>
    <w:rsid w:val="00E623E6"/>
    <w:rsid w:val="00E62BBF"/>
    <w:rsid w:val="00E62C76"/>
    <w:rsid w:val="00E630A2"/>
    <w:rsid w:val="00E630C0"/>
    <w:rsid w:val="00E63107"/>
    <w:rsid w:val="00E6312C"/>
    <w:rsid w:val="00E634E6"/>
    <w:rsid w:val="00E63DCE"/>
    <w:rsid w:val="00E642EF"/>
    <w:rsid w:val="00E645CF"/>
    <w:rsid w:val="00E64700"/>
    <w:rsid w:val="00E65074"/>
    <w:rsid w:val="00E65857"/>
    <w:rsid w:val="00E65E70"/>
    <w:rsid w:val="00E66087"/>
    <w:rsid w:val="00E66D79"/>
    <w:rsid w:val="00E66FF9"/>
    <w:rsid w:val="00E6706F"/>
    <w:rsid w:val="00E673A2"/>
    <w:rsid w:val="00E67856"/>
    <w:rsid w:val="00E679C8"/>
    <w:rsid w:val="00E70314"/>
    <w:rsid w:val="00E71789"/>
    <w:rsid w:val="00E724E7"/>
    <w:rsid w:val="00E72B41"/>
    <w:rsid w:val="00E7347B"/>
    <w:rsid w:val="00E73792"/>
    <w:rsid w:val="00E73D03"/>
    <w:rsid w:val="00E7471C"/>
    <w:rsid w:val="00E7498A"/>
    <w:rsid w:val="00E7514E"/>
    <w:rsid w:val="00E76537"/>
    <w:rsid w:val="00E77784"/>
    <w:rsid w:val="00E77AF5"/>
    <w:rsid w:val="00E8035B"/>
    <w:rsid w:val="00E80985"/>
    <w:rsid w:val="00E820F4"/>
    <w:rsid w:val="00E82263"/>
    <w:rsid w:val="00E823F9"/>
    <w:rsid w:val="00E82C1F"/>
    <w:rsid w:val="00E83671"/>
    <w:rsid w:val="00E83D1E"/>
    <w:rsid w:val="00E840EE"/>
    <w:rsid w:val="00E84314"/>
    <w:rsid w:val="00E849CA"/>
    <w:rsid w:val="00E84A71"/>
    <w:rsid w:val="00E853F3"/>
    <w:rsid w:val="00E8556F"/>
    <w:rsid w:val="00E86556"/>
    <w:rsid w:val="00E86D35"/>
    <w:rsid w:val="00E86DC2"/>
    <w:rsid w:val="00E86E32"/>
    <w:rsid w:val="00E86F2E"/>
    <w:rsid w:val="00E8732E"/>
    <w:rsid w:val="00E879C7"/>
    <w:rsid w:val="00E90067"/>
    <w:rsid w:val="00E9011F"/>
    <w:rsid w:val="00E906EB"/>
    <w:rsid w:val="00E90CE2"/>
    <w:rsid w:val="00E9170E"/>
    <w:rsid w:val="00E919FB"/>
    <w:rsid w:val="00E9241E"/>
    <w:rsid w:val="00E92460"/>
    <w:rsid w:val="00E92E62"/>
    <w:rsid w:val="00E93804"/>
    <w:rsid w:val="00E9429D"/>
    <w:rsid w:val="00E95434"/>
    <w:rsid w:val="00E96467"/>
    <w:rsid w:val="00E966DA"/>
    <w:rsid w:val="00E96948"/>
    <w:rsid w:val="00E9737B"/>
    <w:rsid w:val="00E97A3F"/>
    <w:rsid w:val="00E97F0A"/>
    <w:rsid w:val="00EA0100"/>
    <w:rsid w:val="00EA0455"/>
    <w:rsid w:val="00EA0BCE"/>
    <w:rsid w:val="00EA10E4"/>
    <w:rsid w:val="00EA17BC"/>
    <w:rsid w:val="00EA2744"/>
    <w:rsid w:val="00EA37B9"/>
    <w:rsid w:val="00EA39F7"/>
    <w:rsid w:val="00EA3DC2"/>
    <w:rsid w:val="00EA434E"/>
    <w:rsid w:val="00EA4757"/>
    <w:rsid w:val="00EA560B"/>
    <w:rsid w:val="00EA5669"/>
    <w:rsid w:val="00EA5CC6"/>
    <w:rsid w:val="00EA63EF"/>
    <w:rsid w:val="00EA7CBF"/>
    <w:rsid w:val="00EB0A89"/>
    <w:rsid w:val="00EB0BD8"/>
    <w:rsid w:val="00EB1573"/>
    <w:rsid w:val="00EB1910"/>
    <w:rsid w:val="00EB2564"/>
    <w:rsid w:val="00EB2D83"/>
    <w:rsid w:val="00EB2E97"/>
    <w:rsid w:val="00EB3416"/>
    <w:rsid w:val="00EB46F6"/>
    <w:rsid w:val="00EB4AE1"/>
    <w:rsid w:val="00EB52F4"/>
    <w:rsid w:val="00EB5694"/>
    <w:rsid w:val="00EB5779"/>
    <w:rsid w:val="00EB5D2F"/>
    <w:rsid w:val="00EB67F1"/>
    <w:rsid w:val="00EB6ADA"/>
    <w:rsid w:val="00EB7132"/>
    <w:rsid w:val="00EB72CD"/>
    <w:rsid w:val="00EB749A"/>
    <w:rsid w:val="00EB76B6"/>
    <w:rsid w:val="00EB7D8A"/>
    <w:rsid w:val="00EC0487"/>
    <w:rsid w:val="00EC04F7"/>
    <w:rsid w:val="00EC05E2"/>
    <w:rsid w:val="00EC0E84"/>
    <w:rsid w:val="00EC16E2"/>
    <w:rsid w:val="00EC1CE7"/>
    <w:rsid w:val="00EC1DAE"/>
    <w:rsid w:val="00EC224E"/>
    <w:rsid w:val="00EC26F1"/>
    <w:rsid w:val="00EC2CAB"/>
    <w:rsid w:val="00EC33A8"/>
    <w:rsid w:val="00EC3ABE"/>
    <w:rsid w:val="00EC3BA2"/>
    <w:rsid w:val="00EC3C94"/>
    <w:rsid w:val="00EC44DF"/>
    <w:rsid w:val="00EC4FB9"/>
    <w:rsid w:val="00EC5393"/>
    <w:rsid w:val="00EC5741"/>
    <w:rsid w:val="00EC5DA3"/>
    <w:rsid w:val="00EC6014"/>
    <w:rsid w:val="00EC6565"/>
    <w:rsid w:val="00EC6B3E"/>
    <w:rsid w:val="00EC73DE"/>
    <w:rsid w:val="00EC7637"/>
    <w:rsid w:val="00EC7C07"/>
    <w:rsid w:val="00EC7CF2"/>
    <w:rsid w:val="00ED046C"/>
    <w:rsid w:val="00ED053A"/>
    <w:rsid w:val="00ED1F03"/>
    <w:rsid w:val="00ED249D"/>
    <w:rsid w:val="00ED2881"/>
    <w:rsid w:val="00ED2D27"/>
    <w:rsid w:val="00ED3347"/>
    <w:rsid w:val="00ED3441"/>
    <w:rsid w:val="00ED3860"/>
    <w:rsid w:val="00ED3954"/>
    <w:rsid w:val="00ED39AC"/>
    <w:rsid w:val="00ED43A2"/>
    <w:rsid w:val="00ED4967"/>
    <w:rsid w:val="00ED5140"/>
    <w:rsid w:val="00ED538C"/>
    <w:rsid w:val="00ED572F"/>
    <w:rsid w:val="00ED5771"/>
    <w:rsid w:val="00ED587F"/>
    <w:rsid w:val="00ED5964"/>
    <w:rsid w:val="00ED623F"/>
    <w:rsid w:val="00ED63A5"/>
    <w:rsid w:val="00ED69BA"/>
    <w:rsid w:val="00ED6D1A"/>
    <w:rsid w:val="00ED72E9"/>
    <w:rsid w:val="00ED732E"/>
    <w:rsid w:val="00ED74B3"/>
    <w:rsid w:val="00ED77F0"/>
    <w:rsid w:val="00ED7FBC"/>
    <w:rsid w:val="00EE0253"/>
    <w:rsid w:val="00EE0297"/>
    <w:rsid w:val="00EE1258"/>
    <w:rsid w:val="00EE13DA"/>
    <w:rsid w:val="00EE1668"/>
    <w:rsid w:val="00EE1EDB"/>
    <w:rsid w:val="00EE24E2"/>
    <w:rsid w:val="00EE2A20"/>
    <w:rsid w:val="00EE366D"/>
    <w:rsid w:val="00EE40A4"/>
    <w:rsid w:val="00EE41AA"/>
    <w:rsid w:val="00EE5454"/>
    <w:rsid w:val="00EE59B5"/>
    <w:rsid w:val="00EE5FB7"/>
    <w:rsid w:val="00EE6783"/>
    <w:rsid w:val="00EE678B"/>
    <w:rsid w:val="00EE7813"/>
    <w:rsid w:val="00EE7B54"/>
    <w:rsid w:val="00EE7C47"/>
    <w:rsid w:val="00EE7C88"/>
    <w:rsid w:val="00EE7C8B"/>
    <w:rsid w:val="00EF0209"/>
    <w:rsid w:val="00EF0EA4"/>
    <w:rsid w:val="00EF19A5"/>
    <w:rsid w:val="00EF1E97"/>
    <w:rsid w:val="00EF2436"/>
    <w:rsid w:val="00EF2547"/>
    <w:rsid w:val="00EF26F4"/>
    <w:rsid w:val="00EF28D8"/>
    <w:rsid w:val="00EF2B2B"/>
    <w:rsid w:val="00EF2E1C"/>
    <w:rsid w:val="00EF2FD6"/>
    <w:rsid w:val="00EF326A"/>
    <w:rsid w:val="00EF397D"/>
    <w:rsid w:val="00EF427A"/>
    <w:rsid w:val="00EF45DF"/>
    <w:rsid w:val="00EF4944"/>
    <w:rsid w:val="00EF4952"/>
    <w:rsid w:val="00EF498F"/>
    <w:rsid w:val="00EF4A42"/>
    <w:rsid w:val="00EF510C"/>
    <w:rsid w:val="00EF55C4"/>
    <w:rsid w:val="00EF57BC"/>
    <w:rsid w:val="00EF5CA8"/>
    <w:rsid w:val="00EF6784"/>
    <w:rsid w:val="00EF688A"/>
    <w:rsid w:val="00EF6A03"/>
    <w:rsid w:val="00EF6DC2"/>
    <w:rsid w:val="00EF7506"/>
    <w:rsid w:val="00EF760B"/>
    <w:rsid w:val="00EF7BF4"/>
    <w:rsid w:val="00F0030F"/>
    <w:rsid w:val="00F00674"/>
    <w:rsid w:val="00F01657"/>
    <w:rsid w:val="00F01E67"/>
    <w:rsid w:val="00F02744"/>
    <w:rsid w:val="00F02BFD"/>
    <w:rsid w:val="00F02D25"/>
    <w:rsid w:val="00F03C3D"/>
    <w:rsid w:val="00F0435D"/>
    <w:rsid w:val="00F04580"/>
    <w:rsid w:val="00F04986"/>
    <w:rsid w:val="00F04ECA"/>
    <w:rsid w:val="00F04F8B"/>
    <w:rsid w:val="00F06CA4"/>
    <w:rsid w:val="00F06E19"/>
    <w:rsid w:val="00F06F84"/>
    <w:rsid w:val="00F0749E"/>
    <w:rsid w:val="00F076E7"/>
    <w:rsid w:val="00F07A86"/>
    <w:rsid w:val="00F07AA1"/>
    <w:rsid w:val="00F105AE"/>
    <w:rsid w:val="00F10618"/>
    <w:rsid w:val="00F10E7D"/>
    <w:rsid w:val="00F1108B"/>
    <w:rsid w:val="00F114FA"/>
    <w:rsid w:val="00F11768"/>
    <w:rsid w:val="00F11951"/>
    <w:rsid w:val="00F12262"/>
    <w:rsid w:val="00F12564"/>
    <w:rsid w:val="00F128D9"/>
    <w:rsid w:val="00F12AF8"/>
    <w:rsid w:val="00F12C52"/>
    <w:rsid w:val="00F13381"/>
    <w:rsid w:val="00F13828"/>
    <w:rsid w:val="00F13E62"/>
    <w:rsid w:val="00F13F51"/>
    <w:rsid w:val="00F148B7"/>
    <w:rsid w:val="00F14EA9"/>
    <w:rsid w:val="00F15505"/>
    <w:rsid w:val="00F15BFF"/>
    <w:rsid w:val="00F1634B"/>
    <w:rsid w:val="00F16E4F"/>
    <w:rsid w:val="00F171B2"/>
    <w:rsid w:val="00F17244"/>
    <w:rsid w:val="00F20931"/>
    <w:rsid w:val="00F20ECE"/>
    <w:rsid w:val="00F213A0"/>
    <w:rsid w:val="00F21D54"/>
    <w:rsid w:val="00F21EF4"/>
    <w:rsid w:val="00F221A2"/>
    <w:rsid w:val="00F23113"/>
    <w:rsid w:val="00F23255"/>
    <w:rsid w:val="00F23393"/>
    <w:rsid w:val="00F23759"/>
    <w:rsid w:val="00F24644"/>
    <w:rsid w:val="00F24BB1"/>
    <w:rsid w:val="00F25947"/>
    <w:rsid w:val="00F262D6"/>
    <w:rsid w:val="00F26F33"/>
    <w:rsid w:val="00F273D5"/>
    <w:rsid w:val="00F2748A"/>
    <w:rsid w:val="00F2786C"/>
    <w:rsid w:val="00F27886"/>
    <w:rsid w:val="00F300A8"/>
    <w:rsid w:val="00F302C6"/>
    <w:rsid w:val="00F30400"/>
    <w:rsid w:val="00F3079E"/>
    <w:rsid w:val="00F31289"/>
    <w:rsid w:val="00F3232D"/>
    <w:rsid w:val="00F32356"/>
    <w:rsid w:val="00F32F80"/>
    <w:rsid w:val="00F3399B"/>
    <w:rsid w:val="00F33F4B"/>
    <w:rsid w:val="00F346ED"/>
    <w:rsid w:val="00F34945"/>
    <w:rsid w:val="00F34E1E"/>
    <w:rsid w:val="00F3570C"/>
    <w:rsid w:val="00F363A4"/>
    <w:rsid w:val="00F36765"/>
    <w:rsid w:val="00F368FF"/>
    <w:rsid w:val="00F36EAC"/>
    <w:rsid w:val="00F37068"/>
    <w:rsid w:val="00F373BF"/>
    <w:rsid w:val="00F37E5F"/>
    <w:rsid w:val="00F37F3F"/>
    <w:rsid w:val="00F40190"/>
    <w:rsid w:val="00F40992"/>
    <w:rsid w:val="00F40F72"/>
    <w:rsid w:val="00F41094"/>
    <w:rsid w:val="00F41596"/>
    <w:rsid w:val="00F41D8B"/>
    <w:rsid w:val="00F42121"/>
    <w:rsid w:val="00F424B3"/>
    <w:rsid w:val="00F428B1"/>
    <w:rsid w:val="00F428B4"/>
    <w:rsid w:val="00F4345D"/>
    <w:rsid w:val="00F4387B"/>
    <w:rsid w:val="00F45921"/>
    <w:rsid w:val="00F45B91"/>
    <w:rsid w:val="00F46639"/>
    <w:rsid w:val="00F47026"/>
    <w:rsid w:val="00F476FD"/>
    <w:rsid w:val="00F50183"/>
    <w:rsid w:val="00F50D92"/>
    <w:rsid w:val="00F51765"/>
    <w:rsid w:val="00F51A51"/>
    <w:rsid w:val="00F51BC6"/>
    <w:rsid w:val="00F51CB4"/>
    <w:rsid w:val="00F52200"/>
    <w:rsid w:val="00F52324"/>
    <w:rsid w:val="00F52950"/>
    <w:rsid w:val="00F52C9D"/>
    <w:rsid w:val="00F533F1"/>
    <w:rsid w:val="00F53F4F"/>
    <w:rsid w:val="00F54CBC"/>
    <w:rsid w:val="00F55185"/>
    <w:rsid w:val="00F55679"/>
    <w:rsid w:val="00F55C2A"/>
    <w:rsid w:val="00F561E3"/>
    <w:rsid w:val="00F565E6"/>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70E9"/>
    <w:rsid w:val="00F6749F"/>
    <w:rsid w:val="00F67AF1"/>
    <w:rsid w:val="00F67D8B"/>
    <w:rsid w:val="00F700CD"/>
    <w:rsid w:val="00F701C5"/>
    <w:rsid w:val="00F70961"/>
    <w:rsid w:val="00F70A8F"/>
    <w:rsid w:val="00F71397"/>
    <w:rsid w:val="00F72389"/>
    <w:rsid w:val="00F72516"/>
    <w:rsid w:val="00F72FB4"/>
    <w:rsid w:val="00F732CF"/>
    <w:rsid w:val="00F735E5"/>
    <w:rsid w:val="00F73958"/>
    <w:rsid w:val="00F73B82"/>
    <w:rsid w:val="00F73E80"/>
    <w:rsid w:val="00F7469C"/>
    <w:rsid w:val="00F7492E"/>
    <w:rsid w:val="00F74945"/>
    <w:rsid w:val="00F749A3"/>
    <w:rsid w:val="00F74AE8"/>
    <w:rsid w:val="00F76768"/>
    <w:rsid w:val="00F76C11"/>
    <w:rsid w:val="00F77021"/>
    <w:rsid w:val="00F770AB"/>
    <w:rsid w:val="00F77E61"/>
    <w:rsid w:val="00F80221"/>
    <w:rsid w:val="00F802B0"/>
    <w:rsid w:val="00F80A0A"/>
    <w:rsid w:val="00F80C81"/>
    <w:rsid w:val="00F815AC"/>
    <w:rsid w:val="00F82E28"/>
    <w:rsid w:val="00F83B33"/>
    <w:rsid w:val="00F83CAE"/>
    <w:rsid w:val="00F840BF"/>
    <w:rsid w:val="00F8427A"/>
    <w:rsid w:val="00F843DF"/>
    <w:rsid w:val="00F84646"/>
    <w:rsid w:val="00F84899"/>
    <w:rsid w:val="00F84D4E"/>
    <w:rsid w:val="00F85585"/>
    <w:rsid w:val="00F859F0"/>
    <w:rsid w:val="00F85CC1"/>
    <w:rsid w:val="00F86B5D"/>
    <w:rsid w:val="00F87634"/>
    <w:rsid w:val="00F87C13"/>
    <w:rsid w:val="00F87C5A"/>
    <w:rsid w:val="00F87E29"/>
    <w:rsid w:val="00F87F18"/>
    <w:rsid w:val="00F87F37"/>
    <w:rsid w:val="00F87F68"/>
    <w:rsid w:val="00F90C4D"/>
    <w:rsid w:val="00F9165C"/>
    <w:rsid w:val="00F9167D"/>
    <w:rsid w:val="00F91CB2"/>
    <w:rsid w:val="00F927E8"/>
    <w:rsid w:val="00F9289C"/>
    <w:rsid w:val="00F92FC1"/>
    <w:rsid w:val="00F932D1"/>
    <w:rsid w:val="00F93DBC"/>
    <w:rsid w:val="00F93E41"/>
    <w:rsid w:val="00F94644"/>
    <w:rsid w:val="00F952E4"/>
    <w:rsid w:val="00F9537B"/>
    <w:rsid w:val="00F96079"/>
    <w:rsid w:val="00F963FC"/>
    <w:rsid w:val="00F97CF1"/>
    <w:rsid w:val="00FA015F"/>
    <w:rsid w:val="00FA0FAC"/>
    <w:rsid w:val="00FA10F7"/>
    <w:rsid w:val="00FA1817"/>
    <w:rsid w:val="00FA1DA2"/>
    <w:rsid w:val="00FA313F"/>
    <w:rsid w:val="00FA3414"/>
    <w:rsid w:val="00FA347A"/>
    <w:rsid w:val="00FA3CDE"/>
    <w:rsid w:val="00FA49B7"/>
    <w:rsid w:val="00FA5043"/>
    <w:rsid w:val="00FA60C1"/>
    <w:rsid w:val="00FA63DD"/>
    <w:rsid w:val="00FA65A3"/>
    <w:rsid w:val="00FA66F9"/>
    <w:rsid w:val="00FA6BCA"/>
    <w:rsid w:val="00FA6F8B"/>
    <w:rsid w:val="00FA727C"/>
    <w:rsid w:val="00FA7A30"/>
    <w:rsid w:val="00FB033F"/>
    <w:rsid w:val="00FB0880"/>
    <w:rsid w:val="00FB12E3"/>
    <w:rsid w:val="00FB1570"/>
    <w:rsid w:val="00FB193B"/>
    <w:rsid w:val="00FB1FBC"/>
    <w:rsid w:val="00FB27B7"/>
    <w:rsid w:val="00FB35E3"/>
    <w:rsid w:val="00FB4743"/>
    <w:rsid w:val="00FB4C98"/>
    <w:rsid w:val="00FB4CE3"/>
    <w:rsid w:val="00FB583C"/>
    <w:rsid w:val="00FB620F"/>
    <w:rsid w:val="00FB630E"/>
    <w:rsid w:val="00FB6738"/>
    <w:rsid w:val="00FB691B"/>
    <w:rsid w:val="00FB6BE6"/>
    <w:rsid w:val="00FB731C"/>
    <w:rsid w:val="00FB7628"/>
    <w:rsid w:val="00FC0363"/>
    <w:rsid w:val="00FC05A0"/>
    <w:rsid w:val="00FC0811"/>
    <w:rsid w:val="00FC09B3"/>
    <w:rsid w:val="00FC1196"/>
    <w:rsid w:val="00FC15EB"/>
    <w:rsid w:val="00FC162C"/>
    <w:rsid w:val="00FC18DC"/>
    <w:rsid w:val="00FC2477"/>
    <w:rsid w:val="00FC292C"/>
    <w:rsid w:val="00FC2AC4"/>
    <w:rsid w:val="00FC2BC1"/>
    <w:rsid w:val="00FC2D17"/>
    <w:rsid w:val="00FC2F73"/>
    <w:rsid w:val="00FC3A9B"/>
    <w:rsid w:val="00FC3AE1"/>
    <w:rsid w:val="00FC3DFC"/>
    <w:rsid w:val="00FC3EF4"/>
    <w:rsid w:val="00FC431B"/>
    <w:rsid w:val="00FC434C"/>
    <w:rsid w:val="00FC472C"/>
    <w:rsid w:val="00FC4FDF"/>
    <w:rsid w:val="00FC5CF4"/>
    <w:rsid w:val="00FC5D64"/>
    <w:rsid w:val="00FC61D6"/>
    <w:rsid w:val="00FC6A39"/>
    <w:rsid w:val="00FC6DB9"/>
    <w:rsid w:val="00FC73CF"/>
    <w:rsid w:val="00FC76A9"/>
    <w:rsid w:val="00FC79AB"/>
    <w:rsid w:val="00FC7BE7"/>
    <w:rsid w:val="00FC7DAC"/>
    <w:rsid w:val="00FD005D"/>
    <w:rsid w:val="00FD0216"/>
    <w:rsid w:val="00FD04AE"/>
    <w:rsid w:val="00FD0DFA"/>
    <w:rsid w:val="00FD1890"/>
    <w:rsid w:val="00FD1994"/>
    <w:rsid w:val="00FD3508"/>
    <w:rsid w:val="00FD393C"/>
    <w:rsid w:val="00FD3AFF"/>
    <w:rsid w:val="00FD43BB"/>
    <w:rsid w:val="00FD4AF3"/>
    <w:rsid w:val="00FD5443"/>
    <w:rsid w:val="00FD6675"/>
    <w:rsid w:val="00FD6DC5"/>
    <w:rsid w:val="00FD72B1"/>
    <w:rsid w:val="00FD798D"/>
    <w:rsid w:val="00FE0770"/>
    <w:rsid w:val="00FE141E"/>
    <w:rsid w:val="00FE144E"/>
    <w:rsid w:val="00FE1768"/>
    <w:rsid w:val="00FE1DD5"/>
    <w:rsid w:val="00FE1E8C"/>
    <w:rsid w:val="00FE24F4"/>
    <w:rsid w:val="00FE2560"/>
    <w:rsid w:val="00FE35D0"/>
    <w:rsid w:val="00FE418A"/>
    <w:rsid w:val="00FE42ED"/>
    <w:rsid w:val="00FE4E06"/>
    <w:rsid w:val="00FE55A7"/>
    <w:rsid w:val="00FE5C5A"/>
    <w:rsid w:val="00FE601E"/>
    <w:rsid w:val="00FE6432"/>
    <w:rsid w:val="00FE72A0"/>
    <w:rsid w:val="00FF0050"/>
    <w:rsid w:val="00FF045F"/>
    <w:rsid w:val="00FF0816"/>
    <w:rsid w:val="00FF13D4"/>
    <w:rsid w:val="00FF2053"/>
    <w:rsid w:val="00FF3B37"/>
    <w:rsid w:val="00FF3CC7"/>
    <w:rsid w:val="00FF3D6F"/>
    <w:rsid w:val="00FF441A"/>
    <w:rsid w:val="00FF44D7"/>
    <w:rsid w:val="00FF4BD8"/>
    <w:rsid w:val="00FF4D11"/>
    <w:rsid w:val="00FF5214"/>
    <w:rsid w:val="00FF596E"/>
    <w:rsid w:val="00FF5B59"/>
    <w:rsid w:val="00FF5BFD"/>
    <w:rsid w:val="00FF6095"/>
    <w:rsid w:val="00FF62FE"/>
    <w:rsid w:val="00FF6553"/>
    <w:rsid w:val="00FF70BD"/>
    <w:rsid w:val="00FF7124"/>
    <w:rsid w:val="00FF7A39"/>
    <w:rsid w:val="029BC757"/>
    <w:rsid w:val="3569F5A8"/>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8B8206E-8AAF-46FA-973D-ECCC464C7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4FC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styleId="Mencinsinresolver">
    <w:name w:val="Unresolved Mention"/>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character" w:customStyle="1" w:styleId="Ttulo2Car">
    <w:name w:val="Título 2 Car"/>
    <w:basedOn w:val="Fuentedeprrafopredeter"/>
    <w:link w:val="Ttulo2"/>
    <w:uiPriority w:val="9"/>
    <w:semiHidden/>
    <w:rsid w:val="00E84314"/>
    <w:rPr>
      <w:rFonts w:asciiTheme="majorHAnsi" w:eastAsiaTheme="majorEastAsia" w:hAnsiTheme="majorHAnsi" w:cstheme="majorBidi"/>
      <w:color w:val="365F91" w:themeColor="accent1" w:themeShade="BF"/>
      <w:sz w:val="26"/>
      <w:szCs w:val="26"/>
      <w:lang w:eastAsia="es-ES_tradnl"/>
    </w:rPr>
  </w:style>
  <w:style w:type="paragraph" w:styleId="Revisin">
    <w:name w:val="Revision"/>
    <w:hidden/>
    <w:uiPriority w:val="99"/>
    <w:semiHidden/>
    <w:rsid w:val="00B20B23"/>
    <w:pPr>
      <w:spacing w:after="0" w:line="240" w:lineRule="auto"/>
    </w:pPr>
    <w:rPr>
      <w:rFonts w:ascii="Times New Roman" w:eastAsia="Times New Roman" w:hAnsi="Times New Roman" w:cs="Times New Roman"/>
      <w:sz w:val="24"/>
      <w:szCs w:val="24"/>
      <w:lang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144344">
      <w:bodyDiv w:val="1"/>
      <w:marLeft w:val="0"/>
      <w:marRight w:val="0"/>
      <w:marTop w:val="0"/>
      <w:marBottom w:val="0"/>
      <w:divBdr>
        <w:top w:val="none" w:sz="0" w:space="0" w:color="auto"/>
        <w:left w:val="none" w:sz="0" w:space="0" w:color="auto"/>
        <w:bottom w:val="none" w:sz="0" w:space="0" w:color="auto"/>
        <w:right w:val="none" w:sz="0" w:space="0" w:color="auto"/>
      </w:divBdr>
      <w:divsChild>
        <w:div w:id="1610551597">
          <w:marLeft w:val="0"/>
          <w:marRight w:val="0"/>
          <w:marTop w:val="0"/>
          <w:marBottom w:val="0"/>
          <w:divBdr>
            <w:top w:val="none" w:sz="0" w:space="0" w:color="auto"/>
            <w:left w:val="none" w:sz="0" w:space="0" w:color="auto"/>
            <w:bottom w:val="none" w:sz="0" w:space="0" w:color="auto"/>
            <w:right w:val="none" w:sz="0" w:space="0" w:color="auto"/>
          </w:divBdr>
          <w:divsChild>
            <w:div w:id="2038459412">
              <w:marLeft w:val="0"/>
              <w:marRight w:val="0"/>
              <w:marTop w:val="0"/>
              <w:marBottom w:val="0"/>
              <w:divBdr>
                <w:top w:val="none" w:sz="0" w:space="0" w:color="auto"/>
                <w:left w:val="none" w:sz="0" w:space="0" w:color="auto"/>
                <w:bottom w:val="none" w:sz="0" w:space="0" w:color="auto"/>
                <w:right w:val="none" w:sz="0" w:space="0" w:color="auto"/>
              </w:divBdr>
              <w:divsChild>
                <w:div w:id="206068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1826938">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5637734">
      <w:bodyDiv w:val="1"/>
      <w:marLeft w:val="0"/>
      <w:marRight w:val="0"/>
      <w:marTop w:val="0"/>
      <w:marBottom w:val="0"/>
      <w:divBdr>
        <w:top w:val="none" w:sz="0" w:space="0" w:color="auto"/>
        <w:left w:val="none" w:sz="0" w:space="0" w:color="auto"/>
        <w:bottom w:val="none" w:sz="0" w:space="0" w:color="auto"/>
        <w:right w:val="none" w:sz="0" w:space="0" w:color="auto"/>
      </w:divBdr>
      <w:divsChild>
        <w:div w:id="2103181439">
          <w:marLeft w:val="0"/>
          <w:marRight w:val="0"/>
          <w:marTop w:val="0"/>
          <w:marBottom w:val="0"/>
          <w:divBdr>
            <w:top w:val="none" w:sz="0" w:space="0" w:color="auto"/>
            <w:left w:val="none" w:sz="0" w:space="0" w:color="auto"/>
            <w:bottom w:val="none" w:sz="0" w:space="0" w:color="auto"/>
            <w:right w:val="none" w:sz="0" w:space="0" w:color="auto"/>
          </w:divBdr>
          <w:divsChild>
            <w:div w:id="2070616539">
              <w:marLeft w:val="0"/>
              <w:marRight w:val="0"/>
              <w:marTop w:val="0"/>
              <w:marBottom w:val="0"/>
              <w:divBdr>
                <w:top w:val="none" w:sz="0" w:space="0" w:color="auto"/>
                <w:left w:val="none" w:sz="0" w:space="0" w:color="auto"/>
                <w:bottom w:val="none" w:sz="0" w:space="0" w:color="auto"/>
                <w:right w:val="none" w:sz="0" w:space="0" w:color="auto"/>
              </w:divBdr>
              <w:divsChild>
                <w:div w:id="758605140">
                  <w:marLeft w:val="0"/>
                  <w:marRight w:val="0"/>
                  <w:marTop w:val="0"/>
                  <w:marBottom w:val="0"/>
                  <w:divBdr>
                    <w:top w:val="none" w:sz="0" w:space="0" w:color="auto"/>
                    <w:left w:val="none" w:sz="0" w:space="0" w:color="auto"/>
                    <w:bottom w:val="none" w:sz="0" w:space="0" w:color="auto"/>
                    <w:right w:val="none" w:sz="0" w:space="0" w:color="auto"/>
                  </w:divBdr>
                  <w:divsChild>
                    <w:div w:id="184531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44900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10173570">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619">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15430727">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61339907">
      <w:bodyDiv w:val="1"/>
      <w:marLeft w:val="0"/>
      <w:marRight w:val="0"/>
      <w:marTop w:val="0"/>
      <w:marBottom w:val="0"/>
      <w:divBdr>
        <w:top w:val="none" w:sz="0" w:space="0" w:color="auto"/>
        <w:left w:val="none" w:sz="0" w:space="0" w:color="auto"/>
        <w:bottom w:val="none" w:sz="0" w:space="0" w:color="auto"/>
        <w:right w:val="none" w:sz="0" w:space="0" w:color="auto"/>
      </w:divBdr>
      <w:divsChild>
        <w:div w:id="1982536059">
          <w:marLeft w:val="0"/>
          <w:marRight w:val="0"/>
          <w:marTop w:val="0"/>
          <w:marBottom w:val="0"/>
          <w:divBdr>
            <w:top w:val="none" w:sz="0" w:space="0" w:color="auto"/>
            <w:left w:val="none" w:sz="0" w:space="0" w:color="auto"/>
            <w:bottom w:val="none" w:sz="0" w:space="0" w:color="auto"/>
            <w:right w:val="none" w:sz="0" w:space="0" w:color="auto"/>
          </w:divBdr>
          <w:divsChild>
            <w:div w:id="2022706307">
              <w:marLeft w:val="0"/>
              <w:marRight w:val="0"/>
              <w:marTop w:val="0"/>
              <w:marBottom w:val="0"/>
              <w:divBdr>
                <w:top w:val="none" w:sz="0" w:space="0" w:color="auto"/>
                <w:left w:val="none" w:sz="0" w:space="0" w:color="auto"/>
                <w:bottom w:val="none" w:sz="0" w:space="0" w:color="auto"/>
                <w:right w:val="none" w:sz="0" w:space="0" w:color="auto"/>
              </w:divBdr>
              <w:divsChild>
                <w:div w:id="894196165">
                  <w:marLeft w:val="0"/>
                  <w:marRight w:val="0"/>
                  <w:marTop w:val="0"/>
                  <w:marBottom w:val="0"/>
                  <w:divBdr>
                    <w:top w:val="none" w:sz="0" w:space="0" w:color="auto"/>
                    <w:left w:val="none" w:sz="0" w:space="0" w:color="auto"/>
                    <w:bottom w:val="none" w:sz="0" w:space="0" w:color="auto"/>
                    <w:right w:val="none" w:sz="0" w:space="0" w:color="auto"/>
                  </w:divBdr>
                  <w:divsChild>
                    <w:div w:id="380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0214295">
      <w:bodyDiv w:val="1"/>
      <w:marLeft w:val="0"/>
      <w:marRight w:val="0"/>
      <w:marTop w:val="0"/>
      <w:marBottom w:val="0"/>
      <w:divBdr>
        <w:top w:val="none" w:sz="0" w:space="0" w:color="auto"/>
        <w:left w:val="none" w:sz="0" w:space="0" w:color="auto"/>
        <w:bottom w:val="none" w:sz="0" w:space="0" w:color="auto"/>
        <w:right w:val="none" w:sz="0" w:space="0" w:color="auto"/>
      </w:divBdr>
    </w:div>
    <w:div w:id="493641010">
      <w:bodyDiv w:val="1"/>
      <w:marLeft w:val="0"/>
      <w:marRight w:val="0"/>
      <w:marTop w:val="0"/>
      <w:marBottom w:val="0"/>
      <w:divBdr>
        <w:top w:val="none" w:sz="0" w:space="0" w:color="auto"/>
        <w:left w:val="none" w:sz="0" w:space="0" w:color="auto"/>
        <w:bottom w:val="none" w:sz="0" w:space="0" w:color="auto"/>
        <w:right w:val="none" w:sz="0" w:space="0" w:color="auto"/>
      </w:divBdr>
      <w:divsChild>
        <w:div w:id="2075425971">
          <w:marLeft w:val="0"/>
          <w:marRight w:val="0"/>
          <w:marTop w:val="0"/>
          <w:marBottom w:val="0"/>
          <w:divBdr>
            <w:top w:val="none" w:sz="0" w:space="0" w:color="auto"/>
            <w:left w:val="none" w:sz="0" w:space="0" w:color="auto"/>
            <w:bottom w:val="none" w:sz="0" w:space="0" w:color="auto"/>
            <w:right w:val="none" w:sz="0" w:space="0" w:color="auto"/>
          </w:divBdr>
          <w:divsChild>
            <w:div w:id="205337403">
              <w:marLeft w:val="0"/>
              <w:marRight w:val="0"/>
              <w:marTop w:val="0"/>
              <w:marBottom w:val="0"/>
              <w:divBdr>
                <w:top w:val="none" w:sz="0" w:space="0" w:color="auto"/>
                <w:left w:val="none" w:sz="0" w:space="0" w:color="auto"/>
                <w:bottom w:val="none" w:sz="0" w:space="0" w:color="auto"/>
                <w:right w:val="none" w:sz="0" w:space="0" w:color="auto"/>
              </w:divBdr>
              <w:divsChild>
                <w:div w:id="1457597653">
                  <w:marLeft w:val="0"/>
                  <w:marRight w:val="0"/>
                  <w:marTop w:val="0"/>
                  <w:marBottom w:val="0"/>
                  <w:divBdr>
                    <w:top w:val="none" w:sz="0" w:space="0" w:color="auto"/>
                    <w:left w:val="none" w:sz="0" w:space="0" w:color="auto"/>
                    <w:bottom w:val="none" w:sz="0" w:space="0" w:color="auto"/>
                    <w:right w:val="none" w:sz="0" w:space="0" w:color="auto"/>
                  </w:divBdr>
                  <w:divsChild>
                    <w:div w:id="145216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3383649">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21301682">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074164726">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18734532">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19860012">
      <w:bodyDiv w:val="1"/>
      <w:marLeft w:val="0"/>
      <w:marRight w:val="0"/>
      <w:marTop w:val="0"/>
      <w:marBottom w:val="0"/>
      <w:divBdr>
        <w:top w:val="none" w:sz="0" w:space="0" w:color="auto"/>
        <w:left w:val="none" w:sz="0" w:space="0" w:color="auto"/>
        <w:bottom w:val="none" w:sz="0" w:space="0" w:color="auto"/>
        <w:right w:val="none" w:sz="0" w:space="0" w:color="auto"/>
      </w:divBdr>
      <w:divsChild>
        <w:div w:id="935869752">
          <w:marLeft w:val="0"/>
          <w:marRight w:val="0"/>
          <w:marTop w:val="0"/>
          <w:marBottom w:val="0"/>
          <w:divBdr>
            <w:top w:val="none" w:sz="0" w:space="0" w:color="auto"/>
            <w:left w:val="none" w:sz="0" w:space="0" w:color="auto"/>
            <w:bottom w:val="none" w:sz="0" w:space="0" w:color="auto"/>
            <w:right w:val="none" w:sz="0" w:space="0" w:color="auto"/>
          </w:divBdr>
          <w:divsChild>
            <w:div w:id="1469087117">
              <w:marLeft w:val="0"/>
              <w:marRight w:val="0"/>
              <w:marTop w:val="0"/>
              <w:marBottom w:val="0"/>
              <w:divBdr>
                <w:top w:val="none" w:sz="0" w:space="0" w:color="auto"/>
                <w:left w:val="none" w:sz="0" w:space="0" w:color="auto"/>
                <w:bottom w:val="none" w:sz="0" w:space="0" w:color="auto"/>
                <w:right w:val="none" w:sz="0" w:space="0" w:color="auto"/>
              </w:divBdr>
              <w:divsChild>
                <w:div w:id="1080370908">
                  <w:marLeft w:val="0"/>
                  <w:marRight w:val="0"/>
                  <w:marTop w:val="0"/>
                  <w:marBottom w:val="0"/>
                  <w:divBdr>
                    <w:top w:val="none" w:sz="0" w:space="0" w:color="auto"/>
                    <w:left w:val="none" w:sz="0" w:space="0" w:color="auto"/>
                    <w:bottom w:val="none" w:sz="0" w:space="0" w:color="auto"/>
                    <w:right w:val="none" w:sz="0" w:space="0" w:color="auto"/>
                  </w:divBdr>
                  <w:divsChild>
                    <w:div w:id="169006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701324343">
          <w:marLeft w:val="0"/>
          <w:marRight w:val="0"/>
          <w:marTop w:val="0"/>
          <w:marBottom w:val="0"/>
          <w:divBdr>
            <w:top w:val="none" w:sz="0" w:space="0" w:color="auto"/>
            <w:left w:val="none" w:sz="0" w:space="0" w:color="auto"/>
            <w:bottom w:val="none" w:sz="0" w:space="0" w:color="auto"/>
            <w:right w:val="none" w:sz="0" w:space="0" w:color="auto"/>
          </w:divBdr>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69076510">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08127359">
      <w:bodyDiv w:val="1"/>
      <w:marLeft w:val="0"/>
      <w:marRight w:val="0"/>
      <w:marTop w:val="0"/>
      <w:marBottom w:val="0"/>
      <w:divBdr>
        <w:top w:val="none" w:sz="0" w:space="0" w:color="auto"/>
        <w:left w:val="none" w:sz="0" w:space="0" w:color="auto"/>
        <w:bottom w:val="none" w:sz="0" w:space="0" w:color="auto"/>
        <w:right w:val="none" w:sz="0" w:space="0" w:color="auto"/>
      </w:divBdr>
      <w:divsChild>
        <w:div w:id="1523393933">
          <w:marLeft w:val="0"/>
          <w:marRight w:val="0"/>
          <w:marTop w:val="0"/>
          <w:marBottom w:val="0"/>
          <w:divBdr>
            <w:top w:val="none" w:sz="0" w:space="0" w:color="auto"/>
            <w:left w:val="none" w:sz="0" w:space="0" w:color="auto"/>
            <w:bottom w:val="none" w:sz="0" w:space="0" w:color="auto"/>
            <w:right w:val="none" w:sz="0" w:space="0" w:color="auto"/>
          </w:divBdr>
          <w:divsChild>
            <w:div w:id="668682271">
              <w:marLeft w:val="0"/>
              <w:marRight w:val="0"/>
              <w:marTop w:val="0"/>
              <w:marBottom w:val="0"/>
              <w:divBdr>
                <w:top w:val="none" w:sz="0" w:space="0" w:color="auto"/>
                <w:left w:val="none" w:sz="0" w:space="0" w:color="auto"/>
                <w:bottom w:val="none" w:sz="0" w:space="0" w:color="auto"/>
                <w:right w:val="none" w:sz="0" w:space="0" w:color="auto"/>
              </w:divBdr>
              <w:divsChild>
                <w:div w:id="89994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66786160">
      <w:bodyDiv w:val="1"/>
      <w:marLeft w:val="0"/>
      <w:marRight w:val="0"/>
      <w:marTop w:val="0"/>
      <w:marBottom w:val="0"/>
      <w:divBdr>
        <w:top w:val="none" w:sz="0" w:space="0" w:color="auto"/>
        <w:left w:val="none" w:sz="0" w:space="0" w:color="auto"/>
        <w:bottom w:val="none" w:sz="0" w:space="0" w:color="auto"/>
        <w:right w:val="none" w:sz="0" w:space="0" w:color="auto"/>
      </w:divBdr>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27996429">
      <w:bodyDiv w:val="1"/>
      <w:marLeft w:val="0"/>
      <w:marRight w:val="0"/>
      <w:marTop w:val="0"/>
      <w:marBottom w:val="0"/>
      <w:divBdr>
        <w:top w:val="none" w:sz="0" w:space="0" w:color="auto"/>
        <w:left w:val="none" w:sz="0" w:space="0" w:color="auto"/>
        <w:bottom w:val="none" w:sz="0" w:space="0" w:color="auto"/>
        <w:right w:val="none" w:sz="0" w:space="0" w:color="auto"/>
      </w:divBdr>
      <w:divsChild>
        <w:div w:id="1994790054">
          <w:marLeft w:val="0"/>
          <w:marRight w:val="0"/>
          <w:marTop w:val="0"/>
          <w:marBottom w:val="0"/>
          <w:divBdr>
            <w:top w:val="none" w:sz="0" w:space="0" w:color="auto"/>
            <w:left w:val="none" w:sz="0" w:space="0" w:color="auto"/>
            <w:bottom w:val="none" w:sz="0" w:space="0" w:color="auto"/>
            <w:right w:val="none" w:sz="0" w:space="0" w:color="auto"/>
          </w:divBdr>
          <w:divsChild>
            <w:div w:id="1492988414">
              <w:marLeft w:val="0"/>
              <w:marRight w:val="0"/>
              <w:marTop w:val="0"/>
              <w:marBottom w:val="0"/>
              <w:divBdr>
                <w:top w:val="none" w:sz="0" w:space="0" w:color="auto"/>
                <w:left w:val="none" w:sz="0" w:space="0" w:color="auto"/>
                <w:bottom w:val="none" w:sz="0" w:space="0" w:color="auto"/>
                <w:right w:val="none" w:sz="0" w:space="0" w:color="auto"/>
              </w:divBdr>
              <w:divsChild>
                <w:div w:id="63457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2238690">
      <w:bodyDiv w:val="1"/>
      <w:marLeft w:val="0"/>
      <w:marRight w:val="0"/>
      <w:marTop w:val="0"/>
      <w:marBottom w:val="0"/>
      <w:divBdr>
        <w:top w:val="none" w:sz="0" w:space="0" w:color="auto"/>
        <w:left w:val="none" w:sz="0" w:space="0" w:color="auto"/>
        <w:bottom w:val="none" w:sz="0" w:space="0" w:color="auto"/>
        <w:right w:val="none" w:sz="0" w:space="0" w:color="auto"/>
      </w:divBdr>
      <w:divsChild>
        <w:div w:id="1005858410">
          <w:marLeft w:val="0"/>
          <w:marRight w:val="0"/>
          <w:marTop w:val="0"/>
          <w:marBottom w:val="0"/>
          <w:divBdr>
            <w:top w:val="none" w:sz="0" w:space="0" w:color="auto"/>
            <w:left w:val="none" w:sz="0" w:space="0" w:color="auto"/>
            <w:bottom w:val="none" w:sz="0" w:space="0" w:color="auto"/>
            <w:right w:val="none" w:sz="0" w:space="0" w:color="auto"/>
          </w:divBdr>
          <w:divsChild>
            <w:div w:id="874081206">
              <w:marLeft w:val="0"/>
              <w:marRight w:val="0"/>
              <w:marTop w:val="0"/>
              <w:marBottom w:val="0"/>
              <w:divBdr>
                <w:top w:val="none" w:sz="0" w:space="0" w:color="auto"/>
                <w:left w:val="none" w:sz="0" w:space="0" w:color="auto"/>
                <w:bottom w:val="none" w:sz="0" w:space="0" w:color="auto"/>
                <w:right w:val="none" w:sz="0" w:space="0" w:color="auto"/>
              </w:divBdr>
              <w:divsChild>
                <w:div w:id="129980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76798332">
      <w:bodyDiv w:val="1"/>
      <w:marLeft w:val="0"/>
      <w:marRight w:val="0"/>
      <w:marTop w:val="0"/>
      <w:marBottom w:val="0"/>
      <w:divBdr>
        <w:top w:val="none" w:sz="0" w:space="0" w:color="auto"/>
        <w:left w:val="none" w:sz="0" w:space="0" w:color="auto"/>
        <w:bottom w:val="none" w:sz="0" w:space="0" w:color="auto"/>
        <w:right w:val="none" w:sz="0" w:space="0" w:color="auto"/>
      </w:divBdr>
      <w:divsChild>
        <w:div w:id="642001577">
          <w:marLeft w:val="0"/>
          <w:marRight w:val="0"/>
          <w:marTop w:val="0"/>
          <w:marBottom w:val="0"/>
          <w:divBdr>
            <w:top w:val="none" w:sz="0" w:space="0" w:color="auto"/>
            <w:left w:val="none" w:sz="0" w:space="0" w:color="auto"/>
            <w:bottom w:val="none" w:sz="0" w:space="0" w:color="auto"/>
            <w:right w:val="none" w:sz="0" w:space="0" w:color="auto"/>
          </w:divBdr>
          <w:divsChild>
            <w:div w:id="1454715168">
              <w:marLeft w:val="0"/>
              <w:marRight w:val="0"/>
              <w:marTop w:val="0"/>
              <w:marBottom w:val="0"/>
              <w:divBdr>
                <w:top w:val="none" w:sz="0" w:space="0" w:color="auto"/>
                <w:left w:val="none" w:sz="0" w:space="0" w:color="auto"/>
                <w:bottom w:val="none" w:sz="0" w:space="0" w:color="auto"/>
                <w:right w:val="none" w:sz="0" w:space="0" w:color="auto"/>
              </w:divBdr>
              <w:divsChild>
                <w:div w:id="97394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34757641">
          <w:marLeft w:val="0"/>
          <w:marRight w:val="0"/>
          <w:marTop w:val="0"/>
          <w:marBottom w:val="0"/>
          <w:divBdr>
            <w:top w:val="none" w:sz="0" w:space="0" w:color="auto"/>
            <w:left w:val="none" w:sz="0" w:space="0" w:color="auto"/>
            <w:bottom w:val="none" w:sz="0" w:space="0" w:color="auto"/>
            <w:right w:val="none" w:sz="0" w:space="0" w:color="auto"/>
          </w:divBdr>
        </w:div>
        <w:div w:id="183327756">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315379722">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 w:id="1640528279">
              <w:marLeft w:val="0"/>
              <w:marRight w:val="0"/>
              <w:marTop w:val="0"/>
              <w:marBottom w:val="0"/>
              <w:divBdr>
                <w:top w:val="none" w:sz="0" w:space="0" w:color="auto"/>
                <w:left w:val="none" w:sz="0" w:space="0" w:color="auto"/>
                <w:bottom w:val="none" w:sz="0" w:space="0" w:color="auto"/>
                <w:right w:val="none" w:sz="0" w:space="0" w:color="auto"/>
              </w:divBdr>
            </w:div>
          </w:divsChild>
        </w:div>
        <w:div w:id="1856578142">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894463004">
      <w:bodyDiv w:val="1"/>
      <w:marLeft w:val="0"/>
      <w:marRight w:val="0"/>
      <w:marTop w:val="0"/>
      <w:marBottom w:val="0"/>
      <w:divBdr>
        <w:top w:val="none" w:sz="0" w:space="0" w:color="auto"/>
        <w:left w:val="none" w:sz="0" w:space="0" w:color="auto"/>
        <w:bottom w:val="none" w:sz="0" w:space="0" w:color="auto"/>
        <w:right w:val="none" w:sz="0" w:space="0" w:color="auto"/>
      </w:divBdr>
      <w:divsChild>
        <w:div w:id="68617061">
          <w:marLeft w:val="0"/>
          <w:marRight w:val="0"/>
          <w:marTop w:val="0"/>
          <w:marBottom w:val="0"/>
          <w:divBdr>
            <w:top w:val="none" w:sz="0" w:space="0" w:color="auto"/>
            <w:left w:val="none" w:sz="0" w:space="0" w:color="auto"/>
            <w:bottom w:val="none" w:sz="0" w:space="0" w:color="auto"/>
            <w:right w:val="none" w:sz="0" w:space="0" w:color="auto"/>
          </w:divBdr>
          <w:divsChild>
            <w:div w:id="1053651746">
              <w:marLeft w:val="0"/>
              <w:marRight w:val="0"/>
              <w:marTop w:val="0"/>
              <w:marBottom w:val="0"/>
              <w:divBdr>
                <w:top w:val="none" w:sz="0" w:space="0" w:color="auto"/>
                <w:left w:val="none" w:sz="0" w:space="0" w:color="auto"/>
                <w:bottom w:val="none" w:sz="0" w:space="0" w:color="auto"/>
                <w:right w:val="none" w:sz="0" w:space="0" w:color="auto"/>
              </w:divBdr>
              <w:divsChild>
                <w:div w:id="443117741">
                  <w:marLeft w:val="0"/>
                  <w:marRight w:val="0"/>
                  <w:marTop w:val="0"/>
                  <w:marBottom w:val="0"/>
                  <w:divBdr>
                    <w:top w:val="none" w:sz="0" w:space="0" w:color="auto"/>
                    <w:left w:val="none" w:sz="0" w:space="0" w:color="auto"/>
                    <w:bottom w:val="none" w:sz="0" w:space="0" w:color="auto"/>
                    <w:right w:val="none" w:sz="0" w:space="0" w:color="auto"/>
                  </w:divBdr>
                  <w:divsChild>
                    <w:div w:id="302927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430862631">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149979592">
              <w:marLeft w:val="0"/>
              <w:marRight w:val="0"/>
              <w:marTop w:val="0"/>
              <w:marBottom w:val="0"/>
              <w:divBdr>
                <w:top w:val="none" w:sz="0" w:space="0" w:color="auto"/>
                <w:left w:val="none" w:sz="0" w:space="0" w:color="auto"/>
                <w:bottom w:val="none" w:sz="0" w:space="0" w:color="auto"/>
                <w:right w:val="none" w:sz="0" w:space="0" w:color="auto"/>
              </w:divBdr>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87085">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17834">
          <w:marLeft w:val="0"/>
          <w:marRight w:val="0"/>
          <w:marTop w:val="0"/>
          <w:marBottom w:val="0"/>
          <w:divBdr>
            <w:top w:val="none" w:sz="0" w:space="0" w:color="auto"/>
            <w:left w:val="none" w:sz="0" w:space="0" w:color="auto"/>
            <w:bottom w:val="none" w:sz="0" w:space="0" w:color="auto"/>
            <w:right w:val="none" w:sz="0" w:space="0" w:color="auto"/>
          </w:divBdr>
        </w:div>
        <w:div w:id="201603263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3296817">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97680798">
              <w:marLeft w:val="0"/>
              <w:marRight w:val="0"/>
              <w:marTop w:val="0"/>
              <w:marBottom w:val="0"/>
              <w:divBdr>
                <w:top w:val="none" w:sz="0" w:space="0" w:color="auto"/>
                <w:left w:val="none" w:sz="0" w:space="0" w:color="auto"/>
                <w:bottom w:val="none" w:sz="0" w:space="0" w:color="auto"/>
                <w:right w:val="none" w:sz="0" w:space="0" w:color="auto"/>
              </w:divBdr>
            </w:div>
            <w:div w:id="1104544632">
              <w:marLeft w:val="0"/>
              <w:marRight w:val="0"/>
              <w:marTop w:val="0"/>
              <w:marBottom w:val="0"/>
              <w:divBdr>
                <w:top w:val="none" w:sz="0" w:space="0" w:color="auto"/>
                <w:left w:val="none" w:sz="0" w:space="0" w:color="auto"/>
                <w:bottom w:val="none" w:sz="0" w:space="0" w:color="auto"/>
                <w:right w:val="none" w:sz="0" w:space="0" w:color="auto"/>
              </w:divBdr>
              <w:divsChild>
                <w:div w:id="244340040">
                  <w:marLeft w:val="0"/>
                  <w:marRight w:val="0"/>
                  <w:marTop w:val="0"/>
                  <w:marBottom w:val="0"/>
                  <w:divBdr>
                    <w:top w:val="none" w:sz="0" w:space="0" w:color="auto"/>
                    <w:left w:val="none" w:sz="0" w:space="0" w:color="auto"/>
                    <w:bottom w:val="none" w:sz="0" w:space="0" w:color="auto"/>
                    <w:right w:val="none" w:sz="0" w:space="0" w:color="auto"/>
                  </w:divBdr>
                </w:div>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30421742">
                  <w:marLeft w:val="0"/>
                  <w:marRight w:val="0"/>
                  <w:marTop w:val="0"/>
                  <w:marBottom w:val="0"/>
                  <w:divBdr>
                    <w:top w:val="none" w:sz="0" w:space="0" w:color="auto"/>
                    <w:left w:val="none" w:sz="0" w:space="0" w:color="auto"/>
                    <w:bottom w:val="none" w:sz="0" w:space="0" w:color="auto"/>
                    <w:right w:val="none" w:sz="0" w:space="0" w:color="auto"/>
                  </w:divBdr>
                </w:div>
                <w:div w:id="544874625">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91754144">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7260892">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08046331">
      <w:bodyDiv w:val="1"/>
      <w:marLeft w:val="0"/>
      <w:marRight w:val="0"/>
      <w:marTop w:val="0"/>
      <w:marBottom w:val="0"/>
      <w:divBdr>
        <w:top w:val="none" w:sz="0" w:space="0" w:color="auto"/>
        <w:left w:val="none" w:sz="0" w:space="0" w:color="auto"/>
        <w:bottom w:val="none" w:sz="0" w:space="0" w:color="auto"/>
        <w:right w:val="none" w:sz="0" w:space="0" w:color="auto"/>
      </w:divBdr>
      <w:divsChild>
        <w:div w:id="1363172650">
          <w:marLeft w:val="0"/>
          <w:marRight w:val="0"/>
          <w:marTop w:val="0"/>
          <w:marBottom w:val="0"/>
          <w:divBdr>
            <w:top w:val="none" w:sz="0" w:space="0" w:color="auto"/>
            <w:left w:val="none" w:sz="0" w:space="0" w:color="auto"/>
            <w:bottom w:val="none" w:sz="0" w:space="0" w:color="auto"/>
            <w:right w:val="none" w:sz="0" w:space="0" w:color="auto"/>
          </w:divBdr>
          <w:divsChild>
            <w:div w:id="1155224784">
              <w:marLeft w:val="0"/>
              <w:marRight w:val="0"/>
              <w:marTop w:val="0"/>
              <w:marBottom w:val="0"/>
              <w:divBdr>
                <w:top w:val="none" w:sz="0" w:space="0" w:color="auto"/>
                <w:left w:val="none" w:sz="0" w:space="0" w:color="auto"/>
                <w:bottom w:val="none" w:sz="0" w:space="0" w:color="auto"/>
                <w:right w:val="none" w:sz="0" w:space="0" w:color="auto"/>
              </w:divBdr>
              <w:divsChild>
                <w:div w:id="160584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4709385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428830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13872">
      <w:bodyDiv w:val="1"/>
      <w:marLeft w:val="0"/>
      <w:marRight w:val="0"/>
      <w:marTop w:val="0"/>
      <w:marBottom w:val="0"/>
      <w:divBdr>
        <w:top w:val="none" w:sz="0" w:space="0" w:color="auto"/>
        <w:left w:val="none" w:sz="0" w:space="0" w:color="auto"/>
        <w:bottom w:val="none" w:sz="0" w:space="0" w:color="auto"/>
        <w:right w:val="none" w:sz="0" w:space="0" w:color="auto"/>
      </w:divBdr>
      <w:divsChild>
        <w:div w:id="694817135">
          <w:marLeft w:val="0"/>
          <w:marRight w:val="0"/>
          <w:marTop w:val="0"/>
          <w:marBottom w:val="0"/>
          <w:divBdr>
            <w:top w:val="none" w:sz="0" w:space="0" w:color="auto"/>
            <w:left w:val="none" w:sz="0" w:space="0" w:color="auto"/>
            <w:bottom w:val="none" w:sz="0" w:space="0" w:color="auto"/>
            <w:right w:val="none" w:sz="0" w:space="0" w:color="auto"/>
          </w:divBdr>
          <w:divsChild>
            <w:div w:id="1524246835">
              <w:marLeft w:val="0"/>
              <w:marRight w:val="0"/>
              <w:marTop w:val="0"/>
              <w:marBottom w:val="0"/>
              <w:divBdr>
                <w:top w:val="none" w:sz="0" w:space="0" w:color="auto"/>
                <w:left w:val="none" w:sz="0" w:space="0" w:color="auto"/>
                <w:bottom w:val="none" w:sz="0" w:space="0" w:color="auto"/>
                <w:right w:val="none" w:sz="0" w:space="0" w:color="auto"/>
              </w:divBdr>
              <w:divsChild>
                <w:div w:id="667445988">
                  <w:marLeft w:val="0"/>
                  <w:marRight w:val="0"/>
                  <w:marTop w:val="0"/>
                  <w:marBottom w:val="0"/>
                  <w:divBdr>
                    <w:top w:val="none" w:sz="0" w:space="0" w:color="auto"/>
                    <w:left w:val="none" w:sz="0" w:space="0" w:color="auto"/>
                    <w:bottom w:val="none" w:sz="0" w:space="0" w:color="auto"/>
                    <w:right w:val="none" w:sz="0" w:space="0" w:color="auto"/>
                  </w:divBdr>
                  <w:divsChild>
                    <w:div w:id="178758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83345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135342158">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631448889">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01537589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266958615">
              <w:marLeft w:val="0"/>
              <w:marRight w:val="0"/>
              <w:marTop w:val="0"/>
              <w:marBottom w:val="0"/>
              <w:divBdr>
                <w:top w:val="none" w:sz="0" w:space="0" w:color="auto"/>
                <w:left w:val="none" w:sz="0" w:space="0" w:color="auto"/>
                <w:bottom w:val="none" w:sz="0" w:space="0" w:color="auto"/>
                <w:right w:val="none" w:sz="0" w:space="0" w:color="auto"/>
              </w:divBdr>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376343">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627735588">
                  <w:marLeft w:val="0"/>
                  <w:marRight w:val="0"/>
                  <w:marTop w:val="0"/>
                  <w:marBottom w:val="0"/>
                  <w:divBdr>
                    <w:top w:val="none" w:sz="0" w:space="0" w:color="auto"/>
                    <w:left w:val="none" w:sz="0" w:space="0" w:color="auto"/>
                    <w:bottom w:val="none" w:sz="0" w:space="0" w:color="auto"/>
                    <w:right w:val="none" w:sz="0" w:space="0" w:color="auto"/>
                  </w:divBdr>
                </w:div>
                <w:div w:id="198076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121466798">
                  <w:marLeft w:val="0"/>
                  <w:marRight w:val="0"/>
                  <w:marTop w:val="0"/>
                  <w:marBottom w:val="0"/>
                  <w:divBdr>
                    <w:top w:val="none" w:sz="0" w:space="0" w:color="auto"/>
                    <w:left w:val="none" w:sz="0" w:space="0" w:color="auto"/>
                    <w:bottom w:val="none" w:sz="0" w:space="0" w:color="auto"/>
                    <w:right w:val="none" w:sz="0" w:space="0" w:color="auto"/>
                  </w:divBdr>
                </w:div>
                <w:div w:id="3197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0132949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0284887">
      <w:bodyDiv w:val="1"/>
      <w:marLeft w:val="0"/>
      <w:marRight w:val="0"/>
      <w:marTop w:val="0"/>
      <w:marBottom w:val="0"/>
      <w:divBdr>
        <w:top w:val="none" w:sz="0" w:space="0" w:color="auto"/>
        <w:left w:val="none" w:sz="0" w:space="0" w:color="auto"/>
        <w:bottom w:val="none" w:sz="0" w:space="0" w:color="auto"/>
        <w:right w:val="none" w:sz="0" w:space="0" w:color="auto"/>
      </w:divBdr>
      <w:divsChild>
        <w:div w:id="927079769">
          <w:marLeft w:val="0"/>
          <w:marRight w:val="0"/>
          <w:marTop w:val="0"/>
          <w:marBottom w:val="0"/>
          <w:divBdr>
            <w:top w:val="none" w:sz="0" w:space="0" w:color="auto"/>
            <w:left w:val="none" w:sz="0" w:space="0" w:color="auto"/>
            <w:bottom w:val="none" w:sz="0" w:space="0" w:color="auto"/>
            <w:right w:val="none" w:sz="0" w:space="0" w:color="auto"/>
          </w:divBdr>
          <w:divsChild>
            <w:div w:id="1644701967">
              <w:marLeft w:val="0"/>
              <w:marRight w:val="0"/>
              <w:marTop w:val="0"/>
              <w:marBottom w:val="0"/>
              <w:divBdr>
                <w:top w:val="none" w:sz="0" w:space="0" w:color="auto"/>
                <w:left w:val="none" w:sz="0" w:space="0" w:color="auto"/>
                <w:bottom w:val="none" w:sz="0" w:space="0" w:color="auto"/>
                <w:right w:val="none" w:sz="0" w:space="0" w:color="auto"/>
              </w:divBdr>
              <w:divsChild>
                <w:div w:id="371923142">
                  <w:marLeft w:val="0"/>
                  <w:marRight w:val="0"/>
                  <w:marTop w:val="0"/>
                  <w:marBottom w:val="0"/>
                  <w:divBdr>
                    <w:top w:val="none" w:sz="0" w:space="0" w:color="auto"/>
                    <w:left w:val="none" w:sz="0" w:space="0" w:color="auto"/>
                    <w:bottom w:val="none" w:sz="0" w:space="0" w:color="auto"/>
                    <w:right w:val="none" w:sz="0" w:space="0" w:color="auto"/>
                  </w:divBdr>
                  <w:divsChild>
                    <w:div w:id="195251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3193784">
      <w:bodyDiv w:val="1"/>
      <w:marLeft w:val="0"/>
      <w:marRight w:val="0"/>
      <w:marTop w:val="0"/>
      <w:marBottom w:val="0"/>
      <w:divBdr>
        <w:top w:val="none" w:sz="0" w:space="0" w:color="auto"/>
        <w:left w:val="none" w:sz="0" w:space="0" w:color="auto"/>
        <w:bottom w:val="none" w:sz="0" w:space="0" w:color="auto"/>
        <w:right w:val="none" w:sz="0" w:space="0" w:color="auto"/>
      </w:divBdr>
      <w:divsChild>
        <w:div w:id="1417903108">
          <w:marLeft w:val="0"/>
          <w:marRight w:val="0"/>
          <w:marTop w:val="0"/>
          <w:marBottom w:val="0"/>
          <w:divBdr>
            <w:top w:val="none" w:sz="0" w:space="0" w:color="auto"/>
            <w:left w:val="none" w:sz="0" w:space="0" w:color="auto"/>
            <w:bottom w:val="none" w:sz="0" w:space="0" w:color="auto"/>
            <w:right w:val="none" w:sz="0" w:space="0" w:color="auto"/>
          </w:divBdr>
          <w:divsChild>
            <w:div w:id="1264530621">
              <w:marLeft w:val="0"/>
              <w:marRight w:val="0"/>
              <w:marTop w:val="0"/>
              <w:marBottom w:val="0"/>
              <w:divBdr>
                <w:top w:val="none" w:sz="0" w:space="0" w:color="auto"/>
                <w:left w:val="none" w:sz="0" w:space="0" w:color="auto"/>
                <w:bottom w:val="none" w:sz="0" w:space="0" w:color="auto"/>
                <w:right w:val="none" w:sz="0" w:space="0" w:color="auto"/>
              </w:divBdr>
              <w:divsChild>
                <w:div w:id="196064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139924342">
              <w:marLeft w:val="0"/>
              <w:marRight w:val="0"/>
              <w:marTop w:val="0"/>
              <w:marBottom w:val="0"/>
              <w:divBdr>
                <w:top w:val="none" w:sz="0" w:space="0" w:color="auto"/>
                <w:left w:val="none" w:sz="0" w:space="0" w:color="auto"/>
                <w:bottom w:val="none" w:sz="0" w:space="0" w:color="auto"/>
                <w:right w:val="none" w:sz="0" w:space="0" w:color="auto"/>
              </w:divBdr>
            </w:div>
            <w:div w:id="258952796">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sChild>
        </w:div>
        <w:div w:id="1479225221">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sChild>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8769308">
      <w:bodyDiv w:val="1"/>
      <w:marLeft w:val="0"/>
      <w:marRight w:val="0"/>
      <w:marTop w:val="0"/>
      <w:marBottom w:val="0"/>
      <w:divBdr>
        <w:top w:val="none" w:sz="0" w:space="0" w:color="auto"/>
        <w:left w:val="none" w:sz="0" w:space="0" w:color="auto"/>
        <w:bottom w:val="none" w:sz="0" w:space="0" w:color="auto"/>
        <w:right w:val="none" w:sz="0" w:space="0" w:color="auto"/>
      </w:divBdr>
      <w:divsChild>
        <w:div w:id="849875501">
          <w:marLeft w:val="0"/>
          <w:marRight w:val="0"/>
          <w:marTop w:val="0"/>
          <w:marBottom w:val="0"/>
          <w:divBdr>
            <w:top w:val="none" w:sz="0" w:space="0" w:color="auto"/>
            <w:left w:val="none" w:sz="0" w:space="0" w:color="auto"/>
            <w:bottom w:val="none" w:sz="0" w:space="0" w:color="auto"/>
            <w:right w:val="none" w:sz="0" w:space="0" w:color="auto"/>
          </w:divBdr>
          <w:divsChild>
            <w:div w:id="627515589">
              <w:marLeft w:val="0"/>
              <w:marRight w:val="0"/>
              <w:marTop w:val="0"/>
              <w:marBottom w:val="0"/>
              <w:divBdr>
                <w:top w:val="none" w:sz="0" w:space="0" w:color="auto"/>
                <w:left w:val="none" w:sz="0" w:space="0" w:color="auto"/>
                <w:bottom w:val="none" w:sz="0" w:space="0" w:color="auto"/>
                <w:right w:val="none" w:sz="0" w:space="0" w:color="auto"/>
              </w:divBdr>
              <w:divsChild>
                <w:div w:id="2104102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085538">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327903512">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252204489">
          <w:marLeft w:val="0"/>
          <w:marRight w:val="0"/>
          <w:marTop w:val="0"/>
          <w:marBottom w:val="0"/>
          <w:divBdr>
            <w:top w:val="none" w:sz="0" w:space="0" w:color="auto"/>
            <w:left w:val="none" w:sz="0" w:space="0" w:color="auto"/>
            <w:bottom w:val="none" w:sz="0" w:space="0" w:color="auto"/>
            <w:right w:val="none" w:sz="0" w:space="0" w:color="auto"/>
          </w:divBdr>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73372197">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159733033">
          <w:marLeft w:val="0"/>
          <w:marRight w:val="0"/>
          <w:marTop w:val="0"/>
          <w:marBottom w:val="0"/>
          <w:divBdr>
            <w:top w:val="none" w:sz="0" w:space="0" w:color="auto"/>
            <w:left w:val="none" w:sz="0" w:space="0" w:color="auto"/>
            <w:bottom w:val="none" w:sz="0" w:space="0" w:color="auto"/>
            <w:right w:val="none" w:sz="0" w:space="0" w:color="auto"/>
          </w:divBdr>
        </w:div>
        <w:div w:id="643392868">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749620085">
              <w:marLeft w:val="0"/>
              <w:marRight w:val="0"/>
              <w:marTop w:val="0"/>
              <w:marBottom w:val="0"/>
              <w:divBdr>
                <w:top w:val="none" w:sz="0" w:space="0" w:color="auto"/>
                <w:left w:val="none" w:sz="0" w:space="0" w:color="auto"/>
                <w:bottom w:val="none" w:sz="0" w:space="0" w:color="auto"/>
                <w:right w:val="none" w:sz="0" w:space="0" w:color="auto"/>
              </w:divBdr>
            </w:div>
            <w:div w:id="19859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333555">
      <w:bodyDiv w:val="1"/>
      <w:marLeft w:val="0"/>
      <w:marRight w:val="0"/>
      <w:marTop w:val="0"/>
      <w:marBottom w:val="0"/>
      <w:divBdr>
        <w:top w:val="none" w:sz="0" w:space="0" w:color="auto"/>
        <w:left w:val="none" w:sz="0" w:space="0" w:color="auto"/>
        <w:bottom w:val="none" w:sz="0" w:space="0" w:color="auto"/>
        <w:right w:val="none" w:sz="0" w:space="0" w:color="auto"/>
      </w:divBdr>
      <w:divsChild>
        <w:div w:id="1618832351">
          <w:marLeft w:val="0"/>
          <w:marRight w:val="0"/>
          <w:marTop w:val="0"/>
          <w:marBottom w:val="0"/>
          <w:divBdr>
            <w:top w:val="none" w:sz="0" w:space="0" w:color="auto"/>
            <w:left w:val="none" w:sz="0" w:space="0" w:color="auto"/>
            <w:bottom w:val="none" w:sz="0" w:space="0" w:color="auto"/>
            <w:right w:val="none" w:sz="0" w:space="0" w:color="auto"/>
          </w:divBdr>
          <w:divsChild>
            <w:div w:id="438573280">
              <w:marLeft w:val="0"/>
              <w:marRight w:val="0"/>
              <w:marTop w:val="0"/>
              <w:marBottom w:val="0"/>
              <w:divBdr>
                <w:top w:val="none" w:sz="0" w:space="0" w:color="auto"/>
                <w:left w:val="none" w:sz="0" w:space="0" w:color="auto"/>
                <w:bottom w:val="none" w:sz="0" w:space="0" w:color="auto"/>
                <w:right w:val="none" w:sz="0" w:space="0" w:color="auto"/>
              </w:divBdr>
              <w:divsChild>
                <w:div w:id="371198100">
                  <w:marLeft w:val="0"/>
                  <w:marRight w:val="0"/>
                  <w:marTop w:val="0"/>
                  <w:marBottom w:val="0"/>
                  <w:divBdr>
                    <w:top w:val="none" w:sz="0" w:space="0" w:color="auto"/>
                    <w:left w:val="none" w:sz="0" w:space="0" w:color="auto"/>
                    <w:bottom w:val="none" w:sz="0" w:space="0" w:color="auto"/>
                    <w:right w:val="none" w:sz="0" w:space="0" w:color="auto"/>
                  </w:divBdr>
                  <w:divsChild>
                    <w:div w:id="91528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7396015">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285818572">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541938974">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31392902">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69962719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sChild>
        </w:div>
        <w:div w:id="2124106103">
          <w:marLeft w:val="0"/>
          <w:marRight w:val="0"/>
          <w:marTop w:val="0"/>
          <w:marBottom w:val="0"/>
          <w:divBdr>
            <w:top w:val="none" w:sz="0" w:space="0" w:color="auto"/>
            <w:left w:val="none" w:sz="0" w:space="0" w:color="auto"/>
            <w:bottom w:val="none" w:sz="0" w:space="0" w:color="auto"/>
            <w:right w:val="none" w:sz="0" w:space="0" w:color="auto"/>
          </w:divBdr>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45056635">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86803058">
      <w:bodyDiv w:val="1"/>
      <w:marLeft w:val="0"/>
      <w:marRight w:val="0"/>
      <w:marTop w:val="0"/>
      <w:marBottom w:val="0"/>
      <w:divBdr>
        <w:top w:val="none" w:sz="0" w:space="0" w:color="auto"/>
        <w:left w:val="none" w:sz="0" w:space="0" w:color="auto"/>
        <w:bottom w:val="none" w:sz="0" w:space="0" w:color="auto"/>
        <w:right w:val="none" w:sz="0" w:space="0" w:color="auto"/>
      </w:divBdr>
      <w:divsChild>
        <w:div w:id="177240049">
          <w:marLeft w:val="0"/>
          <w:marRight w:val="0"/>
          <w:marTop w:val="0"/>
          <w:marBottom w:val="0"/>
          <w:divBdr>
            <w:top w:val="none" w:sz="0" w:space="0" w:color="auto"/>
            <w:left w:val="none" w:sz="0" w:space="0" w:color="auto"/>
            <w:bottom w:val="none" w:sz="0" w:space="0" w:color="auto"/>
            <w:right w:val="none" w:sz="0" w:space="0" w:color="auto"/>
          </w:divBdr>
          <w:divsChild>
            <w:div w:id="1581257025">
              <w:marLeft w:val="0"/>
              <w:marRight w:val="0"/>
              <w:marTop w:val="0"/>
              <w:marBottom w:val="0"/>
              <w:divBdr>
                <w:top w:val="none" w:sz="0" w:space="0" w:color="auto"/>
                <w:left w:val="none" w:sz="0" w:space="0" w:color="auto"/>
                <w:bottom w:val="none" w:sz="0" w:space="0" w:color="auto"/>
                <w:right w:val="none" w:sz="0" w:space="0" w:color="auto"/>
              </w:divBdr>
              <w:divsChild>
                <w:div w:id="81048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570193454">
          <w:marLeft w:val="0"/>
          <w:marRight w:val="0"/>
          <w:marTop w:val="0"/>
          <w:marBottom w:val="0"/>
          <w:divBdr>
            <w:top w:val="none" w:sz="0" w:space="0" w:color="auto"/>
            <w:left w:val="none" w:sz="0" w:space="0" w:color="auto"/>
            <w:bottom w:val="none" w:sz="0" w:space="0" w:color="auto"/>
            <w:right w:val="none" w:sz="0" w:space="0" w:color="auto"/>
          </w:divBdr>
        </w:div>
        <w:div w:id="610279058">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1393228">
      <w:bodyDiv w:val="1"/>
      <w:marLeft w:val="0"/>
      <w:marRight w:val="0"/>
      <w:marTop w:val="0"/>
      <w:marBottom w:val="0"/>
      <w:divBdr>
        <w:top w:val="none" w:sz="0" w:space="0" w:color="auto"/>
        <w:left w:val="none" w:sz="0" w:space="0" w:color="auto"/>
        <w:bottom w:val="none" w:sz="0" w:space="0" w:color="auto"/>
        <w:right w:val="none" w:sz="0" w:space="0" w:color="auto"/>
      </w:divBdr>
      <w:divsChild>
        <w:div w:id="1693536321">
          <w:marLeft w:val="0"/>
          <w:marRight w:val="0"/>
          <w:marTop w:val="0"/>
          <w:marBottom w:val="0"/>
          <w:divBdr>
            <w:top w:val="none" w:sz="0" w:space="0" w:color="auto"/>
            <w:left w:val="none" w:sz="0" w:space="0" w:color="auto"/>
            <w:bottom w:val="none" w:sz="0" w:space="0" w:color="auto"/>
            <w:right w:val="none" w:sz="0" w:space="0" w:color="auto"/>
          </w:divBdr>
        </w:div>
      </w:divsChild>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busqueda/concep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SharedWithUsers xmlns="a6cb9e4b-f1d1-4245-83ec-6cad768d538a">
      <UserInfo>
        <DisplayName>Diana Lucia Saavedra</DisplayName>
        <AccountId>981</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F0C0CB-C57C-41B7-944A-4178308437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3.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F8521671-D56A-F342-8BC5-FA1574439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C:\Users\ximena.cabezas\AppData\Local\Microsoft\Windows\INetCache\Content.Outlook\N37DCYCK\Respuesta a consultas.dotm</Template>
  <TotalTime>1</TotalTime>
  <Pages>14</Pages>
  <Words>5062</Words>
  <Characters>27845</Characters>
  <Application>Microsoft Office Word</Application>
  <DocSecurity>0</DocSecurity>
  <Lines>232</Lines>
  <Paragraphs>65</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32842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MARIA CLAUDIA DE LA OSSA BOBADILLA</cp:lastModifiedBy>
  <cp:revision>2</cp:revision>
  <cp:lastPrinted>2020-01-30T15:05:00Z</cp:lastPrinted>
  <dcterms:created xsi:type="dcterms:W3CDTF">2022-12-12T12:56:00Z</dcterms:created>
  <dcterms:modified xsi:type="dcterms:W3CDTF">2022-12-12T12:56:00Z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