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B1A4F4" w14:textId="5F4B7C8A" w:rsidR="00BC59CE" w:rsidRPr="00BC59CE" w:rsidRDefault="00BC59CE" w:rsidP="00BC59CE">
      <w:pPr>
        <w:jc w:val="both"/>
        <w:rPr>
          <w:rFonts w:ascii="Arial" w:eastAsia="Calibri" w:hAnsi="Arial" w:cs="Arial"/>
          <w:b/>
          <w:sz w:val="21"/>
          <w:szCs w:val="21"/>
        </w:rPr>
      </w:pPr>
      <w:bookmarkStart w:id="0" w:name="_Hlk96417464"/>
      <w:r w:rsidRPr="00BC59CE">
        <w:rPr>
          <w:rFonts w:ascii="Arial" w:eastAsia="Calibri" w:hAnsi="Arial" w:cs="Arial"/>
          <w:b/>
          <w:sz w:val="21"/>
          <w:szCs w:val="21"/>
        </w:rPr>
        <w:t xml:space="preserve">OFERENTES EXTRANJEROS – Acreditación experiencia en el extranjero – Requisitos habilitantes y de calificación </w:t>
      </w:r>
    </w:p>
    <w:p w14:paraId="6DF5A654" w14:textId="03FAC973" w:rsidR="00BC59CE" w:rsidRPr="00BC59CE" w:rsidRDefault="00BC59CE" w:rsidP="00BC59CE">
      <w:pPr>
        <w:jc w:val="both"/>
        <w:rPr>
          <w:rFonts w:ascii="Arial" w:eastAsia="Calibri" w:hAnsi="Arial" w:cs="Arial"/>
          <w:bCs/>
          <w:sz w:val="21"/>
          <w:szCs w:val="21"/>
        </w:rPr>
      </w:pPr>
    </w:p>
    <w:p w14:paraId="1BC926CF" w14:textId="67730B15" w:rsidR="00BC59CE" w:rsidRPr="00BC59CE" w:rsidRDefault="00BC59CE" w:rsidP="00BC59CE">
      <w:pPr>
        <w:jc w:val="both"/>
        <w:rPr>
          <w:rFonts w:ascii="Arial" w:eastAsia="Calibri" w:hAnsi="Arial" w:cs="Arial"/>
          <w:bCs/>
          <w:sz w:val="21"/>
          <w:szCs w:val="21"/>
          <w:lang w:val="es-ES"/>
        </w:rPr>
      </w:pPr>
      <w:r w:rsidRPr="00BC59CE">
        <w:rPr>
          <w:rFonts w:ascii="Arial" w:eastAsia="Calibri" w:hAnsi="Arial" w:cs="Arial"/>
          <w:bCs/>
          <w:sz w:val="21"/>
          <w:szCs w:val="21"/>
          <w:lang w:val="es-ES"/>
        </w:rPr>
        <w:t xml:space="preserve">El Registro Único de Proponentes es el instrumento a través del cual los proponentes acreditan la capacidad financiera, jurídica, organizacional y la experiencia, y es plena prueba de las circunstancias que se hagan constar. En efecto, el artículo 6 de la Ley 1150 de 2007 prevé que el cumplimiento de los requisitos habilitantes se demostrará </w:t>
      </w:r>
      <w:r w:rsidRPr="00BC59CE">
        <w:rPr>
          <w:rFonts w:ascii="Arial" w:eastAsia="Calibri" w:hAnsi="Arial" w:cs="Arial"/>
          <w:bCs/>
          <w:sz w:val="21"/>
          <w:szCs w:val="21"/>
        </w:rPr>
        <w:t>«</w:t>
      </w:r>
      <w:r w:rsidRPr="00BC59CE">
        <w:rPr>
          <w:rFonts w:ascii="Arial" w:eastAsia="Calibri" w:hAnsi="Arial" w:cs="Arial"/>
          <w:bCs/>
          <w:sz w:val="21"/>
          <w:szCs w:val="21"/>
          <w:lang w:val="es-ES"/>
        </w:rPr>
        <w:t>exclusivamente con el respectivo certificado del RUP […]</w:t>
      </w:r>
      <w:r w:rsidRPr="00BC59CE">
        <w:rPr>
          <w:rFonts w:ascii="Arial" w:eastAsia="Calibri" w:hAnsi="Arial" w:cs="Arial"/>
          <w:bCs/>
          <w:sz w:val="21"/>
          <w:szCs w:val="21"/>
        </w:rPr>
        <w:t>»</w:t>
      </w:r>
      <w:r w:rsidRPr="00BC59CE">
        <w:rPr>
          <w:rFonts w:ascii="Arial" w:eastAsia="Calibri" w:hAnsi="Arial" w:cs="Arial"/>
          <w:bCs/>
          <w:sz w:val="21"/>
          <w:szCs w:val="21"/>
          <w:lang w:val="es-ES"/>
        </w:rPr>
        <w:t xml:space="preserve">. No </w:t>
      </w:r>
      <w:proofErr w:type="gramStart"/>
      <w:r w:rsidRPr="00BC59CE">
        <w:rPr>
          <w:rFonts w:ascii="Arial" w:eastAsia="Calibri" w:hAnsi="Arial" w:cs="Arial"/>
          <w:bCs/>
          <w:sz w:val="21"/>
          <w:szCs w:val="21"/>
          <w:lang w:val="es-ES"/>
        </w:rPr>
        <w:t>obstante</w:t>
      </w:r>
      <w:proofErr w:type="gramEnd"/>
      <w:r w:rsidRPr="00BC59CE">
        <w:rPr>
          <w:rFonts w:ascii="Arial" w:eastAsia="Calibri" w:hAnsi="Arial" w:cs="Arial"/>
          <w:bCs/>
          <w:sz w:val="21"/>
          <w:szCs w:val="21"/>
          <w:lang w:val="es-ES"/>
        </w:rPr>
        <w:t xml:space="preserve"> lo anterior, las personas naturales o jurídicas extranjeras, sin domicilio o sucursal en Colombia, no están obligadas a inscribirse en el Registro único de Proponentes – RUP. Por esta razón, frente a la acreditación de su experiencia en el extranjero, le corresponde a las Entidades Estatales verificar directamente el cumplimiento de los requisitos habilitantes. Sobre este punto, como lo expuso la Agencia Nacional de Contratación Pública – Colombia Compra Eficiente, en el Manual para Determinar y Verificar los Requisitos Habilitantes en los Procesos de Contratación, se sugiere </w:t>
      </w:r>
      <w:r w:rsidRPr="00BC59CE">
        <w:rPr>
          <w:rFonts w:ascii="Arial" w:eastAsia="Calibri" w:hAnsi="Arial" w:cs="Arial"/>
          <w:bCs/>
          <w:sz w:val="21"/>
          <w:szCs w:val="21"/>
        </w:rPr>
        <w:t>«</w:t>
      </w:r>
      <w:r w:rsidRPr="00BC59CE">
        <w:rPr>
          <w:rFonts w:ascii="Arial" w:eastAsia="Calibri" w:hAnsi="Arial" w:cs="Arial"/>
          <w:bCs/>
          <w:sz w:val="21"/>
          <w:szCs w:val="21"/>
          <w:lang w:val="es-ES"/>
        </w:rPr>
        <w:t>incluir en los pliegos de condiciones modelos de certificados con los cuales los proponentes acrediten los requisitos habilitantes</w:t>
      </w:r>
      <w:r w:rsidRPr="00BC59CE">
        <w:rPr>
          <w:rFonts w:ascii="Arial" w:eastAsia="Calibri" w:hAnsi="Arial" w:cs="Arial"/>
          <w:bCs/>
          <w:sz w:val="21"/>
          <w:szCs w:val="21"/>
        </w:rPr>
        <w:t>»</w:t>
      </w:r>
      <w:r w:rsidRPr="00BC59CE">
        <w:rPr>
          <w:rFonts w:ascii="Arial" w:eastAsia="Calibri" w:hAnsi="Arial" w:cs="Arial"/>
          <w:bCs/>
          <w:sz w:val="21"/>
          <w:szCs w:val="21"/>
          <w:lang w:val="es-ES"/>
        </w:rPr>
        <w:t>.</w:t>
      </w:r>
    </w:p>
    <w:p w14:paraId="5536BAAF" w14:textId="77777777" w:rsidR="00BC59CE" w:rsidRPr="00BC59CE" w:rsidRDefault="00BC59CE" w:rsidP="00BC59CE">
      <w:pPr>
        <w:jc w:val="both"/>
        <w:rPr>
          <w:rFonts w:ascii="Arial" w:eastAsia="Calibri" w:hAnsi="Arial" w:cs="Arial"/>
          <w:bCs/>
          <w:sz w:val="21"/>
          <w:szCs w:val="21"/>
        </w:rPr>
      </w:pPr>
    </w:p>
    <w:p w14:paraId="444DEA3D" w14:textId="018D164B" w:rsidR="00BC59CE" w:rsidRPr="00BC59CE" w:rsidRDefault="00BC59CE" w:rsidP="00BC59CE">
      <w:pPr>
        <w:jc w:val="both"/>
        <w:rPr>
          <w:rFonts w:ascii="Arial" w:eastAsia="Calibri" w:hAnsi="Arial" w:cs="Arial"/>
          <w:b/>
          <w:sz w:val="21"/>
          <w:szCs w:val="21"/>
        </w:rPr>
      </w:pPr>
      <w:r w:rsidRPr="00BC59CE">
        <w:rPr>
          <w:rFonts w:ascii="Arial" w:eastAsia="Calibri" w:hAnsi="Arial" w:cs="Arial"/>
          <w:b/>
          <w:sz w:val="21"/>
          <w:szCs w:val="21"/>
        </w:rPr>
        <w:t>OFERENTES EXTRANJEROS – Apostilla</w:t>
      </w:r>
    </w:p>
    <w:p w14:paraId="62E347FF" w14:textId="7C1FEF83" w:rsidR="00BC59CE" w:rsidRPr="00BC59CE" w:rsidRDefault="00BC59CE" w:rsidP="00553DEA">
      <w:pPr>
        <w:jc w:val="both"/>
        <w:rPr>
          <w:rFonts w:ascii="Arial" w:eastAsia="Calibri" w:hAnsi="Arial" w:cs="Arial"/>
          <w:sz w:val="21"/>
          <w:szCs w:val="21"/>
        </w:rPr>
      </w:pPr>
    </w:p>
    <w:p w14:paraId="6B52A181" w14:textId="668C8E26" w:rsidR="00BC59CE" w:rsidRPr="00BC59CE" w:rsidRDefault="00BC59CE" w:rsidP="00BC59CE">
      <w:pPr>
        <w:jc w:val="both"/>
        <w:rPr>
          <w:rFonts w:ascii="Arial" w:eastAsia="Calibri" w:hAnsi="Arial" w:cs="Arial"/>
          <w:sz w:val="21"/>
          <w:szCs w:val="21"/>
          <w:lang w:val="es-ES"/>
        </w:rPr>
      </w:pPr>
      <w:r w:rsidRPr="00BC59CE">
        <w:rPr>
          <w:rFonts w:ascii="Arial" w:eastAsia="Calibri" w:hAnsi="Arial" w:cs="Arial"/>
          <w:sz w:val="21"/>
          <w:szCs w:val="21"/>
          <w:lang w:val="es-ES"/>
        </w:rPr>
        <w:t xml:space="preserve">Como lo señaló la Agencia Nacional de Contratación Pública – Colombia Compra Eficiente, en la Circular Externa Única, todos los documentos públicos expedidos en el exterior </w:t>
      </w:r>
      <w:r w:rsidRPr="00BC59CE">
        <w:rPr>
          <w:rFonts w:ascii="Arial" w:eastAsia="Calibri" w:hAnsi="Arial" w:cs="Arial"/>
          <w:sz w:val="21"/>
          <w:szCs w:val="21"/>
        </w:rPr>
        <w:t>«</w:t>
      </w:r>
      <w:r w:rsidRPr="00BC59CE">
        <w:rPr>
          <w:rFonts w:ascii="Arial" w:eastAsia="Calibri" w:hAnsi="Arial" w:cs="Arial"/>
          <w:i/>
          <w:sz w:val="21"/>
          <w:szCs w:val="21"/>
          <w:lang w:val="es-ES"/>
        </w:rPr>
        <w:t>deben ser apostillados o legalizados por la Entidad competente desde el país de origen, para que puedan surtir efectos legales en Colombia</w:t>
      </w:r>
      <w:r w:rsidRPr="00BC59CE">
        <w:rPr>
          <w:rFonts w:ascii="Arial" w:eastAsia="Calibri" w:hAnsi="Arial" w:cs="Arial"/>
          <w:sz w:val="21"/>
          <w:szCs w:val="21"/>
        </w:rPr>
        <w:t>»</w:t>
      </w:r>
      <w:r w:rsidRPr="00BC59CE">
        <w:rPr>
          <w:rFonts w:ascii="Arial" w:eastAsia="Calibri" w:hAnsi="Arial" w:cs="Arial"/>
          <w:sz w:val="21"/>
          <w:szCs w:val="21"/>
          <w:lang w:val="es-ES"/>
        </w:rPr>
        <w:t xml:space="preserve">. Para estos efectos, se debe tener en cuenta lo previsto en la Resolución 10547 del 14 de diciembre de 2018, </w:t>
      </w:r>
      <w:r w:rsidRPr="00BC59CE">
        <w:rPr>
          <w:rFonts w:ascii="Arial" w:eastAsia="Calibri" w:hAnsi="Arial" w:cs="Arial"/>
          <w:sz w:val="21"/>
          <w:szCs w:val="21"/>
        </w:rPr>
        <w:t>«</w:t>
      </w:r>
      <w:r w:rsidRPr="00BC59CE">
        <w:rPr>
          <w:rFonts w:ascii="Arial" w:eastAsia="Calibri" w:hAnsi="Arial" w:cs="Arial"/>
          <w:sz w:val="21"/>
          <w:szCs w:val="21"/>
          <w:lang w:val="es-ES"/>
        </w:rPr>
        <w:t>Por la cual se adopta el procedimiento para apostillar y/o legalizar documentos</w:t>
      </w:r>
      <w:r w:rsidRPr="00BC59CE">
        <w:rPr>
          <w:rFonts w:ascii="Arial" w:eastAsia="Calibri" w:hAnsi="Arial" w:cs="Arial"/>
          <w:sz w:val="21"/>
          <w:szCs w:val="21"/>
        </w:rPr>
        <w:t>»</w:t>
      </w:r>
      <w:r w:rsidRPr="00BC59CE">
        <w:rPr>
          <w:rFonts w:ascii="Arial" w:eastAsia="Calibri" w:hAnsi="Arial" w:cs="Arial"/>
          <w:sz w:val="21"/>
          <w:szCs w:val="21"/>
          <w:lang w:val="es-ES"/>
        </w:rPr>
        <w:t xml:space="preserve"> expedida por el Ministerio de Relaciones Exteriores. Conviene destacar que las entidades </w:t>
      </w:r>
      <w:r w:rsidRPr="00BC59CE">
        <w:rPr>
          <w:rFonts w:ascii="Arial" w:eastAsia="Calibri" w:hAnsi="Arial" w:cs="Arial"/>
          <w:sz w:val="21"/>
          <w:szCs w:val="21"/>
        </w:rPr>
        <w:t>«</w:t>
      </w:r>
      <w:r w:rsidRPr="00BC59CE">
        <w:rPr>
          <w:rFonts w:ascii="Arial" w:eastAsia="Calibri" w:hAnsi="Arial" w:cs="Arial"/>
          <w:sz w:val="21"/>
          <w:szCs w:val="21"/>
          <w:lang w:val="es-ES"/>
        </w:rPr>
        <w:t>solamente pueden exigir la legalización de acuerdo con la Convención de la Apostilla o la legalización de documentos públicos otorgados en el extranjero. Este tipo de legalización no es procedente para los documentos privados</w:t>
      </w:r>
      <w:r w:rsidRPr="00BC59CE">
        <w:rPr>
          <w:rFonts w:ascii="Arial" w:eastAsia="Calibri" w:hAnsi="Arial" w:cs="Arial"/>
          <w:sz w:val="21"/>
          <w:szCs w:val="21"/>
        </w:rPr>
        <w:t>»</w:t>
      </w:r>
      <w:r w:rsidRPr="00BC59CE">
        <w:rPr>
          <w:rFonts w:ascii="Arial" w:eastAsia="Calibri" w:hAnsi="Arial" w:cs="Arial"/>
          <w:sz w:val="21"/>
          <w:szCs w:val="21"/>
          <w:lang w:val="es-ES"/>
        </w:rPr>
        <w:t>. Los documentos privados se presumen auténticos y las Entidades Estatales no deben solicitar autenticaciones, reconocimiento, presentación personal o trámites adicionales, excepto cuando la ley lo exige expresamente. Tanto los documentos públicos como privados pueden ser aportados en copia simple, las cuales también gozan presunción de autenticidad y cuentan con igual valor probatorio que el original. No obstante lo anterior, es importante recordar que de conformidad con el artículo 6 de la Ley 1150 de 2007, sólo en aquellos casos en que por las características del objeto a contratar se requiera la verificación de requisitos del proponente adicionales a los contenidos en el Registro, la entidad podrá hacer tal verificación en forma directa, lo cual deberá estar establecido en los requisitos habilitantes y ponderables establecidos en los pliegos de condiciones o documentos equivalentes.</w:t>
      </w:r>
    </w:p>
    <w:p w14:paraId="48574538" w14:textId="5707615A" w:rsidR="00BC59CE" w:rsidRPr="00BC59CE" w:rsidRDefault="00BC59CE" w:rsidP="00BC59CE">
      <w:pPr>
        <w:jc w:val="both"/>
        <w:rPr>
          <w:rFonts w:ascii="Arial" w:eastAsia="Calibri" w:hAnsi="Arial" w:cs="Arial"/>
          <w:sz w:val="21"/>
          <w:szCs w:val="21"/>
          <w:lang w:val="es-ES"/>
        </w:rPr>
      </w:pPr>
    </w:p>
    <w:p w14:paraId="512EA059" w14:textId="263FD7D7" w:rsidR="00BC59CE" w:rsidRPr="00BC59CE" w:rsidRDefault="00BC59CE" w:rsidP="00BC59CE">
      <w:pPr>
        <w:jc w:val="both"/>
        <w:rPr>
          <w:rFonts w:ascii="Arial" w:eastAsia="Calibri" w:hAnsi="Arial" w:cs="Arial"/>
          <w:b/>
          <w:sz w:val="21"/>
          <w:szCs w:val="21"/>
        </w:rPr>
      </w:pPr>
      <w:r w:rsidRPr="00BC59CE">
        <w:rPr>
          <w:rFonts w:ascii="Arial" w:eastAsia="Calibri" w:hAnsi="Arial" w:cs="Arial"/>
          <w:b/>
          <w:sz w:val="21"/>
          <w:szCs w:val="21"/>
        </w:rPr>
        <w:t xml:space="preserve">OFERENTES EXTRANJEROS – Documentos en idioma extranjero </w:t>
      </w:r>
    </w:p>
    <w:p w14:paraId="5C0ABB96" w14:textId="77777777" w:rsidR="00BC59CE" w:rsidRPr="00BC59CE" w:rsidRDefault="00BC59CE" w:rsidP="00BC59CE">
      <w:pPr>
        <w:jc w:val="both"/>
        <w:rPr>
          <w:rFonts w:ascii="Arial" w:eastAsia="Calibri" w:hAnsi="Arial" w:cs="Arial"/>
          <w:b/>
          <w:sz w:val="21"/>
          <w:szCs w:val="21"/>
          <w:lang w:val="es-ES"/>
        </w:rPr>
      </w:pPr>
    </w:p>
    <w:p w14:paraId="56287C99" w14:textId="77777777" w:rsidR="00BC59CE" w:rsidRDefault="00BC59CE" w:rsidP="00553DEA">
      <w:pPr>
        <w:jc w:val="both"/>
        <w:rPr>
          <w:rFonts w:ascii="Arial" w:eastAsia="Calibri" w:hAnsi="Arial" w:cs="Arial"/>
          <w:sz w:val="21"/>
          <w:szCs w:val="21"/>
          <w:lang w:val="es-ES"/>
        </w:rPr>
      </w:pPr>
      <w:r w:rsidRPr="4841A0D1">
        <w:rPr>
          <w:rFonts w:ascii="Arial" w:eastAsia="Calibri" w:hAnsi="Arial" w:cs="Arial"/>
          <w:sz w:val="21"/>
          <w:szCs w:val="21"/>
          <w:lang w:val="es-ES"/>
        </w:rPr>
        <w:t xml:space="preserve">Siguiendo la postura que la Agencia Nacional de Contratación Pública – Colombia Compra Eficiente expuso en la Circular Externa Única, para que los documentos </w:t>
      </w:r>
      <w:r w:rsidRPr="4841A0D1">
        <w:rPr>
          <w:rFonts w:ascii="Arial" w:eastAsia="Calibri" w:hAnsi="Arial" w:cs="Arial"/>
          <w:sz w:val="21"/>
          <w:szCs w:val="21"/>
        </w:rPr>
        <w:t>«</w:t>
      </w:r>
      <w:r w:rsidRPr="4841A0D1">
        <w:rPr>
          <w:rFonts w:ascii="Arial" w:eastAsia="Calibri" w:hAnsi="Arial" w:cs="Arial"/>
          <w:sz w:val="21"/>
          <w:szCs w:val="21"/>
          <w:lang w:val="es-ES"/>
        </w:rPr>
        <w:t>en un idioma distinto al castellano puedan ser apreciados en el Proceso de contratación deben ser presentados en su lengua original junto con la traducción oficial al castellano</w:t>
      </w:r>
      <w:r w:rsidRPr="4841A0D1">
        <w:rPr>
          <w:rFonts w:ascii="Arial" w:eastAsia="Calibri" w:hAnsi="Arial" w:cs="Arial"/>
          <w:sz w:val="21"/>
          <w:szCs w:val="21"/>
        </w:rPr>
        <w:t>»</w:t>
      </w:r>
      <w:r w:rsidRPr="4841A0D1">
        <w:rPr>
          <w:rFonts w:ascii="Arial" w:eastAsia="Calibri" w:hAnsi="Arial" w:cs="Arial"/>
          <w:sz w:val="21"/>
          <w:szCs w:val="21"/>
          <w:lang w:val="es-ES"/>
        </w:rPr>
        <w:t xml:space="preserve">. Ello, sin perjuicio de los documentos especializados, </w:t>
      </w:r>
      <w:r w:rsidRPr="4841A0D1">
        <w:rPr>
          <w:rFonts w:ascii="Arial" w:eastAsia="Calibri" w:hAnsi="Arial" w:cs="Arial"/>
          <w:sz w:val="21"/>
          <w:szCs w:val="21"/>
        </w:rPr>
        <w:t>«</w:t>
      </w:r>
      <w:r w:rsidRPr="4841A0D1">
        <w:rPr>
          <w:rFonts w:ascii="Arial" w:eastAsia="Calibri" w:hAnsi="Arial" w:cs="Arial"/>
          <w:sz w:val="21"/>
          <w:szCs w:val="21"/>
          <w:lang w:val="es-ES"/>
        </w:rPr>
        <w:t>por ejemplo, especificaciones o fichas técnicas, que en el mercado sean de amplia utilización y aceptación en idioma distinto al castellano</w:t>
      </w:r>
      <w:r w:rsidRPr="4841A0D1">
        <w:rPr>
          <w:rFonts w:ascii="Arial" w:eastAsia="Calibri" w:hAnsi="Arial" w:cs="Arial"/>
          <w:sz w:val="21"/>
          <w:szCs w:val="21"/>
        </w:rPr>
        <w:t>»</w:t>
      </w:r>
      <w:r w:rsidRPr="4841A0D1">
        <w:rPr>
          <w:rFonts w:ascii="Arial" w:eastAsia="Calibri" w:hAnsi="Arial" w:cs="Arial"/>
          <w:sz w:val="21"/>
          <w:szCs w:val="21"/>
          <w:lang w:val="es-ES"/>
        </w:rPr>
        <w:t xml:space="preserve">, pues las entidades estatales podrán incluir en los documentos del proceso de contratación la </w:t>
      </w:r>
      <w:r w:rsidRPr="4841A0D1">
        <w:rPr>
          <w:rFonts w:ascii="Arial" w:eastAsia="Calibri" w:hAnsi="Arial" w:cs="Arial"/>
          <w:sz w:val="21"/>
          <w:szCs w:val="21"/>
        </w:rPr>
        <w:t>«</w:t>
      </w:r>
      <w:r w:rsidRPr="4841A0D1">
        <w:rPr>
          <w:rFonts w:ascii="Arial" w:eastAsia="Calibri" w:hAnsi="Arial" w:cs="Arial"/>
          <w:sz w:val="21"/>
          <w:szCs w:val="21"/>
          <w:lang w:val="es-ES"/>
        </w:rPr>
        <w:t>posibilidad de que sean aportados en su lengua original acompañados de una traducción simple al castellano, cuando así lo considere conveniente de conformidad con el estudio del sector realizado</w:t>
      </w:r>
      <w:r w:rsidRPr="4841A0D1">
        <w:rPr>
          <w:rFonts w:ascii="Arial" w:eastAsia="Calibri" w:hAnsi="Arial" w:cs="Arial"/>
          <w:sz w:val="21"/>
          <w:szCs w:val="21"/>
        </w:rPr>
        <w:t>»</w:t>
      </w:r>
      <w:r w:rsidRPr="4841A0D1">
        <w:rPr>
          <w:rFonts w:ascii="Arial" w:eastAsia="Calibri" w:hAnsi="Arial" w:cs="Arial"/>
          <w:sz w:val="21"/>
          <w:szCs w:val="21"/>
          <w:lang w:val="es-ES"/>
        </w:rPr>
        <w:t>.</w:t>
      </w:r>
    </w:p>
    <w:p w14:paraId="2D79547D" w14:textId="7510919A" w:rsidR="4841A0D1" w:rsidRDefault="4841A0D1" w:rsidP="4841A0D1">
      <w:pPr>
        <w:jc w:val="both"/>
        <w:rPr>
          <w:rFonts w:ascii="Arial" w:eastAsia="Calibri" w:hAnsi="Arial" w:cs="Arial"/>
          <w:sz w:val="21"/>
          <w:szCs w:val="21"/>
          <w:lang w:val="es-ES"/>
        </w:rPr>
      </w:pPr>
    </w:p>
    <w:p w14:paraId="247FFDE7" w14:textId="4E3927D3" w:rsidR="00553DEA" w:rsidRPr="00BC59CE" w:rsidRDefault="00BC59CE" w:rsidP="00553DEA">
      <w:pPr>
        <w:jc w:val="both"/>
        <w:rPr>
          <w:rFonts w:ascii="Arial" w:eastAsia="Calibri" w:hAnsi="Arial" w:cs="Arial"/>
          <w:sz w:val="21"/>
          <w:szCs w:val="21"/>
          <w:lang w:val="es-ES"/>
        </w:rPr>
      </w:pPr>
      <w:r>
        <w:rPr>
          <w:rFonts w:ascii="Arial" w:eastAsia="Calibri" w:hAnsi="Arial" w:cs="Arial"/>
          <w:noProof/>
          <w:sz w:val="22"/>
          <w:lang w:val="es-CO"/>
        </w:rPr>
        <w:drawing>
          <wp:anchor distT="0" distB="0" distL="114300" distR="114300" simplePos="0" relativeHeight="251658240" behindDoc="0" locked="0" layoutInCell="1" allowOverlap="1" wp14:anchorId="416A9D4F" wp14:editId="45E9A579">
            <wp:simplePos x="0" y="0"/>
            <wp:positionH relativeFrom="column">
              <wp:posOffset>2869904</wp:posOffset>
            </wp:positionH>
            <wp:positionV relativeFrom="paragraph">
              <wp:posOffset>64692</wp:posOffset>
            </wp:positionV>
            <wp:extent cx="3103150" cy="834019"/>
            <wp:effectExtent l="0" t="0" r="0" b="444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198873" cy="859746"/>
                    </a:xfrm>
                    <a:prstGeom prst="rect">
                      <a:avLst/>
                    </a:prstGeom>
                  </pic:spPr>
                </pic:pic>
              </a:graphicData>
            </a:graphic>
            <wp14:sizeRelH relativeFrom="page">
              <wp14:pctWidth>0</wp14:pctWidth>
            </wp14:sizeRelH>
            <wp14:sizeRelV relativeFrom="page">
              <wp14:pctHeight>0</wp14:pctHeight>
            </wp14:sizeRelV>
          </wp:anchor>
        </w:drawing>
      </w:r>
      <w:r w:rsidR="00553DEA">
        <w:rPr>
          <w:rFonts w:ascii="Arial" w:eastAsia="Calibri" w:hAnsi="Arial" w:cs="Arial"/>
          <w:sz w:val="22"/>
          <w:lang w:val="es-CO"/>
        </w:rPr>
        <w:t xml:space="preserve">Bogotá, D.C., </w:t>
      </w:r>
      <w:r>
        <w:rPr>
          <w:rFonts w:ascii="Arial" w:eastAsia="Calibri" w:hAnsi="Arial" w:cs="Arial"/>
          <w:sz w:val="22"/>
          <w:lang w:val="es-CO"/>
        </w:rPr>
        <w:t>20 de diciembre de 2022</w:t>
      </w:r>
    </w:p>
    <w:p w14:paraId="3CA521B8" w14:textId="45C268BE" w:rsidR="00553DEA" w:rsidRDefault="00553DEA" w:rsidP="00553DEA">
      <w:pPr>
        <w:jc w:val="both"/>
        <w:rPr>
          <w:rFonts w:ascii="Arial" w:eastAsia="Calibri" w:hAnsi="Arial" w:cs="Arial"/>
          <w:sz w:val="22"/>
          <w:lang w:val="es-CO"/>
        </w:rPr>
      </w:pPr>
    </w:p>
    <w:p w14:paraId="2A5D8BB5" w14:textId="2AFD210E" w:rsidR="00906714" w:rsidRPr="00553DEA" w:rsidRDefault="00906714" w:rsidP="00553DEA">
      <w:pPr>
        <w:jc w:val="both"/>
        <w:rPr>
          <w:rFonts w:ascii="Arial" w:eastAsia="Calibri" w:hAnsi="Arial" w:cs="Arial"/>
          <w:sz w:val="22"/>
          <w:lang w:val="es-CO"/>
        </w:rPr>
      </w:pPr>
      <w:r w:rsidRPr="00553DEA">
        <w:rPr>
          <w:rFonts w:ascii="Arial" w:eastAsia="Calibri" w:hAnsi="Arial" w:cs="Arial"/>
          <w:sz w:val="22"/>
          <w:lang w:val="es-CO"/>
        </w:rPr>
        <w:t>Señora</w:t>
      </w:r>
    </w:p>
    <w:p w14:paraId="61C568B5" w14:textId="13C24DC3" w:rsidR="00906714" w:rsidRDefault="00906714" w:rsidP="00553DEA">
      <w:pPr>
        <w:jc w:val="both"/>
        <w:rPr>
          <w:rFonts w:ascii="Arial" w:eastAsia="Calibri" w:hAnsi="Arial" w:cs="Arial"/>
          <w:b/>
          <w:sz w:val="22"/>
        </w:rPr>
      </w:pPr>
      <w:r w:rsidRPr="00553DEA">
        <w:rPr>
          <w:rFonts w:ascii="Arial" w:eastAsia="Calibri" w:hAnsi="Arial" w:cs="Arial"/>
          <w:b/>
          <w:sz w:val="22"/>
        </w:rPr>
        <w:t>Andrea Villate</w:t>
      </w:r>
    </w:p>
    <w:p w14:paraId="202DEB03" w14:textId="7A69268D" w:rsidR="00553DEA" w:rsidRPr="00553DEA" w:rsidRDefault="00DA4421" w:rsidP="00553DEA">
      <w:pPr>
        <w:jc w:val="both"/>
        <w:rPr>
          <w:rFonts w:ascii="Arial" w:eastAsia="Calibri" w:hAnsi="Arial" w:cs="Arial"/>
          <w:sz w:val="22"/>
          <w:lang w:val="es-CO"/>
        </w:rPr>
      </w:pPr>
      <w:hyperlink r:id="rId12" w:history="1">
        <w:r w:rsidR="00553DEA" w:rsidRPr="00580410">
          <w:rPr>
            <w:rStyle w:val="Hipervnculo"/>
            <w:rFonts w:ascii="Arial" w:eastAsia="Calibri" w:hAnsi="Arial" w:cs="Arial"/>
            <w:sz w:val="22"/>
            <w:lang w:val="es-CO"/>
          </w:rPr>
          <w:t>andrea.villate@siemens.com</w:t>
        </w:r>
      </w:hyperlink>
      <w:r w:rsidR="00553DEA">
        <w:rPr>
          <w:rFonts w:ascii="Arial" w:eastAsia="Calibri" w:hAnsi="Arial" w:cs="Arial"/>
          <w:sz w:val="22"/>
          <w:lang w:val="es-CO"/>
        </w:rPr>
        <w:t xml:space="preserve"> </w:t>
      </w:r>
    </w:p>
    <w:p w14:paraId="6D4ECC4E" w14:textId="77777777" w:rsidR="00906714" w:rsidRPr="00553DEA" w:rsidRDefault="00906714" w:rsidP="00553DEA">
      <w:pPr>
        <w:jc w:val="both"/>
        <w:rPr>
          <w:rFonts w:ascii="Arial" w:eastAsia="Calibri" w:hAnsi="Arial" w:cs="Arial"/>
          <w:sz w:val="22"/>
        </w:rPr>
      </w:pPr>
      <w:r w:rsidRPr="00553DEA">
        <w:rPr>
          <w:rFonts w:ascii="Arial" w:eastAsia="Calibri" w:hAnsi="Arial" w:cs="Arial"/>
          <w:sz w:val="22"/>
        </w:rPr>
        <w:t>Bogotá D.C.</w:t>
      </w:r>
    </w:p>
    <w:p w14:paraId="4F54EBA8" w14:textId="77777777" w:rsidR="00906714" w:rsidRPr="00553DEA" w:rsidRDefault="00906714" w:rsidP="00553DEA">
      <w:pPr>
        <w:jc w:val="both"/>
        <w:rPr>
          <w:rFonts w:ascii="Arial" w:eastAsia="Calibri" w:hAnsi="Arial" w:cs="Arial"/>
          <w:sz w:val="22"/>
        </w:rPr>
      </w:pPr>
    </w:p>
    <w:p w14:paraId="07E17071" w14:textId="594B68A6" w:rsidR="00906714" w:rsidRPr="00553DEA" w:rsidRDefault="00553DEA" w:rsidP="00553DEA">
      <w:pPr>
        <w:ind w:left="3540" w:firstLine="708"/>
        <w:jc w:val="both"/>
        <w:rPr>
          <w:rFonts w:ascii="Arial" w:eastAsia="Calibri" w:hAnsi="Arial" w:cs="Arial"/>
          <w:b/>
          <w:sz w:val="22"/>
        </w:rPr>
      </w:pPr>
      <w:r>
        <w:rPr>
          <w:rFonts w:ascii="Arial" w:eastAsia="Calibri" w:hAnsi="Arial" w:cs="Arial"/>
          <w:b/>
          <w:sz w:val="22"/>
        </w:rPr>
        <w:t xml:space="preserve">  </w:t>
      </w:r>
      <w:r w:rsidR="00906714" w:rsidRPr="00553DEA">
        <w:rPr>
          <w:rFonts w:ascii="Arial" w:eastAsia="Calibri" w:hAnsi="Arial" w:cs="Arial"/>
          <w:b/>
          <w:sz w:val="22"/>
        </w:rPr>
        <w:t>Concepto C – 819 de 2022</w:t>
      </w:r>
    </w:p>
    <w:p w14:paraId="6EA35273" w14:textId="77777777" w:rsidR="00906714" w:rsidRPr="00553DEA" w:rsidRDefault="00906714" w:rsidP="00553DEA">
      <w:pPr>
        <w:jc w:val="both"/>
        <w:rPr>
          <w:rFonts w:ascii="Arial" w:eastAsia="Calibri" w:hAnsi="Arial" w:cs="Arial"/>
          <w:sz w:val="22"/>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261"/>
        <w:gridCol w:w="5665"/>
      </w:tblGrid>
      <w:tr w:rsidR="00906714" w:rsidRPr="00553DEA" w14:paraId="2C85BE84" w14:textId="77777777" w:rsidTr="00BC59CE">
        <w:tc>
          <w:tcPr>
            <w:tcW w:w="3261" w:type="dxa"/>
            <w:hideMark/>
          </w:tcPr>
          <w:p w14:paraId="0A9EF6D9" w14:textId="77777777" w:rsidR="00906714" w:rsidRPr="00553DEA" w:rsidRDefault="00906714" w:rsidP="00553DEA">
            <w:pPr>
              <w:jc w:val="both"/>
              <w:rPr>
                <w:rFonts w:ascii="Arial" w:eastAsia="Calibri" w:hAnsi="Arial" w:cs="Arial"/>
                <w:sz w:val="22"/>
              </w:rPr>
            </w:pPr>
            <w:r w:rsidRPr="00553DEA">
              <w:rPr>
                <w:rFonts w:ascii="Arial" w:eastAsia="Calibri" w:hAnsi="Arial" w:cs="Arial"/>
                <w:b/>
                <w:sz w:val="22"/>
              </w:rPr>
              <w:t>Temas:</w:t>
            </w:r>
            <w:r w:rsidRPr="00553DEA">
              <w:rPr>
                <w:rFonts w:ascii="Arial" w:eastAsia="Calibri" w:hAnsi="Arial" w:cs="Arial"/>
                <w:sz w:val="22"/>
              </w:rPr>
              <w:t xml:space="preserve">           </w:t>
            </w:r>
          </w:p>
          <w:p w14:paraId="0F709A0F" w14:textId="77777777" w:rsidR="00906714" w:rsidRPr="00553DEA" w:rsidRDefault="00906714" w:rsidP="00553DEA">
            <w:pPr>
              <w:jc w:val="both"/>
              <w:rPr>
                <w:rFonts w:ascii="Arial" w:eastAsia="Calibri" w:hAnsi="Arial" w:cs="Arial"/>
                <w:sz w:val="22"/>
              </w:rPr>
            </w:pPr>
            <w:r w:rsidRPr="00553DEA">
              <w:rPr>
                <w:rFonts w:ascii="Arial" w:eastAsia="Calibri" w:hAnsi="Arial" w:cs="Arial"/>
                <w:sz w:val="22"/>
              </w:rPr>
              <w:t xml:space="preserve">                           </w:t>
            </w:r>
          </w:p>
        </w:tc>
        <w:tc>
          <w:tcPr>
            <w:tcW w:w="5665" w:type="dxa"/>
            <w:hideMark/>
          </w:tcPr>
          <w:p w14:paraId="6DD2DFE7" w14:textId="49F52FD5" w:rsidR="00906714" w:rsidRPr="00553DEA" w:rsidRDefault="00906714" w:rsidP="00553DEA">
            <w:pPr>
              <w:jc w:val="both"/>
              <w:rPr>
                <w:rFonts w:ascii="Arial" w:eastAsia="Calibri" w:hAnsi="Arial" w:cs="Arial"/>
                <w:bCs/>
                <w:sz w:val="22"/>
              </w:rPr>
            </w:pPr>
            <w:r w:rsidRPr="00553DEA">
              <w:rPr>
                <w:rFonts w:ascii="Arial" w:eastAsia="Calibri" w:hAnsi="Arial" w:cs="Arial"/>
                <w:bCs/>
                <w:sz w:val="22"/>
              </w:rPr>
              <w:t xml:space="preserve">OFERENTES EXTRANJEROS – Acreditación experiencia en el extranjero – Requisitos habilitantes y de calificación – </w:t>
            </w:r>
            <w:r w:rsidR="00553DEA" w:rsidRPr="00553DEA">
              <w:rPr>
                <w:rFonts w:ascii="Arial" w:eastAsia="Calibri" w:hAnsi="Arial" w:cs="Arial"/>
                <w:bCs/>
                <w:sz w:val="22"/>
              </w:rPr>
              <w:t>Apostilla</w:t>
            </w:r>
            <w:r w:rsidRPr="00553DEA">
              <w:rPr>
                <w:rFonts w:ascii="Arial" w:eastAsia="Calibri" w:hAnsi="Arial" w:cs="Arial"/>
                <w:bCs/>
                <w:sz w:val="22"/>
              </w:rPr>
              <w:t xml:space="preserve">– Documentos en idioma extranjero </w:t>
            </w:r>
          </w:p>
          <w:p w14:paraId="4DE4926F" w14:textId="77777777" w:rsidR="00906714" w:rsidRPr="00553DEA" w:rsidRDefault="00906714" w:rsidP="00553DEA">
            <w:pPr>
              <w:jc w:val="both"/>
              <w:rPr>
                <w:rFonts w:ascii="Arial" w:eastAsia="Calibri" w:hAnsi="Arial" w:cs="Arial"/>
                <w:b/>
                <w:sz w:val="22"/>
              </w:rPr>
            </w:pPr>
          </w:p>
          <w:p w14:paraId="54D28D5B" w14:textId="77777777" w:rsidR="00906714" w:rsidRPr="00553DEA" w:rsidRDefault="00906714" w:rsidP="00553DEA">
            <w:pPr>
              <w:jc w:val="both"/>
              <w:rPr>
                <w:rFonts w:ascii="Arial" w:eastAsia="Calibri" w:hAnsi="Arial" w:cs="Arial"/>
                <w:sz w:val="22"/>
              </w:rPr>
            </w:pPr>
          </w:p>
        </w:tc>
      </w:tr>
      <w:tr w:rsidR="00906714" w:rsidRPr="00553DEA" w14:paraId="5ABF8069" w14:textId="77777777" w:rsidTr="00BC59CE">
        <w:tc>
          <w:tcPr>
            <w:tcW w:w="3261" w:type="dxa"/>
          </w:tcPr>
          <w:p w14:paraId="21EA9B5B" w14:textId="77777777" w:rsidR="00906714" w:rsidRPr="00553DEA" w:rsidRDefault="00906714" w:rsidP="00553DEA">
            <w:pPr>
              <w:jc w:val="both"/>
              <w:rPr>
                <w:rFonts w:ascii="Arial" w:eastAsia="Calibri" w:hAnsi="Arial" w:cs="Arial"/>
                <w:b/>
                <w:sz w:val="22"/>
              </w:rPr>
            </w:pPr>
            <w:r w:rsidRPr="00553DEA">
              <w:rPr>
                <w:rFonts w:ascii="Arial" w:eastAsia="Calibri" w:hAnsi="Arial" w:cs="Arial"/>
                <w:b/>
                <w:sz w:val="22"/>
              </w:rPr>
              <w:t>Radicación:</w:t>
            </w:r>
            <w:r w:rsidRPr="00553DEA">
              <w:rPr>
                <w:rFonts w:ascii="Arial" w:eastAsia="Calibri" w:hAnsi="Arial" w:cs="Arial"/>
                <w:sz w:val="22"/>
              </w:rPr>
              <w:t xml:space="preserve">                              </w:t>
            </w:r>
          </w:p>
        </w:tc>
        <w:tc>
          <w:tcPr>
            <w:tcW w:w="5665" w:type="dxa"/>
          </w:tcPr>
          <w:p w14:paraId="4056BDE3" w14:textId="77777777" w:rsidR="00906714" w:rsidRPr="00553DEA" w:rsidRDefault="00906714" w:rsidP="00553DEA">
            <w:pPr>
              <w:jc w:val="both"/>
              <w:rPr>
                <w:rFonts w:ascii="Arial" w:eastAsia="Calibri" w:hAnsi="Arial" w:cs="Arial"/>
                <w:sz w:val="22"/>
              </w:rPr>
            </w:pPr>
            <w:r w:rsidRPr="00553DEA">
              <w:rPr>
                <w:rFonts w:ascii="Arial" w:eastAsia="Calibri" w:hAnsi="Arial" w:cs="Arial"/>
                <w:sz w:val="22"/>
              </w:rPr>
              <w:t>Respuesta a consulta P20221013010352</w:t>
            </w:r>
          </w:p>
        </w:tc>
      </w:tr>
      <w:tr w:rsidR="00906714" w:rsidRPr="00553DEA" w14:paraId="3B7CFD8B" w14:textId="77777777" w:rsidTr="00BC59CE">
        <w:tc>
          <w:tcPr>
            <w:tcW w:w="3261" w:type="dxa"/>
          </w:tcPr>
          <w:p w14:paraId="7FAE18E7" w14:textId="77777777" w:rsidR="00906714" w:rsidRPr="00553DEA" w:rsidRDefault="00906714" w:rsidP="00553DEA">
            <w:pPr>
              <w:jc w:val="both"/>
              <w:rPr>
                <w:rFonts w:ascii="Arial" w:eastAsia="Calibri" w:hAnsi="Arial" w:cs="Arial"/>
                <w:b/>
                <w:sz w:val="22"/>
              </w:rPr>
            </w:pPr>
          </w:p>
        </w:tc>
        <w:tc>
          <w:tcPr>
            <w:tcW w:w="5665" w:type="dxa"/>
          </w:tcPr>
          <w:p w14:paraId="54FE512D" w14:textId="77777777" w:rsidR="00906714" w:rsidRPr="00553DEA" w:rsidRDefault="00906714" w:rsidP="00553DEA">
            <w:pPr>
              <w:jc w:val="both"/>
              <w:rPr>
                <w:rFonts w:ascii="Arial" w:eastAsia="Calibri" w:hAnsi="Arial" w:cs="Arial"/>
                <w:sz w:val="22"/>
              </w:rPr>
            </w:pPr>
          </w:p>
        </w:tc>
      </w:tr>
    </w:tbl>
    <w:p w14:paraId="4517A14D" w14:textId="77777777" w:rsidR="00906714" w:rsidRPr="00553DEA" w:rsidRDefault="00906714" w:rsidP="00553DEA">
      <w:pPr>
        <w:jc w:val="both"/>
        <w:rPr>
          <w:rFonts w:ascii="Arial" w:eastAsia="Calibri" w:hAnsi="Arial" w:cs="Arial"/>
          <w:sz w:val="22"/>
        </w:rPr>
      </w:pPr>
      <w:r w:rsidRPr="00553DEA">
        <w:rPr>
          <w:rFonts w:ascii="Arial" w:eastAsia="Calibri" w:hAnsi="Arial" w:cs="Arial"/>
          <w:sz w:val="22"/>
        </w:rPr>
        <w:t>Estimada señora Andrea:</w:t>
      </w:r>
    </w:p>
    <w:p w14:paraId="3693DEB7" w14:textId="77777777" w:rsidR="00906714" w:rsidRPr="00553DEA" w:rsidRDefault="00906714" w:rsidP="00553DEA">
      <w:pPr>
        <w:jc w:val="both"/>
        <w:rPr>
          <w:rFonts w:ascii="Arial" w:eastAsia="Calibri" w:hAnsi="Arial" w:cs="Arial"/>
          <w:sz w:val="22"/>
        </w:rPr>
      </w:pPr>
    </w:p>
    <w:p w14:paraId="61D3E0DB" w14:textId="77777777" w:rsidR="00906714" w:rsidRPr="00553DEA" w:rsidRDefault="00906714" w:rsidP="00BC59CE">
      <w:pPr>
        <w:spacing w:line="276" w:lineRule="auto"/>
        <w:jc w:val="both"/>
        <w:rPr>
          <w:rFonts w:ascii="Arial" w:eastAsia="Calibri" w:hAnsi="Arial" w:cs="Arial"/>
          <w:sz w:val="22"/>
        </w:rPr>
      </w:pPr>
      <w:r w:rsidRPr="00553DEA">
        <w:rPr>
          <w:rFonts w:ascii="Arial" w:eastAsia="Calibri" w:hAnsi="Arial" w:cs="Arial"/>
          <w:sz w:val="22"/>
        </w:rPr>
        <w:t xml:space="preserve">En ejercicio de la competencia otorgada por los artículos 11, numeral 8º, y 3º, numeral 5º, del Decreto Ley 4170 de 2011, la Agencia Nacional de Contratación Pública − Colombia Compra Eficiente responde su consulta del 13 de octubre de 2022. </w:t>
      </w:r>
    </w:p>
    <w:p w14:paraId="18660B40" w14:textId="77777777" w:rsidR="00906714" w:rsidRPr="00553DEA" w:rsidRDefault="00906714" w:rsidP="00553DEA">
      <w:pPr>
        <w:jc w:val="both"/>
        <w:rPr>
          <w:rFonts w:ascii="Arial" w:eastAsia="Calibri" w:hAnsi="Arial" w:cs="Arial"/>
          <w:sz w:val="22"/>
        </w:rPr>
      </w:pPr>
    </w:p>
    <w:p w14:paraId="1DCA59FD" w14:textId="77777777" w:rsidR="00906714" w:rsidRPr="00553DEA" w:rsidRDefault="00906714" w:rsidP="00553DEA">
      <w:pPr>
        <w:pStyle w:val="Prrafodelista"/>
        <w:numPr>
          <w:ilvl w:val="0"/>
          <w:numId w:val="8"/>
        </w:numPr>
        <w:spacing w:line="276" w:lineRule="auto"/>
        <w:jc w:val="both"/>
        <w:rPr>
          <w:rFonts w:ascii="Arial" w:eastAsia="Calibri" w:hAnsi="Arial" w:cs="Arial"/>
          <w:b/>
          <w:sz w:val="22"/>
        </w:rPr>
      </w:pPr>
      <w:r w:rsidRPr="00553DEA">
        <w:rPr>
          <w:rFonts w:ascii="Arial" w:eastAsia="Calibri" w:hAnsi="Arial" w:cs="Arial"/>
          <w:b/>
          <w:sz w:val="22"/>
        </w:rPr>
        <w:t xml:space="preserve">Problemas planteados </w:t>
      </w:r>
    </w:p>
    <w:p w14:paraId="76EAFA2D" w14:textId="77777777" w:rsidR="00906714" w:rsidRPr="00553DEA" w:rsidRDefault="00906714" w:rsidP="00553DEA">
      <w:pPr>
        <w:jc w:val="both"/>
        <w:rPr>
          <w:rFonts w:ascii="Arial" w:eastAsia="Calibri" w:hAnsi="Arial" w:cs="Arial"/>
          <w:b/>
          <w:sz w:val="22"/>
        </w:rPr>
      </w:pPr>
    </w:p>
    <w:p w14:paraId="2F8C8430" w14:textId="4B3D13A2" w:rsidR="00906714" w:rsidRPr="00553DEA" w:rsidRDefault="00906714" w:rsidP="00553DEA">
      <w:pPr>
        <w:ind w:left="709" w:right="709"/>
        <w:jc w:val="both"/>
        <w:rPr>
          <w:rFonts w:ascii="Arial" w:eastAsia="Calibri" w:hAnsi="Arial" w:cs="Arial"/>
          <w:sz w:val="21"/>
          <w:szCs w:val="21"/>
        </w:rPr>
      </w:pPr>
      <w:r w:rsidRPr="00553DEA">
        <w:rPr>
          <w:rFonts w:ascii="Arial" w:eastAsia="Calibri" w:hAnsi="Arial" w:cs="Arial"/>
          <w:sz w:val="21"/>
          <w:szCs w:val="21"/>
        </w:rPr>
        <w:t>«[…]</w:t>
      </w:r>
      <w:r w:rsidRPr="00553DEA">
        <w:rPr>
          <w:rFonts w:ascii="Arial" w:eastAsia="Arial" w:hAnsi="Arial" w:cs="Arial"/>
          <w:sz w:val="21"/>
          <w:szCs w:val="21"/>
          <w:lang w:val="es-ES"/>
        </w:rPr>
        <w:t xml:space="preserve"> </w:t>
      </w:r>
      <w:r w:rsidRPr="00553DEA">
        <w:rPr>
          <w:rFonts w:ascii="Arial" w:eastAsia="Calibri" w:hAnsi="Arial" w:cs="Arial"/>
          <w:sz w:val="21"/>
          <w:szCs w:val="21"/>
          <w:lang w:val="es-ES"/>
        </w:rPr>
        <w:t xml:space="preserve">Solicitamos que por favor se aclare si es posible acreditar la experiencia en licitaciones públicas a través de contratos ejecutados en el extranjero tanto para entidades estatales, como para </w:t>
      </w:r>
      <w:proofErr w:type="spellStart"/>
      <w:r w:rsidRPr="00553DEA">
        <w:rPr>
          <w:rFonts w:ascii="Arial" w:eastAsia="Calibri" w:hAnsi="Arial" w:cs="Arial"/>
          <w:sz w:val="21"/>
          <w:szCs w:val="21"/>
          <w:lang w:val="es-ES"/>
        </w:rPr>
        <w:t>compaías</w:t>
      </w:r>
      <w:proofErr w:type="spellEnd"/>
      <w:r w:rsidR="00C742F6">
        <w:rPr>
          <w:rFonts w:ascii="Arial" w:eastAsia="Calibri" w:hAnsi="Arial" w:cs="Arial"/>
          <w:sz w:val="21"/>
          <w:szCs w:val="21"/>
          <w:lang w:val="es-ES"/>
        </w:rPr>
        <w:t xml:space="preserve"> </w:t>
      </w:r>
      <w:r w:rsidR="00C742F6" w:rsidRPr="00C742F6">
        <w:rPr>
          <w:rFonts w:ascii="Arial" w:eastAsia="Calibri" w:hAnsi="Arial" w:cs="Arial"/>
          <w:sz w:val="21"/>
          <w:szCs w:val="21"/>
          <w:lang w:val="es-ES"/>
        </w:rPr>
        <w:t>(sic)</w:t>
      </w:r>
      <w:r w:rsidRPr="00553DEA">
        <w:rPr>
          <w:rFonts w:ascii="Arial" w:eastAsia="Calibri" w:hAnsi="Arial" w:cs="Arial"/>
          <w:sz w:val="21"/>
          <w:szCs w:val="21"/>
          <w:lang w:val="es-ES"/>
        </w:rPr>
        <w:t xml:space="preserve"> privadas del país donde se ejecutó el contrato.</w:t>
      </w:r>
      <w:r w:rsidRPr="00553DEA">
        <w:rPr>
          <w:rFonts w:ascii="Arial" w:eastAsia="Calibri" w:hAnsi="Arial" w:cs="Arial"/>
          <w:sz w:val="21"/>
          <w:szCs w:val="21"/>
        </w:rPr>
        <w:t xml:space="preserve"> […]»</w:t>
      </w:r>
      <w:r w:rsidR="00553DEA">
        <w:rPr>
          <w:rFonts w:ascii="Arial" w:eastAsia="Calibri" w:hAnsi="Arial" w:cs="Arial"/>
          <w:sz w:val="21"/>
          <w:szCs w:val="21"/>
        </w:rPr>
        <w:t xml:space="preserve"> </w:t>
      </w:r>
    </w:p>
    <w:p w14:paraId="3CB7F862" w14:textId="77777777" w:rsidR="00906714" w:rsidRPr="00553DEA" w:rsidRDefault="00906714" w:rsidP="00553DEA">
      <w:pPr>
        <w:jc w:val="both"/>
        <w:rPr>
          <w:rFonts w:ascii="Arial" w:eastAsia="Calibri" w:hAnsi="Arial" w:cs="Arial"/>
          <w:sz w:val="22"/>
        </w:rPr>
      </w:pPr>
    </w:p>
    <w:p w14:paraId="78C0A45C" w14:textId="77777777" w:rsidR="00906714" w:rsidRPr="00553DEA" w:rsidRDefault="00906714" w:rsidP="00553DEA">
      <w:pPr>
        <w:pStyle w:val="Prrafodelista"/>
        <w:numPr>
          <w:ilvl w:val="0"/>
          <w:numId w:val="8"/>
        </w:numPr>
        <w:jc w:val="both"/>
        <w:rPr>
          <w:rFonts w:ascii="Arial" w:eastAsia="Calibri" w:hAnsi="Arial" w:cs="Arial"/>
          <w:b/>
          <w:sz w:val="22"/>
        </w:rPr>
      </w:pPr>
      <w:r w:rsidRPr="00553DEA">
        <w:rPr>
          <w:rFonts w:ascii="Arial" w:eastAsia="Calibri" w:hAnsi="Arial" w:cs="Arial"/>
          <w:b/>
          <w:sz w:val="22"/>
        </w:rPr>
        <w:t>Consideraciones</w:t>
      </w:r>
    </w:p>
    <w:p w14:paraId="116E58AF" w14:textId="77777777" w:rsidR="00906714" w:rsidRPr="00553DEA" w:rsidRDefault="00906714" w:rsidP="00553DEA">
      <w:pPr>
        <w:jc w:val="both"/>
        <w:rPr>
          <w:rFonts w:ascii="Arial" w:eastAsia="Calibri" w:hAnsi="Arial" w:cs="Arial"/>
          <w:sz w:val="22"/>
        </w:rPr>
      </w:pPr>
    </w:p>
    <w:p w14:paraId="09AF4F33" w14:textId="77ADF806" w:rsidR="009A44ED" w:rsidRPr="009A44ED" w:rsidRDefault="00906714" w:rsidP="00BC59CE">
      <w:pPr>
        <w:spacing w:line="276" w:lineRule="auto"/>
        <w:jc w:val="both"/>
        <w:rPr>
          <w:rFonts w:ascii="Arial" w:eastAsia="Calibri" w:hAnsi="Arial" w:cs="Arial"/>
          <w:iCs/>
          <w:sz w:val="22"/>
          <w:lang w:val="es-ES_tradnl" w:eastAsia="es-ES_tradnl"/>
        </w:rPr>
      </w:pPr>
      <w:r w:rsidRPr="009A44ED">
        <w:rPr>
          <w:rFonts w:ascii="Arial" w:eastAsia="Calibri" w:hAnsi="Arial" w:cs="Arial"/>
          <w:sz w:val="22"/>
        </w:rPr>
        <w:t xml:space="preserve">Para responder las preguntas planteadas se analizarán </w:t>
      </w:r>
      <w:r w:rsidR="009A44ED" w:rsidRPr="009A44ED">
        <w:rPr>
          <w:rFonts w:ascii="Arial" w:eastAsia="Calibri" w:hAnsi="Arial" w:cs="Arial"/>
          <w:sz w:val="22"/>
          <w:lang w:eastAsia="es-ES_tradnl"/>
        </w:rPr>
        <w:t>los siguientes temas: i</w:t>
      </w:r>
      <w:r w:rsidR="009A44ED" w:rsidRPr="009A44ED">
        <w:rPr>
          <w:rFonts w:ascii="Arial" w:eastAsia="Calibri" w:hAnsi="Arial" w:cs="Arial"/>
          <w:iCs/>
          <w:sz w:val="22"/>
          <w:lang w:val="es-ES_tradnl" w:eastAsia="es-ES_tradnl"/>
        </w:rPr>
        <w:t xml:space="preserve">) consideraciones generales sobre los requisitos </w:t>
      </w:r>
      <w:r w:rsidR="009A44ED">
        <w:rPr>
          <w:rFonts w:ascii="Arial" w:eastAsia="Calibri" w:hAnsi="Arial" w:cs="Arial"/>
          <w:sz w:val="22"/>
          <w:lang w:val="es-ES" w:eastAsia="es-ES_tradnl"/>
        </w:rPr>
        <w:t xml:space="preserve">habilitantes; </w:t>
      </w:r>
      <w:proofErr w:type="spellStart"/>
      <w:r w:rsidR="009A44ED">
        <w:rPr>
          <w:rFonts w:ascii="Arial" w:eastAsia="Calibri" w:hAnsi="Arial" w:cs="Arial"/>
          <w:sz w:val="22"/>
          <w:lang w:val="es-ES" w:eastAsia="es-ES_tradnl"/>
        </w:rPr>
        <w:t>ii</w:t>
      </w:r>
      <w:proofErr w:type="spellEnd"/>
      <w:r w:rsidR="009A44ED">
        <w:rPr>
          <w:rFonts w:ascii="Arial" w:eastAsia="Calibri" w:hAnsi="Arial" w:cs="Arial"/>
          <w:sz w:val="22"/>
          <w:lang w:val="es-ES" w:eastAsia="es-ES_tradnl"/>
        </w:rPr>
        <w:t xml:space="preserve">) </w:t>
      </w:r>
      <w:r w:rsidR="009A44ED" w:rsidRPr="009A44ED">
        <w:rPr>
          <w:rFonts w:ascii="Arial" w:eastAsia="Calibri" w:hAnsi="Arial" w:cs="Arial"/>
          <w:iCs/>
          <w:sz w:val="22"/>
          <w:lang w:val="es-ES_tradnl" w:eastAsia="es-ES_tradnl"/>
        </w:rPr>
        <w:t xml:space="preserve">consideraciones generales sobre los requisitos </w:t>
      </w:r>
      <w:r w:rsidR="009A44ED" w:rsidRPr="009A44ED">
        <w:rPr>
          <w:rFonts w:ascii="Arial" w:eastAsia="Calibri" w:hAnsi="Arial" w:cs="Arial"/>
          <w:sz w:val="22"/>
          <w:lang w:val="es-ES" w:eastAsia="es-ES_tradnl"/>
        </w:rPr>
        <w:t>de calificación</w:t>
      </w:r>
      <w:r w:rsidR="009A44ED" w:rsidRPr="009A44ED">
        <w:rPr>
          <w:rFonts w:ascii="Arial" w:hAnsi="Arial" w:cs="Arial"/>
          <w:sz w:val="22"/>
          <w:lang w:val="es-ES"/>
        </w:rPr>
        <w:t xml:space="preserve">; </w:t>
      </w:r>
      <w:r w:rsidR="009A44ED">
        <w:rPr>
          <w:rFonts w:ascii="Arial" w:hAnsi="Arial" w:cs="Arial"/>
          <w:sz w:val="22"/>
          <w:lang w:val="es-ES"/>
        </w:rPr>
        <w:t xml:space="preserve">y, </w:t>
      </w:r>
      <w:proofErr w:type="spellStart"/>
      <w:r w:rsidR="009A44ED">
        <w:rPr>
          <w:rFonts w:ascii="Arial" w:hAnsi="Arial" w:cs="Arial"/>
          <w:sz w:val="22"/>
          <w:lang w:val="es-ES"/>
        </w:rPr>
        <w:t>iii</w:t>
      </w:r>
      <w:proofErr w:type="spellEnd"/>
      <w:r w:rsidR="009A44ED" w:rsidRPr="009A44ED">
        <w:rPr>
          <w:rFonts w:ascii="Arial" w:hAnsi="Arial" w:cs="Arial"/>
          <w:sz w:val="22"/>
          <w:lang w:val="es-ES"/>
        </w:rPr>
        <w:t xml:space="preserve">) </w:t>
      </w:r>
      <w:r w:rsidR="009A44ED" w:rsidRPr="009A44ED">
        <w:rPr>
          <w:rFonts w:ascii="Arial" w:eastAsia="Calibri" w:hAnsi="Arial" w:cs="Arial"/>
          <w:sz w:val="22"/>
          <w:lang w:val="es-ES" w:eastAsia="es-ES_tradnl"/>
        </w:rPr>
        <w:t>apostilla o legalización de documentos</w:t>
      </w:r>
      <w:r w:rsidR="009A44ED" w:rsidRPr="009A44ED">
        <w:rPr>
          <w:rFonts w:ascii="Arial" w:hAnsi="Arial" w:cs="Arial"/>
          <w:sz w:val="22"/>
          <w:lang w:val="es-ES"/>
        </w:rPr>
        <w:t xml:space="preserve"> y documentos en idioma extranjero.</w:t>
      </w:r>
    </w:p>
    <w:p w14:paraId="514CDD68" w14:textId="257E00AA" w:rsidR="00906714" w:rsidRPr="00553DEA" w:rsidRDefault="00906714" w:rsidP="00BC59CE">
      <w:pPr>
        <w:spacing w:line="276" w:lineRule="auto"/>
        <w:jc w:val="both"/>
        <w:rPr>
          <w:rFonts w:ascii="Arial" w:eastAsia="Calibri" w:hAnsi="Arial" w:cs="Arial"/>
          <w:sz w:val="22"/>
        </w:rPr>
      </w:pPr>
    </w:p>
    <w:p w14:paraId="25F3CC3C" w14:textId="17BEE8A3" w:rsidR="00906714" w:rsidRPr="00553DEA" w:rsidRDefault="00906714" w:rsidP="00BC59CE">
      <w:pPr>
        <w:spacing w:line="276" w:lineRule="auto"/>
        <w:jc w:val="both"/>
        <w:rPr>
          <w:rFonts w:ascii="Arial" w:eastAsia="Calibri" w:hAnsi="Arial" w:cs="Arial"/>
          <w:sz w:val="22"/>
        </w:rPr>
      </w:pPr>
      <w:r w:rsidRPr="00553DEA">
        <w:rPr>
          <w:rFonts w:ascii="Arial" w:eastAsia="Calibri" w:hAnsi="Arial" w:cs="Arial"/>
          <w:sz w:val="22"/>
        </w:rPr>
        <w:tab/>
        <w:t xml:space="preserve">La Agencia Nacional de Contratación Pública − Colombia Compra Eficiente se ha pronunciado sobre lo previsto en la Circular Externa Única expedida por esta Agencia y la Ley 455 de 1998 para apostillar y legalizar documentos expedidos en el exterior, y </w:t>
      </w:r>
      <w:r w:rsidRPr="00553DEA">
        <w:rPr>
          <w:rFonts w:ascii="Arial" w:eastAsia="Calibri" w:hAnsi="Arial" w:cs="Arial"/>
          <w:sz w:val="22"/>
          <w:lang w:val="es-ES_tradnl"/>
        </w:rPr>
        <w:t>en los conceptos con radicado: 2201913000007348 del 3 de octubre de 2019, C–164 del 14 de abril de 2020, C-261 del 15 de abril de 2020, C-304 del 21 de mayo de 2020, C-324 del 17 de marzo de 2020, C-441 del 24 de julio de 2020</w:t>
      </w:r>
      <w:r w:rsidR="00553DEA">
        <w:rPr>
          <w:rFonts w:ascii="Arial" w:eastAsia="Calibri" w:hAnsi="Arial" w:cs="Arial"/>
          <w:sz w:val="22"/>
          <w:lang w:val="es-ES_tradnl"/>
        </w:rPr>
        <w:t>,</w:t>
      </w:r>
      <w:r w:rsidRPr="00553DEA">
        <w:rPr>
          <w:rFonts w:ascii="Arial" w:eastAsia="Calibri" w:hAnsi="Arial" w:cs="Arial"/>
          <w:sz w:val="22"/>
          <w:lang w:val="es-ES_tradnl"/>
        </w:rPr>
        <w:t xml:space="preserve"> C-532 del 28 de septiembre de 2021</w:t>
      </w:r>
      <w:r w:rsidR="00553DEA">
        <w:rPr>
          <w:rFonts w:ascii="Arial" w:eastAsia="Calibri" w:hAnsi="Arial" w:cs="Arial"/>
          <w:sz w:val="22"/>
          <w:lang w:val="es-ES_tradnl"/>
        </w:rPr>
        <w:t xml:space="preserve"> y C-855 del 12 de diciembre de 2022</w:t>
      </w:r>
      <w:r w:rsidRPr="00553DEA">
        <w:rPr>
          <w:rFonts w:ascii="Arial" w:eastAsia="Calibri" w:hAnsi="Arial" w:cs="Arial"/>
          <w:sz w:val="22"/>
          <w:lang w:val="es-ES_tradnl"/>
        </w:rPr>
        <w:t xml:space="preserve">. </w:t>
      </w:r>
      <w:r w:rsidRPr="00553DEA">
        <w:rPr>
          <w:rFonts w:ascii="Arial" w:eastAsia="Calibri" w:hAnsi="Arial" w:cs="Arial"/>
          <w:sz w:val="22"/>
        </w:rPr>
        <w:t>La tesis propuesta en estos conceptos se reitera y amplía a continuación.</w:t>
      </w:r>
    </w:p>
    <w:p w14:paraId="14EEE82D" w14:textId="77777777" w:rsidR="00906714" w:rsidRPr="00553DEA" w:rsidRDefault="00906714" w:rsidP="00BC59CE">
      <w:pPr>
        <w:spacing w:line="276" w:lineRule="auto"/>
        <w:jc w:val="both"/>
        <w:rPr>
          <w:rFonts w:ascii="Arial" w:eastAsia="Calibri" w:hAnsi="Arial" w:cs="Arial"/>
          <w:sz w:val="22"/>
        </w:rPr>
      </w:pPr>
    </w:p>
    <w:p w14:paraId="2C4DB9AD" w14:textId="77777777" w:rsidR="00906714" w:rsidRPr="00553DEA" w:rsidRDefault="00906714" w:rsidP="00BC59CE">
      <w:pPr>
        <w:pStyle w:val="Prrafodelista"/>
        <w:numPr>
          <w:ilvl w:val="1"/>
          <w:numId w:val="8"/>
        </w:numPr>
        <w:spacing w:line="276" w:lineRule="auto"/>
        <w:jc w:val="both"/>
        <w:rPr>
          <w:rFonts w:ascii="Arial" w:eastAsia="Calibri" w:hAnsi="Arial" w:cs="Arial"/>
          <w:b/>
          <w:bCs/>
          <w:iCs/>
          <w:sz w:val="22"/>
          <w:lang w:val="es-ES_tradnl"/>
        </w:rPr>
      </w:pPr>
      <w:r w:rsidRPr="00553DEA">
        <w:rPr>
          <w:rFonts w:ascii="Arial" w:eastAsia="Calibri" w:hAnsi="Arial" w:cs="Arial"/>
          <w:b/>
          <w:bCs/>
          <w:iCs/>
          <w:sz w:val="22"/>
          <w:lang w:val="es-ES_tradnl"/>
        </w:rPr>
        <w:lastRenderedPageBreak/>
        <w:t>Consideraciones generales sobre los requisitos habilitantes</w:t>
      </w:r>
    </w:p>
    <w:p w14:paraId="3CD8E595" w14:textId="77777777" w:rsidR="00906714" w:rsidRPr="00553DEA" w:rsidRDefault="00906714" w:rsidP="00BC59CE">
      <w:pPr>
        <w:pStyle w:val="Prrafodelista"/>
        <w:spacing w:line="276" w:lineRule="auto"/>
        <w:ind w:left="740"/>
        <w:jc w:val="both"/>
        <w:rPr>
          <w:rFonts w:ascii="Arial" w:eastAsia="Calibri" w:hAnsi="Arial" w:cs="Arial"/>
          <w:b/>
          <w:bCs/>
          <w:iCs/>
          <w:sz w:val="22"/>
          <w:lang w:val="es-ES_tradnl"/>
        </w:rPr>
      </w:pPr>
    </w:p>
    <w:p w14:paraId="67EC66C2" w14:textId="77777777" w:rsidR="00906714" w:rsidRPr="00553DEA" w:rsidRDefault="00906714" w:rsidP="00BC59CE">
      <w:pPr>
        <w:spacing w:line="276" w:lineRule="auto"/>
        <w:ind w:firstLine="708"/>
        <w:jc w:val="both"/>
        <w:rPr>
          <w:rFonts w:ascii="Arial" w:eastAsia="Calibri" w:hAnsi="Arial" w:cs="Arial"/>
          <w:sz w:val="22"/>
          <w:lang w:val="es-ES"/>
        </w:rPr>
      </w:pPr>
      <w:r w:rsidRPr="00553DEA">
        <w:rPr>
          <w:rFonts w:ascii="Arial" w:eastAsia="Calibri" w:hAnsi="Arial" w:cs="Arial"/>
          <w:sz w:val="22"/>
          <w:lang w:val="es-ES"/>
        </w:rPr>
        <w:t xml:space="preserve">La Agencia Nacional de Contratación Pública – Colombia Compra Eficiente en el Manual para determinar y verificar los requisitos habilitantes en los Procesos de Contratación, precisó que estos tienen como fin primordial medir </w:t>
      </w:r>
      <w:r w:rsidRPr="00553DEA">
        <w:rPr>
          <w:rFonts w:ascii="Arial" w:eastAsia="Calibri" w:hAnsi="Arial" w:cs="Arial"/>
          <w:sz w:val="22"/>
        </w:rPr>
        <w:t>«</w:t>
      </w:r>
      <w:r w:rsidRPr="00553DEA">
        <w:rPr>
          <w:rFonts w:ascii="Arial" w:eastAsia="Calibri" w:hAnsi="Arial" w:cs="Arial"/>
          <w:sz w:val="22"/>
          <w:lang w:val="es-ES"/>
        </w:rPr>
        <w:t>la aptitud del proponente para participar en un Proceso de Contratación como oferente y están referidos a su capacidad jurídica, financiera, organizacional y su experiencia</w:t>
      </w:r>
      <w:r w:rsidRPr="00553DEA">
        <w:rPr>
          <w:rFonts w:ascii="Arial" w:eastAsia="Calibri" w:hAnsi="Arial" w:cs="Arial"/>
          <w:sz w:val="22"/>
        </w:rPr>
        <w:t>»</w:t>
      </w:r>
      <w:r w:rsidRPr="00553DEA">
        <w:rPr>
          <w:rFonts w:ascii="Arial" w:eastAsia="Calibri" w:hAnsi="Arial" w:cs="Arial"/>
          <w:sz w:val="22"/>
          <w:lang w:val="es-ES"/>
        </w:rPr>
        <w:t xml:space="preserve">. Su propósito es </w:t>
      </w:r>
      <w:r w:rsidRPr="00553DEA">
        <w:rPr>
          <w:rFonts w:ascii="Arial" w:eastAsia="Calibri" w:hAnsi="Arial" w:cs="Arial"/>
          <w:sz w:val="22"/>
        </w:rPr>
        <w:t>«</w:t>
      </w:r>
      <w:r w:rsidRPr="00553DEA">
        <w:rPr>
          <w:rFonts w:ascii="Arial" w:eastAsia="Calibri" w:hAnsi="Arial" w:cs="Arial"/>
          <w:sz w:val="22"/>
          <w:lang w:val="es-ES"/>
        </w:rPr>
        <w:t>establecer unas condiciones mínimas para los proponentes de tal manera que la Entidad Estatal sólo evalúe las ofertas de aquellos que están en condiciones de cumplir con el objeto del Proceso de Contratación</w:t>
      </w:r>
      <w:r w:rsidRPr="00553DEA">
        <w:rPr>
          <w:rFonts w:ascii="Arial" w:eastAsia="Calibri" w:hAnsi="Arial" w:cs="Arial"/>
          <w:sz w:val="22"/>
        </w:rPr>
        <w:t>»</w:t>
      </w:r>
      <w:r w:rsidRPr="00553DEA">
        <w:rPr>
          <w:rFonts w:ascii="Arial" w:eastAsia="Calibri" w:hAnsi="Arial" w:cs="Arial"/>
          <w:sz w:val="22"/>
          <w:lang w:val="es-ES"/>
        </w:rPr>
        <w:t>.</w:t>
      </w:r>
    </w:p>
    <w:p w14:paraId="732F1450" w14:textId="77777777" w:rsidR="00906714" w:rsidRPr="00553DEA" w:rsidRDefault="00906714" w:rsidP="00BC59CE">
      <w:pPr>
        <w:spacing w:line="276" w:lineRule="auto"/>
        <w:jc w:val="both"/>
        <w:rPr>
          <w:rFonts w:ascii="Arial" w:eastAsia="Calibri" w:hAnsi="Arial" w:cs="Arial"/>
          <w:sz w:val="22"/>
          <w:lang w:val="es-ES"/>
        </w:rPr>
      </w:pPr>
    </w:p>
    <w:p w14:paraId="5EDDFD7C" w14:textId="31C9DB32" w:rsidR="00906714" w:rsidRPr="00553DEA" w:rsidRDefault="00906714" w:rsidP="00BC59CE">
      <w:pPr>
        <w:spacing w:line="276" w:lineRule="auto"/>
        <w:ind w:firstLine="708"/>
        <w:jc w:val="both"/>
        <w:rPr>
          <w:rFonts w:ascii="Arial" w:eastAsia="Calibri" w:hAnsi="Arial" w:cs="Arial"/>
          <w:sz w:val="22"/>
          <w:lang w:val="es-ES"/>
        </w:rPr>
      </w:pPr>
      <w:r w:rsidRPr="00553DEA">
        <w:rPr>
          <w:rFonts w:ascii="Arial" w:eastAsia="Calibri" w:hAnsi="Arial" w:cs="Arial"/>
          <w:sz w:val="22"/>
          <w:lang w:val="es-ES"/>
        </w:rPr>
        <w:t xml:space="preserve">Las entidades estatales, durante la etapa de planeación del contrato, deben estudiar y determinar los requisitos habilitantes que establecerán en los pliegos de condiciones, los cuales deben ser adecuados y </w:t>
      </w:r>
      <w:proofErr w:type="gramStart"/>
      <w:r w:rsidRPr="00553DEA">
        <w:rPr>
          <w:rFonts w:ascii="Arial" w:eastAsia="Calibri" w:hAnsi="Arial" w:cs="Arial"/>
          <w:sz w:val="22"/>
          <w:lang w:val="es-ES"/>
        </w:rPr>
        <w:t>proporcionales</w:t>
      </w:r>
      <w:proofErr w:type="gramEnd"/>
      <w:r w:rsidRPr="00553DEA">
        <w:rPr>
          <w:rFonts w:ascii="Arial" w:eastAsia="Calibri" w:hAnsi="Arial" w:cs="Arial"/>
          <w:sz w:val="22"/>
          <w:lang w:val="es-ES"/>
        </w:rPr>
        <w:t xml:space="preserve"> a la naturaleza, al valor del contrato, a la forma de pago, a los riesgos, al plazo y a la complejidad de la ejecución del objeto, como lo prevén el numeral 1 del artículo 5 de la Ley 1150 de 2007 y el artículo 2.2.1.1.1.6.2 del Decreto 1082 de 2015</w:t>
      </w:r>
      <w:r w:rsidRPr="00553DEA">
        <w:rPr>
          <w:rFonts w:ascii="Arial" w:eastAsia="Calibri" w:hAnsi="Arial" w:cs="Arial"/>
          <w:sz w:val="22"/>
          <w:vertAlign w:val="superscript"/>
          <w:lang w:val="es-ES"/>
        </w:rPr>
        <w:footnoteReference w:id="1"/>
      </w:r>
      <w:r w:rsidRPr="00553DEA">
        <w:rPr>
          <w:rFonts w:ascii="Arial" w:eastAsia="Calibri" w:hAnsi="Arial" w:cs="Arial"/>
          <w:sz w:val="22"/>
          <w:lang w:val="es-ES"/>
        </w:rPr>
        <w:t>.</w:t>
      </w:r>
      <w:r w:rsidR="00BC59CE">
        <w:rPr>
          <w:rFonts w:ascii="Arial" w:eastAsia="Calibri" w:hAnsi="Arial" w:cs="Arial"/>
          <w:sz w:val="22"/>
          <w:lang w:val="es-ES"/>
        </w:rPr>
        <w:t xml:space="preserve"> </w:t>
      </w:r>
      <w:r w:rsidRPr="00553DEA">
        <w:rPr>
          <w:rFonts w:ascii="Arial" w:eastAsia="Calibri" w:hAnsi="Arial" w:cs="Arial"/>
          <w:sz w:val="22"/>
          <w:lang w:val="es-ES"/>
        </w:rPr>
        <w:t>En consecuencia, una vez los requisitos de habilitación son fijados por la entidad estatal, quienes presenten ofertas deben acreditar que los cumplen. En caso contrario, las propuestas deberán rechazarse.</w:t>
      </w:r>
    </w:p>
    <w:p w14:paraId="055278A2" w14:textId="77777777" w:rsidR="00906714" w:rsidRPr="00553DEA" w:rsidRDefault="00906714" w:rsidP="00BC59CE">
      <w:pPr>
        <w:spacing w:line="276" w:lineRule="auto"/>
        <w:jc w:val="both"/>
        <w:rPr>
          <w:rFonts w:ascii="Arial" w:eastAsia="Calibri" w:hAnsi="Arial" w:cs="Arial"/>
          <w:sz w:val="22"/>
          <w:lang w:val="es-ES"/>
        </w:rPr>
      </w:pPr>
    </w:p>
    <w:p w14:paraId="47EA989F" w14:textId="77777777" w:rsidR="00906714" w:rsidRPr="00553DEA" w:rsidRDefault="00906714" w:rsidP="00BC59CE">
      <w:pPr>
        <w:spacing w:line="276" w:lineRule="auto"/>
        <w:ind w:firstLine="708"/>
        <w:jc w:val="both"/>
        <w:rPr>
          <w:rFonts w:ascii="Arial" w:eastAsia="Calibri" w:hAnsi="Arial" w:cs="Arial"/>
          <w:sz w:val="22"/>
          <w:lang w:val="es-ES"/>
        </w:rPr>
      </w:pPr>
      <w:r w:rsidRPr="00553DEA">
        <w:rPr>
          <w:rFonts w:ascii="Arial" w:eastAsia="Calibri" w:hAnsi="Arial" w:cs="Arial"/>
          <w:sz w:val="22"/>
          <w:lang w:val="es-ES"/>
        </w:rPr>
        <w:t>El Registro Único de Proponentes es el instrumento a través del cual los proponentes acreditan la capacidad financiera, jurídica, organizacional y la experiencia, y es plena prueba de las circunstancias que se hagan constar</w:t>
      </w:r>
      <w:r w:rsidRPr="00553DEA">
        <w:rPr>
          <w:rFonts w:ascii="Arial" w:eastAsia="Calibri" w:hAnsi="Arial" w:cs="Arial"/>
          <w:sz w:val="22"/>
          <w:vertAlign w:val="superscript"/>
          <w:lang w:val="es-ES"/>
        </w:rPr>
        <w:footnoteReference w:id="2"/>
      </w:r>
      <w:r w:rsidRPr="00553DEA">
        <w:rPr>
          <w:rFonts w:ascii="Arial" w:eastAsia="Calibri" w:hAnsi="Arial" w:cs="Arial"/>
          <w:sz w:val="22"/>
          <w:lang w:val="es-ES"/>
        </w:rPr>
        <w:t xml:space="preserve">. En efecto, el artículo 6 de la Ley 1150 de 2007 prevé que el cumplimiento de los requisitos habilitantes se demostrará </w:t>
      </w:r>
      <w:r w:rsidRPr="00553DEA">
        <w:rPr>
          <w:rFonts w:ascii="Arial" w:eastAsia="Calibri" w:hAnsi="Arial" w:cs="Arial"/>
          <w:sz w:val="22"/>
        </w:rPr>
        <w:t>«</w:t>
      </w:r>
      <w:r w:rsidRPr="00553DEA">
        <w:rPr>
          <w:rFonts w:ascii="Arial" w:eastAsia="Calibri" w:hAnsi="Arial" w:cs="Arial"/>
          <w:sz w:val="22"/>
          <w:lang w:val="es-ES"/>
        </w:rPr>
        <w:t>exclusivamente con el respectivo certificado del RUP […]</w:t>
      </w:r>
      <w:r w:rsidRPr="00553DEA">
        <w:rPr>
          <w:rFonts w:ascii="Arial" w:eastAsia="Calibri" w:hAnsi="Arial" w:cs="Arial"/>
          <w:sz w:val="22"/>
        </w:rPr>
        <w:t>»</w:t>
      </w:r>
      <w:r w:rsidRPr="00553DEA">
        <w:rPr>
          <w:rFonts w:ascii="Arial" w:eastAsia="Calibri" w:hAnsi="Arial" w:cs="Arial"/>
          <w:sz w:val="22"/>
          <w:lang w:val="es-ES"/>
        </w:rPr>
        <w:t xml:space="preserve">. </w:t>
      </w:r>
    </w:p>
    <w:p w14:paraId="0DEDE754" w14:textId="77777777" w:rsidR="00906714" w:rsidRPr="00553DEA" w:rsidRDefault="00906714" w:rsidP="00BC59CE">
      <w:pPr>
        <w:spacing w:line="276" w:lineRule="auto"/>
        <w:jc w:val="both"/>
        <w:rPr>
          <w:rFonts w:ascii="Arial" w:eastAsia="Calibri" w:hAnsi="Arial" w:cs="Arial"/>
          <w:sz w:val="22"/>
          <w:lang w:val="es-ES"/>
        </w:rPr>
      </w:pPr>
    </w:p>
    <w:p w14:paraId="7AD033A4" w14:textId="77777777" w:rsidR="00906714" w:rsidRPr="00553DEA" w:rsidRDefault="00906714" w:rsidP="00BC59CE">
      <w:pPr>
        <w:spacing w:line="276" w:lineRule="auto"/>
        <w:ind w:firstLine="708"/>
        <w:jc w:val="both"/>
        <w:rPr>
          <w:rFonts w:ascii="Arial" w:eastAsia="Calibri" w:hAnsi="Arial" w:cs="Arial"/>
          <w:sz w:val="22"/>
          <w:lang w:val="es-ES"/>
        </w:rPr>
      </w:pPr>
      <w:r w:rsidRPr="00553DEA">
        <w:rPr>
          <w:rFonts w:ascii="Arial" w:eastAsia="Calibri" w:hAnsi="Arial" w:cs="Arial"/>
          <w:sz w:val="22"/>
          <w:lang w:val="es-ES"/>
        </w:rPr>
        <w:t xml:space="preserve">No </w:t>
      </w:r>
      <w:proofErr w:type="gramStart"/>
      <w:r w:rsidRPr="00553DEA">
        <w:rPr>
          <w:rFonts w:ascii="Arial" w:eastAsia="Calibri" w:hAnsi="Arial" w:cs="Arial"/>
          <w:sz w:val="22"/>
          <w:lang w:val="es-ES"/>
        </w:rPr>
        <w:t>obstante</w:t>
      </w:r>
      <w:proofErr w:type="gramEnd"/>
      <w:r w:rsidRPr="00553DEA">
        <w:rPr>
          <w:rFonts w:ascii="Arial" w:eastAsia="Calibri" w:hAnsi="Arial" w:cs="Arial"/>
          <w:sz w:val="22"/>
          <w:lang w:val="es-ES"/>
        </w:rPr>
        <w:t xml:space="preserve"> lo anterior, las personas naturales o jurídicas extranjeras, sin domicilio o sucursal en Colombia, no están obligadas a inscribirse en el Registro único de Proponentes – RUP. Por esta razón, frente a la acreditación de su experiencia en el extranjero, le corresponde a las Entidades Estatales verificar directamente el cumplimiento de los requisitos habilitantes. Sobre este punto, como lo expuso la Agencia Nacional de Contratación Pública – Colombia Compra Eficiente, en el Manual para Determinar y Verificar los Requisitos Habilitantes en los </w:t>
      </w:r>
      <w:r w:rsidRPr="00553DEA">
        <w:rPr>
          <w:rFonts w:ascii="Arial" w:eastAsia="Calibri" w:hAnsi="Arial" w:cs="Arial"/>
          <w:sz w:val="22"/>
          <w:lang w:val="es-ES"/>
        </w:rPr>
        <w:lastRenderedPageBreak/>
        <w:t xml:space="preserve">Procesos de Contratación, se sugiere </w:t>
      </w:r>
      <w:r w:rsidRPr="00553DEA">
        <w:rPr>
          <w:rFonts w:ascii="Arial" w:eastAsia="Calibri" w:hAnsi="Arial" w:cs="Arial"/>
          <w:sz w:val="22"/>
        </w:rPr>
        <w:t>«</w:t>
      </w:r>
      <w:r w:rsidRPr="00553DEA">
        <w:rPr>
          <w:rFonts w:ascii="Arial" w:eastAsia="Calibri" w:hAnsi="Arial" w:cs="Arial"/>
          <w:sz w:val="22"/>
          <w:lang w:val="es-ES"/>
        </w:rPr>
        <w:t>incluir en los pliegos de condiciones modelos de certificados con los cuales los proponentes acrediten los requisitos habilitantes</w:t>
      </w:r>
      <w:r w:rsidRPr="00553DEA">
        <w:rPr>
          <w:rFonts w:ascii="Arial" w:eastAsia="Calibri" w:hAnsi="Arial" w:cs="Arial"/>
          <w:sz w:val="22"/>
        </w:rPr>
        <w:t>»</w:t>
      </w:r>
      <w:r w:rsidRPr="00553DEA">
        <w:rPr>
          <w:rFonts w:ascii="Arial" w:eastAsia="Calibri" w:hAnsi="Arial" w:cs="Arial"/>
          <w:sz w:val="22"/>
          <w:lang w:val="es-ES"/>
        </w:rPr>
        <w:t>.</w:t>
      </w:r>
    </w:p>
    <w:p w14:paraId="205A0847" w14:textId="77777777" w:rsidR="00906714" w:rsidRPr="00553DEA" w:rsidRDefault="00906714" w:rsidP="00BC59CE">
      <w:pPr>
        <w:spacing w:line="276" w:lineRule="auto"/>
        <w:jc w:val="both"/>
        <w:rPr>
          <w:rFonts w:ascii="Arial" w:eastAsia="Calibri" w:hAnsi="Arial" w:cs="Arial"/>
          <w:sz w:val="22"/>
          <w:lang w:val="es-ES"/>
        </w:rPr>
      </w:pPr>
    </w:p>
    <w:p w14:paraId="38FC3C46" w14:textId="77777777" w:rsidR="00906714" w:rsidRPr="00553DEA" w:rsidRDefault="00906714" w:rsidP="00BC59CE">
      <w:pPr>
        <w:pStyle w:val="Prrafodelista"/>
        <w:numPr>
          <w:ilvl w:val="1"/>
          <w:numId w:val="8"/>
        </w:numPr>
        <w:spacing w:line="276" w:lineRule="auto"/>
        <w:jc w:val="both"/>
        <w:rPr>
          <w:rFonts w:ascii="Arial" w:eastAsia="Calibri" w:hAnsi="Arial" w:cs="Arial"/>
          <w:b/>
          <w:bCs/>
          <w:iCs/>
          <w:sz w:val="22"/>
          <w:lang w:val="es-ES_tradnl"/>
        </w:rPr>
      </w:pPr>
      <w:r w:rsidRPr="00553DEA">
        <w:rPr>
          <w:rFonts w:ascii="Arial" w:eastAsia="Calibri" w:hAnsi="Arial" w:cs="Arial"/>
          <w:b/>
          <w:bCs/>
          <w:iCs/>
          <w:sz w:val="22"/>
          <w:lang w:val="es-ES_tradnl"/>
        </w:rPr>
        <w:t xml:space="preserve">Consideraciones generales sobre los requisitos </w:t>
      </w:r>
      <w:r w:rsidRPr="00553DEA">
        <w:rPr>
          <w:rFonts w:ascii="Arial" w:eastAsia="Calibri" w:hAnsi="Arial" w:cs="Arial"/>
          <w:b/>
          <w:bCs/>
          <w:sz w:val="22"/>
        </w:rPr>
        <w:t>de calificación</w:t>
      </w:r>
    </w:p>
    <w:p w14:paraId="3FA110E9" w14:textId="77777777" w:rsidR="00906714" w:rsidRPr="00553DEA" w:rsidRDefault="00906714" w:rsidP="00BC59CE">
      <w:pPr>
        <w:spacing w:line="276" w:lineRule="auto"/>
        <w:jc w:val="both"/>
        <w:rPr>
          <w:rFonts w:ascii="Arial" w:eastAsia="Calibri" w:hAnsi="Arial" w:cs="Arial"/>
          <w:b/>
          <w:sz w:val="22"/>
          <w:lang w:val="es-ES"/>
        </w:rPr>
      </w:pPr>
    </w:p>
    <w:p w14:paraId="21129F6D" w14:textId="77777777" w:rsidR="00906714" w:rsidRPr="00553DEA" w:rsidRDefault="00906714" w:rsidP="00BC59CE">
      <w:pPr>
        <w:spacing w:line="276" w:lineRule="auto"/>
        <w:ind w:firstLine="708"/>
        <w:jc w:val="both"/>
        <w:rPr>
          <w:rFonts w:ascii="Arial" w:eastAsia="Calibri" w:hAnsi="Arial" w:cs="Arial"/>
          <w:sz w:val="22"/>
          <w:lang w:val="es-ES"/>
        </w:rPr>
      </w:pPr>
      <w:r w:rsidRPr="00553DEA">
        <w:rPr>
          <w:rFonts w:ascii="Arial" w:eastAsia="Calibri" w:hAnsi="Arial" w:cs="Arial"/>
          <w:sz w:val="22"/>
          <w:lang w:val="es-ES"/>
        </w:rPr>
        <w:t xml:space="preserve">Los requisitos de calificación </w:t>
      </w:r>
      <w:r w:rsidRPr="00553DEA">
        <w:rPr>
          <w:rFonts w:ascii="Arial" w:eastAsia="Calibri" w:hAnsi="Arial" w:cs="Arial"/>
          <w:sz w:val="22"/>
        </w:rPr>
        <w:t>«</w:t>
      </w:r>
      <w:r w:rsidRPr="00553DEA">
        <w:rPr>
          <w:rFonts w:ascii="Arial" w:eastAsia="Calibri" w:hAnsi="Arial" w:cs="Arial"/>
          <w:sz w:val="22"/>
          <w:lang w:val="es-ES"/>
        </w:rPr>
        <w:t>corresponden al objeto [del contrato] (…), sus especificaciones técnicas, su precio, etc., [y] constituyen, propiamente, lo ofrecido por los participantes y que es materia de comparación entre las distintas ofertas, para escoger entre ellas la más favorable para la administración</w:t>
      </w:r>
      <w:r w:rsidRPr="00553DEA">
        <w:rPr>
          <w:rFonts w:ascii="Arial" w:eastAsia="Calibri" w:hAnsi="Arial" w:cs="Arial"/>
          <w:sz w:val="22"/>
        </w:rPr>
        <w:t>»</w:t>
      </w:r>
      <w:r w:rsidRPr="00553DEA">
        <w:rPr>
          <w:rFonts w:ascii="Arial" w:eastAsia="Calibri" w:hAnsi="Arial" w:cs="Arial"/>
          <w:sz w:val="22"/>
          <w:vertAlign w:val="superscript"/>
          <w:lang w:val="es-ES"/>
        </w:rPr>
        <w:footnoteReference w:id="3"/>
      </w:r>
    </w:p>
    <w:p w14:paraId="2822E4E4" w14:textId="77777777" w:rsidR="00553DEA" w:rsidRDefault="00553DEA" w:rsidP="00BC59CE">
      <w:pPr>
        <w:spacing w:line="276" w:lineRule="auto"/>
        <w:ind w:firstLine="708"/>
        <w:jc w:val="both"/>
        <w:rPr>
          <w:rFonts w:ascii="Arial" w:eastAsia="Calibri" w:hAnsi="Arial" w:cs="Arial"/>
          <w:sz w:val="22"/>
          <w:lang w:val="es-ES"/>
        </w:rPr>
      </w:pPr>
    </w:p>
    <w:p w14:paraId="627AD7D6" w14:textId="11EF65D9" w:rsidR="00906714" w:rsidRPr="00553DEA" w:rsidRDefault="00906714" w:rsidP="00BC59CE">
      <w:pPr>
        <w:spacing w:line="276" w:lineRule="auto"/>
        <w:ind w:firstLine="708"/>
        <w:jc w:val="both"/>
        <w:rPr>
          <w:rFonts w:ascii="Arial" w:eastAsia="Calibri" w:hAnsi="Arial" w:cs="Arial"/>
          <w:sz w:val="22"/>
          <w:lang w:val="es-ES"/>
        </w:rPr>
      </w:pPr>
      <w:r w:rsidRPr="00553DEA">
        <w:rPr>
          <w:rFonts w:ascii="Arial" w:eastAsia="Calibri" w:hAnsi="Arial" w:cs="Arial"/>
          <w:sz w:val="22"/>
          <w:lang w:val="es-ES"/>
        </w:rPr>
        <w:t xml:space="preserve">Por ello, los requisitos de calificación dependen de la modalidad de selección bajo la cual se adelante el proceso de contratación respectivo. Así, en la licitación pública y la selección abreviada de menor cuantía corresponden a: i) la ponderación de los elementos de calidad y precio soportados en puntajes o fórmulas o </w:t>
      </w:r>
      <w:proofErr w:type="spellStart"/>
      <w:r w:rsidRPr="00553DEA">
        <w:rPr>
          <w:rFonts w:ascii="Arial" w:eastAsia="Calibri" w:hAnsi="Arial" w:cs="Arial"/>
          <w:sz w:val="22"/>
          <w:lang w:val="es-ES"/>
        </w:rPr>
        <w:t>ii</w:t>
      </w:r>
      <w:proofErr w:type="spellEnd"/>
      <w:r w:rsidRPr="00553DEA">
        <w:rPr>
          <w:rFonts w:ascii="Arial" w:eastAsia="Calibri" w:hAnsi="Arial" w:cs="Arial"/>
          <w:sz w:val="22"/>
          <w:lang w:val="es-ES"/>
        </w:rPr>
        <w:t>) la ponderación de los elementos de calidad y precio que representen la mejor relación de costo-beneficio, como lo prevé el artículo 2.2.1.1.2.2.2 del Decreto 1082 de 2015 y el artículo 5 de la Ley 1150 de 2007.</w:t>
      </w:r>
    </w:p>
    <w:p w14:paraId="1DB71246" w14:textId="77777777" w:rsidR="00906714" w:rsidRPr="00553DEA" w:rsidRDefault="00906714" w:rsidP="00BC59CE">
      <w:pPr>
        <w:spacing w:line="276" w:lineRule="auto"/>
        <w:jc w:val="both"/>
        <w:rPr>
          <w:rFonts w:ascii="Arial" w:eastAsia="Calibri" w:hAnsi="Arial" w:cs="Arial"/>
          <w:sz w:val="22"/>
          <w:lang w:val="es-ES"/>
        </w:rPr>
      </w:pPr>
    </w:p>
    <w:p w14:paraId="1344BFA1" w14:textId="77777777" w:rsidR="00906714" w:rsidRPr="00553DEA" w:rsidRDefault="00906714" w:rsidP="00BC59CE">
      <w:pPr>
        <w:spacing w:line="276" w:lineRule="auto"/>
        <w:ind w:firstLine="708"/>
        <w:jc w:val="both"/>
        <w:rPr>
          <w:rFonts w:ascii="Arial" w:eastAsia="Calibri" w:hAnsi="Arial" w:cs="Arial"/>
          <w:sz w:val="22"/>
          <w:lang w:val="es-ES"/>
        </w:rPr>
      </w:pPr>
      <w:r w:rsidRPr="00553DEA">
        <w:rPr>
          <w:rFonts w:ascii="Arial" w:eastAsia="Calibri" w:hAnsi="Arial" w:cs="Arial"/>
          <w:sz w:val="22"/>
          <w:lang w:val="es-ES"/>
        </w:rPr>
        <w:t>Por su parte, en la selección abreviada de subasta inversa y la compra derivada de una orden en un Acuerdo Marco de Precios corresponden al precio, criterio que igualmente aplica para la mínima cuantía, como lo disponen los artículos 2.2.1.2.1.2.2 y 2.2.1.2.1.5.2 del Decreto 1082 de 2015, así como el artículo 5 de la Ley 1150 de 2007.</w:t>
      </w:r>
    </w:p>
    <w:p w14:paraId="4F783FCE" w14:textId="77777777" w:rsidR="00906714" w:rsidRPr="00553DEA" w:rsidRDefault="00906714" w:rsidP="00BC59CE">
      <w:pPr>
        <w:spacing w:line="276" w:lineRule="auto"/>
        <w:jc w:val="both"/>
        <w:rPr>
          <w:rFonts w:ascii="Arial" w:eastAsia="Calibri" w:hAnsi="Arial" w:cs="Arial"/>
          <w:sz w:val="22"/>
          <w:lang w:val="es-ES"/>
        </w:rPr>
      </w:pPr>
    </w:p>
    <w:p w14:paraId="5334A424" w14:textId="77777777" w:rsidR="00906714" w:rsidRPr="00553DEA" w:rsidRDefault="00906714" w:rsidP="00BC59CE">
      <w:pPr>
        <w:spacing w:line="276" w:lineRule="auto"/>
        <w:ind w:firstLine="708"/>
        <w:jc w:val="both"/>
        <w:rPr>
          <w:rFonts w:ascii="Arial" w:eastAsia="Calibri" w:hAnsi="Arial" w:cs="Arial"/>
          <w:sz w:val="22"/>
          <w:lang w:val="es-ES"/>
        </w:rPr>
      </w:pPr>
      <w:r w:rsidRPr="00553DEA">
        <w:rPr>
          <w:rFonts w:ascii="Arial" w:eastAsia="Calibri" w:hAnsi="Arial" w:cs="Arial"/>
          <w:sz w:val="22"/>
          <w:lang w:val="es-ES"/>
        </w:rPr>
        <w:t xml:space="preserve">En el concurso de méritos son: i) la experiencia del interesado y del equipo de trabajo y </w:t>
      </w:r>
      <w:proofErr w:type="spellStart"/>
      <w:r w:rsidRPr="00553DEA">
        <w:rPr>
          <w:rFonts w:ascii="Arial" w:eastAsia="Calibri" w:hAnsi="Arial" w:cs="Arial"/>
          <w:sz w:val="22"/>
          <w:lang w:val="es-ES"/>
        </w:rPr>
        <w:t>ii</w:t>
      </w:r>
      <w:proofErr w:type="spellEnd"/>
      <w:r w:rsidRPr="00553DEA">
        <w:rPr>
          <w:rFonts w:ascii="Arial" w:eastAsia="Calibri" w:hAnsi="Arial" w:cs="Arial"/>
          <w:sz w:val="22"/>
          <w:lang w:val="es-ES"/>
        </w:rPr>
        <w:t>) la formación académica y las publicaciones técnicas y científicas del equipo de trabajo, como lo estatuye el artículo 2.2.1.2.1.3.2 del Decreto 1082 de 2015.</w:t>
      </w:r>
    </w:p>
    <w:p w14:paraId="2589DEE8" w14:textId="77777777" w:rsidR="00906714" w:rsidRPr="00553DEA" w:rsidRDefault="00906714" w:rsidP="00BC59CE">
      <w:pPr>
        <w:spacing w:line="276" w:lineRule="auto"/>
        <w:jc w:val="both"/>
        <w:rPr>
          <w:rFonts w:ascii="Arial" w:eastAsia="Calibri" w:hAnsi="Arial" w:cs="Arial"/>
          <w:sz w:val="22"/>
          <w:lang w:val="es-ES"/>
        </w:rPr>
      </w:pPr>
    </w:p>
    <w:p w14:paraId="35393E5A" w14:textId="77777777" w:rsidR="00906714" w:rsidRPr="00553DEA" w:rsidRDefault="00906714" w:rsidP="00BC59CE">
      <w:pPr>
        <w:spacing w:line="276" w:lineRule="auto"/>
        <w:ind w:firstLine="708"/>
        <w:jc w:val="both"/>
        <w:rPr>
          <w:rFonts w:ascii="Arial" w:eastAsia="Calibri" w:hAnsi="Arial" w:cs="Arial"/>
          <w:sz w:val="22"/>
          <w:lang w:val="es-ES"/>
        </w:rPr>
      </w:pPr>
      <w:r w:rsidRPr="00553DEA">
        <w:rPr>
          <w:rFonts w:ascii="Arial" w:eastAsia="Calibri" w:hAnsi="Arial" w:cs="Arial"/>
          <w:sz w:val="22"/>
          <w:lang w:val="es-ES"/>
        </w:rPr>
        <w:t>En la contratación directa se analiza que la adquisición se efectúe en condiciones de mercado y que el contratista, en los casos de prestación de servicios profesionales y de apoyo a la gestión, cuente con la idoneidad para ejecutar la labor encomendada, como lo disponen tanto el artículo 2.2.1.2.1.4.9 del Decreto 1082 de 2015 y el artículo 2 de la Ley 1150 de 2007.</w:t>
      </w:r>
    </w:p>
    <w:p w14:paraId="7019D4E4" w14:textId="77777777" w:rsidR="00906714" w:rsidRPr="00553DEA" w:rsidRDefault="00906714" w:rsidP="00BC59CE">
      <w:pPr>
        <w:spacing w:line="276" w:lineRule="auto"/>
        <w:jc w:val="both"/>
        <w:rPr>
          <w:rFonts w:ascii="Arial" w:eastAsia="Calibri" w:hAnsi="Arial" w:cs="Arial"/>
          <w:sz w:val="22"/>
          <w:lang w:val="es-ES"/>
        </w:rPr>
      </w:pPr>
    </w:p>
    <w:p w14:paraId="2A0912A2" w14:textId="117C46CE" w:rsidR="00906714" w:rsidRPr="00553DEA" w:rsidRDefault="00906714" w:rsidP="00BC59CE">
      <w:pPr>
        <w:spacing w:line="276" w:lineRule="auto"/>
        <w:ind w:firstLine="708"/>
        <w:jc w:val="both"/>
        <w:rPr>
          <w:rFonts w:ascii="Arial" w:eastAsia="Calibri" w:hAnsi="Arial" w:cs="Arial"/>
          <w:sz w:val="22"/>
          <w:lang w:val="es-ES"/>
        </w:rPr>
      </w:pPr>
      <w:r w:rsidRPr="00553DEA">
        <w:rPr>
          <w:rFonts w:ascii="Arial" w:eastAsia="Calibri" w:hAnsi="Arial" w:cs="Arial"/>
          <w:sz w:val="22"/>
          <w:lang w:val="es-ES"/>
        </w:rPr>
        <w:t xml:space="preserve">Finalmente, se debe destacar que </w:t>
      </w:r>
      <w:r w:rsidR="00BC59CE" w:rsidRPr="00553DEA">
        <w:rPr>
          <w:rFonts w:ascii="Arial" w:eastAsia="Calibri" w:hAnsi="Arial" w:cs="Arial"/>
          <w:sz w:val="22"/>
          <w:lang w:val="es-ES"/>
        </w:rPr>
        <w:t>la determinación de los factores de calificación les corresponde</w:t>
      </w:r>
      <w:r w:rsidRPr="00553DEA">
        <w:rPr>
          <w:rFonts w:ascii="Arial" w:eastAsia="Calibri" w:hAnsi="Arial" w:cs="Arial"/>
          <w:sz w:val="22"/>
          <w:lang w:val="es-ES"/>
        </w:rPr>
        <w:t xml:space="preserve"> a las entidades estatales, quienes deberán fijarlos con base en las condiciones del contrato a ejecutar, y una vez vencido el plazo para presentar ofertas, no son susceptibles de subsanación.</w:t>
      </w:r>
    </w:p>
    <w:p w14:paraId="391CA898" w14:textId="77777777" w:rsidR="00906714" w:rsidRPr="00553DEA" w:rsidRDefault="00906714" w:rsidP="00BC59CE">
      <w:pPr>
        <w:spacing w:line="276" w:lineRule="auto"/>
        <w:jc w:val="both"/>
        <w:rPr>
          <w:rFonts w:ascii="Arial" w:eastAsia="Calibri" w:hAnsi="Arial" w:cs="Arial"/>
          <w:sz w:val="22"/>
          <w:lang w:val="es-ES"/>
        </w:rPr>
      </w:pPr>
    </w:p>
    <w:p w14:paraId="6E93E383" w14:textId="77777777" w:rsidR="009A44ED" w:rsidRPr="003F6ECB" w:rsidRDefault="009A44ED" w:rsidP="00BC59CE">
      <w:pPr>
        <w:pStyle w:val="Prrafodelista"/>
        <w:numPr>
          <w:ilvl w:val="1"/>
          <w:numId w:val="8"/>
        </w:numPr>
        <w:spacing w:line="276" w:lineRule="auto"/>
        <w:rPr>
          <w:rFonts w:ascii="Arial" w:hAnsi="Arial" w:cs="Arial"/>
          <w:b/>
          <w:bCs/>
          <w:sz w:val="22"/>
        </w:rPr>
      </w:pPr>
      <w:r w:rsidRPr="003F6ECB">
        <w:rPr>
          <w:rFonts w:ascii="Arial" w:hAnsi="Arial" w:cs="Arial"/>
          <w:b/>
          <w:bCs/>
          <w:sz w:val="22"/>
        </w:rPr>
        <w:t>Apostilla o legalización de documentos</w:t>
      </w:r>
      <w:r>
        <w:rPr>
          <w:rFonts w:ascii="Arial" w:hAnsi="Arial" w:cs="Arial"/>
          <w:b/>
          <w:bCs/>
        </w:rPr>
        <w:t xml:space="preserve"> y d</w:t>
      </w:r>
      <w:r w:rsidRPr="008C59C4">
        <w:rPr>
          <w:rFonts w:ascii="Arial" w:hAnsi="Arial" w:cs="Arial"/>
          <w:b/>
          <w:bCs/>
        </w:rPr>
        <w:t>ocumentos en idioma extranjero</w:t>
      </w:r>
    </w:p>
    <w:p w14:paraId="02962571" w14:textId="77777777" w:rsidR="009A44ED" w:rsidRDefault="009A44ED" w:rsidP="00BC59CE">
      <w:pPr>
        <w:spacing w:line="276" w:lineRule="auto"/>
        <w:jc w:val="both"/>
        <w:rPr>
          <w:rFonts w:ascii="Arial" w:eastAsia="Calibri" w:hAnsi="Arial" w:cs="Arial"/>
          <w:sz w:val="22"/>
          <w:lang w:val="es-ES"/>
        </w:rPr>
      </w:pPr>
    </w:p>
    <w:p w14:paraId="545EA590" w14:textId="270A8107" w:rsidR="00906714" w:rsidRPr="00553DEA" w:rsidRDefault="00906714" w:rsidP="00BC59CE">
      <w:pPr>
        <w:spacing w:line="276" w:lineRule="auto"/>
        <w:jc w:val="both"/>
        <w:rPr>
          <w:rFonts w:ascii="Arial" w:eastAsia="Calibri" w:hAnsi="Arial" w:cs="Arial"/>
          <w:sz w:val="22"/>
          <w:lang w:val="es-ES"/>
        </w:rPr>
      </w:pPr>
      <w:r w:rsidRPr="00553DEA">
        <w:rPr>
          <w:rFonts w:ascii="Arial" w:eastAsia="Calibri" w:hAnsi="Arial" w:cs="Arial"/>
          <w:sz w:val="22"/>
          <w:lang w:val="es-ES"/>
        </w:rPr>
        <w:t xml:space="preserve">Como lo señaló la Agencia Nacional de Contratación Pública – Colombia Compra Eficiente, en la Circular Externa Única, todos los documentos públicos expedidos en el exterior </w:t>
      </w:r>
      <w:r w:rsidRPr="00553DEA">
        <w:rPr>
          <w:rFonts w:ascii="Arial" w:eastAsia="Calibri" w:hAnsi="Arial" w:cs="Arial"/>
          <w:sz w:val="22"/>
        </w:rPr>
        <w:t>«</w:t>
      </w:r>
      <w:r w:rsidRPr="00553DEA">
        <w:rPr>
          <w:rFonts w:ascii="Arial" w:eastAsia="Calibri" w:hAnsi="Arial" w:cs="Arial"/>
          <w:i/>
          <w:sz w:val="22"/>
          <w:lang w:val="es-ES"/>
        </w:rPr>
        <w:t>deben ser apostillados o legalizados por la Entidad competente desde el país de origen, para que puedan surtir efectos legales en Colombia</w:t>
      </w:r>
      <w:r w:rsidRPr="00553DEA">
        <w:rPr>
          <w:rFonts w:ascii="Arial" w:eastAsia="Calibri" w:hAnsi="Arial" w:cs="Arial"/>
          <w:sz w:val="22"/>
        </w:rPr>
        <w:t>»</w:t>
      </w:r>
      <w:r w:rsidRPr="00553DEA">
        <w:rPr>
          <w:rFonts w:ascii="Arial" w:eastAsia="Calibri" w:hAnsi="Arial" w:cs="Arial"/>
          <w:sz w:val="22"/>
          <w:lang w:val="es-ES"/>
        </w:rPr>
        <w:t>.</w:t>
      </w:r>
      <w:r w:rsidR="00BC59CE">
        <w:rPr>
          <w:rFonts w:ascii="Arial" w:eastAsia="Calibri" w:hAnsi="Arial" w:cs="Arial"/>
          <w:sz w:val="22"/>
          <w:lang w:val="es-ES"/>
        </w:rPr>
        <w:t xml:space="preserve"> </w:t>
      </w:r>
      <w:r w:rsidRPr="00553DEA">
        <w:rPr>
          <w:rFonts w:ascii="Arial" w:eastAsia="Calibri" w:hAnsi="Arial" w:cs="Arial"/>
          <w:sz w:val="22"/>
          <w:lang w:val="es-ES"/>
        </w:rPr>
        <w:t xml:space="preserve">Para estos efectos, se debe tener en cuenta lo previsto en la Resolución 10547 del 14 de diciembre de 2018, </w:t>
      </w:r>
      <w:r w:rsidRPr="00553DEA">
        <w:rPr>
          <w:rFonts w:ascii="Arial" w:eastAsia="Calibri" w:hAnsi="Arial" w:cs="Arial"/>
          <w:sz w:val="22"/>
        </w:rPr>
        <w:t>«</w:t>
      </w:r>
      <w:r w:rsidRPr="00553DEA">
        <w:rPr>
          <w:rFonts w:ascii="Arial" w:eastAsia="Calibri" w:hAnsi="Arial" w:cs="Arial"/>
          <w:sz w:val="22"/>
          <w:lang w:val="es-ES"/>
        </w:rPr>
        <w:t>Por la cual se adopta el procedimiento para apostillar y/o legalizar documentos</w:t>
      </w:r>
      <w:r w:rsidRPr="00553DEA">
        <w:rPr>
          <w:rFonts w:ascii="Arial" w:eastAsia="Calibri" w:hAnsi="Arial" w:cs="Arial"/>
          <w:sz w:val="22"/>
        </w:rPr>
        <w:t>»</w:t>
      </w:r>
      <w:r w:rsidRPr="00553DEA">
        <w:rPr>
          <w:rFonts w:ascii="Arial" w:eastAsia="Calibri" w:hAnsi="Arial" w:cs="Arial"/>
          <w:sz w:val="22"/>
          <w:lang w:val="es-ES"/>
        </w:rPr>
        <w:t xml:space="preserve"> expedida por el Ministerio de Relaciones Exteriores. Conviene destacar que las entidades </w:t>
      </w:r>
      <w:r w:rsidRPr="00553DEA">
        <w:rPr>
          <w:rFonts w:ascii="Arial" w:eastAsia="Calibri" w:hAnsi="Arial" w:cs="Arial"/>
          <w:sz w:val="22"/>
        </w:rPr>
        <w:t>«</w:t>
      </w:r>
      <w:r w:rsidRPr="00553DEA">
        <w:rPr>
          <w:rFonts w:ascii="Arial" w:eastAsia="Calibri" w:hAnsi="Arial" w:cs="Arial"/>
          <w:sz w:val="22"/>
          <w:lang w:val="es-ES"/>
        </w:rPr>
        <w:t>solamente pueden exigir la legalización de acuerdo con la Convención de la Apostilla o la legalización de documentos públicos otorgados en el extranjero. Este tipo de legalización no es procedente para los documentos privados</w:t>
      </w:r>
      <w:r w:rsidRPr="00553DEA">
        <w:rPr>
          <w:rFonts w:ascii="Arial" w:eastAsia="Calibri" w:hAnsi="Arial" w:cs="Arial"/>
          <w:sz w:val="22"/>
        </w:rPr>
        <w:t>»</w:t>
      </w:r>
      <w:r w:rsidRPr="00553DEA">
        <w:rPr>
          <w:rFonts w:ascii="Arial" w:eastAsia="Calibri" w:hAnsi="Arial" w:cs="Arial"/>
          <w:sz w:val="22"/>
          <w:vertAlign w:val="superscript"/>
          <w:lang w:val="es-ES"/>
        </w:rPr>
        <w:footnoteReference w:id="4"/>
      </w:r>
      <w:r w:rsidRPr="00553DEA">
        <w:rPr>
          <w:rFonts w:ascii="Arial" w:eastAsia="Calibri" w:hAnsi="Arial" w:cs="Arial"/>
          <w:sz w:val="22"/>
          <w:lang w:val="es-ES"/>
        </w:rPr>
        <w:t xml:space="preserve">. </w:t>
      </w:r>
    </w:p>
    <w:p w14:paraId="4E025F13" w14:textId="77777777" w:rsidR="00906714" w:rsidRPr="00553DEA" w:rsidRDefault="00906714" w:rsidP="00BC59CE">
      <w:pPr>
        <w:spacing w:line="276" w:lineRule="auto"/>
        <w:ind w:firstLine="708"/>
        <w:jc w:val="both"/>
        <w:rPr>
          <w:rFonts w:ascii="Arial" w:eastAsia="Calibri" w:hAnsi="Arial" w:cs="Arial"/>
          <w:sz w:val="22"/>
          <w:lang w:val="es-ES"/>
        </w:rPr>
      </w:pPr>
    </w:p>
    <w:p w14:paraId="4C064CF8" w14:textId="2C4EC8B0" w:rsidR="00906714" w:rsidRPr="00553DEA" w:rsidRDefault="00906714" w:rsidP="00BC59CE">
      <w:pPr>
        <w:spacing w:line="276" w:lineRule="auto"/>
        <w:ind w:firstLine="708"/>
        <w:jc w:val="both"/>
        <w:rPr>
          <w:rFonts w:ascii="Arial" w:eastAsia="Calibri" w:hAnsi="Arial" w:cs="Arial"/>
          <w:sz w:val="22"/>
          <w:lang w:val="es-ES"/>
        </w:rPr>
      </w:pPr>
      <w:r w:rsidRPr="00553DEA">
        <w:rPr>
          <w:rFonts w:ascii="Arial" w:eastAsia="Calibri" w:hAnsi="Arial" w:cs="Arial"/>
          <w:sz w:val="22"/>
          <w:lang w:val="es-ES"/>
        </w:rPr>
        <w:t xml:space="preserve">Los documentos privados se presumen auténticos y las Entidades Estatales no deben solicitar autenticaciones, reconocimiento, presentación personal o trámites adicionales, excepto cuando la ley lo exige expresamente. Tanto los documentos </w:t>
      </w:r>
      <w:r w:rsidR="009A44ED" w:rsidRPr="00553DEA">
        <w:rPr>
          <w:rFonts w:ascii="Arial" w:eastAsia="Calibri" w:hAnsi="Arial" w:cs="Arial"/>
          <w:sz w:val="22"/>
          <w:lang w:val="es-ES"/>
        </w:rPr>
        <w:t>públicos</w:t>
      </w:r>
      <w:r w:rsidRPr="00553DEA">
        <w:rPr>
          <w:rFonts w:ascii="Arial" w:eastAsia="Calibri" w:hAnsi="Arial" w:cs="Arial"/>
          <w:sz w:val="22"/>
          <w:lang w:val="es-ES"/>
        </w:rPr>
        <w:t xml:space="preserve"> como privados pueden ser aportados en copia simple, las cuales </w:t>
      </w:r>
      <w:r w:rsidR="009A44ED" w:rsidRPr="00553DEA">
        <w:rPr>
          <w:rFonts w:ascii="Arial" w:eastAsia="Calibri" w:hAnsi="Arial" w:cs="Arial"/>
          <w:sz w:val="22"/>
          <w:lang w:val="es-ES"/>
        </w:rPr>
        <w:t>también</w:t>
      </w:r>
      <w:r w:rsidRPr="00553DEA">
        <w:rPr>
          <w:rFonts w:ascii="Arial" w:eastAsia="Calibri" w:hAnsi="Arial" w:cs="Arial"/>
          <w:sz w:val="22"/>
          <w:lang w:val="es-ES"/>
        </w:rPr>
        <w:t xml:space="preserve"> gozan presunción de autenticidad y cuentan con igual valor probatorio que el original.</w:t>
      </w:r>
    </w:p>
    <w:p w14:paraId="28C3A39B" w14:textId="77777777" w:rsidR="00906714" w:rsidRPr="00553DEA" w:rsidRDefault="00906714" w:rsidP="00BC59CE">
      <w:pPr>
        <w:spacing w:line="276" w:lineRule="auto"/>
        <w:jc w:val="both"/>
        <w:rPr>
          <w:rFonts w:ascii="Arial" w:eastAsia="Calibri" w:hAnsi="Arial" w:cs="Arial"/>
          <w:sz w:val="22"/>
          <w:lang w:val="es-ES"/>
        </w:rPr>
      </w:pPr>
    </w:p>
    <w:p w14:paraId="5E4BD72B" w14:textId="65063D99" w:rsidR="00906714" w:rsidRDefault="009A44ED" w:rsidP="00BC59CE">
      <w:pPr>
        <w:spacing w:line="276" w:lineRule="auto"/>
        <w:ind w:firstLine="708"/>
        <w:jc w:val="both"/>
        <w:rPr>
          <w:rFonts w:ascii="Arial" w:hAnsi="Arial" w:cs="Arial"/>
          <w:sz w:val="22"/>
          <w:lang w:val="es-ES"/>
        </w:rPr>
      </w:pPr>
      <w:r>
        <w:rPr>
          <w:rFonts w:ascii="Arial" w:hAnsi="Arial" w:cs="Arial"/>
          <w:sz w:val="22"/>
          <w:lang w:val="es-ES"/>
        </w:rPr>
        <w:t xml:space="preserve">No </w:t>
      </w:r>
      <w:proofErr w:type="gramStart"/>
      <w:r>
        <w:rPr>
          <w:rFonts w:ascii="Arial" w:hAnsi="Arial" w:cs="Arial"/>
          <w:sz w:val="22"/>
          <w:lang w:val="es-ES"/>
        </w:rPr>
        <w:t>obstante</w:t>
      </w:r>
      <w:proofErr w:type="gramEnd"/>
      <w:r>
        <w:rPr>
          <w:rFonts w:ascii="Arial" w:hAnsi="Arial" w:cs="Arial"/>
          <w:sz w:val="22"/>
          <w:lang w:val="es-ES"/>
        </w:rPr>
        <w:t xml:space="preserve"> lo anterior, es importante recordar que de conformidad con el artículo 6 de la Ley 1150 de 2007, </w:t>
      </w:r>
      <w:r w:rsidRPr="007D77D9">
        <w:rPr>
          <w:rFonts w:ascii="Arial" w:hAnsi="Arial" w:cs="Arial"/>
          <w:sz w:val="22"/>
          <w:lang w:val="es-ES"/>
        </w:rPr>
        <w:t>sólo en aquellos casos en que por las características del objeto a contratar se requiera la verificación de requisitos del proponente adicionales a los contenidos en el Registro, la entidad podrá hacer tal verificación en forma directa</w:t>
      </w:r>
      <w:r>
        <w:rPr>
          <w:rFonts w:ascii="Arial" w:hAnsi="Arial" w:cs="Arial"/>
          <w:sz w:val="22"/>
          <w:lang w:val="es-ES"/>
        </w:rPr>
        <w:t>, lo cual deberá estar establecido en los requisitos habilitantes y ponderables establecidos en los pliegos de condiciones o documentos equivalentes.</w:t>
      </w:r>
    </w:p>
    <w:p w14:paraId="3B75F3CB" w14:textId="77777777" w:rsidR="009A44ED" w:rsidRPr="00553DEA" w:rsidRDefault="009A44ED" w:rsidP="00BC59CE">
      <w:pPr>
        <w:spacing w:line="276" w:lineRule="auto"/>
        <w:ind w:firstLine="708"/>
        <w:jc w:val="both"/>
        <w:rPr>
          <w:rFonts w:ascii="Arial" w:eastAsia="Calibri" w:hAnsi="Arial" w:cs="Arial"/>
          <w:b/>
          <w:sz w:val="22"/>
          <w:lang w:val="es-ES"/>
        </w:rPr>
      </w:pPr>
    </w:p>
    <w:p w14:paraId="1E8A6D5B" w14:textId="77777777" w:rsidR="00906714" w:rsidRPr="00553DEA" w:rsidRDefault="00906714" w:rsidP="00BC59CE">
      <w:pPr>
        <w:spacing w:line="276" w:lineRule="auto"/>
        <w:ind w:firstLine="708"/>
        <w:jc w:val="both"/>
        <w:rPr>
          <w:rFonts w:ascii="Arial" w:eastAsia="Calibri" w:hAnsi="Arial" w:cs="Arial"/>
          <w:sz w:val="22"/>
          <w:lang w:val="es-ES"/>
        </w:rPr>
      </w:pPr>
      <w:r w:rsidRPr="00553DEA">
        <w:rPr>
          <w:rFonts w:ascii="Arial" w:eastAsia="Calibri" w:hAnsi="Arial" w:cs="Arial"/>
          <w:sz w:val="22"/>
          <w:lang w:val="es-ES"/>
        </w:rPr>
        <w:t xml:space="preserve">Siguiendo la postura que la Agencia Nacional de Contratación Pública – Colombia Compra Eficiente expuso en la Circular Externa Única, para que los documentos </w:t>
      </w:r>
      <w:r w:rsidRPr="00553DEA">
        <w:rPr>
          <w:rFonts w:ascii="Arial" w:eastAsia="Calibri" w:hAnsi="Arial" w:cs="Arial"/>
          <w:sz w:val="22"/>
        </w:rPr>
        <w:t>«</w:t>
      </w:r>
      <w:r w:rsidRPr="00553DEA">
        <w:rPr>
          <w:rFonts w:ascii="Arial" w:eastAsia="Calibri" w:hAnsi="Arial" w:cs="Arial"/>
          <w:sz w:val="22"/>
          <w:lang w:val="es-ES"/>
        </w:rPr>
        <w:t>en un idioma distinto al castellano puedan ser apreciados en el Proceso de contratación deben ser presentados en su lengua original junto con la traducción oficial al castellano</w:t>
      </w:r>
      <w:r w:rsidRPr="00553DEA">
        <w:rPr>
          <w:rFonts w:ascii="Arial" w:eastAsia="Calibri" w:hAnsi="Arial" w:cs="Arial"/>
          <w:sz w:val="22"/>
        </w:rPr>
        <w:t>»</w:t>
      </w:r>
      <w:r w:rsidRPr="00553DEA">
        <w:rPr>
          <w:rFonts w:ascii="Arial" w:eastAsia="Calibri" w:hAnsi="Arial" w:cs="Arial"/>
          <w:sz w:val="22"/>
          <w:lang w:val="es-ES"/>
        </w:rPr>
        <w:t>.</w:t>
      </w:r>
    </w:p>
    <w:p w14:paraId="3F9202A4" w14:textId="77777777" w:rsidR="00906714" w:rsidRPr="00553DEA" w:rsidRDefault="00906714" w:rsidP="00BC59CE">
      <w:pPr>
        <w:spacing w:line="276" w:lineRule="auto"/>
        <w:jc w:val="both"/>
        <w:rPr>
          <w:rFonts w:ascii="Arial" w:eastAsia="Calibri" w:hAnsi="Arial" w:cs="Arial"/>
          <w:sz w:val="22"/>
          <w:lang w:val="es-ES"/>
        </w:rPr>
      </w:pPr>
    </w:p>
    <w:p w14:paraId="5F7C2B76" w14:textId="77777777" w:rsidR="00906714" w:rsidRPr="00553DEA" w:rsidRDefault="00906714" w:rsidP="00BC59CE">
      <w:pPr>
        <w:spacing w:line="276" w:lineRule="auto"/>
        <w:ind w:firstLine="708"/>
        <w:jc w:val="both"/>
        <w:rPr>
          <w:rFonts w:ascii="Arial" w:eastAsia="Calibri" w:hAnsi="Arial" w:cs="Arial"/>
          <w:sz w:val="22"/>
          <w:lang w:val="es-ES"/>
        </w:rPr>
      </w:pPr>
      <w:r w:rsidRPr="00553DEA">
        <w:rPr>
          <w:rFonts w:ascii="Arial" w:eastAsia="Calibri" w:hAnsi="Arial" w:cs="Arial"/>
          <w:sz w:val="22"/>
          <w:lang w:val="es-ES"/>
        </w:rPr>
        <w:t xml:space="preserve">Ello, sin perjuicio de los documentos especializados, </w:t>
      </w:r>
      <w:r w:rsidRPr="00553DEA">
        <w:rPr>
          <w:rFonts w:ascii="Arial" w:eastAsia="Calibri" w:hAnsi="Arial" w:cs="Arial"/>
          <w:sz w:val="22"/>
        </w:rPr>
        <w:t>«</w:t>
      </w:r>
      <w:r w:rsidRPr="00553DEA">
        <w:rPr>
          <w:rFonts w:ascii="Arial" w:eastAsia="Calibri" w:hAnsi="Arial" w:cs="Arial"/>
          <w:sz w:val="22"/>
          <w:lang w:val="es-ES"/>
        </w:rPr>
        <w:t>por ejemplo, especificaciones o fichas técnicas, que en el mercado sean de amplia utilización y aceptación en idioma distinto al castellano</w:t>
      </w:r>
      <w:r w:rsidRPr="00553DEA">
        <w:rPr>
          <w:rFonts w:ascii="Arial" w:eastAsia="Calibri" w:hAnsi="Arial" w:cs="Arial"/>
          <w:sz w:val="22"/>
        </w:rPr>
        <w:t>»</w:t>
      </w:r>
      <w:r w:rsidRPr="00553DEA">
        <w:rPr>
          <w:rFonts w:ascii="Arial" w:eastAsia="Calibri" w:hAnsi="Arial" w:cs="Arial"/>
          <w:sz w:val="22"/>
          <w:lang w:val="es-ES"/>
        </w:rPr>
        <w:t xml:space="preserve">, pues las entidades estatales podrán incluir en los documentos del proceso de contratación la </w:t>
      </w:r>
      <w:r w:rsidRPr="00553DEA">
        <w:rPr>
          <w:rFonts w:ascii="Arial" w:eastAsia="Calibri" w:hAnsi="Arial" w:cs="Arial"/>
          <w:sz w:val="22"/>
        </w:rPr>
        <w:t>«</w:t>
      </w:r>
      <w:r w:rsidRPr="00553DEA">
        <w:rPr>
          <w:rFonts w:ascii="Arial" w:eastAsia="Calibri" w:hAnsi="Arial" w:cs="Arial"/>
          <w:sz w:val="22"/>
          <w:lang w:val="es-ES"/>
        </w:rPr>
        <w:t xml:space="preserve">posibilidad de que sean aportados en su lengua original acompañados de una </w:t>
      </w:r>
      <w:r w:rsidRPr="00553DEA">
        <w:rPr>
          <w:rFonts w:ascii="Arial" w:eastAsia="Calibri" w:hAnsi="Arial" w:cs="Arial"/>
          <w:sz w:val="22"/>
          <w:lang w:val="es-ES"/>
        </w:rPr>
        <w:lastRenderedPageBreak/>
        <w:t>traducción simple al castellano, cuando así lo considere conveniente de conformidad con el estudio del sector realizado</w:t>
      </w:r>
      <w:r w:rsidRPr="00553DEA">
        <w:rPr>
          <w:rFonts w:ascii="Arial" w:eastAsia="Calibri" w:hAnsi="Arial" w:cs="Arial"/>
          <w:sz w:val="22"/>
        </w:rPr>
        <w:t>»</w:t>
      </w:r>
      <w:r w:rsidRPr="00553DEA">
        <w:rPr>
          <w:rFonts w:ascii="Arial" w:eastAsia="Calibri" w:hAnsi="Arial" w:cs="Arial"/>
          <w:sz w:val="22"/>
          <w:lang w:val="es-ES"/>
        </w:rPr>
        <w:t>.</w:t>
      </w:r>
    </w:p>
    <w:p w14:paraId="3A18D4FB" w14:textId="27EAD2ED" w:rsidR="00906714" w:rsidRPr="00553DEA" w:rsidRDefault="00906714" w:rsidP="00BC59CE">
      <w:pPr>
        <w:spacing w:line="276" w:lineRule="auto"/>
        <w:jc w:val="both"/>
        <w:rPr>
          <w:rFonts w:ascii="Arial" w:eastAsia="Calibri" w:hAnsi="Arial" w:cs="Arial"/>
          <w:sz w:val="22"/>
          <w:lang w:val="es-CO"/>
        </w:rPr>
      </w:pPr>
    </w:p>
    <w:p w14:paraId="65AF83A3" w14:textId="77777777" w:rsidR="00906714" w:rsidRPr="00553DEA" w:rsidRDefault="00906714" w:rsidP="00BC59CE">
      <w:pPr>
        <w:numPr>
          <w:ilvl w:val="0"/>
          <w:numId w:val="8"/>
        </w:numPr>
        <w:spacing w:line="276" w:lineRule="auto"/>
        <w:jc w:val="both"/>
        <w:rPr>
          <w:rFonts w:ascii="Arial" w:eastAsia="Calibri" w:hAnsi="Arial" w:cs="Arial"/>
          <w:b/>
          <w:bCs/>
          <w:sz w:val="22"/>
          <w:lang w:val="es-CO"/>
        </w:rPr>
      </w:pPr>
      <w:r w:rsidRPr="00553DEA">
        <w:rPr>
          <w:rFonts w:ascii="Arial" w:eastAsia="Calibri" w:hAnsi="Arial" w:cs="Arial"/>
          <w:b/>
          <w:bCs/>
          <w:sz w:val="22"/>
          <w:lang w:val="es-CO"/>
        </w:rPr>
        <w:t xml:space="preserve">Respuesta </w:t>
      </w:r>
    </w:p>
    <w:p w14:paraId="1959F7FB" w14:textId="77777777" w:rsidR="00906714" w:rsidRPr="00553DEA" w:rsidRDefault="00906714" w:rsidP="00BC59CE">
      <w:pPr>
        <w:spacing w:line="276" w:lineRule="auto"/>
        <w:jc w:val="both"/>
        <w:rPr>
          <w:rFonts w:ascii="Arial" w:eastAsia="Calibri" w:hAnsi="Arial" w:cs="Arial"/>
          <w:b/>
          <w:bCs/>
          <w:sz w:val="22"/>
          <w:lang w:val="es-CO"/>
        </w:rPr>
      </w:pPr>
    </w:p>
    <w:p w14:paraId="2B8B2403" w14:textId="4CF81134" w:rsidR="00906714" w:rsidRPr="00BC59CE" w:rsidRDefault="00906714" w:rsidP="00553DEA">
      <w:pPr>
        <w:ind w:left="709" w:right="709"/>
        <w:jc w:val="both"/>
        <w:rPr>
          <w:rFonts w:ascii="Arial" w:eastAsia="Calibri" w:hAnsi="Arial" w:cs="Arial"/>
          <w:sz w:val="21"/>
          <w:szCs w:val="21"/>
        </w:rPr>
      </w:pPr>
      <w:r w:rsidRPr="00BC59CE">
        <w:rPr>
          <w:rFonts w:ascii="Arial" w:eastAsia="Calibri" w:hAnsi="Arial" w:cs="Arial"/>
          <w:sz w:val="21"/>
          <w:szCs w:val="21"/>
        </w:rPr>
        <w:t>«[…]</w:t>
      </w:r>
      <w:r w:rsidRPr="00BC59CE">
        <w:rPr>
          <w:rFonts w:ascii="Arial" w:eastAsia="Arial" w:hAnsi="Arial" w:cs="Arial"/>
          <w:sz w:val="21"/>
          <w:szCs w:val="21"/>
          <w:lang w:val="es-ES"/>
        </w:rPr>
        <w:t xml:space="preserve"> </w:t>
      </w:r>
      <w:r w:rsidRPr="00BC59CE">
        <w:rPr>
          <w:rFonts w:ascii="Arial" w:eastAsia="Calibri" w:hAnsi="Arial" w:cs="Arial"/>
          <w:sz w:val="21"/>
          <w:szCs w:val="21"/>
          <w:lang w:val="es-ES"/>
        </w:rPr>
        <w:t xml:space="preserve">Solicitamos que por favor se aclare si es posible acreditar la experiencia en licitaciones públicas a través de contratos ejecutados en el extranjero tanto para entidades estatales, como para </w:t>
      </w:r>
      <w:proofErr w:type="spellStart"/>
      <w:r w:rsidRPr="00BC59CE">
        <w:rPr>
          <w:rFonts w:ascii="Arial" w:eastAsia="Calibri" w:hAnsi="Arial" w:cs="Arial"/>
          <w:sz w:val="21"/>
          <w:szCs w:val="21"/>
          <w:lang w:val="es-ES"/>
        </w:rPr>
        <w:t>compaías</w:t>
      </w:r>
      <w:proofErr w:type="spellEnd"/>
      <w:r w:rsidRPr="00BC59CE">
        <w:rPr>
          <w:rFonts w:ascii="Arial" w:eastAsia="Calibri" w:hAnsi="Arial" w:cs="Arial"/>
          <w:sz w:val="21"/>
          <w:szCs w:val="21"/>
          <w:lang w:val="es-ES"/>
        </w:rPr>
        <w:t xml:space="preserve"> privadas del país donde se ejecutó el contrato.</w:t>
      </w:r>
      <w:r w:rsidRPr="00BC59CE">
        <w:rPr>
          <w:rFonts w:ascii="Arial" w:eastAsia="Calibri" w:hAnsi="Arial" w:cs="Arial"/>
          <w:sz w:val="21"/>
          <w:szCs w:val="21"/>
        </w:rPr>
        <w:t xml:space="preserve"> […]»</w:t>
      </w:r>
      <w:r w:rsidR="00C62667" w:rsidRPr="00BC59CE">
        <w:rPr>
          <w:rFonts w:ascii="Arial" w:eastAsia="Calibri" w:hAnsi="Arial" w:cs="Arial"/>
          <w:sz w:val="21"/>
          <w:szCs w:val="21"/>
        </w:rPr>
        <w:t xml:space="preserve"> (sic)</w:t>
      </w:r>
    </w:p>
    <w:p w14:paraId="76E2AABF" w14:textId="77777777" w:rsidR="009A44ED" w:rsidRDefault="009A44ED" w:rsidP="009A44ED">
      <w:pPr>
        <w:jc w:val="both"/>
        <w:rPr>
          <w:rFonts w:ascii="Arial" w:eastAsia="Calibri" w:hAnsi="Arial" w:cs="Arial"/>
          <w:b/>
          <w:bCs/>
          <w:sz w:val="22"/>
          <w:lang w:val="es-CO"/>
        </w:rPr>
      </w:pPr>
    </w:p>
    <w:p w14:paraId="189597C4" w14:textId="1A80DB2C" w:rsidR="009A44ED" w:rsidRDefault="009A44ED" w:rsidP="00BC59CE">
      <w:pPr>
        <w:spacing w:line="276" w:lineRule="auto"/>
        <w:jc w:val="both"/>
        <w:rPr>
          <w:rFonts w:ascii="Arial" w:eastAsia="Calibri" w:hAnsi="Arial" w:cs="Arial"/>
          <w:sz w:val="22"/>
          <w:lang w:val="es-ES"/>
        </w:rPr>
      </w:pPr>
      <w:r w:rsidRPr="00DF710D">
        <w:rPr>
          <w:rFonts w:ascii="Arial" w:hAnsi="Arial" w:cs="Arial"/>
          <w:iCs/>
          <w:sz w:val="22"/>
          <w:lang w:val="es-ES"/>
        </w:rPr>
        <w:t xml:space="preserve">El artículo </w:t>
      </w:r>
      <w:r>
        <w:rPr>
          <w:rFonts w:ascii="Arial" w:hAnsi="Arial" w:cs="Arial"/>
          <w:iCs/>
          <w:sz w:val="22"/>
          <w:lang w:val="es-ES"/>
        </w:rPr>
        <w:t xml:space="preserve">5 de la Ley 1150 de 2007 refiere que </w:t>
      </w:r>
      <w:r w:rsidRPr="00073CA9">
        <w:rPr>
          <w:rFonts w:ascii="Arial" w:hAnsi="Arial" w:cs="Arial"/>
          <w:iCs/>
          <w:sz w:val="22"/>
          <w:lang w:val="es-ES"/>
        </w:rPr>
        <w:t>los factores de escogencia y calificación que establezcan las entidades en los pliegos de condiciones o sus equivalentes tendrán en cuenta criterios</w:t>
      </w:r>
      <w:r>
        <w:rPr>
          <w:rFonts w:ascii="Arial" w:hAnsi="Arial" w:cs="Arial"/>
          <w:iCs/>
          <w:sz w:val="22"/>
          <w:lang w:val="es-ES"/>
        </w:rPr>
        <w:t xml:space="preserve"> como la capacidad jurídica, la experiencia, la </w:t>
      </w:r>
      <w:r w:rsidRPr="00073CA9">
        <w:rPr>
          <w:rFonts w:ascii="Arial" w:hAnsi="Arial" w:cs="Arial"/>
          <w:iCs/>
          <w:sz w:val="22"/>
          <w:lang w:val="es-ES"/>
        </w:rPr>
        <w:t xml:space="preserve">capacidad financiera y de organización de los </w:t>
      </w:r>
      <w:r>
        <w:rPr>
          <w:rFonts w:ascii="Arial" w:hAnsi="Arial" w:cs="Arial"/>
          <w:iCs/>
          <w:sz w:val="22"/>
          <w:lang w:val="es-ES"/>
        </w:rPr>
        <w:t xml:space="preserve">proponentes </w:t>
      </w:r>
      <w:r w:rsidRPr="00073CA9">
        <w:rPr>
          <w:rFonts w:ascii="Arial" w:hAnsi="Arial" w:cs="Arial"/>
          <w:iCs/>
          <w:sz w:val="22"/>
          <w:lang w:val="es-ES"/>
        </w:rPr>
        <w:t>para la participación en el proceso de selección</w:t>
      </w:r>
      <w:r>
        <w:rPr>
          <w:rFonts w:ascii="Arial" w:hAnsi="Arial" w:cs="Arial"/>
          <w:iCs/>
          <w:sz w:val="22"/>
          <w:lang w:val="es-ES"/>
        </w:rPr>
        <w:t>. De igual forma indicó que l</w:t>
      </w:r>
      <w:r w:rsidRPr="00073CA9">
        <w:rPr>
          <w:rFonts w:ascii="Arial" w:hAnsi="Arial" w:cs="Arial"/>
          <w:iCs/>
          <w:sz w:val="22"/>
          <w:lang w:val="es-ES"/>
        </w:rPr>
        <w:t xml:space="preserve">a verificación documental de las condiciones antes señaladas será efectuada por las Cámaras de Comercio de conformidad con lo establecido en el artículo 6 de la </w:t>
      </w:r>
      <w:r>
        <w:rPr>
          <w:rFonts w:ascii="Arial" w:hAnsi="Arial" w:cs="Arial"/>
          <w:iCs/>
          <w:sz w:val="22"/>
          <w:lang w:val="es-ES"/>
        </w:rPr>
        <w:t>misma</w:t>
      </w:r>
      <w:r w:rsidRPr="00073CA9">
        <w:rPr>
          <w:rFonts w:ascii="Arial" w:hAnsi="Arial" w:cs="Arial"/>
          <w:iCs/>
          <w:sz w:val="22"/>
          <w:lang w:val="es-ES"/>
        </w:rPr>
        <w:t xml:space="preserve"> </w:t>
      </w:r>
      <w:r>
        <w:rPr>
          <w:rFonts w:ascii="Arial" w:hAnsi="Arial" w:cs="Arial"/>
          <w:iCs/>
          <w:sz w:val="22"/>
          <w:lang w:val="es-ES"/>
        </w:rPr>
        <w:t>l</w:t>
      </w:r>
      <w:r w:rsidRPr="00073CA9">
        <w:rPr>
          <w:rFonts w:ascii="Arial" w:hAnsi="Arial" w:cs="Arial"/>
          <w:iCs/>
          <w:sz w:val="22"/>
          <w:lang w:val="es-ES"/>
        </w:rPr>
        <w:t>ey, de acuerdo con lo cual se expedirá la respectiva certificación</w:t>
      </w:r>
      <w:r>
        <w:rPr>
          <w:rFonts w:ascii="Arial" w:hAnsi="Arial" w:cs="Arial"/>
          <w:iCs/>
          <w:sz w:val="22"/>
          <w:lang w:val="es-ES"/>
        </w:rPr>
        <w:t xml:space="preserve"> en el </w:t>
      </w:r>
      <w:r w:rsidRPr="00553DEA">
        <w:rPr>
          <w:rFonts w:ascii="Arial" w:eastAsia="Calibri" w:hAnsi="Arial" w:cs="Arial"/>
          <w:sz w:val="22"/>
          <w:lang w:val="es-ES"/>
        </w:rPr>
        <w:t>Registro Único de Proponentes</w:t>
      </w:r>
      <w:r>
        <w:rPr>
          <w:rFonts w:ascii="Arial" w:eastAsia="Calibri" w:hAnsi="Arial" w:cs="Arial"/>
          <w:sz w:val="22"/>
          <w:lang w:val="es-ES"/>
        </w:rPr>
        <w:t xml:space="preserve"> (RUP). </w:t>
      </w:r>
      <w:r w:rsidRPr="00553DEA">
        <w:rPr>
          <w:rFonts w:ascii="Arial" w:eastAsia="Calibri" w:hAnsi="Arial" w:cs="Arial"/>
          <w:sz w:val="22"/>
          <w:lang w:val="es-ES"/>
        </w:rPr>
        <w:t xml:space="preserve"> </w:t>
      </w:r>
    </w:p>
    <w:p w14:paraId="22629759" w14:textId="77777777" w:rsidR="009A44ED" w:rsidRDefault="009A44ED" w:rsidP="00BC59CE">
      <w:pPr>
        <w:spacing w:line="276" w:lineRule="auto"/>
        <w:jc w:val="both"/>
        <w:rPr>
          <w:rFonts w:ascii="Arial" w:eastAsia="Calibri" w:hAnsi="Arial" w:cs="Arial"/>
          <w:sz w:val="22"/>
          <w:lang w:val="es-ES"/>
        </w:rPr>
      </w:pPr>
    </w:p>
    <w:p w14:paraId="5356B98E" w14:textId="77777777" w:rsidR="00C62667" w:rsidRDefault="009A44ED" w:rsidP="00BC59CE">
      <w:pPr>
        <w:spacing w:line="276" w:lineRule="auto"/>
        <w:ind w:firstLine="708"/>
        <w:jc w:val="both"/>
        <w:rPr>
          <w:rFonts w:ascii="Arial" w:eastAsia="Calibri" w:hAnsi="Arial" w:cs="Arial"/>
          <w:sz w:val="22"/>
          <w:lang w:val="es-ES"/>
        </w:rPr>
      </w:pPr>
      <w:r>
        <w:rPr>
          <w:rFonts w:ascii="Arial" w:eastAsia="Calibri" w:hAnsi="Arial" w:cs="Arial"/>
          <w:sz w:val="22"/>
          <w:lang w:val="es-ES"/>
        </w:rPr>
        <w:t xml:space="preserve">En ese orden de ideas, el RUP </w:t>
      </w:r>
      <w:r w:rsidRPr="00553DEA">
        <w:rPr>
          <w:rFonts w:ascii="Arial" w:eastAsia="Calibri" w:hAnsi="Arial" w:cs="Arial"/>
          <w:sz w:val="22"/>
          <w:lang w:val="es-ES"/>
        </w:rPr>
        <w:t>es el instrumento a través del cual los proponentes acreditan la capacidad financiera, jurídica, organizacional y la experiencia, y es plena prueba de las circunstancias que se hagan constar</w:t>
      </w:r>
      <w:r w:rsidRPr="00553DEA">
        <w:rPr>
          <w:rFonts w:ascii="Arial" w:eastAsia="Calibri" w:hAnsi="Arial" w:cs="Arial"/>
          <w:sz w:val="22"/>
          <w:vertAlign w:val="superscript"/>
          <w:lang w:val="es-ES"/>
        </w:rPr>
        <w:footnoteReference w:id="5"/>
      </w:r>
      <w:r w:rsidRPr="00553DEA">
        <w:rPr>
          <w:rFonts w:ascii="Arial" w:eastAsia="Calibri" w:hAnsi="Arial" w:cs="Arial"/>
          <w:sz w:val="22"/>
          <w:lang w:val="es-ES"/>
        </w:rPr>
        <w:t xml:space="preserve">, </w:t>
      </w:r>
      <w:r w:rsidR="00C62667">
        <w:rPr>
          <w:rFonts w:ascii="Arial" w:eastAsia="Calibri" w:hAnsi="Arial" w:cs="Arial"/>
          <w:sz w:val="22"/>
          <w:lang w:val="es-ES"/>
        </w:rPr>
        <w:t xml:space="preserve">a excepción de los procesos de selección que se exceptúa el uso del RUP, como lo son la mínima cuantía y </w:t>
      </w:r>
      <w:proofErr w:type="gramStart"/>
      <w:r w:rsidR="00C62667">
        <w:rPr>
          <w:rFonts w:ascii="Arial" w:eastAsia="Calibri" w:hAnsi="Arial" w:cs="Arial"/>
          <w:sz w:val="22"/>
          <w:lang w:val="es-ES"/>
        </w:rPr>
        <w:t>al contratación directa</w:t>
      </w:r>
      <w:proofErr w:type="gramEnd"/>
      <w:r w:rsidR="00C62667">
        <w:rPr>
          <w:rFonts w:ascii="Arial" w:eastAsia="Calibri" w:hAnsi="Arial" w:cs="Arial"/>
          <w:sz w:val="22"/>
          <w:lang w:val="es-ES"/>
        </w:rPr>
        <w:t>.</w:t>
      </w:r>
    </w:p>
    <w:p w14:paraId="06F5442A" w14:textId="77777777" w:rsidR="00C62667" w:rsidRDefault="00C62667" w:rsidP="00BC59CE">
      <w:pPr>
        <w:spacing w:line="276" w:lineRule="auto"/>
        <w:ind w:firstLine="708"/>
        <w:jc w:val="both"/>
        <w:rPr>
          <w:rFonts w:ascii="Arial" w:eastAsia="Calibri" w:hAnsi="Arial" w:cs="Arial"/>
          <w:sz w:val="22"/>
          <w:lang w:val="es-ES"/>
        </w:rPr>
      </w:pPr>
    </w:p>
    <w:p w14:paraId="2D17E808" w14:textId="18E0EB8F" w:rsidR="00906714" w:rsidRPr="00553DEA" w:rsidRDefault="00C62667" w:rsidP="00BC59CE">
      <w:pPr>
        <w:spacing w:line="276" w:lineRule="auto"/>
        <w:ind w:firstLine="708"/>
        <w:jc w:val="both"/>
        <w:rPr>
          <w:rFonts w:ascii="Arial" w:eastAsia="Calibri" w:hAnsi="Arial" w:cs="Arial"/>
          <w:sz w:val="22"/>
          <w:lang w:val="es-ES"/>
        </w:rPr>
      </w:pPr>
      <w:r>
        <w:rPr>
          <w:rFonts w:ascii="Arial" w:eastAsia="Calibri" w:hAnsi="Arial" w:cs="Arial"/>
          <w:sz w:val="22"/>
          <w:lang w:val="es-ES"/>
        </w:rPr>
        <w:t xml:space="preserve">De igual forma, </w:t>
      </w:r>
      <w:r w:rsidR="00906714" w:rsidRPr="00553DEA">
        <w:rPr>
          <w:rFonts w:ascii="Arial" w:eastAsia="Calibri" w:hAnsi="Arial" w:cs="Arial"/>
          <w:sz w:val="22"/>
          <w:lang w:val="es-ES"/>
        </w:rPr>
        <w:t xml:space="preserve">tratándose de personas naturales o jurídicas extranjeras, sin domicilio o sucursal en Colombia, estas no se encuentran obligadas a inscribirse en el Registro único de Proponentes – RUP. Por esta razón, frente a la acreditación de su experiencia en el extranjero, </w:t>
      </w:r>
      <w:r>
        <w:rPr>
          <w:rFonts w:ascii="Arial" w:eastAsia="Calibri" w:hAnsi="Arial" w:cs="Arial"/>
          <w:sz w:val="22"/>
          <w:lang w:val="es-ES"/>
        </w:rPr>
        <w:t xml:space="preserve">ya sea con entidades públicas o privadas, </w:t>
      </w:r>
      <w:r w:rsidR="00906714" w:rsidRPr="00553DEA">
        <w:rPr>
          <w:rFonts w:ascii="Arial" w:eastAsia="Calibri" w:hAnsi="Arial" w:cs="Arial"/>
          <w:sz w:val="22"/>
          <w:lang w:val="es-ES"/>
        </w:rPr>
        <w:t xml:space="preserve">le corresponde a las Entidades Estatales verificar directamente el cumplimiento de los requisitos habilitantes. Sobre este punto, como lo expuso la Agencia Nacional de Contratación Pública – Colombia Compra Eficiente, en el Manual para Determinar y Verificar los Requisitos Habilitantes en los Procesos de Contratación, </w:t>
      </w:r>
      <w:r>
        <w:rPr>
          <w:rFonts w:ascii="Arial" w:eastAsia="Calibri" w:hAnsi="Arial" w:cs="Arial"/>
          <w:sz w:val="22"/>
          <w:lang w:val="es-ES"/>
        </w:rPr>
        <w:t>la acreditación de experiencia en el extranjero e</w:t>
      </w:r>
      <w:r w:rsidR="00906714" w:rsidRPr="00553DEA">
        <w:rPr>
          <w:rFonts w:ascii="Arial" w:eastAsia="Calibri" w:hAnsi="Arial" w:cs="Arial"/>
          <w:sz w:val="22"/>
          <w:lang w:val="es-ES"/>
        </w:rPr>
        <w:t xml:space="preserve">s permitida y frente su calificación se sugiere a las entidades </w:t>
      </w:r>
      <w:r w:rsidR="00906714" w:rsidRPr="00553DEA">
        <w:rPr>
          <w:rFonts w:ascii="Arial" w:eastAsia="Calibri" w:hAnsi="Arial" w:cs="Arial"/>
          <w:sz w:val="22"/>
        </w:rPr>
        <w:t>«</w:t>
      </w:r>
      <w:r w:rsidR="00906714" w:rsidRPr="00553DEA">
        <w:rPr>
          <w:rFonts w:ascii="Arial" w:eastAsia="Calibri" w:hAnsi="Arial" w:cs="Arial"/>
          <w:sz w:val="22"/>
          <w:lang w:val="es-ES"/>
        </w:rPr>
        <w:t>incluir en los pliegos de condiciones modelos de certificados con los cuales los proponentes acrediten los requisitos habilitantes</w:t>
      </w:r>
      <w:r w:rsidR="00906714" w:rsidRPr="00553DEA">
        <w:rPr>
          <w:rFonts w:ascii="Arial" w:eastAsia="Calibri" w:hAnsi="Arial" w:cs="Arial"/>
          <w:sz w:val="22"/>
        </w:rPr>
        <w:t>»</w:t>
      </w:r>
      <w:r w:rsidR="00906714" w:rsidRPr="00553DEA">
        <w:rPr>
          <w:rFonts w:ascii="Arial" w:eastAsia="Calibri" w:hAnsi="Arial" w:cs="Arial"/>
          <w:sz w:val="22"/>
          <w:lang w:val="es-ES"/>
        </w:rPr>
        <w:t>.</w:t>
      </w:r>
    </w:p>
    <w:p w14:paraId="092D4FCE" w14:textId="77777777" w:rsidR="00906714" w:rsidRPr="00553DEA" w:rsidRDefault="00906714" w:rsidP="00BC59CE">
      <w:pPr>
        <w:spacing w:line="276" w:lineRule="auto"/>
        <w:jc w:val="both"/>
        <w:rPr>
          <w:rFonts w:ascii="Arial" w:eastAsia="Calibri" w:hAnsi="Arial" w:cs="Arial"/>
          <w:sz w:val="22"/>
          <w:lang w:val="es-ES"/>
        </w:rPr>
      </w:pPr>
    </w:p>
    <w:p w14:paraId="2A5B3D99" w14:textId="60E74B10" w:rsidR="00906714" w:rsidRDefault="00906714" w:rsidP="00BC59CE">
      <w:pPr>
        <w:spacing w:line="276" w:lineRule="auto"/>
        <w:ind w:firstLine="708"/>
        <w:jc w:val="both"/>
        <w:rPr>
          <w:rFonts w:ascii="Arial" w:eastAsia="Calibri" w:hAnsi="Arial" w:cs="Arial"/>
          <w:sz w:val="22"/>
          <w:lang w:val="es-ES"/>
        </w:rPr>
      </w:pPr>
      <w:r w:rsidRPr="00553DEA">
        <w:rPr>
          <w:rFonts w:ascii="Arial" w:eastAsia="Calibri" w:hAnsi="Arial" w:cs="Arial"/>
          <w:sz w:val="22"/>
          <w:lang w:val="es-ES"/>
        </w:rPr>
        <w:t>Corresponde a las entidades estatales entonces definir los criterios de calificación y habilitación de los procesos de contratación a su cargo, así como los modelos de certificados con los cuales pretende que los proponentes acrediten su experiencia en el extranjero.</w:t>
      </w:r>
    </w:p>
    <w:p w14:paraId="243780FA" w14:textId="005BBA56" w:rsidR="00C62667" w:rsidRDefault="00C62667" w:rsidP="00BC59CE">
      <w:pPr>
        <w:spacing w:line="276" w:lineRule="auto"/>
        <w:ind w:firstLine="708"/>
        <w:jc w:val="both"/>
        <w:rPr>
          <w:rFonts w:ascii="Arial" w:eastAsia="Calibri" w:hAnsi="Arial" w:cs="Arial"/>
          <w:sz w:val="22"/>
          <w:lang w:val="es-ES"/>
        </w:rPr>
      </w:pPr>
    </w:p>
    <w:p w14:paraId="5A081B9B" w14:textId="64D11DA5" w:rsidR="00C62667" w:rsidRPr="00553DEA" w:rsidRDefault="00C62667" w:rsidP="00BC59CE">
      <w:pPr>
        <w:spacing w:line="276" w:lineRule="auto"/>
        <w:ind w:firstLine="708"/>
        <w:jc w:val="both"/>
        <w:rPr>
          <w:rFonts w:ascii="Arial" w:eastAsia="Calibri" w:hAnsi="Arial" w:cs="Arial"/>
          <w:sz w:val="22"/>
          <w:lang w:val="es-ES"/>
        </w:rPr>
      </w:pPr>
      <w:r>
        <w:rPr>
          <w:rFonts w:ascii="Arial" w:hAnsi="Arial" w:cs="Arial"/>
          <w:sz w:val="22"/>
          <w:lang w:val="es-ES"/>
        </w:rPr>
        <w:t xml:space="preserve">Igualmente, es importante recordar que de conformidad con el artículo 6 de la Ley 1150 de 2007, </w:t>
      </w:r>
      <w:r w:rsidRPr="007D77D9">
        <w:rPr>
          <w:rFonts w:ascii="Arial" w:hAnsi="Arial" w:cs="Arial"/>
          <w:sz w:val="22"/>
          <w:lang w:val="es-ES"/>
        </w:rPr>
        <w:t>sólo en aquellos casos en que por las características del objeto a contratar se requiera la verificación de requisitos del proponente adicionales a los contenidos en el Registro</w:t>
      </w:r>
      <w:r>
        <w:rPr>
          <w:rFonts w:ascii="Arial" w:hAnsi="Arial" w:cs="Arial"/>
          <w:sz w:val="22"/>
          <w:lang w:val="es-ES"/>
        </w:rPr>
        <w:t xml:space="preserve"> Único de Proponentes</w:t>
      </w:r>
      <w:r w:rsidRPr="007D77D9">
        <w:rPr>
          <w:rFonts w:ascii="Arial" w:hAnsi="Arial" w:cs="Arial"/>
          <w:sz w:val="22"/>
          <w:lang w:val="es-ES"/>
        </w:rPr>
        <w:t>, la entidad podrá hacer tal verificación en forma directa</w:t>
      </w:r>
      <w:r>
        <w:rPr>
          <w:rFonts w:ascii="Arial" w:hAnsi="Arial" w:cs="Arial"/>
          <w:sz w:val="22"/>
          <w:lang w:val="es-ES"/>
        </w:rPr>
        <w:t>.</w:t>
      </w:r>
    </w:p>
    <w:p w14:paraId="0956CD0F" w14:textId="77777777" w:rsidR="00906714" w:rsidRPr="00553DEA" w:rsidRDefault="00906714" w:rsidP="00BC59CE">
      <w:pPr>
        <w:spacing w:line="276" w:lineRule="auto"/>
        <w:ind w:firstLine="708"/>
        <w:jc w:val="both"/>
        <w:rPr>
          <w:rFonts w:ascii="Arial" w:eastAsia="Calibri" w:hAnsi="Arial" w:cs="Arial"/>
          <w:sz w:val="22"/>
          <w:lang w:val="es-ES"/>
        </w:rPr>
      </w:pPr>
    </w:p>
    <w:p w14:paraId="62056DF2" w14:textId="53E07029" w:rsidR="00906714" w:rsidRPr="00553DEA" w:rsidRDefault="00906714" w:rsidP="00BC59CE">
      <w:pPr>
        <w:spacing w:line="276" w:lineRule="auto"/>
        <w:ind w:firstLine="708"/>
        <w:jc w:val="both"/>
        <w:rPr>
          <w:rFonts w:ascii="Arial" w:eastAsia="Calibri" w:hAnsi="Arial" w:cs="Arial"/>
          <w:sz w:val="22"/>
          <w:lang w:val="es-ES"/>
        </w:rPr>
      </w:pPr>
      <w:r w:rsidRPr="00553DEA">
        <w:rPr>
          <w:rFonts w:ascii="Arial" w:eastAsia="Calibri" w:hAnsi="Arial" w:cs="Arial"/>
          <w:sz w:val="22"/>
          <w:lang w:val="es-ES"/>
        </w:rPr>
        <w:t>Sin perjuicio de ello, se sugiere revisar los formatos sobre la acreditación de experiencia y la capacidad financiera y organizacional que la Agencia Nacional de Contratación Pública – Colombia Compra Eficiente sugiere para la contratación con personas naturales o jurídicas extranjeras</w:t>
      </w:r>
      <w:r w:rsidR="00C62667">
        <w:rPr>
          <w:rFonts w:ascii="Arial" w:eastAsia="Calibri" w:hAnsi="Arial" w:cs="Arial"/>
          <w:sz w:val="22"/>
          <w:lang w:val="es-ES"/>
        </w:rPr>
        <w:t xml:space="preserve">, </w:t>
      </w:r>
      <w:r w:rsidRPr="00553DEA">
        <w:rPr>
          <w:rFonts w:ascii="Arial" w:eastAsia="Calibri" w:hAnsi="Arial" w:cs="Arial"/>
          <w:sz w:val="22"/>
          <w:lang w:val="es-ES"/>
        </w:rPr>
        <w:t xml:space="preserve">incluidos en el </w:t>
      </w:r>
      <w:r w:rsidR="00C62667">
        <w:rPr>
          <w:rFonts w:ascii="Arial" w:eastAsia="Calibri" w:hAnsi="Arial" w:cs="Arial"/>
          <w:sz w:val="22"/>
          <w:lang w:val="es-ES"/>
        </w:rPr>
        <w:t>«</w:t>
      </w:r>
      <w:r w:rsidRPr="00553DEA">
        <w:rPr>
          <w:rFonts w:ascii="Arial" w:eastAsia="Calibri" w:hAnsi="Arial" w:cs="Arial"/>
          <w:sz w:val="22"/>
          <w:lang w:val="es-ES"/>
        </w:rPr>
        <w:t>Manual para Determinar y Verificar los Requisitos Habilitantes en los Procesos de Contratación</w:t>
      </w:r>
      <w:r w:rsidR="00C62667">
        <w:rPr>
          <w:rFonts w:ascii="Arial" w:eastAsia="Calibri" w:hAnsi="Arial" w:cs="Arial"/>
          <w:sz w:val="22"/>
          <w:lang w:val="es-ES"/>
        </w:rPr>
        <w:t>»</w:t>
      </w:r>
      <w:r w:rsidRPr="00553DEA">
        <w:rPr>
          <w:rFonts w:ascii="Arial" w:eastAsia="Calibri" w:hAnsi="Arial" w:cs="Arial"/>
          <w:sz w:val="22"/>
          <w:lang w:val="es-ES"/>
        </w:rPr>
        <w:t xml:space="preserve"> que encuentra en el siguiente enlace:</w:t>
      </w:r>
    </w:p>
    <w:p w14:paraId="0557D148" w14:textId="77777777" w:rsidR="00906714" w:rsidRPr="00553DEA" w:rsidRDefault="00906714" w:rsidP="00BC59CE">
      <w:pPr>
        <w:spacing w:line="276" w:lineRule="auto"/>
        <w:jc w:val="both"/>
        <w:rPr>
          <w:rFonts w:ascii="Arial" w:eastAsia="Calibri" w:hAnsi="Arial" w:cs="Arial"/>
          <w:sz w:val="22"/>
          <w:lang w:val="es-ES"/>
        </w:rPr>
      </w:pPr>
    </w:p>
    <w:p w14:paraId="6F8F2748" w14:textId="77777777" w:rsidR="00C62667" w:rsidRDefault="00906714" w:rsidP="00BC59CE">
      <w:pPr>
        <w:spacing w:line="276" w:lineRule="auto"/>
        <w:ind w:left="708" w:right="709"/>
        <w:jc w:val="both"/>
        <w:rPr>
          <w:rFonts w:ascii="Arial" w:eastAsia="Calibri" w:hAnsi="Arial" w:cs="Arial"/>
          <w:color w:val="4472C4" w:themeColor="accent1"/>
          <w:sz w:val="22"/>
          <w:lang w:val="es-ES"/>
        </w:rPr>
      </w:pPr>
      <w:r w:rsidRPr="00553DEA">
        <w:rPr>
          <w:rFonts w:ascii="Arial" w:eastAsia="Calibri" w:hAnsi="Arial" w:cs="Arial"/>
          <w:color w:val="4472C4" w:themeColor="accent1"/>
          <w:sz w:val="22"/>
          <w:lang w:val="es-ES"/>
        </w:rPr>
        <w:t>https://</w:t>
      </w:r>
      <w:hyperlink r:id="rId13">
        <w:r w:rsidRPr="00553DEA">
          <w:rPr>
            <w:rStyle w:val="Hipervnculo"/>
            <w:rFonts w:ascii="Arial" w:eastAsia="Calibri" w:hAnsi="Arial" w:cs="Arial"/>
            <w:color w:val="4472C4" w:themeColor="accent1"/>
            <w:sz w:val="22"/>
          </w:rPr>
          <w:t>www.colombiacompra.gov.co/sites/cce_public/files/cce_documents/cce_manual_re</w:t>
        </w:r>
      </w:hyperlink>
      <w:r w:rsidRPr="00553DEA">
        <w:rPr>
          <w:rFonts w:ascii="Arial" w:eastAsia="Calibri" w:hAnsi="Arial" w:cs="Arial"/>
          <w:color w:val="4472C4" w:themeColor="accent1"/>
          <w:sz w:val="22"/>
          <w:lang w:val="es-ES"/>
        </w:rPr>
        <w:t xml:space="preserve">quisitos_habilitantes.pdf  </w:t>
      </w:r>
    </w:p>
    <w:p w14:paraId="5AC63DEC" w14:textId="77777777" w:rsidR="00C62667" w:rsidRDefault="00C62667" w:rsidP="00BC59CE">
      <w:pPr>
        <w:spacing w:line="276" w:lineRule="auto"/>
        <w:ind w:left="708" w:right="709"/>
        <w:jc w:val="both"/>
        <w:rPr>
          <w:rFonts w:ascii="Arial" w:eastAsia="Calibri" w:hAnsi="Arial" w:cs="Arial"/>
          <w:color w:val="4472C4" w:themeColor="accent1"/>
          <w:sz w:val="22"/>
          <w:lang w:val="es-ES"/>
        </w:rPr>
      </w:pPr>
    </w:p>
    <w:p w14:paraId="15046E02" w14:textId="7845CF70" w:rsidR="00906714" w:rsidRDefault="00C62667" w:rsidP="00BC59CE">
      <w:pPr>
        <w:spacing w:line="276" w:lineRule="auto"/>
        <w:ind w:firstLine="709"/>
        <w:jc w:val="both"/>
        <w:rPr>
          <w:rFonts w:ascii="Arial" w:eastAsia="Calibri" w:hAnsi="Arial" w:cs="Arial"/>
          <w:sz w:val="22"/>
          <w:lang w:val="es-ES"/>
        </w:rPr>
      </w:pPr>
      <w:r>
        <w:rPr>
          <w:rFonts w:ascii="Arial" w:hAnsi="Arial" w:cs="Arial"/>
          <w:sz w:val="22"/>
          <w:lang w:val="es-ES"/>
        </w:rPr>
        <w:t>De igual forma, se sugiere la revisión en la «</w:t>
      </w:r>
      <w:r w:rsidRPr="00092470">
        <w:rPr>
          <w:rFonts w:ascii="Arial" w:hAnsi="Arial" w:cs="Arial"/>
          <w:sz w:val="22"/>
          <w:lang w:val="es-ES"/>
        </w:rPr>
        <w:t>Guía para la participación de</w:t>
      </w:r>
      <w:r>
        <w:rPr>
          <w:rFonts w:ascii="Arial" w:hAnsi="Arial" w:cs="Arial"/>
          <w:sz w:val="22"/>
          <w:lang w:val="es-ES"/>
        </w:rPr>
        <w:t xml:space="preserve"> </w:t>
      </w:r>
      <w:r w:rsidRPr="00092470">
        <w:rPr>
          <w:rFonts w:ascii="Arial" w:hAnsi="Arial" w:cs="Arial"/>
          <w:sz w:val="22"/>
          <w:lang w:val="es-ES"/>
        </w:rPr>
        <w:t>Proveedores Extranjeros en</w:t>
      </w:r>
      <w:r>
        <w:rPr>
          <w:rFonts w:ascii="Arial" w:hAnsi="Arial" w:cs="Arial"/>
          <w:sz w:val="22"/>
          <w:lang w:val="es-ES"/>
        </w:rPr>
        <w:t xml:space="preserve"> </w:t>
      </w:r>
      <w:r w:rsidRPr="00092470">
        <w:rPr>
          <w:rFonts w:ascii="Arial" w:hAnsi="Arial" w:cs="Arial"/>
          <w:sz w:val="22"/>
          <w:lang w:val="es-ES"/>
        </w:rPr>
        <w:t>Procesos de Contratación</w:t>
      </w:r>
      <w:r>
        <w:rPr>
          <w:rFonts w:ascii="Arial" w:hAnsi="Arial" w:cs="Arial"/>
          <w:sz w:val="22"/>
          <w:lang w:val="es-ES"/>
        </w:rPr>
        <w:t xml:space="preserve">», emitida por esta Agencia, y por medio de la cual se </w:t>
      </w:r>
      <w:r w:rsidRPr="00092470">
        <w:rPr>
          <w:rFonts w:ascii="Arial" w:hAnsi="Arial" w:cs="Arial"/>
          <w:sz w:val="22"/>
          <w:lang w:val="es-ES"/>
        </w:rPr>
        <w:t>ofrece información y hace recomendaciones a los proveedores extranjeros interesados en</w:t>
      </w:r>
      <w:r>
        <w:rPr>
          <w:rFonts w:ascii="Arial" w:hAnsi="Arial" w:cs="Arial"/>
          <w:sz w:val="22"/>
          <w:lang w:val="es-ES"/>
        </w:rPr>
        <w:t xml:space="preserve"> </w:t>
      </w:r>
      <w:r w:rsidRPr="00092470">
        <w:rPr>
          <w:rFonts w:ascii="Arial" w:hAnsi="Arial" w:cs="Arial"/>
          <w:sz w:val="22"/>
          <w:lang w:val="es-ES"/>
        </w:rPr>
        <w:t>participar en el Sistema de Compra Pública</w:t>
      </w:r>
      <w:r>
        <w:rPr>
          <w:rFonts w:ascii="Arial" w:eastAsia="Calibri" w:hAnsi="Arial" w:cs="Arial"/>
          <w:color w:val="4472C4" w:themeColor="accent1"/>
          <w:sz w:val="22"/>
          <w:lang w:val="es-ES"/>
        </w:rPr>
        <w:t xml:space="preserve">, </w:t>
      </w:r>
      <w:r w:rsidRPr="00553DEA">
        <w:rPr>
          <w:rFonts w:ascii="Arial" w:eastAsia="Calibri" w:hAnsi="Arial" w:cs="Arial"/>
          <w:sz w:val="22"/>
          <w:lang w:val="es-ES"/>
        </w:rPr>
        <w:t>que encuentra en el siguiente enlace:</w:t>
      </w:r>
    </w:p>
    <w:p w14:paraId="2933E20B" w14:textId="77777777" w:rsidR="005A39F8" w:rsidRDefault="005A39F8" w:rsidP="00BC59CE">
      <w:pPr>
        <w:spacing w:line="276" w:lineRule="auto"/>
        <w:ind w:firstLine="709"/>
        <w:jc w:val="both"/>
        <w:rPr>
          <w:rFonts w:ascii="Arial" w:eastAsia="Calibri" w:hAnsi="Arial" w:cs="Arial"/>
          <w:sz w:val="22"/>
          <w:lang w:val="es-ES"/>
        </w:rPr>
      </w:pPr>
    </w:p>
    <w:p w14:paraId="31B5238C" w14:textId="482C5D94" w:rsidR="00C62667" w:rsidRPr="00553DEA" w:rsidRDefault="00DA4421" w:rsidP="00BC59CE">
      <w:pPr>
        <w:spacing w:line="276" w:lineRule="auto"/>
        <w:ind w:firstLine="709"/>
        <w:jc w:val="both"/>
        <w:rPr>
          <w:rFonts w:ascii="Arial" w:eastAsia="Calibri" w:hAnsi="Arial" w:cs="Arial"/>
          <w:sz w:val="22"/>
          <w:lang w:val="es-ES"/>
        </w:rPr>
      </w:pPr>
      <w:hyperlink r:id="rId14" w:history="1">
        <w:r w:rsidR="005A39F8" w:rsidRPr="00580410">
          <w:rPr>
            <w:rStyle w:val="Hipervnculo"/>
            <w:rFonts w:ascii="Arial" w:eastAsia="Calibri" w:hAnsi="Arial" w:cs="Arial"/>
            <w:sz w:val="22"/>
            <w:lang w:val="es-ES"/>
          </w:rPr>
          <w:t>https://www.colombiacompra.gov.co/sites/cce_public/files/cce_documents/cce_guia_proveedores_extranjeros.pdf</w:t>
        </w:r>
      </w:hyperlink>
      <w:r w:rsidR="005A39F8">
        <w:rPr>
          <w:rFonts w:ascii="Arial" w:eastAsia="Calibri" w:hAnsi="Arial" w:cs="Arial"/>
          <w:sz w:val="22"/>
          <w:lang w:val="es-ES"/>
        </w:rPr>
        <w:t xml:space="preserve"> </w:t>
      </w:r>
    </w:p>
    <w:p w14:paraId="5D5DBF66" w14:textId="77777777" w:rsidR="005A39F8" w:rsidRPr="00714C91" w:rsidRDefault="00906714" w:rsidP="00BC59CE">
      <w:pPr>
        <w:spacing w:before="240" w:line="276" w:lineRule="auto"/>
        <w:ind w:firstLine="709"/>
        <w:jc w:val="both"/>
        <w:rPr>
          <w:rFonts w:ascii="Arial" w:hAnsi="Arial" w:cs="Arial"/>
          <w:bCs/>
          <w:sz w:val="22"/>
          <w:lang w:val="es-ES_tradnl"/>
        </w:rPr>
      </w:pPr>
      <w:r w:rsidRPr="00553DEA">
        <w:rPr>
          <w:rFonts w:ascii="Arial" w:eastAsia="Calibri" w:hAnsi="Arial" w:cs="Arial"/>
          <w:sz w:val="22"/>
        </w:rPr>
        <w:t>Este concepto tiene el alcance previsto en el artículo 28 del Código de Procedimiento Administrativo y de lo Contencioso Administrativo</w:t>
      </w:r>
      <w:r w:rsidR="005A39F8">
        <w:rPr>
          <w:rFonts w:ascii="Arial" w:eastAsia="Calibri" w:hAnsi="Arial" w:cs="Arial"/>
          <w:sz w:val="22"/>
        </w:rPr>
        <w:t xml:space="preserve"> </w:t>
      </w:r>
      <w:r w:rsidR="005A39F8" w:rsidRPr="00714C91">
        <w:rPr>
          <w:rFonts w:ascii="Arial" w:hAnsi="Arial" w:cs="Arial"/>
          <w:color w:val="000000" w:themeColor="text1"/>
          <w:sz w:val="22"/>
          <w:lang w:val="es-ES_tradnl"/>
        </w:rPr>
        <w:t xml:space="preserve">y </w:t>
      </w:r>
      <w:r w:rsidR="005A39F8" w:rsidRPr="00714C91">
        <w:rPr>
          <w:rFonts w:ascii="Arial" w:hAnsi="Arial" w:cs="Arial"/>
          <w:color w:val="000000" w:themeColor="text1"/>
          <w:sz w:val="22"/>
        </w:rPr>
        <w:t>las expresiones aquí utilizadas con mayúscula inicial deben ser entendidas con el significado que les otorga el artículo 2.2.1.1.1.3.1. del Decreto 1082 de 2015</w:t>
      </w:r>
      <w:r w:rsidR="005A39F8" w:rsidRPr="00714C91">
        <w:rPr>
          <w:rFonts w:ascii="Arial" w:hAnsi="Arial" w:cs="Arial"/>
          <w:color w:val="000000" w:themeColor="text1"/>
          <w:sz w:val="22"/>
          <w:lang w:val="es-ES_tradnl"/>
        </w:rPr>
        <w:t>.</w:t>
      </w:r>
    </w:p>
    <w:p w14:paraId="34447D26" w14:textId="70848AB0" w:rsidR="00906714" w:rsidRPr="00553DEA" w:rsidRDefault="00906714" w:rsidP="00553DEA">
      <w:pPr>
        <w:jc w:val="both"/>
        <w:rPr>
          <w:rFonts w:ascii="Arial" w:eastAsia="Calibri" w:hAnsi="Arial" w:cs="Arial"/>
          <w:sz w:val="22"/>
        </w:rPr>
      </w:pPr>
    </w:p>
    <w:p w14:paraId="53CBAD11" w14:textId="6A40DE35" w:rsidR="005A39F8" w:rsidRDefault="00906714" w:rsidP="00BC59CE">
      <w:pPr>
        <w:jc w:val="both"/>
        <w:rPr>
          <w:rFonts w:ascii="Arial" w:eastAsia="Times New Roman" w:hAnsi="Arial" w:cs="Arial"/>
          <w:sz w:val="22"/>
          <w:lang w:val="es-CO" w:eastAsia="es-CO"/>
        </w:rPr>
      </w:pPr>
      <w:bookmarkStart w:id="1" w:name="_Hlk57650395"/>
      <w:r w:rsidRPr="00553DEA">
        <w:rPr>
          <w:rFonts w:ascii="Arial" w:eastAsia="Times New Roman" w:hAnsi="Arial" w:cs="Arial"/>
          <w:sz w:val="22"/>
          <w:lang w:val="es-CO" w:eastAsia="es-CO"/>
        </w:rPr>
        <w:t>Atentamente,</w:t>
      </w:r>
      <w:bookmarkEnd w:id="0"/>
      <w:bookmarkEnd w:id="1"/>
    </w:p>
    <w:p w14:paraId="70B4D904" w14:textId="09882B92" w:rsidR="00906714" w:rsidRDefault="00BC59CE" w:rsidP="005A39F8">
      <w:pPr>
        <w:jc w:val="center"/>
        <w:rPr>
          <w:rFonts w:ascii="Arial" w:eastAsia="Times New Roman" w:hAnsi="Arial" w:cs="Arial"/>
          <w:sz w:val="22"/>
          <w:lang w:val="es-CO" w:eastAsia="es-CO"/>
        </w:rPr>
      </w:pPr>
      <w:r>
        <w:rPr>
          <w:noProof/>
        </w:rPr>
        <w:drawing>
          <wp:inline distT="0" distB="0" distL="0" distR="0" wp14:anchorId="61AF0CCC" wp14:editId="138AE626">
            <wp:extent cx="2775006" cy="1064730"/>
            <wp:effectExtent l="0" t="0" r="6350" b="254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pic:nvPicPr>
                  <pic:blipFill>
                    <a:blip r:embed="rId15"/>
                    <a:stretch>
                      <a:fillRect/>
                    </a:stretch>
                  </pic:blipFill>
                  <pic:spPr>
                    <a:xfrm>
                      <a:off x="0" y="0"/>
                      <a:ext cx="2785707" cy="1068836"/>
                    </a:xfrm>
                    <a:prstGeom prst="rect">
                      <a:avLst/>
                    </a:prstGeom>
                  </pic:spPr>
                </pic:pic>
              </a:graphicData>
            </a:graphic>
          </wp:inline>
        </w:drawing>
      </w:r>
    </w:p>
    <w:p w14:paraId="1E71DF04" w14:textId="77777777" w:rsidR="005A39F8" w:rsidRPr="00553DEA" w:rsidRDefault="005A39F8" w:rsidP="005A39F8">
      <w:pPr>
        <w:jc w:val="center"/>
        <w:rPr>
          <w:rFonts w:ascii="Arial" w:eastAsia="Times New Roman" w:hAnsi="Arial" w:cs="Arial"/>
          <w:sz w:val="22"/>
          <w:lang w:val="es-CO" w:eastAsia="es-CO"/>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2"/>
        <w:gridCol w:w="4598"/>
      </w:tblGrid>
      <w:tr w:rsidR="00906714" w:rsidRPr="005A39F8" w14:paraId="1D27DC74" w14:textId="77777777" w:rsidTr="005A39F8">
        <w:trPr>
          <w:trHeight w:val="437"/>
        </w:trPr>
        <w:tc>
          <w:tcPr>
            <w:tcW w:w="932" w:type="dxa"/>
            <w:vAlign w:val="center"/>
          </w:tcPr>
          <w:p w14:paraId="64F6503C" w14:textId="77777777" w:rsidR="00906714" w:rsidRPr="005A39F8" w:rsidRDefault="00906714" w:rsidP="00553DEA">
            <w:pPr>
              <w:jc w:val="both"/>
              <w:rPr>
                <w:rFonts w:ascii="Arial" w:eastAsia="Times New Roman" w:hAnsi="Arial" w:cs="Arial"/>
                <w:sz w:val="18"/>
                <w:szCs w:val="18"/>
                <w:lang w:eastAsia="es-ES"/>
              </w:rPr>
            </w:pPr>
            <w:r w:rsidRPr="005A39F8">
              <w:rPr>
                <w:rFonts w:ascii="Arial" w:eastAsia="Times New Roman" w:hAnsi="Arial" w:cs="Arial"/>
                <w:sz w:val="18"/>
                <w:szCs w:val="18"/>
                <w:lang w:eastAsia="es-ES"/>
              </w:rPr>
              <w:t>Elaboró:</w:t>
            </w:r>
          </w:p>
        </w:tc>
        <w:tc>
          <w:tcPr>
            <w:tcW w:w="4598" w:type="dxa"/>
            <w:tcBorders>
              <w:bottom w:val="dotted" w:sz="4" w:space="0" w:color="7F7F7F" w:themeColor="text1" w:themeTint="80"/>
            </w:tcBorders>
            <w:vAlign w:val="center"/>
          </w:tcPr>
          <w:p w14:paraId="5870E948" w14:textId="77777777" w:rsidR="00906714" w:rsidRPr="005A39F8" w:rsidRDefault="00906714" w:rsidP="00553DEA">
            <w:pPr>
              <w:jc w:val="both"/>
              <w:rPr>
                <w:rFonts w:ascii="Arial" w:eastAsia="Times New Roman" w:hAnsi="Arial" w:cs="Arial"/>
                <w:sz w:val="18"/>
                <w:szCs w:val="18"/>
                <w:lang w:eastAsia="es-ES"/>
              </w:rPr>
            </w:pPr>
            <w:r w:rsidRPr="005A39F8">
              <w:rPr>
                <w:rFonts w:ascii="Arial" w:eastAsia="Times New Roman" w:hAnsi="Arial" w:cs="Arial"/>
                <w:sz w:val="18"/>
                <w:szCs w:val="18"/>
                <w:lang w:eastAsia="es-ES"/>
              </w:rPr>
              <w:t>Juan Carlos Covilla Martínez</w:t>
            </w:r>
          </w:p>
          <w:p w14:paraId="7EB2670A" w14:textId="77777777" w:rsidR="00906714" w:rsidRPr="005A39F8" w:rsidRDefault="00906714" w:rsidP="00553DEA">
            <w:pPr>
              <w:jc w:val="both"/>
              <w:rPr>
                <w:rFonts w:ascii="Arial" w:eastAsia="Times New Roman" w:hAnsi="Arial" w:cs="Arial"/>
                <w:sz w:val="18"/>
                <w:szCs w:val="18"/>
                <w:lang w:eastAsia="es-ES"/>
              </w:rPr>
            </w:pPr>
            <w:r w:rsidRPr="005A39F8">
              <w:rPr>
                <w:rFonts w:ascii="Arial" w:eastAsia="Times New Roman" w:hAnsi="Arial" w:cs="Arial"/>
                <w:sz w:val="18"/>
                <w:szCs w:val="18"/>
                <w:lang w:eastAsia="es-ES"/>
              </w:rPr>
              <w:t xml:space="preserve">Contratista de la Subdirección de Gestión Contractual </w:t>
            </w:r>
          </w:p>
        </w:tc>
      </w:tr>
      <w:tr w:rsidR="00906714" w:rsidRPr="005A39F8" w14:paraId="5DD1EAC3" w14:textId="77777777" w:rsidTr="005A39F8">
        <w:trPr>
          <w:trHeight w:val="458"/>
        </w:trPr>
        <w:tc>
          <w:tcPr>
            <w:tcW w:w="932" w:type="dxa"/>
            <w:vAlign w:val="center"/>
          </w:tcPr>
          <w:p w14:paraId="1D40FE52" w14:textId="77777777" w:rsidR="00906714" w:rsidRPr="005A39F8" w:rsidRDefault="00906714" w:rsidP="00553DEA">
            <w:pPr>
              <w:jc w:val="both"/>
              <w:rPr>
                <w:rFonts w:ascii="Arial" w:eastAsia="Times New Roman" w:hAnsi="Arial" w:cs="Arial"/>
                <w:sz w:val="18"/>
                <w:szCs w:val="18"/>
                <w:lang w:eastAsia="es-ES"/>
              </w:rPr>
            </w:pPr>
            <w:r w:rsidRPr="005A39F8">
              <w:rPr>
                <w:rFonts w:ascii="Arial" w:eastAsia="Times New Roman" w:hAnsi="Arial" w:cs="Arial"/>
                <w:sz w:val="18"/>
                <w:szCs w:val="18"/>
                <w:lang w:eastAsia="es-ES"/>
              </w:rPr>
              <w:t>Revisó:</w:t>
            </w:r>
          </w:p>
        </w:tc>
        <w:tc>
          <w:tcPr>
            <w:tcW w:w="4598" w:type="dxa"/>
            <w:tcBorders>
              <w:top w:val="dotted" w:sz="4" w:space="0" w:color="7F7F7F" w:themeColor="text1" w:themeTint="80"/>
              <w:bottom w:val="dotted" w:sz="4" w:space="0" w:color="7F7F7F" w:themeColor="text1" w:themeTint="80"/>
            </w:tcBorders>
            <w:vAlign w:val="center"/>
          </w:tcPr>
          <w:p w14:paraId="616961C2" w14:textId="77777777" w:rsidR="00906714" w:rsidRPr="005A39F8" w:rsidRDefault="00906714" w:rsidP="00553DEA">
            <w:pPr>
              <w:jc w:val="both"/>
              <w:rPr>
                <w:rFonts w:ascii="Arial" w:hAnsi="Arial" w:cs="Arial"/>
                <w:sz w:val="18"/>
                <w:szCs w:val="18"/>
                <w:lang w:eastAsia="es-ES"/>
              </w:rPr>
            </w:pPr>
            <w:r w:rsidRPr="005A39F8">
              <w:rPr>
                <w:rFonts w:ascii="Arial" w:hAnsi="Arial" w:cs="Arial"/>
                <w:sz w:val="18"/>
                <w:szCs w:val="18"/>
                <w:lang w:eastAsia="es-ES"/>
              </w:rPr>
              <w:t>Any Alejandra Tovar Castillo</w:t>
            </w:r>
          </w:p>
          <w:p w14:paraId="22D844BE" w14:textId="77777777" w:rsidR="00906714" w:rsidRPr="005A39F8" w:rsidRDefault="00906714" w:rsidP="00553DEA">
            <w:pPr>
              <w:jc w:val="both"/>
              <w:rPr>
                <w:rFonts w:ascii="Arial" w:eastAsia="Times New Roman" w:hAnsi="Arial" w:cs="Arial"/>
                <w:sz w:val="18"/>
                <w:szCs w:val="18"/>
                <w:lang w:eastAsia="es-ES"/>
              </w:rPr>
            </w:pPr>
            <w:r w:rsidRPr="005A39F8">
              <w:rPr>
                <w:rFonts w:ascii="Arial" w:eastAsia="Times New Roman" w:hAnsi="Arial" w:cs="Arial"/>
                <w:sz w:val="18"/>
                <w:szCs w:val="18"/>
                <w:lang w:eastAsia="es-ES"/>
              </w:rPr>
              <w:t xml:space="preserve">Contratista de la </w:t>
            </w:r>
            <w:r w:rsidRPr="005A39F8">
              <w:rPr>
                <w:rFonts w:ascii="Arial" w:hAnsi="Arial" w:cs="Arial"/>
                <w:sz w:val="18"/>
                <w:szCs w:val="18"/>
                <w:lang w:eastAsia="es-ES"/>
              </w:rPr>
              <w:t>Subdirección de Gestión Contractual</w:t>
            </w:r>
          </w:p>
        </w:tc>
      </w:tr>
      <w:tr w:rsidR="00906714" w:rsidRPr="005A39F8" w14:paraId="061358D4" w14:textId="77777777" w:rsidTr="005A39F8">
        <w:trPr>
          <w:trHeight w:val="416"/>
        </w:trPr>
        <w:tc>
          <w:tcPr>
            <w:tcW w:w="932" w:type="dxa"/>
            <w:vAlign w:val="center"/>
          </w:tcPr>
          <w:p w14:paraId="59282E74" w14:textId="77777777" w:rsidR="00906714" w:rsidRPr="005A39F8" w:rsidRDefault="00906714" w:rsidP="00553DEA">
            <w:pPr>
              <w:jc w:val="both"/>
              <w:rPr>
                <w:rFonts w:ascii="Arial" w:eastAsia="Times New Roman" w:hAnsi="Arial" w:cs="Arial"/>
                <w:sz w:val="18"/>
                <w:szCs w:val="18"/>
                <w:lang w:eastAsia="es-ES"/>
              </w:rPr>
            </w:pPr>
            <w:r w:rsidRPr="005A39F8">
              <w:rPr>
                <w:rFonts w:ascii="Arial" w:eastAsia="Times New Roman" w:hAnsi="Arial" w:cs="Arial"/>
                <w:sz w:val="18"/>
                <w:szCs w:val="18"/>
                <w:lang w:eastAsia="es-ES"/>
              </w:rPr>
              <w:t>Aprobó:</w:t>
            </w:r>
          </w:p>
        </w:tc>
        <w:tc>
          <w:tcPr>
            <w:tcW w:w="4598" w:type="dxa"/>
            <w:tcBorders>
              <w:top w:val="dotted" w:sz="4" w:space="0" w:color="7F7F7F" w:themeColor="text1" w:themeTint="80"/>
              <w:bottom w:val="dotted" w:sz="4" w:space="0" w:color="7F7F7F" w:themeColor="text1" w:themeTint="80"/>
            </w:tcBorders>
            <w:vAlign w:val="center"/>
          </w:tcPr>
          <w:p w14:paraId="758AFC64" w14:textId="77777777" w:rsidR="00906714" w:rsidRPr="005A39F8" w:rsidRDefault="00906714" w:rsidP="00553DEA">
            <w:pPr>
              <w:jc w:val="both"/>
              <w:rPr>
                <w:rFonts w:ascii="Arial" w:eastAsia="Calibri" w:hAnsi="Arial" w:cs="Arial"/>
                <w:sz w:val="18"/>
                <w:szCs w:val="18"/>
                <w:lang w:val="pt-BR" w:eastAsia="es-ES"/>
              </w:rPr>
            </w:pPr>
            <w:proofErr w:type="spellStart"/>
            <w:r w:rsidRPr="005A39F8">
              <w:rPr>
                <w:rFonts w:ascii="Arial" w:eastAsia="Calibri" w:hAnsi="Arial" w:cs="Arial"/>
                <w:sz w:val="18"/>
                <w:szCs w:val="18"/>
                <w:lang w:val="pt-BR" w:eastAsia="es-ES"/>
              </w:rPr>
              <w:t>Nohelia</w:t>
            </w:r>
            <w:proofErr w:type="spellEnd"/>
            <w:r w:rsidRPr="005A39F8">
              <w:rPr>
                <w:rFonts w:ascii="Arial" w:eastAsia="Calibri" w:hAnsi="Arial" w:cs="Arial"/>
                <w:sz w:val="18"/>
                <w:szCs w:val="18"/>
                <w:lang w:val="pt-BR" w:eastAsia="es-ES"/>
              </w:rPr>
              <w:t xml:space="preserve"> </w:t>
            </w:r>
            <w:proofErr w:type="spellStart"/>
            <w:r w:rsidRPr="005A39F8">
              <w:rPr>
                <w:rFonts w:ascii="Arial" w:eastAsia="Calibri" w:hAnsi="Arial" w:cs="Arial"/>
                <w:sz w:val="18"/>
                <w:szCs w:val="18"/>
                <w:lang w:val="pt-BR" w:eastAsia="es-ES"/>
              </w:rPr>
              <w:t>del</w:t>
            </w:r>
            <w:proofErr w:type="spellEnd"/>
            <w:r w:rsidRPr="005A39F8">
              <w:rPr>
                <w:rFonts w:ascii="Arial" w:eastAsia="Calibri" w:hAnsi="Arial" w:cs="Arial"/>
                <w:sz w:val="18"/>
                <w:szCs w:val="18"/>
                <w:lang w:val="pt-BR" w:eastAsia="es-ES"/>
              </w:rPr>
              <w:t xml:space="preserve"> Carmen </w:t>
            </w:r>
            <w:proofErr w:type="spellStart"/>
            <w:r w:rsidRPr="005A39F8">
              <w:rPr>
                <w:rFonts w:ascii="Arial" w:eastAsia="Calibri" w:hAnsi="Arial" w:cs="Arial"/>
                <w:sz w:val="18"/>
                <w:szCs w:val="18"/>
                <w:lang w:val="pt-BR" w:eastAsia="es-ES"/>
              </w:rPr>
              <w:t>Zawady</w:t>
            </w:r>
            <w:proofErr w:type="spellEnd"/>
            <w:r w:rsidRPr="005A39F8">
              <w:rPr>
                <w:rFonts w:ascii="Arial" w:eastAsia="Calibri" w:hAnsi="Arial" w:cs="Arial"/>
                <w:sz w:val="18"/>
                <w:szCs w:val="18"/>
                <w:lang w:val="pt-BR" w:eastAsia="es-ES"/>
              </w:rPr>
              <w:t xml:space="preserve"> Palacio</w:t>
            </w:r>
          </w:p>
          <w:p w14:paraId="700189E0" w14:textId="77777777" w:rsidR="00906714" w:rsidRPr="005A39F8" w:rsidRDefault="00906714" w:rsidP="00553DEA">
            <w:pPr>
              <w:jc w:val="both"/>
              <w:rPr>
                <w:rFonts w:ascii="Arial" w:eastAsia="Times New Roman" w:hAnsi="Arial" w:cs="Arial"/>
                <w:sz w:val="18"/>
                <w:szCs w:val="18"/>
                <w:lang w:eastAsia="es-ES"/>
              </w:rPr>
            </w:pPr>
            <w:r w:rsidRPr="005A39F8">
              <w:rPr>
                <w:rFonts w:ascii="Arial" w:eastAsia="Calibri" w:hAnsi="Arial" w:cs="Arial"/>
                <w:sz w:val="18"/>
                <w:szCs w:val="18"/>
                <w:lang w:eastAsia="es-ES"/>
              </w:rPr>
              <w:t xml:space="preserve">Subdirectora de Gestión Contractual </w:t>
            </w:r>
          </w:p>
        </w:tc>
      </w:tr>
    </w:tbl>
    <w:p w14:paraId="2F4379A2" w14:textId="77777777" w:rsidR="00906714" w:rsidRPr="00553DEA" w:rsidRDefault="00906714" w:rsidP="00553DEA">
      <w:pPr>
        <w:jc w:val="both"/>
        <w:rPr>
          <w:rFonts w:ascii="Arial" w:hAnsi="Arial" w:cs="Arial"/>
          <w:sz w:val="22"/>
        </w:rPr>
      </w:pPr>
    </w:p>
    <w:p w14:paraId="4A9E13AB" w14:textId="77777777" w:rsidR="00906714" w:rsidRPr="00553DEA" w:rsidRDefault="00906714" w:rsidP="00553DEA">
      <w:pPr>
        <w:jc w:val="both"/>
        <w:rPr>
          <w:rFonts w:ascii="Arial" w:hAnsi="Arial" w:cs="Arial"/>
          <w:sz w:val="22"/>
        </w:rPr>
      </w:pPr>
    </w:p>
    <w:p w14:paraId="5957FA5F" w14:textId="1F2CE68E" w:rsidR="00B01ED6" w:rsidRPr="00553DEA" w:rsidRDefault="00B01ED6" w:rsidP="00553DEA">
      <w:pPr>
        <w:jc w:val="both"/>
        <w:rPr>
          <w:rFonts w:ascii="Arial" w:hAnsi="Arial" w:cs="Arial"/>
          <w:sz w:val="22"/>
        </w:rPr>
      </w:pPr>
    </w:p>
    <w:sectPr w:rsidR="00B01ED6" w:rsidRPr="00553DEA" w:rsidSect="0039439C">
      <w:headerReference w:type="default" r:id="rId16"/>
      <w:footerReference w:type="default" r:id="rId17"/>
      <w:pgSz w:w="12240" w:h="15840" w:code="1"/>
      <w:pgMar w:top="1418" w:right="1418" w:bottom="1418" w:left="1418" w:header="850" w:footer="397"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FE1001" w14:textId="77777777" w:rsidR="003151C7" w:rsidRDefault="003151C7" w:rsidP="004A1847">
      <w:r>
        <w:separator/>
      </w:r>
    </w:p>
  </w:endnote>
  <w:endnote w:type="continuationSeparator" w:id="0">
    <w:p w14:paraId="3F01849E" w14:textId="77777777" w:rsidR="003151C7" w:rsidRDefault="003151C7" w:rsidP="004A18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Arial Nova">
    <w:charset w:val="00"/>
    <w:family w:val="swiss"/>
    <w:pitch w:val="variable"/>
    <w:sig w:usb0="0000028F" w:usb1="00000002" w:usb2="00000000" w:usb3="00000000" w:csb0="0000019F" w:csb1="00000000"/>
  </w:font>
  <w:font w:name="Geo">
    <w:altName w:val="Calibri"/>
    <w:charset w:val="00"/>
    <w:family w:val="auto"/>
    <w:pitch w:val="variable"/>
    <w:sig w:usb0="8000002F" w:usb1="40000048" w:usb2="00000000" w:usb3="00000000" w:csb0="00000001" w:csb1="00000000"/>
  </w:font>
  <w:font w:name="Geomanist Bold">
    <w:altName w:val="Calibri"/>
    <w:panose1 w:val="02000503000000020004"/>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460CCDF7" w:rsidR="004A1847" w:rsidRDefault="004A1847" w:rsidP="008614E5">
    <w:pPr>
      <w:pStyle w:val="Piedepgina"/>
    </w:pPr>
    <w:r>
      <w:rPr>
        <w:noProof/>
      </w:rPr>
      <w:drawing>
        <wp:inline distT="0" distB="0" distL="0" distR="0" wp14:anchorId="1F77499E" wp14:editId="160C643E">
          <wp:extent cx="5742143" cy="892175"/>
          <wp:effectExtent l="0" t="0" r="0" b="3175"/>
          <wp:docPr id="4" name="Imagen 4"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
      <w:gridCol w:w="678"/>
      <w:gridCol w:w="844"/>
      <w:gridCol w:w="1784"/>
      <w:gridCol w:w="720"/>
      <w:gridCol w:w="2818"/>
      <w:gridCol w:w="1527"/>
    </w:tblGrid>
    <w:tr w:rsidR="008614E5" w:rsidRPr="00080DA3" w14:paraId="0534DA7F" w14:textId="77777777" w:rsidTr="00A07532">
      <w:trPr>
        <w:trHeight w:val="198"/>
        <w:jc w:val="center"/>
      </w:trPr>
      <w:tc>
        <w:tcPr>
          <w:tcW w:w="838"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4B28DD0E" w14:textId="403BB573"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9B52F09" w14:textId="22188FC9"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0</w:t>
          </w:r>
          <w:r w:rsidR="00C9405D">
            <w:rPr>
              <w:rFonts w:ascii="Geomanist Light" w:hAnsi="Geomanist Light"/>
              <w:sz w:val="18"/>
              <w:szCs w:val="18"/>
            </w:rPr>
            <w:t>2</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36DA5B04" w14:textId="372D5633"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vAlign w:val="center"/>
        </w:tcPr>
        <w:p w14:paraId="71E26DE9" w14:textId="227155A8" w:rsidR="006219F8" w:rsidRPr="004B6B0E" w:rsidRDefault="00906B3C" w:rsidP="00A07532">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w:t>
          </w:r>
          <w:r w:rsidR="004B6B0E">
            <w:rPr>
              <w:rFonts w:ascii="Geomanist Light" w:eastAsia="Geo" w:hAnsi="Geomanist Light" w:cs="Geo"/>
              <w:b/>
              <w:color w:val="000000"/>
              <w:sz w:val="18"/>
              <w:szCs w:val="18"/>
              <w:lang w:eastAsia="es-CO"/>
            </w:rPr>
            <w:t>8</w:t>
          </w:r>
        </w:p>
      </w:tc>
      <w:tc>
        <w:tcPr>
          <w:tcW w:w="720"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169F6C19" w14:textId="77777777"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D02B6A6" w14:textId="04459FA8" w:rsidR="00A07532" w:rsidRPr="00080DA3" w:rsidRDefault="00906B3C" w:rsidP="00A07532">
          <w:pPr>
            <w:pStyle w:val="Piedepgina"/>
            <w:jc w:val="center"/>
            <w:rPr>
              <w:rFonts w:ascii="Geomanist Light" w:hAnsi="Geomanist Light"/>
              <w:sz w:val="18"/>
              <w:szCs w:val="18"/>
            </w:rPr>
          </w:pPr>
          <w:r>
            <w:rPr>
              <w:rFonts w:ascii="Geomanist Light" w:hAnsi="Geomanist Light"/>
              <w:sz w:val="18"/>
              <w:szCs w:val="18"/>
            </w:rPr>
            <w:t>2</w:t>
          </w:r>
          <w:r w:rsidR="00C9405D">
            <w:rPr>
              <w:rFonts w:ascii="Geomanist Light" w:hAnsi="Geomanist Light"/>
              <w:sz w:val="18"/>
              <w:szCs w:val="18"/>
            </w:rPr>
            <w:t>8</w:t>
          </w:r>
          <w:r w:rsidR="006219F8" w:rsidRPr="00080DA3">
            <w:rPr>
              <w:rFonts w:ascii="Geomanist Light" w:hAnsi="Geomanist Light"/>
              <w:sz w:val="18"/>
              <w:szCs w:val="18"/>
            </w:rPr>
            <w:t xml:space="preserve"> de </w:t>
          </w:r>
          <w:r w:rsidR="00C9405D">
            <w:rPr>
              <w:rFonts w:ascii="Geomanist Light" w:hAnsi="Geomanist Light"/>
              <w:sz w:val="18"/>
              <w:szCs w:val="18"/>
            </w:rPr>
            <w:t>septiembre</w:t>
          </w:r>
          <w:r w:rsidR="006219F8" w:rsidRPr="00080DA3">
            <w:rPr>
              <w:rFonts w:ascii="Geomanist Light" w:hAnsi="Geomanist Light"/>
              <w:sz w:val="18"/>
              <w:szCs w:val="18"/>
            </w:rPr>
            <w:t xml:space="preserve"> de 202</w:t>
          </w:r>
          <w:r w:rsidR="000A683E">
            <w:rPr>
              <w:rFonts w:ascii="Geomanist Light" w:hAnsi="Geomanist Light"/>
              <w:sz w:val="18"/>
              <w:szCs w:val="18"/>
            </w:rPr>
            <w:t>2</w:t>
          </w:r>
        </w:p>
      </w:tc>
      <w:tc>
        <w:tcPr>
          <w:tcW w:w="1527"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C25E7A7" w14:textId="74CFB824"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1</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2</w:t>
          </w:r>
          <w:r w:rsidRPr="00080DA3">
            <w:rPr>
              <w:rFonts w:ascii="Geomanist Light" w:hAnsi="Geomanist Light"/>
              <w:b/>
              <w:bCs/>
              <w:sz w:val="18"/>
              <w:szCs w:val="18"/>
            </w:rPr>
            <w:fldChar w:fldCharType="end"/>
          </w:r>
        </w:p>
      </w:tc>
    </w:tr>
  </w:tbl>
  <w:p w14:paraId="744661F5" w14:textId="77777777" w:rsidR="006219F8" w:rsidRDefault="006219F8" w:rsidP="00A07532">
    <w:pPr>
      <w:pStyle w:val="Piedep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2E05D3" w14:textId="77777777" w:rsidR="003151C7" w:rsidRDefault="003151C7" w:rsidP="004A1847">
      <w:r>
        <w:separator/>
      </w:r>
    </w:p>
  </w:footnote>
  <w:footnote w:type="continuationSeparator" w:id="0">
    <w:p w14:paraId="4269B7D1" w14:textId="77777777" w:rsidR="003151C7" w:rsidRDefault="003151C7" w:rsidP="004A1847">
      <w:r>
        <w:continuationSeparator/>
      </w:r>
    </w:p>
  </w:footnote>
  <w:footnote w:id="1">
    <w:p w14:paraId="200C7A96" w14:textId="77777777" w:rsidR="00906714" w:rsidRPr="00BC59CE" w:rsidRDefault="00906714" w:rsidP="005A39F8">
      <w:pPr>
        <w:spacing w:before="73"/>
        <w:ind w:left="100" w:right="105" w:firstLine="707"/>
        <w:jc w:val="both"/>
        <w:rPr>
          <w:rFonts w:ascii="Arial" w:hAnsi="Arial" w:cs="Arial"/>
          <w:sz w:val="18"/>
          <w:szCs w:val="18"/>
        </w:rPr>
      </w:pPr>
      <w:r w:rsidRPr="00BC59CE">
        <w:rPr>
          <w:rStyle w:val="Refdenotaalpie"/>
          <w:rFonts w:ascii="Arial" w:hAnsi="Arial" w:cs="Arial"/>
          <w:sz w:val="18"/>
          <w:szCs w:val="18"/>
        </w:rPr>
        <w:footnoteRef/>
      </w:r>
      <w:r w:rsidRPr="00BC59CE">
        <w:rPr>
          <w:rFonts w:ascii="Arial" w:hAnsi="Arial" w:cs="Arial"/>
          <w:sz w:val="18"/>
          <w:szCs w:val="18"/>
        </w:rPr>
        <w:t xml:space="preserve"> Así, por ejemplo, en un proceso de contratación de obra pública con un “presupuesto oficial de 100 SMMLV, la experiencia exigida es proporcional si la Entidad Estatal exige que los proponentes hayan participado en Procesos de Contratación de 50 SMMLV del mismo tipo de obra”, como lo indicó la Agencia Nacional de Contratación Pública – Colombia Compra Eficiente en el Manual para determinar y verificar los requisitos habilitantes en los Procesos de Contratación.</w:t>
      </w:r>
    </w:p>
    <w:p w14:paraId="19C7843E" w14:textId="77777777" w:rsidR="00906714" w:rsidRPr="00BC59CE" w:rsidRDefault="00906714" w:rsidP="005A39F8">
      <w:pPr>
        <w:pStyle w:val="Textonotapie"/>
        <w:jc w:val="both"/>
        <w:rPr>
          <w:rFonts w:ascii="Arial" w:hAnsi="Arial" w:cs="Arial"/>
          <w:sz w:val="18"/>
          <w:szCs w:val="18"/>
        </w:rPr>
      </w:pPr>
    </w:p>
  </w:footnote>
  <w:footnote w:id="2">
    <w:p w14:paraId="1628F766" w14:textId="77777777" w:rsidR="00906714" w:rsidRPr="00BC59CE" w:rsidRDefault="00906714" w:rsidP="005A39F8">
      <w:pPr>
        <w:pStyle w:val="Textonotapie"/>
        <w:ind w:firstLine="720"/>
        <w:jc w:val="both"/>
        <w:rPr>
          <w:rFonts w:ascii="Arial" w:hAnsi="Arial" w:cs="Arial"/>
          <w:sz w:val="18"/>
          <w:szCs w:val="18"/>
        </w:rPr>
      </w:pPr>
      <w:r w:rsidRPr="00BC59CE">
        <w:rPr>
          <w:rStyle w:val="Refdenotaalpie"/>
          <w:rFonts w:ascii="Arial" w:hAnsi="Arial" w:cs="Arial"/>
          <w:sz w:val="18"/>
          <w:szCs w:val="18"/>
        </w:rPr>
        <w:footnoteRef/>
      </w:r>
      <w:r w:rsidRPr="00BC59CE">
        <w:rPr>
          <w:rFonts w:ascii="Arial" w:hAnsi="Arial" w:cs="Arial"/>
          <w:sz w:val="18"/>
          <w:szCs w:val="18"/>
        </w:rPr>
        <w:t xml:space="preserve"> Sin perjuicio de aquellos eventos en los cuales la inscripción en el RUP no es obligatoria, caso en el cual “corresponderá a las entidades contratantes cumplir con la labor de verificación” de los requisitos habilitantes, como lo prevé el artículo 6 de la Ley 1150 de 2007.</w:t>
      </w:r>
    </w:p>
  </w:footnote>
  <w:footnote w:id="3">
    <w:p w14:paraId="3CA7B25C" w14:textId="77777777" w:rsidR="00906714" w:rsidRPr="00BC59CE" w:rsidRDefault="00906714" w:rsidP="005A39F8">
      <w:pPr>
        <w:spacing w:before="73"/>
        <w:ind w:left="100" w:right="104" w:firstLine="707"/>
        <w:jc w:val="both"/>
        <w:rPr>
          <w:rFonts w:ascii="Arial" w:hAnsi="Arial" w:cs="Arial"/>
          <w:sz w:val="18"/>
          <w:szCs w:val="18"/>
        </w:rPr>
      </w:pPr>
      <w:r w:rsidRPr="00BC59CE">
        <w:rPr>
          <w:rStyle w:val="Refdenotaalpie"/>
          <w:rFonts w:ascii="Arial" w:hAnsi="Arial" w:cs="Arial"/>
          <w:sz w:val="18"/>
          <w:szCs w:val="18"/>
        </w:rPr>
        <w:footnoteRef/>
      </w:r>
      <w:r w:rsidRPr="00BC59CE">
        <w:rPr>
          <w:rFonts w:ascii="Arial" w:hAnsi="Arial" w:cs="Arial"/>
          <w:sz w:val="18"/>
          <w:szCs w:val="18"/>
        </w:rPr>
        <w:t xml:space="preserve"> Sentencia de la Subsección B de la Sección Tercera de la Sala de lo Contencioso Administrativo del Consejo de Estado del 16 de agosto de 2018, radicación 2003-01082-01 (37339) con ponencia de Stella Conto Díaz Del Castillo.</w:t>
      </w:r>
    </w:p>
    <w:p w14:paraId="08725701" w14:textId="77777777" w:rsidR="00906714" w:rsidRPr="00BC59CE" w:rsidRDefault="00906714" w:rsidP="005A39F8">
      <w:pPr>
        <w:pStyle w:val="Textonotapie"/>
        <w:jc w:val="both"/>
        <w:rPr>
          <w:rFonts w:ascii="Arial" w:hAnsi="Arial" w:cs="Arial"/>
          <w:sz w:val="18"/>
          <w:szCs w:val="18"/>
        </w:rPr>
      </w:pPr>
    </w:p>
  </w:footnote>
  <w:footnote w:id="4">
    <w:p w14:paraId="25808434" w14:textId="77777777" w:rsidR="00906714" w:rsidRPr="00BC59CE" w:rsidRDefault="00906714" w:rsidP="005A39F8">
      <w:pPr>
        <w:spacing w:before="73"/>
        <w:ind w:left="100" w:firstLine="707"/>
        <w:jc w:val="both"/>
        <w:rPr>
          <w:rFonts w:ascii="Arial" w:hAnsi="Arial" w:cs="Arial"/>
          <w:sz w:val="18"/>
          <w:szCs w:val="18"/>
        </w:rPr>
      </w:pPr>
      <w:r w:rsidRPr="00BC59CE">
        <w:rPr>
          <w:rStyle w:val="Refdenotaalpie"/>
          <w:rFonts w:ascii="Arial" w:hAnsi="Arial" w:cs="Arial"/>
          <w:sz w:val="18"/>
          <w:szCs w:val="18"/>
        </w:rPr>
        <w:footnoteRef/>
      </w:r>
      <w:r w:rsidRPr="00BC59CE">
        <w:rPr>
          <w:rFonts w:ascii="Arial" w:hAnsi="Arial" w:cs="Arial"/>
          <w:sz w:val="18"/>
          <w:szCs w:val="18"/>
        </w:rPr>
        <w:t xml:space="preserve"> Como lo señaló la Agencia Nacional de Contratación Pública – Colombia Compra Eficiente, en la Circular Externa Única.</w:t>
      </w:r>
    </w:p>
    <w:p w14:paraId="4E5C7344" w14:textId="77777777" w:rsidR="00906714" w:rsidRPr="00BC59CE" w:rsidRDefault="00906714" w:rsidP="005A39F8">
      <w:pPr>
        <w:pStyle w:val="Textonotapie"/>
        <w:jc w:val="both"/>
        <w:rPr>
          <w:rFonts w:ascii="Arial" w:hAnsi="Arial" w:cs="Arial"/>
          <w:sz w:val="18"/>
          <w:szCs w:val="18"/>
        </w:rPr>
      </w:pPr>
    </w:p>
  </w:footnote>
  <w:footnote w:id="5">
    <w:p w14:paraId="0ABB18FE" w14:textId="77777777" w:rsidR="009A44ED" w:rsidRPr="00BC59CE" w:rsidRDefault="009A44ED" w:rsidP="005A39F8">
      <w:pPr>
        <w:pStyle w:val="Textonotapie"/>
        <w:ind w:firstLine="720"/>
        <w:jc w:val="both"/>
        <w:rPr>
          <w:rFonts w:ascii="Arial" w:hAnsi="Arial" w:cs="Arial"/>
          <w:sz w:val="18"/>
          <w:szCs w:val="18"/>
        </w:rPr>
      </w:pPr>
      <w:r w:rsidRPr="00BC59CE">
        <w:rPr>
          <w:rStyle w:val="Refdenotaalpie"/>
          <w:rFonts w:ascii="Arial" w:hAnsi="Arial" w:cs="Arial"/>
          <w:sz w:val="18"/>
          <w:szCs w:val="18"/>
        </w:rPr>
        <w:footnoteRef/>
      </w:r>
      <w:r w:rsidRPr="00BC59CE">
        <w:rPr>
          <w:rFonts w:ascii="Arial" w:hAnsi="Arial" w:cs="Arial"/>
          <w:sz w:val="18"/>
          <w:szCs w:val="18"/>
        </w:rPr>
        <w:t xml:space="preserve"> Sin perjuicio de aquellos eventos en los cuales la inscripción en el RUP no es obligatoria, caso en el cual “corresponderá a las entidades contratantes cumplir con la labor de verificación” de los requisitos habilitantes, como lo prevé el artículo 6 de la Ley 1150 de 2007.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1F6A5" w14:textId="0DD925F5" w:rsidR="00906B3C" w:rsidRPr="007566FE" w:rsidRDefault="00906B3C" w:rsidP="008614E5">
    <w:pPr>
      <w:rPr>
        <w:rFonts w:ascii="Geomanist Light" w:hAnsi="Geomanist Light"/>
        <w:color w:val="002060"/>
        <w:sz w:val="16"/>
        <w:szCs w:val="16"/>
      </w:rPr>
    </w:pPr>
    <w:r w:rsidRPr="007566FE">
      <w:rPr>
        <w:rFonts w:ascii="Geomanist Light" w:eastAsia="Arial Nova" w:hAnsi="Geomanist Light" w:cs="Arial Nova"/>
        <w:noProof/>
        <w:sz w:val="16"/>
        <w:szCs w:val="16"/>
        <w:lang w:eastAsia="es-CO"/>
      </w:rPr>
      <w:drawing>
        <wp:anchor distT="0" distB="0" distL="0" distR="0" simplePos="0" relativeHeight="251657728" behindDoc="1" locked="0" layoutInCell="1" hidden="0" allowOverlap="1" wp14:anchorId="30C7B261" wp14:editId="79A0A4A2">
          <wp:simplePos x="0" y="0"/>
          <wp:positionH relativeFrom="margin">
            <wp:align>right</wp:align>
          </wp:positionH>
          <wp:positionV relativeFrom="paragraph">
            <wp:posOffset>-80564</wp:posOffset>
          </wp:positionV>
          <wp:extent cx="1657350" cy="676275"/>
          <wp:effectExtent l="0" t="0" r="0" b="9525"/>
          <wp:wrapNone/>
          <wp:docPr id="25" name="image3.png"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00B01ED6" w:rsidRPr="007566FE">
      <w:rPr>
        <w:rFonts w:ascii="Geomanist Light" w:hAnsi="Geomanist Light"/>
        <w:color w:val="002060"/>
        <w:sz w:val="16"/>
        <w:szCs w:val="16"/>
      </w:rPr>
      <w:t>FORMATO PQRSD</w:t>
    </w:r>
  </w:p>
  <w:p w14:paraId="077278A1" w14:textId="2CAB5B77" w:rsidR="007566FE" w:rsidRPr="007566FE" w:rsidRDefault="007566FE" w:rsidP="00793403">
    <w:pPr>
      <w:pBdr>
        <w:top w:val="nil"/>
        <w:left w:val="nil"/>
        <w:bottom w:val="nil"/>
        <w:right w:val="nil"/>
        <w:between w:val="nil"/>
      </w:pBdr>
      <w:tabs>
        <w:tab w:val="center" w:pos="4419"/>
        <w:tab w:val="right" w:pos="8838"/>
        <w:tab w:val="center" w:pos="5400"/>
      </w:tabs>
      <w:rPr>
        <w:rFonts w:ascii="Geomanist Light" w:eastAsia="Geo" w:hAnsi="Geomanist Light" w:cs="Geo"/>
        <w:b/>
        <w:color w:val="002060"/>
        <w:sz w:val="16"/>
        <w:szCs w:val="16"/>
        <w:lang w:eastAsia="es-CO"/>
      </w:rPr>
    </w:pPr>
    <w:r w:rsidRPr="007566FE">
      <w:rPr>
        <w:rFonts w:ascii="Geomanist Light" w:eastAsia="Geo" w:hAnsi="Geomanist Light" w:cs="Geo"/>
        <w:b/>
        <w:color w:val="000000"/>
        <w:sz w:val="16"/>
        <w:szCs w:val="16"/>
        <w:lang w:eastAsia="es-CO"/>
      </w:rPr>
      <w:t xml:space="preserve">Código: </w:t>
    </w:r>
    <w:r w:rsidRPr="007566FE">
      <w:rPr>
        <w:rFonts w:ascii="Geomanist Light" w:eastAsia="Geo" w:hAnsi="Geomanist Light" w:cs="Geo"/>
        <w:bCs/>
        <w:color w:val="000000"/>
        <w:sz w:val="16"/>
        <w:szCs w:val="16"/>
        <w:lang w:eastAsia="es-CO"/>
      </w:rPr>
      <w:t>CCE-PQRSD-FM-08</w:t>
    </w:r>
  </w:p>
  <w:p w14:paraId="74FC5262" w14:textId="51A6AFCE" w:rsidR="00793403" w:rsidRDefault="00793403" w:rsidP="008614E5">
    <w:pPr>
      <w:rPr>
        <w:rFonts w:ascii="Geomanist Light" w:eastAsia="Geo" w:hAnsi="Geomanist Light" w:cs="Geo"/>
        <w:sz w:val="16"/>
        <w:szCs w:val="16"/>
        <w:lang w:eastAsia="es-CO"/>
      </w:rPr>
    </w:pPr>
    <w:r w:rsidRPr="00367110">
      <w:rPr>
        <w:rFonts w:eastAsia="Arial Nova" w:cs="Arial Nova"/>
        <w:noProof/>
        <w:color w:val="000000"/>
        <w:lang w:eastAsia="es-CO"/>
      </w:rPr>
      <w:drawing>
        <wp:anchor distT="0" distB="0" distL="114300" distR="114300" simplePos="0" relativeHeight="251668992" behindDoc="1" locked="0" layoutInCell="1" allowOverlap="1" wp14:anchorId="0E3A0652" wp14:editId="21BFF5E2">
          <wp:simplePos x="0" y="0"/>
          <wp:positionH relativeFrom="margin">
            <wp:align>left</wp:align>
          </wp:positionH>
          <wp:positionV relativeFrom="paragraph">
            <wp:posOffset>141605</wp:posOffset>
          </wp:positionV>
          <wp:extent cx="3238500" cy="76200"/>
          <wp:effectExtent l="0" t="0" r="0" b="0"/>
          <wp:wrapNone/>
          <wp:docPr id="2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238500" cy="76200"/>
                  </a:xfrm>
                  <a:prstGeom prst="rect">
                    <a:avLst/>
                  </a:prstGeom>
                  <a:ln/>
                </pic:spPr>
              </pic:pic>
            </a:graphicData>
          </a:graphic>
          <wp14:sizeRelH relativeFrom="margin">
            <wp14:pctWidth>0</wp14:pctWidth>
          </wp14:sizeRelH>
          <wp14:sizeRelV relativeFrom="margin">
            <wp14:pctHeight>0</wp14:pctHeight>
          </wp14:sizeRelV>
        </wp:anchor>
      </w:drawing>
    </w:r>
    <w:r w:rsidR="007566FE" w:rsidRPr="007566FE">
      <w:rPr>
        <w:rFonts w:ascii="Geomanist Light" w:eastAsia="Geo" w:hAnsi="Geomanist Light" w:cs="Geo"/>
        <w:b/>
        <w:color w:val="000000"/>
        <w:sz w:val="16"/>
        <w:szCs w:val="16"/>
        <w:lang w:eastAsia="es-CO"/>
      </w:rPr>
      <w:t>Versión</w:t>
    </w:r>
    <w:r w:rsidR="007566FE" w:rsidRPr="007566FE">
      <w:rPr>
        <w:rFonts w:ascii="Geomanist Light" w:eastAsia="Arial Nova" w:hAnsi="Geomanist Light" w:cs="Arial Nova"/>
        <w:b/>
        <w:color w:val="000000"/>
        <w:sz w:val="16"/>
        <w:szCs w:val="16"/>
        <w:lang w:eastAsia="es-CO"/>
      </w:rPr>
      <w:t xml:space="preserve">: </w:t>
    </w:r>
    <w:r w:rsidR="007566FE" w:rsidRPr="007566FE">
      <w:rPr>
        <w:rFonts w:ascii="Geomanist Light" w:eastAsia="Geo" w:hAnsi="Geomanist Light" w:cs="Geo"/>
        <w:sz w:val="16"/>
        <w:szCs w:val="16"/>
        <w:lang w:eastAsia="es-CO"/>
      </w:rPr>
      <w:t>0</w:t>
    </w:r>
    <w:r w:rsidR="00C9405D">
      <w:rPr>
        <w:rFonts w:ascii="Geomanist Light" w:eastAsia="Geo" w:hAnsi="Geomanist Light" w:cs="Geo"/>
        <w:sz w:val="16"/>
        <w:szCs w:val="16"/>
        <w:lang w:eastAsia="es-CO"/>
      </w:rPr>
      <w:t>2</w:t>
    </w:r>
    <w:r w:rsidR="007566FE" w:rsidRPr="007566FE">
      <w:rPr>
        <w:rFonts w:ascii="Geomanist Light" w:eastAsia="Geo" w:hAnsi="Geomanist Light" w:cs="Geo"/>
        <w:sz w:val="16"/>
        <w:szCs w:val="16"/>
        <w:lang w:eastAsia="es-CO"/>
      </w:rPr>
      <w:t xml:space="preserve"> DEL </w:t>
    </w:r>
    <w:r w:rsidR="00C9405D">
      <w:rPr>
        <w:rFonts w:ascii="Geomanist Light" w:eastAsia="Geo" w:hAnsi="Geomanist Light" w:cs="Geo"/>
        <w:sz w:val="16"/>
        <w:szCs w:val="16"/>
        <w:lang w:eastAsia="es-CO"/>
      </w:rPr>
      <w:t>28</w:t>
    </w:r>
    <w:r w:rsidR="007566FE" w:rsidRPr="007566FE">
      <w:rPr>
        <w:rFonts w:ascii="Geomanist Light" w:eastAsia="Geo" w:hAnsi="Geomanist Light" w:cs="Geo"/>
        <w:sz w:val="16"/>
        <w:szCs w:val="16"/>
        <w:lang w:eastAsia="es-CO"/>
      </w:rPr>
      <w:t xml:space="preserve"> DE </w:t>
    </w:r>
    <w:r w:rsidR="00C9405D">
      <w:rPr>
        <w:rFonts w:ascii="Geomanist Light" w:eastAsia="Geo" w:hAnsi="Geomanist Light" w:cs="Geo"/>
        <w:sz w:val="16"/>
        <w:szCs w:val="16"/>
        <w:lang w:eastAsia="es-CO"/>
      </w:rPr>
      <w:t>SEPTIEMBRE</w:t>
    </w:r>
    <w:r w:rsidR="007566FE" w:rsidRPr="007566FE">
      <w:rPr>
        <w:rFonts w:ascii="Geomanist Light" w:eastAsia="Geo" w:hAnsi="Geomanist Light" w:cs="Geo"/>
        <w:sz w:val="16"/>
        <w:szCs w:val="16"/>
        <w:lang w:eastAsia="es-CO"/>
      </w:rPr>
      <w:t xml:space="preserve"> DE 2022</w:t>
    </w:r>
  </w:p>
  <w:p w14:paraId="60144E94" w14:textId="49B57718" w:rsidR="00793403" w:rsidRPr="007566FE" w:rsidRDefault="00793403" w:rsidP="008614E5">
    <w:pPr>
      <w:rPr>
        <w:rFonts w:ascii="Geomanist Light" w:hAnsi="Geomanist Light"/>
        <w:color w:val="002060"/>
        <w:sz w:val="16"/>
        <w:szCs w:val="16"/>
      </w:rPr>
    </w:pPr>
  </w:p>
  <w:p w14:paraId="1D9AD711" w14:textId="5827BD16" w:rsidR="004A1847" w:rsidRPr="00906B3C" w:rsidRDefault="004A1847" w:rsidP="00906B3C">
    <w:pPr>
      <w:pStyle w:val="Encabezado"/>
      <w:tabs>
        <w:tab w:val="clear" w:pos="4419"/>
        <w:tab w:val="clear" w:pos="8838"/>
      </w:tabs>
      <w:ind w:left="3545" w:firstLine="709"/>
      <w:rPr>
        <w:b/>
        <w:bCs/>
        <w:color w:val="A5A5A5" w:themeColor="accent3"/>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1353"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167C37FE"/>
    <w:multiLevelType w:val="multilevel"/>
    <w:tmpl w:val="F9EC8844"/>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34C80B2A"/>
    <w:multiLevelType w:val="hybridMultilevel"/>
    <w:tmpl w:val="0096DB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C5A58BD"/>
    <w:multiLevelType w:val="multilevel"/>
    <w:tmpl w:val="314A551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6E353CA8"/>
    <w:multiLevelType w:val="hybridMultilevel"/>
    <w:tmpl w:val="8556CC82"/>
    <w:lvl w:ilvl="0" w:tplc="147AD612">
      <w:start w:val="1"/>
      <w:numFmt w:val="decimal"/>
      <w:lvlText w:val="%1."/>
      <w:lvlJc w:val="left"/>
      <w:pPr>
        <w:ind w:left="1065" w:hanging="360"/>
      </w:pPr>
      <w:rPr>
        <w:rFonts w:ascii="Arial" w:hAnsi="Arial" w:cs="Arial" w:hint="default"/>
        <w:b w:val="0"/>
        <w:bCs/>
        <w:sz w:val="22"/>
        <w:szCs w:val="22"/>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num w:numId="1" w16cid:durableId="1614749297">
    <w:abstractNumId w:val="4"/>
  </w:num>
  <w:num w:numId="2" w16cid:durableId="336883251">
    <w:abstractNumId w:val="1"/>
  </w:num>
  <w:num w:numId="3" w16cid:durableId="851069095">
    <w:abstractNumId w:val="2"/>
  </w:num>
  <w:num w:numId="4" w16cid:durableId="499739743">
    <w:abstractNumId w:val="5"/>
  </w:num>
  <w:num w:numId="5" w16cid:durableId="64882429">
    <w:abstractNumId w:val="0"/>
  </w:num>
  <w:num w:numId="6" w16cid:durableId="1226260755">
    <w:abstractNumId w:val="6"/>
  </w:num>
  <w:num w:numId="7" w16cid:durableId="1169062332">
    <w:abstractNumId w:val="7"/>
  </w:num>
  <w:num w:numId="8" w16cid:durableId="116851914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61813"/>
    <w:rsid w:val="000673D7"/>
    <w:rsid w:val="00083334"/>
    <w:rsid w:val="000956CF"/>
    <w:rsid w:val="000A683E"/>
    <w:rsid w:val="000E1251"/>
    <w:rsid w:val="0011595A"/>
    <w:rsid w:val="001220C5"/>
    <w:rsid w:val="001267F7"/>
    <w:rsid w:val="00127233"/>
    <w:rsid w:val="00130999"/>
    <w:rsid w:val="00146156"/>
    <w:rsid w:val="00151B8D"/>
    <w:rsid w:val="00164D81"/>
    <w:rsid w:val="00164FA3"/>
    <w:rsid w:val="00171F10"/>
    <w:rsid w:val="0019666C"/>
    <w:rsid w:val="001A1011"/>
    <w:rsid w:val="001A48D0"/>
    <w:rsid w:val="001C10DF"/>
    <w:rsid w:val="0022185D"/>
    <w:rsid w:val="002223C1"/>
    <w:rsid w:val="0022685D"/>
    <w:rsid w:val="0023757D"/>
    <w:rsid w:val="002653C1"/>
    <w:rsid w:val="00281EEC"/>
    <w:rsid w:val="002951A0"/>
    <w:rsid w:val="002A64FD"/>
    <w:rsid w:val="002C3A4C"/>
    <w:rsid w:val="002F6073"/>
    <w:rsid w:val="00310B9B"/>
    <w:rsid w:val="003151C7"/>
    <w:rsid w:val="00334B46"/>
    <w:rsid w:val="003623A7"/>
    <w:rsid w:val="0036461C"/>
    <w:rsid w:val="00367884"/>
    <w:rsid w:val="0039439C"/>
    <w:rsid w:val="003B4C48"/>
    <w:rsid w:val="003B69E7"/>
    <w:rsid w:val="003B773B"/>
    <w:rsid w:val="003C013B"/>
    <w:rsid w:val="003D0F4D"/>
    <w:rsid w:val="003F58A1"/>
    <w:rsid w:val="00410DD6"/>
    <w:rsid w:val="004134C9"/>
    <w:rsid w:val="00462A59"/>
    <w:rsid w:val="004969CC"/>
    <w:rsid w:val="004A1847"/>
    <w:rsid w:val="004B6B0E"/>
    <w:rsid w:val="004D0121"/>
    <w:rsid w:val="004D25B3"/>
    <w:rsid w:val="00511405"/>
    <w:rsid w:val="00526E9D"/>
    <w:rsid w:val="00531272"/>
    <w:rsid w:val="0054316D"/>
    <w:rsid w:val="00547A74"/>
    <w:rsid w:val="00553DEA"/>
    <w:rsid w:val="005566E8"/>
    <w:rsid w:val="005746AB"/>
    <w:rsid w:val="0058663B"/>
    <w:rsid w:val="005867B8"/>
    <w:rsid w:val="005A39F8"/>
    <w:rsid w:val="005B2585"/>
    <w:rsid w:val="005D567C"/>
    <w:rsid w:val="005D5CD9"/>
    <w:rsid w:val="005D65C8"/>
    <w:rsid w:val="006219F8"/>
    <w:rsid w:val="006279E8"/>
    <w:rsid w:val="006540A5"/>
    <w:rsid w:val="00681FDB"/>
    <w:rsid w:val="006A7DAD"/>
    <w:rsid w:val="006C5026"/>
    <w:rsid w:val="006D70BA"/>
    <w:rsid w:val="00707891"/>
    <w:rsid w:val="00716891"/>
    <w:rsid w:val="007566FE"/>
    <w:rsid w:val="00767240"/>
    <w:rsid w:val="0077144B"/>
    <w:rsid w:val="00793403"/>
    <w:rsid w:val="007B2FE8"/>
    <w:rsid w:val="007F2B7C"/>
    <w:rsid w:val="00820F5B"/>
    <w:rsid w:val="00833452"/>
    <w:rsid w:val="008614E5"/>
    <w:rsid w:val="008678EB"/>
    <w:rsid w:val="008725CE"/>
    <w:rsid w:val="00881C10"/>
    <w:rsid w:val="008D5C70"/>
    <w:rsid w:val="008F2248"/>
    <w:rsid w:val="009025AF"/>
    <w:rsid w:val="00904F23"/>
    <w:rsid w:val="00906714"/>
    <w:rsid w:val="00906B3C"/>
    <w:rsid w:val="00913B3F"/>
    <w:rsid w:val="0092155F"/>
    <w:rsid w:val="00951236"/>
    <w:rsid w:val="009803C0"/>
    <w:rsid w:val="009A2245"/>
    <w:rsid w:val="009A44ED"/>
    <w:rsid w:val="009A7CD1"/>
    <w:rsid w:val="009F0704"/>
    <w:rsid w:val="009F33F2"/>
    <w:rsid w:val="009F7ACA"/>
    <w:rsid w:val="00A07532"/>
    <w:rsid w:val="00A1085C"/>
    <w:rsid w:val="00A25300"/>
    <w:rsid w:val="00A309E2"/>
    <w:rsid w:val="00A509BB"/>
    <w:rsid w:val="00A8066E"/>
    <w:rsid w:val="00AA4B8A"/>
    <w:rsid w:val="00AA6BF7"/>
    <w:rsid w:val="00AC0C5A"/>
    <w:rsid w:val="00AE34C2"/>
    <w:rsid w:val="00B01ED6"/>
    <w:rsid w:val="00B06D09"/>
    <w:rsid w:val="00B20837"/>
    <w:rsid w:val="00B30C8D"/>
    <w:rsid w:val="00B3257B"/>
    <w:rsid w:val="00B54450"/>
    <w:rsid w:val="00B62BDE"/>
    <w:rsid w:val="00B653C4"/>
    <w:rsid w:val="00B771A9"/>
    <w:rsid w:val="00B809BB"/>
    <w:rsid w:val="00B8248A"/>
    <w:rsid w:val="00B91D43"/>
    <w:rsid w:val="00BC59CE"/>
    <w:rsid w:val="00BC7F5A"/>
    <w:rsid w:val="00BD5283"/>
    <w:rsid w:val="00C2102D"/>
    <w:rsid w:val="00C30461"/>
    <w:rsid w:val="00C462CD"/>
    <w:rsid w:val="00C62667"/>
    <w:rsid w:val="00C742F6"/>
    <w:rsid w:val="00C754BE"/>
    <w:rsid w:val="00C9405D"/>
    <w:rsid w:val="00CC1B26"/>
    <w:rsid w:val="00CD284F"/>
    <w:rsid w:val="00CD7312"/>
    <w:rsid w:val="00CE3263"/>
    <w:rsid w:val="00CE5D1C"/>
    <w:rsid w:val="00CF23AA"/>
    <w:rsid w:val="00D01921"/>
    <w:rsid w:val="00D36FA9"/>
    <w:rsid w:val="00D411E2"/>
    <w:rsid w:val="00D54565"/>
    <w:rsid w:val="00D716E1"/>
    <w:rsid w:val="00D752B7"/>
    <w:rsid w:val="00DA1854"/>
    <w:rsid w:val="00DA3B94"/>
    <w:rsid w:val="00DA4421"/>
    <w:rsid w:val="00E20894"/>
    <w:rsid w:val="00E26B7C"/>
    <w:rsid w:val="00E333B8"/>
    <w:rsid w:val="00E35F41"/>
    <w:rsid w:val="00E36BF8"/>
    <w:rsid w:val="00EB3C91"/>
    <w:rsid w:val="00EB66DA"/>
    <w:rsid w:val="00F56090"/>
    <w:rsid w:val="00F605F2"/>
    <w:rsid w:val="00F71020"/>
    <w:rsid w:val="00F753F8"/>
    <w:rsid w:val="00F76AFC"/>
    <w:rsid w:val="00F96772"/>
    <w:rsid w:val="00FA286E"/>
    <w:rsid w:val="00FA5516"/>
    <w:rsid w:val="00FA643B"/>
    <w:rsid w:val="00FD6F73"/>
    <w:rsid w:val="00FF13B1"/>
    <w:rsid w:val="4841A0D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1272"/>
    <w:pPr>
      <w:spacing w:after="0" w:line="240" w:lineRule="auto"/>
    </w:pPr>
    <w:rPr>
      <w:sz w:val="24"/>
      <w:lang w:val="es-MX"/>
    </w:rPr>
  </w:style>
  <w:style w:type="paragraph" w:styleId="Ttulo1">
    <w:name w:val="heading 1"/>
    <w:basedOn w:val="Normal"/>
    <w:link w:val="Ttulo1Car"/>
    <w:uiPriority w:val="9"/>
    <w:qFormat/>
    <w:rsid w:val="00904F23"/>
    <w:pPr>
      <w:widowControl w:val="0"/>
      <w:autoSpaceDE w:val="0"/>
      <w:autoSpaceDN w:val="0"/>
      <w:spacing w:before="1"/>
      <w:ind w:left="1181" w:hanging="360"/>
      <w:outlineLvl w:val="0"/>
    </w:pPr>
    <w:rPr>
      <w:rFonts w:ascii="Arial" w:eastAsia="Arial" w:hAnsi="Arial" w:cs="Arial"/>
      <w:b/>
      <w:bCs/>
      <w:lang w:val="es-ES"/>
    </w:rPr>
  </w:style>
  <w:style w:type="paragraph" w:styleId="Ttulo3">
    <w:name w:val="heading 3"/>
    <w:basedOn w:val="Normal"/>
    <w:next w:val="Normal"/>
    <w:link w:val="Ttulo3Car"/>
    <w:uiPriority w:val="9"/>
    <w:semiHidden/>
    <w:unhideWhenUsed/>
    <w:qFormat/>
    <w:rsid w:val="007B2FE8"/>
    <w:pPr>
      <w:keepNext/>
      <w:keepLines/>
      <w:spacing w:before="40"/>
      <w:outlineLvl w:val="2"/>
    </w:pPr>
    <w:rPr>
      <w:rFonts w:asciiTheme="majorHAnsi" w:eastAsiaTheme="majorEastAsia" w:hAnsiTheme="majorHAnsi" w:cstheme="majorBidi"/>
      <w:color w:val="1F3763" w:themeColor="accent1" w:themeShade="7F"/>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rPr>
      <w:sz w:val="20"/>
      <w:szCs w:val="20"/>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Ttulo1Car">
    <w:name w:val="Título 1 Car"/>
    <w:basedOn w:val="Fuentedeprrafopredeter"/>
    <w:link w:val="Ttulo1"/>
    <w:uiPriority w:val="9"/>
    <w:rsid w:val="00904F23"/>
    <w:rPr>
      <w:rFonts w:ascii="Arial" w:eastAsia="Arial" w:hAnsi="Arial" w:cs="Arial"/>
      <w:b/>
      <w:bCs/>
      <w:lang w:val="es-ES"/>
    </w:rPr>
  </w:style>
  <w:style w:type="character" w:styleId="Refdecomentario">
    <w:name w:val="annotation reference"/>
    <w:basedOn w:val="Fuentedeprrafopredeter"/>
    <w:uiPriority w:val="99"/>
    <w:semiHidden/>
    <w:unhideWhenUsed/>
    <w:rsid w:val="00511405"/>
    <w:rPr>
      <w:sz w:val="16"/>
      <w:szCs w:val="16"/>
    </w:rPr>
  </w:style>
  <w:style w:type="paragraph" w:styleId="Textocomentario">
    <w:name w:val="annotation text"/>
    <w:basedOn w:val="Normal"/>
    <w:link w:val="TextocomentarioCar"/>
    <w:uiPriority w:val="99"/>
    <w:unhideWhenUsed/>
    <w:rsid w:val="00511405"/>
    <w:rPr>
      <w:sz w:val="20"/>
      <w:szCs w:val="20"/>
    </w:rPr>
  </w:style>
  <w:style w:type="character" w:customStyle="1" w:styleId="TextocomentarioCar">
    <w:name w:val="Texto comentario Car"/>
    <w:basedOn w:val="Fuentedeprrafopredeter"/>
    <w:link w:val="Textocomentario"/>
    <w:uiPriority w:val="99"/>
    <w:rsid w:val="00511405"/>
    <w:rPr>
      <w:sz w:val="20"/>
      <w:szCs w:val="20"/>
    </w:rPr>
  </w:style>
  <w:style w:type="paragraph" w:styleId="Revisin">
    <w:name w:val="Revision"/>
    <w:hidden/>
    <w:uiPriority w:val="99"/>
    <w:semiHidden/>
    <w:rsid w:val="00511405"/>
    <w:pPr>
      <w:spacing w:after="0" w:line="240" w:lineRule="auto"/>
    </w:pPr>
  </w:style>
  <w:style w:type="paragraph" w:styleId="Asuntodelcomentario">
    <w:name w:val="annotation subject"/>
    <w:basedOn w:val="Textocomentario"/>
    <w:next w:val="Textocomentario"/>
    <w:link w:val="AsuntodelcomentarioCar"/>
    <w:uiPriority w:val="99"/>
    <w:semiHidden/>
    <w:unhideWhenUsed/>
    <w:rsid w:val="00511405"/>
    <w:rPr>
      <w:b/>
      <w:bCs/>
    </w:rPr>
  </w:style>
  <w:style w:type="character" w:customStyle="1" w:styleId="AsuntodelcomentarioCar">
    <w:name w:val="Asunto del comentario Car"/>
    <w:basedOn w:val="TextocomentarioCar"/>
    <w:link w:val="Asuntodelcomentario"/>
    <w:uiPriority w:val="99"/>
    <w:semiHidden/>
    <w:rsid w:val="00511405"/>
    <w:rPr>
      <w:b/>
      <w:bCs/>
      <w:sz w:val="20"/>
      <w:szCs w:val="20"/>
    </w:rPr>
  </w:style>
  <w:style w:type="table" w:customStyle="1" w:styleId="2">
    <w:name w:val="2"/>
    <w:basedOn w:val="Tablanormal"/>
    <w:rsid w:val="003623A7"/>
    <w:pPr>
      <w:spacing w:before="120" w:after="0" w:line="240" w:lineRule="auto"/>
    </w:pPr>
    <w:rPr>
      <w:rFonts w:ascii="Calibri" w:eastAsia="Calibri" w:hAnsi="Calibri" w:cs="Calibri"/>
      <w:sz w:val="24"/>
      <w:szCs w:val="24"/>
      <w:lang w:val="es-MX" w:eastAsia="es-ES_tradnl"/>
    </w:rPr>
    <w:tblPr>
      <w:tblStyleRowBandSize w:val="1"/>
      <w:tblStyleColBandSize w:val="1"/>
      <w:tblInd w:w="0" w:type="nil"/>
    </w:tblPr>
  </w:style>
  <w:style w:type="paragraph" w:customStyle="1" w:styleId="Appelnotedebasde">
    <w:name w:val="Appel note de bas de..."/>
    <w:basedOn w:val="Normal"/>
    <w:link w:val="Refdenotaalpie"/>
    <w:uiPriority w:val="99"/>
    <w:rsid w:val="00FA286E"/>
    <w:pPr>
      <w:spacing w:line="240" w:lineRule="exact"/>
    </w:pPr>
    <w:rPr>
      <w:vertAlign w:val="superscript"/>
    </w:rPr>
  </w:style>
  <w:style w:type="paragraph" w:styleId="NormalWeb">
    <w:name w:val="Normal (Web)"/>
    <w:basedOn w:val="Normal"/>
    <w:link w:val="NormalWebCar"/>
    <w:uiPriority w:val="99"/>
    <w:unhideWhenUsed/>
    <w:rsid w:val="00F71020"/>
    <w:pPr>
      <w:spacing w:before="100" w:beforeAutospacing="1" w:after="100" w:afterAutospacing="1"/>
    </w:pPr>
    <w:rPr>
      <w:rFonts w:ascii="Times New Roman" w:eastAsia="Times New Roman" w:hAnsi="Times New Roman" w:cs="Times New Roman"/>
      <w:szCs w:val="24"/>
      <w:lang w:eastAsia="es-CO"/>
    </w:rPr>
  </w:style>
  <w:style w:type="character" w:styleId="Textoennegrita">
    <w:name w:val="Strong"/>
    <w:basedOn w:val="Fuentedeprrafopredeter"/>
    <w:uiPriority w:val="22"/>
    <w:qFormat/>
    <w:rsid w:val="00F71020"/>
    <w:rPr>
      <w:b/>
      <w:bCs/>
    </w:rPr>
  </w:style>
  <w:style w:type="character" w:styleId="nfasis">
    <w:name w:val="Emphasis"/>
    <w:basedOn w:val="Fuentedeprrafopredeter"/>
    <w:uiPriority w:val="20"/>
    <w:qFormat/>
    <w:rsid w:val="00F71020"/>
    <w:rPr>
      <w:i/>
      <w:iCs/>
    </w:rPr>
  </w:style>
  <w:style w:type="table" w:customStyle="1" w:styleId="Tablaconcuadrcula1">
    <w:name w:val="Tabla con cuadrícula1"/>
    <w:basedOn w:val="Tablanormal"/>
    <w:next w:val="Tablaconcuadrcula"/>
    <w:uiPriority w:val="39"/>
    <w:rsid w:val="00061813"/>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31272"/>
    <w:rPr>
      <w:rFonts w:ascii="Geomanist Light" w:hAnsi="Geomanist Light"/>
      <w:lang w:val="es-ES"/>
    </w:rPr>
  </w:style>
  <w:style w:type="character" w:styleId="Hipervnculo">
    <w:name w:val="Hyperlink"/>
    <w:basedOn w:val="Fuentedeprrafopredeter"/>
    <w:uiPriority w:val="99"/>
    <w:unhideWhenUsed/>
    <w:rsid w:val="0054316D"/>
    <w:rPr>
      <w:color w:val="0563C1" w:themeColor="hyperlink"/>
      <w:u w:val="single"/>
    </w:rPr>
  </w:style>
  <w:style w:type="paragraph" w:styleId="Textoindependiente">
    <w:name w:val="Body Text"/>
    <w:basedOn w:val="Normal"/>
    <w:link w:val="TextoindependienteCar"/>
    <w:uiPriority w:val="1"/>
    <w:qFormat/>
    <w:rsid w:val="0054316D"/>
    <w:pPr>
      <w:widowControl w:val="0"/>
      <w:autoSpaceDE w:val="0"/>
      <w:autoSpaceDN w:val="0"/>
    </w:pPr>
    <w:rPr>
      <w:rFonts w:ascii="Arial" w:eastAsia="Arial" w:hAnsi="Arial" w:cs="Arial"/>
      <w:sz w:val="20"/>
      <w:szCs w:val="20"/>
      <w:lang w:val="es-ES"/>
    </w:rPr>
  </w:style>
  <w:style w:type="character" w:customStyle="1" w:styleId="TextoindependienteCar">
    <w:name w:val="Texto independiente Car"/>
    <w:basedOn w:val="Fuentedeprrafopredeter"/>
    <w:link w:val="Textoindependiente"/>
    <w:uiPriority w:val="1"/>
    <w:rsid w:val="0054316D"/>
    <w:rPr>
      <w:rFonts w:ascii="Arial" w:eastAsia="Arial" w:hAnsi="Arial" w:cs="Arial"/>
      <w:sz w:val="20"/>
      <w:szCs w:val="20"/>
      <w:lang w:val="es-ES"/>
    </w:rPr>
  </w:style>
  <w:style w:type="character" w:customStyle="1" w:styleId="NormalWebCar">
    <w:name w:val="Normal (Web) Car"/>
    <w:link w:val="NormalWeb"/>
    <w:uiPriority w:val="99"/>
    <w:rsid w:val="0054316D"/>
    <w:rPr>
      <w:rFonts w:ascii="Times New Roman" w:eastAsia="Times New Roman" w:hAnsi="Times New Roman" w:cs="Times New Roman"/>
      <w:sz w:val="24"/>
      <w:szCs w:val="24"/>
      <w:lang w:val="es-MX" w:eastAsia="es-CO"/>
    </w:rPr>
  </w:style>
  <w:style w:type="character" w:styleId="Mencinsinresolver">
    <w:name w:val="Unresolved Mention"/>
    <w:basedOn w:val="Fuentedeprrafopredeter"/>
    <w:uiPriority w:val="99"/>
    <w:semiHidden/>
    <w:unhideWhenUsed/>
    <w:rsid w:val="00B653C4"/>
    <w:rPr>
      <w:color w:val="605E5C"/>
      <w:shd w:val="clear" w:color="auto" w:fill="E1DFDD"/>
    </w:rPr>
  </w:style>
  <w:style w:type="character" w:customStyle="1" w:styleId="Ttulo3Car">
    <w:name w:val="Título 3 Car"/>
    <w:basedOn w:val="Fuentedeprrafopredeter"/>
    <w:link w:val="Ttulo3"/>
    <w:uiPriority w:val="9"/>
    <w:semiHidden/>
    <w:rsid w:val="007B2FE8"/>
    <w:rPr>
      <w:rFonts w:asciiTheme="majorHAnsi" w:eastAsiaTheme="majorEastAsia" w:hAnsiTheme="majorHAnsi" w:cstheme="majorBidi"/>
      <w:color w:val="1F3763" w:themeColor="accent1" w:themeShade="7F"/>
      <w:sz w:val="24"/>
      <w:szCs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660864">
      <w:bodyDiv w:val="1"/>
      <w:marLeft w:val="0"/>
      <w:marRight w:val="0"/>
      <w:marTop w:val="0"/>
      <w:marBottom w:val="0"/>
      <w:divBdr>
        <w:top w:val="none" w:sz="0" w:space="0" w:color="auto"/>
        <w:left w:val="none" w:sz="0" w:space="0" w:color="auto"/>
        <w:bottom w:val="none" w:sz="0" w:space="0" w:color="auto"/>
        <w:right w:val="none" w:sz="0" w:space="0" w:color="auto"/>
      </w:divBdr>
    </w:div>
    <w:div w:id="832917588">
      <w:bodyDiv w:val="1"/>
      <w:marLeft w:val="0"/>
      <w:marRight w:val="0"/>
      <w:marTop w:val="0"/>
      <w:marBottom w:val="0"/>
      <w:divBdr>
        <w:top w:val="none" w:sz="0" w:space="0" w:color="auto"/>
        <w:left w:val="none" w:sz="0" w:space="0" w:color="auto"/>
        <w:bottom w:val="none" w:sz="0" w:space="0" w:color="auto"/>
        <w:right w:val="none" w:sz="0" w:space="0" w:color="auto"/>
      </w:divBdr>
    </w:div>
    <w:div w:id="1145854386">
      <w:bodyDiv w:val="1"/>
      <w:marLeft w:val="0"/>
      <w:marRight w:val="0"/>
      <w:marTop w:val="0"/>
      <w:marBottom w:val="0"/>
      <w:divBdr>
        <w:top w:val="none" w:sz="0" w:space="0" w:color="auto"/>
        <w:left w:val="none" w:sz="0" w:space="0" w:color="auto"/>
        <w:bottom w:val="none" w:sz="0" w:space="0" w:color="auto"/>
        <w:right w:val="none" w:sz="0" w:space="0" w:color="auto"/>
      </w:divBdr>
    </w:div>
    <w:div w:id="1342392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colombiacompra.gov.co/sites/cce_public/files/cce_documents/cce_manual_re"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ndrea.villate@siemens.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sites/cce_public/files/cce_documents/cce_guia_proveedores_extranjeros.pdf"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B5E10408-6D00-45E5-BB1C-D6466F72693E}">
  <ds:schemaRefs>
    <ds:schemaRef ds:uri="http://schemas.openxmlformats.org/officeDocument/2006/bibliography"/>
  </ds:schemaRefs>
</ds:datastoreItem>
</file>

<file path=customXml/itemProps3.xml><?xml version="1.0" encoding="utf-8"?>
<ds:datastoreItem xmlns:ds="http://schemas.openxmlformats.org/officeDocument/2006/customXml" ds:itemID="{679F154C-5E7B-4BB3-969F-9DDAFFA535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purl.org/dc/dcmitype/"/>
    <ds:schemaRef ds:uri="http://schemas.microsoft.com/office/2006/documentManagement/types"/>
    <ds:schemaRef ds:uri="http://schemas.microsoft.com/office/infopath/2007/PartnerControls"/>
    <ds:schemaRef ds:uri="http://purl.org/dc/terms/"/>
    <ds:schemaRef ds:uri="http://schemas.openxmlformats.org/package/2006/metadata/core-properties"/>
    <ds:schemaRef ds:uri="http://www.w3.org/XML/1998/namespace"/>
    <ds:schemaRef ds:uri="http://purl.org/dc/elements/1.1/"/>
    <ds:schemaRef ds:uri="a6cb9e4b-f1d1-4245-83ec-6cad768d538a"/>
    <ds:schemaRef ds:uri="9d85dbaf-23eb-4e57-a637-93dcacc8b1a1"/>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2736</Words>
  <Characters>15052</Characters>
  <Application>Microsoft Office Word</Application>
  <DocSecurity>0</DocSecurity>
  <Lines>125</Lines>
  <Paragraphs>35</Paragraphs>
  <ScaleCrop>false</ScaleCrop>
  <Company/>
  <LinksUpToDate>false</LinksUpToDate>
  <CharactersWithSpaces>17753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 Maria Velez Arteaga</cp:lastModifiedBy>
  <cp:revision>2</cp:revision>
  <dcterms:created xsi:type="dcterms:W3CDTF">2023-02-17T15:47:00Z</dcterms:created>
  <dcterms:modified xsi:type="dcterms:W3CDTF">2023-02-17T15:47:00Z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