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51331" w14:textId="77777777" w:rsidR="00647DFA" w:rsidRPr="00562E70" w:rsidRDefault="00647DFA" w:rsidP="00647DFA">
      <w:pPr>
        <w:jc w:val="right"/>
        <w:rPr>
          <w:rFonts w:ascii="Arial" w:eastAsia="Calibri" w:hAnsi="Arial" w:cs="Arial"/>
          <w:b/>
          <w:bCs/>
          <w:sz w:val="22"/>
        </w:rPr>
      </w:pPr>
      <w:r w:rsidRPr="00562E70">
        <w:rPr>
          <w:rFonts w:ascii="Arial" w:eastAsia="Times New Roman" w:hAnsi="Arial" w:cs="Arial"/>
          <w:b/>
          <w:bCs/>
          <w:sz w:val="16"/>
          <w:szCs w:val="16"/>
          <w:lang w:eastAsia="es-ES"/>
        </w:rPr>
        <w:t>CCE-DES-FM-17</w:t>
      </w:r>
    </w:p>
    <w:p w14:paraId="3F8E0383" w14:textId="77777777" w:rsidR="00647DFA" w:rsidRPr="00562E70" w:rsidRDefault="00647DFA" w:rsidP="00647DFA">
      <w:pPr>
        <w:jc w:val="both"/>
        <w:rPr>
          <w:rFonts w:ascii="Arial" w:eastAsia="Calibri" w:hAnsi="Arial" w:cs="Arial"/>
          <w:b/>
          <w:sz w:val="16"/>
          <w:szCs w:val="16"/>
        </w:rPr>
      </w:pPr>
    </w:p>
    <w:p w14:paraId="462981B8" w14:textId="77777777" w:rsidR="00647DFA" w:rsidRPr="00627EEC" w:rsidRDefault="00647DFA" w:rsidP="00647DFA">
      <w:pPr>
        <w:jc w:val="both"/>
        <w:rPr>
          <w:rFonts w:ascii="Arial" w:eastAsia="Calibri" w:hAnsi="Arial" w:cs="Arial"/>
          <w:b/>
          <w:bCs/>
          <w:sz w:val="22"/>
        </w:rPr>
      </w:pPr>
      <w:r w:rsidRPr="00562E70">
        <w:rPr>
          <w:rFonts w:ascii="Arial" w:eastAsia="Calibri" w:hAnsi="Arial" w:cs="Arial"/>
          <w:b/>
          <w:bCs/>
          <w:sz w:val="22"/>
        </w:rPr>
        <w:t xml:space="preserve">PAGO ANTICIPADO Y/O ANTICIPO – Régimen legal – </w:t>
      </w:r>
      <w:r w:rsidRPr="00627EEC">
        <w:rPr>
          <w:rFonts w:ascii="Arial" w:eastAsia="Calibri" w:hAnsi="Arial" w:cs="Arial"/>
          <w:b/>
          <w:bCs/>
          <w:sz w:val="22"/>
        </w:rPr>
        <w:t>Facultad – Pacto</w:t>
      </w:r>
    </w:p>
    <w:p w14:paraId="41625479" w14:textId="77777777" w:rsidR="00647DFA" w:rsidRPr="00627EEC" w:rsidRDefault="00647DFA" w:rsidP="00647DFA">
      <w:pPr>
        <w:rPr>
          <w:rFonts w:ascii="Arial" w:hAnsi="Arial" w:cs="Arial"/>
          <w:sz w:val="20"/>
          <w:szCs w:val="20"/>
        </w:rPr>
      </w:pPr>
    </w:p>
    <w:p w14:paraId="744F7D9F" w14:textId="77777777" w:rsidR="00647DFA" w:rsidRPr="00627EEC" w:rsidRDefault="00647DFA" w:rsidP="00647DFA">
      <w:pPr>
        <w:jc w:val="both"/>
        <w:rPr>
          <w:rFonts w:ascii="Arial" w:eastAsia="Calibri" w:hAnsi="Arial" w:cs="Arial"/>
          <w:sz w:val="20"/>
          <w:szCs w:val="20"/>
        </w:rPr>
      </w:pPr>
      <w:r w:rsidRPr="00627EEC">
        <w:rPr>
          <w:rFonts w:ascii="Arial" w:eastAsia="Calibri" w:hAnsi="Arial" w:cs="Arial"/>
          <w:sz w:val="20"/>
          <w:szCs w:val="20"/>
        </w:rPr>
        <w:t>Conforme las disposiciones que regulan el régimen de contratación pública, las entidades estatales se encuentran facultadas para pactar el pago anticipado o la entrega de anticipos como mecanismos de financiación para la adecuada ejecución de los contratos estatales.</w:t>
      </w:r>
    </w:p>
    <w:p w14:paraId="28932A89" w14:textId="77777777" w:rsidR="00647DFA" w:rsidRPr="00627EEC" w:rsidRDefault="00647DFA" w:rsidP="00647DFA">
      <w:pPr>
        <w:jc w:val="both"/>
        <w:rPr>
          <w:rFonts w:ascii="Arial" w:eastAsia="Calibri" w:hAnsi="Arial" w:cs="Arial"/>
          <w:sz w:val="20"/>
          <w:szCs w:val="20"/>
        </w:rPr>
      </w:pPr>
    </w:p>
    <w:p w14:paraId="30D3814B" w14:textId="77777777" w:rsidR="00647DFA" w:rsidRPr="00627EEC" w:rsidRDefault="00647DFA" w:rsidP="00647DFA">
      <w:pPr>
        <w:jc w:val="both"/>
        <w:rPr>
          <w:rFonts w:ascii="Arial" w:eastAsia="Calibri" w:hAnsi="Arial" w:cs="Arial"/>
          <w:b/>
          <w:bCs/>
          <w:sz w:val="22"/>
        </w:rPr>
      </w:pPr>
      <w:r w:rsidRPr="00627EEC">
        <w:rPr>
          <w:rFonts w:ascii="Arial" w:eastAsia="Calibri" w:hAnsi="Arial" w:cs="Arial"/>
          <w:b/>
          <w:bCs/>
          <w:sz w:val="22"/>
        </w:rPr>
        <w:t>PAGO ANTICIPADO Y/O ANTICIPO – Límites – Aplicación – Tipo contractual</w:t>
      </w:r>
    </w:p>
    <w:p w14:paraId="3D13E493" w14:textId="77777777" w:rsidR="00647DFA" w:rsidRPr="00627EEC" w:rsidRDefault="00647DFA" w:rsidP="00647DFA">
      <w:pPr>
        <w:jc w:val="both"/>
        <w:rPr>
          <w:rFonts w:ascii="Arial" w:eastAsia="Calibri" w:hAnsi="Arial" w:cs="Arial"/>
          <w:sz w:val="20"/>
          <w:szCs w:val="20"/>
        </w:rPr>
      </w:pPr>
    </w:p>
    <w:p w14:paraId="3F34BC6F" w14:textId="77777777" w:rsidR="00647DFA" w:rsidRPr="00627EEC" w:rsidRDefault="00647DFA" w:rsidP="00647DFA">
      <w:pPr>
        <w:jc w:val="both"/>
        <w:rPr>
          <w:rFonts w:ascii="Arial" w:eastAsia="Calibri" w:hAnsi="Arial" w:cs="Arial"/>
          <w:sz w:val="20"/>
          <w:szCs w:val="20"/>
        </w:rPr>
      </w:pPr>
      <w:r w:rsidRPr="00627EEC">
        <w:rPr>
          <w:rFonts w:ascii="Arial" w:eastAsia="Calibri" w:hAnsi="Arial" w:cs="Arial"/>
          <w:sz w:val="20"/>
          <w:szCs w:val="20"/>
        </w:rPr>
        <w:t xml:space="preserve">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652DD0C7" w14:textId="77777777" w:rsidR="00647DFA" w:rsidRPr="00627EEC" w:rsidRDefault="00647DFA" w:rsidP="00647DFA">
      <w:pPr>
        <w:jc w:val="both"/>
        <w:rPr>
          <w:rFonts w:ascii="Arial" w:eastAsia="Calibri" w:hAnsi="Arial" w:cs="Arial"/>
          <w:sz w:val="20"/>
          <w:szCs w:val="20"/>
        </w:rPr>
      </w:pPr>
    </w:p>
    <w:p w14:paraId="29AF560F" w14:textId="77777777" w:rsidR="00647DFA" w:rsidRPr="00627EEC" w:rsidRDefault="00647DFA" w:rsidP="00647DFA">
      <w:pPr>
        <w:jc w:val="both"/>
        <w:rPr>
          <w:rFonts w:ascii="Arial" w:eastAsia="Calibri" w:hAnsi="Arial" w:cs="Arial"/>
          <w:sz w:val="20"/>
          <w:szCs w:val="20"/>
        </w:rPr>
      </w:pPr>
      <w:r w:rsidRPr="00627EEC">
        <w:rPr>
          <w:rFonts w:ascii="Arial" w:eastAsia="Calibri" w:hAnsi="Arial" w:cs="Arial"/>
          <w:sz w:val="20"/>
          <w:szCs w:val="20"/>
        </w:rPr>
        <w:t>Otro aspecto que se destaca de dicha disposición consiste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w:t>
      </w:r>
    </w:p>
    <w:p w14:paraId="46854947" w14:textId="77777777" w:rsidR="00647DFA" w:rsidRPr="00627EEC" w:rsidRDefault="00647DFA" w:rsidP="00647DFA">
      <w:pPr>
        <w:jc w:val="both"/>
        <w:rPr>
          <w:rFonts w:ascii="Arial" w:eastAsia="Calibri" w:hAnsi="Arial" w:cs="Arial"/>
          <w:sz w:val="20"/>
          <w:szCs w:val="20"/>
        </w:rPr>
      </w:pPr>
    </w:p>
    <w:p w14:paraId="0258FBBE" w14:textId="77777777" w:rsidR="00647DFA" w:rsidRPr="00562E70" w:rsidRDefault="00647DFA" w:rsidP="00647DFA">
      <w:pPr>
        <w:jc w:val="both"/>
        <w:rPr>
          <w:rFonts w:ascii="Arial" w:hAnsi="Arial" w:cs="Arial"/>
          <w:b/>
          <w:bCs/>
          <w:sz w:val="22"/>
        </w:rPr>
      </w:pPr>
      <w:r w:rsidRPr="00627EEC">
        <w:rPr>
          <w:rFonts w:ascii="Arial" w:hAnsi="Arial" w:cs="Arial"/>
          <w:b/>
          <w:bCs/>
          <w:sz w:val="22"/>
        </w:rPr>
        <w:t xml:space="preserve">PAGO ANTICIPADO Y/O ANTICIPO </w:t>
      </w:r>
      <w:r w:rsidRPr="00627EEC">
        <w:rPr>
          <w:rFonts w:ascii="Arial" w:eastAsia="Calibri" w:hAnsi="Arial" w:cs="Arial"/>
          <w:b/>
          <w:bCs/>
          <w:sz w:val="22"/>
        </w:rPr>
        <w:t>–</w:t>
      </w:r>
      <w:r w:rsidRPr="00627EEC">
        <w:rPr>
          <w:rFonts w:ascii="Arial" w:hAnsi="Arial" w:cs="Arial"/>
          <w:b/>
          <w:bCs/>
          <w:sz w:val="22"/>
        </w:rPr>
        <w:t xml:space="preserve"> Nociones</w:t>
      </w:r>
    </w:p>
    <w:p w14:paraId="2ABE5E6C" w14:textId="77777777" w:rsidR="00647DFA" w:rsidRPr="00562E70" w:rsidRDefault="00647DFA" w:rsidP="00647DFA">
      <w:pPr>
        <w:jc w:val="both"/>
        <w:rPr>
          <w:rFonts w:ascii="Arial" w:hAnsi="Arial" w:cs="Arial"/>
          <w:b/>
          <w:bCs/>
          <w:sz w:val="20"/>
          <w:szCs w:val="20"/>
        </w:rPr>
      </w:pPr>
    </w:p>
    <w:p w14:paraId="64392A21" w14:textId="77777777" w:rsidR="00647DFA" w:rsidRPr="00562E70" w:rsidRDefault="00647DFA" w:rsidP="00647DFA">
      <w:pPr>
        <w:jc w:val="both"/>
        <w:rPr>
          <w:rFonts w:ascii="Arial" w:eastAsia="Calibri" w:hAnsi="Arial" w:cs="Arial"/>
          <w:sz w:val="20"/>
          <w:szCs w:val="20"/>
        </w:rPr>
      </w:pPr>
      <w:r w:rsidRPr="00562E70">
        <w:rPr>
          <w:rFonts w:ascii="Arial" w:eastAsia="Calibri" w:hAnsi="Arial" w:cs="Arial"/>
          <w:sz w:val="20"/>
          <w:szCs w:val="20"/>
        </w:rPr>
        <w:t>) El pago anticipado es un pago efectivo del precio que se efectúa y se causa en forma anticipada. Por tanto, los recursos se integran al patrimonio del contratista desde su desembolso. ii)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p>
    <w:p w14:paraId="00121D1E" w14:textId="77777777" w:rsidR="00647DFA" w:rsidRPr="00562E70" w:rsidRDefault="00647DFA" w:rsidP="00647DFA">
      <w:pPr>
        <w:jc w:val="both"/>
        <w:rPr>
          <w:rFonts w:ascii="Arial" w:eastAsia="Calibri" w:hAnsi="Arial" w:cs="Arial"/>
          <w:sz w:val="20"/>
          <w:szCs w:val="20"/>
        </w:rPr>
      </w:pPr>
    </w:p>
    <w:p w14:paraId="51F3B54E" w14:textId="77777777" w:rsidR="00647DFA" w:rsidRPr="00562E70" w:rsidRDefault="00647DFA" w:rsidP="00647DFA">
      <w:pPr>
        <w:jc w:val="both"/>
        <w:rPr>
          <w:rFonts w:ascii="Arial" w:eastAsia="Calibri" w:hAnsi="Arial" w:cs="Arial"/>
          <w:b/>
          <w:bCs/>
          <w:sz w:val="22"/>
        </w:rPr>
      </w:pPr>
      <w:r w:rsidRPr="00562E70">
        <w:rPr>
          <w:rFonts w:ascii="Arial" w:eastAsia="Calibri" w:hAnsi="Arial" w:cs="Arial"/>
          <w:b/>
          <w:bCs/>
          <w:sz w:val="22"/>
        </w:rPr>
        <w:t xml:space="preserve">ANTICIPO – </w:t>
      </w:r>
      <w:r w:rsidRPr="008007C6">
        <w:rPr>
          <w:rFonts w:ascii="Arial" w:eastAsia="Calibri" w:hAnsi="Arial" w:cs="Arial"/>
          <w:b/>
          <w:sz w:val="22"/>
        </w:rPr>
        <w:t>F</w:t>
      </w:r>
      <w:r w:rsidRPr="008007C6">
        <w:rPr>
          <w:rFonts w:ascii="Arial" w:eastAsia="Calibri" w:hAnsi="Arial" w:cs="Arial"/>
          <w:b/>
          <w:bCs/>
          <w:sz w:val="22"/>
        </w:rPr>
        <w:t>iducia o patrimonio autónomo</w:t>
      </w:r>
      <w:r w:rsidRPr="00562E70">
        <w:rPr>
          <w:rFonts w:ascii="Arial" w:eastAsia="Calibri" w:hAnsi="Arial" w:cs="Arial"/>
          <w:b/>
          <w:bCs/>
          <w:sz w:val="22"/>
        </w:rPr>
        <w:t xml:space="preserve"> – </w:t>
      </w:r>
      <w:r w:rsidRPr="00346296">
        <w:rPr>
          <w:rFonts w:ascii="Arial" w:eastAsia="Calibri" w:hAnsi="Arial" w:cs="Arial"/>
          <w:b/>
          <w:sz w:val="22"/>
        </w:rPr>
        <w:t>Constitución</w:t>
      </w:r>
      <w:r w:rsidRPr="00562E70">
        <w:rPr>
          <w:rFonts w:ascii="Arial" w:eastAsia="Calibri" w:hAnsi="Arial" w:cs="Arial"/>
          <w:b/>
          <w:bCs/>
          <w:sz w:val="22"/>
        </w:rPr>
        <w:t xml:space="preserve"> </w:t>
      </w:r>
      <w:r w:rsidRPr="00562E70">
        <w:rPr>
          <w:rFonts w:ascii="Arial" w:eastAsia="Calibri" w:hAnsi="Arial" w:cs="Arial"/>
          <w:b/>
          <w:sz w:val="22"/>
        </w:rPr>
        <w:t xml:space="preserve">– </w:t>
      </w:r>
      <w:r w:rsidRPr="00346296">
        <w:rPr>
          <w:rFonts w:ascii="Arial" w:eastAsia="Calibri" w:hAnsi="Arial" w:cs="Arial"/>
          <w:b/>
          <w:bCs/>
          <w:sz w:val="22"/>
        </w:rPr>
        <w:t>Aplicación</w:t>
      </w:r>
      <w:r w:rsidRPr="00562E70">
        <w:rPr>
          <w:rFonts w:ascii="Arial" w:eastAsia="Calibri" w:hAnsi="Arial" w:cs="Arial"/>
          <w:b/>
          <w:bCs/>
          <w:sz w:val="22"/>
        </w:rPr>
        <w:t xml:space="preserve"> </w:t>
      </w:r>
      <w:r w:rsidRPr="00562E70">
        <w:rPr>
          <w:rFonts w:ascii="Arial" w:eastAsia="Calibri" w:hAnsi="Arial" w:cs="Arial"/>
          <w:b/>
          <w:sz w:val="22"/>
        </w:rPr>
        <w:t xml:space="preserve">– </w:t>
      </w:r>
      <w:r w:rsidRPr="00562E70">
        <w:rPr>
          <w:rFonts w:ascii="Arial" w:eastAsia="Calibri" w:hAnsi="Arial" w:cs="Arial"/>
          <w:b/>
          <w:bCs/>
          <w:sz w:val="22"/>
        </w:rPr>
        <w:t>Contratos obligados</w:t>
      </w:r>
    </w:p>
    <w:p w14:paraId="0D7F4E07" w14:textId="77777777" w:rsidR="00647DFA" w:rsidRPr="00562E70" w:rsidRDefault="00647DFA" w:rsidP="00647DFA">
      <w:pPr>
        <w:jc w:val="both"/>
        <w:rPr>
          <w:rFonts w:ascii="Arial" w:eastAsia="Calibri" w:hAnsi="Arial" w:cs="Arial"/>
          <w:b/>
          <w:bCs/>
          <w:sz w:val="20"/>
          <w:szCs w:val="20"/>
        </w:rPr>
      </w:pPr>
    </w:p>
    <w:p w14:paraId="67E117BD" w14:textId="77777777" w:rsidR="00647DFA" w:rsidRPr="00562E70" w:rsidRDefault="00647DFA" w:rsidP="00647DFA">
      <w:pPr>
        <w:jc w:val="both"/>
        <w:rPr>
          <w:rFonts w:ascii="Arial" w:eastAsia="Calibri" w:hAnsi="Arial" w:cs="Arial"/>
          <w:sz w:val="20"/>
          <w:szCs w:val="20"/>
        </w:rPr>
      </w:pPr>
      <w:r w:rsidRPr="00562E70">
        <w:rPr>
          <w:rFonts w:ascii="Arial" w:eastAsia="Calibri" w:hAnsi="Arial" w:cs="Arial"/>
          <w:sz w:val="20"/>
          <w:szCs w:val="20"/>
        </w:rPr>
        <w:t>De otra parte, con la expedición de la Ley 1474 de 2011 «Por la cual se dictan normas orientadas a fortalecer los mecanismos de prevención, investigación y sanción de actos de corrupción y la efectividad del control de la gestión pública», se estableció un requisito relacionado con el manejo del anticipo. En efecto, el artículo 91 estableció la obligación para el contratista de constituir una fiducia o patrimonio autónomo irrevocable, como garantía del buen manejo e inversión de los recursos que le sean entregados a título de anticipo. La mencionada obligación se aplica a los contratos de obra, concesión, salud, o los que se realicen por licitación pública, salvo que los mismos sean de menor o mínima cuantía.</w:t>
      </w:r>
    </w:p>
    <w:p w14:paraId="4158AC84" w14:textId="77777777" w:rsidR="00647DFA" w:rsidRPr="00562E70" w:rsidRDefault="00647DFA" w:rsidP="00647DFA">
      <w:pPr>
        <w:jc w:val="both"/>
        <w:rPr>
          <w:rFonts w:ascii="Arial" w:hAnsi="Arial" w:cs="Arial"/>
          <w:b/>
          <w:bCs/>
          <w:sz w:val="20"/>
          <w:szCs w:val="20"/>
        </w:rPr>
      </w:pPr>
    </w:p>
    <w:p w14:paraId="01DF0B4A" w14:textId="77777777" w:rsidR="00647DFA" w:rsidRPr="00562E70" w:rsidRDefault="00647DFA" w:rsidP="00647DFA">
      <w:pPr>
        <w:jc w:val="both"/>
        <w:rPr>
          <w:rFonts w:ascii="Arial" w:hAnsi="Arial" w:cs="Arial"/>
          <w:b/>
          <w:bCs/>
          <w:sz w:val="22"/>
        </w:rPr>
      </w:pPr>
      <w:r w:rsidRPr="00562E70">
        <w:rPr>
          <w:rFonts w:ascii="Arial" w:hAnsi="Arial" w:cs="Arial"/>
          <w:b/>
          <w:bCs/>
          <w:sz w:val="22"/>
        </w:rPr>
        <w:t xml:space="preserve">PAGO ANTICIPADO Y/O ANTICIPO </w:t>
      </w:r>
      <w:r w:rsidRPr="00562E70">
        <w:rPr>
          <w:rFonts w:ascii="Arial" w:eastAsia="Calibri" w:hAnsi="Arial" w:cs="Arial"/>
          <w:b/>
          <w:bCs/>
          <w:sz w:val="22"/>
        </w:rPr>
        <w:t>–</w:t>
      </w:r>
      <w:r w:rsidRPr="00562E70">
        <w:rPr>
          <w:rFonts w:ascii="Arial" w:hAnsi="Arial" w:cs="Arial"/>
          <w:b/>
          <w:bCs/>
          <w:sz w:val="22"/>
        </w:rPr>
        <w:t xml:space="preserve"> Medidas de protección </w:t>
      </w:r>
      <w:r w:rsidRPr="00562E70">
        <w:rPr>
          <w:rFonts w:ascii="Arial" w:eastAsia="Calibri" w:hAnsi="Arial" w:cs="Arial"/>
          <w:b/>
          <w:bCs/>
          <w:sz w:val="22"/>
        </w:rPr>
        <w:t>–</w:t>
      </w:r>
      <w:r w:rsidRPr="00562E70">
        <w:rPr>
          <w:rFonts w:ascii="Arial" w:hAnsi="Arial" w:cs="Arial"/>
          <w:b/>
          <w:bCs/>
          <w:sz w:val="22"/>
        </w:rPr>
        <w:t xml:space="preserve"> Recursos entregados</w:t>
      </w:r>
    </w:p>
    <w:p w14:paraId="64C0C65C" w14:textId="77777777" w:rsidR="00647DFA" w:rsidRPr="00562E70" w:rsidRDefault="00647DFA" w:rsidP="00647DFA">
      <w:pPr>
        <w:jc w:val="both"/>
        <w:rPr>
          <w:rFonts w:ascii="Arial" w:hAnsi="Arial" w:cs="Arial"/>
          <w:b/>
          <w:bCs/>
          <w:sz w:val="20"/>
          <w:szCs w:val="20"/>
        </w:rPr>
      </w:pPr>
    </w:p>
    <w:p w14:paraId="5286A545" w14:textId="77777777" w:rsidR="00647DFA" w:rsidRPr="00562E70" w:rsidRDefault="00647DFA" w:rsidP="00647DFA">
      <w:pPr>
        <w:jc w:val="both"/>
        <w:rPr>
          <w:rFonts w:ascii="Arial" w:eastAsia="Calibri" w:hAnsi="Arial" w:cs="Arial"/>
          <w:sz w:val="20"/>
          <w:szCs w:val="20"/>
        </w:rPr>
      </w:pPr>
      <w:r w:rsidRPr="00562E70">
        <w:rPr>
          <w:rFonts w:ascii="Arial" w:eastAsia="Calibri" w:hAnsi="Arial" w:cs="Arial"/>
          <w:sz w:val="20"/>
          <w:szCs w:val="20"/>
        </w:rPr>
        <w:t>En los contratos en los que no es obligatorio constituir una fiducia o un patrimonio autónomo para el manejo del anticipo, la entidad contratante debe adoptar medidas necesarias y razonables para asegurar la protección de los recursos económicos entregados al contratista.</w:t>
      </w:r>
    </w:p>
    <w:p w14:paraId="127F1D7D" w14:textId="77777777" w:rsidR="00647DFA" w:rsidRPr="00562E70" w:rsidRDefault="00647DFA" w:rsidP="00647DFA">
      <w:pPr>
        <w:jc w:val="both"/>
        <w:rPr>
          <w:rFonts w:ascii="Arial" w:eastAsia="Calibri" w:hAnsi="Arial" w:cs="Arial"/>
          <w:sz w:val="20"/>
          <w:szCs w:val="20"/>
        </w:rPr>
      </w:pPr>
      <w:r w:rsidRPr="00562E70">
        <w:rPr>
          <w:rFonts w:ascii="Arial" w:eastAsia="Calibri" w:hAnsi="Arial" w:cs="Arial"/>
          <w:sz w:val="20"/>
          <w:szCs w:val="20"/>
        </w:rPr>
        <w:t>Por ello, la protección de los recursos económicos entregados al contratista, a título de pago anticipado o anticipo, debe realizarse con la constitución de las garantías establecidas en el ordenamiento jurídico para tal efecto.</w:t>
      </w:r>
    </w:p>
    <w:p w14:paraId="7820023E" w14:textId="77777777" w:rsidR="00647DFA" w:rsidRPr="00562E70" w:rsidRDefault="00647DFA" w:rsidP="00647DFA">
      <w:pPr>
        <w:tabs>
          <w:tab w:val="left" w:pos="3374"/>
        </w:tabs>
        <w:rPr>
          <w:rFonts w:ascii="Arial" w:eastAsia="Calibri" w:hAnsi="Arial" w:cs="Arial"/>
          <w:sz w:val="20"/>
          <w:szCs w:val="20"/>
        </w:rPr>
      </w:pPr>
    </w:p>
    <w:p w14:paraId="65898EC9" w14:textId="67E5DB6E" w:rsidR="00647DFA" w:rsidRPr="00562E70" w:rsidRDefault="00647DFA" w:rsidP="00647DFA">
      <w:pPr>
        <w:tabs>
          <w:tab w:val="left" w:pos="3374"/>
        </w:tabs>
        <w:rPr>
          <w:rFonts w:ascii="Arial" w:eastAsia="Calibri" w:hAnsi="Arial" w:cs="Arial"/>
          <w:sz w:val="22"/>
          <w:lang w:val="pt-BR"/>
        </w:rPr>
      </w:pPr>
      <w:r w:rsidRPr="00562E70">
        <w:rPr>
          <w:rFonts w:ascii="Arial" w:eastAsia="Calibri" w:hAnsi="Arial" w:cs="Arial"/>
          <w:sz w:val="22"/>
          <w:lang w:val="pt-BR"/>
        </w:rPr>
        <w:tab/>
      </w:r>
    </w:p>
    <w:p w14:paraId="6937B2F9" w14:textId="5C1C96D4" w:rsidR="00647DFA" w:rsidRPr="00562E70" w:rsidRDefault="00647DFA" w:rsidP="00647DFA">
      <w:pPr>
        <w:rPr>
          <w:rFonts w:ascii="Arial" w:eastAsia="Calibri" w:hAnsi="Arial" w:cs="Arial"/>
          <w:sz w:val="22"/>
          <w:lang w:val="pt-BR"/>
        </w:rPr>
      </w:pPr>
    </w:p>
    <w:p w14:paraId="4FD33521" w14:textId="30BE6DEB" w:rsidR="00562E70" w:rsidRPr="00562E70" w:rsidRDefault="00562E70" w:rsidP="00647DFA">
      <w:pPr>
        <w:rPr>
          <w:rFonts w:ascii="Arial" w:eastAsia="Calibri" w:hAnsi="Arial" w:cs="Arial"/>
          <w:sz w:val="22"/>
          <w:lang w:val="pt-BR"/>
        </w:rPr>
      </w:pPr>
    </w:p>
    <w:p w14:paraId="2B58696F" w14:textId="77777777" w:rsidR="00562E70" w:rsidRPr="00562E70" w:rsidRDefault="00562E70" w:rsidP="00647DFA">
      <w:pPr>
        <w:rPr>
          <w:rFonts w:ascii="Arial" w:eastAsia="Calibri" w:hAnsi="Arial" w:cs="Arial"/>
          <w:sz w:val="22"/>
          <w:lang w:val="pt-BR"/>
        </w:rPr>
      </w:pPr>
    </w:p>
    <w:p w14:paraId="3DFF46AE" w14:textId="77777777" w:rsidR="00562E70" w:rsidRPr="00562E70" w:rsidRDefault="00562E70" w:rsidP="00647DFA">
      <w:pPr>
        <w:rPr>
          <w:rFonts w:ascii="Arial" w:eastAsia="Calibri" w:hAnsi="Arial" w:cs="Arial"/>
          <w:sz w:val="22"/>
          <w:lang w:val="pt-BR"/>
        </w:rPr>
      </w:pPr>
      <w:r w:rsidRPr="00562E70">
        <w:rPr>
          <w:rFonts w:ascii="Arial" w:eastAsia="Calibri" w:hAnsi="Arial" w:cs="Arial"/>
          <w:sz w:val="22"/>
          <w:lang w:val="pt-BR"/>
        </w:rPr>
        <w:lastRenderedPageBreak/>
        <w:t xml:space="preserve">Bogotá D.C., 28 de </w:t>
      </w:r>
      <w:proofErr w:type="spellStart"/>
      <w:r w:rsidRPr="00562E70">
        <w:rPr>
          <w:rFonts w:ascii="Arial" w:eastAsia="Calibri" w:hAnsi="Arial" w:cs="Arial"/>
          <w:sz w:val="22"/>
          <w:lang w:val="pt-BR"/>
        </w:rPr>
        <w:t>Diciembre</w:t>
      </w:r>
      <w:proofErr w:type="spellEnd"/>
      <w:r w:rsidRPr="00562E70">
        <w:rPr>
          <w:rFonts w:ascii="Arial" w:eastAsia="Calibri" w:hAnsi="Arial" w:cs="Arial"/>
          <w:sz w:val="22"/>
          <w:lang w:val="pt-BR"/>
        </w:rPr>
        <w:t xml:space="preserve"> de 2022</w:t>
      </w:r>
    </w:p>
    <w:p w14:paraId="1320D2D4" w14:textId="0E145B4D" w:rsidR="00562E70" w:rsidRPr="00562E70" w:rsidRDefault="00562E70" w:rsidP="00647DFA">
      <w:pPr>
        <w:rPr>
          <w:rFonts w:ascii="Arial" w:eastAsia="Calibri" w:hAnsi="Arial" w:cs="Arial"/>
          <w:sz w:val="22"/>
          <w:lang w:val="pt-BR"/>
        </w:rPr>
      </w:pPr>
      <w:r w:rsidRPr="00562E70">
        <w:rPr>
          <w:rFonts w:ascii="Arial" w:eastAsia="Calibri" w:hAnsi="Arial" w:cs="Arial"/>
          <w:noProof/>
          <w:sz w:val="22"/>
        </w:rPr>
        <w:drawing>
          <wp:anchor distT="0" distB="0" distL="114300" distR="114300" simplePos="0" relativeHeight="251658240" behindDoc="0" locked="0" layoutInCell="1" allowOverlap="1" wp14:anchorId="1978D4C6" wp14:editId="6BE90922">
            <wp:simplePos x="0" y="0"/>
            <wp:positionH relativeFrom="column">
              <wp:posOffset>2918104</wp:posOffset>
            </wp:positionH>
            <wp:positionV relativeFrom="paragraph">
              <wp:posOffset>-57888</wp:posOffset>
            </wp:positionV>
            <wp:extent cx="2799611" cy="759217"/>
            <wp:effectExtent l="0" t="0" r="0" b="317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99611" cy="759217"/>
                    </a:xfrm>
                    <a:prstGeom prst="rect">
                      <a:avLst/>
                    </a:prstGeom>
                  </pic:spPr>
                </pic:pic>
              </a:graphicData>
            </a:graphic>
            <wp14:sizeRelH relativeFrom="page">
              <wp14:pctWidth>0</wp14:pctWidth>
            </wp14:sizeRelH>
            <wp14:sizeRelV relativeFrom="page">
              <wp14:pctHeight>0</wp14:pctHeight>
            </wp14:sizeRelV>
          </wp:anchor>
        </w:drawing>
      </w:r>
    </w:p>
    <w:p w14:paraId="18D9E143" w14:textId="26C1B799" w:rsidR="00647DFA" w:rsidRPr="00562E70" w:rsidRDefault="00647DFA" w:rsidP="00647DFA">
      <w:pPr>
        <w:rPr>
          <w:rFonts w:ascii="Arial" w:eastAsia="Calibri" w:hAnsi="Arial" w:cs="Arial"/>
          <w:sz w:val="22"/>
        </w:rPr>
      </w:pPr>
      <w:r w:rsidRPr="00562E70">
        <w:rPr>
          <w:rFonts w:ascii="Arial" w:eastAsia="Calibri" w:hAnsi="Arial" w:cs="Arial"/>
          <w:sz w:val="22"/>
        </w:rPr>
        <w:t>Señora</w:t>
      </w:r>
    </w:p>
    <w:p w14:paraId="79A382E8" w14:textId="63B75F18" w:rsidR="00647DFA" w:rsidRPr="00562E70" w:rsidRDefault="00647DFA" w:rsidP="00647DFA">
      <w:pPr>
        <w:rPr>
          <w:rFonts w:ascii="Arial" w:eastAsia="Calibri" w:hAnsi="Arial" w:cs="Arial"/>
          <w:b/>
          <w:sz w:val="22"/>
        </w:rPr>
      </w:pPr>
      <w:r w:rsidRPr="00562E70">
        <w:rPr>
          <w:rFonts w:ascii="Arial" w:eastAsia="Calibri" w:hAnsi="Arial" w:cs="Arial"/>
          <w:b/>
          <w:sz w:val="22"/>
        </w:rPr>
        <w:t>Lorena Patricia Álvarez Naranjo</w:t>
      </w:r>
    </w:p>
    <w:p w14:paraId="10E1E7A2" w14:textId="38E123F0" w:rsidR="00647DFA" w:rsidRPr="00562E70" w:rsidRDefault="00647DFA" w:rsidP="00647DFA">
      <w:pPr>
        <w:rPr>
          <w:rFonts w:ascii="Arial" w:eastAsia="Calibri" w:hAnsi="Arial" w:cs="Arial"/>
          <w:sz w:val="22"/>
        </w:rPr>
      </w:pPr>
      <w:r w:rsidRPr="00562E70">
        <w:rPr>
          <w:rFonts w:ascii="Arial" w:eastAsia="Calibri" w:hAnsi="Arial" w:cs="Arial"/>
          <w:sz w:val="22"/>
        </w:rPr>
        <w:t>Medellín, Antioquia</w:t>
      </w:r>
    </w:p>
    <w:p w14:paraId="457FF450" w14:textId="5B1DBF50" w:rsidR="00647DFA" w:rsidRPr="00562E70" w:rsidRDefault="00647DFA" w:rsidP="00647DFA">
      <w:pPr>
        <w:rPr>
          <w:rFonts w:ascii="Arial" w:eastAsia="Calibri" w:hAnsi="Arial" w:cs="Arial"/>
          <w:sz w:val="22"/>
        </w:rPr>
      </w:pPr>
    </w:p>
    <w:p w14:paraId="58CC7F52" w14:textId="77777777" w:rsidR="00647DFA" w:rsidRPr="00562E70" w:rsidRDefault="00647DFA" w:rsidP="00647DFA">
      <w:pPr>
        <w:rPr>
          <w:rFonts w:ascii="Arial" w:eastAsia="Calibri" w:hAnsi="Arial" w:cs="Arial"/>
          <w:sz w:val="22"/>
        </w:rPr>
      </w:pPr>
    </w:p>
    <w:p w14:paraId="383D59F6" w14:textId="4A043CE7" w:rsidR="00647DFA" w:rsidRPr="00562E70" w:rsidRDefault="00647DFA" w:rsidP="00647DFA">
      <w:pPr>
        <w:jc w:val="center"/>
        <w:rPr>
          <w:rFonts w:ascii="Arial" w:eastAsia="Calibri" w:hAnsi="Arial" w:cs="Arial"/>
          <w:b/>
          <w:sz w:val="22"/>
        </w:rPr>
      </w:pPr>
      <w:r w:rsidRPr="00562E70">
        <w:rPr>
          <w:rFonts w:ascii="Arial" w:eastAsia="Calibri" w:hAnsi="Arial" w:cs="Arial"/>
          <w:b/>
          <w:sz w:val="22"/>
        </w:rPr>
        <w:t>Concepto C ─ 825 de 2022</w:t>
      </w:r>
    </w:p>
    <w:p w14:paraId="24B0FECC" w14:textId="77777777" w:rsidR="00647DFA" w:rsidRPr="00562E70" w:rsidRDefault="00647DFA" w:rsidP="00647DFA">
      <w:pPr>
        <w:rPr>
          <w:rFonts w:ascii="Arial" w:eastAsia="Calibri" w:hAnsi="Arial" w:cs="Arial"/>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62E70" w:rsidRPr="00562E70" w14:paraId="477201EB" w14:textId="77777777" w:rsidTr="002B5ABF">
        <w:tc>
          <w:tcPr>
            <w:tcW w:w="2689" w:type="dxa"/>
            <w:hideMark/>
          </w:tcPr>
          <w:p w14:paraId="352B9613" w14:textId="77777777" w:rsidR="00647DFA" w:rsidRPr="00562E70" w:rsidRDefault="00647DFA" w:rsidP="002B5ABF">
            <w:pPr>
              <w:rPr>
                <w:rFonts w:ascii="Arial" w:eastAsia="Calibri" w:hAnsi="Arial" w:cs="Arial"/>
              </w:rPr>
            </w:pPr>
            <w:r w:rsidRPr="00562E70">
              <w:rPr>
                <w:rFonts w:ascii="Arial" w:eastAsia="Calibri" w:hAnsi="Arial" w:cs="Arial"/>
                <w:b/>
              </w:rPr>
              <w:t>Temas:</w:t>
            </w:r>
            <w:r w:rsidRPr="00562E70">
              <w:rPr>
                <w:rFonts w:ascii="Arial" w:eastAsia="Calibri" w:hAnsi="Arial" w:cs="Arial"/>
              </w:rPr>
              <w:t xml:space="preserve">           </w:t>
            </w:r>
          </w:p>
          <w:p w14:paraId="6429390E" w14:textId="77777777" w:rsidR="00647DFA" w:rsidRPr="00562E70" w:rsidRDefault="00647DFA" w:rsidP="002B5ABF">
            <w:pPr>
              <w:rPr>
                <w:rFonts w:ascii="Arial" w:eastAsia="Calibri" w:hAnsi="Arial" w:cs="Arial"/>
              </w:rPr>
            </w:pPr>
            <w:r w:rsidRPr="00562E70">
              <w:rPr>
                <w:rFonts w:ascii="Arial" w:eastAsia="Calibri" w:hAnsi="Arial" w:cs="Arial"/>
              </w:rPr>
              <w:t xml:space="preserve">                           </w:t>
            </w:r>
          </w:p>
        </w:tc>
        <w:tc>
          <w:tcPr>
            <w:tcW w:w="6237" w:type="dxa"/>
            <w:hideMark/>
          </w:tcPr>
          <w:p w14:paraId="1C7ECC58" w14:textId="77777777" w:rsidR="00647DFA" w:rsidRPr="00562E70" w:rsidRDefault="00647DFA" w:rsidP="002B5ABF">
            <w:pPr>
              <w:jc w:val="both"/>
              <w:rPr>
                <w:rFonts w:ascii="Arial" w:hAnsi="Arial" w:cs="Arial"/>
              </w:rPr>
            </w:pPr>
            <w:r w:rsidRPr="00562E70">
              <w:rPr>
                <w:rFonts w:ascii="Arial" w:eastAsia="Calibri" w:hAnsi="Arial" w:cs="Arial"/>
              </w:rPr>
              <w:t xml:space="preserve">PAGO ANTICIPADO Y/O ANTICIPO – Régimen legal – Facultad – Pacto / PAGO ANTICIPADO Y/O ANTICIPO – Límites – Aplicación – Tipo contractual / </w:t>
            </w:r>
            <w:r w:rsidRPr="00562E70">
              <w:rPr>
                <w:rFonts w:ascii="Arial" w:hAnsi="Arial" w:cs="Arial"/>
              </w:rPr>
              <w:t xml:space="preserve">PAGO ANTICIPADO Y/O ANTICIPO </w:t>
            </w:r>
            <w:r w:rsidRPr="00562E70">
              <w:rPr>
                <w:rFonts w:ascii="Arial" w:eastAsia="Calibri" w:hAnsi="Arial" w:cs="Arial"/>
              </w:rPr>
              <w:t>–</w:t>
            </w:r>
            <w:r w:rsidRPr="00562E70">
              <w:rPr>
                <w:rFonts w:ascii="Arial" w:hAnsi="Arial" w:cs="Arial"/>
              </w:rPr>
              <w:t xml:space="preserve"> Nociones</w:t>
            </w:r>
            <w:r w:rsidRPr="00562E70">
              <w:rPr>
                <w:rFonts w:ascii="Arial" w:eastAsia="Calibri" w:hAnsi="Arial" w:cs="Arial"/>
              </w:rPr>
              <w:t xml:space="preserve"> / ANTICIPO – Fiducia o patrimonio autónomo – Constitución – Aplicación – Contratos obligados</w:t>
            </w:r>
            <w:r w:rsidRPr="00562E70" w:rsidDel="00A50C12">
              <w:rPr>
                <w:rFonts w:ascii="Arial" w:eastAsia="Calibri" w:hAnsi="Arial" w:cs="Arial"/>
              </w:rPr>
              <w:t xml:space="preserve"> </w:t>
            </w:r>
            <w:r w:rsidRPr="00562E70">
              <w:rPr>
                <w:rFonts w:ascii="Arial" w:eastAsia="Calibri" w:hAnsi="Arial" w:cs="Arial"/>
              </w:rPr>
              <w:t xml:space="preserve">/ </w:t>
            </w:r>
            <w:r w:rsidRPr="00562E70">
              <w:rPr>
                <w:rFonts w:ascii="Arial" w:hAnsi="Arial" w:cs="Arial"/>
              </w:rPr>
              <w:t xml:space="preserve">PAGO ANTICIPADO Y/O ANTICIPO </w:t>
            </w:r>
            <w:r w:rsidRPr="00562E70">
              <w:rPr>
                <w:rFonts w:ascii="Arial" w:eastAsia="Calibri" w:hAnsi="Arial" w:cs="Arial"/>
              </w:rPr>
              <w:t>–</w:t>
            </w:r>
            <w:r w:rsidRPr="00562E70">
              <w:rPr>
                <w:rFonts w:ascii="Arial" w:hAnsi="Arial" w:cs="Arial"/>
              </w:rPr>
              <w:t xml:space="preserve"> Medidas de protección </w:t>
            </w:r>
            <w:r w:rsidRPr="00562E70">
              <w:rPr>
                <w:rFonts w:ascii="Arial" w:eastAsia="Calibri" w:hAnsi="Arial" w:cs="Arial"/>
              </w:rPr>
              <w:t>–</w:t>
            </w:r>
            <w:r w:rsidRPr="00562E70">
              <w:rPr>
                <w:rFonts w:ascii="Arial" w:hAnsi="Arial" w:cs="Arial"/>
              </w:rPr>
              <w:t xml:space="preserve"> Recursos entregados</w:t>
            </w:r>
          </w:p>
        </w:tc>
      </w:tr>
      <w:tr w:rsidR="00647DFA" w:rsidRPr="00562E70" w14:paraId="1AC49FAC" w14:textId="77777777" w:rsidTr="002B5ABF">
        <w:tc>
          <w:tcPr>
            <w:tcW w:w="2689" w:type="dxa"/>
          </w:tcPr>
          <w:p w14:paraId="7BC065D1" w14:textId="77777777" w:rsidR="00647DFA" w:rsidRPr="00562E70" w:rsidRDefault="00647DFA" w:rsidP="002B5ABF">
            <w:pPr>
              <w:rPr>
                <w:rFonts w:ascii="Arial" w:eastAsia="Calibri" w:hAnsi="Arial" w:cs="Arial"/>
                <w:b/>
              </w:rPr>
            </w:pPr>
            <w:r w:rsidRPr="00562E70">
              <w:rPr>
                <w:rFonts w:ascii="Arial" w:eastAsia="Calibri" w:hAnsi="Arial" w:cs="Arial"/>
                <w:b/>
              </w:rPr>
              <w:t>Radicación:</w:t>
            </w:r>
            <w:r w:rsidRPr="00562E70">
              <w:rPr>
                <w:rFonts w:ascii="Arial" w:eastAsia="Calibri" w:hAnsi="Arial" w:cs="Arial"/>
              </w:rPr>
              <w:t xml:space="preserve">                              </w:t>
            </w:r>
          </w:p>
        </w:tc>
        <w:tc>
          <w:tcPr>
            <w:tcW w:w="6237" w:type="dxa"/>
          </w:tcPr>
          <w:p w14:paraId="1F0EEDC7" w14:textId="00348F3D" w:rsidR="00647DFA" w:rsidRPr="00562E70" w:rsidRDefault="00647DFA" w:rsidP="002B5ABF">
            <w:pPr>
              <w:jc w:val="both"/>
              <w:rPr>
                <w:rFonts w:ascii="Arial" w:eastAsia="Calibri" w:hAnsi="Arial" w:cs="Arial"/>
              </w:rPr>
            </w:pPr>
            <w:r w:rsidRPr="00562E70">
              <w:rPr>
                <w:rFonts w:ascii="Arial" w:eastAsia="Calibri" w:hAnsi="Arial" w:cs="Arial"/>
              </w:rPr>
              <w:t>Respuesta a consulta P20221122011596</w:t>
            </w:r>
          </w:p>
        </w:tc>
      </w:tr>
    </w:tbl>
    <w:p w14:paraId="042E3BB1" w14:textId="77777777" w:rsidR="00647DFA" w:rsidRPr="00562E70" w:rsidRDefault="00647DFA" w:rsidP="00647DFA">
      <w:pPr>
        <w:jc w:val="both"/>
        <w:rPr>
          <w:rFonts w:ascii="Arial" w:eastAsia="Calibri" w:hAnsi="Arial" w:cs="Arial"/>
          <w:sz w:val="22"/>
        </w:rPr>
      </w:pPr>
    </w:p>
    <w:p w14:paraId="7CB49D3C" w14:textId="77777777" w:rsidR="00647DFA" w:rsidRPr="00562E70" w:rsidRDefault="00647DFA" w:rsidP="00647DFA">
      <w:pPr>
        <w:rPr>
          <w:rFonts w:ascii="Arial" w:eastAsia="Calibri" w:hAnsi="Arial" w:cs="Arial"/>
          <w:sz w:val="22"/>
        </w:rPr>
      </w:pPr>
    </w:p>
    <w:p w14:paraId="3800FFE2" w14:textId="352BB636" w:rsidR="00647DFA" w:rsidRPr="00562E70" w:rsidRDefault="00647DFA" w:rsidP="00647DFA">
      <w:pPr>
        <w:rPr>
          <w:rFonts w:ascii="Arial" w:eastAsia="Calibri" w:hAnsi="Arial" w:cs="Arial"/>
          <w:sz w:val="22"/>
        </w:rPr>
      </w:pPr>
      <w:r w:rsidRPr="00562E70">
        <w:rPr>
          <w:rFonts w:ascii="Arial" w:eastAsia="Calibri" w:hAnsi="Arial" w:cs="Arial"/>
          <w:sz w:val="22"/>
        </w:rPr>
        <w:t>Estimada señora Álvarez,</w:t>
      </w:r>
    </w:p>
    <w:p w14:paraId="196548F6" w14:textId="77777777" w:rsidR="00647DFA" w:rsidRPr="00562E70" w:rsidRDefault="00647DFA" w:rsidP="00647DFA">
      <w:pPr>
        <w:rPr>
          <w:rFonts w:ascii="Arial" w:eastAsia="Calibri" w:hAnsi="Arial" w:cs="Arial"/>
          <w:sz w:val="22"/>
        </w:rPr>
      </w:pPr>
    </w:p>
    <w:p w14:paraId="47589B56" w14:textId="583F54D0" w:rsidR="00647DFA" w:rsidRPr="00562E70" w:rsidRDefault="00647DFA" w:rsidP="00647DFA">
      <w:pPr>
        <w:spacing w:line="276" w:lineRule="auto"/>
        <w:jc w:val="both"/>
        <w:rPr>
          <w:rFonts w:ascii="Arial" w:eastAsia="Calibri" w:hAnsi="Arial" w:cs="Arial"/>
          <w:sz w:val="22"/>
        </w:rPr>
      </w:pPr>
      <w:r w:rsidRPr="00562E70">
        <w:rPr>
          <w:rFonts w:ascii="Arial" w:eastAsia="Calibri" w:hAnsi="Arial" w:cs="Arial"/>
          <w:sz w:val="22"/>
        </w:rPr>
        <w:t>En ejercicio de la competencia otorgada por el numeral 8 del artículo 11 y el numeral 5 del artículo 3 del Decreto Ley 4170 de 2011, la Agencia Nacional de Contratación Pública − Colombia Compra Eficiente responde su consulta del 22 de noviembre de 2022.</w:t>
      </w:r>
    </w:p>
    <w:p w14:paraId="3F6767B1" w14:textId="77777777" w:rsidR="00647DFA" w:rsidRPr="00562E70" w:rsidRDefault="00647DFA" w:rsidP="00647DFA">
      <w:pPr>
        <w:spacing w:line="276" w:lineRule="auto"/>
        <w:jc w:val="both"/>
        <w:rPr>
          <w:rFonts w:ascii="Arial" w:eastAsia="Calibri" w:hAnsi="Arial" w:cs="Arial"/>
          <w:sz w:val="22"/>
          <w:lang w:val="es-ES"/>
        </w:rPr>
      </w:pPr>
    </w:p>
    <w:p w14:paraId="2D4C19A5" w14:textId="77777777" w:rsidR="00647DFA" w:rsidRPr="00562E70" w:rsidRDefault="00647DFA" w:rsidP="00647DFA">
      <w:pPr>
        <w:pStyle w:val="Prrafodelista"/>
        <w:numPr>
          <w:ilvl w:val="0"/>
          <w:numId w:val="1"/>
        </w:numPr>
        <w:tabs>
          <w:tab w:val="left" w:pos="284"/>
        </w:tabs>
        <w:spacing w:line="276" w:lineRule="auto"/>
        <w:ind w:left="0" w:firstLine="0"/>
        <w:jc w:val="both"/>
        <w:rPr>
          <w:rFonts w:ascii="Arial" w:eastAsia="Calibri" w:hAnsi="Arial" w:cs="Arial"/>
          <w:b/>
          <w:sz w:val="22"/>
        </w:rPr>
      </w:pPr>
      <w:r w:rsidRPr="00562E70">
        <w:rPr>
          <w:rFonts w:ascii="Arial" w:eastAsia="Calibri" w:hAnsi="Arial" w:cs="Arial"/>
          <w:b/>
          <w:sz w:val="22"/>
        </w:rPr>
        <w:t>Problema planteado</w:t>
      </w:r>
    </w:p>
    <w:p w14:paraId="5B809BE4" w14:textId="77777777" w:rsidR="00647DFA" w:rsidRPr="00562E70" w:rsidRDefault="00647DFA" w:rsidP="00647DFA">
      <w:pPr>
        <w:tabs>
          <w:tab w:val="left" w:pos="426"/>
        </w:tabs>
        <w:spacing w:line="276" w:lineRule="auto"/>
        <w:jc w:val="both"/>
        <w:rPr>
          <w:rFonts w:ascii="Arial" w:eastAsia="Calibri" w:hAnsi="Arial" w:cs="Arial"/>
          <w:b/>
          <w:sz w:val="22"/>
        </w:rPr>
      </w:pPr>
    </w:p>
    <w:p w14:paraId="1BB8D974" w14:textId="77777777" w:rsidR="00647DFA" w:rsidRPr="00562E70" w:rsidRDefault="00647DFA" w:rsidP="00647DFA">
      <w:pPr>
        <w:tabs>
          <w:tab w:val="left" w:pos="426"/>
        </w:tabs>
        <w:spacing w:line="276" w:lineRule="auto"/>
        <w:jc w:val="both"/>
        <w:rPr>
          <w:rFonts w:ascii="Arial" w:eastAsia="Calibri" w:hAnsi="Arial" w:cs="Arial"/>
          <w:sz w:val="22"/>
        </w:rPr>
      </w:pPr>
      <w:r w:rsidRPr="00562E70">
        <w:rPr>
          <w:rFonts w:ascii="Arial" w:eastAsia="Calibri" w:hAnsi="Arial" w:cs="Arial"/>
          <w:sz w:val="22"/>
        </w:rPr>
        <w:t xml:space="preserve">Usted realiza la siguiente pregunta: </w:t>
      </w:r>
    </w:p>
    <w:p w14:paraId="101FDA38" w14:textId="77777777" w:rsidR="00647DFA" w:rsidRPr="00562E70" w:rsidRDefault="00647DFA" w:rsidP="00647DFA">
      <w:pPr>
        <w:tabs>
          <w:tab w:val="left" w:pos="426"/>
        </w:tabs>
        <w:ind w:left="709" w:right="709"/>
        <w:jc w:val="both"/>
        <w:rPr>
          <w:rFonts w:ascii="Arial" w:eastAsia="Calibri" w:hAnsi="Arial" w:cs="Arial"/>
          <w:sz w:val="21"/>
          <w:szCs w:val="21"/>
        </w:rPr>
      </w:pPr>
    </w:p>
    <w:p w14:paraId="1CD18B68" w14:textId="31035523" w:rsidR="00647DFA" w:rsidRPr="00562E70" w:rsidRDefault="00647DFA" w:rsidP="00647DFA">
      <w:pPr>
        <w:tabs>
          <w:tab w:val="left" w:pos="426"/>
        </w:tabs>
        <w:ind w:left="709" w:right="709"/>
        <w:jc w:val="both"/>
        <w:rPr>
          <w:rFonts w:ascii="Arial" w:eastAsia="Calibri" w:hAnsi="Arial" w:cs="Arial"/>
          <w:sz w:val="21"/>
          <w:szCs w:val="21"/>
        </w:rPr>
      </w:pPr>
      <w:r w:rsidRPr="00562E70">
        <w:rPr>
          <w:rFonts w:ascii="Arial" w:eastAsia="Calibri" w:hAnsi="Arial" w:cs="Arial"/>
          <w:sz w:val="21"/>
          <w:szCs w:val="21"/>
        </w:rPr>
        <w:t>«La Empresa de Desarrollo Urbano - EDU, es una empresa industrial y comercial del estado, y tenemos una consulta con respecto a un contrato interadministrativo, en el cual somos contratistas administradores del recurso, por lo que requerimos se nos informe, si es posible solicitar un anticipo o pago anticipado, encontrándose el contrato interadministrativo en ejecución.</w:t>
      </w:r>
    </w:p>
    <w:p w14:paraId="2DDDD97E" w14:textId="77777777" w:rsidR="00647DFA" w:rsidRPr="00562E70" w:rsidRDefault="00647DFA" w:rsidP="00647DFA">
      <w:pPr>
        <w:tabs>
          <w:tab w:val="left" w:pos="426"/>
        </w:tabs>
        <w:ind w:left="709" w:right="709"/>
        <w:jc w:val="both"/>
        <w:rPr>
          <w:rFonts w:ascii="Arial" w:eastAsia="Calibri" w:hAnsi="Arial" w:cs="Arial"/>
          <w:sz w:val="21"/>
          <w:szCs w:val="21"/>
        </w:rPr>
      </w:pPr>
    </w:p>
    <w:p w14:paraId="6FE96892" w14:textId="32ED7FE8" w:rsidR="00647DFA" w:rsidRPr="00562E70" w:rsidRDefault="00647DFA" w:rsidP="00647DFA">
      <w:pPr>
        <w:tabs>
          <w:tab w:val="left" w:pos="426"/>
        </w:tabs>
        <w:ind w:left="709" w:right="709"/>
        <w:jc w:val="both"/>
        <w:rPr>
          <w:rFonts w:ascii="Arial" w:eastAsia="Calibri" w:hAnsi="Arial" w:cs="Arial"/>
          <w:sz w:val="21"/>
          <w:szCs w:val="21"/>
        </w:rPr>
      </w:pPr>
      <w:r w:rsidRPr="00562E70">
        <w:rPr>
          <w:rFonts w:ascii="Arial" w:eastAsia="Calibri" w:hAnsi="Arial" w:cs="Arial"/>
          <w:sz w:val="21"/>
          <w:szCs w:val="21"/>
        </w:rPr>
        <w:t>Este anticipo o pago anticipado seria destinado para la administración del pago al personal que presta el servicio para el convenio y con ello garantizar el efectivo desarrollo del objeto contractual pactado en el contrato interadministrativo.».</w:t>
      </w:r>
    </w:p>
    <w:p w14:paraId="685D94B5" w14:textId="77777777" w:rsidR="00647DFA" w:rsidRPr="00562E70" w:rsidRDefault="00647DFA" w:rsidP="00647DFA">
      <w:pPr>
        <w:tabs>
          <w:tab w:val="left" w:pos="426"/>
        </w:tabs>
        <w:spacing w:line="276" w:lineRule="auto"/>
        <w:jc w:val="both"/>
        <w:rPr>
          <w:rFonts w:ascii="Arial" w:eastAsia="Calibri" w:hAnsi="Arial" w:cs="Arial"/>
          <w:sz w:val="22"/>
        </w:rPr>
      </w:pPr>
    </w:p>
    <w:p w14:paraId="691EE4B4" w14:textId="77777777" w:rsidR="00647DFA" w:rsidRPr="00562E70" w:rsidRDefault="00647DFA" w:rsidP="00647DFA">
      <w:pPr>
        <w:pStyle w:val="Prrafodelista"/>
        <w:numPr>
          <w:ilvl w:val="0"/>
          <w:numId w:val="1"/>
        </w:numPr>
        <w:tabs>
          <w:tab w:val="left" w:pos="426"/>
        </w:tabs>
        <w:spacing w:line="276" w:lineRule="auto"/>
        <w:ind w:left="0" w:firstLine="0"/>
        <w:jc w:val="both"/>
        <w:rPr>
          <w:rFonts w:ascii="Arial" w:eastAsia="Calibri" w:hAnsi="Arial" w:cs="Arial"/>
          <w:b/>
          <w:sz w:val="22"/>
        </w:rPr>
      </w:pPr>
      <w:r w:rsidRPr="00562E70">
        <w:rPr>
          <w:rFonts w:ascii="Arial" w:eastAsia="Calibri" w:hAnsi="Arial" w:cs="Arial"/>
          <w:b/>
          <w:sz w:val="22"/>
        </w:rPr>
        <w:t>Consideraciones</w:t>
      </w:r>
    </w:p>
    <w:p w14:paraId="6138BE61" w14:textId="77777777" w:rsidR="00647DFA" w:rsidRPr="00562E70" w:rsidRDefault="00647DFA" w:rsidP="00647DFA">
      <w:pPr>
        <w:pStyle w:val="Prrafodelista"/>
        <w:tabs>
          <w:tab w:val="left" w:pos="426"/>
        </w:tabs>
        <w:spacing w:line="276" w:lineRule="auto"/>
        <w:ind w:left="0"/>
        <w:jc w:val="both"/>
        <w:rPr>
          <w:rFonts w:ascii="Arial" w:eastAsia="Calibri" w:hAnsi="Arial" w:cs="Arial"/>
          <w:b/>
          <w:sz w:val="22"/>
        </w:rPr>
      </w:pPr>
    </w:p>
    <w:p w14:paraId="58EC8C24" w14:textId="59DBA51A" w:rsidR="00647DFA" w:rsidRPr="00562E70" w:rsidRDefault="00647DFA" w:rsidP="00647DFA">
      <w:pPr>
        <w:spacing w:line="276" w:lineRule="auto"/>
        <w:jc w:val="both"/>
        <w:rPr>
          <w:rFonts w:ascii="Arial" w:eastAsia="Calibri" w:hAnsi="Arial" w:cs="Arial"/>
          <w:sz w:val="22"/>
        </w:rPr>
      </w:pPr>
      <w:r w:rsidRPr="00562E70">
        <w:rPr>
          <w:rFonts w:ascii="Arial" w:hAnsi="Arial" w:cs="Arial"/>
          <w:sz w:val="22"/>
        </w:rPr>
        <w:t xml:space="preserve">La Agencia Nacional de Contratación Pública – Colombia Compra Eficiente </w:t>
      </w:r>
      <w:r w:rsidRPr="00562E70">
        <w:rPr>
          <w:rFonts w:ascii="Arial" w:eastAsia="Calibri" w:hAnsi="Arial" w:cs="Arial"/>
          <w:sz w:val="22"/>
        </w:rPr>
        <w:t xml:space="preserve">en los conceptos con radicados números 414140000132 del 19 de enero de 2015, 414140001200 del 22 de enero de 2015, 4201714000000768 del 10 de marzo de 2017, 4201713000000879 del 24 de marzo de 2017, 4201713000002621 del 27 de julio de 2017, 4201714000004176 del 28 de agosto de 2017, 4201714000005628 del 11 de diciembre de </w:t>
      </w:r>
      <w:r w:rsidRPr="00562E70">
        <w:rPr>
          <w:rFonts w:ascii="Arial" w:eastAsia="Calibri" w:hAnsi="Arial" w:cs="Arial"/>
          <w:sz w:val="22"/>
        </w:rPr>
        <w:lastRenderedPageBreak/>
        <w:t xml:space="preserve">2017, 4201814000000698 del 14 de abril de 2018, C-209 del 16 de marzo de 2020 y 693 del 25 de noviembre de 2020, abordó el análisis y estudio de la facultad de las entidades estatales para pactar el pago anticipado o la entrega de anticipo en los contratos estatales. La tesis desarrollada en estos conceptos es la que se expone a continuación. </w:t>
      </w:r>
    </w:p>
    <w:p w14:paraId="05C9396B" w14:textId="77777777" w:rsidR="00647DFA" w:rsidRPr="00562E70" w:rsidRDefault="00647DFA" w:rsidP="00647DFA">
      <w:pPr>
        <w:spacing w:line="276" w:lineRule="auto"/>
        <w:jc w:val="both"/>
        <w:rPr>
          <w:rFonts w:ascii="Arial" w:eastAsia="Calibri" w:hAnsi="Arial" w:cs="Arial"/>
          <w:sz w:val="22"/>
        </w:rPr>
      </w:pPr>
    </w:p>
    <w:p w14:paraId="5FA2A24A" w14:textId="3325BEA5" w:rsidR="0037557C" w:rsidRPr="00562E70" w:rsidRDefault="00647DFA" w:rsidP="00647DFA">
      <w:pPr>
        <w:spacing w:line="276" w:lineRule="auto"/>
        <w:jc w:val="both"/>
        <w:rPr>
          <w:rFonts w:ascii="Arial" w:eastAsia="Calibri" w:hAnsi="Arial" w:cs="Arial"/>
          <w:b/>
          <w:bCs/>
          <w:sz w:val="22"/>
        </w:rPr>
      </w:pPr>
      <w:r w:rsidRPr="00562E70">
        <w:rPr>
          <w:rFonts w:ascii="Arial" w:eastAsia="Calibri" w:hAnsi="Arial" w:cs="Arial"/>
          <w:b/>
          <w:bCs/>
          <w:sz w:val="22"/>
        </w:rPr>
        <w:t>2.1</w:t>
      </w:r>
      <w:r w:rsidR="0037557C" w:rsidRPr="00562E70">
        <w:rPr>
          <w:rFonts w:ascii="Arial" w:eastAsia="Calibri" w:hAnsi="Arial" w:cs="Arial"/>
          <w:b/>
          <w:bCs/>
          <w:sz w:val="22"/>
        </w:rPr>
        <w:t>. Aplicabilidad del Estatuto General de Contratación de la Administración Pública a los contratos interadministrativos</w:t>
      </w:r>
      <w:r w:rsidRPr="00562E70">
        <w:rPr>
          <w:rFonts w:ascii="Arial" w:eastAsia="Calibri" w:hAnsi="Arial" w:cs="Arial"/>
          <w:b/>
          <w:bCs/>
          <w:sz w:val="22"/>
        </w:rPr>
        <w:t xml:space="preserve"> </w:t>
      </w:r>
    </w:p>
    <w:p w14:paraId="57E187E2" w14:textId="69BF29FD" w:rsidR="00647DFA" w:rsidRPr="00562E70" w:rsidRDefault="00647DFA" w:rsidP="00647DFA">
      <w:pPr>
        <w:spacing w:line="276" w:lineRule="auto"/>
        <w:jc w:val="both"/>
        <w:rPr>
          <w:rFonts w:ascii="Arial" w:eastAsia="Calibri" w:hAnsi="Arial" w:cs="Arial"/>
          <w:b/>
          <w:bCs/>
          <w:sz w:val="22"/>
        </w:rPr>
      </w:pPr>
    </w:p>
    <w:p w14:paraId="0CD5A808" w14:textId="419AD70D" w:rsidR="0037557C" w:rsidRPr="00562E70" w:rsidRDefault="0037557C" w:rsidP="0037557C">
      <w:pPr>
        <w:spacing w:line="276" w:lineRule="auto"/>
        <w:ind w:firstLine="708"/>
        <w:jc w:val="both"/>
        <w:rPr>
          <w:rFonts w:ascii="Arial" w:eastAsia="Calibri" w:hAnsi="Arial" w:cs="Arial"/>
          <w:sz w:val="22"/>
        </w:rPr>
      </w:pPr>
      <w:r w:rsidRPr="00562E70">
        <w:rPr>
          <w:rFonts w:ascii="Arial" w:eastAsia="Calibri" w:hAnsi="Arial" w:cs="Arial"/>
          <w:sz w:val="22"/>
        </w:rPr>
        <w:t xml:space="preserve">En primer lugar, resulta importante mencionar que los procedimientos contractuales mediante los cuales las entidades ejecutan recursos públicos y satisfacen el interés general se rigen por la normativa de contratación pública ―Ley 80 de 1993, Ley 1150 de 2007 y Decreto 1082 de 2015―, que contiene los principios, reglas y procedimientos que rigen los contratos de las entidades estatales. Específicamente, la Ley 80 de 1993 aplica a las entidades estatales relacionadas en su artículo 2, con lo cual se puede determinar quiénes deben cumplir los principios y obligaciones señalados en las normas citadas. </w:t>
      </w:r>
    </w:p>
    <w:p w14:paraId="26B926EC" w14:textId="77777777" w:rsidR="0037557C" w:rsidRPr="00562E70" w:rsidRDefault="0037557C" w:rsidP="0037557C">
      <w:pPr>
        <w:spacing w:line="276" w:lineRule="auto"/>
        <w:jc w:val="both"/>
        <w:rPr>
          <w:rFonts w:ascii="Arial" w:eastAsia="Calibri" w:hAnsi="Arial" w:cs="Arial"/>
          <w:sz w:val="22"/>
        </w:rPr>
      </w:pPr>
    </w:p>
    <w:p w14:paraId="4D560C4A" w14:textId="5B99F76C" w:rsidR="0037557C" w:rsidRPr="00562E70" w:rsidRDefault="0037557C" w:rsidP="0037557C">
      <w:pPr>
        <w:spacing w:line="276" w:lineRule="auto"/>
        <w:ind w:firstLine="708"/>
        <w:jc w:val="both"/>
        <w:rPr>
          <w:rFonts w:ascii="Arial" w:eastAsia="Calibri" w:hAnsi="Arial" w:cs="Arial"/>
          <w:sz w:val="22"/>
        </w:rPr>
      </w:pPr>
      <w:r w:rsidRPr="00562E70">
        <w:rPr>
          <w:rFonts w:ascii="Arial" w:eastAsia="Calibri" w:hAnsi="Arial" w:cs="Arial"/>
          <w:sz w:val="22"/>
        </w:rPr>
        <w:t>Por su parte, la tipología de contratos interadministrativos fue creada en la Ley 80 de 1993</w:t>
      </w:r>
      <w:r w:rsidR="00FE47B0" w:rsidRPr="00562E70">
        <w:rPr>
          <w:rFonts w:ascii="Arial" w:eastAsia="Calibri" w:hAnsi="Arial" w:cs="Arial"/>
          <w:sz w:val="22"/>
        </w:rPr>
        <w:t>,</w:t>
      </w:r>
      <w:r w:rsidRPr="00562E70">
        <w:rPr>
          <w:rFonts w:ascii="Arial" w:eastAsia="Calibri" w:hAnsi="Arial" w:cs="Arial"/>
          <w:sz w:val="22"/>
        </w:rPr>
        <w:t xml:space="preserve"> y </w:t>
      </w:r>
      <w:r w:rsidR="00FE47B0" w:rsidRPr="00562E70">
        <w:rPr>
          <w:rFonts w:ascii="Arial" w:eastAsia="Calibri" w:hAnsi="Arial" w:cs="Arial"/>
          <w:sz w:val="22"/>
        </w:rPr>
        <w:t>definida y desarrollada</w:t>
      </w:r>
      <w:r w:rsidRPr="00562E70">
        <w:rPr>
          <w:rFonts w:ascii="Arial" w:eastAsia="Calibri" w:hAnsi="Arial" w:cs="Arial"/>
          <w:sz w:val="22"/>
        </w:rPr>
        <w:t xml:space="preserve"> en el Decreto 1082 de 2015, «Por medio del cual se expide el Decreto único reglamentario del sector administrativo de planeación nacional», como aquellos negocios celebrados entre entidades estatales. De esta manera, </w:t>
      </w:r>
      <w:r w:rsidR="00FE47B0" w:rsidRPr="00562E70">
        <w:rPr>
          <w:rFonts w:ascii="Arial" w:eastAsia="Calibri" w:hAnsi="Arial" w:cs="Arial"/>
          <w:sz w:val="22"/>
        </w:rPr>
        <w:t>en la medida en que</w:t>
      </w:r>
      <w:r w:rsidRPr="00562E70">
        <w:rPr>
          <w:rFonts w:ascii="Arial" w:eastAsia="Calibri" w:hAnsi="Arial" w:cs="Arial"/>
          <w:sz w:val="22"/>
        </w:rPr>
        <w:t xml:space="preserve"> los contratos interadministrativos</w:t>
      </w:r>
      <w:r w:rsidR="00FE47B0" w:rsidRPr="00562E70">
        <w:rPr>
          <w:rFonts w:ascii="Arial" w:eastAsia="Calibri" w:hAnsi="Arial" w:cs="Arial"/>
          <w:sz w:val="22"/>
        </w:rPr>
        <w:t xml:space="preserve"> son celebrados por entidades estatales</w:t>
      </w:r>
      <w:r w:rsidR="00354B55" w:rsidRPr="00562E70">
        <w:rPr>
          <w:rFonts w:ascii="Arial" w:eastAsia="Calibri" w:hAnsi="Arial" w:cs="Arial"/>
          <w:sz w:val="22"/>
        </w:rPr>
        <w:t xml:space="preserve">, </w:t>
      </w:r>
      <w:r w:rsidR="00FE47B0" w:rsidRPr="00562E70">
        <w:rPr>
          <w:rFonts w:ascii="Arial" w:eastAsia="Calibri" w:hAnsi="Arial" w:cs="Arial"/>
          <w:sz w:val="22"/>
        </w:rPr>
        <w:t>se encuentran dentro del ámbito de aplicación del artículo 2 de la Ley 80 de 1993</w:t>
      </w:r>
      <w:r w:rsidR="00354B55" w:rsidRPr="00562E70">
        <w:rPr>
          <w:rFonts w:ascii="Arial" w:eastAsia="Calibri" w:hAnsi="Arial" w:cs="Arial"/>
          <w:sz w:val="22"/>
        </w:rPr>
        <w:t xml:space="preserve"> y</w:t>
      </w:r>
      <w:r w:rsidRPr="00562E70">
        <w:rPr>
          <w:rFonts w:ascii="Arial" w:eastAsia="Calibri" w:hAnsi="Arial" w:cs="Arial"/>
          <w:sz w:val="22"/>
        </w:rPr>
        <w:t xml:space="preserve"> les resultan aplicables las disposiciones del </w:t>
      </w:r>
      <w:r w:rsidRPr="00562E70">
        <w:rPr>
          <w:rFonts w:ascii="Arial" w:eastAsia="Calibri" w:hAnsi="Arial" w:cs="Arial"/>
          <w:bCs/>
          <w:sz w:val="22"/>
          <w:szCs w:val="24"/>
          <w:lang w:val="es-ES" w:eastAsia="es-ES_tradnl" w:bidi="es-ES"/>
        </w:rPr>
        <w:t>Estatuto General de Contratación de la Administración Pública</w:t>
      </w:r>
      <w:r w:rsidRPr="00562E70">
        <w:rPr>
          <w:rFonts w:ascii="Arial" w:eastAsia="Calibri" w:hAnsi="Arial" w:cs="Arial"/>
          <w:sz w:val="22"/>
        </w:rPr>
        <w:t xml:space="preserve">. </w:t>
      </w:r>
    </w:p>
    <w:p w14:paraId="34BDBD2E" w14:textId="77777777" w:rsidR="0037557C" w:rsidRPr="00562E70" w:rsidRDefault="0037557C" w:rsidP="0037557C">
      <w:pPr>
        <w:spacing w:line="276" w:lineRule="auto"/>
        <w:ind w:firstLine="708"/>
        <w:jc w:val="both"/>
        <w:rPr>
          <w:rFonts w:ascii="Arial" w:eastAsia="Calibri" w:hAnsi="Arial" w:cs="Arial"/>
          <w:sz w:val="22"/>
        </w:rPr>
      </w:pPr>
    </w:p>
    <w:p w14:paraId="62CA6C8F" w14:textId="25C24C78" w:rsidR="0037557C" w:rsidRPr="00562E70" w:rsidRDefault="00FE47B0" w:rsidP="0037557C">
      <w:pPr>
        <w:spacing w:line="276" w:lineRule="auto"/>
        <w:ind w:firstLine="708"/>
        <w:jc w:val="both"/>
        <w:rPr>
          <w:rFonts w:ascii="Arial" w:eastAsia="Calibri" w:hAnsi="Arial" w:cs="Arial"/>
          <w:sz w:val="22"/>
        </w:rPr>
      </w:pPr>
      <w:r w:rsidRPr="00562E70">
        <w:rPr>
          <w:rFonts w:ascii="Arial" w:eastAsia="Calibri" w:hAnsi="Arial" w:cs="Arial"/>
          <w:sz w:val="22"/>
        </w:rPr>
        <w:t xml:space="preserve">En otras palabras, los contratos interadministrativos se encuentran regidos por el </w:t>
      </w:r>
      <w:r w:rsidRPr="00562E70">
        <w:rPr>
          <w:rFonts w:ascii="Arial" w:eastAsia="Calibri" w:hAnsi="Arial" w:cs="Arial"/>
          <w:bCs/>
          <w:sz w:val="22"/>
          <w:szCs w:val="24"/>
          <w:lang w:val="es-ES" w:eastAsia="es-ES_tradnl" w:bidi="es-ES"/>
        </w:rPr>
        <w:t>Estatuto General de Contratación de la Administración Pública</w:t>
      </w:r>
      <w:r w:rsidRPr="00562E70">
        <w:rPr>
          <w:rFonts w:ascii="Arial" w:eastAsia="Calibri" w:hAnsi="Arial" w:cs="Arial"/>
          <w:sz w:val="22"/>
        </w:rPr>
        <w:t xml:space="preserve"> debido a que el Decreto 1082 de 2015</w:t>
      </w:r>
      <w:r w:rsidRPr="00562E70">
        <w:rPr>
          <w:rFonts w:ascii="Arial" w:eastAsia="Calibri" w:hAnsi="Arial" w:cs="Arial"/>
          <w:sz w:val="22"/>
          <w:lang w:val="es-ES"/>
        </w:rPr>
        <w:t xml:space="preserve"> los define </w:t>
      </w:r>
      <w:r w:rsidR="0037557C" w:rsidRPr="00562E70">
        <w:rPr>
          <w:rFonts w:ascii="Arial" w:eastAsia="Calibri" w:hAnsi="Arial" w:cs="Arial"/>
          <w:sz w:val="22"/>
          <w:lang w:val="es-ES"/>
        </w:rPr>
        <w:t>como el acuerdo donde concurre la voluntad de dos o más entidades de naturaleza jurídica pública</w:t>
      </w:r>
      <w:r w:rsidRPr="00562E70">
        <w:rPr>
          <w:rFonts w:ascii="Arial" w:eastAsia="Calibri" w:hAnsi="Arial" w:cs="Arial"/>
          <w:sz w:val="22"/>
          <w:lang w:val="es-ES"/>
        </w:rPr>
        <w:t xml:space="preserve">, y </w:t>
      </w:r>
      <w:r w:rsidR="0037557C" w:rsidRPr="00562E70">
        <w:rPr>
          <w:rFonts w:ascii="Arial" w:eastAsia="Calibri" w:hAnsi="Arial" w:cs="Arial"/>
          <w:sz w:val="22"/>
          <w:lang w:val="es-ES"/>
        </w:rPr>
        <w:t>la Ley 80 de 1993 determina</w:t>
      </w:r>
      <w:r w:rsidRPr="00562E70">
        <w:rPr>
          <w:rFonts w:ascii="Arial" w:eastAsia="Calibri" w:hAnsi="Arial" w:cs="Arial"/>
          <w:sz w:val="22"/>
          <w:lang w:val="es-ES"/>
        </w:rPr>
        <w:t xml:space="preserve"> su ámbito de aplicación bajo </w:t>
      </w:r>
      <w:r w:rsidR="0037557C" w:rsidRPr="00562E70">
        <w:rPr>
          <w:rFonts w:ascii="Arial" w:eastAsia="Calibri" w:hAnsi="Arial" w:cs="Arial"/>
          <w:sz w:val="22"/>
          <w:lang w:val="es-ES"/>
        </w:rPr>
        <w:t>un criterio orgánico</w:t>
      </w:r>
      <w:r w:rsidRPr="00562E70">
        <w:rPr>
          <w:rFonts w:ascii="Arial" w:eastAsia="Calibri" w:hAnsi="Arial" w:cs="Arial"/>
          <w:sz w:val="22"/>
          <w:lang w:val="es-ES"/>
        </w:rPr>
        <w:t>, es decir, que por lo menos uno de extremos de la relación contractual sean entidades estatales</w:t>
      </w:r>
      <w:r w:rsidR="0037557C" w:rsidRPr="00562E70">
        <w:rPr>
          <w:rFonts w:ascii="Arial" w:eastAsia="Calibri" w:hAnsi="Arial" w:cs="Arial"/>
          <w:sz w:val="22"/>
          <w:lang w:val="es-ES"/>
        </w:rPr>
        <w:t>.</w:t>
      </w:r>
    </w:p>
    <w:p w14:paraId="3222173A" w14:textId="0A74C277" w:rsidR="0037557C" w:rsidRPr="00562E70" w:rsidRDefault="0037557C" w:rsidP="0037557C">
      <w:pPr>
        <w:spacing w:line="276" w:lineRule="auto"/>
        <w:jc w:val="both"/>
        <w:rPr>
          <w:rFonts w:ascii="Arial" w:eastAsia="Calibri" w:hAnsi="Arial" w:cs="Arial"/>
          <w:b/>
          <w:bCs/>
          <w:sz w:val="22"/>
        </w:rPr>
      </w:pPr>
    </w:p>
    <w:p w14:paraId="22F13B77" w14:textId="284F48C5" w:rsidR="0037557C" w:rsidRPr="00562E70" w:rsidRDefault="0037557C" w:rsidP="0037557C">
      <w:pPr>
        <w:spacing w:line="276" w:lineRule="auto"/>
        <w:jc w:val="both"/>
        <w:rPr>
          <w:rFonts w:ascii="Arial" w:eastAsia="Calibri" w:hAnsi="Arial" w:cs="Arial"/>
          <w:b/>
          <w:bCs/>
          <w:sz w:val="22"/>
        </w:rPr>
      </w:pPr>
      <w:r w:rsidRPr="00562E70">
        <w:rPr>
          <w:rFonts w:ascii="Arial" w:eastAsia="Calibri" w:hAnsi="Arial" w:cs="Arial"/>
          <w:b/>
          <w:bCs/>
          <w:sz w:val="22"/>
        </w:rPr>
        <w:t>2.2. Concepto y regulación del anticipo y el pago anticipado</w:t>
      </w:r>
    </w:p>
    <w:p w14:paraId="3C54F96A" w14:textId="77777777" w:rsidR="0037557C" w:rsidRPr="00562E70" w:rsidRDefault="0037557C" w:rsidP="0037557C">
      <w:pPr>
        <w:spacing w:line="276" w:lineRule="auto"/>
        <w:jc w:val="both"/>
        <w:rPr>
          <w:rFonts w:ascii="Arial" w:eastAsia="Calibri" w:hAnsi="Arial" w:cs="Arial"/>
          <w:b/>
          <w:bCs/>
          <w:sz w:val="22"/>
        </w:rPr>
      </w:pPr>
    </w:p>
    <w:p w14:paraId="0226DCB8" w14:textId="77777777" w:rsidR="00647DFA" w:rsidRPr="00562E70" w:rsidRDefault="00647DFA" w:rsidP="0037557C">
      <w:pPr>
        <w:spacing w:line="276" w:lineRule="auto"/>
        <w:ind w:firstLine="708"/>
        <w:jc w:val="both"/>
        <w:rPr>
          <w:rFonts w:ascii="Arial" w:eastAsia="Calibri" w:hAnsi="Arial" w:cs="Arial"/>
          <w:sz w:val="22"/>
        </w:rPr>
      </w:pPr>
      <w:r w:rsidRPr="00562E70">
        <w:rPr>
          <w:rFonts w:ascii="Arial" w:eastAsia="Calibri" w:hAnsi="Arial" w:cs="Arial"/>
          <w:sz w:val="22"/>
        </w:rPr>
        <w:t>Conforme las disposiciones que regulan el régimen de contratación pública, las entidades estatales se encuentran facultadas para pactar el pago anticipado o la entrega de anticipos como mecanismos de financiación para la adecuada ejecución de los contratos estatales. En efecto, el parágrafo del artículo 40 de la Ley 80 de 1993, establece:</w:t>
      </w:r>
    </w:p>
    <w:p w14:paraId="27EE3CBC" w14:textId="77777777" w:rsidR="00647DFA" w:rsidRPr="00562E70" w:rsidRDefault="00647DFA" w:rsidP="00647DFA">
      <w:pPr>
        <w:ind w:firstLine="709"/>
        <w:jc w:val="both"/>
        <w:rPr>
          <w:rFonts w:ascii="Arial" w:eastAsia="Calibri" w:hAnsi="Arial" w:cs="Arial"/>
          <w:sz w:val="22"/>
        </w:rPr>
      </w:pPr>
    </w:p>
    <w:p w14:paraId="799CD37C" w14:textId="77777777" w:rsidR="00647DFA" w:rsidRPr="00562E70" w:rsidRDefault="00647DFA" w:rsidP="00647DFA">
      <w:pPr>
        <w:ind w:left="709" w:right="709"/>
        <w:jc w:val="both"/>
        <w:rPr>
          <w:rFonts w:ascii="Arial" w:eastAsia="Calibri" w:hAnsi="Arial" w:cs="Arial"/>
          <w:sz w:val="21"/>
          <w:szCs w:val="21"/>
        </w:rPr>
      </w:pPr>
      <w:r w:rsidRPr="00562E70">
        <w:rPr>
          <w:rFonts w:ascii="Arial" w:eastAsia="Calibri" w:hAnsi="Arial" w:cs="Arial"/>
          <w:sz w:val="21"/>
          <w:szCs w:val="21"/>
        </w:rPr>
        <w:t>PARÁGRAFO. En los contratos que celebren las entidades estatales se podrá pactar el pago anticipado y la entrega de anticipos, pero su monto no podrá exceder del cincuenta por ciento (50%) del valor del respectivo contrato.</w:t>
      </w:r>
    </w:p>
    <w:p w14:paraId="106A2F11" w14:textId="77777777" w:rsidR="00647DFA" w:rsidRPr="00562E70" w:rsidRDefault="00647DFA" w:rsidP="00647DFA">
      <w:pPr>
        <w:ind w:left="709" w:right="709"/>
        <w:jc w:val="both"/>
        <w:rPr>
          <w:rFonts w:ascii="Arial" w:eastAsia="Calibri" w:hAnsi="Arial" w:cs="Arial"/>
          <w:sz w:val="21"/>
          <w:szCs w:val="21"/>
        </w:rPr>
      </w:pPr>
    </w:p>
    <w:p w14:paraId="549C4BC2" w14:textId="77777777" w:rsidR="00647DFA" w:rsidRPr="00562E70" w:rsidRDefault="00647DFA" w:rsidP="00647DFA">
      <w:pPr>
        <w:spacing w:after="120" w:line="276" w:lineRule="auto"/>
        <w:ind w:firstLine="709"/>
        <w:jc w:val="both"/>
        <w:rPr>
          <w:rFonts w:ascii="Arial" w:eastAsia="Calibri" w:hAnsi="Arial" w:cs="Arial"/>
          <w:sz w:val="22"/>
        </w:rPr>
      </w:pPr>
      <w:r w:rsidRPr="00562E70">
        <w:rPr>
          <w:rFonts w:ascii="Arial" w:eastAsia="Calibri" w:hAnsi="Arial" w:cs="Arial"/>
          <w:sz w:val="22"/>
        </w:rPr>
        <w:lastRenderedPageBreak/>
        <w:t xml:space="preserve">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0B132E3E" w14:textId="77777777" w:rsidR="00647DFA" w:rsidRPr="00562E70" w:rsidRDefault="00647DFA" w:rsidP="00647DFA">
      <w:pPr>
        <w:spacing w:before="120" w:after="120" w:line="276" w:lineRule="auto"/>
        <w:ind w:firstLine="709"/>
        <w:jc w:val="both"/>
        <w:rPr>
          <w:rFonts w:ascii="Arial" w:eastAsia="Calibri" w:hAnsi="Arial" w:cs="Arial"/>
          <w:sz w:val="22"/>
        </w:rPr>
      </w:pPr>
      <w:r w:rsidRPr="00562E70">
        <w:rPr>
          <w:rFonts w:ascii="Arial" w:eastAsia="Calibri" w:hAnsi="Arial" w:cs="Arial"/>
          <w:sz w:val="22"/>
        </w:rPr>
        <w:t>Otro aspecto que se destaca de dicha disposición consiste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w:t>
      </w:r>
    </w:p>
    <w:p w14:paraId="79E1AF0D" w14:textId="77777777" w:rsidR="00647DFA" w:rsidRPr="00562E70" w:rsidRDefault="00647DFA" w:rsidP="00647DFA">
      <w:pPr>
        <w:spacing w:before="120" w:line="276" w:lineRule="auto"/>
        <w:ind w:firstLine="709"/>
        <w:jc w:val="both"/>
        <w:rPr>
          <w:rFonts w:ascii="Arial" w:eastAsia="Calibri" w:hAnsi="Arial" w:cs="Arial"/>
          <w:sz w:val="22"/>
        </w:rPr>
      </w:pPr>
      <w:r w:rsidRPr="00562E70">
        <w:rPr>
          <w:rFonts w:ascii="Arial" w:eastAsia="Calibri" w:hAnsi="Arial" w:cs="Arial"/>
          <w:sz w:val="22"/>
        </w:rPr>
        <w:t>En cuanto a la naturaleza y alcance de los conceptos de pago anticipado y anticipo, la Sala Plena de lo Contencioso Administrativo del Consejo de Estado, a partir de la definición de anticipo realizada por la Sección Tercera de esa misma corporación, afirmó:</w:t>
      </w:r>
    </w:p>
    <w:p w14:paraId="62057E35" w14:textId="77777777" w:rsidR="00647DFA" w:rsidRPr="00562E70" w:rsidRDefault="00647DFA" w:rsidP="00647DFA">
      <w:pPr>
        <w:ind w:firstLine="709"/>
        <w:jc w:val="both"/>
        <w:rPr>
          <w:rFonts w:ascii="Arial" w:eastAsia="Calibri" w:hAnsi="Arial" w:cs="Arial"/>
          <w:sz w:val="22"/>
        </w:rPr>
      </w:pPr>
    </w:p>
    <w:p w14:paraId="07C79418" w14:textId="77777777" w:rsidR="00647DFA" w:rsidRPr="00562E70" w:rsidRDefault="00647DFA" w:rsidP="00647DFA">
      <w:pPr>
        <w:ind w:left="709" w:right="709"/>
        <w:jc w:val="both"/>
        <w:rPr>
          <w:rFonts w:ascii="Arial" w:eastAsia="Calibri" w:hAnsi="Arial" w:cs="Arial"/>
          <w:sz w:val="21"/>
          <w:szCs w:val="21"/>
        </w:rPr>
      </w:pPr>
      <w:r w:rsidRPr="00562E70">
        <w:rPr>
          <w:rFonts w:ascii="Arial" w:eastAsia="Calibri" w:hAnsi="Arial" w:cs="Arial"/>
          <w:sz w:val="21"/>
          <w:szCs w:val="21"/>
        </w:rPr>
        <w:t xml:space="preserve">La jurisprudencia de la Sección Tercera ha definido el anticipo en los siguientes términos: </w:t>
      </w:r>
    </w:p>
    <w:p w14:paraId="0E891239" w14:textId="77777777" w:rsidR="00647DFA" w:rsidRPr="00562E70" w:rsidRDefault="00647DFA" w:rsidP="00647DFA">
      <w:pPr>
        <w:ind w:left="709" w:right="709"/>
        <w:jc w:val="both"/>
        <w:rPr>
          <w:rFonts w:ascii="Arial" w:eastAsia="Calibri" w:hAnsi="Arial" w:cs="Arial"/>
          <w:sz w:val="21"/>
          <w:szCs w:val="21"/>
        </w:rPr>
      </w:pPr>
    </w:p>
    <w:p w14:paraId="3B8CBC58" w14:textId="77777777" w:rsidR="00647DFA" w:rsidRPr="00562E70" w:rsidRDefault="00647DFA" w:rsidP="00647DFA">
      <w:pPr>
        <w:ind w:left="709" w:right="709"/>
        <w:jc w:val="both"/>
        <w:rPr>
          <w:rFonts w:ascii="Arial" w:eastAsia="Calibri" w:hAnsi="Arial" w:cs="Arial"/>
          <w:sz w:val="21"/>
          <w:szCs w:val="21"/>
        </w:rPr>
      </w:pPr>
      <w:r w:rsidRPr="00562E70">
        <w:rPr>
          <w:rFonts w:ascii="Arial" w:eastAsia="Calibri" w:hAnsi="Arial" w:cs="Arial"/>
          <w:sz w:val="21"/>
          <w:szCs w:val="21"/>
        </w:rPr>
        <w:t xml:space="preserve">«El anticipo es pacto en el contrato regulado por la ley, que proviene de la autonomía de la voluntad, que genera obligaciones y derechos recíprocos entre las partes, en momentos diferentes. 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etc). En segunda instancia el anticipo, en su resultado, constituye una obligación del contratista y un derecho del contratante, en los siguientes aspectos: </w:t>
      </w:r>
      <w:r w:rsidRPr="00562E70">
        <w:rPr>
          <w:rFonts w:ascii="Arial" w:eastAsia="Calibri" w:hAnsi="Arial" w:cs="Arial"/>
          <w:i/>
          <w:iCs/>
          <w:sz w:val="21"/>
          <w:szCs w:val="21"/>
        </w:rPr>
        <w:t>-De inversión en los objetos determinados en el contrato y de pago por amortización, por parte del contratista.</w:t>
      </w:r>
      <w:r w:rsidRPr="00562E70">
        <w:rPr>
          <w:rFonts w:ascii="Arial" w:eastAsia="Calibri" w:hAnsi="Arial" w:cs="Arial"/>
          <w:sz w:val="21"/>
          <w:szCs w:val="21"/>
        </w:rPr>
        <w:t xml:space="preserve"> -De recibir, por amortización, y/o hacer efectiva la garantía de anticipo, o de cumplimiento, según el Estatuto de Contratación vigente, por parte del contratante</w:t>
      </w:r>
      <w:r w:rsidRPr="00562E70">
        <w:rPr>
          <w:rFonts w:ascii="Arial" w:eastAsia="Calibri" w:hAnsi="Arial" w:cs="Arial"/>
          <w:b/>
          <w:bCs/>
          <w:sz w:val="21"/>
          <w:szCs w:val="21"/>
        </w:rPr>
        <w:t xml:space="preserve">, </w:t>
      </w:r>
      <w:r w:rsidRPr="00562E70">
        <w:rPr>
          <w:rFonts w:ascii="Arial" w:eastAsia="Calibri" w:hAnsi="Arial" w:cs="Arial"/>
          <w:i/>
          <w:iCs/>
          <w:sz w:val="21"/>
          <w:szCs w:val="21"/>
        </w:rPr>
        <w:t>por hechos del contratista que impliquen mal manejo o incorrecta inversión de los dineros de propiedad pública</w:t>
      </w:r>
      <w:r w:rsidRPr="00562E70">
        <w:rPr>
          <w:rFonts w:ascii="Arial" w:eastAsia="Calibri" w:hAnsi="Arial" w:cs="Arial"/>
          <w:sz w:val="21"/>
          <w:szCs w:val="21"/>
        </w:rPr>
        <w:t>. Las partes contratantes, acuerdan además en el contrato, las condiciones de efectividad, la proporción con el valor del contrato, la oportunidad en que debe entregarse, la vigilancia Estatal sobre las sumas y las amortizaciones». (Cursiva fuera del original).</w:t>
      </w:r>
    </w:p>
    <w:p w14:paraId="2122592F" w14:textId="77777777" w:rsidR="00647DFA" w:rsidRPr="00562E70" w:rsidRDefault="00647DFA" w:rsidP="00647DFA">
      <w:pPr>
        <w:ind w:left="709" w:right="709"/>
        <w:jc w:val="both"/>
        <w:rPr>
          <w:rFonts w:ascii="Arial" w:eastAsia="Calibri" w:hAnsi="Arial" w:cs="Arial"/>
          <w:sz w:val="21"/>
          <w:szCs w:val="21"/>
        </w:rPr>
      </w:pPr>
      <w:r w:rsidRPr="00562E70">
        <w:rPr>
          <w:rFonts w:ascii="Arial" w:eastAsia="Calibri" w:hAnsi="Arial" w:cs="Arial"/>
          <w:sz w:val="21"/>
          <w:szCs w:val="21"/>
        </w:rPr>
        <w:t xml:space="preserve"> </w:t>
      </w:r>
    </w:p>
    <w:p w14:paraId="3DC4120D" w14:textId="77777777" w:rsidR="00647DFA" w:rsidRPr="00562E70" w:rsidRDefault="00647DFA" w:rsidP="00647DFA">
      <w:pPr>
        <w:ind w:left="709" w:right="709"/>
        <w:jc w:val="both"/>
        <w:rPr>
          <w:rFonts w:ascii="Arial" w:eastAsia="Calibri" w:hAnsi="Arial" w:cs="Arial"/>
          <w:sz w:val="22"/>
        </w:rPr>
      </w:pPr>
      <w:r w:rsidRPr="00562E70">
        <w:rPr>
          <w:rFonts w:ascii="Arial" w:eastAsia="Calibri" w:hAnsi="Arial" w:cs="Arial"/>
          <w:sz w:val="21"/>
          <w:szCs w:val="21"/>
        </w:rPr>
        <w:t>No cabe entonces la menor duda de que los dineros entregados al contratista a título de anticipo en las condiciones descritas por la jurisprudencia son dineros públicos porque no se entregan como pago anticipado, lo cual haría propietario al contratista, y están destinados por la ley y el contrato a la financiación de su ejecución y, el hecho de que se hayan destinado al pago de comisiones por la adjudicación del contrato a favor del congresista demandado, tal como se acreditó en el proceso, configura la causal de pérdida de investidura de congresista prevista en el artículo 183.4 de la Constitución Nacional y artículo  296.4  de la Ley 5 de 1992</w:t>
      </w:r>
      <w:r w:rsidRPr="00562E70">
        <w:rPr>
          <w:rStyle w:val="Refdenotaalpie"/>
          <w:rFonts w:ascii="Arial" w:eastAsia="Calibri" w:hAnsi="Arial" w:cs="Arial"/>
          <w:sz w:val="22"/>
        </w:rPr>
        <w:footnoteReference w:id="1"/>
      </w:r>
      <w:r w:rsidRPr="00562E70">
        <w:rPr>
          <w:rFonts w:ascii="Arial" w:eastAsia="Calibri" w:hAnsi="Arial" w:cs="Arial"/>
          <w:sz w:val="21"/>
          <w:szCs w:val="21"/>
        </w:rPr>
        <w:t>.</w:t>
      </w:r>
    </w:p>
    <w:p w14:paraId="25F55C7C" w14:textId="77777777" w:rsidR="00647DFA" w:rsidRPr="00562E70" w:rsidRDefault="00647DFA" w:rsidP="00647DFA">
      <w:pPr>
        <w:spacing w:line="276" w:lineRule="auto"/>
        <w:ind w:firstLine="709"/>
        <w:jc w:val="both"/>
        <w:rPr>
          <w:rFonts w:ascii="Arial" w:eastAsia="Calibri" w:hAnsi="Arial" w:cs="Arial"/>
          <w:sz w:val="22"/>
        </w:rPr>
      </w:pPr>
    </w:p>
    <w:p w14:paraId="50E9B9C4" w14:textId="77777777" w:rsidR="00647DFA" w:rsidRPr="00562E70" w:rsidRDefault="00647DFA" w:rsidP="00647DFA">
      <w:pPr>
        <w:spacing w:line="276" w:lineRule="auto"/>
        <w:ind w:firstLine="709"/>
        <w:jc w:val="both"/>
        <w:rPr>
          <w:rFonts w:ascii="Arial" w:eastAsia="Calibri" w:hAnsi="Arial" w:cs="Arial"/>
          <w:sz w:val="22"/>
        </w:rPr>
      </w:pPr>
      <w:r w:rsidRPr="00562E70">
        <w:rPr>
          <w:rFonts w:ascii="Arial" w:eastAsia="Calibri" w:hAnsi="Arial" w:cs="Arial"/>
          <w:sz w:val="22"/>
        </w:rPr>
        <w:t>La distinción o diferenciación realizada sobre los conceptos de pago anticipado y anticipo, fue reiterada por la Subsección C de la Sección Tercera del Consejo de Estado, de la siguiente manera:</w:t>
      </w:r>
    </w:p>
    <w:p w14:paraId="3188814D" w14:textId="77777777" w:rsidR="00647DFA" w:rsidRPr="00562E70" w:rsidRDefault="00647DFA" w:rsidP="00647DFA">
      <w:pPr>
        <w:ind w:firstLine="709"/>
        <w:jc w:val="both"/>
        <w:rPr>
          <w:rFonts w:ascii="Arial" w:eastAsia="Calibri" w:hAnsi="Arial" w:cs="Arial"/>
          <w:sz w:val="22"/>
        </w:rPr>
      </w:pPr>
    </w:p>
    <w:p w14:paraId="5CD52C6E" w14:textId="77777777" w:rsidR="00647DFA" w:rsidRPr="00562E70" w:rsidRDefault="00647DFA" w:rsidP="00647DFA">
      <w:pPr>
        <w:ind w:left="709" w:right="709"/>
        <w:jc w:val="both"/>
        <w:rPr>
          <w:rFonts w:ascii="Arial" w:eastAsia="Calibri" w:hAnsi="Arial" w:cs="Arial"/>
          <w:sz w:val="21"/>
          <w:szCs w:val="21"/>
        </w:rPr>
      </w:pPr>
      <w:r w:rsidRPr="00562E70">
        <w:rPr>
          <w:rFonts w:ascii="Arial" w:hAnsi="Arial" w:cs="Arial"/>
          <w:sz w:val="21"/>
          <w:szCs w:val="21"/>
        </w:rPr>
        <w:t>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562E70">
        <w:rPr>
          <w:rStyle w:val="Refdenotaalpie"/>
          <w:rFonts w:ascii="Arial" w:eastAsia="Calibri" w:hAnsi="Arial" w:cs="Arial"/>
          <w:sz w:val="22"/>
        </w:rPr>
        <w:footnoteReference w:id="2"/>
      </w:r>
      <w:r w:rsidRPr="00562E70">
        <w:rPr>
          <w:rFonts w:ascii="Arial" w:hAnsi="Arial" w:cs="Arial"/>
          <w:sz w:val="21"/>
          <w:szCs w:val="21"/>
        </w:rPr>
        <w:t>.</w:t>
      </w:r>
    </w:p>
    <w:p w14:paraId="79166068" w14:textId="77777777" w:rsidR="00647DFA" w:rsidRPr="00562E70" w:rsidRDefault="00647DFA" w:rsidP="00647DFA">
      <w:pPr>
        <w:spacing w:line="276" w:lineRule="auto"/>
        <w:ind w:firstLine="709"/>
        <w:jc w:val="both"/>
        <w:rPr>
          <w:rFonts w:ascii="Arial" w:eastAsia="Calibri" w:hAnsi="Arial" w:cs="Arial"/>
          <w:sz w:val="22"/>
        </w:rPr>
      </w:pPr>
    </w:p>
    <w:p w14:paraId="6A7D7DEC" w14:textId="171B2200" w:rsidR="00647DFA" w:rsidRPr="00562E70" w:rsidRDefault="00647DFA" w:rsidP="00647DFA">
      <w:pPr>
        <w:spacing w:after="120" w:line="276" w:lineRule="auto"/>
        <w:ind w:firstLine="709"/>
        <w:jc w:val="both"/>
        <w:rPr>
          <w:rFonts w:ascii="Arial" w:eastAsia="Calibri" w:hAnsi="Arial" w:cs="Arial"/>
          <w:sz w:val="22"/>
        </w:rPr>
      </w:pPr>
      <w:r w:rsidRPr="00562E70">
        <w:rPr>
          <w:rFonts w:ascii="Arial" w:eastAsia="Calibri" w:hAnsi="Arial" w:cs="Arial"/>
          <w:sz w:val="22"/>
        </w:rPr>
        <w:t xml:space="preserve">Establecida la naturaleza y alcance de los conceptos de pago anticipado y </w:t>
      </w:r>
      <w:r w:rsidR="00147ACF" w:rsidRPr="00562E70">
        <w:rPr>
          <w:rFonts w:ascii="Arial" w:eastAsia="Calibri" w:hAnsi="Arial" w:cs="Arial"/>
          <w:sz w:val="22"/>
        </w:rPr>
        <w:t>el anticipo</w:t>
      </w:r>
      <w:r w:rsidRPr="00562E70">
        <w:rPr>
          <w:rFonts w:ascii="Arial" w:eastAsia="Calibri" w:hAnsi="Arial" w:cs="Arial"/>
          <w:sz w:val="22"/>
        </w:rPr>
        <w:t>, los mismos pueden ser definidos así: i) El pago anticipado es un pago efectivo del precio que se efectúa y se causa en forma anticipada. Por tanto, los recursos se integran al patrimonio del contratista desde su desembolso. ii)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p>
    <w:p w14:paraId="6B54C895" w14:textId="77777777" w:rsidR="00647DFA" w:rsidRPr="00562E70" w:rsidRDefault="00647DFA" w:rsidP="00647DFA">
      <w:pPr>
        <w:spacing w:before="120" w:after="120" w:line="276" w:lineRule="auto"/>
        <w:ind w:firstLine="709"/>
        <w:jc w:val="both"/>
        <w:rPr>
          <w:rFonts w:ascii="Arial" w:eastAsia="Calibri" w:hAnsi="Arial" w:cs="Arial"/>
          <w:sz w:val="22"/>
        </w:rPr>
      </w:pPr>
      <w:r w:rsidRPr="00562E70">
        <w:rPr>
          <w:rFonts w:ascii="Arial" w:eastAsia="Calibri" w:hAnsi="Arial" w:cs="Arial"/>
          <w:sz w:val="22"/>
        </w:rPr>
        <w:t>De otra parte, con la expedición de la Ley 1474 de 2011 «Por la cual se dictan normas orientadas a fortalecer los mecanismos de prevención, investigación y sanción de actos de corrupción y la efectividad del control de la gestión pública», se estableció un requisito relacionado con el manejo del anticipo. En efecto, el artículo 91 estableció la obligación para el contratista de constituir una fiducia o patrimonio autónomo irrevocable, como garantía del buen manejo e inversión de los recursos que le sean entregados a título de anticipo. La mencionada obligación se aplica a los contratos de obra, concesión, salud, o los que se realicen por licitación pública, salvo que los mismos sean de menor o mínima cuantía</w:t>
      </w:r>
      <w:r w:rsidRPr="00562E70">
        <w:rPr>
          <w:rStyle w:val="Refdenotaalpie"/>
          <w:rFonts w:ascii="Arial" w:eastAsia="Calibri" w:hAnsi="Arial" w:cs="Arial"/>
          <w:sz w:val="22"/>
        </w:rPr>
        <w:footnoteReference w:id="3"/>
      </w:r>
      <w:r w:rsidRPr="00562E70">
        <w:rPr>
          <w:rFonts w:ascii="Arial" w:eastAsia="Calibri" w:hAnsi="Arial" w:cs="Arial"/>
          <w:sz w:val="22"/>
        </w:rPr>
        <w:t>.</w:t>
      </w:r>
    </w:p>
    <w:p w14:paraId="2E9FF404" w14:textId="77777777" w:rsidR="00647DFA" w:rsidRPr="00562E70" w:rsidRDefault="00647DFA" w:rsidP="00647DFA">
      <w:pPr>
        <w:spacing w:before="120" w:after="120" w:line="276" w:lineRule="auto"/>
        <w:ind w:firstLine="709"/>
        <w:jc w:val="both"/>
        <w:rPr>
          <w:rFonts w:ascii="Arial" w:eastAsia="Calibri" w:hAnsi="Arial" w:cs="Arial"/>
          <w:sz w:val="22"/>
        </w:rPr>
      </w:pPr>
      <w:r w:rsidRPr="00562E70">
        <w:rPr>
          <w:rFonts w:ascii="Arial" w:eastAsia="Calibri" w:hAnsi="Arial" w:cs="Arial"/>
          <w:sz w:val="22"/>
        </w:rPr>
        <w:t>En los contratos en los que no es obligatorio constituir una fiducia o un patrimonio autónomo para el manejo del anticipo, la entidad contratante debe adoptar medidas necesarias y razonables para asegurar la protección de los recursos económicos entregados al contratista.</w:t>
      </w:r>
    </w:p>
    <w:p w14:paraId="496108E8" w14:textId="77777777" w:rsidR="00647DFA" w:rsidRPr="00562E70" w:rsidRDefault="00647DFA" w:rsidP="00647DFA">
      <w:pPr>
        <w:spacing w:before="120" w:line="276" w:lineRule="auto"/>
        <w:ind w:firstLine="709"/>
        <w:jc w:val="both"/>
        <w:rPr>
          <w:rFonts w:ascii="Arial" w:eastAsia="Calibri" w:hAnsi="Arial" w:cs="Arial"/>
          <w:sz w:val="22"/>
        </w:rPr>
      </w:pPr>
      <w:r w:rsidRPr="00562E70">
        <w:rPr>
          <w:rFonts w:ascii="Arial" w:eastAsia="Calibri" w:hAnsi="Arial" w:cs="Arial"/>
          <w:sz w:val="22"/>
        </w:rPr>
        <w:lastRenderedPageBreak/>
        <w:t>Por ello, la protección de los recursos económicos entregados al contratista, a título de pago anticipado o anticipo, debe realizarse con la constitución de las garantías establecidas en el ordenamiento jurídico para tal efecto</w:t>
      </w:r>
      <w:r w:rsidRPr="00562E70">
        <w:rPr>
          <w:rStyle w:val="Refdenotaalpie"/>
          <w:rFonts w:ascii="Arial" w:eastAsia="Calibri" w:hAnsi="Arial" w:cs="Arial"/>
          <w:sz w:val="22"/>
        </w:rPr>
        <w:footnoteReference w:id="4"/>
      </w:r>
      <w:r w:rsidRPr="00562E70">
        <w:rPr>
          <w:rFonts w:ascii="Arial" w:eastAsia="Calibri" w:hAnsi="Arial" w:cs="Arial"/>
          <w:sz w:val="22"/>
        </w:rPr>
        <w:t>.</w:t>
      </w:r>
    </w:p>
    <w:p w14:paraId="68285968" w14:textId="77777777" w:rsidR="00647DFA" w:rsidRPr="00562E70" w:rsidRDefault="00647DFA" w:rsidP="00647DFA">
      <w:pPr>
        <w:spacing w:line="276" w:lineRule="auto"/>
        <w:jc w:val="both"/>
        <w:rPr>
          <w:rFonts w:ascii="Arial" w:eastAsia="Calibri" w:hAnsi="Arial" w:cs="Arial"/>
          <w:sz w:val="22"/>
        </w:rPr>
      </w:pPr>
    </w:p>
    <w:p w14:paraId="6EFAE104" w14:textId="77777777" w:rsidR="00647DFA" w:rsidRPr="00562E70" w:rsidRDefault="00647DFA" w:rsidP="00647DFA">
      <w:pPr>
        <w:pStyle w:val="Prrafodelista"/>
        <w:numPr>
          <w:ilvl w:val="0"/>
          <w:numId w:val="1"/>
        </w:numPr>
        <w:tabs>
          <w:tab w:val="left" w:pos="284"/>
        </w:tabs>
        <w:ind w:left="0" w:firstLine="0"/>
        <w:jc w:val="both"/>
        <w:rPr>
          <w:rFonts w:ascii="Arial" w:eastAsia="Calibri" w:hAnsi="Arial" w:cs="Arial"/>
          <w:sz w:val="22"/>
        </w:rPr>
      </w:pPr>
      <w:r w:rsidRPr="00562E70">
        <w:rPr>
          <w:rFonts w:ascii="Arial" w:eastAsia="Calibri" w:hAnsi="Arial" w:cs="Arial"/>
          <w:b/>
          <w:sz w:val="22"/>
        </w:rPr>
        <w:t>Respuesta</w:t>
      </w:r>
    </w:p>
    <w:p w14:paraId="2997486C" w14:textId="77777777" w:rsidR="00647DFA" w:rsidRPr="00562E70" w:rsidRDefault="00647DFA" w:rsidP="00647DFA">
      <w:pPr>
        <w:spacing w:line="276" w:lineRule="auto"/>
        <w:ind w:right="709"/>
        <w:jc w:val="both"/>
        <w:rPr>
          <w:rFonts w:ascii="Arial" w:eastAsia="Calibri" w:hAnsi="Arial" w:cs="Arial"/>
          <w:i/>
          <w:sz w:val="22"/>
        </w:rPr>
      </w:pPr>
    </w:p>
    <w:p w14:paraId="6E42D4D2" w14:textId="77777777" w:rsidR="00647DFA" w:rsidRPr="00562E70" w:rsidRDefault="00647DFA" w:rsidP="00647DFA">
      <w:pPr>
        <w:tabs>
          <w:tab w:val="left" w:pos="426"/>
        </w:tabs>
        <w:ind w:left="709" w:right="709"/>
        <w:jc w:val="both"/>
        <w:rPr>
          <w:rFonts w:ascii="Arial" w:eastAsia="Calibri" w:hAnsi="Arial" w:cs="Arial"/>
          <w:sz w:val="21"/>
          <w:szCs w:val="21"/>
        </w:rPr>
      </w:pPr>
      <w:r w:rsidRPr="00562E70">
        <w:rPr>
          <w:rFonts w:ascii="Arial" w:eastAsia="Calibri" w:hAnsi="Arial" w:cs="Arial"/>
          <w:sz w:val="21"/>
          <w:szCs w:val="21"/>
        </w:rPr>
        <w:t>«La Empresa de Desarrollo Urbano - EDU, es una empresa industrial y comercial del estado, y tenemos una consulta con respecto a un contrato interadministrativo, en el cual somos contratistas administradores del recurso, por lo que requerimos se nos informe, si es posible solicitar un anticipo o pago anticipado, encontrándose el contrato interadministrativo en ejecución.</w:t>
      </w:r>
    </w:p>
    <w:p w14:paraId="14EB5EE6" w14:textId="77777777" w:rsidR="00647DFA" w:rsidRPr="00562E70" w:rsidRDefault="00647DFA" w:rsidP="00647DFA">
      <w:pPr>
        <w:tabs>
          <w:tab w:val="left" w:pos="426"/>
        </w:tabs>
        <w:ind w:left="709" w:right="709"/>
        <w:jc w:val="both"/>
        <w:rPr>
          <w:rFonts w:ascii="Arial" w:eastAsia="Calibri" w:hAnsi="Arial" w:cs="Arial"/>
          <w:sz w:val="21"/>
          <w:szCs w:val="21"/>
        </w:rPr>
      </w:pPr>
    </w:p>
    <w:p w14:paraId="24A45288" w14:textId="77777777" w:rsidR="00647DFA" w:rsidRPr="00562E70" w:rsidRDefault="00647DFA" w:rsidP="00647DFA">
      <w:pPr>
        <w:tabs>
          <w:tab w:val="left" w:pos="426"/>
        </w:tabs>
        <w:ind w:left="709" w:right="709"/>
        <w:jc w:val="both"/>
        <w:rPr>
          <w:rFonts w:ascii="Arial" w:eastAsia="Calibri" w:hAnsi="Arial" w:cs="Arial"/>
          <w:sz w:val="21"/>
          <w:szCs w:val="21"/>
        </w:rPr>
      </w:pPr>
      <w:r w:rsidRPr="00562E70">
        <w:rPr>
          <w:rFonts w:ascii="Arial" w:eastAsia="Calibri" w:hAnsi="Arial" w:cs="Arial"/>
          <w:sz w:val="21"/>
          <w:szCs w:val="21"/>
        </w:rPr>
        <w:t>Este anticipo o pago anticipado seria destinado para la administración del pago al personal que presta el servicio para el convenio y con ello garantizar el efectivo desarrollo del objeto contractual pactado en el contrato interadministrativo.».</w:t>
      </w:r>
    </w:p>
    <w:p w14:paraId="4FB9E76D" w14:textId="77777777" w:rsidR="00647DFA" w:rsidRPr="00562E70" w:rsidRDefault="00647DFA" w:rsidP="00647DFA">
      <w:pPr>
        <w:jc w:val="both"/>
        <w:rPr>
          <w:rFonts w:ascii="Arial" w:eastAsia="Calibri" w:hAnsi="Arial" w:cs="Arial"/>
          <w:sz w:val="22"/>
        </w:rPr>
      </w:pPr>
    </w:p>
    <w:p w14:paraId="29F01040" w14:textId="77777777" w:rsidR="00647DFA" w:rsidRPr="00562E70" w:rsidRDefault="00647DFA" w:rsidP="00647DFA">
      <w:pPr>
        <w:spacing w:after="120" w:line="276" w:lineRule="auto"/>
        <w:jc w:val="both"/>
        <w:rPr>
          <w:rFonts w:ascii="Arial" w:eastAsia="Calibri" w:hAnsi="Arial" w:cs="Arial"/>
          <w:sz w:val="22"/>
        </w:rPr>
      </w:pPr>
      <w:r w:rsidRPr="00562E70">
        <w:rPr>
          <w:rFonts w:ascii="Arial" w:eastAsia="Calibri" w:hAnsi="Arial" w:cs="Arial"/>
          <w:sz w:val="22"/>
        </w:rPr>
        <w:t>Las entidades estatales tienen la facultad de pactar el pago anticipado o la entrega de anticipos sus contratos, sin restricción o distinción respecto del tipo de negocio jurídico a celebrar y/o la modalidad de selección del contratista, ya que la ley al regularlos no efectuó esta distinción.</w:t>
      </w:r>
    </w:p>
    <w:p w14:paraId="064AA44A" w14:textId="5B6EA159" w:rsidR="00647DFA" w:rsidRPr="00562E70" w:rsidRDefault="00647DFA" w:rsidP="00147ACF">
      <w:pPr>
        <w:spacing w:before="120" w:after="120" w:line="276" w:lineRule="auto"/>
        <w:ind w:firstLine="709"/>
        <w:jc w:val="both"/>
        <w:rPr>
          <w:rFonts w:ascii="Arial" w:eastAsia="Calibri" w:hAnsi="Arial" w:cs="Arial"/>
          <w:sz w:val="22"/>
        </w:rPr>
      </w:pPr>
      <w:r w:rsidRPr="00562E70">
        <w:rPr>
          <w:rFonts w:ascii="Arial" w:eastAsia="Calibri" w:hAnsi="Arial" w:cs="Arial"/>
          <w:sz w:val="22"/>
        </w:rPr>
        <w:t>En este sentido, corresponde a las entidades contratantes decidir y definir, conforme a las condiciones particulares de cada proceso de contratación, si es conveniente o no entregar recursos al contratista en la forma expresada en este concepto. Si se pacta el pago anticipado o la entrega de anticipo, la entidad estatal está en la obligación de observar y acatar los límites y obligaciones establecidas en el ordenamiento jurídico sobre estas formas de remuneración o financiación</w:t>
      </w:r>
      <w:r w:rsidR="00147ACF" w:rsidRPr="00562E70">
        <w:rPr>
          <w:rFonts w:ascii="Arial" w:eastAsia="Calibri" w:hAnsi="Arial" w:cs="Arial"/>
          <w:sz w:val="22"/>
        </w:rPr>
        <w:t>, dentro de los que se encuentra el parágrafo del artículo 40 de la Ley 80 de 1993</w:t>
      </w:r>
      <w:r w:rsidRPr="00562E70">
        <w:rPr>
          <w:rFonts w:ascii="Arial" w:eastAsia="Calibri" w:hAnsi="Arial" w:cs="Arial"/>
          <w:sz w:val="22"/>
        </w:rPr>
        <w:t>.</w:t>
      </w:r>
    </w:p>
    <w:p w14:paraId="3E30BC28" w14:textId="77777777" w:rsidR="00147ACF" w:rsidRPr="00562E70" w:rsidRDefault="00147ACF" w:rsidP="00147ACF">
      <w:pPr>
        <w:spacing w:before="120" w:after="120" w:line="276" w:lineRule="auto"/>
        <w:ind w:firstLine="709"/>
        <w:jc w:val="both"/>
        <w:rPr>
          <w:rFonts w:ascii="Arial" w:eastAsia="Calibri" w:hAnsi="Arial" w:cs="Arial"/>
          <w:sz w:val="22"/>
        </w:rPr>
      </w:pPr>
    </w:p>
    <w:p w14:paraId="1ACEE379" w14:textId="77777777" w:rsidR="00647DFA" w:rsidRPr="00562E70" w:rsidRDefault="00647DFA" w:rsidP="00647DFA">
      <w:pPr>
        <w:spacing w:after="120" w:line="276" w:lineRule="auto"/>
        <w:jc w:val="both"/>
        <w:rPr>
          <w:rFonts w:ascii="Arial" w:eastAsia="Times New Roman" w:hAnsi="Arial" w:cs="Arial"/>
          <w:sz w:val="22"/>
          <w:szCs w:val="21"/>
          <w:lang w:val="es-ES" w:eastAsia="es-ES_tradnl"/>
        </w:rPr>
      </w:pPr>
      <w:r w:rsidRPr="00562E70">
        <w:rPr>
          <w:rFonts w:ascii="Arial" w:eastAsia="Times New Roman" w:hAnsi="Arial" w:cs="Arial"/>
          <w:sz w:val="22"/>
          <w:szCs w:val="21"/>
          <w:lang w:val="es-ES" w:eastAsia="es-ES_tradnl"/>
        </w:rPr>
        <w:lastRenderedPageBreak/>
        <w:t>Este concepto tiene el alcance previsto en el artículo 28 del Código de Procedimiento Administrativo y de lo Contencioso Administrativo.</w:t>
      </w:r>
    </w:p>
    <w:p w14:paraId="0DF96623" w14:textId="77777777" w:rsidR="00647DFA" w:rsidRPr="00562E70" w:rsidRDefault="00647DFA" w:rsidP="00647DFA">
      <w:pPr>
        <w:tabs>
          <w:tab w:val="left" w:pos="426"/>
        </w:tabs>
        <w:spacing w:before="120" w:line="276" w:lineRule="auto"/>
        <w:jc w:val="both"/>
        <w:rPr>
          <w:rFonts w:ascii="Arial" w:eastAsia="Times New Roman" w:hAnsi="Arial" w:cs="Arial"/>
          <w:sz w:val="22"/>
          <w:szCs w:val="21"/>
          <w:lang w:val="es-ES" w:eastAsia="es-ES"/>
        </w:rPr>
      </w:pPr>
      <w:r w:rsidRPr="00562E70">
        <w:rPr>
          <w:rFonts w:ascii="Arial" w:eastAsia="Times New Roman" w:hAnsi="Arial" w:cs="Arial"/>
          <w:sz w:val="22"/>
          <w:szCs w:val="21"/>
          <w:lang w:val="es-ES" w:eastAsia="es-ES"/>
        </w:rPr>
        <w:t>Atentamente,</w:t>
      </w:r>
    </w:p>
    <w:p w14:paraId="33D003A3" w14:textId="0B5C5246" w:rsidR="00647DFA" w:rsidRPr="00562E70" w:rsidRDefault="00562E70" w:rsidP="00647DFA">
      <w:pPr>
        <w:jc w:val="center"/>
        <w:rPr>
          <w:rFonts w:ascii="Geomanist Light" w:eastAsia="Times New Roman" w:hAnsi="Geomanist Light" w:cs="Arial"/>
          <w:lang w:eastAsia="es-CO"/>
        </w:rPr>
      </w:pPr>
      <w:r>
        <w:rPr>
          <w:noProof/>
        </w:rPr>
        <w:drawing>
          <wp:inline distT="0" distB="0" distL="0" distR="0" wp14:anchorId="7DF8E0B4" wp14:editId="4FD159F8">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1"/>
                    <a:stretch>
                      <a:fillRect/>
                    </a:stretch>
                  </pic:blipFill>
                  <pic:spPr>
                    <a:xfrm>
                      <a:off x="0" y="0"/>
                      <a:ext cx="2785707" cy="1068836"/>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562E70" w:rsidRPr="00562E70" w14:paraId="04BEE0D4" w14:textId="77777777" w:rsidTr="002B5ABF">
        <w:trPr>
          <w:trHeight w:val="315"/>
        </w:trPr>
        <w:tc>
          <w:tcPr>
            <w:tcW w:w="812" w:type="dxa"/>
            <w:vAlign w:val="center"/>
          </w:tcPr>
          <w:p w14:paraId="4E286386" w14:textId="77777777" w:rsidR="00647DFA" w:rsidRPr="00562E70" w:rsidRDefault="00647DFA" w:rsidP="002B5ABF">
            <w:pPr>
              <w:rPr>
                <w:rFonts w:ascii="Geomanist Light" w:eastAsia="Times New Roman" w:hAnsi="Geomanist Light" w:cs="Arial"/>
                <w:sz w:val="16"/>
                <w:szCs w:val="16"/>
                <w:lang w:eastAsia="es-ES"/>
              </w:rPr>
            </w:pPr>
            <w:r w:rsidRPr="00562E70">
              <w:rPr>
                <w:rFonts w:ascii="Geomanist Light" w:eastAsia="Times New Roman" w:hAnsi="Geomanist Light" w:cs="Arial"/>
                <w:sz w:val="16"/>
                <w:szCs w:val="16"/>
                <w:lang w:eastAsia="es-ES"/>
              </w:rPr>
              <w:t>Elaboró:</w:t>
            </w:r>
          </w:p>
        </w:tc>
        <w:tc>
          <w:tcPr>
            <w:tcW w:w="4413" w:type="dxa"/>
            <w:tcBorders>
              <w:bottom w:val="dotted" w:sz="4" w:space="0" w:color="7F7F7F" w:themeColor="text1" w:themeTint="80"/>
            </w:tcBorders>
            <w:vAlign w:val="center"/>
          </w:tcPr>
          <w:p w14:paraId="7E7EE750" w14:textId="77777777" w:rsidR="00647DFA" w:rsidRPr="00562E70" w:rsidRDefault="00647DFA" w:rsidP="002B5ABF">
            <w:pPr>
              <w:rPr>
                <w:rFonts w:ascii="Geomanist Light" w:eastAsia="Times New Roman" w:hAnsi="Geomanist Light" w:cs="Arial"/>
                <w:sz w:val="16"/>
                <w:szCs w:val="16"/>
                <w:lang w:eastAsia="es-ES"/>
              </w:rPr>
            </w:pPr>
            <w:r w:rsidRPr="00562E70">
              <w:rPr>
                <w:rFonts w:ascii="Geomanist Light" w:eastAsia="Times New Roman" w:hAnsi="Geomanist Light" w:cs="Arial"/>
                <w:sz w:val="16"/>
                <w:szCs w:val="16"/>
                <w:lang w:eastAsia="es-ES"/>
              </w:rPr>
              <w:t>Juan Carlos Covilla Martínez</w:t>
            </w:r>
          </w:p>
          <w:p w14:paraId="657CEDE2" w14:textId="77777777" w:rsidR="00647DFA" w:rsidRPr="00562E70" w:rsidRDefault="00647DFA" w:rsidP="002B5ABF">
            <w:pPr>
              <w:rPr>
                <w:rFonts w:ascii="Geomanist Light" w:eastAsia="Times New Roman" w:hAnsi="Geomanist Light" w:cs="Arial"/>
                <w:sz w:val="16"/>
                <w:szCs w:val="16"/>
                <w:lang w:eastAsia="es-ES"/>
              </w:rPr>
            </w:pPr>
            <w:r w:rsidRPr="00562E70">
              <w:rPr>
                <w:rFonts w:ascii="Geomanist Light" w:eastAsia="Times New Roman" w:hAnsi="Geomanist Light" w:cs="Arial"/>
                <w:sz w:val="16"/>
                <w:szCs w:val="16"/>
                <w:lang w:eastAsia="es-ES"/>
              </w:rPr>
              <w:t xml:space="preserve">Contratista de la Subdirección de Gestión Contractual </w:t>
            </w:r>
          </w:p>
        </w:tc>
      </w:tr>
      <w:tr w:rsidR="00562E70" w:rsidRPr="00562E70" w14:paraId="720034AD" w14:textId="77777777" w:rsidTr="002B5ABF">
        <w:trPr>
          <w:trHeight w:val="330"/>
        </w:trPr>
        <w:tc>
          <w:tcPr>
            <w:tcW w:w="812" w:type="dxa"/>
            <w:vAlign w:val="center"/>
          </w:tcPr>
          <w:p w14:paraId="29C3E3CF" w14:textId="77777777" w:rsidR="00647DFA" w:rsidRPr="00562E70" w:rsidRDefault="00647DFA" w:rsidP="002B5ABF">
            <w:pPr>
              <w:rPr>
                <w:rFonts w:ascii="Geomanist Light" w:eastAsia="Times New Roman" w:hAnsi="Geomanist Light" w:cs="Arial"/>
                <w:sz w:val="16"/>
                <w:szCs w:val="16"/>
                <w:lang w:eastAsia="es-ES"/>
              </w:rPr>
            </w:pPr>
            <w:r w:rsidRPr="00562E70">
              <w:rPr>
                <w:rFonts w:ascii="Geomanist Light" w:eastAsia="Times New Roman" w:hAnsi="Geomanist Light"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5B0737EA" w14:textId="77777777" w:rsidR="00647DFA" w:rsidRPr="00562E70" w:rsidRDefault="00647DFA" w:rsidP="002B5ABF">
            <w:pPr>
              <w:rPr>
                <w:rFonts w:ascii="Geomanist Light" w:hAnsi="Geomanist Light" w:cs="Arial"/>
                <w:sz w:val="16"/>
                <w:szCs w:val="16"/>
                <w:lang w:eastAsia="es-ES"/>
              </w:rPr>
            </w:pPr>
            <w:r w:rsidRPr="00562E70">
              <w:rPr>
                <w:rFonts w:ascii="Geomanist Light" w:hAnsi="Geomanist Light" w:cs="Arial"/>
                <w:sz w:val="16"/>
                <w:szCs w:val="16"/>
                <w:lang w:eastAsia="es-ES"/>
              </w:rPr>
              <w:t>Alejandro Sarmiento Cantillo</w:t>
            </w:r>
          </w:p>
          <w:p w14:paraId="3EF9034B" w14:textId="77777777" w:rsidR="00647DFA" w:rsidRPr="00562E70" w:rsidRDefault="00647DFA" w:rsidP="002B5ABF">
            <w:pPr>
              <w:rPr>
                <w:rFonts w:ascii="Geomanist Light" w:eastAsia="Times New Roman" w:hAnsi="Geomanist Light" w:cs="Arial"/>
                <w:sz w:val="16"/>
                <w:szCs w:val="16"/>
                <w:lang w:eastAsia="es-ES"/>
              </w:rPr>
            </w:pPr>
            <w:r w:rsidRPr="00562E70">
              <w:rPr>
                <w:rFonts w:ascii="Geomanist Light" w:hAnsi="Geomanist Light" w:cs="Arial"/>
                <w:sz w:val="16"/>
                <w:szCs w:val="16"/>
                <w:lang w:eastAsia="es-ES"/>
              </w:rPr>
              <w:t>Gestor T1-15 de la Subdirección de Gestión Contractual</w:t>
            </w:r>
          </w:p>
        </w:tc>
      </w:tr>
      <w:tr w:rsidR="00647DFA" w:rsidRPr="00562E70" w14:paraId="469BA4E9" w14:textId="77777777" w:rsidTr="002B5ABF">
        <w:trPr>
          <w:trHeight w:val="300"/>
        </w:trPr>
        <w:tc>
          <w:tcPr>
            <w:tcW w:w="812" w:type="dxa"/>
            <w:vAlign w:val="center"/>
          </w:tcPr>
          <w:p w14:paraId="0CF1C849" w14:textId="77777777" w:rsidR="00647DFA" w:rsidRPr="00562E70" w:rsidRDefault="00647DFA" w:rsidP="002B5ABF">
            <w:pPr>
              <w:rPr>
                <w:rFonts w:ascii="Geomanist Light" w:eastAsia="Times New Roman" w:hAnsi="Geomanist Light" w:cs="Arial"/>
                <w:sz w:val="16"/>
                <w:szCs w:val="16"/>
                <w:lang w:eastAsia="es-ES"/>
              </w:rPr>
            </w:pPr>
            <w:r w:rsidRPr="00562E70">
              <w:rPr>
                <w:rFonts w:ascii="Geomanist Light" w:eastAsia="Times New Roman" w:hAnsi="Geomanist Light"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329D60AD" w14:textId="77777777" w:rsidR="00647DFA" w:rsidRPr="00562E70" w:rsidRDefault="00647DFA" w:rsidP="002B5ABF">
            <w:pPr>
              <w:rPr>
                <w:rFonts w:ascii="Geomanist Light" w:eastAsia="Calibri" w:hAnsi="Geomanist Light" w:cs="Arial"/>
                <w:sz w:val="16"/>
                <w:szCs w:val="16"/>
                <w:lang w:val="pt-BR" w:eastAsia="es-ES"/>
              </w:rPr>
            </w:pPr>
            <w:proofErr w:type="spellStart"/>
            <w:r w:rsidRPr="00562E70">
              <w:rPr>
                <w:rFonts w:ascii="Geomanist Light" w:eastAsia="Calibri" w:hAnsi="Geomanist Light" w:cs="Arial"/>
                <w:sz w:val="16"/>
                <w:szCs w:val="16"/>
                <w:lang w:val="pt-BR" w:eastAsia="es-ES"/>
              </w:rPr>
              <w:t>Nohelia</w:t>
            </w:r>
            <w:proofErr w:type="spellEnd"/>
            <w:r w:rsidRPr="00562E70">
              <w:rPr>
                <w:rFonts w:ascii="Geomanist Light" w:eastAsia="Calibri" w:hAnsi="Geomanist Light" w:cs="Arial"/>
                <w:sz w:val="16"/>
                <w:szCs w:val="16"/>
                <w:lang w:val="pt-BR" w:eastAsia="es-ES"/>
              </w:rPr>
              <w:t xml:space="preserve"> </w:t>
            </w:r>
            <w:proofErr w:type="spellStart"/>
            <w:r w:rsidRPr="00562E70">
              <w:rPr>
                <w:rFonts w:ascii="Geomanist Light" w:eastAsia="Calibri" w:hAnsi="Geomanist Light" w:cs="Arial"/>
                <w:sz w:val="16"/>
                <w:szCs w:val="16"/>
                <w:lang w:val="pt-BR" w:eastAsia="es-ES"/>
              </w:rPr>
              <w:t>del</w:t>
            </w:r>
            <w:proofErr w:type="spellEnd"/>
            <w:r w:rsidRPr="00562E70">
              <w:rPr>
                <w:rFonts w:ascii="Geomanist Light" w:eastAsia="Calibri" w:hAnsi="Geomanist Light" w:cs="Arial"/>
                <w:sz w:val="16"/>
                <w:szCs w:val="16"/>
                <w:lang w:val="pt-BR" w:eastAsia="es-ES"/>
              </w:rPr>
              <w:t xml:space="preserve"> Carmen </w:t>
            </w:r>
            <w:proofErr w:type="spellStart"/>
            <w:r w:rsidRPr="00562E70">
              <w:rPr>
                <w:rFonts w:ascii="Geomanist Light" w:eastAsia="Calibri" w:hAnsi="Geomanist Light" w:cs="Arial"/>
                <w:sz w:val="16"/>
                <w:szCs w:val="16"/>
                <w:lang w:val="pt-BR" w:eastAsia="es-ES"/>
              </w:rPr>
              <w:t>Zawady</w:t>
            </w:r>
            <w:proofErr w:type="spellEnd"/>
            <w:r w:rsidRPr="00562E70">
              <w:rPr>
                <w:rFonts w:ascii="Geomanist Light" w:eastAsia="Calibri" w:hAnsi="Geomanist Light" w:cs="Arial"/>
                <w:sz w:val="16"/>
                <w:szCs w:val="16"/>
                <w:lang w:val="pt-BR" w:eastAsia="es-ES"/>
              </w:rPr>
              <w:t xml:space="preserve"> Palacio</w:t>
            </w:r>
          </w:p>
          <w:p w14:paraId="5A92A39D" w14:textId="77777777" w:rsidR="00647DFA" w:rsidRPr="00562E70" w:rsidRDefault="00647DFA" w:rsidP="002B5ABF">
            <w:pPr>
              <w:rPr>
                <w:rFonts w:ascii="Geomanist Light" w:eastAsia="Times New Roman" w:hAnsi="Geomanist Light" w:cs="Arial"/>
                <w:sz w:val="16"/>
                <w:szCs w:val="16"/>
                <w:lang w:eastAsia="es-ES"/>
              </w:rPr>
            </w:pPr>
            <w:r w:rsidRPr="00562E70">
              <w:rPr>
                <w:rFonts w:ascii="Geomanist Light" w:eastAsia="Calibri" w:hAnsi="Geomanist Light" w:cs="Arial"/>
                <w:sz w:val="16"/>
                <w:szCs w:val="16"/>
                <w:lang w:eastAsia="es-ES"/>
              </w:rPr>
              <w:t xml:space="preserve">Subdirectora de Gestión Contractual </w:t>
            </w:r>
          </w:p>
        </w:tc>
      </w:tr>
    </w:tbl>
    <w:p w14:paraId="3C51389C" w14:textId="77777777" w:rsidR="00651A7A" w:rsidRPr="00562E70" w:rsidRDefault="00651A7A">
      <w:pPr>
        <w:rPr>
          <w:rFonts w:ascii="Arial" w:hAnsi="Arial" w:cs="Arial"/>
        </w:rPr>
      </w:pPr>
    </w:p>
    <w:sectPr w:rsidR="00651A7A" w:rsidRPr="00562E70" w:rsidSect="005A79FE">
      <w:headerReference w:type="default" r:id="rId12"/>
      <w:footerReference w:type="default" r:id="rId13"/>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73F73" w14:textId="77777777" w:rsidR="001E5D78" w:rsidRDefault="001E5D78" w:rsidP="00647DFA">
      <w:r>
        <w:separator/>
      </w:r>
    </w:p>
  </w:endnote>
  <w:endnote w:type="continuationSeparator" w:id="0">
    <w:p w14:paraId="7C69D330" w14:textId="77777777" w:rsidR="001E5D78" w:rsidRDefault="001E5D78" w:rsidP="00647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9C95F" w14:textId="77777777" w:rsidR="004A34D2" w:rsidRDefault="00000000" w:rsidP="007B0854">
    <w:pPr>
      <w:pStyle w:val="Sinespaciado"/>
      <w:jc w:val="center"/>
      <w:rPr>
        <w:rFonts w:ascii="Arial" w:hAnsi="Arial" w:cs="Arial"/>
        <w:sz w:val="18"/>
        <w:szCs w:val="18"/>
      </w:rPr>
    </w:pPr>
  </w:p>
  <w:p w14:paraId="5C7F1BB9" w14:textId="77777777" w:rsidR="007B0854" w:rsidRPr="005A79FE" w:rsidRDefault="00000000" w:rsidP="005A79FE">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6</w:t>
    </w:r>
    <w:r w:rsidRPr="00084B97">
      <w:rPr>
        <w:rFonts w:ascii="Arial" w:hAnsi="Arial" w:cs="Arial"/>
        <w:b/>
        <w:bCs/>
        <w:color w:val="7F7F7F" w:themeColor="text1" w:themeTint="80"/>
        <w:sz w:val="16"/>
        <w:szCs w:val="16"/>
      </w:rPr>
      <w:fldChar w:fldCharType="end"/>
    </w:r>
  </w:p>
  <w:p w14:paraId="13577CB9" w14:textId="66260148" w:rsidR="009047C5" w:rsidRDefault="00000000" w:rsidP="007B0854">
    <w:pPr>
      <w:pStyle w:val="Piedepgina"/>
      <w:jc w:val="center"/>
      <w:rPr>
        <w:lang w:val="es-ES"/>
      </w:rPr>
    </w:pPr>
  </w:p>
  <w:p w14:paraId="1E5889FE" w14:textId="77777777" w:rsidR="004A34D2" w:rsidRPr="007B0854" w:rsidRDefault="00000000"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9B959" w14:textId="77777777" w:rsidR="001E5D78" w:rsidRDefault="001E5D78" w:rsidP="00647DFA">
      <w:r>
        <w:separator/>
      </w:r>
    </w:p>
  </w:footnote>
  <w:footnote w:type="continuationSeparator" w:id="0">
    <w:p w14:paraId="072525ED" w14:textId="77777777" w:rsidR="001E5D78" w:rsidRDefault="001E5D78" w:rsidP="00647DFA">
      <w:r>
        <w:continuationSeparator/>
      </w:r>
    </w:p>
  </w:footnote>
  <w:footnote w:id="1">
    <w:p w14:paraId="00C8F3EB" w14:textId="77777777" w:rsidR="00647DFA" w:rsidRDefault="00647DFA" w:rsidP="00647DFA">
      <w:pPr>
        <w:ind w:firstLine="709"/>
        <w:jc w:val="both"/>
        <w:rPr>
          <w:rFonts w:ascii="Arial" w:hAnsi="Arial" w:cs="Arial"/>
          <w:sz w:val="19"/>
          <w:szCs w:val="19"/>
        </w:rPr>
      </w:pPr>
      <w:r w:rsidRPr="004E691C">
        <w:rPr>
          <w:rStyle w:val="Refdenotaalpie"/>
          <w:rFonts w:ascii="Arial" w:hAnsi="Arial" w:cs="Arial"/>
          <w:sz w:val="19"/>
          <w:szCs w:val="19"/>
        </w:rPr>
        <w:footnoteRef/>
      </w:r>
      <w:r w:rsidRPr="004E691C">
        <w:rPr>
          <w:rFonts w:ascii="Arial" w:hAnsi="Arial" w:cs="Arial"/>
          <w:sz w:val="19"/>
          <w:szCs w:val="19"/>
        </w:rPr>
        <w:t xml:space="preserve"> Consejo de Estado. Sala Plena de lo Contencioso Administrativo. Sentencia del 8 de agosto de 2001. Exp. AC-10966 - AC-11274. Consejero Ponente: Reinaldo Chavarro Buriticá.</w:t>
      </w:r>
    </w:p>
    <w:p w14:paraId="38423B4A" w14:textId="77777777" w:rsidR="00647DFA" w:rsidRPr="004E691C" w:rsidRDefault="00647DFA" w:rsidP="00647DFA">
      <w:pPr>
        <w:ind w:firstLine="709"/>
        <w:jc w:val="both"/>
        <w:rPr>
          <w:rFonts w:ascii="Arial" w:hAnsi="Arial" w:cs="Arial"/>
          <w:sz w:val="19"/>
          <w:szCs w:val="19"/>
          <w:lang w:val="es-CO"/>
        </w:rPr>
      </w:pPr>
    </w:p>
  </w:footnote>
  <w:footnote w:id="2">
    <w:p w14:paraId="5FE95335" w14:textId="77777777" w:rsidR="00647DFA" w:rsidRPr="004E691C" w:rsidRDefault="00647DFA" w:rsidP="00647DFA">
      <w:pPr>
        <w:pStyle w:val="Textonotapie"/>
        <w:ind w:firstLine="709"/>
        <w:jc w:val="both"/>
        <w:rPr>
          <w:rFonts w:ascii="Arial" w:hAnsi="Arial" w:cs="Arial"/>
          <w:sz w:val="19"/>
          <w:szCs w:val="19"/>
        </w:rPr>
      </w:pPr>
      <w:r w:rsidRPr="004E691C">
        <w:rPr>
          <w:rStyle w:val="Refdenotaalpie"/>
          <w:rFonts w:ascii="Arial" w:hAnsi="Arial" w:cs="Arial"/>
          <w:sz w:val="19"/>
          <w:szCs w:val="19"/>
        </w:rPr>
        <w:footnoteRef/>
      </w:r>
      <w:r w:rsidRPr="004E691C">
        <w:rPr>
          <w:rFonts w:ascii="Arial" w:hAnsi="Arial" w:cs="Arial"/>
          <w:sz w:val="19"/>
          <w:szCs w:val="19"/>
        </w:rPr>
        <w:t xml:space="preserve"> Consejo de Estado. Sección Tercera. Subsección C. Sentencia del 29 de abril de 2015. Exp. 31.620. Consejera Ponente: Olga Mélida Valle De De La Hoz (E)</w:t>
      </w:r>
    </w:p>
    <w:p w14:paraId="152A0EF1" w14:textId="77777777" w:rsidR="00647DFA" w:rsidRPr="004E691C" w:rsidRDefault="00647DFA" w:rsidP="00647DFA">
      <w:pPr>
        <w:pStyle w:val="Textonotapie"/>
        <w:ind w:firstLine="709"/>
        <w:jc w:val="both"/>
        <w:rPr>
          <w:rFonts w:ascii="Arial" w:hAnsi="Arial" w:cs="Arial"/>
          <w:sz w:val="19"/>
          <w:szCs w:val="19"/>
          <w:lang w:val="es-CO"/>
        </w:rPr>
      </w:pPr>
    </w:p>
  </w:footnote>
  <w:footnote w:id="3">
    <w:p w14:paraId="098C029B" w14:textId="77777777" w:rsidR="00647DFA" w:rsidRPr="004E691C" w:rsidRDefault="00647DFA" w:rsidP="00647DFA">
      <w:pPr>
        <w:pStyle w:val="Textonotapie"/>
        <w:ind w:firstLine="709"/>
        <w:jc w:val="both"/>
        <w:rPr>
          <w:rFonts w:ascii="Arial" w:hAnsi="Arial" w:cs="Arial"/>
          <w:sz w:val="19"/>
          <w:szCs w:val="19"/>
        </w:rPr>
      </w:pPr>
      <w:r w:rsidRPr="004E691C">
        <w:rPr>
          <w:rStyle w:val="Refdenotaalpie"/>
          <w:rFonts w:ascii="Arial" w:hAnsi="Arial" w:cs="Arial"/>
          <w:sz w:val="19"/>
          <w:szCs w:val="19"/>
        </w:rPr>
        <w:footnoteRef/>
      </w:r>
      <w:r w:rsidRPr="004E691C">
        <w:rPr>
          <w:rFonts w:ascii="Arial" w:hAnsi="Arial" w:cs="Arial"/>
          <w:sz w:val="19"/>
          <w:szCs w:val="19"/>
        </w:rPr>
        <w:t xml:space="preserve"> Ley 1474 de 2011: «A</w:t>
      </w:r>
      <w:r>
        <w:rPr>
          <w:rFonts w:ascii="Arial" w:hAnsi="Arial" w:cs="Arial"/>
          <w:sz w:val="19"/>
          <w:szCs w:val="19"/>
        </w:rPr>
        <w:t>rtículo</w:t>
      </w:r>
      <w:r w:rsidRPr="004E691C">
        <w:rPr>
          <w:rFonts w:ascii="Arial" w:hAnsi="Arial" w:cs="Arial"/>
          <w:sz w:val="19"/>
          <w:szCs w:val="19"/>
        </w:rPr>
        <w:t xml:space="preserve"> 91. A</w:t>
      </w:r>
      <w:r>
        <w:rPr>
          <w:rFonts w:ascii="Arial" w:hAnsi="Arial" w:cs="Arial"/>
          <w:sz w:val="19"/>
          <w:szCs w:val="19"/>
        </w:rPr>
        <w:t>nticipos</w:t>
      </w:r>
      <w:r w:rsidRPr="004E691C">
        <w:rPr>
          <w:rFonts w:ascii="Arial" w:hAnsi="Arial" w:cs="Arial"/>
          <w:sz w:val="19"/>
          <w:szCs w:val="19"/>
        </w:rPr>
        <w:t>. En los contratos de obra, concesión, salud, o los que se realicen por licitación pública,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p>
    <w:p w14:paraId="5B4C999F" w14:textId="77777777" w:rsidR="00647DFA" w:rsidRPr="004E691C" w:rsidRDefault="00647DFA" w:rsidP="00647DFA">
      <w:pPr>
        <w:pStyle w:val="Textonotapie"/>
        <w:ind w:firstLine="708"/>
        <w:jc w:val="both"/>
        <w:rPr>
          <w:rFonts w:ascii="Arial" w:hAnsi="Arial" w:cs="Arial"/>
          <w:sz w:val="19"/>
          <w:szCs w:val="19"/>
        </w:rPr>
      </w:pPr>
      <w:r w:rsidRPr="004E691C">
        <w:rPr>
          <w:rFonts w:ascii="Arial" w:hAnsi="Arial" w:cs="Arial"/>
          <w:sz w:val="19"/>
          <w:szCs w:val="19"/>
        </w:rPr>
        <w:t>»El costo de la comisión fiduciaria será cubierto directamente por el contratista. […]»</w:t>
      </w:r>
    </w:p>
    <w:p w14:paraId="24AE5423" w14:textId="77777777" w:rsidR="00647DFA" w:rsidRPr="004E691C" w:rsidRDefault="00647DFA" w:rsidP="00647DFA">
      <w:pPr>
        <w:pStyle w:val="Textonotapie"/>
        <w:jc w:val="both"/>
        <w:rPr>
          <w:rFonts w:ascii="Arial" w:hAnsi="Arial" w:cs="Arial"/>
          <w:sz w:val="19"/>
          <w:szCs w:val="19"/>
          <w:lang w:val="es-CO"/>
        </w:rPr>
      </w:pPr>
    </w:p>
  </w:footnote>
  <w:footnote w:id="4">
    <w:p w14:paraId="4EDE815B" w14:textId="77777777" w:rsidR="00647DFA" w:rsidRPr="004E691C" w:rsidRDefault="00647DFA" w:rsidP="00647DFA">
      <w:pPr>
        <w:pStyle w:val="Textonotapie"/>
        <w:ind w:firstLine="708"/>
        <w:jc w:val="both"/>
        <w:rPr>
          <w:rFonts w:ascii="Arial" w:hAnsi="Arial" w:cs="Arial"/>
          <w:sz w:val="19"/>
          <w:szCs w:val="19"/>
        </w:rPr>
      </w:pPr>
      <w:r w:rsidRPr="004E691C">
        <w:rPr>
          <w:rStyle w:val="Refdenotaalpie"/>
          <w:rFonts w:ascii="Arial" w:hAnsi="Arial" w:cs="Arial"/>
          <w:sz w:val="19"/>
          <w:szCs w:val="19"/>
        </w:rPr>
        <w:footnoteRef/>
      </w:r>
      <w:r w:rsidRPr="004E691C">
        <w:rPr>
          <w:rFonts w:ascii="Arial" w:hAnsi="Arial" w:cs="Arial"/>
          <w:sz w:val="19"/>
          <w:szCs w:val="19"/>
        </w:rPr>
        <w:t xml:space="preserve"> Decreto 1082 de 2015: «Artículo 2.2.1.2.3.1.7. Garantía de cumplimiento. La garantía de cumplimiento del contrato debe cubrir: </w:t>
      </w:r>
    </w:p>
    <w:p w14:paraId="49155434" w14:textId="77777777" w:rsidR="00647DFA" w:rsidRPr="004E691C" w:rsidRDefault="00647DFA" w:rsidP="00647DFA">
      <w:pPr>
        <w:pStyle w:val="Textonotapie"/>
        <w:ind w:firstLine="708"/>
        <w:jc w:val="both"/>
        <w:rPr>
          <w:rFonts w:ascii="Arial" w:hAnsi="Arial" w:cs="Arial"/>
          <w:sz w:val="19"/>
          <w:szCs w:val="19"/>
        </w:rPr>
      </w:pPr>
      <w:r w:rsidRPr="004E691C">
        <w:rPr>
          <w:rFonts w:ascii="Arial" w:hAnsi="Arial" w:cs="Arial"/>
          <w:sz w:val="19"/>
          <w:szCs w:val="19"/>
        </w:rPr>
        <w:t xml:space="preserve">»1. Buen manejo y correcta inversión del anticipo. Este amparo cubre los perjuicios sufridos por la Entidad Estatal con ocasión de: (i) la no inversión del anticipo; (ii) el uso indebido del anticipo; y (iii) la apropiación indebida de los recursos recibidos en calidad de anticipo. </w:t>
      </w:r>
    </w:p>
    <w:p w14:paraId="524C280E" w14:textId="77777777" w:rsidR="00647DFA" w:rsidRPr="004E691C" w:rsidRDefault="00647DFA" w:rsidP="00647DFA">
      <w:pPr>
        <w:pStyle w:val="Textonotapie"/>
        <w:ind w:firstLine="708"/>
        <w:jc w:val="both"/>
        <w:rPr>
          <w:rFonts w:ascii="Arial" w:hAnsi="Arial" w:cs="Arial"/>
          <w:sz w:val="19"/>
          <w:szCs w:val="19"/>
        </w:rPr>
      </w:pPr>
      <w:r w:rsidRPr="004E691C">
        <w:rPr>
          <w:rFonts w:ascii="Arial" w:hAnsi="Arial" w:cs="Arial"/>
          <w:sz w:val="19"/>
          <w:szCs w:val="19"/>
        </w:rPr>
        <w:t>»2. Devolución del pago anticipado. Este amparo cubre los perjuicios sufridos por la Entidad Estatal por la no devolución total o parcial del dinero entregado al contratista a título de pago anticipado, cuando a ello hubiere lugar […]»</w:t>
      </w:r>
      <w:r>
        <w:rPr>
          <w:rFonts w:ascii="Arial" w:hAnsi="Arial" w:cs="Arial"/>
          <w:sz w:val="19"/>
          <w:szCs w:val="19"/>
        </w:rPr>
        <w:t>.</w:t>
      </w:r>
    </w:p>
    <w:p w14:paraId="4EA980C5" w14:textId="77777777" w:rsidR="00647DFA" w:rsidRPr="004E691C" w:rsidRDefault="00647DFA" w:rsidP="00647DFA">
      <w:pPr>
        <w:pStyle w:val="Textonotapie"/>
        <w:ind w:firstLine="708"/>
        <w:jc w:val="both"/>
        <w:rPr>
          <w:rFonts w:ascii="Arial" w:hAnsi="Arial" w:cs="Arial"/>
          <w:sz w:val="19"/>
          <w:szCs w:val="19"/>
        </w:rPr>
      </w:pPr>
      <w:r w:rsidRPr="004E691C">
        <w:rPr>
          <w:rFonts w:ascii="Arial" w:hAnsi="Arial" w:cs="Arial"/>
          <w:sz w:val="19"/>
          <w:szCs w:val="19"/>
        </w:rPr>
        <w:t>«Artículo 2.2.1.2.3.1.10. Suficiencia de la garantía de buen manejo y correcta inversión del anticipo. La Garantía de buen manejo y correcta inversión del anticipo debe estar vigente hasta la liquidación del contrato o hasta la amortización del anticipo, de acuerdo con lo que determine la Entidad Estatal. El valor de esta garantía debe ser el ciento por ciento (100%) de la suma establecida como anticipo, ya sea este en dinero o en especie»</w:t>
      </w:r>
      <w:r>
        <w:rPr>
          <w:rFonts w:ascii="Arial" w:hAnsi="Arial" w:cs="Arial"/>
          <w:sz w:val="19"/>
          <w:szCs w:val="19"/>
        </w:rPr>
        <w:t>.</w:t>
      </w:r>
    </w:p>
    <w:p w14:paraId="57BDDDAE" w14:textId="77777777" w:rsidR="00647DFA" w:rsidRPr="004E691C" w:rsidRDefault="00647DFA" w:rsidP="00647DFA">
      <w:pPr>
        <w:pStyle w:val="Textonotapie"/>
        <w:ind w:firstLine="708"/>
        <w:jc w:val="both"/>
        <w:rPr>
          <w:rFonts w:ascii="Arial" w:hAnsi="Arial" w:cs="Arial"/>
          <w:sz w:val="19"/>
          <w:szCs w:val="19"/>
          <w:lang w:val="es-CO"/>
        </w:rPr>
      </w:pPr>
      <w:r w:rsidRPr="004E691C">
        <w:rPr>
          <w:rFonts w:ascii="Arial" w:hAnsi="Arial" w:cs="Arial"/>
          <w:sz w:val="19"/>
          <w:szCs w:val="19"/>
        </w:rPr>
        <w:t>«Artículo 2.2.1.2.3.1.11. Suficiencia de la garantía de pago anticipado. La garantía de pago anticipado debe estar vigente hasta la liquidación del contrato o hasta que la Entidad Estatal verifique el cumplimiento de todas las actividades o la entrega de todos los bienes o servicios asociados al pago anticipado, de acuerdo con lo que determine la Entidad Estatal. El valor de esta garantía debe ser el ciento por ciento (100%) del monto pagado de forma anticipada, ya sea este en dinero o en especie»</w:t>
      </w:r>
      <w:r>
        <w:rPr>
          <w:rFonts w:ascii="Arial" w:hAnsi="Arial" w:cs="Arial"/>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E4D6E" w14:textId="77777777" w:rsidR="005A79FE" w:rsidRDefault="00000000">
    <w:pPr>
      <w:pStyle w:val="Encabezado"/>
    </w:pPr>
  </w:p>
  <w:p w14:paraId="361D3A0C" w14:textId="77777777" w:rsidR="005A79FE" w:rsidRDefault="00000000">
    <w:pPr>
      <w:pStyle w:val="Encabezado"/>
    </w:pPr>
  </w:p>
  <w:p w14:paraId="1A48A3F8" w14:textId="77777777" w:rsidR="005A79FE" w:rsidRDefault="00000000">
    <w:pPr>
      <w:pStyle w:val="Encabezado"/>
    </w:pPr>
    <w:r>
      <w:rPr>
        <w:noProof/>
        <w:lang w:val="en-US"/>
      </w:rPr>
      <w:drawing>
        <wp:anchor distT="0" distB="0" distL="114300" distR="114300" simplePos="0" relativeHeight="251659264" behindDoc="1" locked="0" layoutInCell="1" allowOverlap="1" wp14:anchorId="717F0E04" wp14:editId="3249ADDC">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C7311D" w14:textId="77777777" w:rsidR="005A79FE" w:rsidRDefault="00000000">
    <w:pPr>
      <w:pStyle w:val="Encabezado"/>
    </w:pPr>
  </w:p>
  <w:p w14:paraId="47B42570" w14:textId="77777777" w:rsidR="005A79FE" w:rsidRDefault="00000000">
    <w:pPr>
      <w:pStyle w:val="Encabezado"/>
    </w:pPr>
  </w:p>
  <w:p w14:paraId="650D15EC" w14:textId="77777777" w:rsidR="007B0854" w:rsidRDefault="000000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83320"/>
    <w:multiLevelType w:val="multilevel"/>
    <w:tmpl w:val="FBB0305A"/>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695157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DFA"/>
    <w:rsid w:val="00023728"/>
    <w:rsid w:val="00147ACF"/>
    <w:rsid w:val="001E5D78"/>
    <w:rsid w:val="002437EB"/>
    <w:rsid w:val="00296C6C"/>
    <w:rsid w:val="003006A5"/>
    <w:rsid w:val="00346296"/>
    <w:rsid w:val="00354B55"/>
    <w:rsid w:val="0037557C"/>
    <w:rsid w:val="00562E70"/>
    <w:rsid w:val="00627EEC"/>
    <w:rsid w:val="00647DFA"/>
    <w:rsid w:val="00651A7A"/>
    <w:rsid w:val="008007C6"/>
    <w:rsid w:val="009633F9"/>
    <w:rsid w:val="009C2001"/>
    <w:rsid w:val="009C3B85"/>
    <w:rsid w:val="00CE04D9"/>
    <w:rsid w:val="00D3212C"/>
    <w:rsid w:val="00E01565"/>
    <w:rsid w:val="00ED2C50"/>
    <w:rsid w:val="00FE47B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00F5D"/>
  <w15:chartTrackingRefBased/>
  <w15:docId w15:val="{99DDD64F-EA48-884C-8643-AF0EF005A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DFA"/>
    <w:rPr>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647DFA"/>
    <w:pPr>
      <w:tabs>
        <w:tab w:val="center" w:pos="4419"/>
        <w:tab w:val="right" w:pos="8838"/>
      </w:tabs>
    </w:pPr>
  </w:style>
  <w:style w:type="character" w:customStyle="1" w:styleId="PiedepginaCar">
    <w:name w:val="Pie de página Car"/>
    <w:basedOn w:val="Fuentedeprrafopredeter"/>
    <w:link w:val="Piedepgina"/>
    <w:uiPriority w:val="99"/>
    <w:rsid w:val="00647DFA"/>
    <w:rPr>
      <w:szCs w:val="22"/>
      <w:lang w:val="es-MX"/>
    </w:rPr>
  </w:style>
  <w:style w:type="paragraph" w:styleId="Encabezado">
    <w:name w:val="header"/>
    <w:basedOn w:val="Normal"/>
    <w:link w:val="EncabezadoCar"/>
    <w:uiPriority w:val="99"/>
    <w:unhideWhenUsed/>
    <w:rsid w:val="00647DFA"/>
    <w:pPr>
      <w:tabs>
        <w:tab w:val="center" w:pos="4252"/>
        <w:tab w:val="right" w:pos="8504"/>
      </w:tabs>
    </w:pPr>
  </w:style>
  <w:style w:type="character" w:customStyle="1" w:styleId="EncabezadoCar">
    <w:name w:val="Encabezado Car"/>
    <w:basedOn w:val="Fuentedeprrafopredeter"/>
    <w:link w:val="Encabezado"/>
    <w:uiPriority w:val="99"/>
    <w:rsid w:val="00647DFA"/>
    <w:rPr>
      <w:szCs w:val="22"/>
      <w:lang w:val="es-MX"/>
    </w:rPr>
  </w:style>
  <w:style w:type="table" w:styleId="Tablaconcuadrcula">
    <w:name w:val="Table Grid"/>
    <w:basedOn w:val="Tablanormal"/>
    <w:uiPriority w:val="59"/>
    <w:qFormat/>
    <w:rsid w:val="00647DF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647DFA"/>
    <w:pPr>
      <w:ind w:left="720"/>
      <w:contextualSpacing/>
    </w:pPr>
  </w:style>
  <w:style w:type="paragraph" w:styleId="Sinespaciado">
    <w:name w:val="No Spacing"/>
    <w:uiPriority w:val="1"/>
    <w:qFormat/>
    <w:rsid w:val="00647DFA"/>
    <w:rPr>
      <w:szCs w:val="22"/>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semiHidden/>
    <w:locked/>
    <w:rsid w:val="00647DF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
    <w:basedOn w:val="Normal"/>
    <w:link w:val="TextonotapieCar"/>
    <w:uiPriority w:val="99"/>
    <w:semiHidden/>
    <w:unhideWhenUsed/>
    <w:qFormat/>
    <w:rsid w:val="00647DFA"/>
    <w:rPr>
      <w:sz w:val="20"/>
      <w:szCs w:val="20"/>
    </w:rPr>
  </w:style>
  <w:style w:type="character" w:customStyle="1" w:styleId="TextonotapieCar1">
    <w:name w:val="Texto nota pie Car1"/>
    <w:basedOn w:val="Fuentedeprrafopredeter"/>
    <w:uiPriority w:val="99"/>
    <w:semiHidden/>
    <w:rsid w:val="00647DFA"/>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47DFA"/>
    <w:rPr>
      <w:szCs w:val="22"/>
      <w:lang w:val="es-MX"/>
    </w:rPr>
  </w:style>
  <w:style w:type="character" w:styleId="Refdenotaalpie">
    <w:name w:val="footnote reference"/>
    <w:aliases w:val="Ref. de nota al pie 2,Ref,de nota al pie,FC,Appel note de bas de p,f,4_G,16 Point,Superscript 6 Point,Texto nota al pie,Pie de Página,Texto de nota al pi,Nota de pie"/>
    <w:basedOn w:val="Fuentedeprrafopredeter"/>
    <w:uiPriority w:val="99"/>
    <w:unhideWhenUsed/>
    <w:qFormat/>
    <w:rsid w:val="00647D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7A7423-8750-45DE-9A61-B70A63788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8BFA95-8CA7-4B5E-9D5B-81CC29CEFE4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B6F9BB0-6DDC-4391-92B3-93C9A6A6AE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2362</Words>
  <Characters>12994</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Carlos Covilla Martínez</dc:creator>
  <cp:keywords/>
  <dc:description/>
  <cp:lastModifiedBy>Ana Maria Velez Arteaga</cp:lastModifiedBy>
  <cp:revision>7</cp:revision>
  <dcterms:created xsi:type="dcterms:W3CDTF">2023-02-17T18:48:00Z</dcterms:created>
  <dcterms:modified xsi:type="dcterms:W3CDTF">2023-02-17T18:56:00Z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