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1EA41" w14:textId="77777777" w:rsidR="00BB1804" w:rsidRPr="00E11B40" w:rsidRDefault="00BB1804" w:rsidP="00BB1804">
      <w:pPr>
        <w:spacing w:after="0" w:line="240" w:lineRule="auto"/>
        <w:contextualSpacing/>
        <w:jc w:val="both"/>
        <w:rPr>
          <w:rFonts w:ascii="Arial" w:eastAsia="Calibri" w:hAnsi="Arial" w:cs="Arial"/>
          <w:b/>
          <w:bCs/>
          <w:lang w:eastAsia="es-MX"/>
        </w:rPr>
      </w:pPr>
      <w:r w:rsidRPr="00E11B40">
        <w:rPr>
          <w:rFonts w:ascii="Arial" w:eastAsia="Calibri" w:hAnsi="Arial" w:cs="Arial"/>
          <w:b/>
          <w:bCs/>
          <w:lang w:eastAsia="es-MX"/>
        </w:rPr>
        <w:t>DOCUMENTOS TIPO – Fundamento jurídico – Aplicación</w:t>
      </w:r>
    </w:p>
    <w:p w14:paraId="38A488E5" w14:textId="77777777" w:rsidR="00BB1804" w:rsidRPr="00E11B40" w:rsidRDefault="00BB1804" w:rsidP="00BB1804">
      <w:pPr>
        <w:spacing w:after="0" w:line="240" w:lineRule="auto"/>
        <w:contextualSpacing/>
        <w:jc w:val="both"/>
        <w:rPr>
          <w:rFonts w:ascii="Arial" w:eastAsia="Times New Roman" w:hAnsi="Arial" w:cs="Arial"/>
          <w:sz w:val="24"/>
          <w:szCs w:val="24"/>
          <w:lang w:val="es-ES_tradnl" w:eastAsia="es-ES"/>
        </w:rPr>
      </w:pPr>
    </w:p>
    <w:p w14:paraId="17968851" w14:textId="77777777" w:rsidR="003E090D" w:rsidRPr="003E090D" w:rsidRDefault="003E090D" w:rsidP="003E090D">
      <w:pPr>
        <w:spacing w:after="0" w:line="240" w:lineRule="auto"/>
        <w:contextualSpacing/>
        <w:jc w:val="both"/>
        <w:rPr>
          <w:rFonts w:ascii="Arial" w:eastAsia="Times New Roman" w:hAnsi="Arial" w:cs="Arial"/>
          <w:sz w:val="20"/>
          <w:szCs w:val="20"/>
          <w:lang w:val="es-ES" w:eastAsia="es-MX"/>
        </w:rPr>
      </w:pPr>
      <w:r w:rsidRPr="003E090D">
        <w:rPr>
          <w:rFonts w:ascii="Arial" w:eastAsia="Times New Roman" w:hAnsi="Arial" w:cs="Arial"/>
          <w:sz w:val="20"/>
          <w:szCs w:val="20"/>
          <w:lang w:val="es-ES" w:eastAsia="es-MX"/>
        </w:rPr>
        <w:t xml:space="preserve">De la norma descrita se concluía lo siguiente: i) la adopción de los documentos tipo estaba en cabeza del gobierno nacional; </w:t>
      </w:r>
      <w:proofErr w:type="spellStart"/>
      <w:r w:rsidRPr="003E090D">
        <w:rPr>
          <w:rFonts w:ascii="Arial" w:eastAsia="Times New Roman" w:hAnsi="Arial" w:cs="Arial"/>
          <w:sz w:val="20"/>
          <w:szCs w:val="20"/>
          <w:lang w:val="es-ES" w:eastAsia="es-MX"/>
        </w:rPr>
        <w:t>ii</w:t>
      </w:r>
      <w:proofErr w:type="spellEnd"/>
      <w:r w:rsidRPr="003E090D">
        <w:rPr>
          <w:rFonts w:ascii="Arial" w:eastAsia="Times New Roman" w:hAnsi="Arial" w:cs="Arial"/>
          <w:sz w:val="20"/>
          <w:szCs w:val="20"/>
          <w:lang w:val="es-ES" w:eastAsia="es-MX"/>
        </w:rPr>
        <w:t xml:space="preserve">) estos debían relacionarse con procesos de obra públicas, interventoría para las obras públicas, interventoría para consultoría de estudios y diseños y, finalmente, consultoría en ingeniería para obras; </w:t>
      </w:r>
      <w:proofErr w:type="spellStart"/>
      <w:r w:rsidRPr="003E090D">
        <w:rPr>
          <w:rFonts w:ascii="Arial" w:eastAsia="Times New Roman" w:hAnsi="Arial" w:cs="Arial"/>
          <w:sz w:val="20"/>
          <w:szCs w:val="20"/>
          <w:lang w:val="es-ES" w:eastAsia="es-MX"/>
        </w:rPr>
        <w:t>iii</w:t>
      </w:r>
      <w:proofErr w:type="spellEnd"/>
      <w:r w:rsidRPr="003E090D">
        <w:rPr>
          <w:rFonts w:ascii="Arial" w:eastAsia="Times New Roman" w:hAnsi="Arial" w:cs="Arial"/>
          <w:sz w:val="20"/>
          <w:szCs w:val="20"/>
          <w:lang w:val="es-ES" w:eastAsia="es-MX"/>
        </w:rPr>
        <w:t xml:space="preserve">) eran de obligatorio cumplimiento por parte de todas las entidades sometidas al Estatuto General de Contratación de la Administración Pública; </w:t>
      </w:r>
      <w:proofErr w:type="spellStart"/>
      <w:r w:rsidRPr="003E090D">
        <w:rPr>
          <w:rFonts w:ascii="Arial" w:eastAsia="Times New Roman" w:hAnsi="Arial" w:cs="Arial"/>
          <w:sz w:val="20"/>
          <w:szCs w:val="20"/>
          <w:lang w:val="es-ES" w:eastAsia="es-MX"/>
        </w:rPr>
        <w:t>iv</w:t>
      </w:r>
      <w:proofErr w:type="spellEnd"/>
      <w:r w:rsidRPr="003E090D">
        <w:rPr>
          <w:rFonts w:ascii="Arial" w:eastAsia="Times New Roman" w:hAnsi="Arial" w:cs="Arial"/>
          <w:sz w:val="20"/>
          <w:szCs w:val="20"/>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 </w:t>
      </w:r>
    </w:p>
    <w:p w14:paraId="2305E7A0" w14:textId="77777777" w:rsidR="003E090D" w:rsidRDefault="003E090D" w:rsidP="003E090D">
      <w:pPr>
        <w:spacing w:after="0" w:line="240" w:lineRule="auto"/>
        <w:contextualSpacing/>
        <w:jc w:val="both"/>
        <w:rPr>
          <w:rFonts w:ascii="Arial" w:eastAsia="Times New Roman" w:hAnsi="Arial" w:cs="Arial"/>
          <w:sz w:val="20"/>
          <w:szCs w:val="20"/>
          <w:lang w:val="es-ES" w:eastAsia="es-MX"/>
        </w:rPr>
      </w:pPr>
    </w:p>
    <w:p w14:paraId="631E431D" w14:textId="3493AE7B" w:rsidR="00BB1804" w:rsidRPr="00E11B40" w:rsidRDefault="003E090D" w:rsidP="003E090D">
      <w:pPr>
        <w:spacing w:after="0" w:line="240" w:lineRule="auto"/>
        <w:contextualSpacing/>
        <w:jc w:val="both"/>
        <w:rPr>
          <w:rFonts w:ascii="Arial" w:eastAsia="Times New Roman" w:hAnsi="Arial" w:cs="Arial"/>
          <w:sz w:val="20"/>
          <w:szCs w:val="20"/>
          <w:lang w:val="es-ES" w:eastAsia="es-MX"/>
        </w:rPr>
      </w:pPr>
      <w:r w:rsidRPr="003E090D">
        <w:rPr>
          <w:rFonts w:ascii="Arial" w:eastAsia="Times New Roman" w:hAnsi="Arial" w:cs="Arial"/>
          <w:sz w:val="20"/>
          <w:szCs w:val="20"/>
          <w:lang w:val="es-ES" w:eastAsia="es-MX"/>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14:paraId="72E2423A" w14:textId="77777777" w:rsidR="00734BD3" w:rsidRPr="0044175B" w:rsidRDefault="00734BD3" w:rsidP="00734BD3">
      <w:pPr>
        <w:spacing w:after="0" w:line="240" w:lineRule="auto"/>
        <w:jc w:val="both"/>
        <w:rPr>
          <w:rFonts w:ascii="Arial" w:eastAsia="Calibri" w:hAnsi="Arial" w:cs="Arial"/>
          <w:b/>
          <w:sz w:val="28"/>
          <w:szCs w:val="28"/>
          <w:lang w:val="es-ES_tradnl" w:eastAsia="es-ES_tradnl"/>
        </w:rPr>
      </w:pPr>
    </w:p>
    <w:p w14:paraId="01F5104C" w14:textId="0655515A" w:rsidR="005A754A" w:rsidRPr="00E11B40" w:rsidRDefault="00B7782D" w:rsidP="00734BD3">
      <w:pPr>
        <w:spacing w:after="0" w:line="240" w:lineRule="auto"/>
        <w:jc w:val="both"/>
        <w:rPr>
          <w:rFonts w:ascii="Arial" w:eastAsia="Calibri" w:hAnsi="Arial" w:cs="Arial"/>
          <w:b/>
          <w:color w:val="000000"/>
          <w:lang w:val="es-ES" w:eastAsia="es-ES"/>
        </w:rPr>
      </w:pPr>
      <w:r w:rsidRPr="0044175B">
        <w:rPr>
          <w:rFonts w:ascii="Arial" w:eastAsia="Calibri" w:hAnsi="Arial" w:cs="Arial"/>
          <w:b/>
          <w:sz w:val="24"/>
          <w:szCs w:val="24"/>
          <w:lang w:val="es-ES_tradnl" w:eastAsia="es-ES_tradnl"/>
        </w:rPr>
        <w:t>REQUISITOS DE LA PROPUESTA</w:t>
      </w:r>
      <w:r w:rsidR="005172DE" w:rsidRPr="0044175B">
        <w:rPr>
          <w:sz w:val="24"/>
          <w:szCs w:val="24"/>
        </w:rPr>
        <w:t xml:space="preserve"> </w:t>
      </w:r>
      <w:r w:rsidR="005172DE" w:rsidRPr="005172DE">
        <w:rPr>
          <w:rFonts w:ascii="Arial" w:eastAsia="Calibri" w:hAnsi="Arial" w:cs="Arial"/>
          <w:b/>
          <w:lang w:val="es-ES_tradnl" w:eastAsia="es-ES_tradnl"/>
        </w:rPr>
        <w:t>–</w:t>
      </w:r>
      <w:r w:rsidRPr="00E11B40">
        <w:rPr>
          <w:rFonts w:ascii="Arial" w:eastAsia="Calibri" w:hAnsi="Arial" w:cs="Arial"/>
          <w:b/>
          <w:lang w:val="es-ES_tradnl" w:eastAsia="es-ES_tradnl"/>
        </w:rPr>
        <w:t xml:space="preserve"> Requisitos formales – No generan rechazo</w:t>
      </w:r>
    </w:p>
    <w:p w14:paraId="61BDB4BD" w14:textId="77777777" w:rsidR="00734BD3" w:rsidRPr="00E11B40" w:rsidRDefault="00734BD3" w:rsidP="00734BD3">
      <w:pPr>
        <w:spacing w:after="0" w:line="240" w:lineRule="auto"/>
        <w:jc w:val="both"/>
        <w:rPr>
          <w:rFonts w:ascii="Arial" w:eastAsia="Calibri" w:hAnsi="Arial" w:cs="Arial"/>
          <w:b/>
          <w:bCs/>
          <w:color w:val="000000"/>
          <w:sz w:val="24"/>
          <w:szCs w:val="24"/>
          <w:lang w:val="es-ES_tradnl" w:eastAsia="es-ES_tradnl"/>
        </w:rPr>
      </w:pPr>
    </w:p>
    <w:p w14:paraId="5EBCB45B" w14:textId="154810B9" w:rsidR="00B7782D" w:rsidRPr="003E090D" w:rsidRDefault="003E090D" w:rsidP="003E090D">
      <w:pPr>
        <w:spacing w:after="0" w:line="240" w:lineRule="auto"/>
        <w:contextualSpacing/>
        <w:jc w:val="both"/>
        <w:rPr>
          <w:rFonts w:ascii="Arial" w:eastAsia="Times New Roman" w:hAnsi="Arial" w:cs="Arial"/>
          <w:sz w:val="20"/>
          <w:szCs w:val="20"/>
          <w:lang w:val="es-ES" w:eastAsia="es-MX"/>
        </w:rPr>
      </w:pPr>
      <w:r w:rsidRPr="003E090D">
        <w:rPr>
          <w:rFonts w:ascii="Arial" w:eastAsia="Times New Roman" w:hAnsi="Arial" w:cs="Arial"/>
          <w:sz w:val="20"/>
          <w:szCs w:val="20"/>
          <w:lang w:val="es-ES" w:eastAsia="es-MX"/>
        </w:rPr>
        <w:t>Ahora bien, respecto de la presentación de la oferta esta Agencia ha señalado que los requisitos exigidos a los proponentes pueden ser entendidos en tres clases: subjetivos, que atienden a las calidades, capacidades, idoneidad y condiciones de los oferentes; objetivos que se refieren a aspectos técnicos, económicos, presupuestales, etc., que permiten ponderar las ofertas en su real y efectiva dimensión, y formales que atienden a la instrumentalización y protocolización de los actos jurídicos, tanto de la propuesta como del contrato estatal. En ese sentido, la exigencia de identificación de la dependencia ante la cual debe ser radicada la oferta se considera como un requisito formal.</w:t>
      </w:r>
    </w:p>
    <w:p w14:paraId="7CEE54C4" w14:textId="5E36DA0A" w:rsidR="00FD4820" w:rsidRPr="00E11B40" w:rsidRDefault="00FD4820" w:rsidP="00734BD3">
      <w:pPr>
        <w:spacing w:after="0" w:line="240" w:lineRule="auto"/>
        <w:rPr>
          <w:rFonts w:ascii="Arial" w:eastAsia="Calibri" w:hAnsi="Arial" w:cs="Arial"/>
          <w:color w:val="000000"/>
          <w:sz w:val="24"/>
          <w:szCs w:val="24"/>
          <w:lang w:val="es-ES_tradnl"/>
        </w:rPr>
      </w:pPr>
    </w:p>
    <w:p w14:paraId="79578EC4" w14:textId="2F0CECF1" w:rsidR="00FD4820" w:rsidRPr="00E11B40" w:rsidRDefault="00FD4820" w:rsidP="00734BD3">
      <w:pPr>
        <w:spacing w:after="0" w:line="240" w:lineRule="auto"/>
        <w:rPr>
          <w:rFonts w:ascii="Arial" w:eastAsia="Calibri" w:hAnsi="Arial" w:cs="Arial"/>
          <w:color w:val="000000"/>
          <w:sz w:val="24"/>
          <w:szCs w:val="24"/>
          <w:lang w:val="es-ES_tradnl"/>
        </w:rPr>
      </w:pPr>
    </w:p>
    <w:p w14:paraId="1DEA9738" w14:textId="4BB805A0" w:rsidR="00FD4820" w:rsidRPr="00E11B40" w:rsidRDefault="00FD4820" w:rsidP="00734BD3">
      <w:pPr>
        <w:spacing w:after="0" w:line="240" w:lineRule="auto"/>
        <w:rPr>
          <w:rFonts w:ascii="Arial" w:eastAsia="Calibri" w:hAnsi="Arial" w:cs="Arial"/>
          <w:color w:val="000000"/>
          <w:sz w:val="24"/>
          <w:szCs w:val="24"/>
          <w:lang w:val="es-ES_tradnl"/>
        </w:rPr>
      </w:pPr>
    </w:p>
    <w:p w14:paraId="6DBCB37F" w14:textId="7B3F104F" w:rsidR="00FD4820" w:rsidRPr="00E11B40" w:rsidRDefault="00FD4820" w:rsidP="00734BD3">
      <w:pPr>
        <w:spacing w:after="0" w:line="240" w:lineRule="auto"/>
        <w:rPr>
          <w:rFonts w:ascii="Arial" w:eastAsia="Calibri" w:hAnsi="Arial" w:cs="Arial"/>
          <w:color w:val="000000"/>
          <w:sz w:val="24"/>
          <w:szCs w:val="24"/>
          <w:lang w:val="es-ES_tradnl"/>
        </w:rPr>
      </w:pPr>
    </w:p>
    <w:p w14:paraId="3D61AC99" w14:textId="672733D5" w:rsidR="00FD4820" w:rsidRPr="00E11B40" w:rsidRDefault="00FD4820" w:rsidP="00734BD3">
      <w:pPr>
        <w:spacing w:after="0" w:line="240" w:lineRule="auto"/>
        <w:rPr>
          <w:rFonts w:ascii="Arial" w:eastAsia="Calibri" w:hAnsi="Arial" w:cs="Arial"/>
          <w:color w:val="000000"/>
          <w:sz w:val="24"/>
          <w:szCs w:val="24"/>
          <w:lang w:val="es-ES_tradnl"/>
        </w:rPr>
      </w:pPr>
    </w:p>
    <w:p w14:paraId="65FC72CE" w14:textId="20CD2F6A" w:rsidR="00FD4820" w:rsidRPr="00E11B40" w:rsidRDefault="00FD4820" w:rsidP="00734BD3">
      <w:pPr>
        <w:spacing w:after="0" w:line="240" w:lineRule="auto"/>
        <w:rPr>
          <w:rFonts w:ascii="Arial" w:eastAsia="Calibri" w:hAnsi="Arial" w:cs="Arial"/>
          <w:color w:val="000000"/>
          <w:sz w:val="24"/>
          <w:szCs w:val="24"/>
          <w:lang w:val="es-ES_tradnl"/>
        </w:rPr>
      </w:pPr>
    </w:p>
    <w:p w14:paraId="7AA0C288" w14:textId="0453D11F" w:rsidR="00FD4820" w:rsidRPr="00E11B40" w:rsidRDefault="00FD4820" w:rsidP="00734BD3">
      <w:pPr>
        <w:spacing w:after="0" w:line="240" w:lineRule="auto"/>
        <w:rPr>
          <w:rFonts w:ascii="Arial" w:eastAsia="Calibri" w:hAnsi="Arial" w:cs="Arial"/>
          <w:color w:val="000000"/>
          <w:sz w:val="24"/>
          <w:szCs w:val="24"/>
          <w:lang w:val="es-ES_tradnl"/>
        </w:rPr>
      </w:pPr>
    </w:p>
    <w:p w14:paraId="1E8A5387" w14:textId="3BB31D89" w:rsidR="00FD4820" w:rsidRPr="00E11B40" w:rsidRDefault="00FD4820" w:rsidP="00734BD3">
      <w:pPr>
        <w:spacing w:after="0" w:line="240" w:lineRule="auto"/>
        <w:rPr>
          <w:rFonts w:ascii="Arial" w:eastAsia="Calibri" w:hAnsi="Arial" w:cs="Arial"/>
          <w:color w:val="000000"/>
          <w:sz w:val="24"/>
          <w:szCs w:val="24"/>
          <w:lang w:val="es-ES_tradnl"/>
        </w:rPr>
      </w:pPr>
    </w:p>
    <w:p w14:paraId="6180F326" w14:textId="2AFCE59A" w:rsidR="00FD4820" w:rsidRPr="00E11B40" w:rsidRDefault="00FD4820" w:rsidP="00734BD3">
      <w:pPr>
        <w:spacing w:after="0" w:line="240" w:lineRule="auto"/>
        <w:rPr>
          <w:rFonts w:ascii="Arial" w:eastAsia="Calibri" w:hAnsi="Arial" w:cs="Arial"/>
          <w:color w:val="000000"/>
          <w:sz w:val="24"/>
          <w:szCs w:val="24"/>
          <w:lang w:val="es-ES_tradnl"/>
        </w:rPr>
      </w:pPr>
    </w:p>
    <w:p w14:paraId="430114E5" w14:textId="58FF1418" w:rsidR="00FD4820" w:rsidRPr="00E11B40" w:rsidRDefault="00FD4820" w:rsidP="00734BD3">
      <w:pPr>
        <w:spacing w:after="0" w:line="240" w:lineRule="auto"/>
        <w:rPr>
          <w:rFonts w:ascii="Arial" w:eastAsia="Calibri" w:hAnsi="Arial" w:cs="Arial"/>
          <w:color w:val="000000"/>
          <w:sz w:val="24"/>
          <w:szCs w:val="24"/>
          <w:lang w:val="es-ES_tradnl"/>
        </w:rPr>
      </w:pPr>
    </w:p>
    <w:p w14:paraId="4CB2BFD9" w14:textId="77777777" w:rsidR="00B7782D" w:rsidRPr="00E11B40" w:rsidRDefault="00B7782D" w:rsidP="00734BD3">
      <w:pPr>
        <w:spacing w:after="0" w:line="240" w:lineRule="auto"/>
        <w:rPr>
          <w:rFonts w:ascii="Arial" w:eastAsia="Calibri" w:hAnsi="Arial" w:cs="Arial"/>
          <w:color w:val="000000"/>
          <w:sz w:val="24"/>
          <w:szCs w:val="24"/>
          <w:lang w:val="es-ES_tradnl"/>
        </w:rPr>
      </w:pPr>
    </w:p>
    <w:p w14:paraId="4E18841F" w14:textId="1D9182C3" w:rsidR="00FD4820" w:rsidRPr="00E11B40" w:rsidRDefault="00FD4820" w:rsidP="00734BD3">
      <w:pPr>
        <w:spacing w:after="0" w:line="240" w:lineRule="auto"/>
        <w:rPr>
          <w:rFonts w:ascii="Arial" w:eastAsia="Calibri" w:hAnsi="Arial" w:cs="Arial"/>
          <w:color w:val="000000"/>
          <w:sz w:val="24"/>
          <w:szCs w:val="24"/>
          <w:lang w:val="es-ES_tradnl"/>
        </w:rPr>
      </w:pPr>
    </w:p>
    <w:p w14:paraId="72524316" w14:textId="58E4916F" w:rsidR="00FD4820" w:rsidRPr="00E11B40" w:rsidRDefault="00FD4820" w:rsidP="00734BD3">
      <w:pPr>
        <w:spacing w:after="0" w:line="240" w:lineRule="auto"/>
        <w:rPr>
          <w:rFonts w:ascii="Arial" w:eastAsia="Calibri" w:hAnsi="Arial" w:cs="Arial"/>
          <w:color w:val="000000"/>
          <w:sz w:val="24"/>
          <w:szCs w:val="24"/>
          <w:lang w:val="es-ES_tradnl"/>
        </w:rPr>
      </w:pPr>
    </w:p>
    <w:p w14:paraId="53AC45A3" w14:textId="12F850CA" w:rsidR="00FD4820" w:rsidRPr="00E11B40" w:rsidRDefault="00FD4820" w:rsidP="00734BD3">
      <w:pPr>
        <w:spacing w:after="0" w:line="240" w:lineRule="auto"/>
        <w:rPr>
          <w:rFonts w:ascii="Arial" w:eastAsia="Calibri" w:hAnsi="Arial" w:cs="Arial"/>
          <w:color w:val="000000"/>
          <w:sz w:val="24"/>
          <w:szCs w:val="24"/>
          <w:lang w:val="es-ES_tradnl"/>
        </w:rPr>
      </w:pPr>
    </w:p>
    <w:p w14:paraId="5B400F4D" w14:textId="4397E679" w:rsidR="00FD4820" w:rsidRPr="00E11B40" w:rsidRDefault="00FD4820" w:rsidP="00734BD3">
      <w:pPr>
        <w:spacing w:after="0" w:line="240" w:lineRule="auto"/>
        <w:rPr>
          <w:rFonts w:ascii="Arial" w:eastAsia="Calibri" w:hAnsi="Arial" w:cs="Arial"/>
          <w:color w:val="000000"/>
          <w:sz w:val="24"/>
          <w:szCs w:val="24"/>
          <w:lang w:val="es-ES_tradnl"/>
        </w:rPr>
      </w:pPr>
    </w:p>
    <w:p w14:paraId="5B823B9B" w14:textId="42349B8C" w:rsidR="00190F43" w:rsidRPr="00E11B40" w:rsidRDefault="00734BD3" w:rsidP="009444D6">
      <w:pPr>
        <w:spacing w:after="0" w:line="240" w:lineRule="auto"/>
        <w:jc w:val="right"/>
        <w:rPr>
          <w:rFonts w:ascii="Arial" w:eastAsia="Times New Roman" w:hAnsi="Arial" w:cs="Arial"/>
          <w:sz w:val="24"/>
          <w:szCs w:val="24"/>
          <w:lang w:eastAsia="es-MX"/>
        </w:rPr>
      </w:pPr>
      <w:r w:rsidRPr="00E11B40">
        <w:rPr>
          <w:rFonts w:ascii="Arial" w:eastAsia="Times New Roman" w:hAnsi="Arial" w:cs="Arial"/>
          <w:sz w:val="24"/>
          <w:szCs w:val="24"/>
          <w:lang w:eastAsia="es-MX"/>
        </w:rPr>
        <w:fldChar w:fldCharType="begin"/>
      </w:r>
      <w:r w:rsidR="00887635" w:rsidRPr="00E11B40">
        <w:rPr>
          <w:rFonts w:ascii="Arial" w:eastAsia="Times New Roman" w:hAnsi="Arial" w:cs="Arial"/>
          <w:sz w:val="24"/>
          <w:szCs w:val="24"/>
          <w:lang w:eastAsia="es-MX"/>
        </w:rPr>
        <w:instrText xml:space="preserve"> INCLUDEPICTURE "C:\\var\\folders\\tb\\0fmk9b510f57pz5rwhv8lnpw0000gp\\T\\com.microsoft.Word\\WebArchiveCopyPasteTempFiles\\page1image10852448" \* MERGEFORMAT </w:instrText>
      </w:r>
      <w:r w:rsidR="00000000">
        <w:rPr>
          <w:rFonts w:ascii="Arial" w:eastAsia="Times New Roman" w:hAnsi="Arial" w:cs="Arial"/>
          <w:sz w:val="24"/>
          <w:szCs w:val="24"/>
          <w:lang w:eastAsia="es-MX"/>
        </w:rPr>
        <w:fldChar w:fldCharType="separate"/>
      </w:r>
      <w:r w:rsidRPr="00E11B40">
        <w:rPr>
          <w:rFonts w:ascii="Arial" w:eastAsia="Times New Roman" w:hAnsi="Arial" w:cs="Arial"/>
          <w:sz w:val="24"/>
          <w:szCs w:val="24"/>
          <w:lang w:eastAsia="es-MX"/>
        </w:rPr>
        <w:fldChar w:fldCharType="end"/>
      </w:r>
    </w:p>
    <w:p w14:paraId="5A8CC3D5" w14:textId="77777777" w:rsidR="000673DA" w:rsidRPr="00E11B40" w:rsidRDefault="000673DA">
      <w:pPr>
        <w:spacing w:after="0" w:line="240" w:lineRule="auto"/>
        <w:rPr>
          <w:rFonts w:ascii="Arial" w:eastAsia="Calibri" w:hAnsi="Arial" w:cs="Arial"/>
          <w:color w:val="000000"/>
          <w:sz w:val="24"/>
          <w:szCs w:val="24"/>
          <w:lang w:val="es-ES_tradnl"/>
        </w:rPr>
      </w:pPr>
      <w:r w:rsidRPr="00E11B40">
        <w:rPr>
          <w:rFonts w:ascii="Arial" w:eastAsia="Calibri" w:hAnsi="Arial" w:cs="Arial"/>
          <w:color w:val="000000"/>
          <w:sz w:val="24"/>
          <w:szCs w:val="24"/>
          <w:lang w:val="es-ES_tradnl"/>
        </w:rPr>
        <w:br w:type="page"/>
      </w:r>
    </w:p>
    <w:p w14:paraId="1DADE7D3" w14:textId="5244E4D4" w:rsidR="000673DA" w:rsidRPr="00E11B40" w:rsidRDefault="000673DA" w:rsidP="00E11B40">
      <w:pPr>
        <w:spacing w:after="0" w:line="240" w:lineRule="auto"/>
        <w:contextualSpacing/>
        <w:rPr>
          <w:rFonts w:ascii="Arial" w:eastAsia="Calibri" w:hAnsi="Arial" w:cs="Arial"/>
          <w:color w:val="000000"/>
          <w:lang w:val="es-ES_tradnl"/>
        </w:rPr>
      </w:pPr>
      <w:r w:rsidRPr="00E11B40">
        <w:rPr>
          <w:rFonts w:ascii="Arial" w:eastAsia="Calibri" w:hAnsi="Arial" w:cs="Arial"/>
          <w:color w:val="000000"/>
          <w:lang w:val="es-ES_tradnl"/>
        </w:rPr>
        <w:lastRenderedPageBreak/>
        <w:t>Bogotá D.C., 30 de noviembre de 2022</w:t>
      </w:r>
    </w:p>
    <w:p w14:paraId="333C9E78" w14:textId="77777777" w:rsidR="000673DA" w:rsidRPr="00E11B40" w:rsidRDefault="000673DA" w:rsidP="00E11B40">
      <w:pPr>
        <w:spacing w:after="0" w:line="240" w:lineRule="auto"/>
        <w:contextualSpacing/>
        <w:rPr>
          <w:rFonts w:ascii="Arial" w:eastAsia="Calibri" w:hAnsi="Arial" w:cs="Arial"/>
          <w:color w:val="000000"/>
          <w:lang w:val="es-ES_tradnl"/>
        </w:rPr>
      </w:pPr>
    </w:p>
    <w:p w14:paraId="3D35B073" w14:textId="77777777" w:rsidR="000673DA" w:rsidRPr="00E11B40" w:rsidRDefault="000673DA" w:rsidP="00E11B40">
      <w:pPr>
        <w:spacing w:after="0" w:line="240" w:lineRule="auto"/>
        <w:contextualSpacing/>
        <w:rPr>
          <w:rFonts w:ascii="Arial" w:eastAsia="Calibri" w:hAnsi="Arial" w:cs="Arial"/>
          <w:color w:val="000000"/>
          <w:lang w:val="es-ES_tradnl"/>
        </w:rPr>
      </w:pPr>
    </w:p>
    <w:p w14:paraId="1FE7A0F3" w14:textId="446FADB0" w:rsidR="000673DA" w:rsidRPr="00E11B40" w:rsidRDefault="00604706" w:rsidP="00604706">
      <w:pPr>
        <w:spacing w:after="0" w:line="240" w:lineRule="auto"/>
        <w:contextualSpacing/>
        <w:jc w:val="right"/>
        <w:rPr>
          <w:rFonts w:ascii="Arial" w:eastAsia="Calibri" w:hAnsi="Arial" w:cs="Arial"/>
          <w:color w:val="000000"/>
          <w:lang w:val="es-ES_tradnl"/>
        </w:rPr>
      </w:pPr>
      <w:r w:rsidRPr="00604706">
        <w:rPr>
          <w:rFonts w:ascii="Arial" w:eastAsia="Calibri" w:hAnsi="Arial" w:cs="Arial"/>
          <w:noProof/>
          <w:color w:val="000000"/>
          <w:lang w:val="es-ES_tradnl"/>
        </w:rPr>
        <w:drawing>
          <wp:inline distT="0" distB="0" distL="0" distR="0" wp14:anchorId="0B671BFF" wp14:editId="531EB4FC">
            <wp:extent cx="2457793" cy="666843"/>
            <wp:effectExtent l="0" t="0" r="0" b="0"/>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pic:nvPicPr>
                  <pic:blipFill>
                    <a:blip r:embed="rId11"/>
                    <a:stretch>
                      <a:fillRect/>
                    </a:stretch>
                  </pic:blipFill>
                  <pic:spPr>
                    <a:xfrm>
                      <a:off x="0" y="0"/>
                      <a:ext cx="2457793" cy="666843"/>
                    </a:xfrm>
                    <a:prstGeom prst="rect">
                      <a:avLst/>
                    </a:prstGeom>
                  </pic:spPr>
                </pic:pic>
              </a:graphicData>
            </a:graphic>
          </wp:inline>
        </w:drawing>
      </w:r>
    </w:p>
    <w:p w14:paraId="05AA71FE" w14:textId="77777777" w:rsidR="000673DA" w:rsidRPr="00E11B40" w:rsidRDefault="000673DA" w:rsidP="00E11B40">
      <w:pPr>
        <w:spacing w:after="0" w:line="240" w:lineRule="auto"/>
        <w:contextualSpacing/>
        <w:rPr>
          <w:rFonts w:ascii="Arial" w:eastAsia="Calibri" w:hAnsi="Arial" w:cs="Arial"/>
          <w:color w:val="000000"/>
          <w:lang w:val="es-ES_tradnl"/>
        </w:rPr>
      </w:pPr>
    </w:p>
    <w:p w14:paraId="7528C610" w14:textId="77777777" w:rsidR="000673DA" w:rsidRPr="00E11B40" w:rsidRDefault="000673DA" w:rsidP="00E11B40">
      <w:pPr>
        <w:spacing w:after="0" w:line="240" w:lineRule="auto"/>
        <w:contextualSpacing/>
        <w:rPr>
          <w:rFonts w:ascii="Arial" w:eastAsia="Calibri" w:hAnsi="Arial" w:cs="Arial"/>
          <w:color w:val="000000"/>
          <w:lang w:val="es-ES_tradnl"/>
        </w:rPr>
      </w:pPr>
    </w:p>
    <w:p w14:paraId="23A1ABE7" w14:textId="48C97F63" w:rsidR="00734BD3" w:rsidRPr="00E11B40" w:rsidRDefault="00734BD3" w:rsidP="00E11B40">
      <w:pPr>
        <w:spacing w:after="0" w:line="240" w:lineRule="auto"/>
        <w:contextualSpacing/>
        <w:rPr>
          <w:rFonts w:ascii="Arial" w:eastAsia="Calibri" w:hAnsi="Arial" w:cs="Arial"/>
          <w:color w:val="000000"/>
          <w:lang w:val="es-ES_tradnl"/>
        </w:rPr>
      </w:pPr>
      <w:r w:rsidRPr="00E11B40">
        <w:rPr>
          <w:rFonts w:ascii="Arial" w:eastAsia="Calibri" w:hAnsi="Arial" w:cs="Arial"/>
          <w:color w:val="000000"/>
          <w:lang w:val="es-ES_tradnl"/>
        </w:rPr>
        <w:t>Señor</w:t>
      </w:r>
    </w:p>
    <w:p w14:paraId="0C4C72A5" w14:textId="6B46AA87" w:rsidR="00734BD3" w:rsidRPr="00E11B40" w:rsidRDefault="00FD4820" w:rsidP="00E11B40">
      <w:pPr>
        <w:spacing w:after="0" w:line="240" w:lineRule="auto"/>
        <w:contextualSpacing/>
        <w:rPr>
          <w:rFonts w:ascii="Arial" w:eastAsia="Calibri" w:hAnsi="Arial" w:cs="Arial"/>
          <w:b/>
          <w:bCs/>
          <w:color w:val="000000"/>
          <w:lang w:val="es-ES_tradnl"/>
        </w:rPr>
      </w:pPr>
      <w:r w:rsidRPr="00E11B40">
        <w:rPr>
          <w:rFonts w:ascii="Arial" w:eastAsia="Calibri" w:hAnsi="Arial" w:cs="Arial"/>
          <w:b/>
          <w:bCs/>
          <w:color w:val="000000"/>
          <w:lang w:val="es-ES_tradnl"/>
        </w:rPr>
        <w:t>Luis Alexis Correa Salazar</w:t>
      </w:r>
    </w:p>
    <w:p w14:paraId="6BD6E07B" w14:textId="74B63AAC" w:rsidR="00734BD3" w:rsidRPr="00E11B40" w:rsidRDefault="00FD4820" w:rsidP="00E11B40">
      <w:pPr>
        <w:spacing w:after="0" w:line="240" w:lineRule="auto"/>
        <w:contextualSpacing/>
        <w:rPr>
          <w:rFonts w:ascii="Arial" w:eastAsia="Calibri" w:hAnsi="Arial" w:cs="Arial"/>
          <w:color w:val="000000"/>
          <w:lang w:val="es-ES_tradnl"/>
        </w:rPr>
      </w:pPr>
      <w:r w:rsidRPr="00E11B40">
        <w:rPr>
          <w:rFonts w:ascii="Arial" w:eastAsia="Calibri" w:hAnsi="Arial" w:cs="Arial"/>
          <w:color w:val="000000"/>
          <w:lang w:val="es-ES_tradnl"/>
        </w:rPr>
        <w:t>Piedecuesta, Santander</w:t>
      </w:r>
    </w:p>
    <w:p w14:paraId="2D6EC5E5" w14:textId="173F58A9" w:rsidR="00734BD3" w:rsidRPr="00E11B40" w:rsidRDefault="00734BD3" w:rsidP="008779E1">
      <w:pPr>
        <w:spacing w:after="0" w:line="240" w:lineRule="auto"/>
        <w:contextualSpacing/>
        <w:rPr>
          <w:rFonts w:ascii="Arial" w:eastAsia="Calibri" w:hAnsi="Arial" w:cs="Arial"/>
          <w:color w:val="000000"/>
          <w:lang w:val="es-ES_tradnl"/>
        </w:rPr>
      </w:pPr>
    </w:p>
    <w:p w14:paraId="74390A2E" w14:textId="77777777" w:rsidR="000673DA" w:rsidRPr="00E11B40" w:rsidRDefault="000673DA" w:rsidP="00E11B40">
      <w:pPr>
        <w:spacing w:after="0" w:line="240" w:lineRule="auto"/>
        <w:contextualSpacing/>
        <w:rPr>
          <w:rFonts w:ascii="Arial" w:eastAsia="Calibri" w:hAnsi="Arial" w:cs="Arial"/>
          <w:color w:val="000000"/>
          <w:lang w:val="es-ES_tradnl"/>
        </w:rPr>
      </w:pPr>
    </w:p>
    <w:p w14:paraId="69F0D118" w14:textId="567BC0EA" w:rsidR="00734BD3" w:rsidRPr="00E11B40" w:rsidRDefault="00734BD3" w:rsidP="00E11B40">
      <w:pPr>
        <w:spacing w:after="0" w:line="240" w:lineRule="auto"/>
        <w:contextualSpacing/>
        <w:jc w:val="center"/>
        <w:rPr>
          <w:rFonts w:ascii="Arial" w:eastAsia="Calibri" w:hAnsi="Arial" w:cs="Arial"/>
          <w:b/>
          <w:color w:val="000000"/>
          <w:lang w:val="es-ES_tradnl"/>
        </w:rPr>
      </w:pPr>
      <w:r w:rsidRPr="00E11B40">
        <w:rPr>
          <w:rFonts w:ascii="Arial" w:eastAsia="Calibri" w:hAnsi="Arial" w:cs="Arial"/>
          <w:b/>
          <w:color w:val="000000"/>
          <w:lang w:val="es-ES_tradnl"/>
        </w:rPr>
        <w:t xml:space="preserve">Concepto C – </w:t>
      </w:r>
      <w:r w:rsidR="00FD4820" w:rsidRPr="00E11B40">
        <w:rPr>
          <w:rFonts w:ascii="Arial" w:eastAsia="Calibri" w:hAnsi="Arial" w:cs="Arial"/>
          <w:b/>
          <w:color w:val="000000"/>
          <w:lang w:val="es-ES_tradnl"/>
        </w:rPr>
        <w:t>827</w:t>
      </w:r>
      <w:r w:rsidRPr="00E11B40">
        <w:rPr>
          <w:rFonts w:ascii="Arial" w:eastAsia="Calibri" w:hAnsi="Arial" w:cs="Arial"/>
          <w:b/>
          <w:color w:val="000000"/>
          <w:lang w:val="es-ES_tradnl"/>
        </w:rPr>
        <w:t xml:space="preserve"> de 2022</w:t>
      </w:r>
    </w:p>
    <w:p w14:paraId="56926F97" w14:textId="77777777" w:rsidR="00734BD3" w:rsidRPr="00E11B40" w:rsidRDefault="00734BD3" w:rsidP="00E11B40">
      <w:pPr>
        <w:spacing w:after="0" w:line="240" w:lineRule="auto"/>
        <w:contextualSpacing/>
        <w:jc w:val="center"/>
        <w:rPr>
          <w:rFonts w:ascii="Arial" w:eastAsia="Calibri" w:hAnsi="Arial" w:cs="Arial"/>
          <w:b/>
          <w:color w:val="000000"/>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734BD3" w:rsidRPr="00E11B40" w14:paraId="0A662E45" w14:textId="77777777" w:rsidTr="007C35AB">
        <w:trPr>
          <w:trHeight w:val="1152"/>
        </w:trPr>
        <w:tc>
          <w:tcPr>
            <w:tcW w:w="2689" w:type="dxa"/>
            <w:hideMark/>
          </w:tcPr>
          <w:p w14:paraId="4ACFE6F2" w14:textId="77777777" w:rsidR="00734BD3" w:rsidRPr="00E11B40" w:rsidRDefault="00734BD3" w:rsidP="00E11B40">
            <w:pPr>
              <w:spacing w:after="0" w:line="240" w:lineRule="auto"/>
              <w:contextualSpacing/>
              <w:rPr>
                <w:rFonts w:ascii="Arial" w:eastAsia="Calibri" w:hAnsi="Arial" w:cs="Arial"/>
                <w:color w:val="000000"/>
                <w:lang w:val="es-ES_tradnl"/>
              </w:rPr>
            </w:pPr>
            <w:r w:rsidRPr="00E11B40">
              <w:rPr>
                <w:rFonts w:ascii="Arial" w:eastAsia="Calibri" w:hAnsi="Arial" w:cs="Arial"/>
                <w:b/>
                <w:color w:val="000000"/>
                <w:lang w:val="es-ES_tradnl"/>
              </w:rPr>
              <w:t>Temas:</w:t>
            </w:r>
            <w:r w:rsidRPr="00E11B40">
              <w:rPr>
                <w:rFonts w:ascii="Arial" w:eastAsia="Calibri" w:hAnsi="Arial" w:cs="Arial"/>
                <w:color w:val="000000"/>
                <w:lang w:val="es-ES_tradnl"/>
              </w:rPr>
              <w:t xml:space="preserve">           </w:t>
            </w:r>
          </w:p>
          <w:p w14:paraId="24DBABC1" w14:textId="77777777" w:rsidR="00734BD3" w:rsidRPr="00E11B40" w:rsidRDefault="00734BD3" w:rsidP="00E11B40">
            <w:pPr>
              <w:spacing w:after="0" w:line="240" w:lineRule="auto"/>
              <w:contextualSpacing/>
              <w:rPr>
                <w:rFonts w:ascii="Arial" w:eastAsia="Calibri" w:hAnsi="Arial" w:cs="Arial"/>
                <w:color w:val="000000"/>
                <w:lang w:val="es-ES_tradnl"/>
              </w:rPr>
            </w:pPr>
            <w:r w:rsidRPr="00E11B40">
              <w:rPr>
                <w:rFonts w:ascii="Arial" w:eastAsia="Calibri" w:hAnsi="Arial" w:cs="Arial"/>
                <w:color w:val="000000"/>
                <w:lang w:val="es-ES_tradnl"/>
              </w:rPr>
              <w:t xml:space="preserve">                           </w:t>
            </w:r>
          </w:p>
        </w:tc>
        <w:tc>
          <w:tcPr>
            <w:tcW w:w="6237" w:type="dxa"/>
            <w:hideMark/>
          </w:tcPr>
          <w:p w14:paraId="48B95E5F" w14:textId="69C3078A" w:rsidR="00734BD3" w:rsidRPr="00E11B40" w:rsidRDefault="00BB1804" w:rsidP="00E11B40">
            <w:pPr>
              <w:spacing w:after="0" w:line="240" w:lineRule="auto"/>
              <w:contextualSpacing/>
              <w:jc w:val="both"/>
              <w:rPr>
                <w:rFonts w:ascii="Arial" w:eastAsia="Calibri" w:hAnsi="Arial" w:cs="Arial"/>
                <w:bCs/>
                <w:color w:val="000000"/>
                <w:lang w:val="es-ES_tradnl"/>
              </w:rPr>
            </w:pPr>
            <w:r w:rsidRPr="00E11B40">
              <w:rPr>
                <w:rFonts w:ascii="Arial" w:eastAsia="Calibri" w:hAnsi="Arial" w:cs="Arial"/>
                <w:bCs/>
                <w:lang w:val="es-ES_tradnl" w:eastAsia="es-ES_tradnl"/>
              </w:rPr>
              <w:t>DOCUMENTOS TIPO – Fundamento jurídico – Aplicación</w:t>
            </w:r>
            <w:r w:rsidR="00E11B40" w:rsidRPr="00E11B40">
              <w:rPr>
                <w:rFonts w:ascii="Arial" w:eastAsia="Calibri" w:hAnsi="Arial" w:cs="Arial"/>
                <w:bCs/>
                <w:lang w:val="es-ES_tradnl" w:eastAsia="es-ES_tradnl"/>
              </w:rPr>
              <w:t xml:space="preserve"> </w:t>
            </w:r>
            <w:r w:rsidR="008779E1" w:rsidRPr="00E11B40">
              <w:rPr>
                <w:rFonts w:ascii="Arial" w:eastAsia="Calibri" w:hAnsi="Arial" w:cs="Arial"/>
              </w:rPr>
              <w:t>/</w:t>
            </w:r>
            <w:r w:rsidR="00E11B40" w:rsidRPr="00E11B40">
              <w:rPr>
                <w:rFonts w:ascii="Arial" w:eastAsia="Calibri" w:hAnsi="Arial" w:cs="Arial"/>
              </w:rPr>
              <w:t xml:space="preserve"> </w:t>
            </w:r>
            <w:r w:rsidR="000E53BF" w:rsidRPr="00E11B40">
              <w:rPr>
                <w:rFonts w:ascii="Arial" w:eastAsia="Calibri" w:hAnsi="Arial" w:cs="Arial"/>
                <w:bCs/>
                <w:lang w:val="es-ES_tradnl" w:eastAsia="es-ES_tradnl"/>
              </w:rPr>
              <w:t>REQUISITOS DE LA PROPUESTA - Requisitos formales – No generan rechazo</w:t>
            </w:r>
            <w:r w:rsidR="008779E1" w:rsidRPr="00E11B40">
              <w:rPr>
                <w:rFonts w:ascii="Arial" w:eastAsia="Calibri" w:hAnsi="Arial" w:cs="Arial"/>
                <w:bCs/>
                <w:lang w:val="es-ES_tradnl" w:eastAsia="es-ES_tradnl"/>
              </w:rPr>
              <w:t xml:space="preserve"> </w:t>
            </w:r>
          </w:p>
        </w:tc>
      </w:tr>
      <w:tr w:rsidR="00734BD3" w:rsidRPr="00E11B40" w14:paraId="7375D33C" w14:textId="77777777" w:rsidTr="00B53228">
        <w:tc>
          <w:tcPr>
            <w:tcW w:w="2689" w:type="dxa"/>
          </w:tcPr>
          <w:p w14:paraId="0D09B2AF" w14:textId="3B82ACC6" w:rsidR="00734BD3" w:rsidRPr="00E11B40" w:rsidRDefault="008779E1" w:rsidP="00E11B40">
            <w:pPr>
              <w:spacing w:after="0" w:line="240" w:lineRule="auto"/>
              <w:contextualSpacing/>
              <w:rPr>
                <w:rFonts w:ascii="Arial" w:eastAsia="Calibri" w:hAnsi="Arial" w:cs="Arial"/>
                <w:b/>
                <w:color w:val="000000"/>
                <w:lang w:val="es-ES_tradnl"/>
              </w:rPr>
            </w:pPr>
            <w:r w:rsidRPr="00E11B40">
              <w:rPr>
                <w:rFonts w:ascii="Arial" w:eastAsia="Calibri" w:hAnsi="Arial" w:cs="Arial"/>
                <w:b/>
                <w:color w:val="000000"/>
                <w:lang w:val="es-ES_tradnl"/>
              </w:rPr>
              <w:t xml:space="preserve"> </w:t>
            </w:r>
            <w:r w:rsidR="00734BD3" w:rsidRPr="00E11B40">
              <w:rPr>
                <w:rFonts w:ascii="Arial" w:eastAsia="Calibri" w:hAnsi="Arial" w:cs="Arial"/>
                <w:b/>
                <w:color w:val="000000"/>
                <w:lang w:val="es-ES_tradnl"/>
              </w:rPr>
              <w:t>Radicación:</w:t>
            </w:r>
            <w:r w:rsidR="00734BD3" w:rsidRPr="00E11B40">
              <w:rPr>
                <w:rFonts w:ascii="Arial" w:eastAsia="Calibri" w:hAnsi="Arial" w:cs="Arial"/>
                <w:color w:val="000000"/>
                <w:lang w:val="es-ES_tradnl"/>
              </w:rPr>
              <w:t xml:space="preserve">                              </w:t>
            </w:r>
          </w:p>
        </w:tc>
        <w:tc>
          <w:tcPr>
            <w:tcW w:w="6237" w:type="dxa"/>
          </w:tcPr>
          <w:p w14:paraId="447EE32E" w14:textId="3A393267" w:rsidR="00FD4820" w:rsidRPr="00E11B40" w:rsidRDefault="00734BD3" w:rsidP="00E11B40">
            <w:pPr>
              <w:spacing w:after="0" w:line="240" w:lineRule="auto"/>
              <w:contextualSpacing/>
              <w:jc w:val="both"/>
              <w:rPr>
                <w:rFonts w:ascii="Arial" w:hAnsi="Arial" w:cs="Arial"/>
              </w:rPr>
            </w:pPr>
            <w:r w:rsidRPr="00E11B40">
              <w:rPr>
                <w:rFonts w:ascii="Arial" w:eastAsia="Calibri" w:hAnsi="Arial" w:cs="Arial"/>
                <w:color w:val="000000"/>
                <w:lang w:val="es-ES_tradnl"/>
              </w:rPr>
              <w:t>Respuesta a consulta</w:t>
            </w:r>
            <w:r w:rsidR="00C65339" w:rsidRPr="00E11B40">
              <w:rPr>
                <w:rFonts w:ascii="Arial" w:eastAsia="Calibri" w:hAnsi="Arial" w:cs="Arial"/>
                <w:color w:val="000000"/>
                <w:lang w:val="es-ES_tradnl"/>
              </w:rPr>
              <w:t xml:space="preserve"> </w:t>
            </w:r>
            <w:r w:rsidR="00FD4820" w:rsidRPr="00E11B40">
              <w:rPr>
                <w:rFonts w:ascii="Arial" w:hAnsi="Arial" w:cs="Arial"/>
              </w:rPr>
              <w:t>P20221014010398</w:t>
            </w:r>
          </w:p>
          <w:p w14:paraId="48189E18" w14:textId="0EE27390" w:rsidR="00734BD3" w:rsidRPr="00E11B40" w:rsidRDefault="00734BD3" w:rsidP="00E11B40">
            <w:pPr>
              <w:spacing w:after="0" w:line="240" w:lineRule="auto"/>
              <w:contextualSpacing/>
              <w:jc w:val="both"/>
              <w:rPr>
                <w:rFonts w:ascii="Arial" w:hAnsi="Arial" w:cs="Arial"/>
              </w:rPr>
            </w:pPr>
          </w:p>
        </w:tc>
      </w:tr>
    </w:tbl>
    <w:p w14:paraId="6E05C9BF" w14:textId="77777777" w:rsidR="000673DA" w:rsidRPr="00E11B40" w:rsidRDefault="000673DA" w:rsidP="008779E1">
      <w:pPr>
        <w:spacing w:after="0" w:line="240" w:lineRule="auto"/>
        <w:contextualSpacing/>
        <w:rPr>
          <w:rFonts w:ascii="Arial" w:eastAsia="Calibri" w:hAnsi="Arial" w:cs="Arial"/>
          <w:color w:val="000000"/>
          <w:lang w:val="es-ES_tradnl"/>
        </w:rPr>
      </w:pPr>
    </w:p>
    <w:p w14:paraId="705FCFDD" w14:textId="23E046B8" w:rsidR="00734BD3" w:rsidRPr="00E11B40" w:rsidRDefault="00734BD3" w:rsidP="00E11B40">
      <w:pPr>
        <w:spacing w:after="0" w:line="276" w:lineRule="auto"/>
        <w:contextualSpacing/>
        <w:rPr>
          <w:rFonts w:ascii="Arial" w:eastAsia="Calibri" w:hAnsi="Arial" w:cs="Arial"/>
          <w:color w:val="000000"/>
          <w:lang w:val="es-ES_tradnl"/>
        </w:rPr>
      </w:pPr>
      <w:r w:rsidRPr="00E11B40">
        <w:rPr>
          <w:rFonts w:ascii="Arial" w:eastAsia="Calibri" w:hAnsi="Arial" w:cs="Arial"/>
          <w:color w:val="000000"/>
          <w:lang w:val="es-ES_tradnl"/>
        </w:rPr>
        <w:t>Estimad</w:t>
      </w:r>
      <w:r w:rsidR="00FD4820" w:rsidRPr="00E11B40">
        <w:rPr>
          <w:rFonts w:ascii="Arial" w:eastAsia="Calibri" w:hAnsi="Arial" w:cs="Arial"/>
          <w:color w:val="000000"/>
          <w:lang w:val="es-ES_tradnl"/>
        </w:rPr>
        <w:t>o</w:t>
      </w:r>
      <w:r w:rsidRPr="00E11B40">
        <w:rPr>
          <w:rFonts w:ascii="Arial" w:eastAsia="Calibri" w:hAnsi="Arial" w:cs="Arial"/>
          <w:color w:val="000000"/>
          <w:lang w:val="es-ES_tradnl"/>
        </w:rPr>
        <w:t xml:space="preserve"> señor </w:t>
      </w:r>
      <w:r w:rsidR="00FD4820" w:rsidRPr="00E11B40">
        <w:rPr>
          <w:rFonts w:ascii="Arial" w:eastAsia="Calibri" w:hAnsi="Arial" w:cs="Arial"/>
          <w:color w:val="000000"/>
          <w:lang w:val="es-ES_tradnl"/>
        </w:rPr>
        <w:t>Correa</w:t>
      </w:r>
      <w:r w:rsidRPr="00E11B40">
        <w:rPr>
          <w:rFonts w:ascii="Arial" w:eastAsia="Calibri" w:hAnsi="Arial" w:cs="Arial"/>
          <w:color w:val="000000"/>
          <w:lang w:val="es-ES_tradnl"/>
        </w:rPr>
        <w:t>,</w:t>
      </w:r>
    </w:p>
    <w:p w14:paraId="26B65323" w14:textId="77777777" w:rsidR="00734BD3" w:rsidRPr="00E11B40" w:rsidRDefault="00734BD3" w:rsidP="00E11B40">
      <w:pPr>
        <w:spacing w:after="0" w:line="276" w:lineRule="auto"/>
        <w:contextualSpacing/>
        <w:rPr>
          <w:rFonts w:ascii="Arial" w:eastAsia="Calibri" w:hAnsi="Arial" w:cs="Arial"/>
          <w:color w:val="000000"/>
          <w:lang w:val="es-ES_tradnl"/>
        </w:rPr>
      </w:pPr>
    </w:p>
    <w:p w14:paraId="3BA03750" w14:textId="35BB558A" w:rsidR="00734BD3" w:rsidRPr="00E11B40" w:rsidRDefault="00734BD3" w:rsidP="00E11B40">
      <w:pPr>
        <w:spacing w:after="0" w:line="276" w:lineRule="auto"/>
        <w:contextualSpacing/>
        <w:jc w:val="both"/>
        <w:rPr>
          <w:rFonts w:ascii="Arial" w:eastAsia="Calibri" w:hAnsi="Arial" w:cs="Arial"/>
          <w:color w:val="000000"/>
          <w:lang w:val="es-ES_tradnl"/>
        </w:rPr>
      </w:pPr>
      <w:r w:rsidRPr="00E11B40">
        <w:rPr>
          <w:rFonts w:ascii="Arial" w:eastAsia="Calibri" w:hAnsi="Arial" w:cs="Arial"/>
          <w:color w:val="000000"/>
          <w:lang w:val="es-ES_tradnl"/>
        </w:rPr>
        <w:t xml:space="preserve">En ejercicio de la competencia otorgada por el numeral 8 del artículo 11 y el numeral 5 del artículo 3 del Decreto Ley 4170 de 2011, la Agencia Nacional de Contratación Pública ― Colombia Compra Eficiente responde su consulta del </w:t>
      </w:r>
      <w:r w:rsidR="008779E1" w:rsidRPr="00E11B40">
        <w:rPr>
          <w:rFonts w:ascii="Arial" w:eastAsia="Calibri" w:hAnsi="Arial" w:cs="Arial"/>
          <w:color w:val="000000"/>
          <w:lang w:val="es-ES_tradnl"/>
        </w:rPr>
        <w:t>14 de octubre</w:t>
      </w:r>
      <w:r w:rsidRPr="00E11B40">
        <w:rPr>
          <w:rFonts w:ascii="Arial" w:eastAsia="Calibri" w:hAnsi="Arial" w:cs="Arial"/>
          <w:color w:val="000000"/>
          <w:lang w:val="es-ES_tradnl"/>
        </w:rPr>
        <w:t xml:space="preserve"> de 2022.</w:t>
      </w:r>
    </w:p>
    <w:p w14:paraId="0C76CA7D" w14:textId="77777777" w:rsidR="00734BD3" w:rsidRPr="00E11B40" w:rsidRDefault="00734BD3" w:rsidP="00E11B40">
      <w:pPr>
        <w:tabs>
          <w:tab w:val="left" w:pos="426"/>
        </w:tabs>
        <w:spacing w:after="0" w:line="276" w:lineRule="auto"/>
        <w:contextualSpacing/>
        <w:jc w:val="both"/>
        <w:rPr>
          <w:rFonts w:ascii="Arial" w:eastAsia="Calibri" w:hAnsi="Arial" w:cs="Arial"/>
          <w:color w:val="000000"/>
          <w:lang w:val="es-ES_tradnl"/>
        </w:rPr>
      </w:pPr>
    </w:p>
    <w:p w14:paraId="4442C965" w14:textId="77777777" w:rsidR="00734BD3" w:rsidRPr="00E11B40" w:rsidRDefault="00734BD3" w:rsidP="008779E1">
      <w:pPr>
        <w:tabs>
          <w:tab w:val="left" w:pos="284"/>
        </w:tabs>
        <w:spacing w:after="0" w:line="276" w:lineRule="auto"/>
        <w:contextualSpacing/>
        <w:jc w:val="both"/>
        <w:rPr>
          <w:rFonts w:ascii="Arial" w:eastAsia="Calibri" w:hAnsi="Arial" w:cs="Arial"/>
          <w:b/>
          <w:color w:val="000000"/>
          <w:lang w:val="es-ES_tradnl"/>
        </w:rPr>
      </w:pPr>
      <w:r w:rsidRPr="00E11B40">
        <w:rPr>
          <w:rFonts w:ascii="Arial" w:eastAsia="Calibri" w:hAnsi="Arial" w:cs="Arial"/>
          <w:b/>
          <w:color w:val="000000"/>
          <w:lang w:val="es-ES_tradnl"/>
        </w:rPr>
        <w:t xml:space="preserve">1. Problema planteado </w:t>
      </w:r>
    </w:p>
    <w:p w14:paraId="5134F312" w14:textId="77777777" w:rsidR="00734BD3" w:rsidRPr="00E11B40" w:rsidRDefault="00734BD3" w:rsidP="00E11B40">
      <w:pPr>
        <w:tabs>
          <w:tab w:val="left" w:pos="426"/>
        </w:tabs>
        <w:spacing w:after="0" w:line="276" w:lineRule="auto"/>
        <w:contextualSpacing/>
        <w:jc w:val="both"/>
        <w:rPr>
          <w:rFonts w:ascii="Arial" w:eastAsia="Calibri" w:hAnsi="Arial" w:cs="Arial"/>
          <w:b/>
          <w:color w:val="000000"/>
          <w:lang w:val="es-ES_tradnl"/>
        </w:rPr>
      </w:pPr>
    </w:p>
    <w:p w14:paraId="775DC909" w14:textId="564B55AD" w:rsidR="00734BD3" w:rsidRPr="00E11B40" w:rsidRDefault="00734BD3" w:rsidP="00E11B40">
      <w:pPr>
        <w:tabs>
          <w:tab w:val="left" w:pos="426"/>
        </w:tabs>
        <w:spacing w:after="0" w:line="276" w:lineRule="auto"/>
        <w:contextualSpacing/>
        <w:jc w:val="both"/>
        <w:rPr>
          <w:rFonts w:ascii="Arial" w:eastAsia="Calibri" w:hAnsi="Arial" w:cs="Arial"/>
          <w:bCs/>
          <w:color w:val="000000"/>
          <w:lang w:val="es-ES_tradnl"/>
        </w:rPr>
      </w:pPr>
      <w:r w:rsidRPr="00E11B40">
        <w:rPr>
          <w:rFonts w:ascii="Arial" w:eastAsia="Calibri" w:hAnsi="Arial" w:cs="Arial"/>
          <w:bCs/>
          <w:color w:val="000000"/>
          <w:lang w:val="es-ES_tradnl"/>
        </w:rPr>
        <w:t>Usted realiza la siguiente consulta</w:t>
      </w:r>
      <w:r w:rsidR="00F023BD" w:rsidRPr="00E11B40">
        <w:rPr>
          <w:rFonts w:ascii="Arial" w:eastAsia="Calibri" w:hAnsi="Arial" w:cs="Arial"/>
          <w:bCs/>
          <w:color w:val="000000"/>
          <w:lang w:val="es-ES_tradnl"/>
        </w:rPr>
        <w:t xml:space="preserve"> sobre los </w:t>
      </w:r>
      <w:r w:rsidR="0069033F" w:rsidRPr="00E11B40">
        <w:rPr>
          <w:rFonts w:ascii="Arial" w:eastAsia="Calibri" w:hAnsi="Arial" w:cs="Arial"/>
          <w:bCs/>
          <w:color w:val="000000"/>
          <w:lang w:val="es-ES_tradnl"/>
        </w:rPr>
        <w:t>d</w:t>
      </w:r>
      <w:r w:rsidR="00F023BD" w:rsidRPr="00E11B40">
        <w:rPr>
          <w:rFonts w:ascii="Arial" w:eastAsia="Calibri" w:hAnsi="Arial" w:cs="Arial"/>
          <w:bCs/>
          <w:color w:val="000000"/>
          <w:lang w:val="es-ES_tradnl"/>
        </w:rPr>
        <w:t xml:space="preserve">ocumentos </w:t>
      </w:r>
      <w:r w:rsidR="0069033F" w:rsidRPr="00E11B40">
        <w:rPr>
          <w:rFonts w:ascii="Arial" w:eastAsia="Calibri" w:hAnsi="Arial" w:cs="Arial"/>
          <w:bCs/>
          <w:color w:val="000000"/>
          <w:lang w:val="es-ES_tradnl"/>
        </w:rPr>
        <w:t>t</w:t>
      </w:r>
      <w:r w:rsidR="00F023BD" w:rsidRPr="00E11B40">
        <w:rPr>
          <w:rFonts w:ascii="Arial" w:eastAsia="Calibri" w:hAnsi="Arial" w:cs="Arial"/>
          <w:bCs/>
          <w:color w:val="000000"/>
          <w:lang w:val="es-ES_tradnl"/>
        </w:rPr>
        <w:t>ipo, al respecto pregunta</w:t>
      </w:r>
      <w:r w:rsidRPr="00E11B40">
        <w:rPr>
          <w:rFonts w:ascii="Arial" w:eastAsia="Calibri" w:hAnsi="Arial" w:cs="Arial"/>
          <w:bCs/>
          <w:color w:val="000000"/>
          <w:lang w:val="es-ES_tradnl"/>
        </w:rPr>
        <w:t xml:space="preserve">: </w:t>
      </w:r>
    </w:p>
    <w:p w14:paraId="30B61C23" w14:textId="77777777" w:rsidR="00F023BD" w:rsidRPr="00E11B40" w:rsidRDefault="00F023BD" w:rsidP="00E11B40">
      <w:pPr>
        <w:tabs>
          <w:tab w:val="left" w:pos="426"/>
        </w:tabs>
        <w:spacing w:after="0" w:line="276" w:lineRule="auto"/>
        <w:contextualSpacing/>
        <w:jc w:val="both"/>
        <w:rPr>
          <w:rFonts w:ascii="Arial" w:eastAsia="Calibri" w:hAnsi="Arial" w:cs="Arial"/>
          <w:bCs/>
          <w:color w:val="000000"/>
          <w:lang w:val="es-ES_tradnl"/>
        </w:rPr>
      </w:pPr>
    </w:p>
    <w:p w14:paraId="42E01529" w14:textId="2322A0DF" w:rsidR="00734BD3" w:rsidRPr="00E11B40" w:rsidRDefault="00FD4820" w:rsidP="00E11B40">
      <w:pPr>
        <w:spacing w:after="0" w:line="240" w:lineRule="auto"/>
        <w:ind w:left="709" w:right="709"/>
        <w:contextualSpacing/>
        <w:jc w:val="both"/>
        <w:rPr>
          <w:rFonts w:ascii="Arial" w:eastAsia="Calibri" w:hAnsi="Arial" w:cs="Arial"/>
          <w:color w:val="000000"/>
          <w:sz w:val="21"/>
          <w:szCs w:val="21"/>
          <w:lang w:val="es-ES"/>
        </w:rPr>
      </w:pPr>
      <w:bookmarkStart w:id="0" w:name="_Hlk115945010"/>
      <w:r w:rsidRPr="00E11B40">
        <w:rPr>
          <w:rFonts w:ascii="Arial" w:eastAsia="Calibri" w:hAnsi="Arial" w:cs="Arial"/>
          <w:sz w:val="21"/>
          <w:szCs w:val="21"/>
        </w:rPr>
        <w:t>«</w:t>
      </w:r>
      <w:r w:rsidRPr="00E11B40">
        <w:rPr>
          <w:rFonts w:ascii="Arial" w:hAnsi="Arial" w:cs="Arial"/>
          <w:sz w:val="21"/>
          <w:szCs w:val="21"/>
        </w:rPr>
        <w:t xml:space="preserve">CUANDO UNA OFERTA ESTA DIRIGIDA A OFICINA DIFERENTE A LA CITADA EN PLIEGO TIPO EN EL CAPITULO "1.3. </w:t>
      </w:r>
      <w:proofErr w:type="gramStart"/>
      <w:r w:rsidRPr="00E11B40">
        <w:rPr>
          <w:rFonts w:ascii="Arial" w:hAnsi="Arial" w:cs="Arial"/>
          <w:sz w:val="21"/>
          <w:szCs w:val="21"/>
        </w:rPr>
        <w:t>COMUNICACIONES Y OBSERVACIONES AL PROCESO" SE CONSIDERA COMO ERROR?</w:t>
      </w:r>
      <w:proofErr w:type="gramEnd"/>
      <w:r w:rsidRPr="00E11B40">
        <w:rPr>
          <w:rFonts w:ascii="Arial" w:hAnsi="Arial" w:cs="Arial"/>
          <w:sz w:val="21"/>
          <w:szCs w:val="21"/>
        </w:rPr>
        <w:t xml:space="preserve"> </w:t>
      </w:r>
      <w:proofErr w:type="gramStart"/>
      <w:r w:rsidRPr="00E11B40">
        <w:rPr>
          <w:rFonts w:ascii="Arial" w:hAnsi="Arial" w:cs="Arial"/>
          <w:sz w:val="21"/>
          <w:szCs w:val="21"/>
        </w:rPr>
        <w:t>LA ENTIDAD ESTA EN LA OBLIGACION DE SOLICITAR SUBSANACION DE LA OFERTA?</w:t>
      </w:r>
      <w:proofErr w:type="gramEnd"/>
      <w:r w:rsidRPr="00E11B40">
        <w:rPr>
          <w:rFonts w:ascii="Arial" w:hAnsi="Arial" w:cs="Arial"/>
          <w:sz w:val="21"/>
          <w:szCs w:val="21"/>
        </w:rPr>
        <w:t>:» [Sic]</w:t>
      </w:r>
    </w:p>
    <w:bookmarkEnd w:id="0"/>
    <w:p w14:paraId="0BA3AE34" w14:textId="77777777" w:rsidR="00CA5A51" w:rsidRPr="00E11B40" w:rsidRDefault="00CA5A51" w:rsidP="00E11B40">
      <w:pPr>
        <w:tabs>
          <w:tab w:val="left" w:pos="426"/>
        </w:tabs>
        <w:spacing w:after="0" w:line="276" w:lineRule="auto"/>
        <w:contextualSpacing/>
        <w:jc w:val="both"/>
        <w:rPr>
          <w:rFonts w:ascii="Arial" w:eastAsia="Calibri" w:hAnsi="Arial" w:cs="Arial"/>
          <w:b/>
          <w:color w:val="000000"/>
          <w:lang w:val="es-ES_tradnl"/>
        </w:rPr>
      </w:pPr>
    </w:p>
    <w:p w14:paraId="299896D2" w14:textId="060868A8" w:rsidR="00734BD3" w:rsidRPr="00E11B40" w:rsidRDefault="00734BD3" w:rsidP="00E11B40">
      <w:pPr>
        <w:tabs>
          <w:tab w:val="left" w:pos="426"/>
        </w:tabs>
        <w:spacing w:after="0" w:line="276" w:lineRule="auto"/>
        <w:contextualSpacing/>
        <w:jc w:val="both"/>
        <w:rPr>
          <w:rFonts w:ascii="Arial" w:eastAsia="Calibri" w:hAnsi="Arial" w:cs="Arial"/>
          <w:b/>
          <w:color w:val="000000"/>
          <w:lang w:val="es-ES_tradnl"/>
        </w:rPr>
      </w:pPr>
      <w:r w:rsidRPr="00E11B40">
        <w:rPr>
          <w:rFonts w:ascii="Arial" w:eastAsia="Calibri" w:hAnsi="Arial" w:cs="Arial"/>
          <w:b/>
          <w:color w:val="000000"/>
          <w:lang w:val="es-ES_tradnl"/>
        </w:rPr>
        <w:t>2. Consideraciones</w:t>
      </w:r>
    </w:p>
    <w:p w14:paraId="6460AAB0" w14:textId="77777777" w:rsidR="0069033F" w:rsidRPr="00E11B40" w:rsidRDefault="0069033F" w:rsidP="00E11B40">
      <w:pPr>
        <w:tabs>
          <w:tab w:val="left" w:pos="426"/>
        </w:tabs>
        <w:spacing w:after="0" w:line="276" w:lineRule="auto"/>
        <w:contextualSpacing/>
        <w:jc w:val="both"/>
        <w:rPr>
          <w:rFonts w:ascii="Arial" w:eastAsia="Calibri" w:hAnsi="Arial" w:cs="Arial"/>
          <w:b/>
          <w:color w:val="000000"/>
          <w:lang w:val="es-ES_tradnl"/>
        </w:rPr>
      </w:pPr>
    </w:p>
    <w:p w14:paraId="7692B02F" w14:textId="21511ACB" w:rsidR="0069033F" w:rsidRPr="00E11B40" w:rsidRDefault="0069033F" w:rsidP="00E11B40">
      <w:pPr>
        <w:jc w:val="both"/>
      </w:pPr>
      <w:r w:rsidRPr="00E11B40">
        <w:rPr>
          <w:rFonts w:ascii="Arial" w:eastAsia="Calibri" w:hAnsi="Arial" w:cs="Arial"/>
          <w:lang w:val="es-ES" w:eastAsia="es-MX"/>
        </w:rPr>
        <w:t>L</w:t>
      </w:r>
      <w:r w:rsidR="00FF5333" w:rsidRPr="00E11B40">
        <w:rPr>
          <w:rFonts w:ascii="Arial" w:eastAsia="Calibri" w:hAnsi="Arial" w:cs="Arial"/>
          <w:lang w:val="es-ES" w:eastAsia="es-MX"/>
        </w:rPr>
        <w:t xml:space="preserve">a Agencia –dentro de los límites de sus atribuciones– resolverá la consulta </w:t>
      </w:r>
      <w:r w:rsidR="009F369D" w:rsidRPr="00E11B40">
        <w:rPr>
          <w:rFonts w:ascii="Arial" w:eastAsia="Calibri" w:hAnsi="Arial" w:cs="Arial"/>
          <w:lang w:val="es-ES" w:eastAsia="es-MX"/>
        </w:rPr>
        <w:t xml:space="preserve">planteada </w:t>
      </w:r>
      <w:r w:rsidR="00FF5333" w:rsidRPr="00E11B40">
        <w:rPr>
          <w:rFonts w:ascii="Arial" w:eastAsia="Calibri" w:hAnsi="Arial" w:cs="Arial"/>
          <w:lang w:val="es-ES" w:eastAsia="es-MX"/>
        </w:rPr>
        <w:t>conforme a las normas generales en materia de contratación estatal</w:t>
      </w:r>
      <w:r w:rsidR="009F369D" w:rsidRPr="00E11B40">
        <w:rPr>
          <w:rFonts w:ascii="Arial" w:eastAsia="Calibri" w:hAnsi="Arial" w:cs="Arial"/>
          <w:lang w:val="es-ES" w:eastAsia="es-MX"/>
        </w:rPr>
        <w:t xml:space="preserve">, para lo cual </w:t>
      </w:r>
      <w:r w:rsidR="00FF5333" w:rsidRPr="00E11B40">
        <w:rPr>
          <w:rFonts w:ascii="Arial" w:eastAsia="Calibri" w:hAnsi="Arial" w:cs="Arial"/>
          <w:lang w:val="es-ES" w:eastAsia="es-MX"/>
        </w:rPr>
        <w:t xml:space="preserve">analizará </w:t>
      </w:r>
      <w:r w:rsidR="00734BD3" w:rsidRPr="00E11B40">
        <w:rPr>
          <w:rFonts w:ascii="Arial" w:eastAsia="Calibri" w:hAnsi="Arial" w:cs="Arial"/>
          <w:lang w:val="es-ES" w:eastAsia="es-MX"/>
        </w:rPr>
        <w:t>los siguientes temas: i)</w:t>
      </w:r>
      <w:r w:rsidR="000138E5" w:rsidRPr="00E11B40">
        <w:rPr>
          <w:rFonts w:ascii="Arial" w:eastAsia="Calibri" w:hAnsi="Arial" w:cs="Arial"/>
          <w:lang w:val="es-ES" w:eastAsia="es-MX"/>
        </w:rPr>
        <w:t xml:space="preserve"> fundamentos jurídicos y evolución normativa de los documentos tipo</w:t>
      </w:r>
      <w:r w:rsidR="00734BD3" w:rsidRPr="00E11B40">
        <w:rPr>
          <w:rFonts w:ascii="Arial" w:eastAsia="Calibri" w:hAnsi="Arial" w:cs="Arial"/>
          <w:lang w:val="es-ES" w:eastAsia="es-MX"/>
        </w:rPr>
        <w:t xml:space="preserve">, </w:t>
      </w:r>
      <w:proofErr w:type="spellStart"/>
      <w:r w:rsidR="00734BD3" w:rsidRPr="00E11B40">
        <w:rPr>
          <w:rFonts w:ascii="Arial" w:eastAsia="Calibri" w:hAnsi="Arial" w:cs="Arial"/>
          <w:lang w:val="es-ES" w:eastAsia="es-MX"/>
        </w:rPr>
        <w:t>ii</w:t>
      </w:r>
      <w:proofErr w:type="spellEnd"/>
      <w:r w:rsidR="00734BD3" w:rsidRPr="00E11B40">
        <w:rPr>
          <w:rFonts w:ascii="Arial" w:eastAsia="Calibri" w:hAnsi="Arial" w:cs="Arial"/>
          <w:lang w:val="es-ES" w:eastAsia="es-MX"/>
        </w:rPr>
        <w:t xml:space="preserve">) la inalterabilidad de los documentos tipo y </w:t>
      </w:r>
      <w:r w:rsidR="000A5DE4" w:rsidRPr="00E11B40">
        <w:rPr>
          <w:rFonts w:ascii="Arial" w:eastAsia="Calibri" w:hAnsi="Arial" w:cs="Arial"/>
          <w:lang w:val="es-ES" w:eastAsia="es-MX"/>
        </w:rPr>
        <w:t xml:space="preserve">la </w:t>
      </w:r>
      <w:proofErr w:type="spellStart"/>
      <w:r w:rsidR="00734BD3" w:rsidRPr="00E11B40">
        <w:rPr>
          <w:rFonts w:ascii="Arial" w:eastAsia="Calibri" w:hAnsi="Arial" w:cs="Arial"/>
          <w:lang w:val="es-ES" w:eastAsia="es-MX"/>
        </w:rPr>
        <w:t>iii</w:t>
      </w:r>
      <w:proofErr w:type="spellEnd"/>
      <w:r w:rsidR="00734BD3" w:rsidRPr="00E11B40">
        <w:rPr>
          <w:rFonts w:ascii="Arial" w:eastAsia="Calibri" w:hAnsi="Arial" w:cs="Arial"/>
          <w:lang w:val="es-ES" w:eastAsia="es-MX"/>
        </w:rPr>
        <w:t>)</w:t>
      </w:r>
      <w:r w:rsidR="000A5DE4" w:rsidRPr="00E11B40">
        <w:rPr>
          <w:rFonts w:ascii="Arial" w:eastAsia="Calibri" w:hAnsi="Arial" w:cs="Arial"/>
          <w:lang w:val="es-ES" w:eastAsia="es-MX"/>
        </w:rPr>
        <w:t xml:space="preserve"> </w:t>
      </w:r>
      <w:r w:rsidR="007B50C5" w:rsidRPr="00E11B40">
        <w:rPr>
          <w:rFonts w:ascii="Arial" w:eastAsia="Times New Roman" w:hAnsi="Arial" w:cs="Arial"/>
          <w:shd w:val="clear" w:color="auto" w:fill="FFFFFF"/>
          <w:lang w:val="es-ES_tradnl" w:eastAsia="es-ES_tradnl"/>
        </w:rPr>
        <w:t>requisitos formales de las propuestas</w:t>
      </w:r>
      <w:r w:rsidR="00E5105D" w:rsidRPr="00E11B40">
        <w:rPr>
          <w:rFonts w:ascii="Arial" w:eastAsia="Calibri" w:hAnsi="Arial" w:cs="Arial"/>
          <w:lang w:val="es-ES" w:eastAsia="es-MX"/>
        </w:rPr>
        <w:t xml:space="preserve">. </w:t>
      </w:r>
    </w:p>
    <w:p w14:paraId="526DF224" w14:textId="3BA48638" w:rsidR="00734BD3" w:rsidRPr="00E11B40" w:rsidRDefault="00734BD3" w:rsidP="00E11B40">
      <w:pPr>
        <w:spacing w:after="0" w:line="276" w:lineRule="auto"/>
        <w:ind w:firstLine="709"/>
        <w:contextualSpacing/>
        <w:jc w:val="both"/>
        <w:rPr>
          <w:rFonts w:ascii="Arial" w:eastAsia="Calibri" w:hAnsi="Arial" w:cs="Arial"/>
          <w:color w:val="FF0000"/>
          <w:lang w:val="es-ES" w:eastAsia="es-MX"/>
        </w:rPr>
      </w:pPr>
      <w:r w:rsidRPr="00E11B40">
        <w:rPr>
          <w:rFonts w:ascii="Arial" w:eastAsia="Calibri" w:hAnsi="Arial" w:cs="Arial"/>
          <w:lang w:val="es-MX"/>
        </w:rPr>
        <w:lastRenderedPageBreak/>
        <w:t xml:space="preserve">La Agencia Nacional de Contratación Pública – Colombia Compra Eficiente analizó el fundamento normativo de los pliegos de condiciones tipo en la contratación estatal, entre otros, en los siguientes conceptos: </w:t>
      </w:r>
      <w:r w:rsidRPr="00E11B40">
        <w:rPr>
          <w:rFonts w:ascii="Arial" w:hAnsi="Arial" w:cs="Arial"/>
        </w:rPr>
        <w:t>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w:t>
      </w:r>
      <w:r w:rsidRPr="00E11B40">
        <w:rPr>
          <w:rFonts w:ascii="Arial" w:eastAsia="Calibri" w:hAnsi="Arial" w:cs="Arial"/>
          <w:lang w:val="es-MX"/>
        </w:rPr>
        <w:t>,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w:t>
      </w:r>
      <w:r w:rsidR="000119B0" w:rsidRPr="00E11B40">
        <w:rPr>
          <w:rFonts w:ascii="Arial" w:eastAsia="Calibri" w:hAnsi="Arial" w:cs="Arial"/>
          <w:lang w:val="es-MX"/>
        </w:rPr>
        <w:t xml:space="preserve">, </w:t>
      </w:r>
      <w:r w:rsidRPr="00E11B40">
        <w:rPr>
          <w:rFonts w:ascii="Arial" w:eastAsia="Calibri" w:hAnsi="Arial" w:cs="Arial"/>
          <w:lang w:val="es-MX"/>
        </w:rPr>
        <w:t>C-643 del 17 de noviembre de 2021</w:t>
      </w:r>
      <w:r w:rsidR="00D05AA0" w:rsidRPr="00E11B40">
        <w:rPr>
          <w:rFonts w:ascii="Arial" w:eastAsia="Calibri" w:hAnsi="Arial" w:cs="Arial"/>
          <w:lang w:val="es-MX"/>
        </w:rPr>
        <w:t xml:space="preserve"> y</w:t>
      </w:r>
      <w:r w:rsidR="000119B0" w:rsidRPr="00E11B40">
        <w:rPr>
          <w:rFonts w:ascii="Arial" w:eastAsia="Calibri" w:hAnsi="Arial" w:cs="Arial"/>
          <w:lang w:val="es-MX"/>
        </w:rPr>
        <w:t xml:space="preserve"> </w:t>
      </w:r>
      <w:bookmarkStart w:id="1" w:name="_Hlk115856579"/>
      <w:r w:rsidR="000119B0" w:rsidRPr="00E11B40">
        <w:rPr>
          <w:rFonts w:ascii="Arial" w:eastAsia="Calibri" w:hAnsi="Arial" w:cs="Arial"/>
          <w:lang w:val="es-MX"/>
        </w:rPr>
        <w:t>C-356 del 6 de julio de 2022</w:t>
      </w:r>
      <w:bookmarkEnd w:id="1"/>
      <w:r w:rsidR="001272D9" w:rsidRPr="00E11B40">
        <w:rPr>
          <w:rFonts w:ascii="Arial" w:eastAsia="Calibri" w:hAnsi="Arial" w:cs="Arial"/>
          <w:lang w:val="es-MX"/>
        </w:rPr>
        <w:t xml:space="preserve"> y C-654 del 7 de octubre de 2022</w:t>
      </w:r>
      <w:r w:rsidR="009F369D" w:rsidRPr="00E11B40">
        <w:rPr>
          <w:rFonts w:ascii="Arial" w:eastAsia="Arial" w:hAnsi="Arial" w:cs="Arial"/>
          <w:vertAlign w:val="superscript"/>
          <w:lang w:val="es-ES_tradnl" w:eastAsia="es-ES_tradnl"/>
        </w:rPr>
        <w:footnoteReference w:id="1"/>
      </w:r>
      <w:r w:rsidR="009F369D" w:rsidRPr="00E11B40">
        <w:rPr>
          <w:rFonts w:ascii="Arial" w:hAnsi="Arial" w:cs="Arial"/>
          <w:shd w:val="clear" w:color="auto" w:fill="FFFFFF"/>
        </w:rPr>
        <w:t>.</w:t>
      </w:r>
      <w:r w:rsidR="009F369D" w:rsidRPr="00E11B40">
        <w:rPr>
          <w:rFonts w:ascii="Arial" w:eastAsia="Calibri" w:hAnsi="Arial" w:cs="Arial"/>
          <w:lang w:val="es-ES_tradnl"/>
        </w:rPr>
        <w:t xml:space="preserve"> Algunas de las consideraciones de estos conceptos se reiteran y complementan en lo pertinente a continuación:</w:t>
      </w:r>
    </w:p>
    <w:p w14:paraId="1B34CC30" w14:textId="77777777" w:rsidR="00734BD3" w:rsidRPr="00E11B40" w:rsidRDefault="00734BD3" w:rsidP="00E11B40">
      <w:pPr>
        <w:tabs>
          <w:tab w:val="left" w:pos="426"/>
        </w:tabs>
        <w:spacing w:after="0" w:line="276" w:lineRule="auto"/>
        <w:contextualSpacing/>
        <w:jc w:val="both"/>
        <w:rPr>
          <w:rFonts w:ascii="Arial" w:eastAsia="Calibri" w:hAnsi="Arial" w:cs="Arial"/>
          <w:lang w:val="es-ES_tradnl"/>
        </w:rPr>
      </w:pPr>
      <w:bookmarkStart w:id="2" w:name="_Hlk120708003"/>
    </w:p>
    <w:p w14:paraId="538A0F39" w14:textId="33A6B257" w:rsidR="00734BD3" w:rsidRPr="00E11B40" w:rsidRDefault="00734BD3" w:rsidP="00E11B40">
      <w:pPr>
        <w:spacing w:after="0" w:line="276" w:lineRule="auto"/>
        <w:contextualSpacing/>
        <w:jc w:val="both"/>
        <w:rPr>
          <w:rFonts w:ascii="Arial" w:eastAsia="Arial" w:hAnsi="Arial" w:cs="Arial"/>
          <w:b/>
          <w:bCs/>
          <w:color w:val="000000"/>
          <w:lang w:val="es-ES_tradnl"/>
        </w:rPr>
      </w:pPr>
      <w:r w:rsidRPr="00E11B40">
        <w:rPr>
          <w:rFonts w:ascii="Arial" w:eastAsia="Arial" w:hAnsi="Arial" w:cs="Arial"/>
          <w:b/>
          <w:bCs/>
          <w:color w:val="000000"/>
          <w:lang w:val="es-ES_tradnl"/>
        </w:rPr>
        <w:t xml:space="preserve">2.1. </w:t>
      </w:r>
      <w:r w:rsidR="000138E5" w:rsidRPr="00E11B40">
        <w:rPr>
          <w:rFonts w:ascii="Arial" w:eastAsia="Arial" w:hAnsi="Arial" w:cs="Arial"/>
          <w:b/>
          <w:bCs/>
          <w:color w:val="000000"/>
          <w:lang w:val="es-ES_tradnl"/>
        </w:rPr>
        <w:t>Fundamentos jurídicos y evolución normativa de los documentos tipo</w:t>
      </w:r>
    </w:p>
    <w:bookmarkEnd w:id="2"/>
    <w:p w14:paraId="7276E9FA" w14:textId="77777777" w:rsidR="00734BD3" w:rsidRPr="00E11B40" w:rsidRDefault="00734BD3" w:rsidP="00E11B40">
      <w:pPr>
        <w:spacing w:after="0" w:line="276" w:lineRule="auto"/>
        <w:contextualSpacing/>
        <w:jc w:val="both"/>
        <w:rPr>
          <w:rFonts w:ascii="Arial" w:eastAsia="Calibri" w:hAnsi="Arial" w:cs="Arial"/>
          <w:color w:val="000000"/>
          <w:lang w:val="es-ES_tradnl"/>
        </w:rPr>
      </w:pPr>
    </w:p>
    <w:p w14:paraId="4D7A6178" w14:textId="489C754A" w:rsidR="00D35D94" w:rsidRPr="00E11B40" w:rsidRDefault="00D35D94" w:rsidP="009F369D">
      <w:pPr>
        <w:spacing w:after="120" w:line="276" w:lineRule="auto"/>
        <w:jc w:val="both"/>
        <w:rPr>
          <w:rFonts w:ascii="Arial" w:eastAsia="Calibri" w:hAnsi="Arial" w:cs="Arial"/>
          <w:color w:val="000000"/>
          <w:lang w:val="es-ES" w:eastAsia="es-ES_tradnl"/>
        </w:rPr>
      </w:pPr>
      <w:r w:rsidRPr="00E11B40">
        <w:rPr>
          <w:rFonts w:ascii="Arial" w:eastAsia="Calibri" w:hAnsi="Arial" w:cs="Arial"/>
          <w:color w:val="000000"/>
          <w:lang w:val="es-ES" w:eastAsia="es-ES_tradnl"/>
        </w:rPr>
        <w:t>La adopción de los documentos tipo obligatorios en el ordenamiento jurídico colombiano se incluyó por primera vez en el parágrafo 3 del artículo 2 de la Ley 1150 de 2007</w:t>
      </w:r>
      <w:r w:rsidRPr="00E11B40">
        <w:rPr>
          <w:rFonts w:ascii="Arial" w:eastAsia="Calibri" w:hAnsi="Arial" w:cs="Arial"/>
          <w:color w:val="000000"/>
          <w:vertAlign w:val="superscript"/>
          <w:lang w:val="es-ES" w:eastAsia="es-ES_tradnl"/>
        </w:rPr>
        <w:footnoteReference w:id="2"/>
      </w:r>
      <w:r w:rsidRPr="00E11B40">
        <w:rPr>
          <w:rFonts w:ascii="Arial" w:eastAsia="Calibri" w:hAnsi="Arial" w:cs="Arial"/>
          <w:color w:val="000000"/>
          <w:lang w:val="es-ES" w:eastAsia="es-ES_tradnl"/>
        </w:rPr>
        <w:t xml:space="preserve">, que facultó al </w:t>
      </w:r>
      <w:r w:rsidR="0086143A" w:rsidRPr="00E11B40">
        <w:rPr>
          <w:rFonts w:ascii="Arial" w:eastAsia="Calibri" w:hAnsi="Arial" w:cs="Arial"/>
          <w:color w:val="000000"/>
          <w:lang w:val="es-ES" w:eastAsia="es-ES_tradnl"/>
        </w:rPr>
        <w:t xml:space="preserve">Gobierno Nacional </w:t>
      </w:r>
      <w:r w:rsidRPr="00E11B40">
        <w:rPr>
          <w:rFonts w:ascii="Arial" w:eastAsia="Calibri" w:hAnsi="Arial" w:cs="Arial"/>
          <w:color w:val="000000"/>
          <w:lang w:val="es-ES" w:eastAsia="es-ES_tradnl"/>
        </w:rPr>
        <w:t>para expedirlos, cuando se tratara de la adquisición o suministro de bienes y servicios de características técnicas uniformes y de común utilización</w:t>
      </w:r>
      <w:r w:rsidR="0086143A" w:rsidRPr="00E11B40">
        <w:rPr>
          <w:rFonts w:ascii="Arial" w:eastAsia="Calibri" w:hAnsi="Arial" w:cs="Arial"/>
          <w:color w:val="000000"/>
          <w:lang w:val="es-ES" w:eastAsia="es-ES_tradnl"/>
        </w:rPr>
        <w:t xml:space="preserve">. Sin embargo, esta </w:t>
      </w:r>
      <w:r w:rsidRPr="00E11B40">
        <w:rPr>
          <w:rFonts w:ascii="Arial" w:eastAsia="Calibri" w:hAnsi="Arial" w:cs="Arial"/>
          <w:color w:val="000000"/>
          <w:lang w:val="es-ES" w:eastAsia="es-ES_tradnl"/>
        </w:rPr>
        <w:t xml:space="preserve">facultad que no ha sido ejercida hasta la actualidad. </w:t>
      </w:r>
    </w:p>
    <w:p w14:paraId="5AEB00FE" w14:textId="77777777" w:rsidR="00775D5F" w:rsidRPr="00E11B40" w:rsidRDefault="00775D5F" w:rsidP="009F369D">
      <w:pPr>
        <w:spacing w:after="120" w:line="276" w:lineRule="auto"/>
        <w:jc w:val="both"/>
        <w:rPr>
          <w:rFonts w:ascii="Arial" w:eastAsia="Calibri" w:hAnsi="Arial" w:cs="Arial"/>
          <w:color w:val="000000"/>
          <w:lang w:val="es-ES" w:eastAsia="es-ES_tradnl"/>
        </w:rPr>
      </w:pPr>
    </w:p>
    <w:p w14:paraId="6AFA09F7" w14:textId="5550ED61" w:rsidR="00D35D94" w:rsidRPr="00E11B40" w:rsidRDefault="00D35D94" w:rsidP="009F369D">
      <w:pPr>
        <w:spacing w:after="120" w:line="276" w:lineRule="auto"/>
        <w:ind w:firstLine="708"/>
        <w:jc w:val="both"/>
        <w:rPr>
          <w:rFonts w:ascii="Arial" w:eastAsia="Calibri" w:hAnsi="Arial" w:cs="Arial"/>
          <w:color w:val="000000"/>
          <w:lang w:val="es-ES" w:eastAsia="es-ES_tradnl"/>
        </w:rPr>
      </w:pPr>
      <w:r w:rsidRPr="00E11B40">
        <w:rPr>
          <w:rFonts w:ascii="Arial" w:eastAsia="Calibri" w:hAnsi="Arial" w:cs="Arial"/>
          <w:color w:val="000000"/>
          <w:lang w:val="es-ES" w:eastAsia="es-ES_tradnl"/>
        </w:rPr>
        <w:t>Debido a lo anterior, el artículo 4 de la Ley 1882 de 2018</w:t>
      </w:r>
      <w:r w:rsidR="0086143A" w:rsidRPr="00E11B40">
        <w:rPr>
          <w:rFonts w:ascii="Arial" w:eastAsia="Calibri" w:hAnsi="Arial" w:cs="Arial"/>
          <w:color w:val="000000"/>
          <w:lang w:val="es-ES" w:eastAsia="es-ES_tradnl"/>
        </w:rPr>
        <w:t>, por medio del cual se adicionó el parágrafo 7 del artículo 2 de la Ley 1150 de 2007,</w:t>
      </w:r>
      <w:r w:rsidRPr="00E11B40">
        <w:rPr>
          <w:rFonts w:ascii="Arial" w:eastAsia="Calibri" w:hAnsi="Arial" w:cs="Arial"/>
          <w:color w:val="000000"/>
          <w:lang w:val="es-ES" w:eastAsia="es-ES_tradnl"/>
        </w:rPr>
        <w:t xml:space="preserve">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34E68781" w14:textId="77777777" w:rsidR="00775D5F" w:rsidRPr="00E11B40" w:rsidRDefault="00775D5F" w:rsidP="00E11B40">
      <w:pPr>
        <w:spacing w:after="120" w:line="276" w:lineRule="auto"/>
        <w:ind w:firstLine="708"/>
        <w:jc w:val="both"/>
        <w:rPr>
          <w:rFonts w:ascii="Arial" w:eastAsia="Calibri" w:hAnsi="Arial" w:cs="Arial"/>
          <w:color w:val="000000"/>
          <w:lang w:val="es-ES" w:eastAsia="es-ES_tradnl"/>
        </w:rPr>
      </w:pPr>
    </w:p>
    <w:p w14:paraId="155D2C9D" w14:textId="52B3B703" w:rsidR="00D35D94" w:rsidRPr="00E11B40" w:rsidRDefault="00D35D94" w:rsidP="009F369D">
      <w:pPr>
        <w:spacing w:before="120" w:after="120" w:line="276" w:lineRule="auto"/>
        <w:ind w:firstLine="708"/>
        <w:jc w:val="both"/>
        <w:rPr>
          <w:rFonts w:ascii="Arial" w:eastAsia="Calibri" w:hAnsi="Arial" w:cs="Arial"/>
          <w:color w:val="000000"/>
          <w:lang w:val="es-ES" w:eastAsia="es-ES_tradnl"/>
        </w:rPr>
      </w:pPr>
      <w:r w:rsidRPr="00E11B40">
        <w:rPr>
          <w:rFonts w:ascii="Arial" w:eastAsia="Calibri" w:hAnsi="Arial" w:cs="Arial"/>
          <w:color w:val="000000"/>
          <w:lang w:val="es-ES" w:eastAsia="es-ES_tradnl"/>
        </w:rPr>
        <w:t xml:space="preserve">La Ley 1882 de 2018, en el artículo 4, establecía que el </w:t>
      </w:r>
      <w:r w:rsidR="0086143A" w:rsidRPr="00E11B40">
        <w:rPr>
          <w:rFonts w:ascii="Arial" w:eastAsia="Calibri" w:hAnsi="Arial" w:cs="Arial"/>
          <w:color w:val="000000"/>
          <w:lang w:val="es-ES" w:eastAsia="es-ES_tradnl"/>
        </w:rPr>
        <w:t xml:space="preserve">Gobierno Nacional </w:t>
      </w:r>
      <w:r w:rsidRPr="00E11B40">
        <w:rPr>
          <w:rFonts w:ascii="Arial" w:eastAsia="Calibri" w:hAnsi="Arial" w:cs="Arial"/>
          <w:color w:val="000000"/>
          <w:lang w:val="es-ES" w:eastAsia="es-ES_tradnl"/>
        </w:rPr>
        <w:t>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E11B40">
        <w:rPr>
          <w:rFonts w:ascii="Arial" w:eastAsia="Calibri" w:hAnsi="Arial" w:cs="Arial"/>
          <w:color w:val="000000"/>
          <w:vertAlign w:val="superscript"/>
          <w:lang w:val="es-ES" w:eastAsia="es-ES_tradnl"/>
        </w:rPr>
        <w:footnoteReference w:id="3"/>
      </w:r>
      <w:r w:rsidRPr="00E11B40">
        <w:rPr>
          <w:rFonts w:ascii="Arial" w:eastAsia="Calibri" w:hAnsi="Arial" w:cs="Arial"/>
          <w:color w:val="000000"/>
          <w:lang w:val="es-ES" w:eastAsia="es-ES_tradnl"/>
        </w:rPr>
        <w:t>.</w:t>
      </w:r>
    </w:p>
    <w:p w14:paraId="32853B75" w14:textId="3F2B81F1" w:rsidR="00D35D94" w:rsidRPr="00E11B40" w:rsidRDefault="00D35D94" w:rsidP="009F369D">
      <w:pPr>
        <w:spacing w:before="120" w:after="120" w:line="276" w:lineRule="auto"/>
        <w:jc w:val="both"/>
        <w:rPr>
          <w:rFonts w:ascii="Arial" w:eastAsia="Calibri" w:hAnsi="Arial" w:cs="Arial"/>
          <w:color w:val="000000"/>
          <w:lang w:val="es-ES" w:eastAsia="es-ES_tradnl"/>
        </w:rPr>
      </w:pPr>
      <w:r w:rsidRPr="00E11B40">
        <w:rPr>
          <w:rFonts w:ascii="Arial" w:eastAsia="Calibri" w:hAnsi="Arial" w:cs="Arial"/>
          <w:color w:val="000000"/>
          <w:lang w:val="es-ES" w:eastAsia="es-ES_tradnl"/>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w:t>
      </w:r>
      <w:r w:rsidR="00DC63CC" w:rsidRPr="00E11B40">
        <w:rPr>
          <w:rFonts w:ascii="Arial" w:eastAsia="Calibri" w:hAnsi="Arial" w:cs="Arial"/>
          <w:color w:val="000000"/>
          <w:lang w:val="es-ES" w:eastAsia="es-ES_tradnl"/>
        </w:rPr>
        <w:t xml:space="preserve">Gobierno </w:t>
      </w:r>
      <w:r w:rsidRPr="00E11B40">
        <w:rPr>
          <w:rFonts w:ascii="Arial" w:eastAsia="Calibri" w:hAnsi="Arial" w:cs="Arial"/>
          <w:color w:val="000000"/>
          <w:lang w:val="es-ES" w:eastAsia="es-ES_tradnl"/>
        </w:rPr>
        <w:t xml:space="preserve">tendría en cuenta las características propias de las regiones con el ánimo de promover el empleo local. Por último, se facultaba al </w:t>
      </w:r>
      <w:r w:rsidR="00DC63CC" w:rsidRPr="00E11B40">
        <w:rPr>
          <w:rFonts w:ascii="Arial" w:eastAsia="Calibri" w:hAnsi="Arial" w:cs="Arial"/>
          <w:color w:val="000000"/>
          <w:lang w:val="es-ES" w:eastAsia="es-ES_tradnl"/>
        </w:rPr>
        <w:t xml:space="preserve">Gobierno </w:t>
      </w:r>
      <w:r w:rsidRPr="00E11B40">
        <w:rPr>
          <w:rFonts w:ascii="Arial" w:eastAsia="Calibri" w:hAnsi="Arial" w:cs="Arial"/>
          <w:color w:val="000000"/>
          <w:lang w:val="es-ES" w:eastAsia="es-ES_tradnl"/>
        </w:rPr>
        <w:t xml:space="preserve">para adoptar los documentos tipo cuando lo considerara necesario en relación con otros contratos o procesos de selección. </w:t>
      </w:r>
    </w:p>
    <w:p w14:paraId="3C46C8BA" w14:textId="77777777" w:rsidR="00D35D94" w:rsidRPr="00E11B40" w:rsidRDefault="00D35D94" w:rsidP="009F369D">
      <w:pPr>
        <w:spacing w:before="120" w:after="120" w:line="276" w:lineRule="auto"/>
        <w:jc w:val="both"/>
        <w:rPr>
          <w:rFonts w:ascii="Arial" w:eastAsia="Calibri" w:hAnsi="Arial" w:cs="Arial"/>
          <w:color w:val="000000"/>
          <w:lang w:val="es-ES" w:eastAsia="es-ES_tradnl"/>
        </w:rPr>
      </w:pPr>
      <w:r w:rsidRPr="00E11B40">
        <w:rPr>
          <w:rFonts w:ascii="Arial" w:eastAsia="Calibri" w:hAnsi="Arial" w:cs="Arial"/>
          <w:color w:val="000000"/>
          <w:lang w:val="es-ES" w:eastAsia="es-ES_tradnl"/>
        </w:rPr>
        <w:tab/>
        <w:t xml:space="preserve">De la norma descrita se concluía lo siguiente: i) la adopción de los documentos tipo estaba en cabeza del gobierno nacional; </w:t>
      </w:r>
      <w:proofErr w:type="spellStart"/>
      <w:r w:rsidRPr="00E11B40">
        <w:rPr>
          <w:rFonts w:ascii="Arial" w:eastAsia="Calibri" w:hAnsi="Arial" w:cs="Arial"/>
          <w:color w:val="000000"/>
          <w:lang w:val="es-ES" w:eastAsia="es-ES_tradnl"/>
        </w:rPr>
        <w:t>ii</w:t>
      </w:r>
      <w:proofErr w:type="spellEnd"/>
      <w:r w:rsidRPr="00E11B40">
        <w:rPr>
          <w:rFonts w:ascii="Arial" w:eastAsia="Calibri" w:hAnsi="Arial" w:cs="Arial"/>
          <w:color w:val="000000"/>
          <w:lang w:val="es-ES" w:eastAsia="es-ES_tradnl"/>
        </w:rPr>
        <w:t xml:space="preserve">) estos debían relacionarse con procesos de obra públicas, interventoría para las obras públicas, interventoría para consultoría de estudios y diseños y, finalmente, consultoría en ingeniería para obras; </w:t>
      </w:r>
      <w:proofErr w:type="spellStart"/>
      <w:r w:rsidRPr="00E11B40">
        <w:rPr>
          <w:rFonts w:ascii="Arial" w:eastAsia="Calibri" w:hAnsi="Arial" w:cs="Arial"/>
          <w:color w:val="000000"/>
          <w:lang w:val="es-ES" w:eastAsia="es-ES_tradnl"/>
        </w:rPr>
        <w:t>iii</w:t>
      </w:r>
      <w:proofErr w:type="spellEnd"/>
      <w:r w:rsidRPr="00E11B40">
        <w:rPr>
          <w:rFonts w:ascii="Arial" w:eastAsia="Calibri" w:hAnsi="Arial" w:cs="Arial"/>
          <w:color w:val="000000"/>
          <w:lang w:val="es-ES" w:eastAsia="es-ES_tradnl"/>
        </w:rPr>
        <w:t xml:space="preserve">) eran de obligatorio </w:t>
      </w:r>
      <w:r w:rsidRPr="00E11B40">
        <w:rPr>
          <w:rFonts w:ascii="Arial" w:eastAsia="Calibri" w:hAnsi="Arial" w:cs="Arial"/>
          <w:color w:val="000000"/>
          <w:lang w:val="es-ES" w:eastAsia="es-ES_tradnl"/>
        </w:rPr>
        <w:lastRenderedPageBreak/>
        <w:t xml:space="preserve">cumplimiento por parte de todas las entidades sometidas al Estatuto General de Contratación de la Administración Pública; </w:t>
      </w:r>
      <w:proofErr w:type="spellStart"/>
      <w:r w:rsidRPr="00E11B40">
        <w:rPr>
          <w:rFonts w:ascii="Arial" w:eastAsia="Calibri" w:hAnsi="Arial" w:cs="Arial"/>
          <w:color w:val="000000"/>
          <w:lang w:val="es-ES" w:eastAsia="es-ES_tradnl"/>
        </w:rPr>
        <w:t>iv</w:t>
      </w:r>
      <w:proofErr w:type="spellEnd"/>
      <w:r w:rsidRPr="00E11B40">
        <w:rPr>
          <w:rFonts w:ascii="Arial" w:eastAsia="Calibri" w:hAnsi="Arial" w:cs="Arial"/>
          <w:color w:val="000000"/>
          <w:lang w:val="es-ES" w:eastAsia="es-ES_tradnl"/>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 </w:t>
      </w:r>
    </w:p>
    <w:p w14:paraId="028F5D84" w14:textId="77777777" w:rsidR="00D35D94" w:rsidRPr="00E11B40" w:rsidRDefault="00D35D94" w:rsidP="009F369D">
      <w:pPr>
        <w:spacing w:before="120" w:after="120" w:line="276" w:lineRule="auto"/>
        <w:jc w:val="both"/>
        <w:rPr>
          <w:rFonts w:ascii="Arial" w:eastAsia="Calibri" w:hAnsi="Arial" w:cs="Arial"/>
          <w:color w:val="000000"/>
          <w:lang w:val="es-ES" w:eastAsia="es-ES_tradnl"/>
        </w:rPr>
      </w:pPr>
      <w:r w:rsidRPr="00E11B40">
        <w:rPr>
          <w:rFonts w:ascii="Arial" w:eastAsia="Calibri" w:hAnsi="Arial" w:cs="Arial"/>
          <w:color w:val="000000"/>
          <w:lang w:val="es-ES" w:eastAsia="es-ES_tradnl"/>
        </w:rPr>
        <w:tab/>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E11B40">
        <w:rPr>
          <w:rFonts w:ascii="Arial" w:eastAsia="Calibri" w:hAnsi="Arial" w:cs="Arial"/>
          <w:color w:val="000000"/>
          <w:vertAlign w:val="superscript"/>
          <w:lang w:val="es-ES" w:eastAsia="es-ES_tradnl"/>
        </w:rPr>
        <w:footnoteReference w:id="4"/>
      </w:r>
      <w:r w:rsidRPr="00E11B40">
        <w:rPr>
          <w:rFonts w:ascii="Arial" w:eastAsia="Calibri" w:hAnsi="Arial" w:cs="Arial"/>
          <w:color w:val="000000"/>
          <w:lang w:val="es-ES" w:eastAsia="es-ES_tradnl"/>
        </w:rPr>
        <w:t>.</w:t>
      </w:r>
    </w:p>
    <w:p w14:paraId="5103518A" w14:textId="77777777" w:rsidR="00D35D94" w:rsidRPr="00E11B40" w:rsidRDefault="00D35D94" w:rsidP="009F369D">
      <w:pPr>
        <w:spacing w:before="120" w:after="120" w:line="276" w:lineRule="auto"/>
        <w:jc w:val="both"/>
        <w:rPr>
          <w:rFonts w:ascii="Arial" w:eastAsia="Calibri" w:hAnsi="Arial" w:cs="Arial"/>
          <w:color w:val="000000"/>
          <w:lang w:val="es-ES" w:eastAsia="es-ES_tradnl"/>
        </w:rPr>
      </w:pPr>
      <w:r w:rsidRPr="00E11B40">
        <w:rPr>
          <w:rFonts w:ascii="Arial" w:eastAsia="Calibri" w:hAnsi="Arial" w:cs="Arial"/>
          <w:color w:val="000000"/>
          <w:lang w:val="es-ES" w:eastAsia="es-ES_tradnl"/>
        </w:rPr>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075C0B02" w14:textId="1D5CF068" w:rsidR="00D35D94" w:rsidRPr="00E11B40" w:rsidRDefault="00D35D94" w:rsidP="009F369D">
      <w:pPr>
        <w:spacing w:before="120" w:after="120" w:line="276" w:lineRule="auto"/>
        <w:jc w:val="both"/>
        <w:rPr>
          <w:rFonts w:ascii="Arial" w:eastAsia="Calibri" w:hAnsi="Arial" w:cs="Arial"/>
          <w:lang w:val="es-ES"/>
        </w:rPr>
      </w:pPr>
      <w:r w:rsidRPr="00E11B40">
        <w:rPr>
          <w:rFonts w:ascii="Arial" w:eastAsia="Calibri" w:hAnsi="Arial" w:cs="Arial"/>
          <w:color w:val="000000"/>
          <w:lang w:val="es-ES" w:eastAsia="es-ES_tradnl"/>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w:t>
      </w:r>
      <w:r w:rsidR="001F6A24" w:rsidRPr="00E11B40">
        <w:rPr>
          <w:rFonts w:ascii="Arial" w:eastAsia="Calibri" w:hAnsi="Arial" w:cs="Arial"/>
          <w:color w:val="000000"/>
          <w:lang w:val="es-ES" w:eastAsia="es-ES_tradnl"/>
        </w:rPr>
        <w:t xml:space="preserve">Gobierno Nacional </w:t>
      </w:r>
      <w:r w:rsidRPr="00E11B40">
        <w:rPr>
          <w:rFonts w:ascii="Arial" w:eastAsia="Calibri" w:hAnsi="Arial" w:cs="Arial"/>
          <w:color w:val="000000"/>
          <w:lang w:val="es-ES" w:eastAsia="es-ES_tradnl"/>
        </w:rPr>
        <w:t xml:space="preserve">en virtud de esta ley. </w:t>
      </w:r>
      <w:r w:rsidRPr="00E11B40">
        <w:rPr>
          <w:rFonts w:ascii="Arial" w:eastAsia="Calibri" w:hAnsi="Arial" w:cs="Arial"/>
          <w:lang w:val="es-ES"/>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711EF71B" w14:textId="77777777" w:rsidR="00D35D94" w:rsidRPr="00E11B40" w:rsidRDefault="00D35D94" w:rsidP="009F369D">
      <w:pPr>
        <w:spacing w:before="120" w:after="120" w:line="276" w:lineRule="auto"/>
        <w:jc w:val="both"/>
        <w:rPr>
          <w:rFonts w:ascii="Arial" w:eastAsia="Calibri" w:hAnsi="Arial" w:cs="Arial"/>
          <w:color w:val="000000"/>
          <w:lang w:val="es-ES" w:eastAsia="es-ES_tradnl"/>
        </w:rPr>
      </w:pPr>
      <w:r w:rsidRPr="00E11B40">
        <w:rPr>
          <w:rFonts w:ascii="Arial" w:eastAsia="Calibri" w:hAnsi="Arial" w:cs="Arial"/>
          <w:lang w:val="es-ES"/>
        </w:rPr>
        <w:tab/>
        <w:t xml:space="preserve">Posteriormente, se expidió el Decreto 2096 del 21 de noviembre de 2019, que permitió el desarrollo de los documentos tipo para los pliegos de condiciones de los </w:t>
      </w:r>
      <w:r w:rsidRPr="00E11B40">
        <w:rPr>
          <w:rFonts w:ascii="Arial" w:eastAsia="Calibri" w:hAnsi="Arial" w:cs="Arial"/>
          <w:lang w:val="es-ES"/>
        </w:rPr>
        <w:lastRenderedPageBreak/>
        <w:t>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E11B40" w:rsidDel="00A434AB">
        <w:rPr>
          <w:rFonts w:ascii="Arial" w:eastAsia="Calibri" w:hAnsi="Arial" w:cs="Arial"/>
          <w:lang w:val="es-ES"/>
        </w:rPr>
        <w:t xml:space="preserve"> </w:t>
      </w:r>
      <w:r w:rsidRPr="00E11B40">
        <w:rPr>
          <w:rFonts w:ascii="Arial" w:eastAsia="Calibri" w:hAnsi="Arial" w:cs="Arial"/>
          <w:lang w:val="es-ES"/>
        </w:rPr>
        <w:t>de infraestructura de transporte que se surtieran por la modalidad de mínima cuantía. Estos documentos fueron implementados y desarrollados por la Agencia Nacional de Contratación Pública – Colombia Compra Eficiente, por medio de la Resolución 1798 de 1 de abril de 2019 –derogada por la Resolución 045 del 14 de febrero de 2020–, la Resolución 044 del 14 de febrero de 2020 y la Resolución 094 del 21 de mayo de 2020.</w:t>
      </w:r>
    </w:p>
    <w:p w14:paraId="0E390940" w14:textId="77777777" w:rsidR="001F6A24" w:rsidRPr="00E11B40" w:rsidRDefault="00D35D94" w:rsidP="009F369D">
      <w:pPr>
        <w:spacing w:before="120" w:after="120" w:line="276" w:lineRule="auto"/>
        <w:ind w:firstLine="709"/>
        <w:jc w:val="both"/>
        <w:rPr>
          <w:rFonts w:ascii="Arial" w:eastAsia="Calibri" w:hAnsi="Arial" w:cs="Arial"/>
          <w:color w:val="000000"/>
          <w:lang w:val="es-ES" w:eastAsia="es-ES"/>
        </w:rPr>
      </w:pPr>
      <w:r w:rsidRPr="00E11B40">
        <w:rPr>
          <w:rFonts w:ascii="Arial" w:eastAsia="Calibri" w:hAnsi="Arial" w:cs="Arial"/>
          <w:color w:val="000000"/>
          <w:lang w:val="es-ES" w:eastAsia="es-ES"/>
        </w:rPr>
        <w:t>Por otra parte</w:t>
      </w:r>
      <w:r w:rsidRPr="00E11B40">
        <w:rPr>
          <w:rFonts w:ascii="Arial" w:eastAsia="Calibri" w:hAnsi="Arial" w:cs="Arial"/>
          <w:i/>
          <w:iCs/>
          <w:color w:val="000000"/>
          <w:lang w:val="es-ES" w:eastAsia="es-ES"/>
        </w:rPr>
        <w:t>,</w:t>
      </w:r>
      <w:r w:rsidRPr="00E11B40">
        <w:rPr>
          <w:rFonts w:ascii="Arial" w:eastAsia="Calibri" w:hAnsi="Arial" w:cs="Arial"/>
          <w:color w:val="000000"/>
          <w:lang w:val="es-ES" w:eastAsia="es-ES"/>
        </w:rPr>
        <w:t xml:space="preserve"> debe tenerse en cuenta que </w:t>
      </w:r>
      <w:r w:rsidR="00A02BDB" w:rsidRPr="00E11B40">
        <w:rPr>
          <w:rFonts w:ascii="Arial" w:eastAsia="Calibri" w:hAnsi="Arial" w:cs="Arial"/>
          <w:color w:val="000000"/>
          <w:lang w:val="es-ES" w:eastAsia="es-ES"/>
        </w:rPr>
        <w:t xml:space="preserve">el 22 de julio de 2020 fue sancionada la </w:t>
      </w:r>
      <w:r w:rsidRPr="00E11B40">
        <w:rPr>
          <w:rFonts w:ascii="Arial" w:eastAsia="Calibri" w:hAnsi="Arial" w:cs="Arial"/>
          <w:color w:val="000000"/>
          <w:lang w:val="es-ES" w:eastAsia="es-ES"/>
        </w:rPr>
        <w:t xml:space="preserve">Ley 2022 de 2020 por el </w:t>
      </w:r>
      <w:proofErr w:type="gramStart"/>
      <w:r w:rsidRPr="00E11B40">
        <w:rPr>
          <w:rFonts w:ascii="Arial" w:eastAsia="Calibri" w:hAnsi="Arial" w:cs="Arial"/>
          <w:color w:val="000000"/>
          <w:lang w:val="es-ES" w:eastAsia="es-ES"/>
        </w:rPr>
        <w:t>Presidente</w:t>
      </w:r>
      <w:proofErr w:type="gramEnd"/>
      <w:r w:rsidRPr="00E11B40">
        <w:rPr>
          <w:rFonts w:ascii="Arial" w:eastAsia="Calibri" w:hAnsi="Arial" w:cs="Arial"/>
          <w:color w:val="000000"/>
          <w:lang w:val="es-ES" w:eastAsia="es-ES"/>
        </w:rPr>
        <w:t xml:space="preserve"> de la República,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sidRPr="00E11B40">
        <w:rPr>
          <w:rFonts w:ascii="Arial" w:eastAsia="Calibri" w:hAnsi="Arial" w:cs="Arial"/>
          <w:color w:val="000000"/>
          <w:vertAlign w:val="superscript"/>
          <w:lang w:val="es-ES" w:eastAsia="es-ES"/>
        </w:rPr>
        <w:footnoteReference w:id="5"/>
      </w:r>
      <w:r w:rsidRPr="00E11B40">
        <w:rPr>
          <w:rFonts w:ascii="Arial" w:eastAsia="Calibri" w:hAnsi="Arial" w:cs="Arial"/>
          <w:color w:val="000000"/>
          <w:lang w:val="es-ES" w:eastAsia="es-ES"/>
        </w:rPr>
        <w:t xml:space="preserve">.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0A4A3CAC" w14:textId="522F06CF" w:rsidR="001F6A24" w:rsidRPr="00E11B40" w:rsidRDefault="001F6A24" w:rsidP="009F369D">
      <w:pPr>
        <w:spacing w:before="120" w:after="120" w:line="276" w:lineRule="auto"/>
        <w:ind w:firstLine="709"/>
        <w:jc w:val="both"/>
        <w:rPr>
          <w:rFonts w:ascii="Arial" w:eastAsia="Calibri" w:hAnsi="Arial" w:cs="Arial"/>
          <w:color w:val="000000"/>
          <w:lang w:val="es-ES" w:eastAsia="es-ES"/>
        </w:rPr>
      </w:pPr>
      <w:r w:rsidRPr="00E11B40">
        <w:rPr>
          <w:rFonts w:ascii="Arial" w:eastAsia="Calibri" w:hAnsi="Arial" w:cs="Arial"/>
          <w:color w:val="000000"/>
          <w:lang w:val="es-ES" w:eastAsia="es-ES"/>
        </w:rPr>
        <w:t>C</w:t>
      </w:r>
      <w:r w:rsidR="00D35D94" w:rsidRPr="00E11B40">
        <w:rPr>
          <w:rFonts w:ascii="Arial" w:eastAsia="Calibri" w:hAnsi="Arial" w:cs="Arial"/>
          <w:color w:val="000000"/>
          <w:lang w:val="es-ES" w:eastAsia="es-ES"/>
        </w:rPr>
        <w:t xml:space="preserve">on fundamento en dicha Ley,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w:t>
      </w:r>
      <w:proofErr w:type="gramStart"/>
      <w:r w:rsidR="00D35D94" w:rsidRPr="00E11B40">
        <w:rPr>
          <w:rFonts w:ascii="Arial" w:eastAsia="Calibri" w:hAnsi="Arial" w:cs="Arial"/>
          <w:color w:val="000000"/>
          <w:lang w:val="es-ES" w:eastAsia="es-ES"/>
        </w:rPr>
        <w:t>entró en vigencia</w:t>
      </w:r>
      <w:proofErr w:type="gramEnd"/>
      <w:r w:rsidR="00D35D94" w:rsidRPr="00E11B40">
        <w:rPr>
          <w:rFonts w:ascii="Arial" w:eastAsia="Calibri" w:hAnsi="Arial" w:cs="Arial"/>
          <w:color w:val="000000"/>
          <w:lang w:val="es-ES" w:eastAsia="es-ES"/>
        </w:rPr>
        <w:t xml:space="preserve"> la Resolución 256 de 2020, «Por la cual </w:t>
      </w:r>
      <w:r w:rsidR="00D35D94" w:rsidRPr="00E11B40">
        <w:rPr>
          <w:rFonts w:ascii="Arial" w:eastAsia="Calibri" w:hAnsi="Arial" w:cs="Arial"/>
          <w:color w:val="000000"/>
          <w:lang w:val="es-ES" w:eastAsia="es-ES"/>
        </w:rPr>
        <w:lastRenderedPageBreak/>
        <w:t xml:space="preserve">se adoptan los documentos tipo para los procesos de selección de concursos de méritos, para contratar la interventoría de obras públicas de infraestructura de transporte». </w:t>
      </w:r>
    </w:p>
    <w:p w14:paraId="6FABA4A8" w14:textId="67999732" w:rsidR="00D35D94" w:rsidRPr="00E11B40" w:rsidRDefault="00D35D94" w:rsidP="00E11B40">
      <w:pPr>
        <w:spacing w:before="120" w:after="120" w:line="276" w:lineRule="auto"/>
        <w:ind w:firstLine="709"/>
        <w:jc w:val="both"/>
        <w:rPr>
          <w:rFonts w:ascii="Arial" w:eastAsia="Calibri" w:hAnsi="Arial" w:cs="Arial"/>
          <w:color w:val="000000"/>
          <w:lang w:val="es-ES" w:eastAsia="es-ES"/>
        </w:rPr>
      </w:pPr>
      <w:r w:rsidRPr="00E11B40">
        <w:rPr>
          <w:rFonts w:ascii="Arial" w:eastAsia="Calibri" w:hAnsi="Arial" w:cs="Arial"/>
          <w:color w:val="000000"/>
          <w:lang w:val="es-ES" w:eastAsia="es-ES"/>
        </w:rPr>
        <w:t>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y la Resolución 269 de 2020, «Por la cual se adopta el documento tipo para los procesos de gestión catastral con enfoque multipropósito que se celebren a través de contratos interadministrativos».</w:t>
      </w:r>
    </w:p>
    <w:p w14:paraId="26D8C176" w14:textId="7B911E33" w:rsidR="00D35D94" w:rsidRPr="00E11B40" w:rsidRDefault="00D35D94" w:rsidP="009F369D">
      <w:pPr>
        <w:spacing w:before="120" w:after="120" w:line="276" w:lineRule="auto"/>
        <w:ind w:firstLine="709"/>
        <w:jc w:val="both"/>
        <w:rPr>
          <w:rFonts w:ascii="Arial" w:eastAsia="Calibri" w:hAnsi="Arial" w:cs="Arial"/>
          <w:lang w:val="es-ES" w:eastAsia="es-ES"/>
        </w:rPr>
      </w:pPr>
      <w:r w:rsidRPr="00E11B40">
        <w:rPr>
          <w:rFonts w:ascii="Arial" w:eastAsia="Calibri" w:hAnsi="Arial" w:cs="Arial"/>
          <w:color w:val="000000"/>
          <w:lang w:val="es-ES" w:eastAsia="es-ES"/>
        </w:rPr>
        <w:t>Asimismo, en el transcurso del año 2021, esta Agencia expidió</w:t>
      </w:r>
      <w:r w:rsidR="001F6A24" w:rsidRPr="00E11B40">
        <w:rPr>
          <w:rFonts w:ascii="Arial" w:eastAsia="Calibri" w:hAnsi="Arial" w:cs="Arial"/>
          <w:lang w:val="es-ES" w:eastAsia="es-ES"/>
        </w:rPr>
        <w:t xml:space="preserve"> la Resolución 161 de 2021 «Por la cual se modifican los documentos tipo adoptados por la Agencia Nacional de Contratación Pública - Colombia Compra Eficiente», esta última versión de los pliegos tipo rige desde el 28 de junio de 2021. Además, se profirió</w:t>
      </w:r>
      <w:r w:rsidRPr="00E11B40">
        <w:rPr>
          <w:rFonts w:ascii="Arial" w:eastAsia="Calibri" w:hAnsi="Arial" w:cs="Arial"/>
          <w:color w:val="000000"/>
          <w:lang w:val="es-ES" w:eastAsia="es-ES"/>
        </w:rPr>
        <w:t xml:space="preserve"> la Resolución 193 del 14 de julio de 2021 «Por la cual se adoptan los documentos tipo para los procesos de </w:t>
      </w:r>
      <w:r w:rsidRPr="00E11B40">
        <w:rPr>
          <w:rFonts w:ascii="Arial" w:eastAsia="Calibri" w:hAnsi="Arial" w:cs="Arial"/>
          <w:lang w:val="es-ES" w:eastAsia="es-ES"/>
        </w:rPr>
        <w:t>selección de concurso de méritos, para contratar la consultoría de estudios de ingeniería de infraestructura de transporte». De igual forma, el 6 de agosto de 2021, se adoptaron las Resoluciones 219 de 2021 «Por la cual se adoptan los documentos tipo para los procesos de licitación de obra pública de infraestructura social» y 220 de 2021 «Por la cual se adoptan los documentos tipo complementarios para los procesos de licitación de obra pública de infraestructura social relacionados con el sector educativo». Estos últimos documentos tipo tienen la particularidad de que los documentos adoptados por la Resolución de 219 de 2021 serán utilizados en forma transversal en los sectores de educación, salud y recreación, cultura y deporte. En esta línea, se expidió la Resolución 392 del 18 de noviembre de 2021 «Luego, se expidió la Resolución 454 del 16 de diciembre de 2021 «</w:t>
      </w:r>
      <w:r w:rsidRPr="00E11B40">
        <w:rPr>
          <w:rFonts w:ascii="Arial" w:eastAsia="Calibri" w:hAnsi="Arial" w:cs="Arial"/>
          <w:lang w:val="es-MX"/>
        </w:rPr>
        <w:t>Por la cual se adoptan los documentos tipo complementarios para los procesos de licitación de obra pública de infraestructura social relacionados con el sector cultura, recreación y deporte</w:t>
      </w:r>
      <w:r w:rsidRPr="00E11B40">
        <w:rPr>
          <w:rFonts w:ascii="Arial" w:eastAsia="Calibri" w:hAnsi="Arial" w:cs="Arial"/>
          <w:lang w:val="es-ES" w:eastAsia="es-ES"/>
        </w:rPr>
        <w:t>»</w:t>
      </w:r>
      <w:r w:rsidRPr="00E11B40">
        <w:rPr>
          <w:rFonts w:ascii="Arial" w:eastAsia="Calibri" w:hAnsi="Arial" w:cs="Arial"/>
          <w:lang w:val="es-MX"/>
        </w:rPr>
        <w:t>.</w:t>
      </w:r>
    </w:p>
    <w:p w14:paraId="7F4A8E65" w14:textId="4086015B" w:rsidR="00D35D94" w:rsidRPr="00E11B40" w:rsidRDefault="00D35D94" w:rsidP="009F369D">
      <w:pPr>
        <w:spacing w:after="120" w:line="276" w:lineRule="auto"/>
        <w:ind w:firstLine="708"/>
        <w:jc w:val="both"/>
        <w:rPr>
          <w:rFonts w:ascii="Arial" w:eastAsia="Calibri" w:hAnsi="Arial" w:cs="Arial"/>
          <w:spacing w:val="2"/>
          <w:lang w:eastAsia="es-CO"/>
        </w:rPr>
      </w:pPr>
      <w:r w:rsidRPr="00E11B40">
        <w:rPr>
          <w:rFonts w:ascii="Arial" w:eastAsia="Times New Roman" w:hAnsi="Arial" w:cs="Arial"/>
          <w:spacing w:val="2"/>
          <w:lang w:eastAsia="es-CO"/>
        </w:rPr>
        <w:t xml:space="preserve">Posteriormente, el Decreto 680 del 22 de junio de 2021 modificó la regla de origen aplicable a los Servicios Nacionales, con el fin de acercar el mercado de compras públicas a las empresas colombianas de manera directa o indirecta, promoviendo el empleo en el país y generando emparejamientos y encadenamientos productivos. En este sentido, el parágrafo 2 del artículo 3 del Decreto 680 del 22 de junio de 2021 otorgó un plazo de tres (3) meses contados a partir de su expedición, para que la Agencia Nacional de Contratación Pública – Colombia Compra Eficiente adecúe los Documentos Tipo a las disposiciones previstas en dicho decreto. </w:t>
      </w:r>
      <w:r w:rsidRPr="00E11B40">
        <w:rPr>
          <w:rFonts w:ascii="Arial" w:eastAsia="Calibri" w:hAnsi="Arial" w:cs="Arial"/>
          <w:spacing w:val="2"/>
          <w:lang w:eastAsia="es-CO"/>
        </w:rPr>
        <w:t>Ante este cambio normativo, se expidió la Resolución 304 del 13 de octubre de 2021, la cual ajusta los documentos tipo a las nuevas reglas de origen aplicables a los servicios nacionales.</w:t>
      </w:r>
      <w:r w:rsidR="001F6A24" w:rsidRPr="00E11B40">
        <w:rPr>
          <w:rFonts w:ascii="Arial" w:eastAsia="Calibri" w:hAnsi="Arial" w:cs="Arial"/>
          <w:spacing w:val="2"/>
          <w:lang w:eastAsia="es-CO"/>
        </w:rPr>
        <w:t xml:space="preserve"> </w:t>
      </w:r>
      <w:r w:rsidR="001F6A24" w:rsidRPr="00E11B40">
        <w:rPr>
          <w:rFonts w:ascii="Arial" w:eastAsia="Calibri" w:hAnsi="Arial" w:cs="Arial"/>
          <w:lang w:val="es-ES_tradnl" w:eastAsia="es-ES"/>
        </w:rPr>
        <w:t>La principal modificación realizada en esta resolución consiste en la modificación al factor de evaluación de apoyo a la industria nacional.</w:t>
      </w:r>
    </w:p>
    <w:p w14:paraId="23BE4A27" w14:textId="2A10576D" w:rsidR="0083172E" w:rsidRPr="00E11B40" w:rsidRDefault="001F6A24" w:rsidP="0083172E">
      <w:pPr>
        <w:shd w:val="clear" w:color="auto" w:fill="FFFFFF"/>
        <w:spacing w:before="120" w:after="0" w:line="276" w:lineRule="auto"/>
        <w:ind w:firstLine="709"/>
        <w:jc w:val="both"/>
        <w:rPr>
          <w:rFonts w:ascii="Arial" w:eastAsia="Calibri" w:hAnsi="Arial" w:cs="Arial"/>
          <w:color w:val="0D0D0D"/>
          <w:bdr w:val="none" w:sz="0" w:space="0" w:color="auto" w:frame="1"/>
          <w:lang w:val="es-MX" w:eastAsia="es-CO"/>
        </w:rPr>
      </w:pPr>
      <w:r w:rsidRPr="00E11B40">
        <w:rPr>
          <w:rFonts w:ascii="Arial" w:eastAsia="Calibri" w:hAnsi="Arial" w:cs="Arial"/>
          <w:color w:val="0D0D0D"/>
          <w:bdr w:val="none" w:sz="0" w:space="0" w:color="auto" w:frame="1"/>
          <w:lang w:val="es-MX" w:eastAsia="es-CO"/>
        </w:rPr>
        <w:t>Ahora bien</w:t>
      </w:r>
      <w:r w:rsidR="0083172E" w:rsidRPr="00E11B40">
        <w:rPr>
          <w:rFonts w:ascii="Arial" w:eastAsia="Calibri" w:hAnsi="Arial" w:cs="Arial"/>
          <w:color w:val="0D0D0D"/>
          <w:bdr w:val="none" w:sz="0" w:space="0" w:color="auto" w:frame="1"/>
          <w:lang w:val="es-MX" w:eastAsia="es-CO"/>
        </w:rPr>
        <w:t xml:space="preserve">, teniendo en cuenta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w:t>
      </w:r>
      <w:r w:rsidR="0083172E" w:rsidRPr="00E11B40">
        <w:rPr>
          <w:rFonts w:ascii="Arial" w:eastAsia="Calibri" w:hAnsi="Arial" w:cs="Arial"/>
          <w:color w:val="0D0D0D"/>
          <w:bdr w:val="none" w:sz="0" w:space="0" w:color="auto" w:frame="1"/>
          <w:lang w:val="es-MX" w:eastAsia="es-CO"/>
        </w:rPr>
        <w:lastRenderedPageBreak/>
        <w:t>regulación, por lo que se expidió la Resolución 275 del 24 de junio de 2022, «Por la cual se modifican los documentos tipo adoptados por la Agencia Nacional de Contratación Pública – Colombia Compra Eficiente». Esta última modificación aplica a los procesos cuyo aviso de convocatoria se publique a partir del 29 de agosto de 2022.</w:t>
      </w:r>
    </w:p>
    <w:p w14:paraId="64974AC8" w14:textId="77777777" w:rsidR="001F6A24" w:rsidRPr="00E11B40" w:rsidRDefault="001F6A24" w:rsidP="001F6A24">
      <w:pPr>
        <w:spacing w:before="120" w:after="0" w:line="276" w:lineRule="auto"/>
        <w:ind w:firstLine="709"/>
        <w:jc w:val="both"/>
        <w:rPr>
          <w:rFonts w:ascii="Arial" w:hAnsi="Arial" w:cs="Arial"/>
          <w:spacing w:val="2"/>
          <w:lang w:eastAsia="es-CO"/>
        </w:rPr>
      </w:pPr>
      <w:r w:rsidRPr="00E11B40">
        <w:rPr>
          <w:rFonts w:ascii="Arial" w:hAnsi="Arial" w:cs="Arial"/>
          <w:spacing w:val="2"/>
          <w:lang w:eastAsia="es-CO"/>
        </w:rPr>
        <w:t>Finalmente, se expidió la Resolución No. 333 del 27 de julio de 2022 «Por la cual se adoptan los documentos tipo para los procesos de selección de concurso de méritos para contratar la interventoría de obras públicas de infraestructura de agua potable y saneamiento básico», aplicable a los procesos de selección cuyo aviso de convocatoria se publique a partir del 3 de octubre de 2022.</w:t>
      </w:r>
    </w:p>
    <w:p w14:paraId="6A45A629" w14:textId="77777777" w:rsidR="00D35D94" w:rsidRPr="00E11B40" w:rsidRDefault="00D35D94" w:rsidP="00E11B40">
      <w:pPr>
        <w:spacing w:before="120" w:after="120" w:line="276" w:lineRule="auto"/>
        <w:ind w:firstLine="709"/>
        <w:jc w:val="both"/>
        <w:rPr>
          <w:rFonts w:ascii="Arial" w:eastAsia="Calibri" w:hAnsi="Arial" w:cs="Arial"/>
          <w:lang w:val="es-ES" w:eastAsia="es-ES"/>
        </w:rPr>
      </w:pPr>
      <w:r w:rsidRPr="00E11B40">
        <w:rPr>
          <w:rFonts w:ascii="Arial" w:eastAsia="Calibri" w:hAnsi="Arial" w:cs="Arial"/>
          <w:lang w:val="es-ES" w:eastAsia="es-ES"/>
        </w:rPr>
        <w:t xml:space="preserve">En síntesis, hasta el momento se han expedido los siguientes documentos tipo que son obligatorios para todas las entidades sometidas al Estatuto General de Contratación de la Administración Pública: </w:t>
      </w:r>
    </w:p>
    <w:p w14:paraId="63C24B0B"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r w:rsidRPr="00E11B40">
        <w:rPr>
          <w:rFonts w:ascii="Arial" w:eastAsia="Calibri" w:hAnsi="Arial" w:cs="Arial"/>
          <w:lang w:val="es-ES_tradnl" w:eastAsia="es-ES"/>
        </w:rPr>
        <w:t xml:space="preserve">i) Documentos tipo para licitación de obra pública de infraestructura de transporte –versión 1–, obligatorios para los procesos cuyo aviso de convocatoria se haya publicado desde el 1 de abril de 2019. </w:t>
      </w:r>
    </w:p>
    <w:p w14:paraId="2FC5C1FC"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proofErr w:type="spellStart"/>
      <w:r w:rsidRPr="00E11B40">
        <w:rPr>
          <w:rFonts w:ascii="Arial" w:eastAsia="Calibri" w:hAnsi="Arial" w:cs="Arial"/>
          <w:lang w:val="es-ES_tradnl" w:eastAsia="es-ES"/>
        </w:rPr>
        <w:t>ii</w:t>
      </w:r>
      <w:proofErr w:type="spellEnd"/>
      <w:r w:rsidRPr="00E11B40">
        <w:rPr>
          <w:rFonts w:ascii="Arial" w:eastAsia="Calibri" w:hAnsi="Arial" w:cs="Arial"/>
          <w:lang w:val="es-ES_tradnl" w:eastAsia="es-ES"/>
        </w:rPr>
        <w:t>) Documentos tipo para licitación de obra pública de infraestructura de transporte –versión 2–, obligatorios para los procesos cuyo aviso de convocatoria se haya publicado desde el 10 de marzo de 2020.</w:t>
      </w:r>
    </w:p>
    <w:p w14:paraId="50AFA3FB"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proofErr w:type="spellStart"/>
      <w:r w:rsidRPr="00E11B40">
        <w:rPr>
          <w:rFonts w:ascii="Arial" w:eastAsia="Calibri" w:hAnsi="Arial" w:cs="Arial"/>
          <w:lang w:val="es-ES_tradnl" w:eastAsia="es-ES"/>
        </w:rPr>
        <w:t>iii</w:t>
      </w:r>
      <w:proofErr w:type="spellEnd"/>
      <w:r w:rsidRPr="00E11B40">
        <w:rPr>
          <w:rFonts w:ascii="Arial" w:eastAsia="Calibri" w:hAnsi="Arial" w:cs="Arial"/>
          <w:lang w:val="es-ES_tradnl" w:eastAsia="es-ES"/>
        </w:rPr>
        <w:t>) Documentos tipo para licitación de obra pública de infraestructura de transporte –versión 3–, obligatorios para los procesos cuyo aviso de convocatoria se haya publicado desde el 1 de enero de 2021.</w:t>
      </w:r>
    </w:p>
    <w:p w14:paraId="7D32C04D"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proofErr w:type="spellStart"/>
      <w:r w:rsidRPr="00E11B40">
        <w:rPr>
          <w:rFonts w:ascii="Arial" w:eastAsia="Calibri" w:hAnsi="Arial" w:cs="Arial"/>
          <w:lang w:val="es-ES_tradnl" w:eastAsia="es-ES"/>
        </w:rPr>
        <w:t>iv</w:t>
      </w:r>
      <w:proofErr w:type="spellEnd"/>
      <w:r w:rsidRPr="00E11B40">
        <w:rPr>
          <w:rFonts w:ascii="Arial" w:eastAsia="Calibri" w:hAnsi="Arial" w:cs="Arial"/>
          <w:lang w:val="es-ES_tradnl" w:eastAsia="es-ES"/>
        </w:rPr>
        <w:t>) Documentos tipo para procesos de selección abreviada de menor cuantía de infraestructura de transporte –versión 1–, obligatorios para los procesos cuyo aviso de convocatoria se haya publicado desde el 17 de febrero de 2020.</w:t>
      </w:r>
    </w:p>
    <w:p w14:paraId="1F084E4C"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r w:rsidRPr="00E11B40">
        <w:rPr>
          <w:rFonts w:ascii="Arial" w:eastAsia="Calibri" w:hAnsi="Arial" w:cs="Arial"/>
          <w:lang w:val="es-ES_tradnl"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1CB08B0F"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r w:rsidRPr="00E11B40">
        <w:rPr>
          <w:rFonts w:ascii="Arial" w:eastAsia="Calibri" w:hAnsi="Arial" w:cs="Arial"/>
          <w:lang w:val="es-ES_tradnl" w:eastAsia="es-ES"/>
        </w:rPr>
        <w:t>vi) Documentos tipo para procesos de mínima cuantía de infraestructura de transporte, obligatorios para los procesos cuya invitación pública se haya publicado a partir del 10 de junio de 2020.</w:t>
      </w:r>
    </w:p>
    <w:p w14:paraId="3BD382EF"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proofErr w:type="spellStart"/>
      <w:r w:rsidRPr="00E11B40">
        <w:rPr>
          <w:rFonts w:ascii="Arial" w:eastAsia="Calibri" w:hAnsi="Arial" w:cs="Arial"/>
          <w:lang w:val="es-ES_tradnl" w:eastAsia="es-ES"/>
        </w:rPr>
        <w:t>vii</w:t>
      </w:r>
      <w:proofErr w:type="spellEnd"/>
      <w:r w:rsidRPr="00E11B40">
        <w:rPr>
          <w:rFonts w:ascii="Arial" w:eastAsia="Calibri" w:hAnsi="Arial" w:cs="Arial"/>
          <w:lang w:val="es-ES_tradnl"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3C52E56A"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proofErr w:type="spellStart"/>
      <w:r w:rsidRPr="00E11B40">
        <w:rPr>
          <w:rFonts w:ascii="Arial" w:eastAsia="Calibri" w:hAnsi="Arial" w:cs="Arial"/>
          <w:lang w:val="es-ES_tradnl" w:eastAsia="es-ES"/>
        </w:rPr>
        <w:t>viii</w:t>
      </w:r>
      <w:proofErr w:type="spellEnd"/>
      <w:r w:rsidRPr="00E11B40">
        <w:rPr>
          <w:rFonts w:ascii="Arial" w:eastAsia="Calibri" w:hAnsi="Arial" w:cs="Arial"/>
          <w:lang w:val="es-ES_tradnl" w:eastAsia="es-ES"/>
        </w:rPr>
        <w:t>) Documentos tipo para los procesos de selección de concurso de méritos, para contratar la consultoría de estudios de ingeniería de infraestructura de transporte, obligatorios para los procesos cuyo aviso de convocatoria se haya publicado desde el 9 de agosto de 2021.</w:t>
      </w:r>
    </w:p>
    <w:p w14:paraId="5337DE23"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proofErr w:type="spellStart"/>
      <w:r w:rsidRPr="00E11B40">
        <w:rPr>
          <w:rFonts w:ascii="Arial" w:eastAsia="Calibri" w:hAnsi="Arial" w:cs="Arial"/>
          <w:lang w:val="es-ES_tradnl" w:eastAsia="es-ES"/>
        </w:rPr>
        <w:lastRenderedPageBreak/>
        <w:t>ix</w:t>
      </w:r>
      <w:proofErr w:type="spellEnd"/>
      <w:r w:rsidRPr="00E11B40">
        <w:rPr>
          <w:rFonts w:ascii="Arial" w:eastAsia="Calibri" w:hAnsi="Arial" w:cs="Arial"/>
          <w:lang w:val="es-ES_tradnl" w:eastAsia="es-ES"/>
        </w:rPr>
        <w:t>) Documentos tipo para procesos de licitación pública para obras de infraestructura de agua potable y saneamiento básico, obligatorios para los procesos cuyo aviso de convocatoria se haya publicado desde el 11 de diciembre de 2020.</w:t>
      </w:r>
    </w:p>
    <w:p w14:paraId="2151BB42"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r w:rsidRPr="00E11B40">
        <w:rPr>
          <w:rFonts w:ascii="Arial" w:eastAsia="Calibri" w:hAnsi="Arial" w:cs="Arial"/>
          <w:lang w:val="es-ES_tradnl" w:eastAsia="es-ES"/>
        </w:rPr>
        <w:t>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5789A4F2" w14:textId="77777777" w:rsidR="00182235" w:rsidRPr="00E11B40" w:rsidRDefault="00182235" w:rsidP="00182235">
      <w:pPr>
        <w:spacing w:before="120" w:after="120" w:line="276" w:lineRule="auto"/>
        <w:ind w:firstLine="709"/>
        <w:jc w:val="both"/>
        <w:rPr>
          <w:rFonts w:ascii="Arial" w:eastAsia="Calibri" w:hAnsi="Arial" w:cs="Arial"/>
          <w:lang w:val="es-ES_tradnl" w:eastAsia="es-ES"/>
        </w:rPr>
      </w:pPr>
      <w:r w:rsidRPr="00E11B40">
        <w:rPr>
          <w:rFonts w:ascii="Arial" w:eastAsia="Calibri" w:hAnsi="Arial" w:cs="Arial"/>
          <w:lang w:val="es-ES_tradnl" w:eastAsia="es-ES"/>
        </w:rPr>
        <w:t>xi) Documentos tipo para procesos de gestión catastral con enfoque multipropósito que se celebren a través de contratos interadministrativos, obligatorios para los contratos celebrados a partir del 1 de febrero de 2021.</w:t>
      </w:r>
    </w:p>
    <w:p w14:paraId="5689CD2D" w14:textId="77777777" w:rsidR="00182235" w:rsidRPr="00E11B40" w:rsidRDefault="00182235" w:rsidP="00182235">
      <w:pPr>
        <w:spacing w:after="120" w:line="276" w:lineRule="auto"/>
        <w:ind w:firstLine="708"/>
        <w:jc w:val="both"/>
        <w:rPr>
          <w:rFonts w:ascii="Arial" w:eastAsia="Calibri" w:hAnsi="Arial" w:cs="Arial"/>
          <w:lang w:val="es-ES_tradnl" w:eastAsia="en-GB"/>
        </w:rPr>
      </w:pPr>
      <w:proofErr w:type="spellStart"/>
      <w:r w:rsidRPr="00E11B40">
        <w:rPr>
          <w:rFonts w:ascii="Arial" w:eastAsia="Calibri" w:hAnsi="Arial" w:cs="Arial"/>
          <w:lang w:val="es-ES_tradnl" w:eastAsia="es-ES"/>
        </w:rPr>
        <w:t>xii</w:t>
      </w:r>
      <w:proofErr w:type="spellEnd"/>
      <w:r w:rsidRPr="00E11B40">
        <w:rPr>
          <w:rFonts w:ascii="Arial" w:eastAsia="Calibri" w:hAnsi="Arial" w:cs="Arial"/>
          <w:lang w:val="es-ES_tradnl" w:eastAsia="es-ES"/>
        </w:rPr>
        <w:t xml:space="preserve">) </w:t>
      </w:r>
      <w:r w:rsidRPr="00E11B40">
        <w:rPr>
          <w:rFonts w:ascii="Arial" w:eastAsia="Calibri" w:hAnsi="Arial" w:cs="Arial"/>
          <w:color w:val="000000"/>
          <w:lang w:val="es-ES" w:eastAsia="es-ES"/>
        </w:rPr>
        <w:t xml:space="preserve">Documentos tipo para procesos de licitación de obra pública de infraestructura social, que </w:t>
      </w:r>
      <w:r w:rsidRPr="00E11B40">
        <w:rPr>
          <w:rFonts w:ascii="Arial" w:eastAsia="Times New Roman" w:hAnsi="Arial" w:cs="Arial"/>
          <w:lang w:val="es-ES_tradnl" w:eastAsia="en-GB"/>
        </w:rPr>
        <w:t>entraron a regir de acuerdo con los términos establecidos en el artículo 6 de la Resolución 219 de 2021 −modificado por el artículo 1 de la Resolución 336 del 2 de noviembre de 2021−</w:t>
      </w:r>
      <w:r w:rsidRPr="00E11B40">
        <w:rPr>
          <w:rFonts w:ascii="Arial" w:eastAsia="Calibri" w:hAnsi="Arial" w:cs="Arial"/>
          <w:lang w:val="es-ES_tradnl" w:eastAsia="en-GB"/>
        </w:rPr>
        <w:t>.</w:t>
      </w:r>
    </w:p>
    <w:p w14:paraId="7F911B73" w14:textId="77777777" w:rsidR="00182235" w:rsidRPr="00E11B40" w:rsidRDefault="00182235" w:rsidP="00182235">
      <w:pPr>
        <w:spacing w:after="120" w:line="276" w:lineRule="auto"/>
        <w:ind w:firstLine="708"/>
        <w:jc w:val="both"/>
        <w:rPr>
          <w:rFonts w:ascii="Arial" w:eastAsia="Calibri" w:hAnsi="Arial" w:cs="Arial"/>
          <w:lang w:val="es-ES_tradnl" w:eastAsia="en-GB"/>
        </w:rPr>
      </w:pPr>
      <w:proofErr w:type="spellStart"/>
      <w:r w:rsidRPr="00E11B40">
        <w:rPr>
          <w:rFonts w:ascii="Arial" w:eastAsia="Calibri" w:hAnsi="Arial" w:cs="Arial"/>
          <w:color w:val="000000"/>
          <w:lang w:val="es-ES" w:eastAsia="es-ES"/>
        </w:rPr>
        <w:t>xiii</w:t>
      </w:r>
      <w:proofErr w:type="spellEnd"/>
      <w:r w:rsidRPr="00E11B40">
        <w:rPr>
          <w:rFonts w:ascii="Arial" w:eastAsia="Calibri" w:hAnsi="Arial" w:cs="Arial"/>
          <w:color w:val="000000"/>
          <w:lang w:val="es-ES" w:eastAsia="es-ES"/>
        </w:rPr>
        <w:t xml:space="preserve">) Documentos tipo complementarios para los procesos de licitación de obra pública de infraestructura social relacionados con el sector educativo, que </w:t>
      </w:r>
      <w:r w:rsidRPr="00E11B40">
        <w:rPr>
          <w:rFonts w:ascii="Arial" w:eastAsia="Times New Roman" w:hAnsi="Arial" w:cs="Arial"/>
          <w:lang w:val="es-ES_tradnl" w:eastAsia="en-GB"/>
        </w:rPr>
        <w:t>entraron a regir de acuerdo con los términos establecidos en el artículo 6 de la Resolución 219 de 2021 −modificado por el artículo 1 de la Resolución 336 del 2 de noviembre de 2021−.</w:t>
      </w:r>
    </w:p>
    <w:p w14:paraId="7CD6FE63" w14:textId="77777777" w:rsidR="00182235" w:rsidRPr="00E11B40" w:rsidRDefault="00182235" w:rsidP="00182235">
      <w:pPr>
        <w:spacing w:after="120" w:line="276" w:lineRule="auto"/>
        <w:ind w:firstLine="708"/>
        <w:jc w:val="both"/>
        <w:rPr>
          <w:rFonts w:ascii="Arial" w:eastAsia="Calibri" w:hAnsi="Arial" w:cs="Arial"/>
          <w:lang w:val="es-ES_tradnl" w:eastAsia="en-GB"/>
        </w:rPr>
      </w:pPr>
      <w:proofErr w:type="spellStart"/>
      <w:r w:rsidRPr="00E11B40">
        <w:rPr>
          <w:rFonts w:ascii="Arial" w:eastAsia="Calibri" w:hAnsi="Arial" w:cs="Arial"/>
          <w:color w:val="000000"/>
          <w:lang w:val="es-ES" w:eastAsia="es-ES"/>
        </w:rPr>
        <w:t>xiv</w:t>
      </w:r>
      <w:proofErr w:type="spellEnd"/>
      <w:r w:rsidRPr="00E11B40">
        <w:rPr>
          <w:rFonts w:ascii="Arial" w:eastAsia="Calibri" w:hAnsi="Arial" w:cs="Arial"/>
          <w:color w:val="000000"/>
          <w:lang w:val="es-ES" w:eastAsia="es-ES"/>
        </w:rPr>
        <w:t xml:space="preserve">) Documentos tipo complementarios para los procesos de licitación de obra pública de infraestructura social relacionados con el sector salud, que entraron a regir </w:t>
      </w:r>
      <w:r w:rsidRPr="00E11B40">
        <w:rPr>
          <w:rFonts w:ascii="Arial" w:eastAsia="Times New Roman" w:hAnsi="Arial" w:cs="Arial"/>
          <w:lang w:val="es-ES_tradnl" w:eastAsia="en-GB"/>
        </w:rPr>
        <w:t>de acuerdo con los términos establecidos en el artículo 6 de la Resolución 219 de 2021 −modificado por el artículo 1 de la Resolución 336 del 2 de noviembre de 2021− y en el artículo 4 de la Resolución 392 de 18 de noviembre de 2021</w:t>
      </w:r>
      <w:r w:rsidRPr="00E11B40">
        <w:rPr>
          <w:rFonts w:ascii="Arial" w:eastAsia="Calibri" w:hAnsi="Arial" w:cs="Arial"/>
          <w:lang w:val="es-ES_tradnl" w:eastAsia="en-GB"/>
        </w:rPr>
        <w:t>.</w:t>
      </w:r>
    </w:p>
    <w:p w14:paraId="5EEA26A8" w14:textId="77777777" w:rsidR="00182235" w:rsidRPr="00E11B40" w:rsidRDefault="00182235" w:rsidP="00182235">
      <w:pPr>
        <w:spacing w:after="120" w:line="276" w:lineRule="auto"/>
        <w:ind w:firstLine="708"/>
        <w:jc w:val="both"/>
        <w:rPr>
          <w:rFonts w:ascii="Arial" w:eastAsia="Times New Roman" w:hAnsi="Arial" w:cs="Arial"/>
          <w:lang w:val="es-ES_tradnl" w:eastAsia="en-GB"/>
        </w:rPr>
      </w:pPr>
      <w:proofErr w:type="spellStart"/>
      <w:r w:rsidRPr="00E11B40">
        <w:rPr>
          <w:rFonts w:ascii="Arial" w:eastAsia="Calibri" w:hAnsi="Arial" w:cs="Arial"/>
          <w:lang w:val="es-ES_tradnl" w:eastAsia="en-GB"/>
        </w:rPr>
        <w:t>xv</w:t>
      </w:r>
      <w:proofErr w:type="spellEnd"/>
      <w:r w:rsidRPr="00E11B40">
        <w:rPr>
          <w:rFonts w:ascii="Arial" w:eastAsia="Calibri" w:hAnsi="Arial" w:cs="Arial"/>
          <w:lang w:val="es-ES_tradnl" w:eastAsia="en-GB"/>
        </w:rPr>
        <w:t xml:space="preserve">) </w:t>
      </w:r>
      <w:r w:rsidRPr="00E11B40">
        <w:rPr>
          <w:rFonts w:ascii="Arial" w:eastAsia="Calibri" w:hAnsi="Arial" w:cs="Arial"/>
          <w:color w:val="000000"/>
          <w:lang w:val="es-ES" w:eastAsia="es-ES"/>
        </w:rPr>
        <w:t>Documentos tipo complementarios para los procesos de licitación de obra pública de infraestructura social relacionados con el sector cultura, recreación y deporte</w:t>
      </w:r>
      <w:r w:rsidRPr="00E11B40">
        <w:rPr>
          <w:rFonts w:ascii="Arial" w:eastAsia="Calibri" w:hAnsi="Arial" w:cs="Arial"/>
          <w:lang w:val="es-ES_tradnl" w:eastAsia="en-GB"/>
        </w:rPr>
        <w:t xml:space="preserve">, </w:t>
      </w:r>
      <w:r w:rsidRPr="00E11B40">
        <w:rPr>
          <w:rFonts w:ascii="Arial" w:eastAsia="Calibri" w:hAnsi="Arial" w:cs="Arial"/>
          <w:color w:val="000000"/>
          <w:lang w:val="es-ES" w:eastAsia="es-ES"/>
        </w:rPr>
        <w:t xml:space="preserve">que entraron a regir </w:t>
      </w:r>
      <w:r w:rsidRPr="00E11B40">
        <w:rPr>
          <w:rFonts w:ascii="Arial" w:eastAsia="Times New Roman" w:hAnsi="Arial" w:cs="Arial"/>
          <w:lang w:val="es-ES_tradnl" w:eastAsia="en-GB"/>
        </w:rPr>
        <w:t xml:space="preserve">de acuerdo con los términos establecidos en el artículo 4 de la Resolución 454 de 2021. </w:t>
      </w:r>
    </w:p>
    <w:p w14:paraId="57D9DD43" w14:textId="77777777" w:rsidR="00182235" w:rsidRPr="00E11B40" w:rsidRDefault="00182235" w:rsidP="00182235">
      <w:pPr>
        <w:spacing w:before="120" w:after="0" w:line="276" w:lineRule="auto"/>
        <w:ind w:firstLine="709"/>
        <w:jc w:val="both"/>
        <w:rPr>
          <w:rFonts w:ascii="Arial" w:eastAsia="Times New Roman" w:hAnsi="Arial" w:cs="Arial"/>
          <w:lang w:val="es-ES_tradnl" w:eastAsia="en-GB"/>
        </w:rPr>
      </w:pPr>
      <w:proofErr w:type="spellStart"/>
      <w:r w:rsidRPr="00E11B40">
        <w:rPr>
          <w:rFonts w:ascii="Arial" w:eastAsia="Times New Roman" w:hAnsi="Arial" w:cs="Arial"/>
          <w:lang w:val="es-ES_tradnl" w:eastAsia="en-GB"/>
        </w:rPr>
        <w:t>xvi</w:t>
      </w:r>
      <w:proofErr w:type="spellEnd"/>
      <w:r w:rsidRPr="00E11B40">
        <w:rPr>
          <w:rFonts w:ascii="Arial" w:eastAsia="Times New Roman" w:hAnsi="Arial" w:cs="Arial"/>
          <w:lang w:val="es-ES_tradnl" w:eastAsia="en-GB"/>
        </w:rPr>
        <w:t xml:space="preserve">) </w:t>
      </w:r>
      <w:r w:rsidRPr="00E11B40">
        <w:rPr>
          <w:rStyle w:val="normaltextrun"/>
          <w:rFonts w:ascii="Arial" w:hAnsi="Arial" w:cs="Arial"/>
          <w:color w:val="000000"/>
          <w:bdr w:val="none" w:sz="0" w:space="0" w:color="auto" w:frame="1"/>
          <w:lang w:val="es-ES"/>
        </w:rPr>
        <w:t>Documentos tipo de interventoría para los procesos de selección de concurso de méritos para contratar la interventoría de infraestructura de transporte –Versión 2–, para los procesos cuyo aviso de convocatoria se haya publicado desde el 1 de noviembre de 2022, de conformidad con la Resolución 326 del 22 de julio de 2022. </w:t>
      </w:r>
    </w:p>
    <w:p w14:paraId="5C0A3233" w14:textId="77777777" w:rsidR="00182235" w:rsidRPr="00E11B40" w:rsidRDefault="00182235" w:rsidP="00E11B40">
      <w:pPr>
        <w:spacing w:before="120" w:after="120" w:line="276" w:lineRule="auto"/>
        <w:ind w:firstLine="709"/>
        <w:jc w:val="both"/>
        <w:rPr>
          <w:rFonts w:ascii="Arial" w:hAnsi="Arial" w:cs="Arial"/>
          <w:spacing w:val="2"/>
          <w:lang w:eastAsia="es-CO"/>
        </w:rPr>
      </w:pPr>
      <w:proofErr w:type="spellStart"/>
      <w:r w:rsidRPr="00E11B40">
        <w:rPr>
          <w:rFonts w:ascii="Arial" w:eastAsia="Times New Roman" w:hAnsi="Arial" w:cs="Arial"/>
          <w:lang w:val="es-ES_tradnl" w:eastAsia="en-GB"/>
        </w:rPr>
        <w:t>xvii</w:t>
      </w:r>
      <w:proofErr w:type="spellEnd"/>
      <w:r w:rsidRPr="00E11B40">
        <w:rPr>
          <w:rFonts w:ascii="Arial" w:eastAsia="Times New Roman" w:hAnsi="Arial" w:cs="Arial"/>
          <w:lang w:val="es-ES_tradnl" w:eastAsia="en-GB"/>
        </w:rPr>
        <w:t xml:space="preserve">) Documentos tipo para los procesos de selección de concurso de méritos para contratar la interventoría de obras públicas de infraestructura de agua potable y saneamiento básico, obligatorios para </w:t>
      </w:r>
      <w:r w:rsidRPr="00E11B40">
        <w:rPr>
          <w:rFonts w:ascii="Arial" w:hAnsi="Arial" w:cs="Arial"/>
          <w:spacing w:val="2"/>
          <w:lang w:eastAsia="es-CO"/>
        </w:rPr>
        <w:t>procesos de selección cuyo aviso de convocatoria se publique a partir del 3 de octubre de 2022.</w:t>
      </w:r>
    </w:p>
    <w:p w14:paraId="01D17578" w14:textId="0CF520F0" w:rsidR="00D35D94" w:rsidRPr="00E11B40" w:rsidRDefault="00D35D94" w:rsidP="00182235">
      <w:pPr>
        <w:spacing w:after="0" w:line="276" w:lineRule="auto"/>
        <w:ind w:firstLine="709"/>
        <w:contextualSpacing/>
        <w:jc w:val="both"/>
        <w:rPr>
          <w:rFonts w:ascii="Arial" w:eastAsia="Calibri" w:hAnsi="Arial" w:cs="Arial"/>
          <w:bdr w:val="none" w:sz="0" w:space="0" w:color="auto" w:frame="1"/>
          <w:lang w:val="es-MX"/>
        </w:rPr>
      </w:pPr>
      <w:r w:rsidRPr="00E11B40">
        <w:rPr>
          <w:rFonts w:ascii="Arial" w:eastAsia="Calibri" w:hAnsi="Arial" w:cs="Arial"/>
          <w:lang w:val="es-MX"/>
        </w:rPr>
        <w:t xml:space="preserve">De acuerdo con lo expuesto, </w:t>
      </w:r>
      <w:r w:rsidRPr="00E11B40">
        <w:rPr>
          <w:rFonts w:ascii="Arial" w:eastAsia="Calibri" w:hAnsi="Arial" w:cs="Arial"/>
          <w:bdr w:val="none" w:sz="0" w:space="0" w:color="auto" w:frame="1"/>
          <w:lang w:val="es-MX"/>
        </w:rPr>
        <w:t xml:space="preserve">los documentos tipo adoptados son obligatorios para las entidades estatales cuyos contratos se rijan por el EGCAP, que adelanten procesos de contratación mediante la modalidad que establecen los documentos tipo para cada sector y teniendo en cuenta el ámbito de aplicación determinado en la Matriz de Experiencia de cada documento tipo. </w:t>
      </w:r>
    </w:p>
    <w:p w14:paraId="65DB9A88" w14:textId="77777777" w:rsidR="00182235" w:rsidRPr="00E11B40" w:rsidRDefault="00182235" w:rsidP="00E11B40">
      <w:pPr>
        <w:spacing w:after="0" w:line="276" w:lineRule="auto"/>
        <w:ind w:firstLine="709"/>
        <w:contextualSpacing/>
        <w:jc w:val="both"/>
        <w:rPr>
          <w:rFonts w:ascii="Arial" w:eastAsia="Calibri" w:hAnsi="Arial" w:cs="Arial"/>
          <w:bdr w:val="none" w:sz="0" w:space="0" w:color="auto" w:frame="1"/>
          <w:lang w:val="es-MX"/>
        </w:rPr>
      </w:pPr>
    </w:p>
    <w:p w14:paraId="09D5B5EE" w14:textId="0BF1D7CF" w:rsidR="00182235" w:rsidRPr="00E11B40" w:rsidRDefault="00182235" w:rsidP="00182235">
      <w:pPr>
        <w:spacing w:after="0" w:line="276" w:lineRule="auto"/>
        <w:contextualSpacing/>
        <w:jc w:val="both"/>
        <w:rPr>
          <w:rFonts w:ascii="Arial" w:hAnsi="Arial" w:cs="Arial"/>
          <w:b/>
          <w:bCs/>
          <w:color w:val="000000"/>
          <w:lang w:val="es-MX" w:eastAsia="es-CO"/>
        </w:rPr>
      </w:pPr>
      <w:r w:rsidRPr="00E11B40">
        <w:rPr>
          <w:rFonts w:ascii="Arial" w:eastAsia="Arial" w:hAnsi="Arial" w:cs="Arial"/>
          <w:b/>
          <w:bCs/>
          <w:color w:val="000000"/>
          <w:lang w:val="es-ES_tradnl"/>
        </w:rPr>
        <w:lastRenderedPageBreak/>
        <w:t xml:space="preserve">2.2. </w:t>
      </w:r>
      <w:bookmarkStart w:id="3" w:name="_Hlk120708018"/>
      <w:r w:rsidRPr="00E11B40">
        <w:rPr>
          <w:rFonts w:ascii="Arial" w:hAnsi="Arial" w:cs="Arial"/>
          <w:b/>
          <w:bCs/>
          <w:color w:val="000000"/>
          <w:lang w:val="es-MX" w:eastAsia="es-CO"/>
        </w:rPr>
        <w:t xml:space="preserve">Alcance de la regla de inalterabilidad de los documentos tipo y sus excepciones </w:t>
      </w:r>
      <w:bookmarkEnd w:id="3"/>
    </w:p>
    <w:p w14:paraId="3C1CDA10" w14:textId="77777777" w:rsidR="00182235" w:rsidRPr="00E11B40" w:rsidRDefault="00182235" w:rsidP="00E11B40">
      <w:pPr>
        <w:spacing w:after="0" w:line="276" w:lineRule="auto"/>
        <w:contextualSpacing/>
        <w:jc w:val="both"/>
        <w:rPr>
          <w:rFonts w:ascii="Arial" w:hAnsi="Arial" w:cs="Arial"/>
          <w:b/>
          <w:bCs/>
          <w:color w:val="000000"/>
          <w:lang w:val="es-MX" w:eastAsia="es-CO"/>
        </w:rPr>
      </w:pPr>
    </w:p>
    <w:p w14:paraId="66B11DA9" w14:textId="694CF0C3" w:rsidR="00182235" w:rsidRPr="00E11B40" w:rsidRDefault="00182235" w:rsidP="00E11B40">
      <w:pPr>
        <w:spacing w:after="120" w:line="276" w:lineRule="auto"/>
        <w:jc w:val="both"/>
        <w:rPr>
          <w:rFonts w:ascii="Arial" w:eastAsia="Calibri" w:hAnsi="Arial" w:cs="Arial"/>
          <w:color w:val="000000"/>
          <w:lang w:val="es-ES_tradnl"/>
        </w:rPr>
      </w:pPr>
      <w:r w:rsidRPr="00E11B40">
        <w:rPr>
          <w:rFonts w:ascii="Arial" w:eastAsia="Calibri" w:hAnsi="Arial" w:cs="Arial"/>
          <w:color w:val="000000"/>
          <w:lang w:val="es-ES_tradnl"/>
        </w:rPr>
        <w:t>Todas las resoluciones</w:t>
      </w:r>
      <w:r w:rsidRPr="00E11B40">
        <w:rPr>
          <w:rFonts w:ascii="Arial" w:eastAsia="Calibri" w:hAnsi="Arial" w:cs="Arial"/>
          <w:color w:val="000000"/>
          <w:vertAlign w:val="superscript"/>
          <w:lang w:val="es-ES_tradnl"/>
        </w:rPr>
        <w:footnoteReference w:id="6"/>
      </w:r>
      <w:r w:rsidRPr="00E11B40">
        <w:rPr>
          <w:rFonts w:ascii="Arial" w:eastAsia="Calibri" w:hAnsi="Arial" w:cs="Arial"/>
          <w:color w:val="000000"/>
          <w:lang w:val="es-ES_tradnl"/>
        </w:rPr>
        <w:t xml:space="preserve">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E11B40">
        <w:rPr>
          <w:rFonts w:ascii="Arial" w:eastAsia="Calibri" w:hAnsi="Arial" w:cs="Arial"/>
          <w:i/>
          <w:iCs/>
          <w:color w:val="000000"/>
          <w:lang w:val="es-ES_tradnl"/>
        </w:rPr>
        <w:t>Documentos del Proceso</w:t>
      </w:r>
      <w:r w:rsidRPr="00E11B40">
        <w:rPr>
          <w:rFonts w:ascii="Arial" w:eastAsia="Calibri" w:hAnsi="Arial" w:cs="Arial"/>
          <w:color w:val="000000"/>
          <w:lang w:val="es-ES_tradn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EGCAP</w:t>
      </w:r>
      <w:r w:rsidR="00442F83" w:rsidRPr="00E11B40">
        <w:rPr>
          <w:rFonts w:ascii="Arial" w:eastAsia="Calibri" w:hAnsi="Arial" w:cs="Arial"/>
          <w:color w:val="000000"/>
          <w:lang w:val="es-ES_tradnl"/>
        </w:rPr>
        <w:t xml:space="preserve"> </w:t>
      </w:r>
      <w:r w:rsidRPr="00E11B40">
        <w:rPr>
          <w:rFonts w:ascii="Arial" w:eastAsia="Calibri" w:hAnsi="Arial" w:cs="Arial"/>
          <w:color w:val="000000"/>
          <w:lang w:val="es-ES_tradnl"/>
        </w:rPr>
        <w:t>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3CBD10F" w14:textId="77777777" w:rsidR="00182235" w:rsidRPr="00E11B40" w:rsidRDefault="00182235" w:rsidP="00442F83">
      <w:pPr>
        <w:spacing w:before="120" w:after="120" w:line="276" w:lineRule="auto"/>
        <w:ind w:firstLine="709"/>
        <w:jc w:val="both"/>
        <w:rPr>
          <w:rFonts w:ascii="Arial" w:eastAsia="Calibri" w:hAnsi="Arial" w:cs="Arial"/>
          <w:lang w:val="es-ES_tradnl"/>
        </w:rPr>
      </w:pPr>
      <w:r w:rsidRPr="00E11B40">
        <w:rPr>
          <w:rFonts w:ascii="Arial" w:eastAsia="Calibri" w:hAnsi="Arial"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2D1FFF2C" w14:textId="77777777" w:rsidR="00182235" w:rsidRPr="00E11B40" w:rsidRDefault="00182235" w:rsidP="00442F83">
      <w:pPr>
        <w:spacing w:before="120" w:after="120" w:line="276" w:lineRule="auto"/>
        <w:ind w:firstLine="709"/>
        <w:jc w:val="both"/>
        <w:rPr>
          <w:rFonts w:ascii="Arial" w:eastAsia="Calibri" w:hAnsi="Arial" w:cs="Arial"/>
          <w:lang w:val="es-ES_tradnl"/>
        </w:rPr>
      </w:pPr>
      <w:r w:rsidRPr="00E11B40">
        <w:rPr>
          <w:rFonts w:ascii="Arial" w:eastAsia="Calibri" w:hAnsi="Arial"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E11B40">
        <w:rPr>
          <w:rFonts w:ascii="Arial" w:eastAsia="Calibri" w:hAnsi="Arial" w:cs="Arial"/>
          <w:vertAlign w:val="superscript"/>
          <w:lang w:val="es-ES_tradnl"/>
        </w:rPr>
        <w:footnoteReference w:id="7"/>
      </w:r>
      <w:r w:rsidRPr="00E11B40">
        <w:rPr>
          <w:rFonts w:ascii="Arial" w:eastAsia="Calibri" w:hAnsi="Arial"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3F8D02D7" w14:textId="77777777" w:rsidR="00182235" w:rsidRPr="00E11B40" w:rsidRDefault="00182235" w:rsidP="00442F83">
      <w:pPr>
        <w:spacing w:before="120" w:after="120" w:line="276" w:lineRule="auto"/>
        <w:ind w:firstLine="709"/>
        <w:jc w:val="both"/>
        <w:rPr>
          <w:rFonts w:ascii="Arial" w:eastAsia="Calibri" w:hAnsi="Arial" w:cs="Arial"/>
          <w:bCs/>
          <w:lang w:val="es-ES_tradnl"/>
        </w:rPr>
      </w:pPr>
      <w:r w:rsidRPr="00E11B40">
        <w:rPr>
          <w:rFonts w:ascii="Arial" w:eastAsia="Calibri" w:hAnsi="Arial" w:cs="Arial"/>
          <w:bCs/>
          <w:lang w:val="es-ES_tradnl"/>
        </w:rPr>
        <w:lastRenderedPageBreak/>
        <w:t xml:space="preserve">Además, las entidades estatales deben garantizar el </w:t>
      </w:r>
      <w:r w:rsidRPr="00E11B40">
        <w:rPr>
          <w:rFonts w:ascii="Arial" w:eastAsia="Calibri" w:hAnsi="Arial" w:cs="Arial"/>
          <w:bCs/>
          <w:i/>
          <w:iCs/>
          <w:lang w:val="es-ES_tradnl"/>
        </w:rPr>
        <w:t>principio de economía</w:t>
      </w:r>
      <w:r w:rsidRPr="00E11B40">
        <w:rPr>
          <w:rFonts w:ascii="Arial" w:eastAsia="Calibri" w:hAnsi="Arial" w:cs="Arial"/>
          <w:bCs/>
          <w:lang w:val="es-ES_tradnl"/>
        </w:rPr>
        <w:t>, del cual se desprende que no pueden exigir documentos o requisitos más allá de los que permitan la Constitución, la ley y los reglamentos. Este postulado ha sido recogido no solo en la contratación estatal</w:t>
      </w:r>
      <w:r w:rsidRPr="00E11B40">
        <w:rPr>
          <w:rFonts w:ascii="Arial" w:eastAsia="Calibri" w:hAnsi="Arial" w:cs="Arial"/>
          <w:bCs/>
          <w:vertAlign w:val="superscript"/>
          <w:lang w:val="es-ES_tradnl"/>
        </w:rPr>
        <w:footnoteReference w:id="8"/>
      </w:r>
      <w:r w:rsidRPr="00E11B40">
        <w:rPr>
          <w:rFonts w:ascii="Arial" w:eastAsia="Calibri" w:hAnsi="Arial" w:cs="Arial"/>
          <w:bCs/>
          <w:lang w:val="es-ES_tradnl"/>
        </w:rPr>
        <w:t xml:space="preserve"> sino además en la normativa antitrámites</w:t>
      </w:r>
      <w:r w:rsidRPr="00E11B40">
        <w:rPr>
          <w:rFonts w:ascii="Arial" w:eastAsia="Calibri" w:hAnsi="Arial" w:cs="Arial"/>
          <w:bCs/>
          <w:vertAlign w:val="superscript"/>
          <w:lang w:val="es-ES_tradnl"/>
        </w:rPr>
        <w:footnoteReference w:id="9"/>
      </w:r>
      <w:r w:rsidRPr="00E11B40">
        <w:rPr>
          <w:rFonts w:ascii="Arial" w:eastAsia="Calibri" w:hAnsi="Arial" w:cs="Arial"/>
          <w:bCs/>
          <w:lang w:val="es-ES_tradnl"/>
        </w:rPr>
        <w:t>; pues se inscribe dentro de la tendencia de simplificación y racionalización de los procedimientos administrativos. De ahí que cuando las autoridades solicitan la entrega de documentación innecesaria, desconocen el principio de economía.</w:t>
      </w:r>
    </w:p>
    <w:p w14:paraId="1FB2D35D" w14:textId="38F15989" w:rsidR="00182235" w:rsidRPr="00E11B40" w:rsidRDefault="00182235" w:rsidP="00442F83">
      <w:pPr>
        <w:spacing w:before="120" w:after="120" w:line="276" w:lineRule="auto"/>
        <w:ind w:firstLine="709"/>
        <w:jc w:val="both"/>
        <w:rPr>
          <w:rFonts w:ascii="Arial" w:eastAsia="Calibri" w:hAnsi="Arial" w:cs="Arial"/>
          <w:lang w:val="es-MX"/>
        </w:rPr>
      </w:pPr>
      <w:r w:rsidRPr="00E11B40">
        <w:rPr>
          <w:rFonts w:ascii="Arial" w:eastAsia="Calibri" w:hAnsi="Arial" w:cs="Arial"/>
          <w:lang w:val="es-MX"/>
        </w:rPr>
        <w:t>Adicionalmente, la parte introductoria de los documentos base de los documentos tipo disponen que los aspectos incluidos en corchetes y resaltados en gris deben ser diligenciados por la entidad. Excepcionalmente</w:t>
      </w:r>
      <w:r w:rsidR="00442F83" w:rsidRPr="00E11B40">
        <w:rPr>
          <w:rFonts w:ascii="Arial" w:eastAsia="Calibri" w:hAnsi="Arial" w:cs="Arial"/>
          <w:lang w:val="es-MX"/>
        </w:rPr>
        <w:t>,</w:t>
      </w:r>
      <w:r w:rsidRPr="00E11B40">
        <w:rPr>
          <w:rFonts w:ascii="Arial" w:eastAsia="Calibri" w:hAnsi="Arial" w:cs="Arial"/>
          <w:lang w:val="es-MX"/>
        </w:rPr>
        <w:t xml:space="preserv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2A6367C9" w14:textId="77777777" w:rsidR="00182235" w:rsidRPr="00E11B40" w:rsidRDefault="00182235" w:rsidP="00E11B40">
      <w:pPr>
        <w:spacing w:before="120" w:after="120" w:line="276" w:lineRule="auto"/>
        <w:ind w:firstLine="709"/>
        <w:jc w:val="both"/>
        <w:rPr>
          <w:rFonts w:ascii="Arial" w:eastAsia="Calibri" w:hAnsi="Arial" w:cs="Arial"/>
          <w:bCs/>
          <w:lang w:val="es-MX"/>
        </w:rPr>
      </w:pPr>
      <w:r w:rsidRPr="00E11B40">
        <w:rPr>
          <w:rFonts w:ascii="Arial" w:eastAsia="Calibri" w:hAnsi="Arial" w:cs="Arial"/>
          <w:bCs/>
          <w:lang w:val="es-MX"/>
        </w:rPr>
        <w:t>En suma, la regla general frente la aplicación del «Documento Base» y en general de los documentos tipo es su inalterabilidad, y no se podrán incluir o modificar en los documentos del proceso las condiciones habilitantes, los factores técnicos y económicos de escogencia y los sistemas de ponderación distintos a los señalados en los documentos tipo. Lo anterior salvo que el objeto contractual incluya bienes o servicios ajenos a la obra pública, caso en el que se podrá incluir experiencia adicional; y, además, cuando el pliego tipo de forma expresa lo incluya, es decir, en los aspectos incluidos en corchetes y resaltados en gris.</w:t>
      </w:r>
    </w:p>
    <w:p w14:paraId="42914B0F" w14:textId="77777777" w:rsidR="00182235" w:rsidRPr="00E11B40" w:rsidRDefault="00182235" w:rsidP="00E11B40">
      <w:pPr>
        <w:spacing w:before="120" w:after="120" w:line="276" w:lineRule="auto"/>
        <w:ind w:firstLine="709"/>
        <w:jc w:val="both"/>
        <w:rPr>
          <w:rFonts w:ascii="Arial" w:eastAsia="Calibri" w:hAnsi="Arial" w:cs="Arial"/>
          <w:bCs/>
          <w:lang w:val="es-MX"/>
        </w:rPr>
      </w:pPr>
      <w:r w:rsidRPr="00E11B40">
        <w:rPr>
          <w:rFonts w:ascii="Arial" w:eastAsia="Calibri" w:hAnsi="Arial" w:cs="Arial"/>
          <w:bCs/>
          <w:lang w:val="es-MX"/>
        </w:rPr>
        <w:t xml:space="preserve">Esta regla de inalterabilidad también aplica a los formatos y anexos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5AF94B66" w14:textId="77777777" w:rsidR="00182235" w:rsidRPr="00E11B40" w:rsidRDefault="00182235" w:rsidP="00E11B40">
      <w:pPr>
        <w:spacing w:before="120" w:after="120" w:line="276" w:lineRule="auto"/>
        <w:ind w:firstLine="709"/>
        <w:jc w:val="both"/>
        <w:rPr>
          <w:rFonts w:ascii="Arial" w:hAnsi="Arial" w:cs="Arial"/>
          <w:lang w:val="es-MX"/>
        </w:rPr>
      </w:pPr>
      <w:r w:rsidRPr="00E11B40">
        <w:rPr>
          <w:rFonts w:ascii="Arial" w:hAnsi="Arial" w:cs="Arial"/>
          <w:lang w:val="es-MX"/>
        </w:rPr>
        <w:lastRenderedPageBreak/>
        <w:t xml:space="preserve">Con todo, la regla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28CE76CD" w14:textId="77777777" w:rsidR="00182235" w:rsidRPr="00E11B40" w:rsidRDefault="00182235" w:rsidP="00E11B40">
      <w:pPr>
        <w:spacing w:before="120" w:after="120" w:line="276" w:lineRule="auto"/>
        <w:ind w:firstLine="709"/>
        <w:jc w:val="both"/>
        <w:rPr>
          <w:rFonts w:ascii="Arial" w:hAnsi="Arial" w:cs="Arial"/>
        </w:rPr>
      </w:pPr>
      <w:r w:rsidRPr="00E11B40">
        <w:rPr>
          <w:rFonts w:ascii="Arial" w:hAnsi="Arial" w:cs="Arial"/>
          <w:lang w:val="es-MX"/>
        </w:rPr>
        <w:t xml:space="preserve">En relación con el principio constitucional </w:t>
      </w:r>
      <w:r w:rsidRPr="00E11B40">
        <w:rPr>
          <w:rFonts w:ascii="Arial" w:hAnsi="Arial" w:cs="Arial"/>
          <w:i/>
          <w:iCs/>
          <w:lang w:val="es-MX"/>
        </w:rPr>
        <w:t>sub examine</w:t>
      </w:r>
      <w:r w:rsidRPr="00E11B40">
        <w:rPr>
          <w:rFonts w:ascii="Arial" w:hAnsi="Arial"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E11B40">
        <w:rPr>
          <w:rFonts w:ascii="Arial" w:hAnsi="Arial" w:cs="Arial"/>
          <w:vertAlign w:val="superscript"/>
        </w:rPr>
        <w:footnoteReference w:id="10"/>
      </w:r>
      <w:r w:rsidRPr="00E11B40">
        <w:rPr>
          <w:rFonts w:ascii="Arial" w:hAnsi="Arial" w:cs="Arial"/>
        </w:rPr>
        <w:t xml:space="preserve">. </w:t>
      </w:r>
    </w:p>
    <w:p w14:paraId="13B05BC9" w14:textId="6372ABD3" w:rsidR="00182235" w:rsidRPr="00E11B40" w:rsidRDefault="00182235" w:rsidP="00E11B40">
      <w:pPr>
        <w:spacing w:before="120" w:after="0" w:line="276" w:lineRule="auto"/>
        <w:ind w:firstLine="709"/>
        <w:jc w:val="both"/>
        <w:rPr>
          <w:rFonts w:ascii="Arial" w:hAnsi="Arial" w:cs="Arial"/>
          <w:lang w:val="es-MX"/>
        </w:rPr>
      </w:pPr>
      <w:r w:rsidRPr="00E11B40">
        <w:rPr>
          <w:rFonts w:ascii="Arial" w:hAnsi="Arial" w:cs="Arial"/>
          <w:lang w:val="es-MX"/>
        </w:rPr>
        <w:t xml:space="preserve">El carácter inalterable de los documentos tipo no puede, entonces, hacerse extensivo a los aspectos eminentemente formales de tales documentos, esto es, el tamaño y tipo de letra, las márgenes o las expresiones que pretenden hacer más comprensible el documento, como es el caso de aquellas que informan que una expresión larga será referida con otra similar pero más corta. Todo porque estos aspectos en nada afectan la aplicación y alcance de los documentos tipos; en otras palabras, porque no afectan su contenido esencial y, mucho menos, las obligaciones, deberes y derechos que se derivan para los partícipes del </w:t>
      </w:r>
      <w:r w:rsidR="00442F83" w:rsidRPr="00E11B40">
        <w:rPr>
          <w:rFonts w:ascii="Arial" w:hAnsi="Arial" w:cs="Arial"/>
          <w:lang w:val="es-MX"/>
        </w:rPr>
        <w:t>Proceso Contractual</w:t>
      </w:r>
      <w:r w:rsidRPr="00E11B40">
        <w:rPr>
          <w:rFonts w:ascii="Arial" w:hAnsi="Arial" w:cs="Arial"/>
          <w:lang w:val="es-MX"/>
        </w:rPr>
        <w:t>.</w:t>
      </w:r>
    </w:p>
    <w:p w14:paraId="0BFA8412" w14:textId="77777777" w:rsidR="00182235" w:rsidRPr="00E11B40" w:rsidRDefault="00182235" w:rsidP="00E11B40">
      <w:pPr>
        <w:spacing w:after="0" w:line="276" w:lineRule="auto"/>
        <w:ind w:firstLine="709"/>
        <w:contextualSpacing/>
        <w:jc w:val="both"/>
        <w:rPr>
          <w:rFonts w:ascii="Arial" w:eastAsia="Calibri" w:hAnsi="Arial" w:cs="Arial"/>
          <w:bdr w:val="none" w:sz="0" w:space="0" w:color="auto" w:frame="1"/>
          <w:lang w:val="es-MX"/>
        </w:rPr>
      </w:pPr>
    </w:p>
    <w:p w14:paraId="4B7DFADD" w14:textId="10D8FABF" w:rsidR="002C44EB" w:rsidRPr="00E11B40" w:rsidRDefault="00734BD3" w:rsidP="00E11B40">
      <w:pPr>
        <w:spacing w:after="0" w:line="276" w:lineRule="auto"/>
        <w:contextualSpacing/>
        <w:jc w:val="both"/>
        <w:rPr>
          <w:rFonts w:ascii="Arial" w:eastAsia="Times New Roman" w:hAnsi="Arial" w:cs="Arial"/>
          <w:b/>
          <w:bCs/>
          <w:shd w:val="clear" w:color="auto" w:fill="FFFFFF"/>
          <w:lang w:val="es-ES_tradnl" w:eastAsia="es-ES_tradnl"/>
        </w:rPr>
      </w:pPr>
      <w:r w:rsidRPr="00E11B40">
        <w:rPr>
          <w:rFonts w:ascii="Arial" w:eastAsia="Times New Roman" w:hAnsi="Arial" w:cs="Arial"/>
          <w:b/>
          <w:bCs/>
          <w:shd w:val="clear" w:color="auto" w:fill="FFFFFF"/>
          <w:lang w:val="es-ES_tradnl" w:eastAsia="es-ES_tradnl"/>
        </w:rPr>
        <w:t>2.</w:t>
      </w:r>
      <w:r w:rsidR="00442F83" w:rsidRPr="00E11B40">
        <w:rPr>
          <w:rFonts w:ascii="Arial" w:eastAsia="Times New Roman" w:hAnsi="Arial" w:cs="Arial"/>
          <w:b/>
          <w:bCs/>
          <w:shd w:val="clear" w:color="auto" w:fill="FFFFFF"/>
          <w:lang w:val="es-ES_tradnl" w:eastAsia="es-ES_tradnl"/>
        </w:rPr>
        <w:t>3</w:t>
      </w:r>
      <w:r w:rsidRPr="00E11B40">
        <w:rPr>
          <w:rFonts w:ascii="Arial" w:eastAsia="Times New Roman" w:hAnsi="Arial" w:cs="Arial"/>
          <w:b/>
          <w:bCs/>
          <w:shd w:val="clear" w:color="auto" w:fill="FFFFFF"/>
          <w:lang w:val="es-ES_tradnl" w:eastAsia="es-ES_tradnl"/>
        </w:rPr>
        <w:t xml:space="preserve">. </w:t>
      </w:r>
      <w:bookmarkStart w:id="4" w:name="_Hlk120708030"/>
      <w:r w:rsidR="00C55BCB" w:rsidRPr="00E11B40">
        <w:rPr>
          <w:rFonts w:ascii="Arial" w:eastAsia="Times New Roman" w:hAnsi="Arial" w:cs="Arial"/>
          <w:b/>
          <w:bCs/>
          <w:shd w:val="clear" w:color="auto" w:fill="FFFFFF"/>
          <w:lang w:val="es-ES_tradnl" w:eastAsia="es-ES_tradnl"/>
        </w:rPr>
        <w:t>Requisitos formales de las propuestas</w:t>
      </w:r>
      <w:bookmarkEnd w:id="4"/>
    </w:p>
    <w:p w14:paraId="339B5A7A" w14:textId="77777777" w:rsidR="00182235" w:rsidRPr="00E11B40" w:rsidRDefault="00182235" w:rsidP="00E11B40">
      <w:pPr>
        <w:spacing w:after="0" w:line="276" w:lineRule="auto"/>
        <w:contextualSpacing/>
        <w:jc w:val="both"/>
        <w:rPr>
          <w:rFonts w:ascii="Arial" w:eastAsia="Times New Roman" w:hAnsi="Arial" w:cs="Arial"/>
          <w:b/>
          <w:bCs/>
          <w:shd w:val="clear" w:color="auto" w:fill="FFFFFF"/>
          <w:lang w:val="es-ES_tradnl" w:eastAsia="es-ES_tradnl"/>
        </w:rPr>
      </w:pPr>
    </w:p>
    <w:p w14:paraId="6971CB78" w14:textId="682B0C47" w:rsidR="000A5DE4" w:rsidRPr="00E11B40" w:rsidRDefault="001272D9" w:rsidP="00CC20EF">
      <w:pPr>
        <w:spacing w:after="0" w:line="276" w:lineRule="auto"/>
        <w:contextualSpacing/>
        <w:jc w:val="both"/>
        <w:rPr>
          <w:rFonts w:ascii="Arial" w:eastAsia="Calibri" w:hAnsi="Arial" w:cs="Arial"/>
          <w:color w:val="000000"/>
          <w:lang w:val="es-ES_tradnl"/>
        </w:rPr>
      </w:pPr>
      <w:bookmarkStart w:id="5" w:name="_Hlk81820377"/>
      <w:r w:rsidRPr="00E11B40">
        <w:rPr>
          <w:rFonts w:ascii="Arial" w:eastAsia="Calibri" w:hAnsi="Arial" w:cs="Arial"/>
          <w:color w:val="000000"/>
          <w:lang w:val="es-ES_tradnl"/>
        </w:rPr>
        <w:t>L</w:t>
      </w:r>
      <w:r w:rsidR="00C55BCB" w:rsidRPr="00E11B40">
        <w:rPr>
          <w:rFonts w:ascii="Arial" w:eastAsia="Calibri" w:hAnsi="Arial" w:cs="Arial"/>
          <w:color w:val="000000"/>
          <w:lang w:val="es-ES_tradnl"/>
        </w:rPr>
        <w:t>os documentos tipo</w:t>
      </w:r>
      <w:r w:rsidR="00A45729" w:rsidRPr="00E11B40">
        <w:rPr>
          <w:rFonts w:ascii="Arial" w:eastAsia="Calibri" w:hAnsi="Arial" w:cs="Arial"/>
          <w:color w:val="000000"/>
          <w:lang w:val="es-ES_tradnl"/>
        </w:rPr>
        <w:t xml:space="preserve"> expedidos por esta Agencia</w:t>
      </w:r>
      <w:r w:rsidR="000A5DE4" w:rsidRPr="00E11B40">
        <w:rPr>
          <w:rFonts w:ascii="Arial" w:eastAsia="Calibri" w:hAnsi="Arial" w:cs="Arial"/>
          <w:color w:val="000000"/>
          <w:lang w:val="es-ES_tradnl"/>
        </w:rPr>
        <w:t xml:space="preserve"> </w:t>
      </w:r>
      <w:r w:rsidR="00A45729" w:rsidRPr="00E11B40">
        <w:rPr>
          <w:rFonts w:ascii="Arial" w:eastAsia="Calibri" w:hAnsi="Arial" w:cs="Arial"/>
          <w:color w:val="000000"/>
          <w:lang w:val="es-ES_tradnl"/>
        </w:rPr>
        <w:t>contemplan</w:t>
      </w:r>
      <w:r w:rsidR="001376A0" w:rsidRPr="00E11B40">
        <w:rPr>
          <w:rFonts w:ascii="Arial" w:eastAsia="Calibri" w:hAnsi="Arial" w:cs="Arial"/>
          <w:color w:val="000000"/>
          <w:lang w:val="es-ES_tradnl"/>
        </w:rPr>
        <w:t xml:space="preserve"> en el documento base</w:t>
      </w:r>
      <w:r w:rsidR="00A45729" w:rsidRPr="00E11B40">
        <w:rPr>
          <w:rFonts w:ascii="Arial" w:eastAsia="Calibri" w:hAnsi="Arial" w:cs="Arial"/>
          <w:color w:val="000000"/>
          <w:lang w:val="es-ES_tradnl"/>
        </w:rPr>
        <w:t xml:space="preserve"> un numeral</w:t>
      </w:r>
      <w:r w:rsidR="00C55BCB" w:rsidRPr="00E11B40">
        <w:rPr>
          <w:rFonts w:ascii="Arial" w:eastAsia="Calibri" w:hAnsi="Arial" w:cs="Arial"/>
          <w:color w:val="000000"/>
          <w:lang w:val="es-ES_tradnl"/>
        </w:rPr>
        <w:t xml:space="preserve"> </w:t>
      </w:r>
      <w:r w:rsidR="00A45729" w:rsidRPr="00E11B40">
        <w:rPr>
          <w:rFonts w:ascii="Arial" w:eastAsia="Calibri" w:hAnsi="Arial" w:cs="Arial"/>
          <w:color w:val="000000"/>
          <w:lang w:val="es-ES_tradnl"/>
        </w:rPr>
        <w:t xml:space="preserve">denominado </w:t>
      </w:r>
      <w:r w:rsidR="00C55BCB" w:rsidRPr="00E11B40">
        <w:rPr>
          <w:rFonts w:ascii="Arial" w:eastAsia="Calibri" w:hAnsi="Arial" w:cs="Arial"/>
          <w:color w:val="000000"/>
          <w:lang w:val="es-ES_tradnl"/>
        </w:rPr>
        <w:t xml:space="preserve">«1.3. </w:t>
      </w:r>
      <w:r w:rsidRPr="00E11B40">
        <w:rPr>
          <w:rFonts w:ascii="Arial" w:eastAsia="Calibri" w:hAnsi="Arial" w:cs="Arial"/>
          <w:color w:val="000000"/>
          <w:lang w:val="es-ES_tradnl"/>
        </w:rPr>
        <w:t>C</w:t>
      </w:r>
      <w:r w:rsidR="00C55BCB" w:rsidRPr="00E11B40">
        <w:rPr>
          <w:rFonts w:ascii="Arial" w:eastAsia="Calibri" w:hAnsi="Arial" w:cs="Arial"/>
          <w:color w:val="000000"/>
          <w:lang w:val="es-ES_tradnl"/>
        </w:rPr>
        <w:t>omunicaciones y observaciones al proceso»</w:t>
      </w:r>
      <w:r w:rsidR="00A45729" w:rsidRPr="00E11B40">
        <w:rPr>
          <w:rFonts w:ascii="Arial" w:eastAsia="Calibri" w:hAnsi="Arial" w:cs="Arial"/>
          <w:color w:val="000000"/>
          <w:lang w:val="es-ES_tradnl"/>
        </w:rPr>
        <w:t>, mediante</w:t>
      </w:r>
      <w:r w:rsidR="000A5DE4" w:rsidRPr="00E11B40">
        <w:rPr>
          <w:rFonts w:ascii="Arial" w:eastAsia="Calibri" w:hAnsi="Arial" w:cs="Arial"/>
          <w:color w:val="000000"/>
          <w:lang w:val="es-ES_tradnl"/>
        </w:rPr>
        <w:t xml:space="preserve"> </w:t>
      </w:r>
      <w:r w:rsidR="00C55BCB" w:rsidRPr="00E11B40">
        <w:rPr>
          <w:rFonts w:ascii="Arial" w:eastAsia="Calibri" w:hAnsi="Arial" w:cs="Arial"/>
          <w:color w:val="000000"/>
          <w:lang w:val="es-ES_tradnl"/>
        </w:rPr>
        <w:t xml:space="preserve">el cual </w:t>
      </w:r>
      <w:r w:rsidRPr="00E11B40">
        <w:rPr>
          <w:rFonts w:ascii="Arial" w:eastAsia="Calibri" w:hAnsi="Arial" w:cs="Arial"/>
          <w:color w:val="000000"/>
          <w:lang w:val="es-ES_tradnl"/>
        </w:rPr>
        <w:t xml:space="preserve">informa </w:t>
      </w:r>
      <w:r w:rsidR="00C55BCB" w:rsidRPr="00E11B40">
        <w:rPr>
          <w:rFonts w:ascii="Arial" w:eastAsia="Calibri" w:hAnsi="Arial" w:cs="Arial"/>
          <w:color w:val="000000"/>
          <w:lang w:val="es-ES_tradnl"/>
        </w:rPr>
        <w:t>a la comunidad en general y a los oferentes</w:t>
      </w:r>
      <w:r w:rsidRPr="00E11B40">
        <w:rPr>
          <w:rFonts w:ascii="Arial" w:eastAsia="Calibri" w:hAnsi="Arial" w:cs="Arial"/>
          <w:color w:val="000000"/>
          <w:lang w:val="es-ES_tradnl"/>
        </w:rPr>
        <w:t xml:space="preserve"> de manera </w:t>
      </w:r>
      <w:r w:rsidR="00C55BCB" w:rsidRPr="00E11B40">
        <w:rPr>
          <w:rFonts w:ascii="Arial" w:eastAsia="Calibri" w:hAnsi="Arial" w:cs="Arial"/>
          <w:color w:val="000000"/>
          <w:lang w:val="es-ES_tradnl"/>
        </w:rPr>
        <w:t>especial,</w:t>
      </w:r>
      <w:r w:rsidRPr="00E11B40">
        <w:rPr>
          <w:rFonts w:ascii="Arial" w:eastAsia="Calibri" w:hAnsi="Arial" w:cs="Arial"/>
          <w:color w:val="000000"/>
          <w:lang w:val="es-ES_tradnl"/>
        </w:rPr>
        <w:t xml:space="preserve"> a quien debe remitir la información relativa al proceso, ya sea de manera física o virtual.</w:t>
      </w:r>
      <w:r w:rsidR="00A45729" w:rsidRPr="00E11B40">
        <w:rPr>
          <w:rFonts w:ascii="Arial" w:eastAsia="Calibri" w:hAnsi="Arial" w:cs="Arial"/>
          <w:color w:val="000000"/>
          <w:lang w:val="es-ES_tradnl"/>
        </w:rPr>
        <w:t xml:space="preserve"> Dicho numeral, dispone unos aportados en corchetes y resaltados en gris, con el fin de que las entidades diligencien la respectiva información con los datos que corresponden. </w:t>
      </w:r>
      <w:r w:rsidR="001376A0" w:rsidRPr="00E11B40">
        <w:rPr>
          <w:rFonts w:ascii="Arial" w:eastAsia="Calibri" w:hAnsi="Arial" w:cs="Arial"/>
          <w:color w:val="000000"/>
          <w:lang w:val="es-ES_tradnl"/>
        </w:rPr>
        <w:t xml:space="preserve">Así las cosas, el documento base dispone que las entidades deberán indicar los datos de correspondencia física y electrónica. </w:t>
      </w:r>
      <w:r w:rsidRPr="00E11B40">
        <w:rPr>
          <w:rFonts w:ascii="Arial" w:eastAsia="Calibri" w:hAnsi="Arial" w:cs="Arial"/>
          <w:color w:val="000000"/>
          <w:lang w:val="es-ES_tradnl"/>
        </w:rPr>
        <w:t xml:space="preserve">En el caso de la </w:t>
      </w:r>
      <w:r w:rsidR="001376A0" w:rsidRPr="00E11B40">
        <w:rPr>
          <w:rFonts w:ascii="Arial" w:eastAsia="Calibri" w:hAnsi="Arial" w:cs="Arial"/>
          <w:color w:val="000000"/>
          <w:lang w:val="es-ES_tradnl"/>
        </w:rPr>
        <w:t xml:space="preserve">correspondencia </w:t>
      </w:r>
      <w:r w:rsidRPr="00E11B40">
        <w:rPr>
          <w:rFonts w:ascii="Arial" w:eastAsia="Calibri" w:hAnsi="Arial" w:cs="Arial"/>
          <w:color w:val="000000"/>
          <w:lang w:val="es-ES_tradnl"/>
        </w:rPr>
        <w:t xml:space="preserve">física </w:t>
      </w:r>
      <w:r w:rsidR="00A45729" w:rsidRPr="00E11B40">
        <w:rPr>
          <w:rFonts w:ascii="Arial" w:eastAsia="Calibri" w:hAnsi="Arial" w:cs="Arial"/>
          <w:color w:val="000000"/>
          <w:lang w:val="es-ES_tradnl"/>
        </w:rPr>
        <w:t xml:space="preserve">el numeral en mención </w:t>
      </w:r>
      <w:r w:rsidRPr="00E11B40">
        <w:rPr>
          <w:rFonts w:ascii="Arial" w:eastAsia="Calibri" w:hAnsi="Arial" w:cs="Arial"/>
          <w:color w:val="000000"/>
          <w:lang w:val="es-ES_tradnl"/>
        </w:rPr>
        <w:t xml:space="preserve">establece </w:t>
      </w:r>
      <w:r w:rsidR="00A45729" w:rsidRPr="00E11B40">
        <w:rPr>
          <w:rFonts w:ascii="Arial" w:eastAsia="Calibri" w:hAnsi="Arial" w:cs="Arial"/>
          <w:color w:val="000000"/>
          <w:lang w:val="es-ES_tradnl"/>
        </w:rPr>
        <w:t xml:space="preserve">un espacio en el cual </w:t>
      </w:r>
      <w:r w:rsidRPr="00E11B40">
        <w:rPr>
          <w:rFonts w:ascii="Arial" w:eastAsia="Calibri" w:hAnsi="Arial" w:cs="Arial"/>
          <w:color w:val="000000"/>
          <w:lang w:val="es-ES_tradnl"/>
        </w:rPr>
        <w:t>se deberá</w:t>
      </w:r>
      <w:r w:rsidR="00A45729" w:rsidRPr="00E11B40">
        <w:rPr>
          <w:rFonts w:ascii="Arial" w:eastAsia="Calibri" w:hAnsi="Arial" w:cs="Arial"/>
          <w:color w:val="000000"/>
          <w:lang w:val="es-ES_tradnl"/>
        </w:rPr>
        <w:t xml:space="preserve"> señalar la </w:t>
      </w:r>
      <w:r w:rsidR="001376A0" w:rsidRPr="00E11B40">
        <w:rPr>
          <w:rFonts w:ascii="Arial" w:eastAsia="Calibri" w:hAnsi="Arial" w:cs="Arial"/>
          <w:color w:val="000000"/>
          <w:lang w:val="es-ES_tradnl"/>
        </w:rPr>
        <w:t xml:space="preserve">siguiente información: </w:t>
      </w:r>
      <w:r w:rsidR="00A45729" w:rsidRPr="00E11B40">
        <w:rPr>
          <w:rFonts w:ascii="Arial" w:eastAsia="Calibri" w:hAnsi="Arial" w:cs="Arial"/>
          <w:color w:val="000000"/>
          <w:lang w:val="es-ES_tradnl"/>
        </w:rPr>
        <w:t>dirección de la entidad</w:t>
      </w:r>
      <w:r w:rsidR="001376A0" w:rsidRPr="00E11B40">
        <w:rPr>
          <w:rFonts w:ascii="Arial" w:eastAsia="Calibri" w:hAnsi="Arial" w:cs="Arial"/>
          <w:color w:val="000000"/>
          <w:lang w:val="es-ES_tradnl"/>
        </w:rPr>
        <w:t xml:space="preserve">; </w:t>
      </w:r>
      <w:r w:rsidR="00A45729" w:rsidRPr="00E11B40">
        <w:rPr>
          <w:rFonts w:ascii="Arial" w:eastAsia="Calibri" w:hAnsi="Arial" w:cs="Arial"/>
          <w:color w:val="000000"/>
          <w:lang w:val="es-ES_tradnl"/>
        </w:rPr>
        <w:t xml:space="preserve">identificación de la </w:t>
      </w:r>
      <w:r w:rsidR="001376A0" w:rsidRPr="00E11B40">
        <w:rPr>
          <w:rFonts w:ascii="Arial" w:eastAsia="Calibri" w:hAnsi="Arial" w:cs="Arial"/>
          <w:color w:val="000000"/>
          <w:lang w:val="es-ES_tradnl"/>
        </w:rPr>
        <w:t>oficina en la cual se deben radicar la oferta, las comunicaciones</w:t>
      </w:r>
      <w:r w:rsidRPr="00E11B40">
        <w:rPr>
          <w:rFonts w:ascii="Arial" w:eastAsia="Calibri" w:hAnsi="Arial" w:cs="Arial"/>
          <w:color w:val="000000"/>
          <w:lang w:val="es-ES_tradnl"/>
        </w:rPr>
        <w:t xml:space="preserve"> y observaciones</w:t>
      </w:r>
      <w:r w:rsidR="001376A0" w:rsidRPr="00E11B40">
        <w:rPr>
          <w:rFonts w:ascii="Arial" w:eastAsia="Calibri" w:hAnsi="Arial" w:cs="Arial"/>
          <w:color w:val="000000"/>
          <w:lang w:val="es-ES_tradnl"/>
        </w:rPr>
        <w:t xml:space="preserve">; la ciudad o municipio y; el horario de atención. Ahora bien, respecto de la correspondencia electrónica, la entidad deberá diligenciar el correo electrónico. </w:t>
      </w:r>
      <w:r w:rsidRPr="00E11B40">
        <w:rPr>
          <w:rFonts w:ascii="Arial" w:eastAsia="Calibri" w:hAnsi="Arial" w:cs="Arial"/>
          <w:color w:val="000000"/>
          <w:lang w:val="es-ES_tradnl"/>
        </w:rPr>
        <w:t>Al respecto</w:t>
      </w:r>
      <w:r w:rsidR="00CE5C56" w:rsidRPr="00E11B40">
        <w:rPr>
          <w:rFonts w:ascii="Arial" w:eastAsia="Calibri" w:hAnsi="Arial" w:cs="Arial"/>
          <w:color w:val="000000"/>
          <w:lang w:val="es-ES_tradnl"/>
        </w:rPr>
        <w:t xml:space="preserve"> establece: </w:t>
      </w:r>
    </w:p>
    <w:p w14:paraId="2CC64B34" w14:textId="77777777" w:rsidR="00B515B1" w:rsidRPr="00E11B40" w:rsidRDefault="00B515B1" w:rsidP="00E11B40">
      <w:pPr>
        <w:spacing w:after="0" w:line="276" w:lineRule="auto"/>
        <w:contextualSpacing/>
        <w:jc w:val="both"/>
        <w:rPr>
          <w:rFonts w:ascii="Arial" w:eastAsia="Calibri" w:hAnsi="Arial" w:cs="Arial"/>
          <w:color w:val="000000"/>
          <w:lang w:val="es-ES_tradnl"/>
        </w:rPr>
      </w:pPr>
    </w:p>
    <w:p w14:paraId="286AB970" w14:textId="5682F534" w:rsidR="00CE5C56" w:rsidRPr="00E11B40" w:rsidRDefault="00CE5C56" w:rsidP="00CC20EF">
      <w:pPr>
        <w:spacing w:after="0" w:line="240" w:lineRule="auto"/>
        <w:ind w:left="709" w:right="709"/>
        <w:contextualSpacing/>
        <w:jc w:val="both"/>
        <w:rPr>
          <w:rFonts w:ascii="Arial" w:hAnsi="Arial" w:cs="Arial"/>
          <w:sz w:val="21"/>
          <w:szCs w:val="21"/>
        </w:rPr>
      </w:pPr>
      <w:r w:rsidRPr="00E11B40">
        <w:rPr>
          <w:rFonts w:ascii="Arial" w:eastAsia="Calibri" w:hAnsi="Arial" w:cs="Arial"/>
          <w:color w:val="000000"/>
          <w:sz w:val="21"/>
          <w:szCs w:val="21"/>
          <w:lang w:val="es-ES_tradnl"/>
        </w:rPr>
        <w:lastRenderedPageBreak/>
        <w:t>«</w:t>
      </w:r>
      <w:r w:rsidRPr="00E11B40">
        <w:rPr>
          <w:rFonts w:ascii="Arial" w:hAnsi="Arial" w:cs="Arial"/>
          <w:sz w:val="21"/>
          <w:szCs w:val="21"/>
        </w:rPr>
        <w:t>La correspondencia física debe entregarse en [dirección de la Entidad Estatal e identificación de la oficina donde se debe radicar] en [nombre de la ciudad o municipio] de [lunes al último día de atención en la semana] entre [horario de atención al público]. La correspondencia electrónica debe enviarse al correo electrónico [correo de la Entidad Estatal] y el horario permitido será hasta las 11:59 p. m. del día establecido en el Cronograma, salvo que éste fije una hora concreta. Dicha solicitud debe:</w:t>
      </w:r>
    </w:p>
    <w:p w14:paraId="7FDAF30C" w14:textId="77777777" w:rsidR="00CC20EF" w:rsidRPr="00E11B40" w:rsidRDefault="00CC20EF" w:rsidP="00E11B40">
      <w:pPr>
        <w:spacing w:after="0" w:line="240" w:lineRule="auto"/>
        <w:ind w:left="709" w:right="709"/>
        <w:contextualSpacing/>
        <w:jc w:val="both"/>
        <w:rPr>
          <w:rFonts w:ascii="Arial" w:hAnsi="Arial" w:cs="Arial"/>
          <w:sz w:val="21"/>
          <w:szCs w:val="21"/>
        </w:rPr>
      </w:pPr>
    </w:p>
    <w:p w14:paraId="645D553C" w14:textId="77777777" w:rsidR="00CE5C56" w:rsidRPr="00E11B40" w:rsidRDefault="00CE5C56" w:rsidP="00E11B40">
      <w:pPr>
        <w:pStyle w:val="Prrafodelista"/>
        <w:numPr>
          <w:ilvl w:val="0"/>
          <w:numId w:val="4"/>
        </w:numPr>
        <w:ind w:left="1069" w:right="709"/>
        <w:rPr>
          <w:rFonts w:cs="Arial"/>
          <w:sz w:val="21"/>
          <w:szCs w:val="21"/>
          <w:lang w:val="es-CO"/>
        </w:rPr>
      </w:pPr>
      <w:r w:rsidRPr="00E11B40">
        <w:rPr>
          <w:rFonts w:cs="Arial"/>
          <w:sz w:val="21"/>
          <w:szCs w:val="21"/>
          <w:lang w:val="es-CO"/>
        </w:rPr>
        <w:t xml:space="preserve">Contener el número del Proceso de Contratación. </w:t>
      </w:r>
    </w:p>
    <w:p w14:paraId="54A1A1DD" w14:textId="77777777" w:rsidR="00CE5C56" w:rsidRPr="00E11B40" w:rsidRDefault="00CE5C56" w:rsidP="00E11B40">
      <w:pPr>
        <w:pStyle w:val="Prrafodelista"/>
        <w:numPr>
          <w:ilvl w:val="0"/>
          <w:numId w:val="4"/>
        </w:numPr>
        <w:ind w:left="1069" w:right="709"/>
        <w:rPr>
          <w:rFonts w:cs="Arial"/>
          <w:sz w:val="21"/>
          <w:szCs w:val="21"/>
          <w:lang w:val="es-CO"/>
        </w:rPr>
      </w:pPr>
      <w:r w:rsidRPr="00E11B40">
        <w:rPr>
          <w:rFonts w:cs="Arial"/>
          <w:sz w:val="21"/>
          <w:szCs w:val="21"/>
          <w:lang w:val="es-CO"/>
        </w:rPr>
        <w:t>Dirigirse a [dependencia de la Entidad].</w:t>
      </w:r>
    </w:p>
    <w:p w14:paraId="3308A1EB" w14:textId="0BCB13E1" w:rsidR="00CE5C56" w:rsidRPr="00E11B40" w:rsidRDefault="00CE5C56" w:rsidP="00E11B40">
      <w:pPr>
        <w:pStyle w:val="Prrafodelista"/>
        <w:numPr>
          <w:ilvl w:val="0"/>
          <w:numId w:val="4"/>
        </w:numPr>
        <w:ind w:left="1069" w:right="709"/>
        <w:rPr>
          <w:rFonts w:cs="Arial"/>
          <w:sz w:val="21"/>
          <w:szCs w:val="21"/>
          <w:lang w:val="es-CO"/>
        </w:rPr>
      </w:pPr>
      <w:r w:rsidRPr="00E11B40">
        <w:rPr>
          <w:rFonts w:cs="Arial"/>
          <w:sz w:val="21"/>
          <w:szCs w:val="21"/>
          <w:lang w:val="es-CO"/>
        </w:rPr>
        <w:t>Enviarse dentro del plazo establecido en el Cronograma del Proceso de Contratación.</w:t>
      </w:r>
    </w:p>
    <w:p w14:paraId="3A5B820D" w14:textId="77777777" w:rsidR="00CE5C56" w:rsidRPr="00E11B40" w:rsidRDefault="00CE5C56" w:rsidP="00E11B40">
      <w:pPr>
        <w:pStyle w:val="Prrafodelista"/>
        <w:numPr>
          <w:ilvl w:val="0"/>
          <w:numId w:val="4"/>
        </w:numPr>
        <w:ind w:left="1069" w:right="709"/>
        <w:rPr>
          <w:rFonts w:cs="Arial"/>
          <w:sz w:val="21"/>
          <w:szCs w:val="21"/>
          <w:lang w:val="es-CO"/>
        </w:rPr>
      </w:pPr>
      <w:r w:rsidRPr="00E11B40">
        <w:rPr>
          <w:rFonts w:cs="Arial"/>
          <w:sz w:val="21"/>
          <w:szCs w:val="21"/>
          <w:lang w:val="es-CO"/>
        </w:rPr>
        <w:t>Indicar los datos de contacto del remitente tales como el correo electrónico, la dirección y el número telefónico.</w:t>
      </w:r>
    </w:p>
    <w:p w14:paraId="08C665C6" w14:textId="77777777" w:rsidR="00CE5C56" w:rsidRPr="00E11B40" w:rsidRDefault="00CE5C56" w:rsidP="00CC20EF">
      <w:pPr>
        <w:pStyle w:val="Prrafodelista"/>
        <w:rPr>
          <w:rFonts w:cs="Arial"/>
          <w:sz w:val="24"/>
          <w:szCs w:val="24"/>
          <w:lang w:val="es-CO"/>
        </w:rPr>
      </w:pPr>
    </w:p>
    <w:p w14:paraId="60704C09" w14:textId="7905BDEE" w:rsidR="00CC20EF" w:rsidRPr="00E11B40" w:rsidRDefault="00CC20EF" w:rsidP="000A5DE4">
      <w:pPr>
        <w:spacing w:after="120" w:line="276" w:lineRule="auto"/>
        <w:ind w:firstLine="709"/>
        <w:jc w:val="both"/>
        <w:rPr>
          <w:rFonts w:ascii="Arial" w:eastAsia="Calibri" w:hAnsi="Arial" w:cs="Arial"/>
          <w:lang w:val="es-ES_tradnl"/>
        </w:rPr>
      </w:pPr>
      <w:r w:rsidRPr="00E11B40">
        <w:rPr>
          <w:rFonts w:ascii="Arial" w:eastAsia="Calibri" w:hAnsi="Arial" w:cs="Arial"/>
          <w:color w:val="000000"/>
          <w:lang w:val="es-ES_tradnl"/>
        </w:rPr>
        <w:t xml:space="preserve">La anterior disposición tiene como finalidad establecer sin interferencias el mejor canal posible de información entre oferentes, participantes del proceso de contratación y las entidades públicas.  </w:t>
      </w:r>
    </w:p>
    <w:p w14:paraId="42B4CB59" w14:textId="18C5721B" w:rsidR="000A5DE4" w:rsidRPr="00E11B40" w:rsidRDefault="00CC20EF" w:rsidP="000A5DE4">
      <w:pPr>
        <w:spacing w:after="120" w:line="276" w:lineRule="auto"/>
        <w:ind w:firstLine="709"/>
        <w:jc w:val="both"/>
        <w:rPr>
          <w:rFonts w:ascii="Arial" w:eastAsia="Calibri" w:hAnsi="Arial" w:cs="Arial"/>
          <w:lang w:val="es-ES_tradnl"/>
        </w:rPr>
      </w:pPr>
      <w:r w:rsidRPr="00E11B40">
        <w:rPr>
          <w:rFonts w:ascii="Arial" w:eastAsia="Calibri" w:hAnsi="Arial" w:cs="Arial"/>
          <w:lang w:val="es-ES_tradnl"/>
        </w:rPr>
        <w:t>Ahora bien, respecto de la presentación de la oferta e</w:t>
      </w:r>
      <w:r w:rsidR="001272D9" w:rsidRPr="00E11B40">
        <w:rPr>
          <w:rFonts w:ascii="Arial" w:eastAsia="Calibri" w:hAnsi="Arial" w:cs="Arial"/>
          <w:lang w:val="es-ES_tradnl"/>
        </w:rPr>
        <w:t xml:space="preserve">sta Agencia ha señalado que los </w:t>
      </w:r>
      <w:r w:rsidR="000A5DE4" w:rsidRPr="00E11B40">
        <w:rPr>
          <w:rFonts w:ascii="Arial" w:eastAsia="Calibri" w:hAnsi="Arial" w:cs="Arial"/>
          <w:lang w:val="es-ES_tradnl"/>
        </w:rPr>
        <w:t xml:space="preserve">requisitos </w:t>
      </w:r>
      <w:r w:rsidR="00E558F7" w:rsidRPr="00E11B40">
        <w:rPr>
          <w:rFonts w:ascii="Arial" w:eastAsia="Calibri" w:hAnsi="Arial" w:cs="Arial"/>
          <w:lang w:val="es-ES_tradnl"/>
        </w:rPr>
        <w:t>exigidos a</w:t>
      </w:r>
      <w:r w:rsidR="000A5DE4" w:rsidRPr="00E11B40">
        <w:rPr>
          <w:rFonts w:ascii="Arial" w:eastAsia="Calibri" w:hAnsi="Arial" w:cs="Arial"/>
          <w:lang w:val="es-ES_tradnl"/>
        </w:rPr>
        <w:t xml:space="preserve"> los </w:t>
      </w:r>
      <w:r w:rsidR="00E558F7" w:rsidRPr="00E11B40">
        <w:rPr>
          <w:rFonts w:ascii="Arial" w:eastAsia="Calibri" w:hAnsi="Arial" w:cs="Arial"/>
          <w:lang w:val="es-ES_tradnl"/>
        </w:rPr>
        <w:t>proponentes</w:t>
      </w:r>
      <w:r w:rsidR="000A5DE4" w:rsidRPr="00E11B40">
        <w:rPr>
          <w:rFonts w:ascii="Arial" w:eastAsia="Calibri" w:hAnsi="Arial" w:cs="Arial"/>
          <w:lang w:val="es-ES_tradnl"/>
        </w:rPr>
        <w:t xml:space="preserve"> pueden ser entendidos en tres clases: </w:t>
      </w:r>
      <w:r w:rsidR="000A5DE4" w:rsidRPr="00E11B40">
        <w:rPr>
          <w:rFonts w:ascii="Arial" w:eastAsia="Calibri" w:hAnsi="Arial" w:cs="Arial"/>
          <w:i/>
          <w:iCs/>
          <w:lang w:val="es-ES_tradnl"/>
        </w:rPr>
        <w:t>subjetivos,</w:t>
      </w:r>
      <w:r w:rsidR="000A5DE4" w:rsidRPr="00E11B40">
        <w:rPr>
          <w:rFonts w:ascii="Arial" w:eastAsia="Calibri" w:hAnsi="Arial" w:cs="Arial"/>
          <w:lang w:val="es-ES_tradnl"/>
        </w:rPr>
        <w:t xml:space="preserve"> que atienden a las calidades, capacidades, idoneidad y condiciones de los oferentes; </w:t>
      </w:r>
      <w:r w:rsidR="000A5DE4" w:rsidRPr="00E11B40">
        <w:rPr>
          <w:rFonts w:ascii="Arial" w:eastAsia="Calibri" w:hAnsi="Arial" w:cs="Arial"/>
          <w:i/>
          <w:iCs/>
          <w:lang w:val="es-ES_tradnl"/>
        </w:rPr>
        <w:t>objetivos</w:t>
      </w:r>
      <w:r w:rsidR="000A5DE4" w:rsidRPr="00E11B40">
        <w:rPr>
          <w:rFonts w:ascii="Arial" w:eastAsia="Calibri" w:hAnsi="Arial" w:cs="Arial"/>
          <w:lang w:val="es-ES_tradnl"/>
        </w:rPr>
        <w:t xml:space="preserve"> que se refieren a aspectos técnicos, económicos, presupuestales, etc., que permiten ponderar las ofertas en su real y efectiva dimensión, y </w:t>
      </w:r>
      <w:r w:rsidR="000A5DE4" w:rsidRPr="00E11B40">
        <w:rPr>
          <w:rFonts w:ascii="Arial" w:eastAsia="Calibri" w:hAnsi="Arial" w:cs="Arial"/>
          <w:i/>
          <w:iCs/>
          <w:lang w:val="es-ES_tradnl"/>
        </w:rPr>
        <w:t>formales</w:t>
      </w:r>
      <w:r w:rsidR="000A5DE4" w:rsidRPr="00E11B40">
        <w:rPr>
          <w:rFonts w:ascii="Arial" w:eastAsia="Calibri" w:hAnsi="Arial" w:cs="Arial"/>
          <w:lang w:val="es-ES_tradnl"/>
        </w:rPr>
        <w:t xml:space="preserve"> que atienden a la instrumentalización y protocolización de los actos jurídicos, tanto de la propuesta como del contrato estatal. En es</w:t>
      </w:r>
      <w:r w:rsidRPr="00E11B40">
        <w:rPr>
          <w:rFonts w:ascii="Arial" w:eastAsia="Calibri" w:hAnsi="Arial" w:cs="Arial"/>
          <w:lang w:val="es-ES_tradnl"/>
        </w:rPr>
        <w:t xml:space="preserve">e </w:t>
      </w:r>
      <w:r w:rsidR="000A5DE4" w:rsidRPr="00E11B40">
        <w:rPr>
          <w:rFonts w:ascii="Arial" w:eastAsia="Calibri" w:hAnsi="Arial" w:cs="Arial"/>
          <w:lang w:val="es-ES_tradnl"/>
        </w:rPr>
        <w:t>sentido</w:t>
      </w:r>
      <w:r w:rsidRPr="00E11B40">
        <w:rPr>
          <w:rFonts w:ascii="Arial" w:eastAsia="Calibri" w:hAnsi="Arial" w:cs="Arial"/>
          <w:lang w:val="es-ES_tradnl"/>
        </w:rPr>
        <w:t>,</w:t>
      </w:r>
      <w:r w:rsidR="000A5DE4" w:rsidRPr="00E11B40">
        <w:rPr>
          <w:rFonts w:ascii="Arial" w:eastAsia="Calibri" w:hAnsi="Arial" w:cs="Arial"/>
          <w:lang w:val="es-ES_tradnl"/>
        </w:rPr>
        <w:t xml:space="preserve"> la </w:t>
      </w:r>
      <w:r w:rsidR="00E558F7" w:rsidRPr="00E11B40">
        <w:rPr>
          <w:rFonts w:ascii="Arial" w:eastAsia="Calibri" w:hAnsi="Arial" w:cs="Arial"/>
          <w:lang w:val="es-ES_tradnl"/>
        </w:rPr>
        <w:t xml:space="preserve">exigencia de identificación de la dependencia ante la cual debe ser radicada </w:t>
      </w:r>
      <w:r w:rsidR="000A5DE4" w:rsidRPr="00E11B40">
        <w:rPr>
          <w:rFonts w:ascii="Arial" w:eastAsia="Calibri" w:hAnsi="Arial" w:cs="Arial"/>
          <w:lang w:val="es-ES_tradnl"/>
        </w:rPr>
        <w:t xml:space="preserve">la </w:t>
      </w:r>
      <w:r w:rsidRPr="00E11B40">
        <w:rPr>
          <w:rFonts w:ascii="Arial" w:eastAsia="Calibri" w:hAnsi="Arial" w:cs="Arial"/>
          <w:lang w:val="es-ES_tradnl"/>
        </w:rPr>
        <w:t>o</w:t>
      </w:r>
      <w:r w:rsidR="000A5DE4" w:rsidRPr="00E11B40">
        <w:rPr>
          <w:rFonts w:ascii="Arial" w:eastAsia="Calibri" w:hAnsi="Arial" w:cs="Arial"/>
          <w:lang w:val="es-ES_tradnl"/>
        </w:rPr>
        <w:t>ferta</w:t>
      </w:r>
      <w:r w:rsidRPr="00E11B40">
        <w:rPr>
          <w:rFonts w:ascii="Arial" w:eastAsia="Calibri" w:hAnsi="Arial" w:cs="Arial"/>
          <w:lang w:val="es-ES_tradnl"/>
        </w:rPr>
        <w:t xml:space="preserve"> se considera como</w:t>
      </w:r>
      <w:r w:rsidR="000A5DE4" w:rsidRPr="00E11B40">
        <w:rPr>
          <w:rFonts w:ascii="Arial" w:eastAsia="Calibri" w:hAnsi="Arial" w:cs="Arial"/>
          <w:lang w:val="es-ES_tradnl"/>
        </w:rPr>
        <w:t xml:space="preserve"> un</w:t>
      </w:r>
      <w:r w:rsidRPr="00E11B40">
        <w:rPr>
          <w:rFonts w:ascii="Arial" w:eastAsia="Calibri" w:hAnsi="Arial" w:cs="Arial"/>
          <w:lang w:val="es-ES_tradnl"/>
        </w:rPr>
        <w:t xml:space="preserve"> requisito</w:t>
      </w:r>
      <w:r w:rsidR="000A5DE4" w:rsidRPr="00E11B40">
        <w:rPr>
          <w:rFonts w:ascii="Arial" w:eastAsia="Calibri" w:hAnsi="Arial" w:cs="Arial"/>
          <w:lang w:val="es-ES_tradnl"/>
        </w:rPr>
        <w:t xml:space="preserve"> formal</w:t>
      </w:r>
      <w:r w:rsidR="00E558F7" w:rsidRPr="00E11B40">
        <w:rPr>
          <w:rFonts w:ascii="Arial" w:eastAsia="Calibri" w:hAnsi="Arial" w:cs="Arial"/>
          <w:lang w:val="es-ES_tradnl"/>
        </w:rPr>
        <w:t>.</w:t>
      </w:r>
      <w:r w:rsidR="000A5DE4" w:rsidRPr="00E11B40">
        <w:rPr>
          <w:rFonts w:ascii="Arial" w:eastAsia="Calibri" w:hAnsi="Arial" w:cs="Arial"/>
          <w:lang w:val="es-ES_tradnl"/>
        </w:rPr>
        <w:t xml:space="preserve"> </w:t>
      </w:r>
    </w:p>
    <w:p w14:paraId="018E367F" w14:textId="0B8A0B46" w:rsidR="00ED178A" w:rsidRPr="00E11B40" w:rsidRDefault="00CC20EF" w:rsidP="00ED178A">
      <w:pPr>
        <w:spacing w:before="120" w:after="120" w:line="276" w:lineRule="auto"/>
        <w:ind w:firstLine="709"/>
        <w:jc w:val="both"/>
        <w:rPr>
          <w:rFonts w:ascii="Arial" w:hAnsi="Arial" w:cs="Arial"/>
          <w:color w:val="000000" w:themeColor="text1"/>
        </w:rPr>
      </w:pPr>
      <w:r w:rsidRPr="00E11B40">
        <w:rPr>
          <w:rFonts w:ascii="Arial" w:hAnsi="Arial" w:cs="Arial"/>
        </w:rPr>
        <w:t>Conforme lo expuesto en el numeral 2.2. de este concepto que,</w:t>
      </w:r>
      <w:r w:rsidR="00E558F7" w:rsidRPr="00E11B40">
        <w:rPr>
          <w:rFonts w:ascii="Arial" w:hAnsi="Arial" w:cs="Arial"/>
        </w:rPr>
        <w:t xml:space="preserve"> la Constitución de 1991 establece en su artículo 228 la prevalencia del </w:t>
      </w:r>
      <w:r w:rsidRPr="00E11B40">
        <w:rPr>
          <w:rFonts w:ascii="Arial" w:hAnsi="Arial" w:cs="Arial"/>
        </w:rPr>
        <w:t>d</w:t>
      </w:r>
      <w:r w:rsidR="00E558F7" w:rsidRPr="00E11B40">
        <w:rPr>
          <w:rFonts w:ascii="Arial" w:hAnsi="Arial" w:cs="Arial"/>
        </w:rPr>
        <w:t xml:space="preserve">erecho sustancial sobre </w:t>
      </w:r>
      <w:r w:rsidR="00650619" w:rsidRPr="00E11B40">
        <w:rPr>
          <w:rFonts w:ascii="Arial" w:hAnsi="Arial" w:cs="Arial"/>
        </w:rPr>
        <w:t>el formal</w:t>
      </w:r>
      <w:r w:rsidRPr="00E11B40">
        <w:rPr>
          <w:rFonts w:ascii="Arial" w:hAnsi="Arial" w:cs="Arial"/>
        </w:rPr>
        <w:t xml:space="preserve">, por tal razón esta </w:t>
      </w:r>
      <w:r w:rsidR="00ED178A" w:rsidRPr="00E11B40">
        <w:rPr>
          <w:rFonts w:ascii="Arial" w:hAnsi="Arial" w:cs="Arial"/>
        </w:rPr>
        <w:t xml:space="preserve">Agencia </w:t>
      </w:r>
      <w:r w:rsidRPr="00E11B40">
        <w:rPr>
          <w:rFonts w:ascii="Arial" w:hAnsi="Arial" w:cs="Arial"/>
        </w:rPr>
        <w:t xml:space="preserve">considera que, </w:t>
      </w:r>
      <w:r w:rsidR="00650619" w:rsidRPr="00E11B40">
        <w:rPr>
          <w:rFonts w:ascii="Arial" w:hAnsi="Arial" w:cs="Arial"/>
        </w:rPr>
        <w:t xml:space="preserve">este principio constitucional </w:t>
      </w:r>
      <w:r w:rsidR="00ED178A" w:rsidRPr="00E11B40">
        <w:rPr>
          <w:rFonts w:ascii="Arial" w:hAnsi="Arial" w:cs="Arial"/>
        </w:rPr>
        <w:t>impide que la entidad que adelanta el proceso contractual le rinda culto a las «formas», pues el deber que le asiste es el de tener en cuenta y aplicar los aspectos sustanciales de los documentos tipo, sin distingo de la formalidad de la que se sirvan para ello los actores del sistema de contratación pública.</w:t>
      </w:r>
      <w:r w:rsidRPr="00E11B40">
        <w:rPr>
          <w:rFonts w:ascii="Arial" w:hAnsi="Arial" w:cs="Arial"/>
        </w:rPr>
        <w:t xml:space="preserve"> Por lo anterior, la entidad estatal no debe rechazar una oferta por el hecho de que se haya presentado en una dependencia distinta a la indicada en el numeral 1.3. del documento base.  </w:t>
      </w:r>
    </w:p>
    <w:p w14:paraId="5AFE7AB8" w14:textId="57AE04FC" w:rsidR="001272D9" w:rsidRPr="00E11B40" w:rsidRDefault="00CC20EF" w:rsidP="0046764A">
      <w:pPr>
        <w:spacing w:after="0" w:line="276" w:lineRule="auto"/>
        <w:ind w:firstLine="709"/>
        <w:contextualSpacing/>
        <w:jc w:val="both"/>
        <w:rPr>
          <w:rFonts w:ascii="Arial" w:hAnsi="Arial" w:cs="Arial"/>
        </w:rPr>
      </w:pPr>
      <w:r w:rsidRPr="00E11B40">
        <w:rPr>
          <w:rFonts w:ascii="Arial" w:hAnsi="Arial" w:cs="Arial"/>
        </w:rPr>
        <w:t>Ahora bien, e</w:t>
      </w:r>
      <w:r w:rsidR="001272D9" w:rsidRPr="00E11B40">
        <w:rPr>
          <w:rFonts w:ascii="Arial" w:hAnsi="Arial" w:cs="Arial"/>
        </w:rPr>
        <w:t xml:space="preserve">n desarrollo de este principio y con el fin de </w:t>
      </w:r>
      <w:r w:rsidR="00CA4D5C" w:rsidRPr="00E11B40">
        <w:rPr>
          <w:rFonts w:ascii="Arial" w:hAnsi="Arial" w:cs="Arial"/>
        </w:rPr>
        <w:t>garantizar</w:t>
      </w:r>
      <w:r w:rsidR="001272D9" w:rsidRPr="00E11B40">
        <w:rPr>
          <w:rFonts w:ascii="Arial" w:hAnsi="Arial" w:cs="Arial"/>
        </w:rPr>
        <w:t xml:space="preserve"> el acceso a la administración pública</w:t>
      </w:r>
      <w:r w:rsidR="00CA4D5C" w:rsidRPr="00E11B40">
        <w:rPr>
          <w:rFonts w:ascii="Arial" w:hAnsi="Arial" w:cs="Arial"/>
        </w:rPr>
        <w:t>,</w:t>
      </w:r>
      <w:r w:rsidR="001272D9" w:rsidRPr="00E11B40">
        <w:rPr>
          <w:rFonts w:ascii="Arial" w:hAnsi="Arial" w:cs="Arial"/>
        </w:rPr>
        <w:t xml:space="preserve"> la Ley </w:t>
      </w:r>
      <w:r w:rsidR="00CA4D5C" w:rsidRPr="00E11B40">
        <w:rPr>
          <w:rFonts w:ascii="Arial" w:hAnsi="Arial" w:cs="Arial"/>
        </w:rPr>
        <w:t xml:space="preserve">1437 de 2011 </w:t>
      </w:r>
      <w:r w:rsidRPr="00E11B40">
        <w:rPr>
          <w:rFonts w:ascii="Arial" w:hAnsi="Arial" w:cs="Arial"/>
        </w:rPr>
        <w:t xml:space="preserve">- </w:t>
      </w:r>
      <w:r w:rsidR="00CA4D5C" w:rsidRPr="00E11B40">
        <w:rPr>
          <w:rFonts w:ascii="Arial" w:hAnsi="Arial" w:cs="Arial"/>
        </w:rPr>
        <w:t>Código de Procedimiento Administrativo y de lo Contencioso Administrativo</w:t>
      </w:r>
      <w:r w:rsidRPr="00E11B40">
        <w:rPr>
          <w:rFonts w:ascii="Arial" w:hAnsi="Arial" w:cs="Arial"/>
        </w:rPr>
        <w:t>-</w:t>
      </w:r>
      <w:r w:rsidR="00CA4D5C" w:rsidRPr="00E11B40">
        <w:rPr>
          <w:rFonts w:ascii="Arial" w:hAnsi="Arial" w:cs="Arial"/>
        </w:rPr>
        <w:t>, en el artículo 21</w:t>
      </w:r>
      <w:r w:rsidR="004E700E" w:rsidRPr="00E11B40">
        <w:rPr>
          <w:rStyle w:val="Refdenotaalpie"/>
          <w:rFonts w:ascii="Arial" w:hAnsi="Arial" w:cs="Arial"/>
        </w:rPr>
        <w:footnoteReference w:id="11"/>
      </w:r>
      <w:r w:rsidR="00CA4D5C" w:rsidRPr="00E11B40">
        <w:rPr>
          <w:rFonts w:ascii="Arial" w:hAnsi="Arial" w:cs="Arial"/>
        </w:rPr>
        <w:t xml:space="preserve"> estableció el deber que tiene el funcionario público que conoce de un tema del que no es competente, de remitir al </w:t>
      </w:r>
      <w:r w:rsidR="00CA4D5C" w:rsidRPr="00E11B40">
        <w:rPr>
          <w:rFonts w:ascii="Arial" w:hAnsi="Arial" w:cs="Arial"/>
        </w:rPr>
        <w:lastRenderedPageBreak/>
        <w:t xml:space="preserve">competente en los </w:t>
      </w:r>
      <w:r w:rsidR="0046764A" w:rsidRPr="00E11B40">
        <w:rPr>
          <w:rFonts w:ascii="Arial" w:hAnsi="Arial" w:cs="Arial"/>
        </w:rPr>
        <w:t>cinco (</w:t>
      </w:r>
      <w:r w:rsidR="00CA4D5C" w:rsidRPr="00E11B40">
        <w:rPr>
          <w:rFonts w:ascii="Arial" w:hAnsi="Arial" w:cs="Arial"/>
        </w:rPr>
        <w:t>5</w:t>
      </w:r>
      <w:r w:rsidR="0046764A" w:rsidRPr="00E11B40">
        <w:rPr>
          <w:rFonts w:ascii="Arial" w:hAnsi="Arial" w:cs="Arial"/>
        </w:rPr>
        <w:t>)</w:t>
      </w:r>
      <w:r w:rsidR="00CA4D5C" w:rsidRPr="00E11B40">
        <w:rPr>
          <w:rFonts w:ascii="Arial" w:hAnsi="Arial" w:cs="Arial"/>
        </w:rPr>
        <w:t xml:space="preserve"> días hábiles siguientes conocimiento del tema.  </w:t>
      </w:r>
      <w:r w:rsidR="0046764A" w:rsidRPr="00E11B40">
        <w:rPr>
          <w:rFonts w:ascii="Arial" w:hAnsi="Arial" w:cs="Arial"/>
        </w:rPr>
        <w:t>Así las cosas, la dependencia de la entidad ante la cual se presenta la oferta está en la obligación de remitir la oferta a la dependencia que adelanta el Proceso de Selección.</w:t>
      </w:r>
      <w:r w:rsidR="004E700E" w:rsidRPr="00E11B40">
        <w:rPr>
          <w:rFonts w:ascii="Arial" w:hAnsi="Arial" w:cs="Arial"/>
        </w:rPr>
        <w:t xml:space="preserve"> </w:t>
      </w:r>
      <w:r w:rsidR="00CA4D5C" w:rsidRPr="00E11B40">
        <w:rPr>
          <w:rFonts w:ascii="Arial" w:hAnsi="Arial" w:cs="Arial"/>
        </w:rPr>
        <w:t xml:space="preserve">  </w:t>
      </w:r>
    </w:p>
    <w:p w14:paraId="79F1D200" w14:textId="77777777" w:rsidR="0046764A" w:rsidRPr="00E11B40" w:rsidRDefault="0046764A" w:rsidP="00E11B40">
      <w:pPr>
        <w:spacing w:before="120" w:after="0" w:line="276" w:lineRule="auto"/>
        <w:ind w:firstLine="709"/>
        <w:jc w:val="both"/>
        <w:rPr>
          <w:rFonts w:ascii="Arial" w:hAnsi="Arial" w:cs="Arial"/>
        </w:rPr>
      </w:pPr>
      <w:r w:rsidRPr="00E11B40">
        <w:rPr>
          <w:rFonts w:ascii="Arial" w:hAnsi="Arial" w:cs="Arial"/>
        </w:rPr>
        <w:t xml:space="preserve">En caso de que sea claro la dependencia a la cual corresponde el Proceso de Contratación frente al cual se radicó la oferta o cualquier otra comunicación, la entidad deberá remitirlo al competente, conforme el artículo antes citado. Contrario sensu, en caso de que no sea posible establecer de los demás documentos la dependencia competente, se podrá solicitar aclaración al oferente. </w:t>
      </w:r>
    </w:p>
    <w:p w14:paraId="55721DED" w14:textId="77777777" w:rsidR="000673DA" w:rsidRPr="00E11B40" w:rsidRDefault="000673DA" w:rsidP="00E11B40">
      <w:pPr>
        <w:spacing w:after="0" w:line="276" w:lineRule="auto"/>
        <w:ind w:firstLine="709"/>
        <w:contextualSpacing/>
        <w:jc w:val="both"/>
        <w:rPr>
          <w:rFonts w:ascii="Arial" w:hAnsi="Arial" w:cs="Arial"/>
        </w:rPr>
      </w:pPr>
    </w:p>
    <w:bookmarkEnd w:id="5"/>
    <w:p w14:paraId="1A1C59F2" w14:textId="115FDC62" w:rsidR="00734BD3" w:rsidRPr="00E11B40" w:rsidRDefault="00734BD3" w:rsidP="0046764A">
      <w:pPr>
        <w:spacing w:after="0" w:line="276" w:lineRule="auto"/>
        <w:contextualSpacing/>
        <w:rPr>
          <w:rFonts w:ascii="Arial" w:eastAsia="Arial" w:hAnsi="Arial" w:cs="Arial"/>
          <w:b/>
          <w:lang w:val="es-ES_tradnl" w:eastAsia="es-ES" w:bidi="es-ES"/>
        </w:rPr>
      </w:pPr>
      <w:r w:rsidRPr="00E11B40">
        <w:rPr>
          <w:rFonts w:ascii="Arial" w:eastAsia="Arial" w:hAnsi="Arial" w:cs="Arial"/>
          <w:b/>
          <w:lang w:val="es-ES_tradnl" w:eastAsia="es-ES" w:bidi="es-ES"/>
        </w:rPr>
        <w:t xml:space="preserve">3. Respuesta </w:t>
      </w:r>
    </w:p>
    <w:p w14:paraId="25965932" w14:textId="77777777" w:rsidR="0046764A" w:rsidRPr="00E11B40" w:rsidRDefault="0046764A" w:rsidP="00E11B40">
      <w:pPr>
        <w:spacing w:after="0" w:line="276" w:lineRule="auto"/>
        <w:contextualSpacing/>
        <w:rPr>
          <w:rFonts w:ascii="Arial" w:eastAsia="Arial" w:hAnsi="Arial" w:cs="Arial"/>
          <w:b/>
          <w:lang w:val="es-ES_tradnl" w:eastAsia="es-ES" w:bidi="es-ES"/>
        </w:rPr>
      </w:pPr>
    </w:p>
    <w:p w14:paraId="6E3073DC" w14:textId="6016AC60" w:rsidR="00650619" w:rsidRPr="00E11B40" w:rsidRDefault="00650619" w:rsidP="00E11B40">
      <w:pPr>
        <w:spacing w:after="0" w:line="240" w:lineRule="auto"/>
        <w:ind w:left="709" w:right="709"/>
        <w:contextualSpacing/>
        <w:jc w:val="both"/>
        <w:rPr>
          <w:rFonts w:ascii="Arial" w:hAnsi="Arial" w:cs="Arial"/>
          <w:sz w:val="21"/>
          <w:szCs w:val="21"/>
        </w:rPr>
      </w:pPr>
      <w:r w:rsidRPr="00E11B40">
        <w:rPr>
          <w:rFonts w:ascii="Arial" w:eastAsia="Calibri" w:hAnsi="Arial" w:cs="Arial"/>
          <w:sz w:val="21"/>
          <w:szCs w:val="21"/>
        </w:rPr>
        <w:t>«</w:t>
      </w:r>
      <w:r w:rsidRPr="00E11B40">
        <w:rPr>
          <w:rFonts w:ascii="Arial" w:hAnsi="Arial" w:cs="Arial"/>
          <w:sz w:val="21"/>
          <w:szCs w:val="21"/>
        </w:rPr>
        <w:t xml:space="preserve">CUANDO UNA OFERTA ESTA DIRIGIDA A OFICINA DIFERENTE A LA CITADA EN PLIEGO TIPO EN EL CAPITULO "1.3. </w:t>
      </w:r>
      <w:proofErr w:type="gramStart"/>
      <w:r w:rsidRPr="00E11B40">
        <w:rPr>
          <w:rFonts w:ascii="Arial" w:hAnsi="Arial" w:cs="Arial"/>
          <w:sz w:val="21"/>
          <w:szCs w:val="21"/>
        </w:rPr>
        <w:t>COMUNICACIONES Y OBSERVACIONES AL PROCESO" SE CONSIDERA COMO ERROR?</w:t>
      </w:r>
      <w:proofErr w:type="gramEnd"/>
      <w:r w:rsidRPr="00E11B40">
        <w:rPr>
          <w:rFonts w:ascii="Arial" w:hAnsi="Arial" w:cs="Arial"/>
          <w:sz w:val="21"/>
          <w:szCs w:val="21"/>
        </w:rPr>
        <w:t xml:space="preserve"> </w:t>
      </w:r>
      <w:proofErr w:type="gramStart"/>
      <w:r w:rsidRPr="00E11B40">
        <w:rPr>
          <w:rFonts w:ascii="Arial" w:hAnsi="Arial" w:cs="Arial"/>
          <w:sz w:val="21"/>
          <w:szCs w:val="21"/>
        </w:rPr>
        <w:t>LA ENTIDAD ESTA EN LA OBLIGACION DE SOLICITAR SUBSANACION DE LA OFERTA?</w:t>
      </w:r>
      <w:proofErr w:type="gramEnd"/>
      <w:r w:rsidRPr="00E11B40">
        <w:rPr>
          <w:rFonts w:ascii="Arial" w:hAnsi="Arial" w:cs="Arial"/>
          <w:sz w:val="21"/>
          <w:szCs w:val="21"/>
        </w:rPr>
        <w:t>:» [Sic]</w:t>
      </w:r>
    </w:p>
    <w:p w14:paraId="59BB52D9" w14:textId="77777777" w:rsidR="0046764A" w:rsidRPr="00E11B40" w:rsidRDefault="0046764A" w:rsidP="00E11B40">
      <w:pPr>
        <w:spacing w:after="0" w:line="240" w:lineRule="auto"/>
        <w:ind w:left="709" w:right="709"/>
        <w:contextualSpacing/>
        <w:jc w:val="both"/>
        <w:rPr>
          <w:rFonts w:ascii="Arial" w:eastAsia="Calibri" w:hAnsi="Arial" w:cs="Arial"/>
          <w:color w:val="000000"/>
          <w:lang w:val="es-ES"/>
        </w:rPr>
      </w:pPr>
    </w:p>
    <w:p w14:paraId="5F2659EB" w14:textId="3E609696" w:rsidR="0046764A" w:rsidRPr="00E11B40" w:rsidRDefault="0046764A" w:rsidP="00E11B40">
      <w:pPr>
        <w:spacing w:after="120" w:line="276" w:lineRule="auto"/>
        <w:jc w:val="both"/>
        <w:rPr>
          <w:rFonts w:ascii="Arial" w:eastAsia="Calibri" w:hAnsi="Arial" w:cs="Arial"/>
          <w:lang w:val="es-ES_tradnl"/>
        </w:rPr>
      </w:pPr>
      <w:r w:rsidRPr="00E11B40">
        <w:rPr>
          <w:rFonts w:ascii="Arial" w:eastAsia="Calibri" w:hAnsi="Arial" w:cs="Arial"/>
          <w:lang w:val="es-ES_tradnl"/>
        </w:rPr>
        <w:t xml:space="preserve">Conforme lo expuesto, sobre la presentación de la oferta esta Agencia ha señalado que los requisitos exigidos a los proponentes pueden ser entendidos en tres clases: </w:t>
      </w:r>
      <w:r w:rsidRPr="00E11B40">
        <w:rPr>
          <w:rFonts w:ascii="Arial" w:eastAsia="Calibri" w:hAnsi="Arial" w:cs="Arial"/>
          <w:i/>
          <w:iCs/>
          <w:lang w:val="es-ES_tradnl"/>
        </w:rPr>
        <w:t>subjetivos,</w:t>
      </w:r>
      <w:r w:rsidRPr="00E11B40">
        <w:rPr>
          <w:rFonts w:ascii="Arial" w:eastAsia="Calibri" w:hAnsi="Arial" w:cs="Arial"/>
          <w:lang w:val="es-ES_tradnl"/>
        </w:rPr>
        <w:t xml:space="preserve"> que atienden a las calidades, capacidades, idoneidad y condiciones de los oferentes; </w:t>
      </w:r>
      <w:r w:rsidRPr="00E11B40">
        <w:rPr>
          <w:rFonts w:ascii="Arial" w:eastAsia="Calibri" w:hAnsi="Arial" w:cs="Arial"/>
          <w:i/>
          <w:iCs/>
          <w:lang w:val="es-ES_tradnl"/>
        </w:rPr>
        <w:t>objetivos</w:t>
      </w:r>
      <w:r w:rsidRPr="00E11B40">
        <w:rPr>
          <w:rFonts w:ascii="Arial" w:eastAsia="Calibri" w:hAnsi="Arial" w:cs="Arial"/>
          <w:lang w:val="es-ES_tradnl"/>
        </w:rPr>
        <w:t xml:space="preserve"> que se refieren a aspectos técnicos, económicos, presupuestales, etc., que permiten ponderar las ofertas en su real y efectiva dimensión, y </w:t>
      </w:r>
      <w:r w:rsidRPr="00E11B40">
        <w:rPr>
          <w:rFonts w:ascii="Arial" w:eastAsia="Calibri" w:hAnsi="Arial" w:cs="Arial"/>
          <w:i/>
          <w:iCs/>
          <w:lang w:val="es-ES_tradnl"/>
        </w:rPr>
        <w:t>formales</w:t>
      </w:r>
      <w:r w:rsidRPr="00E11B40">
        <w:rPr>
          <w:rFonts w:ascii="Arial" w:eastAsia="Calibri" w:hAnsi="Arial" w:cs="Arial"/>
          <w:lang w:val="es-ES_tradnl"/>
        </w:rPr>
        <w:t xml:space="preserve"> que atienden a la instrumentalización y protocolización de los actos jurídicos, tanto de la propuesta como del contrato estatal. En ese sentido, la exigencia de identificación de la dependencia ante la cual debe ser radicada la oferta se considera como un requisito formal. </w:t>
      </w:r>
    </w:p>
    <w:p w14:paraId="7EA2B475" w14:textId="638147E5" w:rsidR="003579BD" w:rsidRPr="00E11B40" w:rsidRDefault="0046764A" w:rsidP="003579BD">
      <w:pPr>
        <w:spacing w:before="120" w:after="120" w:line="276" w:lineRule="auto"/>
        <w:ind w:firstLine="709"/>
        <w:jc w:val="both"/>
        <w:rPr>
          <w:rFonts w:ascii="Arial" w:hAnsi="Arial" w:cs="Arial"/>
        </w:rPr>
      </w:pPr>
      <w:r w:rsidRPr="00E11B40">
        <w:rPr>
          <w:rFonts w:ascii="Arial" w:hAnsi="Arial" w:cs="Arial"/>
        </w:rPr>
        <w:t xml:space="preserve">La Constitución de 1991 establece en su artículo 228 la prevalencia del derecho sustancial sobre el formal, por tal razón esta Agencia considera que, este principio constitucional impide que la entidad que adelanta el </w:t>
      </w:r>
      <w:r w:rsidR="00BA20D3" w:rsidRPr="00E11B40">
        <w:rPr>
          <w:rFonts w:ascii="Arial" w:hAnsi="Arial" w:cs="Arial"/>
        </w:rPr>
        <w:t>P</w:t>
      </w:r>
      <w:r w:rsidRPr="00E11B40">
        <w:rPr>
          <w:rFonts w:ascii="Arial" w:hAnsi="Arial" w:cs="Arial"/>
        </w:rPr>
        <w:t xml:space="preserve">roceso </w:t>
      </w:r>
      <w:r w:rsidR="00BA20D3" w:rsidRPr="00E11B40">
        <w:rPr>
          <w:rFonts w:ascii="Arial" w:hAnsi="Arial" w:cs="Arial"/>
        </w:rPr>
        <w:t xml:space="preserve">de Contratación </w:t>
      </w:r>
      <w:r w:rsidRPr="00E11B40">
        <w:rPr>
          <w:rFonts w:ascii="Arial" w:hAnsi="Arial" w:cs="Arial"/>
        </w:rPr>
        <w:t xml:space="preserve">le rinda culto a las «formas», pues el deber que le asiste es el de tener en cuenta y aplicar los aspectos sustanciales de los documentos tipo, sin distingo de la formalidad de la que se sirvan para ello los actores del sistema de contratación pública. Por lo anterior, la </w:t>
      </w:r>
      <w:r w:rsidR="00BA20D3" w:rsidRPr="00E11B40">
        <w:rPr>
          <w:rFonts w:ascii="Arial" w:hAnsi="Arial" w:cs="Arial"/>
        </w:rPr>
        <w:t>E</w:t>
      </w:r>
      <w:r w:rsidRPr="00E11B40">
        <w:rPr>
          <w:rFonts w:ascii="Arial" w:hAnsi="Arial" w:cs="Arial"/>
        </w:rPr>
        <w:t xml:space="preserve">ntidad </w:t>
      </w:r>
      <w:r w:rsidR="00BA20D3" w:rsidRPr="00E11B40">
        <w:rPr>
          <w:rFonts w:ascii="Arial" w:hAnsi="Arial" w:cs="Arial"/>
        </w:rPr>
        <w:t>E</w:t>
      </w:r>
      <w:r w:rsidRPr="00E11B40">
        <w:rPr>
          <w:rFonts w:ascii="Arial" w:hAnsi="Arial" w:cs="Arial"/>
        </w:rPr>
        <w:t xml:space="preserve">statal no debe rechazar una oferta por el hecho de que se haya presentado en una dependencia distinta a la indicada en el numeral 1.3. del documento base. </w:t>
      </w:r>
    </w:p>
    <w:p w14:paraId="4A44EFA2" w14:textId="41B05715" w:rsidR="003579BD" w:rsidRPr="00E11B40" w:rsidRDefault="005D4BA2" w:rsidP="003579BD">
      <w:pPr>
        <w:spacing w:before="120" w:after="120" w:line="276" w:lineRule="auto"/>
        <w:ind w:firstLine="709"/>
        <w:jc w:val="both"/>
        <w:rPr>
          <w:rFonts w:ascii="Arial" w:hAnsi="Arial" w:cs="Arial"/>
        </w:rPr>
      </w:pPr>
      <w:r w:rsidRPr="00E11B40">
        <w:rPr>
          <w:rFonts w:ascii="Arial" w:hAnsi="Arial" w:cs="Arial"/>
        </w:rPr>
        <w:t xml:space="preserve">Así las cosas, </w:t>
      </w:r>
      <w:r w:rsidR="00BA20D3" w:rsidRPr="00E11B40">
        <w:rPr>
          <w:rFonts w:ascii="Arial" w:hAnsi="Arial" w:cs="Arial"/>
        </w:rPr>
        <w:t>es pertinente resaltar que la Entidad Estatal</w:t>
      </w:r>
      <w:r w:rsidR="003579BD" w:rsidRPr="00E11B40">
        <w:rPr>
          <w:rFonts w:ascii="Arial" w:hAnsi="Arial" w:cs="Arial"/>
        </w:rPr>
        <w:t xml:space="preserve"> </w:t>
      </w:r>
      <w:r w:rsidR="00BA20D3" w:rsidRPr="00E11B40">
        <w:rPr>
          <w:rFonts w:ascii="Arial" w:hAnsi="Arial" w:cs="Arial"/>
        </w:rPr>
        <w:t>podrá solicitar las aclaraciones</w:t>
      </w:r>
      <w:r w:rsidR="003579BD" w:rsidRPr="00E11B40">
        <w:rPr>
          <w:rFonts w:ascii="Arial" w:hAnsi="Arial" w:cs="Arial"/>
        </w:rPr>
        <w:t xml:space="preserve"> y explicaciones a los proponentes, cuando lo estime indispensable. </w:t>
      </w:r>
    </w:p>
    <w:p w14:paraId="52F8DF27" w14:textId="77777777" w:rsidR="0046764A" w:rsidRPr="00E11B40" w:rsidRDefault="0046764A" w:rsidP="00E11B40">
      <w:pPr>
        <w:spacing w:before="120" w:after="0" w:line="276" w:lineRule="auto"/>
        <w:ind w:firstLine="709"/>
        <w:jc w:val="both"/>
        <w:rPr>
          <w:rFonts w:ascii="Arial" w:hAnsi="Arial" w:cs="Arial"/>
        </w:rPr>
      </w:pPr>
    </w:p>
    <w:p w14:paraId="4A9B26D0" w14:textId="3A0A4C72" w:rsidR="00734BD3" w:rsidRPr="00E11B40" w:rsidRDefault="00734BD3" w:rsidP="00E11B40">
      <w:pPr>
        <w:spacing w:after="0" w:line="276" w:lineRule="auto"/>
        <w:contextualSpacing/>
        <w:jc w:val="both"/>
        <w:rPr>
          <w:rFonts w:ascii="Arial" w:eastAsia="Calibri" w:hAnsi="Arial" w:cs="Arial"/>
          <w:color w:val="000000"/>
          <w:lang w:val="es-ES_tradnl"/>
        </w:rPr>
      </w:pPr>
      <w:r w:rsidRPr="00E11B40">
        <w:rPr>
          <w:rFonts w:ascii="Arial" w:eastAsia="Calibri" w:hAnsi="Arial" w:cs="Arial"/>
          <w:color w:val="000000"/>
          <w:lang w:val="es-ES_tradnl"/>
        </w:rPr>
        <w:t>Este concepto tiene el alcance previsto en el artículo 28 del Código de Procedimiento Administrativo y de lo Contencioso Administrativo</w:t>
      </w:r>
      <w:r w:rsidR="007B50C5" w:rsidRPr="00E11B40">
        <w:rPr>
          <w:rFonts w:ascii="Arial" w:eastAsia="Calibri" w:hAnsi="Arial" w:cs="Arial"/>
          <w:color w:val="000000"/>
          <w:lang w:val="es-ES_tradnl"/>
        </w:rPr>
        <w:t xml:space="preserve"> </w:t>
      </w:r>
      <w:r w:rsidR="007B50C5" w:rsidRPr="00E11B40">
        <w:rPr>
          <w:rFonts w:ascii="Arial" w:hAnsi="Arial" w:cs="Arial"/>
          <w:bCs/>
          <w:color w:val="000000" w:themeColor="text1"/>
        </w:rPr>
        <w:t xml:space="preserve">y </w:t>
      </w:r>
      <w:r w:rsidR="007B50C5" w:rsidRPr="00E11B40">
        <w:rPr>
          <w:rFonts w:ascii="Arial" w:hAnsi="Arial" w:cs="Arial"/>
        </w:rPr>
        <w:t>las expresiones aquí utilizadas con mayúscula inicial deben ser entendidas con el significado que les otorga el artículo 2.2.1.1.1.3.1. del Decreto 1082 de 2015</w:t>
      </w:r>
      <w:r w:rsidRPr="00E11B40">
        <w:rPr>
          <w:rFonts w:ascii="Arial" w:eastAsia="Calibri" w:hAnsi="Arial" w:cs="Arial"/>
          <w:color w:val="000000"/>
          <w:lang w:val="es-ES_tradnl"/>
        </w:rPr>
        <w:t>.</w:t>
      </w:r>
    </w:p>
    <w:p w14:paraId="7F06E1EF" w14:textId="77777777" w:rsidR="00734BD3" w:rsidRPr="00E11B40" w:rsidRDefault="00734BD3" w:rsidP="00E11B40">
      <w:pPr>
        <w:spacing w:after="0" w:line="276" w:lineRule="auto"/>
        <w:contextualSpacing/>
        <w:jc w:val="both"/>
        <w:rPr>
          <w:rFonts w:ascii="Arial" w:eastAsia="Times New Roman" w:hAnsi="Arial" w:cs="Arial"/>
          <w:color w:val="000000"/>
          <w:lang w:val="es-ES_tradnl" w:eastAsia="es-CO"/>
        </w:rPr>
      </w:pPr>
    </w:p>
    <w:p w14:paraId="4616997E" w14:textId="77777777" w:rsidR="00734BD3" w:rsidRPr="00E11B40" w:rsidRDefault="00734BD3" w:rsidP="00E11B40">
      <w:pPr>
        <w:spacing w:after="0" w:line="276" w:lineRule="auto"/>
        <w:contextualSpacing/>
        <w:jc w:val="both"/>
        <w:rPr>
          <w:rFonts w:ascii="Arial" w:eastAsia="Times New Roman" w:hAnsi="Arial" w:cs="Arial"/>
          <w:color w:val="000000"/>
          <w:lang w:val="es-ES_tradnl" w:eastAsia="es-CO"/>
        </w:rPr>
      </w:pPr>
      <w:r w:rsidRPr="00E11B40">
        <w:rPr>
          <w:rFonts w:ascii="Arial" w:eastAsia="Times New Roman" w:hAnsi="Arial" w:cs="Arial"/>
          <w:color w:val="000000"/>
          <w:lang w:val="es-ES_tradnl" w:eastAsia="es-CO"/>
        </w:rPr>
        <w:t>Atentamente,</w:t>
      </w:r>
    </w:p>
    <w:p w14:paraId="6C0B406D" w14:textId="23B1AFDA" w:rsidR="00734BD3" w:rsidRPr="00E11B40" w:rsidRDefault="00734BD3" w:rsidP="459EC413">
      <w:pPr>
        <w:spacing w:after="0" w:line="276" w:lineRule="auto"/>
        <w:jc w:val="center"/>
        <w:rPr>
          <w:rFonts w:ascii="Arial" w:hAnsi="Arial" w:cs="Arial"/>
          <w:sz w:val="24"/>
          <w:szCs w:val="24"/>
        </w:rPr>
      </w:pPr>
    </w:p>
    <w:p w14:paraId="15F66458" w14:textId="0EDC61E3" w:rsidR="00734BD3" w:rsidRPr="00E11B40" w:rsidRDefault="00021238" w:rsidP="00734BD3">
      <w:pPr>
        <w:jc w:val="center"/>
        <w:rPr>
          <w:rFonts w:ascii="Arial" w:hAnsi="Arial" w:cs="Arial"/>
          <w:sz w:val="24"/>
          <w:szCs w:val="24"/>
          <w:lang w:eastAsia="es-CO"/>
        </w:rPr>
      </w:pPr>
      <w:bookmarkStart w:id="7" w:name="_Hlk107478123"/>
      <w:r>
        <w:rPr>
          <w:noProof/>
        </w:rPr>
        <w:lastRenderedPageBreak/>
        <w:drawing>
          <wp:inline distT="0" distB="0" distL="0" distR="0" wp14:anchorId="37A3FB89" wp14:editId="28F587D8">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bookmarkEnd w:id="7"/>
    <w:p w14:paraId="28744156" w14:textId="77777777" w:rsidR="00734BD3" w:rsidRPr="00E11B40" w:rsidRDefault="00734BD3" w:rsidP="00734BD3">
      <w:pPr>
        <w:spacing w:after="0" w:line="240" w:lineRule="auto"/>
        <w:rPr>
          <w:rFonts w:ascii="Arial" w:eastAsia="Calibri" w:hAnsi="Arial" w:cs="Arial"/>
          <w:sz w:val="24"/>
          <w:szCs w:val="24"/>
          <w:lang w:val="pt-BR" w:eastAsia="es-ES"/>
        </w:rPr>
      </w:pPr>
    </w:p>
    <w:tbl>
      <w:tblPr>
        <w:tblStyle w:val="Tablaconcuadrcula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F23E9F" w:rsidRPr="00E11B40" w14:paraId="4229AA3B" w14:textId="77777777" w:rsidTr="00F23E9F">
        <w:trPr>
          <w:trHeight w:val="315"/>
        </w:trPr>
        <w:tc>
          <w:tcPr>
            <w:tcW w:w="812" w:type="dxa"/>
            <w:vAlign w:val="center"/>
            <w:hideMark/>
          </w:tcPr>
          <w:p w14:paraId="3C27FA1D" w14:textId="77777777" w:rsidR="00F23E9F" w:rsidRPr="00E11B40" w:rsidRDefault="00F23E9F" w:rsidP="00F23E9F">
            <w:pPr>
              <w:spacing w:after="0" w:line="240" w:lineRule="auto"/>
              <w:rPr>
                <w:rFonts w:ascii="Arial" w:eastAsia="Times New Roman" w:hAnsi="Arial" w:cs="Arial"/>
                <w:sz w:val="16"/>
                <w:szCs w:val="16"/>
                <w:lang w:val="es-ES_tradnl" w:eastAsia="es-ES"/>
              </w:rPr>
            </w:pPr>
            <w:r w:rsidRPr="00E11B40">
              <w:rPr>
                <w:rFonts w:ascii="Arial" w:eastAsia="Times New Roman"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4089B620" w14:textId="77777777" w:rsidR="007B50C5" w:rsidRPr="00E11B40" w:rsidRDefault="007B50C5" w:rsidP="00E11B40">
            <w:pPr>
              <w:spacing w:after="0"/>
              <w:rPr>
                <w:rFonts w:ascii="Arial" w:hAnsi="Arial" w:cs="Arial"/>
                <w:sz w:val="16"/>
                <w:szCs w:val="16"/>
                <w:lang w:val="es-ES_tradnl" w:eastAsia="es-ES"/>
              </w:rPr>
            </w:pPr>
            <w:r w:rsidRPr="00E11B40">
              <w:rPr>
                <w:rFonts w:ascii="Arial" w:hAnsi="Arial" w:cs="Arial"/>
                <w:sz w:val="16"/>
                <w:szCs w:val="16"/>
                <w:lang w:val="es-ES_tradnl" w:eastAsia="es-ES"/>
              </w:rPr>
              <w:t>Ximena Ríos López</w:t>
            </w:r>
          </w:p>
          <w:p w14:paraId="41E9D1FD" w14:textId="0CB0B406" w:rsidR="00F23E9F" w:rsidRPr="00E11B40" w:rsidRDefault="007B50C5" w:rsidP="00F23E9F">
            <w:pPr>
              <w:spacing w:after="0" w:line="240" w:lineRule="auto"/>
              <w:rPr>
                <w:rFonts w:ascii="Arial" w:eastAsia="Times New Roman" w:hAnsi="Arial" w:cs="Arial"/>
                <w:sz w:val="16"/>
                <w:szCs w:val="16"/>
                <w:lang w:val="es-ES_tradnl" w:eastAsia="es-ES"/>
              </w:rPr>
            </w:pPr>
            <w:r w:rsidRPr="00E11B40">
              <w:rPr>
                <w:rFonts w:ascii="Arial" w:hAnsi="Arial" w:cs="Arial"/>
                <w:color w:val="000000"/>
                <w:sz w:val="16"/>
                <w:szCs w:val="16"/>
                <w:lang w:val="es-ES" w:eastAsia="es-ES"/>
              </w:rPr>
              <w:t xml:space="preserve">Gestor T1-11 </w:t>
            </w:r>
            <w:r w:rsidRPr="00E11B40">
              <w:rPr>
                <w:rFonts w:ascii="Arial" w:hAnsi="Arial" w:cs="Arial"/>
                <w:sz w:val="16"/>
                <w:szCs w:val="16"/>
                <w:lang w:val="es-ES_tradnl" w:eastAsia="es-ES"/>
              </w:rPr>
              <w:t>de la Subdirección de Gestión Contractual</w:t>
            </w:r>
          </w:p>
        </w:tc>
      </w:tr>
      <w:tr w:rsidR="00F23E9F" w:rsidRPr="00E11B40" w14:paraId="21D1AA59" w14:textId="77777777" w:rsidTr="00F23E9F">
        <w:trPr>
          <w:trHeight w:val="330"/>
        </w:trPr>
        <w:tc>
          <w:tcPr>
            <w:tcW w:w="812" w:type="dxa"/>
            <w:vAlign w:val="center"/>
            <w:hideMark/>
          </w:tcPr>
          <w:p w14:paraId="537472AC" w14:textId="77777777" w:rsidR="00F23E9F" w:rsidRPr="00E11B40" w:rsidRDefault="00F23E9F" w:rsidP="00F23E9F">
            <w:pPr>
              <w:spacing w:after="0" w:line="240" w:lineRule="auto"/>
              <w:rPr>
                <w:rFonts w:ascii="Arial" w:eastAsia="Times New Roman" w:hAnsi="Arial" w:cs="Arial"/>
                <w:sz w:val="16"/>
                <w:szCs w:val="16"/>
                <w:lang w:val="es-ES_tradnl" w:eastAsia="es-ES"/>
              </w:rPr>
            </w:pPr>
            <w:r w:rsidRPr="00E11B40">
              <w:rPr>
                <w:rFonts w:ascii="Arial" w:eastAsia="Times New Roman"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25ABB034" w14:textId="77777777" w:rsidR="007B50C5" w:rsidRPr="00E11B40" w:rsidRDefault="007B50C5" w:rsidP="00E11B40">
            <w:pPr>
              <w:spacing w:after="0"/>
              <w:jc w:val="both"/>
              <w:rPr>
                <w:rFonts w:ascii="Arial" w:hAnsi="Arial" w:cs="Arial"/>
                <w:sz w:val="16"/>
                <w:szCs w:val="16"/>
                <w:lang w:eastAsia="es-ES"/>
              </w:rPr>
            </w:pPr>
            <w:r w:rsidRPr="00E11B40">
              <w:rPr>
                <w:rFonts w:ascii="Arial" w:hAnsi="Arial" w:cs="Arial"/>
                <w:sz w:val="16"/>
                <w:szCs w:val="16"/>
                <w:lang w:eastAsia="es-ES"/>
              </w:rPr>
              <w:t xml:space="preserve">Martha Alicia Romero Vargas </w:t>
            </w:r>
          </w:p>
          <w:p w14:paraId="42646DB6" w14:textId="08C6F88C" w:rsidR="00F23E9F" w:rsidRPr="00E11B40" w:rsidRDefault="007B50C5" w:rsidP="00F23E9F">
            <w:pPr>
              <w:spacing w:after="0" w:line="240" w:lineRule="auto"/>
              <w:rPr>
                <w:rFonts w:ascii="Arial" w:eastAsia="Times New Roman" w:hAnsi="Arial" w:cs="Arial"/>
                <w:sz w:val="16"/>
                <w:szCs w:val="16"/>
                <w:lang w:val="es-ES_tradnl" w:eastAsia="es-ES"/>
              </w:rPr>
            </w:pPr>
            <w:r w:rsidRPr="00E11B40">
              <w:rPr>
                <w:rFonts w:ascii="Arial" w:hAnsi="Arial" w:cs="Arial"/>
                <w:sz w:val="16"/>
                <w:szCs w:val="16"/>
                <w:lang w:eastAsia="es-ES"/>
              </w:rPr>
              <w:t>Gestor T1-15 Subdirección Contractual</w:t>
            </w:r>
          </w:p>
        </w:tc>
      </w:tr>
      <w:tr w:rsidR="00F23E9F" w:rsidRPr="0069033F" w14:paraId="2292D4C4" w14:textId="77777777" w:rsidTr="00F23E9F">
        <w:trPr>
          <w:trHeight w:val="300"/>
        </w:trPr>
        <w:tc>
          <w:tcPr>
            <w:tcW w:w="812" w:type="dxa"/>
            <w:vAlign w:val="center"/>
            <w:hideMark/>
          </w:tcPr>
          <w:p w14:paraId="0380D9E6" w14:textId="77777777" w:rsidR="00F23E9F" w:rsidRPr="00E11B40" w:rsidRDefault="00F23E9F" w:rsidP="00F23E9F">
            <w:pPr>
              <w:spacing w:after="0" w:line="240" w:lineRule="auto"/>
              <w:rPr>
                <w:rFonts w:ascii="Arial" w:eastAsia="Times New Roman" w:hAnsi="Arial" w:cs="Arial"/>
                <w:sz w:val="16"/>
                <w:szCs w:val="16"/>
                <w:lang w:val="es-ES_tradnl" w:eastAsia="es-ES"/>
              </w:rPr>
            </w:pPr>
            <w:r w:rsidRPr="00E11B40">
              <w:rPr>
                <w:rFonts w:ascii="Arial" w:eastAsia="Times New Roman"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0133FD90" w14:textId="171E1446" w:rsidR="00F23E9F" w:rsidRPr="00E11B40" w:rsidRDefault="00B7782D" w:rsidP="00F23E9F">
            <w:pPr>
              <w:spacing w:after="0" w:line="240" w:lineRule="auto"/>
              <w:rPr>
                <w:rFonts w:ascii="Arial" w:eastAsia="Times New Roman" w:hAnsi="Arial" w:cs="Arial"/>
                <w:sz w:val="16"/>
                <w:szCs w:val="16"/>
                <w:lang w:val="es-ES_tradnl" w:eastAsia="es-ES"/>
              </w:rPr>
            </w:pPr>
            <w:r w:rsidRPr="00E11B40">
              <w:rPr>
                <w:rFonts w:ascii="Arial" w:eastAsia="Times New Roman" w:hAnsi="Arial" w:cs="Arial"/>
                <w:sz w:val="16"/>
                <w:szCs w:val="16"/>
                <w:lang w:val="es-ES_tradnl" w:eastAsia="es-ES"/>
              </w:rPr>
              <w:t xml:space="preserve">Nohelia del Carmen </w:t>
            </w:r>
            <w:proofErr w:type="spellStart"/>
            <w:r w:rsidRPr="00E11B40">
              <w:rPr>
                <w:rFonts w:ascii="Arial" w:eastAsia="Times New Roman" w:hAnsi="Arial" w:cs="Arial"/>
                <w:sz w:val="16"/>
                <w:szCs w:val="16"/>
                <w:lang w:val="es-ES_tradnl" w:eastAsia="es-ES"/>
              </w:rPr>
              <w:t>Zawady</w:t>
            </w:r>
            <w:proofErr w:type="spellEnd"/>
            <w:r w:rsidRPr="00E11B40">
              <w:rPr>
                <w:rFonts w:ascii="Arial" w:eastAsia="Times New Roman" w:hAnsi="Arial" w:cs="Arial"/>
                <w:sz w:val="16"/>
                <w:szCs w:val="16"/>
                <w:lang w:val="es-ES_tradnl" w:eastAsia="es-ES"/>
              </w:rPr>
              <w:t xml:space="preserve"> Palacio</w:t>
            </w:r>
          </w:p>
          <w:p w14:paraId="429328D9" w14:textId="5439D4DF" w:rsidR="00F23E9F" w:rsidRPr="00E11B40" w:rsidRDefault="00F23E9F" w:rsidP="00F23E9F">
            <w:pPr>
              <w:spacing w:after="0" w:line="240" w:lineRule="auto"/>
              <w:rPr>
                <w:rFonts w:ascii="Arial" w:eastAsia="Times New Roman" w:hAnsi="Arial" w:cs="Arial"/>
                <w:sz w:val="16"/>
                <w:szCs w:val="16"/>
                <w:lang w:val="es-ES_tradnl" w:eastAsia="es-ES"/>
              </w:rPr>
            </w:pPr>
            <w:r w:rsidRPr="00E11B40">
              <w:rPr>
                <w:rFonts w:ascii="Arial" w:eastAsia="Times New Roman" w:hAnsi="Arial" w:cs="Arial"/>
                <w:sz w:val="16"/>
                <w:szCs w:val="16"/>
                <w:lang w:val="es-ES_tradnl" w:eastAsia="es-ES"/>
              </w:rPr>
              <w:t>Subdirector</w:t>
            </w:r>
            <w:r w:rsidR="007B50C5" w:rsidRPr="00E11B40">
              <w:rPr>
                <w:rFonts w:ascii="Arial" w:eastAsia="Times New Roman" w:hAnsi="Arial" w:cs="Arial"/>
                <w:sz w:val="16"/>
                <w:szCs w:val="16"/>
                <w:lang w:val="es-ES_tradnl" w:eastAsia="es-ES"/>
              </w:rPr>
              <w:t xml:space="preserve">a </w:t>
            </w:r>
            <w:r w:rsidRPr="00E11B40">
              <w:rPr>
                <w:rFonts w:ascii="Arial" w:eastAsia="Times New Roman" w:hAnsi="Arial" w:cs="Arial"/>
                <w:sz w:val="16"/>
                <w:szCs w:val="16"/>
                <w:lang w:val="es-ES_tradnl" w:eastAsia="es-ES"/>
              </w:rPr>
              <w:t>de Gestión Contractual</w:t>
            </w:r>
          </w:p>
        </w:tc>
      </w:tr>
    </w:tbl>
    <w:p w14:paraId="75F93087" w14:textId="77777777" w:rsidR="00F23E9F" w:rsidRPr="00E11B40" w:rsidRDefault="00F23E9F" w:rsidP="00F23E9F">
      <w:pPr>
        <w:spacing w:after="0" w:line="240" w:lineRule="auto"/>
        <w:rPr>
          <w:rFonts w:ascii="Arial" w:eastAsia="Calibri" w:hAnsi="Arial" w:cs="Arial"/>
          <w:sz w:val="16"/>
          <w:szCs w:val="16"/>
        </w:rPr>
      </w:pPr>
    </w:p>
    <w:p w14:paraId="73C79643" w14:textId="77777777" w:rsidR="00F23E9F" w:rsidRPr="00E11B40" w:rsidRDefault="00F23E9F" w:rsidP="00F23E9F">
      <w:pPr>
        <w:spacing w:after="0" w:line="276" w:lineRule="auto"/>
        <w:jc w:val="both"/>
        <w:rPr>
          <w:rFonts w:ascii="Arial" w:eastAsia="Times New Roman" w:hAnsi="Arial" w:cs="Arial"/>
          <w:color w:val="000000"/>
          <w:sz w:val="24"/>
          <w:szCs w:val="24"/>
          <w:lang w:eastAsia="es-CO"/>
        </w:rPr>
      </w:pPr>
    </w:p>
    <w:p w14:paraId="0EFB5105" w14:textId="77777777" w:rsidR="00734BD3" w:rsidRPr="00E11B40" w:rsidRDefault="00734BD3" w:rsidP="00734BD3">
      <w:pPr>
        <w:rPr>
          <w:rFonts w:ascii="Arial" w:hAnsi="Arial" w:cs="Arial"/>
          <w:sz w:val="24"/>
          <w:szCs w:val="24"/>
        </w:rPr>
      </w:pPr>
    </w:p>
    <w:p w14:paraId="153C382F" w14:textId="77777777" w:rsidR="00734BD3" w:rsidRPr="00E11B40" w:rsidRDefault="00734BD3">
      <w:pPr>
        <w:rPr>
          <w:rFonts w:ascii="Arial" w:hAnsi="Arial" w:cs="Arial"/>
          <w:sz w:val="24"/>
          <w:szCs w:val="24"/>
        </w:rPr>
      </w:pPr>
    </w:p>
    <w:sectPr w:rsidR="00734BD3" w:rsidRPr="00E11B40">
      <w:headerReference w:type="default" r:id="rId13"/>
      <w:footerReference w:type="defaul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AA54A" w14:textId="77777777" w:rsidR="007D5FDD" w:rsidRDefault="007D5FDD" w:rsidP="00734BD3">
      <w:pPr>
        <w:spacing w:after="0" w:line="240" w:lineRule="auto"/>
      </w:pPr>
      <w:r>
        <w:separator/>
      </w:r>
    </w:p>
  </w:endnote>
  <w:endnote w:type="continuationSeparator" w:id="0">
    <w:p w14:paraId="7BE509BE" w14:textId="77777777" w:rsidR="007D5FDD" w:rsidRDefault="007D5FDD" w:rsidP="00734B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6ED16" w14:textId="77777777" w:rsidR="002A74DC" w:rsidRPr="008217B7" w:rsidRDefault="00887635" w:rsidP="002A74DC">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10</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20</w:t>
    </w:r>
    <w:r w:rsidRPr="00084B97">
      <w:rPr>
        <w:rFonts w:ascii="Arial" w:hAnsi="Arial" w:cs="Arial"/>
        <w:b/>
        <w:bCs/>
        <w:color w:val="7F7F7F" w:themeColor="text1" w:themeTint="80"/>
        <w:sz w:val="16"/>
        <w:szCs w:val="16"/>
      </w:rPr>
      <w:fldChar w:fldCharType="end"/>
    </w:r>
  </w:p>
  <w:p w14:paraId="6E823E4E" w14:textId="77777777" w:rsidR="002A74DC" w:rsidRDefault="00887635" w:rsidP="002A74DC">
    <w:pPr>
      <w:pStyle w:val="Piedepgina"/>
      <w:jc w:val="center"/>
      <w:rPr>
        <w:lang w:val="es-ES"/>
      </w:rPr>
    </w:pPr>
    <w:r>
      <w:rPr>
        <w:noProof/>
        <w:lang w:val="en-US"/>
      </w:rPr>
      <w:drawing>
        <wp:inline distT="0" distB="0" distL="0" distR="0" wp14:anchorId="3CF1D3E7" wp14:editId="245B0821">
          <wp:extent cx="3700130" cy="519139"/>
          <wp:effectExtent l="0" t="0" r="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12D51" w14:textId="77777777" w:rsidR="007D5FDD" w:rsidRDefault="007D5FDD" w:rsidP="00734BD3">
      <w:pPr>
        <w:spacing w:after="0" w:line="240" w:lineRule="auto"/>
      </w:pPr>
      <w:r>
        <w:separator/>
      </w:r>
    </w:p>
  </w:footnote>
  <w:footnote w:type="continuationSeparator" w:id="0">
    <w:p w14:paraId="1159A94E" w14:textId="77777777" w:rsidR="007D5FDD" w:rsidRDefault="007D5FDD" w:rsidP="00734BD3">
      <w:pPr>
        <w:spacing w:after="0" w:line="240" w:lineRule="auto"/>
      </w:pPr>
      <w:r>
        <w:continuationSeparator/>
      </w:r>
    </w:p>
  </w:footnote>
  <w:footnote w:id="1">
    <w:p w14:paraId="5DAA77AC" w14:textId="77777777" w:rsidR="009F369D" w:rsidRPr="00E11B40" w:rsidRDefault="009F369D" w:rsidP="00442F83">
      <w:pPr>
        <w:pStyle w:val="Textonotapie"/>
        <w:ind w:firstLine="708"/>
        <w:contextualSpacing/>
        <w:jc w:val="both"/>
        <w:rPr>
          <w:rFonts w:ascii="Arial" w:hAnsi="Arial" w:cs="Arial"/>
          <w:sz w:val="18"/>
          <w:szCs w:val="18"/>
        </w:rPr>
      </w:pPr>
      <w:r w:rsidRPr="00E11B40">
        <w:rPr>
          <w:rStyle w:val="Refdenotaalpie"/>
          <w:rFonts w:ascii="Arial" w:hAnsi="Arial" w:cs="Arial"/>
          <w:sz w:val="18"/>
          <w:szCs w:val="18"/>
        </w:rPr>
        <w:footnoteRef/>
      </w:r>
      <w:r w:rsidRPr="00E11B40">
        <w:rPr>
          <w:rFonts w:ascii="Arial" w:hAnsi="Arial" w:cs="Arial"/>
          <w:sz w:val="18"/>
          <w:szCs w:val="18"/>
        </w:rPr>
        <w:t xml:space="preserve"> Los conceptos indicados pueden consultarse en el siguiente enlace: </w:t>
      </w:r>
      <w:hyperlink r:id="rId1" w:history="1">
        <w:r w:rsidRPr="00E11B40">
          <w:rPr>
            <w:rStyle w:val="Hipervnculo"/>
            <w:rFonts w:ascii="Arial" w:hAnsi="Arial" w:cs="Arial"/>
            <w:sz w:val="18"/>
            <w:szCs w:val="18"/>
          </w:rPr>
          <w:t>https://relatoria.colombiacompra.gov.co/busqueda/conceptos</w:t>
        </w:r>
      </w:hyperlink>
      <w:r w:rsidRPr="00E11B40">
        <w:rPr>
          <w:rFonts w:ascii="Arial" w:hAnsi="Arial" w:cs="Arial"/>
          <w:sz w:val="18"/>
          <w:szCs w:val="18"/>
        </w:rPr>
        <w:t>.</w:t>
      </w:r>
    </w:p>
    <w:p w14:paraId="6FBDF462" w14:textId="77777777" w:rsidR="009F369D" w:rsidRPr="00E11B40" w:rsidRDefault="009F369D" w:rsidP="00442F83">
      <w:pPr>
        <w:pStyle w:val="Textonotapie"/>
        <w:ind w:firstLine="708"/>
        <w:contextualSpacing/>
        <w:jc w:val="both"/>
        <w:rPr>
          <w:rFonts w:ascii="Arial" w:hAnsi="Arial" w:cs="Arial"/>
          <w:sz w:val="18"/>
          <w:szCs w:val="18"/>
        </w:rPr>
      </w:pPr>
    </w:p>
  </w:footnote>
  <w:footnote w:id="2">
    <w:p w14:paraId="5B942C79" w14:textId="77777777" w:rsidR="00D35D94" w:rsidRPr="00E11B40" w:rsidRDefault="00D35D94" w:rsidP="00E11B40">
      <w:pPr>
        <w:pStyle w:val="Textonotapie"/>
        <w:ind w:firstLine="709"/>
        <w:contextualSpacing/>
        <w:jc w:val="both"/>
        <w:rPr>
          <w:rFonts w:ascii="Arial" w:hAnsi="Arial" w:cs="Arial"/>
          <w:color w:val="000000"/>
          <w:sz w:val="18"/>
          <w:szCs w:val="18"/>
        </w:rPr>
      </w:pPr>
      <w:r w:rsidRPr="00E11B40">
        <w:rPr>
          <w:rStyle w:val="Refdenotaalpie"/>
          <w:rFonts w:ascii="Arial" w:hAnsi="Arial" w:cs="Arial"/>
          <w:color w:val="000000"/>
          <w:sz w:val="18"/>
          <w:szCs w:val="18"/>
        </w:rPr>
        <w:footnoteRef/>
      </w:r>
      <w:r w:rsidRPr="00E11B40">
        <w:rPr>
          <w:rFonts w:ascii="Arial" w:hAnsi="Arial" w:cs="Arial"/>
          <w:color w:val="000000"/>
          <w:sz w:val="18"/>
          <w:szCs w:val="18"/>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5E7AFA6B" w14:textId="77777777" w:rsidR="00D35D94" w:rsidRPr="00E11B40" w:rsidRDefault="00D35D94" w:rsidP="00E11B40">
      <w:pPr>
        <w:pStyle w:val="Textonotapie"/>
        <w:ind w:firstLine="709"/>
        <w:contextualSpacing/>
        <w:jc w:val="both"/>
        <w:rPr>
          <w:rFonts w:ascii="Arial" w:hAnsi="Arial" w:cs="Arial"/>
          <w:color w:val="000000"/>
          <w:sz w:val="18"/>
          <w:szCs w:val="18"/>
          <w:lang w:val="es-CO"/>
        </w:rPr>
      </w:pPr>
    </w:p>
  </w:footnote>
  <w:footnote w:id="3">
    <w:p w14:paraId="2EE5D142" w14:textId="77777777" w:rsidR="00D35D94" w:rsidRPr="00E11B40" w:rsidRDefault="00D35D94" w:rsidP="00E11B40">
      <w:pPr>
        <w:pStyle w:val="Textonotapie"/>
        <w:ind w:firstLine="709"/>
        <w:contextualSpacing/>
        <w:jc w:val="both"/>
        <w:rPr>
          <w:rFonts w:ascii="Arial" w:hAnsi="Arial" w:cs="Arial"/>
          <w:color w:val="000000"/>
          <w:sz w:val="18"/>
          <w:szCs w:val="18"/>
        </w:rPr>
      </w:pPr>
      <w:r w:rsidRPr="00E11B40">
        <w:rPr>
          <w:rStyle w:val="Refdenotaalpie"/>
          <w:rFonts w:ascii="Arial" w:hAnsi="Arial" w:cs="Arial"/>
          <w:color w:val="000000"/>
          <w:sz w:val="18"/>
          <w:szCs w:val="18"/>
        </w:rPr>
        <w:footnoteRef/>
      </w:r>
      <w:r w:rsidRPr="00E11B40">
        <w:rPr>
          <w:rFonts w:ascii="Arial" w:hAnsi="Arial" w:cs="Arial"/>
          <w:color w:val="000000"/>
          <w:sz w:val="18"/>
          <w:szCs w:val="18"/>
        </w:rPr>
        <w:t xml:space="preserve"> </w:t>
      </w:r>
      <w:r w:rsidRPr="00E11B40">
        <w:rPr>
          <w:rFonts w:ascii="Arial" w:hAnsi="Arial" w:cs="Arial"/>
          <w:color w:val="000000"/>
          <w:sz w:val="18"/>
          <w:szCs w:val="18"/>
          <w:lang w:val="es-CO"/>
        </w:rPr>
        <w:t xml:space="preserve">Ley 1882 de 2018: «Artículo 4. </w:t>
      </w:r>
      <w:r w:rsidRPr="00E11B40">
        <w:rPr>
          <w:rFonts w:ascii="Arial" w:hAnsi="Arial" w:cs="Arial"/>
          <w:color w:val="000000"/>
          <w:sz w:val="18"/>
          <w:szCs w:val="18"/>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4199AA84" w14:textId="77777777" w:rsidR="00D35D94" w:rsidRPr="00E11B40" w:rsidRDefault="00D35D94" w:rsidP="00E11B40">
      <w:pPr>
        <w:pStyle w:val="Textonotapie"/>
        <w:ind w:firstLine="709"/>
        <w:contextualSpacing/>
        <w:jc w:val="both"/>
        <w:rPr>
          <w:rFonts w:ascii="Arial" w:hAnsi="Arial" w:cs="Arial"/>
          <w:color w:val="000000"/>
          <w:sz w:val="18"/>
          <w:szCs w:val="18"/>
          <w:lang w:val="es-CO"/>
        </w:rPr>
      </w:pPr>
      <w:r w:rsidRPr="00E11B40">
        <w:rPr>
          <w:rFonts w:ascii="Arial" w:hAnsi="Arial" w:cs="Arial"/>
          <w:color w:val="000000"/>
          <w:sz w:val="18"/>
          <w:szCs w:val="18"/>
          <w:lang w:val="es-CO"/>
        </w:rPr>
        <w:t>»La facultad de adoptar documentos tipo la tendrá el Gobierno nacional, cuando lo considere necesario, en relación con otros contratos o procesos de selección.</w:t>
      </w:r>
    </w:p>
    <w:p w14:paraId="3F2F661E" w14:textId="77777777" w:rsidR="00D35D94" w:rsidRPr="00E11B40" w:rsidRDefault="00D35D94" w:rsidP="00E11B40">
      <w:pPr>
        <w:pStyle w:val="Textonotapie"/>
        <w:ind w:firstLine="709"/>
        <w:contextualSpacing/>
        <w:jc w:val="both"/>
        <w:rPr>
          <w:rFonts w:ascii="Arial" w:hAnsi="Arial" w:cs="Arial"/>
          <w:color w:val="000000"/>
          <w:sz w:val="18"/>
          <w:szCs w:val="18"/>
          <w:lang w:val="es-CO"/>
        </w:rPr>
      </w:pPr>
      <w:r w:rsidRPr="00E11B40">
        <w:rPr>
          <w:rFonts w:ascii="Arial" w:hAnsi="Arial" w:cs="Arial"/>
          <w:color w:val="000000"/>
          <w:sz w:val="18"/>
          <w:szCs w:val="18"/>
          <w:lang w:val="es-CO"/>
        </w:rPr>
        <w:t>»Los pliegos tipo se adoptarán por categorías de acuerdo con la cuantía de la contratación, según la reglamentación que expida el Gobierno nacional».</w:t>
      </w:r>
    </w:p>
    <w:p w14:paraId="186D5069" w14:textId="77777777" w:rsidR="00D35D94" w:rsidRPr="00E11B40" w:rsidRDefault="00D35D94" w:rsidP="00E11B40">
      <w:pPr>
        <w:pStyle w:val="Textonotapie"/>
        <w:ind w:firstLine="709"/>
        <w:contextualSpacing/>
        <w:jc w:val="both"/>
        <w:rPr>
          <w:rFonts w:ascii="Arial" w:hAnsi="Arial" w:cs="Arial"/>
          <w:color w:val="000000"/>
          <w:sz w:val="18"/>
          <w:szCs w:val="18"/>
          <w:lang w:val="es-CO"/>
        </w:rPr>
      </w:pPr>
    </w:p>
  </w:footnote>
  <w:footnote w:id="4">
    <w:p w14:paraId="34B298DF" w14:textId="77777777" w:rsidR="00D35D94" w:rsidRPr="00E11B40" w:rsidRDefault="00D35D94" w:rsidP="00E11B40">
      <w:pPr>
        <w:pStyle w:val="Textonotapie"/>
        <w:ind w:firstLine="709"/>
        <w:contextualSpacing/>
        <w:jc w:val="both"/>
        <w:rPr>
          <w:rFonts w:ascii="Arial" w:hAnsi="Arial" w:cs="Arial"/>
          <w:color w:val="000000"/>
          <w:sz w:val="18"/>
          <w:szCs w:val="18"/>
        </w:rPr>
      </w:pPr>
      <w:r w:rsidRPr="00E11B40">
        <w:rPr>
          <w:rStyle w:val="Refdenotaalpie"/>
          <w:rFonts w:ascii="Arial" w:hAnsi="Arial" w:cs="Arial"/>
          <w:color w:val="000000"/>
          <w:sz w:val="18"/>
          <w:szCs w:val="18"/>
        </w:rPr>
        <w:footnoteRef/>
      </w:r>
      <w:r w:rsidRPr="00E11B40">
        <w:rPr>
          <w:rFonts w:ascii="Arial" w:hAnsi="Arial" w:cs="Arial"/>
          <w:color w:val="000000"/>
          <w:sz w:val="18"/>
          <w:szCs w:val="18"/>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429F7CDA" w14:textId="77777777" w:rsidR="00D35D94" w:rsidRPr="00E11B40" w:rsidRDefault="00D35D94" w:rsidP="00E11B40">
      <w:pPr>
        <w:pStyle w:val="Textonotapie"/>
        <w:ind w:firstLine="709"/>
        <w:contextualSpacing/>
        <w:jc w:val="both"/>
        <w:rPr>
          <w:rFonts w:ascii="Arial" w:hAnsi="Arial" w:cs="Arial"/>
          <w:color w:val="000000"/>
          <w:sz w:val="18"/>
          <w:szCs w:val="18"/>
        </w:rPr>
      </w:pPr>
    </w:p>
  </w:footnote>
  <w:footnote w:id="5">
    <w:p w14:paraId="7B8588DD" w14:textId="77777777" w:rsidR="00D35D94" w:rsidRPr="00E11B40" w:rsidRDefault="00D35D94" w:rsidP="00E11B40">
      <w:pPr>
        <w:pStyle w:val="Textonotapie"/>
        <w:ind w:firstLine="708"/>
        <w:contextualSpacing/>
        <w:jc w:val="both"/>
        <w:rPr>
          <w:rFonts w:ascii="Arial" w:hAnsi="Arial" w:cs="Arial"/>
          <w:color w:val="000000"/>
          <w:sz w:val="18"/>
          <w:szCs w:val="18"/>
        </w:rPr>
      </w:pPr>
      <w:r w:rsidRPr="00E11B40">
        <w:rPr>
          <w:rStyle w:val="Refdenotaalpie"/>
          <w:rFonts w:ascii="Arial" w:hAnsi="Arial" w:cs="Arial"/>
          <w:color w:val="000000"/>
          <w:sz w:val="18"/>
          <w:szCs w:val="18"/>
        </w:rPr>
        <w:footnoteRef/>
      </w:r>
      <w:r w:rsidRPr="00E11B40">
        <w:rPr>
          <w:rFonts w:ascii="Arial" w:hAnsi="Arial" w:cs="Arial"/>
          <w:color w:val="000000"/>
          <w:sz w:val="18"/>
          <w:szCs w:val="18"/>
        </w:rPr>
        <w:t xml:space="preserve"> «ARTÍCULO 1o. Modifíquese el artículo 4o de la Ley 1882 de 2018, el cual quedará así:</w:t>
      </w:r>
    </w:p>
    <w:p w14:paraId="4CE0860A" w14:textId="77777777" w:rsidR="00D35D94" w:rsidRPr="00E11B40" w:rsidRDefault="00D35D94" w:rsidP="00E11B40">
      <w:pPr>
        <w:pStyle w:val="Textonotapie"/>
        <w:ind w:firstLine="708"/>
        <w:contextualSpacing/>
        <w:jc w:val="both"/>
        <w:rPr>
          <w:rFonts w:ascii="Arial" w:hAnsi="Arial" w:cs="Arial"/>
          <w:color w:val="000000"/>
          <w:sz w:val="18"/>
          <w:szCs w:val="18"/>
        </w:rPr>
      </w:pPr>
      <w:r w:rsidRPr="00E11B40">
        <w:rPr>
          <w:rFonts w:ascii="Arial" w:hAnsi="Arial" w:cs="Arial"/>
          <w:color w:val="000000"/>
          <w:sz w:val="18"/>
          <w:szCs w:val="18"/>
        </w:rPr>
        <w:t>»Artículo 4o. Adiciónese el siguiente parágrafo al artículo 2o de la Ley 1150 de 2007.</w:t>
      </w:r>
    </w:p>
    <w:p w14:paraId="5C82FBEE" w14:textId="77777777" w:rsidR="00D35D94" w:rsidRPr="00E11B40" w:rsidRDefault="00D35D94" w:rsidP="00E11B40">
      <w:pPr>
        <w:pStyle w:val="Textonotapie"/>
        <w:ind w:firstLine="708"/>
        <w:contextualSpacing/>
        <w:jc w:val="both"/>
        <w:rPr>
          <w:rFonts w:ascii="Arial" w:hAnsi="Arial" w:cs="Arial"/>
          <w:color w:val="000000"/>
          <w:sz w:val="18"/>
          <w:szCs w:val="18"/>
        </w:rPr>
      </w:pPr>
      <w:r w:rsidRPr="00E11B40">
        <w:rPr>
          <w:rFonts w:ascii="Arial" w:hAnsi="Arial" w:cs="Arial"/>
          <w:color w:val="000000"/>
          <w:sz w:val="18"/>
          <w:szCs w:val="18"/>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807D28C" w14:textId="77777777" w:rsidR="00D35D94" w:rsidRPr="00E11B40" w:rsidRDefault="00D35D94" w:rsidP="00E11B40">
      <w:pPr>
        <w:pStyle w:val="Textonotapie"/>
        <w:ind w:firstLine="708"/>
        <w:contextualSpacing/>
        <w:jc w:val="both"/>
        <w:rPr>
          <w:rFonts w:ascii="Arial" w:hAnsi="Arial" w:cs="Arial"/>
          <w:color w:val="000000"/>
          <w:sz w:val="18"/>
          <w:szCs w:val="18"/>
        </w:rPr>
      </w:pPr>
      <w:r w:rsidRPr="00E11B40">
        <w:rPr>
          <w:rFonts w:ascii="Arial" w:hAnsi="Arial" w:cs="Arial"/>
          <w:color w:val="000000"/>
          <w:sz w:val="18"/>
          <w:szCs w:val="18"/>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F250CB7" w14:textId="77777777" w:rsidR="00D35D94" w:rsidRPr="00E11B40" w:rsidRDefault="00D35D94" w:rsidP="00E11B40">
      <w:pPr>
        <w:pStyle w:val="Textonotapie"/>
        <w:ind w:firstLine="708"/>
        <w:contextualSpacing/>
        <w:jc w:val="both"/>
        <w:rPr>
          <w:rFonts w:ascii="Arial" w:hAnsi="Arial" w:cs="Arial"/>
          <w:color w:val="000000"/>
          <w:sz w:val="18"/>
          <w:szCs w:val="18"/>
        </w:rPr>
      </w:pPr>
      <w:r w:rsidRPr="00E11B40">
        <w:rPr>
          <w:rFonts w:ascii="Arial" w:hAnsi="Arial" w:cs="Arial"/>
          <w:color w:val="000000"/>
          <w:sz w:val="18"/>
          <w:szCs w:val="18"/>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5B65A9BC" w14:textId="77777777" w:rsidR="00D35D94" w:rsidRPr="00E11B40" w:rsidRDefault="00D35D94" w:rsidP="00E11B40">
      <w:pPr>
        <w:pStyle w:val="Textonotapie"/>
        <w:ind w:firstLine="708"/>
        <w:contextualSpacing/>
        <w:jc w:val="both"/>
        <w:rPr>
          <w:rFonts w:ascii="Arial" w:hAnsi="Arial" w:cs="Arial"/>
          <w:color w:val="000000"/>
          <w:sz w:val="18"/>
          <w:szCs w:val="18"/>
        </w:rPr>
      </w:pPr>
      <w:r w:rsidRPr="00E11B40">
        <w:rPr>
          <w:rFonts w:ascii="Arial" w:hAnsi="Arial" w:cs="Arial"/>
          <w:color w:val="000000"/>
          <w:sz w:val="18"/>
          <w:szCs w:val="18"/>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662D88A8" w14:textId="77777777" w:rsidR="00D35D94" w:rsidRPr="00E11B40" w:rsidRDefault="00D35D94" w:rsidP="00E11B40">
      <w:pPr>
        <w:pStyle w:val="Textonotapie"/>
        <w:ind w:firstLine="708"/>
        <w:contextualSpacing/>
        <w:jc w:val="both"/>
        <w:rPr>
          <w:rFonts w:ascii="Arial" w:hAnsi="Arial" w:cs="Arial"/>
          <w:color w:val="000000"/>
          <w:sz w:val="18"/>
          <w:szCs w:val="18"/>
          <w:lang w:val="es-CO"/>
        </w:rPr>
      </w:pPr>
      <w:r w:rsidRPr="00E11B40">
        <w:rPr>
          <w:rFonts w:ascii="Arial" w:hAnsi="Arial" w:cs="Arial"/>
          <w:color w:val="000000"/>
          <w:sz w:val="18"/>
          <w:szCs w:val="18"/>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6">
    <w:p w14:paraId="6FBDE22B" w14:textId="77777777" w:rsidR="00182235" w:rsidRPr="00E11B40" w:rsidRDefault="00182235" w:rsidP="00E11B40">
      <w:pPr>
        <w:pStyle w:val="Textonotapie"/>
        <w:ind w:firstLine="709"/>
        <w:contextualSpacing/>
        <w:jc w:val="both"/>
        <w:rPr>
          <w:rFonts w:ascii="Arial" w:hAnsi="Arial" w:cs="Arial"/>
          <w:color w:val="000000" w:themeColor="text1"/>
          <w:sz w:val="18"/>
          <w:szCs w:val="18"/>
        </w:rPr>
      </w:pPr>
    </w:p>
    <w:p w14:paraId="629A75A5" w14:textId="77777777" w:rsidR="00182235" w:rsidRPr="00E11B40" w:rsidRDefault="00182235" w:rsidP="00E11B40">
      <w:pPr>
        <w:pStyle w:val="Textonotapie"/>
        <w:ind w:firstLine="709"/>
        <w:contextualSpacing/>
        <w:jc w:val="both"/>
        <w:rPr>
          <w:rFonts w:ascii="Arial" w:hAnsi="Arial" w:cs="Arial"/>
          <w:color w:val="000000" w:themeColor="text1"/>
          <w:sz w:val="18"/>
          <w:szCs w:val="18"/>
          <w:lang w:val="es-ES"/>
        </w:rPr>
      </w:pPr>
      <w:r w:rsidRPr="00E11B40">
        <w:rPr>
          <w:rStyle w:val="Refdenotaalpie"/>
          <w:rFonts w:ascii="Arial" w:hAnsi="Arial" w:cs="Arial"/>
          <w:color w:val="000000" w:themeColor="text1"/>
          <w:sz w:val="18"/>
          <w:szCs w:val="18"/>
        </w:rPr>
        <w:footnoteRef/>
      </w:r>
      <w:r w:rsidRPr="00E11B40">
        <w:rPr>
          <w:rFonts w:ascii="Arial" w:hAnsi="Arial" w:cs="Arial"/>
          <w:color w:val="000000" w:themeColor="text1"/>
          <w:sz w:val="18"/>
          <w:szCs w:val="18"/>
        </w:rPr>
        <w:t xml:space="preserve"> </w:t>
      </w:r>
      <w:r w:rsidRPr="00E11B40">
        <w:rPr>
          <w:rFonts w:ascii="Arial" w:hAnsi="Arial" w:cs="Arial"/>
          <w:color w:val="000000" w:themeColor="text1"/>
          <w:sz w:val="18"/>
          <w:szCs w:val="18"/>
          <w:lang w:val="es-ES"/>
        </w:rPr>
        <w:t>En cuanto a las resoluciones vigentes, dicha regla se observa en el artículo 3 de las Resoluciones 240 de 2020, 241 de 2020, 248 de 2020, 249 de 2020, 269 de 2020, 219 de 2021, 392 de 2021, 454 de 2021, entre otras, así como lo dispuesto en el artículo 2 de la Resolución 094 de 2020.</w:t>
      </w:r>
    </w:p>
    <w:p w14:paraId="5AA015AE" w14:textId="77777777" w:rsidR="00182235" w:rsidRPr="00E11B40" w:rsidRDefault="00182235" w:rsidP="00E11B40">
      <w:pPr>
        <w:pStyle w:val="Textonotapie"/>
        <w:ind w:firstLine="709"/>
        <w:contextualSpacing/>
        <w:jc w:val="both"/>
        <w:rPr>
          <w:rFonts w:ascii="Arial" w:hAnsi="Arial" w:cs="Arial"/>
          <w:color w:val="000000" w:themeColor="text1"/>
          <w:sz w:val="18"/>
          <w:szCs w:val="18"/>
          <w:lang w:val="es-ES"/>
        </w:rPr>
      </w:pPr>
    </w:p>
  </w:footnote>
  <w:footnote w:id="7">
    <w:p w14:paraId="4A6C8CC7" w14:textId="77777777" w:rsidR="00182235" w:rsidRPr="00E11B40" w:rsidRDefault="00182235" w:rsidP="00E11B40">
      <w:pPr>
        <w:pStyle w:val="Textonotapie"/>
        <w:ind w:firstLine="708"/>
        <w:contextualSpacing/>
        <w:jc w:val="both"/>
        <w:rPr>
          <w:rFonts w:ascii="Arial" w:hAnsi="Arial" w:cs="Arial"/>
          <w:color w:val="000000" w:themeColor="text1"/>
          <w:sz w:val="18"/>
          <w:szCs w:val="18"/>
        </w:rPr>
      </w:pPr>
      <w:r w:rsidRPr="00E11B40">
        <w:rPr>
          <w:rStyle w:val="Refdenotaalpie"/>
          <w:rFonts w:ascii="Arial" w:hAnsi="Arial" w:cs="Arial"/>
          <w:color w:val="000000" w:themeColor="text1"/>
          <w:sz w:val="18"/>
          <w:szCs w:val="18"/>
        </w:rPr>
        <w:footnoteRef/>
      </w:r>
      <w:r w:rsidRPr="00E11B40">
        <w:rPr>
          <w:rFonts w:ascii="Arial" w:hAnsi="Arial" w:cs="Arial"/>
          <w:color w:val="000000" w:themeColor="text1"/>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41617C98" w14:textId="77777777" w:rsidR="00182235" w:rsidRPr="00E11B40" w:rsidRDefault="00182235" w:rsidP="00E11B40">
      <w:pPr>
        <w:pStyle w:val="Textonotapie"/>
        <w:ind w:firstLine="708"/>
        <w:contextualSpacing/>
        <w:jc w:val="both"/>
        <w:rPr>
          <w:rFonts w:ascii="Arial" w:hAnsi="Arial" w:cs="Arial"/>
          <w:color w:val="000000" w:themeColor="text1"/>
          <w:sz w:val="18"/>
          <w:szCs w:val="18"/>
        </w:rPr>
      </w:pPr>
    </w:p>
  </w:footnote>
  <w:footnote w:id="8">
    <w:p w14:paraId="53F5A5F0" w14:textId="77777777" w:rsidR="00182235" w:rsidRPr="00E11B40" w:rsidRDefault="00182235" w:rsidP="00E11B40">
      <w:pPr>
        <w:pStyle w:val="Textonotapie"/>
        <w:ind w:firstLine="709"/>
        <w:contextualSpacing/>
        <w:jc w:val="both"/>
        <w:rPr>
          <w:rFonts w:ascii="Arial" w:hAnsi="Arial" w:cs="Arial"/>
          <w:color w:val="000000" w:themeColor="text1"/>
          <w:sz w:val="18"/>
          <w:szCs w:val="18"/>
        </w:rPr>
      </w:pPr>
      <w:r w:rsidRPr="00E11B40">
        <w:rPr>
          <w:rStyle w:val="Refdenotaalpie"/>
          <w:rFonts w:ascii="Arial" w:hAnsi="Arial" w:cs="Arial"/>
          <w:color w:val="000000" w:themeColor="text1"/>
          <w:sz w:val="18"/>
          <w:szCs w:val="18"/>
        </w:rPr>
        <w:footnoteRef/>
      </w:r>
      <w:r w:rsidRPr="00E11B40">
        <w:rPr>
          <w:rFonts w:ascii="Arial" w:hAnsi="Arial" w:cs="Arial"/>
          <w:color w:val="000000" w:themeColor="text1"/>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11EBD669" w14:textId="77777777" w:rsidR="00182235" w:rsidRPr="00E11B40" w:rsidRDefault="00182235" w:rsidP="00E11B40">
      <w:pPr>
        <w:pStyle w:val="Textonotapie"/>
        <w:ind w:firstLine="709"/>
        <w:contextualSpacing/>
        <w:jc w:val="both"/>
        <w:rPr>
          <w:rFonts w:ascii="Arial" w:hAnsi="Arial" w:cs="Arial"/>
          <w:color w:val="000000" w:themeColor="text1"/>
          <w:sz w:val="18"/>
          <w:szCs w:val="18"/>
        </w:rPr>
      </w:pPr>
    </w:p>
  </w:footnote>
  <w:footnote w:id="9">
    <w:p w14:paraId="1F8D350A" w14:textId="77777777" w:rsidR="00182235" w:rsidRPr="00E11B40" w:rsidRDefault="00182235" w:rsidP="00E11B40">
      <w:pPr>
        <w:spacing w:after="0" w:line="240" w:lineRule="auto"/>
        <w:ind w:firstLine="709"/>
        <w:contextualSpacing/>
        <w:jc w:val="both"/>
        <w:rPr>
          <w:rFonts w:ascii="Arial" w:hAnsi="Arial" w:cs="Arial"/>
          <w:color w:val="000000" w:themeColor="text1"/>
          <w:sz w:val="18"/>
          <w:szCs w:val="18"/>
          <w:lang w:val="es-ES"/>
        </w:rPr>
      </w:pPr>
      <w:r w:rsidRPr="00E11B40">
        <w:rPr>
          <w:rStyle w:val="Refdenotaalpie"/>
          <w:rFonts w:ascii="Arial" w:hAnsi="Arial" w:cs="Arial"/>
          <w:color w:val="000000" w:themeColor="text1"/>
          <w:sz w:val="18"/>
          <w:szCs w:val="18"/>
        </w:rPr>
        <w:footnoteRef/>
      </w:r>
      <w:r w:rsidRPr="00E11B40">
        <w:rPr>
          <w:rFonts w:ascii="Arial" w:hAnsi="Arial" w:cs="Arial"/>
          <w:color w:val="000000" w:themeColor="text1"/>
          <w:sz w:val="18"/>
          <w:szCs w:val="18"/>
        </w:rPr>
        <w:t xml:space="preserve"> </w:t>
      </w:r>
      <w:r w:rsidRPr="00E11B40">
        <w:rPr>
          <w:rFonts w:ascii="Arial" w:hAnsi="Arial" w:cs="Arial"/>
          <w:color w:val="000000" w:themeColor="text1"/>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073891A2" w14:textId="77777777" w:rsidR="00182235" w:rsidRPr="00E11B40" w:rsidRDefault="00182235" w:rsidP="00E11B40">
      <w:pPr>
        <w:spacing w:after="0" w:line="240" w:lineRule="auto"/>
        <w:ind w:firstLine="709"/>
        <w:contextualSpacing/>
        <w:jc w:val="both"/>
        <w:rPr>
          <w:rFonts w:ascii="Arial" w:hAnsi="Arial" w:cs="Arial"/>
          <w:color w:val="000000" w:themeColor="text1"/>
          <w:sz w:val="18"/>
          <w:szCs w:val="18"/>
          <w:lang w:val="es-ES"/>
        </w:rPr>
      </w:pPr>
    </w:p>
  </w:footnote>
  <w:footnote w:id="10">
    <w:p w14:paraId="2037B4E4" w14:textId="77777777" w:rsidR="00182235" w:rsidRPr="00E11B40" w:rsidRDefault="00182235" w:rsidP="00E11B40">
      <w:pPr>
        <w:spacing w:after="0" w:line="240" w:lineRule="auto"/>
        <w:ind w:firstLine="708"/>
        <w:contextualSpacing/>
        <w:jc w:val="both"/>
        <w:rPr>
          <w:rFonts w:ascii="Arial" w:hAnsi="Arial" w:cs="Arial"/>
          <w:color w:val="000000" w:themeColor="text1"/>
          <w:sz w:val="18"/>
          <w:szCs w:val="18"/>
          <w:lang w:val="es-MX"/>
        </w:rPr>
      </w:pPr>
      <w:r w:rsidRPr="00E11B40">
        <w:rPr>
          <w:rStyle w:val="Refdenotaalpie"/>
          <w:rFonts w:ascii="Arial" w:hAnsi="Arial" w:cs="Arial"/>
          <w:color w:val="000000" w:themeColor="text1"/>
          <w:sz w:val="18"/>
          <w:szCs w:val="18"/>
        </w:rPr>
        <w:footnoteRef/>
      </w:r>
      <w:r w:rsidRPr="00E11B40">
        <w:rPr>
          <w:rFonts w:ascii="Arial" w:hAnsi="Arial" w:cs="Arial"/>
          <w:color w:val="000000" w:themeColor="text1"/>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14235BC8" w14:textId="77777777" w:rsidR="00182235" w:rsidRPr="00E11B40" w:rsidRDefault="00182235" w:rsidP="00E11B40">
      <w:pPr>
        <w:spacing w:after="0" w:line="240" w:lineRule="auto"/>
        <w:ind w:firstLine="708"/>
        <w:contextualSpacing/>
        <w:jc w:val="both"/>
        <w:rPr>
          <w:rFonts w:ascii="Arial" w:hAnsi="Arial" w:cs="Arial"/>
          <w:color w:val="000000" w:themeColor="text1"/>
          <w:sz w:val="18"/>
          <w:szCs w:val="18"/>
        </w:rPr>
      </w:pPr>
    </w:p>
  </w:footnote>
  <w:footnote w:id="11">
    <w:p w14:paraId="2A3B284A" w14:textId="60B54C5A" w:rsidR="004E700E" w:rsidRPr="00E11B40" w:rsidRDefault="004E700E" w:rsidP="00E11B40">
      <w:pPr>
        <w:pStyle w:val="Textonotapie"/>
        <w:contextualSpacing/>
        <w:jc w:val="both"/>
        <w:rPr>
          <w:rFonts w:ascii="Arial" w:hAnsi="Arial" w:cs="Arial"/>
          <w:sz w:val="18"/>
          <w:szCs w:val="18"/>
        </w:rPr>
      </w:pPr>
      <w:r w:rsidRPr="00E11B40">
        <w:rPr>
          <w:rStyle w:val="Refdenotaalpie"/>
          <w:rFonts w:ascii="Arial" w:hAnsi="Arial" w:cs="Arial"/>
          <w:sz w:val="18"/>
          <w:szCs w:val="18"/>
        </w:rPr>
        <w:footnoteRef/>
      </w:r>
      <w:r w:rsidRPr="00E11B40">
        <w:rPr>
          <w:rFonts w:ascii="Arial" w:hAnsi="Arial" w:cs="Arial"/>
          <w:sz w:val="18"/>
          <w:szCs w:val="18"/>
        </w:rPr>
        <w:t xml:space="preserve"> «</w:t>
      </w:r>
      <w:r w:rsidRPr="00E11B40">
        <w:rPr>
          <w:rStyle w:val="Textoennegrita"/>
          <w:rFonts w:ascii="Arial" w:hAnsi="Arial" w:cs="Arial"/>
          <w:color w:val="333333"/>
          <w:sz w:val="18"/>
          <w:szCs w:val="18"/>
          <w:shd w:val="clear" w:color="auto" w:fill="FFFFFF"/>
        </w:rPr>
        <w:t>ARTÍCULO</w:t>
      </w:r>
      <w:bookmarkStart w:id="6" w:name="21"/>
      <w:bookmarkEnd w:id="6"/>
      <w:r w:rsidRPr="00E11B40">
        <w:rPr>
          <w:rStyle w:val="Textoennegrita"/>
          <w:rFonts w:ascii="Arial" w:hAnsi="Arial" w:cs="Arial"/>
          <w:color w:val="333333"/>
          <w:sz w:val="18"/>
          <w:szCs w:val="18"/>
          <w:shd w:val="clear" w:color="auto" w:fill="FFFFFF"/>
        </w:rPr>
        <w:t> 21. </w:t>
      </w:r>
      <w:r w:rsidRPr="00E11B40">
        <w:rPr>
          <w:rStyle w:val="nfasis"/>
          <w:rFonts w:ascii="Arial" w:hAnsi="Arial" w:cs="Arial"/>
          <w:b/>
          <w:bCs/>
          <w:color w:val="333333"/>
          <w:sz w:val="18"/>
          <w:szCs w:val="18"/>
          <w:shd w:val="clear" w:color="auto" w:fill="FFFFFF"/>
        </w:rPr>
        <w:t>Funcionario sin competencia.</w:t>
      </w:r>
      <w:r w:rsidRPr="00E11B40">
        <w:rPr>
          <w:rFonts w:ascii="Arial" w:hAnsi="Arial" w:cs="Arial"/>
          <w:color w:val="333333"/>
          <w:sz w:val="18"/>
          <w:szCs w:val="18"/>
          <w:shd w:val="clear" w:color="auto" w:fill="FFFFFF"/>
        </w:rPr>
        <w:t> Si la autoridad a quien se dirige la petición no es la competente, se informará de inmediato al interesado si este actúa verbalmente, o dentro de los cinco (5) días siguientes al de la recepción, si obró por escrito. Dentro del término señalado remitirá la petición al competente y enviará copia del oficio remisorio al peticionario o en caso de no existir funcionario competente así se lo comunicará. Los términos para decidir o responder se contarán a partir del día siguiente a la recepción de la Petición por la autoridad competente.»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B09E1" w14:textId="77777777" w:rsidR="00692DE4" w:rsidRDefault="00887635">
    <w:pPr>
      <w:pStyle w:val="Encabezado"/>
    </w:pPr>
    <w:r>
      <w:rPr>
        <w:noProof/>
        <w:lang w:val="en-US"/>
      </w:rPr>
      <w:drawing>
        <wp:anchor distT="0" distB="0" distL="114300" distR="114300" simplePos="0" relativeHeight="251659264" behindDoc="1" locked="0" layoutInCell="1" allowOverlap="1" wp14:anchorId="48793DF4" wp14:editId="6E4A8C36">
          <wp:simplePos x="0" y="0"/>
          <wp:positionH relativeFrom="column">
            <wp:posOffset>4389120</wp:posOffset>
          </wp:positionH>
          <wp:positionV relativeFrom="paragraph">
            <wp:posOffset>-176504</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descr="For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0 Imagen" descr="Form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A425D"/>
    <w:multiLevelType w:val="hybridMultilevel"/>
    <w:tmpl w:val="6B04D01A"/>
    <w:lvl w:ilvl="0" w:tplc="0C0A0019">
      <w:start w:val="1"/>
      <w:numFmt w:val="lowerLetter"/>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1" w15:restartNumberingAfterBreak="0">
    <w:nsid w:val="36080E2D"/>
    <w:multiLevelType w:val="multilevel"/>
    <w:tmpl w:val="CF26A346"/>
    <w:lvl w:ilvl="0">
      <w:start w:val="1"/>
      <w:numFmt w:val="decimal"/>
      <w:lvlText w:val="%1."/>
      <w:lvlJc w:val="left"/>
      <w:pPr>
        <w:tabs>
          <w:tab w:val="num" w:pos="720"/>
        </w:tabs>
        <w:ind w:left="720" w:hanging="360"/>
      </w:pPr>
      <w:rPr>
        <w:rFonts w:ascii="Arial" w:eastAsiaTheme="minorHAnsi" w:hAnsi="Arial" w:cs="Arial"/>
      </w:rPr>
    </w:lvl>
    <w:lvl w:ilvl="1">
      <w:start w:val="1"/>
      <w:numFmt w:val="lowerLetter"/>
      <w:lvlText w:val="%2)"/>
      <w:lvlJc w:val="left"/>
      <w:pPr>
        <w:ind w:left="1440" w:hanging="360"/>
      </w:pPr>
      <w:rPr>
        <w:rFonts w:hint="default"/>
      </w:r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3D1A5FFC"/>
    <w:multiLevelType w:val="hybridMultilevel"/>
    <w:tmpl w:val="0D1074F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7C691C57"/>
    <w:multiLevelType w:val="multilevel"/>
    <w:tmpl w:val="72046C14"/>
    <w:lvl w:ilvl="0">
      <w:start w:val="1"/>
      <w:numFmt w:val="decimal"/>
      <w:lvlText w:val="%1."/>
      <w:lvlJc w:val="left"/>
      <w:pPr>
        <w:tabs>
          <w:tab w:val="num" w:pos="720"/>
        </w:tabs>
        <w:ind w:left="720" w:hanging="360"/>
      </w:pPr>
      <w:rPr>
        <w:rFonts w:ascii="Arial" w:eastAsiaTheme="minorHAnsi" w:hAnsi="Arial" w:cs="Arial"/>
        <w:vertAlign w:val="baseline"/>
      </w:rPr>
    </w:lvl>
    <w:lvl w:ilvl="1">
      <w:start w:val="1"/>
      <w:numFmt w:val="lowerLetter"/>
      <w:lvlText w:val="%2)"/>
      <w:lvlJc w:val="left"/>
      <w:pPr>
        <w:ind w:left="1440" w:hanging="360"/>
      </w:pPr>
      <w:rPr>
        <w:rFonts w:hint="default"/>
      </w:r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397968065">
    <w:abstractNumId w:val="0"/>
  </w:num>
  <w:num w:numId="2" w16cid:durableId="1239093146">
    <w:abstractNumId w:val="1"/>
  </w:num>
  <w:num w:numId="3" w16cid:durableId="830874117">
    <w:abstractNumId w:val="3"/>
  </w:num>
  <w:num w:numId="4" w16cid:durableId="5234397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BD3"/>
    <w:rsid w:val="000119B0"/>
    <w:rsid w:val="000138E5"/>
    <w:rsid w:val="00021238"/>
    <w:rsid w:val="000673DA"/>
    <w:rsid w:val="000A5DE4"/>
    <w:rsid w:val="000C02A4"/>
    <w:rsid w:val="000E53BF"/>
    <w:rsid w:val="000E77F5"/>
    <w:rsid w:val="001272D9"/>
    <w:rsid w:val="001371DD"/>
    <w:rsid w:val="001376A0"/>
    <w:rsid w:val="001537A1"/>
    <w:rsid w:val="00154C61"/>
    <w:rsid w:val="00182235"/>
    <w:rsid w:val="00190F43"/>
    <w:rsid w:val="001F6A24"/>
    <w:rsid w:val="0021525E"/>
    <w:rsid w:val="00286085"/>
    <w:rsid w:val="002C44EB"/>
    <w:rsid w:val="003579BD"/>
    <w:rsid w:val="003A78E5"/>
    <w:rsid w:val="003E090D"/>
    <w:rsid w:val="00407CAF"/>
    <w:rsid w:val="0044175B"/>
    <w:rsid w:val="00442F83"/>
    <w:rsid w:val="00446CFC"/>
    <w:rsid w:val="0046764A"/>
    <w:rsid w:val="004E700E"/>
    <w:rsid w:val="005172DE"/>
    <w:rsid w:val="00547DC8"/>
    <w:rsid w:val="005506A0"/>
    <w:rsid w:val="005A754A"/>
    <w:rsid w:val="005D376E"/>
    <w:rsid w:val="005D4BA2"/>
    <w:rsid w:val="00604706"/>
    <w:rsid w:val="0062711C"/>
    <w:rsid w:val="00650619"/>
    <w:rsid w:val="0065779F"/>
    <w:rsid w:val="0069033F"/>
    <w:rsid w:val="00722562"/>
    <w:rsid w:val="00734BD3"/>
    <w:rsid w:val="00775D5F"/>
    <w:rsid w:val="00782BEF"/>
    <w:rsid w:val="00783A58"/>
    <w:rsid w:val="007935CF"/>
    <w:rsid w:val="00793A23"/>
    <w:rsid w:val="007B50C5"/>
    <w:rsid w:val="007B7791"/>
    <w:rsid w:val="007C35AB"/>
    <w:rsid w:val="007D5FDD"/>
    <w:rsid w:val="00811076"/>
    <w:rsid w:val="0083172E"/>
    <w:rsid w:val="00850FF6"/>
    <w:rsid w:val="0086143A"/>
    <w:rsid w:val="008779E1"/>
    <w:rsid w:val="00887635"/>
    <w:rsid w:val="008B7A1F"/>
    <w:rsid w:val="008D5EAF"/>
    <w:rsid w:val="00902F4E"/>
    <w:rsid w:val="00906FA8"/>
    <w:rsid w:val="009444D6"/>
    <w:rsid w:val="0096197D"/>
    <w:rsid w:val="0098069D"/>
    <w:rsid w:val="009A4D5F"/>
    <w:rsid w:val="009D4255"/>
    <w:rsid w:val="009F369D"/>
    <w:rsid w:val="00A02BDB"/>
    <w:rsid w:val="00A45729"/>
    <w:rsid w:val="00A96B86"/>
    <w:rsid w:val="00AE446A"/>
    <w:rsid w:val="00B515B1"/>
    <w:rsid w:val="00B7782D"/>
    <w:rsid w:val="00BA20D3"/>
    <w:rsid w:val="00BB1804"/>
    <w:rsid w:val="00C55BCB"/>
    <w:rsid w:val="00C613D4"/>
    <w:rsid w:val="00C621F9"/>
    <w:rsid w:val="00C65339"/>
    <w:rsid w:val="00C72B7F"/>
    <w:rsid w:val="00CA4D5C"/>
    <w:rsid w:val="00CA5A51"/>
    <w:rsid w:val="00CC20EF"/>
    <w:rsid w:val="00CE5C56"/>
    <w:rsid w:val="00D05AA0"/>
    <w:rsid w:val="00D35B48"/>
    <w:rsid w:val="00D35D94"/>
    <w:rsid w:val="00D93310"/>
    <w:rsid w:val="00DA6742"/>
    <w:rsid w:val="00DC63CC"/>
    <w:rsid w:val="00E06CAD"/>
    <w:rsid w:val="00E11B40"/>
    <w:rsid w:val="00E5105D"/>
    <w:rsid w:val="00E55748"/>
    <w:rsid w:val="00E558F7"/>
    <w:rsid w:val="00E90F74"/>
    <w:rsid w:val="00EC389C"/>
    <w:rsid w:val="00ED178A"/>
    <w:rsid w:val="00F023BD"/>
    <w:rsid w:val="00F23E9F"/>
    <w:rsid w:val="00F4718D"/>
    <w:rsid w:val="00FD4820"/>
    <w:rsid w:val="00FF5333"/>
    <w:rsid w:val="00FF576F"/>
    <w:rsid w:val="3C8A3254"/>
    <w:rsid w:val="459EC413"/>
    <w:rsid w:val="555F1AB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91B5F"/>
  <w15:chartTrackingRefBased/>
  <w15:docId w15:val="{81551028-F247-C746-9372-FFAAED911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764A"/>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34BD3"/>
    <w:rPr>
      <w:sz w:val="20"/>
      <w:szCs w:val="20"/>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34BD3"/>
    <w:rPr>
      <w:vertAlign w:val="superscript"/>
    </w:rPr>
  </w:style>
  <w:style w:type="paragraph" w:customStyle="1" w:styleId="Appelnotedebasde">
    <w:name w:val="Appel note de bas de..."/>
    <w:basedOn w:val="Normal"/>
    <w:link w:val="Refdenotaalpie"/>
    <w:uiPriority w:val="99"/>
    <w:rsid w:val="00734BD3"/>
    <w:pPr>
      <w:spacing w:line="240" w:lineRule="exact"/>
    </w:pPr>
    <w:rPr>
      <w:sz w:val="24"/>
      <w:szCs w:val="24"/>
      <w:vertAlign w:val="superscript"/>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734BD3"/>
    <w:pPr>
      <w:spacing w:after="0" w:line="240" w:lineRule="auto"/>
    </w:pPr>
    <w:rPr>
      <w:sz w:val="20"/>
      <w:szCs w:val="20"/>
      <w:lang w:val="es-MX"/>
    </w:rPr>
  </w:style>
  <w:style w:type="character" w:customStyle="1" w:styleId="TextonotapieCar1">
    <w:name w:val="Texto nota pie Car1"/>
    <w:basedOn w:val="Fuentedeprrafopredeter"/>
    <w:uiPriority w:val="99"/>
    <w:semiHidden/>
    <w:rsid w:val="00734BD3"/>
    <w:rPr>
      <w:sz w:val="20"/>
      <w:szCs w:val="20"/>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734BD3"/>
    <w:pPr>
      <w:spacing w:after="0" w:line="240" w:lineRule="auto"/>
      <w:ind w:left="720"/>
      <w:contextualSpacing/>
      <w:jc w:val="both"/>
    </w:pPr>
    <w:rPr>
      <w:rFonts w:ascii="Arial" w:hAnsi="Arial"/>
      <w:sz w:val="20"/>
      <w:lang w:val="es-MX"/>
    </w:rPr>
  </w:style>
  <w:style w:type="paragraph" w:styleId="NormalWeb">
    <w:name w:val="Normal (Web)"/>
    <w:basedOn w:val="Normal"/>
    <w:uiPriority w:val="99"/>
    <w:unhideWhenUsed/>
    <w:rsid w:val="00734BD3"/>
    <w:rPr>
      <w:rFonts w:ascii="Times New Roman" w:hAnsi="Times New Roman" w:cs="Times New Roman"/>
      <w:sz w:val="24"/>
      <w:szCs w:val="24"/>
    </w:rPr>
  </w:style>
  <w:style w:type="table" w:styleId="Tablaconcuadrcula">
    <w:name w:val="Table Grid"/>
    <w:basedOn w:val="Tablanormal"/>
    <w:uiPriority w:val="59"/>
    <w:rsid w:val="00734BD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34BD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34BD3"/>
    <w:rPr>
      <w:sz w:val="22"/>
      <w:szCs w:val="22"/>
    </w:rPr>
  </w:style>
  <w:style w:type="paragraph" w:styleId="Piedepgina">
    <w:name w:val="footer"/>
    <w:basedOn w:val="Normal"/>
    <w:link w:val="PiedepginaCar"/>
    <w:uiPriority w:val="99"/>
    <w:unhideWhenUsed/>
    <w:rsid w:val="00734BD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34BD3"/>
    <w:rPr>
      <w:sz w:val="22"/>
      <w:szCs w:val="22"/>
    </w:rPr>
  </w:style>
  <w:style w:type="paragraph" w:styleId="Sinespaciado">
    <w:name w:val="No Spacing"/>
    <w:uiPriority w:val="1"/>
    <w:qFormat/>
    <w:rsid w:val="00734BD3"/>
  </w:style>
  <w:style w:type="table" w:customStyle="1" w:styleId="Tablaconcuadrcula2">
    <w:name w:val="Tabla con cuadrícula2"/>
    <w:basedOn w:val="Tablanormal"/>
    <w:next w:val="Tablaconcuadrcula"/>
    <w:uiPriority w:val="39"/>
    <w:rsid w:val="00F23E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98069D"/>
    <w:rPr>
      <w:sz w:val="22"/>
      <w:szCs w:val="2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CE5C56"/>
    <w:rPr>
      <w:rFonts w:ascii="Arial" w:hAnsi="Arial"/>
      <w:sz w:val="20"/>
      <w:szCs w:val="22"/>
      <w:lang w:val="es-MX"/>
    </w:rPr>
  </w:style>
  <w:style w:type="character" w:styleId="Textoennegrita">
    <w:name w:val="Strong"/>
    <w:basedOn w:val="Fuentedeprrafopredeter"/>
    <w:uiPriority w:val="22"/>
    <w:qFormat/>
    <w:rsid w:val="004E700E"/>
    <w:rPr>
      <w:b/>
      <w:bCs/>
    </w:rPr>
  </w:style>
  <w:style w:type="character" w:styleId="nfasis">
    <w:name w:val="Emphasis"/>
    <w:basedOn w:val="Fuentedeprrafopredeter"/>
    <w:uiPriority w:val="20"/>
    <w:qFormat/>
    <w:rsid w:val="004E700E"/>
    <w:rPr>
      <w:i/>
      <w:iCs/>
    </w:rPr>
  </w:style>
  <w:style w:type="character" w:styleId="Refdecomentario">
    <w:name w:val="annotation reference"/>
    <w:basedOn w:val="Fuentedeprrafopredeter"/>
    <w:uiPriority w:val="99"/>
    <w:semiHidden/>
    <w:unhideWhenUsed/>
    <w:rsid w:val="000673DA"/>
    <w:rPr>
      <w:sz w:val="16"/>
      <w:szCs w:val="16"/>
    </w:rPr>
  </w:style>
  <w:style w:type="paragraph" w:styleId="Textocomentario">
    <w:name w:val="annotation text"/>
    <w:basedOn w:val="Normal"/>
    <w:link w:val="TextocomentarioCar"/>
    <w:uiPriority w:val="99"/>
    <w:semiHidden/>
    <w:unhideWhenUsed/>
    <w:rsid w:val="000673D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673DA"/>
    <w:rPr>
      <w:sz w:val="20"/>
      <w:szCs w:val="20"/>
    </w:rPr>
  </w:style>
  <w:style w:type="paragraph" w:styleId="Asuntodelcomentario">
    <w:name w:val="annotation subject"/>
    <w:basedOn w:val="Textocomentario"/>
    <w:next w:val="Textocomentario"/>
    <w:link w:val="AsuntodelcomentarioCar"/>
    <w:uiPriority w:val="99"/>
    <w:semiHidden/>
    <w:unhideWhenUsed/>
    <w:rsid w:val="000673DA"/>
    <w:rPr>
      <w:b/>
      <w:bCs/>
    </w:rPr>
  </w:style>
  <w:style w:type="character" w:customStyle="1" w:styleId="AsuntodelcomentarioCar">
    <w:name w:val="Asunto del comentario Car"/>
    <w:basedOn w:val="TextocomentarioCar"/>
    <w:link w:val="Asuntodelcomentario"/>
    <w:uiPriority w:val="99"/>
    <w:semiHidden/>
    <w:rsid w:val="000673DA"/>
    <w:rPr>
      <w:b/>
      <w:bCs/>
      <w:sz w:val="20"/>
      <w:szCs w:val="20"/>
    </w:rPr>
  </w:style>
  <w:style w:type="character" w:styleId="Hipervnculo">
    <w:name w:val="Hyperlink"/>
    <w:basedOn w:val="Fuentedeprrafopredeter"/>
    <w:uiPriority w:val="99"/>
    <w:unhideWhenUsed/>
    <w:rsid w:val="009F369D"/>
    <w:rPr>
      <w:color w:val="0563C1" w:themeColor="hyperlink"/>
      <w:u w:val="single"/>
    </w:rPr>
  </w:style>
  <w:style w:type="character" w:customStyle="1" w:styleId="normaltextrun">
    <w:name w:val="normaltextrun"/>
    <w:basedOn w:val="Fuentedeprrafopredeter"/>
    <w:rsid w:val="00182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065895">
      <w:bodyDiv w:val="1"/>
      <w:marLeft w:val="0"/>
      <w:marRight w:val="0"/>
      <w:marTop w:val="0"/>
      <w:marBottom w:val="0"/>
      <w:divBdr>
        <w:top w:val="none" w:sz="0" w:space="0" w:color="auto"/>
        <w:left w:val="none" w:sz="0" w:space="0" w:color="auto"/>
        <w:bottom w:val="none" w:sz="0" w:space="0" w:color="auto"/>
        <w:right w:val="none" w:sz="0" w:space="0" w:color="auto"/>
      </w:divBdr>
      <w:divsChild>
        <w:div w:id="431241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0F7967-F3BD-4C2F-A216-09DB671DB3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43C0FA-E0E5-4542-BC3E-5D6DDAC356FB}">
  <ds:schemaRefs>
    <ds:schemaRef ds:uri="http://schemas.openxmlformats.org/officeDocument/2006/bibliography"/>
  </ds:schemaRefs>
</ds:datastoreItem>
</file>

<file path=customXml/itemProps3.xml><?xml version="1.0" encoding="utf-8"?>
<ds:datastoreItem xmlns:ds="http://schemas.openxmlformats.org/officeDocument/2006/customXml" ds:itemID="{3BD552BD-AEA7-4E1F-AE61-CF8525B44462}">
  <ds:schemaRefs>
    <ds:schemaRef ds:uri="http://schemas.microsoft.com/sharepoint/v3/contenttype/forms"/>
  </ds:schemaRefs>
</ds:datastoreItem>
</file>

<file path=customXml/itemProps4.xml><?xml version="1.0" encoding="utf-8"?>
<ds:datastoreItem xmlns:ds="http://schemas.openxmlformats.org/officeDocument/2006/customXml" ds:itemID="{63B740E2-E3BA-4934-99D1-32E2002258E8}">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5649</Words>
  <Characters>31070</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nicolle saenz camargo</dc:creator>
  <cp:keywords/>
  <dc:description/>
  <cp:lastModifiedBy>Ana Maria Velez Arteaga</cp:lastModifiedBy>
  <cp:revision>3</cp:revision>
  <dcterms:created xsi:type="dcterms:W3CDTF">2023-02-17T19:00:00Z</dcterms:created>
  <dcterms:modified xsi:type="dcterms:W3CDTF">2023-02-17T19:02:00Z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