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143F14" w14:textId="70824088" w:rsidR="009816A2" w:rsidRPr="00A51520" w:rsidRDefault="006E38D1" w:rsidP="008B6649">
      <w:pPr>
        <w:jc w:val="right"/>
        <w:rPr>
          <w:rFonts w:ascii="Arial" w:eastAsia="Calibri" w:hAnsi="Arial" w:cs="Arial"/>
          <w:b/>
          <w:color w:val="000000" w:themeColor="text1"/>
          <w:sz w:val="20"/>
          <w:szCs w:val="20"/>
          <w:lang w:val="es-ES_tradnl"/>
        </w:rPr>
      </w:pPr>
      <w:bookmarkStart w:id="0" w:name="_Hlk28946138"/>
      <w:bookmarkStart w:id="1" w:name="_Hlk29548183"/>
      <w:r>
        <w:rPr>
          <w:rFonts w:ascii="Arial" w:hAnsi="Arial" w:cs="Arial"/>
          <w:b/>
          <w:color w:val="000000" w:themeColor="text1"/>
          <w:sz w:val="16"/>
          <w:szCs w:val="16"/>
          <w:lang w:val="es-ES_tradnl" w:eastAsia="es-ES"/>
        </w:rPr>
        <w:t>|</w:t>
      </w:r>
      <w:r w:rsidR="002411DE">
        <w:rPr>
          <w:rFonts w:ascii="Arial" w:hAnsi="Arial" w:cs="Arial"/>
          <w:b/>
          <w:color w:val="000000" w:themeColor="text1"/>
          <w:sz w:val="16"/>
          <w:szCs w:val="16"/>
          <w:lang w:val="es-ES_tradnl" w:eastAsia="es-ES"/>
        </w:rPr>
        <w:t xml:space="preserve"> </w:t>
      </w:r>
      <w:r w:rsidR="00B55C69" w:rsidRPr="00A51520">
        <w:rPr>
          <w:rFonts w:ascii="Arial" w:hAnsi="Arial" w:cs="Arial"/>
          <w:b/>
          <w:color w:val="000000" w:themeColor="text1"/>
          <w:sz w:val="16"/>
          <w:szCs w:val="16"/>
          <w:lang w:val="es-ES_tradnl" w:eastAsia="es-ES"/>
        </w:rPr>
        <w:t>CCE-DES-FM-17</w:t>
      </w:r>
      <w:bookmarkStart w:id="2" w:name="_Hlk50481752"/>
      <w:bookmarkEnd w:id="0"/>
      <w:bookmarkEnd w:id="1"/>
    </w:p>
    <w:bookmarkEnd w:id="2"/>
    <w:p w14:paraId="79B0C924" w14:textId="77777777" w:rsidR="00E803A6" w:rsidRDefault="00E803A6" w:rsidP="7190A9F5">
      <w:pPr>
        <w:spacing w:line="276" w:lineRule="auto"/>
        <w:jc w:val="both"/>
        <w:rPr>
          <w:rFonts w:ascii="Arial" w:eastAsia="Calibri" w:hAnsi="Arial" w:cs="Arial"/>
          <w:b/>
          <w:bCs/>
          <w:sz w:val="22"/>
          <w:szCs w:val="22"/>
          <w:lang w:val="es-ES"/>
        </w:rPr>
      </w:pPr>
    </w:p>
    <w:p w14:paraId="17E3F276" w14:textId="158B800A" w:rsidR="00993CD6" w:rsidRDefault="00DD7A39" w:rsidP="00993CD6">
      <w:pPr>
        <w:tabs>
          <w:tab w:val="left" w:pos="6551"/>
        </w:tabs>
        <w:jc w:val="both"/>
        <w:rPr>
          <w:rFonts w:ascii="Arial" w:eastAsia="Calibri" w:hAnsi="Arial" w:cs="Arial"/>
          <w:b/>
          <w:color w:val="000000" w:themeColor="text1"/>
          <w:sz w:val="22"/>
          <w:lang w:val="es-ES_tradnl"/>
        </w:rPr>
      </w:pPr>
      <w:r w:rsidRPr="00DD7A39">
        <w:rPr>
          <w:rStyle w:val="normaltextrun"/>
          <w:rFonts w:ascii="Arial" w:hAnsi="Arial" w:cs="Arial"/>
          <w:b/>
          <w:bCs/>
          <w:color w:val="000000"/>
          <w:sz w:val="22"/>
          <w:szCs w:val="22"/>
        </w:rPr>
        <w:t>DECRETO 1860 DE 2021</w:t>
      </w:r>
      <w:r w:rsidR="00011B68">
        <w:rPr>
          <w:rStyle w:val="normaltextrun"/>
          <w:rFonts w:ascii="Arial" w:hAnsi="Arial" w:cs="Arial"/>
          <w:b/>
          <w:bCs/>
          <w:color w:val="000000"/>
          <w:sz w:val="22"/>
          <w:szCs w:val="22"/>
        </w:rPr>
        <w:t xml:space="preserve"> </w:t>
      </w:r>
      <w:r w:rsidRPr="00DA3080">
        <w:rPr>
          <w:rStyle w:val="normaltextrun"/>
          <w:rFonts w:ascii="Arial" w:hAnsi="Arial" w:cs="Arial"/>
          <w:b/>
          <w:bCs/>
          <w:color w:val="000000"/>
          <w:sz w:val="22"/>
          <w:szCs w:val="22"/>
        </w:rPr>
        <w:t>–</w:t>
      </w:r>
      <w:r w:rsidR="00011B68">
        <w:rPr>
          <w:rStyle w:val="normaltextrun"/>
          <w:rFonts w:ascii="Arial" w:hAnsi="Arial" w:cs="Arial"/>
          <w:b/>
          <w:bCs/>
          <w:color w:val="000000"/>
          <w:sz w:val="22"/>
          <w:szCs w:val="22"/>
        </w:rPr>
        <w:t xml:space="preserve"> </w:t>
      </w:r>
      <w:r w:rsidR="00EC2DC3" w:rsidRPr="00DA3080">
        <w:rPr>
          <w:rStyle w:val="normaltextrun"/>
          <w:rFonts w:ascii="Arial" w:hAnsi="Arial" w:cs="Arial"/>
          <w:b/>
          <w:bCs/>
          <w:color w:val="000000"/>
          <w:sz w:val="22"/>
          <w:szCs w:val="22"/>
        </w:rPr>
        <w:t>Normas reglamentarias – </w:t>
      </w:r>
      <w:r>
        <w:rPr>
          <w:rStyle w:val="normaltextrun"/>
          <w:rFonts w:ascii="Arial" w:hAnsi="Arial" w:cs="Arial"/>
          <w:b/>
          <w:bCs/>
          <w:color w:val="000000"/>
          <w:sz w:val="22"/>
          <w:szCs w:val="22"/>
          <w:lang w:val="es-ES"/>
        </w:rPr>
        <w:t>M</w:t>
      </w:r>
      <w:r w:rsidRPr="00DD7A39">
        <w:rPr>
          <w:rStyle w:val="normaltextrun"/>
          <w:rFonts w:ascii="Arial" w:hAnsi="Arial" w:cs="Arial"/>
          <w:b/>
          <w:bCs/>
          <w:color w:val="000000"/>
          <w:sz w:val="22"/>
          <w:szCs w:val="22"/>
          <w:lang w:val="es-ES"/>
        </w:rPr>
        <w:t>ínima</w:t>
      </w:r>
      <w:r w:rsidRPr="00DA3080">
        <w:rPr>
          <w:rStyle w:val="normaltextrun"/>
          <w:rFonts w:ascii="Arial" w:hAnsi="Arial" w:cs="Arial"/>
          <w:b/>
          <w:bCs/>
          <w:color w:val="000000"/>
          <w:sz w:val="22"/>
          <w:szCs w:val="22"/>
          <w:lang w:val="es-ES"/>
        </w:rPr>
        <w:t xml:space="preserve"> cuantía</w:t>
      </w:r>
      <w:r w:rsidRPr="00DA3080">
        <w:rPr>
          <w:rStyle w:val="normaltextrun"/>
          <w:rFonts w:ascii="Arial" w:hAnsi="Arial" w:cs="Arial"/>
          <w:b/>
          <w:bCs/>
          <w:color w:val="000000"/>
          <w:sz w:val="22"/>
          <w:szCs w:val="22"/>
        </w:rPr>
        <w:t> </w:t>
      </w:r>
      <w:r>
        <w:rPr>
          <w:rStyle w:val="normaltextrun"/>
          <w:rFonts w:ascii="Arial" w:hAnsi="Arial" w:cs="Arial"/>
          <w:b/>
          <w:bCs/>
          <w:color w:val="000000"/>
          <w:sz w:val="22"/>
          <w:szCs w:val="22"/>
        </w:rPr>
        <w:t xml:space="preserve"> </w:t>
      </w:r>
    </w:p>
    <w:p w14:paraId="7DD14434" w14:textId="60328563" w:rsidR="00EC2DC3" w:rsidRDefault="00EC2DC3" w:rsidP="00993CD6">
      <w:pPr>
        <w:tabs>
          <w:tab w:val="left" w:pos="6551"/>
        </w:tabs>
        <w:jc w:val="both"/>
        <w:rPr>
          <w:rFonts w:ascii="Arial" w:eastAsia="Calibri" w:hAnsi="Arial" w:cs="Arial"/>
          <w:b/>
          <w:color w:val="000000" w:themeColor="text1"/>
          <w:sz w:val="22"/>
          <w:lang w:val="es-ES_tradnl"/>
        </w:rPr>
      </w:pPr>
    </w:p>
    <w:p w14:paraId="0D34029B" w14:textId="5CDFAA97" w:rsidR="00EC2DC3" w:rsidRPr="002D0CF8" w:rsidRDefault="006E38D1" w:rsidP="002D0CF8">
      <w:pPr>
        <w:tabs>
          <w:tab w:val="left" w:pos="6551"/>
        </w:tabs>
        <w:jc w:val="both"/>
        <w:rPr>
          <w:rFonts w:ascii="Arial" w:eastAsia="Calibri" w:hAnsi="Arial" w:cs="Arial"/>
          <w:bCs/>
          <w:color w:val="000000" w:themeColor="text1"/>
          <w:sz w:val="20"/>
          <w:szCs w:val="20"/>
        </w:rPr>
      </w:pPr>
      <w:r>
        <w:rPr>
          <w:rFonts w:ascii="Arial" w:eastAsia="Calibri" w:hAnsi="Arial" w:cs="Arial"/>
          <w:color w:val="000000" w:themeColor="text1"/>
          <w:sz w:val="20"/>
          <w:szCs w:val="20"/>
          <w:lang w:val="es-ES_tradnl"/>
        </w:rPr>
        <w:t>E</w:t>
      </w:r>
      <w:r w:rsidR="002D0CF8" w:rsidRPr="002D0CF8">
        <w:rPr>
          <w:rFonts w:ascii="Arial" w:eastAsia="Calibri" w:hAnsi="Arial" w:cs="Arial"/>
          <w:color w:val="000000" w:themeColor="text1"/>
          <w:sz w:val="20"/>
          <w:szCs w:val="20"/>
          <w:lang w:val="es-ES_tradnl"/>
        </w:rPr>
        <w:t xml:space="preserve">l Gobierno Nacional expidió el Decreto 1860 del 24 de diciembre de 2021, </w:t>
      </w:r>
      <w:r w:rsidR="002D0CF8" w:rsidRPr="002D0CF8">
        <w:rPr>
          <w:rFonts w:ascii="Arial" w:eastAsia="Calibri" w:hAnsi="Arial" w:cs="Arial"/>
          <w:bCs/>
          <w:color w:val="000000" w:themeColor="text1"/>
          <w:sz w:val="20"/>
          <w:szCs w:val="20"/>
          <w:lang w:val="es-ES_tradnl"/>
        </w:rPr>
        <w:t xml:space="preserve">«Por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El artículo 8 </w:t>
      </w:r>
      <w:r w:rsidRPr="002D0CF8">
        <w:rPr>
          <w:rFonts w:ascii="Arial" w:eastAsia="Calibri" w:hAnsi="Arial" w:cs="Arial"/>
          <w:bCs/>
          <w:i/>
          <w:iCs/>
          <w:color w:val="000000" w:themeColor="text1"/>
          <w:sz w:val="20"/>
          <w:szCs w:val="20"/>
          <w:lang w:val="es-ES_tradnl"/>
        </w:rPr>
        <w:t>ibídem</w:t>
      </w:r>
      <w:r w:rsidR="002D0CF8" w:rsidRPr="002D0CF8">
        <w:rPr>
          <w:rFonts w:ascii="Arial" w:eastAsia="Calibri" w:hAnsi="Arial" w:cs="Arial"/>
          <w:bCs/>
          <w:color w:val="000000" w:themeColor="text1"/>
          <w:sz w:val="20"/>
          <w:szCs w:val="20"/>
          <w:lang w:val="es-ES_tradnl"/>
        </w:rPr>
        <w:t xml:space="preserve"> sometió a un plazo la </w:t>
      </w:r>
      <w:proofErr w:type="gramStart"/>
      <w:r w:rsidR="002D0CF8" w:rsidRPr="002D0CF8">
        <w:rPr>
          <w:rFonts w:ascii="Arial" w:eastAsia="Calibri" w:hAnsi="Arial" w:cs="Arial"/>
          <w:bCs/>
          <w:color w:val="000000" w:themeColor="text1"/>
          <w:sz w:val="20"/>
          <w:szCs w:val="20"/>
          <w:lang w:val="es-ES_tradnl"/>
        </w:rPr>
        <w:t>entrada en vigencia</w:t>
      </w:r>
      <w:proofErr w:type="gramEnd"/>
      <w:r w:rsidR="002D0CF8" w:rsidRPr="002D0CF8">
        <w:rPr>
          <w:rFonts w:ascii="Arial" w:eastAsia="Calibri" w:hAnsi="Arial" w:cs="Arial"/>
          <w:bCs/>
          <w:color w:val="000000" w:themeColor="text1"/>
          <w:sz w:val="20"/>
          <w:szCs w:val="20"/>
          <w:lang w:val="es-ES_tradnl"/>
        </w:rPr>
        <w:t xml:space="preserve"> de sus disposiciones, al señalar que «aplicarán a los procedimientos de selección cuya invitación, aviso de convocatoria o documento equivalente se publique a los tres (3) meses contados a partir de su expedición»</w:t>
      </w:r>
      <w:r w:rsidR="002D0CF8">
        <w:rPr>
          <w:rFonts w:ascii="Arial" w:eastAsia="Calibri" w:hAnsi="Arial" w:cs="Arial"/>
          <w:bCs/>
          <w:color w:val="000000" w:themeColor="text1"/>
          <w:sz w:val="20"/>
          <w:szCs w:val="20"/>
          <w:vertAlign w:val="superscript"/>
          <w:lang w:val="es-ES_tradnl"/>
        </w:rPr>
        <w:t xml:space="preserve">. </w:t>
      </w:r>
      <w:r w:rsidR="002D0CF8" w:rsidRPr="002D0CF8">
        <w:rPr>
          <w:rFonts w:ascii="Arial" w:eastAsia="Calibri" w:hAnsi="Arial" w:cs="Arial"/>
          <w:bCs/>
          <w:color w:val="000000" w:themeColor="text1"/>
          <w:sz w:val="20"/>
          <w:szCs w:val="20"/>
          <w:lang w:val="es-ES_tradnl"/>
        </w:rPr>
        <w:t>Entre los aspectos reglamentados por el mencionado decreto se encuentra el procedimiento de mínima cuantía. Así las cosas, el artículo 2 modifica la Subsección 5 de la Sección 1 del Capítulo 2 del Título 1 de la Parte 2 del Libro 2 del Decreto 1082 de 2015, que se titula «mínima cuantía», por lo que reglamenta esta modalidad de selección con fundamento en lo establecido en el artículo 30 de la Ley 2069 de 2020</w:t>
      </w:r>
      <w:r w:rsidR="002D0CF8">
        <w:rPr>
          <w:rFonts w:ascii="Arial" w:eastAsia="Calibri" w:hAnsi="Arial" w:cs="Arial"/>
          <w:bCs/>
          <w:color w:val="000000" w:themeColor="text1"/>
          <w:sz w:val="20"/>
          <w:szCs w:val="20"/>
          <w:lang w:val="es-ES_tradnl"/>
        </w:rPr>
        <w:t xml:space="preserve">. </w:t>
      </w:r>
    </w:p>
    <w:p w14:paraId="2A58086E" w14:textId="77777777" w:rsidR="00015BD4" w:rsidRDefault="00015BD4" w:rsidP="00015BD4">
      <w:pPr>
        <w:spacing w:line="276" w:lineRule="auto"/>
        <w:jc w:val="both"/>
        <w:rPr>
          <w:rFonts w:ascii="Arial" w:eastAsia="Calibri" w:hAnsi="Arial" w:cs="Arial"/>
          <w:b/>
          <w:sz w:val="22"/>
          <w:lang w:val="es-ES_tradnl"/>
        </w:rPr>
      </w:pPr>
    </w:p>
    <w:p w14:paraId="1904B6E3" w14:textId="0790AE60" w:rsidR="00993CD6" w:rsidRPr="00A7133F" w:rsidRDefault="00DD7A39" w:rsidP="00993CD6">
      <w:pPr>
        <w:tabs>
          <w:tab w:val="left" w:pos="6551"/>
        </w:tabs>
        <w:jc w:val="both"/>
        <w:rPr>
          <w:rFonts w:ascii="Arial" w:eastAsia="Calibri" w:hAnsi="Arial" w:cs="Arial"/>
          <w:b/>
          <w:color w:val="000000" w:themeColor="text1"/>
          <w:sz w:val="22"/>
          <w:lang w:val="es-ES_tradnl"/>
        </w:rPr>
      </w:pPr>
      <w:r>
        <w:rPr>
          <w:rFonts w:ascii="Arial" w:eastAsia="Calibri" w:hAnsi="Arial" w:cs="Arial"/>
          <w:b/>
          <w:color w:val="000000" w:themeColor="text1"/>
          <w:sz w:val="22"/>
          <w:lang w:val="es-ES_tradnl"/>
        </w:rPr>
        <w:t>CONVOCATORIAS LIMITADAS</w:t>
      </w:r>
      <w:r w:rsidR="00011B68">
        <w:rPr>
          <w:rFonts w:ascii="Arial" w:eastAsia="Calibri" w:hAnsi="Arial" w:cs="Arial"/>
          <w:b/>
          <w:color w:val="000000" w:themeColor="text1"/>
          <w:sz w:val="22"/>
          <w:lang w:val="es-ES_tradnl"/>
        </w:rPr>
        <w:t xml:space="preserve"> </w:t>
      </w:r>
      <w:r w:rsidR="00BD3C3D">
        <w:rPr>
          <w:rFonts w:ascii="Arial" w:eastAsia="Calibri" w:hAnsi="Arial" w:cs="Arial"/>
          <w:b/>
          <w:color w:val="000000" w:themeColor="text1"/>
          <w:sz w:val="22"/>
          <w:lang w:val="es-ES_tradnl"/>
        </w:rPr>
        <w:t xml:space="preserve">A MIPYME </w:t>
      </w:r>
      <w:r w:rsidR="00EC2DC3" w:rsidRPr="00DA3080">
        <w:rPr>
          <w:rStyle w:val="normaltextrun"/>
          <w:rFonts w:ascii="Arial" w:hAnsi="Arial" w:cs="Arial"/>
          <w:b/>
          <w:bCs/>
          <w:color w:val="000000"/>
          <w:sz w:val="22"/>
          <w:szCs w:val="22"/>
        </w:rPr>
        <w:t>–</w:t>
      </w:r>
      <w:r w:rsidR="00EC2DC3">
        <w:rPr>
          <w:rStyle w:val="normaltextrun"/>
          <w:rFonts w:ascii="Arial" w:hAnsi="Arial" w:cs="Arial"/>
          <w:b/>
          <w:bCs/>
          <w:color w:val="000000"/>
          <w:sz w:val="22"/>
          <w:szCs w:val="22"/>
        </w:rPr>
        <w:t xml:space="preserve"> A</w:t>
      </w:r>
      <w:r w:rsidR="00011B68">
        <w:rPr>
          <w:rStyle w:val="normaltextrun"/>
          <w:rFonts w:ascii="Arial" w:hAnsi="Arial" w:cs="Arial"/>
          <w:b/>
          <w:bCs/>
          <w:color w:val="000000"/>
          <w:sz w:val="22"/>
          <w:szCs w:val="22"/>
        </w:rPr>
        <w:t>plicación</w:t>
      </w:r>
      <w:r w:rsidR="00EC2DC3">
        <w:rPr>
          <w:rStyle w:val="normaltextrun"/>
          <w:rFonts w:ascii="Arial" w:hAnsi="Arial" w:cs="Arial"/>
          <w:b/>
          <w:bCs/>
          <w:color w:val="000000"/>
          <w:sz w:val="22"/>
          <w:szCs w:val="22"/>
        </w:rPr>
        <w:t xml:space="preserve"> </w:t>
      </w:r>
      <w:r w:rsidR="00993CD6" w:rsidRPr="00A7133F">
        <w:rPr>
          <w:rFonts w:ascii="Arial" w:eastAsia="Calibri" w:hAnsi="Arial" w:cs="Arial"/>
          <w:b/>
          <w:color w:val="000000" w:themeColor="text1"/>
          <w:sz w:val="22"/>
          <w:lang w:val="es-ES_tradnl"/>
        </w:rPr>
        <w:t xml:space="preserve">  </w:t>
      </w:r>
    </w:p>
    <w:p w14:paraId="64E8F21D" w14:textId="77777777" w:rsidR="00993CD6" w:rsidRPr="00A7133F" w:rsidRDefault="00993CD6" w:rsidP="00993CD6">
      <w:pPr>
        <w:tabs>
          <w:tab w:val="left" w:pos="6551"/>
        </w:tabs>
        <w:spacing w:line="276" w:lineRule="auto"/>
        <w:jc w:val="both"/>
        <w:rPr>
          <w:rFonts w:ascii="Arial" w:hAnsi="Arial" w:cs="Arial"/>
          <w:noProof/>
          <w:color w:val="000000" w:themeColor="text1"/>
          <w:sz w:val="22"/>
          <w:lang w:val="es-ES_tradnl"/>
        </w:rPr>
      </w:pPr>
    </w:p>
    <w:p w14:paraId="501E592E" w14:textId="04AC4E26" w:rsidR="00C80365" w:rsidRPr="00C80365" w:rsidRDefault="00C80365" w:rsidP="00C80365">
      <w:pPr>
        <w:tabs>
          <w:tab w:val="left" w:pos="6551"/>
        </w:tabs>
        <w:jc w:val="both"/>
        <w:rPr>
          <w:rFonts w:ascii="Arial" w:eastAsia="Calibri" w:hAnsi="Arial" w:cs="Arial"/>
          <w:bCs/>
          <w:color w:val="000000" w:themeColor="text1"/>
          <w:sz w:val="20"/>
          <w:szCs w:val="20"/>
        </w:rPr>
      </w:pPr>
      <w:r>
        <w:rPr>
          <w:rFonts w:ascii="Arial" w:eastAsia="Calibri" w:hAnsi="Arial" w:cs="Arial"/>
          <w:bCs/>
          <w:color w:val="000000" w:themeColor="text1"/>
          <w:sz w:val="20"/>
          <w:szCs w:val="20"/>
          <w:lang w:val="es-ES_tradnl"/>
        </w:rPr>
        <w:t>E</w:t>
      </w:r>
      <w:r w:rsidRPr="00C80365">
        <w:rPr>
          <w:rFonts w:ascii="Arial" w:eastAsia="Calibri" w:hAnsi="Arial" w:cs="Arial"/>
          <w:bCs/>
          <w:color w:val="000000" w:themeColor="text1"/>
          <w:sz w:val="20"/>
          <w:szCs w:val="20"/>
          <w:lang w:val="es-ES_tradnl"/>
        </w:rPr>
        <w:t xml:space="preserve">l artículo 5 del Decreto 1860 de 2021 modificó </w:t>
      </w:r>
      <w:r w:rsidRPr="00C80365">
        <w:rPr>
          <w:rFonts w:ascii="Arial" w:eastAsia="Calibri" w:hAnsi="Arial" w:cs="Arial"/>
          <w:bCs/>
          <w:color w:val="000000" w:themeColor="text1"/>
          <w:sz w:val="20"/>
          <w:szCs w:val="20"/>
        </w:rPr>
        <w:t>los artículos 2.2.1.2.4.2.2., 2.2.1.2.4.2.3. y 2.2.1.2.4.2.4. de la Subsección 2 de la Sección 4 del Capítulo 2 del Título 1 de la Parte 2 del Libro 2 del Decreto 1082 de 2015, reglamentando</w:t>
      </w:r>
      <w:r w:rsidRPr="00C80365">
        <w:rPr>
          <w:rFonts w:ascii="Arial" w:eastAsia="Calibri" w:hAnsi="Arial" w:cs="Arial"/>
          <w:bCs/>
          <w:color w:val="000000" w:themeColor="text1"/>
          <w:sz w:val="20"/>
          <w:szCs w:val="20"/>
          <w:lang w:val="es-ES_tradnl"/>
        </w:rPr>
        <w:t xml:space="preserve"> las convocatorias limitadas a Mipyme, con fundamento en lo establecido en el artículo 34 de la Ley 2069 de 2020. Esta nueva Subsección 2 contempla los siguientes aspectos: i) requisitos para limitar la convocatoria de los </w:t>
      </w:r>
      <w:r w:rsidRPr="00C80365">
        <w:rPr>
          <w:rFonts w:ascii="Arial" w:eastAsia="Calibri" w:hAnsi="Arial" w:cs="Arial"/>
          <w:bCs/>
          <w:color w:val="000000" w:themeColor="text1"/>
          <w:sz w:val="20"/>
          <w:szCs w:val="20"/>
        </w:rPr>
        <w:t>procesos de contratación con pluralidad de oferentes</w:t>
      </w:r>
      <w:r w:rsidRPr="00C80365">
        <w:rPr>
          <w:rFonts w:ascii="Arial" w:eastAsia="Calibri" w:hAnsi="Arial" w:cs="Arial"/>
          <w:bCs/>
          <w:color w:val="000000" w:themeColor="text1"/>
          <w:sz w:val="20"/>
          <w:szCs w:val="20"/>
          <w:lang w:val="es-ES_tradnl"/>
        </w:rPr>
        <w:t xml:space="preserve"> a las Mipyme colombianas con mínimo un (1) año de existencia – artículo </w:t>
      </w:r>
      <w:r w:rsidRPr="00C80365">
        <w:rPr>
          <w:rFonts w:ascii="Arial" w:eastAsia="Calibri" w:hAnsi="Arial" w:cs="Arial"/>
          <w:bCs/>
          <w:color w:val="000000" w:themeColor="text1"/>
          <w:sz w:val="20"/>
          <w:szCs w:val="20"/>
        </w:rPr>
        <w:t>2.2.1.2.4.2.2-</w:t>
      </w:r>
      <w:r w:rsidRPr="00C80365">
        <w:rPr>
          <w:rFonts w:ascii="Arial" w:eastAsia="Calibri" w:hAnsi="Arial" w:cs="Arial"/>
          <w:bCs/>
          <w:color w:val="000000" w:themeColor="text1"/>
          <w:sz w:val="20"/>
          <w:szCs w:val="20"/>
          <w:lang w:val="es-ES_tradnl"/>
        </w:rPr>
        <w:t xml:space="preserve"> , ii) desarrolla las </w:t>
      </w:r>
      <w:r w:rsidRPr="00C80365">
        <w:rPr>
          <w:rFonts w:ascii="Arial" w:eastAsia="Calibri" w:hAnsi="Arial" w:cs="Arial"/>
          <w:bCs/>
          <w:color w:val="000000" w:themeColor="text1"/>
          <w:sz w:val="20"/>
          <w:szCs w:val="20"/>
        </w:rPr>
        <w:t>convocatorias limitadas a Mipyme colombianas que tengan domicilio en los departamentos o municipios en donde se va a ejecutar el contrato – artículo 2.2.1.2.4.2.3.,</w:t>
      </w:r>
      <w:r w:rsidRPr="00C80365">
        <w:rPr>
          <w:rFonts w:ascii="Arial" w:eastAsia="Calibri" w:hAnsi="Arial" w:cs="Arial"/>
          <w:bCs/>
          <w:color w:val="000000" w:themeColor="text1"/>
          <w:sz w:val="20"/>
          <w:szCs w:val="20"/>
          <w:lang w:val="es-ES_tradnl"/>
        </w:rPr>
        <w:t xml:space="preserve"> y iii) </w:t>
      </w:r>
      <w:r w:rsidRPr="00C80365">
        <w:rPr>
          <w:rFonts w:ascii="Arial" w:eastAsia="Calibri" w:hAnsi="Arial" w:cs="Arial"/>
          <w:bCs/>
          <w:color w:val="000000" w:themeColor="text1"/>
          <w:sz w:val="20"/>
          <w:szCs w:val="20"/>
        </w:rPr>
        <w:t>regula la acreditación de requisitos para participar en convocatorias limitadas – artículo 2.2.1.2.4.2.4-</w:t>
      </w:r>
      <w:r>
        <w:rPr>
          <w:rFonts w:ascii="Arial" w:eastAsia="Calibri" w:hAnsi="Arial" w:cs="Arial"/>
          <w:bCs/>
          <w:color w:val="000000" w:themeColor="text1"/>
          <w:sz w:val="20"/>
          <w:szCs w:val="20"/>
        </w:rPr>
        <w:t xml:space="preserve">. </w:t>
      </w:r>
      <w:r w:rsidRPr="00C80365">
        <w:rPr>
          <w:rFonts w:ascii="Arial" w:eastAsia="Calibri" w:hAnsi="Arial" w:cs="Arial"/>
          <w:bCs/>
          <w:color w:val="000000" w:themeColor="text1"/>
          <w:sz w:val="20"/>
          <w:szCs w:val="20"/>
          <w:lang w:val="es-ES_tradnl"/>
        </w:rPr>
        <w:t>De esta manera, el artículo 5 del Decreto 1860 de 2021, que modifica los artículos del Decreto 1082 de 2015 expuestos en el párrafo anterior, constituye la nueva reglamentación del artículo 34 de la Ley 2069 de 2020, al desarrollar las reglas aplicables a las convocatorias limitadas a Mipyme, disposición que entró a regir desde el pasado 24 de marzo de 2022, pues, como se indicó, el artículo 8 de dicho decreto sometió su vigencia al transcurso del periodo de 3 meses siguientes a su expedición.</w:t>
      </w:r>
    </w:p>
    <w:p w14:paraId="3B5B4232" w14:textId="77777777" w:rsidR="00993CD6" w:rsidRPr="00A7133F" w:rsidRDefault="00993CD6" w:rsidP="00993CD6">
      <w:pPr>
        <w:tabs>
          <w:tab w:val="left" w:pos="6551"/>
        </w:tabs>
        <w:jc w:val="both"/>
        <w:rPr>
          <w:rFonts w:ascii="Arial" w:eastAsia="Calibri" w:hAnsi="Arial" w:cs="Arial"/>
          <w:b/>
          <w:color w:val="000000" w:themeColor="text1"/>
          <w:sz w:val="22"/>
          <w:lang w:val="es-ES_tradnl"/>
        </w:rPr>
      </w:pPr>
    </w:p>
    <w:p w14:paraId="7E1F4C1D" w14:textId="10BE3ECE" w:rsidR="004753F5" w:rsidRPr="00A7133F" w:rsidRDefault="004753F5" w:rsidP="004753F5">
      <w:pPr>
        <w:tabs>
          <w:tab w:val="left" w:pos="6551"/>
        </w:tabs>
        <w:jc w:val="both"/>
        <w:rPr>
          <w:rFonts w:ascii="Arial" w:eastAsia="Calibri" w:hAnsi="Arial" w:cs="Arial"/>
          <w:b/>
          <w:color w:val="000000" w:themeColor="text1"/>
          <w:sz w:val="22"/>
          <w:lang w:val="es-ES_tradnl"/>
        </w:rPr>
      </w:pPr>
      <w:r w:rsidRPr="004B589F">
        <w:rPr>
          <w:rFonts w:ascii="Arial" w:eastAsia="Calibri" w:hAnsi="Arial" w:cs="Arial"/>
          <w:b/>
          <w:color w:val="000000" w:themeColor="text1"/>
          <w:sz w:val="22"/>
          <w:lang w:val="es-ES_tradnl"/>
        </w:rPr>
        <w:t xml:space="preserve">CONVOCATORIAS LIMITADAS A MIPYME </w:t>
      </w:r>
      <w:r w:rsidRPr="004B589F">
        <w:rPr>
          <w:rStyle w:val="normaltextrun"/>
          <w:rFonts w:ascii="Arial" w:hAnsi="Arial" w:cs="Arial"/>
          <w:b/>
          <w:bCs/>
          <w:color w:val="000000"/>
          <w:sz w:val="22"/>
          <w:szCs w:val="22"/>
        </w:rPr>
        <w:t xml:space="preserve">– Limitación territorial – </w:t>
      </w:r>
      <w:r w:rsidRPr="004B589F">
        <w:rPr>
          <w:rFonts w:ascii="Arial" w:eastAsia="Calibri" w:hAnsi="Arial" w:cs="Arial"/>
          <w:b/>
          <w:color w:val="000000" w:themeColor="text1"/>
          <w:sz w:val="22"/>
          <w:lang w:val="es-ES_tradnl"/>
        </w:rPr>
        <w:t xml:space="preserve">Facultativa </w:t>
      </w:r>
      <w:r w:rsidRPr="004B589F">
        <w:rPr>
          <w:rStyle w:val="normaltextrun"/>
          <w:rFonts w:ascii="Arial" w:hAnsi="Arial" w:cs="Arial"/>
          <w:b/>
          <w:bCs/>
          <w:color w:val="000000"/>
          <w:sz w:val="22"/>
          <w:szCs w:val="22"/>
        </w:rPr>
        <w:t>–</w:t>
      </w:r>
      <w:r w:rsidRPr="004B589F">
        <w:rPr>
          <w:rFonts w:ascii="Arial" w:eastAsia="Calibri" w:hAnsi="Arial" w:cs="Arial"/>
          <w:b/>
          <w:color w:val="000000" w:themeColor="text1"/>
          <w:sz w:val="22"/>
          <w:lang w:val="es-ES_tradnl"/>
        </w:rPr>
        <w:t xml:space="preserve"> Requisitos</w:t>
      </w:r>
    </w:p>
    <w:p w14:paraId="2ED87DC9" w14:textId="425E50ED" w:rsidR="008D1519" w:rsidRDefault="008D1519" w:rsidP="00C118DB">
      <w:pPr>
        <w:spacing w:line="276" w:lineRule="auto"/>
        <w:jc w:val="both"/>
        <w:rPr>
          <w:rFonts w:ascii="Arial" w:eastAsia="Calibri" w:hAnsi="Arial" w:cs="Arial"/>
          <w:b/>
          <w:color w:val="000000" w:themeColor="text1"/>
          <w:sz w:val="22"/>
          <w:lang w:val="es-ES_tradnl"/>
        </w:rPr>
      </w:pPr>
    </w:p>
    <w:p w14:paraId="6BF58EA9" w14:textId="5FF16713" w:rsidR="004753F5" w:rsidRDefault="004753F5" w:rsidP="004753F5">
      <w:pPr>
        <w:tabs>
          <w:tab w:val="left" w:pos="6551"/>
        </w:tabs>
        <w:jc w:val="both"/>
        <w:rPr>
          <w:rFonts w:ascii="Arial" w:eastAsia="Calibri" w:hAnsi="Arial" w:cs="Arial"/>
          <w:bCs/>
          <w:color w:val="000000" w:themeColor="text1"/>
          <w:sz w:val="20"/>
          <w:szCs w:val="20"/>
          <w:lang w:val="es-ES_tradnl"/>
        </w:rPr>
      </w:pPr>
      <w:r w:rsidRPr="004753F5">
        <w:rPr>
          <w:rFonts w:ascii="Arial" w:eastAsia="Calibri" w:hAnsi="Arial" w:cs="Arial"/>
          <w:bCs/>
          <w:color w:val="000000" w:themeColor="text1"/>
          <w:sz w:val="20"/>
          <w:szCs w:val="20"/>
          <w:lang w:val="es-ES_tradnl"/>
        </w:rPr>
        <w:t xml:space="preserve">Sin perjuicio de lo anterior, no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w:t>
      </w:r>
      <w:r w:rsidR="00B942FC" w:rsidRPr="004753F5">
        <w:rPr>
          <w:rFonts w:ascii="Arial" w:eastAsia="Calibri" w:hAnsi="Arial" w:cs="Arial"/>
          <w:bCs/>
          <w:color w:val="000000" w:themeColor="text1"/>
          <w:sz w:val="20"/>
          <w:szCs w:val="20"/>
          <w:lang w:val="es-ES_tradnl"/>
        </w:rPr>
        <w:t>2021.</w:t>
      </w:r>
      <w:r w:rsidRPr="004753F5">
        <w:rPr>
          <w:rFonts w:ascii="Arial" w:eastAsia="Calibri" w:hAnsi="Arial" w:cs="Arial"/>
          <w:bCs/>
          <w:color w:val="000000" w:themeColor="text1"/>
          <w:sz w:val="20"/>
          <w:szCs w:val="20"/>
          <w:lang w:val="es-ES_tradnl"/>
        </w:rPr>
        <w:t xml:space="preserve"> En ese sentido, si la entidad no recibió las solicitudes para limitar la convocatoria a Mipyme, no puede motu proprio 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1437EBC5" w14:textId="6F3E6241" w:rsidR="004753F5" w:rsidRDefault="004753F5" w:rsidP="004753F5">
      <w:pPr>
        <w:tabs>
          <w:tab w:val="left" w:pos="6551"/>
        </w:tabs>
        <w:jc w:val="both"/>
        <w:rPr>
          <w:rFonts w:ascii="Arial" w:eastAsia="Calibri" w:hAnsi="Arial" w:cs="Arial"/>
          <w:bCs/>
          <w:color w:val="000000" w:themeColor="text1"/>
          <w:sz w:val="20"/>
          <w:szCs w:val="20"/>
          <w:lang w:val="es-ES_tradnl"/>
        </w:rPr>
      </w:pPr>
    </w:p>
    <w:p w14:paraId="474C4276" w14:textId="280CC416" w:rsidR="004753F5" w:rsidRDefault="004753F5" w:rsidP="004753F5">
      <w:pPr>
        <w:tabs>
          <w:tab w:val="left" w:pos="6551"/>
        </w:tabs>
        <w:jc w:val="both"/>
        <w:rPr>
          <w:rFonts w:ascii="Arial" w:eastAsia="Calibri" w:hAnsi="Arial" w:cs="Arial"/>
          <w:bCs/>
          <w:color w:val="000000" w:themeColor="text1"/>
          <w:sz w:val="20"/>
          <w:szCs w:val="20"/>
          <w:lang w:val="es-ES_tradnl"/>
        </w:rPr>
      </w:pPr>
      <w:r>
        <w:rPr>
          <w:rFonts w:ascii="Arial" w:eastAsia="Calibri" w:hAnsi="Arial" w:cs="Arial"/>
          <w:bCs/>
          <w:color w:val="000000" w:themeColor="text1"/>
          <w:sz w:val="20"/>
          <w:szCs w:val="20"/>
          <w:lang w:val="es-ES_tradnl"/>
        </w:rPr>
        <w:t>[…]</w:t>
      </w:r>
    </w:p>
    <w:p w14:paraId="59A89C69" w14:textId="77777777" w:rsidR="00AD3693" w:rsidRPr="00AD3693" w:rsidRDefault="00AD3693" w:rsidP="00AD3693">
      <w:pPr>
        <w:tabs>
          <w:tab w:val="left" w:pos="6551"/>
        </w:tabs>
        <w:jc w:val="both"/>
        <w:rPr>
          <w:rFonts w:ascii="Arial" w:eastAsia="Calibri" w:hAnsi="Arial" w:cs="Arial"/>
          <w:bCs/>
          <w:color w:val="000000" w:themeColor="text1"/>
          <w:sz w:val="20"/>
          <w:szCs w:val="20"/>
          <w:lang w:val="es-ES_tradnl"/>
        </w:rPr>
      </w:pPr>
      <w:r w:rsidRPr="00AD3693">
        <w:rPr>
          <w:rFonts w:ascii="Arial" w:eastAsia="Calibri" w:hAnsi="Arial" w:cs="Arial"/>
          <w:bCs/>
          <w:color w:val="000000" w:themeColor="text1"/>
          <w:sz w:val="20"/>
          <w:szCs w:val="20"/>
          <w:lang w:val="es-ES_tradnl"/>
        </w:rPr>
        <w:lastRenderedPageBreak/>
        <w:t xml:space="preserve">En tal sentido, debe tenerse presente que lo que sucede de pleno derecho es la limitación a Mipyme colombianas a la que se refiere el artículo 2.2.1.2.4.2.2. del Decreto 1082 de 2015, pero no la «limitación territorial» referida en el artículo 2.2.1.2.4.2.3. ibídem, pues esta, como ya se dijo, es facultativa para la entidad. Las únicas exigencias son que la convocatoria esté limitada a las Mipyme colombianas «domiciliadas en los departamentos o municipios en donde se va a ejecutar el contrato» y que la entidad justifique su decisión en los «estudios del sector». No es procedente, entonces, que sean las Mipymes las que soliciten la «limitación territorial» a la que se refiere el artículo 2.2.1.2.4.2.3. del Decreto 1082 de 2015. </w:t>
      </w:r>
    </w:p>
    <w:p w14:paraId="34854655" w14:textId="45469031" w:rsidR="00AD3693" w:rsidRDefault="00AD3693" w:rsidP="00AD3693">
      <w:pPr>
        <w:tabs>
          <w:tab w:val="left" w:pos="6551"/>
        </w:tabs>
        <w:jc w:val="both"/>
        <w:rPr>
          <w:rFonts w:ascii="Arial" w:eastAsia="Calibri" w:hAnsi="Arial" w:cs="Arial"/>
          <w:bCs/>
          <w:color w:val="000000" w:themeColor="text1"/>
          <w:sz w:val="20"/>
          <w:szCs w:val="20"/>
          <w:lang w:val="es-ES_tradnl"/>
        </w:rPr>
      </w:pPr>
      <w:r w:rsidRPr="00AD3693">
        <w:rPr>
          <w:rFonts w:ascii="Arial" w:eastAsia="Calibri" w:hAnsi="Arial" w:cs="Arial"/>
          <w:bCs/>
          <w:color w:val="000000" w:themeColor="text1"/>
          <w:sz w:val="20"/>
          <w:szCs w:val="20"/>
          <w:lang w:val="es-ES_tradnl"/>
        </w:rPr>
        <w:t>De esta manera, debe reiterarse que el origen de las Mipyme que solicitan la «limitación territorial» no es relevante frente a dicha decisión, por dos razones: primero, porque las Mipyme no están habilitadas para pedir la «limitación territorial», lo están para pedir la «convocatoria limitada a Mipymes», y, segundo, porque el único criterio a tener en cuenta, una vez se ha decidido justificadamente limitar territorialmente la convocatoria previamente limitada a Mipyme, es el lugar donde se va a ejecutar el contrato.</w:t>
      </w:r>
    </w:p>
    <w:p w14:paraId="3F167367" w14:textId="5B561AD2" w:rsidR="00AD3693" w:rsidRDefault="00AD3693" w:rsidP="00AD3693">
      <w:pPr>
        <w:tabs>
          <w:tab w:val="left" w:pos="6551"/>
        </w:tabs>
        <w:jc w:val="both"/>
        <w:rPr>
          <w:rFonts w:ascii="Arial" w:eastAsia="Calibri" w:hAnsi="Arial" w:cs="Arial"/>
          <w:bCs/>
          <w:color w:val="000000" w:themeColor="text1"/>
          <w:sz w:val="20"/>
          <w:szCs w:val="20"/>
          <w:lang w:val="es-ES_tradnl"/>
        </w:rPr>
      </w:pPr>
    </w:p>
    <w:p w14:paraId="4F2853EA" w14:textId="538632A9" w:rsidR="00AD3693" w:rsidRPr="00A7133F" w:rsidRDefault="00AD3693" w:rsidP="00AD3693">
      <w:pPr>
        <w:tabs>
          <w:tab w:val="left" w:pos="6551"/>
        </w:tabs>
        <w:jc w:val="both"/>
        <w:rPr>
          <w:rFonts w:ascii="Arial" w:eastAsia="Calibri" w:hAnsi="Arial" w:cs="Arial"/>
          <w:b/>
          <w:color w:val="000000" w:themeColor="text1"/>
          <w:sz w:val="22"/>
          <w:lang w:val="es-ES_tradnl"/>
        </w:rPr>
      </w:pPr>
      <w:r>
        <w:rPr>
          <w:rFonts w:ascii="Arial" w:eastAsia="Calibri" w:hAnsi="Arial" w:cs="Arial"/>
          <w:b/>
          <w:color w:val="000000" w:themeColor="text1"/>
          <w:sz w:val="22"/>
          <w:lang w:val="es-ES_tradnl"/>
        </w:rPr>
        <w:t xml:space="preserve">CONVOCATORIAS LIMITADAS A MIPYME </w:t>
      </w:r>
      <w:r w:rsidRPr="00DA3080">
        <w:rPr>
          <w:rStyle w:val="normaltextrun"/>
          <w:rFonts w:ascii="Arial" w:hAnsi="Arial" w:cs="Arial"/>
          <w:b/>
          <w:bCs/>
          <w:color w:val="000000"/>
          <w:sz w:val="22"/>
          <w:szCs w:val="22"/>
        </w:rPr>
        <w:t>–</w:t>
      </w:r>
      <w:r>
        <w:rPr>
          <w:rStyle w:val="normaltextrun"/>
          <w:rFonts w:ascii="Arial" w:hAnsi="Arial" w:cs="Arial"/>
          <w:b/>
          <w:bCs/>
          <w:color w:val="000000"/>
          <w:sz w:val="22"/>
          <w:szCs w:val="22"/>
        </w:rPr>
        <w:t xml:space="preserve"> Limitación territorial </w:t>
      </w:r>
      <w:r w:rsidRPr="00DA3080">
        <w:rPr>
          <w:rStyle w:val="normaltextrun"/>
          <w:rFonts w:ascii="Arial" w:hAnsi="Arial" w:cs="Arial"/>
          <w:b/>
          <w:bCs/>
          <w:color w:val="000000"/>
          <w:sz w:val="22"/>
          <w:szCs w:val="22"/>
        </w:rPr>
        <w:t>–</w:t>
      </w:r>
      <w:r>
        <w:rPr>
          <w:rStyle w:val="normaltextrun"/>
          <w:rFonts w:ascii="Arial" w:hAnsi="Arial" w:cs="Arial"/>
          <w:b/>
          <w:bCs/>
          <w:color w:val="000000"/>
          <w:sz w:val="22"/>
          <w:szCs w:val="22"/>
        </w:rPr>
        <w:t xml:space="preserve"> </w:t>
      </w:r>
      <w:r>
        <w:rPr>
          <w:rFonts w:ascii="Arial" w:eastAsia="Calibri" w:hAnsi="Arial" w:cs="Arial"/>
          <w:b/>
          <w:color w:val="000000" w:themeColor="text1"/>
          <w:sz w:val="22"/>
          <w:lang w:val="es-ES_tradnl"/>
        </w:rPr>
        <w:t xml:space="preserve">Alcance – Domicilio – Ámbito territorial – Objeto </w:t>
      </w:r>
      <w:r w:rsidR="00597BC8">
        <w:rPr>
          <w:rFonts w:ascii="Arial" w:eastAsia="Calibri" w:hAnsi="Arial" w:cs="Arial"/>
          <w:b/>
          <w:color w:val="000000" w:themeColor="text1"/>
          <w:sz w:val="22"/>
          <w:lang w:val="es-ES_tradnl"/>
        </w:rPr>
        <w:t>contractual</w:t>
      </w:r>
    </w:p>
    <w:p w14:paraId="114FD36B" w14:textId="3E6E5D47" w:rsidR="00AD3693" w:rsidRDefault="00AD3693" w:rsidP="00AD3693">
      <w:pPr>
        <w:tabs>
          <w:tab w:val="left" w:pos="6551"/>
        </w:tabs>
        <w:jc w:val="both"/>
        <w:rPr>
          <w:rFonts w:ascii="Arial" w:eastAsia="Calibri" w:hAnsi="Arial" w:cs="Arial"/>
          <w:bCs/>
          <w:color w:val="000000" w:themeColor="text1"/>
          <w:sz w:val="20"/>
          <w:szCs w:val="20"/>
          <w:lang w:val="es-ES_tradnl"/>
        </w:rPr>
      </w:pPr>
    </w:p>
    <w:p w14:paraId="2AFD497B" w14:textId="77777777" w:rsidR="00AD3693" w:rsidRPr="00AD3693" w:rsidRDefault="00AD3693" w:rsidP="00AD3693">
      <w:pPr>
        <w:tabs>
          <w:tab w:val="left" w:pos="6551"/>
        </w:tabs>
        <w:jc w:val="both"/>
        <w:rPr>
          <w:rFonts w:ascii="Arial" w:eastAsia="Calibri" w:hAnsi="Arial" w:cs="Arial"/>
          <w:bCs/>
          <w:color w:val="000000" w:themeColor="text1"/>
          <w:sz w:val="20"/>
          <w:szCs w:val="20"/>
          <w:lang w:val="es-ES_tradnl"/>
        </w:rPr>
      </w:pPr>
    </w:p>
    <w:p w14:paraId="77E7EAB7" w14:textId="77777777" w:rsidR="00AD3693" w:rsidRPr="00AD3693" w:rsidRDefault="00AD3693" w:rsidP="00AD3693">
      <w:pPr>
        <w:tabs>
          <w:tab w:val="left" w:pos="6551"/>
        </w:tabs>
        <w:jc w:val="both"/>
        <w:rPr>
          <w:rFonts w:ascii="Arial" w:eastAsia="Calibri" w:hAnsi="Arial" w:cs="Arial"/>
          <w:bCs/>
          <w:color w:val="000000" w:themeColor="text1"/>
          <w:sz w:val="20"/>
          <w:szCs w:val="20"/>
          <w:lang w:val="es-ES_tradnl"/>
        </w:rPr>
      </w:pPr>
      <w:r w:rsidRPr="00AD3693">
        <w:rPr>
          <w:rFonts w:ascii="Arial" w:eastAsia="Calibri" w:hAnsi="Arial" w:cs="Arial"/>
          <w:bCs/>
          <w:color w:val="000000" w:themeColor="text1"/>
          <w:sz w:val="20"/>
          <w:szCs w:val="20"/>
          <w:lang w:val="es-ES_tradnl"/>
        </w:rPr>
        <w:t xml:space="preserve">En todo caso, la facultad de limitar convocatorias territorialmente en favor de las Mipymes con domicilio en un municipio en un departamento específico debe ejercerse por las entidades estatales dentro del marco de lo regulado por el artículo 2.2.1.2.4.2.3 ejusdem, el cual establece como presupuesto para que las Mipymes tengan su domicilio en el lugar en donde se va a ejecutar el contrato. En ese sentido, en el marco de estas convocatorias, la exigibilidad de que el domicilio de las Mipymes se ubique en un único municipio en particular o en alguno de los municipios que conforman un departamento en concreto, depende del ámbito territorial en el que se va a desarrollar el objeto contractual. </w:t>
      </w:r>
    </w:p>
    <w:p w14:paraId="13DB0CE6" w14:textId="274B75F1" w:rsidR="008D1519" w:rsidRPr="004753F5" w:rsidRDefault="00AD3693" w:rsidP="004753F5">
      <w:pPr>
        <w:tabs>
          <w:tab w:val="left" w:pos="6551"/>
        </w:tabs>
        <w:jc w:val="both"/>
        <w:rPr>
          <w:rFonts w:ascii="Arial" w:eastAsia="Calibri" w:hAnsi="Arial" w:cs="Arial"/>
          <w:bCs/>
          <w:color w:val="000000" w:themeColor="text1"/>
          <w:sz w:val="20"/>
          <w:szCs w:val="20"/>
          <w:lang w:val="es-ES_tradnl"/>
        </w:rPr>
      </w:pPr>
      <w:r w:rsidRPr="00AD3693">
        <w:rPr>
          <w:rFonts w:ascii="Arial" w:eastAsia="Calibri" w:hAnsi="Arial" w:cs="Arial"/>
          <w:bCs/>
          <w:color w:val="000000" w:themeColor="text1"/>
          <w:sz w:val="20"/>
          <w:szCs w:val="20"/>
          <w:lang w:val="es-ES_tradnl"/>
        </w:rPr>
        <w:t xml:space="preserve">Conforme a lo anterior, sí un contrato se va a ejecutar en un único municipio, las Mipymes que participen la convocatoria limitada por el factor territorial deberán tener su domicilio principal en dicha entidad territorial.  Asimismo, tratándose de un contrato cuya ejecución deberá desplegarse en el ámbito departamental, habiéndose limitado la convocatoria según lo dispuesto en el artículo 2.2.1.2.4.2.3, podrán participar Mipymes cuyos domicilios se encuentren establecidos en alguno de los municipios que conforman el departamento en el que se va a ejecutar el contrato.   </w:t>
      </w:r>
    </w:p>
    <w:p w14:paraId="4050D9B9" w14:textId="78BD61AD" w:rsidR="008D1519" w:rsidRPr="004753F5" w:rsidRDefault="008D1519" w:rsidP="004753F5">
      <w:pPr>
        <w:tabs>
          <w:tab w:val="left" w:pos="6551"/>
        </w:tabs>
        <w:jc w:val="both"/>
        <w:rPr>
          <w:rFonts w:ascii="Arial" w:eastAsia="Calibri" w:hAnsi="Arial" w:cs="Arial"/>
          <w:bCs/>
          <w:color w:val="000000" w:themeColor="text1"/>
          <w:sz w:val="20"/>
          <w:szCs w:val="20"/>
          <w:lang w:val="es-ES_tradnl"/>
        </w:rPr>
      </w:pPr>
    </w:p>
    <w:p w14:paraId="14591107" w14:textId="37EEF1AA" w:rsidR="008D1519" w:rsidRDefault="008D1519" w:rsidP="00C118DB">
      <w:pPr>
        <w:spacing w:line="276" w:lineRule="auto"/>
        <w:jc w:val="both"/>
        <w:rPr>
          <w:rFonts w:ascii="Arial" w:eastAsia="Calibri" w:hAnsi="Arial" w:cs="Arial"/>
          <w:b/>
          <w:color w:val="000000" w:themeColor="text1"/>
          <w:sz w:val="22"/>
          <w:lang w:val="es-ES_tradnl"/>
        </w:rPr>
      </w:pPr>
    </w:p>
    <w:p w14:paraId="64B9E278" w14:textId="4A31FC05" w:rsidR="008D1519" w:rsidRDefault="008D1519" w:rsidP="00C118DB">
      <w:pPr>
        <w:spacing w:line="276" w:lineRule="auto"/>
        <w:jc w:val="both"/>
        <w:rPr>
          <w:rFonts w:ascii="Arial" w:eastAsia="Calibri" w:hAnsi="Arial" w:cs="Arial"/>
          <w:b/>
          <w:color w:val="000000" w:themeColor="text1"/>
          <w:sz w:val="22"/>
          <w:lang w:val="es-ES_tradnl"/>
        </w:rPr>
      </w:pPr>
    </w:p>
    <w:p w14:paraId="7A9E3144" w14:textId="21D4FBA9" w:rsidR="008D1519" w:rsidRDefault="008D1519" w:rsidP="00C118DB">
      <w:pPr>
        <w:spacing w:line="276" w:lineRule="auto"/>
        <w:jc w:val="both"/>
        <w:rPr>
          <w:rFonts w:ascii="Arial" w:eastAsia="Calibri" w:hAnsi="Arial" w:cs="Arial"/>
          <w:b/>
          <w:color w:val="000000" w:themeColor="text1"/>
          <w:sz w:val="22"/>
          <w:lang w:val="es-ES_tradnl"/>
        </w:rPr>
      </w:pPr>
    </w:p>
    <w:p w14:paraId="02C742E9" w14:textId="315EA72F" w:rsidR="008D1519" w:rsidRDefault="008D1519" w:rsidP="00C118DB">
      <w:pPr>
        <w:spacing w:line="276" w:lineRule="auto"/>
        <w:jc w:val="both"/>
        <w:rPr>
          <w:rFonts w:ascii="Arial" w:eastAsia="Calibri" w:hAnsi="Arial" w:cs="Arial"/>
          <w:b/>
          <w:color w:val="000000" w:themeColor="text1"/>
          <w:sz w:val="22"/>
          <w:lang w:val="es-ES_tradnl"/>
        </w:rPr>
      </w:pPr>
    </w:p>
    <w:p w14:paraId="174074F2" w14:textId="1ED31B3E" w:rsidR="008D1519" w:rsidRDefault="008D1519" w:rsidP="00C118DB">
      <w:pPr>
        <w:spacing w:line="276" w:lineRule="auto"/>
        <w:jc w:val="both"/>
        <w:rPr>
          <w:rFonts w:ascii="Arial" w:eastAsia="Calibri" w:hAnsi="Arial" w:cs="Arial"/>
          <w:b/>
          <w:color w:val="000000" w:themeColor="text1"/>
          <w:sz w:val="22"/>
          <w:lang w:val="es-ES_tradnl"/>
        </w:rPr>
      </w:pPr>
    </w:p>
    <w:p w14:paraId="23C8DD43" w14:textId="6BDD0E9B" w:rsidR="008D1519" w:rsidRDefault="008D1519" w:rsidP="00C118DB">
      <w:pPr>
        <w:spacing w:line="276" w:lineRule="auto"/>
        <w:jc w:val="both"/>
        <w:rPr>
          <w:rFonts w:ascii="Arial" w:eastAsia="Calibri" w:hAnsi="Arial" w:cs="Arial"/>
          <w:b/>
          <w:color w:val="000000" w:themeColor="text1"/>
          <w:sz w:val="22"/>
          <w:lang w:val="es-ES_tradnl"/>
        </w:rPr>
      </w:pPr>
    </w:p>
    <w:p w14:paraId="601AFA82" w14:textId="0609487D" w:rsidR="008D1519" w:rsidRDefault="008D1519" w:rsidP="00C118DB">
      <w:pPr>
        <w:spacing w:line="276" w:lineRule="auto"/>
        <w:jc w:val="both"/>
        <w:rPr>
          <w:rFonts w:ascii="Arial" w:eastAsia="Calibri" w:hAnsi="Arial" w:cs="Arial"/>
          <w:b/>
          <w:color w:val="000000" w:themeColor="text1"/>
          <w:sz w:val="22"/>
          <w:lang w:val="es-ES_tradnl"/>
        </w:rPr>
      </w:pPr>
    </w:p>
    <w:p w14:paraId="4F948A0C" w14:textId="47EEF781" w:rsidR="008D1519" w:rsidRDefault="008D1519" w:rsidP="00C118DB">
      <w:pPr>
        <w:spacing w:line="276" w:lineRule="auto"/>
        <w:jc w:val="both"/>
        <w:rPr>
          <w:rFonts w:ascii="Arial" w:eastAsia="Calibri" w:hAnsi="Arial" w:cs="Arial"/>
          <w:b/>
          <w:sz w:val="22"/>
          <w:lang w:val="es-ES_tradnl"/>
        </w:rPr>
      </w:pPr>
    </w:p>
    <w:p w14:paraId="3599E9B4" w14:textId="204845F7" w:rsidR="00BD3C3D" w:rsidRDefault="00BD3C3D" w:rsidP="00ED1520">
      <w:pPr>
        <w:spacing w:line="276" w:lineRule="auto"/>
        <w:jc w:val="right"/>
        <w:rPr>
          <w:rFonts w:ascii="Arial" w:eastAsia="Calibri" w:hAnsi="Arial" w:cs="Arial"/>
          <w:b/>
          <w:sz w:val="22"/>
          <w:lang w:val="es-ES_tradnl"/>
        </w:rPr>
      </w:pPr>
    </w:p>
    <w:p w14:paraId="7F0110FA" w14:textId="77777777" w:rsidR="00ED1520" w:rsidRDefault="00ED1520" w:rsidP="00C118DB">
      <w:pPr>
        <w:spacing w:line="276" w:lineRule="auto"/>
        <w:jc w:val="both"/>
        <w:rPr>
          <w:rFonts w:ascii="Arial" w:eastAsia="Calibri" w:hAnsi="Arial" w:cs="Arial"/>
          <w:b/>
          <w:sz w:val="22"/>
          <w:lang w:val="es-ES_tradnl"/>
        </w:rPr>
      </w:pPr>
    </w:p>
    <w:p w14:paraId="5A891253" w14:textId="77777777" w:rsidR="006F5838" w:rsidRDefault="006F5838">
      <w:pPr>
        <w:spacing w:after="200" w:line="276" w:lineRule="auto"/>
        <w:rPr>
          <w:rFonts w:ascii="Arial" w:hAnsi="Arial" w:cs="Arial"/>
          <w:sz w:val="22"/>
        </w:rPr>
      </w:pPr>
      <w:r>
        <w:rPr>
          <w:rFonts w:ascii="Arial" w:hAnsi="Arial" w:cs="Arial"/>
          <w:sz w:val="22"/>
        </w:rPr>
        <w:br w:type="page"/>
      </w:r>
    </w:p>
    <w:p w14:paraId="03E7657D" w14:textId="53B90352" w:rsidR="00600A4B" w:rsidRPr="004900D3" w:rsidRDefault="006818F0" w:rsidP="00B95C30">
      <w:pPr>
        <w:jc w:val="both"/>
        <w:rPr>
          <w:rFonts w:ascii="Arial" w:hAnsi="Arial" w:cs="Arial"/>
          <w:bCs/>
          <w:color w:val="000000" w:themeColor="text1"/>
          <w:sz w:val="22"/>
        </w:rPr>
      </w:pPr>
      <w:r w:rsidRPr="004900D3">
        <w:rPr>
          <w:rFonts w:ascii="Arial" w:hAnsi="Arial" w:cs="Arial"/>
          <w:bCs/>
          <w:color w:val="000000" w:themeColor="text1"/>
          <w:sz w:val="22"/>
        </w:rPr>
        <w:lastRenderedPageBreak/>
        <w:t>Bogotá D.C., 5 de diciembre de 2022</w:t>
      </w:r>
    </w:p>
    <w:p w14:paraId="3A750B54" w14:textId="3CC0FDE6" w:rsidR="006818F0" w:rsidRDefault="006818F0" w:rsidP="00B95C30">
      <w:pPr>
        <w:jc w:val="both"/>
        <w:rPr>
          <w:rFonts w:ascii="Arial" w:hAnsi="Arial" w:cs="Arial"/>
          <w:b/>
          <w:color w:val="000000" w:themeColor="text1"/>
          <w:sz w:val="22"/>
        </w:rPr>
      </w:pPr>
    </w:p>
    <w:p w14:paraId="52D937B2" w14:textId="57BAFDD5" w:rsidR="006818F0" w:rsidRDefault="000B4B4C" w:rsidP="006A10FD">
      <w:pPr>
        <w:jc w:val="right"/>
        <w:rPr>
          <w:rFonts w:ascii="Arial" w:hAnsi="Arial" w:cs="Arial"/>
          <w:b/>
          <w:color w:val="000000" w:themeColor="text1"/>
          <w:sz w:val="22"/>
        </w:rPr>
      </w:pPr>
      <w:r w:rsidRPr="000B4B4C">
        <w:rPr>
          <w:rFonts w:ascii="Arial" w:hAnsi="Arial" w:cs="Arial"/>
          <w:b/>
          <w:noProof/>
          <w:color w:val="000000" w:themeColor="text1"/>
          <w:sz w:val="22"/>
        </w:rPr>
        <w:drawing>
          <wp:inline distT="0" distB="0" distL="0" distR="0" wp14:anchorId="779D34CE" wp14:editId="0198C68F">
            <wp:extent cx="2901462" cy="755650"/>
            <wp:effectExtent l="0" t="0" r="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10771" cy="758075"/>
                    </a:xfrm>
                    <a:prstGeom prst="rect">
                      <a:avLst/>
                    </a:prstGeom>
                    <a:noFill/>
                    <a:ln>
                      <a:noFill/>
                    </a:ln>
                  </pic:spPr>
                </pic:pic>
              </a:graphicData>
            </a:graphic>
          </wp:inline>
        </w:drawing>
      </w:r>
    </w:p>
    <w:p w14:paraId="3560A821" w14:textId="3DE6870B" w:rsidR="006818F0" w:rsidRDefault="006818F0" w:rsidP="00B95C30">
      <w:pPr>
        <w:jc w:val="both"/>
        <w:rPr>
          <w:rFonts w:ascii="Arial" w:hAnsi="Arial" w:cs="Arial"/>
          <w:b/>
          <w:color w:val="000000" w:themeColor="text1"/>
          <w:sz w:val="22"/>
        </w:rPr>
      </w:pPr>
    </w:p>
    <w:p w14:paraId="4FD7745B" w14:textId="1008F279" w:rsidR="006818F0" w:rsidRDefault="006818F0" w:rsidP="00B95C30">
      <w:pPr>
        <w:jc w:val="both"/>
        <w:rPr>
          <w:rFonts w:ascii="Arial" w:hAnsi="Arial" w:cs="Arial"/>
          <w:b/>
          <w:color w:val="000000" w:themeColor="text1"/>
          <w:sz w:val="22"/>
        </w:rPr>
      </w:pPr>
    </w:p>
    <w:p w14:paraId="424AC068" w14:textId="47002056" w:rsidR="006818F0" w:rsidRDefault="006818F0" w:rsidP="00B95C30">
      <w:pPr>
        <w:jc w:val="both"/>
        <w:rPr>
          <w:rFonts w:ascii="Arial" w:hAnsi="Arial" w:cs="Arial"/>
          <w:b/>
          <w:color w:val="000000" w:themeColor="text1"/>
          <w:sz w:val="22"/>
        </w:rPr>
      </w:pPr>
    </w:p>
    <w:p w14:paraId="6AE55792" w14:textId="77777777" w:rsidR="006818F0" w:rsidRPr="001742EB" w:rsidRDefault="006818F0" w:rsidP="00B95C30">
      <w:pPr>
        <w:jc w:val="both"/>
        <w:rPr>
          <w:rFonts w:ascii="Arial" w:hAnsi="Arial" w:cs="Arial"/>
          <w:b/>
          <w:color w:val="000000" w:themeColor="text1"/>
          <w:sz w:val="22"/>
        </w:rPr>
      </w:pPr>
    </w:p>
    <w:p w14:paraId="5F5AE9EF" w14:textId="74090752" w:rsidR="00B95C30" w:rsidRPr="001742EB" w:rsidRDefault="00B95C30" w:rsidP="00B95C30">
      <w:pPr>
        <w:jc w:val="both"/>
        <w:rPr>
          <w:rFonts w:ascii="Arial" w:eastAsia="Calibri" w:hAnsi="Arial" w:cs="Arial"/>
          <w:color w:val="000000" w:themeColor="text1"/>
          <w:sz w:val="22"/>
        </w:rPr>
      </w:pPr>
      <w:r w:rsidRPr="001742EB">
        <w:rPr>
          <w:rFonts w:ascii="Arial" w:eastAsia="Calibri" w:hAnsi="Arial" w:cs="Arial"/>
          <w:color w:val="000000" w:themeColor="text1"/>
          <w:sz w:val="22"/>
        </w:rPr>
        <w:t>Señor</w:t>
      </w:r>
    </w:p>
    <w:p w14:paraId="4D43209C" w14:textId="79052608" w:rsidR="001742EB" w:rsidRPr="001742EB" w:rsidRDefault="004B589F" w:rsidP="001742EB">
      <w:pPr>
        <w:jc w:val="both"/>
        <w:rPr>
          <w:rFonts w:ascii="Arial" w:eastAsia="Calibri" w:hAnsi="Arial" w:cs="Arial"/>
          <w:b/>
          <w:color w:val="000000" w:themeColor="text1"/>
          <w:sz w:val="22"/>
        </w:rPr>
      </w:pPr>
      <w:r>
        <w:rPr>
          <w:rFonts w:ascii="Arial" w:eastAsia="Calibri" w:hAnsi="Arial" w:cs="Arial"/>
          <w:b/>
          <w:color w:val="000000" w:themeColor="text1"/>
          <w:sz w:val="22"/>
        </w:rPr>
        <w:t xml:space="preserve">Alejandro Guevara Ramírez </w:t>
      </w:r>
    </w:p>
    <w:p w14:paraId="4A1C8FFE" w14:textId="2874FD1E" w:rsidR="008120C4" w:rsidRPr="009D619D" w:rsidRDefault="004B589F" w:rsidP="003C0791">
      <w:pPr>
        <w:rPr>
          <w:rFonts w:asciiTheme="minorBidi" w:eastAsia="Calibri" w:hAnsiTheme="minorBidi" w:cstheme="minorBidi"/>
          <w:b/>
          <w:bCs/>
          <w:color w:val="000000" w:themeColor="text1"/>
          <w:sz w:val="22"/>
          <w:szCs w:val="22"/>
        </w:rPr>
      </w:pPr>
      <w:r>
        <w:rPr>
          <w:rFonts w:asciiTheme="minorBidi" w:hAnsiTheme="minorBidi" w:cstheme="minorBidi"/>
          <w:sz w:val="22"/>
          <w:szCs w:val="22"/>
        </w:rPr>
        <w:t xml:space="preserve">Cali, Valle del Cauca </w:t>
      </w:r>
    </w:p>
    <w:p w14:paraId="4EE8D537" w14:textId="079EF6DE" w:rsidR="006F5838" w:rsidRDefault="006F5838" w:rsidP="003C0791">
      <w:pPr>
        <w:rPr>
          <w:rFonts w:ascii="Arial" w:eastAsia="Calibri" w:hAnsi="Arial" w:cs="Arial"/>
          <w:bCs/>
          <w:sz w:val="22"/>
          <w:szCs w:val="22"/>
          <w:lang w:val="es-MX" w:eastAsia="en-US"/>
        </w:rPr>
      </w:pPr>
    </w:p>
    <w:p w14:paraId="7871579F" w14:textId="77777777" w:rsidR="00607C6B" w:rsidRPr="00B1351F" w:rsidRDefault="00607C6B" w:rsidP="003C0791">
      <w:pPr>
        <w:rPr>
          <w:rFonts w:ascii="Arial" w:eastAsia="Calibri" w:hAnsi="Arial" w:cs="Arial"/>
          <w:bCs/>
          <w:sz w:val="22"/>
          <w:szCs w:val="22"/>
          <w:lang w:val="es-MX" w:eastAsia="en-US"/>
        </w:rPr>
      </w:pPr>
    </w:p>
    <w:p w14:paraId="1BD594F9" w14:textId="3A17AFC6" w:rsidR="00B95C30" w:rsidRPr="00B44556" w:rsidRDefault="00D424A3" w:rsidP="009D619D">
      <w:pPr>
        <w:rPr>
          <w:rFonts w:ascii="Arial" w:eastAsia="Calibri" w:hAnsi="Arial" w:cs="Arial"/>
          <w:b/>
          <w:sz w:val="22"/>
          <w:szCs w:val="22"/>
          <w:lang w:val="es-MX" w:eastAsia="en-US"/>
        </w:rPr>
      </w:pPr>
      <w:r>
        <w:rPr>
          <w:rFonts w:ascii="Arial" w:eastAsia="Calibri" w:hAnsi="Arial" w:cs="Arial"/>
          <w:b/>
          <w:sz w:val="22"/>
          <w:szCs w:val="22"/>
          <w:lang w:val="es-MX" w:eastAsia="en-US"/>
        </w:rPr>
        <w:t xml:space="preserve">                                            </w:t>
      </w:r>
      <w:r w:rsidR="00023FA5" w:rsidRPr="00B44556">
        <w:rPr>
          <w:rFonts w:ascii="Arial" w:eastAsia="Calibri" w:hAnsi="Arial" w:cs="Arial"/>
          <w:b/>
          <w:sz w:val="22"/>
          <w:szCs w:val="22"/>
          <w:lang w:val="es-MX" w:eastAsia="en-US"/>
        </w:rPr>
        <w:t xml:space="preserve">Concepto C ‒ </w:t>
      </w:r>
      <w:r w:rsidR="004B589F">
        <w:rPr>
          <w:rFonts w:ascii="Arial" w:eastAsia="Calibri" w:hAnsi="Arial" w:cs="Arial"/>
          <w:b/>
          <w:sz w:val="22"/>
          <w:szCs w:val="22"/>
          <w:lang w:val="es-MX" w:eastAsia="en-US"/>
        </w:rPr>
        <w:t>835</w:t>
      </w:r>
      <w:r w:rsidR="00275FBF" w:rsidRPr="00B44556">
        <w:rPr>
          <w:rFonts w:ascii="Arial" w:eastAsia="Calibri" w:hAnsi="Arial" w:cs="Arial"/>
          <w:b/>
          <w:sz w:val="22"/>
          <w:szCs w:val="22"/>
          <w:lang w:val="es-MX" w:eastAsia="en-US"/>
        </w:rPr>
        <w:t xml:space="preserve"> de 202</w:t>
      </w:r>
      <w:r w:rsidR="00BF4EC5" w:rsidRPr="00B44556">
        <w:rPr>
          <w:rFonts w:ascii="Arial" w:eastAsia="Calibri" w:hAnsi="Arial" w:cs="Arial"/>
          <w:b/>
          <w:sz w:val="22"/>
          <w:szCs w:val="22"/>
          <w:lang w:val="es-MX" w:eastAsia="en-US"/>
        </w:rPr>
        <w:t>2</w:t>
      </w:r>
    </w:p>
    <w:p w14:paraId="7063750E" w14:textId="77777777" w:rsidR="005F5F37" w:rsidRPr="00A51520" w:rsidRDefault="005F5F37" w:rsidP="003C0791">
      <w:pPr>
        <w:rPr>
          <w:rFonts w:ascii="Arial" w:eastAsia="Calibri" w:hAnsi="Arial" w:cs="Arial"/>
          <w:b/>
          <w:bCs/>
          <w:color w:val="000000" w:themeColor="text1"/>
          <w:sz w:val="22"/>
          <w:lang w:val="pt-BR"/>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A51520" w14:paraId="19DFC051" w14:textId="77777777" w:rsidTr="00761DC6">
        <w:tc>
          <w:tcPr>
            <w:tcW w:w="2689" w:type="dxa"/>
          </w:tcPr>
          <w:p w14:paraId="6BC0D1AC" w14:textId="569BAEB9" w:rsidR="00B95C30" w:rsidRPr="00A51520" w:rsidRDefault="00B95C30" w:rsidP="00D15356">
            <w:pPr>
              <w:jc w:val="both"/>
              <w:rPr>
                <w:rFonts w:ascii="Arial" w:eastAsia="Calibri" w:hAnsi="Arial" w:cs="Arial"/>
                <w:color w:val="000000" w:themeColor="text1"/>
                <w:sz w:val="22"/>
                <w:lang w:val="es-ES_tradnl"/>
              </w:rPr>
            </w:pPr>
            <w:r w:rsidRPr="00A51520">
              <w:rPr>
                <w:rFonts w:ascii="Arial" w:eastAsia="Calibri" w:hAnsi="Arial" w:cs="Arial"/>
                <w:b/>
                <w:color w:val="000000" w:themeColor="text1"/>
                <w:sz w:val="22"/>
                <w:lang w:val="es-ES_tradnl"/>
              </w:rPr>
              <w:t>Temas:</w:t>
            </w:r>
            <w:r w:rsidR="005B1504" w:rsidRPr="00A51520">
              <w:rPr>
                <w:rFonts w:ascii="Arial" w:eastAsia="Calibri" w:hAnsi="Arial" w:cs="Arial"/>
                <w:color w:val="000000" w:themeColor="text1"/>
                <w:sz w:val="22"/>
                <w:lang w:val="es-ES_tradnl"/>
              </w:rPr>
              <w:t xml:space="preserve">                   </w:t>
            </w:r>
          </w:p>
        </w:tc>
        <w:tc>
          <w:tcPr>
            <w:tcW w:w="6237" w:type="dxa"/>
            <w:shd w:val="clear" w:color="auto" w:fill="auto"/>
          </w:tcPr>
          <w:p w14:paraId="64689992" w14:textId="77777777" w:rsidR="006818F0" w:rsidRDefault="00BD3C3D" w:rsidP="00AD3693">
            <w:pPr>
              <w:tabs>
                <w:tab w:val="left" w:pos="6551"/>
              </w:tabs>
              <w:jc w:val="both"/>
              <w:rPr>
                <w:rFonts w:ascii="Arial" w:eastAsia="Calibri" w:hAnsi="Arial" w:cs="Arial"/>
                <w:color w:val="000000" w:themeColor="text1"/>
                <w:sz w:val="22"/>
                <w:lang w:val="es-ES_tradnl"/>
              </w:rPr>
            </w:pPr>
            <w:r w:rsidRPr="00370936">
              <w:rPr>
                <w:rFonts w:ascii="Arial" w:eastAsiaTheme="minorHAnsi" w:hAnsi="Arial" w:cs="Arial"/>
                <w:color w:val="000000" w:themeColor="text1"/>
                <w:sz w:val="22"/>
                <w:szCs w:val="22"/>
                <w:lang w:val="es-ES_tradnl" w:eastAsia="en-US"/>
              </w:rPr>
              <w:t>DECRETO</w:t>
            </w:r>
            <w:r w:rsidRPr="00543CFC">
              <w:rPr>
                <w:rFonts w:ascii="Arial" w:eastAsiaTheme="minorHAnsi" w:hAnsi="Arial" w:cs="Arial"/>
                <w:color w:val="000000" w:themeColor="text1"/>
                <w:sz w:val="22"/>
                <w:szCs w:val="22"/>
                <w:lang w:val="es-ES_tradnl" w:eastAsia="en-US"/>
              </w:rPr>
              <w:t xml:space="preserve"> 1860 DE 2021 – Normas reglamentarias – Mínima cuantía /</w:t>
            </w:r>
            <w:r w:rsidRPr="00C66A96">
              <w:rPr>
                <w:rFonts w:ascii="Arial" w:eastAsiaTheme="minorHAnsi" w:hAnsi="Arial" w:cs="Arial"/>
                <w:color w:val="000000" w:themeColor="text1"/>
                <w:sz w:val="22"/>
                <w:szCs w:val="22"/>
                <w:lang w:val="es-ES_tradnl" w:eastAsia="en-US"/>
              </w:rPr>
              <w:t xml:space="preserve"> </w:t>
            </w:r>
            <w:r w:rsidR="00424F90" w:rsidRPr="00C66A96">
              <w:rPr>
                <w:rFonts w:ascii="Arial" w:eastAsiaTheme="minorHAnsi" w:hAnsi="Arial" w:cs="Arial"/>
                <w:color w:val="000000" w:themeColor="text1"/>
                <w:sz w:val="22"/>
                <w:szCs w:val="22"/>
                <w:lang w:val="es-ES_tradnl" w:eastAsia="en-US"/>
              </w:rPr>
              <w:t xml:space="preserve">CONVOCATORIAS LIMITADAS A MIPYME – Aplicación / </w:t>
            </w:r>
            <w:r w:rsidR="00F305C6" w:rsidRPr="00C66A96">
              <w:rPr>
                <w:rFonts w:ascii="Arial" w:eastAsiaTheme="minorHAnsi" w:hAnsi="Arial" w:cs="Arial"/>
                <w:color w:val="000000" w:themeColor="text1"/>
                <w:sz w:val="22"/>
                <w:szCs w:val="22"/>
                <w:lang w:val="es-ES_tradnl" w:eastAsia="en-US"/>
              </w:rPr>
              <w:t xml:space="preserve">CONVOCATORIAS LIMITADAS A MIPYME – </w:t>
            </w:r>
            <w:r w:rsidR="00F305C6" w:rsidRPr="00AD3693">
              <w:rPr>
                <w:rFonts w:ascii="Arial" w:eastAsiaTheme="minorHAnsi" w:hAnsi="Arial" w:cs="Arial"/>
                <w:color w:val="000000" w:themeColor="text1"/>
                <w:sz w:val="22"/>
                <w:szCs w:val="22"/>
                <w:lang w:val="es-ES_tradnl" w:eastAsia="en-US"/>
              </w:rPr>
              <w:t>Limitación territorial – Facultativa – Requisitos</w:t>
            </w:r>
            <w:r w:rsidR="00AD3693" w:rsidRPr="00AD3693">
              <w:rPr>
                <w:rFonts w:ascii="Arial" w:eastAsiaTheme="minorHAnsi" w:hAnsi="Arial" w:cs="Arial"/>
                <w:color w:val="000000" w:themeColor="text1"/>
                <w:sz w:val="22"/>
                <w:szCs w:val="22"/>
                <w:lang w:val="es-ES_tradnl" w:eastAsia="en-US"/>
              </w:rPr>
              <w:t xml:space="preserve"> / </w:t>
            </w:r>
            <w:r w:rsidR="00AD3693" w:rsidRPr="00AD3693">
              <w:rPr>
                <w:rFonts w:ascii="Arial" w:eastAsia="Calibri" w:hAnsi="Arial" w:cs="Arial"/>
                <w:color w:val="000000" w:themeColor="text1"/>
                <w:sz w:val="22"/>
                <w:lang w:val="es-ES_tradnl"/>
              </w:rPr>
              <w:t xml:space="preserve">CONVOCATORIAS LIMITADAS A MIPYME </w:t>
            </w:r>
            <w:r w:rsidR="00AD3693" w:rsidRPr="00AD3693">
              <w:rPr>
                <w:rStyle w:val="normaltextrun"/>
                <w:rFonts w:ascii="Arial" w:hAnsi="Arial" w:cs="Arial"/>
                <w:color w:val="000000"/>
                <w:sz w:val="22"/>
                <w:szCs w:val="22"/>
              </w:rPr>
              <w:t xml:space="preserve">– Limitación territorial – </w:t>
            </w:r>
            <w:r w:rsidR="00AD3693" w:rsidRPr="00AD3693">
              <w:rPr>
                <w:rFonts w:ascii="Arial" w:eastAsia="Calibri" w:hAnsi="Arial" w:cs="Arial"/>
                <w:color w:val="000000" w:themeColor="text1"/>
                <w:sz w:val="22"/>
                <w:lang w:val="es-ES_tradnl"/>
              </w:rPr>
              <w:t xml:space="preserve">Alcance – Domicilio – Ámbito territorial – Objeto </w:t>
            </w:r>
            <w:r w:rsidR="004B589F" w:rsidRPr="00AD3693">
              <w:rPr>
                <w:rFonts w:ascii="Arial" w:eastAsia="Calibri" w:hAnsi="Arial" w:cs="Arial"/>
                <w:color w:val="000000" w:themeColor="text1"/>
                <w:sz w:val="22"/>
                <w:lang w:val="es-ES_tradnl"/>
              </w:rPr>
              <w:t>contractual</w:t>
            </w:r>
          </w:p>
          <w:p w14:paraId="5F389CAF" w14:textId="57A25590" w:rsidR="00337178" w:rsidRPr="00AD3693" w:rsidRDefault="00AD3693" w:rsidP="00AD3693">
            <w:pPr>
              <w:tabs>
                <w:tab w:val="left" w:pos="6551"/>
              </w:tabs>
              <w:jc w:val="both"/>
              <w:rPr>
                <w:rFonts w:ascii="Arial" w:eastAsia="Calibri" w:hAnsi="Arial" w:cs="Arial"/>
                <w:b/>
                <w:color w:val="000000" w:themeColor="text1"/>
                <w:sz w:val="22"/>
                <w:lang w:val="es-ES_tradnl"/>
              </w:rPr>
            </w:pPr>
            <w:r>
              <w:rPr>
                <w:rFonts w:ascii="Arial" w:eastAsia="Calibri" w:hAnsi="Arial" w:cs="Arial"/>
                <w:b/>
                <w:color w:val="000000" w:themeColor="text1"/>
                <w:sz w:val="22"/>
                <w:lang w:val="es-ES_tradnl"/>
              </w:rPr>
              <w:t xml:space="preserve"> </w:t>
            </w:r>
          </w:p>
        </w:tc>
      </w:tr>
      <w:tr w:rsidR="00B95C30" w:rsidRPr="00A51520" w14:paraId="27CD52AB" w14:textId="77777777" w:rsidTr="00D15356">
        <w:tc>
          <w:tcPr>
            <w:tcW w:w="2689" w:type="dxa"/>
          </w:tcPr>
          <w:p w14:paraId="37E195A1" w14:textId="017D9507" w:rsidR="00B95C30" w:rsidRPr="00A51520" w:rsidRDefault="00B95C30" w:rsidP="00D15356">
            <w:pPr>
              <w:spacing w:before="120"/>
              <w:jc w:val="both"/>
              <w:rPr>
                <w:rFonts w:ascii="Arial" w:eastAsia="Calibri" w:hAnsi="Arial" w:cs="Arial"/>
                <w:b/>
                <w:color w:val="000000" w:themeColor="text1"/>
                <w:sz w:val="22"/>
                <w:lang w:val="es-ES_tradnl"/>
              </w:rPr>
            </w:pPr>
            <w:r w:rsidRPr="00A51520">
              <w:rPr>
                <w:rFonts w:ascii="Arial" w:eastAsia="Calibri" w:hAnsi="Arial" w:cs="Arial"/>
                <w:b/>
                <w:color w:val="000000" w:themeColor="text1"/>
                <w:sz w:val="22"/>
                <w:lang w:val="es-ES_tradnl"/>
              </w:rPr>
              <w:t>Radicación:</w:t>
            </w:r>
            <w:r w:rsidR="005B1504" w:rsidRPr="00A51520">
              <w:rPr>
                <w:rFonts w:ascii="Arial" w:eastAsia="Calibri" w:hAnsi="Arial" w:cs="Arial"/>
                <w:color w:val="000000" w:themeColor="text1"/>
                <w:sz w:val="22"/>
                <w:lang w:val="es-ES_tradnl"/>
              </w:rPr>
              <w:t xml:space="preserve">               </w:t>
            </w:r>
          </w:p>
        </w:tc>
        <w:tc>
          <w:tcPr>
            <w:tcW w:w="6237" w:type="dxa"/>
          </w:tcPr>
          <w:p w14:paraId="09088B1B" w14:textId="16BEED45" w:rsidR="00B95C30" w:rsidRPr="00C66A96" w:rsidRDefault="00B95C30" w:rsidP="00C66A96">
            <w:pPr>
              <w:widowControl w:val="0"/>
              <w:autoSpaceDE w:val="0"/>
              <w:autoSpaceDN w:val="0"/>
              <w:adjustRightInd w:val="0"/>
              <w:spacing w:line="300" w:lineRule="atLeast"/>
              <w:jc w:val="both"/>
              <w:rPr>
                <w:rFonts w:ascii="Arial" w:eastAsiaTheme="minorHAnsi" w:hAnsi="Arial" w:cs="Arial"/>
                <w:color w:val="000000" w:themeColor="text1"/>
                <w:sz w:val="22"/>
                <w:szCs w:val="22"/>
                <w:lang w:val="es-ES_tradnl" w:eastAsia="en-US"/>
              </w:rPr>
            </w:pPr>
            <w:r w:rsidRPr="00C66A96">
              <w:rPr>
                <w:rFonts w:ascii="Arial" w:eastAsiaTheme="minorHAnsi" w:hAnsi="Arial" w:cs="Arial"/>
                <w:color w:val="000000" w:themeColor="text1"/>
                <w:sz w:val="22"/>
                <w:szCs w:val="22"/>
                <w:lang w:val="es-ES_tradnl" w:eastAsia="en-US"/>
              </w:rPr>
              <w:t>Respuesta a consulta</w:t>
            </w:r>
            <w:r w:rsidR="00F21D6D" w:rsidRPr="00C66A96">
              <w:rPr>
                <w:rFonts w:ascii="Arial" w:eastAsiaTheme="minorHAnsi" w:hAnsi="Arial" w:cs="Arial"/>
                <w:color w:val="000000" w:themeColor="text1"/>
                <w:sz w:val="22"/>
                <w:szCs w:val="22"/>
                <w:lang w:val="es-ES_tradnl" w:eastAsia="en-US"/>
              </w:rPr>
              <w:t xml:space="preserve"> </w:t>
            </w:r>
            <w:r w:rsidR="00E800B8" w:rsidRPr="00E800B8">
              <w:rPr>
                <w:rFonts w:ascii="Arial" w:eastAsiaTheme="minorHAnsi" w:hAnsi="Arial" w:cs="Arial"/>
                <w:color w:val="000000" w:themeColor="text1"/>
                <w:sz w:val="22"/>
                <w:szCs w:val="22"/>
                <w:lang w:val="es-ES_tradnl" w:eastAsia="en-US"/>
              </w:rPr>
              <w:t>P2022</w:t>
            </w:r>
            <w:r w:rsidR="004B589F">
              <w:rPr>
                <w:rFonts w:ascii="Arial" w:eastAsiaTheme="minorHAnsi" w:hAnsi="Arial" w:cs="Arial"/>
                <w:color w:val="000000" w:themeColor="text1"/>
                <w:sz w:val="22"/>
                <w:szCs w:val="22"/>
                <w:lang w:val="es-ES_tradnl" w:eastAsia="en-US"/>
              </w:rPr>
              <w:t>1020010591</w:t>
            </w:r>
          </w:p>
        </w:tc>
      </w:tr>
    </w:tbl>
    <w:p w14:paraId="635FAA34" w14:textId="77777777" w:rsidR="006D69FA" w:rsidRPr="00A51520" w:rsidRDefault="006D69FA" w:rsidP="003C3339">
      <w:pPr>
        <w:jc w:val="both"/>
        <w:rPr>
          <w:rFonts w:ascii="Arial" w:eastAsia="Calibri" w:hAnsi="Arial" w:cs="Arial"/>
          <w:color w:val="000000" w:themeColor="text1"/>
          <w:sz w:val="22"/>
        </w:rPr>
      </w:pPr>
    </w:p>
    <w:p w14:paraId="234C0002" w14:textId="77777777" w:rsidR="005F5F37" w:rsidRPr="00A51520" w:rsidRDefault="005F5F37" w:rsidP="003C3339">
      <w:pPr>
        <w:jc w:val="both"/>
        <w:rPr>
          <w:rFonts w:ascii="Arial" w:eastAsia="Calibri" w:hAnsi="Arial" w:cs="Arial"/>
          <w:color w:val="000000" w:themeColor="text1"/>
          <w:sz w:val="22"/>
          <w:lang w:val="es-ES_tradnl"/>
        </w:rPr>
      </w:pPr>
    </w:p>
    <w:p w14:paraId="1CF4AEA0" w14:textId="02A1B110" w:rsidR="003C3339" w:rsidRPr="00A51520" w:rsidRDefault="004B7BB7" w:rsidP="003C3339">
      <w:pPr>
        <w:jc w:val="both"/>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Estimad</w:t>
      </w:r>
      <w:r w:rsidR="004B589F">
        <w:rPr>
          <w:rFonts w:ascii="Arial" w:eastAsia="Calibri" w:hAnsi="Arial" w:cs="Arial"/>
          <w:color w:val="000000" w:themeColor="text1"/>
          <w:sz w:val="22"/>
          <w:lang w:val="es-ES_tradnl"/>
        </w:rPr>
        <w:t>o</w:t>
      </w:r>
      <w:r>
        <w:rPr>
          <w:rFonts w:ascii="Arial" w:eastAsia="Calibri" w:hAnsi="Arial" w:cs="Arial"/>
          <w:color w:val="000000" w:themeColor="text1"/>
          <w:sz w:val="22"/>
          <w:lang w:val="es-ES_tradnl"/>
        </w:rPr>
        <w:t xml:space="preserve"> señor </w:t>
      </w:r>
      <w:r w:rsidR="004B589F">
        <w:rPr>
          <w:rFonts w:ascii="Arial" w:eastAsia="Calibri" w:hAnsi="Arial" w:cs="Arial"/>
          <w:color w:val="000000" w:themeColor="text1"/>
          <w:sz w:val="22"/>
          <w:lang w:val="es-ES_tradnl"/>
        </w:rPr>
        <w:t>Guevara Ramírez</w:t>
      </w:r>
      <w:r w:rsidR="00077D5D">
        <w:rPr>
          <w:rFonts w:ascii="Arial" w:eastAsia="Calibri" w:hAnsi="Arial" w:cs="Arial"/>
          <w:color w:val="000000" w:themeColor="text1"/>
          <w:sz w:val="22"/>
          <w:lang w:val="es-ES_tradnl"/>
        </w:rPr>
        <w:t xml:space="preserve">: </w:t>
      </w:r>
      <w:r w:rsidR="008C3FFC">
        <w:rPr>
          <w:rFonts w:ascii="Arial" w:eastAsia="Calibri" w:hAnsi="Arial" w:cs="Arial"/>
          <w:color w:val="000000" w:themeColor="text1"/>
          <w:sz w:val="22"/>
          <w:lang w:val="es-ES_tradnl"/>
        </w:rPr>
        <w:t xml:space="preserve"> </w:t>
      </w:r>
    </w:p>
    <w:p w14:paraId="1EAE5543" w14:textId="37990AD8" w:rsidR="00DD5B04" w:rsidRPr="00A51520" w:rsidRDefault="00DD5B04" w:rsidP="00DF76A2">
      <w:pPr>
        <w:jc w:val="both"/>
        <w:rPr>
          <w:rFonts w:ascii="Arial" w:eastAsia="Calibri" w:hAnsi="Arial" w:cs="Arial"/>
          <w:color w:val="000000" w:themeColor="text1"/>
          <w:sz w:val="22"/>
          <w:lang w:val="es-ES_tradnl"/>
        </w:rPr>
      </w:pPr>
    </w:p>
    <w:p w14:paraId="2109B2D3" w14:textId="278BC921" w:rsidR="00DD5B04" w:rsidRPr="00A51520" w:rsidRDefault="00DD5B04" w:rsidP="00DF76A2">
      <w:pPr>
        <w:spacing w:line="276" w:lineRule="auto"/>
        <w:jc w:val="both"/>
        <w:rPr>
          <w:rFonts w:ascii="Arial" w:eastAsia="Calibri" w:hAnsi="Arial" w:cs="Arial"/>
          <w:color w:val="000000" w:themeColor="text1"/>
          <w:sz w:val="22"/>
          <w:lang w:val="es-ES_tradnl"/>
        </w:rPr>
      </w:pPr>
      <w:r w:rsidRPr="00A51520">
        <w:rPr>
          <w:rFonts w:ascii="Arial" w:eastAsia="Calibri" w:hAnsi="Arial" w:cs="Arial"/>
          <w:color w:val="000000" w:themeColor="text1"/>
          <w:sz w:val="22"/>
          <w:lang w:val="es-ES_tradnl"/>
        </w:rPr>
        <w:t>En ejercicio de la competencia otorgada por el numeral 8 del artículo 11 y el numeral 5 del artículo 3 del Decreto Ley 4170 de 2011, la Agencia Nacional de Contratación Pública ― Colombia Compra Eficiente</w:t>
      </w:r>
      <w:r w:rsidR="00CE69CC" w:rsidRPr="00A51520">
        <w:rPr>
          <w:rFonts w:ascii="Arial" w:eastAsia="Calibri" w:hAnsi="Arial" w:cs="Arial"/>
          <w:color w:val="000000" w:themeColor="text1"/>
          <w:sz w:val="22"/>
          <w:lang w:val="es-ES_tradnl"/>
        </w:rPr>
        <w:t xml:space="preserve">, </w:t>
      </w:r>
      <w:r w:rsidRPr="00A51520">
        <w:rPr>
          <w:rFonts w:ascii="Arial" w:eastAsia="Calibri" w:hAnsi="Arial" w:cs="Arial"/>
          <w:color w:val="000000" w:themeColor="text1"/>
          <w:sz w:val="22"/>
          <w:lang w:val="es-ES_tradnl"/>
        </w:rPr>
        <w:t>responde su consulta</w:t>
      </w:r>
      <w:r w:rsidR="00E8414B" w:rsidRPr="00A51520">
        <w:rPr>
          <w:rFonts w:ascii="Arial" w:eastAsia="Calibri" w:hAnsi="Arial" w:cs="Arial"/>
          <w:color w:val="000000" w:themeColor="text1"/>
          <w:sz w:val="22"/>
          <w:lang w:val="es-ES_tradnl"/>
        </w:rPr>
        <w:t xml:space="preserve"> </w:t>
      </w:r>
      <w:r w:rsidRPr="00352470">
        <w:rPr>
          <w:rFonts w:ascii="Arial" w:eastAsia="Calibri" w:hAnsi="Arial" w:cs="Arial"/>
          <w:color w:val="000000" w:themeColor="text1"/>
          <w:sz w:val="22"/>
          <w:lang w:val="es-ES_tradnl"/>
        </w:rPr>
        <w:t xml:space="preserve">del </w:t>
      </w:r>
      <w:r w:rsidR="004B589F">
        <w:rPr>
          <w:rFonts w:ascii="Arial" w:eastAsia="Calibri" w:hAnsi="Arial" w:cs="Arial"/>
          <w:color w:val="000000" w:themeColor="text1"/>
          <w:sz w:val="22"/>
          <w:lang w:val="es-ES_tradnl"/>
        </w:rPr>
        <w:t>20</w:t>
      </w:r>
      <w:r w:rsidR="00833A78">
        <w:rPr>
          <w:rFonts w:ascii="Arial" w:eastAsia="Calibri" w:hAnsi="Arial" w:cs="Arial"/>
          <w:color w:val="000000" w:themeColor="text1"/>
          <w:sz w:val="22"/>
          <w:lang w:val="es-ES_tradnl"/>
        </w:rPr>
        <w:t xml:space="preserve"> de </w:t>
      </w:r>
      <w:r w:rsidR="004B589F">
        <w:rPr>
          <w:rFonts w:ascii="Arial" w:eastAsia="Calibri" w:hAnsi="Arial" w:cs="Arial"/>
          <w:color w:val="000000" w:themeColor="text1"/>
          <w:sz w:val="22"/>
          <w:lang w:val="es-ES_tradnl"/>
        </w:rPr>
        <w:t>octubre</w:t>
      </w:r>
      <w:r w:rsidR="00833A78">
        <w:rPr>
          <w:rFonts w:ascii="Arial" w:eastAsia="Calibri" w:hAnsi="Arial" w:cs="Arial"/>
          <w:color w:val="000000" w:themeColor="text1"/>
          <w:sz w:val="22"/>
          <w:lang w:val="es-ES_tradnl"/>
        </w:rPr>
        <w:t xml:space="preserve"> de 2022. </w:t>
      </w:r>
    </w:p>
    <w:p w14:paraId="0C1E0712" w14:textId="77777777" w:rsidR="00DD5B04" w:rsidRPr="00A51520" w:rsidRDefault="00DD5B04" w:rsidP="006818F0">
      <w:pPr>
        <w:spacing w:line="276" w:lineRule="auto"/>
        <w:jc w:val="both"/>
        <w:rPr>
          <w:rFonts w:ascii="Arial" w:eastAsia="Calibri" w:hAnsi="Arial" w:cs="Arial"/>
          <w:b/>
          <w:color w:val="000000" w:themeColor="text1"/>
          <w:sz w:val="22"/>
          <w:lang w:val="es-ES_tradnl"/>
        </w:rPr>
      </w:pPr>
    </w:p>
    <w:p w14:paraId="7701FCC7" w14:textId="77777777" w:rsidR="00DD5B04" w:rsidRPr="00A51520" w:rsidRDefault="00DD5B04" w:rsidP="006818F0">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A51520">
        <w:rPr>
          <w:rFonts w:ascii="Arial" w:eastAsia="Calibri" w:hAnsi="Arial" w:cs="Arial"/>
          <w:b/>
          <w:color w:val="000000" w:themeColor="text1"/>
          <w:sz w:val="22"/>
          <w:lang w:val="es-ES_tradnl"/>
        </w:rPr>
        <w:t xml:space="preserve">Problema planteado </w:t>
      </w:r>
    </w:p>
    <w:p w14:paraId="224B43D3" w14:textId="77777777" w:rsidR="00DD5B04" w:rsidRPr="00A51520" w:rsidRDefault="00DD5B04" w:rsidP="006818F0">
      <w:pPr>
        <w:tabs>
          <w:tab w:val="left" w:pos="426"/>
        </w:tabs>
        <w:spacing w:line="276" w:lineRule="auto"/>
        <w:jc w:val="both"/>
        <w:rPr>
          <w:rFonts w:ascii="Arial" w:eastAsia="Calibri" w:hAnsi="Arial" w:cs="Arial"/>
          <w:b/>
          <w:color w:val="000000" w:themeColor="text1"/>
          <w:sz w:val="22"/>
          <w:lang w:val="es-ES_tradnl"/>
        </w:rPr>
      </w:pPr>
    </w:p>
    <w:p w14:paraId="70102F2D" w14:textId="283BADDD" w:rsidR="00BF4EC5" w:rsidRPr="00A51520" w:rsidRDefault="00F46782" w:rsidP="006818F0">
      <w:pPr>
        <w:spacing w:line="276" w:lineRule="auto"/>
        <w:jc w:val="both"/>
        <w:rPr>
          <w:rFonts w:ascii="Arial" w:hAnsi="Arial" w:cs="Arial"/>
          <w:color w:val="000000" w:themeColor="text1"/>
          <w:sz w:val="22"/>
          <w:szCs w:val="22"/>
          <w:lang w:val="es-ES"/>
        </w:rPr>
      </w:pPr>
      <w:r>
        <w:rPr>
          <w:rFonts w:ascii="Arial" w:hAnsi="Arial" w:cs="Arial"/>
          <w:color w:val="000000" w:themeColor="text1"/>
          <w:sz w:val="22"/>
          <w:szCs w:val="22"/>
          <w:lang w:val="es-ES_tradnl"/>
        </w:rPr>
        <w:t>En relación con</w:t>
      </w:r>
      <w:r w:rsidR="004B589F">
        <w:rPr>
          <w:rFonts w:ascii="Arial" w:hAnsi="Arial" w:cs="Arial"/>
          <w:color w:val="000000" w:themeColor="text1"/>
          <w:sz w:val="22"/>
          <w:szCs w:val="22"/>
          <w:lang w:val="es-ES_tradnl"/>
        </w:rPr>
        <w:t xml:space="preserve"> la</w:t>
      </w:r>
      <w:r>
        <w:rPr>
          <w:rFonts w:ascii="Arial" w:hAnsi="Arial" w:cs="Arial"/>
          <w:color w:val="000000" w:themeColor="text1"/>
          <w:sz w:val="22"/>
          <w:szCs w:val="22"/>
          <w:lang w:val="es-ES_tradnl"/>
        </w:rPr>
        <w:t xml:space="preserve"> </w:t>
      </w:r>
      <w:r w:rsidR="001742EB">
        <w:rPr>
          <w:rFonts w:ascii="Arial" w:hAnsi="Arial" w:cs="Arial"/>
          <w:color w:val="000000" w:themeColor="text1"/>
          <w:sz w:val="22"/>
          <w:szCs w:val="22"/>
          <w:lang w:val="es-ES_tradnl"/>
        </w:rPr>
        <w:t>limitación territorial a Mipyme en el proceso de mínima cuantía, usted</w:t>
      </w:r>
      <w:r w:rsidR="00827203" w:rsidRPr="00A51520">
        <w:rPr>
          <w:rFonts w:ascii="Arial" w:hAnsi="Arial" w:cs="Arial"/>
          <w:color w:val="000000" w:themeColor="text1"/>
          <w:sz w:val="22"/>
          <w:szCs w:val="22"/>
          <w:lang w:val="es-ES_tradnl"/>
        </w:rPr>
        <w:t xml:space="preserve"> </w:t>
      </w:r>
      <w:r w:rsidR="0065218F">
        <w:rPr>
          <w:rFonts w:ascii="Arial" w:hAnsi="Arial" w:cs="Arial"/>
          <w:color w:val="000000" w:themeColor="text1"/>
          <w:sz w:val="22"/>
          <w:szCs w:val="22"/>
          <w:lang w:val="es-ES_tradnl"/>
        </w:rPr>
        <w:t xml:space="preserve">realiza </w:t>
      </w:r>
      <w:r w:rsidR="00026092" w:rsidRPr="00A51520">
        <w:rPr>
          <w:rFonts w:ascii="Arial" w:hAnsi="Arial" w:cs="Arial"/>
          <w:color w:val="000000" w:themeColor="text1"/>
          <w:sz w:val="22"/>
          <w:szCs w:val="22"/>
          <w:lang w:val="es-ES_tradnl"/>
        </w:rPr>
        <w:t>la siguiente</w:t>
      </w:r>
      <w:r w:rsidR="00AC4D8F" w:rsidRPr="00A51520">
        <w:rPr>
          <w:rFonts w:ascii="Arial" w:hAnsi="Arial" w:cs="Arial"/>
          <w:color w:val="000000" w:themeColor="text1"/>
          <w:sz w:val="22"/>
          <w:szCs w:val="22"/>
          <w:lang w:val="es-ES_tradnl"/>
        </w:rPr>
        <w:t xml:space="preserve"> </w:t>
      </w:r>
      <w:r w:rsidR="0065218F">
        <w:rPr>
          <w:rFonts w:ascii="Arial" w:hAnsi="Arial" w:cs="Arial"/>
          <w:color w:val="000000" w:themeColor="text1"/>
          <w:sz w:val="22"/>
          <w:szCs w:val="22"/>
          <w:lang w:val="es-ES_tradnl"/>
        </w:rPr>
        <w:t>pregunta</w:t>
      </w:r>
      <w:r w:rsidR="008C5E9A">
        <w:rPr>
          <w:rFonts w:ascii="Arial" w:hAnsi="Arial" w:cs="Arial"/>
          <w:sz w:val="22"/>
          <w:lang w:val="es-ES_tradnl"/>
        </w:rPr>
        <w:t xml:space="preserve">: </w:t>
      </w:r>
    </w:p>
    <w:p w14:paraId="0B7FAA28" w14:textId="77777777" w:rsidR="00BF4EC5" w:rsidRPr="00A51520" w:rsidRDefault="00BF4EC5" w:rsidP="004900D3">
      <w:pPr>
        <w:spacing w:line="276" w:lineRule="auto"/>
        <w:jc w:val="both"/>
        <w:rPr>
          <w:rFonts w:ascii="Arial" w:hAnsi="Arial" w:cs="Arial"/>
          <w:color w:val="000000" w:themeColor="text1"/>
          <w:sz w:val="22"/>
          <w:szCs w:val="22"/>
        </w:rPr>
      </w:pPr>
    </w:p>
    <w:p w14:paraId="05F0DBB2" w14:textId="749F3056" w:rsidR="0065218F" w:rsidRDefault="000C3448" w:rsidP="004B589F">
      <w:pPr>
        <w:ind w:left="709" w:right="476"/>
        <w:jc w:val="both"/>
        <w:rPr>
          <w:rFonts w:ascii="Arial" w:hAnsi="Arial" w:cs="Arial"/>
          <w:sz w:val="21"/>
          <w:szCs w:val="21"/>
          <w:lang w:val="es-ES_tradnl"/>
        </w:rPr>
      </w:pPr>
      <w:bookmarkStart w:id="3" w:name="_Hlk120693205"/>
      <w:r>
        <w:rPr>
          <w:rFonts w:ascii="Arial" w:hAnsi="Arial" w:cs="Arial"/>
          <w:sz w:val="21"/>
          <w:szCs w:val="21"/>
          <w:lang w:val="es-ES_tradnl"/>
        </w:rPr>
        <w:t>«</w:t>
      </w:r>
      <w:r w:rsidR="004B589F" w:rsidRPr="004B589F">
        <w:rPr>
          <w:rFonts w:ascii="Arial" w:hAnsi="Arial" w:cs="Arial"/>
          <w:sz w:val="21"/>
          <w:szCs w:val="21"/>
          <w:lang w:val="es-ES_tradnl"/>
        </w:rPr>
        <w:t>1. si en un proceso de menor o de minima cuantia se radican varias solicitudes de</w:t>
      </w:r>
      <w:r w:rsidR="004B589F">
        <w:rPr>
          <w:rFonts w:ascii="Arial" w:hAnsi="Arial" w:cs="Arial"/>
          <w:sz w:val="21"/>
          <w:szCs w:val="21"/>
          <w:lang w:val="es-ES_tradnl"/>
        </w:rPr>
        <w:t xml:space="preserve"> </w:t>
      </w:r>
      <w:r w:rsidR="004B589F" w:rsidRPr="004B589F">
        <w:rPr>
          <w:rFonts w:ascii="Arial" w:hAnsi="Arial" w:cs="Arial"/>
          <w:sz w:val="21"/>
          <w:szCs w:val="21"/>
          <w:lang w:val="es-ES_tradnl"/>
        </w:rPr>
        <w:t>limitacion a MIPYMES y algunas de ellas son de diferentes niveles de la siguiente</w:t>
      </w:r>
      <w:r w:rsidR="004B589F">
        <w:rPr>
          <w:rFonts w:ascii="Arial" w:hAnsi="Arial" w:cs="Arial"/>
          <w:sz w:val="21"/>
          <w:szCs w:val="21"/>
          <w:lang w:val="es-ES_tradnl"/>
        </w:rPr>
        <w:t xml:space="preserve"> </w:t>
      </w:r>
      <w:r w:rsidR="004B589F" w:rsidRPr="004B589F">
        <w:rPr>
          <w:rFonts w:ascii="Arial" w:hAnsi="Arial" w:cs="Arial"/>
          <w:sz w:val="21"/>
          <w:szCs w:val="21"/>
          <w:lang w:val="es-ES_tradnl"/>
        </w:rPr>
        <w:t xml:space="preserve">manera 2 solicitudes de nivel municipal y dos de nivel departamental, en </w:t>
      </w:r>
      <w:r w:rsidR="004B589F" w:rsidRPr="004B589F">
        <w:rPr>
          <w:rFonts w:ascii="Arial" w:hAnsi="Arial" w:cs="Arial"/>
          <w:sz w:val="21"/>
          <w:szCs w:val="21"/>
          <w:lang w:val="es-ES_tradnl"/>
        </w:rPr>
        <w:lastRenderedPageBreak/>
        <w:t>este caso las</w:t>
      </w:r>
      <w:r w:rsidR="004B589F">
        <w:rPr>
          <w:rFonts w:ascii="Arial" w:hAnsi="Arial" w:cs="Arial"/>
          <w:sz w:val="21"/>
          <w:szCs w:val="21"/>
          <w:lang w:val="es-ES_tradnl"/>
        </w:rPr>
        <w:t xml:space="preserve"> </w:t>
      </w:r>
      <w:r w:rsidR="004B589F" w:rsidRPr="004B589F">
        <w:rPr>
          <w:rFonts w:ascii="Arial" w:hAnsi="Arial" w:cs="Arial"/>
          <w:sz w:val="21"/>
          <w:szCs w:val="21"/>
          <w:lang w:val="es-ES_tradnl"/>
        </w:rPr>
        <w:t>4 solicitudes cumplen los requisitos establecidos en la norma, quisiera solicitar</w:t>
      </w:r>
      <w:r w:rsidR="004B589F">
        <w:rPr>
          <w:rFonts w:ascii="Arial" w:hAnsi="Arial" w:cs="Arial"/>
          <w:sz w:val="21"/>
          <w:szCs w:val="21"/>
          <w:lang w:val="es-ES_tradnl"/>
        </w:rPr>
        <w:t xml:space="preserve"> </w:t>
      </w:r>
      <w:r w:rsidR="004B589F" w:rsidRPr="004B589F">
        <w:rPr>
          <w:rFonts w:ascii="Arial" w:hAnsi="Arial" w:cs="Arial"/>
          <w:sz w:val="21"/>
          <w:szCs w:val="21"/>
          <w:lang w:val="es-ES_tradnl"/>
        </w:rPr>
        <w:t xml:space="preserve">cordialmente a colombia compra indicar cual es el criterio que se debe adoptar. </w:t>
      </w:r>
      <w:r w:rsidR="004B589F">
        <w:rPr>
          <w:rFonts w:ascii="Arial" w:hAnsi="Arial" w:cs="Arial"/>
          <w:sz w:val="21"/>
          <w:szCs w:val="21"/>
          <w:lang w:val="es-ES_tradnl"/>
        </w:rPr>
        <w:t>s</w:t>
      </w:r>
      <w:r w:rsidR="004B589F" w:rsidRPr="004B589F">
        <w:rPr>
          <w:rFonts w:ascii="Arial" w:hAnsi="Arial" w:cs="Arial"/>
          <w:sz w:val="21"/>
          <w:szCs w:val="21"/>
          <w:lang w:val="es-ES_tradnl"/>
        </w:rPr>
        <w:t>i</w:t>
      </w:r>
      <w:r w:rsidR="004B589F">
        <w:rPr>
          <w:rFonts w:ascii="Arial" w:hAnsi="Arial" w:cs="Arial"/>
          <w:sz w:val="21"/>
          <w:szCs w:val="21"/>
          <w:lang w:val="es-ES_tradnl"/>
        </w:rPr>
        <w:t xml:space="preserve"> (sic) </w:t>
      </w:r>
      <w:r w:rsidR="004B589F" w:rsidRPr="004B589F">
        <w:rPr>
          <w:rFonts w:ascii="Arial" w:hAnsi="Arial" w:cs="Arial"/>
          <w:sz w:val="21"/>
          <w:szCs w:val="21"/>
          <w:lang w:val="es-ES_tradnl"/>
        </w:rPr>
        <w:t xml:space="preserve">limitar a nivel municipal </w:t>
      </w:r>
      <w:r w:rsidR="004B589F">
        <w:rPr>
          <w:rFonts w:ascii="Arial" w:hAnsi="Arial" w:cs="Arial"/>
          <w:sz w:val="21"/>
          <w:szCs w:val="21"/>
          <w:lang w:val="es-ES_tradnl"/>
        </w:rPr>
        <w:t>ósea (sic)</w:t>
      </w:r>
      <w:r w:rsidR="004B589F" w:rsidRPr="004B589F">
        <w:rPr>
          <w:rFonts w:ascii="Arial" w:hAnsi="Arial" w:cs="Arial"/>
          <w:sz w:val="21"/>
          <w:szCs w:val="21"/>
          <w:lang w:val="es-ES_tradnl"/>
        </w:rPr>
        <w:t xml:space="preserve"> el mas pequeño o nivel departamental nivel medio</w:t>
      </w:r>
      <w:r>
        <w:rPr>
          <w:rFonts w:ascii="Arial" w:hAnsi="Arial" w:cs="Arial"/>
          <w:sz w:val="21"/>
          <w:szCs w:val="21"/>
          <w:lang w:val="es-ES_tradnl"/>
        </w:rPr>
        <w:t>»</w:t>
      </w:r>
      <w:r w:rsidR="00F653DD" w:rsidRPr="00F653DD">
        <w:rPr>
          <w:rFonts w:ascii="Arial" w:hAnsi="Arial" w:cs="Arial"/>
          <w:sz w:val="21"/>
          <w:szCs w:val="21"/>
          <w:lang w:val="es-ES_tradnl"/>
        </w:rPr>
        <w:t>.</w:t>
      </w:r>
    </w:p>
    <w:bookmarkEnd w:id="3"/>
    <w:p w14:paraId="089352C1" w14:textId="77777777" w:rsidR="00824AD5" w:rsidRPr="004900D3" w:rsidRDefault="00824AD5" w:rsidP="00F653DD">
      <w:pPr>
        <w:spacing w:line="276" w:lineRule="auto"/>
        <w:ind w:left="709" w:right="476"/>
        <w:jc w:val="both"/>
        <w:rPr>
          <w:rFonts w:ascii="Arial" w:eastAsia="Calibri" w:hAnsi="Arial" w:cs="Arial"/>
          <w:bCs/>
          <w:sz w:val="22"/>
          <w:szCs w:val="22"/>
          <w:lang w:val="es-ES_tradnl"/>
        </w:rPr>
      </w:pPr>
    </w:p>
    <w:p w14:paraId="124D2DCA" w14:textId="77777777" w:rsidR="00DD5B04" w:rsidRPr="00A51520" w:rsidRDefault="00DD5B04" w:rsidP="00DF76A2">
      <w:pPr>
        <w:pStyle w:val="Prrafodelista"/>
        <w:numPr>
          <w:ilvl w:val="0"/>
          <w:numId w:val="8"/>
        </w:numPr>
        <w:tabs>
          <w:tab w:val="left" w:pos="0"/>
          <w:tab w:val="left" w:pos="284"/>
        </w:tabs>
        <w:ind w:left="0" w:firstLine="0"/>
        <w:jc w:val="both"/>
        <w:rPr>
          <w:rFonts w:ascii="Arial" w:eastAsia="Calibri" w:hAnsi="Arial" w:cs="Arial"/>
          <w:b/>
          <w:color w:val="000000" w:themeColor="text1"/>
          <w:sz w:val="22"/>
          <w:lang w:val="es-ES_tradnl"/>
        </w:rPr>
      </w:pPr>
      <w:r w:rsidRPr="00A51520">
        <w:rPr>
          <w:rFonts w:ascii="Arial" w:eastAsia="Calibri" w:hAnsi="Arial" w:cs="Arial"/>
          <w:b/>
          <w:color w:val="000000" w:themeColor="text1"/>
          <w:sz w:val="22"/>
          <w:lang w:val="es-ES_tradnl"/>
        </w:rPr>
        <w:t>Consideraciones</w:t>
      </w:r>
    </w:p>
    <w:p w14:paraId="7FB25649" w14:textId="77777777" w:rsidR="00E07AAA" w:rsidRPr="00A51520" w:rsidRDefault="00E07AAA" w:rsidP="00D40F8B">
      <w:pPr>
        <w:spacing w:line="276" w:lineRule="auto"/>
        <w:jc w:val="both"/>
        <w:rPr>
          <w:rFonts w:ascii="Arial" w:hAnsi="Arial" w:cs="Arial"/>
          <w:color w:val="000000" w:themeColor="text1"/>
          <w:sz w:val="22"/>
          <w:lang w:val="es-ES_tradnl"/>
        </w:rPr>
      </w:pPr>
    </w:p>
    <w:p w14:paraId="012B8F22" w14:textId="1CAB2F80" w:rsidR="001742EB" w:rsidRDefault="001742EB" w:rsidP="00F3144F">
      <w:pPr>
        <w:tabs>
          <w:tab w:val="left" w:pos="709"/>
        </w:tabs>
        <w:spacing w:after="120" w:line="276" w:lineRule="auto"/>
        <w:jc w:val="both"/>
        <w:rPr>
          <w:rFonts w:ascii="Arial" w:eastAsia="Calibri" w:hAnsi="Arial" w:cs="Arial"/>
          <w:color w:val="000000"/>
          <w:sz w:val="22"/>
          <w:szCs w:val="22"/>
          <w:lang w:val="es-ES_tradnl" w:eastAsia="en-US"/>
        </w:rPr>
      </w:pPr>
      <w:r w:rsidRPr="00E858D2">
        <w:rPr>
          <w:rFonts w:ascii="Arial" w:eastAsia="Calibri" w:hAnsi="Arial" w:cs="Arial"/>
          <w:sz w:val="22"/>
          <w:szCs w:val="22"/>
          <w:lang w:val="es-ES_tradnl"/>
        </w:rPr>
        <w:t xml:space="preserve">Para responder su solicitud, </w:t>
      </w:r>
      <w:r w:rsidRPr="00E858D2">
        <w:rPr>
          <w:rFonts w:ascii="Arial" w:eastAsia="Calibri" w:hAnsi="Arial" w:cs="Arial"/>
          <w:sz w:val="22"/>
          <w:lang w:val="es-ES_tradnl"/>
        </w:rPr>
        <w:t>la Subdirección</w:t>
      </w:r>
      <w:r w:rsidRPr="00E858D2">
        <w:rPr>
          <w:rFonts w:ascii="Arial" w:eastAsia="Calibri" w:hAnsi="Arial" w:cs="Arial"/>
          <w:sz w:val="22"/>
          <w:szCs w:val="22"/>
          <w:lang w:val="es-ES_tradnl"/>
        </w:rPr>
        <w:t xml:space="preserve"> analizará los </w:t>
      </w:r>
      <w:r w:rsidRPr="00352470">
        <w:rPr>
          <w:rFonts w:ascii="Arial" w:eastAsia="Calibri" w:hAnsi="Arial" w:cs="Arial"/>
          <w:sz w:val="22"/>
          <w:szCs w:val="22"/>
          <w:lang w:val="es-ES_tradnl"/>
        </w:rPr>
        <w:t>siguientes temas:</w:t>
      </w:r>
      <w:r w:rsidR="002E70BF" w:rsidRPr="00352470">
        <w:rPr>
          <w:rFonts w:ascii="Arial" w:eastAsia="Calibri" w:hAnsi="Arial" w:cs="Arial"/>
          <w:color w:val="000000" w:themeColor="text1"/>
          <w:sz w:val="22"/>
          <w:szCs w:val="22"/>
          <w:lang w:val="es-ES"/>
        </w:rPr>
        <w:t xml:space="preserve"> </w:t>
      </w:r>
      <w:r w:rsidR="002E70BF" w:rsidRPr="00DB5E7A">
        <w:rPr>
          <w:rFonts w:ascii="Arial" w:eastAsia="Calibri" w:hAnsi="Arial" w:cs="Arial"/>
          <w:bCs/>
          <w:color w:val="000000" w:themeColor="text1"/>
          <w:sz w:val="22"/>
          <w:szCs w:val="22"/>
        </w:rPr>
        <w:t>i)</w:t>
      </w:r>
      <w:r w:rsidR="002E70BF" w:rsidRPr="00DB5E7A">
        <w:t xml:space="preserve"> </w:t>
      </w:r>
      <w:r w:rsidR="0036315A" w:rsidRPr="00DB5E7A">
        <w:rPr>
          <w:rFonts w:ascii="Arial" w:eastAsia="Calibri" w:hAnsi="Arial" w:cs="Arial"/>
          <w:color w:val="000000" w:themeColor="text1"/>
          <w:sz w:val="22"/>
          <w:szCs w:val="22"/>
          <w:lang w:val="es-ES_tradnl"/>
        </w:rPr>
        <w:t>modalidad de selección de mínima cuantía. Regulación y ca</w:t>
      </w:r>
      <w:r w:rsidRPr="00DB5E7A">
        <w:rPr>
          <w:rFonts w:ascii="Arial" w:eastAsia="Calibri" w:hAnsi="Arial" w:cs="Arial"/>
          <w:color w:val="000000" w:themeColor="text1"/>
          <w:sz w:val="22"/>
          <w:szCs w:val="22"/>
          <w:lang w:val="es-ES_tradnl"/>
        </w:rPr>
        <w:t>racterísticas del procedimiento y</w:t>
      </w:r>
      <w:r w:rsidR="0036315A" w:rsidRPr="00DB5E7A">
        <w:rPr>
          <w:rFonts w:ascii="Arial" w:eastAsia="Calibri" w:hAnsi="Arial" w:cs="Arial"/>
          <w:color w:val="000000" w:themeColor="text1"/>
          <w:sz w:val="22"/>
          <w:szCs w:val="22"/>
          <w:lang w:val="es-ES_tradnl"/>
        </w:rPr>
        <w:t xml:space="preserve"> ii) </w:t>
      </w:r>
      <w:r w:rsidR="00352470" w:rsidRPr="00DB5E7A">
        <w:rPr>
          <w:rFonts w:ascii="Arial" w:eastAsia="Calibri" w:hAnsi="Arial" w:cs="Arial"/>
          <w:color w:val="000000"/>
          <w:sz w:val="22"/>
          <w:szCs w:val="22"/>
          <w:lang w:val="es-ES_tradnl" w:eastAsia="en-US"/>
        </w:rPr>
        <w:t>r</w:t>
      </w:r>
      <w:r w:rsidRPr="00DB5E7A">
        <w:rPr>
          <w:rFonts w:ascii="Arial" w:eastAsia="Calibri" w:hAnsi="Arial" w:cs="Arial"/>
          <w:color w:val="000000"/>
          <w:sz w:val="22"/>
          <w:szCs w:val="22"/>
          <w:lang w:val="es-ES_tradnl" w:eastAsia="en-US"/>
        </w:rPr>
        <w:t>egulación de las convocatorias limitadas a Mipyme en el artículo 34 de la Ley 2069 de 2020 y en el Decreto 1860 de 2021.</w:t>
      </w:r>
    </w:p>
    <w:p w14:paraId="486A5F7F" w14:textId="6C471660" w:rsidR="00BC2F4D" w:rsidRDefault="00F305C6" w:rsidP="00F3144F">
      <w:pPr>
        <w:tabs>
          <w:tab w:val="left" w:pos="709"/>
        </w:tabs>
        <w:spacing w:after="120" w:line="276" w:lineRule="auto"/>
        <w:jc w:val="both"/>
        <w:rPr>
          <w:rFonts w:ascii="Arial" w:eastAsia="Calibri" w:hAnsi="Arial" w:cs="Arial"/>
          <w:bCs/>
          <w:color w:val="000000" w:themeColor="text1"/>
          <w:sz w:val="22"/>
          <w:szCs w:val="22"/>
          <w:lang w:val="es-ES_tradnl"/>
        </w:rPr>
      </w:pPr>
      <w:r>
        <w:rPr>
          <w:rFonts w:ascii="Arial" w:eastAsia="Calibri" w:hAnsi="Arial" w:cs="Arial"/>
          <w:color w:val="000000" w:themeColor="text1"/>
          <w:sz w:val="22"/>
          <w:szCs w:val="22"/>
          <w:lang w:val="es-ES_tradnl"/>
        </w:rPr>
        <w:tab/>
      </w:r>
      <w:r w:rsidR="002E70BF" w:rsidRPr="006617BC">
        <w:rPr>
          <w:rFonts w:ascii="Arial" w:eastAsia="Calibri" w:hAnsi="Arial" w:cs="Arial"/>
          <w:color w:val="000000" w:themeColor="text1"/>
          <w:sz w:val="22"/>
          <w:szCs w:val="22"/>
          <w:lang w:val="es-ES_tradnl"/>
        </w:rPr>
        <w:t xml:space="preserve">Es importante destacar que la Agencia Nacional de Contratación Pública – Colombia Compra Eficiente </w:t>
      </w:r>
      <w:r w:rsidR="00352470" w:rsidRPr="006617BC">
        <w:rPr>
          <w:rFonts w:ascii="Arial" w:eastAsia="Calibri" w:hAnsi="Arial" w:cs="Arial"/>
          <w:bCs/>
          <w:color w:val="000000" w:themeColor="text1"/>
          <w:sz w:val="22"/>
          <w:szCs w:val="22"/>
          <w:lang w:val="es-ES_tradnl"/>
        </w:rPr>
        <w:t xml:space="preserve">analizó </w:t>
      </w:r>
      <w:r w:rsidR="00352470">
        <w:rPr>
          <w:rFonts w:ascii="Arial" w:eastAsia="Calibri" w:hAnsi="Arial" w:cs="Arial"/>
          <w:bCs/>
          <w:color w:val="000000" w:themeColor="text1"/>
          <w:sz w:val="22"/>
          <w:szCs w:val="22"/>
          <w:lang w:val="es-ES_tradnl"/>
        </w:rPr>
        <w:t xml:space="preserve">la limitación de la convocatorias a Mipyme, entre otros en los </w:t>
      </w:r>
      <w:r w:rsidR="002E70BF" w:rsidRPr="006617BC">
        <w:rPr>
          <w:rFonts w:ascii="Arial" w:eastAsia="Calibri" w:hAnsi="Arial" w:cs="Arial"/>
          <w:bCs/>
          <w:color w:val="000000" w:themeColor="text1"/>
          <w:sz w:val="22"/>
          <w:szCs w:val="22"/>
          <w:lang w:val="es-ES_tradnl"/>
        </w:rPr>
        <w:t>conceptos C</w:t>
      </w:r>
      <w:r w:rsidR="004930CE">
        <w:rPr>
          <w:rFonts w:ascii="Arial" w:eastAsia="Calibri" w:hAnsi="Arial" w:cs="Arial"/>
          <w:bCs/>
          <w:color w:val="000000" w:themeColor="text1"/>
          <w:sz w:val="22"/>
          <w:szCs w:val="22"/>
          <w:lang w:val="es-ES_tradnl"/>
        </w:rPr>
        <w:t>–</w:t>
      </w:r>
      <w:r w:rsidR="002E70BF" w:rsidRPr="006617BC">
        <w:rPr>
          <w:rFonts w:ascii="Arial" w:eastAsia="Calibri" w:hAnsi="Arial" w:cs="Arial"/>
          <w:bCs/>
          <w:color w:val="000000" w:themeColor="text1"/>
          <w:sz w:val="22"/>
          <w:szCs w:val="22"/>
          <w:lang w:val="es-ES_tradnl"/>
        </w:rPr>
        <w:t>005 del 16 de febrero de 2021, C</w:t>
      </w:r>
      <w:r w:rsidR="004930CE">
        <w:rPr>
          <w:rFonts w:ascii="Arial" w:eastAsia="Calibri" w:hAnsi="Arial" w:cs="Arial"/>
          <w:bCs/>
          <w:color w:val="000000" w:themeColor="text1"/>
          <w:sz w:val="22"/>
          <w:szCs w:val="22"/>
          <w:lang w:val="es-ES_tradnl"/>
        </w:rPr>
        <w:t>–</w:t>
      </w:r>
      <w:r w:rsidR="002E70BF" w:rsidRPr="006617BC">
        <w:rPr>
          <w:rFonts w:ascii="Arial" w:eastAsia="Calibri" w:hAnsi="Arial" w:cs="Arial"/>
          <w:bCs/>
          <w:color w:val="000000" w:themeColor="text1"/>
          <w:sz w:val="22"/>
          <w:szCs w:val="22"/>
          <w:lang w:val="es-ES_tradnl"/>
        </w:rPr>
        <w:t>037 del 26 de febrero de 2021, C-035 del 02 de marzo de 2021, C</w:t>
      </w:r>
      <w:r w:rsidR="004930CE">
        <w:rPr>
          <w:rFonts w:ascii="Arial" w:eastAsia="Calibri" w:hAnsi="Arial" w:cs="Arial"/>
          <w:bCs/>
          <w:color w:val="000000" w:themeColor="text1"/>
          <w:sz w:val="22"/>
          <w:szCs w:val="22"/>
          <w:lang w:val="es-ES_tradnl"/>
        </w:rPr>
        <w:t>–</w:t>
      </w:r>
      <w:r w:rsidR="002E70BF" w:rsidRPr="006617BC">
        <w:rPr>
          <w:rFonts w:ascii="Arial" w:eastAsia="Calibri" w:hAnsi="Arial" w:cs="Arial"/>
          <w:bCs/>
          <w:color w:val="000000" w:themeColor="text1"/>
          <w:sz w:val="22"/>
          <w:szCs w:val="22"/>
          <w:lang w:val="es-ES_tradnl"/>
        </w:rPr>
        <w:t>126 del 06 de abril de 2021, C</w:t>
      </w:r>
      <w:r w:rsidR="004930CE">
        <w:rPr>
          <w:rFonts w:ascii="Arial" w:eastAsia="Calibri" w:hAnsi="Arial" w:cs="Arial"/>
          <w:bCs/>
          <w:color w:val="000000" w:themeColor="text1"/>
          <w:sz w:val="22"/>
          <w:szCs w:val="22"/>
          <w:lang w:val="es-ES_tradnl"/>
        </w:rPr>
        <w:t>–</w:t>
      </w:r>
      <w:r w:rsidR="002E70BF" w:rsidRPr="006617BC">
        <w:rPr>
          <w:rFonts w:ascii="Arial" w:eastAsia="Calibri" w:hAnsi="Arial" w:cs="Arial"/>
          <w:bCs/>
          <w:color w:val="000000" w:themeColor="text1"/>
          <w:sz w:val="22"/>
          <w:szCs w:val="22"/>
          <w:lang w:val="es-ES_tradnl"/>
        </w:rPr>
        <w:t>127 del 06 de abril de 2021, C</w:t>
      </w:r>
      <w:r w:rsidR="004930CE">
        <w:rPr>
          <w:rFonts w:ascii="Arial" w:eastAsia="Calibri" w:hAnsi="Arial" w:cs="Arial"/>
          <w:bCs/>
          <w:color w:val="000000" w:themeColor="text1"/>
          <w:sz w:val="22"/>
          <w:szCs w:val="22"/>
          <w:lang w:val="es-ES_tradnl"/>
        </w:rPr>
        <w:t>–</w:t>
      </w:r>
      <w:r w:rsidR="002E70BF" w:rsidRPr="006617BC">
        <w:rPr>
          <w:rFonts w:ascii="Arial" w:eastAsia="Calibri" w:hAnsi="Arial" w:cs="Arial"/>
          <w:bCs/>
          <w:color w:val="000000" w:themeColor="text1"/>
          <w:sz w:val="22"/>
          <w:szCs w:val="22"/>
          <w:lang w:val="es-ES_tradnl"/>
        </w:rPr>
        <w:t>144 del 07 de abril de 2021, C</w:t>
      </w:r>
      <w:r w:rsidR="004930CE">
        <w:rPr>
          <w:rFonts w:ascii="Arial" w:eastAsia="Calibri" w:hAnsi="Arial" w:cs="Arial"/>
          <w:bCs/>
          <w:color w:val="000000" w:themeColor="text1"/>
          <w:sz w:val="22"/>
          <w:szCs w:val="22"/>
          <w:lang w:val="es-ES_tradnl"/>
        </w:rPr>
        <w:t>–</w:t>
      </w:r>
      <w:r w:rsidR="002E70BF" w:rsidRPr="006617BC">
        <w:rPr>
          <w:rFonts w:ascii="Arial" w:eastAsia="Calibri" w:hAnsi="Arial" w:cs="Arial"/>
          <w:bCs/>
          <w:color w:val="000000" w:themeColor="text1"/>
          <w:sz w:val="22"/>
          <w:szCs w:val="22"/>
          <w:lang w:val="es-ES_tradnl"/>
        </w:rPr>
        <w:t>141 del 08 de abril de 2021, C</w:t>
      </w:r>
      <w:r w:rsidR="004930CE">
        <w:rPr>
          <w:rFonts w:ascii="Arial" w:eastAsia="Calibri" w:hAnsi="Arial" w:cs="Arial"/>
          <w:bCs/>
          <w:color w:val="000000" w:themeColor="text1"/>
          <w:sz w:val="22"/>
          <w:szCs w:val="22"/>
          <w:lang w:val="es-ES_tradnl"/>
        </w:rPr>
        <w:t>–</w:t>
      </w:r>
      <w:r w:rsidR="002E70BF" w:rsidRPr="006617BC">
        <w:rPr>
          <w:rFonts w:ascii="Arial" w:eastAsia="Calibri" w:hAnsi="Arial" w:cs="Arial"/>
          <w:bCs/>
          <w:color w:val="000000" w:themeColor="text1"/>
          <w:sz w:val="22"/>
          <w:szCs w:val="22"/>
          <w:lang w:val="es-ES_tradnl"/>
        </w:rPr>
        <w:t>163 y C</w:t>
      </w:r>
      <w:r w:rsidR="004930CE">
        <w:rPr>
          <w:rFonts w:ascii="Arial" w:eastAsia="Calibri" w:hAnsi="Arial" w:cs="Arial"/>
          <w:bCs/>
          <w:color w:val="000000" w:themeColor="text1"/>
          <w:sz w:val="22"/>
          <w:szCs w:val="22"/>
          <w:lang w:val="es-ES_tradnl"/>
        </w:rPr>
        <w:t>–</w:t>
      </w:r>
      <w:r w:rsidR="002E70BF" w:rsidRPr="006617BC">
        <w:rPr>
          <w:rFonts w:ascii="Arial" w:eastAsia="Calibri" w:hAnsi="Arial" w:cs="Arial"/>
          <w:bCs/>
          <w:color w:val="000000" w:themeColor="text1"/>
          <w:sz w:val="22"/>
          <w:szCs w:val="22"/>
          <w:lang w:val="es-ES_tradnl"/>
        </w:rPr>
        <w:t>164 del 19 de abril de 2021, C</w:t>
      </w:r>
      <w:r w:rsidR="004930CE">
        <w:rPr>
          <w:rFonts w:ascii="Arial" w:eastAsia="Calibri" w:hAnsi="Arial" w:cs="Arial"/>
          <w:bCs/>
          <w:color w:val="000000" w:themeColor="text1"/>
          <w:sz w:val="22"/>
          <w:szCs w:val="22"/>
          <w:lang w:val="es-ES_tradnl"/>
        </w:rPr>
        <w:t>–</w:t>
      </w:r>
      <w:r w:rsidR="002E70BF" w:rsidRPr="006617BC">
        <w:rPr>
          <w:rFonts w:ascii="Arial" w:eastAsia="Calibri" w:hAnsi="Arial" w:cs="Arial"/>
          <w:bCs/>
          <w:color w:val="000000" w:themeColor="text1"/>
          <w:sz w:val="22"/>
          <w:szCs w:val="22"/>
          <w:lang w:val="es-ES_tradnl"/>
        </w:rPr>
        <w:t>242 del 25 de mayo de 2021, C</w:t>
      </w:r>
      <w:r w:rsidR="004930CE">
        <w:rPr>
          <w:rFonts w:ascii="Arial" w:eastAsia="Calibri" w:hAnsi="Arial" w:cs="Arial"/>
          <w:bCs/>
          <w:color w:val="000000" w:themeColor="text1"/>
          <w:sz w:val="22"/>
          <w:szCs w:val="22"/>
          <w:lang w:val="es-ES_tradnl"/>
        </w:rPr>
        <w:t>–</w:t>
      </w:r>
      <w:r w:rsidR="002E70BF" w:rsidRPr="006617BC">
        <w:rPr>
          <w:rFonts w:ascii="Arial" w:eastAsia="Calibri" w:hAnsi="Arial" w:cs="Arial"/>
          <w:bCs/>
          <w:color w:val="000000" w:themeColor="text1"/>
          <w:sz w:val="22"/>
          <w:szCs w:val="22"/>
          <w:lang w:val="es-ES_tradnl"/>
        </w:rPr>
        <w:t>496 del 14 de septiembre de 2021</w:t>
      </w:r>
      <w:r w:rsidR="00063085">
        <w:rPr>
          <w:rFonts w:ascii="Arial" w:eastAsia="Calibri" w:hAnsi="Arial" w:cs="Arial"/>
          <w:bCs/>
          <w:color w:val="000000" w:themeColor="text1"/>
          <w:sz w:val="22"/>
          <w:szCs w:val="22"/>
          <w:lang w:val="es-ES_tradnl"/>
        </w:rPr>
        <w:t>,</w:t>
      </w:r>
      <w:r w:rsidR="002E70BF" w:rsidRPr="006617BC">
        <w:rPr>
          <w:rFonts w:ascii="Arial" w:eastAsia="Calibri" w:hAnsi="Arial" w:cs="Arial"/>
          <w:bCs/>
          <w:color w:val="000000" w:themeColor="text1"/>
          <w:sz w:val="22"/>
          <w:szCs w:val="22"/>
          <w:lang w:val="es-ES_tradnl"/>
        </w:rPr>
        <w:t xml:space="preserve"> C</w:t>
      </w:r>
      <w:r w:rsidR="002E4B94">
        <w:rPr>
          <w:rFonts w:ascii="Arial" w:eastAsia="Calibri" w:hAnsi="Arial" w:cs="Arial"/>
          <w:bCs/>
          <w:color w:val="000000" w:themeColor="text1"/>
          <w:sz w:val="22"/>
          <w:szCs w:val="22"/>
          <w:lang w:val="es-ES_tradnl"/>
        </w:rPr>
        <w:t>–</w:t>
      </w:r>
      <w:r w:rsidR="002E70BF" w:rsidRPr="006617BC">
        <w:rPr>
          <w:rFonts w:ascii="Arial" w:eastAsia="Calibri" w:hAnsi="Arial" w:cs="Arial"/>
          <w:bCs/>
          <w:color w:val="000000" w:themeColor="text1"/>
          <w:sz w:val="22"/>
          <w:szCs w:val="22"/>
          <w:lang w:val="es-ES_tradnl"/>
        </w:rPr>
        <w:t>573 de</w:t>
      </w:r>
      <w:r w:rsidR="001C7578">
        <w:rPr>
          <w:rFonts w:ascii="Arial" w:eastAsia="Calibri" w:hAnsi="Arial" w:cs="Arial"/>
          <w:bCs/>
          <w:color w:val="000000" w:themeColor="text1"/>
          <w:sz w:val="22"/>
          <w:szCs w:val="22"/>
          <w:lang w:val="es-ES_tradnl"/>
        </w:rPr>
        <w:t>l</w:t>
      </w:r>
      <w:r w:rsidR="002E70BF" w:rsidRPr="006617BC">
        <w:rPr>
          <w:rFonts w:ascii="Arial" w:eastAsia="Calibri" w:hAnsi="Arial" w:cs="Arial"/>
          <w:bCs/>
          <w:color w:val="000000" w:themeColor="text1"/>
          <w:sz w:val="22"/>
          <w:szCs w:val="22"/>
          <w:lang w:val="es-ES_tradnl"/>
        </w:rPr>
        <w:t xml:space="preserve"> 13 de octubre de 2021</w:t>
      </w:r>
      <w:r w:rsidR="00BC2F4D">
        <w:rPr>
          <w:rFonts w:ascii="Arial" w:eastAsia="Calibri" w:hAnsi="Arial" w:cs="Arial"/>
          <w:bCs/>
          <w:color w:val="000000" w:themeColor="text1"/>
          <w:sz w:val="22"/>
          <w:szCs w:val="22"/>
          <w:lang w:val="es-ES_tradnl"/>
        </w:rPr>
        <w:t xml:space="preserve">, </w:t>
      </w:r>
      <w:r w:rsidR="00063085">
        <w:rPr>
          <w:rFonts w:ascii="Arial" w:eastAsia="Calibri" w:hAnsi="Arial" w:cs="Arial"/>
          <w:bCs/>
          <w:color w:val="000000" w:themeColor="text1"/>
          <w:sz w:val="22"/>
          <w:szCs w:val="22"/>
          <w:lang w:val="es-ES_tradnl"/>
        </w:rPr>
        <w:t>C</w:t>
      </w:r>
      <w:r w:rsidR="002E4B94">
        <w:rPr>
          <w:rFonts w:ascii="Arial" w:eastAsia="Calibri" w:hAnsi="Arial" w:cs="Arial"/>
          <w:bCs/>
          <w:color w:val="000000" w:themeColor="text1"/>
          <w:sz w:val="22"/>
          <w:szCs w:val="22"/>
          <w:lang w:val="es-ES_tradnl"/>
        </w:rPr>
        <w:t>–</w:t>
      </w:r>
      <w:r w:rsidR="00063085">
        <w:rPr>
          <w:rFonts w:ascii="Arial" w:eastAsia="Calibri" w:hAnsi="Arial" w:cs="Arial"/>
          <w:bCs/>
          <w:color w:val="000000" w:themeColor="text1"/>
          <w:sz w:val="22"/>
          <w:szCs w:val="22"/>
          <w:lang w:val="es-ES_tradnl"/>
        </w:rPr>
        <w:t>001 del 17 de febrero de 2022</w:t>
      </w:r>
      <w:r w:rsidR="00F653DD">
        <w:rPr>
          <w:rFonts w:ascii="Arial" w:eastAsia="Calibri" w:hAnsi="Arial" w:cs="Arial"/>
          <w:bCs/>
          <w:color w:val="000000" w:themeColor="text1"/>
          <w:sz w:val="22"/>
          <w:szCs w:val="22"/>
          <w:lang w:val="es-ES_tradnl"/>
        </w:rPr>
        <w:t>,</w:t>
      </w:r>
      <w:r>
        <w:rPr>
          <w:rFonts w:ascii="Arial" w:eastAsia="Calibri" w:hAnsi="Arial" w:cs="Arial"/>
          <w:bCs/>
          <w:color w:val="000000" w:themeColor="text1"/>
          <w:sz w:val="22"/>
          <w:szCs w:val="22"/>
          <w:lang w:val="es-ES_tradnl"/>
        </w:rPr>
        <w:t xml:space="preserve"> </w:t>
      </w:r>
      <w:r w:rsidR="00CB2375">
        <w:rPr>
          <w:rFonts w:ascii="Arial" w:eastAsia="Calibri" w:hAnsi="Arial" w:cs="Arial"/>
          <w:bCs/>
          <w:color w:val="000000" w:themeColor="text1"/>
          <w:sz w:val="22"/>
          <w:szCs w:val="22"/>
          <w:lang w:val="es-ES_tradnl"/>
        </w:rPr>
        <w:t>C</w:t>
      </w:r>
      <w:r w:rsidR="002E4B94">
        <w:rPr>
          <w:rFonts w:ascii="Arial" w:eastAsia="Calibri" w:hAnsi="Arial" w:cs="Arial"/>
          <w:bCs/>
          <w:color w:val="000000" w:themeColor="text1"/>
          <w:sz w:val="22"/>
          <w:szCs w:val="22"/>
          <w:lang w:val="es-ES_tradnl"/>
        </w:rPr>
        <w:t>–</w:t>
      </w:r>
      <w:r w:rsidR="00B82012">
        <w:rPr>
          <w:rFonts w:ascii="Arial" w:eastAsia="Calibri" w:hAnsi="Arial" w:cs="Arial"/>
          <w:bCs/>
          <w:color w:val="000000" w:themeColor="text1"/>
          <w:sz w:val="22"/>
          <w:szCs w:val="22"/>
          <w:lang w:val="es-ES_tradnl"/>
        </w:rPr>
        <w:t xml:space="preserve">041 </w:t>
      </w:r>
      <w:r w:rsidR="00F9400D">
        <w:rPr>
          <w:rFonts w:ascii="Arial" w:eastAsia="Calibri" w:hAnsi="Arial" w:cs="Arial"/>
          <w:bCs/>
          <w:color w:val="000000" w:themeColor="text1"/>
          <w:sz w:val="22"/>
          <w:szCs w:val="22"/>
          <w:lang w:val="es-ES_tradnl"/>
        </w:rPr>
        <w:t>de</w:t>
      </w:r>
      <w:r w:rsidR="001C7578">
        <w:rPr>
          <w:rFonts w:ascii="Arial" w:eastAsia="Calibri" w:hAnsi="Arial" w:cs="Arial"/>
          <w:bCs/>
          <w:color w:val="000000" w:themeColor="text1"/>
          <w:sz w:val="22"/>
          <w:szCs w:val="22"/>
          <w:lang w:val="es-ES_tradnl"/>
        </w:rPr>
        <w:t>l</w:t>
      </w:r>
      <w:r w:rsidR="00F9400D">
        <w:rPr>
          <w:rFonts w:ascii="Arial" w:eastAsia="Calibri" w:hAnsi="Arial" w:cs="Arial"/>
          <w:bCs/>
          <w:color w:val="000000" w:themeColor="text1"/>
          <w:sz w:val="22"/>
          <w:szCs w:val="22"/>
          <w:lang w:val="es-ES_tradnl"/>
        </w:rPr>
        <w:t xml:space="preserve"> 2 de marzo de 2022, </w:t>
      </w:r>
      <w:r w:rsidR="00CF4500">
        <w:rPr>
          <w:rFonts w:ascii="Arial" w:eastAsia="Calibri" w:hAnsi="Arial" w:cs="Arial"/>
          <w:bCs/>
          <w:color w:val="000000" w:themeColor="text1"/>
          <w:sz w:val="22"/>
          <w:szCs w:val="22"/>
          <w:lang w:val="es-ES_tradnl"/>
        </w:rPr>
        <w:t>C</w:t>
      </w:r>
      <w:r w:rsidR="00AD1A7F">
        <w:rPr>
          <w:rFonts w:ascii="Arial" w:eastAsia="Calibri" w:hAnsi="Arial" w:cs="Arial"/>
          <w:bCs/>
          <w:color w:val="000000" w:themeColor="text1"/>
          <w:sz w:val="22"/>
          <w:szCs w:val="22"/>
          <w:lang w:val="es-ES_tradnl"/>
        </w:rPr>
        <w:t>–</w:t>
      </w:r>
      <w:r w:rsidR="00CF4500">
        <w:rPr>
          <w:rFonts w:ascii="Arial" w:eastAsia="Calibri" w:hAnsi="Arial" w:cs="Arial"/>
          <w:bCs/>
          <w:color w:val="000000" w:themeColor="text1"/>
          <w:sz w:val="22"/>
          <w:szCs w:val="22"/>
          <w:lang w:val="es-ES_tradnl"/>
        </w:rPr>
        <w:t xml:space="preserve"> 293 del 12 de abril de 2022, </w:t>
      </w:r>
      <w:r w:rsidR="00D3440B">
        <w:rPr>
          <w:rFonts w:ascii="Arial" w:eastAsia="Calibri" w:hAnsi="Arial" w:cs="Arial"/>
          <w:bCs/>
          <w:color w:val="000000" w:themeColor="text1"/>
          <w:sz w:val="22"/>
          <w:szCs w:val="22"/>
          <w:lang w:val="es-ES_tradnl"/>
        </w:rPr>
        <w:t>C – 213 de</w:t>
      </w:r>
      <w:r w:rsidR="001C7578">
        <w:rPr>
          <w:rFonts w:ascii="Arial" w:eastAsia="Calibri" w:hAnsi="Arial" w:cs="Arial"/>
          <w:bCs/>
          <w:color w:val="000000" w:themeColor="text1"/>
          <w:sz w:val="22"/>
          <w:szCs w:val="22"/>
          <w:lang w:val="es-ES_tradnl"/>
        </w:rPr>
        <w:t>l</w:t>
      </w:r>
      <w:r w:rsidR="00D3440B">
        <w:rPr>
          <w:rFonts w:ascii="Arial" w:eastAsia="Calibri" w:hAnsi="Arial" w:cs="Arial"/>
          <w:bCs/>
          <w:color w:val="000000" w:themeColor="text1"/>
          <w:sz w:val="22"/>
          <w:szCs w:val="22"/>
          <w:lang w:val="es-ES_tradnl"/>
        </w:rPr>
        <w:t xml:space="preserve"> 21 de abril de 2022, </w:t>
      </w:r>
      <w:r w:rsidR="00963729">
        <w:rPr>
          <w:rFonts w:ascii="Arial" w:eastAsia="Calibri" w:hAnsi="Arial" w:cs="Arial"/>
          <w:bCs/>
          <w:color w:val="000000" w:themeColor="text1"/>
          <w:sz w:val="22"/>
          <w:szCs w:val="22"/>
          <w:lang w:val="es-ES_tradnl"/>
        </w:rPr>
        <w:t>C</w:t>
      </w:r>
      <w:r w:rsidR="004930CE">
        <w:rPr>
          <w:rFonts w:ascii="Arial" w:eastAsia="Calibri" w:hAnsi="Arial" w:cs="Arial"/>
          <w:bCs/>
          <w:color w:val="000000" w:themeColor="text1"/>
          <w:sz w:val="22"/>
          <w:szCs w:val="22"/>
          <w:lang w:val="es-ES_tradnl"/>
        </w:rPr>
        <w:t>–</w:t>
      </w:r>
      <w:r w:rsidR="00963729">
        <w:rPr>
          <w:rFonts w:ascii="Arial" w:eastAsia="Calibri" w:hAnsi="Arial" w:cs="Arial"/>
          <w:bCs/>
          <w:color w:val="000000" w:themeColor="text1"/>
          <w:sz w:val="22"/>
          <w:szCs w:val="22"/>
          <w:lang w:val="es-ES_tradnl"/>
        </w:rPr>
        <w:t>315 de</w:t>
      </w:r>
      <w:r w:rsidR="001C7578">
        <w:rPr>
          <w:rFonts w:ascii="Arial" w:eastAsia="Calibri" w:hAnsi="Arial" w:cs="Arial"/>
          <w:bCs/>
          <w:color w:val="000000" w:themeColor="text1"/>
          <w:sz w:val="22"/>
          <w:szCs w:val="22"/>
          <w:lang w:val="es-ES_tradnl"/>
        </w:rPr>
        <w:t>l</w:t>
      </w:r>
      <w:r w:rsidR="00963729">
        <w:rPr>
          <w:rFonts w:ascii="Arial" w:eastAsia="Calibri" w:hAnsi="Arial" w:cs="Arial"/>
          <w:bCs/>
          <w:color w:val="000000" w:themeColor="text1"/>
          <w:sz w:val="22"/>
          <w:szCs w:val="22"/>
          <w:lang w:val="es-ES_tradnl"/>
        </w:rPr>
        <w:t xml:space="preserve"> 18 de mayo de 2022, </w:t>
      </w:r>
      <w:r w:rsidR="00E84C3D">
        <w:rPr>
          <w:rFonts w:ascii="Arial" w:eastAsia="Calibri" w:hAnsi="Arial" w:cs="Arial"/>
          <w:bCs/>
          <w:color w:val="000000" w:themeColor="text1"/>
          <w:sz w:val="22"/>
          <w:szCs w:val="22"/>
          <w:lang w:val="es-ES_tradnl"/>
        </w:rPr>
        <w:t>C</w:t>
      </w:r>
      <w:r w:rsidR="004930CE">
        <w:rPr>
          <w:rFonts w:ascii="Arial" w:eastAsia="Calibri" w:hAnsi="Arial" w:cs="Arial"/>
          <w:bCs/>
          <w:color w:val="000000" w:themeColor="text1"/>
          <w:sz w:val="22"/>
          <w:szCs w:val="22"/>
          <w:lang w:val="es-ES_tradnl"/>
        </w:rPr>
        <w:t>–</w:t>
      </w:r>
      <w:r w:rsidR="00E84C3D">
        <w:rPr>
          <w:rFonts w:ascii="Arial" w:eastAsia="Calibri" w:hAnsi="Arial" w:cs="Arial"/>
          <w:bCs/>
          <w:color w:val="000000" w:themeColor="text1"/>
          <w:sz w:val="22"/>
          <w:szCs w:val="22"/>
          <w:lang w:val="es-ES_tradnl"/>
        </w:rPr>
        <w:t>330 de</w:t>
      </w:r>
      <w:r w:rsidR="001C7578">
        <w:rPr>
          <w:rFonts w:ascii="Arial" w:eastAsia="Calibri" w:hAnsi="Arial" w:cs="Arial"/>
          <w:bCs/>
          <w:color w:val="000000" w:themeColor="text1"/>
          <w:sz w:val="22"/>
          <w:szCs w:val="22"/>
          <w:lang w:val="es-ES_tradnl"/>
        </w:rPr>
        <w:t>l</w:t>
      </w:r>
      <w:r w:rsidR="00E84C3D">
        <w:rPr>
          <w:rFonts w:ascii="Arial" w:eastAsia="Calibri" w:hAnsi="Arial" w:cs="Arial"/>
          <w:bCs/>
          <w:color w:val="000000" w:themeColor="text1"/>
          <w:sz w:val="22"/>
          <w:szCs w:val="22"/>
          <w:lang w:val="es-ES_tradnl"/>
        </w:rPr>
        <w:t xml:space="preserve"> 23 de mayo de 2022, </w:t>
      </w:r>
      <w:r w:rsidR="00CF4500">
        <w:rPr>
          <w:rFonts w:ascii="Arial" w:eastAsia="Calibri" w:hAnsi="Arial" w:cs="Arial"/>
          <w:bCs/>
          <w:color w:val="000000" w:themeColor="text1"/>
          <w:sz w:val="22"/>
          <w:szCs w:val="22"/>
          <w:lang w:val="es-ES_tradnl"/>
        </w:rPr>
        <w:t>C</w:t>
      </w:r>
      <w:r w:rsidR="004930CE">
        <w:rPr>
          <w:rFonts w:ascii="Arial" w:eastAsia="Calibri" w:hAnsi="Arial" w:cs="Arial"/>
          <w:bCs/>
          <w:color w:val="000000" w:themeColor="text1"/>
          <w:sz w:val="22"/>
          <w:szCs w:val="22"/>
          <w:lang w:val="es-ES_tradnl"/>
        </w:rPr>
        <w:t>–</w:t>
      </w:r>
      <w:r w:rsidR="00CF4500">
        <w:rPr>
          <w:rFonts w:ascii="Arial" w:eastAsia="Calibri" w:hAnsi="Arial" w:cs="Arial"/>
          <w:bCs/>
          <w:color w:val="000000" w:themeColor="text1"/>
          <w:sz w:val="22"/>
          <w:szCs w:val="22"/>
          <w:lang w:val="es-ES_tradnl"/>
        </w:rPr>
        <w:t>361 de</w:t>
      </w:r>
      <w:r w:rsidR="001C7578">
        <w:rPr>
          <w:rFonts w:ascii="Arial" w:eastAsia="Calibri" w:hAnsi="Arial" w:cs="Arial"/>
          <w:bCs/>
          <w:color w:val="000000" w:themeColor="text1"/>
          <w:sz w:val="22"/>
          <w:szCs w:val="22"/>
          <w:lang w:val="es-ES_tradnl"/>
        </w:rPr>
        <w:t>l</w:t>
      </w:r>
      <w:r w:rsidR="00CF4500">
        <w:rPr>
          <w:rFonts w:ascii="Arial" w:eastAsia="Calibri" w:hAnsi="Arial" w:cs="Arial"/>
          <w:bCs/>
          <w:color w:val="000000" w:themeColor="text1"/>
          <w:sz w:val="22"/>
          <w:szCs w:val="22"/>
          <w:lang w:val="es-ES_tradnl"/>
        </w:rPr>
        <w:t xml:space="preserve"> 20 de mayo de 2022, C</w:t>
      </w:r>
      <w:r w:rsidR="004930CE">
        <w:rPr>
          <w:rFonts w:ascii="Arial" w:eastAsia="Calibri" w:hAnsi="Arial" w:cs="Arial"/>
          <w:bCs/>
          <w:color w:val="000000" w:themeColor="text1"/>
          <w:sz w:val="22"/>
          <w:szCs w:val="22"/>
          <w:lang w:val="es-ES_tradnl"/>
        </w:rPr>
        <w:t>–</w:t>
      </w:r>
      <w:r w:rsidR="00CF4500">
        <w:rPr>
          <w:rFonts w:ascii="Arial" w:eastAsia="Calibri" w:hAnsi="Arial" w:cs="Arial"/>
          <w:bCs/>
          <w:color w:val="000000" w:themeColor="text1"/>
          <w:sz w:val="22"/>
          <w:szCs w:val="22"/>
          <w:lang w:val="es-ES_tradnl"/>
        </w:rPr>
        <w:t>340 de</w:t>
      </w:r>
      <w:r w:rsidR="001C7578">
        <w:rPr>
          <w:rFonts w:ascii="Arial" w:eastAsia="Calibri" w:hAnsi="Arial" w:cs="Arial"/>
          <w:bCs/>
          <w:color w:val="000000" w:themeColor="text1"/>
          <w:sz w:val="22"/>
          <w:szCs w:val="22"/>
          <w:lang w:val="es-ES_tradnl"/>
        </w:rPr>
        <w:t>l</w:t>
      </w:r>
      <w:r w:rsidR="00CF4500">
        <w:rPr>
          <w:rFonts w:ascii="Arial" w:eastAsia="Calibri" w:hAnsi="Arial" w:cs="Arial"/>
          <w:bCs/>
          <w:color w:val="000000" w:themeColor="text1"/>
          <w:sz w:val="22"/>
          <w:szCs w:val="22"/>
          <w:lang w:val="es-ES_tradnl"/>
        </w:rPr>
        <w:t xml:space="preserve"> 26 de mayo de 2022, C</w:t>
      </w:r>
      <w:r w:rsidR="004930CE">
        <w:rPr>
          <w:rFonts w:ascii="Arial" w:eastAsia="Calibri" w:hAnsi="Arial" w:cs="Arial"/>
          <w:bCs/>
          <w:color w:val="000000" w:themeColor="text1"/>
          <w:sz w:val="22"/>
          <w:szCs w:val="22"/>
          <w:lang w:val="es-ES_tradnl"/>
        </w:rPr>
        <w:t xml:space="preserve"> –</w:t>
      </w:r>
      <w:r w:rsidR="00CF4500">
        <w:rPr>
          <w:rFonts w:ascii="Arial" w:eastAsia="Calibri" w:hAnsi="Arial" w:cs="Arial"/>
          <w:bCs/>
          <w:color w:val="000000" w:themeColor="text1"/>
          <w:sz w:val="22"/>
          <w:szCs w:val="22"/>
          <w:lang w:val="es-ES_tradnl"/>
        </w:rPr>
        <w:t>346 de</w:t>
      </w:r>
      <w:r w:rsidR="001C7578">
        <w:rPr>
          <w:rFonts w:ascii="Arial" w:eastAsia="Calibri" w:hAnsi="Arial" w:cs="Arial"/>
          <w:bCs/>
          <w:color w:val="000000" w:themeColor="text1"/>
          <w:sz w:val="22"/>
          <w:szCs w:val="22"/>
          <w:lang w:val="es-ES_tradnl"/>
        </w:rPr>
        <w:t>l</w:t>
      </w:r>
      <w:r w:rsidR="00CF4500">
        <w:rPr>
          <w:rFonts w:ascii="Arial" w:eastAsia="Calibri" w:hAnsi="Arial" w:cs="Arial"/>
          <w:bCs/>
          <w:color w:val="000000" w:themeColor="text1"/>
          <w:sz w:val="22"/>
          <w:szCs w:val="22"/>
          <w:lang w:val="es-ES_tradnl"/>
        </w:rPr>
        <w:t xml:space="preserve"> </w:t>
      </w:r>
      <w:r w:rsidR="00A845CC">
        <w:rPr>
          <w:rFonts w:ascii="Arial" w:eastAsia="Calibri" w:hAnsi="Arial" w:cs="Arial"/>
          <w:bCs/>
          <w:color w:val="000000" w:themeColor="text1"/>
          <w:sz w:val="22"/>
          <w:szCs w:val="22"/>
          <w:lang w:val="es-ES_tradnl"/>
        </w:rPr>
        <w:t>27 de mayo de 2022</w:t>
      </w:r>
      <w:r w:rsidR="001C7578">
        <w:rPr>
          <w:rFonts w:ascii="Arial" w:eastAsia="Calibri" w:hAnsi="Arial" w:cs="Arial"/>
          <w:bCs/>
          <w:color w:val="000000" w:themeColor="text1"/>
          <w:sz w:val="22"/>
          <w:szCs w:val="22"/>
          <w:lang w:val="es-ES_tradnl"/>
        </w:rPr>
        <w:t xml:space="preserve">, </w:t>
      </w:r>
      <w:r w:rsidR="004C785E">
        <w:rPr>
          <w:rFonts w:ascii="Arial" w:eastAsia="Calibri" w:hAnsi="Arial" w:cs="Arial"/>
          <w:bCs/>
          <w:color w:val="000000" w:themeColor="text1"/>
          <w:sz w:val="22"/>
          <w:szCs w:val="22"/>
          <w:lang w:val="es-ES_tradnl"/>
        </w:rPr>
        <w:t>C-395 de</w:t>
      </w:r>
      <w:r w:rsidR="001C7578">
        <w:rPr>
          <w:rFonts w:ascii="Arial" w:eastAsia="Calibri" w:hAnsi="Arial" w:cs="Arial"/>
          <w:bCs/>
          <w:color w:val="000000" w:themeColor="text1"/>
          <w:sz w:val="22"/>
          <w:szCs w:val="22"/>
          <w:lang w:val="es-ES_tradnl"/>
        </w:rPr>
        <w:t>l</w:t>
      </w:r>
      <w:r w:rsidR="004C785E">
        <w:rPr>
          <w:rFonts w:ascii="Arial" w:eastAsia="Calibri" w:hAnsi="Arial" w:cs="Arial"/>
          <w:bCs/>
          <w:color w:val="000000" w:themeColor="text1"/>
          <w:sz w:val="22"/>
          <w:szCs w:val="22"/>
          <w:lang w:val="es-ES_tradnl"/>
        </w:rPr>
        <w:t xml:space="preserve"> 17 de junio de 2022</w:t>
      </w:r>
      <w:r w:rsidR="001C7578">
        <w:rPr>
          <w:rFonts w:ascii="Arial" w:eastAsia="Calibri" w:hAnsi="Arial" w:cs="Arial"/>
          <w:bCs/>
          <w:color w:val="000000" w:themeColor="text1"/>
          <w:sz w:val="22"/>
          <w:szCs w:val="22"/>
          <w:lang w:val="es-ES_tradnl"/>
        </w:rPr>
        <w:t xml:space="preserve">, C-490 del 26 de julio de 2022 </w:t>
      </w:r>
      <w:r>
        <w:rPr>
          <w:rFonts w:ascii="Arial" w:eastAsia="Calibri" w:hAnsi="Arial" w:cs="Arial"/>
          <w:bCs/>
          <w:color w:val="000000" w:themeColor="text1"/>
          <w:sz w:val="22"/>
          <w:szCs w:val="22"/>
          <w:lang w:val="es-ES_tradnl"/>
        </w:rPr>
        <w:t>.</w:t>
      </w:r>
      <w:r w:rsidR="00BC2F4D">
        <w:rPr>
          <w:rFonts w:ascii="Arial" w:eastAsia="Calibri" w:hAnsi="Arial" w:cs="Arial"/>
          <w:bCs/>
          <w:color w:val="000000" w:themeColor="text1"/>
          <w:sz w:val="22"/>
          <w:szCs w:val="22"/>
          <w:lang w:val="es-ES_tradnl"/>
        </w:rPr>
        <w:t xml:space="preserve"> </w:t>
      </w:r>
    </w:p>
    <w:p w14:paraId="2F7110B7" w14:textId="672ADF59" w:rsidR="00BC2F4D" w:rsidRPr="00F3144F" w:rsidRDefault="00E9592E" w:rsidP="00F3144F">
      <w:pPr>
        <w:spacing w:line="276" w:lineRule="auto"/>
        <w:ind w:firstLine="709"/>
        <w:jc w:val="both"/>
        <w:rPr>
          <w:rFonts w:ascii="Arial" w:eastAsia="Calibri" w:hAnsi="Arial" w:cs="Arial"/>
          <w:sz w:val="22"/>
          <w:szCs w:val="22"/>
          <w:lang w:val="es-ES_tradnl"/>
        </w:rPr>
      </w:pPr>
      <w:r>
        <w:rPr>
          <w:rFonts w:ascii="Arial" w:eastAsia="Calibri" w:hAnsi="Arial" w:cs="Arial"/>
          <w:sz w:val="22"/>
          <w:szCs w:val="22"/>
          <w:lang w:val="es-ES_tradnl"/>
        </w:rPr>
        <w:t xml:space="preserve">Igualmente, en los conceptos C-043 del 09 de febrero de 2021, C-005 del 16 de febrero de 2021, C-081 del 23 de febrero de 2021, C-087 del 23 de febrero de 2021, C-025 del 25 de febrero de 2021, C-037 del 26 de febrero de 2021, C-035 del 02 de marzo de 2021, C-040 del 02 de marzo de 2021, C-044 del 03 de marzo de 2021, C-102 del 25 de marzo de 2021, C-125 del 05 de abril de 2021, C-127 del 06 de abril de 2021,  C-130 del 07 de abril de 2021, C-144 del 07 de abril de 2021, C-141 del 08 de abril de 2021, C-114 del 13 de abril de 2021, C−151 del 12 de abril de 2021,  C-160 del 20 de abril de 2021,  C−189 del 26 de abril de 2021, C-206 del 3 de mayo de 2021, C-208 del 10 de mayo de 2021, C-211 del 11 de mayo de 2021, C-234 del 24 de mayo de 2021, C-271 del 9 de junio de 2021, C-306 del 28 de junio de 2021, C-426 del 18 de agosto de 2021, </w:t>
      </w:r>
      <w:r w:rsidR="00F305C6">
        <w:rPr>
          <w:rFonts w:ascii="Arial" w:eastAsia="Calibri" w:hAnsi="Arial" w:cs="Arial"/>
          <w:sz w:val="22"/>
          <w:szCs w:val="22"/>
          <w:lang w:val="es-ES_tradnl"/>
        </w:rPr>
        <w:t>C-309 del 24 de agosto de 2021,</w:t>
      </w:r>
      <w:r>
        <w:rPr>
          <w:rFonts w:ascii="Arial" w:eastAsia="Calibri" w:hAnsi="Arial" w:cs="Arial"/>
          <w:sz w:val="22"/>
          <w:szCs w:val="22"/>
          <w:lang w:val="es-ES_tradnl"/>
        </w:rPr>
        <w:t xml:space="preserve"> C-455 del 31 de agosto de 202</w:t>
      </w:r>
      <w:r w:rsidR="00C235C1">
        <w:rPr>
          <w:rFonts w:ascii="Arial" w:eastAsia="Calibri" w:hAnsi="Arial" w:cs="Arial"/>
          <w:sz w:val="22"/>
          <w:szCs w:val="22"/>
          <w:lang w:val="es-ES_tradnl"/>
        </w:rPr>
        <w:t>1</w:t>
      </w:r>
      <w:r w:rsidR="006818F0">
        <w:rPr>
          <w:rFonts w:ascii="Arial" w:eastAsia="Calibri" w:hAnsi="Arial" w:cs="Arial"/>
          <w:sz w:val="22"/>
          <w:szCs w:val="22"/>
          <w:lang w:val="es-ES_tradnl"/>
        </w:rPr>
        <w:t>,</w:t>
      </w:r>
      <w:r w:rsidR="00F305C6">
        <w:rPr>
          <w:rFonts w:ascii="Arial" w:eastAsia="Calibri" w:hAnsi="Arial" w:cs="Arial"/>
          <w:sz w:val="22"/>
          <w:szCs w:val="22"/>
          <w:lang w:val="es-ES_tradnl"/>
        </w:rPr>
        <w:t>C-281 del 12 de mayo de 2022,</w:t>
      </w:r>
      <w:r w:rsidR="006818F0" w:rsidRPr="006818F0">
        <w:rPr>
          <w:rFonts w:ascii="Arial" w:eastAsia="Calibri" w:hAnsi="Arial" w:cs="Arial"/>
          <w:sz w:val="22"/>
          <w:szCs w:val="22"/>
          <w:lang w:val="es-ES_tradnl"/>
        </w:rPr>
        <w:t xml:space="preserve"> </w:t>
      </w:r>
      <w:r w:rsidR="006818F0" w:rsidRPr="004900D3">
        <w:rPr>
          <w:rFonts w:ascii="Arial" w:eastAsia="Calibri" w:hAnsi="Arial" w:cs="Arial"/>
          <w:sz w:val="22"/>
          <w:szCs w:val="22"/>
          <w:lang w:val="es-ES_tradnl"/>
        </w:rPr>
        <w:t>C-293 del 12 de mayo de 2022, C-296 del 12 de mayo de 2022, C-315 del 18 de mayo de 2022, C-330 del 23 de mayo de 2022, C-340 del 26 de mayo de 2022, C-437 del 25 de julio de 2022 C-340 del 26 de mayo de 2022, C-346 del 27 de mayo de 2022, C-361 del 20 de mayo de 2022, C-377 del 13 de junio de 2022, C-395 del 17 de junio de 2022, C-445 del 12 de julio de 2022, C-459 del 18 de julio de 2022, C-460 del 18 de julio de 2022, C-464 del 19 de julio de 2022, C-473 del 25 de julio de 2022, C-474 del 26 de julio de 2022, C-</w:t>
      </w:r>
      <w:r w:rsidR="006818F0" w:rsidRPr="004900D3">
        <w:rPr>
          <w:rFonts w:ascii="Arial" w:eastAsia="Calibri" w:hAnsi="Arial" w:cs="Arial"/>
          <w:sz w:val="22"/>
          <w:szCs w:val="22"/>
          <w:lang w:val="es-ES_tradnl"/>
        </w:rPr>
        <w:lastRenderedPageBreak/>
        <w:t>485 del 26 de julio de 2022, C-490 del 26 de julio de 2022, C-523 del 16 de agosto de 2022, C-539 del 29 de agosto de 2022, C-585 del 19 de septiembre de 2022, C-587 del 21 de septiembre de 2022, C-597 del 9 de septiembre de 2022, C-627 del 12 de septiembre de 2022, C-643 del 10 de octubre de 2022, C-662 del 13 de octubre de 2022, C-699 del 25 de octubre de 2022, C-744 del 08 de noviembre de 2022 y C-758 del 10 de noviembre de 2022,</w:t>
      </w:r>
      <w:r>
        <w:rPr>
          <w:rFonts w:ascii="Arial" w:eastAsia="Calibri" w:hAnsi="Arial" w:cs="Arial"/>
          <w:sz w:val="22"/>
          <w:szCs w:val="22"/>
          <w:lang w:val="es-ES_tradnl"/>
        </w:rPr>
        <w:t xml:space="preserve"> esta Agencia se pronunció sobre la nueva regulación de la promoción del desarrollo en la contratación estatal contenida en el artículo 34 de la Ley 2069 de 2020</w:t>
      </w:r>
      <w:r>
        <w:rPr>
          <w:rStyle w:val="Refdenotaalpie"/>
          <w:rFonts w:ascii="Arial" w:eastAsia="Calibri" w:hAnsi="Arial" w:cs="Arial"/>
          <w:sz w:val="22"/>
          <w:szCs w:val="22"/>
          <w:lang w:val="es-ES_tradnl"/>
        </w:rPr>
        <w:footnoteReference w:id="2"/>
      </w:r>
      <w:r>
        <w:rPr>
          <w:rFonts w:ascii="Arial" w:eastAsia="Calibri" w:hAnsi="Arial" w:cs="Arial"/>
          <w:sz w:val="22"/>
          <w:szCs w:val="22"/>
          <w:lang w:val="es-ES_tradnl"/>
        </w:rPr>
        <w:t xml:space="preserve">. </w:t>
      </w:r>
      <w:r w:rsidR="00BC2F4D" w:rsidRPr="00E858D2">
        <w:rPr>
          <w:rFonts w:ascii="Arial" w:eastAsia="Arial" w:hAnsi="Arial" w:cs="Arial"/>
          <w:sz w:val="22"/>
          <w:lang w:val="es-ES_tradnl"/>
        </w:rPr>
        <w:t xml:space="preserve">Algunas de las ideas expuestas en dichas oportunidades se retoman y complementan a continuación para desarrollar la tesis del presente concepto.    </w:t>
      </w:r>
    </w:p>
    <w:p w14:paraId="27DA9246" w14:textId="77777777" w:rsidR="00BA79B8" w:rsidRPr="001C75C1" w:rsidRDefault="00BA79B8" w:rsidP="00F3144F">
      <w:pPr>
        <w:spacing w:line="276" w:lineRule="auto"/>
        <w:jc w:val="both"/>
        <w:rPr>
          <w:rFonts w:ascii="Arial" w:eastAsia="Calibri" w:hAnsi="Arial" w:cs="Arial"/>
          <w:color w:val="000000" w:themeColor="text1"/>
          <w:sz w:val="22"/>
          <w:szCs w:val="22"/>
          <w:lang w:val="es-ES_tradnl"/>
        </w:rPr>
      </w:pPr>
    </w:p>
    <w:p w14:paraId="4446C693" w14:textId="7015E7E5" w:rsidR="00AE02C4" w:rsidRDefault="00063085" w:rsidP="00F3144F">
      <w:pPr>
        <w:tabs>
          <w:tab w:val="left" w:pos="709"/>
        </w:tabs>
        <w:spacing w:line="276" w:lineRule="auto"/>
        <w:jc w:val="both"/>
        <w:rPr>
          <w:rFonts w:ascii="Arial" w:eastAsia="Calibri" w:hAnsi="Arial" w:cs="Arial"/>
          <w:b/>
          <w:bCs/>
          <w:color w:val="000000" w:themeColor="text1"/>
          <w:sz w:val="22"/>
          <w:szCs w:val="22"/>
          <w:lang w:val="es-ES_tradnl"/>
        </w:rPr>
      </w:pPr>
      <w:r>
        <w:rPr>
          <w:rFonts w:ascii="Arial" w:eastAsia="Calibri" w:hAnsi="Arial" w:cs="Arial"/>
          <w:b/>
          <w:bCs/>
          <w:color w:val="000000" w:themeColor="text1"/>
          <w:sz w:val="22"/>
          <w:szCs w:val="22"/>
          <w:lang w:val="es-ES_tradnl"/>
        </w:rPr>
        <w:t>2.1</w:t>
      </w:r>
      <w:r w:rsidR="00645494">
        <w:rPr>
          <w:rFonts w:ascii="Arial" w:eastAsia="Calibri" w:hAnsi="Arial" w:cs="Arial"/>
          <w:b/>
          <w:bCs/>
          <w:color w:val="000000" w:themeColor="text1"/>
          <w:sz w:val="22"/>
          <w:szCs w:val="22"/>
          <w:lang w:val="es-ES_tradnl"/>
        </w:rPr>
        <w:t>.</w:t>
      </w:r>
      <w:r w:rsidR="00CF148D">
        <w:rPr>
          <w:rFonts w:ascii="Arial" w:eastAsia="Calibri" w:hAnsi="Arial" w:cs="Arial"/>
          <w:b/>
          <w:bCs/>
          <w:color w:val="000000" w:themeColor="text1"/>
          <w:sz w:val="22"/>
          <w:szCs w:val="22"/>
          <w:lang w:val="es-ES_tradnl"/>
        </w:rPr>
        <w:t xml:space="preserve"> </w:t>
      </w:r>
      <w:bookmarkStart w:id="4" w:name="_Hlk94169601"/>
      <w:r w:rsidR="00AE02C4" w:rsidRPr="00AE02C4">
        <w:rPr>
          <w:rFonts w:ascii="Arial" w:eastAsia="Calibri" w:hAnsi="Arial" w:cs="Arial"/>
          <w:b/>
          <w:bCs/>
          <w:color w:val="000000" w:themeColor="text1"/>
          <w:sz w:val="22"/>
          <w:szCs w:val="22"/>
          <w:lang w:val="es-ES_tradnl"/>
        </w:rPr>
        <w:t>Modalidad de selección de mínima cuantía. Regulación y características del procedimiento</w:t>
      </w:r>
    </w:p>
    <w:p w14:paraId="71DA0ABE" w14:textId="77777777" w:rsidR="008C0F4F" w:rsidRDefault="008C0F4F" w:rsidP="00F3144F">
      <w:pPr>
        <w:tabs>
          <w:tab w:val="left" w:pos="709"/>
        </w:tabs>
        <w:spacing w:line="276" w:lineRule="auto"/>
        <w:jc w:val="both"/>
        <w:rPr>
          <w:rFonts w:ascii="Arial" w:eastAsia="Calibri" w:hAnsi="Arial" w:cs="Arial"/>
          <w:b/>
          <w:bCs/>
          <w:color w:val="000000" w:themeColor="text1"/>
          <w:sz w:val="22"/>
          <w:szCs w:val="22"/>
          <w:lang w:val="es-ES_tradnl"/>
        </w:rPr>
      </w:pPr>
    </w:p>
    <w:p w14:paraId="757FECDB" w14:textId="68E194AD" w:rsidR="00063085" w:rsidRPr="00063085" w:rsidRDefault="00063085" w:rsidP="00F3144F">
      <w:pPr>
        <w:tabs>
          <w:tab w:val="left" w:pos="709"/>
        </w:tabs>
        <w:spacing w:after="120" w:line="276" w:lineRule="auto"/>
        <w:jc w:val="both"/>
        <w:rPr>
          <w:rFonts w:ascii="Arial" w:eastAsia="Calibri" w:hAnsi="Arial" w:cs="Arial"/>
          <w:bCs/>
          <w:color w:val="000000"/>
          <w:sz w:val="22"/>
          <w:szCs w:val="22"/>
          <w:lang w:val="es-ES_tradnl" w:eastAsia="en-US"/>
        </w:rPr>
      </w:pPr>
      <w:r w:rsidRPr="00063085">
        <w:rPr>
          <w:rFonts w:ascii="Arial" w:eastAsia="Calibri" w:hAnsi="Arial" w:cs="Arial"/>
          <w:bCs/>
          <w:color w:val="000000"/>
          <w:sz w:val="22"/>
          <w:szCs w:val="22"/>
          <w:lang w:val="es-ES_tradnl" w:eastAsia="en-US"/>
        </w:rPr>
        <w:t>El artículo 30 de la Ley 2069 de 2020</w:t>
      </w:r>
      <w:r w:rsidR="00510A3E">
        <w:rPr>
          <w:rFonts w:ascii="Arial" w:eastAsia="Calibri" w:hAnsi="Arial" w:cs="Arial"/>
          <w:bCs/>
          <w:color w:val="000000"/>
          <w:sz w:val="22"/>
          <w:szCs w:val="22"/>
          <w:lang w:val="es-ES_tradnl" w:eastAsia="en-US"/>
        </w:rPr>
        <w:t>, también denominada Ley de Emprendimiento,</w:t>
      </w:r>
      <w:r w:rsidRPr="00063085">
        <w:rPr>
          <w:rFonts w:ascii="Arial" w:eastAsia="Calibri" w:hAnsi="Arial" w:cs="Arial"/>
          <w:bCs/>
          <w:color w:val="000000"/>
          <w:sz w:val="22"/>
          <w:szCs w:val="22"/>
          <w:lang w:val="es-ES_tradnl" w:eastAsia="en-US"/>
        </w:rPr>
        <w:t xml:space="preserve"> modifica el numeral 5 del artículo 2 de la Ley 1150 de 2007, el cual regula </w:t>
      </w:r>
      <w:r w:rsidR="00510A3E">
        <w:rPr>
          <w:rFonts w:ascii="Arial" w:eastAsia="Calibri" w:hAnsi="Arial" w:cs="Arial"/>
          <w:bCs/>
          <w:color w:val="000000"/>
          <w:sz w:val="22"/>
          <w:szCs w:val="22"/>
          <w:lang w:val="es-ES_tradnl" w:eastAsia="en-US"/>
        </w:rPr>
        <w:t xml:space="preserve">el Proceso de Contratación </w:t>
      </w:r>
      <w:proofErr w:type="gramStart"/>
      <w:r w:rsidR="00510A3E">
        <w:rPr>
          <w:rFonts w:ascii="Arial" w:eastAsia="Calibri" w:hAnsi="Arial" w:cs="Arial"/>
          <w:bCs/>
          <w:color w:val="000000"/>
          <w:sz w:val="22"/>
          <w:szCs w:val="22"/>
          <w:lang w:val="es-ES_tradnl" w:eastAsia="en-US"/>
        </w:rPr>
        <w:t xml:space="preserve">de </w:t>
      </w:r>
      <w:r w:rsidRPr="00063085">
        <w:rPr>
          <w:rFonts w:ascii="Arial" w:eastAsia="Calibri" w:hAnsi="Arial" w:cs="Arial"/>
          <w:bCs/>
          <w:color w:val="000000"/>
          <w:sz w:val="22"/>
          <w:szCs w:val="22"/>
          <w:lang w:val="es-ES_tradnl" w:eastAsia="en-US"/>
        </w:rPr>
        <w:t xml:space="preserve"> mínima</w:t>
      </w:r>
      <w:proofErr w:type="gramEnd"/>
      <w:r w:rsidRPr="00063085">
        <w:rPr>
          <w:rFonts w:ascii="Arial" w:eastAsia="Calibri" w:hAnsi="Arial" w:cs="Arial"/>
          <w:bCs/>
          <w:color w:val="000000"/>
          <w:sz w:val="22"/>
          <w:szCs w:val="22"/>
          <w:lang w:val="es-ES_tradnl" w:eastAsia="en-US"/>
        </w:rPr>
        <w:t xml:space="preserve"> cuantía. En esta modalidad de selección, la entidad estatal realiza una convocatoria pública para recibir ofertas de bienes o servicios cuyo valor no excede el diez por ciento </w:t>
      </w:r>
      <w:r w:rsidR="006818F0">
        <w:rPr>
          <w:rFonts w:ascii="Arial" w:eastAsia="Calibri" w:hAnsi="Arial" w:cs="Arial"/>
          <w:bCs/>
          <w:color w:val="000000"/>
          <w:sz w:val="22"/>
          <w:szCs w:val="22"/>
          <w:lang w:val="es-ES_tradnl" w:eastAsia="en-US"/>
        </w:rPr>
        <w:t>(</w:t>
      </w:r>
      <w:r w:rsidRPr="00063085">
        <w:rPr>
          <w:rFonts w:ascii="Arial" w:eastAsia="Calibri" w:hAnsi="Arial" w:cs="Arial"/>
          <w:bCs/>
          <w:color w:val="000000"/>
          <w:sz w:val="22"/>
          <w:szCs w:val="22"/>
          <w:lang w:val="es-ES_tradnl" w:eastAsia="en-US"/>
        </w:rPr>
        <w:t>10%</w:t>
      </w:r>
      <w:r w:rsidR="006818F0">
        <w:rPr>
          <w:rFonts w:ascii="Arial" w:eastAsia="Calibri" w:hAnsi="Arial" w:cs="Arial"/>
          <w:bCs/>
          <w:color w:val="000000"/>
          <w:sz w:val="22"/>
          <w:szCs w:val="22"/>
          <w:lang w:val="es-ES_tradnl" w:eastAsia="en-US"/>
        </w:rPr>
        <w:t>)</w:t>
      </w:r>
      <w:r w:rsidRPr="00063085">
        <w:rPr>
          <w:rFonts w:ascii="Arial" w:eastAsia="Calibri" w:hAnsi="Arial" w:cs="Arial"/>
          <w:bCs/>
          <w:color w:val="000000"/>
          <w:sz w:val="22"/>
          <w:szCs w:val="22"/>
          <w:lang w:val="es-ES_tradnl" w:eastAsia="en-US"/>
        </w:rPr>
        <w:t xml:space="preserve"> de la menor cuantía</w:t>
      </w:r>
      <w:r w:rsidR="00510A3E">
        <w:rPr>
          <w:rFonts w:ascii="Arial" w:eastAsia="Calibri" w:hAnsi="Arial" w:cs="Arial"/>
          <w:bCs/>
          <w:color w:val="000000"/>
          <w:sz w:val="22"/>
          <w:szCs w:val="22"/>
          <w:lang w:val="es-ES_tradnl" w:eastAsia="en-US"/>
        </w:rPr>
        <w:t xml:space="preserve"> de la entidad</w:t>
      </w:r>
      <w:r w:rsidRPr="00063085">
        <w:rPr>
          <w:rFonts w:ascii="Arial" w:eastAsia="Calibri" w:hAnsi="Arial" w:cs="Arial"/>
          <w:bCs/>
          <w:color w:val="000000"/>
          <w:sz w:val="22"/>
          <w:szCs w:val="22"/>
          <w:lang w:val="es-ES_tradnl" w:eastAsia="en-US"/>
        </w:rPr>
        <w:t xml:space="preserve">. Fue creada por el artículo 274 de la Ley 1450 de 2011 y modificada por </w:t>
      </w:r>
      <w:bookmarkStart w:id="5" w:name="_Hlk69566698"/>
      <w:r w:rsidRPr="00063085">
        <w:rPr>
          <w:rFonts w:ascii="Arial" w:eastAsia="Calibri" w:hAnsi="Arial" w:cs="Arial"/>
          <w:bCs/>
          <w:color w:val="000000"/>
          <w:sz w:val="22"/>
          <w:szCs w:val="22"/>
          <w:lang w:val="es-ES_tradnl" w:eastAsia="en-US"/>
        </w:rPr>
        <w:t>el artículo 94 de la Ley 1474 de 2011</w:t>
      </w:r>
      <w:bookmarkEnd w:id="5"/>
      <w:r w:rsidRPr="00063085">
        <w:rPr>
          <w:rFonts w:ascii="Arial" w:eastAsia="Calibri" w:hAnsi="Arial" w:cs="Arial"/>
          <w:bCs/>
          <w:color w:val="000000"/>
          <w:sz w:val="22"/>
          <w:szCs w:val="22"/>
          <w:lang w:val="es-ES_tradnl" w:eastAsia="en-US"/>
        </w:rPr>
        <w:t>, disponiendo que el factor determinante para adelantarla es el valor del presupuesto oficial con independencia de su objeto. Por lo demás, como en este procedimiento el contrato se perfecciona con la aceptación de la oferta, se considera un sucedáneo de los denominados «contratos sin formalidades plenas»</w:t>
      </w:r>
      <w:r w:rsidRPr="00063085">
        <w:rPr>
          <w:rFonts w:ascii="Arial" w:eastAsia="Calibri" w:hAnsi="Arial" w:cs="Arial"/>
          <w:bCs/>
          <w:color w:val="000000"/>
          <w:sz w:val="22"/>
          <w:szCs w:val="22"/>
          <w:vertAlign w:val="superscript"/>
          <w:lang w:val="es-ES_tradnl" w:eastAsia="en-US"/>
        </w:rPr>
        <w:footnoteReference w:id="3"/>
      </w:r>
      <w:r w:rsidRPr="00063085">
        <w:rPr>
          <w:rFonts w:ascii="Arial" w:eastAsia="Calibri" w:hAnsi="Arial" w:cs="Arial"/>
          <w:bCs/>
          <w:color w:val="000000"/>
          <w:sz w:val="22"/>
          <w:szCs w:val="22"/>
          <w:lang w:val="es-ES_tradnl" w:eastAsia="en-US"/>
        </w:rPr>
        <w:t>.</w:t>
      </w:r>
    </w:p>
    <w:p w14:paraId="47AE7A81" w14:textId="0D2703E4" w:rsidR="00063085" w:rsidRPr="00063085" w:rsidRDefault="00063085" w:rsidP="00F3144F">
      <w:pPr>
        <w:tabs>
          <w:tab w:val="left" w:pos="709"/>
        </w:tabs>
        <w:spacing w:after="120" w:line="276" w:lineRule="auto"/>
        <w:jc w:val="both"/>
        <w:rPr>
          <w:rFonts w:ascii="Arial" w:eastAsia="Calibri" w:hAnsi="Arial" w:cs="Arial"/>
          <w:bCs/>
          <w:color w:val="000000"/>
          <w:sz w:val="22"/>
          <w:szCs w:val="22"/>
          <w:lang w:val="es-ES_tradnl" w:eastAsia="en-US"/>
        </w:rPr>
      </w:pPr>
      <w:r w:rsidRPr="00063085">
        <w:rPr>
          <w:rFonts w:ascii="Arial" w:eastAsia="Calibri" w:hAnsi="Arial" w:cs="Arial"/>
          <w:bCs/>
          <w:color w:val="000000"/>
          <w:sz w:val="22"/>
          <w:szCs w:val="22"/>
          <w:lang w:val="es-ES_tradnl" w:eastAsia="en-US"/>
        </w:rPr>
        <w:tab/>
        <w:t xml:space="preserve">En esencia, el artículo 30 de la Ley 2069 de 2020 conserva a grandes rasgos el procedimiento previsto en el derogado artículo 94 de la Ley 1474 de 2011, el cual define </w:t>
      </w:r>
      <w:r w:rsidRPr="00063085">
        <w:rPr>
          <w:rFonts w:ascii="Arial" w:eastAsia="Calibri" w:hAnsi="Arial" w:cs="Arial"/>
          <w:bCs/>
          <w:color w:val="000000"/>
          <w:sz w:val="22"/>
          <w:szCs w:val="22"/>
          <w:lang w:val="es-ES_tradnl" w:eastAsia="en-US"/>
        </w:rPr>
        <w:lastRenderedPageBreak/>
        <w:t>los aspectos generales del procedimiento contractual</w:t>
      </w:r>
      <w:r w:rsidRPr="00063085">
        <w:rPr>
          <w:rFonts w:ascii="Arial" w:eastAsia="Calibri" w:hAnsi="Arial" w:cs="Arial"/>
          <w:bCs/>
          <w:color w:val="000000"/>
          <w:sz w:val="22"/>
          <w:szCs w:val="22"/>
          <w:vertAlign w:val="superscript"/>
          <w:lang w:val="es-ES_tradnl" w:eastAsia="en-US"/>
        </w:rPr>
        <w:footnoteReference w:id="4"/>
      </w:r>
      <w:r w:rsidRPr="00063085">
        <w:rPr>
          <w:rFonts w:ascii="Arial" w:eastAsia="Calibri" w:hAnsi="Arial" w:cs="Arial"/>
          <w:bCs/>
          <w:color w:val="000000"/>
          <w:sz w:val="22"/>
          <w:szCs w:val="22"/>
          <w:lang w:val="es-ES_tradnl" w:eastAsia="en-US"/>
        </w:rPr>
        <w:t xml:space="preserve">. No obstante, aludiendo expresamente al desarrollo reglamentario, el parágrafo primero introduce el siguiente cambio: «Las particularidades del procedimiento aquí previsto, así como la posibilidad que tengan las entidades de realizar estas adquisiciones </w:t>
      </w:r>
      <w:r w:rsidRPr="00063085">
        <w:rPr>
          <w:rFonts w:ascii="Arial" w:eastAsia="Calibri" w:hAnsi="Arial" w:cs="Arial"/>
          <w:bCs/>
          <w:i/>
          <w:iCs/>
          <w:color w:val="000000"/>
          <w:sz w:val="22"/>
          <w:szCs w:val="22"/>
          <w:lang w:val="es-ES_tradnl" w:eastAsia="en-US"/>
        </w:rPr>
        <w:t xml:space="preserve">a </w:t>
      </w:r>
      <w:r w:rsidR="00262E05" w:rsidRPr="00063085">
        <w:rPr>
          <w:rFonts w:ascii="Arial" w:eastAsia="Calibri" w:hAnsi="Arial" w:cs="Arial"/>
          <w:bCs/>
          <w:i/>
          <w:iCs/>
          <w:color w:val="000000"/>
          <w:sz w:val="22"/>
          <w:szCs w:val="22"/>
          <w:lang w:val="es-ES_tradnl" w:eastAsia="en-US"/>
        </w:rPr>
        <w:t>Mi</w:t>
      </w:r>
      <w:r w:rsidR="00262E05">
        <w:rPr>
          <w:rFonts w:ascii="Arial" w:eastAsia="Calibri" w:hAnsi="Arial" w:cs="Arial"/>
          <w:bCs/>
          <w:i/>
          <w:iCs/>
          <w:color w:val="000000"/>
          <w:sz w:val="22"/>
          <w:szCs w:val="22"/>
          <w:lang w:val="es-ES_tradnl" w:eastAsia="en-US"/>
        </w:rPr>
        <w:t>P</w:t>
      </w:r>
      <w:r w:rsidR="00262E05" w:rsidRPr="00063085">
        <w:rPr>
          <w:rFonts w:ascii="Arial" w:eastAsia="Calibri" w:hAnsi="Arial" w:cs="Arial"/>
          <w:bCs/>
          <w:i/>
          <w:iCs/>
          <w:color w:val="000000"/>
          <w:sz w:val="22"/>
          <w:szCs w:val="22"/>
          <w:lang w:val="es-ES_tradnl" w:eastAsia="en-US"/>
        </w:rPr>
        <w:t>ymes</w:t>
      </w:r>
      <w:r w:rsidR="00262E05" w:rsidRPr="00063085">
        <w:rPr>
          <w:rFonts w:ascii="Arial" w:eastAsia="Calibri" w:hAnsi="Arial" w:cs="Arial"/>
          <w:bCs/>
          <w:color w:val="000000"/>
          <w:sz w:val="22"/>
          <w:szCs w:val="22"/>
          <w:lang w:val="es-ES_tradnl" w:eastAsia="en-US"/>
        </w:rPr>
        <w:t xml:space="preserve"> </w:t>
      </w:r>
      <w:r w:rsidRPr="00063085">
        <w:rPr>
          <w:rFonts w:ascii="Arial" w:eastAsia="Calibri" w:hAnsi="Arial" w:cs="Arial"/>
          <w:bCs/>
          <w:color w:val="000000"/>
          <w:sz w:val="22"/>
          <w:szCs w:val="22"/>
          <w:lang w:val="es-ES_tradnl" w:eastAsia="en-US"/>
        </w:rPr>
        <w:t xml:space="preserve">o establecimientos que correspondan a la definición de "gran almacén" señalada por la Superintendencia de Industria y Comercio, se determinarán en el reglamento que para el efecto expida el Gobierno Nacional» (Énfasis fuera de texto). </w:t>
      </w:r>
    </w:p>
    <w:p w14:paraId="60593B9E" w14:textId="4FEE0BDC" w:rsidR="00063085" w:rsidRDefault="00063085" w:rsidP="00F3144F">
      <w:pPr>
        <w:tabs>
          <w:tab w:val="left" w:pos="709"/>
        </w:tabs>
        <w:spacing w:after="120" w:line="276" w:lineRule="auto"/>
        <w:jc w:val="both"/>
        <w:rPr>
          <w:rFonts w:ascii="Arial" w:eastAsia="Calibri" w:hAnsi="Arial" w:cs="Arial"/>
          <w:bCs/>
          <w:color w:val="000000"/>
          <w:sz w:val="22"/>
          <w:szCs w:val="22"/>
          <w:lang w:val="es-ES_tradnl" w:eastAsia="en-US"/>
        </w:rPr>
      </w:pPr>
      <w:r w:rsidRPr="00063085">
        <w:rPr>
          <w:rFonts w:ascii="Arial" w:eastAsia="Calibri" w:hAnsi="Arial" w:cs="Arial"/>
          <w:bCs/>
          <w:color w:val="000000"/>
          <w:sz w:val="22"/>
          <w:szCs w:val="22"/>
          <w:lang w:val="es-ES_tradnl" w:eastAsia="en-US"/>
        </w:rPr>
        <w:tab/>
        <w:t xml:space="preserve">Esta modificación es importante, pues antes de la Ley de Emprendimiento era imposible limitar a </w:t>
      </w:r>
      <w:r w:rsidR="004B70DF">
        <w:rPr>
          <w:rFonts w:ascii="Arial" w:eastAsia="Calibri" w:hAnsi="Arial" w:cs="Arial"/>
          <w:bCs/>
          <w:color w:val="000000"/>
          <w:sz w:val="22"/>
          <w:szCs w:val="22"/>
          <w:lang w:val="es-ES_tradnl" w:eastAsia="en-US"/>
        </w:rPr>
        <w:t>M</w:t>
      </w:r>
      <w:r w:rsidRPr="00063085">
        <w:rPr>
          <w:rFonts w:ascii="Arial" w:eastAsia="Calibri" w:hAnsi="Arial" w:cs="Arial"/>
          <w:bCs/>
          <w:color w:val="000000"/>
          <w:sz w:val="22"/>
          <w:szCs w:val="22"/>
          <w:lang w:val="es-ES_tradnl" w:eastAsia="en-US"/>
        </w:rPr>
        <w:t>ipyme la mínima cuantía, especialmente, cuando el artículo 94 la Ley 1474 de 2011 disponía que no era aplicable la Ley 816 de 2003, «Por medio de la cual se apoya a la industria nacional a través de la contratación pública</w:t>
      </w:r>
      <w:r w:rsidRPr="00063085">
        <w:rPr>
          <w:rFonts w:ascii="Arial" w:eastAsia="Calibri" w:hAnsi="Arial" w:cs="Arial"/>
          <w:color w:val="000000"/>
          <w:sz w:val="22"/>
          <w:szCs w:val="22"/>
          <w:lang w:val="es-ES_tradnl" w:eastAsia="en-US"/>
        </w:rPr>
        <w:t xml:space="preserve">», ni </w:t>
      </w:r>
      <w:r w:rsidRPr="00063085">
        <w:rPr>
          <w:rFonts w:ascii="Arial" w:eastAsia="Calibri" w:hAnsi="Arial" w:cs="Arial"/>
          <w:bCs/>
          <w:color w:val="000000"/>
          <w:sz w:val="22"/>
          <w:szCs w:val="22"/>
          <w:lang w:val="es-ES_tradnl" w:eastAsia="en-US"/>
        </w:rPr>
        <w:t xml:space="preserve">el artículo 12 de la Ley 1150 de 2007, relacionado con la promoción del desarrollo en la contratación pública. A partir de la expedición del </w:t>
      </w:r>
      <w:r w:rsidR="00262E05" w:rsidRPr="00063085">
        <w:rPr>
          <w:rFonts w:ascii="Arial" w:eastAsia="Calibri" w:hAnsi="Arial" w:cs="Arial"/>
          <w:bCs/>
          <w:color w:val="000000"/>
          <w:sz w:val="22"/>
          <w:szCs w:val="22"/>
          <w:lang w:val="es-ES_tradnl" w:eastAsia="en-US"/>
        </w:rPr>
        <w:t>parágrafo 2</w:t>
      </w:r>
      <w:r w:rsidR="00262E05">
        <w:rPr>
          <w:rFonts w:ascii="Arial" w:eastAsia="Calibri" w:hAnsi="Arial" w:cs="Arial"/>
          <w:bCs/>
          <w:color w:val="000000"/>
          <w:sz w:val="22"/>
          <w:szCs w:val="22"/>
          <w:lang w:val="es-ES_tradnl" w:eastAsia="en-US"/>
        </w:rPr>
        <w:t xml:space="preserve"> del </w:t>
      </w:r>
      <w:r w:rsidRPr="00063085">
        <w:rPr>
          <w:rFonts w:ascii="Arial" w:eastAsia="Calibri" w:hAnsi="Arial" w:cs="Arial"/>
          <w:bCs/>
          <w:color w:val="000000"/>
          <w:sz w:val="22"/>
          <w:szCs w:val="22"/>
          <w:lang w:val="es-ES_tradnl" w:eastAsia="en-US"/>
        </w:rPr>
        <w:t xml:space="preserve">artículo </w:t>
      </w:r>
      <w:proofErr w:type="gramStart"/>
      <w:r w:rsidRPr="00063085">
        <w:rPr>
          <w:rFonts w:ascii="Arial" w:eastAsia="Calibri" w:hAnsi="Arial" w:cs="Arial"/>
          <w:bCs/>
          <w:color w:val="000000"/>
          <w:sz w:val="22"/>
          <w:szCs w:val="22"/>
          <w:lang w:val="es-ES_tradnl" w:eastAsia="en-US"/>
        </w:rPr>
        <w:t>30  de</w:t>
      </w:r>
      <w:proofErr w:type="gramEnd"/>
      <w:r w:rsidRPr="00063085">
        <w:rPr>
          <w:rFonts w:ascii="Arial" w:eastAsia="Calibri" w:hAnsi="Arial" w:cs="Arial"/>
          <w:bCs/>
          <w:color w:val="000000"/>
          <w:sz w:val="22"/>
          <w:szCs w:val="22"/>
          <w:lang w:val="es-ES_tradnl" w:eastAsia="en-US"/>
        </w:rPr>
        <w:t xml:space="preserve"> la Ley 2069 de 2020, «La contratación a que se refiere el presente artículo se realizará exclusivamente con las reglas en él contempladas y en su reglamentación. En particular no se aplicará lo previsto en la Ley 816 de 2003». Es decir, al no prohibir la aplicación del artículo 12 de la Ley 1150 de 2007, la norma –además de reiterar la importancia de su reglamentación posterior– permite las convocatorias limitadas a </w:t>
      </w:r>
      <w:r w:rsidR="00F85547" w:rsidRPr="00063085">
        <w:rPr>
          <w:rFonts w:ascii="Arial" w:eastAsia="Calibri" w:hAnsi="Arial" w:cs="Arial"/>
          <w:bCs/>
          <w:color w:val="000000"/>
          <w:sz w:val="22"/>
          <w:szCs w:val="22"/>
          <w:lang w:val="es-ES_tradnl" w:eastAsia="en-US"/>
        </w:rPr>
        <w:t xml:space="preserve">Mipymes </w:t>
      </w:r>
      <w:r w:rsidRPr="00063085">
        <w:rPr>
          <w:rFonts w:ascii="Arial" w:eastAsia="Calibri" w:hAnsi="Arial" w:cs="Arial"/>
          <w:bCs/>
          <w:color w:val="000000"/>
          <w:sz w:val="22"/>
          <w:szCs w:val="22"/>
          <w:lang w:val="es-ES_tradnl" w:eastAsia="en-US"/>
        </w:rPr>
        <w:t>en esta modalidad de selección.</w:t>
      </w:r>
      <w:r w:rsidR="002324A3">
        <w:rPr>
          <w:rFonts w:ascii="Arial" w:eastAsia="Calibri" w:hAnsi="Arial" w:cs="Arial"/>
          <w:bCs/>
          <w:color w:val="000000"/>
          <w:sz w:val="22"/>
          <w:szCs w:val="22"/>
          <w:lang w:val="es-ES_tradnl" w:eastAsia="en-US"/>
        </w:rPr>
        <w:t xml:space="preserve"> </w:t>
      </w:r>
      <w:r w:rsidRPr="00063085">
        <w:rPr>
          <w:rFonts w:ascii="Arial" w:eastAsia="Calibri" w:hAnsi="Arial" w:cs="Arial"/>
          <w:bCs/>
          <w:color w:val="000000"/>
          <w:sz w:val="22"/>
          <w:szCs w:val="22"/>
          <w:lang w:val="es-ES_tradnl" w:eastAsia="en-US"/>
        </w:rPr>
        <w:t xml:space="preserve">Como se observa, el parágrafo 1 del artículo 30 de la Ley 2069 de 2020 dispone que el reglamento es importante para regular: i) las «particularidades del procedimiento de selección» y ii) la posibilidad de realizar estas adquisiciones a </w:t>
      </w:r>
      <w:r w:rsidR="00F85547" w:rsidRPr="00063085">
        <w:rPr>
          <w:rFonts w:ascii="Arial" w:eastAsia="Calibri" w:hAnsi="Arial" w:cs="Arial"/>
          <w:bCs/>
          <w:color w:val="000000"/>
          <w:sz w:val="22"/>
          <w:szCs w:val="22"/>
          <w:lang w:val="es-ES_tradnl" w:eastAsia="en-US"/>
        </w:rPr>
        <w:t xml:space="preserve">Mipymes </w:t>
      </w:r>
      <w:r w:rsidRPr="00063085">
        <w:rPr>
          <w:rFonts w:ascii="Arial" w:eastAsia="Calibri" w:hAnsi="Arial" w:cs="Arial"/>
          <w:bCs/>
          <w:color w:val="000000"/>
          <w:sz w:val="22"/>
          <w:szCs w:val="22"/>
          <w:lang w:val="es-ES_tradnl" w:eastAsia="en-US"/>
        </w:rPr>
        <w:t>o establecimientos que correspondan a la definición de «gran almacén»</w:t>
      </w:r>
      <w:r>
        <w:rPr>
          <w:rFonts w:ascii="Arial" w:eastAsia="Calibri" w:hAnsi="Arial" w:cs="Arial"/>
          <w:bCs/>
          <w:color w:val="000000"/>
          <w:sz w:val="22"/>
          <w:szCs w:val="22"/>
          <w:lang w:val="es-ES_tradnl" w:eastAsia="en-US"/>
        </w:rPr>
        <w:t>.</w:t>
      </w:r>
    </w:p>
    <w:p w14:paraId="2551B19D" w14:textId="73BFBB53" w:rsidR="00B44BDA" w:rsidRPr="00B44BDA" w:rsidRDefault="00063085" w:rsidP="00F3144F">
      <w:pPr>
        <w:tabs>
          <w:tab w:val="left" w:pos="709"/>
        </w:tabs>
        <w:spacing w:after="120" w:line="276" w:lineRule="auto"/>
        <w:ind w:firstLine="709"/>
        <w:jc w:val="both"/>
        <w:rPr>
          <w:rFonts w:ascii="Arial" w:eastAsia="Calibri" w:hAnsi="Arial" w:cs="Arial"/>
          <w:bCs/>
          <w:color w:val="000000"/>
          <w:sz w:val="22"/>
          <w:szCs w:val="22"/>
          <w:lang w:eastAsia="en-US"/>
        </w:rPr>
      </w:pPr>
      <w:r>
        <w:rPr>
          <w:rFonts w:ascii="Arial" w:eastAsia="Calibri" w:hAnsi="Arial" w:cs="Arial"/>
          <w:bCs/>
          <w:color w:val="000000"/>
          <w:sz w:val="22"/>
          <w:szCs w:val="22"/>
          <w:lang w:val="es-ES_tradnl" w:eastAsia="en-US"/>
        </w:rPr>
        <w:t xml:space="preserve">Con fundamento en lo anterior, </w:t>
      </w:r>
      <w:r w:rsidR="003D408E">
        <w:rPr>
          <w:rFonts w:ascii="Arial" w:eastAsia="Calibri" w:hAnsi="Arial" w:cs="Arial"/>
          <w:color w:val="000000"/>
          <w:sz w:val="22"/>
          <w:szCs w:val="22"/>
          <w:lang w:val="es-ES_tradnl" w:eastAsia="en-US"/>
        </w:rPr>
        <w:t>el Gobierno Nacional expidió</w:t>
      </w:r>
      <w:r w:rsidR="006E0D16" w:rsidRPr="006617BC">
        <w:rPr>
          <w:rFonts w:ascii="Arial" w:eastAsia="Calibri" w:hAnsi="Arial" w:cs="Arial"/>
          <w:color w:val="000000"/>
          <w:sz w:val="22"/>
          <w:szCs w:val="22"/>
          <w:lang w:val="es-ES_tradnl" w:eastAsia="en-US"/>
        </w:rPr>
        <w:t xml:space="preserve"> el Decreto 1860 de</w:t>
      </w:r>
      <w:r w:rsidR="003D408E">
        <w:rPr>
          <w:rFonts w:ascii="Arial" w:eastAsia="Calibri" w:hAnsi="Arial" w:cs="Arial"/>
          <w:color w:val="000000"/>
          <w:sz w:val="22"/>
          <w:szCs w:val="22"/>
          <w:lang w:val="es-ES_tradnl" w:eastAsia="en-US"/>
        </w:rPr>
        <w:t>l</w:t>
      </w:r>
      <w:r w:rsidR="006E0D16" w:rsidRPr="006617BC">
        <w:rPr>
          <w:rFonts w:ascii="Arial" w:eastAsia="Calibri" w:hAnsi="Arial" w:cs="Arial"/>
          <w:color w:val="000000"/>
          <w:sz w:val="22"/>
          <w:szCs w:val="22"/>
          <w:lang w:val="es-ES_tradnl" w:eastAsia="en-US"/>
        </w:rPr>
        <w:t xml:space="preserve"> </w:t>
      </w:r>
      <w:r w:rsidR="002324A3">
        <w:rPr>
          <w:rFonts w:ascii="Arial" w:eastAsia="Calibri" w:hAnsi="Arial" w:cs="Arial"/>
          <w:color w:val="000000"/>
          <w:sz w:val="22"/>
          <w:szCs w:val="22"/>
          <w:lang w:val="es-ES_tradnl" w:eastAsia="en-US"/>
        </w:rPr>
        <w:t xml:space="preserve">24 de diciembre de </w:t>
      </w:r>
      <w:r w:rsidR="006E0D16" w:rsidRPr="006617BC">
        <w:rPr>
          <w:rFonts w:ascii="Arial" w:eastAsia="Calibri" w:hAnsi="Arial" w:cs="Arial"/>
          <w:color w:val="000000"/>
          <w:sz w:val="22"/>
          <w:szCs w:val="22"/>
          <w:lang w:val="es-ES_tradnl" w:eastAsia="en-US"/>
        </w:rPr>
        <w:t>2021</w:t>
      </w:r>
      <w:r w:rsidR="00CB690C">
        <w:rPr>
          <w:rFonts w:ascii="Arial" w:eastAsia="Calibri" w:hAnsi="Arial" w:cs="Arial"/>
          <w:color w:val="000000"/>
          <w:sz w:val="22"/>
          <w:szCs w:val="22"/>
          <w:lang w:val="es-ES_tradnl" w:eastAsia="en-US"/>
        </w:rPr>
        <w:t>,</w:t>
      </w:r>
      <w:r w:rsidR="006E0D16" w:rsidRPr="006617BC">
        <w:rPr>
          <w:rFonts w:ascii="Arial" w:eastAsia="Calibri" w:hAnsi="Arial" w:cs="Arial"/>
          <w:color w:val="000000"/>
          <w:sz w:val="22"/>
          <w:szCs w:val="22"/>
          <w:lang w:val="es-ES_tradnl" w:eastAsia="en-US"/>
        </w:rPr>
        <w:t xml:space="preserve"> </w:t>
      </w:r>
      <w:r w:rsidR="006E0D16" w:rsidRPr="006617BC">
        <w:rPr>
          <w:rFonts w:ascii="Arial" w:eastAsia="Calibri" w:hAnsi="Arial" w:cs="Arial"/>
          <w:bCs/>
          <w:color w:val="000000"/>
          <w:sz w:val="22"/>
          <w:szCs w:val="22"/>
          <w:lang w:val="es-ES_tradnl" w:eastAsia="en-US"/>
        </w:rPr>
        <w:t>«</w:t>
      </w:r>
      <w:r w:rsidR="00CB690C">
        <w:rPr>
          <w:rFonts w:ascii="Arial" w:eastAsia="Calibri" w:hAnsi="Arial" w:cs="Arial"/>
          <w:bCs/>
          <w:color w:val="000000"/>
          <w:sz w:val="22"/>
          <w:szCs w:val="22"/>
          <w:lang w:val="es-ES_tradnl" w:eastAsia="en-US"/>
        </w:rPr>
        <w:t>P</w:t>
      </w:r>
      <w:r w:rsidR="006E0D16" w:rsidRPr="006617BC">
        <w:rPr>
          <w:rFonts w:ascii="Arial" w:eastAsia="Calibri" w:hAnsi="Arial" w:cs="Arial"/>
          <w:bCs/>
          <w:color w:val="000000"/>
          <w:sz w:val="22"/>
          <w:szCs w:val="22"/>
          <w:lang w:val="es-ES_tradnl" w:eastAsia="en-US"/>
        </w:rPr>
        <w:t xml:space="preserve">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w:t>
      </w:r>
      <w:r w:rsidR="00B44BDA">
        <w:rPr>
          <w:rFonts w:ascii="Arial" w:eastAsia="Calibri" w:hAnsi="Arial" w:cs="Arial"/>
          <w:bCs/>
          <w:color w:val="000000"/>
          <w:sz w:val="22"/>
          <w:szCs w:val="22"/>
          <w:lang w:val="es-ES_tradnl" w:eastAsia="en-US"/>
        </w:rPr>
        <w:t>E</w:t>
      </w:r>
      <w:r w:rsidR="00B44BDA" w:rsidRPr="00B44BDA">
        <w:rPr>
          <w:rFonts w:ascii="Arial" w:eastAsia="Calibri" w:hAnsi="Arial" w:cs="Arial"/>
          <w:bCs/>
          <w:color w:val="000000"/>
          <w:sz w:val="22"/>
          <w:szCs w:val="22"/>
          <w:lang w:val="es-ES_tradnl" w:eastAsia="en-US"/>
        </w:rPr>
        <w:t xml:space="preserve">l artículo 8 </w:t>
      </w:r>
      <w:r w:rsidR="00B44BDA" w:rsidRPr="00B44BDA">
        <w:rPr>
          <w:rFonts w:ascii="Arial" w:eastAsia="Calibri" w:hAnsi="Arial" w:cs="Arial"/>
          <w:bCs/>
          <w:i/>
          <w:iCs/>
          <w:color w:val="000000"/>
          <w:sz w:val="22"/>
          <w:szCs w:val="22"/>
          <w:lang w:val="es-ES_tradnl" w:eastAsia="en-US"/>
        </w:rPr>
        <w:t>ibidem</w:t>
      </w:r>
      <w:r w:rsidR="00B44BDA">
        <w:rPr>
          <w:rFonts w:ascii="Arial" w:eastAsia="Calibri" w:hAnsi="Arial" w:cs="Arial"/>
          <w:bCs/>
          <w:color w:val="000000"/>
          <w:sz w:val="22"/>
          <w:szCs w:val="22"/>
          <w:lang w:val="es-ES_tradnl" w:eastAsia="en-US"/>
        </w:rPr>
        <w:t xml:space="preserve"> </w:t>
      </w:r>
      <w:r w:rsidR="00B44BDA" w:rsidRPr="00B44BDA">
        <w:rPr>
          <w:rFonts w:ascii="Arial" w:eastAsia="Calibri" w:hAnsi="Arial" w:cs="Arial"/>
          <w:bCs/>
          <w:color w:val="000000"/>
          <w:sz w:val="22"/>
          <w:szCs w:val="22"/>
          <w:lang w:val="es-ES_tradnl" w:eastAsia="en-US"/>
        </w:rPr>
        <w:t xml:space="preserve">sometió a un plazo la </w:t>
      </w:r>
      <w:proofErr w:type="gramStart"/>
      <w:r w:rsidR="00B44BDA" w:rsidRPr="00B44BDA">
        <w:rPr>
          <w:rFonts w:ascii="Arial" w:eastAsia="Calibri" w:hAnsi="Arial" w:cs="Arial"/>
          <w:bCs/>
          <w:color w:val="000000"/>
          <w:sz w:val="22"/>
          <w:szCs w:val="22"/>
          <w:lang w:val="es-ES_tradnl" w:eastAsia="en-US"/>
        </w:rPr>
        <w:t>entrada en vigencia</w:t>
      </w:r>
      <w:proofErr w:type="gramEnd"/>
      <w:r w:rsidR="00B44BDA" w:rsidRPr="00B44BDA">
        <w:rPr>
          <w:rFonts w:ascii="Arial" w:eastAsia="Calibri" w:hAnsi="Arial" w:cs="Arial"/>
          <w:bCs/>
          <w:color w:val="000000"/>
          <w:sz w:val="22"/>
          <w:szCs w:val="22"/>
          <w:lang w:val="es-ES_tradnl" w:eastAsia="en-US"/>
        </w:rPr>
        <w:t xml:space="preserve"> de sus disposiciones, al señalar que «aplicarán a los procedimientos de selección cuya invitación, aviso de convocatoria o documento equivalente se publique a los </w:t>
      </w:r>
      <w:r w:rsidR="00B44BDA" w:rsidRPr="00B44BDA">
        <w:rPr>
          <w:rFonts w:ascii="Arial" w:eastAsia="Calibri" w:hAnsi="Arial" w:cs="Arial"/>
          <w:bCs/>
          <w:color w:val="000000"/>
          <w:sz w:val="22"/>
          <w:szCs w:val="22"/>
          <w:lang w:val="es-ES_tradnl" w:eastAsia="en-US"/>
        </w:rPr>
        <w:lastRenderedPageBreak/>
        <w:t>tres (3) meses contados a partir de su expedición»</w:t>
      </w:r>
      <w:r w:rsidR="00B44BDA" w:rsidRPr="00B44BDA">
        <w:rPr>
          <w:rFonts w:ascii="Arial" w:eastAsia="Calibri" w:hAnsi="Arial" w:cs="Arial"/>
          <w:bCs/>
          <w:color w:val="000000"/>
          <w:sz w:val="22"/>
          <w:szCs w:val="22"/>
          <w:vertAlign w:val="superscript"/>
          <w:lang w:val="es-ES_tradnl" w:eastAsia="en-US"/>
        </w:rPr>
        <w:footnoteReference w:id="5"/>
      </w:r>
      <w:r w:rsidR="00262E05">
        <w:rPr>
          <w:rFonts w:ascii="Arial" w:eastAsia="Calibri" w:hAnsi="Arial" w:cs="Arial"/>
          <w:bCs/>
          <w:color w:val="000000"/>
          <w:sz w:val="22"/>
          <w:szCs w:val="22"/>
          <w:lang w:val="es-ES_tradnl" w:eastAsia="en-US"/>
        </w:rPr>
        <w:t>, es decir, que dicha reglamentación entró a operar a partir del 24 de marzo de 2022</w:t>
      </w:r>
      <w:r w:rsidR="002C3FB9">
        <w:rPr>
          <w:rFonts w:ascii="Arial" w:eastAsia="Calibri" w:hAnsi="Arial" w:cs="Arial"/>
          <w:bCs/>
          <w:color w:val="000000"/>
          <w:sz w:val="22"/>
          <w:szCs w:val="22"/>
          <w:lang w:eastAsia="en-US"/>
        </w:rPr>
        <w:t xml:space="preserve">. </w:t>
      </w:r>
    </w:p>
    <w:p w14:paraId="793AA6AB" w14:textId="58FEE201" w:rsidR="006E0D16" w:rsidRPr="006617BC" w:rsidRDefault="006E0D16" w:rsidP="00F3144F">
      <w:pPr>
        <w:tabs>
          <w:tab w:val="left" w:pos="709"/>
        </w:tabs>
        <w:spacing w:after="120" w:line="276" w:lineRule="auto"/>
        <w:ind w:firstLine="709"/>
        <w:jc w:val="both"/>
        <w:rPr>
          <w:rFonts w:ascii="Arial" w:eastAsia="Calibri" w:hAnsi="Arial" w:cs="Arial"/>
          <w:bCs/>
          <w:color w:val="000000"/>
          <w:sz w:val="22"/>
          <w:szCs w:val="22"/>
          <w:lang w:val="es-ES_tradnl" w:eastAsia="en-US"/>
        </w:rPr>
      </w:pPr>
      <w:r w:rsidRPr="006617BC">
        <w:rPr>
          <w:rFonts w:ascii="Arial" w:eastAsia="Calibri" w:hAnsi="Arial" w:cs="Arial"/>
          <w:bCs/>
          <w:color w:val="000000"/>
          <w:sz w:val="22"/>
          <w:szCs w:val="22"/>
          <w:lang w:val="es-ES_tradnl" w:eastAsia="en-US"/>
        </w:rPr>
        <w:t xml:space="preserve">Entre los aspectos reglamentados por el mencionado decreto se encuentra el procedimiento de mínima cuantía. </w:t>
      </w:r>
      <w:r w:rsidR="00F53B81">
        <w:rPr>
          <w:rFonts w:ascii="Arial" w:eastAsia="Calibri" w:hAnsi="Arial" w:cs="Arial"/>
          <w:bCs/>
          <w:color w:val="000000"/>
          <w:sz w:val="22"/>
          <w:szCs w:val="22"/>
          <w:lang w:val="es-ES_tradnl" w:eastAsia="en-US"/>
        </w:rPr>
        <w:t>Así las cosas</w:t>
      </w:r>
      <w:r w:rsidRPr="006617BC">
        <w:rPr>
          <w:rFonts w:ascii="Arial" w:eastAsia="Calibri" w:hAnsi="Arial" w:cs="Arial"/>
          <w:bCs/>
          <w:color w:val="000000"/>
          <w:sz w:val="22"/>
          <w:szCs w:val="22"/>
          <w:lang w:val="es-ES_tradnl" w:eastAsia="en-US"/>
        </w:rPr>
        <w:t>, el artículo 2 modifica la Subsección 5 de la Sección 1 del Capítulo 2 del Título 1 de la Parte</w:t>
      </w:r>
      <w:r w:rsidR="00213E2D">
        <w:rPr>
          <w:rFonts w:ascii="Arial" w:eastAsia="Calibri" w:hAnsi="Arial" w:cs="Arial"/>
          <w:bCs/>
          <w:color w:val="000000"/>
          <w:sz w:val="22"/>
          <w:szCs w:val="22"/>
          <w:lang w:val="es-ES_tradnl" w:eastAsia="en-US"/>
        </w:rPr>
        <w:t xml:space="preserve"> </w:t>
      </w:r>
      <w:r w:rsidRPr="006617BC">
        <w:rPr>
          <w:rFonts w:ascii="Arial" w:eastAsia="Calibri" w:hAnsi="Arial" w:cs="Arial"/>
          <w:bCs/>
          <w:color w:val="000000"/>
          <w:sz w:val="22"/>
          <w:szCs w:val="22"/>
          <w:lang w:val="es-ES_tradnl" w:eastAsia="en-US"/>
        </w:rPr>
        <w:t>2 del Libro 2 del Decreto 1082 de 2015, que se titula «</w:t>
      </w:r>
      <w:r w:rsidR="00262E05" w:rsidRPr="006617BC">
        <w:rPr>
          <w:rFonts w:ascii="Arial" w:eastAsia="Calibri" w:hAnsi="Arial" w:cs="Arial"/>
          <w:bCs/>
          <w:color w:val="000000"/>
          <w:sz w:val="22"/>
          <w:szCs w:val="22"/>
          <w:lang w:val="es-ES_tradnl" w:eastAsia="en-US"/>
        </w:rPr>
        <w:t>Mínima Cuantía</w:t>
      </w:r>
      <w:r w:rsidRPr="006617BC">
        <w:rPr>
          <w:rFonts w:ascii="Arial" w:eastAsia="Calibri" w:hAnsi="Arial" w:cs="Arial"/>
          <w:bCs/>
          <w:color w:val="000000"/>
          <w:sz w:val="22"/>
          <w:szCs w:val="22"/>
          <w:lang w:val="es-ES_tradnl" w:eastAsia="en-US"/>
        </w:rPr>
        <w:t>», por lo que reglamenta esta modalidad de selección con fundamento en lo establecido en el artículo 30 de la Ley 2069 de 2020.</w:t>
      </w:r>
      <w:r w:rsidR="00CD771A">
        <w:rPr>
          <w:rFonts w:ascii="Arial" w:eastAsia="Calibri" w:hAnsi="Arial" w:cs="Arial"/>
          <w:bCs/>
          <w:color w:val="000000"/>
          <w:sz w:val="22"/>
          <w:szCs w:val="22"/>
          <w:lang w:val="es-ES_tradnl" w:eastAsia="en-US"/>
        </w:rPr>
        <w:t xml:space="preserve"> </w:t>
      </w:r>
      <w:r w:rsidRPr="006617BC">
        <w:rPr>
          <w:rFonts w:ascii="Arial" w:eastAsia="Calibri" w:hAnsi="Arial" w:cs="Arial"/>
          <w:bCs/>
          <w:color w:val="000000"/>
          <w:sz w:val="22"/>
          <w:szCs w:val="22"/>
          <w:lang w:val="es-ES_tradnl" w:eastAsia="en-US"/>
        </w:rPr>
        <w:t xml:space="preserve">Teniendo en cuenta lo anterior, la nueva Subsección 5 a que se hizo referencia contiene los siguientes artículos: i) 2.2.1.2.1.5.1. que se ocupa de desarrollar el contenido de los estudios previos para la contratación de mínima </w:t>
      </w:r>
      <w:proofErr w:type="gramStart"/>
      <w:r w:rsidRPr="006617BC">
        <w:rPr>
          <w:rFonts w:ascii="Arial" w:eastAsia="Calibri" w:hAnsi="Arial" w:cs="Arial"/>
          <w:bCs/>
          <w:color w:val="000000"/>
          <w:sz w:val="22"/>
          <w:szCs w:val="22"/>
          <w:lang w:val="es-ES_tradnl" w:eastAsia="en-US"/>
        </w:rPr>
        <w:t>cuantía</w:t>
      </w:r>
      <w:r w:rsidR="006E4B20">
        <w:rPr>
          <w:rFonts w:ascii="Arial" w:eastAsia="Calibri" w:hAnsi="Arial" w:cs="Arial"/>
          <w:bCs/>
          <w:color w:val="000000"/>
          <w:sz w:val="22"/>
          <w:szCs w:val="22"/>
          <w:lang w:val="es-ES_tradnl" w:eastAsia="en-US"/>
        </w:rPr>
        <w:t>;</w:t>
      </w:r>
      <w:r w:rsidRPr="006617BC">
        <w:rPr>
          <w:rFonts w:ascii="Arial" w:eastAsia="Calibri" w:hAnsi="Arial" w:cs="Arial"/>
          <w:bCs/>
          <w:color w:val="000000"/>
          <w:sz w:val="22"/>
          <w:szCs w:val="22"/>
          <w:lang w:val="es-ES_tradnl" w:eastAsia="en-US"/>
        </w:rPr>
        <w:t>ii</w:t>
      </w:r>
      <w:proofErr w:type="gramEnd"/>
      <w:r w:rsidRPr="006617BC">
        <w:rPr>
          <w:rFonts w:ascii="Arial" w:eastAsia="Calibri" w:hAnsi="Arial" w:cs="Arial"/>
          <w:bCs/>
          <w:color w:val="000000"/>
          <w:sz w:val="22"/>
          <w:szCs w:val="22"/>
          <w:lang w:val="es-ES_tradnl" w:eastAsia="en-US"/>
        </w:rPr>
        <w:t>) 2.2.1.2.1.5.2. que contiene el procedimiento general de la mínima cuantía, señalando el contenido mínimo de la «invitación» y las distintas etapas y reglas que estructuran esta modalidad de selección, incluyendo la forma en que procederán las convocatorias limitadas a Mipyme, de acuerdo con el mandato del parágrafo 1 del artículo 30 de la Ley 2069 de 2020</w:t>
      </w:r>
      <w:r w:rsidR="006E4B20">
        <w:rPr>
          <w:rFonts w:ascii="Arial" w:eastAsia="Calibri" w:hAnsi="Arial" w:cs="Arial"/>
          <w:bCs/>
          <w:color w:val="000000"/>
          <w:sz w:val="22"/>
          <w:szCs w:val="22"/>
          <w:lang w:val="es-ES_tradnl" w:eastAsia="en-US"/>
        </w:rPr>
        <w:t>;</w:t>
      </w:r>
      <w:r w:rsidRPr="006617BC">
        <w:rPr>
          <w:rFonts w:ascii="Arial" w:eastAsia="Calibri" w:hAnsi="Arial" w:cs="Arial"/>
          <w:bCs/>
          <w:color w:val="000000"/>
          <w:sz w:val="22"/>
          <w:szCs w:val="22"/>
          <w:lang w:val="es-ES_tradnl" w:eastAsia="en-US"/>
        </w:rPr>
        <w:t xml:space="preserve"> iii) 2.2.1.2.1.5.3. que regula un procedimiento especial para las adquisiciones en grandes almacenes cuando se trate de mínima cuantía</w:t>
      </w:r>
      <w:r w:rsidR="006E4B20">
        <w:rPr>
          <w:rFonts w:ascii="Arial" w:eastAsia="Calibri" w:hAnsi="Arial" w:cs="Arial"/>
          <w:bCs/>
          <w:color w:val="000000"/>
          <w:sz w:val="22"/>
          <w:szCs w:val="22"/>
          <w:lang w:val="es-ES_tradnl" w:eastAsia="en-US"/>
        </w:rPr>
        <w:t>;</w:t>
      </w:r>
      <w:r w:rsidRPr="006617BC">
        <w:rPr>
          <w:rFonts w:ascii="Arial" w:eastAsia="Calibri" w:hAnsi="Arial" w:cs="Arial"/>
          <w:bCs/>
          <w:color w:val="000000"/>
          <w:sz w:val="22"/>
          <w:szCs w:val="22"/>
          <w:lang w:val="es-ES_tradnl" w:eastAsia="en-US"/>
        </w:rPr>
        <w:t xml:space="preserve"> iv) 2.2.1.2.1.5.4. el cual establece la posibilidad de la Agencia Nacional de Contratación Pública – Colombia Compra Eficiente defina las reglas para la utilización de instrumentos de agregación de demanda en la Tienda Virtual del Estado Colombiano para adquisiciones hasta el monto de la mínima cuantía con Mipyme y con grandes almacenes </w:t>
      </w:r>
      <w:r w:rsidR="006E4B20">
        <w:rPr>
          <w:rFonts w:ascii="Arial" w:eastAsia="Calibri" w:hAnsi="Arial" w:cs="Arial"/>
          <w:bCs/>
          <w:color w:val="000000"/>
          <w:sz w:val="22"/>
          <w:szCs w:val="22"/>
          <w:lang w:val="es-ES_tradnl" w:eastAsia="en-US"/>
        </w:rPr>
        <w:t>Y;</w:t>
      </w:r>
      <w:r w:rsidRPr="006617BC">
        <w:rPr>
          <w:rFonts w:ascii="Arial" w:eastAsia="Calibri" w:hAnsi="Arial" w:cs="Arial"/>
          <w:bCs/>
          <w:color w:val="000000"/>
          <w:sz w:val="22"/>
          <w:szCs w:val="22"/>
          <w:lang w:val="es-ES_tradnl" w:eastAsia="en-US"/>
        </w:rPr>
        <w:t xml:space="preserve"> v) 2.2.1.2.1.5.5. el cual establece que la entidad estatal es libre de exigir o no garantías en el proceso de selección de mínima cuantía y en la adquisición de «grandes almacenes».</w:t>
      </w:r>
    </w:p>
    <w:p w14:paraId="4D61A678" w14:textId="6A6ED178" w:rsidR="00631FBD" w:rsidRDefault="006E0D16" w:rsidP="00F3144F">
      <w:pPr>
        <w:tabs>
          <w:tab w:val="left" w:pos="709"/>
        </w:tabs>
        <w:spacing w:after="120" w:line="276" w:lineRule="auto"/>
        <w:jc w:val="both"/>
        <w:rPr>
          <w:rFonts w:ascii="Arial" w:eastAsia="Calibri" w:hAnsi="Arial" w:cs="Arial"/>
          <w:color w:val="000000"/>
          <w:sz w:val="22"/>
          <w:szCs w:val="22"/>
          <w:lang w:val="es-ES_tradnl" w:eastAsia="en-US"/>
        </w:rPr>
      </w:pPr>
      <w:r w:rsidRPr="006617BC">
        <w:rPr>
          <w:rFonts w:ascii="Arial" w:eastAsia="Calibri" w:hAnsi="Arial" w:cs="Arial"/>
          <w:bCs/>
          <w:color w:val="000000"/>
          <w:sz w:val="22"/>
          <w:szCs w:val="22"/>
          <w:lang w:val="es-ES_tradnl" w:eastAsia="en-US"/>
        </w:rPr>
        <w:tab/>
        <w:t>De esta manera, el artículo 2 del Decreto 1860 de</w:t>
      </w:r>
      <w:r w:rsidR="00F53B81">
        <w:rPr>
          <w:rFonts w:ascii="Arial" w:eastAsia="Calibri" w:hAnsi="Arial" w:cs="Arial"/>
          <w:bCs/>
          <w:color w:val="000000"/>
          <w:sz w:val="22"/>
          <w:szCs w:val="22"/>
          <w:lang w:val="es-ES_tradnl" w:eastAsia="en-US"/>
        </w:rPr>
        <w:t>l 24 de diciembre de</w:t>
      </w:r>
      <w:r w:rsidRPr="006617BC">
        <w:rPr>
          <w:rFonts w:ascii="Arial" w:eastAsia="Calibri" w:hAnsi="Arial" w:cs="Arial"/>
          <w:bCs/>
          <w:color w:val="000000"/>
          <w:sz w:val="22"/>
          <w:szCs w:val="22"/>
          <w:lang w:val="es-ES_tradnl" w:eastAsia="en-US"/>
        </w:rPr>
        <w:t xml:space="preserve"> 2021, que modifica los artículos del Decreto 1082 de 2015 expuestos en el párrafo anterior, constituye la reglamentación del artículo 30 de la Ley 2069 de 2020, al desarrollar las reglas aplicables a esta modalidad de selección. </w:t>
      </w:r>
      <w:r w:rsidR="002C3FB9">
        <w:rPr>
          <w:rFonts w:ascii="Arial" w:eastAsia="Calibri" w:hAnsi="Arial" w:cs="Arial"/>
          <w:bCs/>
          <w:color w:val="000000"/>
          <w:sz w:val="22"/>
          <w:szCs w:val="22"/>
          <w:lang w:val="es-ES_tradnl" w:eastAsia="en-US"/>
        </w:rPr>
        <w:t xml:space="preserve">Como se indicó anteriormente, estas disposiciones </w:t>
      </w:r>
      <w:r w:rsidRPr="006617BC">
        <w:rPr>
          <w:rFonts w:ascii="Arial" w:eastAsia="Calibri" w:hAnsi="Arial" w:cs="Arial"/>
          <w:bCs/>
          <w:color w:val="000000"/>
          <w:sz w:val="22"/>
          <w:szCs w:val="22"/>
          <w:lang w:val="es-ES_tradnl" w:eastAsia="en-US"/>
        </w:rPr>
        <w:t>r</w:t>
      </w:r>
      <w:r w:rsidR="002C3FB9">
        <w:rPr>
          <w:rFonts w:ascii="Arial" w:eastAsia="Calibri" w:hAnsi="Arial" w:cs="Arial"/>
          <w:bCs/>
          <w:color w:val="000000"/>
          <w:sz w:val="22"/>
          <w:szCs w:val="22"/>
          <w:lang w:val="es-ES_tradnl" w:eastAsia="en-US"/>
        </w:rPr>
        <w:t>igen</w:t>
      </w:r>
      <w:r w:rsidRPr="006617BC">
        <w:rPr>
          <w:rFonts w:ascii="Arial" w:eastAsia="Calibri" w:hAnsi="Arial" w:cs="Arial"/>
          <w:bCs/>
          <w:color w:val="000000"/>
          <w:sz w:val="22"/>
          <w:szCs w:val="22"/>
          <w:lang w:val="es-ES_tradnl" w:eastAsia="en-US"/>
        </w:rPr>
        <w:t xml:space="preserve"> para los procedimientos de selección cuya invitación, </w:t>
      </w:r>
      <w:r w:rsidRPr="006617BC">
        <w:rPr>
          <w:rFonts w:ascii="Arial" w:eastAsia="Calibri" w:hAnsi="Arial" w:cs="Arial"/>
          <w:color w:val="000000"/>
          <w:sz w:val="22"/>
          <w:szCs w:val="22"/>
          <w:lang w:val="es-ES_tradnl" w:eastAsia="en-US"/>
        </w:rPr>
        <w:t>aviso de convocatoria o documento equivalente se publique</w:t>
      </w:r>
      <w:r w:rsidR="00781678">
        <w:rPr>
          <w:rFonts w:ascii="Arial" w:eastAsia="Calibri" w:hAnsi="Arial" w:cs="Arial"/>
          <w:color w:val="000000"/>
          <w:sz w:val="22"/>
          <w:szCs w:val="22"/>
          <w:lang w:val="es-ES_tradnl" w:eastAsia="en-US"/>
        </w:rPr>
        <w:t xml:space="preserve"> a los tres (3) meses contados a partir de su expedición</w:t>
      </w:r>
      <w:r w:rsidRPr="006617BC">
        <w:rPr>
          <w:rFonts w:ascii="Arial" w:eastAsia="Calibri" w:hAnsi="Arial" w:cs="Arial"/>
          <w:color w:val="000000"/>
          <w:sz w:val="22"/>
          <w:szCs w:val="22"/>
          <w:lang w:val="es-ES_tradnl" w:eastAsia="en-US"/>
        </w:rPr>
        <w:t xml:space="preserve">. </w:t>
      </w:r>
    </w:p>
    <w:p w14:paraId="083F8621" w14:textId="4B9C242E" w:rsidR="006E0D16" w:rsidRPr="006617BC" w:rsidRDefault="00631FBD" w:rsidP="00F3144F">
      <w:pPr>
        <w:tabs>
          <w:tab w:val="left" w:pos="709"/>
        </w:tabs>
        <w:spacing w:after="120" w:line="276" w:lineRule="auto"/>
        <w:jc w:val="both"/>
        <w:rPr>
          <w:rFonts w:ascii="Arial" w:eastAsia="Calibri" w:hAnsi="Arial" w:cs="Arial"/>
          <w:color w:val="000000" w:themeColor="text1"/>
          <w:sz w:val="22"/>
          <w:lang w:val="es-ES_tradnl"/>
        </w:rPr>
      </w:pPr>
      <w:r>
        <w:rPr>
          <w:rFonts w:ascii="Arial" w:eastAsia="Calibri" w:hAnsi="Arial" w:cs="Arial"/>
          <w:color w:val="000000"/>
          <w:sz w:val="22"/>
          <w:szCs w:val="22"/>
          <w:lang w:val="es-ES_tradnl" w:eastAsia="en-US"/>
        </w:rPr>
        <w:tab/>
      </w:r>
      <w:r w:rsidR="006E0D16" w:rsidRPr="006617BC">
        <w:rPr>
          <w:rFonts w:ascii="Arial" w:eastAsia="Calibri" w:hAnsi="Arial" w:cs="Arial"/>
          <w:color w:val="000000" w:themeColor="text1"/>
          <w:sz w:val="22"/>
          <w:lang w:val="es-ES_tradnl"/>
        </w:rPr>
        <w:t xml:space="preserve">La mínima cuantía es una modalidad de selección en virtud de la cual la entidad estatal realiza una convocatoria pública para recibir ofertas de bienes, obras o servicios cuyo valor no excede el diez por ciento (10%) de la menor cuantía. El factor determinante </w:t>
      </w:r>
      <w:r w:rsidR="006E0D16" w:rsidRPr="006617BC">
        <w:rPr>
          <w:rFonts w:ascii="Arial" w:eastAsia="Calibri" w:hAnsi="Arial" w:cs="Arial"/>
          <w:color w:val="000000" w:themeColor="text1"/>
          <w:sz w:val="22"/>
          <w:lang w:val="es-ES_tradnl"/>
        </w:rPr>
        <w:lastRenderedPageBreak/>
        <w:t>para llevar a cabo tal procedimiento es la cuantía –calculada como presupuesto oficial a partir del estudio del sector–, independientemente de su objeto</w:t>
      </w:r>
      <w:r w:rsidR="006E0D16" w:rsidRPr="006617BC">
        <w:rPr>
          <w:rStyle w:val="Refdenotaalpie"/>
          <w:rFonts w:ascii="Arial" w:eastAsia="Calibri" w:hAnsi="Arial" w:cs="Arial"/>
          <w:color w:val="000000" w:themeColor="text1"/>
          <w:sz w:val="22"/>
          <w:lang w:val="es-ES_tradnl"/>
        </w:rPr>
        <w:footnoteReference w:id="6"/>
      </w:r>
      <w:r w:rsidR="006E0D16" w:rsidRPr="006617BC">
        <w:rPr>
          <w:rFonts w:ascii="Arial" w:eastAsia="Calibri" w:hAnsi="Arial" w:cs="Arial"/>
          <w:color w:val="000000" w:themeColor="text1"/>
          <w:sz w:val="22"/>
          <w:lang w:val="es-ES_tradnl"/>
        </w:rPr>
        <w:t xml:space="preserve">. </w:t>
      </w:r>
    </w:p>
    <w:p w14:paraId="60981094" w14:textId="77777777" w:rsidR="006E4B20" w:rsidRDefault="006E0D16" w:rsidP="00F3144F">
      <w:pPr>
        <w:spacing w:after="120" w:line="276" w:lineRule="auto"/>
        <w:ind w:firstLine="709"/>
        <w:jc w:val="both"/>
        <w:rPr>
          <w:rFonts w:ascii="Arial" w:eastAsia="Calibri" w:hAnsi="Arial" w:cs="Arial"/>
          <w:color w:val="000000" w:themeColor="text1"/>
          <w:sz w:val="22"/>
          <w:lang w:val="es-ES_tradnl"/>
        </w:rPr>
      </w:pPr>
      <w:r w:rsidRPr="006617BC">
        <w:rPr>
          <w:rFonts w:ascii="Arial" w:eastAsia="Calibri" w:hAnsi="Arial" w:cs="Arial"/>
          <w:color w:val="000000" w:themeColor="text1"/>
          <w:sz w:val="22"/>
          <w:lang w:val="es-ES_tradnl"/>
        </w:rPr>
        <w:t>Dicho de otro modo, la mínima cuantía es un procedimiento de selección «exceptivo»</w:t>
      </w:r>
      <w:r w:rsidRPr="006617BC">
        <w:rPr>
          <w:rStyle w:val="Refdenotaalpie"/>
          <w:rFonts w:ascii="Arial" w:eastAsia="Calibri" w:hAnsi="Arial" w:cs="Arial"/>
          <w:color w:val="000000" w:themeColor="text1"/>
          <w:sz w:val="22"/>
          <w:lang w:val="es-ES_tradnl"/>
        </w:rPr>
        <w:footnoteReference w:id="7"/>
      </w:r>
      <w:r w:rsidRPr="006617BC">
        <w:rPr>
          <w:rFonts w:ascii="Arial" w:eastAsia="Calibri" w:hAnsi="Arial" w:cs="Arial"/>
          <w:color w:val="000000" w:themeColor="text1"/>
          <w:sz w:val="22"/>
          <w:lang w:val="es-ES_tradnl"/>
        </w:rPr>
        <w:t>, porque es una excepción adicional a la regla general constituida por la licitación pública. Aunque ambas modalidades implican un llamado general a presentar ofertas, efectuado por la entidad estatal interesada en contratar, la mínima cuantía es distinta de la licitación en otros aspectos, como su conducencia y su procedimiento: lo primero, porque solo procede por razón de una cuantía específica</w:t>
      </w:r>
      <w:r w:rsidRPr="006617BC">
        <w:rPr>
          <w:rStyle w:val="Refdenotaalpie"/>
          <w:rFonts w:ascii="Arial" w:eastAsia="Calibri" w:hAnsi="Arial" w:cs="Arial"/>
          <w:color w:val="000000" w:themeColor="text1"/>
          <w:sz w:val="22"/>
          <w:lang w:val="es-ES_tradnl"/>
        </w:rPr>
        <w:footnoteReference w:id="8"/>
      </w:r>
      <w:r w:rsidRPr="006617BC">
        <w:rPr>
          <w:rFonts w:ascii="Arial" w:eastAsia="Calibri" w:hAnsi="Arial" w:cs="Arial"/>
          <w:color w:val="000000" w:themeColor="text1"/>
          <w:sz w:val="22"/>
          <w:lang w:val="es-ES_tradnl"/>
        </w:rPr>
        <w:t>, y lo segundo, porque sus requisitos, etapas y términos son especiales.</w:t>
      </w:r>
      <w:r w:rsidR="00145D56" w:rsidRPr="00145D56">
        <w:rPr>
          <w:rFonts w:ascii="Arial" w:eastAsia="Calibri" w:hAnsi="Arial" w:cs="Arial"/>
          <w:color w:val="000000" w:themeColor="text1"/>
          <w:sz w:val="22"/>
          <w:lang w:val="es-ES_tradnl"/>
        </w:rPr>
        <w:t xml:space="preserve"> </w:t>
      </w:r>
    </w:p>
    <w:p w14:paraId="55A6AF07" w14:textId="65614B71" w:rsidR="00145D56" w:rsidRDefault="00145D56" w:rsidP="00F3144F">
      <w:pPr>
        <w:spacing w:after="120" w:line="276" w:lineRule="auto"/>
        <w:ind w:firstLine="709"/>
        <w:jc w:val="both"/>
        <w:rPr>
          <w:rFonts w:ascii="Arial" w:eastAsia="Calibri" w:hAnsi="Arial" w:cs="Arial"/>
          <w:color w:val="000000" w:themeColor="text1"/>
          <w:sz w:val="22"/>
          <w:szCs w:val="22"/>
          <w:lang w:val="es-ES_tradnl" w:eastAsia="en-US"/>
        </w:rPr>
      </w:pPr>
      <w:r>
        <w:rPr>
          <w:rFonts w:ascii="Arial" w:eastAsia="Calibri" w:hAnsi="Arial" w:cs="Arial"/>
          <w:color w:val="000000" w:themeColor="text1"/>
          <w:sz w:val="22"/>
          <w:lang w:val="es-ES_tradnl"/>
        </w:rPr>
        <w:t xml:space="preserve">En efecto, a partir de </w:t>
      </w:r>
      <w:r w:rsidR="008C0F4F">
        <w:rPr>
          <w:rFonts w:ascii="Arial" w:eastAsia="Calibri" w:hAnsi="Arial" w:cs="Arial"/>
          <w:color w:val="000000" w:themeColor="text1"/>
          <w:sz w:val="22"/>
          <w:lang w:val="es-ES_tradnl"/>
        </w:rPr>
        <w:t xml:space="preserve">las modificaciones reguladas en el Decreto 1860 de 2021 </w:t>
      </w:r>
      <w:r>
        <w:rPr>
          <w:rFonts w:ascii="Arial" w:eastAsia="Calibri" w:hAnsi="Arial" w:cs="Arial"/>
          <w:color w:val="000000" w:themeColor="text1"/>
          <w:sz w:val="22"/>
          <w:lang w:val="es-ES_tradnl"/>
        </w:rPr>
        <w:t>los requisitos de la mínima cuantía pueden sintetizarse así:</w:t>
      </w:r>
    </w:p>
    <w:p w14:paraId="7695746F" w14:textId="5C1FBEE7" w:rsidR="00145D56" w:rsidRDefault="00145D56" w:rsidP="00F3144F">
      <w:pPr>
        <w:spacing w:after="120" w:line="276" w:lineRule="auto"/>
        <w:ind w:firstLine="709"/>
        <w:jc w:val="both"/>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 xml:space="preserve">i) La entidad estatal debe </w:t>
      </w:r>
      <w:r w:rsidR="005F0D48">
        <w:rPr>
          <w:rFonts w:ascii="Arial" w:eastAsia="Calibri" w:hAnsi="Arial" w:cs="Arial"/>
          <w:color w:val="000000" w:themeColor="text1"/>
          <w:sz w:val="22"/>
          <w:lang w:val="es-ES_tradnl"/>
        </w:rPr>
        <w:t>realizar</w:t>
      </w:r>
      <w:r>
        <w:rPr>
          <w:rFonts w:ascii="Arial" w:eastAsia="Calibri" w:hAnsi="Arial" w:cs="Arial"/>
          <w:color w:val="000000" w:themeColor="text1"/>
          <w:sz w:val="22"/>
          <w:lang w:val="es-ES_tradnl"/>
        </w:rPr>
        <w:t xml:space="preserve"> los estudios previos en los que señale cuál es la necesidad que pretende satisfacer, el objeto del contrato, sus condiciones técnicas, el valor estimado, el plazo de ejecución y el certificado de disponibilidad presupuestal.</w:t>
      </w:r>
    </w:p>
    <w:p w14:paraId="584970AE" w14:textId="453119C1" w:rsidR="00DC6CA7" w:rsidRDefault="00145D56" w:rsidP="00F3144F">
      <w:pPr>
        <w:spacing w:after="120" w:line="276" w:lineRule="auto"/>
        <w:ind w:firstLine="709"/>
        <w:jc w:val="both"/>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 xml:space="preserve">ii) Luego de surtir los trámites previos, la entidad debe publicar en el SECOP una invitación señalando el objeto, las condiciones técnicas y el valor estimado del contrato, expresando además las razones que justifican el cálculo de la cuantía. Asimismo, </w:t>
      </w:r>
      <w:r w:rsidR="00DC6CA7">
        <w:rPr>
          <w:rFonts w:ascii="Arial" w:eastAsia="Calibri" w:hAnsi="Arial" w:cs="Arial"/>
          <w:color w:val="000000" w:themeColor="text1"/>
          <w:sz w:val="22"/>
          <w:lang w:val="es-ES_tradnl"/>
        </w:rPr>
        <w:t xml:space="preserve">deberá señalar la forma en la cual se acreditará la capacidad jurídica y la experiencia mínima, en caso de que esta se exija, así como el cumplimiento de las condiciones técnicas exigidas, incluyendo las obligaciones del futuro contrato. </w:t>
      </w:r>
    </w:p>
    <w:p w14:paraId="3D15CA77" w14:textId="75F5E8DF" w:rsidR="006E348E" w:rsidRPr="000254C0" w:rsidRDefault="00DC6CA7" w:rsidP="00F3144F">
      <w:pPr>
        <w:spacing w:after="120" w:line="276" w:lineRule="auto"/>
        <w:ind w:firstLine="709"/>
        <w:jc w:val="both"/>
        <w:rPr>
          <w:rFonts w:ascii="Arial" w:eastAsia="Calibri" w:hAnsi="Arial" w:cs="Arial"/>
          <w:sz w:val="22"/>
        </w:rPr>
      </w:pPr>
      <w:r>
        <w:rPr>
          <w:rFonts w:ascii="Arial" w:eastAsia="Calibri" w:hAnsi="Arial" w:cs="Arial"/>
          <w:color w:val="000000" w:themeColor="text1"/>
          <w:sz w:val="22"/>
          <w:lang w:val="es-ES_tradnl"/>
        </w:rPr>
        <w:lastRenderedPageBreak/>
        <w:t>iii) La entidad podrá exigir</w:t>
      </w:r>
      <w:r w:rsidR="00145D56">
        <w:rPr>
          <w:rFonts w:ascii="Arial" w:eastAsia="Calibri" w:hAnsi="Arial" w:cs="Arial"/>
          <w:color w:val="000000" w:themeColor="text1"/>
          <w:sz w:val="22"/>
          <w:lang w:val="es-ES_tradnl"/>
        </w:rPr>
        <w:t xml:space="preserve"> una capacidad financiera mínima</w:t>
      </w:r>
      <w:r>
        <w:rPr>
          <w:rFonts w:ascii="Arial" w:eastAsia="Calibri" w:hAnsi="Arial" w:cs="Arial"/>
          <w:color w:val="000000" w:themeColor="text1"/>
          <w:sz w:val="22"/>
          <w:lang w:val="es-ES_tradnl"/>
        </w:rPr>
        <w:t xml:space="preserve"> cuando no hace el pago contra</w:t>
      </w:r>
      <w:r w:rsidR="006324C2">
        <w:rPr>
          <w:rFonts w:ascii="Arial" w:eastAsia="Calibri" w:hAnsi="Arial" w:cs="Arial"/>
          <w:color w:val="000000" w:themeColor="text1"/>
          <w:sz w:val="22"/>
          <w:lang w:val="es-ES_tradnl"/>
        </w:rPr>
        <w:t xml:space="preserve"> </w:t>
      </w:r>
      <w:r>
        <w:rPr>
          <w:rFonts w:ascii="Arial" w:eastAsia="Calibri" w:hAnsi="Arial" w:cs="Arial"/>
          <w:color w:val="000000" w:themeColor="text1"/>
          <w:sz w:val="22"/>
          <w:lang w:val="es-ES_tradnl"/>
        </w:rPr>
        <w:t>entrega</w:t>
      </w:r>
      <w:r w:rsidR="006324C2">
        <w:rPr>
          <w:rFonts w:ascii="Arial" w:eastAsia="Calibri" w:hAnsi="Arial" w:cs="Arial"/>
          <w:color w:val="000000" w:themeColor="text1"/>
          <w:sz w:val="22"/>
          <w:lang w:val="es-ES_tradnl"/>
        </w:rPr>
        <w:t xml:space="preserve"> a satisfacción de los bienes, obras o servicios. En estos casos, la entidad deberá indicar la forma en la que hará la verificación correspondiente en la invitación.</w:t>
      </w:r>
      <w:r w:rsidR="006E348E">
        <w:rPr>
          <w:rFonts w:ascii="Arial" w:eastAsia="Calibri" w:hAnsi="Arial" w:cs="Arial"/>
          <w:color w:val="000000" w:themeColor="text1"/>
          <w:sz w:val="22"/>
          <w:lang w:val="es-ES_tradnl"/>
        </w:rPr>
        <w:t xml:space="preserve"> Cabe anotar que este aspecto </w:t>
      </w:r>
      <w:r w:rsidR="006E348E" w:rsidRPr="006617BC">
        <w:rPr>
          <w:rFonts w:ascii="Arial" w:eastAsia="Calibri" w:hAnsi="Arial" w:cs="Arial"/>
          <w:sz w:val="22"/>
        </w:rPr>
        <w:t>se encontraba regulad</w:t>
      </w:r>
      <w:r w:rsidR="006E348E">
        <w:rPr>
          <w:rFonts w:ascii="Arial" w:eastAsia="Calibri" w:hAnsi="Arial" w:cs="Arial"/>
          <w:sz w:val="22"/>
        </w:rPr>
        <w:t>o</w:t>
      </w:r>
      <w:r w:rsidR="006E348E" w:rsidRPr="006617BC">
        <w:rPr>
          <w:rFonts w:ascii="Arial" w:eastAsia="Calibri" w:hAnsi="Arial" w:cs="Arial"/>
          <w:sz w:val="22"/>
        </w:rPr>
        <w:t xml:space="preserve"> desde la disposición anterior</w:t>
      </w:r>
      <w:r w:rsidR="000254C0">
        <w:rPr>
          <w:rFonts w:ascii="Arial" w:eastAsia="Calibri" w:hAnsi="Arial" w:cs="Arial"/>
          <w:sz w:val="22"/>
        </w:rPr>
        <w:t xml:space="preserve"> y </w:t>
      </w:r>
      <w:r w:rsidR="006E348E">
        <w:rPr>
          <w:rFonts w:ascii="Arial" w:eastAsia="Calibri" w:hAnsi="Arial" w:cs="Arial"/>
          <w:sz w:val="22"/>
        </w:rPr>
        <w:t xml:space="preserve">no hay ninguna </w:t>
      </w:r>
      <w:r w:rsidR="004C3EAA">
        <w:rPr>
          <w:rFonts w:ascii="Arial" w:eastAsia="Calibri" w:hAnsi="Arial" w:cs="Arial"/>
          <w:sz w:val="22"/>
        </w:rPr>
        <w:t xml:space="preserve">modificación </w:t>
      </w:r>
      <w:r w:rsidR="006E348E">
        <w:rPr>
          <w:rFonts w:ascii="Arial" w:eastAsia="Calibri" w:hAnsi="Arial" w:cs="Arial"/>
          <w:sz w:val="22"/>
        </w:rPr>
        <w:t>en su aplicación en el procedimiento de mínima cuantía</w:t>
      </w:r>
      <w:r w:rsidR="000254C0">
        <w:rPr>
          <w:rFonts w:ascii="Arial" w:eastAsia="Calibri" w:hAnsi="Arial" w:cs="Arial"/>
          <w:sz w:val="22"/>
        </w:rPr>
        <w:t xml:space="preserve"> reglamentado en el Decreto 1860 de 2021. </w:t>
      </w:r>
      <w:r w:rsidR="005A4F64">
        <w:rPr>
          <w:rFonts w:ascii="Arial" w:eastAsia="Calibri" w:hAnsi="Arial" w:cs="Arial"/>
          <w:sz w:val="22"/>
        </w:rPr>
        <w:t xml:space="preserve"> </w:t>
      </w:r>
    </w:p>
    <w:p w14:paraId="2F40BF0A" w14:textId="3396E3AD" w:rsidR="001B53A5" w:rsidRDefault="009076DB" w:rsidP="00F3144F">
      <w:pPr>
        <w:spacing w:after="120" w:line="276" w:lineRule="auto"/>
        <w:ind w:firstLine="709"/>
        <w:jc w:val="both"/>
        <w:rPr>
          <w:rFonts w:ascii="Arial" w:eastAsia="Calibri" w:hAnsi="Arial" w:cs="Arial"/>
          <w:color w:val="000000"/>
          <w:sz w:val="22"/>
          <w:lang w:val="es-ES"/>
        </w:rPr>
      </w:pPr>
      <w:r>
        <w:rPr>
          <w:rFonts w:ascii="Arial" w:eastAsia="Calibri" w:hAnsi="Arial" w:cs="Arial"/>
          <w:color w:val="000000" w:themeColor="text1"/>
          <w:sz w:val="22"/>
          <w:lang w:val="es-ES_tradnl"/>
        </w:rPr>
        <w:t>E</w:t>
      </w:r>
      <w:r w:rsidR="006324C2">
        <w:rPr>
          <w:rFonts w:ascii="Arial" w:eastAsia="Calibri" w:hAnsi="Arial" w:cs="Arial"/>
          <w:color w:val="000000" w:themeColor="text1"/>
          <w:sz w:val="22"/>
          <w:lang w:val="es-ES_tradnl"/>
        </w:rPr>
        <w:t xml:space="preserve">s pertinente </w:t>
      </w:r>
      <w:r w:rsidR="005A4F64">
        <w:rPr>
          <w:rFonts w:ascii="Arial" w:eastAsia="Calibri" w:hAnsi="Arial" w:cs="Arial"/>
          <w:color w:val="000000" w:themeColor="text1"/>
          <w:sz w:val="22"/>
          <w:lang w:val="es-ES_tradnl"/>
        </w:rPr>
        <w:t>resaltar</w:t>
      </w:r>
      <w:r>
        <w:rPr>
          <w:rFonts w:ascii="Arial" w:eastAsia="Calibri" w:hAnsi="Arial" w:cs="Arial"/>
          <w:color w:val="000000" w:themeColor="text1"/>
          <w:sz w:val="22"/>
          <w:lang w:val="es-ES_tradnl"/>
        </w:rPr>
        <w:t xml:space="preserve"> </w:t>
      </w:r>
      <w:r w:rsidR="006324C2">
        <w:rPr>
          <w:rFonts w:ascii="Arial" w:eastAsia="Calibri" w:hAnsi="Arial" w:cs="Arial"/>
          <w:color w:val="000000" w:themeColor="text1"/>
          <w:sz w:val="22"/>
          <w:lang w:val="es-ES_tradnl"/>
        </w:rPr>
        <w:t>que</w:t>
      </w:r>
      <w:r w:rsidR="000254C0">
        <w:rPr>
          <w:rFonts w:ascii="Arial" w:eastAsia="Calibri" w:hAnsi="Arial" w:cs="Arial"/>
          <w:color w:val="000000" w:themeColor="text1"/>
          <w:sz w:val="22"/>
          <w:lang w:val="es-ES_tradnl"/>
        </w:rPr>
        <w:t xml:space="preserve"> </w:t>
      </w:r>
      <w:r w:rsidR="00302B42">
        <w:rPr>
          <w:rFonts w:ascii="Arial" w:eastAsia="Calibri" w:hAnsi="Arial" w:cs="Arial"/>
          <w:color w:val="000000" w:themeColor="text1"/>
          <w:sz w:val="22"/>
          <w:lang w:val="es-ES_tradnl"/>
        </w:rPr>
        <w:t>en el evento en que la entidad determine la necesidad de exigir capacidad financiera en un proceso de mínima cuantía</w:t>
      </w:r>
      <w:r w:rsidR="004A73E3">
        <w:rPr>
          <w:rFonts w:ascii="Arial" w:eastAsia="Calibri" w:hAnsi="Arial" w:cs="Arial"/>
          <w:color w:val="000000" w:themeColor="text1"/>
          <w:sz w:val="22"/>
          <w:lang w:val="es-ES_tradnl"/>
        </w:rPr>
        <w:t>,</w:t>
      </w:r>
      <w:r w:rsidR="005A4F64">
        <w:rPr>
          <w:rFonts w:ascii="Arial" w:eastAsia="Calibri" w:hAnsi="Arial" w:cs="Arial"/>
          <w:color w:val="000000" w:themeColor="text1"/>
          <w:sz w:val="22"/>
          <w:lang w:val="es-ES_tradnl"/>
        </w:rPr>
        <w:t xml:space="preserve"> no podrá requerir la presentación del RUP para realizar dicha verificación.</w:t>
      </w:r>
      <w:r w:rsidR="00CC2984">
        <w:rPr>
          <w:rFonts w:ascii="Arial" w:eastAsia="Calibri" w:hAnsi="Arial" w:cs="Arial"/>
          <w:color w:val="000000" w:themeColor="text1"/>
          <w:sz w:val="22"/>
          <w:lang w:val="es-ES_tradnl"/>
        </w:rPr>
        <w:t xml:space="preserve"> En efecto, </w:t>
      </w:r>
      <w:r w:rsidR="00CC2984" w:rsidRPr="006324C2">
        <w:rPr>
          <w:rFonts w:ascii="Arial" w:eastAsia="Calibri" w:hAnsi="Arial" w:cs="Arial"/>
          <w:color w:val="000000" w:themeColor="text1"/>
          <w:sz w:val="22"/>
          <w:lang w:val="es-ES_tradnl"/>
        </w:rPr>
        <w:t>de conformidad con el artículo 6 de la Ley 1150 de 2007</w:t>
      </w:r>
      <w:r w:rsidR="00E348C2">
        <w:rPr>
          <w:rFonts w:ascii="Arial" w:eastAsia="Calibri" w:hAnsi="Arial" w:cs="Arial"/>
          <w:color w:val="000000" w:themeColor="text1"/>
          <w:sz w:val="22"/>
          <w:lang w:val="es-ES_tradnl"/>
        </w:rPr>
        <w:t xml:space="preserve"> </w:t>
      </w:r>
      <w:r w:rsidR="00CC2984" w:rsidRPr="001F22AD">
        <w:rPr>
          <w:rFonts w:ascii="Arial" w:eastAsia="Calibri" w:hAnsi="Arial" w:cs="Arial"/>
          <w:color w:val="000000"/>
          <w:sz w:val="22"/>
          <w:lang w:val="es-ES"/>
        </w:rPr>
        <w:t>el</w:t>
      </w:r>
      <w:r w:rsidR="00684D9C">
        <w:rPr>
          <w:rFonts w:ascii="Arial" w:eastAsia="Calibri" w:hAnsi="Arial" w:cs="Arial"/>
          <w:color w:val="000000"/>
          <w:sz w:val="22"/>
          <w:lang w:val="es-ES"/>
        </w:rPr>
        <w:t xml:space="preserve"> Registro Único de Proponentes</w:t>
      </w:r>
      <w:r w:rsidR="00CC2984" w:rsidRPr="001F22AD">
        <w:rPr>
          <w:rFonts w:ascii="Arial" w:eastAsia="Calibri" w:hAnsi="Arial" w:cs="Arial"/>
          <w:color w:val="000000"/>
          <w:sz w:val="22"/>
          <w:lang w:val="es-ES"/>
        </w:rPr>
        <w:t xml:space="preserve"> </w:t>
      </w:r>
      <w:r w:rsidR="00684D9C">
        <w:rPr>
          <w:rFonts w:ascii="Arial" w:eastAsia="Calibri" w:hAnsi="Arial" w:cs="Arial"/>
          <w:color w:val="000000"/>
          <w:sz w:val="22"/>
          <w:lang w:val="es-ES"/>
        </w:rPr>
        <w:t xml:space="preserve">– en adelante </w:t>
      </w:r>
      <w:r w:rsidR="00CC2984" w:rsidRPr="001F22AD">
        <w:rPr>
          <w:rFonts w:ascii="Arial" w:eastAsia="Calibri" w:hAnsi="Arial" w:cs="Arial"/>
          <w:color w:val="000000"/>
          <w:sz w:val="22"/>
          <w:lang w:val="es-ES"/>
        </w:rPr>
        <w:t>RUP</w:t>
      </w:r>
      <w:r w:rsidR="00684D9C">
        <w:rPr>
          <w:rFonts w:ascii="Arial" w:eastAsia="Calibri" w:hAnsi="Arial" w:cs="Arial"/>
          <w:color w:val="000000"/>
          <w:sz w:val="22"/>
          <w:lang w:val="es-ES"/>
        </w:rPr>
        <w:t xml:space="preserve"> –</w:t>
      </w:r>
      <w:r w:rsidR="00CC2984" w:rsidRPr="001F22AD">
        <w:rPr>
          <w:rFonts w:ascii="Arial" w:eastAsia="Calibri" w:hAnsi="Arial" w:cs="Arial"/>
          <w:color w:val="000000"/>
          <w:sz w:val="22"/>
          <w:lang w:val="es-ES"/>
        </w:rPr>
        <w:t xml:space="preserve"> no es exigible en algunos procedimientos de contratación, como en la contratación directa, </w:t>
      </w:r>
      <w:r w:rsidR="00CC2984" w:rsidRPr="00CC2984">
        <w:rPr>
          <w:rFonts w:ascii="Arial" w:eastAsia="Calibri" w:hAnsi="Arial" w:cs="Arial"/>
          <w:i/>
          <w:iCs/>
          <w:color w:val="000000"/>
          <w:sz w:val="22"/>
          <w:lang w:val="es-ES"/>
        </w:rPr>
        <w:t>la mínima cuantía</w:t>
      </w:r>
      <w:r w:rsidR="00CC2984" w:rsidRPr="001F22AD">
        <w:rPr>
          <w:rFonts w:ascii="Arial" w:eastAsia="Calibri" w:hAnsi="Arial" w:cs="Arial"/>
          <w:color w:val="000000"/>
          <w:sz w:val="22"/>
          <w:lang w:val="es-ES"/>
        </w:rPr>
        <w:t>,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w:t>
      </w:r>
      <w:r w:rsidR="004A73E3">
        <w:rPr>
          <w:rStyle w:val="Refdenotaalpie"/>
          <w:rFonts w:ascii="Arial" w:eastAsia="Calibri" w:hAnsi="Arial" w:cs="Arial"/>
          <w:color w:val="000000"/>
          <w:sz w:val="22"/>
          <w:lang w:val="es-ES"/>
        </w:rPr>
        <w:footnoteReference w:id="9"/>
      </w:r>
      <w:r w:rsidR="00CC2984">
        <w:rPr>
          <w:rFonts w:ascii="Arial" w:eastAsia="Calibri" w:hAnsi="Arial" w:cs="Arial"/>
          <w:color w:val="000000"/>
          <w:sz w:val="22"/>
          <w:lang w:val="es-ES"/>
        </w:rPr>
        <w:t xml:space="preserve">. </w:t>
      </w:r>
    </w:p>
    <w:p w14:paraId="571884E6" w14:textId="39BA15F8" w:rsidR="00053EBE" w:rsidRPr="001F22AD" w:rsidRDefault="00CC2984" w:rsidP="00F3144F">
      <w:pPr>
        <w:spacing w:after="120" w:line="276" w:lineRule="auto"/>
        <w:ind w:firstLine="709"/>
        <w:jc w:val="both"/>
        <w:rPr>
          <w:rFonts w:ascii="Arial" w:eastAsia="Calibri" w:hAnsi="Arial" w:cs="Arial"/>
          <w:color w:val="000000"/>
          <w:sz w:val="22"/>
          <w:lang w:val="es-ES"/>
        </w:rPr>
      </w:pPr>
      <w:r>
        <w:rPr>
          <w:rFonts w:ascii="Arial" w:eastAsia="Calibri" w:hAnsi="Arial" w:cs="Arial"/>
          <w:color w:val="000000"/>
          <w:sz w:val="22"/>
          <w:lang w:val="es-ES"/>
        </w:rPr>
        <w:t>Por ello,</w:t>
      </w:r>
      <w:r w:rsidRPr="001F22AD">
        <w:rPr>
          <w:rFonts w:ascii="Arial" w:eastAsia="Calibri" w:hAnsi="Arial" w:cs="Arial"/>
          <w:color w:val="000000"/>
          <w:sz w:val="22"/>
          <w:lang w:val="es-ES"/>
        </w:rPr>
        <w:t xml:space="preserve"> las entidades estatales deben verificar directamente el cumplimiento de los requisitos habilitantes, como establece en inciso segundo del artículo 6 de la Ley 1150 de 2007</w:t>
      </w:r>
      <w:r w:rsidR="00053EBE">
        <w:rPr>
          <w:rFonts w:ascii="Arial" w:eastAsia="Calibri" w:hAnsi="Arial" w:cs="Arial"/>
          <w:color w:val="000000"/>
          <w:sz w:val="22"/>
          <w:lang w:val="es-ES"/>
        </w:rPr>
        <w:t>.</w:t>
      </w:r>
      <w:r w:rsidRPr="001F22AD">
        <w:rPr>
          <w:rFonts w:ascii="Arial" w:eastAsia="Calibri" w:hAnsi="Arial" w:cs="Arial"/>
          <w:color w:val="000000"/>
          <w:sz w:val="22"/>
          <w:lang w:val="es-ES"/>
        </w:rPr>
        <w:t xml:space="preserve"> </w:t>
      </w:r>
      <w:r w:rsidR="00053EBE" w:rsidRPr="001F22AD">
        <w:rPr>
          <w:rFonts w:ascii="Arial" w:eastAsia="Calibri" w:hAnsi="Arial" w:cs="Arial"/>
          <w:color w:val="000000"/>
          <w:sz w:val="22"/>
          <w:lang w:val="es-ES"/>
        </w:rPr>
        <w:t xml:space="preserve">Las indicadas excepciones a la obligación general de inscribirse en el RUP para celebrar contratos con las entidades estatales sometidas al </w:t>
      </w:r>
      <w:r w:rsidR="00684D9C">
        <w:rPr>
          <w:rFonts w:ascii="Arial" w:eastAsia="Calibri" w:hAnsi="Arial" w:cs="Arial"/>
          <w:color w:val="000000"/>
          <w:sz w:val="22"/>
          <w:lang w:val="es-ES"/>
        </w:rPr>
        <w:t xml:space="preserve">Estatuto General de Contratación de la Administración Pública – en adelante </w:t>
      </w:r>
      <w:r w:rsidR="00053EBE" w:rsidRPr="001F22AD">
        <w:rPr>
          <w:rFonts w:ascii="Arial" w:eastAsia="Calibri" w:hAnsi="Arial" w:cs="Arial"/>
          <w:color w:val="000000"/>
          <w:sz w:val="22"/>
          <w:lang w:val="es-ES"/>
        </w:rPr>
        <w:t>EGCAP</w:t>
      </w:r>
      <w:r w:rsidR="00684D9C">
        <w:rPr>
          <w:rFonts w:ascii="Arial" w:eastAsia="Calibri" w:hAnsi="Arial" w:cs="Arial"/>
          <w:color w:val="000000"/>
          <w:sz w:val="22"/>
          <w:lang w:val="es-ES"/>
        </w:rPr>
        <w:t>–</w:t>
      </w:r>
      <w:r w:rsidR="00053EBE" w:rsidRPr="001F22AD">
        <w:rPr>
          <w:rFonts w:ascii="Arial" w:eastAsia="Calibri" w:hAnsi="Arial" w:cs="Arial"/>
          <w:color w:val="000000"/>
          <w:sz w:val="22"/>
          <w:lang w:val="es-ES"/>
        </w:rPr>
        <w:t>, son de interpretación estricta. Esto también se fundamenta en el artículo 2.2.1.1.1.5.1 del Decreto 1082 de 2015, al prescribir que la inscripción en el RUP es imperativa para los sujetos mencionados en el primer inciso del artículo 6 de la Ley 1150 de 2007, salvo las excepciones previstas de forma taxativa en la ley</w:t>
      </w:r>
      <w:r w:rsidR="00053EBE" w:rsidRPr="001F22AD">
        <w:rPr>
          <w:rStyle w:val="Refdenotaalpie"/>
          <w:rFonts w:ascii="Arial" w:eastAsia="Calibri" w:hAnsi="Arial" w:cs="Arial"/>
          <w:color w:val="000000"/>
          <w:sz w:val="22"/>
          <w:lang w:val="es-ES"/>
        </w:rPr>
        <w:footnoteReference w:id="10"/>
      </w:r>
      <w:r w:rsidR="00053EBE" w:rsidRPr="001F22AD">
        <w:rPr>
          <w:rFonts w:ascii="Arial" w:eastAsia="Calibri" w:hAnsi="Arial" w:cs="Arial"/>
          <w:color w:val="000000"/>
          <w:sz w:val="22"/>
          <w:lang w:val="es-ES"/>
        </w:rPr>
        <w:t xml:space="preserve">. </w:t>
      </w:r>
    </w:p>
    <w:p w14:paraId="6126C900" w14:textId="725560C2" w:rsidR="004A73E3" w:rsidRDefault="00053EBE" w:rsidP="00F3144F">
      <w:pPr>
        <w:spacing w:after="120" w:line="276" w:lineRule="auto"/>
        <w:ind w:firstLine="709"/>
        <w:jc w:val="both"/>
        <w:rPr>
          <w:rFonts w:ascii="Arial" w:eastAsia="Calibri" w:hAnsi="Arial" w:cs="Arial"/>
          <w:color w:val="000000"/>
          <w:sz w:val="22"/>
          <w:lang w:val="es-ES"/>
        </w:rPr>
      </w:pPr>
      <w:r w:rsidRPr="001F22AD">
        <w:rPr>
          <w:rFonts w:ascii="Arial" w:eastAsia="Calibri" w:hAnsi="Arial" w:cs="Arial"/>
          <w:color w:val="000000"/>
          <w:sz w:val="22"/>
          <w:lang w:val="es-ES"/>
        </w:rPr>
        <w:lastRenderedPageBreak/>
        <w:t>En tal sentido, la evaluación de la capacidad financiera</w:t>
      </w:r>
      <w:r w:rsidR="009076DB">
        <w:rPr>
          <w:rFonts w:ascii="Arial" w:eastAsia="Calibri" w:hAnsi="Arial" w:cs="Arial"/>
          <w:color w:val="000000"/>
          <w:sz w:val="22"/>
          <w:lang w:val="es-ES"/>
        </w:rPr>
        <w:t>, as</w:t>
      </w:r>
      <w:r w:rsidR="005F0D48">
        <w:rPr>
          <w:rFonts w:ascii="Arial" w:eastAsia="Calibri" w:hAnsi="Arial" w:cs="Arial"/>
          <w:color w:val="000000"/>
          <w:sz w:val="22"/>
          <w:lang w:val="es-ES"/>
        </w:rPr>
        <w:t>í</w:t>
      </w:r>
      <w:r w:rsidR="009076DB">
        <w:rPr>
          <w:rFonts w:ascii="Arial" w:eastAsia="Calibri" w:hAnsi="Arial" w:cs="Arial"/>
          <w:color w:val="000000"/>
          <w:sz w:val="22"/>
          <w:lang w:val="es-ES"/>
        </w:rPr>
        <w:t xml:space="preserve"> como el requisito de</w:t>
      </w:r>
      <w:r w:rsidR="00AB3704">
        <w:rPr>
          <w:rFonts w:ascii="Arial" w:eastAsia="Calibri" w:hAnsi="Arial" w:cs="Arial"/>
          <w:color w:val="000000"/>
          <w:sz w:val="22"/>
          <w:lang w:val="es-ES"/>
        </w:rPr>
        <w:t xml:space="preserve"> experiencia</w:t>
      </w:r>
      <w:r w:rsidRPr="001F22AD">
        <w:rPr>
          <w:rFonts w:ascii="Arial" w:eastAsia="Calibri" w:hAnsi="Arial" w:cs="Arial"/>
          <w:color w:val="000000"/>
          <w:sz w:val="22"/>
          <w:lang w:val="es-ES"/>
        </w:rPr>
        <w:t xml:space="preserve"> en los procesos de selección </w:t>
      </w:r>
      <w:r>
        <w:rPr>
          <w:rFonts w:ascii="Arial" w:eastAsia="Calibri" w:hAnsi="Arial" w:cs="Arial"/>
          <w:color w:val="000000"/>
          <w:sz w:val="22"/>
          <w:lang w:val="es-ES"/>
        </w:rPr>
        <w:t>de mínima cuantía</w:t>
      </w:r>
      <w:r w:rsidR="004C3EAA">
        <w:rPr>
          <w:rFonts w:ascii="Arial" w:eastAsia="Calibri" w:hAnsi="Arial" w:cs="Arial"/>
          <w:color w:val="000000"/>
          <w:sz w:val="22"/>
          <w:lang w:val="es-ES"/>
        </w:rPr>
        <w:t>, cuando esta</w:t>
      </w:r>
      <w:r w:rsidR="00AB3704">
        <w:rPr>
          <w:rFonts w:ascii="Arial" w:eastAsia="Calibri" w:hAnsi="Arial" w:cs="Arial"/>
          <w:color w:val="000000"/>
          <w:sz w:val="22"/>
          <w:lang w:val="es-ES"/>
        </w:rPr>
        <w:t>s</w:t>
      </w:r>
      <w:r w:rsidR="004C3EAA">
        <w:rPr>
          <w:rFonts w:ascii="Arial" w:eastAsia="Calibri" w:hAnsi="Arial" w:cs="Arial"/>
          <w:color w:val="000000"/>
          <w:sz w:val="22"/>
          <w:lang w:val="es-ES"/>
        </w:rPr>
        <w:t xml:space="preserve"> condici</w:t>
      </w:r>
      <w:r w:rsidR="00AB3704">
        <w:rPr>
          <w:rFonts w:ascii="Arial" w:eastAsia="Calibri" w:hAnsi="Arial" w:cs="Arial"/>
          <w:color w:val="000000"/>
          <w:sz w:val="22"/>
          <w:lang w:val="es-ES"/>
        </w:rPr>
        <w:t>ones</w:t>
      </w:r>
      <w:r w:rsidR="004C3EAA">
        <w:rPr>
          <w:rFonts w:ascii="Arial" w:eastAsia="Calibri" w:hAnsi="Arial" w:cs="Arial"/>
          <w:color w:val="000000"/>
          <w:sz w:val="22"/>
          <w:lang w:val="es-ES"/>
        </w:rPr>
        <w:t xml:space="preserve"> se requiera</w:t>
      </w:r>
      <w:r w:rsidR="005F0D48">
        <w:rPr>
          <w:rFonts w:ascii="Arial" w:eastAsia="Calibri" w:hAnsi="Arial" w:cs="Arial"/>
          <w:color w:val="000000"/>
          <w:sz w:val="22"/>
          <w:lang w:val="es-ES"/>
        </w:rPr>
        <w:t>n</w:t>
      </w:r>
      <w:r w:rsidR="004C3EAA">
        <w:rPr>
          <w:rFonts w:ascii="Arial" w:eastAsia="Calibri" w:hAnsi="Arial" w:cs="Arial"/>
          <w:color w:val="000000"/>
          <w:sz w:val="22"/>
          <w:lang w:val="es-ES"/>
        </w:rPr>
        <w:t>,</w:t>
      </w:r>
      <w:r w:rsidRPr="001F22AD">
        <w:rPr>
          <w:rFonts w:ascii="Arial" w:eastAsia="Calibri" w:hAnsi="Arial" w:cs="Arial"/>
          <w:color w:val="000000"/>
          <w:sz w:val="22"/>
          <w:lang w:val="es-ES"/>
        </w:rPr>
        <w:t xml:space="preserve"> se realizará en los términos establecidos en l</w:t>
      </w:r>
      <w:r>
        <w:rPr>
          <w:rFonts w:ascii="Arial" w:eastAsia="Calibri" w:hAnsi="Arial" w:cs="Arial"/>
          <w:color w:val="000000"/>
          <w:sz w:val="22"/>
          <w:lang w:val="es-ES"/>
        </w:rPr>
        <w:t>a invitación</w:t>
      </w:r>
      <w:r w:rsidRPr="001F22AD">
        <w:rPr>
          <w:rFonts w:ascii="Arial" w:eastAsia="Calibri" w:hAnsi="Arial" w:cs="Arial"/>
          <w:color w:val="000000"/>
          <w:sz w:val="22"/>
          <w:lang w:val="es-ES"/>
        </w:rPr>
        <w:t>, pues las entidades estatales cuentan con discrecionalidad para regular este aspecto, de acuerdo con lo explicado</w:t>
      </w:r>
      <w:r w:rsidR="009076DB">
        <w:rPr>
          <w:rFonts w:ascii="Arial" w:eastAsia="Calibri" w:hAnsi="Arial" w:cs="Arial"/>
          <w:color w:val="000000"/>
          <w:sz w:val="22"/>
          <w:lang w:val="es-ES"/>
        </w:rPr>
        <w:t>, sin que sea posible exigir la presentación del RUP.</w:t>
      </w:r>
    </w:p>
    <w:p w14:paraId="57C4E809" w14:textId="5D0DC39E" w:rsidR="00145D56" w:rsidRPr="004A73E3" w:rsidRDefault="00145D56" w:rsidP="00F3144F">
      <w:pPr>
        <w:spacing w:after="120" w:line="276" w:lineRule="auto"/>
        <w:ind w:firstLine="709"/>
        <w:jc w:val="both"/>
        <w:rPr>
          <w:rFonts w:ascii="Arial" w:eastAsia="Calibri" w:hAnsi="Arial" w:cs="Arial"/>
          <w:color w:val="000000"/>
          <w:sz w:val="22"/>
          <w:lang w:val="es-ES"/>
        </w:rPr>
      </w:pPr>
      <w:r>
        <w:rPr>
          <w:rFonts w:ascii="Arial" w:eastAsia="Calibri" w:hAnsi="Arial" w:cs="Arial"/>
          <w:color w:val="000000" w:themeColor="text1"/>
          <w:sz w:val="22"/>
          <w:lang w:val="es-ES_tradnl"/>
        </w:rPr>
        <w:t>i</w:t>
      </w:r>
      <w:r w:rsidR="001B53A5">
        <w:rPr>
          <w:rFonts w:ascii="Arial" w:eastAsia="Calibri" w:hAnsi="Arial" w:cs="Arial"/>
          <w:color w:val="000000" w:themeColor="text1"/>
          <w:sz w:val="22"/>
          <w:lang w:val="es-ES_tradnl"/>
        </w:rPr>
        <w:t>v</w:t>
      </w:r>
      <w:r>
        <w:rPr>
          <w:rFonts w:ascii="Arial" w:eastAsia="Calibri" w:hAnsi="Arial" w:cs="Arial"/>
          <w:color w:val="000000" w:themeColor="text1"/>
          <w:sz w:val="22"/>
          <w:lang w:val="es-ES_tradnl"/>
        </w:rPr>
        <w:t xml:space="preserve">) La invitación se debe </w:t>
      </w:r>
      <w:r w:rsidR="00D0654D">
        <w:rPr>
          <w:rFonts w:ascii="Arial" w:eastAsia="Calibri" w:hAnsi="Arial" w:cs="Arial"/>
          <w:color w:val="000000" w:themeColor="text1"/>
          <w:sz w:val="22"/>
          <w:lang w:val="es-ES_tradnl"/>
        </w:rPr>
        <w:t xml:space="preserve">publicar </w:t>
      </w:r>
      <w:r>
        <w:rPr>
          <w:rFonts w:ascii="Arial" w:eastAsia="Calibri" w:hAnsi="Arial" w:cs="Arial"/>
          <w:color w:val="000000" w:themeColor="text1"/>
          <w:sz w:val="22"/>
          <w:lang w:val="es-ES_tradnl"/>
        </w:rPr>
        <w:t>por un término no inferior a un (1) día hábil</w:t>
      </w:r>
      <w:r w:rsidR="00D35141">
        <w:rPr>
          <w:rFonts w:ascii="Arial" w:eastAsia="Calibri" w:hAnsi="Arial" w:cs="Arial"/>
          <w:color w:val="000000" w:themeColor="text1"/>
          <w:sz w:val="22"/>
          <w:lang w:val="es-ES_tradnl"/>
        </w:rPr>
        <w:t>, para que</w:t>
      </w:r>
      <w:r w:rsidR="00C80365">
        <w:rPr>
          <w:rFonts w:ascii="Arial" w:eastAsia="Calibri" w:hAnsi="Arial" w:cs="Arial"/>
          <w:color w:val="000000" w:themeColor="text1"/>
          <w:sz w:val="22"/>
          <w:lang w:val="es-ES_tradnl"/>
        </w:rPr>
        <w:t xml:space="preserve"> </w:t>
      </w:r>
      <w:r w:rsidR="00D35141" w:rsidRPr="00D35141">
        <w:rPr>
          <w:rFonts w:ascii="Arial" w:eastAsia="Calibri" w:hAnsi="Arial" w:cs="Arial"/>
          <w:color w:val="000000" w:themeColor="text1"/>
          <w:sz w:val="22"/>
        </w:rPr>
        <w:t>los interesados se informen de su contenido y formulen observaciones o comentarios</w:t>
      </w:r>
      <w:r w:rsidR="00D35141">
        <w:rPr>
          <w:rFonts w:ascii="Arial" w:eastAsia="Calibri" w:hAnsi="Arial" w:cs="Arial"/>
          <w:color w:val="000000" w:themeColor="text1"/>
          <w:sz w:val="22"/>
        </w:rPr>
        <w:t>.</w:t>
      </w:r>
      <w:r w:rsidR="00D35141" w:rsidRPr="00D35141">
        <w:rPr>
          <w:rFonts w:ascii="Arial" w:eastAsia="Calibri" w:hAnsi="Arial" w:cs="Arial"/>
          <w:color w:val="000000" w:themeColor="text1"/>
          <w:sz w:val="22"/>
          <w:lang w:val="es-ES_tradnl"/>
        </w:rPr>
        <w:t xml:space="preserve"> </w:t>
      </w:r>
      <w:r w:rsidR="00D35141">
        <w:rPr>
          <w:rFonts w:ascii="Arial" w:eastAsia="Calibri" w:hAnsi="Arial" w:cs="Arial"/>
          <w:color w:val="000000" w:themeColor="text1"/>
          <w:sz w:val="22"/>
          <w:lang w:val="es-ES_tradnl"/>
        </w:rPr>
        <w:t xml:space="preserve">En este plazo </w:t>
      </w:r>
      <w:r w:rsidR="00D35141" w:rsidRPr="00D35141">
        <w:rPr>
          <w:rFonts w:ascii="Arial" w:eastAsia="Calibri" w:hAnsi="Arial" w:cs="Arial"/>
          <w:color w:val="000000" w:themeColor="text1"/>
          <w:sz w:val="22"/>
        </w:rPr>
        <w:t>se podrán presentar las solicitudes para limitar la convocatoria a Mipyme colombianas.</w:t>
      </w:r>
      <w:r w:rsidR="004C3EAA">
        <w:rPr>
          <w:rFonts w:ascii="Arial" w:eastAsia="Calibri" w:hAnsi="Arial" w:cs="Arial"/>
          <w:color w:val="000000" w:themeColor="text1"/>
          <w:sz w:val="22"/>
        </w:rPr>
        <w:t xml:space="preserve"> </w:t>
      </w:r>
      <w:r w:rsidR="00750476">
        <w:rPr>
          <w:rFonts w:ascii="Arial" w:eastAsia="Calibri" w:hAnsi="Arial" w:cs="Arial"/>
          <w:color w:val="000000" w:themeColor="text1"/>
          <w:sz w:val="22"/>
        </w:rPr>
        <w:t xml:space="preserve">Este último aspecto materializa la posibilidad de </w:t>
      </w:r>
      <w:r w:rsidR="00750476" w:rsidRPr="00063085">
        <w:rPr>
          <w:rFonts w:ascii="Arial" w:eastAsia="Calibri" w:hAnsi="Arial" w:cs="Arial"/>
          <w:bCs/>
          <w:color w:val="000000"/>
          <w:sz w:val="22"/>
          <w:szCs w:val="22"/>
          <w:lang w:val="es-ES_tradnl" w:eastAsia="en-US"/>
        </w:rPr>
        <w:t>limita</w:t>
      </w:r>
      <w:r w:rsidR="00750476">
        <w:rPr>
          <w:rFonts w:ascii="Arial" w:eastAsia="Calibri" w:hAnsi="Arial" w:cs="Arial"/>
          <w:bCs/>
          <w:color w:val="000000"/>
          <w:sz w:val="22"/>
          <w:szCs w:val="22"/>
          <w:lang w:val="es-ES_tradnl" w:eastAsia="en-US"/>
        </w:rPr>
        <w:t xml:space="preserve">r las convocatorias </w:t>
      </w:r>
      <w:r w:rsidR="00750476" w:rsidRPr="00063085">
        <w:rPr>
          <w:rFonts w:ascii="Arial" w:eastAsia="Calibri" w:hAnsi="Arial" w:cs="Arial"/>
          <w:bCs/>
          <w:color w:val="000000"/>
          <w:sz w:val="22"/>
          <w:szCs w:val="22"/>
          <w:lang w:val="es-ES_tradnl" w:eastAsia="en-US"/>
        </w:rPr>
        <w:t xml:space="preserve">a </w:t>
      </w:r>
      <w:r w:rsidR="00750476">
        <w:rPr>
          <w:rFonts w:ascii="Arial" w:eastAsia="Calibri" w:hAnsi="Arial" w:cs="Arial"/>
          <w:bCs/>
          <w:color w:val="000000"/>
          <w:sz w:val="22"/>
          <w:szCs w:val="22"/>
          <w:lang w:val="es-ES_tradnl" w:eastAsia="en-US"/>
        </w:rPr>
        <w:t>M</w:t>
      </w:r>
      <w:r w:rsidR="00750476" w:rsidRPr="00063085">
        <w:rPr>
          <w:rFonts w:ascii="Arial" w:eastAsia="Calibri" w:hAnsi="Arial" w:cs="Arial"/>
          <w:bCs/>
          <w:color w:val="000000"/>
          <w:sz w:val="22"/>
          <w:szCs w:val="22"/>
          <w:lang w:val="es-ES_tradnl" w:eastAsia="en-US"/>
        </w:rPr>
        <w:t>ipym</w:t>
      </w:r>
      <w:r w:rsidR="00750476">
        <w:rPr>
          <w:rFonts w:ascii="Arial" w:eastAsia="Calibri" w:hAnsi="Arial" w:cs="Arial"/>
          <w:bCs/>
          <w:color w:val="000000"/>
          <w:sz w:val="22"/>
          <w:szCs w:val="22"/>
          <w:lang w:val="es-ES_tradnl" w:eastAsia="en-US"/>
        </w:rPr>
        <w:t>e</w:t>
      </w:r>
      <w:r w:rsidR="009076DB" w:rsidRPr="009076DB">
        <w:rPr>
          <w:rFonts w:ascii="Arial" w:eastAsia="Calibri" w:hAnsi="Arial" w:cs="Arial"/>
          <w:color w:val="000000" w:themeColor="text1"/>
          <w:sz w:val="22"/>
        </w:rPr>
        <w:t xml:space="preserve"> </w:t>
      </w:r>
      <w:r w:rsidR="009076DB">
        <w:rPr>
          <w:rFonts w:ascii="Arial" w:eastAsia="Calibri" w:hAnsi="Arial" w:cs="Arial"/>
          <w:color w:val="000000" w:themeColor="text1"/>
          <w:sz w:val="22"/>
        </w:rPr>
        <w:t>en estos procesos de selección</w:t>
      </w:r>
      <w:r w:rsidR="001A7DB7">
        <w:rPr>
          <w:rFonts w:ascii="Arial" w:eastAsia="Calibri" w:hAnsi="Arial" w:cs="Arial"/>
          <w:bCs/>
          <w:color w:val="000000"/>
          <w:sz w:val="22"/>
          <w:szCs w:val="22"/>
          <w:lang w:val="es-ES_tradnl" w:eastAsia="en-US"/>
        </w:rPr>
        <w:t>,</w:t>
      </w:r>
      <w:r w:rsidR="00750476">
        <w:rPr>
          <w:rFonts w:ascii="Arial" w:eastAsia="Calibri" w:hAnsi="Arial" w:cs="Arial"/>
          <w:bCs/>
          <w:color w:val="000000"/>
          <w:sz w:val="22"/>
          <w:szCs w:val="22"/>
          <w:lang w:val="es-ES_tradnl" w:eastAsia="en-US"/>
        </w:rPr>
        <w:t xml:space="preserve"> conforme lo establece el artículo 30 de la Ley 2069 de 2020.</w:t>
      </w:r>
    </w:p>
    <w:p w14:paraId="38067D22" w14:textId="700E1163" w:rsidR="00145D56" w:rsidRDefault="00145D56" w:rsidP="00F3144F">
      <w:pPr>
        <w:spacing w:after="120" w:line="276" w:lineRule="auto"/>
        <w:ind w:firstLine="709"/>
        <w:jc w:val="both"/>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 xml:space="preserve">v) Las observaciones que realicen los interesados deben responderse por la entidad estatal a más tardar antes del </w:t>
      </w:r>
      <w:r w:rsidR="001B53A5">
        <w:rPr>
          <w:rFonts w:ascii="Arial" w:eastAsia="Calibri" w:hAnsi="Arial" w:cs="Arial"/>
          <w:color w:val="000000" w:themeColor="text1"/>
          <w:sz w:val="22"/>
          <w:lang w:val="es-ES_tradnl"/>
        </w:rPr>
        <w:t>inicio del plazo</w:t>
      </w:r>
      <w:r>
        <w:rPr>
          <w:rFonts w:ascii="Arial" w:eastAsia="Calibri" w:hAnsi="Arial" w:cs="Arial"/>
          <w:color w:val="000000" w:themeColor="text1"/>
          <w:sz w:val="22"/>
          <w:lang w:val="es-ES_tradnl"/>
        </w:rPr>
        <w:t xml:space="preserve"> para presentar las ofertas.</w:t>
      </w:r>
      <w:r w:rsidR="00D35141">
        <w:rPr>
          <w:rFonts w:ascii="Arial" w:eastAsia="Calibri" w:hAnsi="Arial" w:cs="Arial"/>
          <w:color w:val="000000" w:themeColor="text1"/>
          <w:sz w:val="22"/>
          <w:lang w:val="es-ES_tradnl"/>
        </w:rPr>
        <w:t xml:space="preserve"> </w:t>
      </w:r>
    </w:p>
    <w:p w14:paraId="7C1AD157" w14:textId="75AAEA07" w:rsidR="00750476" w:rsidRDefault="00145D56" w:rsidP="00F3144F">
      <w:pPr>
        <w:spacing w:after="120" w:line="276" w:lineRule="auto"/>
        <w:ind w:firstLine="709"/>
        <w:jc w:val="both"/>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v</w:t>
      </w:r>
      <w:r w:rsidR="00D0654D">
        <w:rPr>
          <w:rFonts w:ascii="Arial" w:eastAsia="Calibri" w:hAnsi="Arial" w:cs="Arial"/>
          <w:color w:val="000000" w:themeColor="text1"/>
          <w:sz w:val="22"/>
          <w:lang w:val="es-ES_tradnl"/>
        </w:rPr>
        <w:t>i</w:t>
      </w:r>
      <w:r>
        <w:rPr>
          <w:rFonts w:ascii="Arial" w:eastAsia="Calibri" w:hAnsi="Arial" w:cs="Arial"/>
          <w:color w:val="000000" w:themeColor="text1"/>
          <w:sz w:val="22"/>
          <w:lang w:val="es-ES_tradnl"/>
        </w:rPr>
        <w:t xml:space="preserve">) </w:t>
      </w:r>
      <w:r w:rsidR="00750476">
        <w:rPr>
          <w:rFonts w:ascii="Arial" w:eastAsia="Calibri" w:hAnsi="Arial" w:cs="Arial"/>
          <w:color w:val="000000" w:themeColor="text1"/>
          <w:sz w:val="22"/>
          <w:lang w:val="es-ES_tradnl"/>
        </w:rPr>
        <w:t xml:space="preserve">En la invitación se deberá incluir un cronograma que tenga en cuenta los términos mínimos establecidos en el artículo </w:t>
      </w:r>
      <w:r w:rsidR="00750476" w:rsidRPr="00750476">
        <w:rPr>
          <w:rFonts w:ascii="Arial" w:eastAsia="Calibri" w:hAnsi="Arial" w:cs="Arial"/>
          <w:bCs/>
          <w:color w:val="000000" w:themeColor="text1"/>
          <w:sz w:val="22"/>
          <w:lang w:val="es-ES_tradnl"/>
        </w:rPr>
        <w:t>2.2.1.2.1.5.2.</w:t>
      </w:r>
      <w:r w:rsidR="00750476">
        <w:rPr>
          <w:rFonts w:ascii="Arial" w:eastAsia="Calibri" w:hAnsi="Arial" w:cs="Arial"/>
          <w:bCs/>
          <w:color w:val="000000" w:themeColor="text1"/>
          <w:sz w:val="22"/>
          <w:lang w:val="es-ES_tradnl"/>
        </w:rPr>
        <w:t xml:space="preserve"> del Decreto 1082 de 2015</w:t>
      </w:r>
      <w:r w:rsidR="00D0654D">
        <w:rPr>
          <w:rFonts w:ascii="Arial" w:eastAsia="Calibri" w:hAnsi="Arial" w:cs="Arial"/>
          <w:color w:val="000000" w:themeColor="text1"/>
          <w:sz w:val="22"/>
        </w:rPr>
        <w:t xml:space="preserve">, así como: </w:t>
      </w:r>
      <w:r w:rsidR="001A7DB7">
        <w:rPr>
          <w:rFonts w:ascii="Arial" w:eastAsia="Calibri" w:hAnsi="Arial" w:cs="Arial"/>
          <w:color w:val="000000" w:themeColor="text1"/>
          <w:sz w:val="22"/>
        </w:rPr>
        <w:t>a</w:t>
      </w:r>
      <w:r w:rsidR="00750476" w:rsidRPr="00750476">
        <w:rPr>
          <w:rFonts w:ascii="Arial" w:eastAsia="Calibri" w:hAnsi="Arial" w:cs="Arial"/>
          <w:color w:val="000000" w:themeColor="text1"/>
          <w:sz w:val="22"/>
        </w:rPr>
        <w:t xml:space="preserve">) el término dentro del cual la </w:t>
      </w:r>
      <w:r w:rsidR="00D0654D">
        <w:rPr>
          <w:rFonts w:ascii="Arial" w:eastAsia="Calibri" w:hAnsi="Arial" w:cs="Arial"/>
          <w:color w:val="000000" w:themeColor="text1"/>
          <w:sz w:val="22"/>
        </w:rPr>
        <w:t>e</w:t>
      </w:r>
      <w:r w:rsidR="00750476" w:rsidRPr="00750476">
        <w:rPr>
          <w:rFonts w:ascii="Arial" w:eastAsia="Calibri" w:hAnsi="Arial" w:cs="Arial"/>
          <w:color w:val="000000" w:themeColor="text1"/>
          <w:sz w:val="22"/>
        </w:rPr>
        <w:t>ntidad responderá las observaciones</w:t>
      </w:r>
      <w:r w:rsidR="00D0654D">
        <w:rPr>
          <w:rFonts w:ascii="Arial" w:eastAsia="Calibri" w:hAnsi="Arial" w:cs="Arial"/>
          <w:color w:val="000000" w:themeColor="text1"/>
          <w:sz w:val="22"/>
        </w:rPr>
        <w:t>;</w:t>
      </w:r>
      <w:r w:rsidR="00750476" w:rsidRPr="00750476">
        <w:rPr>
          <w:rFonts w:ascii="Arial" w:eastAsia="Calibri" w:hAnsi="Arial" w:cs="Arial"/>
          <w:color w:val="000000" w:themeColor="text1"/>
          <w:sz w:val="22"/>
        </w:rPr>
        <w:t xml:space="preserve"> </w:t>
      </w:r>
      <w:r w:rsidR="001A7DB7">
        <w:rPr>
          <w:rFonts w:ascii="Arial" w:eastAsia="Calibri" w:hAnsi="Arial" w:cs="Arial"/>
          <w:color w:val="000000" w:themeColor="text1"/>
          <w:sz w:val="22"/>
        </w:rPr>
        <w:t>b</w:t>
      </w:r>
      <w:r w:rsidR="00750476" w:rsidRPr="00750476">
        <w:rPr>
          <w:rFonts w:ascii="Arial" w:eastAsia="Calibri" w:hAnsi="Arial" w:cs="Arial"/>
          <w:color w:val="000000" w:themeColor="text1"/>
          <w:sz w:val="22"/>
        </w:rPr>
        <w:t xml:space="preserve">) </w:t>
      </w:r>
      <w:r w:rsidR="00D0654D">
        <w:rPr>
          <w:rFonts w:ascii="Arial" w:eastAsia="Calibri" w:hAnsi="Arial" w:cs="Arial"/>
          <w:color w:val="000000" w:themeColor="text1"/>
          <w:sz w:val="22"/>
        </w:rPr>
        <w:t>e</w:t>
      </w:r>
      <w:r w:rsidR="00750476" w:rsidRPr="00750476">
        <w:rPr>
          <w:rFonts w:ascii="Arial" w:eastAsia="Calibri" w:hAnsi="Arial" w:cs="Arial"/>
          <w:color w:val="000000" w:themeColor="text1"/>
          <w:sz w:val="22"/>
        </w:rPr>
        <w:t>l término hasta el cual podrá expedir adendas para modificar la invitación, el cual, en todo caso, tendrá como límite un día hábil antes a la fecha y hora prevista para la presentación de ofertas de que trata el último plazo de este numeral, sin perjuicio que con posterioridad a este momento pueda expedir adendas para modificar el cronograma del proceso</w:t>
      </w:r>
      <w:r w:rsidR="00D0654D">
        <w:rPr>
          <w:rFonts w:ascii="Arial" w:eastAsia="Calibri" w:hAnsi="Arial" w:cs="Arial"/>
          <w:color w:val="000000" w:themeColor="text1"/>
          <w:sz w:val="22"/>
        </w:rPr>
        <w:t xml:space="preserve">, </w:t>
      </w:r>
      <w:r w:rsidR="00750476" w:rsidRPr="00750476">
        <w:rPr>
          <w:rFonts w:ascii="Arial" w:eastAsia="Calibri" w:hAnsi="Arial" w:cs="Arial"/>
          <w:color w:val="000000" w:themeColor="text1"/>
          <w:sz w:val="22"/>
        </w:rPr>
        <w:t>en todo caso, las adendas se publicarán en el horario establecido en el artículo 2.2.1.1.2.2.1. del Decreto 1082 de 2015</w:t>
      </w:r>
      <w:r w:rsidR="00D0654D">
        <w:rPr>
          <w:rFonts w:ascii="Arial" w:eastAsia="Calibri" w:hAnsi="Arial" w:cs="Arial"/>
          <w:color w:val="000000" w:themeColor="text1"/>
          <w:sz w:val="22"/>
        </w:rPr>
        <w:t>;</w:t>
      </w:r>
      <w:r w:rsidR="00750476" w:rsidRPr="00750476">
        <w:rPr>
          <w:rFonts w:ascii="Arial" w:eastAsia="Calibri" w:hAnsi="Arial" w:cs="Arial"/>
          <w:color w:val="000000" w:themeColor="text1"/>
          <w:sz w:val="22"/>
        </w:rPr>
        <w:t xml:space="preserve"> </w:t>
      </w:r>
      <w:r w:rsidR="001A7DB7">
        <w:rPr>
          <w:rFonts w:ascii="Arial" w:eastAsia="Calibri" w:hAnsi="Arial" w:cs="Arial"/>
          <w:color w:val="000000" w:themeColor="text1"/>
          <w:sz w:val="22"/>
        </w:rPr>
        <w:t>c</w:t>
      </w:r>
      <w:r w:rsidR="00750476" w:rsidRPr="00750476">
        <w:rPr>
          <w:rFonts w:ascii="Arial" w:eastAsia="Calibri" w:hAnsi="Arial" w:cs="Arial"/>
          <w:color w:val="000000" w:themeColor="text1"/>
          <w:sz w:val="22"/>
        </w:rPr>
        <w:t xml:space="preserve">) </w:t>
      </w:r>
      <w:r w:rsidR="00D0654D">
        <w:rPr>
          <w:rFonts w:ascii="Arial" w:eastAsia="Calibri" w:hAnsi="Arial" w:cs="Arial"/>
          <w:color w:val="000000" w:themeColor="text1"/>
          <w:sz w:val="22"/>
        </w:rPr>
        <w:t>e</w:t>
      </w:r>
      <w:r w:rsidR="00750476" w:rsidRPr="00750476">
        <w:rPr>
          <w:rFonts w:ascii="Arial" w:eastAsia="Calibri" w:hAnsi="Arial" w:cs="Arial"/>
          <w:color w:val="000000" w:themeColor="text1"/>
          <w:sz w:val="22"/>
        </w:rPr>
        <w:t>l momento en que publicará un aviso en el SECOP precisando si el proceso efectivamente se limitó a Mipyme o si podrá participar cualquier otro interesad</w:t>
      </w:r>
      <w:r w:rsidR="001A7DB7">
        <w:rPr>
          <w:rFonts w:ascii="Arial" w:eastAsia="Calibri" w:hAnsi="Arial" w:cs="Arial"/>
          <w:color w:val="000000" w:themeColor="text1"/>
          <w:sz w:val="22"/>
        </w:rPr>
        <w:t>o;</w:t>
      </w:r>
      <w:r w:rsidR="00750476" w:rsidRPr="00750476">
        <w:rPr>
          <w:rFonts w:ascii="Arial" w:eastAsia="Calibri" w:hAnsi="Arial" w:cs="Arial"/>
          <w:color w:val="000000" w:themeColor="text1"/>
          <w:sz w:val="22"/>
        </w:rPr>
        <w:t xml:space="preserve"> </w:t>
      </w:r>
      <w:r w:rsidR="001A7DB7">
        <w:rPr>
          <w:rFonts w:ascii="Arial" w:eastAsia="Calibri" w:hAnsi="Arial" w:cs="Arial"/>
          <w:color w:val="000000" w:themeColor="text1"/>
          <w:sz w:val="22"/>
        </w:rPr>
        <w:t>d</w:t>
      </w:r>
      <w:r w:rsidR="00750476" w:rsidRPr="00750476">
        <w:rPr>
          <w:rFonts w:ascii="Arial" w:eastAsia="Calibri" w:hAnsi="Arial" w:cs="Arial"/>
          <w:color w:val="000000" w:themeColor="text1"/>
          <w:sz w:val="22"/>
        </w:rPr>
        <w:t xml:space="preserve">) </w:t>
      </w:r>
      <w:r w:rsidR="001A7DB7">
        <w:rPr>
          <w:rFonts w:ascii="Arial" w:eastAsia="Calibri" w:hAnsi="Arial" w:cs="Arial"/>
          <w:color w:val="000000" w:themeColor="text1"/>
          <w:sz w:val="22"/>
        </w:rPr>
        <w:t>f</w:t>
      </w:r>
      <w:r w:rsidR="00750476" w:rsidRPr="00750476">
        <w:rPr>
          <w:rFonts w:ascii="Arial" w:eastAsia="Calibri" w:hAnsi="Arial" w:cs="Arial"/>
          <w:color w:val="000000" w:themeColor="text1"/>
          <w:sz w:val="22"/>
        </w:rPr>
        <w:t>inalmente, se dispondrá un término adicional dentro del cual los proponentes podrán presentar sus ofertas, el cual será de mínimo un (1) día hábil luego de publicado el aviso en que se informe si el proceso se limita o no a Mipyme.</w:t>
      </w:r>
    </w:p>
    <w:p w14:paraId="5AFDF3FF" w14:textId="37EDD253" w:rsidR="001A7DB7" w:rsidRDefault="001A7DB7" w:rsidP="00F3144F">
      <w:pPr>
        <w:spacing w:after="120" w:line="276" w:lineRule="auto"/>
        <w:ind w:firstLine="709"/>
        <w:jc w:val="both"/>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 xml:space="preserve">vii) </w:t>
      </w:r>
      <w:r w:rsidR="00145D56">
        <w:rPr>
          <w:rFonts w:ascii="Arial" w:eastAsia="Calibri" w:hAnsi="Arial" w:cs="Arial"/>
          <w:color w:val="000000" w:themeColor="text1"/>
          <w:sz w:val="22"/>
          <w:lang w:val="es-ES_tradnl"/>
        </w:rPr>
        <w:t xml:space="preserve">Presentadas las propuestas, la entidad estatal debe revisar las ofertas económicas y verificar </w:t>
      </w:r>
      <w:r w:rsidR="00AB3704">
        <w:rPr>
          <w:rFonts w:ascii="Arial" w:eastAsia="Calibri" w:hAnsi="Arial" w:cs="Arial"/>
          <w:color w:val="000000" w:themeColor="text1"/>
          <w:sz w:val="22"/>
          <w:lang w:val="es-ES_tradnl"/>
        </w:rPr>
        <w:t>que</w:t>
      </w:r>
      <w:r w:rsidR="00145D56">
        <w:rPr>
          <w:rFonts w:ascii="Arial" w:eastAsia="Calibri" w:hAnsi="Arial" w:cs="Arial"/>
          <w:color w:val="000000" w:themeColor="text1"/>
          <w:sz w:val="22"/>
          <w:lang w:val="es-ES_tradnl"/>
        </w:rPr>
        <w:t xml:space="preserve"> la del menor precio cumpla con los requisitos de participación. Si no los satisface, debe revisar la oferta económica </w:t>
      </w:r>
      <w:r w:rsidR="00AB3704">
        <w:rPr>
          <w:rFonts w:ascii="Arial" w:eastAsia="Calibri" w:hAnsi="Arial" w:cs="Arial"/>
          <w:color w:val="000000" w:themeColor="text1"/>
          <w:sz w:val="22"/>
          <w:lang w:val="es-ES_tradnl"/>
        </w:rPr>
        <w:t xml:space="preserve">en el segundo mejor precio </w:t>
      </w:r>
      <w:r w:rsidR="00145D56">
        <w:rPr>
          <w:rFonts w:ascii="Arial" w:eastAsia="Calibri" w:hAnsi="Arial" w:cs="Arial"/>
          <w:color w:val="000000" w:themeColor="text1"/>
          <w:sz w:val="22"/>
          <w:lang w:val="es-ES_tradnl"/>
        </w:rPr>
        <w:t>y así sucesivamente. Esto significa que en la mínima cuantía el precio es el único factor de calificación o asignación de puntaje</w:t>
      </w:r>
      <w:r w:rsidR="00145D56">
        <w:rPr>
          <w:rStyle w:val="Refdenotaalpie"/>
          <w:rFonts w:ascii="Arial" w:eastAsia="Calibri" w:hAnsi="Arial" w:cs="Arial"/>
          <w:color w:val="000000" w:themeColor="text1"/>
          <w:sz w:val="22"/>
          <w:lang w:val="es-ES_tradnl"/>
        </w:rPr>
        <w:footnoteReference w:id="11"/>
      </w:r>
      <w:r w:rsidR="00145D56">
        <w:rPr>
          <w:rFonts w:ascii="Arial" w:eastAsia="Calibri" w:hAnsi="Arial" w:cs="Arial"/>
          <w:color w:val="000000" w:themeColor="text1"/>
          <w:sz w:val="22"/>
          <w:lang w:val="es-ES_tradnl"/>
        </w:rPr>
        <w:t>.</w:t>
      </w:r>
      <w:r>
        <w:rPr>
          <w:rFonts w:ascii="Arial" w:eastAsia="Calibri" w:hAnsi="Arial" w:cs="Arial"/>
          <w:color w:val="000000" w:themeColor="text1"/>
          <w:sz w:val="22"/>
          <w:lang w:val="es-ES_tradnl"/>
        </w:rPr>
        <w:t xml:space="preserve"> </w:t>
      </w:r>
    </w:p>
    <w:p w14:paraId="6BFB4F59" w14:textId="69A983C7" w:rsidR="00145D56" w:rsidRDefault="001A3B2D" w:rsidP="00F3144F">
      <w:pPr>
        <w:spacing w:after="120" w:line="276" w:lineRule="auto"/>
        <w:ind w:firstLine="709"/>
        <w:jc w:val="both"/>
        <w:rPr>
          <w:rFonts w:ascii="Arial" w:eastAsia="Calibri" w:hAnsi="Arial" w:cs="Arial"/>
          <w:color w:val="000000" w:themeColor="text1"/>
          <w:sz w:val="22"/>
          <w:lang w:val="es-ES_tradnl"/>
        </w:rPr>
      </w:pPr>
      <w:r>
        <w:rPr>
          <w:rFonts w:ascii="Arial" w:eastAsia="Calibri" w:hAnsi="Arial" w:cs="Arial"/>
          <w:color w:val="000000" w:themeColor="text1"/>
          <w:sz w:val="22"/>
        </w:rPr>
        <w:lastRenderedPageBreak/>
        <w:t xml:space="preserve">Respecto de los requisitos de participación, las entidades deberán otorgar la oportunidad </w:t>
      </w:r>
      <w:r w:rsidR="001A7DB7" w:rsidRPr="001A7DB7">
        <w:rPr>
          <w:rFonts w:ascii="Arial" w:eastAsia="Calibri" w:hAnsi="Arial" w:cs="Arial"/>
          <w:color w:val="000000" w:themeColor="text1"/>
          <w:sz w:val="22"/>
        </w:rPr>
        <w:t>para subsanar las ofertas en los términos del artículo </w:t>
      </w:r>
      <w:hyperlink r:id="rId12" w:anchor="5" w:history="1">
        <w:r w:rsidR="001A7DB7" w:rsidRPr="001A7DB7">
          <w:rPr>
            <w:rStyle w:val="Hipervnculo"/>
            <w:rFonts w:ascii="Arial" w:eastAsia="Calibri" w:hAnsi="Arial" w:cs="Arial"/>
            <w:color w:val="000000" w:themeColor="text1"/>
            <w:sz w:val="22"/>
            <w:u w:val="none"/>
          </w:rPr>
          <w:t>5 </w:t>
        </w:r>
      </w:hyperlink>
      <w:r w:rsidR="001A7DB7" w:rsidRPr="001A7DB7">
        <w:rPr>
          <w:rFonts w:ascii="Arial" w:eastAsia="Calibri" w:hAnsi="Arial" w:cs="Arial"/>
          <w:color w:val="000000" w:themeColor="text1"/>
          <w:sz w:val="22"/>
        </w:rPr>
        <w:t>de la Ley 1150 de 2007, para lo cual establecerán un término preclusivo en la invitación para recibir los documentos subsanables, frente a cada uno de los requerimientos. En caso de que no se establezca este término, los proponentes podrán subsanar sus ofertas hasta antes de que finalice el traslado del informe de evaluación.</w:t>
      </w:r>
    </w:p>
    <w:p w14:paraId="23200CE8" w14:textId="26C8DD88" w:rsidR="00145D56" w:rsidRDefault="00145D56" w:rsidP="00F3144F">
      <w:pPr>
        <w:spacing w:after="120" w:line="276" w:lineRule="auto"/>
        <w:ind w:firstLine="709"/>
        <w:jc w:val="both"/>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v</w:t>
      </w:r>
      <w:r w:rsidR="007D4261">
        <w:rPr>
          <w:rFonts w:ascii="Arial" w:eastAsia="Calibri" w:hAnsi="Arial" w:cs="Arial"/>
          <w:color w:val="000000" w:themeColor="text1"/>
          <w:sz w:val="22"/>
          <w:lang w:val="es-ES_tradnl"/>
        </w:rPr>
        <w:t>ii</w:t>
      </w:r>
      <w:r>
        <w:rPr>
          <w:rFonts w:ascii="Arial" w:eastAsia="Calibri" w:hAnsi="Arial" w:cs="Arial"/>
          <w:color w:val="000000" w:themeColor="text1"/>
          <w:sz w:val="22"/>
          <w:lang w:val="es-ES_tradnl"/>
        </w:rPr>
        <w:t xml:space="preserve">i) El informe de evaluación se debe publicar </w:t>
      </w:r>
      <w:r w:rsidR="00D036B0">
        <w:rPr>
          <w:rFonts w:ascii="Arial" w:eastAsia="Calibri" w:hAnsi="Arial" w:cs="Arial"/>
          <w:color w:val="000000" w:themeColor="text1"/>
          <w:sz w:val="22"/>
          <w:lang w:val="es-ES_tradnl"/>
        </w:rPr>
        <w:t>durante mínimo</w:t>
      </w:r>
      <w:r>
        <w:rPr>
          <w:rFonts w:ascii="Arial" w:eastAsia="Calibri" w:hAnsi="Arial" w:cs="Arial"/>
          <w:color w:val="000000" w:themeColor="text1"/>
          <w:sz w:val="22"/>
          <w:lang w:val="es-ES_tradnl"/>
        </w:rPr>
        <w:t xml:space="preserve"> un (1) día hábil.</w:t>
      </w:r>
    </w:p>
    <w:p w14:paraId="1F9BF8A0" w14:textId="452F9EC1" w:rsidR="00145D56" w:rsidRDefault="007D4261" w:rsidP="00F3144F">
      <w:pPr>
        <w:spacing w:after="120" w:line="276" w:lineRule="auto"/>
        <w:ind w:firstLine="709"/>
        <w:jc w:val="both"/>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ix</w:t>
      </w:r>
      <w:r w:rsidR="00145D56">
        <w:rPr>
          <w:rFonts w:ascii="Arial" w:eastAsia="Calibri" w:hAnsi="Arial" w:cs="Arial"/>
          <w:color w:val="000000" w:themeColor="text1"/>
          <w:sz w:val="22"/>
          <w:lang w:val="es-ES_tradnl"/>
        </w:rPr>
        <w:t xml:space="preserve">) </w:t>
      </w:r>
      <w:r w:rsidR="00D036B0" w:rsidRPr="00D036B0">
        <w:rPr>
          <w:rFonts w:ascii="Arial" w:eastAsia="Calibri" w:hAnsi="Arial" w:cs="Arial"/>
          <w:color w:val="000000" w:themeColor="text1"/>
          <w:sz w:val="22"/>
        </w:rPr>
        <w:t xml:space="preserve">La </w:t>
      </w:r>
      <w:r w:rsidR="00D036B0">
        <w:rPr>
          <w:rFonts w:ascii="Arial" w:eastAsia="Calibri" w:hAnsi="Arial" w:cs="Arial"/>
          <w:color w:val="000000" w:themeColor="text1"/>
          <w:sz w:val="22"/>
        </w:rPr>
        <w:t>e</w:t>
      </w:r>
      <w:r w:rsidR="00D036B0" w:rsidRPr="00D036B0">
        <w:rPr>
          <w:rFonts w:ascii="Arial" w:eastAsia="Calibri" w:hAnsi="Arial" w:cs="Arial"/>
          <w:color w:val="000000" w:themeColor="text1"/>
          <w:sz w:val="22"/>
        </w:rPr>
        <w:t xml:space="preserve">ntidad debe aceptar la oferta de menor precio, siempre que cumpla con las condiciones establecidas en la invitación a participar en procesos de mínima cuantía. En la aceptación de la oferta, la </w:t>
      </w:r>
      <w:r w:rsidR="00D036B0">
        <w:rPr>
          <w:rFonts w:ascii="Arial" w:eastAsia="Calibri" w:hAnsi="Arial" w:cs="Arial"/>
          <w:color w:val="000000" w:themeColor="text1"/>
          <w:sz w:val="22"/>
        </w:rPr>
        <w:t xml:space="preserve">entidad </w:t>
      </w:r>
      <w:r w:rsidR="00D036B0" w:rsidRPr="00D036B0">
        <w:rPr>
          <w:rFonts w:ascii="Arial" w:eastAsia="Calibri" w:hAnsi="Arial" w:cs="Arial"/>
          <w:color w:val="000000" w:themeColor="text1"/>
          <w:sz w:val="22"/>
        </w:rPr>
        <w:t>debe informar al contratista el nombre del supervisor o interventor del contrato.</w:t>
      </w:r>
      <w:r w:rsidR="00D036B0">
        <w:rPr>
          <w:rFonts w:ascii="Arial" w:eastAsia="Calibri" w:hAnsi="Arial" w:cs="Arial"/>
          <w:color w:val="000000" w:themeColor="text1"/>
          <w:sz w:val="22"/>
          <w:lang w:val="es-ES_tradnl"/>
        </w:rPr>
        <w:t xml:space="preserve"> En tal sentido, e</w:t>
      </w:r>
      <w:r w:rsidR="00145D56">
        <w:rPr>
          <w:rFonts w:ascii="Arial" w:eastAsia="Calibri" w:hAnsi="Arial" w:cs="Arial"/>
          <w:color w:val="000000" w:themeColor="text1"/>
          <w:sz w:val="22"/>
          <w:lang w:val="es-ES_tradnl"/>
        </w:rPr>
        <w:t xml:space="preserve">l contrato se perfecciona con la comunicación de aceptación de la oferta que envía la entidad estatal al proponente que presentó la oferta económica de menor precio, no requiriéndose, entonces, de la suscripción de una minuta. </w:t>
      </w:r>
    </w:p>
    <w:p w14:paraId="3D9DCB85" w14:textId="78564317" w:rsidR="00145D56" w:rsidRDefault="007D4261" w:rsidP="00F3144F">
      <w:pPr>
        <w:spacing w:after="120" w:line="276" w:lineRule="auto"/>
        <w:ind w:firstLine="709"/>
        <w:jc w:val="both"/>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x</w:t>
      </w:r>
      <w:r w:rsidR="00145D56">
        <w:rPr>
          <w:rFonts w:ascii="Arial" w:eastAsia="Calibri" w:hAnsi="Arial" w:cs="Arial"/>
          <w:color w:val="000000" w:themeColor="text1"/>
          <w:sz w:val="22"/>
          <w:lang w:val="es-ES_tradnl"/>
        </w:rPr>
        <w:t xml:space="preserve">) De existir empate, </w:t>
      </w:r>
      <w:r w:rsidR="004554DF">
        <w:rPr>
          <w:rFonts w:ascii="Arial" w:eastAsia="Calibri" w:hAnsi="Arial" w:cs="Arial"/>
          <w:color w:val="000000" w:themeColor="text1"/>
          <w:sz w:val="22"/>
          <w:lang w:val="es-ES_tradnl"/>
        </w:rPr>
        <w:t>l</w:t>
      </w:r>
      <w:r w:rsidR="00D91638" w:rsidRPr="00D91638">
        <w:rPr>
          <w:rFonts w:ascii="Arial" w:eastAsia="Calibri" w:hAnsi="Arial" w:cs="Arial"/>
          <w:color w:val="000000" w:themeColor="text1"/>
          <w:sz w:val="22"/>
        </w:rPr>
        <w:t xml:space="preserve">a </w:t>
      </w:r>
      <w:r w:rsidR="004554DF">
        <w:rPr>
          <w:rFonts w:ascii="Arial" w:eastAsia="Calibri" w:hAnsi="Arial" w:cs="Arial"/>
          <w:color w:val="000000" w:themeColor="text1"/>
          <w:sz w:val="22"/>
        </w:rPr>
        <w:t>e</w:t>
      </w:r>
      <w:r w:rsidR="00D91638" w:rsidRPr="00D91638">
        <w:rPr>
          <w:rFonts w:ascii="Arial" w:eastAsia="Calibri" w:hAnsi="Arial" w:cs="Arial"/>
          <w:color w:val="000000" w:themeColor="text1"/>
          <w:sz w:val="22"/>
        </w:rPr>
        <w:t>ntidad</w:t>
      </w:r>
      <w:r w:rsidR="00AB3704">
        <w:rPr>
          <w:rFonts w:ascii="Arial" w:eastAsia="Calibri" w:hAnsi="Arial" w:cs="Arial"/>
          <w:color w:val="000000" w:themeColor="text1"/>
          <w:sz w:val="22"/>
        </w:rPr>
        <w:t xml:space="preserve"> </w:t>
      </w:r>
      <w:r w:rsidR="00D91638" w:rsidRPr="00D91638">
        <w:rPr>
          <w:rFonts w:ascii="Arial" w:eastAsia="Calibri" w:hAnsi="Arial" w:cs="Arial"/>
          <w:color w:val="000000" w:themeColor="text1"/>
          <w:sz w:val="22"/>
        </w:rPr>
        <w:t>aplicará los criterios de que trata el artículo</w:t>
      </w:r>
      <w:r w:rsidR="00D91638" w:rsidRPr="00AB3704">
        <w:rPr>
          <w:rFonts w:ascii="Arial" w:eastAsia="Calibri" w:hAnsi="Arial" w:cs="Arial"/>
          <w:color w:val="000000" w:themeColor="text1"/>
          <w:sz w:val="22"/>
        </w:rPr>
        <w:t> </w:t>
      </w:r>
      <w:hyperlink r:id="rId13" w:anchor="35" w:history="1">
        <w:r w:rsidR="00D91638" w:rsidRPr="004554DF">
          <w:rPr>
            <w:rStyle w:val="Hipervnculo"/>
            <w:rFonts w:ascii="Arial" w:eastAsia="Calibri" w:hAnsi="Arial" w:cs="Arial"/>
            <w:color w:val="000000" w:themeColor="text1"/>
            <w:sz w:val="22"/>
            <w:u w:val="none"/>
          </w:rPr>
          <w:t>35 </w:t>
        </w:r>
      </w:hyperlink>
      <w:r w:rsidR="00D91638" w:rsidRPr="00D91638">
        <w:rPr>
          <w:rFonts w:ascii="Arial" w:eastAsia="Calibri" w:hAnsi="Arial" w:cs="Arial"/>
          <w:color w:val="000000" w:themeColor="text1"/>
          <w:sz w:val="22"/>
        </w:rPr>
        <w:t xml:space="preserve">de la Ley 2069 de 2020, conforme a los medíos de acreditación del artículo 2.2.1.2.4.2.17. del </w:t>
      </w:r>
      <w:r w:rsidR="004554DF">
        <w:rPr>
          <w:rFonts w:ascii="Arial" w:eastAsia="Calibri" w:hAnsi="Arial" w:cs="Arial"/>
          <w:color w:val="000000" w:themeColor="text1"/>
          <w:sz w:val="22"/>
        </w:rPr>
        <w:t>D</w:t>
      </w:r>
      <w:r w:rsidR="00D91638" w:rsidRPr="00D91638">
        <w:rPr>
          <w:rFonts w:ascii="Arial" w:eastAsia="Calibri" w:hAnsi="Arial" w:cs="Arial"/>
          <w:color w:val="000000" w:themeColor="text1"/>
          <w:sz w:val="22"/>
        </w:rPr>
        <w:t>ecreto</w:t>
      </w:r>
      <w:r w:rsidR="004554DF">
        <w:rPr>
          <w:rFonts w:ascii="Arial" w:eastAsia="Calibri" w:hAnsi="Arial" w:cs="Arial"/>
          <w:color w:val="000000" w:themeColor="text1"/>
          <w:sz w:val="22"/>
        </w:rPr>
        <w:t xml:space="preserve"> 1082 de 2015 </w:t>
      </w:r>
      <w:r w:rsidR="00D91638" w:rsidRPr="00D91638">
        <w:rPr>
          <w:rFonts w:ascii="Arial" w:eastAsia="Calibri" w:hAnsi="Arial" w:cs="Arial"/>
          <w:color w:val="000000" w:themeColor="text1"/>
          <w:sz w:val="22"/>
        </w:rPr>
        <w:t>o las normas que los modifiquen, adicionen o sustituyan.</w:t>
      </w:r>
      <w:r w:rsidRPr="007D4261">
        <w:rPr>
          <w:rFonts w:ascii="Arial" w:eastAsia="Calibri" w:hAnsi="Arial" w:cs="Arial"/>
          <w:sz w:val="22"/>
          <w:lang w:val="es-ES_tradnl"/>
        </w:rPr>
        <w:t xml:space="preserve"> </w:t>
      </w:r>
      <w:r w:rsidRPr="006617BC">
        <w:rPr>
          <w:rFonts w:ascii="Arial" w:eastAsia="Calibri" w:hAnsi="Arial" w:cs="Arial"/>
          <w:sz w:val="22"/>
          <w:lang w:val="es-ES_tradnl"/>
        </w:rPr>
        <w:t>Esta disposición se ajusta a la nueva regulación de criterios de desempate establecida en el artículo 35 de la Ley 2069 de 2020.</w:t>
      </w:r>
    </w:p>
    <w:p w14:paraId="2C551555" w14:textId="6085A8D1" w:rsidR="00D91638" w:rsidRDefault="00145D56" w:rsidP="004900D3">
      <w:pPr>
        <w:spacing w:after="120" w:line="276" w:lineRule="auto"/>
        <w:ind w:firstLine="709"/>
        <w:jc w:val="both"/>
        <w:rPr>
          <w:rFonts w:ascii="Arial" w:eastAsia="Calibri" w:hAnsi="Arial" w:cs="Arial"/>
          <w:sz w:val="22"/>
        </w:rPr>
      </w:pPr>
      <w:r>
        <w:rPr>
          <w:rFonts w:ascii="Arial" w:eastAsia="Calibri" w:hAnsi="Arial" w:cs="Arial"/>
          <w:sz w:val="22"/>
        </w:rPr>
        <w:t>En esta medida, el procedimiento de selección de mínima cuantía está regulado en el artículo 2, numeral 5, de la Ley 1150 de 2007 y en el Libro 2, Parte 2, Título 1, Capítulo 2, Sección 1, Subsección 5 del Decreto 1082 de 2015,</w:t>
      </w:r>
      <w:r w:rsidR="003E4C54">
        <w:rPr>
          <w:rFonts w:ascii="Arial" w:eastAsia="Calibri" w:hAnsi="Arial" w:cs="Arial"/>
          <w:sz w:val="22"/>
        </w:rPr>
        <w:t xml:space="preserve"> modificado por el Decreto 1860 de 2021,</w:t>
      </w:r>
      <w:r>
        <w:rPr>
          <w:rFonts w:ascii="Arial" w:eastAsia="Calibri" w:hAnsi="Arial" w:cs="Arial"/>
          <w:sz w:val="22"/>
        </w:rPr>
        <w:t xml:space="preserve"> con la particularidad de que el trámite solo sigue las reglas </w:t>
      </w:r>
      <w:r w:rsidR="004554DF">
        <w:rPr>
          <w:rFonts w:ascii="Arial" w:eastAsia="Calibri" w:hAnsi="Arial" w:cs="Arial"/>
          <w:sz w:val="22"/>
        </w:rPr>
        <w:t>señaladas</w:t>
      </w:r>
      <w:r>
        <w:rPr>
          <w:rFonts w:ascii="Arial" w:eastAsia="Calibri" w:hAnsi="Arial" w:cs="Arial"/>
          <w:sz w:val="22"/>
        </w:rPr>
        <w:t xml:space="preserve">, razón por la cual no es posible aplicar disposiciones diferentes a las allí previstas. </w:t>
      </w:r>
    </w:p>
    <w:p w14:paraId="02AA423B" w14:textId="22E37193" w:rsidR="00684D9C" w:rsidRDefault="00684D9C" w:rsidP="004900D3">
      <w:pPr>
        <w:spacing w:line="276" w:lineRule="auto"/>
        <w:ind w:firstLine="709"/>
        <w:jc w:val="both"/>
        <w:rPr>
          <w:rFonts w:ascii="Arial" w:eastAsia="Calibri" w:hAnsi="Arial" w:cs="Arial"/>
          <w:sz w:val="22"/>
        </w:rPr>
      </w:pPr>
      <w:r>
        <w:rPr>
          <w:rFonts w:ascii="Arial" w:eastAsia="Calibri" w:hAnsi="Arial" w:cs="Arial"/>
          <w:sz w:val="22"/>
        </w:rPr>
        <w:t xml:space="preserve">Finalmente, teniendo en cuenta el objeto de la consulta, es importante mencionar que una de las modificaciones más relevantes introducidas por la Ley 2069 de 2020 y su Decreto Reglamentario – Decreto 1860 de 2021 </w:t>
      </w:r>
      <w:r>
        <w:rPr>
          <w:rFonts w:ascii="Arial" w:eastAsia="Calibri" w:hAnsi="Arial" w:cs="Arial"/>
          <w:color w:val="000000"/>
          <w:sz w:val="22"/>
          <w:lang w:val="es-ES"/>
        </w:rPr>
        <w:t xml:space="preserve">– es la posibilidad de realizar convocatorias limitadas a Mipyme en el marco de los Procesos de Contratación adelantados bajo la modalidad de mínima cuantía. </w:t>
      </w:r>
      <w:r>
        <w:rPr>
          <w:rFonts w:ascii="Arial" w:eastAsia="Calibri" w:hAnsi="Arial" w:cs="Arial"/>
          <w:sz w:val="22"/>
        </w:rPr>
        <w:t xml:space="preserve"> </w:t>
      </w:r>
    </w:p>
    <w:p w14:paraId="1FB5AE22" w14:textId="77777777" w:rsidR="007D4261" w:rsidRPr="00D91638" w:rsidRDefault="007D4261" w:rsidP="004900D3">
      <w:pPr>
        <w:spacing w:line="276" w:lineRule="auto"/>
        <w:ind w:firstLine="709"/>
        <w:contextualSpacing/>
        <w:jc w:val="both"/>
        <w:rPr>
          <w:rFonts w:ascii="Arial" w:eastAsia="Calibri" w:hAnsi="Arial" w:cs="Arial"/>
          <w:sz w:val="22"/>
          <w:lang w:val="es-MX"/>
        </w:rPr>
      </w:pPr>
    </w:p>
    <w:p w14:paraId="1379BFCA" w14:textId="77777777" w:rsidR="00522A02" w:rsidRPr="00DD5F33" w:rsidRDefault="00AE02C4" w:rsidP="004900D3">
      <w:pPr>
        <w:tabs>
          <w:tab w:val="left" w:pos="709"/>
        </w:tabs>
        <w:spacing w:line="276" w:lineRule="auto"/>
        <w:contextualSpacing/>
        <w:jc w:val="both"/>
        <w:outlineLvl w:val="0"/>
        <w:rPr>
          <w:rFonts w:ascii="Arial" w:eastAsia="Calibri" w:hAnsi="Arial" w:cs="Arial"/>
          <w:b/>
          <w:bCs/>
          <w:sz w:val="22"/>
          <w:szCs w:val="22"/>
          <w:lang w:val="es-ES_tradnl"/>
        </w:rPr>
      </w:pPr>
      <w:r w:rsidRPr="004900D3">
        <w:rPr>
          <w:rFonts w:ascii="Arial" w:eastAsia="Calibri" w:hAnsi="Arial" w:cs="Arial"/>
          <w:b/>
          <w:bCs/>
          <w:color w:val="000000" w:themeColor="text1"/>
          <w:sz w:val="22"/>
          <w:szCs w:val="22"/>
          <w:lang w:val="es-ES_tradnl"/>
        </w:rPr>
        <w:t xml:space="preserve">2.2. </w:t>
      </w:r>
      <w:r w:rsidR="00522A02" w:rsidRPr="004900D3">
        <w:rPr>
          <w:rFonts w:ascii="Arial" w:eastAsia="Calibri" w:hAnsi="Arial" w:cs="Arial"/>
          <w:b/>
          <w:bCs/>
          <w:sz w:val="22"/>
          <w:szCs w:val="22"/>
          <w:lang w:val="es-ES_tradnl"/>
        </w:rPr>
        <w:t>Regulación de las c</w:t>
      </w:r>
      <w:r w:rsidR="00522A02" w:rsidRPr="004900D3">
        <w:rPr>
          <w:rFonts w:ascii="Arial" w:hAnsi="Arial" w:cs="Arial"/>
          <w:b/>
          <w:bCs/>
          <w:sz w:val="22"/>
          <w:szCs w:val="22"/>
          <w:lang w:val="es-ES_tradnl"/>
        </w:rPr>
        <w:t>onvocatorias limitadas a Mipyme</w:t>
      </w:r>
      <w:r w:rsidR="00522A02" w:rsidRPr="004900D3">
        <w:rPr>
          <w:rFonts w:ascii="Arial" w:eastAsia="Calibri" w:hAnsi="Arial" w:cs="Arial"/>
          <w:b/>
          <w:bCs/>
          <w:sz w:val="22"/>
          <w:szCs w:val="22"/>
          <w:lang w:val="es-ES_tradnl"/>
        </w:rPr>
        <w:t xml:space="preserve"> en el artículo 34 de la Ley 2069 de 2020 y en el Decreto 1860 de 2021</w:t>
      </w:r>
      <w:r w:rsidR="00522A02" w:rsidRPr="00DD5F33">
        <w:rPr>
          <w:rFonts w:ascii="Arial" w:eastAsia="Calibri" w:hAnsi="Arial" w:cs="Arial"/>
          <w:b/>
          <w:bCs/>
          <w:sz w:val="22"/>
          <w:szCs w:val="22"/>
          <w:lang w:val="es-ES_tradnl"/>
        </w:rPr>
        <w:t xml:space="preserve"> </w:t>
      </w:r>
    </w:p>
    <w:p w14:paraId="5F8C9C80" w14:textId="77777777" w:rsidR="00015FE2" w:rsidRDefault="00015FE2" w:rsidP="004900D3">
      <w:pPr>
        <w:spacing w:line="276" w:lineRule="auto"/>
        <w:contextualSpacing/>
        <w:jc w:val="both"/>
        <w:rPr>
          <w:rFonts w:ascii="Arial" w:eastAsia="Calibri" w:hAnsi="Arial" w:cs="Arial"/>
          <w:b/>
          <w:bCs/>
          <w:color w:val="000000" w:themeColor="text1"/>
          <w:sz w:val="22"/>
          <w:szCs w:val="22"/>
          <w:lang w:val="es-ES_tradnl"/>
        </w:rPr>
      </w:pPr>
    </w:p>
    <w:p w14:paraId="4879084A" w14:textId="77777777" w:rsidR="00510A3E" w:rsidRPr="00510A3E" w:rsidRDefault="00510A3E" w:rsidP="001A4587">
      <w:pPr>
        <w:spacing w:after="120" w:line="276" w:lineRule="auto"/>
        <w:jc w:val="both"/>
        <w:rPr>
          <w:rFonts w:ascii="Arial" w:eastAsia="Calibri" w:hAnsi="Arial" w:cs="Arial"/>
          <w:sz w:val="22"/>
          <w:szCs w:val="22"/>
          <w:lang w:val="es-ES_tradnl"/>
        </w:rPr>
      </w:pPr>
      <w:r w:rsidRPr="004900D3">
        <w:rPr>
          <w:rFonts w:ascii="Arial" w:eastAsia="Calibri" w:hAnsi="Arial" w:cs="Arial"/>
          <w:sz w:val="22"/>
          <w:szCs w:val="22"/>
          <w:lang w:val="es-ES_tradnl"/>
        </w:rPr>
        <w:t xml:space="preserve">El artículo 34 de la Ley 2069 de 2020 establece nuevas reglas sobre la promoción al desarrollo en la contratación estatal. Concretamente, esta disposición modifica el contenido </w:t>
      </w:r>
      <w:r w:rsidRPr="004900D3">
        <w:rPr>
          <w:rFonts w:ascii="Arial" w:eastAsia="Calibri" w:hAnsi="Arial" w:cs="Arial"/>
          <w:sz w:val="22"/>
          <w:szCs w:val="22"/>
          <w:lang w:val="es-ES_tradnl"/>
        </w:rPr>
        <w:lastRenderedPageBreak/>
        <w:t>del artículo 12 de la Ley 1150 de 2007</w:t>
      </w:r>
      <w:r w:rsidRPr="004900D3">
        <w:rPr>
          <w:rFonts w:ascii="Arial" w:eastAsia="Calibri" w:hAnsi="Arial" w:cs="Arial"/>
          <w:sz w:val="22"/>
          <w:szCs w:val="22"/>
          <w:vertAlign w:val="superscript"/>
          <w:lang w:val="es-ES_tradnl"/>
        </w:rPr>
        <w:footnoteReference w:id="12"/>
      </w:r>
      <w:r w:rsidRPr="004900D3">
        <w:rPr>
          <w:rFonts w:ascii="Arial" w:eastAsia="Calibri" w:hAnsi="Arial" w:cs="Arial"/>
          <w:sz w:val="22"/>
          <w:szCs w:val="22"/>
          <w:lang w:val="es-ES_tradnl"/>
        </w:rPr>
        <w:t>, regulación que se resume en los siguientes aspectos:</w:t>
      </w:r>
    </w:p>
    <w:p w14:paraId="663FD799" w14:textId="77777777" w:rsidR="00510A3E" w:rsidRPr="004900D3" w:rsidRDefault="00510A3E" w:rsidP="001A4587">
      <w:pPr>
        <w:spacing w:before="120" w:after="120" w:line="276" w:lineRule="auto"/>
        <w:ind w:firstLine="709"/>
        <w:jc w:val="both"/>
        <w:rPr>
          <w:rFonts w:ascii="Arial" w:eastAsia="Calibri" w:hAnsi="Arial" w:cs="Arial"/>
          <w:sz w:val="22"/>
          <w:szCs w:val="22"/>
          <w:lang w:val="es-ES_tradnl"/>
        </w:rPr>
      </w:pPr>
      <w:r w:rsidRPr="004900D3">
        <w:rPr>
          <w:rFonts w:ascii="Arial" w:eastAsia="Calibri" w:hAnsi="Arial" w:cs="Arial"/>
          <w:sz w:val="22"/>
          <w:szCs w:val="22"/>
          <w:lang w:val="es-ES_tradnl"/>
        </w:rPr>
        <w:t xml:space="preserve">i) Encomienda, con carácter imperativo, al Gobierno Nacional el deber de definir las condiciones y los montos para que las entidades estatales –cualquiera sea su régimen contractual–, los patrimonios autónomos constituidos por aquellas y los particulares que administren recursos públicos efectúen convocatorias limitadas a Mipyme en los Procesos de Contratación. Además, agrega que estas convocatorias se pueden realizar también en el ámbito municipal o departamental en el que se ejecute el contrato. </w:t>
      </w:r>
    </w:p>
    <w:p w14:paraId="3A3EE4D2" w14:textId="77777777" w:rsidR="00510A3E" w:rsidRPr="004900D3" w:rsidRDefault="00510A3E" w:rsidP="001A4587">
      <w:pPr>
        <w:spacing w:before="120" w:after="120" w:line="276" w:lineRule="auto"/>
        <w:ind w:firstLine="709"/>
        <w:jc w:val="both"/>
        <w:rPr>
          <w:rFonts w:ascii="Arial" w:eastAsia="Calibri" w:hAnsi="Arial" w:cs="Arial"/>
          <w:sz w:val="22"/>
          <w:szCs w:val="22"/>
          <w:lang w:val="es-ES_tradnl"/>
        </w:rPr>
      </w:pPr>
      <w:r w:rsidRPr="004900D3">
        <w:rPr>
          <w:rFonts w:ascii="Arial" w:eastAsia="Calibri" w:hAnsi="Arial" w:cs="Arial"/>
          <w:sz w:val="22"/>
          <w:szCs w:val="22"/>
          <w:lang w:val="es-ES_tradnl"/>
        </w:rPr>
        <w:t>ii) Indica que dichas convocatorias se deben efectuar siempre y cuando, antes del acto administrativo de apertura del Proceso de Selección, por lo menos dos (2) Mipyme hayan manifestado su interés.</w:t>
      </w:r>
    </w:p>
    <w:p w14:paraId="19DD16C5" w14:textId="77777777" w:rsidR="00510A3E" w:rsidRPr="004900D3" w:rsidRDefault="00510A3E" w:rsidP="001A4587">
      <w:pPr>
        <w:spacing w:before="120" w:after="120" w:line="276" w:lineRule="auto"/>
        <w:ind w:firstLine="709"/>
        <w:jc w:val="both"/>
        <w:rPr>
          <w:rFonts w:ascii="Arial" w:eastAsia="Calibri" w:hAnsi="Arial" w:cs="Arial"/>
          <w:sz w:val="22"/>
          <w:szCs w:val="22"/>
          <w:lang w:val="es-ES_tradnl"/>
        </w:rPr>
      </w:pPr>
      <w:r w:rsidRPr="004900D3">
        <w:rPr>
          <w:rFonts w:ascii="Arial" w:eastAsia="Calibri" w:hAnsi="Arial" w:cs="Arial"/>
          <w:sz w:val="22"/>
          <w:szCs w:val="22"/>
          <w:lang w:val="es-ES_tradnl"/>
        </w:rPr>
        <w:t>iii) Determina que uno de los parámetros que deberá tener en cuenta el Gobierno Nacional para reglamentar la materia es el cumplimiento de los compromisos internacionales vigentes. Es decir, que se deberán considerar las estipulaciones contenidas en los tratados comerciales suscritos entre Colombia y otros Estados.</w:t>
      </w:r>
    </w:p>
    <w:p w14:paraId="51BF4C2C" w14:textId="77777777" w:rsidR="00510A3E" w:rsidRPr="004900D3" w:rsidRDefault="00510A3E" w:rsidP="001A4587">
      <w:pPr>
        <w:spacing w:before="120" w:after="120" w:line="276" w:lineRule="auto"/>
        <w:ind w:firstLine="709"/>
        <w:jc w:val="both"/>
        <w:rPr>
          <w:rFonts w:ascii="Arial" w:eastAsia="Calibri" w:hAnsi="Arial" w:cs="Arial"/>
          <w:sz w:val="22"/>
          <w:szCs w:val="22"/>
          <w:lang w:val="es-ES_tradnl"/>
        </w:rPr>
      </w:pPr>
      <w:r w:rsidRPr="004900D3">
        <w:rPr>
          <w:rFonts w:ascii="Arial" w:eastAsia="Calibri" w:hAnsi="Arial" w:cs="Arial"/>
          <w:sz w:val="22"/>
          <w:szCs w:val="22"/>
          <w:lang w:val="es-ES_tradnl"/>
        </w:rPr>
        <w:lastRenderedPageBreak/>
        <w:t>iv) Establece que, en el reglamento, el Gobierno Nacional podría establecer condiciones preferenciales en favor de los bienes y servicios producidos por las Mipyme, sin perjuicio de los compromisos internacionales vigentes.</w:t>
      </w:r>
    </w:p>
    <w:p w14:paraId="32DA0E33" w14:textId="77777777" w:rsidR="00510A3E" w:rsidRPr="004900D3" w:rsidRDefault="00510A3E" w:rsidP="001A4587">
      <w:pPr>
        <w:spacing w:before="120" w:after="120" w:line="276" w:lineRule="auto"/>
        <w:ind w:firstLine="709"/>
        <w:jc w:val="both"/>
        <w:rPr>
          <w:rFonts w:ascii="Arial" w:eastAsia="Calibri" w:hAnsi="Arial" w:cs="Arial"/>
          <w:sz w:val="22"/>
          <w:szCs w:val="22"/>
          <w:lang w:val="es-ES_tradnl"/>
        </w:rPr>
      </w:pPr>
      <w:r w:rsidRPr="004900D3">
        <w:rPr>
          <w:rFonts w:ascii="Arial" w:eastAsia="Calibri" w:hAnsi="Arial" w:cs="Arial"/>
          <w:sz w:val="22"/>
          <w:szCs w:val="22"/>
          <w:lang w:val="es-ES_tradnl"/>
        </w:rPr>
        <w:t>v) Aclara que tanto las convocatorias limitadas a Mipyme, como las condiciones preferenciales a favor de los bienes y servicios producidos por estas, no es óbice para que deban cumplir las exigencias técnicas y económicas del Proceso de Contratación.</w:t>
      </w:r>
    </w:p>
    <w:p w14:paraId="725F88AD" w14:textId="77777777" w:rsidR="00510A3E" w:rsidRPr="004900D3" w:rsidRDefault="00510A3E" w:rsidP="001A4587">
      <w:pPr>
        <w:spacing w:before="120" w:after="120" w:line="276" w:lineRule="auto"/>
        <w:ind w:firstLine="709"/>
        <w:jc w:val="both"/>
        <w:rPr>
          <w:rFonts w:ascii="Arial" w:eastAsia="Calibri" w:hAnsi="Arial" w:cs="Arial"/>
          <w:sz w:val="22"/>
          <w:szCs w:val="22"/>
          <w:lang w:val="es-ES_tradnl"/>
        </w:rPr>
      </w:pPr>
      <w:r w:rsidRPr="004900D3">
        <w:rPr>
          <w:rFonts w:ascii="Arial" w:eastAsia="Calibri" w:hAnsi="Arial" w:cs="Arial"/>
          <w:sz w:val="22"/>
          <w:szCs w:val="22"/>
          <w:lang w:val="es-ES_tradnl"/>
        </w:rPr>
        <w:t>vi) Señala que el reglamento que expida el Gobierno Nacional, además de lo referente a las convocatorias limitadas a Mipyme, deberá contener disposiciones que fomenten en la ejecución de los contratos estatales la provisión de bienes y servicios por parte de algunas personas que gozan de especial protección constitucional. Entre tales personas se encuentran las que tengan condiciones de pobreza extrema, las desplazadas por la violencia y quienes estén en procesos de reintegración o reincorporación, entre otras que incluya el reglamento.</w:t>
      </w:r>
    </w:p>
    <w:p w14:paraId="560B3FFE" w14:textId="77777777" w:rsidR="00510A3E" w:rsidRPr="004900D3" w:rsidRDefault="00510A3E" w:rsidP="001A4587">
      <w:pPr>
        <w:spacing w:before="120" w:after="120" w:line="276" w:lineRule="auto"/>
        <w:ind w:firstLine="709"/>
        <w:jc w:val="both"/>
        <w:rPr>
          <w:rFonts w:ascii="Arial" w:eastAsia="Calibri" w:hAnsi="Arial" w:cs="Arial"/>
          <w:sz w:val="22"/>
          <w:szCs w:val="22"/>
          <w:lang w:val="es-ES_tradnl"/>
        </w:rPr>
      </w:pPr>
      <w:r w:rsidRPr="004900D3">
        <w:rPr>
          <w:rFonts w:ascii="Arial" w:eastAsia="Calibri" w:hAnsi="Arial" w:cs="Arial"/>
          <w:sz w:val="22"/>
          <w:szCs w:val="22"/>
          <w:lang w:val="es-ES_tradnl"/>
        </w:rPr>
        <w:t>vii) Precisa que la posibilidad de participar en convocatorias limitadas a Mipyme se encuentra condicionada a que estas acrediten como mínimo un (1) año de existencia, con el certificado expedido por la cámara de comercio respectiva o por la autoridad que sea competente para ello.</w:t>
      </w:r>
    </w:p>
    <w:p w14:paraId="08A2E9E3" w14:textId="77777777" w:rsidR="00510A3E" w:rsidRPr="004900D3" w:rsidRDefault="00510A3E" w:rsidP="001A4587">
      <w:pPr>
        <w:spacing w:before="120" w:after="120" w:line="276" w:lineRule="auto"/>
        <w:ind w:firstLine="709"/>
        <w:jc w:val="both"/>
        <w:rPr>
          <w:rFonts w:ascii="Arial" w:eastAsia="Calibri" w:hAnsi="Arial" w:cs="Arial"/>
          <w:sz w:val="22"/>
          <w:szCs w:val="22"/>
          <w:lang w:val="es-ES_tradnl"/>
        </w:rPr>
      </w:pPr>
      <w:r w:rsidRPr="004900D3">
        <w:rPr>
          <w:rFonts w:ascii="Arial" w:eastAsia="Calibri" w:hAnsi="Arial" w:cs="Arial"/>
          <w:sz w:val="22"/>
          <w:szCs w:val="22"/>
          <w:lang w:val="es-ES_tradnl"/>
        </w:rPr>
        <w:t>viii) Hace obligatorio el cumplimiento de lo dispuesto en los artículos 90 a 95 de la Ley 418 de 1997 –normas que establecen la obligación de declarar la caducidad y la liquidación unilateral cuando el contratista beneficie grupos armados organizados al margen de la Ley– en la ejecución de los contratos celebrados en virtud del artículo 34 de la Ley 2069 de 2020.</w:t>
      </w:r>
    </w:p>
    <w:p w14:paraId="6CF3718B" w14:textId="77777777" w:rsidR="00510A3E" w:rsidRPr="004900D3" w:rsidRDefault="00510A3E" w:rsidP="001A4587">
      <w:pPr>
        <w:spacing w:before="120" w:after="120" w:line="276" w:lineRule="auto"/>
        <w:ind w:firstLine="709"/>
        <w:jc w:val="both"/>
        <w:rPr>
          <w:rFonts w:ascii="Arial" w:eastAsia="Calibri" w:hAnsi="Arial" w:cs="Arial"/>
          <w:sz w:val="22"/>
          <w:szCs w:val="22"/>
          <w:lang w:val="es-ES_tradnl"/>
        </w:rPr>
      </w:pPr>
      <w:r w:rsidRPr="004900D3">
        <w:rPr>
          <w:rFonts w:ascii="Arial" w:eastAsia="Calibri" w:hAnsi="Arial" w:cs="Arial"/>
          <w:sz w:val="22"/>
          <w:szCs w:val="22"/>
          <w:lang w:val="es-ES_tradnl"/>
        </w:rPr>
        <w:t>A partir de lo anterior, es posible afirmar que, el artículo 34 de la Ley 2069 de 2020 sustituyó íntegramente el contenido del artículo 12 de la Ley 1150 de 2007. En este sentido, frente a esta última norma se produjo el fenómeno de la subrogación</w:t>
      </w:r>
      <w:r w:rsidRPr="004900D3">
        <w:rPr>
          <w:rStyle w:val="Refdenotaalpie"/>
          <w:rFonts w:ascii="Arial" w:eastAsia="Calibri" w:hAnsi="Arial" w:cs="Arial"/>
          <w:sz w:val="22"/>
          <w:szCs w:val="22"/>
          <w:lang w:val="es-ES_tradnl"/>
        </w:rPr>
        <w:footnoteReference w:id="13"/>
      </w:r>
      <w:r w:rsidRPr="004900D3">
        <w:rPr>
          <w:rFonts w:ascii="Arial" w:eastAsia="Calibri" w:hAnsi="Arial" w:cs="Arial"/>
          <w:sz w:val="22"/>
          <w:szCs w:val="22"/>
          <w:lang w:val="es-ES_tradnl"/>
        </w:rPr>
        <w:t xml:space="preserve">, dado que la disposición en estudio contiene una regulación diferente respecto de la promoción del desarrollo en la contratación estatal. Además, el primer inciso del artículo 34 de la Ley 2069 de 2020 dispone expresamente: «Modifíquese el artículo 12 de la Ley 1150 de 2007, el cual quedará así», lo que significa que la voluntad del legislador no estuvo dirigida a </w:t>
      </w:r>
      <w:r w:rsidRPr="004900D3">
        <w:rPr>
          <w:rFonts w:ascii="Arial" w:eastAsia="Calibri" w:hAnsi="Arial" w:cs="Arial"/>
          <w:sz w:val="22"/>
          <w:szCs w:val="22"/>
          <w:lang w:val="es-ES_tradnl"/>
        </w:rPr>
        <w:lastRenderedPageBreak/>
        <w:t>efectuar una reforma parcial del artículo 12 de la Ley 1150 de 2007, sino a modificarlo completamente, sustituyéndolo por uno nuevo.</w:t>
      </w:r>
    </w:p>
    <w:p w14:paraId="5257D7A8" w14:textId="77777777" w:rsidR="00510A3E" w:rsidRPr="004900D3" w:rsidRDefault="00510A3E" w:rsidP="001A4587">
      <w:pPr>
        <w:spacing w:before="120" w:after="120" w:line="276" w:lineRule="auto"/>
        <w:ind w:firstLine="709"/>
        <w:jc w:val="both"/>
        <w:rPr>
          <w:rFonts w:ascii="Arial" w:eastAsia="Calibri" w:hAnsi="Arial" w:cs="Arial"/>
          <w:sz w:val="22"/>
          <w:szCs w:val="22"/>
          <w:lang w:val="es-ES_tradnl"/>
        </w:rPr>
      </w:pPr>
      <w:r w:rsidRPr="004900D3">
        <w:rPr>
          <w:rFonts w:ascii="Arial" w:eastAsia="Calibri" w:hAnsi="Arial" w:cs="Arial"/>
          <w:sz w:val="22"/>
          <w:szCs w:val="22"/>
          <w:lang w:val="es-ES_tradnl"/>
        </w:rPr>
        <w:t xml:space="preserve">Luego de explicar las reglas incluidas en la nueva regulación de la promoción del desarrollo en la contratación estatal, previstas en el artículo 34 de la Ley 2069 de 2020 y después de aclarar que dicha norma modificó el artículo 12 de la Ley 1150 de 2007, conviene preguntarse qué sucede con la vigencia del artículo 2.2.1.2.4.2.2 original del Decreto 1082 de 2015 –antes de la expedición del Decreto 1860 de 2021–, que hasta la promulgación de la Ley 2069 de 2020 regulaba las convocatorias limitadas a Mipymes. En opinión de esta Agencia, el artículo citado del Decreto Reglamentario carece de vigencia, por dos razones que se proceden a exponer. En primer lugar, porque su contenido era contrario al del artículo 34 de la Ley 2069 de 2020, en tal sentido, operó la pérdida de fuerza ejecutoria, de conformidad con el artículo 91, numeral 2, de la Ley 1437 de 2011, el cual establece que los actos administrativos –categoría que, como es sabido, incluye los decretos reglamentarios– dejan de ser obligatorios o decaen «Cuando desaparezcan sus fundamentos de hecho o de derecho». En segundo lugar, porque con la expedición del Decreto 1860 del 24 de diciembre de 2021 se modificó, entre otros aspectos, la Subsección 5 de la Sección 1 del Capítulo 2 del Título 1 de la Parte 2 del Libro 2 y los artículos 2.2.1.2.4.2.2. y 2.2.1.2.4.2.3. y siguientes del Decreto 1082 de 2015, Único Reglamentario del Sector Administrativo de Planeación Nacional. </w:t>
      </w:r>
    </w:p>
    <w:p w14:paraId="4782D693" w14:textId="2FC72215" w:rsidR="00015FE2" w:rsidRPr="00BC2F4D" w:rsidRDefault="00015FE2" w:rsidP="00F3144F">
      <w:pPr>
        <w:spacing w:after="120" w:line="276" w:lineRule="auto"/>
        <w:ind w:firstLine="709"/>
        <w:jc w:val="both"/>
        <w:rPr>
          <w:rFonts w:ascii="Arial" w:hAnsi="Arial" w:cs="Arial"/>
          <w:bCs/>
          <w:sz w:val="22"/>
          <w:szCs w:val="22"/>
          <w:lang w:eastAsia="es-ES"/>
        </w:rPr>
      </w:pPr>
      <w:r w:rsidRPr="00BC2F4D">
        <w:rPr>
          <w:rFonts w:ascii="Arial" w:hAnsi="Arial" w:cs="Arial"/>
          <w:bCs/>
          <w:sz w:val="22"/>
          <w:szCs w:val="22"/>
          <w:lang w:val="es-ES_tradnl" w:eastAsia="es-ES"/>
        </w:rPr>
        <w:t xml:space="preserve">En efecto, el artículo 5 del Decreto 1860 de 2021 modificó </w:t>
      </w:r>
      <w:r w:rsidRPr="00BC2F4D">
        <w:rPr>
          <w:rFonts w:ascii="Arial" w:hAnsi="Arial" w:cs="Arial"/>
          <w:bCs/>
          <w:sz w:val="22"/>
          <w:szCs w:val="22"/>
          <w:lang w:eastAsia="es-ES"/>
        </w:rPr>
        <w:t>los artículos 2.2.1.2.4.2.2., 2.2.1.2.4.2.3. y 2.2.1.2.4.2.4. de la Subsección 2 de la Sección 4 del Capítulo 2 del Título 1 de la Parte 2 del Libro 2 del Decreto 1082 de 2015, reglamentando</w:t>
      </w:r>
      <w:r w:rsidRPr="00BC2F4D">
        <w:rPr>
          <w:rFonts w:ascii="Arial" w:hAnsi="Arial" w:cs="Arial"/>
          <w:bCs/>
          <w:sz w:val="22"/>
          <w:szCs w:val="22"/>
          <w:lang w:val="es-ES_tradnl" w:eastAsia="es-ES"/>
        </w:rPr>
        <w:t xml:space="preserve"> las convocatorias limitadas a Mipyme, con fundamento en lo establecido en el artículo 34 de la Ley 2069 de 2020. Esta nueva Subsección 2 contempla los siguientes aspectos: i) requisitos para limitar la convocatoria de los </w:t>
      </w:r>
      <w:r w:rsidRPr="00BC2F4D">
        <w:rPr>
          <w:rFonts w:ascii="Arial" w:hAnsi="Arial" w:cs="Arial"/>
          <w:bCs/>
          <w:sz w:val="22"/>
          <w:szCs w:val="22"/>
          <w:lang w:eastAsia="es-ES"/>
        </w:rPr>
        <w:t>procesos de contratación con pluralidad de oferentes</w:t>
      </w:r>
      <w:r w:rsidRPr="00BC2F4D">
        <w:rPr>
          <w:rFonts w:ascii="Arial" w:hAnsi="Arial" w:cs="Arial"/>
          <w:bCs/>
          <w:sz w:val="22"/>
          <w:szCs w:val="22"/>
          <w:lang w:val="es-ES_tradnl" w:eastAsia="es-ES"/>
        </w:rPr>
        <w:t xml:space="preserve"> a las Mipyme colombianas con mínimo un (1) año de existencia – artículo </w:t>
      </w:r>
      <w:r w:rsidRPr="00BC2F4D">
        <w:rPr>
          <w:rFonts w:ascii="Arial" w:hAnsi="Arial" w:cs="Arial"/>
          <w:bCs/>
          <w:sz w:val="22"/>
          <w:szCs w:val="22"/>
          <w:lang w:eastAsia="es-ES"/>
        </w:rPr>
        <w:t>2.2.1.2.4.2.2-</w:t>
      </w:r>
      <w:r w:rsidRPr="00BC2F4D">
        <w:rPr>
          <w:rFonts w:ascii="Arial" w:hAnsi="Arial" w:cs="Arial"/>
          <w:bCs/>
          <w:sz w:val="22"/>
          <w:szCs w:val="22"/>
          <w:lang w:val="es-ES_tradnl" w:eastAsia="es-ES"/>
        </w:rPr>
        <w:t xml:space="preserve"> , ii) desarrolla las </w:t>
      </w:r>
      <w:r w:rsidRPr="00BC2F4D">
        <w:rPr>
          <w:rFonts w:ascii="Arial" w:hAnsi="Arial" w:cs="Arial"/>
          <w:bCs/>
          <w:sz w:val="22"/>
          <w:szCs w:val="22"/>
          <w:lang w:eastAsia="es-ES"/>
        </w:rPr>
        <w:t>convocatorias limitadas a Mipyme colombianas que tengan domicilio en los departamentos o municipios en donde se va a ejecutar el contrato – artículo 2.2.1.2.4.2.3.,</w:t>
      </w:r>
      <w:r w:rsidRPr="00BC2F4D">
        <w:rPr>
          <w:rFonts w:ascii="Arial" w:hAnsi="Arial" w:cs="Arial"/>
          <w:bCs/>
          <w:sz w:val="22"/>
          <w:szCs w:val="22"/>
          <w:lang w:val="es-ES_tradnl" w:eastAsia="es-ES"/>
        </w:rPr>
        <w:t xml:space="preserve"> y iii) </w:t>
      </w:r>
      <w:r w:rsidRPr="00BC2F4D">
        <w:rPr>
          <w:rFonts w:ascii="Arial" w:hAnsi="Arial" w:cs="Arial"/>
          <w:bCs/>
          <w:sz w:val="22"/>
          <w:szCs w:val="22"/>
          <w:lang w:eastAsia="es-ES"/>
        </w:rPr>
        <w:t>regula la</w:t>
      </w:r>
      <w:r w:rsidR="001A4587">
        <w:rPr>
          <w:rFonts w:ascii="Arial" w:hAnsi="Arial" w:cs="Arial"/>
          <w:bCs/>
          <w:sz w:val="22"/>
          <w:szCs w:val="22"/>
          <w:lang w:eastAsia="es-ES"/>
        </w:rPr>
        <w:t xml:space="preserve"> forma de</w:t>
      </w:r>
      <w:r w:rsidRPr="00BC2F4D">
        <w:rPr>
          <w:rFonts w:ascii="Arial" w:hAnsi="Arial" w:cs="Arial"/>
          <w:bCs/>
          <w:sz w:val="22"/>
          <w:szCs w:val="22"/>
          <w:lang w:eastAsia="es-ES"/>
        </w:rPr>
        <w:t xml:space="preserve"> acreditación de </w:t>
      </w:r>
      <w:r w:rsidR="001A4587">
        <w:rPr>
          <w:rFonts w:ascii="Arial" w:hAnsi="Arial" w:cs="Arial"/>
          <w:bCs/>
          <w:sz w:val="22"/>
          <w:szCs w:val="22"/>
          <w:lang w:eastAsia="es-ES"/>
        </w:rPr>
        <w:t xml:space="preserve">los </w:t>
      </w:r>
      <w:r w:rsidRPr="00BC2F4D">
        <w:rPr>
          <w:rFonts w:ascii="Arial" w:hAnsi="Arial" w:cs="Arial"/>
          <w:bCs/>
          <w:sz w:val="22"/>
          <w:szCs w:val="22"/>
          <w:lang w:eastAsia="es-ES"/>
        </w:rPr>
        <w:t>requisitos para participar en convocatorias limitadas – artículo 2.2.1.2.4.2.4-</w:t>
      </w:r>
      <w:r w:rsidR="001A4587">
        <w:rPr>
          <w:rFonts w:ascii="Arial" w:hAnsi="Arial" w:cs="Arial"/>
          <w:bCs/>
          <w:sz w:val="22"/>
          <w:szCs w:val="22"/>
          <w:lang w:eastAsia="es-ES"/>
        </w:rPr>
        <w:t>.</w:t>
      </w:r>
    </w:p>
    <w:p w14:paraId="016E8FBC" w14:textId="712F55FD" w:rsidR="00015FE2" w:rsidRDefault="00015FE2" w:rsidP="00F3144F">
      <w:pPr>
        <w:spacing w:after="120" w:line="276" w:lineRule="auto"/>
        <w:ind w:firstLine="709"/>
        <w:jc w:val="both"/>
        <w:rPr>
          <w:rFonts w:ascii="Arial" w:hAnsi="Arial" w:cs="Arial"/>
          <w:bCs/>
          <w:sz w:val="22"/>
          <w:szCs w:val="22"/>
          <w:lang w:val="es-ES_tradnl" w:eastAsia="es-ES"/>
        </w:rPr>
      </w:pPr>
      <w:r w:rsidRPr="00BC2F4D">
        <w:rPr>
          <w:rFonts w:ascii="Arial" w:hAnsi="Arial" w:cs="Arial"/>
          <w:bCs/>
          <w:sz w:val="22"/>
          <w:szCs w:val="22"/>
          <w:lang w:val="es-ES_tradnl" w:eastAsia="es-ES"/>
        </w:rPr>
        <w:t>De esta manera, el artículo 5 del Decreto 1860 de 2021, que modifica los artículos del Decreto 1082 de 2015 expuestos en el párrafo anterior, constituye la nueva reglamentación del artículo 34 de la Ley 2069 de 2020, al desarrollar las reglas aplicables a las convocatorias limitadas a Mipyme,</w:t>
      </w:r>
      <w:r w:rsidRPr="00BC2F4D">
        <w:rPr>
          <w:rFonts w:ascii="Arial" w:eastAsia="Calibri" w:hAnsi="Arial" w:cs="Arial"/>
          <w:sz w:val="22"/>
          <w:szCs w:val="22"/>
          <w:lang w:val="es-ES_tradnl"/>
        </w:rPr>
        <w:t xml:space="preserve"> </w:t>
      </w:r>
      <w:r w:rsidRPr="00BC2F4D">
        <w:rPr>
          <w:rFonts w:ascii="Arial" w:hAnsi="Arial" w:cs="Arial"/>
          <w:bCs/>
          <w:sz w:val="22"/>
          <w:szCs w:val="22"/>
          <w:lang w:val="es-ES_tradnl" w:eastAsia="es-ES"/>
        </w:rPr>
        <w:t xml:space="preserve">disposición que entró a regir desde el pasado 24 de marzo de 2022, pues, como se indicó, </w:t>
      </w:r>
      <w:r w:rsidRPr="00BC2F4D">
        <w:rPr>
          <w:rFonts w:ascii="Arial" w:eastAsia="Calibri" w:hAnsi="Arial" w:cs="Arial"/>
          <w:sz w:val="22"/>
          <w:szCs w:val="22"/>
          <w:lang w:val="es-ES_tradnl"/>
        </w:rPr>
        <w:t xml:space="preserve">el artículo 8 de dicho decreto sometió su vigencia al transcurso del periodo de </w:t>
      </w:r>
      <w:r w:rsidR="001A4587">
        <w:rPr>
          <w:rFonts w:ascii="Arial" w:eastAsia="Calibri" w:hAnsi="Arial" w:cs="Arial"/>
          <w:sz w:val="22"/>
          <w:szCs w:val="22"/>
          <w:lang w:val="es-ES_tradnl"/>
        </w:rPr>
        <w:t>tres (</w:t>
      </w:r>
      <w:r w:rsidRPr="00BC2F4D">
        <w:rPr>
          <w:rFonts w:ascii="Arial" w:eastAsia="Calibri" w:hAnsi="Arial" w:cs="Arial"/>
          <w:sz w:val="22"/>
          <w:szCs w:val="22"/>
          <w:lang w:val="es-ES_tradnl"/>
        </w:rPr>
        <w:t>3</w:t>
      </w:r>
      <w:r w:rsidR="001A4587">
        <w:rPr>
          <w:rFonts w:ascii="Arial" w:eastAsia="Calibri" w:hAnsi="Arial" w:cs="Arial"/>
          <w:sz w:val="22"/>
          <w:szCs w:val="22"/>
          <w:lang w:val="es-ES_tradnl"/>
        </w:rPr>
        <w:t>)</w:t>
      </w:r>
      <w:r w:rsidRPr="00BC2F4D">
        <w:rPr>
          <w:rFonts w:ascii="Arial" w:eastAsia="Calibri" w:hAnsi="Arial" w:cs="Arial"/>
          <w:sz w:val="22"/>
          <w:szCs w:val="22"/>
          <w:lang w:val="es-ES_tradnl"/>
        </w:rPr>
        <w:t xml:space="preserve"> meses siguientes a su expedición.</w:t>
      </w:r>
    </w:p>
    <w:p w14:paraId="098CD9F8" w14:textId="18544260" w:rsidR="00015FE2" w:rsidRPr="00EE341D" w:rsidRDefault="00015FE2" w:rsidP="00F3144F">
      <w:pPr>
        <w:spacing w:line="276" w:lineRule="auto"/>
        <w:ind w:firstLine="709"/>
        <w:jc w:val="both"/>
        <w:rPr>
          <w:rFonts w:ascii="Arial" w:eastAsia="Arial" w:hAnsi="Arial" w:cs="Arial"/>
          <w:color w:val="000000"/>
          <w:sz w:val="22"/>
          <w:szCs w:val="22"/>
        </w:rPr>
      </w:pPr>
      <w:r>
        <w:rPr>
          <w:rFonts w:ascii="Arial" w:eastAsia="Arial" w:hAnsi="Arial" w:cs="Arial"/>
          <w:color w:val="000000"/>
          <w:sz w:val="22"/>
          <w:szCs w:val="22"/>
        </w:rPr>
        <w:lastRenderedPageBreak/>
        <w:t>En este contexto, e</w:t>
      </w:r>
      <w:r w:rsidRPr="00EE341D">
        <w:rPr>
          <w:rFonts w:ascii="Arial" w:eastAsia="Arial" w:hAnsi="Arial" w:cs="Arial"/>
          <w:color w:val="000000"/>
          <w:sz w:val="22"/>
          <w:szCs w:val="22"/>
        </w:rPr>
        <w:t>l artículo 2.2.1.2.4.2.2. del Decreto 1082 de 2015 –modificado por el Decreto 1860 de 2021– establece los requisitos que se deben acreditar en las «convocatorias limitadas a Mipymes».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 colombianas con mínimo un (1) año de existencia, siempre que se cumplan los requisitos señalados allí. Al respecto</w:t>
      </w:r>
      <w:r w:rsidR="005D070F">
        <w:rPr>
          <w:rFonts w:ascii="Arial" w:eastAsia="Arial" w:hAnsi="Arial" w:cs="Arial"/>
          <w:color w:val="000000"/>
          <w:sz w:val="22"/>
          <w:szCs w:val="22"/>
        </w:rPr>
        <w:t>, el referido artículo</w:t>
      </w:r>
      <w:r w:rsidRPr="00EE341D">
        <w:rPr>
          <w:rFonts w:ascii="Arial" w:eastAsia="Arial" w:hAnsi="Arial" w:cs="Arial"/>
          <w:color w:val="000000"/>
          <w:sz w:val="22"/>
          <w:szCs w:val="22"/>
        </w:rPr>
        <w:t xml:space="preserve"> indica lo siguiente: </w:t>
      </w:r>
    </w:p>
    <w:p w14:paraId="7B92BB2F" w14:textId="77777777" w:rsidR="00015FE2" w:rsidRPr="00EE341D" w:rsidRDefault="00015FE2" w:rsidP="00F3144F">
      <w:pPr>
        <w:spacing w:line="276" w:lineRule="auto"/>
        <w:ind w:firstLine="709"/>
        <w:jc w:val="both"/>
        <w:rPr>
          <w:rFonts w:ascii="Arial" w:eastAsia="Arial" w:hAnsi="Arial" w:cs="Arial"/>
          <w:color w:val="000000"/>
          <w:sz w:val="22"/>
          <w:szCs w:val="22"/>
        </w:rPr>
      </w:pPr>
    </w:p>
    <w:p w14:paraId="4723F957" w14:textId="62FCD903" w:rsidR="00015FE2" w:rsidRPr="005D070F" w:rsidRDefault="005D070F" w:rsidP="004900D3">
      <w:pPr>
        <w:ind w:left="709" w:right="709"/>
        <w:contextualSpacing/>
        <w:jc w:val="both"/>
        <w:rPr>
          <w:rFonts w:ascii="Arial" w:eastAsia="Calibri" w:hAnsi="Arial" w:cs="Arial"/>
          <w:sz w:val="21"/>
          <w:szCs w:val="21"/>
          <w:lang w:val="es-ES_tradnl"/>
        </w:rPr>
      </w:pPr>
      <w:r w:rsidRPr="004900D3">
        <w:rPr>
          <w:rFonts w:ascii="Arial" w:eastAsia="Arial" w:hAnsi="Arial" w:cs="Arial"/>
          <w:color w:val="000000"/>
          <w:sz w:val="21"/>
          <w:szCs w:val="21"/>
        </w:rPr>
        <w:t>«</w:t>
      </w:r>
      <w:r w:rsidR="00015FE2" w:rsidRPr="005D070F">
        <w:rPr>
          <w:rFonts w:ascii="Arial" w:eastAsia="Calibri" w:hAnsi="Arial" w:cs="Arial"/>
          <w:sz w:val="21"/>
          <w:szCs w:val="21"/>
          <w:lang w:val="es-ES_tradnl"/>
        </w:rPr>
        <w:t xml:space="preserve">Artículo 2.2.1.2.4.2.2. Convocatorias Imitadas a Mipyme.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4A215932" w14:textId="77777777" w:rsidR="00015FE2" w:rsidRPr="005D070F" w:rsidRDefault="00015FE2" w:rsidP="004900D3">
      <w:pPr>
        <w:ind w:left="709" w:right="709"/>
        <w:contextualSpacing/>
        <w:jc w:val="both"/>
        <w:rPr>
          <w:rFonts w:ascii="Arial" w:eastAsia="Calibri" w:hAnsi="Arial" w:cs="Arial"/>
          <w:sz w:val="21"/>
          <w:szCs w:val="21"/>
          <w:lang w:val="es-ES_tradnl"/>
        </w:rPr>
      </w:pPr>
    </w:p>
    <w:p w14:paraId="7C679DCA" w14:textId="35A22E31" w:rsidR="00015FE2" w:rsidRDefault="00015FE2" w:rsidP="005D070F">
      <w:pPr>
        <w:ind w:left="709" w:right="709"/>
        <w:contextualSpacing/>
        <w:jc w:val="both"/>
        <w:rPr>
          <w:rFonts w:ascii="Arial" w:eastAsia="Calibri" w:hAnsi="Arial" w:cs="Arial"/>
          <w:sz w:val="21"/>
          <w:szCs w:val="21"/>
          <w:lang w:val="es-ES_tradnl"/>
        </w:rPr>
      </w:pPr>
      <w:r w:rsidRPr="005D070F">
        <w:rPr>
          <w:rFonts w:ascii="Arial" w:eastAsia="Calibri" w:hAnsi="Arial" w:cs="Arial"/>
          <w:sz w:val="21"/>
          <w:szCs w:val="21"/>
          <w:lang w:val="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29D2E9BD" w14:textId="77777777" w:rsidR="005D070F" w:rsidRPr="005D070F" w:rsidRDefault="005D070F" w:rsidP="004900D3">
      <w:pPr>
        <w:ind w:left="709" w:right="709"/>
        <w:contextualSpacing/>
        <w:jc w:val="both"/>
        <w:rPr>
          <w:rFonts w:ascii="Arial" w:eastAsia="Calibri" w:hAnsi="Arial" w:cs="Arial"/>
          <w:sz w:val="21"/>
          <w:szCs w:val="21"/>
          <w:lang w:val="es-ES_tradnl"/>
        </w:rPr>
      </w:pPr>
    </w:p>
    <w:p w14:paraId="2E1D4B4A" w14:textId="77777777" w:rsidR="00015FE2" w:rsidRPr="005D070F" w:rsidRDefault="00015FE2" w:rsidP="004900D3">
      <w:pPr>
        <w:ind w:left="709" w:right="709"/>
        <w:contextualSpacing/>
        <w:jc w:val="both"/>
        <w:rPr>
          <w:rFonts w:ascii="Arial" w:eastAsia="Calibri" w:hAnsi="Arial" w:cs="Arial"/>
          <w:sz w:val="21"/>
          <w:szCs w:val="21"/>
          <w:lang w:val="es-ES_tradnl"/>
        </w:rPr>
      </w:pPr>
      <w:r w:rsidRPr="005D070F">
        <w:rPr>
          <w:rFonts w:ascii="Arial" w:eastAsia="Calibri" w:hAnsi="Arial" w:cs="Arial"/>
          <w:sz w:val="21"/>
          <w:szCs w:val="21"/>
          <w:lang w:val="es-ES_tradnl"/>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Mipyme, cuyo objeto social les permita ejecutar el contrato relacionado con el proceso contractual.</w:t>
      </w:r>
    </w:p>
    <w:p w14:paraId="6E7D72BB" w14:textId="77777777" w:rsidR="00F3144F" w:rsidRPr="005D070F" w:rsidRDefault="00F3144F" w:rsidP="004900D3">
      <w:pPr>
        <w:ind w:left="709" w:right="709"/>
        <w:contextualSpacing/>
        <w:jc w:val="both"/>
        <w:rPr>
          <w:rFonts w:ascii="Arial" w:eastAsia="Calibri" w:hAnsi="Arial" w:cs="Arial"/>
          <w:sz w:val="21"/>
          <w:szCs w:val="21"/>
          <w:lang w:val="es-ES_tradnl"/>
        </w:rPr>
      </w:pPr>
    </w:p>
    <w:p w14:paraId="34DE27EE" w14:textId="66117BC2" w:rsidR="00015FE2" w:rsidRPr="005D070F" w:rsidRDefault="00015FE2" w:rsidP="004900D3">
      <w:pPr>
        <w:ind w:left="709" w:right="709"/>
        <w:contextualSpacing/>
        <w:jc w:val="both"/>
        <w:rPr>
          <w:rFonts w:ascii="Arial" w:eastAsia="Calibri" w:hAnsi="Arial" w:cs="Arial"/>
          <w:sz w:val="21"/>
          <w:szCs w:val="21"/>
          <w:lang w:val="es-ES_tradnl"/>
        </w:rPr>
      </w:pPr>
      <w:r w:rsidRPr="005D070F">
        <w:rPr>
          <w:rFonts w:ascii="Arial" w:eastAsia="Calibri" w:hAnsi="Arial" w:cs="Arial"/>
          <w:sz w:val="21"/>
          <w:szCs w:val="21"/>
          <w:lang w:val="es-ES_tradnl"/>
        </w:rPr>
        <w:t>Parágrafo. Las cooperativas y demás entidades de economía solidaria, siempre que tengan la calidad de Mipyme, podrán solicitar y participar en las convocatorias limitadas en las mismas condiciones dispuestas en el presente artículo</w:t>
      </w:r>
      <w:r w:rsidR="005D070F" w:rsidRPr="004900D3">
        <w:rPr>
          <w:rFonts w:ascii="Arial" w:eastAsia="Arial" w:hAnsi="Arial" w:cs="Arial"/>
          <w:color w:val="000000"/>
          <w:sz w:val="21"/>
          <w:szCs w:val="21"/>
        </w:rPr>
        <w:t>»</w:t>
      </w:r>
      <w:r w:rsidRPr="005D070F">
        <w:rPr>
          <w:rFonts w:ascii="Arial" w:eastAsia="Calibri" w:hAnsi="Arial" w:cs="Arial"/>
          <w:sz w:val="21"/>
          <w:szCs w:val="21"/>
          <w:lang w:val="es-ES_tradnl"/>
        </w:rPr>
        <w:t>.</w:t>
      </w:r>
    </w:p>
    <w:p w14:paraId="49AEAB54" w14:textId="77777777" w:rsidR="00015FE2" w:rsidRPr="00EE341D" w:rsidRDefault="00015FE2" w:rsidP="00F3144F">
      <w:pPr>
        <w:spacing w:line="276" w:lineRule="auto"/>
        <w:ind w:firstLine="709"/>
        <w:jc w:val="both"/>
        <w:rPr>
          <w:rFonts w:ascii="Arial" w:eastAsia="Arial" w:hAnsi="Arial" w:cs="Arial"/>
          <w:color w:val="000000"/>
          <w:sz w:val="22"/>
          <w:szCs w:val="22"/>
        </w:rPr>
      </w:pPr>
    </w:p>
    <w:p w14:paraId="4CEF9580" w14:textId="585E44F0" w:rsidR="00015FE2" w:rsidRDefault="00015FE2" w:rsidP="00F3144F">
      <w:pPr>
        <w:spacing w:after="120" w:line="276" w:lineRule="auto"/>
        <w:ind w:firstLine="709"/>
        <w:jc w:val="both"/>
        <w:rPr>
          <w:rFonts w:ascii="Arial" w:eastAsia="Arial" w:hAnsi="Arial" w:cs="Arial"/>
          <w:color w:val="000000"/>
          <w:sz w:val="22"/>
          <w:szCs w:val="22"/>
        </w:rPr>
      </w:pPr>
      <w:r w:rsidRPr="00EE341D">
        <w:rPr>
          <w:rFonts w:ascii="Arial" w:eastAsia="Arial" w:hAnsi="Arial" w:cs="Arial"/>
          <w:color w:val="000000"/>
          <w:sz w:val="22"/>
          <w:szCs w:val="22"/>
        </w:rPr>
        <w:t>Según se evidencia, el numeral primero limita cuantitativamente los procesos contractuales en los que se puede hacer esa convocatoria limitada a Mipyme, en la medida en que el valor del proceso de contratación tendrá que ser «menor a ciento veinticinco mil dólares de los Estados Unidos de América». Esta limitante, valga la pena aclarar, es establecida de acuerdo con la tasa que, para el efecto, determine cada dos</w:t>
      </w:r>
      <w:r w:rsidR="005D070F">
        <w:rPr>
          <w:rFonts w:ascii="Arial" w:eastAsia="Arial" w:hAnsi="Arial" w:cs="Arial"/>
          <w:color w:val="000000"/>
          <w:sz w:val="22"/>
          <w:szCs w:val="22"/>
        </w:rPr>
        <w:t xml:space="preserve"> (2)</w:t>
      </w:r>
      <w:r w:rsidRPr="00EE341D">
        <w:rPr>
          <w:rFonts w:ascii="Arial" w:eastAsia="Arial" w:hAnsi="Arial" w:cs="Arial"/>
          <w:color w:val="000000"/>
          <w:sz w:val="22"/>
          <w:szCs w:val="22"/>
        </w:rPr>
        <w:t xml:space="preserve"> años el </w:t>
      </w:r>
      <w:r w:rsidRPr="00EE341D">
        <w:rPr>
          <w:rFonts w:ascii="Arial" w:eastAsia="Arial" w:hAnsi="Arial" w:cs="Arial"/>
          <w:color w:val="000000"/>
          <w:sz w:val="22"/>
          <w:szCs w:val="22"/>
        </w:rPr>
        <w:lastRenderedPageBreak/>
        <w:t>Ministerio de Comercio, Industria y Turismo</w:t>
      </w:r>
      <w:r w:rsidRPr="00EE341D">
        <w:rPr>
          <w:rStyle w:val="Refdenotaalpie"/>
          <w:rFonts w:ascii="Arial" w:eastAsia="Arial" w:hAnsi="Arial" w:cs="Arial"/>
          <w:color w:val="000000"/>
          <w:sz w:val="22"/>
          <w:szCs w:val="22"/>
        </w:rPr>
        <w:footnoteReference w:id="14"/>
      </w:r>
      <w:r w:rsidRPr="00EE341D">
        <w:rPr>
          <w:rFonts w:ascii="Arial" w:eastAsia="Arial" w:hAnsi="Arial" w:cs="Arial"/>
          <w:color w:val="000000"/>
          <w:sz w:val="22"/>
          <w:szCs w:val="22"/>
        </w:rPr>
        <w:t xml:space="preserve">. Por su parte, el numeral segundo establece dos exigencias: por un lado, que al menos dos (2) Mipyme colombianas presenten a la entidad la solicitud de limitar el proceso contractual y, por el otro, que hagan la solicitud por lo menos un día (1) hábil antes de la expedición del acto administrativo de apertura </w:t>
      </w:r>
      <w:r w:rsidRPr="00C94CDD">
        <w:rPr>
          <w:rFonts w:ascii="Arial" w:eastAsia="Arial" w:hAnsi="Arial" w:cs="Arial"/>
          <w:color w:val="000000"/>
          <w:sz w:val="22"/>
          <w:szCs w:val="22"/>
          <w:lang w:val="es-ES_tradnl"/>
        </w:rPr>
        <w:t>o el que haga sus veces de acuerdo con la normativa aplicable a cada Proceso de Contratación</w:t>
      </w:r>
      <w:r w:rsidRPr="00EE341D">
        <w:rPr>
          <w:rFonts w:ascii="Arial" w:eastAsia="Arial" w:hAnsi="Arial" w:cs="Arial"/>
          <w:color w:val="000000"/>
          <w:sz w:val="22"/>
          <w:szCs w:val="22"/>
        </w:rPr>
        <w:t xml:space="preserve">. Además, la norma señala que, </w:t>
      </w:r>
      <w:r w:rsidRPr="00EE341D">
        <w:rPr>
          <w:rFonts w:ascii="Arial" w:eastAsia="Arial" w:hAnsi="Arial" w:cs="Arial"/>
          <w:color w:val="000000"/>
          <w:sz w:val="22"/>
          <w:szCs w:val="22"/>
          <w:lang w:val="es-ES_tradnl"/>
        </w:rPr>
        <w:t xml:space="preserve">tratándose de personas jurídicas, las solicitudes solo las podrán realizar Mipyme, cuyo objeto social les permita ejecutar el contrato relacionado con el proceso contractual. Asimismo, este artículo incluye a las cooperativas y demás entidades de economía solidaria dentro de los sujetos que pueden solicitar y participar en las convocatorias limitadas a Mipyme, siempre que estas cumplan con las condiciones señaladas en el artículo. </w:t>
      </w:r>
    </w:p>
    <w:p w14:paraId="1E471D21" w14:textId="1225FAA4" w:rsidR="00015FE2" w:rsidRPr="00FA6DF5" w:rsidRDefault="00015FE2" w:rsidP="00F3144F">
      <w:pPr>
        <w:spacing w:after="120" w:line="276" w:lineRule="auto"/>
        <w:ind w:firstLine="709"/>
        <w:jc w:val="both"/>
        <w:rPr>
          <w:rFonts w:ascii="Arial" w:hAnsi="Arial" w:cs="Arial"/>
          <w:sz w:val="22"/>
          <w:lang w:val="es-ES" w:eastAsia="es-MX"/>
        </w:rPr>
      </w:pPr>
      <w:r w:rsidRPr="00BC2F4D">
        <w:rPr>
          <w:rFonts w:ascii="Arial" w:eastAsia="Arial" w:hAnsi="Arial" w:cs="Arial"/>
          <w:color w:val="000000"/>
          <w:sz w:val="22"/>
          <w:szCs w:val="22"/>
          <w:lang w:val="es-ES_tradnl"/>
        </w:rPr>
        <w:t>Así las cosas,</w:t>
      </w:r>
      <w:r w:rsidRPr="00BC2F4D">
        <w:rPr>
          <w:rFonts w:ascii="Arial" w:hAnsi="Arial" w:cs="Arial"/>
          <w:sz w:val="22"/>
          <w:lang w:val="es-ES" w:eastAsia="es-MX"/>
        </w:rPr>
        <w:t xml:space="preserve"> </w:t>
      </w:r>
      <w:r w:rsidR="005D070F">
        <w:rPr>
          <w:rFonts w:ascii="Arial" w:hAnsi="Arial" w:cs="Arial"/>
          <w:sz w:val="22"/>
          <w:lang w:val="es-ES" w:eastAsia="es-MX"/>
        </w:rPr>
        <w:t xml:space="preserve">en todos los Procesos de Contratación, independientemente de la modalidad de selección, </w:t>
      </w:r>
      <w:r w:rsidRPr="00BC2F4D">
        <w:rPr>
          <w:rFonts w:ascii="Arial" w:hAnsi="Arial" w:cs="Arial"/>
          <w:sz w:val="22"/>
          <w:lang w:val="es-ES" w:eastAsia="es-MX"/>
        </w:rPr>
        <w:t xml:space="preserve">las entidades </w:t>
      </w:r>
      <w:r w:rsidR="005D070F">
        <w:rPr>
          <w:rFonts w:ascii="Arial" w:hAnsi="Arial" w:cs="Arial"/>
          <w:sz w:val="22"/>
          <w:lang w:val="es-ES" w:eastAsia="es-MX"/>
        </w:rPr>
        <w:t>cualquiera que sea</w:t>
      </w:r>
      <w:r w:rsidRPr="00BC2F4D">
        <w:rPr>
          <w:rFonts w:ascii="Arial" w:hAnsi="Arial" w:cs="Arial"/>
          <w:sz w:val="22"/>
          <w:lang w:val="es-ES" w:eastAsia="es-MX"/>
        </w:rPr>
        <w:t xml:space="preserv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se cumplan los requisitos previstos en el artículo 2.2.1.2.4.2.2 del Decreto 1082 de 2015 anteriormente señalado</w:t>
      </w:r>
      <w:r w:rsidR="005D070F">
        <w:rPr>
          <w:rFonts w:ascii="Arial" w:hAnsi="Arial" w:cs="Arial"/>
          <w:sz w:val="22"/>
          <w:lang w:val="es-ES" w:eastAsia="es-MX"/>
        </w:rPr>
        <w:t xml:space="preserve"> y siempre que cuenten con mínimo un (1) año de existencia</w:t>
      </w:r>
      <w:r w:rsidRPr="00BC2F4D">
        <w:rPr>
          <w:rFonts w:ascii="Arial" w:hAnsi="Arial" w:cs="Arial"/>
          <w:sz w:val="22"/>
          <w:lang w:val="es-ES" w:eastAsia="es-MX"/>
        </w:rPr>
        <w:t>.</w:t>
      </w:r>
    </w:p>
    <w:p w14:paraId="67BBBB28" w14:textId="018548BD" w:rsidR="00015FE2" w:rsidRPr="00DD5F33" w:rsidRDefault="00015FE2" w:rsidP="00F3144F">
      <w:pPr>
        <w:spacing w:line="276" w:lineRule="auto"/>
        <w:ind w:firstLine="709"/>
        <w:jc w:val="both"/>
        <w:rPr>
          <w:rFonts w:ascii="Arial" w:eastAsia="Calibri" w:hAnsi="Arial" w:cs="Arial"/>
          <w:sz w:val="22"/>
          <w:lang w:val="es-ES_tradnl"/>
        </w:rPr>
      </w:pPr>
      <w:r w:rsidRPr="004900D3">
        <w:rPr>
          <w:rFonts w:ascii="Arial" w:eastAsia="Calibri" w:hAnsi="Arial" w:cs="Arial"/>
          <w:sz w:val="22"/>
          <w:szCs w:val="22"/>
          <w:lang w:val="es-ES_tradnl"/>
        </w:rPr>
        <w:t>En relación con las limitaciones territorial</w:t>
      </w:r>
      <w:r w:rsidR="00BC2F4D" w:rsidRPr="004900D3">
        <w:rPr>
          <w:rFonts w:ascii="Arial" w:hAnsi="Arial" w:cs="Arial"/>
          <w:sz w:val="22"/>
          <w:szCs w:val="22"/>
          <w:lang w:val="es-ES_tradnl"/>
        </w:rPr>
        <w:t>es de las convocatorias a</w:t>
      </w:r>
      <w:r w:rsidRPr="004900D3">
        <w:rPr>
          <w:rFonts w:ascii="Arial" w:hAnsi="Arial" w:cs="Arial"/>
          <w:sz w:val="22"/>
          <w:szCs w:val="22"/>
          <w:lang w:val="es-ES_tradnl"/>
        </w:rPr>
        <w:t xml:space="preserve"> Mipyme, </w:t>
      </w:r>
      <w:r w:rsidRPr="004900D3">
        <w:rPr>
          <w:rFonts w:ascii="Arial" w:eastAsia="Calibri" w:hAnsi="Arial" w:cs="Arial"/>
          <w:sz w:val="22"/>
          <w:szCs w:val="22"/>
          <w:lang w:val="es-ES_tradnl"/>
        </w:rPr>
        <w:t xml:space="preserve"> a la luz del antiguo artículo 2.2.1.2.4.2.3 del Decreto 1082 de 2015, esta Agencia –</w:t>
      </w:r>
      <w:r w:rsidRPr="004900D3">
        <w:rPr>
          <w:rFonts w:ascii="Arial" w:hAnsi="Arial" w:cs="Arial"/>
          <w:sz w:val="22"/>
          <w:lang w:val="es-ES_tradnl"/>
        </w:rPr>
        <w:t>en los conceptos del 29 de enero de 2018 −radicado No. 4201714000006924−,</w:t>
      </w:r>
      <w:r w:rsidRPr="004900D3">
        <w:rPr>
          <w:rFonts w:ascii="Arial" w:eastAsia="Calibri" w:hAnsi="Arial" w:cs="Arial"/>
          <w:sz w:val="22"/>
          <w:lang w:val="es-ES_tradnl"/>
        </w:rPr>
        <w:t xml:space="preserve"> C – 045 del 17 de marzo de 2020, C – 162 del 16 de abril de 2020, C – 214 del 21 de abril de 2020, C – 258 del 17 de abril de 2020, C – 364 del 4 de junio de 2020, C – 413 del 30 de junio de 2020</w:t>
      </w:r>
      <w:r w:rsidRPr="004900D3">
        <w:rPr>
          <w:rFonts w:ascii="Arial" w:hAnsi="Arial" w:cs="Arial"/>
          <w:sz w:val="22"/>
          <w:lang w:val="es-ES_tradnl"/>
        </w:rPr>
        <w:t xml:space="preserve">, </w:t>
      </w:r>
      <w:r w:rsidRPr="004900D3">
        <w:rPr>
          <w:rFonts w:ascii="Arial" w:eastAsia="Calibri" w:hAnsi="Arial" w:cs="Arial"/>
          <w:sz w:val="22"/>
          <w:lang w:val="es-ES_tradnl"/>
        </w:rPr>
        <w:t>C – 492 del 24 de julio de 2020, C – 523 del 11 de agosto de 2020, C – 610 del 14 de septiembre de 2020 y C-700 de 1 de diciembre de 2020–</w:t>
      </w:r>
      <w:r w:rsidRPr="004900D3">
        <w:rPr>
          <w:rFonts w:ascii="Arial" w:eastAsia="Calibri" w:hAnsi="Arial" w:cs="Arial"/>
          <w:sz w:val="22"/>
          <w:szCs w:val="22"/>
          <w:lang w:val="es-ES_tradnl"/>
        </w:rPr>
        <w:t xml:space="preserve"> había sostenido que, para que se permitiera la participación de una Mipyme en uno de estos procesos, era nece</w:t>
      </w:r>
      <w:r w:rsidR="009F72F3" w:rsidRPr="004900D3">
        <w:rPr>
          <w:rFonts w:ascii="Arial" w:eastAsia="Calibri" w:hAnsi="Arial" w:cs="Arial"/>
          <w:sz w:val="22"/>
          <w:szCs w:val="22"/>
          <w:lang w:val="es-ES_tradnl"/>
        </w:rPr>
        <w:t xml:space="preserve">sario que </w:t>
      </w:r>
      <w:r w:rsidR="007D010E" w:rsidRPr="004900D3">
        <w:rPr>
          <w:rFonts w:ascii="Arial" w:eastAsia="Calibri" w:hAnsi="Arial" w:cs="Arial"/>
          <w:sz w:val="22"/>
          <w:szCs w:val="22"/>
          <w:lang w:val="es-ES_tradnl"/>
        </w:rPr>
        <w:t>tuviera su domicilio principal en el lugar de ejecución del contrato</w:t>
      </w:r>
      <w:r w:rsidR="007250F7" w:rsidRPr="004900D3">
        <w:rPr>
          <w:rFonts w:ascii="Arial" w:eastAsia="Calibri" w:hAnsi="Arial" w:cs="Arial"/>
          <w:sz w:val="22"/>
          <w:szCs w:val="22"/>
          <w:lang w:val="es-ES_tradnl"/>
        </w:rPr>
        <w:t>, no resultando valido cumplir con este requisito a través de sucursales.</w:t>
      </w:r>
      <w:r w:rsidRPr="004900D3">
        <w:rPr>
          <w:rFonts w:ascii="Arial" w:eastAsia="Calibri" w:hAnsi="Arial" w:cs="Arial"/>
          <w:sz w:val="22"/>
          <w:szCs w:val="22"/>
          <w:lang w:val="es-ES_tradnl"/>
        </w:rPr>
        <w:t xml:space="preserve"> </w:t>
      </w:r>
      <w:r w:rsidR="007250F7" w:rsidRPr="004900D3">
        <w:rPr>
          <w:rFonts w:ascii="Arial" w:eastAsia="Calibri" w:hAnsi="Arial" w:cs="Arial"/>
          <w:sz w:val="22"/>
          <w:szCs w:val="22"/>
          <w:lang w:val="es-ES_tradnl"/>
        </w:rPr>
        <w:t>L</w:t>
      </w:r>
      <w:r w:rsidRPr="004900D3">
        <w:rPr>
          <w:rFonts w:ascii="Arial" w:eastAsia="Calibri" w:hAnsi="Arial" w:cs="Arial"/>
          <w:sz w:val="22"/>
          <w:szCs w:val="22"/>
          <w:lang w:val="es-ES_tradnl"/>
        </w:rPr>
        <w:t>a tesis se expuso en los siguientes términos</w:t>
      </w:r>
      <w:r w:rsidRPr="004900D3">
        <w:rPr>
          <w:rFonts w:ascii="Arial" w:eastAsia="Calibri" w:hAnsi="Arial" w:cs="Arial"/>
          <w:sz w:val="22"/>
          <w:lang w:val="es-ES_tradnl"/>
        </w:rPr>
        <w:t>:</w:t>
      </w:r>
      <w:r w:rsidRPr="00DD5F33">
        <w:rPr>
          <w:rFonts w:ascii="Arial" w:eastAsia="Calibri" w:hAnsi="Arial" w:cs="Arial"/>
          <w:sz w:val="22"/>
          <w:lang w:val="es-ES_tradnl"/>
        </w:rPr>
        <w:t xml:space="preserve"> </w:t>
      </w:r>
    </w:p>
    <w:p w14:paraId="2807D72F" w14:textId="77777777" w:rsidR="00015FE2" w:rsidRPr="00DD5F33" w:rsidRDefault="00015FE2" w:rsidP="00F3144F">
      <w:pPr>
        <w:spacing w:line="276" w:lineRule="auto"/>
        <w:ind w:firstLine="709"/>
        <w:jc w:val="both"/>
        <w:rPr>
          <w:rFonts w:ascii="Arial" w:eastAsia="Calibri" w:hAnsi="Arial" w:cs="Arial"/>
          <w:sz w:val="22"/>
          <w:lang w:val="es-ES_tradnl"/>
        </w:rPr>
      </w:pPr>
    </w:p>
    <w:p w14:paraId="4FD6DDE5" w14:textId="38C531EB" w:rsidR="00015FE2" w:rsidRPr="00DD5F33" w:rsidRDefault="002334F7" w:rsidP="00F3144F">
      <w:pPr>
        <w:ind w:left="709" w:right="709"/>
        <w:jc w:val="both"/>
        <w:rPr>
          <w:rFonts w:ascii="Arial" w:hAnsi="Arial" w:cs="Arial"/>
          <w:sz w:val="21"/>
          <w:szCs w:val="21"/>
          <w:lang w:val="es-ES_tradnl"/>
        </w:rPr>
      </w:pPr>
      <w:r w:rsidRPr="00D90A60">
        <w:rPr>
          <w:rFonts w:ascii="Arial" w:eastAsia="Arial" w:hAnsi="Arial" w:cs="Arial"/>
          <w:color w:val="000000"/>
          <w:sz w:val="21"/>
          <w:szCs w:val="21"/>
        </w:rPr>
        <w:t>«</w:t>
      </w:r>
      <w:r w:rsidR="00015FE2" w:rsidRPr="00DD5F33">
        <w:rPr>
          <w:rFonts w:ascii="Arial" w:hAnsi="Arial" w:cs="Arial"/>
          <w:sz w:val="21"/>
          <w:szCs w:val="21"/>
          <w:lang w:val="es-ES_tradnl"/>
        </w:rPr>
        <w:t xml:space="preserve">Es de resaltar que </w:t>
      </w:r>
      <w:r w:rsidR="00015FE2" w:rsidRPr="00DD5F33">
        <w:rPr>
          <w:rFonts w:ascii="Arial" w:hAnsi="Arial" w:cs="Arial"/>
          <w:i/>
          <w:iCs/>
          <w:sz w:val="21"/>
          <w:szCs w:val="21"/>
          <w:lang w:val="es-ES_tradnl"/>
        </w:rPr>
        <w:t>estas normas se refieren a las Mipymes nacionales genéricamente y, particularmente, a las Mipymes nacionales «domiciliadas en los departamentos o municipios en donde se va a ejecutar el contrato».</w:t>
      </w:r>
      <w:r w:rsidR="00015FE2" w:rsidRPr="00DD5F33">
        <w:rPr>
          <w:rFonts w:ascii="Arial" w:hAnsi="Arial" w:cs="Arial"/>
          <w:sz w:val="21"/>
          <w:szCs w:val="21"/>
          <w:lang w:val="es-ES_tradnl"/>
        </w:rPr>
        <w:t xml:space="preserve"> En ambos casos se refiere a Mipymes nacionales, distinguiéndolas de las empresas extranjeras. Del artículo 2.2.1.2.4.2.3. del Decreto 1082 de 2015 no se deriva que existan Mipymes del orden territorial. Esta categoría no existe en </w:t>
      </w:r>
      <w:r w:rsidR="00015FE2" w:rsidRPr="00DD5F33">
        <w:rPr>
          <w:rFonts w:ascii="Arial" w:hAnsi="Arial" w:cs="Arial"/>
          <w:sz w:val="21"/>
          <w:szCs w:val="21"/>
          <w:lang w:val="es-ES_tradnl"/>
        </w:rPr>
        <w:lastRenderedPageBreak/>
        <w:t>el ordenamiento jurídico. En ese sentido, toda empresa constituida bajo las leyes colombianas o que tenga su domicilio principal en el territorio colombiano y, además, cumpla los criterios previstos por la Ley 590 de 2000 y el Decreto 957 de 2019, será considerada Mipymes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Mipymes domiciliadas en un municipio o departamento son Mipymes nacionales. En consecuencia, no es procedente distinguir entre Mipymes nacionales y Mipymes municipales o departamentales, habida cuenta que estas últimas no existen como categoría dentro del ordenamiento normativo.</w:t>
      </w:r>
    </w:p>
    <w:p w14:paraId="7943FA87" w14:textId="77777777" w:rsidR="00F3144F" w:rsidRDefault="00F3144F" w:rsidP="00F3144F">
      <w:pPr>
        <w:ind w:left="709" w:right="709"/>
        <w:jc w:val="both"/>
        <w:rPr>
          <w:rFonts w:ascii="Arial" w:hAnsi="Arial" w:cs="Arial"/>
          <w:sz w:val="21"/>
          <w:szCs w:val="21"/>
          <w:lang w:val="es-ES_tradnl"/>
        </w:rPr>
      </w:pPr>
    </w:p>
    <w:p w14:paraId="010B8066" w14:textId="21D1B9CF" w:rsidR="00015FE2" w:rsidRPr="00DD5F33" w:rsidRDefault="00015FE2" w:rsidP="00F3144F">
      <w:pPr>
        <w:ind w:left="709" w:right="709"/>
        <w:jc w:val="both"/>
        <w:rPr>
          <w:rFonts w:ascii="Arial" w:hAnsi="Arial" w:cs="Arial"/>
          <w:sz w:val="22"/>
          <w:szCs w:val="22"/>
          <w:lang w:val="es-ES_tradnl"/>
        </w:rPr>
      </w:pPr>
      <w:r w:rsidRPr="00DD5F33">
        <w:rPr>
          <w:rFonts w:ascii="Arial" w:hAnsi="Arial" w:cs="Arial"/>
          <w:sz w:val="21"/>
          <w:szCs w:val="21"/>
          <w:lang w:val="es-ES_tradnl"/>
        </w:rPr>
        <w:t xml:space="preserve">Igualmente, se debe precisar que </w:t>
      </w:r>
      <w:r w:rsidRPr="00DD5F33">
        <w:rPr>
          <w:rFonts w:ascii="Arial" w:hAnsi="Arial" w:cs="Arial"/>
          <w:i/>
          <w:iCs/>
          <w:sz w:val="21"/>
          <w:szCs w:val="21"/>
          <w:lang w:val="es-ES_tradnl"/>
        </w:rPr>
        <w:t>el artículo 2.2.1.2.4.2.3. del Decreto 1082 de 2015 se refiere a las «Mipyme nacionales domiciliadas en los departamentos o municipios en donde se va a ejecutar el contrato» «cursivas propias», esto es, al «domicilio» y no a las «sucursales». Esta distinción es importante porque el beneficio normativo únicamente aplica en el lugar en el que la Mipyme tiene su «domicilio», y no en donde tiene sucursales</w:t>
      </w:r>
      <w:r w:rsidRPr="00DD5F33">
        <w:rPr>
          <w:rStyle w:val="Refdenotaalpie"/>
          <w:rFonts w:ascii="Arial" w:hAnsi="Arial" w:cs="Arial"/>
          <w:i/>
          <w:iCs/>
          <w:sz w:val="21"/>
          <w:szCs w:val="21"/>
          <w:lang w:val="es-ES_tradnl"/>
        </w:rPr>
        <w:footnoteReference w:id="15"/>
      </w:r>
      <w:r w:rsidR="002334F7" w:rsidRPr="00D90A60">
        <w:rPr>
          <w:rFonts w:ascii="Arial" w:eastAsia="Arial" w:hAnsi="Arial" w:cs="Arial"/>
          <w:color w:val="000000"/>
          <w:sz w:val="21"/>
          <w:szCs w:val="21"/>
        </w:rPr>
        <w:t>»</w:t>
      </w:r>
      <w:r w:rsidRPr="00DD5F33">
        <w:rPr>
          <w:rFonts w:ascii="Arial" w:hAnsi="Arial" w:cs="Arial"/>
          <w:sz w:val="21"/>
          <w:szCs w:val="21"/>
          <w:lang w:val="es-ES_tradnl"/>
        </w:rPr>
        <w:t xml:space="preserve">. </w:t>
      </w:r>
      <w:r w:rsidRPr="00DD5F33">
        <w:rPr>
          <w:rFonts w:ascii="Arial" w:hAnsi="Arial" w:cs="Arial"/>
          <w:sz w:val="22"/>
          <w:szCs w:val="22"/>
          <w:lang w:val="es-ES_tradnl"/>
        </w:rPr>
        <w:t>(Énfasis fuera de texto)</w:t>
      </w:r>
    </w:p>
    <w:p w14:paraId="3149733E" w14:textId="77777777" w:rsidR="00015FE2" w:rsidRPr="00DD5F33" w:rsidRDefault="00015FE2" w:rsidP="00F3144F">
      <w:pPr>
        <w:spacing w:line="276" w:lineRule="auto"/>
        <w:ind w:left="709" w:right="709"/>
        <w:jc w:val="both"/>
        <w:rPr>
          <w:rFonts w:ascii="Arial" w:hAnsi="Arial" w:cs="Arial"/>
          <w:sz w:val="22"/>
          <w:szCs w:val="22"/>
          <w:lang w:val="es-ES_tradnl"/>
        </w:rPr>
      </w:pPr>
    </w:p>
    <w:p w14:paraId="69D6CF1D" w14:textId="5CD3DF8F" w:rsidR="00015FE2" w:rsidRPr="004900D3" w:rsidRDefault="00015FE2" w:rsidP="00F3144F">
      <w:pPr>
        <w:spacing w:after="120" w:line="276" w:lineRule="auto"/>
        <w:ind w:firstLine="709"/>
        <w:jc w:val="both"/>
        <w:rPr>
          <w:rFonts w:ascii="Arial" w:eastAsia="Calibri" w:hAnsi="Arial" w:cs="Arial"/>
          <w:sz w:val="22"/>
          <w:szCs w:val="22"/>
          <w:lang w:val="es-ES_tradnl"/>
        </w:rPr>
      </w:pPr>
      <w:r w:rsidRPr="004900D3">
        <w:rPr>
          <w:rFonts w:ascii="Arial" w:hAnsi="Arial" w:cs="Arial"/>
          <w:sz w:val="22"/>
          <w:szCs w:val="22"/>
          <w:lang w:val="es-ES_tradnl"/>
        </w:rPr>
        <w:t xml:space="preserve">Como se aprecia, la postura sostenida por esta Agencia en vigencia del artículo </w:t>
      </w:r>
      <w:r w:rsidRPr="004900D3">
        <w:rPr>
          <w:rFonts w:ascii="Arial" w:eastAsia="Calibri" w:hAnsi="Arial" w:cs="Arial"/>
          <w:sz w:val="22"/>
          <w:szCs w:val="22"/>
          <w:lang w:val="es-ES_tradnl"/>
        </w:rPr>
        <w:t>2.2.1.2.4.2.3 del Decreto 1082 de 2015 no contemplaba la posibilidad de que una Mipyme domiciliada en un departamento o municipio diferentes al lugar de ejecución del contrato, en atención al cual se realiza la limitación territorial, participara en un proceso de selección por el hecho de tener una sucursal en este, puesto que lo r</w:t>
      </w:r>
      <w:r w:rsidR="00BC2F4D" w:rsidRPr="004900D3">
        <w:rPr>
          <w:rFonts w:ascii="Arial" w:eastAsia="Calibri" w:hAnsi="Arial" w:cs="Arial"/>
          <w:sz w:val="22"/>
          <w:szCs w:val="22"/>
          <w:lang w:val="es-ES_tradnl"/>
        </w:rPr>
        <w:t>elevante es el domicilio de la M</w:t>
      </w:r>
      <w:r w:rsidRPr="004900D3">
        <w:rPr>
          <w:rFonts w:ascii="Arial" w:eastAsia="Calibri" w:hAnsi="Arial" w:cs="Arial"/>
          <w:sz w:val="22"/>
          <w:szCs w:val="22"/>
          <w:lang w:val="es-ES_tradnl"/>
        </w:rPr>
        <w:t xml:space="preserve">ipyme. </w:t>
      </w:r>
    </w:p>
    <w:p w14:paraId="70D47CB6" w14:textId="0C460839" w:rsidR="00015FE2" w:rsidRPr="00DD5F33" w:rsidRDefault="00015FE2" w:rsidP="00F3144F">
      <w:pPr>
        <w:spacing w:line="276" w:lineRule="auto"/>
        <w:ind w:firstLine="708"/>
        <w:jc w:val="both"/>
        <w:rPr>
          <w:rFonts w:ascii="Arial" w:eastAsia="Calibri" w:hAnsi="Arial" w:cs="Arial"/>
          <w:sz w:val="22"/>
          <w:szCs w:val="22"/>
          <w:lang w:val="es-ES_tradnl"/>
        </w:rPr>
      </w:pPr>
      <w:r w:rsidRPr="004900D3">
        <w:rPr>
          <w:rFonts w:ascii="Arial" w:eastAsia="Calibri" w:hAnsi="Arial" w:cs="Arial"/>
          <w:sz w:val="22"/>
          <w:szCs w:val="22"/>
          <w:lang w:val="es-ES_tradnl"/>
        </w:rPr>
        <w:t>Ahora bien, el texto del actual artículo 2.2.1.2.4.2.3, modificado por el artículo 5 del Decreto 1860 de 2021, no cambia la tesis adoptada en conceptos anteriores de</w:t>
      </w:r>
      <w:r w:rsidR="002334F7" w:rsidRPr="004900D3">
        <w:rPr>
          <w:rFonts w:ascii="Arial" w:eastAsia="Calibri" w:hAnsi="Arial" w:cs="Arial"/>
          <w:sz w:val="22"/>
          <w:szCs w:val="22"/>
          <w:lang w:val="es-ES_tradnl"/>
        </w:rPr>
        <w:t xml:space="preserve"> la Agencia Nacional de Contratación Pública</w:t>
      </w:r>
      <w:r w:rsidRPr="004900D3">
        <w:rPr>
          <w:rFonts w:ascii="Arial" w:eastAsia="Calibri" w:hAnsi="Arial" w:cs="Arial"/>
          <w:sz w:val="22"/>
          <w:szCs w:val="22"/>
          <w:lang w:val="es-ES_tradnl"/>
        </w:rPr>
        <w:t xml:space="preserve"> </w:t>
      </w:r>
      <w:r w:rsidR="002334F7" w:rsidRPr="004900D3">
        <w:rPr>
          <w:rFonts w:ascii="Arial" w:eastAsia="Calibri" w:hAnsi="Arial" w:cs="Arial"/>
          <w:sz w:val="22"/>
          <w:szCs w:val="22"/>
          <w:lang w:val="es-ES_tradnl"/>
        </w:rPr>
        <w:t xml:space="preserve">- </w:t>
      </w:r>
      <w:r w:rsidRPr="004900D3">
        <w:rPr>
          <w:rFonts w:ascii="Arial" w:eastAsia="Calibri" w:hAnsi="Arial" w:cs="Arial"/>
          <w:sz w:val="22"/>
          <w:szCs w:val="22"/>
          <w:lang w:val="es-ES_tradnl"/>
        </w:rPr>
        <w:t>Colombia Compra Eficiente emitidos antes de la expedición de este reglamento. Lo anterior en la medida en que, respe</w:t>
      </w:r>
      <w:r w:rsidR="00BC2F4D" w:rsidRPr="004900D3">
        <w:rPr>
          <w:rFonts w:ascii="Arial" w:eastAsia="Calibri" w:hAnsi="Arial" w:cs="Arial"/>
          <w:sz w:val="22"/>
          <w:szCs w:val="22"/>
          <w:lang w:val="es-ES_tradnl"/>
        </w:rPr>
        <w:t>cto del domicilio de las Mipyme</w:t>
      </w:r>
      <w:r w:rsidRPr="004900D3">
        <w:rPr>
          <w:rFonts w:ascii="Arial" w:eastAsia="Calibri" w:hAnsi="Arial" w:cs="Arial"/>
          <w:sz w:val="22"/>
          <w:szCs w:val="22"/>
          <w:lang w:val="es-ES_tradnl"/>
        </w:rPr>
        <w:t xml:space="preserve"> en el departamento o municipio donde se ejecuta el contrato, la reglamentación no tuvo cambios. Así se desprende del texto de la nueva norma que es del siguiente tenor:</w:t>
      </w:r>
      <w:r w:rsidRPr="00DD5F33">
        <w:rPr>
          <w:rFonts w:ascii="Arial" w:eastAsia="Calibri" w:hAnsi="Arial" w:cs="Arial"/>
          <w:sz w:val="22"/>
          <w:szCs w:val="22"/>
          <w:lang w:val="es-ES_tradnl"/>
        </w:rPr>
        <w:t xml:space="preserve"> </w:t>
      </w:r>
    </w:p>
    <w:p w14:paraId="22C14D4D" w14:textId="77777777" w:rsidR="00015FE2" w:rsidRPr="00DD5F33" w:rsidRDefault="00015FE2" w:rsidP="00F3144F">
      <w:pPr>
        <w:ind w:right="709"/>
        <w:jc w:val="both"/>
        <w:rPr>
          <w:rFonts w:ascii="Arial" w:hAnsi="Arial" w:cs="Arial"/>
          <w:sz w:val="21"/>
          <w:szCs w:val="21"/>
          <w:lang w:val="es-ES_tradnl"/>
        </w:rPr>
      </w:pPr>
    </w:p>
    <w:p w14:paraId="6CBF4E20" w14:textId="560D2EEF" w:rsidR="00015FE2" w:rsidRPr="00DD5F33" w:rsidRDefault="002334F7" w:rsidP="00F3144F">
      <w:pPr>
        <w:ind w:left="709" w:right="709"/>
        <w:jc w:val="both"/>
        <w:rPr>
          <w:rFonts w:ascii="Arial" w:hAnsi="Arial" w:cs="Arial"/>
          <w:sz w:val="21"/>
          <w:szCs w:val="21"/>
          <w:lang w:val="es-ES_tradnl"/>
        </w:rPr>
      </w:pPr>
      <w:r w:rsidRPr="00D90A60">
        <w:rPr>
          <w:rFonts w:ascii="Arial" w:eastAsia="Arial" w:hAnsi="Arial" w:cs="Arial"/>
          <w:color w:val="000000"/>
          <w:sz w:val="21"/>
          <w:szCs w:val="21"/>
        </w:rPr>
        <w:t>«</w:t>
      </w:r>
      <w:r w:rsidRPr="00DD5F33">
        <w:rPr>
          <w:rFonts w:ascii="Arial" w:hAnsi="Arial" w:cs="Arial"/>
          <w:sz w:val="21"/>
          <w:szCs w:val="21"/>
          <w:lang w:val="es-ES_tradnl"/>
        </w:rPr>
        <w:t>Artículo 5</w:t>
      </w:r>
      <w:r w:rsidR="00015FE2" w:rsidRPr="00DD5F33">
        <w:rPr>
          <w:rFonts w:ascii="Arial" w:hAnsi="Arial" w:cs="Arial"/>
          <w:sz w:val="21"/>
          <w:szCs w:val="21"/>
          <w:lang w:val="es-ES_tradnl"/>
        </w:rPr>
        <w:t>. Modificación de la Subsección 2 de la Sección 4 del Capítulo 2 del Título 1 de la Parte 2 del Libro 2 del Decreto 1082 de 2015. Modifíquense los artículos 2.2.1.2.4.2.2., 2.2.1.2.4.2.3. y 2.2.1.2.4.2.4. de la Subsección 2 de la Sección 4 del Capítulo 2 del Título 1 de la Parte 2 del Libro 2 del Decreto 1082 de 2015, los cuales quedarán así:</w:t>
      </w:r>
    </w:p>
    <w:p w14:paraId="0E3B0BDA" w14:textId="77777777" w:rsidR="00F3144F" w:rsidRDefault="00F3144F" w:rsidP="00F3144F">
      <w:pPr>
        <w:ind w:left="709" w:right="709"/>
        <w:jc w:val="both"/>
        <w:rPr>
          <w:rFonts w:ascii="Arial" w:hAnsi="Arial" w:cs="Arial"/>
          <w:sz w:val="21"/>
          <w:szCs w:val="21"/>
          <w:lang w:val="es-ES_tradnl"/>
        </w:rPr>
      </w:pPr>
    </w:p>
    <w:p w14:paraId="02250296" w14:textId="346B2A1B" w:rsidR="00015FE2" w:rsidRPr="00DD5F33" w:rsidRDefault="00015FE2" w:rsidP="00F3144F">
      <w:pPr>
        <w:ind w:left="709" w:right="709"/>
        <w:jc w:val="both"/>
        <w:rPr>
          <w:rFonts w:ascii="Arial" w:hAnsi="Arial" w:cs="Arial"/>
          <w:sz w:val="21"/>
          <w:szCs w:val="21"/>
          <w:lang w:val="es-ES_tradnl"/>
        </w:rPr>
      </w:pPr>
      <w:r w:rsidRPr="00DD5F33">
        <w:rPr>
          <w:rFonts w:ascii="Arial" w:hAnsi="Arial" w:cs="Arial"/>
          <w:sz w:val="21"/>
          <w:szCs w:val="21"/>
          <w:lang w:val="es-ES_tradnl"/>
        </w:rPr>
        <w:t>[…]</w:t>
      </w:r>
    </w:p>
    <w:p w14:paraId="315AC6C6" w14:textId="77777777" w:rsidR="00F3144F" w:rsidRDefault="00F3144F" w:rsidP="00F3144F">
      <w:pPr>
        <w:ind w:left="709" w:right="709"/>
        <w:jc w:val="both"/>
        <w:rPr>
          <w:rFonts w:ascii="Arial" w:hAnsi="Arial" w:cs="Arial"/>
          <w:sz w:val="21"/>
          <w:szCs w:val="21"/>
          <w:lang w:val="es-ES_tradnl"/>
        </w:rPr>
      </w:pPr>
    </w:p>
    <w:p w14:paraId="60E0E9C4" w14:textId="633D5DCF" w:rsidR="00015FE2" w:rsidRPr="00DD5F33" w:rsidRDefault="002334F7" w:rsidP="00F3144F">
      <w:pPr>
        <w:ind w:left="709" w:right="709"/>
        <w:jc w:val="both"/>
        <w:rPr>
          <w:rFonts w:ascii="Arial" w:eastAsia="Calibri" w:hAnsi="Arial" w:cs="Arial"/>
          <w:sz w:val="22"/>
          <w:szCs w:val="22"/>
          <w:lang w:val="es-ES_tradnl"/>
        </w:rPr>
      </w:pPr>
      <w:r w:rsidRPr="00DD5F33">
        <w:rPr>
          <w:rFonts w:ascii="Arial" w:hAnsi="Arial" w:cs="Arial"/>
          <w:sz w:val="21"/>
          <w:szCs w:val="21"/>
          <w:lang w:val="es-ES_tradnl"/>
        </w:rPr>
        <w:lastRenderedPageBreak/>
        <w:t xml:space="preserve">Artículo </w:t>
      </w:r>
      <w:r w:rsidR="00015FE2" w:rsidRPr="00DD5F33">
        <w:rPr>
          <w:rFonts w:ascii="Arial" w:hAnsi="Arial" w:cs="Arial"/>
          <w:sz w:val="21"/>
          <w:szCs w:val="21"/>
          <w:lang w:val="es-ES_tradnl"/>
        </w:rPr>
        <w:t>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w:t>
      </w:r>
      <w:r w:rsidRPr="00D90A60">
        <w:rPr>
          <w:rFonts w:ascii="Arial" w:eastAsia="Arial" w:hAnsi="Arial" w:cs="Arial"/>
          <w:color w:val="000000"/>
          <w:sz w:val="21"/>
          <w:szCs w:val="21"/>
        </w:rPr>
        <w:t>»</w:t>
      </w:r>
      <w:r w:rsidR="00015FE2" w:rsidRPr="00DD5F33">
        <w:rPr>
          <w:rFonts w:ascii="Arial" w:hAnsi="Arial" w:cs="Arial"/>
          <w:sz w:val="21"/>
          <w:szCs w:val="21"/>
          <w:lang w:val="es-ES_tradnl"/>
        </w:rPr>
        <w:t xml:space="preserve">. </w:t>
      </w:r>
    </w:p>
    <w:p w14:paraId="2F74E3AA" w14:textId="77777777" w:rsidR="00015FE2" w:rsidRPr="00DD5F33" w:rsidRDefault="00015FE2" w:rsidP="00F3144F">
      <w:pPr>
        <w:spacing w:line="276" w:lineRule="auto"/>
        <w:ind w:left="709" w:right="709"/>
        <w:jc w:val="both"/>
        <w:rPr>
          <w:rFonts w:ascii="Arial" w:eastAsia="Calibri" w:hAnsi="Arial" w:cs="Arial"/>
          <w:sz w:val="22"/>
          <w:szCs w:val="22"/>
          <w:lang w:val="es-ES_tradnl"/>
        </w:rPr>
      </w:pPr>
    </w:p>
    <w:p w14:paraId="324ECAF9" w14:textId="7EDB2C4B" w:rsidR="00015FE2" w:rsidRPr="00BC2F4D" w:rsidRDefault="00015FE2" w:rsidP="00F3144F">
      <w:pPr>
        <w:spacing w:after="120" w:line="276" w:lineRule="auto"/>
        <w:ind w:firstLine="709"/>
        <w:jc w:val="both"/>
        <w:rPr>
          <w:rFonts w:ascii="Arial" w:eastAsia="Calibri" w:hAnsi="Arial" w:cs="Arial"/>
          <w:sz w:val="22"/>
          <w:szCs w:val="22"/>
          <w:lang w:val="es-ES_tradnl"/>
        </w:rPr>
      </w:pPr>
      <w:r w:rsidRPr="00BC2F4D">
        <w:rPr>
          <w:rFonts w:ascii="Arial" w:eastAsia="Calibri" w:hAnsi="Arial" w:cs="Arial"/>
          <w:sz w:val="22"/>
          <w:szCs w:val="22"/>
          <w:lang w:val="es-ES_tradnl"/>
        </w:rPr>
        <w:t>La norma reglamentaria coincide con la redacción del parágrafo 1 del artículo 34 de la Ley 2069 de 2020, según el cual, solo es posible limitar convocatorias a la participación de mipymes «[…] del ámbito municipal o departamental correspondiente al de la ejecución del contrato». En tales términos, la norma citada solo contempla la posibilidad de limitar convocatorias a mipymes con domicilio en esos dos</w:t>
      </w:r>
      <w:r w:rsidR="002334F7">
        <w:rPr>
          <w:rFonts w:ascii="Arial" w:eastAsia="Calibri" w:hAnsi="Arial" w:cs="Arial"/>
          <w:sz w:val="22"/>
          <w:szCs w:val="22"/>
          <w:lang w:val="es-ES_tradnl"/>
        </w:rPr>
        <w:t xml:space="preserve"> (2)</w:t>
      </w:r>
      <w:r w:rsidRPr="00BC2F4D">
        <w:rPr>
          <w:rFonts w:ascii="Arial" w:eastAsia="Calibri" w:hAnsi="Arial" w:cs="Arial"/>
          <w:sz w:val="22"/>
          <w:szCs w:val="22"/>
          <w:lang w:val="es-ES_tradnl"/>
        </w:rPr>
        <w:t xml:space="preserve"> tipos de entidades territoriales. </w:t>
      </w:r>
    </w:p>
    <w:p w14:paraId="44132F2E" w14:textId="77777777" w:rsidR="00015FE2" w:rsidRPr="004900D3" w:rsidRDefault="00015FE2" w:rsidP="00F3144F">
      <w:pPr>
        <w:spacing w:after="120" w:line="276" w:lineRule="auto"/>
        <w:ind w:firstLine="709"/>
        <w:jc w:val="both"/>
        <w:rPr>
          <w:rFonts w:ascii="Arial" w:eastAsia="Arial" w:hAnsi="Arial" w:cs="Arial"/>
          <w:color w:val="000000"/>
          <w:sz w:val="22"/>
          <w:szCs w:val="22"/>
          <w:lang w:val="es-ES_tradnl" w:eastAsia="en-US"/>
        </w:rPr>
      </w:pPr>
      <w:r w:rsidRPr="004900D3">
        <w:rPr>
          <w:rFonts w:ascii="Arial" w:eastAsia="Arial" w:hAnsi="Arial" w:cs="Arial"/>
          <w:color w:val="000000"/>
          <w:sz w:val="22"/>
          <w:szCs w:val="22"/>
          <w:lang w:val="es-ES_tradnl" w:eastAsia="en-US"/>
        </w:rPr>
        <w:t xml:space="preserve">En ese sentido, toda empresa constituida bajo las leyes colombianas o que tenga su domicilio principal en el territorio colombiano y, además, cumpla los criterios previstos por la Ley 590 de 2000 y el Decreto 957 de 2019, será considerada Mipyme nacional. Además, las normas de contratación permiten que las Mipyme nacionales puedan beneficiarse de la ejecución de un contrato dentro de la entidad territorial en la que tienen su «domicilio». </w:t>
      </w:r>
    </w:p>
    <w:p w14:paraId="2F05E209" w14:textId="77777777" w:rsidR="00015FE2" w:rsidRPr="00DD5F33" w:rsidRDefault="00015FE2" w:rsidP="00F3144F">
      <w:pPr>
        <w:spacing w:after="120" w:line="276" w:lineRule="auto"/>
        <w:ind w:firstLine="709"/>
        <w:jc w:val="both"/>
        <w:rPr>
          <w:rFonts w:ascii="Arial" w:eastAsia="Arial" w:hAnsi="Arial" w:cs="Arial"/>
          <w:color w:val="000000"/>
          <w:sz w:val="22"/>
          <w:szCs w:val="22"/>
          <w:lang w:val="es-ES_tradnl" w:eastAsia="en-US"/>
        </w:rPr>
      </w:pPr>
      <w:r w:rsidRPr="004900D3">
        <w:rPr>
          <w:rFonts w:ascii="Arial" w:eastAsia="Arial" w:hAnsi="Arial" w:cs="Arial"/>
          <w:color w:val="000000"/>
          <w:sz w:val="22"/>
          <w:szCs w:val="22"/>
          <w:lang w:val="es-ES_tradnl" w:eastAsia="en-US"/>
        </w:rPr>
        <w:t>Ahora bien, el artículo 2.2.1.2.4.2.3. del Decreto 1082 de 2015, modificado por el artículo 5 del Decreto 1860 de 2021, se refiere a las «mipyme colombianas que tengan domicilio en los departamentos o municipios en donde se va a ejecutar el contrato». Esta precisión es importante, pues el incentivo previsto en la norma únicamente aplica en el lugar de ejecución del contratado en el que la Mipyme tiene su «domicilio», y no en donde tiene sucursales.</w:t>
      </w:r>
      <w:r w:rsidRPr="00DD5F33">
        <w:rPr>
          <w:rFonts w:ascii="Arial" w:eastAsia="Arial" w:hAnsi="Arial" w:cs="Arial"/>
          <w:color w:val="000000"/>
          <w:sz w:val="22"/>
          <w:szCs w:val="22"/>
          <w:lang w:val="es-ES_tradnl" w:eastAsia="en-US"/>
        </w:rPr>
        <w:t xml:space="preserve"> </w:t>
      </w:r>
    </w:p>
    <w:p w14:paraId="0FBD4372" w14:textId="77777777" w:rsidR="00015FE2" w:rsidRPr="00DD5F33" w:rsidRDefault="00015FE2" w:rsidP="00F3144F">
      <w:pPr>
        <w:spacing w:after="120" w:line="276" w:lineRule="auto"/>
        <w:ind w:firstLine="709"/>
        <w:jc w:val="both"/>
        <w:rPr>
          <w:rFonts w:ascii="Arial" w:eastAsia="Arial" w:hAnsi="Arial" w:cs="Arial"/>
          <w:color w:val="000000"/>
          <w:sz w:val="22"/>
          <w:szCs w:val="22"/>
          <w:lang w:val="es-ES_tradnl" w:eastAsia="en-US"/>
        </w:rPr>
      </w:pPr>
      <w:r w:rsidRPr="00DD5F33">
        <w:rPr>
          <w:rFonts w:ascii="Arial" w:eastAsia="Arial" w:hAnsi="Arial" w:cs="Arial"/>
          <w:color w:val="000000"/>
          <w:sz w:val="22"/>
          <w:szCs w:val="22"/>
          <w:lang w:val="es-ES_tradnl" w:eastAsia="en-US"/>
        </w:rPr>
        <w:t xml:space="preserve">El artículo 263 del Código de Comercio define las sucursales como «los establecimientos de comercio abiertos por una sociedad, dentro o fuera de su domicilio, para el desarrollo de los negocios sociales o parte de ellos, administrados por mandatarios con facultades para representar la sociedad». Nótese que la norma se refiere a los conceptos de «sucursal» y «domicilio» de forma diferente, de lo que se deriva que las sociedades comerciales tienen un domicilio y pueden tener una o varias sucursales que son establecimientos de comercio, esto es, bienes mercantiles pertenecientes a la sociedad. En ese mismo sentido, los artículos 110 y 111 </w:t>
      </w:r>
      <w:r w:rsidRPr="00DD5F33">
        <w:rPr>
          <w:rFonts w:ascii="Arial" w:eastAsia="Arial" w:hAnsi="Arial" w:cs="Arial"/>
          <w:i/>
          <w:color w:val="000000"/>
          <w:sz w:val="22"/>
          <w:szCs w:val="22"/>
          <w:lang w:val="es-ES_tradnl" w:eastAsia="en-US"/>
        </w:rPr>
        <w:t>ibídem</w:t>
      </w:r>
      <w:r w:rsidRPr="00DD5F33">
        <w:rPr>
          <w:rFonts w:ascii="Arial" w:eastAsia="Arial" w:hAnsi="Arial" w:cs="Arial"/>
          <w:color w:val="000000"/>
          <w:sz w:val="22"/>
          <w:szCs w:val="22"/>
          <w:lang w:val="es-ES_tradnl" w:eastAsia="en-US"/>
        </w:rPr>
        <w:t xml:space="preserve"> se refieren a tales conceptos de forma independiente. El uno para referirse a los requisitos de constitución de una sociedad comercial y el otro para determinar el lugar donde se debe inscribir la escritura pública de constitución de la sociedad comercial. En ese sentido, si el legislador distinguió entre uno y otro y si el reglamento se refiere al «domicilio», se entiende que no es procedente extender el beneficio contenido en el artículo 2.2.1.2.4.2.3. </w:t>
      </w:r>
      <w:r w:rsidRPr="00DD5F33">
        <w:rPr>
          <w:rFonts w:ascii="Arial" w:eastAsia="Arial" w:hAnsi="Arial" w:cs="Arial"/>
          <w:i/>
          <w:color w:val="000000"/>
          <w:sz w:val="22"/>
          <w:szCs w:val="22"/>
          <w:lang w:val="es-ES_tradnl" w:eastAsia="en-US"/>
        </w:rPr>
        <w:t xml:space="preserve">ibídem </w:t>
      </w:r>
      <w:r w:rsidRPr="00DD5F33">
        <w:rPr>
          <w:rFonts w:ascii="Arial" w:eastAsia="Arial" w:hAnsi="Arial" w:cs="Arial"/>
          <w:color w:val="000000"/>
          <w:sz w:val="22"/>
          <w:szCs w:val="22"/>
          <w:lang w:val="es-ES_tradnl" w:eastAsia="en-US"/>
        </w:rPr>
        <w:t xml:space="preserve">a las </w:t>
      </w:r>
      <w:r w:rsidRPr="00DD5F33">
        <w:rPr>
          <w:rFonts w:ascii="Arial" w:eastAsia="Arial" w:hAnsi="Arial" w:cs="Arial"/>
          <w:color w:val="000000"/>
          <w:sz w:val="22"/>
          <w:szCs w:val="22"/>
          <w:lang w:val="es-ES_tradnl" w:eastAsia="en-US"/>
        </w:rPr>
        <w:lastRenderedPageBreak/>
        <w:t>entidades que tienen «sucursales» en el municipio o departamento en donde se va a ejecutar el contrato estatal.</w:t>
      </w:r>
    </w:p>
    <w:p w14:paraId="6AD12D86" w14:textId="03325862" w:rsidR="00015FE2" w:rsidRDefault="00015FE2" w:rsidP="00F3144F">
      <w:pPr>
        <w:spacing w:after="120" w:line="276" w:lineRule="auto"/>
        <w:ind w:firstLine="709"/>
        <w:jc w:val="both"/>
        <w:rPr>
          <w:rFonts w:ascii="Arial" w:eastAsia="Arial" w:hAnsi="Arial" w:cs="Arial"/>
          <w:color w:val="000000"/>
          <w:sz w:val="22"/>
          <w:szCs w:val="22"/>
          <w:lang w:val="es-ES_tradnl" w:eastAsia="en-US"/>
        </w:rPr>
      </w:pPr>
      <w:r w:rsidRPr="004900D3">
        <w:rPr>
          <w:rFonts w:ascii="Arial" w:eastAsia="Arial" w:hAnsi="Arial" w:cs="Arial"/>
          <w:color w:val="000000"/>
          <w:sz w:val="22"/>
          <w:szCs w:val="22"/>
          <w:lang w:val="es-ES_tradnl" w:eastAsia="en-US"/>
        </w:rPr>
        <w:t>Sin perjuicio de lo anterior, no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w:t>
      </w:r>
      <w:r w:rsidRPr="004900D3">
        <w:rPr>
          <w:rStyle w:val="Refdenotaalpie"/>
          <w:rFonts w:ascii="Arial" w:eastAsia="Arial" w:hAnsi="Arial" w:cs="Arial"/>
          <w:color w:val="000000"/>
          <w:sz w:val="22"/>
          <w:szCs w:val="22"/>
          <w:lang w:val="es-ES_tradnl" w:eastAsia="en-US"/>
        </w:rPr>
        <w:footnoteReference w:id="16"/>
      </w:r>
      <w:r w:rsidRPr="004900D3">
        <w:rPr>
          <w:rFonts w:ascii="Arial" w:eastAsia="Arial" w:hAnsi="Arial" w:cs="Arial"/>
          <w:color w:val="000000"/>
          <w:sz w:val="22"/>
          <w:szCs w:val="22"/>
          <w:lang w:val="es-ES_tradnl" w:eastAsia="en-US"/>
        </w:rPr>
        <w:t xml:space="preserve">. En ese sentido, si la entidad no recibió las solicitudes para limitar la convocatoria a Mipyme, no puede </w:t>
      </w:r>
      <w:r w:rsidRPr="004900D3">
        <w:rPr>
          <w:rFonts w:ascii="Arial" w:eastAsia="Arial" w:hAnsi="Arial" w:cs="Arial"/>
          <w:i/>
          <w:color w:val="000000"/>
          <w:sz w:val="22"/>
          <w:szCs w:val="22"/>
          <w:lang w:val="es-ES_tradnl" w:eastAsia="en-US"/>
        </w:rPr>
        <w:t xml:space="preserve">motu proprio </w:t>
      </w:r>
      <w:r w:rsidRPr="004900D3">
        <w:rPr>
          <w:rFonts w:ascii="Arial" w:eastAsia="Arial" w:hAnsi="Arial" w:cs="Arial"/>
          <w:color w:val="000000"/>
          <w:sz w:val="22"/>
          <w:szCs w:val="22"/>
          <w:lang w:val="es-ES_tradnl" w:eastAsia="en-U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75CC67F6" w14:textId="585C3600" w:rsidR="00015FE2" w:rsidRPr="006F0FDD" w:rsidRDefault="00015FE2" w:rsidP="00F3144F">
      <w:pPr>
        <w:spacing w:after="120" w:line="276" w:lineRule="auto"/>
        <w:ind w:firstLine="708"/>
        <w:jc w:val="both"/>
        <w:rPr>
          <w:rFonts w:ascii="Arial" w:hAnsi="Arial" w:cs="Arial"/>
          <w:color w:val="000000" w:themeColor="text1"/>
          <w:sz w:val="22"/>
        </w:rPr>
      </w:pPr>
      <w:r w:rsidRPr="006F0FDD">
        <w:rPr>
          <w:rFonts w:ascii="Arial" w:hAnsi="Arial" w:cs="Arial"/>
          <w:color w:val="000000" w:themeColor="text1"/>
          <w:sz w:val="22"/>
        </w:rPr>
        <w:t xml:space="preserve">Cumplidos los dos </w:t>
      </w:r>
      <w:r w:rsidR="002334F7">
        <w:rPr>
          <w:rFonts w:ascii="Arial" w:hAnsi="Arial" w:cs="Arial"/>
          <w:color w:val="000000" w:themeColor="text1"/>
          <w:sz w:val="22"/>
        </w:rPr>
        <w:t xml:space="preserve">(2) </w:t>
      </w:r>
      <w:r w:rsidRPr="006F0FDD">
        <w:rPr>
          <w:rFonts w:ascii="Arial" w:hAnsi="Arial" w:cs="Arial"/>
          <w:color w:val="000000" w:themeColor="text1"/>
          <w:sz w:val="22"/>
        </w:rPr>
        <w:t xml:space="preserve">requisitos del artículo 2.2.1.2.4.2.2. </w:t>
      </w:r>
      <w:r w:rsidRPr="006F0FDD">
        <w:rPr>
          <w:rFonts w:ascii="Arial" w:hAnsi="Arial" w:cs="Arial"/>
          <w:i/>
          <w:iCs/>
          <w:color w:val="000000" w:themeColor="text1"/>
          <w:sz w:val="22"/>
        </w:rPr>
        <w:t>ibídem</w:t>
      </w:r>
      <w:r w:rsidRPr="006F0FDD">
        <w:rPr>
          <w:rFonts w:ascii="Arial" w:hAnsi="Arial" w:cs="Arial"/>
          <w:color w:val="000000" w:themeColor="text1"/>
          <w:sz w:val="22"/>
        </w:rPr>
        <w:t xml:space="preserve">, la entidad estatal, independientemente de su régimen de contratación, los patrimonios autónomos constituidos por entidades estatales y los particulares que ejecuten recursos públicos, </w:t>
      </w:r>
      <w:r w:rsidRPr="004900D3">
        <w:rPr>
          <w:rFonts w:ascii="Arial" w:hAnsi="Arial" w:cs="Arial"/>
          <w:i/>
          <w:iCs/>
          <w:color w:val="000000" w:themeColor="text1"/>
          <w:sz w:val="22"/>
        </w:rPr>
        <w:t>pueden</w:t>
      </w:r>
      <w:r w:rsidRPr="006F0FDD">
        <w:rPr>
          <w:rFonts w:ascii="Arial" w:hAnsi="Arial" w:cs="Arial"/>
          <w:color w:val="000000" w:themeColor="text1"/>
          <w:sz w:val="22"/>
        </w:rPr>
        <w:t xml:space="preserve"> ─no tienen que─ decidir si limitan la convocatoria a las Mipyme colombianas domiciliadas en el municipio o departamento en el que se ejecutará el contrato</w:t>
      </w:r>
      <w:r w:rsidRPr="006F0FDD">
        <w:rPr>
          <w:rFonts w:ascii="Arial" w:hAnsi="Arial" w:cs="Arial"/>
          <w:color w:val="000000" w:themeColor="text1"/>
          <w:sz w:val="22"/>
          <w:vertAlign w:val="superscript"/>
        </w:rPr>
        <w:footnoteReference w:id="17"/>
      </w:r>
      <w:r w:rsidRPr="006F0FDD">
        <w:rPr>
          <w:rFonts w:ascii="Arial" w:hAnsi="Arial" w:cs="Arial"/>
          <w:color w:val="000000" w:themeColor="text1"/>
          <w:sz w:val="22"/>
        </w:rPr>
        <w:t xml:space="preserve">. Esto de acuerdo con lo establecido en artículo 2.2.1.2.4.2.3. del Decreto 1082 de 2015 </w:t>
      </w:r>
      <w:r w:rsidRPr="006F0FDD">
        <w:rPr>
          <w:rFonts w:ascii="Arial" w:eastAsia="Arial" w:hAnsi="Arial" w:cs="Arial"/>
          <w:color w:val="000000"/>
          <w:sz w:val="22"/>
          <w:szCs w:val="22"/>
          <w:lang w:val="es-ES_tradnl" w:eastAsia="en-US"/>
        </w:rPr>
        <w:t xml:space="preserve">modificado </w:t>
      </w:r>
      <w:r w:rsidRPr="006F0FDD">
        <w:rPr>
          <w:rFonts w:ascii="Arial" w:eastAsia="Arial" w:hAnsi="Arial" w:cs="Arial"/>
          <w:color w:val="000000"/>
          <w:sz w:val="22"/>
          <w:szCs w:val="22"/>
          <w:lang w:val="es-ES_tradnl" w:eastAsia="en-US"/>
        </w:rPr>
        <w:lastRenderedPageBreak/>
        <w:t>por el Decreto 1860 de 2021</w:t>
      </w:r>
      <w:r w:rsidRPr="006F0FDD">
        <w:rPr>
          <w:rFonts w:ascii="Arial" w:hAnsi="Arial" w:cs="Arial"/>
          <w:color w:val="000000" w:themeColor="text1"/>
          <w:sz w:val="22"/>
        </w:rPr>
        <w:t xml:space="preserve">, norma que se refiere a la facultad de la administración con el verbo infinitivo «poder», no «deber». </w:t>
      </w:r>
    </w:p>
    <w:p w14:paraId="3DBD32FE" w14:textId="52CE59FE" w:rsidR="00015FE2" w:rsidRPr="006F0FDD" w:rsidRDefault="00015FE2" w:rsidP="00F3144F">
      <w:pPr>
        <w:spacing w:after="120" w:line="276" w:lineRule="auto"/>
        <w:ind w:firstLine="709"/>
        <w:jc w:val="both"/>
        <w:rPr>
          <w:rFonts w:ascii="Arial" w:eastAsia="Calibri" w:hAnsi="Arial" w:cs="Arial"/>
          <w:color w:val="000000" w:themeColor="text1"/>
          <w:sz w:val="22"/>
        </w:rPr>
      </w:pPr>
      <w:r w:rsidRPr="004900D3">
        <w:rPr>
          <w:rFonts w:ascii="Arial" w:eastAsia="Calibri" w:hAnsi="Arial" w:cs="Arial"/>
          <w:color w:val="000000" w:themeColor="text1"/>
          <w:sz w:val="22"/>
        </w:rPr>
        <w:t>Colombia Compra Eficiente ha sostenido que la decisión de limitar territorialmente un</w:t>
      </w:r>
      <w:r w:rsidRPr="004900D3">
        <w:rPr>
          <w:rFonts w:ascii="Arial" w:hAnsi="Arial" w:cs="Arial"/>
          <w:color w:val="000000" w:themeColor="text1"/>
          <w:sz w:val="22"/>
        </w:rPr>
        <w:t>a convocatoria a Mipyme</w:t>
      </w:r>
      <w:r w:rsidR="006C0DA9" w:rsidRPr="004900D3">
        <w:rPr>
          <w:rFonts w:ascii="Arial" w:hAnsi="Arial" w:cs="Arial"/>
          <w:color w:val="000000" w:themeColor="text1"/>
          <w:sz w:val="22"/>
        </w:rPr>
        <w:t xml:space="preserve"> </w:t>
      </w:r>
      <w:r w:rsidR="006C0DA9" w:rsidRPr="004900D3">
        <w:rPr>
          <w:rFonts w:ascii="Arial" w:eastAsia="Calibri" w:hAnsi="Arial" w:cs="Arial"/>
          <w:color w:val="000000" w:themeColor="text1"/>
          <w:sz w:val="22"/>
        </w:rPr>
        <w:t>es discrecional</w:t>
      </w:r>
      <w:r w:rsidRPr="006F0FDD">
        <w:rPr>
          <w:rFonts w:ascii="Arial" w:eastAsia="Calibri" w:hAnsi="Arial" w:cs="Arial"/>
          <w:color w:val="000000" w:themeColor="text1"/>
          <w:sz w:val="22"/>
        </w:rPr>
        <w:t xml:space="preserve"> y ha precisado que, de todos modos, la decisión debe estar justificada en los correspondientes «estudios del sector». Así lo consideró en </w:t>
      </w:r>
      <w:r w:rsidRPr="00BC2F4D">
        <w:rPr>
          <w:rFonts w:ascii="Arial" w:eastAsia="Calibri" w:hAnsi="Arial" w:cs="Arial"/>
          <w:color w:val="000000" w:themeColor="text1"/>
          <w:sz w:val="22"/>
        </w:rPr>
        <w:t xml:space="preserve">la consulta No. 216130003241, resuelta el 30 de junio de 2016. Igualmente, en la consulta resuelta en el radicado No. 2201813000008184 del 7 de septiembre de 2018, se dijo que, de acuerdo con el </w:t>
      </w:r>
      <w:r w:rsidRPr="00BC2F4D">
        <w:rPr>
          <w:rFonts w:ascii="Arial" w:hAnsi="Arial" w:cs="Arial"/>
          <w:color w:val="000000" w:themeColor="text1"/>
          <w:sz w:val="22"/>
        </w:rPr>
        <w:t>artículo 2.2.1.2.4.2.3. del Decreto 1082 de 2015, las Mipyme</w:t>
      </w:r>
      <w:r w:rsidRPr="00BC2F4D">
        <w:rPr>
          <w:rFonts w:ascii="Arial" w:eastAsia="Calibri" w:hAnsi="Arial" w:cs="Arial"/>
          <w:color w:val="000000" w:themeColor="text1"/>
          <w:sz w:val="22"/>
        </w:rPr>
        <w:t xml:space="preserve"> beneficiadas deben tener su domicilio principal en el municipio</w:t>
      </w:r>
      <w:r w:rsidRPr="006F0FDD">
        <w:rPr>
          <w:rFonts w:ascii="Arial" w:eastAsia="Calibri" w:hAnsi="Arial" w:cs="Arial"/>
          <w:color w:val="000000" w:themeColor="text1"/>
          <w:sz w:val="22"/>
        </w:rPr>
        <w:t xml:space="preserve"> o departamento donde se ejecutará el contrato para poder participar en una convocatoria limitada territorialmente</w:t>
      </w:r>
      <w:r w:rsidR="00C45CDB">
        <w:rPr>
          <w:rFonts w:ascii="Arial" w:eastAsia="Calibri" w:hAnsi="Arial" w:cs="Arial"/>
          <w:color w:val="000000" w:themeColor="text1"/>
          <w:sz w:val="22"/>
        </w:rPr>
        <w:t>.</w:t>
      </w:r>
      <w:r w:rsidRPr="006F0FDD">
        <w:rPr>
          <w:rStyle w:val="Refdenotaalpie"/>
          <w:rFonts w:ascii="Arial" w:hAnsi="Arial" w:cs="Arial"/>
          <w:color w:val="000000" w:themeColor="text1"/>
          <w:sz w:val="22"/>
        </w:rPr>
        <w:footnoteReference w:id="18"/>
      </w:r>
      <w:r w:rsidR="00C00C0C">
        <w:rPr>
          <w:rFonts w:ascii="Arial" w:hAnsi="Arial" w:cs="Arial"/>
          <w:color w:val="000000" w:themeColor="text1"/>
          <w:sz w:val="22"/>
        </w:rPr>
        <w:t xml:space="preserve"> </w:t>
      </w:r>
      <w:r w:rsidR="00C45CDB">
        <w:rPr>
          <w:rFonts w:ascii="Arial" w:hAnsi="Arial" w:cs="Arial"/>
          <w:color w:val="000000" w:themeColor="text1"/>
          <w:sz w:val="22"/>
        </w:rPr>
        <w:t>Esta tesis</w:t>
      </w:r>
      <w:r w:rsidR="00C00C0C">
        <w:rPr>
          <w:rFonts w:ascii="Arial" w:hAnsi="Arial" w:cs="Arial"/>
          <w:color w:val="000000" w:themeColor="text1"/>
          <w:sz w:val="22"/>
        </w:rPr>
        <w:t xml:space="preserve"> sigue vigente, puesto que el nuevo contenido del </w:t>
      </w:r>
      <w:r w:rsidR="00073EA0">
        <w:rPr>
          <w:rFonts w:ascii="Arial" w:hAnsi="Arial" w:cs="Arial"/>
          <w:color w:val="000000" w:themeColor="text1"/>
          <w:sz w:val="22"/>
        </w:rPr>
        <w:t xml:space="preserve">artículo </w:t>
      </w:r>
      <w:r w:rsidR="00073EA0" w:rsidRPr="00BC2F4D">
        <w:rPr>
          <w:rFonts w:ascii="Arial" w:hAnsi="Arial" w:cs="Arial"/>
          <w:color w:val="000000" w:themeColor="text1"/>
          <w:sz w:val="22"/>
        </w:rPr>
        <w:t>2.2.1.2.4.2.3. del Decreto 1082 de 2015</w:t>
      </w:r>
      <w:r w:rsidR="00073EA0">
        <w:rPr>
          <w:rFonts w:ascii="Arial" w:hAnsi="Arial" w:cs="Arial"/>
          <w:color w:val="000000" w:themeColor="text1"/>
          <w:sz w:val="22"/>
        </w:rPr>
        <w:t xml:space="preserve">, modificado por </w:t>
      </w:r>
      <w:r w:rsidR="00073EA0" w:rsidRPr="00073EA0">
        <w:rPr>
          <w:rFonts w:ascii="Arial" w:hAnsi="Arial" w:cs="Arial"/>
          <w:color w:val="000000" w:themeColor="text1"/>
          <w:sz w:val="22"/>
        </w:rPr>
        <w:t xml:space="preserve">el </w:t>
      </w:r>
      <w:r w:rsidR="00C00C0C" w:rsidRPr="00073EA0">
        <w:rPr>
          <w:rFonts w:ascii="Arial" w:hAnsi="Arial" w:cs="Arial"/>
          <w:color w:val="000000" w:themeColor="text1"/>
          <w:sz w:val="22"/>
        </w:rPr>
        <w:t>artículo 5 del Decreto 1860</w:t>
      </w:r>
      <w:r w:rsidR="00C00C0C">
        <w:rPr>
          <w:rFonts w:ascii="Arial" w:hAnsi="Arial" w:cs="Arial"/>
          <w:color w:val="000000" w:themeColor="text1"/>
          <w:sz w:val="22"/>
        </w:rPr>
        <w:t xml:space="preserve"> de 2021</w:t>
      </w:r>
      <w:r w:rsidR="00073EA0">
        <w:rPr>
          <w:rFonts w:ascii="Arial" w:hAnsi="Arial" w:cs="Arial"/>
          <w:color w:val="000000" w:themeColor="text1"/>
          <w:sz w:val="22"/>
        </w:rPr>
        <w:t xml:space="preserve">, mantiene la facultad de la Administración para limitar territorialmente la convocatoria teniendo en cuenta </w:t>
      </w:r>
      <w:r w:rsidR="00C45CDB">
        <w:rPr>
          <w:rFonts w:ascii="Arial" w:hAnsi="Arial" w:cs="Arial"/>
          <w:color w:val="000000" w:themeColor="text1"/>
          <w:sz w:val="22"/>
        </w:rPr>
        <w:t>el domicilio de ejecución de</w:t>
      </w:r>
      <w:r w:rsidR="00073EA0">
        <w:rPr>
          <w:rFonts w:ascii="Arial" w:hAnsi="Arial" w:cs="Arial"/>
          <w:color w:val="000000" w:themeColor="text1"/>
          <w:sz w:val="22"/>
        </w:rPr>
        <w:t>l contrato.</w:t>
      </w:r>
    </w:p>
    <w:p w14:paraId="1F4BCD2E" w14:textId="619D1AFE" w:rsidR="00776F81" w:rsidRPr="004900D3" w:rsidRDefault="00C45CDB" w:rsidP="00F3144F">
      <w:pPr>
        <w:spacing w:after="120" w:line="276" w:lineRule="auto"/>
        <w:ind w:firstLine="709"/>
        <w:jc w:val="both"/>
        <w:rPr>
          <w:rFonts w:ascii="Arial" w:eastAsia="Calibri" w:hAnsi="Arial" w:cs="Arial"/>
          <w:color w:val="000000" w:themeColor="text1"/>
          <w:sz w:val="22"/>
        </w:rPr>
      </w:pPr>
      <w:r w:rsidRPr="004900D3">
        <w:rPr>
          <w:rFonts w:ascii="Arial" w:hAnsi="Arial" w:cs="Arial"/>
          <w:color w:val="000000" w:themeColor="text1"/>
          <w:sz w:val="22"/>
        </w:rPr>
        <w:t>En tal sentido, s</w:t>
      </w:r>
      <w:r w:rsidR="00015FE2" w:rsidRPr="004900D3">
        <w:rPr>
          <w:rFonts w:ascii="Arial" w:eastAsia="Calibri" w:hAnsi="Arial" w:cs="Arial"/>
          <w:color w:val="000000" w:themeColor="text1"/>
          <w:sz w:val="22"/>
        </w:rPr>
        <w:t>e debe tener presente que lo que sucede de pleno derecho es la</w:t>
      </w:r>
      <w:r w:rsidR="00015FE2" w:rsidRPr="004900D3">
        <w:rPr>
          <w:rFonts w:ascii="Arial" w:hAnsi="Arial" w:cs="Arial"/>
          <w:color w:val="000000" w:themeColor="text1"/>
          <w:sz w:val="22"/>
        </w:rPr>
        <w:t xml:space="preserve"> limitación a Mipyme colombianas</w:t>
      </w:r>
      <w:r w:rsidR="00015FE2" w:rsidRPr="004900D3">
        <w:rPr>
          <w:rFonts w:ascii="Arial" w:eastAsia="Calibri" w:hAnsi="Arial" w:cs="Arial"/>
          <w:color w:val="000000" w:themeColor="text1"/>
          <w:sz w:val="22"/>
        </w:rPr>
        <w:t xml:space="preserve"> a la que se refiere el artículo 2.2.1.2.4.2.2. del Decreto 1082 de 2015, pero no la «limitación territorial» referida en el artículo 2.2.1.2.4.2.3. </w:t>
      </w:r>
      <w:r w:rsidR="00015FE2" w:rsidRPr="004900D3">
        <w:rPr>
          <w:rFonts w:ascii="Arial" w:eastAsia="Calibri" w:hAnsi="Arial" w:cs="Arial"/>
          <w:i/>
          <w:iCs/>
          <w:color w:val="000000" w:themeColor="text1"/>
          <w:sz w:val="22"/>
        </w:rPr>
        <w:t>ibídem</w:t>
      </w:r>
      <w:r w:rsidR="00015FE2" w:rsidRPr="004900D3">
        <w:rPr>
          <w:rFonts w:ascii="Arial" w:eastAsia="Calibri" w:hAnsi="Arial" w:cs="Arial"/>
          <w:color w:val="000000" w:themeColor="text1"/>
          <w:sz w:val="22"/>
        </w:rPr>
        <w:t>, pues esta, como ya se dijo, es facultativa para la entidad. Las únicas exigencias son que la convocatoria esté l</w:t>
      </w:r>
      <w:r w:rsidR="00015FE2" w:rsidRPr="004900D3">
        <w:rPr>
          <w:rFonts w:ascii="Arial" w:hAnsi="Arial" w:cs="Arial"/>
          <w:color w:val="000000" w:themeColor="text1"/>
          <w:sz w:val="22"/>
        </w:rPr>
        <w:t>imitada a las Mipyme colombianas</w:t>
      </w:r>
      <w:r w:rsidR="00015FE2" w:rsidRPr="004900D3">
        <w:rPr>
          <w:rFonts w:ascii="Arial" w:eastAsia="Calibri" w:hAnsi="Arial" w:cs="Arial"/>
          <w:color w:val="000000" w:themeColor="text1"/>
          <w:sz w:val="22"/>
        </w:rPr>
        <w:t xml:space="preserve"> «domiciliadas en los departamentos o municipios en donde se va a ejecutar el contrato» y que la entidad justifique su decisión en los «estudi</w:t>
      </w:r>
      <w:r w:rsidR="009767A1" w:rsidRPr="004900D3">
        <w:rPr>
          <w:rFonts w:ascii="Arial" w:eastAsia="Calibri" w:hAnsi="Arial" w:cs="Arial"/>
          <w:color w:val="000000" w:themeColor="text1"/>
          <w:sz w:val="22"/>
        </w:rPr>
        <w:t xml:space="preserve">os del sector». </w:t>
      </w:r>
      <w:r w:rsidR="00A66960" w:rsidRPr="004900D3">
        <w:rPr>
          <w:rFonts w:ascii="Arial" w:eastAsia="Calibri" w:hAnsi="Arial" w:cs="Arial"/>
          <w:color w:val="000000" w:themeColor="text1"/>
          <w:sz w:val="22"/>
        </w:rPr>
        <w:t>No es procedente, entonces, que sean las Mipymes las que soliciten la «limitación territorial» a la que se refiere el artículo 2.2.1.2.4.2.3. del Decreto 1082 de 2015.</w:t>
      </w:r>
      <w:r w:rsidR="00BC2F4D" w:rsidRPr="004900D3">
        <w:rPr>
          <w:rFonts w:ascii="Arial" w:eastAsia="Calibri" w:hAnsi="Arial" w:cs="Arial"/>
          <w:color w:val="000000" w:themeColor="text1"/>
          <w:sz w:val="22"/>
        </w:rPr>
        <w:t xml:space="preserve"> </w:t>
      </w:r>
    </w:p>
    <w:p w14:paraId="7B92FA5B" w14:textId="1C0FA579" w:rsidR="0007285A" w:rsidRPr="00803D6A" w:rsidRDefault="0007285A" w:rsidP="00F3144F">
      <w:pPr>
        <w:spacing w:after="120" w:line="276" w:lineRule="auto"/>
        <w:ind w:firstLine="709"/>
        <w:jc w:val="both"/>
        <w:rPr>
          <w:rFonts w:ascii="Arial" w:eastAsia="Calibri" w:hAnsi="Arial" w:cs="Arial"/>
          <w:color w:val="000000" w:themeColor="text1"/>
          <w:sz w:val="22"/>
        </w:rPr>
      </w:pPr>
      <w:r w:rsidRPr="004900D3">
        <w:rPr>
          <w:rFonts w:ascii="Arial" w:eastAsia="Calibri" w:hAnsi="Arial" w:cs="Arial"/>
          <w:color w:val="000000" w:themeColor="text1"/>
          <w:sz w:val="22"/>
        </w:rPr>
        <w:t>En tal sentido, se debe reite</w:t>
      </w:r>
      <w:r w:rsidRPr="004900D3">
        <w:rPr>
          <w:rFonts w:ascii="Arial" w:hAnsi="Arial" w:cs="Arial"/>
          <w:color w:val="000000" w:themeColor="text1"/>
          <w:sz w:val="22"/>
        </w:rPr>
        <w:t>rar que el origen de las Mipyme</w:t>
      </w:r>
      <w:r w:rsidRPr="004900D3">
        <w:rPr>
          <w:rFonts w:ascii="Arial" w:eastAsia="Calibri" w:hAnsi="Arial" w:cs="Arial"/>
          <w:color w:val="000000" w:themeColor="text1"/>
          <w:sz w:val="22"/>
        </w:rPr>
        <w:t xml:space="preserve"> que solicitan la «limitación territorial» no es relevante frente a dicha decisión, por dos razo</w:t>
      </w:r>
      <w:r w:rsidRPr="004900D3">
        <w:rPr>
          <w:rFonts w:ascii="Arial" w:hAnsi="Arial" w:cs="Arial"/>
          <w:color w:val="000000" w:themeColor="text1"/>
          <w:sz w:val="22"/>
        </w:rPr>
        <w:t>nes: primero, porque las Mipyme</w:t>
      </w:r>
      <w:r w:rsidRPr="004900D3">
        <w:rPr>
          <w:rFonts w:ascii="Arial" w:eastAsia="Calibri" w:hAnsi="Arial" w:cs="Arial"/>
          <w:color w:val="000000" w:themeColor="text1"/>
          <w:sz w:val="22"/>
        </w:rPr>
        <w:t xml:space="preserve"> no están habilitadas para pedir la «limitación territorial», lo están para pedir la «convocatoria limitada a Mipymes», y, segundo, porque el único criterio a tener en cuenta, una vez se ha decidido justificadamente limitar territorialmente la convocatori</w:t>
      </w:r>
      <w:r w:rsidRPr="004900D3">
        <w:rPr>
          <w:rFonts w:ascii="Arial" w:hAnsi="Arial" w:cs="Arial"/>
          <w:color w:val="000000" w:themeColor="text1"/>
          <w:sz w:val="22"/>
        </w:rPr>
        <w:t>a previamente limitada a Mipyme</w:t>
      </w:r>
      <w:r w:rsidRPr="004900D3">
        <w:rPr>
          <w:rFonts w:ascii="Arial" w:eastAsia="Calibri" w:hAnsi="Arial" w:cs="Arial"/>
          <w:color w:val="000000" w:themeColor="text1"/>
          <w:sz w:val="22"/>
        </w:rPr>
        <w:t>, es el lugar donde se va a ejecutar el contrato.</w:t>
      </w:r>
    </w:p>
    <w:p w14:paraId="6B728649" w14:textId="476707B7" w:rsidR="008F60A0" w:rsidRDefault="00015FE2" w:rsidP="00F3144F">
      <w:pPr>
        <w:spacing w:line="276" w:lineRule="auto"/>
        <w:ind w:firstLine="709"/>
        <w:jc w:val="both"/>
        <w:rPr>
          <w:rFonts w:ascii="Arial" w:eastAsia="Arial" w:hAnsi="Arial" w:cs="Arial"/>
          <w:color w:val="000000"/>
          <w:sz w:val="22"/>
          <w:szCs w:val="22"/>
          <w:lang w:val="es-ES_tradnl" w:eastAsia="en-US"/>
        </w:rPr>
      </w:pPr>
      <w:r w:rsidRPr="00DD5F33">
        <w:rPr>
          <w:rFonts w:ascii="Arial" w:eastAsia="Arial" w:hAnsi="Arial" w:cs="Arial"/>
          <w:color w:val="000000"/>
          <w:sz w:val="22"/>
          <w:szCs w:val="22"/>
          <w:lang w:val="es-ES_tradnl" w:eastAsia="en-US"/>
        </w:rPr>
        <w:t>Conviene, igualmente, precisa</w:t>
      </w:r>
      <w:r>
        <w:rPr>
          <w:rFonts w:ascii="Arial" w:eastAsia="Arial" w:hAnsi="Arial" w:cs="Arial"/>
          <w:color w:val="000000"/>
          <w:sz w:val="22"/>
          <w:szCs w:val="22"/>
          <w:lang w:val="es-ES_tradnl" w:eastAsia="en-US"/>
        </w:rPr>
        <w:t>r que el domicilio de la Mipyme</w:t>
      </w:r>
      <w:r w:rsidRPr="00DD5F33">
        <w:rPr>
          <w:rFonts w:ascii="Arial" w:eastAsia="Arial" w:hAnsi="Arial" w:cs="Arial"/>
          <w:color w:val="000000"/>
          <w:sz w:val="22"/>
          <w:szCs w:val="22"/>
          <w:lang w:val="es-ES_tradnl" w:eastAsia="en-US"/>
        </w:rPr>
        <w:t xml:space="preserve"> que quiera participar en una convocatoria limitada territorialmente se acredita con los documentos definidos en el artículo 2.2.1.2.4.2.4. del Decreto 1082 de 2015, modificado por el Decreto 1860 de 2021</w:t>
      </w:r>
      <w:r w:rsidR="00B03000">
        <w:rPr>
          <w:rFonts w:ascii="Arial" w:eastAsia="Arial" w:hAnsi="Arial" w:cs="Arial"/>
          <w:color w:val="000000"/>
          <w:sz w:val="22"/>
          <w:szCs w:val="22"/>
          <w:lang w:val="es-ES_tradnl" w:eastAsia="en-US"/>
        </w:rPr>
        <w:t>, en el cual se establecen los requisitos para participar en convocatorias</w:t>
      </w:r>
      <w:r w:rsidR="00433BD2">
        <w:rPr>
          <w:rFonts w:ascii="Arial" w:eastAsia="Arial" w:hAnsi="Arial" w:cs="Arial"/>
          <w:color w:val="000000"/>
          <w:sz w:val="22"/>
          <w:szCs w:val="22"/>
          <w:lang w:val="es-ES_tradnl" w:eastAsia="en-US"/>
        </w:rPr>
        <w:t xml:space="preserve"> que hayan sido</w:t>
      </w:r>
      <w:r w:rsidR="00B03000">
        <w:rPr>
          <w:rFonts w:ascii="Arial" w:eastAsia="Arial" w:hAnsi="Arial" w:cs="Arial"/>
          <w:color w:val="000000"/>
          <w:sz w:val="22"/>
          <w:szCs w:val="22"/>
          <w:lang w:val="es-ES_tradnl" w:eastAsia="en-US"/>
        </w:rPr>
        <w:t xml:space="preserve"> limitadas a Mipyme</w:t>
      </w:r>
      <w:r w:rsidR="00433BD2">
        <w:rPr>
          <w:rFonts w:ascii="Arial" w:eastAsia="Arial" w:hAnsi="Arial" w:cs="Arial"/>
          <w:color w:val="000000"/>
          <w:sz w:val="22"/>
          <w:szCs w:val="22"/>
          <w:lang w:val="es-ES_tradnl" w:eastAsia="en-US"/>
        </w:rPr>
        <w:t>, al siguiente tenor:</w:t>
      </w:r>
    </w:p>
    <w:p w14:paraId="59A18AB3" w14:textId="77777777" w:rsidR="008F60A0" w:rsidRDefault="008F60A0" w:rsidP="00F3144F">
      <w:pPr>
        <w:spacing w:line="276" w:lineRule="auto"/>
        <w:ind w:firstLine="709"/>
        <w:jc w:val="both"/>
        <w:rPr>
          <w:rFonts w:ascii="Arial" w:eastAsia="Arial" w:hAnsi="Arial" w:cs="Arial"/>
          <w:color w:val="000000"/>
          <w:sz w:val="22"/>
          <w:szCs w:val="22"/>
          <w:lang w:val="es-ES_tradnl" w:eastAsia="en-US"/>
        </w:rPr>
      </w:pPr>
    </w:p>
    <w:p w14:paraId="4269FB50" w14:textId="77777777" w:rsidR="002334F7" w:rsidRPr="008D1673" w:rsidRDefault="002334F7" w:rsidP="002334F7">
      <w:pPr>
        <w:ind w:left="709" w:right="709"/>
        <w:contextualSpacing/>
        <w:jc w:val="both"/>
        <w:rPr>
          <w:rFonts w:ascii="Arial" w:eastAsia="Calibri" w:hAnsi="Arial" w:cs="Arial"/>
          <w:sz w:val="21"/>
          <w:szCs w:val="21"/>
          <w:lang w:val="es-ES_tradnl"/>
        </w:rPr>
      </w:pPr>
      <w:r w:rsidRPr="00D90A60">
        <w:rPr>
          <w:rFonts w:ascii="Arial" w:eastAsia="Calibri" w:hAnsi="Arial" w:cs="Arial"/>
          <w:bCs/>
          <w:sz w:val="21"/>
          <w:szCs w:val="21"/>
        </w:rPr>
        <w:lastRenderedPageBreak/>
        <w:t>«</w:t>
      </w:r>
      <w:r w:rsidRPr="008D1673">
        <w:rPr>
          <w:rFonts w:ascii="Arial" w:eastAsia="Calibri" w:hAnsi="Arial" w:cs="Arial"/>
          <w:bCs/>
          <w:sz w:val="21"/>
          <w:szCs w:val="21"/>
          <w:lang w:val="es-ES_tradnl"/>
        </w:rPr>
        <w:t>Artículo 2.2.1.2.4.2.4. Acreditación de requisitos para participar en convocatorias limitadas.</w:t>
      </w:r>
      <w:r w:rsidRPr="008D1673">
        <w:rPr>
          <w:rFonts w:ascii="Arial" w:eastAsia="Calibri" w:hAnsi="Arial" w:cs="Arial"/>
          <w:sz w:val="21"/>
          <w:szCs w:val="21"/>
          <w:lang w:val="es-ES_tradnl"/>
        </w:rPr>
        <w:t xml:space="preserve"> La Mipyme colombianas deben acreditar que tiene el tamaño empresarial establecido por la ley de la siguiente manera: </w:t>
      </w:r>
    </w:p>
    <w:p w14:paraId="76DB1269" w14:textId="77777777" w:rsidR="002334F7" w:rsidRPr="008D1673" w:rsidRDefault="002334F7" w:rsidP="002334F7">
      <w:pPr>
        <w:ind w:left="709" w:right="709"/>
        <w:contextualSpacing/>
        <w:jc w:val="both"/>
        <w:rPr>
          <w:rFonts w:ascii="Arial" w:eastAsia="Calibri" w:hAnsi="Arial" w:cs="Arial"/>
          <w:sz w:val="21"/>
          <w:szCs w:val="21"/>
          <w:lang w:val="es-ES_tradnl"/>
        </w:rPr>
      </w:pPr>
    </w:p>
    <w:p w14:paraId="4D5E4AFE" w14:textId="77777777" w:rsidR="002334F7" w:rsidRPr="008D1673" w:rsidRDefault="002334F7" w:rsidP="002334F7">
      <w:pPr>
        <w:ind w:left="709" w:right="709"/>
        <w:contextualSpacing/>
        <w:jc w:val="both"/>
        <w:rPr>
          <w:rFonts w:ascii="Arial" w:eastAsia="Calibri" w:hAnsi="Arial" w:cs="Arial"/>
          <w:sz w:val="21"/>
          <w:szCs w:val="21"/>
          <w:lang w:val="es-ES_tradnl"/>
        </w:rPr>
      </w:pPr>
      <w:r w:rsidRPr="008D1673">
        <w:rPr>
          <w:rFonts w:ascii="Arial" w:eastAsia="Calibri" w:hAnsi="Arial" w:cs="Arial"/>
          <w:sz w:val="21"/>
          <w:szCs w:val="21"/>
          <w:lang w:val="es-ES_tradnl"/>
        </w:rPr>
        <w:t xml:space="preserve">1. Las personas naturales mediante certificación expedida por ellos y </w:t>
      </w:r>
      <w:r w:rsidRPr="00D90A60">
        <w:rPr>
          <w:rFonts w:ascii="Arial" w:eastAsia="Calibri" w:hAnsi="Arial" w:cs="Arial"/>
          <w:i/>
          <w:iCs/>
          <w:sz w:val="21"/>
          <w:szCs w:val="21"/>
          <w:lang w:val="es-ES_tradnl"/>
        </w:rPr>
        <w:t>un contador público</w:t>
      </w:r>
      <w:r w:rsidRPr="008D1673">
        <w:rPr>
          <w:rFonts w:ascii="Arial" w:eastAsia="Calibri" w:hAnsi="Arial" w:cs="Arial"/>
          <w:sz w:val="21"/>
          <w:szCs w:val="21"/>
          <w:lang w:val="es-ES_tradnl"/>
        </w:rPr>
        <w:t xml:space="preserve">, adjuntando copia del registro mercantil. </w:t>
      </w:r>
    </w:p>
    <w:p w14:paraId="356FCE10" w14:textId="77777777" w:rsidR="002334F7" w:rsidRPr="008D1673" w:rsidRDefault="002334F7" w:rsidP="002334F7">
      <w:pPr>
        <w:ind w:left="709" w:right="709"/>
        <w:contextualSpacing/>
        <w:jc w:val="both"/>
        <w:rPr>
          <w:rFonts w:ascii="Arial" w:eastAsia="Calibri" w:hAnsi="Arial" w:cs="Arial"/>
          <w:sz w:val="21"/>
          <w:szCs w:val="21"/>
          <w:lang w:val="es-ES_tradnl"/>
        </w:rPr>
      </w:pPr>
    </w:p>
    <w:p w14:paraId="1D4102D9" w14:textId="77777777" w:rsidR="002334F7" w:rsidRPr="008D1673" w:rsidRDefault="002334F7" w:rsidP="002334F7">
      <w:pPr>
        <w:ind w:left="709" w:right="709"/>
        <w:contextualSpacing/>
        <w:jc w:val="both"/>
        <w:rPr>
          <w:rFonts w:ascii="Arial" w:eastAsia="Calibri" w:hAnsi="Arial" w:cs="Arial"/>
          <w:sz w:val="21"/>
          <w:szCs w:val="21"/>
          <w:lang w:val="es-ES_tradnl"/>
        </w:rPr>
      </w:pPr>
      <w:r w:rsidRPr="008D1673">
        <w:rPr>
          <w:rFonts w:ascii="Arial" w:eastAsia="Calibri" w:hAnsi="Arial" w:cs="Arial"/>
          <w:sz w:val="21"/>
          <w:szCs w:val="21"/>
          <w:lang w:val="es-ES_tradnl"/>
        </w:rPr>
        <w:t xml:space="preserve">2. Las personas jurídicas mediante certificación expedida por el representante legal y el </w:t>
      </w:r>
      <w:r w:rsidRPr="00D90A60">
        <w:rPr>
          <w:rFonts w:ascii="Arial" w:eastAsia="Calibri" w:hAnsi="Arial" w:cs="Arial"/>
          <w:i/>
          <w:iCs/>
          <w:sz w:val="21"/>
          <w:szCs w:val="21"/>
          <w:lang w:val="es-ES_tradnl"/>
        </w:rPr>
        <w:t>contador o revisor fiscal</w:t>
      </w:r>
      <w:r w:rsidRPr="008D1673">
        <w:rPr>
          <w:rFonts w:ascii="Arial" w:eastAsia="Calibri" w:hAnsi="Arial" w:cs="Arial"/>
          <w:sz w:val="21"/>
          <w:szCs w:val="21"/>
          <w:lang w:val="es-ES_tradnl"/>
        </w:rPr>
        <w:t>, si están obligados a tenerlo, adjuntando copia del certificado de existencia y representación legal expedido por la Cámara de Comercio o por la autoridad competente para expedir dicha certificación. Para la acreditación deberán observarse los rangos de clasificación empresarial establecidos de conformidad con la Ley 590 de 2000 y el Decreto 1074 de 2015, o las normas que lo modifiquen, sustituyan o complementen.</w:t>
      </w:r>
    </w:p>
    <w:p w14:paraId="6216F9CD" w14:textId="77777777" w:rsidR="002334F7" w:rsidRPr="008D1673" w:rsidRDefault="002334F7" w:rsidP="002334F7">
      <w:pPr>
        <w:tabs>
          <w:tab w:val="left" w:pos="6660"/>
        </w:tabs>
        <w:ind w:left="709" w:right="709"/>
        <w:contextualSpacing/>
        <w:jc w:val="both"/>
        <w:rPr>
          <w:rFonts w:ascii="Arial" w:eastAsia="Calibri" w:hAnsi="Arial" w:cs="Arial"/>
          <w:b/>
          <w:bCs/>
          <w:sz w:val="21"/>
          <w:szCs w:val="21"/>
          <w:lang w:val="es-ES_tradnl"/>
        </w:rPr>
      </w:pPr>
      <w:r w:rsidRPr="008D1673">
        <w:rPr>
          <w:rFonts w:ascii="Arial" w:eastAsia="Calibri" w:hAnsi="Arial" w:cs="Arial"/>
          <w:b/>
          <w:bCs/>
          <w:sz w:val="21"/>
          <w:szCs w:val="21"/>
          <w:lang w:val="es-ES_tradnl"/>
        </w:rPr>
        <w:tab/>
      </w:r>
    </w:p>
    <w:p w14:paraId="267A0571" w14:textId="77777777" w:rsidR="002334F7" w:rsidRPr="008D1673" w:rsidRDefault="002334F7" w:rsidP="002334F7">
      <w:pPr>
        <w:ind w:left="709" w:right="709"/>
        <w:contextualSpacing/>
        <w:jc w:val="both"/>
        <w:rPr>
          <w:rFonts w:ascii="Arial" w:eastAsia="Calibri" w:hAnsi="Arial" w:cs="Arial"/>
          <w:sz w:val="21"/>
          <w:szCs w:val="21"/>
          <w:lang w:val="es-ES_tradnl"/>
        </w:rPr>
      </w:pPr>
      <w:r w:rsidRPr="008D1673">
        <w:rPr>
          <w:rFonts w:ascii="Arial" w:eastAsia="Calibri" w:hAnsi="Arial" w:cs="Arial"/>
          <w:sz w:val="21"/>
          <w:szCs w:val="21"/>
          <w:lang w:val="es-ES_tradnl"/>
        </w:rPr>
        <w:t>Parágrafo 1. En todo caso, las Mipyme también podrán acreditar esta condición con la copia del certificado del Registro Único de Proponentes, el cual deberá encontrarse vigente y en firme al momento de su presentación.</w:t>
      </w:r>
    </w:p>
    <w:p w14:paraId="322F7CF8" w14:textId="77777777" w:rsidR="002334F7" w:rsidRPr="008D1673" w:rsidRDefault="002334F7" w:rsidP="002334F7">
      <w:pPr>
        <w:ind w:left="709" w:right="709"/>
        <w:contextualSpacing/>
        <w:jc w:val="both"/>
        <w:rPr>
          <w:rFonts w:ascii="Arial" w:eastAsia="Calibri" w:hAnsi="Arial" w:cs="Arial"/>
          <w:sz w:val="21"/>
          <w:szCs w:val="21"/>
          <w:lang w:val="es-ES_tradnl"/>
        </w:rPr>
      </w:pPr>
    </w:p>
    <w:p w14:paraId="62DA036B" w14:textId="77777777" w:rsidR="002334F7" w:rsidRPr="008D1673" w:rsidRDefault="002334F7" w:rsidP="002334F7">
      <w:pPr>
        <w:ind w:left="709" w:right="709"/>
        <w:contextualSpacing/>
        <w:jc w:val="both"/>
        <w:rPr>
          <w:rFonts w:ascii="Arial" w:eastAsia="Calibri" w:hAnsi="Arial" w:cs="Arial"/>
          <w:sz w:val="21"/>
          <w:szCs w:val="21"/>
          <w:lang w:val="es-ES_tradnl"/>
        </w:rPr>
      </w:pPr>
      <w:r w:rsidRPr="008D1673">
        <w:rPr>
          <w:rFonts w:ascii="Arial" w:eastAsia="Calibri" w:hAnsi="Arial" w:cs="Arial"/>
          <w:sz w:val="21"/>
          <w:szCs w:val="21"/>
          <w:lang w:val="es-ES_tradnl"/>
        </w:rPr>
        <w:t xml:space="preserve">Parágrafo 2. Para efectos de la limitación a Mipyme,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 </w:t>
      </w:r>
    </w:p>
    <w:p w14:paraId="60C20B18" w14:textId="77777777" w:rsidR="002334F7" w:rsidRPr="008D1673" w:rsidRDefault="002334F7" w:rsidP="002334F7">
      <w:pPr>
        <w:ind w:left="709" w:right="709"/>
        <w:contextualSpacing/>
        <w:jc w:val="both"/>
        <w:rPr>
          <w:rFonts w:ascii="Arial" w:eastAsia="Calibri" w:hAnsi="Arial" w:cs="Arial"/>
          <w:sz w:val="21"/>
          <w:szCs w:val="21"/>
          <w:lang w:val="es-ES_tradnl"/>
        </w:rPr>
      </w:pPr>
    </w:p>
    <w:p w14:paraId="0F306ECA" w14:textId="77777777" w:rsidR="002334F7" w:rsidRPr="008D1673" w:rsidRDefault="002334F7" w:rsidP="002334F7">
      <w:pPr>
        <w:ind w:left="709" w:right="709"/>
        <w:contextualSpacing/>
        <w:jc w:val="both"/>
        <w:rPr>
          <w:rFonts w:ascii="Arial" w:eastAsia="Calibri" w:hAnsi="Arial" w:cs="Arial"/>
          <w:sz w:val="21"/>
          <w:szCs w:val="21"/>
          <w:lang w:val="es-ES_tradnl"/>
        </w:rPr>
      </w:pPr>
      <w:r w:rsidRPr="008D1673">
        <w:rPr>
          <w:rFonts w:ascii="Arial" w:eastAsia="Calibri" w:hAnsi="Arial" w:cs="Arial"/>
          <w:sz w:val="21"/>
          <w:szCs w:val="21"/>
          <w:lang w:val="es-ES_tradnl"/>
        </w:rPr>
        <w:t>Parágrafo 3. En las convocatorias limitadas, las Entidades Estatales independientemente de su régimen de contratación, los patrimonios autónomos constituidos por Entidades Estatales y los particulares que ejecuten recursos públicos, solo deberán aceptar las ofertas de Mipyme o de proponentes plurales integrados únicamente por Mipyme.</w:t>
      </w:r>
    </w:p>
    <w:p w14:paraId="5016F168" w14:textId="77777777" w:rsidR="002334F7" w:rsidRPr="008D1673" w:rsidRDefault="002334F7" w:rsidP="002334F7">
      <w:pPr>
        <w:ind w:left="709" w:right="709"/>
        <w:contextualSpacing/>
        <w:jc w:val="both"/>
        <w:rPr>
          <w:rFonts w:ascii="Arial" w:eastAsia="Calibri" w:hAnsi="Arial" w:cs="Arial"/>
          <w:sz w:val="21"/>
          <w:szCs w:val="21"/>
          <w:lang w:val="es-ES_tradnl"/>
        </w:rPr>
      </w:pPr>
    </w:p>
    <w:p w14:paraId="1B37FB33" w14:textId="77777777" w:rsidR="002334F7" w:rsidRPr="008D1673" w:rsidRDefault="002334F7" w:rsidP="002334F7">
      <w:pPr>
        <w:ind w:left="709" w:right="709"/>
        <w:contextualSpacing/>
        <w:jc w:val="both"/>
        <w:rPr>
          <w:rFonts w:ascii="Arial" w:eastAsia="Calibri" w:hAnsi="Arial" w:cs="Arial"/>
          <w:sz w:val="21"/>
          <w:szCs w:val="21"/>
          <w:lang w:val="es-ES_tradnl"/>
        </w:rPr>
      </w:pPr>
      <w:r w:rsidRPr="008D1673">
        <w:rPr>
          <w:rFonts w:ascii="Arial" w:eastAsia="Calibri" w:hAnsi="Arial" w:cs="Arial"/>
          <w:sz w:val="21"/>
          <w:szCs w:val="21"/>
          <w:lang w:val="es-ES_tradnl"/>
        </w:rPr>
        <w:t>Parágrafo 4. Los incentivos previstos en los artículos 2.2.1.2.4.2.2 y 2.2.1.2.4.2.3 de este Decreto no excluyen la aplicación de los criterios diferenciales para los emprendimientos y empresas de mujeres en el sistema de compras públicas</w:t>
      </w:r>
      <w:r w:rsidRPr="00D90A60">
        <w:rPr>
          <w:rFonts w:ascii="Arial" w:hAnsi="Arial" w:cs="Arial"/>
          <w:sz w:val="21"/>
          <w:szCs w:val="21"/>
        </w:rPr>
        <w:t>»</w:t>
      </w:r>
      <w:r w:rsidRPr="00334A97">
        <w:rPr>
          <w:rFonts w:ascii="Arial" w:eastAsia="Calibri" w:hAnsi="Arial" w:cs="Arial"/>
          <w:sz w:val="21"/>
          <w:szCs w:val="21"/>
          <w:lang w:val="es-ES_tradnl"/>
        </w:rPr>
        <w:t>.</w:t>
      </w:r>
      <w:r>
        <w:rPr>
          <w:rFonts w:ascii="Arial" w:eastAsia="Calibri" w:hAnsi="Arial" w:cs="Arial"/>
          <w:sz w:val="21"/>
          <w:szCs w:val="21"/>
          <w:lang w:val="es-ES_tradnl"/>
        </w:rPr>
        <w:t xml:space="preserve"> [Énfasis fuera del texto]</w:t>
      </w:r>
    </w:p>
    <w:p w14:paraId="374C84FD" w14:textId="77777777" w:rsidR="008F60A0" w:rsidRPr="00A804B8" w:rsidRDefault="008F60A0" w:rsidP="00F3144F">
      <w:pPr>
        <w:ind w:left="709" w:right="709"/>
        <w:jc w:val="both"/>
        <w:rPr>
          <w:rFonts w:ascii="Arial" w:eastAsia="Arial" w:hAnsi="Arial" w:cs="Arial"/>
          <w:sz w:val="21"/>
          <w:szCs w:val="21"/>
          <w:lang w:val="es-ES_tradnl" w:eastAsia="en-US"/>
        </w:rPr>
      </w:pPr>
    </w:p>
    <w:p w14:paraId="0B9AB5F7" w14:textId="64FE3C82" w:rsidR="00015FE2" w:rsidRPr="00DD5F33" w:rsidRDefault="00015FE2" w:rsidP="00F3144F">
      <w:pPr>
        <w:spacing w:line="276" w:lineRule="auto"/>
        <w:ind w:firstLine="709"/>
        <w:jc w:val="both"/>
        <w:rPr>
          <w:rFonts w:ascii="Arial" w:eastAsia="Calibri" w:hAnsi="Arial" w:cs="Arial"/>
          <w:sz w:val="22"/>
          <w:szCs w:val="22"/>
          <w:lang w:val="es-ES_tradnl"/>
        </w:rPr>
      </w:pPr>
      <w:r w:rsidRPr="00DD5F33">
        <w:rPr>
          <w:rFonts w:ascii="Arial" w:eastAsia="Calibri" w:hAnsi="Arial" w:cs="Arial"/>
          <w:sz w:val="22"/>
          <w:szCs w:val="22"/>
          <w:lang w:val="es-ES_tradnl"/>
        </w:rPr>
        <w:t xml:space="preserve">Por último, según se explicó con anterioridad, actualmente el procedimiento de mínima cuantía se encuentra reglamentado por el artículo 2.2.1.2.1.5.2. del Decreto 1082 de 2015, modificado por el artículo 2 del Decreto 1860 de 2021. El numeral 3 del artículo en mención establece que «La invitación se publicará por un término no inferior a un (1) día hábil para que los interesados se informen de su contenido y formulen observaciones o comentarios […]» y que «De conformidad con el parágrafo del presente artículo, dentro del mismo término para formular observaciones se podrán presentar las solicitudes para limitar la convocatoria a Mipyme colombianas». Adicionalmente, el numeral 4 dispone que </w:t>
      </w:r>
      <w:r w:rsidRPr="00DD5F33">
        <w:rPr>
          <w:rFonts w:ascii="Arial" w:eastAsia="Calibri" w:hAnsi="Arial" w:cs="Arial"/>
          <w:sz w:val="22"/>
          <w:szCs w:val="22"/>
          <w:lang w:val="es-ES_tradnl"/>
        </w:rPr>
        <w:lastRenderedPageBreak/>
        <w:t xml:space="preserve">en el cronograma se debe señalar «El momento en que publicará un aviso en el SECOP precisando si el proceso efectivamente se limitó a Mipyme o si podrá participar cualquier otro interesado». Por otra parte, también es importante tener en cuenta el parágrafo del artículo 2.2.1.2.1.5.2., a cuyo tenor: </w:t>
      </w:r>
    </w:p>
    <w:p w14:paraId="494376A2" w14:textId="77777777" w:rsidR="00015FE2" w:rsidRPr="00DD5F33" w:rsidRDefault="00015FE2" w:rsidP="00F3144F">
      <w:pPr>
        <w:spacing w:line="276" w:lineRule="auto"/>
        <w:jc w:val="both"/>
        <w:rPr>
          <w:rFonts w:ascii="Arial" w:eastAsia="Calibri" w:hAnsi="Arial" w:cs="Arial"/>
          <w:sz w:val="22"/>
          <w:szCs w:val="22"/>
          <w:lang w:val="es-ES_tradnl"/>
        </w:rPr>
      </w:pPr>
    </w:p>
    <w:p w14:paraId="3C2AFDA4" w14:textId="77777777" w:rsidR="00015FE2" w:rsidRPr="00DD5F33" w:rsidRDefault="00015FE2" w:rsidP="00F3144F">
      <w:pPr>
        <w:ind w:left="709" w:right="709"/>
        <w:jc w:val="both"/>
        <w:rPr>
          <w:rFonts w:ascii="Arial" w:eastAsia="Calibri" w:hAnsi="Arial" w:cs="Arial"/>
          <w:sz w:val="21"/>
          <w:szCs w:val="21"/>
        </w:rPr>
      </w:pPr>
      <w:r w:rsidRPr="00DD5F33">
        <w:rPr>
          <w:rFonts w:ascii="Arial" w:eastAsia="Calibri" w:hAnsi="Arial" w:cs="Arial"/>
          <w:sz w:val="21"/>
          <w:szCs w:val="21"/>
        </w:rPr>
        <w:t>De conformidad con el parágrafo 1 del artículo 30 y el artículo 34 de la Ley 2069 de 2020, en estos procedimientos de selección para Mipyme se aplicará lo prescrito en los artículos 2.2.1.2.4.2.2 a 2.2.1.2.4.2.4 de este Decreto. No obstante, de conformidad con el numeral 3 del presente artículo, las solicitudes para limitar el proceso a Mipyme se recibirán durante el término previsto en dicho numeral. Además, en el aviso de que trata el numeral 4 de este artículo se indicará si en el proceso aplican las limitaciones territoriales de que trata el artículo 2.2.1.2.4.2.3 o si podrá participar cualquier Mipyme nacional.</w:t>
      </w:r>
    </w:p>
    <w:p w14:paraId="58515FC8" w14:textId="77777777" w:rsidR="00015FE2" w:rsidRPr="00DD5F33" w:rsidRDefault="00015FE2" w:rsidP="00F3144F">
      <w:pPr>
        <w:spacing w:line="276" w:lineRule="auto"/>
        <w:jc w:val="both"/>
        <w:rPr>
          <w:rFonts w:ascii="Arial" w:eastAsia="Calibri" w:hAnsi="Arial" w:cs="Arial"/>
          <w:sz w:val="22"/>
          <w:szCs w:val="22"/>
        </w:rPr>
      </w:pPr>
    </w:p>
    <w:p w14:paraId="44D46861" w14:textId="789BA229" w:rsidR="00015FE2" w:rsidRDefault="00015FE2" w:rsidP="00AD3693">
      <w:pPr>
        <w:spacing w:after="120" w:line="276" w:lineRule="auto"/>
        <w:ind w:firstLine="709"/>
        <w:jc w:val="both"/>
        <w:rPr>
          <w:rFonts w:ascii="Arial" w:eastAsia="Calibri" w:hAnsi="Arial" w:cs="Arial"/>
          <w:sz w:val="22"/>
          <w:szCs w:val="22"/>
          <w:lang w:val="es-ES_tradnl"/>
        </w:rPr>
      </w:pPr>
      <w:r w:rsidRPr="00742D5E">
        <w:rPr>
          <w:rFonts w:ascii="Arial" w:eastAsia="Calibri" w:hAnsi="Arial" w:cs="Arial"/>
          <w:sz w:val="22"/>
          <w:szCs w:val="22"/>
          <w:lang w:val="es-ES_tradnl"/>
        </w:rPr>
        <w:t>Puede concluirse, entonces, que, en el procedimiento de mínima cuantía, la limitac</w:t>
      </w:r>
      <w:r w:rsidRPr="00742D5E">
        <w:rPr>
          <w:rFonts w:ascii="Arial" w:hAnsi="Arial" w:cs="Arial"/>
          <w:sz w:val="22"/>
          <w:szCs w:val="22"/>
          <w:lang w:val="es-ES_tradnl"/>
        </w:rPr>
        <w:t>ión de la convocatoria a Mipyme</w:t>
      </w:r>
      <w:r w:rsidRPr="00742D5E">
        <w:rPr>
          <w:rFonts w:ascii="Arial" w:eastAsia="Calibri" w:hAnsi="Arial" w:cs="Arial"/>
          <w:sz w:val="22"/>
          <w:szCs w:val="22"/>
          <w:lang w:val="es-ES_tradnl"/>
        </w:rPr>
        <w:t xml:space="preserve"> se debe hacer mediante la publicación de un aviso en el SECOP, luego de analizadas las solicitudes presentadas dentro del término de publicación de la invitación previsto en el numeral 3 del artículo 2.2.1.2.1.5.2. del Decreto 1082 de 2015, modificado por el artículo 2 del Decreto 1860 de 2021.</w:t>
      </w:r>
      <w:r w:rsidR="00742D5E">
        <w:rPr>
          <w:rFonts w:ascii="Arial" w:eastAsia="Calibri" w:hAnsi="Arial" w:cs="Arial"/>
          <w:sz w:val="22"/>
          <w:szCs w:val="22"/>
          <w:lang w:val="es-ES_tradnl"/>
        </w:rPr>
        <w:t xml:space="preserve"> De igual modo, en dicho aviso, se deberá indicar si</w:t>
      </w:r>
      <w:r w:rsidR="0071235E">
        <w:rPr>
          <w:rFonts w:ascii="Arial" w:eastAsia="Calibri" w:hAnsi="Arial" w:cs="Arial"/>
          <w:sz w:val="22"/>
          <w:szCs w:val="22"/>
          <w:lang w:val="es-ES_tradnl"/>
        </w:rPr>
        <w:t xml:space="preserve"> </w:t>
      </w:r>
      <w:r w:rsidR="00742D5E">
        <w:rPr>
          <w:rFonts w:ascii="Arial" w:eastAsia="Calibri" w:hAnsi="Arial" w:cs="Arial"/>
          <w:sz w:val="22"/>
          <w:szCs w:val="22"/>
          <w:lang w:val="es-ES_tradnl"/>
        </w:rPr>
        <w:t>en el proceso pueden participar las Mipyme domiciliadas en el municipio o departamento, según correspon</w:t>
      </w:r>
      <w:r w:rsidR="00072638">
        <w:rPr>
          <w:rFonts w:ascii="Arial" w:eastAsia="Calibri" w:hAnsi="Arial" w:cs="Arial"/>
          <w:sz w:val="22"/>
          <w:szCs w:val="22"/>
          <w:lang w:val="es-ES_tradnl"/>
        </w:rPr>
        <w:t>da, o cualquier Mipyme nacional.</w:t>
      </w:r>
      <w:r w:rsidRPr="00DD5F33">
        <w:rPr>
          <w:rFonts w:ascii="Arial" w:eastAsia="Calibri" w:hAnsi="Arial" w:cs="Arial"/>
          <w:sz w:val="22"/>
          <w:szCs w:val="22"/>
          <w:lang w:val="es-ES_tradnl"/>
        </w:rPr>
        <w:t xml:space="preserve"> </w:t>
      </w:r>
    </w:p>
    <w:p w14:paraId="6E9D4CB1" w14:textId="77777777" w:rsidR="00EB39CA" w:rsidRDefault="00D96E08" w:rsidP="00AD3693">
      <w:pPr>
        <w:spacing w:after="120" w:line="276" w:lineRule="auto"/>
        <w:ind w:firstLine="709"/>
        <w:jc w:val="both"/>
        <w:rPr>
          <w:rFonts w:ascii="Arial" w:eastAsia="Calibri" w:hAnsi="Arial" w:cs="Arial"/>
          <w:sz w:val="22"/>
          <w:szCs w:val="22"/>
          <w:lang w:val="es-ES_tradnl"/>
        </w:rPr>
      </w:pPr>
      <w:r w:rsidRPr="004900D3">
        <w:rPr>
          <w:rFonts w:ascii="Arial" w:eastAsia="Calibri" w:hAnsi="Arial" w:cs="Arial"/>
          <w:sz w:val="22"/>
          <w:szCs w:val="22"/>
          <w:lang w:val="es-ES_tradnl"/>
        </w:rPr>
        <w:t xml:space="preserve">Con todo, respecto del objeto de la consulta es preciso advertir que, </w:t>
      </w:r>
      <w:r w:rsidR="00381B59" w:rsidRPr="004900D3">
        <w:rPr>
          <w:rFonts w:ascii="Arial" w:eastAsia="Calibri" w:hAnsi="Arial" w:cs="Arial"/>
          <w:sz w:val="22"/>
          <w:szCs w:val="22"/>
          <w:lang w:val="es-ES_tradnl"/>
        </w:rPr>
        <w:t xml:space="preserve">el ejercicio de la facultad </w:t>
      </w:r>
      <w:r w:rsidR="00D21DEF" w:rsidRPr="004900D3">
        <w:rPr>
          <w:rFonts w:ascii="Arial" w:eastAsia="Calibri" w:hAnsi="Arial" w:cs="Arial"/>
          <w:sz w:val="22"/>
          <w:szCs w:val="22"/>
          <w:lang w:val="es-ES_tradnl"/>
        </w:rPr>
        <w:t xml:space="preserve">discrecional en orden de aplicar la </w:t>
      </w:r>
      <w:r w:rsidRPr="004900D3">
        <w:rPr>
          <w:rFonts w:ascii="Arial" w:eastAsia="Calibri" w:hAnsi="Arial" w:cs="Arial"/>
          <w:sz w:val="22"/>
          <w:szCs w:val="22"/>
          <w:lang w:val="es-ES_tradnl"/>
        </w:rPr>
        <w:t xml:space="preserve">limitación territorial </w:t>
      </w:r>
      <w:r w:rsidR="00D21DEF" w:rsidRPr="004900D3">
        <w:rPr>
          <w:rFonts w:ascii="Arial" w:eastAsia="Calibri" w:hAnsi="Arial" w:cs="Arial"/>
          <w:sz w:val="22"/>
          <w:szCs w:val="22"/>
          <w:lang w:val="es-ES_tradnl"/>
        </w:rPr>
        <w:t>en favor de</w:t>
      </w:r>
      <w:r w:rsidR="00031AC1" w:rsidRPr="004900D3">
        <w:rPr>
          <w:rFonts w:ascii="Arial" w:eastAsia="Calibri" w:hAnsi="Arial" w:cs="Arial"/>
          <w:sz w:val="22"/>
          <w:szCs w:val="22"/>
          <w:lang w:val="es-ES_tradnl"/>
        </w:rPr>
        <w:t xml:space="preserve"> las Mipymes con domicilio en un municipio en un departamento </w:t>
      </w:r>
      <w:r w:rsidR="004F6B7C" w:rsidRPr="004900D3">
        <w:rPr>
          <w:rFonts w:ascii="Arial" w:eastAsia="Calibri" w:hAnsi="Arial" w:cs="Arial"/>
          <w:sz w:val="22"/>
          <w:szCs w:val="22"/>
          <w:lang w:val="es-ES_tradnl"/>
        </w:rPr>
        <w:t>específico</w:t>
      </w:r>
      <w:r w:rsidR="00963980" w:rsidRPr="004900D3">
        <w:rPr>
          <w:rFonts w:ascii="Arial" w:eastAsia="Calibri" w:hAnsi="Arial" w:cs="Arial"/>
          <w:sz w:val="22"/>
          <w:szCs w:val="22"/>
          <w:lang w:val="es-ES_tradnl"/>
        </w:rPr>
        <w:t xml:space="preserve"> debe hacerse dentro del marco de lo regulado por el artículo</w:t>
      </w:r>
      <w:r w:rsidR="00391B19" w:rsidRPr="004900D3">
        <w:rPr>
          <w:rFonts w:ascii="Arial" w:eastAsia="Calibri" w:hAnsi="Arial" w:cs="Arial"/>
          <w:sz w:val="22"/>
          <w:szCs w:val="22"/>
          <w:lang w:val="es-ES_tradnl"/>
        </w:rPr>
        <w:t xml:space="preserve"> 2.2.1.2.4.2.3 </w:t>
      </w:r>
      <w:r w:rsidR="00391B19" w:rsidRPr="004900D3">
        <w:rPr>
          <w:rFonts w:ascii="Arial" w:eastAsia="Calibri" w:hAnsi="Arial" w:cs="Arial"/>
          <w:i/>
          <w:iCs/>
          <w:sz w:val="22"/>
          <w:szCs w:val="22"/>
          <w:lang w:val="es-ES_tradnl"/>
        </w:rPr>
        <w:t>ejusdem</w:t>
      </w:r>
      <w:r w:rsidR="00391B19" w:rsidRPr="004900D3">
        <w:rPr>
          <w:rFonts w:ascii="Arial" w:eastAsia="Calibri" w:hAnsi="Arial" w:cs="Arial"/>
          <w:sz w:val="22"/>
          <w:szCs w:val="22"/>
          <w:lang w:val="es-ES_tradnl"/>
        </w:rPr>
        <w:t xml:space="preserve">, el cual </w:t>
      </w:r>
      <w:r w:rsidR="00291DE7" w:rsidRPr="004900D3">
        <w:rPr>
          <w:rFonts w:ascii="Arial" w:eastAsia="Calibri" w:hAnsi="Arial" w:cs="Arial"/>
          <w:sz w:val="22"/>
          <w:szCs w:val="22"/>
          <w:lang w:val="es-ES_tradnl"/>
        </w:rPr>
        <w:t xml:space="preserve">establece como presupuesto para que las Mipymes tengan su domicilio en el lugar en donde se va a ejecutar el contrato. Esto significa que, </w:t>
      </w:r>
      <w:r w:rsidR="007304A7" w:rsidRPr="004900D3">
        <w:rPr>
          <w:rFonts w:ascii="Arial" w:eastAsia="Calibri" w:hAnsi="Arial" w:cs="Arial"/>
          <w:sz w:val="22"/>
          <w:szCs w:val="22"/>
          <w:lang w:val="es-ES_tradnl"/>
        </w:rPr>
        <w:t xml:space="preserve">en el marco de estas convocatorias, la exigibilidad de que el domicilio de las Mipymes se ubique en un </w:t>
      </w:r>
      <w:r w:rsidR="008B0E99" w:rsidRPr="004900D3">
        <w:rPr>
          <w:rFonts w:ascii="Arial" w:eastAsia="Calibri" w:hAnsi="Arial" w:cs="Arial"/>
          <w:sz w:val="22"/>
          <w:szCs w:val="22"/>
          <w:lang w:val="es-ES_tradnl"/>
        </w:rPr>
        <w:t xml:space="preserve">único </w:t>
      </w:r>
      <w:r w:rsidR="007304A7" w:rsidRPr="004900D3">
        <w:rPr>
          <w:rFonts w:ascii="Arial" w:eastAsia="Calibri" w:hAnsi="Arial" w:cs="Arial"/>
          <w:sz w:val="22"/>
          <w:szCs w:val="22"/>
          <w:lang w:val="es-ES_tradnl"/>
        </w:rPr>
        <w:t xml:space="preserve">municipio </w:t>
      </w:r>
      <w:r w:rsidR="008B0E99" w:rsidRPr="004900D3">
        <w:rPr>
          <w:rFonts w:ascii="Arial" w:eastAsia="Calibri" w:hAnsi="Arial" w:cs="Arial"/>
          <w:sz w:val="22"/>
          <w:szCs w:val="22"/>
          <w:lang w:val="es-ES_tradnl"/>
        </w:rPr>
        <w:t xml:space="preserve">en particular o en alguno de los municipios que conforman un departamento en concreto, </w:t>
      </w:r>
      <w:r w:rsidR="00484899" w:rsidRPr="004900D3">
        <w:rPr>
          <w:rFonts w:ascii="Arial" w:eastAsia="Calibri" w:hAnsi="Arial" w:cs="Arial"/>
          <w:sz w:val="22"/>
          <w:szCs w:val="22"/>
          <w:lang w:val="es-ES_tradnl"/>
        </w:rPr>
        <w:t xml:space="preserve">está ligada </w:t>
      </w:r>
      <w:r w:rsidR="00A602F2" w:rsidRPr="004900D3">
        <w:rPr>
          <w:rFonts w:ascii="Arial" w:eastAsia="Calibri" w:hAnsi="Arial" w:cs="Arial"/>
          <w:sz w:val="22"/>
          <w:szCs w:val="22"/>
          <w:lang w:val="es-ES_tradnl"/>
        </w:rPr>
        <w:t>al ámbito territorial en el que se va a desarrollar el objeto contractual</w:t>
      </w:r>
      <w:r w:rsidR="008A23CC" w:rsidRPr="004900D3">
        <w:rPr>
          <w:rFonts w:ascii="Arial" w:eastAsia="Calibri" w:hAnsi="Arial" w:cs="Arial"/>
          <w:sz w:val="22"/>
          <w:szCs w:val="22"/>
          <w:lang w:val="es-ES_tradnl"/>
        </w:rPr>
        <w:t>.</w:t>
      </w:r>
      <w:r w:rsidR="008A23CC">
        <w:rPr>
          <w:rFonts w:ascii="Arial" w:eastAsia="Calibri" w:hAnsi="Arial" w:cs="Arial"/>
          <w:sz w:val="22"/>
          <w:szCs w:val="22"/>
          <w:lang w:val="es-ES_tradnl"/>
        </w:rPr>
        <w:t xml:space="preserve"> </w:t>
      </w:r>
    </w:p>
    <w:p w14:paraId="05A8EE04" w14:textId="24BE20B4" w:rsidR="00D96E08" w:rsidRDefault="008A23CC" w:rsidP="009D619D">
      <w:pPr>
        <w:spacing w:line="276" w:lineRule="auto"/>
        <w:ind w:firstLine="708"/>
        <w:jc w:val="both"/>
        <w:rPr>
          <w:rFonts w:ascii="Arial" w:eastAsia="Calibri" w:hAnsi="Arial" w:cs="Arial"/>
          <w:sz w:val="22"/>
          <w:szCs w:val="22"/>
          <w:lang w:val="es-ES_tradnl"/>
        </w:rPr>
      </w:pPr>
      <w:r>
        <w:rPr>
          <w:rFonts w:ascii="Arial" w:eastAsia="Calibri" w:hAnsi="Arial" w:cs="Arial"/>
          <w:sz w:val="22"/>
          <w:szCs w:val="22"/>
          <w:lang w:val="es-ES_tradnl"/>
        </w:rPr>
        <w:t xml:space="preserve">De este modo, </w:t>
      </w:r>
      <w:r w:rsidR="00847978">
        <w:rPr>
          <w:rFonts w:ascii="Arial" w:eastAsia="Calibri" w:hAnsi="Arial" w:cs="Arial"/>
          <w:sz w:val="22"/>
          <w:szCs w:val="22"/>
          <w:lang w:val="es-ES_tradnl"/>
        </w:rPr>
        <w:t xml:space="preserve">en el caso </w:t>
      </w:r>
      <w:r w:rsidR="001D2152">
        <w:rPr>
          <w:rFonts w:ascii="Arial" w:eastAsia="Calibri" w:hAnsi="Arial" w:cs="Arial"/>
          <w:sz w:val="22"/>
          <w:szCs w:val="22"/>
          <w:lang w:val="es-ES_tradnl"/>
        </w:rPr>
        <w:t xml:space="preserve">de </w:t>
      </w:r>
      <w:r w:rsidR="00847978">
        <w:rPr>
          <w:rFonts w:ascii="Arial" w:eastAsia="Calibri" w:hAnsi="Arial" w:cs="Arial"/>
          <w:sz w:val="22"/>
          <w:szCs w:val="22"/>
          <w:lang w:val="es-ES_tradnl"/>
        </w:rPr>
        <w:t>un</w:t>
      </w:r>
      <w:r>
        <w:rPr>
          <w:rFonts w:ascii="Arial" w:eastAsia="Calibri" w:hAnsi="Arial" w:cs="Arial"/>
          <w:sz w:val="22"/>
          <w:szCs w:val="22"/>
          <w:lang w:val="es-ES_tradnl"/>
        </w:rPr>
        <w:t xml:space="preserve"> contrato </w:t>
      </w:r>
      <w:r w:rsidR="00847978">
        <w:rPr>
          <w:rFonts w:ascii="Arial" w:eastAsia="Calibri" w:hAnsi="Arial" w:cs="Arial"/>
          <w:sz w:val="22"/>
          <w:szCs w:val="22"/>
          <w:lang w:val="es-ES_tradnl"/>
        </w:rPr>
        <w:t xml:space="preserve">que </w:t>
      </w:r>
      <w:r w:rsidR="00EC790E">
        <w:rPr>
          <w:rFonts w:ascii="Arial" w:eastAsia="Calibri" w:hAnsi="Arial" w:cs="Arial"/>
          <w:sz w:val="22"/>
          <w:szCs w:val="22"/>
          <w:lang w:val="es-ES_tradnl"/>
        </w:rPr>
        <w:t xml:space="preserve">se va a ejecutar </w:t>
      </w:r>
      <w:r w:rsidR="00847978">
        <w:rPr>
          <w:rFonts w:ascii="Arial" w:eastAsia="Calibri" w:hAnsi="Arial" w:cs="Arial"/>
          <w:sz w:val="22"/>
          <w:szCs w:val="22"/>
          <w:lang w:val="es-ES_tradnl"/>
        </w:rPr>
        <w:t xml:space="preserve">en su totalidad </w:t>
      </w:r>
      <w:r w:rsidR="00EC790E">
        <w:rPr>
          <w:rFonts w:ascii="Arial" w:eastAsia="Calibri" w:hAnsi="Arial" w:cs="Arial"/>
          <w:sz w:val="22"/>
          <w:szCs w:val="22"/>
          <w:lang w:val="es-ES_tradnl"/>
        </w:rPr>
        <w:t xml:space="preserve">dentro del territorio </w:t>
      </w:r>
      <w:r w:rsidR="001A6547">
        <w:rPr>
          <w:rFonts w:ascii="Arial" w:eastAsia="Calibri" w:hAnsi="Arial" w:cs="Arial"/>
          <w:sz w:val="22"/>
          <w:szCs w:val="22"/>
          <w:lang w:val="es-ES_tradnl"/>
        </w:rPr>
        <w:t>de un municipio</w:t>
      </w:r>
      <w:r w:rsidR="00847978">
        <w:rPr>
          <w:rFonts w:ascii="Arial" w:eastAsia="Calibri" w:hAnsi="Arial" w:cs="Arial"/>
          <w:sz w:val="22"/>
          <w:szCs w:val="22"/>
          <w:lang w:val="es-ES_tradnl"/>
        </w:rPr>
        <w:t xml:space="preserve">, la limitación </w:t>
      </w:r>
      <w:r w:rsidR="00827443">
        <w:rPr>
          <w:rFonts w:ascii="Arial" w:eastAsia="Calibri" w:hAnsi="Arial" w:cs="Arial"/>
          <w:sz w:val="22"/>
          <w:szCs w:val="22"/>
          <w:lang w:val="es-ES_tradnl"/>
        </w:rPr>
        <w:t xml:space="preserve">territorial debe aplicarse en favor de las Mipyme que tengan su domicilio principal </w:t>
      </w:r>
      <w:r w:rsidR="00EB39CA">
        <w:rPr>
          <w:rFonts w:ascii="Arial" w:eastAsia="Calibri" w:hAnsi="Arial" w:cs="Arial"/>
          <w:sz w:val="22"/>
          <w:szCs w:val="22"/>
          <w:lang w:val="es-ES_tradnl"/>
        </w:rPr>
        <w:t>en dicha entidad territorial.</w:t>
      </w:r>
      <w:r w:rsidR="008B0E99">
        <w:rPr>
          <w:rFonts w:ascii="Arial" w:eastAsia="Calibri" w:hAnsi="Arial" w:cs="Arial"/>
          <w:sz w:val="22"/>
          <w:szCs w:val="22"/>
          <w:lang w:val="es-ES_tradnl"/>
        </w:rPr>
        <w:t xml:space="preserve"> </w:t>
      </w:r>
      <w:r w:rsidR="000720F1">
        <w:rPr>
          <w:rFonts w:ascii="Arial" w:eastAsia="Calibri" w:hAnsi="Arial" w:cs="Arial"/>
          <w:sz w:val="22"/>
          <w:szCs w:val="22"/>
          <w:lang w:val="es-ES_tradnl"/>
        </w:rPr>
        <w:t xml:space="preserve">En atención al mismo criterio, </w:t>
      </w:r>
      <w:r w:rsidR="00FA7F3D">
        <w:rPr>
          <w:rFonts w:ascii="Arial" w:eastAsia="Calibri" w:hAnsi="Arial" w:cs="Arial"/>
          <w:sz w:val="22"/>
          <w:szCs w:val="22"/>
          <w:lang w:val="es-ES_tradnl"/>
        </w:rPr>
        <w:t>en el caso de un contrato cuy</w:t>
      </w:r>
      <w:r w:rsidR="00135C2D">
        <w:rPr>
          <w:rFonts w:ascii="Arial" w:eastAsia="Calibri" w:hAnsi="Arial" w:cs="Arial"/>
          <w:sz w:val="22"/>
          <w:szCs w:val="22"/>
          <w:lang w:val="es-ES_tradnl"/>
        </w:rPr>
        <w:t xml:space="preserve">a ejecución trasciende el ámbito municipal, </w:t>
      </w:r>
      <w:r w:rsidR="008C5FBE">
        <w:rPr>
          <w:rFonts w:ascii="Arial" w:eastAsia="Calibri" w:hAnsi="Arial" w:cs="Arial"/>
          <w:sz w:val="22"/>
          <w:szCs w:val="22"/>
          <w:lang w:val="es-ES_tradnl"/>
        </w:rPr>
        <w:t>extendiéndose a los diferentes municipios del departamento, res</w:t>
      </w:r>
      <w:r w:rsidR="00F56A8E">
        <w:rPr>
          <w:rFonts w:ascii="Arial" w:eastAsia="Calibri" w:hAnsi="Arial" w:cs="Arial"/>
          <w:sz w:val="22"/>
          <w:szCs w:val="22"/>
          <w:lang w:val="es-ES_tradnl"/>
        </w:rPr>
        <w:t xml:space="preserve">ultará valido que la entidad que realiza la convocatoria la limite </w:t>
      </w:r>
      <w:r w:rsidR="00B56D57">
        <w:rPr>
          <w:rFonts w:ascii="Arial" w:eastAsia="Calibri" w:hAnsi="Arial" w:cs="Arial"/>
          <w:sz w:val="22"/>
          <w:szCs w:val="22"/>
          <w:lang w:val="es-ES_tradnl"/>
        </w:rPr>
        <w:t>a las empresas que tengan su domicilio principal en alguno de los diferentes municipios que conforman el respectivo departamento, bajo el presupuesto de que est</w:t>
      </w:r>
      <w:r w:rsidR="009A5963">
        <w:rPr>
          <w:rFonts w:ascii="Arial" w:eastAsia="Calibri" w:hAnsi="Arial" w:cs="Arial"/>
          <w:sz w:val="22"/>
          <w:szCs w:val="22"/>
          <w:lang w:val="es-ES_tradnl"/>
        </w:rPr>
        <w:t>o</w:t>
      </w:r>
      <w:r w:rsidR="00B56D57">
        <w:rPr>
          <w:rFonts w:ascii="Arial" w:eastAsia="Calibri" w:hAnsi="Arial" w:cs="Arial"/>
          <w:sz w:val="22"/>
          <w:szCs w:val="22"/>
          <w:lang w:val="es-ES_tradnl"/>
        </w:rPr>
        <w:t>s se encuentran</w:t>
      </w:r>
      <w:r w:rsidR="009A5963">
        <w:rPr>
          <w:rFonts w:ascii="Arial" w:eastAsia="Calibri" w:hAnsi="Arial" w:cs="Arial"/>
          <w:sz w:val="22"/>
          <w:szCs w:val="22"/>
          <w:lang w:val="es-ES_tradnl"/>
        </w:rPr>
        <w:t xml:space="preserve"> ubicados</w:t>
      </w:r>
      <w:r w:rsidR="00B56D57">
        <w:rPr>
          <w:rFonts w:ascii="Arial" w:eastAsia="Calibri" w:hAnsi="Arial" w:cs="Arial"/>
          <w:sz w:val="22"/>
          <w:szCs w:val="22"/>
          <w:lang w:val="es-ES_tradnl"/>
        </w:rPr>
        <w:t xml:space="preserve"> dentro del ámbito territorial en donde deberá cumplirse con el objeto contractual</w:t>
      </w:r>
      <w:r w:rsidR="009A5963">
        <w:rPr>
          <w:rFonts w:ascii="Arial" w:eastAsia="Calibri" w:hAnsi="Arial" w:cs="Arial"/>
          <w:sz w:val="22"/>
          <w:szCs w:val="22"/>
          <w:lang w:val="es-ES_tradnl"/>
        </w:rPr>
        <w:t>.</w:t>
      </w:r>
      <w:r w:rsidR="00B56D57">
        <w:rPr>
          <w:rFonts w:ascii="Arial" w:eastAsia="Calibri" w:hAnsi="Arial" w:cs="Arial"/>
          <w:sz w:val="22"/>
          <w:szCs w:val="22"/>
          <w:lang w:val="es-ES_tradnl"/>
        </w:rPr>
        <w:t xml:space="preserve">  </w:t>
      </w:r>
      <w:r w:rsidR="00FA7F3D">
        <w:rPr>
          <w:rFonts w:ascii="Arial" w:eastAsia="Calibri" w:hAnsi="Arial" w:cs="Arial"/>
          <w:sz w:val="22"/>
          <w:szCs w:val="22"/>
          <w:lang w:val="es-ES_tradnl"/>
        </w:rPr>
        <w:t xml:space="preserve"> </w:t>
      </w:r>
    </w:p>
    <w:p w14:paraId="3BFC4698" w14:textId="4B862D3B" w:rsidR="00DB5E7A" w:rsidRDefault="00DB5E7A" w:rsidP="00DB5E7A">
      <w:pPr>
        <w:spacing w:before="120" w:line="276" w:lineRule="auto"/>
        <w:ind w:firstLine="709"/>
        <w:jc w:val="both"/>
        <w:rPr>
          <w:rFonts w:ascii="Arial" w:eastAsia="Calibri" w:hAnsi="Arial" w:cs="Arial"/>
          <w:sz w:val="22"/>
          <w:szCs w:val="22"/>
          <w:lang w:eastAsia="es-MX"/>
        </w:rPr>
      </w:pPr>
      <w:r>
        <w:rPr>
          <w:rFonts w:ascii="Arial" w:eastAsia="Calibri" w:hAnsi="Arial" w:cs="Arial"/>
          <w:sz w:val="22"/>
          <w:szCs w:val="22"/>
          <w:lang w:val="es-MX"/>
        </w:rPr>
        <w:lastRenderedPageBreak/>
        <w:t>Finalmente, en atención a la consulta plateada, e</w:t>
      </w:r>
      <w:r>
        <w:rPr>
          <w:rFonts w:ascii="Arial" w:eastAsia="Calibri" w:hAnsi="Arial" w:cs="Arial"/>
          <w:sz w:val="22"/>
          <w:szCs w:val="22"/>
        </w:rPr>
        <w:t xml:space="preserve">sta Agencia considera que lo recomendable es que las entidades establezcan </w:t>
      </w:r>
      <w:r w:rsidRPr="004900D3">
        <w:rPr>
          <w:rFonts w:ascii="Arial" w:eastAsia="Calibri" w:hAnsi="Arial" w:cs="Arial"/>
          <w:i/>
          <w:iCs/>
          <w:sz w:val="22"/>
          <w:szCs w:val="22"/>
        </w:rPr>
        <w:t>ex ante</w:t>
      </w:r>
      <w:r>
        <w:rPr>
          <w:rFonts w:ascii="Arial" w:eastAsia="Calibri" w:hAnsi="Arial" w:cs="Arial"/>
          <w:sz w:val="22"/>
          <w:szCs w:val="22"/>
        </w:rPr>
        <w:t xml:space="preserve"> las condiciones en las que, eventualmente, harían la «limitación territorial». Para tales fines, en el proyecto de pliego de condiciones 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MiPymes, por ejemplo, en relación con cuál o cuáles municipios o departamentos harían la limitación territorial de que trata el artículo 2.2.1.2.4.2.3. del Decreto 1082 de 2015.</w:t>
      </w:r>
    </w:p>
    <w:p w14:paraId="23B51A38" w14:textId="77777777" w:rsidR="00015FE2" w:rsidRPr="007A79C2" w:rsidRDefault="00015FE2" w:rsidP="00F3144F">
      <w:pPr>
        <w:spacing w:line="276" w:lineRule="auto"/>
        <w:jc w:val="both"/>
        <w:rPr>
          <w:rFonts w:ascii="Arial" w:eastAsia="Arial" w:hAnsi="Arial" w:cs="Arial"/>
          <w:b/>
          <w:color w:val="000000"/>
          <w:sz w:val="22"/>
          <w:szCs w:val="22"/>
          <w:lang w:val="es-ES_tradnl"/>
        </w:rPr>
      </w:pPr>
    </w:p>
    <w:bookmarkEnd w:id="4"/>
    <w:p w14:paraId="37CA9805" w14:textId="7D32B119" w:rsidR="00DD5B04" w:rsidRPr="00A51520" w:rsidRDefault="004177A6" w:rsidP="00F3144F">
      <w:pPr>
        <w:tabs>
          <w:tab w:val="left" w:pos="0"/>
        </w:tabs>
        <w:jc w:val="both"/>
        <w:rPr>
          <w:rFonts w:ascii="Arial" w:eastAsia="Calibri" w:hAnsi="Arial" w:cs="Arial"/>
          <w:b/>
          <w:color w:val="000000" w:themeColor="text1"/>
          <w:sz w:val="22"/>
          <w:lang w:val="es-ES_tradnl"/>
        </w:rPr>
      </w:pPr>
      <w:r w:rsidRPr="00A51520">
        <w:rPr>
          <w:rFonts w:ascii="Arial" w:eastAsia="Calibri" w:hAnsi="Arial" w:cs="Arial"/>
          <w:b/>
          <w:color w:val="000000" w:themeColor="text1"/>
          <w:sz w:val="22"/>
          <w:lang w:val="es-ES_tradnl"/>
        </w:rPr>
        <w:t>3</w:t>
      </w:r>
      <w:r w:rsidR="00B011A9" w:rsidRPr="00A51520">
        <w:rPr>
          <w:rFonts w:ascii="Arial" w:eastAsia="Calibri" w:hAnsi="Arial" w:cs="Arial"/>
          <w:b/>
          <w:color w:val="000000" w:themeColor="text1"/>
          <w:sz w:val="22"/>
          <w:lang w:val="es-ES_tradnl"/>
        </w:rPr>
        <w:t xml:space="preserve">. </w:t>
      </w:r>
      <w:r w:rsidR="00DD5B04" w:rsidRPr="00A51520">
        <w:rPr>
          <w:rFonts w:ascii="Arial" w:eastAsia="Calibri" w:hAnsi="Arial" w:cs="Arial"/>
          <w:b/>
          <w:color w:val="000000" w:themeColor="text1"/>
          <w:sz w:val="22"/>
          <w:lang w:val="es-ES_tradnl"/>
        </w:rPr>
        <w:t>Respuesta</w:t>
      </w:r>
    </w:p>
    <w:p w14:paraId="49375CFA" w14:textId="77777777" w:rsidR="00D633AC" w:rsidRPr="00A51520" w:rsidRDefault="00D633AC" w:rsidP="00F3144F">
      <w:pPr>
        <w:spacing w:line="276" w:lineRule="auto"/>
        <w:jc w:val="both"/>
        <w:rPr>
          <w:rFonts w:ascii="Arial" w:hAnsi="Arial" w:cs="Arial"/>
          <w:color w:val="000000" w:themeColor="text1"/>
          <w:sz w:val="22"/>
          <w:lang w:val="es-ES_tradnl"/>
        </w:rPr>
      </w:pPr>
    </w:p>
    <w:p w14:paraId="40009BAF" w14:textId="76B89593" w:rsidR="00824AD5" w:rsidRPr="00F653DD" w:rsidRDefault="001B6E47" w:rsidP="001B6E47">
      <w:pPr>
        <w:ind w:left="709" w:right="476"/>
        <w:jc w:val="both"/>
        <w:rPr>
          <w:rFonts w:ascii="Arial" w:eastAsia="Calibri" w:hAnsi="Arial" w:cs="Arial"/>
          <w:bCs/>
          <w:sz w:val="21"/>
          <w:szCs w:val="21"/>
          <w:lang w:val="es-ES_tradnl"/>
        </w:rPr>
      </w:pPr>
      <w:r w:rsidRPr="001B6E47">
        <w:rPr>
          <w:rFonts w:ascii="Arial" w:hAnsi="Arial" w:cs="Arial"/>
          <w:sz w:val="21"/>
          <w:szCs w:val="21"/>
          <w:lang w:val="es-ES_tradnl"/>
        </w:rPr>
        <w:t>«1. si en un proceso de menor o de minima cuantia se radican varias solicitudes de limitacion a MIPYMES y algunas de ellas son de diferentes niveles de la siguiente manera 2 solicitudes de nivel municipal y dos de nivel departamental, en este caso las 4 solicitudes cumplen los requisitos establecidos en la norma, quisiera solicitar cordialmente a colombia compra indicar cual es el criterio que se debe adoptar. si (sic) limitar a nivel municipal ósea (sic) el mas pequeño o nivel departamental nivel medio».</w:t>
      </w:r>
    </w:p>
    <w:p w14:paraId="5E659355" w14:textId="77777777" w:rsidR="00F3144F" w:rsidRDefault="00F3144F" w:rsidP="00AD3693">
      <w:pPr>
        <w:jc w:val="both"/>
        <w:rPr>
          <w:rFonts w:ascii="Arial" w:hAnsi="Arial" w:cs="Arial"/>
          <w:color w:val="000000" w:themeColor="text1"/>
          <w:sz w:val="22"/>
          <w:lang w:val="es-ES_tradnl"/>
        </w:rPr>
      </w:pPr>
    </w:p>
    <w:p w14:paraId="7175644B" w14:textId="522C9037" w:rsidR="003314E4" w:rsidRDefault="006B19C6" w:rsidP="009D619D">
      <w:pPr>
        <w:spacing w:after="120" w:line="276" w:lineRule="auto"/>
        <w:jc w:val="both"/>
        <w:rPr>
          <w:rFonts w:ascii="Arial" w:eastAsia="Arial" w:hAnsi="Arial" w:cs="Arial"/>
          <w:color w:val="000000"/>
          <w:sz w:val="22"/>
          <w:szCs w:val="22"/>
          <w:lang w:val="es-ES_tradnl" w:eastAsia="en-US"/>
        </w:rPr>
      </w:pPr>
      <w:r>
        <w:rPr>
          <w:rFonts w:ascii="Arial" w:hAnsi="Arial" w:cs="Arial"/>
          <w:color w:val="000000" w:themeColor="text1"/>
          <w:sz w:val="22"/>
          <w:lang w:val="es-ES_tradnl"/>
        </w:rPr>
        <w:t>D</w:t>
      </w:r>
      <w:r w:rsidR="00F3144F">
        <w:rPr>
          <w:rFonts w:ascii="Arial" w:hAnsi="Arial" w:cs="Arial"/>
          <w:color w:val="000000" w:themeColor="text1"/>
          <w:sz w:val="22"/>
          <w:lang w:val="es-ES_tradnl"/>
        </w:rPr>
        <w:t>e</w:t>
      </w:r>
      <w:r w:rsidRPr="006B19C6">
        <w:rPr>
          <w:rFonts w:ascii="Arial" w:hAnsi="Arial" w:cs="Arial"/>
          <w:color w:val="000000" w:themeColor="text1"/>
          <w:sz w:val="22"/>
        </w:rPr>
        <w:t xml:space="preserve"> acuerdo con </w:t>
      </w:r>
      <w:r w:rsidR="00BB7BA6">
        <w:rPr>
          <w:rFonts w:ascii="Arial" w:hAnsi="Arial" w:cs="Arial"/>
          <w:color w:val="000000" w:themeColor="text1"/>
          <w:sz w:val="22"/>
        </w:rPr>
        <w:t>la explicación preced</w:t>
      </w:r>
      <w:r w:rsidR="003314E4">
        <w:rPr>
          <w:rFonts w:ascii="Arial" w:hAnsi="Arial" w:cs="Arial"/>
          <w:color w:val="000000" w:themeColor="text1"/>
          <w:sz w:val="22"/>
        </w:rPr>
        <w:t xml:space="preserve">ente, </w:t>
      </w:r>
      <w:r w:rsidR="003314E4" w:rsidRPr="00BC2F4D">
        <w:rPr>
          <w:rFonts w:ascii="Arial" w:eastAsia="Arial" w:hAnsi="Arial" w:cs="Arial"/>
          <w:color w:val="000000"/>
          <w:sz w:val="22"/>
          <w:szCs w:val="22"/>
          <w:lang w:val="es-ES_tradnl" w:eastAsia="en-US"/>
        </w:rPr>
        <w:t>no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w:t>
      </w:r>
      <w:r w:rsidR="002334F7">
        <w:rPr>
          <w:rFonts w:ascii="Arial" w:eastAsia="Arial" w:hAnsi="Arial" w:cs="Arial"/>
          <w:color w:val="000000"/>
          <w:sz w:val="22"/>
          <w:szCs w:val="22"/>
          <w:lang w:val="es-ES_tradnl" w:eastAsia="en-US"/>
        </w:rPr>
        <w:t>°</w:t>
      </w:r>
      <w:r w:rsidR="003314E4" w:rsidRPr="00BC2F4D">
        <w:rPr>
          <w:rFonts w:ascii="Arial" w:eastAsia="Arial" w:hAnsi="Arial" w:cs="Arial"/>
          <w:color w:val="000000"/>
          <w:sz w:val="22"/>
          <w:szCs w:val="22"/>
          <w:lang w:val="es-ES_tradnl" w:eastAsia="en-US"/>
        </w:rPr>
        <w:t xml:space="preserve"> y 2</w:t>
      </w:r>
      <w:r w:rsidR="002334F7">
        <w:rPr>
          <w:rFonts w:ascii="Arial" w:eastAsia="Arial" w:hAnsi="Arial" w:cs="Arial"/>
          <w:color w:val="000000"/>
          <w:sz w:val="22"/>
          <w:szCs w:val="22"/>
          <w:lang w:val="es-ES_tradnl" w:eastAsia="en-US"/>
        </w:rPr>
        <w:t>°</w:t>
      </w:r>
      <w:r w:rsidR="003314E4" w:rsidRPr="00BC2F4D">
        <w:rPr>
          <w:rFonts w:ascii="Arial" w:eastAsia="Arial" w:hAnsi="Arial" w:cs="Arial"/>
          <w:color w:val="000000"/>
          <w:sz w:val="22"/>
          <w:szCs w:val="22"/>
          <w:lang w:val="es-ES_tradnl" w:eastAsia="en-US"/>
        </w:rPr>
        <w:t xml:space="preserve"> del artículo 2.2.1.2.4.2.2. del Decreto 1082 de 2015, modificado por el Decreto 1860 de 2021. En ese sentido, si la entidad no recibió las solicitudes para limitar la convocatoria a Mipyme, no puede </w:t>
      </w:r>
      <w:r w:rsidR="003314E4" w:rsidRPr="00BC2F4D">
        <w:rPr>
          <w:rFonts w:ascii="Arial" w:eastAsia="Arial" w:hAnsi="Arial" w:cs="Arial"/>
          <w:i/>
          <w:color w:val="000000"/>
          <w:sz w:val="22"/>
          <w:szCs w:val="22"/>
          <w:lang w:val="es-ES_tradnl" w:eastAsia="en-US"/>
        </w:rPr>
        <w:t xml:space="preserve">motu proprio </w:t>
      </w:r>
      <w:r w:rsidR="003314E4" w:rsidRPr="00BC2F4D">
        <w:rPr>
          <w:rFonts w:ascii="Arial" w:eastAsia="Arial" w:hAnsi="Arial" w:cs="Arial"/>
          <w:color w:val="000000"/>
          <w:sz w:val="22"/>
          <w:szCs w:val="22"/>
          <w:lang w:val="es-ES_tradnl" w:eastAsia="en-U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3F957BCB" w14:textId="1657CCA6" w:rsidR="003314E4" w:rsidRPr="006F0FDD" w:rsidRDefault="003314E4" w:rsidP="003314E4">
      <w:pPr>
        <w:spacing w:after="120" w:line="276" w:lineRule="auto"/>
        <w:ind w:firstLine="708"/>
        <w:jc w:val="both"/>
        <w:rPr>
          <w:rFonts w:ascii="Arial" w:hAnsi="Arial" w:cs="Arial"/>
          <w:color w:val="000000" w:themeColor="text1"/>
          <w:sz w:val="22"/>
        </w:rPr>
      </w:pPr>
      <w:r w:rsidRPr="006F0FDD">
        <w:rPr>
          <w:rFonts w:ascii="Arial" w:hAnsi="Arial" w:cs="Arial"/>
          <w:color w:val="000000" w:themeColor="text1"/>
          <w:sz w:val="22"/>
        </w:rPr>
        <w:t>Cumplidos los dos</w:t>
      </w:r>
      <w:r w:rsidR="00DB5E7A">
        <w:rPr>
          <w:rFonts w:ascii="Arial" w:hAnsi="Arial" w:cs="Arial"/>
          <w:color w:val="000000" w:themeColor="text1"/>
          <w:sz w:val="22"/>
        </w:rPr>
        <w:t xml:space="preserve"> (2)</w:t>
      </w:r>
      <w:r w:rsidRPr="006F0FDD">
        <w:rPr>
          <w:rFonts w:ascii="Arial" w:hAnsi="Arial" w:cs="Arial"/>
          <w:color w:val="000000" w:themeColor="text1"/>
          <w:sz w:val="22"/>
        </w:rPr>
        <w:t xml:space="preserve"> requisitos del artículo 2.2.1.2.4.2.2. </w:t>
      </w:r>
      <w:r w:rsidRPr="006F0FDD">
        <w:rPr>
          <w:rFonts w:ascii="Arial" w:hAnsi="Arial" w:cs="Arial"/>
          <w:i/>
          <w:iCs/>
          <w:color w:val="000000" w:themeColor="text1"/>
          <w:sz w:val="22"/>
        </w:rPr>
        <w:t>ibídem</w:t>
      </w:r>
      <w:r w:rsidRPr="006F0FDD">
        <w:rPr>
          <w:rFonts w:ascii="Arial" w:hAnsi="Arial" w:cs="Arial"/>
          <w:color w:val="000000" w:themeColor="text1"/>
          <w:sz w:val="22"/>
        </w:rPr>
        <w:t xml:space="preserve">, la entidad estatal, independientemente de su régimen de contratación, los patrimonios autónomos constituidos por entidades estatales y los particulares que ejecuten recursos públicos, </w:t>
      </w:r>
      <w:r w:rsidRPr="004900D3">
        <w:rPr>
          <w:rFonts w:ascii="Arial" w:hAnsi="Arial" w:cs="Arial"/>
          <w:i/>
          <w:iCs/>
          <w:color w:val="000000" w:themeColor="text1"/>
          <w:sz w:val="22"/>
        </w:rPr>
        <w:t>pueden</w:t>
      </w:r>
      <w:r w:rsidRPr="006F0FDD">
        <w:rPr>
          <w:rFonts w:ascii="Arial" w:hAnsi="Arial" w:cs="Arial"/>
          <w:color w:val="000000" w:themeColor="text1"/>
          <w:sz w:val="22"/>
        </w:rPr>
        <w:t xml:space="preserve"> ─no tienen que─ decidir si limitan la convocatoria a las Mipyme colombianas domiciliadas en el municipio o departamento en el que se ejecutará el contrato. Esto de acuerdo con lo establecido en artículo 2.2.1.2.4.2.3. del Decreto 1082 de 2015 </w:t>
      </w:r>
      <w:r w:rsidRPr="006F0FDD">
        <w:rPr>
          <w:rFonts w:ascii="Arial" w:eastAsia="Arial" w:hAnsi="Arial" w:cs="Arial"/>
          <w:color w:val="000000"/>
          <w:sz w:val="22"/>
          <w:szCs w:val="22"/>
          <w:lang w:val="es-ES_tradnl" w:eastAsia="en-US"/>
        </w:rPr>
        <w:t>modificado por el Decreto 1860 de 2021</w:t>
      </w:r>
      <w:r w:rsidRPr="006F0FDD">
        <w:rPr>
          <w:rFonts w:ascii="Arial" w:hAnsi="Arial" w:cs="Arial"/>
          <w:color w:val="000000" w:themeColor="text1"/>
          <w:sz w:val="22"/>
        </w:rPr>
        <w:t xml:space="preserve">, norma que se refiere a la facultad de la administración con el verbo infinitivo «poder», no «deber». </w:t>
      </w:r>
    </w:p>
    <w:p w14:paraId="64BAFFF9" w14:textId="29ABA4C3" w:rsidR="003314E4" w:rsidRPr="006F0FDD" w:rsidRDefault="00B3149E" w:rsidP="003314E4">
      <w:pPr>
        <w:spacing w:after="120" w:line="276" w:lineRule="auto"/>
        <w:ind w:firstLine="709"/>
        <w:jc w:val="both"/>
        <w:rPr>
          <w:rFonts w:ascii="Arial" w:eastAsia="Calibri" w:hAnsi="Arial" w:cs="Arial"/>
          <w:color w:val="000000" w:themeColor="text1"/>
          <w:sz w:val="22"/>
        </w:rPr>
      </w:pPr>
      <w:r>
        <w:rPr>
          <w:rFonts w:ascii="Arial" w:eastAsia="Calibri" w:hAnsi="Arial" w:cs="Arial"/>
          <w:color w:val="000000" w:themeColor="text1"/>
          <w:sz w:val="22"/>
        </w:rPr>
        <w:t>Esta Agencia</w:t>
      </w:r>
      <w:r w:rsidR="003314E4" w:rsidRPr="006F0FDD">
        <w:rPr>
          <w:rFonts w:ascii="Arial" w:eastAsia="Calibri" w:hAnsi="Arial" w:cs="Arial"/>
          <w:color w:val="000000" w:themeColor="text1"/>
          <w:sz w:val="22"/>
        </w:rPr>
        <w:t xml:space="preserve"> ha sostenido que la decisión de limitar territorialmente un</w:t>
      </w:r>
      <w:r w:rsidR="003314E4" w:rsidRPr="006F0FDD">
        <w:rPr>
          <w:rFonts w:ascii="Arial" w:hAnsi="Arial" w:cs="Arial"/>
          <w:color w:val="000000" w:themeColor="text1"/>
          <w:sz w:val="22"/>
        </w:rPr>
        <w:t>a convocatoria a Mipyme</w:t>
      </w:r>
      <w:r w:rsidR="003314E4">
        <w:rPr>
          <w:rFonts w:ascii="Arial" w:hAnsi="Arial" w:cs="Arial"/>
          <w:color w:val="000000" w:themeColor="text1"/>
          <w:sz w:val="22"/>
        </w:rPr>
        <w:t xml:space="preserve"> </w:t>
      </w:r>
      <w:r w:rsidR="003314E4" w:rsidRPr="006F0FDD">
        <w:rPr>
          <w:rFonts w:ascii="Arial" w:eastAsia="Calibri" w:hAnsi="Arial" w:cs="Arial"/>
          <w:color w:val="000000" w:themeColor="text1"/>
          <w:sz w:val="22"/>
        </w:rPr>
        <w:t xml:space="preserve">es discrecional, y ha precisado que, de todos modos, la decisión </w:t>
      </w:r>
      <w:r w:rsidR="003314E4" w:rsidRPr="006F0FDD">
        <w:rPr>
          <w:rFonts w:ascii="Arial" w:eastAsia="Calibri" w:hAnsi="Arial" w:cs="Arial"/>
          <w:color w:val="000000" w:themeColor="text1"/>
          <w:sz w:val="22"/>
        </w:rPr>
        <w:lastRenderedPageBreak/>
        <w:t xml:space="preserve">debe estar justificada en los correspondientes «estudios del sector». Así lo consideró en </w:t>
      </w:r>
      <w:r w:rsidR="003314E4" w:rsidRPr="00BC2F4D">
        <w:rPr>
          <w:rFonts w:ascii="Arial" w:eastAsia="Calibri" w:hAnsi="Arial" w:cs="Arial"/>
          <w:color w:val="000000" w:themeColor="text1"/>
          <w:sz w:val="22"/>
        </w:rPr>
        <w:t xml:space="preserve">la consulta No. 216130003241, resuelta el 30 de junio de 2016. Igualmente, en la consulta resuelta en el radicado No. 2201813000008184 del 7 de septiembre de 2018, se dijo que, de acuerdo con el </w:t>
      </w:r>
      <w:r w:rsidR="003314E4" w:rsidRPr="00BC2F4D">
        <w:rPr>
          <w:rFonts w:ascii="Arial" w:hAnsi="Arial" w:cs="Arial"/>
          <w:color w:val="000000" w:themeColor="text1"/>
          <w:sz w:val="22"/>
        </w:rPr>
        <w:t>artículo 2.2.1.2.4.2.3. del Decreto 1082 de 2015, las Mipyme</w:t>
      </w:r>
      <w:r w:rsidR="003314E4" w:rsidRPr="00BC2F4D">
        <w:rPr>
          <w:rFonts w:ascii="Arial" w:eastAsia="Calibri" w:hAnsi="Arial" w:cs="Arial"/>
          <w:color w:val="000000" w:themeColor="text1"/>
          <w:sz w:val="22"/>
        </w:rPr>
        <w:t xml:space="preserve"> beneficiadas deben tener su domicilio principal en el municipio</w:t>
      </w:r>
      <w:r w:rsidR="003314E4" w:rsidRPr="006F0FDD">
        <w:rPr>
          <w:rFonts w:ascii="Arial" w:eastAsia="Calibri" w:hAnsi="Arial" w:cs="Arial"/>
          <w:color w:val="000000" w:themeColor="text1"/>
          <w:sz w:val="22"/>
        </w:rPr>
        <w:t xml:space="preserve"> o departamento donde se ejecutará el contrato para poder participar en una convocatoria limitada territorialmente</w:t>
      </w:r>
      <w:r w:rsidR="003314E4">
        <w:rPr>
          <w:rFonts w:ascii="Arial" w:eastAsia="Calibri" w:hAnsi="Arial" w:cs="Arial"/>
          <w:color w:val="000000" w:themeColor="text1"/>
          <w:sz w:val="22"/>
        </w:rPr>
        <w:t>.</w:t>
      </w:r>
      <w:r w:rsidR="003314E4">
        <w:rPr>
          <w:rFonts w:ascii="Arial" w:hAnsi="Arial" w:cs="Arial"/>
          <w:color w:val="000000" w:themeColor="text1"/>
          <w:sz w:val="22"/>
        </w:rPr>
        <w:t xml:space="preserve"> Esta tesis sigue vigente, puesto que el nuevo contenido del artículo </w:t>
      </w:r>
      <w:r w:rsidR="003314E4" w:rsidRPr="00BC2F4D">
        <w:rPr>
          <w:rFonts w:ascii="Arial" w:hAnsi="Arial" w:cs="Arial"/>
          <w:color w:val="000000" w:themeColor="text1"/>
          <w:sz w:val="22"/>
        </w:rPr>
        <w:t>2.2.1.2.4.2.3. del Decreto 1082 de 2015</w:t>
      </w:r>
      <w:r w:rsidR="003314E4">
        <w:rPr>
          <w:rFonts w:ascii="Arial" w:hAnsi="Arial" w:cs="Arial"/>
          <w:color w:val="000000" w:themeColor="text1"/>
          <w:sz w:val="22"/>
        </w:rPr>
        <w:t xml:space="preserve">, modificado por </w:t>
      </w:r>
      <w:r w:rsidR="003314E4" w:rsidRPr="00073EA0">
        <w:rPr>
          <w:rFonts w:ascii="Arial" w:hAnsi="Arial" w:cs="Arial"/>
          <w:color w:val="000000" w:themeColor="text1"/>
          <w:sz w:val="22"/>
        </w:rPr>
        <w:t>el artículo 5 del Decreto 1860</w:t>
      </w:r>
      <w:r w:rsidR="003314E4">
        <w:rPr>
          <w:rFonts w:ascii="Arial" w:hAnsi="Arial" w:cs="Arial"/>
          <w:color w:val="000000" w:themeColor="text1"/>
          <w:sz w:val="22"/>
        </w:rPr>
        <w:t xml:space="preserve"> de 2021, mantiene la facultad de la Administración para limitar territorialmente la convocatoria teniendo en cuenta el domicilio de ejecución del contrato.</w:t>
      </w:r>
    </w:p>
    <w:p w14:paraId="74FADC81" w14:textId="0F4912FE" w:rsidR="003314E4" w:rsidRDefault="003314E4" w:rsidP="003314E4">
      <w:pPr>
        <w:spacing w:after="120" w:line="276" w:lineRule="auto"/>
        <w:ind w:firstLine="709"/>
        <w:jc w:val="both"/>
        <w:rPr>
          <w:rFonts w:ascii="Arial" w:eastAsia="Calibri" w:hAnsi="Arial" w:cs="Arial"/>
          <w:color w:val="000000" w:themeColor="text1"/>
          <w:sz w:val="22"/>
        </w:rPr>
      </w:pPr>
      <w:r w:rsidRPr="004900D3">
        <w:rPr>
          <w:rFonts w:ascii="Arial" w:hAnsi="Arial" w:cs="Arial"/>
          <w:color w:val="000000" w:themeColor="text1"/>
          <w:sz w:val="22"/>
        </w:rPr>
        <w:t xml:space="preserve">En tal sentido, </w:t>
      </w:r>
      <w:r w:rsidRPr="004900D3">
        <w:rPr>
          <w:rFonts w:ascii="Arial" w:eastAsia="Calibri" w:hAnsi="Arial" w:cs="Arial"/>
          <w:color w:val="000000" w:themeColor="text1"/>
          <w:sz w:val="22"/>
        </w:rPr>
        <w:t>debe tener</w:t>
      </w:r>
      <w:r w:rsidR="00F138CA" w:rsidRPr="004900D3">
        <w:rPr>
          <w:rFonts w:ascii="Arial" w:eastAsia="Calibri" w:hAnsi="Arial" w:cs="Arial"/>
          <w:color w:val="000000" w:themeColor="text1"/>
          <w:sz w:val="22"/>
        </w:rPr>
        <w:t>se</w:t>
      </w:r>
      <w:r w:rsidRPr="004900D3">
        <w:rPr>
          <w:rFonts w:ascii="Arial" w:eastAsia="Calibri" w:hAnsi="Arial" w:cs="Arial"/>
          <w:color w:val="000000" w:themeColor="text1"/>
          <w:sz w:val="22"/>
        </w:rPr>
        <w:t xml:space="preserve"> presente que lo que sucede de pleno derecho es la</w:t>
      </w:r>
      <w:r w:rsidRPr="004900D3">
        <w:rPr>
          <w:rFonts w:ascii="Arial" w:hAnsi="Arial" w:cs="Arial"/>
          <w:color w:val="000000" w:themeColor="text1"/>
          <w:sz w:val="22"/>
        </w:rPr>
        <w:t xml:space="preserve"> limitación a Mipyme colombianas</w:t>
      </w:r>
      <w:r w:rsidRPr="004900D3">
        <w:rPr>
          <w:rFonts w:ascii="Arial" w:eastAsia="Calibri" w:hAnsi="Arial" w:cs="Arial"/>
          <w:color w:val="000000" w:themeColor="text1"/>
          <w:sz w:val="22"/>
        </w:rPr>
        <w:t xml:space="preserve"> a la que se refiere el artículo 2.2.1.2.4.2.2. del Decreto 1082 de 2015, pero no la «limitación territorial» referida en el artículo 2.2.1.2.4.2.3. </w:t>
      </w:r>
      <w:r w:rsidRPr="004900D3">
        <w:rPr>
          <w:rFonts w:ascii="Arial" w:eastAsia="Calibri" w:hAnsi="Arial" w:cs="Arial"/>
          <w:i/>
          <w:iCs/>
          <w:color w:val="000000" w:themeColor="text1"/>
          <w:sz w:val="22"/>
        </w:rPr>
        <w:t>ibídem</w:t>
      </w:r>
      <w:r w:rsidRPr="004900D3">
        <w:rPr>
          <w:rFonts w:ascii="Arial" w:eastAsia="Calibri" w:hAnsi="Arial" w:cs="Arial"/>
          <w:color w:val="000000" w:themeColor="text1"/>
          <w:sz w:val="22"/>
        </w:rPr>
        <w:t>, pues esta, como ya se dijo, es facultativa para la entidad. Las únicas exigencias son que la convocatoria esté l</w:t>
      </w:r>
      <w:r w:rsidRPr="004900D3">
        <w:rPr>
          <w:rFonts w:ascii="Arial" w:hAnsi="Arial" w:cs="Arial"/>
          <w:color w:val="000000" w:themeColor="text1"/>
          <w:sz w:val="22"/>
        </w:rPr>
        <w:t>imitada a las Mipyme colombianas</w:t>
      </w:r>
      <w:r w:rsidRPr="004900D3">
        <w:rPr>
          <w:rFonts w:ascii="Arial" w:eastAsia="Calibri" w:hAnsi="Arial" w:cs="Arial"/>
          <w:color w:val="000000" w:themeColor="text1"/>
          <w:sz w:val="22"/>
        </w:rPr>
        <w:t xml:space="preserve"> «domiciliadas en los departamentos o municipios en donde se va a ejecutar el contrato» y que la entidad justifique su decisión en los «estudios del sector». No es procedente, entonces, que sean las Mipymes las que soliciten la «limitación territorial» a la que se refiere el artículo 2.2.1.2.4.2.3. del Decreto 1082 de 2015.</w:t>
      </w:r>
      <w:r>
        <w:rPr>
          <w:rFonts w:ascii="Arial" w:eastAsia="Calibri" w:hAnsi="Arial" w:cs="Arial"/>
          <w:color w:val="000000" w:themeColor="text1"/>
          <w:sz w:val="22"/>
        </w:rPr>
        <w:t xml:space="preserve"> </w:t>
      </w:r>
    </w:p>
    <w:p w14:paraId="09A61799" w14:textId="77777777" w:rsidR="00DB5E7A" w:rsidRDefault="00DB5E7A" w:rsidP="00DB5E7A">
      <w:pPr>
        <w:spacing w:after="120" w:line="276" w:lineRule="auto"/>
        <w:ind w:firstLine="709"/>
        <w:jc w:val="both"/>
        <w:rPr>
          <w:rFonts w:ascii="Arial" w:eastAsia="Calibri" w:hAnsi="Arial" w:cs="Arial"/>
          <w:color w:val="000000" w:themeColor="text1"/>
          <w:sz w:val="22"/>
        </w:rPr>
      </w:pPr>
      <w:r>
        <w:rPr>
          <w:rFonts w:ascii="Arial" w:eastAsia="Calibri" w:hAnsi="Arial" w:cs="Arial"/>
          <w:color w:val="000000" w:themeColor="text1"/>
          <w:sz w:val="22"/>
        </w:rPr>
        <w:t xml:space="preserve">De esta manera, </w:t>
      </w:r>
      <w:r w:rsidRPr="006F0FDD">
        <w:rPr>
          <w:rFonts w:ascii="Arial" w:eastAsia="Calibri" w:hAnsi="Arial" w:cs="Arial"/>
          <w:color w:val="000000" w:themeColor="text1"/>
          <w:sz w:val="22"/>
        </w:rPr>
        <w:t>debe reite</w:t>
      </w:r>
      <w:r w:rsidRPr="006F0FDD">
        <w:rPr>
          <w:rFonts w:ascii="Arial" w:hAnsi="Arial" w:cs="Arial"/>
          <w:color w:val="000000" w:themeColor="text1"/>
          <w:sz w:val="22"/>
        </w:rPr>
        <w:t>rar</w:t>
      </w:r>
      <w:r>
        <w:rPr>
          <w:rFonts w:ascii="Arial" w:hAnsi="Arial" w:cs="Arial"/>
          <w:color w:val="000000" w:themeColor="text1"/>
          <w:sz w:val="22"/>
        </w:rPr>
        <w:t>se</w:t>
      </w:r>
      <w:r w:rsidRPr="006F0FDD">
        <w:rPr>
          <w:rFonts w:ascii="Arial" w:hAnsi="Arial" w:cs="Arial"/>
          <w:color w:val="000000" w:themeColor="text1"/>
          <w:sz w:val="22"/>
        </w:rPr>
        <w:t xml:space="preserve"> que el origen de las Mipyme</w:t>
      </w:r>
      <w:r w:rsidRPr="006F0FDD">
        <w:rPr>
          <w:rFonts w:ascii="Arial" w:eastAsia="Calibri" w:hAnsi="Arial" w:cs="Arial"/>
          <w:color w:val="000000" w:themeColor="text1"/>
          <w:sz w:val="22"/>
        </w:rPr>
        <w:t xml:space="preserve"> que solicitan la «limitación territorial» no es relevante frente a dicha decisión, por dos razo</w:t>
      </w:r>
      <w:r>
        <w:rPr>
          <w:rFonts w:ascii="Arial" w:hAnsi="Arial" w:cs="Arial"/>
          <w:color w:val="000000" w:themeColor="text1"/>
          <w:sz w:val="22"/>
        </w:rPr>
        <w:t>nes: p</w:t>
      </w:r>
      <w:r w:rsidRPr="006F0FDD">
        <w:rPr>
          <w:rFonts w:ascii="Arial" w:hAnsi="Arial" w:cs="Arial"/>
          <w:color w:val="000000" w:themeColor="text1"/>
          <w:sz w:val="22"/>
        </w:rPr>
        <w:t>rimero, porque las Mipyme</w:t>
      </w:r>
      <w:r w:rsidRPr="006F0FDD">
        <w:rPr>
          <w:rFonts w:ascii="Arial" w:eastAsia="Calibri" w:hAnsi="Arial" w:cs="Arial"/>
          <w:color w:val="000000" w:themeColor="text1"/>
          <w:sz w:val="22"/>
        </w:rPr>
        <w:t xml:space="preserve"> no están habilitadas para pedir la «limitación territorial», lo están para pedir la «convocatoria limitada a Mipymes», y, segundo, porque el único criterio a tener en cuenta, una vez se ha decidido justificadamente limitar territorialmente la convocatori</w:t>
      </w:r>
      <w:r w:rsidRPr="006F0FDD">
        <w:rPr>
          <w:rFonts w:ascii="Arial" w:hAnsi="Arial" w:cs="Arial"/>
          <w:color w:val="000000" w:themeColor="text1"/>
          <w:sz w:val="22"/>
        </w:rPr>
        <w:t>a previamente limitada a Mipyme</w:t>
      </w:r>
      <w:r w:rsidRPr="006F0FDD">
        <w:rPr>
          <w:rFonts w:ascii="Arial" w:eastAsia="Calibri" w:hAnsi="Arial" w:cs="Arial"/>
          <w:color w:val="000000" w:themeColor="text1"/>
          <w:sz w:val="22"/>
        </w:rPr>
        <w:t>, es el lugar donde se va a ejecutar el contrato.</w:t>
      </w:r>
    </w:p>
    <w:p w14:paraId="43E3EC53" w14:textId="77777777" w:rsidR="00DB5E7A" w:rsidRDefault="00DB5E7A" w:rsidP="00DB5E7A">
      <w:pPr>
        <w:spacing w:after="120" w:line="276" w:lineRule="auto"/>
        <w:ind w:firstLine="709"/>
        <w:jc w:val="both"/>
        <w:rPr>
          <w:rFonts w:ascii="Arial" w:eastAsia="Calibri" w:hAnsi="Arial" w:cs="Arial"/>
          <w:sz w:val="22"/>
          <w:szCs w:val="22"/>
          <w:lang w:val="es-ES_tradnl"/>
        </w:rPr>
      </w:pPr>
      <w:r>
        <w:rPr>
          <w:rFonts w:ascii="Arial" w:eastAsia="Calibri" w:hAnsi="Arial" w:cs="Arial"/>
          <w:sz w:val="22"/>
          <w:szCs w:val="22"/>
          <w:lang w:val="es-ES_tradnl"/>
        </w:rPr>
        <w:t xml:space="preserve">En todo caso, la facultad de limitar convocatorias territorialmente en favor de las Mipymes con domicilio en un municipio en un departamento específico debe ejercerse por las entidades estatales dentro del marco de lo regulado por el artículo </w:t>
      </w:r>
      <w:r w:rsidRPr="00391B19">
        <w:rPr>
          <w:rFonts w:ascii="Arial" w:eastAsia="Calibri" w:hAnsi="Arial" w:cs="Arial"/>
          <w:sz w:val="22"/>
          <w:szCs w:val="22"/>
          <w:lang w:val="es-ES_tradnl"/>
        </w:rPr>
        <w:t>2.2.1.2.4.2.3</w:t>
      </w:r>
      <w:r>
        <w:rPr>
          <w:rFonts w:ascii="Arial" w:eastAsia="Calibri" w:hAnsi="Arial" w:cs="Arial"/>
          <w:sz w:val="22"/>
          <w:szCs w:val="22"/>
          <w:lang w:val="es-ES_tradnl"/>
        </w:rPr>
        <w:t xml:space="preserve"> </w:t>
      </w:r>
      <w:r w:rsidRPr="00E21DAC">
        <w:rPr>
          <w:rFonts w:ascii="Arial" w:eastAsia="Calibri" w:hAnsi="Arial" w:cs="Arial"/>
          <w:i/>
          <w:iCs/>
          <w:sz w:val="22"/>
          <w:szCs w:val="22"/>
          <w:lang w:val="es-ES_tradnl"/>
        </w:rPr>
        <w:t>ejusdem</w:t>
      </w:r>
      <w:r>
        <w:rPr>
          <w:rFonts w:ascii="Arial" w:eastAsia="Calibri" w:hAnsi="Arial" w:cs="Arial"/>
          <w:sz w:val="22"/>
          <w:szCs w:val="22"/>
          <w:lang w:val="es-ES_tradnl"/>
        </w:rPr>
        <w:t xml:space="preserve">, el cual establece como presupuesto para que las Mipymes tengan su domicilio en el lugar en donde se va a ejecutar el contrato. En ese sentido, en el marco de estas convocatorias, la exigibilidad de que el domicilio de las Mipymes se ubique en un único municipio en particular o en alguno de los municipios que conforman un departamento en concreto, depende del ámbito territorial en el que se va a desarrollar el objeto contractual. </w:t>
      </w:r>
    </w:p>
    <w:p w14:paraId="19EDF848" w14:textId="2F4780C4" w:rsidR="00DB5E7A" w:rsidRDefault="00DB5E7A" w:rsidP="00DB5E7A">
      <w:pPr>
        <w:spacing w:line="276" w:lineRule="auto"/>
        <w:ind w:firstLine="709"/>
        <w:jc w:val="both"/>
        <w:rPr>
          <w:rFonts w:ascii="Arial" w:eastAsia="Calibri" w:hAnsi="Arial" w:cs="Arial"/>
          <w:sz w:val="22"/>
          <w:szCs w:val="22"/>
          <w:lang w:val="es-ES_tradnl"/>
        </w:rPr>
      </w:pPr>
      <w:r>
        <w:rPr>
          <w:rFonts w:ascii="Arial" w:eastAsia="Calibri" w:hAnsi="Arial" w:cs="Arial"/>
          <w:sz w:val="22"/>
          <w:szCs w:val="22"/>
          <w:lang w:val="es-ES_tradnl"/>
        </w:rPr>
        <w:t xml:space="preserve">Conforme a lo anterior, sí un contrato se va a ejecutar en un único municipio, las Mipymes que participen la convocatoria limitada por el factor territorial deberán tener su domicilio principal en dicha entidad territorial.  Asimismo, tratándose de un contrato cuya ejecución deberá desplegarse en el ámbito departamental, habiéndose limitado la </w:t>
      </w:r>
      <w:r>
        <w:rPr>
          <w:rFonts w:ascii="Arial" w:eastAsia="Calibri" w:hAnsi="Arial" w:cs="Arial"/>
          <w:sz w:val="22"/>
          <w:szCs w:val="22"/>
          <w:lang w:val="es-ES_tradnl"/>
        </w:rPr>
        <w:lastRenderedPageBreak/>
        <w:t xml:space="preserve">convocatoria según lo dispuesto en el artículo </w:t>
      </w:r>
      <w:r w:rsidRPr="00391B19">
        <w:rPr>
          <w:rFonts w:ascii="Arial" w:eastAsia="Calibri" w:hAnsi="Arial" w:cs="Arial"/>
          <w:sz w:val="22"/>
          <w:szCs w:val="22"/>
          <w:lang w:val="es-ES_tradnl"/>
        </w:rPr>
        <w:t>2.2.1.2.4.2.3</w:t>
      </w:r>
      <w:r>
        <w:rPr>
          <w:rFonts w:ascii="Arial" w:eastAsia="Calibri" w:hAnsi="Arial" w:cs="Arial"/>
          <w:sz w:val="22"/>
          <w:szCs w:val="22"/>
          <w:lang w:val="es-ES_tradnl"/>
        </w:rPr>
        <w:t xml:space="preserve">, podrán participar Mipymes cuyos domicilios se encuentren establecidos en alguno de los municipios que conforman el departamento en el que se va a ejecutar el contrato.   </w:t>
      </w:r>
    </w:p>
    <w:p w14:paraId="2FE13924" w14:textId="40B8B8FA" w:rsidR="00DB5E7A" w:rsidRDefault="00DB5E7A" w:rsidP="00DB5E7A">
      <w:pPr>
        <w:spacing w:before="120" w:line="276" w:lineRule="auto"/>
        <w:ind w:firstLine="709"/>
        <w:jc w:val="both"/>
        <w:rPr>
          <w:rFonts w:ascii="Arial" w:eastAsia="Calibri" w:hAnsi="Arial" w:cs="Arial"/>
          <w:sz w:val="22"/>
          <w:szCs w:val="22"/>
          <w:lang w:eastAsia="es-MX"/>
        </w:rPr>
      </w:pPr>
      <w:r>
        <w:rPr>
          <w:rFonts w:ascii="Arial" w:eastAsia="Calibri" w:hAnsi="Arial" w:cs="Arial"/>
          <w:sz w:val="22"/>
          <w:szCs w:val="22"/>
          <w:lang w:val="es-MX"/>
        </w:rPr>
        <w:t>Finalmente, e</w:t>
      </w:r>
      <w:r>
        <w:rPr>
          <w:rFonts w:ascii="Arial" w:eastAsia="Calibri" w:hAnsi="Arial" w:cs="Arial"/>
          <w:sz w:val="22"/>
          <w:szCs w:val="22"/>
        </w:rPr>
        <w:t>sta Agencia considera que lo recomendable es que las entidades establezcan ex ante las condiciones en las que, eventualmente, harían la «limitación territorial». Para tales fines, en el proyecto de pliego de condiciones 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MiPymes, por ejemplo, en relación con cuál o cuáles municipios o departamentos harían la limitación territorial de que trata el artículo 2.2.1.2.4.2.3. del Decreto 1082 de 2015.</w:t>
      </w:r>
    </w:p>
    <w:p w14:paraId="073D61D0" w14:textId="77777777" w:rsidR="005D274C" w:rsidRPr="00803D6A" w:rsidRDefault="005D274C" w:rsidP="004900D3">
      <w:pPr>
        <w:spacing w:line="276" w:lineRule="auto"/>
        <w:jc w:val="both"/>
        <w:rPr>
          <w:rFonts w:ascii="Arial" w:eastAsia="Calibri" w:hAnsi="Arial" w:cs="Arial"/>
          <w:color w:val="000000" w:themeColor="text1"/>
          <w:sz w:val="22"/>
        </w:rPr>
      </w:pPr>
    </w:p>
    <w:p w14:paraId="056816F7" w14:textId="2468BDED" w:rsidR="00D40F8B" w:rsidRPr="00DB5E7A" w:rsidRDefault="00DD5B04" w:rsidP="00F3144F">
      <w:pPr>
        <w:widowControl w:val="0"/>
        <w:autoSpaceDE w:val="0"/>
        <w:autoSpaceDN w:val="0"/>
        <w:spacing w:after="120" w:line="276" w:lineRule="auto"/>
        <w:jc w:val="both"/>
        <w:rPr>
          <w:rFonts w:ascii="Arial" w:hAnsi="Arial" w:cs="Arial"/>
          <w:sz w:val="22"/>
          <w:szCs w:val="22"/>
          <w:lang w:val="es-ES_tradnl" w:bidi="es-ES"/>
        </w:rPr>
      </w:pPr>
      <w:r w:rsidRPr="00DB5E7A">
        <w:rPr>
          <w:rFonts w:ascii="Arial" w:hAnsi="Arial" w:cs="Arial"/>
          <w:color w:val="000000" w:themeColor="text1"/>
          <w:sz w:val="22"/>
          <w:szCs w:val="22"/>
          <w:lang w:val="es-ES_tradnl"/>
        </w:rPr>
        <w:t>Este concepto tiene el alcance previsto en el artículo 28 del Código de Procedimiento Administrativo y de</w:t>
      </w:r>
      <w:r w:rsidR="00D40F8B" w:rsidRPr="00DB5E7A">
        <w:rPr>
          <w:rFonts w:ascii="Arial" w:hAnsi="Arial" w:cs="Arial"/>
          <w:color w:val="000000" w:themeColor="text1"/>
          <w:sz w:val="22"/>
          <w:szCs w:val="22"/>
          <w:lang w:val="es-ES_tradnl"/>
        </w:rPr>
        <w:t xml:space="preserve"> lo Contencioso Administrativo</w:t>
      </w:r>
      <w:r w:rsidR="00DB5E7A" w:rsidRPr="00DB5E7A">
        <w:rPr>
          <w:rFonts w:ascii="Arial" w:hAnsi="Arial" w:cs="Arial"/>
          <w:color w:val="000000" w:themeColor="text1"/>
          <w:sz w:val="22"/>
          <w:szCs w:val="22"/>
          <w:lang w:val="es-ES_tradnl"/>
        </w:rPr>
        <w:t xml:space="preserve"> </w:t>
      </w:r>
      <w:r w:rsidR="00DB5E7A" w:rsidRPr="004900D3">
        <w:rPr>
          <w:rFonts w:ascii="Arial" w:hAnsi="Arial" w:cs="Arial"/>
          <w:bCs/>
          <w:color w:val="000000" w:themeColor="text1"/>
          <w:sz w:val="22"/>
          <w:szCs w:val="22"/>
        </w:rPr>
        <w:t xml:space="preserve">y </w:t>
      </w:r>
      <w:r w:rsidR="00DB5E7A" w:rsidRPr="004900D3">
        <w:rPr>
          <w:rFonts w:ascii="Arial" w:hAnsi="Arial" w:cs="Arial"/>
          <w:sz w:val="22"/>
          <w:szCs w:val="22"/>
        </w:rPr>
        <w:t>las expresiones aquí utilizadas con mayúscula inicial deben ser entendidas con el significado que les otorga el artículo 2.2.1.1.1.3.1. del Decreto 1082 de 2015</w:t>
      </w:r>
      <w:r w:rsidR="00D40F8B" w:rsidRPr="00DB5E7A">
        <w:rPr>
          <w:rFonts w:ascii="Arial" w:hAnsi="Arial" w:cs="Arial"/>
          <w:color w:val="000000" w:themeColor="text1"/>
          <w:sz w:val="22"/>
          <w:szCs w:val="22"/>
          <w:lang w:val="es-ES_tradnl"/>
        </w:rPr>
        <w:t>.</w:t>
      </w:r>
    </w:p>
    <w:p w14:paraId="6F54E9C9" w14:textId="77777777" w:rsidR="00003233" w:rsidRPr="00A51520" w:rsidRDefault="00003233" w:rsidP="00D40F8B">
      <w:pPr>
        <w:spacing w:before="120" w:line="276" w:lineRule="auto"/>
        <w:jc w:val="both"/>
        <w:rPr>
          <w:rFonts w:ascii="Arial" w:hAnsi="Arial" w:cs="Arial"/>
          <w:color w:val="000000" w:themeColor="text1"/>
          <w:sz w:val="22"/>
          <w:lang w:val="es-ES_tradnl"/>
        </w:rPr>
      </w:pPr>
    </w:p>
    <w:p w14:paraId="349855C9" w14:textId="4E2C915B" w:rsidR="00D40F8B" w:rsidRPr="00A51520" w:rsidRDefault="00861F0F"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sidRPr="00A51520">
        <w:rPr>
          <w:rFonts w:ascii="Arial" w:hAnsi="Arial" w:cs="Arial"/>
          <w:color w:val="000000" w:themeColor="text1"/>
          <w:sz w:val="22"/>
          <w:szCs w:val="22"/>
          <w:lang w:val="es-ES_tradnl"/>
        </w:rPr>
        <w:t>Atentamente,</w:t>
      </w:r>
    </w:p>
    <w:p w14:paraId="1ED13883" w14:textId="3FEB96F5" w:rsidR="00003233" w:rsidRDefault="006A10FD" w:rsidP="004900D3">
      <w:pPr>
        <w:pStyle w:val="NormalWeb"/>
        <w:spacing w:before="0" w:beforeAutospacing="0" w:after="0" w:afterAutospacing="0" w:line="276" w:lineRule="auto"/>
        <w:jc w:val="center"/>
        <w:rPr>
          <w:rFonts w:ascii="Arial" w:hAnsi="Arial" w:cs="Arial"/>
          <w:color w:val="000000" w:themeColor="text1"/>
          <w:sz w:val="22"/>
          <w:szCs w:val="22"/>
          <w:lang w:val="es-ES_tradnl"/>
        </w:rPr>
      </w:pPr>
      <w:r w:rsidRPr="006A10FD">
        <w:rPr>
          <w:rFonts w:ascii="Calibri" w:eastAsia="Calibri" w:hAnsi="Calibri"/>
          <w:noProof/>
          <w:sz w:val="22"/>
          <w:szCs w:val="22"/>
          <w:lang w:val="es-ES" w:eastAsia="en-US"/>
        </w:rPr>
        <w:drawing>
          <wp:inline distT="0" distB="0" distL="0" distR="0" wp14:anchorId="3EC392AA" wp14:editId="6FDE6696">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4"/>
                    <a:stretch>
                      <a:fillRect/>
                    </a:stretch>
                  </pic:blipFill>
                  <pic:spPr>
                    <a:xfrm>
                      <a:off x="0" y="0"/>
                      <a:ext cx="2785707" cy="1068836"/>
                    </a:xfrm>
                    <a:prstGeom prst="rect">
                      <a:avLst/>
                    </a:prstGeom>
                  </pic:spPr>
                </pic:pic>
              </a:graphicData>
            </a:graphic>
          </wp:inline>
        </w:drawing>
      </w:r>
    </w:p>
    <w:tbl>
      <w:tblPr>
        <w:tblStyle w:val="Tablaconcuadrcu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5"/>
        <w:gridCol w:w="5102"/>
      </w:tblGrid>
      <w:tr w:rsidR="004B589F" w:rsidRPr="004B589F" w14:paraId="6594E030" w14:textId="77777777" w:rsidTr="000A6A67">
        <w:trPr>
          <w:trHeight w:val="305"/>
        </w:trPr>
        <w:tc>
          <w:tcPr>
            <w:tcW w:w="1025" w:type="dxa"/>
            <w:vAlign w:val="center"/>
            <w:hideMark/>
          </w:tcPr>
          <w:p w14:paraId="32423765" w14:textId="77777777" w:rsidR="004B589F" w:rsidRPr="004B589F" w:rsidRDefault="004B589F" w:rsidP="004900D3">
            <w:pPr>
              <w:jc w:val="both"/>
              <w:rPr>
                <w:rFonts w:ascii="Arial" w:eastAsia="Calibri" w:hAnsi="Arial" w:cs="Arial"/>
                <w:sz w:val="16"/>
                <w:szCs w:val="16"/>
                <w:lang w:val="es-ES_tradnl" w:eastAsia="es-ES"/>
              </w:rPr>
            </w:pPr>
            <w:r w:rsidRPr="004B589F">
              <w:rPr>
                <w:rFonts w:ascii="Arial" w:eastAsia="Calibri" w:hAnsi="Arial" w:cs="Arial"/>
                <w:sz w:val="16"/>
                <w:szCs w:val="16"/>
                <w:lang w:val="es-ES_tradnl" w:eastAsia="es-ES"/>
              </w:rPr>
              <w:t>Elaboró:</w:t>
            </w:r>
          </w:p>
        </w:tc>
        <w:tc>
          <w:tcPr>
            <w:tcW w:w="5102" w:type="dxa"/>
            <w:tcBorders>
              <w:top w:val="nil"/>
              <w:left w:val="nil"/>
              <w:bottom w:val="dotted" w:sz="4" w:space="0" w:color="7F7F7F"/>
              <w:right w:val="nil"/>
            </w:tcBorders>
            <w:vAlign w:val="center"/>
            <w:hideMark/>
          </w:tcPr>
          <w:p w14:paraId="3153DF2E" w14:textId="77777777" w:rsidR="004B589F" w:rsidRPr="004B589F" w:rsidRDefault="004B589F" w:rsidP="004900D3">
            <w:pPr>
              <w:jc w:val="both"/>
              <w:rPr>
                <w:rFonts w:ascii="Arial" w:eastAsia="Calibri" w:hAnsi="Arial" w:cs="Arial"/>
                <w:sz w:val="16"/>
                <w:szCs w:val="16"/>
                <w:lang w:val="es-ES_tradnl" w:eastAsia="es-ES"/>
              </w:rPr>
            </w:pPr>
            <w:r w:rsidRPr="004B589F">
              <w:rPr>
                <w:rFonts w:ascii="Arial" w:eastAsia="Calibri" w:hAnsi="Arial" w:cs="Arial"/>
                <w:sz w:val="16"/>
                <w:szCs w:val="16"/>
                <w:lang w:val="es-ES_tradnl" w:eastAsia="es-ES"/>
              </w:rPr>
              <w:t>Gabriel Alejandro Murcia Taboada</w:t>
            </w:r>
          </w:p>
          <w:p w14:paraId="79A5B81B" w14:textId="77777777" w:rsidR="004B589F" w:rsidRPr="004B589F" w:rsidRDefault="004B589F" w:rsidP="004900D3">
            <w:pPr>
              <w:jc w:val="both"/>
              <w:rPr>
                <w:rFonts w:ascii="Arial" w:eastAsia="Calibri" w:hAnsi="Arial" w:cs="Arial"/>
                <w:sz w:val="16"/>
                <w:szCs w:val="16"/>
                <w:lang w:val="es-ES_tradnl" w:eastAsia="es-ES"/>
              </w:rPr>
            </w:pPr>
            <w:r w:rsidRPr="004B589F">
              <w:rPr>
                <w:rFonts w:ascii="Arial" w:eastAsia="Calibri" w:hAnsi="Arial" w:cs="Arial"/>
                <w:sz w:val="16"/>
                <w:szCs w:val="16"/>
                <w:lang w:val="es-ES_tradnl" w:eastAsia="es-ES"/>
              </w:rPr>
              <w:t>Contratista de la Subdirección de Gestión Contractual</w:t>
            </w:r>
          </w:p>
        </w:tc>
      </w:tr>
      <w:tr w:rsidR="004B589F" w:rsidRPr="004B589F" w14:paraId="6E74C253" w14:textId="77777777" w:rsidTr="000A6A67">
        <w:trPr>
          <w:trHeight w:val="319"/>
        </w:trPr>
        <w:tc>
          <w:tcPr>
            <w:tcW w:w="1025" w:type="dxa"/>
            <w:vAlign w:val="center"/>
            <w:hideMark/>
          </w:tcPr>
          <w:p w14:paraId="1B697F5C" w14:textId="77777777" w:rsidR="004B589F" w:rsidRPr="004B589F" w:rsidRDefault="004B589F" w:rsidP="004900D3">
            <w:pPr>
              <w:jc w:val="both"/>
              <w:rPr>
                <w:rFonts w:ascii="Arial" w:eastAsia="Calibri" w:hAnsi="Arial" w:cs="Arial"/>
                <w:sz w:val="16"/>
                <w:szCs w:val="16"/>
                <w:lang w:val="es-ES_tradnl" w:eastAsia="es-ES"/>
              </w:rPr>
            </w:pPr>
            <w:r w:rsidRPr="004B589F">
              <w:rPr>
                <w:rFonts w:ascii="Arial" w:eastAsia="Calibri" w:hAnsi="Arial" w:cs="Arial"/>
                <w:sz w:val="16"/>
                <w:szCs w:val="16"/>
                <w:lang w:val="es-ES_tradnl" w:eastAsia="es-ES"/>
              </w:rPr>
              <w:t>Revisó:</w:t>
            </w:r>
          </w:p>
        </w:tc>
        <w:tc>
          <w:tcPr>
            <w:tcW w:w="5102" w:type="dxa"/>
            <w:tcBorders>
              <w:top w:val="dotted" w:sz="4" w:space="0" w:color="7F7F7F"/>
              <w:left w:val="nil"/>
              <w:bottom w:val="dotted" w:sz="4" w:space="0" w:color="7F7F7F"/>
              <w:right w:val="nil"/>
            </w:tcBorders>
            <w:vAlign w:val="center"/>
            <w:hideMark/>
          </w:tcPr>
          <w:p w14:paraId="3947B1CE" w14:textId="77777777" w:rsidR="004B589F" w:rsidRPr="004B589F" w:rsidRDefault="004B589F" w:rsidP="004900D3">
            <w:pPr>
              <w:jc w:val="both"/>
              <w:rPr>
                <w:rFonts w:ascii="Arial" w:eastAsia="Calibri" w:hAnsi="Arial" w:cs="Arial"/>
                <w:sz w:val="16"/>
                <w:szCs w:val="16"/>
                <w:lang w:val="es-ES_tradnl" w:eastAsia="es-ES"/>
              </w:rPr>
            </w:pPr>
            <w:r w:rsidRPr="004B589F">
              <w:rPr>
                <w:rFonts w:ascii="Arial" w:eastAsia="Calibri" w:hAnsi="Arial" w:cs="Arial"/>
                <w:sz w:val="16"/>
                <w:szCs w:val="16"/>
                <w:lang w:val="es-ES_tradnl" w:eastAsia="es-ES"/>
              </w:rPr>
              <w:t>Diana Lucia Saavedra Castañeda</w:t>
            </w:r>
          </w:p>
          <w:p w14:paraId="0E7D0D52" w14:textId="77777777" w:rsidR="004B589F" w:rsidRPr="004B589F" w:rsidRDefault="004B589F" w:rsidP="004900D3">
            <w:pPr>
              <w:jc w:val="both"/>
              <w:rPr>
                <w:rFonts w:ascii="Arial" w:eastAsia="Calibri" w:hAnsi="Arial" w:cs="Arial"/>
                <w:sz w:val="16"/>
                <w:szCs w:val="16"/>
                <w:lang w:val="es-ES_tradnl" w:eastAsia="es-ES"/>
              </w:rPr>
            </w:pPr>
            <w:r w:rsidRPr="004B589F">
              <w:rPr>
                <w:rFonts w:ascii="Arial" w:eastAsia="Calibri" w:hAnsi="Arial" w:cs="Arial"/>
                <w:sz w:val="16"/>
                <w:szCs w:val="16"/>
                <w:lang w:val="es-ES_tradnl" w:eastAsia="es-ES"/>
              </w:rPr>
              <w:t xml:space="preserve">Contratista de la Subdirección de Gestión Contractual  </w:t>
            </w:r>
          </w:p>
        </w:tc>
      </w:tr>
      <w:tr w:rsidR="004B589F" w:rsidRPr="004B589F" w14:paraId="26E05484" w14:textId="77777777" w:rsidTr="000A6A67">
        <w:trPr>
          <w:trHeight w:val="290"/>
        </w:trPr>
        <w:tc>
          <w:tcPr>
            <w:tcW w:w="1025" w:type="dxa"/>
            <w:vAlign w:val="center"/>
            <w:hideMark/>
          </w:tcPr>
          <w:p w14:paraId="104FEB8F" w14:textId="77777777" w:rsidR="004B589F" w:rsidRPr="004B589F" w:rsidRDefault="004B589F" w:rsidP="004900D3">
            <w:pPr>
              <w:jc w:val="both"/>
              <w:rPr>
                <w:rFonts w:ascii="Arial" w:eastAsia="Calibri" w:hAnsi="Arial" w:cs="Arial"/>
                <w:sz w:val="16"/>
                <w:szCs w:val="16"/>
                <w:lang w:val="es-ES_tradnl" w:eastAsia="es-ES"/>
              </w:rPr>
            </w:pPr>
            <w:r w:rsidRPr="004B589F">
              <w:rPr>
                <w:rFonts w:ascii="Arial" w:eastAsia="Calibri" w:hAnsi="Arial" w:cs="Arial"/>
                <w:sz w:val="16"/>
                <w:szCs w:val="16"/>
                <w:lang w:val="es-ES_tradnl" w:eastAsia="es-ES"/>
              </w:rPr>
              <w:t>Aprobó:</w:t>
            </w:r>
          </w:p>
        </w:tc>
        <w:tc>
          <w:tcPr>
            <w:tcW w:w="5102" w:type="dxa"/>
            <w:tcBorders>
              <w:top w:val="dotted" w:sz="4" w:space="0" w:color="7F7F7F"/>
              <w:left w:val="nil"/>
              <w:bottom w:val="dotted" w:sz="4" w:space="0" w:color="7F7F7F"/>
              <w:right w:val="nil"/>
            </w:tcBorders>
            <w:vAlign w:val="center"/>
            <w:hideMark/>
          </w:tcPr>
          <w:p w14:paraId="650C74BC" w14:textId="77777777" w:rsidR="004B589F" w:rsidRPr="004B589F" w:rsidRDefault="004B589F" w:rsidP="004900D3">
            <w:pPr>
              <w:jc w:val="both"/>
              <w:rPr>
                <w:rFonts w:ascii="Arial" w:eastAsia="Calibri" w:hAnsi="Arial" w:cs="Arial"/>
                <w:sz w:val="16"/>
                <w:szCs w:val="16"/>
                <w:lang w:val="es-ES_tradnl" w:eastAsia="es-ES"/>
              </w:rPr>
            </w:pPr>
            <w:r w:rsidRPr="004B589F">
              <w:rPr>
                <w:rFonts w:ascii="Arial" w:eastAsia="Calibri" w:hAnsi="Arial" w:cs="Arial"/>
                <w:sz w:val="16"/>
                <w:szCs w:val="16"/>
                <w:lang w:val="es-ES_tradnl" w:eastAsia="es-ES"/>
              </w:rPr>
              <w:t>Nohelia del Carmen Zawady Palacio</w:t>
            </w:r>
          </w:p>
          <w:p w14:paraId="29E73B72" w14:textId="77777777" w:rsidR="004B589F" w:rsidRPr="004B589F" w:rsidRDefault="004B589F" w:rsidP="004900D3">
            <w:pPr>
              <w:jc w:val="both"/>
              <w:rPr>
                <w:rFonts w:ascii="Arial" w:eastAsia="Calibri" w:hAnsi="Arial" w:cs="Arial"/>
                <w:sz w:val="16"/>
                <w:szCs w:val="16"/>
                <w:lang w:val="es-ES_tradnl" w:eastAsia="es-ES"/>
              </w:rPr>
            </w:pPr>
            <w:r w:rsidRPr="004B589F">
              <w:rPr>
                <w:rFonts w:ascii="Arial" w:eastAsia="Calibri" w:hAnsi="Arial" w:cs="Arial"/>
                <w:sz w:val="16"/>
                <w:szCs w:val="16"/>
                <w:lang w:val="es-ES_tradnl" w:eastAsia="es-ES"/>
              </w:rPr>
              <w:t xml:space="preserve">Subdirectora de Gestión Contractual </w:t>
            </w:r>
          </w:p>
        </w:tc>
      </w:tr>
    </w:tbl>
    <w:p w14:paraId="6040D542" w14:textId="77777777" w:rsidR="004B589F" w:rsidRPr="00A51520" w:rsidRDefault="004B589F" w:rsidP="00003233">
      <w:pPr>
        <w:pStyle w:val="NormalWeb"/>
        <w:spacing w:before="0" w:beforeAutospacing="0" w:after="0" w:afterAutospacing="0" w:line="276" w:lineRule="auto"/>
        <w:rPr>
          <w:rFonts w:ascii="Arial" w:hAnsi="Arial" w:cs="Arial"/>
          <w:color w:val="000000" w:themeColor="text1"/>
          <w:sz w:val="22"/>
          <w:szCs w:val="22"/>
          <w:lang w:val="es-ES_tradnl"/>
        </w:rPr>
      </w:pPr>
    </w:p>
    <w:sectPr w:rsidR="004B589F" w:rsidRPr="00A51520" w:rsidSect="00026B36">
      <w:headerReference w:type="default" r:id="rId15"/>
      <w:footerReference w:type="default" r:id="rId16"/>
      <w:pgSz w:w="12240" w:h="15840"/>
      <w:pgMar w:top="2041" w:right="1750"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9E60B7" w14:textId="77777777" w:rsidR="00ED6C93" w:rsidRDefault="00ED6C93">
      <w:r>
        <w:separator/>
      </w:r>
    </w:p>
  </w:endnote>
  <w:endnote w:type="continuationSeparator" w:id="0">
    <w:p w14:paraId="13A5B17B" w14:textId="77777777" w:rsidR="00ED6C93" w:rsidRDefault="00ED6C93">
      <w:r>
        <w:continuationSeparator/>
      </w:r>
    </w:p>
  </w:endnote>
  <w:endnote w:type="continuationNotice" w:id="1">
    <w:p w14:paraId="67ED9EA1" w14:textId="77777777" w:rsidR="00ED6C93" w:rsidRDefault="00ED6C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02470B2A" w:rsidR="00E2520A" w:rsidRPr="00EC6D8D" w:rsidRDefault="00E2520A" w:rsidP="00FE42ED">
    <w:pPr>
      <w:pStyle w:val="Piedepgina"/>
      <w:jc w:val="right"/>
      <w:rPr>
        <w:rFonts w:ascii="Arial" w:hAnsi="Arial" w:cs="Arial"/>
        <w:color w:val="7F7F7F"/>
        <w:sz w:val="16"/>
        <w:szCs w:val="16"/>
      </w:rPr>
    </w:pPr>
    <w:r w:rsidRPr="00EC6D8D">
      <w:rPr>
        <w:rFonts w:ascii="Arial" w:hAnsi="Arial" w:cs="Arial"/>
        <w:bCs/>
        <w:color w:val="7F7F7F"/>
        <w:sz w:val="16"/>
        <w:szCs w:val="16"/>
      </w:rPr>
      <w:t xml:space="preserve">Página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PAGE  \* Arabic  \* MERGEFORMAT</w:instrText>
    </w:r>
    <w:r w:rsidRPr="00EC6D8D">
      <w:rPr>
        <w:rFonts w:ascii="Arial" w:hAnsi="Arial" w:cs="Arial"/>
        <w:b/>
        <w:bCs/>
        <w:color w:val="7F7F7F"/>
        <w:sz w:val="16"/>
        <w:szCs w:val="16"/>
      </w:rPr>
      <w:fldChar w:fldCharType="separate"/>
    </w:r>
    <w:r w:rsidR="002B17C5">
      <w:rPr>
        <w:rFonts w:ascii="Arial" w:hAnsi="Arial" w:cs="Arial"/>
        <w:b/>
        <w:bCs/>
        <w:noProof/>
        <w:color w:val="7F7F7F"/>
        <w:sz w:val="16"/>
        <w:szCs w:val="16"/>
      </w:rPr>
      <w:t>1</w:t>
    </w:r>
    <w:r w:rsidRPr="00EC6D8D">
      <w:rPr>
        <w:rFonts w:ascii="Arial" w:hAnsi="Arial" w:cs="Arial"/>
        <w:b/>
        <w:bCs/>
        <w:color w:val="7F7F7F"/>
        <w:sz w:val="16"/>
        <w:szCs w:val="16"/>
      </w:rPr>
      <w:fldChar w:fldCharType="end"/>
    </w:r>
    <w:r w:rsidRPr="00EC6D8D">
      <w:rPr>
        <w:rFonts w:ascii="Arial" w:hAnsi="Arial" w:cs="Arial"/>
        <w:color w:val="7F7F7F"/>
        <w:sz w:val="16"/>
        <w:szCs w:val="16"/>
      </w:rPr>
      <w:t xml:space="preserve"> de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NUMPAGES  \* Arabic  \* MERGEFORMAT</w:instrText>
    </w:r>
    <w:r w:rsidRPr="00EC6D8D">
      <w:rPr>
        <w:rFonts w:ascii="Arial" w:hAnsi="Arial" w:cs="Arial"/>
        <w:b/>
        <w:bCs/>
        <w:color w:val="7F7F7F"/>
        <w:sz w:val="16"/>
        <w:szCs w:val="16"/>
      </w:rPr>
      <w:fldChar w:fldCharType="separate"/>
    </w:r>
    <w:r w:rsidR="002B17C5">
      <w:rPr>
        <w:rFonts w:ascii="Arial" w:hAnsi="Arial" w:cs="Arial"/>
        <w:b/>
        <w:bCs/>
        <w:noProof/>
        <w:color w:val="7F7F7F"/>
        <w:sz w:val="16"/>
        <w:szCs w:val="16"/>
      </w:rPr>
      <w:t>1</w:t>
    </w:r>
    <w:r w:rsidRPr="00EC6D8D">
      <w:rPr>
        <w:rFonts w:ascii="Arial" w:hAnsi="Arial" w:cs="Arial"/>
        <w:b/>
        <w:bCs/>
        <w:color w:val="7F7F7F"/>
        <w:sz w:val="16"/>
        <w:szCs w:val="16"/>
      </w:rPr>
      <w:fldChar w:fldCharType="end"/>
    </w:r>
  </w:p>
  <w:p w14:paraId="48FC6A04" w14:textId="0A0359D9" w:rsidR="00E2520A" w:rsidRDefault="00E2520A" w:rsidP="00322937">
    <w:pPr>
      <w:pStyle w:val="Piedepgina"/>
      <w:jc w:val="center"/>
      <w:rPr>
        <w:lang w:val="es-ES"/>
      </w:rPr>
    </w:pPr>
    <w:r>
      <w:rPr>
        <w:noProof/>
        <w:lang w:val="en-US"/>
      </w:rPr>
      <w:drawing>
        <wp:inline distT="0" distB="0" distL="0" distR="0" wp14:anchorId="608B196D" wp14:editId="0DC5B948">
          <wp:extent cx="3700130" cy="519139"/>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E2520A" w:rsidRDefault="00E2520A" w:rsidP="007B0854">
    <w:pPr>
      <w:pStyle w:val="Piedepgina"/>
      <w:jc w:val="center"/>
      <w:rPr>
        <w:lang w:val="es-ES"/>
      </w:rPr>
    </w:pPr>
  </w:p>
  <w:p w14:paraId="1963EBF8" w14:textId="77777777" w:rsidR="00E2520A" w:rsidRDefault="00E2520A"/>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00FAF" w14:textId="77777777" w:rsidR="00ED6C93" w:rsidRDefault="00ED6C93">
      <w:r>
        <w:separator/>
      </w:r>
    </w:p>
  </w:footnote>
  <w:footnote w:type="continuationSeparator" w:id="0">
    <w:p w14:paraId="11AB02C6" w14:textId="77777777" w:rsidR="00ED6C93" w:rsidRDefault="00ED6C93">
      <w:r>
        <w:continuationSeparator/>
      </w:r>
    </w:p>
  </w:footnote>
  <w:footnote w:type="continuationNotice" w:id="1">
    <w:p w14:paraId="61AFB892" w14:textId="77777777" w:rsidR="00ED6C93" w:rsidRDefault="00ED6C93"/>
  </w:footnote>
  <w:footnote w:id="2">
    <w:p w14:paraId="25E4F92F" w14:textId="54D0571D" w:rsidR="00E9592E" w:rsidRDefault="00E9592E" w:rsidP="00E9592E">
      <w:pPr>
        <w:pStyle w:val="Textonotapie"/>
        <w:ind w:firstLine="709"/>
        <w:rPr>
          <w:rFonts w:ascii="Arial" w:hAnsi="Arial" w:cs="Arial"/>
          <w:sz w:val="18"/>
          <w:szCs w:val="18"/>
          <w:lang w:val="es-CO"/>
        </w:rPr>
      </w:pPr>
      <w:r w:rsidRPr="004900D3">
        <w:rPr>
          <w:rStyle w:val="Refdenotaalpie"/>
          <w:rFonts w:ascii="Arial" w:hAnsi="Arial" w:cs="Arial"/>
          <w:sz w:val="18"/>
          <w:szCs w:val="18"/>
        </w:rPr>
        <w:footnoteRef/>
      </w:r>
      <w:r w:rsidRPr="004900D3">
        <w:rPr>
          <w:rFonts w:ascii="Arial" w:hAnsi="Arial" w:cs="Arial"/>
          <w:sz w:val="18"/>
          <w:szCs w:val="18"/>
        </w:rPr>
        <w:t xml:space="preserve"> </w:t>
      </w:r>
      <w:r w:rsidRPr="004900D3">
        <w:rPr>
          <w:rFonts w:ascii="Arial" w:hAnsi="Arial" w:cs="Arial"/>
          <w:sz w:val="18"/>
          <w:szCs w:val="18"/>
          <w:lang w:val="es-CO"/>
        </w:rPr>
        <w:t>Estos conceptos pueden ser consultados en</w:t>
      </w:r>
      <w:r w:rsidR="00510A3E">
        <w:rPr>
          <w:rFonts w:ascii="Arial" w:hAnsi="Arial" w:cs="Arial"/>
          <w:sz w:val="18"/>
          <w:szCs w:val="18"/>
          <w:lang w:val="es-CO"/>
        </w:rPr>
        <w:t xml:space="preserve">: </w:t>
      </w:r>
      <w:hyperlink r:id="rId1" w:history="1">
        <w:r w:rsidR="00262E05" w:rsidRPr="004900D3">
          <w:rPr>
            <w:rStyle w:val="Hipervnculo"/>
            <w:sz w:val="18"/>
            <w:szCs w:val="18"/>
          </w:rPr>
          <w:t>https://relatoria.colombiacompra.gov.co/busqueda/conceptos#</w:t>
        </w:r>
      </w:hyperlink>
    </w:p>
    <w:p w14:paraId="23512520" w14:textId="77777777" w:rsidR="00510A3E" w:rsidRPr="004900D3" w:rsidRDefault="00510A3E" w:rsidP="00E9592E">
      <w:pPr>
        <w:pStyle w:val="Textonotapie"/>
        <w:ind w:firstLine="709"/>
        <w:rPr>
          <w:rFonts w:ascii="Arial" w:hAnsi="Arial" w:cs="Arial"/>
          <w:sz w:val="18"/>
          <w:szCs w:val="18"/>
          <w:lang w:val="es-CO"/>
        </w:rPr>
      </w:pPr>
    </w:p>
  </w:footnote>
  <w:footnote w:id="3">
    <w:p w14:paraId="23FFA815" w14:textId="1CFF5F03" w:rsidR="00063085" w:rsidRPr="004900D3" w:rsidRDefault="00063085" w:rsidP="00063085">
      <w:pPr>
        <w:pStyle w:val="Textonotapie"/>
        <w:ind w:firstLine="709"/>
        <w:jc w:val="both"/>
        <w:rPr>
          <w:rFonts w:ascii="Arial" w:hAnsi="Arial" w:cs="Arial"/>
          <w:color w:val="000000" w:themeColor="text1"/>
          <w:sz w:val="18"/>
          <w:szCs w:val="18"/>
        </w:rPr>
      </w:pPr>
      <w:r w:rsidRPr="004900D3">
        <w:rPr>
          <w:rStyle w:val="Refdenotaalpie"/>
          <w:rFonts w:ascii="Arial" w:hAnsi="Arial" w:cs="Arial"/>
          <w:color w:val="000000" w:themeColor="text1"/>
          <w:sz w:val="18"/>
          <w:szCs w:val="18"/>
        </w:rPr>
        <w:footnoteRef/>
      </w:r>
      <w:r w:rsidRPr="004900D3">
        <w:rPr>
          <w:rFonts w:ascii="Arial" w:hAnsi="Arial" w:cs="Arial"/>
          <w:color w:val="000000" w:themeColor="text1"/>
          <w:sz w:val="18"/>
          <w:szCs w:val="18"/>
        </w:rPr>
        <w:t xml:space="preserve"> Al respecto, la jurisprudencia explica que «[…] los contratos sin formalidades plenas no están previstos por la legislación nacional, pues […] el parágrafo del artículo 39 de la Ley 80 de 1993 fue derogado por el artículo 32 de la Ley 1150 de 2007. Ahora se les denomina contratos de mínima cuantía y se encuentran regulados por los artículos 2 de la Ley 1150 de 2007 y 94 de la Ley 1474 de 2011 […]; no obstante la denominación que reciban, realmente los contratos de mínima cuantía están desprovistos de algunas formalidades, como la instrumentación por escrito del acto contractual y ello hace que el tratamiento sea muy similar al que reciben los denominados contratos sin formalidades plenas; sin embargo, es de anotar que en el proceso de formación del consentimiento en los contratos de mínima cuantía, quien presenta la oferta es quien tiene la expectativa de contratar con la entidad estatal y ésta, a su turno, es la que acepta, de manera expresa e incondicional, la oferta presentada por el particular, sin que en estos casos pueda darse el perfeccionamiento del contrato por el consentimiento tácito de los intervinientes, contrario a lo que sucedía en los contratos sin formalidades plenas» (CONSEJO DE ESTADO. Sección Tercera. Subsección A. Sentencia del 3 de octubre de 2012. Exp. 26.140. C.P. Carlos Alberto Zambrano Barrera).</w:t>
      </w:r>
    </w:p>
    <w:p w14:paraId="0BECBDE0" w14:textId="77777777" w:rsidR="00063085" w:rsidRPr="004900D3" w:rsidRDefault="00063085" w:rsidP="00063085">
      <w:pPr>
        <w:pStyle w:val="Textonotapie"/>
        <w:ind w:firstLine="709"/>
        <w:jc w:val="both"/>
        <w:rPr>
          <w:rFonts w:ascii="Arial" w:hAnsi="Arial" w:cs="Arial"/>
          <w:color w:val="000000" w:themeColor="text1"/>
          <w:sz w:val="18"/>
          <w:szCs w:val="18"/>
        </w:rPr>
      </w:pPr>
    </w:p>
  </w:footnote>
  <w:footnote w:id="4">
    <w:p w14:paraId="21DFEA79" w14:textId="77777777" w:rsidR="00063085" w:rsidRPr="004900D3" w:rsidRDefault="00063085" w:rsidP="00063085">
      <w:pPr>
        <w:pStyle w:val="Textonotapie"/>
        <w:ind w:firstLine="709"/>
        <w:jc w:val="both"/>
        <w:rPr>
          <w:rFonts w:ascii="Arial" w:hAnsi="Arial" w:cs="Arial"/>
          <w:color w:val="000000" w:themeColor="text1"/>
          <w:sz w:val="18"/>
          <w:szCs w:val="18"/>
        </w:rPr>
      </w:pPr>
      <w:r w:rsidRPr="004900D3">
        <w:rPr>
          <w:rStyle w:val="Refdenotaalpie"/>
          <w:rFonts w:ascii="Arial" w:hAnsi="Arial" w:cs="Arial"/>
          <w:color w:val="000000" w:themeColor="text1"/>
          <w:sz w:val="18"/>
          <w:szCs w:val="18"/>
        </w:rPr>
        <w:footnoteRef/>
      </w:r>
      <w:r w:rsidRPr="004900D3">
        <w:rPr>
          <w:rFonts w:ascii="Arial" w:hAnsi="Arial" w:cs="Arial"/>
          <w:color w:val="000000" w:themeColor="text1"/>
          <w:sz w:val="18"/>
          <w:szCs w:val="18"/>
        </w:rPr>
        <w:t xml:space="preserve"> Ambas normas disponen lo siguiente: «5) Contratación mínima cuantía. La contratación cuyo valor no excede del 10 por ciento de la menor cuantía de la entidad independientemente de su objeto, se efectuará de conformidad con las siguientes reglas:</w:t>
      </w:r>
    </w:p>
    <w:p w14:paraId="2632EA51" w14:textId="77777777" w:rsidR="00063085" w:rsidRPr="004900D3" w:rsidRDefault="00063085" w:rsidP="00063085">
      <w:pPr>
        <w:pStyle w:val="Textonotapie"/>
        <w:ind w:firstLine="709"/>
        <w:jc w:val="both"/>
        <w:rPr>
          <w:rFonts w:ascii="Arial" w:hAnsi="Arial" w:cs="Arial"/>
          <w:color w:val="000000" w:themeColor="text1"/>
          <w:sz w:val="18"/>
          <w:szCs w:val="18"/>
        </w:rPr>
      </w:pPr>
      <w:r w:rsidRPr="004900D3">
        <w:rPr>
          <w:rFonts w:ascii="Arial" w:hAnsi="Arial" w:cs="Arial"/>
          <w:color w:val="000000" w:themeColor="text1"/>
          <w:sz w:val="18"/>
          <w:szCs w:val="18"/>
        </w:rPr>
        <w:t>»a) Se publicará una invitación, por un término no inferior a un día hábil, en la cual se señalará el objeto a contratar, el presupuesto destinado para tal fin, así como las condiciones técnicas exigidas;</w:t>
      </w:r>
    </w:p>
    <w:p w14:paraId="0A53EE69" w14:textId="77777777" w:rsidR="00063085" w:rsidRPr="004900D3" w:rsidRDefault="00063085" w:rsidP="00063085">
      <w:pPr>
        <w:pStyle w:val="Textonotapie"/>
        <w:ind w:firstLine="709"/>
        <w:jc w:val="both"/>
        <w:rPr>
          <w:rFonts w:ascii="Arial" w:hAnsi="Arial" w:cs="Arial"/>
          <w:color w:val="000000" w:themeColor="text1"/>
          <w:sz w:val="18"/>
          <w:szCs w:val="18"/>
        </w:rPr>
      </w:pPr>
      <w:r w:rsidRPr="004900D3">
        <w:rPr>
          <w:rFonts w:ascii="Arial" w:hAnsi="Arial" w:cs="Arial"/>
          <w:color w:val="000000" w:themeColor="text1"/>
          <w:sz w:val="18"/>
          <w:szCs w:val="18"/>
        </w:rPr>
        <w:t>»b) El término previsto en la invitación para presentar la oferta no podrá ser inferior a un día hábil;</w:t>
      </w:r>
    </w:p>
    <w:p w14:paraId="50EDE279" w14:textId="77777777" w:rsidR="00063085" w:rsidRPr="004900D3" w:rsidRDefault="00063085" w:rsidP="00063085">
      <w:pPr>
        <w:pStyle w:val="Textonotapie"/>
        <w:ind w:firstLine="709"/>
        <w:jc w:val="both"/>
        <w:rPr>
          <w:rFonts w:ascii="Arial" w:hAnsi="Arial" w:cs="Arial"/>
          <w:color w:val="000000" w:themeColor="text1"/>
          <w:sz w:val="18"/>
          <w:szCs w:val="18"/>
        </w:rPr>
      </w:pPr>
      <w:r w:rsidRPr="004900D3">
        <w:rPr>
          <w:rFonts w:ascii="Arial" w:hAnsi="Arial" w:cs="Arial"/>
          <w:color w:val="000000" w:themeColor="text1"/>
          <w:sz w:val="18"/>
          <w:szCs w:val="18"/>
        </w:rPr>
        <w:t>»c) La entidad seleccionará, mediante comunicación de aceptación de la oferta, la propuesta con el menor precio, siempre y cuando cumpla con las condiciones exigidas;</w:t>
      </w:r>
    </w:p>
    <w:p w14:paraId="51161BDD" w14:textId="77777777" w:rsidR="00063085" w:rsidRPr="004900D3" w:rsidRDefault="00063085" w:rsidP="00063085">
      <w:pPr>
        <w:pStyle w:val="Textonotapie"/>
        <w:ind w:firstLine="709"/>
        <w:jc w:val="both"/>
        <w:rPr>
          <w:rFonts w:ascii="Arial" w:hAnsi="Arial" w:cs="Arial"/>
          <w:color w:val="000000" w:themeColor="text1"/>
          <w:sz w:val="18"/>
          <w:szCs w:val="18"/>
          <w:lang w:val="es-ES"/>
        </w:rPr>
      </w:pPr>
      <w:r w:rsidRPr="004900D3">
        <w:rPr>
          <w:rFonts w:ascii="Arial" w:hAnsi="Arial" w:cs="Arial"/>
          <w:color w:val="000000" w:themeColor="text1"/>
          <w:sz w:val="18"/>
          <w:szCs w:val="18"/>
        </w:rPr>
        <w:t>»d) La comunicación de aceptación junto con la oferta constituye para todos los efectos el contrato celebrado, con base en lo cual se efectuará el respectivo registro presupuestal».</w:t>
      </w:r>
    </w:p>
  </w:footnote>
  <w:footnote w:id="5">
    <w:p w14:paraId="33F40E7E" w14:textId="77777777" w:rsidR="00B44BDA" w:rsidRPr="004900D3" w:rsidRDefault="00B44BDA" w:rsidP="00B44BDA">
      <w:pPr>
        <w:pStyle w:val="Textonotapie"/>
        <w:ind w:firstLine="708"/>
        <w:jc w:val="both"/>
        <w:rPr>
          <w:rFonts w:ascii="Arial" w:hAnsi="Arial" w:cs="Arial"/>
          <w:sz w:val="18"/>
          <w:szCs w:val="18"/>
        </w:rPr>
      </w:pPr>
      <w:r w:rsidRPr="004900D3">
        <w:rPr>
          <w:rStyle w:val="Refdenotaalpie"/>
          <w:rFonts w:ascii="Arial" w:hAnsi="Arial" w:cs="Arial"/>
          <w:sz w:val="18"/>
          <w:szCs w:val="18"/>
        </w:rPr>
        <w:footnoteRef/>
      </w:r>
      <w:r w:rsidRPr="004900D3">
        <w:rPr>
          <w:rFonts w:ascii="Arial" w:hAnsi="Arial" w:cs="Arial"/>
          <w:sz w:val="18"/>
          <w:szCs w:val="18"/>
        </w:rPr>
        <w:t xml:space="preserve"> El artículo completo es del siguiente tenor: «Artículo 8. Vigencia y derogatorias. Las disposiciones contenidas en el presente Decreto se aplicarán a los procedimientos de selección cuya invitación, aviso de convocatoria o documento equivalente se publique a los tres (3) meses contados a partir de su expedición. Este Decreto modifica la Subsección 5 de la Sección 1 del Capítulo 2 del Título 1 de la Parte 2 del Libro 2, así como los artículos 2.2.1.2.4.2.2., 2.2.1.2.4.2.3., 2.2.1.2.4.2.4., 2.2.1.2.1.2.2. Y 2.2.1.2.4.2.8.; adiciona los artículos 2.2.1.2.4.2.14., 2.2.1.2.4.2.15., 2.2.1.2.4.2.16., 2.2.1.2.4.2.17. Y 2.2.1.2.4.2.18.; adiciona un parágrafo al artículo 2.2.1.2.3.1.9; y deroga el artículo 2.2.1.1.2.2.9. del Decreto 1082 de 2015, Único Reglamentario del Sector Administrativo de Planeación Nacional</w:t>
      </w:r>
      <w:bookmarkStart w:id="6" w:name="_Hlk94513421"/>
      <w:r w:rsidRPr="004900D3">
        <w:rPr>
          <w:rFonts w:ascii="Arial" w:hAnsi="Arial" w:cs="Arial"/>
          <w:sz w:val="18"/>
          <w:szCs w:val="18"/>
        </w:rPr>
        <w:t>»</w:t>
      </w:r>
      <w:bookmarkEnd w:id="6"/>
      <w:r w:rsidRPr="004900D3">
        <w:rPr>
          <w:rFonts w:ascii="Arial" w:hAnsi="Arial" w:cs="Arial"/>
          <w:sz w:val="18"/>
          <w:szCs w:val="18"/>
        </w:rPr>
        <w:t>.</w:t>
      </w:r>
    </w:p>
  </w:footnote>
  <w:footnote w:id="6">
    <w:p w14:paraId="0F8FA382" w14:textId="77777777" w:rsidR="006E0D16" w:rsidRPr="004900D3" w:rsidRDefault="006E0D16" w:rsidP="006E0D16">
      <w:pPr>
        <w:pStyle w:val="Textonotapie"/>
        <w:ind w:firstLine="709"/>
        <w:jc w:val="both"/>
        <w:rPr>
          <w:rFonts w:ascii="Arial" w:hAnsi="Arial" w:cs="Arial"/>
          <w:color w:val="000000" w:themeColor="text1"/>
          <w:sz w:val="18"/>
          <w:szCs w:val="18"/>
          <w:lang w:val="es-ES_tradnl"/>
        </w:rPr>
      </w:pPr>
      <w:r w:rsidRPr="004900D3">
        <w:rPr>
          <w:rStyle w:val="Refdenotaalpie"/>
          <w:rFonts w:ascii="Arial" w:hAnsi="Arial" w:cs="Arial"/>
          <w:color w:val="000000" w:themeColor="text1"/>
          <w:sz w:val="18"/>
          <w:szCs w:val="18"/>
          <w:lang w:val="es-ES_tradnl"/>
        </w:rPr>
        <w:footnoteRef/>
      </w:r>
      <w:r w:rsidRPr="004900D3">
        <w:rPr>
          <w:rFonts w:ascii="Arial" w:hAnsi="Arial" w:cs="Arial"/>
          <w:color w:val="000000" w:themeColor="text1"/>
          <w:sz w:val="18"/>
          <w:szCs w:val="18"/>
          <w:lang w:val="es-ES_tradnl"/>
        </w:rPr>
        <w:t xml:space="preserve"> Esto lo ratifica el artículo 2.2.1.2.1.5.2. del Decreto 1082 de 2015.</w:t>
      </w:r>
    </w:p>
    <w:p w14:paraId="14807045" w14:textId="77777777" w:rsidR="006E0D16" w:rsidRPr="004900D3" w:rsidRDefault="006E0D16" w:rsidP="006E0D16">
      <w:pPr>
        <w:pStyle w:val="Textonotapie"/>
        <w:ind w:firstLine="709"/>
        <w:jc w:val="both"/>
        <w:rPr>
          <w:rFonts w:ascii="Arial" w:hAnsi="Arial" w:cs="Arial"/>
          <w:color w:val="000000" w:themeColor="text1"/>
          <w:sz w:val="18"/>
          <w:szCs w:val="18"/>
          <w:lang w:val="es-ES_tradnl"/>
        </w:rPr>
      </w:pPr>
    </w:p>
  </w:footnote>
  <w:footnote w:id="7">
    <w:p w14:paraId="1E5FC9D4" w14:textId="77777777" w:rsidR="006E0D16" w:rsidRPr="004900D3" w:rsidRDefault="006E0D16" w:rsidP="006E0D16">
      <w:pPr>
        <w:pStyle w:val="Textonotapie"/>
        <w:ind w:firstLine="709"/>
        <w:jc w:val="both"/>
        <w:rPr>
          <w:rFonts w:ascii="Arial" w:hAnsi="Arial" w:cs="Arial"/>
          <w:color w:val="000000" w:themeColor="text1"/>
          <w:sz w:val="18"/>
          <w:szCs w:val="18"/>
          <w:lang w:val="es-ES_tradnl"/>
        </w:rPr>
      </w:pPr>
      <w:r w:rsidRPr="004900D3">
        <w:rPr>
          <w:rStyle w:val="Refdenotaalpie"/>
          <w:rFonts w:ascii="Arial" w:hAnsi="Arial" w:cs="Arial"/>
          <w:color w:val="000000" w:themeColor="text1"/>
          <w:sz w:val="18"/>
          <w:szCs w:val="18"/>
          <w:lang w:val="es-ES_tradnl"/>
        </w:rPr>
        <w:footnoteRef/>
      </w:r>
      <w:r w:rsidRPr="004900D3">
        <w:rPr>
          <w:rFonts w:ascii="Arial" w:hAnsi="Arial" w:cs="Arial"/>
          <w:color w:val="000000" w:themeColor="text1"/>
          <w:sz w:val="18"/>
          <w:szCs w:val="18"/>
          <w:lang w:val="es-ES_tradnl"/>
        </w:rPr>
        <w:t xml:space="preserve"> DÁVILA VINUEZA, Luis Guillermo. Régimen jurídico de la contratación estatal. 3ª ed. Bogotá: Legis, 2016. p. 463.</w:t>
      </w:r>
    </w:p>
    <w:p w14:paraId="5BCE9DC9" w14:textId="77777777" w:rsidR="006E0D16" w:rsidRPr="004900D3" w:rsidRDefault="006E0D16" w:rsidP="006E0D16">
      <w:pPr>
        <w:pStyle w:val="Textonotapie"/>
        <w:ind w:firstLine="709"/>
        <w:jc w:val="both"/>
        <w:rPr>
          <w:rFonts w:ascii="Arial" w:hAnsi="Arial" w:cs="Arial"/>
          <w:color w:val="000000" w:themeColor="text1"/>
          <w:sz w:val="18"/>
          <w:szCs w:val="18"/>
          <w:lang w:val="es-ES_tradnl"/>
        </w:rPr>
      </w:pPr>
    </w:p>
  </w:footnote>
  <w:footnote w:id="8">
    <w:p w14:paraId="208804B5" w14:textId="77777777" w:rsidR="006E0D16" w:rsidRPr="004900D3" w:rsidRDefault="006E0D16" w:rsidP="006E0D16">
      <w:pPr>
        <w:pStyle w:val="Textonotapie"/>
        <w:ind w:firstLine="709"/>
        <w:jc w:val="both"/>
        <w:rPr>
          <w:rFonts w:ascii="Arial" w:hAnsi="Arial" w:cs="Arial"/>
          <w:color w:val="000000" w:themeColor="text1"/>
          <w:sz w:val="18"/>
          <w:szCs w:val="18"/>
          <w:lang w:val="es-ES_tradnl"/>
        </w:rPr>
      </w:pPr>
      <w:r w:rsidRPr="004900D3">
        <w:rPr>
          <w:rStyle w:val="Refdenotaalpie"/>
          <w:rFonts w:ascii="Arial" w:hAnsi="Arial" w:cs="Arial"/>
          <w:color w:val="000000" w:themeColor="text1"/>
          <w:sz w:val="18"/>
          <w:szCs w:val="18"/>
          <w:lang w:val="es-ES_tradnl"/>
        </w:rPr>
        <w:footnoteRef/>
      </w:r>
      <w:r w:rsidRPr="004900D3">
        <w:rPr>
          <w:rFonts w:ascii="Arial" w:hAnsi="Arial" w:cs="Arial"/>
          <w:color w:val="000000" w:themeColor="text1"/>
          <w:sz w:val="18"/>
          <w:szCs w:val="18"/>
          <w:lang w:val="es-ES_tradnl"/>
        </w:rPr>
        <w:t xml:space="preserve"> La contratación de mínima cuantía es aquella que no excede el 10% de la menor cuantía, o sea, que no supera el 10% de los topes definidos en el artículo 2, numeral 2, literal b) de la Ley 1150 de 2007, que dispone: «Se entenderá por menor cuantía los valores que a continuación se relacionan, determinados en función de los presupuestos anuales de las entidades públicas expresados en salarios mínimos legales mensuales.</w:t>
      </w:r>
    </w:p>
    <w:p w14:paraId="1D2961AF" w14:textId="77777777" w:rsidR="006E0D16" w:rsidRPr="004900D3" w:rsidRDefault="006E0D16" w:rsidP="006E0D16">
      <w:pPr>
        <w:pStyle w:val="Textonotapie"/>
        <w:ind w:firstLine="709"/>
        <w:jc w:val="both"/>
        <w:rPr>
          <w:rFonts w:ascii="Arial" w:hAnsi="Arial" w:cs="Arial"/>
          <w:color w:val="000000" w:themeColor="text1"/>
          <w:sz w:val="18"/>
          <w:szCs w:val="18"/>
          <w:lang w:val="es-ES_tradnl"/>
        </w:rPr>
      </w:pPr>
      <w:r w:rsidRPr="004900D3">
        <w:rPr>
          <w:rFonts w:ascii="Arial" w:hAnsi="Arial" w:cs="Arial"/>
          <w:color w:val="000000" w:themeColor="text1"/>
          <w:sz w:val="18"/>
          <w:szCs w:val="18"/>
          <w:lang w:val="es-ES_tradnl"/>
        </w:rPr>
        <w:t>»Para las entidades que tengan un presupuesto anual superior o igual a 1.200.000 salarios mínimos legales mensuales, la menor cuantía será hasta 1.000 salarios mínimos legales mensuales.</w:t>
      </w:r>
    </w:p>
    <w:p w14:paraId="57952674" w14:textId="77777777" w:rsidR="006E0D16" w:rsidRPr="004900D3" w:rsidRDefault="006E0D16" w:rsidP="006E0D16">
      <w:pPr>
        <w:pStyle w:val="Textonotapie"/>
        <w:ind w:firstLine="709"/>
        <w:jc w:val="both"/>
        <w:rPr>
          <w:rFonts w:ascii="Arial" w:hAnsi="Arial" w:cs="Arial"/>
          <w:color w:val="000000" w:themeColor="text1"/>
          <w:sz w:val="18"/>
          <w:szCs w:val="18"/>
          <w:lang w:val="es-ES_tradnl"/>
        </w:rPr>
      </w:pPr>
      <w:r w:rsidRPr="004900D3">
        <w:rPr>
          <w:rFonts w:ascii="Arial" w:hAnsi="Arial" w:cs="Arial"/>
          <w:color w:val="000000" w:themeColor="text1"/>
          <w:sz w:val="18"/>
          <w:szCs w:val="18"/>
          <w:lang w:val="es-ES_tradnl"/>
        </w:rPr>
        <w:t>»Las que tengan un presupuesto anual superior o igual a 850.000 salarios mínimos legales mensuales e inferiores a 1.200.000 salarios mínimos legales mensuales, la menor cuantía será hasta 850 salarios mínimos legales mensuales.</w:t>
      </w:r>
    </w:p>
    <w:p w14:paraId="0FF10C9B" w14:textId="77777777" w:rsidR="006E0D16" w:rsidRPr="004900D3" w:rsidRDefault="006E0D16" w:rsidP="006E0D16">
      <w:pPr>
        <w:pStyle w:val="Textonotapie"/>
        <w:ind w:firstLine="709"/>
        <w:jc w:val="both"/>
        <w:rPr>
          <w:rFonts w:ascii="Arial" w:hAnsi="Arial" w:cs="Arial"/>
          <w:color w:val="000000" w:themeColor="text1"/>
          <w:sz w:val="18"/>
          <w:szCs w:val="18"/>
          <w:lang w:val="es-ES_tradnl"/>
        </w:rPr>
      </w:pPr>
      <w:r w:rsidRPr="004900D3">
        <w:rPr>
          <w:rFonts w:ascii="Arial" w:hAnsi="Arial" w:cs="Arial"/>
          <w:color w:val="000000" w:themeColor="text1"/>
          <w:sz w:val="18"/>
          <w:szCs w:val="18"/>
          <w:lang w:val="es-ES_tradnl"/>
        </w:rPr>
        <w:t>»Las que tengan un presupuesto anual superior o igual a 400.000 salarios mínimos legales mensuales e inferior a 850.000 salarios mínimos legales mensuales, la menor cuantía será hasta 650 salarios mínimos legales mensuales.</w:t>
      </w:r>
    </w:p>
    <w:p w14:paraId="2D7D4F55" w14:textId="77777777" w:rsidR="006E0D16" w:rsidRPr="004900D3" w:rsidRDefault="006E0D16" w:rsidP="006E0D16">
      <w:pPr>
        <w:pStyle w:val="Textonotapie"/>
        <w:ind w:firstLine="709"/>
        <w:jc w:val="both"/>
        <w:rPr>
          <w:rFonts w:ascii="Arial" w:hAnsi="Arial" w:cs="Arial"/>
          <w:color w:val="000000" w:themeColor="text1"/>
          <w:sz w:val="18"/>
          <w:szCs w:val="18"/>
          <w:lang w:val="es-ES_tradnl"/>
        </w:rPr>
      </w:pPr>
      <w:r w:rsidRPr="004900D3">
        <w:rPr>
          <w:rFonts w:ascii="Arial" w:hAnsi="Arial" w:cs="Arial"/>
          <w:color w:val="000000" w:themeColor="text1"/>
          <w:sz w:val="18"/>
          <w:szCs w:val="18"/>
          <w:lang w:val="es-ES_tradnl"/>
        </w:rPr>
        <w:t>»Las que tengan un presupuesto anual superior o igual a 120.000 salarios mínimos legales mensuales e inferior a 400.000 salarios mínimos legales mensuales, la menor cuantía será hasta 450 salarios mínimos legales mensuales.</w:t>
      </w:r>
    </w:p>
    <w:p w14:paraId="3B592C1F" w14:textId="77777777" w:rsidR="006E0D16" w:rsidRPr="004900D3" w:rsidRDefault="006E0D16" w:rsidP="006E0D16">
      <w:pPr>
        <w:pStyle w:val="Textonotapie"/>
        <w:ind w:firstLine="709"/>
        <w:jc w:val="both"/>
        <w:rPr>
          <w:rFonts w:ascii="Arial" w:hAnsi="Arial" w:cs="Arial"/>
          <w:color w:val="000000" w:themeColor="text1"/>
          <w:sz w:val="18"/>
          <w:szCs w:val="18"/>
          <w:lang w:val="es-ES_tradnl"/>
        </w:rPr>
      </w:pPr>
      <w:r w:rsidRPr="004900D3">
        <w:rPr>
          <w:rFonts w:ascii="Arial" w:hAnsi="Arial" w:cs="Arial"/>
          <w:color w:val="000000" w:themeColor="text1"/>
          <w:sz w:val="18"/>
          <w:szCs w:val="18"/>
          <w:lang w:val="es-ES_tradnl"/>
        </w:rPr>
        <w:t>»Las que tengan un presupuesto anual inferior a 120.000 salarios mínimos legales mensuales, la menor cuantía será hasta 280 salarios mínimos legales mensuales».</w:t>
      </w:r>
    </w:p>
  </w:footnote>
  <w:footnote w:id="9">
    <w:p w14:paraId="3092C491" w14:textId="77777777" w:rsidR="004A73E3" w:rsidRPr="004900D3" w:rsidRDefault="004A73E3" w:rsidP="004A73E3">
      <w:pPr>
        <w:pStyle w:val="Textonotapie"/>
        <w:ind w:firstLine="709"/>
        <w:jc w:val="both"/>
        <w:rPr>
          <w:rFonts w:ascii="Arial" w:hAnsi="Arial" w:cs="Arial"/>
          <w:sz w:val="18"/>
          <w:szCs w:val="18"/>
        </w:rPr>
      </w:pPr>
      <w:r w:rsidRPr="004900D3">
        <w:rPr>
          <w:rStyle w:val="Refdenotaalpie"/>
          <w:rFonts w:ascii="Arial" w:hAnsi="Arial" w:cs="Arial"/>
          <w:sz w:val="18"/>
          <w:szCs w:val="18"/>
        </w:rPr>
        <w:footnoteRef/>
      </w:r>
      <w:r w:rsidRPr="004900D3">
        <w:rPr>
          <w:rFonts w:ascii="Arial" w:hAnsi="Arial" w:cs="Arial"/>
          <w:sz w:val="18"/>
          <w:szCs w:val="18"/>
        </w:rPr>
        <w:t xml:space="preserve"> </w:t>
      </w:r>
      <w:r w:rsidRPr="004900D3">
        <w:rPr>
          <w:rFonts w:ascii="Arial" w:hAnsi="Arial" w:cs="Arial"/>
          <w:color w:val="000000" w:themeColor="text1"/>
          <w:sz w:val="18"/>
          <w:szCs w:val="18"/>
          <w:lang w:val="es-ES_tradnl"/>
        </w:rPr>
        <w:t>«</w:t>
      </w:r>
      <w:r w:rsidRPr="004900D3">
        <w:rPr>
          <w:rFonts w:ascii="Arial" w:hAnsi="Arial" w:cs="Arial"/>
          <w:sz w:val="18"/>
          <w:szCs w:val="18"/>
        </w:rPr>
        <w:t>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66E91025" w14:textId="098BB855" w:rsidR="004A73E3" w:rsidRPr="004900D3" w:rsidRDefault="004A73E3" w:rsidP="004A73E3">
      <w:pPr>
        <w:pStyle w:val="Textonotapie"/>
        <w:ind w:firstLine="709"/>
        <w:jc w:val="both"/>
        <w:rPr>
          <w:rFonts w:ascii="Arial" w:hAnsi="Arial" w:cs="Arial"/>
          <w:sz w:val="18"/>
          <w:szCs w:val="18"/>
          <w:lang w:val="es-CO"/>
        </w:rPr>
      </w:pPr>
      <w:r w:rsidRPr="004900D3">
        <w:rPr>
          <w:rFonts w:ascii="Arial" w:hAnsi="Arial" w:cs="Arial"/>
          <w:color w:val="000000" w:themeColor="text1"/>
          <w:sz w:val="18"/>
          <w:szCs w:val="18"/>
          <w:lang w:val="es-ES_tradnl"/>
        </w:rPr>
        <w:t>»</w:t>
      </w:r>
      <w:r w:rsidRPr="004900D3">
        <w:rPr>
          <w:rFonts w:ascii="Arial" w:hAnsi="Arial" w:cs="Arial"/>
          <w:sz w:val="18"/>
          <w:szCs w:val="18"/>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r w:rsidRPr="004900D3">
        <w:rPr>
          <w:rFonts w:ascii="Arial" w:hAnsi="Arial" w:cs="Arial"/>
          <w:color w:val="000000" w:themeColor="text1"/>
          <w:sz w:val="18"/>
          <w:szCs w:val="18"/>
          <w:lang w:val="es-ES_tradnl"/>
        </w:rPr>
        <w:t xml:space="preserve"> […]»</w:t>
      </w:r>
    </w:p>
  </w:footnote>
  <w:footnote w:id="10">
    <w:p w14:paraId="18186DE8" w14:textId="77777777" w:rsidR="00053EBE" w:rsidRPr="004900D3" w:rsidRDefault="00053EBE" w:rsidP="00053EBE">
      <w:pPr>
        <w:pStyle w:val="Textonotapie"/>
        <w:ind w:firstLine="708"/>
        <w:jc w:val="both"/>
        <w:rPr>
          <w:rFonts w:ascii="Arial" w:hAnsi="Arial" w:cs="Arial"/>
          <w:sz w:val="18"/>
          <w:szCs w:val="18"/>
        </w:rPr>
      </w:pPr>
      <w:r w:rsidRPr="004900D3">
        <w:rPr>
          <w:rStyle w:val="Refdenotaalpie"/>
          <w:rFonts w:ascii="Arial" w:hAnsi="Arial" w:cs="Arial"/>
          <w:sz w:val="18"/>
          <w:szCs w:val="18"/>
        </w:rPr>
        <w:footnoteRef/>
      </w:r>
      <w:r w:rsidRPr="004900D3">
        <w:rPr>
          <w:rFonts w:ascii="Arial" w:hAnsi="Arial" w:cs="Arial"/>
          <w:sz w:val="18"/>
          <w:szCs w:val="18"/>
        </w:rPr>
        <w:t xml:space="preserve"> «Artículo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7C3D0BA9" w14:textId="77777777" w:rsidR="00053EBE" w:rsidRPr="004900D3" w:rsidRDefault="00053EBE" w:rsidP="00053EBE">
      <w:pPr>
        <w:pStyle w:val="Textonotapie"/>
        <w:ind w:firstLine="708"/>
        <w:jc w:val="both"/>
        <w:rPr>
          <w:rFonts w:ascii="Arial" w:hAnsi="Arial" w:cs="Arial"/>
          <w:sz w:val="18"/>
          <w:szCs w:val="18"/>
        </w:rPr>
      </w:pPr>
    </w:p>
  </w:footnote>
  <w:footnote w:id="11">
    <w:p w14:paraId="3D31C07D" w14:textId="77777777" w:rsidR="00145D56" w:rsidRPr="004900D3" w:rsidRDefault="00145D56" w:rsidP="00145D56">
      <w:pPr>
        <w:pStyle w:val="Textonotapie"/>
        <w:ind w:firstLine="709"/>
        <w:jc w:val="both"/>
        <w:rPr>
          <w:rFonts w:ascii="Arial" w:hAnsi="Arial" w:cs="Arial"/>
          <w:color w:val="000000" w:themeColor="text1"/>
          <w:sz w:val="18"/>
          <w:szCs w:val="18"/>
          <w:lang w:val="es-ES_tradnl"/>
        </w:rPr>
      </w:pPr>
      <w:r w:rsidRPr="004900D3">
        <w:rPr>
          <w:rStyle w:val="Refdenotaalpie"/>
          <w:rFonts w:ascii="Arial" w:hAnsi="Arial" w:cs="Arial"/>
          <w:color w:val="000000" w:themeColor="text1"/>
          <w:sz w:val="18"/>
          <w:szCs w:val="18"/>
          <w:lang w:val="es-ES_tradnl"/>
        </w:rPr>
        <w:footnoteRef/>
      </w:r>
      <w:r w:rsidRPr="004900D3">
        <w:rPr>
          <w:rFonts w:ascii="Arial" w:hAnsi="Arial" w:cs="Arial"/>
          <w:color w:val="000000" w:themeColor="text1"/>
          <w:sz w:val="18"/>
          <w:szCs w:val="18"/>
          <w:lang w:val="es-ES_tradnl"/>
        </w:rPr>
        <w:t xml:space="preserve"> Como lo indica la doctrina, en la mínima cuantía «El precio es el factor de selección del proponente. Es decir, la </w:t>
      </w:r>
      <w:r w:rsidRPr="004900D3">
        <w:rPr>
          <w:rFonts w:ascii="Arial" w:hAnsi="Arial" w:cs="Arial"/>
          <w:i/>
          <w:iCs/>
          <w:color w:val="000000" w:themeColor="text1"/>
          <w:sz w:val="18"/>
          <w:szCs w:val="18"/>
          <w:lang w:val="es-ES_tradnl"/>
        </w:rPr>
        <w:t>entidad estatal</w:t>
      </w:r>
      <w:r w:rsidRPr="004900D3">
        <w:rPr>
          <w:rFonts w:ascii="Arial" w:hAnsi="Arial" w:cs="Arial"/>
          <w:color w:val="000000" w:themeColor="text1"/>
          <w:sz w:val="18"/>
          <w:szCs w:val="18"/>
          <w:lang w:val="es-ES_tradnl"/>
        </w:rPr>
        <w:t xml:space="preserve"> debe adjudicar el </w:t>
      </w:r>
      <w:r w:rsidRPr="004900D3">
        <w:rPr>
          <w:rFonts w:ascii="Arial" w:hAnsi="Arial" w:cs="Arial"/>
          <w:i/>
          <w:iCs/>
          <w:color w:val="000000" w:themeColor="text1"/>
          <w:sz w:val="18"/>
          <w:szCs w:val="18"/>
          <w:lang w:val="es-ES_tradnl"/>
        </w:rPr>
        <w:t>proceso de contratación</w:t>
      </w:r>
      <w:r w:rsidRPr="004900D3">
        <w:rPr>
          <w:rFonts w:ascii="Arial" w:hAnsi="Arial" w:cs="Arial"/>
          <w:color w:val="000000" w:themeColor="text1"/>
          <w:sz w:val="18"/>
          <w:szCs w:val="18"/>
          <w:lang w:val="es-ES_tradnl"/>
        </w:rPr>
        <w:t xml:space="preserve"> al oferente que cumpla con todas las condiciones exigidas por la </w:t>
      </w:r>
      <w:r w:rsidRPr="004900D3">
        <w:rPr>
          <w:rFonts w:ascii="Arial" w:hAnsi="Arial" w:cs="Arial"/>
          <w:i/>
          <w:iCs/>
          <w:color w:val="000000" w:themeColor="text1"/>
          <w:sz w:val="18"/>
          <w:szCs w:val="18"/>
          <w:lang w:val="es-ES_tradnl"/>
        </w:rPr>
        <w:t>entidad estatal</w:t>
      </w:r>
      <w:r w:rsidRPr="004900D3">
        <w:rPr>
          <w:rFonts w:ascii="Arial" w:hAnsi="Arial" w:cs="Arial"/>
          <w:color w:val="000000" w:themeColor="text1"/>
          <w:sz w:val="18"/>
          <w:szCs w:val="18"/>
          <w:lang w:val="es-ES_tradnl"/>
        </w:rPr>
        <w:t xml:space="preserve"> en los </w:t>
      </w:r>
      <w:r w:rsidRPr="004900D3">
        <w:rPr>
          <w:rFonts w:ascii="Arial" w:hAnsi="Arial" w:cs="Arial"/>
          <w:i/>
          <w:iCs/>
          <w:color w:val="000000" w:themeColor="text1"/>
          <w:sz w:val="18"/>
          <w:szCs w:val="18"/>
          <w:lang w:val="es-ES_tradnl"/>
        </w:rPr>
        <w:t>documentos del proceso</w:t>
      </w:r>
      <w:r w:rsidRPr="004900D3">
        <w:rPr>
          <w:rFonts w:ascii="Arial" w:hAnsi="Arial" w:cs="Arial"/>
          <w:color w:val="000000" w:themeColor="text1"/>
          <w:sz w:val="18"/>
          <w:szCs w:val="18"/>
          <w:lang w:val="es-ES_tradnl"/>
        </w:rPr>
        <w:t xml:space="preserve"> (estudios previos e invitación a participar), y que ofrezca el menor valor. No hay lugar a puntajes para evaluar las ofertas sobre las características del objeto a contratar, su calidad o condiciones» (DÁVILA, Op.cit., p. 515).</w:t>
      </w:r>
    </w:p>
    <w:p w14:paraId="38B245F7" w14:textId="77777777" w:rsidR="00145D56" w:rsidRPr="004900D3" w:rsidRDefault="00145D56" w:rsidP="00145D56">
      <w:pPr>
        <w:pStyle w:val="Textonotapie"/>
        <w:ind w:firstLine="709"/>
        <w:jc w:val="both"/>
        <w:rPr>
          <w:rFonts w:ascii="Arial" w:hAnsi="Arial" w:cs="Arial"/>
          <w:color w:val="000000" w:themeColor="text1"/>
          <w:sz w:val="18"/>
          <w:szCs w:val="18"/>
          <w:lang w:val="es-ES_tradnl"/>
        </w:rPr>
      </w:pPr>
    </w:p>
  </w:footnote>
  <w:footnote w:id="12">
    <w:p w14:paraId="092A5BF1" w14:textId="77777777" w:rsidR="00510A3E" w:rsidRPr="00510A3E" w:rsidRDefault="00510A3E" w:rsidP="00510A3E">
      <w:pPr>
        <w:ind w:firstLine="709"/>
        <w:contextualSpacing/>
        <w:jc w:val="both"/>
        <w:rPr>
          <w:rFonts w:ascii="Arial" w:hAnsi="Arial" w:cs="Arial"/>
          <w:sz w:val="18"/>
          <w:szCs w:val="18"/>
          <w:lang w:eastAsia="en-US"/>
        </w:rPr>
      </w:pPr>
      <w:r w:rsidRPr="00510A3E">
        <w:rPr>
          <w:rStyle w:val="Refdenotaalpie"/>
          <w:rFonts w:ascii="Arial" w:hAnsi="Arial" w:cs="Arial"/>
          <w:sz w:val="18"/>
          <w:szCs w:val="18"/>
        </w:rPr>
        <w:footnoteRef/>
      </w:r>
      <w:r w:rsidRPr="00510A3E">
        <w:rPr>
          <w:rFonts w:ascii="Arial" w:hAnsi="Arial" w:cs="Arial"/>
          <w:sz w:val="18"/>
          <w:szCs w:val="18"/>
        </w:rPr>
        <w:t xml:space="preserve"> </w:t>
      </w:r>
      <w:r w:rsidRPr="00510A3E">
        <w:rPr>
          <w:rFonts w:ascii="Arial" w:hAnsi="Arial" w:cs="Arial"/>
          <w:sz w:val="18"/>
          <w:szCs w:val="18"/>
          <w:lang w:val="es-ES"/>
        </w:rPr>
        <w:t>En efecto, el artículo 34 de la Ley 2069 de 2020 establece: «</w:t>
      </w:r>
      <w:r w:rsidRPr="00510A3E">
        <w:rPr>
          <w:rFonts w:ascii="Arial" w:hAnsi="Arial" w:cs="Arial"/>
          <w:sz w:val="18"/>
          <w:szCs w:val="18"/>
        </w:rPr>
        <w:t xml:space="preserve">Modifíquese el artículo 12 de la Ley 1150 de 2007, el cual quedará así: </w:t>
      </w:r>
    </w:p>
    <w:p w14:paraId="3915EAD1" w14:textId="77777777" w:rsidR="00510A3E" w:rsidRPr="00510A3E" w:rsidRDefault="00510A3E" w:rsidP="00510A3E">
      <w:pPr>
        <w:ind w:firstLine="709"/>
        <w:contextualSpacing/>
        <w:jc w:val="both"/>
        <w:rPr>
          <w:rFonts w:ascii="Arial" w:eastAsia="Calibri" w:hAnsi="Arial" w:cs="Arial"/>
          <w:color w:val="000000"/>
          <w:sz w:val="18"/>
          <w:szCs w:val="18"/>
          <w:lang w:val="es-ES_tradnl"/>
        </w:rPr>
      </w:pPr>
      <w:r w:rsidRPr="00510A3E">
        <w:rPr>
          <w:rFonts w:ascii="Arial" w:eastAsia="Calibri" w:hAnsi="Arial" w:cs="Arial"/>
          <w:color w:val="000000"/>
          <w:sz w:val="18"/>
          <w:szCs w:val="18"/>
        </w:rPr>
        <w:t>»</w:t>
      </w:r>
      <w:r w:rsidRPr="00510A3E">
        <w:rPr>
          <w:rFonts w:ascii="Arial" w:eastAsia="Calibri" w:hAnsi="Arial" w:cs="Arial"/>
          <w:color w:val="000000"/>
          <w:sz w:val="18"/>
          <w:szCs w:val="18"/>
          <w:lang w:val="es-ES_tradnl"/>
        </w:rPr>
        <w:t>"Artículo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Mipyme, convocatorias limitadas a estas en las que, previo a la Resolución de apertura del proceso respectivo, se haya manifestado el interés de por lo menos dos (2) Mipyme.</w:t>
      </w:r>
    </w:p>
    <w:p w14:paraId="18DE2B98" w14:textId="77777777" w:rsidR="00510A3E" w:rsidRPr="00510A3E" w:rsidRDefault="00510A3E" w:rsidP="00510A3E">
      <w:pPr>
        <w:ind w:firstLine="709"/>
        <w:contextualSpacing/>
        <w:jc w:val="both"/>
        <w:rPr>
          <w:rFonts w:ascii="Arial" w:eastAsia="Calibri" w:hAnsi="Arial" w:cs="Arial"/>
          <w:color w:val="000000"/>
          <w:sz w:val="18"/>
          <w:szCs w:val="18"/>
          <w:lang w:val="es-ES_tradnl"/>
        </w:rPr>
      </w:pPr>
      <w:r w:rsidRPr="00510A3E">
        <w:rPr>
          <w:rFonts w:ascii="Arial" w:eastAsia="Calibri" w:hAnsi="Arial" w:cs="Arial"/>
          <w:color w:val="000000"/>
          <w:sz w:val="18"/>
          <w:szCs w:val="18"/>
          <w:lang w:val="es-ES_tradnl"/>
        </w:rPr>
        <w:t>»Asimismo, el reglamento podrá establecer condiciones preferenciales a favor de la oferta de bienes y servicios producidos por las Mipyme respetando los montos y las condiciones contenidas en los compromisos internacionales vigentes, cuando sean aplicables.</w:t>
      </w:r>
    </w:p>
    <w:p w14:paraId="1E3B2DA1" w14:textId="77777777" w:rsidR="00510A3E" w:rsidRPr="00510A3E" w:rsidRDefault="00510A3E" w:rsidP="00510A3E">
      <w:pPr>
        <w:ind w:firstLine="709"/>
        <w:contextualSpacing/>
        <w:jc w:val="both"/>
        <w:rPr>
          <w:rFonts w:ascii="Arial" w:eastAsia="Calibri" w:hAnsi="Arial" w:cs="Arial"/>
          <w:color w:val="000000"/>
          <w:sz w:val="18"/>
          <w:szCs w:val="18"/>
          <w:lang w:val="es-ES_tradnl"/>
        </w:rPr>
      </w:pPr>
      <w:r w:rsidRPr="00510A3E">
        <w:rPr>
          <w:rFonts w:ascii="Arial" w:eastAsia="Calibri" w:hAnsi="Arial" w:cs="Arial"/>
          <w:color w:val="000000"/>
          <w:sz w:val="18"/>
          <w:szCs w:val="18"/>
          <w:lang w:val="es-ES_tradnl"/>
        </w:rPr>
        <w:t>»En todo caso, se deberá garantizar la satisfacción de las condiciones técnicas y económicas requeridas en el Proceso de Contratación.</w:t>
      </w:r>
    </w:p>
    <w:p w14:paraId="5F5230EF" w14:textId="77777777" w:rsidR="00510A3E" w:rsidRPr="00510A3E" w:rsidRDefault="00510A3E" w:rsidP="00510A3E">
      <w:pPr>
        <w:ind w:firstLine="709"/>
        <w:contextualSpacing/>
        <w:jc w:val="both"/>
        <w:rPr>
          <w:rFonts w:ascii="Arial" w:eastAsia="Calibri" w:hAnsi="Arial" w:cs="Arial"/>
          <w:color w:val="000000"/>
          <w:sz w:val="18"/>
          <w:szCs w:val="18"/>
          <w:lang w:val="es-ES_tradnl"/>
        </w:rPr>
      </w:pPr>
      <w:r w:rsidRPr="00510A3E">
        <w:rPr>
          <w:rFonts w:ascii="Arial" w:eastAsia="Calibri" w:hAnsi="Arial" w:cs="Arial"/>
          <w:color w:val="000000"/>
          <w:sz w:val="18"/>
          <w:szCs w:val="18"/>
          <w:lang w:val="es-ES_tradnl"/>
        </w:rPr>
        <w:t>»De igual forma,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w:t>
      </w:r>
    </w:p>
    <w:p w14:paraId="6F2C2A8C" w14:textId="77777777" w:rsidR="00510A3E" w:rsidRPr="00510A3E" w:rsidRDefault="00510A3E" w:rsidP="00510A3E">
      <w:pPr>
        <w:ind w:firstLine="709"/>
        <w:contextualSpacing/>
        <w:jc w:val="both"/>
        <w:rPr>
          <w:rFonts w:ascii="Arial" w:eastAsia="Calibri" w:hAnsi="Arial" w:cs="Arial"/>
          <w:color w:val="000000"/>
          <w:sz w:val="18"/>
          <w:szCs w:val="18"/>
          <w:lang w:val="es-ES_tradnl"/>
        </w:rPr>
      </w:pPr>
      <w:r w:rsidRPr="00510A3E">
        <w:rPr>
          <w:rFonts w:ascii="Arial" w:eastAsia="Calibri" w:hAnsi="Arial" w:cs="Arial"/>
          <w:color w:val="000000"/>
          <w:sz w:val="18"/>
          <w:szCs w:val="18"/>
          <w:lang w:val="es-ES_tradnl"/>
        </w:rPr>
        <w:t>»Parágrafo Primero. En los Procesos de Contratación que se desarrollen con base en el primer inciso, las entidades podrán realizar las convocatorias limitadas que beneficien a las Mipyme del ámbito municipal o departamental correspondiente al de la ejecución del contrato.</w:t>
      </w:r>
    </w:p>
    <w:p w14:paraId="0C692204" w14:textId="77777777" w:rsidR="00510A3E" w:rsidRPr="00510A3E" w:rsidRDefault="00510A3E" w:rsidP="00510A3E">
      <w:pPr>
        <w:ind w:firstLine="709"/>
        <w:contextualSpacing/>
        <w:jc w:val="both"/>
        <w:rPr>
          <w:rFonts w:ascii="Arial" w:eastAsia="Calibri" w:hAnsi="Arial" w:cs="Arial"/>
          <w:color w:val="000000"/>
          <w:sz w:val="18"/>
          <w:szCs w:val="18"/>
          <w:lang w:val="es-ES_tradnl"/>
        </w:rPr>
      </w:pPr>
      <w:r w:rsidRPr="00510A3E">
        <w:rPr>
          <w:rFonts w:ascii="Arial" w:eastAsia="Calibri" w:hAnsi="Arial" w:cs="Arial"/>
          <w:color w:val="000000"/>
          <w:sz w:val="18"/>
          <w:szCs w:val="18"/>
          <w:lang w:val="es-ES_tradnl"/>
        </w:rPr>
        <w:t>»Parágrafo Segundo. Sin perjuicio de lo dispuesto en los artículos 5 y 6 de la Ley 1150 de 2007, para que las Mipymes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p w14:paraId="384AAF52" w14:textId="77777777" w:rsidR="00510A3E" w:rsidRPr="00510A3E" w:rsidRDefault="00510A3E" w:rsidP="00510A3E">
      <w:pPr>
        <w:ind w:firstLine="709"/>
        <w:contextualSpacing/>
        <w:jc w:val="both"/>
        <w:rPr>
          <w:rFonts w:ascii="Arial" w:eastAsia="Calibri" w:hAnsi="Arial" w:cs="Arial"/>
          <w:color w:val="000000"/>
          <w:sz w:val="18"/>
          <w:szCs w:val="18"/>
          <w:lang w:val="es-ES_tradnl"/>
        </w:rPr>
      </w:pPr>
      <w:r w:rsidRPr="00510A3E">
        <w:rPr>
          <w:rFonts w:ascii="Arial" w:eastAsia="Calibri" w:hAnsi="Arial" w:cs="Arial"/>
          <w:color w:val="000000"/>
          <w:sz w:val="18"/>
          <w:szCs w:val="18"/>
          <w:lang w:val="es-ES_tradnl"/>
        </w:rPr>
        <w:t xml:space="preserve">»Parágrafo Tercero. En la ejecución de los contratos a que se refiere el presente artículo, las entidades y los contratistas, deberán observar lo dispuesto en los artículos 90 a 95 de la Ley 418 de 1997 y las normas que la modifiquen, adicionen o subroguen."»  </w:t>
      </w:r>
    </w:p>
    <w:p w14:paraId="2434BBA6" w14:textId="77777777" w:rsidR="00510A3E" w:rsidRPr="00510A3E" w:rsidRDefault="00510A3E" w:rsidP="00510A3E">
      <w:pPr>
        <w:pStyle w:val="Car1"/>
        <w:ind w:firstLine="709"/>
        <w:jc w:val="both"/>
        <w:rPr>
          <w:rFonts w:ascii="Arial" w:hAnsi="Arial" w:cs="Arial"/>
          <w:sz w:val="18"/>
          <w:szCs w:val="18"/>
          <w:lang w:val="es-ES_tradnl"/>
        </w:rPr>
      </w:pPr>
    </w:p>
  </w:footnote>
  <w:footnote w:id="13">
    <w:p w14:paraId="160FA780" w14:textId="77777777" w:rsidR="00510A3E" w:rsidRPr="00510A3E" w:rsidRDefault="00510A3E" w:rsidP="00510A3E">
      <w:pPr>
        <w:pStyle w:val="Textonotapie"/>
        <w:ind w:firstLine="708"/>
        <w:jc w:val="both"/>
        <w:rPr>
          <w:rFonts w:ascii="Arial" w:hAnsi="Arial" w:cs="Arial"/>
          <w:color w:val="000000"/>
          <w:sz w:val="18"/>
          <w:szCs w:val="18"/>
        </w:rPr>
      </w:pPr>
      <w:r w:rsidRPr="00510A3E">
        <w:rPr>
          <w:rStyle w:val="Refdenotaalpie"/>
          <w:rFonts w:ascii="Arial" w:hAnsi="Arial" w:cs="Arial"/>
          <w:sz w:val="18"/>
          <w:szCs w:val="18"/>
        </w:rPr>
        <w:footnoteRef/>
      </w:r>
      <w:r w:rsidRPr="00510A3E">
        <w:rPr>
          <w:rFonts w:ascii="Arial" w:hAnsi="Arial" w:cs="Arial"/>
          <w:sz w:val="18"/>
          <w:szCs w:val="18"/>
        </w:rPr>
        <w:t xml:space="preserve"> El fenómeno de la subrogación ha sido explicado por la Corte Constitucional, en sentencias como la </w:t>
      </w:r>
      <w:r w:rsidRPr="00510A3E">
        <w:rPr>
          <w:rFonts w:ascii="Arial" w:hAnsi="Arial" w:cs="Arial"/>
          <w:sz w:val="18"/>
          <w:szCs w:val="18"/>
          <w:lang w:val="es-ES"/>
        </w:rPr>
        <w:t>C-502 de 2012, Magistrada Ponente: Adriana María Guillén Arango,</w:t>
      </w:r>
      <w:r w:rsidRPr="00510A3E">
        <w:rPr>
          <w:rFonts w:ascii="Arial" w:hAnsi="Arial" w:cs="Arial"/>
          <w:sz w:val="18"/>
          <w:szCs w:val="18"/>
        </w:rPr>
        <w:t xml:space="preserve"> en los siguientes términos: «</w:t>
      </w:r>
      <w:r w:rsidRPr="00510A3E">
        <w:rPr>
          <w:rFonts w:ascii="Arial" w:eastAsia="Calibri" w:hAnsi="Arial" w:cs="Arial"/>
          <w:sz w:val="18"/>
          <w:szCs w:val="18"/>
          <w:lang w:val="es-ES_tradnl" w:eastAsia="es-ES_tradnl"/>
        </w:rPr>
        <w:t>La subrogación es entendida como el acto de sustituir una norma por otra. No se trata de una derogación simple, como quiera que antes que abolir o anular una disposición del sistema normativo establecido, lo que hace es poner un texto normativo en lugar de otro. Como resultado de la subrogación, las normas jurídicas preexistentes y afectadas con la medida pueden en parte ser derogadas, modificadas y en parte sustituidas por otras nuevas; pero también la subrogación puede incluir la reproducción de apartes normativos provenientes del texto legal que se subroga</w:t>
      </w:r>
      <w:r w:rsidRPr="00510A3E">
        <w:rPr>
          <w:rFonts w:ascii="Arial" w:hAnsi="Arial" w:cs="Arial"/>
          <w:color w:val="000000"/>
          <w:sz w:val="18"/>
          <w:szCs w:val="18"/>
        </w:rPr>
        <w:t xml:space="preserve">». </w:t>
      </w:r>
    </w:p>
    <w:p w14:paraId="719984F5" w14:textId="77777777" w:rsidR="00510A3E" w:rsidRPr="00510A3E" w:rsidRDefault="00510A3E" w:rsidP="00510A3E">
      <w:pPr>
        <w:pStyle w:val="Textonotapie"/>
        <w:ind w:firstLine="708"/>
        <w:jc w:val="both"/>
        <w:rPr>
          <w:rFonts w:ascii="Arial" w:hAnsi="Arial" w:cs="Arial"/>
          <w:sz w:val="18"/>
          <w:szCs w:val="18"/>
        </w:rPr>
      </w:pPr>
    </w:p>
  </w:footnote>
  <w:footnote w:id="14">
    <w:p w14:paraId="2935355C" w14:textId="77777777" w:rsidR="00015FE2" w:rsidRPr="004900D3" w:rsidRDefault="00015FE2" w:rsidP="00015FE2">
      <w:pPr>
        <w:pStyle w:val="Textonotapie"/>
        <w:ind w:firstLine="708"/>
        <w:jc w:val="both"/>
        <w:rPr>
          <w:rFonts w:ascii="Arial" w:hAnsi="Arial" w:cs="Arial"/>
          <w:sz w:val="18"/>
          <w:szCs w:val="18"/>
        </w:rPr>
      </w:pPr>
      <w:r w:rsidRPr="004900D3">
        <w:rPr>
          <w:rStyle w:val="Refdenotaalpie"/>
          <w:rFonts w:ascii="Arial" w:hAnsi="Arial" w:cs="Arial"/>
          <w:sz w:val="18"/>
          <w:szCs w:val="18"/>
        </w:rPr>
        <w:footnoteRef/>
      </w:r>
      <w:r w:rsidRPr="004900D3">
        <w:rPr>
          <w:rFonts w:ascii="Arial" w:hAnsi="Arial" w:cs="Arial"/>
          <w:sz w:val="18"/>
          <w:szCs w:val="18"/>
        </w:rPr>
        <w:t xml:space="preserve"> Este monto fue publicado por la Agencia Nacional de Contratación Pública – Colombia Compra Eficiente, de acuerdo con la información remitida por el Ministerio de Comercio Industria y Turismo, disponible en el siguiente enlace: </w:t>
      </w:r>
      <w:hyperlink r:id="rId2" w:history="1">
        <w:r w:rsidRPr="004900D3">
          <w:rPr>
            <w:rStyle w:val="Hipervnculo"/>
            <w:rFonts w:ascii="Arial" w:hAnsi="Arial" w:cs="Arial"/>
            <w:color w:val="000000" w:themeColor="text1"/>
            <w:sz w:val="18"/>
            <w:szCs w:val="18"/>
          </w:rPr>
          <w:t>https://www.colombiacompra.gov.co/sites/cce_public/files/files_2020/vf_umbrales_actualizaciones_2022_-_2023_1.pdf</w:t>
        </w:r>
      </w:hyperlink>
      <w:r w:rsidRPr="004900D3">
        <w:rPr>
          <w:rFonts w:ascii="Arial" w:hAnsi="Arial" w:cs="Arial"/>
          <w:color w:val="000000" w:themeColor="text1"/>
          <w:sz w:val="18"/>
          <w:szCs w:val="18"/>
        </w:rPr>
        <w:t xml:space="preserve">. </w:t>
      </w:r>
      <w:r w:rsidRPr="004900D3">
        <w:rPr>
          <w:rFonts w:ascii="Arial" w:hAnsi="Arial" w:cs="Arial"/>
          <w:sz w:val="18"/>
          <w:szCs w:val="18"/>
        </w:rPr>
        <w:t>Allí se señala que el monto corresponde a $ 457.297.264.</w:t>
      </w:r>
    </w:p>
  </w:footnote>
  <w:footnote w:id="15">
    <w:p w14:paraId="75BBAD08" w14:textId="77777777" w:rsidR="00015FE2" w:rsidRPr="004900D3" w:rsidRDefault="00015FE2" w:rsidP="00015FE2">
      <w:pPr>
        <w:pStyle w:val="Textonotapie"/>
        <w:ind w:firstLine="709"/>
        <w:jc w:val="both"/>
        <w:rPr>
          <w:rFonts w:ascii="Arial" w:hAnsi="Arial" w:cs="Arial"/>
          <w:sz w:val="18"/>
          <w:szCs w:val="18"/>
        </w:rPr>
      </w:pPr>
      <w:r w:rsidRPr="004900D3">
        <w:rPr>
          <w:rStyle w:val="Refdenotaalpie"/>
          <w:rFonts w:ascii="Arial" w:hAnsi="Arial" w:cs="Arial"/>
          <w:sz w:val="18"/>
          <w:szCs w:val="18"/>
        </w:rPr>
        <w:footnoteRef/>
      </w:r>
      <w:r w:rsidRPr="004900D3">
        <w:rPr>
          <w:rFonts w:ascii="Arial" w:hAnsi="Arial" w:cs="Arial"/>
          <w:sz w:val="18"/>
          <w:szCs w:val="18"/>
        </w:rPr>
        <w:t xml:space="preserve">  Agencia Nacional de Contratación Pública – Colombia Compra Eficiente. Concepto C-045 del 17 de marzo de 2020. Radicado de salida No. 2202013000001974.</w:t>
      </w:r>
    </w:p>
  </w:footnote>
  <w:footnote w:id="16">
    <w:p w14:paraId="3BEA122E" w14:textId="77777777" w:rsidR="00015FE2" w:rsidRPr="004900D3" w:rsidRDefault="00015FE2" w:rsidP="00015FE2">
      <w:pPr>
        <w:pStyle w:val="Textonotapie"/>
        <w:ind w:firstLine="709"/>
        <w:jc w:val="both"/>
        <w:rPr>
          <w:rFonts w:ascii="Arial" w:hAnsi="Arial" w:cs="Arial"/>
          <w:sz w:val="18"/>
          <w:szCs w:val="18"/>
        </w:rPr>
      </w:pPr>
      <w:r w:rsidRPr="004900D3">
        <w:rPr>
          <w:rStyle w:val="Refdenotaalpie"/>
          <w:rFonts w:ascii="Arial" w:hAnsi="Arial" w:cs="Arial"/>
          <w:sz w:val="18"/>
          <w:szCs w:val="18"/>
        </w:rPr>
        <w:footnoteRef/>
      </w:r>
      <w:r w:rsidRPr="004900D3">
        <w:rPr>
          <w:rFonts w:ascii="Arial" w:hAnsi="Arial" w:cs="Arial"/>
          <w:sz w:val="18"/>
          <w:szCs w:val="18"/>
        </w:rPr>
        <w:t xml:space="preserve"> ARTÍCULO 2.2.1.2.4.2.2. Convocatorias limitadas a Mípyme.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1DC8355F" w14:textId="77777777" w:rsidR="00015FE2" w:rsidRPr="004900D3" w:rsidRDefault="00015FE2" w:rsidP="00015FE2">
      <w:pPr>
        <w:pStyle w:val="Textonotapie"/>
        <w:ind w:firstLine="709"/>
        <w:jc w:val="both"/>
        <w:rPr>
          <w:rFonts w:ascii="Arial" w:hAnsi="Arial" w:cs="Arial"/>
          <w:sz w:val="18"/>
          <w:szCs w:val="18"/>
        </w:rPr>
      </w:pPr>
      <w:r w:rsidRPr="004900D3">
        <w:rPr>
          <w:rFonts w:ascii="Arial" w:hAnsi="Arial" w:cs="Arial"/>
          <w:sz w:val="18"/>
          <w:szCs w:val="18"/>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24B43C01" w14:textId="77777777" w:rsidR="00015FE2" w:rsidRPr="004900D3" w:rsidRDefault="00015FE2" w:rsidP="00015FE2">
      <w:pPr>
        <w:pStyle w:val="Textonotapie"/>
        <w:ind w:firstLine="709"/>
        <w:jc w:val="both"/>
        <w:rPr>
          <w:rFonts w:ascii="Arial" w:hAnsi="Arial" w:cs="Arial"/>
          <w:sz w:val="18"/>
          <w:szCs w:val="18"/>
        </w:rPr>
      </w:pPr>
      <w:r w:rsidRPr="004900D3">
        <w:rPr>
          <w:rFonts w:ascii="Arial" w:hAnsi="Arial" w:cs="Arial"/>
          <w:sz w:val="18"/>
          <w:szCs w:val="18"/>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316EB893" w14:textId="77777777" w:rsidR="00015FE2" w:rsidRPr="004900D3" w:rsidRDefault="00015FE2" w:rsidP="00015FE2">
      <w:pPr>
        <w:pStyle w:val="Textonotapie"/>
        <w:ind w:firstLine="709"/>
        <w:jc w:val="both"/>
        <w:rPr>
          <w:rFonts w:ascii="Arial" w:hAnsi="Arial" w:cs="Arial"/>
          <w:sz w:val="18"/>
          <w:szCs w:val="18"/>
        </w:rPr>
      </w:pPr>
      <w:r w:rsidRPr="004900D3">
        <w:rPr>
          <w:rFonts w:ascii="Arial" w:hAnsi="Arial" w:cs="Arial"/>
          <w:sz w:val="18"/>
          <w:szCs w:val="18"/>
        </w:rPr>
        <w:t xml:space="preserve">Tratándose de personas jurídicas, las solicitudes solo las podrán realizar Mipyme, cuyo objeto social les permita ejecutar el contrato relacionado con el proceso contractual. </w:t>
      </w:r>
    </w:p>
    <w:p w14:paraId="7FAB9A71" w14:textId="77777777" w:rsidR="00015FE2" w:rsidRPr="004900D3" w:rsidRDefault="00015FE2" w:rsidP="00015FE2">
      <w:pPr>
        <w:pStyle w:val="Textonotapie"/>
        <w:ind w:firstLine="709"/>
        <w:jc w:val="both"/>
        <w:rPr>
          <w:rFonts w:ascii="Arial" w:hAnsi="Arial" w:cs="Arial"/>
          <w:sz w:val="18"/>
          <w:szCs w:val="18"/>
        </w:rPr>
      </w:pPr>
      <w:r w:rsidRPr="004900D3">
        <w:rPr>
          <w:rFonts w:ascii="Arial" w:hAnsi="Arial" w:cs="Arial"/>
          <w:sz w:val="18"/>
          <w:szCs w:val="18"/>
        </w:rPr>
        <w:t>PARÁGRAFO. Las cooperativas y demás entidades de economía solidaria, siempre que tengan la calidad de Mípyme, podrán solicitar y participar en las convocatorias limitadas en las mismas condiciones dispuestas en el presente artículo.</w:t>
      </w:r>
    </w:p>
  </w:footnote>
  <w:footnote w:id="17">
    <w:p w14:paraId="7550E658" w14:textId="77777777" w:rsidR="00015FE2" w:rsidRPr="004900D3" w:rsidRDefault="00015FE2" w:rsidP="00015FE2">
      <w:pPr>
        <w:pStyle w:val="Textonotapie"/>
        <w:ind w:firstLine="708"/>
        <w:jc w:val="both"/>
        <w:rPr>
          <w:rFonts w:ascii="Arial" w:hAnsi="Arial" w:cs="Arial"/>
          <w:color w:val="000000" w:themeColor="text1"/>
          <w:sz w:val="18"/>
          <w:szCs w:val="18"/>
        </w:rPr>
      </w:pPr>
    </w:p>
    <w:p w14:paraId="3BA1C391" w14:textId="77777777" w:rsidR="00015FE2" w:rsidRPr="004900D3" w:rsidRDefault="00015FE2" w:rsidP="00015FE2">
      <w:pPr>
        <w:pStyle w:val="Textonotapie"/>
        <w:ind w:firstLine="708"/>
        <w:jc w:val="both"/>
        <w:rPr>
          <w:rFonts w:ascii="Arial" w:hAnsi="Arial" w:cs="Arial"/>
          <w:color w:val="000000" w:themeColor="text1"/>
          <w:sz w:val="18"/>
          <w:szCs w:val="18"/>
        </w:rPr>
      </w:pPr>
      <w:r w:rsidRPr="004900D3">
        <w:rPr>
          <w:rStyle w:val="Refdenotaalpie"/>
          <w:rFonts w:ascii="Arial" w:hAnsi="Arial" w:cs="Arial"/>
          <w:color w:val="000000" w:themeColor="text1"/>
          <w:sz w:val="18"/>
          <w:szCs w:val="18"/>
        </w:rPr>
        <w:footnoteRef/>
      </w:r>
      <w:r w:rsidRPr="004900D3">
        <w:rPr>
          <w:rFonts w:ascii="Arial" w:hAnsi="Arial" w:cs="Arial"/>
          <w:color w:val="000000" w:themeColor="text1"/>
          <w:sz w:val="18"/>
          <w:szCs w:val="18"/>
        </w:rPr>
        <w:t>Ley 1150 de 2011. Artículo 12 modificado por el artículo 34 de la Ley 2069 de 2020. «Parágrafo 1°: En los procesos de selección que se desarrollen con base en el primer inciso, las entidades podrán realizar las convocatorias limitadas que beneficien a las Mipymes del ámbito municipal o departamental correspondiente al de la ejecución del contrato».</w:t>
      </w:r>
    </w:p>
    <w:p w14:paraId="47D8666B" w14:textId="77777777" w:rsidR="00015FE2" w:rsidRPr="004900D3" w:rsidRDefault="00015FE2" w:rsidP="00015FE2">
      <w:pPr>
        <w:pStyle w:val="Textonotapie"/>
        <w:ind w:firstLine="708"/>
        <w:jc w:val="both"/>
        <w:rPr>
          <w:rFonts w:ascii="Arial" w:hAnsi="Arial" w:cs="Arial"/>
          <w:color w:val="000000" w:themeColor="text1"/>
          <w:sz w:val="18"/>
          <w:szCs w:val="18"/>
        </w:rPr>
      </w:pPr>
    </w:p>
  </w:footnote>
  <w:footnote w:id="18">
    <w:p w14:paraId="53DE016B" w14:textId="77777777" w:rsidR="00015FE2" w:rsidRPr="004900D3" w:rsidRDefault="00015FE2" w:rsidP="00015FE2">
      <w:pPr>
        <w:pStyle w:val="Textonotapie"/>
        <w:ind w:firstLine="708"/>
        <w:jc w:val="both"/>
        <w:rPr>
          <w:rFonts w:ascii="Arial" w:hAnsi="Arial" w:cs="Arial"/>
          <w:color w:val="000000" w:themeColor="text1"/>
          <w:sz w:val="18"/>
          <w:szCs w:val="18"/>
        </w:rPr>
      </w:pPr>
      <w:r w:rsidRPr="004900D3">
        <w:rPr>
          <w:rStyle w:val="Refdenotaalpie"/>
          <w:rFonts w:ascii="Arial" w:hAnsi="Arial" w:cs="Arial"/>
          <w:color w:val="000000" w:themeColor="text1"/>
          <w:sz w:val="18"/>
          <w:szCs w:val="18"/>
        </w:rPr>
        <w:footnoteRef/>
      </w:r>
      <w:r w:rsidRPr="004900D3">
        <w:rPr>
          <w:rFonts w:ascii="Arial" w:hAnsi="Arial" w:cs="Arial"/>
          <w:color w:val="000000" w:themeColor="text1"/>
          <w:sz w:val="18"/>
          <w:szCs w:val="18"/>
        </w:rPr>
        <w:t xml:space="preserve"> Cfr. Concepto emitido en el radicado 4201913000005674, dictado el 27 de septiembre de 2019.</w:t>
      </w:r>
    </w:p>
    <w:p w14:paraId="06E94AF4" w14:textId="77777777" w:rsidR="00015FE2" w:rsidRPr="004900D3" w:rsidRDefault="00015FE2" w:rsidP="00015FE2">
      <w:pPr>
        <w:pStyle w:val="Textonotapie"/>
        <w:ind w:firstLine="708"/>
        <w:jc w:val="both"/>
        <w:rPr>
          <w:rFonts w:ascii="Arial" w:hAnsi="Arial" w:cs="Arial"/>
          <w:color w:val="000000" w:themeColor="text1"/>
          <w:sz w:val="18"/>
          <w:szCs w:val="18"/>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7847B1C0" w:rsidR="00E2520A" w:rsidRDefault="00E2520A">
    <w:pPr>
      <w:pStyle w:val="Encabezado"/>
    </w:pPr>
  </w:p>
  <w:p w14:paraId="2A80E31D" w14:textId="3D8A9336" w:rsidR="00E2520A" w:rsidRDefault="0089572F">
    <w:r>
      <w:rPr>
        <w:noProof/>
        <w:lang w:val="en-US" w:eastAsia="en-US"/>
      </w:rPr>
      <w:drawing>
        <wp:anchor distT="0" distB="0" distL="114300" distR="114300" simplePos="0" relativeHeight="251659264" behindDoc="0" locked="0" layoutInCell="1" allowOverlap="1" wp14:anchorId="161214BD" wp14:editId="4C04C8AF">
          <wp:simplePos x="0" y="0"/>
          <wp:positionH relativeFrom="column">
            <wp:posOffset>2390775</wp:posOffset>
          </wp:positionH>
          <wp:positionV relativeFrom="paragraph">
            <wp:posOffset>117475</wp:posOffset>
          </wp:positionV>
          <wp:extent cx="3157855" cy="713105"/>
          <wp:effectExtent l="0" t="0" r="4445" b="0"/>
          <wp:wrapNone/>
          <wp:docPr id="2" name="Imagen 2"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con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57855" cy="713105"/>
                  </a:xfrm>
                  <a:prstGeom prst="rect">
                    <a:avLst/>
                  </a:prstGeom>
                  <a:noFill/>
                </pic:spPr>
              </pic:pic>
            </a:graphicData>
          </a:graphic>
        </wp:anchor>
      </w:drawing>
    </w:r>
  </w:p>
  <w:p w14:paraId="5DBE9C96" w14:textId="29480E26" w:rsidR="00E2520A" w:rsidRDefault="00E2520A"/>
  <w:p w14:paraId="4EA054D4" w14:textId="77777777" w:rsidR="006F5838" w:rsidRDefault="006F5838"/>
  <w:p w14:paraId="6083544E" w14:textId="77777777" w:rsidR="006F5838" w:rsidRDefault="006F5838"/>
  <w:p w14:paraId="02ED7FBE" w14:textId="77777777" w:rsidR="006F5838" w:rsidRDefault="006F5838"/>
  <w:p w14:paraId="7AF2667F" w14:textId="77777777" w:rsidR="006F5838" w:rsidRDefault="006F583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6"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8"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1"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3"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8"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0"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5"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27"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8"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9"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1"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2"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6"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7"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1864591511">
    <w:abstractNumId w:val="15"/>
  </w:num>
  <w:num w:numId="2" w16cid:durableId="1385907392">
    <w:abstractNumId w:val="13"/>
  </w:num>
  <w:num w:numId="3" w16cid:durableId="1412770860">
    <w:abstractNumId w:val="22"/>
  </w:num>
  <w:num w:numId="4" w16cid:durableId="646126227">
    <w:abstractNumId w:val="27"/>
  </w:num>
  <w:num w:numId="5" w16cid:durableId="173347098">
    <w:abstractNumId w:val="31"/>
  </w:num>
  <w:num w:numId="6" w16cid:durableId="1075712125">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83696460">
    <w:abstractNumId w:val="28"/>
  </w:num>
  <w:num w:numId="8" w16cid:durableId="720666533">
    <w:abstractNumId w:val="3"/>
  </w:num>
  <w:num w:numId="9" w16cid:durableId="816608675">
    <w:abstractNumId w:val="8"/>
  </w:num>
  <w:num w:numId="10" w16cid:durableId="207847667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06271076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8187314">
    <w:abstractNumId w:val="14"/>
  </w:num>
  <w:num w:numId="13" w16cid:durableId="824055159">
    <w:abstractNumId w:val="20"/>
  </w:num>
  <w:num w:numId="14" w16cid:durableId="1171019570">
    <w:abstractNumId w:val="11"/>
  </w:num>
  <w:num w:numId="15" w16cid:durableId="1099254670">
    <w:abstractNumId w:val="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90499131">
    <w:abstractNumId w:val="3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08836179">
    <w:abstractNumId w:val="33"/>
  </w:num>
  <w:num w:numId="18" w16cid:durableId="1853104651">
    <w:abstractNumId w:val="23"/>
  </w:num>
  <w:num w:numId="19" w16cid:durableId="924924646">
    <w:abstractNumId w:val="7"/>
  </w:num>
  <w:num w:numId="20" w16cid:durableId="688793646">
    <w:abstractNumId w:val="34"/>
  </w:num>
  <w:num w:numId="21" w16cid:durableId="1529955071">
    <w:abstractNumId w:val="25"/>
  </w:num>
  <w:num w:numId="22" w16cid:durableId="432364300">
    <w:abstractNumId w:val="10"/>
  </w:num>
  <w:num w:numId="23" w16cid:durableId="778332259">
    <w:abstractNumId w:val="9"/>
  </w:num>
  <w:num w:numId="24" w16cid:durableId="2130853843">
    <w:abstractNumId w:val="29"/>
  </w:num>
  <w:num w:numId="25" w16cid:durableId="1824465890">
    <w:abstractNumId w:val="17"/>
  </w:num>
  <w:num w:numId="26" w16cid:durableId="1302223775">
    <w:abstractNumId w:val="32"/>
  </w:num>
  <w:num w:numId="27" w16cid:durableId="728385916">
    <w:abstractNumId w:val="36"/>
  </w:num>
  <w:num w:numId="28" w16cid:durableId="1198592213">
    <w:abstractNumId w:val="21"/>
  </w:num>
  <w:num w:numId="29" w16cid:durableId="990253137">
    <w:abstractNumId w:val="2"/>
  </w:num>
  <w:num w:numId="30" w16cid:durableId="154224833">
    <w:abstractNumId w:val="24"/>
  </w:num>
  <w:num w:numId="31" w16cid:durableId="1099183668">
    <w:abstractNumId w:val="18"/>
  </w:num>
  <w:num w:numId="32" w16cid:durableId="1165586175">
    <w:abstractNumId w:val="26"/>
  </w:num>
  <w:num w:numId="33" w16cid:durableId="630595806">
    <w:abstractNumId w:val="35"/>
  </w:num>
  <w:num w:numId="34" w16cid:durableId="1394352781">
    <w:abstractNumId w:val="16"/>
  </w:num>
  <w:num w:numId="35" w16cid:durableId="264189618">
    <w:abstractNumId w:val="1"/>
  </w:num>
  <w:num w:numId="36" w16cid:durableId="2830032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8907992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67013197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4904869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ctiveWritingStyle w:appName="MSWord" w:lang="es-ES" w:vendorID="64" w:dllVersion="4096" w:nlCheck="1" w:checkStyle="0"/>
  <w:activeWritingStyle w:appName="MSWord" w:lang="es-ES_tradnl" w:vendorID="64" w:dllVersion="0" w:nlCheck="1" w:checkStyle="0"/>
  <w:activeWritingStyle w:appName="MSWord" w:lang="es-CO" w:vendorID="64" w:dllVersion="0" w:nlCheck="1" w:checkStyle="0"/>
  <w:activeWritingStyle w:appName="MSWord" w:lang="es-MX" w:vendorID="64" w:dllVersion="0" w:nlCheck="1" w:checkStyle="0"/>
  <w:activeWritingStyle w:appName="MSWord" w:lang="es-ES" w:vendorID="64" w:dllVersion="0" w:nlCheck="1" w:checkStyle="0"/>
  <w:proofState w:grammar="clean"/>
  <w:attachedTemplate r:id="rId1"/>
  <w:trackRevisions/>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0B1"/>
    <w:rsid w:val="00000559"/>
    <w:rsid w:val="0000162E"/>
    <w:rsid w:val="00001A1C"/>
    <w:rsid w:val="00001FFD"/>
    <w:rsid w:val="00002027"/>
    <w:rsid w:val="000020FE"/>
    <w:rsid w:val="000031A8"/>
    <w:rsid w:val="00003233"/>
    <w:rsid w:val="00003C5C"/>
    <w:rsid w:val="000040D7"/>
    <w:rsid w:val="00004556"/>
    <w:rsid w:val="000051AF"/>
    <w:rsid w:val="00005958"/>
    <w:rsid w:val="000059D3"/>
    <w:rsid w:val="00006003"/>
    <w:rsid w:val="0000600A"/>
    <w:rsid w:val="00006081"/>
    <w:rsid w:val="000060D0"/>
    <w:rsid w:val="00006D78"/>
    <w:rsid w:val="000075EA"/>
    <w:rsid w:val="00007750"/>
    <w:rsid w:val="000077FD"/>
    <w:rsid w:val="00007E37"/>
    <w:rsid w:val="00010408"/>
    <w:rsid w:val="00010C40"/>
    <w:rsid w:val="000112B4"/>
    <w:rsid w:val="00011B68"/>
    <w:rsid w:val="00011DCC"/>
    <w:rsid w:val="00012532"/>
    <w:rsid w:val="00012B9E"/>
    <w:rsid w:val="00012FBA"/>
    <w:rsid w:val="00013C6B"/>
    <w:rsid w:val="0001406B"/>
    <w:rsid w:val="000143F8"/>
    <w:rsid w:val="00014624"/>
    <w:rsid w:val="000147ED"/>
    <w:rsid w:val="00014ED9"/>
    <w:rsid w:val="00015695"/>
    <w:rsid w:val="00015B44"/>
    <w:rsid w:val="00015BD4"/>
    <w:rsid w:val="00015FE2"/>
    <w:rsid w:val="00016081"/>
    <w:rsid w:val="000163DF"/>
    <w:rsid w:val="000165AC"/>
    <w:rsid w:val="00016651"/>
    <w:rsid w:val="00016881"/>
    <w:rsid w:val="000171A2"/>
    <w:rsid w:val="00017B65"/>
    <w:rsid w:val="00020158"/>
    <w:rsid w:val="000207E0"/>
    <w:rsid w:val="00020D87"/>
    <w:rsid w:val="00020F8F"/>
    <w:rsid w:val="00021A95"/>
    <w:rsid w:val="00021C0A"/>
    <w:rsid w:val="00021F62"/>
    <w:rsid w:val="0002256F"/>
    <w:rsid w:val="0002296A"/>
    <w:rsid w:val="00023DAE"/>
    <w:rsid w:val="00023FA5"/>
    <w:rsid w:val="00024592"/>
    <w:rsid w:val="00024896"/>
    <w:rsid w:val="000254C0"/>
    <w:rsid w:val="000258A6"/>
    <w:rsid w:val="00026092"/>
    <w:rsid w:val="000263F0"/>
    <w:rsid w:val="00026407"/>
    <w:rsid w:val="000264F6"/>
    <w:rsid w:val="00026608"/>
    <w:rsid w:val="00026B36"/>
    <w:rsid w:val="0002738B"/>
    <w:rsid w:val="00027545"/>
    <w:rsid w:val="00027787"/>
    <w:rsid w:val="000278D2"/>
    <w:rsid w:val="0003074E"/>
    <w:rsid w:val="00031384"/>
    <w:rsid w:val="000315E1"/>
    <w:rsid w:val="00031AC1"/>
    <w:rsid w:val="0003236E"/>
    <w:rsid w:val="00033295"/>
    <w:rsid w:val="0003339A"/>
    <w:rsid w:val="00033B3F"/>
    <w:rsid w:val="00034134"/>
    <w:rsid w:val="000341F2"/>
    <w:rsid w:val="00034651"/>
    <w:rsid w:val="000351F2"/>
    <w:rsid w:val="00035224"/>
    <w:rsid w:val="00036E03"/>
    <w:rsid w:val="000406DB"/>
    <w:rsid w:val="0004094D"/>
    <w:rsid w:val="00040A5E"/>
    <w:rsid w:val="00041029"/>
    <w:rsid w:val="0004149B"/>
    <w:rsid w:val="00041717"/>
    <w:rsid w:val="00041CA0"/>
    <w:rsid w:val="000427F7"/>
    <w:rsid w:val="00042961"/>
    <w:rsid w:val="00042C25"/>
    <w:rsid w:val="00042D03"/>
    <w:rsid w:val="00043086"/>
    <w:rsid w:val="000430A0"/>
    <w:rsid w:val="00043A33"/>
    <w:rsid w:val="00043D3B"/>
    <w:rsid w:val="00043D4D"/>
    <w:rsid w:val="00043F5D"/>
    <w:rsid w:val="0004418C"/>
    <w:rsid w:val="00044204"/>
    <w:rsid w:val="000449D4"/>
    <w:rsid w:val="000466E8"/>
    <w:rsid w:val="00046717"/>
    <w:rsid w:val="00046A63"/>
    <w:rsid w:val="00046C09"/>
    <w:rsid w:val="0004716A"/>
    <w:rsid w:val="00047316"/>
    <w:rsid w:val="00047385"/>
    <w:rsid w:val="000473E8"/>
    <w:rsid w:val="000504DE"/>
    <w:rsid w:val="00051074"/>
    <w:rsid w:val="000513D8"/>
    <w:rsid w:val="0005211A"/>
    <w:rsid w:val="00052B79"/>
    <w:rsid w:val="00052EA0"/>
    <w:rsid w:val="000536E3"/>
    <w:rsid w:val="00053EBE"/>
    <w:rsid w:val="00054252"/>
    <w:rsid w:val="0005474D"/>
    <w:rsid w:val="00055CB9"/>
    <w:rsid w:val="00056EF1"/>
    <w:rsid w:val="00056F22"/>
    <w:rsid w:val="00056F66"/>
    <w:rsid w:val="0005702F"/>
    <w:rsid w:val="00057226"/>
    <w:rsid w:val="00057661"/>
    <w:rsid w:val="0005779C"/>
    <w:rsid w:val="00061D06"/>
    <w:rsid w:val="0006294B"/>
    <w:rsid w:val="00062CDD"/>
    <w:rsid w:val="00063085"/>
    <w:rsid w:val="00063FA5"/>
    <w:rsid w:val="000640AF"/>
    <w:rsid w:val="00064940"/>
    <w:rsid w:val="00064CAE"/>
    <w:rsid w:val="00064DB7"/>
    <w:rsid w:val="00064FA7"/>
    <w:rsid w:val="00065195"/>
    <w:rsid w:val="0006661B"/>
    <w:rsid w:val="00066FF0"/>
    <w:rsid w:val="00067818"/>
    <w:rsid w:val="00070AF1"/>
    <w:rsid w:val="000714DE"/>
    <w:rsid w:val="000720F1"/>
    <w:rsid w:val="0007254F"/>
    <w:rsid w:val="00072638"/>
    <w:rsid w:val="0007285A"/>
    <w:rsid w:val="00073C30"/>
    <w:rsid w:val="00073EA0"/>
    <w:rsid w:val="00074305"/>
    <w:rsid w:val="00074B2A"/>
    <w:rsid w:val="00075108"/>
    <w:rsid w:val="00075B3E"/>
    <w:rsid w:val="00076456"/>
    <w:rsid w:val="00076604"/>
    <w:rsid w:val="0007779B"/>
    <w:rsid w:val="000777E7"/>
    <w:rsid w:val="0007790A"/>
    <w:rsid w:val="00077D5D"/>
    <w:rsid w:val="0008017B"/>
    <w:rsid w:val="00080287"/>
    <w:rsid w:val="00080ACD"/>
    <w:rsid w:val="000811ED"/>
    <w:rsid w:val="00081284"/>
    <w:rsid w:val="00081D62"/>
    <w:rsid w:val="00081E36"/>
    <w:rsid w:val="000820A1"/>
    <w:rsid w:val="000820CE"/>
    <w:rsid w:val="00082B74"/>
    <w:rsid w:val="00083099"/>
    <w:rsid w:val="00083EDC"/>
    <w:rsid w:val="00083EE6"/>
    <w:rsid w:val="000847C0"/>
    <w:rsid w:val="00084873"/>
    <w:rsid w:val="00084B97"/>
    <w:rsid w:val="0008510E"/>
    <w:rsid w:val="000856DE"/>
    <w:rsid w:val="00085F17"/>
    <w:rsid w:val="00085FB3"/>
    <w:rsid w:val="000860D2"/>
    <w:rsid w:val="0008686B"/>
    <w:rsid w:val="00086B2A"/>
    <w:rsid w:val="00086ED2"/>
    <w:rsid w:val="000914D6"/>
    <w:rsid w:val="00091569"/>
    <w:rsid w:val="00092DCA"/>
    <w:rsid w:val="000935F8"/>
    <w:rsid w:val="00093C51"/>
    <w:rsid w:val="000942EB"/>
    <w:rsid w:val="00095B70"/>
    <w:rsid w:val="00095C0D"/>
    <w:rsid w:val="0009617E"/>
    <w:rsid w:val="00096489"/>
    <w:rsid w:val="000979CF"/>
    <w:rsid w:val="00097A00"/>
    <w:rsid w:val="00097B0C"/>
    <w:rsid w:val="000A03C8"/>
    <w:rsid w:val="000A05F2"/>
    <w:rsid w:val="000A06C4"/>
    <w:rsid w:val="000A0861"/>
    <w:rsid w:val="000A0ED1"/>
    <w:rsid w:val="000A12DB"/>
    <w:rsid w:val="000A17C8"/>
    <w:rsid w:val="000A1AEE"/>
    <w:rsid w:val="000A20D7"/>
    <w:rsid w:val="000A2128"/>
    <w:rsid w:val="000A362F"/>
    <w:rsid w:val="000A39AF"/>
    <w:rsid w:val="000A3B49"/>
    <w:rsid w:val="000A41BA"/>
    <w:rsid w:val="000A446A"/>
    <w:rsid w:val="000A5AAF"/>
    <w:rsid w:val="000A5F97"/>
    <w:rsid w:val="000A648E"/>
    <w:rsid w:val="000A6B60"/>
    <w:rsid w:val="000A73BB"/>
    <w:rsid w:val="000A7EF4"/>
    <w:rsid w:val="000B09AF"/>
    <w:rsid w:val="000B0A15"/>
    <w:rsid w:val="000B0DF3"/>
    <w:rsid w:val="000B103F"/>
    <w:rsid w:val="000B1437"/>
    <w:rsid w:val="000B1470"/>
    <w:rsid w:val="000B2B86"/>
    <w:rsid w:val="000B3051"/>
    <w:rsid w:val="000B419B"/>
    <w:rsid w:val="000B4716"/>
    <w:rsid w:val="000B4B4C"/>
    <w:rsid w:val="000B5781"/>
    <w:rsid w:val="000B5891"/>
    <w:rsid w:val="000B6E4B"/>
    <w:rsid w:val="000C0185"/>
    <w:rsid w:val="000C0444"/>
    <w:rsid w:val="000C0960"/>
    <w:rsid w:val="000C0F81"/>
    <w:rsid w:val="000C128D"/>
    <w:rsid w:val="000C17A3"/>
    <w:rsid w:val="000C1D4B"/>
    <w:rsid w:val="000C3260"/>
    <w:rsid w:val="000C3448"/>
    <w:rsid w:val="000C3616"/>
    <w:rsid w:val="000C3803"/>
    <w:rsid w:val="000C3B77"/>
    <w:rsid w:val="000C4F49"/>
    <w:rsid w:val="000C5861"/>
    <w:rsid w:val="000C5A63"/>
    <w:rsid w:val="000C639D"/>
    <w:rsid w:val="000C67BB"/>
    <w:rsid w:val="000C6C31"/>
    <w:rsid w:val="000C6DBC"/>
    <w:rsid w:val="000C6E28"/>
    <w:rsid w:val="000C6F79"/>
    <w:rsid w:val="000C7211"/>
    <w:rsid w:val="000C7476"/>
    <w:rsid w:val="000C7711"/>
    <w:rsid w:val="000C7AA2"/>
    <w:rsid w:val="000D0462"/>
    <w:rsid w:val="000D053D"/>
    <w:rsid w:val="000D0CD9"/>
    <w:rsid w:val="000D0ED2"/>
    <w:rsid w:val="000D1CEB"/>
    <w:rsid w:val="000D2563"/>
    <w:rsid w:val="000D25BF"/>
    <w:rsid w:val="000D362C"/>
    <w:rsid w:val="000D3FDC"/>
    <w:rsid w:val="000D4E38"/>
    <w:rsid w:val="000D50DB"/>
    <w:rsid w:val="000D5ABA"/>
    <w:rsid w:val="000D6288"/>
    <w:rsid w:val="000D6CAF"/>
    <w:rsid w:val="000D7541"/>
    <w:rsid w:val="000D75E1"/>
    <w:rsid w:val="000D776B"/>
    <w:rsid w:val="000E0B3C"/>
    <w:rsid w:val="000E2109"/>
    <w:rsid w:val="000E22CF"/>
    <w:rsid w:val="000E2977"/>
    <w:rsid w:val="000E2B36"/>
    <w:rsid w:val="000E30AC"/>
    <w:rsid w:val="000E3A46"/>
    <w:rsid w:val="000E3B46"/>
    <w:rsid w:val="000E3E11"/>
    <w:rsid w:val="000E4596"/>
    <w:rsid w:val="000E5768"/>
    <w:rsid w:val="000E5843"/>
    <w:rsid w:val="000E6139"/>
    <w:rsid w:val="000E6B73"/>
    <w:rsid w:val="000E6BE1"/>
    <w:rsid w:val="000E6DDE"/>
    <w:rsid w:val="000E739A"/>
    <w:rsid w:val="000E7E0B"/>
    <w:rsid w:val="000F078A"/>
    <w:rsid w:val="000F122D"/>
    <w:rsid w:val="000F1450"/>
    <w:rsid w:val="000F14E8"/>
    <w:rsid w:val="000F16F5"/>
    <w:rsid w:val="000F1BBD"/>
    <w:rsid w:val="000F2739"/>
    <w:rsid w:val="000F3138"/>
    <w:rsid w:val="000F3D39"/>
    <w:rsid w:val="000F4403"/>
    <w:rsid w:val="000F4C3F"/>
    <w:rsid w:val="000F4E17"/>
    <w:rsid w:val="000F636A"/>
    <w:rsid w:val="000F6578"/>
    <w:rsid w:val="000F6B82"/>
    <w:rsid w:val="000F70CD"/>
    <w:rsid w:val="000F79F9"/>
    <w:rsid w:val="000F7ABD"/>
    <w:rsid w:val="000F7E8F"/>
    <w:rsid w:val="000F7FBB"/>
    <w:rsid w:val="001000FB"/>
    <w:rsid w:val="00101134"/>
    <w:rsid w:val="001015D2"/>
    <w:rsid w:val="00102458"/>
    <w:rsid w:val="00102605"/>
    <w:rsid w:val="00102686"/>
    <w:rsid w:val="00102745"/>
    <w:rsid w:val="001032E3"/>
    <w:rsid w:val="00103361"/>
    <w:rsid w:val="00103855"/>
    <w:rsid w:val="00103915"/>
    <w:rsid w:val="00103EA0"/>
    <w:rsid w:val="001046B8"/>
    <w:rsid w:val="00104F1C"/>
    <w:rsid w:val="001051E5"/>
    <w:rsid w:val="00105A6C"/>
    <w:rsid w:val="00105A74"/>
    <w:rsid w:val="00105ACB"/>
    <w:rsid w:val="00105AEF"/>
    <w:rsid w:val="00106259"/>
    <w:rsid w:val="001065E4"/>
    <w:rsid w:val="001068EB"/>
    <w:rsid w:val="001078CE"/>
    <w:rsid w:val="00110CEB"/>
    <w:rsid w:val="00110F61"/>
    <w:rsid w:val="001111BD"/>
    <w:rsid w:val="0011165A"/>
    <w:rsid w:val="00111B2B"/>
    <w:rsid w:val="00111DFA"/>
    <w:rsid w:val="00111ED9"/>
    <w:rsid w:val="00112609"/>
    <w:rsid w:val="0011268B"/>
    <w:rsid w:val="00112774"/>
    <w:rsid w:val="00112B2E"/>
    <w:rsid w:val="00113003"/>
    <w:rsid w:val="00113062"/>
    <w:rsid w:val="00113705"/>
    <w:rsid w:val="00113975"/>
    <w:rsid w:val="00113CFC"/>
    <w:rsid w:val="00113FEA"/>
    <w:rsid w:val="00114324"/>
    <w:rsid w:val="00114A22"/>
    <w:rsid w:val="00114E9D"/>
    <w:rsid w:val="0011507B"/>
    <w:rsid w:val="00115D13"/>
    <w:rsid w:val="00116328"/>
    <w:rsid w:val="001169FD"/>
    <w:rsid w:val="00116D84"/>
    <w:rsid w:val="001174C9"/>
    <w:rsid w:val="00117C82"/>
    <w:rsid w:val="00117E69"/>
    <w:rsid w:val="00121103"/>
    <w:rsid w:val="0012156A"/>
    <w:rsid w:val="00121BAB"/>
    <w:rsid w:val="00121E3C"/>
    <w:rsid w:val="00122B23"/>
    <w:rsid w:val="00122B7E"/>
    <w:rsid w:val="00123D64"/>
    <w:rsid w:val="00123FB5"/>
    <w:rsid w:val="0012400F"/>
    <w:rsid w:val="001246C9"/>
    <w:rsid w:val="001249DC"/>
    <w:rsid w:val="00125340"/>
    <w:rsid w:val="0012572D"/>
    <w:rsid w:val="00125BED"/>
    <w:rsid w:val="00125C59"/>
    <w:rsid w:val="00125D4F"/>
    <w:rsid w:val="00126F9B"/>
    <w:rsid w:val="00127004"/>
    <w:rsid w:val="00127AF2"/>
    <w:rsid w:val="00127EDC"/>
    <w:rsid w:val="00127EF6"/>
    <w:rsid w:val="00127F6D"/>
    <w:rsid w:val="00130355"/>
    <w:rsid w:val="00131B5A"/>
    <w:rsid w:val="00132C30"/>
    <w:rsid w:val="00132EFD"/>
    <w:rsid w:val="00133AED"/>
    <w:rsid w:val="00134A72"/>
    <w:rsid w:val="00134FF9"/>
    <w:rsid w:val="00135217"/>
    <w:rsid w:val="00135C2D"/>
    <w:rsid w:val="00135E88"/>
    <w:rsid w:val="0013637A"/>
    <w:rsid w:val="0013695C"/>
    <w:rsid w:val="00136BF7"/>
    <w:rsid w:val="001378B9"/>
    <w:rsid w:val="00137FD1"/>
    <w:rsid w:val="00137FFA"/>
    <w:rsid w:val="00140109"/>
    <w:rsid w:val="0014029B"/>
    <w:rsid w:val="00140421"/>
    <w:rsid w:val="00140A4F"/>
    <w:rsid w:val="001413AB"/>
    <w:rsid w:val="001417C5"/>
    <w:rsid w:val="001432AF"/>
    <w:rsid w:val="0014381A"/>
    <w:rsid w:val="00144335"/>
    <w:rsid w:val="0014502F"/>
    <w:rsid w:val="00145282"/>
    <w:rsid w:val="001453B0"/>
    <w:rsid w:val="001454D9"/>
    <w:rsid w:val="00145D56"/>
    <w:rsid w:val="00145D8E"/>
    <w:rsid w:val="00146083"/>
    <w:rsid w:val="001462F7"/>
    <w:rsid w:val="0014643A"/>
    <w:rsid w:val="001466F0"/>
    <w:rsid w:val="00146B60"/>
    <w:rsid w:val="00147798"/>
    <w:rsid w:val="00150005"/>
    <w:rsid w:val="00151B99"/>
    <w:rsid w:val="001521B2"/>
    <w:rsid w:val="00152288"/>
    <w:rsid w:val="00152EDD"/>
    <w:rsid w:val="00153491"/>
    <w:rsid w:val="0015361C"/>
    <w:rsid w:val="0015372F"/>
    <w:rsid w:val="00153A05"/>
    <w:rsid w:val="00153A18"/>
    <w:rsid w:val="00153BFB"/>
    <w:rsid w:val="0015407E"/>
    <w:rsid w:val="001542E6"/>
    <w:rsid w:val="0015448E"/>
    <w:rsid w:val="00154A6F"/>
    <w:rsid w:val="00155D08"/>
    <w:rsid w:val="00156B13"/>
    <w:rsid w:val="00156BE5"/>
    <w:rsid w:val="00156FDB"/>
    <w:rsid w:val="00157232"/>
    <w:rsid w:val="00160401"/>
    <w:rsid w:val="00160D4E"/>
    <w:rsid w:val="001615B9"/>
    <w:rsid w:val="00161E62"/>
    <w:rsid w:val="00161F1C"/>
    <w:rsid w:val="0016200B"/>
    <w:rsid w:val="00163D7A"/>
    <w:rsid w:val="00164281"/>
    <w:rsid w:val="00164AF1"/>
    <w:rsid w:val="001654DF"/>
    <w:rsid w:val="00166476"/>
    <w:rsid w:val="00166C27"/>
    <w:rsid w:val="00167503"/>
    <w:rsid w:val="001676A9"/>
    <w:rsid w:val="00167A15"/>
    <w:rsid w:val="00167A50"/>
    <w:rsid w:val="00167D66"/>
    <w:rsid w:val="00167DF5"/>
    <w:rsid w:val="00170001"/>
    <w:rsid w:val="0017145A"/>
    <w:rsid w:val="00172198"/>
    <w:rsid w:val="00172612"/>
    <w:rsid w:val="00172817"/>
    <w:rsid w:val="001734E3"/>
    <w:rsid w:val="0017350E"/>
    <w:rsid w:val="0017391B"/>
    <w:rsid w:val="001742BF"/>
    <w:rsid w:val="001742EB"/>
    <w:rsid w:val="001749DF"/>
    <w:rsid w:val="00175E49"/>
    <w:rsid w:val="00176470"/>
    <w:rsid w:val="0017659F"/>
    <w:rsid w:val="00177076"/>
    <w:rsid w:val="001805C1"/>
    <w:rsid w:val="00180A2E"/>
    <w:rsid w:val="001813AF"/>
    <w:rsid w:val="00182831"/>
    <w:rsid w:val="001829CD"/>
    <w:rsid w:val="00182BCE"/>
    <w:rsid w:val="00182F01"/>
    <w:rsid w:val="001841AA"/>
    <w:rsid w:val="00184E93"/>
    <w:rsid w:val="00184F27"/>
    <w:rsid w:val="001850E6"/>
    <w:rsid w:val="0018519B"/>
    <w:rsid w:val="001856BA"/>
    <w:rsid w:val="00185AFE"/>
    <w:rsid w:val="00185E78"/>
    <w:rsid w:val="00187177"/>
    <w:rsid w:val="00187443"/>
    <w:rsid w:val="00187ABD"/>
    <w:rsid w:val="001904E3"/>
    <w:rsid w:val="0019087A"/>
    <w:rsid w:val="00191395"/>
    <w:rsid w:val="00191C5A"/>
    <w:rsid w:val="00191CEB"/>
    <w:rsid w:val="00191E63"/>
    <w:rsid w:val="00192D68"/>
    <w:rsid w:val="001931B7"/>
    <w:rsid w:val="0019388B"/>
    <w:rsid w:val="00193B9A"/>
    <w:rsid w:val="001946AE"/>
    <w:rsid w:val="001946D5"/>
    <w:rsid w:val="00194E8C"/>
    <w:rsid w:val="001962EC"/>
    <w:rsid w:val="001963DD"/>
    <w:rsid w:val="001965DB"/>
    <w:rsid w:val="00196DC9"/>
    <w:rsid w:val="001A0236"/>
    <w:rsid w:val="001A0AF8"/>
    <w:rsid w:val="001A161B"/>
    <w:rsid w:val="001A18D5"/>
    <w:rsid w:val="001A1D4A"/>
    <w:rsid w:val="001A3011"/>
    <w:rsid w:val="001A325B"/>
    <w:rsid w:val="001A3B2D"/>
    <w:rsid w:val="001A3F10"/>
    <w:rsid w:val="001A3FC3"/>
    <w:rsid w:val="001A4587"/>
    <w:rsid w:val="001A4A08"/>
    <w:rsid w:val="001A4DAF"/>
    <w:rsid w:val="001A6547"/>
    <w:rsid w:val="001A66DF"/>
    <w:rsid w:val="001A67D0"/>
    <w:rsid w:val="001A6BF1"/>
    <w:rsid w:val="001A7591"/>
    <w:rsid w:val="001A75B1"/>
    <w:rsid w:val="001A7D03"/>
    <w:rsid w:val="001A7DB7"/>
    <w:rsid w:val="001B0366"/>
    <w:rsid w:val="001B0444"/>
    <w:rsid w:val="001B080D"/>
    <w:rsid w:val="001B096B"/>
    <w:rsid w:val="001B0F9F"/>
    <w:rsid w:val="001B123C"/>
    <w:rsid w:val="001B1A0D"/>
    <w:rsid w:val="001B1BF1"/>
    <w:rsid w:val="001B2456"/>
    <w:rsid w:val="001B40C7"/>
    <w:rsid w:val="001B449C"/>
    <w:rsid w:val="001B4AA2"/>
    <w:rsid w:val="001B4ADE"/>
    <w:rsid w:val="001B53A5"/>
    <w:rsid w:val="001B5C86"/>
    <w:rsid w:val="001B5EF8"/>
    <w:rsid w:val="001B6BD3"/>
    <w:rsid w:val="001B6E47"/>
    <w:rsid w:val="001B6EBB"/>
    <w:rsid w:val="001C037A"/>
    <w:rsid w:val="001C07C6"/>
    <w:rsid w:val="001C0838"/>
    <w:rsid w:val="001C08B2"/>
    <w:rsid w:val="001C19CD"/>
    <w:rsid w:val="001C22D5"/>
    <w:rsid w:val="001C2515"/>
    <w:rsid w:val="001C2550"/>
    <w:rsid w:val="001C26FB"/>
    <w:rsid w:val="001C33C1"/>
    <w:rsid w:val="001C3E30"/>
    <w:rsid w:val="001C3E5C"/>
    <w:rsid w:val="001C5072"/>
    <w:rsid w:val="001C5B2A"/>
    <w:rsid w:val="001C5CEA"/>
    <w:rsid w:val="001C600B"/>
    <w:rsid w:val="001C6407"/>
    <w:rsid w:val="001C6898"/>
    <w:rsid w:val="001C6DD8"/>
    <w:rsid w:val="001C7578"/>
    <w:rsid w:val="001C7C7B"/>
    <w:rsid w:val="001D068D"/>
    <w:rsid w:val="001D0A71"/>
    <w:rsid w:val="001D12D1"/>
    <w:rsid w:val="001D15DF"/>
    <w:rsid w:val="001D2152"/>
    <w:rsid w:val="001D2970"/>
    <w:rsid w:val="001D30F3"/>
    <w:rsid w:val="001D31A0"/>
    <w:rsid w:val="001D338E"/>
    <w:rsid w:val="001D399D"/>
    <w:rsid w:val="001D3D3F"/>
    <w:rsid w:val="001D408D"/>
    <w:rsid w:val="001D4141"/>
    <w:rsid w:val="001D56E9"/>
    <w:rsid w:val="001D7923"/>
    <w:rsid w:val="001D796A"/>
    <w:rsid w:val="001D7A84"/>
    <w:rsid w:val="001D7C79"/>
    <w:rsid w:val="001E0E15"/>
    <w:rsid w:val="001E10C0"/>
    <w:rsid w:val="001E15F0"/>
    <w:rsid w:val="001E1CC4"/>
    <w:rsid w:val="001E1D38"/>
    <w:rsid w:val="001E1DEE"/>
    <w:rsid w:val="001E250D"/>
    <w:rsid w:val="001E3EAC"/>
    <w:rsid w:val="001E4258"/>
    <w:rsid w:val="001E442F"/>
    <w:rsid w:val="001E4587"/>
    <w:rsid w:val="001E56FF"/>
    <w:rsid w:val="001E5A69"/>
    <w:rsid w:val="001E5B84"/>
    <w:rsid w:val="001E5D6A"/>
    <w:rsid w:val="001E70FB"/>
    <w:rsid w:val="001E780A"/>
    <w:rsid w:val="001F07D6"/>
    <w:rsid w:val="001F0FA0"/>
    <w:rsid w:val="001F1349"/>
    <w:rsid w:val="001F1863"/>
    <w:rsid w:val="001F232D"/>
    <w:rsid w:val="001F2356"/>
    <w:rsid w:val="001F2A68"/>
    <w:rsid w:val="001F39EA"/>
    <w:rsid w:val="001F4773"/>
    <w:rsid w:val="001F5008"/>
    <w:rsid w:val="001F512D"/>
    <w:rsid w:val="001F56AA"/>
    <w:rsid w:val="001F58AA"/>
    <w:rsid w:val="001F5EF6"/>
    <w:rsid w:val="001F657F"/>
    <w:rsid w:val="001F6FB6"/>
    <w:rsid w:val="001F7978"/>
    <w:rsid w:val="001F7A0E"/>
    <w:rsid w:val="0020022E"/>
    <w:rsid w:val="002004AC"/>
    <w:rsid w:val="0020054E"/>
    <w:rsid w:val="00200B51"/>
    <w:rsid w:val="002017DE"/>
    <w:rsid w:val="00201F1E"/>
    <w:rsid w:val="0020299B"/>
    <w:rsid w:val="00202E44"/>
    <w:rsid w:val="002037AA"/>
    <w:rsid w:val="00203FE3"/>
    <w:rsid w:val="002042D8"/>
    <w:rsid w:val="00204515"/>
    <w:rsid w:val="00204BF5"/>
    <w:rsid w:val="00204D91"/>
    <w:rsid w:val="00204E6B"/>
    <w:rsid w:val="002058D4"/>
    <w:rsid w:val="00205BAA"/>
    <w:rsid w:val="0020632A"/>
    <w:rsid w:val="0020697F"/>
    <w:rsid w:val="00206CDC"/>
    <w:rsid w:val="00210430"/>
    <w:rsid w:val="00210E1F"/>
    <w:rsid w:val="002110EB"/>
    <w:rsid w:val="00211338"/>
    <w:rsid w:val="00211342"/>
    <w:rsid w:val="00211388"/>
    <w:rsid w:val="0021148C"/>
    <w:rsid w:val="00211694"/>
    <w:rsid w:val="0021201A"/>
    <w:rsid w:val="002129C7"/>
    <w:rsid w:val="00213A1F"/>
    <w:rsid w:val="00213C63"/>
    <w:rsid w:val="00213E2D"/>
    <w:rsid w:val="00214502"/>
    <w:rsid w:val="00214741"/>
    <w:rsid w:val="0021539A"/>
    <w:rsid w:val="00215793"/>
    <w:rsid w:val="00215852"/>
    <w:rsid w:val="00215B45"/>
    <w:rsid w:val="00215B8E"/>
    <w:rsid w:val="00215C98"/>
    <w:rsid w:val="00216264"/>
    <w:rsid w:val="002168B8"/>
    <w:rsid w:val="002176B6"/>
    <w:rsid w:val="0021792D"/>
    <w:rsid w:val="00217DB8"/>
    <w:rsid w:val="0022032A"/>
    <w:rsid w:val="002221CE"/>
    <w:rsid w:val="00222427"/>
    <w:rsid w:val="00222740"/>
    <w:rsid w:val="00222BE8"/>
    <w:rsid w:val="00223102"/>
    <w:rsid w:val="002232CB"/>
    <w:rsid w:val="00223AA2"/>
    <w:rsid w:val="00224022"/>
    <w:rsid w:val="0022552A"/>
    <w:rsid w:val="00226055"/>
    <w:rsid w:val="0022613F"/>
    <w:rsid w:val="00226236"/>
    <w:rsid w:val="0022627F"/>
    <w:rsid w:val="00226DF9"/>
    <w:rsid w:val="002270C9"/>
    <w:rsid w:val="00227710"/>
    <w:rsid w:val="00227A8B"/>
    <w:rsid w:val="0023146B"/>
    <w:rsid w:val="002315A0"/>
    <w:rsid w:val="00231CE0"/>
    <w:rsid w:val="00231DBA"/>
    <w:rsid w:val="00231EC7"/>
    <w:rsid w:val="002324A3"/>
    <w:rsid w:val="00232735"/>
    <w:rsid w:val="00232A6C"/>
    <w:rsid w:val="00232E15"/>
    <w:rsid w:val="00233079"/>
    <w:rsid w:val="002334F7"/>
    <w:rsid w:val="0023382C"/>
    <w:rsid w:val="00233977"/>
    <w:rsid w:val="00233C58"/>
    <w:rsid w:val="00233C71"/>
    <w:rsid w:val="002345B6"/>
    <w:rsid w:val="00234B84"/>
    <w:rsid w:val="00236016"/>
    <w:rsid w:val="00236271"/>
    <w:rsid w:val="00237065"/>
    <w:rsid w:val="00237589"/>
    <w:rsid w:val="0023758D"/>
    <w:rsid w:val="002375A7"/>
    <w:rsid w:val="0024019A"/>
    <w:rsid w:val="00240A4A"/>
    <w:rsid w:val="002411DE"/>
    <w:rsid w:val="0024131D"/>
    <w:rsid w:val="002413B5"/>
    <w:rsid w:val="002415B8"/>
    <w:rsid w:val="00241618"/>
    <w:rsid w:val="00242D62"/>
    <w:rsid w:val="00243057"/>
    <w:rsid w:val="002431D7"/>
    <w:rsid w:val="00243257"/>
    <w:rsid w:val="00243434"/>
    <w:rsid w:val="00244058"/>
    <w:rsid w:val="00244F9A"/>
    <w:rsid w:val="00245718"/>
    <w:rsid w:val="00245E07"/>
    <w:rsid w:val="0024729C"/>
    <w:rsid w:val="00247712"/>
    <w:rsid w:val="00250EC6"/>
    <w:rsid w:val="00251866"/>
    <w:rsid w:val="00251A9F"/>
    <w:rsid w:val="00252492"/>
    <w:rsid w:val="00252B35"/>
    <w:rsid w:val="0025316D"/>
    <w:rsid w:val="002532F4"/>
    <w:rsid w:val="00253A02"/>
    <w:rsid w:val="00253B81"/>
    <w:rsid w:val="002554DE"/>
    <w:rsid w:val="00255E11"/>
    <w:rsid w:val="00256835"/>
    <w:rsid w:val="002569F0"/>
    <w:rsid w:val="00256ECF"/>
    <w:rsid w:val="00257730"/>
    <w:rsid w:val="00257999"/>
    <w:rsid w:val="00257C83"/>
    <w:rsid w:val="002604AA"/>
    <w:rsid w:val="0026129B"/>
    <w:rsid w:val="00261560"/>
    <w:rsid w:val="00261715"/>
    <w:rsid w:val="00261CF9"/>
    <w:rsid w:val="00261EC0"/>
    <w:rsid w:val="0026231B"/>
    <w:rsid w:val="00262E05"/>
    <w:rsid w:val="00263101"/>
    <w:rsid w:val="00263201"/>
    <w:rsid w:val="00263A37"/>
    <w:rsid w:val="00263F7F"/>
    <w:rsid w:val="002653A6"/>
    <w:rsid w:val="0026608D"/>
    <w:rsid w:val="002661F1"/>
    <w:rsid w:val="002663BA"/>
    <w:rsid w:val="002664B7"/>
    <w:rsid w:val="00266CB5"/>
    <w:rsid w:val="002711A4"/>
    <w:rsid w:val="00271F13"/>
    <w:rsid w:val="002721E2"/>
    <w:rsid w:val="00274DB5"/>
    <w:rsid w:val="00275BB1"/>
    <w:rsid w:val="00275FBF"/>
    <w:rsid w:val="00276373"/>
    <w:rsid w:val="00277933"/>
    <w:rsid w:val="00277F13"/>
    <w:rsid w:val="00277F8D"/>
    <w:rsid w:val="00277FA7"/>
    <w:rsid w:val="00280267"/>
    <w:rsid w:val="002805E0"/>
    <w:rsid w:val="00280F3D"/>
    <w:rsid w:val="0028106A"/>
    <w:rsid w:val="00281EB4"/>
    <w:rsid w:val="00282C21"/>
    <w:rsid w:val="00282F57"/>
    <w:rsid w:val="0028308E"/>
    <w:rsid w:val="002834E9"/>
    <w:rsid w:val="0028396F"/>
    <w:rsid w:val="00283A52"/>
    <w:rsid w:val="00283C5E"/>
    <w:rsid w:val="00283E26"/>
    <w:rsid w:val="0028428F"/>
    <w:rsid w:val="0028440A"/>
    <w:rsid w:val="00284CFC"/>
    <w:rsid w:val="002851C6"/>
    <w:rsid w:val="0028565E"/>
    <w:rsid w:val="00285832"/>
    <w:rsid w:val="00285969"/>
    <w:rsid w:val="0028663B"/>
    <w:rsid w:val="00286CEC"/>
    <w:rsid w:val="002871A9"/>
    <w:rsid w:val="0028750E"/>
    <w:rsid w:val="00287B7E"/>
    <w:rsid w:val="00290781"/>
    <w:rsid w:val="002912D3"/>
    <w:rsid w:val="00291784"/>
    <w:rsid w:val="00291DE7"/>
    <w:rsid w:val="002929BB"/>
    <w:rsid w:val="00292E64"/>
    <w:rsid w:val="002932BA"/>
    <w:rsid w:val="00293669"/>
    <w:rsid w:val="00294368"/>
    <w:rsid w:val="00294B78"/>
    <w:rsid w:val="00295646"/>
    <w:rsid w:val="00295949"/>
    <w:rsid w:val="0029624A"/>
    <w:rsid w:val="00296922"/>
    <w:rsid w:val="0029697C"/>
    <w:rsid w:val="00297098"/>
    <w:rsid w:val="00297C41"/>
    <w:rsid w:val="002A05D4"/>
    <w:rsid w:val="002A09FF"/>
    <w:rsid w:val="002A0E60"/>
    <w:rsid w:val="002A1A58"/>
    <w:rsid w:val="002A1B02"/>
    <w:rsid w:val="002A1C53"/>
    <w:rsid w:val="002A28FC"/>
    <w:rsid w:val="002A2B44"/>
    <w:rsid w:val="002A2EA5"/>
    <w:rsid w:val="002A3842"/>
    <w:rsid w:val="002A3D94"/>
    <w:rsid w:val="002A4736"/>
    <w:rsid w:val="002A4B1C"/>
    <w:rsid w:val="002A4BDD"/>
    <w:rsid w:val="002A4CC8"/>
    <w:rsid w:val="002A4DBB"/>
    <w:rsid w:val="002A5E7B"/>
    <w:rsid w:val="002A6AFB"/>
    <w:rsid w:val="002A6E3A"/>
    <w:rsid w:val="002A733D"/>
    <w:rsid w:val="002A774A"/>
    <w:rsid w:val="002A7E5C"/>
    <w:rsid w:val="002A7F6D"/>
    <w:rsid w:val="002B020D"/>
    <w:rsid w:val="002B1342"/>
    <w:rsid w:val="002B17C5"/>
    <w:rsid w:val="002B27C8"/>
    <w:rsid w:val="002B2A7F"/>
    <w:rsid w:val="002B2E10"/>
    <w:rsid w:val="002B330B"/>
    <w:rsid w:val="002B39BE"/>
    <w:rsid w:val="002B4039"/>
    <w:rsid w:val="002B438C"/>
    <w:rsid w:val="002B48DB"/>
    <w:rsid w:val="002B48E9"/>
    <w:rsid w:val="002B4B34"/>
    <w:rsid w:val="002B508E"/>
    <w:rsid w:val="002B541A"/>
    <w:rsid w:val="002B6407"/>
    <w:rsid w:val="002B6416"/>
    <w:rsid w:val="002B6459"/>
    <w:rsid w:val="002B64D2"/>
    <w:rsid w:val="002B68FE"/>
    <w:rsid w:val="002B73B0"/>
    <w:rsid w:val="002C1143"/>
    <w:rsid w:val="002C24B4"/>
    <w:rsid w:val="002C2739"/>
    <w:rsid w:val="002C2B3A"/>
    <w:rsid w:val="002C2B87"/>
    <w:rsid w:val="002C3CF4"/>
    <w:rsid w:val="002C3FB9"/>
    <w:rsid w:val="002C441A"/>
    <w:rsid w:val="002C4A73"/>
    <w:rsid w:val="002C4B84"/>
    <w:rsid w:val="002C4C0C"/>
    <w:rsid w:val="002C5016"/>
    <w:rsid w:val="002C5570"/>
    <w:rsid w:val="002C5C2F"/>
    <w:rsid w:val="002C5D0F"/>
    <w:rsid w:val="002C5E87"/>
    <w:rsid w:val="002C60B9"/>
    <w:rsid w:val="002C6A1D"/>
    <w:rsid w:val="002C6F77"/>
    <w:rsid w:val="002C704D"/>
    <w:rsid w:val="002D0845"/>
    <w:rsid w:val="002D0933"/>
    <w:rsid w:val="002D0CF8"/>
    <w:rsid w:val="002D0F58"/>
    <w:rsid w:val="002D19BB"/>
    <w:rsid w:val="002D1A9B"/>
    <w:rsid w:val="002D22C5"/>
    <w:rsid w:val="002D2EF0"/>
    <w:rsid w:val="002D301F"/>
    <w:rsid w:val="002D302A"/>
    <w:rsid w:val="002D36C6"/>
    <w:rsid w:val="002D37C1"/>
    <w:rsid w:val="002D444B"/>
    <w:rsid w:val="002D4A45"/>
    <w:rsid w:val="002D4A73"/>
    <w:rsid w:val="002D4AB1"/>
    <w:rsid w:val="002D4B42"/>
    <w:rsid w:val="002D4DBA"/>
    <w:rsid w:val="002D5A1B"/>
    <w:rsid w:val="002D65BC"/>
    <w:rsid w:val="002D6D7E"/>
    <w:rsid w:val="002D7EDD"/>
    <w:rsid w:val="002E055C"/>
    <w:rsid w:val="002E1050"/>
    <w:rsid w:val="002E18E5"/>
    <w:rsid w:val="002E1953"/>
    <w:rsid w:val="002E2D7D"/>
    <w:rsid w:val="002E3AB5"/>
    <w:rsid w:val="002E3D76"/>
    <w:rsid w:val="002E40A1"/>
    <w:rsid w:val="002E48EC"/>
    <w:rsid w:val="002E4B44"/>
    <w:rsid w:val="002E4B94"/>
    <w:rsid w:val="002E4ECB"/>
    <w:rsid w:val="002E4F23"/>
    <w:rsid w:val="002E5B53"/>
    <w:rsid w:val="002E70BF"/>
    <w:rsid w:val="002E74C4"/>
    <w:rsid w:val="002E7847"/>
    <w:rsid w:val="002E7FCF"/>
    <w:rsid w:val="002F0073"/>
    <w:rsid w:val="002F0618"/>
    <w:rsid w:val="002F1D41"/>
    <w:rsid w:val="002F240B"/>
    <w:rsid w:val="002F2F50"/>
    <w:rsid w:val="002F3601"/>
    <w:rsid w:val="002F37DD"/>
    <w:rsid w:val="002F45F6"/>
    <w:rsid w:val="002F692F"/>
    <w:rsid w:val="002F69BE"/>
    <w:rsid w:val="002F7B66"/>
    <w:rsid w:val="00300CB4"/>
    <w:rsid w:val="00300DE7"/>
    <w:rsid w:val="00300E24"/>
    <w:rsid w:val="0030101C"/>
    <w:rsid w:val="00301C19"/>
    <w:rsid w:val="00302B42"/>
    <w:rsid w:val="003033BA"/>
    <w:rsid w:val="003043A3"/>
    <w:rsid w:val="00304BD4"/>
    <w:rsid w:val="0030500A"/>
    <w:rsid w:val="00305056"/>
    <w:rsid w:val="0030517B"/>
    <w:rsid w:val="003052EB"/>
    <w:rsid w:val="00305FCB"/>
    <w:rsid w:val="0030600C"/>
    <w:rsid w:val="003063C3"/>
    <w:rsid w:val="00306B44"/>
    <w:rsid w:val="00307C44"/>
    <w:rsid w:val="0031088E"/>
    <w:rsid w:val="00310A35"/>
    <w:rsid w:val="00310CAF"/>
    <w:rsid w:val="00310D01"/>
    <w:rsid w:val="00311376"/>
    <w:rsid w:val="00311A1F"/>
    <w:rsid w:val="00311B47"/>
    <w:rsid w:val="00311D52"/>
    <w:rsid w:val="00312190"/>
    <w:rsid w:val="003125E0"/>
    <w:rsid w:val="00312606"/>
    <w:rsid w:val="0031271D"/>
    <w:rsid w:val="0031314F"/>
    <w:rsid w:val="0031336A"/>
    <w:rsid w:val="00313447"/>
    <w:rsid w:val="00313748"/>
    <w:rsid w:val="00313EA3"/>
    <w:rsid w:val="00315457"/>
    <w:rsid w:val="003161A4"/>
    <w:rsid w:val="00316955"/>
    <w:rsid w:val="00316BBC"/>
    <w:rsid w:val="0031720A"/>
    <w:rsid w:val="0031749B"/>
    <w:rsid w:val="003174E5"/>
    <w:rsid w:val="00317C9D"/>
    <w:rsid w:val="00317CD2"/>
    <w:rsid w:val="00317D99"/>
    <w:rsid w:val="00317E11"/>
    <w:rsid w:val="0032078D"/>
    <w:rsid w:val="003208F4"/>
    <w:rsid w:val="00320A6E"/>
    <w:rsid w:val="00320F34"/>
    <w:rsid w:val="0032137B"/>
    <w:rsid w:val="003214F7"/>
    <w:rsid w:val="0032177C"/>
    <w:rsid w:val="00321BD6"/>
    <w:rsid w:val="00321FA3"/>
    <w:rsid w:val="003223D7"/>
    <w:rsid w:val="003227D3"/>
    <w:rsid w:val="00322937"/>
    <w:rsid w:val="00322A46"/>
    <w:rsid w:val="00322A84"/>
    <w:rsid w:val="00322EC1"/>
    <w:rsid w:val="00323881"/>
    <w:rsid w:val="00323B73"/>
    <w:rsid w:val="00324821"/>
    <w:rsid w:val="003254F5"/>
    <w:rsid w:val="00325D98"/>
    <w:rsid w:val="0032682A"/>
    <w:rsid w:val="00327A5C"/>
    <w:rsid w:val="0033092C"/>
    <w:rsid w:val="0033122A"/>
    <w:rsid w:val="003314E4"/>
    <w:rsid w:val="003315AC"/>
    <w:rsid w:val="00331932"/>
    <w:rsid w:val="00332E42"/>
    <w:rsid w:val="00333A88"/>
    <w:rsid w:val="00333FFB"/>
    <w:rsid w:val="003355D6"/>
    <w:rsid w:val="00335B15"/>
    <w:rsid w:val="00335B21"/>
    <w:rsid w:val="00335D3F"/>
    <w:rsid w:val="00336104"/>
    <w:rsid w:val="00336729"/>
    <w:rsid w:val="00336859"/>
    <w:rsid w:val="00336AB1"/>
    <w:rsid w:val="00337178"/>
    <w:rsid w:val="0033726D"/>
    <w:rsid w:val="00337362"/>
    <w:rsid w:val="00337CA8"/>
    <w:rsid w:val="00337EAD"/>
    <w:rsid w:val="0034125B"/>
    <w:rsid w:val="0034177C"/>
    <w:rsid w:val="00342345"/>
    <w:rsid w:val="00342C27"/>
    <w:rsid w:val="003430C8"/>
    <w:rsid w:val="003432C8"/>
    <w:rsid w:val="003434B3"/>
    <w:rsid w:val="00343536"/>
    <w:rsid w:val="00343EFB"/>
    <w:rsid w:val="003443DF"/>
    <w:rsid w:val="00344760"/>
    <w:rsid w:val="00344A64"/>
    <w:rsid w:val="00344BF8"/>
    <w:rsid w:val="0034680A"/>
    <w:rsid w:val="00346C62"/>
    <w:rsid w:val="0034778E"/>
    <w:rsid w:val="003501E2"/>
    <w:rsid w:val="00350A59"/>
    <w:rsid w:val="00351E10"/>
    <w:rsid w:val="00352470"/>
    <w:rsid w:val="0035273A"/>
    <w:rsid w:val="00352D59"/>
    <w:rsid w:val="003533F4"/>
    <w:rsid w:val="003536F6"/>
    <w:rsid w:val="00353DD5"/>
    <w:rsid w:val="00355131"/>
    <w:rsid w:val="00355462"/>
    <w:rsid w:val="00356438"/>
    <w:rsid w:val="00356687"/>
    <w:rsid w:val="00356BCA"/>
    <w:rsid w:val="003609C4"/>
    <w:rsid w:val="003618D9"/>
    <w:rsid w:val="00361A59"/>
    <w:rsid w:val="0036315A"/>
    <w:rsid w:val="003631CC"/>
    <w:rsid w:val="003632CC"/>
    <w:rsid w:val="00363348"/>
    <w:rsid w:val="00363857"/>
    <w:rsid w:val="00363D59"/>
    <w:rsid w:val="003640F7"/>
    <w:rsid w:val="00364300"/>
    <w:rsid w:val="0036486E"/>
    <w:rsid w:val="00364E66"/>
    <w:rsid w:val="00365D3A"/>
    <w:rsid w:val="003661DD"/>
    <w:rsid w:val="003664FF"/>
    <w:rsid w:val="00366B70"/>
    <w:rsid w:val="00366BD2"/>
    <w:rsid w:val="003670B8"/>
    <w:rsid w:val="0036776E"/>
    <w:rsid w:val="003704A3"/>
    <w:rsid w:val="003706F2"/>
    <w:rsid w:val="00370936"/>
    <w:rsid w:val="0037124F"/>
    <w:rsid w:val="003712C9"/>
    <w:rsid w:val="00373827"/>
    <w:rsid w:val="00373F04"/>
    <w:rsid w:val="0037401C"/>
    <w:rsid w:val="00374A1E"/>
    <w:rsid w:val="0037507B"/>
    <w:rsid w:val="003759D1"/>
    <w:rsid w:val="00375C7C"/>
    <w:rsid w:val="003762F6"/>
    <w:rsid w:val="00377027"/>
    <w:rsid w:val="00377135"/>
    <w:rsid w:val="00380272"/>
    <w:rsid w:val="00380355"/>
    <w:rsid w:val="00380576"/>
    <w:rsid w:val="003805DB"/>
    <w:rsid w:val="003813F4"/>
    <w:rsid w:val="0038152A"/>
    <w:rsid w:val="00381B59"/>
    <w:rsid w:val="00382BAD"/>
    <w:rsid w:val="00383A8D"/>
    <w:rsid w:val="00383ABF"/>
    <w:rsid w:val="00383D49"/>
    <w:rsid w:val="00384CD6"/>
    <w:rsid w:val="00384D88"/>
    <w:rsid w:val="00384DF1"/>
    <w:rsid w:val="00384FF3"/>
    <w:rsid w:val="00386456"/>
    <w:rsid w:val="003865A9"/>
    <w:rsid w:val="00387642"/>
    <w:rsid w:val="003903B6"/>
    <w:rsid w:val="00390F32"/>
    <w:rsid w:val="0039135E"/>
    <w:rsid w:val="00391B19"/>
    <w:rsid w:val="0039200F"/>
    <w:rsid w:val="0039319C"/>
    <w:rsid w:val="003932B1"/>
    <w:rsid w:val="003938CD"/>
    <w:rsid w:val="00393CAE"/>
    <w:rsid w:val="003945DC"/>
    <w:rsid w:val="003945F4"/>
    <w:rsid w:val="00394EB5"/>
    <w:rsid w:val="003953B4"/>
    <w:rsid w:val="0039562B"/>
    <w:rsid w:val="0039615F"/>
    <w:rsid w:val="00396A29"/>
    <w:rsid w:val="00397FF0"/>
    <w:rsid w:val="003A0878"/>
    <w:rsid w:val="003A1561"/>
    <w:rsid w:val="003A1D25"/>
    <w:rsid w:val="003A22A2"/>
    <w:rsid w:val="003A2447"/>
    <w:rsid w:val="003A2AA1"/>
    <w:rsid w:val="003A31A5"/>
    <w:rsid w:val="003A3851"/>
    <w:rsid w:val="003A39DD"/>
    <w:rsid w:val="003A4A8E"/>
    <w:rsid w:val="003A532A"/>
    <w:rsid w:val="003A563C"/>
    <w:rsid w:val="003A581E"/>
    <w:rsid w:val="003A6160"/>
    <w:rsid w:val="003A65A5"/>
    <w:rsid w:val="003A72F5"/>
    <w:rsid w:val="003A78E5"/>
    <w:rsid w:val="003B0341"/>
    <w:rsid w:val="003B120F"/>
    <w:rsid w:val="003B1E57"/>
    <w:rsid w:val="003B2885"/>
    <w:rsid w:val="003B2EF3"/>
    <w:rsid w:val="003B3676"/>
    <w:rsid w:val="003B444E"/>
    <w:rsid w:val="003B4B1C"/>
    <w:rsid w:val="003B4CB2"/>
    <w:rsid w:val="003B534F"/>
    <w:rsid w:val="003B5391"/>
    <w:rsid w:val="003B5952"/>
    <w:rsid w:val="003B5FD5"/>
    <w:rsid w:val="003B65D7"/>
    <w:rsid w:val="003B65E0"/>
    <w:rsid w:val="003B6BD4"/>
    <w:rsid w:val="003B6F4D"/>
    <w:rsid w:val="003B6FE7"/>
    <w:rsid w:val="003C0791"/>
    <w:rsid w:val="003C0D1F"/>
    <w:rsid w:val="003C116A"/>
    <w:rsid w:val="003C1AF4"/>
    <w:rsid w:val="003C1B63"/>
    <w:rsid w:val="003C1CB8"/>
    <w:rsid w:val="003C2550"/>
    <w:rsid w:val="003C287F"/>
    <w:rsid w:val="003C3339"/>
    <w:rsid w:val="003C375A"/>
    <w:rsid w:val="003C43F6"/>
    <w:rsid w:val="003C4D9F"/>
    <w:rsid w:val="003C5072"/>
    <w:rsid w:val="003C5118"/>
    <w:rsid w:val="003C622C"/>
    <w:rsid w:val="003C6D53"/>
    <w:rsid w:val="003C73C7"/>
    <w:rsid w:val="003D03F3"/>
    <w:rsid w:val="003D050B"/>
    <w:rsid w:val="003D0ADA"/>
    <w:rsid w:val="003D0B98"/>
    <w:rsid w:val="003D0C3C"/>
    <w:rsid w:val="003D0DE5"/>
    <w:rsid w:val="003D12F7"/>
    <w:rsid w:val="003D1351"/>
    <w:rsid w:val="003D1E4F"/>
    <w:rsid w:val="003D21C1"/>
    <w:rsid w:val="003D2924"/>
    <w:rsid w:val="003D3707"/>
    <w:rsid w:val="003D3B15"/>
    <w:rsid w:val="003D3B2E"/>
    <w:rsid w:val="003D408E"/>
    <w:rsid w:val="003D43DD"/>
    <w:rsid w:val="003D484D"/>
    <w:rsid w:val="003D49CB"/>
    <w:rsid w:val="003D4BD6"/>
    <w:rsid w:val="003D5C65"/>
    <w:rsid w:val="003D6412"/>
    <w:rsid w:val="003D6B8F"/>
    <w:rsid w:val="003D6BED"/>
    <w:rsid w:val="003D7566"/>
    <w:rsid w:val="003E08B3"/>
    <w:rsid w:val="003E09BB"/>
    <w:rsid w:val="003E159D"/>
    <w:rsid w:val="003E1B76"/>
    <w:rsid w:val="003E20EA"/>
    <w:rsid w:val="003E210C"/>
    <w:rsid w:val="003E2913"/>
    <w:rsid w:val="003E2F55"/>
    <w:rsid w:val="003E317C"/>
    <w:rsid w:val="003E34DB"/>
    <w:rsid w:val="003E3833"/>
    <w:rsid w:val="003E3902"/>
    <w:rsid w:val="003E3AF9"/>
    <w:rsid w:val="003E4A70"/>
    <w:rsid w:val="003E4C48"/>
    <w:rsid w:val="003E4C54"/>
    <w:rsid w:val="003E4CD9"/>
    <w:rsid w:val="003E53B8"/>
    <w:rsid w:val="003E54B3"/>
    <w:rsid w:val="003E5780"/>
    <w:rsid w:val="003E5B9F"/>
    <w:rsid w:val="003E6072"/>
    <w:rsid w:val="003E6AB6"/>
    <w:rsid w:val="003E6E0B"/>
    <w:rsid w:val="003E71CD"/>
    <w:rsid w:val="003E74E5"/>
    <w:rsid w:val="003E76DF"/>
    <w:rsid w:val="003E78DA"/>
    <w:rsid w:val="003E7A8B"/>
    <w:rsid w:val="003F04B0"/>
    <w:rsid w:val="003F0F7F"/>
    <w:rsid w:val="003F14E9"/>
    <w:rsid w:val="003F1CE4"/>
    <w:rsid w:val="003F300D"/>
    <w:rsid w:val="003F391F"/>
    <w:rsid w:val="003F4599"/>
    <w:rsid w:val="003F45E1"/>
    <w:rsid w:val="003F4F6C"/>
    <w:rsid w:val="003F516A"/>
    <w:rsid w:val="003F559E"/>
    <w:rsid w:val="003F5DB7"/>
    <w:rsid w:val="003F6181"/>
    <w:rsid w:val="003F7343"/>
    <w:rsid w:val="00400002"/>
    <w:rsid w:val="00400054"/>
    <w:rsid w:val="004016A3"/>
    <w:rsid w:val="00401B31"/>
    <w:rsid w:val="0040202B"/>
    <w:rsid w:val="00402307"/>
    <w:rsid w:val="00402DE1"/>
    <w:rsid w:val="00402EEB"/>
    <w:rsid w:val="004037C2"/>
    <w:rsid w:val="00404041"/>
    <w:rsid w:val="00404B43"/>
    <w:rsid w:val="00404C61"/>
    <w:rsid w:val="00405487"/>
    <w:rsid w:val="004054B1"/>
    <w:rsid w:val="00405792"/>
    <w:rsid w:val="0040602B"/>
    <w:rsid w:val="0040691D"/>
    <w:rsid w:val="00407A7A"/>
    <w:rsid w:val="00407ABC"/>
    <w:rsid w:val="00407F1E"/>
    <w:rsid w:val="00410A88"/>
    <w:rsid w:val="00411317"/>
    <w:rsid w:val="00411A9E"/>
    <w:rsid w:val="00411D88"/>
    <w:rsid w:val="0041214C"/>
    <w:rsid w:val="0041259F"/>
    <w:rsid w:val="00412B4D"/>
    <w:rsid w:val="00412BBF"/>
    <w:rsid w:val="00412C51"/>
    <w:rsid w:val="00413262"/>
    <w:rsid w:val="0041329C"/>
    <w:rsid w:val="004139F4"/>
    <w:rsid w:val="00413FFA"/>
    <w:rsid w:val="00414246"/>
    <w:rsid w:val="0041475B"/>
    <w:rsid w:val="00414760"/>
    <w:rsid w:val="00414C2F"/>
    <w:rsid w:val="00414D9A"/>
    <w:rsid w:val="00415194"/>
    <w:rsid w:val="00415816"/>
    <w:rsid w:val="00415B88"/>
    <w:rsid w:val="00415D32"/>
    <w:rsid w:val="004160A2"/>
    <w:rsid w:val="004166CB"/>
    <w:rsid w:val="00417089"/>
    <w:rsid w:val="004170D7"/>
    <w:rsid w:val="004177A6"/>
    <w:rsid w:val="00417EFD"/>
    <w:rsid w:val="004200EE"/>
    <w:rsid w:val="004209D2"/>
    <w:rsid w:val="00420D6E"/>
    <w:rsid w:val="00421A41"/>
    <w:rsid w:val="00421BD2"/>
    <w:rsid w:val="00421E00"/>
    <w:rsid w:val="00421FCB"/>
    <w:rsid w:val="00421FF6"/>
    <w:rsid w:val="00422DCA"/>
    <w:rsid w:val="00423F9F"/>
    <w:rsid w:val="0042499B"/>
    <w:rsid w:val="00424F90"/>
    <w:rsid w:val="00424FEC"/>
    <w:rsid w:val="004250C6"/>
    <w:rsid w:val="00425C43"/>
    <w:rsid w:val="00426C69"/>
    <w:rsid w:val="00426D3B"/>
    <w:rsid w:val="004273FA"/>
    <w:rsid w:val="004276C2"/>
    <w:rsid w:val="00430186"/>
    <w:rsid w:val="00430730"/>
    <w:rsid w:val="0043269A"/>
    <w:rsid w:val="00432E14"/>
    <w:rsid w:val="004333C2"/>
    <w:rsid w:val="00433ACB"/>
    <w:rsid w:val="00433BD2"/>
    <w:rsid w:val="00434787"/>
    <w:rsid w:val="004347DA"/>
    <w:rsid w:val="00434C13"/>
    <w:rsid w:val="00436323"/>
    <w:rsid w:val="0043683F"/>
    <w:rsid w:val="00436E45"/>
    <w:rsid w:val="00436F40"/>
    <w:rsid w:val="004370FA"/>
    <w:rsid w:val="00437266"/>
    <w:rsid w:val="00440096"/>
    <w:rsid w:val="004403DD"/>
    <w:rsid w:val="00440DB0"/>
    <w:rsid w:val="00440FAD"/>
    <w:rsid w:val="0044105D"/>
    <w:rsid w:val="00441291"/>
    <w:rsid w:val="004420AB"/>
    <w:rsid w:val="004422D6"/>
    <w:rsid w:val="004427AC"/>
    <w:rsid w:val="00442D4D"/>
    <w:rsid w:val="00443613"/>
    <w:rsid w:val="0044374D"/>
    <w:rsid w:val="00443865"/>
    <w:rsid w:val="00443B55"/>
    <w:rsid w:val="00443D27"/>
    <w:rsid w:val="00445AC2"/>
    <w:rsid w:val="00446037"/>
    <w:rsid w:val="0044642F"/>
    <w:rsid w:val="0044772C"/>
    <w:rsid w:val="004502AA"/>
    <w:rsid w:val="004507BD"/>
    <w:rsid w:val="00450846"/>
    <w:rsid w:val="004510BD"/>
    <w:rsid w:val="0045159C"/>
    <w:rsid w:val="00451A52"/>
    <w:rsid w:val="00451FC8"/>
    <w:rsid w:val="0045271D"/>
    <w:rsid w:val="00452755"/>
    <w:rsid w:val="00452803"/>
    <w:rsid w:val="004529C6"/>
    <w:rsid w:val="00452DBF"/>
    <w:rsid w:val="00452EAD"/>
    <w:rsid w:val="004531D5"/>
    <w:rsid w:val="004533D1"/>
    <w:rsid w:val="004534D1"/>
    <w:rsid w:val="00453A53"/>
    <w:rsid w:val="00454548"/>
    <w:rsid w:val="00454582"/>
    <w:rsid w:val="00454717"/>
    <w:rsid w:val="00455047"/>
    <w:rsid w:val="00455354"/>
    <w:rsid w:val="004554DF"/>
    <w:rsid w:val="0045558D"/>
    <w:rsid w:val="00455811"/>
    <w:rsid w:val="00455DEE"/>
    <w:rsid w:val="00456970"/>
    <w:rsid w:val="00456BB1"/>
    <w:rsid w:val="00456DDB"/>
    <w:rsid w:val="0046080F"/>
    <w:rsid w:val="00460915"/>
    <w:rsid w:val="00460946"/>
    <w:rsid w:val="004613D2"/>
    <w:rsid w:val="004614A9"/>
    <w:rsid w:val="00461B6F"/>
    <w:rsid w:val="00461E97"/>
    <w:rsid w:val="00462452"/>
    <w:rsid w:val="0046268F"/>
    <w:rsid w:val="0046284F"/>
    <w:rsid w:val="00462B10"/>
    <w:rsid w:val="00462C04"/>
    <w:rsid w:val="0046320A"/>
    <w:rsid w:val="0046361D"/>
    <w:rsid w:val="004638E2"/>
    <w:rsid w:val="00464030"/>
    <w:rsid w:val="004647F8"/>
    <w:rsid w:val="004647FB"/>
    <w:rsid w:val="00465456"/>
    <w:rsid w:val="00465677"/>
    <w:rsid w:val="00465AC3"/>
    <w:rsid w:val="00466616"/>
    <w:rsid w:val="00466A0C"/>
    <w:rsid w:val="00470A6A"/>
    <w:rsid w:val="00470D92"/>
    <w:rsid w:val="004712D1"/>
    <w:rsid w:val="00471DF7"/>
    <w:rsid w:val="00471F6B"/>
    <w:rsid w:val="0047295C"/>
    <w:rsid w:val="00472D8E"/>
    <w:rsid w:val="004734CF"/>
    <w:rsid w:val="00474889"/>
    <w:rsid w:val="004753F5"/>
    <w:rsid w:val="00475C5A"/>
    <w:rsid w:val="00475C9C"/>
    <w:rsid w:val="0047676B"/>
    <w:rsid w:val="0047773C"/>
    <w:rsid w:val="00477C33"/>
    <w:rsid w:val="00477C5F"/>
    <w:rsid w:val="00480050"/>
    <w:rsid w:val="004808DE"/>
    <w:rsid w:val="00481AC4"/>
    <w:rsid w:val="00481DC1"/>
    <w:rsid w:val="00482507"/>
    <w:rsid w:val="0048268A"/>
    <w:rsid w:val="00482BB3"/>
    <w:rsid w:val="00483356"/>
    <w:rsid w:val="004835CA"/>
    <w:rsid w:val="004836F8"/>
    <w:rsid w:val="004836FE"/>
    <w:rsid w:val="00484074"/>
    <w:rsid w:val="004843F9"/>
    <w:rsid w:val="00484899"/>
    <w:rsid w:val="00484F0F"/>
    <w:rsid w:val="00484F40"/>
    <w:rsid w:val="0048540C"/>
    <w:rsid w:val="0048592F"/>
    <w:rsid w:val="0048605E"/>
    <w:rsid w:val="004861B4"/>
    <w:rsid w:val="00486AB4"/>
    <w:rsid w:val="00486BD0"/>
    <w:rsid w:val="00486D00"/>
    <w:rsid w:val="00487263"/>
    <w:rsid w:val="0048734F"/>
    <w:rsid w:val="004900D3"/>
    <w:rsid w:val="0049029D"/>
    <w:rsid w:val="0049030C"/>
    <w:rsid w:val="004903C0"/>
    <w:rsid w:val="0049114B"/>
    <w:rsid w:val="004912A8"/>
    <w:rsid w:val="00491577"/>
    <w:rsid w:val="0049196E"/>
    <w:rsid w:val="0049241A"/>
    <w:rsid w:val="00492C1F"/>
    <w:rsid w:val="00492E4C"/>
    <w:rsid w:val="004930CE"/>
    <w:rsid w:val="00493B2C"/>
    <w:rsid w:val="00493E04"/>
    <w:rsid w:val="004940E3"/>
    <w:rsid w:val="004942DE"/>
    <w:rsid w:val="0049530F"/>
    <w:rsid w:val="00495C41"/>
    <w:rsid w:val="00496664"/>
    <w:rsid w:val="00496786"/>
    <w:rsid w:val="0049695B"/>
    <w:rsid w:val="00496D8F"/>
    <w:rsid w:val="00497463"/>
    <w:rsid w:val="00497B15"/>
    <w:rsid w:val="00497BA8"/>
    <w:rsid w:val="004A054C"/>
    <w:rsid w:val="004A08D1"/>
    <w:rsid w:val="004A16C1"/>
    <w:rsid w:val="004A1CE2"/>
    <w:rsid w:val="004A2069"/>
    <w:rsid w:val="004A2800"/>
    <w:rsid w:val="004A34D2"/>
    <w:rsid w:val="004A41BA"/>
    <w:rsid w:val="004A4301"/>
    <w:rsid w:val="004A4E65"/>
    <w:rsid w:val="004A58EE"/>
    <w:rsid w:val="004A59B7"/>
    <w:rsid w:val="004A623B"/>
    <w:rsid w:val="004A6A04"/>
    <w:rsid w:val="004A6A52"/>
    <w:rsid w:val="004A6C78"/>
    <w:rsid w:val="004A73E3"/>
    <w:rsid w:val="004B0F0B"/>
    <w:rsid w:val="004B163F"/>
    <w:rsid w:val="004B2197"/>
    <w:rsid w:val="004B24B7"/>
    <w:rsid w:val="004B298A"/>
    <w:rsid w:val="004B3816"/>
    <w:rsid w:val="004B578D"/>
    <w:rsid w:val="004B589F"/>
    <w:rsid w:val="004B5BE7"/>
    <w:rsid w:val="004B5E2D"/>
    <w:rsid w:val="004B5ED5"/>
    <w:rsid w:val="004B6793"/>
    <w:rsid w:val="004B6C07"/>
    <w:rsid w:val="004B70DF"/>
    <w:rsid w:val="004B74D3"/>
    <w:rsid w:val="004B76D3"/>
    <w:rsid w:val="004B788E"/>
    <w:rsid w:val="004B79B3"/>
    <w:rsid w:val="004B7BB7"/>
    <w:rsid w:val="004B7E5D"/>
    <w:rsid w:val="004C0DD8"/>
    <w:rsid w:val="004C22F7"/>
    <w:rsid w:val="004C2B27"/>
    <w:rsid w:val="004C3929"/>
    <w:rsid w:val="004C3EAA"/>
    <w:rsid w:val="004C4DCB"/>
    <w:rsid w:val="004C5212"/>
    <w:rsid w:val="004C5B3B"/>
    <w:rsid w:val="004C5E7D"/>
    <w:rsid w:val="004C5EF0"/>
    <w:rsid w:val="004C7226"/>
    <w:rsid w:val="004C74C9"/>
    <w:rsid w:val="004C785E"/>
    <w:rsid w:val="004C7D70"/>
    <w:rsid w:val="004D02F9"/>
    <w:rsid w:val="004D03FE"/>
    <w:rsid w:val="004D0446"/>
    <w:rsid w:val="004D0A4F"/>
    <w:rsid w:val="004D0F95"/>
    <w:rsid w:val="004D106A"/>
    <w:rsid w:val="004D31EE"/>
    <w:rsid w:val="004D36AF"/>
    <w:rsid w:val="004D3BD1"/>
    <w:rsid w:val="004D4BA1"/>
    <w:rsid w:val="004D5451"/>
    <w:rsid w:val="004D584D"/>
    <w:rsid w:val="004D58DE"/>
    <w:rsid w:val="004D61E1"/>
    <w:rsid w:val="004D6826"/>
    <w:rsid w:val="004D6DE9"/>
    <w:rsid w:val="004E023F"/>
    <w:rsid w:val="004E0742"/>
    <w:rsid w:val="004E0C64"/>
    <w:rsid w:val="004E0F6B"/>
    <w:rsid w:val="004E1545"/>
    <w:rsid w:val="004E1F1C"/>
    <w:rsid w:val="004E2A35"/>
    <w:rsid w:val="004E40CE"/>
    <w:rsid w:val="004E4465"/>
    <w:rsid w:val="004E518D"/>
    <w:rsid w:val="004E5736"/>
    <w:rsid w:val="004E5B36"/>
    <w:rsid w:val="004E6045"/>
    <w:rsid w:val="004E6F43"/>
    <w:rsid w:val="004E7200"/>
    <w:rsid w:val="004F034D"/>
    <w:rsid w:val="004F091D"/>
    <w:rsid w:val="004F0960"/>
    <w:rsid w:val="004F0A5C"/>
    <w:rsid w:val="004F0CD9"/>
    <w:rsid w:val="004F163F"/>
    <w:rsid w:val="004F18A0"/>
    <w:rsid w:val="004F1A08"/>
    <w:rsid w:val="004F2B64"/>
    <w:rsid w:val="004F3764"/>
    <w:rsid w:val="004F3EEF"/>
    <w:rsid w:val="004F47D0"/>
    <w:rsid w:val="004F4B65"/>
    <w:rsid w:val="004F507C"/>
    <w:rsid w:val="004F548C"/>
    <w:rsid w:val="004F5930"/>
    <w:rsid w:val="004F5970"/>
    <w:rsid w:val="004F5F0C"/>
    <w:rsid w:val="004F6121"/>
    <w:rsid w:val="004F6161"/>
    <w:rsid w:val="004F66BC"/>
    <w:rsid w:val="004F67B2"/>
    <w:rsid w:val="004F6B7C"/>
    <w:rsid w:val="004F6C26"/>
    <w:rsid w:val="004F7AC9"/>
    <w:rsid w:val="0050062F"/>
    <w:rsid w:val="005012E2"/>
    <w:rsid w:val="00501481"/>
    <w:rsid w:val="0050160F"/>
    <w:rsid w:val="0050208C"/>
    <w:rsid w:val="0050284E"/>
    <w:rsid w:val="00505DCB"/>
    <w:rsid w:val="00507360"/>
    <w:rsid w:val="005075CA"/>
    <w:rsid w:val="0051074C"/>
    <w:rsid w:val="00510A3E"/>
    <w:rsid w:val="00510DE9"/>
    <w:rsid w:val="005111E2"/>
    <w:rsid w:val="00511231"/>
    <w:rsid w:val="00512779"/>
    <w:rsid w:val="00512986"/>
    <w:rsid w:val="00512C4F"/>
    <w:rsid w:val="00513042"/>
    <w:rsid w:val="0051334F"/>
    <w:rsid w:val="00513399"/>
    <w:rsid w:val="00513AA0"/>
    <w:rsid w:val="00513AF2"/>
    <w:rsid w:val="00514575"/>
    <w:rsid w:val="00514C03"/>
    <w:rsid w:val="00514D67"/>
    <w:rsid w:val="00515515"/>
    <w:rsid w:val="00515F54"/>
    <w:rsid w:val="00516338"/>
    <w:rsid w:val="0051635C"/>
    <w:rsid w:val="00516C5B"/>
    <w:rsid w:val="00517612"/>
    <w:rsid w:val="00517CFB"/>
    <w:rsid w:val="00517F85"/>
    <w:rsid w:val="00520899"/>
    <w:rsid w:val="00520922"/>
    <w:rsid w:val="005209FC"/>
    <w:rsid w:val="00520E50"/>
    <w:rsid w:val="005224E5"/>
    <w:rsid w:val="005226BE"/>
    <w:rsid w:val="00522A02"/>
    <w:rsid w:val="005232E0"/>
    <w:rsid w:val="005235ED"/>
    <w:rsid w:val="00523903"/>
    <w:rsid w:val="005239B6"/>
    <w:rsid w:val="00523C45"/>
    <w:rsid w:val="00524165"/>
    <w:rsid w:val="005242BA"/>
    <w:rsid w:val="005246E7"/>
    <w:rsid w:val="00524FD2"/>
    <w:rsid w:val="00525621"/>
    <w:rsid w:val="00525B2E"/>
    <w:rsid w:val="00526431"/>
    <w:rsid w:val="005265D8"/>
    <w:rsid w:val="00527C6B"/>
    <w:rsid w:val="00527E57"/>
    <w:rsid w:val="00530405"/>
    <w:rsid w:val="00530522"/>
    <w:rsid w:val="005305E5"/>
    <w:rsid w:val="00530F38"/>
    <w:rsid w:val="00531F26"/>
    <w:rsid w:val="0053277C"/>
    <w:rsid w:val="005327C0"/>
    <w:rsid w:val="00532D95"/>
    <w:rsid w:val="00533101"/>
    <w:rsid w:val="005336FB"/>
    <w:rsid w:val="00533CA9"/>
    <w:rsid w:val="00533DA7"/>
    <w:rsid w:val="005342A3"/>
    <w:rsid w:val="005346AD"/>
    <w:rsid w:val="00534C25"/>
    <w:rsid w:val="00534EFB"/>
    <w:rsid w:val="00534F60"/>
    <w:rsid w:val="005357F1"/>
    <w:rsid w:val="00536053"/>
    <w:rsid w:val="005369E6"/>
    <w:rsid w:val="00536E62"/>
    <w:rsid w:val="005371AC"/>
    <w:rsid w:val="00537672"/>
    <w:rsid w:val="0053772F"/>
    <w:rsid w:val="00537B77"/>
    <w:rsid w:val="00540C4C"/>
    <w:rsid w:val="00541571"/>
    <w:rsid w:val="0054275A"/>
    <w:rsid w:val="005428B8"/>
    <w:rsid w:val="00542BD7"/>
    <w:rsid w:val="00542E67"/>
    <w:rsid w:val="00543084"/>
    <w:rsid w:val="00543CFC"/>
    <w:rsid w:val="0054413A"/>
    <w:rsid w:val="00544288"/>
    <w:rsid w:val="005446BB"/>
    <w:rsid w:val="00545E30"/>
    <w:rsid w:val="00545EA3"/>
    <w:rsid w:val="00546293"/>
    <w:rsid w:val="00546C9B"/>
    <w:rsid w:val="00547BF6"/>
    <w:rsid w:val="005502F9"/>
    <w:rsid w:val="00551098"/>
    <w:rsid w:val="00551581"/>
    <w:rsid w:val="00551598"/>
    <w:rsid w:val="00551610"/>
    <w:rsid w:val="0055162B"/>
    <w:rsid w:val="00551BFF"/>
    <w:rsid w:val="00551D68"/>
    <w:rsid w:val="00552B3E"/>
    <w:rsid w:val="00554F3F"/>
    <w:rsid w:val="005551AA"/>
    <w:rsid w:val="005564CA"/>
    <w:rsid w:val="005568EA"/>
    <w:rsid w:val="00557140"/>
    <w:rsid w:val="00557DE4"/>
    <w:rsid w:val="0056058C"/>
    <w:rsid w:val="00560C87"/>
    <w:rsid w:val="00560EF9"/>
    <w:rsid w:val="00560F51"/>
    <w:rsid w:val="00561249"/>
    <w:rsid w:val="0056182B"/>
    <w:rsid w:val="00561AF3"/>
    <w:rsid w:val="00561E0B"/>
    <w:rsid w:val="00562141"/>
    <w:rsid w:val="00562D86"/>
    <w:rsid w:val="00564121"/>
    <w:rsid w:val="005642EC"/>
    <w:rsid w:val="00564704"/>
    <w:rsid w:val="00564712"/>
    <w:rsid w:val="005657A8"/>
    <w:rsid w:val="00565952"/>
    <w:rsid w:val="00566866"/>
    <w:rsid w:val="005670A5"/>
    <w:rsid w:val="00567106"/>
    <w:rsid w:val="00567723"/>
    <w:rsid w:val="00567AB8"/>
    <w:rsid w:val="00567C02"/>
    <w:rsid w:val="0057045E"/>
    <w:rsid w:val="005707F7"/>
    <w:rsid w:val="00570A26"/>
    <w:rsid w:val="0057170B"/>
    <w:rsid w:val="0057221F"/>
    <w:rsid w:val="00572539"/>
    <w:rsid w:val="0057337D"/>
    <w:rsid w:val="00573504"/>
    <w:rsid w:val="00574708"/>
    <w:rsid w:val="00574D81"/>
    <w:rsid w:val="005756AA"/>
    <w:rsid w:val="00575FB1"/>
    <w:rsid w:val="00576233"/>
    <w:rsid w:val="0057696F"/>
    <w:rsid w:val="005771B1"/>
    <w:rsid w:val="005774FE"/>
    <w:rsid w:val="0058040C"/>
    <w:rsid w:val="00580918"/>
    <w:rsid w:val="00580D6D"/>
    <w:rsid w:val="005810CB"/>
    <w:rsid w:val="005813DE"/>
    <w:rsid w:val="00581796"/>
    <w:rsid w:val="00581B45"/>
    <w:rsid w:val="00582480"/>
    <w:rsid w:val="00582763"/>
    <w:rsid w:val="0058290E"/>
    <w:rsid w:val="00582CAB"/>
    <w:rsid w:val="00583121"/>
    <w:rsid w:val="0058375E"/>
    <w:rsid w:val="00584233"/>
    <w:rsid w:val="005842D0"/>
    <w:rsid w:val="005855AE"/>
    <w:rsid w:val="00585829"/>
    <w:rsid w:val="00585CA8"/>
    <w:rsid w:val="00586412"/>
    <w:rsid w:val="005864B9"/>
    <w:rsid w:val="005866C4"/>
    <w:rsid w:val="00586BDB"/>
    <w:rsid w:val="00590461"/>
    <w:rsid w:val="00590F1A"/>
    <w:rsid w:val="00591C03"/>
    <w:rsid w:val="00591E2A"/>
    <w:rsid w:val="005923C4"/>
    <w:rsid w:val="00593F75"/>
    <w:rsid w:val="005940A0"/>
    <w:rsid w:val="0059429A"/>
    <w:rsid w:val="00595FDD"/>
    <w:rsid w:val="00596AF7"/>
    <w:rsid w:val="00596CCE"/>
    <w:rsid w:val="00597BC8"/>
    <w:rsid w:val="00597E38"/>
    <w:rsid w:val="005A1976"/>
    <w:rsid w:val="005A1D75"/>
    <w:rsid w:val="005A2120"/>
    <w:rsid w:val="005A2501"/>
    <w:rsid w:val="005A2C80"/>
    <w:rsid w:val="005A3066"/>
    <w:rsid w:val="005A3457"/>
    <w:rsid w:val="005A3B35"/>
    <w:rsid w:val="005A3C4B"/>
    <w:rsid w:val="005A3E5A"/>
    <w:rsid w:val="005A43F3"/>
    <w:rsid w:val="005A496F"/>
    <w:rsid w:val="005A4A56"/>
    <w:rsid w:val="005A4F64"/>
    <w:rsid w:val="005A5A3D"/>
    <w:rsid w:val="005A6035"/>
    <w:rsid w:val="005A6B75"/>
    <w:rsid w:val="005A6E00"/>
    <w:rsid w:val="005A718A"/>
    <w:rsid w:val="005A73C2"/>
    <w:rsid w:val="005B09BE"/>
    <w:rsid w:val="005B12B2"/>
    <w:rsid w:val="005B143B"/>
    <w:rsid w:val="005B1504"/>
    <w:rsid w:val="005B1C87"/>
    <w:rsid w:val="005B1E45"/>
    <w:rsid w:val="005B21C4"/>
    <w:rsid w:val="005B2A28"/>
    <w:rsid w:val="005B3621"/>
    <w:rsid w:val="005B4948"/>
    <w:rsid w:val="005B501D"/>
    <w:rsid w:val="005B54CC"/>
    <w:rsid w:val="005B6AE8"/>
    <w:rsid w:val="005B74AD"/>
    <w:rsid w:val="005B7E96"/>
    <w:rsid w:val="005C0429"/>
    <w:rsid w:val="005C084F"/>
    <w:rsid w:val="005C0EE9"/>
    <w:rsid w:val="005C1716"/>
    <w:rsid w:val="005C1954"/>
    <w:rsid w:val="005C1C0B"/>
    <w:rsid w:val="005C1D53"/>
    <w:rsid w:val="005C2011"/>
    <w:rsid w:val="005C2BBC"/>
    <w:rsid w:val="005C36CF"/>
    <w:rsid w:val="005C38EB"/>
    <w:rsid w:val="005C3EA3"/>
    <w:rsid w:val="005C5011"/>
    <w:rsid w:val="005C529E"/>
    <w:rsid w:val="005C57BA"/>
    <w:rsid w:val="005C5C52"/>
    <w:rsid w:val="005C5D3D"/>
    <w:rsid w:val="005C5F05"/>
    <w:rsid w:val="005C7497"/>
    <w:rsid w:val="005C7AA1"/>
    <w:rsid w:val="005C7F3E"/>
    <w:rsid w:val="005D070F"/>
    <w:rsid w:val="005D0E1C"/>
    <w:rsid w:val="005D1051"/>
    <w:rsid w:val="005D2044"/>
    <w:rsid w:val="005D274C"/>
    <w:rsid w:val="005D27DC"/>
    <w:rsid w:val="005D2917"/>
    <w:rsid w:val="005D2EB2"/>
    <w:rsid w:val="005D2F48"/>
    <w:rsid w:val="005D41F2"/>
    <w:rsid w:val="005D4613"/>
    <w:rsid w:val="005D464B"/>
    <w:rsid w:val="005D466F"/>
    <w:rsid w:val="005D49F0"/>
    <w:rsid w:val="005D51FA"/>
    <w:rsid w:val="005D53E8"/>
    <w:rsid w:val="005D5A26"/>
    <w:rsid w:val="005D5A9D"/>
    <w:rsid w:val="005D6651"/>
    <w:rsid w:val="005D691D"/>
    <w:rsid w:val="005D6A72"/>
    <w:rsid w:val="005D6AC5"/>
    <w:rsid w:val="005D7035"/>
    <w:rsid w:val="005D749F"/>
    <w:rsid w:val="005D791B"/>
    <w:rsid w:val="005D7CF2"/>
    <w:rsid w:val="005D7F92"/>
    <w:rsid w:val="005E0D7B"/>
    <w:rsid w:val="005E1595"/>
    <w:rsid w:val="005E181F"/>
    <w:rsid w:val="005E1F1D"/>
    <w:rsid w:val="005E273D"/>
    <w:rsid w:val="005E3278"/>
    <w:rsid w:val="005E363B"/>
    <w:rsid w:val="005E3760"/>
    <w:rsid w:val="005E3B0D"/>
    <w:rsid w:val="005E6EA5"/>
    <w:rsid w:val="005F041F"/>
    <w:rsid w:val="005F0D48"/>
    <w:rsid w:val="005F1216"/>
    <w:rsid w:val="005F15FC"/>
    <w:rsid w:val="005F1819"/>
    <w:rsid w:val="005F1D7D"/>
    <w:rsid w:val="005F1D89"/>
    <w:rsid w:val="005F305B"/>
    <w:rsid w:val="005F3361"/>
    <w:rsid w:val="005F3B47"/>
    <w:rsid w:val="005F4481"/>
    <w:rsid w:val="005F49AF"/>
    <w:rsid w:val="005F4A58"/>
    <w:rsid w:val="005F54DF"/>
    <w:rsid w:val="005F5888"/>
    <w:rsid w:val="005F5984"/>
    <w:rsid w:val="005F5F37"/>
    <w:rsid w:val="005F63B1"/>
    <w:rsid w:val="005F6CE2"/>
    <w:rsid w:val="005F7111"/>
    <w:rsid w:val="005F72E9"/>
    <w:rsid w:val="005F730E"/>
    <w:rsid w:val="005F780B"/>
    <w:rsid w:val="005F7B0D"/>
    <w:rsid w:val="00600195"/>
    <w:rsid w:val="00600473"/>
    <w:rsid w:val="00600A4B"/>
    <w:rsid w:val="006013C9"/>
    <w:rsid w:val="006016EA"/>
    <w:rsid w:val="00602B45"/>
    <w:rsid w:val="00603499"/>
    <w:rsid w:val="006035F5"/>
    <w:rsid w:val="00603B08"/>
    <w:rsid w:val="00603CC2"/>
    <w:rsid w:val="006047D1"/>
    <w:rsid w:val="00604A55"/>
    <w:rsid w:val="00604D3F"/>
    <w:rsid w:val="00605AC3"/>
    <w:rsid w:val="00606908"/>
    <w:rsid w:val="00607996"/>
    <w:rsid w:val="00607A37"/>
    <w:rsid w:val="00607C6B"/>
    <w:rsid w:val="00607E9F"/>
    <w:rsid w:val="0061085E"/>
    <w:rsid w:val="00611398"/>
    <w:rsid w:val="00612322"/>
    <w:rsid w:val="006123C0"/>
    <w:rsid w:val="00613191"/>
    <w:rsid w:val="006133F9"/>
    <w:rsid w:val="006134B3"/>
    <w:rsid w:val="00613DE1"/>
    <w:rsid w:val="0061401F"/>
    <w:rsid w:val="00614166"/>
    <w:rsid w:val="00614817"/>
    <w:rsid w:val="006149CC"/>
    <w:rsid w:val="006157A9"/>
    <w:rsid w:val="0061591D"/>
    <w:rsid w:val="00615ED0"/>
    <w:rsid w:val="0061604C"/>
    <w:rsid w:val="0061610B"/>
    <w:rsid w:val="00616C2B"/>
    <w:rsid w:val="006174FA"/>
    <w:rsid w:val="006178D1"/>
    <w:rsid w:val="00620719"/>
    <w:rsid w:val="006212C9"/>
    <w:rsid w:val="00621D0C"/>
    <w:rsid w:val="00622470"/>
    <w:rsid w:val="00622725"/>
    <w:rsid w:val="006231AA"/>
    <w:rsid w:val="00623482"/>
    <w:rsid w:val="00623AC2"/>
    <w:rsid w:val="00623FF7"/>
    <w:rsid w:val="0062471F"/>
    <w:rsid w:val="00625A26"/>
    <w:rsid w:val="00625F38"/>
    <w:rsid w:val="006266D7"/>
    <w:rsid w:val="00626D42"/>
    <w:rsid w:val="00626E8E"/>
    <w:rsid w:val="00626EE3"/>
    <w:rsid w:val="006274AD"/>
    <w:rsid w:val="00627532"/>
    <w:rsid w:val="006302AA"/>
    <w:rsid w:val="006310C3"/>
    <w:rsid w:val="0063161E"/>
    <w:rsid w:val="0063167C"/>
    <w:rsid w:val="00631A31"/>
    <w:rsid w:val="00631BB5"/>
    <w:rsid w:val="00631DD0"/>
    <w:rsid w:val="00631FBD"/>
    <w:rsid w:val="00632246"/>
    <w:rsid w:val="006324C2"/>
    <w:rsid w:val="00632658"/>
    <w:rsid w:val="0063295C"/>
    <w:rsid w:val="00633367"/>
    <w:rsid w:val="00633DBF"/>
    <w:rsid w:val="00634122"/>
    <w:rsid w:val="00634C03"/>
    <w:rsid w:val="006355B6"/>
    <w:rsid w:val="00635E32"/>
    <w:rsid w:val="006365DE"/>
    <w:rsid w:val="00636BE4"/>
    <w:rsid w:val="0063746C"/>
    <w:rsid w:val="00637802"/>
    <w:rsid w:val="00637836"/>
    <w:rsid w:val="00637C26"/>
    <w:rsid w:val="00637F44"/>
    <w:rsid w:val="00640659"/>
    <w:rsid w:val="00641078"/>
    <w:rsid w:val="00641242"/>
    <w:rsid w:val="00642A32"/>
    <w:rsid w:val="00642D53"/>
    <w:rsid w:val="006433D5"/>
    <w:rsid w:val="00645494"/>
    <w:rsid w:val="00646B20"/>
    <w:rsid w:val="00646D0F"/>
    <w:rsid w:val="0064708F"/>
    <w:rsid w:val="00647462"/>
    <w:rsid w:val="00647936"/>
    <w:rsid w:val="00647A36"/>
    <w:rsid w:val="00647DCC"/>
    <w:rsid w:val="00647EFA"/>
    <w:rsid w:val="00647F14"/>
    <w:rsid w:val="00650027"/>
    <w:rsid w:val="00651B9C"/>
    <w:rsid w:val="00651C47"/>
    <w:rsid w:val="00651D98"/>
    <w:rsid w:val="0065218F"/>
    <w:rsid w:val="00652854"/>
    <w:rsid w:val="00652D2C"/>
    <w:rsid w:val="00652E70"/>
    <w:rsid w:val="00652E85"/>
    <w:rsid w:val="0065303A"/>
    <w:rsid w:val="00653091"/>
    <w:rsid w:val="0065339A"/>
    <w:rsid w:val="00653469"/>
    <w:rsid w:val="00654A38"/>
    <w:rsid w:val="00654B4B"/>
    <w:rsid w:val="00655301"/>
    <w:rsid w:val="00655371"/>
    <w:rsid w:val="00655876"/>
    <w:rsid w:val="00656C4B"/>
    <w:rsid w:val="006573EA"/>
    <w:rsid w:val="00657659"/>
    <w:rsid w:val="00661029"/>
    <w:rsid w:val="00661042"/>
    <w:rsid w:val="0066135A"/>
    <w:rsid w:val="00661639"/>
    <w:rsid w:val="0066272D"/>
    <w:rsid w:val="00662E58"/>
    <w:rsid w:val="00662F39"/>
    <w:rsid w:val="006635A0"/>
    <w:rsid w:val="00663AAC"/>
    <w:rsid w:val="00664351"/>
    <w:rsid w:val="006646E0"/>
    <w:rsid w:val="00665968"/>
    <w:rsid w:val="00665BF7"/>
    <w:rsid w:val="00666178"/>
    <w:rsid w:val="0066639E"/>
    <w:rsid w:val="00666473"/>
    <w:rsid w:val="00666C72"/>
    <w:rsid w:val="00666E6C"/>
    <w:rsid w:val="0066707F"/>
    <w:rsid w:val="00667ED8"/>
    <w:rsid w:val="0067064C"/>
    <w:rsid w:val="00670B20"/>
    <w:rsid w:val="00670E12"/>
    <w:rsid w:val="00672DE7"/>
    <w:rsid w:val="00672E80"/>
    <w:rsid w:val="006739E4"/>
    <w:rsid w:val="00673ECF"/>
    <w:rsid w:val="0067426B"/>
    <w:rsid w:val="00674A1B"/>
    <w:rsid w:val="006754F8"/>
    <w:rsid w:val="00676127"/>
    <w:rsid w:val="00676AED"/>
    <w:rsid w:val="006776AC"/>
    <w:rsid w:val="00677981"/>
    <w:rsid w:val="00677F26"/>
    <w:rsid w:val="006802A7"/>
    <w:rsid w:val="006811C9"/>
    <w:rsid w:val="006812CE"/>
    <w:rsid w:val="006818F0"/>
    <w:rsid w:val="006823DC"/>
    <w:rsid w:val="00682791"/>
    <w:rsid w:val="00682C89"/>
    <w:rsid w:val="006832B8"/>
    <w:rsid w:val="006837B2"/>
    <w:rsid w:val="00683800"/>
    <w:rsid w:val="00684411"/>
    <w:rsid w:val="00684434"/>
    <w:rsid w:val="00684C8A"/>
    <w:rsid w:val="00684CF5"/>
    <w:rsid w:val="00684D9C"/>
    <w:rsid w:val="006853EA"/>
    <w:rsid w:val="0068553E"/>
    <w:rsid w:val="00685E7B"/>
    <w:rsid w:val="0068628A"/>
    <w:rsid w:val="00686551"/>
    <w:rsid w:val="0068730C"/>
    <w:rsid w:val="00687504"/>
    <w:rsid w:val="00687A14"/>
    <w:rsid w:val="00687A8C"/>
    <w:rsid w:val="006906FA"/>
    <w:rsid w:val="00690839"/>
    <w:rsid w:val="006908DB"/>
    <w:rsid w:val="00690DE9"/>
    <w:rsid w:val="00691DE9"/>
    <w:rsid w:val="00691EAA"/>
    <w:rsid w:val="00692245"/>
    <w:rsid w:val="00692FFA"/>
    <w:rsid w:val="006932E0"/>
    <w:rsid w:val="00693772"/>
    <w:rsid w:val="00694160"/>
    <w:rsid w:val="006959A5"/>
    <w:rsid w:val="00695C0C"/>
    <w:rsid w:val="00696A05"/>
    <w:rsid w:val="00697665"/>
    <w:rsid w:val="00697C9A"/>
    <w:rsid w:val="00697E68"/>
    <w:rsid w:val="006A0274"/>
    <w:rsid w:val="006A10FD"/>
    <w:rsid w:val="006A24B9"/>
    <w:rsid w:val="006A2A43"/>
    <w:rsid w:val="006A2BF1"/>
    <w:rsid w:val="006A2F9A"/>
    <w:rsid w:val="006A34E4"/>
    <w:rsid w:val="006A3A5A"/>
    <w:rsid w:val="006A44CF"/>
    <w:rsid w:val="006A457D"/>
    <w:rsid w:val="006A4749"/>
    <w:rsid w:val="006A55EE"/>
    <w:rsid w:val="006A575B"/>
    <w:rsid w:val="006A59DE"/>
    <w:rsid w:val="006A63EB"/>
    <w:rsid w:val="006A6655"/>
    <w:rsid w:val="006A6B0B"/>
    <w:rsid w:val="006A6BF9"/>
    <w:rsid w:val="006A6F85"/>
    <w:rsid w:val="006A7CB5"/>
    <w:rsid w:val="006A7FD0"/>
    <w:rsid w:val="006B025C"/>
    <w:rsid w:val="006B16D3"/>
    <w:rsid w:val="006B19C6"/>
    <w:rsid w:val="006B2534"/>
    <w:rsid w:val="006B2CB2"/>
    <w:rsid w:val="006B347D"/>
    <w:rsid w:val="006B3E19"/>
    <w:rsid w:val="006B4488"/>
    <w:rsid w:val="006B5B75"/>
    <w:rsid w:val="006B671C"/>
    <w:rsid w:val="006B67AC"/>
    <w:rsid w:val="006B6A25"/>
    <w:rsid w:val="006B7285"/>
    <w:rsid w:val="006B786A"/>
    <w:rsid w:val="006B7B56"/>
    <w:rsid w:val="006B7E4E"/>
    <w:rsid w:val="006C003A"/>
    <w:rsid w:val="006C0DA9"/>
    <w:rsid w:val="006C2454"/>
    <w:rsid w:val="006C2551"/>
    <w:rsid w:val="006C2B26"/>
    <w:rsid w:val="006C3746"/>
    <w:rsid w:val="006C37CA"/>
    <w:rsid w:val="006C40B7"/>
    <w:rsid w:val="006C40D2"/>
    <w:rsid w:val="006C5A7C"/>
    <w:rsid w:val="006C5B15"/>
    <w:rsid w:val="006C5D32"/>
    <w:rsid w:val="006C5DCB"/>
    <w:rsid w:val="006C70C4"/>
    <w:rsid w:val="006C775C"/>
    <w:rsid w:val="006D04DA"/>
    <w:rsid w:val="006D10F6"/>
    <w:rsid w:val="006D1475"/>
    <w:rsid w:val="006D1544"/>
    <w:rsid w:val="006D1688"/>
    <w:rsid w:val="006D1FF3"/>
    <w:rsid w:val="006D2C65"/>
    <w:rsid w:val="006D32C6"/>
    <w:rsid w:val="006D360E"/>
    <w:rsid w:val="006D3697"/>
    <w:rsid w:val="006D39D2"/>
    <w:rsid w:val="006D3F2A"/>
    <w:rsid w:val="006D4370"/>
    <w:rsid w:val="006D46A3"/>
    <w:rsid w:val="006D6421"/>
    <w:rsid w:val="006D658F"/>
    <w:rsid w:val="006D6868"/>
    <w:rsid w:val="006D69FA"/>
    <w:rsid w:val="006D6A12"/>
    <w:rsid w:val="006D712D"/>
    <w:rsid w:val="006D7687"/>
    <w:rsid w:val="006D7D1F"/>
    <w:rsid w:val="006D7D8A"/>
    <w:rsid w:val="006E0572"/>
    <w:rsid w:val="006E05D8"/>
    <w:rsid w:val="006E08EE"/>
    <w:rsid w:val="006E0D16"/>
    <w:rsid w:val="006E1130"/>
    <w:rsid w:val="006E155A"/>
    <w:rsid w:val="006E291A"/>
    <w:rsid w:val="006E3452"/>
    <w:rsid w:val="006E348E"/>
    <w:rsid w:val="006E38D1"/>
    <w:rsid w:val="006E39D1"/>
    <w:rsid w:val="006E437F"/>
    <w:rsid w:val="006E4B20"/>
    <w:rsid w:val="006E4D5B"/>
    <w:rsid w:val="006E602F"/>
    <w:rsid w:val="006E6720"/>
    <w:rsid w:val="006E68FA"/>
    <w:rsid w:val="006E7275"/>
    <w:rsid w:val="006E77B8"/>
    <w:rsid w:val="006F15CC"/>
    <w:rsid w:val="006F38AD"/>
    <w:rsid w:val="006F3BDD"/>
    <w:rsid w:val="006F4147"/>
    <w:rsid w:val="006F4315"/>
    <w:rsid w:val="006F4478"/>
    <w:rsid w:val="006F458D"/>
    <w:rsid w:val="006F4A6D"/>
    <w:rsid w:val="006F4CB0"/>
    <w:rsid w:val="006F4F78"/>
    <w:rsid w:val="006F547E"/>
    <w:rsid w:val="006F5656"/>
    <w:rsid w:val="006F5838"/>
    <w:rsid w:val="006F5CA8"/>
    <w:rsid w:val="006F5CCF"/>
    <w:rsid w:val="006F6B77"/>
    <w:rsid w:val="006F772B"/>
    <w:rsid w:val="006F78DC"/>
    <w:rsid w:val="00700956"/>
    <w:rsid w:val="00700D5F"/>
    <w:rsid w:val="0070138A"/>
    <w:rsid w:val="0070157E"/>
    <w:rsid w:val="007030D4"/>
    <w:rsid w:val="0070317C"/>
    <w:rsid w:val="00703279"/>
    <w:rsid w:val="00703B61"/>
    <w:rsid w:val="00703B97"/>
    <w:rsid w:val="00703E11"/>
    <w:rsid w:val="00704102"/>
    <w:rsid w:val="0070461C"/>
    <w:rsid w:val="00705631"/>
    <w:rsid w:val="00705818"/>
    <w:rsid w:val="00705F62"/>
    <w:rsid w:val="0070773F"/>
    <w:rsid w:val="00707903"/>
    <w:rsid w:val="00707ED3"/>
    <w:rsid w:val="007101B7"/>
    <w:rsid w:val="00710668"/>
    <w:rsid w:val="007110F4"/>
    <w:rsid w:val="007112B1"/>
    <w:rsid w:val="0071130F"/>
    <w:rsid w:val="0071235E"/>
    <w:rsid w:val="00712714"/>
    <w:rsid w:val="007128E3"/>
    <w:rsid w:val="007129AB"/>
    <w:rsid w:val="00712B63"/>
    <w:rsid w:val="007130E7"/>
    <w:rsid w:val="00713526"/>
    <w:rsid w:val="00713FC5"/>
    <w:rsid w:val="00715BBF"/>
    <w:rsid w:val="00715C29"/>
    <w:rsid w:val="00715CBD"/>
    <w:rsid w:val="00715E86"/>
    <w:rsid w:val="00715EAA"/>
    <w:rsid w:val="00716CAD"/>
    <w:rsid w:val="00716F18"/>
    <w:rsid w:val="0071716D"/>
    <w:rsid w:val="0071718F"/>
    <w:rsid w:val="00717363"/>
    <w:rsid w:val="0071745E"/>
    <w:rsid w:val="00717786"/>
    <w:rsid w:val="00717ACB"/>
    <w:rsid w:val="007219CF"/>
    <w:rsid w:val="00721BFF"/>
    <w:rsid w:val="00722FD8"/>
    <w:rsid w:val="007236C4"/>
    <w:rsid w:val="00723B59"/>
    <w:rsid w:val="0072432C"/>
    <w:rsid w:val="00724635"/>
    <w:rsid w:val="007250F7"/>
    <w:rsid w:val="0072554B"/>
    <w:rsid w:val="00725AFD"/>
    <w:rsid w:val="00725F81"/>
    <w:rsid w:val="00726603"/>
    <w:rsid w:val="00727DDC"/>
    <w:rsid w:val="007304A7"/>
    <w:rsid w:val="00730CD6"/>
    <w:rsid w:val="00730F74"/>
    <w:rsid w:val="0073114B"/>
    <w:rsid w:val="0073253A"/>
    <w:rsid w:val="00734414"/>
    <w:rsid w:val="00734952"/>
    <w:rsid w:val="00734990"/>
    <w:rsid w:val="00734FF5"/>
    <w:rsid w:val="00735761"/>
    <w:rsid w:val="00735B78"/>
    <w:rsid w:val="00735DA7"/>
    <w:rsid w:val="007368B4"/>
    <w:rsid w:val="007378E0"/>
    <w:rsid w:val="00737C5C"/>
    <w:rsid w:val="0074026F"/>
    <w:rsid w:val="00740529"/>
    <w:rsid w:val="00740A6C"/>
    <w:rsid w:val="00741358"/>
    <w:rsid w:val="00741626"/>
    <w:rsid w:val="00742332"/>
    <w:rsid w:val="00742886"/>
    <w:rsid w:val="00742B10"/>
    <w:rsid w:val="00742D5E"/>
    <w:rsid w:val="00742DD2"/>
    <w:rsid w:val="007430A5"/>
    <w:rsid w:val="007437C6"/>
    <w:rsid w:val="007439EE"/>
    <w:rsid w:val="007441A2"/>
    <w:rsid w:val="00744B15"/>
    <w:rsid w:val="00744E80"/>
    <w:rsid w:val="00745035"/>
    <w:rsid w:val="0074531C"/>
    <w:rsid w:val="00745547"/>
    <w:rsid w:val="007459BD"/>
    <w:rsid w:val="007459D0"/>
    <w:rsid w:val="0074623A"/>
    <w:rsid w:val="00746420"/>
    <w:rsid w:val="0074664B"/>
    <w:rsid w:val="00746D72"/>
    <w:rsid w:val="00746E04"/>
    <w:rsid w:val="00746E08"/>
    <w:rsid w:val="00746E3D"/>
    <w:rsid w:val="007472B2"/>
    <w:rsid w:val="007473B9"/>
    <w:rsid w:val="007474ED"/>
    <w:rsid w:val="00747529"/>
    <w:rsid w:val="007476EE"/>
    <w:rsid w:val="00747C96"/>
    <w:rsid w:val="00750075"/>
    <w:rsid w:val="007502EC"/>
    <w:rsid w:val="00750382"/>
    <w:rsid w:val="00750476"/>
    <w:rsid w:val="0075094E"/>
    <w:rsid w:val="00750FA8"/>
    <w:rsid w:val="00750FB5"/>
    <w:rsid w:val="00751B4C"/>
    <w:rsid w:val="007522E8"/>
    <w:rsid w:val="00753BAC"/>
    <w:rsid w:val="00754A0B"/>
    <w:rsid w:val="007552DB"/>
    <w:rsid w:val="00755B08"/>
    <w:rsid w:val="00755DD0"/>
    <w:rsid w:val="007562EC"/>
    <w:rsid w:val="0075647A"/>
    <w:rsid w:val="007566BE"/>
    <w:rsid w:val="00756A2F"/>
    <w:rsid w:val="007573E1"/>
    <w:rsid w:val="0075749E"/>
    <w:rsid w:val="007577B0"/>
    <w:rsid w:val="007577DA"/>
    <w:rsid w:val="00757B2D"/>
    <w:rsid w:val="00757BAD"/>
    <w:rsid w:val="00757D62"/>
    <w:rsid w:val="00760844"/>
    <w:rsid w:val="00760867"/>
    <w:rsid w:val="00760EB6"/>
    <w:rsid w:val="0076105F"/>
    <w:rsid w:val="007616DB"/>
    <w:rsid w:val="00761DC6"/>
    <w:rsid w:val="0076228A"/>
    <w:rsid w:val="00762440"/>
    <w:rsid w:val="007629B7"/>
    <w:rsid w:val="00762E60"/>
    <w:rsid w:val="007634AD"/>
    <w:rsid w:val="00766ECC"/>
    <w:rsid w:val="007672F3"/>
    <w:rsid w:val="0076754B"/>
    <w:rsid w:val="007676A9"/>
    <w:rsid w:val="007677B5"/>
    <w:rsid w:val="007678B1"/>
    <w:rsid w:val="00770317"/>
    <w:rsid w:val="007708A8"/>
    <w:rsid w:val="00772275"/>
    <w:rsid w:val="007734E4"/>
    <w:rsid w:val="0077380D"/>
    <w:rsid w:val="0077393F"/>
    <w:rsid w:val="00773BC8"/>
    <w:rsid w:val="0077466F"/>
    <w:rsid w:val="007752B7"/>
    <w:rsid w:val="007759A8"/>
    <w:rsid w:val="00775D98"/>
    <w:rsid w:val="00776F81"/>
    <w:rsid w:val="00776FE5"/>
    <w:rsid w:val="00777101"/>
    <w:rsid w:val="007774E7"/>
    <w:rsid w:val="0077768C"/>
    <w:rsid w:val="00777696"/>
    <w:rsid w:val="00777FF4"/>
    <w:rsid w:val="00780251"/>
    <w:rsid w:val="007804FE"/>
    <w:rsid w:val="00780F32"/>
    <w:rsid w:val="0078122E"/>
    <w:rsid w:val="00781678"/>
    <w:rsid w:val="00781939"/>
    <w:rsid w:val="00781D29"/>
    <w:rsid w:val="007825EF"/>
    <w:rsid w:val="007827B0"/>
    <w:rsid w:val="0078286B"/>
    <w:rsid w:val="00782D2C"/>
    <w:rsid w:val="00782FC2"/>
    <w:rsid w:val="00784696"/>
    <w:rsid w:val="00784FC4"/>
    <w:rsid w:val="00785BBB"/>
    <w:rsid w:val="00786FAD"/>
    <w:rsid w:val="007873C9"/>
    <w:rsid w:val="00787D90"/>
    <w:rsid w:val="00787F5E"/>
    <w:rsid w:val="00790164"/>
    <w:rsid w:val="007906E2"/>
    <w:rsid w:val="00790A24"/>
    <w:rsid w:val="00790A37"/>
    <w:rsid w:val="00790A60"/>
    <w:rsid w:val="0079146D"/>
    <w:rsid w:val="00791C32"/>
    <w:rsid w:val="00791E08"/>
    <w:rsid w:val="00791FF0"/>
    <w:rsid w:val="00792292"/>
    <w:rsid w:val="007923D0"/>
    <w:rsid w:val="007929A4"/>
    <w:rsid w:val="0079302C"/>
    <w:rsid w:val="007930D3"/>
    <w:rsid w:val="0079381F"/>
    <w:rsid w:val="00793B2E"/>
    <w:rsid w:val="007943FC"/>
    <w:rsid w:val="007948F5"/>
    <w:rsid w:val="00795647"/>
    <w:rsid w:val="007963F6"/>
    <w:rsid w:val="00796418"/>
    <w:rsid w:val="00796485"/>
    <w:rsid w:val="00796576"/>
    <w:rsid w:val="00796E80"/>
    <w:rsid w:val="007979AD"/>
    <w:rsid w:val="00797A9C"/>
    <w:rsid w:val="007A0EAB"/>
    <w:rsid w:val="007A2341"/>
    <w:rsid w:val="007A38A1"/>
    <w:rsid w:val="007A3967"/>
    <w:rsid w:val="007A3BBE"/>
    <w:rsid w:val="007A3F2E"/>
    <w:rsid w:val="007A4766"/>
    <w:rsid w:val="007A5134"/>
    <w:rsid w:val="007A5816"/>
    <w:rsid w:val="007A5947"/>
    <w:rsid w:val="007A6CE7"/>
    <w:rsid w:val="007A6F90"/>
    <w:rsid w:val="007B00D8"/>
    <w:rsid w:val="007B0313"/>
    <w:rsid w:val="007B05FB"/>
    <w:rsid w:val="007B0854"/>
    <w:rsid w:val="007B0E48"/>
    <w:rsid w:val="007B12F1"/>
    <w:rsid w:val="007B18FD"/>
    <w:rsid w:val="007B1D1B"/>
    <w:rsid w:val="007B303E"/>
    <w:rsid w:val="007B32C0"/>
    <w:rsid w:val="007B32F7"/>
    <w:rsid w:val="007B3659"/>
    <w:rsid w:val="007B4558"/>
    <w:rsid w:val="007B4632"/>
    <w:rsid w:val="007B46A2"/>
    <w:rsid w:val="007B4828"/>
    <w:rsid w:val="007B4B2D"/>
    <w:rsid w:val="007B4D4A"/>
    <w:rsid w:val="007B5428"/>
    <w:rsid w:val="007B54FE"/>
    <w:rsid w:val="007B57A5"/>
    <w:rsid w:val="007B6697"/>
    <w:rsid w:val="007B699E"/>
    <w:rsid w:val="007B6C64"/>
    <w:rsid w:val="007B6EC8"/>
    <w:rsid w:val="007B6F81"/>
    <w:rsid w:val="007B7992"/>
    <w:rsid w:val="007B7EA2"/>
    <w:rsid w:val="007C025A"/>
    <w:rsid w:val="007C081B"/>
    <w:rsid w:val="007C097D"/>
    <w:rsid w:val="007C13FA"/>
    <w:rsid w:val="007C1554"/>
    <w:rsid w:val="007C1672"/>
    <w:rsid w:val="007C312A"/>
    <w:rsid w:val="007C3570"/>
    <w:rsid w:val="007C3F3B"/>
    <w:rsid w:val="007C4241"/>
    <w:rsid w:val="007C55FF"/>
    <w:rsid w:val="007C6339"/>
    <w:rsid w:val="007C6EC5"/>
    <w:rsid w:val="007C6F35"/>
    <w:rsid w:val="007C7C43"/>
    <w:rsid w:val="007C7F0D"/>
    <w:rsid w:val="007D010E"/>
    <w:rsid w:val="007D0D03"/>
    <w:rsid w:val="007D1134"/>
    <w:rsid w:val="007D20CF"/>
    <w:rsid w:val="007D23F7"/>
    <w:rsid w:val="007D2566"/>
    <w:rsid w:val="007D2C18"/>
    <w:rsid w:val="007D2D74"/>
    <w:rsid w:val="007D333D"/>
    <w:rsid w:val="007D3395"/>
    <w:rsid w:val="007D358F"/>
    <w:rsid w:val="007D3693"/>
    <w:rsid w:val="007D3C6D"/>
    <w:rsid w:val="007D409B"/>
    <w:rsid w:val="007D4261"/>
    <w:rsid w:val="007D481A"/>
    <w:rsid w:val="007D5402"/>
    <w:rsid w:val="007D5648"/>
    <w:rsid w:val="007D58C5"/>
    <w:rsid w:val="007D5DE8"/>
    <w:rsid w:val="007D6972"/>
    <w:rsid w:val="007D7503"/>
    <w:rsid w:val="007D7CFC"/>
    <w:rsid w:val="007D7FFC"/>
    <w:rsid w:val="007E0812"/>
    <w:rsid w:val="007E16A4"/>
    <w:rsid w:val="007E18DF"/>
    <w:rsid w:val="007E1B5E"/>
    <w:rsid w:val="007E2A04"/>
    <w:rsid w:val="007E2C36"/>
    <w:rsid w:val="007E342A"/>
    <w:rsid w:val="007E350D"/>
    <w:rsid w:val="007E5211"/>
    <w:rsid w:val="007E5C4A"/>
    <w:rsid w:val="007E64D4"/>
    <w:rsid w:val="007E66E9"/>
    <w:rsid w:val="007E69F2"/>
    <w:rsid w:val="007E7432"/>
    <w:rsid w:val="007E74BF"/>
    <w:rsid w:val="007F14D3"/>
    <w:rsid w:val="007F1C42"/>
    <w:rsid w:val="007F1D9D"/>
    <w:rsid w:val="007F1E28"/>
    <w:rsid w:val="007F1EA7"/>
    <w:rsid w:val="007F1F63"/>
    <w:rsid w:val="007F21D8"/>
    <w:rsid w:val="007F22A0"/>
    <w:rsid w:val="007F2F90"/>
    <w:rsid w:val="007F3320"/>
    <w:rsid w:val="007F392A"/>
    <w:rsid w:val="007F3AC1"/>
    <w:rsid w:val="007F48FA"/>
    <w:rsid w:val="007F4976"/>
    <w:rsid w:val="007F5A56"/>
    <w:rsid w:val="007F5CDF"/>
    <w:rsid w:val="007F5F90"/>
    <w:rsid w:val="007F616E"/>
    <w:rsid w:val="007F665F"/>
    <w:rsid w:val="007F6B3B"/>
    <w:rsid w:val="007F6B46"/>
    <w:rsid w:val="007F72CB"/>
    <w:rsid w:val="007F736A"/>
    <w:rsid w:val="007F7635"/>
    <w:rsid w:val="007F785F"/>
    <w:rsid w:val="007F7AF6"/>
    <w:rsid w:val="007F7B49"/>
    <w:rsid w:val="007F7E36"/>
    <w:rsid w:val="00800681"/>
    <w:rsid w:val="00800A62"/>
    <w:rsid w:val="00800E6D"/>
    <w:rsid w:val="008014D9"/>
    <w:rsid w:val="0080150F"/>
    <w:rsid w:val="0080153A"/>
    <w:rsid w:val="00801A2A"/>
    <w:rsid w:val="00802041"/>
    <w:rsid w:val="008022C9"/>
    <w:rsid w:val="0080246C"/>
    <w:rsid w:val="00802C0C"/>
    <w:rsid w:val="00802F9E"/>
    <w:rsid w:val="00803700"/>
    <w:rsid w:val="00803D9D"/>
    <w:rsid w:val="00805185"/>
    <w:rsid w:val="008053EF"/>
    <w:rsid w:val="008059C6"/>
    <w:rsid w:val="00805AD7"/>
    <w:rsid w:val="00805BD6"/>
    <w:rsid w:val="00805DE3"/>
    <w:rsid w:val="00807666"/>
    <w:rsid w:val="008076B6"/>
    <w:rsid w:val="00807C35"/>
    <w:rsid w:val="00807F69"/>
    <w:rsid w:val="008100EC"/>
    <w:rsid w:val="008100F7"/>
    <w:rsid w:val="00810206"/>
    <w:rsid w:val="00811898"/>
    <w:rsid w:val="008120C4"/>
    <w:rsid w:val="008124D8"/>
    <w:rsid w:val="0081323E"/>
    <w:rsid w:val="00813A7B"/>
    <w:rsid w:val="00813F04"/>
    <w:rsid w:val="00814B72"/>
    <w:rsid w:val="00814D88"/>
    <w:rsid w:val="00815A07"/>
    <w:rsid w:val="00815DA5"/>
    <w:rsid w:val="00816221"/>
    <w:rsid w:val="0081766B"/>
    <w:rsid w:val="00820705"/>
    <w:rsid w:val="00820CBF"/>
    <w:rsid w:val="00820FA8"/>
    <w:rsid w:val="008212FD"/>
    <w:rsid w:val="00821489"/>
    <w:rsid w:val="008217B7"/>
    <w:rsid w:val="00821F5E"/>
    <w:rsid w:val="0082239B"/>
    <w:rsid w:val="0082282A"/>
    <w:rsid w:val="0082292E"/>
    <w:rsid w:val="00822D06"/>
    <w:rsid w:val="00822D87"/>
    <w:rsid w:val="0082348D"/>
    <w:rsid w:val="008234E0"/>
    <w:rsid w:val="008236BE"/>
    <w:rsid w:val="00823A46"/>
    <w:rsid w:val="00823A93"/>
    <w:rsid w:val="008241CE"/>
    <w:rsid w:val="00824AD5"/>
    <w:rsid w:val="00825240"/>
    <w:rsid w:val="00825B43"/>
    <w:rsid w:val="00825EF8"/>
    <w:rsid w:val="0082629D"/>
    <w:rsid w:val="008263EB"/>
    <w:rsid w:val="00827203"/>
    <w:rsid w:val="00827443"/>
    <w:rsid w:val="0082767A"/>
    <w:rsid w:val="00827CC0"/>
    <w:rsid w:val="00831026"/>
    <w:rsid w:val="0083119B"/>
    <w:rsid w:val="00831654"/>
    <w:rsid w:val="00831BAE"/>
    <w:rsid w:val="00832216"/>
    <w:rsid w:val="00832CD0"/>
    <w:rsid w:val="00833430"/>
    <w:rsid w:val="00833A78"/>
    <w:rsid w:val="00834128"/>
    <w:rsid w:val="0083417F"/>
    <w:rsid w:val="00835143"/>
    <w:rsid w:val="008351F8"/>
    <w:rsid w:val="00835741"/>
    <w:rsid w:val="00836E74"/>
    <w:rsid w:val="00836EAB"/>
    <w:rsid w:val="00837673"/>
    <w:rsid w:val="00837937"/>
    <w:rsid w:val="00837D82"/>
    <w:rsid w:val="00840893"/>
    <w:rsid w:val="00840E88"/>
    <w:rsid w:val="0084195A"/>
    <w:rsid w:val="008423EC"/>
    <w:rsid w:val="0084332E"/>
    <w:rsid w:val="00843615"/>
    <w:rsid w:val="00843698"/>
    <w:rsid w:val="00843A4B"/>
    <w:rsid w:val="00843B57"/>
    <w:rsid w:val="00843B60"/>
    <w:rsid w:val="00843D33"/>
    <w:rsid w:val="00844D4F"/>
    <w:rsid w:val="00845AE3"/>
    <w:rsid w:val="008466A0"/>
    <w:rsid w:val="00846D1D"/>
    <w:rsid w:val="00847535"/>
    <w:rsid w:val="00847744"/>
    <w:rsid w:val="00847978"/>
    <w:rsid w:val="00847B6D"/>
    <w:rsid w:val="00847FFA"/>
    <w:rsid w:val="0085092D"/>
    <w:rsid w:val="00850D82"/>
    <w:rsid w:val="00850F79"/>
    <w:rsid w:val="0085100B"/>
    <w:rsid w:val="0085304C"/>
    <w:rsid w:val="00853973"/>
    <w:rsid w:val="00853B5D"/>
    <w:rsid w:val="008548CA"/>
    <w:rsid w:val="00855A41"/>
    <w:rsid w:val="00856C06"/>
    <w:rsid w:val="0085790B"/>
    <w:rsid w:val="00857C95"/>
    <w:rsid w:val="00857E78"/>
    <w:rsid w:val="00860AEF"/>
    <w:rsid w:val="0086122C"/>
    <w:rsid w:val="00861310"/>
    <w:rsid w:val="00861B7B"/>
    <w:rsid w:val="00861F0F"/>
    <w:rsid w:val="00861F53"/>
    <w:rsid w:val="0086289E"/>
    <w:rsid w:val="00863413"/>
    <w:rsid w:val="0086394E"/>
    <w:rsid w:val="00863F8A"/>
    <w:rsid w:val="00863FE3"/>
    <w:rsid w:val="00864241"/>
    <w:rsid w:val="0086468A"/>
    <w:rsid w:val="00864A51"/>
    <w:rsid w:val="00864CD5"/>
    <w:rsid w:val="008650BE"/>
    <w:rsid w:val="0086633B"/>
    <w:rsid w:val="00866495"/>
    <w:rsid w:val="00866931"/>
    <w:rsid w:val="00866FEF"/>
    <w:rsid w:val="00867512"/>
    <w:rsid w:val="0087033C"/>
    <w:rsid w:val="00870B44"/>
    <w:rsid w:val="008712E8"/>
    <w:rsid w:val="008715ED"/>
    <w:rsid w:val="008717D8"/>
    <w:rsid w:val="00871E3C"/>
    <w:rsid w:val="0087213A"/>
    <w:rsid w:val="00872F97"/>
    <w:rsid w:val="00873863"/>
    <w:rsid w:val="0087392A"/>
    <w:rsid w:val="00873BDE"/>
    <w:rsid w:val="00874607"/>
    <w:rsid w:val="00874915"/>
    <w:rsid w:val="00874B89"/>
    <w:rsid w:val="008752DA"/>
    <w:rsid w:val="00875403"/>
    <w:rsid w:val="00875434"/>
    <w:rsid w:val="00876215"/>
    <w:rsid w:val="0087646C"/>
    <w:rsid w:val="00876815"/>
    <w:rsid w:val="00877932"/>
    <w:rsid w:val="00877A0F"/>
    <w:rsid w:val="008808C7"/>
    <w:rsid w:val="008808EC"/>
    <w:rsid w:val="0088106B"/>
    <w:rsid w:val="0088107D"/>
    <w:rsid w:val="008812E2"/>
    <w:rsid w:val="0088168A"/>
    <w:rsid w:val="00881E64"/>
    <w:rsid w:val="00882A3F"/>
    <w:rsid w:val="00882E39"/>
    <w:rsid w:val="008850E3"/>
    <w:rsid w:val="008850EB"/>
    <w:rsid w:val="00886DF2"/>
    <w:rsid w:val="00886FB9"/>
    <w:rsid w:val="00887080"/>
    <w:rsid w:val="00887BC5"/>
    <w:rsid w:val="00887C79"/>
    <w:rsid w:val="008907CC"/>
    <w:rsid w:val="0089107B"/>
    <w:rsid w:val="008913CC"/>
    <w:rsid w:val="00891411"/>
    <w:rsid w:val="008914AE"/>
    <w:rsid w:val="00891838"/>
    <w:rsid w:val="008919CF"/>
    <w:rsid w:val="00891F84"/>
    <w:rsid w:val="008928EC"/>
    <w:rsid w:val="00892E5D"/>
    <w:rsid w:val="008935CF"/>
    <w:rsid w:val="00894436"/>
    <w:rsid w:val="00894BB1"/>
    <w:rsid w:val="008950CB"/>
    <w:rsid w:val="008951D0"/>
    <w:rsid w:val="0089572F"/>
    <w:rsid w:val="0089582D"/>
    <w:rsid w:val="008959C6"/>
    <w:rsid w:val="0089606D"/>
    <w:rsid w:val="00896129"/>
    <w:rsid w:val="008965DF"/>
    <w:rsid w:val="0089774F"/>
    <w:rsid w:val="00897875"/>
    <w:rsid w:val="00897B8F"/>
    <w:rsid w:val="008A00D8"/>
    <w:rsid w:val="008A00D9"/>
    <w:rsid w:val="008A059D"/>
    <w:rsid w:val="008A07D5"/>
    <w:rsid w:val="008A23CC"/>
    <w:rsid w:val="008A2527"/>
    <w:rsid w:val="008A2595"/>
    <w:rsid w:val="008A295B"/>
    <w:rsid w:val="008A2A23"/>
    <w:rsid w:val="008A2AF5"/>
    <w:rsid w:val="008A2B5A"/>
    <w:rsid w:val="008A2DD1"/>
    <w:rsid w:val="008A3F9D"/>
    <w:rsid w:val="008A5474"/>
    <w:rsid w:val="008A5C9A"/>
    <w:rsid w:val="008A6A55"/>
    <w:rsid w:val="008A6C5C"/>
    <w:rsid w:val="008A6DF0"/>
    <w:rsid w:val="008A6F6E"/>
    <w:rsid w:val="008A7888"/>
    <w:rsid w:val="008A796E"/>
    <w:rsid w:val="008B03D8"/>
    <w:rsid w:val="008B0862"/>
    <w:rsid w:val="008B088C"/>
    <w:rsid w:val="008B0E99"/>
    <w:rsid w:val="008B1BF5"/>
    <w:rsid w:val="008B207A"/>
    <w:rsid w:val="008B2268"/>
    <w:rsid w:val="008B23F7"/>
    <w:rsid w:val="008B263F"/>
    <w:rsid w:val="008B47A6"/>
    <w:rsid w:val="008B5761"/>
    <w:rsid w:val="008B6649"/>
    <w:rsid w:val="008B672C"/>
    <w:rsid w:val="008B7611"/>
    <w:rsid w:val="008C036D"/>
    <w:rsid w:val="008C0743"/>
    <w:rsid w:val="008C0B4C"/>
    <w:rsid w:val="008C0F4F"/>
    <w:rsid w:val="008C11F0"/>
    <w:rsid w:val="008C1DBA"/>
    <w:rsid w:val="008C20B8"/>
    <w:rsid w:val="008C24E7"/>
    <w:rsid w:val="008C2500"/>
    <w:rsid w:val="008C2792"/>
    <w:rsid w:val="008C2CAC"/>
    <w:rsid w:val="008C3E2A"/>
    <w:rsid w:val="008C3FFC"/>
    <w:rsid w:val="008C45BD"/>
    <w:rsid w:val="008C4B19"/>
    <w:rsid w:val="008C5295"/>
    <w:rsid w:val="008C568F"/>
    <w:rsid w:val="008C5E9A"/>
    <w:rsid w:val="008C5FBE"/>
    <w:rsid w:val="008C62D4"/>
    <w:rsid w:val="008C6B89"/>
    <w:rsid w:val="008C6FF8"/>
    <w:rsid w:val="008D1519"/>
    <w:rsid w:val="008D18AA"/>
    <w:rsid w:val="008D1A16"/>
    <w:rsid w:val="008D1A2A"/>
    <w:rsid w:val="008D1B94"/>
    <w:rsid w:val="008D29B1"/>
    <w:rsid w:val="008D2EB5"/>
    <w:rsid w:val="008D35D9"/>
    <w:rsid w:val="008D36CD"/>
    <w:rsid w:val="008D3B85"/>
    <w:rsid w:val="008D4527"/>
    <w:rsid w:val="008D462D"/>
    <w:rsid w:val="008D4814"/>
    <w:rsid w:val="008D51F2"/>
    <w:rsid w:val="008D63FE"/>
    <w:rsid w:val="008D66CA"/>
    <w:rsid w:val="008D69B1"/>
    <w:rsid w:val="008D7338"/>
    <w:rsid w:val="008E0012"/>
    <w:rsid w:val="008E0DF7"/>
    <w:rsid w:val="008E0FAD"/>
    <w:rsid w:val="008E1347"/>
    <w:rsid w:val="008E16E0"/>
    <w:rsid w:val="008E1C15"/>
    <w:rsid w:val="008E1C9A"/>
    <w:rsid w:val="008E28BD"/>
    <w:rsid w:val="008E38B4"/>
    <w:rsid w:val="008E3BA4"/>
    <w:rsid w:val="008E41C4"/>
    <w:rsid w:val="008E44AB"/>
    <w:rsid w:val="008E5179"/>
    <w:rsid w:val="008E6598"/>
    <w:rsid w:val="008E6A17"/>
    <w:rsid w:val="008E7214"/>
    <w:rsid w:val="008E7348"/>
    <w:rsid w:val="008E7884"/>
    <w:rsid w:val="008E7D6E"/>
    <w:rsid w:val="008F0737"/>
    <w:rsid w:val="008F1056"/>
    <w:rsid w:val="008F2E8D"/>
    <w:rsid w:val="008F3374"/>
    <w:rsid w:val="008F35EA"/>
    <w:rsid w:val="008F387B"/>
    <w:rsid w:val="008F3DD9"/>
    <w:rsid w:val="008F4814"/>
    <w:rsid w:val="008F4B91"/>
    <w:rsid w:val="008F4DA6"/>
    <w:rsid w:val="008F51DE"/>
    <w:rsid w:val="008F538E"/>
    <w:rsid w:val="008F59B4"/>
    <w:rsid w:val="008F5A20"/>
    <w:rsid w:val="008F5ABA"/>
    <w:rsid w:val="008F60A0"/>
    <w:rsid w:val="008F6326"/>
    <w:rsid w:val="008F6CF9"/>
    <w:rsid w:val="008F7905"/>
    <w:rsid w:val="008F7989"/>
    <w:rsid w:val="00900440"/>
    <w:rsid w:val="0090134A"/>
    <w:rsid w:val="009026AF"/>
    <w:rsid w:val="009028E8"/>
    <w:rsid w:val="00902E5C"/>
    <w:rsid w:val="0090350D"/>
    <w:rsid w:val="009039EB"/>
    <w:rsid w:val="009046E5"/>
    <w:rsid w:val="0090475D"/>
    <w:rsid w:val="009047C5"/>
    <w:rsid w:val="009076DB"/>
    <w:rsid w:val="00910331"/>
    <w:rsid w:val="00910683"/>
    <w:rsid w:val="00910E00"/>
    <w:rsid w:val="009116CE"/>
    <w:rsid w:val="00911714"/>
    <w:rsid w:val="00911A5B"/>
    <w:rsid w:val="009136D4"/>
    <w:rsid w:val="00914B9A"/>
    <w:rsid w:val="00914C29"/>
    <w:rsid w:val="00914C3F"/>
    <w:rsid w:val="00914F33"/>
    <w:rsid w:val="009153F6"/>
    <w:rsid w:val="00915FCE"/>
    <w:rsid w:val="00916AFE"/>
    <w:rsid w:val="00916FC8"/>
    <w:rsid w:val="009170D3"/>
    <w:rsid w:val="0091759C"/>
    <w:rsid w:val="00917910"/>
    <w:rsid w:val="00920026"/>
    <w:rsid w:val="0092032F"/>
    <w:rsid w:val="009203E2"/>
    <w:rsid w:val="00920846"/>
    <w:rsid w:val="00921304"/>
    <w:rsid w:val="0092177A"/>
    <w:rsid w:val="00921805"/>
    <w:rsid w:val="00921BA7"/>
    <w:rsid w:val="00923396"/>
    <w:rsid w:val="00923F56"/>
    <w:rsid w:val="00923FA6"/>
    <w:rsid w:val="009246C4"/>
    <w:rsid w:val="00925743"/>
    <w:rsid w:val="0092579F"/>
    <w:rsid w:val="009271C5"/>
    <w:rsid w:val="00927E8D"/>
    <w:rsid w:val="00927F23"/>
    <w:rsid w:val="00930698"/>
    <w:rsid w:val="009307CD"/>
    <w:rsid w:val="0093138E"/>
    <w:rsid w:val="00931451"/>
    <w:rsid w:val="009314FA"/>
    <w:rsid w:val="0093194F"/>
    <w:rsid w:val="00931BF3"/>
    <w:rsid w:val="00931C55"/>
    <w:rsid w:val="00933333"/>
    <w:rsid w:val="0093349A"/>
    <w:rsid w:val="009337B2"/>
    <w:rsid w:val="00933FCB"/>
    <w:rsid w:val="00934E69"/>
    <w:rsid w:val="009367D5"/>
    <w:rsid w:val="00937401"/>
    <w:rsid w:val="00937561"/>
    <w:rsid w:val="009376FB"/>
    <w:rsid w:val="00937D6B"/>
    <w:rsid w:val="00940477"/>
    <w:rsid w:val="00940876"/>
    <w:rsid w:val="00940A53"/>
    <w:rsid w:val="00940F3C"/>
    <w:rsid w:val="00940FC1"/>
    <w:rsid w:val="009410E0"/>
    <w:rsid w:val="009440FA"/>
    <w:rsid w:val="009444B4"/>
    <w:rsid w:val="00944644"/>
    <w:rsid w:val="009449F9"/>
    <w:rsid w:val="009451CE"/>
    <w:rsid w:val="009460F9"/>
    <w:rsid w:val="00946A24"/>
    <w:rsid w:val="009470D4"/>
    <w:rsid w:val="00947337"/>
    <w:rsid w:val="00950A5B"/>
    <w:rsid w:val="009512FA"/>
    <w:rsid w:val="00951E57"/>
    <w:rsid w:val="00953018"/>
    <w:rsid w:val="009533E2"/>
    <w:rsid w:val="00953554"/>
    <w:rsid w:val="0095385A"/>
    <w:rsid w:val="00953928"/>
    <w:rsid w:val="009540F0"/>
    <w:rsid w:val="0095469A"/>
    <w:rsid w:val="00955906"/>
    <w:rsid w:val="00955978"/>
    <w:rsid w:val="00956105"/>
    <w:rsid w:val="00957010"/>
    <w:rsid w:val="009574F8"/>
    <w:rsid w:val="0095780A"/>
    <w:rsid w:val="009579E4"/>
    <w:rsid w:val="00957AA4"/>
    <w:rsid w:val="00957ACB"/>
    <w:rsid w:val="00957E21"/>
    <w:rsid w:val="00957F27"/>
    <w:rsid w:val="009609F0"/>
    <w:rsid w:val="00960BDB"/>
    <w:rsid w:val="0096147D"/>
    <w:rsid w:val="00961E5F"/>
    <w:rsid w:val="009625C6"/>
    <w:rsid w:val="009629B5"/>
    <w:rsid w:val="00962A50"/>
    <w:rsid w:val="00962E25"/>
    <w:rsid w:val="00962E33"/>
    <w:rsid w:val="00962F47"/>
    <w:rsid w:val="009631BD"/>
    <w:rsid w:val="00963729"/>
    <w:rsid w:val="00963980"/>
    <w:rsid w:val="00964138"/>
    <w:rsid w:val="00964B3F"/>
    <w:rsid w:val="00964C98"/>
    <w:rsid w:val="00964E0A"/>
    <w:rsid w:val="00966043"/>
    <w:rsid w:val="00966214"/>
    <w:rsid w:val="00967AA2"/>
    <w:rsid w:val="00971441"/>
    <w:rsid w:val="009715D4"/>
    <w:rsid w:val="00972470"/>
    <w:rsid w:val="009739A9"/>
    <w:rsid w:val="00973AA2"/>
    <w:rsid w:val="0097494E"/>
    <w:rsid w:val="00974B58"/>
    <w:rsid w:val="00975DA3"/>
    <w:rsid w:val="009761ED"/>
    <w:rsid w:val="009767A1"/>
    <w:rsid w:val="009801E7"/>
    <w:rsid w:val="0098022F"/>
    <w:rsid w:val="009810CC"/>
    <w:rsid w:val="009810DE"/>
    <w:rsid w:val="00981112"/>
    <w:rsid w:val="009816A2"/>
    <w:rsid w:val="00981D3C"/>
    <w:rsid w:val="009822D7"/>
    <w:rsid w:val="009827E6"/>
    <w:rsid w:val="00982E70"/>
    <w:rsid w:val="00982F84"/>
    <w:rsid w:val="0098427D"/>
    <w:rsid w:val="00984567"/>
    <w:rsid w:val="00985102"/>
    <w:rsid w:val="009865D5"/>
    <w:rsid w:val="009876F2"/>
    <w:rsid w:val="00987C77"/>
    <w:rsid w:val="00990345"/>
    <w:rsid w:val="00990583"/>
    <w:rsid w:val="00990701"/>
    <w:rsid w:val="0099090B"/>
    <w:rsid w:val="00990BC7"/>
    <w:rsid w:val="0099119C"/>
    <w:rsid w:val="0099137A"/>
    <w:rsid w:val="00991805"/>
    <w:rsid w:val="0099211C"/>
    <w:rsid w:val="00993B78"/>
    <w:rsid w:val="00993CD6"/>
    <w:rsid w:val="0099483A"/>
    <w:rsid w:val="00995119"/>
    <w:rsid w:val="009953AD"/>
    <w:rsid w:val="0099583D"/>
    <w:rsid w:val="00995B7C"/>
    <w:rsid w:val="00996992"/>
    <w:rsid w:val="00996B49"/>
    <w:rsid w:val="00996E1E"/>
    <w:rsid w:val="00997392"/>
    <w:rsid w:val="0099747C"/>
    <w:rsid w:val="0099771C"/>
    <w:rsid w:val="009A01E4"/>
    <w:rsid w:val="009A0917"/>
    <w:rsid w:val="009A0A33"/>
    <w:rsid w:val="009A0A35"/>
    <w:rsid w:val="009A1351"/>
    <w:rsid w:val="009A2435"/>
    <w:rsid w:val="009A3253"/>
    <w:rsid w:val="009A35DC"/>
    <w:rsid w:val="009A38AB"/>
    <w:rsid w:val="009A3CFB"/>
    <w:rsid w:val="009A3D47"/>
    <w:rsid w:val="009A4D63"/>
    <w:rsid w:val="009A5356"/>
    <w:rsid w:val="009A5468"/>
    <w:rsid w:val="009A5963"/>
    <w:rsid w:val="009A5D99"/>
    <w:rsid w:val="009A5EA3"/>
    <w:rsid w:val="009A608C"/>
    <w:rsid w:val="009A6CA7"/>
    <w:rsid w:val="009A6FDF"/>
    <w:rsid w:val="009A76D6"/>
    <w:rsid w:val="009B05A1"/>
    <w:rsid w:val="009B199E"/>
    <w:rsid w:val="009B256C"/>
    <w:rsid w:val="009B2E29"/>
    <w:rsid w:val="009B3163"/>
    <w:rsid w:val="009B422F"/>
    <w:rsid w:val="009B46BC"/>
    <w:rsid w:val="009B4D1A"/>
    <w:rsid w:val="009B558B"/>
    <w:rsid w:val="009B6801"/>
    <w:rsid w:val="009B68DD"/>
    <w:rsid w:val="009B6D21"/>
    <w:rsid w:val="009B7266"/>
    <w:rsid w:val="009B78ED"/>
    <w:rsid w:val="009C181C"/>
    <w:rsid w:val="009C1C7F"/>
    <w:rsid w:val="009C28A2"/>
    <w:rsid w:val="009C3239"/>
    <w:rsid w:val="009C3828"/>
    <w:rsid w:val="009C3D2C"/>
    <w:rsid w:val="009C4987"/>
    <w:rsid w:val="009C523F"/>
    <w:rsid w:val="009C59BF"/>
    <w:rsid w:val="009C5E4F"/>
    <w:rsid w:val="009C5F64"/>
    <w:rsid w:val="009C5F82"/>
    <w:rsid w:val="009C70F8"/>
    <w:rsid w:val="009C725E"/>
    <w:rsid w:val="009C756F"/>
    <w:rsid w:val="009C78A3"/>
    <w:rsid w:val="009D0156"/>
    <w:rsid w:val="009D05DA"/>
    <w:rsid w:val="009D0872"/>
    <w:rsid w:val="009D11F6"/>
    <w:rsid w:val="009D13B9"/>
    <w:rsid w:val="009D1A14"/>
    <w:rsid w:val="009D1E2A"/>
    <w:rsid w:val="009D1FA0"/>
    <w:rsid w:val="009D2BDF"/>
    <w:rsid w:val="009D3736"/>
    <w:rsid w:val="009D3964"/>
    <w:rsid w:val="009D40B8"/>
    <w:rsid w:val="009D4529"/>
    <w:rsid w:val="009D4B03"/>
    <w:rsid w:val="009D604F"/>
    <w:rsid w:val="009D619D"/>
    <w:rsid w:val="009D61BB"/>
    <w:rsid w:val="009D6410"/>
    <w:rsid w:val="009D65FF"/>
    <w:rsid w:val="009D66B2"/>
    <w:rsid w:val="009D68BB"/>
    <w:rsid w:val="009D6E3A"/>
    <w:rsid w:val="009D70C2"/>
    <w:rsid w:val="009D7278"/>
    <w:rsid w:val="009D773A"/>
    <w:rsid w:val="009D7ADB"/>
    <w:rsid w:val="009D7B33"/>
    <w:rsid w:val="009E0703"/>
    <w:rsid w:val="009E0E95"/>
    <w:rsid w:val="009E16DA"/>
    <w:rsid w:val="009E1CD4"/>
    <w:rsid w:val="009E20DC"/>
    <w:rsid w:val="009E2391"/>
    <w:rsid w:val="009E388C"/>
    <w:rsid w:val="009E476A"/>
    <w:rsid w:val="009E479B"/>
    <w:rsid w:val="009E4E05"/>
    <w:rsid w:val="009E56FF"/>
    <w:rsid w:val="009E5CB1"/>
    <w:rsid w:val="009E5E56"/>
    <w:rsid w:val="009E61EA"/>
    <w:rsid w:val="009E6990"/>
    <w:rsid w:val="009E6FEE"/>
    <w:rsid w:val="009F060F"/>
    <w:rsid w:val="009F0781"/>
    <w:rsid w:val="009F0850"/>
    <w:rsid w:val="009F11B2"/>
    <w:rsid w:val="009F18A4"/>
    <w:rsid w:val="009F1BDF"/>
    <w:rsid w:val="009F1EAE"/>
    <w:rsid w:val="009F2730"/>
    <w:rsid w:val="009F29A5"/>
    <w:rsid w:val="009F369D"/>
    <w:rsid w:val="009F36FE"/>
    <w:rsid w:val="009F46A9"/>
    <w:rsid w:val="009F4F25"/>
    <w:rsid w:val="009F59C2"/>
    <w:rsid w:val="009F61DE"/>
    <w:rsid w:val="009F7263"/>
    <w:rsid w:val="009F72F3"/>
    <w:rsid w:val="009F76EA"/>
    <w:rsid w:val="009F78EB"/>
    <w:rsid w:val="009F7F32"/>
    <w:rsid w:val="009F7FEB"/>
    <w:rsid w:val="00A01852"/>
    <w:rsid w:val="00A0188B"/>
    <w:rsid w:val="00A01E73"/>
    <w:rsid w:val="00A023E7"/>
    <w:rsid w:val="00A02B88"/>
    <w:rsid w:val="00A03160"/>
    <w:rsid w:val="00A036AC"/>
    <w:rsid w:val="00A03C54"/>
    <w:rsid w:val="00A041BC"/>
    <w:rsid w:val="00A0447F"/>
    <w:rsid w:val="00A046D2"/>
    <w:rsid w:val="00A04A54"/>
    <w:rsid w:val="00A05B4B"/>
    <w:rsid w:val="00A066C3"/>
    <w:rsid w:val="00A06754"/>
    <w:rsid w:val="00A06942"/>
    <w:rsid w:val="00A069E0"/>
    <w:rsid w:val="00A06E4A"/>
    <w:rsid w:val="00A078FB"/>
    <w:rsid w:val="00A1036D"/>
    <w:rsid w:val="00A1069F"/>
    <w:rsid w:val="00A10919"/>
    <w:rsid w:val="00A10ACA"/>
    <w:rsid w:val="00A10D04"/>
    <w:rsid w:val="00A10D08"/>
    <w:rsid w:val="00A12355"/>
    <w:rsid w:val="00A12384"/>
    <w:rsid w:val="00A127A3"/>
    <w:rsid w:val="00A127D2"/>
    <w:rsid w:val="00A12ADA"/>
    <w:rsid w:val="00A143EC"/>
    <w:rsid w:val="00A14A60"/>
    <w:rsid w:val="00A1500F"/>
    <w:rsid w:val="00A15621"/>
    <w:rsid w:val="00A15670"/>
    <w:rsid w:val="00A157A0"/>
    <w:rsid w:val="00A1585B"/>
    <w:rsid w:val="00A15C19"/>
    <w:rsid w:val="00A16809"/>
    <w:rsid w:val="00A17769"/>
    <w:rsid w:val="00A17EA2"/>
    <w:rsid w:val="00A20264"/>
    <w:rsid w:val="00A20997"/>
    <w:rsid w:val="00A21454"/>
    <w:rsid w:val="00A22025"/>
    <w:rsid w:val="00A22498"/>
    <w:rsid w:val="00A22571"/>
    <w:rsid w:val="00A23023"/>
    <w:rsid w:val="00A23295"/>
    <w:rsid w:val="00A23A08"/>
    <w:rsid w:val="00A24560"/>
    <w:rsid w:val="00A25B0F"/>
    <w:rsid w:val="00A25BBB"/>
    <w:rsid w:val="00A25F8E"/>
    <w:rsid w:val="00A27F18"/>
    <w:rsid w:val="00A27FB6"/>
    <w:rsid w:val="00A30121"/>
    <w:rsid w:val="00A301D9"/>
    <w:rsid w:val="00A30368"/>
    <w:rsid w:val="00A3043A"/>
    <w:rsid w:val="00A30E02"/>
    <w:rsid w:val="00A30F6A"/>
    <w:rsid w:val="00A31BA2"/>
    <w:rsid w:val="00A31C3E"/>
    <w:rsid w:val="00A33B26"/>
    <w:rsid w:val="00A34538"/>
    <w:rsid w:val="00A34677"/>
    <w:rsid w:val="00A34BA0"/>
    <w:rsid w:val="00A35180"/>
    <w:rsid w:val="00A35304"/>
    <w:rsid w:val="00A3540F"/>
    <w:rsid w:val="00A35630"/>
    <w:rsid w:val="00A35914"/>
    <w:rsid w:val="00A36189"/>
    <w:rsid w:val="00A3622F"/>
    <w:rsid w:val="00A37E73"/>
    <w:rsid w:val="00A37FB6"/>
    <w:rsid w:val="00A4006F"/>
    <w:rsid w:val="00A4104A"/>
    <w:rsid w:val="00A41081"/>
    <w:rsid w:val="00A411CA"/>
    <w:rsid w:val="00A413AD"/>
    <w:rsid w:val="00A4169F"/>
    <w:rsid w:val="00A42096"/>
    <w:rsid w:val="00A421E7"/>
    <w:rsid w:val="00A426F3"/>
    <w:rsid w:val="00A42FDF"/>
    <w:rsid w:val="00A430A9"/>
    <w:rsid w:val="00A431FE"/>
    <w:rsid w:val="00A439E5"/>
    <w:rsid w:val="00A43D1B"/>
    <w:rsid w:val="00A4497A"/>
    <w:rsid w:val="00A44BE8"/>
    <w:rsid w:val="00A44C96"/>
    <w:rsid w:val="00A44F54"/>
    <w:rsid w:val="00A45F9B"/>
    <w:rsid w:val="00A461BF"/>
    <w:rsid w:val="00A46574"/>
    <w:rsid w:val="00A4657A"/>
    <w:rsid w:val="00A467C4"/>
    <w:rsid w:val="00A4777D"/>
    <w:rsid w:val="00A500B1"/>
    <w:rsid w:val="00A50623"/>
    <w:rsid w:val="00A51520"/>
    <w:rsid w:val="00A5292D"/>
    <w:rsid w:val="00A52D3F"/>
    <w:rsid w:val="00A52EE5"/>
    <w:rsid w:val="00A53037"/>
    <w:rsid w:val="00A532B9"/>
    <w:rsid w:val="00A5351D"/>
    <w:rsid w:val="00A53D84"/>
    <w:rsid w:val="00A53E79"/>
    <w:rsid w:val="00A54031"/>
    <w:rsid w:val="00A5426D"/>
    <w:rsid w:val="00A54FC2"/>
    <w:rsid w:val="00A55122"/>
    <w:rsid w:val="00A5696C"/>
    <w:rsid w:val="00A56DE7"/>
    <w:rsid w:val="00A57EB2"/>
    <w:rsid w:val="00A6009E"/>
    <w:rsid w:val="00A602F2"/>
    <w:rsid w:val="00A60762"/>
    <w:rsid w:val="00A60B1F"/>
    <w:rsid w:val="00A61C60"/>
    <w:rsid w:val="00A62589"/>
    <w:rsid w:val="00A62C3A"/>
    <w:rsid w:val="00A63812"/>
    <w:rsid w:val="00A63DF7"/>
    <w:rsid w:val="00A64505"/>
    <w:rsid w:val="00A668BA"/>
    <w:rsid w:val="00A66960"/>
    <w:rsid w:val="00A669AB"/>
    <w:rsid w:val="00A66FA7"/>
    <w:rsid w:val="00A677F6"/>
    <w:rsid w:val="00A67E16"/>
    <w:rsid w:val="00A703CC"/>
    <w:rsid w:val="00A70C5C"/>
    <w:rsid w:val="00A71EA7"/>
    <w:rsid w:val="00A730AD"/>
    <w:rsid w:val="00A733D2"/>
    <w:rsid w:val="00A73855"/>
    <w:rsid w:val="00A73D64"/>
    <w:rsid w:val="00A73FEA"/>
    <w:rsid w:val="00A74216"/>
    <w:rsid w:val="00A744B4"/>
    <w:rsid w:val="00A7495B"/>
    <w:rsid w:val="00A74D61"/>
    <w:rsid w:val="00A74DDF"/>
    <w:rsid w:val="00A751E3"/>
    <w:rsid w:val="00A75504"/>
    <w:rsid w:val="00A756BC"/>
    <w:rsid w:val="00A75CD9"/>
    <w:rsid w:val="00A76438"/>
    <w:rsid w:val="00A77168"/>
    <w:rsid w:val="00A7723B"/>
    <w:rsid w:val="00A77525"/>
    <w:rsid w:val="00A7793C"/>
    <w:rsid w:val="00A77D21"/>
    <w:rsid w:val="00A80085"/>
    <w:rsid w:val="00A8043B"/>
    <w:rsid w:val="00A804B8"/>
    <w:rsid w:val="00A8119D"/>
    <w:rsid w:val="00A81323"/>
    <w:rsid w:val="00A81AC0"/>
    <w:rsid w:val="00A820CB"/>
    <w:rsid w:val="00A82342"/>
    <w:rsid w:val="00A83760"/>
    <w:rsid w:val="00A83BEF"/>
    <w:rsid w:val="00A841E1"/>
    <w:rsid w:val="00A84443"/>
    <w:rsid w:val="00A845CC"/>
    <w:rsid w:val="00A8487F"/>
    <w:rsid w:val="00A848FC"/>
    <w:rsid w:val="00A849A3"/>
    <w:rsid w:val="00A84A0E"/>
    <w:rsid w:val="00A84D7C"/>
    <w:rsid w:val="00A851FD"/>
    <w:rsid w:val="00A86E0B"/>
    <w:rsid w:val="00A9069B"/>
    <w:rsid w:val="00A90F12"/>
    <w:rsid w:val="00A91382"/>
    <w:rsid w:val="00A9208E"/>
    <w:rsid w:val="00A93101"/>
    <w:rsid w:val="00A94293"/>
    <w:rsid w:val="00A94760"/>
    <w:rsid w:val="00A9496E"/>
    <w:rsid w:val="00A949F0"/>
    <w:rsid w:val="00A94BDE"/>
    <w:rsid w:val="00A94FCA"/>
    <w:rsid w:val="00A95E4C"/>
    <w:rsid w:val="00A96C60"/>
    <w:rsid w:val="00A97223"/>
    <w:rsid w:val="00A9740B"/>
    <w:rsid w:val="00A9766C"/>
    <w:rsid w:val="00A977F8"/>
    <w:rsid w:val="00A97C93"/>
    <w:rsid w:val="00AA08E7"/>
    <w:rsid w:val="00AA0A06"/>
    <w:rsid w:val="00AA1351"/>
    <w:rsid w:val="00AA1859"/>
    <w:rsid w:val="00AA1C84"/>
    <w:rsid w:val="00AA3D7B"/>
    <w:rsid w:val="00AA42A0"/>
    <w:rsid w:val="00AA442B"/>
    <w:rsid w:val="00AA46A4"/>
    <w:rsid w:val="00AA5687"/>
    <w:rsid w:val="00AA5779"/>
    <w:rsid w:val="00AA58A1"/>
    <w:rsid w:val="00AA61C7"/>
    <w:rsid w:val="00AA669D"/>
    <w:rsid w:val="00AA66ED"/>
    <w:rsid w:val="00AA6BE1"/>
    <w:rsid w:val="00AA7416"/>
    <w:rsid w:val="00AA7A60"/>
    <w:rsid w:val="00AA7B42"/>
    <w:rsid w:val="00AB041C"/>
    <w:rsid w:val="00AB14E8"/>
    <w:rsid w:val="00AB17EC"/>
    <w:rsid w:val="00AB19AF"/>
    <w:rsid w:val="00AB1B1D"/>
    <w:rsid w:val="00AB2080"/>
    <w:rsid w:val="00AB2216"/>
    <w:rsid w:val="00AB2C0A"/>
    <w:rsid w:val="00AB33A8"/>
    <w:rsid w:val="00AB358D"/>
    <w:rsid w:val="00AB3704"/>
    <w:rsid w:val="00AB37A1"/>
    <w:rsid w:val="00AB3BAD"/>
    <w:rsid w:val="00AB3CFD"/>
    <w:rsid w:val="00AB40C6"/>
    <w:rsid w:val="00AB49BC"/>
    <w:rsid w:val="00AB4DEE"/>
    <w:rsid w:val="00AB4E32"/>
    <w:rsid w:val="00AB579A"/>
    <w:rsid w:val="00AB5DB2"/>
    <w:rsid w:val="00AB724B"/>
    <w:rsid w:val="00AB726C"/>
    <w:rsid w:val="00AB72B4"/>
    <w:rsid w:val="00AB7A07"/>
    <w:rsid w:val="00AC01FD"/>
    <w:rsid w:val="00AC02AA"/>
    <w:rsid w:val="00AC0537"/>
    <w:rsid w:val="00AC0A84"/>
    <w:rsid w:val="00AC0D2E"/>
    <w:rsid w:val="00AC229B"/>
    <w:rsid w:val="00AC2A0B"/>
    <w:rsid w:val="00AC2BEC"/>
    <w:rsid w:val="00AC2BEE"/>
    <w:rsid w:val="00AC2E53"/>
    <w:rsid w:val="00AC484F"/>
    <w:rsid w:val="00AC4A42"/>
    <w:rsid w:val="00AC4B20"/>
    <w:rsid w:val="00AC4D8F"/>
    <w:rsid w:val="00AC56F2"/>
    <w:rsid w:val="00AC5B83"/>
    <w:rsid w:val="00AC6886"/>
    <w:rsid w:val="00AC71C3"/>
    <w:rsid w:val="00AD0DA5"/>
    <w:rsid w:val="00AD1499"/>
    <w:rsid w:val="00AD1A7F"/>
    <w:rsid w:val="00AD1C45"/>
    <w:rsid w:val="00AD1EFA"/>
    <w:rsid w:val="00AD2072"/>
    <w:rsid w:val="00AD2165"/>
    <w:rsid w:val="00AD2808"/>
    <w:rsid w:val="00AD2DBD"/>
    <w:rsid w:val="00AD2FBF"/>
    <w:rsid w:val="00AD3693"/>
    <w:rsid w:val="00AD416B"/>
    <w:rsid w:val="00AD455D"/>
    <w:rsid w:val="00AD463C"/>
    <w:rsid w:val="00AD46A2"/>
    <w:rsid w:val="00AD47E8"/>
    <w:rsid w:val="00AD4F60"/>
    <w:rsid w:val="00AD5044"/>
    <w:rsid w:val="00AD5114"/>
    <w:rsid w:val="00AD6236"/>
    <w:rsid w:val="00AD7619"/>
    <w:rsid w:val="00AD7770"/>
    <w:rsid w:val="00AE02C4"/>
    <w:rsid w:val="00AE0D1C"/>
    <w:rsid w:val="00AE1772"/>
    <w:rsid w:val="00AE1990"/>
    <w:rsid w:val="00AE2523"/>
    <w:rsid w:val="00AE25E8"/>
    <w:rsid w:val="00AE2AD4"/>
    <w:rsid w:val="00AE2CA7"/>
    <w:rsid w:val="00AE2F1D"/>
    <w:rsid w:val="00AE4B2B"/>
    <w:rsid w:val="00AE586F"/>
    <w:rsid w:val="00AE5A78"/>
    <w:rsid w:val="00AE6582"/>
    <w:rsid w:val="00AE6DC5"/>
    <w:rsid w:val="00AE7686"/>
    <w:rsid w:val="00AE799A"/>
    <w:rsid w:val="00AF078E"/>
    <w:rsid w:val="00AF0E81"/>
    <w:rsid w:val="00AF117A"/>
    <w:rsid w:val="00AF186E"/>
    <w:rsid w:val="00AF19DF"/>
    <w:rsid w:val="00AF1F4F"/>
    <w:rsid w:val="00AF26CF"/>
    <w:rsid w:val="00AF4E92"/>
    <w:rsid w:val="00AF554B"/>
    <w:rsid w:val="00AF5C9B"/>
    <w:rsid w:val="00AF5D53"/>
    <w:rsid w:val="00AF5E2D"/>
    <w:rsid w:val="00AF644B"/>
    <w:rsid w:val="00AF6CA6"/>
    <w:rsid w:val="00AF6EB6"/>
    <w:rsid w:val="00AF736E"/>
    <w:rsid w:val="00AF7796"/>
    <w:rsid w:val="00B011A9"/>
    <w:rsid w:val="00B024ED"/>
    <w:rsid w:val="00B02EB3"/>
    <w:rsid w:val="00B02FCB"/>
    <w:rsid w:val="00B03000"/>
    <w:rsid w:val="00B033F8"/>
    <w:rsid w:val="00B03C1E"/>
    <w:rsid w:val="00B04400"/>
    <w:rsid w:val="00B04835"/>
    <w:rsid w:val="00B05A55"/>
    <w:rsid w:val="00B05DE1"/>
    <w:rsid w:val="00B06595"/>
    <w:rsid w:val="00B06BFD"/>
    <w:rsid w:val="00B10109"/>
    <w:rsid w:val="00B1085E"/>
    <w:rsid w:val="00B10FD0"/>
    <w:rsid w:val="00B10FD1"/>
    <w:rsid w:val="00B11896"/>
    <w:rsid w:val="00B11CE3"/>
    <w:rsid w:val="00B12735"/>
    <w:rsid w:val="00B129C6"/>
    <w:rsid w:val="00B131C4"/>
    <w:rsid w:val="00B13386"/>
    <w:rsid w:val="00B1351F"/>
    <w:rsid w:val="00B13533"/>
    <w:rsid w:val="00B13C48"/>
    <w:rsid w:val="00B13E35"/>
    <w:rsid w:val="00B13EC0"/>
    <w:rsid w:val="00B14102"/>
    <w:rsid w:val="00B14BFB"/>
    <w:rsid w:val="00B14D32"/>
    <w:rsid w:val="00B1557C"/>
    <w:rsid w:val="00B155DC"/>
    <w:rsid w:val="00B15766"/>
    <w:rsid w:val="00B158F6"/>
    <w:rsid w:val="00B159AA"/>
    <w:rsid w:val="00B1666A"/>
    <w:rsid w:val="00B1686D"/>
    <w:rsid w:val="00B17037"/>
    <w:rsid w:val="00B1741D"/>
    <w:rsid w:val="00B17447"/>
    <w:rsid w:val="00B17563"/>
    <w:rsid w:val="00B1771D"/>
    <w:rsid w:val="00B179BC"/>
    <w:rsid w:val="00B17B91"/>
    <w:rsid w:val="00B20209"/>
    <w:rsid w:val="00B203AF"/>
    <w:rsid w:val="00B203C9"/>
    <w:rsid w:val="00B2088D"/>
    <w:rsid w:val="00B208FF"/>
    <w:rsid w:val="00B20921"/>
    <w:rsid w:val="00B228D1"/>
    <w:rsid w:val="00B22C58"/>
    <w:rsid w:val="00B22E22"/>
    <w:rsid w:val="00B22F5F"/>
    <w:rsid w:val="00B23813"/>
    <w:rsid w:val="00B23FD9"/>
    <w:rsid w:val="00B24591"/>
    <w:rsid w:val="00B245D5"/>
    <w:rsid w:val="00B24C36"/>
    <w:rsid w:val="00B24F94"/>
    <w:rsid w:val="00B25126"/>
    <w:rsid w:val="00B25A52"/>
    <w:rsid w:val="00B25B0A"/>
    <w:rsid w:val="00B25F33"/>
    <w:rsid w:val="00B25FC3"/>
    <w:rsid w:val="00B26CC4"/>
    <w:rsid w:val="00B27026"/>
    <w:rsid w:val="00B27875"/>
    <w:rsid w:val="00B27FED"/>
    <w:rsid w:val="00B3008D"/>
    <w:rsid w:val="00B309C9"/>
    <w:rsid w:val="00B30E11"/>
    <w:rsid w:val="00B30EEB"/>
    <w:rsid w:val="00B30FD0"/>
    <w:rsid w:val="00B31423"/>
    <w:rsid w:val="00B3149E"/>
    <w:rsid w:val="00B31710"/>
    <w:rsid w:val="00B323E0"/>
    <w:rsid w:val="00B32DC0"/>
    <w:rsid w:val="00B3346C"/>
    <w:rsid w:val="00B335E4"/>
    <w:rsid w:val="00B33C23"/>
    <w:rsid w:val="00B345B4"/>
    <w:rsid w:val="00B348B1"/>
    <w:rsid w:val="00B34A28"/>
    <w:rsid w:val="00B34C35"/>
    <w:rsid w:val="00B34EB2"/>
    <w:rsid w:val="00B35046"/>
    <w:rsid w:val="00B355C9"/>
    <w:rsid w:val="00B35B6A"/>
    <w:rsid w:val="00B36D46"/>
    <w:rsid w:val="00B37657"/>
    <w:rsid w:val="00B37AFD"/>
    <w:rsid w:val="00B37B07"/>
    <w:rsid w:val="00B4046F"/>
    <w:rsid w:val="00B40B2B"/>
    <w:rsid w:val="00B40B47"/>
    <w:rsid w:val="00B41D39"/>
    <w:rsid w:val="00B422C0"/>
    <w:rsid w:val="00B426CA"/>
    <w:rsid w:val="00B426E1"/>
    <w:rsid w:val="00B4298E"/>
    <w:rsid w:val="00B437F8"/>
    <w:rsid w:val="00B4387A"/>
    <w:rsid w:val="00B44260"/>
    <w:rsid w:val="00B44556"/>
    <w:rsid w:val="00B44746"/>
    <w:rsid w:val="00B44854"/>
    <w:rsid w:val="00B44BDA"/>
    <w:rsid w:val="00B458D0"/>
    <w:rsid w:val="00B46120"/>
    <w:rsid w:val="00B4792C"/>
    <w:rsid w:val="00B505B5"/>
    <w:rsid w:val="00B50CAE"/>
    <w:rsid w:val="00B512AD"/>
    <w:rsid w:val="00B5196C"/>
    <w:rsid w:val="00B525CB"/>
    <w:rsid w:val="00B52697"/>
    <w:rsid w:val="00B53E7C"/>
    <w:rsid w:val="00B542D7"/>
    <w:rsid w:val="00B54D8F"/>
    <w:rsid w:val="00B55857"/>
    <w:rsid w:val="00B55C69"/>
    <w:rsid w:val="00B56851"/>
    <w:rsid w:val="00B56D57"/>
    <w:rsid w:val="00B56D6E"/>
    <w:rsid w:val="00B572F7"/>
    <w:rsid w:val="00B57B9D"/>
    <w:rsid w:val="00B57DAF"/>
    <w:rsid w:val="00B60094"/>
    <w:rsid w:val="00B6022C"/>
    <w:rsid w:val="00B614F8"/>
    <w:rsid w:val="00B616B5"/>
    <w:rsid w:val="00B61994"/>
    <w:rsid w:val="00B61FD4"/>
    <w:rsid w:val="00B62880"/>
    <w:rsid w:val="00B63872"/>
    <w:rsid w:val="00B63CB2"/>
    <w:rsid w:val="00B63F51"/>
    <w:rsid w:val="00B6416D"/>
    <w:rsid w:val="00B64246"/>
    <w:rsid w:val="00B64EDB"/>
    <w:rsid w:val="00B65379"/>
    <w:rsid w:val="00B654D3"/>
    <w:rsid w:val="00B65938"/>
    <w:rsid w:val="00B65C8A"/>
    <w:rsid w:val="00B65CE2"/>
    <w:rsid w:val="00B65CED"/>
    <w:rsid w:val="00B660AD"/>
    <w:rsid w:val="00B66109"/>
    <w:rsid w:val="00B66349"/>
    <w:rsid w:val="00B67630"/>
    <w:rsid w:val="00B67E37"/>
    <w:rsid w:val="00B67FBF"/>
    <w:rsid w:val="00B7024E"/>
    <w:rsid w:val="00B71FA7"/>
    <w:rsid w:val="00B72110"/>
    <w:rsid w:val="00B72608"/>
    <w:rsid w:val="00B72B91"/>
    <w:rsid w:val="00B73019"/>
    <w:rsid w:val="00B7315F"/>
    <w:rsid w:val="00B7323A"/>
    <w:rsid w:val="00B73356"/>
    <w:rsid w:val="00B7353B"/>
    <w:rsid w:val="00B7358A"/>
    <w:rsid w:val="00B737FB"/>
    <w:rsid w:val="00B7423D"/>
    <w:rsid w:val="00B74605"/>
    <w:rsid w:val="00B74A8A"/>
    <w:rsid w:val="00B74D05"/>
    <w:rsid w:val="00B777FA"/>
    <w:rsid w:val="00B77850"/>
    <w:rsid w:val="00B7796B"/>
    <w:rsid w:val="00B77A14"/>
    <w:rsid w:val="00B801CE"/>
    <w:rsid w:val="00B80C72"/>
    <w:rsid w:val="00B81964"/>
    <w:rsid w:val="00B81E6F"/>
    <w:rsid w:val="00B82012"/>
    <w:rsid w:val="00B82121"/>
    <w:rsid w:val="00B82123"/>
    <w:rsid w:val="00B8225B"/>
    <w:rsid w:val="00B82BB5"/>
    <w:rsid w:val="00B83182"/>
    <w:rsid w:val="00B833E0"/>
    <w:rsid w:val="00B84684"/>
    <w:rsid w:val="00B848DF"/>
    <w:rsid w:val="00B851E4"/>
    <w:rsid w:val="00B854CE"/>
    <w:rsid w:val="00B85681"/>
    <w:rsid w:val="00B857EB"/>
    <w:rsid w:val="00B86162"/>
    <w:rsid w:val="00B86877"/>
    <w:rsid w:val="00B8695D"/>
    <w:rsid w:val="00B86D58"/>
    <w:rsid w:val="00B86E66"/>
    <w:rsid w:val="00B873BA"/>
    <w:rsid w:val="00B8746F"/>
    <w:rsid w:val="00B8760D"/>
    <w:rsid w:val="00B87706"/>
    <w:rsid w:val="00B87F98"/>
    <w:rsid w:val="00B90A49"/>
    <w:rsid w:val="00B90C2B"/>
    <w:rsid w:val="00B90E5C"/>
    <w:rsid w:val="00B910A5"/>
    <w:rsid w:val="00B91B8E"/>
    <w:rsid w:val="00B91E13"/>
    <w:rsid w:val="00B92531"/>
    <w:rsid w:val="00B92618"/>
    <w:rsid w:val="00B92751"/>
    <w:rsid w:val="00B92B69"/>
    <w:rsid w:val="00B92CC6"/>
    <w:rsid w:val="00B935C9"/>
    <w:rsid w:val="00B93E3D"/>
    <w:rsid w:val="00B94033"/>
    <w:rsid w:val="00B942FC"/>
    <w:rsid w:val="00B95018"/>
    <w:rsid w:val="00B95464"/>
    <w:rsid w:val="00B956DC"/>
    <w:rsid w:val="00B95C30"/>
    <w:rsid w:val="00B95D38"/>
    <w:rsid w:val="00B95E3D"/>
    <w:rsid w:val="00B95F7F"/>
    <w:rsid w:val="00B9691F"/>
    <w:rsid w:val="00B969E0"/>
    <w:rsid w:val="00B96EEC"/>
    <w:rsid w:val="00B97392"/>
    <w:rsid w:val="00B973C6"/>
    <w:rsid w:val="00B97691"/>
    <w:rsid w:val="00B976C7"/>
    <w:rsid w:val="00BA0A87"/>
    <w:rsid w:val="00BA0C54"/>
    <w:rsid w:val="00BA1178"/>
    <w:rsid w:val="00BA1382"/>
    <w:rsid w:val="00BA1EFD"/>
    <w:rsid w:val="00BA20D8"/>
    <w:rsid w:val="00BA22FC"/>
    <w:rsid w:val="00BA2F30"/>
    <w:rsid w:val="00BA4771"/>
    <w:rsid w:val="00BA4DA4"/>
    <w:rsid w:val="00BA5027"/>
    <w:rsid w:val="00BA665B"/>
    <w:rsid w:val="00BA7370"/>
    <w:rsid w:val="00BA778B"/>
    <w:rsid w:val="00BA79B8"/>
    <w:rsid w:val="00BB0888"/>
    <w:rsid w:val="00BB0DF1"/>
    <w:rsid w:val="00BB0E9B"/>
    <w:rsid w:val="00BB2729"/>
    <w:rsid w:val="00BB2841"/>
    <w:rsid w:val="00BB300F"/>
    <w:rsid w:val="00BB32C9"/>
    <w:rsid w:val="00BB35C5"/>
    <w:rsid w:val="00BB43A7"/>
    <w:rsid w:val="00BB47D0"/>
    <w:rsid w:val="00BB4C8E"/>
    <w:rsid w:val="00BB57ED"/>
    <w:rsid w:val="00BB65C3"/>
    <w:rsid w:val="00BB662E"/>
    <w:rsid w:val="00BB67A9"/>
    <w:rsid w:val="00BB6C01"/>
    <w:rsid w:val="00BB7942"/>
    <w:rsid w:val="00BB7BA6"/>
    <w:rsid w:val="00BB7CD1"/>
    <w:rsid w:val="00BC0F33"/>
    <w:rsid w:val="00BC14A7"/>
    <w:rsid w:val="00BC1611"/>
    <w:rsid w:val="00BC1632"/>
    <w:rsid w:val="00BC17CC"/>
    <w:rsid w:val="00BC229E"/>
    <w:rsid w:val="00BC2898"/>
    <w:rsid w:val="00BC2928"/>
    <w:rsid w:val="00BC2AA9"/>
    <w:rsid w:val="00BC2BB1"/>
    <w:rsid w:val="00BC2F4D"/>
    <w:rsid w:val="00BC34A3"/>
    <w:rsid w:val="00BC3FF9"/>
    <w:rsid w:val="00BC4834"/>
    <w:rsid w:val="00BC4A97"/>
    <w:rsid w:val="00BC5A25"/>
    <w:rsid w:val="00BC5FDD"/>
    <w:rsid w:val="00BC68B4"/>
    <w:rsid w:val="00BC68C8"/>
    <w:rsid w:val="00BC6C2D"/>
    <w:rsid w:val="00BC7B9A"/>
    <w:rsid w:val="00BD00A9"/>
    <w:rsid w:val="00BD0140"/>
    <w:rsid w:val="00BD02CC"/>
    <w:rsid w:val="00BD09A7"/>
    <w:rsid w:val="00BD1675"/>
    <w:rsid w:val="00BD2063"/>
    <w:rsid w:val="00BD2B38"/>
    <w:rsid w:val="00BD33D9"/>
    <w:rsid w:val="00BD38C5"/>
    <w:rsid w:val="00BD3A59"/>
    <w:rsid w:val="00BD3B06"/>
    <w:rsid w:val="00BD3C3D"/>
    <w:rsid w:val="00BD3CF1"/>
    <w:rsid w:val="00BD3DEA"/>
    <w:rsid w:val="00BD3E97"/>
    <w:rsid w:val="00BD40E4"/>
    <w:rsid w:val="00BD4563"/>
    <w:rsid w:val="00BD52FE"/>
    <w:rsid w:val="00BD62CF"/>
    <w:rsid w:val="00BD63BA"/>
    <w:rsid w:val="00BD67B2"/>
    <w:rsid w:val="00BD6A07"/>
    <w:rsid w:val="00BD78AB"/>
    <w:rsid w:val="00BD78FE"/>
    <w:rsid w:val="00BD7A91"/>
    <w:rsid w:val="00BE0149"/>
    <w:rsid w:val="00BE0767"/>
    <w:rsid w:val="00BE0F49"/>
    <w:rsid w:val="00BE12D7"/>
    <w:rsid w:val="00BE1372"/>
    <w:rsid w:val="00BE1775"/>
    <w:rsid w:val="00BE17A2"/>
    <w:rsid w:val="00BE18DA"/>
    <w:rsid w:val="00BE26C0"/>
    <w:rsid w:val="00BE3442"/>
    <w:rsid w:val="00BE39F5"/>
    <w:rsid w:val="00BE45DF"/>
    <w:rsid w:val="00BE47B2"/>
    <w:rsid w:val="00BE48C7"/>
    <w:rsid w:val="00BE4F66"/>
    <w:rsid w:val="00BE4F8C"/>
    <w:rsid w:val="00BE5238"/>
    <w:rsid w:val="00BE5D35"/>
    <w:rsid w:val="00BE6074"/>
    <w:rsid w:val="00BE67A2"/>
    <w:rsid w:val="00BE7257"/>
    <w:rsid w:val="00BF020D"/>
    <w:rsid w:val="00BF1DD2"/>
    <w:rsid w:val="00BF23A3"/>
    <w:rsid w:val="00BF28DB"/>
    <w:rsid w:val="00BF2A7E"/>
    <w:rsid w:val="00BF3331"/>
    <w:rsid w:val="00BF3A45"/>
    <w:rsid w:val="00BF436F"/>
    <w:rsid w:val="00BF4EC5"/>
    <w:rsid w:val="00BF5723"/>
    <w:rsid w:val="00BF5C05"/>
    <w:rsid w:val="00BF60C8"/>
    <w:rsid w:val="00BF6FC6"/>
    <w:rsid w:val="00BF73E1"/>
    <w:rsid w:val="00BF7C52"/>
    <w:rsid w:val="00BF7F99"/>
    <w:rsid w:val="00C00713"/>
    <w:rsid w:val="00C009A0"/>
    <w:rsid w:val="00C00C0C"/>
    <w:rsid w:val="00C018B2"/>
    <w:rsid w:val="00C01F74"/>
    <w:rsid w:val="00C02558"/>
    <w:rsid w:val="00C0285F"/>
    <w:rsid w:val="00C02F35"/>
    <w:rsid w:val="00C03305"/>
    <w:rsid w:val="00C03515"/>
    <w:rsid w:val="00C03738"/>
    <w:rsid w:val="00C037A6"/>
    <w:rsid w:val="00C043F5"/>
    <w:rsid w:val="00C044E3"/>
    <w:rsid w:val="00C047A8"/>
    <w:rsid w:val="00C04BDB"/>
    <w:rsid w:val="00C052C6"/>
    <w:rsid w:val="00C059D4"/>
    <w:rsid w:val="00C05A61"/>
    <w:rsid w:val="00C06CCF"/>
    <w:rsid w:val="00C07388"/>
    <w:rsid w:val="00C108B8"/>
    <w:rsid w:val="00C11503"/>
    <w:rsid w:val="00C1159D"/>
    <w:rsid w:val="00C11683"/>
    <w:rsid w:val="00C11798"/>
    <w:rsid w:val="00C118DB"/>
    <w:rsid w:val="00C1233E"/>
    <w:rsid w:val="00C125C1"/>
    <w:rsid w:val="00C12F05"/>
    <w:rsid w:val="00C12FB3"/>
    <w:rsid w:val="00C138BC"/>
    <w:rsid w:val="00C13D85"/>
    <w:rsid w:val="00C14173"/>
    <w:rsid w:val="00C14639"/>
    <w:rsid w:val="00C14E82"/>
    <w:rsid w:val="00C14FF6"/>
    <w:rsid w:val="00C150A6"/>
    <w:rsid w:val="00C15A85"/>
    <w:rsid w:val="00C1641B"/>
    <w:rsid w:val="00C165FC"/>
    <w:rsid w:val="00C176D5"/>
    <w:rsid w:val="00C2082C"/>
    <w:rsid w:val="00C20832"/>
    <w:rsid w:val="00C20EB0"/>
    <w:rsid w:val="00C21005"/>
    <w:rsid w:val="00C2183B"/>
    <w:rsid w:val="00C220B6"/>
    <w:rsid w:val="00C22D7C"/>
    <w:rsid w:val="00C22DDE"/>
    <w:rsid w:val="00C2338B"/>
    <w:rsid w:val="00C233CE"/>
    <w:rsid w:val="00C235C1"/>
    <w:rsid w:val="00C23661"/>
    <w:rsid w:val="00C236AE"/>
    <w:rsid w:val="00C237DD"/>
    <w:rsid w:val="00C238F4"/>
    <w:rsid w:val="00C23A99"/>
    <w:rsid w:val="00C23B96"/>
    <w:rsid w:val="00C245EE"/>
    <w:rsid w:val="00C24AE1"/>
    <w:rsid w:val="00C24B8D"/>
    <w:rsid w:val="00C24BD7"/>
    <w:rsid w:val="00C252CC"/>
    <w:rsid w:val="00C25813"/>
    <w:rsid w:val="00C27143"/>
    <w:rsid w:val="00C27490"/>
    <w:rsid w:val="00C27A55"/>
    <w:rsid w:val="00C27AFC"/>
    <w:rsid w:val="00C27D37"/>
    <w:rsid w:val="00C27FB2"/>
    <w:rsid w:val="00C302E5"/>
    <w:rsid w:val="00C309E8"/>
    <w:rsid w:val="00C30E37"/>
    <w:rsid w:val="00C32017"/>
    <w:rsid w:val="00C3238B"/>
    <w:rsid w:val="00C325CD"/>
    <w:rsid w:val="00C3322E"/>
    <w:rsid w:val="00C337F5"/>
    <w:rsid w:val="00C33B90"/>
    <w:rsid w:val="00C34350"/>
    <w:rsid w:val="00C34B5F"/>
    <w:rsid w:val="00C3543E"/>
    <w:rsid w:val="00C358D4"/>
    <w:rsid w:val="00C35E2D"/>
    <w:rsid w:val="00C36785"/>
    <w:rsid w:val="00C36845"/>
    <w:rsid w:val="00C3711C"/>
    <w:rsid w:val="00C37256"/>
    <w:rsid w:val="00C37A7B"/>
    <w:rsid w:val="00C37CFF"/>
    <w:rsid w:val="00C37FFE"/>
    <w:rsid w:val="00C40B50"/>
    <w:rsid w:val="00C41457"/>
    <w:rsid w:val="00C41858"/>
    <w:rsid w:val="00C419E3"/>
    <w:rsid w:val="00C419F4"/>
    <w:rsid w:val="00C41CA9"/>
    <w:rsid w:val="00C41E6A"/>
    <w:rsid w:val="00C421A3"/>
    <w:rsid w:val="00C42247"/>
    <w:rsid w:val="00C439BE"/>
    <w:rsid w:val="00C442EE"/>
    <w:rsid w:val="00C448B0"/>
    <w:rsid w:val="00C44E61"/>
    <w:rsid w:val="00C4539B"/>
    <w:rsid w:val="00C45466"/>
    <w:rsid w:val="00C455C1"/>
    <w:rsid w:val="00C4581D"/>
    <w:rsid w:val="00C45CDB"/>
    <w:rsid w:val="00C47472"/>
    <w:rsid w:val="00C47E4D"/>
    <w:rsid w:val="00C47EA5"/>
    <w:rsid w:val="00C500F0"/>
    <w:rsid w:val="00C502BB"/>
    <w:rsid w:val="00C504A7"/>
    <w:rsid w:val="00C506C9"/>
    <w:rsid w:val="00C50A16"/>
    <w:rsid w:val="00C5122B"/>
    <w:rsid w:val="00C51C9A"/>
    <w:rsid w:val="00C51E32"/>
    <w:rsid w:val="00C52428"/>
    <w:rsid w:val="00C52C68"/>
    <w:rsid w:val="00C52D98"/>
    <w:rsid w:val="00C5325C"/>
    <w:rsid w:val="00C53D24"/>
    <w:rsid w:val="00C54640"/>
    <w:rsid w:val="00C547A6"/>
    <w:rsid w:val="00C54A3A"/>
    <w:rsid w:val="00C5503F"/>
    <w:rsid w:val="00C55C32"/>
    <w:rsid w:val="00C56A67"/>
    <w:rsid w:val="00C56CC2"/>
    <w:rsid w:val="00C56EB3"/>
    <w:rsid w:val="00C57498"/>
    <w:rsid w:val="00C5763C"/>
    <w:rsid w:val="00C577CA"/>
    <w:rsid w:val="00C5780C"/>
    <w:rsid w:val="00C5796B"/>
    <w:rsid w:val="00C619A1"/>
    <w:rsid w:val="00C62370"/>
    <w:rsid w:val="00C62545"/>
    <w:rsid w:val="00C62A11"/>
    <w:rsid w:val="00C62BBB"/>
    <w:rsid w:val="00C6305F"/>
    <w:rsid w:val="00C6325B"/>
    <w:rsid w:val="00C6360A"/>
    <w:rsid w:val="00C63E99"/>
    <w:rsid w:val="00C6410E"/>
    <w:rsid w:val="00C64161"/>
    <w:rsid w:val="00C641BD"/>
    <w:rsid w:val="00C649B8"/>
    <w:rsid w:val="00C64A64"/>
    <w:rsid w:val="00C65151"/>
    <w:rsid w:val="00C657F4"/>
    <w:rsid w:val="00C66119"/>
    <w:rsid w:val="00C66292"/>
    <w:rsid w:val="00C66A96"/>
    <w:rsid w:val="00C672A3"/>
    <w:rsid w:val="00C672F1"/>
    <w:rsid w:val="00C673D0"/>
    <w:rsid w:val="00C6742E"/>
    <w:rsid w:val="00C677BE"/>
    <w:rsid w:val="00C70012"/>
    <w:rsid w:val="00C71CBB"/>
    <w:rsid w:val="00C71E2A"/>
    <w:rsid w:val="00C733BA"/>
    <w:rsid w:val="00C74F3F"/>
    <w:rsid w:val="00C760DC"/>
    <w:rsid w:val="00C80365"/>
    <w:rsid w:val="00C8082B"/>
    <w:rsid w:val="00C81A88"/>
    <w:rsid w:val="00C81AEC"/>
    <w:rsid w:val="00C81D46"/>
    <w:rsid w:val="00C820AD"/>
    <w:rsid w:val="00C82298"/>
    <w:rsid w:val="00C82F91"/>
    <w:rsid w:val="00C833B4"/>
    <w:rsid w:val="00C84284"/>
    <w:rsid w:val="00C84E33"/>
    <w:rsid w:val="00C853E0"/>
    <w:rsid w:val="00C85FFC"/>
    <w:rsid w:val="00C86123"/>
    <w:rsid w:val="00C861FC"/>
    <w:rsid w:val="00C86C87"/>
    <w:rsid w:val="00C8705B"/>
    <w:rsid w:val="00C87090"/>
    <w:rsid w:val="00C9005E"/>
    <w:rsid w:val="00C90111"/>
    <w:rsid w:val="00C90338"/>
    <w:rsid w:val="00C90CA9"/>
    <w:rsid w:val="00C915F2"/>
    <w:rsid w:val="00C917B1"/>
    <w:rsid w:val="00C9193C"/>
    <w:rsid w:val="00C91B77"/>
    <w:rsid w:val="00C920E2"/>
    <w:rsid w:val="00C923AA"/>
    <w:rsid w:val="00C92B77"/>
    <w:rsid w:val="00C93154"/>
    <w:rsid w:val="00C93765"/>
    <w:rsid w:val="00C937BF"/>
    <w:rsid w:val="00C93877"/>
    <w:rsid w:val="00C93D8C"/>
    <w:rsid w:val="00C946CC"/>
    <w:rsid w:val="00C94CDD"/>
    <w:rsid w:val="00C959BD"/>
    <w:rsid w:val="00C95F44"/>
    <w:rsid w:val="00C96807"/>
    <w:rsid w:val="00C96D1B"/>
    <w:rsid w:val="00C97106"/>
    <w:rsid w:val="00C97684"/>
    <w:rsid w:val="00CA0031"/>
    <w:rsid w:val="00CA0413"/>
    <w:rsid w:val="00CA043A"/>
    <w:rsid w:val="00CA04F8"/>
    <w:rsid w:val="00CA05B7"/>
    <w:rsid w:val="00CA1613"/>
    <w:rsid w:val="00CA1691"/>
    <w:rsid w:val="00CA17C3"/>
    <w:rsid w:val="00CA2E65"/>
    <w:rsid w:val="00CA2EA1"/>
    <w:rsid w:val="00CA41E7"/>
    <w:rsid w:val="00CA4B2B"/>
    <w:rsid w:val="00CA5520"/>
    <w:rsid w:val="00CA5812"/>
    <w:rsid w:val="00CA5BD4"/>
    <w:rsid w:val="00CA5C14"/>
    <w:rsid w:val="00CA76FC"/>
    <w:rsid w:val="00CA7E7B"/>
    <w:rsid w:val="00CB0236"/>
    <w:rsid w:val="00CB1324"/>
    <w:rsid w:val="00CB19E3"/>
    <w:rsid w:val="00CB2375"/>
    <w:rsid w:val="00CB2C3A"/>
    <w:rsid w:val="00CB2D38"/>
    <w:rsid w:val="00CB353F"/>
    <w:rsid w:val="00CB4137"/>
    <w:rsid w:val="00CB52C1"/>
    <w:rsid w:val="00CB52D0"/>
    <w:rsid w:val="00CB5578"/>
    <w:rsid w:val="00CB5671"/>
    <w:rsid w:val="00CB591C"/>
    <w:rsid w:val="00CB5943"/>
    <w:rsid w:val="00CB61B3"/>
    <w:rsid w:val="00CB690C"/>
    <w:rsid w:val="00CB6F83"/>
    <w:rsid w:val="00CB72AE"/>
    <w:rsid w:val="00CB78AD"/>
    <w:rsid w:val="00CC00CD"/>
    <w:rsid w:val="00CC0579"/>
    <w:rsid w:val="00CC0AF3"/>
    <w:rsid w:val="00CC0BC6"/>
    <w:rsid w:val="00CC0E68"/>
    <w:rsid w:val="00CC21AC"/>
    <w:rsid w:val="00CC2514"/>
    <w:rsid w:val="00CC2756"/>
    <w:rsid w:val="00CC2984"/>
    <w:rsid w:val="00CC2F69"/>
    <w:rsid w:val="00CC315F"/>
    <w:rsid w:val="00CC3D38"/>
    <w:rsid w:val="00CC404B"/>
    <w:rsid w:val="00CC40C3"/>
    <w:rsid w:val="00CC4E5D"/>
    <w:rsid w:val="00CC50AE"/>
    <w:rsid w:val="00CC5864"/>
    <w:rsid w:val="00CC61B7"/>
    <w:rsid w:val="00CC61CA"/>
    <w:rsid w:val="00CC6668"/>
    <w:rsid w:val="00CC69EC"/>
    <w:rsid w:val="00CC71D3"/>
    <w:rsid w:val="00CC743D"/>
    <w:rsid w:val="00CC7E86"/>
    <w:rsid w:val="00CD050A"/>
    <w:rsid w:val="00CD205D"/>
    <w:rsid w:val="00CD2A22"/>
    <w:rsid w:val="00CD2B50"/>
    <w:rsid w:val="00CD3AD3"/>
    <w:rsid w:val="00CD41FE"/>
    <w:rsid w:val="00CD4506"/>
    <w:rsid w:val="00CD520B"/>
    <w:rsid w:val="00CD592E"/>
    <w:rsid w:val="00CD5982"/>
    <w:rsid w:val="00CD5A1A"/>
    <w:rsid w:val="00CD6054"/>
    <w:rsid w:val="00CD771A"/>
    <w:rsid w:val="00CD7EFA"/>
    <w:rsid w:val="00CE020E"/>
    <w:rsid w:val="00CE0566"/>
    <w:rsid w:val="00CE10BB"/>
    <w:rsid w:val="00CE16A9"/>
    <w:rsid w:val="00CE1CD4"/>
    <w:rsid w:val="00CE23FE"/>
    <w:rsid w:val="00CE2761"/>
    <w:rsid w:val="00CE2B49"/>
    <w:rsid w:val="00CE314E"/>
    <w:rsid w:val="00CE3D5C"/>
    <w:rsid w:val="00CE3E14"/>
    <w:rsid w:val="00CE44C7"/>
    <w:rsid w:val="00CE53CC"/>
    <w:rsid w:val="00CE65A7"/>
    <w:rsid w:val="00CE68FE"/>
    <w:rsid w:val="00CE69CC"/>
    <w:rsid w:val="00CE6EC4"/>
    <w:rsid w:val="00CE7A77"/>
    <w:rsid w:val="00CE7D1F"/>
    <w:rsid w:val="00CE7F26"/>
    <w:rsid w:val="00CE7FBF"/>
    <w:rsid w:val="00CF1226"/>
    <w:rsid w:val="00CF148D"/>
    <w:rsid w:val="00CF16C0"/>
    <w:rsid w:val="00CF1ABB"/>
    <w:rsid w:val="00CF1E1D"/>
    <w:rsid w:val="00CF24FE"/>
    <w:rsid w:val="00CF35D0"/>
    <w:rsid w:val="00CF3DD5"/>
    <w:rsid w:val="00CF41D5"/>
    <w:rsid w:val="00CF4500"/>
    <w:rsid w:val="00CF4897"/>
    <w:rsid w:val="00CF4908"/>
    <w:rsid w:val="00CF4A21"/>
    <w:rsid w:val="00CF4AF7"/>
    <w:rsid w:val="00CF4D20"/>
    <w:rsid w:val="00CF55DF"/>
    <w:rsid w:val="00CF6180"/>
    <w:rsid w:val="00CF64F6"/>
    <w:rsid w:val="00CF73F8"/>
    <w:rsid w:val="00CF7928"/>
    <w:rsid w:val="00CF7CA2"/>
    <w:rsid w:val="00D00A8E"/>
    <w:rsid w:val="00D00DE0"/>
    <w:rsid w:val="00D00F79"/>
    <w:rsid w:val="00D01121"/>
    <w:rsid w:val="00D012BF"/>
    <w:rsid w:val="00D01760"/>
    <w:rsid w:val="00D0368E"/>
    <w:rsid w:val="00D036B0"/>
    <w:rsid w:val="00D03D2D"/>
    <w:rsid w:val="00D03E7B"/>
    <w:rsid w:val="00D0401A"/>
    <w:rsid w:val="00D047E0"/>
    <w:rsid w:val="00D04B9F"/>
    <w:rsid w:val="00D04FFB"/>
    <w:rsid w:val="00D05153"/>
    <w:rsid w:val="00D058E9"/>
    <w:rsid w:val="00D0612A"/>
    <w:rsid w:val="00D064E5"/>
    <w:rsid w:val="00D0654D"/>
    <w:rsid w:val="00D06A0E"/>
    <w:rsid w:val="00D1060D"/>
    <w:rsid w:val="00D10E7C"/>
    <w:rsid w:val="00D11182"/>
    <w:rsid w:val="00D1137B"/>
    <w:rsid w:val="00D11773"/>
    <w:rsid w:val="00D11807"/>
    <w:rsid w:val="00D11DB3"/>
    <w:rsid w:val="00D12D82"/>
    <w:rsid w:val="00D1306E"/>
    <w:rsid w:val="00D134CD"/>
    <w:rsid w:val="00D13CE5"/>
    <w:rsid w:val="00D14B5F"/>
    <w:rsid w:val="00D14E13"/>
    <w:rsid w:val="00D14F23"/>
    <w:rsid w:val="00D15356"/>
    <w:rsid w:val="00D16054"/>
    <w:rsid w:val="00D160AA"/>
    <w:rsid w:val="00D16740"/>
    <w:rsid w:val="00D16A8B"/>
    <w:rsid w:val="00D16E39"/>
    <w:rsid w:val="00D17951"/>
    <w:rsid w:val="00D17AD8"/>
    <w:rsid w:val="00D17B53"/>
    <w:rsid w:val="00D2104A"/>
    <w:rsid w:val="00D21302"/>
    <w:rsid w:val="00D213F1"/>
    <w:rsid w:val="00D21BB5"/>
    <w:rsid w:val="00D21DEF"/>
    <w:rsid w:val="00D21FFC"/>
    <w:rsid w:val="00D223A3"/>
    <w:rsid w:val="00D223B6"/>
    <w:rsid w:val="00D223E8"/>
    <w:rsid w:val="00D22DC8"/>
    <w:rsid w:val="00D24ECD"/>
    <w:rsid w:val="00D2522A"/>
    <w:rsid w:val="00D2531C"/>
    <w:rsid w:val="00D255F3"/>
    <w:rsid w:val="00D26C21"/>
    <w:rsid w:val="00D2742F"/>
    <w:rsid w:val="00D2754F"/>
    <w:rsid w:val="00D27912"/>
    <w:rsid w:val="00D279D9"/>
    <w:rsid w:val="00D27C74"/>
    <w:rsid w:val="00D300FF"/>
    <w:rsid w:val="00D312DC"/>
    <w:rsid w:val="00D31B84"/>
    <w:rsid w:val="00D31C6A"/>
    <w:rsid w:val="00D31EDF"/>
    <w:rsid w:val="00D31FF9"/>
    <w:rsid w:val="00D32149"/>
    <w:rsid w:val="00D32256"/>
    <w:rsid w:val="00D32A27"/>
    <w:rsid w:val="00D32ABC"/>
    <w:rsid w:val="00D33010"/>
    <w:rsid w:val="00D3440B"/>
    <w:rsid w:val="00D34B25"/>
    <w:rsid w:val="00D34F4E"/>
    <w:rsid w:val="00D35141"/>
    <w:rsid w:val="00D35753"/>
    <w:rsid w:val="00D357F3"/>
    <w:rsid w:val="00D35C0E"/>
    <w:rsid w:val="00D373A8"/>
    <w:rsid w:val="00D375FF"/>
    <w:rsid w:val="00D379A5"/>
    <w:rsid w:val="00D401BE"/>
    <w:rsid w:val="00D4043A"/>
    <w:rsid w:val="00D40A8E"/>
    <w:rsid w:val="00D40AB0"/>
    <w:rsid w:val="00D40DB0"/>
    <w:rsid w:val="00D40F8B"/>
    <w:rsid w:val="00D41858"/>
    <w:rsid w:val="00D42162"/>
    <w:rsid w:val="00D422DB"/>
    <w:rsid w:val="00D424A3"/>
    <w:rsid w:val="00D4274C"/>
    <w:rsid w:val="00D42A83"/>
    <w:rsid w:val="00D42AC2"/>
    <w:rsid w:val="00D4498E"/>
    <w:rsid w:val="00D4515F"/>
    <w:rsid w:val="00D451E8"/>
    <w:rsid w:val="00D4636B"/>
    <w:rsid w:val="00D466C9"/>
    <w:rsid w:val="00D467D8"/>
    <w:rsid w:val="00D47275"/>
    <w:rsid w:val="00D4767B"/>
    <w:rsid w:val="00D50AEF"/>
    <w:rsid w:val="00D50C39"/>
    <w:rsid w:val="00D51E15"/>
    <w:rsid w:val="00D52B7E"/>
    <w:rsid w:val="00D52CC8"/>
    <w:rsid w:val="00D52E2F"/>
    <w:rsid w:val="00D52F59"/>
    <w:rsid w:val="00D53E3E"/>
    <w:rsid w:val="00D55904"/>
    <w:rsid w:val="00D5616F"/>
    <w:rsid w:val="00D57940"/>
    <w:rsid w:val="00D60327"/>
    <w:rsid w:val="00D6046D"/>
    <w:rsid w:val="00D61526"/>
    <w:rsid w:val="00D61F81"/>
    <w:rsid w:val="00D623A9"/>
    <w:rsid w:val="00D62BE6"/>
    <w:rsid w:val="00D633AC"/>
    <w:rsid w:val="00D636FE"/>
    <w:rsid w:val="00D63766"/>
    <w:rsid w:val="00D63912"/>
    <w:rsid w:val="00D6391D"/>
    <w:rsid w:val="00D63923"/>
    <w:rsid w:val="00D6451B"/>
    <w:rsid w:val="00D64B57"/>
    <w:rsid w:val="00D65DEA"/>
    <w:rsid w:val="00D65DFE"/>
    <w:rsid w:val="00D67BC7"/>
    <w:rsid w:val="00D701F1"/>
    <w:rsid w:val="00D705D3"/>
    <w:rsid w:val="00D70E00"/>
    <w:rsid w:val="00D715AC"/>
    <w:rsid w:val="00D71851"/>
    <w:rsid w:val="00D718CF"/>
    <w:rsid w:val="00D728F5"/>
    <w:rsid w:val="00D72E9D"/>
    <w:rsid w:val="00D73249"/>
    <w:rsid w:val="00D73419"/>
    <w:rsid w:val="00D73CA9"/>
    <w:rsid w:val="00D7481A"/>
    <w:rsid w:val="00D751B7"/>
    <w:rsid w:val="00D7524B"/>
    <w:rsid w:val="00D75396"/>
    <w:rsid w:val="00D759C0"/>
    <w:rsid w:val="00D75C05"/>
    <w:rsid w:val="00D75E99"/>
    <w:rsid w:val="00D766C7"/>
    <w:rsid w:val="00D7692B"/>
    <w:rsid w:val="00D76A19"/>
    <w:rsid w:val="00D76CBD"/>
    <w:rsid w:val="00D7734F"/>
    <w:rsid w:val="00D77F55"/>
    <w:rsid w:val="00D8044C"/>
    <w:rsid w:val="00D805D6"/>
    <w:rsid w:val="00D8075E"/>
    <w:rsid w:val="00D80860"/>
    <w:rsid w:val="00D80A92"/>
    <w:rsid w:val="00D80D4C"/>
    <w:rsid w:val="00D8166D"/>
    <w:rsid w:val="00D8184D"/>
    <w:rsid w:val="00D81A7B"/>
    <w:rsid w:val="00D8223C"/>
    <w:rsid w:val="00D82B57"/>
    <w:rsid w:val="00D82CE5"/>
    <w:rsid w:val="00D8342C"/>
    <w:rsid w:val="00D848F2"/>
    <w:rsid w:val="00D85494"/>
    <w:rsid w:val="00D8582C"/>
    <w:rsid w:val="00D85D61"/>
    <w:rsid w:val="00D8616D"/>
    <w:rsid w:val="00D8711B"/>
    <w:rsid w:val="00D87384"/>
    <w:rsid w:val="00D90683"/>
    <w:rsid w:val="00D915C8"/>
    <w:rsid w:val="00D91638"/>
    <w:rsid w:val="00D9261C"/>
    <w:rsid w:val="00D9310B"/>
    <w:rsid w:val="00D93299"/>
    <w:rsid w:val="00D93726"/>
    <w:rsid w:val="00D93DD3"/>
    <w:rsid w:val="00D93F3E"/>
    <w:rsid w:val="00D9405B"/>
    <w:rsid w:val="00D94942"/>
    <w:rsid w:val="00D95145"/>
    <w:rsid w:val="00D967CB"/>
    <w:rsid w:val="00D96E08"/>
    <w:rsid w:val="00D96EE0"/>
    <w:rsid w:val="00D97BD1"/>
    <w:rsid w:val="00DA06B8"/>
    <w:rsid w:val="00DA286D"/>
    <w:rsid w:val="00DA2969"/>
    <w:rsid w:val="00DA29B7"/>
    <w:rsid w:val="00DA4842"/>
    <w:rsid w:val="00DA5989"/>
    <w:rsid w:val="00DA5AB1"/>
    <w:rsid w:val="00DA5F9D"/>
    <w:rsid w:val="00DA69B2"/>
    <w:rsid w:val="00DA6A7B"/>
    <w:rsid w:val="00DA7462"/>
    <w:rsid w:val="00DA777E"/>
    <w:rsid w:val="00DA7AD0"/>
    <w:rsid w:val="00DB02D7"/>
    <w:rsid w:val="00DB03CC"/>
    <w:rsid w:val="00DB12D4"/>
    <w:rsid w:val="00DB14F0"/>
    <w:rsid w:val="00DB1745"/>
    <w:rsid w:val="00DB1AFF"/>
    <w:rsid w:val="00DB219A"/>
    <w:rsid w:val="00DB2647"/>
    <w:rsid w:val="00DB3165"/>
    <w:rsid w:val="00DB4292"/>
    <w:rsid w:val="00DB5196"/>
    <w:rsid w:val="00DB5C03"/>
    <w:rsid w:val="00DB5E7A"/>
    <w:rsid w:val="00DB68BB"/>
    <w:rsid w:val="00DB6E46"/>
    <w:rsid w:val="00DB70E2"/>
    <w:rsid w:val="00DB7117"/>
    <w:rsid w:val="00DB7760"/>
    <w:rsid w:val="00DB7DD4"/>
    <w:rsid w:val="00DB7E44"/>
    <w:rsid w:val="00DC00B4"/>
    <w:rsid w:val="00DC037A"/>
    <w:rsid w:val="00DC0954"/>
    <w:rsid w:val="00DC0F0B"/>
    <w:rsid w:val="00DC15BA"/>
    <w:rsid w:val="00DC18CD"/>
    <w:rsid w:val="00DC1A68"/>
    <w:rsid w:val="00DC2710"/>
    <w:rsid w:val="00DC30B8"/>
    <w:rsid w:val="00DC32C6"/>
    <w:rsid w:val="00DC3720"/>
    <w:rsid w:val="00DC478F"/>
    <w:rsid w:val="00DC62E5"/>
    <w:rsid w:val="00DC6AB9"/>
    <w:rsid w:val="00DC6CA7"/>
    <w:rsid w:val="00DC6F33"/>
    <w:rsid w:val="00DC729E"/>
    <w:rsid w:val="00DC7349"/>
    <w:rsid w:val="00DC7C76"/>
    <w:rsid w:val="00DD005B"/>
    <w:rsid w:val="00DD118B"/>
    <w:rsid w:val="00DD1218"/>
    <w:rsid w:val="00DD14D8"/>
    <w:rsid w:val="00DD1599"/>
    <w:rsid w:val="00DD177F"/>
    <w:rsid w:val="00DD197A"/>
    <w:rsid w:val="00DD1B03"/>
    <w:rsid w:val="00DD2772"/>
    <w:rsid w:val="00DD2A62"/>
    <w:rsid w:val="00DD2F2F"/>
    <w:rsid w:val="00DD2F7A"/>
    <w:rsid w:val="00DD3885"/>
    <w:rsid w:val="00DD5056"/>
    <w:rsid w:val="00DD5808"/>
    <w:rsid w:val="00DD5946"/>
    <w:rsid w:val="00DD5B04"/>
    <w:rsid w:val="00DD5DAE"/>
    <w:rsid w:val="00DD5EC6"/>
    <w:rsid w:val="00DD605F"/>
    <w:rsid w:val="00DD6657"/>
    <w:rsid w:val="00DD6D71"/>
    <w:rsid w:val="00DD7236"/>
    <w:rsid w:val="00DD72A0"/>
    <w:rsid w:val="00DD735D"/>
    <w:rsid w:val="00DD7A39"/>
    <w:rsid w:val="00DE0159"/>
    <w:rsid w:val="00DE064A"/>
    <w:rsid w:val="00DE0755"/>
    <w:rsid w:val="00DE082D"/>
    <w:rsid w:val="00DE1410"/>
    <w:rsid w:val="00DE1ED0"/>
    <w:rsid w:val="00DE3119"/>
    <w:rsid w:val="00DE3FF0"/>
    <w:rsid w:val="00DE4105"/>
    <w:rsid w:val="00DE4347"/>
    <w:rsid w:val="00DE4D0E"/>
    <w:rsid w:val="00DE5189"/>
    <w:rsid w:val="00DE6230"/>
    <w:rsid w:val="00DE6B9D"/>
    <w:rsid w:val="00DE7108"/>
    <w:rsid w:val="00DE72E2"/>
    <w:rsid w:val="00DE78D1"/>
    <w:rsid w:val="00DF0263"/>
    <w:rsid w:val="00DF098E"/>
    <w:rsid w:val="00DF0EB4"/>
    <w:rsid w:val="00DF1E36"/>
    <w:rsid w:val="00DF1FDB"/>
    <w:rsid w:val="00DF236B"/>
    <w:rsid w:val="00DF2A91"/>
    <w:rsid w:val="00DF2F82"/>
    <w:rsid w:val="00DF336D"/>
    <w:rsid w:val="00DF3889"/>
    <w:rsid w:val="00DF3CC9"/>
    <w:rsid w:val="00DF4451"/>
    <w:rsid w:val="00DF4750"/>
    <w:rsid w:val="00DF49FF"/>
    <w:rsid w:val="00DF4FFB"/>
    <w:rsid w:val="00DF5236"/>
    <w:rsid w:val="00DF651F"/>
    <w:rsid w:val="00DF6E10"/>
    <w:rsid w:val="00DF6F43"/>
    <w:rsid w:val="00DF752F"/>
    <w:rsid w:val="00DF76A2"/>
    <w:rsid w:val="00DF7B33"/>
    <w:rsid w:val="00E00B7A"/>
    <w:rsid w:val="00E02186"/>
    <w:rsid w:val="00E026BB"/>
    <w:rsid w:val="00E027C5"/>
    <w:rsid w:val="00E03124"/>
    <w:rsid w:val="00E031EB"/>
    <w:rsid w:val="00E03951"/>
    <w:rsid w:val="00E03DB8"/>
    <w:rsid w:val="00E057BA"/>
    <w:rsid w:val="00E05E70"/>
    <w:rsid w:val="00E0631A"/>
    <w:rsid w:val="00E064BC"/>
    <w:rsid w:val="00E07225"/>
    <w:rsid w:val="00E07AAA"/>
    <w:rsid w:val="00E1079C"/>
    <w:rsid w:val="00E109DD"/>
    <w:rsid w:val="00E11229"/>
    <w:rsid w:val="00E114CA"/>
    <w:rsid w:val="00E11CF0"/>
    <w:rsid w:val="00E12E62"/>
    <w:rsid w:val="00E132D5"/>
    <w:rsid w:val="00E1397F"/>
    <w:rsid w:val="00E13AB8"/>
    <w:rsid w:val="00E13D8F"/>
    <w:rsid w:val="00E13F26"/>
    <w:rsid w:val="00E1482E"/>
    <w:rsid w:val="00E155D3"/>
    <w:rsid w:val="00E16382"/>
    <w:rsid w:val="00E16572"/>
    <w:rsid w:val="00E1699C"/>
    <w:rsid w:val="00E16E75"/>
    <w:rsid w:val="00E1746D"/>
    <w:rsid w:val="00E17B87"/>
    <w:rsid w:val="00E2012A"/>
    <w:rsid w:val="00E205A2"/>
    <w:rsid w:val="00E20BA4"/>
    <w:rsid w:val="00E20C24"/>
    <w:rsid w:val="00E21A60"/>
    <w:rsid w:val="00E220DE"/>
    <w:rsid w:val="00E23137"/>
    <w:rsid w:val="00E231B0"/>
    <w:rsid w:val="00E23980"/>
    <w:rsid w:val="00E241E9"/>
    <w:rsid w:val="00E2510E"/>
    <w:rsid w:val="00E2520A"/>
    <w:rsid w:val="00E253EB"/>
    <w:rsid w:val="00E257C3"/>
    <w:rsid w:val="00E25CB3"/>
    <w:rsid w:val="00E25DA4"/>
    <w:rsid w:val="00E26CB8"/>
    <w:rsid w:val="00E26FCF"/>
    <w:rsid w:val="00E27165"/>
    <w:rsid w:val="00E27226"/>
    <w:rsid w:val="00E3044A"/>
    <w:rsid w:val="00E31A4A"/>
    <w:rsid w:val="00E31C43"/>
    <w:rsid w:val="00E32206"/>
    <w:rsid w:val="00E32DD5"/>
    <w:rsid w:val="00E32FA8"/>
    <w:rsid w:val="00E3344A"/>
    <w:rsid w:val="00E33B29"/>
    <w:rsid w:val="00E33B62"/>
    <w:rsid w:val="00E3403D"/>
    <w:rsid w:val="00E348C2"/>
    <w:rsid w:val="00E34E6C"/>
    <w:rsid w:val="00E350D8"/>
    <w:rsid w:val="00E353E2"/>
    <w:rsid w:val="00E36345"/>
    <w:rsid w:val="00E363A3"/>
    <w:rsid w:val="00E367A6"/>
    <w:rsid w:val="00E36C86"/>
    <w:rsid w:val="00E36CEB"/>
    <w:rsid w:val="00E37A28"/>
    <w:rsid w:val="00E40430"/>
    <w:rsid w:val="00E40690"/>
    <w:rsid w:val="00E40AEB"/>
    <w:rsid w:val="00E4143A"/>
    <w:rsid w:val="00E41A5D"/>
    <w:rsid w:val="00E424C8"/>
    <w:rsid w:val="00E4251D"/>
    <w:rsid w:val="00E42F41"/>
    <w:rsid w:val="00E43D00"/>
    <w:rsid w:val="00E44128"/>
    <w:rsid w:val="00E443D3"/>
    <w:rsid w:val="00E445E4"/>
    <w:rsid w:val="00E457CB"/>
    <w:rsid w:val="00E45D47"/>
    <w:rsid w:val="00E45DE4"/>
    <w:rsid w:val="00E45E63"/>
    <w:rsid w:val="00E46D10"/>
    <w:rsid w:val="00E50A7B"/>
    <w:rsid w:val="00E50B0B"/>
    <w:rsid w:val="00E510FE"/>
    <w:rsid w:val="00E51E25"/>
    <w:rsid w:val="00E5205B"/>
    <w:rsid w:val="00E521AE"/>
    <w:rsid w:val="00E52C99"/>
    <w:rsid w:val="00E53B0D"/>
    <w:rsid w:val="00E53BCA"/>
    <w:rsid w:val="00E53F02"/>
    <w:rsid w:val="00E54534"/>
    <w:rsid w:val="00E548C3"/>
    <w:rsid w:val="00E54DA0"/>
    <w:rsid w:val="00E54E17"/>
    <w:rsid w:val="00E54F27"/>
    <w:rsid w:val="00E556F5"/>
    <w:rsid w:val="00E55FF1"/>
    <w:rsid w:val="00E56090"/>
    <w:rsid w:val="00E565B9"/>
    <w:rsid w:val="00E5733B"/>
    <w:rsid w:val="00E5756C"/>
    <w:rsid w:val="00E601BE"/>
    <w:rsid w:val="00E608E0"/>
    <w:rsid w:val="00E60B5F"/>
    <w:rsid w:val="00E60D04"/>
    <w:rsid w:val="00E613AE"/>
    <w:rsid w:val="00E61429"/>
    <w:rsid w:val="00E61ABB"/>
    <w:rsid w:val="00E61FD7"/>
    <w:rsid w:val="00E623E6"/>
    <w:rsid w:val="00E630C0"/>
    <w:rsid w:val="00E63107"/>
    <w:rsid w:val="00E634E6"/>
    <w:rsid w:val="00E63DCE"/>
    <w:rsid w:val="00E64700"/>
    <w:rsid w:val="00E64E0B"/>
    <w:rsid w:val="00E65074"/>
    <w:rsid w:val="00E65E70"/>
    <w:rsid w:val="00E65EE9"/>
    <w:rsid w:val="00E66087"/>
    <w:rsid w:val="00E66D79"/>
    <w:rsid w:val="00E66FF9"/>
    <w:rsid w:val="00E673E3"/>
    <w:rsid w:val="00E67856"/>
    <w:rsid w:val="00E679C8"/>
    <w:rsid w:val="00E70314"/>
    <w:rsid w:val="00E70FCD"/>
    <w:rsid w:val="00E718C6"/>
    <w:rsid w:val="00E724E7"/>
    <w:rsid w:val="00E72B41"/>
    <w:rsid w:val="00E7347B"/>
    <w:rsid w:val="00E73D03"/>
    <w:rsid w:val="00E7471C"/>
    <w:rsid w:val="00E7498A"/>
    <w:rsid w:val="00E7514E"/>
    <w:rsid w:val="00E75B34"/>
    <w:rsid w:val="00E77AF5"/>
    <w:rsid w:val="00E800B8"/>
    <w:rsid w:val="00E8029A"/>
    <w:rsid w:val="00E803A6"/>
    <w:rsid w:val="00E81653"/>
    <w:rsid w:val="00E823F9"/>
    <w:rsid w:val="00E82AE5"/>
    <w:rsid w:val="00E82C1F"/>
    <w:rsid w:val="00E82EEA"/>
    <w:rsid w:val="00E83671"/>
    <w:rsid w:val="00E8414B"/>
    <w:rsid w:val="00E84A71"/>
    <w:rsid w:val="00E84C3D"/>
    <w:rsid w:val="00E8544B"/>
    <w:rsid w:val="00E86556"/>
    <w:rsid w:val="00E86798"/>
    <w:rsid w:val="00E86D35"/>
    <w:rsid w:val="00E86DC2"/>
    <w:rsid w:val="00E86E32"/>
    <w:rsid w:val="00E8732E"/>
    <w:rsid w:val="00E9011F"/>
    <w:rsid w:val="00E906EB"/>
    <w:rsid w:val="00E913F9"/>
    <w:rsid w:val="00E9241E"/>
    <w:rsid w:val="00E92460"/>
    <w:rsid w:val="00E92E62"/>
    <w:rsid w:val="00E92E8B"/>
    <w:rsid w:val="00E93804"/>
    <w:rsid w:val="00E93A86"/>
    <w:rsid w:val="00E941AA"/>
    <w:rsid w:val="00E95434"/>
    <w:rsid w:val="00E9592E"/>
    <w:rsid w:val="00E96467"/>
    <w:rsid w:val="00E966DA"/>
    <w:rsid w:val="00E96948"/>
    <w:rsid w:val="00E9737B"/>
    <w:rsid w:val="00E97A3F"/>
    <w:rsid w:val="00E97F0A"/>
    <w:rsid w:val="00EA0100"/>
    <w:rsid w:val="00EA010D"/>
    <w:rsid w:val="00EA04DC"/>
    <w:rsid w:val="00EA0886"/>
    <w:rsid w:val="00EA0BCE"/>
    <w:rsid w:val="00EA2726"/>
    <w:rsid w:val="00EA2744"/>
    <w:rsid w:val="00EA2937"/>
    <w:rsid w:val="00EA37B9"/>
    <w:rsid w:val="00EA39F7"/>
    <w:rsid w:val="00EA3B27"/>
    <w:rsid w:val="00EA3DC2"/>
    <w:rsid w:val="00EA434E"/>
    <w:rsid w:val="00EA4757"/>
    <w:rsid w:val="00EA51FF"/>
    <w:rsid w:val="00EA53D3"/>
    <w:rsid w:val="00EA560B"/>
    <w:rsid w:val="00EA5669"/>
    <w:rsid w:val="00EA5C05"/>
    <w:rsid w:val="00EA63EF"/>
    <w:rsid w:val="00EA644F"/>
    <w:rsid w:val="00EA6750"/>
    <w:rsid w:val="00EB0A89"/>
    <w:rsid w:val="00EB0B22"/>
    <w:rsid w:val="00EB1573"/>
    <w:rsid w:val="00EB1650"/>
    <w:rsid w:val="00EB1910"/>
    <w:rsid w:val="00EB1D24"/>
    <w:rsid w:val="00EB1EBB"/>
    <w:rsid w:val="00EB209B"/>
    <w:rsid w:val="00EB2E97"/>
    <w:rsid w:val="00EB3416"/>
    <w:rsid w:val="00EB39CA"/>
    <w:rsid w:val="00EB4AE1"/>
    <w:rsid w:val="00EB52F4"/>
    <w:rsid w:val="00EB5694"/>
    <w:rsid w:val="00EB5779"/>
    <w:rsid w:val="00EB6098"/>
    <w:rsid w:val="00EB65ED"/>
    <w:rsid w:val="00EB67F1"/>
    <w:rsid w:val="00EB72CD"/>
    <w:rsid w:val="00EB749A"/>
    <w:rsid w:val="00EB76B6"/>
    <w:rsid w:val="00EB7D8A"/>
    <w:rsid w:val="00EC05E2"/>
    <w:rsid w:val="00EC05F3"/>
    <w:rsid w:val="00EC08AF"/>
    <w:rsid w:val="00EC0B29"/>
    <w:rsid w:val="00EC0B4E"/>
    <w:rsid w:val="00EC0E84"/>
    <w:rsid w:val="00EC16E2"/>
    <w:rsid w:val="00EC1CE7"/>
    <w:rsid w:val="00EC26F1"/>
    <w:rsid w:val="00EC2DC3"/>
    <w:rsid w:val="00EC32B4"/>
    <w:rsid w:val="00EC346B"/>
    <w:rsid w:val="00EC36B1"/>
    <w:rsid w:val="00EC3C94"/>
    <w:rsid w:val="00EC44DF"/>
    <w:rsid w:val="00EC4AB1"/>
    <w:rsid w:val="00EC4EFB"/>
    <w:rsid w:val="00EC4FB9"/>
    <w:rsid w:val="00EC5310"/>
    <w:rsid w:val="00EC5393"/>
    <w:rsid w:val="00EC5741"/>
    <w:rsid w:val="00EC5ACE"/>
    <w:rsid w:val="00EC5DA3"/>
    <w:rsid w:val="00EC6014"/>
    <w:rsid w:val="00EC6B3E"/>
    <w:rsid w:val="00EC6D8D"/>
    <w:rsid w:val="00EC71C7"/>
    <w:rsid w:val="00EC73DE"/>
    <w:rsid w:val="00EC7637"/>
    <w:rsid w:val="00EC790E"/>
    <w:rsid w:val="00EC7B63"/>
    <w:rsid w:val="00EC7CF2"/>
    <w:rsid w:val="00ED0400"/>
    <w:rsid w:val="00ED046B"/>
    <w:rsid w:val="00ED046C"/>
    <w:rsid w:val="00ED053A"/>
    <w:rsid w:val="00ED070F"/>
    <w:rsid w:val="00ED1520"/>
    <w:rsid w:val="00ED1F03"/>
    <w:rsid w:val="00ED2D27"/>
    <w:rsid w:val="00ED3347"/>
    <w:rsid w:val="00ED38FD"/>
    <w:rsid w:val="00ED3954"/>
    <w:rsid w:val="00ED4048"/>
    <w:rsid w:val="00ED43A2"/>
    <w:rsid w:val="00ED4967"/>
    <w:rsid w:val="00ED4EC8"/>
    <w:rsid w:val="00ED510D"/>
    <w:rsid w:val="00ED5140"/>
    <w:rsid w:val="00ED522A"/>
    <w:rsid w:val="00ED538C"/>
    <w:rsid w:val="00ED5771"/>
    <w:rsid w:val="00ED587F"/>
    <w:rsid w:val="00ED5964"/>
    <w:rsid w:val="00ED623F"/>
    <w:rsid w:val="00ED69BA"/>
    <w:rsid w:val="00ED6C93"/>
    <w:rsid w:val="00ED72E9"/>
    <w:rsid w:val="00ED732E"/>
    <w:rsid w:val="00ED77F0"/>
    <w:rsid w:val="00ED7FBC"/>
    <w:rsid w:val="00EE0253"/>
    <w:rsid w:val="00EE0297"/>
    <w:rsid w:val="00EE0789"/>
    <w:rsid w:val="00EE0B63"/>
    <w:rsid w:val="00EE1258"/>
    <w:rsid w:val="00EE13DA"/>
    <w:rsid w:val="00EE162F"/>
    <w:rsid w:val="00EE1668"/>
    <w:rsid w:val="00EE1CE5"/>
    <w:rsid w:val="00EE366D"/>
    <w:rsid w:val="00EE5350"/>
    <w:rsid w:val="00EE5454"/>
    <w:rsid w:val="00EE58B8"/>
    <w:rsid w:val="00EE59B5"/>
    <w:rsid w:val="00EE5CF6"/>
    <w:rsid w:val="00EE5D1D"/>
    <w:rsid w:val="00EE5FB7"/>
    <w:rsid w:val="00EE666A"/>
    <w:rsid w:val="00EE6A1A"/>
    <w:rsid w:val="00EE7B54"/>
    <w:rsid w:val="00EE7C88"/>
    <w:rsid w:val="00EE7C8B"/>
    <w:rsid w:val="00EF0209"/>
    <w:rsid w:val="00EF0B0A"/>
    <w:rsid w:val="00EF0EA4"/>
    <w:rsid w:val="00EF1E97"/>
    <w:rsid w:val="00EF2436"/>
    <w:rsid w:val="00EF2547"/>
    <w:rsid w:val="00EF2B2B"/>
    <w:rsid w:val="00EF2E1C"/>
    <w:rsid w:val="00EF2FD6"/>
    <w:rsid w:val="00EF326A"/>
    <w:rsid w:val="00EF427A"/>
    <w:rsid w:val="00EF45DF"/>
    <w:rsid w:val="00EF4952"/>
    <w:rsid w:val="00EF498F"/>
    <w:rsid w:val="00EF4A42"/>
    <w:rsid w:val="00EF510C"/>
    <w:rsid w:val="00EF54B9"/>
    <w:rsid w:val="00EF55C4"/>
    <w:rsid w:val="00EF57BC"/>
    <w:rsid w:val="00EF5FD2"/>
    <w:rsid w:val="00EF6784"/>
    <w:rsid w:val="00EF688A"/>
    <w:rsid w:val="00EF6A03"/>
    <w:rsid w:val="00EF6DC2"/>
    <w:rsid w:val="00EF7BF4"/>
    <w:rsid w:val="00F0030F"/>
    <w:rsid w:val="00F00674"/>
    <w:rsid w:val="00F00929"/>
    <w:rsid w:val="00F01657"/>
    <w:rsid w:val="00F01E67"/>
    <w:rsid w:val="00F021B7"/>
    <w:rsid w:val="00F02744"/>
    <w:rsid w:val="00F02BFD"/>
    <w:rsid w:val="00F02D25"/>
    <w:rsid w:val="00F0435D"/>
    <w:rsid w:val="00F04580"/>
    <w:rsid w:val="00F04ECA"/>
    <w:rsid w:val="00F05DC2"/>
    <w:rsid w:val="00F06E19"/>
    <w:rsid w:val="00F06F84"/>
    <w:rsid w:val="00F076E7"/>
    <w:rsid w:val="00F07AA1"/>
    <w:rsid w:val="00F105AE"/>
    <w:rsid w:val="00F10618"/>
    <w:rsid w:val="00F107FD"/>
    <w:rsid w:val="00F1108B"/>
    <w:rsid w:val="00F11768"/>
    <w:rsid w:val="00F11951"/>
    <w:rsid w:val="00F11BA8"/>
    <w:rsid w:val="00F12259"/>
    <w:rsid w:val="00F12262"/>
    <w:rsid w:val="00F12AF8"/>
    <w:rsid w:val="00F12C52"/>
    <w:rsid w:val="00F138CA"/>
    <w:rsid w:val="00F14352"/>
    <w:rsid w:val="00F148B7"/>
    <w:rsid w:val="00F14BE9"/>
    <w:rsid w:val="00F14EA9"/>
    <w:rsid w:val="00F15505"/>
    <w:rsid w:val="00F15BFF"/>
    <w:rsid w:val="00F17105"/>
    <w:rsid w:val="00F20A0B"/>
    <w:rsid w:val="00F213A0"/>
    <w:rsid w:val="00F217AB"/>
    <w:rsid w:val="00F21A51"/>
    <w:rsid w:val="00F21D54"/>
    <w:rsid w:val="00F21D6D"/>
    <w:rsid w:val="00F21EF4"/>
    <w:rsid w:val="00F2244E"/>
    <w:rsid w:val="00F23113"/>
    <w:rsid w:val="00F23255"/>
    <w:rsid w:val="00F23393"/>
    <w:rsid w:val="00F23759"/>
    <w:rsid w:val="00F23CB5"/>
    <w:rsid w:val="00F245A1"/>
    <w:rsid w:val="00F24644"/>
    <w:rsid w:val="00F256FD"/>
    <w:rsid w:val="00F259F1"/>
    <w:rsid w:val="00F26F33"/>
    <w:rsid w:val="00F27E74"/>
    <w:rsid w:val="00F300A8"/>
    <w:rsid w:val="00F30265"/>
    <w:rsid w:val="00F30400"/>
    <w:rsid w:val="00F305C6"/>
    <w:rsid w:val="00F3079E"/>
    <w:rsid w:val="00F3144F"/>
    <w:rsid w:val="00F3254A"/>
    <w:rsid w:val="00F32C50"/>
    <w:rsid w:val="00F33980"/>
    <w:rsid w:val="00F3399B"/>
    <w:rsid w:val="00F33C1A"/>
    <w:rsid w:val="00F3461B"/>
    <w:rsid w:val="00F346ED"/>
    <w:rsid w:val="00F34945"/>
    <w:rsid w:val="00F3496F"/>
    <w:rsid w:val="00F34E1E"/>
    <w:rsid w:val="00F351E8"/>
    <w:rsid w:val="00F3570C"/>
    <w:rsid w:val="00F368FF"/>
    <w:rsid w:val="00F37003"/>
    <w:rsid w:val="00F37068"/>
    <w:rsid w:val="00F37F3F"/>
    <w:rsid w:val="00F40201"/>
    <w:rsid w:val="00F404A9"/>
    <w:rsid w:val="00F40992"/>
    <w:rsid w:val="00F40A99"/>
    <w:rsid w:val="00F40AEC"/>
    <w:rsid w:val="00F40F71"/>
    <w:rsid w:val="00F412DF"/>
    <w:rsid w:val="00F41313"/>
    <w:rsid w:val="00F41596"/>
    <w:rsid w:val="00F41D8B"/>
    <w:rsid w:val="00F42121"/>
    <w:rsid w:val="00F424B3"/>
    <w:rsid w:val="00F428B1"/>
    <w:rsid w:val="00F428B4"/>
    <w:rsid w:val="00F4345D"/>
    <w:rsid w:val="00F4387B"/>
    <w:rsid w:val="00F4518D"/>
    <w:rsid w:val="00F456EF"/>
    <w:rsid w:val="00F45B91"/>
    <w:rsid w:val="00F46639"/>
    <w:rsid w:val="00F46692"/>
    <w:rsid w:val="00F46708"/>
    <w:rsid w:val="00F46782"/>
    <w:rsid w:val="00F47AAA"/>
    <w:rsid w:val="00F47B3B"/>
    <w:rsid w:val="00F47CF7"/>
    <w:rsid w:val="00F50183"/>
    <w:rsid w:val="00F50D92"/>
    <w:rsid w:val="00F514C4"/>
    <w:rsid w:val="00F51765"/>
    <w:rsid w:val="00F51A51"/>
    <w:rsid w:val="00F51CB4"/>
    <w:rsid w:val="00F52324"/>
    <w:rsid w:val="00F52950"/>
    <w:rsid w:val="00F52C9D"/>
    <w:rsid w:val="00F52E39"/>
    <w:rsid w:val="00F533F1"/>
    <w:rsid w:val="00F53B81"/>
    <w:rsid w:val="00F547CB"/>
    <w:rsid w:val="00F55679"/>
    <w:rsid w:val="00F561E3"/>
    <w:rsid w:val="00F565E6"/>
    <w:rsid w:val="00F56A8E"/>
    <w:rsid w:val="00F56AFA"/>
    <w:rsid w:val="00F575E2"/>
    <w:rsid w:val="00F57715"/>
    <w:rsid w:val="00F579FF"/>
    <w:rsid w:val="00F600E0"/>
    <w:rsid w:val="00F600FD"/>
    <w:rsid w:val="00F605EC"/>
    <w:rsid w:val="00F60F60"/>
    <w:rsid w:val="00F612CE"/>
    <w:rsid w:val="00F624A7"/>
    <w:rsid w:val="00F62AB6"/>
    <w:rsid w:val="00F63984"/>
    <w:rsid w:val="00F653DD"/>
    <w:rsid w:val="00F65A3C"/>
    <w:rsid w:val="00F65A88"/>
    <w:rsid w:val="00F66282"/>
    <w:rsid w:val="00F66AB6"/>
    <w:rsid w:val="00F67D8B"/>
    <w:rsid w:val="00F70961"/>
    <w:rsid w:val="00F70A8F"/>
    <w:rsid w:val="00F70F18"/>
    <w:rsid w:val="00F71397"/>
    <w:rsid w:val="00F71812"/>
    <w:rsid w:val="00F72389"/>
    <w:rsid w:val="00F72516"/>
    <w:rsid w:val="00F72FB4"/>
    <w:rsid w:val="00F73317"/>
    <w:rsid w:val="00F735E5"/>
    <w:rsid w:val="00F73DD9"/>
    <w:rsid w:val="00F73E80"/>
    <w:rsid w:val="00F7469C"/>
    <w:rsid w:val="00F747E9"/>
    <w:rsid w:val="00F7492E"/>
    <w:rsid w:val="00F74945"/>
    <w:rsid w:val="00F749A3"/>
    <w:rsid w:val="00F74A04"/>
    <w:rsid w:val="00F74AE8"/>
    <w:rsid w:val="00F74B79"/>
    <w:rsid w:val="00F75A86"/>
    <w:rsid w:val="00F76C11"/>
    <w:rsid w:val="00F77021"/>
    <w:rsid w:val="00F775CB"/>
    <w:rsid w:val="00F77E61"/>
    <w:rsid w:val="00F814B2"/>
    <w:rsid w:val="00F815AC"/>
    <w:rsid w:val="00F83075"/>
    <w:rsid w:val="00F83200"/>
    <w:rsid w:val="00F834EE"/>
    <w:rsid w:val="00F83B33"/>
    <w:rsid w:val="00F83CAE"/>
    <w:rsid w:val="00F840BF"/>
    <w:rsid w:val="00F8415D"/>
    <w:rsid w:val="00F8427A"/>
    <w:rsid w:val="00F843DF"/>
    <w:rsid w:val="00F84899"/>
    <w:rsid w:val="00F848AB"/>
    <w:rsid w:val="00F84A0A"/>
    <w:rsid w:val="00F84CF5"/>
    <w:rsid w:val="00F853A5"/>
    <w:rsid w:val="00F85547"/>
    <w:rsid w:val="00F85585"/>
    <w:rsid w:val="00F859F0"/>
    <w:rsid w:val="00F85CC1"/>
    <w:rsid w:val="00F86A41"/>
    <w:rsid w:val="00F86B5D"/>
    <w:rsid w:val="00F87464"/>
    <w:rsid w:val="00F87634"/>
    <w:rsid w:val="00F87C13"/>
    <w:rsid w:val="00F87C5A"/>
    <w:rsid w:val="00F87E29"/>
    <w:rsid w:val="00F87F18"/>
    <w:rsid w:val="00F87F68"/>
    <w:rsid w:val="00F90C4D"/>
    <w:rsid w:val="00F90F7A"/>
    <w:rsid w:val="00F9167D"/>
    <w:rsid w:val="00F91CB2"/>
    <w:rsid w:val="00F9289C"/>
    <w:rsid w:val="00F92B02"/>
    <w:rsid w:val="00F92E3E"/>
    <w:rsid w:val="00F93DBC"/>
    <w:rsid w:val="00F93E41"/>
    <w:rsid w:val="00F9400D"/>
    <w:rsid w:val="00F94644"/>
    <w:rsid w:val="00F95075"/>
    <w:rsid w:val="00F9537B"/>
    <w:rsid w:val="00F953B8"/>
    <w:rsid w:val="00F95567"/>
    <w:rsid w:val="00F963FC"/>
    <w:rsid w:val="00FA015F"/>
    <w:rsid w:val="00FA0FAC"/>
    <w:rsid w:val="00FA1DA2"/>
    <w:rsid w:val="00FA3414"/>
    <w:rsid w:val="00FA347A"/>
    <w:rsid w:val="00FA39D7"/>
    <w:rsid w:val="00FA3CDE"/>
    <w:rsid w:val="00FA49B7"/>
    <w:rsid w:val="00FA5043"/>
    <w:rsid w:val="00FA6DF5"/>
    <w:rsid w:val="00FA6F8B"/>
    <w:rsid w:val="00FA70AC"/>
    <w:rsid w:val="00FA7A30"/>
    <w:rsid w:val="00FA7F3D"/>
    <w:rsid w:val="00FB033F"/>
    <w:rsid w:val="00FB0F29"/>
    <w:rsid w:val="00FB12E3"/>
    <w:rsid w:val="00FB1570"/>
    <w:rsid w:val="00FB193B"/>
    <w:rsid w:val="00FB1FBC"/>
    <w:rsid w:val="00FB27B7"/>
    <w:rsid w:val="00FB2C36"/>
    <w:rsid w:val="00FB3483"/>
    <w:rsid w:val="00FB35E3"/>
    <w:rsid w:val="00FB4D3F"/>
    <w:rsid w:val="00FB583C"/>
    <w:rsid w:val="00FB630E"/>
    <w:rsid w:val="00FB6738"/>
    <w:rsid w:val="00FB691B"/>
    <w:rsid w:val="00FB731C"/>
    <w:rsid w:val="00FB7DF8"/>
    <w:rsid w:val="00FC05A0"/>
    <w:rsid w:val="00FC0811"/>
    <w:rsid w:val="00FC1196"/>
    <w:rsid w:val="00FC15EB"/>
    <w:rsid w:val="00FC18DC"/>
    <w:rsid w:val="00FC2AC4"/>
    <w:rsid w:val="00FC2D6D"/>
    <w:rsid w:val="00FC2F73"/>
    <w:rsid w:val="00FC3A9B"/>
    <w:rsid w:val="00FC3AE1"/>
    <w:rsid w:val="00FC3DFC"/>
    <w:rsid w:val="00FC3EF4"/>
    <w:rsid w:val="00FC431B"/>
    <w:rsid w:val="00FC434C"/>
    <w:rsid w:val="00FC4FDF"/>
    <w:rsid w:val="00FC54D3"/>
    <w:rsid w:val="00FC5CF4"/>
    <w:rsid w:val="00FC6A39"/>
    <w:rsid w:val="00FC6E50"/>
    <w:rsid w:val="00FC704A"/>
    <w:rsid w:val="00FC710F"/>
    <w:rsid w:val="00FC79AB"/>
    <w:rsid w:val="00FC7BE7"/>
    <w:rsid w:val="00FC7DAC"/>
    <w:rsid w:val="00FD04AE"/>
    <w:rsid w:val="00FD086B"/>
    <w:rsid w:val="00FD122C"/>
    <w:rsid w:val="00FD1890"/>
    <w:rsid w:val="00FD1994"/>
    <w:rsid w:val="00FD21A9"/>
    <w:rsid w:val="00FD2AC8"/>
    <w:rsid w:val="00FD2CA6"/>
    <w:rsid w:val="00FD3508"/>
    <w:rsid w:val="00FD393C"/>
    <w:rsid w:val="00FD43BB"/>
    <w:rsid w:val="00FD4AF3"/>
    <w:rsid w:val="00FD556A"/>
    <w:rsid w:val="00FD5A69"/>
    <w:rsid w:val="00FD6F3C"/>
    <w:rsid w:val="00FD798D"/>
    <w:rsid w:val="00FD7BD8"/>
    <w:rsid w:val="00FD7FB9"/>
    <w:rsid w:val="00FE100E"/>
    <w:rsid w:val="00FE141E"/>
    <w:rsid w:val="00FE144E"/>
    <w:rsid w:val="00FE1689"/>
    <w:rsid w:val="00FE1768"/>
    <w:rsid w:val="00FE24F4"/>
    <w:rsid w:val="00FE2560"/>
    <w:rsid w:val="00FE35D0"/>
    <w:rsid w:val="00FE41AC"/>
    <w:rsid w:val="00FE42ED"/>
    <w:rsid w:val="00FE4C6D"/>
    <w:rsid w:val="00FE55A7"/>
    <w:rsid w:val="00FE55E6"/>
    <w:rsid w:val="00FE56D5"/>
    <w:rsid w:val="00FE5C5A"/>
    <w:rsid w:val="00FE6432"/>
    <w:rsid w:val="00FE6517"/>
    <w:rsid w:val="00FE72A0"/>
    <w:rsid w:val="00FF0050"/>
    <w:rsid w:val="00FF045F"/>
    <w:rsid w:val="00FF0712"/>
    <w:rsid w:val="00FF0976"/>
    <w:rsid w:val="00FF13D4"/>
    <w:rsid w:val="00FF2053"/>
    <w:rsid w:val="00FF2F4E"/>
    <w:rsid w:val="00FF3B37"/>
    <w:rsid w:val="00FF3D6F"/>
    <w:rsid w:val="00FF4BD8"/>
    <w:rsid w:val="00FF4D11"/>
    <w:rsid w:val="00FF5214"/>
    <w:rsid w:val="00FF53A5"/>
    <w:rsid w:val="00FF596E"/>
    <w:rsid w:val="00FF5B59"/>
    <w:rsid w:val="00FF5BFD"/>
    <w:rsid w:val="00FF5C01"/>
    <w:rsid w:val="00FF5F9D"/>
    <w:rsid w:val="00FF6095"/>
    <w:rsid w:val="00FF62FE"/>
    <w:rsid w:val="00FF6553"/>
    <w:rsid w:val="00FF6BDF"/>
    <w:rsid w:val="00FF7134"/>
    <w:rsid w:val="00FF7A39"/>
    <w:rsid w:val="7190A9F5"/>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5E7A"/>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pPr>
    <w:rPr>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eastAsia="Calibri" w:hAnsi="Arial" w:cs="Arial"/>
      <w:b/>
      <w:bCs/>
      <w:color w:val="1C1C1C"/>
      <w:sz w:val="20"/>
      <w:szCs w:val="20"/>
      <w:lang w:eastAsia="en-US"/>
    </w:rPr>
  </w:style>
  <w:style w:type="paragraph" w:customStyle="1" w:styleId="Normal11pt">
    <w:name w:val="Normal + 11 pt"/>
    <w:aliases w:val="Negro,Justificado,Izquierda:  -0,95 cm,Derecha:  0,04 cm"/>
    <w:basedOn w:val="Normal"/>
    <w:uiPriority w:val="99"/>
    <w:rsid w:val="008A2527"/>
    <w:pPr>
      <w:ind w:left="-540"/>
      <w:jc w:val="both"/>
    </w:pPr>
    <w:rPr>
      <w:rFonts w:ascii="Arial" w:hAnsi="Arial" w:cs="Arial"/>
      <w:color w:val="000000"/>
      <w:sz w:val="22"/>
      <w:szCs w:val="22"/>
      <w:lang w:val="es-ES_tradnl" w:eastAsia="es-ES"/>
    </w:rPr>
  </w:style>
  <w:style w:type="paragraph" w:styleId="Revisin">
    <w:name w:val="Revision"/>
    <w:hidden/>
    <w:uiPriority w:val="99"/>
    <w:semiHidden/>
    <w:rsid w:val="00FE100E"/>
    <w:pPr>
      <w:spacing w:after="0" w:line="240" w:lineRule="auto"/>
    </w:pPr>
    <w:rPr>
      <w:rFonts w:ascii="Times New Roman" w:eastAsia="Times New Roman" w:hAnsi="Times New Roman" w:cs="Times New Roman"/>
      <w:sz w:val="24"/>
      <w:szCs w:val="24"/>
      <w:lang w:eastAsia="es-ES_tradnl"/>
    </w:rPr>
  </w:style>
  <w:style w:type="character" w:customStyle="1" w:styleId="Mencinsinresolver4">
    <w:name w:val="Mención sin resolver4"/>
    <w:basedOn w:val="Fuentedeprrafopredeter"/>
    <w:uiPriority w:val="99"/>
    <w:semiHidden/>
    <w:unhideWhenUsed/>
    <w:rsid w:val="002B4039"/>
    <w:rPr>
      <w:color w:val="605E5C"/>
      <w:shd w:val="clear" w:color="auto" w:fill="E1DFDD"/>
    </w:rPr>
  </w:style>
  <w:style w:type="table" w:customStyle="1" w:styleId="Tablaconcuadrcula3">
    <w:name w:val="Tabla con cuadrícula3"/>
    <w:basedOn w:val="Tablanormal"/>
    <w:next w:val="Tablaconcuadrcula"/>
    <w:uiPriority w:val="59"/>
    <w:qFormat/>
    <w:rsid w:val="004B58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1">
    <w:name w:val="Car1"/>
    <w:basedOn w:val="Normal"/>
    <w:next w:val="Textonotapie"/>
    <w:uiPriority w:val="99"/>
    <w:qFormat/>
    <w:rsid w:val="00510A3E"/>
    <w:rPr>
      <w:rFonts w:asciiTheme="minorHAnsi" w:eastAsiaTheme="minorHAnsi" w:hAnsiTheme="minorHAnsi" w:cstheme="minorBidi"/>
      <w:sz w:val="20"/>
      <w:szCs w:val="20"/>
      <w:lang w:val="es-MX" w:eastAsia="en-US"/>
    </w:rPr>
  </w:style>
  <w:style w:type="character" w:styleId="Mencinsinresolver">
    <w:name w:val="Unresolved Mention"/>
    <w:basedOn w:val="Fuentedeprrafopredeter"/>
    <w:uiPriority w:val="99"/>
    <w:semiHidden/>
    <w:unhideWhenUsed/>
    <w:rsid w:val="00510A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45068">
      <w:bodyDiv w:val="1"/>
      <w:marLeft w:val="0"/>
      <w:marRight w:val="0"/>
      <w:marTop w:val="0"/>
      <w:marBottom w:val="0"/>
      <w:divBdr>
        <w:top w:val="none" w:sz="0" w:space="0" w:color="auto"/>
        <w:left w:val="none" w:sz="0" w:space="0" w:color="auto"/>
        <w:bottom w:val="none" w:sz="0" w:space="0" w:color="auto"/>
        <w:right w:val="none" w:sz="0" w:space="0" w:color="auto"/>
      </w:divBdr>
    </w:div>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06506213">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70150232">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46808846">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0697073">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22467761">
      <w:bodyDiv w:val="1"/>
      <w:marLeft w:val="0"/>
      <w:marRight w:val="0"/>
      <w:marTop w:val="0"/>
      <w:marBottom w:val="0"/>
      <w:divBdr>
        <w:top w:val="none" w:sz="0" w:space="0" w:color="auto"/>
        <w:left w:val="none" w:sz="0" w:space="0" w:color="auto"/>
        <w:bottom w:val="none" w:sz="0" w:space="0" w:color="auto"/>
        <w:right w:val="none" w:sz="0" w:space="0" w:color="auto"/>
      </w:divBdr>
    </w:div>
    <w:div w:id="32343807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52458027">
      <w:bodyDiv w:val="1"/>
      <w:marLeft w:val="0"/>
      <w:marRight w:val="0"/>
      <w:marTop w:val="0"/>
      <w:marBottom w:val="0"/>
      <w:divBdr>
        <w:top w:val="none" w:sz="0" w:space="0" w:color="auto"/>
        <w:left w:val="none" w:sz="0" w:space="0" w:color="auto"/>
        <w:bottom w:val="none" w:sz="0" w:space="0" w:color="auto"/>
        <w:right w:val="none" w:sz="0" w:space="0" w:color="auto"/>
      </w:divBdr>
    </w:div>
    <w:div w:id="373847752">
      <w:bodyDiv w:val="1"/>
      <w:marLeft w:val="0"/>
      <w:marRight w:val="0"/>
      <w:marTop w:val="0"/>
      <w:marBottom w:val="0"/>
      <w:divBdr>
        <w:top w:val="none" w:sz="0" w:space="0" w:color="auto"/>
        <w:left w:val="none" w:sz="0" w:space="0" w:color="auto"/>
        <w:bottom w:val="none" w:sz="0" w:space="0" w:color="auto"/>
        <w:right w:val="none" w:sz="0" w:space="0" w:color="auto"/>
      </w:divBdr>
      <w:divsChild>
        <w:div w:id="250747312">
          <w:marLeft w:val="0"/>
          <w:marRight w:val="0"/>
          <w:marTop w:val="0"/>
          <w:marBottom w:val="0"/>
          <w:divBdr>
            <w:top w:val="none" w:sz="0" w:space="0" w:color="auto"/>
            <w:left w:val="none" w:sz="0" w:space="0" w:color="auto"/>
            <w:bottom w:val="none" w:sz="0" w:space="0" w:color="auto"/>
            <w:right w:val="none" w:sz="0" w:space="0" w:color="auto"/>
          </w:divBdr>
        </w:div>
        <w:div w:id="2067101779">
          <w:marLeft w:val="0"/>
          <w:marRight w:val="0"/>
          <w:marTop w:val="0"/>
          <w:marBottom w:val="0"/>
          <w:divBdr>
            <w:top w:val="none" w:sz="0" w:space="0" w:color="auto"/>
            <w:left w:val="none" w:sz="0" w:space="0" w:color="auto"/>
            <w:bottom w:val="none" w:sz="0" w:space="0" w:color="auto"/>
            <w:right w:val="none" w:sz="0" w:space="0" w:color="auto"/>
          </w:divBdr>
        </w:div>
        <w:div w:id="856118546">
          <w:marLeft w:val="0"/>
          <w:marRight w:val="0"/>
          <w:marTop w:val="0"/>
          <w:marBottom w:val="0"/>
          <w:divBdr>
            <w:top w:val="none" w:sz="0" w:space="0" w:color="auto"/>
            <w:left w:val="none" w:sz="0" w:space="0" w:color="auto"/>
            <w:bottom w:val="none" w:sz="0" w:space="0" w:color="auto"/>
            <w:right w:val="none" w:sz="0" w:space="0" w:color="auto"/>
          </w:divBdr>
        </w:div>
        <w:div w:id="701177010">
          <w:marLeft w:val="0"/>
          <w:marRight w:val="0"/>
          <w:marTop w:val="0"/>
          <w:marBottom w:val="0"/>
          <w:divBdr>
            <w:top w:val="none" w:sz="0" w:space="0" w:color="auto"/>
            <w:left w:val="none" w:sz="0" w:space="0" w:color="auto"/>
            <w:bottom w:val="none" w:sz="0" w:space="0" w:color="auto"/>
            <w:right w:val="none" w:sz="0" w:space="0" w:color="auto"/>
          </w:divBdr>
        </w:div>
        <w:div w:id="1979995553">
          <w:marLeft w:val="0"/>
          <w:marRight w:val="0"/>
          <w:marTop w:val="0"/>
          <w:marBottom w:val="0"/>
          <w:divBdr>
            <w:top w:val="none" w:sz="0" w:space="0" w:color="auto"/>
            <w:left w:val="none" w:sz="0" w:space="0" w:color="auto"/>
            <w:bottom w:val="none" w:sz="0" w:space="0" w:color="auto"/>
            <w:right w:val="none" w:sz="0" w:space="0" w:color="auto"/>
          </w:divBdr>
        </w:div>
        <w:div w:id="386532194">
          <w:marLeft w:val="0"/>
          <w:marRight w:val="0"/>
          <w:marTop w:val="0"/>
          <w:marBottom w:val="0"/>
          <w:divBdr>
            <w:top w:val="none" w:sz="0" w:space="0" w:color="auto"/>
            <w:left w:val="none" w:sz="0" w:space="0" w:color="auto"/>
            <w:bottom w:val="none" w:sz="0" w:space="0" w:color="auto"/>
            <w:right w:val="none" w:sz="0" w:space="0" w:color="auto"/>
          </w:divBdr>
        </w:div>
        <w:div w:id="1443916966">
          <w:marLeft w:val="0"/>
          <w:marRight w:val="0"/>
          <w:marTop w:val="0"/>
          <w:marBottom w:val="0"/>
          <w:divBdr>
            <w:top w:val="none" w:sz="0" w:space="0" w:color="auto"/>
            <w:left w:val="none" w:sz="0" w:space="0" w:color="auto"/>
            <w:bottom w:val="none" w:sz="0" w:space="0" w:color="auto"/>
            <w:right w:val="none" w:sz="0" w:space="0" w:color="auto"/>
          </w:divBdr>
        </w:div>
        <w:div w:id="1463428840">
          <w:marLeft w:val="0"/>
          <w:marRight w:val="0"/>
          <w:marTop w:val="0"/>
          <w:marBottom w:val="0"/>
          <w:divBdr>
            <w:top w:val="none" w:sz="0" w:space="0" w:color="auto"/>
            <w:left w:val="none" w:sz="0" w:space="0" w:color="auto"/>
            <w:bottom w:val="none" w:sz="0" w:space="0" w:color="auto"/>
            <w:right w:val="none" w:sz="0" w:space="0" w:color="auto"/>
          </w:divBdr>
        </w:div>
        <w:div w:id="340739953">
          <w:marLeft w:val="0"/>
          <w:marRight w:val="0"/>
          <w:marTop w:val="0"/>
          <w:marBottom w:val="0"/>
          <w:divBdr>
            <w:top w:val="none" w:sz="0" w:space="0" w:color="auto"/>
            <w:left w:val="none" w:sz="0" w:space="0" w:color="auto"/>
            <w:bottom w:val="none" w:sz="0" w:space="0" w:color="auto"/>
            <w:right w:val="none" w:sz="0" w:space="0" w:color="auto"/>
          </w:divBdr>
        </w:div>
        <w:div w:id="1214005837">
          <w:marLeft w:val="0"/>
          <w:marRight w:val="0"/>
          <w:marTop w:val="0"/>
          <w:marBottom w:val="0"/>
          <w:divBdr>
            <w:top w:val="none" w:sz="0" w:space="0" w:color="auto"/>
            <w:left w:val="none" w:sz="0" w:space="0" w:color="auto"/>
            <w:bottom w:val="none" w:sz="0" w:space="0" w:color="auto"/>
            <w:right w:val="none" w:sz="0" w:space="0" w:color="auto"/>
          </w:divBdr>
        </w:div>
        <w:div w:id="689572277">
          <w:marLeft w:val="0"/>
          <w:marRight w:val="0"/>
          <w:marTop w:val="0"/>
          <w:marBottom w:val="0"/>
          <w:divBdr>
            <w:top w:val="none" w:sz="0" w:space="0" w:color="auto"/>
            <w:left w:val="none" w:sz="0" w:space="0" w:color="auto"/>
            <w:bottom w:val="none" w:sz="0" w:space="0" w:color="auto"/>
            <w:right w:val="none" w:sz="0" w:space="0" w:color="auto"/>
          </w:divBdr>
        </w:div>
        <w:div w:id="1848668085">
          <w:marLeft w:val="0"/>
          <w:marRight w:val="0"/>
          <w:marTop w:val="0"/>
          <w:marBottom w:val="0"/>
          <w:divBdr>
            <w:top w:val="none" w:sz="0" w:space="0" w:color="auto"/>
            <w:left w:val="none" w:sz="0" w:space="0" w:color="auto"/>
            <w:bottom w:val="none" w:sz="0" w:space="0" w:color="auto"/>
            <w:right w:val="none" w:sz="0" w:space="0" w:color="auto"/>
          </w:divBdr>
        </w:div>
        <w:div w:id="355351056">
          <w:marLeft w:val="0"/>
          <w:marRight w:val="0"/>
          <w:marTop w:val="0"/>
          <w:marBottom w:val="0"/>
          <w:divBdr>
            <w:top w:val="none" w:sz="0" w:space="0" w:color="auto"/>
            <w:left w:val="none" w:sz="0" w:space="0" w:color="auto"/>
            <w:bottom w:val="none" w:sz="0" w:space="0" w:color="auto"/>
            <w:right w:val="none" w:sz="0" w:space="0" w:color="auto"/>
          </w:divBdr>
        </w:div>
        <w:div w:id="185019911">
          <w:marLeft w:val="0"/>
          <w:marRight w:val="0"/>
          <w:marTop w:val="0"/>
          <w:marBottom w:val="0"/>
          <w:divBdr>
            <w:top w:val="none" w:sz="0" w:space="0" w:color="auto"/>
            <w:left w:val="none" w:sz="0" w:space="0" w:color="auto"/>
            <w:bottom w:val="none" w:sz="0" w:space="0" w:color="auto"/>
            <w:right w:val="none" w:sz="0" w:space="0" w:color="auto"/>
          </w:divBdr>
        </w:div>
        <w:div w:id="1409376571">
          <w:marLeft w:val="0"/>
          <w:marRight w:val="0"/>
          <w:marTop w:val="0"/>
          <w:marBottom w:val="0"/>
          <w:divBdr>
            <w:top w:val="none" w:sz="0" w:space="0" w:color="auto"/>
            <w:left w:val="none" w:sz="0" w:space="0" w:color="auto"/>
            <w:bottom w:val="none" w:sz="0" w:space="0" w:color="auto"/>
            <w:right w:val="none" w:sz="0" w:space="0" w:color="auto"/>
          </w:divBdr>
        </w:div>
        <w:div w:id="1153715860">
          <w:marLeft w:val="0"/>
          <w:marRight w:val="0"/>
          <w:marTop w:val="0"/>
          <w:marBottom w:val="0"/>
          <w:divBdr>
            <w:top w:val="none" w:sz="0" w:space="0" w:color="auto"/>
            <w:left w:val="none" w:sz="0" w:space="0" w:color="auto"/>
            <w:bottom w:val="none" w:sz="0" w:space="0" w:color="auto"/>
            <w:right w:val="none" w:sz="0" w:space="0" w:color="auto"/>
          </w:divBdr>
        </w:div>
        <w:div w:id="878051417">
          <w:marLeft w:val="0"/>
          <w:marRight w:val="0"/>
          <w:marTop w:val="0"/>
          <w:marBottom w:val="0"/>
          <w:divBdr>
            <w:top w:val="none" w:sz="0" w:space="0" w:color="auto"/>
            <w:left w:val="none" w:sz="0" w:space="0" w:color="auto"/>
            <w:bottom w:val="none" w:sz="0" w:space="0" w:color="auto"/>
            <w:right w:val="none" w:sz="0" w:space="0" w:color="auto"/>
          </w:divBdr>
        </w:div>
        <w:div w:id="1340767783">
          <w:marLeft w:val="0"/>
          <w:marRight w:val="0"/>
          <w:marTop w:val="0"/>
          <w:marBottom w:val="0"/>
          <w:divBdr>
            <w:top w:val="none" w:sz="0" w:space="0" w:color="auto"/>
            <w:left w:val="none" w:sz="0" w:space="0" w:color="auto"/>
            <w:bottom w:val="none" w:sz="0" w:space="0" w:color="auto"/>
            <w:right w:val="none" w:sz="0" w:space="0" w:color="auto"/>
          </w:divBdr>
        </w:div>
        <w:div w:id="1389064509">
          <w:marLeft w:val="0"/>
          <w:marRight w:val="0"/>
          <w:marTop w:val="0"/>
          <w:marBottom w:val="0"/>
          <w:divBdr>
            <w:top w:val="none" w:sz="0" w:space="0" w:color="auto"/>
            <w:left w:val="none" w:sz="0" w:space="0" w:color="auto"/>
            <w:bottom w:val="none" w:sz="0" w:space="0" w:color="auto"/>
            <w:right w:val="none" w:sz="0" w:space="0" w:color="auto"/>
          </w:divBdr>
        </w:div>
        <w:div w:id="1237981306">
          <w:marLeft w:val="0"/>
          <w:marRight w:val="0"/>
          <w:marTop w:val="0"/>
          <w:marBottom w:val="0"/>
          <w:divBdr>
            <w:top w:val="none" w:sz="0" w:space="0" w:color="auto"/>
            <w:left w:val="none" w:sz="0" w:space="0" w:color="auto"/>
            <w:bottom w:val="none" w:sz="0" w:space="0" w:color="auto"/>
            <w:right w:val="none" w:sz="0" w:space="0" w:color="auto"/>
          </w:divBdr>
        </w:div>
        <w:div w:id="497230276">
          <w:marLeft w:val="0"/>
          <w:marRight w:val="0"/>
          <w:marTop w:val="0"/>
          <w:marBottom w:val="0"/>
          <w:divBdr>
            <w:top w:val="none" w:sz="0" w:space="0" w:color="auto"/>
            <w:left w:val="none" w:sz="0" w:space="0" w:color="auto"/>
            <w:bottom w:val="none" w:sz="0" w:space="0" w:color="auto"/>
            <w:right w:val="none" w:sz="0" w:space="0" w:color="auto"/>
          </w:divBdr>
        </w:div>
        <w:div w:id="1948077385">
          <w:marLeft w:val="0"/>
          <w:marRight w:val="0"/>
          <w:marTop w:val="0"/>
          <w:marBottom w:val="0"/>
          <w:divBdr>
            <w:top w:val="none" w:sz="0" w:space="0" w:color="auto"/>
            <w:left w:val="none" w:sz="0" w:space="0" w:color="auto"/>
            <w:bottom w:val="none" w:sz="0" w:space="0" w:color="auto"/>
            <w:right w:val="none" w:sz="0" w:space="0" w:color="auto"/>
          </w:divBdr>
        </w:div>
        <w:div w:id="2077436875">
          <w:marLeft w:val="0"/>
          <w:marRight w:val="0"/>
          <w:marTop w:val="0"/>
          <w:marBottom w:val="0"/>
          <w:divBdr>
            <w:top w:val="none" w:sz="0" w:space="0" w:color="auto"/>
            <w:left w:val="none" w:sz="0" w:space="0" w:color="auto"/>
            <w:bottom w:val="none" w:sz="0" w:space="0" w:color="auto"/>
            <w:right w:val="none" w:sz="0" w:space="0" w:color="auto"/>
          </w:divBdr>
        </w:div>
        <w:div w:id="375393709">
          <w:marLeft w:val="0"/>
          <w:marRight w:val="0"/>
          <w:marTop w:val="0"/>
          <w:marBottom w:val="0"/>
          <w:divBdr>
            <w:top w:val="none" w:sz="0" w:space="0" w:color="auto"/>
            <w:left w:val="none" w:sz="0" w:space="0" w:color="auto"/>
            <w:bottom w:val="none" w:sz="0" w:space="0" w:color="auto"/>
            <w:right w:val="none" w:sz="0" w:space="0" w:color="auto"/>
          </w:divBdr>
        </w:div>
        <w:div w:id="1116949506">
          <w:marLeft w:val="0"/>
          <w:marRight w:val="0"/>
          <w:marTop w:val="0"/>
          <w:marBottom w:val="0"/>
          <w:divBdr>
            <w:top w:val="none" w:sz="0" w:space="0" w:color="auto"/>
            <w:left w:val="none" w:sz="0" w:space="0" w:color="auto"/>
            <w:bottom w:val="none" w:sz="0" w:space="0" w:color="auto"/>
            <w:right w:val="none" w:sz="0" w:space="0" w:color="auto"/>
          </w:divBdr>
        </w:div>
        <w:div w:id="2063670069">
          <w:marLeft w:val="0"/>
          <w:marRight w:val="0"/>
          <w:marTop w:val="0"/>
          <w:marBottom w:val="0"/>
          <w:divBdr>
            <w:top w:val="none" w:sz="0" w:space="0" w:color="auto"/>
            <w:left w:val="none" w:sz="0" w:space="0" w:color="auto"/>
            <w:bottom w:val="none" w:sz="0" w:space="0" w:color="auto"/>
            <w:right w:val="none" w:sz="0" w:space="0" w:color="auto"/>
          </w:divBdr>
        </w:div>
        <w:div w:id="1385788235">
          <w:marLeft w:val="0"/>
          <w:marRight w:val="0"/>
          <w:marTop w:val="0"/>
          <w:marBottom w:val="0"/>
          <w:divBdr>
            <w:top w:val="none" w:sz="0" w:space="0" w:color="auto"/>
            <w:left w:val="none" w:sz="0" w:space="0" w:color="auto"/>
            <w:bottom w:val="none" w:sz="0" w:space="0" w:color="auto"/>
            <w:right w:val="none" w:sz="0" w:space="0" w:color="auto"/>
          </w:divBdr>
        </w:div>
        <w:div w:id="774130227">
          <w:marLeft w:val="0"/>
          <w:marRight w:val="0"/>
          <w:marTop w:val="0"/>
          <w:marBottom w:val="0"/>
          <w:divBdr>
            <w:top w:val="none" w:sz="0" w:space="0" w:color="auto"/>
            <w:left w:val="none" w:sz="0" w:space="0" w:color="auto"/>
            <w:bottom w:val="none" w:sz="0" w:space="0" w:color="auto"/>
            <w:right w:val="none" w:sz="0" w:space="0" w:color="auto"/>
          </w:divBdr>
        </w:div>
        <w:div w:id="356153059">
          <w:marLeft w:val="0"/>
          <w:marRight w:val="0"/>
          <w:marTop w:val="0"/>
          <w:marBottom w:val="0"/>
          <w:divBdr>
            <w:top w:val="none" w:sz="0" w:space="0" w:color="auto"/>
            <w:left w:val="none" w:sz="0" w:space="0" w:color="auto"/>
            <w:bottom w:val="none" w:sz="0" w:space="0" w:color="auto"/>
            <w:right w:val="none" w:sz="0" w:space="0" w:color="auto"/>
          </w:divBdr>
        </w:div>
      </w:divsChild>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4212100">
      <w:bodyDiv w:val="1"/>
      <w:marLeft w:val="0"/>
      <w:marRight w:val="0"/>
      <w:marTop w:val="0"/>
      <w:marBottom w:val="0"/>
      <w:divBdr>
        <w:top w:val="none" w:sz="0" w:space="0" w:color="auto"/>
        <w:left w:val="none" w:sz="0" w:space="0" w:color="auto"/>
        <w:bottom w:val="none" w:sz="0" w:space="0" w:color="auto"/>
        <w:right w:val="none" w:sz="0" w:space="0" w:color="auto"/>
      </w:divBdr>
    </w:div>
    <w:div w:id="420758248">
      <w:bodyDiv w:val="1"/>
      <w:marLeft w:val="0"/>
      <w:marRight w:val="0"/>
      <w:marTop w:val="0"/>
      <w:marBottom w:val="0"/>
      <w:divBdr>
        <w:top w:val="none" w:sz="0" w:space="0" w:color="auto"/>
        <w:left w:val="none" w:sz="0" w:space="0" w:color="auto"/>
        <w:bottom w:val="none" w:sz="0" w:space="0" w:color="auto"/>
        <w:right w:val="none" w:sz="0" w:space="0" w:color="auto"/>
      </w:divBdr>
    </w:div>
    <w:div w:id="436752464">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0754488">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728514">
      <w:bodyDiv w:val="1"/>
      <w:marLeft w:val="0"/>
      <w:marRight w:val="0"/>
      <w:marTop w:val="0"/>
      <w:marBottom w:val="0"/>
      <w:divBdr>
        <w:top w:val="none" w:sz="0" w:space="0" w:color="auto"/>
        <w:left w:val="none" w:sz="0" w:space="0" w:color="auto"/>
        <w:bottom w:val="none" w:sz="0" w:space="0" w:color="auto"/>
        <w:right w:val="none" w:sz="0" w:space="0" w:color="auto"/>
      </w:divBdr>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846009">
      <w:bodyDiv w:val="1"/>
      <w:marLeft w:val="0"/>
      <w:marRight w:val="0"/>
      <w:marTop w:val="0"/>
      <w:marBottom w:val="0"/>
      <w:divBdr>
        <w:top w:val="none" w:sz="0" w:space="0" w:color="auto"/>
        <w:left w:val="none" w:sz="0" w:space="0" w:color="auto"/>
        <w:bottom w:val="none" w:sz="0" w:space="0" w:color="auto"/>
        <w:right w:val="none" w:sz="0" w:space="0" w:color="auto"/>
      </w:divBdr>
      <w:divsChild>
        <w:div w:id="137571566">
          <w:marLeft w:val="0"/>
          <w:marRight w:val="0"/>
          <w:marTop w:val="0"/>
          <w:marBottom w:val="0"/>
          <w:divBdr>
            <w:top w:val="none" w:sz="0" w:space="0" w:color="auto"/>
            <w:left w:val="none" w:sz="0" w:space="0" w:color="auto"/>
            <w:bottom w:val="none" w:sz="0" w:space="0" w:color="auto"/>
            <w:right w:val="none" w:sz="0" w:space="0" w:color="auto"/>
          </w:divBdr>
        </w:div>
        <w:div w:id="776950387">
          <w:marLeft w:val="0"/>
          <w:marRight w:val="0"/>
          <w:marTop w:val="0"/>
          <w:marBottom w:val="0"/>
          <w:divBdr>
            <w:top w:val="none" w:sz="0" w:space="0" w:color="auto"/>
            <w:left w:val="none" w:sz="0" w:space="0" w:color="auto"/>
            <w:bottom w:val="none" w:sz="0" w:space="0" w:color="auto"/>
            <w:right w:val="none" w:sz="0" w:space="0" w:color="auto"/>
          </w:divBdr>
        </w:div>
        <w:div w:id="910965516">
          <w:marLeft w:val="0"/>
          <w:marRight w:val="0"/>
          <w:marTop w:val="0"/>
          <w:marBottom w:val="0"/>
          <w:divBdr>
            <w:top w:val="none" w:sz="0" w:space="0" w:color="auto"/>
            <w:left w:val="none" w:sz="0" w:space="0" w:color="auto"/>
            <w:bottom w:val="none" w:sz="0" w:space="0" w:color="auto"/>
            <w:right w:val="none" w:sz="0" w:space="0" w:color="auto"/>
          </w:divBdr>
        </w:div>
        <w:div w:id="1321274061">
          <w:marLeft w:val="0"/>
          <w:marRight w:val="0"/>
          <w:marTop w:val="0"/>
          <w:marBottom w:val="0"/>
          <w:divBdr>
            <w:top w:val="none" w:sz="0" w:space="0" w:color="auto"/>
            <w:left w:val="none" w:sz="0" w:space="0" w:color="auto"/>
            <w:bottom w:val="none" w:sz="0" w:space="0" w:color="auto"/>
            <w:right w:val="none" w:sz="0" w:space="0" w:color="auto"/>
          </w:divBdr>
        </w:div>
        <w:div w:id="1897934208">
          <w:marLeft w:val="0"/>
          <w:marRight w:val="0"/>
          <w:marTop w:val="0"/>
          <w:marBottom w:val="0"/>
          <w:divBdr>
            <w:top w:val="none" w:sz="0" w:space="0" w:color="auto"/>
            <w:left w:val="none" w:sz="0" w:space="0" w:color="auto"/>
            <w:bottom w:val="none" w:sz="0" w:space="0" w:color="auto"/>
            <w:right w:val="none" w:sz="0" w:space="0" w:color="auto"/>
          </w:divBdr>
        </w:div>
        <w:div w:id="326787748">
          <w:marLeft w:val="0"/>
          <w:marRight w:val="0"/>
          <w:marTop w:val="0"/>
          <w:marBottom w:val="0"/>
          <w:divBdr>
            <w:top w:val="none" w:sz="0" w:space="0" w:color="auto"/>
            <w:left w:val="none" w:sz="0" w:space="0" w:color="auto"/>
            <w:bottom w:val="none" w:sz="0" w:space="0" w:color="auto"/>
            <w:right w:val="none" w:sz="0" w:space="0" w:color="auto"/>
          </w:divBdr>
        </w:div>
        <w:div w:id="1145732085">
          <w:marLeft w:val="0"/>
          <w:marRight w:val="0"/>
          <w:marTop w:val="0"/>
          <w:marBottom w:val="0"/>
          <w:divBdr>
            <w:top w:val="none" w:sz="0" w:space="0" w:color="auto"/>
            <w:left w:val="none" w:sz="0" w:space="0" w:color="auto"/>
            <w:bottom w:val="none" w:sz="0" w:space="0" w:color="auto"/>
            <w:right w:val="none" w:sz="0" w:space="0" w:color="auto"/>
          </w:divBdr>
        </w:div>
        <w:div w:id="469977109">
          <w:marLeft w:val="0"/>
          <w:marRight w:val="0"/>
          <w:marTop w:val="0"/>
          <w:marBottom w:val="0"/>
          <w:divBdr>
            <w:top w:val="none" w:sz="0" w:space="0" w:color="auto"/>
            <w:left w:val="none" w:sz="0" w:space="0" w:color="auto"/>
            <w:bottom w:val="none" w:sz="0" w:space="0" w:color="auto"/>
            <w:right w:val="none" w:sz="0" w:space="0" w:color="auto"/>
          </w:divBdr>
        </w:div>
        <w:div w:id="1847742798">
          <w:marLeft w:val="0"/>
          <w:marRight w:val="0"/>
          <w:marTop w:val="0"/>
          <w:marBottom w:val="0"/>
          <w:divBdr>
            <w:top w:val="none" w:sz="0" w:space="0" w:color="auto"/>
            <w:left w:val="none" w:sz="0" w:space="0" w:color="auto"/>
            <w:bottom w:val="none" w:sz="0" w:space="0" w:color="auto"/>
            <w:right w:val="none" w:sz="0" w:space="0" w:color="auto"/>
          </w:divBdr>
        </w:div>
        <w:div w:id="754977389">
          <w:marLeft w:val="0"/>
          <w:marRight w:val="0"/>
          <w:marTop w:val="0"/>
          <w:marBottom w:val="0"/>
          <w:divBdr>
            <w:top w:val="none" w:sz="0" w:space="0" w:color="auto"/>
            <w:left w:val="none" w:sz="0" w:space="0" w:color="auto"/>
            <w:bottom w:val="none" w:sz="0" w:space="0" w:color="auto"/>
            <w:right w:val="none" w:sz="0" w:space="0" w:color="auto"/>
          </w:divBdr>
        </w:div>
        <w:div w:id="237255211">
          <w:marLeft w:val="0"/>
          <w:marRight w:val="0"/>
          <w:marTop w:val="0"/>
          <w:marBottom w:val="0"/>
          <w:divBdr>
            <w:top w:val="none" w:sz="0" w:space="0" w:color="auto"/>
            <w:left w:val="none" w:sz="0" w:space="0" w:color="auto"/>
            <w:bottom w:val="none" w:sz="0" w:space="0" w:color="auto"/>
            <w:right w:val="none" w:sz="0" w:space="0" w:color="auto"/>
          </w:divBdr>
        </w:div>
        <w:div w:id="218594642">
          <w:marLeft w:val="0"/>
          <w:marRight w:val="0"/>
          <w:marTop w:val="0"/>
          <w:marBottom w:val="0"/>
          <w:divBdr>
            <w:top w:val="none" w:sz="0" w:space="0" w:color="auto"/>
            <w:left w:val="none" w:sz="0" w:space="0" w:color="auto"/>
            <w:bottom w:val="none" w:sz="0" w:space="0" w:color="auto"/>
            <w:right w:val="none" w:sz="0" w:space="0" w:color="auto"/>
          </w:divBdr>
        </w:div>
        <w:div w:id="1396783654">
          <w:marLeft w:val="0"/>
          <w:marRight w:val="0"/>
          <w:marTop w:val="0"/>
          <w:marBottom w:val="0"/>
          <w:divBdr>
            <w:top w:val="none" w:sz="0" w:space="0" w:color="auto"/>
            <w:left w:val="none" w:sz="0" w:space="0" w:color="auto"/>
            <w:bottom w:val="none" w:sz="0" w:space="0" w:color="auto"/>
            <w:right w:val="none" w:sz="0" w:space="0" w:color="auto"/>
          </w:divBdr>
        </w:div>
        <w:div w:id="1592926720">
          <w:marLeft w:val="0"/>
          <w:marRight w:val="0"/>
          <w:marTop w:val="0"/>
          <w:marBottom w:val="0"/>
          <w:divBdr>
            <w:top w:val="none" w:sz="0" w:space="0" w:color="auto"/>
            <w:left w:val="none" w:sz="0" w:space="0" w:color="auto"/>
            <w:bottom w:val="none" w:sz="0" w:space="0" w:color="auto"/>
            <w:right w:val="none" w:sz="0" w:space="0" w:color="auto"/>
          </w:divBdr>
        </w:div>
        <w:div w:id="1953172906">
          <w:marLeft w:val="0"/>
          <w:marRight w:val="0"/>
          <w:marTop w:val="0"/>
          <w:marBottom w:val="0"/>
          <w:divBdr>
            <w:top w:val="none" w:sz="0" w:space="0" w:color="auto"/>
            <w:left w:val="none" w:sz="0" w:space="0" w:color="auto"/>
            <w:bottom w:val="none" w:sz="0" w:space="0" w:color="auto"/>
            <w:right w:val="none" w:sz="0" w:space="0" w:color="auto"/>
          </w:divBdr>
        </w:div>
        <w:div w:id="797845415">
          <w:marLeft w:val="0"/>
          <w:marRight w:val="0"/>
          <w:marTop w:val="0"/>
          <w:marBottom w:val="0"/>
          <w:divBdr>
            <w:top w:val="none" w:sz="0" w:space="0" w:color="auto"/>
            <w:left w:val="none" w:sz="0" w:space="0" w:color="auto"/>
            <w:bottom w:val="none" w:sz="0" w:space="0" w:color="auto"/>
            <w:right w:val="none" w:sz="0" w:space="0" w:color="auto"/>
          </w:divBdr>
        </w:div>
        <w:div w:id="1252548912">
          <w:marLeft w:val="0"/>
          <w:marRight w:val="0"/>
          <w:marTop w:val="0"/>
          <w:marBottom w:val="0"/>
          <w:divBdr>
            <w:top w:val="none" w:sz="0" w:space="0" w:color="auto"/>
            <w:left w:val="none" w:sz="0" w:space="0" w:color="auto"/>
            <w:bottom w:val="none" w:sz="0" w:space="0" w:color="auto"/>
            <w:right w:val="none" w:sz="0" w:space="0" w:color="auto"/>
          </w:divBdr>
        </w:div>
        <w:div w:id="132909867">
          <w:marLeft w:val="0"/>
          <w:marRight w:val="0"/>
          <w:marTop w:val="0"/>
          <w:marBottom w:val="0"/>
          <w:divBdr>
            <w:top w:val="none" w:sz="0" w:space="0" w:color="auto"/>
            <w:left w:val="none" w:sz="0" w:space="0" w:color="auto"/>
            <w:bottom w:val="none" w:sz="0" w:space="0" w:color="auto"/>
            <w:right w:val="none" w:sz="0" w:space="0" w:color="auto"/>
          </w:divBdr>
        </w:div>
        <w:div w:id="2121073037">
          <w:marLeft w:val="0"/>
          <w:marRight w:val="0"/>
          <w:marTop w:val="0"/>
          <w:marBottom w:val="0"/>
          <w:divBdr>
            <w:top w:val="none" w:sz="0" w:space="0" w:color="auto"/>
            <w:left w:val="none" w:sz="0" w:space="0" w:color="auto"/>
            <w:bottom w:val="none" w:sz="0" w:space="0" w:color="auto"/>
            <w:right w:val="none" w:sz="0" w:space="0" w:color="auto"/>
          </w:divBdr>
        </w:div>
        <w:div w:id="1987784308">
          <w:marLeft w:val="0"/>
          <w:marRight w:val="0"/>
          <w:marTop w:val="0"/>
          <w:marBottom w:val="0"/>
          <w:divBdr>
            <w:top w:val="none" w:sz="0" w:space="0" w:color="auto"/>
            <w:left w:val="none" w:sz="0" w:space="0" w:color="auto"/>
            <w:bottom w:val="none" w:sz="0" w:space="0" w:color="auto"/>
            <w:right w:val="none" w:sz="0" w:space="0" w:color="auto"/>
          </w:divBdr>
        </w:div>
        <w:div w:id="454369506">
          <w:marLeft w:val="0"/>
          <w:marRight w:val="0"/>
          <w:marTop w:val="0"/>
          <w:marBottom w:val="0"/>
          <w:divBdr>
            <w:top w:val="none" w:sz="0" w:space="0" w:color="auto"/>
            <w:left w:val="none" w:sz="0" w:space="0" w:color="auto"/>
            <w:bottom w:val="none" w:sz="0" w:space="0" w:color="auto"/>
            <w:right w:val="none" w:sz="0" w:space="0" w:color="auto"/>
          </w:divBdr>
        </w:div>
        <w:div w:id="217324288">
          <w:marLeft w:val="0"/>
          <w:marRight w:val="0"/>
          <w:marTop w:val="0"/>
          <w:marBottom w:val="0"/>
          <w:divBdr>
            <w:top w:val="none" w:sz="0" w:space="0" w:color="auto"/>
            <w:left w:val="none" w:sz="0" w:space="0" w:color="auto"/>
            <w:bottom w:val="none" w:sz="0" w:space="0" w:color="auto"/>
            <w:right w:val="none" w:sz="0" w:space="0" w:color="auto"/>
          </w:divBdr>
        </w:div>
        <w:div w:id="1636056527">
          <w:marLeft w:val="0"/>
          <w:marRight w:val="0"/>
          <w:marTop w:val="0"/>
          <w:marBottom w:val="0"/>
          <w:divBdr>
            <w:top w:val="none" w:sz="0" w:space="0" w:color="auto"/>
            <w:left w:val="none" w:sz="0" w:space="0" w:color="auto"/>
            <w:bottom w:val="none" w:sz="0" w:space="0" w:color="auto"/>
            <w:right w:val="none" w:sz="0" w:space="0" w:color="auto"/>
          </w:divBdr>
        </w:div>
        <w:div w:id="1275019623">
          <w:marLeft w:val="0"/>
          <w:marRight w:val="0"/>
          <w:marTop w:val="0"/>
          <w:marBottom w:val="0"/>
          <w:divBdr>
            <w:top w:val="none" w:sz="0" w:space="0" w:color="auto"/>
            <w:left w:val="none" w:sz="0" w:space="0" w:color="auto"/>
            <w:bottom w:val="none" w:sz="0" w:space="0" w:color="auto"/>
            <w:right w:val="none" w:sz="0" w:space="0" w:color="auto"/>
          </w:divBdr>
        </w:div>
        <w:div w:id="852885648">
          <w:marLeft w:val="0"/>
          <w:marRight w:val="0"/>
          <w:marTop w:val="0"/>
          <w:marBottom w:val="0"/>
          <w:divBdr>
            <w:top w:val="none" w:sz="0" w:space="0" w:color="auto"/>
            <w:left w:val="none" w:sz="0" w:space="0" w:color="auto"/>
            <w:bottom w:val="none" w:sz="0" w:space="0" w:color="auto"/>
            <w:right w:val="none" w:sz="0" w:space="0" w:color="auto"/>
          </w:divBdr>
        </w:div>
        <w:div w:id="207229013">
          <w:marLeft w:val="0"/>
          <w:marRight w:val="0"/>
          <w:marTop w:val="0"/>
          <w:marBottom w:val="0"/>
          <w:divBdr>
            <w:top w:val="none" w:sz="0" w:space="0" w:color="auto"/>
            <w:left w:val="none" w:sz="0" w:space="0" w:color="auto"/>
            <w:bottom w:val="none" w:sz="0" w:space="0" w:color="auto"/>
            <w:right w:val="none" w:sz="0" w:space="0" w:color="auto"/>
          </w:divBdr>
        </w:div>
        <w:div w:id="137576350">
          <w:marLeft w:val="0"/>
          <w:marRight w:val="0"/>
          <w:marTop w:val="0"/>
          <w:marBottom w:val="0"/>
          <w:divBdr>
            <w:top w:val="none" w:sz="0" w:space="0" w:color="auto"/>
            <w:left w:val="none" w:sz="0" w:space="0" w:color="auto"/>
            <w:bottom w:val="none" w:sz="0" w:space="0" w:color="auto"/>
            <w:right w:val="none" w:sz="0" w:space="0" w:color="auto"/>
          </w:divBdr>
        </w:div>
        <w:div w:id="473987455">
          <w:marLeft w:val="0"/>
          <w:marRight w:val="0"/>
          <w:marTop w:val="0"/>
          <w:marBottom w:val="0"/>
          <w:divBdr>
            <w:top w:val="none" w:sz="0" w:space="0" w:color="auto"/>
            <w:left w:val="none" w:sz="0" w:space="0" w:color="auto"/>
            <w:bottom w:val="none" w:sz="0" w:space="0" w:color="auto"/>
            <w:right w:val="none" w:sz="0" w:space="0" w:color="auto"/>
          </w:divBdr>
        </w:div>
        <w:div w:id="598680142">
          <w:marLeft w:val="0"/>
          <w:marRight w:val="0"/>
          <w:marTop w:val="0"/>
          <w:marBottom w:val="0"/>
          <w:divBdr>
            <w:top w:val="none" w:sz="0" w:space="0" w:color="auto"/>
            <w:left w:val="none" w:sz="0" w:space="0" w:color="auto"/>
            <w:bottom w:val="none" w:sz="0" w:space="0" w:color="auto"/>
            <w:right w:val="none" w:sz="0" w:space="0" w:color="auto"/>
          </w:divBdr>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374970">
      <w:bodyDiv w:val="1"/>
      <w:marLeft w:val="0"/>
      <w:marRight w:val="0"/>
      <w:marTop w:val="0"/>
      <w:marBottom w:val="0"/>
      <w:divBdr>
        <w:top w:val="none" w:sz="0" w:space="0" w:color="auto"/>
        <w:left w:val="none" w:sz="0" w:space="0" w:color="auto"/>
        <w:bottom w:val="none" w:sz="0" w:space="0" w:color="auto"/>
        <w:right w:val="none" w:sz="0" w:space="0" w:color="auto"/>
      </w:divBdr>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0978923">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2754698">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69859655">
      <w:bodyDiv w:val="1"/>
      <w:marLeft w:val="0"/>
      <w:marRight w:val="0"/>
      <w:marTop w:val="0"/>
      <w:marBottom w:val="0"/>
      <w:divBdr>
        <w:top w:val="none" w:sz="0" w:space="0" w:color="auto"/>
        <w:left w:val="none" w:sz="0" w:space="0" w:color="auto"/>
        <w:bottom w:val="none" w:sz="0" w:space="0" w:color="auto"/>
        <w:right w:val="none" w:sz="0" w:space="0" w:color="auto"/>
      </w:divBdr>
    </w:div>
    <w:div w:id="775096108">
      <w:bodyDiv w:val="1"/>
      <w:marLeft w:val="0"/>
      <w:marRight w:val="0"/>
      <w:marTop w:val="0"/>
      <w:marBottom w:val="0"/>
      <w:divBdr>
        <w:top w:val="none" w:sz="0" w:space="0" w:color="auto"/>
        <w:left w:val="none" w:sz="0" w:space="0" w:color="auto"/>
        <w:bottom w:val="none" w:sz="0" w:space="0" w:color="auto"/>
        <w:right w:val="none" w:sz="0" w:space="0" w:color="auto"/>
      </w:divBdr>
    </w:div>
    <w:div w:id="780219730">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47519234">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38702657">
      <w:bodyDiv w:val="1"/>
      <w:marLeft w:val="0"/>
      <w:marRight w:val="0"/>
      <w:marTop w:val="0"/>
      <w:marBottom w:val="0"/>
      <w:divBdr>
        <w:top w:val="none" w:sz="0" w:space="0" w:color="auto"/>
        <w:left w:val="none" w:sz="0" w:space="0" w:color="auto"/>
        <w:bottom w:val="none" w:sz="0" w:space="0" w:color="auto"/>
        <w:right w:val="none" w:sz="0" w:space="0" w:color="auto"/>
      </w:divBdr>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67269241">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20952126">
      <w:bodyDiv w:val="1"/>
      <w:marLeft w:val="0"/>
      <w:marRight w:val="0"/>
      <w:marTop w:val="0"/>
      <w:marBottom w:val="0"/>
      <w:divBdr>
        <w:top w:val="none" w:sz="0" w:space="0" w:color="auto"/>
        <w:left w:val="none" w:sz="0" w:space="0" w:color="auto"/>
        <w:bottom w:val="none" w:sz="0" w:space="0" w:color="auto"/>
        <w:right w:val="none" w:sz="0" w:space="0" w:color="auto"/>
      </w:divBdr>
    </w:div>
    <w:div w:id="1130829079">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33151986">
      <w:bodyDiv w:val="1"/>
      <w:marLeft w:val="0"/>
      <w:marRight w:val="0"/>
      <w:marTop w:val="0"/>
      <w:marBottom w:val="0"/>
      <w:divBdr>
        <w:top w:val="none" w:sz="0" w:space="0" w:color="auto"/>
        <w:left w:val="none" w:sz="0" w:space="0" w:color="auto"/>
        <w:bottom w:val="none" w:sz="0" w:space="0" w:color="auto"/>
        <w:right w:val="none" w:sz="0" w:space="0" w:color="auto"/>
      </w:divBdr>
    </w:div>
    <w:div w:id="1250506207">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76446345">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6833607">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44824306">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1453629">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612807">
      <w:bodyDiv w:val="1"/>
      <w:marLeft w:val="0"/>
      <w:marRight w:val="0"/>
      <w:marTop w:val="0"/>
      <w:marBottom w:val="0"/>
      <w:divBdr>
        <w:top w:val="none" w:sz="0" w:space="0" w:color="auto"/>
        <w:left w:val="none" w:sz="0" w:space="0" w:color="auto"/>
        <w:bottom w:val="none" w:sz="0" w:space="0" w:color="auto"/>
        <w:right w:val="none" w:sz="0" w:space="0" w:color="auto"/>
      </w:divBdr>
    </w:div>
    <w:div w:id="1609893645">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5769381">
      <w:bodyDiv w:val="1"/>
      <w:marLeft w:val="0"/>
      <w:marRight w:val="0"/>
      <w:marTop w:val="0"/>
      <w:marBottom w:val="0"/>
      <w:divBdr>
        <w:top w:val="none" w:sz="0" w:space="0" w:color="auto"/>
        <w:left w:val="none" w:sz="0" w:space="0" w:color="auto"/>
        <w:bottom w:val="none" w:sz="0" w:space="0" w:color="auto"/>
        <w:right w:val="none" w:sz="0" w:space="0" w:color="auto"/>
      </w:divBdr>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253768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36856449">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223948">
      <w:bodyDiv w:val="1"/>
      <w:marLeft w:val="0"/>
      <w:marRight w:val="0"/>
      <w:marTop w:val="0"/>
      <w:marBottom w:val="0"/>
      <w:divBdr>
        <w:top w:val="none" w:sz="0" w:space="0" w:color="auto"/>
        <w:left w:val="none" w:sz="0" w:space="0" w:color="auto"/>
        <w:bottom w:val="none" w:sz="0" w:space="0" w:color="auto"/>
        <w:right w:val="none" w:sz="0" w:space="0" w:color="auto"/>
      </w:divBdr>
    </w:div>
    <w:div w:id="1790466627">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1752339">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500160">
      <w:bodyDiv w:val="1"/>
      <w:marLeft w:val="0"/>
      <w:marRight w:val="0"/>
      <w:marTop w:val="0"/>
      <w:marBottom w:val="0"/>
      <w:divBdr>
        <w:top w:val="none" w:sz="0" w:space="0" w:color="auto"/>
        <w:left w:val="none" w:sz="0" w:space="0" w:color="auto"/>
        <w:bottom w:val="none" w:sz="0" w:space="0" w:color="auto"/>
        <w:right w:val="none" w:sz="0" w:space="0" w:color="auto"/>
      </w:divBdr>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69635999">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0189721">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414109">
      <w:bodyDiv w:val="1"/>
      <w:marLeft w:val="0"/>
      <w:marRight w:val="0"/>
      <w:marTop w:val="0"/>
      <w:marBottom w:val="0"/>
      <w:divBdr>
        <w:top w:val="none" w:sz="0" w:space="0" w:color="auto"/>
        <w:left w:val="none" w:sz="0" w:space="0" w:color="auto"/>
        <w:bottom w:val="none" w:sz="0" w:space="0" w:color="auto"/>
        <w:right w:val="none" w:sz="0" w:space="0" w:color="auto"/>
      </w:divBdr>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24709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71323304">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87334319">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096899811">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325669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160966"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funcionpublica.gov.co/eva/gestornormativo/norma.php?i=25678"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sites/cce_public/files/files_2020/vf_umbrales_actualizaciones_2022_-_2023_1.pdf" TargetMode="External"/><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8D2D386-2F6A-4199-BF0D-FFA0881D17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35276D7F-BE29-4AF7-AAD6-66F96736CB11}">
  <ds:schemaRefs>
    <ds:schemaRef ds:uri="http://schemas.openxmlformats.org/officeDocument/2006/bibliography"/>
  </ds:schemaRefs>
</ds:datastoreItem>
</file>

<file path=customXml/itemProps4.xml><?xml version="1.0" encoding="utf-8"?>
<ds:datastoreItem xmlns:ds="http://schemas.openxmlformats.org/officeDocument/2006/customXml" ds:itemID="{2D4414C5-DEED-4B13-A7CA-6B19E7E10D7B}">
  <ds:schemaRefs>
    <ds:schemaRef ds:uri="http://www.w3.org/XML/1998/namespace"/>
    <ds:schemaRef ds:uri="http://purl.org/dc/terms/"/>
    <ds:schemaRef ds:uri="http://schemas.openxmlformats.org/package/2006/metadata/core-properties"/>
    <ds:schemaRef ds:uri="9d85dbaf-23eb-4e57-a637-93dcacc8b1a1"/>
    <ds:schemaRef ds:uri="http://purl.org/dc/elements/1.1/"/>
    <ds:schemaRef ds:uri="http://schemas.microsoft.com/office/2006/metadata/properties"/>
    <ds:schemaRef ds:uri="http://schemas.microsoft.com/office/infopath/2007/PartnerControls"/>
    <ds:schemaRef ds:uri="http://schemas.microsoft.com/office/2006/documentManagement/types"/>
    <ds:schemaRef ds:uri="a6cb9e4b-f1d1-4245-83ec-6cad768d538a"/>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1</TotalTime>
  <Pages>25</Pages>
  <Words>9491</Words>
  <Characters>52205</Characters>
  <Application>Microsoft Office Word</Application>
  <DocSecurity>0</DocSecurity>
  <Lines>435</Lines>
  <Paragraphs>123</Paragraphs>
  <ScaleCrop>false</ScaleCrop>
  <Company/>
  <LinksUpToDate>false</LinksUpToDate>
  <CharactersWithSpaces>61573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Ana Maria Velez Arteaga</cp:lastModifiedBy>
  <cp:revision>2</cp:revision>
  <cp:lastPrinted>2020-01-30T15:05:00Z</cp:lastPrinted>
  <dcterms:created xsi:type="dcterms:W3CDTF">2023-02-20T15:53:00Z</dcterms:created>
  <dcterms:modified xsi:type="dcterms:W3CDTF">2023-02-20T15:53:00Z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