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71700C" w14:textId="77777777" w:rsidR="004A48C9" w:rsidRPr="004A48C9" w:rsidRDefault="004A48C9" w:rsidP="004A48C9">
      <w:pPr>
        <w:tabs>
          <w:tab w:val="left" w:pos="6551"/>
        </w:tabs>
        <w:spacing w:after="0" w:line="240" w:lineRule="auto"/>
        <w:contextualSpacing/>
        <w:jc w:val="both"/>
        <w:rPr>
          <w:rFonts w:ascii="Arial" w:eastAsia="Calibri" w:hAnsi="Arial" w:cs="Arial"/>
          <w:b/>
          <w:lang w:val="es-ES_tradnl" w:eastAsia="es-ES_tradnl"/>
        </w:rPr>
      </w:pPr>
      <w:r w:rsidRPr="004A48C9">
        <w:rPr>
          <w:rFonts w:ascii="Arial" w:eastAsia="Calibri" w:hAnsi="Arial" w:cs="Arial"/>
          <w:b/>
          <w:lang w:val="es-ES_tradnl" w:eastAsia="es-ES_tradnl"/>
        </w:rPr>
        <w:t xml:space="preserve">LEY DE EMPRENDIMIENTO – Ley 2069 de 2020 – </w:t>
      </w:r>
      <w:r w:rsidRPr="00390245">
        <w:rPr>
          <w:rFonts w:ascii="Arial" w:eastAsia="Calibri" w:hAnsi="Arial" w:cs="Arial"/>
          <w:b/>
          <w:lang w:val="es-ES_tradnl" w:eastAsia="es-ES_tradnl"/>
        </w:rPr>
        <w:t>Vigencia</w:t>
      </w:r>
      <w:r w:rsidRPr="004A48C9">
        <w:rPr>
          <w:rFonts w:ascii="Arial" w:eastAsia="Calibri" w:hAnsi="Arial" w:cs="Arial"/>
          <w:b/>
          <w:lang w:val="es-ES_tradnl" w:eastAsia="es-ES_tradnl"/>
        </w:rPr>
        <w:t xml:space="preserve"> </w:t>
      </w:r>
    </w:p>
    <w:p w14:paraId="3BE4390D" w14:textId="77777777" w:rsidR="004A48C9" w:rsidRPr="004A48C9" w:rsidRDefault="004A48C9" w:rsidP="004A48C9">
      <w:pPr>
        <w:tabs>
          <w:tab w:val="left" w:pos="6551"/>
        </w:tabs>
        <w:spacing w:after="0" w:line="240" w:lineRule="auto"/>
        <w:contextualSpacing/>
        <w:jc w:val="both"/>
        <w:rPr>
          <w:rFonts w:ascii="Arial" w:eastAsia="Calibri" w:hAnsi="Arial" w:cs="Arial"/>
          <w:b/>
          <w:sz w:val="20"/>
          <w:szCs w:val="20"/>
          <w:lang w:val="es-ES_tradnl" w:eastAsia="es-ES_tradnl"/>
        </w:rPr>
      </w:pPr>
    </w:p>
    <w:p w14:paraId="3037CD67" w14:textId="77777777" w:rsidR="0058510B" w:rsidRPr="00F23EEF" w:rsidRDefault="0058510B" w:rsidP="00F23EEF">
      <w:pPr>
        <w:spacing w:after="0" w:line="240" w:lineRule="auto"/>
        <w:jc w:val="both"/>
        <w:rPr>
          <w:rFonts w:ascii="Arial" w:eastAsia="Calibri" w:hAnsi="Arial" w:cs="Arial"/>
          <w:sz w:val="20"/>
          <w:szCs w:val="20"/>
          <w:lang w:val="es-ES_tradnl" w:eastAsia="es-ES_tradnl"/>
        </w:rPr>
      </w:pPr>
      <w:r w:rsidRPr="00F23EEF">
        <w:rPr>
          <w:rFonts w:ascii="Arial" w:eastAsia="Calibri" w:hAnsi="Arial" w:cs="Arial"/>
          <w:sz w:val="20"/>
          <w:szCs w:val="20"/>
          <w:lang w:val="es-ES_tradnl"/>
        </w:rPr>
        <w:t xml:space="preserve">El 31 de diciembre de 2020 se promulgó la Ley 2069, «Por medio de la cual se impulsa el emprendimiento en Colombia». De acuerdo con su artículo 84: «La presente Ley rige a partir del momento de su promulgación […]», lo que significa que es obligatoria para sus destinatarios desde esa fecha. </w:t>
      </w:r>
      <w:r w:rsidRPr="00F23EEF">
        <w:rPr>
          <w:rFonts w:ascii="Arial" w:eastAsia="Calibri" w:hAnsi="Arial" w:cs="Arial"/>
          <w:sz w:val="20"/>
          <w:szCs w:val="20"/>
          <w:lang w:val="es-ES_tradnl" w:eastAsia="es-ES_tradnl"/>
        </w:rPr>
        <w:t xml:space="preserve">Lo anterior, sin perjuicio de la posibilidad de que el Gobierno Nacional, en ejercicio de la potestad reglamentaria que le confiere el numeral 11 del artículo 189 de la Constitución Política, expida el decreto correspondiente que permita la cumplida ejecución de esta Ley, potestad que fue ejercida con la expedición del Decreto 1860 de 2021, al cual se hará referencia más adelante. </w:t>
      </w:r>
    </w:p>
    <w:p w14:paraId="711FE737" w14:textId="77777777" w:rsidR="004A48C9" w:rsidRPr="004A48C9" w:rsidRDefault="004A48C9" w:rsidP="00F23EEF">
      <w:pPr>
        <w:tabs>
          <w:tab w:val="left" w:pos="6551"/>
        </w:tabs>
        <w:spacing w:after="0" w:line="240" w:lineRule="auto"/>
        <w:jc w:val="both"/>
        <w:rPr>
          <w:rFonts w:ascii="Arial" w:eastAsia="Calibri" w:hAnsi="Arial" w:cs="Arial"/>
          <w:sz w:val="20"/>
          <w:szCs w:val="20"/>
          <w:lang w:val="es-ES_tradnl" w:eastAsia="es-ES_tradnl"/>
        </w:rPr>
      </w:pPr>
    </w:p>
    <w:p w14:paraId="6FF6195F" w14:textId="77777777" w:rsidR="004A48C9" w:rsidRPr="004A48C9" w:rsidRDefault="004A48C9" w:rsidP="004A48C9">
      <w:pPr>
        <w:spacing w:after="0" w:line="240" w:lineRule="auto"/>
        <w:contextualSpacing/>
        <w:jc w:val="both"/>
        <w:rPr>
          <w:rFonts w:ascii="Arial" w:eastAsia="Calibri" w:hAnsi="Arial" w:cs="Arial"/>
          <w:b/>
          <w:lang w:val="es-ES_tradnl" w:eastAsia="es-ES_tradnl"/>
        </w:rPr>
      </w:pPr>
      <w:r w:rsidRPr="004A48C9">
        <w:rPr>
          <w:rFonts w:ascii="Arial" w:eastAsia="Calibri" w:hAnsi="Arial" w:cs="Arial"/>
          <w:b/>
          <w:lang w:val="es-ES_tradnl" w:eastAsia="es-ES_tradnl"/>
        </w:rPr>
        <w:t xml:space="preserve">MIPYME – Ley 2069 – Artículo 34 – Convocatorias limitadas </w:t>
      </w:r>
    </w:p>
    <w:p w14:paraId="4F383D09" w14:textId="77777777" w:rsidR="004A48C9" w:rsidRPr="004A48C9" w:rsidRDefault="004A48C9" w:rsidP="004A48C9">
      <w:pPr>
        <w:spacing w:after="0" w:line="240" w:lineRule="auto"/>
        <w:contextualSpacing/>
        <w:jc w:val="both"/>
        <w:rPr>
          <w:rFonts w:ascii="Arial" w:eastAsia="Calibri" w:hAnsi="Arial" w:cs="Arial"/>
          <w:sz w:val="20"/>
          <w:szCs w:val="20"/>
          <w:lang w:val="es-ES_tradnl" w:eastAsia="es-ES_tradnl"/>
        </w:rPr>
      </w:pPr>
    </w:p>
    <w:p w14:paraId="3B8A4EEC" w14:textId="78FDA38D" w:rsidR="004A48C9" w:rsidRPr="00B3179C" w:rsidRDefault="00BC31FC" w:rsidP="004A48C9">
      <w:pPr>
        <w:spacing w:after="0" w:line="240" w:lineRule="auto"/>
        <w:contextualSpacing/>
        <w:jc w:val="both"/>
        <w:rPr>
          <w:rFonts w:ascii="Arial" w:eastAsia="Calibri" w:hAnsi="Arial" w:cs="Arial"/>
          <w:sz w:val="20"/>
          <w:szCs w:val="20"/>
          <w:lang w:val="es-ES_tradnl" w:eastAsia="es-ES_tradnl"/>
        </w:rPr>
      </w:pPr>
      <w:r w:rsidRPr="00B3179C">
        <w:rPr>
          <w:rFonts w:ascii="Arial" w:eastAsia="Calibri" w:hAnsi="Arial" w:cs="Arial"/>
          <w:sz w:val="20"/>
          <w:szCs w:val="20"/>
          <w:lang w:val="es-ES_tradnl" w:eastAsia="es-ES_tradnl"/>
        </w:rPr>
        <w:t>El artículo 34 de la Ley 2069 de 2020 establece nuevas reglas sobre la promoción al desarrollo en la contratación estatal. Concretamente, esta disposición modifica el contenido del artículo 12 de la Ley 1150 de 2007</w:t>
      </w:r>
      <w:r w:rsidR="004A48C9" w:rsidRPr="00B3179C">
        <w:rPr>
          <w:rFonts w:ascii="Arial" w:eastAsia="Calibri" w:hAnsi="Arial" w:cs="Arial"/>
          <w:sz w:val="20"/>
          <w:szCs w:val="20"/>
          <w:lang w:val="es-ES_tradnl" w:eastAsia="es-ES_tradnl"/>
        </w:rPr>
        <w:t xml:space="preserve"> […]</w:t>
      </w:r>
    </w:p>
    <w:p w14:paraId="4402869B" w14:textId="77777777" w:rsidR="004A48C9" w:rsidRPr="004A48C9" w:rsidRDefault="004A48C9" w:rsidP="004A48C9">
      <w:pPr>
        <w:spacing w:after="0" w:line="240" w:lineRule="auto"/>
        <w:contextualSpacing/>
        <w:jc w:val="both"/>
        <w:rPr>
          <w:rFonts w:ascii="Arial" w:eastAsia="Calibri" w:hAnsi="Arial" w:cs="Arial"/>
          <w:sz w:val="20"/>
          <w:szCs w:val="20"/>
          <w:lang w:val="es-ES_tradnl" w:eastAsia="es-ES_tradnl"/>
        </w:rPr>
      </w:pPr>
    </w:p>
    <w:p w14:paraId="2FF2BE1A" w14:textId="77777777" w:rsidR="004A48C9" w:rsidRPr="004A48C9" w:rsidRDefault="004A48C9" w:rsidP="004A48C9">
      <w:pPr>
        <w:spacing w:after="0" w:line="240" w:lineRule="auto"/>
        <w:contextualSpacing/>
        <w:jc w:val="both"/>
        <w:textAlignment w:val="baseline"/>
        <w:rPr>
          <w:rFonts w:ascii="Arial" w:eastAsia="Times New Roman" w:hAnsi="Arial" w:cs="Arial"/>
          <w:lang w:eastAsia="es-CO"/>
        </w:rPr>
      </w:pPr>
      <w:r w:rsidRPr="004A48C9">
        <w:rPr>
          <w:rFonts w:ascii="Arial" w:eastAsia="Times New Roman" w:hAnsi="Arial" w:cs="Arial"/>
          <w:b/>
          <w:bCs/>
          <w:lang w:val="es-ES" w:eastAsia="es-CO"/>
        </w:rPr>
        <w:t xml:space="preserve">MIPYME </w:t>
      </w:r>
      <w:r w:rsidRPr="004A48C9">
        <w:rPr>
          <w:rFonts w:ascii="Arial" w:eastAsia="Times New Roman" w:hAnsi="Arial" w:cs="Arial"/>
          <w:b/>
          <w:bCs/>
          <w:lang w:eastAsia="es-CO"/>
        </w:rPr>
        <w:t>– Convocatoria limitada – Decreto 1860 de 2021</w:t>
      </w:r>
    </w:p>
    <w:p w14:paraId="0E73C477" w14:textId="77777777" w:rsidR="004A48C9" w:rsidRPr="004A48C9" w:rsidRDefault="004A48C9" w:rsidP="004A48C9">
      <w:pPr>
        <w:spacing w:after="0" w:line="240" w:lineRule="auto"/>
        <w:contextualSpacing/>
        <w:jc w:val="both"/>
        <w:textAlignment w:val="baseline"/>
        <w:rPr>
          <w:rFonts w:ascii="Arial" w:eastAsia="Times New Roman" w:hAnsi="Arial" w:cs="Arial"/>
          <w:b/>
          <w:bCs/>
          <w:sz w:val="20"/>
          <w:szCs w:val="20"/>
          <w:lang w:val="es-ES" w:eastAsia="es-CO"/>
        </w:rPr>
      </w:pPr>
    </w:p>
    <w:p w14:paraId="105A3191" w14:textId="77777777" w:rsidR="00BC31FC" w:rsidRPr="00F23EEF" w:rsidRDefault="00BC31FC" w:rsidP="00F23EEF">
      <w:pPr>
        <w:spacing w:after="120" w:line="240" w:lineRule="auto"/>
        <w:jc w:val="both"/>
        <w:rPr>
          <w:rFonts w:ascii="Arial" w:eastAsia="Times New Roman" w:hAnsi="Arial" w:cs="Arial"/>
          <w:bCs/>
          <w:sz w:val="20"/>
          <w:szCs w:val="20"/>
          <w:lang w:val="es-ES_tradnl" w:eastAsia="es-ES"/>
        </w:rPr>
      </w:pPr>
      <w:r w:rsidRPr="00F23EEF">
        <w:rPr>
          <w:rFonts w:ascii="Arial" w:eastAsia="Times New Roman" w:hAnsi="Arial" w:cs="Arial"/>
          <w:sz w:val="20"/>
          <w:szCs w:val="20"/>
          <w:lang w:val="es-ES_tradnl" w:eastAsia="es-ES"/>
        </w:rPr>
        <w:t xml:space="preserve">Como se expuso brevemente en el numeral anterior, el 24 de diciembre de 2021 se expidió el Decreto 1860, </w:t>
      </w:r>
      <w:r w:rsidRPr="00F23EEF">
        <w:rPr>
          <w:rFonts w:ascii="Arial" w:eastAsia="Times New Roman" w:hAnsi="Arial" w:cs="Arial"/>
          <w:bCs/>
          <w:sz w:val="20"/>
          <w:szCs w:val="20"/>
          <w:lang w:val="es-ES_tradnl" w:eastAsia="es-ES"/>
        </w:rPr>
        <w:t xml:space="preserve">«Por el cual se modifica y adiciona el Decreto 1082 de 2015, Único Reglamentario del Sector Administrativo de Planeación Nacional, con el fin de reglamentar los artículos 30, 31, 32, 34 y 35 de la Ley 2069 de 2020, en lo relativo al sistema de compras públicas y se dictan otras disposiciones». Entre los aspectos reglamentados por el decreto indicado se encuentran las convocatorias limitadas a Mipyme. Al respecto, el artículo 5 modifica </w:t>
      </w:r>
      <w:r w:rsidRPr="00F23EEF">
        <w:rPr>
          <w:rFonts w:ascii="Arial" w:eastAsia="Times New Roman" w:hAnsi="Arial" w:cs="Arial"/>
          <w:bCs/>
          <w:sz w:val="20"/>
          <w:szCs w:val="20"/>
          <w:lang w:eastAsia="es-ES"/>
        </w:rPr>
        <w:t>los artículos 2.2.1.2.4.2.2., 2.2.1.2.4.2.3. y 2.2.1.2.4.2.4. de la Subsección 2 de la Sección 4 del Capítulo 2 del Título 1 de la Parte 2 del Libro 2 del Decreto 1082 de 2015,</w:t>
      </w:r>
      <w:r w:rsidRPr="00F23EEF">
        <w:rPr>
          <w:rFonts w:ascii="Arial" w:eastAsia="Times New Roman" w:hAnsi="Arial" w:cs="Arial"/>
          <w:bCs/>
          <w:sz w:val="20"/>
          <w:szCs w:val="20"/>
          <w:lang w:val="es-ES_tradnl" w:eastAsia="es-ES"/>
        </w:rPr>
        <w:t xml:space="preserve"> por lo que reglamenta este asunto con fundamento en lo establecido en el artículo 34 de la Ley 2069 de 2020.</w:t>
      </w:r>
    </w:p>
    <w:p w14:paraId="6F2C4963" w14:textId="07C01ACD" w:rsidR="00BC31FC" w:rsidRPr="00F23EEF" w:rsidRDefault="00BC31FC" w:rsidP="00F23EEF">
      <w:pPr>
        <w:spacing w:after="0" w:line="240" w:lineRule="auto"/>
        <w:jc w:val="both"/>
        <w:rPr>
          <w:rFonts w:ascii="Arial" w:eastAsia="Times New Roman" w:hAnsi="Arial" w:cs="Arial"/>
          <w:bCs/>
          <w:sz w:val="20"/>
          <w:szCs w:val="20"/>
          <w:lang w:val="es-ES_tradnl" w:eastAsia="es-ES"/>
        </w:rPr>
      </w:pPr>
      <w:r w:rsidRPr="00F23EEF">
        <w:rPr>
          <w:rFonts w:ascii="Arial" w:eastAsia="Times New Roman" w:hAnsi="Arial" w:cs="Arial"/>
          <w:bCs/>
          <w:sz w:val="20"/>
          <w:szCs w:val="20"/>
          <w:lang w:val="es-ES_tradnl" w:eastAsia="es-ES"/>
        </w:rPr>
        <w:t xml:space="preserve">Teniendo en cuenta lo anterior, la nueva Subsección 2, a la que se hizo referencia, contiene los siguientes artículos: i) </w:t>
      </w:r>
      <w:r w:rsidRPr="00F23EEF">
        <w:rPr>
          <w:rFonts w:ascii="Arial" w:eastAsia="Times New Roman" w:hAnsi="Arial" w:cs="Arial"/>
          <w:bCs/>
          <w:sz w:val="20"/>
          <w:szCs w:val="20"/>
          <w:lang w:eastAsia="es-ES"/>
        </w:rPr>
        <w:t>2.2.1.2.4.2.2</w:t>
      </w:r>
      <w:r w:rsidRPr="00F23EEF">
        <w:rPr>
          <w:rFonts w:ascii="Arial" w:eastAsia="Times New Roman" w:hAnsi="Arial" w:cs="Arial"/>
          <w:bCs/>
          <w:sz w:val="20"/>
          <w:szCs w:val="20"/>
          <w:lang w:val="es-ES_tradnl" w:eastAsia="es-ES"/>
        </w:rPr>
        <w:t xml:space="preserve">. que consagra los requisitos para limitar la convocatoria de los </w:t>
      </w:r>
      <w:r w:rsidRPr="00F23EEF">
        <w:rPr>
          <w:rFonts w:ascii="Arial" w:eastAsia="Times New Roman" w:hAnsi="Arial" w:cs="Arial"/>
          <w:bCs/>
          <w:sz w:val="20"/>
          <w:szCs w:val="20"/>
          <w:lang w:eastAsia="es-ES"/>
        </w:rPr>
        <w:t>procesos de contratación con pluralidad de oferentes</w:t>
      </w:r>
      <w:r w:rsidRPr="00F23EEF">
        <w:rPr>
          <w:rFonts w:ascii="Arial" w:eastAsia="Times New Roman" w:hAnsi="Arial" w:cs="Arial"/>
          <w:bCs/>
          <w:sz w:val="20"/>
          <w:szCs w:val="20"/>
          <w:lang w:val="es-ES_tradnl" w:eastAsia="es-ES"/>
        </w:rPr>
        <w:t xml:space="preserve"> a las Mipyme colombianas con mínimo un (1) año de existencia; </w:t>
      </w:r>
      <w:proofErr w:type="spellStart"/>
      <w:r w:rsidRPr="00F23EEF">
        <w:rPr>
          <w:rFonts w:ascii="Arial" w:eastAsia="Times New Roman" w:hAnsi="Arial" w:cs="Arial"/>
          <w:bCs/>
          <w:sz w:val="20"/>
          <w:szCs w:val="20"/>
          <w:lang w:val="es-ES_tradnl" w:eastAsia="es-ES"/>
        </w:rPr>
        <w:t>ii</w:t>
      </w:r>
      <w:proofErr w:type="spellEnd"/>
      <w:r w:rsidRPr="00F23EEF">
        <w:rPr>
          <w:rFonts w:ascii="Arial" w:eastAsia="Times New Roman" w:hAnsi="Arial" w:cs="Arial"/>
          <w:bCs/>
          <w:sz w:val="20"/>
          <w:szCs w:val="20"/>
          <w:lang w:val="es-ES_tradnl" w:eastAsia="es-ES"/>
        </w:rPr>
        <w:t xml:space="preserve">) </w:t>
      </w:r>
      <w:r w:rsidRPr="00F23EEF">
        <w:rPr>
          <w:rFonts w:ascii="Arial" w:eastAsia="Times New Roman" w:hAnsi="Arial" w:cs="Arial"/>
          <w:bCs/>
          <w:sz w:val="20"/>
          <w:szCs w:val="20"/>
          <w:lang w:eastAsia="es-ES"/>
        </w:rPr>
        <w:t>2.2.1.2.4.2.3</w:t>
      </w:r>
      <w:r w:rsidRPr="00F23EEF">
        <w:rPr>
          <w:rFonts w:ascii="Arial" w:eastAsia="Times New Roman" w:hAnsi="Arial" w:cs="Arial"/>
          <w:bCs/>
          <w:sz w:val="20"/>
          <w:szCs w:val="20"/>
          <w:lang w:val="es-ES_tradnl" w:eastAsia="es-ES"/>
        </w:rPr>
        <w:t xml:space="preserve">. que desarrolla las </w:t>
      </w:r>
      <w:r w:rsidRPr="00F23EEF">
        <w:rPr>
          <w:rFonts w:ascii="Arial" w:eastAsia="Times New Roman" w:hAnsi="Arial" w:cs="Arial"/>
          <w:bCs/>
          <w:sz w:val="20"/>
          <w:szCs w:val="20"/>
          <w:lang w:eastAsia="es-ES"/>
        </w:rPr>
        <w:t>convocatorias limitadas a Mipyme colombianas que tengan domicilio en los departamentos o municipios en donde se va a ejecutar el contrato</w:t>
      </w:r>
      <w:r w:rsidRPr="00F23EEF">
        <w:rPr>
          <w:rFonts w:ascii="Arial" w:eastAsia="Times New Roman" w:hAnsi="Arial" w:cs="Arial"/>
          <w:bCs/>
          <w:sz w:val="20"/>
          <w:szCs w:val="20"/>
          <w:lang w:val="es-ES_tradnl" w:eastAsia="es-ES"/>
        </w:rPr>
        <w:t xml:space="preserve"> y; </w:t>
      </w:r>
      <w:proofErr w:type="spellStart"/>
      <w:r w:rsidRPr="00F23EEF">
        <w:rPr>
          <w:rFonts w:ascii="Arial" w:eastAsia="Times New Roman" w:hAnsi="Arial" w:cs="Arial"/>
          <w:bCs/>
          <w:sz w:val="20"/>
          <w:szCs w:val="20"/>
          <w:lang w:val="es-ES_tradnl" w:eastAsia="es-ES"/>
        </w:rPr>
        <w:t>iii</w:t>
      </w:r>
      <w:proofErr w:type="spellEnd"/>
      <w:r w:rsidRPr="00F23EEF">
        <w:rPr>
          <w:rFonts w:ascii="Arial" w:eastAsia="Times New Roman" w:hAnsi="Arial" w:cs="Arial"/>
          <w:bCs/>
          <w:sz w:val="20"/>
          <w:szCs w:val="20"/>
          <w:lang w:val="es-ES_tradnl" w:eastAsia="es-ES"/>
        </w:rPr>
        <w:t xml:space="preserve">) </w:t>
      </w:r>
      <w:r w:rsidRPr="00F23EEF">
        <w:rPr>
          <w:rFonts w:ascii="Arial" w:eastAsia="Times New Roman" w:hAnsi="Arial" w:cs="Arial"/>
          <w:bCs/>
          <w:sz w:val="20"/>
          <w:szCs w:val="20"/>
          <w:lang w:eastAsia="es-ES"/>
        </w:rPr>
        <w:t>2.2.1.2.4.2.4. que regula la forma de acreditación de los requisitos para participar en convocatorias limitadas.</w:t>
      </w:r>
    </w:p>
    <w:p w14:paraId="5186ADB6" w14:textId="77777777" w:rsidR="004A48C9" w:rsidRPr="004A48C9" w:rsidRDefault="004A48C9" w:rsidP="00F23EEF">
      <w:pPr>
        <w:spacing w:after="0" w:line="240" w:lineRule="auto"/>
        <w:jc w:val="both"/>
        <w:rPr>
          <w:rFonts w:ascii="Arial" w:eastAsia="Calibri" w:hAnsi="Arial" w:cs="Arial"/>
          <w:sz w:val="20"/>
          <w:szCs w:val="20"/>
          <w:lang w:val="es-ES_tradnl" w:eastAsia="es-ES_tradnl"/>
        </w:rPr>
      </w:pPr>
      <w:bookmarkStart w:id="0" w:name="_Hlk106012071"/>
    </w:p>
    <w:p w14:paraId="36C2F36A" w14:textId="77777777" w:rsidR="004A48C9" w:rsidRPr="004A48C9" w:rsidRDefault="004A48C9" w:rsidP="00F23EEF">
      <w:pPr>
        <w:spacing w:after="0" w:line="240" w:lineRule="auto"/>
        <w:jc w:val="both"/>
        <w:rPr>
          <w:rFonts w:ascii="Arial" w:eastAsia="Calibri" w:hAnsi="Arial" w:cs="Arial"/>
          <w:lang w:val="es-ES_tradnl" w:eastAsia="es-ES_tradnl"/>
        </w:rPr>
      </w:pPr>
      <w:r w:rsidRPr="004A48C9">
        <w:rPr>
          <w:rFonts w:ascii="Arial" w:eastAsia="Times New Roman" w:hAnsi="Arial" w:cs="Arial"/>
          <w:b/>
          <w:bCs/>
          <w:lang w:val="es-ES" w:eastAsia="es-CO"/>
        </w:rPr>
        <w:t>MIPYME</w:t>
      </w:r>
      <w:r w:rsidRPr="004A48C9">
        <w:rPr>
          <w:rFonts w:ascii="Arial" w:eastAsia="Times New Roman" w:hAnsi="Arial" w:cs="Arial"/>
          <w:b/>
          <w:bCs/>
          <w:lang w:eastAsia="es-CO"/>
        </w:rPr>
        <w:t xml:space="preserve">– Convocatoria limitada – </w:t>
      </w:r>
      <w:r w:rsidRPr="0048267E">
        <w:rPr>
          <w:rFonts w:ascii="Arial" w:eastAsia="Times New Roman" w:hAnsi="Arial" w:cs="Arial"/>
          <w:b/>
          <w:bCs/>
          <w:lang w:eastAsia="es-CO"/>
        </w:rPr>
        <w:t>Acreditación</w:t>
      </w:r>
    </w:p>
    <w:p w14:paraId="7000EA3E" w14:textId="77777777" w:rsidR="004A48C9" w:rsidRPr="004A48C9" w:rsidRDefault="004A48C9" w:rsidP="00F23EEF">
      <w:pPr>
        <w:spacing w:after="0" w:line="240" w:lineRule="auto"/>
        <w:jc w:val="both"/>
        <w:rPr>
          <w:rFonts w:ascii="Arial" w:eastAsia="Calibri" w:hAnsi="Arial" w:cs="Arial"/>
          <w:sz w:val="20"/>
          <w:szCs w:val="20"/>
          <w:lang w:val="es-ES_tradnl" w:eastAsia="es-ES_tradnl"/>
        </w:rPr>
      </w:pPr>
    </w:p>
    <w:p w14:paraId="5B252E74" w14:textId="77777777" w:rsidR="00F23EEF" w:rsidRPr="00F23EEF" w:rsidRDefault="004A48C9" w:rsidP="00F23EEF">
      <w:pPr>
        <w:spacing w:after="0" w:line="240" w:lineRule="auto"/>
        <w:jc w:val="both"/>
        <w:rPr>
          <w:rFonts w:ascii="Arial" w:eastAsia="Calibri" w:hAnsi="Arial" w:cs="Arial"/>
          <w:bCs/>
          <w:sz w:val="20"/>
          <w:szCs w:val="20"/>
          <w:lang w:val="es-ES_tradnl" w:eastAsia="es-ES_tradnl"/>
        </w:rPr>
      </w:pPr>
      <w:r w:rsidRPr="00F23EEF">
        <w:rPr>
          <w:rFonts w:ascii="Arial" w:eastAsia="Calibri" w:hAnsi="Arial" w:cs="Arial"/>
          <w:bCs/>
          <w:sz w:val="20"/>
          <w:szCs w:val="20"/>
          <w:lang w:eastAsia="es-ES_tradnl"/>
        </w:rPr>
        <w:t xml:space="preserve">[…] </w:t>
      </w:r>
      <w:r w:rsidR="00F23EEF" w:rsidRPr="00F23EEF">
        <w:rPr>
          <w:rFonts w:ascii="Arial" w:eastAsia="Calibri" w:hAnsi="Arial" w:cs="Arial"/>
          <w:bCs/>
          <w:sz w:val="20"/>
          <w:szCs w:val="20"/>
          <w:lang w:eastAsia="es-ES_tradnl"/>
        </w:rPr>
        <w:t xml:space="preserve">para efectos de las convocatorias limitadas a Mipyme colombianas del sistema de compras públicas, el </w:t>
      </w:r>
      <w:r w:rsidR="00F23EEF" w:rsidRPr="00F23EEF">
        <w:rPr>
          <w:rFonts w:ascii="Arial" w:eastAsia="Calibri" w:hAnsi="Arial" w:cs="Arial"/>
          <w:bCs/>
          <w:sz w:val="20"/>
          <w:szCs w:val="20"/>
          <w:lang w:val="es-ES_tradnl" w:eastAsia="es-ES_tradnl"/>
        </w:rPr>
        <w:t xml:space="preserve">artículo 2.2.1.2.4.2.4 del Decreto 1082 de 2015 –modificado por el Decreto 1860 de 2021– determina la forma en la que se debe acreditar el tamaño empresarial, tratándose de persona natural y persona jurídica. Es importante precisar que esta acreditación se debe realizar tanto para solicitar la limitación de la convocatoria como para participar en el proceso de selección una vez esta se haya limitado a Mipyme. </w:t>
      </w:r>
    </w:p>
    <w:p w14:paraId="745B5174" w14:textId="77777777" w:rsidR="004A48C9" w:rsidRPr="004A48C9" w:rsidRDefault="004A48C9" w:rsidP="00F23EEF">
      <w:pPr>
        <w:spacing w:after="0" w:line="240" w:lineRule="auto"/>
        <w:jc w:val="both"/>
        <w:rPr>
          <w:rFonts w:ascii="Arial" w:eastAsia="Calibri" w:hAnsi="Arial" w:cs="Arial"/>
          <w:sz w:val="20"/>
          <w:szCs w:val="20"/>
          <w:lang w:val="es-ES_tradnl" w:eastAsia="es-ES_tradnl"/>
        </w:rPr>
      </w:pPr>
    </w:p>
    <w:p w14:paraId="6E50C05B" w14:textId="26D64F90" w:rsidR="004A48C9" w:rsidRDefault="004A48C9" w:rsidP="00F23EEF">
      <w:pPr>
        <w:spacing w:after="0" w:line="240" w:lineRule="auto"/>
        <w:jc w:val="both"/>
        <w:rPr>
          <w:rFonts w:ascii="Arial" w:eastAsia="Times New Roman" w:hAnsi="Arial" w:cs="Arial"/>
          <w:b/>
          <w:bCs/>
          <w:lang w:eastAsia="es-CO"/>
        </w:rPr>
      </w:pPr>
      <w:r w:rsidRPr="004A48C9">
        <w:rPr>
          <w:rFonts w:ascii="Arial" w:eastAsia="Times New Roman" w:hAnsi="Arial" w:cs="Arial"/>
          <w:b/>
          <w:bCs/>
          <w:lang w:val="es-ES" w:eastAsia="es-CO"/>
        </w:rPr>
        <w:t>MIPYME</w:t>
      </w:r>
      <w:r w:rsidRPr="004A48C9">
        <w:rPr>
          <w:rFonts w:ascii="Arial" w:eastAsia="Times New Roman" w:hAnsi="Arial" w:cs="Arial"/>
          <w:b/>
          <w:bCs/>
          <w:lang w:eastAsia="es-CO"/>
        </w:rPr>
        <w:t>– Convocatoria limitada – Acreditación – Persona natural – Registro Mercantil</w:t>
      </w:r>
      <w:r w:rsidR="00CC465D">
        <w:rPr>
          <w:rFonts w:ascii="Arial" w:eastAsia="Times New Roman" w:hAnsi="Arial" w:cs="Arial"/>
          <w:b/>
          <w:bCs/>
          <w:lang w:eastAsia="es-CO"/>
        </w:rPr>
        <w:t xml:space="preserve"> </w:t>
      </w:r>
    </w:p>
    <w:p w14:paraId="4738F298" w14:textId="6EBF9D30" w:rsidR="00F4554B" w:rsidRDefault="00F4554B" w:rsidP="00F23EEF">
      <w:pPr>
        <w:spacing w:after="0" w:line="240" w:lineRule="auto"/>
        <w:jc w:val="both"/>
        <w:rPr>
          <w:rFonts w:ascii="Arial" w:eastAsia="Times New Roman" w:hAnsi="Arial" w:cs="Arial"/>
          <w:b/>
          <w:bCs/>
          <w:lang w:eastAsia="es-CO"/>
        </w:rPr>
      </w:pPr>
    </w:p>
    <w:p w14:paraId="42DE3555" w14:textId="77777777" w:rsidR="00F23EEF" w:rsidRPr="00F23EEF" w:rsidRDefault="00F23EEF" w:rsidP="00F23EEF">
      <w:pPr>
        <w:spacing w:after="0" w:line="240" w:lineRule="auto"/>
        <w:jc w:val="both"/>
        <w:rPr>
          <w:rFonts w:ascii="Arial" w:eastAsia="Calibri" w:hAnsi="Arial" w:cs="Arial"/>
          <w:bCs/>
          <w:sz w:val="20"/>
          <w:szCs w:val="20"/>
          <w:lang w:val="es-ES_tradnl" w:eastAsia="es-ES_tradnl"/>
        </w:rPr>
      </w:pPr>
      <w:r w:rsidRPr="00F23EEF">
        <w:rPr>
          <w:rFonts w:ascii="Arial" w:eastAsia="Calibri" w:hAnsi="Arial" w:cs="Arial"/>
          <w:bCs/>
          <w:sz w:val="20"/>
          <w:szCs w:val="20"/>
          <w:lang w:eastAsia="es-ES_tradnl"/>
        </w:rPr>
        <w:t xml:space="preserve">En relación con </w:t>
      </w:r>
      <w:r w:rsidRPr="00F23EEF">
        <w:rPr>
          <w:rFonts w:ascii="Arial" w:eastAsia="Calibri" w:hAnsi="Arial" w:cs="Arial"/>
          <w:sz w:val="20"/>
          <w:szCs w:val="20"/>
          <w:lang w:val="es-ES_tradnl" w:eastAsia="es-ES_tradnl"/>
        </w:rPr>
        <w:t xml:space="preserve">la persona natural, la disposición antes señalada exige que se acredite el tamaño empresarial mediante certificación expedida por ellos y un contador público, adjuntando copia del registro mercantil. </w:t>
      </w:r>
      <w:r w:rsidRPr="00F23EEF">
        <w:rPr>
          <w:rFonts w:ascii="Arial" w:eastAsia="Calibri" w:hAnsi="Arial" w:cs="Arial"/>
          <w:bCs/>
          <w:sz w:val="20"/>
          <w:szCs w:val="20"/>
          <w:lang w:val="es-ES_tradnl" w:eastAsia="es-ES_tradnl"/>
        </w:rPr>
        <w:t xml:space="preserve">En este caso, la intervención del contador es necesaria con el fin de que actúe en calidad de fedatario. </w:t>
      </w:r>
    </w:p>
    <w:p w14:paraId="31C6B50B" w14:textId="77777777" w:rsidR="00544262" w:rsidRDefault="00544262" w:rsidP="00080EDC">
      <w:pPr>
        <w:spacing w:after="0" w:line="240" w:lineRule="auto"/>
        <w:jc w:val="both"/>
        <w:rPr>
          <w:rFonts w:ascii="Arial" w:eastAsia="Calibri" w:hAnsi="Arial" w:cs="Arial"/>
          <w:bCs/>
          <w:sz w:val="20"/>
          <w:szCs w:val="20"/>
          <w:lang w:eastAsia="es-ES_tradnl"/>
        </w:rPr>
      </w:pPr>
    </w:p>
    <w:p w14:paraId="37AB52EF" w14:textId="2F1C3D77" w:rsidR="00CC465D" w:rsidRDefault="00CC465D" w:rsidP="00F23EEF">
      <w:pPr>
        <w:spacing w:after="0" w:line="240" w:lineRule="auto"/>
        <w:jc w:val="both"/>
        <w:rPr>
          <w:rFonts w:ascii="Arial" w:eastAsia="Times New Roman" w:hAnsi="Arial" w:cs="Arial"/>
          <w:b/>
          <w:bCs/>
          <w:lang w:eastAsia="es-CO"/>
        </w:rPr>
      </w:pPr>
      <w:r w:rsidRPr="004A48C9">
        <w:rPr>
          <w:rFonts w:ascii="Arial" w:eastAsia="Times New Roman" w:hAnsi="Arial" w:cs="Arial"/>
          <w:b/>
          <w:bCs/>
          <w:lang w:val="es-ES" w:eastAsia="es-CO"/>
        </w:rPr>
        <w:lastRenderedPageBreak/>
        <w:t>MIPYME</w:t>
      </w:r>
      <w:r w:rsidRPr="004A48C9">
        <w:rPr>
          <w:rFonts w:ascii="Arial" w:eastAsia="Times New Roman" w:hAnsi="Arial" w:cs="Arial"/>
          <w:b/>
          <w:bCs/>
          <w:lang w:eastAsia="es-CO"/>
        </w:rPr>
        <w:t xml:space="preserve">– Convocatoria limitada – </w:t>
      </w:r>
      <w:r w:rsidRPr="0048267E">
        <w:rPr>
          <w:rFonts w:ascii="Arial" w:eastAsia="Times New Roman" w:hAnsi="Arial" w:cs="Arial"/>
          <w:b/>
          <w:bCs/>
          <w:lang w:eastAsia="es-CO"/>
        </w:rPr>
        <w:t>Acreditación</w:t>
      </w:r>
      <w:r w:rsidRPr="004A48C9">
        <w:rPr>
          <w:rFonts w:ascii="Arial" w:eastAsia="Times New Roman" w:hAnsi="Arial" w:cs="Arial"/>
          <w:b/>
          <w:bCs/>
          <w:lang w:eastAsia="es-CO"/>
        </w:rPr>
        <w:t xml:space="preserve"> – Persona</w:t>
      </w:r>
      <w:r>
        <w:rPr>
          <w:rFonts w:ascii="Arial" w:eastAsia="Times New Roman" w:hAnsi="Arial" w:cs="Arial"/>
          <w:b/>
          <w:bCs/>
          <w:lang w:eastAsia="es-CO"/>
        </w:rPr>
        <w:t xml:space="preserve"> jurídica </w:t>
      </w:r>
      <w:r w:rsidR="00544262">
        <w:rPr>
          <w:rFonts w:ascii="Arial" w:eastAsia="Times New Roman" w:hAnsi="Arial" w:cs="Arial"/>
          <w:b/>
          <w:bCs/>
          <w:lang w:eastAsia="es-CO"/>
        </w:rPr>
        <w:t>–</w:t>
      </w:r>
      <w:r>
        <w:rPr>
          <w:rFonts w:ascii="Arial" w:eastAsia="Times New Roman" w:hAnsi="Arial" w:cs="Arial"/>
          <w:b/>
          <w:bCs/>
          <w:lang w:eastAsia="es-CO"/>
        </w:rPr>
        <w:t xml:space="preserve"> </w:t>
      </w:r>
      <w:r w:rsidR="00544262">
        <w:rPr>
          <w:rFonts w:ascii="Arial" w:eastAsia="Times New Roman" w:hAnsi="Arial" w:cs="Arial"/>
          <w:b/>
          <w:bCs/>
          <w:lang w:eastAsia="es-CO"/>
        </w:rPr>
        <w:t>Certificado de existencia y representación legal</w:t>
      </w:r>
    </w:p>
    <w:p w14:paraId="696ED4BC" w14:textId="77777777" w:rsidR="00544262" w:rsidRPr="008821C4" w:rsidRDefault="00544262" w:rsidP="00F23EEF">
      <w:pPr>
        <w:spacing w:after="0" w:line="276" w:lineRule="auto"/>
        <w:jc w:val="both"/>
        <w:rPr>
          <w:rFonts w:ascii="Arial" w:eastAsia="Calibri" w:hAnsi="Arial" w:cs="Arial"/>
          <w:bCs/>
          <w:sz w:val="20"/>
          <w:szCs w:val="20"/>
          <w:lang w:eastAsia="es-ES_tradnl"/>
        </w:rPr>
      </w:pPr>
    </w:p>
    <w:p w14:paraId="61F6E9AD" w14:textId="77777777" w:rsidR="00F23EEF" w:rsidRPr="00F23EEF" w:rsidRDefault="00F23EEF" w:rsidP="00F23EEF">
      <w:pPr>
        <w:spacing w:after="0" w:line="240" w:lineRule="auto"/>
        <w:jc w:val="both"/>
        <w:rPr>
          <w:rFonts w:ascii="Arial" w:eastAsia="Calibri" w:hAnsi="Arial" w:cs="Arial"/>
          <w:sz w:val="20"/>
          <w:szCs w:val="20"/>
          <w:lang w:val="es-ES_tradnl" w:eastAsia="es-ES_tradnl"/>
        </w:rPr>
      </w:pPr>
      <w:r w:rsidRPr="00F23EEF">
        <w:rPr>
          <w:rFonts w:ascii="Arial" w:eastAsia="Calibri" w:hAnsi="Arial" w:cs="Arial"/>
          <w:bCs/>
          <w:sz w:val="20"/>
          <w:szCs w:val="20"/>
          <w:lang w:eastAsia="es-ES_tradnl"/>
        </w:rPr>
        <w:t xml:space="preserve">Por su parte, si la Mipyme es persona jurídica, la norma requiere que </w:t>
      </w:r>
      <w:r w:rsidRPr="00F23EEF">
        <w:rPr>
          <w:rFonts w:ascii="Arial" w:eastAsia="Calibri" w:hAnsi="Arial" w:cs="Arial"/>
          <w:sz w:val="20"/>
          <w:szCs w:val="20"/>
          <w:lang w:val="es-ES_tradnl" w:eastAsia="es-ES_tradnl"/>
        </w:rPr>
        <w:t xml:space="preserve">acredite el tamaño empresarial mediante certificación expedida por el representante legal y el contador o revisor fiscal, si está obligada a tenerlo, adjuntando copia del certificado de existencia y representación legal expedido por la Cámara de Comercio o por la autoridad competente para expedir dicha certificación. </w:t>
      </w:r>
    </w:p>
    <w:p w14:paraId="1E47948D" w14:textId="6C194372" w:rsidR="00544262" w:rsidRDefault="00544262" w:rsidP="00F23EEF">
      <w:pPr>
        <w:spacing w:after="0" w:line="276" w:lineRule="auto"/>
        <w:jc w:val="both"/>
        <w:rPr>
          <w:rFonts w:ascii="Arial" w:eastAsia="Calibri" w:hAnsi="Arial" w:cs="Arial"/>
          <w:bCs/>
          <w:sz w:val="20"/>
          <w:szCs w:val="20"/>
          <w:lang w:eastAsia="es-ES_tradnl"/>
        </w:rPr>
      </w:pPr>
    </w:p>
    <w:p w14:paraId="6ACB3133" w14:textId="77777777" w:rsidR="00080EDC" w:rsidRPr="008843FE" w:rsidRDefault="00080EDC" w:rsidP="00F23EEF">
      <w:pPr>
        <w:spacing w:after="0"/>
        <w:jc w:val="both"/>
        <w:textAlignment w:val="baseline"/>
        <w:rPr>
          <w:rFonts w:ascii="Arial" w:eastAsia="Times New Roman" w:hAnsi="Arial" w:cs="Arial"/>
          <w:b/>
          <w:lang w:eastAsia="es-CO"/>
        </w:rPr>
      </w:pPr>
      <w:r w:rsidRPr="004A48C9">
        <w:rPr>
          <w:rFonts w:ascii="Arial" w:eastAsia="Times New Roman" w:hAnsi="Arial" w:cs="Arial"/>
          <w:b/>
          <w:lang w:val="es-ES" w:eastAsia="es-CO"/>
        </w:rPr>
        <w:t xml:space="preserve">MIPYME </w:t>
      </w:r>
      <w:r w:rsidRPr="004A48C9">
        <w:rPr>
          <w:rFonts w:ascii="Arial" w:eastAsia="Times New Roman" w:hAnsi="Arial" w:cs="Arial"/>
          <w:b/>
          <w:lang w:eastAsia="es-CO"/>
        </w:rPr>
        <w:t xml:space="preserve">– Convocatoria limitada – Acreditación – Medio de prueba alternativo </w:t>
      </w:r>
    </w:p>
    <w:p w14:paraId="203D4D4C" w14:textId="77777777" w:rsidR="00080EDC" w:rsidRPr="004A48C9" w:rsidRDefault="00080EDC" w:rsidP="00F23EEF">
      <w:pPr>
        <w:spacing w:after="0" w:line="276" w:lineRule="auto"/>
        <w:jc w:val="both"/>
        <w:rPr>
          <w:rFonts w:ascii="Arial" w:eastAsia="Calibri" w:hAnsi="Arial" w:cs="Arial"/>
          <w:bCs/>
          <w:sz w:val="20"/>
          <w:szCs w:val="20"/>
          <w:lang w:eastAsia="es-ES_tradnl"/>
        </w:rPr>
      </w:pPr>
    </w:p>
    <w:p w14:paraId="5D52E08D" w14:textId="77777777" w:rsidR="00F23EEF" w:rsidRPr="00F23EEF" w:rsidRDefault="00F23EEF" w:rsidP="00F23EEF">
      <w:pPr>
        <w:spacing w:after="0" w:line="240" w:lineRule="auto"/>
        <w:jc w:val="both"/>
        <w:rPr>
          <w:rFonts w:ascii="Arial" w:eastAsia="Calibri" w:hAnsi="Arial" w:cs="Arial"/>
          <w:bCs/>
          <w:sz w:val="20"/>
          <w:szCs w:val="20"/>
          <w:lang w:val="es-ES_tradnl" w:eastAsia="es-ES_tradnl"/>
        </w:rPr>
      </w:pPr>
      <w:r w:rsidRPr="00F23EEF">
        <w:rPr>
          <w:rFonts w:ascii="Arial" w:eastAsia="Calibri" w:hAnsi="Arial" w:cs="Arial"/>
          <w:bCs/>
          <w:sz w:val="20"/>
          <w:szCs w:val="20"/>
          <w:lang w:val="es-ES_tradnl" w:eastAsia="es-ES_tradnl"/>
        </w:rPr>
        <w:t xml:space="preserve">Sin perjuicio de las posibilidades anteriores, es preciso señalar que el parágrafo primero del </w:t>
      </w:r>
      <w:r w:rsidRPr="00F23EEF">
        <w:rPr>
          <w:rFonts w:ascii="Arial" w:eastAsia="Calibri" w:hAnsi="Arial" w:cs="Arial"/>
          <w:bCs/>
          <w:sz w:val="20"/>
          <w:szCs w:val="20"/>
          <w:lang w:val="es-ES_tradnl"/>
        </w:rPr>
        <w:t xml:space="preserve">artículo 2.2.1.2.4.2.4. </w:t>
      </w:r>
      <w:r w:rsidRPr="00F23EEF">
        <w:rPr>
          <w:rFonts w:ascii="Arial" w:eastAsia="Calibri" w:hAnsi="Arial" w:cs="Arial"/>
          <w:bCs/>
          <w:sz w:val="20"/>
          <w:szCs w:val="20"/>
          <w:lang w:val="es-ES_tradnl" w:eastAsia="es-ES_tradnl"/>
        </w:rPr>
        <w:t xml:space="preserve">permite acreditar la condición de Mipyme con la copia del certificado del Registro Único de Proponentes –en adelante RUP–. De esta manera, la Mipyme, sea persona natural o persona jurídica, podrá acreditar la actividad y el tamaño empresarial exigido por la ley, presentando el RUP, documento que en este caso es de carácter opcional, es decir, es un medio de prueba alternativo establecido por el mismo reglamento. En consecuencia, en caso de que la Mipyme cuente con este documento podrá aportarlo de acuerdo con lo dispuesto en el artículo </w:t>
      </w:r>
      <w:r w:rsidRPr="00F23EEF">
        <w:rPr>
          <w:rFonts w:ascii="Arial" w:eastAsia="Calibri" w:hAnsi="Arial" w:cs="Arial"/>
          <w:bCs/>
          <w:sz w:val="20"/>
          <w:szCs w:val="20"/>
          <w:lang w:eastAsia="es-ES_tradnl"/>
        </w:rPr>
        <w:t xml:space="preserve">2.2.1.2.4.2.4. del Decreto 1082 de 2015 –modificado por el Decreto 1860 de 2021–, </w:t>
      </w:r>
      <w:r w:rsidRPr="00F23EEF">
        <w:rPr>
          <w:rFonts w:ascii="Arial" w:eastAsia="Calibri" w:hAnsi="Arial" w:cs="Arial"/>
          <w:bCs/>
          <w:sz w:val="20"/>
          <w:szCs w:val="20"/>
          <w:lang w:val="es-ES_tradnl" w:eastAsia="es-ES_tradnl"/>
        </w:rPr>
        <w:t xml:space="preserve">de lo contrario deberá allegar la documentación respectiva conforme lo disponen los numerales 1º y 2º de la norma en cita, según sea el caso. </w:t>
      </w:r>
    </w:p>
    <w:p w14:paraId="375FA996" w14:textId="77777777" w:rsidR="008843FE" w:rsidRPr="008821C4" w:rsidRDefault="008843FE" w:rsidP="00F23EEF">
      <w:pPr>
        <w:spacing w:after="0" w:line="276" w:lineRule="auto"/>
        <w:jc w:val="both"/>
        <w:rPr>
          <w:rFonts w:ascii="Arial" w:eastAsia="Calibri" w:hAnsi="Arial" w:cs="Arial"/>
          <w:bCs/>
          <w:sz w:val="20"/>
          <w:szCs w:val="20"/>
          <w:lang w:eastAsia="es-ES_tradnl"/>
        </w:rPr>
      </w:pPr>
    </w:p>
    <w:p w14:paraId="06BD85EC" w14:textId="6F8E9258" w:rsidR="008821C4" w:rsidRPr="004A48C9" w:rsidRDefault="008843FE" w:rsidP="00F23EEF">
      <w:pPr>
        <w:spacing w:after="0" w:line="240" w:lineRule="auto"/>
        <w:ind w:right="709"/>
        <w:jc w:val="both"/>
        <w:rPr>
          <w:rFonts w:ascii="Arial" w:hAnsi="Arial" w:cs="Arial"/>
          <w:sz w:val="21"/>
          <w:szCs w:val="21"/>
        </w:rPr>
      </w:pPr>
      <w:r w:rsidRPr="004A48C9">
        <w:rPr>
          <w:rFonts w:ascii="Arial" w:eastAsia="Times New Roman" w:hAnsi="Arial" w:cs="Arial"/>
          <w:b/>
          <w:lang w:val="es-ES" w:eastAsia="es-CO"/>
        </w:rPr>
        <w:t xml:space="preserve">MIPYME </w:t>
      </w:r>
      <w:r w:rsidRPr="004A48C9">
        <w:rPr>
          <w:rFonts w:ascii="Arial" w:eastAsia="Times New Roman" w:hAnsi="Arial" w:cs="Arial"/>
          <w:b/>
          <w:lang w:eastAsia="es-CO"/>
        </w:rPr>
        <w:t>– Convocatoria limitada – Acreditación –</w:t>
      </w:r>
      <w:r>
        <w:rPr>
          <w:rFonts w:ascii="Arial" w:eastAsia="Times New Roman" w:hAnsi="Arial" w:cs="Arial"/>
          <w:b/>
          <w:lang w:eastAsia="es-CO"/>
        </w:rPr>
        <w:t xml:space="preserve"> Certificaciones − Vigencia</w:t>
      </w:r>
    </w:p>
    <w:p w14:paraId="2FC76AE7" w14:textId="77777777" w:rsidR="008821C4" w:rsidRDefault="008821C4" w:rsidP="008843FE">
      <w:pPr>
        <w:spacing w:after="0" w:line="276" w:lineRule="auto"/>
        <w:jc w:val="both"/>
        <w:rPr>
          <w:rFonts w:ascii="Arial" w:eastAsia="Calibri" w:hAnsi="Arial" w:cs="Arial"/>
          <w:lang w:val="es-ES_tradnl"/>
        </w:rPr>
      </w:pPr>
    </w:p>
    <w:p w14:paraId="6B947B5C" w14:textId="4C772154" w:rsidR="00F23EEF" w:rsidRPr="00F23EEF" w:rsidRDefault="00F23EEF" w:rsidP="00F23EEF">
      <w:pPr>
        <w:spacing w:after="120" w:line="276" w:lineRule="auto"/>
        <w:jc w:val="both"/>
        <w:rPr>
          <w:rFonts w:ascii="Arial" w:hAnsi="Arial" w:cs="Arial"/>
          <w:sz w:val="20"/>
          <w:szCs w:val="20"/>
          <w:lang w:val="es-MX"/>
        </w:rPr>
      </w:pPr>
      <w:r w:rsidRPr="00F23EEF">
        <w:rPr>
          <w:rFonts w:ascii="Arial" w:hAnsi="Arial" w:cs="Arial"/>
          <w:sz w:val="20"/>
          <w:szCs w:val="20"/>
          <w:lang w:val="es-MX"/>
        </w:rPr>
        <w:t xml:space="preserve">Atendiendo al presente el método de interpretación sistemática, integrando la disposición contenida en el numeral </w:t>
      </w:r>
      <w:r w:rsidRPr="00F23EEF">
        <w:rPr>
          <w:rFonts w:ascii="Arial" w:eastAsia="Calibri" w:hAnsi="Arial" w:cs="Arial"/>
          <w:bCs/>
          <w:sz w:val="20"/>
          <w:szCs w:val="20"/>
          <w:lang w:val="es-ES_tradnl" w:eastAsia="es-ES_tradnl"/>
        </w:rPr>
        <w:t>2º</w:t>
      </w:r>
      <w:r w:rsidRPr="00F23EEF">
        <w:rPr>
          <w:rFonts w:ascii="Arial" w:hAnsi="Arial" w:cs="Arial"/>
          <w:sz w:val="20"/>
          <w:szCs w:val="20"/>
          <w:lang w:val="es-MX"/>
        </w:rPr>
        <w:t xml:space="preserve"> del </w:t>
      </w:r>
      <w:r w:rsidRPr="00F23EEF">
        <w:rPr>
          <w:rFonts w:ascii="Arial" w:hAnsi="Arial" w:cs="Arial"/>
          <w:color w:val="000000" w:themeColor="text1"/>
          <w:sz w:val="20"/>
          <w:szCs w:val="20"/>
          <w:lang w:val="es-MX"/>
        </w:rPr>
        <w:t>artículo</w:t>
      </w:r>
      <w:r w:rsidRPr="00F23EEF">
        <w:rPr>
          <w:rFonts w:ascii="Arial" w:hAnsi="Arial" w:cs="Arial"/>
          <w:color w:val="000000" w:themeColor="text1"/>
          <w:sz w:val="20"/>
          <w:szCs w:val="20"/>
        </w:rPr>
        <w:t xml:space="preserve"> </w:t>
      </w:r>
      <w:r w:rsidRPr="00F23EEF">
        <w:rPr>
          <w:rFonts w:ascii="Arial" w:eastAsia="Calibri" w:hAnsi="Arial" w:cs="Arial"/>
          <w:bCs/>
          <w:sz w:val="20"/>
          <w:szCs w:val="20"/>
          <w:lang w:eastAsia="es-ES_tradnl"/>
        </w:rPr>
        <w:t>2.2.1.2.4.2.4</w:t>
      </w:r>
      <w:r w:rsidRPr="00F23EEF">
        <w:rPr>
          <w:rFonts w:ascii="Arial" w:hAnsi="Arial" w:cs="Arial"/>
          <w:color w:val="000000" w:themeColor="text1"/>
          <w:sz w:val="20"/>
          <w:szCs w:val="20"/>
        </w:rPr>
        <w:t xml:space="preserve">, y el parágrafo </w:t>
      </w:r>
      <w:r w:rsidRPr="00F23EEF">
        <w:rPr>
          <w:rFonts w:ascii="Arial" w:eastAsia="Calibri" w:hAnsi="Arial" w:cs="Arial"/>
          <w:bCs/>
          <w:sz w:val="20"/>
          <w:szCs w:val="20"/>
          <w:lang w:val="es-ES_tradnl" w:eastAsia="es-ES_tradnl"/>
        </w:rPr>
        <w:t xml:space="preserve">2º del referido artículo, es posible concluir que </w:t>
      </w:r>
      <w:r w:rsidRPr="00F23EEF">
        <w:rPr>
          <w:rFonts w:ascii="Arial" w:hAnsi="Arial" w:cs="Arial"/>
          <w:color w:val="000000" w:themeColor="text1"/>
          <w:sz w:val="20"/>
          <w:szCs w:val="20"/>
        </w:rPr>
        <w:t xml:space="preserve">las </w:t>
      </w:r>
      <w:proofErr w:type="spellStart"/>
      <w:r w:rsidRPr="00F23EEF">
        <w:rPr>
          <w:rFonts w:ascii="Arial" w:hAnsi="Arial" w:cs="Arial"/>
          <w:color w:val="000000" w:themeColor="text1"/>
          <w:sz w:val="20"/>
          <w:szCs w:val="20"/>
        </w:rPr>
        <w:t>Mipymes</w:t>
      </w:r>
      <w:proofErr w:type="spellEnd"/>
      <w:r w:rsidRPr="00F23EEF">
        <w:rPr>
          <w:rFonts w:ascii="Arial" w:hAnsi="Arial" w:cs="Arial"/>
          <w:color w:val="000000" w:themeColor="text1"/>
          <w:sz w:val="20"/>
          <w:szCs w:val="20"/>
        </w:rPr>
        <w:t xml:space="preserve"> colombianas −personas jurídicas− </w:t>
      </w:r>
      <w:r w:rsidRPr="00F23EEF">
        <w:rPr>
          <w:rFonts w:ascii="Arial" w:hAnsi="Arial" w:cs="Arial"/>
          <w:sz w:val="20"/>
          <w:szCs w:val="20"/>
          <w:lang w:val="es-MX"/>
        </w:rPr>
        <w:t xml:space="preserve">acreditaran su tamaño empresarial «[…] mediante certificación expedida por el representante legal y el contador o revisor fiscal, si están obligados a tenerlo, adjuntando copia del certificado de existencia y representación legal expedido por la Cámara de Comercio o por la autoridad competente para expedir dicha certificación», en cuyo caso, tanto la certificación y como el documento adjunto – certificado de existencia y representación legal–, deben tener una fecha de máximo sesenta (60) días calendario anteriores a la prevista en el cronograma del Proceso de Contratación. Lo anterior, dado que si el parágrafo consagra que la copia del registro mercantil del certificado de existencia y representación legal o del RUP que se allegue sea de una fecha máxima de sesenta (60) días calendario anteriores al plazo para solicitar la limitación de la convocatoria, se interpreta que lo mismo aplica para la certificación.  </w:t>
      </w:r>
    </w:p>
    <w:p w14:paraId="3A4D5735" w14:textId="4AC54CD2" w:rsidR="00F23EEF" w:rsidRPr="00F23EEF" w:rsidRDefault="00F23EEF" w:rsidP="00F23EEF">
      <w:pPr>
        <w:spacing w:after="120" w:line="276" w:lineRule="auto"/>
        <w:jc w:val="both"/>
        <w:rPr>
          <w:rFonts w:ascii="Arial" w:eastAsia="Calibri" w:hAnsi="Arial" w:cs="Arial"/>
          <w:color w:val="000000" w:themeColor="text1"/>
          <w:sz w:val="20"/>
          <w:szCs w:val="20"/>
        </w:rPr>
      </w:pPr>
      <w:r w:rsidRPr="00F23EEF">
        <w:rPr>
          <w:rFonts w:ascii="Arial" w:eastAsia="Calibri" w:hAnsi="Arial" w:cs="Arial"/>
          <w:bCs/>
          <w:sz w:val="20"/>
          <w:szCs w:val="20"/>
          <w:lang w:val="es-ES_tradnl" w:eastAsia="es-ES_tradnl"/>
        </w:rPr>
        <w:t>De todos modos, si de la interpretación sistemática quedan dudas que la certificación de la que trata el numeral 2º</w:t>
      </w:r>
      <w:r w:rsidRPr="00F23EEF">
        <w:rPr>
          <w:rFonts w:ascii="Arial" w:hAnsi="Arial" w:cs="Arial"/>
          <w:sz w:val="20"/>
          <w:szCs w:val="20"/>
          <w:lang w:val="es-MX"/>
        </w:rPr>
        <w:t xml:space="preserve"> del </w:t>
      </w:r>
      <w:r w:rsidRPr="00F23EEF">
        <w:rPr>
          <w:rFonts w:ascii="Arial" w:hAnsi="Arial" w:cs="Arial"/>
          <w:color w:val="000000" w:themeColor="text1"/>
          <w:sz w:val="20"/>
          <w:szCs w:val="20"/>
          <w:lang w:val="es-MX"/>
        </w:rPr>
        <w:t>artículo</w:t>
      </w:r>
      <w:r w:rsidRPr="00F23EEF">
        <w:rPr>
          <w:rFonts w:ascii="Arial" w:hAnsi="Arial" w:cs="Arial"/>
          <w:color w:val="000000" w:themeColor="text1"/>
          <w:sz w:val="20"/>
          <w:szCs w:val="20"/>
        </w:rPr>
        <w:t xml:space="preserve"> </w:t>
      </w:r>
      <w:r w:rsidRPr="00F23EEF">
        <w:rPr>
          <w:rFonts w:ascii="Arial" w:eastAsia="Calibri" w:hAnsi="Arial" w:cs="Arial"/>
          <w:bCs/>
          <w:sz w:val="20"/>
          <w:szCs w:val="20"/>
          <w:lang w:eastAsia="es-ES_tradnl"/>
        </w:rPr>
        <w:t xml:space="preserve">2.2.1.2.4.2.4 </w:t>
      </w:r>
      <w:r w:rsidRPr="00F23EEF">
        <w:rPr>
          <w:rFonts w:ascii="Arial" w:eastAsia="Calibri" w:hAnsi="Arial" w:cs="Arial"/>
          <w:bCs/>
          <w:sz w:val="20"/>
          <w:szCs w:val="20"/>
          <w:lang w:val="es-ES_tradnl" w:eastAsia="es-ES_tradnl"/>
        </w:rPr>
        <w:t xml:space="preserve">debe tener un término de vigencia, </w:t>
      </w:r>
      <w:r w:rsidRPr="00F23EEF">
        <w:rPr>
          <w:rFonts w:ascii="Arial" w:eastAsia="Calibri" w:hAnsi="Arial" w:cs="Arial"/>
          <w:color w:val="000000" w:themeColor="text1"/>
          <w:sz w:val="20"/>
          <w:szCs w:val="20"/>
        </w:rPr>
        <w:t xml:space="preserve">y </w:t>
      </w:r>
      <w:proofErr w:type="spellStart"/>
      <w:r w:rsidRPr="00F23EEF">
        <w:rPr>
          <w:rFonts w:ascii="Arial" w:eastAsia="Calibri" w:hAnsi="Arial" w:cs="Arial"/>
          <w:color w:val="000000" w:themeColor="text1"/>
          <w:sz w:val="20"/>
          <w:szCs w:val="20"/>
        </w:rPr>
        <w:t>subsite</w:t>
      </w:r>
      <w:proofErr w:type="spellEnd"/>
      <w:r w:rsidRPr="00F23EEF">
        <w:rPr>
          <w:rFonts w:ascii="Arial" w:eastAsia="Calibri" w:hAnsi="Arial" w:cs="Arial"/>
          <w:color w:val="000000" w:themeColor="text1"/>
          <w:sz w:val="20"/>
          <w:szCs w:val="20"/>
        </w:rPr>
        <w:t xml:space="preserve"> el interrogante de por qué no se integró esta obligación en dicho numeral. Se considera necesario aplicar el criterio interpretación lógica para poder resolver el interrogante planteado. </w:t>
      </w:r>
    </w:p>
    <w:p w14:paraId="44175D8D" w14:textId="608CE731" w:rsidR="00F23EEF" w:rsidRPr="00F23EEF" w:rsidRDefault="00F23EEF" w:rsidP="00F23EEF">
      <w:pPr>
        <w:spacing w:after="120" w:line="276" w:lineRule="auto"/>
        <w:jc w:val="both"/>
        <w:rPr>
          <w:rFonts w:ascii="Arial" w:eastAsia="Calibri" w:hAnsi="Arial" w:cs="Arial"/>
          <w:color w:val="000000" w:themeColor="text1"/>
          <w:sz w:val="20"/>
          <w:szCs w:val="20"/>
        </w:rPr>
      </w:pPr>
      <w:r w:rsidRPr="00F23EEF">
        <w:rPr>
          <w:rFonts w:ascii="Arial" w:eastAsia="Calibri" w:hAnsi="Arial" w:cs="Arial"/>
          <w:color w:val="000000" w:themeColor="text1"/>
          <w:sz w:val="20"/>
          <w:szCs w:val="20"/>
        </w:rPr>
        <w:t xml:space="preserve">En este punto, es pertinente mencionar que la interpretación lógica consiste en «descomponer el pensamiento contenido en la ley y establecer las relaciones lógicas que se dan entre las diferentes partes de </w:t>
      </w:r>
      <w:proofErr w:type="spellStart"/>
      <w:r w:rsidRPr="00F23EEF">
        <w:rPr>
          <w:rFonts w:ascii="Arial" w:eastAsia="Calibri" w:hAnsi="Arial" w:cs="Arial"/>
          <w:color w:val="000000" w:themeColor="text1"/>
          <w:sz w:val="20"/>
          <w:szCs w:val="20"/>
        </w:rPr>
        <w:t>éstas</w:t>
      </w:r>
      <w:proofErr w:type="spellEnd"/>
      <w:r w:rsidRPr="00F23EEF">
        <w:rPr>
          <w:rFonts w:ascii="Arial" w:eastAsia="Calibri" w:hAnsi="Arial" w:cs="Arial"/>
          <w:color w:val="000000" w:themeColor="text1"/>
          <w:sz w:val="20"/>
          <w:szCs w:val="20"/>
        </w:rPr>
        <w:t xml:space="preserve">». Es decir que, con base en la lógica jurídica, se puede dar sentido a los contenidos normativos cuya lectura meramente gramatical no es suficiente. </w:t>
      </w:r>
    </w:p>
    <w:p w14:paraId="4F6CC722" w14:textId="42BCE334" w:rsidR="00F23EEF" w:rsidRPr="00F23EEF" w:rsidRDefault="00F23EEF" w:rsidP="00F23EEF">
      <w:pPr>
        <w:spacing w:after="0" w:line="240" w:lineRule="auto"/>
        <w:jc w:val="both"/>
        <w:rPr>
          <w:rFonts w:ascii="Arial" w:hAnsi="Arial" w:cs="Arial"/>
          <w:color w:val="333333"/>
          <w:sz w:val="20"/>
          <w:szCs w:val="20"/>
          <w:shd w:val="clear" w:color="auto" w:fill="FFFFFF"/>
        </w:rPr>
      </w:pPr>
      <w:r w:rsidRPr="00F23EEF">
        <w:rPr>
          <w:rFonts w:ascii="Arial" w:eastAsia="Calibri" w:hAnsi="Arial" w:cs="Arial"/>
          <w:color w:val="000000" w:themeColor="text1"/>
          <w:sz w:val="20"/>
          <w:szCs w:val="20"/>
        </w:rPr>
        <w:t>De esta forma</w:t>
      </w:r>
      <w:r w:rsidRPr="00F23EEF">
        <w:rPr>
          <w:rFonts w:ascii="Arial" w:eastAsia="Calibri" w:hAnsi="Arial" w:cs="Arial"/>
          <w:bCs/>
          <w:sz w:val="20"/>
          <w:szCs w:val="20"/>
          <w:lang w:val="es-ES_tradnl" w:eastAsia="es-ES_tradnl"/>
        </w:rPr>
        <w:t xml:space="preserve">, si para los documentos que se enlistan en el parágrafo 2º del artículo 2.2.1.2.4.2.4 esto es, −registro mercantil, del certificado de existencia y representación legal o del RUP−, según corresponda </w:t>
      </w:r>
      <w:r w:rsidRPr="00F23EEF">
        <w:rPr>
          <w:rFonts w:ascii="Arial" w:eastAsia="Calibri" w:hAnsi="Arial" w:cs="Arial"/>
          <w:bCs/>
          <w:sz w:val="20"/>
          <w:szCs w:val="20"/>
          <w:lang w:val="es-ES_tradnl" w:eastAsia="es-ES_tradnl"/>
        </w:rPr>
        <w:lastRenderedPageBreak/>
        <w:t xml:space="preserve">conforme a las reglas contenidas en los numeral 1°y 2° y el parágrafo 1° del artículo en mención, se solicita que estos cuenten con una fecha de máximo sesenta (60) días calendario anteriores a la prevista en el cronograma del Proceso de Contratación para el inicio del plazo para solicitar la convocatoria limitada, resulta apenas lógico que la persona jurídica para acreditar su tamaño empresarial, aporte una certificación expedida por el representante legal y el contador o revisor fiscal, −si están obligados a tenerlo−, con una fecha de vigencia, igual a la que se solicita en el parágrafo 2º del artículo en comento. </w:t>
      </w:r>
    </w:p>
    <w:p w14:paraId="7FE92950" w14:textId="182CDEF0" w:rsidR="00F23EEF" w:rsidRDefault="00F23EEF" w:rsidP="00C25AFA">
      <w:pPr>
        <w:spacing w:after="120" w:line="240" w:lineRule="auto"/>
        <w:jc w:val="both"/>
        <w:rPr>
          <w:rFonts w:ascii="Arial" w:hAnsi="Arial" w:cs="Arial"/>
          <w:sz w:val="20"/>
          <w:szCs w:val="20"/>
          <w:lang w:val="es-MX"/>
        </w:rPr>
      </w:pPr>
    </w:p>
    <w:p w14:paraId="0C7159E2" w14:textId="4AA822B7" w:rsidR="00F23EEF" w:rsidRDefault="00F23EEF" w:rsidP="00C25AFA">
      <w:pPr>
        <w:spacing w:after="120" w:line="240" w:lineRule="auto"/>
        <w:jc w:val="both"/>
        <w:rPr>
          <w:rFonts w:ascii="Arial" w:hAnsi="Arial" w:cs="Arial"/>
          <w:sz w:val="20"/>
          <w:szCs w:val="20"/>
          <w:lang w:val="es-MX"/>
        </w:rPr>
      </w:pPr>
    </w:p>
    <w:p w14:paraId="2F48A5F1" w14:textId="60C80877" w:rsidR="00F23EEF" w:rsidRDefault="00F23EEF" w:rsidP="00C25AFA">
      <w:pPr>
        <w:spacing w:after="120" w:line="240" w:lineRule="auto"/>
        <w:jc w:val="both"/>
        <w:rPr>
          <w:rFonts w:ascii="Arial" w:hAnsi="Arial" w:cs="Arial"/>
          <w:sz w:val="20"/>
          <w:szCs w:val="20"/>
          <w:lang w:val="es-MX"/>
        </w:rPr>
      </w:pPr>
    </w:p>
    <w:p w14:paraId="74F99CC3" w14:textId="36F8445C" w:rsidR="00F23EEF" w:rsidRDefault="00F23EEF" w:rsidP="00C25AFA">
      <w:pPr>
        <w:spacing w:after="120" w:line="240" w:lineRule="auto"/>
        <w:jc w:val="both"/>
        <w:rPr>
          <w:rFonts w:ascii="Arial" w:hAnsi="Arial" w:cs="Arial"/>
          <w:sz w:val="20"/>
          <w:szCs w:val="20"/>
          <w:lang w:val="es-MX"/>
        </w:rPr>
      </w:pPr>
    </w:p>
    <w:p w14:paraId="3FA9E3D9" w14:textId="7396CE1A" w:rsidR="00F23EEF" w:rsidRDefault="00F23EEF" w:rsidP="00C25AFA">
      <w:pPr>
        <w:spacing w:after="120" w:line="240" w:lineRule="auto"/>
        <w:jc w:val="both"/>
        <w:rPr>
          <w:rFonts w:ascii="Arial" w:hAnsi="Arial" w:cs="Arial"/>
          <w:sz w:val="20"/>
          <w:szCs w:val="20"/>
          <w:lang w:val="es-MX"/>
        </w:rPr>
      </w:pPr>
    </w:p>
    <w:p w14:paraId="7B6DA637" w14:textId="388E860A" w:rsidR="00F23EEF" w:rsidRDefault="00F23EEF" w:rsidP="00C25AFA">
      <w:pPr>
        <w:spacing w:after="120" w:line="240" w:lineRule="auto"/>
        <w:jc w:val="both"/>
        <w:rPr>
          <w:rFonts w:ascii="Arial" w:hAnsi="Arial" w:cs="Arial"/>
          <w:sz w:val="20"/>
          <w:szCs w:val="20"/>
          <w:lang w:val="es-MX"/>
        </w:rPr>
      </w:pPr>
    </w:p>
    <w:p w14:paraId="4EB9036D" w14:textId="2AC5459D" w:rsidR="00F23EEF" w:rsidRDefault="00F23EEF" w:rsidP="00C25AFA">
      <w:pPr>
        <w:spacing w:after="120" w:line="240" w:lineRule="auto"/>
        <w:jc w:val="both"/>
        <w:rPr>
          <w:rFonts w:ascii="Arial" w:hAnsi="Arial" w:cs="Arial"/>
          <w:sz w:val="20"/>
          <w:szCs w:val="20"/>
          <w:lang w:val="es-MX"/>
        </w:rPr>
      </w:pPr>
    </w:p>
    <w:p w14:paraId="6D0C69C8" w14:textId="65935168" w:rsidR="00F23EEF" w:rsidRDefault="00F23EEF" w:rsidP="00C25AFA">
      <w:pPr>
        <w:spacing w:after="120" w:line="240" w:lineRule="auto"/>
        <w:jc w:val="both"/>
        <w:rPr>
          <w:rFonts w:ascii="Arial" w:hAnsi="Arial" w:cs="Arial"/>
          <w:sz w:val="20"/>
          <w:szCs w:val="20"/>
          <w:lang w:val="es-MX"/>
        </w:rPr>
      </w:pPr>
    </w:p>
    <w:p w14:paraId="7517A9B4" w14:textId="27D65ED2" w:rsidR="00F23EEF" w:rsidRDefault="00F23EEF" w:rsidP="00C25AFA">
      <w:pPr>
        <w:spacing w:after="120" w:line="240" w:lineRule="auto"/>
        <w:jc w:val="both"/>
        <w:rPr>
          <w:rFonts w:ascii="Arial" w:hAnsi="Arial" w:cs="Arial"/>
          <w:sz w:val="20"/>
          <w:szCs w:val="20"/>
          <w:lang w:val="es-MX"/>
        </w:rPr>
      </w:pPr>
    </w:p>
    <w:p w14:paraId="66005EA7" w14:textId="02343D10" w:rsidR="00F23EEF" w:rsidRDefault="00F23EEF" w:rsidP="00C25AFA">
      <w:pPr>
        <w:spacing w:after="120" w:line="240" w:lineRule="auto"/>
        <w:jc w:val="both"/>
        <w:rPr>
          <w:rFonts w:ascii="Arial" w:hAnsi="Arial" w:cs="Arial"/>
          <w:sz w:val="20"/>
          <w:szCs w:val="20"/>
          <w:lang w:val="es-MX"/>
        </w:rPr>
      </w:pPr>
    </w:p>
    <w:p w14:paraId="14FD98F6" w14:textId="65377F95" w:rsidR="00F23EEF" w:rsidRDefault="00F23EEF" w:rsidP="00C25AFA">
      <w:pPr>
        <w:spacing w:after="120" w:line="240" w:lineRule="auto"/>
        <w:jc w:val="both"/>
        <w:rPr>
          <w:rFonts w:ascii="Arial" w:hAnsi="Arial" w:cs="Arial"/>
          <w:sz w:val="20"/>
          <w:szCs w:val="20"/>
          <w:lang w:val="es-MX"/>
        </w:rPr>
      </w:pPr>
    </w:p>
    <w:p w14:paraId="3085110F" w14:textId="40CEFE34" w:rsidR="00F23EEF" w:rsidRDefault="00F23EEF" w:rsidP="00C25AFA">
      <w:pPr>
        <w:spacing w:after="120" w:line="240" w:lineRule="auto"/>
        <w:jc w:val="both"/>
        <w:rPr>
          <w:rFonts w:ascii="Arial" w:hAnsi="Arial" w:cs="Arial"/>
          <w:sz w:val="20"/>
          <w:szCs w:val="20"/>
          <w:lang w:val="es-MX"/>
        </w:rPr>
      </w:pPr>
    </w:p>
    <w:p w14:paraId="5FFAF24C" w14:textId="16A71CA8" w:rsidR="00F23EEF" w:rsidRDefault="00F23EEF" w:rsidP="00C25AFA">
      <w:pPr>
        <w:spacing w:after="120" w:line="240" w:lineRule="auto"/>
        <w:jc w:val="both"/>
        <w:rPr>
          <w:rFonts w:ascii="Arial" w:hAnsi="Arial" w:cs="Arial"/>
          <w:sz w:val="20"/>
          <w:szCs w:val="20"/>
          <w:lang w:val="es-MX"/>
        </w:rPr>
      </w:pPr>
    </w:p>
    <w:p w14:paraId="3B6FAFA8" w14:textId="46B28DBB" w:rsidR="00F23EEF" w:rsidRDefault="00F23EEF" w:rsidP="00C25AFA">
      <w:pPr>
        <w:spacing w:after="120" w:line="240" w:lineRule="auto"/>
        <w:jc w:val="both"/>
        <w:rPr>
          <w:rFonts w:ascii="Arial" w:hAnsi="Arial" w:cs="Arial"/>
          <w:sz w:val="20"/>
          <w:szCs w:val="20"/>
          <w:lang w:val="es-MX"/>
        </w:rPr>
      </w:pPr>
    </w:p>
    <w:p w14:paraId="4AF426A2" w14:textId="137AFDAE" w:rsidR="00F23EEF" w:rsidRDefault="00F23EEF" w:rsidP="00C25AFA">
      <w:pPr>
        <w:spacing w:after="120" w:line="240" w:lineRule="auto"/>
        <w:jc w:val="both"/>
        <w:rPr>
          <w:rFonts w:ascii="Arial" w:hAnsi="Arial" w:cs="Arial"/>
          <w:sz w:val="20"/>
          <w:szCs w:val="20"/>
          <w:lang w:val="es-MX"/>
        </w:rPr>
      </w:pPr>
    </w:p>
    <w:p w14:paraId="7062B41B" w14:textId="15A45CFB" w:rsidR="00F23EEF" w:rsidRDefault="00F23EEF" w:rsidP="00C25AFA">
      <w:pPr>
        <w:spacing w:after="120" w:line="240" w:lineRule="auto"/>
        <w:jc w:val="both"/>
        <w:rPr>
          <w:rFonts w:ascii="Arial" w:hAnsi="Arial" w:cs="Arial"/>
          <w:sz w:val="20"/>
          <w:szCs w:val="20"/>
          <w:lang w:val="es-MX"/>
        </w:rPr>
      </w:pPr>
    </w:p>
    <w:p w14:paraId="5D8FD5AF" w14:textId="720585DE" w:rsidR="00F23EEF" w:rsidRDefault="00F23EEF" w:rsidP="00C25AFA">
      <w:pPr>
        <w:spacing w:after="120" w:line="240" w:lineRule="auto"/>
        <w:jc w:val="both"/>
        <w:rPr>
          <w:rFonts w:ascii="Arial" w:hAnsi="Arial" w:cs="Arial"/>
          <w:sz w:val="20"/>
          <w:szCs w:val="20"/>
          <w:lang w:val="es-MX"/>
        </w:rPr>
      </w:pPr>
    </w:p>
    <w:p w14:paraId="58ED9A0C" w14:textId="2E3B96B4" w:rsidR="00F23EEF" w:rsidRDefault="00F23EEF" w:rsidP="00C25AFA">
      <w:pPr>
        <w:spacing w:after="120" w:line="240" w:lineRule="auto"/>
        <w:jc w:val="both"/>
        <w:rPr>
          <w:rFonts w:ascii="Arial" w:hAnsi="Arial" w:cs="Arial"/>
          <w:sz w:val="20"/>
          <w:szCs w:val="20"/>
          <w:lang w:val="es-MX"/>
        </w:rPr>
      </w:pPr>
    </w:p>
    <w:p w14:paraId="3F1130C9" w14:textId="0056006D" w:rsidR="00F23EEF" w:rsidRDefault="00F23EEF" w:rsidP="00C25AFA">
      <w:pPr>
        <w:spacing w:after="120" w:line="240" w:lineRule="auto"/>
        <w:jc w:val="both"/>
        <w:rPr>
          <w:rFonts w:ascii="Arial" w:hAnsi="Arial" w:cs="Arial"/>
          <w:sz w:val="20"/>
          <w:szCs w:val="20"/>
          <w:lang w:val="es-MX"/>
        </w:rPr>
      </w:pPr>
    </w:p>
    <w:p w14:paraId="6051C88A" w14:textId="53CC7A5D" w:rsidR="00F23EEF" w:rsidRDefault="00F23EEF" w:rsidP="00C25AFA">
      <w:pPr>
        <w:spacing w:after="120" w:line="240" w:lineRule="auto"/>
        <w:jc w:val="both"/>
        <w:rPr>
          <w:rFonts w:ascii="Arial" w:hAnsi="Arial" w:cs="Arial"/>
          <w:sz w:val="20"/>
          <w:szCs w:val="20"/>
          <w:lang w:val="es-MX"/>
        </w:rPr>
      </w:pPr>
    </w:p>
    <w:p w14:paraId="667F2B6F" w14:textId="4E74A111" w:rsidR="00F23EEF" w:rsidRDefault="00F23EEF" w:rsidP="00C25AFA">
      <w:pPr>
        <w:spacing w:after="120" w:line="240" w:lineRule="auto"/>
        <w:jc w:val="both"/>
        <w:rPr>
          <w:rFonts w:ascii="Arial" w:hAnsi="Arial" w:cs="Arial"/>
          <w:sz w:val="20"/>
          <w:szCs w:val="20"/>
          <w:lang w:val="es-MX"/>
        </w:rPr>
      </w:pPr>
    </w:p>
    <w:p w14:paraId="6B53F991" w14:textId="0EEC2695" w:rsidR="00F23EEF" w:rsidRDefault="00F23EEF" w:rsidP="00C25AFA">
      <w:pPr>
        <w:spacing w:after="120" w:line="240" w:lineRule="auto"/>
        <w:jc w:val="both"/>
        <w:rPr>
          <w:rFonts w:ascii="Arial" w:hAnsi="Arial" w:cs="Arial"/>
          <w:sz w:val="20"/>
          <w:szCs w:val="20"/>
          <w:lang w:val="es-MX"/>
        </w:rPr>
      </w:pPr>
    </w:p>
    <w:p w14:paraId="1490E5CB" w14:textId="65591EBF" w:rsidR="00F23EEF" w:rsidRDefault="00F23EEF" w:rsidP="00C25AFA">
      <w:pPr>
        <w:spacing w:after="120" w:line="240" w:lineRule="auto"/>
        <w:jc w:val="both"/>
        <w:rPr>
          <w:rFonts w:ascii="Arial" w:hAnsi="Arial" w:cs="Arial"/>
          <w:sz w:val="20"/>
          <w:szCs w:val="20"/>
          <w:lang w:val="es-MX"/>
        </w:rPr>
      </w:pPr>
    </w:p>
    <w:p w14:paraId="52905959" w14:textId="77777777" w:rsidR="00F23EEF" w:rsidRDefault="00F23EEF" w:rsidP="00C25AFA">
      <w:pPr>
        <w:spacing w:after="120" w:line="240" w:lineRule="auto"/>
        <w:jc w:val="both"/>
        <w:rPr>
          <w:rFonts w:ascii="Arial" w:hAnsi="Arial" w:cs="Arial"/>
          <w:sz w:val="20"/>
          <w:szCs w:val="20"/>
          <w:lang w:val="es-MX"/>
        </w:rPr>
      </w:pPr>
    </w:p>
    <w:p w14:paraId="2BFA1618" w14:textId="063F91A9" w:rsidR="00F23EEF" w:rsidRDefault="00F23EEF" w:rsidP="00C25AFA">
      <w:pPr>
        <w:spacing w:after="120" w:line="240" w:lineRule="auto"/>
        <w:jc w:val="both"/>
        <w:rPr>
          <w:rFonts w:ascii="Arial" w:hAnsi="Arial" w:cs="Arial"/>
          <w:sz w:val="20"/>
          <w:szCs w:val="20"/>
          <w:lang w:val="es-MX"/>
        </w:rPr>
      </w:pPr>
    </w:p>
    <w:p w14:paraId="7011E420" w14:textId="3FC6BE56" w:rsidR="00F23EEF" w:rsidRDefault="00F23EEF" w:rsidP="00C25AFA">
      <w:pPr>
        <w:spacing w:after="120" w:line="240" w:lineRule="auto"/>
        <w:jc w:val="both"/>
        <w:rPr>
          <w:rFonts w:ascii="Arial" w:hAnsi="Arial" w:cs="Arial"/>
          <w:sz w:val="20"/>
          <w:szCs w:val="20"/>
          <w:lang w:val="es-MX"/>
        </w:rPr>
      </w:pPr>
    </w:p>
    <w:p w14:paraId="73CE1930" w14:textId="43CEEF5B" w:rsidR="00F23EEF" w:rsidRDefault="00F23EEF" w:rsidP="00C25AFA">
      <w:pPr>
        <w:spacing w:after="120" w:line="240" w:lineRule="auto"/>
        <w:jc w:val="both"/>
        <w:rPr>
          <w:rFonts w:ascii="Arial" w:hAnsi="Arial" w:cs="Arial"/>
          <w:sz w:val="20"/>
          <w:szCs w:val="20"/>
          <w:lang w:val="es-MX"/>
        </w:rPr>
      </w:pPr>
    </w:p>
    <w:p w14:paraId="4D8D41D3" w14:textId="316AC6B2" w:rsidR="00F23EEF" w:rsidRDefault="00F23EEF" w:rsidP="00C25AFA">
      <w:pPr>
        <w:spacing w:after="120" w:line="240" w:lineRule="auto"/>
        <w:jc w:val="both"/>
        <w:rPr>
          <w:rFonts w:ascii="Arial" w:hAnsi="Arial" w:cs="Arial"/>
          <w:sz w:val="20"/>
          <w:szCs w:val="20"/>
          <w:lang w:val="es-MX"/>
        </w:rPr>
      </w:pPr>
    </w:p>
    <w:p w14:paraId="68556BCF" w14:textId="66C46DB5" w:rsidR="00DE1872" w:rsidRDefault="00DE1872" w:rsidP="00C25AFA">
      <w:pPr>
        <w:spacing w:after="120" w:line="240" w:lineRule="auto"/>
        <w:jc w:val="both"/>
        <w:rPr>
          <w:rFonts w:ascii="Arial" w:hAnsi="Arial" w:cs="Arial"/>
          <w:sz w:val="20"/>
          <w:szCs w:val="20"/>
          <w:lang w:val="es-MX"/>
        </w:rPr>
      </w:pPr>
    </w:p>
    <w:p w14:paraId="7F948E51" w14:textId="415D9CDE" w:rsidR="004A48C9" w:rsidRPr="00DE1872" w:rsidRDefault="00DE1872" w:rsidP="00DE1872">
      <w:pPr>
        <w:spacing w:after="120" w:line="240" w:lineRule="auto"/>
        <w:jc w:val="both"/>
        <w:rPr>
          <w:rFonts w:ascii="Arial" w:eastAsia="Calibri" w:hAnsi="Arial" w:cs="Arial"/>
          <w:lang w:val="es-ES_tradnl" w:eastAsia="es-ES_tradnl"/>
        </w:rPr>
      </w:pPr>
      <w:r>
        <w:rPr>
          <w:noProof/>
        </w:rPr>
        <w:lastRenderedPageBreak/>
        <w:drawing>
          <wp:anchor distT="0" distB="0" distL="114300" distR="114300" simplePos="0" relativeHeight="251658240" behindDoc="0" locked="0" layoutInCell="1" allowOverlap="1" wp14:anchorId="580E856A" wp14:editId="0B55B941">
            <wp:simplePos x="0" y="0"/>
            <wp:positionH relativeFrom="column">
              <wp:posOffset>3566795</wp:posOffset>
            </wp:positionH>
            <wp:positionV relativeFrom="paragraph">
              <wp:posOffset>13335</wp:posOffset>
            </wp:positionV>
            <wp:extent cx="2686050" cy="790575"/>
            <wp:effectExtent l="0" t="0" r="0" b="952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extLst>
                        <a:ext uri="{28A0092B-C50C-407E-A947-70E740481C1C}">
                          <a14:useLocalDpi xmlns:a14="http://schemas.microsoft.com/office/drawing/2010/main" val="0"/>
                        </a:ext>
                      </a:extLst>
                    </a:blip>
                    <a:srcRect l="55009" t="51065" r="16123" b="33815"/>
                    <a:stretch/>
                  </pic:blipFill>
                  <pic:spPr bwMode="auto">
                    <a:xfrm>
                      <a:off x="0" y="0"/>
                      <a:ext cx="2686050" cy="7905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bookmarkStart w:id="1" w:name="_Hlk95237798"/>
      <w:bookmarkEnd w:id="0"/>
      <w:r w:rsidRPr="00DE1872">
        <w:rPr>
          <w:rFonts w:ascii="Arial" w:hAnsi="Arial" w:cs="Arial"/>
        </w:rPr>
        <w:t xml:space="preserve">Bogotá, 05 </w:t>
      </w:r>
      <w:proofErr w:type="gramStart"/>
      <w:r w:rsidRPr="00DE1872">
        <w:rPr>
          <w:rFonts w:ascii="Arial" w:hAnsi="Arial" w:cs="Arial"/>
        </w:rPr>
        <w:t>Diciembre</w:t>
      </w:r>
      <w:proofErr w:type="gramEnd"/>
      <w:r w:rsidRPr="00DE1872">
        <w:rPr>
          <w:rFonts w:ascii="Arial" w:hAnsi="Arial" w:cs="Arial"/>
        </w:rPr>
        <w:t xml:space="preserve"> 2022</w:t>
      </w:r>
    </w:p>
    <w:p w14:paraId="40646054" w14:textId="1A161F0A" w:rsidR="00827413" w:rsidRDefault="00827413" w:rsidP="004A48C9">
      <w:pPr>
        <w:spacing w:after="0" w:line="240" w:lineRule="auto"/>
        <w:contextualSpacing/>
        <w:jc w:val="both"/>
        <w:rPr>
          <w:rFonts w:ascii="Arial" w:eastAsia="Calibri" w:hAnsi="Arial" w:cs="Arial"/>
          <w:lang w:val="es-ES_tradnl" w:eastAsia="es-ES_tradnl"/>
        </w:rPr>
      </w:pPr>
    </w:p>
    <w:p w14:paraId="7E642913" w14:textId="495A6741" w:rsidR="00827413" w:rsidRDefault="00827413" w:rsidP="004A48C9">
      <w:pPr>
        <w:spacing w:after="0" w:line="240" w:lineRule="auto"/>
        <w:contextualSpacing/>
        <w:jc w:val="both"/>
        <w:rPr>
          <w:rFonts w:ascii="Arial" w:eastAsia="Calibri" w:hAnsi="Arial" w:cs="Arial"/>
          <w:lang w:val="es-ES_tradnl" w:eastAsia="es-ES_tradnl"/>
        </w:rPr>
      </w:pPr>
    </w:p>
    <w:p w14:paraId="2C3801B4" w14:textId="3A6F784E" w:rsidR="00827413" w:rsidRDefault="00827413" w:rsidP="004A48C9">
      <w:pPr>
        <w:spacing w:after="0" w:line="240" w:lineRule="auto"/>
        <w:contextualSpacing/>
        <w:jc w:val="both"/>
        <w:rPr>
          <w:rFonts w:ascii="Arial" w:eastAsia="Calibri" w:hAnsi="Arial" w:cs="Arial"/>
          <w:lang w:val="es-ES_tradnl" w:eastAsia="es-ES_tradnl"/>
        </w:rPr>
      </w:pPr>
    </w:p>
    <w:p w14:paraId="61672AB7" w14:textId="77777777" w:rsidR="00827413" w:rsidRDefault="00827413" w:rsidP="004A48C9">
      <w:pPr>
        <w:spacing w:after="0" w:line="240" w:lineRule="auto"/>
        <w:contextualSpacing/>
        <w:jc w:val="both"/>
        <w:rPr>
          <w:rFonts w:ascii="Arial" w:eastAsia="Calibri" w:hAnsi="Arial" w:cs="Arial"/>
          <w:lang w:val="es-ES_tradnl" w:eastAsia="es-ES_tradnl"/>
        </w:rPr>
      </w:pPr>
    </w:p>
    <w:p w14:paraId="4531A8DA" w14:textId="175DABCD" w:rsidR="004A48C9" w:rsidRPr="004A48C9" w:rsidRDefault="004A48C9" w:rsidP="004A48C9">
      <w:pPr>
        <w:spacing w:after="0" w:line="240" w:lineRule="auto"/>
        <w:contextualSpacing/>
        <w:jc w:val="both"/>
        <w:rPr>
          <w:rFonts w:ascii="Arial" w:eastAsia="Calibri" w:hAnsi="Arial" w:cs="Arial"/>
          <w:lang w:val="es-ES_tradnl" w:eastAsia="es-ES_tradnl"/>
        </w:rPr>
      </w:pPr>
      <w:r w:rsidRPr="004A48C9">
        <w:rPr>
          <w:rFonts w:ascii="Arial" w:eastAsia="Calibri" w:hAnsi="Arial" w:cs="Arial"/>
          <w:lang w:val="es-ES_tradnl" w:eastAsia="es-ES_tradnl"/>
        </w:rPr>
        <w:t>Señor</w:t>
      </w:r>
    </w:p>
    <w:p w14:paraId="048D55FE" w14:textId="16202975" w:rsidR="004A48C9" w:rsidRPr="004A48C9" w:rsidRDefault="00827413" w:rsidP="004A48C9">
      <w:pPr>
        <w:spacing w:after="0" w:line="240" w:lineRule="auto"/>
        <w:contextualSpacing/>
        <w:jc w:val="both"/>
        <w:rPr>
          <w:rFonts w:ascii="Arial" w:eastAsia="Calibri" w:hAnsi="Arial" w:cs="Arial"/>
          <w:b/>
          <w:bCs/>
          <w:lang w:val="es-ES_tradnl" w:eastAsia="es-ES_tradnl"/>
        </w:rPr>
      </w:pPr>
      <w:r>
        <w:rPr>
          <w:rFonts w:ascii="Arial" w:eastAsia="Calibri" w:hAnsi="Arial" w:cs="Arial"/>
          <w:b/>
          <w:bCs/>
          <w:lang w:val="es-ES_tradnl" w:eastAsia="es-ES_tradnl"/>
        </w:rPr>
        <w:t xml:space="preserve">GERSON CABALLERO LIZARAZO </w:t>
      </w:r>
    </w:p>
    <w:p w14:paraId="2580B9DA" w14:textId="6DA87016" w:rsidR="00827413" w:rsidRDefault="00827413" w:rsidP="004A48C9">
      <w:pPr>
        <w:spacing w:after="0" w:line="240" w:lineRule="auto"/>
        <w:contextualSpacing/>
        <w:jc w:val="both"/>
        <w:rPr>
          <w:rFonts w:ascii="Arial" w:eastAsia="Times New Roman" w:hAnsi="Arial" w:cs="Arial"/>
          <w:lang w:eastAsia="es-MX"/>
        </w:rPr>
      </w:pPr>
      <w:r>
        <w:rPr>
          <w:rFonts w:ascii="Arial" w:eastAsia="Times New Roman" w:hAnsi="Arial" w:cs="Arial"/>
          <w:lang w:eastAsia="es-MX"/>
        </w:rPr>
        <w:t xml:space="preserve">Representante Legal </w:t>
      </w:r>
    </w:p>
    <w:p w14:paraId="71E0E617" w14:textId="39015019" w:rsidR="00827413" w:rsidRPr="00F23EEF" w:rsidRDefault="00827413" w:rsidP="004A48C9">
      <w:pPr>
        <w:spacing w:after="0" w:line="240" w:lineRule="auto"/>
        <w:contextualSpacing/>
        <w:jc w:val="both"/>
        <w:rPr>
          <w:rFonts w:ascii="Arial" w:eastAsia="Times New Roman" w:hAnsi="Arial" w:cs="Arial"/>
          <w:b/>
          <w:bCs/>
          <w:lang w:eastAsia="es-MX"/>
        </w:rPr>
      </w:pPr>
      <w:r w:rsidRPr="00F23EEF">
        <w:rPr>
          <w:rFonts w:ascii="Arial" w:eastAsia="Times New Roman" w:hAnsi="Arial" w:cs="Arial"/>
          <w:b/>
          <w:bCs/>
          <w:lang w:eastAsia="es-MX"/>
        </w:rPr>
        <w:t xml:space="preserve">ECO LOGICA S.A.S. </w:t>
      </w:r>
    </w:p>
    <w:p w14:paraId="320D88AE" w14:textId="044F2B82" w:rsidR="004A48C9" w:rsidRDefault="00827413" w:rsidP="004A48C9">
      <w:pPr>
        <w:spacing w:after="0" w:line="240" w:lineRule="auto"/>
        <w:contextualSpacing/>
        <w:jc w:val="both"/>
        <w:rPr>
          <w:rFonts w:ascii="Arial" w:eastAsia="Times New Roman" w:hAnsi="Arial" w:cs="Arial"/>
          <w:lang w:eastAsia="es-MX"/>
        </w:rPr>
      </w:pPr>
      <w:r>
        <w:rPr>
          <w:rFonts w:ascii="Arial" w:eastAsia="Times New Roman" w:hAnsi="Arial" w:cs="Arial"/>
          <w:lang w:eastAsia="es-MX"/>
        </w:rPr>
        <w:t>San Gil</w:t>
      </w:r>
      <w:r w:rsidR="004A48C9">
        <w:rPr>
          <w:rFonts w:ascii="Arial" w:eastAsia="Times New Roman" w:hAnsi="Arial" w:cs="Arial"/>
          <w:lang w:eastAsia="es-MX"/>
        </w:rPr>
        <w:t>, Santander</w:t>
      </w:r>
    </w:p>
    <w:p w14:paraId="75A6FC12" w14:textId="22212FC2" w:rsidR="004A48C9" w:rsidRDefault="004A48C9" w:rsidP="004A48C9">
      <w:pPr>
        <w:spacing w:after="0" w:line="240" w:lineRule="auto"/>
        <w:contextualSpacing/>
        <w:jc w:val="both"/>
        <w:rPr>
          <w:rFonts w:ascii="Arial" w:eastAsia="Times New Roman" w:hAnsi="Arial" w:cs="Arial"/>
          <w:lang w:eastAsia="es-MX"/>
        </w:rPr>
      </w:pPr>
    </w:p>
    <w:p w14:paraId="6E31EAA2" w14:textId="77777777" w:rsidR="004A48C9" w:rsidRPr="004A48C9" w:rsidRDefault="004A48C9" w:rsidP="004A48C9">
      <w:pPr>
        <w:spacing w:after="0" w:line="240" w:lineRule="auto"/>
        <w:contextualSpacing/>
        <w:jc w:val="both"/>
        <w:rPr>
          <w:rFonts w:ascii="Arial" w:eastAsia="Calibri" w:hAnsi="Arial" w:cs="Arial"/>
          <w:lang w:val="es-ES_tradnl" w:eastAsia="es-ES_tradnl"/>
        </w:rPr>
      </w:pPr>
    </w:p>
    <w:p w14:paraId="4C4149A9" w14:textId="76AB1F0B" w:rsidR="004A48C9" w:rsidRPr="004A48C9" w:rsidRDefault="004A48C9" w:rsidP="004A48C9">
      <w:pPr>
        <w:spacing w:after="0" w:line="240" w:lineRule="auto"/>
        <w:contextualSpacing/>
        <w:rPr>
          <w:rFonts w:ascii="Arial" w:eastAsia="Calibri" w:hAnsi="Arial" w:cs="Arial"/>
          <w:b/>
          <w:bCs/>
          <w:lang w:val="es-ES_tradnl" w:eastAsia="es-ES_tradnl"/>
        </w:rPr>
      </w:pPr>
      <w:r w:rsidRPr="004A48C9">
        <w:rPr>
          <w:rFonts w:ascii="Arial" w:eastAsia="Calibri" w:hAnsi="Arial" w:cs="Arial"/>
          <w:b/>
          <w:bCs/>
          <w:lang w:val="es-ES_tradnl" w:eastAsia="es-ES_tradnl"/>
        </w:rPr>
        <w:t xml:space="preserve">                                            Concepto C ‒ </w:t>
      </w:r>
      <w:r>
        <w:rPr>
          <w:rFonts w:ascii="Arial" w:eastAsia="Calibri" w:hAnsi="Arial" w:cs="Arial"/>
          <w:b/>
          <w:bCs/>
          <w:lang w:val="es-ES_tradnl" w:eastAsia="es-ES_tradnl"/>
        </w:rPr>
        <w:t>838</w:t>
      </w:r>
      <w:r w:rsidRPr="004A48C9">
        <w:rPr>
          <w:rFonts w:ascii="Arial" w:eastAsia="Calibri" w:hAnsi="Arial" w:cs="Arial"/>
          <w:b/>
          <w:bCs/>
          <w:lang w:val="es-ES_tradnl" w:eastAsia="es-ES_tradnl"/>
        </w:rPr>
        <w:t xml:space="preserve"> de 2022</w:t>
      </w:r>
    </w:p>
    <w:p w14:paraId="7FB3B90C" w14:textId="77777777" w:rsidR="004A48C9" w:rsidRPr="004A48C9" w:rsidRDefault="004A48C9" w:rsidP="004A48C9">
      <w:pPr>
        <w:spacing w:after="0" w:line="240" w:lineRule="auto"/>
        <w:contextualSpacing/>
        <w:rPr>
          <w:rFonts w:ascii="Arial" w:eastAsia="Calibri" w:hAnsi="Arial" w:cs="Arial"/>
          <w:b/>
          <w:bCs/>
          <w:lang w:val="es-ES_tradnl" w:eastAsia="es-ES_tradnl"/>
        </w:rPr>
      </w:pPr>
    </w:p>
    <w:tbl>
      <w:tblPr>
        <w:tblStyle w:val="Tablaconcuadrcula"/>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37"/>
      </w:tblGrid>
      <w:tr w:rsidR="004A48C9" w:rsidRPr="004A48C9" w14:paraId="1B85F919" w14:textId="77777777" w:rsidTr="00C10076">
        <w:tc>
          <w:tcPr>
            <w:tcW w:w="2689" w:type="dxa"/>
          </w:tcPr>
          <w:p w14:paraId="2CCF0DB4" w14:textId="77777777" w:rsidR="004A48C9" w:rsidRPr="004A48C9" w:rsidRDefault="004A48C9" w:rsidP="004A48C9">
            <w:pPr>
              <w:contextualSpacing/>
              <w:jc w:val="both"/>
              <w:rPr>
                <w:rFonts w:ascii="Arial" w:eastAsia="Calibri" w:hAnsi="Arial" w:cs="Arial"/>
                <w:lang w:val="es-ES_tradnl" w:eastAsia="es-ES_tradnl"/>
              </w:rPr>
            </w:pPr>
            <w:r w:rsidRPr="004A48C9">
              <w:rPr>
                <w:rFonts w:ascii="Arial" w:eastAsia="Calibri" w:hAnsi="Arial" w:cs="Arial"/>
                <w:b/>
                <w:lang w:val="es-ES_tradnl" w:eastAsia="es-ES_tradnl"/>
              </w:rPr>
              <w:t>Temas:</w:t>
            </w:r>
            <w:r w:rsidRPr="004A48C9">
              <w:rPr>
                <w:rFonts w:ascii="Arial" w:eastAsia="Calibri" w:hAnsi="Arial" w:cs="Arial"/>
                <w:lang w:val="es-ES_tradnl" w:eastAsia="es-ES_tradnl"/>
              </w:rPr>
              <w:t xml:space="preserve">                                      </w:t>
            </w:r>
          </w:p>
        </w:tc>
        <w:tc>
          <w:tcPr>
            <w:tcW w:w="6237" w:type="dxa"/>
          </w:tcPr>
          <w:p w14:paraId="1E4D6E1C" w14:textId="77777777" w:rsidR="004A48C9" w:rsidRPr="004A48C9" w:rsidRDefault="004A48C9" w:rsidP="004A48C9">
            <w:pPr>
              <w:contextualSpacing/>
              <w:jc w:val="both"/>
              <w:rPr>
                <w:rFonts w:ascii="Arial" w:eastAsia="Calibri" w:hAnsi="Arial" w:cs="Arial"/>
                <w:bCs/>
                <w:lang w:val="es-ES_tradnl" w:eastAsia="es-ES_tradnl"/>
              </w:rPr>
            </w:pPr>
            <w:r w:rsidRPr="004A48C9">
              <w:rPr>
                <w:rFonts w:ascii="Arial" w:eastAsia="Calibri" w:hAnsi="Arial" w:cs="Arial"/>
                <w:bCs/>
                <w:lang w:val="es-ES_tradnl" w:eastAsia="es-ES_tradnl"/>
              </w:rPr>
              <w:t xml:space="preserve">LEY DE EMPRENDIMIENTO – Ley 2069 de 2020 – Vigencia / </w:t>
            </w:r>
          </w:p>
        </w:tc>
      </w:tr>
      <w:tr w:rsidR="004A48C9" w:rsidRPr="004A48C9" w14:paraId="78ACCAFA" w14:textId="77777777" w:rsidTr="00C10076">
        <w:tc>
          <w:tcPr>
            <w:tcW w:w="2689" w:type="dxa"/>
          </w:tcPr>
          <w:p w14:paraId="7DB1EE26" w14:textId="77777777" w:rsidR="004A48C9" w:rsidRPr="004A48C9" w:rsidRDefault="004A48C9" w:rsidP="004A48C9">
            <w:pPr>
              <w:contextualSpacing/>
              <w:jc w:val="both"/>
              <w:rPr>
                <w:rFonts w:ascii="Arial" w:eastAsia="Calibri" w:hAnsi="Arial" w:cs="Arial"/>
                <w:b/>
                <w:lang w:val="es-ES_tradnl" w:eastAsia="es-ES_tradnl"/>
              </w:rPr>
            </w:pPr>
          </w:p>
        </w:tc>
        <w:tc>
          <w:tcPr>
            <w:tcW w:w="6237" w:type="dxa"/>
          </w:tcPr>
          <w:p w14:paraId="47D07555" w14:textId="1A2BE15D" w:rsidR="004A48C9" w:rsidRDefault="004A48C9" w:rsidP="000B0E34">
            <w:pPr>
              <w:contextualSpacing/>
              <w:jc w:val="both"/>
              <w:textAlignment w:val="baseline"/>
              <w:rPr>
                <w:rFonts w:ascii="Arial" w:eastAsia="Times New Roman" w:hAnsi="Arial" w:cs="Arial"/>
                <w:bCs/>
                <w:lang w:eastAsia="es-CO"/>
              </w:rPr>
            </w:pPr>
            <w:r w:rsidRPr="004A48C9">
              <w:rPr>
                <w:rFonts w:ascii="Arial" w:eastAsia="Calibri" w:hAnsi="Arial" w:cs="Arial"/>
                <w:bCs/>
                <w:lang w:val="es-ES_tradnl" w:eastAsia="es-ES_tradnl"/>
              </w:rPr>
              <w:t xml:space="preserve">LEY DE EMPRENDIMIENTO – Ley 2069 de 2020 – Ámbito / MIPYME – Ley 2069 – Artículo 34 – Convocatorias limitadas / </w:t>
            </w:r>
            <w:r w:rsidRPr="004A48C9">
              <w:rPr>
                <w:rFonts w:ascii="Arial" w:eastAsia="Times New Roman" w:hAnsi="Arial" w:cs="Arial"/>
                <w:bCs/>
                <w:lang w:val="es-ES" w:eastAsia="es-CO"/>
              </w:rPr>
              <w:t xml:space="preserve">MIPYME </w:t>
            </w:r>
            <w:r w:rsidRPr="004A48C9">
              <w:rPr>
                <w:rFonts w:ascii="Arial" w:eastAsia="Times New Roman" w:hAnsi="Arial" w:cs="Arial"/>
                <w:bCs/>
                <w:lang w:eastAsia="es-CO"/>
              </w:rPr>
              <w:t xml:space="preserve">– Convocatoria limitada – Decreto 1860 de 2021 / </w:t>
            </w:r>
            <w:r w:rsidRPr="004A48C9">
              <w:rPr>
                <w:rFonts w:ascii="Arial" w:eastAsia="Times New Roman" w:hAnsi="Arial" w:cs="Arial"/>
                <w:bCs/>
                <w:lang w:val="es-ES" w:eastAsia="es-CO"/>
              </w:rPr>
              <w:t xml:space="preserve">MIPYME </w:t>
            </w:r>
            <w:r w:rsidRPr="004A48C9">
              <w:rPr>
                <w:rFonts w:ascii="Arial" w:eastAsia="Times New Roman" w:hAnsi="Arial" w:cs="Arial"/>
                <w:bCs/>
                <w:lang w:eastAsia="es-CO"/>
              </w:rPr>
              <w:t xml:space="preserve">– Convocatoria limitada – Requisitos / </w:t>
            </w:r>
            <w:r w:rsidRPr="004A48C9">
              <w:rPr>
                <w:rFonts w:ascii="Arial" w:eastAsia="Times New Roman" w:hAnsi="Arial" w:cs="Arial"/>
                <w:bCs/>
                <w:lang w:val="es-ES" w:eastAsia="es-CO"/>
              </w:rPr>
              <w:t xml:space="preserve">MIPYME </w:t>
            </w:r>
            <w:r w:rsidRPr="004A48C9">
              <w:rPr>
                <w:rFonts w:ascii="Arial" w:eastAsia="Times New Roman" w:hAnsi="Arial" w:cs="Arial"/>
                <w:bCs/>
                <w:lang w:eastAsia="es-CO"/>
              </w:rPr>
              <w:t>– Convocatoria limitada – Acreditación</w:t>
            </w:r>
            <w:r w:rsidRPr="004A48C9">
              <w:rPr>
                <w:rFonts w:ascii="Arial" w:eastAsia="Times New Roman" w:hAnsi="Arial" w:cs="Arial"/>
                <w:bCs/>
                <w:lang w:val="es-ES" w:eastAsia="es-CO"/>
              </w:rPr>
              <w:t xml:space="preserve"> / MIPYME </w:t>
            </w:r>
            <w:r w:rsidRPr="004A48C9">
              <w:rPr>
                <w:rFonts w:ascii="Arial" w:eastAsia="Times New Roman" w:hAnsi="Arial" w:cs="Arial"/>
                <w:bCs/>
                <w:lang w:eastAsia="es-CO"/>
              </w:rPr>
              <w:t xml:space="preserve">– Convocatoria limitada – Acreditación – Persona natural – Registro Mercantil / </w:t>
            </w:r>
            <w:r w:rsidRPr="004A48C9">
              <w:rPr>
                <w:rFonts w:ascii="Arial" w:eastAsia="Times New Roman" w:hAnsi="Arial" w:cs="Arial"/>
                <w:bCs/>
                <w:lang w:val="es-ES" w:eastAsia="es-CO"/>
              </w:rPr>
              <w:t xml:space="preserve">MIPYME </w:t>
            </w:r>
            <w:r w:rsidRPr="004A48C9">
              <w:rPr>
                <w:rFonts w:ascii="Arial" w:eastAsia="Times New Roman" w:hAnsi="Arial" w:cs="Arial"/>
                <w:bCs/>
                <w:lang w:eastAsia="es-CO"/>
              </w:rPr>
              <w:t xml:space="preserve">– Convocatoria limitada – Acreditación – Persona </w:t>
            </w:r>
            <w:r w:rsidR="000B0E34">
              <w:rPr>
                <w:rFonts w:ascii="Arial" w:eastAsia="Times New Roman" w:hAnsi="Arial" w:cs="Arial"/>
                <w:bCs/>
                <w:lang w:eastAsia="es-CO"/>
              </w:rPr>
              <w:t xml:space="preserve">jurídica </w:t>
            </w:r>
            <w:r w:rsidRPr="004A48C9">
              <w:rPr>
                <w:rFonts w:ascii="Arial" w:eastAsia="Times New Roman" w:hAnsi="Arial" w:cs="Arial"/>
                <w:bCs/>
                <w:lang w:eastAsia="es-CO"/>
              </w:rPr>
              <w:t xml:space="preserve">– </w:t>
            </w:r>
            <w:r w:rsidR="000B0E34">
              <w:rPr>
                <w:rFonts w:ascii="Arial" w:eastAsia="Times New Roman" w:hAnsi="Arial" w:cs="Arial"/>
                <w:bCs/>
                <w:lang w:eastAsia="es-CO"/>
              </w:rPr>
              <w:t>Certificado de existencia y representación legal</w:t>
            </w:r>
            <w:r w:rsidRPr="004A48C9">
              <w:rPr>
                <w:rFonts w:ascii="Arial" w:eastAsia="Times New Roman" w:hAnsi="Arial" w:cs="Arial"/>
                <w:bCs/>
                <w:lang w:eastAsia="es-CO"/>
              </w:rPr>
              <w:t xml:space="preserve"> – </w:t>
            </w:r>
            <w:r w:rsidR="00080EDC" w:rsidRPr="004A48C9">
              <w:rPr>
                <w:rFonts w:ascii="Arial" w:eastAsia="Times New Roman" w:hAnsi="Arial" w:cs="Arial"/>
                <w:bCs/>
                <w:lang w:val="es-ES" w:eastAsia="es-CO"/>
              </w:rPr>
              <w:t xml:space="preserve">MIPYME </w:t>
            </w:r>
            <w:r w:rsidR="00080EDC" w:rsidRPr="004A48C9">
              <w:rPr>
                <w:rFonts w:ascii="Arial" w:eastAsia="Times New Roman" w:hAnsi="Arial" w:cs="Arial"/>
                <w:bCs/>
                <w:lang w:eastAsia="es-CO"/>
              </w:rPr>
              <w:t xml:space="preserve">– Convocatoria limitada – Acreditación – </w:t>
            </w:r>
            <w:r w:rsidRPr="004A48C9">
              <w:rPr>
                <w:rFonts w:ascii="Arial" w:eastAsia="Times New Roman" w:hAnsi="Arial" w:cs="Arial"/>
                <w:bCs/>
                <w:lang w:eastAsia="es-CO"/>
              </w:rPr>
              <w:t xml:space="preserve">Medio de prueba alternativo </w:t>
            </w:r>
          </w:p>
          <w:p w14:paraId="555D55AE" w14:textId="3B124AE8" w:rsidR="000B0E34" w:rsidRPr="004A48C9" w:rsidRDefault="000B0E34" w:rsidP="000B0E34">
            <w:pPr>
              <w:contextualSpacing/>
              <w:jc w:val="both"/>
              <w:textAlignment w:val="baseline"/>
              <w:rPr>
                <w:rFonts w:ascii="Arial" w:eastAsia="Calibri" w:hAnsi="Arial" w:cs="Arial"/>
                <w:bCs/>
                <w:lang w:val="es-ES_tradnl" w:eastAsia="es-ES_tradnl"/>
              </w:rPr>
            </w:pPr>
          </w:p>
        </w:tc>
      </w:tr>
      <w:tr w:rsidR="004A48C9" w:rsidRPr="004A48C9" w14:paraId="1C08716A" w14:textId="77777777" w:rsidTr="00C10076">
        <w:tc>
          <w:tcPr>
            <w:tcW w:w="2689" w:type="dxa"/>
          </w:tcPr>
          <w:p w14:paraId="17F3BFB3" w14:textId="77777777" w:rsidR="004A48C9" w:rsidRPr="004A48C9" w:rsidRDefault="004A48C9" w:rsidP="004A48C9">
            <w:pPr>
              <w:contextualSpacing/>
              <w:jc w:val="both"/>
              <w:rPr>
                <w:rFonts w:ascii="Arial" w:eastAsia="Calibri" w:hAnsi="Arial" w:cs="Arial"/>
                <w:b/>
                <w:lang w:val="es-ES_tradnl" w:eastAsia="es-ES_tradnl"/>
              </w:rPr>
            </w:pPr>
            <w:r w:rsidRPr="004A48C9">
              <w:rPr>
                <w:rFonts w:ascii="Arial" w:eastAsia="Calibri" w:hAnsi="Arial" w:cs="Arial"/>
                <w:b/>
                <w:lang w:val="es-ES_tradnl" w:eastAsia="es-ES_tradnl"/>
              </w:rPr>
              <w:t>Radicación:</w:t>
            </w:r>
            <w:r w:rsidRPr="004A48C9">
              <w:rPr>
                <w:rFonts w:ascii="Arial" w:eastAsia="Calibri" w:hAnsi="Arial" w:cs="Arial"/>
                <w:lang w:val="es-ES_tradnl" w:eastAsia="es-ES_tradnl"/>
              </w:rPr>
              <w:t xml:space="preserve">                              </w:t>
            </w:r>
          </w:p>
        </w:tc>
        <w:tc>
          <w:tcPr>
            <w:tcW w:w="6237" w:type="dxa"/>
          </w:tcPr>
          <w:p w14:paraId="7D0DF8A3" w14:textId="284E83AD" w:rsidR="004A48C9" w:rsidRPr="004A48C9" w:rsidRDefault="004A48C9" w:rsidP="004A48C9">
            <w:pPr>
              <w:contextualSpacing/>
              <w:jc w:val="both"/>
              <w:rPr>
                <w:rFonts w:ascii="Arial" w:eastAsia="Calibri" w:hAnsi="Arial" w:cs="Arial"/>
                <w:lang w:val="es-ES_tradnl" w:eastAsia="es-ES_tradnl"/>
              </w:rPr>
            </w:pPr>
            <w:r w:rsidRPr="004A48C9">
              <w:rPr>
                <w:rFonts w:ascii="Arial" w:eastAsia="Calibri" w:hAnsi="Arial" w:cs="Arial"/>
                <w:lang w:val="es-ES_tradnl" w:eastAsia="es-ES_tradnl"/>
              </w:rPr>
              <w:t>Respuesta a consulta P20221021010638</w:t>
            </w:r>
          </w:p>
        </w:tc>
      </w:tr>
    </w:tbl>
    <w:p w14:paraId="4169DC14" w14:textId="41F30A09" w:rsidR="004A48C9" w:rsidRDefault="004A48C9" w:rsidP="00827413">
      <w:pPr>
        <w:spacing w:after="0" w:line="276" w:lineRule="auto"/>
        <w:contextualSpacing/>
        <w:jc w:val="both"/>
        <w:rPr>
          <w:rFonts w:ascii="Arial" w:eastAsia="Calibri" w:hAnsi="Arial" w:cs="Arial"/>
          <w:lang w:val="es-ES_tradnl" w:eastAsia="es-ES_tradnl"/>
        </w:rPr>
      </w:pPr>
    </w:p>
    <w:p w14:paraId="23D4CD9E" w14:textId="77777777" w:rsidR="00827413" w:rsidRPr="004A48C9" w:rsidRDefault="00827413" w:rsidP="00F23EEF">
      <w:pPr>
        <w:spacing w:after="0" w:line="276" w:lineRule="auto"/>
        <w:contextualSpacing/>
        <w:jc w:val="both"/>
        <w:rPr>
          <w:rFonts w:ascii="Arial" w:eastAsia="Calibri" w:hAnsi="Arial" w:cs="Arial"/>
          <w:lang w:val="es-ES_tradnl" w:eastAsia="es-ES_tradnl"/>
        </w:rPr>
      </w:pPr>
    </w:p>
    <w:p w14:paraId="152CC88E" w14:textId="099964F7" w:rsidR="004A48C9" w:rsidRPr="004A48C9" w:rsidRDefault="004A48C9" w:rsidP="004A48C9">
      <w:pPr>
        <w:spacing w:after="0" w:line="276" w:lineRule="auto"/>
        <w:contextualSpacing/>
        <w:jc w:val="both"/>
        <w:rPr>
          <w:rFonts w:ascii="Arial" w:eastAsia="Calibri" w:hAnsi="Arial" w:cs="Arial"/>
          <w:lang w:val="es-ES_tradnl" w:eastAsia="es-ES_tradnl"/>
        </w:rPr>
      </w:pPr>
      <w:r w:rsidRPr="004A48C9">
        <w:rPr>
          <w:rFonts w:ascii="Arial" w:eastAsia="Calibri" w:hAnsi="Arial" w:cs="Arial"/>
          <w:lang w:val="es-ES_tradnl" w:eastAsia="es-ES_tradnl"/>
        </w:rPr>
        <w:t>Estimado señor</w:t>
      </w:r>
      <w:r w:rsidRPr="004A48C9">
        <w:rPr>
          <w:rFonts w:ascii="Arial" w:eastAsia="Calibri" w:hAnsi="Arial" w:cs="Arial"/>
          <w:b/>
          <w:bCs/>
          <w:lang w:val="es-ES_tradnl" w:eastAsia="es-ES_tradnl"/>
        </w:rPr>
        <w:t xml:space="preserve"> </w:t>
      </w:r>
      <w:r w:rsidRPr="004A48C9">
        <w:rPr>
          <w:rFonts w:ascii="Arial" w:eastAsia="Calibri" w:hAnsi="Arial" w:cs="Arial"/>
          <w:lang w:val="es-ES_tradnl" w:eastAsia="es-ES_tradnl"/>
        </w:rPr>
        <w:t>Caballero Lizarazo:</w:t>
      </w:r>
    </w:p>
    <w:p w14:paraId="7216A887" w14:textId="77777777" w:rsidR="004A48C9" w:rsidRPr="004A48C9" w:rsidRDefault="004A48C9" w:rsidP="004A48C9">
      <w:pPr>
        <w:spacing w:after="0" w:line="276" w:lineRule="auto"/>
        <w:contextualSpacing/>
        <w:jc w:val="both"/>
        <w:rPr>
          <w:rFonts w:ascii="Arial" w:eastAsia="Calibri" w:hAnsi="Arial" w:cs="Arial"/>
          <w:lang w:val="es-ES_tradnl" w:eastAsia="es-ES_tradnl"/>
        </w:rPr>
      </w:pPr>
    </w:p>
    <w:p w14:paraId="6A4C450B" w14:textId="28001509" w:rsidR="004A48C9" w:rsidRPr="004A48C9" w:rsidRDefault="004A48C9" w:rsidP="004A48C9">
      <w:pPr>
        <w:spacing w:after="0" w:line="276" w:lineRule="auto"/>
        <w:contextualSpacing/>
        <w:jc w:val="both"/>
        <w:rPr>
          <w:rFonts w:ascii="Arial" w:eastAsia="Calibri" w:hAnsi="Arial" w:cs="Arial"/>
          <w:lang w:val="es-ES" w:eastAsia="es-MX"/>
        </w:rPr>
      </w:pPr>
      <w:r w:rsidRPr="004A48C9">
        <w:rPr>
          <w:rFonts w:ascii="Arial" w:eastAsia="Calibri" w:hAnsi="Arial" w:cs="Arial"/>
          <w:lang w:val="es-ES" w:eastAsia="es-MX"/>
        </w:rPr>
        <w:t>La Agencia Nacional de Contratación Pública – Colombia Compra Eficiente, en ejercicio de la competencia otorgada por el numeral 8 del artículo 11 y el numeral 5 del artículo 3 del Decreto Ley 4170 de 2011, responde a su consulta del 2</w:t>
      </w:r>
      <w:r>
        <w:rPr>
          <w:rFonts w:ascii="Arial" w:eastAsia="Calibri" w:hAnsi="Arial" w:cs="Arial"/>
          <w:lang w:val="es-ES" w:eastAsia="es-MX"/>
        </w:rPr>
        <w:t xml:space="preserve">0 </w:t>
      </w:r>
      <w:r w:rsidRPr="004A48C9">
        <w:rPr>
          <w:rFonts w:ascii="Arial" w:eastAsia="Calibri" w:hAnsi="Arial" w:cs="Arial"/>
          <w:lang w:val="es-ES" w:eastAsia="es-MX"/>
        </w:rPr>
        <w:t xml:space="preserve">de </w:t>
      </w:r>
      <w:r>
        <w:rPr>
          <w:rFonts w:ascii="Arial" w:eastAsia="Calibri" w:hAnsi="Arial" w:cs="Arial"/>
          <w:lang w:val="es-ES" w:eastAsia="es-MX"/>
        </w:rPr>
        <w:t>octubre</w:t>
      </w:r>
      <w:r w:rsidRPr="004A48C9">
        <w:rPr>
          <w:rFonts w:ascii="Arial" w:eastAsia="Calibri" w:hAnsi="Arial" w:cs="Arial"/>
          <w:lang w:val="es-ES" w:eastAsia="es-MX"/>
        </w:rPr>
        <w:t xml:space="preserve"> de 2022.</w:t>
      </w:r>
    </w:p>
    <w:p w14:paraId="0B019689" w14:textId="77777777" w:rsidR="004A48C9" w:rsidRPr="004A48C9" w:rsidRDefault="004A48C9" w:rsidP="004A48C9">
      <w:pPr>
        <w:spacing w:after="0" w:line="276" w:lineRule="auto"/>
        <w:contextualSpacing/>
        <w:jc w:val="both"/>
        <w:rPr>
          <w:rFonts w:ascii="Arial" w:eastAsia="Calibri" w:hAnsi="Arial" w:cs="Arial"/>
          <w:b/>
          <w:lang w:val="es-ES_tradnl" w:eastAsia="es-ES_tradnl"/>
        </w:rPr>
      </w:pPr>
    </w:p>
    <w:p w14:paraId="56F8A996" w14:textId="77777777" w:rsidR="004A48C9" w:rsidRPr="004A48C9" w:rsidRDefault="004A48C9" w:rsidP="004A48C9">
      <w:pPr>
        <w:numPr>
          <w:ilvl w:val="0"/>
          <w:numId w:val="1"/>
        </w:numPr>
        <w:tabs>
          <w:tab w:val="left" w:pos="0"/>
          <w:tab w:val="left" w:pos="142"/>
          <w:tab w:val="left" w:pos="284"/>
        </w:tabs>
        <w:spacing w:after="0" w:line="276" w:lineRule="auto"/>
        <w:ind w:left="360"/>
        <w:contextualSpacing/>
        <w:jc w:val="both"/>
        <w:rPr>
          <w:rFonts w:ascii="Arial" w:eastAsia="Calibri" w:hAnsi="Arial" w:cs="Arial"/>
          <w:b/>
          <w:lang w:val="es-ES_tradnl" w:eastAsia="es-MX"/>
        </w:rPr>
      </w:pPr>
      <w:r w:rsidRPr="004A48C9">
        <w:rPr>
          <w:rFonts w:ascii="Arial" w:eastAsia="Calibri" w:hAnsi="Arial" w:cs="Arial"/>
          <w:b/>
          <w:lang w:val="es-ES_tradnl" w:eastAsia="es-MX"/>
        </w:rPr>
        <w:t xml:space="preserve">Problema planteado </w:t>
      </w:r>
    </w:p>
    <w:p w14:paraId="1C8EB297" w14:textId="77777777" w:rsidR="004A48C9" w:rsidRPr="004A48C9" w:rsidRDefault="004A48C9" w:rsidP="004A48C9">
      <w:pPr>
        <w:tabs>
          <w:tab w:val="left" w:pos="426"/>
        </w:tabs>
        <w:spacing w:after="0" w:line="276" w:lineRule="auto"/>
        <w:contextualSpacing/>
        <w:jc w:val="both"/>
        <w:rPr>
          <w:rFonts w:ascii="Arial" w:eastAsia="Calibri" w:hAnsi="Arial" w:cs="Arial"/>
          <w:b/>
          <w:lang w:val="es-ES_tradnl" w:eastAsia="es-ES_tradnl"/>
        </w:rPr>
      </w:pPr>
    </w:p>
    <w:p w14:paraId="29660F31" w14:textId="696843FF" w:rsidR="004A48C9" w:rsidRPr="004A48C9" w:rsidRDefault="004A48C9" w:rsidP="004A48C9">
      <w:pPr>
        <w:spacing w:after="0" w:line="276" w:lineRule="auto"/>
        <w:contextualSpacing/>
        <w:jc w:val="both"/>
        <w:rPr>
          <w:rFonts w:ascii="Arial" w:eastAsia="Times New Roman" w:hAnsi="Arial" w:cs="Arial"/>
          <w:lang w:val="es-ES_tradnl" w:eastAsia="es-ES_tradnl"/>
        </w:rPr>
      </w:pPr>
      <w:r w:rsidRPr="004A48C9">
        <w:rPr>
          <w:rFonts w:ascii="Arial" w:eastAsia="Times New Roman" w:hAnsi="Arial" w:cs="Arial"/>
          <w:lang w:val="es-ES_tradnl" w:eastAsia="es-ES_tradnl"/>
        </w:rPr>
        <w:t xml:space="preserve">En relación con </w:t>
      </w:r>
      <w:r>
        <w:rPr>
          <w:rFonts w:ascii="Arial" w:eastAsia="Times New Roman" w:hAnsi="Arial" w:cs="Arial"/>
          <w:lang w:val="es-ES_tradnl" w:eastAsia="es-ES_tradnl"/>
        </w:rPr>
        <w:t>la acreditación de r</w:t>
      </w:r>
      <w:r w:rsidRPr="004A48C9">
        <w:rPr>
          <w:rFonts w:ascii="Arial" w:eastAsia="Times New Roman" w:hAnsi="Arial" w:cs="Arial"/>
          <w:lang w:val="es-ES_tradnl" w:eastAsia="es-ES_tradnl"/>
        </w:rPr>
        <w:t xml:space="preserve">equisitos para participar en convocatorias limitadas a </w:t>
      </w:r>
      <w:proofErr w:type="spellStart"/>
      <w:r w:rsidRPr="004A48C9">
        <w:rPr>
          <w:rFonts w:ascii="Arial" w:eastAsia="Times New Roman" w:hAnsi="Arial" w:cs="Arial"/>
          <w:lang w:val="es-ES_tradnl" w:eastAsia="es-ES_tradnl"/>
        </w:rPr>
        <w:t>Mipymes</w:t>
      </w:r>
      <w:proofErr w:type="spellEnd"/>
      <w:r w:rsidRPr="004A48C9">
        <w:rPr>
          <w:rFonts w:ascii="Arial" w:eastAsia="Times New Roman" w:hAnsi="Arial" w:cs="Arial"/>
          <w:lang w:val="es-ES_tradnl" w:eastAsia="es-ES_tradnl"/>
        </w:rPr>
        <w:t>, establecidos en el Decreto 1860 de 2021</w:t>
      </w:r>
      <w:r w:rsidRPr="004A48C9">
        <w:rPr>
          <w:rFonts w:ascii="Arial" w:eastAsia="Calibri" w:hAnsi="Arial" w:cs="Arial"/>
          <w:lang w:val="es-ES_tradnl" w:eastAsia="es-ES_tradnl"/>
        </w:rPr>
        <w:t xml:space="preserve">, </w:t>
      </w:r>
      <w:r w:rsidRPr="004A48C9">
        <w:rPr>
          <w:rFonts w:ascii="Arial" w:eastAsia="Times New Roman" w:hAnsi="Arial" w:cs="Arial"/>
          <w:lang w:val="es-ES_tradnl" w:eastAsia="es-ES_tradnl"/>
        </w:rPr>
        <w:t xml:space="preserve">usted realiza la siguiente consulta: </w:t>
      </w:r>
    </w:p>
    <w:p w14:paraId="4B619774" w14:textId="77777777" w:rsidR="004A48C9" w:rsidRPr="004A48C9" w:rsidRDefault="004A48C9" w:rsidP="004A48C9">
      <w:pPr>
        <w:spacing w:after="0" w:line="276" w:lineRule="auto"/>
        <w:ind w:right="476"/>
        <w:contextualSpacing/>
        <w:jc w:val="both"/>
        <w:rPr>
          <w:rFonts w:ascii="Arial" w:eastAsia="Calibri" w:hAnsi="Arial" w:cs="Arial"/>
          <w:sz w:val="24"/>
          <w:szCs w:val="24"/>
          <w:lang w:eastAsia="es-MX"/>
        </w:rPr>
      </w:pPr>
    </w:p>
    <w:p w14:paraId="3BF3ACB6" w14:textId="4D18F1B6" w:rsidR="004A48C9" w:rsidRPr="004A48C9" w:rsidRDefault="004A48C9" w:rsidP="004A48C9">
      <w:pPr>
        <w:spacing w:after="120" w:line="240" w:lineRule="auto"/>
        <w:ind w:left="709" w:right="709"/>
        <w:jc w:val="both"/>
        <w:rPr>
          <w:rFonts w:ascii="Arial" w:hAnsi="Arial" w:cs="Arial"/>
          <w:sz w:val="21"/>
          <w:szCs w:val="21"/>
        </w:rPr>
      </w:pPr>
      <w:r w:rsidRPr="004A48C9">
        <w:rPr>
          <w:rFonts w:ascii="Arial" w:hAnsi="Arial" w:cs="Arial"/>
          <w:sz w:val="21"/>
          <w:szCs w:val="21"/>
        </w:rPr>
        <w:t xml:space="preserve">i) </w:t>
      </w:r>
      <w:r>
        <w:rPr>
          <w:rFonts w:ascii="Arial" w:hAnsi="Arial" w:cs="Arial"/>
          <w:sz w:val="21"/>
          <w:szCs w:val="21"/>
        </w:rPr>
        <w:t>«</w:t>
      </w:r>
      <w:r w:rsidRPr="004A48C9">
        <w:rPr>
          <w:rFonts w:ascii="Arial" w:hAnsi="Arial" w:cs="Arial"/>
          <w:sz w:val="21"/>
          <w:szCs w:val="21"/>
        </w:rPr>
        <w:t xml:space="preserve">¿La manifestación de limitación a </w:t>
      </w:r>
      <w:proofErr w:type="spellStart"/>
      <w:r w:rsidRPr="004A48C9">
        <w:rPr>
          <w:rFonts w:ascii="Arial" w:hAnsi="Arial" w:cs="Arial"/>
          <w:sz w:val="21"/>
          <w:szCs w:val="21"/>
        </w:rPr>
        <w:t>mipymes</w:t>
      </w:r>
      <w:proofErr w:type="spellEnd"/>
      <w:r w:rsidRPr="004A48C9">
        <w:rPr>
          <w:rFonts w:ascii="Arial" w:hAnsi="Arial" w:cs="Arial"/>
          <w:sz w:val="21"/>
          <w:szCs w:val="21"/>
        </w:rPr>
        <w:t xml:space="preserve"> debe ir acompañada de los documentos (antecedentes de la Junta Central de Contadores, cédula de ciudadanía, tarjeta profesional) del contador o revisor fiscal?</w:t>
      </w:r>
      <w:r>
        <w:rPr>
          <w:rFonts w:ascii="Arial" w:hAnsi="Arial" w:cs="Arial"/>
          <w:sz w:val="21"/>
          <w:szCs w:val="21"/>
        </w:rPr>
        <w:t>».</w:t>
      </w:r>
    </w:p>
    <w:p w14:paraId="3E2A2855" w14:textId="22C45BE9" w:rsidR="004A48C9" w:rsidRPr="004A48C9" w:rsidRDefault="004A48C9" w:rsidP="004A48C9">
      <w:pPr>
        <w:spacing w:after="120" w:line="240" w:lineRule="auto"/>
        <w:ind w:left="709" w:right="709"/>
        <w:jc w:val="both"/>
        <w:rPr>
          <w:rFonts w:ascii="Arial" w:hAnsi="Arial" w:cs="Arial"/>
          <w:sz w:val="21"/>
          <w:szCs w:val="21"/>
        </w:rPr>
      </w:pPr>
      <w:proofErr w:type="spellStart"/>
      <w:r w:rsidRPr="004A48C9">
        <w:rPr>
          <w:rFonts w:ascii="Arial" w:hAnsi="Arial" w:cs="Arial"/>
          <w:sz w:val="21"/>
          <w:szCs w:val="21"/>
        </w:rPr>
        <w:lastRenderedPageBreak/>
        <w:t>ii</w:t>
      </w:r>
      <w:proofErr w:type="spellEnd"/>
      <w:r w:rsidRPr="004A48C9">
        <w:rPr>
          <w:rFonts w:ascii="Arial" w:hAnsi="Arial" w:cs="Arial"/>
          <w:sz w:val="21"/>
          <w:szCs w:val="21"/>
        </w:rPr>
        <w:t xml:space="preserve">) </w:t>
      </w:r>
      <w:r>
        <w:rPr>
          <w:rFonts w:ascii="Arial" w:hAnsi="Arial" w:cs="Arial"/>
          <w:sz w:val="21"/>
          <w:szCs w:val="21"/>
        </w:rPr>
        <w:t>«</w:t>
      </w:r>
      <w:r w:rsidRPr="004A48C9">
        <w:rPr>
          <w:rFonts w:ascii="Arial" w:hAnsi="Arial" w:cs="Arial"/>
          <w:sz w:val="21"/>
          <w:szCs w:val="21"/>
        </w:rPr>
        <w:t>¿Carece de validez la limitación si no se adjuntan tales documentos?</w:t>
      </w:r>
      <w:r>
        <w:rPr>
          <w:rFonts w:ascii="Arial" w:hAnsi="Arial" w:cs="Arial"/>
          <w:sz w:val="21"/>
          <w:szCs w:val="21"/>
        </w:rPr>
        <w:t>».</w:t>
      </w:r>
    </w:p>
    <w:p w14:paraId="55FF18E2" w14:textId="20F061DE" w:rsidR="004A48C9" w:rsidRPr="004A48C9" w:rsidRDefault="004A48C9" w:rsidP="004A48C9">
      <w:pPr>
        <w:spacing w:after="0" w:line="240" w:lineRule="auto"/>
        <w:ind w:left="709" w:right="709"/>
        <w:jc w:val="both"/>
        <w:rPr>
          <w:rFonts w:ascii="Arial" w:hAnsi="Arial" w:cs="Arial"/>
          <w:sz w:val="21"/>
          <w:szCs w:val="21"/>
        </w:rPr>
      </w:pPr>
      <w:proofErr w:type="spellStart"/>
      <w:r w:rsidRPr="004A48C9">
        <w:rPr>
          <w:rFonts w:ascii="Arial" w:hAnsi="Arial" w:cs="Arial"/>
          <w:sz w:val="21"/>
          <w:szCs w:val="21"/>
        </w:rPr>
        <w:t>iii</w:t>
      </w:r>
      <w:proofErr w:type="spellEnd"/>
      <w:r w:rsidRPr="004A48C9">
        <w:rPr>
          <w:rFonts w:ascii="Arial" w:hAnsi="Arial" w:cs="Arial"/>
          <w:sz w:val="21"/>
          <w:szCs w:val="21"/>
        </w:rPr>
        <w:t xml:space="preserve">) </w:t>
      </w:r>
      <w:r>
        <w:rPr>
          <w:rFonts w:ascii="Arial" w:hAnsi="Arial" w:cs="Arial"/>
          <w:sz w:val="21"/>
          <w:szCs w:val="21"/>
        </w:rPr>
        <w:t>«</w:t>
      </w:r>
      <w:r w:rsidRPr="004A48C9">
        <w:rPr>
          <w:rFonts w:ascii="Arial" w:hAnsi="Arial" w:cs="Arial"/>
          <w:sz w:val="21"/>
          <w:szCs w:val="21"/>
        </w:rPr>
        <w:t xml:space="preserve">¿El certificado de </w:t>
      </w:r>
      <w:proofErr w:type="spellStart"/>
      <w:r w:rsidRPr="004A48C9">
        <w:rPr>
          <w:rFonts w:ascii="Arial" w:hAnsi="Arial" w:cs="Arial"/>
          <w:sz w:val="21"/>
          <w:szCs w:val="21"/>
        </w:rPr>
        <w:t>mipymes</w:t>
      </w:r>
      <w:proofErr w:type="spellEnd"/>
      <w:r w:rsidRPr="004A48C9">
        <w:rPr>
          <w:rFonts w:ascii="Arial" w:hAnsi="Arial" w:cs="Arial"/>
          <w:sz w:val="21"/>
          <w:szCs w:val="21"/>
        </w:rPr>
        <w:t xml:space="preserve"> suscrito por el representante legal y el contador o revisor fiscal es válido si fue suscrito hace más de seis (06) meses o un (01) año atrás a la fecha del cierre del proceso?</w:t>
      </w:r>
      <w:r>
        <w:rPr>
          <w:rFonts w:ascii="Arial" w:hAnsi="Arial" w:cs="Arial"/>
          <w:sz w:val="21"/>
          <w:szCs w:val="21"/>
        </w:rPr>
        <w:t xml:space="preserve">». </w:t>
      </w:r>
    </w:p>
    <w:p w14:paraId="565E06AB" w14:textId="77777777" w:rsidR="004A48C9" w:rsidRPr="00F23EEF" w:rsidRDefault="004A48C9" w:rsidP="004A48C9">
      <w:pPr>
        <w:spacing w:after="0" w:line="276" w:lineRule="auto"/>
        <w:ind w:right="476"/>
        <w:jc w:val="both"/>
        <w:rPr>
          <w:rFonts w:ascii="Arial" w:eastAsia="Calibri" w:hAnsi="Arial" w:cs="Arial"/>
          <w:lang w:eastAsia="es-MX"/>
        </w:rPr>
      </w:pPr>
    </w:p>
    <w:p w14:paraId="366A6F31" w14:textId="77777777" w:rsidR="004A48C9" w:rsidRPr="004A48C9" w:rsidRDefault="004A48C9" w:rsidP="004A48C9">
      <w:pPr>
        <w:numPr>
          <w:ilvl w:val="0"/>
          <w:numId w:val="1"/>
        </w:numPr>
        <w:tabs>
          <w:tab w:val="left" w:pos="0"/>
          <w:tab w:val="left" w:pos="142"/>
          <w:tab w:val="left" w:pos="284"/>
        </w:tabs>
        <w:spacing w:after="0" w:line="276" w:lineRule="auto"/>
        <w:ind w:left="360"/>
        <w:contextualSpacing/>
        <w:jc w:val="both"/>
        <w:rPr>
          <w:rFonts w:ascii="Arial" w:eastAsia="Calibri" w:hAnsi="Arial" w:cs="Arial"/>
          <w:b/>
          <w:lang w:val="es-ES_tradnl" w:eastAsia="es-MX"/>
        </w:rPr>
      </w:pPr>
      <w:r w:rsidRPr="004A48C9">
        <w:rPr>
          <w:rFonts w:ascii="Arial" w:eastAsia="Calibri" w:hAnsi="Arial" w:cs="Arial"/>
          <w:b/>
          <w:lang w:val="es-ES_tradnl" w:eastAsia="es-MX"/>
        </w:rPr>
        <w:t>Consideraciones</w:t>
      </w:r>
    </w:p>
    <w:p w14:paraId="2C388384" w14:textId="77777777" w:rsidR="004A48C9" w:rsidRPr="004A48C9" w:rsidRDefault="004A48C9" w:rsidP="004A48C9">
      <w:pPr>
        <w:spacing w:after="0" w:line="276" w:lineRule="auto"/>
        <w:contextualSpacing/>
        <w:jc w:val="both"/>
        <w:rPr>
          <w:rFonts w:ascii="Arial" w:eastAsia="Calibri" w:hAnsi="Arial" w:cs="Arial"/>
          <w:lang w:val="es-ES_tradnl" w:eastAsia="es-ES_tradnl"/>
        </w:rPr>
      </w:pPr>
    </w:p>
    <w:p w14:paraId="0F1A3B31" w14:textId="6C44C1B6" w:rsidR="004A48C9" w:rsidRPr="004A48C9" w:rsidRDefault="004A48C9" w:rsidP="004A48C9">
      <w:pPr>
        <w:spacing w:after="120" w:line="276" w:lineRule="auto"/>
        <w:jc w:val="both"/>
        <w:rPr>
          <w:rFonts w:ascii="Arial" w:eastAsia="Calibri" w:hAnsi="Arial" w:cs="Arial"/>
          <w:lang w:val="es-ES_tradnl" w:eastAsia="es-ES_tradnl"/>
        </w:rPr>
      </w:pPr>
      <w:r w:rsidRPr="004A48C9">
        <w:rPr>
          <w:rFonts w:ascii="Arial" w:eastAsia="Calibri" w:hAnsi="Arial" w:cs="Arial"/>
          <w:lang w:val="es-ES_tradnl" w:eastAsia="es-ES_tradnl"/>
        </w:rPr>
        <w:t>La Subdirección de Gestión Contractual responderá la consulta, luego de analizar los siguientes temas: i) vigencia y ámbito de aplicación de la Ley 2069 de 2020</w:t>
      </w:r>
      <w:r w:rsidR="00827413">
        <w:rPr>
          <w:rFonts w:ascii="Arial" w:eastAsia="Calibri" w:hAnsi="Arial" w:cs="Arial"/>
          <w:lang w:val="es-ES_tradnl" w:eastAsia="es-ES_tradnl"/>
        </w:rPr>
        <w:t>;</w:t>
      </w:r>
      <w:r w:rsidRPr="004A48C9">
        <w:rPr>
          <w:rFonts w:ascii="Arial" w:eastAsia="Calibri" w:hAnsi="Arial" w:cs="Arial"/>
          <w:lang w:val="es-ES_tradnl" w:eastAsia="es-ES_tradnl"/>
        </w:rPr>
        <w:t xml:space="preserve"> </w:t>
      </w:r>
      <w:proofErr w:type="spellStart"/>
      <w:r w:rsidRPr="004A48C9">
        <w:rPr>
          <w:rFonts w:ascii="Arial" w:eastAsia="Calibri" w:hAnsi="Arial" w:cs="Arial"/>
          <w:lang w:val="es-ES_tradnl" w:eastAsia="es-ES_tradnl"/>
        </w:rPr>
        <w:t>ii</w:t>
      </w:r>
      <w:proofErr w:type="spellEnd"/>
      <w:r w:rsidRPr="004A48C9">
        <w:rPr>
          <w:rFonts w:ascii="Arial" w:eastAsia="Calibri" w:hAnsi="Arial" w:cs="Arial"/>
          <w:lang w:val="es-ES_tradnl" w:eastAsia="es-ES_tradnl"/>
        </w:rPr>
        <w:t>) regulación de las convocatorias limitadas a Mipyme: artículo 34 de la Ley 2069 de 2020 y</w:t>
      </w:r>
      <w:r w:rsidR="00827413">
        <w:rPr>
          <w:rFonts w:ascii="Arial" w:eastAsia="Calibri" w:hAnsi="Arial" w:cs="Arial"/>
          <w:lang w:val="es-ES_tradnl" w:eastAsia="es-ES_tradnl"/>
        </w:rPr>
        <w:t>;</w:t>
      </w:r>
      <w:r w:rsidRPr="004A48C9">
        <w:rPr>
          <w:rFonts w:ascii="Arial" w:eastAsia="Calibri" w:hAnsi="Arial" w:cs="Arial"/>
          <w:lang w:val="es-ES_tradnl" w:eastAsia="es-ES_tradnl"/>
        </w:rPr>
        <w:t xml:space="preserve"> </w:t>
      </w:r>
      <w:proofErr w:type="spellStart"/>
      <w:r w:rsidRPr="004A48C9">
        <w:rPr>
          <w:rFonts w:ascii="Arial" w:eastAsia="Calibri" w:hAnsi="Arial" w:cs="Arial"/>
          <w:lang w:val="es-ES_tradnl" w:eastAsia="es-ES_tradnl"/>
        </w:rPr>
        <w:t>iii</w:t>
      </w:r>
      <w:proofErr w:type="spellEnd"/>
      <w:r w:rsidRPr="004A48C9">
        <w:rPr>
          <w:rFonts w:ascii="Arial" w:eastAsia="Calibri" w:hAnsi="Arial" w:cs="Arial"/>
          <w:lang w:val="es-ES_tradnl" w:eastAsia="es-ES_tradnl"/>
        </w:rPr>
        <w:t xml:space="preserve">) </w:t>
      </w:r>
      <w:r w:rsidRPr="004A48C9">
        <w:rPr>
          <w:rFonts w:ascii="Arial" w:eastAsia="Calibri" w:hAnsi="Arial" w:cs="Arial"/>
          <w:lang w:val="es-MX" w:eastAsia="es-ES_tradnl"/>
        </w:rPr>
        <w:t xml:space="preserve">convocatorias limitadas a Mipyme y acreditación </w:t>
      </w:r>
      <w:r w:rsidRPr="004A48C9">
        <w:rPr>
          <w:rFonts w:ascii="Arial" w:eastAsia="Calibri" w:hAnsi="Arial" w:cs="Arial"/>
          <w:lang w:eastAsia="es-ES_tradnl"/>
        </w:rPr>
        <w:t>de requisitos para participar en convocatorias limitadas conforme al Decreto 1860 de 2021.</w:t>
      </w:r>
    </w:p>
    <w:p w14:paraId="19190245" w14:textId="77777777" w:rsidR="006E291E" w:rsidRPr="006D2897" w:rsidRDefault="004A48C9" w:rsidP="006E291E">
      <w:pPr>
        <w:spacing w:after="0" w:line="276" w:lineRule="auto"/>
        <w:ind w:firstLine="708"/>
        <w:jc w:val="both"/>
        <w:rPr>
          <w:rFonts w:ascii="Arial" w:eastAsia="Calibri" w:hAnsi="Arial" w:cs="Arial"/>
          <w:lang w:val="es-ES_tradnl"/>
        </w:rPr>
      </w:pPr>
      <w:r w:rsidRPr="004A48C9">
        <w:rPr>
          <w:rFonts w:ascii="Arial" w:eastAsia="Calibri" w:hAnsi="Arial" w:cs="Arial"/>
          <w:lang w:val="es-ES_tradnl" w:eastAsia="es-ES_tradnl"/>
        </w:rPr>
        <w:t>Es importante destacar que la Agencia Nacional de Contratación Pública – Colombia Compra Eficiente se pronunció sobre la nueva regulación de la promoción del desarrollo en la contratación estatal contenida en el artículo 34 de la Ley 2069 de 2020 y su Decreto Reglamentario en los conceptos que a continuación se mencionan:</w:t>
      </w:r>
      <w:r w:rsidR="00DD0F55">
        <w:rPr>
          <w:rFonts w:ascii="Arial" w:eastAsia="Calibri" w:hAnsi="Arial" w:cs="Arial"/>
          <w:lang w:val="es-ES_tradnl" w:eastAsia="es-ES_tradnl"/>
        </w:rPr>
        <w:t xml:space="preserve"> </w:t>
      </w:r>
      <w:r w:rsidR="006E291E" w:rsidRPr="006D2897">
        <w:rPr>
          <w:rFonts w:ascii="Arial" w:eastAsia="Calibri" w:hAnsi="Arial" w:cs="Arial"/>
          <w:lang w:val="es-ES_tradnl"/>
        </w:rPr>
        <w:t>C-043 del 09 de febrero de 2021, C-005 del 16 de febrero de 2021, C-081 del 23 de febrero de 2021, C-087 del 23 de febrero de 2021, C-025 del 25 de febrero de 2021, C-037 del 26 de febrero de 2021, C-035 del 02 de marzo de 2021, C-040 del 02 de marzo de 2021, C-044 del 03 de marzo de 2021, C-102 del 25 de marzo de 2021, C-125 del 05 de abril de 2021, C-127 del 06 de abril de 2021,  C-130 del 07 de abril de 2021, C-144 del 07 de abril de 2021, C-141 del 08 de abril de 2021, C-114 del 13 de abril de 2021, C−151 del 12 de abril de 2021,  C-160 del 20 de abril de 2021,  C−189 del 26 de abril de 2021, C-206 del 3 de mayo de 2021, C-208 del 10 de mayo de 2021, C-211 del 11 de mayo de 2021, C-234 del 24 de mayo de 2021, C-271 del 9 de junio de 2021, C-306 del 28 de junio de 2021, C-426 del 18 de agosto de 2021, C-309 del 24 de agosto de 2021, C-455 del 31 de agosto de 2021, C-041 del 2 de marzo de 2022, C-213 del 21 de abril de 2022, C-281 del 12 de mayo de 2022, C-293 del 12 de mayo de 2022, C-296 del 12 de mayo de 2022, C-315 del 18 de mayo de 2022, C-330 del 23 de mayo de 2022, C-340 del 26 de mayo de 2022, C-437 del 25 de julio de 2022 C-340 del 26 de mayo de 2022, C-346 del 27 de mayo de 2022, C-361 del 20 de mayo de 2022, C-377 del 13 de junio de 2022, C-395 del 17 de junio de 2022, C-445 del 12 de julio de 2022, C-459 del 18 de julio de 2022, C-460 del 18 de julio de 2022, C-464 del 19 de julio de 2022, C-473 del 25 de julio de 2022, C-474 del 26 de julio de 2022, C-485 del 26 de julio de 2022, C-490 del 26 de julio de 2022, C-523 del 16 de agosto de 2022, C-539 del 29 de agosto de 2022, C-585 del 19 de septiembre de 2022, C-587 del 21 de septiembre de 2022, C-597 del 9 de septiembre de 2022, C-627 del 12 de septiembre de 2022, C-643 del 10 de octubre de 2022</w:t>
      </w:r>
      <w:r w:rsidR="006E291E">
        <w:rPr>
          <w:rFonts w:ascii="Arial" w:eastAsia="Calibri" w:hAnsi="Arial" w:cs="Arial"/>
          <w:lang w:val="es-ES_tradnl"/>
        </w:rPr>
        <w:t xml:space="preserve">, </w:t>
      </w:r>
      <w:r w:rsidR="006E291E" w:rsidRPr="006D2897">
        <w:rPr>
          <w:rFonts w:ascii="Arial" w:eastAsia="Calibri" w:hAnsi="Arial" w:cs="Arial"/>
          <w:lang w:val="es-ES_tradnl"/>
        </w:rPr>
        <w:t>C-662 del 13 de octubre de 2022</w:t>
      </w:r>
      <w:r w:rsidR="006E291E">
        <w:rPr>
          <w:rFonts w:ascii="Arial" w:eastAsia="Calibri" w:hAnsi="Arial" w:cs="Arial"/>
          <w:lang w:val="es-ES_tradnl"/>
        </w:rPr>
        <w:t xml:space="preserve">, C-699 del 25 de octubre de 2022, C-744 del 08 de noviembre </w:t>
      </w:r>
      <w:r w:rsidR="006E291E">
        <w:rPr>
          <w:rFonts w:ascii="Arial" w:eastAsia="Calibri" w:hAnsi="Arial" w:cs="Arial"/>
          <w:lang w:val="es-ES_tradnl"/>
        </w:rPr>
        <w:lastRenderedPageBreak/>
        <w:t>de 2022 y C-758 del 10 de noviembre de 2022</w:t>
      </w:r>
      <w:r w:rsidR="006E291E">
        <w:rPr>
          <w:rStyle w:val="Refdenotaalpie"/>
          <w:rFonts w:ascii="Arial" w:eastAsia="Calibri" w:hAnsi="Arial" w:cs="Arial"/>
          <w:lang w:val="es-ES_tradnl"/>
        </w:rPr>
        <w:footnoteReference w:id="1"/>
      </w:r>
      <w:r w:rsidR="006E291E">
        <w:rPr>
          <w:rFonts w:ascii="Arial" w:eastAsia="Calibri" w:hAnsi="Arial" w:cs="Arial"/>
          <w:lang w:val="es-ES_tradnl"/>
        </w:rPr>
        <w:t>.</w:t>
      </w:r>
      <w:r w:rsidR="006E291E" w:rsidRPr="006D2897">
        <w:rPr>
          <w:rFonts w:ascii="Arial" w:eastAsia="Calibri" w:hAnsi="Arial" w:cs="Arial"/>
          <w:lang w:val="es-ES_tradnl"/>
        </w:rPr>
        <w:t xml:space="preserve">  Las consideraciones de estos conceptos se reiteran a continuación y se complementan en lo pertinente:</w:t>
      </w:r>
    </w:p>
    <w:p w14:paraId="2C9B3FC3" w14:textId="77777777" w:rsidR="004A48C9" w:rsidRPr="004A48C9" w:rsidRDefault="004A48C9" w:rsidP="006E291E">
      <w:pPr>
        <w:spacing w:after="0" w:line="276" w:lineRule="auto"/>
        <w:contextualSpacing/>
        <w:jc w:val="both"/>
        <w:rPr>
          <w:rFonts w:ascii="Arial" w:eastAsia="Calibri" w:hAnsi="Arial" w:cs="Arial"/>
          <w:sz w:val="24"/>
          <w:szCs w:val="24"/>
          <w:lang w:val="es-ES_tradnl" w:eastAsia="es-ES_tradnl"/>
        </w:rPr>
      </w:pPr>
    </w:p>
    <w:p w14:paraId="5AE9F621" w14:textId="77777777" w:rsidR="004A48C9" w:rsidRPr="004A48C9" w:rsidRDefault="004A48C9" w:rsidP="004A48C9">
      <w:pPr>
        <w:spacing w:after="0" w:line="276" w:lineRule="auto"/>
        <w:contextualSpacing/>
        <w:jc w:val="both"/>
        <w:rPr>
          <w:rFonts w:ascii="Arial" w:eastAsia="Calibri" w:hAnsi="Arial" w:cs="Arial"/>
          <w:b/>
          <w:bCs/>
          <w:lang w:val="es-ES_tradnl" w:eastAsia="es-ES_tradnl"/>
        </w:rPr>
      </w:pPr>
      <w:r w:rsidRPr="004A48C9">
        <w:rPr>
          <w:rFonts w:ascii="Arial" w:eastAsia="Calibri" w:hAnsi="Arial" w:cs="Arial"/>
          <w:b/>
          <w:bCs/>
          <w:lang w:val="es-ES_tradnl" w:eastAsia="es-ES_tradnl"/>
        </w:rPr>
        <w:t>2.1. Vigencia y ámbito de aplicación de la Ley 2069 de 2020</w:t>
      </w:r>
    </w:p>
    <w:p w14:paraId="5C94251B" w14:textId="77777777" w:rsidR="004A48C9" w:rsidRPr="004A48C9" w:rsidRDefault="004A48C9" w:rsidP="004A48C9">
      <w:pPr>
        <w:spacing w:after="0" w:line="276" w:lineRule="auto"/>
        <w:contextualSpacing/>
        <w:jc w:val="both"/>
        <w:rPr>
          <w:rFonts w:ascii="Arial" w:eastAsia="Calibri" w:hAnsi="Arial" w:cs="Arial"/>
          <w:lang w:val="es-ES_tradnl" w:eastAsia="es-ES_tradnl"/>
        </w:rPr>
      </w:pPr>
    </w:p>
    <w:p w14:paraId="781A9CCA" w14:textId="24C858C2" w:rsidR="00AF0830" w:rsidRPr="00AF0830" w:rsidRDefault="00AF0830" w:rsidP="00AF0830">
      <w:pPr>
        <w:spacing w:after="120" w:line="276" w:lineRule="auto"/>
        <w:jc w:val="both"/>
        <w:rPr>
          <w:rFonts w:ascii="Arial" w:eastAsia="Calibri" w:hAnsi="Arial" w:cs="Arial"/>
          <w:lang w:val="es-ES_tradnl" w:eastAsia="es-ES_tradnl"/>
        </w:rPr>
      </w:pPr>
      <w:r w:rsidRPr="00AF0830">
        <w:rPr>
          <w:rFonts w:ascii="Arial" w:eastAsia="Calibri" w:hAnsi="Arial" w:cs="Arial"/>
          <w:lang w:val="es-ES_tradnl"/>
        </w:rPr>
        <w:t>El 31 de diciembre de 2020 se promulgó la Ley 2069, «Por medio de la cual se impulsa el emprendimiento en Colombia». De acuerdo con su artículo 84</w:t>
      </w:r>
      <w:r w:rsidR="00827413">
        <w:rPr>
          <w:rFonts w:ascii="Arial" w:eastAsia="Calibri" w:hAnsi="Arial" w:cs="Arial"/>
          <w:lang w:val="es-ES_tradnl"/>
        </w:rPr>
        <w:t>:</w:t>
      </w:r>
      <w:r w:rsidRPr="00AF0830">
        <w:rPr>
          <w:rFonts w:ascii="Arial" w:eastAsia="Calibri" w:hAnsi="Arial" w:cs="Arial"/>
          <w:lang w:val="es-ES_tradnl"/>
        </w:rPr>
        <w:t xml:space="preserve"> «La presente Ley rige a partir del momento de su promulgación […]», lo que significa que es obligatoria para sus destinatarios desde esa fecha. </w:t>
      </w:r>
      <w:r w:rsidRPr="00AF0830">
        <w:rPr>
          <w:rFonts w:ascii="Arial" w:eastAsia="Calibri" w:hAnsi="Arial" w:cs="Arial"/>
          <w:lang w:val="es-ES_tradnl" w:eastAsia="es-ES_tradnl"/>
        </w:rPr>
        <w:t>Lo anterior, sin perjuicio de la posibilidad de que el Gobierno Nacional, en ejercicio de la potestad reglamentaria que le confiere el numeral 11 del artículo 189</w:t>
      </w:r>
      <w:r w:rsidR="00827413">
        <w:rPr>
          <w:rFonts w:ascii="Arial" w:eastAsia="Calibri" w:hAnsi="Arial" w:cs="Arial"/>
          <w:lang w:val="es-ES_tradnl" w:eastAsia="es-ES_tradnl"/>
        </w:rPr>
        <w:t xml:space="preserve"> </w:t>
      </w:r>
      <w:r w:rsidRPr="00AF0830">
        <w:rPr>
          <w:rFonts w:ascii="Arial" w:eastAsia="Calibri" w:hAnsi="Arial" w:cs="Arial"/>
          <w:lang w:val="es-ES_tradnl" w:eastAsia="es-ES_tradnl"/>
        </w:rPr>
        <w:t xml:space="preserve">de la Constitución Política, expida el decreto correspondiente que permita la cumplida ejecución de esta Ley, potestad que fue ejercida con la expedición del Decreto 1860 de 2021, al cual se hará referencia más adelante. </w:t>
      </w:r>
    </w:p>
    <w:p w14:paraId="2FFDFA21" w14:textId="77777777" w:rsidR="00AF0830" w:rsidRPr="00AF0830" w:rsidRDefault="00AF0830" w:rsidP="00AF0830">
      <w:pPr>
        <w:spacing w:after="120" w:line="276" w:lineRule="auto"/>
        <w:ind w:firstLine="709"/>
        <w:jc w:val="both"/>
        <w:rPr>
          <w:rFonts w:ascii="Arial" w:eastAsia="Calibri" w:hAnsi="Arial" w:cs="Arial"/>
          <w:lang w:val="es-ES_tradnl"/>
        </w:rPr>
      </w:pPr>
      <w:r w:rsidRPr="00AF0830">
        <w:rPr>
          <w:rFonts w:ascii="Arial" w:eastAsia="Calibri" w:hAnsi="Arial" w:cs="Arial"/>
          <w:lang w:val="es-ES_tradnl"/>
        </w:rPr>
        <w:t>En cuanto a su contenido, es importante señalar que, conforme lo previsto en su artículo 1, aquella «tiene por objeto establecer un marco regulatorio que propicie el emprendimiento y el crecimiento, consolidación y sostenibilidad de las empresas, con el fin de aumentar el bienestar social y generar equidad». Esto, a partir de «[…] un enfoque regionalizado de acuerdo con las realidades socioeconómicas de cada región». En desarrollo de esta finalidad, se establecen medidas de apoyo para las micro, pequeñas y medianas empresas –</w:t>
      </w:r>
      <w:proofErr w:type="spellStart"/>
      <w:r w:rsidRPr="00AF0830">
        <w:rPr>
          <w:rFonts w:ascii="Arial" w:eastAsia="Calibri" w:hAnsi="Arial" w:cs="Arial"/>
          <w:lang w:val="es-ES_tradnl"/>
        </w:rPr>
        <w:t>Mipymes</w:t>
      </w:r>
      <w:proofErr w:type="spellEnd"/>
      <w:r w:rsidRPr="00AF0830">
        <w:rPr>
          <w:rFonts w:ascii="Arial" w:eastAsia="Calibri" w:hAnsi="Arial" w:cs="Arial"/>
          <w:lang w:val="es-ES_tradnl"/>
        </w:rPr>
        <w:t>–, mediante la racionalización y simplificación de los trámites y tarifas</w:t>
      </w:r>
      <w:r w:rsidRPr="00AF0830">
        <w:rPr>
          <w:rFonts w:ascii="Arial" w:eastAsia="Calibri" w:hAnsi="Arial" w:cs="Arial"/>
          <w:vertAlign w:val="superscript"/>
          <w:lang w:val="es-ES_tradnl"/>
        </w:rPr>
        <w:footnoteReference w:id="2"/>
      </w:r>
      <w:r w:rsidRPr="00AF0830">
        <w:rPr>
          <w:rFonts w:ascii="Arial" w:eastAsia="Calibri" w:hAnsi="Arial" w:cs="Arial"/>
          <w:lang w:val="es-ES_tradnl"/>
        </w:rPr>
        <w:t>, así como incentivos a favor de aquellas dentro del sistema de compras y contratación pública</w:t>
      </w:r>
      <w:r w:rsidRPr="00AF0830">
        <w:rPr>
          <w:rFonts w:ascii="Arial" w:eastAsia="Calibri" w:hAnsi="Arial" w:cs="Arial"/>
          <w:vertAlign w:val="superscript"/>
          <w:lang w:val="es-ES_tradnl"/>
        </w:rPr>
        <w:footnoteReference w:id="3"/>
      </w:r>
      <w:r w:rsidRPr="00AF0830">
        <w:rPr>
          <w:rFonts w:ascii="Arial" w:eastAsia="Calibri" w:hAnsi="Arial" w:cs="Arial"/>
          <w:lang w:val="es-ES_tradnl"/>
        </w:rPr>
        <w:t>. También se consagran mecanismos de acceso al financiamiento</w:t>
      </w:r>
      <w:r w:rsidRPr="00AF0830">
        <w:rPr>
          <w:rFonts w:ascii="Arial" w:eastAsia="Calibri" w:hAnsi="Arial" w:cs="Arial"/>
          <w:vertAlign w:val="superscript"/>
          <w:lang w:val="es-ES_tradnl"/>
        </w:rPr>
        <w:footnoteReference w:id="4"/>
      </w:r>
      <w:r w:rsidRPr="00AF0830">
        <w:rPr>
          <w:rFonts w:ascii="Arial" w:eastAsia="Calibri" w:hAnsi="Arial" w:cs="Arial"/>
          <w:lang w:val="es-ES_tradnl"/>
        </w:rPr>
        <w:t>, se unifican las fuentes de emprendimiento y de desarrollo empresarial, para fortalecer y promover los distintos sectores de la economía</w:t>
      </w:r>
      <w:r w:rsidRPr="00AF0830">
        <w:rPr>
          <w:rFonts w:ascii="Arial" w:eastAsia="Calibri" w:hAnsi="Arial" w:cs="Arial"/>
          <w:vertAlign w:val="superscript"/>
          <w:lang w:val="es-ES_tradnl"/>
        </w:rPr>
        <w:footnoteReference w:id="5"/>
      </w:r>
      <w:r w:rsidRPr="00AF0830">
        <w:rPr>
          <w:rFonts w:ascii="Arial" w:eastAsia="Calibri" w:hAnsi="Arial" w:cs="Arial"/>
          <w:lang w:val="es-ES_tradnl"/>
        </w:rPr>
        <w:t xml:space="preserve"> y se prevén medidas de educación para el emprendimiento y la innovación</w:t>
      </w:r>
      <w:r w:rsidRPr="00AF0830">
        <w:rPr>
          <w:rFonts w:ascii="Arial" w:eastAsia="Calibri" w:hAnsi="Arial" w:cs="Arial"/>
          <w:vertAlign w:val="superscript"/>
          <w:lang w:val="es-ES_tradnl"/>
        </w:rPr>
        <w:footnoteReference w:id="6"/>
      </w:r>
      <w:r w:rsidRPr="00AF0830">
        <w:rPr>
          <w:rFonts w:ascii="Arial" w:eastAsia="Calibri" w:hAnsi="Arial" w:cs="Arial"/>
          <w:lang w:val="es-ES_tradnl"/>
        </w:rPr>
        <w:t>.</w:t>
      </w:r>
    </w:p>
    <w:p w14:paraId="3D718A7F" w14:textId="0296B27A" w:rsidR="00AF0830" w:rsidRPr="00AF0830" w:rsidRDefault="00AF0830" w:rsidP="00AF0830">
      <w:pPr>
        <w:spacing w:after="120" w:line="276" w:lineRule="auto"/>
        <w:ind w:firstLine="709"/>
        <w:jc w:val="both"/>
        <w:rPr>
          <w:rFonts w:ascii="Arial" w:eastAsia="Calibri" w:hAnsi="Arial" w:cs="Arial"/>
          <w:lang w:val="es-ES_tradnl"/>
        </w:rPr>
      </w:pPr>
      <w:r w:rsidRPr="00AF0830">
        <w:rPr>
          <w:rFonts w:ascii="Arial" w:eastAsia="Calibri" w:hAnsi="Arial" w:cs="Arial"/>
          <w:lang w:val="es-ES_tradnl"/>
        </w:rPr>
        <w:t xml:space="preserve">La Ley 2069 de 2020 guarda </w:t>
      </w:r>
      <w:r w:rsidRPr="00AF0830">
        <w:rPr>
          <w:rFonts w:ascii="Arial" w:eastAsia="Calibri" w:hAnsi="Arial" w:cs="Arial"/>
          <w:bCs/>
          <w:lang w:val="es-ES_tradnl"/>
        </w:rPr>
        <w:t xml:space="preserve">congruencia con el «Pacto por el emprendimiento, la formalización y la productividad» del Plan Nacional de Desarrollo 2018-2022, pues busca impulsar el nacimiento de nuevas empresas que incentiven la generación de empleo en el país. En tal sentido, su finalidad principal es generar la reactivación de la economía y fomentar la actividad emprendedora, por ello, tiene como uno de sus propósitos propiciar un entorno para ayudar al crecimiento, consolidación y sostenibilidad de esas iniciativas, generando mayor </w:t>
      </w:r>
      <w:r w:rsidRPr="00AF0830">
        <w:rPr>
          <w:rFonts w:ascii="Arial" w:eastAsia="Calibri" w:hAnsi="Arial" w:cs="Arial"/>
          <w:bCs/>
          <w:lang w:val="es-ES_tradnl"/>
        </w:rPr>
        <w:lastRenderedPageBreak/>
        <w:t xml:space="preserve">desarrollo social, creación de las empresas y mejoras tanto en la productividad como en la competitividad. De esta manera, la </w:t>
      </w:r>
      <w:r w:rsidR="00F86312" w:rsidRPr="00AF0830">
        <w:rPr>
          <w:rFonts w:ascii="Arial" w:eastAsia="Calibri" w:hAnsi="Arial" w:cs="Arial"/>
          <w:bCs/>
          <w:lang w:val="es-ES_tradnl"/>
        </w:rPr>
        <w:t xml:space="preserve">Ley </w:t>
      </w:r>
      <w:r w:rsidRPr="00AF0830">
        <w:rPr>
          <w:rFonts w:ascii="Arial" w:eastAsia="Calibri" w:hAnsi="Arial" w:cs="Arial"/>
          <w:bCs/>
          <w:lang w:val="es-ES_tradnl"/>
        </w:rPr>
        <w:t>en comento también concreta la «Política de formalización empresarial» del Documento CONPES 3956 del 8 de enero de 2019</w:t>
      </w:r>
      <w:r w:rsidRPr="00AF0830">
        <w:rPr>
          <w:rFonts w:ascii="Arial" w:eastAsia="Calibri" w:hAnsi="Arial" w:cs="Arial"/>
          <w:bCs/>
          <w:vertAlign w:val="superscript"/>
          <w:lang w:val="es-ES_tradnl"/>
        </w:rPr>
        <w:footnoteReference w:id="7"/>
      </w:r>
      <w:r w:rsidRPr="00AF0830">
        <w:rPr>
          <w:rFonts w:ascii="Arial" w:eastAsia="Calibri" w:hAnsi="Arial" w:cs="Arial"/>
          <w:bCs/>
          <w:lang w:val="es-ES_tradnl"/>
        </w:rPr>
        <w:t>.</w:t>
      </w:r>
    </w:p>
    <w:p w14:paraId="47DB010E" w14:textId="77777777" w:rsidR="00AF0830" w:rsidRPr="00AF0830" w:rsidRDefault="00AF0830" w:rsidP="00AF0830">
      <w:pPr>
        <w:tabs>
          <w:tab w:val="left" w:pos="709"/>
        </w:tabs>
        <w:spacing w:after="120" w:line="276" w:lineRule="auto"/>
        <w:jc w:val="both"/>
        <w:rPr>
          <w:rFonts w:ascii="Arial" w:eastAsia="Calibri" w:hAnsi="Arial" w:cs="Arial"/>
          <w:bCs/>
          <w:lang w:val="es-ES_tradnl"/>
        </w:rPr>
      </w:pPr>
      <w:r w:rsidRPr="00AF0830">
        <w:rPr>
          <w:rFonts w:ascii="Arial" w:eastAsia="Calibri" w:hAnsi="Arial" w:cs="Arial"/>
          <w:bCs/>
          <w:lang w:val="es-ES_tradnl"/>
        </w:rPr>
        <w:tab/>
        <w:t xml:space="preserve">Por ello, la ley impulsa medidas para: i) reducir cargas y trámites para los emprendedores del país, </w:t>
      </w:r>
      <w:proofErr w:type="spellStart"/>
      <w:r w:rsidRPr="00AF0830">
        <w:rPr>
          <w:rFonts w:ascii="Arial" w:eastAsia="Calibri" w:hAnsi="Arial" w:cs="Arial"/>
          <w:bCs/>
          <w:lang w:val="es-ES_tradnl"/>
        </w:rPr>
        <w:t>ii</w:t>
      </w:r>
      <w:proofErr w:type="spellEnd"/>
      <w:r w:rsidRPr="00AF0830">
        <w:rPr>
          <w:rFonts w:ascii="Arial" w:eastAsia="Calibri" w:hAnsi="Arial" w:cs="Arial"/>
          <w:bCs/>
          <w:lang w:val="es-ES_tradnl"/>
        </w:rPr>
        <w:t xml:space="preserve">) facilitar su acceso al sistema de compras y contratación pública, </w:t>
      </w:r>
      <w:proofErr w:type="spellStart"/>
      <w:r w:rsidRPr="00AF0830">
        <w:rPr>
          <w:rFonts w:ascii="Arial" w:eastAsia="Calibri" w:hAnsi="Arial" w:cs="Arial"/>
          <w:bCs/>
          <w:lang w:val="es-ES_tradnl"/>
        </w:rPr>
        <w:t>iii</w:t>
      </w:r>
      <w:proofErr w:type="spellEnd"/>
      <w:r w:rsidRPr="00AF0830">
        <w:rPr>
          <w:rFonts w:ascii="Arial" w:eastAsia="Calibri" w:hAnsi="Arial" w:cs="Arial"/>
          <w:bCs/>
          <w:lang w:val="es-ES_tradnl"/>
        </w:rPr>
        <w:t xml:space="preserve">) incentivar el crecimiento económico con la llegada de más actores al ecosistema de inversión y financiación, </w:t>
      </w:r>
      <w:proofErr w:type="spellStart"/>
      <w:r w:rsidRPr="00AF0830">
        <w:rPr>
          <w:rFonts w:ascii="Arial" w:eastAsia="Calibri" w:hAnsi="Arial" w:cs="Arial"/>
          <w:bCs/>
          <w:lang w:val="es-ES_tradnl"/>
        </w:rPr>
        <w:t>iv</w:t>
      </w:r>
      <w:proofErr w:type="spellEnd"/>
      <w:r w:rsidRPr="00AF0830">
        <w:rPr>
          <w:rFonts w:ascii="Arial" w:eastAsia="Calibri" w:hAnsi="Arial" w:cs="Arial"/>
          <w:bCs/>
          <w:lang w:val="es-ES_tradnl"/>
        </w:rPr>
        <w:t>) focalizar esfuerzos, optimizar la gestión de recursos e incentivar una visión integral del desarrollo productivo a través del fortalecimiento institucional, v) facilitar la apropiación del emprendimiento y la cultura emprendedora en la juventud colombiana, así como vi) otorgar beneficios para emprendedores, especialmente, estableciendo un enfoque diferencial respecto a los miembros de las poblaciones más vulnerables, que les permita avanzar en su actividad y desarrollar sus iniciativas</w:t>
      </w:r>
      <w:r w:rsidRPr="00AF0830">
        <w:rPr>
          <w:rFonts w:ascii="Arial" w:eastAsia="Calibri" w:hAnsi="Arial" w:cs="Arial"/>
          <w:bCs/>
          <w:vertAlign w:val="superscript"/>
          <w:lang w:val="es-ES_tradnl"/>
        </w:rPr>
        <w:footnoteReference w:id="8"/>
      </w:r>
      <w:r w:rsidRPr="00AF0830">
        <w:rPr>
          <w:rFonts w:ascii="Arial" w:eastAsia="Calibri" w:hAnsi="Arial" w:cs="Arial"/>
          <w:bCs/>
          <w:lang w:val="es-ES_tradnl"/>
        </w:rPr>
        <w:t>.</w:t>
      </w:r>
    </w:p>
    <w:p w14:paraId="37C44489" w14:textId="2ABCCD0C" w:rsidR="00AF0830" w:rsidRPr="00AF0830" w:rsidRDefault="00AF0830" w:rsidP="00772140">
      <w:pPr>
        <w:spacing w:after="0" w:line="276" w:lineRule="auto"/>
        <w:ind w:firstLine="709"/>
        <w:jc w:val="both"/>
        <w:rPr>
          <w:rFonts w:ascii="Arial" w:eastAsia="Calibri" w:hAnsi="Arial" w:cs="Arial"/>
          <w:lang w:val="es-ES_tradnl"/>
        </w:rPr>
      </w:pPr>
      <w:r w:rsidRPr="00AF0830">
        <w:rPr>
          <w:rFonts w:ascii="Arial" w:eastAsia="Calibri" w:hAnsi="Arial" w:cs="Arial"/>
          <w:lang w:val="es-ES_tradnl"/>
        </w:rPr>
        <w:t xml:space="preserve">Además, parte de la Ley 2069 contiene normas que modifican algunos aspectos de la contratación estatal para promover el emprendimiento. Concretamente, aquellas se encuentran en el Capítulo III –artículos 30 al 36–. En su orden, tales artículos consagran: i) reglas sobre la participación de las Mipyme en el procedimiento de mínima cuantía, </w:t>
      </w:r>
      <w:proofErr w:type="spellStart"/>
      <w:r w:rsidRPr="00AF0830">
        <w:rPr>
          <w:rFonts w:ascii="Arial" w:eastAsia="Calibri" w:hAnsi="Arial" w:cs="Arial"/>
          <w:lang w:val="es-ES_tradnl"/>
        </w:rPr>
        <w:t>ii</w:t>
      </w:r>
      <w:proofErr w:type="spellEnd"/>
      <w:r w:rsidRPr="00AF0830">
        <w:rPr>
          <w:rFonts w:ascii="Arial" w:eastAsia="Calibri" w:hAnsi="Arial" w:cs="Arial"/>
          <w:lang w:val="es-ES_tradnl"/>
        </w:rPr>
        <w:t xml:space="preserve">) criterios diferenciales para Mipyme en el sistema de compras públicas, </w:t>
      </w:r>
      <w:proofErr w:type="spellStart"/>
      <w:r w:rsidRPr="00AF0830">
        <w:rPr>
          <w:rFonts w:ascii="Arial" w:eastAsia="Calibri" w:hAnsi="Arial" w:cs="Arial"/>
          <w:lang w:val="es-ES_tradnl"/>
        </w:rPr>
        <w:t>iii</w:t>
      </w:r>
      <w:proofErr w:type="spellEnd"/>
      <w:r w:rsidRPr="00AF0830">
        <w:rPr>
          <w:rFonts w:ascii="Arial" w:eastAsia="Calibri" w:hAnsi="Arial" w:cs="Arial"/>
          <w:lang w:val="es-ES_tradnl"/>
        </w:rPr>
        <w:t xml:space="preserve">) criterios diferenciales para emprendimientos y empresas de mujeres en el sistema de compras públicas, </w:t>
      </w:r>
      <w:proofErr w:type="spellStart"/>
      <w:r w:rsidRPr="00AF0830">
        <w:rPr>
          <w:rFonts w:ascii="Arial" w:eastAsia="Calibri" w:hAnsi="Arial" w:cs="Arial"/>
          <w:lang w:val="es-ES_tradnl"/>
        </w:rPr>
        <w:t>iv</w:t>
      </w:r>
      <w:proofErr w:type="spellEnd"/>
      <w:r w:rsidRPr="00AF0830">
        <w:rPr>
          <w:rFonts w:ascii="Arial" w:eastAsia="Calibri" w:hAnsi="Arial" w:cs="Arial"/>
          <w:lang w:val="es-ES_tradnl"/>
        </w:rPr>
        <w:t>) promoción del acceso de las Mipyme al mercado de compras públicas, v) promoción del desarrollo en la contratación pública, vi) un nuevo régimen de factores de desempate y vi) un llamado a las entidades estatales para que promuevan compras públicas en el marco de la tecnología y la innovación.</w:t>
      </w:r>
      <w:r w:rsidR="00F86312">
        <w:rPr>
          <w:rFonts w:ascii="Arial" w:eastAsia="Calibri" w:hAnsi="Arial" w:cs="Arial"/>
          <w:lang w:val="es-ES_tradnl"/>
        </w:rPr>
        <w:t xml:space="preserve"> </w:t>
      </w:r>
      <w:r w:rsidR="00F86312" w:rsidRPr="009247EF">
        <w:rPr>
          <w:rFonts w:ascii="Arial" w:eastAsia="Calibri" w:hAnsi="Arial" w:cs="Arial"/>
          <w:lang w:val="es-ES_tradnl" w:eastAsia="es-ES_tradnl"/>
        </w:rPr>
        <w:t>Teniendo en cuenta que la consulta está relacionada con la interpretación del artículo 34, mediante el cual se regula lo concerniente a las convocatorias limitadas a Mipyme, a continuación, se estudiará el contenido y alcance de esta norma.</w:t>
      </w:r>
    </w:p>
    <w:p w14:paraId="3509C088" w14:textId="77777777" w:rsidR="004A48C9" w:rsidRPr="004A48C9" w:rsidRDefault="004A48C9" w:rsidP="004A48C9">
      <w:pPr>
        <w:spacing w:after="0" w:line="276" w:lineRule="auto"/>
        <w:contextualSpacing/>
        <w:jc w:val="both"/>
        <w:rPr>
          <w:rFonts w:ascii="Arial" w:eastAsia="Calibri" w:hAnsi="Arial" w:cs="Arial"/>
          <w:lang w:val="es-ES_tradnl" w:eastAsia="es-ES_tradnl"/>
        </w:rPr>
      </w:pPr>
    </w:p>
    <w:p w14:paraId="522BE72A" w14:textId="77777777" w:rsidR="004A48C9" w:rsidRPr="004A48C9" w:rsidRDefault="004A48C9" w:rsidP="004A48C9">
      <w:pPr>
        <w:spacing w:after="0" w:line="276" w:lineRule="auto"/>
        <w:contextualSpacing/>
        <w:jc w:val="both"/>
        <w:rPr>
          <w:rFonts w:ascii="Arial" w:eastAsia="Calibri" w:hAnsi="Arial" w:cs="Arial"/>
          <w:b/>
          <w:bCs/>
          <w:lang w:val="es-ES_tradnl" w:eastAsia="es-ES_tradnl"/>
        </w:rPr>
      </w:pPr>
      <w:r w:rsidRPr="004A48C9">
        <w:rPr>
          <w:rFonts w:ascii="Arial" w:eastAsia="Calibri" w:hAnsi="Arial" w:cs="Arial"/>
          <w:b/>
          <w:bCs/>
          <w:lang w:val="es-ES_tradnl" w:eastAsia="es-ES_tradnl"/>
        </w:rPr>
        <w:lastRenderedPageBreak/>
        <w:t>2.2. Regulación de las convocatorias limitadas a Mipyme: artículo 34 de la Ley 2069 de 2020</w:t>
      </w:r>
    </w:p>
    <w:p w14:paraId="79501437" w14:textId="77777777" w:rsidR="004A48C9" w:rsidRPr="004A48C9" w:rsidRDefault="004A48C9" w:rsidP="004A48C9">
      <w:pPr>
        <w:spacing w:after="0" w:line="276" w:lineRule="auto"/>
        <w:contextualSpacing/>
        <w:jc w:val="both"/>
        <w:rPr>
          <w:rFonts w:ascii="Arial" w:eastAsia="Calibri" w:hAnsi="Arial" w:cs="Arial"/>
          <w:lang w:val="es-ES_tradnl" w:eastAsia="es-ES_tradnl"/>
        </w:rPr>
      </w:pPr>
    </w:p>
    <w:p w14:paraId="102479A5" w14:textId="3501C4D9" w:rsidR="004A48C9" w:rsidRPr="004A48C9" w:rsidRDefault="004A48C9" w:rsidP="004A48C9">
      <w:pPr>
        <w:spacing w:after="120" w:line="276" w:lineRule="auto"/>
        <w:jc w:val="both"/>
        <w:rPr>
          <w:rFonts w:ascii="Arial" w:eastAsia="Calibri" w:hAnsi="Arial" w:cs="Arial"/>
          <w:lang w:val="es-ES_tradnl" w:eastAsia="es-ES_tradnl"/>
        </w:rPr>
      </w:pPr>
      <w:r w:rsidRPr="004A48C9">
        <w:rPr>
          <w:rFonts w:ascii="Arial" w:eastAsia="Calibri" w:hAnsi="Arial" w:cs="Arial"/>
          <w:lang w:val="es-ES_tradnl" w:eastAsia="es-ES_tradnl"/>
        </w:rPr>
        <w:t xml:space="preserve">El artículo 34 de la Ley 2069 de 2020 </w:t>
      </w:r>
      <w:r w:rsidR="00772140">
        <w:rPr>
          <w:rFonts w:ascii="Arial" w:eastAsia="Calibri" w:hAnsi="Arial" w:cs="Arial"/>
          <w:lang w:val="es-ES_tradnl" w:eastAsia="es-ES_tradnl"/>
        </w:rPr>
        <w:t>establece</w:t>
      </w:r>
      <w:r w:rsidR="00772140" w:rsidRPr="004A48C9">
        <w:rPr>
          <w:rFonts w:ascii="Arial" w:eastAsia="Calibri" w:hAnsi="Arial" w:cs="Arial"/>
          <w:lang w:val="es-ES_tradnl" w:eastAsia="es-ES_tradnl"/>
        </w:rPr>
        <w:t xml:space="preserve"> </w:t>
      </w:r>
      <w:r w:rsidRPr="004A48C9">
        <w:rPr>
          <w:rFonts w:ascii="Arial" w:eastAsia="Calibri" w:hAnsi="Arial" w:cs="Arial"/>
          <w:lang w:val="es-ES_tradnl" w:eastAsia="es-ES_tradnl"/>
        </w:rPr>
        <w:t>nuevas reglas sobre la promoción al desarrollo en la contratación estatal. Concretamente, esta disposición modifica el contenido del artículo 12 de la Ley 1150 de 2007</w:t>
      </w:r>
      <w:r w:rsidRPr="004A48C9">
        <w:rPr>
          <w:rFonts w:ascii="Arial" w:eastAsia="Calibri" w:hAnsi="Arial" w:cs="Arial"/>
          <w:vertAlign w:val="superscript"/>
          <w:lang w:val="es-ES_tradnl" w:eastAsia="es-ES_tradnl"/>
        </w:rPr>
        <w:footnoteReference w:id="9"/>
      </w:r>
      <w:r w:rsidRPr="004A48C9">
        <w:rPr>
          <w:rFonts w:ascii="Arial" w:eastAsia="Calibri" w:hAnsi="Arial" w:cs="Arial"/>
          <w:lang w:val="es-ES_tradnl" w:eastAsia="es-ES_tradnl"/>
        </w:rPr>
        <w:t>, regulación que se resume en los siguientes aspectos:</w:t>
      </w:r>
    </w:p>
    <w:p w14:paraId="625B6590" w14:textId="36F1B338" w:rsidR="004A48C9" w:rsidRPr="004A48C9" w:rsidRDefault="004A48C9" w:rsidP="004A48C9">
      <w:pPr>
        <w:spacing w:before="120" w:after="120" w:line="276" w:lineRule="auto"/>
        <w:ind w:firstLine="709"/>
        <w:jc w:val="both"/>
        <w:rPr>
          <w:rFonts w:ascii="Arial" w:eastAsia="Calibri" w:hAnsi="Arial" w:cs="Arial"/>
          <w:lang w:val="es-ES_tradnl" w:eastAsia="es-ES_tradnl"/>
        </w:rPr>
      </w:pPr>
      <w:r w:rsidRPr="004A48C9">
        <w:rPr>
          <w:rFonts w:ascii="Arial" w:eastAsia="Calibri" w:hAnsi="Arial" w:cs="Arial"/>
          <w:lang w:val="es-ES_tradnl" w:eastAsia="es-ES_tradnl"/>
        </w:rPr>
        <w:t xml:space="preserve">i) Encomienda, con carácter imperativo, al </w:t>
      </w:r>
      <w:r w:rsidR="00772140" w:rsidRPr="004A48C9">
        <w:rPr>
          <w:rFonts w:ascii="Arial" w:eastAsia="Calibri" w:hAnsi="Arial" w:cs="Arial"/>
          <w:lang w:val="es-ES_tradnl" w:eastAsia="es-ES_tradnl"/>
        </w:rPr>
        <w:t xml:space="preserve">Gobierno Nacional </w:t>
      </w:r>
      <w:r w:rsidRPr="004A48C9">
        <w:rPr>
          <w:rFonts w:ascii="Arial" w:eastAsia="Calibri" w:hAnsi="Arial" w:cs="Arial"/>
          <w:lang w:val="es-ES_tradnl" w:eastAsia="es-ES_tradnl"/>
        </w:rPr>
        <w:t>el deber de</w:t>
      </w:r>
      <w:r w:rsidRPr="004A48C9" w:rsidDel="004B12C3">
        <w:rPr>
          <w:rFonts w:ascii="Arial" w:eastAsia="Calibri" w:hAnsi="Arial" w:cs="Arial"/>
          <w:lang w:val="es-ES_tradnl" w:eastAsia="es-ES_tradnl"/>
        </w:rPr>
        <w:t xml:space="preserve"> </w:t>
      </w:r>
      <w:r w:rsidRPr="004A48C9">
        <w:rPr>
          <w:rFonts w:ascii="Arial" w:eastAsia="Calibri" w:hAnsi="Arial" w:cs="Arial"/>
          <w:lang w:val="es-ES_tradnl" w:eastAsia="es-ES_tradnl"/>
        </w:rPr>
        <w:t xml:space="preserve">definir las condiciones y los montos para que las </w:t>
      </w:r>
      <w:r w:rsidR="00772140" w:rsidRPr="004A48C9">
        <w:rPr>
          <w:rFonts w:ascii="Arial" w:eastAsia="Calibri" w:hAnsi="Arial" w:cs="Arial"/>
          <w:lang w:val="es-ES_tradnl" w:eastAsia="es-ES_tradnl"/>
        </w:rPr>
        <w:t xml:space="preserve">Entidades Estatales </w:t>
      </w:r>
      <w:r w:rsidRPr="004A48C9">
        <w:rPr>
          <w:rFonts w:ascii="Arial" w:eastAsia="Calibri" w:hAnsi="Arial" w:cs="Arial"/>
          <w:lang w:val="es-ES_tradnl" w:eastAsia="es-ES_tradnl"/>
        </w:rPr>
        <w:t xml:space="preserve">–cualquiera sea su régimen contractual–, los patrimonios autónomos constituidos por aquellas y los particulares que administren recursos públicos efectúen convocatorias limitadas a Mipyme en los </w:t>
      </w:r>
      <w:r w:rsidR="00772140" w:rsidRPr="004A48C9">
        <w:rPr>
          <w:rFonts w:ascii="Arial" w:eastAsia="Calibri" w:hAnsi="Arial" w:cs="Arial"/>
          <w:lang w:val="es-ES_tradnl" w:eastAsia="es-ES_tradnl"/>
        </w:rPr>
        <w:t xml:space="preserve">Procesos </w:t>
      </w:r>
      <w:r w:rsidRPr="004A48C9">
        <w:rPr>
          <w:rFonts w:ascii="Arial" w:eastAsia="Calibri" w:hAnsi="Arial" w:cs="Arial"/>
          <w:lang w:val="es-ES_tradnl" w:eastAsia="es-ES_tradnl"/>
        </w:rPr>
        <w:t xml:space="preserve">de </w:t>
      </w:r>
      <w:r w:rsidR="00772140" w:rsidRPr="004A48C9">
        <w:rPr>
          <w:rFonts w:ascii="Arial" w:eastAsia="Calibri" w:hAnsi="Arial" w:cs="Arial"/>
          <w:lang w:val="es-ES_tradnl" w:eastAsia="es-ES_tradnl"/>
        </w:rPr>
        <w:lastRenderedPageBreak/>
        <w:t>Contratación</w:t>
      </w:r>
      <w:r w:rsidRPr="004A48C9">
        <w:rPr>
          <w:rFonts w:ascii="Arial" w:eastAsia="Calibri" w:hAnsi="Arial" w:cs="Arial"/>
          <w:lang w:val="es-ES_tradnl" w:eastAsia="es-ES_tradnl"/>
        </w:rPr>
        <w:t xml:space="preserve">. Además, agrega que estas convocatorias se pueden realizar también en el ámbito municipal o departamental en el que se ejecute el contrato. </w:t>
      </w:r>
    </w:p>
    <w:p w14:paraId="67542F1C" w14:textId="1FE97F6B" w:rsidR="004A48C9" w:rsidRPr="004A48C9" w:rsidRDefault="004A48C9" w:rsidP="004A48C9">
      <w:pPr>
        <w:spacing w:before="120" w:after="120" w:line="276" w:lineRule="auto"/>
        <w:ind w:firstLine="709"/>
        <w:jc w:val="both"/>
        <w:rPr>
          <w:rFonts w:ascii="Arial" w:eastAsia="Calibri" w:hAnsi="Arial" w:cs="Arial"/>
          <w:lang w:val="es-ES_tradnl" w:eastAsia="es-ES_tradnl"/>
        </w:rPr>
      </w:pPr>
      <w:proofErr w:type="spellStart"/>
      <w:r w:rsidRPr="004A48C9">
        <w:rPr>
          <w:rFonts w:ascii="Arial" w:eastAsia="Calibri" w:hAnsi="Arial" w:cs="Arial"/>
          <w:lang w:val="es-ES_tradnl" w:eastAsia="es-ES_tradnl"/>
        </w:rPr>
        <w:t>ii</w:t>
      </w:r>
      <w:proofErr w:type="spellEnd"/>
      <w:r w:rsidRPr="004A48C9">
        <w:rPr>
          <w:rFonts w:ascii="Arial" w:eastAsia="Calibri" w:hAnsi="Arial" w:cs="Arial"/>
          <w:lang w:val="es-ES_tradnl" w:eastAsia="es-ES_tradnl"/>
        </w:rPr>
        <w:t xml:space="preserve">) Indica que dichas convocatorias se deben efectuar siempre y cuando, antes del acto administrativo de apertura del </w:t>
      </w:r>
      <w:r w:rsidR="00772140" w:rsidRPr="004A48C9">
        <w:rPr>
          <w:rFonts w:ascii="Arial" w:eastAsia="Calibri" w:hAnsi="Arial" w:cs="Arial"/>
          <w:lang w:val="es-ES_tradnl" w:eastAsia="es-ES_tradnl"/>
        </w:rPr>
        <w:t xml:space="preserve">Proceso </w:t>
      </w:r>
      <w:r w:rsidRPr="004A48C9">
        <w:rPr>
          <w:rFonts w:ascii="Arial" w:eastAsia="Calibri" w:hAnsi="Arial" w:cs="Arial"/>
          <w:lang w:val="es-ES_tradnl" w:eastAsia="es-ES_tradnl"/>
        </w:rPr>
        <w:t xml:space="preserve">de </w:t>
      </w:r>
      <w:r w:rsidR="00772140">
        <w:rPr>
          <w:rFonts w:ascii="Arial" w:eastAsia="Calibri" w:hAnsi="Arial" w:cs="Arial"/>
          <w:lang w:val="es-ES_tradnl" w:eastAsia="es-ES_tradnl"/>
        </w:rPr>
        <w:t>Contratación</w:t>
      </w:r>
      <w:r w:rsidRPr="004A48C9">
        <w:rPr>
          <w:rFonts w:ascii="Arial" w:eastAsia="Calibri" w:hAnsi="Arial" w:cs="Arial"/>
          <w:lang w:val="es-ES_tradnl" w:eastAsia="es-ES_tradnl"/>
        </w:rPr>
        <w:t>, por lo menos dos (2) Mipyme hayan manifestado su interés.</w:t>
      </w:r>
    </w:p>
    <w:p w14:paraId="23A0314C" w14:textId="33A6CDDA" w:rsidR="004A48C9" w:rsidRPr="004A48C9" w:rsidRDefault="004A48C9" w:rsidP="004A48C9">
      <w:pPr>
        <w:spacing w:before="120" w:after="120" w:line="276" w:lineRule="auto"/>
        <w:ind w:firstLine="709"/>
        <w:jc w:val="both"/>
        <w:rPr>
          <w:rFonts w:ascii="Arial" w:eastAsia="Calibri" w:hAnsi="Arial" w:cs="Arial"/>
          <w:lang w:val="es-ES_tradnl" w:eastAsia="es-ES_tradnl"/>
        </w:rPr>
      </w:pPr>
      <w:proofErr w:type="spellStart"/>
      <w:r w:rsidRPr="004A48C9">
        <w:rPr>
          <w:rFonts w:ascii="Arial" w:eastAsia="Calibri" w:hAnsi="Arial" w:cs="Arial"/>
          <w:lang w:val="es-ES_tradnl" w:eastAsia="es-ES_tradnl"/>
        </w:rPr>
        <w:t>iii</w:t>
      </w:r>
      <w:proofErr w:type="spellEnd"/>
      <w:r w:rsidRPr="004A48C9">
        <w:rPr>
          <w:rFonts w:ascii="Arial" w:eastAsia="Calibri" w:hAnsi="Arial" w:cs="Arial"/>
          <w:lang w:val="es-ES_tradnl" w:eastAsia="es-ES_tradnl"/>
        </w:rPr>
        <w:t xml:space="preserve">) Determina que uno de los parámetros que deberá tener en cuenta el </w:t>
      </w:r>
      <w:r w:rsidR="00772140" w:rsidRPr="004A48C9">
        <w:rPr>
          <w:rFonts w:ascii="Arial" w:eastAsia="Calibri" w:hAnsi="Arial" w:cs="Arial"/>
          <w:lang w:val="es-ES_tradnl" w:eastAsia="es-ES_tradnl"/>
        </w:rPr>
        <w:t xml:space="preserve">Gobierno Nacional </w:t>
      </w:r>
      <w:r w:rsidRPr="004A48C9">
        <w:rPr>
          <w:rFonts w:ascii="Arial" w:eastAsia="Calibri" w:hAnsi="Arial" w:cs="Arial"/>
          <w:lang w:val="es-ES_tradnl" w:eastAsia="es-ES_tradnl"/>
        </w:rPr>
        <w:t>para reglamentar la materia es el cumplimiento de los compromisos internacionales vigentes. Es decir, que se deberán considerar las estipulaciones contenidas en los tratados comerciales suscritos entre Colombia y otros Estados.</w:t>
      </w:r>
    </w:p>
    <w:p w14:paraId="538FE835" w14:textId="5BC9E364" w:rsidR="004A48C9" w:rsidRPr="004A48C9" w:rsidRDefault="004A48C9" w:rsidP="004A48C9">
      <w:pPr>
        <w:spacing w:before="120" w:after="120" w:line="276" w:lineRule="auto"/>
        <w:ind w:firstLine="709"/>
        <w:jc w:val="both"/>
        <w:rPr>
          <w:rFonts w:ascii="Arial" w:eastAsia="Calibri" w:hAnsi="Arial" w:cs="Arial"/>
          <w:lang w:val="es-ES_tradnl" w:eastAsia="es-ES_tradnl"/>
        </w:rPr>
      </w:pPr>
      <w:proofErr w:type="spellStart"/>
      <w:r w:rsidRPr="004A48C9">
        <w:rPr>
          <w:rFonts w:ascii="Arial" w:eastAsia="Calibri" w:hAnsi="Arial" w:cs="Arial"/>
          <w:lang w:val="es-ES_tradnl" w:eastAsia="es-ES_tradnl"/>
        </w:rPr>
        <w:t>iv</w:t>
      </w:r>
      <w:proofErr w:type="spellEnd"/>
      <w:r w:rsidRPr="004A48C9">
        <w:rPr>
          <w:rFonts w:ascii="Arial" w:eastAsia="Calibri" w:hAnsi="Arial" w:cs="Arial"/>
          <w:lang w:val="es-ES_tradnl" w:eastAsia="es-ES_tradnl"/>
        </w:rPr>
        <w:t xml:space="preserve">) Establece que, en el reglamento, el </w:t>
      </w:r>
      <w:r w:rsidR="00772140" w:rsidRPr="004A48C9">
        <w:rPr>
          <w:rFonts w:ascii="Arial" w:eastAsia="Calibri" w:hAnsi="Arial" w:cs="Arial"/>
          <w:lang w:val="es-ES_tradnl" w:eastAsia="es-ES_tradnl"/>
        </w:rPr>
        <w:t xml:space="preserve">Gobierno Nacional </w:t>
      </w:r>
      <w:r w:rsidRPr="004A48C9">
        <w:rPr>
          <w:rFonts w:ascii="Arial" w:eastAsia="Calibri" w:hAnsi="Arial" w:cs="Arial"/>
          <w:lang w:val="es-ES_tradnl" w:eastAsia="es-ES_tradnl"/>
        </w:rPr>
        <w:t xml:space="preserve">podría establecer condiciones preferenciales </w:t>
      </w:r>
      <w:r w:rsidR="00772140">
        <w:rPr>
          <w:rFonts w:ascii="Arial" w:eastAsia="Calibri" w:hAnsi="Arial" w:cs="Arial"/>
          <w:lang w:val="es-ES_tradnl" w:eastAsia="es-ES_tradnl"/>
        </w:rPr>
        <w:t>en favor de</w:t>
      </w:r>
      <w:r w:rsidR="00772140" w:rsidRPr="004A48C9">
        <w:rPr>
          <w:rFonts w:ascii="Arial" w:eastAsia="Calibri" w:hAnsi="Arial" w:cs="Arial"/>
          <w:lang w:val="es-ES_tradnl" w:eastAsia="es-ES_tradnl"/>
        </w:rPr>
        <w:t xml:space="preserve"> </w:t>
      </w:r>
      <w:r w:rsidRPr="004A48C9">
        <w:rPr>
          <w:rFonts w:ascii="Arial" w:eastAsia="Calibri" w:hAnsi="Arial" w:cs="Arial"/>
          <w:lang w:val="es-ES_tradnl" w:eastAsia="es-ES_tradnl"/>
        </w:rPr>
        <w:t>los bienes y servicios producidos por las Mipyme, sin perjuicio de los compromisos internacionales vigentes.</w:t>
      </w:r>
    </w:p>
    <w:p w14:paraId="52CC0A8D" w14:textId="6B256405" w:rsidR="004A48C9" w:rsidRPr="004A48C9" w:rsidRDefault="004A48C9" w:rsidP="004A48C9">
      <w:pPr>
        <w:spacing w:before="120" w:after="120" w:line="276" w:lineRule="auto"/>
        <w:ind w:firstLine="709"/>
        <w:jc w:val="both"/>
        <w:rPr>
          <w:rFonts w:ascii="Arial" w:eastAsia="Calibri" w:hAnsi="Arial" w:cs="Arial"/>
          <w:lang w:val="es-ES_tradnl" w:eastAsia="es-ES_tradnl"/>
        </w:rPr>
      </w:pPr>
      <w:r w:rsidRPr="004A48C9">
        <w:rPr>
          <w:rFonts w:ascii="Arial" w:eastAsia="Calibri" w:hAnsi="Arial" w:cs="Arial"/>
          <w:lang w:val="es-ES_tradnl" w:eastAsia="es-ES_tradnl"/>
        </w:rPr>
        <w:t xml:space="preserve">v) Aclara que tanto las convocatorias limitadas a Mipyme, como las condiciones preferenciales a favor de los bienes y servicios producidos por estas, no es óbice para que deban cumplir las exigencias técnicas y económicas del proceso de </w:t>
      </w:r>
      <w:r w:rsidR="00772140">
        <w:rPr>
          <w:rFonts w:ascii="Arial" w:eastAsia="Calibri" w:hAnsi="Arial" w:cs="Arial"/>
          <w:lang w:val="es-ES_tradnl" w:eastAsia="es-ES_tradnl"/>
        </w:rPr>
        <w:t>Contratación</w:t>
      </w:r>
      <w:r w:rsidRPr="004A48C9">
        <w:rPr>
          <w:rFonts w:ascii="Arial" w:eastAsia="Calibri" w:hAnsi="Arial" w:cs="Arial"/>
          <w:lang w:val="es-ES_tradnl" w:eastAsia="es-ES_tradnl"/>
        </w:rPr>
        <w:t>.</w:t>
      </w:r>
    </w:p>
    <w:p w14:paraId="78BDA021" w14:textId="2FA05533" w:rsidR="004A48C9" w:rsidRPr="004A48C9" w:rsidRDefault="004A48C9" w:rsidP="004A48C9">
      <w:pPr>
        <w:spacing w:before="120" w:after="120" w:line="276" w:lineRule="auto"/>
        <w:ind w:firstLine="709"/>
        <w:jc w:val="both"/>
        <w:rPr>
          <w:rFonts w:ascii="Arial" w:eastAsia="Calibri" w:hAnsi="Arial" w:cs="Arial"/>
          <w:lang w:val="es-ES_tradnl" w:eastAsia="es-ES_tradnl"/>
        </w:rPr>
      </w:pPr>
      <w:r w:rsidRPr="004A48C9">
        <w:rPr>
          <w:rFonts w:ascii="Arial" w:eastAsia="Calibri" w:hAnsi="Arial" w:cs="Arial"/>
          <w:lang w:val="es-ES_tradnl" w:eastAsia="es-ES_tradnl"/>
        </w:rPr>
        <w:t xml:space="preserve">vi) Señala que el reglamento que expida el </w:t>
      </w:r>
      <w:r w:rsidR="00772140" w:rsidRPr="004A48C9">
        <w:rPr>
          <w:rFonts w:ascii="Arial" w:eastAsia="Calibri" w:hAnsi="Arial" w:cs="Arial"/>
          <w:lang w:val="es-ES_tradnl" w:eastAsia="es-ES_tradnl"/>
        </w:rPr>
        <w:t>Gobierno Nacional</w:t>
      </w:r>
      <w:r w:rsidRPr="004A48C9">
        <w:rPr>
          <w:rFonts w:ascii="Arial" w:eastAsia="Calibri" w:hAnsi="Arial" w:cs="Arial"/>
          <w:lang w:val="es-ES_tradnl" w:eastAsia="es-ES_tradnl"/>
        </w:rPr>
        <w:t>, además de</w:t>
      </w:r>
      <w:r w:rsidR="00772140">
        <w:rPr>
          <w:rFonts w:ascii="Arial" w:eastAsia="Calibri" w:hAnsi="Arial" w:cs="Arial"/>
          <w:lang w:val="es-ES_tradnl" w:eastAsia="es-ES_tradnl"/>
        </w:rPr>
        <w:t xml:space="preserve"> lo referente a</w:t>
      </w:r>
      <w:r w:rsidRPr="004A48C9">
        <w:rPr>
          <w:rFonts w:ascii="Arial" w:eastAsia="Calibri" w:hAnsi="Arial" w:cs="Arial"/>
          <w:lang w:val="es-ES_tradnl" w:eastAsia="es-ES_tradnl"/>
        </w:rPr>
        <w:t xml:space="preserve"> las convocatorias limitadas a Mipyme, deberá contener disposiciones que fomenten en la ejecución de los contratos estatales la provisión de bienes y servicios por parte de algunas personas que gozan de especial protección constitucional. Entre tales personas se encuentran las que tengan condiciones de pobreza extrema, las desplazadas por la violencia y quienes estén en procesos de reintegración o reincorporación, entre otras que incluya el reglamento.</w:t>
      </w:r>
    </w:p>
    <w:p w14:paraId="1DB51B2F" w14:textId="77777777" w:rsidR="004A48C9" w:rsidRPr="004A48C9" w:rsidRDefault="004A48C9" w:rsidP="004A48C9">
      <w:pPr>
        <w:spacing w:before="120" w:after="120" w:line="276" w:lineRule="auto"/>
        <w:ind w:firstLine="709"/>
        <w:jc w:val="both"/>
        <w:rPr>
          <w:rFonts w:ascii="Arial" w:eastAsia="Calibri" w:hAnsi="Arial" w:cs="Arial"/>
          <w:lang w:val="es-ES_tradnl" w:eastAsia="es-ES_tradnl"/>
        </w:rPr>
      </w:pPr>
      <w:proofErr w:type="spellStart"/>
      <w:r w:rsidRPr="004A48C9">
        <w:rPr>
          <w:rFonts w:ascii="Arial" w:eastAsia="Calibri" w:hAnsi="Arial" w:cs="Arial"/>
          <w:lang w:val="es-ES_tradnl" w:eastAsia="es-ES_tradnl"/>
        </w:rPr>
        <w:t>vii</w:t>
      </w:r>
      <w:proofErr w:type="spellEnd"/>
      <w:r w:rsidRPr="004A48C9">
        <w:rPr>
          <w:rFonts w:ascii="Arial" w:eastAsia="Calibri" w:hAnsi="Arial" w:cs="Arial"/>
          <w:lang w:val="es-ES_tradnl" w:eastAsia="es-ES_tradnl"/>
        </w:rPr>
        <w:t>) Precisa que la posibilidad de participar en convocatorias limitadas a Mipyme se encuentra condicionada a que estas acrediten como mínimo un (1) año de existencia, con el certificado expedido por la cámara de comercio respectiva o por la autoridad que sea competente para ello.</w:t>
      </w:r>
    </w:p>
    <w:p w14:paraId="47E0A407" w14:textId="6862E452" w:rsidR="004A48C9" w:rsidRPr="004A48C9" w:rsidRDefault="004A48C9" w:rsidP="004A48C9">
      <w:pPr>
        <w:spacing w:before="120" w:after="120" w:line="276" w:lineRule="auto"/>
        <w:ind w:firstLine="709"/>
        <w:jc w:val="both"/>
        <w:rPr>
          <w:rFonts w:ascii="Arial" w:eastAsia="Calibri" w:hAnsi="Arial" w:cs="Arial"/>
          <w:lang w:val="es-ES_tradnl" w:eastAsia="es-ES_tradnl"/>
        </w:rPr>
      </w:pPr>
      <w:proofErr w:type="spellStart"/>
      <w:r w:rsidRPr="004A48C9">
        <w:rPr>
          <w:rFonts w:ascii="Arial" w:eastAsia="Calibri" w:hAnsi="Arial" w:cs="Arial"/>
          <w:lang w:val="es-ES_tradnl" w:eastAsia="es-ES_tradnl"/>
        </w:rPr>
        <w:t>viii</w:t>
      </w:r>
      <w:proofErr w:type="spellEnd"/>
      <w:r w:rsidRPr="004A48C9">
        <w:rPr>
          <w:rFonts w:ascii="Arial" w:eastAsia="Calibri" w:hAnsi="Arial" w:cs="Arial"/>
          <w:lang w:val="es-ES_tradnl" w:eastAsia="es-ES_tradnl"/>
        </w:rPr>
        <w:t xml:space="preserve">) Hace obligatorio el cumplimiento de lo dispuesto en los artículos 90 a 95 de la Ley 418 de 1997 –normas que establecen la obligación de declarar la caducidad y la liquidación unilateral cuando el contratista beneficie grupos armados organizados al margen de la </w:t>
      </w:r>
      <w:r w:rsidR="00772140" w:rsidRPr="004A48C9">
        <w:rPr>
          <w:rFonts w:ascii="Arial" w:eastAsia="Calibri" w:hAnsi="Arial" w:cs="Arial"/>
          <w:lang w:val="es-ES_tradnl" w:eastAsia="es-ES_tradnl"/>
        </w:rPr>
        <w:t>Ley</w:t>
      </w:r>
      <w:r w:rsidRPr="004A48C9">
        <w:rPr>
          <w:rFonts w:ascii="Arial" w:eastAsia="Calibri" w:hAnsi="Arial" w:cs="Arial"/>
          <w:lang w:val="es-ES_tradnl" w:eastAsia="es-ES_tradnl"/>
        </w:rPr>
        <w:t>– en la ejecución de los contratos celebrados en virtud del artículo 34 de la Ley 2069 de 2020.</w:t>
      </w:r>
    </w:p>
    <w:p w14:paraId="1001851A" w14:textId="77777777" w:rsidR="004A48C9" w:rsidRPr="004A48C9" w:rsidRDefault="004A48C9" w:rsidP="004A48C9">
      <w:pPr>
        <w:spacing w:before="120" w:after="0" w:line="276" w:lineRule="auto"/>
        <w:ind w:firstLine="709"/>
        <w:jc w:val="both"/>
        <w:rPr>
          <w:rFonts w:ascii="Arial" w:eastAsia="Calibri" w:hAnsi="Arial" w:cs="Arial"/>
          <w:lang w:val="es-ES_tradnl" w:eastAsia="es-ES_tradnl"/>
        </w:rPr>
      </w:pPr>
      <w:r w:rsidRPr="004A48C9">
        <w:rPr>
          <w:rFonts w:ascii="Arial" w:eastAsia="Calibri" w:hAnsi="Arial" w:cs="Arial"/>
          <w:lang w:val="es-ES_tradnl" w:eastAsia="es-ES_tradnl"/>
        </w:rPr>
        <w:t xml:space="preserve">A partir de lo anterior, es posible afirmar que, el artículo 34 de la Ley 2069 de 2020 sustituyó íntegramente el contenido del artículo 12 de la Ley 1150 de 2007. En este sentido, frente a esta última norma se produjo el fenómeno de la subrogación, el cual explica la Corte Constitucional en los siguientes términos: </w:t>
      </w:r>
    </w:p>
    <w:p w14:paraId="255BE0C8" w14:textId="77777777" w:rsidR="004A48C9" w:rsidRPr="00F23EEF" w:rsidRDefault="004A48C9" w:rsidP="00F23EEF">
      <w:pPr>
        <w:spacing w:after="0" w:line="276" w:lineRule="auto"/>
        <w:ind w:left="709" w:right="709"/>
        <w:contextualSpacing/>
        <w:jc w:val="both"/>
        <w:rPr>
          <w:rFonts w:ascii="Arial" w:eastAsia="Calibri" w:hAnsi="Arial" w:cs="Arial"/>
          <w:color w:val="FF0000"/>
          <w:lang w:val="es-ES_tradnl" w:eastAsia="es-ES_tradnl"/>
        </w:rPr>
      </w:pPr>
    </w:p>
    <w:p w14:paraId="50CB242F" w14:textId="77777777" w:rsidR="004A48C9" w:rsidRPr="004A48C9" w:rsidRDefault="004A48C9" w:rsidP="00031030">
      <w:pPr>
        <w:spacing w:after="0" w:line="240" w:lineRule="auto"/>
        <w:ind w:left="709" w:right="709"/>
        <w:contextualSpacing/>
        <w:jc w:val="both"/>
        <w:rPr>
          <w:rFonts w:ascii="Arial" w:eastAsia="Calibri" w:hAnsi="Arial" w:cs="Arial"/>
          <w:sz w:val="21"/>
          <w:szCs w:val="21"/>
          <w:lang w:val="es-ES_tradnl" w:eastAsia="es-ES_tradnl"/>
        </w:rPr>
      </w:pPr>
      <w:r w:rsidRPr="004A48C9">
        <w:rPr>
          <w:rFonts w:ascii="Arial" w:eastAsia="Calibri" w:hAnsi="Arial" w:cs="Arial"/>
          <w:sz w:val="21"/>
          <w:szCs w:val="21"/>
          <w:lang w:val="es-ES_tradnl" w:eastAsia="es-ES_tradnl"/>
        </w:rPr>
        <w:t xml:space="preserve">La subrogación es entendida como el acto de sustituir una norma por otra. No se trata de una derogación simple, como quiera que antes que abolir o anular una disposición del sistema normativo establecido, lo que hace es poner un texto normativo en lugar </w:t>
      </w:r>
      <w:r w:rsidRPr="004A48C9">
        <w:rPr>
          <w:rFonts w:ascii="Arial" w:eastAsia="Calibri" w:hAnsi="Arial" w:cs="Arial"/>
          <w:sz w:val="21"/>
          <w:szCs w:val="21"/>
          <w:lang w:val="es-ES_tradnl" w:eastAsia="es-ES_tradnl"/>
        </w:rPr>
        <w:lastRenderedPageBreak/>
        <w:t>de otro. Como resultado de la subrogación, las normas jurídicas preexistentes y afectadas con la medida pueden en parte ser derogadas, modificadas y en parte sustituidas por otras nuevas; pero también la subrogación puede incluir la reproducción de apartes normativos provenientes del texto legal que se subroga</w:t>
      </w:r>
      <w:r w:rsidRPr="004A48C9">
        <w:rPr>
          <w:rFonts w:ascii="Arial" w:eastAsia="Calibri" w:hAnsi="Arial" w:cs="Arial"/>
          <w:sz w:val="21"/>
          <w:szCs w:val="21"/>
          <w:vertAlign w:val="superscript"/>
          <w:lang w:val="es-ES_tradnl" w:eastAsia="es-ES_tradnl"/>
        </w:rPr>
        <w:footnoteReference w:id="10"/>
      </w:r>
      <w:r w:rsidRPr="004A48C9">
        <w:rPr>
          <w:rFonts w:ascii="Arial" w:eastAsia="Calibri" w:hAnsi="Arial" w:cs="Arial"/>
          <w:sz w:val="21"/>
          <w:szCs w:val="21"/>
          <w:lang w:val="es-ES_tradnl" w:eastAsia="es-ES_tradnl"/>
        </w:rPr>
        <w:t>.</w:t>
      </w:r>
    </w:p>
    <w:p w14:paraId="1C37FC83" w14:textId="77777777" w:rsidR="004A48C9" w:rsidRPr="00F23EEF" w:rsidRDefault="004A48C9" w:rsidP="00F23EEF">
      <w:pPr>
        <w:spacing w:after="0" w:line="276" w:lineRule="auto"/>
        <w:ind w:firstLine="709"/>
        <w:contextualSpacing/>
        <w:jc w:val="both"/>
        <w:rPr>
          <w:rFonts w:ascii="Arial" w:eastAsia="Calibri" w:hAnsi="Arial" w:cs="Arial"/>
          <w:lang w:val="es-ES_tradnl" w:eastAsia="es-ES_tradnl"/>
        </w:rPr>
      </w:pPr>
    </w:p>
    <w:p w14:paraId="2ADEF479" w14:textId="77777777" w:rsidR="004A48C9" w:rsidRPr="004A48C9" w:rsidRDefault="004A48C9" w:rsidP="004A48C9">
      <w:pPr>
        <w:spacing w:after="120" w:line="276" w:lineRule="auto"/>
        <w:ind w:firstLine="709"/>
        <w:jc w:val="both"/>
        <w:rPr>
          <w:rFonts w:ascii="Arial" w:eastAsia="Calibri" w:hAnsi="Arial" w:cs="Arial"/>
          <w:lang w:val="es-ES_tradnl" w:eastAsia="es-ES_tradnl"/>
        </w:rPr>
      </w:pPr>
      <w:r w:rsidRPr="004A48C9">
        <w:rPr>
          <w:rFonts w:ascii="Arial" w:eastAsia="Calibri" w:hAnsi="Arial" w:cs="Arial"/>
          <w:lang w:val="es-ES_tradnl" w:eastAsia="es-ES_tradnl"/>
        </w:rPr>
        <w:t>La subrogación es, entonces, una forma de derogación de las normas jurídicas, que consiste en el reemplazo de su contenido por un enunciado normativo nuevo. Se distingue de la derogación simple en que, en este último evento la disposición normativa posterior no sustituye el texto, sino que solo le hace perder vigencia a la disposición normativa anterior. Como lo explica la Corte Constitucional, la subrogación puede presentarse bien porque el enunciado normativo regule de manera diferente una materia o porque reproduzca apartados normativos de otra. Pero lo cierto es que, en uno u otro caso, la disposición normativa anterior pierde vigencia.</w:t>
      </w:r>
    </w:p>
    <w:p w14:paraId="4655995A" w14:textId="77777777" w:rsidR="004A48C9" w:rsidRPr="004A48C9" w:rsidRDefault="004A48C9" w:rsidP="004A48C9">
      <w:pPr>
        <w:spacing w:before="120" w:after="120" w:line="276" w:lineRule="auto"/>
        <w:ind w:firstLine="709"/>
        <w:jc w:val="both"/>
        <w:rPr>
          <w:rFonts w:ascii="Arial" w:eastAsia="Calibri" w:hAnsi="Arial" w:cs="Arial"/>
          <w:lang w:val="es-ES_tradnl" w:eastAsia="es-ES_tradnl"/>
        </w:rPr>
      </w:pPr>
      <w:r w:rsidRPr="004A48C9">
        <w:rPr>
          <w:rFonts w:ascii="Arial" w:eastAsia="Calibri" w:hAnsi="Arial" w:cs="Arial"/>
          <w:lang w:val="es-ES_tradnl" w:eastAsia="es-ES_tradnl"/>
        </w:rPr>
        <w:t>El artículo 12 de la Ley 1150 de 2007 fue subrogado por el artículo 34 de la Ley 2069 de 2020, porque este contiene una regulación diferente respecto de la promoción del desarrollo en la contratación estatal. Además, el primer inciso del artículo 34 de la Ley 2069 de 2020 dispone expresamente: «Modifíquese el artículo 12 de la Ley 1150 de 2007, el cual quedará así». Esto significa que la voluntad del legislador no estuvo dirigida a efectuar una reforma parcial del artículo 12 de la Ley 1150 de 2007, sino a modificarlo completamente, sustituyéndolo por uno nuevo.</w:t>
      </w:r>
    </w:p>
    <w:p w14:paraId="5CE8F1E7" w14:textId="77777777" w:rsidR="004A48C9" w:rsidRPr="004A48C9" w:rsidRDefault="004A48C9" w:rsidP="00772140">
      <w:pPr>
        <w:spacing w:before="120" w:after="0" w:line="276" w:lineRule="auto"/>
        <w:ind w:firstLine="709"/>
        <w:jc w:val="both"/>
        <w:rPr>
          <w:rFonts w:ascii="Arial" w:eastAsia="Calibri" w:hAnsi="Arial" w:cs="Arial"/>
          <w:lang w:val="es-ES_tradnl" w:eastAsia="es-ES_tradnl"/>
        </w:rPr>
      </w:pPr>
      <w:r w:rsidRPr="004A48C9">
        <w:rPr>
          <w:rFonts w:ascii="Arial" w:eastAsia="Calibri" w:hAnsi="Arial" w:cs="Arial"/>
          <w:lang w:val="es-ES_tradnl" w:eastAsia="es-ES_tradnl"/>
        </w:rPr>
        <w:t xml:space="preserve">Por ello, aunque el artículo 12 de la Ley 1150 de 2007 había sido modificado parcialmente por el artículo 3 de la Ley 2040 de 2020, que le había adicionado un parágrafo, también dicho parágrafo ha perdido su vigencia. En efecto, el artículo 3 de la Ley 2040 de 2020 disponía: </w:t>
      </w:r>
    </w:p>
    <w:p w14:paraId="6F950D72" w14:textId="77777777" w:rsidR="004A48C9" w:rsidRPr="00F23EEF" w:rsidRDefault="004A48C9" w:rsidP="00F23EEF">
      <w:pPr>
        <w:spacing w:after="0" w:line="276" w:lineRule="auto"/>
        <w:ind w:left="709" w:right="709"/>
        <w:contextualSpacing/>
        <w:jc w:val="both"/>
        <w:rPr>
          <w:rFonts w:ascii="Arial" w:eastAsia="Calibri" w:hAnsi="Arial" w:cs="Arial"/>
          <w:lang w:val="es-ES_tradnl" w:eastAsia="es-ES_tradnl"/>
        </w:rPr>
      </w:pPr>
    </w:p>
    <w:p w14:paraId="4431C926" w14:textId="0D8E9752" w:rsidR="004A48C9" w:rsidRDefault="004A48C9" w:rsidP="00772140">
      <w:pPr>
        <w:spacing w:after="0" w:line="240" w:lineRule="auto"/>
        <w:ind w:left="709" w:right="709"/>
        <w:contextualSpacing/>
        <w:jc w:val="both"/>
        <w:rPr>
          <w:rFonts w:ascii="Arial" w:eastAsia="Calibri" w:hAnsi="Arial" w:cs="Arial"/>
          <w:sz w:val="21"/>
          <w:szCs w:val="21"/>
          <w:lang w:val="es-ES_tradnl" w:eastAsia="es-ES_tradnl"/>
        </w:rPr>
      </w:pPr>
      <w:r w:rsidRPr="004A48C9">
        <w:rPr>
          <w:rFonts w:ascii="Arial" w:eastAsia="Calibri" w:hAnsi="Arial" w:cs="Arial"/>
          <w:sz w:val="21"/>
          <w:szCs w:val="21"/>
          <w:lang w:val="es-ES_tradnl" w:eastAsia="es-ES_tradnl"/>
        </w:rPr>
        <w:t>Adiciónese un parágrafo al artículo 12 de la Ley 1150 de 2007:</w:t>
      </w:r>
    </w:p>
    <w:p w14:paraId="324FCCF4" w14:textId="77777777" w:rsidR="00772140" w:rsidRPr="004A48C9" w:rsidRDefault="00772140" w:rsidP="00F23EEF">
      <w:pPr>
        <w:spacing w:after="0" w:line="240" w:lineRule="auto"/>
        <w:ind w:left="709" w:right="709"/>
        <w:contextualSpacing/>
        <w:jc w:val="both"/>
        <w:rPr>
          <w:rFonts w:ascii="Arial" w:eastAsia="Calibri" w:hAnsi="Arial" w:cs="Arial"/>
          <w:sz w:val="21"/>
          <w:szCs w:val="21"/>
          <w:lang w:val="es-ES_tradnl" w:eastAsia="es-ES_tradnl"/>
        </w:rPr>
      </w:pPr>
    </w:p>
    <w:p w14:paraId="724DFAA6" w14:textId="77777777" w:rsidR="004A48C9" w:rsidRPr="004A48C9" w:rsidRDefault="004A48C9" w:rsidP="00F23EEF">
      <w:pPr>
        <w:spacing w:after="0" w:line="240" w:lineRule="auto"/>
        <w:ind w:left="709" w:right="709"/>
        <w:contextualSpacing/>
        <w:jc w:val="both"/>
        <w:rPr>
          <w:rFonts w:ascii="Arial" w:eastAsia="Calibri" w:hAnsi="Arial" w:cs="Arial"/>
          <w:sz w:val="21"/>
          <w:szCs w:val="21"/>
          <w:lang w:val="es-ES_tradnl" w:eastAsia="es-ES_tradnl"/>
        </w:rPr>
      </w:pPr>
      <w:r w:rsidRPr="004A48C9">
        <w:rPr>
          <w:rFonts w:ascii="Arial" w:eastAsia="Calibri" w:hAnsi="Arial" w:cs="Arial"/>
          <w:sz w:val="21"/>
          <w:szCs w:val="21"/>
          <w:lang w:val="es-ES_tradnl" w:eastAsia="es-ES_tradnl"/>
        </w:rPr>
        <w:t>Parágrafo 4°. Criterio de desempate. En los procesos de contratación públicos, en caso de empate en la puntuación de dos o más proponentes, se preferirá a aquel que demuestre la vinculación del mayor porcentaje de personas mayores que no sean beneficiarios de la pensión de vejez, familiar o de sobrevivencia y que hayan cumplido el requisito de edad de pensión establecido en la Ley.</w:t>
      </w:r>
    </w:p>
    <w:p w14:paraId="0E2C4E3F" w14:textId="77777777" w:rsidR="00772140" w:rsidRDefault="00772140" w:rsidP="00772140">
      <w:pPr>
        <w:spacing w:after="0" w:line="240" w:lineRule="auto"/>
        <w:ind w:left="709" w:right="709"/>
        <w:contextualSpacing/>
        <w:jc w:val="both"/>
        <w:rPr>
          <w:rFonts w:ascii="Arial" w:eastAsia="Calibri" w:hAnsi="Arial" w:cs="Arial"/>
          <w:sz w:val="21"/>
          <w:szCs w:val="21"/>
          <w:lang w:val="es-ES_tradnl" w:eastAsia="es-ES_tradnl"/>
        </w:rPr>
      </w:pPr>
    </w:p>
    <w:p w14:paraId="6C9AC63B" w14:textId="0ECDF492" w:rsidR="004A48C9" w:rsidRPr="004A48C9" w:rsidRDefault="004A48C9" w:rsidP="00F23EEF">
      <w:pPr>
        <w:spacing w:after="0" w:line="240" w:lineRule="auto"/>
        <w:ind w:left="709" w:right="709"/>
        <w:contextualSpacing/>
        <w:jc w:val="both"/>
        <w:rPr>
          <w:rFonts w:ascii="Arial" w:eastAsia="Calibri" w:hAnsi="Arial" w:cs="Arial"/>
          <w:sz w:val="21"/>
          <w:szCs w:val="21"/>
          <w:lang w:val="es-ES_tradnl" w:eastAsia="es-ES_tradnl"/>
        </w:rPr>
      </w:pPr>
      <w:r w:rsidRPr="004A48C9">
        <w:rPr>
          <w:rFonts w:ascii="Arial" w:eastAsia="Calibri" w:hAnsi="Arial" w:cs="Arial"/>
          <w:sz w:val="21"/>
          <w:szCs w:val="21"/>
          <w:lang w:val="es-ES_tradnl" w:eastAsia="es-ES_tradnl"/>
        </w:rPr>
        <w:t>Para los efectos de este parágrafo solo se tendrá en cuenta la vinculación de aquellos adultos mayores objeto de esta Ley que hayan estado vinculados con una anterioridad igual o mayor a un año. Para los casos de constitución inferior a un año se tendrá en cuenta a aquellos trabajadores que hayan estado vinculados desde el momento de constitución de la misma.</w:t>
      </w:r>
    </w:p>
    <w:p w14:paraId="0930F4FD" w14:textId="77777777" w:rsidR="00772140" w:rsidRDefault="00772140" w:rsidP="00772140">
      <w:pPr>
        <w:spacing w:after="0" w:line="240" w:lineRule="auto"/>
        <w:ind w:left="709" w:right="709"/>
        <w:contextualSpacing/>
        <w:jc w:val="both"/>
        <w:rPr>
          <w:rFonts w:ascii="Arial" w:eastAsia="Calibri" w:hAnsi="Arial" w:cs="Arial"/>
          <w:sz w:val="21"/>
          <w:szCs w:val="21"/>
          <w:lang w:val="es-ES_tradnl" w:eastAsia="es-ES_tradnl"/>
        </w:rPr>
      </w:pPr>
    </w:p>
    <w:p w14:paraId="72CEBA1A" w14:textId="61C08051" w:rsidR="004A48C9" w:rsidRDefault="004A48C9" w:rsidP="00772140">
      <w:pPr>
        <w:spacing w:after="0" w:line="240" w:lineRule="auto"/>
        <w:ind w:left="709" w:right="709"/>
        <w:contextualSpacing/>
        <w:jc w:val="both"/>
        <w:rPr>
          <w:rFonts w:ascii="Arial" w:eastAsia="Calibri" w:hAnsi="Arial" w:cs="Arial"/>
          <w:sz w:val="21"/>
          <w:szCs w:val="21"/>
          <w:lang w:val="es-ES_tradnl" w:eastAsia="es-ES_tradnl"/>
        </w:rPr>
      </w:pPr>
      <w:r w:rsidRPr="004A48C9">
        <w:rPr>
          <w:rFonts w:ascii="Arial" w:eastAsia="Calibri" w:hAnsi="Arial" w:cs="Arial"/>
          <w:sz w:val="21"/>
          <w:szCs w:val="21"/>
          <w:lang w:val="es-ES_tradnl" w:eastAsia="es-ES_tradnl"/>
        </w:rPr>
        <w:t xml:space="preserve">Dado el caso en que el contrato público haya sido obtenido con ocasión a esta forma de desempate, el empleador deberá mantener el mismo porcentaje de adultos </w:t>
      </w:r>
      <w:r w:rsidRPr="004A48C9">
        <w:rPr>
          <w:rFonts w:ascii="Arial" w:eastAsia="Calibri" w:hAnsi="Arial" w:cs="Arial"/>
          <w:sz w:val="21"/>
          <w:szCs w:val="21"/>
          <w:lang w:val="es-ES_tradnl" w:eastAsia="es-ES_tradnl"/>
        </w:rPr>
        <w:lastRenderedPageBreak/>
        <w:t>mayores trabajadores al interior de la empresa durante la vigencia de ejecución del contrato. En caso contrario no podrá hacer uso de este beneficio en cualquier otro contrato que celebre con el Estado dentro de los 5 años siguientes a la terminación del contrato.</w:t>
      </w:r>
    </w:p>
    <w:p w14:paraId="31079ACA" w14:textId="77777777" w:rsidR="00772140" w:rsidRPr="004A48C9" w:rsidRDefault="00772140" w:rsidP="00F23EEF">
      <w:pPr>
        <w:spacing w:after="0" w:line="240" w:lineRule="auto"/>
        <w:ind w:left="709" w:right="709"/>
        <w:contextualSpacing/>
        <w:jc w:val="both"/>
        <w:rPr>
          <w:rFonts w:ascii="Arial" w:eastAsia="Calibri" w:hAnsi="Arial" w:cs="Arial"/>
          <w:sz w:val="21"/>
          <w:szCs w:val="21"/>
          <w:lang w:val="es-ES_tradnl" w:eastAsia="es-ES_tradnl"/>
        </w:rPr>
      </w:pPr>
    </w:p>
    <w:p w14:paraId="78E3AFE9" w14:textId="77777777" w:rsidR="004A48C9" w:rsidRPr="004A48C9" w:rsidRDefault="004A48C9" w:rsidP="00F23EEF">
      <w:pPr>
        <w:spacing w:after="0" w:line="240" w:lineRule="auto"/>
        <w:ind w:left="709" w:right="709"/>
        <w:contextualSpacing/>
        <w:jc w:val="both"/>
        <w:rPr>
          <w:rFonts w:ascii="Arial" w:eastAsia="Calibri" w:hAnsi="Arial" w:cs="Arial"/>
          <w:sz w:val="21"/>
          <w:szCs w:val="21"/>
          <w:lang w:val="es-ES_tradnl" w:eastAsia="es-ES_tradnl"/>
        </w:rPr>
      </w:pPr>
      <w:r w:rsidRPr="004A48C9">
        <w:rPr>
          <w:rFonts w:ascii="Arial" w:eastAsia="Calibri" w:hAnsi="Arial" w:cs="Arial"/>
          <w:sz w:val="21"/>
          <w:szCs w:val="21"/>
          <w:lang w:val="es-ES_tradnl" w:eastAsia="es-ES_tradnl"/>
        </w:rPr>
        <w:t>Para estos efectos, la persona natural, el representante legal de la persona jurídica o el revisor fiscal, según corresponda, certificará, bajo la gravedad de juramento, el número total de trabajadores vinculados a la planta de personal del proponente o sus integrantes que cumplan con lo aquí señalado a la fecha de cierre del proceso de selección.</w:t>
      </w:r>
    </w:p>
    <w:p w14:paraId="51E08770" w14:textId="77777777" w:rsidR="004A48C9" w:rsidRPr="00F23EEF" w:rsidRDefault="004A48C9" w:rsidP="00031030">
      <w:pPr>
        <w:spacing w:after="0" w:line="276" w:lineRule="auto"/>
        <w:ind w:firstLine="709"/>
        <w:jc w:val="both"/>
        <w:rPr>
          <w:rFonts w:ascii="Arial" w:eastAsia="Calibri" w:hAnsi="Arial" w:cs="Arial"/>
          <w:lang w:val="es-ES_tradnl" w:eastAsia="es-ES_tradnl"/>
        </w:rPr>
      </w:pPr>
    </w:p>
    <w:p w14:paraId="2DB8AF07" w14:textId="77777777" w:rsidR="004A48C9" w:rsidRPr="004A48C9" w:rsidRDefault="004A48C9" w:rsidP="004A48C9">
      <w:pPr>
        <w:spacing w:after="120" w:line="276" w:lineRule="auto"/>
        <w:ind w:firstLine="709"/>
        <w:jc w:val="both"/>
        <w:rPr>
          <w:rFonts w:ascii="Arial" w:eastAsia="Calibri" w:hAnsi="Arial" w:cs="Arial"/>
          <w:lang w:val="es-ES_tradnl" w:eastAsia="es-ES_tradnl"/>
        </w:rPr>
      </w:pPr>
      <w:r w:rsidRPr="004A48C9">
        <w:rPr>
          <w:rFonts w:ascii="Arial" w:eastAsia="Calibri" w:hAnsi="Arial" w:cs="Arial"/>
          <w:lang w:val="es-ES_tradnl" w:eastAsia="es-ES_tradnl"/>
        </w:rPr>
        <w:t>El anterior texto, que según se indicó fue agregado al artículo 12 de la Ley 1150 de 2007 como parágrafo 4, también se ve afectado por el efecto de la subrogación producida por el artículo 34 de la Ley 2069 de 2020, en la medida que este artículo no dispone que se mantiene vigente el parágrafo citado. En otras palabras, si el artículo 3 de la Ley 2040 de 2020 adicionó un parágrafo 4 al artículo 12 de la Ley 1150 de 2007 y, posteriormente, el artículo 34 de la Ley 2069 de 2020 modificó integralmente el referido artículo 12, sustituyéndolo por un texto nuevo, se concluye que el parágrafo 4 quedó derogado. Por lo tanto, no puede aplicarse en la actualidad y mucho menos puede entenderse como obligatorio en los procesos de selección, pues no está vigente.</w:t>
      </w:r>
    </w:p>
    <w:p w14:paraId="211F6321" w14:textId="4C100B5D" w:rsidR="004A48C9" w:rsidRPr="004A48C9" w:rsidRDefault="004A48C9" w:rsidP="004A48C9">
      <w:pPr>
        <w:spacing w:before="120" w:after="120" w:line="276" w:lineRule="auto"/>
        <w:ind w:firstLine="709"/>
        <w:jc w:val="both"/>
        <w:rPr>
          <w:rFonts w:ascii="Arial" w:eastAsia="Calibri" w:hAnsi="Arial" w:cs="Arial"/>
          <w:lang w:val="es-ES_tradnl" w:eastAsia="es-ES_tradnl"/>
        </w:rPr>
      </w:pPr>
      <w:r w:rsidRPr="004A48C9">
        <w:rPr>
          <w:rFonts w:ascii="Arial" w:eastAsia="Calibri" w:hAnsi="Arial" w:cs="Arial"/>
          <w:lang w:val="es-ES_tradnl" w:eastAsia="es-ES_tradnl"/>
        </w:rPr>
        <w:t xml:space="preserve">Luego de explicar las reglas incluidas en la nueva regulación de la promoción del desarrollo en la contratación estatal, previstas en el artículo 34 de la Ley 2069 de 2020 y después de aclarar que dicha norma modificó el artículo 12 de la Ley 1150 de 2007, conviene preguntarse qué sucede con la vigencia del artículo 2.2.1.2.4.2.2 original del Decreto 1082 de 2015 –antes de la expedición del Decreto 1860 de 2021–, que hasta la promulgación de la Ley 2069 de 2020 regulaba las convocatorias limitadas a </w:t>
      </w:r>
      <w:proofErr w:type="spellStart"/>
      <w:r w:rsidRPr="004A48C9">
        <w:rPr>
          <w:rFonts w:ascii="Arial" w:eastAsia="Calibri" w:hAnsi="Arial" w:cs="Arial"/>
          <w:lang w:val="es-ES_tradnl" w:eastAsia="es-ES_tradnl"/>
        </w:rPr>
        <w:t>Mipymes</w:t>
      </w:r>
      <w:proofErr w:type="spellEnd"/>
      <w:r w:rsidRPr="004A48C9">
        <w:rPr>
          <w:rFonts w:ascii="Arial" w:eastAsia="Calibri" w:hAnsi="Arial" w:cs="Arial"/>
          <w:lang w:val="es-ES_tradnl" w:eastAsia="es-ES_tradnl"/>
        </w:rPr>
        <w:t xml:space="preserve">. En opinión de esta Agencia, el artículo citado del Decreto </w:t>
      </w:r>
      <w:r w:rsidR="004913CB" w:rsidRPr="004A48C9">
        <w:rPr>
          <w:rFonts w:ascii="Arial" w:eastAsia="Calibri" w:hAnsi="Arial" w:cs="Arial"/>
          <w:lang w:val="es-ES_tradnl" w:eastAsia="es-ES_tradnl"/>
        </w:rPr>
        <w:t xml:space="preserve">Reglamentario </w:t>
      </w:r>
      <w:r w:rsidRPr="004A48C9">
        <w:rPr>
          <w:rFonts w:ascii="Arial" w:eastAsia="Calibri" w:hAnsi="Arial" w:cs="Arial"/>
          <w:lang w:val="es-ES_tradnl" w:eastAsia="es-ES_tradnl"/>
        </w:rPr>
        <w:t>carece de vigencia, por dos razones que se proceden a exponer. En primer lugar, porque su contenido era contrario al del artículo 34 de la Ley 2069 de 2020</w:t>
      </w:r>
      <w:r w:rsidR="004913CB">
        <w:rPr>
          <w:rFonts w:ascii="Arial" w:eastAsia="Calibri" w:hAnsi="Arial" w:cs="Arial"/>
          <w:lang w:val="es-ES_tradnl" w:eastAsia="es-ES_tradnl"/>
        </w:rPr>
        <w:t>, e</w:t>
      </w:r>
      <w:r w:rsidRPr="004A48C9">
        <w:rPr>
          <w:rFonts w:ascii="Arial" w:eastAsia="Calibri" w:hAnsi="Arial" w:cs="Arial"/>
          <w:lang w:val="es-ES_tradnl" w:eastAsia="es-ES_tradnl"/>
        </w:rPr>
        <w:t xml:space="preserve">n tal sentido, operó la pérdida de fuerza ejecutoria, de conformidad con el artículo 91, numeral 2, de la Ley 1437 de 2011, el cual establece que los actos administrativos –categoría que, como es sabido, incluye los decretos reglamentarios– dejan de ser obligatorios o decaen «Cuando desaparezcan sus fundamentos de hecho o de derecho». En segundo lugar, porque </w:t>
      </w:r>
      <w:r w:rsidRPr="004A48C9">
        <w:rPr>
          <w:rFonts w:ascii="Arial" w:eastAsia="Calibri" w:hAnsi="Arial" w:cs="Arial"/>
          <w:lang w:val="es-ES_tradnl" w:eastAsia="es-MX"/>
        </w:rPr>
        <w:t>con la expedición del Decreto 1860 de</w:t>
      </w:r>
      <w:r w:rsidR="004913CB">
        <w:rPr>
          <w:rFonts w:ascii="Arial" w:eastAsia="Calibri" w:hAnsi="Arial" w:cs="Arial"/>
          <w:lang w:val="es-ES_tradnl" w:eastAsia="es-MX"/>
        </w:rPr>
        <w:t>l</w:t>
      </w:r>
      <w:r w:rsidRPr="004A48C9">
        <w:rPr>
          <w:rFonts w:ascii="Arial" w:eastAsia="Calibri" w:hAnsi="Arial" w:cs="Arial"/>
          <w:lang w:val="es-ES_tradnl" w:eastAsia="es-MX"/>
        </w:rPr>
        <w:t xml:space="preserve"> 24 de diciembre de 2021 se modificó, entre otros aspectos, la Subsección 5 de la Sección 1 del Capítulo 2 del Título 1 de la Parte 2 del Libro 2 y los artículos 2.2.1.2.4.2.2. y 2.2.1.2.4.2.3. y siguientes del Decreto 1082 de 2015, Único Reglamentario del Sector Administrativo de Planeación Nacional. </w:t>
      </w:r>
    </w:p>
    <w:p w14:paraId="4C2ABCAF" w14:textId="1E90C328" w:rsidR="004A48C9" w:rsidRPr="004A48C9" w:rsidRDefault="004A48C9" w:rsidP="004A48C9">
      <w:pPr>
        <w:tabs>
          <w:tab w:val="left" w:pos="6551"/>
        </w:tabs>
        <w:spacing w:before="120" w:after="0" w:line="276" w:lineRule="auto"/>
        <w:ind w:firstLine="709"/>
        <w:contextualSpacing/>
        <w:jc w:val="both"/>
        <w:rPr>
          <w:rFonts w:ascii="Arial" w:eastAsia="Calibri" w:hAnsi="Arial" w:cs="Arial"/>
          <w:lang w:val="es-ES_tradnl" w:eastAsia="es-ES_tradnl"/>
        </w:rPr>
      </w:pPr>
      <w:r w:rsidRPr="004A48C9">
        <w:rPr>
          <w:rFonts w:ascii="Arial" w:eastAsia="Calibri" w:hAnsi="Arial" w:cs="Arial"/>
          <w:lang w:val="es-ES_tradnl" w:eastAsia="es-ES_tradnl"/>
        </w:rPr>
        <w:t>Al respecto, es necesario señalar que el artículo 34 fue reglamentado mediante el Decreto 1860 de 2021, cuyas disposiciones, de acuerdo con su artículo 8</w:t>
      </w:r>
      <w:r w:rsidRPr="004A48C9">
        <w:rPr>
          <w:rFonts w:ascii="Arial" w:eastAsia="Times New Roman" w:hAnsi="Arial" w:cs="Arial"/>
          <w:vertAlign w:val="superscript"/>
          <w:lang w:val="es-ES_tradnl" w:eastAsia="es-ES"/>
        </w:rPr>
        <w:footnoteReference w:id="11"/>
      </w:r>
      <w:r w:rsidRPr="004A48C9">
        <w:rPr>
          <w:rFonts w:ascii="Arial" w:eastAsia="Calibri" w:hAnsi="Arial" w:cs="Arial"/>
          <w:lang w:val="es-ES_tradnl" w:eastAsia="es-ES_tradnl"/>
        </w:rPr>
        <w:t xml:space="preserve">, solo «aplicarán a los </w:t>
      </w:r>
      <w:r w:rsidRPr="004A48C9">
        <w:rPr>
          <w:rFonts w:ascii="Arial" w:eastAsia="Calibri" w:hAnsi="Arial" w:cs="Arial"/>
          <w:lang w:val="es-ES_tradnl" w:eastAsia="es-ES_tradnl"/>
        </w:rPr>
        <w:lastRenderedPageBreak/>
        <w:t>procedimientos de selección cuya invitación, aviso de convocatoria o documento equivalente se publique a los tres (3) meses contados a partir de su expedición», es decir</w:t>
      </w:r>
      <w:r w:rsidR="004913CB">
        <w:rPr>
          <w:rFonts w:ascii="Arial" w:eastAsia="Calibri" w:hAnsi="Arial" w:cs="Arial"/>
          <w:lang w:val="es-ES_tradnl" w:eastAsia="es-ES_tradnl"/>
        </w:rPr>
        <w:t>,</w:t>
      </w:r>
      <w:r w:rsidRPr="004A48C9">
        <w:rPr>
          <w:rFonts w:ascii="Arial" w:eastAsia="Calibri" w:hAnsi="Arial" w:cs="Arial"/>
          <w:lang w:val="es-ES_tradnl" w:eastAsia="es-ES_tradnl"/>
        </w:rPr>
        <w:t xml:space="preserve"> que dicha reglamentación entró a operar a partir del 24 de marzo de 2022. </w:t>
      </w:r>
    </w:p>
    <w:p w14:paraId="1E955B4B" w14:textId="77777777" w:rsidR="004A48C9" w:rsidRPr="004A48C9" w:rsidRDefault="004A48C9" w:rsidP="004A48C9">
      <w:pPr>
        <w:tabs>
          <w:tab w:val="left" w:pos="6551"/>
        </w:tabs>
        <w:spacing w:after="0" w:line="276" w:lineRule="auto"/>
        <w:ind w:firstLine="709"/>
        <w:contextualSpacing/>
        <w:jc w:val="both"/>
        <w:rPr>
          <w:rFonts w:ascii="Arial" w:eastAsia="Calibri" w:hAnsi="Arial" w:cs="Arial"/>
          <w:sz w:val="24"/>
          <w:szCs w:val="24"/>
          <w:lang w:val="es-ES_tradnl" w:eastAsia="es-ES_tradnl"/>
        </w:rPr>
      </w:pPr>
    </w:p>
    <w:p w14:paraId="62DC1E4A" w14:textId="77777777" w:rsidR="004A48C9" w:rsidRPr="004A48C9" w:rsidRDefault="004A48C9" w:rsidP="004A48C9">
      <w:pPr>
        <w:spacing w:after="0" w:line="276" w:lineRule="auto"/>
        <w:contextualSpacing/>
        <w:jc w:val="both"/>
        <w:rPr>
          <w:rFonts w:ascii="Arial" w:eastAsia="Times New Roman" w:hAnsi="Arial" w:cs="Arial"/>
          <w:b/>
          <w:bCs/>
          <w:lang w:eastAsia="es-ES"/>
        </w:rPr>
      </w:pPr>
      <w:r w:rsidRPr="004A48C9">
        <w:rPr>
          <w:rFonts w:ascii="Arial" w:eastAsia="Times New Roman" w:hAnsi="Arial" w:cs="Arial"/>
          <w:b/>
          <w:bCs/>
          <w:lang w:eastAsia="es-ES"/>
        </w:rPr>
        <w:t>2.3. Convocatorias limitadas a Mipyme y requisitos de acreditación conforme al Decreto 1860 de 2021</w:t>
      </w:r>
    </w:p>
    <w:p w14:paraId="3182F91D" w14:textId="77777777" w:rsidR="004A48C9" w:rsidRPr="004A48C9" w:rsidRDefault="004A48C9" w:rsidP="004A48C9">
      <w:pPr>
        <w:spacing w:after="0" w:line="276" w:lineRule="auto"/>
        <w:contextualSpacing/>
        <w:jc w:val="both"/>
        <w:rPr>
          <w:rFonts w:ascii="Arial" w:eastAsia="Times New Roman" w:hAnsi="Arial" w:cs="Arial"/>
          <w:b/>
          <w:bCs/>
          <w:lang w:eastAsia="es-ES"/>
        </w:rPr>
      </w:pPr>
    </w:p>
    <w:p w14:paraId="089BAD86" w14:textId="329B9D3D" w:rsidR="004A48C9" w:rsidRPr="004A48C9" w:rsidRDefault="004A48C9" w:rsidP="004A48C9">
      <w:pPr>
        <w:spacing w:after="120" w:line="276" w:lineRule="auto"/>
        <w:jc w:val="both"/>
        <w:rPr>
          <w:rFonts w:ascii="Arial" w:eastAsia="Times New Roman" w:hAnsi="Arial" w:cs="Arial"/>
          <w:bCs/>
          <w:lang w:val="es-ES_tradnl" w:eastAsia="es-ES"/>
        </w:rPr>
      </w:pPr>
      <w:bookmarkStart w:id="3" w:name="_Hlk106012658"/>
      <w:r w:rsidRPr="004A48C9">
        <w:rPr>
          <w:rFonts w:ascii="Arial" w:eastAsia="Times New Roman" w:hAnsi="Arial" w:cs="Arial"/>
          <w:lang w:val="es-ES_tradnl" w:eastAsia="es-ES"/>
        </w:rPr>
        <w:t xml:space="preserve">Como se expuso brevemente en el numeral anterior, el 24 de diciembre de 2021 se expidió el Decreto 1860, </w:t>
      </w:r>
      <w:r w:rsidRPr="004A48C9">
        <w:rPr>
          <w:rFonts w:ascii="Arial" w:eastAsia="Times New Roman" w:hAnsi="Arial" w:cs="Arial"/>
          <w:bCs/>
          <w:lang w:val="es-ES_tradnl" w:eastAsia="es-ES"/>
        </w:rPr>
        <w:t>«</w:t>
      </w:r>
      <w:r w:rsidR="004913CB" w:rsidRPr="004A48C9">
        <w:rPr>
          <w:rFonts w:ascii="Arial" w:eastAsia="Times New Roman" w:hAnsi="Arial" w:cs="Arial"/>
          <w:bCs/>
          <w:lang w:val="es-ES_tradnl" w:eastAsia="es-ES"/>
        </w:rPr>
        <w:t xml:space="preserve">Por </w:t>
      </w:r>
      <w:r w:rsidRPr="004A48C9">
        <w:rPr>
          <w:rFonts w:ascii="Arial" w:eastAsia="Times New Roman" w:hAnsi="Arial" w:cs="Arial"/>
          <w:bCs/>
          <w:lang w:val="es-ES_tradnl" w:eastAsia="es-ES"/>
        </w:rPr>
        <w:t xml:space="preserve">el cual se modifica y adiciona el Decreto 1082 de 2015, Único Reglamentario del Sector Administrativo de Planeación Nacional, con el fin de reglamentar los artículos 30, 31, 32, 34 y 35 de la Ley 2069 de 2020, en lo relativo al sistema de compras públicas y se dictan otras disposiciones». Entre los aspectos reglamentados por el decreto indicado se encuentran las convocatorias limitadas a Mipyme. </w:t>
      </w:r>
      <w:r w:rsidR="004913CB">
        <w:rPr>
          <w:rFonts w:ascii="Arial" w:eastAsia="Times New Roman" w:hAnsi="Arial" w:cs="Arial"/>
          <w:bCs/>
          <w:lang w:val="es-ES_tradnl" w:eastAsia="es-ES"/>
        </w:rPr>
        <w:t>Al respecto</w:t>
      </w:r>
      <w:r w:rsidRPr="004A48C9">
        <w:rPr>
          <w:rFonts w:ascii="Arial" w:eastAsia="Times New Roman" w:hAnsi="Arial" w:cs="Arial"/>
          <w:bCs/>
          <w:lang w:val="es-ES_tradnl" w:eastAsia="es-ES"/>
        </w:rPr>
        <w:t xml:space="preserve">, el artículo 5 modifica </w:t>
      </w:r>
      <w:r w:rsidRPr="004A48C9">
        <w:rPr>
          <w:rFonts w:ascii="Arial" w:eastAsia="Times New Roman" w:hAnsi="Arial" w:cs="Arial"/>
          <w:bCs/>
          <w:lang w:eastAsia="es-ES"/>
        </w:rPr>
        <w:t>los artículos 2.2.1.2.4.2.2., 2.2.1.2.4.2.3. y 2.2.1.2.4.2.4. de la Subsección 2 de la Sección 4 del Capítulo 2 del Título 1 de la Parte 2 del Libro 2 del Decreto 1082 de 2015,</w:t>
      </w:r>
      <w:r w:rsidRPr="004A48C9">
        <w:rPr>
          <w:rFonts w:ascii="Arial" w:eastAsia="Times New Roman" w:hAnsi="Arial" w:cs="Arial"/>
          <w:bCs/>
          <w:lang w:val="es-ES_tradnl" w:eastAsia="es-ES"/>
        </w:rPr>
        <w:t xml:space="preserve"> por lo que reglamenta este asunto con fundamento en lo establecido en el artículo 34 de la Ley 2069 de 2020.</w:t>
      </w:r>
    </w:p>
    <w:p w14:paraId="575C94F1" w14:textId="76DB47EC" w:rsidR="004A48C9" w:rsidRPr="004A48C9" w:rsidRDefault="004A48C9" w:rsidP="004A48C9">
      <w:pPr>
        <w:spacing w:before="120" w:after="120" w:line="276" w:lineRule="auto"/>
        <w:jc w:val="both"/>
        <w:rPr>
          <w:rFonts w:ascii="Arial" w:eastAsia="Times New Roman" w:hAnsi="Arial" w:cs="Arial"/>
          <w:bCs/>
          <w:lang w:val="es-ES_tradnl" w:eastAsia="es-ES"/>
        </w:rPr>
      </w:pPr>
      <w:r w:rsidRPr="004A48C9">
        <w:rPr>
          <w:rFonts w:ascii="Arial" w:eastAsia="Times New Roman" w:hAnsi="Arial" w:cs="Arial"/>
          <w:bCs/>
          <w:lang w:val="es-ES_tradnl" w:eastAsia="es-ES"/>
        </w:rPr>
        <w:tab/>
        <w:t>Teniendo en cuenta lo anterior, la nueva Subsección 2</w:t>
      </w:r>
      <w:r w:rsidR="004913CB">
        <w:rPr>
          <w:rFonts w:ascii="Arial" w:eastAsia="Times New Roman" w:hAnsi="Arial" w:cs="Arial"/>
          <w:bCs/>
          <w:lang w:val="es-ES_tradnl" w:eastAsia="es-ES"/>
        </w:rPr>
        <w:t>,</w:t>
      </w:r>
      <w:r w:rsidRPr="004A48C9">
        <w:rPr>
          <w:rFonts w:ascii="Arial" w:eastAsia="Times New Roman" w:hAnsi="Arial" w:cs="Arial"/>
          <w:bCs/>
          <w:lang w:val="es-ES_tradnl" w:eastAsia="es-ES"/>
        </w:rPr>
        <w:t xml:space="preserve"> a </w:t>
      </w:r>
      <w:r w:rsidR="004913CB">
        <w:rPr>
          <w:rFonts w:ascii="Arial" w:eastAsia="Times New Roman" w:hAnsi="Arial" w:cs="Arial"/>
          <w:bCs/>
          <w:lang w:val="es-ES_tradnl" w:eastAsia="es-ES"/>
        </w:rPr>
        <w:t xml:space="preserve">la </w:t>
      </w:r>
      <w:r w:rsidRPr="004A48C9">
        <w:rPr>
          <w:rFonts w:ascii="Arial" w:eastAsia="Times New Roman" w:hAnsi="Arial" w:cs="Arial"/>
          <w:bCs/>
          <w:lang w:val="es-ES_tradnl" w:eastAsia="es-ES"/>
        </w:rPr>
        <w:t>que se hizo referencia</w:t>
      </w:r>
      <w:r w:rsidR="004913CB">
        <w:rPr>
          <w:rFonts w:ascii="Arial" w:eastAsia="Times New Roman" w:hAnsi="Arial" w:cs="Arial"/>
          <w:bCs/>
          <w:lang w:val="es-ES_tradnl" w:eastAsia="es-ES"/>
        </w:rPr>
        <w:t>,</w:t>
      </w:r>
      <w:r w:rsidRPr="004A48C9">
        <w:rPr>
          <w:rFonts w:ascii="Arial" w:eastAsia="Times New Roman" w:hAnsi="Arial" w:cs="Arial"/>
          <w:bCs/>
          <w:lang w:val="es-ES_tradnl" w:eastAsia="es-ES"/>
        </w:rPr>
        <w:t xml:space="preserve"> contiene los siguientes artículos: i) </w:t>
      </w:r>
      <w:r w:rsidRPr="004A48C9">
        <w:rPr>
          <w:rFonts w:ascii="Arial" w:eastAsia="Times New Roman" w:hAnsi="Arial" w:cs="Arial"/>
          <w:bCs/>
          <w:lang w:eastAsia="es-ES"/>
        </w:rPr>
        <w:t>2.2.1.2.4.2.2</w:t>
      </w:r>
      <w:r w:rsidRPr="004A48C9">
        <w:rPr>
          <w:rFonts w:ascii="Arial" w:eastAsia="Times New Roman" w:hAnsi="Arial" w:cs="Arial"/>
          <w:bCs/>
          <w:lang w:val="es-ES_tradnl" w:eastAsia="es-ES"/>
        </w:rPr>
        <w:t xml:space="preserve">. que consagra los requisitos para limitar la convocatoria de los </w:t>
      </w:r>
      <w:r w:rsidRPr="004A48C9">
        <w:rPr>
          <w:rFonts w:ascii="Arial" w:eastAsia="Times New Roman" w:hAnsi="Arial" w:cs="Arial"/>
          <w:bCs/>
          <w:lang w:eastAsia="es-ES"/>
        </w:rPr>
        <w:t>procesos de contratación con pluralidad de oferentes</w:t>
      </w:r>
      <w:r w:rsidRPr="004A48C9">
        <w:rPr>
          <w:rFonts w:ascii="Arial" w:eastAsia="Times New Roman" w:hAnsi="Arial" w:cs="Arial"/>
          <w:bCs/>
          <w:lang w:val="es-ES_tradnl" w:eastAsia="es-ES"/>
        </w:rPr>
        <w:t xml:space="preserve"> a las Mipyme colombianas con mínimo un (1) año de existencia</w:t>
      </w:r>
      <w:r w:rsidR="004913CB">
        <w:rPr>
          <w:rFonts w:ascii="Arial" w:eastAsia="Times New Roman" w:hAnsi="Arial" w:cs="Arial"/>
          <w:bCs/>
          <w:lang w:val="es-ES_tradnl" w:eastAsia="es-ES"/>
        </w:rPr>
        <w:t>;</w:t>
      </w:r>
      <w:r w:rsidRPr="004A48C9">
        <w:rPr>
          <w:rFonts w:ascii="Arial" w:eastAsia="Times New Roman" w:hAnsi="Arial" w:cs="Arial"/>
          <w:bCs/>
          <w:lang w:val="es-ES_tradnl" w:eastAsia="es-ES"/>
        </w:rPr>
        <w:t xml:space="preserve"> </w:t>
      </w:r>
      <w:proofErr w:type="spellStart"/>
      <w:r w:rsidRPr="004A48C9">
        <w:rPr>
          <w:rFonts w:ascii="Arial" w:eastAsia="Times New Roman" w:hAnsi="Arial" w:cs="Arial"/>
          <w:bCs/>
          <w:lang w:val="es-ES_tradnl" w:eastAsia="es-ES"/>
        </w:rPr>
        <w:t>ii</w:t>
      </w:r>
      <w:proofErr w:type="spellEnd"/>
      <w:r w:rsidRPr="004A48C9">
        <w:rPr>
          <w:rFonts w:ascii="Arial" w:eastAsia="Times New Roman" w:hAnsi="Arial" w:cs="Arial"/>
          <w:bCs/>
          <w:lang w:val="es-ES_tradnl" w:eastAsia="es-ES"/>
        </w:rPr>
        <w:t xml:space="preserve">) </w:t>
      </w:r>
      <w:r w:rsidRPr="004A48C9">
        <w:rPr>
          <w:rFonts w:ascii="Arial" w:eastAsia="Times New Roman" w:hAnsi="Arial" w:cs="Arial"/>
          <w:bCs/>
          <w:lang w:eastAsia="es-ES"/>
        </w:rPr>
        <w:t>2.2.1.2.4.2.3</w:t>
      </w:r>
      <w:r w:rsidRPr="004A48C9">
        <w:rPr>
          <w:rFonts w:ascii="Arial" w:eastAsia="Times New Roman" w:hAnsi="Arial" w:cs="Arial"/>
          <w:bCs/>
          <w:lang w:val="es-ES_tradnl" w:eastAsia="es-ES"/>
        </w:rPr>
        <w:t xml:space="preserve">. que desarrolla las </w:t>
      </w:r>
      <w:r w:rsidRPr="004A48C9">
        <w:rPr>
          <w:rFonts w:ascii="Arial" w:eastAsia="Times New Roman" w:hAnsi="Arial" w:cs="Arial"/>
          <w:bCs/>
          <w:lang w:eastAsia="es-ES"/>
        </w:rPr>
        <w:t>convocatorias limitadas a Mipyme colombianas que tengan domicilio en los departamentos o municipios en donde se va a ejecutar el contrato</w:t>
      </w:r>
      <w:r w:rsidRPr="004A48C9">
        <w:rPr>
          <w:rFonts w:ascii="Arial" w:eastAsia="Times New Roman" w:hAnsi="Arial" w:cs="Arial"/>
          <w:bCs/>
          <w:lang w:val="es-ES_tradnl" w:eastAsia="es-ES"/>
        </w:rPr>
        <w:t xml:space="preserve"> y</w:t>
      </w:r>
      <w:r w:rsidR="004913CB">
        <w:rPr>
          <w:rFonts w:ascii="Arial" w:eastAsia="Times New Roman" w:hAnsi="Arial" w:cs="Arial"/>
          <w:bCs/>
          <w:lang w:val="es-ES_tradnl" w:eastAsia="es-ES"/>
        </w:rPr>
        <w:t>;</w:t>
      </w:r>
      <w:r w:rsidRPr="004A48C9">
        <w:rPr>
          <w:rFonts w:ascii="Arial" w:eastAsia="Times New Roman" w:hAnsi="Arial" w:cs="Arial"/>
          <w:bCs/>
          <w:lang w:val="es-ES_tradnl" w:eastAsia="es-ES"/>
        </w:rPr>
        <w:t xml:space="preserve"> </w:t>
      </w:r>
      <w:proofErr w:type="spellStart"/>
      <w:r w:rsidRPr="004A48C9">
        <w:rPr>
          <w:rFonts w:ascii="Arial" w:eastAsia="Times New Roman" w:hAnsi="Arial" w:cs="Arial"/>
          <w:bCs/>
          <w:lang w:val="es-ES_tradnl" w:eastAsia="es-ES"/>
        </w:rPr>
        <w:t>iii</w:t>
      </w:r>
      <w:proofErr w:type="spellEnd"/>
      <w:r w:rsidRPr="004A48C9">
        <w:rPr>
          <w:rFonts w:ascii="Arial" w:eastAsia="Times New Roman" w:hAnsi="Arial" w:cs="Arial"/>
          <w:bCs/>
          <w:lang w:val="es-ES_tradnl" w:eastAsia="es-ES"/>
        </w:rPr>
        <w:t xml:space="preserve">) </w:t>
      </w:r>
      <w:r w:rsidRPr="004A48C9">
        <w:rPr>
          <w:rFonts w:ascii="Arial" w:eastAsia="Times New Roman" w:hAnsi="Arial" w:cs="Arial"/>
          <w:bCs/>
          <w:lang w:eastAsia="es-ES"/>
        </w:rPr>
        <w:t xml:space="preserve">2.2.1.2.4.2.4. que regula la </w:t>
      </w:r>
      <w:r w:rsidR="004913CB">
        <w:rPr>
          <w:rFonts w:ascii="Arial" w:eastAsia="Times New Roman" w:hAnsi="Arial" w:cs="Arial"/>
          <w:bCs/>
          <w:lang w:eastAsia="es-ES"/>
        </w:rPr>
        <w:t xml:space="preserve">forma de </w:t>
      </w:r>
      <w:r w:rsidRPr="004A48C9">
        <w:rPr>
          <w:rFonts w:ascii="Arial" w:eastAsia="Times New Roman" w:hAnsi="Arial" w:cs="Arial"/>
          <w:bCs/>
          <w:lang w:eastAsia="es-ES"/>
        </w:rPr>
        <w:t xml:space="preserve">acreditación de </w:t>
      </w:r>
      <w:r w:rsidR="004913CB">
        <w:rPr>
          <w:rFonts w:ascii="Arial" w:eastAsia="Times New Roman" w:hAnsi="Arial" w:cs="Arial"/>
          <w:bCs/>
          <w:lang w:eastAsia="es-ES"/>
        </w:rPr>
        <w:t xml:space="preserve">los </w:t>
      </w:r>
      <w:r w:rsidRPr="004A48C9">
        <w:rPr>
          <w:rFonts w:ascii="Arial" w:eastAsia="Times New Roman" w:hAnsi="Arial" w:cs="Arial"/>
          <w:bCs/>
          <w:lang w:eastAsia="es-ES"/>
        </w:rPr>
        <w:t>requisitos para participar en convocatorias limitadas.</w:t>
      </w:r>
    </w:p>
    <w:bookmarkEnd w:id="3"/>
    <w:p w14:paraId="15CAC249" w14:textId="77777777" w:rsidR="004A48C9" w:rsidRPr="004A48C9" w:rsidRDefault="004A48C9" w:rsidP="004A48C9">
      <w:pPr>
        <w:spacing w:before="120" w:after="120" w:line="276" w:lineRule="auto"/>
        <w:jc w:val="both"/>
        <w:rPr>
          <w:rFonts w:ascii="Arial" w:eastAsia="Times New Roman" w:hAnsi="Arial" w:cs="Arial"/>
          <w:bCs/>
          <w:lang w:val="es-ES_tradnl" w:eastAsia="es-ES"/>
        </w:rPr>
      </w:pPr>
      <w:r w:rsidRPr="004A48C9">
        <w:rPr>
          <w:rFonts w:ascii="Arial" w:eastAsia="Times New Roman" w:hAnsi="Arial" w:cs="Arial"/>
          <w:bCs/>
          <w:lang w:val="es-ES_tradnl" w:eastAsia="es-ES"/>
        </w:rPr>
        <w:tab/>
        <w:t>De esta manera, el artículo 5 del Decreto 1860 de 2021, que modifica los artículos del Decreto 1082 de 2015 expuestos en el párrafo anterior, constituye la reglamentación del artículo 34 de la Ley 2069 de 2020, al desarrollar las reglas aplicables a las convocatorias limitadas a Mipyme. En este sentido, las disposiciones anteriores constituyen la nueva regulación de las convocatorias limitadas a Mipyme.</w:t>
      </w:r>
    </w:p>
    <w:p w14:paraId="1E8C311B" w14:textId="083F4272" w:rsidR="004A48C9" w:rsidRPr="004A48C9" w:rsidRDefault="004A48C9" w:rsidP="004A48C9">
      <w:pPr>
        <w:spacing w:before="120" w:after="120" w:line="276" w:lineRule="auto"/>
        <w:ind w:firstLine="709"/>
        <w:jc w:val="both"/>
        <w:rPr>
          <w:rFonts w:ascii="Arial" w:eastAsia="Times New Roman" w:hAnsi="Arial" w:cs="Arial"/>
          <w:bCs/>
          <w:lang w:eastAsia="es-ES"/>
        </w:rPr>
      </w:pPr>
      <w:r w:rsidRPr="004A48C9">
        <w:rPr>
          <w:rFonts w:ascii="Arial" w:eastAsia="Calibri" w:hAnsi="Arial" w:cs="Arial"/>
          <w:lang w:val="es-ES_tradnl" w:eastAsia="es-ES_tradnl"/>
        </w:rPr>
        <w:t xml:space="preserve">Precisado lo anterior, para efectos de la consulta, conviene realizar el análisis de </w:t>
      </w:r>
      <w:r w:rsidRPr="004A48C9">
        <w:rPr>
          <w:rFonts w:ascii="Arial" w:eastAsia="Times New Roman" w:hAnsi="Arial" w:cs="Arial"/>
          <w:bCs/>
          <w:lang w:val="es-ES_tradnl" w:eastAsia="es-ES"/>
        </w:rPr>
        <w:t xml:space="preserve">los requisitos para limitar la convocatoria de los </w:t>
      </w:r>
      <w:r w:rsidRPr="004A48C9">
        <w:rPr>
          <w:rFonts w:ascii="Arial" w:eastAsia="Times New Roman" w:hAnsi="Arial" w:cs="Arial"/>
          <w:bCs/>
          <w:lang w:eastAsia="es-ES"/>
        </w:rPr>
        <w:t xml:space="preserve">procesos de contratación a </w:t>
      </w:r>
      <w:r w:rsidRPr="004A48C9">
        <w:rPr>
          <w:rFonts w:ascii="Arial" w:eastAsia="Times New Roman" w:hAnsi="Arial" w:cs="Arial"/>
          <w:bCs/>
          <w:lang w:val="es-ES_tradnl" w:eastAsia="es-ES"/>
        </w:rPr>
        <w:t xml:space="preserve">las Mipyme colombianas, así como la </w:t>
      </w:r>
      <w:r w:rsidR="004913CB">
        <w:rPr>
          <w:rFonts w:ascii="Arial" w:eastAsia="Times New Roman" w:hAnsi="Arial" w:cs="Arial"/>
          <w:bCs/>
          <w:lang w:val="es-ES_tradnl" w:eastAsia="es-ES"/>
        </w:rPr>
        <w:t xml:space="preserve">forma de </w:t>
      </w:r>
      <w:r w:rsidRPr="004A48C9">
        <w:rPr>
          <w:rFonts w:ascii="Arial" w:eastAsia="Times New Roman" w:hAnsi="Arial" w:cs="Arial"/>
          <w:bCs/>
          <w:lang w:val="es-ES_tradnl" w:eastAsia="es-ES"/>
        </w:rPr>
        <w:t xml:space="preserve">acreditación de los requisitos para participar en dichas convocatorias </w:t>
      </w:r>
      <w:r w:rsidRPr="004A48C9">
        <w:rPr>
          <w:rFonts w:ascii="Arial" w:eastAsia="Times New Roman" w:hAnsi="Arial" w:cs="Arial"/>
          <w:bCs/>
          <w:lang w:val="es-ES_tradnl" w:eastAsia="es-ES"/>
        </w:rPr>
        <w:lastRenderedPageBreak/>
        <w:t>tratándose de persona</w:t>
      </w:r>
      <w:r w:rsidR="004913CB">
        <w:rPr>
          <w:rFonts w:ascii="Arial" w:eastAsia="Times New Roman" w:hAnsi="Arial" w:cs="Arial"/>
          <w:bCs/>
          <w:lang w:val="es-ES_tradnl" w:eastAsia="es-ES"/>
        </w:rPr>
        <w:t>s</w:t>
      </w:r>
      <w:r w:rsidRPr="004A48C9">
        <w:rPr>
          <w:rFonts w:ascii="Arial" w:eastAsia="Times New Roman" w:hAnsi="Arial" w:cs="Arial"/>
          <w:bCs/>
          <w:lang w:val="es-ES_tradnl" w:eastAsia="es-ES"/>
        </w:rPr>
        <w:t xml:space="preserve"> natural</w:t>
      </w:r>
      <w:r w:rsidR="004913CB">
        <w:rPr>
          <w:rFonts w:ascii="Arial" w:eastAsia="Times New Roman" w:hAnsi="Arial" w:cs="Arial"/>
          <w:bCs/>
          <w:lang w:val="es-ES_tradnl" w:eastAsia="es-ES"/>
        </w:rPr>
        <w:t>es</w:t>
      </w:r>
      <w:r w:rsidRPr="004A48C9">
        <w:rPr>
          <w:rFonts w:ascii="Arial" w:eastAsia="Times New Roman" w:hAnsi="Arial" w:cs="Arial"/>
          <w:bCs/>
          <w:lang w:val="es-ES_tradnl" w:eastAsia="es-ES"/>
        </w:rPr>
        <w:t xml:space="preserve"> y persona</w:t>
      </w:r>
      <w:r w:rsidR="004913CB">
        <w:rPr>
          <w:rFonts w:ascii="Arial" w:eastAsia="Times New Roman" w:hAnsi="Arial" w:cs="Arial"/>
          <w:bCs/>
          <w:lang w:val="es-ES_tradnl" w:eastAsia="es-ES"/>
        </w:rPr>
        <w:t>s</w:t>
      </w:r>
      <w:r w:rsidRPr="004A48C9">
        <w:rPr>
          <w:rFonts w:ascii="Arial" w:eastAsia="Times New Roman" w:hAnsi="Arial" w:cs="Arial"/>
          <w:bCs/>
          <w:lang w:val="es-ES_tradnl" w:eastAsia="es-ES"/>
        </w:rPr>
        <w:t xml:space="preserve"> jurídica</w:t>
      </w:r>
      <w:r w:rsidR="004913CB">
        <w:rPr>
          <w:rFonts w:ascii="Arial" w:eastAsia="Times New Roman" w:hAnsi="Arial" w:cs="Arial"/>
          <w:bCs/>
          <w:lang w:val="es-ES_tradnl" w:eastAsia="es-ES"/>
        </w:rPr>
        <w:t>s,</w:t>
      </w:r>
      <w:r w:rsidRPr="004A48C9">
        <w:rPr>
          <w:rFonts w:ascii="Arial" w:eastAsia="Times New Roman" w:hAnsi="Arial" w:cs="Arial"/>
          <w:bCs/>
          <w:lang w:val="es-ES_tradnl" w:eastAsia="es-ES"/>
        </w:rPr>
        <w:t xml:space="preserve"> conforme las modificaciones introducidas por el Decreto 1860 de 2021. </w:t>
      </w:r>
    </w:p>
    <w:p w14:paraId="03449056" w14:textId="041B1023" w:rsidR="004A48C9" w:rsidRPr="004A48C9" w:rsidRDefault="004A48C9" w:rsidP="004A48C9">
      <w:pPr>
        <w:spacing w:before="120" w:after="0" w:line="276" w:lineRule="auto"/>
        <w:ind w:firstLine="709"/>
        <w:jc w:val="both"/>
        <w:rPr>
          <w:rFonts w:ascii="Arial" w:eastAsia="Arial" w:hAnsi="Arial" w:cs="Arial"/>
          <w:lang w:eastAsia="es-ES_tradnl"/>
        </w:rPr>
      </w:pPr>
      <w:r w:rsidRPr="004A48C9">
        <w:rPr>
          <w:rFonts w:ascii="Arial" w:eastAsia="Arial" w:hAnsi="Arial" w:cs="Arial"/>
          <w:lang w:eastAsia="es-ES_tradnl"/>
        </w:rPr>
        <w:t xml:space="preserve">El artículo 2.2.1.2.4.2.2. del Decreto 1082 de 2015 – modificado por el Decreto 1860 de 2021– establece los requisitos que se deben acreditar en las «convocatorias limitadas a </w:t>
      </w:r>
      <w:proofErr w:type="spellStart"/>
      <w:r w:rsidRPr="004A48C9">
        <w:rPr>
          <w:rFonts w:ascii="Arial" w:eastAsia="Arial" w:hAnsi="Arial" w:cs="Arial"/>
          <w:lang w:eastAsia="es-ES_tradnl"/>
        </w:rPr>
        <w:t>Mipymes</w:t>
      </w:r>
      <w:proofErr w:type="spellEnd"/>
      <w:r w:rsidRPr="004A48C9">
        <w:rPr>
          <w:rFonts w:ascii="Arial" w:eastAsia="Arial" w:hAnsi="Arial" w:cs="Arial"/>
          <w:lang w:eastAsia="es-ES_tradnl"/>
        </w:rPr>
        <w:t>». El inciso primero de la referida norma exige que las entidades estatales independientemente de su régimen de contratación, los patrimonios autónomos constituidos por entidades estatales y los particulares que ejecuten recursos públicos, limiten las convocatorias de los procesos de contratación a las Mipyme colombianas con mínimo un (1) año de existencia, siempre que se cumplan los requisitos señalados allí. Al respecto</w:t>
      </w:r>
      <w:r w:rsidR="004913CB">
        <w:rPr>
          <w:rFonts w:ascii="Arial" w:eastAsia="Arial" w:hAnsi="Arial" w:cs="Arial"/>
          <w:lang w:eastAsia="es-ES_tradnl"/>
        </w:rPr>
        <w:t>, el referido artículo</w:t>
      </w:r>
      <w:r w:rsidRPr="004A48C9">
        <w:rPr>
          <w:rFonts w:ascii="Arial" w:eastAsia="Arial" w:hAnsi="Arial" w:cs="Arial"/>
          <w:lang w:eastAsia="es-ES_tradnl"/>
        </w:rPr>
        <w:t xml:space="preserve"> indica lo siguiente: </w:t>
      </w:r>
    </w:p>
    <w:p w14:paraId="7861D734" w14:textId="77777777" w:rsidR="004A48C9" w:rsidRPr="00F23EEF" w:rsidRDefault="004A48C9" w:rsidP="00F23EEF">
      <w:pPr>
        <w:spacing w:after="0" w:line="276" w:lineRule="auto"/>
        <w:ind w:firstLine="709"/>
        <w:contextualSpacing/>
        <w:jc w:val="both"/>
        <w:rPr>
          <w:rFonts w:ascii="Arial" w:eastAsia="Arial" w:hAnsi="Arial" w:cs="Arial"/>
          <w:lang w:eastAsia="es-ES_tradnl"/>
        </w:rPr>
      </w:pPr>
    </w:p>
    <w:p w14:paraId="5C89ED49" w14:textId="53B7DD6F" w:rsidR="004A48C9" w:rsidRPr="004A48C9" w:rsidRDefault="004913CB" w:rsidP="004913CB">
      <w:pPr>
        <w:spacing w:after="0" w:line="240" w:lineRule="auto"/>
        <w:ind w:left="709" w:right="709"/>
        <w:contextualSpacing/>
        <w:jc w:val="both"/>
        <w:rPr>
          <w:rFonts w:ascii="Arial" w:eastAsia="Calibri" w:hAnsi="Arial" w:cs="Arial"/>
          <w:sz w:val="21"/>
          <w:szCs w:val="21"/>
          <w:lang w:val="es-ES_tradnl" w:eastAsia="es-ES_tradnl"/>
        </w:rPr>
      </w:pPr>
      <w:r w:rsidRPr="00D90A60">
        <w:rPr>
          <w:rFonts w:ascii="Arial" w:eastAsia="Arial" w:hAnsi="Arial" w:cs="Arial"/>
          <w:sz w:val="21"/>
          <w:szCs w:val="21"/>
          <w:lang w:eastAsia="es-ES_tradnl"/>
        </w:rPr>
        <w:t>«</w:t>
      </w:r>
      <w:r w:rsidR="004A48C9" w:rsidRPr="004A48C9">
        <w:rPr>
          <w:rFonts w:ascii="Arial" w:eastAsia="Calibri" w:hAnsi="Arial" w:cs="Arial"/>
          <w:sz w:val="21"/>
          <w:szCs w:val="21"/>
          <w:lang w:val="es-ES_tradnl" w:eastAsia="es-ES_tradnl"/>
        </w:rPr>
        <w:t xml:space="preserve">Artículo 2.2.1.2.4.2.2. Convocatorias Imitadas a Mipyme. Las Entidades Estatales independientemente de su régimen de contratación, los patrimonios autónomos constituidos por Entidades Estatales y los particulares que ejecuten recursos públicos, deben limitar la convocatoria de los Procesos de Contratación con pluralidad de oferentes a las Mipyme colombianas con mínimo un (1) año de existencia, cuando concurran los siguientes requisitos: </w:t>
      </w:r>
    </w:p>
    <w:p w14:paraId="326102FB" w14:textId="77777777" w:rsidR="004A48C9" w:rsidRPr="004A48C9" w:rsidRDefault="004A48C9" w:rsidP="004913CB">
      <w:pPr>
        <w:spacing w:after="0" w:line="240" w:lineRule="auto"/>
        <w:ind w:left="709" w:right="709"/>
        <w:contextualSpacing/>
        <w:jc w:val="both"/>
        <w:rPr>
          <w:rFonts w:ascii="Arial" w:eastAsia="Calibri" w:hAnsi="Arial" w:cs="Arial"/>
          <w:sz w:val="21"/>
          <w:szCs w:val="21"/>
          <w:lang w:val="es-ES_tradnl" w:eastAsia="es-ES_tradnl"/>
        </w:rPr>
      </w:pPr>
    </w:p>
    <w:p w14:paraId="4EBC1B85" w14:textId="77777777" w:rsidR="004A48C9" w:rsidRPr="004A48C9" w:rsidRDefault="004A48C9" w:rsidP="00F23EEF">
      <w:pPr>
        <w:spacing w:after="0" w:line="240" w:lineRule="auto"/>
        <w:ind w:left="709" w:right="709"/>
        <w:contextualSpacing/>
        <w:jc w:val="both"/>
        <w:rPr>
          <w:rFonts w:ascii="Arial" w:eastAsia="Calibri" w:hAnsi="Arial" w:cs="Arial"/>
          <w:sz w:val="21"/>
          <w:szCs w:val="21"/>
          <w:lang w:val="es-ES_tradnl" w:eastAsia="es-ES_tradnl"/>
        </w:rPr>
      </w:pPr>
      <w:r w:rsidRPr="004A48C9">
        <w:rPr>
          <w:rFonts w:ascii="Arial" w:eastAsia="Calibri" w:hAnsi="Arial" w:cs="Arial"/>
          <w:sz w:val="21"/>
          <w:szCs w:val="21"/>
          <w:lang w:val="es-ES_tradnl" w:eastAsia="es-ES_tradnl"/>
        </w:rPr>
        <w:t>1. El valor del Proceso de Contratación sea menor a ciento veinticinco mil dólares de los Estados Unidos de América (US$125.000), liquidados con la tasa de cambio que para el efecto determina cada dos años el Ministerio de Comercio, Industria y Turismo.</w:t>
      </w:r>
    </w:p>
    <w:p w14:paraId="60767236" w14:textId="77777777" w:rsidR="004913CB" w:rsidRDefault="004913CB" w:rsidP="004913CB">
      <w:pPr>
        <w:spacing w:after="0" w:line="240" w:lineRule="auto"/>
        <w:ind w:left="709" w:right="709"/>
        <w:contextualSpacing/>
        <w:jc w:val="both"/>
        <w:rPr>
          <w:rFonts w:ascii="Arial" w:eastAsia="Calibri" w:hAnsi="Arial" w:cs="Arial"/>
          <w:sz w:val="21"/>
          <w:szCs w:val="21"/>
          <w:lang w:val="es-ES_tradnl" w:eastAsia="es-ES_tradnl"/>
        </w:rPr>
      </w:pPr>
    </w:p>
    <w:p w14:paraId="2851C1F7" w14:textId="109FE08E" w:rsidR="004A48C9" w:rsidRDefault="004A48C9" w:rsidP="004913CB">
      <w:pPr>
        <w:spacing w:after="0" w:line="240" w:lineRule="auto"/>
        <w:ind w:left="709" w:right="709"/>
        <w:contextualSpacing/>
        <w:jc w:val="both"/>
        <w:rPr>
          <w:rFonts w:ascii="Arial" w:eastAsia="Calibri" w:hAnsi="Arial" w:cs="Arial"/>
          <w:sz w:val="21"/>
          <w:szCs w:val="21"/>
          <w:lang w:val="es-ES_tradnl" w:eastAsia="es-ES_tradnl"/>
        </w:rPr>
      </w:pPr>
      <w:r w:rsidRPr="004A48C9">
        <w:rPr>
          <w:rFonts w:ascii="Arial" w:eastAsia="Calibri" w:hAnsi="Arial" w:cs="Arial"/>
          <w:sz w:val="21"/>
          <w:szCs w:val="21"/>
          <w:lang w:val="es-ES_tradnl" w:eastAsia="es-ES_tradnl"/>
        </w:rPr>
        <w:t>2. Se hayan recibido solicitudes de por lo menos dos (2) Mipyme colombianas para limitar la convocatoria a Mipyme colombianas. Las Entidades Estatales independientemente de su régimen de contratación, los patrimonios autónomos constituidos por Entidades Estatales y los particulares que ejecuten recursos públicos, deben recibir estas solicitudes por lo menos un (1) día hábil antes de la expedición del acto administrativo de apertura, o el que haga sus veces de acuerdo con la normativa aplicable a cada Proceso de Contratación. Tratándose de personas jurídicas, las solicitudes solo las podrán realizar Mipyme, cuyo objeto social les permita ejecutar el contrato relacionado con el proceso contractual.</w:t>
      </w:r>
    </w:p>
    <w:p w14:paraId="009B0080" w14:textId="77777777" w:rsidR="004913CB" w:rsidRPr="004A48C9" w:rsidRDefault="004913CB" w:rsidP="00F23EEF">
      <w:pPr>
        <w:spacing w:after="0" w:line="240" w:lineRule="auto"/>
        <w:ind w:left="709" w:right="709"/>
        <w:contextualSpacing/>
        <w:jc w:val="both"/>
        <w:rPr>
          <w:rFonts w:ascii="Arial" w:eastAsia="Calibri" w:hAnsi="Arial" w:cs="Arial"/>
          <w:sz w:val="21"/>
          <w:szCs w:val="21"/>
          <w:lang w:val="es-ES_tradnl" w:eastAsia="es-ES_tradnl"/>
        </w:rPr>
      </w:pPr>
    </w:p>
    <w:p w14:paraId="65204BB1" w14:textId="2E98FE46" w:rsidR="004A48C9" w:rsidRPr="004A48C9" w:rsidRDefault="004A48C9" w:rsidP="00F23EEF">
      <w:pPr>
        <w:spacing w:after="0" w:line="240" w:lineRule="auto"/>
        <w:ind w:left="709" w:right="709"/>
        <w:contextualSpacing/>
        <w:jc w:val="both"/>
        <w:rPr>
          <w:rFonts w:ascii="Arial" w:eastAsia="Calibri" w:hAnsi="Arial" w:cs="Arial"/>
          <w:sz w:val="21"/>
          <w:szCs w:val="21"/>
          <w:lang w:val="es-ES_tradnl" w:eastAsia="es-ES_tradnl"/>
        </w:rPr>
      </w:pPr>
      <w:r w:rsidRPr="004A48C9">
        <w:rPr>
          <w:rFonts w:ascii="Arial" w:eastAsia="Calibri" w:hAnsi="Arial" w:cs="Arial"/>
          <w:sz w:val="21"/>
          <w:szCs w:val="21"/>
          <w:lang w:val="es-ES_tradnl" w:eastAsia="es-ES_tradnl"/>
        </w:rPr>
        <w:t>Parágrafo. Las cooperativas y demás entidades de economía solidaria, siempre que tengan la calidad de Mipyme, podrán solicitar y participar en las convocatorias limitadas en las mismas condiciones dispuestas en el presente artículo</w:t>
      </w:r>
      <w:r w:rsidR="004913CB" w:rsidRPr="00D90A60">
        <w:rPr>
          <w:rFonts w:ascii="Arial" w:eastAsia="Arial" w:hAnsi="Arial" w:cs="Arial"/>
          <w:sz w:val="21"/>
          <w:szCs w:val="21"/>
          <w:lang w:eastAsia="es-ES_tradnl"/>
        </w:rPr>
        <w:t>»</w:t>
      </w:r>
      <w:r w:rsidRPr="004A48C9">
        <w:rPr>
          <w:rFonts w:ascii="Arial" w:eastAsia="Calibri" w:hAnsi="Arial" w:cs="Arial"/>
          <w:sz w:val="21"/>
          <w:szCs w:val="21"/>
          <w:lang w:val="es-ES_tradnl" w:eastAsia="es-ES_tradnl"/>
        </w:rPr>
        <w:t>.</w:t>
      </w:r>
    </w:p>
    <w:p w14:paraId="2304BD6A" w14:textId="77777777" w:rsidR="004A48C9" w:rsidRPr="00F23EEF" w:rsidRDefault="004A48C9" w:rsidP="00F23EEF">
      <w:pPr>
        <w:spacing w:after="0" w:line="276" w:lineRule="auto"/>
        <w:ind w:firstLine="709"/>
        <w:jc w:val="both"/>
        <w:rPr>
          <w:rFonts w:ascii="Arial" w:eastAsia="Arial" w:hAnsi="Arial" w:cs="Arial"/>
          <w:lang w:eastAsia="es-ES_tradnl"/>
        </w:rPr>
      </w:pPr>
    </w:p>
    <w:p w14:paraId="07E34582" w14:textId="6D339456" w:rsidR="004A48C9" w:rsidRPr="004A48C9" w:rsidRDefault="004A48C9" w:rsidP="004A48C9">
      <w:pPr>
        <w:spacing w:after="120" w:line="276" w:lineRule="auto"/>
        <w:ind w:firstLine="709"/>
        <w:jc w:val="both"/>
        <w:rPr>
          <w:rFonts w:ascii="Arial" w:eastAsia="Arial" w:hAnsi="Arial" w:cs="Arial"/>
          <w:lang w:eastAsia="es-ES_tradnl"/>
        </w:rPr>
      </w:pPr>
      <w:bookmarkStart w:id="4" w:name="_Hlk106012727"/>
      <w:r w:rsidRPr="004A48C9">
        <w:rPr>
          <w:rFonts w:ascii="Arial" w:eastAsia="Arial" w:hAnsi="Arial" w:cs="Arial"/>
          <w:lang w:eastAsia="es-ES_tradnl"/>
        </w:rPr>
        <w:t xml:space="preserve">Según se evidencia, el numeral primero limita cuantitativamente los procesos contractuales en los que se puede hacer esa convocatoria limitada a Mipyme, en la medida en que el valor del </w:t>
      </w:r>
      <w:r w:rsidR="002974F0" w:rsidRPr="004A48C9">
        <w:rPr>
          <w:rFonts w:ascii="Arial" w:eastAsia="Arial" w:hAnsi="Arial" w:cs="Arial"/>
          <w:lang w:eastAsia="es-ES_tradnl"/>
        </w:rPr>
        <w:t xml:space="preserve">Proceso </w:t>
      </w:r>
      <w:r w:rsidRPr="004A48C9">
        <w:rPr>
          <w:rFonts w:ascii="Arial" w:eastAsia="Arial" w:hAnsi="Arial" w:cs="Arial"/>
          <w:lang w:eastAsia="es-ES_tradnl"/>
        </w:rPr>
        <w:t xml:space="preserve">de </w:t>
      </w:r>
      <w:r w:rsidR="002974F0" w:rsidRPr="004A48C9">
        <w:rPr>
          <w:rFonts w:ascii="Arial" w:eastAsia="Arial" w:hAnsi="Arial" w:cs="Arial"/>
          <w:lang w:eastAsia="es-ES_tradnl"/>
        </w:rPr>
        <w:t xml:space="preserve">Contratación </w:t>
      </w:r>
      <w:r w:rsidRPr="004A48C9">
        <w:rPr>
          <w:rFonts w:ascii="Arial" w:eastAsia="Arial" w:hAnsi="Arial" w:cs="Arial"/>
          <w:lang w:eastAsia="es-ES_tradnl"/>
        </w:rPr>
        <w:t>tendrá que ser «menor a ciento veinticinco mil dólares de los Estados Unidos de América». Esta limitante, valga la pena aclarar, es establecida de acuerdo con la tasa que, para el efecto, determine cada dos</w:t>
      </w:r>
      <w:r w:rsidR="002974F0">
        <w:rPr>
          <w:rFonts w:ascii="Arial" w:eastAsia="Arial" w:hAnsi="Arial" w:cs="Arial"/>
          <w:lang w:eastAsia="es-ES_tradnl"/>
        </w:rPr>
        <w:t xml:space="preserve"> (2)</w:t>
      </w:r>
      <w:r w:rsidRPr="004A48C9">
        <w:rPr>
          <w:rFonts w:ascii="Arial" w:eastAsia="Arial" w:hAnsi="Arial" w:cs="Arial"/>
          <w:lang w:eastAsia="es-ES_tradnl"/>
        </w:rPr>
        <w:t xml:space="preserve"> años el Ministerio de Comercio, </w:t>
      </w:r>
      <w:r w:rsidRPr="004A48C9">
        <w:rPr>
          <w:rFonts w:ascii="Arial" w:eastAsia="Arial" w:hAnsi="Arial" w:cs="Arial"/>
          <w:lang w:eastAsia="es-ES_tradnl"/>
        </w:rPr>
        <w:lastRenderedPageBreak/>
        <w:t>Industria y Turismo</w:t>
      </w:r>
      <w:r w:rsidRPr="004A48C9">
        <w:rPr>
          <w:rFonts w:ascii="Arial" w:eastAsia="Arial" w:hAnsi="Arial" w:cs="Arial"/>
          <w:vertAlign w:val="superscript"/>
          <w:lang w:eastAsia="es-ES_tradnl"/>
        </w:rPr>
        <w:footnoteReference w:id="12"/>
      </w:r>
      <w:r w:rsidRPr="004A48C9">
        <w:rPr>
          <w:rFonts w:ascii="Arial" w:eastAsia="Arial" w:hAnsi="Arial" w:cs="Arial"/>
          <w:lang w:eastAsia="es-ES_tradnl"/>
        </w:rPr>
        <w:t xml:space="preserve">. Por su parte, el numeral segundo establece dos exigencias: por un lado, que al menos dos (2) Mipyme colombianas presenten a la entidad la solicitud de limitar el proceso contractual; y, por el otro, que hagan la solicitud por lo menos un día (1) hábil antes de la expedición del acto administrativo de apertura del </w:t>
      </w:r>
      <w:r w:rsidR="002974F0">
        <w:rPr>
          <w:rFonts w:ascii="Arial" w:eastAsia="Arial" w:hAnsi="Arial" w:cs="Arial"/>
          <w:lang w:eastAsia="es-ES_tradnl"/>
        </w:rPr>
        <w:t>P</w:t>
      </w:r>
      <w:r w:rsidRPr="004A48C9">
        <w:rPr>
          <w:rFonts w:ascii="Arial" w:eastAsia="Arial" w:hAnsi="Arial" w:cs="Arial"/>
          <w:lang w:eastAsia="es-ES_tradnl"/>
        </w:rPr>
        <w:t xml:space="preserve">roceso de </w:t>
      </w:r>
      <w:r w:rsidR="002974F0">
        <w:rPr>
          <w:rFonts w:ascii="Arial" w:eastAsia="Arial" w:hAnsi="Arial" w:cs="Arial"/>
          <w:lang w:eastAsia="es-ES_tradnl"/>
        </w:rPr>
        <w:t>C</w:t>
      </w:r>
      <w:r w:rsidRPr="004A48C9">
        <w:rPr>
          <w:rFonts w:ascii="Arial" w:eastAsia="Arial" w:hAnsi="Arial" w:cs="Arial"/>
          <w:lang w:eastAsia="es-ES_tradnl"/>
        </w:rPr>
        <w:t xml:space="preserve">ontratación. Además, la norma señala que, </w:t>
      </w:r>
      <w:r w:rsidRPr="004A48C9">
        <w:rPr>
          <w:rFonts w:ascii="Arial" w:eastAsia="Arial" w:hAnsi="Arial" w:cs="Arial"/>
          <w:lang w:val="es-ES_tradnl" w:eastAsia="es-ES_tradnl"/>
        </w:rPr>
        <w:t xml:space="preserve">tratándose de personas jurídicas, las solicitudes solo las podrán realizar Mipyme, cuyo objeto social les permita ejecutar el contrato relacionado con el proceso contractual. Asimismo, este artículo incluye a las cooperativas y demás entidades de economía solidaria dentro de los sujetos que pueden solicitar y participar en las convocatorias limitadas a Mipyme, siempre que estas cumplan con las condiciones señaladas en el artículo. </w:t>
      </w:r>
    </w:p>
    <w:p w14:paraId="34EE2FF8" w14:textId="1C668AC8" w:rsidR="004A48C9" w:rsidRPr="004A48C9" w:rsidRDefault="004A48C9" w:rsidP="004A48C9">
      <w:pPr>
        <w:spacing w:before="120" w:after="120" w:line="276" w:lineRule="auto"/>
        <w:ind w:firstLine="709"/>
        <w:jc w:val="both"/>
        <w:rPr>
          <w:rFonts w:ascii="Arial" w:eastAsia="Arial" w:hAnsi="Arial" w:cs="Arial"/>
          <w:lang w:val="es-ES_tradnl" w:eastAsia="es-ES_tradnl"/>
        </w:rPr>
      </w:pPr>
      <w:bookmarkStart w:id="5" w:name="_Hlk121094595"/>
      <w:bookmarkStart w:id="6" w:name="_Hlk121094607"/>
      <w:r w:rsidRPr="004A48C9">
        <w:rPr>
          <w:rFonts w:ascii="Arial" w:eastAsia="Arial" w:hAnsi="Arial" w:cs="Arial"/>
          <w:lang w:val="es-ES_tradnl" w:eastAsia="es-ES_tradnl"/>
        </w:rPr>
        <w:t xml:space="preserve">De esta manera, en todos los </w:t>
      </w:r>
      <w:r w:rsidR="002974F0">
        <w:rPr>
          <w:rFonts w:ascii="Arial" w:eastAsia="Arial" w:hAnsi="Arial" w:cs="Arial"/>
          <w:lang w:val="es-ES_tradnl" w:eastAsia="es-ES_tradnl"/>
        </w:rPr>
        <w:t>P</w:t>
      </w:r>
      <w:r w:rsidRPr="004A48C9">
        <w:rPr>
          <w:rFonts w:ascii="Arial" w:eastAsia="Arial" w:hAnsi="Arial" w:cs="Arial"/>
          <w:lang w:val="es-ES_tradnl" w:eastAsia="es-ES_tradnl"/>
        </w:rPr>
        <w:t xml:space="preserve">rocesos de </w:t>
      </w:r>
      <w:r w:rsidR="002974F0">
        <w:rPr>
          <w:rFonts w:ascii="Arial" w:eastAsia="Arial" w:hAnsi="Arial" w:cs="Arial"/>
          <w:lang w:val="es-ES_tradnl" w:eastAsia="es-ES_tradnl"/>
        </w:rPr>
        <w:t>C</w:t>
      </w:r>
      <w:r w:rsidR="002974F0" w:rsidRPr="004A48C9">
        <w:rPr>
          <w:rFonts w:ascii="Arial" w:eastAsia="Arial" w:hAnsi="Arial" w:cs="Arial"/>
          <w:lang w:val="es-ES_tradnl" w:eastAsia="es-ES_tradnl"/>
        </w:rPr>
        <w:t>ontratación</w:t>
      </w:r>
      <w:r w:rsidRPr="004A48C9">
        <w:rPr>
          <w:rFonts w:ascii="Arial" w:eastAsia="Arial" w:hAnsi="Arial" w:cs="Arial"/>
          <w:lang w:val="es-ES_tradnl" w:eastAsia="es-ES_tradnl"/>
        </w:rPr>
        <w:t>, independientemente de la modalidad de selección, las entidades estatales, cualquiera que sea su régimen de contratación,</w:t>
      </w:r>
      <w:r w:rsidRPr="004A48C9">
        <w:rPr>
          <w:rFonts w:ascii="Arial" w:eastAsia="Arial" w:hAnsi="Arial" w:cs="Arial"/>
          <w:lang w:eastAsia="es-ES_tradnl"/>
        </w:rPr>
        <w:t xml:space="preserve"> los patrimonios autónomos constituidos por entidades estatales y los particulares que ejecuten recursos públicos, deberán limitar las convocatorias con pluralidad de oferentes a Mipyme colombianas, una vez concurran todos los </w:t>
      </w:r>
      <w:bookmarkEnd w:id="5"/>
      <w:r w:rsidRPr="004A48C9">
        <w:rPr>
          <w:rFonts w:ascii="Arial" w:eastAsia="Arial" w:hAnsi="Arial" w:cs="Arial"/>
          <w:lang w:eastAsia="es-ES_tradnl"/>
        </w:rPr>
        <w:t xml:space="preserve">requisitos señalados anteriormente y siempre que cuenten con mínimo un (1) año de existencia. </w:t>
      </w:r>
    </w:p>
    <w:bookmarkEnd w:id="4"/>
    <w:bookmarkEnd w:id="6"/>
    <w:p w14:paraId="30B30939" w14:textId="77777777" w:rsidR="004A48C9" w:rsidRPr="004A48C9" w:rsidRDefault="004A48C9" w:rsidP="002974F0">
      <w:pPr>
        <w:spacing w:before="120" w:after="0" w:line="276" w:lineRule="auto"/>
        <w:ind w:firstLine="709"/>
        <w:jc w:val="both"/>
        <w:rPr>
          <w:rFonts w:ascii="Arial" w:eastAsia="Calibri" w:hAnsi="Arial" w:cs="Arial"/>
          <w:lang w:val="es-ES_tradnl" w:eastAsia="es-ES_tradnl"/>
        </w:rPr>
      </w:pPr>
      <w:r w:rsidRPr="004A48C9">
        <w:rPr>
          <w:rFonts w:ascii="Arial" w:eastAsia="Calibri" w:hAnsi="Arial" w:cs="Arial"/>
          <w:lang w:val="es-ES_tradnl" w:eastAsia="es-ES_tradnl"/>
        </w:rPr>
        <w:t xml:space="preserve">De otro lado, en relación con la </w:t>
      </w:r>
      <w:r w:rsidRPr="004A48C9">
        <w:rPr>
          <w:rFonts w:ascii="Arial" w:eastAsia="Times New Roman" w:hAnsi="Arial" w:cs="Arial"/>
          <w:bCs/>
          <w:lang w:eastAsia="es-ES"/>
        </w:rPr>
        <w:t>acreditación de requisitos para participar en convocatorias limitadas,</w:t>
      </w:r>
      <w:r w:rsidRPr="004A48C9">
        <w:rPr>
          <w:rFonts w:ascii="Arial" w:eastAsia="Calibri" w:hAnsi="Arial" w:cs="Arial"/>
          <w:lang w:val="es-ES_tradnl" w:eastAsia="es-ES_tradnl"/>
        </w:rPr>
        <w:t xml:space="preserve"> el artículo </w:t>
      </w:r>
      <w:r w:rsidRPr="004A48C9">
        <w:rPr>
          <w:rFonts w:ascii="Arial" w:eastAsia="Times New Roman" w:hAnsi="Arial" w:cs="Arial"/>
          <w:bCs/>
          <w:lang w:eastAsia="es-ES"/>
        </w:rPr>
        <w:t xml:space="preserve">2.2.1.2.4.2.4. del Decreto 1082 de 2015 –modificado por el Decreto 1860 de 2021–, </w:t>
      </w:r>
      <w:r w:rsidRPr="004A48C9">
        <w:rPr>
          <w:rFonts w:ascii="Arial" w:eastAsia="Calibri" w:hAnsi="Arial" w:cs="Arial"/>
          <w:bCs/>
          <w:lang w:eastAsia="es-ES_tradnl"/>
        </w:rPr>
        <w:t>establece lo siguiente:</w:t>
      </w:r>
    </w:p>
    <w:p w14:paraId="5F759829" w14:textId="77777777" w:rsidR="004A48C9" w:rsidRPr="00F23EEF" w:rsidRDefault="004A48C9" w:rsidP="004A48C9">
      <w:pPr>
        <w:spacing w:after="0" w:line="240" w:lineRule="auto"/>
        <w:ind w:firstLine="709"/>
        <w:contextualSpacing/>
        <w:jc w:val="both"/>
        <w:rPr>
          <w:rFonts w:ascii="Arial" w:eastAsia="Calibri" w:hAnsi="Arial" w:cs="Arial"/>
          <w:bCs/>
          <w:lang w:eastAsia="es-ES_tradnl"/>
        </w:rPr>
      </w:pPr>
    </w:p>
    <w:p w14:paraId="3D5B4F89" w14:textId="26A02F6F" w:rsidR="004A48C9" w:rsidRDefault="002974F0" w:rsidP="002974F0">
      <w:pPr>
        <w:spacing w:after="0" w:line="240" w:lineRule="auto"/>
        <w:ind w:left="709" w:right="709"/>
        <w:jc w:val="both"/>
        <w:rPr>
          <w:rFonts w:ascii="Arial" w:eastAsia="Calibri" w:hAnsi="Arial" w:cs="Arial"/>
          <w:sz w:val="21"/>
          <w:szCs w:val="21"/>
          <w:lang w:val="es-ES_tradnl" w:eastAsia="es-ES_tradnl"/>
        </w:rPr>
      </w:pPr>
      <w:r w:rsidRPr="00D90A60">
        <w:rPr>
          <w:rFonts w:ascii="Arial" w:eastAsia="Arial" w:hAnsi="Arial" w:cs="Arial"/>
          <w:sz w:val="21"/>
          <w:szCs w:val="21"/>
          <w:lang w:eastAsia="es-ES_tradnl"/>
        </w:rPr>
        <w:t>«</w:t>
      </w:r>
      <w:r w:rsidR="004A48C9" w:rsidRPr="004A48C9">
        <w:rPr>
          <w:rFonts w:ascii="Arial" w:eastAsia="Calibri" w:hAnsi="Arial" w:cs="Arial"/>
          <w:bCs/>
          <w:sz w:val="21"/>
          <w:szCs w:val="21"/>
          <w:lang w:val="es-ES_tradnl" w:eastAsia="es-ES_tradnl"/>
        </w:rPr>
        <w:t>Artículo 2.2.1.2.4.2.4. Acreditación de requisitos para participar en convocatorias limitadas.</w:t>
      </w:r>
      <w:r w:rsidR="004A48C9" w:rsidRPr="004A48C9">
        <w:rPr>
          <w:rFonts w:ascii="Arial" w:eastAsia="Calibri" w:hAnsi="Arial" w:cs="Arial"/>
          <w:sz w:val="21"/>
          <w:szCs w:val="21"/>
          <w:lang w:val="es-ES_tradnl" w:eastAsia="es-ES_tradnl"/>
        </w:rPr>
        <w:t xml:space="preserve"> La Mipyme colombianas deben acreditar que tiene el tamaño empresarial establecido por la ley de la siguiente manera: </w:t>
      </w:r>
    </w:p>
    <w:p w14:paraId="3A06251C" w14:textId="77777777" w:rsidR="002974F0" w:rsidRPr="004A48C9" w:rsidRDefault="002974F0" w:rsidP="00F23EEF">
      <w:pPr>
        <w:spacing w:after="0" w:line="240" w:lineRule="auto"/>
        <w:ind w:left="709" w:right="709"/>
        <w:jc w:val="both"/>
        <w:rPr>
          <w:rFonts w:ascii="Arial" w:eastAsia="Calibri" w:hAnsi="Arial" w:cs="Arial"/>
          <w:sz w:val="21"/>
          <w:szCs w:val="21"/>
          <w:lang w:val="es-ES_tradnl" w:eastAsia="es-ES_tradnl"/>
        </w:rPr>
      </w:pPr>
    </w:p>
    <w:p w14:paraId="712A3C4A" w14:textId="77777777" w:rsidR="004A48C9" w:rsidRPr="004A48C9" w:rsidRDefault="004A48C9" w:rsidP="00F23EEF">
      <w:pPr>
        <w:spacing w:after="0" w:line="240" w:lineRule="auto"/>
        <w:ind w:left="709" w:right="709"/>
        <w:jc w:val="both"/>
        <w:rPr>
          <w:rFonts w:ascii="Arial" w:eastAsia="Calibri" w:hAnsi="Arial" w:cs="Arial"/>
          <w:sz w:val="21"/>
          <w:szCs w:val="21"/>
          <w:lang w:val="es-ES_tradnl" w:eastAsia="es-ES_tradnl"/>
        </w:rPr>
      </w:pPr>
      <w:r w:rsidRPr="004A48C9">
        <w:rPr>
          <w:rFonts w:ascii="Arial" w:eastAsia="Calibri" w:hAnsi="Arial" w:cs="Arial"/>
          <w:sz w:val="21"/>
          <w:szCs w:val="21"/>
          <w:lang w:val="es-ES_tradnl" w:eastAsia="es-ES_tradnl"/>
        </w:rPr>
        <w:t xml:space="preserve">1. Las personas naturales mediante certificación expedida por ellos y un contador público, adjuntando copia del registro mercantil. </w:t>
      </w:r>
    </w:p>
    <w:p w14:paraId="50C095D1" w14:textId="77777777" w:rsidR="002974F0" w:rsidRDefault="002974F0" w:rsidP="002974F0">
      <w:pPr>
        <w:spacing w:after="0" w:line="240" w:lineRule="auto"/>
        <w:ind w:left="709" w:right="709"/>
        <w:jc w:val="both"/>
        <w:rPr>
          <w:rFonts w:ascii="Arial" w:eastAsia="Calibri" w:hAnsi="Arial" w:cs="Arial"/>
          <w:sz w:val="21"/>
          <w:szCs w:val="21"/>
          <w:lang w:val="es-ES_tradnl" w:eastAsia="es-ES_tradnl"/>
        </w:rPr>
      </w:pPr>
    </w:p>
    <w:p w14:paraId="52481965" w14:textId="23034D7E" w:rsidR="004A48C9" w:rsidRPr="004A48C9" w:rsidRDefault="004A48C9" w:rsidP="00F23EEF">
      <w:pPr>
        <w:spacing w:after="0" w:line="240" w:lineRule="auto"/>
        <w:ind w:left="709" w:right="709"/>
        <w:jc w:val="both"/>
        <w:rPr>
          <w:rFonts w:ascii="Arial" w:eastAsia="Calibri" w:hAnsi="Arial" w:cs="Arial"/>
          <w:sz w:val="21"/>
          <w:szCs w:val="21"/>
          <w:lang w:val="es-ES_tradnl" w:eastAsia="es-ES_tradnl"/>
        </w:rPr>
      </w:pPr>
      <w:r w:rsidRPr="004A48C9">
        <w:rPr>
          <w:rFonts w:ascii="Arial" w:eastAsia="Calibri" w:hAnsi="Arial" w:cs="Arial"/>
          <w:sz w:val="21"/>
          <w:szCs w:val="21"/>
          <w:lang w:val="es-ES_tradnl" w:eastAsia="es-ES_tradnl"/>
        </w:rPr>
        <w:t>2. Las personas jurídicas mediante certificación expedida por el representante legal y el contador o revisor fiscal, si están obligados a tenerlo, adjuntando copia del certificado de existencia y representación legal expedido por la Cámara de Comercio o por la autoridad competente para expedir dicha certificación. Para la acreditación deberán observarse los rangos de clasificación empresarial establecidos de conformidad con la Ley 590 de 2000 y el Decreto 1074 de 2015, o las normas que lo modifiquen, sustituyan o complementen.</w:t>
      </w:r>
    </w:p>
    <w:p w14:paraId="7A291DA6" w14:textId="77777777" w:rsidR="002974F0" w:rsidRDefault="002974F0" w:rsidP="002974F0">
      <w:pPr>
        <w:tabs>
          <w:tab w:val="left" w:pos="6660"/>
        </w:tabs>
        <w:spacing w:after="0" w:line="240" w:lineRule="auto"/>
        <w:ind w:left="709" w:right="709"/>
        <w:jc w:val="both"/>
        <w:rPr>
          <w:rFonts w:ascii="Arial" w:eastAsia="Calibri" w:hAnsi="Arial" w:cs="Arial"/>
          <w:sz w:val="21"/>
          <w:szCs w:val="21"/>
          <w:lang w:val="es-ES_tradnl" w:eastAsia="es-ES_tradnl"/>
        </w:rPr>
      </w:pPr>
    </w:p>
    <w:p w14:paraId="17FDDD7F" w14:textId="073793AE" w:rsidR="004A48C9" w:rsidRPr="004A48C9" w:rsidRDefault="004A48C9" w:rsidP="00F23EEF">
      <w:pPr>
        <w:tabs>
          <w:tab w:val="left" w:pos="6660"/>
        </w:tabs>
        <w:spacing w:after="0" w:line="240" w:lineRule="auto"/>
        <w:ind w:left="709" w:right="709"/>
        <w:jc w:val="both"/>
        <w:rPr>
          <w:rFonts w:ascii="Arial" w:eastAsia="Calibri" w:hAnsi="Arial" w:cs="Arial"/>
          <w:sz w:val="21"/>
          <w:szCs w:val="21"/>
          <w:lang w:val="es-ES_tradnl" w:eastAsia="es-ES_tradnl"/>
        </w:rPr>
      </w:pPr>
      <w:r w:rsidRPr="004A48C9">
        <w:rPr>
          <w:rFonts w:ascii="Arial" w:eastAsia="Calibri" w:hAnsi="Arial" w:cs="Arial"/>
          <w:sz w:val="21"/>
          <w:szCs w:val="21"/>
          <w:lang w:val="es-ES_tradnl" w:eastAsia="es-ES_tradnl"/>
        </w:rPr>
        <w:lastRenderedPageBreak/>
        <w:t>Parágrafo 1. En todo caso, las Mipyme también podrán acreditar esta condición con la copia del certificado del Registro Único de Proponentes, el cual deberá encontrarse vigente y en firme al momento de su presentación.</w:t>
      </w:r>
    </w:p>
    <w:p w14:paraId="19030732" w14:textId="77777777" w:rsidR="002974F0" w:rsidRDefault="002974F0" w:rsidP="002974F0">
      <w:pPr>
        <w:spacing w:after="0" w:line="240" w:lineRule="auto"/>
        <w:ind w:left="709" w:right="709"/>
        <w:jc w:val="both"/>
        <w:rPr>
          <w:rFonts w:ascii="Arial" w:eastAsia="Calibri" w:hAnsi="Arial" w:cs="Arial"/>
          <w:sz w:val="21"/>
          <w:szCs w:val="21"/>
          <w:lang w:val="es-ES_tradnl" w:eastAsia="es-ES_tradnl"/>
        </w:rPr>
      </w:pPr>
    </w:p>
    <w:p w14:paraId="4FFD1750" w14:textId="580D8062" w:rsidR="004A48C9" w:rsidRPr="00F23EEF" w:rsidRDefault="004A48C9" w:rsidP="00F23EEF">
      <w:pPr>
        <w:spacing w:after="0" w:line="240" w:lineRule="auto"/>
        <w:ind w:left="709" w:right="709"/>
        <w:jc w:val="both"/>
        <w:rPr>
          <w:rFonts w:ascii="Arial" w:eastAsia="Calibri" w:hAnsi="Arial" w:cs="Arial"/>
          <w:i/>
          <w:iCs/>
          <w:sz w:val="21"/>
          <w:szCs w:val="21"/>
          <w:lang w:val="es-ES_tradnl" w:eastAsia="es-ES_tradnl"/>
        </w:rPr>
      </w:pPr>
      <w:r w:rsidRPr="004A48C9">
        <w:rPr>
          <w:rFonts w:ascii="Arial" w:eastAsia="Calibri" w:hAnsi="Arial" w:cs="Arial"/>
          <w:sz w:val="21"/>
          <w:szCs w:val="21"/>
          <w:lang w:val="es-ES_tradnl" w:eastAsia="es-ES_tradnl"/>
        </w:rPr>
        <w:t xml:space="preserve">Parágrafo 2. Para efectos de la limitación a Mipyme, los proponentes aportarán la copia del registro mercantil, del certificado de existencia y representación legal o del Registro Único de Proponentes, según corresponda conforme a las reglas precedentes, </w:t>
      </w:r>
      <w:r w:rsidRPr="00F23EEF">
        <w:rPr>
          <w:rFonts w:ascii="Arial" w:eastAsia="Calibri" w:hAnsi="Arial" w:cs="Arial"/>
          <w:i/>
          <w:iCs/>
          <w:sz w:val="21"/>
          <w:szCs w:val="21"/>
          <w:lang w:val="es-ES_tradnl" w:eastAsia="es-ES_tradnl"/>
        </w:rPr>
        <w:t xml:space="preserve">con una fecha de máximo sesenta (60) días calendario anteriores a la prevista en el cronograma del Proceso de Contratación para el inicio del plazo para solicitar la convocatoria limitada. </w:t>
      </w:r>
    </w:p>
    <w:p w14:paraId="1E93C7B4" w14:textId="77777777" w:rsidR="002974F0" w:rsidRDefault="002974F0" w:rsidP="002974F0">
      <w:pPr>
        <w:spacing w:after="0" w:line="240" w:lineRule="auto"/>
        <w:ind w:left="709" w:right="709"/>
        <w:jc w:val="both"/>
        <w:rPr>
          <w:rFonts w:ascii="Arial" w:eastAsia="Calibri" w:hAnsi="Arial" w:cs="Arial"/>
          <w:sz w:val="21"/>
          <w:szCs w:val="21"/>
          <w:lang w:val="es-ES_tradnl" w:eastAsia="es-ES_tradnl"/>
        </w:rPr>
      </w:pPr>
    </w:p>
    <w:p w14:paraId="72805580" w14:textId="122EB606" w:rsidR="004A48C9" w:rsidRDefault="004A48C9" w:rsidP="002974F0">
      <w:pPr>
        <w:spacing w:after="0" w:line="240" w:lineRule="auto"/>
        <w:ind w:left="709" w:right="709"/>
        <w:jc w:val="both"/>
        <w:rPr>
          <w:rFonts w:ascii="Arial" w:eastAsia="Calibri" w:hAnsi="Arial" w:cs="Arial"/>
          <w:sz w:val="21"/>
          <w:szCs w:val="21"/>
          <w:lang w:val="es-ES_tradnl" w:eastAsia="es-ES_tradnl"/>
        </w:rPr>
      </w:pPr>
      <w:r w:rsidRPr="004A48C9">
        <w:rPr>
          <w:rFonts w:ascii="Arial" w:eastAsia="Calibri" w:hAnsi="Arial" w:cs="Arial"/>
          <w:sz w:val="21"/>
          <w:szCs w:val="21"/>
          <w:lang w:val="es-ES_tradnl" w:eastAsia="es-ES_tradnl"/>
        </w:rPr>
        <w:t>Parágrafo 3. En las convocatorias limitadas, las Entidades Estatales independientemente de su régimen de contratación, los patrimonios autónomos constituidos por Entidades Estatales y los particulares que ejecuten recursos públicos, solo deberán aceptar las ofertas de Mipyme o de proponentes plurales integrados únicamente por Mipyme.</w:t>
      </w:r>
    </w:p>
    <w:p w14:paraId="2509B017" w14:textId="77777777" w:rsidR="002974F0" w:rsidRPr="004A48C9" w:rsidRDefault="002974F0" w:rsidP="00F23EEF">
      <w:pPr>
        <w:spacing w:after="0" w:line="240" w:lineRule="auto"/>
        <w:ind w:left="709" w:right="709"/>
        <w:jc w:val="both"/>
        <w:rPr>
          <w:rFonts w:ascii="Arial" w:eastAsia="Calibri" w:hAnsi="Arial" w:cs="Arial"/>
          <w:sz w:val="21"/>
          <w:szCs w:val="21"/>
          <w:lang w:val="es-ES_tradnl" w:eastAsia="es-ES_tradnl"/>
        </w:rPr>
      </w:pPr>
    </w:p>
    <w:p w14:paraId="4CE86172" w14:textId="16AF7921" w:rsidR="004A48C9" w:rsidRPr="004A48C9" w:rsidRDefault="004A48C9" w:rsidP="002974F0">
      <w:pPr>
        <w:spacing w:after="0" w:line="240" w:lineRule="auto"/>
        <w:ind w:left="709" w:right="709"/>
        <w:jc w:val="both"/>
        <w:rPr>
          <w:rFonts w:ascii="Arial" w:eastAsia="Calibri" w:hAnsi="Arial" w:cs="Arial"/>
          <w:sz w:val="21"/>
          <w:szCs w:val="21"/>
          <w:lang w:val="es-ES_tradnl" w:eastAsia="es-ES_tradnl"/>
        </w:rPr>
      </w:pPr>
      <w:r w:rsidRPr="004A48C9">
        <w:rPr>
          <w:rFonts w:ascii="Arial" w:eastAsia="Calibri" w:hAnsi="Arial" w:cs="Arial"/>
          <w:sz w:val="21"/>
          <w:szCs w:val="21"/>
          <w:lang w:val="es-ES_tradnl" w:eastAsia="es-ES_tradnl"/>
        </w:rPr>
        <w:t>Parágrafo 4. Los incentivos previstos en los artículos 2.2.1.2.4.2.2 y 2.2.1.2.4.2.3 de este Decreto no excluyen la aplicación de los criterios diferenciales para los emprendimientos y empresas de mujeres en el sistema de compras públicas</w:t>
      </w:r>
      <w:r w:rsidR="002974F0" w:rsidRPr="00D90A60">
        <w:rPr>
          <w:rFonts w:ascii="Arial" w:eastAsia="Arial" w:hAnsi="Arial" w:cs="Arial"/>
          <w:sz w:val="21"/>
          <w:szCs w:val="21"/>
          <w:lang w:eastAsia="es-ES_tradnl"/>
        </w:rPr>
        <w:t>»</w:t>
      </w:r>
      <w:r w:rsidRPr="004A48C9">
        <w:rPr>
          <w:rFonts w:ascii="Arial" w:eastAsia="Calibri" w:hAnsi="Arial" w:cs="Arial"/>
          <w:sz w:val="21"/>
          <w:szCs w:val="21"/>
          <w:lang w:val="es-ES_tradnl" w:eastAsia="es-ES_tradnl"/>
        </w:rPr>
        <w:t>.</w:t>
      </w:r>
      <w:r w:rsidR="002974F0">
        <w:rPr>
          <w:rFonts w:ascii="Arial" w:eastAsia="Calibri" w:hAnsi="Arial" w:cs="Arial"/>
          <w:sz w:val="21"/>
          <w:szCs w:val="21"/>
          <w:lang w:val="es-ES_tradnl" w:eastAsia="es-ES_tradnl"/>
        </w:rPr>
        <w:t xml:space="preserve"> [Énfasis fuera del texto]</w:t>
      </w:r>
    </w:p>
    <w:p w14:paraId="09EF2DAE" w14:textId="77777777" w:rsidR="004A48C9" w:rsidRPr="00F23EEF" w:rsidRDefault="004A48C9" w:rsidP="00F23EEF">
      <w:pPr>
        <w:spacing w:after="0" w:line="276" w:lineRule="auto"/>
        <w:ind w:left="709" w:right="709"/>
        <w:jc w:val="both"/>
        <w:rPr>
          <w:rFonts w:ascii="Arial" w:eastAsia="Calibri" w:hAnsi="Arial" w:cs="Arial"/>
          <w:lang w:val="es-ES_tradnl" w:eastAsia="es-ES_tradnl"/>
        </w:rPr>
      </w:pPr>
    </w:p>
    <w:p w14:paraId="37B828D4" w14:textId="7B5E957E" w:rsidR="004A48C9" w:rsidRPr="004A48C9" w:rsidRDefault="004A48C9" w:rsidP="00044D8A">
      <w:pPr>
        <w:spacing w:after="0" w:line="276" w:lineRule="auto"/>
        <w:ind w:firstLine="709"/>
        <w:jc w:val="both"/>
        <w:rPr>
          <w:rFonts w:ascii="Arial" w:eastAsia="Calibri" w:hAnsi="Arial" w:cs="Arial"/>
          <w:bCs/>
          <w:lang w:eastAsia="es-ES_tradnl"/>
        </w:rPr>
      </w:pPr>
      <w:r w:rsidRPr="004A48C9">
        <w:rPr>
          <w:rFonts w:ascii="Arial" w:eastAsia="Calibri" w:hAnsi="Arial" w:cs="Arial"/>
          <w:bCs/>
          <w:lang w:eastAsia="es-ES_tradnl"/>
        </w:rPr>
        <w:t xml:space="preserve">Para analizar el alcance de esta norma, resulta de especial relevancia determinar la definición y clasificación de las Mipyme conforme al marco jurídico que lo regula. Así, </w:t>
      </w:r>
      <w:r w:rsidRPr="004A48C9">
        <w:rPr>
          <w:rFonts w:ascii="Arial" w:eastAsia="Calibri" w:hAnsi="Arial" w:cs="Arial"/>
          <w:bCs/>
          <w:lang w:val="es-ES_tradnl" w:eastAsia="es-ES_tradnl"/>
        </w:rPr>
        <w:t xml:space="preserve">de conformidad con </w:t>
      </w:r>
      <w:r w:rsidRPr="004A48C9">
        <w:rPr>
          <w:rFonts w:ascii="Arial" w:eastAsia="Calibri" w:hAnsi="Arial" w:cs="Arial"/>
          <w:bCs/>
          <w:lang w:eastAsia="es-ES_tradnl"/>
        </w:rPr>
        <w:t xml:space="preserve">el artículo 2 de La Ley 905 de 2004, modificado por el artículo 43 de la Ley 1450 de 2011, se entiende por empresa «toda unidad de explotación económica, realizada por persona natural o jurídica en actividades agropecuarias, industriales, comerciales o de servicios, en el área rural o urbana». Para la clasificación por tamaño empresarial, como micro, pequeña, mediana y gran empresa, la norma dispone que se podrá utilizar uno de los siguientes criterios: «1. Número de trabajadores totales. 2. Valor de ventas brutas anuales. 3. Valor activos totales». Asimismo, </w:t>
      </w:r>
      <w:r w:rsidR="002974F0">
        <w:rPr>
          <w:rFonts w:ascii="Arial" w:eastAsia="Calibri" w:hAnsi="Arial" w:cs="Arial"/>
          <w:bCs/>
          <w:lang w:eastAsia="es-ES_tradnl"/>
        </w:rPr>
        <w:t xml:space="preserve">la referida disposición </w:t>
      </w:r>
      <w:r w:rsidRPr="004A48C9">
        <w:rPr>
          <w:rFonts w:ascii="Arial" w:eastAsia="Calibri" w:hAnsi="Arial" w:cs="Arial"/>
          <w:bCs/>
          <w:lang w:eastAsia="es-ES_tradnl"/>
        </w:rPr>
        <w:t xml:space="preserve">estableció que el </w:t>
      </w:r>
      <w:r w:rsidR="002974F0" w:rsidRPr="004A48C9">
        <w:rPr>
          <w:rFonts w:ascii="Arial" w:eastAsia="Calibri" w:hAnsi="Arial" w:cs="Arial"/>
          <w:bCs/>
          <w:lang w:eastAsia="es-ES_tradnl"/>
        </w:rPr>
        <w:t xml:space="preserve">Gobierno Nacional </w:t>
      </w:r>
      <w:r w:rsidRPr="004A48C9">
        <w:rPr>
          <w:rFonts w:ascii="Arial" w:eastAsia="Calibri" w:hAnsi="Arial" w:cs="Arial"/>
          <w:bCs/>
          <w:lang w:eastAsia="es-ES_tradnl"/>
        </w:rPr>
        <w:t>reglamentará los rangos que aplicará para los tres</w:t>
      </w:r>
      <w:r w:rsidR="002974F0">
        <w:rPr>
          <w:rFonts w:ascii="Arial" w:eastAsia="Calibri" w:hAnsi="Arial" w:cs="Arial"/>
          <w:bCs/>
          <w:lang w:eastAsia="es-ES_tradnl"/>
        </w:rPr>
        <w:t xml:space="preserve"> (3)</w:t>
      </w:r>
      <w:r w:rsidRPr="004A48C9">
        <w:rPr>
          <w:rFonts w:ascii="Arial" w:eastAsia="Calibri" w:hAnsi="Arial" w:cs="Arial"/>
          <w:bCs/>
          <w:lang w:eastAsia="es-ES_tradnl"/>
        </w:rPr>
        <w:t xml:space="preserve"> criterios e incluirá especificidades sectoriales en los casos que lo considere necesario</w:t>
      </w:r>
      <w:r w:rsidRPr="004A48C9">
        <w:rPr>
          <w:rFonts w:ascii="Arial" w:eastAsia="Calibri" w:hAnsi="Arial" w:cs="Arial"/>
          <w:bCs/>
          <w:vertAlign w:val="superscript"/>
          <w:lang w:eastAsia="es-ES_tradnl"/>
        </w:rPr>
        <w:footnoteReference w:id="13"/>
      </w:r>
      <w:r w:rsidRPr="004A48C9">
        <w:rPr>
          <w:rFonts w:ascii="Arial" w:eastAsia="Calibri" w:hAnsi="Arial" w:cs="Arial"/>
          <w:bCs/>
          <w:lang w:eastAsia="es-ES_tradnl"/>
        </w:rPr>
        <w:t>.</w:t>
      </w:r>
    </w:p>
    <w:p w14:paraId="2F0324D5" w14:textId="77777777" w:rsidR="004A48C9" w:rsidRPr="004A48C9" w:rsidRDefault="004A48C9" w:rsidP="004A48C9">
      <w:pPr>
        <w:spacing w:before="120" w:after="120" w:line="276" w:lineRule="auto"/>
        <w:ind w:firstLine="709"/>
        <w:jc w:val="both"/>
        <w:rPr>
          <w:rFonts w:ascii="Arial" w:eastAsia="Calibri" w:hAnsi="Arial" w:cs="Arial"/>
          <w:bCs/>
          <w:lang w:eastAsia="es-ES_tradnl"/>
        </w:rPr>
      </w:pPr>
      <w:r w:rsidRPr="004A48C9">
        <w:rPr>
          <w:rFonts w:ascii="Arial" w:eastAsia="Calibri" w:hAnsi="Arial" w:cs="Arial"/>
          <w:bCs/>
          <w:lang w:eastAsia="es-ES_tradnl"/>
        </w:rPr>
        <w:lastRenderedPageBreak/>
        <w:t xml:space="preserve">Para tales efectos, el </w:t>
      </w:r>
      <w:r w:rsidRPr="004A48C9">
        <w:rPr>
          <w:rFonts w:ascii="Arial" w:eastAsia="Arial" w:hAnsi="Arial" w:cs="Arial"/>
          <w:lang w:eastAsia="es-ES_tradnl"/>
        </w:rPr>
        <w:t>Decreto 957 de 2019, que adicionó al Decreto 1074 de 2015, reglamentó la clasificación de las micro, pequeñas, medianas y grandes empresas, teniendo en cuenta para ello como criterio exclusivo el de ventas brutas, asimilado al de ingresos por actividades ordinarias anuales</w:t>
      </w:r>
      <w:r w:rsidRPr="004A48C9">
        <w:rPr>
          <w:rFonts w:ascii="Arial" w:eastAsia="Arial" w:hAnsi="Arial" w:cs="Arial"/>
          <w:vertAlign w:val="superscript"/>
          <w:lang w:eastAsia="es-ES_tradnl"/>
        </w:rPr>
        <w:footnoteReference w:id="14"/>
      </w:r>
      <w:r w:rsidRPr="004A48C9">
        <w:rPr>
          <w:rFonts w:ascii="Arial" w:eastAsia="Arial" w:hAnsi="Arial" w:cs="Arial"/>
          <w:lang w:eastAsia="es-ES_tradnl"/>
        </w:rPr>
        <w:t>. En tal sentido, el artículo 2.2.1.13.2.2 de este decreto definió rangos para determinar el valor de los ingresos por actividades ordinarias anuales de acuerdo con el sector económico que se trate</w:t>
      </w:r>
      <w:r w:rsidRPr="004A48C9">
        <w:rPr>
          <w:rFonts w:ascii="Arial" w:eastAsia="Arial" w:hAnsi="Arial" w:cs="Arial"/>
          <w:vertAlign w:val="superscript"/>
          <w:lang w:eastAsia="es-ES_tradnl"/>
        </w:rPr>
        <w:footnoteReference w:id="15"/>
      </w:r>
      <w:r w:rsidRPr="004A48C9">
        <w:rPr>
          <w:rFonts w:ascii="Arial" w:eastAsia="Arial" w:hAnsi="Arial" w:cs="Arial"/>
          <w:lang w:eastAsia="es-ES_tradnl"/>
        </w:rPr>
        <w:t xml:space="preserve">. Para la aplicación de los incentivos en el sistema de </w:t>
      </w:r>
      <w:r w:rsidRPr="004A48C9">
        <w:rPr>
          <w:rFonts w:ascii="Arial" w:eastAsia="Arial" w:hAnsi="Arial" w:cs="Arial"/>
          <w:lang w:eastAsia="es-ES_tradnl"/>
        </w:rPr>
        <w:lastRenderedPageBreak/>
        <w:t xml:space="preserve">compras públicas, el parágrafo del artículo </w:t>
      </w:r>
      <w:bookmarkStart w:id="10" w:name="2.2.1.13.2.4"/>
      <w:r w:rsidRPr="004A48C9">
        <w:rPr>
          <w:rFonts w:ascii="Arial" w:eastAsia="Arial" w:hAnsi="Arial" w:cs="Arial"/>
          <w:lang w:eastAsia="es-ES_tradnl"/>
        </w:rPr>
        <w:t>2.2.1.13.2.4.</w:t>
      </w:r>
      <w:bookmarkEnd w:id="10"/>
      <w:r w:rsidRPr="004A48C9">
        <w:rPr>
          <w:rFonts w:ascii="Arial" w:eastAsia="Arial" w:hAnsi="Arial" w:cs="Arial"/>
          <w:lang w:eastAsia="es-ES_tradnl"/>
        </w:rPr>
        <w:t xml:space="preserve"> </w:t>
      </w:r>
      <w:r w:rsidRPr="004A48C9">
        <w:rPr>
          <w:rFonts w:ascii="Arial" w:eastAsia="Arial" w:hAnsi="Arial" w:cs="Arial"/>
          <w:i/>
          <w:iCs/>
          <w:lang w:eastAsia="es-ES_tradnl"/>
        </w:rPr>
        <w:t xml:space="preserve">ibidem </w:t>
      </w:r>
      <w:r w:rsidRPr="004A48C9">
        <w:rPr>
          <w:rFonts w:ascii="Arial" w:eastAsia="Arial" w:hAnsi="Arial" w:cs="Arial"/>
          <w:lang w:eastAsia="es-ES_tradnl"/>
        </w:rPr>
        <w:t>dispuso que la acreditación del tamaño empresarial se efectuará de acuerdo con lo previsto en el artículo </w:t>
      </w:r>
      <w:hyperlink r:id="rId12" w:anchor="2.2.1.2.4.2.4" w:history="1">
        <w:r w:rsidRPr="004A48C9">
          <w:rPr>
            <w:rFonts w:ascii="Arial" w:eastAsia="Arial" w:hAnsi="Arial" w:cs="Arial"/>
            <w:lang w:eastAsia="es-ES_tradnl"/>
          </w:rPr>
          <w:t>2.2.1.2.4.2.4</w:t>
        </w:r>
      </w:hyperlink>
      <w:r w:rsidRPr="004A48C9">
        <w:rPr>
          <w:rFonts w:ascii="Arial" w:eastAsia="Arial" w:hAnsi="Arial" w:cs="Arial"/>
          <w:lang w:eastAsia="es-ES_tradnl"/>
        </w:rPr>
        <w:t> del Decreto 1082 de 2015 y demás normas que lo aclaren, modifiquen o adicionen.</w:t>
      </w:r>
    </w:p>
    <w:p w14:paraId="26A8D4B9" w14:textId="77777777" w:rsidR="004A48C9" w:rsidRPr="004A48C9" w:rsidRDefault="004A48C9" w:rsidP="004A48C9">
      <w:pPr>
        <w:spacing w:before="120" w:after="120" w:line="276" w:lineRule="auto"/>
        <w:ind w:firstLine="709"/>
        <w:jc w:val="both"/>
        <w:rPr>
          <w:rFonts w:ascii="Arial" w:eastAsia="Calibri" w:hAnsi="Arial" w:cs="Arial"/>
          <w:bCs/>
          <w:lang w:eastAsia="es-ES_tradnl"/>
        </w:rPr>
      </w:pPr>
      <w:r w:rsidRPr="004A48C9">
        <w:rPr>
          <w:rFonts w:ascii="Arial" w:eastAsia="Calibri" w:hAnsi="Arial" w:cs="Arial"/>
          <w:bCs/>
          <w:lang w:eastAsia="es-ES_tradnl"/>
        </w:rPr>
        <w:t xml:space="preserve">De esta manera, las empresas, sea persona natural o persona jurídica, deberán acreditar el tamaño empresarial como micro, pequeña y mediana empresa, de acuerdo con el valor de los ingresos por actividades ordinarias, teniendo en cuenta el sector económico que se trate y de acuerdo con los rangos definidos en el Decreto 1074 de 2015. </w:t>
      </w:r>
    </w:p>
    <w:p w14:paraId="35F592C7" w14:textId="77777777" w:rsidR="004A48C9" w:rsidRPr="004A48C9" w:rsidRDefault="004A48C9" w:rsidP="004A48C9">
      <w:pPr>
        <w:spacing w:before="120" w:after="120" w:line="276" w:lineRule="auto"/>
        <w:ind w:firstLine="709"/>
        <w:jc w:val="both"/>
        <w:rPr>
          <w:rFonts w:ascii="Arial" w:eastAsia="Calibri" w:hAnsi="Arial" w:cs="Arial"/>
          <w:bCs/>
          <w:lang w:val="es-ES_tradnl" w:eastAsia="es-ES_tradnl"/>
        </w:rPr>
      </w:pPr>
      <w:r w:rsidRPr="004A48C9">
        <w:rPr>
          <w:rFonts w:ascii="Arial" w:eastAsia="Calibri" w:hAnsi="Arial" w:cs="Arial"/>
          <w:bCs/>
          <w:lang w:eastAsia="es-ES_tradnl"/>
        </w:rPr>
        <w:t xml:space="preserve">Ahora bien, como se indicó en líneas anteriores, </w:t>
      </w:r>
      <w:bookmarkStart w:id="11" w:name="_Hlk106012873"/>
      <w:r w:rsidRPr="004A48C9">
        <w:rPr>
          <w:rFonts w:ascii="Arial" w:eastAsia="Calibri" w:hAnsi="Arial" w:cs="Arial"/>
          <w:bCs/>
          <w:lang w:eastAsia="es-ES_tradnl"/>
        </w:rPr>
        <w:t xml:space="preserve">para efectos de las convocatorias limitadas a Mipyme colombianas del sistema de compras públicas, el </w:t>
      </w:r>
      <w:r w:rsidRPr="004A48C9">
        <w:rPr>
          <w:rFonts w:ascii="Arial" w:eastAsia="Calibri" w:hAnsi="Arial" w:cs="Arial"/>
          <w:bCs/>
          <w:lang w:val="es-ES_tradnl" w:eastAsia="es-ES_tradnl"/>
        </w:rPr>
        <w:t xml:space="preserve">artículo 2.2.1.2.4.2.4 del Decreto 1082 de 2015 –modificado por el Decreto 1860 de 2021– determina la forma en la que se debe acreditar el tamaño empresarial, tratándose de persona natural y persona jurídica. Es importante precisar que esta acreditación se debe realizar tanto para solicitar la limitación de la convocatoria como para participar en el proceso de selección una vez esta se haya limitado a Mipyme. </w:t>
      </w:r>
    </w:p>
    <w:bookmarkEnd w:id="11"/>
    <w:p w14:paraId="64726D87" w14:textId="244829EF" w:rsidR="004A48C9" w:rsidRDefault="004A48C9" w:rsidP="003C6D19">
      <w:pPr>
        <w:spacing w:before="120" w:after="120" w:line="276" w:lineRule="auto"/>
        <w:ind w:firstLine="709"/>
        <w:jc w:val="both"/>
        <w:rPr>
          <w:rFonts w:ascii="Arial" w:eastAsia="Calibri" w:hAnsi="Arial" w:cs="Arial"/>
          <w:bCs/>
          <w:lang w:val="es-ES_tradnl" w:eastAsia="es-ES_tradnl"/>
        </w:rPr>
      </w:pPr>
      <w:r w:rsidRPr="004A48C9">
        <w:rPr>
          <w:rFonts w:ascii="Arial" w:eastAsia="Calibri" w:hAnsi="Arial" w:cs="Arial"/>
          <w:bCs/>
          <w:lang w:eastAsia="es-ES_tradnl"/>
        </w:rPr>
        <w:t xml:space="preserve">En relación con </w:t>
      </w:r>
      <w:r w:rsidR="003C6D19">
        <w:rPr>
          <w:rFonts w:ascii="Arial" w:eastAsia="Calibri" w:hAnsi="Arial" w:cs="Arial"/>
          <w:lang w:val="es-ES_tradnl" w:eastAsia="es-ES_tradnl"/>
        </w:rPr>
        <w:t xml:space="preserve">la </w:t>
      </w:r>
      <w:bookmarkStart w:id="12" w:name="_Hlk106012950"/>
      <w:r w:rsidRPr="004A48C9">
        <w:rPr>
          <w:rFonts w:ascii="Arial" w:eastAsia="Calibri" w:hAnsi="Arial" w:cs="Arial"/>
          <w:lang w:val="es-ES_tradnl" w:eastAsia="es-ES_tradnl"/>
        </w:rPr>
        <w:t xml:space="preserve">persona natural, la disposición antes señalada exige que se acredite el tamaño empresarial mediante certificación expedida por ellos y un contador público, adjuntando copia del registro mercantil. </w:t>
      </w:r>
      <w:r w:rsidRPr="004A48C9">
        <w:rPr>
          <w:rFonts w:ascii="Arial" w:eastAsia="Calibri" w:hAnsi="Arial" w:cs="Arial"/>
          <w:bCs/>
          <w:lang w:val="es-ES_tradnl" w:eastAsia="es-ES_tradnl"/>
        </w:rPr>
        <w:t xml:space="preserve">En este caso, la intervención del contador es necesaria con el fin de que actúe en calidad de fedatario. </w:t>
      </w:r>
    </w:p>
    <w:p w14:paraId="49C94B29" w14:textId="05C30E65" w:rsidR="003C6D19" w:rsidRPr="004A48C9" w:rsidRDefault="003C6D19" w:rsidP="003C6D19">
      <w:pPr>
        <w:spacing w:before="120" w:after="120" w:line="276" w:lineRule="auto"/>
        <w:ind w:firstLine="709"/>
        <w:jc w:val="both"/>
        <w:rPr>
          <w:rFonts w:ascii="Arial" w:eastAsia="Calibri" w:hAnsi="Arial" w:cs="Arial"/>
          <w:lang w:val="es-ES_tradnl" w:eastAsia="es-ES_tradnl"/>
        </w:rPr>
      </w:pPr>
      <w:r>
        <w:rPr>
          <w:rFonts w:ascii="Arial" w:eastAsia="Calibri" w:hAnsi="Arial" w:cs="Arial"/>
          <w:bCs/>
          <w:lang w:eastAsia="es-ES_tradnl"/>
        </w:rPr>
        <w:t xml:space="preserve">Por su parte, </w:t>
      </w:r>
      <w:r w:rsidR="006359ED">
        <w:rPr>
          <w:rFonts w:ascii="Arial" w:eastAsia="Calibri" w:hAnsi="Arial" w:cs="Arial"/>
          <w:bCs/>
          <w:lang w:eastAsia="es-ES_tradnl"/>
        </w:rPr>
        <w:t xml:space="preserve">si la Mipyme es </w:t>
      </w:r>
      <w:r w:rsidRPr="004A48C9">
        <w:rPr>
          <w:rFonts w:ascii="Arial" w:eastAsia="Calibri" w:hAnsi="Arial" w:cs="Arial"/>
          <w:bCs/>
          <w:lang w:eastAsia="es-ES_tradnl"/>
        </w:rPr>
        <w:t xml:space="preserve">persona jurídica, la norma requiere </w:t>
      </w:r>
      <w:r w:rsidR="006359ED">
        <w:rPr>
          <w:rFonts w:ascii="Arial" w:eastAsia="Calibri" w:hAnsi="Arial" w:cs="Arial"/>
          <w:bCs/>
          <w:lang w:eastAsia="es-ES_tradnl"/>
        </w:rPr>
        <w:t xml:space="preserve">que </w:t>
      </w:r>
      <w:r w:rsidRPr="004A48C9">
        <w:rPr>
          <w:rFonts w:ascii="Arial" w:eastAsia="Calibri" w:hAnsi="Arial" w:cs="Arial"/>
          <w:lang w:val="es-ES_tradnl" w:eastAsia="es-ES_tradnl"/>
        </w:rPr>
        <w:t xml:space="preserve">acredite el tamaño empresarial mediante certificación expedida por el representante legal y el contador o revisor fiscal, si está obligada a tenerlo, adjuntando copia del certificado de existencia y representación legal expedido por la Cámara de Comercio o por la autoridad competente para expedir dicha certificación. </w:t>
      </w:r>
    </w:p>
    <w:bookmarkEnd w:id="12"/>
    <w:p w14:paraId="4C34C4C6" w14:textId="24E6E297" w:rsidR="004A48C9" w:rsidRDefault="00E428DD" w:rsidP="00044D8A">
      <w:pPr>
        <w:spacing w:before="120" w:after="120" w:line="276" w:lineRule="auto"/>
        <w:ind w:firstLine="709"/>
        <w:jc w:val="both"/>
        <w:rPr>
          <w:rFonts w:ascii="Arial" w:eastAsia="Calibri" w:hAnsi="Arial" w:cs="Arial"/>
          <w:bCs/>
          <w:lang w:val="es-ES_tradnl" w:eastAsia="es-ES_tradnl"/>
        </w:rPr>
      </w:pPr>
      <w:r>
        <w:rPr>
          <w:rFonts w:ascii="Arial" w:eastAsia="Calibri" w:hAnsi="Arial" w:cs="Arial"/>
          <w:bCs/>
          <w:lang w:val="es-ES_tradnl" w:eastAsia="es-ES_tradnl"/>
        </w:rPr>
        <w:t>Sin perjuicio de las posibilidades an</w:t>
      </w:r>
      <w:r w:rsidR="005D18E3">
        <w:rPr>
          <w:rFonts w:ascii="Arial" w:eastAsia="Calibri" w:hAnsi="Arial" w:cs="Arial"/>
          <w:bCs/>
          <w:lang w:val="es-ES_tradnl" w:eastAsia="es-ES_tradnl"/>
        </w:rPr>
        <w:t xml:space="preserve">teriores, </w:t>
      </w:r>
      <w:bookmarkStart w:id="13" w:name="_Hlk106013058"/>
      <w:r w:rsidR="004A48C9" w:rsidRPr="004A48C9">
        <w:rPr>
          <w:rFonts w:ascii="Arial" w:eastAsia="Calibri" w:hAnsi="Arial" w:cs="Arial"/>
          <w:bCs/>
          <w:lang w:val="es-ES_tradnl" w:eastAsia="es-ES_tradnl"/>
        </w:rPr>
        <w:t xml:space="preserve">es preciso señalar que el parágrafo </w:t>
      </w:r>
      <w:r w:rsidR="004967C7">
        <w:rPr>
          <w:rFonts w:ascii="Arial" w:eastAsia="Calibri" w:hAnsi="Arial" w:cs="Arial"/>
          <w:bCs/>
          <w:lang w:val="es-ES_tradnl" w:eastAsia="es-ES_tradnl"/>
        </w:rPr>
        <w:t>primero</w:t>
      </w:r>
      <w:r w:rsidR="00982B0D">
        <w:rPr>
          <w:rFonts w:ascii="Arial" w:eastAsia="Calibri" w:hAnsi="Arial" w:cs="Arial"/>
          <w:bCs/>
          <w:lang w:val="es-ES_tradnl" w:eastAsia="es-ES_tradnl"/>
        </w:rPr>
        <w:t xml:space="preserve"> </w:t>
      </w:r>
      <w:r w:rsidR="004A48C9" w:rsidRPr="004A48C9">
        <w:rPr>
          <w:rFonts w:ascii="Arial" w:eastAsia="Calibri" w:hAnsi="Arial" w:cs="Arial"/>
          <w:bCs/>
          <w:lang w:val="es-ES_tradnl" w:eastAsia="es-ES_tradnl"/>
        </w:rPr>
        <w:t xml:space="preserve">del </w:t>
      </w:r>
      <w:r w:rsidR="00982B0D">
        <w:rPr>
          <w:rFonts w:ascii="Arial" w:eastAsia="Calibri" w:hAnsi="Arial" w:cs="Arial"/>
          <w:bCs/>
          <w:lang w:val="es-ES_tradnl"/>
        </w:rPr>
        <w:t xml:space="preserve">artículo </w:t>
      </w:r>
      <w:r w:rsidR="00982B0D" w:rsidRPr="00FA2EC7">
        <w:rPr>
          <w:rFonts w:ascii="Arial" w:eastAsia="Calibri" w:hAnsi="Arial" w:cs="Arial"/>
          <w:bCs/>
          <w:lang w:val="es-ES_tradnl"/>
        </w:rPr>
        <w:t>2.2.1.2.4.2.4.</w:t>
      </w:r>
      <w:r w:rsidR="00982B0D">
        <w:rPr>
          <w:rFonts w:ascii="Arial" w:eastAsia="Calibri" w:hAnsi="Arial" w:cs="Arial"/>
          <w:bCs/>
          <w:lang w:val="es-ES_tradnl"/>
        </w:rPr>
        <w:t xml:space="preserve"> </w:t>
      </w:r>
      <w:r w:rsidR="004A48C9" w:rsidRPr="004A48C9">
        <w:rPr>
          <w:rFonts w:ascii="Arial" w:eastAsia="Calibri" w:hAnsi="Arial" w:cs="Arial"/>
          <w:bCs/>
          <w:lang w:val="es-ES_tradnl" w:eastAsia="es-ES_tradnl"/>
        </w:rPr>
        <w:t>permite acreditar la condición de Mipyme con la copia del certificado del Registro Único de Proponentes –</w:t>
      </w:r>
      <w:r w:rsidR="002974F0">
        <w:rPr>
          <w:rFonts w:ascii="Arial" w:eastAsia="Calibri" w:hAnsi="Arial" w:cs="Arial"/>
          <w:bCs/>
          <w:lang w:val="es-ES_tradnl" w:eastAsia="es-ES_tradnl"/>
        </w:rPr>
        <w:t xml:space="preserve">en adelante </w:t>
      </w:r>
      <w:r w:rsidR="004A48C9" w:rsidRPr="004A48C9">
        <w:rPr>
          <w:rFonts w:ascii="Arial" w:eastAsia="Calibri" w:hAnsi="Arial" w:cs="Arial"/>
          <w:bCs/>
          <w:lang w:val="es-ES_tradnl" w:eastAsia="es-ES_tradnl"/>
        </w:rPr>
        <w:t xml:space="preserve">RUP–. De esta manera, la Mipyme, sea persona </w:t>
      </w:r>
      <w:r w:rsidR="004A48C9" w:rsidRPr="004A48C9">
        <w:rPr>
          <w:rFonts w:ascii="Arial" w:eastAsia="Calibri" w:hAnsi="Arial" w:cs="Arial"/>
          <w:bCs/>
          <w:lang w:val="es-ES_tradnl" w:eastAsia="es-ES_tradnl"/>
        </w:rPr>
        <w:lastRenderedPageBreak/>
        <w:t xml:space="preserve">natural o persona jurídica, podrá acreditar la actividad y el tamaño empresarial exigido por la ley, presentando el RUP, documento que en este caso es de carácter opcional, es decir, es un medio de prueba alternativo establecido por el mismo reglamento. En consecuencia, en caso de que la Mipyme cuente con este documento podrá aportarlo de acuerdo con lo dispuesto en el artículo </w:t>
      </w:r>
      <w:r w:rsidR="004A48C9" w:rsidRPr="004A48C9">
        <w:rPr>
          <w:rFonts w:ascii="Arial" w:eastAsia="Calibri" w:hAnsi="Arial" w:cs="Arial"/>
          <w:bCs/>
          <w:lang w:eastAsia="es-ES_tradnl"/>
        </w:rPr>
        <w:t xml:space="preserve">2.2.1.2.4.2.4. del Decreto 1082 de 2015 –modificado por el Decreto 1860 de 2021–, </w:t>
      </w:r>
      <w:r w:rsidR="004A48C9" w:rsidRPr="004A48C9">
        <w:rPr>
          <w:rFonts w:ascii="Arial" w:eastAsia="Calibri" w:hAnsi="Arial" w:cs="Arial"/>
          <w:bCs/>
          <w:lang w:val="es-ES_tradnl" w:eastAsia="es-ES_tradnl"/>
        </w:rPr>
        <w:t xml:space="preserve">de lo contrario deberá allegar la documentación respectiva conforme lo disponen los numerales 1º y 2º de la norma en cita, según sea el caso. </w:t>
      </w:r>
    </w:p>
    <w:p w14:paraId="00F183B1" w14:textId="488F7CB8" w:rsidR="00D2476A" w:rsidRPr="00DE1872" w:rsidRDefault="00A579D5" w:rsidP="003777BC">
      <w:pPr>
        <w:spacing w:before="120" w:after="120" w:line="276" w:lineRule="auto"/>
        <w:ind w:firstLine="709"/>
        <w:jc w:val="both"/>
        <w:rPr>
          <w:rFonts w:ascii="Arial" w:eastAsia="Arial" w:hAnsi="Arial" w:cs="Arial"/>
        </w:rPr>
      </w:pPr>
      <w:bookmarkStart w:id="14" w:name="_Hlk121095042"/>
      <w:r w:rsidRPr="00820576">
        <w:rPr>
          <w:rFonts w:ascii="Arial" w:eastAsia="Arial" w:hAnsi="Arial" w:cs="Arial"/>
        </w:rPr>
        <w:t xml:space="preserve">De esta manera, las propias normas reglamentarias establecen, con detalle, cuáles son los documentos que permiten demostrar que las empresas que solicitan la limitación del proceso de </w:t>
      </w:r>
      <w:r w:rsidRPr="00DE1872">
        <w:rPr>
          <w:rFonts w:ascii="Arial" w:eastAsia="Arial" w:hAnsi="Arial" w:cs="Arial"/>
        </w:rPr>
        <w:t xml:space="preserve">selección cumplen las condiciones exigidas en el reglamento para acceder a ese beneficio. </w:t>
      </w:r>
      <w:r w:rsidR="002974F0" w:rsidRPr="00DE1872">
        <w:rPr>
          <w:rFonts w:ascii="Arial" w:eastAsia="Arial" w:hAnsi="Arial" w:cs="Arial"/>
        </w:rPr>
        <w:t>En consecuencia, a</w:t>
      </w:r>
      <w:r w:rsidRPr="00DE1872">
        <w:rPr>
          <w:rFonts w:ascii="Arial" w:eastAsia="Arial" w:hAnsi="Arial" w:cs="Arial"/>
        </w:rPr>
        <w:t xml:space="preserve">ntes de limitar el proceso, las entidades deberán validar que se hayan cumplido todos los requisitos referidos </w:t>
      </w:r>
      <w:r w:rsidR="007A628A" w:rsidRPr="00DE1872">
        <w:rPr>
          <w:rFonts w:ascii="Arial" w:eastAsia="Arial" w:hAnsi="Arial" w:cs="Arial"/>
        </w:rPr>
        <w:t xml:space="preserve">para </w:t>
      </w:r>
      <w:r w:rsidRPr="00DE1872">
        <w:rPr>
          <w:rFonts w:ascii="Arial" w:eastAsia="Arial" w:hAnsi="Arial" w:cs="Arial"/>
        </w:rPr>
        <w:t>comprobar la condición de Mipyme</w:t>
      </w:r>
      <w:r w:rsidR="007A628A" w:rsidRPr="00DE1872">
        <w:rPr>
          <w:rFonts w:ascii="Arial" w:eastAsia="Arial" w:hAnsi="Arial" w:cs="Arial"/>
        </w:rPr>
        <w:t xml:space="preserve">. </w:t>
      </w:r>
    </w:p>
    <w:p w14:paraId="7076ED56" w14:textId="3BA941BC" w:rsidR="00C2143C" w:rsidRPr="00DE1872" w:rsidRDefault="00D2476A" w:rsidP="00044D8A">
      <w:pPr>
        <w:spacing w:before="120" w:after="120" w:line="276" w:lineRule="auto"/>
        <w:ind w:firstLine="709"/>
        <w:jc w:val="both"/>
        <w:rPr>
          <w:rFonts w:ascii="Arial" w:hAnsi="Arial" w:cs="Arial"/>
          <w:bCs/>
          <w:color w:val="000000"/>
          <w:lang w:val="es-ES_tradnl"/>
        </w:rPr>
      </w:pPr>
      <w:bookmarkStart w:id="15" w:name="_Hlk121095934"/>
      <w:r w:rsidRPr="00DE1872">
        <w:rPr>
          <w:rFonts w:ascii="Arial" w:eastAsia="Arial" w:hAnsi="Arial" w:cs="Arial"/>
        </w:rPr>
        <w:t xml:space="preserve">En este sentido, </w:t>
      </w:r>
      <w:r w:rsidR="00C2143C" w:rsidRPr="00DE1872">
        <w:rPr>
          <w:rFonts w:ascii="Arial" w:eastAsia="Calibri" w:hAnsi="Arial" w:cs="Arial"/>
          <w:bCs/>
          <w:color w:val="000000"/>
          <w:lang w:val="es-ES_tradnl"/>
        </w:rPr>
        <w:t>l</w:t>
      </w:r>
      <w:r w:rsidR="00C2143C" w:rsidRPr="00DE1872">
        <w:rPr>
          <w:rFonts w:ascii="Arial" w:eastAsia="Calibri" w:hAnsi="Arial" w:cs="Arial"/>
          <w:lang w:val="es-ES_tradnl"/>
        </w:rPr>
        <w:t xml:space="preserve">os documentos a los que se refieren los distintos numerales del artículo </w:t>
      </w:r>
      <w:r w:rsidR="007A628A" w:rsidRPr="00DE1872">
        <w:rPr>
          <w:rFonts w:ascii="Arial" w:eastAsia="Calibri" w:hAnsi="Arial" w:cs="Arial"/>
          <w:bCs/>
          <w:lang w:eastAsia="es-ES_tradnl"/>
        </w:rPr>
        <w:t xml:space="preserve">2.2.1.2.4.2.4. del Decreto 1082 de 2015 –modificado por el Decreto 1860 de 2021–, </w:t>
      </w:r>
      <w:r w:rsidR="00C2143C" w:rsidRPr="00DE1872">
        <w:rPr>
          <w:rFonts w:ascii="Arial" w:eastAsia="Calibri" w:hAnsi="Arial" w:cs="Arial"/>
          <w:lang w:val="es-ES_tradnl"/>
        </w:rPr>
        <w:t>constituyen una tarifa legal probatoria</w:t>
      </w:r>
      <w:r w:rsidR="00292098" w:rsidRPr="00DE1872">
        <w:rPr>
          <w:rFonts w:ascii="Arial" w:eastAsia="Calibri" w:hAnsi="Arial" w:cs="Arial"/>
          <w:lang w:val="es-ES_tradnl"/>
        </w:rPr>
        <w:t xml:space="preserve">, </w:t>
      </w:r>
      <w:r w:rsidR="00C2143C" w:rsidRPr="00DE1872">
        <w:rPr>
          <w:rFonts w:ascii="Arial" w:eastAsia="Calibri" w:hAnsi="Arial" w:cs="Arial"/>
          <w:bCs/>
          <w:color w:val="000000"/>
          <w:lang w:val="es-ES_tradnl"/>
        </w:rPr>
        <w:t xml:space="preserve">por lo que </w:t>
      </w:r>
      <w:r w:rsidR="00C2143C" w:rsidRPr="00DE1872">
        <w:rPr>
          <w:rFonts w:ascii="Arial" w:hAnsi="Arial" w:cs="Arial"/>
          <w:bCs/>
          <w:color w:val="000000"/>
          <w:lang w:val="es-ES_tradnl"/>
        </w:rPr>
        <w:t>las entidades estatales deben presumir la buena fe, como lo ordena el artículo 83 de la Constitución Política</w:t>
      </w:r>
      <w:r w:rsidR="00C2143C" w:rsidRPr="00DE1872">
        <w:rPr>
          <w:rFonts w:ascii="Arial" w:eastAsia="Calibri" w:hAnsi="Arial" w:cs="Arial"/>
          <w:bCs/>
          <w:color w:val="000000"/>
          <w:lang w:val="es-ES_tradnl"/>
        </w:rPr>
        <w:t xml:space="preserve">. Ahora bien, de conformidad con </w:t>
      </w:r>
      <w:r w:rsidR="00C2143C" w:rsidRPr="00DE1872">
        <w:rPr>
          <w:rFonts w:ascii="Arial" w:hAnsi="Arial" w:cs="Arial"/>
          <w:bCs/>
          <w:color w:val="000000"/>
          <w:lang w:val="es-ES_tradnl"/>
        </w:rPr>
        <w:t>los numerales 1</w:t>
      </w:r>
      <w:r w:rsidR="004967C7" w:rsidRPr="00DE1872">
        <w:rPr>
          <w:rFonts w:ascii="Arial" w:hAnsi="Arial" w:cs="Arial"/>
          <w:bCs/>
          <w:color w:val="000000"/>
          <w:lang w:val="es-ES_tradnl"/>
        </w:rPr>
        <w:t>°</w:t>
      </w:r>
      <w:r w:rsidR="00C2143C" w:rsidRPr="00DE1872">
        <w:rPr>
          <w:rFonts w:ascii="Arial" w:hAnsi="Arial" w:cs="Arial"/>
          <w:bCs/>
          <w:color w:val="000000"/>
          <w:lang w:val="es-ES_tradnl"/>
        </w:rPr>
        <w:t xml:space="preserve"> y 2</w:t>
      </w:r>
      <w:r w:rsidR="004967C7" w:rsidRPr="00DE1872">
        <w:rPr>
          <w:rFonts w:ascii="Arial" w:hAnsi="Arial" w:cs="Arial"/>
          <w:bCs/>
          <w:color w:val="000000"/>
          <w:lang w:val="es-ES_tradnl"/>
        </w:rPr>
        <w:t>°</w:t>
      </w:r>
      <w:r w:rsidR="00C2143C" w:rsidRPr="00DE1872">
        <w:rPr>
          <w:rFonts w:ascii="Arial" w:hAnsi="Arial" w:cs="Arial"/>
          <w:bCs/>
          <w:color w:val="000000"/>
          <w:lang w:val="es-ES_tradnl"/>
        </w:rPr>
        <w:t xml:space="preserve"> del artículo 25 de la Ley 80 de 1993 </w:t>
      </w:r>
      <w:r w:rsidR="00C2143C" w:rsidRPr="00DE1872">
        <w:rPr>
          <w:rFonts w:ascii="Arial" w:eastAsia="Calibri" w:hAnsi="Arial" w:cs="Arial"/>
          <w:bCs/>
          <w:color w:val="000000"/>
          <w:lang w:val="es-ES_tradnl"/>
        </w:rPr>
        <w:t xml:space="preserve">se </w:t>
      </w:r>
      <w:r w:rsidR="00C2143C" w:rsidRPr="00DE1872">
        <w:rPr>
          <w:rFonts w:ascii="Arial" w:hAnsi="Arial" w:cs="Arial"/>
          <w:bCs/>
          <w:color w:val="000000"/>
          <w:lang w:val="es-ES_tradnl"/>
        </w:rPr>
        <w:t>prohíbe implementar trámites o requisitos que las normas no incluyen, como garantía del principio de economía</w:t>
      </w:r>
      <w:r w:rsidR="00C2143C" w:rsidRPr="00DE1872">
        <w:rPr>
          <w:rFonts w:ascii="Arial" w:eastAsia="Calibri" w:hAnsi="Arial" w:cs="Arial"/>
          <w:bCs/>
          <w:color w:val="000000"/>
          <w:lang w:val="es-ES_tradnl"/>
        </w:rPr>
        <w:t>, de esta forma,</w:t>
      </w:r>
      <w:r w:rsidR="00C2143C" w:rsidRPr="00DE1872">
        <w:rPr>
          <w:rFonts w:ascii="Arial" w:hAnsi="Arial" w:cs="Arial"/>
          <w:bCs/>
          <w:color w:val="000000"/>
          <w:lang w:val="es-ES_tradnl"/>
        </w:rPr>
        <w:t xml:space="preserve"> las entidades deben abstenerse de solicitar documentos adicionales a los señalados en el artículo</w:t>
      </w:r>
      <w:r w:rsidR="00B25007" w:rsidRPr="00DE1872">
        <w:rPr>
          <w:rFonts w:ascii="Arial" w:hAnsi="Arial" w:cs="Arial"/>
          <w:bCs/>
          <w:color w:val="000000"/>
          <w:lang w:val="es-ES_tradnl"/>
        </w:rPr>
        <w:t xml:space="preserve"> referido</w:t>
      </w:r>
      <w:r w:rsidR="00C2143C" w:rsidRPr="00DE1872">
        <w:rPr>
          <w:rFonts w:ascii="Arial" w:hAnsi="Arial" w:cs="Arial"/>
          <w:bCs/>
          <w:color w:val="000000"/>
          <w:lang w:val="es-ES_tradnl"/>
        </w:rPr>
        <w:t xml:space="preserve">. </w:t>
      </w:r>
      <w:r w:rsidR="004967C7" w:rsidRPr="00DE1872">
        <w:rPr>
          <w:rFonts w:ascii="Arial" w:hAnsi="Arial" w:cs="Arial"/>
          <w:bCs/>
          <w:color w:val="000000"/>
          <w:lang w:val="es-ES_tradnl"/>
        </w:rPr>
        <w:t xml:space="preserve">Atendiendo a la pregunta planteada en relación a si la manifestación de limitación a Mipyme debe ir acompañada de los antecedentes de la Junta Central de Contadores, la cédula de ciudadanía y la tarjeta profesional del contador o revisor fiscal, esta Agencia considera que las entidades no los deben exigir para efectos de limitar la convocatoria a Mipyme o para participar en ella una vez limitada, en la medida que como se expuso, la norma no consagra la obligación de allegar dichos documentos con la certificación mediante la cual se acredita el tamaño empresarial, exigir la presentación de documentos que no están dispuestos en el </w:t>
      </w:r>
      <w:r w:rsidR="004967C7" w:rsidRPr="00DE1872">
        <w:rPr>
          <w:rFonts w:ascii="Arial" w:eastAsia="Calibri" w:hAnsi="Arial" w:cs="Arial"/>
          <w:lang w:val="es-ES_tradnl"/>
        </w:rPr>
        <w:t xml:space="preserve">artículo </w:t>
      </w:r>
      <w:r w:rsidR="004967C7" w:rsidRPr="00DE1872">
        <w:rPr>
          <w:rFonts w:ascii="Arial" w:eastAsia="Calibri" w:hAnsi="Arial" w:cs="Arial"/>
          <w:bCs/>
          <w:lang w:eastAsia="es-ES_tradnl"/>
        </w:rPr>
        <w:t>2.2.1.2.4.2.4. del Decreto 1082 de 2015 contrariaría lo señalado en el artículo 25 de la Ley 80 de 1993</w:t>
      </w:r>
      <w:r w:rsidR="004967C7" w:rsidRPr="00DE1872">
        <w:rPr>
          <w:rFonts w:ascii="Arial" w:hAnsi="Arial" w:cs="Arial"/>
          <w:bCs/>
          <w:color w:val="000000"/>
          <w:lang w:val="es-ES_tradnl"/>
        </w:rPr>
        <w:t xml:space="preserve">. </w:t>
      </w:r>
    </w:p>
    <w:bookmarkEnd w:id="14"/>
    <w:bookmarkEnd w:id="15"/>
    <w:p w14:paraId="476A9981" w14:textId="6221599E" w:rsidR="00D92C82" w:rsidRPr="00DE1872" w:rsidRDefault="004967C7" w:rsidP="003777BC">
      <w:pPr>
        <w:spacing w:before="120" w:after="120" w:line="276" w:lineRule="auto"/>
        <w:ind w:firstLine="709"/>
        <w:jc w:val="both"/>
        <w:rPr>
          <w:rFonts w:ascii="Arial" w:eastAsia="Calibri" w:hAnsi="Arial" w:cs="Arial"/>
          <w:lang w:val="es-ES_tradnl"/>
        </w:rPr>
      </w:pPr>
      <w:r w:rsidRPr="00DE1872">
        <w:rPr>
          <w:rFonts w:ascii="Arial" w:eastAsia="Calibri" w:hAnsi="Arial" w:cs="Arial"/>
          <w:lang w:val="es-ES_tradnl"/>
        </w:rPr>
        <w:t>Por otro lado</w:t>
      </w:r>
      <w:r w:rsidR="001678CF" w:rsidRPr="00DE1872">
        <w:rPr>
          <w:rFonts w:ascii="Arial" w:eastAsia="Calibri" w:hAnsi="Arial" w:cs="Arial"/>
          <w:lang w:val="es-ES_tradnl"/>
        </w:rPr>
        <w:t xml:space="preserve">, en la consulta formulada se incluye </w:t>
      </w:r>
      <w:r w:rsidR="005F7223" w:rsidRPr="00DE1872">
        <w:rPr>
          <w:rFonts w:ascii="Arial" w:eastAsia="Calibri" w:hAnsi="Arial" w:cs="Arial"/>
          <w:lang w:val="es-ES_tradnl"/>
        </w:rPr>
        <w:t>un</w:t>
      </w:r>
      <w:r w:rsidR="001678CF" w:rsidRPr="00DE1872">
        <w:rPr>
          <w:rFonts w:ascii="Arial" w:eastAsia="Calibri" w:hAnsi="Arial" w:cs="Arial"/>
          <w:lang w:val="es-ES_tradnl"/>
        </w:rPr>
        <w:t xml:space="preserve"> interrogante </w:t>
      </w:r>
      <w:r w:rsidR="005F7223" w:rsidRPr="00DE1872">
        <w:rPr>
          <w:rFonts w:ascii="Arial" w:eastAsia="Calibri" w:hAnsi="Arial" w:cs="Arial"/>
          <w:lang w:val="es-ES_tradnl"/>
        </w:rPr>
        <w:t>que</w:t>
      </w:r>
      <w:r w:rsidR="001678CF" w:rsidRPr="00DE1872">
        <w:rPr>
          <w:rFonts w:ascii="Arial" w:eastAsia="Calibri" w:hAnsi="Arial" w:cs="Arial"/>
          <w:lang w:val="es-ES_tradnl"/>
        </w:rPr>
        <w:t xml:space="preserve"> plantea </w:t>
      </w:r>
      <w:r w:rsidR="005F7223" w:rsidRPr="00DE1872">
        <w:rPr>
          <w:rFonts w:ascii="Arial" w:eastAsia="Calibri" w:hAnsi="Arial" w:cs="Arial"/>
          <w:lang w:val="es-ES_tradnl"/>
        </w:rPr>
        <w:t xml:space="preserve">una situación </w:t>
      </w:r>
      <w:r w:rsidR="001678CF" w:rsidRPr="00DE1872">
        <w:rPr>
          <w:rFonts w:ascii="Arial" w:eastAsia="Calibri" w:hAnsi="Arial" w:cs="Arial"/>
          <w:lang w:val="es-ES_tradnl"/>
        </w:rPr>
        <w:t>que podría presentarse con ocasión</w:t>
      </w:r>
      <w:r w:rsidR="00EC52DE" w:rsidRPr="00DE1872">
        <w:rPr>
          <w:rFonts w:ascii="Arial" w:eastAsia="Calibri" w:hAnsi="Arial" w:cs="Arial"/>
          <w:lang w:val="es-ES_tradnl"/>
        </w:rPr>
        <w:t xml:space="preserve"> </w:t>
      </w:r>
      <w:r w:rsidR="0018674C" w:rsidRPr="00DE1872">
        <w:rPr>
          <w:rFonts w:ascii="Arial" w:eastAsia="Calibri" w:hAnsi="Arial" w:cs="Arial"/>
          <w:lang w:val="es-ES_tradnl"/>
        </w:rPr>
        <w:t xml:space="preserve">de la </w:t>
      </w:r>
      <w:r w:rsidRPr="00DE1872">
        <w:rPr>
          <w:rFonts w:ascii="Arial" w:eastAsia="Calibri" w:hAnsi="Arial" w:cs="Arial"/>
          <w:lang w:val="es-ES_tradnl"/>
        </w:rPr>
        <w:t>a</w:t>
      </w:r>
      <w:r w:rsidR="0018674C" w:rsidRPr="00DE1872">
        <w:rPr>
          <w:rFonts w:ascii="Arial" w:eastAsia="Calibri" w:hAnsi="Arial" w:cs="Arial"/>
          <w:lang w:val="es-ES_tradnl"/>
        </w:rPr>
        <w:t>creditación de requisitos para participar en convocatorias limitadas</w:t>
      </w:r>
      <w:r w:rsidR="001678CF" w:rsidRPr="00DE1872">
        <w:rPr>
          <w:rFonts w:ascii="Arial" w:eastAsia="Calibri" w:hAnsi="Arial" w:cs="Arial"/>
          <w:lang w:val="es-ES_tradnl"/>
        </w:rPr>
        <w:t xml:space="preserve">. </w:t>
      </w:r>
      <w:r w:rsidR="00CA0BF9" w:rsidRPr="00DE1872">
        <w:rPr>
          <w:rFonts w:ascii="Arial" w:eastAsia="Calibri" w:hAnsi="Arial" w:cs="Arial"/>
          <w:lang w:val="es-ES_tradnl"/>
        </w:rPr>
        <w:t xml:space="preserve">Esta inquietud </w:t>
      </w:r>
      <w:r w:rsidR="001678CF" w:rsidRPr="00DE1872">
        <w:rPr>
          <w:rFonts w:ascii="Arial" w:eastAsia="Calibri" w:hAnsi="Arial" w:cs="Arial"/>
          <w:lang w:val="es-ES_tradnl"/>
        </w:rPr>
        <w:t xml:space="preserve">alude a la posibilidad de que </w:t>
      </w:r>
      <w:r w:rsidR="00D92C82" w:rsidRPr="00DE1872">
        <w:rPr>
          <w:rFonts w:ascii="Arial" w:eastAsia="Calibri" w:hAnsi="Arial" w:cs="Arial"/>
          <w:lang w:val="es-ES_tradnl"/>
        </w:rPr>
        <w:t>la persona jurídica</w:t>
      </w:r>
      <w:r w:rsidR="00243095" w:rsidRPr="00DE1872">
        <w:rPr>
          <w:rFonts w:ascii="Arial" w:eastAsia="Calibri" w:hAnsi="Arial" w:cs="Arial"/>
          <w:lang w:val="es-ES_tradnl"/>
        </w:rPr>
        <w:t xml:space="preserve"> – Mipyme− para </w:t>
      </w:r>
      <w:r w:rsidR="00D92C82" w:rsidRPr="00DE1872">
        <w:rPr>
          <w:rFonts w:ascii="Arial" w:eastAsia="Calibri" w:hAnsi="Arial" w:cs="Arial"/>
          <w:lang w:val="es-ES_tradnl"/>
        </w:rPr>
        <w:t>acredit</w:t>
      </w:r>
      <w:r w:rsidR="00243095" w:rsidRPr="00DE1872">
        <w:rPr>
          <w:rFonts w:ascii="Arial" w:eastAsia="Calibri" w:hAnsi="Arial" w:cs="Arial"/>
          <w:lang w:val="es-ES_tradnl"/>
        </w:rPr>
        <w:t>ar</w:t>
      </w:r>
      <w:r w:rsidR="00D92C82" w:rsidRPr="00DE1872">
        <w:rPr>
          <w:rFonts w:ascii="Arial" w:eastAsia="Calibri" w:hAnsi="Arial" w:cs="Arial"/>
          <w:lang w:val="es-ES_tradnl"/>
        </w:rPr>
        <w:t xml:space="preserve"> el tamaño empresarial</w:t>
      </w:r>
      <w:r w:rsidR="00EA2B00" w:rsidRPr="00DE1872">
        <w:rPr>
          <w:rFonts w:ascii="Arial" w:eastAsia="Calibri" w:hAnsi="Arial" w:cs="Arial"/>
          <w:lang w:val="es-ES_tradnl"/>
        </w:rPr>
        <w:t>,</w:t>
      </w:r>
      <w:r w:rsidR="00D92C82" w:rsidRPr="00DE1872">
        <w:rPr>
          <w:rFonts w:ascii="Arial" w:eastAsia="Calibri" w:hAnsi="Arial" w:cs="Arial"/>
          <w:lang w:val="es-ES_tradnl"/>
        </w:rPr>
        <w:t xml:space="preserve"> </w:t>
      </w:r>
      <w:r w:rsidR="00EA2B00" w:rsidRPr="00DE1872">
        <w:rPr>
          <w:rFonts w:ascii="Arial" w:eastAsia="Calibri" w:hAnsi="Arial" w:cs="Arial"/>
          <w:lang w:val="es-ES_tradnl"/>
        </w:rPr>
        <w:t xml:space="preserve">aporte </w:t>
      </w:r>
      <w:r w:rsidR="00D92C82" w:rsidRPr="00DE1872">
        <w:rPr>
          <w:rFonts w:ascii="Arial" w:eastAsia="Calibri" w:hAnsi="Arial" w:cs="Arial"/>
          <w:lang w:val="es-ES_tradnl"/>
        </w:rPr>
        <w:t>certificación expedida por el representante legal y el contador o revisor fiscal</w:t>
      </w:r>
      <w:r w:rsidR="009021C7" w:rsidRPr="00DE1872">
        <w:rPr>
          <w:rFonts w:ascii="Arial" w:eastAsia="Calibri" w:hAnsi="Arial" w:cs="Arial"/>
          <w:lang w:val="es-ES_tradnl"/>
        </w:rPr>
        <w:t xml:space="preserve"> −</w:t>
      </w:r>
      <w:r w:rsidR="00D92C82" w:rsidRPr="00DE1872">
        <w:rPr>
          <w:rFonts w:ascii="Arial" w:eastAsia="Calibri" w:hAnsi="Arial" w:cs="Arial"/>
          <w:lang w:val="es-ES_tradnl"/>
        </w:rPr>
        <w:t>si está obligada a tenerlo</w:t>
      </w:r>
      <w:r w:rsidR="009021C7" w:rsidRPr="00DE1872">
        <w:rPr>
          <w:rFonts w:ascii="Arial" w:eastAsia="Calibri" w:hAnsi="Arial" w:cs="Arial"/>
          <w:lang w:val="es-ES_tradnl"/>
        </w:rPr>
        <w:t>−</w:t>
      </w:r>
      <w:r w:rsidR="00D92C82" w:rsidRPr="00DE1872">
        <w:rPr>
          <w:rFonts w:ascii="Arial" w:eastAsia="Calibri" w:hAnsi="Arial" w:cs="Arial"/>
          <w:lang w:val="es-ES_tradnl"/>
        </w:rPr>
        <w:t xml:space="preserve">, </w:t>
      </w:r>
      <w:r w:rsidR="006E2EF1" w:rsidRPr="00DE1872">
        <w:rPr>
          <w:rFonts w:ascii="Arial" w:eastAsia="Calibri" w:hAnsi="Arial" w:cs="Arial"/>
          <w:lang w:val="es-ES_tradnl"/>
        </w:rPr>
        <w:t xml:space="preserve">suscrito </w:t>
      </w:r>
      <w:r w:rsidR="00AA75E7" w:rsidRPr="00DE1872">
        <w:rPr>
          <w:rFonts w:ascii="Arial" w:eastAsia="Calibri" w:hAnsi="Arial" w:cs="Arial"/>
          <w:lang w:val="es-ES_tradnl"/>
        </w:rPr>
        <w:t xml:space="preserve">con una anterioridad de seis (6) meses o un </w:t>
      </w:r>
      <w:r w:rsidR="00E434BC" w:rsidRPr="00DE1872">
        <w:rPr>
          <w:rFonts w:ascii="Arial" w:eastAsia="Calibri" w:hAnsi="Arial" w:cs="Arial"/>
          <w:lang w:val="es-ES_tradnl"/>
        </w:rPr>
        <w:t xml:space="preserve">(1) </w:t>
      </w:r>
      <w:r w:rsidR="00F93277" w:rsidRPr="00DE1872">
        <w:rPr>
          <w:rFonts w:ascii="Arial" w:eastAsia="Calibri" w:hAnsi="Arial" w:cs="Arial"/>
          <w:lang w:val="es-ES_tradnl"/>
        </w:rPr>
        <w:t xml:space="preserve">año </w:t>
      </w:r>
      <w:r w:rsidR="00D40638" w:rsidRPr="00DE1872">
        <w:rPr>
          <w:rFonts w:ascii="Arial" w:eastAsia="Calibri" w:hAnsi="Arial" w:cs="Arial"/>
          <w:lang w:val="es-ES_tradnl"/>
        </w:rPr>
        <w:t>anterior a la fecha de cierre del proceso de selección.</w:t>
      </w:r>
    </w:p>
    <w:p w14:paraId="124316F2" w14:textId="5E1D0CD8" w:rsidR="009C6F43" w:rsidRPr="00DE1872" w:rsidRDefault="000D7C01" w:rsidP="009C6F43">
      <w:pPr>
        <w:spacing w:before="120" w:after="120" w:line="276" w:lineRule="auto"/>
        <w:ind w:firstLine="709"/>
        <w:jc w:val="both"/>
        <w:rPr>
          <w:rFonts w:ascii="Arial" w:eastAsia="Calibri" w:hAnsi="Arial" w:cs="Arial"/>
          <w:color w:val="000000" w:themeColor="text1"/>
        </w:rPr>
      </w:pPr>
      <w:bookmarkStart w:id="16" w:name="_Hlk121097385"/>
      <w:r w:rsidRPr="00DE1872">
        <w:rPr>
          <w:rFonts w:ascii="Arial" w:eastAsia="Calibri" w:hAnsi="Arial" w:cs="Arial"/>
          <w:lang w:val="es-ES_tradnl"/>
        </w:rPr>
        <w:t>Para dilucidar</w:t>
      </w:r>
      <w:r w:rsidR="00F93277" w:rsidRPr="00DE1872">
        <w:rPr>
          <w:rFonts w:ascii="Arial" w:eastAsia="Calibri" w:hAnsi="Arial" w:cs="Arial"/>
          <w:lang w:val="es-ES_tradnl"/>
        </w:rPr>
        <w:t xml:space="preserve"> </w:t>
      </w:r>
      <w:r w:rsidRPr="00DE1872">
        <w:rPr>
          <w:rFonts w:ascii="Arial" w:eastAsia="Calibri" w:hAnsi="Arial" w:cs="Arial"/>
          <w:lang w:val="es-ES_tradnl"/>
        </w:rPr>
        <w:t xml:space="preserve">el interrogante planteado, </w:t>
      </w:r>
      <w:r w:rsidR="00AD1552" w:rsidRPr="00DE1872">
        <w:rPr>
          <w:rFonts w:ascii="Arial" w:eastAsia="Calibri" w:hAnsi="Arial" w:cs="Arial"/>
          <w:color w:val="000000" w:themeColor="text1"/>
        </w:rPr>
        <w:t>es necesario recordar que el ordenamiento jurídico colombiano establece unas reglas para la interpretación de textos normativos, consagradas en los artículos 25 a 32 del Código Civil.</w:t>
      </w:r>
      <w:r w:rsidR="009C6F43" w:rsidRPr="00DE1872">
        <w:rPr>
          <w:rFonts w:ascii="Arial" w:eastAsia="Calibri" w:hAnsi="Arial" w:cs="Arial"/>
          <w:bCs/>
          <w:lang w:eastAsia="es-ES_tradnl"/>
        </w:rPr>
        <w:t xml:space="preserve"> Así las cosas, </w:t>
      </w:r>
      <w:r w:rsidR="00AD1552" w:rsidRPr="00DE1872">
        <w:rPr>
          <w:rFonts w:ascii="Arial" w:eastAsia="Calibri" w:hAnsi="Arial" w:cs="Arial"/>
          <w:lang w:val="es-ES_tradnl"/>
        </w:rPr>
        <w:t xml:space="preserve">es pertinente acudir a </w:t>
      </w:r>
      <w:r w:rsidR="00AD1552" w:rsidRPr="00DE1872">
        <w:rPr>
          <w:rFonts w:ascii="Arial" w:eastAsia="Calibri" w:hAnsi="Arial" w:cs="Arial"/>
          <w:color w:val="000000" w:themeColor="text1"/>
        </w:rPr>
        <w:t xml:space="preserve">la interpretación sistemática y lógica </w:t>
      </w:r>
      <w:r w:rsidR="00AD1552" w:rsidRPr="00DE1872">
        <w:rPr>
          <w:rFonts w:ascii="Arial" w:eastAsia="Calibri" w:hAnsi="Arial" w:cs="Arial"/>
          <w:lang w:val="es-ES_tradnl"/>
        </w:rPr>
        <w:t xml:space="preserve">del artículo </w:t>
      </w:r>
      <w:r w:rsidR="00AD1552" w:rsidRPr="00DE1872">
        <w:rPr>
          <w:rFonts w:ascii="Arial" w:eastAsia="Calibri" w:hAnsi="Arial" w:cs="Arial"/>
          <w:bCs/>
          <w:lang w:eastAsia="es-ES_tradnl"/>
        </w:rPr>
        <w:t>2.2.1.2.4.2.4. del Decreto 1082 de 2015 –modificado por el Decreto 1860 de 2021–.</w:t>
      </w:r>
    </w:p>
    <w:p w14:paraId="3B9CD866" w14:textId="7694475C" w:rsidR="005450D9" w:rsidRPr="00DE1872" w:rsidRDefault="005450D9" w:rsidP="00044D8A">
      <w:pPr>
        <w:spacing w:before="120" w:after="120" w:line="276" w:lineRule="auto"/>
        <w:ind w:firstLine="709"/>
        <w:jc w:val="both"/>
        <w:rPr>
          <w:rFonts w:ascii="Arial" w:hAnsi="Arial" w:cs="Arial"/>
          <w:lang w:val="es-MX"/>
        </w:rPr>
      </w:pPr>
      <w:r w:rsidRPr="00DE1872">
        <w:rPr>
          <w:rFonts w:ascii="Arial" w:eastAsia="Calibri" w:hAnsi="Arial" w:cs="Arial"/>
          <w:color w:val="000000" w:themeColor="text1"/>
        </w:rPr>
        <w:lastRenderedPageBreak/>
        <w:t xml:space="preserve">Ahora bien, teniendo en cuenta la consulta elevada, </w:t>
      </w:r>
      <w:r w:rsidR="009E4E06" w:rsidRPr="00DE1872">
        <w:rPr>
          <w:rFonts w:ascii="Arial" w:eastAsia="Calibri" w:hAnsi="Arial" w:cs="Arial"/>
          <w:color w:val="000000" w:themeColor="text1"/>
        </w:rPr>
        <w:t>primero,</w:t>
      </w:r>
      <w:r w:rsidR="00040B4C" w:rsidRPr="00DE1872">
        <w:rPr>
          <w:rFonts w:ascii="Arial" w:eastAsia="Calibri" w:hAnsi="Arial" w:cs="Arial"/>
          <w:color w:val="000000" w:themeColor="text1"/>
        </w:rPr>
        <w:t xml:space="preserve"> se </w:t>
      </w:r>
      <w:r w:rsidRPr="00DE1872">
        <w:rPr>
          <w:rFonts w:ascii="Arial" w:eastAsia="Calibri" w:hAnsi="Arial" w:cs="Arial"/>
          <w:color w:val="000000" w:themeColor="text1"/>
        </w:rPr>
        <w:t xml:space="preserve">dará aplicación </w:t>
      </w:r>
      <w:r w:rsidR="009A5E68" w:rsidRPr="00DE1872">
        <w:rPr>
          <w:rFonts w:ascii="Arial" w:eastAsia="Calibri" w:hAnsi="Arial" w:cs="Arial"/>
          <w:color w:val="000000" w:themeColor="text1"/>
        </w:rPr>
        <w:t xml:space="preserve">al </w:t>
      </w:r>
      <w:r w:rsidR="00604A16" w:rsidRPr="00DE1872">
        <w:rPr>
          <w:rFonts w:ascii="Arial" w:eastAsia="Calibri" w:hAnsi="Arial" w:cs="Arial"/>
          <w:color w:val="000000" w:themeColor="text1"/>
        </w:rPr>
        <w:t xml:space="preserve">criterio de </w:t>
      </w:r>
      <w:r w:rsidRPr="00DE1872">
        <w:rPr>
          <w:rFonts w:ascii="Arial" w:eastAsia="Calibri" w:hAnsi="Arial" w:cs="Arial"/>
          <w:color w:val="000000" w:themeColor="text1"/>
        </w:rPr>
        <w:t>interpretación sistemática</w:t>
      </w:r>
      <w:r w:rsidR="006319D1" w:rsidRPr="00DE1872">
        <w:rPr>
          <w:rFonts w:ascii="Arial" w:eastAsia="Calibri" w:hAnsi="Arial" w:cs="Arial"/>
          <w:color w:val="000000" w:themeColor="text1"/>
        </w:rPr>
        <w:t>, que se define</w:t>
      </w:r>
      <w:r w:rsidRPr="00DE1872">
        <w:rPr>
          <w:rFonts w:ascii="Arial" w:eastAsia="Calibri" w:hAnsi="Arial" w:cs="Arial"/>
          <w:color w:val="000000" w:themeColor="text1"/>
        </w:rPr>
        <w:t xml:space="preserve"> «como aquel entendimiento de una norma que se deriva de la comparación del precepto con la norma o normas en las que se integra»</w:t>
      </w:r>
      <w:r w:rsidRPr="00DE1872">
        <w:rPr>
          <w:rFonts w:ascii="Arial" w:eastAsia="Calibri" w:hAnsi="Arial" w:cs="Arial"/>
          <w:color w:val="000000" w:themeColor="text1"/>
          <w:vertAlign w:val="superscript"/>
        </w:rPr>
        <w:footnoteReference w:id="16"/>
      </w:r>
      <w:r w:rsidRPr="00DE1872">
        <w:rPr>
          <w:rFonts w:ascii="Arial" w:eastAsia="Calibri" w:hAnsi="Arial" w:cs="Arial"/>
          <w:color w:val="000000" w:themeColor="text1"/>
        </w:rPr>
        <w:t>. De acuerdo con el Consejo de Estado, la interpretación sistemática pone de presente «</w:t>
      </w:r>
      <w:r w:rsidRPr="00DE1872">
        <w:rPr>
          <w:rFonts w:ascii="Arial" w:hAnsi="Arial" w:cs="Arial"/>
          <w:lang w:val="es-MX"/>
        </w:rPr>
        <w:t>la correlación entre las partes constitutivas de un discurso, como de cada manifestación del pensamiento, y su referencia común al todo del que hacen parte»</w:t>
      </w:r>
      <w:r w:rsidRPr="00DE1872">
        <w:rPr>
          <w:rFonts w:ascii="Arial" w:hAnsi="Arial" w:cs="Arial"/>
          <w:vertAlign w:val="superscript"/>
          <w:lang w:val="es-MX"/>
        </w:rPr>
        <w:footnoteReference w:id="17"/>
      </w:r>
      <w:r w:rsidRPr="00DE1872">
        <w:rPr>
          <w:rFonts w:ascii="Arial" w:hAnsi="Arial" w:cs="Arial"/>
          <w:lang w:val="es-MX"/>
        </w:rPr>
        <w:t>. Además, la Corte Constitucional</w:t>
      </w:r>
      <w:r w:rsidRPr="00DE1872">
        <w:rPr>
          <w:rFonts w:ascii="Arial" w:hAnsi="Arial" w:cs="Arial"/>
          <w:vertAlign w:val="superscript"/>
          <w:lang w:val="es-MX"/>
        </w:rPr>
        <w:footnoteReference w:id="18"/>
      </w:r>
      <w:r w:rsidRPr="00DE1872">
        <w:rPr>
          <w:rFonts w:ascii="Arial" w:hAnsi="Arial" w:cs="Arial"/>
          <w:lang w:val="es-MX"/>
        </w:rPr>
        <w:t xml:space="preserve"> ha establecido que la interpretación sistemática es útil cuando se presentan supuestas incongruencias al interior de un orden normativo, pues la integración que se realiza por medio de este método permite completar el sentido de las disposiciones que dependen mutuamente para su debida aplicación.</w:t>
      </w:r>
      <w:r w:rsidRPr="00DE1872">
        <w:rPr>
          <w:rFonts w:ascii="Arial" w:eastAsia="Calibri" w:hAnsi="Arial" w:cs="Arial"/>
          <w:color w:val="000000" w:themeColor="text1"/>
        </w:rPr>
        <w:t xml:space="preserve"> </w:t>
      </w:r>
      <w:r w:rsidRPr="00DE1872">
        <w:rPr>
          <w:rFonts w:ascii="Arial" w:hAnsi="Arial" w:cs="Arial"/>
          <w:lang w:val="es-MX"/>
        </w:rPr>
        <w:t xml:space="preserve">En otras palabras, la interpretación </w:t>
      </w:r>
      <w:r w:rsidR="00B226D4" w:rsidRPr="00DE1872">
        <w:rPr>
          <w:rFonts w:ascii="Arial" w:hAnsi="Arial" w:cs="Arial"/>
          <w:lang w:val="es-MX"/>
        </w:rPr>
        <w:t xml:space="preserve">sistemática </w:t>
      </w:r>
      <w:r w:rsidRPr="00DE1872">
        <w:rPr>
          <w:rFonts w:ascii="Arial" w:hAnsi="Arial" w:cs="Arial"/>
          <w:lang w:val="es-MX"/>
        </w:rPr>
        <w:t>permite que</w:t>
      </w:r>
      <w:r w:rsidR="00AD1552" w:rsidRPr="00DE1872">
        <w:rPr>
          <w:rFonts w:ascii="Arial" w:hAnsi="Arial" w:cs="Arial"/>
          <w:lang w:val="es-MX"/>
        </w:rPr>
        <w:t>,</w:t>
      </w:r>
      <w:r w:rsidRPr="00DE1872">
        <w:rPr>
          <w:rFonts w:ascii="Arial" w:hAnsi="Arial" w:cs="Arial"/>
          <w:lang w:val="es-MX"/>
        </w:rPr>
        <w:t xml:space="preserve"> por medio de la integración normativa, se comprenda el significado de un conjunto de normas, así como de una norma particular. </w:t>
      </w:r>
    </w:p>
    <w:p w14:paraId="38C00FA0" w14:textId="31829E37" w:rsidR="004E3620" w:rsidRPr="00DE1872" w:rsidRDefault="004967C7" w:rsidP="004E3620">
      <w:pPr>
        <w:spacing w:after="120" w:line="276" w:lineRule="auto"/>
        <w:ind w:firstLine="709"/>
        <w:jc w:val="both"/>
        <w:rPr>
          <w:rFonts w:ascii="Arial" w:hAnsi="Arial" w:cs="Arial"/>
          <w:lang w:val="es-MX"/>
        </w:rPr>
      </w:pPr>
      <w:r w:rsidRPr="00DE1872">
        <w:rPr>
          <w:rFonts w:ascii="Arial" w:hAnsi="Arial" w:cs="Arial"/>
          <w:lang w:val="es-MX"/>
        </w:rPr>
        <w:t>At</w:t>
      </w:r>
      <w:r w:rsidR="005450D9" w:rsidRPr="00DE1872">
        <w:rPr>
          <w:rFonts w:ascii="Arial" w:hAnsi="Arial" w:cs="Arial"/>
          <w:lang w:val="es-MX"/>
        </w:rPr>
        <w:t>en</w:t>
      </w:r>
      <w:r w:rsidRPr="00DE1872">
        <w:rPr>
          <w:rFonts w:ascii="Arial" w:hAnsi="Arial" w:cs="Arial"/>
          <w:lang w:val="es-MX"/>
        </w:rPr>
        <w:t>d</w:t>
      </w:r>
      <w:r w:rsidR="005450D9" w:rsidRPr="00DE1872">
        <w:rPr>
          <w:rFonts w:ascii="Arial" w:hAnsi="Arial" w:cs="Arial"/>
          <w:lang w:val="es-MX"/>
        </w:rPr>
        <w:t xml:space="preserve">iendo </w:t>
      </w:r>
      <w:r w:rsidRPr="00DE1872">
        <w:rPr>
          <w:rFonts w:ascii="Arial" w:hAnsi="Arial" w:cs="Arial"/>
          <w:lang w:val="es-MX"/>
        </w:rPr>
        <w:t xml:space="preserve">al </w:t>
      </w:r>
      <w:r w:rsidR="005450D9" w:rsidRPr="00DE1872">
        <w:rPr>
          <w:rFonts w:ascii="Arial" w:hAnsi="Arial" w:cs="Arial"/>
          <w:lang w:val="es-MX"/>
        </w:rPr>
        <w:t xml:space="preserve">presente el método de interpretación </w:t>
      </w:r>
      <w:r w:rsidR="00BA4D5F" w:rsidRPr="00DE1872">
        <w:rPr>
          <w:rFonts w:ascii="Arial" w:hAnsi="Arial" w:cs="Arial"/>
          <w:lang w:val="es-MX"/>
        </w:rPr>
        <w:t>sistemática</w:t>
      </w:r>
      <w:r w:rsidR="005450D9" w:rsidRPr="00DE1872">
        <w:rPr>
          <w:rFonts w:ascii="Arial" w:hAnsi="Arial" w:cs="Arial"/>
          <w:lang w:val="es-MX"/>
        </w:rPr>
        <w:t xml:space="preserve">, integrando </w:t>
      </w:r>
      <w:r w:rsidR="00F35C9B" w:rsidRPr="00DE1872">
        <w:rPr>
          <w:rFonts w:ascii="Arial" w:hAnsi="Arial" w:cs="Arial"/>
          <w:lang w:val="es-MX"/>
        </w:rPr>
        <w:t xml:space="preserve">la disposición contenida en el </w:t>
      </w:r>
      <w:r w:rsidR="00AE305C" w:rsidRPr="00DE1872">
        <w:rPr>
          <w:rFonts w:ascii="Arial" w:hAnsi="Arial" w:cs="Arial"/>
          <w:lang w:val="es-MX"/>
        </w:rPr>
        <w:t xml:space="preserve">numeral </w:t>
      </w:r>
      <w:r w:rsidR="00AE305C" w:rsidRPr="00DE1872">
        <w:rPr>
          <w:rFonts w:ascii="Arial" w:eastAsia="Calibri" w:hAnsi="Arial" w:cs="Arial"/>
          <w:bCs/>
          <w:lang w:val="es-ES_tradnl" w:eastAsia="es-ES_tradnl"/>
        </w:rPr>
        <w:t>2º</w:t>
      </w:r>
      <w:r w:rsidR="00AE305C" w:rsidRPr="00DE1872">
        <w:rPr>
          <w:rFonts w:ascii="Arial" w:hAnsi="Arial" w:cs="Arial"/>
          <w:lang w:val="es-MX"/>
        </w:rPr>
        <w:t xml:space="preserve"> </w:t>
      </w:r>
      <w:r w:rsidR="00F35C9B" w:rsidRPr="00DE1872">
        <w:rPr>
          <w:rFonts w:ascii="Arial" w:hAnsi="Arial" w:cs="Arial"/>
          <w:lang w:val="es-MX"/>
        </w:rPr>
        <w:t xml:space="preserve">del </w:t>
      </w:r>
      <w:r w:rsidR="005450D9" w:rsidRPr="00DE1872">
        <w:rPr>
          <w:rFonts w:ascii="Arial" w:hAnsi="Arial" w:cs="Arial"/>
          <w:color w:val="000000" w:themeColor="text1"/>
          <w:lang w:val="es-MX"/>
        </w:rPr>
        <w:t>artículo</w:t>
      </w:r>
      <w:r w:rsidR="00AE305C" w:rsidRPr="00DE1872">
        <w:rPr>
          <w:rFonts w:ascii="Arial" w:hAnsi="Arial" w:cs="Arial"/>
          <w:color w:val="000000" w:themeColor="text1"/>
        </w:rPr>
        <w:t xml:space="preserve"> </w:t>
      </w:r>
      <w:r w:rsidR="0076135D" w:rsidRPr="00DE1872">
        <w:rPr>
          <w:rFonts w:ascii="Arial" w:eastAsia="Calibri" w:hAnsi="Arial" w:cs="Arial"/>
          <w:bCs/>
          <w:lang w:eastAsia="es-ES_tradnl"/>
        </w:rPr>
        <w:t>2.2.1.2.4.2.4</w:t>
      </w:r>
      <w:r w:rsidR="005450D9" w:rsidRPr="00DE1872">
        <w:rPr>
          <w:rFonts w:ascii="Arial" w:hAnsi="Arial" w:cs="Arial"/>
          <w:color w:val="000000" w:themeColor="text1"/>
        </w:rPr>
        <w:t xml:space="preserve">, </w:t>
      </w:r>
      <w:r w:rsidR="004E3620" w:rsidRPr="00DE1872">
        <w:rPr>
          <w:rFonts w:ascii="Arial" w:hAnsi="Arial" w:cs="Arial"/>
          <w:color w:val="000000" w:themeColor="text1"/>
        </w:rPr>
        <w:t xml:space="preserve">y el parágrafo </w:t>
      </w:r>
      <w:r w:rsidR="004E3620" w:rsidRPr="00DE1872">
        <w:rPr>
          <w:rFonts w:ascii="Arial" w:eastAsia="Calibri" w:hAnsi="Arial" w:cs="Arial"/>
          <w:bCs/>
          <w:lang w:val="es-ES_tradnl" w:eastAsia="es-ES_tradnl"/>
        </w:rPr>
        <w:t>2º del referido artículo</w:t>
      </w:r>
      <w:r w:rsidR="00AD1552" w:rsidRPr="00DE1872">
        <w:rPr>
          <w:rStyle w:val="Refdenotaalpie"/>
          <w:rFonts w:ascii="Arial" w:eastAsia="Calibri" w:hAnsi="Arial" w:cs="Arial"/>
          <w:bCs/>
          <w:lang w:val="es-ES_tradnl" w:eastAsia="es-ES_tradnl"/>
        </w:rPr>
        <w:footnoteReference w:id="19"/>
      </w:r>
      <w:r w:rsidR="004E3620" w:rsidRPr="00DE1872">
        <w:rPr>
          <w:rFonts w:ascii="Arial" w:eastAsia="Calibri" w:hAnsi="Arial" w:cs="Arial"/>
          <w:bCs/>
          <w:lang w:val="es-ES_tradnl" w:eastAsia="es-ES_tradnl"/>
        </w:rPr>
        <w:t xml:space="preserve">, es posible concluir que </w:t>
      </w:r>
      <w:r w:rsidR="004E3620" w:rsidRPr="00DE1872">
        <w:rPr>
          <w:rFonts w:ascii="Arial" w:hAnsi="Arial" w:cs="Arial"/>
          <w:color w:val="000000" w:themeColor="text1"/>
        </w:rPr>
        <w:t xml:space="preserve">las </w:t>
      </w:r>
      <w:proofErr w:type="spellStart"/>
      <w:r w:rsidR="004E3620" w:rsidRPr="00DE1872">
        <w:rPr>
          <w:rFonts w:ascii="Arial" w:hAnsi="Arial" w:cs="Arial"/>
          <w:color w:val="000000" w:themeColor="text1"/>
        </w:rPr>
        <w:t>Mipymes</w:t>
      </w:r>
      <w:proofErr w:type="spellEnd"/>
      <w:r w:rsidR="004E3620" w:rsidRPr="00DE1872">
        <w:rPr>
          <w:rFonts w:ascii="Arial" w:hAnsi="Arial" w:cs="Arial"/>
          <w:color w:val="000000" w:themeColor="text1"/>
        </w:rPr>
        <w:t xml:space="preserve"> colombianas −personas jurídicas− </w:t>
      </w:r>
      <w:r w:rsidR="004E3620" w:rsidRPr="00DE1872">
        <w:rPr>
          <w:rFonts w:ascii="Arial" w:hAnsi="Arial" w:cs="Arial"/>
          <w:lang w:val="es-MX"/>
        </w:rPr>
        <w:t>acreditaran su tamaño empresarial «[…] mediante certificación expedida por el representante legal y el contador o revisor fiscal, si están obligados a tenerlo, adjuntando copia del certificado de existencia y representación legal expedido por la Cámara de Comercio o por la autoridad competente para expedir dicha certificación</w:t>
      </w:r>
      <w:r w:rsidR="00AD1552" w:rsidRPr="00DE1872">
        <w:rPr>
          <w:rFonts w:ascii="Arial" w:hAnsi="Arial" w:cs="Arial"/>
          <w:lang w:val="es-MX"/>
        </w:rPr>
        <w:t>»</w:t>
      </w:r>
      <w:r w:rsidR="004E3620" w:rsidRPr="00DE1872">
        <w:rPr>
          <w:rFonts w:ascii="Arial" w:hAnsi="Arial" w:cs="Arial"/>
          <w:lang w:val="es-MX"/>
        </w:rPr>
        <w:t xml:space="preserve">, </w:t>
      </w:r>
      <w:r w:rsidR="00C06AB9" w:rsidRPr="00DE1872">
        <w:rPr>
          <w:rFonts w:ascii="Arial" w:hAnsi="Arial" w:cs="Arial"/>
          <w:lang w:val="es-MX"/>
        </w:rPr>
        <w:t>en cuyo caso</w:t>
      </w:r>
      <w:r w:rsidR="00A87CA5" w:rsidRPr="00DE1872">
        <w:rPr>
          <w:rFonts w:ascii="Arial" w:hAnsi="Arial" w:cs="Arial"/>
          <w:lang w:val="es-MX"/>
        </w:rPr>
        <w:t>,</w:t>
      </w:r>
      <w:r w:rsidR="00C06AB9" w:rsidRPr="00DE1872">
        <w:rPr>
          <w:rFonts w:ascii="Arial" w:hAnsi="Arial" w:cs="Arial"/>
          <w:lang w:val="es-MX"/>
        </w:rPr>
        <w:t xml:space="preserve"> </w:t>
      </w:r>
      <w:r w:rsidR="00AD1552" w:rsidRPr="00DE1872">
        <w:rPr>
          <w:rFonts w:ascii="Arial" w:hAnsi="Arial" w:cs="Arial"/>
          <w:lang w:val="es-MX"/>
        </w:rPr>
        <w:t xml:space="preserve">tanto </w:t>
      </w:r>
      <w:r w:rsidR="00CA7C40" w:rsidRPr="00DE1872">
        <w:rPr>
          <w:rFonts w:ascii="Arial" w:hAnsi="Arial" w:cs="Arial"/>
          <w:lang w:val="es-MX"/>
        </w:rPr>
        <w:t xml:space="preserve">la certificación y </w:t>
      </w:r>
      <w:r w:rsidR="00AD1552" w:rsidRPr="00DE1872">
        <w:rPr>
          <w:rFonts w:ascii="Arial" w:hAnsi="Arial" w:cs="Arial"/>
          <w:lang w:val="es-MX"/>
        </w:rPr>
        <w:t xml:space="preserve">como </w:t>
      </w:r>
      <w:r w:rsidR="00CA7C40" w:rsidRPr="00DE1872">
        <w:rPr>
          <w:rFonts w:ascii="Arial" w:hAnsi="Arial" w:cs="Arial"/>
          <w:lang w:val="es-MX"/>
        </w:rPr>
        <w:t>el documento adjunto</w:t>
      </w:r>
      <w:r w:rsidR="00AD1552" w:rsidRPr="00DE1872">
        <w:rPr>
          <w:rFonts w:ascii="Arial" w:hAnsi="Arial" w:cs="Arial"/>
          <w:lang w:val="es-MX"/>
        </w:rPr>
        <w:t xml:space="preserve"> – certificado de existencia y representación legal–</w:t>
      </w:r>
      <w:r w:rsidR="00CA7C40" w:rsidRPr="00DE1872">
        <w:rPr>
          <w:rFonts w:ascii="Arial" w:hAnsi="Arial" w:cs="Arial"/>
          <w:lang w:val="es-MX"/>
        </w:rPr>
        <w:t xml:space="preserve">, deben tener una </w:t>
      </w:r>
      <w:r w:rsidR="004E3620" w:rsidRPr="00DE1872">
        <w:rPr>
          <w:rFonts w:ascii="Arial" w:hAnsi="Arial" w:cs="Arial"/>
          <w:lang w:val="es-MX"/>
        </w:rPr>
        <w:t>fecha de máximo sesenta (60) días calendario anteriores a la prevista en el cronograma del Proceso de Contratación</w:t>
      </w:r>
      <w:r w:rsidR="00A87CA5" w:rsidRPr="00DE1872">
        <w:rPr>
          <w:rFonts w:ascii="Arial" w:hAnsi="Arial" w:cs="Arial"/>
          <w:lang w:val="es-MX"/>
        </w:rPr>
        <w:t xml:space="preserve">. </w:t>
      </w:r>
      <w:r w:rsidR="00AD1552" w:rsidRPr="00DE1872">
        <w:rPr>
          <w:rFonts w:ascii="Arial" w:hAnsi="Arial" w:cs="Arial"/>
          <w:lang w:val="es-MX"/>
        </w:rPr>
        <w:t xml:space="preserve">Lo anterior, dado que si el parágrafo consagra que la copia del registro mercantil del certificado de existencia y representación legal o del RUP que se allegue sea de una fecha máxima de sesenta (60) días calendario anteriores al plazo para solicitar la limitación de la convocatoria, se interpreta que lo mismo aplica para la certificación.  </w:t>
      </w:r>
    </w:p>
    <w:p w14:paraId="0AF71837" w14:textId="6625A6B8" w:rsidR="008F1486" w:rsidRPr="00DE1872" w:rsidRDefault="003777BC" w:rsidP="005947EF">
      <w:pPr>
        <w:spacing w:after="120" w:line="276" w:lineRule="auto"/>
        <w:jc w:val="both"/>
        <w:rPr>
          <w:rFonts w:ascii="Arial" w:eastAsia="Calibri" w:hAnsi="Arial" w:cs="Arial"/>
          <w:color w:val="000000" w:themeColor="text1"/>
        </w:rPr>
      </w:pPr>
      <w:r w:rsidRPr="00DE1872">
        <w:rPr>
          <w:rFonts w:ascii="Arial" w:eastAsia="Calibri" w:hAnsi="Arial" w:cs="Arial"/>
          <w:bCs/>
          <w:lang w:val="es-ES_tradnl" w:eastAsia="es-ES_tradnl"/>
        </w:rPr>
        <w:tab/>
      </w:r>
      <w:bookmarkEnd w:id="13"/>
      <w:r w:rsidR="00D16D70" w:rsidRPr="00DE1872">
        <w:rPr>
          <w:rFonts w:ascii="Arial" w:eastAsia="Calibri" w:hAnsi="Arial" w:cs="Arial"/>
          <w:bCs/>
          <w:lang w:val="es-ES_tradnl" w:eastAsia="es-ES_tradnl"/>
        </w:rPr>
        <w:t>De todos modos</w:t>
      </w:r>
      <w:r w:rsidR="001E20DD" w:rsidRPr="00DE1872">
        <w:rPr>
          <w:rFonts w:ascii="Arial" w:eastAsia="Calibri" w:hAnsi="Arial" w:cs="Arial"/>
          <w:bCs/>
          <w:lang w:val="es-ES_tradnl" w:eastAsia="es-ES_tradnl"/>
        </w:rPr>
        <w:t xml:space="preserve">, si de la interpretación sistemática quedan dudas que </w:t>
      </w:r>
      <w:r w:rsidR="008D4B67" w:rsidRPr="00DE1872">
        <w:rPr>
          <w:rFonts w:ascii="Arial" w:eastAsia="Calibri" w:hAnsi="Arial" w:cs="Arial"/>
          <w:bCs/>
          <w:lang w:val="es-ES_tradnl" w:eastAsia="es-ES_tradnl"/>
        </w:rPr>
        <w:t>la certificación de la que trata el numeral 2º</w:t>
      </w:r>
      <w:r w:rsidR="008D4B67" w:rsidRPr="00DE1872">
        <w:rPr>
          <w:rFonts w:ascii="Arial" w:hAnsi="Arial" w:cs="Arial"/>
          <w:lang w:val="es-MX"/>
        </w:rPr>
        <w:t xml:space="preserve"> del </w:t>
      </w:r>
      <w:r w:rsidR="008D4B67" w:rsidRPr="00DE1872">
        <w:rPr>
          <w:rFonts w:ascii="Arial" w:hAnsi="Arial" w:cs="Arial"/>
          <w:color w:val="000000" w:themeColor="text1"/>
          <w:lang w:val="es-MX"/>
        </w:rPr>
        <w:t>artículo</w:t>
      </w:r>
      <w:r w:rsidR="008D4B67" w:rsidRPr="00DE1872">
        <w:rPr>
          <w:rFonts w:ascii="Arial" w:hAnsi="Arial" w:cs="Arial"/>
          <w:color w:val="000000" w:themeColor="text1"/>
        </w:rPr>
        <w:t xml:space="preserve"> </w:t>
      </w:r>
      <w:r w:rsidR="008D4B67" w:rsidRPr="00DE1872">
        <w:rPr>
          <w:rFonts w:ascii="Arial" w:eastAsia="Calibri" w:hAnsi="Arial" w:cs="Arial"/>
          <w:bCs/>
          <w:lang w:eastAsia="es-ES_tradnl"/>
        </w:rPr>
        <w:t xml:space="preserve">2.2.1.2.4.2.4 </w:t>
      </w:r>
      <w:r w:rsidR="001E20DD" w:rsidRPr="00DE1872">
        <w:rPr>
          <w:rFonts w:ascii="Arial" w:eastAsia="Calibri" w:hAnsi="Arial" w:cs="Arial"/>
          <w:bCs/>
          <w:lang w:val="es-ES_tradnl" w:eastAsia="es-ES_tradnl"/>
        </w:rPr>
        <w:t xml:space="preserve">debe tener un </w:t>
      </w:r>
      <w:r w:rsidR="008D4B67" w:rsidRPr="00DE1872">
        <w:rPr>
          <w:rFonts w:ascii="Arial" w:eastAsia="Calibri" w:hAnsi="Arial" w:cs="Arial"/>
          <w:bCs/>
          <w:lang w:val="es-ES_tradnl" w:eastAsia="es-ES_tradnl"/>
        </w:rPr>
        <w:t>término</w:t>
      </w:r>
      <w:r w:rsidR="001E20DD" w:rsidRPr="00DE1872">
        <w:rPr>
          <w:rFonts w:ascii="Arial" w:eastAsia="Calibri" w:hAnsi="Arial" w:cs="Arial"/>
          <w:bCs/>
          <w:lang w:val="es-ES_tradnl" w:eastAsia="es-ES_tradnl"/>
        </w:rPr>
        <w:t xml:space="preserve"> de vigencia, </w:t>
      </w:r>
      <w:r w:rsidR="00D16D70" w:rsidRPr="00DE1872">
        <w:rPr>
          <w:rFonts w:ascii="Arial" w:eastAsia="Calibri" w:hAnsi="Arial" w:cs="Arial"/>
          <w:color w:val="000000" w:themeColor="text1"/>
        </w:rPr>
        <w:t xml:space="preserve">y </w:t>
      </w:r>
      <w:proofErr w:type="spellStart"/>
      <w:r w:rsidR="009E52B2" w:rsidRPr="00DE1872">
        <w:rPr>
          <w:rFonts w:ascii="Arial" w:eastAsia="Calibri" w:hAnsi="Arial" w:cs="Arial"/>
          <w:color w:val="000000" w:themeColor="text1"/>
        </w:rPr>
        <w:t>subsite</w:t>
      </w:r>
      <w:proofErr w:type="spellEnd"/>
      <w:r w:rsidR="009E52B2" w:rsidRPr="00DE1872">
        <w:rPr>
          <w:rFonts w:ascii="Arial" w:eastAsia="Calibri" w:hAnsi="Arial" w:cs="Arial"/>
          <w:color w:val="000000" w:themeColor="text1"/>
        </w:rPr>
        <w:t xml:space="preserve"> </w:t>
      </w:r>
      <w:r w:rsidR="009E52B2" w:rsidRPr="00DE1872">
        <w:rPr>
          <w:rFonts w:ascii="Arial" w:eastAsia="Calibri" w:hAnsi="Arial" w:cs="Arial"/>
          <w:color w:val="000000" w:themeColor="text1"/>
        </w:rPr>
        <w:lastRenderedPageBreak/>
        <w:t>el interrogante</w:t>
      </w:r>
      <w:r w:rsidR="00D16D70" w:rsidRPr="00DE1872">
        <w:rPr>
          <w:rFonts w:ascii="Arial" w:eastAsia="Calibri" w:hAnsi="Arial" w:cs="Arial"/>
          <w:color w:val="000000" w:themeColor="text1"/>
        </w:rPr>
        <w:t xml:space="preserve"> de por qué no se integró esta obligación en </w:t>
      </w:r>
      <w:r w:rsidR="008D4B67" w:rsidRPr="00DE1872">
        <w:rPr>
          <w:rFonts w:ascii="Arial" w:eastAsia="Calibri" w:hAnsi="Arial" w:cs="Arial"/>
          <w:color w:val="000000" w:themeColor="text1"/>
        </w:rPr>
        <w:t xml:space="preserve">dicho numeral. </w:t>
      </w:r>
      <w:r w:rsidR="008F1486" w:rsidRPr="00DE1872">
        <w:rPr>
          <w:rFonts w:ascii="Arial" w:eastAsia="Calibri" w:hAnsi="Arial" w:cs="Arial"/>
          <w:color w:val="000000" w:themeColor="text1"/>
        </w:rPr>
        <w:t>S</w:t>
      </w:r>
      <w:r w:rsidR="00D16D70" w:rsidRPr="00DE1872">
        <w:rPr>
          <w:rFonts w:ascii="Arial" w:eastAsia="Calibri" w:hAnsi="Arial" w:cs="Arial"/>
          <w:color w:val="000000" w:themeColor="text1"/>
        </w:rPr>
        <w:t xml:space="preserve">e considera necesario aplicar el criterio interpretación </w:t>
      </w:r>
      <w:r w:rsidR="00A208E4" w:rsidRPr="00DE1872">
        <w:rPr>
          <w:rFonts w:ascii="Arial" w:eastAsia="Calibri" w:hAnsi="Arial" w:cs="Arial"/>
          <w:color w:val="000000" w:themeColor="text1"/>
        </w:rPr>
        <w:t xml:space="preserve">lógica </w:t>
      </w:r>
      <w:r w:rsidR="00D16D70" w:rsidRPr="00DE1872">
        <w:rPr>
          <w:rFonts w:ascii="Arial" w:eastAsia="Calibri" w:hAnsi="Arial" w:cs="Arial"/>
          <w:color w:val="000000" w:themeColor="text1"/>
        </w:rPr>
        <w:t xml:space="preserve">para poder resolver </w:t>
      </w:r>
      <w:r w:rsidR="008F1486" w:rsidRPr="00DE1872">
        <w:rPr>
          <w:rFonts w:ascii="Arial" w:eastAsia="Calibri" w:hAnsi="Arial" w:cs="Arial"/>
          <w:color w:val="000000" w:themeColor="text1"/>
        </w:rPr>
        <w:t xml:space="preserve">el interrogante planteado. </w:t>
      </w:r>
    </w:p>
    <w:p w14:paraId="2176F67C" w14:textId="4D79C47F" w:rsidR="001E20DD" w:rsidRPr="00DE1872" w:rsidRDefault="009E52B2" w:rsidP="008F1486">
      <w:pPr>
        <w:spacing w:after="120" w:line="276" w:lineRule="auto"/>
        <w:ind w:firstLine="708"/>
        <w:jc w:val="both"/>
        <w:rPr>
          <w:rFonts w:ascii="Arial" w:eastAsia="Calibri" w:hAnsi="Arial" w:cs="Arial"/>
          <w:color w:val="000000" w:themeColor="text1"/>
        </w:rPr>
      </w:pPr>
      <w:r w:rsidRPr="00DE1872">
        <w:rPr>
          <w:rFonts w:ascii="Arial" w:eastAsia="Calibri" w:hAnsi="Arial" w:cs="Arial"/>
          <w:color w:val="000000" w:themeColor="text1"/>
        </w:rPr>
        <w:t>En este punto</w:t>
      </w:r>
      <w:r w:rsidR="00A208E4" w:rsidRPr="00DE1872">
        <w:rPr>
          <w:rFonts w:ascii="Arial" w:eastAsia="Calibri" w:hAnsi="Arial" w:cs="Arial"/>
          <w:color w:val="000000" w:themeColor="text1"/>
        </w:rPr>
        <w:t xml:space="preserve">, </w:t>
      </w:r>
      <w:r w:rsidR="008F1486" w:rsidRPr="00DE1872">
        <w:rPr>
          <w:rFonts w:ascii="Arial" w:eastAsia="Calibri" w:hAnsi="Arial" w:cs="Arial"/>
          <w:color w:val="000000" w:themeColor="text1"/>
        </w:rPr>
        <w:t xml:space="preserve">es pertinente mencionar que </w:t>
      </w:r>
      <w:r w:rsidR="00A208E4" w:rsidRPr="00DE1872">
        <w:rPr>
          <w:rFonts w:ascii="Arial" w:eastAsia="Calibri" w:hAnsi="Arial" w:cs="Arial"/>
          <w:color w:val="000000" w:themeColor="text1"/>
        </w:rPr>
        <w:t xml:space="preserve">la </w:t>
      </w:r>
      <w:r w:rsidR="001E20DD" w:rsidRPr="00DE1872">
        <w:rPr>
          <w:rFonts w:ascii="Arial" w:eastAsia="Calibri" w:hAnsi="Arial" w:cs="Arial"/>
          <w:color w:val="000000" w:themeColor="text1"/>
        </w:rPr>
        <w:t xml:space="preserve">interpretación lógica consiste en «descomponer el pensamiento contenido en la ley y establecer las relaciones </w:t>
      </w:r>
      <w:r w:rsidR="005947EF" w:rsidRPr="00DE1872">
        <w:rPr>
          <w:rFonts w:ascii="Arial" w:eastAsia="Calibri" w:hAnsi="Arial" w:cs="Arial"/>
          <w:color w:val="000000" w:themeColor="text1"/>
        </w:rPr>
        <w:t>lógicas</w:t>
      </w:r>
      <w:r w:rsidR="001E20DD" w:rsidRPr="00DE1872">
        <w:rPr>
          <w:rFonts w:ascii="Arial" w:eastAsia="Calibri" w:hAnsi="Arial" w:cs="Arial"/>
          <w:color w:val="000000" w:themeColor="text1"/>
        </w:rPr>
        <w:t xml:space="preserve"> que se dan entre las diferentes partes de </w:t>
      </w:r>
      <w:proofErr w:type="spellStart"/>
      <w:r w:rsidR="001E20DD" w:rsidRPr="00DE1872">
        <w:rPr>
          <w:rFonts w:ascii="Arial" w:eastAsia="Calibri" w:hAnsi="Arial" w:cs="Arial"/>
          <w:color w:val="000000" w:themeColor="text1"/>
        </w:rPr>
        <w:t>éstas</w:t>
      </w:r>
      <w:proofErr w:type="spellEnd"/>
      <w:r w:rsidR="001E20DD" w:rsidRPr="00DE1872">
        <w:rPr>
          <w:rFonts w:ascii="Arial" w:eastAsia="Calibri" w:hAnsi="Arial" w:cs="Arial"/>
          <w:color w:val="000000" w:themeColor="text1"/>
        </w:rPr>
        <w:t>»</w:t>
      </w:r>
      <w:r w:rsidR="001E20DD" w:rsidRPr="00DE1872">
        <w:rPr>
          <w:rStyle w:val="Refdenotaalpie"/>
          <w:rFonts w:ascii="Arial" w:eastAsia="Calibri" w:hAnsi="Arial" w:cs="Arial"/>
          <w:color w:val="000000" w:themeColor="text1"/>
        </w:rPr>
        <w:footnoteReference w:id="20"/>
      </w:r>
      <w:r w:rsidR="001E20DD" w:rsidRPr="00DE1872">
        <w:rPr>
          <w:rFonts w:ascii="Arial" w:eastAsia="Calibri" w:hAnsi="Arial" w:cs="Arial"/>
          <w:color w:val="000000" w:themeColor="text1"/>
        </w:rPr>
        <w:t xml:space="preserve">. Es decir </w:t>
      </w:r>
      <w:r w:rsidR="005947EF" w:rsidRPr="00DE1872">
        <w:rPr>
          <w:rFonts w:ascii="Arial" w:eastAsia="Calibri" w:hAnsi="Arial" w:cs="Arial"/>
          <w:color w:val="000000" w:themeColor="text1"/>
        </w:rPr>
        <w:t>que,</w:t>
      </w:r>
      <w:r w:rsidR="001E20DD" w:rsidRPr="00DE1872">
        <w:rPr>
          <w:rFonts w:ascii="Arial" w:eastAsia="Calibri" w:hAnsi="Arial" w:cs="Arial"/>
          <w:color w:val="000000" w:themeColor="text1"/>
        </w:rPr>
        <w:t xml:space="preserve"> con base en la lógica jurídica, se puede dar sentido a los contenidos normativos cuya lectura meramente gramatical no es suficiente. </w:t>
      </w:r>
    </w:p>
    <w:p w14:paraId="339CCD26" w14:textId="5A6C89C2" w:rsidR="001E20DD" w:rsidRPr="00F32060" w:rsidRDefault="005947EF" w:rsidP="00044D8A">
      <w:pPr>
        <w:spacing w:after="0" w:line="276" w:lineRule="auto"/>
        <w:jc w:val="both"/>
        <w:rPr>
          <w:rFonts w:ascii="Arial" w:hAnsi="Arial" w:cs="Arial"/>
          <w:color w:val="333333"/>
          <w:shd w:val="clear" w:color="auto" w:fill="FFFFFF"/>
        </w:rPr>
      </w:pPr>
      <w:r w:rsidRPr="00DE1872">
        <w:rPr>
          <w:rFonts w:ascii="Arial" w:eastAsia="Calibri" w:hAnsi="Arial" w:cs="Arial"/>
          <w:color w:val="000000" w:themeColor="text1"/>
        </w:rPr>
        <w:tab/>
      </w:r>
      <w:r w:rsidR="009E52B2" w:rsidRPr="00DE1872">
        <w:rPr>
          <w:rFonts w:ascii="Arial" w:eastAsia="Calibri" w:hAnsi="Arial" w:cs="Arial"/>
          <w:color w:val="000000" w:themeColor="text1"/>
        </w:rPr>
        <w:t>De esta forma</w:t>
      </w:r>
      <w:r w:rsidRPr="00DE1872">
        <w:rPr>
          <w:rFonts w:ascii="Arial" w:eastAsia="Calibri" w:hAnsi="Arial" w:cs="Arial"/>
          <w:bCs/>
          <w:lang w:val="es-ES_tradnl" w:eastAsia="es-ES_tradnl"/>
        </w:rPr>
        <w:t xml:space="preserve">, si para los documentos </w:t>
      </w:r>
      <w:r w:rsidR="0019519A" w:rsidRPr="00DE1872">
        <w:rPr>
          <w:rFonts w:ascii="Arial" w:eastAsia="Calibri" w:hAnsi="Arial" w:cs="Arial"/>
          <w:bCs/>
          <w:lang w:val="es-ES_tradnl" w:eastAsia="es-ES_tradnl"/>
        </w:rPr>
        <w:t xml:space="preserve">que se enlistan en el </w:t>
      </w:r>
      <w:r w:rsidRPr="00DE1872">
        <w:rPr>
          <w:rFonts w:ascii="Arial" w:eastAsia="Calibri" w:hAnsi="Arial" w:cs="Arial"/>
          <w:bCs/>
          <w:lang w:val="es-ES_tradnl" w:eastAsia="es-ES_tradnl"/>
        </w:rPr>
        <w:t xml:space="preserve">parágrafo </w:t>
      </w:r>
      <w:r w:rsidR="0019519A" w:rsidRPr="00DE1872">
        <w:rPr>
          <w:rFonts w:ascii="Arial" w:eastAsia="Calibri" w:hAnsi="Arial" w:cs="Arial"/>
          <w:bCs/>
          <w:lang w:val="es-ES_tradnl" w:eastAsia="es-ES_tradnl"/>
        </w:rPr>
        <w:t xml:space="preserve">2º </w:t>
      </w:r>
      <w:r w:rsidRPr="00DE1872">
        <w:rPr>
          <w:rFonts w:ascii="Arial" w:eastAsia="Calibri" w:hAnsi="Arial" w:cs="Arial"/>
          <w:bCs/>
          <w:lang w:val="es-ES_tradnl" w:eastAsia="es-ES_tradnl"/>
        </w:rPr>
        <w:t xml:space="preserve">del artículo 2.2.1.2.4.2.4 </w:t>
      </w:r>
      <w:r w:rsidR="00AF11ED" w:rsidRPr="00DE1872">
        <w:rPr>
          <w:rFonts w:ascii="Arial" w:eastAsia="Calibri" w:hAnsi="Arial" w:cs="Arial"/>
          <w:bCs/>
          <w:lang w:val="es-ES_tradnl" w:eastAsia="es-ES_tradnl"/>
        </w:rPr>
        <w:t xml:space="preserve">esto es, </w:t>
      </w:r>
      <w:r w:rsidR="00E961F0" w:rsidRPr="00DE1872">
        <w:rPr>
          <w:rFonts w:ascii="Arial" w:eastAsia="Calibri" w:hAnsi="Arial" w:cs="Arial"/>
          <w:bCs/>
          <w:lang w:val="es-ES_tradnl" w:eastAsia="es-ES_tradnl"/>
        </w:rPr>
        <w:t xml:space="preserve">−registro mercantil, del certificado de existencia y representación legal o del </w:t>
      </w:r>
      <w:r w:rsidR="004967C7" w:rsidRPr="00DE1872">
        <w:rPr>
          <w:rFonts w:ascii="Arial" w:eastAsia="Calibri" w:hAnsi="Arial" w:cs="Arial"/>
          <w:bCs/>
          <w:lang w:val="es-ES_tradnl" w:eastAsia="es-ES_tradnl"/>
        </w:rPr>
        <w:t>RUP</w:t>
      </w:r>
      <w:r w:rsidR="00E961F0" w:rsidRPr="00DE1872">
        <w:rPr>
          <w:rFonts w:ascii="Arial" w:eastAsia="Calibri" w:hAnsi="Arial" w:cs="Arial"/>
          <w:bCs/>
          <w:lang w:val="es-ES_tradnl" w:eastAsia="es-ES_tradnl"/>
        </w:rPr>
        <w:t xml:space="preserve">−, según corresponda conforme a las reglas </w:t>
      </w:r>
      <w:r w:rsidR="00D8434A" w:rsidRPr="00DE1872">
        <w:rPr>
          <w:rFonts w:ascii="Arial" w:eastAsia="Calibri" w:hAnsi="Arial" w:cs="Arial"/>
          <w:bCs/>
          <w:lang w:val="es-ES_tradnl" w:eastAsia="es-ES_tradnl"/>
        </w:rPr>
        <w:t xml:space="preserve">contenidas en los numeral </w:t>
      </w:r>
      <w:r w:rsidR="00C222C9" w:rsidRPr="00DE1872">
        <w:rPr>
          <w:rFonts w:ascii="Arial" w:eastAsia="Calibri" w:hAnsi="Arial" w:cs="Arial"/>
          <w:bCs/>
          <w:lang w:val="es-ES_tradnl" w:eastAsia="es-ES_tradnl"/>
        </w:rPr>
        <w:t>1°</w:t>
      </w:r>
      <w:r w:rsidR="009E52B2" w:rsidRPr="00DE1872">
        <w:rPr>
          <w:rFonts w:ascii="Arial" w:eastAsia="Calibri" w:hAnsi="Arial" w:cs="Arial"/>
          <w:bCs/>
          <w:lang w:val="es-ES_tradnl" w:eastAsia="es-ES_tradnl"/>
        </w:rPr>
        <w:t xml:space="preserve">y </w:t>
      </w:r>
      <w:r w:rsidR="00D8434A" w:rsidRPr="00DE1872">
        <w:rPr>
          <w:rFonts w:ascii="Arial" w:eastAsia="Calibri" w:hAnsi="Arial" w:cs="Arial"/>
          <w:bCs/>
          <w:lang w:val="es-ES_tradnl" w:eastAsia="es-ES_tradnl"/>
        </w:rPr>
        <w:t>2</w:t>
      </w:r>
      <w:r w:rsidR="00C222C9" w:rsidRPr="00DE1872">
        <w:rPr>
          <w:rFonts w:ascii="Arial" w:eastAsia="Calibri" w:hAnsi="Arial" w:cs="Arial"/>
          <w:bCs/>
          <w:lang w:val="es-ES_tradnl" w:eastAsia="es-ES_tradnl"/>
        </w:rPr>
        <w:t>°</w:t>
      </w:r>
      <w:r w:rsidR="009E52B2" w:rsidRPr="00DE1872">
        <w:rPr>
          <w:rFonts w:ascii="Arial" w:eastAsia="Calibri" w:hAnsi="Arial" w:cs="Arial"/>
          <w:bCs/>
          <w:lang w:val="es-ES_tradnl" w:eastAsia="es-ES_tradnl"/>
        </w:rPr>
        <w:t xml:space="preserve"> </w:t>
      </w:r>
      <w:r w:rsidR="00C222C9" w:rsidRPr="00DE1872">
        <w:rPr>
          <w:rFonts w:ascii="Arial" w:eastAsia="Calibri" w:hAnsi="Arial" w:cs="Arial"/>
          <w:bCs/>
          <w:lang w:val="es-ES_tradnl" w:eastAsia="es-ES_tradnl"/>
        </w:rPr>
        <w:t xml:space="preserve">y </w:t>
      </w:r>
      <w:r w:rsidR="009E52B2" w:rsidRPr="00DE1872">
        <w:rPr>
          <w:rFonts w:ascii="Arial" w:eastAsia="Calibri" w:hAnsi="Arial" w:cs="Arial"/>
          <w:bCs/>
          <w:lang w:val="es-ES_tradnl" w:eastAsia="es-ES_tradnl"/>
        </w:rPr>
        <w:t>el parágrafo 1°</w:t>
      </w:r>
      <w:r w:rsidR="00D8434A" w:rsidRPr="00DE1872">
        <w:rPr>
          <w:rFonts w:ascii="Arial" w:eastAsia="Calibri" w:hAnsi="Arial" w:cs="Arial"/>
          <w:bCs/>
          <w:lang w:val="es-ES_tradnl" w:eastAsia="es-ES_tradnl"/>
        </w:rPr>
        <w:t xml:space="preserve"> </w:t>
      </w:r>
      <w:r w:rsidR="00C222C9" w:rsidRPr="00DE1872">
        <w:rPr>
          <w:rFonts w:ascii="Arial" w:eastAsia="Calibri" w:hAnsi="Arial" w:cs="Arial"/>
          <w:bCs/>
          <w:lang w:val="es-ES_tradnl" w:eastAsia="es-ES_tradnl"/>
        </w:rPr>
        <w:t xml:space="preserve">del artículo en mención, </w:t>
      </w:r>
      <w:r w:rsidR="00967332" w:rsidRPr="00DE1872">
        <w:rPr>
          <w:rFonts w:ascii="Arial" w:eastAsia="Calibri" w:hAnsi="Arial" w:cs="Arial"/>
          <w:bCs/>
          <w:lang w:val="es-ES_tradnl" w:eastAsia="es-ES_tradnl"/>
        </w:rPr>
        <w:t xml:space="preserve">se </w:t>
      </w:r>
      <w:r w:rsidR="00C222C9" w:rsidRPr="00DE1872">
        <w:rPr>
          <w:rFonts w:ascii="Arial" w:eastAsia="Calibri" w:hAnsi="Arial" w:cs="Arial"/>
          <w:bCs/>
          <w:lang w:val="es-ES_tradnl" w:eastAsia="es-ES_tradnl"/>
        </w:rPr>
        <w:t xml:space="preserve">solicita que estos </w:t>
      </w:r>
      <w:r w:rsidR="00967332" w:rsidRPr="00DE1872">
        <w:rPr>
          <w:rFonts w:ascii="Arial" w:eastAsia="Calibri" w:hAnsi="Arial" w:cs="Arial"/>
          <w:bCs/>
          <w:lang w:val="es-ES_tradnl" w:eastAsia="es-ES_tradnl"/>
        </w:rPr>
        <w:t xml:space="preserve">cuenten </w:t>
      </w:r>
      <w:r w:rsidR="00AF11ED" w:rsidRPr="00DE1872">
        <w:rPr>
          <w:rFonts w:ascii="Arial" w:eastAsia="Calibri" w:hAnsi="Arial" w:cs="Arial"/>
          <w:bCs/>
          <w:lang w:val="es-ES_tradnl" w:eastAsia="es-ES_tradnl"/>
        </w:rPr>
        <w:t>con una fecha de máximo sesenta (60) días calendario anteriores a la prevista en el cronograma del Proceso de Contratación para el inicio del plazo para solicitar la convocatoria limitada</w:t>
      </w:r>
      <w:r w:rsidR="00967332" w:rsidRPr="00DE1872">
        <w:rPr>
          <w:rFonts w:ascii="Arial" w:eastAsia="Calibri" w:hAnsi="Arial" w:cs="Arial"/>
          <w:bCs/>
          <w:lang w:val="es-ES_tradnl" w:eastAsia="es-ES_tradnl"/>
        </w:rPr>
        <w:t xml:space="preserve">, resulta apenas lógico que </w:t>
      </w:r>
      <w:r w:rsidR="00DC3EB8" w:rsidRPr="00DE1872">
        <w:rPr>
          <w:rFonts w:ascii="Arial" w:eastAsia="Calibri" w:hAnsi="Arial" w:cs="Arial"/>
          <w:bCs/>
          <w:lang w:val="es-ES_tradnl" w:eastAsia="es-ES_tradnl"/>
        </w:rPr>
        <w:t xml:space="preserve">la </w:t>
      </w:r>
      <w:r w:rsidR="00E17D5E" w:rsidRPr="00DE1872">
        <w:rPr>
          <w:rFonts w:ascii="Arial" w:eastAsia="Calibri" w:hAnsi="Arial" w:cs="Arial"/>
          <w:bCs/>
          <w:lang w:val="es-ES_tradnl" w:eastAsia="es-ES_tradnl"/>
        </w:rPr>
        <w:t>persona jurídica para acreditar su tamaño empresarial</w:t>
      </w:r>
      <w:r w:rsidR="00DC3EB8" w:rsidRPr="00DE1872">
        <w:rPr>
          <w:rFonts w:ascii="Arial" w:eastAsia="Calibri" w:hAnsi="Arial" w:cs="Arial"/>
          <w:bCs/>
          <w:lang w:val="es-ES_tradnl" w:eastAsia="es-ES_tradnl"/>
        </w:rPr>
        <w:t xml:space="preserve">, aporte </w:t>
      </w:r>
      <w:r w:rsidR="00682202" w:rsidRPr="00DE1872">
        <w:rPr>
          <w:rFonts w:ascii="Arial" w:eastAsia="Calibri" w:hAnsi="Arial" w:cs="Arial"/>
          <w:bCs/>
          <w:lang w:val="es-ES_tradnl" w:eastAsia="es-ES_tradnl"/>
        </w:rPr>
        <w:t xml:space="preserve">una </w:t>
      </w:r>
      <w:r w:rsidR="00DC3EB8" w:rsidRPr="00DE1872">
        <w:rPr>
          <w:rFonts w:ascii="Arial" w:eastAsia="Calibri" w:hAnsi="Arial" w:cs="Arial"/>
          <w:bCs/>
          <w:lang w:val="es-ES_tradnl" w:eastAsia="es-ES_tradnl"/>
        </w:rPr>
        <w:t xml:space="preserve">certificación </w:t>
      </w:r>
      <w:r w:rsidR="00682202" w:rsidRPr="00DE1872">
        <w:rPr>
          <w:rFonts w:ascii="Arial" w:eastAsia="Calibri" w:hAnsi="Arial" w:cs="Arial"/>
          <w:bCs/>
          <w:lang w:val="es-ES_tradnl" w:eastAsia="es-ES_tradnl"/>
        </w:rPr>
        <w:t xml:space="preserve">expedida por </w:t>
      </w:r>
      <w:r w:rsidR="00DC3EB8" w:rsidRPr="00DE1872">
        <w:rPr>
          <w:rFonts w:ascii="Arial" w:eastAsia="Calibri" w:hAnsi="Arial" w:cs="Arial"/>
          <w:bCs/>
          <w:lang w:val="es-ES_tradnl" w:eastAsia="es-ES_tradnl"/>
        </w:rPr>
        <w:t xml:space="preserve">el representante legal y el contador o revisor fiscal, −si están obligados a tenerlo−, </w:t>
      </w:r>
      <w:r w:rsidR="00682202" w:rsidRPr="00DE1872">
        <w:rPr>
          <w:rFonts w:ascii="Arial" w:eastAsia="Calibri" w:hAnsi="Arial" w:cs="Arial"/>
          <w:bCs/>
          <w:lang w:val="es-ES_tradnl" w:eastAsia="es-ES_tradnl"/>
        </w:rPr>
        <w:t xml:space="preserve">con </w:t>
      </w:r>
      <w:r w:rsidR="00967332" w:rsidRPr="00DE1872">
        <w:rPr>
          <w:rFonts w:ascii="Arial" w:eastAsia="Calibri" w:hAnsi="Arial" w:cs="Arial"/>
          <w:bCs/>
          <w:lang w:val="es-ES_tradnl" w:eastAsia="es-ES_tradnl"/>
        </w:rPr>
        <w:t xml:space="preserve">una </w:t>
      </w:r>
      <w:r w:rsidR="00EA6FE8" w:rsidRPr="00DE1872">
        <w:rPr>
          <w:rFonts w:ascii="Arial" w:eastAsia="Calibri" w:hAnsi="Arial" w:cs="Arial"/>
          <w:bCs/>
          <w:lang w:val="es-ES_tradnl" w:eastAsia="es-ES_tradnl"/>
        </w:rPr>
        <w:t>fecha de vigencia, igual a la que se solicita en el</w:t>
      </w:r>
      <w:r w:rsidR="00F32060" w:rsidRPr="00DE1872">
        <w:rPr>
          <w:rFonts w:ascii="Arial" w:eastAsia="Calibri" w:hAnsi="Arial" w:cs="Arial"/>
          <w:bCs/>
          <w:lang w:val="es-ES_tradnl" w:eastAsia="es-ES_tradnl"/>
        </w:rPr>
        <w:t xml:space="preserve"> parágrafo 2º </w:t>
      </w:r>
      <w:r w:rsidR="0034004E" w:rsidRPr="00DE1872">
        <w:rPr>
          <w:rFonts w:ascii="Arial" w:eastAsia="Calibri" w:hAnsi="Arial" w:cs="Arial"/>
          <w:bCs/>
          <w:lang w:val="es-ES_tradnl" w:eastAsia="es-ES_tradnl"/>
        </w:rPr>
        <w:t xml:space="preserve">del artículo </w:t>
      </w:r>
      <w:r w:rsidR="00DC1B62" w:rsidRPr="00DE1872">
        <w:rPr>
          <w:rFonts w:ascii="Arial" w:eastAsia="Calibri" w:hAnsi="Arial" w:cs="Arial"/>
          <w:bCs/>
          <w:lang w:val="es-ES_tradnl" w:eastAsia="es-ES_tradnl"/>
        </w:rPr>
        <w:t>en comento.</w:t>
      </w:r>
      <w:r w:rsidR="00DC1B62">
        <w:rPr>
          <w:rFonts w:ascii="Arial" w:eastAsia="Calibri" w:hAnsi="Arial" w:cs="Arial"/>
          <w:bCs/>
          <w:lang w:val="es-ES_tradnl" w:eastAsia="es-ES_tradnl"/>
        </w:rPr>
        <w:t xml:space="preserve"> </w:t>
      </w:r>
    </w:p>
    <w:bookmarkEnd w:id="16"/>
    <w:p w14:paraId="5DC18EB1" w14:textId="77777777" w:rsidR="00EA6FE8" w:rsidRPr="004A48C9" w:rsidRDefault="00EA6FE8" w:rsidP="009E52B2">
      <w:pPr>
        <w:spacing w:after="0" w:line="276" w:lineRule="auto"/>
        <w:jc w:val="both"/>
        <w:rPr>
          <w:rFonts w:ascii="Arial" w:eastAsia="Times New Roman" w:hAnsi="Arial" w:cs="Arial"/>
          <w:sz w:val="24"/>
          <w:szCs w:val="24"/>
          <w:lang w:eastAsia="es-ES"/>
        </w:rPr>
      </w:pPr>
    </w:p>
    <w:p w14:paraId="256FD169" w14:textId="77777777" w:rsidR="004A48C9" w:rsidRPr="004A48C9" w:rsidRDefault="004A48C9" w:rsidP="00F23EEF">
      <w:pPr>
        <w:tabs>
          <w:tab w:val="left" w:pos="0"/>
        </w:tabs>
        <w:spacing w:after="0" w:line="276" w:lineRule="auto"/>
        <w:jc w:val="both"/>
        <w:rPr>
          <w:rFonts w:ascii="Arial" w:eastAsia="Calibri" w:hAnsi="Arial" w:cs="Arial"/>
          <w:b/>
          <w:lang w:val="es-ES_tradnl" w:eastAsia="es-ES_tradnl"/>
        </w:rPr>
      </w:pPr>
      <w:r w:rsidRPr="004A48C9">
        <w:rPr>
          <w:rFonts w:ascii="Arial" w:eastAsia="Calibri" w:hAnsi="Arial" w:cs="Arial"/>
          <w:b/>
          <w:lang w:val="es-ES_tradnl" w:eastAsia="es-ES_tradnl"/>
        </w:rPr>
        <w:t>3. Respuesta</w:t>
      </w:r>
    </w:p>
    <w:p w14:paraId="4DC17100" w14:textId="77777777" w:rsidR="004A48C9" w:rsidRPr="00F23EEF" w:rsidRDefault="004A48C9" w:rsidP="009E52B2">
      <w:pPr>
        <w:spacing w:after="0" w:line="276" w:lineRule="auto"/>
        <w:contextualSpacing/>
        <w:jc w:val="both"/>
        <w:rPr>
          <w:rFonts w:ascii="Arial" w:eastAsia="Times New Roman" w:hAnsi="Arial" w:cs="Arial"/>
          <w:lang w:val="es-ES_tradnl" w:eastAsia="es-ES_tradnl"/>
        </w:rPr>
      </w:pPr>
    </w:p>
    <w:p w14:paraId="4A053548" w14:textId="042947D2" w:rsidR="004A48C9" w:rsidRDefault="004A48C9" w:rsidP="009E52B2">
      <w:pPr>
        <w:spacing w:after="0" w:line="240" w:lineRule="auto"/>
        <w:ind w:left="709" w:right="709"/>
        <w:jc w:val="both"/>
        <w:rPr>
          <w:rFonts w:ascii="Arial" w:hAnsi="Arial" w:cs="Arial"/>
          <w:sz w:val="21"/>
          <w:szCs w:val="21"/>
        </w:rPr>
      </w:pPr>
      <w:bookmarkStart w:id="17" w:name="_Hlk121095211"/>
      <w:r w:rsidRPr="004A48C9">
        <w:rPr>
          <w:rFonts w:ascii="Arial" w:hAnsi="Arial" w:cs="Arial"/>
          <w:sz w:val="21"/>
          <w:szCs w:val="21"/>
        </w:rPr>
        <w:t xml:space="preserve">i) </w:t>
      </w:r>
      <w:r>
        <w:rPr>
          <w:rFonts w:ascii="Arial" w:hAnsi="Arial" w:cs="Arial"/>
          <w:sz w:val="21"/>
          <w:szCs w:val="21"/>
        </w:rPr>
        <w:t>«</w:t>
      </w:r>
      <w:r w:rsidRPr="004A48C9">
        <w:rPr>
          <w:rFonts w:ascii="Arial" w:hAnsi="Arial" w:cs="Arial"/>
          <w:sz w:val="21"/>
          <w:szCs w:val="21"/>
        </w:rPr>
        <w:t xml:space="preserve">¿La manifestación de limitación a </w:t>
      </w:r>
      <w:proofErr w:type="spellStart"/>
      <w:r w:rsidRPr="004A48C9">
        <w:rPr>
          <w:rFonts w:ascii="Arial" w:hAnsi="Arial" w:cs="Arial"/>
          <w:sz w:val="21"/>
          <w:szCs w:val="21"/>
        </w:rPr>
        <w:t>mipymes</w:t>
      </w:r>
      <w:proofErr w:type="spellEnd"/>
      <w:r w:rsidRPr="004A48C9">
        <w:rPr>
          <w:rFonts w:ascii="Arial" w:hAnsi="Arial" w:cs="Arial"/>
          <w:sz w:val="21"/>
          <w:szCs w:val="21"/>
        </w:rPr>
        <w:t xml:space="preserve"> debe ir acompañada de los documentos (antecedentes de la Junta Central de Contadores, cédula de ciudadanía, tarjeta profesional) del contador o revisor fiscal?</w:t>
      </w:r>
      <w:r>
        <w:rPr>
          <w:rFonts w:ascii="Arial" w:hAnsi="Arial" w:cs="Arial"/>
          <w:sz w:val="21"/>
          <w:szCs w:val="21"/>
        </w:rPr>
        <w:t>».</w:t>
      </w:r>
    </w:p>
    <w:p w14:paraId="3EB4F93D" w14:textId="77777777" w:rsidR="009E52B2" w:rsidRDefault="009E52B2" w:rsidP="00F23EEF">
      <w:pPr>
        <w:spacing w:after="0" w:line="240" w:lineRule="auto"/>
        <w:ind w:left="709" w:right="709"/>
        <w:jc w:val="both"/>
        <w:rPr>
          <w:rFonts w:ascii="Arial" w:hAnsi="Arial" w:cs="Arial"/>
          <w:sz w:val="21"/>
          <w:szCs w:val="21"/>
        </w:rPr>
      </w:pPr>
    </w:p>
    <w:p w14:paraId="44D9EC30" w14:textId="5B0E492A" w:rsidR="004A48C9" w:rsidRDefault="004A48C9" w:rsidP="00F23EEF">
      <w:pPr>
        <w:spacing w:after="0" w:line="240" w:lineRule="auto"/>
        <w:ind w:left="709" w:right="709"/>
        <w:jc w:val="both"/>
        <w:rPr>
          <w:rFonts w:ascii="Arial" w:hAnsi="Arial" w:cs="Arial"/>
          <w:sz w:val="21"/>
          <w:szCs w:val="21"/>
        </w:rPr>
      </w:pPr>
      <w:proofErr w:type="spellStart"/>
      <w:r w:rsidRPr="004A48C9">
        <w:rPr>
          <w:rFonts w:ascii="Arial" w:hAnsi="Arial" w:cs="Arial"/>
          <w:sz w:val="21"/>
          <w:szCs w:val="21"/>
        </w:rPr>
        <w:t>ii</w:t>
      </w:r>
      <w:proofErr w:type="spellEnd"/>
      <w:r w:rsidRPr="004A48C9">
        <w:rPr>
          <w:rFonts w:ascii="Arial" w:hAnsi="Arial" w:cs="Arial"/>
          <w:sz w:val="21"/>
          <w:szCs w:val="21"/>
        </w:rPr>
        <w:t xml:space="preserve">) </w:t>
      </w:r>
      <w:r>
        <w:rPr>
          <w:rFonts w:ascii="Arial" w:hAnsi="Arial" w:cs="Arial"/>
          <w:sz w:val="21"/>
          <w:szCs w:val="21"/>
        </w:rPr>
        <w:t>«</w:t>
      </w:r>
      <w:r w:rsidRPr="004A48C9">
        <w:rPr>
          <w:rFonts w:ascii="Arial" w:hAnsi="Arial" w:cs="Arial"/>
          <w:sz w:val="21"/>
          <w:szCs w:val="21"/>
        </w:rPr>
        <w:t>¿Carece de validez la limitación si no se adjuntan tales documentos?</w:t>
      </w:r>
      <w:r>
        <w:rPr>
          <w:rFonts w:ascii="Arial" w:hAnsi="Arial" w:cs="Arial"/>
          <w:sz w:val="21"/>
          <w:szCs w:val="21"/>
        </w:rPr>
        <w:t>».</w:t>
      </w:r>
    </w:p>
    <w:bookmarkEnd w:id="17"/>
    <w:p w14:paraId="4E19AEE5" w14:textId="77777777" w:rsidR="00BA1456" w:rsidRPr="00F23EEF" w:rsidRDefault="00BA1456" w:rsidP="00F23EEF">
      <w:pPr>
        <w:spacing w:after="0" w:line="276" w:lineRule="auto"/>
        <w:ind w:left="709" w:right="709"/>
        <w:jc w:val="both"/>
        <w:rPr>
          <w:rFonts w:ascii="Arial" w:hAnsi="Arial" w:cs="Arial"/>
        </w:rPr>
      </w:pPr>
    </w:p>
    <w:p w14:paraId="4E1E2725" w14:textId="77777777" w:rsidR="00BA1456" w:rsidRPr="00BA1456" w:rsidRDefault="00BA1456" w:rsidP="00BA1456">
      <w:pPr>
        <w:spacing w:after="0" w:line="276" w:lineRule="auto"/>
        <w:ind w:firstLine="709"/>
        <w:jc w:val="both"/>
        <w:rPr>
          <w:rFonts w:ascii="Arial" w:hAnsi="Arial" w:cs="Arial"/>
          <w:lang w:val="es-MX"/>
        </w:rPr>
      </w:pPr>
      <w:r w:rsidRPr="00BA1456">
        <w:rPr>
          <w:rFonts w:ascii="Arial" w:hAnsi="Arial" w:cs="Arial"/>
          <w:lang w:val="es-MX"/>
        </w:rPr>
        <w:t>Teniendo en cuenta la relación entre la primera y segunda pregunta de su solicitud, estas se responderán de forma conjunta en los siguientes términos:</w:t>
      </w:r>
    </w:p>
    <w:p w14:paraId="75D0A2DC" w14:textId="77777777" w:rsidR="00BA1456" w:rsidRPr="00BA1456" w:rsidRDefault="00BA1456" w:rsidP="00BA1456">
      <w:pPr>
        <w:spacing w:before="120" w:after="120" w:line="276" w:lineRule="auto"/>
        <w:ind w:firstLine="709"/>
        <w:jc w:val="both"/>
        <w:rPr>
          <w:rFonts w:ascii="Arial" w:hAnsi="Arial" w:cs="Arial"/>
          <w:lang w:val="es-MX"/>
        </w:rPr>
      </w:pPr>
      <w:r w:rsidRPr="00BA1456">
        <w:rPr>
          <w:rFonts w:ascii="Arial" w:hAnsi="Arial" w:cs="Arial"/>
          <w:lang w:val="es-MX"/>
        </w:rPr>
        <w:t xml:space="preserve">Como se indicó en las consideraciones desarrolladas en este concepto, para efectos de las convocatorias limitadas a Mipyme colombianas del sistema de compras públicas, el artículo 2.2.1.2.4.2.4 del Decreto 1082 de 2015 –modificado por el Decreto 1860 de 2021– determina la forma en la que se debe acreditar el tamaño empresarial, tratándose de persona natural y persona jurídica. Es importante precisar que esta acreditación se debe realizar tanto para solicitar la limitación de la convocatoria como para participar en el proceso de selección una vez esta se haya limitado a Mipyme. </w:t>
      </w:r>
    </w:p>
    <w:p w14:paraId="6004CBC1" w14:textId="77777777" w:rsidR="00BA1456" w:rsidRPr="00BA1456" w:rsidRDefault="00BA1456" w:rsidP="00BA1456">
      <w:pPr>
        <w:spacing w:before="120" w:after="120" w:line="276" w:lineRule="auto"/>
        <w:ind w:firstLine="709"/>
        <w:jc w:val="both"/>
        <w:rPr>
          <w:rFonts w:ascii="Arial" w:hAnsi="Arial" w:cs="Arial"/>
          <w:lang w:val="es-MX"/>
        </w:rPr>
      </w:pPr>
      <w:r w:rsidRPr="00BA1456">
        <w:rPr>
          <w:rFonts w:ascii="Arial" w:hAnsi="Arial" w:cs="Arial"/>
          <w:lang w:val="es-MX"/>
        </w:rPr>
        <w:t xml:space="preserve">En relación con la persona natural, la disposición antes señalada exige que se acredite el tamaño empresarial mediante certificación expedida por ellos y un contador público, adjuntando </w:t>
      </w:r>
      <w:r w:rsidRPr="00BA1456">
        <w:rPr>
          <w:rFonts w:ascii="Arial" w:hAnsi="Arial" w:cs="Arial"/>
          <w:lang w:val="es-MX"/>
        </w:rPr>
        <w:lastRenderedPageBreak/>
        <w:t xml:space="preserve">copia del registro mercantil. En este caso, la intervención del contador es necesaria con el fin de que actúe en calidad de fedatario. </w:t>
      </w:r>
    </w:p>
    <w:p w14:paraId="33099271" w14:textId="77777777" w:rsidR="00BA1456" w:rsidRPr="00BA1456" w:rsidRDefault="00BA1456" w:rsidP="00BA1456">
      <w:pPr>
        <w:spacing w:before="120" w:after="120" w:line="276" w:lineRule="auto"/>
        <w:ind w:firstLine="709"/>
        <w:jc w:val="both"/>
        <w:rPr>
          <w:rFonts w:ascii="Arial" w:hAnsi="Arial" w:cs="Arial"/>
          <w:lang w:val="es-MX"/>
        </w:rPr>
      </w:pPr>
      <w:r w:rsidRPr="00BA1456">
        <w:rPr>
          <w:rFonts w:ascii="Arial" w:hAnsi="Arial" w:cs="Arial"/>
          <w:lang w:val="es-MX"/>
        </w:rPr>
        <w:t xml:space="preserve">Por su parte, si la Mipyme es persona jurídica, la norma requiere que acredite el tamaño empresarial mediante certificación expedida por el representante legal y el contador o revisor fiscal, si está obligada a tenerlo, adjuntando copia del certificado de existencia y representación legal expedido por la Cámara de Comercio o por la autoridad competente para expedir dicha certificación. </w:t>
      </w:r>
    </w:p>
    <w:p w14:paraId="1143BF09" w14:textId="77777777" w:rsidR="00BA1456" w:rsidRPr="00BA1456" w:rsidRDefault="00BA1456" w:rsidP="00BA1456">
      <w:pPr>
        <w:spacing w:before="120" w:after="120" w:line="276" w:lineRule="auto"/>
        <w:ind w:firstLine="709"/>
        <w:jc w:val="both"/>
        <w:rPr>
          <w:rFonts w:ascii="Arial" w:hAnsi="Arial" w:cs="Arial"/>
          <w:lang w:val="es-MX"/>
        </w:rPr>
      </w:pPr>
      <w:r w:rsidRPr="00BA1456">
        <w:rPr>
          <w:rFonts w:ascii="Arial" w:hAnsi="Arial" w:cs="Arial"/>
          <w:lang w:val="es-MX"/>
        </w:rPr>
        <w:t xml:space="preserve">Sin perjuicio de las posibilidades anteriores, es preciso señalar que el parágrafo 1 del artículo 2.2.1.2.4.2.4. permite acreditar la condición de Mipyme con la copia del certificado del Registro Único de Proponentes –RUP–. De esta manera, la Mipyme, sea persona natural o persona jurídica, podrá acreditar la actividad y el tamaño empresarial exigido por la ley, presentando el RUP, documento que en este caso es de carácter opcional, es decir, es un medio de prueba alternativo establecido por el mismo reglamento. En consecuencia, en caso de que la Mipyme cuente con este documento podrá aportarlo de acuerdo con lo dispuesto en el artículo 2.2.1.2.4.2.4. del Decreto 1082 de 2015 –modificado por el Decreto 1860 de 2021–, de lo contrario deberá allegar la documentación respectiva conforme lo disponen los numerales 1º y 2º de la norma en cita, según sea el caso. </w:t>
      </w:r>
    </w:p>
    <w:p w14:paraId="6F0488C5" w14:textId="77777777" w:rsidR="00BA1456" w:rsidRPr="00BA1456" w:rsidRDefault="00BA1456" w:rsidP="00BA1456">
      <w:pPr>
        <w:spacing w:before="120" w:after="120" w:line="276" w:lineRule="auto"/>
        <w:ind w:firstLine="709"/>
        <w:jc w:val="both"/>
        <w:rPr>
          <w:rFonts w:ascii="Arial" w:hAnsi="Arial" w:cs="Arial"/>
          <w:lang w:val="es-MX"/>
        </w:rPr>
      </w:pPr>
      <w:r w:rsidRPr="00BA1456">
        <w:rPr>
          <w:rFonts w:ascii="Arial" w:hAnsi="Arial" w:cs="Arial"/>
          <w:lang w:val="es-MX"/>
        </w:rPr>
        <w:t xml:space="preserve">De esta manera, las propias normas reglamentarias establecen, con detalle, cuáles son los documentos que permiten demostrar que las empresas que solicitan la limitación del proceso de selección cumplen las condiciones exigidas en el reglamento para acceder a ese beneficio. Antes de limitar el proceso, las entidades deberán validar que se hayan cumplido todos los requisitos referidos para comprobar la condición de Mipyme. </w:t>
      </w:r>
    </w:p>
    <w:p w14:paraId="2F4EC5D1" w14:textId="77777777" w:rsidR="009E52B2" w:rsidRDefault="00BA1456" w:rsidP="00F23EEF">
      <w:pPr>
        <w:spacing w:before="120" w:after="0" w:line="276" w:lineRule="auto"/>
        <w:ind w:firstLine="709"/>
        <w:jc w:val="both"/>
        <w:rPr>
          <w:rFonts w:ascii="Arial" w:hAnsi="Arial" w:cs="Arial"/>
          <w:bCs/>
          <w:color w:val="000000"/>
          <w:lang w:val="es-ES_tradnl"/>
        </w:rPr>
      </w:pPr>
      <w:r w:rsidRPr="00BA1456">
        <w:rPr>
          <w:rFonts w:ascii="Arial" w:hAnsi="Arial" w:cs="Arial"/>
          <w:lang w:val="es-MX"/>
        </w:rPr>
        <w:t xml:space="preserve">En este sentido, los documentos a los que se refieren los distintos numerales del artículo 2.2.1.2.4.2.4. del Decreto 1082 de 2015 –modificado por el Decreto 1860 de 2021–, constituyen una tarifa legal probatoria, por lo que las entidades estatales deben presumir la buena fe, como lo ordena el artículo 83 de la Constitución Política. Ahora bien, de conformidad con los numerales 1 y 2 del artículo 25 de la Ley 80 de 1993 se prohíbe implementar trámites o requisitos que las normas no incluyen, como garantía del principio de economía, de esta forma, las entidades deben abstenerse de solicitar documentos adicionales a los señalados en el artículo referido. </w:t>
      </w:r>
      <w:r w:rsidR="009E52B2" w:rsidRPr="00C91C7E">
        <w:rPr>
          <w:rFonts w:ascii="Arial" w:hAnsi="Arial" w:cs="Arial"/>
          <w:bCs/>
          <w:color w:val="000000"/>
          <w:lang w:val="es-ES_tradnl"/>
        </w:rPr>
        <w:t xml:space="preserve">Así las cosas, atendiendo a la pregunta planteada en relación a si la manifestación de limitación a Mipyme debe ir acompañada de los antecedentes de la Junta Central de Contadores, la cédula de ciudadanía y la tarjeta profesional del contador o revisor fiscal, esta Agencia considera que las entidades no los deben exigir para efectos de limitar la convocatoria a Mipyme o para participar en ella una vez limitada, en la medida que como se expuso, la norma no consagra la obligación de allegar dichos documentos con la certificación mediante la cual se acredita el tamaño empresarial, exigir la presentación de documentos que no están dispuestos en el </w:t>
      </w:r>
      <w:r w:rsidR="009E52B2" w:rsidRPr="00C91C7E">
        <w:rPr>
          <w:rFonts w:ascii="Arial" w:eastAsia="Calibri" w:hAnsi="Arial" w:cs="Arial"/>
          <w:lang w:val="es-ES_tradnl"/>
        </w:rPr>
        <w:t xml:space="preserve">artículo </w:t>
      </w:r>
      <w:r w:rsidR="009E52B2" w:rsidRPr="00C91C7E">
        <w:rPr>
          <w:rFonts w:ascii="Arial" w:eastAsia="Calibri" w:hAnsi="Arial" w:cs="Arial"/>
          <w:bCs/>
          <w:lang w:eastAsia="es-ES_tradnl"/>
        </w:rPr>
        <w:t>2.2.1.2.4.2.4. del Decreto 1082 de 2015 contrariaría lo señalado en el artículo 25 de la Ley 80 de 1993</w:t>
      </w:r>
      <w:r w:rsidR="009E52B2" w:rsidRPr="00C91C7E">
        <w:rPr>
          <w:rFonts w:ascii="Arial" w:hAnsi="Arial" w:cs="Arial"/>
          <w:bCs/>
          <w:color w:val="000000"/>
          <w:lang w:val="es-ES_tradnl"/>
        </w:rPr>
        <w:t>.</w:t>
      </w:r>
      <w:r w:rsidR="009E52B2">
        <w:rPr>
          <w:rFonts w:ascii="Arial" w:hAnsi="Arial" w:cs="Arial"/>
          <w:bCs/>
          <w:color w:val="000000"/>
          <w:lang w:val="es-ES_tradnl"/>
        </w:rPr>
        <w:t xml:space="preserve"> </w:t>
      </w:r>
    </w:p>
    <w:p w14:paraId="412F7452" w14:textId="77777777" w:rsidR="00BA1456" w:rsidRPr="00BA1456" w:rsidRDefault="00BA1456" w:rsidP="00F23EEF">
      <w:pPr>
        <w:spacing w:after="0" w:line="276" w:lineRule="auto"/>
        <w:ind w:right="709"/>
        <w:jc w:val="both"/>
        <w:rPr>
          <w:rFonts w:ascii="Arial" w:hAnsi="Arial" w:cs="Arial"/>
          <w:sz w:val="21"/>
          <w:szCs w:val="21"/>
          <w:lang w:val="es-MX"/>
        </w:rPr>
      </w:pPr>
    </w:p>
    <w:p w14:paraId="548E460E" w14:textId="77777777" w:rsidR="00BA1456" w:rsidRPr="00BA1456" w:rsidRDefault="00BA1456" w:rsidP="00BA1456">
      <w:pPr>
        <w:spacing w:after="0" w:line="240" w:lineRule="auto"/>
        <w:ind w:left="709" w:right="709"/>
        <w:jc w:val="both"/>
        <w:rPr>
          <w:rFonts w:ascii="Arial" w:hAnsi="Arial" w:cs="Arial"/>
          <w:sz w:val="21"/>
          <w:szCs w:val="21"/>
          <w:lang w:val="es-MX"/>
        </w:rPr>
      </w:pPr>
      <w:proofErr w:type="spellStart"/>
      <w:r w:rsidRPr="00BA1456">
        <w:rPr>
          <w:rFonts w:ascii="Arial" w:hAnsi="Arial" w:cs="Arial"/>
          <w:sz w:val="21"/>
          <w:szCs w:val="21"/>
          <w:lang w:val="es-MX"/>
        </w:rPr>
        <w:t>iii</w:t>
      </w:r>
      <w:proofErr w:type="spellEnd"/>
      <w:r w:rsidRPr="00BA1456">
        <w:rPr>
          <w:rFonts w:ascii="Arial" w:hAnsi="Arial" w:cs="Arial"/>
          <w:sz w:val="21"/>
          <w:szCs w:val="21"/>
          <w:lang w:val="es-MX"/>
        </w:rPr>
        <w:t xml:space="preserve">) «¿El certificado de </w:t>
      </w:r>
      <w:proofErr w:type="spellStart"/>
      <w:r w:rsidRPr="00BA1456">
        <w:rPr>
          <w:rFonts w:ascii="Arial" w:hAnsi="Arial" w:cs="Arial"/>
          <w:sz w:val="21"/>
          <w:szCs w:val="21"/>
          <w:lang w:val="es-MX"/>
        </w:rPr>
        <w:t>mipymes</w:t>
      </w:r>
      <w:proofErr w:type="spellEnd"/>
      <w:r w:rsidRPr="00BA1456">
        <w:rPr>
          <w:rFonts w:ascii="Arial" w:hAnsi="Arial" w:cs="Arial"/>
          <w:sz w:val="21"/>
          <w:szCs w:val="21"/>
          <w:lang w:val="es-MX"/>
        </w:rPr>
        <w:t xml:space="preserve"> suscrito por el representante legal y el contador o revisor fiscal es válido si fue suscrito hace más de seis (06) meses o un (01) año atrás a la fecha del cierre del proceso?». </w:t>
      </w:r>
    </w:p>
    <w:p w14:paraId="71225FE0" w14:textId="77777777" w:rsidR="00BA1456" w:rsidRPr="00BA1456" w:rsidRDefault="00BA1456" w:rsidP="00BA1456">
      <w:pPr>
        <w:spacing w:after="0" w:line="276" w:lineRule="auto"/>
        <w:jc w:val="both"/>
        <w:rPr>
          <w:rFonts w:ascii="Arial" w:eastAsia="Calibri" w:hAnsi="Arial" w:cs="Arial"/>
          <w:lang w:val="es-ES_tradnl"/>
        </w:rPr>
      </w:pPr>
    </w:p>
    <w:p w14:paraId="4EC4F794" w14:textId="2FF3857F" w:rsidR="00BA1456" w:rsidRPr="00BA1456" w:rsidRDefault="00BA1456" w:rsidP="00BA1456">
      <w:pPr>
        <w:spacing w:after="0" w:line="276" w:lineRule="auto"/>
        <w:jc w:val="both"/>
        <w:rPr>
          <w:rFonts w:ascii="Arial" w:eastAsia="Calibri" w:hAnsi="Arial" w:cs="Arial"/>
          <w:color w:val="000000" w:themeColor="text1"/>
          <w:lang w:val="es-MX"/>
        </w:rPr>
      </w:pPr>
      <w:r w:rsidRPr="00BA1456">
        <w:rPr>
          <w:rFonts w:ascii="Arial" w:eastAsia="Calibri" w:hAnsi="Arial" w:cs="Arial"/>
          <w:lang w:val="es-ES_tradnl"/>
        </w:rPr>
        <w:t xml:space="preserve">Para dilucidar, el interrogante planteado, </w:t>
      </w:r>
      <w:r w:rsidR="009E52B2" w:rsidRPr="00BA1456">
        <w:rPr>
          <w:rFonts w:ascii="Arial" w:eastAsia="Calibri" w:hAnsi="Arial" w:cs="Arial"/>
          <w:color w:val="000000" w:themeColor="text1"/>
          <w:lang w:val="es-MX"/>
        </w:rPr>
        <w:t xml:space="preserve">es necesario recordar que el ordenamiento jurídico colombiano establece unas reglas para la interpretación de textos normativos, consagradas en los artículos 25 a 32 del Código Civil. </w:t>
      </w:r>
      <w:r w:rsidR="00CA42CA" w:rsidRPr="00BA1456">
        <w:rPr>
          <w:rFonts w:ascii="Arial" w:eastAsia="Calibri" w:hAnsi="Arial" w:cs="Arial"/>
          <w:bCs/>
          <w:lang w:val="es-MX" w:eastAsia="es-ES_tradnl"/>
        </w:rPr>
        <w:t xml:space="preserve">Así las cosas, </w:t>
      </w:r>
      <w:r w:rsidRPr="00BA1456">
        <w:rPr>
          <w:rFonts w:ascii="Arial" w:eastAsia="Calibri" w:hAnsi="Arial" w:cs="Arial"/>
          <w:lang w:val="es-ES_tradnl"/>
        </w:rPr>
        <w:t xml:space="preserve">es pertinente acudir a </w:t>
      </w:r>
      <w:r w:rsidRPr="00BA1456">
        <w:rPr>
          <w:rFonts w:ascii="Arial" w:eastAsia="Calibri" w:hAnsi="Arial" w:cs="Arial"/>
          <w:color w:val="000000" w:themeColor="text1"/>
          <w:lang w:val="es-MX"/>
        </w:rPr>
        <w:t xml:space="preserve">la interpretación sistemática y lógica </w:t>
      </w:r>
      <w:r w:rsidRPr="00BA1456">
        <w:rPr>
          <w:rFonts w:ascii="Arial" w:eastAsia="Calibri" w:hAnsi="Arial" w:cs="Arial"/>
          <w:lang w:val="es-ES_tradnl"/>
        </w:rPr>
        <w:t xml:space="preserve">del artículo </w:t>
      </w:r>
      <w:r w:rsidRPr="00BA1456">
        <w:rPr>
          <w:rFonts w:ascii="Arial" w:eastAsia="Calibri" w:hAnsi="Arial" w:cs="Arial"/>
          <w:bCs/>
          <w:lang w:val="es-MX" w:eastAsia="es-ES_tradnl"/>
        </w:rPr>
        <w:t>2.2.1.2.4.2.4. del Decreto 1082 de 2015 –modificado por el Decreto 1860 de 2021–.</w:t>
      </w:r>
    </w:p>
    <w:p w14:paraId="38BCE564" w14:textId="122FEB0A" w:rsidR="00BA1456" w:rsidRPr="00BA1456" w:rsidRDefault="00CA42CA" w:rsidP="00BA1456">
      <w:pPr>
        <w:spacing w:before="120" w:after="120" w:line="276" w:lineRule="auto"/>
        <w:ind w:firstLine="709"/>
        <w:jc w:val="both"/>
        <w:rPr>
          <w:rFonts w:ascii="Arial" w:hAnsi="Arial" w:cs="Arial"/>
          <w:lang w:val="es-MX"/>
        </w:rPr>
      </w:pPr>
      <w:r>
        <w:rPr>
          <w:rFonts w:ascii="Arial" w:eastAsia="Calibri" w:hAnsi="Arial" w:cs="Arial"/>
          <w:color w:val="000000" w:themeColor="text1"/>
          <w:lang w:val="es-MX"/>
        </w:rPr>
        <w:t>En primer lugar,</w:t>
      </w:r>
      <w:r w:rsidR="00BA1456" w:rsidRPr="00BA1456">
        <w:rPr>
          <w:rFonts w:ascii="Arial" w:eastAsia="Calibri" w:hAnsi="Arial" w:cs="Arial"/>
          <w:color w:val="000000" w:themeColor="text1"/>
          <w:lang w:val="es-MX"/>
        </w:rPr>
        <w:t xml:space="preserve"> se dará aplicación al criterio de interpretación sistemática, que se define «como aquel entendimiento de una norma que se deriva de la comparación del precepto con la norma o normas en las que se integra». De acuerdo con el Consejo de Estado, la interpretación sistemática pone de presente «</w:t>
      </w:r>
      <w:r w:rsidR="00BA1456" w:rsidRPr="00BA1456">
        <w:rPr>
          <w:rFonts w:ascii="Arial" w:hAnsi="Arial" w:cs="Arial"/>
          <w:lang w:val="es-MX"/>
        </w:rPr>
        <w:t>la correlación entre las partes constitutivas de un discurso, como de cada manifestación del pensamiento, y su referencia común al todo del que hacen parte». Además, la Corte Constitucional ha establecido que la interpretación sistemática es útil cuando se presentan supuestas incongruencias al interior de un orden normativo, pues la integración que se realiza por medio de este método permite completar el sentido de las disposiciones que dependen mutuamente para su debida aplicación.</w:t>
      </w:r>
      <w:r w:rsidR="00BA1456" w:rsidRPr="00BA1456">
        <w:rPr>
          <w:rFonts w:ascii="Arial" w:eastAsia="Calibri" w:hAnsi="Arial" w:cs="Arial"/>
          <w:color w:val="000000" w:themeColor="text1"/>
          <w:lang w:val="es-MX"/>
        </w:rPr>
        <w:t xml:space="preserve"> </w:t>
      </w:r>
      <w:r w:rsidR="00BA1456" w:rsidRPr="00BA1456">
        <w:rPr>
          <w:rFonts w:ascii="Arial" w:hAnsi="Arial" w:cs="Arial"/>
          <w:lang w:val="es-MX"/>
        </w:rPr>
        <w:t>En otras palabras, la interpretación sistemática permite que</w:t>
      </w:r>
      <w:r>
        <w:rPr>
          <w:rFonts w:ascii="Arial" w:hAnsi="Arial" w:cs="Arial"/>
          <w:lang w:val="es-MX"/>
        </w:rPr>
        <w:t>,</w:t>
      </w:r>
      <w:r w:rsidR="00BA1456" w:rsidRPr="00BA1456">
        <w:rPr>
          <w:rFonts w:ascii="Arial" w:hAnsi="Arial" w:cs="Arial"/>
          <w:lang w:val="es-MX"/>
        </w:rPr>
        <w:t xml:space="preserve"> por medio de la integración normativa, se comprenda el significado de un conjunto de normas, así como de una norma particular. </w:t>
      </w:r>
    </w:p>
    <w:p w14:paraId="41B9042C" w14:textId="5358AB35" w:rsidR="00BA1456" w:rsidRPr="00BA1456" w:rsidRDefault="00CA42CA" w:rsidP="00BA1456">
      <w:pPr>
        <w:spacing w:after="120" w:line="276" w:lineRule="auto"/>
        <w:ind w:firstLine="709"/>
        <w:jc w:val="both"/>
        <w:rPr>
          <w:rFonts w:ascii="Arial" w:hAnsi="Arial" w:cs="Arial"/>
          <w:lang w:val="es-MX"/>
        </w:rPr>
      </w:pPr>
      <w:r>
        <w:rPr>
          <w:rFonts w:ascii="Arial" w:hAnsi="Arial" w:cs="Arial"/>
          <w:lang w:val="es-MX"/>
        </w:rPr>
        <w:t>Atendiendo el</w:t>
      </w:r>
      <w:r w:rsidR="00BA1456" w:rsidRPr="00BA1456">
        <w:rPr>
          <w:rFonts w:ascii="Arial" w:hAnsi="Arial" w:cs="Arial"/>
          <w:lang w:val="es-MX"/>
        </w:rPr>
        <w:t xml:space="preserve"> presente el método de interpretación sistemática, integrando la disposición contenida en el numeral </w:t>
      </w:r>
      <w:r w:rsidR="00BA1456" w:rsidRPr="00BA1456">
        <w:rPr>
          <w:rFonts w:ascii="Arial" w:eastAsia="Calibri" w:hAnsi="Arial" w:cs="Arial"/>
          <w:bCs/>
          <w:lang w:val="es-ES_tradnl" w:eastAsia="es-ES_tradnl"/>
        </w:rPr>
        <w:t>2º</w:t>
      </w:r>
      <w:r w:rsidR="00BA1456" w:rsidRPr="00BA1456">
        <w:rPr>
          <w:rFonts w:ascii="Arial" w:hAnsi="Arial" w:cs="Arial"/>
          <w:lang w:val="es-MX"/>
        </w:rPr>
        <w:t xml:space="preserve"> del </w:t>
      </w:r>
      <w:r w:rsidR="00BA1456" w:rsidRPr="00BA1456">
        <w:rPr>
          <w:rFonts w:ascii="Arial" w:hAnsi="Arial" w:cs="Arial"/>
          <w:color w:val="000000" w:themeColor="text1"/>
          <w:lang w:val="es-MX"/>
        </w:rPr>
        <w:t xml:space="preserve">artículo </w:t>
      </w:r>
      <w:r w:rsidR="00BA1456" w:rsidRPr="00BA1456">
        <w:rPr>
          <w:rFonts w:ascii="Arial" w:eastAsia="Calibri" w:hAnsi="Arial" w:cs="Arial"/>
          <w:bCs/>
          <w:lang w:val="es-MX" w:eastAsia="es-ES_tradnl"/>
        </w:rPr>
        <w:t>2.2.1.2.4.2.4</w:t>
      </w:r>
      <w:r w:rsidR="00BA1456" w:rsidRPr="00BA1456">
        <w:rPr>
          <w:rFonts w:ascii="Arial" w:hAnsi="Arial" w:cs="Arial"/>
          <w:color w:val="000000" w:themeColor="text1"/>
          <w:lang w:val="es-MX"/>
        </w:rPr>
        <w:t xml:space="preserve">, y el parágrafo </w:t>
      </w:r>
      <w:r w:rsidR="00BA1456" w:rsidRPr="00BA1456">
        <w:rPr>
          <w:rFonts w:ascii="Arial" w:eastAsia="Calibri" w:hAnsi="Arial" w:cs="Arial"/>
          <w:bCs/>
          <w:lang w:val="es-ES_tradnl" w:eastAsia="es-ES_tradnl"/>
        </w:rPr>
        <w:t xml:space="preserve">2º del referido artículo, es posible concluir que </w:t>
      </w:r>
      <w:r w:rsidR="00BA1456" w:rsidRPr="00BA1456">
        <w:rPr>
          <w:rFonts w:ascii="Arial" w:hAnsi="Arial" w:cs="Arial"/>
          <w:color w:val="000000" w:themeColor="text1"/>
          <w:lang w:val="es-MX"/>
        </w:rPr>
        <w:t xml:space="preserve">las </w:t>
      </w:r>
      <w:proofErr w:type="spellStart"/>
      <w:r w:rsidR="00BA1456" w:rsidRPr="00BA1456">
        <w:rPr>
          <w:rFonts w:ascii="Arial" w:hAnsi="Arial" w:cs="Arial"/>
          <w:color w:val="000000" w:themeColor="text1"/>
          <w:lang w:val="es-MX"/>
        </w:rPr>
        <w:t>Mipymes</w:t>
      </w:r>
      <w:proofErr w:type="spellEnd"/>
      <w:r w:rsidR="00BA1456" w:rsidRPr="00BA1456">
        <w:rPr>
          <w:rFonts w:ascii="Arial" w:hAnsi="Arial" w:cs="Arial"/>
          <w:color w:val="000000" w:themeColor="text1"/>
          <w:lang w:val="es-MX"/>
        </w:rPr>
        <w:t xml:space="preserve"> colombianas −personas jurídicas− </w:t>
      </w:r>
      <w:r w:rsidR="00BA1456" w:rsidRPr="00BA1456">
        <w:rPr>
          <w:rFonts w:ascii="Arial" w:hAnsi="Arial" w:cs="Arial"/>
          <w:lang w:val="es-MX"/>
        </w:rPr>
        <w:t>acreditaran su tamaño empresarial «[…] mediante certificación expedida por el representante legal y el contador o revisor fiscal, si están obligados a tenerlo, adjuntando copia del certificado de existencia y representación legal expedido por la Cámara de Comercio o por la autoridad competente para expedir dicha certificación</w:t>
      </w:r>
      <w:r w:rsidRPr="00F23EEF">
        <w:rPr>
          <w:rFonts w:ascii="Arial" w:hAnsi="Arial" w:cs="Arial"/>
          <w:lang w:val="es-MX"/>
        </w:rPr>
        <w:t>»</w:t>
      </w:r>
      <w:r w:rsidR="00BA1456" w:rsidRPr="00BA1456">
        <w:rPr>
          <w:rFonts w:ascii="Arial" w:hAnsi="Arial" w:cs="Arial"/>
          <w:lang w:val="es-MX"/>
        </w:rPr>
        <w:t xml:space="preserve">, en cuyo caso, la certificación y el documento adjunto, deben tener una fecha de máximo sesenta (60) días calendario anteriores a la prevista en el cronograma del Proceso de Contratación. </w:t>
      </w:r>
    </w:p>
    <w:p w14:paraId="71E1D377" w14:textId="0BAD0286" w:rsidR="00BA1456" w:rsidRPr="00BA1456" w:rsidRDefault="00BA1456" w:rsidP="00BA1456">
      <w:pPr>
        <w:spacing w:after="120" w:line="276" w:lineRule="auto"/>
        <w:jc w:val="both"/>
        <w:rPr>
          <w:rFonts w:ascii="Arial" w:eastAsia="Calibri" w:hAnsi="Arial" w:cs="Arial"/>
          <w:color w:val="000000" w:themeColor="text1"/>
          <w:lang w:val="es-MX"/>
        </w:rPr>
      </w:pPr>
      <w:r w:rsidRPr="00BA1456">
        <w:rPr>
          <w:rFonts w:ascii="Arial" w:eastAsia="Calibri" w:hAnsi="Arial" w:cs="Arial"/>
          <w:bCs/>
          <w:lang w:val="es-ES_tradnl" w:eastAsia="es-ES_tradnl"/>
        </w:rPr>
        <w:tab/>
      </w:r>
      <w:r w:rsidR="00CA42CA">
        <w:rPr>
          <w:rFonts w:ascii="Arial" w:eastAsia="Calibri" w:hAnsi="Arial" w:cs="Arial"/>
          <w:bCs/>
          <w:lang w:val="es-ES_tradnl" w:eastAsia="es-ES_tradnl"/>
        </w:rPr>
        <w:t>En segundo lugar</w:t>
      </w:r>
      <w:r w:rsidRPr="00BA1456">
        <w:rPr>
          <w:rFonts w:ascii="Arial" w:eastAsia="Calibri" w:hAnsi="Arial" w:cs="Arial"/>
          <w:bCs/>
          <w:lang w:val="es-ES_tradnl" w:eastAsia="es-ES_tradnl"/>
        </w:rPr>
        <w:t>, si de la interpretación sistemática quedan dudas que la certificación de la que trata el numeral 2º</w:t>
      </w:r>
      <w:r w:rsidRPr="00BA1456">
        <w:rPr>
          <w:rFonts w:ascii="Arial" w:hAnsi="Arial" w:cs="Arial"/>
          <w:lang w:val="es-MX"/>
        </w:rPr>
        <w:t xml:space="preserve"> del </w:t>
      </w:r>
      <w:r w:rsidRPr="00BA1456">
        <w:rPr>
          <w:rFonts w:ascii="Arial" w:hAnsi="Arial" w:cs="Arial"/>
          <w:color w:val="000000" w:themeColor="text1"/>
          <w:lang w:val="es-MX"/>
        </w:rPr>
        <w:t xml:space="preserve">artículo </w:t>
      </w:r>
      <w:r w:rsidRPr="00BA1456">
        <w:rPr>
          <w:rFonts w:ascii="Arial" w:eastAsia="Calibri" w:hAnsi="Arial" w:cs="Arial"/>
          <w:bCs/>
          <w:lang w:val="es-MX" w:eastAsia="es-ES_tradnl"/>
        </w:rPr>
        <w:t xml:space="preserve">2.2.1.2.4.2.4 </w:t>
      </w:r>
      <w:r w:rsidRPr="00BA1456">
        <w:rPr>
          <w:rFonts w:ascii="Arial" w:eastAsia="Calibri" w:hAnsi="Arial" w:cs="Arial"/>
          <w:bCs/>
          <w:lang w:val="es-ES_tradnl" w:eastAsia="es-ES_tradnl"/>
        </w:rPr>
        <w:t xml:space="preserve">debe tener un término de vigencia, </w:t>
      </w:r>
      <w:r w:rsidRPr="00BA1456">
        <w:rPr>
          <w:rFonts w:ascii="Arial" w:eastAsia="Calibri" w:hAnsi="Arial" w:cs="Arial"/>
          <w:color w:val="000000" w:themeColor="text1"/>
        </w:rPr>
        <w:t xml:space="preserve">y queda la pregunta de por qué no se integró esta obligación en </w:t>
      </w:r>
      <w:r w:rsidRPr="00BA1456">
        <w:rPr>
          <w:rFonts w:ascii="Arial" w:eastAsia="Calibri" w:hAnsi="Arial" w:cs="Arial"/>
          <w:color w:val="000000" w:themeColor="text1"/>
          <w:lang w:val="es-MX"/>
        </w:rPr>
        <w:t>dicho numeral. S</w:t>
      </w:r>
      <w:proofErr w:type="spellStart"/>
      <w:r w:rsidRPr="00BA1456">
        <w:rPr>
          <w:rFonts w:ascii="Arial" w:eastAsia="Calibri" w:hAnsi="Arial" w:cs="Arial"/>
          <w:color w:val="000000" w:themeColor="text1"/>
        </w:rPr>
        <w:t>e</w:t>
      </w:r>
      <w:proofErr w:type="spellEnd"/>
      <w:r w:rsidRPr="00BA1456">
        <w:rPr>
          <w:rFonts w:ascii="Arial" w:eastAsia="Calibri" w:hAnsi="Arial" w:cs="Arial"/>
          <w:color w:val="000000" w:themeColor="text1"/>
        </w:rPr>
        <w:t xml:space="preserve"> considera necesario aplicar el criterio interpretación </w:t>
      </w:r>
      <w:r w:rsidRPr="00BA1456">
        <w:rPr>
          <w:rFonts w:ascii="Arial" w:eastAsia="Calibri" w:hAnsi="Arial" w:cs="Arial"/>
          <w:color w:val="000000" w:themeColor="text1"/>
          <w:lang w:val="es-MX"/>
        </w:rPr>
        <w:t xml:space="preserve">lógica </w:t>
      </w:r>
      <w:r w:rsidRPr="00BA1456">
        <w:rPr>
          <w:rFonts w:ascii="Arial" w:eastAsia="Calibri" w:hAnsi="Arial" w:cs="Arial"/>
          <w:color w:val="000000" w:themeColor="text1"/>
        </w:rPr>
        <w:t xml:space="preserve">para poder resolver </w:t>
      </w:r>
      <w:r w:rsidRPr="00BA1456">
        <w:rPr>
          <w:rFonts w:ascii="Arial" w:eastAsia="Calibri" w:hAnsi="Arial" w:cs="Arial"/>
          <w:color w:val="000000" w:themeColor="text1"/>
          <w:lang w:val="es-MX"/>
        </w:rPr>
        <w:t xml:space="preserve">el interrogante planteado. </w:t>
      </w:r>
    </w:p>
    <w:p w14:paraId="7F7A6101" w14:textId="77777777" w:rsidR="00BA1456" w:rsidRPr="00BA1456" w:rsidRDefault="00BA1456" w:rsidP="00BA1456">
      <w:pPr>
        <w:spacing w:after="120" w:line="276" w:lineRule="auto"/>
        <w:ind w:firstLine="708"/>
        <w:jc w:val="both"/>
        <w:rPr>
          <w:rFonts w:ascii="Arial" w:eastAsia="Calibri" w:hAnsi="Arial" w:cs="Arial"/>
          <w:color w:val="000000" w:themeColor="text1"/>
          <w:lang w:val="es-MX"/>
        </w:rPr>
      </w:pPr>
      <w:r w:rsidRPr="00BA1456">
        <w:rPr>
          <w:rFonts w:ascii="Arial" w:eastAsia="Calibri" w:hAnsi="Arial" w:cs="Arial"/>
          <w:color w:val="000000" w:themeColor="text1"/>
          <w:lang w:val="es-MX"/>
        </w:rPr>
        <w:t xml:space="preserve">De esta forma, es pertinente mencionar que la </w:t>
      </w:r>
      <w:r w:rsidRPr="00BA1456">
        <w:rPr>
          <w:rFonts w:ascii="Arial" w:eastAsia="Calibri" w:hAnsi="Arial" w:cs="Arial"/>
          <w:color w:val="000000" w:themeColor="text1"/>
        </w:rPr>
        <w:t xml:space="preserve">interpretación lógica consiste en «descomponer el pensamiento contenido en la ley y establecer las relaciones </w:t>
      </w:r>
      <w:r w:rsidRPr="00BA1456">
        <w:rPr>
          <w:rFonts w:ascii="Arial" w:eastAsia="Calibri" w:hAnsi="Arial" w:cs="Arial"/>
          <w:color w:val="000000" w:themeColor="text1"/>
          <w:lang w:val="es-MX"/>
        </w:rPr>
        <w:t>lógicas</w:t>
      </w:r>
      <w:r w:rsidRPr="00BA1456">
        <w:rPr>
          <w:rFonts w:ascii="Arial" w:eastAsia="Calibri" w:hAnsi="Arial" w:cs="Arial"/>
          <w:color w:val="000000" w:themeColor="text1"/>
        </w:rPr>
        <w:t xml:space="preserve"> que se dan entre las diferentes partes de </w:t>
      </w:r>
      <w:proofErr w:type="spellStart"/>
      <w:r w:rsidRPr="00BA1456">
        <w:rPr>
          <w:rFonts w:ascii="Arial" w:eastAsia="Calibri" w:hAnsi="Arial" w:cs="Arial"/>
          <w:color w:val="000000" w:themeColor="text1"/>
        </w:rPr>
        <w:t>éstas</w:t>
      </w:r>
      <w:proofErr w:type="spellEnd"/>
      <w:r w:rsidRPr="00BA1456">
        <w:rPr>
          <w:rFonts w:ascii="Arial" w:eastAsia="Calibri" w:hAnsi="Arial" w:cs="Arial"/>
          <w:color w:val="000000" w:themeColor="text1"/>
        </w:rPr>
        <w:t xml:space="preserve">». Es decir </w:t>
      </w:r>
      <w:r w:rsidRPr="00BA1456">
        <w:rPr>
          <w:rFonts w:ascii="Arial" w:eastAsia="Calibri" w:hAnsi="Arial" w:cs="Arial"/>
          <w:color w:val="000000" w:themeColor="text1"/>
          <w:lang w:val="es-MX"/>
        </w:rPr>
        <w:t>que,</w:t>
      </w:r>
      <w:r w:rsidRPr="00BA1456">
        <w:rPr>
          <w:rFonts w:ascii="Arial" w:eastAsia="Calibri" w:hAnsi="Arial" w:cs="Arial"/>
          <w:color w:val="000000" w:themeColor="text1"/>
        </w:rPr>
        <w:t xml:space="preserve"> con base en la lógica jurídica, se puede dar sentido a los contenidos normativos cuya lectura meramente gramatical no es suficiente. </w:t>
      </w:r>
    </w:p>
    <w:p w14:paraId="14E86F68" w14:textId="0746823C" w:rsidR="00BA1456" w:rsidRPr="00BA1456" w:rsidRDefault="00BA1456" w:rsidP="00BA1456">
      <w:pPr>
        <w:spacing w:after="0" w:line="276" w:lineRule="auto"/>
        <w:jc w:val="both"/>
        <w:rPr>
          <w:rFonts w:ascii="Arial" w:hAnsi="Arial" w:cs="Arial"/>
          <w:color w:val="333333"/>
          <w:shd w:val="clear" w:color="auto" w:fill="FFFFFF"/>
          <w:lang w:val="es-MX"/>
        </w:rPr>
      </w:pPr>
      <w:r w:rsidRPr="00BA1456">
        <w:rPr>
          <w:rFonts w:ascii="Arial" w:eastAsia="Calibri" w:hAnsi="Arial" w:cs="Arial"/>
          <w:color w:val="000000" w:themeColor="text1"/>
          <w:lang w:val="es-MX"/>
        </w:rPr>
        <w:lastRenderedPageBreak/>
        <w:tab/>
      </w:r>
      <w:r w:rsidR="00CA42CA">
        <w:rPr>
          <w:rFonts w:ascii="Arial" w:eastAsia="Calibri" w:hAnsi="Arial" w:cs="Arial"/>
          <w:bCs/>
          <w:lang w:val="es-ES_tradnl" w:eastAsia="es-ES_tradnl"/>
        </w:rPr>
        <w:t>De esta forma</w:t>
      </w:r>
      <w:r w:rsidRPr="00BA1456">
        <w:rPr>
          <w:rFonts w:ascii="Arial" w:eastAsia="Calibri" w:hAnsi="Arial" w:cs="Arial"/>
          <w:bCs/>
          <w:lang w:val="es-ES_tradnl" w:eastAsia="es-ES_tradnl"/>
        </w:rPr>
        <w:t xml:space="preserve">, si para los documentos que se enlistan en el parágrafo 2º del artículo 2.2.1.2.4.2.4 esto es, −registro mercantil, del certificado de existencia y representación legal o del Registro Único de Proponentes−, según corresponda conforme a las reglas contenidas en los numeral 1°, 2°, y 3° del artículo en mención, se solicita que estos cuenten con una fecha de máximo sesenta (60) días calendario anteriores a la prevista en el cronograma del Proceso de Contratación para el inicio del plazo para solicitar la convocatoria limitada, resulta apenas lógico que la persona jurídica para acreditar su tamaño empresarial, aporte una certificación expedida por el representante legal y el contador o revisor fiscal, −si están obligados a tenerlo−, con una fecha de vigencia, igual a la que se solicita en el parágrafo 2º del artículo en comento. </w:t>
      </w:r>
    </w:p>
    <w:p w14:paraId="3406AEFD" w14:textId="77777777" w:rsidR="00BA1456" w:rsidRPr="00BA1456" w:rsidRDefault="00BA1456" w:rsidP="00BA1456">
      <w:pPr>
        <w:spacing w:after="0" w:line="240" w:lineRule="auto"/>
        <w:rPr>
          <w:sz w:val="24"/>
          <w:lang w:val="es-MX"/>
        </w:rPr>
      </w:pPr>
    </w:p>
    <w:p w14:paraId="51C7556E" w14:textId="78B4B9F9" w:rsidR="004A48C9" w:rsidRPr="004A48C9" w:rsidRDefault="004A48C9" w:rsidP="004A48C9">
      <w:pPr>
        <w:spacing w:after="0" w:line="276" w:lineRule="auto"/>
        <w:jc w:val="both"/>
        <w:rPr>
          <w:rFonts w:ascii="Arial" w:eastAsia="Times New Roman" w:hAnsi="Arial" w:cs="Arial"/>
          <w:lang w:val="es-ES_tradnl" w:eastAsia="es-ES_tradnl"/>
        </w:rPr>
      </w:pPr>
      <w:r w:rsidRPr="004A48C9">
        <w:rPr>
          <w:rFonts w:ascii="Arial" w:eastAsia="Times New Roman" w:hAnsi="Arial" w:cs="Arial"/>
          <w:lang w:val="es-ES_tradnl" w:eastAsia="es-ES_tradnl"/>
        </w:rPr>
        <w:t>Este concepto tiene el alcance previsto en el artículo 28 del Código de Procedimiento Administrativo y de lo Contencioso Administrativo</w:t>
      </w:r>
      <w:r w:rsidR="00CA42CA">
        <w:rPr>
          <w:rFonts w:ascii="Arial" w:eastAsia="Times New Roman" w:hAnsi="Arial" w:cs="Arial"/>
          <w:lang w:val="es-ES_tradnl" w:eastAsia="es-ES_tradnl"/>
        </w:rPr>
        <w:t xml:space="preserve"> </w:t>
      </w:r>
      <w:r w:rsidR="00CA42CA" w:rsidRPr="005E597C">
        <w:rPr>
          <w:rFonts w:ascii="Arial" w:hAnsi="Arial" w:cs="Arial"/>
          <w:bCs/>
          <w:color w:val="000000" w:themeColor="text1"/>
        </w:rPr>
        <w:t xml:space="preserve">y </w:t>
      </w:r>
      <w:r w:rsidR="00CA42CA" w:rsidRPr="005E597C">
        <w:rPr>
          <w:rFonts w:ascii="Arial" w:hAnsi="Arial" w:cs="Arial"/>
        </w:rPr>
        <w:t>las expresiones aquí utilizadas con mayúscula inicial deben ser entendidas con el significado que les otorga el artículo 2.2.1.1.1.3.1. del Decreto 1082 de 2015</w:t>
      </w:r>
      <w:r w:rsidRPr="004A48C9">
        <w:rPr>
          <w:rFonts w:ascii="Arial" w:eastAsia="Times New Roman" w:hAnsi="Arial" w:cs="Arial"/>
          <w:lang w:val="es-ES_tradnl" w:eastAsia="es-ES_tradnl"/>
        </w:rPr>
        <w:t>.</w:t>
      </w:r>
    </w:p>
    <w:p w14:paraId="672537B2" w14:textId="77777777" w:rsidR="004A48C9" w:rsidRPr="004A48C9" w:rsidRDefault="004A48C9" w:rsidP="004A48C9">
      <w:pPr>
        <w:spacing w:after="0" w:line="276" w:lineRule="auto"/>
        <w:contextualSpacing/>
        <w:jc w:val="both"/>
        <w:rPr>
          <w:rFonts w:ascii="Arial" w:eastAsia="Times New Roman" w:hAnsi="Arial" w:cs="Arial"/>
          <w:sz w:val="24"/>
          <w:szCs w:val="24"/>
          <w:lang w:val="es-ES_tradnl" w:eastAsia="es-ES_tradnl"/>
        </w:rPr>
      </w:pPr>
    </w:p>
    <w:p w14:paraId="19D6A698" w14:textId="77777777" w:rsidR="004A48C9" w:rsidRPr="004A48C9" w:rsidRDefault="004A48C9" w:rsidP="004A48C9">
      <w:pPr>
        <w:spacing w:after="0" w:line="276" w:lineRule="auto"/>
        <w:contextualSpacing/>
        <w:jc w:val="both"/>
        <w:rPr>
          <w:rFonts w:ascii="Arial" w:eastAsia="Times New Roman" w:hAnsi="Arial" w:cs="Arial"/>
          <w:sz w:val="24"/>
          <w:szCs w:val="24"/>
          <w:lang w:val="es-ES_tradnl" w:eastAsia="es-CO"/>
        </w:rPr>
      </w:pPr>
      <w:r w:rsidRPr="004A48C9">
        <w:rPr>
          <w:rFonts w:ascii="Arial" w:eastAsia="Times New Roman" w:hAnsi="Arial" w:cs="Arial"/>
          <w:sz w:val="24"/>
          <w:szCs w:val="24"/>
          <w:lang w:val="es-ES_tradnl" w:eastAsia="es-CO"/>
        </w:rPr>
        <w:t>Atentamente,</w:t>
      </w:r>
    </w:p>
    <w:p w14:paraId="426FA436" w14:textId="77777777" w:rsidR="004A48C9" w:rsidRDefault="004A48C9" w:rsidP="004A48C9">
      <w:pPr>
        <w:spacing w:after="0" w:line="276" w:lineRule="auto"/>
        <w:jc w:val="center"/>
        <w:rPr>
          <w:rFonts w:ascii="Calibri" w:eastAsia="Times New Roman" w:hAnsi="Calibri" w:cs="Calibri"/>
          <w:shd w:val="clear" w:color="auto" w:fill="FFFFFF"/>
          <w:lang w:eastAsia="es-MX"/>
        </w:rPr>
      </w:pPr>
    </w:p>
    <w:p w14:paraId="4FFB84EE" w14:textId="55F0028B" w:rsidR="004A48C9" w:rsidRPr="00D444C0" w:rsidRDefault="00037118" w:rsidP="004A48C9">
      <w:pPr>
        <w:pStyle w:val="Sinespaciado"/>
        <w:jc w:val="center"/>
        <w:rPr>
          <w:rFonts w:ascii="Arial" w:hAnsi="Arial" w:cs="Arial"/>
          <w:color w:val="3B3838" w:themeColor="background2" w:themeShade="40"/>
          <w:sz w:val="18"/>
          <w:szCs w:val="18"/>
        </w:rPr>
      </w:pPr>
      <w:r>
        <w:rPr>
          <w:noProof/>
        </w:rPr>
        <w:drawing>
          <wp:inline distT="0" distB="0" distL="0" distR="0" wp14:anchorId="739E6736" wp14:editId="1EEA6A52">
            <wp:extent cx="2775006" cy="1064730"/>
            <wp:effectExtent l="0" t="0" r="6350" b="2540"/>
            <wp:docPr id="6" name="Imagen 6"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6" descr="Texto&#10;&#10;Descripción generada automáticamente"/>
                    <pic:cNvPicPr/>
                  </pic:nvPicPr>
                  <pic:blipFill>
                    <a:blip r:embed="rId13"/>
                    <a:stretch>
                      <a:fillRect/>
                    </a:stretch>
                  </pic:blipFill>
                  <pic:spPr>
                    <a:xfrm>
                      <a:off x="0" y="0"/>
                      <a:ext cx="2785707" cy="1068836"/>
                    </a:xfrm>
                    <a:prstGeom prst="rect">
                      <a:avLst/>
                    </a:prstGeom>
                  </pic:spPr>
                </pic:pic>
              </a:graphicData>
            </a:graphic>
          </wp:inline>
        </w:drawing>
      </w:r>
    </w:p>
    <w:p w14:paraId="7F278C14" w14:textId="77777777" w:rsidR="004A48C9" w:rsidRPr="00BB5652" w:rsidRDefault="004A48C9" w:rsidP="004A48C9">
      <w:pPr>
        <w:spacing w:after="0" w:line="276" w:lineRule="auto"/>
        <w:jc w:val="center"/>
        <w:rPr>
          <w:rFonts w:ascii="Arial" w:eastAsia="Times New Roman" w:hAnsi="Arial" w:cs="Arial"/>
          <w:color w:val="000000" w:themeColor="text1"/>
          <w:lang w:val="es-ES_tradnl" w:eastAsia="es-CO"/>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2"/>
        <w:gridCol w:w="4413"/>
      </w:tblGrid>
      <w:tr w:rsidR="004A48C9" w:rsidRPr="00BB5652" w14:paraId="6B7F6DC1" w14:textId="77777777" w:rsidTr="00C10076">
        <w:trPr>
          <w:trHeight w:val="160"/>
        </w:trPr>
        <w:tc>
          <w:tcPr>
            <w:tcW w:w="812" w:type="dxa"/>
            <w:vAlign w:val="center"/>
            <w:hideMark/>
          </w:tcPr>
          <w:p w14:paraId="2B35D181" w14:textId="77777777" w:rsidR="004A48C9" w:rsidRPr="00BB5652" w:rsidRDefault="004A48C9" w:rsidP="00C10076">
            <w:pPr>
              <w:jc w:val="both"/>
              <w:rPr>
                <w:rFonts w:ascii="Arial" w:eastAsia="Times New Roman" w:hAnsi="Arial" w:cs="Arial"/>
                <w:color w:val="000000" w:themeColor="text1"/>
                <w:sz w:val="16"/>
                <w:szCs w:val="16"/>
                <w:lang w:val="es-ES_tradnl" w:eastAsia="es-ES"/>
              </w:rPr>
            </w:pPr>
            <w:r w:rsidRPr="00BB5652">
              <w:rPr>
                <w:rFonts w:ascii="Arial" w:eastAsia="Times New Roman" w:hAnsi="Arial" w:cs="Arial"/>
                <w:color w:val="000000" w:themeColor="text1"/>
                <w:sz w:val="16"/>
                <w:szCs w:val="16"/>
                <w:lang w:val="es-ES_tradnl" w:eastAsia="es-ES"/>
              </w:rPr>
              <w:t>Elaboró:</w:t>
            </w:r>
          </w:p>
        </w:tc>
        <w:tc>
          <w:tcPr>
            <w:tcW w:w="4413" w:type="dxa"/>
            <w:tcBorders>
              <w:top w:val="nil"/>
              <w:left w:val="nil"/>
              <w:bottom w:val="dotted" w:sz="4" w:space="0" w:color="7F7F7F"/>
              <w:right w:val="nil"/>
            </w:tcBorders>
            <w:vAlign w:val="center"/>
            <w:hideMark/>
          </w:tcPr>
          <w:p w14:paraId="4AB30D9E" w14:textId="77777777" w:rsidR="004A48C9" w:rsidRDefault="004A48C9" w:rsidP="00C10076">
            <w:pPr>
              <w:jc w:val="both"/>
              <w:rPr>
                <w:rFonts w:ascii="Arial" w:eastAsia="Times New Roman" w:hAnsi="Arial" w:cs="Arial"/>
                <w:color w:val="000000" w:themeColor="text1"/>
                <w:sz w:val="16"/>
                <w:szCs w:val="16"/>
                <w:lang w:val="es-ES_tradnl" w:eastAsia="es-ES"/>
              </w:rPr>
            </w:pPr>
            <w:r>
              <w:rPr>
                <w:rFonts w:ascii="Arial" w:eastAsia="Times New Roman" w:hAnsi="Arial" w:cs="Arial"/>
                <w:color w:val="000000" w:themeColor="text1"/>
                <w:sz w:val="16"/>
                <w:szCs w:val="16"/>
                <w:lang w:val="es-ES_tradnl" w:eastAsia="es-ES"/>
              </w:rPr>
              <w:t>Carlos Mario Castrillon Endo</w:t>
            </w:r>
          </w:p>
          <w:p w14:paraId="521E3260" w14:textId="77777777" w:rsidR="004A48C9" w:rsidRPr="00BB5652" w:rsidRDefault="004A48C9" w:rsidP="00C10076">
            <w:pPr>
              <w:jc w:val="both"/>
              <w:rPr>
                <w:rFonts w:ascii="Arial" w:eastAsia="Times New Roman" w:hAnsi="Arial" w:cs="Arial"/>
                <w:color w:val="000000" w:themeColor="text1"/>
                <w:sz w:val="16"/>
                <w:szCs w:val="16"/>
                <w:lang w:val="es-ES_tradnl" w:eastAsia="es-ES"/>
              </w:rPr>
            </w:pPr>
            <w:r w:rsidRPr="00BB5652">
              <w:rPr>
                <w:rFonts w:ascii="Arial" w:eastAsia="Times New Roman" w:hAnsi="Arial" w:cs="Arial"/>
                <w:color w:val="000000" w:themeColor="text1"/>
                <w:sz w:val="16"/>
                <w:szCs w:val="16"/>
                <w:lang w:val="es-ES_tradnl" w:eastAsia="es-ES"/>
              </w:rPr>
              <w:t>Contratista de la Subdirección de Gestión Contractual</w:t>
            </w:r>
          </w:p>
        </w:tc>
      </w:tr>
      <w:tr w:rsidR="004A48C9" w:rsidRPr="00BB5652" w14:paraId="6F19DFEF" w14:textId="77777777" w:rsidTr="00C10076">
        <w:trPr>
          <w:trHeight w:val="330"/>
        </w:trPr>
        <w:tc>
          <w:tcPr>
            <w:tcW w:w="812" w:type="dxa"/>
            <w:vAlign w:val="center"/>
            <w:hideMark/>
          </w:tcPr>
          <w:p w14:paraId="12A28000" w14:textId="77777777" w:rsidR="004A48C9" w:rsidRPr="00BB5652" w:rsidRDefault="004A48C9" w:rsidP="00C10076">
            <w:pPr>
              <w:jc w:val="both"/>
              <w:rPr>
                <w:rFonts w:ascii="Arial" w:eastAsia="Times New Roman" w:hAnsi="Arial" w:cs="Arial"/>
                <w:color w:val="000000" w:themeColor="text1"/>
                <w:sz w:val="16"/>
                <w:szCs w:val="16"/>
                <w:lang w:val="es-ES_tradnl" w:eastAsia="es-ES"/>
              </w:rPr>
            </w:pPr>
            <w:r w:rsidRPr="00BB5652">
              <w:rPr>
                <w:rFonts w:ascii="Arial" w:eastAsia="Times New Roman" w:hAnsi="Arial" w:cs="Arial"/>
                <w:color w:val="000000" w:themeColor="text1"/>
                <w:sz w:val="16"/>
                <w:szCs w:val="16"/>
                <w:lang w:val="es-ES_tradnl" w:eastAsia="es-ES"/>
              </w:rPr>
              <w:t>Revisó:</w:t>
            </w:r>
          </w:p>
        </w:tc>
        <w:tc>
          <w:tcPr>
            <w:tcW w:w="4413" w:type="dxa"/>
            <w:tcBorders>
              <w:top w:val="dotted" w:sz="4" w:space="0" w:color="7F7F7F"/>
              <w:left w:val="nil"/>
              <w:bottom w:val="dotted" w:sz="4" w:space="0" w:color="7F7F7F"/>
              <w:right w:val="nil"/>
            </w:tcBorders>
            <w:vAlign w:val="center"/>
            <w:hideMark/>
          </w:tcPr>
          <w:p w14:paraId="3199D3CA" w14:textId="344AD32A" w:rsidR="004A48C9" w:rsidRDefault="004A48C9" w:rsidP="004A48C9">
            <w:pPr>
              <w:jc w:val="both"/>
              <w:rPr>
                <w:rFonts w:ascii="Arial" w:eastAsia="Times New Roman" w:hAnsi="Arial" w:cs="Arial"/>
                <w:color w:val="000000" w:themeColor="text1"/>
                <w:sz w:val="16"/>
                <w:szCs w:val="16"/>
                <w:lang w:val="es-ES_tradnl" w:eastAsia="es-ES"/>
              </w:rPr>
            </w:pPr>
            <w:r>
              <w:rPr>
                <w:rFonts w:ascii="Arial" w:eastAsia="Times New Roman" w:hAnsi="Arial" w:cs="Arial"/>
                <w:color w:val="000000" w:themeColor="text1"/>
                <w:sz w:val="16"/>
                <w:szCs w:val="16"/>
                <w:lang w:val="es-ES_tradnl" w:eastAsia="es-ES"/>
              </w:rPr>
              <w:t>Diana Lucia Saavedra Castañeda</w:t>
            </w:r>
          </w:p>
          <w:p w14:paraId="6AC3A83B" w14:textId="755EC70B" w:rsidR="004A48C9" w:rsidRPr="00BB5652" w:rsidRDefault="004A48C9" w:rsidP="004A48C9">
            <w:pPr>
              <w:jc w:val="both"/>
              <w:rPr>
                <w:rFonts w:ascii="Arial" w:eastAsia="Times New Roman" w:hAnsi="Arial" w:cs="Arial"/>
                <w:color w:val="000000" w:themeColor="text1"/>
                <w:sz w:val="16"/>
                <w:szCs w:val="16"/>
                <w:lang w:val="es-ES_tradnl" w:eastAsia="es-ES"/>
              </w:rPr>
            </w:pPr>
            <w:r w:rsidRPr="00BB5652">
              <w:rPr>
                <w:rFonts w:ascii="Arial" w:eastAsia="Times New Roman" w:hAnsi="Arial" w:cs="Arial"/>
                <w:color w:val="000000" w:themeColor="text1"/>
                <w:sz w:val="16"/>
                <w:szCs w:val="16"/>
                <w:lang w:val="es-ES_tradnl" w:eastAsia="es-ES"/>
              </w:rPr>
              <w:t>Contratista de la Subdirección de Gestión Contractual</w:t>
            </w:r>
          </w:p>
        </w:tc>
      </w:tr>
      <w:tr w:rsidR="004A48C9" w:rsidRPr="00BB5652" w14:paraId="425EA92E" w14:textId="77777777" w:rsidTr="00C10076">
        <w:trPr>
          <w:trHeight w:val="300"/>
        </w:trPr>
        <w:tc>
          <w:tcPr>
            <w:tcW w:w="812" w:type="dxa"/>
            <w:vAlign w:val="center"/>
            <w:hideMark/>
          </w:tcPr>
          <w:p w14:paraId="4EB0C15E" w14:textId="77777777" w:rsidR="004A48C9" w:rsidRPr="00BB5652" w:rsidRDefault="004A48C9" w:rsidP="00C10076">
            <w:pPr>
              <w:jc w:val="both"/>
              <w:rPr>
                <w:rFonts w:ascii="Arial" w:eastAsia="Times New Roman" w:hAnsi="Arial" w:cs="Arial"/>
                <w:color w:val="000000" w:themeColor="text1"/>
                <w:sz w:val="16"/>
                <w:szCs w:val="16"/>
                <w:lang w:val="es-ES_tradnl" w:eastAsia="es-ES"/>
              </w:rPr>
            </w:pPr>
            <w:r w:rsidRPr="00BB5652">
              <w:rPr>
                <w:rFonts w:ascii="Arial" w:eastAsia="Times New Roman" w:hAnsi="Arial" w:cs="Arial"/>
                <w:color w:val="000000" w:themeColor="text1"/>
                <w:sz w:val="16"/>
                <w:szCs w:val="16"/>
                <w:lang w:val="es-ES_tradnl" w:eastAsia="es-ES"/>
              </w:rPr>
              <w:t>Aprobó:</w:t>
            </w:r>
          </w:p>
        </w:tc>
        <w:tc>
          <w:tcPr>
            <w:tcW w:w="4413" w:type="dxa"/>
            <w:tcBorders>
              <w:top w:val="dotted" w:sz="4" w:space="0" w:color="7F7F7F"/>
              <w:left w:val="nil"/>
              <w:bottom w:val="dotted" w:sz="4" w:space="0" w:color="7F7F7F"/>
              <w:right w:val="nil"/>
            </w:tcBorders>
            <w:vAlign w:val="center"/>
            <w:hideMark/>
          </w:tcPr>
          <w:p w14:paraId="6DF72290" w14:textId="77777777" w:rsidR="004A48C9" w:rsidRPr="00D444C0" w:rsidRDefault="004A48C9" w:rsidP="00C10076">
            <w:pPr>
              <w:rPr>
                <w:rFonts w:ascii="Arial" w:eastAsia="Times New Roman" w:hAnsi="Arial" w:cs="Arial"/>
                <w:color w:val="000000" w:themeColor="text1"/>
                <w:sz w:val="24"/>
                <w:szCs w:val="24"/>
                <w:lang w:val="es-ES_tradnl" w:eastAsia="es-ES_tradnl"/>
              </w:rPr>
            </w:pPr>
            <w:r>
              <w:rPr>
                <w:rFonts w:ascii="Arial" w:eastAsia="Arial" w:hAnsi="Arial" w:cs="Arial"/>
                <w:color w:val="000000" w:themeColor="text1"/>
                <w:sz w:val="16"/>
                <w:szCs w:val="16"/>
                <w:lang w:val="es-ES_tradnl" w:eastAsia="es-ES_tradnl"/>
              </w:rPr>
              <w:t>Nohelia del Carmen Zawady Palacio</w:t>
            </w:r>
          </w:p>
          <w:p w14:paraId="3CF5F256" w14:textId="77777777" w:rsidR="004A48C9" w:rsidRPr="00BB5652" w:rsidRDefault="004A48C9" w:rsidP="00C10076">
            <w:pPr>
              <w:jc w:val="both"/>
              <w:rPr>
                <w:rFonts w:ascii="Arial" w:eastAsia="Times New Roman" w:hAnsi="Arial" w:cs="Arial"/>
                <w:color w:val="000000" w:themeColor="text1"/>
                <w:sz w:val="16"/>
                <w:szCs w:val="16"/>
                <w:lang w:val="es-ES_tradnl" w:eastAsia="es-ES"/>
              </w:rPr>
            </w:pPr>
            <w:r w:rsidRPr="00D444C0">
              <w:rPr>
                <w:rFonts w:ascii="Arial" w:eastAsia="Arial" w:hAnsi="Arial" w:cs="Arial"/>
                <w:color w:val="000000" w:themeColor="text1"/>
                <w:sz w:val="16"/>
                <w:szCs w:val="16"/>
                <w:lang w:val="es-ES_tradnl" w:eastAsia="es-ES_tradnl"/>
              </w:rPr>
              <w:t>Subdirector</w:t>
            </w:r>
            <w:r>
              <w:rPr>
                <w:rFonts w:ascii="Arial" w:eastAsia="Arial" w:hAnsi="Arial" w:cs="Arial"/>
                <w:color w:val="000000" w:themeColor="text1"/>
                <w:sz w:val="16"/>
                <w:szCs w:val="16"/>
                <w:lang w:val="es-ES_tradnl" w:eastAsia="es-ES_tradnl"/>
              </w:rPr>
              <w:t>a</w:t>
            </w:r>
            <w:r w:rsidRPr="00D444C0">
              <w:rPr>
                <w:rFonts w:ascii="Arial" w:eastAsia="Arial" w:hAnsi="Arial" w:cs="Arial"/>
                <w:color w:val="000000" w:themeColor="text1"/>
                <w:sz w:val="16"/>
                <w:szCs w:val="16"/>
                <w:lang w:val="es-ES_tradnl" w:eastAsia="es-ES_tradnl"/>
              </w:rPr>
              <w:t xml:space="preserve"> de Gestión Contractual</w:t>
            </w:r>
          </w:p>
        </w:tc>
      </w:tr>
    </w:tbl>
    <w:p w14:paraId="5AC1E384" w14:textId="2774AF23" w:rsidR="004A48C9" w:rsidRPr="004A48C9" w:rsidRDefault="004A48C9" w:rsidP="004A48C9">
      <w:pPr>
        <w:spacing w:after="0" w:line="276" w:lineRule="auto"/>
        <w:jc w:val="center"/>
        <w:rPr>
          <w:rFonts w:ascii="Arial" w:eastAsia="Times New Roman" w:hAnsi="Arial" w:cs="Arial"/>
          <w:sz w:val="24"/>
          <w:szCs w:val="24"/>
          <w:lang w:val="es-ES_tradnl" w:eastAsia="es-MX"/>
        </w:rPr>
      </w:pPr>
      <w:r w:rsidRPr="004A48C9">
        <w:rPr>
          <w:rFonts w:ascii="Calibri" w:eastAsia="Times New Roman" w:hAnsi="Calibri" w:cs="Calibri"/>
          <w:shd w:val="clear" w:color="auto" w:fill="FFFFFF"/>
          <w:lang w:eastAsia="es-MX"/>
        </w:rPr>
        <w:br/>
      </w:r>
      <w:bookmarkEnd w:id="1"/>
    </w:p>
    <w:p w14:paraId="2BDF7B01" w14:textId="77777777" w:rsidR="00FB347B" w:rsidRDefault="00FB347B"/>
    <w:sectPr w:rsidR="00FB347B" w:rsidSect="008273EA">
      <w:headerReference w:type="default" r:id="rId14"/>
      <w:footerReference w:type="default" r:id="rId15"/>
      <w:pgSz w:w="12240" w:h="15840"/>
      <w:pgMar w:top="1843" w:right="1469" w:bottom="1418" w:left="1418" w:header="340"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912EE4" w14:textId="77777777" w:rsidR="00F74F2B" w:rsidRDefault="00F74F2B" w:rsidP="004A48C9">
      <w:pPr>
        <w:spacing w:after="0" w:line="240" w:lineRule="auto"/>
      </w:pPr>
      <w:r>
        <w:separator/>
      </w:r>
    </w:p>
  </w:endnote>
  <w:endnote w:type="continuationSeparator" w:id="0">
    <w:p w14:paraId="2ADCD740" w14:textId="77777777" w:rsidR="00F74F2B" w:rsidRDefault="00F74F2B" w:rsidP="004A48C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Nova">
    <w:charset w:val="00"/>
    <w:family w:val="swiss"/>
    <w:pitch w:val="variable"/>
    <w:sig w:usb0="0000028F" w:usb1="00000002" w:usb2="00000000" w:usb3="00000000" w:csb0="0000019F" w:csb1="00000000"/>
  </w:font>
  <w:font w:name="Geomanist Bold">
    <w:panose1 w:val="02000503000000020004"/>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Geomanist Light">
    <w:panose1 w:val="02000503000000020004"/>
    <w:charset w:val="00"/>
    <w:family w:val="modern"/>
    <w:notTrueType/>
    <w:pitch w:val="variable"/>
    <w:sig w:usb0="A000002F" w:usb1="1000004A" w:usb2="00000000" w:usb3="00000000" w:csb0="0000019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C28349" w14:textId="77777777" w:rsidR="008F4163" w:rsidRDefault="0048267E" w:rsidP="00322937">
    <w:pPr>
      <w:pStyle w:val="Sinespaciado"/>
      <w:jc w:val="right"/>
      <w:rPr>
        <w:rFonts w:ascii="Arial" w:hAnsi="Arial" w:cs="Arial"/>
        <w:sz w:val="18"/>
        <w:szCs w:val="18"/>
      </w:rPr>
    </w:pPr>
  </w:p>
  <w:p w14:paraId="28706092" w14:textId="77777777" w:rsidR="004A48C9" w:rsidRDefault="004A48C9" w:rsidP="004A48C9">
    <w:pPr>
      <w:pStyle w:val="Piedepgina"/>
    </w:pPr>
    <w:r>
      <w:rPr>
        <w:noProof/>
        <w:lang w:val="en-US"/>
      </w:rPr>
      <w:drawing>
        <wp:inline distT="0" distB="0" distL="0" distR="0" wp14:anchorId="2CFAFA31" wp14:editId="335CF8C7">
          <wp:extent cx="5742143" cy="892175"/>
          <wp:effectExtent l="0" t="0" r="0" b="3175"/>
          <wp:docPr id="4" name="Imagen 4" descr="Interfaz de usuario gráfica, Texto, Correo electrón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descr="Interfaz de usuario gráfica, Texto, Correo electrónico&#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5792894" cy="900060"/>
                  </a:xfrm>
                  <a:prstGeom prst="rect">
                    <a:avLst/>
                  </a:prstGeom>
                </pic:spPr>
              </pic:pic>
            </a:graphicData>
          </a:graphic>
        </wp:inline>
      </w:drawing>
    </w:r>
  </w:p>
  <w:tbl>
    <w:tblPr>
      <w:tblStyle w:val="Tablaconcuadrcula"/>
      <w:tblW w:w="920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8"/>
      <w:gridCol w:w="678"/>
      <w:gridCol w:w="844"/>
      <w:gridCol w:w="1784"/>
      <w:gridCol w:w="720"/>
      <w:gridCol w:w="2818"/>
      <w:gridCol w:w="1527"/>
    </w:tblGrid>
    <w:tr w:rsidR="004A48C9" w:rsidRPr="00080DA3" w14:paraId="6606C686" w14:textId="77777777" w:rsidTr="00C10076">
      <w:trPr>
        <w:trHeight w:val="198"/>
        <w:jc w:val="center"/>
      </w:trPr>
      <w:tc>
        <w:tcPr>
          <w:tcW w:w="838" w:type="dxa"/>
          <w:tcBorders>
            <w:top w:val="dotted" w:sz="4" w:space="0" w:color="6D6D6D"/>
            <w:left w:val="dotted" w:sz="4" w:space="0" w:color="6D6D6D"/>
            <w:bottom w:val="dotted" w:sz="4" w:space="0" w:color="6D6D6D"/>
          </w:tcBorders>
          <w:shd w:val="clear" w:color="auto" w:fill="auto"/>
        </w:tcPr>
        <w:p w14:paraId="7A358E96" w14:textId="77777777" w:rsidR="004A48C9" w:rsidRPr="00080DA3" w:rsidRDefault="004A48C9" w:rsidP="004A48C9">
          <w:pPr>
            <w:pStyle w:val="Piedepgina"/>
            <w:jc w:val="center"/>
            <w:rPr>
              <w:rFonts w:ascii="Geomanist Light" w:hAnsi="Geomanist Light"/>
              <w:sz w:val="18"/>
              <w:szCs w:val="18"/>
            </w:rPr>
          </w:pPr>
          <w:r w:rsidRPr="00080DA3">
            <w:rPr>
              <w:rFonts w:ascii="Geomanist Light" w:hAnsi="Geomanist Light"/>
              <w:sz w:val="18"/>
              <w:szCs w:val="18"/>
            </w:rPr>
            <w:t>Versión:</w:t>
          </w:r>
        </w:p>
      </w:tc>
      <w:tc>
        <w:tcPr>
          <w:tcW w:w="678" w:type="dxa"/>
          <w:tcBorders>
            <w:top w:val="dotted" w:sz="4" w:space="0" w:color="6D6D6D"/>
            <w:bottom w:val="dotted" w:sz="4" w:space="0" w:color="6D6D6D"/>
            <w:right w:val="dotted" w:sz="4" w:space="0" w:color="6D6D6D"/>
          </w:tcBorders>
          <w:shd w:val="clear" w:color="auto" w:fill="auto"/>
        </w:tcPr>
        <w:p w14:paraId="73AC109E" w14:textId="77777777" w:rsidR="004A48C9" w:rsidRPr="00080DA3" w:rsidRDefault="004A48C9" w:rsidP="004A48C9">
          <w:pPr>
            <w:pStyle w:val="Piedepgina"/>
            <w:jc w:val="center"/>
            <w:rPr>
              <w:rFonts w:ascii="Geomanist Light" w:hAnsi="Geomanist Light"/>
              <w:sz w:val="18"/>
              <w:szCs w:val="18"/>
            </w:rPr>
          </w:pPr>
          <w:r w:rsidRPr="00080DA3">
            <w:rPr>
              <w:rFonts w:ascii="Geomanist Light" w:hAnsi="Geomanist Light"/>
              <w:sz w:val="18"/>
              <w:szCs w:val="18"/>
            </w:rPr>
            <w:t>0</w:t>
          </w:r>
          <w:r>
            <w:rPr>
              <w:rFonts w:ascii="Geomanist Light" w:hAnsi="Geomanist Light"/>
              <w:sz w:val="18"/>
              <w:szCs w:val="18"/>
            </w:rPr>
            <w:t>1</w:t>
          </w:r>
        </w:p>
      </w:tc>
      <w:tc>
        <w:tcPr>
          <w:tcW w:w="844" w:type="dxa"/>
          <w:tcBorders>
            <w:top w:val="dotted" w:sz="4" w:space="0" w:color="6D6D6D"/>
            <w:left w:val="dotted" w:sz="4" w:space="0" w:color="6D6D6D"/>
            <w:bottom w:val="dotted" w:sz="4" w:space="0" w:color="6D6D6D"/>
          </w:tcBorders>
          <w:shd w:val="clear" w:color="auto" w:fill="auto"/>
        </w:tcPr>
        <w:p w14:paraId="2B066E9E" w14:textId="77777777" w:rsidR="004A48C9" w:rsidRPr="00080DA3" w:rsidRDefault="004A48C9" w:rsidP="004A48C9">
          <w:pPr>
            <w:pStyle w:val="Piedepgina"/>
            <w:jc w:val="center"/>
            <w:rPr>
              <w:rFonts w:ascii="Geomanist Light" w:hAnsi="Geomanist Light"/>
              <w:sz w:val="18"/>
              <w:szCs w:val="18"/>
            </w:rPr>
          </w:pPr>
          <w:r w:rsidRPr="00080DA3">
            <w:rPr>
              <w:rFonts w:ascii="Geomanist Light" w:hAnsi="Geomanist Light"/>
              <w:sz w:val="18"/>
              <w:szCs w:val="18"/>
            </w:rPr>
            <w:t>Código:</w:t>
          </w:r>
        </w:p>
      </w:tc>
      <w:tc>
        <w:tcPr>
          <w:tcW w:w="1784" w:type="dxa"/>
          <w:tcBorders>
            <w:top w:val="dotted" w:sz="4" w:space="0" w:color="6D6D6D"/>
            <w:bottom w:val="dotted" w:sz="4" w:space="0" w:color="6D6D6D"/>
            <w:right w:val="dotted" w:sz="4" w:space="0" w:color="6D6D6D"/>
          </w:tcBorders>
          <w:shd w:val="clear" w:color="auto" w:fill="auto"/>
          <w:vAlign w:val="center"/>
        </w:tcPr>
        <w:p w14:paraId="30CE688F" w14:textId="77777777" w:rsidR="004A48C9" w:rsidRPr="004B6B0E" w:rsidRDefault="004A48C9" w:rsidP="004A48C9">
          <w:pPr>
            <w:pBdr>
              <w:top w:val="nil"/>
              <w:left w:val="nil"/>
              <w:bottom w:val="nil"/>
              <w:right w:val="nil"/>
              <w:between w:val="nil"/>
            </w:pBdr>
            <w:tabs>
              <w:tab w:val="center" w:pos="4419"/>
              <w:tab w:val="right" w:pos="8838"/>
              <w:tab w:val="center" w:pos="5400"/>
            </w:tabs>
            <w:jc w:val="center"/>
            <w:rPr>
              <w:rFonts w:ascii="Geomanist Bold" w:eastAsia="Geo" w:hAnsi="Geomanist Bold" w:cs="Geo"/>
              <w:b/>
              <w:color w:val="002060"/>
              <w:lang w:eastAsia="es-CO"/>
            </w:rPr>
          </w:pPr>
          <w:r w:rsidRPr="0000650B">
            <w:rPr>
              <w:rFonts w:ascii="Geomanist Light" w:eastAsia="Geo" w:hAnsi="Geomanist Light" w:cs="Geo"/>
              <w:b/>
              <w:color w:val="000000"/>
              <w:sz w:val="18"/>
              <w:szCs w:val="18"/>
              <w:lang w:eastAsia="es-CO"/>
            </w:rPr>
            <w:t>CCE-</w:t>
          </w:r>
          <w:r>
            <w:rPr>
              <w:rFonts w:ascii="Geomanist Light" w:eastAsia="Geo" w:hAnsi="Geomanist Light" w:cs="Geo"/>
              <w:b/>
              <w:color w:val="000000"/>
              <w:sz w:val="18"/>
              <w:szCs w:val="18"/>
              <w:lang w:eastAsia="es-CO"/>
            </w:rPr>
            <w:t>PQRSD</w:t>
          </w:r>
          <w:r w:rsidRPr="0000650B">
            <w:rPr>
              <w:rFonts w:ascii="Geomanist Light" w:eastAsia="Geo" w:hAnsi="Geomanist Light" w:cs="Geo"/>
              <w:b/>
              <w:color w:val="000000"/>
              <w:sz w:val="18"/>
              <w:szCs w:val="18"/>
              <w:lang w:eastAsia="es-CO"/>
            </w:rPr>
            <w:t>-</w:t>
          </w:r>
          <w:r>
            <w:rPr>
              <w:rFonts w:ascii="Geomanist Light" w:eastAsia="Geo" w:hAnsi="Geomanist Light" w:cs="Geo"/>
              <w:b/>
              <w:color w:val="000000"/>
              <w:sz w:val="18"/>
              <w:szCs w:val="18"/>
              <w:lang w:eastAsia="es-CO"/>
            </w:rPr>
            <w:t>FM</w:t>
          </w:r>
          <w:r w:rsidRPr="0000650B">
            <w:rPr>
              <w:rFonts w:ascii="Geomanist Light" w:eastAsia="Geo" w:hAnsi="Geomanist Light" w:cs="Geo"/>
              <w:b/>
              <w:color w:val="000000"/>
              <w:sz w:val="18"/>
              <w:szCs w:val="18"/>
              <w:lang w:eastAsia="es-CO"/>
            </w:rPr>
            <w:t>-</w:t>
          </w:r>
          <w:r>
            <w:rPr>
              <w:rFonts w:ascii="Geomanist Light" w:eastAsia="Geo" w:hAnsi="Geomanist Light" w:cs="Geo"/>
              <w:b/>
              <w:color w:val="000000"/>
              <w:sz w:val="18"/>
              <w:szCs w:val="18"/>
              <w:lang w:eastAsia="es-CO"/>
            </w:rPr>
            <w:t>08</w:t>
          </w:r>
        </w:p>
      </w:tc>
      <w:tc>
        <w:tcPr>
          <w:tcW w:w="720" w:type="dxa"/>
          <w:tcBorders>
            <w:top w:val="dotted" w:sz="4" w:space="0" w:color="6D6D6D"/>
            <w:left w:val="dotted" w:sz="4" w:space="0" w:color="6D6D6D"/>
            <w:bottom w:val="dotted" w:sz="4" w:space="0" w:color="6D6D6D"/>
          </w:tcBorders>
          <w:shd w:val="clear" w:color="auto" w:fill="auto"/>
        </w:tcPr>
        <w:p w14:paraId="798E0286" w14:textId="77777777" w:rsidR="004A48C9" w:rsidRPr="00080DA3" w:rsidRDefault="004A48C9" w:rsidP="004A48C9">
          <w:pPr>
            <w:pStyle w:val="Piedepgina"/>
            <w:jc w:val="center"/>
            <w:rPr>
              <w:rFonts w:ascii="Geomanist Light" w:hAnsi="Geomanist Light"/>
              <w:sz w:val="18"/>
              <w:szCs w:val="18"/>
            </w:rPr>
          </w:pPr>
          <w:r w:rsidRPr="00080DA3">
            <w:rPr>
              <w:rFonts w:ascii="Geomanist Light" w:hAnsi="Geomanist Light"/>
              <w:sz w:val="18"/>
              <w:szCs w:val="18"/>
            </w:rPr>
            <w:t>Fecha:</w:t>
          </w:r>
        </w:p>
      </w:tc>
      <w:tc>
        <w:tcPr>
          <w:tcW w:w="2818" w:type="dxa"/>
          <w:tcBorders>
            <w:top w:val="dotted" w:sz="4" w:space="0" w:color="6D6D6D"/>
            <w:bottom w:val="dotted" w:sz="4" w:space="0" w:color="6D6D6D"/>
            <w:right w:val="dotted" w:sz="4" w:space="0" w:color="6D6D6D"/>
          </w:tcBorders>
          <w:shd w:val="clear" w:color="auto" w:fill="auto"/>
        </w:tcPr>
        <w:p w14:paraId="5803C0F2" w14:textId="77777777" w:rsidR="004A48C9" w:rsidRPr="00080DA3" w:rsidRDefault="004A48C9" w:rsidP="004A48C9">
          <w:pPr>
            <w:pStyle w:val="Piedepgina"/>
            <w:jc w:val="center"/>
            <w:rPr>
              <w:rFonts w:ascii="Geomanist Light" w:hAnsi="Geomanist Light"/>
              <w:sz w:val="18"/>
              <w:szCs w:val="18"/>
            </w:rPr>
          </w:pPr>
          <w:r>
            <w:rPr>
              <w:rFonts w:ascii="Geomanist Light" w:hAnsi="Geomanist Light"/>
              <w:sz w:val="18"/>
              <w:szCs w:val="18"/>
            </w:rPr>
            <w:t>30</w:t>
          </w:r>
          <w:r w:rsidRPr="00080DA3">
            <w:rPr>
              <w:rFonts w:ascii="Geomanist Light" w:hAnsi="Geomanist Light"/>
              <w:sz w:val="18"/>
              <w:szCs w:val="18"/>
            </w:rPr>
            <w:t xml:space="preserve"> de </w:t>
          </w:r>
          <w:r>
            <w:rPr>
              <w:rFonts w:ascii="Geomanist Light" w:hAnsi="Geomanist Light"/>
              <w:sz w:val="18"/>
              <w:szCs w:val="18"/>
            </w:rPr>
            <w:t>agosto</w:t>
          </w:r>
          <w:r w:rsidRPr="00080DA3">
            <w:rPr>
              <w:rFonts w:ascii="Geomanist Light" w:hAnsi="Geomanist Light"/>
              <w:sz w:val="18"/>
              <w:szCs w:val="18"/>
            </w:rPr>
            <w:t xml:space="preserve"> de 202</w:t>
          </w:r>
          <w:r>
            <w:rPr>
              <w:rFonts w:ascii="Geomanist Light" w:hAnsi="Geomanist Light"/>
              <w:sz w:val="18"/>
              <w:szCs w:val="18"/>
            </w:rPr>
            <w:t>2</w:t>
          </w:r>
        </w:p>
      </w:tc>
      <w:tc>
        <w:tcPr>
          <w:tcW w:w="1527" w:type="dxa"/>
          <w:tcBorders>
            <w:top w:val="dotted" w:sz="4" w:space="0" w:color="6D6D6D"/>
            <w:left w:val="dotted" w:sz="4" w:space="0" w:color="6D6D6D"/>
            <w:bottom w:val="dotted" w:sz="4" w:space="0" w:color="6D6D6D"/>
            <w:right w:val="dotted" w:sz="4" w:space="0" w:color="6D6D6D"/>
          </w:tcBorders>
          <w:shd w:val="clear" w:color="auto" w:fill="auto"/>
        </w:tcPr>
        <w:p w14:paraId="230DDDE8" w14:textId="77777777" w:rsidR="004A48C9" w:rsidRPr="00080DA3" w:rsidRDefault="004A48C9" w:rsidP="004A48C9">
          <w:pPr>
            <w:pStyle w:val="Piedepgina"/>
            <w:jc w:val="center"/>
            <w:rPr>
              <w:rFonts w:ascii="Geomanist Light" w:hAnsi="Geomanist Light"/>
              <w:sz w:val="18"/>
              <w:szCs w:val="18"/>
            </w:rPr>
          </w:pPr>
          <w:r w:rsidRPr="00080DA3">
            <w:rPr>
              <w:rFonts w:ascii="Geomanist Light" w:hAnsi="Geomanist Light"/>
              <w:sz w:val="18"/>
              <w:szCs w:val="18"/>
            </w:rPr>
            <w:t xml:space="preserve">Página </w:t>
          </w:r>
          <w:r w:rsidRPr="00080DA3">
            <w:rPr>
              <w:rFonts w:ascii="Geomanist Light" w:hAnsi="Geomanist Light"/>
              <w:b/>
              <w:bCs/>
              <w:sz w:val="18"/>
              <w:szCs w:val="18"/>
            </w:rPr>
            <w:fldChar w:fldCharType="begin"/>
          </w:r>
          <w:r w:rsidRPr="00080DA3">
            <w:rPr>
              <w:rFonts w:ascii="Geomanist Light" w:hAnsi="Geomanist Light"/>
              <w:b/>
              <w:bCs/>
              <w:sz w:val="18"/>
              <w:szCs w:val="18"/>
            </w:rPr>
            <w:instrText>PAGE  \* Arabic  \* MERGEFORMAT</w:instrText>
          </w:r>
          <w:r w:rsidRPr="00080DA3">
            <w:rPr>
              <w:rFonts w:ascii="Geomanist Light" w:hAnsi="Geomanist Light"/>
              <w:b/>
              <w:bCs/>
              <w:sz w:val="18"/>
              <w:szCs w:val="18"/>
            </w:rPr>
            <w:fldChar w:fldCharType="separate"/>
          </w:r>
          <w:r>
            <w:rPr>
              <w:rFonts w:ascii="Geomanist Light" w:hAnsi="Geomanist Light"/>
              <w:b/>
              <w:bCs/>
              <w:sz w:val="18"/>
              <w:szCs w:val="18"/>
            </w:rPr>
            <w:t>1</w:t>
          </w:r>
          <w:r w:rsidRPr="00080DA3">
            <w:rPr>
              <w:rFonts w:ascii="Geomanist Light" w:hAnsi="Geomanist Light"/>
              <w:b/>
              <w:bCs/>
              <w:sz w:val="18"/>
              <w:szCs w:val="18"/>
            </w:rPr>
            <w:fldChar w:fldCharType="end"/>
          </w:r>
          <w:r w:rsidRPr="00080DA3">
            <w:rPr>
              <w:rFonts w:ascii="Geomanist Light" w:hAnsi="Geomanist Light"/>
              <w:sz w:val="18"/>
              <w:szCs w:val="18"/>
            </w:rPr>
            <w:t xml:space="preserve"> de </w:t>
          </w:r>
          <w:r w:rsidRPr="00080DA3">
            <w:rPr>
              <w:rFonts w:ascii="Geomanist Light" w:hAnsi="Geomanist Light"/>
              <w:b/>
              <w:bCs/>
              <w:sz w:val="18"/>
              <w:szCs w:val="18"/>
            </w:rPr>
            <w:fldChar w:fldCharType="begin"/>
          </w:r>
          <w:r w:rsidRPr="00080DA3">
            <w:rPr>
              <w:rFonts w:ascii="Geomanist Light" w:hAnsi="Geomanist Light"/>
              <w:b/>
              <w:bCs/>
              <w:sz w:val="18"/>
              <w:szCs w:val="18"/>
            </w:rPr>
            <w:instrText>NUMPAGES  \* Arabic  \* MERGEFORMAT</w:instrText>
          </w:r>
          <w:r w:rsidRPr="00080DA3">
            <w:rPr>
              <w:rFonts w:ascii="Geomanist Light" w:hAnsi="Geomanist Light"/>
              <w:b/>
              <w:bCs/>
              <w:sz w:val="18"/>
              <w:szCs w:val="18"/>
            </w:rPr>
            <w:fldChar w:fldCharType="separate"/>
          </w:r>
          <w:r>
            <w:rPr>
              <w:rFonts w:ascii="Geomanist Light" w:hAnsi="Geomanist Light"/>
              <w:b/>
              <w:bCs/>
              <w:sz w:val="18"/>
              <w:szCs w:val="18"/>
            </w:rPr>
            <w:t>14</w:t>
          </w:r>
          <w:r w:rsidRPr="00080DA3">
            <w:rPr>
              <w:rFonts w:ascii="Geomanist Light" w:hAnsi="Geomanist Light"/>
              <w:b/>
              <w:bCs/>
              <w:sz w:val="18"/>
              <w:szCs w:val="18"/>
            </w:rPr>
            <w:fldChar w:fldCharType="end"/>
          </w:r>
        </w:p>
      </w:tc>
    </w:tr>
  </w:tbl>
  <w:p w14:paraId="5B972AE9" w14:textId="77777777" w:rsidR="008F4163" w:rsidRPr="007B0854" w:rsidRDefault="0048267E" w:rsidP="007B0854">
    <w:pPr>
      <w:pStyle w:val="Piedepgina"/>
      <w:jc w:val="center"/>
      <w:rPr>
        <w:lang w:val="es-E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668FC0" w14:textId="77777777" w:rsidR="00F74F2B" w:rsidRDefault="00F74F2B" w:rsidP="004A48C9">
      <w:pPr>
        <w:spacing w:after="0" w:line="240" w:lineRule="auto"/>
      </w:pPr>
      <w:r>
        <w:separator/>
      </w:r>
    </w:p>
  </w:footnote>
  <w:footnote w:type="continuationSeparator" w:id="0">
    <w:p w14:paraId="78C19358" w14:textId="77777777" w:rsidR="00F74F2B" w:rsidRDefault="00F74F2B" w:rsidP="004A48C9">
      <w:pPr>
        <w:spacing w:after="0" w:line="240" w:lineRule="auto"/>
      </w:pPr>
      <w:r>
        <w:continuationSeparator/>
      </w:r>
    </w:p>
  </w:footnote>
  <w:footnote w:id="1">
    <w:p w14:paraId="07D691A3" w14:textId="77777777" w:rsidR="006E291E" w:rsidRPr="00044D8A" w:rsidRDefault="006E291E" w:rsidP="00044D8A">
      <w:pPr>
        <w:pStyle w:val="Textonotapie"/>
        <w:spacing w:before="120" w:after="120"/>
        <w:ind w:firstLine="708"/>
        <w:jc w:val="both"/>
        <w:rPr>
          <w:rFonts w:ascii="Arial" w:hAnsi="Arial" w:cs="Arial"/>
          <w:sz w:val="19"/>
          <w:szCs w:val="19"/>
          <w:lang w:val="es-CO"/>
        </w:rPr>
      </w:pPr>
      <w:r w:rsidRPr="00044D8A">
        <w:rPr>
          <w:rStyle w:val="Refdenotaalpie"/>
          <w:rFonts w:ascii="Arial" w:hAnsi="Arial" w:cs="Arial"/>
          <w:sz w:val="19"/>
          <w:szCs w:val="19"/>
        </w:rPr>
        <w:footnoteRef/>
      </w:r>
      <w:r w:rsidRPr="00044D8A">
        <w:rPr>
          <w:rFonts w:ascii="Arial" w:hAnsi="Arial" w:cs="Arial"/>
          <w:sz w:val="19"/>
          <w:szCs w:val="19"/>
        </w:rPr>
        <w:t xml:space="preserve"> </w:t>
      </w:r>
      <w:r w:rsidRPr="000E427A">
        <w:rPr>
          <w:rFonts w:ascii="Arial" w:hAnsi="Arial" w:cs="Arial"/>
          <w:sz w:val="19"/>
          <w:szCs w:val="19"/>
          <w:lang w:val="es-CO"/>
        </w:rPr>
        <w:t xml:space="preserve">Estos conceptos pueden consultarse en la página web: </w:t>
      </w:r>
      <w:hyperlink r:id="rId1" w:history="1">
        <w:r w:rsidRPr="000E427A">
          <w:rPr>
            <w:rStyle w:val="Hipervnculo"/>
            <w:rFonts w:ascii="Arial" w:hAnsi="Arial" w:cs="Arial"/>
            <w:color w:val="44546A" w:themeColor="text2"/>
            <w:sz w:val="19"/>
            <w:szCs w:val="19"/>
            <w:lang w:val="es-CO"/>
          </w:rPr>
          <w:t>https://relatoria.colombiacompra.gov.co/busqueda/conceptos#</w:t>
        </w:r>
      </w:hyperlink>
      <w:r w:rsidRPr="000E427A">
        <w:rPr>
          <w:rFonts w:ascii="Arial" w:hAnsi="Arial" w:cs="Arial"/>
          <w:sz w:val="19"/>
          <w:szCs w:val="19"/>
          <w:lang w:val="es-CO"/>
        </w:rPr>
        <w:t>.</w:t>
      </w:r>
    </w:p>
  </w:footnote>
  <w:footnote w:id="2">
    <w:p w14:paraId="56FD6793" w14:textId="3F63B699" w:rsidR="00AF0830" w:rsidRPr="000E427A" w:rsidRDefault="00AF0830" w:rsidP="00044D8A">
      <w:pPr>
        <w:pStyle w:val="Textonotapie"/>
        <w:spacing w:before="120" w:after="120"/>
        <w:ind w:firstLine="709"/>
        <w:jc w:val="both"/>
        <w:rPr>
          <w:rFonts w:ascii="Arial" w:hAnsi="Arial" w:cs="Arial"/>
          <w:color w:val="000000"/>
          <w:sz w:val="19"/>
          <w:szCs w:val="19"/>
          <w:lang w:val="es-ES"/>
        </w:rPr>
      </w:pPr>
      <w:r w:rsidRPr="000E427A">
        <w:rPr>
          <w:rStyle w:val="Refdenotaalpie"/>
          <w:rFonts w:ascii="Arial" w:hAnsi="Arial" w:cs="Arial"/>
          <w:color w:val="000000"/>
          <w:sz w:val="19"/>
          <w:szCs w:val="19"/>
        </w:rPr>
        <w:footnoteRef/>
      </w:r>
      <w:r w:rsidRPr="000E427A">
        <w:rPr>
          <w:rFonts w:ascii="Arial" w:hAnsi="Arial" w:cs="Arial"/>
          <w:color w:val="000000"/>
          <w:sz w:val="19"/>
          <w:szCs w:val="19"/>
        </w:rPr>
        <w:t xml:space="preserve"> </w:t>
      </w:r>
      <w:r w:rsidRPr="000E427A">
        <w:rPr>
          <w:rFonts w:ascii="Arial" w:hAnsi="Arial" w:cs="Arial"/>
          <w:color w:val="000000"/>
          <w:sz w:val="19"/>
          <w:szCs w:val="19"/>
          <w:lang w:val="es-ES"/>
        </w:rPr>
        <w:t>Artículos 2 al 29.</w:t>
      </w:r>
    </w:p>
  </w:footnote>
  <w:footnote w:id="3">
    <w:p w14:paraId="6064E9F8" w14:textId="3FB3EF62" w:rsidR="00AF0830" w:rsidRPr="000E427A" w:rsidRDefault="00AF0830" w:rsidP="00044D8A">
      <w:pPr>
        <w:pStyle w:val="Textonotapie"/>
        <w:spacing w:before="120" w:after="120"/>
        <w:ind w:firstLine="709"/>
        <w:jc w:val="both"/>
        <w:rPr>
          <w:rFonts w:ascii="Arial" w:hAnsi="Arial" w:cs="Arial"/>
          <w:color w:val="000000"/>
          <w:sz w:val="19"/>
          <w:szCs w:val="19"/>
          <w:lang w:val="es-ES"/>
        </w:rPr>
      </w:pPr>
      <w:r w:rsidRPr="000E427A">
        <w:rPr>
          <w:rStyle w:val="Refdenotaalpie"/>
          <w:rFonts w:ascii="Arial" w:hAnsi="Arial" w:cs="Arial"/>
          <w:color w:val="000000"/>
          <w:sz w:val="19"/>
          <w:szCs w:val="19"/>
        </w:rPr>
        <w:footnoteRef/>
      </w:r>
      <w:r w:rsidRPr="000E427A">
        <w:rPr>
          <w:rFonts w:ascii="Arial" w:hAnsi="Arial" w:cs="Arial"/>
          <w:color w:val="000000"/>
          <w:sz w:val="19"/>
          <w:szCs w:val="19"/>
        </w:rPr>
        <w:t xml:space="preserve"> </w:t>
      </w:r>
      <w:r w:rsidRPr="000E427A">
        <w:rPr>
          <w:rFonts w:ascii="Arial" w:hAnsi="Arial" w:cs="Arial"/>
          <w:color w:val="000000"/>
          <w:sz w:val="19"/>
          <w:szCs w:val="19"/>
          <w:lang w:val="es-ES"/>
        </w:rPr>
        <w:t>Artículos 30 al 36.</w:t>
      </w:r>
    </w:p>
  </w:footnote>
  <w:footnote w:id="4">
    <w:p w14:paraId="700A9F1D" w14:textId="01F3032E" w:rsidR="00AF0830" w:rsidRPr="000E427A" w:rsidRDefault="00AF0830" w:rsidP="00044D8A">
      <w:pPr>
        <w:pStyle w:val="Textonotapie"/>
        <w:spacing w:before="120" w:after="120"/>
        <w:ind w:firstLine="709"/>
        <w:jc w:val="both"/>
        <w:rPr>
          <w:rFonts w:ascii="Arial" w:hAnsi="Arial" w:cs="Arial"/>
          <w:color w:val="000000"/>
          <w:sz w:val="19"/>
          <w:szCs w:val="19"/>
          <w:lang w:val="es-ES"/>
        </w:rPr>
      </w:pPr>
      <w:r w:rsidRPr="000E427A">
        <w:rPr>
          <w:rStyle w:val="Refdenotaalpie"/>
          <w:rFonts w:ascii="Arial" w:hAnsi="Arial" w:cs="Arial"/>
          <w:color w:val="000000"/>
          <w:sz w:val="19"/>
          <w:szCs w:val="19"/>
        </w:rPr>
        <w:footnoteRef/>
      </w:r>
      <w:r w:rsidRPr="000E427A">
        <w:rPr>
          <w:rFonts w:ascii="Arial" w:hAnsi="Arial" w:cs="Arial"/>
          <w:color w:val="000000"/>
          <w:sz w:val="19"/>
          <w:szCs w:val="19"/>
        </w:rPr>
        <w:t xml:space="preserve"> </w:t>
      </w:r>
      <w:r w:rsidRPr="000E427A">
        <w:rPr>
          <w:rFonts w:ascii="Arial" w:hAnsi="Arial" w:cs="Arial"/>
          <w:color w:val="000000"/>
          <w:sz w:val="19"/>
          <w:szCs w:val="19"/>
          <w:lang w:val="es-ES"/>
        </w:rPr>
        <w:t>Artículos 37 al 45.</w:t>
      </w:r>
    </w:p>
  </w:footnote>
  <w:footnote w:id="5">
    <w:p w14:paraId="7193D22F" w14:textId="5F16495A" w:rsidR="00AF0830" w:rsidRPr="000E427A" w:rsidRDefault="00AF0830" w:rsidP="00044D8A">
      <w:pPr>
        <w:pStyle w:val="Textonotapie"/>
        <w:spacing w:before="120" w:after="120"/>
        <w:ind w:firstLine="709"/>
        <w:jc w:val="both"/>
        <w:rPr>
          <w:rFonts w:ascii="Arial" w:hAnsi="Arial" w:cs="Arial"/>
          <w:color w:val="000000"/>
          <w:sz w:val="19"/>
          <w:szCs w:val="19"/>
          <w:lang w:val="es-ES"/>
        </w:rPr>
      </w:pPr>
      <w:r w:rsidRPr="000E427A">
        <w:rPr>
          <w:rStyle w:val="Refdenotaalpie"/>
          <w:rFonts w:ascii="Arial" w:hAnsi="Arial" w:cs="Arial"/>
          <w:color w:val="000000"/>
          <w:sz w:val="19"/>
          <w:szCs w:val="19"/>
        </w:rPr>
        <w:footnoteRef/>
      </w:r>
      <w:r w:rsidRPr="000E427A">
        <w:rPr>
          <w:rFonts w:ascii="Arial" w:hAnsi="Arial" w:cs="Arial"/>
          <w:color w:val="000000"/>
          <w:sz w:val="19"/>
          <w:szCs w:val="19"/>
        </w:rPr>
        <w:t xml:space="preserve"> </w:t>
      </w:r>
      <w:r w:rsidRPr="000E427A">
        <w:rPr>
          <w:rFonts w:ascii="Arial" w:hAnsi="Arial" w:cs="Arial"/>
          <w:color w:val="000000"/>
          <w:sz w:val="19"/>
          <w:szCs w:val="19"/>
          <w:lang w:val="es-ES"/>
        </w:rPr>
        <w:t>Artículos 46 al 73.</w:t>
      </w:r>
    </w:p>
  </w:footnote>
  <w:footnote w:id="6">
    <w:p w14:paraId="669747EC" w14:textId="4FB48AB0" w:rsidR="00AF0830" w:rsidRPr="000E427A" w:rsidRDefault="00AF0830" w:rsidP="00044D8A">
      <w:pPr>
        <w:pStyle w:val="Textonotapie"/>
        <w:spacing w:before="120" w:after="120"/>
        <w:ind w:firstLine="709"/>
        <w:jc w:val="both"/>
        <w:rPr>
          <w:rFonts w:ascii="Arial" w:hAnsi="Arial" w:cs="Arial"/>
          <w:color w:val="000000"/>
          <w:sz w:val="19"/>
          <w:szCs w:val="19"/>
          <w:lang w:val="es-ES"/>
        </w:rPr>
      </w:pPr>
      <w:r w:rsidRPr="000E427A">
        <w:rPr>
          <w:rStyle w:val="Refdenotaalpie"/>
          <w:rFonts w:ascii="Arial" w:hAnsi="Arial" w:cs="Arial"/>
          <w:color w:val="000000"/>
          <w:sz w:val="19"/>
          <w:szCs w:val="19"/>
        </w:rPr>
        <w:footnoteRef/>
      </w:r>
      <w:r w:rsidRPr="000E427A">
        <w:rPr>
          <w:rFonts w:ascii="Arial" w:hAnsi="Arial" w:cs="Arial"/>
          <w:color w:val="000000"/>
          <w:sz w:val="19"/>
          <w:szCs w:val="19"/>
        </w:rPr>
        <w:t xml:space="preserve"> </w:t>
      </w:r>
      <w:r w:rsidRPr="000E427A">
        <w:rPr>
          <w:rFonts w:ascii="Arial" w:hAnsi="Arial" w:cs="Arial"/>
          <w:color w:val="000000"/>
          <w:sz w:val="19"/>
          <w:szCs w:val="19"/>
          <w:lang w:val="es-ES"/>
        </w:rPr>
        <w:t>Artículos 74 al 83.</w:t>
      </w:r>
    </w:p>
  </w:footnote>
  <w:footnote w:id="7">
    <w:p w14:paraId="5BD4129D" w14:textId="0F73AEA9" w:rsidR="00AF0830" w:rsidRPr="000E427A" w:rsidRDefault="00AF0830" w:rsidP="00044D8A">
      <w:pPr>
        <w:pStyle w:val="Textonotapie"/>
        <w:spacing w:before="120" w:after="120"/>
        <w:ind w:firstLine="709"/>
        <w:jc w:val="both"/>
        <w:rPr>
          <w:rFonts w:ascii="Arial" w:hAnsi="Arial" w:cs="Arial"/>
          <w:color w:val="000000"/>
          <w:sz w:val="19"/>
          <w:szCs w:val="19"/>
          <w:lang w:val="es-ES"/>
        </w:rPr>
      </w:pPr>
      <w:r w:rsidRPr="000E427A">
        <w:rPr>
          <w:rStyle w:val="Refdenotaalpie"/>
          <w:rFonts w:ascii="Arial" w:hAnsi="Arial" w:cs="Arial"/>
          <w:color w:val="000000"/>
          <w:sz w:val="19"/>
          <w:szCs w:val="19"/>
        </w:rPr>
        <w:footnoteRef/>
      </w:r>
      <w:r w:rsidRPr="000E427A">
        <w:rPr>
          <w:rFonts w:ascii="Arial" w:hAnsi="Arial" w:cs="Arial"/>
          <w:color w:val="000000"/>
          <w:sz w:val="19"/>
          <w:szCs w:val="19"/>
        </w:rPr>
        <w:t xml:space="preserve"> </w:t>
      </w:r>
      <w:r w:rsidRPr="000E427A">
        <w:rPr>
          <w:rFonts w:ascii="Arial" w:hAnsi="Arial" w:cs="Arial"/>
          <w:bCs/>
          <w:color w:val="000000"/>
          <w:sz w:val="19"/>
          <w:szCs w:val="19"/>
        </w:rPr>
        <w:t xml:space="preserve">Esta política se justifica en la medida que: «Cuando una empresa decide ser formal se generan beneficios para la sociedad más allá de los que la empresa recibe (externalidades positivas). Estos beneficios […] incluyen la inserción de más trabajadores al sistema de aseguramiento social, un mayor cumplimiento de las normas sectoriales que buscan proteger la salud de los consumidores y mayores ingresos tributarios para la inversión pública. De igual manera, cuando una empresa decide ser informal, su decisión genera costos para la sociedad más allá de los asumidos por la empresa (externalidades negativas). Algunos de estos son competencia desleal con empresas formales, ya que estas últimas asumen costos adicionales (por ejemplo, pago de registros, seguridad social e impuestos), y el aumento de la corrupción porque, en ocasiones, la manera en que empresas informales evaden el control de los requisitos de formalidad es vía pagos ilegales» (Cfr. </w:t>
      </w:r>
      <w:r w:rsidRPr="000E427A">
        <w:rPr>
          <w:rFonts w:ascii="Arial" w:hAnsi="Arial" w:cs="Arial"/>
          <w:color w:val="000000"/>
          <w:sz w:val="19"/>
          <w:szCs w:val="19"/>
        </w:rPr>
        <w:t xml:space="preserve">CONSEJO NACIONAL DE POLÍTICA ECONÓMICA Y SOCIAL. Documento 3956 del 8 de enero de 2019: «Política de formalización empresarial». Archivo consultado el 8 de febrero de 2021 en la página web </w:t>
      </w:r>
      <w:hyperlink r:id="rId2" w:history="1">
        <w:r w:rsidRPr="000E427A">
          <w:rPr>
            <w:rStyle w:val="Hipervnculo"/>
            <w:rFonts w:ascii="Arial" w:hAnsi="Arial" w:cs="Arial"/>
            <w:color w:val="000000"/>
            <w:sz w:val="19"/>
            <w:szCs w:val="19"/>
          </w:rPr>
          <w:t>https://colaboracion.dnp.gov.co/CDT/Conpes/Econ%C3%B3micos/3956.pdf</w:t>
        </w:r>
      </w:hyperlink>
      <w:r w:rsidRPr="000E427A">
        <w:rPr>
          <w:rFonts w:ascii="Arial" w:hAnsi="Arial" w:cs="Arial"/>
          <w:color w:val="000000"/>
          <w:sz w:val="19"/>
          <w:szCs w:val="19"/>
        </w:rPr>
        <w:t xml:space="preserve">). </w:t>
      </w:r>
    </w:p>
  </w:footnote>
  <w:footnote w:id="8">
    <w:p w14:paraId="7696C35D" w14:textId="03A7DB93" w:rsidR="00AF0830" w:rsidRPr="000E427A" w:rsidRDefault="00AF0830" w:rsidP="00044D8A">
      <w:pPr>
        <w:pStyle w:val="Textonotapie"/>
        <w:spacing w:before="120" w:after="120"/>
        <w:ind w:firstLine="709"/>
        <w:jc w:val="both"/>
        <w:rPr>
          <w:rFonts w:ascii="Arial" w:hAnsi="Arial" w:cs="Arial"/>
          <w:color w:val="000000"/>
          <w:sz w:val="19"/>
          <w:szCs w:val="19"/>
          <w:lang w:val="es-ES"/>
        </w:rPr>
      </w:pPr>
      <w:r w:rsidRPr="000E427A">
        <w:rPr>
          <w:rStyle w:val="Refdenotaalpie"/>
          <w:rFonts w:ascii="Arial" w:hAnsi="Arial" w:cs="Arial"/>
          <w:color w:val="000000"/>
          <w:sz w:val="19"/>
          <w:szCs w:val="19"/>
        </w:rPr>
        <w:footnoteRef/>
      </w:r>
      <w:r w:rsidRPr="000E427A">
        <w:rPr>
          <w:rFonts w:ascii="Arial" w:hAnsi="Arial" w:cs="Arial"/>
          <w:color w:val="000000"/>
          <w:sz w:val="19"/>
          <w:szCs w:val="19"/>
        </w:rPr>
        <w:t xml:space="preserve"> CONGRESO DE LA REPÚBLICA. Gaceta No. 670 del 11 de agosto de 2020. Exposición de motivos del Proyecto de Ley No. 122 de 2020 Cámara. p. 13. </w:t>
      </w:r>
    </w:p>
  </w:footnote>
  <w:footnote w:id="9">
    <w:p w14:paraId="2C522AE3" w14:textId="77777777" w:rsidR="004A48C9" w:rsidRPr="00044D8A" w:rsidRDefault="004A48C9" w:rsidP="00044D8A">
      <w:pPr>
        <w:spacing w:before="120" w:after="120"/>
        <w:ind w:firstLine="709"/>
        <w:jc w:val="both"/>
        <w:rPr>
          <w:rFonts w:ascii="Arial" w:hAnsi="Arial" w:cs="Arial"/>
          <w:sz w:val="19"/>
          <w:szCs w:val="19"/>
        </w:rPr>
      </w:pPr>
      <w:r w:rsidRPr="00044D8A">
        <w:rPr>
          <w:rStyle w:val="Refdenotaalpie"/>
          <w:rFonts w:ascii="Arial" w:hAnsi="Arial" w:cs="Arial"/>
          <w:sz w:val="19"/>
          <w:szCs w:val="19"/>
        </w:rPr>
        <w:footnoteRef/>
      </w:r>
      <w:r w:rsidRPr="00044D8A">
        <w:rPr>
          <w:rFonts w:ascii="Arial" w:hAnsi="Arial" w:cs="Arial"/>
          <w:sz w:val="19"/>
          <w:szCs w:val="19"/>
        </w:rPr>
        <w:t xml:space="preserve"> </w:t>
      </w:r>
      <w:r w:rsidRPr="00044D8A">
        <w:rPr>
          <w:rFonts w:ascii="Arial" w:hAnsi="Arial" w:cs="Arial"/>
          <w:sz w:val="19"/>
          <w:szCs w:val="19"/>
          <w:lang w:val="es-ES"/>
        </w:rPr>
        <w:t>En efecto, el artículo 34 de la Ley 2069 de 2020 establece: «</w:t>
      </w:r>
      <w:r w:rsidRPr="00044D8A">
        <w:rPr>
          <w:rFonts w:ascii="Arial" w:hAnsi="Arial" w:cs="Arial"/>
          <w:sz w:val="19"/>
          <w:szCs w:val="19"/>
        </w:rPr>
        <w:t xml:space="preserve">Modifíquese el artículo 12 de la Ley 1150 de 2007, el cual quedará así: </w:t>
      </w:r>
    </w:p>
    <w:p w14:paraId="67441669" w14:textId="77777777" w:rsidR="004A48C9" w:rsidRPr="00044D8A" w:rsidRDefault="004A48C9" w:rsidP="00044D8A">
      <w:pPr>
        <w:spacing w:before="120" w:after="120"/>
        <w:ind w:firstLine="709"/>
        <w:jc w:val="both"/>
        <w:rPr>
          <w:rFonts w:ascii="Arial" w:eastAsia="Calibri" w:hAnsi="Arial" w:cs="Arial"/>
          <w:color w:val="000000"/>
          <w:sz w:val="19"/>
          <w:szCs w:val="19"/>
          <w:lang w:val="es-ES_tradnl"/>
        </w:rPr>
      </w:pPr>
      <w:r w:rsidRPr="00044D8A">
        <w:rPr>
          <w:rFonts w:ascii="Arial" w:eastAsia="Calibri" w:hAnsi="Arial" w:cs="Arial"/>
          <w:color w:val="000000"/>
          <w:sz w:val="19"/>
          <w:szCs w:val="19"/>
        </w:rPr>
        <w:t>»</w:t>
      </w:r>
      <w:r w:rsidRPr="00044D8A">
        <w:rPr>
          <w:rFonts w:ascii="Arial" w:eastAsia="Calibri" w:hAnsi="Arial" w:cs="Arial"/>
          <w:color w:val="000000"/>
          <w:sz w:val="19"/>
          <w:szCs w:val="19"/>
          <w:lang w:val="es-ES_tradnl"/>
        </w:rPr>
        <w:t xml:space="preserve">"Artículo 12. Promoción del desarrollo en la contratación pública. De conformidad con lo dispuesto en los artículos 13, 333 y 334 de la Constitución Política, el Gobierno Nacional definirá las condiciones y los montos de acuerdo con los compromisos internacionales vigentes, para que, en desarrollo de los Procesos de Contratación, las Entidades Estatales indistintamente de su régimen de contratación, los patrimonios autónomos constituidos por Entidades Estatales y los particulares que ejecuten recursos públicos, adopten en beneficio de las </w:t>
      </w:r>
      <w:r w:rsidRPr="00044D8A">
        <w:rPr>
          <w:rFonts w:ascii="Arial" w:eastAsia="Calibri" w:hAnsi="Arial" w:cs="Arial"/>
          <w:color w:val="000000"/>
          <w:sz w:val="19"/>
          <w:szCs w:val="19"/>
          <w:lang w:val="es-ES_tradnl"/>
        </w:rPr>
        <w:t>Mipyme, convocatorias limitadas a estas en las que, previo a la Resolución de apertura del proceso respectivo, se haya manifestado el interés de por lo menos dos (2) Mipyme.</w:t>
      </w:r>
    </w:p>
    <w:p w14:paraId="3A1CB314" w14:textId="77777777" w:rsidR="004A48C9" w:rsidRPr="00044D8A" w:rsidRDefault="004A48C9" w:rsidP="00044D8A">
      <w:pPr>
        <w:spacing w:before="120" w:after="120"/>
        <w:ind w:firstLine="709"/>
        <w:jc w:val="both"/>
        <w:rPr>
          <w:rFonts w:ascii="Arial" w:eastAsia="Calibri" w:hAnsi="Arial" w:cs="Arial"/>
          <w:color w:val="000000"/>
          <w:sz w:val="19"/>
          <w:szCs w:val="19"/>
          <w:lang w:val="es-ES_tradnl"/>
        </w:rPr>
      </w:pPr>
      <w:r w:rsidRPr="00044D8A">
        <w:rPr>
          <w:rFonts w:ascii="Arial" w:eastAsia="Calibri" w:hAnsi="Arial" w:cs="Arial"/>
          <w:color w:val="000000"/>
          <w:sz w:val="19"/>
          <w:szCs w:val="19"/>
          <w:lang w:val="es-ES_tradnl"/>
        </w:rPr>
        <w:t>»Asimismo, el reglamento podrá establecer condiciones preferenciales a favor de la oferta de bienes y servicios producidos por las Mipyme respetando los montos y las condiciones contenidas en los compromisos internacionales vigentes, cuando sean aplicables.</w:t>
      </w:r>
    </w:p>
    <w:p w14:paraId="7A0EE68C" w14:textId="77777777" w:rsidR="004A48C9" w:rsidRPr="00044D8A" w:rsidRDefault="004A48C9" w:rsidP="00044D8A">
      <w:pPr>
        <w:spacing w:before="120" w:after="120"/>
        <w:ind w:firstLine="709"/>
        <w:jc w:val="both"/>
        <w:rPr>
          <w:rFonts w:ascii="Arial" w:eastAsia="Calibri" w:hAnsi="Arial" w:cs="Arial"/>
          <w:color w:val="000000"/>
          <w:sz w:val="19"/>
          <w:szCs w:val="19"/>
          <w:lang w:val="es-ES_tradnl"/>
        </w:rPr>
      </w:pPr>
      <w:r w:rsidRPr="00044D8A">
        <w:rPr>
          <w:rFonts w:ascii="Arial" w:eastAsia="Calibri" w:hAnsi="Arial" w:cs="Arial"/>
          <w:color w:val="000000"/>
          <w:sz w:val="19"/>
          <w:szCs w:val="19"/>
          <w:lang w:val="es-ES_tradnl"/>
        </w:rPr>
        <w:t>»En todo caso, se deberá garantizar la satisfacción de las condiciones técnicas y económicas requeridas en el Proceso de Contratación.</w:t>
      </w:r>
    </w:p>
    <w:p w14:paraId="28AF725C" w14:textId="77777777" w:rsidR="004A48C9" w:rsidRPr="00044D8A" w:rsidRDefault="004A48C9" w:rsidP="00044D8A">
      <w:pPr>
        <w:spacing w:before="120" w:after="120"/>
        <w:ind w:firstLine="709"/>
        <w:jc w:val="both"/>
        <w:rPr>
          <w:rFonts w:ascii="Arial" w:eastAsia="Calibri" w:hAnsi="Arial" w:cs="Arial"/>
          <w:color w:val="000000"/>
          <w:sz w:val="19"/>
          <w:szCs w:val="19"/>
          <w:lang w:val="es-ES_tradnl"/>
        </w:rPr>
      </w:pPr>
      <w:r w:rsidRPr="00044D8A">
        <w:rPr>
          <w:rFonts w:ascii="Arial" w:eastAsia="Calibri" w:hAnsi="Arial" w:cs="Arial"/>
          <w:color w:val="000000"/>
          <w:sz w:val="19"/>
          <w:szCs w:val="19"/>
          <w:lang w:val="es-ES_tradnl"/>
        </w:rPr>
        <w:t>»De igual forma, en los pliegos de condiciones dispondrán, de mecanismos que fomenten en la ejecución de los contratos estatales la provisión de bienes y servicios por población en pobreza extrema, desplazados por la violencia, personas en proceso de reintegración o reincorporación y, sujetos de especial protección constitucional en las condiciones que señale el reglamento; siempre que se garanticen las condiciones de calidad y cumplimiento del objeto contractual.</w:t>
      </w:r>
    </w:p>
    <w:p w14:paraId="6DC303AB" w14:textId="77777777" w:rsidR="004A48C9" w:rsidRPr="00044D8A" w:rsidRDefault="004A48C9" w:rsidP="00044D8A">
      <w:pPr>
        <w:spacing w:before="120" w:after="120"/>
        <w:ind w:firstLine="709"/>
        <w:jc w:val="both"/>
        <w:rPr>
          <w:rFonts w:ascii="Arial" w:eastAsia="Calibri" w:hAnsi="Arial" w:cs="Arial"/>
          <w:color w:val="000000"/>
          <w:sz w:val="19"/>
          <w:szCs w:val="19"/>
          <w:lang w:val="es-ES_tradnl"/>
        </w:rPr>
      </w:pPr>
      <w:r w:rsidRPr="00044D8A">
        <w:rPr>
          <w:rFonts w:ascii="Arial" w:eastAsia="Calibri" w:hAnsi="Arial" w:cs="Arial"/>
          <w:color w:val="000000"/>
          <w:sz w:val="19"/>
          <w:szCs w:val="19"/>
          <w:lang w:val="es-ES_tradnl"/>
        </w:rPr>
        <w:t>»Parágrafo Primero. En los Procesos de Contratación que se desarrollen con base en el primer inciso, las entidades podrán realizar las convocatorias limitadas que beneficien a las Mipyme del ámbito municipal o departamental correspondiente al de la ejecución del contrato.</w:t>
      </w:r>
    </w:p>
    <w:p w14:paraId="6D70A590" w14:textId="77777777" w:rsidR="004A48C9" w:rsidRPr="00044D8A" w:rsidRDefault="004A48C9" w:rsidP="00044D8A">
      <w:pPr>
        <w:spacing w:before="120" w:after="120"/>
        <w:ind w:firstLine="709"/>
        <w:jc w:val="both"/>
        <w:rPr>
          <w:rFonts w:ascii="Arial" w:eastAsia="Calibri" w:hAnsi="Arial" w:cs="Arial"/>
          <w:color w:val="000000"/>
          <w:sz w:val="19"/>
          <w:szCs w:val="19"/>
          <w:lang w:val="es-ES_tradnl"/>
        </w:rPr>
      </w:pPr>
      <w:r w:rsidRPr="00044D8A">
        <w:rPr>
          <w:rFonts w:ascii="Arial" w:eastAsia="Calibri" w:hAnsi="Arial" w:cs="Arial"/>
          <w:color w:val="000000"/>
          <w:sz w:val="19"/>
          <w:szCs w:val="19"/>
          <w:lang w:val="es-ES_tradnl"/>
        </w:rPr>
        <w:t>»Parágrafo Segundo. Sin perjuicio de lo dispuesto en los artículos 5 y 6 de la Ley 1150 de 2007, para que las Mipymes puedan participar en las convocatorias a las que se refiere este artículo, deberán acreditar como mínimo un año de existencia, para lo cual deberán presentar el certificado expedido por la cámara de comercio o por la autoridad que sea competente para dicha acreditación.</w:t>
      </w:r>
    </w:p>
    <w:p w14:paraId="158C7BA1" w14:textId="77777777" w:rsidR="004A48C9" w:rsidRPr="00044D8A" w:rsidRDefault="004A48C9" w:rsidP="00044D8A">
      <w:pPr>
        <w:spacing w:before="120" w:after="120"/>
        <w:ind w:firstLine="709"/>
        <w:jc w:val="both"/>
        <w:rPr>
          <w:rFonts w:ascii="Arial" w:eastAsia="Calibri" w:hAnsi="Arial" w:cs="Arial"/>
          <w:color w:val="000000"/>
          <w:sz w:val="19"/>
          <w:szCs w:val="19"/>
          <w:lang w:val="es-ES_tradnl"/>
        </w:rPr>
      </w:pPr>
      <w:r w:rsidRPr="00044D8A">
        <w:rPr>
          <w:rFonts w:ascii="Arial" w:eastAsia="Calibri" w:hAnsi="Arial" w:cs="Arial"/>
          <w:color w:val="000000"/>
          <w:sz w:val="19"/>
          <w:szCs w:val="19"/>
          <w:lang w:val="es-ES_tradnl"/>
        </w:rPr>
        <w:t xml:space="preserve">»Parágrafo Tercero. En la ejecución de los contratos a que se refiere el presente artículo, las entidades y los contratistas, deberán observar lo dispuesto en los artículos 90 a 95 de la Ley 418 de 1997 y las normas que la modifiquen, adicionen o subroguen."»  </w:t>
      </w:r>
    </w:p>
    <w:p w14:paraId="496F7BC5" w14:textId="77777777" w:rsidR="004A48C9" w:rsidRPr="00044D8A" w:rsidRDefault="004A48C9" w:rsidP="00044D8A">
      <w:pPr>
        <w:pStyle w:val="Car1"/>
        <w:spacing w:before="120" w:after="120"/>
        <w:ind w:firstLine="709"/>
        <w:jc w:val="both"/>
        <w:rPr>
          <w:rFonts w:ascii="Arial" w:hAnsi="Arial" w:cs="Arial"/>
          <w:sz w:val="19"/>
          <w:szCs w:val="19"/>
          <w:lang w:val="es-ES_tradnl"/>
        </w:rPr>
      </w:pPr>
    </w:p>
  </w:footnote>
  <w:footnote w:id="10">
    <w:p w14:paraId="54EC1BD1" w14:textId="77777777" w:rsidR="004A48C9" w:rsidRPr="00044D8A" w:rsidRDefault="004A48C9" w:rsidP="00044D8A">
      <w:pPr>
        <w:spacing w:before="120" w:after="120"/>
        <w:ind w:firstLine="709"/>
        <w:jc w:val="both"/>
        <w:rPr>
          <w:rFonts w:ascii="Arial" w:hAnsi="Arial" w:cs="Arial"/>
          <w:sz w:val="19"/>
          <w:szCs w:val="19"/>
          <w:lang w:val="es-ES"/>
        </w:rPr>
      </w:pPr>
      <w:r w:rsidRPr="00044D8A">
        <w:rPr>
          <w:rStyle w:val="Refdenotaalpie"/>
          <w:rFonts w:ascii="Arial" w:hAnsi="Arial" w:cs="Arial"/>
          <w:sz w:val="19"/>
          <w:szCs w:val="19"/>
        </w:rPr>
        <w:footnoteRef/>
      </w:r>
      <w:r w:rsidRPr="00044D8A">
        <w:rPr>
          <w:rFonts w:ascii="Arial" w:hAnsi="Arial" w:cs="Arial"/>
          <w:sz w:val="19"/>
          <w:szCs w:val="19"/>
        </w:rPr>
        <w:t xml:space="preserve"> </w:t>
      </w:r>
      <w:r w:rsidRPr="00044D8A">
        <w:rPr>
          <w:rFonts w:ascii="Arial" w:hAnsi="Arial" w:cs="Arial"/>
          <w:sz w:val="19"/>
          <w:szCs w:val="19"/>
          <w:lang w:val="es-ES"/>
        </w:rPr>
        <w:t>Corte Constitucional. Sentencia C-502 de 2012. Magistrada Ponente: Adriana María Guillén Arango.</w:t>
      </w:r>
    </w:p>
    <w:p w14:paraId="00F4064F" w14:textId="77777777" w:rsidR="004A48C9" w:rsidRPr="00044D8A" w:rsidRDefault="004A48C9" w:rsidP="00044D8A">
      <w:pPr>
        <w:pStyle w:val="Car1"/>
        <w:spacing w:before="120" w:after="120"/>
        <w:ind w:firstLine="709"/>
        <w:jc w:val="both"/>
        <w:rPr>
          <w:rFonts w:ascii="Arial" w:hAnsi="Arial" w:cs="Arial"/>
          <w:sz w:val="19"/>
          <w:szCs w:val="19"/>
          <w:lang w:val="es-ES"/>
        </w:rPr>
      </w:pPr>
      <w:r w:rsidRPr="00044D8A">
        <w:rPr>
          <w:rFonts w:ascii="Arial" w:hAnsi="Arial" w:cs="Arial"/>
          <w:sz w:val="19"/>
          <w:szCs w:val="19"/>
          <w:lang w:val="es-ES"/>
        </w:rPr>
        <w:t xml:space="preserve"> </w:t>
      </w:r>
    </w:p>
  </w:footnote>
  <w:footnote w:id="11">
    <w:p w14:paraId="2CA2AEF6" w14:textId="77777777" w:rsidR="004A48C9" w:rsidRPr="00044D8A" w:rsidRDefault="004A48C9" w:rsidP="00044D8A">
      <w:pPr>
        <w:pStyle w:val="Car1"/>
        <w:spacing w:before="120" w:after="120"/>
        <w:ind w:firstLine="708"/>
        <w:jc w:val="both"/>
        <w:rPr>
          <w:rFonts w:ascii="Arial" w:hAnsi="Arial" w:cs="Arial"/>
          <w:sz w:val="19"/>
          <w:szCs w:val="19"/>
        </w:rPr>
      </w:pPr>
      <w:r w:rsidRPr="00044D8A">
        <w:rPr>
          <w:rStyle w:val="Refdenotaalpie"/>
          <w:rFonts w:ascii="Arial" w:hAnsi="Arial" w:cs="Arial"/>
          <w:sz w:val="19"/>
          <w:szCs w:val="19"/>
        </w:rPr>
        <w:footnoteRef/>
      </w:r>
      <w:r w:rsidRPr="00044D8A">
        <w:rPr>
          <w:rFonts w:ascii="Arial" w:hAnsi="Arial" w:cs="Arial"/>
          <w:sz w:val="19"/>
          <w:szCs w:val="19"/>
        </w:rPr>
        <w:t xml:space="preserve"> El artículo completo es del siguiente tenor: «Artículo 8. Vigencia y derogatorias. Las disposiciones contenidas en el presente Decreto se aplicarán a los procedimientos de selección cuya invitación, aviso de convocatoria o documento equivalente se publique a los tres (3) meses contados a partir de su expedición. Este Decreto modifica la Subsección 5 de la Sección 1 del Capítulo 2 del Título 1 de la Parte 2 del Libro 2, así como los artículos 2.2.1.2.4.2.2., 2.2.1.2.4.2.3., 2.2.1.2.4.2.4., 2.2.1.2.1.2.2. Y 2.2.1.2.4.2.8.; adiciona los artículos 2.2.1.2.4.2.14., 2.2.1.2.4.2.15., 2.2.1.2.4.2.16., 2.2.1.2.4.2.17. Y 2.2.1.2.4.2.18.; adiciona un parágrafo al artículo 2.2.1.2.3.1.9; y deroga el artículo 2.2.1.1.2.2.9. del Decreto 1082 de 2015, Único Reglamentario del Sector Administrativo de Planeación Nacional</w:t>
      </w:r>
      <w:bookmarkStart w:id="2" w:name="_Hlk94513421"/>
      <w:r w:rsidRPr="00044D8A">
        <w:rPr>
          <w:rFonts w:ascii="Arial" w:hAnsi="Arial" w:cs="Arial"/>
          <w:sz w:val="19"/>
          <w:szCs w:val="19"/>
        </w:rPr>
        <w:t>»</w:t>
      </w:r>
      <w:bookmarkEnd w:id="2"/>
      <w:r w:rsidRPr="00044D8A">
        <w:rPr>
          <w:rFonts w:ascii="Arial" w:hAnsi="Arial" w:cs="Arial"/>
          <w:sz w:val="19"/>
          <w:szCs w:val="19"/>
        </w:rPr>
        <w:t>.</w:t>
      </w:r>
    </w:p>
    <w:p w14:paraId="781ED7ED" w14:textId="77777777" w:rsidR="004A48C9" w:rsidRPr="00044D8A" w:rsidRDefault="004A48C9" w:rsidP="00044D8A">
      <w:pPr>
        <w:pStyle w:val="Textonotapie"/>
        <w:spacing w:before="120" w:after="120"/>
        <w:jc w:val="both"/>
        <w:rPr>
          <w:rFonts w:ascii="Arial" w:hAnsi="Arial" w:cs="Arial"/>
          <w:sz w:val="19"/>
          <w:szCs w:val="19"/>
        </w:rPr>
      </w:pPr>
    </w:p>
  </w:footnote>
  <w:footnote w:id="12">
    <w:p w14:paraId="524E8C28" w14:textId="77777777" w:rsidR="004A48C9" w:rsidRPr="00044D8A" w:rsidRDefault="004A48C9" w:rsidP="00044D8A">
      <w:pPr>
        <w:pStyle w:val="Car1"/>
        <w:spacing w:before="120" w:after="120"/>
        <w:ind w:firstLine="708"/>
        <w:jc w:val="both"/>
        <w:rPr>
          <w:rFonts w:ascii="Arial" w:hAnsi="Arial" w:cs="Arial"/>
          <w:sz w:val="19"/>
          <w:szCs w:val="19"/>
        </w:rPr>
      </w:pPr>
      <w:r w:rsidRPr="00044D8A">
        <w:rPr>
          <w:rStyle w:val="Refdenotaalpie"/>
          <w:rFonts w:ascii="Arial" w:hAnsi="Arial" w:cs="Arial"/>
          <w:sz w:val="19"/>
          <w:szCs w:val="19"/>
        </w:rPr>
        <w:footnoteRef/>
      </w:r>
      <w:r w:rsidRPr="00044D8A">
        <w:rPr>
          <w:rFonts w:ascii="Arial" w:hAnsi="Arial" w:cs="Arial"/>
          <w:sz w:val="19"/>
          <w:szCs w:val="19"/>
        </w:rPr>
        <w:t xml:space="preserve"> Este monto fue publicado por la Agencia Nacional de Contratación Pública – Colombia Compra Eficiente, de acuerdo con la información remitida por el Ministerio de Comercio Industria y Turismo, disponible en el siguiente enlace: https://www.colombiacompra.gov.co/sites/cce_public/files/files_2020/vf_umbrales_actualizaciones_2022_-_2023_1.pdf. Allí se señala que el monto corresponde a $ 457.297.264.</w:t>
      </w:r>
    </w:p>
    <w:p w14:paraId="2A63AFBA" w14:textId="77777777" w:rsidR="004A48C9" w:rsidRPr="00044D8A" w:rsidRDefault="004A48C9" w:rsidP="00044D8A">
      <w:pPr>
        <w:pStyle w:val="Textonotapie"/>
        <w:spacing w:before="120" w:after="120"/>
        <w:jc w:val="both"/>
        <w:rPr>
          <w:rFonts w:ascii="Arial" w:hAnsi="Arial" w:cs="Arial"/>
          <w:sz w:val="19"/>
          <w:szCs w:val="19"/>
        </w:rPr>
      </w:pPr>
    </w:p>
  </w:footnote>
  <w:footnote w:id="13">
    <w:p w14:paraId="4D593A34" w14:textId="77777777" w:rsidR="004A48C9" w:rsidRPr="00044D8A" w:rsidRDefault="004A48C9" w:rsidP="00044D8A">
      <w:pPr>
        <w:pBdr>
          <w:top w:val="nil"/>
          <w:left w:val="nil"/>
          <w:bottom w:val="nil"/>
          <w:right w:val="nil"/>
          <w:between w:val="nil"/>
        </w:pBdr>
        <w:spacing w:before="120" w:after="120"/>
        <w:ind w:firstLine="708"/>
        <w:jc w:val="both"/>
        <w:rPr>
          <w:rFonts w:ascii="Arial" w:eastAsia="Arial" w:hAnsi="Arial" w:cs="Arial"/>
          <w:color w:val="000000"/>
          <w:sz w:val="19"/>
          <w:szCs w:val="19"/>
        </w:rPr>
      </w:pPr>
      <w:r w:rsidRPr="00044D8A">
        <w:rPr>
          <w:rStyle w:val="Refdenotaalpie"/>
          <w:rFonts w:ascii="Arial" w:hAnsi="Arial" w:cs="Arial"/>
          <w:sz w:val="19"/>
          <w:szCs w:val="19"/>
        </w:rPr>
        <w:footnoteRef/>
      </w:r>
      <w:r w:rsidRPr="00044D8A">
        <w:rPr>
          <w:rFonts w:ascii="Arial" w:hAnsi="Arial" w:cs="Arial"/>
          <w:sz w:val="19"/>
          <w:szCs w:val="19"/>
        </w:rPr>
        <w:t xml:space="preserve"> </w:t>
      </w:r>
      <w:r w:rsidRPr="00044D8A">
        <w:rPr>
          <w:rFonts w:ascii="Arial" w:eastAsia="Arial" w:hAnsi="Arial" w:cs="Arial"/>
          <w:color w:val="000000"/>
          <w:sz w:val="19"/>
          <w:szCs w:val="19"/>
        </w:rPr>
        <w:t>«</w:t>
      </w:r>
      <w:bookmarkStart w:id="7" w:name="43"/>
      <w:r w:rsidRPr="00044D8A">
        <w:rPr>
          <w:rFonts w:ascii="Arial" w:eastAsia="Arial" w:hAnsi="Arial" w:cs="Arial"/>
          <w:color w:val="000000"/>
          <w:sz w:val="19"/>
          <w:szCs w:val="19"/>
        </w:rPr>
        <w:t>Artículo 43. Definiciones de Tamaño Empresarial.</w:t>
      </w:r>
      <w:bookmarkEnd w:id="7"/>
      <w:r w:rsidRPr="00044D8A">
        <w:rPr>
          <w:rFonts w:ascii="Arial" w:eastAsia="Arial" w:hAnsi="Arial" w:cs="Arial"/>
          <w:color w:val="000000"/>
          <w:sz w:val="19"/>
          <w:szCs w:val="19"/>
        </w:rPr>
        <w:t> El artículo </w:t>
      </w:r>
      <w:hyperlink r:id="rId3" w:anchor="2" w:history="1">
        <w:r w:rsidRPr="00044D8A">
          <w:rPr>
            <w:rStyle w:val="Hipervnculo1"/>
            <w:rFonts w:ascii="Arial" w:eastAsia="Arial" w:hAnsi="Arial" w:cs="Arial"/>
            <w:color w:val="000000"/>
            <w:sz w:val="19"/>
            <w:szCs w:val="19"/>
          </w:rPr>
          <w:t>2</w:t>
        </w:r>
      </w:hyperlink>
      <w:r w:rsidRPr="00044D8A">
        <w:rPr>
          <w:rFonts w:ascii="Arial" w:eastAsia="Arial" w:hAnsi="Arial" w:cs="Arial"/>
          <w:color w:val="000000"/>
          <w:sz w:val="19"/>
          <w:szCs w:val="19"/>
        </w:rPr>
        <w:t>o de la Ley 590 de 2000, quedará así:</w:t>
      </w:r>
    </w:p>
    <w:p w14:paraId="731AA93D" w14:textId="77777777" w:rsidR="004A48C9" w:rsidRPr="00044D8A" w:rsidRDefault="004A48C9" w:rsidP="00044D8A">
      <w:pPr>
        <w:pBdr>
          <w:top w:val="nil"/>
          <w:left w:val="nil"/>
          <w:bottom w:val="nil"/>
          <w:right w:val="nil"/>
          <w:between w:val="nil"/>
        </w:pBdr>
        <w:spacing w:before="120" w:after="120"/>
        <w:ind w:firstLine="708"/>
        <w:jc w:val="both"/>
        <w:rPr>
          <w:rFonts w:ascii="Arial" w:eastAsia="Arial" w:hAnsi="Arial" w:cs="Arial"/>
          <w:color w:val="000000"/>
          <w:sz w:val="19"/>
          <w:szCs w:val="19"/>
        </w:rPr>
      </w:pPr>
      <w:r w:rsidRPr="00044D8A">
        <w:rPr>
          <w:rFonts w:ascii="Arial" w:hAnsi="Arial" w:cs="Arial"/>
          <w:sz w:val="19"/>
          <w:szCs w:val="19"/>
        </w:rPr>
        <w:t>»</w:t>
      </w:r>
      <w:r w:rsidRPr="00044D8A">
        <w:rPr>
          <w:rFonts w:ascii="Arial" w:eastAsia="Arial" w:hAnsi="Arial" w:cs="Arial"/>
          <w:i/>
          <w:iCs/>
          <w:color w:val="000000"/>
          <w:sz w:val="19"/>
          <w:szCs w:val="19"/>
        </w:rPr>
        <w:t>Artículo </w:t>
      </w:r>
      <w:hyperlink r:id="rId4" w:anchor="2" w:history="1">
        <w:r w:rsidRPr="00044D8A">
          <w:rPr>
            <w:rStyle w:val="Hipervnculo1"/>
            <w:rFonts w:ascii="Arial" w:eastAsia="Arial" w:hAnsi="Arial" w:cs="Arial"/>
            <w:i/>
            <w:iCs/>
            <w:color w:val="000000"/>
            <w:sz w:val="19"/>
            <w:szCs w:val="19"/>
          </w:rPr>
          <w:t>2</w:t>
        </w:r>
      </w:hyperlink>
      <w:r w:rsidRPr="00044D8A">
        <w:rPr>
          <w:rFonts w:ascii="Arial" w:eastAsia="Arial" w:hAnsi="Arial" w:cs="Arial"/>
          <w:i/>
          <w:iCs/>
          <w:color w:val="000000"/>
          <w:sz w:val="19"/>
          <w:szCs w:val="19"/>
        </w:rPr>
        <w:t>o. Definiciones de tamaño empresarial.</w:t>
      </w:r>
      <w:r w:rsidRPr="00044D8A">
        <w:rPr>
          <w:rFonts w:ascii="Arial" w:eastAsia="Arial" w:hAnsi="Arial" w:cs="Arial"/>
          <w:b/>
          <w:bCs/>
          <w:i/>
          <w:iCs/>
          <w:color w:val="000000"/>
          <w:sz w:val="19"/>
          <w:szCs w:val="19"/>
        </w:rPr>
        <w:t> </w:t>
      </w:r>
      <w:r w:rsidRPr="00044D8A">
        <w:rPr>
          <w:rFonts w:ascii="Arial" w:eastAsia="Arial" w:hAnsi="Arial" w:cs="Arial"/>
          <w:color w:val="000000"/>
          <w:sz w:val="19"/>
          <w:szCs w:val="19"/>
        </w:rPr>
        <w:t>Para todos los efectos, se entiende por empresa, toda unidad de explotación económica, realizada por persona natural o jurídica, en actividades agropecuarias, industriales, comerciales o de servicios, en el área rural o urbana. Para la clasificación por tamaño empresarial, entiéndase micro, pequeña, mediana y gran empresa, se podrá utilizar uno o varios de los siguientes criterios:</w:t>
      </w:r>
    </w:p>
    <w:p w14:paraId="60DB8CE2" w14:textId="77777777" w:rsidR="004A48C9" w:rsidRPr="00044D8A" w:rsidRDefault="004A48C9" w:rsidP="00044D8A">
      <w:pPr>
        <w:pBdr>
          <w:top w:val="nil"/>
          <w:left w:val="nil"/>
          <w:bottom w:val="nil"/>
          <w:right w:val="nil"/>
          <w:between w:val="nil"/>
        </w:pBdr>
        <w:spacing w:before="120" w:after="120"/>
        <w:ind w:firstLine="708"/>
        <w:jc w:val="both"/>
        <w:rPr>
          <w:rFonts w:ascii="Arial" w:eastAsia="Arial" w:hAnsi="Arial" w:cs="Arial"/>
          <w:color w:val="000000"/>
          <w:sz w:val="19"/>
          <w:szCs w:val="19"/>
        </w:rPr>
      </w:pPr>
      <w:r w:rsidRPr="00044D8A">
        <w:rPr>
          <w:rFonts w:ascii="Arial" w:hAnsi="Arial" w:cs="Arial"/>
          <w:sz w:val="19"/>
          <w:szCs w:val="19"/>
        </w:rPr>
        <w:t>»</w:t>
      </w:r>
      <w:r w:rsidRPr="00044D8A">
        <w:rPr>
          <w:rFonts w:ascii="Arial" w:eastAsia="Arial" w:hAnsi="Arial" w:cs="Arial"/>
          <w:color w:val="000000"/>
          <w:sz w:val="19"/>
          <w:szCs w:val="19"/>
        </w:rPr>
        <w:t>1. Número de trabajadores totales.</w:t>
      </w:r>
    </w:p>
    <w:p w14:paraId="61B8A087" w14:textId="77777777" w:rsidR="004A48C9" w:rsidRPr="00044D8A" w:rsidRDefault="004A48C9" w:rsidP="00044D8A">
      <w:pPr>
        <w:pBdr>
          <w:top w:val="nil"/>
          <w:left w:val="nil"/>
          <w:bottom w:val="nil"/>
          <w:right w:val="nil"/>
          <w:between w:val="nil"/>
        </w:pBdr>
        <w:spacing w:before="120" w:after="120"/>
        <w:ind w:firstLine="708"/>
        <w:jc w:val="both"/>
        <w:rPr>
          <w:rFonts w:ascii="Arial" w:eastAsia="Arial" w:hAnsi="Arial" w:cs="Arial"/>
          <w:color w:val="000000"/>
          <w:sz w:val="19"/>
          <w:szCs w:val="19"/>
        </w:rPr>
      </w:pPr>
      <w:r w:rsidRPr="00044D8A">
        <w:rPr>
          <w:rFonts w:ascii="Arial" w:hAnsi="Arial" w:cs="Arial"/>
          <w:sz w:val="19"/>
          <w:szCs w:val="19"/>
        </w:rPr>
        <w:t>»</w:t>
      </w:r>
      <w:r w:rsidRPr="00044D8A">
        <w:rPr>
          <w:rFonts w:ascii="Arial" w:eastAsia="Arial" w:hAnsi="Arial" w:cs="Arial"/>
          <w:color w:val="000000"/>
          <w:sz w:val="19"/>
          <w:szCs w:val="19"/>
        </w:rPr>
        <w:t>2. Valor de ventas brutas anuales.</w:t>
      </w:r>
    </w:p>
    <w:p w14:paraId="02F34080" w14:textId="77777777" w:rsidR="004A48C9" w:rsidRPr="00044D8A" w:rsidRDefault="004A48C9" w:rsidP="00044D8A">
      <w:pPr>
        <w:pBdr>
          <w:top w:val="nil"/>
          <w:left w:val="nil"/>
          <w:bottom w:val="nil"/>
          <w:right w:val="nil"/>
          <w:between w:val="nil"/>
        </w:pBdr>
        <w:spacing w:before="120" w:after="120"/>
        <w:ind w:firstLine="708"/>
        <w:jc w:val="both"/>
        <w:rPr>
          <w:rFonts w:ascii="Arial" w:eastAsia="Arial" w:hAnsi="Arial" w:cs="Arial"/>
          <w:color w:val="000000"/>
          <w:sz w:val="19"/>
          <w:szCs w:val="19"/>
        </w:rPr>
      </w:pPr>
      <w:r w:rsidRPr="00044D8A">
        <w:rPr>
          <w:rFonts w:ascii="Arial" w:hAnsi="Arial" w:cs="Arial"/>
          <w:sz w:val="19"/>
          <w:szCs w:val="19"/>
        </w:rPr>
        <w:t>»</w:t>
      </w:r>
      <w:r w:rsidRPr="00044D8A">
        <w:rPr>
          <w:rFonts w:ascii="Arial" w:eastAsia="Arial" w:hAnsi="Arial" w:cs="Arial"/>
          <w:color w:val="000000"/>
          <w:sz w:val="19"/>
          <w:szCs w:val="19"/>
        </w:rPr>
        <w:t>3. Valor activos totales.</w:t>
      </w:r>
    </w:p>
    <w:p w14:paraId="48FE1FBA" w14:textId="77777777" w:rsidR="004A48C9" w:rsidRPr="00044D8A" w:rsidRDefault="004A48C9" w:rsidP="00044D8A">
      <w:pPr>
        <w:pBdr>
          <w:top w:val="nil"/>
          <w:left w:val="nil"/>
          <w:bottom w:val="nil"/>
          <w:right w:val="nil"/>
          <w:between w:val="nil"/>
        </w:pBdr>
        <w:spacing w:before="120" w:after="120"/>
        <w:ind w:firstLine="708"/>
        <w:jc w:val="both"/>
        <w:rPr>
          <w:rFonts w:ascii="Arial" w:eastAsia="Arial" w:hAnsi="Arial" w:cs="Arial"/>
          <w:color w:val="000000"/>
          <w:sz w:val="19"/>
          <w:szCs w:val="19"/>
        </w:rPr>
      </w:pPr>
      <w:r w:rsidRPr="00044D8A">
        <w:rPr>
          <w:rFonts w:ascii="Arial" w:hAnsi="Arial" w:cs="Arial"/>
          <w:sz w:val="19"/>
          <w:szCs w:val="19"/>
        </w:rPr>
        <w:t>»</w:t>
      </w:r>
      <w:r w:rsidRPr="00044D8A">
        <w:rPr>
          <w:rFonts w:ascii="Arial" w:eastAsia="Arial" w:hAnsi="Arial" w:cs="Arial"/>
          <w:color w:val="000000"/>
          <w:sz w:val="19"/>
          <w:szCs w:val="19"/>
        </w:rPr>
        <w:t>Para efectos de los beneficios otorgados por el Gobierno nacional a las micro, pequeñas y medianas empresas el criterio determinante será el valor de ventas brutas anuales.</w:t>
      </w:r>
    </w:p>
    <w:p w14:paraId="58140960" w14:textId="77777777" w:rsidR="004A48C9" w:rsidRPr="00044D8A" w:rsidRDefault="004A48C9" w:rsidP="00044D8A">
      <w:pPr>
        <w:pBdr>
          <w:top w:val="nil"/>
          <w:left w:val="nil"/>
          <w:bottom w:val="nil"/>
          <w:right w:val="nil"/>
          <w:between w:val="nil"/>
        </w:pBdr>
        <w:spacing w:before="120" w:after="120"/>
        <w:ind w:firstLine="708"/>
        <w:jc w:val="both"/>
        <w:rPr>
          <w:rFonts w:ascii="Arial" w:eastAsia="Arial" w:hAnsi="Arial" w:cs="Arial"/>
          <w:color w:val="000000"/>
          <w:sz w:val="19"/>
          <w:szCs w:val="19"/>
        </w:rPr>
      </w:pPr>
      <w:r w:rsidRPr="00044D8A">
        <w:rPr>
          <w:rFonts w:ascii="Arial" w:hAnsi="Arial" w:cs="Arial"/>
          <w:sz w:val="19"/>
          <w:szCs w:val="19"/>
        </w:rPr>
        <w:t>»</w:t>
      </w:r>
      <w:r w:rsidRPr="00044D8A">
        <w:rPr>
          <w:rFonts w:ascii="Arial" w:eastAsia="Arial" w:hAnsi="Arial" w:cs="Arial"/>
          <w:color w:val="000000"/>
          <w:sz w:val="19"/>
          <w:szCs w:val="19"/>
        </w:rPr>
        <w:t>PARÁGRAFO 1o</w:t>
      </w:r>
      <w:r w:rsidRPr="00044D8A">
        <w:rPr>
          <w:rFonts w:ascii="Arial" w:eastAsia="Arial" w:hAnsi="Arial" w:cs="Arial"/>
          <w:b/>
          <w:bCs/>
          <w:color w:val="000000"/>
          <w:sz w:val="19"/>
          <w:szCs w:val="19"/>
        </w:rPr>
        <w:t>.</w:t>
      </w:r>
      <w:r w:rsidRPr="00044D8A">
        <w:rPr>
          <w:rFonts w:ascii="Arial" w:eastAsia="Arial" w:hAnsi="Arial" w:cs="Arial"/>
          <w:color w:val="000000"/>
          <w:sz w:val="19"/>
          <w:szCs w:val="19"/>
        </w:rPr>
        <w:t> El Gobierno Nacional reglamentará los rangos que aplicarán para los tres criterios e incluirá especificidades sectoriales en los casos que considere necesario.</w:t>
      </w:r>
    </w:p>
    <w:p w14:paraId="273E47B3" w14:textId="099DB9EC" w:rsidR="004A48C9" w:rsidRPr="00044D8A" w:rsidRDefault="004A48C9" w:rsidP="00044D8A">
      <w:pPr>
        <w:pBdr>
          <w:top w:val="nil"/>
          <w:left w:val="nil"/>
          <w:bottom w:val="nil"/>
          <w:right w:val="nil"/>
          <w:between w:val="nil"/>
        </w:pBdr>
        <w:spacing w:before="120" w:after="120"/>
        <w:ind w:firstLine="708"/>
        <w:jc w:val="both"/>
        <w:rPr>
          <w:rFonts w:ascii="Arial" w:eastAsia="Arial" w:hAnsi="Arial" w:cs="Arial"/>
          <w:color w:val="000000"/>
          <w:sz w:val="19"/>
          <w:szCs w:val="19"/>
        </w:rPr>
      </w:pPr>
      <w:r w:rsidRPr="00044D8A">
        <w:rPr>
          <w:rFonts w:ascii="Arial" w:hAnsi="Arial" w:cs="Arial"/>
          <w:sz w:val="19"/>
          <w:szCs w:val="19"/>
        </w:rPr>
        <w:t>»</w:t>
      </w:r>
      <w:r w:rsidRPr="00044D8A">
        <w:rPr>
          <w:rFonts w:ascii="Arial" w:eastAsia="Arial" w:hAnsi="Arial" w:cs="Arial"/>
          <w:color w:val="000000"/>
          <w:sz w:val="19"/>
          <w:szCs w:val="19"/>
        </w:rPr>
        <w:t>PARÁGRAFO 2o</w:t>
      </w:r>
      <w:r w:rsidRPr="00044D8A">
        <w:rPr>
          <w:rFonts w:ascii="Arial" w:eastAsia="Arial" w:hAnsi="Arial" w:cs="Arial"/>
          <w:b/>
          <w:bCs/>
          <w:color w:val="000000"/>
          <w:sz w:val="19"/>
          <w:szCs w:val="19"/>
        </w:rPr>
        <w:t>.</w:t>
      </w:r>
      <w:r w:rsidRPr="00044D8A">
        <w:rPr>
          <w:rFonts w:ascii="Arial" w:eastAsia="Arial" w:hAnsi="Arial" w:cs="Arial"/>
          <w:color w:val="000000"/>
          <w:sz w:val="19"/>
          <w:szCs w:val="19"/>
        </w:rPr>
        <w:t> Las definiciones contenidas en el artículo </w:t>
      </w:r>
      <w:hyperlink r:id="rId5" w:anchor="2" w:history="1">
        <w:r w:rsidRPr="00044D8A">
          <w:rPr>
            <w:rStyle w:val="Hipervnculo1"/>
            <w:rFonts w:ascii="Arial" w:eastAsia="Arial" w:hAnsi="Arial" w:cs="Arial"/>
            <w:color w:val="000000"/>
            <w:sz w:val="19"/>
            <w:szCs w:val="19"/>
          </w:rPr>
          <w:t>2</w:t>
        </w:r>
      </w:hyperlink>
      <w:r w:rsidRPr="00044D8A">
        <w:rPr>
          <w:rFonts w:ascii="Arial" w:eastAsia="Arial" w:hAnsi="Arial" w:cs="Arial"/>
          <w:color w:val="000000"/>
          <w:sz w:val="19"/>
          <w:szCs w:val="19"/>
        </w:rPr>
        <w:t>o de la Ley 590 de 2000 continuarán vigentes hasta tanto entren a regir las normas reglamentarias que profiera el Gobierno Nacional en desarrollo de lo previsto en el presente artículo</w:t>
      </w:r>
      <w:r w:rsidRPr="00044D8A">
        <w:rPr>
          <w:rFonts w:ascii="Arial" w:hAnsi="Arial" w:cs="Arial"/>
          <w:sz w:val="19"/>
          <w:szCs w:val="19"/>
        </w:rPr>
        <w:t>».</w:t>
      </w:r>
    </w:p>
  </w:footnote>
  <w:footnote w:id="14">
    <w:p w14:paraId="1B51612A" w14:textId="77777777" w:rsidR="004A48C9" w:rsidRPr="00044D8A" w:rsidRDefault="004A48C9" w:rsidP="00044D8A">
      <w:pPr>
        <w:pStyle w:val="Car1"/>
        <w:spacing w:before="120" w:after="120"/>
        <w:ind w:firstLine="709"/>
        <w:jc w:val="both"/>
        <w:rPr>
          <w:rFonts w:ascii="Arial" w:hAnsi="Arial" w:cs="Arial"/>
          <w:sz w:val="19"/>
          <w:szCs w:val="19"/>
          <w:lang w:val="es-CO"/>
        </w:rPr>
      </w:pPr>
      <w:r w:rsidRPr="00044D8A">
        <w:rPr>
          <w:rStyle w:val="Refdenotaalpie"/>
          <w:rFonts w:ascii="Arial" w:hAnsi="Arial" w:cs="Arial"/>
          <w:sz w:val="19"/>
          <w:szCs w:val="19"/>
        </w:rPr>
        <w:footnoteRef/>
      </w:r>
      <w:r w:rsidRPr="00044D8A">
        <w:rPr>
          <w:rFonts w:ascii="Arial" w:hAnsi="Arial" w:cs="Arial"/>
          <w:sz w:val="19"/>
          <w:szCs w:val="19"/>
        </w:rPr>
        <w:t xml:space="preserve"> Decreto 1074 de 2015. </w:t>
      </w:r>
      <w:r w:rsidRPr="00044D8A">
        <w:rPr>
          <w:rFonts w:ascii="Arial" w:eastAsia="Arial" w:hAnsi="Arial" w:cs="Arial"/>
          <w:color w:val="000000"/>
          <w:sz w:val="19"/>
          <w:szCs w:val="19"/>
        </w:rPr>
        <w:t>«</w:t>
      </w:r>
      <w:r w:rsidRPr="00044D8A">
        <w:rPr>
          <w:rFonts w:ascii="Arial" w:hAnsi="Arial" w:cs="Arial"/>
          <w:sz w:val="19"/>
          <w:szCs w:val="19"/>
          <w:lang w:val="es-CO"/>
        </w:rPr>
        <w:t>Artículo </w:t>
      </w:r>
      <w:bookmarkStart w:id="8" w:name="2.2.1.13.2.1"/>
      <w:bookmarkEnd w:id="8"/>
      <w:r w:rsidRPr="00044D8A">
        <w:rPr>
          <w:rFonts w:ascii="Arial" w:hAnsi="Arial" w:cs="Arial"/>
          <w:sz w:val="19"/>
          <w:szCs w:val="19"/>
          <w:lang w:val="es-CO"/>
        </w:rPr>
        <w:t>2.2.1.13.2.1. Criterio para la clasificación del tamaño empresarial. Para efectos de la clasificación del tamaño empresarial se tendrá como criterio exclusivo los ingresos por actividades ordinarias anuales de la respectiva empresa.</w:t>
      </w:r>
    </w:p>
    <w:p w14:paraId="2D953B4F" w14:textId="2E1AB988" w:rsidR="004A48C9" w:rsidRPr="00044D8A" w:rsidRDefault="004A48C9" w:rsidP="00044D8A">
      <w:pPr>
        <w:pStyle w:val="Car1"/>
        <w:spacing w:before="120" w:after="120"/>
        <w:ind w:firstLine="709"/>
        <w:jc w:val="both"/>
        <w:rPr>
          <w:rFonts w:ascii="Arial" w:hAnsi="Arial" w:cs="Arial"/>
          <w:sz w:val="19"/>
          <w:szCs w:val="19"/>
          <w:lang w:val="es-CO"/>
        </w:rPr>
      </w:pPr>
      <w:r w:rsidRPr="00044D8A">
        <w:rPr>
          <w:rFonts w:ascii="Arial" w:hAnsi="Arial" w:cs="Arial"/>
          <w:sz w:val="19"/>
          <w:szCs w:val="19"/>
        </w:rPr>
        <w:t>»</w:t>
      </w:r>
      <w:r w:rsidRPr="00044D8A">
        <w:rPr>
          <w:rFonts w:ascii="Arial" w:hAnsi="Arial" w:cs="Arial"/>
          <w:sz w:val="19"/>
          <w:szCs w:val="19"/>
          <w:lang w:val="es-CO"/>
        </w:rPr>
        <w:t>El nivel de ingresos por actividades ordinarias anuales con base en el cual se determina el tamaño empresarial variará dependiendo del sector económico en el cual la empresa desarrolle su actividad</w:t>
      </w:r>
      <w:r w:rsidRPr="00044D8A">
        <w:rPr>
          <w:rFonts w:ascii="Arial" w:hAnsi="Arial" w:cs="Arial"/>
          <w:sz w:val="19"/>
          <w:szCs w:val="19"/>
        </w:rPr>
        <w:t>»</w:t>
      </w:r>
      <w:r w:rsidRPr="00044D8A">
        <w:rPr>
          <w:rFonts w:ascii="Arial" w:hAnsi="Arial" w:cs="Arial"/>
          <w:sz w:val="19"/>
          <w:szCs w:val="19"/>
          <w:lang w:val="es-CO"/>
        </w:rPr>
        <w:t>.</w:t>
      </w:r>
    </w:p>
  </w:footnote>
  <w:footnote w:id="15">
    <w:p w14:paraId="5111157F" w14:textId="77777777" w:rsidR="004A48C9" w:rsidRPr="00044D8A" w:rsidRDefault="004A48C9" w:rsidP="00044D8A">
      <w:pPr>
        <w:pBdr>
          <w:top w:val="nil"/>
          <w:left w:val="nil"/>
          <w:bottom w:val="nil"/>
          <w:right w:val="nil"/>
          <w:between w:val="nil"/>
        </w:pBdr>
        <w:spacing w:before="120" w:after="120"/>
        <w:ind w:firstLine="708"/>
        <w:jc w:val="both"/>
        <w:rPr>
          <w:rFonts w:ascii="Arial" w:eastAsia="Arial" w:hAnsi="Arial" w:cs="Arial"/>
          <w:color w:val="000000"/>
          <w:sz w:val="19"/>
          <w:szCs w:val="19"/>
        </w:rPr>
      </w:pPr>
      <w:r w:rsidRPr="00044D8A">
        <w:rPr>
          <w:rStyle w:val="Refdenotaalpie"/>
          <w:rFonts w:ascii="Arial" w:hAnsi="Arial" w:cs="Arial"/>
          <w:sz w:val="19"/>
          <w:szCs w:val="19"/>
        </w:rPr>
        <w:footnoteRef/>
      </w:r>
      <w:r w:rsidRPr="00044D8A">
        <w:rPr>
          <w:rFonts w:ascii="Arial" w:hAnsi="Arial" w:cs="Arial"/>
          <w:sz w:val="19"/>
          <w:szCs w:val="19"/>
        </w:rPr>
        <w:t xml:space="preserve"> </w:t>
      </w:r>
      <w:bookmarkStart w:id="9" w:name="2.2.1.13.2.2"/>
      <w:r w:rsidRPr="00044D8A">
        <w:rPr>
          <w:rFonts w:ascii="Arial" w:eastAsia="Arial" w:hAnsi="Arial" w:cs="Arial"/>
          <w:color w:val="000000"/>
          <w:sz w:val="19"/>
          <w:szCs w:val="19"/>
        </w:rPr>
        <w:t>«</w:t>
      </w:r>
      <w:r w:rsidRPr="00044D8A">
        <w:rPr>
          <w:rFonts w:ascii="Arial" w:hAnsi="Arial" w:cs="Arial"/>
          <w:sz w:val="19"/>
          <w:szCs w:val="19"/>
        </w:rPr>
        <w:t>Artículo 2.2.1.13.2.2. Rangos para la Definición del Tamaño Empresarial.</w:t>
      </w:r>
      <w:bookmarkEnd w:id="9"/>
      <w:r w:rsidRPr="00044D8A">
        <w:rPr>
          <w:rFonts w:ascii="Arial" w:hAnsi="Arial" w:cs="Arial"/>
          <w:sz w:val="19"/>
          <w:szCs w:val="19"/>
        </w:rPr>
        <w:t xml:space="preserve"> Para efectos de la clasificación del tamaño empresarial se utilizarán, con base en el criterio previsto en el artículo anterior, los siguientes rangos para determinar el valor de los ingresos por actividades ordinarias anuales de acuerdo con el sector económico de que se trate:</w:t>
      </w:r>
    </w:p>
    <w:p w14:paraId="17729423" w14:textId="77777777" w:rsidR="004A48C9" w:rsidRPr="00044D8A" w:rsidRDefault="004A48C9" w:rsidP="00044D8A">
      <w:pPr>
        <w:pStyle w:val="Car1"/>
        <w:spacing w:before="120" w:after="120"/>
        <w:ind w:firstLine="709"/>
        <w:jc w:val="both"/>
        <w:rPr>
          <w:rFonts w:ascii="Arial" w:hAnsi="Arial" w:cs="Arial"/>
          <w:sz w:val="19"/>
          <w:szCs w:val="19"/>
          <w:lang w:val="es-CO"/>
        </w:rPr>
      </w:pPr>
      <w:r w:rsidRPr="00044D8A">
        <w:rPr>
          <w:rFonts w:ascii="Arial" w:hAnsi="Arial" w:cs="Arial"/>
          <w:sz w:val="19"/>
          <w:szCs w:val="19"/>
        </w:rPr>
        <w:t>»</w:t>
      </w:r>
      <w:r w:rsidRPr="00044D8A">
        <w:rPr>
          <w:rFonts w:ascii="Arial" w:hAnsi="Arial" w:cs="Arial"/>
          <w:sz w:val="19"/>
          <w:szCs w:val="19"/>
          <w:lang w:val="es-CO"/>
        </w:rPr>
        <w:t>1. Para el sector manufacturero:</w:t>
      </w:r>
    </w:p>
    <w:p w14:paraId="21A9C4E1" w14:textId="77777777" w:rsidR="004A48C9" w:rsidRPr="00044D8A" w:rsidRDefault="004A48C9" w:rsidP="00044D8A">
      <w:pPr>
        <w:pStyle w:val="Car1"/>
        <w:spacing w:before="120" w:after="120"/>
        <w:ind w:firstLine="709"/>
        <w:jc w:val="both"/>
        <w:rPr>
          <w:rFonts w:ascii="Arial" w:hAnsi="Arial" w:cs="Arial"/>
          <w:sz w:val="19"/>
          <w:szCs w:val="19"/>
          <w:lang w:val="es-CO"/>
        </w:rPr>
      </w:pPr>
      <w:r w:rsidRPr="00044D8A">
        <w:rPr>
          <w:rFonts w:ascii="Arial" w:hAnsi="Arial" w:cs="Arial"/>
          <w:sz w:val="19"/>
          <w:szCs w:val="19"/>
        </w:rPr>
        <w:t>»</w:t>
      </w:r>
      <w:r w:rsidRPr="00044D8A">
        <w:rPr>
          <w:rFonts w:ascii="Arial" w:hAnsi="Arial" w:cs="Arial"/>
          <w:sz w:val="19"/>
          <w:szCs w:val="19"/>
          <w:lang w:val="es-CO"/>
        </w:rPr>
        <w:t>- Microempresa. Aquella cuyos ingresos por actividades ordinarias anuales sean inferiores o iguales a veintitrés mil quinientos sesenta y tres Unidades de Valor Tributario (23.563 UVT).</w:t>
      </w:r>
    </w:p>
    <w:p w14:paraId="08F2AE21" w14:textId="77777777" w:rsidR="004A48C9" w:rsidRPr="00044D8A" w:rsidRDefault="004A48C9" w:rsidP="00044D8A">
      <w:pPr>
        <w:pStyle w:val="Car1"/>
        <w:spacing w:before="120" w:after="120"/>
        <w:ind w:firstLine="709"/>
        <w:jc w:val="both"/>
        <w:rPr>
          <w:rFonts w:ascii="Arial" w:hAnsi="Arial" w:cs="Arial"/>
          <w:sz w:val="19"/>
          <w:szCs w:val="19"/>
          <w:lang w:val="es-CO"/>
        </w:rPr>
      </w:pPr>
      <w:r w:rsidRPr="00044D8A">
        <w:rPr>
          <w:rFonts w:ascii="Arial" w:hAnsi="Arial" w:cs="Arial"/>
          <w:sz w:val="19"/>
          <w:szCs w:val="19"/>
        </w:rPr>
        <w:t>»</w:t>
      </w:r>
      <w:r w:rsidRPr="00044D8A">
        <w:rPr>
          <w:rFonts w:ascii="Arial" w:hAnsi="Arial" w:cs="Arial"/>
          <w:sz w:val="19"/>
          <w:szCs w:val="19"/>
          <w:lang w:val="es-CO"/>
        </w:rPr>
        <w:t>- Pequeña empresa. Aquella cuyos ingresos por actividades ordinarias anuales sean superiores a veintitrés mil quinientos sesenta y tres Unidades de Valor Tributario (23.563 UVT) e inferiores o iguales a doscientos cuatro mil novecientos noventa y cinco Unidades de Valor Tributario (204.995 UVT).</w:t>
      </w:r>
    </w:p>
    <w:p w14:paraId="610ED8EA" w14:textId="77777777" w:rsidR="004A48C9" w:rsidRPr="00044D8A" w:rsidRDefault="004A48C9" w:rsidP="00044D8A">
      <w:pPr>
        <w:pStyle w:val="Car1"/>
        <w:spacing w:before="120" w:after="120"/>
        <w:ind w:firstLine="709"/>
        <w:jc w:val="both"/>
        <w:rPr>
          <w:rFonts w:ascii="Arial" w:hAnsi="Arial" w:cs="Arial"/>
          <w:sz w:val="19"/>
          <w:szCs w:val="19"/>
          <w:lang w:val="es-CO"/>
        </w:rPr>
      </w:pPr>
      <w:r w:rsidRPr="00044D8A">
        <w:rPr>
          <w:rFonts w:ascii="Arial" w:hAnsi="Arial" w:cs="Arial"/>
          <w:sz w:val="19"/>
          <w:szCs w:val="19"/>
        </w:rPr>
        <w:t>»</w:t>
      </w:r>
      <w:r w:rsidRPr="00044D8A">
        <w:rPr>
          <w:rFonts w:ascii="Arial" w:hAnsi="Arial" w:cs="Arial"/>
          <w:sz w:val="19"/>
          <w:szCs w:val="19"/>
          <w:lang w:val="es-CO"/>
        </w:rPr>
        <w:t>- Mediana empresa. Aquella cuyos ingresos por actividades ordinarias anuales sean superiores a doscientos cuatro mil novecientos noventa y cinco Unidades de Valor Tributario (204.995 UVT) e inferiores o iguales a un millón setecientos treinta y seis mil quinientos sesenta y cinco Unidades de Valor Tributario (1.736.565 UVT).</w:t>
      </w:r>
    </w:p>
    <w:p w14:paraId="11A47A4D" w14:textId="77777777" w:rsidR="004A48C9" w:rsidRPr="00044D8A" w:rsidRDefault="004A48C9" w:rsidP="00044D8A">
      <w:pPr>
        <w:pStyle w:val="Car1"/>
        <w:spacing w:before="120" w:after="120"/>
        <w:ind w:firstLine="709"/>
        <w:jc w:val="both"/>
        <w:rPr>
          <w:rFonts w:ascii="Arial" w:hAnsi="Arial" w:cs="Arial"/>
          <w:sz w:val="19"/>
          <w:szCs w:val="19"/>
          <w:lang w:val="es-CO"/>
        </w:rPr>
      </w:pPr>
      <w:r w:rsidRPr="00044D8A">
        <w:rPr>
          <w:rFonts w:ascii="Arial" w:hAnsi="Arial" w:cs="Arial"/>
          <w:sz w:val="19"/>
          <w:szCs w:val="19"/>
        </w:rPr>
        <w:t>»</w:t>
      </w:r>
      <w:r w:rsidRPr="00044D8A">
        <w:rPr>
          <w:rFonts w:ascii="Arial" w:hAnsi="Arial" w:cs="Arial"/>
          <w:sz w:val="19"/>
          <w:szCs w:val="19"/>
          <w:lang w:val="es-CO"/>
        </w:rPr>
        <w:t>2. Para el sector servicios:</w:t>
      </w:r>
    </w:p>
    <w:p w14:paraId="6DF4A806" w14:textId="77777777" w:rsidR="004A48C9" w:rsidRPr="00044D8A" w:rsidRDefault="004A48C9" w:rsidP="00044D8A">
      <w:pPr>
        <w:pStyle w:val="Car1"/>
        <w:spacing w:before="120" w:after="120"/>
        <w:ind w:firstLine="709"/>
        <w:jc w:val="both"/>
        <w:rPr>
          <w:rFonts w:ascii="Arial" w:hAnsi="Arial" w:cs="Arial"/>
          <w:sz w:val="19"/>
          <w:szCs w:val="19"/>
          <w:lang w:val="es-CO"/>
        </w:rPr>
      </w:pPr>
      <w:r w:rsidRPr="00044D8A">
        <w:rPr>
          <w:rFonts w:ascii="Arial" w:hAnsi="Arial" w:cs="Arial"/>
          <w:sz w:val="19"/>
          <w:szCs w:val="19"/>
        </w:rPr>
        <w:t>»</w:t>
      </w:r>
      <w:r w:rsidRPr="00044D8A">
        <w:rPr>
          <w:rFonts w:ascii="Arial" w:hAnsi="Arial" w:cs="Arial"/>
          <w:sz w:val="19"/>
          <w:szCs w:val="19"/>
          <w:lang w:val="es-CO"/>
        </w:rPr>
        <w:t>- Microempresa. Aquella cuyos ingresos por actividades ordinarias anuales sean inferiores o iguales a treinta y dos mil novecientos ochenta y ocho Unidades de Valor Tributario (32.988 UVT).</w:t>
      </w:r>
    </w:p>
    <w:p w14:paraId="5DDED607" w14:textId="77777777" w:rsidR="004A48C9" w:rsidRPr="00044D8A" w:rsidRDefault="004A48C9" w:rsidP="00044D8A">
      <w:pPr>
        <w:pStyle w:val="Car1"/>
        <w:spacing w:before="120" w:after="120"/>
        <w:ind w:firstLine="709"/>
        <w:jc w:val="both"/>
        <w:rPr>
          <w:rFonts w:ascii="Arial" w:hAnsi="Arial" w:cs="Arial"/>
          <w:sz w:val="19"/>
          <w:szCs w:val="19"/>
          <w:lang w:val="es-CO"/>
        </w:rPr>
      </w:pPr>
      <w:r w:rsidRPr="00044D8A">
        <w:rPr>
          <w:rFonts w:ascii="Arial" w:hAnsi="Arial" w:cs="Arial"/>
          <w:sz w:val="19"/>
          <w:szCs w:val="19"/>
        </w:rPr>
        <w:t>»</w:t>
      </w:r>
      <w:r w:rsidRPr="00044D8A">
        <w:rPr>
          <w:rFonts w:ascii="Arial" w:hAnsi="Arial" w:cs="Arial"/>
          <w:sz w:val="19"/>
          <w:szCs w:val="19"/>
          <w:lang w:val="es-CO"/>
        </w:rPr>
        <w:t>- Pequeña empresa. Aquella cuyos ingresos por actividades ordinarias anuales sean superiores a treinta y dos mil novecientos ochenta y ocho Unidades de Valor Tributario (32.988 UVT) e inferiores o iguales a ciento treinta y un mil novecientos cincuenta y uno Unidades de Valor Tributario (131.951 UVT).</w:t>
      </w:r>
    </w:p>
    <w:p w14:paraId="48C5C174" w14:textId="77777777" w:rsidR="004A48C9" w:rsidRPr="00044D8A" w:rsidRDefault="004A48C9" w:rsidP="00044D8A">
      <w:pPr>
        <w:pStyle w:val="Car1"/>
        <w:spacing w:before="120" w:after="120"/>
        <w:ind w:firstLine="709"/>
        <w:jc w:val="both"/>
        <w:rPr>
          <w:rFonts w:ascii="Arial" w:hAnsi="Arial" w:cs="Arial"/>
          <w:sz w:val="19"/>
          <w:szCs w:val="19"/>
          <w:lang w:val="es-CO"/>
        </w:rPr>
      </w:pPr>
      <w:r w:rsidRPr="00044D8A">
        <w:rPr>
          <w:rFonts w:ascii="Arial" w:hAnsi="Arial" w:cs="Arial"/>
          <w:sz w:val="19"/>
          <w:szCs w:val="19"/>
        </w:rPr>
        <w:t>»</w:t>
      </w:r>
      <w:r w:rsidRPr="00044D8A">
        <w:rPr>
          <w:rFonts w:ascii="Arial" w:hAnsi="Arial" w:cs="Arial"/>
          <w:sz w:val="19"/>
          <w:szCs w:val="19"/>
          <w:lang w:val="es-CO"/>
        </w:rPr>
        <w:t>- Mediana empresa. Aquella cuyos ingresos por actividades ordinarias anuales sean superiores a ciento treinta y un mil novecientos cincuenta y un Unidades de Valor Tributario (131.951 UVT) e inferiores o iguales a cuatrocientos ochenta y tres mil treinta y cuatro Unidades de Valor Tributario (483.034 UVT).</w:t>
      </w:r>
    </w:p>
    <w:p w14:paraId="659B6318" w14:textId="77777777" w:rsidR="004A48C9" w:rsidRPr="00044D8A" w:rsidRDefault="004A48C9" w:rsidP="00044D8A">
      <w:pPr>
        <w:pStyle w:val="Car1"/>
        <w:spacing w:before="120" w:after="120"/>
        <w:ind w:firstLine="709"/>
        <w:jc w:val="both"/>
        <w:rPr>
          <w:rFonts w:ascii="Arial" w:hAnsi="Arial" w:cs="Arial"/>
          <w:sz w:val="19"/>
          <w:szCs w:val="19"/>
          <w:lang w:val="es-CO"/>
        </w:rPr>
      </w:pPr>
      <w:r w:rsidRPr="00044D8A">
        <w:rPr>
          <w:rFonts w:ascii="Arial" w:hAnsi="Arial" w:cs="Arial"/>
          <w:sz w:val="19"/>
          <w:szCs w:val="19"/>
        </w:rPr>
        <w:t>»</w:t>
      </w:r>
      <w:r w:rsidRPr="00044D8A">
        <w:rPr>
          <w:rFonts w:ascii="Arial" w:hAnsi="Arial" w:cs="Arial"/>
          <w:sz w:val="19"/>
          <w:szCs w:val="19"/>
          <w:lang w:val="es-CO"/>
        </w:rPr>
        <w:t>3. Para el sector de comercio:</w:t>
      </w:r>
    </w:p>
    <w:p w14:paraId="15357566" w14:textId="77777777" w:rsidR="004A48C9" w:rsidRPr="00044D8A" w:rsidRDefault="004A48C9" w:rsidP="00044D8A">
      <w:pPr>
        <w:pStyle w:val="Car1"/>
        <w:spacing w:before="120" w:after="120"/>
        <w:ind w:firstLine="709"/>
        <w:jc w:val="both"/>
        <w:rPr>
          <w:rFonts w:ascii="Arial" w:hAnsi="Arial" w:cs="Arial"/>
          <w:sz w:val="19"/>
          <w:szCs w:val="19"/>
          <w:lang w:val="es-CO"/>
        </w:rPr>
      </w:pPr>
      <w:r w:rsidRPr="00044D8A">
        <w:rPr>
          <w:rFonts w:ascii="Arial" w:hAnsi="Arial" w:cs="Arial"/>
          <w:sz w:val="19"/>
          <w:szCs w:val="19"/>
        </w:rPr>
        <w:t>»</w:t>
      </w:r>
      <w:r w:rsidRPr="00044D8A">
        <w:rPr>
          <w:rFonts w:ascii="Arial" w:hAnsi="Arial" w:cs="Arial"/>
          <w:sz w:val="19"/>
          <w:szCs w:val="19"/>
          <w:lang w:val="es-CO"/>
        </w:rPr>
        <w:t>- Microempresa. Aquella cuyos ingresos por actividades ordinarias anuales sean inferiores o iguales a cuarenta y cuatro mil setecientos sesenta y nueve Unidades de Valor Tributario (44.769 UVT).</w:t>
      </w:r>
    </w:p>
    <w:p w14:paraId="3EE59030" w14:textId="77777777" w:rsidR="004A48C9" w:rsidRPr="00044D8A" w:rsidRDefault="004A48C9" w:rsidP="00044D8A">
      <w:pPr>
        <w:pStyle w:val="Car1"/>
        <w:spacing w:before="120" w:after="120"/>
        <w:ind w:firstLine="709"/>
        <w:jc w:val="both"/>
        <w:rPr>
          <w:rFonts w:ascii="Arial" w:hAnsi="Arial" w:cs="Arial"/>
          <w:sz w:val="19"/>
          <w:szCs w:val="19"/>
          <w:lang w:val="es-CO"/>
        </w:rPr>
      </w:pPr>
      <w:r w:rsidRPr="00044D8A">
        <w:rPr>
          <w:rFonts w:ascii="Arial" w:hAnsi="Arial" w:cs="Arial"/>
          <w:sz w:val="19"/>
          <w:szCs w:val="19"/>
        </w:rPr>
        <w:t>»</w:t>
      </w:r>
      <w:r w:rsidRPr="00044D8A">
        <w:rPr>
          <w:rFonts w:ascii="Arial" w:hAnsi="Arial" w:cs="Arial"/>
          <w:sz w:val="19"/>
          <w:szCs w:val="19"/>
          <w:lang w:val="es-CO"/>
        </w:rPr>
        <w:t>- Pequeña empresa. Aquella cuyos ingresos por actividades ordinarias anuales sean superiores a cuarenta y cuatro mil setecientos sesenta y nueve Unidades de Valor Tributario (44.769 UVT) e inferiores o iguales a cuatrocientos treinta y un mil ciento noventa y seis Unidades de Valor Tributario (431.196 UVT).</w:t>
      </w:r>
    </w:p>
    <w:p w14:paraId="07D95BE1" w14:textId="77777777" w:rsidR="004A48C9" w:rsidRPr="00044D8A" w:rsidRDefault="004A48C9" w:rsidP="00044D8A">
      <w:pPr>
        <w:pStyle w:val="Car1"/>
        <w:spacing w:before="120" w:after="120"/>
        <w:ind w:firstLine="709"/>
        <w:jc w:val="both"/>
        <w:rPr>
          <w:rFonts w:ascii="Arial" w:hAnsi="Arial" w:cs="Arial"/>
          <w:sz w:val="19"/>
          <w:szCs w:val="19"/>
          <w:lang w:val="es-CO"/>
        </w:rPr>
      </w:pPr>
      <w:r w:rsidRPr="00044D8A">
        <w:rPr>
          <w:rFonts w:ascii="Arial" w:hAnsi="Arial" w:cs="Arial"/>
          <w:sz w:val="19"/>
          <w:szCs w:val="19"/>
        </w:rPr>
        <w:t>»</w:t>
      </w:r>
      <w:r w:rsidRPr="00044D8A">
        <w:rPr>
          <w:rFonts w:ascii="Arial" w:hAnsi="Arial" w:cs="Arial"/>
          <w:sz w:val="19"/>
          <w:szCs w:val="19"/>
          <w:lang w:val="es-CO"/>
        </w:rPr>
        <w:t>- Mediana empresa. Aquella cuyos ingresos por actividades ordinarias anuales sean superiores a cuatrocientos treinta y un mil ciento noventa y seis Unidades de Valor Tributario (431.196 UVT) e inferiores o iguales a dos millones ciento sesenta mil seiscientos noventa y dos Unidades de Valor Tributario (2'160.692 UVT</w:t>
      </w:r>
      <w:r w:rsidRPr="00044D8A">
        <w:rPr>
          <w:rFonts w:ascii="Arial" w:hAnsi="Arial" w:cs="Arial"/>
          <w:sz w:val="19"/>
          <w:szCs w:val="19"/>
          <w:lang w:val="es-CO"/>
        </w:rPr>
        <w:t>)</w:t>
      </w:r>
      <w:r w:rsidRPr="00044D8A">
        <w:rPr>
          <w:rFonts w:ascii="Arial" w:hAnsi="Arial" w:cs="Arial"/>
          <w:sz w:val="19"/>
          <w:szCs w:val="19"/>
        </w:rPr>
        <w:t xml:space="preserve"> »</w:t>
      </w:r>
      <w:r w:rsidRPr="00044D8A">
        <w:rPr>
          <w:rFonts w:ascii="Arial" w:hAnsi="Arial" w:cs="Arial"/>
          <w:sz w:val="19"/>
          <w:szCs w:val="19"/>
          <w:lang w:val="es-CO"/>
        </w:rPr>
        <w:t>.</w:t>
      </w:r>
    </w:p>
    <w:p w14:paraId="38A6836E" w14:textId="77777777" w:rsidR="004A48C9" w:rsidRPr="00044D8A" w:rsidRDefault="004A48C9" w:rsidP="00044D8A">
      <w:pPr>
        <w:pStyle w:val="Car1"/>
        <w:spacing w:before="120" w:after="120"/>
        <w:jc w:val="both"/>
        <w:rPr>
          <w:rFonts w:ascii="Arial" w:hAnsi="Arial" w:cs="Arial"/>
          <w:sz w:val="19"/>
          <w:szCs w:val="19"/>
          <w:lang w:val="es-CO"/>
        </w:rPr>
      </w:pPr>
    </w:p>
  </w:footnote>
  <w:footnote w:id="16">
    <w:p w14:paraId="6EA9C57B" w14:textId="34586563" w:rsidR="005450D9" w:rsidRPr="000E427A" w:rsidRDefault="005450D9" w:rsidP="00044D8A">
      <w:pPr>
        <w:pStyle w:val="Textonotapie"/>
        <w:spacing w:before="120" w:after="120"/>
        <w:ind w:firstLine="709"/>
        <w:jc w:val="both"/>
        <w:rPr>
          <w:rFonts w:ascii="Arial" w:hAnsi="Arial" w:cs="Arial"/>
          <w:sz w:val="19"/>
          <w:szCs w:val="19"/>
          <w:lang w:val="es-CO"/>
        </w:rPr>
      </w:pPr>
      <w:r w:rsidRPr="000E427A">
        <w:rPr>
          <w:rStyle w:val="Refdenotaalpie"/>
          <w:rFonts w:ascii="Arial" w:hAnsi="Arial" w:cs="Arial"/>
          <w:sz w:val="19"/>
          <w:szCs w:val="19"/>
        </w:rPr>
        <w:footnoteRef/>
      </w:r>
      <w:r w:rsidRPr="000E427A">
        <w:rPr>
          <w:rFonts w:ascii="Arial" w:hAnsi="Arial" w:cs="Arial"/>
          <w:sz w:val="19"/>
          <w:szCs w:val="19"/>
        </w:rPr>
        <w:t xml:space="preserve"> </w:t>
      </w:r>
      <w:r w:rsidRPr="000E427A">
        <w:rPr>
          <w:rFonts w:ascii="Arial" w:hAnsi="Arial" w:cs="Arial"/>
          <w:sz w:val="19"/>
          <w:szCs w:val="19"/>
          <w:lang w:val="es-CO"/>
        </w:rPr>
        <w:t xml:space="preserve">Corte Constitucional, Sentencia C-461/11, M.P. Juan Carlos Henao </w:t>
      </w:r>
      <w:r w:rsidRPr="000E427A">
        <w:rPr>
          <w:rFonts w:ascii="Arial" w:hAnsi="Arial" w:cs="Arial"/>
          <w:sz w:val="19"/>
          <w:szCs w:val="19"/>
          <w:lang w:val="es-CO"/>
        </w:rPr>
        <w:t>Peréz.</w:t>
      </w:r>
    </w:p>
  </w:footnote>
  <w:footnote w:id="17">
    <w:p w14:paraId="0209EE35" w14:textId="77777777" w:rsidR="005450D9" w:rsidRPr="000E427A" w:rsidRDefault="005450D9" w:rsidP="00044D8A">
      <w:pPr>
        <w:pStyle w:val="Textonotapie"/>
        <w:spacing w:before="120" w:after="120"/>
        <w:ind w:firstLine="709"/>
        <w:jc w:val="both"/>
        <w:rPr>
          <w:rFonts w:ascii="Arial" w:hAnsi="Arial" w:cs="Arial"/>
          <w:sz w:val="19"/>
          <w:szCs w:val="19"/>
          <w:lang w:val="es-CO"/>
        </w:rPr>
      </w:pPr>
      <w:r w:rsidRPr="000E427A">
        <w:rPr>
          <w:rStyle w:val="Refdenotaalpie"/>
          <w:rFonts w:ascii="Arial" w:hAnsi="Arial" w:cs="Arial"/>
          <w:sz w:val="19"/>
          <w:szCs w:val="19"/>
        </w:rPr>
        <w:footnoteRef/>
      </w:r>
      <w:r w:rsidRPr="000E427A">
        <w:rPr>
          <w:rFonts w:ascii="Arial" w:hAnsi="Arial" w:cs="Arial"/>
          <w:sz w:val="19"/>
          <w:szCs w:val="19"/>
        </w:rPr>
        <w:t xml:space="preserve"> </w:t>
      </w:r>
      <w:r w:rsidRPr="000E427A">
        <w:rPr>
          <w:rFonts w:ascii="Arial" w:hAnsi="Arial" w:cs="Arial"/>
          <w:sz w:val="19"/>
          <w:szCs w:val="19"/>
          <w:lang w:val="es-CO"/>
        </w:rPr>
        <w:t>Consejo de Estado, Sección Tercera, Sentencia del 29 de agosto de 2012, Rad. (21077) C.P.</w:t>
      </w:r>
    </w:p>
    <w:p w14:paraId="020F4EC9" w14:textId="428C5402" w:rsidR="005450D9" w:rsidRPr="000E427A" w:rsidRDefault="005450D9" w:rsidP="00044D8A">
      <w:pPr>
        <w:pStyle w:val="Textonotapie"/>
        <w:spacing w:before="120" w:after="120"/>
        <w:ind w:firstLine="709"/>
        <w:jc w:val="both"/>
        <w:rPr>
          <w:rFonts w:ascii="Arial" w:hAnsi="Arial" w:cs="Arial"/>
          <w:sz w:val="19"/>
          <w:szCs w:val="19"/>
          <w:lang w:val="es-ES"/>
        </w:rPr>
      </w:pPr>
      <w:r w:rsidRPr="000E427A">
        <w:rPr>
          <w:rFonts w:ascii="Arial" w:hAnsi="Arial" w:cs="Arial"/>
          <w:sz w:val="19"/>
          <w:szCs w:val="19"/>
          <w:lang w:val="es-CO"/>
        </w:rPr>
        <w:t xml:space="preserve">Danilo Rojas </w:t>
      </w:r>
      <w:r w:rsidRPr="000E427A">
        <w:rPr>
          <w:rFonts w:ascii="Arial" w:hAnsi="Arial" w:cs="Arial"/>
          <w:sz w:val="19"/>
          <w:szCs w:val="19"/>
          <w:lang w:val="es-CO"/>
        </w:rPr>
        <w:t>Betancourth.</w:t>
      </w:r>
    </w:p>
  </w:footnote>
  <w:footnote w:id="18">
    <w:p w14:paraId="204E2414" w14:textId="77777777" w:rsidR="005450D9" w:rsidRPr="00044D8A" w:rsidRDefault="005450D9" w:rsidP="00044D8A">
      <w:pPr>
        <w:pStyle w:val="Textonotapie"/>
        <w:spacing w:before="120" w:after="120"/>
        <w:ind w:firstLine="709"/>
        <w:jc w:val="both"/>
        <w:rPr>
          <w:rFonts w:ascii="Arial" w:hAnsi="Arial" w:cs="Arial"/>
          <w:sz w:val="19"/>
          <w:szCs w:val="19"/>
          <w:lang w:val="es-ES"/>
        </w:rPr>
      </w:pPr>
      <w:r w:rsidRPr="000E427A">
        <w:rPr>
          <w:rStyle w:val="Refdenotaalpie"/>
          <w:rFonts w:ascii="Arial" w:hAnsi="Arial" w:cs="Arial"/>
          <w:sz w:val="19"/>
          <w:szCs w:val="19"/>
        </w:rPr>
        <w:footnoteRef/>
      </w:r>
      <w:r w:rsidRPr="000E427A">
        <w:rPr>
          <w:rFonts w:ascii="Arial" w:hAnsi="Arial" w:cs="Arial"/>
          <w:sz w:val="19"/>
          <w:szCs w:val="19"/>
        </w:rPr>
        <w:t xml:space="preserve"> Corte Constitucional, Sentencia C-569 de 2000, M.P. Carlos Gaviria Diaz.</w:t>
      </w:r>
      <w:r w:rsidRPr="00044D8A">
        <w:rPr>
          <w:rFonts w:ascii="Arial" w:hAnsi="Arial" w:cs="Arial"/>
          <w:sz w:val="19"/>
          <w:szCs w:val="19"/>
        </w:rPr>
        <w:t xml:space="preserve"> </w:t>
      </w:r>
    </w:p>
  </w:footnote>
  <w:footnote w:id="19">
    <w:p w14:paraId="26E025E3" w14:textId="77777777" w:rsidR="00AD1552" w:rsidRDefault="00AD1552" w:rsidP="00AD1552">
      <w:pPr>
        <w:pStyle w:val="Textonotapie"/>
        <w:ind w:firstLine="708"/>
        <w:jc w:val="both"/>
        <w:rPr>
          <w:rFonts w:ascii="Arial" w:eastAsia="Calibri" w:hAnsi="Arial" w:cs="Arial"/>
          <w:bCs/>
          <w:lang w:eastAsia="es-ES_tradnl"/>
        </w:rPr>
      </w:pPr>
      <w:r w:rsidRPr="00F23EEF">
        <w:rPr>
          <w:rStyle w:val="Refdenotaalpie"/>
          <w:rFonts w:ascii="Arial" w:hAnsi="Arial" w:cs="Arial"/>
          <w:sz w:val="19"/>
          <w:szCs w:val="19"/>
        </w:rPr>
        <w:footnoteRef/>
      </w:r>
      <w:r w:rsidRPr="00F23EEF">
        <w:rPr>
          <w:rFonts w:ascii="Arial" w:hAnsi="Arial" w:cs="Arial"/>
          <w:sz w:val="19"/>
          <w:szCs w:val="19"/>
        </w:rPr>
        <w:t xml:space="preserve"> </w:t>
      </w:r>
      <w:r>
        <w:rPr>
          <w:rFonts w:ascii="Arial" w:hAnsi="Arial" w:cs="Arial"/>
          <w:sz w:val="19"/>
          <w:szCs w:val="19"/>
        </w:rPr>
        <w:t xml:space="preserve">Decreto 1085 de 20215. </w:t>
      </w:r>
      <w:r w:rsidRPr="005450D9">
        <w:rPr>
          <w:rFonts w:ascii="Arial" w:hAnsi="Arial" w:cs="Arial"/>
          <w:color w:val="000000" w:themeColor="text1"/>
        </w:rPr>
        <w:t>Artículo</w:t>
      </w:r>
      <w:r>
        <w:rPr>
          <w:rFonts w:ascii="Arial" w:hAnsi="Arial" w:cs="Arial"/>
          <w:color w:val="000000" w:themeColor="text1"/>
        </w:rPr>
        <w:t xml:space="preserve"> </w:t>
      </w:r>
      <w:r w:rsidRPr="00820576">
        <w:rPr>
          <w:rFonts w:ascii="Arial" w:eastAsia="Calibri" w:hAnsi="Arial" w:cs="Arial"/>
          <w:bCs/>
          <w:lang w:eastAsia="es-ES_tradnl"/>
        </w:rPr>
        <w:t>2.2.1.2.4.2.4</w:t>
      </w:r>
      <w:r>
        <w:rPr>
          <w:rFonts w:ascii="Arial" w:eastAsia="Calibri" w:hAnsi="Arial" w:cs="Arial"/>
          <w:bCs/>
          <w:lang w:eastAsia="es-ES_tradnl"/>
        </w:rPr>
        <w:t xml:space="preserve">. </w:t>
      </w:r>
    </w:p>
    <w:p w14:paraId="110EB428" w14:textId="68F5C572" w:rsidR="00AD1552" w:rsidRPr="00F23EEF" w:rsidRDefault="00AD1552" w:rsidP="00F23EEF">
      <w:pPr>
        <w:pStyle w:val="Textonotapie"/>
        <w:ind w:firstLine="708"/>
        <w:jc w:val="both"/>
        <w:rPr>
          <w:rFonts w:ascii="Arial" w:hAnsi="Arial" w:cs="Arial"/>
          <w:sz w:val="19"/>
          <w:szCs w:val="19"/>
        </w:rPr>
      </w:pPr>
      <w:r w:rsidRPr="00044D8A">
        <w:rPr>
          <w:rFonts w:ascii="Arial" w:hAnsi="Arial" w:cs="Arial"/>
          <w:sz w:val="19"/>
          <w:szCs w:val="19"/>
        </w:rPr>
        <w:t>»</w:t>
      </w:r>
      <w:r w:rsidRPr="00F23EEF">
        <w:rPr>
          <w:rStyle w:val="Textoennegrita"/>
          <w:rFonts w:ascii="Arial" w:hAnsi="Arial" w:cs="Arial"/>
          <w:b w:val="0"/>
          <w:bCs w:val="0"/>
          <w:color w:val="333333"/>
          <w:sz w:val="19"/>
          <w:szCs w:val="19"/>
          <w:shd w:val="clear" w:color="auto" w:fill="FFFFFF"/>
        </w:rPr>
        <w:t>Parágrafo 2</w:t>
      </w:r>
      <w:r w:rsidRPr="00F23EEF">
        <w:rPr>
          <w:rFonts w:ascii="Arial" w:hAnsi="Arial" w:cs="Arial"/>
          <w:color w:val="333333"/>
          <w:sz w:val="19"/>
          <w:szCs w:val="19"/>
          <w:shd w:val="clear" w:color="auto" w:fill="FFFFFF"/>
        </w:rPr>
        <w:t xml:space="preserve">. Para efectos de la limitación a </w:t>
      </w:r>
      <w:r w:rsidRPr="00F23EEF">
        <w:rPr>
          <w:rFonts w:ascii="Arial" w:hAnsi="Arial" w:cs="Arial"/>
          <w:color w:val="333333"/>
          <w:sz w:val="19"/>
          <w:szCs w:val="19"/>
          <w:shd w:val="clear" w:color="auto" w:fill="FFFFFF"/>
        </w:rPr>
        <w:t>Mipyme, los proponentes aportarán la copia del registro mercantil, del certificado de existencia y representación legal o del Registro Único de Proponentes, según corresponda conforme a las reglas precedentes, con una fecha de máximo sesenta (60) días calendario anteriores a la prevista en el cronograma del Proceso de Contratación para el inicio del plazo para solicitar la convocatoria limitada.</w:t>
      </w:r>
    </w:p>
  </w:footnote>
  <w:footnote w:id="20">
    <w:p w14:paraId="6BDAB80E" w14:textId="77777777" w:rsidR="001E20DD" w:rsidRPr="00420A2F" w:rsidRDefault="001E20DD" w:rsidP="001E20DD">
      <w:pPr>
        <w:pStyle w:val="Textonotapie"/>
        <w:ind w:firstLine="709"/>
        <w:jc w:val="both"/>
        <w:rPr>
          <w:rFonts w:ascii="Arial" w:hAnsi="Arial" w:cs="Arial"/>
          <w:i/>
          <w:iCs/>
          <w:sz w:val="19"/>
          <w:szCs w:val="19"/>
          <w:lang w:val="es-CO"/>
        </w:rPr>
      </w:pPr>
      <w:r w:rsidRPr="00E00143">
        <w:rPr>
          <w:rStyle w:val="Refdenotaalpie"/>
          <w:rFonts w:ascii="Arial" w:hAnsi="Arial" w:cs="Arial"/>
          <w:sz w:val="19"/>
          <w:szCs w:val="19"/>
        </w:rPr>
        <w:footnoteRef/>
      </w:r>
      <w:r w:rsidRPr="00E00143">
        <w:rPr>
          <w:rFonts w:ascii="Arial" w:hAnsi="Arial" w:cs="Arial"/>
          <w:sz w:val="19"/>
          <w:szCs w:val="19"/>
        </w:rPr>
        <w:t xml:space="preserve"> </w:t>
      </w:r>
      <w:r w:rsidRPr="00165194">
        <w:rPr>
          <w:rFonts w:ascii="Arial" w:hAnsi="Arial" w:cs="Arial"/>
          <w:sz w:val="19"/>
          <w:szCs w:val="19"/>
          <w:lang w:val="es-ES"/>
        </w:rPr>
        <w:t xml:space="preserve">M. </w:t>
      </w:r>
      <w:r w:rsidRPr="00165194">
        <w:rPr>
          <w:rFonts w:ascii="Arial" w:hAnsi="Arial" w:cs="Arial"/>
          <w:sz w:val="19"/>
          <w:szCs w:val="19"/>
        </w:rPr>
        <w:t xml:space="preserve">Laclau (2010) </w:t>
      </w:r>
      <w:r w:rsidRPr="00165194">
        <w:rPr>
          <w:rFonts w:ascii="Arial" w:hAnsi="Arial" w:cs="Arial"/>
          <w:i/>
          <w:iCs/>
          <w:sz w:val="19"/>
          <w:szCs w:val="19"/>
          <w:lang w:val="es-CO"/>
        </w:rPr>
        <w:t xml:space="preserve">Interpretación del derecho e intuición en el pensamiento de Savigny. </w:t>
      </w:r>
      <w:r w:rsidRPr="00420A2F">
        <w:rPr>
          <w:rFonts w:ascii="Arial" w:hAnsi="Arial" w:cs="Arial"/>
          <w:sz w:val="19"/>
          <w:szCs w:val="19"/>
          <w:lang w:val="es-CO"/>
        </w:rPr>
        <w:t xml:space="preserve">Anuario de Derechos Humanos. Nueva Época. p. 237. </w:t>
      </w:r>
    </w:p>
    <w:p w14:paraId="40D3D617" w14:textId="77777777" w:rsidR="001E20DD" w:rsidRPr="00E00143" w:rsidRDefault="001E20DD" w:rsidP="001E20DD">
      <w:pPr>
        <w:pStyle w:val="Textonotapie"/>
        <w:ind w:firstLine="709"/>
        <w:jc w:val="both"/>
        <w:rPr>
          <w:rFonts w:ascii="Arial" w:hAnsi="Arial" w:cs="Arial"/>
          <w:sz w:val="19"/>
          <w:szCs w:val="19"/>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FDAE27" w14:textId="77777777" w:rsidR="004A48C9" w:rsidRPr="003F58A1" w:rsidRDefault="004A48C9" w:rsidP="004A48C9">
    <w:pPr>
      <w:spacing w:after="0"/>
      <w:rPr>
        <w:rFonts w:ascii="Geomanist Bold" w:hAnsi="Geomanist Bold"/>
        <w:color w:val="002060"/>
        <w:sz w:val="24"/>
        <w:szCs w:val="24"/>
      </w:rPr>
    </w:pPr>
    <w:r w:rsidRPr="008614E5">
      <w:rPr>
        <w:rFonts w:eastAsia="Arial Nova" w:cs="Arial Nova"/>
        <w:noProof/>
        <w:sz w:val="24"/>
        <w:szCs w:val="24"/>
        <w:lang w:val="en-US"/>
      </w:rPr>
      <w:drawing>
        <wp:anchor distT="0" distB="0" distL="0" distR="0" simplePos="0" relativeHeight="251659264" behindDoc="1" locked="0" layoutInCell="1" hidden="0" allowOverlap="1" wp14:anchorId="040C0143" wp14:editId="5B99186B">
          <wp:simplePos x="0" y="0"/>
          <wp:positionH relativeFrom="margin">
            <wp:align>right</wp:align>
          </wp:positionH>
          <wp:positionV relativeFrom="paragraph">
            <wp:posOffset>6985</wp:posOffset>
          </wp:positionV>
          <wp:extent cx="1657350" cy="676275"/>
          <wp:effectExtent l="0" t="0" r="0" b="9525"/>
          <wp:wrapNone/>
          <wp:docPr id="25" name="image3.png" descr="Icon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3.png" descr="Icono&#10;&#10;Descripción generada automáticamente"/>
                  <pic:cNvPicPr preferRelativeResize="0"/>
                </pic:nvPicPr>
                <pic:blipFill>
                  <a:blip r:embed="rId1"/>
                  <a:srcRect/>
                  <a:stretch>
                    <a:fillRect/>
                  </a:stretch>
                </pic:blipFill>
                <pic:spPr>
                  <a:xfrm>
                    <a:off x="0" y="0"/>
                    <a:ext cx="1657350" cy="676275"/>
                  </a:xfrm>
                  <a:prstGeom prst="rect">
                    <a:avLst/>
                  </a:prstGeom>
                  <a:ln/>
                </pic:spPr>
              </pic:pic>
            </a:graphicData>
          </a:graphic>
          <wp14:sizeRelH relativeFrom="margin">
            <wp14:pctWidth>0</wp14:pctWidth>
          </wp14:sizeRelH>
          <wp14:sizeRelV relativeFrom="margin">
            <wp14:pctHeight>0</wp14:pctHeight>
          </wp14:sizeRelV>
        </wp:anchor>
      </w:drawing>
    </w:r>
    <w:r w:rsidRPr="008614E5">
      <w:rPr>
        <w:rFonts w:ascii="Geomanist Bold" w:hAnsi="Geomanist Bold"/>
        <w:color w:val="002060"/>
        <w:sz w:val="24"/>
        <w:szCs w:val="24"/>
      </w:rPr>
      <w:t xml:space="preserve">FORMATO PQRSD </w:t>
    </w:r>
  </w:p>
  <w:tbl>
    <w:tblPr>
      <w:tblW w:w="9404" w:type="dxa"/>
      <w:tblBorders>
        <w:top w:val="nil"/>
        <w:left w:val="nil"/>
        <w:bottom w:val="nil"/>
        <w:right w:val="nil"/>
        <w:insideH w:val="nil"/>
        <w:insideV w:val="nil"/>
      </w:tblBorders>
      <w:tblLayout w:type="fixed"/>
      <w:tblLook w:val="0400" w:firstRow="0" w:lastRow="0" w:firstColumn="0" w:lastColumn="0" w:noHBand="0" w:noVBand="1"/>
    </w:tblPr>
    <w:tblGrid>
      <w:gridCol w:w="6756"/>
      <w:gridCol w:w="1324"/>
      <w:gridCol w:w="1324"/>
    </w:tblGrid>
    <w:tr w:rsidR="004A48C9" w:rsidRPr="00367110" w14:paraId="2AE09049" w14:textId="77777777" w:rsidTr="00C10076">
      <w:tc>
        <w:tcPr>
          <w:tcW w:w="6756" w:type="dxa"/>
        </w:tcPr>
        <w:p w14:paraId="2D0F0AED" w14:textId="77777777" w:rsidR="004A48C9" w:rsidRPr="006478E3" w:rsidRDefault="004A48C9" w:rsidP="004A48C9">
          <w:pPr>
            <w:pBdr>
              <w:top w:val="nil"/>
              <w:left w:val="nil"/>
              <w:bottom w:val="nil"/>
              <w:right w:val="nil"/>
              <w:between w:val="nil"/>
            </w:pBdr>
            <w:tabs>
              <w:tab w:val="center" w:pos="4419"/>
              <w:tab w:val="right" w:pos="8838"/>
              <w:tab w:val="center" w:pos="5400"/>
            </w:tabs>
            <w:spacing w:after="0"/>
            <w:rPr>
              <w:rFonts w:ascii="Geomanist Bold" w:eastAsia="Geo" w:hAnsi="Geomanist Bold" w:cs="Geo"/>
              <w:b/>
              <w:color w:val="002060"/>
              <w:lang w:eastAsia="es-CO"/>
            </w:rPr>
          </w:pPr>
          <w:r w:rsidRPr="006478E3">
            <w:rPr>
              <w:rFonts w:ascii="Geomanist Bold" w:eastAsia="Geo" w:hAnsi="Geomanist Bold" w:cs="Geo"/>
              <w:b/>
              <w:color w:val="000000"/>
              <w:sz w:val="20"/>
              <w:szCs w:val="20"/>
              <w:lang w:eastAsia="es-CO"/>
            </w:rPr>
            <w:t>Código</w:t>
          </w:r>
          <w:r>
            <w:rPr>
              <w:rFonts w:ascii="Geomanist Bold" w:eastAsia="Geo" w:hAnsi="Geomanist Bold" w:cs="Geo"/>
              <w:b/>
              <w:color w:val="000000"/>
              <w:sz w:val="20"/>
              <w:szCs w:val="20"/>
              <w:lang w:eastAsia="es-CO"/>
            </w:rPr>
            <w:t xml:space="preserve">: </w:t>
          </w:r>
          <w:r w:rsidRPr="0000650B">
            <w:rPr>
              <w:rFonts w:ascii="Geomanist Light" w:eastAsia="Geo" w:hAnsi="Geomanist Light" w:cs="Geo"/>
              <w:b/>
              <w:color w:val="000000"/>
              <w:sz w:val="18"/>
              <w:szCs w:val="18"/>
              <w:lang w:eastAsia="es-CO"/>
            </w:rPr>
            <w:t>CCE-</w:t>
          </w:r>
          <w:r>
            <w:rPr>
              <w:rFonts w:ascii="Geomanist Light" w:eastAsia="Geo" w:hAnsi="Geomanist Light" w:cs="Geo"/>
              <w:b/>
              <w:color w:val="000000"/>
              <w:sz w:val="18"/>
              <w:szCs w:val="18"/>
              <w:lang w:eastAsia="es-CO"/>
            </w:rPr>
            <w:t>PQRSD</w:t>
          </w:r>
          <w:r w:rsidRPr="0000650B">
            <w:rPr>
              <w:rFonts w:ascii="Geomanist Light" w:eastAsia="Geo" w:hAnsi="Geomanist Light" w:cs="Geo"/>
              <w:b/>
              <w:color w:val="000000"/>
              <w:sz w:val="18"/>
              <w:szCs w:val="18"/>
              <w:lang w:eastAsia="es-CO"/>
            </w:rPr>
            <w:t>-</w:t>
          </w:r>
          <w:r>
            <w:rPr>
              <w:rFonts w:ascii="Geomanist Light" w:eastAsia="Geo" w:hAnsi="Geomanist Light" w:cs="Geo"/>
              <w:b/>
              <w:color w:val="000000"/>
              <w:sz w:val="18"/>
              <w:szCs w:val="18"/>
              <w:lang w:eastAsia="es-CO"/>
            </w:rPr>
            <w:t>FM</w:t>
          </w:r>
          <w:r w:rsidRPr="0000650B">
            <w:rPr>
              <w:rFonts w:ascii="Geomanist Light" w:eastAsia="Geo" w:hAnsi="Geomanist Light" w:cs="Geo"/>
              <w:b/>
              <w:color w:val="000000"/>
              <w:sz w:val="18"/>
              <w:szCs w:val="18"/>
              <w:lang w:eastAsia="es-CO"/>
            </w:rPr>
            <w:t>-</w:t>
          </w:r>
          <w:r>
            <w:rPr>
              <w:rFonts w:ascii="Geomanist Light" w:eastAsia="Geo" w:hAnsi="Geomanist Light" w:cs="Geo"/>
              <w:b/>
              <w:color w:val="000000"/>
              <w:sz w:val="18"/>
              <w:szCs w:val="18"/>
              <w:lang w:eastAsia="es-CO"/>
            </w:rPr>
            <w:t>08</w:t>
          </w:r>
        </w:p>
        <w:p w14:paraId="3522EA22" w14:textId="77777777" w:rsidR="004A48C9" w:rsidRPr="0057618A" w:rsidRDefault="004A48C9" w:rsidP="004A48C9">
          <w:pPr>
            <w:pBdr>
              <w:top w:val="nil"/>
              <w:left w:val="nil"/>
              <w:bottom w:val="nil"/>
              <w:right w:val="nil"/>
              <w:between w:val="nil"/>
            </w:pBdr>
            <w:tabs>
              <w:tab w:val="center" w:pos="4419"/>
              <w:tab w:val="right" w:pos="8838"/>
              <w:tab w:val="center" w:pos="5400"/>
            </w:tabs>
            <w:spacing w:after="0"/>
            <w:rPr>
              <w:rFonts w:eastAsia="Arial Nova" w:cs="Arial Nova"/>
              <w:color w:val="000000"/>
              <w:sz w:val="18"/>
              <w:szCs w:val="18"/>
              <w:lang w:eastAsia="es-CO"/>
            </w:rPr>
          </w:pPr>
          <w:r w:rsidRPr="006478E3">
            <w:rPr>
              <w:rFonts w:ascii="Geomanist Bold" w:eastAsia="Geo" w:hAnsi="Geomanist Bold" w:cs="Geo"/>
              <w:b/>
              <w:color w:val="000000"/>
              <w:sz w:val="20"/>
              <w:szCs w:val="20"/>
              <w:lang w:eastAsia="es-CO"/>
            </w:rPr>
            <w:t>Versión</w:t>
          </w:r>
          <w:r>
            <w:rPr>
              <w:rFonts w:ascii="Geomanist Bold" w:eastAsia="Arial Nova" w:hAnsi="Geomanist Bold" w:cs="Arial Nova"/>
              <w:b/>
              <w:color w:val="000000"/>
              <w:sz w:val="20"/>
              <w:szCs w:val="20"/>
              <w:lang w:eastAsia="es-CO"/>
            </w:rPr>
            <w:t xml:space="preserve">: </w:t>
          </w:r>
          <w:r w:rsidRPr="0000650B">
            <w:rPr>
              <w:rFonts w:ascii="Geomanist Light" w:eastAsia="Geo" w:hAnsi="Geomanist Light" w:cs="Geo"/>
              <w:sz w:val="18"/>
              <w:szCs w:val="18"/>
              <w:lang w:eastAsia="es-CO"/>
            </w:rPr>
            <w:t xml:space="preserve">01 DEL </w:t>
          </w:r>
          <w:r>
            <w:rPr>
              <w:rFonts w:ascii="Geomanist Light" w:eastAsia="Geo" w:hAnsi="Geomanist Light" w:cs="Geo"/>
              <w:sz w:val="18"/>
              <w:szCs w:val="18"/>
              <w:lang w:eastAsia="es-CO"/>
            </w:rPr>
            <w:t>30 DE AGOSTO DE 2022</w:t>
          </w:r>
        </w:p>
      </w:tc>
      <w:tc>
        <w:tcPr>
          <w:tcW w:w="1324" w:type="dxa"/>
        </w:tcPr>
        <w:p w14:paraId="177CF17F" w14:textId="77777777" w:rsidR="004A48C9" w:rsidRPr="00367110" w:rsidRDefault="004A48C9" w:rsidP="004A48C9">
          <w:pPr>
            <w:jc w:val="right"/>
            <w:rPr>
              <w:rFonts w:eastAsia="Arial Nova" w:cs="Arial Nova"/>
              <w:lang w:eastAsia="es-CO"/>
            </w:rPr>
          </w:pPr>
        </w:p>
      </w:tc>
      <w:tc>
        <w:tcPr>
          <w:tcW w:w="1324" w:type="dxa"/>
        </w:tcPr>
        <w:p w14:paraId="2F495221" w14:textId="77777777" w:rsidR="004A48C9" w:rsidRPr="00367110" w:rsidRDefault="004A48C9" w:rsidP="004A48C9">
          <w:pPr>
            <w:jc w:val="right"/>
            <w:rPr>
              <w:rFonts w:eastAsia="Arial Nova" w:cs="Arial Nova"/>
              <w:lang w:eastAsia="es-CO"/>
            </w:rPr>
          </w:pPr>
        </w:p>
      </w:tc>
    </w:tr>
  </w:tbl>
  <w:p w14:paraId="65E81F9D" w14:textId="771E7865" w:rsidR="008F4163" w:rsidRDefault="0048267E">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06310"/>
    <w:multiLevelType w:val="multilevel"/>
    <w:tmpl w:val="25FEEF8E"/>
    <w:lvl w:ilvl="0">
      <w:start w:val="1"/>
      <w:numFmt w:val="decimal"/>
      <w:lvlText w:val="%1."/>
      <w:lvlJc w:val="left"/>
      <w:pPr>
        <w:ind w:left="502"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16AA1B77"/>
    <w:multiLevelType w:val="hybridMultilevel"/>
    <w:tmpl w:val="7F1CC020"/>
    <w:lvl w:ilvl="0" w:tplc="414EC74A">
      <w:start w:val="1"/>
      <w:numFmt w:val="decimal"/>
      <w:lvlText w:val="%1)"/>
      <w:lvlJc w:val="left"/>
      <w:pPr>
        <w:ind w:left="720" w:hanging="360"/>
      </w:pPr>
      <w:rPr>
        <w:rFonts w:ascii="Arial" w:hAnsi="Arial" w:cs="Arial"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num w:numId="1" w16cid:durableId="944574079">
    <w:abstractNumId w:val="0"/>
  </w:num>
  <w:num w:numId="2" w16cid:durableId="89092332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48C9"/>
    <w:rsid w:val="0001678B"/>
    <w:rsid w:val="000210DA"/>
    <w:rsid w:val="00027B2B"/>
    <w:rsid w:val="00031030"/>
    <w:rsid w:val="00034A35"/>
    <w:rsid w:val="00037118"/>
    <w:rsid w:val="00040B4C"/>
    <w:rsid w:val="00042D10"/>
    <w:rsid w:val="00044D8A"/>
    <w:rsid w:val="00044FB9"/>
    <w:rsid w:val="000455CC"/>
    <w:rsid w:val="00061FFC"/>
    <w:rsid w:val="00080EDC"/>
    <w:rsid w:val="000B0E34"/>
    <w:rsid w:val="000D7C01"/>
    <w:rsid w:val="000E427A"/>
    <w:rsid w:val="00127BD3"/>
    <w:rsid w:val="001348E2"/>
    <w:rsid w:val="001425C6"/>
    <w:rsid w:val="001524AC"/>
    <w:rsid w:val="001634C9"/>
    <w:rsid w:val="001678CF"/>
    <w:rsid w:val="00181A0F"/>
    <w:rsid w:val="0018565B"/>
    <w:rsid w:val="0018674C"/>
    <w:rsid w:val="0019519A"/>
    <w:rsid w:val="001A19C4"/>
    <w:rsid w:val="001A33F0"/>
    <w:rsid w:val="001A5C14"/>
    <w:rsid w:val="001B1EBA"/>
    <w:rsid w:val="001B7F50"/>
    <w:rsid w:val="001C61A8"/>
    <w:rsid w:val="001E20DD"/>
    <w:rsid w:val="002043C7"/>
    <w:rsid w:val="0024089F"/>
    <w:rsid w:val="00243095"/>
    <w:rsid w:val="00245D13"/>
    <w:rsid w:val="00267D88"/>
    <w:rsid w:val="00270B91"/>
    <w:rsid w:val="002846FF"/>
    <w:rsid w:val="00292098"/>
    <w:rsid w:val="002974F0"/>
    <w:rsid w:val="002C2DE3"/>
    <w:rsid w:val="002C4CBC"/>
    <w:rsid w:val="0034004E"/>
    <w:rsid w:val="003408B3"/>
    <w:rsid w:val="00341408"/>
    <w:rsid w:val="003539A8"/>
    <w:rsid w:val="003777BC"/>
    <w:rsid w:val="00386B1A"/>
    <w:rsid w:val="00390245"/>
    <w:rsid w:val="0039396C"/>
    <w:rsid w:val="00397063"/>
    <w:rsid w:val="003B504F"/>
    <w:rsid w:val="003C6D19"/>
    <w:rsid w:val="003F2DE0"/>
    <w:rsid w:val="003F3B19"/>
    <w:rsid w:val="00415BC5"/>
    <w:rsid w:val="004327B3"/>
    <w:rsid w:val="004409AC"/>
    <w:rsid w:val="00477A88"/>
    <w:rsid w:val="0048267E"/>
    <w:rsid w:val="00483D95"/>
    <w:rsid w:val="004913CB"/>
    <w:rsid w:val="004967C7"/>
    <w:rsid w:val="004A48C9"/>
    <w:rsid w:val="004A5096"/>
    <w:rsid w:val="004C2AD6"/>
    <w:rsid w:val="004E3620"/>
    <w:rsid w:val="00544262"/>
    <w:rsid w:val="005450D9"/>
    <w:rsid w:val="005567B7"/>
    <w:rsid w:val="0058510B"/>
    <w:rsid w:val="00592A99"/>
    <w:rsid w:val="005947EF"/>
    <w:rsid w:val="00595113"/>
    <w:rsid w:val="005A3892"/>
    <w:rsid w:val="005B06F0"/>
    <w:rsid w:val="005B2676"/>
    <w:rsid w:val="005D18E3"/>
    <w:rsid w:val="005F1AA7"/>
    <w:rsid w:val="005F7223"/>
    <w:rsid w:val="00604A16"/>
    <w:rsid w:val="006319D1"/>
    <w:rsid w:val="006359ED"/>
    <w:rsid w:val="006604BE"/>
    <w:rsid w:val="00660F78"/>
    <w:rsid w:val="00665478"/>
    <w:rsid w:val="00682202"/>
    <w:rsid w:val="006D055D"/>
    <w:rsid w:val="006D4E9E"/>
    <w:rsid w:val="006D5094"/>
    <w:rsid w:val="006D5C43"/>
    <w:rsid w:val="006E291E"/>
    <w:rsid w:val="006E2EF1"/>
    <w:rsid w:val="006F0107"/>
    <w:rsid w:val="007131ED"/>
    <w:rsid w:val="0076135D"/>
    <w:rsid w:val="00772140"/>
    <w:rsid w:val="007A628A"/>
    <w:rsid w:val="007B70ED"/>
    <w:rsid w:val="007C492F"/>
    <w:rsid w:val="007C6AF2"/>
    <w:rsid w:val="00820576"/>
    <w:rsid w:val="00827413"/>
    <w:rsid w:val="008340E8"/>
    <w:rsid w:val="0085514F"/>
    <w:rsid w:val="008821C4"/>
    <w:rsid w:val="008843FE"/>
    <w:rsid w:val="008D20BD"/>
    <w:rsid w:val="008D22F0"/>
    <w:rsid w:val="008D2BDA"/>
    <w:rsid w:val="008D4B67"/>
    <w:rsid w:val="008F1486"/>
    <w:rsid w:val="009021C7"/>
    <w:rsid w:val="009264E8"/>
    <w:rsid w:val="00933718"/>
    <w:rsid w:val="00944CD8"/>
    <w:rsid w:val="00955C77"/>
    <w:rsid w:val="00967332"/>
    <w:rsid w:val="00982B0D"/>
    <w:rsid w:val="00987202"/>
    <w:rsid w:val="009A5E68"/>
    <w:rsid w:val="009A7C8A"/>
    <w:rsid w:val="009C6F43"/>
    <w:rsid w:val="009E4E06"/>
    <w:rsid w:val="009E52B2"/>
    <w:rsid w:val="00A11FF0"/>
    <w:rsid w:val="00A208E4"/>
    <w:rsid w:val="00A231CC"/>
    <w:rsid w:val="00A445E8"/>
    <w:rsid w:val="00A542CD"/>
    <w:rsid w:val="00A579D5"/>
    <w:rsid w:val="00A86836"/>
    <w:rsid w:val="00A87CA5"/>
    <w:rsid w:val="00A940F8"/>
    <w:rsid w:val="00AA75E7"/>
    <w:rsid w:val="00AB6405"/>
    <w:rsid w:val="00AC42FF"/>
    <w:rsid w:val="00AC7C20"/>
    <w:rsid w:val="00AD1552"/>
    <w:rsid w:val="00AE305C"/>
    <w:rsid w:val="00AE62C6"/>
    <w:rsid w:val="00AF0830"/>
    <w:rsid w:val="00AF11ED"/>
    <w:rsid w:val="00B07617"/>
    <w:rsid w:val="00B106BA"/>
    <w:rsid w:val="00B13BE6"/>
    <w:rsid w:val="00B226D4"/>
    <w:rsid w:val="00B25007"/>
    <w:rsid w:val="00B3179C"/>
    <w:rsid w:val="00B75A4D"/>
    <w:rsid w:val="00B93ABB"/>
    <w:rsid w:val="00BA1456"/>
    <w:rsid w:val="00BA4D5F"/>
    <w:rsid w:val="00BC31FC"/>
    <w:rsid w:val="00C06AB9"/>
    <w:rsid w:val="00C16AE6"/>
    <w:rsid w:val="00C2143C"/>
    <w:rsid w:val="00C222C9"/>
    <w:rsid w:val="00C25AFA"/>
    <w:rsid w:val="00C519C2"/>
    <w:rsid w:val="00C811CA"/>
    <w:rsid w:val="00C83164"/>
    <w:rsid w:val="00CA0BF9"/>
    <w:rsid w:val="00CA42CA"/>
    <w:rsid w:val="00CA7C40"/>
    <w:rsid w:val="00CC465D"/>
    <w:rsid w:val="00CF5DC5"/>
    <w:rsid w:val="00D16D70"/>
    <w:rsid w:val="00D2476A"/>
    <w:rsid w:val="00D25BE7"/>
    <w:rsid w:val="00D355F5"/>
    <w:rsid w:val="00D40638"/>
    <w:rsid w:val="00D43D35"/>
    <w:rsid w:val="00D54159"/>
    <w:rsid w:val="00D80999"/>
    <w:rsid w:val="00D8434A"/>
    <w:rsid w:val="00D92C82"/>
    <w:rsid w:val="00DA70B1"/>
    <w:rsid w:val="00DC1B62"/>
    <w:rsid w:val="00DC3EB8"/>
    <w:rsid w:val="00DD0F55"/>
    <w:rsid w:val="00DE1872"/>
    <w:rsid w:val="00E17D5E"/>
    <w:rsid w:val="00E2539B"/>
    <w:rsid w:val="00E42671"/>
    <w:rsid w:val="00E428DD"/>
    <w:rsid w:val="00E434BC"/>
    <w:rsid w:val="00E46131"/>
    <w:rsid w:val="00E5005E"/>
    <w:rsid w:val="00E961F0"/>
    <w:rsid w:val="00EA2B00"/>
    <w:rsid w:val="00EA6FE8"/>
    <w:rsid w:val="00EA7B0F"/>
    <w:rsid w:val="00EB115E"/>
    <w:rsid w:val="00EC52DE"/>
    <w:rsid w:val="00ED7606"/>
    <w:rsid w:val="00F22A51"/>
    <w:rsid w:val="00F23EEF"/>
    <w:rsid w:val="00F32060"/>
    <w:rsid w:val="00F328BB"/>
    <w:rsid w:val="00F33485"/>
    <w:rsid w:val="00F35C9B"/>
    <w:rsid w:val="00F4554B"/>
    <w:rsid w:val="00F571E2"/>
    <w:rsid w:val="00F74F2B"/>
    <w:rsid w:val="00F86312"/>
    <w:rsid w:val="00F93277"/>
    <w:rsid w:val="00FB347B"/>
    <w:rsid w:val="00FD2EA4"/>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9E54DE"/>
  <w15:chartTrackingRefBased/>
  <w15:docId w15:val="{7E92BFEF-18A4-4AA6-80DD-FF7F790512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48C9"/>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48C9"/>
  </w:style>
  <w:style w:type="paragraph" w:styleId="Piedepgina">
    <w:name w:val="footer"/>
    <w:basedOn w:val="Normal"/>
    <w:link w:val="PiedepginaCar"/>
    <w:uiPriority w:val="99"/>
    <w:unhideWhenUsed/>
    <w:rsid w:val="004A48C9"/>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48C9"/>
  </w:style>
  <w:style w:type="paragraph" w:styleId="Sinespaciado">
    <w:name w:val="No Spacing"/>
    <w:uiPriority w:val="1"/>
    <w:qFormat/>
    <w:rsid w:val="004A48C9"/>
    <w:pPr>
      <w:spacing w:after="0" w:line="240" w:lineRule="auto"/>
    </w:pPr>
  </w:style>
  <w:style w:type="table" w:styleId="Tablaconcuadrcula">
    <w:name w:val="Table Grid"/>
    <w:basedOn w:val="Tablanormal"/>
    <w:uiPriority w:val="59"/>
    <w:rsid w:val="004A48C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4A48C9"/>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Car,fn"/>
    <w:basedOn w:val="Normal"/>
    <w:link w:val="TextonotapieCar"/>
    <w:uiPriority w:val="99"/>
    <w:unhideWhenUsed/>
    <w:qFormat/>
    <w:rsid w:val="004A48C9"/>
    <w:pPr>
      <w:spacing w:after="0" w:line="240" w:lineRule="auto"/>
    </w:pPr>
    <w:rPr>
      <w:sz w:val="20"/>
      <w:szCs w:val="20"/>
      <w:lang w:val="es-MX"/>
    </w:rPr>
  </w:style>
  <w:style w:type="character" w:customStyle="1" w:styleId="TextonotapieCar1">
    <w:name w:val="Texto nota pie Car1"/>
    <w:basedOn w:val="Fuentedeprrafopredeter"/>
    <w:uiPriority w:val="99"/>
    <w:semiHidden/>
    <w:rsid w:val="004A48C9"/>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Footnote Reference Char3,Texto nota pie Car2,Texto de nota al p,F,R"/>
    <w:basedOn w:val="Fuentedeprrafopredeter"/>
    <w:link w:val="Appelnotedebasde"/>
    <w:uiPriority w:val="99"/>
    <w:unhideWhenUsed/>
    <w:qFormat/>
    <w:rsid w:val="004A48C9"/>
    <w:rPr>
      <w:vertAlign w:val="superscript"/>
    </w:rPr>
  </w:style>
  <w:style w:type="table" w:customStyle="1" w:styleId="Tablaconcuadrcula1">
    <w:name w:val="Tabla con cuadrícula1"/>
    <w:basedOn w:val="Tablanormal"/>
    <w:next w:val="Tablaconcuadrcula"/>
    <w:uiPriority w:val="39"/>
    <w:qFormat/>
    <w:rsid w:val="004A48C9"/>
    <w:pPr>
      <w:spacing w:after="0" w:line="24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4A48C9"/>
    <w:pPr>
      <w:spacing w:line="240" w:lineRule="exact"/>
    </w:pPr>
    <w:rPr>
      <w:vertAlign w:val="superscript"/>
    </w:rPr>
  </w:style>
  <w:style w:type="paragraph" w:customStyle="1" w:styleId="Car1">
    <w:name w:val="Car1"/>
    <w:basedOn w:val="Normal"/>
    <w:next w:val="Textonotapie"/>
    <w:uiPriority w:val="99"/>
    <w:unhideWhenUsed/>
    <w:qFormat/>
    <w:rsid w:val="004A48C9"/>
    <w:pPr>
      <w:spacing w:after="0" w:line="240" w:lineRule="auto"/>
    </w:pPr>
    <w:rPr>
      <w:sz w:val="20"/>
      <w:szCs w:val="20"/>
      <w:lang w:val="es-MX"/>
    </w:rPr>
  </w:style>
  <w:style w:type="character" w:customStyle="1" w:styleId="Hipervnculo1">
    <w:name w:val="Hipervínculo1"/>
    <w:basedOn w:val="Fuentedeprrafopredeter"/>
    <w:uiPriority w:val="99"/>
    <w:unhideWhenUsed/>
    <w:rsid w:val="004A48C9"/>
    <w:rPr>
      <w:color w:val="F2F2F2"/>
      <w:u w:val="single"/>
    </w:rPr>
  </w:style>
  <w:style w:type="character" w:styleId="Hipervnculo">
    <w:name w:val="Hyperlink"/>
    <w:basedOn w:val="Fuentedeprrafopredeter"/>
    <w:uiPriority w:val="99"/>
    <w:unhideWhenUsed/>
    <w:rsid w:val="00AF0830"/>
    <w:rPr>
      <w:color w:val="0563C1" w:themeColor="hyperlink"/>
      <w:u w:val="single"/>
    </w:rPr>
  </w:style>
  <w:style w:type="paragraph" w:styleId="Revisin">
    <w:name w:val="Revision"/>
    <w:hidden/>
    <w:uiPriority w:val="99"/>
    <w:semiHidden/>
    <w:rsid w:val="00EA7B0F"/>
    <w:pPr>
      <w:spacing w:after="0" w:line="240" w:lineRule="auto"/>
    </w:pPr>
  </w:style>
  <w:style w:type="character" w:styleId="Textoennegrita">
    <w:name w:val="Strong"/>
    <w:basedOn w:val="Fuentedeprrafopredeter"/>
    <w:uiPriority w:val="22"/>
    <w:qFormat/>
    <w:rsid w:val="0018674C"/>
    <w:rPr>
      <w:b/>
      <w:bCs/>
    </w:rPr>
  </w:style>
  <w:style w:type="character" w:styleId="Refdecomentario">
    <w:name w:val="annotation reference"/>
    <w:basedOn w:val="Fuentedeprrafopredeter"/>
    <w:uiPriority w:val="99"/>
    <w:semiHidden/>
    <w:unhideWhenUsed/>
    <w:rsid w:val="004967C7"/>
    <w:rPr>
      <w:sz w:val="16"/>
      <w:szCs w:val="16"/>
    </w:rPr>
  </w:style>
  <w:style w:type="paragraph" w:styleId="Textocomentario">
    <w:name w:val="annotation text"/>
    <w:basedOn w:val="Normal"/>
    <w:link w:val="TextocomentarioCar"/>
    <w:uiPriority w:val="99"/>
    <w:semiHidden/>
    <w:unhideWhenUsed/>
    <w:rsid w:val="004967C7"/>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4967C7"/>
    <w:rPr>
      <w:sz w:val="20"/>
      <w:szCs w:val="20"/>
    </w:rPr>
  </w:style>
  <w:style w:type="paragraph" w:styleId="Asuntodelcomentario">
    <w:name w:val="annotation subject"/>
    <w:basedOn w:val="Textocomentario"/>
    <w:next w:val="Textocomentario"/>
    <w:link w:val="AsuntodelcomentarioCar"/>
    <w:uiPriority w:val="99"/>
    <w:semiHidden/>
    <w:unhideWhenUsed/>
    <w:rsid w:val="004967C7"/>
    <w:rPr>
      <w:b/>
      <w:bCs/>
    </w:rPr>
  </w:style>
  <w:style w:type="character" w:customStyle="1" w:styleId="AsuntodelcomentarioCar">
    <w:name w:val="Asunto del comentario Car"/>
    <w:basedOn w:val="TextocomentarioCar"/>
    <w:link w:val="Asuntodelcomentario"/>
    <w:uiPriority w:val="99"/>
    <w:semiHidden/>
    <w:rsid w:val="004967C7"/>
    <w:rPr>
      <w:b/>
      <w:bCs/>
      <w:sz w:val="20"/>
      <w:szCs w:val="20"/>
    </w:rPr>
  </w:style>
  <w:style w:type="paragraph" w:styleId="Prrafodelista">
    <w:name w:val="List Paragraph"/>
    <w:basedOn w:val="Normal"/>
    <w:uiPriority w:val="34"/>
    <w:qFormat/>
    <w:rsid w:val="009E52B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icbf.gov.co/cargues/avance/docs/decreto_1082_2015.htm"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4.jpg"/></Relationships>
</file>

<file path=word/_rels/footnotes.xml.rels><?xml version="1.0" encoding="UTF-8" standalone="yes"?>
<Relationships xmlns="http://schemas.openxmlformats.org/package/2006/relationships"><Relationship Id="rId3" Type="http://schemas.openxmlformats.org/officeDocument/2006/relationships/hyperlink" Target="http://www.secretariasenado.gov.co/senado/basedoc/ley_0590_2000.html" TargetMode="External"/><Relationship Id="rId2" Type="http://schemas.openxmlformats.org/officeDocument/2006/relationships/hyperlink" Target="https://colaboracion.dnp.gov.co/CDT/Conpes/Econ%C3%B3micos/3956.pdf" TargetMode="External"/><Relationship Id="rId1" Type="http://schemas.openxmlformats.org/officeDocument/2006/relationships/hyperlink" Target="https://relatoria.colombiacompra.gov.co/busqueda/conceptos" TargetMode="External"/><Relationship Id="rId5" Type="http://schemas.openxmlformats.org/officeDocument/2006/relationships/hyperlink" Target="http://www.secretariasenado.gov.co/senado/basedoc/ley_0590_2000.html" TargetMode="External"/><Relationship Id="rId4" Type="http://schemas.openxmlformats.org/officeDocument/2006/relationships/hyperlink" Target="http://www.secretariasenado.gov.co/senado/basedoc/ley_0590_2000.htm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6fefc81145b88c108162955c226470b5">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23856a95c4658442fdcd06593afacd42"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AF4B4E1-1A61-42A0-8FE4-D64D808E027C}">
  <ds:schemaRefs>
    <ds:schemaRef ds:uri="http://purl.org/dc/dcmitype/"/>
    <ds:schemaRef ds:uri="http://schemas.openxmlformats.org/package/2006/metadata/core-properties"/>
    <ds:schemaRef ds:uri="a6cb9e4b-f1d1-4245-83ec-6cad768d538a"/>
    <ds:schemaRef ds:uri="http://purl.org/dc/terms/"/>
    <ds:schemaRef ds:uri="http://www.w3.org/XML/1998/namespace"/>
    <ds:schemaRef ds:uri="http://schemas.microsoft.com/office/2006/documentManagement/types"/>
    <ds:schemaRef ds:uri="http://purl.org/dc/elements/1.1/"/>
    <ds:schemaRef ds:uri="http://schemas.microsoft.com/office/infopath/2007/PartnerControls"/>
    <ds:schemaRef ds:uri="9d85dbaf-23eb-4e57-a637-93dcacc8b1a1"/>
    <ds:schemaRef ds:uri="http://schemas.microsoft.com/office/2006/metadata/properties"/>
  </ds:schemaRefs>
</ds:datastoreItem>
</file>

<file path=customXml/itemProps2.xml><?xml version="1.0" encoding="utf-8"?>
<ds:datastoreItem xmlns:ds="http://schemas.openxmlformats.org/officeDocument/2006/customXml" ds:itemID="{2CBE0380-E113-4070-9EF4-4B06D6637BAE}">
  <ds:schemaRefs>
    <ds:schemaRef ds:uri="http://schemas.microsoft.com/sharepoint/v3/contenttype/forms"/>
  </ds:schemaRefs>
</ds:datastoreItem>
</file>

<file path=customXml/itemProps3.xml><?xml version="1.0" encoding="utf-8"?>
<ds:datastoreItem xmlns:ds="http://schemas.openxmlformats.org/officeDocument/2006/customXml" ds:itemID="{9616D10E-6D98-4603-8703-184C5B238EF8}">
  <ds:schemaRefs>
    <ds:schemaRef ds:uri="http://schemas.openxmlformats.org/officeDocument/2006/bibliography"/>
  </ds:schemaRefs>
</ds:datastoreItem>
</file>

<file path=customXml/itemProps4.xml><?xml version="1.0" encoding="utf-8"?>
<ds:datastoreItem xmlns:ds="http://schemas.openxmlformats.org/officeDocument/2006/customXml" ds:itemID="{E8D77EB2-A576-4A6A-ABA0-FA57728FE87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23</Pages>
  <Words>8513</Words>
  <Characters>46827</Characters>
  <Application>Microsoft Office Word</Application>
  <DocSecurity>0</DocSecurity>
  <Lines>390</Lines>
  <Paragraphs>110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55230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Carlos Mario Castrillon Endo</dc:creator>
  <cp:keywords/>
  <dc:description/>
  <cp:lastModifiedBy>Ana Maria Velez Arteaga</cp:lastModifiedBy>
  <cp:revision>6</cp:revision>
  <dcterms:created xsi:type="dcterms:W3CDTF">2023-02-27T19:07:00Z</dcterms:created>
  <dcterms:modified xsi:type="dcterms:W3CDTF">2023-02-27T19:15:00Z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