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4A0D3" w14:textId="77777777" w:rsidR="00833452" w:rsidRPr="007A49CB" w:rsidRDefault="00833452" w:rsidP="00526E9D">
      <w:pPr>
        <w:rPr>
          <w:rFonts w:ascii="Arial" w:eastAsia="Times New Roman" w:hAnsi="Arial" w:cs="Arial"/>
          <w:b/>
          <w:bCs/>
          <w:sz w:val="21"/>
          <w:szCs w:val="21"/>
          <w:lang w:val="es-MX" w:eastAsia="es-CO"/>
        </w:rPr>
      </w:pPr>
    </w:p>
    <w:p w14:paraId="32298F65" w14:textId="77777777" w:rsidR="00822467" w:rsidRPr="007A49CB" w:rsidRDefault="00822467" w:rsidP="00822467">
      <w:pPr>
        <w:tabs>
          <w:tab w:val="left" w:pos="6551"/>
        </w:tabs>
        <w:spacing w:after="0" w:line="240" w:lineRule="auto"/>
        <w:jc w:val="both"/>
        <w:rPr>
          <w:rFonts w:ascii="Arial" w:eastAsia="Calibri" w:hAnsi="Arial" w:cs="Arial"/>
          <w:b/>
          <w:color w:val="000000"/>
          <w:sz w:val="21"/>
          <w:lang w:val="es-ES_tradnl" w:eastAsia="es-ES_tradnl"/>
        </w:rPr>
      </w:pPr>
      <w:bookmarkStart w:id="0" w:name="_Hlk34951122"/>
      <w:r w:rsidRPr="007A49CB">
        <w:rPr>
          <w:rFonts w:ascii="Arial" w:eastAsia="Calibri" w:hAnsi="Arial" w:cs="Arial"/>
          <w:b/>
          <w:color w:val="000000"/>
          <w:sz w:val="21"/>
          <w:lang w:val="es-ES_tradnl" w:eastAsia="es-ES_tradnl"/>
        </w:rPr>
        <w:t xml:space="preserve">CONVOCATORIAS LIMITADAS A MIPYME </w:t>
      </w:r>
      <w:r w:rsidRPr="007A49CB">
        <w:rPr>
          <w:rFonts w:ascii="Arial" w:eastAsia="Times New Roman" w:hAnsi="Arial" w:cs="Arial"/>
          <w:b/>
          <w:bCs/>
          <w:color w:val="000000"/>
          <w:sz w:val="21"/>
          <w:szCs w:val="21"/>
          <w:lang w:eastAsia="es-ES_tradnl"/>
        </w:rPr>
        <w:t xml:space="preserve">– Aplicación </w:t>
      </w:r>
      <w:r w:rsidRPr="007A49CB">
        <w:rPr>
          <w:rFonts w:ascii="Arial" w:eastAsia="Calibri" w:hAnsi="Arial" w:cs="Arial"/>
          <w:b/>
          <w:color w:val="000000"/>
          <w:sz w:val="21"/>
          <w:lang w:val="es-ES_tradnl" w:eastAsia="es-ES_tradnl"/>
        </w:rPr>
        <w:t xml:space="preserve">  </w:t>
      </w:r>
    </w:p>
    <w:p w14:paraId="7F6ED381" w14:textId="77777777" w:rsidR="00822467" w:rsidRPr="007A49CB" w:rsidRDefault="00822467" w:rsidP="00822467">
      <w:pPr>
        <w:tabs>
          <w:tab w:val="left" w:pos="6551"/>
        </w:tabs>
        <w:spacing w:after="0" w:line="276" w:lineRule="auto"/>
        <w:jc w:val="both"/>
        <w:rPr>
          <w:rFonts w:ascii="Arial" w:eastAsia="Times New Roman" w:hAnsi="Arial" w:cs="Arial"/>
          <w:noProof/>
          <w:color w:val="000000"/>
          <w:sz w:val="21"/>
          <w:lang w:val="es-ES_tradnl" w:eastAsia="es-ES_tradnl"/>
        </w:rPr>
      </w:pPr>
    </w:p>
    <w:p w14:paraId="59B4F672"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eastAsia="es-ES_tradnl"/>
        </w:rPr>
      </w:pPr>
      <w:r w:rsidRPr="007A49CB">
        <w:rPr>
          <w:rFonts w:ascii="Arial" w:eastAsia="Calibri" w:hAnsi="Arial" w:cs="Arial"/>
          <w:bCs/>
          <w:color w:val="000000"/>
          <w:sz w:val="18"/>
          <w:szCs w:val="18"/>
          <w:lang w:val="es-ES_tradnl" w:eastAsia="es-ES_tradnl"/>
        </w:rPr>
        <w:t xml:space="preserve">El artículo 5 del Decreto 1860 de 2021 modificó </w:t>
      </w:r>
      <w:r w:rsidRPr="007A49CB">
        <w:rPr>
          <w:rFonts w:ascii="Arial" w:eastAsia="Calibri" w:hAnsi="Arial" w:cs="Arial"/>
          <w:bCs/>
          <w:color w:val="000000"/>
          <w:sz w:val="18"/>
          <w:szCs w:val="18"/>
          <w:lang w:eastAsia="es-ES_tradnl"/>
        </w:rPr>
        <w:t>los artículos 2.2.1.2.4.2.2., 2.2.1.2.4.2.3. y 2.2.1.2.4.2.4. de la Subsección 2 de la Sección 4 del Capítulo 2 del Título 1 de la Parte 2 del Libro 2 del Decreto 1082 de 2015, reglamentando</w:t>
      </w:r>
      <w:r w:rsidRPr="007A49CB">
        <w:rPr>
          <w:rFonts w:ascii="Arial" w:eastAsia="Calibri" w:hAnsi="Arial" w:cs="Arial"/>
          <w:bCs/>
          <w:color w:val="000000"/>
          <w:sz w:val="18"/>
          <w:szCs w:val="18"/>
          <w:lang w:val="es-ES_tradnl" w:eastAsia="es-ES_tradnl"/>
        </w:rPr>
        <w:t xml:space="preserve"> las convocatorias limitadas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con fundamento en lo establecido en el artículo 34 de la Ley 2069 de 2020. Esta nueva Subsección 2 contempla los siguientes aspectos: i) requisitos para limitar la convocatoria de los </w:t>
      </w:r>
      <w:r w:rsidRPr="007A49CB">
        <w:rPr>
          <w:rFonts w:ascii="Arial" w:eastAsia="Calibri" w:hAnsi="Arial" w:cs="Arial"/>
          <w:bCs/>
          <w:color w:val="000000"/>
          <w:sz w:val="18"/>
          <w:szCs w:val="18"/>
          <w:lang w:eastAsia="es-ES_tradnl"/>
        </w:rPr>
        <w:t>procesos de contratación con pluralidad de oferentes</w:t>
      </w:r>
      <w:r w:rsidRPr="007A49CB">
        <w:rPr>
          <w:rFonts w:ascii="Arial" w:eastAsia="Calibri" w:hAnsi="Arial" w:cs="Arial"/>
          <w:bCs/>
          <w:color w:val="000000"/>
          <w:sz w:val="18"/>
          <w:szCs w:val="18"/>
          <w:lang w:val="es-ES_tradnl" w:eastAsia="es-ES_tradnl"/>
        </w:rPr>
        <w:t xml:space="preserve"> a las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colombianas con mínimo un (1) año de existencia – artículo </w:t>
      </w:r>
      <w:r w:rsidRPr="007A49CB">
        <w:rPr>
          <w:rFonts w:ascii="Arial" w:eastAsia="Calibri" w:hAnsi="Arial" w:cs="Arial"/>
          <w:bCs/>
          <w:color w:val="000000"/>
          <w:sz w:val="18"/>
          <w:szCs w:val="18"/>
          <w:lang w:eastAsia="es-ES_tradnl"/>
        </w:rPr>
        <w:t>2.2.1.2.4.2.2-</w:t>
      </w:r>
      <w:r w:rsidRPr="007A49CB">
        <w:rPr>
          <w:rFonts w:ascii="Arial" w:eastAsia="Calibri" w:hAnsi="Arial" w:cs="Arial"/>
          <w:bCs/>
          <w:color w:val="000000"/>
          <w:sz w:val="18"/>
          <w:szCs w:val="18"/>
          <w:lang w:val="es-ES_tradnl" w:eastAsia="es-ES_tradnl"/>
        </w:rPr>
        <w:t xml:space="preserve"> , </w:t>
      </w:r>
      <w:proofErr w:type="spellStart"/>
      <w:r w:rsidRPr="007A49CB">
        <w:rPr>
          <w:rFonts w:ascii="Arial" w:eastAsia="Calibri" w:hAnsi="Arial" w:cs="Arial"/>
          <w:bCs/>
          <w:color w:val="000000"/>
          <w:sz w:val="18"/>
          <w:szCs w:val="18"/>
          <w:lang w:val="es-ES_tradnl" w:eastAsia="es-ES_tradnl"/>
        </w:rPr>
        <w:t>ii</w:t>
      </w:r>
      <w:proofErr w:type="spellEnd"/>
      <w:r w:rsidRPr="007A49CB">
        <w:rPr>
          <w:rFonts w:ascii="Arial" w:eastAsia="Calibri" w:hAnsi="Arial" w:cs="Arial"/>
          <w:bCs/>
          <w:color w:val="000000"/>
          <w:sz w:val="18"/>
          <w:szCs w:val="18"/>
          <w:lang w:val="es-ES_tradnl" w:eastAsia="es-ES_tradnl"/>
        </w:rPr>
        <w:t xml:space="preserve">) desarrolla las </w:t>
      </w:r>
      <w:r w:rsidRPr="007A49CB">
        <w:rPr>
          <w:rFonts w:ascii="Arial" w:eastAsia="Calibri" w:hAnsi="Arial" w:cs="Arial"/>
          <w:bCs/>
          <w:color w:val="000000"/>
          <w:sz w:val="18"/>
          <w:szCs w:val="18"/>
          <w:lang w:eastAsia="es-ES_tradnl"/>
        </w:rPr>
        <w:t xml:space="preserve">convocatorias limitadas a </w:t>
      </w:r>
      <w:proofErr w:type="spellStart"/>
      <w:r w:rsidRPr="007A49CB">
        <w:rPr>
          <w:rFonts w:ascii="Arial" w:eastAsia="Calibri" w:hAnsi="Arial" w:cs="Arial"/>
          <w:bCs/>
          <w:color w:val="000000"/>
          <w:sz w:val="18"/>
          <w:szCs w:val="18"/>
          <w:lang w:eastAsia="es-ES_tradnl"/>
        </w:rPr>
        <w:t>Mipyme</w:t>
      </w:r>
      <w:proofErr w:type="spellEnd"/>
      <w:r w:rsidRPr="007A49CB">
        <w:rPr>
          <w:rFonts w:ascii="Arial" w:eastAsia="Calibri" w:hAnsi="Arial" w:cs="Arial"/>
          <w:bCs/>
          <w:color w:val="000000"/>
          <w:sz w:val="18"/>
          <w:szCs w:val="18"/>
          <w:lang w:eastAsia="es-ES_tradnl"/>
        </w:rPr>
        <w:t xml:space="preserve"> colombianas que tengan domicilio en los departamentos o municipios en donde se va a ejecutar el contrato – artículo 2.2.1.2.4.2.3.,</w:t>
      </w:r>
      <w:r w:rsidRPr="007A49CB">
        <w:rPr>
          <w:rFonts w:ascii="Arial" w:eastAsia="Calibri" w:hAnsi="Arial" w:cs="Arial"/>
          <w:bCs/>
          <w:color w:val="000000"/>
          <w:sz w:val="18"/>
          <w:szCs w:val="18"/>
          <w:lang w:val="es-ES_tradnl" w:eastAsia="es-ES_tradnl"/>
        </w:rPr>
        <w:t xml:space="preserve"> y </w:t>
      </w:r>
      <w:proofErr w:type="spellStart"/>
      <w:r w:rsidRPr="007A49CB">
        <w:rPr>
          <w:rFonts w:ascii="Arial" w:eastAsia="Calibri" w:hAnsi="Arial" w:cs="Arial"/>
          <w:bCs/>
          <w:color w:val="000000"/>
          <w:sz w:val="18"/>
          <w:szCs w:val="18"/>
          <w:lang w:val="es-ES_tradnl" w:eastAsia="es-ES_tradnl"/>
        </w:rPr>
        <w:t>iii</w:t>
      </w:r>
      <w:proofErr w:type="spellEnd"/>
      <w:r w:rsidRPr="007A49CB">
        <w:rPr>
          <w:rFonts w:ascii="Arial" w:eastAsia="Calibri" w:hAnsi="Arial" w:cs="Arial"/>
          <w:bCs/>
          <w:color w:val="000000"/>
          <w:sz w:val="18"/>
          <w:szCs w:val="18"/>
          <w:lang w:val="es-ES_tradnl" w:eastAsia="es-ES_tradnl"/>
        </w:rPr>
        <w:t xml:space="preserve">) </w:t>
      </w:r>
      <w:r w:rsidRPr="007A49CB">
        <w:rPr>
          <w:rFonts w:ascii="Arial" w:eastAsia="Calibri" w:hAnsi="Arial" w:cs="Arial"/>
          <w:bCs/>
          <w:color w:val="000000"/>
          <w:sz w:val="18"/>
          <w:szCs w:val="18"/>
          <w:lang w:eastAsia="es-ES_tradnl"/>
        </w:rPr>
        <w:t xml:space="preserve">regula la acreditación de requisitos para participar en convocatorias limitadas – artículo 2.2.1.2.4.2.4-. </w:t>
      </w:r>
      <w:r w:rsidRPr="007A49CB">
        <w:rPr>
          <w:rFonts w:ascii="Arial" w:eastAsia="Calibri" w:hAnsi="Arial" w:cs="Arial"/>
          <w:bCs/>
          <w:color w:val="000000"/>
          <w:sz w:val="18"/>
          <w:szCs w:val="18"/>
          <w:lang w:val="es-ES_tradnl" w:eastAsia="es-ES_tradnl"/>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disposición que entró a regir desde el pasado 24 de marzo de 2022, pues, como se indicó, el artículo 8 de dicho decreto sometió su vigencia al transcurso del periodo de 3 meses siguientes a su expedición.</w:t>
      </w:r>
    </w:p>
    <w:p w14:paraId="0E5F538D" w14:textId="77777777" w:rsidR="00822467" w:rsidRPr="007A49CB" w:rsidRDefault="00822467" w:rsidP="00822467">
      <w:pPr>
        <w:tabs>
          <w:tab w:val="left" w:pos="6551"/>
        </w:tabs>
        <w:spacing w:after="0" w:line="240" w:lineRule="auto"/>
        <w:jc w:val="both"/>
        <w:rPr>
          <w:rFonts w:ascii="Arial" w:eastAsia="Calibri" w:hAnsi="Arial" w:cs="Arial"/>
          <w:b/>
          <w:color w:val="000000"/>
          <w:sz w:val="21"/>
          <w:lang w:val="es-ES_tradnl" w:eastAsia="es-ES_tradnl"/>
        </w:rPr>
      </w:pPr>
    </w:p>
    <w:p w14:paraId="7A14FD6B" w14:textId="77777777" w:rsidR="00822467" w:rsidRPr="007A49CB" w:rsidRDefault="00822467" w:rsidP="00822467">
      <w:pPr>
        <w:tabs>
          <w:tab w:val="left" w:pos="6551"/>
        </w:tabs>
        <w:spacing w:after="0" w:line="240" w:lineRule="auto"/>
        <w:jc w:val="both"/>
        <w:rPr>
          <w:rFonts w:ascii="Arial" w:eastAsia="Calibri" w:hAnsi="Arial" w:cs="Arial"/>
          <w:b/>
          <w:color w:val="000000"/>
          <w:sz w:val="21"/>
          <w:lang w:val="es-ES_tradnl" w:eastAsia="es-ES_tradnl"/>
        </w:rPr>
      </w:pPr>
      <w:r w:rsidRPr="007A49CB">
        <w:rPr>
          <w:rFonts w:ascii="Arial" w:eastAsia="Calibri" w:hAnsi="Arial" w:cs="Arial"/>
          <w:b/>
          <w:color w:val="000000"/>
          <w:sz w:val="21"/>
          <w:lang w:val="es-ES_tradnl" w:eastAsia="es-ES_tradnl"/>
        </w:rPr>
        <w:t xml:space="preserve">CONVOCATORIAS LIMITADAS A MIPYME </w:t>
      </w:r>
      <w:r w:rsidRPr="007A49CB">
        <w:rPr>
          <w:rFonts w:ascii="Arial" w:eastAsia="Times New Roman" w:hAnsi="Arial" w:cs="Arial"/>
          <w:b/>
          <w:bCs/>
          <w:color w:val="000000"/>
          <w:sz w:val="21"/>
          <w:szCs w:val="21"/>
          <w:lang w:eastAsia="es-ES_tradnl"/>
        </w:rPr>
        <w:t xml:space="preserve">– Limitación territorial – </w:t>
      </w:r>
      <w:r w:rsidRPr="007A49CB">
        <w:rPr>
          <w:rFonts w:ascii="Arial" w:eastAsia="Calibri" w:hAnsi="Arial" w:cs="Arial"/>
          <w:b/>
          <w:color w:val="000000"/>
          <w:sz w:val="21"/>
          <w:lang w:val="es-ES_tradnl" w:eastAsia="es-ES_tradnl"/>
        </w:rPr>
        <w:t xml:space="preserve">Facultativa </w:t>
      </w:r>
      <w:r w:rsidRPr="007A49CB">
        <w:rPr>
          <w:rFonts w:ascii="Arial" w:eastAsia="Times New Roman" w:hAnsi="Arial" w:cs="Arial"/>
          <w:b/>
          <w:bCs/>
          <w:color w:val="000000"/>
          <w:sz w:val="21"/>
          <w:szCs w:val="21"/>
          <w:lang w:eastAsia="es-ES_tradnl"/>
        </w:rPr>
        <w:t>–</w:t>
      </w:r>
      <w:r w:rsidRPr="007A49CB">
        <w:rPr>
          <w:rFonts w:ascii="Arial" w:eastAsia="Calibri" w:hAnsi="Arial" w:cs="Arial"/>
          <w:b/>
          <w:color w:val="000000"/>
          <w:sz w:val="21"/>
          <w:lang w:val="es-ES_tradnl" w:eastAsia="es-ES_tradnl"/>
        </w:rPr>
        <w:t xml:space="preserve"> Requisitos</w:t>
      </w:r>
    </w:p>
    <w:p w14:paraId="124AF0BA"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6001D6FA"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t xml:space="preserve">Sin perjuicio de lo anterior, no puede perderse de vista que la decisión de limitar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no puede motu proprio proceder con la «limitación territorial» de que trata el artículo 2.2.1.2.4.2.3. del Decreto 1082 de 2015. Esto debido a que el ejercicio de esta facultad solo puede darse ante la «limitación a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colombianas», lo cual supone verificar los supuestos legales establecidos en los mencionados numerales.</w:t>
      </w:r>
    </w:p>
    <w:p w14:paraId="41A112A1"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p>
    <w:p w14:paraId="5B549436"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t>[…]</w:t>
      </w:r>
    </w:p>
    <w:p w14:paraId="56C6C0C5"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t xml:space="preserve">En tal sentido, debe tenerse presente que lo que sucede de pleno derecho es la limitación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colombianas a la que se refiere el artículo 2.2.1.2.4.2.2. del Decreto 1082 de 2015, pero no la «limitación territorial» referida en el artículo 2.2.1.2.4.2.3. </w:t>
      </w:r>
      <w:proofErr w:type="spellStart"/>
      <w:r w:rsidRPr="007A49CB">
        <w:rPr>
          <w:rFonts w:ascii="Arial" w:eastAsia="Calibri" w:hAnsi="Arial" w:cs="Arial"/>
          <w:bCs/>
          <w:color w:val="000000"/>
          <w:sz w:val="18"/>
          <w:szCs w:val="18"/>
          <w:lang w:val="es-ES_tradnl" w:eastAsia="es-ES_tradnl"/>
        </w:rPr>
        <w:t>ibídem</w:t>
      </w:r>
      <w:proofErr w:type="spellEnd"/>
      <w:r w:rsidRPr="007A49CB">
        <w:rPr>
          <w:rFonts w:ascii="Arial" w:eastAsia="Calibri" w:hAnsi="Arial" w:cs="Arial"/>
          <w:bCs/>
          <w:color w:val="000000"/>
          <w:sz w:val="18"/>
          <w:szCs w:val="18"/>
          <w:lang w:val="es-ES_tradnl" w:eastAsia="es-ES_tradnl"/>
        </w:rPr>
        <w:t xml:space="preserve">, pues esta, como ya se dijo, es facultativa para la entidad. Las únicas exigencias son que la convocatoria esté limitada a las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colombianas «domiciliadas en los departamentos o municipios en donde se va a ejecutar el contrato» y que la entidad justifique su decisión en los «estudios del sector». No es procedente, entonces, que sean las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las que soliciten la «limitación territorial» a la que se refiere el artículo 2.2.1.2.4.2.3. del Decreto 1082 de 2015. </w:t>
      </w:r>
    </w:p>
    <w:p w14:paraId="21DE27A6"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t xml:space="preserve">De esta manera, debe reiterarse que el origen de las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que solicitan la «limitación territorial» no es relevante frente a dicha decisión, por dos razones: primero, porque las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xml:space="preserve"> no están habilitadas para pedir la «limitación territorial», lo están para pedir la «convocatoria limitada a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y, segundo, porque el único criterio a tener en cuenta, una vez se ha decidido justificadamente limitar territorialmente la convocatoria previamente limitada a </w:t>
      </w:r>
      <w:proofErr w:type="spellStart"/>
      <w:r w:rsidRPr="007A49CB">
        <w:rPr>
          <w:rFonts w:ascii="Arial" w:eastAsia="Calibri" w:hAnsi="Arial" w:cs="Arial"/>
          <w:bCs/>
          <w:color w:val="000000"/>
          <w:sz w:val="18"/>
          <w:szCs w:val="18"/>
          <w:lang w:val="es-ES_tradnl" w:eastAsia="es-ES_tradnl"/>
        </w:rPr>
        <w:t>Mipyme</w:t>
      </w:r>
      <w:proofErr w:type="spellEnd"/>
      <w:r w:rsidRPr="007A49CB">
        <w:rPr>
          <w:rFonts w:ascii="Arial" w:eastAsia="Calibri" w:hAnsi="Arial" w:cs="Arial"/>
          <w:bCs/>
          <w:color w:val="000000"/>
          <w:sz w:val="18"/>
          <w:szCs w:val="18"/>
          <w:lang w:val="es-ES_tradnl" w:eastAsia="es-ES_tradnl"/>
        </w:rPr>
        <w:t>, es el lugar donde se va a ejecutar el contrato.</w:t>
      </w:r>
    </w:p>
    <w:p w14:paraId="62A3DC3A"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p>
    <w:p w14:paraId="43447D81" w14:textId="77777777" w:rsidR="00822467" w:rsidRPr="007A49CB" w:rsidRDefault="00822467" w:rsidP="00822467">
      <w:pPr>
        <w:tabs>
          <w:tab w:val="left" w:pos="6551"/>
        </w:tabs>
        <w:spacing w:after="0" w:line="240" w:lineRule="auto"/>
        <w:jc w:val="both"/>
        <w:rPr>
          <w:rFonts w:ascii="Arial" w:eastAsia="Calibri" w:hAnsi="Arial" w:cs="Arial"/>
          <w:b/>
          <w:color w:val="000000"/>
          <w:sz w:val="21"/>
          <w:lang w:val="es-ES_tradnl" w:eastAsia="es-ES_tradnl"/>
        </w:rPr>
      </w:pPr>
      <w:r w:rsidRPr="007A49CB">
        <w:rPr>
          <w:rFonts w:ascii="Arial" w:eastAsia="Calibri" w:hAnsi="Arial" w:cs="Arial"/>
          <w:b/>
          <w:color w:val="000000"/>
          <w:sz w:val="21"/>
          <w:lang w:val="es-ES_tradnl" w:eastAsia="es-ES_tradnl"/>
        </w:rPr>
        <w:t xml:space="preserve">CONVOCATORIAS LIMITADAS A MIPYME </w:t>
      </w:r>
      <w:r w:rsidRPr="007A49CB">
        <w:rPr>
          <w:rFonts w:ascii="Arial" w:eastAsia="Times New Roman" w:hAnsi="Arial" w:cs="Arial"/>
          <w:b/>
          <w:bCs/>
          <w:color w:val="000000"/>
          <w:sz w:val="21"/>
          <w:szCs w:val="21"/>
          <w:lang w:eastAsia="es-ES_tradnl"/>
        </w:rPr>
        <w:t xml:space="preserve">– Limitación territorial – </w:t>
      </w:r>
      <w:r w:rsidRPr="007A49CB">
        <w:rPr>
          <w:rFonts w:ascii="Arial" w:eastAsia="Calibri" w:hAnsi="Arial" w:cs="Arial"/>
          <w:b/>
          <w:color w:val="000000"/>
          <w:sz w:val="21"/>
          <w:lang w:val="es-ES_tradnl" w:eastAsia="es-ES_tradnl"/>
        </w:rPr>
        <w:t>Alcance – Domicilio – Ámbito territorial – Objeto contractual</w:t>
      </w:r>
    </w:p>
    <w:p w14:paraId="358F8EF0"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p>
    <w:p w14:paraId="5F6B5531"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p>
    <w:p w14:paraId="33B027FF"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t xml:space="preserve">En todo caso, la facultad de limitar convocatorias territorialmente en favor de las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con domicilio en un municipio en un departamento específico debe ejercerse por las entidades estatales dentro del marco de lo regulado por el artículo 2.2.1.2.4.2.3 </w:t>
      </w:r>
      <w:proofErr w:type="spellStart"/>
      <w:r w:rsidRPr="007A49CB">
        <w:rPr>
          <w:rFonts w:ascii="Arial" w:eastAsia="Calibri" w:hAnsi="Arial" w:cs="Arial"/>
          <w:bCs/>
          <w:color w:val="000000"/>
          <w:sz w:val="18"/>
          <w:szCs w:val="18"/>
          <w:lang w:val="es-ES_tradnl" w:eastAsia="es-ES_tradnl"/>
        </w:rPr>
        <w:t>ejusdem</w:t>
      </w:r>
      <w:proofErr w:type="spellEnd"/>
      <w:r w:rsidRPr="007A49CB">
        <w:rPr>
          <w:rFonts w:ascii="Arial" w:eastAsia="Calibri" w:hAnsi="Arial" w:cs="Arial"/>
          <w:bCs/>
          <w:color w:val="000000"/>
          <w:sz w:val="18"/>
          <w:szCs w:val="18"/>
          <w:lang w:val="es-ES_tradnl" w:eastAsia="es-ES_tradnl"/>
        </w:rPr>
        <w:t xml:space="preserve">, el cual establece como presupuesto para que las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tengan su domicilio en el lugar en donde se va a ejecutar el contrato. En ese sentido, en el marco de estas convocatorias, la exigibilidad de que el domicilio de las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se ubique en un único municipio en particular o en alguno de los municipios que conforman un departamento en concreto, depende del ámbito territorial en el que se va a desarrollar el objeto contractual. </w:t>
      </w:r>
    </w:p>
    <w:p w14:paraId="07FB2A65"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r w:rsidRPr="007A49CB">
        <w:rPr>
          <w:rFonts w:ascii="Arial" w:eastAsia="Calibri" w:hAnsi="Arial" w:cs="Arial"/>
          <w:bCs/>
          <w:color w:val="000000"/>
          <w:sz w:val="18"/>
          <w:szCs w:val="18"/>
          <w:lang w:val="es-ES_tradnl" w:eastAsia="es-ES_tradnl"/>
        </w:rPr>
        <w:lastRenderedPageBreak/>
        <w:t xml:space="preserve">Conforme a lo anterior, sí un contrato se va a ejecutar en un único municipio, las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w:t>
      </w:r>
      <w:proofErr w:type="spellStart"/>
      <w:r w:rsidRPr="007A49CB">
        <w:rPr>
          <w:rFonts w:ascii="Arial" w:eastAsia="Calibri" w:hAnsi="Arial" w:cs="Arial"/>
          <w:bCs/>
          <w:color w:val="000000"/>
          <w:sz w:val="18"/>
          <w:szCs w:val="18"/>
          <w:lang w:val="es-ES_tradnl" w:eastAsia="es-ES_tradnl"/>
        </w:rPr>
        <w:t>Mipymes</w:t>
      </w:r>
      <w:proofErr w:type="spellEnd"/>
      <w:r w:rsidRPr="007A49CB">
        <w:rPr>
          <w:rFonts w:ascii="Arial" w:eastAsia="Calibri" w:hAnsi="Arial" w:cs="Arial"/>
          <w:bCs/>
          <w:color w:val="000000"/>
          <w:sz w:val="18"/>
          <w:szCs w:val="18"/>
          <w:lang w:val="es-ES_tradnl" w:eastAsia="es-ES_tradnl"/>
        </w:rPr>
        <w:t xml:space="preserve"> cuyos domicilios se encuentren establecidos en alguno de los municipios que conforman el departamento en el que se va a ejecutar el contrato.   </w:t>
      </w:r>
    </w:p>
    <w:p w14:paraId="4996267A" w14:textId="77777777" w:rsidR="00822467" w:rsidRPr="007A49CB" w:rsidRDefault="00822467" w:rsidP="00822467">
      <w:pPr>
        <w:tabs>
          <w:tab w:val="left" w:pos="6551"/>
        </w:tabs>
        <w:spacing w:after="0" w:line="240" w:lineRule="auto"/>
        <w:jc w:val="both"/>
        <w:rPr>
          <w:rFonts w:ascii="Arial" w:eastAsia="Calibri" w:hAnsi="Arial" w:cs="Arial"/>
          <w:bCs/>
          <w:color w:val="000000"/>
          <w:sz w:val="18"/>
          <w:szCs w:val="18"/>
          <w:lang w:val="es-ES_tradnl" w:eastAsia="es-ES_tradnl"/>
        </w:rPr>
      </w:pPr>
    </w:p>
    <w:p w14:paraId="204F0298"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122346C1"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6E5E232A"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2C780648"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1395D419"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75F671AF"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0A744608"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29AF5356" w14:textId="77777777" w:rsidR="00822467" w:rsidRPr="007A49CB" w:rsidRDefault="00822467" w:rsidP="00822467">
      <w:pPr>
        <w:spacing w:after="0" w:line="276" w:lineRule="auto"/>
        <w:jc w:val="both"/>
        <w:rPr>
          <w:rFonts w:ascii="Arial" w:eastAsia="Calibri" w:hAnsi="Arial" w:cs="Arial"/>
          <w:b/>
          <w:sz w:val="21"/>
          <w:lang w:val="es-ES_tradnl" w:eastAsia="es-ES_tradnl"/>
        </w:rPr>
      </w:pPr>
    </w:p>
    <w:p w14:paraId="461CC715" w14:textId="77777777" w:rsidR="00822467" w:rsidRPr="007A49CB" w:rsidRDefault="00822467" w:rsidP="00822467">
      <w:pPr>
        <w:spacing w:after="0" w:line="276" w:lineRule="auto"/>
        <w:jc w:val="right"/>
        <w:rPr>
          <w:rFonts w:ascii="Arial" w:eastAsia="Calibri" w:hAnsi="Arial" w:cs="Arial"/>
          <w:b/>
          <w:sz w:val="21"/>
          <w:lang w:val="es-ES_tradnl" w:eastAsia="es-ES_tradnl"/>
        </w:rPr>
      </w:pPr>
    </w:p>
    <w:p w14:paraId="590E5D59" w14:textId="77777777" w:rsidR="00822467" w:rsidRPr="007A49CB" w:rsidRDefault="00822467" w:rsidP="00822467">
      <w:pPr>
        <w:spacing w:after="0" w:line="276" w:lineRule="auto"/>
        <w:jc w:val="both"/>
        <w:rPr>
          <w:rFonts w:ascii="Arial" w:eastAsia="Calibri" w:hAnsi="Arial" w:cs="Arial"/>
          <w:b/>
          <w:sz w:val="21"/>
          <w:lang w:val="es-ES_tradnl" w:eastAsia="es-ES_tradnl"/>
        </w:rPr>
      </w:pPr>
    </w:p>
    <w:p w14:paraId="17200EAE" w14:textId="77777777" w:rsidR="00822467" w:rsidRPr="007A49CB" w:rsidRDefault="00822467" w:rsidP="00822467">
      <w:pPr>
        <w:spacing w:after="200" w:line="276" w:lineRule="auto"/>
        <w:rPr>
          <w:rFonts w:ascii="Arial" w:eastAsia="Times New Roman" w:hAnsi="Arial" w:cs="Arial"/>
          <w:sz w:val="21"/>
          <w:lang w:eastAsia="es-ES_tradnl"/>
        </w:rPr>
      </w:pPr>
      <w:r w:rsidRPr="007A49CB">
        <w:rPr>
          <w:rFonts w:ascii="Arial" w:eastAsia="Times New Roman" w:hAnsi="Arial" w:cs="Arial"/>
          <w:sz w:val="21"/>
          <w:lang w:eastAsia="es-ES_tradnl"/>
        </w:rPr>
        <w:br w:type="page"/>
      </w:r>
    </w:p>
    <w:p w14:paraId="7D7A9F3C" w14:textId="77777777" w:rsidR="0061598A" w:rsidRDefault="0061598A" w:rsidP="00822467">
      <w:pPr>
        <w:spacing w:after="0" w:line="240" w:lineRule="auto"/>
        <w:jc w:val="both"/>
        <w:rPr>
          <w:rFonts w:ascii="Arial" w:eastAsia="Times New Roman" w:hAnsi="Arial" w:cs="Arial"/>
          <w:bCs/>
          <w:color w:val="000000"/>
          <w:sz w:val="21"/>
          <w:lang w:eastAsia="es-ES_tradnl"/>
        </w:rPr>
      </w:pPr>
    </w:p>
    <w:p w14:paraId="6142E75F" w14:textId="72236119" w:rsidR="0061598A" w:rsidRDefault="0061598A" w:rsidP="0061598A">
      <w:pPr>
        <w:spacing w:after="0" w:line="240" w:lineRule="auto"/>
        <w:jc w:val="right"/>
        <w:rPr>
          <w:rFonts w:ascii="Arial" w:eastAsia="Times New Roman" w:hAnsi="Arial" w:cs="Arial"/>
          <w:bCs/>
          <w:color w:val="000000"/>
          <w:sz w:val="21"/>
          <w:lang w:eastAsia="es-ES_tradnl"/>
        </w:rPr>
      </w:pPr>
      <w:r>
        <w:rPr>
          <w:noProof/>
        </w:rPr>
        <w:drawing>
          <wp:inline distT="0" distB="0" distL="0" distR="0" wp14:anchorId="5250E73B" wp14:editId="0DD13C99">
            <wp:extent cx="2520199" cy="894118"/>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520199" cy="894118"/>
                    </a:xfrm>
                    <a:prstGeom prst="rect">
                      <a:avLst/>
                    </a:prstGeom>
                  </pic:spPr>
                </pic:pic>
              </a:graphicData>
            </a:graphic>
          </wp:inline>
        </w:drawing>
      </w:r>
    </w:p>
    <w:p w14:paraId="173029E0" w14:textId="77777777" w:rsidR="0061598A" w:rsidRDefault="0061598A" w:rsidP="00822467">
      <w:pPr>
        <w:spacing w:after="0" w:line="240" w:lineRule="auto"/>
        <w:jc w:val="both"/>
        <w:rPr>
          <w:rFonts w:ascii="Arial" w:eastAsia="Times New Roman" w:hAnsi="Arial" w:cs="Arial"/>
          <w:bCs/>
          <w:color w:val="000000"/>
          <w:sz w:val="21"/>
          <w:lang w:eastAsia="es-ES_tradnl"/>
        </w:rPr>
      </w:pPr>
    </w:p>
    <w:p w14:paraId="341DB6E0" w14:textId="77777777" w:rsidR="0061598A" w:rsidRDefault="0061598A" w:rsidP="00822467">
      <w:pPr>
        <w:spacing w:after="0" w:line="240" w:lineRule="auto"/>
        <w:jc w:val="both"/>
        <w:rPr>
          <w:rFonts w:ascii="Arial" w:eastAsia="Times New Roman" w:hAnsi="Arial" w:cs="Arial"/>
          <w:bCs/>
          <w:color w:val="000000"/>
          <w:sz w:val="21"/>
          <w:lang w:eastAsia="es-ES_tradnl"/>
        </w:rPr>
      </w:pPr>
    </w:p>
    <w:p w14:paraId="02B3FE19" w14:textId="77777777" w:rsidR="0061598A" w:rsidRDefault="0061598A" w:rsidP="00822467">
      <w:pPr>
        <w:spacing w:after="0" w:line="240" w:lineRule="auto"/>
        <w:jc w:val="both"/>
        <w:rPr>
          <w:rFonts w:ascii="Arial" w:eastAsia="Times New Roman" w:hAnsi="Arial" w:cs="Arial"/>
          <w:bCs/>
          <w:color w:val="000000"/>
          <w:sz w:val="21"/>
          <w:lang w:eastAsia="es-ES_tradnl"/>
        </w:rPr>
      </w:pPr>
    </w:p>
    <w:p w14:paraId="7DA9630A" w14:textId="7537FD12" w:rsidR="00822467" w:rsidRPr="007A49CB" w:rsidRDefault="00822467" w:rsidP="3BBE8F51">
      <w:pPr>
        <w:spacing w:after="0" w:line="240" w:lineRule="auto"/>
        <w:jc w:val="both"/>
        <w:rPr>
          <w:rFonts w:ascii="Arial" w:eastAsia="Times New Roman" w:hAnsi="Arial" w:cs="Arial"/>
          <w:color w:val="000000"/>
          <w:sz w:val="21"/>
          <w:szCs w:val="21"/>
          <w:lang w:eastAsia="es-ES"/>
        </w:rPr>
      </w:pPr>
      <w:r w:rsidRPr="3BBE8F51">
        <w:rPr>
          <w:rFonts w:ascii="Arial" w:eastAsia="Times New Roman" w:hAnsi="Arial" w:cs="Arial"/>
          <w:color w:val="000000" w:themeColor="text1"/>
          <w:sz w:val="21"/>
          <w:szCs w:val="21"/>
          <w:lang w:eastAsia="es-ES"/>
        </w:rPr>
        <w:t xml:space="preserve">Bogotá D.C., </w:t>
      </w:r>
      <w:r w:rsidR="480A0900" w:rsidRPr="3BBE8F51">
        <w:rPr>
          <w:rFonts w:ascii="Arial" w:eastAsia="Times New Roman" w:hAnsi="Arial" w:cs="Arial"/>
          <w:color w:val="000000" w:themeColor="text1"/>
          <w:sz w:val="21"/>
          <w:szCs w:val="21"/>
          <w:lang w:eastAsia="es-ES"/>
        </w:rPr>
        <w:t>26 de diciembre del 2022</w:t>
      </w:r>
    </w:p>
    <w:p w14:paraId="664963A7" w14:textId="77777777" w:rsidR="00822467" w:rsidRPr="007A49CB" w:rsidRDefault="00822467" w:rsidP="00822467">
      <w:pPr>
        <w:spacing w:after="0" w:line="240" w:lineRule="auto"/>
        <w:jc w:val="both"/>
        <w:rPr>
          <w:rFonts w:ascii="Arial" w:eastAsia="Times New Roman" w:hAnsi="Arial" w:cs="Arial"/>
          <w:b/>
          <w:color w:val="000000"/>
          <w:sz w:val="21"/>
          <w:lang w:eastAsia="es-ES_tradnl"/>
        </w:rPr>
      </w:pPr>
    </w:p>
    <w:p w14:paraId="2880E299" w14:textId="77777777" w:rsidR="00822467" w:rsidRPr="007A49CB" w:rsidRDefault="00822467" w:rsidP="00822467">
      <w:pPr>
        <w:spacing w:after="0" w:line="240" w:lineRule="auto"/>
        <w:jc w:val="both"/>
        <w:rPr>
          <w:rFonts w:ascii="Arial" w:eastAsia="Times New Roman" w:hAnsi="Arial" w:cs="Arial"/>
          <w:b/>
          <w:color w:val="000000"/>
          <w:sz w:val="21"/>
          <w:lang w:eastAsia="es-ES_tradnl"/>
        </w:rPr>
      </w:pPr>
    </w:p>
    <w:p w14:paraId="7381D4C1" w14:textId="77777777" w:rsidR="00822467" w:rsidRPr="007A49CB" w:rsidRDefault="00822467" w:rsidP="00822467">
      <w:pPr>
        <w:spacing w:after="0" w:line="240" w:lineRule="auto"/>
        <w:jc w:val="both"/>
        <w:rPr>
          <w:rFonts w:ascii="Arial" w:eastAsia="Times New Roman" w:hAnsi="Arial" w:cs="Arial"/>
          <w:b/>
          <w:color w:val="000000"/>
          <w:sz w:val="21"/>
          <w:lang w:eastAsia="es-ES_tradnl"/>
        </w:rPr>
      </w:pPr>
    </w:p>
    <w:p w14:paraId="56CBF3C3" w14:textId="77777777" w:rsidR="00822467" w:rsidRPr="007A49CB" w:rsidRDefault="00822467" w:rsidP="00822467">
      <w:pPr>
        <w:spacing w:after="0" w:line="240" w:lineRule="auto"/>
        <w:jc w:val="both"/>
        <w:rPr>
          <w:rFonts w:ascii="Arial" w:eastAsia="Times New Roman" w:hAnsi="Arial" w:cs="Arial"/>
          <w:b/>
          <w:color w:val="000000"/>
          <w:sz w:val="21"/>
          <w:lang w:eastAsia="es-ES_tradnl"/>
        </w:rPr>
      </w:pPr>
    </w:p>
    <w:p w14:paraId="69535F39" w14:textId="77777777" w:rsidR="00822467" w:rsidRPr="007A49CB" w:rsidRDefault="00822467" w:rsidP="00822467">
      <w:pPr>
        <w:spacing w:after="0" w:line="240" w:lineRule="auto"/>
        <w:jc w:val="both"/>
        <w:rPr>
          <w:rFonts w:ascii="Arial" w:eastAsia="Calibri" w:hAnsi="Arial" w:cs="Arial"/>
          <w:color w:val="000000"/>
          <w:sz w:val="21"/>
          <w:lang w:eastAsia="es-ES_tradnl"/>
        </w:rPr>
      </w:pPr>
      <w:r w:rsidRPr="007A49CB">
        <w:rPr>
          <w:rFonts w:ascii="Arial" w:eastAsia="Calibri" w:hAnsi="Arial" w:cs="Arial"/>
          <w:color w:val="000000"/>
          <w:sz w:val="21"/>
          <w:lang w:eastAsia="es-ES_tradnl"/>
        </w:rPr>
        <w:t>Señor</w:t>
      </w:r>
    </w:p>
    <w:p w14:paraId="772E1B2A" w14:textId="77777777" w:rsidR="002A7501" w:rsidRDefault="00822467" w:rsidP="00822467">
      <w:pPr>
        <w:spacing w:after="0" w:line="240" w:lineRule="auto"/>
        <w:rPr>
          <w:rFonts w:ascii="Arial" w:eastAsia="Calibri" w:hAnsi="Arial" w:cs="Arial"/>
          <w:b/>
          <w:color w:val="000000"/>
          <w:sz w:val="21"/>
          <w:lang w:eastAsia="es-ES_tradnl"/>
        </w:rPr>
      </w:pPr>
      <w:r w:rsidRPr="007A49CB">
        <w:rPr>
          <w:rFonts w:ascii="Arial" w:eastAsia="Calibri" w:hAnsi="Arial" w:cs="Arial"/>
          <w:b/>
          <w:color w:val="000000"/>
          <w:sz w:val="21"/>
          <w:lang w:eastAsia="es-ES_tradnl"/>
        </w:rPr>
        <w:t>Oscar Arango Rojas</w:t>
      </w:r>
    </w:p>
    <w:p w14:paraId="3E78F050" w14:textId="12ECE773" w:rsidR="00822467" w:rsidRPr="007A49CB" w:rsidRDefault="002A7501" w:rsidP="00822467">
      <w:pPr>
        <w:spacing w:after="0" w:line="240" w:lineRule="auto"/>
        <w:rPr>
          <w:rFonts w:ascii="Arial" w:eastAsia="Calibri" w:hAnsi="Arial" w:cs="Arial"/>
          <w:b/>
          <w:bCs/>
          <w:color w:val="000000"/>
          <w:sz w:val="21"/>
          <w:szCs w:val="21"/>
          <w:lang w:eastAsia="es-ES_tradnl"/>
        </w:rPr>
      </w:pPr>
      <w:r>
        <w:rPr>
          <w:rFonts w:ascii="Arial" w:eastAsia="Calibri" w:hAnsi="Arial" w:cs="Arial"/>
          <w:b/>
          <w:color w:val="000000"/>
          <w:sz w:val="21"/>
          <w:lang w:eastAsia="es-ES_tradnl"/>
        </w:rPr>
        <w:t>Bogotá D. C</w:t>
      </w:r>
      <w:r w:rsidR="000D193B">
        <w:rPr>
          <w:rFonts w:ascii="Arial" w:eastAsia="Calibri" w:hAnsi="Arial" w:cs="Arial"/>
          <w:b/>
          <w:color w:val="000000"/>
          <w:sz w:val="21"/>
          <w:lang w:eastAsia="es-ES_tradnl"/>
        </w:rPr>
        <w:t>.</w:t>
      </w:r>
      <w:r w:rsidR="00822467" w:rsidRPr="007A49CB">
        <w:rPr>
          <w:rFonts w:ascii="Arial" w:eastAsia="Calibri" w:hAnsi="Arial" w:cs="Arial"/>
          <w:b/>
          <w:color w:val="000000"/>
          <w:sz w:val="21"/>
          <w:lang w:eastAsia="es-ES_tradnl"/>
        </w:rPr>
        <w:t xml:space="preserve"> </w:t>
      </w:r>
    </w:p>
    <w:p w14:paraId="40A80866" w14:textId="77777777" w:rsidR="00822467" w:rsidRPr="007A49CB" w:rsidRDefault="00822467" w:rsidP="00822467">
      <w:pPr>
        <w:spacing w:after="0" w:line="240" w:lineRule="auto"/>
        <w:rPr>
          <w:rFonts w:ascii="Arial" w:eastAsia="Calibri" w:hAnsi="Arial" w:cs="Arial"/>
          <w:bCs/>
          <w:sz w:val="21"/>
          <w:szCs w:val="21"/>
          <w:lang w:val="es-MX"/>
        </w:rPr>
      </w:pPr>
    </w:p>
    <w:p w14:paraId="09571B02" w14:textId="77777777" w:rsidR="00822467" w:rsidRPr="007A49CB" w:rsidRDefault="00822467" w:rsidP="00822467">
      <w:pPr>
        <w:spacing w:after="0" w:line="240" w:lineRule="auto"/>
        <w:rPr>
          <w:rFonts w:ascii="Arial" w:eastAsia="Calibri" w:hAnsi="Arial" w:cs="Arial"/>
          <w:bCs/>
          <w:sz w:val="21"/>
          <w:szCs w:val="21"/>
          <w:lang w:val="es-MX"/>
        </w:rPr>
      </w:pPr>
    </w:p>
    <w:p w14:paraId="6DB3C90E" w14:textId="77777777" w:rsidR="00822467" w:rsidRPr="007A49CB" w:rsidRDefault="00822467" w:rsidP="00822467">
      <w:pPr>
        <w:spacing w:after="0" w:line="240" w:lineRule="auto"/>
        <w:rPr>
          <w:rFonts w:ascii="Arial" w:eastAsia="Calibri" w:hAnsi="Arial" w:cs="Arial"/>
          <w:b/>
          <w:sz w:val="21"/>
          <w:szCs w:val="21"/>
          <w:lang w:val="es-MX"/>
        </w:rPr>
      </w:pPr>
      <w:r w:rsidRPr="007A49CB">
        <w:rPr>
          <w:rFonts w:ascii="Arial" w:eastAsia="Calibri" w:hAnsi="Arial" w:cs="Arial"/>
          <w:b/>
          <w:sz w:val="21"/>
          <w:szCs w:val="21"/>
          <w:lang w:val="es-MX"/>
        </w:rPr>
        <w:t xml:space="preserve">                                            Concepto C ‒ 884 de 2022</w:t>
      </w:r>
    </w:p>
    <w:p w14:paraId="25351A2B" w14:textId="77777777" w:rsidR="00822467" w:rsidRPr="007A49CB" w:rsidRDefault="00822467" w:rsidP="00822467">
      <w:pPr>
        <w:spacing w:after="0" w:line="240" w:lineRule="auto"/>
        <w:rPr>
          <w:rFonts w:ascii="Arial" w:eastAsia="Calibri" w:hAnsi="Arial" w:cs="Arial"/>
          <w:b/>
          <w:bCs/>
          <w:color w:val="000000"/>
          <w:sz w:val="21"/>
          <w:lang w:val="pt-BR"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822467" w:rsidRPr="007A49CB" w14:paraId="51939551" w14:textId="77777777" w:rsidTr="008C0B26">
        <w:tc>
          <w:tcPr>
            <w:tcW w:w="2689" w:type="dxa"/>
          </w:tcPr>
          <w:p w14:paraId="0139B5AC" w14:textId="77777777" w:rsidR="00822467" w:rsidRPr="007A49CB" w:rsidRDefault="00822467" w:rsidP="00822467">
            <w:pPr>
              <w:jc w:val="both"/>
              <w:rPr>
                <w:rFonts w:ascii="Arial" w:eastAsia="Calibri" w:hAnsi="Arial" w:cs="Arial"/>
                <w:color w:val="000000"/>
                <w:sz w:val="21"/>
                <w:lang w:val="es-ES_tradnl" w:eastAsia="es-ES_tradnl"/>
              </w:rPr>
            </w:pPr>
            <w:r w:rsidRPr="007A49CB">
              <w:rPr>
                <w:rFonts w:ascii="Arial" w:eastAsia="Calibri" w:hAnsi="Arial" w:cs="Arial"/>
                <w:b/>
                <w:color w:val="000000"/>
                <w:sz w:val="21"/>
                <w:lang w:val="es-ES_tradnl" w:eastAsia="es-ES_tradnl"/>
              </w:rPr>
              <w:t>Temas:</w:t>
            </w:r>
            <w:r w:rsidRPr="007A49CB">
              <w:rPr>
                <w:rFonts w:ascii="Arial" w:eastAsia="Calibri" w:hAnsi="Arial" w:cs="Arial"/>
                <w:color w:val="000000"/>
                <w:sz w:val="21"/>
                <w:lang w:val="es-ES_tradnl" w:eastAsia="es-ES_tradnl"/>
              </w:rPr>
              <w:t xml:space="preserve">                   </w:t>
            </w:r>
          </w:p>
        </w:tc>
        <w:tc>
          <w:tcPr>
            <w:tcW w:w="6237" w:type="dxa"/>
            <w:shd w:val="clear" w:color="auto" w:fill="auto"/>
          </w:tcPr>
          <w:p w14:paraId="1DFB36FE" w14:textId="77777777" w:rsidR="00822467" w:rsidRPr="007A49CB" w:rsidRDefault="00822467" w:rsidP="00822467">
            <w:pPr>
              <w:tabs>
                <w:tab w:val="left" w:pos="6551"/>
              </w:tabs>
              <w:jc w:val="both"/>
              <w:rPr>
                <w:rFonts w:ascii="Arial" w:eastAsia="Calibri" w:hAnsi="Arial" w:cs="Arial"/>
                <w:color w:val="000000"/>
                <w:sz w:val="21"/>
                <w:lang w:val="es-ES_tradnl" w:eastAsia="es-ES_tradnl"/>
              </w:rPr>
            </w:pPr>
            <w:r w:rsidRPr="007A49CB">
              <w:rPr>
                <w:rFonts w:ascii="Arial" w:eastAsia="Calibri" w:hAnsi="Arial" w:cs="Arial"/>
                <w:color w:val="000000"/>
                <w:sz w:val="21"/>
                <w:szCs w:val="21"/>
                <w:lang w:val="es-ES_tradnl"/>
              </w:rPr>
              <w:t xml:space="preserve">CONVOCATORIAS LIMITADAS A MIPYME – Aplicación / CONVOCATORIAS LIMITADAS A MIPYME – Limitación territorial – Facultativa – Requisitos / </w:t>
            </w:r>
            <w:r w:rsidRPr="007A49CB">
              <w:rPr>
                <w:rFonts w:ascii="Arial" w:eastAsia="Calibri" w:hAnsi="Arial" w:cs="Arial"/>
                <w:color w:val="000000"/>
                <w:sz w:val="21"/>
                <w:lang w:val="es-ES_tradnl" w:eastAsia="es-ES_tradnl"/>
              </w:rPr>
              <w:t xml:space="preserve">CONVOCATORIAS LIMITADAS A MIPYME </w:t>
            </w:r>
            <w:r w:rsidRPr="007A49CB">
              <w:rPr>
                <w:rFonts w:ascii="Arial" w:eastAsia="Times New Roman" w:hAnsi="Arial" w:cs="Arial"/>
                <w:color w:val="000000"/>
                <w:sz w:val="21"/>
                <w:szCs w:val="21"/>
                <w:lang w:eastAsia="es-ES_tradnl"/>
              </w:rPr>
              <w:t xml:space="preserve">– Limitación territorial – </w:t>
            </w:r>
            <w:r w:rsidRPr="007A49CB">
              <w:rPr>
                <w:rFonts w:ascii="Arial" w:eastAsia="Calibri" w:hAnsi="Arial" w:cs="Arial"/>
                <w:color w:val="000000"/>
                <w:sz w:val="21"/>
                <w:lang w:val="es-ES_tradnl" w:eastAsia="es-ES_tradnl"/>
              </w:rPr>
              <w:t>Alcance – Domicilio – Ámbito territorial – Objeto contractual</w:t>
            </w:r>
          </w:p>
          <w:p w14:paraId="497967E5" w14:textId="77777777" w:rsidR="00822467" w:rsidRPr="007A49CB" w:rsidRDefault="00822467" w:rsidP="00822467">
            <w:pPr>
              <w:tabs>
                <w:tab w:val="left" w:pos="6551"/>
              </w:tabs>
              <w:jc w:val="both"/>
              <w:rPr>
                <w:rFonts w:ascii="Arial" w:eastAsia="Calibri" w:hAnsi="Arial" w:cs="Arial"/>
                <w:b/>
                <w:color w:val="000000"/>
                <w:sz w:val="21"/>
                <w:lang w:val="es-ES_tradnl" w:eastAsia="es-ES_tradnl"/>
              </w:rPr>
            </w:pPr>
            <w:r w:rsidRPr="007A49CB">
              <w:rPr>
                <w:rFonts w:ascii="Arial" w:eastAsia="Calibri" w:hAnsi="Arial" w:cs="Arial"/>
                <w:b/>
                <w:color w:val="000000"/>
                <w:sz w:val="21"/>
                <w:lang w:val="es-ES_tradnl" w:eastAsia="es-ES_tradnl"/>
              </w:rPr>
              <w:t xml:space="preserve"> </w:t>
            </w:r>
          </w:p>
        </w:tc>
      </w:tr>
      <w:tr w:rsidR="00822467" w:rsidRPr="007A49CB" w14:paraId="2D653AE3" w14:textId="77777777" w:rsidTr="008C0B26">
        <w:tc>
          <w:tcPr>
            <w:tcW w:w="2689" w:type="dxa"/>
          </w:tcPr>
          <w:p w14:paraId="25D433C5" w14:textId="77777777" w:rsidR="00822467" w:rsidRPr="007A49CB" w:rsidRDefault="00822467" w:rsidP="00822467">
            <w:pPr>
              <w:spacing w:before="120"/>
              <w:jc w:val="both"/>
              <w:rPr>
                <w:rFonts w:ascii="Arial" w:eastAsia="Calibri" w:hAnsi="Arial" w:cs="Arial"/>
                <w:b/>
                <w:color w:val="000000"/>
                <w:sz w:val="21"/>
                <w:lang w:val="es-ES_tradnl" w:eastAsia="es-ES_tradnl"/>
              </w:rPr>
            </w:pPr>
            <w:r w:rsidRPr="007A49CB">
              <w:rPr>
                <w:rFonts w:ascii="Arial" w:eastAsia="Calibri" w:hAnsi="Arial" w:cs="Arial"/>
                <w:b/>
                <w:color w:val="000000"/>
                <w:sz w:val="21"/>
                <w:lang w:val="es-ES_tradnl" w:eastAsia="es-ES_tradnl"/>
              </w:rPr>
              <w:t>Radicación:</w:t>
            </w:r>
            <w:r w:rsidRPr="007A49CB">
              <w:rPr>
                <w:rFonts w:ascii="Arial" w:eastAsia="Calibri" w:hAnsi="Arial" w:cs="Arial"/>
                <w:color w:val="000000"/>
                <w:sz w:val="21"/>
                <w:lang w:val="es-ES_tradnl" w:eastAsia="es-ES_tradnl"/>
              </w:rPr>
              <w:t xml:space="preserve">               </w:t>
            </w:r>
          </w:p>
        </w:tc>
        <w:tc>
          <w:tcPr>
            <w:tcW w:w="6237" w:type="dxa"/>
          </w:tcPr>
          <w:p w14:paraId="58D2E342" w14:textId="77777777" w:rsidR="00822467" w:rsidRPr="007A49CB" w:rsidRDefault="00822467" w:rsidP="00822467">
            <w:pPr>
              <w:widowControl w:val="0"/>
              <w:autoSpaceDE w:val="0"/>
              <w:autoSpaceDN w:val="0"/>
              <w:adjustRightInd w:val="0"/>
              <w:spacing w:line="300" w:lineRule="atLeast"/>
              <w:jc w:val="both"/>
              <w:rPr>
                <w:rFonts w:ascii="Arial" w:eastAsia="Calibri" w:hAnsi="Arial" w:cs="Arial"/>
                <w:color w:val="000000"/>
                <w:sz w:val="21"/>
                <w:szCs w:val="21"/>
                <w:lang w:val="es-ES_tradnl"/>
              </w:rPr>
            </w:pPr>
            <w:r w:rsidRPr="007A49CB">
              <w:rPr>
                <w:rFonts w:ascii="Arial" w:eastAsia="Calibri" w:hAnsi="Arial" w:cs="Arial"/>
                <w:color w:val="000000"/>
                <w:sz w:val="21"/>
                <w:szCs w:val="21"/>
                <w:lang w:val="es-ES_tradnl"/>
              </w:rPr>
              <w:t>Respuesta a consulta P20221115011377</w:t>
            </w:r>
          </w:p>
        </w:tc>
      </w:tr>
    </w:tbl>
    <w:p w14:paraId="1F90DD20" w14:textId="77777777" w:rsidR="00822467" w:rsidRPr="007A49CB" w:rsidRDefault="00822467" w:rsidP="00822467">
      <w:pPr>
        <w:spacing w:after="0" w:line="240" w:lineRule="auto"/>
        <w:jc w:val="both"/>
        <w:rPr>
          <w:rFonts w:ascii="Arial" w:eastAsia="Calibri" w:hAnsi="Arial" w:cs="Arial"/>
          <w:color w:val="000000"/>
          <w:sz w:val="21"/>
          <w:lang w:eastAsia="es-ES_tradnl"/>
        </w:rPr>
      </w:pPr>
    </w:p>
    <w:p w14:paraId="137FD31E" w14:textId="77777777" w:rsidR="00822467" w:rsidRPr="007A49CB" w:rsidRDefault="00822467" w:rsidP="00822467">
      <w:pPr>
        <w:spacing w:after="0" w:line="240" w:lineRule="auto"/>
        <w:jc w:val="both"/>
        <w:rPr>
          <w:rFonts w:ascii="Arial" w:eastAsia="Calibri" w:hAnsi="Arial" w:cs="Arial"/>
          <w:color w:val="000000"/>
          <w:sz w:val="21"/>
          <w:lang w:val="es-ES_tradnl" w:eastAsia="es-ES_tradnl"/>
        </w:rPr>
      </w:pPr>
    </w:p>
    <w:p w14:paraId="29D2EC1C" w14:textId="77777777" w:rsidR="00822467" w:rsidRPr="007A49CB" w:rsidRDefault="00822467" w:rsidP="00822467">
      <w:pPr>
        <w:spacing w:after="0" w:line="240" w:lineRule="auto"/>
        <w:jc w:val="both"/>
        <w:rPr>
          <w:rFonts w:ascii="Arial" w:eastAsia="Calibri" w:hAnsi="Arial" w:cs="Arial"/>
          <w:color w:val="000000"/>
          <w:sz w:val="21"/>
          <w:lang w:val="es-ES_tradnl" w:eastAsia="es-ES_tradnl"/>
        </w:rPr>
      </w:pPr>
      <w:r w:rsidRPr="007A49CB">
        <w:rPr>
          <w:rFonts w:ascii="Arial" w:eastAsia="Calibri" w:hAnsi="Arial" w:cs="Arial"/>
          <w:color w:val="000000"/>
          <w:sz w:val="21"/>
          <w:lang w:val="es-ES_tradnl" w:eastAsia="es-ES_tradnl"/>
        </w:rPr>
        <w:t xml:space="preserve">Estimado señor Arango:  </w:t>
      </w:r>
    </w:p>
    <w:p w14:paraId="1BB8A938" w14:textId="77777777" w:rsidR="00822467" w:rsidRPr="007A49CB" w:rsidRDefault="00822467" w:rsidP="00822467">
      <w:pPr>
        <w:spacing w:after="0" w:line="240" w:lineRule="auto"/>
        <w:jc w:val="both"/>
        <w:rPr>
          <w:rFonts w:ascii="Arial" w:eastAsia="Calibri" w:hAnsi="Arial" w:cs="Arial"/>
          <w:color w:val="000000"/>
          <w:sz w:val="21"/>
          <w:lang w:val="es-ES_tradnl" w:eastAsia="es-ES_tradnl"/>
        </w:rPr>
      </w:pPr>
    </w:p>
    <w:p w14:paraId="164081EB" w14:textId="77777777" w:rsidR="00822467" w:rsidRPr="007A49CB" w:rsidRDefault="00822467" w:rsidP="00822467">
      <w:pPr>
        <w:spacing w:after="0" w:line="276" w:lineRule="auto"/>
        <w:jc w:val="both"/>
        <w:rPr>
          <w:rFonts w:ascii="Arial" w:eastAsia="Calibri" w:hAnsi="Arial" w:cs="Arial"/>
          <w:color w:val="000000"/>
          <w:sz w:val="21"/>
          <w:lang w:val="es-ES_tradnl" w:eastAsia="es-ES_tradnl"/>
        </w:rPr>
      </w:pPr>
      <w:r w:rsidRPr="007A49CB">
        <w:rPr>
          <w:rFonts w:ascii="Arial" w:eastAsia="Calibri" w:hAnsi="Arial" w:cs="Arial"/>
          <w:color w:val="000000"/>
          <w:sz w:val="21"/>
          <w:lang w:val="es-ES_tradnl" w:eastAsia="es-ES_tradnl"/>
        </w:rPr>
        <w:t xml:space="preserve">En ejercicio de la competencia otorgada por el numeral 8 del artículo 11 y el numeral 5 del artículo 3 del Decreto Ley 4170 de 2011, la Agencia Nacional de Contratación Pública ― Colombia Compra Eficiente, responde su consulta del 15 de noviembre de 2022. </w:t>
      </w:r>
    </w:p>
    <w:p w14:paraId="43C4CD2B" w14:textId="77777777" w:rsidR="00822467" w:rsidRPr="007A49CB" w:rsidRDefault="00822467" w:rsidP="00822467">
      <w:pPr>
        <w:spacing w:after="0" w:line="276" w:lineRule="auto"/>
        <w:jc w:val="both"/>
        <w:rPr>
          <w:rFonts w:ascii="Arial" w:eastAsia="Calibri" w:hAnsi="Arial" w:cs="Arial"/>
          <w:b/>
          <w:color w:val="000000"/>
          <w:sz w:val="21"/>
          <w:lang w:val="es-ES_tradnl" w:eastAsia="es-ES_tradnl"/>
        </w:rPr>
      </w:pPr>
    </w:p>
    <w:p w14:paraId="6FFFB852" w14:textId="77777777" w:rsidR="00822467" w:rsidRPr="007A49CB" w:rsidRDefault="00822467" w:rsidP="00BE346A">
      <w:pPr>
        <w:numPr>
          <w:ilvl w:val="0"/>
          <w:numId w:val="4"/>
        </w:numPr>
        <w:tabs>
          <w:tab w:val="left" w:pos="0"/>
          <w:tab w:val="left" w:pos="142"/>
          <w:tab w:val="left" w:pos="284"/>
        </w:tabs>
        <w:spacing w:after="0" w:line="276" w:lineRule="auto"/>
        <w:ind w:left="284"/>
        <w:contextualSpacing/>
        <w:jc w:val="both"/>
        <w:rPr>
          <w:rFonts w:ascii="Arial" w:eastAsia="Calibri" w:hAnsi="Arial" w:cs="Arial"/>
          <w:b/>
          <w:color w:val="000000"/>
          <w:sz w:val="21"/>
          <w:szCs w:val="21"/>
          <w:lang w:val="es-ES_tradnl"/>
        </w:rPr>
      </w:pPr>
      <w:r w:rsidRPr="007A49CB">
        <w:rPr>
          <w:rFonts w:ascii="Arial" w:eastAsia="Calibri" w:hAnsi="Arial" w:cs="Arial"/>
          <w:b/>
          <w:color w:val="000000"/>
          <w:sz w:val="21"/>
          <w:szCs w:val="21"/>
          <w:lang w:val="es-ES_tradnl"/>
        </w:rPr>
        <w:t xml:space="preserve">Problema planteado </w:t>
      </w:r>
    </w:p>
    <w:p w14:paraId="404F097D" w14:textId="77777777" w:rsidR="00822467" w:rsidRPr="007A49CB" w:rsidRDefault="00822467" w:rsidP="00822467">
      <w:pPr>
        <w:tabs>
          <w:tab w:val="left" w:pos="426"/>
        </w:tabs>
        <w:spacing w:after="0" w:line="276" w:lineRule="auto"/>
        <w:jc w:val="both"/>
        <w:rPr>
          <w:rFonts w:ascii="Arial" w:eastAsia="Calibri" w:hAnsi="Arial" w:cs="Arial"/>
          <w:b/>
          <w:color w:val="000000"/>
          <w:sz w:val="21"/>
          <w:lang w:val="es-ES_tradnl" w:eastAsia="es-ES_tradnl"/>
        </w:rPr>
      </w:pPr>
    </w:p>
    <w:p w14:paraId="332BE93C" w14:textId="77777777" w:rsidR="00822467" w:rsidRPr="007A49CB" w:rsidRDefault="00822467" w:rsidP="00822467">
      <w:pPr>
        <w:spacing w:after="0" w:line="276" w:lineRule="auto"/>
        <w:jc w:val="both"/>
        <w:rPr>
          <w:rFonts w:ascii="Arial" w:eastAsia="Times New Roman" w:hAnsi="Arial" w:cs="Arial"/>
          <w:color w:val="000000"/>
          <w:sz w:val="21"/>
          <w:szCs w:val="21"/>
          <w:lang w:val="es-ES" w:eastAsia="es-ES_tradnl"/>
        </w:rPr>
      </w:pPr>
      <w:r w:rsidRPr="007A49CB">
        <w:rPr>
          <w:rFonts w:ascii="Arial" w:eastAsia="Times New Roman" w:hAnsi="Arial" w:cs="Arial"/>
          <w:color w:val="000000"/>
          <w:sz w:val="21"/>
          <w:szCs w:val="21"/>
          <w:lang w:val="es-ES_tradnl" w:eastAsia="es-ES_tradnl"/>
        </w:rPr>
        <w:t>Usted realiza la siguiente pregunta</w:t>
      </w:r>
      <w:r w:rsidRPr="007A49CB">
        <w:rPr>
          <w:rFonts w:ascii="Arial" w:eastAsia="Times New Roman" w:hAnsi="Arial" w:cs="Arial"/>
          <w:sz w:val="21"/>
          <w:lang w:val="es-ES_tradnl" w:eastAsia="es-ES_tradnl"/>
        </w:rPr>
        <w:t xml:space="preserve">: </w:t>
      </w:r>
    </w:p>
    <w:p w14:paraId="369F810F" w14:textId="77777777" w:rsidR="00822467" w:rsidRPr="007A49CB" w:rsidRDefault="00822467" w:rsidP="00822467">
      <w:pPr>
        <w:spacing w:after="0" w:line="276" w:lineRule="auto"/>
        <w:jc w:val="both"/>
        <w:rPr>
          <w:rFonts w:ascii="Arial" w:eastAsia="Times New Roman" w:hAnsi="Arial" w:cs="Arial"/>
          <w:color w:val="000000"/>
          <w:sz w:val="21"/>
          <w:szCs w:val="21"/>
          <w:lang w:eastAsia="es-ES_tradnl"/>
        </w:rPr>
      </w:pPr>
    </w:p>
    <w:p w14:paraId="2026E342" w14:textId="77777777" w:rsidR="00822467" w:rsidRPr="007A49CB" w:rsidRDefault="00822467" w:rsidP="00822467">
      <w:pPr>
        <w:spacing w:after="0" w:line="240" w:lineRule="auto"/>
        <w:ind w:left="709" w:right="476"/>
        <w:jc w:val="both"/>
        <w:rPr>
          <w:rFonts w:ascii="Arial" w:eastAsia="Times New Roman" w:hAnsi="Arial" w:cs="Arial"/>
          <w:sz w:val="20"/>
          <w:szCs w:val="20"/>
          <w:lang w:val="es-ES_tradnl" w:eastAsia="es-ES_tradnl"/>
        </w:rPr>
      </w:pPr>
      <w:bookmarkStart w:id="1" w:name="_Hlk120693205"/>
      <w:r w:rsidRPr="007A49CB">
        <w:rPr>
          <w:rFonts w:ascii="Arial" w:eastAsia="Times New Roman" w:hAnsi="Arial" w:cs="Arial"/>
          <w:sz w:val="20"/>
          <w:szCs w:val="20"/>
          <w:lang w:val="es-ES_tradnl" w:eastAsia="es-ES_tradnl"/>
        </w:rPr>
        <w:t>«</w:t>
      </w:r>
      <w:r w:rsidRPr="007A49CB">
        <w:rPr>
          <w:rFonts w:ascii="Arial" w:eastAsia="Times New Roman" w:hAnsi="Arial" w:cs="Arial"/>
          <w:sz w:val="20"/>
          <w:szCs w:val="20"/>
          <w:lang w:eastAsia="es-ES_tradnl"/>
        </w:rPr>
        <w:t xml:space="preserve">El </w:t>
      </w:r>
      <w:r w:rsidRPr="007A49CB">
        <w:rPr>
          <w:rFonts w:ascii="Arial" w:eastAsia="Times New Roman" w:hAnsi="Arial" w:cs="Arial"/>
          <w:b/>
          <w:bCs/>
          <w:i/>
          <w:iCs/>
          <w:sz w:val="20"/>
          <w:szCs w:val="20"/>
          <w:u w:val="single"/>
          <w:lang w:eastAsia="es-ES_tradnl"/>
        </w:rPr>
        <w:t>Decreto 1860 de 2021</w:t>
      </w:r>
      <w:r w:rsidRPr="007A49CB">
        <w:rPr>
          <w:rFonts w:ascii="Arial" w:eastAsia="Times New Roman" w:hAnsi="Arial" w:cs="Arial"/>
          <w:i/>
          <w:iCs/>
          <w:sz w:val="20"/>
          <w:szCs w:val="20"/>
          <w:lang w:eastAsia="es-ES_tradnl"/>
        </w:rPr>
        <w:t xml:space="preserve"> es bien claro con relación al domicilio, norma </w:t>
      </w:r>
      <w:proofErr w:type="gramStart"/>
      <w:r w:rsidRPr="007A49CB">
        <w:rPr>
          <w:rFonts w:ascii="Arial" w:eastAsia="Times New Roman" w:hAnsi="Arial" w:cs="Arial"/>
          <w:i/>
          <w:iCs/>
          <w:sz w:val="20"/>
          <w:szCs w:val="20"/>
          <w:lang w:eastAsia="es-ES_tradnl"/>
        </w:rPr>
        <w:t>que  modifica</w:t>
      </w:r>
      <w:proofErr w:type="gramEnd"/>
      <w:r w:rsidRPr="007A49CB">
        <w:rPr>
          <w:rFonts w:ascii="Arial" w:eastAsia="Times New Roman" w:hAnsi="Arial" w:cs="Arial"/>
          <w:i/>
          <w:iCs/>
          <w:sz w:val="20"/>
          <w:szCs w:val="20"/>
          <w:lang w:eastAsia="es-ES_tradnl"/>
        </w:rPr>
        <w:t xml:space="preserve"> parte del decreto 1082 de 2015 en los mismos términos, las</w:t>
      </w:r>
      <w:r w:rsidRPr="007A49CB">
        <w:rPr>
          <w:rFonts w:ascii="Arial" w:eastAsia="Times New Roman" w:hAnsi="Arial" w:cs="Arial"/>
          <w:sz w:val="20"/>
          <w:szCs w:val="20"/>
          <w:lang w:eastAsia="es-ES_tradnl"/>
        </w:rPr>
        <w:t xml:space="preserve"> entidades Estatales, independientemente de su régimen de contratación,….., pueden realizar convocatorias limitadas a MiPymes colombianas que tengan domicilio en los departamentos o municipios </w:t>
      </w:r>
      <w:r w:rsidRPr="007A49CB">
        <w:rPr>
          <w:rFonts w:ascii="Arial" w:eastAsia="Times New Roman" w:hAnsi="Arial" w:cs="Arial"/>
          <w:sz w:val="20"/>
          <w:szCs w:val="20"/>
          <w:lang w:eastAsia="es-ES_tradnl"/>
        </w:rPr>
        <w:lastRenderedPageBreak/>
        <w:t>en donde se va a ejecutar el contrato. Cada MiPymes deberá acreditar su domicilio según artículo 2.2.1.2.4.2.4</w:t>
      </w:r>
      <w:proofErr w:type="gramStart"/>
      <w:r w:rsidRPr="007A49CB">
        <w:rPr>
          <w:rFonts w:ascii="Arial" w:eastAsia="Times New Roman" w:hAnsi="Arial" w:cs="Arial"/>
          <w:sz w:val="20"/>
          <w:szCs w:val="20"/>
          <w:lang w:eastAsia="es-ES_tradnl"/>
        </w:rPr>
        <w:t>…….</w:t>
      </w:r>
      <w:proofErr w:type="gramEnd"/>
      <w:r w:rsidRPr="007A49CB">
        <w:rPr>
          <w:rFonts w:ascii="Arial" w:eastAsia="Times New Roman" w:hAnsi="Arial" w:cs="Arial"/>
          <w:sz w:val="20"/>
          <w:szCs w:val="20"/>
          <w:lang w:eastAsia="es-ES_tradnl"/>
        </w:rPr>
        <w:t xml:space="preserve">, </w:t>
      </w:r>
    </w:p>
    <w:p w14:paraId="0EE92768"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w:t>
      </w:r>
    </w:p>
    <w:p w14:paraId="21997EC0"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La Cámara  de Comercio al inscribir, registrar y renovar la matricula comercial a una sucursal cuya estructura jurídica es una S.A.S., ratifica su objeto social y domicilio comercial que, no es otra cosa, ubicación del lugar territorial y dirección especifica de localización donde funciona territorialmente la respectiva Cámara de Comercio conforme indica el código civil y comercial lo denomina DOMICILIO  llanamente es donde va a operar su actividad comercial la sucursal, en otras palabras, se registra en el municipio respectivo sede de la cámara de comercio, allí se hace constar la inscripción de la sucursal y dirección local como un dato de información pública. Les es prohibido a las cámaras de comercio inscribir y registrar sucursales fuera de su autonomía e independencia territorial político y comercial donde funciona la sede o domicilio territorial de la cámara de comercio respectiva.</w:t>
      </w:r>
    </w:p>
    <w:p w14:paraId="18A0478C"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w:t>
      </w:r>
    </w:p>
    <w:p w14:paraId="57E57763"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xml:space="preserve">De igual forma, en los procesos de contratación se debe entender que la sucursal tiene un domicilio  principal comercial, que es bien diferente al domicilio de la casa matriz donde se atiende actividades judiciales y extrajudiciales, el domicilio tributario puede ser diferente, como el domicilio comercial, por lo anterior, en conceptos bajo esta orbita Colombia compra eficiente habla del domicilio principal de la sociedad, la normas en comento se aparta del concepto jurídico domicilio principal para ejercer el objeto social de la sucursal en categoría de MiPymes por obvias razones debe tener una lugar de ubicación territorial, una dirección puntual de contacto por seguridad jurídica ante terceros. </w:t>
      </w:r>
    </w:p>
    <w:p w14:paraId="1921ED47"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w:t>
      </w:r>
    </w:p>
    <w:p w14:paraId="45988E3D"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xml:space="preserve">Por lo anterior, la norma en el ejercicio comercial de una sucursal no es excluyente porque no incluye el termino domicilio principal, razón jurídica por la cual hay una posible interpretación errónea al dejar sin domicilio a las sucursales en diferentes aspectos comerciales y en contra de su imagen, ampliación de su cobertura comercial, </w:t>
      </w:r>
      <w:proofErr w:type="gramStart"/>
      <w:r w:rsidRPr="007A49CB">
        <w:rPr>
          <w:rFonts w:ascii="Arial" w:eastAsia="Times New Roman" w:hAnsi="Arial" w:cs="Arial"/>
          <w:sz w:val="20"/>
          <w:szCs w:val="20"/>
          <w:lang w:eastAsia="es-ES_tradnl"/>
        </w:rPr>
        <w:t>seguridad jurídica y capacidad jurídica</w:t>
      </w:r>
      <w:proofErr w:type="gramEnd"/>
      <w:r w:rsidRPr="007A49CB">
        <w:rPr>
          <w:rFonts w:ascii="Arial" w:eastAsia="Times New Roman" w:hAnsi="Arial" w:cs="Arial"/>
          <w:sz w:val="20"/>
          <w:szCs w:val="20"/>
          <w:lang w:eastAsia="es-ES_tradnl"/>
        </w:rPr>
        <w:t xml:space="preserve"> ante terceros donde se encuentra funcionando como sucursal MiPymes. Bajo estos criterios, solicito MUY RESPETUOSAMENTE se me aclare si estoy en un error de interpretación de la norma en comento o existe otra norma que diga lo contrario</w:t>
      </w:r>
      <w:r w:rsidRPr="007A49CB">
        <w:rPr>
          <w:rFonts w:ascii="Arial" w:eastAsia="Times New Roman" w:hAnsi="Arial" w:cs="Arial"/>
          <w:sz w:val="20"/>
          <w:szCs w:val="20"/>
          <w:lang w:val="es-ES_tradnl" w:eastAsia="es-ES_tradnl"/>
        </w:rPr>
        <w:t>».</w:t>
      </w:r>
    </w:p>
    <w:bookmarkEnd w:id="1"/>
    <w:p w14:paraId="0895A503" w14:textId="77777777" w:rsidR="00822467" w:rsidRPr="007A49CB" w:rsidRDefault="00822467" w:rsidP="00822467">
      <w:pPr>
        <w:spacing w:after="0" w:line="276" w:lineRule="auto"/>
        <w:ind w:left="709" w:right="476"/>
        <w:jc w:val="both"/>
        <w:rPr>
          <w:rFonts w:ascii="Arial" w:eastAsia="Calibri" w:hAnsi="Arial" w:cs="Arial"/>
          <w:bCs/>
          <w:sz w:val="21"/>
          <w:szCs w:val="21"/>
          <w:lang w:val="es-ES_tradnl" w:eastAsia="es-ES_tradnl"/>
        </w:rPr>
      </w:pPr>
    </w:p>
    <w:p w14:paraId="6FE81850" w14:textId="77777777" w:rsidR="00822467" w:rsidRPr="007A49CB" w:rsidRDefault="00822467" w:rsidP="007A49CB">
      <w:pPr>
        <w:numPr>
          <w:ilvl w:val="0"/>
          <w:numId w:val="4"/>
        </w:numPr>
        <w:tabs>
          <w:tab w:val="left" w:pos="0"/>
          <w:tab w:val="left" w:pos="284"/>
        </w:tabs>
        <w:spacing w:after="0" w:line="240" w:lineRule="auto"/>
        <w:ind w:left="567" w:hanging="425"/>
        <w:contextualSpacing/>
        <w:jc w:val="both"/>
        <w:rPr>
          <w:rFonts w:ascii="Arial" w:eastAsia="Calibri" w:hAnsi="Arial" w:cs="Arial"/>
          <w:b/>
          <w:color w:val="000000"/>
          <w:sz w:val="21"/>
          <w:szCs w:val="21"/>
          <w:lang w:val="es-ES_tradnl"/>
        </w:rPr>
      </w:pPr>
      <w:r w:rsidRPr="007A49CB">
        <w:rPr>
          <w:rFonts w:ascii="Arial" w:eastAsia="Calibri" w:hAnsi="Arial" w:cs="Arial"/>
          <w:b/>
          <w:color w:val="000000"/>
          <w:sz w:val="21"/>
          <w:szCs w:val="21"/>
          <w:lang w:val="es-ES_tradnl"/>
        </w:rPr>
        <w:t>Consideraciones</w:t>
      </w:r>
    </w:p>
    <w:p w14:paraId="35F9A60E" w14:textId="77777777" w:rsidR="00822467" w:rsidRPr="007A49CB" w:rsidRDefault="00822467" w:rsidP="00822467">
      <w:pPr>
        <w:spacing w:after="0" w:line="276" w:lineRule="auto"/>
        <w:jc w:val="both"/>
        <w:rPr>
          <w:rFonts w:ascii="Arial" w:eastAsia="Times New Roman" w:hAnsi="Arial" w:cs="Arial"/>
          <w:color w:val="000000"/>
          <w:sz w:val="21"/>
          <w:lang w:val="es-ES_tradnl" w:eastAsia="es-ES_tradnl"/>
        </w:rPr>
      </w:pPr>
    </w:p>
    <w:p w14:paraId="45643DA1" w14:textId="77777777" w:rsidR="00822467" w:rsidRPr="007A49CB" w:rsidRDefault="00822467" w:rsidP="00822467">
      <w:pPr>
        <w:tabs>
          <w:tab w:val="left" w:pos="709"/>
        </w:tabs>
        <w:spacing w:after="120" w:line="276" w:lineRule="auto"/>
        <w:jc w:val="both"/>
        <w:rPr>
          <w:rFonts w:ascii="Arial" w:eastAsia="Calibri" w:hAnsi="Arial" w:cs="Arial"/>
          <w:color w:val="000000"/>
          <w:sz w:val="21"/>
          <w:szCs w:val="21"/>
          <w:lang w:val="es-ES_tradnl"/>
        </w:rPr>
      </w:pPr>
      <w:r w:rsidRPr="007A49CB">
        <w:rPr>
          <w:rFonts w:ascii="Arial" w:eastAsia="Calibri" w:hAnsi="Arial" w:cs="Arial"/>
          <w:sz w:val="21"/>
          <w:szCs w:val="21"/>
          <w:lang w:val="es-ES_tradnl" w:eastAsia="es-ES_tradnl"/>
        </w:rPr>
        <w:t xml:space="preserve">Para responder su solicitud, </w:t>
      </w:r>
      <w:r w:rsidRPr="007A49CB">
        <w:rPr>
          <w:rFonts w:ascii="Arial" w:eastAsia="Calibri" w:hAnsi="Arial" w:cs="Arial"/>
          <w:sz w:val="21"/>
          <w:lang w:val="es-ES_tradnl" w:eastAsia="es-ES_tradnl"/>
        </w:rPr>
        <w:t>la Subdirección</w:t>
      </w:r>
      <w:r w:rsidRPr="007A49CB">
        <w:rPr>
          <w:rFonts w:ascii="Arial" w:eastAsia="Calibri" w:hAnsi="Arial" w:cs="Arial"/>
          <w:sz w:val="21"/>
          <w:szCs w:val="21"/>
          <w:lang w:val="es-ES_tradnl" w:eastAsia="es-ES_tradnl"/>
        </w:rPr>
        <w:t xml:space="preserve"> analizará los siguientes temas:</w:t>
      </w:r>
      <w:r w:rsidRPr="007A49CB">
        <w:rPr>
          <w:rFonts w:ascii="Arial" w:eastAsia="Calibri" w:hAnsi="Arial" w:cs="Arial"/>
          <w:color w:val="000000"/>
          <w:sz w:val="21"/>
          <w:szCs w:val="21"/>
          <w:lang w:val="es-ES" w:eastAsia="es-ES_tradnl"/>
        </w:rPr>
        <w:t xml:space="preserve"> </w:t>
      </w:r>
      <w:r w:rsidRPr="007A49CB">
        <w:rPr>
          <w:rFonts w:ascii="Arial" w:eastAsia="Calibri" w:hAnsi="Arial" w:cs="Arial"/>
          <w:color w:val="000000"/>
          <w:sz w:val="21"/>
          <w:szCs w:val="21"/>
          <w:lang w:val="es-ES_tradnl" w:eastAsia="es-ES_tradnl"/>
        </w:rPr>
        <w:t xml:space="preserve">i) </w:t>
      </w:r>
      <w:r w:rsidRPr="007A49CB">
        <w:rPr>
          <w:rFonts w:ascii="Arial" w:eastAsia="Calibri" w:hAnsi="Arial" w:cs="Arial"/>
          <w:color w:val="000000"/>
          <w:sz w:val="21"/>
          <w:szCs w:val="21"/>
          <w:lang w:val="es-ES_tradnl"/>
        </w:rPr>
        <w:t xml:space="preserve">regulación de las convocatorias limitadas a </w:t>
      </w:r>
      <w:proofErr w:type="spellStart"/>
      <w:r w:rsidRPr="007A49CB">
        <w:rPr>
          <w:rFonts w:ascii="Arial" w:eastAsia="Calibri" w:hAnsi="Arial" w:cs="Arial"/>
          <w:color w:val="000000"/>
          <w:sz w:val="21"/>
          <w:szCs w:val="21"/>
          <w:lang w:val="es-ES_tradnl"/>
        </w:rPr>
        <w:t>Mipyme</w:t>
      </w:r>
      <w:proofErr w:type="spellEnd"/>
      <w:r w:rsidRPr="007A49CB">
        <w:rPr>
          <w:rFonts w:ascii="Arial" w:eastAsia="Calibri" w:hAnsi="Arial" w:cs="Arial"/>
          <w:color w:val="000000"/>
          <w:sz w:val="21"/>
          <w:szCs w:val="21"/>
          <w:lang w:val="es-ES_tradnl"/>
        </w:rPr>
        <w:t xml:space="preserve"> en el artículo 34 de la Ley 2069 de 2020 y en el Decreto 1860 de 2021.</w:t>
      </w:r>
    </w:p>
    <w:p w14:paraId="319D1B76" w14:textId="77777777" w:rsidR="00822467" w:rsidRPr="007A49CB" w:rsidRDefault="00822467" w:rsidP="00822467">
      <w:pPr>
        <w:tabs>
          <w:tab w:val="left" w:pos="709"/>
        </w:tabs>
        <w:spacing w:after="120" w:line="276" w:lineRule="auto"/>
        <w:jc w:val="both"/>
        <w:rPr>
          <w:rFonts w:ascii="Arial" w:eastAsia="Calibri" w:hAnsi="Arial" w:cs="Arial"/>
          <w:bCs/>
          <w:color w:val="000000"/>
          <w:sz w:val="21"/>
          <w:szCs w:val="21"/>
          <w:lang w:val="es-ES_tradnl" w:eastAsia="es-ES_tradnl"/>
        </w:rPr>
      </w:pPr>
      <w:r w:rsidRPr="007A49CB">
        <w:rPr>
          <w:rFonts w:ascii="Arial" w:eastAsia="Calibri" w:hAnsi="Arial" w:cs="Arial"/>
          <w:color w:val="000000"/>
          <w:sz w:val="21"/>
          <w:szCs w:val="21"/>
          <w:lang w:val="es-ES_tradnl" w:eastAsia="es-ES_tradnl"/>
        </w:rPr>
        <w:tab/>
        <w:t xml:space="preserve">Es importante destacar que la Agencia Nacional de Contratación Pública – Colombia Compra Eficiente </w:t>
      </w:r>
      <w:r w:rsidRPr="007A49CB">
        <w:rPr>
          <w:rFonts w:ascii="Arial" w:eastAsia="Calibri" w:hAnsi="Arial" w:cs="Arial"/>
          <w:bCs/>
          <w:color w:val="000000"/>
          <w:sz w:val="21"/>
          <w:szCs w:val="21"/>
          <w:lang w:val="es-ES_tradnl" w:eastAsia="es-ES_tradnl"/>
        </w:rPr>
        <w:t xml:space="preserve">analizó la limitación de la convocatorias a </w:t>
      </w:r>
      <w:proofErr w:type="spellStart"/>
      <w:r w:rsidRPr="007A49CB">
        <w:rPr>
          <w:rFonts w:ascii="Arial" w:eastAsia="Calibri" w:hAnsi="Arial" w:cs="Arial"/>
          <w:bCs/>
          <w:color w:val="000000"/>
          <w:sz w:val="21"/>
          <w:szCs w:val="21"/>
          <w:lang w:val="es-ES_tradnl" w:eastAsia="es-ES_tradnl"/>
        </w:rPr>
        <w:t>Mipyme</w:t>
      </w:r>
      <w:proofErr w:type="spellEnd"/>
      <w:r w:rsidRPr="007A49CB">
        <w:rPr>
          <w:rFonts w:ascii="Arial" w:eastAsia="Calibri" w:hAnsi="Arial" w:cs="Arial"/>
          <w:bCs/>
          <w:color w:val="000000"/>
          <w:sz w:val="21"/>
          <w:szCs w:val="21"/>
          <w:lang w:val="es-ES_tradnl" w:eastAsia="es-ES_tradnl"/>
        </w:rPr>
        <w:t xml:space="preserve">, entre otros en los conceptos C–005 del 16 de febrero de 2021, C–037 del 26 de febrero de 2021, C-035 del 02 de marzo de 2021, C–126 del 06 de abril de 2021, C–127 del 06 de abril de 2021, C–144 del 07 de abril de 2021, C–141 del 08 de abril de 2021, C–163 y C–164 del 19 de abril de 2021, C–242 del 25 de mayo de 2021, C–496 del 14 de septiembre de 2021, C–573 del 13 de octubre de 2021, C–001 del 17 de febrero de 2022, C–041 del 2 de marzo de 2022, C– 293 del 12 de abril de 2022, C – 213 del 21 de abril de 2022, C–315 del 18 de mayo de 2022, C–330 del 23 de mayo de 2022, C–361 del 20 de mayo de 2022, C–340 del 26 de mayo de 2022, C –346 del 27 de mayo de 2022, C-395 del 17 de junio de 2022, C-490 del 26 de julio de 2022 . </w:t>
      </w:r>
    </w:p>
    <w:p w14:paraId="73334CC4" w14:textId="77777777" w:rsidR="00822467" w:rsidRPr="007A49CB" w:rsidRDefault="00822467" w:rsidP="00822467">
      <w:pPr>
        <w:spacing w:after="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lastRenderedPageBreak/>
        <w:t>Igualmente,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 C-455 del 31 de agosto de 2021,C-281 del 12 de mayo de 2022, C-293 del 12 de mayo de 2022, C-296 del 12 de mayo de 2022, C-315 del 18 de mayo de 2022, C-330 del 23 de mayo de 2022, C-340 del 26 de mayo de 2022, C-437 del 25 de julio de 2022 C-340 del 26 de mayo de 2022, C-346 del 27 de mayo de 2022, C-361 del 20 de mayo de 2022, C-377 del 13 de junio de 2022, C-395 del 17 de junio de 2022, C-445 del 12 de julio de 2022, C-459 del 18 de julio de 2022, C-460 del 18 de julio de 2022, C-464 del 19 de julio de 2022, C-473 del 25 de julio de 2022, C-474 del 26 de julio de 2022, C-485 del 26 de julio de 2022, C-490 del 26 de julio de 2022, C-523 del 16 de agosto de 2022, C-539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esta Agencia se pronunció sobre la nueva regulación de la promoción del desarrollo en la contratación estatal contenida en el artículo 34 de la Ley 2069 de 2020</w:t>
      </w:r>
      <w:r w:rsidRPr="007A49CB">
        <w:rPr>
          <w:rFonts w:ascii="Arial" w:eastAsia="Calibri" w:hAnsi="Arial" w:cs="Arial"/>
          <w:sz w:val="21"/>
          <w:szCs w:val="21"/>
          <w:vertAlign w:val="superscript"/>
          <w:lang w:val="es-ES_tradnl" w:eastAsia="es-ES_tradnl"/>
        </w:rPr>
        <w:footnoteReference w:id="2"/>
      </w:r>
      <w:r w:rsidRPr="007A49CB">
        <w:rPr>
          <w:rFonts w:ascii="Arial" w:eastAsia="Calibri" w:hAnsi="Arial" w:cs="Arial"/>
          <w:sz w:val="21"/>
          <w:szCs w:val="21"/>
          <w:lang w:val="es-ES_tradnl" w:eastAsia="es-ES_tradnl"/>
        </w:rPr>
        <w:t xml:space="preserve">. </w:t>
      </w:r>
      <w:r w:rsidRPr="007A49CB">
        <w:rPr>
          <w:rFonts w:ascii="Arial" w:eastAsia="Arial" w:hAnsi="Arial" w:cs="Arial"/>
          <w:sz w:val="21"/>
          <w:lang w:val="es-ES_tradnl" w:eastAsia="es-ES_tradnl"/>
        </w:rPr>
        <w:t xml:space="preserve">Algunas de las ideas expuestas en dichas oportunidades se retoman y complementan a continuación para desarrollar la tesis del presente concepto.    </w:t>
      </w:r>
    </w:p>
    <w:p w14:paraId="1214DF4F" w14:textId="77777777" w:rsidR="00822467" w:rsidRPr="007A49CB" w:rsidRDefault="00822467" w:rsidP="00822467">
      <w:pPr>
        <w:spacing w:after="0" w:line="276" w:lineRule="auto"/>
        <w:jc w:val="both"/>
        <w:rPr>
          <w:rFonts w:ascii="Arial" w:eastAsia="Calibri" w:hAnsi="Arial" w:cs="Arial"/>
          <w:color w:val="000000"/>
          <w:sz w:val="21"/>
          <w:szCs w:val="21"/>
          <w:lang w:val="es-ES_tradnl" w:eastAsia="es-ES_tradnl"/>
        </w:rPr>
      </w:pPr>
    </w:p>
    <w:p w14:paraId="45C7A6F3" w14:textId="77777777" w:rsidR="00822467" w:rsidRPr="007A49CB" w:rsidRDefault="00822467" w:rsidP="00822467">
      <w:pPr>
        <w:tabs>
          <w:tab w:val="left" w:pos="709"/>
        </w:tabs>
        <w:spacing w:after="0" w:line="276" w:lineRule="auto"/>
        <w:contextualSpacing/>
        <w:jc w:val="both"/>
        <w:outlineLvl w:val="0"/>
        <w:rPr>
          <w:rFonts w:ascii="Arial" w:eastAsia="Calibri" w:hAnsi="Arial" w:cs="Arial"/>
          <w:b/>
          <w:bCs/>
          <w:sz w:val="21"/>
          <w:szCs w:val="21"/>
          <w:lang w:val="es-ES_tradnl" w:eastAsia="es-ES_tradnl"/>
        </w:rPr>
      </w:pPr>
      <w:bookmarkStart w:id="2" w:name="_Hlk94169601"/>
      <w:r w:rsidRPr="007A49CB">
        <w:rPr>
          <w:rFonts w:ascii="Arial" w:eastAsia="Calibri" w:hAnsi="Arial" w:cs="Arial"/>
          <w:b/>
          <w:bCs/>
          <w:color w:val="000000"/>
          <w:sz w:val="21"/>
          <w:szCs w:val="21"/>
          <w:lang w:val="es-ES_tradnl" w:eastAsia="es-ES_tradnl"/>
        </w:rPr>
        <w:t xml:space="preserve">2.1. </w:t>
      </w:r>
      <w:r w:rsidRPr="007A49CB">
        <w:rPr>
          <w:rFonts w:ascii="Arial" w:eastAsia="Calibri" w:hAnsi="Arial" w:cs="Arial"/>
          <w:b/>
          <w:bCs/>
          <w:sz w:val="21"/>
          <w:szCs w:val="21"/>
          <w:lang w:val="es-ES_tradnl" w:eastAsia="es-ES_tradnl"/>
        </w:rPr>
        <w:t>Regulación de las c</w:t>
      </w:r>
      <w:r w:rsidRPr="007A49CB">
        <w:rPr>
          <w:rFonts w:ascii="Arial" w:eastAsia="Times New Roman" w:hAnsi="Arial" w:cs="Arial"/>
          <w:b/>
          <w:bCs/>
          <w:sz w:val="21"/>
          <w:szCs w:val="21"/>
          <w:lang w:val="es-ES_tradnl" w:eastAsia="es-ES_tradnl"/>
        </w:rPr>
        <w:t xml:space="preserve">onvocatorias limitadas a </w:t>
      </w:r>
      <w:proofErr w:type="spellStart"/>
      <w:r w:rsidRPr="007A49CB">
        <w:rPr>
          <w:rFonts w:ascii="Arial" w:eastAsia="Times New Roman" w:hAnsi="Arial" w:cs="Arial"/>
          <w:b/>
          <w:bCs/>
          <w:sz w:val="21"/>
          <w:szCs w:val="21"/>
          <w:lang w:val="es-ES_tradnl" w:eastAsia="es-ES_tradnl"/>
        </w:rPr>
        <w:t>Mipyme</w:t>
      </w:r>
      <w:proofErr w:type="spellEnd"/>
      <w:r w:rsidRPr="007A49CB">
        <w:rPr>
          <w:rFonts w:ascii="Arial" w:eastAsia="Calibri" w:hAnsi="Arial" w:cs="Arial"/>
          <w:b/>
          <w:bCs/>
          <w:sz w:val="21"/>
          <w:szCs w:val="21"/>
          <w:lang w:val="es-ES_tradnl" w:eastAsia="es-ES_tradnl"/>
        </w:rPr>
        <w:t xml:space="preserve"> en el artículo 34 de la Ley 2069 de 2020 y en el Decreto 1860 de 2021 </w:t>
      </w:r>
    </w:p>
    <w:p w14:paraId="175C9C89" w14:textId="77777777" w:rsidR="00822467" w:rsidRPr="007A49CB" w:rsidRDefault="00822467" w:rsidP="00822467">
      <w:pPr>
        <w:spacing w:after="0" w:line="276" w:lineRule="auto"/>
        <w:contextualSpacing/>
        <w:jc w:val="both"/>
        <w:rPr>
          <w:rFonts w:ascii="Arial" w:eastAsia="Calibri" w:hAnsi="Arial" w:cs="Arial"/>
          <w:b/>
          <w:bCs/>
          <w:color w:val="000000"/>
          <w:sz w:val="21"/>
          <w:szCs w:val="21"/>
          <w:lang w:val="es-ES_tradnl" w:eastAsia="es-ES_tradnl"/>
        </w:rPr>
      </w:pPr>
    </w:p>
    <w:p w14:paraId="56EDE898" w14:textId="77777777" w:rsidR="00822467" w:rsidRPr="007A49CB" w:rsidRDefault="00822467" w:rsidP="00822467">
      <w:pPr>
        <w:spacing w:after="120" w:line="276" w:lineRule="auto"/>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El artículo 34 de la Ley 2069 de 2020 establece nuevas reglas sobre la promoción al desarrollo en la contratación estatal. Concretamente, esta disposición modifica el contenido del artículo 12 de la Ley 1150 de 2007</w:t>
      </w:r>
      <w:r w:rsidRPr="007A49CB">
        <w:rPr>
          <w:rFonts w:ascii="Arial" w:eastAsia="Calibri" w:hAnsi="Arial" w:cs="Arial"/>
          <w:sz w:val="21"/>
          <w:szCs w:val="21"/>
          <w:vertAlign w:val="superscript"/>
          <w:lang w:val="es-ES_tradnl" w:eastAsia="es-ES_tradnl"/>
        </w:rPr>
        <w:footnoteReference w:id="3"/>
      </w:r>
      <w:r w:rsidRPr="007A49CB">
        <w:rPr>
          <w:rFonts w:ascii="Arial" w:eastAsia="Calibri" w:hAnsi="Arial" w:cs="Arial"/>
          <w:sz w:val="21"/>
          <w:szCs w:val="21"/>
          <w:lang w:val="es-ES_tradnl" w:eastAsia="es-ES_tradnl"/>
        </w:rPr>
        <w:t>, regulación que se resume en los siguientes aspectos:</w:t>
      </w:r>
    </w:p>
    <w:p w14:paraId="0000EB3C"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lastRenderedPageBreak/>
        <w:t xml:space="preserve">i) Encomienda, con carácter imperativo, al Gobierno Nacional el deber de definir las condiciones y los montos para que las entidades estatales –cualquiera sea su régimen contractual–, los patrimonios autónomos constituidos por aquellas y los particulares que administren recursos públicos efectúen convocatorias limitadas 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en los Procesos de Contratación. Además, agrega que estas convocatorias se pueden realizar también en el ámbito municipal o departamental en el que se ejecute el contrato. </w:t>
      </w:r>
    </w:p>
    <w:p w14:paraId="3E4D125F"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proofErr w:type="spellStart"/>
      <w:r w:rsidRPr="007A49CB">
        <w:rPr>
          <w:rFonts w:ascii="Arial" w:eastAsia="Calibri" w:hAnsi="Arial" w:cs="Arial"/>
          <w:sz w:val="21"/>
          <w:szCs w:val="21"/>
          <w:lang w:val="es-ES_tradnl" w:eastAsia="es-ES_tradnl"/>
        </w:rPr>
        <w:t>ii</w:t>
      </w:r>
      <w:proofErr w:type="spellEnd"/>
      <w:r w:rsidRPr="007A49CB">
        <w:rPr>
          <w:rFonts w:ascii="Arial" w:eastAsia="Calibri" w:hAnsi="Arial" w:cs="Arial"/>
          <w:sz w:val="21"/>
          <w:szCs w:val="21"/>
          <w:lang w:val="es-ES_tradnl" w:eastAsia="es-ES_tradnl"/>
        </w:rPr>
        <w:t xml:space="preserve">) Indica que dichas convocatorias se deben efectuar siempre y cuando, antes del acto administrativo de apertura del Proceso de Selección, por lo menos dos (2)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hayan manifestado su interés.</w:t>
      </w:r>
    </w:p>
    <w:p w14:paraId="2DC69B7C"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proofErr w:type="spellStart"/>
      <w:r w:rsidRPr="007A49CB">
        <w:rPr>
          <w:rFonts w:ascii="Arial" w:eastAsia="Calibri" w:hAnsi="Arial" w:cs="Arial"/>
          <w:sz w:val="21"/>
          <w:szCs w:val="21"/>
          <w:lang w:val="es-ES_tradnl" w:eastAsia="es-ES_tradnl"/>
        </w:rPr>
        <w:t>iii</w:t>
      </w:r>
      <w:proofErr w:type="spellEnd"/>
      <w:r w:rsidRPr="007A49CB">
        <w:rPr>
          <w:rFonts w:ascii="Arial" w:eastAsia="Calibri" w:hAnsi="Arial" w:cs="Arial"/>
          <w:sz w:val="21"/>
          <w:szCs w:val="21"/>
          <w:lang w:val="es-ES_tradnl" w:eastAsia="es-ES_tradnl"/>
        </w:rPr>
        <w:t>)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w:t>
      </w:r>
    </w:p>
    <w:p w14:paraId="3747A490"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proofErr w:type="spellStart"/>
      <w:r w:rsidRPr="007A49CB">
        <w:rPr>
          <w:rFonts w:ascii="Arial" w:eastAsia="Calibri" w:hAnsi="Arial" w:cs="Arial"/>
          <w:sz w:val="21"/>
          <w:szCs w:val="21"/>
          <w:lang w:val="es-ES_tradnl" w:eastAsia="es-ES_tradnl"/>
        </w:rPr>
        <w:t>iv</w:t>
      </w:r>
      <w:proofErr w:type="spellEnd"/>
      <w:r w:rsidRPr="007A49CB">
        <w:rPr>
          <w:rFonts w:ascii="Arial" w:eastAsia="Calibri" w:hAnsi="Arial" w:cs="Arial"/>
          <w:sz w:val="21"/>
          <w:szCs w:val="21"/>
          <w:lang w:val="es-ES_tradnl" w:eastAsia="es-ES_tradnl"/>
        </w:rPr>
        <w:t xml:space="preserve">) Establece que, en el reglamento, el Gobierno Nacional podría establecer condiciones preferenciales en favor de los bienes y servicios producidos por las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sin perjuicio de los compromisos internacionales vigentes.</w:t>
      </w:r>
    </w:p>
    <w:p w14:paraId="5280EAD9"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v) Aclara que tanto las convocatorias limitadas 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como las condiciones preferenciales a favor de los bienes y servicios producidos por estas, no es óbice para que deban cumplir las exigencias técnicas y económicas del Proceso de Contratación.</w:t>
      </w:r>
    </w:p>
    <w:p w14:paraId="36BE6C10"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vi) Señala que el reglamento que expida el Gobierno Nacional, además de lo referente a las convocatorias limitadas 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deberá contener disposiciones que fomenten en la ejecución de los contratos estatales la provisión de bienes y servicios por parte de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w:t>
      </w:r>
    </w:p>
    <w:p w14:paraId="42446480"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proofErr w:type="spellStart"/>
      <w:r w:rsidRPr="007A49CB">
        <w:rPr>
          <w:rFonts w:ascii="Arial" w:eastAsia="Calibri" w:hAnsi="Arial" w:cs="Arial"/>
          <w:sz w:val="21"/>
          <w:szCs w:val="21"/>
          <w:lang w:val="es-ES_tradnl" w:eastAsia="es-ES_tradnl"/>
        </w:rPr>
        <w:lastRenderedPageBreak/>
        <w:t>vii</w:t>
      </w:r>
      <w:proofErr w:type="spellEnd"/>
      <w:r w:rsidRPr="007A49CB">
        <w:rPr>
          <w:rFonts w:ascii="Arial" w:eastAsia="Calibri" w:hAnsi="Arial" w:cs="Arial"/>
          <w:sz w:val="21"/>
          <w:szCs w:val="21"/>
          <w:lang w:val="es-ES_tradnl" w:eastAsia="es-ES_tradnl"/>
        </w:rPr>
        <w:t xml:space="preserve">) Precisa que la posibilidad de participar en convocatorias limitadas 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se encuentra condicionada a que estas acrediten como mínimo un (1) año de existencia, con el certificado expedido por la cámara de comercio respectiva o por la autoridad que sea competente para ello.</w:t>
      </w:r>
    </w:p>
    <w:p w14:paraId="54D04F4D"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proofErr w:type="spellStart"/>
      <w:r w:rsidRPr="007A49CB">
        <w:rPr>
          <w:rFonts w:ascii="Arial" w:eastAsia="Calibri" w:hAnsi="Arial" w:cs="Arial"/>
          <w:sz w:val="21"/>
          <w:szCs w:val="21"/>
          <w:lang w:val="es-ES_tradnl" w:eastAsia="es-ES_tradnl"/>
        </w:rPr>
        <w:t>viii</w:t>
      </w:r>
      <w:proofErr w:type="spellEnd"/>
      <w:r w:rsidRPr="007A49CB">
        <w:rPr>
          <w:rFonts w:ascii="Arial" w:eastAsia="Calibri" w:hAnsi="Arial" w:cs="Arial"/>
          <w:sz w:val="21"/>
          <w:szCs w:val="21"/>
          <w:lang w:val="es-ES_tradnl" w:eastAsia="es-ES_tradnl"/>
        </w:rPr>
        <w:t>)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w:t>
      </w:r>
    </w:p>
    <w:p w14:paraId="567F1DC7"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A partir de lo anterior, es posible afirmar que, el artículo 34 de la Ley 2069 de 2020 sustituyó íntegramente el contenido del artículo 12 de la Ley 1150 de 2007. En este sentido, frente a esta última norma se produjo el fenómeno de la subrogación</w:t>
      </w:r>
      <w:r w:rsidRPr="007A49CB">
        <w:rPr>
          <w:rFonts w:ascii="Arial" w:eastAsia="Calibri" w:hAnsi="Arial" w:cs="Arial"/>
          <w:sz w:val="21"/>
          <w:szCs w:val="21"/>
          <w:vertAlign w:val="superscript"/>
          <w:lang w:val="es-ES_tradnl" w:eastAsia="es-ES_tradnl"/>
        </w:rPr>
        <w:footnoteReference w:id="4"/>
      </w:r>
      <w:r w:rsidRPr="007A49CB">
        <w:rPr>
          <w:rFonts w:ascii="Arial" w:eastAsia="Calibri" w:hAnsi="Arial" w:cs="Arial"/>
          <w:sz w:val="21"/>
          <w:szCs w:val="21"/>
          <w:lang w:val="es-ES_tradnl" w:eastAsia="es-ES_tradnl"/>
        </w:rPr>
        <w:t>, dado que la disposición en estudio contiene una regulación diferente respecto de la promoción del desarrollo en la contratación estatal. Además, el primer inciso del artículo 34 de la Ley 2069 de 2020 dispone expresamente: «Modifíquese el artículo 12 de la Ley 1150 de 2007, el cual quedará así», lo que significa que la voluntad del legislador no estuvo dirigida a efectuar una reforma parcial del artículo 12 de la Ley 1150 de 2007, sino a modificarlo completamente, sustituyéndolo por uno nuevo.</w:t>
      </w:r>
    </w:p>
    <w:p w14:paraId="65A64F34" w14:textId="77777777" w:rsidR="00822467" w:rsidRPr="007A49CB" w:rsidRDefault="00822467" w:rsidP="00822467">
      <w:pPr>
        <w:spacing w:before="120"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Luego de explicar las reglas incluidas en la nueva regulación de la promoción del desarrollo en la contratación estatal, previstas en el artículo 34 de la Ley 2069 de 2020 y después de aclarar que dicha norma modificó el artículo 12 de la Ley 1150 de 2007, conviene preguntarse qué sucede con la vigencia del artículo 2.2.1.2.4.2.2 original del Decreto 1082 de 2015 –antes de la expedición del Decreto 1860 de 2021–, que hasta la promulgación de la Ley 2069 de 2020 regulaba las convocatorias limitadas a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En opinión de esta Agencia, el artículo citado del Decreto Reglamentario carece de vigencia, por dos razones que se proceden a exponer. En primer lugar, porque su contenido era contrario al del artículo 34 de la Ley 2069 de 2020, en tal sentido, operó la pérdida de fuerza ejecutoria, de conformidad con el artículo 91, numeral 2, de la Ley 1437 de 2011, el cual establece que los actos administrativos –categoría que, como es sabido, incluye los decretos reglamentarios– dejan de ser obligatorios o decaen «Cuando desaparezcan sus fundamentos de hecho o de derecho». En segundo lugar, porque con la expedición del Decreto 1860 del 24 de diciembre de 2021 se modificó, entre otros aspectos, la Subsección 5 de la Sección 1 del Capítulo 2 del Título 1 de la Parte 2 del Libro 2 y los artículos 2.2.1.2.4.2.2. y 2.2.1.2.4.2.3. y siguientes del Decreto 1082 de 2015, Único Reglamentario del Sector Administrativo de Planeación Nacional. </w:t>
      </w:r>
    </w:p>
    <w:p w14:paraId="38397E05" w14:textId="77777777" w:rsidR="00822467" w:rsidRPr="007A49CB" w:rsidRDefault="00822467" w:rsidP="00822467">
      <w:pPr>
        <w:spacing w:after="120" w:line="276" w:lineRule="auto"/>
        <w:ind w:firstLine="709"/>
        <w:jc w:val="both"/>
        <w:rPr>
          <w:rFonts w:ascii="Arial" w:eastAsia="Times New Roman" w:hAnsi="Arial" w:cs="Arial"/>
          <w:bCs/>
          <w:sz w:val="21"/>
          <w:szCs w:val="21"/>
          <w:lang w:eastAsia="es-ES"/>
        </w:rPr>
      </w:pPr>
      <w:r w:rsidRPr="007A49CB">
        <w:rPr>
          <w:rFonts w:ascii="Arial" w:eastAsia="Times New Roman" w:hAnsi="Arial" w:cs="Arial"/>
          <w:bCs/>
          <w:sz w:val="21"/>
          <w:szCs w:val="21"/>
          <w:lang w:val="es-ES_tradnl" w:eastAsia="es-ES"/>
        </w:rPr>
        <w:t xml:space="preserve">En efecto, el artículo 5 del Decreto 1860 de 2021 modificó </w:t>
      </w:r>
      <w:r w:rsidRPr="007A49CB">
        <w:rPr>
          <w:rFonts w:ascii="Arial" w:eastAsia="Times New Roman" w:hAnsi="Arial" w:cs="Arial"/>
          <w:bCs/>
          <w:sz w:val="21"/>
          <w:szCs w:val="21"/>
          <w:lang w:eastAsia="es-ES"/>
        </w:rPr>
        <w:t>los artículos 2.2.1.2.4.2.2., 2.2.1.2.4.2.3. y 2.2.1.2.4.2.4. de la Subsección 2 de la Sección 4 del Capítulo 2 del Título 1 de la Parte 2 del Libro 2 del Decreto 1082 de 2015, reglamentando</w:t>
      </w:r>
      <w:r w:rsidRPr="007A49CB">
        <w:rPr>
          <w:rFonts w:ascii="Arial" w:eastAsia="Times New Roman" w:hAnsi="Arial" w:cs="Arial"/>
          <w:bCs/>
          <w:sz w:val="21"/>
          <w:szCs w:val="21"/>
          <w:lang w:val="es-ES_tradnl" w:eastAsia="es-ES"/>
        </w:rPr>
        <w:t xml:space="preserve"> las convocatorias limitadas a </w:t>
      </w:r>
      <w:proofErr w:type="spellStart"/>
      <w:r w:rsidRPr="007A49CB">
        <w:rPr>
          <w:rFonts w:ascii="Arial" w:eastAsia="Times New Roman" w:hAnsi="Arial" w:cs="Arial"/>
          <w:bCs/>
          <w:sz w:val="21"/>
          <w:szCs w:val="21"/>
          <w:lang w:val="es-ES_tradnl" w:eastAsia="es-ES"/>
        </w:rPr>
        <w:t>Mipyme</w:t>
      </w:r>
      <w:proofErr w:type="spellEnd"/>
      <w:r w:rsidRPr="007A49CB">
        <w:rPr>
          <w:rFonts w:ascii="Arial" w:eastAsia="Times New Roman" w:hAnsi="Arial" w:cs="Arial"/>
          <w:bCs/>
          <w:sz w:val="21"/>
          <w:szCs w:val="21"/>
          <w:lang w:val="es-ES_tradnl" w:eastAsia="es-ES"/>
        </w:rPr>
        <w:t xml:space="preserve">, con fundamento en lo establecido en el artículo 34 de la Ley 2069 de 2020. Esta nueva Subsección 2 </w:t>
      </w:r>
      <w:r w:rsidRPr="007A49CB">
        <w:rPr>
          <w:rFonts w:ascii="Arial" w:eastAsia="Times New Roman" w:hAnsi="Arial" w:cs="Arial"/>
          <w:bCs/>
          <w:sz w:val="21"/>
          <w:szCs w:val="21"/>
          <w:lang w:val="es-ES_tradnl" w:eastAsia="es-ES"/>
        </w:rPr>
        <w:lastRenderedPageBreak/>
        <w:t xml:space="preserve">contempla los siguientes aspectos: i) requisitos para limitar la convocatoria de los </w:t>
      </w:r>
      <w:r w:rsidRPr="007A49CB">
        <w:rPr>
          <w:rFonts w:ascii="Arial" w:eastAsia="Times New Roman" w:hAnsi="Arial" w:cs="Arial"/>
          <w:bCs/>
          <w:sz w:val="21"/>
          <w:szCs w:val="21"/>
          <w:lang w:eastAsia="es-ES"/>
        </w:rPr>
        <w:t>procesos de contratación con pluralidad de oferentes</w:t>
      </w:r>
      <w:r w:rsidRPr="007A49CB">
        <w:rPr>
          <w:rFonts w:ascii="Arial" w:eastAsia="Times New Roman" w:hAnsi="Arial" w:cs="Arial"/>
          <w:bCs/>
          <w:sz w:val="21"/>
          <w:szCs w:val="21"/>
          <w:lang w:val="es-ES_tradnl" w:eastAsia="es-ES"/>
        </w:rPr>
        <w:t xml:space="preserve"> a las </w:t>
      </w:r>
      <w:proofErr w:type="spellStart"/>
      <w:r w:rsidRPr="007A49CB">
        <w:rPr>
          <w:rFonts w:ascii="Arial" w:eastAsia="Times New Roman" w:hAnsi="Arial" w:cs="Arial"/>
          <w:bCs/>
          <w:sz w:val="21"/>
          <w:szCs w:val="21"/>
          <w:lang w:val="es-ES_tradnl" w:eastAsia="es-ES"/>
        </w:rPr>
        <w:t>Mipyme</w:t>
      </w:r>
      <w:proofErr w:type="spellEnd"/>
      <w:r w:rsidRPr="007A49CB">
        <w:rPr>
          <w:rFonts w:ascii="Arial" w:eastAsia="Times New Roman" w:hAnsi="Arial" w:cs="Arial"/>
          <w:bCs/>
          <w:sz w:val="21"/>
          <w:szCs w:val="21"/>
          <w:lang w:val="es-ES_tradnl" w:eastAsia="es-ES"/>
        </w:rPr>
        <w:t xml:space="preserve"> colombianas con mínimo un (1) año de existencia – artículo </w:t>
      </w:r>
      <w:r w:rsidRPr="007A49CB">
        <w:rPr>
          <w:rFonts w:ascii="Arial" w:eastAsia="Times New Roman" w:hAnsi="Arial" w:cs="Arial"/>
          <w:bCs/>
          <w:sz w:val="21"/>
          <w:szCs w:val="21"/>
          <w:lang w:eastAsia="es-ES"/>
        </w:rPr>
        <w:t>2.2.1.2.4.2.2-</w:t>
      </w:r>
      <w:r w:rsidRPr="007A49CB">
        <w:rPr>
          <w:rFonts w:ascii="Arial" w:eastAsia="Times New Roman" w:hAnsi="Arial" w:cs="Arial"/>
          <w:bCs/>
          <w:sz w:val="21"/>
          <w:szCs w:val="21"/>
          <w:lang w:val="es-ES_tradnl" w:eastAsia="es-ES"/>
        </w:rPr>
        <w:t xml:space="preserve"> , </w:t>
      </w:r>
      <w:proofErr w:type="spellStart"/>
      <w:r w:rsidRPr="007A49CB">
        <w:rPr>
          <w:rFonts w:ascii="Arial" w:eastAsia="Times New Roman" w:hAnsi="Arial" w:cs="Arial"/>
          <w:bCs/>
          <w:sz w:val="21"/>
          <w:szCs w:val="21"/>
          <w:lang w:val="es-ES_tradnl" w:eastAsia="es-ES"/>
        </w:rPr>
        <w:t>ii</w:t>
      </w:r>
      <w:proofErr w:type="spellEnd"/>
      <w:r w:rsidRPr="007A49CB">
        <w:rPr>
          <w:rFonts w:ascii="Arial" w:eastAsia="Times New Roman" w:hAnsi="Arial" w:cs="Arial"/>
          <w:bCs/>
          <w:sz w:val="21"/>
          <w:szCs w:val="21"/>
          <w:lang w:val="es-ES_tradnl" w:eastAsia="es-ES"/>
        </w:rPr>
        <w:t xml:space="preserve">) desarrolla las </w:t>
      </w:r>
      <w:r w:rsidRPr="007A49CB">
        <w:rPr>
          <w:rFonts w:ascii="Arial" w:eastAsia="Times New Roman" w:hAnsi="Arial" w:cs="Arial"/>
          <w:bCs/>
          <w:sz w:val="21"/>
          <w:szCs w:val="21"/>
          <w:lang w:eastAsia="es-ES"/>
        </w:rPr>
        <w:t xml:space="preserve">convocatorias limitadas a </w:t>
      </w:r>
      <w:proofErr w:type="spellStart"/>
      <w:r w:rsidRPr="007A49CB">
        <w:rPr>
          <w:rFonts w:ascii="Arial" w:eastAsia="Times New Roman" w:hAnsi="Arial" w:cs="Arial"/>
          <w:bCs/>
          <w:sz w:val="21"/>
          <w:szCs w:val="21"/>
          <w:lang w:eastAsia="es-ES"/>
        </w:rPr>
        <w:t>Mipyme</w:t>
      </w:r>
      <w:proofErr w:type="spellEnd"/>
      <w:r w:rsidRPr="007A49CB">
        <w:rPr>
          <w:rFonts w:ascii="Arial" w:eastAsia="Times New Roman" w:hAnsi="Arial" w:cs="Arial"/>
          <w:bCs/>
          <w:sz w:val="21"/>
          <w:szCs w:val="21"/>
          <w:lang w:eastAsia="es-ES"/>
        </w:rPr>
        <w:t xml:space="preserve"> colombianas que tengan domicilio en los departamentos o municipios en donde se va a ejecutar el contrato – artículo 2.2.1.2.4.2.3.,</w:t>
      </w:r>
      <w:r w:rsidRPr="007A49CB">
        <w:rPr>
          <w:rFonts w:ascii="Arial" w:eastAsia="Times New Roman" w:hAnsi="Arial" w:cs="Arial"/>
          <w:bCs/>
          <w:sz w:val="21"/>
          <w:szCs w:val="21"/>
          <w:lang w:val="es-ES_tradnl" w:eastAsia="es-ES"/>
        </w:rPr>
        <w:t xml:space="preserve"> y </w:t>
      </w:r>
      <w:proofErr w:type="spellStart"/>
      <w:r w:rsidRPr="007A49CB">
        <w:rPr>
          <w:rFonts w:ascii="Arial" w:eastAsia="Times New Roman" w:hAnsi="Arial" w:cs="Arial"/>
          <w:bCs/>
          <w:sz w:val="21"/>
          <w:szCs w:val="21"/>
          <w:lang w:val="es-ES_tradnl" w:eastAsia="es-ES"/>
        </w:rPr>
        <w:t>iii</w:t>
      </w:r>
      <w:proofErr w:type="spellEnd"/>
      <w:r w:rsidRPr="007A49CB">
        <w:rPr>
          <w:rFonts w:ascii="Arial" w:eastAsia="Times New Roman" w:hAnsi="Arial" w:cs="Arial"/>
          <w:bCs/>
          <w:sz w:val="21"/>
          <w:szCs w:val="21"/>
          <w:lang w:val="es-ES_tradnl" w:eastAsia="es-ES"/>
        </w:rPr>
        <w:t xml:space="preserve">) </w:t>
      </w:r>
      <w:r w:rsidRPr="007A49CB">
        <w:rPr>
          <w:rFonts w:ascii="Arial" w:eastAsia="Times New Roman" w:hAnsi="Arial" w:cs="Arial"/>
          <w:bCs/>
          <w:sz w:val="21"/>
          <w:szCs w:val="21"/>
          <w:lang w:eastAsia="es-ES"/>
        </w:rPr>
        <w:t>regula la forma de acreditación de los requisitos para participar en convocatorias limitadas – artículo 2.2.1.2.4.2.4-.</w:t>
      </w:r>
    </w:p>
    <w:p w14:paraId="10A45086" w14:textId="77777777" w:rsidR="00822467" w:rsidRPr="007A49CB" w:rsidRDefault="00822467" w:rsidP="00822467">
      <w:pPr>
        <w:spacing w:after="120" w:line="276" w:lineRule="auto"/>
        <w:ind w:firstLine="709"/>
        <w:jc w:val="both"/>
        <w:rPr>
          <w:rFonts w:ascii="Arial" w:eastAsia="Times New Roman" w:hAnsi="Arial" w:cs="Arial"/>
          <w:bCs/>
          <w:sz w:val="21"/>
          <w:szCs w:val="21"/>
          <w:lang w:val="es-ES_tradnl" w:eastAsia="es-ES"/>
        </w:rPr>
      </w:pPr>
      <w:r w:rsidRPr="007A49CB">
        <w:rPr>
          <w:rFonts w:ascii="Arial" w:eastAsia="Times New Roman" w:hAnsi="Arial" w:cs="Arial"/>
          <w:bCs/>
          <w:sz w:val="21"/>
          <w:szCs w:val="21"/>
          <w:lang w:val="es-ES_tradnl" w:eastAsia="es-ES"/>
        </w:rPr>
        <w:t xml:space="preserve">De esta 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7A49CB">
        <w:rPr>
          <w:rFonts w:ascii="Arial" w:eastAsia="Times New Roman" w:hAnsi="Arial" w:cs="Arial"/>
          <w:bCs/>
          <w:sz w:val="21"/>
          <w:szCs w:val="21"/>
          <w:lang w:val="es-ES_tradnl" w:eastAsia="es-ES"/>
        </w:rPr>
        <w:t>Mipyme</w:t>
      </w:r>
      <w:proofErr w:type="spellEnd"/>
      <w:r w:rsidRPr="007A49CB">
        <w:rPr>
          <w:rFonts w:ascii="Arial" w:eastAsia="Times New Roman" w:hAnsi="Arial" w:cs="Arial"/>
          <w:bCs/>
          <w:sz w:val="21"/>
          <w:szCs w:val="21"/>
          <w:lang w:val="es-ES_tradnl" w:eastAsia="es-ES"/>
        </w:rPr>
        <w:t>,</w:t>
      </w:r>
      <w:r w:rsidRPr="007A49CB">
        <w:rPr>
          <w:rFonts w:ascii="Arial" w:eastAsia="Calibri" w:hAnsi="Arial" w:cs="Arial"/>
          <w:sz w:val="21"/>
          <w:szCs w:val="21"/>
          <w:lang w:val="es-ES_tradnl" w:eastAsia="es-ES_tradnl"/>
        </w:rPr>
        <w:t xml:space="preserve"> </w:t>
      </w:r>
      <w:r w:rsidRPr="007A49CB">
        <w:rPr>
          <w:rFonts w:ascii="Arial" w:eastAsia="Times New Roman" w:hAnsi="Arial" w:cs="Arial"/>
          <w:bCs/>
          <w:sz w:val="21"/>
          <w:szCs w:val="21"/>
          <w:lang w:val="es-ES_tradnl" w:eastAsia="es-ES"/>
        </w:rPr>
        <w:t xml:space="preserve">disposición que entró a regir desde el pasado 24 de marzo de 2022, pues, como se indicó, </w:t>
      </w:r>
      <w:r w:rsidRPr="007A49CB">
        <w:rPr>
          <w:rFonts w:ascii="Arial" w:eastAsia="Calibri" w:hAnsi="Arial" w:cs="Arial"/>
          <w:sz w:val="21"/>
          <w:szCs w:val="21"/>
          <w:lang w:val="es-ES_tradnl" w:eastAsia="es-ES_tradnl"/>
        </w:rPr>
        <w:t>el artículo 8 de dicho decreto sometió su vigencia al transcurso del periodo de tres (3) meses siguientes a su expedición.</w:t>
      </w:r>
    </w:p>
    <w:p w14:paraId="0AB1DBD5" w14:textId="77777777" w:rsidR="00822467" w:rsidRPr="007A49CB" w:rsidRDefault="00822467" w:rsidP="00822467">
      <w:pPr>
        <w:spacing w:after="0" w:line="276" w:lineRule="auto"/>
        <w:ind w:firstLine="709"/>
        <w:jc w:val="both"/>
        <w:rPr>
          <w:rFonts w:ascii="Arial" w:eastAsia="Arial" w:hAnsi="Arial" w:cs="Arial"/>
          <w:color w:val="000000"/>
          <w:sz w:val="21"/>
          <w:szCs w:val="21"/>
          <w:lang w:eastAsia="es-ES_tradnl"/>
        </w:rPr>
      </w:pPr>
      <w:r w:rsidRPr="007A49CB">
        <w:rPr>
          <w:rFonts w:ascii="Arial" w:eastAsia="Arial" w:hAnsi="Arial" w:cs="Arial"/>
          <w:color w:val="000000"/>
          <w:sz w:val="21"/>
          <w:szCs w:val="21"/>
          <w:lang w:eastAsia="es-ES_tradnl"/>
        </w:rPr>
        <w:t xml:space="preserve">En este contexto, el artículo 2.2.1.2.4.2.2. del Decreto 1082 de 2015 –modificado por el Decreto 1860 de 2021– establece los requisitos que se deben acreditar en las «convocatorias limitadas a </w:t>
      </w:r>
      <w:proofErr w:type="spellStart"/>
      <w:r w:rsidRPr="007A49CB">
        <w:rPr>
          <w:rFonts w:ascii="Arial" w:eastAsia="Arial" w:hAnsi="Arial" w:cs="Arial"/>
          <w:color w:val="000000"/>
          <w:sz w:val="21"/>
          <w:szCs w:val="21"/>
          <w:lang w:eastAsia="es-ES_tradnl"/>
        </w:rPr>
        <w:t>Mipymes</w:t>
      </w:r>
      <w:proofErr w:type="spellEnd"/>
      <w:r w:rsidRPr="007A49CB">
        <w:rPr>
          <w:rFonts w:ascii="Arial" w:eastAsia="Arial" w:hAnsi="Arial" w:cs="Arial"/>
          <w:color w:val="000000"/>
          <w:sz w:val="21"/>
          <w:szCs w:val="21"/>
          <w:lang w:eastAsia="es-ES_tradnl"/>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7A49CB">
        <w:rPr>
          <w:rFonts w:ascii="Arial" w:eastAsia="Arial" w:hAnsi="Arial" w:cs="Arial"/>
          <w:color w:val="000000"/>
          <w:sz w:val="21"/>
          <w:szCs w:val="21"/>
          <w:lang w:eastAsia="es-ES_tradnl"/>
        </w:rPr>
        <w:t>Mipyme</w:t>
      </w:r>
      <w:proofErr w:type="spellEnd"/>
      <w:r w:rsidRPr="007A49CB">
        <w:rPr>
          <w:rFonts w:ascii="Arial" w:eastAsia="Arial" w:hAnsi="Arial" w:cs="Arial"/>
          <w:color w:val="000000"/>
          <w:sz w:val="21"/>
          <w:szCs w:val="21"/>
          <w:lang w:eastAsia="es-ES_tradnl"/>
        </w:rPr>
        <w:t xml:space="preserve"> colombianas con mínimo un (1) año de existencia, siempre que se cumplan los requisitos señalados allí. Al respecto, el referido artículo indica lo siguiente: </w:t>
      </w:r>
    </w:p>
    <w:p w14:paraId="644B21DD" w14:textId="77777777" w:rsidR="00822467" w:rsidRPr="007A49CB" w:rsidRDefault="00822467" w:rsidP="00822467">
      <w:pPr>
        <w:spacing w:after="0" w:line="276" w:lineRule="auto"/>
        <w:ind w:firstLine="709"/>
        <w:jc w:val="both"/>
        <w:rPr>
          <w:rFonts w:ascii="Arial" w:eastAsia="Arial" w:hAnsi="Arial" w:cs="Arial"/>
          <w:color w:val="000000"/>
          <w:sz w:val="21"/>
          <w:szCs w:val="21"/>
          <w:lang w:eastAsia="es-ES_tradnl"/>
        </w:rPr>
      </w:pPr>
    </w:p>
    <w:p w14:paraId="315F10EC"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Arial" w:hAnsi="Arial" w:cs="Arial"/>
          <w:color w:val="000000"/>
          <w:sz w:val="20"/>
          <w:szCs w:val="20"/>
          <w:lang w:eastAsia="es-ES_tradnl"/>
        </w:rPr>
        <w:t>«</w:t>
      </w:r>
      <w:r w:rsidRPr="007A49CB">
        <w:rPr>
          <w:rFonts w:ascii="Arial" w:eastAsia="Calibri" w:hAnsi="Arial" w:cs="Arial"/>
          <w:sz w:val="20"/>
          <w:szCs w:val="20"/>
          <w:lang w:val="es-ES_tradnl" w:eastAsia="es-ES_tradnl"/>
        </w:rPr>
        <w:t xml:space="preserve">Artículo 2.2.1.2.4.2.2. Convocatorias Imitadas a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colombianas con mínimo un (1) año de existencia, cuando concurran los siguientes requisitos: </w:t>
      </w:r>
    </w:p>
    <w:p w14:paraId="27190E52"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07471870"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4D814073"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72926BB8"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2. Se hayan recibido solicitudes de por lo menos dos (2)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colombianas para limitar la convocatoria a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cuyo objeto social les permita ejecutar el contrato relacionado con el proceso contractual.</w:t>
      </w:r>
    </w:p>
    <w:p w14:paraId="763B59EB"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5DF571BF"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Parágrafo. Las cooperativas y demás entidades de economía solidaria, siempre que tengan la calidad de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podrán solicitar y participar en las convocatorias limitadas en las mismas condiciones dispuestas en el presente artículo</w:t>
      </w:r>
      <w:r w:rsidRPr="007A49CB">
        <w:rPr>
          <w:rFonts w:ascii="Arial" w:eastAsia="Arial" w:hAnsi="Arial" w:cs="Arial"/>
          <w:color w:val="000000"/>
          <w:sz w:val="20"/>
          <w:szCs w:val="20"/>
          <w:lang w:eastAsia="es-ES_tradnl"/>
        </w:rPr>
        <w:t>»</w:t>
      </w:r>
      <w:r w:rsidRPr="007A49CB">
        <w:rPr>
          <w:rFonts w:ascii="Arial" w:eastAsia="Calibri" w:hAnsi="Arial" w:cs="Arial"/>
          <w:sz w:val="20"/>
          <w:szCs w:val="20"/>
          <w:lang w:val="es-ES_tradnl" w:eastAsia="es-ES_tradnl"/>
        </w:rPr>
        <w:t>.</w:t>
      </w:r>
    </w:p>
    <w:p w14:paraId="2C19A373" w14:textId="77777777" w:rsidR="00822467" w:rsidRPr="007A49CB" w:rsidRDefault="00822467" w:rsidP="00822467">
      <w:pPr>
        <w:spacing w:after="0" w:line="276" w:lineRule="auto"/>
        <w:ind w:firstLine="709"/>
        <w:jc w:val="both"/>
        <w:rPr>
          <w:rFonts w:ascii="Arial" w:eastAsia="Arial" w:hAnsi="Arial" w:cs="Arial"/>
          <w:color w:val="000000"/>
          <w:sz w:val="21"/>
          <w:szCs w:val="21"/>
          <w:lang w:eastAsia="es-ES_tradnl"/>
        </w:rPr>
      </w:pPr>
    </w:p>
    <w:p w14:paraId="6EA03E4D" w14:textId="77777777" w:rsidR="00822467" w:rsidRPr="007A49CB" w:rsidRDefault="00822467" w:rsidP="00822467">
      <w:pPr>
        <w:spacing w:after="120" w:line="276" w:lineRule="auto"/>
        <w:ind w:firstLine="709"/>
        <w:jc w:val="both"/>
        <w:rPr>
          <w:rFonts w:ascii="Arial" w:eastAsia="Arial" w:hAnsi="Arial" w:cs="Arial"/>
          <w:color w:val="000000"/>
          <w:sz w:val="21"/>
          <w:szCs w:val="21"/>
          <w:lang w:eastAsia="es-ES_tradnl"/>
        </w:rPr>
      </w:pPr>
      <w:r w:rsidRPr="007A49CB">
        <w:rPr>
          <w:rFonts w:ascii="Arial" w:eastAsia="Arial" w:hAnsi="Arial" w:cs="Arial"/>
          <w:color w:val="000000"/>
          <w:sz w:val="21"/>
          <w:szCs w:val="21"/>
          <w:lang w:eastAsia="es-ES_tradnl"/>
        </w:rPr>
        <w:lastRenderedPageBreak/>
        <w:t xml:space="preserve">Según se evidencia, el numeral primero limita cuantitativamente los procesos contractuales en los que se puede hacer esa convocatoria limitada a </w:t>
      </w:r>
      <w:proofErr w:type="spellStart"/>
      <w:r w:rsidRPr="007A49CB">
        <w:rPr>
          <w:rFonts w:ascii="Arial" w:eastAsia="Arial" w:hAnsi="Arial" w:cs="Arial"/>
          <w:color w:val="000000"/>
          <w:sz w:val="21"/>
          <w:szCs w:val="21"/>
          <w:lang w:eastAsia="es-ES_tradnl"/>
        </w:rPr>
        <w:t>Mipyme</w:t>
      </w:r>
      <w:proofErr w:type="spellEnd"/>
      <w:r w:rsidRPr="007A49CB">
        <w:rPr>
          <w:rFonts w:ascii="Arial" w:eastAsia="Arial" w:hAnsi="Arial" w:cs="Arial"/>
          <w:color w:val="000000"/>
          <w:sz w:val="21"/>
          <w:szCs w:val="21"/>
          <w:lang w:eastAsia="es-ES_tradnl"/>
        </w:rPr>
        <w:t>, en la medida en que el valor del proceso de contratación tendrá que ser «menor a ciento veinticinco mil dólares de los Estados Unidos de América». Esta limitante, valga la pena aclarar, es establecida de acuerdo con la tasa que, para el efecto, determine cada dos (2) años el Ministerio de Comercio, Industria y Turismo</w:t>
      </w:r>
      <w:r w:rsidRPr="007A49CB">
        <w:rPr>
          <w:rFonts w:ascii="Arial" w:eastAsia="Arial" w:hAnsi="Arial" w:cs="Arial"/>
          <w:color w:val="000000"/>
          <w:sz w:val="21"/>
          <w:szCs w:val="21"/>
          <w:vertAlign w:val="superscript"/>
          <w:lang w:eastAsia="es-ES_tradnl"/>
        </w:rPr>
        <w:footnoteReference w:id="5"/>
      </w:r>
      <w:r w:rsidRPr="007A49CB">
        <w:rPr>
          <w:rFonts w:ascii="Arial" w:eastAsia="Arial" w:hAnsi="Arial" w:cs="Arial"/>
          <w:color w:val="000000"/>
          <w:sz w:val="21"/>
          <w:szCs w:val="21"/>
          <w:lang w:eastAsia="es-ES_tradnl"/>
        </w:rPr>
        <w:t xml:space="preserve">. Por su parte, el numeral segundo establece dos exigencias: por un lado, que al menos dos (2) </w:t>
      </w:r>
      <w:proofErr w:type="spellStart"/>
      <w:r w:rsidRPr="007A49CB">
        <w:rPr>
          <w:rFonts w:ascii="Arial" w:eastAsia="Arial" w:hAnsi="Arial" w:cs="Arial"/>
          <w:color w:val="000000"/>
          <w:sz w:val="21"/>
          <w:szCs w:val="21"/>
          <w:lang w:eastAsia="es-ES_tradnl"/>
        </w:rPr>
        <w:t>Mipyme</w:t>
      </w:r>
      <w:proofErr w:type="spellEnd"/>
      <w:r w:rsidRPr="007A49CB">
        <w:rPr>
          <w:rFonts w:ascii="Arial" w:eastAsia="Arial" w:hAnsi="Arial" w:cs="Arial"/>
          <w:color w:val="000000"/>
          <w:sz w:val="21"/>
          <w:szCs w:val="21"/>
          <w:lang w:eastAsia="es-ES_tradnl"/>
        </w:rPr>
        <w:t xml:space="preserve"> colombianas presenten a la entidad la solicitud de limitar el proceso contractual y, por el otro, que hagan la solicitud por lo menos un día (1) hábil antes de la expedición del acto administrativo de apertura </w:t>
      </w:r>
      <w:r w:rsidRPr="007A49CB">
        <w:rPr>
          <w:rFonts w:ascii="Arial" w:eastAsia="Arial" w:hAnsi="Arial" w:cs="Arial"/>
          <w:color w:val="000000"/>
          <w:sz w:val="21"/>
          <w:szCs w:val="21"/>
          <w:lang w:val="es-ES_tradnl" w:eastAsia="es-ES_tradnl"/>
        </w:rPr>
        <w:t>o el que haga sus veces de acuerdo con la normativa aplicable a cada Proceso de Contratación</w:t>
      </w:r>
      <w:r w:rsidRPr="007A49CB">
        <w:rPr>
          <w:rFonts w:ascii="Arial" w:eastAsia="Arial" w:hAnsi="Arial" w:cs="Arial"/>
          <w:color w:val="000000"/>
          <w:sz w:val="21"/>
          <w:szCs w:val="21"/>
          <w:lang w:eastAsia="es-ES_tradnl"/>
        </w:rPr>
        <w:t xml:space="preserve">. Además, la norma señala que, </w:t>
      </w:r>
      <w:r w:rsidRPr="007A49CB">
        <w:rPr>
          <w:rFonts w:ascii="Arial" w:eastAsia="Arial" w:hAnsi="Arial" w:cs="Arial"/>
          <w:color w:val="000000"/>
          <w:sz w:val="21"/>
          <w:szCs w:val="21"/>
          <w:lang w:val="es-ES_tradnl" w:eastAsia="es-ES_tradnl"/>
        </w:rPr>
        <w:t xml:space="preserve">tratándose de personas jurídicas, las solicitudes solo las podrán realizar </w:t>
      </w:r>
      <w:proofErr w:type="spellStart"/>
      <w:r w:rsidRPr="007A49CB">
        <w:rPr>
          <w:rFonts w:ascii="Arial" w:eastAsia="Arial" w:hAnsi="Arial" w:cs="Arial"/>
          <w:color w:val="000000"/>
          <w:sz w:val="21"/>
          <w:szCs w:val="21"/>
          <w:lang w:val="es-ES_tradnl" w:eastAsia="es-ES_tradnl"/>
        </w:rPr>
        <w:t>Mipyme</w:t>
      </w:r>
      <w:proofErr w:type="spellEnd"/>
      <w:r w:rsidRPr="007A49CB">
        <w:rPr>
          <w:rFonts w:ascii="Arial" w:eastAsia="Arial" w:hAnsi="Arial" w:cs="Arial"/>
          <w:color w:val="000000"/>
          <w:sz w:val="21"/>
          <w:szCs w:val="21"/>
          <w:lang w:val="es-ES_tradnl" w:eastAsia="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7A49CB">
        <w:rPr>
          <w:rFonts w:ascii="Arial" w:eastAsia="Arial" w:hAnsi="Arial" w:cs="Arial"/>
          <w:color w:val="000000"/>
          <w:sz w:val="21"/>
          <w:szCs w:val="21"/>
          <w:lang w:val="es-ES_tradnl" w:eastAsia="es-ES_tradnl"/>
        </w:rPr>
        <w:t>Mipyme</w:t>
      </w:r>
      <w:proofErr w:type="spellEnd"/>
      <w:r w:rsidRPr="007A49CB">
        <w:rPr>
          <w:rFonts w:ascii="Arial" w:eastAsia="Arial" w:hAnsi="Arial" w:cs="Arial"/>
          <w:color w:val="000000"/>
          <w:sz w:val="21"/>
          <w:szCs w:val="21"/>
          <w:lang w:val="es-ES_tradnl" w:eastAsia="es-ES_tradnl"/>
        </w:rPr>
        <w:t xml:space="preserve">, siempre que estas cumplan con las condiciones señaladas en el artículo. </w:t>
      </w:r>
    </w:p>
    <w:p w14:paraId="148313C6" w14:textId="77777777" w:rsidR="00822467" w:rsidRPr="007A49CB" w:rsidRDefault="00822467" w:rsidP="00822467">
      <w:pPr>
        <w:spacing w:after="120" w:line="276" w:lineRule="auto"/>
        <w:ind w:firstLine="709"/>
        <w:jc w:val="both"/>
        <w:rPr>
          <w:rFonts w:ascii="Arial" w:eastAsia="Times New Roman" w:hAnsi="Arial" w:cs="Arial"/>
          <w:sz w:val="21"/>
          <w:lang w:val="es-ES" w:eastAsia="es-MX"/>
        </w:rPr>
      </w:pPr>
      <w:r w:rsidRPr="007A49CB">
        <w:rPr>
          <w:rFonts w:ascii="Arial" w:eastAsia="Arial" w:hAnsi="Arial" w:cs="Arial"/>
          <w:color w:val="000000"/>
          <w:sz w:val="21"/>
          <w:szCs w:val="21"/>
          <w:lang w:val="es-ES_tradnl" w:eastAsia="es-ES_tradnl"/>
        </w:rPr>
        <w:t>Así las cosas,</w:t>
      </w:r>
      <w:r w:rsidRPr="007A49CB">
        <w:rPr>
          <w:rFonts w:ascii="Arial" w:eastAsia="Times New Roman" w:hAnsi="Arial" w:cs="Arial"/>
          <w:sz w:val="21"/>
          <w:lang w:val="es-ES" w:eastAsia="es-MX"/>
        </w:rPr>
        <w:t xml:space="preserve"> en todos los Procesos de Contratación, independientemente de la modalidad de selección, las entidades cualquiera que sea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7A49CB">
        <w:rPr>
          <w:rFonts w:ascii="Arial" w:eastAsia="Times New Roman" w:hAnsi="Arial" w:cs="Arial"/>
          <w:sz w:val="21"/>
          <w:lang w:val="es-ES" w:eastAsia="es-MX"/>
        </w:rPr>
        <w:t>Mipyme</w:t>
      </w:r>
      <w:proofErr w:type="spellEnd"/>
      <w:r w:rsidRPr="007A49CB">
        <w:rPr>
          <w:rFonts w:ascii="Arial" w:eastAsia="Times New Roman" w:hAnsi="Arial" w:cs="Arial"/>
          <w:sz w:val="21"/>
          <w:lang w:val="es-ES" w:eastAsia="es-MX"/>
        </w:rPr>
        <w:t xml:space="preserve"> colombianas con mínimo un (1) año de existencia, cuando se cumplan los requisitos previstos en el artículo 2.2.1.2.4.2.2 del Decreto 1082 de 2015 anteriormente señalado y siempre que cuenten con mínimo un (1) año de existencia.</w:t>
      </w:r>
    </w:p>
    <w:p w14:paraId="039A59E4" w14:textId="77777777" w:rsidR="00822467" w:rsidRPr="007A49CB" w:rsidRDefault="00822467" w:rsidP="00822467">
      <w:pPr>
        <w:spacing w:after="0" w:line="276" w:lineRule="auto"/>
        <w:ind w:firstLine="709"/>
        <w:jc w:val="both"/>
        <w:rPr>
          <w:rFonts w:ascii="Arial" w:eastAsia="Calibri" w:hAnsi="Arial" w:cs="Arial"/>
          <w:sz w:val="21"/>
          <w:lang w:val="es-ES_tradnl" w:eastAsia="es-ES_tradnl"/>
        </w:rPr>
      </w:pPr>
      <w:r w:rsidRPr="007A49CB">
        <w:rPr>
          <w:rFonts w:ascii="Arial" w:eastAsia="Calibri" w:hAnsi="Arial" w:cs="Arial"/>
          <w:sz w:val="21"/>
          <w:szCs w:val="21"/>
          <w:lang w:val="es-ES_tradnl" w:eastAsia="es-ES_tradnl"/>
        </w:rPr>
        <w:t>En relación con las limitaciones territorial</w:t>
      </w:r>
      <w:r w:rsidRPr="007A49CB">
        <w:rPr>
          <w:rFonts w:ascii="Arial" w:eastAsia="Times New Roman" w:hAnsi="Arial" w:cs="Arial"/>
          <w:sz w:val="21"/>
          <w:szCs w:val="21"/>
          <w:lang w:val="es-ES_tradnl" w:eastAsia="es-ES_tradnl"/>
        </w:rPr>
        <w:t xml:space="preserve">es de las convocatorias a </w:t>
      </w:r>
      <w:proofErr w:type="spellStart"/>
      <w:r w:rsidRPr="007A49CB">
        <w:rPr>
          <w:rFonts w:ascii="Arial" w:eastAsia="Times New Roman" w:hAnsi="Arial" w:cs="Arial"/>
          <w:sz w:val="21"/>
          <w:szCs w:val="21"/>
          <w:lang w:val="es-ES_tradnl" w:eastAsia="es-ES_tradnl"/>
        </w:rPr>
        <w:t>Mipyme</w:t>
      </w:r>
      <w:proofErr w:type="spellEnd"/>
      <w:r w:rsidRPr="007A49CB">
        <w:rPr>
          <w:rFonts w:ascii="Arial" w:eastAsia="Times New Roman" w:hAnsi="Arial" w:cs="Arial"/>
          <w:sz w:val="21"/>
          <w:szCs w:val="21"/>
          <w:lang w:val="es-ES_tradnl" w:eastAsia="es-ES_tradnl"/>
        </w:rPr>
        <w:t xml:space="preserve">, </w:t>
      </w:r>
      <w:r w:rsidRPr="007A49CB">
        <w:rPr>
          <w:rFonts w:ascii="Arial" w:eastAsia="Calibri" w:hAnsi="Arial" w:cs="Arial"/>
          <w:sz w:val="21"/>
          <w:szCs w:val="21"/>
          <w:lang w:val="es-ES_tradnl" w:eastAsia="es-ES_tradnl"/>
        </w:rPr>
        <w:t xml:space="preserve"> a la luz del antiguo artículo 2.2.1.2.4.2.3 del Decreto 1082 de 2015, esta Agencia –</w:t>
      </w:r>
      <w:r w:rsidRPr="007A49CB">
        <w:rPr>
          <w:rFonts w:ascii="Arial" w:eastAsia="Times New Roman" w:hAnsi="Arial" w:cs="Arial"/>
          <w:sz w:val="21"/>
          <w:lang w:val="es-ES_tradnl" w:eastAsia="es-ES_tradnl"/>
        </w:rPr>
        <w:t>en los conceptos del 29 de enero de 2018 −radicado No. 4201714000006924−,</w:t>
      </w:r>
      <w:r w:rsidRPr="007A49CB">
        <w:rPr>
          <w:rFonts w:ascii="Arial" w:eastAsia="Calibri" w:hAnsi="Arial" w:cs="Arial"/>
          <w:sz w:val="21"/>
          <w:lang w:val="es-ES_tradnl" w:eastAsia="es-ES_tradnl"/>
        </w:rPr>
        <w:t xml:space="preserve"> C – 045 del 17 de marzo de 2020, C – 162 del 16 de abril de 2020, C – 214 del 21 de abril de 2020, C – 258 del 17 de abril de 2020, C – 364 del 4 de junio de 2020, C – 413 del 30 de junio de 2020</w:t>
      </w:r>
      <w:r w:rsidRPr="007A49CB">
        <w:rPr>
          <w:rFonts w:ascii="Arial" w:eastAsia="Times New Roman" w:hAnsi="Arial" w:cs="Arial"/>
          <w:sz w:val="21"/>
          <w:lang w:val="es-ES_tradnl" w:eastAsia="es-ES_tradnl"/>
        </w:rPr>
        <w:t xml:space="preserve">, </w:t>
      </w:r>
      <w:r w:rsidRPr="007A49CB">
        <w:rPr>
          <w:rFonts w:ascii="Arial" w:eastAsia="Calibri" w:hAnsi="Arial" w:cs="Arial"/>
          <w:sz w:val="21"/>
          <w:lang w:val="es-ES_tradnl" w:eastAsia="es-ES_tradnl"/>
        </w:rPr>
        <w:t>C – 492 del 24 de julio de 2020, C – 523 del 11 de agosto de 2020, C – 610 del 14 de septiembre de 2020 y C-700 de 1 de diciembre de 2020–</w:t>
      </w:r>
      <w:r w:rsidRPr="007A49CB">
        <w:rPr>
          <w:rFonts w:ascii="Arial" w:eastAsia="Calibri" w:hAnsi="Arial" w:cs="Arial"/>
          <w:sz w:val="21"/>
          <w:szCs w:val="21"/>
          <w:lang w:val="es-ES_tradnl" w:eastAsia="es-ES_tradnl"/>
        </w:rPr>
        <w:t xml:space="preserve"> había sostenido que, para que se permitiera la participación de una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en uno de estos procesos, era necesario que tuviera su domicilio principal en el lugar de ejecución del contrato, no resultando valido cumplir con este requisito a través de sucursales. La tesis se expuso en los siguientes términos</w:t>
      </w:r>
      <w:r w:rsidRPr="007A49CB">
        <w:rPr>
          <w:rFonts w:ascii="Arial" w:eastAsia="Calibri" w:hAnsi="Arial" w:cs="Arial"/>
          <w:sz w:val="21"/>
          <w:lang w:val="es-ES_tradnl" w:eastAsia="es-ES_tradnl"/>
        </w:rPr>
        <w:t xml:space="preserve">: </w:t>
      </w:r>
    </w:p>
    <w:p w14:paraId="537733D4" w14:textId="77777777" w:rsidR="00822467" w:rsidRPr="007A49CB" w:rsidRDefault="00822467" w:rsidP="00822467">
      <w:pPr>
        <w:spacing w:after="0" w:line="276" w:lineRule="auto"/>
        <w:ind w:firstLine="709"/>
        <w:jc w:val="both"/>
        <w:rPr>
          <w:rFonts w:ascii="Arial" w:eastAsia="Calibri" w:hAnsi="Arial" w:cs="Arial"/>
          <w:sz w:val="21"/>
          <w:lang w:val="es-ES_tradnl" w:eastAsia="es-ES_tradnl"/>
        </w:rPr>
      </w:pPr>
    </w:p>
    <w:p w14:paraId="1F0C281B"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r w:rsidRPr="007A49CB">
        <w:rPr>
          <w:rFonts w:ascii="Arial" w:eastAsia="Arial" w:hAnsi="Arial" w:cs="Arial"/>
          <w:color w:val="000000"/>
          <w:sz w:val="20"/>
          <w:szCs w:val="20"/>
          <w:lang w:eastAsia="es-ES_tradnl"/>
        </w:rPr>
        <w:t>«</w:t>
      </w:r>
      <w:r w:rsidRPr="007A49CB">
        <w:rPr>
          <w:rFonts w:ascii="Arial" w:eastAsia="Times New Roman" w:hAnsi="Arial" w:cs="Arial"/>
          <w:sz w:val="20"/>
          <w:szCs w:val="20"/>
          <w:lang w:val="es-ES_tradnl" w:eastAsia="es-ES_tradnl"/>
        </w:rPr>
        <w:t xml:space="preserve">Es de resaltar que </w:t>
      </w:r>
      <w:r w:rsidRPr="007A49CB">
        <w:rPr>
          <w:rFonts w:ascii="Arial" w:eastAsia="Times New Roman" w:hAnsi="Arial" w:cs="Arial"/>
          <w:i/>
          <w:iCs/>
          <w:sz w:val="20"/>
          <w:szCs w:val="20"/>
          <w:lang w:val="es-ES_tradnl" w:eastAsia="es-ES_tradnl"/>
        </w:rPr>
        <w:t xml:space="preserve">estas normas se refieren a las </w:t>
      </w:r>
      <w:proofErr w:type="spellStart"/>
      <w:r w:rsidRPr="007A49CB">
        <w:rPr>
          <w:rFonts w:ascii="Arial" w:eastAsia="Times New Roman" w:hAnsi="Arial" w:cs="Arial"/>
          <w:i/>
          <w:iCs/>
          <w:sz w:val="20"/>
          <w:szCs w:val="20"/>
          <w:lang w:val="es-ES_tradnl" w:eastAsia="es-ES_tradnl"/>
        </w:rPr>
        <w:t>Mipymes</w:t>
      </w:r>
      <w:proofErr w:type="spellEnd"/>
      <w:r w:rsidRPr="007A49CB">
        <w:rPr>
          <w:rFonts w:ascii="Arial" w:eastAsia="Times New Roman" w:hAnsi="Arial" w:cs="Arial"/>
          <w:i/>
          <w:iCs/>
          <w:sz w:val="20"/>
          <w:szCs w:val="20"/>
          <w:lang w:val="es-ES_tradnl" w:eastAsia="es-ES_tradnl"/>
        </w:rPr>
        <w:t xml:space="preserve"> nacionales genéricamente y, particularmente, a las </w:t>
      </w:r>
      <w:proofErr w:type="spellStart"/>
      <w:r w:rsidRPr="007A49CB">
        <w:rPr>
          <w:rFonts w:ascii="Arial" w:eastAsia="Times New Roman" w:hAnsi="Arial" w:cs="Arial"/>
          <w:i/>
          <w:iCs/>
          <w:sz w:val="20"/>
          <w:szCs w:val="20"/>
          <w:lang w:val="es-ES_tradnl" w:eastAsia="es-ES_tradnl"/>
        </w:rPr>
        <w:t>Mipymes</w:t>
      </w:r>
      <w:proofErr w:type="spellEnd"/>
      <w:r w:rsidRPr="007A49CB">
        <w:rPr>
          <w:rFonts w:ascii="Arial" w:eastAsia="Times New Roman" w:hAnsi="Arial" w:cs="Arial"/>
          <w:i/>
          <w:iCs/>
          <w:sz w:val="20"/>
          <w:szCs w:val="20"/>
          <w:lang w:val="es-ES_tradnl" w:eastAsia="es-ES_tradnl"/>
        </w:rPr>
        <w:t xml:space="preserve"> nacionales «domiciliadas en los departamentos o municipios en donde se va a ejecutar el contrato».</w:t>
      </w:r>
      <w:r w:rsidRPr="007A49CB">
        <w:rPr>
          <w:rFonts w:ascii="Arial" w:eastAsia="Times New Roman" w:hAnsi="Arial" w:cs="Arial"/>
          <w:sz w:val="20"/>
          <w:szCs w:val="20"/>
          <w:lang w:val="es-ES_tradnl" w:eastAsia="es-ES_tradnl"/>
        </w:rPr>
        <w:t xml:space="preserve"> En ambos casos se refiere a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nacionales, distinguiéndolas de las empresas extranjeras. Del artículo 2.2.1.2.4.2.3. del Decreto 1082 de 2015 no se deriva que existan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del orden territorial. Esta categoría no existe en el ordenamiento jurídico. En ese sentido, toda empresa constituida bajo las leyes colombianas o que tenga su domicilio principal en el territorio colombiano y, </w:t>
      </w:r>
      <w:r w:rsidRPr="007A49CB">
        <w:rPr>
          <w:rFonts w:ascii="Arial" w:eastAsia="Times New Roman" w:hAnsi="Arial" w:cs="Arial"/>
          <w:sz w:val="20"/>
          <w:szCs w:val="20"/>
          <w:lang w:val="es-ES_tradnl" w:eastAsia="es-ES_tradnl"/>
        </w:rPr>
        <w:lastRenderedPageBreak/>
        <w:t xml:space="preserve">además, cumpla los criterios previstos por la Ley 590 de 2000 y el Decreto 957 de 2019, será considerada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del orden nacional. Otra cosa es que las normas de contratación permitan que las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nacionales con «domicilio» en un municipio o departamento puedan beneficiarse en la ejecución de un contrato dentro de la entidad territorial en la que tienen su «domicilio». De todos modos, las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domiciliadas en un municipio o departamento son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nacionales. En consecuencia, no es procedente distinguir entre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nacionales y </w:t>
      </w:r>
      <w:proofErr w:type="spellStart"/>
      <w:r w:rsidRPr="007A49CB">
        <w:rPr>
          <w:rFonts w:ascii="Arial" w:eastAsia="Times New Roman" w:hAnsi="Arial" w:cs="Arial"/>
          <w:sz w:val="20"/>
          <w:szCs w:val="20"/>
          <w:lang w:val="es-ES_tradnl" w:eastAsia="es-ES_tradnl"/>
        </w:rPr>
        <w:t>Mipymes</w:t>
      </w:r>
      <w:proofErr w:type="spellEnd"/>
      <w:r w:rsidRPr="007A49CB">
        <w:rPr>
          <w:rFonts w:ascii="Arial" w:eastAsia="Times New Roman" w:hAnsi="Arial" w:cs="Arial"/>
          <w:sz w:val="20"/>
          <w:szCs w:val="20"/>
          <w:lang w:val="es-ES_tradnl" w:eastAsia="es-ES_tradnl"/>
        </w:rPr>
        <w:t xml:space="preserve"> municipales o departamentales, habida cuenta que estas últimas no existen como categoría dentro del ordenamiento normativo.</w:t>
      </w:r>
    </w:p>
    <w:p w14:paraId="306B505A"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p>
    <w:p w14:paraId="1FF65D8C" w14:textId="77777777" w:rsidR="00822467" w:rsidRPr="007A49CB" w:rsidRDefault="00822467" w:rsidP="00822467">
      <w:pPr>
        <w:spacing w:after="0" w:line="240" w:lineRule="auto"/>
        <w:ind w:left="709" w:right="709"/>
        <w:jc w:val="both"/>
        <w:rPr>
          <w:rFonts w:ascii="Arial" w:eastAsia="Times New Roman" w:hAnsi="Arial" w:cs="Arial"/>
          <w:sz w:val="21"/>
          <w:szCs w:val="21"/>
          <w:lang w:val="es-ES_tradnl" w:eastAsia="es-ES_tradnl"/>
        </w:rPr>
      </w:pPr>
      <w:r w:rsidRPr="007A49CB">
        <w:rPr>
          <w:rFonts w:ascii="Arial" w:eastAsia="Times New Roman" w:hAnsi="Arial" w:cs="Arial"/>
          <w:sz w:val="20"/>
          <w:szCs w:val="20"/>
          <w:lang w:val="es-ES_tradnl" w:eastAsia="es-ES_tradnl"/>
        </w:rPr>
        <w:t xml:space="preserve">Igualmente, se debe precisar que </w:t>
      </w:r>
      <w:r w:rsidRPr="007A49CB">
        <w:rPr>
          <w:rFonts w:ascii="Arial" w:eastAsia="Times New Roman" w:hAnsi="Arial" w:cs="Arial"/>
          <w:i/>
          <w:iCs/>
          <w:sz w:val="20"/>
          <w:szCs w:val="20"/>
          <w:lang w:val="es-ES_tradnl" w:eastAsia="es-ES_tradnl"/>
        </w:rPr>
        <w:t>el artículo 2.2.1.2.4.2.3. del Decreto 1082 de 2015 se refiere a las «</w:t>
      </w:r>
      <w:proofErr w:type="spellStart"/>
      <w:r w:rsidRPr="007A49CB">
        <w:rPr>
          <w:rFonts w:ascii="Arial" w:eastAsia="Times New Roman" w:hAnsi="Arial" w:cs="Arial"/>
          <w:i/>
          <w:iCs/>
          <w:sz w:val="20"/>
          <w:szCs w:val="20"/>
          <w:lang w:val="es-ES_tradnl" w:eastAsia="es-ES_tradnl"/>
        </w:rPr>
        <w:t>Mipyme</w:t>
      </w:r>
      <w:proofErr w:type="spellEnd"/>
      <w:r w:rsidRPr="007A49CB">
        <w:rPr>
          <w:rFonts w:ascii="Arial" w:eastAsia="Times New Roman" w:hAnsi="Arial" w:cs="Arial"/>
          <w:i/>
          <w:iCs/>
          <w:sz w:val="20"/>
          <w:szCs w:val="20"/>
          <w:lang w:val="es-ES_tradnl" w:eastAsia="es-ES_tradnl"/>
        </w:rPr>
        <w:t xml:space="preserve"> nacionales domiciliadas en los departamentos o municipios en donde se va a ejecutar el contrato» «cursivas propias», esto es, al «domicilio» y no a las «sucursales». Esta distinción es importante porque el beneficio normativo únicamente aplica en el lugar en el que la </w:t>
      </w:r>
      <w:proofErr w:type="spellStart"/>
      <w:r w:rsidRPr="007A49CB">
        <w:rPr>
          <w:rFonts w:ascii="Arial" w:eastAsia="Times New Roman" w:hAnsi="Arial" w:cs="Arial"/>
          <w:i/>
          <w:iCs/>
          <w:sz w:val="20"/>
          <w:szCs w:val="20"/>
          <w:lang w:val="es-ES_tradnl" w:eastAsia="es-ES_tradnl"/>
        </w:rPr>
        <w:t>Mipyme</w:t>
      </w:r>
      <w:proofErr w:type="spellEnd"/>
      <w:r w:rsidRPr="007A49CB">
        <w:rPr>
          <w:rFonts w:ascii="Arial" w:eastAsia="Times New Roman" w:hAnsi="Arial" w:cs="Arial"/>
          <w:i/>
          <w:iCs/>
          <w:sz w:val="20"/>
          <w:szCs w:val="20"/>
          <w:lang w:val="es-ES_tradnl" w:eastAsia="es-ES_tradnl"/>
        </w:rPr>
        <w:t xml:space="preserve"> tiene su «domicilio», y no en donde tiene sucursales</w:t>
      </w:r>
      <w:r w:rsidRPr="007A49CB">
        <w:rPr>
          <w:rFonts w:ascii="Arial" w:eastAsia="Times New Roman" w:hAnsi="Arial" w:cs="Arial"/>
          <w:i/>
          <w:iCs/>
          <w:sz w:val="20"/>
          <w:szCs w:val="20"/>
          <w:vertAlign w:val="superscript"/>
          <w:lang w:val="es-ES_tradnl" w:eastAsia="es-ES_tradnl"/>
        </w:rPr>
        <w:footnoteReference w:id="6"/>
      </w:r>
      <w:r w:rsidRPr="007A49CB">
        <w:rPr>
          <w:rFonts w:ascii="Arial" w:eastAsia="Arial" w:hAnsi="Arial" w:cs="Arial"/>
          <w:color w:val="000000"/>
          <w:sz w:val="20"/>
          <w:szCs w:val="20"/>
          <w:lang w:eastAsia="es-ES_tradnl"/>
        </w:rPr>
        <w:t>»</w:t>
      </w:r>
      <w:r w:rsidRPr="007A49CB">
        <w:rPr>
          <w:rFonts w:ascii="Arial" w:eastAsia="Times New Roman" w:hAnsi="Arial" w:cs="Arial"/>
          <w:sz w:val="20"/>
          <w:szCs w:val="20"/>
          <w:lang w:val="es-ES_tradnl" w:eastAsia="es-ES_tradnl"/>
        </w:rPr>
        <w:t xml:space="preserve">. </w:t>
      </w:r>
      <w:r w:rsidRPr="007A49CB">
        <w:rPr>
          <w:rFonts w:ascii="Arial" w:eastAsia="Times New Roman" w:hAnsi="Arial" w:cs="Arial"/>
          <w:sz w:val="21"/>
          <w:szCs w:val="21"/>
          <w:lang w:val="es-ES_tradnl" w:eastAsia="es-ES_tradnl"/>
        </w:rPr>
        <w:t>(Énfasis fuera de texto)</w:t>
      </w:r>
    </w:p>
    <w:p w14:paraId="496F76F6" w14:textId="77777777" w:rsidR="00822467" w:rsidRPr="007A49CB" w:rsidRDefault="00822467" w:rsidP="00822467">
      <w:pPr>
        <w:spacing w:after="0" w:line="276" w:lineRule="auto"/>
        <w:ind w:left="709" w:right="709"/>
        <w:jc w:val="both"/>
        <w:rPr>
          <w:rFonts w:ascii="Arial" w:eastAsia="Times New Roman" w:hAnsi="Arial" w:cs="Arial"/>
          <w:sz w:val="21"/>
          <w:szCs w:val="21"/>
          <w:lang w:val="es-ES_tradnl" w:eastAsia="es-ES_tradnl"/>
        </w:rPr>
      </w:pPr>
    </w:p>
    <w:p w14:paraId="5433908F" w14:textId="77777777" w:rsidR="00822467" w:rsidRPr="007A49CB" w:rsidRDefault="00822467" w:rsidP="00822467">
      <w:pPr>
        <w:spacing w:after="120" w:line="276" w:lineRule="auto"/>
        <w:ind w:firstLine="709"/>
        <w:jc w:val="both"/>
        <w:rPr>
          <w:rFonts w:ascii="Arial" w:eastAsia="Calibri" w:hAnsi="Arial" w:cs="Arial"/>
          <w:sz w:val="21"/>
          <w:szCs w:val="21"/>
          <w:lang w:val="es-ES_tradnl" w:eastAsia="es-ES_tradnl"/>
        </w:rPr>
      </w:pPr>
      <w:r w:rsidRPr="007A49CB">
        <w:rPr>
          <w:rFonts w:ascii="Arial" w:eastAsia="Times New Roman" w:hAnsi="Arial" w:cs="Arial"/>
          <w:sz w:val="21"/>
          <w:szCs w:val="21"/>
          <w:lang w:val="es-ES_tradnl" w:eastAsia="es-ES_tradnl"/>
        </w:rPr>
        <w:t xml:space="preserve">Como se aprecia, la postura sostenida por esta Agencia en vigencia del artículo </w:t>
      </w:r>
      <w:r w:rsidRPr="007A49CB">
        <w:rPr>
          <w:rFonts w:ascii="Arial" w:eastAsia="Calibri" w:hAnsi="Arial" w:cs="Arial"/>
          <w:sz w:val="21"/>
          <w:szCs w:val="21"/>
          <w:lang w:val="es-ES_tradnl" w:eastAsia="es-ES_tradnl"/>
        </w:rPr>
        <w:t xml:space="preserve">2.2.1.2.4.2.3 del Decreto 1082 de 2015 no contemplaba la posibilidad de que una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domiciliada en un departamento o municipio diferentes al lugar de ejecución del contrato, en atención al cual se realiza la limitación territorial, participara en un proceso de selección por el hecho de tener una sucursal en este, puesto que lo relevante es el domicilio de la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w:t>
      </w:r>
    </w:p>
    <w:p w14:paraId="593DABF1" w14:textId="77777777" w:rsidR="00822467" w:rsidRPr="007A49CB" w:rsidRDefault="00822467" w:rsidP="00822467">
      <w:pPr>
        <w:spacing w:after="0" w:line="276" w:lineRule="auto"/>
        <w:ind w:firstLine="708"/>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Ahora bien, el texto del actual artículo 2.2.1.2.4.2.3, modificado por el artículo 5 del Decreto 1860 de 2021, no cambia la tesis adoptada en conceptos anteriores de la Agencia Nacional de Contratación Pública - Colombia Compra Eficiente emitidos antes de la expedición de este reglamento. Lo anterior en la medida en que, respecto del domicilio de las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en el departamento o municipio donde se ejecuta el contrato, la reglamentación no tuvo cambios. Así se desprende del texto de la nueva norma que es del siguiente tenor: </w:t>
      </w:r>
    </w:p>
    <w:p w14:paraId="2DFA2F44" w14:textId="77777777" w:rsidR="00822467" w:rsidRPr="007A49CB" w:rsidRDefault="00822467" w:rsidP="00822467">
      <w:pPr>
        <w:spacing w:after="0" w:line="240" w:lineRule="auto"/>
        <w:ind w:right="709"/>
        <w:jc w:val="both"/>
        <w:rPr>
          <w:rFonts w:ascii="Arial" w:eastAsia="Times New Roman" w:hAnsi="Arial" w:cs="Arial"/>
          <w:sz w:val="20"/>
          <w:szCs w:val="20"/>
          <w:lang w:val="es-ES_tradnl" w:eastAsia="es-ES_tradnl"/>
        </w:rPr>
      </w:pPr>
    </w:p>
    <w:p w14:paraId="71F42110"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r w:rsidRPr="007A49CB">
        <w:rPr>
          <w:rFonts w:ascii="Arial" w:eastAsia="Arial" w:hAnsi="Arial" w:cs="Arial"/>
          <w:color w:val="000000"/>
          <w:sz w:val="20"/>
          <w:szCs w:val="20"/>
          <w:lang w:eastAsia="es-ES_tradnl"/>
        </w:rPr>
        <w:t>«</w:t>
      </w:r>
      <w:r w:rsidRPr="007A49CB">
        <w:rPr>
          <w:rFonts w:ascii="Arial" w:eastAsia="Times New Roman" w:hAnsi="Arial" w:cs="Arial"/>
          <w:sz w:val="20"/>
          <w:szCs w:val="20"/>
          <w:lang w:val="es-ES_tradnl" w:eastAsia="es-ES_tradnl"/>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3DA54917"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p>
    <w:p w14:paraId="08F1CEF3"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r w:rsidRPr="007A49CB">
        <w:rPr>
          <w:rFonts w:ascii="Arial" w:eastAsia="Times New Roman" w:hAnsi="Arial" w:cs="Arial"/>
          <w:sz w:val="20"/>
          <w:szCs w:val="20"/>
          <w:lang w:val="es-ES_tradnl" w:eastAsia="es-ES_tradnl"/>
        </w:rPr>
        <w:t>[…]</w:t>
      </w:r>
    </w:p>
    <w:p w14:paraId="3F9D00B7" w14:textId="77777777" w:rsidR="00822467" w:rsidRPr="007A49CB" w:rsidRDefault="00822467" w:rsidP="00822467">
      <w:pPr>
        <w:spacing w:after="0" w:line="240" w:lineRule="auto"/>
        <w:ind w:left="709" w:right="709"/>
        <w:jc w:val="both"/>
        <w:rPr>
          <w:rFonts w:ascii="Arial" w:eastAsia="Times New Roman" w:hAnsi="Arial" w:cs="Arial"/>
          <w:sz w:val="20"/>
          <w:szCs w:val="20"/>
          <w:lang w:val="es-ES_tradnl" w:eastAsia="es-ES_tradnl"/>
        </w:rPr>
      </w:pPr>
    </w:p>
    <w:p w14:paraId="05314E6A" w14:textId="77777777" w:rsidR="00822467" w:rsidRPr="007A49CB" w:rsidRDefault="00822467" w:rsidP="00822467">
      <w:pPr>
        <w:spacing w:after="0" w:line="240" w:lineRule="auto"/>
        <w:ind w:left="709" w:right="709"/>
        <w:jc w:val="both"/>
        <w:rPr>
          <w:rFonts w:ascii="Arial" w:eastAsia="Calibri" w:hAnsi="Arial" w:cs="Arial"/>
          <w:sz w:val="21"/>
          <w:szCs w:val="21"/>
          <w:lang w:val="es-ES_tradnl" w:eastAsia="es-ES_tradnl"/>
        </w:rPr>
      </w:pPr>
      <w:r w:rsidRPr="007A49CB">
        <w:rPr>
          <w:rFonts w:ascii="Arial" w:eastAsia="Times New Roman" w:hAnsi="Arial" w:cs="Arial"/>
          <w:sz w:val="20"/>
          <w:szCs w:val="20"/>
          <w:lang w:val="es-ES_tradnl" w:eastAsia="es-ES_tradnl"/>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7A49CB">
        <w:rPr>
          <w:rFonts w:ascii="Arial" w:eastAsia="Times New Roman" w:hAnsi="Arial" w:cs="Arial"/>
          <w:sz w:val="20"/>
          <w:szCs w:val="20"/>
          <w:lang w:val="es-ES_tradnl" w:eastAsia="es-ES_tradnl"/>
        </w:rPr>
        <w:t>Mipyme</w:t>
      </w:r>
      <w:proofErr w:type="spellEnd"/>
      <w:r w:rsidRPr="007A49CB">
        <w:rPr>
          <w:rFonts w:ascii="Arial" w:eastAsia="Times New Roman" w:hAnsi="Arial" w:cs="Arial"/>
          <w:sz w:val="20"/>
          <w:szCs w:val="20"/>
          <w:lang w:val="es-ES_tradnl" w:eastAsia="es-ES_tradnl"/>
        </w:rPr>
        <w:t xml:space="preserve"> colombianas que tengan domicilio en los departamentos o municipios en donde se va a ejecutar el contrato. Cada </w:t>
      </w:r>
      <w:proofErr w:type="spellStart"/>
      <w:r w:rsidRPr="007A49CB">
        <w:rPr>
          <w:rFonts w:ascii="Arial" w:eastAsia="Times New Roman" w:hAnsi="Arial" w:cs="Arial"/>
          <w:sz w:val="20"/>
          <w:szCs w:val="20"/>
          <w:lang w:val="es-ES_tradnl" w:eastAsia="es-ES_tradnl"/>
        </w:rPr>
        <w:t>Mipyme</w:t>
      </w:r>
      <w:proofErr w:type="spellEnd"/>
      <w:r w:rsidRPr="007A49CB">
        <w:rPr>
          <w:rFonts w:ascii="Arial" w:eastAsia="Times New Roman" w:hAnsi="Arial" w:cs="Arial"/>
          <w:sz w:val="20"/>
          <w:szCs w:val="20"/>
          <w:lang w:val="es-ES_tradnl" w:eastAsia="es-ES_tradnl"/>
        </w:rPr>
        <w:t xml:space="preserve"> deberá acreditar su domicilio con los documentos a los que se refiere el siguiente artículo</w:t>
      </w:r>
      <w:r w:rsidRPr="007A49CB">
        <w:rPr>
          <w:rFonts w:ascii="Arial" w:eastAsia="Arial" w:hAnsi="Arial" w:cs="Arial"/>
          <w:color w:val="000000"/>
          <w:sz w:val="20"/>
          <w:szCs w:val="20"/>
          <w:lang w:eastAsia="es-ES_tradnl"/>
        </w:rPr>
        <w:t>»</w:t>
      </w:r>
      <w:r w:rsidRPr="007A49CB">
        <w:rPr>
          <w:rFonts w:ascii="Arial" w:eastAsia="Times New Roman" w:hAnsi="Arial" w:cs="Arial"/>
          <w:sz w:val="20"/>
          <w:szCs w:val="20"/>
          <w:lang w:val="es-ES_tradnl" w:eastAsia="es-ES_tradnl"/>
        </w:rPr>
        <w:t xml:space="preserve">. </w:t>
      </w:r>
    </w:p>
    <w:p w14:paraId="4F99FB7E" w14:textId="77777777" w:rsidR="00822467" w:rsidRPr="007A49CB" w:rsidRDefault="00822467" w:rsidP="00822467">
      <w:pPr>
        <w:spacing w:after="0" w:line="276" w:lineRule="auto"/>
        <w:ind w:left="709" w:right="709"/>
        <w:jc w:val="both"/>
        <w:rPr>
          <w:rFonts w:ascii="Arial" w:eastAsia="Calibri" w:hAnsi="Arial" w:cs="Arial"/>
          <w:sz w:val="21"/>
          <w:szCs w:val="21"/>
          <w:lang w:val="es-ES_tradnl" w:eastAsia="es-ES_tradnl"/>
        </w:rPr>
      </w:pPr>
    </w:p>
    <w:p w14:paraId="6151F972" w14:textId="77777777" w:rsidR="00822467" w:rsidRPr="007A49CB" w:rsidRDefault="00822467" w:rsidP="00822467">
      <w:pPr>
        <w:spacing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lastRenderedPageBreak/>
        <w:t xml:space="preserve">La norma reglamentaria coincide con la redacción del parágrafo 1 del artículo 34 de la Ley 2069 de 2020, según el cual, solo es posible limitar convocatorias a la participación de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 del ámbito municipal o departamental correspondiente al de la ejecución del contrato». En tales términos, la norma citada solo contempla la posibilidad de limitar convocatorias a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con domicilio en esos dos (2) tipos de entidades territoriales. </w:t>
      </w:r>
    </w:p>
    <w:p w14:paraId="20DB811A" w14:textId="77777777" w:rsidR="00822467" w:rsidRPr="007A49CB" w:rsidRDefault="00822467" w:rsidP="00822467">
      <w:pPr>
        <w:spacing w:after="120" w:line="276" w:lineRule="auto"/>
        <w:ind w:firstLine="709"/>
        <w:jc w:val="both"/>
        <w:rPr>
          <w:rFonts w:ascii="Arial" w:eastAsia="Arial" w:hAnsi="Arial" w:cs="Arial"/>
          <w:color w:val="000000"/>
          <w:sz w:val="21"/>
          <w:szCs w:val="21"/>
          <w:lang w:val="es-ES_tradnl"/>
        </w:rPr>
      </w:pPr>
      <w:r w:rsidRPr="007A49CB">
        <w:rPr>
          <w:rFonts w:ascii="Arial" w:eastAsia="Arial" w:hAnsi="Arial" w:cs="Arial"/>
          <w:color w:val="000000"/>
          <w:sz w:val="21"/>
          <w:szCs w:val="21"/>
          <w:lang w:val="es-ES_tradnl"/>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nacional. Además, las normas de contratación permiten que las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nacionales puedan beneficiarse de la ejecución de un contrato dentro de la entidad territorial en la que tienen su «domicilio». </w:t>
      </w:r>
    </w:p>
    <w:p w14:paraId="1FF4917F" w14:textId="77777777" w:rsidR="00822467" w:rsidRPr="007A49CB" w:rsidRDefault="00822467" w:rsidP="00822467">
      <w:pPr>
        <w:spacing w:after="120" w:line="276" w:lineRule="auto"/>
        <w:ind w:firstLine="709"/>
        <w:jc w:val="both"/>
        <w:rPr>
          <w:rFonts w:ascii="Arial" w:eastAsia="Arial" w:hAnsi="Arial" w:cs="Arial"/>
          <w:color w:val="000000"/>
          <w:sz w:val="21"/>
          <w:szCs w:val="21"/>
          <w:lang w:val="es-ES_tradnl"/>
        </w:rPr>
      </w:pPr>
      <w:r w:rsidRPr="007A49CB">
        <w:rPr>
          <w:rFonts w:ascii="Arial" w:eastAsia="Arial" w:hAnsi="Arial" w:cs="Arial"/>
          <w:color w:val="000000"/>
          <w:sz w:val="21"/>
          <w:szCs w:val="21"/>
          <w:lang w:val="es-ES_tradnl"/>
        </w:rPr>
        <w:t>Ahora bien, el artículo 2.2.1.2.4.2.3. del Decreto 1082 de 2015, modificado por el artículo 5 del Decreto 1860 de 2021, se refiere a las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tiene su «domicilio», y no en donde tiene sucursales. </w:t>
      </w:r>
    </w:p>
    <w:p w14:paraId="047E80D1" w14:textId="77777777" w:rsidR="00822467" w:rsidRPr="007A49CB" w:rsidRDefault="00822467" w:rsidP="00822467">
      <w:pPr>
        <w:spacing w:after="120" w:line="276" w:lineRule="auto"/>
        <w:ind w:firstLine="709"/>
        <w:jc w:val="both"/>
        <w:rPr>
          <w:rFonts w:ascii="Arial" w:eastAsia="Arial" w:hAnsi="Arial" w:cs="Arial"/>
          <w:color w:val="000000"/>
          <w:sz w:val="21"/>
          <w:szCs w:val="21"/>
          <w:lang w:val="es-ES_tradnl"/>
        </w:rPr>
      </w:pPr>
      <w:r w:rsidRPr="007A49CB">
        <w:rPr>
          <w:rFonts w:ascii="Arial" w:eastAsia="Arial" w:hAnsi="Arial" w:cs="Arial"/>
          <w:color w:val="000000"/>
          <w:sz w:val="21"/>
          <w:szCs w:val="21"/>
          <w:lang w:val="es-ES_tradnl"/>
        </w:rPr>
        <w:t xml:space="preserve">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proofErr w:type="spellStart"/>
      <w:r w:rsidRPr="007A49CB">
        <w:rPr>
          <w:rFonts w:ascii="Arial" w:eastAsia="Arial" w:hAnsi="Arial" w:cs="Arial"/>
          <w:i/>
          <w:color w:val="000000"/>
          <w:sz w:val="21"/>
          <w:szCs w:val="21"/>
          <w:lang w:val="es-ES_tradnl"/>
        </w:rPr>
        <w:t>ibídem</w:t>
      </w:r>
      <w:proofErr w:type="spellEnd"/>
      <w:r w:rsidRPr="007A49CB">
        <w:rPr>
          <w:rFonts w:ascii="Arial" w:eastAsia="Arial" w:hAnsi="Arial" w:cs="Arial"/>
          <w:color w:val="000000"/>
          <w:sz w:val="21"/>
          <w:szCs w:val="21"/>
          <w:lang w:val="es-ES_tradnl"/>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proofErr w:type="spellStart"/>
      <w:r w:rsidRPr="007A49CB">
        <w:rPr>
          <w:rFonts w:ascii="Arial" w:eastAsia="Arial" w:hAnsi="Arial" w:cs="Arial"/>
          <w:i/>
          <w:color w:val="000000"/>
          <w:sz w:val="21"/>
          <w:szCs w:val="21"/>
          <w:lang w:val="es-ES_tradnl"/>
        </w:rPr>
        <w:t>ibídem</w:t>
      </w:r>
      <w:proofErr w:type="spellEnd"/>
      <w:r w:rsidRPr="007A49CB">
        <w:rPr>
          <w:rFonts w:ascii="Arial" w:eastAsia="Arial" w:hAnsi="Arial" w:cs="Arial"/>
          <w:i/>
          <w:color w:val="000000"/>
          <w:sz w:val="21"/>
          <w:szCs w:val="21"/>
          <w:lang w:val="es-ES_tradnl"/>
        </w:rPr>
        <w:t xml:space="preserve"> </w:t>
      </w:r>
      <w:r w:rsidRPr="007A49CB">
        <w:rPr>
          <w:rFonts w:ascii="Arial" w:eastAsia="Arial" w:hAnsi="Arial" w:cs="Arial"/>
          <w:color w:val="000000"/>
          <w:sz w:val="21"/>
          <w:szCs w:val="21"/>
          <w:lang w:val="es-ES_tradnl"/>
        </w:rPr>
        <w:t>a las entidades que tienen «sucursales» en el municipio o departamento en donde se va a ejecutar el contrato estatal.</w:t>
      </w:r>
    </w:p>
    <w:p w14:paraId="042096F0" w14:textId="77777777" w:rsidR="00822467" w:rsidRPr="007A49CB" w:rsidRDefault="00822467" w:rsidP="00822467">
      <w:pPr>
        <w:spacing w:after="120" w:line="276" w:lineRule="auto"/>
        <w:ind w:firstLine="709"/>
        <w:jc w:val="both"/>
        <w:rPr>
          <w:rFonts w:ascii="Arial" w:eastAsia="Arial" w:hAnsi="Arial" w:cs="Arial"/>
          <w:color w:val="000000"/>
          <w:sz w:val="21"/>
          <w:szCs w:val="21"/>
          <w:lang w:val="es-ES_tradnl"/>
        </w:rPr>
      </w:pPr>
      <w:r w:rsidRPr="007A49CB">
        <w:rPr>
          <w:rFonts w:ascii="Arial" w:eastAsia="Arial" w:hAnsi="Arial" w:cs="Arial"/>
          <w:color w:val="000000"/>
          <w:sz w:val="21"/>
          <w:szCs w:val="21"/>
          <w:lang w:val="es-ES_tradnl"/>
        </w:rPr>
        <w:t xml:space="preserve">Sin perjuicio de lo anterior, no puede perderse de vista que la decisión de limitar «a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007A49CB">
        <w:rPr>
          <w:rFonts w:ascii="Arial" w:eastAsia="Arial" w:hAnsi="Arial" w:cs="Arial"/>
          <w:color w:val="000000"/>
          <w:sz w:val="21"/>
          <w:szCs w:val="21"/>
          <w:vertAlign w:val="superscript"/>
          <w:lang w:val="es-ES_tradnl"/>
        </w:rPr>
        <w:footnoteReference w:id="7"/>
      </w:r>
      <w:r w:rsidRPr="007A49CB">
        <w:rPr>
          <w:rFonts w:ascii="Arial" w:eastAsia="Arial" w:hAnsi="Arial" w:cs="Arial"/>
          <w:color w:val="000000"/>
          <w:sz w:val="21"/>
          <w:szCs w:val="21"/>
          <w:lang w:val="es-ES_tradnl"/>
        </w:rPr>
        <w:t xml:space="preserve">. En ese sentido, si la entidad no recibió las solicitudes para limitar la </w:t>
      </w:r>
      <w:r w:rsidRPr="007A49CB">
        <w:rPr>
          <w:rFonts w:ascii="Arial" w:eastAsia="Arial" w:hAnsi="Arial" w:cs="Arial"/>
          <w:color w:val="000000"/>
          <w:sz w:val="21"/>
          <w:szCs w:val="21"/>
          <w:lang w:val="es-ES_tradnl"/>
        </w:rPr>
        <w:lastRenderedPageBreak/>
        <w:t xml:space="preserve">convocatoria 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no puede </w:t>
      </w:r>
      <w:r w:rsidRPr="007A49CB">
        <w:rPr>
          <w:rFonts w:ascii="Arial" w:eastAsia="Arial" w:hAnsi="Arial" w:cs="Arial"/>
          <w:i/>
          <w:color w:val="000000"/>
          <w:sz w:val="21"/>
          <w:szCs w:val="21"/>
          <w:lang w:val="es-ES_tradnl"/>
        </w:rPr>
        <w:t xml:space="preserve">motu proprio </w:t>
      </w:r>
      <w:r w:rsidRPr="007A49CB">
        <w:rPr>
          <w:rFonts w:ascii="Arial" w:eastAsia="Arial" w:hAnsi="Arial" w:cs="Arial"/>
          <w:color w:val="000000"/>
          <w:sz w:val="21"/>
          <w:szCs w:val="21"/>
          <w:lang w:val="es-ES_tradnl"/>
        </w:rPr>
        <w:t xml:space="preserve">proceder con la «limitación territorial» de que trata el artículo 2.2.1.2.4.2.3. del Decreto 1082 de 2015. Esto debido a que el ejercicio de esta facultad solo puede darse ante la «limitación a </w:t>
      </w:r>
      <w:proofErr w:type="spellStart"/>
      <w:r w:rsidRPr="007A49CB">
        <w:rPr>
          <w:rFonts w:ascii="Arial" w:eastAsia="Arial" w:hAnsi="Arial" w:cs="Arial"/>
          <w:color w:val="000000"/>
          <w:sz w:val="21"/>
          <w:szCs w:val="21"/>
          <w:lang w:val="es-ES_tradnl"/>
        </w:rPr>
        <w:t>Mipymes</w:t>
      </w:r>
      <w:proofErr w:type="spellEnd"/>
      <w:r w:rsidRPr="007A49CB">
        <w:rPr>
          <w:rFonts w:ascii="Arial" w:eastAsia="Arial" w:hAnsi="Arial" w:cs="Arial"/>
          <w:color w:val="000000"/>
          <w:sz w:val="21"/>
          <w:szCs w:val="21"/>
          <w:lang w:val="es-ES_tradnl"/>
        </w:rPr>
        <w:t xml:space="preserve"> colombianas», lo cual supone verificar los supuestos legales establecidos en los mencionados numerales.</w:t>
      </w:r>
    </w:p>
    <w:p w14:paraId="714B33D3" w14:textId="77777777" w:rsidR="00822467" w:rsidRPr="007A49CB" w:rsidRDefault="00822467" w:rsidP="00822467">
      <w:pPr>
        <w:spacing w:after="120" w:line="276" w:lineRule="auto"/>
        <w:ind w:firstLine="708"/>
        <w:jc w:val="both"/>
        <w:rPr>
          <w:rFonts w:ascii="Arial" w:eastAsia="Times New Roman" w:hAnsi="Arial" w:cs="Arial"/>
          <w:color w:val="000000"/>
          <w:sz w:val="21"/>
          <w:lang w:eastAsia="es-ES_tradnl"/>
        </w:rPr>
      </w:pPr>
      <w:r w:rsidRPr="007A49CB">
        <w:rPr>
          <w:rFonts w:ascii="Arial" w:eastAsia="Times New Roman" w:hAnsi="Arial" w:cs="Arial"/>
          <w:color w:val="000000"/>
          <w:sz w:val="21"/>
          <w:lang w:eastAsia="es-ES_tradnl"/>
        </w:rPr>
        <w:t xml:space="preserve">Cumplidos los dos (2) requisitos del artículo 2.2.1.2.4.2.2. </w:t>
      </w:r>
      <w:proofErr w:type="spellStart"/>
      <w:r w:rsidRPr="007A49CB">
        <w:rPr>
          <w:rFonts w:ascii="Arial" w:eastAsia="Times New Roman" w:hAnsi="Arial" w:cs="Arial"/>
          <w:i/>
          <w:iCs/>
          <w:color w:val="000000"/>
          <w:sz w:val="21"/>
          <w:lang w:eastAsia="es-ES_tradnl"/>
        </w:rPr>
        <w:t>ibídem</w:t>
      </w:r>
      <w:proofErr w:type="spellEnd"/>
      <w:r w:rsidRPr="007A49CB">
        <w:rPr>
          <w:rFonts w:ascii="Arial" w:eastAsia="Times New Roman" w:hAnsi="Arial" w:cs="Arial"/>
          <w:color w:val="000000"/>
          <w:sz w:val="21"/>
          <w:lang w:eastAsia="es-ES_tradnl"/>
        </w:rPr>
        <w:t xml:space="preserve">, la entidad estatal, independientemente de su régimen de contratación, los patrimonios autónomos constituidos por entidades estatales y los particulares que ejecuten recursos públicos, </w:t>
      </w:r>
      <w:r w:rsidRPr="007A49CB">
        <w:rPr>
          <w:rFonts w:ascii="Arial" w:eastAsia="Times New Roman" w:hAnsi="Arial" w:cs="Arial"/>
          <w:i/>
          <w:iCs/>
          <w:color w:val="000000"/>
          <w:sz w:val="21"/>
          <w:lang w:eastAsia="es-ES_tradnl"/>
        </w:rPr>
        <w:t>pueden</w:t>
      </w:r>
      <w:r w:rsidRPr="007A49CB">
        <w:rPr>
          <w:rFonts w:ascii="Arial" w:eastAsia="Times New Roman" w:hAnsi="Arial" w:cs="Arial"/>
          <w:color w:val="000000"/>
          <w:sz w:val="21"/>
          <w:lang w:eastAsia="es-ES_tradnl"/>
        </w:rPr>
        <w:t xml:space="preserve"> ─no tienen que─ decidir si limitan la convocatoria a las </w:t>
      </w:r>
      <w:proofErr w:type="spellStart"/>
      <w:r w:rsidRPr="007A49CB">
        <w:rPr>
          <w:rFonts w:ascii="Arial" w:eastAsia="Times New Roman" w:hAnsi="Arial" w:cs="Arial"/>
          <w:color w:val="000000"/>
          <w:sz w:val="21"/>
          <w:lang w:eastAsia="es-ES_tradnl"/>
        </w:rPr>
        <w:t>Mipyme</w:t>
      </w:r>
      <w:proofErr w:type="spellEnd"/>
      <w:r w:rsidRPr="007A49CB">
        <w:rPr>
          <w:rFonts w:ascii="Arial" w:eastAsia="Times New Roman" w:hAnsi="Arial" w:cs="Arial"/>
          <w:color w:val="000000"/>
          <w:sz w:val="21"/>
          <w:lang w:eastAsia="es-ES_tradnl"/>
        </w:rPr>
        <w:t xml:space="preserve"> colombianas domiciliadas en el municipio o departamento en el que se ejecutará el contrato</w:t>
      </w:r>
      <w:r w:rsidRPr="007A49CB">
        <w:rPr>
          <w:rFonts w:ascii="Arial" w:eastAsia="Times New Roman" w:hAnsi="Arial" w:cs="Arial"/>
          <w:color w:val="000000"/>
          <w:sz w:val="21"/>
          <w:vertAlign w:val="superscript"/>
          <w:lang w:eastAsia="es-ES_tradnl"/>
        </w:rPr>
        <w:footnoteReference w:id="8"/>
      </w:r>
      <w:r w:rsidRPr="007A49CB">
        <w:rPr>
          <w:rFonts w:ascii="Arial" w:eastAsia="Times New Roman" w:hAnsi="Arial" w:cs="Arial"/>
          <w:color w:val="000000"/>
          <w:sz w:val="21"/>
          <w:lang w:eastAsia="es-ES_tradnl"/>
        </w:rPr>
        <w:t xml:space="preserve">. Esto de acuerdo con lo establecido en artículo 2.2.1.2.4.2.3. del Decreto 1082 de 2015 </w:t>
      </w:r>
      <w:r w:rsidRPr="007A49CB">
        <w:rPr>
          <w:rFonts w:ascii="Arial" w:eastAsia="Arial" w:hAnsi="Arial" w:cs="Arial"/>
          <w:color w:val="000000"/>
          <w:sz w:val="21"/>
          <w:szCs w:val="21"/>
          <w:lang w:val="es-ES_tradnl"/>
        </w:rPr>
        <w:t>modificado por el Decreto 1860 de 2021</w:t>
      </w:r>
      <w:r w:rsidRPr="007A49CB">
        <w:rPr>
          <w:rFonts w:ascii="Arial" w:eastAsia="Times New Roman" w:hAnsi="Arial" w:cs="Arial"/>
          <w:color w:val="000000"/>
          <w:sz w:val="21"/>
          <w:lang w:eastAsia="es-ES_tradnl"/>
        </w:rPr>
        <w:t xml:space="preserve">, norma que se refiere a la facultad de la administración con el verbo infinitivo «poder», no «deber». </w:t>
      </w:r>
    </w:p>
    <w:p w14:paraId="6D102028" w14:textId="77777777" w:rsidR="00822467" w:rsidRPr="007A49CB" w:rsidRDefault="00822467" w:rsidP="00822467">
      <w:pPr>
        <w:spacing w:after="120" w:line="276" w:lineRule="auto"/>
        <w:ind w:firstLine="709"/>
        <w:jc w:val="both"/>
        <w:rPr>
          <w:rFonts w:ascii="Arial" w:eastAsia="Calibri" w:hAnsi="Arial" w:cs="Arial"/>
          <w:color w:val="000000"/>
          <w:sz w:val="21"/>
          <w:lang w:eastAsia="es-ES_tradnl"/>
        </w:rPr>
      </w:pPr>
      <w:r w:rsidRPr="007A49CB">
        <w:rPr>
          <w:rFonts w:ascii="Arial" w:eastAsia="Calibri" w:hAnsi="Arial" w:cs="Arial"/>
          <w:color w:val="000000"/>
          <w:sz w:val="21"/>
          <w:lang w:eastAsia="es-ES_tradnl"/>
        </w:rPr>
        <w:t>Colombia Compra Eficiente ha sostenido que la decisión de limitar territorialmente un</w:t>
      </w:r>
      <w:r w:rsidRPr="007A49CB">
        <w:rPr>
          <w:rFonts w:ascii="Arial" w:eastAsia="Times New Roman" w:hAnsi="Arial" w:cs="Arial"/>
          <w:color w:val="000000"/>
          <w:sz w:val="21"/>
          <w:lang w:eastAsia="es-ES_tradnl"/>
        </w:rPr>
        <w:t xml:space="preserve">a convocatoria a </w:t>
      </w:r>
      <w:proofErr w:type="spellStart"/>
      <w:r w:rsidRPr="007A49CB">
        <w:rPr>
          <w:rFonts w:ascii="Arial" w:eastAsia="Times New Roman" w:hAnsi="Arial" w:cs="Arial"/>
          <w:color w:val="000000"/>
          <w:sz w:val="21"/>
          <w:lang w:eastAsia="es-ES_tradnl"/>
        </w:rPr>
        <w:t>Mipyme</w:t>
      </w:r>
      <w:proofErr w:type="spellEnd"/>
      <w:r w:rsidRPr="007A49CB">
        <w:rPr>
          <w:rFonts w:ascii="Arial" w:eastAsia="Times New Roman" w:hAnsi="Arial" w:cs="Arial"/>
          <w:color w:val="000000"/>
          <w:sz w:val="21"/>
          <w:lang w:eastAsia="es-ES_tradnl"/>
        </w:rPr>
        <w:t xml:space="preserve"> </w:t>
      </w:r>
      <w:r w:rsidRPr="007A49CB">
        <w:rPr>
          <w:rFonts w:ascii="Arial" w:eastAsia="Calibri" w:hAnsi="Arial" w:cs="Arial"/>
          <w:color w:val="000000"/>
          <w:sz w:val="21"/>
          <w:lang w:eastAsia="es-ES_tradnl"/>
        </w:rPr>
        <w:t xml:space="preserve">es discrecional y ha precisado que, de todos modos, la decisión debe estar justificada en los correspondientes «estudios del sector». Así lo consideró en la consulta No. 216130003241, resuelta el 30 de junio de 2016. Igualmente, en la consulta resuelta en el radicado No. 2201813000008184 del 7 de septiembre de 2018, se dijo que, de acuerdo con el </w:t>
      </w:r>
      <w:r w:rsidRPr="007A49CB">
        <w:rPr>
          <w:rFonts w:ascii="Arial" w:eastAsia="Times New Roman" w:hAnsi="Arial" w:cs="Arial"/>
          <w:color w:val="000000"/>
          <w:sz w:val="21"/>
          <w:lang w:eastAsia="es-ES_tradnl"/>
        </w:rPr>
        <w:t xml:space="preserve">artículo 2.2.1.2.4.2.3. del Decreto 1082 de 2015, las </w:t>
      </w:r>
      <w:proofErr w:type="spellStart"/>
      <w:r w:rsidRPr="007A49CB">
        <w:rPr>
          <w:rFonts w:ascii="Arial" w:eastAsia="Times New Roman" w:hAnsi="Arial" w:cs="Arial"/>
          <w:color w:val="000000"/>
          <w:sz w:val="21"/>
          <w:lang w:eastAsia="es-ES_tradnl"/>
        </w:rPr>
        <w:t>Mipyme</w:t>
      </w:r>
      <w:proofErr w:type="spellEnd"/>
      <w:r w:rsidRPr="007A49CB">
        <w:rPr>
          <w:rFonts w:ascii="Arial" w:eastAsia="Calibri" w:hAnsi="Arial" w:cs="Arial"/>
          <w:color w:val="000000"/>
          <w:sz w:val="21"/>
          <w:lang w:eastAsia="es-ES_tradnl"/>
        </w:rPr>
        <w:t xml:space="preserve"> beneficiadas deben tener su domicilio principal en el municipio o departamento donde se ejecutará el contrato para poder participar en una convocatoria limitada territorialmente.</w:t>
      </w:r>
      <w:r w:rsidRPr="007A49CB">
        <w:rPr>
          <w:rFonts w:ascii="Arial" w:eastAsia="Times New Roman" w:hAnsi="Arial" w:cs="Arial"/>
          <w:color w:val="000000"/>
          <w:sz w:val="21"/>
          <w:vertAlign w:val="superscript"/>
          <w:lang w:eastAsia="es-ES_tradnl"/>
        </w:rPr>
        <w:footnoteReference w:id="9"/>
      </w:r>
      <w:r w:rsidRPr="007A49CB">
        <w:rPr>
          <w:rFonts w:ascii="Arial" w:eastAsia="Times New Roman" w:hAnsi="Arial" w:cs="Arial"/>
          <w:color w:val="000000"/>
          <w:sz w:val="21"/>
          <w:lang w:eastAsia="es-ES_tradnl"/>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1EAE9E23" w14:textId="77777777" w:rsidR="00822467" w:rsidRPr="007A49CB" w:rsidRDefault="00822467" w:rsidP="00822467">
      <w:pPr>
        <w:spacing w:after="120" w:line="276" w:lineRule="auto"/>
        <w:ind w:firstLine="709"/>
        <w:jc w:val="both"/>
        <w:rPr>
          <w:rFonts w:ascii="Arial" w:eastAsia="Calibri" w:hAnsi="Arial" w:cs="Arial"/>
          <w:color w:val="000000"/>
          <w:sz w:val="21"/>
          <w:lang w:eastAsia="es-ES_tradnl"/>
        </w:rPr>
      </w:pPr>
      <w:r w:rsidRPr="007A49CB">
        <w:rPr>
          <w:rFonts w:ascii="Arial" w:eastAsia="Times New Roman" w:hAnsi="Arial" w:cs="Arial"/>
          <w:color w:val="000000"/>
          <w:sz w:val="21"/>
          <w:lang w:eastAsia="es-ES_tradnl"/>
        </w:rPr>
        <w:t>En tal sentido, s</w:t>
      </w:r>
      <w:r w:rsidRPr="007A49CB">
        <w:rPr>
          <w:rFonts w:ascii="Arial" w:eastAsia="Calibri" w:hAnsi="Arial" w:cs="Arial"/>
          <w:color w:val="000000"/>
          <w:sz w:val="21"/>
          <w:lang w:eastAsia="es-ES_tradnl"/>
        </w:rPr>
        <w:t>e debe tener presente que lo que sucede de pleno derecho es la</w:t>
      </w:r>
      <w:r w:rsidRPr="007A49CB">
        <w:rPr>
          <w:rFonts w:ascii="Arial" w:eastAsia="Times New Roman" w:hAnsi="Arial" w:cs="Arial"/>
          <w:color w:val="000000"/>
          <w:sz w:val="21"/>
          <w:lang w:eastAsia="es-ES_tradnl"/>
        </w:rPr>
        <w:t xml:space="preserve"> limitación a </w:t>
      </w:r>
      <w:proofErr w:type="spellStart"/>
      <w:r w:rsidRPr="007A49CB">
        <w:rPr>
          <w:rFonts w:ascii="Arial" w:eastAsia="Times New Roman" w:hAnsi="Arial" w:cs="Arial"/>
          <w:color w:val="000000"/>
          <w:sz w:val="21"/>
          <w:lang w:eastAsia="es-ES_tradnl"/>
        </w:rPr>
        <w:t>Mipyme</w:t>
      </w:r>
      <w:proofErr w:type="spellEnd"/>
      <w:r w:rsidRPr="007A49CB">
        <w:rPr>
          <w:rFonts w:ascii="Arial" w:eastAsia="Times New Roman" w:hAnsi="Arial" w:cs="Arial"/>
          <w:color w:val="000000"/>
          <w:sz w:val="21"/>
          <w:lang w:eastAsia="es-ES_tradnl"/>
        </w:rPr>
        <w:t xml:space="preserve"> colombianas</w:t>
      </w:r>
      <w:r w:rsidRPr="007A49CB">
        <w:rPr>
          <w:rFonts w:ascii="Arial" w:eastAsia="Calibri" w:hAnsi="Arial" w:cs="Arial"/>
          <w:color w:val="000000"/>
          <w:sz w:val="21"/>
          <w:lang w:eastAsia="es-ES_tradnl"/>
        </w:rPr>
        <w:t xml:space="preserve"> a la que se refiere el artículo 2.2.1.2.4.2.2. del Decreto 1082 de 2015, pero no la «limitación territorial» referida en el artículo 2.2.1.2.4.2.3. </w:t>
      </w:r>
      <w:proofErr w:type="spellStart"/>
      <w:r w:rsidRPr="007A49CB">
        <w:rPr>
          <w:rFonts w:ascii="Arial" w:eastAsia="Calibri" w:hAnsi="Arial" w:cs="Arial"/>
          <w:i/>
          <w:iCs/>
          <w:color w:val="000000"/>
          <w:sz w:val="21"/>
          <w:lang w:eastAsia="es-ES_tradnl"/>
        </w:rPr>
        <w:t>ibídem</w:t>
      </w:r>
      <w:proofErr w:type="spellEnd"/>
      <w:r w:rsidRPr="007A49CB">
        <w:rPr>
          <w:rFonts w:ascii="Arial" w:eastAsia="Calibri" w:hAnsi="Arial" w:cs="Arial"/>
          <w:color w:val="000000"/>
          <w:sz w:val="21"/>
          <w:lang w:eastAsia="es-ES_tradnl"/>
        </w:rPr>
        <w:t>, pues esta, como ya se dijo, es facultativa para la entidad. Las únicas exigencias son que la convocatoria esté l</w:t>
      </w:r>
      <w:r w:rsidRPr="007A49CB">
        <w:rPr>
          <w:rFonts w:ascii="Arial" w:eastAsia="Times New Roman" w:hAnsi="Arial" w:cs="Arial"/>
          <w:color w:val="000000"/>
          <w:sz w:val="21"/>
          <w:lang w:eastAsia="es-ES_tradnl"/>
        </w:rPr>
        <w:t xml:space="preserve">imitada a las </w:t>
      </w:r>
      <w:proofErr w:type="spellStart"/>
      <w:r w:rsidRPr="007A49CB">
        <w:rPr>
          <w:rFonts w:ascii="Arial" w:eastAsia="Times New Roman" w:hAnsi="Arial" w:cs="Arial"/>
          <w:color w:val="000000"/>
          <w:sz w:val="21"/>
          <w:lang w:eastAsia="es-ES_tradnl"/>
        </w:rPr>
        <w:t>Mipyme</w:t>
      </w:r>
      <w:proofErr w:type="spellEnd"/>
      <w:r w:rsidRPr="007A49CB">
        <w:rPr>
          <w:rFonts w:ascii="Arial" w:eastAsia="Times New Roman" w:hAnsi="Arial" w:cs="Arial"/>
          <w:color w:val="000000"/>
          <w:sz w:val="21"/>
          <w:lang w:eastAsia="es-ES_tradnl"/>
        </w:rPr>
        <w:t xml:space="preserve"> colombianas</w:t>
      </w:r>
      <w:r w:rsidRPr="007A49CB">
        <w:rPr>
          <w:rFonts w:ascii="Arial" w:eastAsia="Calibri" w:hAnsi="Arial" w:cs="Arial"/>
          <w:color w:val="000000"/>
          <w:sz w:val="21"/>
          <w:lang w:eastAsia="es-ES_tradnl"/>
        </w:rPr>
        <w:t xml:space="preserve"> «domiciliadas en los departamentos o municipios en donde se va a ejecutar el contrato» y que la entidad justifique su decisión en los «estudios del sector». No es procedente, entonces, que </w:t>
      </w:r>
      <w:r w:rsidRPr="007A49CB">
        <w:rPr>
          <w:rFonts w:ascii="Arial" w:eastAsia="Calibri" w:hAnsi="Arial" w:cs="Arial"/>
          <w:color w:val="000000"/>
          <w:sz w:val="21"/>
          <w:lang w:eastAsia="es-ES_tradnl"/>
        </w:rPr>
        <w:lastRenderedPageBreak/>
        <w:t xml:space="preserve">sean las </w:t>
      </w:r>
      <w:proofErr w:type="spellStart"/>
      <w:r w:rsidRPr="007A49CB">
        <w:rPr>
          <w:rFonts w:ascii="Arial" w:eastAsia="Calibri" w:hAnsi="Arial" w:cs="Arial"/>
          <w:color w:val="000000"/>
          <w:sz w:val="21"/>
          <w:lang w:eastAsia="es-ES_tradnl"/>
        </w:rPr>
        <w:t>Mipymes</w:t>
      </w:r>
      <w:proofErr w:type="spellEnd"/>
      <w:r w:rsidRPr="007A49CB">
        <w:rPr>
          <w:rFonts w:ascii="Arial" w:eastAsia="Calibri" w:hAnsi="Arial" w:cs="Arial"/>
          <w:color w:val="000000"/>
          <w:sz w:val="21"/>
          <w:lang w:eastAsia="es-ES_tradnl"/>
        </w:rPr>
        <w:t xml:space="preserve"> las que soliciten la «limitación territorial» a la que se refiere el artículo 2.2.1.2.4.2.3. del Decreto 1082 de 2015. </w:t>
      </w:r>
    </w:p>
    <w:p w14:paraId="2BF56514" w14:textId="77777777" w:rsidR="00822467" w:rsidRPr="007A49CB" w:rsidRDefault="00822467" w:rsidP="00822467">
      <w:pPr>
        <w:spacing w:after="120" w:line="276" w:lineRule="auto"/>
        <w:ind w:firstLine="709"/>
        <w:jc w:val="both"/>
        <w:rPr>
          <w:rFonts w:ascii="Arial" w:eastAsia="Calibri" w:hAnsi="Arial" w:cs="Arial"/>
          <w:color w:val="000000"/>
          <w:sz w:val="21"/>
          <w:lang w:eastAsia="es-ES_tradnl"/>
        </w:rPr>
      </w:pPr>
      <w:r w:rsidRPr="007A49CB">
        <w:rPr>
          <w:rFonts w:ascii="Arial" w:eastAsia="Calibri" w:hAnsi="Arial" w:cs="Arial"/>
          <w:color w:val="000000"/>
          <w:sz w:val="21"/>
          <w:lang w:eastAsia="es-ES_tradnl"/>
        </w:rPr>
        <w:t>En tal sentido, se debe reite</w:t>
      </w:r>
      <w:r w:rsidRPr="007A49CB">
        <w:rPr>
          <w:rFonts w:ascii="Arial" w:eastAsia="Times New Roman" w:hAnsi="Arial" w:cs="Arial"/>
          <w:color w:val="000000"/>
          <w:sz w:val="21"/>
          <w:lang w:eastAsia="es-ES_tradnl"/>
        </w:rPr>
        <w:t xml:space="preserve">rar que el origen de las </w:t>
      </w:r>
      <w:proofErr w:type="spellStart"/>
      <w:r w:rsidRPr="007A49CB">
        <w:rPr>
          <w:rFonts w:ascii="Arial" w:eastAsia="Times New Roman" w:hAnsi="Arial" w:cs="Arial"/>
          <w:color w:val="000000"/>
          <w:sz w:val="21"/>
          <w:lang w:eastAsia="es-ES_tradnl"/>
        </w:rPr>
        <w:t>Mipyme</w:t>
      </w:r>
      <w:proofErr w:type="spellEnd"/>
      <w:r w:rsidRPr="007A49CB">
        <w:rPr>
          <w:rFonts w:ascii="Arial" w:eastAsia="Calibri" w:hAnsi="Arial" w:cs="Arial"/>
          <w:color w:val="000000"/>
          <w:sz w:val="21"/>
          <w:lang w:eastAsia="es-ES_tradnl"/>
        </w:rPr>
        <w:t xml:space="preserve"> que solicitan la «limitación territorial» no es relevante frente a dicha decisión, por dos razo</w:t>
      </w:r>
      <w:r w:rsidRPr="007A49CB">
        <w:rPr>
          <w:rFonts w:ascii="Arial" w:eastAsia="Times New Roman" w:hAnsi="Arial" w:cs="Arial"/>
          <w:color w:val="000000"/>
          <w:sz w:val="21"/>
          <w:lang w:eastAsia="es-ES_tradnl"/>
        </w:rPr>
        <w:t xml:space="preserve">nes: primero, porque las </w:t>
      </w:r>
      <w:proofErr w:type="spellStart"/>
      <w:r w:rsidRPr="007A49CB">
        <w:rPr>
          <w:rFonts w:ascii="Arial" w:eastAsia="Times New Roman" w:hAnsi="Arial" w:cs="Arial"/>
          <w:color w:val="000000"/>
          <w:sz w:val="21"/>
          <w:lang w:eastAsia="es-ES_tradnl"/>
        </w:rPr>
        <w:t>Mipyme</w:t>
      </w:r>
      <w:proofErr w:type="spellEnd"/>
      <w:r w:rsidRPr="007A49CB">
        <w:rPr>
          <w:rFonts w:ascii="Arial" w:eastAsia="Calibri" w:hAnsi="Arial" w:cs="Arial"/>
          <w:color w:val="000000"/>
          <w:sz w:val="21"/>
          <w:lang w:eastAsia="es-ES_tradnl"/>
        </w:rPr>
        <w:t xml:space="preserve"> no están habilitadas para pedir la «limitación territorial», lo están para pedir la «convocatoria limitada a </w:t>
      </w:r>
      <w:proofErr w:type="spellStart"/>
      <w:r w:rsidRPr="007A49CB">
        <w:rPr>
          <w:rFonts w:ascii="Arial" w:eastAsia="Calibri" w:hAnsi="Arial" w:cs="Arial"/>
          <w:color w:val="000000"/>
          <w:sz w:val="21"/>
          <w:lang w:eastAsia="es-ES_tradnl"/>
        </w:rPr>
        <w:t>Mipymes</w:t>
      </w:r>
      <w:proofErr w:type="spellEnd"/>
      <w:r w:rsidRPr="007A49CB">
        <w:rPr>
          <w:rFonts w:ascii="Arial" w:eastAsia="Calibri" w:hAnsi="Arial" w:cs="Arial"/>
          <w:color w:val="000000"/>
          <w:sz w:val="21"/>
          <w:lang w:eastAsia="es-ES_tradnl"/>
        </w:rPr>
        <w:t>», y, segundo, porque el único criterio a tener en cuenta, una vez se ha decidido justificadamente limitar territorialmente la convocatori</w:t>
      </w:r>
      <w:r w:rsidRPr="007A49CB">
        <w:rPr>
          <w:rFonts w:ascii="Arial" w:eastAsia="Times New Roman" w:hAnsi="Arial" w:cs="Arial"/>
          <w:color w:val="000000"/>
          <w:sz w:val="21"/>
          <w:lang w:eastAsia="es-ES_tradnl"/>
        </w:rPr>
        <w:t xml:space="preserve">a previamente limitada a </w:t>
      </w:r>
      <w:proofErr w:type="spellStart"/>
      <w:r w:rsidRPr="007A49CB">
        <w:rPr>
          <w:rFonts w:ascii="Arial" w:eastAsia="Times New Roman" w:hAnsi="Arial" w:cs="Arial"/>
          <w:color w:val="000000"/>
          <w:sz w:val="21"/>
          <w:lang w:eastAsia="es-ES_tradnl"/>
        </w:rPr>
        <w:t>Mipyme</w:t>
      </w:r>
      <w:proofErr w:type="spellEnd"/>
      <w:r w:rsidRPr="007A49CB">
        <w:rPr>
          <w:rFonts w:ascii="Arial" w:eastAsia="Calibri" w:hAnsi="Arial" w:cs="Arial"/>
          <w:color w:val="000000"/>
          <w:sz w:val="21"/>
          <w:lang w:eastAsia="es-ES_tradnl"/>
        </w:rPr>
        <w:t>, es el lugar donde se va a ejecutar el contrato.</w:t>
      </w:r>
    </w:p>
    <w:p w14:paraId="00338B3C" w14:textId="77777777" w:rsidR="00822467" w:rsidRPr="007A49CB" w:rsidRDefault="00822467" w:rsidP="00822467">
      <w:pPr>
        <w:spacing w:after="0" w:line="276" w:lineRule="auto"/>
        <w:ind w:firstLine="709"/>
        <w:jc w:val="both"/>
        <w:rPr>
          <w:rFonts w:ascii="Arial" w:eastAsia="Arial" w:hAnsi="Arial" w:cs="Arial"/>
          <w:color w:val="000000"/>
          <w:sz w:val="21"/>
          <w:szCs w:val="21"/>
          <w:lang w:val="es-ES_tradnl"/>
        </w:rPr>
      </w:pPr>
      <w:r w:rsidRPr="007A49CB">
        <w:rPr>
          <w:rFonts w:ascii="Arial" w:eastAsia="Arial" w:hAnsi="Arial" w:cs="Arial"/>
          <w:color w:val="000000"/>
          <w:sz w:val="21"/>
          <w:szCs w:val="21"/>
          <w:lang w:val="es-ES_tradnl"/>
        </w:rPr>
        <w:t xml:space="preserve">Conviene, igualmente, precisar que el domicilio de la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al siguiente tenor:</w:t>
      </w:r>
    </w:p>
    <w:p w14:paraId="54711D8A" w14:textId="77777777" w:rsidR="00822467" w:rsidRPr="007A49CB" w:rsidRDefault="00822467" w:rsidP="00822467">
      <w:pPr>
        <w:spacing w:after="0" w:line="276" w:lineRule="auto"/>
        <w:ind w:firstLine="709"/>
        <w:jc w:val="both"/>
        <w:rPr>
          <w:rFonts w:ascii="Arial" w:eastAsia="Arial" w:hAnsi="Arial" w:cs="Arial"/>
          <w:color w:val="000000"/>
          <w:sz w:val="21"/>
          <w:szCs w:val="21"/>
          <w:lang w:val="es-ES_tradnl"/>
        </w:rPr>
      </w:pPr>
    </w:p>
    <w:p w14:paraId="12871F70"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bCs/>
          <w:sz w:val="20"/>
          <w:szCs w:val="20"/>
          <w:lang w:eastAsia="es-ES_tradnl"/>
        </w:rPr>
        <w:t>«</w:t>
      </w:r>
      <w:r w:rsidRPr="007A49CB">
        <w:rPr>
          <w:rFonts w:ascii="Arial" w:eastAsia="Calibri" w:hAnsi="Arial" w:cs="Arial"/>
          <w:bCs/>
          <w:sz w:val="20"/>
          <w:szCs w:val="20"/>
          <w:lang w:val="es-ES_tradnl" w:eastAsia="es-ES_tradnl"/>
        </w:rPr>
        <w:t>Artículo 2.2.1.2.4.2.4. Acreditación de requisitos para participar en convocatorias limitadas.</w:t>
      </w:r>
      <w:r w:rsidRPr="007A49CB">
        <w:rPr>
          <w:rFonts w:ascii="Arial" w:eastAsia="Calibri" w:hAnsi="Arial" w:cs="Arial"/>
          <w:sz w:val="20"/>
          <w:szCs w:val="20"/>
          <w:lang w:val="es-ES_tradnl" w:eastAsia="es-ES_tradnl"/>
        </w:rPr>
        <w:t xml:space="preserve"> La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colombianas deben acreditar que tiene el tamaño empresarial establecido por la ley de la siguiente manera: </w:t>
      </w:r>
    </w:p>
    <w:p w14:paraId="64CDC78E"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456D7172"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1. Las personas naturales mediante certificación expedida por ellos y </w:t>
      </w:r>
      <w:r w:rsidRPr="007A49CB">
        <w:rPr>
          <w:rFonts w:ascii="Arial" w:eastAsia="Calibri" w:hAnsi="Arial" w:cs="Arial"/>
          <w:i/>
          <w:iCs/>
          <w:sz w:val="20"/>
          <w:szCs w:val="20"/>
          <w:lang w:val="es-ES_tradnl" w:eastAsia="es-ES_tradnl"/>
        </w:rPr>
        <w:t>un contador público</w:t>
      </w:r>
      <w:r w:rsidRPr="007A49CB">
        <w:rPr>
          <w:rFonts w:ascii="Arial" w:eastAsia="Calibri" w:hAnsi="Arial" w:cs="Arial"/>
          <w:sz w:val="20"/>
          <w:szCs w:val="20"/>
          <w:lang w:val="es-ES_tradnl" w:eastAsia="es-ES_tradnl"/>
        </w:rPr>
        <w:t xml:space="preserve">, adjuntando copia del registro mercantil. </w:t>
      </w:r>
    </w:p>
    <w:p w14:paraId="12A5FA9C"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048BDE22"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2. Las personas jurídicas mediante certificación expedida por el representante legal y el </w:t>
      </w:r>
      <w:r w:rsidRPr="007A49CB">
        <w:rPr>
          <w:rFonts w:ascii="Arial" w:eastAsia="Calibri" w:hAnsi="Arial" w:cs="Arial"/>
          <w:i/>
          <w:iCs/>
          <w:sz w:val="20"/>
          <w:szCs w:val="20"/>
          <w:lang w:val="es-ES_tradnl" w:eastAsia="es-ES_tradnl"/>
        </w:rPr>
        <w:t>contador o revisor fiscal</w:t>
      </w:r>
      <w:r w:rsidRPr="007A49CB">
        <w:rPr>
          <w:rFonts w:ascii="Arial" w:eastAsia="Calibri" w:hAnsi="Arial" w:cs="Arial"/>
          <w:sz w:val="20"/>
          <w:szCs w:val="20"/>
          <w:lang w:val="es-ES_tradnl" w:eastAsia="es-ES_tradnl"/>
        </w:rPr>
        <w:t>, si están obligados a tenerlo, adjuntando copia del certificado de existencia y representación legal expedido por la Cámara de Comercio o por la autoridad competente para expedir dicha certificación. Para la acreditación deberán observarse los rangos de clasificación empresarial establecidos de conformidad con la Ley 590 de 2000 y el Decreto 1074 de 2015, o las normas que lo modifiquen, sustituyan o complementen.</w:t>
      </w:r>
    </w:p>
    <w:p w14:paraId="04D57F51" w14:textId="77777777" w:rsidR="00822467" w:rsidRPr="007A49CB" w:rsidRDefault="00822467" w:rsidP="00822467">
      <w:pPr>
        <w:tabs>
          <w:tab w:val="left" w:pos="6660"/>
        </w:tabs>
        <w:spacing w:after="0" w:line="240" w:lineRule="auto"/>
        <w:ind w:left="709" w:right="709"/>
        <w:contextualSpacing/>
        <w:jc w:val="both"/>
        <w:rPr>
          <w:rFonts w:ascii="Arial" w:eastAsia="Calibri" w:hAnsi="Arial" w:cs="Arial"/>
          <w:b/>
          <w:bCs/>
          <w:sz w:val="20"/>
          <w:szCs w:val="20"/>
          <w:lang w:val="es-ES_tradnl" w:eastAsia="es-ES_tradnl"/>
        </w:rPr>
      </w:pPr>
      <w:r w:rsidRPr="007A49CB">
        <w:rPr>
          <w:rFonts w:ascii="Arial" w:eastAsia="Calibri" w:hAnsi="Arial" w:cs="Arial"/>
          <w:b/>
          <w:bCs/>
          <w:sz w:val="20"/>
          <w:szCs w:val="20"/>
          <w:lang w:val="es-ES_tradnl" w:eastAsia="es-ES_tradnl"/>
        </w:rPr>
        <w:tab/>
      </w:r>
    </w:p>
    <w:p w14:paraId="0D820C6A"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Parágrafo 1. En todo caso, las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también podrán acreditar esta condición con la copia del certificado del Registro Único de Proponentes, el cual deberá encontrarse vigente y en firme al momento de su presentación.</w:t>
      </w:r>
    </w:p>
    <w:p w14:paraId="5122E4A5"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42AA793D"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Parágrafo 2. Para efectos de la limitación a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 </w:t>
      </w:r>
    </w:p>
    <w:p w14:paraId="20F9F733"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308D116E"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 xml:space="preserve">Parágrafo 3. En las convocatorias limitadas, las Entidades Estatales independientemente de su régimen de contratación, los patrimonios autónomos constituidos por Entidades Estatales y los particulares que ejecuten recursos públicos, solo deberán aceptar las ofertas de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 xml:space="preserve"> o de proponentes plurales integrados únicamente por </w:t>
      </w:r>
      <w:proofErr w:type="spellStart"/>
      <w:r w:rsidRPr="007A49CB">
        <w:rPr>
          <w:rFonts w:ascii="Arial" w:eastAsia="Calibri" w:hAnsi="Arial" w:cs="Arial"/>
          <w:sz w:val="20"/>
          <w:szCs w:val="20"/>
          <w:lang w:val="es-ES_tradnl" w:eastAsia="es-ES_tradnl"/>
        </w:rPr>
        <w:t>Mipyme</w:t>
      </w:r>
      <w:proofErr w:type="spellEnd"/>
      <w:r w:rsidRPr="007A49CB">
        <w:rPr>
          <w:rFonts w:ascii="Arial" w:eastAsia="Calibri" w:hAnsi="Arial" w:cs="Arial"/>
          <w:sz w:val="20"/>
          <w:szCs w:val="20"/>
          <w:lang w:val="es-ES_tradnl" w:eastAsia="es-ES_tradnl"/>
        </w:rPr>
        <w:t>.</w:t>
      </w:r>
    </w:p>
    <w:p w14:paraId="2EE281C1"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p>
    <w:p w14:paraId="429885F5" w14:textId="77777777" w:rsidR="00822467" w:rsidRPr="007A49CB" w:rsidRDefault="00822467" w:rsidP="00822467">
      <w:pPr>
        <w:spacing w:after="0" w:line="240" w:lineRule="auto"/>
        <w:ind w:left="709" w:right="709"/>
        <w:contextualSpacing/>
        <w:jc w:val="both"/>
        <w:rPr>
          <w:rFonts w:ascii="Arial" w:eastAsia="Calibri" w:hAnsi="Arial" w:cs="Arial"/>
          <w:sz w:val="20"/>
          <w:szCs w:val="20"/>
          <w:lang w:val="es-ES_tradnl" w:eastAsia="es-ES_tradnl"/>
        </w:rPr>
      </w:pPr>
      <w:r w:rsidRPr="007A49CB">
        <w:rPr>
          <w:rFonts w:ascii="Arial" w:eastAsia="Calibri" w:hAnsi="Arial" w:cs="Arial"/>
          <w:sz w:val="20"/>
          <w:szCs w:val="20"/>
          <w:lang w:val="es-ES_tradnl" w:eastAsia="es-ES_tradnl"/>
        </w:rPr>
        <w:t>Parágrafo 4. Los incentivos previstos en los artículos 2.2.1.2.4.2.2 y 2.2.1.2.4.2.3 de este Decreto no excluyen la aplicación de los criterios diferenciales para los emprendimientos y empresas de mujeres en el sistema de compras públicas</w:t>
      </w:r>
      <w:r w:rsidRPr="007A49CB">
        <w:rPr>
          <w:rFonts w:ascii="Arial" w:eastAsia="Times New Roman" w:hAnsi="Arial" w:cs="Arial"/>
          <w:sz w:val="20"/>
          <w:szCs w:val="20"/>
          <w:lang w:eastAsia="es-ES_tradnl"/>
        </w:rPr>
        <w:t>»</w:t>
      </w:r>
      <w:r w:rsidRPr="007A49CB">
        <w:rPr>
          <w:rFonts w:ascii="Arial" w:eastAsia="Calibri" w:hAnsi="Arial" w:cs="Arial"/>
          <w:sz w:val="20"/>
          <w:szCs w:val="20"/>
          <w:lang w:val="es-ES_tradnl" w:eastAsia="es-ES_tradnl"/>
        </w:rPr>
        <w:t>. [Énfasis fuera del texto]</w:t>
      </w:r>
    </w:p>
    <w:p w14:paraId="7057CE5C" w14:textId="77777777" w:rsidR="00822467" w:rsidRPr="007A49CB" w:rsidRDefault="00822467" w:rsidP="00822467">
      <w:pPr>
        <w:spacing w:after="0" w:line="240" w:lineRule="auto"/>
        <w:ind w:left="709" w:right="709"/>
        <w:jc w:val="both"/>
        <w:rPr>
          <w:rFonts w:ascii="Arial" w:eastAsia="Arial" w:hAnsi="Arial" w:cs="Arial"/>
          <w:sz w:val="20"/>
          <w:szCs w:val="20"/>
          <w:lang w:val="es-ES_tradnl"/>
        </w:rPr>
      </w:pPr>
    </w:p>
    <w:p w14:paraId="73948EC3" w14:textId="77777777" w:rsidR="00822467" w:rsidRPr="007A49CB" w:rsidRDefault="00822467" w:rsidP="00822467">
      <w:pPr>
        <w:spacing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Con todo, respecto del objeto de la consulta es preciso advertir que, el ejercicio de la facultad discrecional en orden de aplicar la limitación territorial en favor de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con domicilio en un municipio en un departamento específico debe hacerse dentro del marco de lo regulado por el artículo 2.2.1.2.4.2.3 </w:t>
      </w:r>
      <w:proofErr w:type="spellStart"/>
      <w:r w:rsidRPr="007A49CB">
        <w:rPr>
          <w:rFonts w:ascii="Arial" w:eastAsia="Calibri" w:hAnsi="Arial" w:cs="Arial"/>
          <w:i/>
          <w:iCs/>
          <w:sz w:val="21"/>
          <w:szCs w:val="21"/>
          <w:lang w:val="es-ES_tradnl" w:eastAsia="es-ES_tradnl"/>
        </w:rPr>
        <w:t>ejusdem</w:t>
      </w:r>
      <w:proofErr w:type="spellEnd"/>
      <w:r w:rsidRPr="007A49CB">
        <w:rPr>
          <w:rFonts w:ascii="Arial" w:eastAsia="Calibri" w:hAnsi="Arial" w:cs="Arial"/>
          <w:sz w:val="21"/>
          <w:szCs w:val="21"/>
          <w:lang w:val="es-ES_tradnl" w:eastAsia="es-ES_tradnl"/>
        </w:rPr>
        <w:t xml:space="preserve">, el cual establece como presupuesto para que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tengan su domicilio en el lugar en donde se va a ejecutar el contrato. Esto significa que, en el marco de estas convocatorias, la exigibilidad de que el domicilio de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se ubique en un único municipio en particular o en alguno de los municipios que conforman un departamento en concreto, está ligada al ámbito territorial en el que se va a desarrollar el objeto contractual. </w:t>
      </w:r>
    </w:p>
    <w:p w14:paraId="2535CC0C" w14:textId="77777777" w:rsidR="00822467" w:rsidRPr="007A49CB" w:rsidRDefault="00822467" w:rsidP="00822467">
      <w:pPr>
        <w:spacing w:after="0" w:line="276" w:lineRule="auto"/>
        <w:ind w:firstLine="708"/>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De este modo, en el caso de un contrato que se va a ejecutar en su totalidad dentro del territorio de un municipio, la limitación territorial debe aplicarse en favor de las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1BE1AFEB" w14:textId="77777777" w:rsidR="00822467" w:rsidRPr="007A49CB" w:rsidRDefault="00822467" w:rsidP="00822467">
      <w:pPr>
        <w:spacing w:before="120" w:after="0" w:line="276" w:lineRule="auto"/>
        <w:ind w:firstLine="709"/>
        <w:jc w:val="both"/>
        <w:rPr>
          <w:rFonts w:ascii="Arial" w:eastAsia="Calibri" w:hAnsi="Arial" w:cs="Arial"/>
          <w:sz w:val="21"/>
          <w:szCs w:val="21"/>
          <w:lang w:eastAsia="es-MX"/>
        </w:rPr>
      </w:pPr>
      <w:r w:rsidRPr="007A49CB">
        <w:rPr>
          <w:rFonts w:ascii="Arial" w:eastAsia="Calibri" w:hAnsi="Arial" w:cs="Arial"/>
          <w:sz w:val="21"/>
          <w:szCs w:val="21"/>
          <w:lang w:val="es-MX" w:eastAsia="es-ES_tradnl"/>
        </w:rPr>
        <w:t>Finalmente, e</w:t>
      </w:r>
      <w:proofErr w:type="spellStart"/>
      <w:r w:rsidRPr="007A49CB">
        <w:rPr>
          <w:rFonts w:ascii="Arial" w:eastAsia="Calibri" w:hAnsi="Arial" w:cs="Arial"/>
          <w:sz w:val="21"/>
          <w:szCs w:val="21"/>
          <w:lang w:eastAsia="es-ES_tradnl"/>
        </w:rPr>
        <w:t>sta</w:t>
      </w:r>
      <w:proofErr w:type="spellEnd"/>
      <w:r w:rsidRPr="007A49CB">
        <w:rPr>
          <w:rFonts w:ascii="Arial" w:eastAsia="Calibri" w:hAnsi="Arial" w:cs="Arial"/>
          <w:sz w:val="21"/>
          <w:szCs w:val="21"/>
          <w:lang w:eastAsia="es-ES_tradnl"/>
        </w:rPr>
        <w:t xml:space="preserve"> Agencia considera que lo recomendable es que las entidades establezcan </w:t>
      </w:r>
      <w:r w:rsidRPr="007A49CB">
        <w:rPr>
          <w:rFonts w:ascii="Arial" w:eastAsia="Calibri" w:hAnsi="Arial" w:cs="Arial"/>
          <w:i/>
          <w:iCs/>
          <w:sz w:val="21"/>
          <w:szCs w:val="21"/>
          <w:lang w:eastAsia="es-ES_tradnl"/>
        </w:rPr>
        <w:t>ex ante</w:t>
      </w:r>
      <w:r w:rsidRPr="007A49CB">
        <w:rPr>
          <w:rFonts w:ascii="Arial" w:eastAsia="Calibri" w:hAnsi="Arial" w:cs="Arial"/>
          <w:sz w:val="21"/>
          <w:szCs w:val="21"/>
          <w:lang w:eastAsia="es-ES_tradnl"/>
        </w:rPr>
        <w:t xml:space="preserve">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w:t>
      </w:r>
    </w:p>
    <w:p w14:paraId="3C268FC1" w14:textId="77777777" w:rsidR="00822467" w:rsidRPr="007A49CB" w:rsidRDefault="00822467" w:rsidP="00822467">
      <w:pPr>
        <w:spacing w:after="0" w:line="276" w:lineRule="auto"/>
        <w:jc w:val="both"/>
        <w:rPr>
          <w:rFonts w:ascii="Arial" w:eastAsia="Arial" w:hAnsi="Arial" w:cs="Arial"/>
          <w:b/>
          <w:color w:val="000000"/>
          <w:sz w:val="21"/>
          <w:szCs w:val="21"/>
          <w:lang w:val="es-ES_tradnl" w:eastAsia="es-ES_tradnl"/>
        </w:rPr>
      </w:pPr>
    </w:p>
    <w:bookmarkEnd w:id="2"/>
    <w:p w14:paraId="2E65C099" w14:textId="77777777" w:rsidR="00822467" w:rsidRPr="007A49CB" w:rsidRDefault="00822467" w:rsidP="00822467">
      <w:pPr>
        <w:tabs>
          <w:tab w:val="left" w:pos="0"/>
        </w:tabs>
        <w:spacing w:after="0" w:line="240" w:lineRule="auto"/>
        <w:jc w:val="both"/>
        <w:rPr>
          <w:rFonts w:ascii="Arial" w:eastAsia="Calibri" w:hAnsi="Arial" w:cs="Arial"/>
          <w:b/>
          <w:color w:val="000000"/>
          <w:sz w:val="21"/>
          <w:lang w:val="es-ES_tradnl" w:eastAsia="es-ES_tradnl"/>
        </w:rPr>
      </w:pPr>
      <w:r w:rsidRPr="007A49CB">
        <w:rPr>
          <w:rFonts w:ascii="Arial" w:eastAsia="Calibri" w:hAnsi="Arial" w:cs="Arial"/>
          <w:b/>
          <w:color w:val="000000"/>
          <w:sz w:val="21"/>
          <w:lang w:val="es-ES_tradnl" w:eastAsia="es-ES_tradnl"/>
        </w:rPr>
        <w:t>3. Respuesta</w:t>
      </w:r>
    </w:p>
    <w:p w14:paraId="109A6D20" w14:textId="77777777" w:rsidR="00822467" w:rsidRPr="007A49CB" w:rsidRDefault="00822467" w:rsidP="00822467">
      <w:pPr>
        <w:spacing w:after="0" w:line="276" w:lineRule="auto"/>
        <w:jc w:val="both"/>
        <w:rPr>
          <w:rFonts w:ascii="Arial" w:eastAsia="Times New Roman" w:hAnsi="Arial" w:cs="Arial"/>
          <w:color w:val="000000"/>
          <w:sz w:val="21"/>
          <w:lang w:val="es-ES_tradnl" w:eastAsia="es-ES_tradnl"/>
        </w:rPr>
      </w:pPr>
    </w:p>
    <w:p w14:paraId="0F59194E" w14:textId="77777777" w:rsidR="00822467" w:rsidRPr="007A49CB" w:rsidRDefault="00822467" w:rsidP="00822467">
      <w:pPr>
        <w:spacing w:after="0" w:line="240" w:lineRule="auto"/>
        <w:ind w:left="709" w:right="476"/>
        <w:jc w:val="both"/>
        <w:rPr>
          <w:rFonts w:ascii="Arial" w:eastAsia="Times New Roman" w:hAnsi="Arial" w:cs="Arial"/>
          <w:sz w:val="20"/>
          <w:szCs w:val="20"/>
          <w:lang w:val="es-ES_tradnl" w:eastAsia="es-ES_tradnl"/>
        </w:rPr>
      </w:pPr>
      <w:r w:rsidRPr="007A49CB">
        <w:rPr>
          <w:rFonts w:ascii="Arial" w:eastAsia="Times New Roman" w:hAnsi="Arial" w:cs="Arial"/>
          <w:sz w:val="20"/>
          <w:szCs w:val="20"/>
          <w:lang w:val="es-ES_tradnl" w:eastAsia="es-ES_tradnl"/>
        </w:rPr>
        <w:t>«</w:t>
      </w:r>
      <w:r w:rsidRPr="007A49CB">
        <w:rPr>
          <w:rFonts w:ascii="Arial" w:eastAsia="Times New Roman" w:hAnsi="Arial" w:cs="Arial"/>
          <w:sz w:val="20"/>
          <w:szCs w:val="20"/>
          <w:lang w:eastAsia="es-ES_tradnl"/>
        </w:rPr>
        <w:t xml:space="preserve">El </w:t>
      </w:r>
      <w:r w:rsidRPr="007A49CB">
        <w:rPr>
          <w:rFonts w:ascii="Arial" w:eastAsia="Times New Roman" w:hAnsi="Arial" w:cs="Arial"/>
          <w:b/>
          <w:bCs/>
          <w:i/>
          <w:iCs/>
          <w:sz w:val="20"/>
          <w:szCs w:val="20"/>
          <w:u w:val="single"/>
          <w:lang w:eastAsia="es-ES_tradnl"/>
        </w:rPr>
        <w:t>Decreto 1860 de 2021</w:t>
      </w:r>
      <w:r w:rsidRPr="007A49CB">
        <w:rPr>
          <w:rFonts w:ascii="Arial" w:eastAsia="Times New Roman" w:hAnsi="Arial" w:cs="Arial"/>
          <w:i/>
          <w:iCs/>
          <w:sz w:val="20"/>
          <w:szCs w:val="20"/>
          <w:lang w:eastAsia="es-ES_tradnl"/>
        </w:rPr>
        <w:t xml:space="preserve"> es bien claro con relación al domicilio, norma </w:t>
      </w:r>
      <w:proofErr w:type="gramStart"/>
      <w:r w:rsidRPr="007A49CB">
        <w:rPr>
          <w:rFonts w:ascii="Arial" w:eastAsia="Times New Roman" w:hAnsi="Arial" w:cs="Arial"/>
          <w:i/>
          <w:iCs/>
          <w:sz w:val="20"/>
          <w:szCs w:val="20"/>
          <w:lang w:eastAsia="es-ES_tradnl"/>
        </w:rPr>
        <w:t>que  modifica</w:t>
      </w:r>
      <w:proofErr w:type="gramEnd"/>
      <w:r w:rsidRPr="007A49CB">
        <w:rPr>
          <w:rFonts w:ascii="Arial" w:eastAsia="Times New Roman" w:hAnsi="Arial" w:cs="Arial"/>
          <w:i/>
          <w:iCs/>
          <w:sz w:val="20"/>
          <w:szCs w:val="20"/>
          <w:lang w:eastAsia="es-ES_tradnl"/>
        </w:rPr>
        <w:t xml:space="preserve"> parte del decreto 1082 de 2015 en los mismos términos, las</w:t>
      </w:r>
      <w:r w:rsidRPr="007A49CB">
        <w:rPr>
          <w:rFonts w:ascii="Arial" w:eastAsia="Times New Roman" w:hAnsi="Arial" w:cs="Arial"/>
          <w:sz w:val="20"/>
          <w:szCs w:val="20"/>
          <w:lang w:eastAsia="es-ES_tradnl"/>
        </w:rPr>
        <w:t xml:space="preserve"> entidades Estatales, independientemente de su régimen de contratación,….., pueden realizar convocatorias limitadas a MiPymes colombianas que tengan domicilio en los departamentos o municipios en donde se va a ejecutar el contrato. Cada MiPymes deberá acreditar su domicilio según artículo 2.2.1.2.4.2.4</w:t>
      </w:r>
      <w:proofErr w:type="gramStart"/>
      <w:r w:rsidRPr="007A49CB">
        <w:rPr>
          <w:rFonts w:ascii="Arial" w:eastAsia="Times New Roman" w:hAnsi="Arial" w:cs="Arial"/>
          <w:sz w:val="20"/>
          <w:szCs w:val="20"/>
          <w:lang w:eastAsia="es-ES_tradnl"/>
        </w:rPr>
        <w:t>…….</w:t>
      </w:r>
      <w:proofErr w:type="gramEnd"/>
      <w:r w:rsidRPr="007A49CB">
        <w:rPr>
          <w:rFonts w:ascii="Arial" w:eastAsia="Times New Roman" w:hAnsi="Arial" w:cs="Arial"/>
          <w:sz w:val="20"/>
          <w:szCs w:val="20"/>
          <w:lang w:eastAsia="es-ES_tradnl"/>
        </w:rPr>
        <w:t xml:space="preserve">, </w:t>
      </w:r>
    </w:p>
    <w:p w14:paraId="682C6D0C"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w:t>
      </w:r>
    </w:p>
    <w:p w14:paraId="0B60498B"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La Cámara  de Comercio al inscribir, registrar y renovar la matricula comercial a una sucursal cuya estructura jurídica es una S.A.S., ratifica su objeto social y domicilio comercial que, no es otra cosa, ubicación del lugar territorial y dirección especifica de localización donde funciona territorialmente la respectiva Cámara de Comercio conforme indica el código civil y comercial lo denomina DOMICILIO  llanamente es donde va a operar su actividad comercial la sucursal, en otras palabras, se registra en el municipio respectivo sede de la cámara de comercio, allí se hace constar la inscripción de la sucursal y dirección local como un dato de información pública. Les es prohibido a las cámaras de comercio inscribir y registrar sucursales fuera de su autonomía e independencia territorial político y comercial donde funciona la sede o domicilio territorial de la cámara de comercio respectiva.</w:t>
      </w:r>
    </w:p>
    <w:p w14:paraId="07F2075B"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lastRenderedPageBreak/>
        <w:t> </w:t>
      </w:r>
    </w:p>
    <w:p w14:paraId="6B10E7D3"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xml:space="preserve">De igual forma, en los procesos de contratación se debe entender que la sucursal tiene un domicilio  principal comercial, que es bien diferente al domicilio de la casa matriz donde se atiende actividades judiciales y extrajudiciales, el domicilio tributario puede ser diferente, como el domicilio comercial, por lo anterior, en conceptos bajo esta orbita Colombia compra eficiente habla del domicilio principal de la sociedad, la normas en comento se aparta del concepto jurídico domicilio principal para ejercer el objeto social de la sucursal en categoría de MiPymes por obvias razones debe tener una lugar de ubicación territorial, una dirección puntual de contacto por seguridad jurídica ante terceros. </w:t>
      </w:r>
    </w:p>
    <w:p w14:paraId="029A8B95"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w:t>
      </w:r>
    </w:p>
    <w:p w14:paraId="7DE98567" w14:textId="77777777" w:rsidR="00822467" w:rsidRPr="007A49CB" w:rsidRDefault="00822467" w:rsidP="00822467">
      <w:pPr>
        <w:spacing w:after="0" w:line="240" w:lineRule="auto"/>
        <w:ind w:left="709" w:right="476"/>
        <w:jc w:val="both"/>
        <w:rPr>
          <w:rFonts w:ascii="Arial" w:eastAsia="Times New Roman" w:hAnsi="Arial" w:cs="Arial"/>
          <w:sz w:val="20"/>
          <w:szCs w:val="20"/>
          <w:lang w:eastAsia="es-ES_tradnl"/>
        </w:rPr>
      </w:pPr>
      <w:r w:rsidRPr="007A49CB">
        <w:rPr>
          <w:rFonts w:ascii="Arial" w:eastAsia="Times New Roman" w:hAnsi="Arial" w:cs="Arial"/>
          <w:sz w:val="20"/>
          <w:szCs w:val="20"/>
          <w:lang w:eastAsia="es-ES_tradnl"/>
        </w:rPr>
        <w:t xml:space="preserve">Por lo anterior, la norma en el ejercicio comercial de una sucursal no es excluyente porque no incluye el termino domicilio principal, razón jurídica por la cual hay una posible interpretación errónea al dejar sin domicilio a las sucursales en diferentes aspectos comerciales y en contra de su imagen, ampliación de su cobertura comercial, </w:t>
      </w:r>
      <w:proofErr w:type="gramStart"/>
      <w:r w:rsidRPr="007A49CB">
        <w:rPr>
          <w:rFonts w:ascii="Arial" w:eastAsia="Times New Roman" w:hAnsi="Arial" w:cs="Arial"/>
          <w:sz w:val="20"/>
          <w:szCs w:val="20"/>
          <w:lang w:eastAsia="es-ES_tradnl"/>
        </w:rPr>
        <w:t>seguridad jurídica y capacidad jurídica</w:t>
      </w:r>
      <w:proofErr w:type="gramEnd"/>
      <w:r w:rsidRPr="007A49CB">
        <w:rPr>
          <w:rFonts w:ascii="Arial" w:eastAsia="Times New Roman" w:hAnsi="Arial" w:cs="Arial"/>
          <w:sz w:val="20"/>
          <w:szCs w:val="20"/>
          <w:lang w:eastAsia="es-ES_tradnl"/>
        </w:rPr>
        <w:t xml:space="preserve"> ante terceros donde se encuentra funcionando como sucursal MiPymes. Bajo estos criterios, solicito MUY RESPETUOSAMENTE se me aclare si estoy en un error de interpretación de la norma en comento o existe otra norma que diga lo contrario</w:t>
      </w:r>
      <w:r w:rsidRPr="007A49CB">
        <w:rPr>
          <w:rFonts w:ascii="Arial" w:eastAsia="Times New Roman" w:hAnsi="Arial" w:cs="Arial"/>
          <w:sz w:val="20"/>
          <w:szCs w:val="20"/>
          <w:lang w:val="es-ES_tradnl" w:eastAsia="es-ES_tradnl"/>
        </w:rPr>
        <w:t>».</w:t>
      </w:r>
    </w:p>
    <w:p w14:paraId="02AFBC0E" w14:textId="77777777" w:rsidR="00822467" w:rsidRPr="007A49CB" w:rsidRDefault="00822467" w:rsidP="00822467">
      <w:pPr>
        <w:spacing w:after="0" w:line="240" w:lineRule="auto"/>
        <w:jc w:val="both"/>
        <w:rPr>
          <w:rFonts w:ascii="Arial" w:eastAsia="Times New Roman" w:hAnsi="Arial" w:cs="Arial"/>
          <w:color w:val="000000"/>
          <w:sz w:val="21"/>
          <w:lang w:eastAsia="es-ES_tradnl"/>
        </w:rPr>
      </w:pPr>
    </w:p>
    <w:p w14:paraId="2ACE2467" w14:textId="77777777" w:rsidR="00822467" w:rsidRPr="007A49CB" w:rsidRDefault="00822467" w:rsidP="00822467">
      <w:pPr>
        <w:spacing w:after="120" w:line="276" w:lineRule="auto"/>
        <w:jc w:val="both"/>
        <w:rPr>
          <w:rFonts w:ascii="Arial" w:eastAsia="Calibri" w:hAnsi="Arial" w:cs="Arial"/>
          <w:sz w:val="21"/>
          <w:szCs w:val="21"/>
          <w:lang w:val="es-ES_tradnl" w:eastAsia="es-ES_tradnl"/>
        </w:rPr>
      </w:pPr>
      <w:r w:rsidRPr="007A49CB">
        <w:rPr>
          <w:rFonts w:ascii="Arial" w:eastAsia="Times New Roman" w:hAnsi="Arial" w:cs="Arial"/>
          <w:color w:val="000000"/>
          <w:sz w:val="21"/>
          <w:lang w:val="es-ES_tradnl" w:eastAsia="es-ES_tradnl"/>
        </w:rPr>
        <w:t>De</w:t>
      </w:r>
      <w:r w:rsidRPr="007A49CB">
        <w:rPr>
          <w:rFonts w:ascii="Arial" w:eastAsia="Times New Roman" w:hAnsi="Arial" w:cs="Arial"/>
          <w:color w:val="000000"/>
          <w:sz w:val="21"/>
          <w:lang w:eastAsia="es-ES_tradnl"/>
        </w:rPr>
        <w:t xml:space="preserve"> acuerdo con la explicación precedente, la postura sostenida por esta Agencia en vigencia </w:t>
      </w:r>
      <w:r w:rsidRPr="007A49CB">
        <w:rPr>
          <w:rFonts w:ascii="Arial" w:eastAsia="Times New Roman" w:hAnsi="Arial" w:cs="Arial"/>
          <w:sz w:val="21"/>
          <w:szCs w:val="21"/>
          <w:lang w:val="es-ES_tradnl" w:eastAsia="es-ES_tradnl"/>
        </w:rPr>
        <w:t xml:space="preserve">del artículo </w:t>
      </w:r>
      <w:r w:rsidRPr="007A49CB">
        <w:rPr>
          <w:rFonts w:ascii="Arial" w:eastAsia="Calibri" w:hAnsi="Arial" w:cs="Arial"/>
          <w:sz w:val="21"/>
          <w:szCs w:val="21"/>
          <w:lang w:val="es-ES_tradnl" w:eastAsia="es-ES_tradnl"/>
        </w:rPr>
        <w:t xml:space="preserve">2.2.1.2.4.2.3 del Decreto 1082 de 2015 y con el texto actual del artículo citado, modificado por el Decreto 1860 de 2021, es que dichas normas no contemplan la posibilidad de que una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domiciliada en un departamento o municipio diferente al lugar de ejecución del contrato, en atención al cual se realiza la limitación territorial, participe de un proceso de selección por el hecho de tener una sucursal en este, puesto que lo relevante es el domicilio de la </w:t>
      </w:r>
      <w:proofErr w:type="spellStart"/>
      <w:r w:rsidRPr="007A49CB">
        <w:rPr>
          <w:rFonts w:ascii="Arial" w:eastAsia="Calibri" w:hAnsi="Arial" w:cs="Arial"/>
          <w:sz w:val="21"/>
          <w:szCs w:val="21"/>
          <w:lang w:val="es-ES_tradnl" w:eastAsia="es-ES_tradnl"/>
        </w:rPr>
        <w:t>Mipyme</w:t>
      </w:r>
      <w:proofErr w:type="spellEnd"/>
      <w:r w:rsidRPr="007A49CB">
        <w:rPr>
          <w:rFonts w:ascii="Arial" w:eastAsia="Calibri" w:hAnsi="Arial" w:cs="Arial"/>
          <w:sz w:val="21"/>
          <w:szCs w:val="21"/>
          <w:lang w:val="es-ES_tradnl" w:eastAsia="es-ES_tradnl"/>
        </w:rPr>
        <w:t xml:space="preserve">. </w:t>
      </w:r>
    </w:p>
    <w:p w14:paraId="4157498E" w14:textId="77777777" w:rsidR="00822467" w:rsidRPr="007A49CB" w:rsidRDefault="00822467" w:rsidP="00822467">
      <w:pPr>
        <w:spacing w:after="120" w:line="276" w:lineRule="auto"/>
        <w:jc w:val="both"/>
        <w:rPr>
          <w:rFonts w:ascii="Arial" w:eastAsia="Arial" w:hAnsi="Arial" w:cs="Arial"/>
          <w:color w:val="000000"/>
          <w:sz w:val="21"/>
          <w:szCs w:val="21"/>
          <w:lang w:val="es-ES_tradnl"/>
        </w:rPr>
      </w:pPr>
      <w:r w:rsidRPr="007A49CB">
        <w:rPr>
          <w:rFonts w:ascii="Arial" w:eastAsia="Calibri" w:hAnsi="Arial" w:cs="Arial"/>
          <w:sz w:val="21"/>
          <w:szCs w:val="21"/>
          <w:lang w:val="es-ES_tradnl" w:eastAsia="es-ES_tradnl"/>
        </w:rPr>
        <w:tab/>
        <w:t xml:space="preserve">Se precisa que el artículo </w:t>
      </w:r>
      <w:r w:rsidRPr="007A49CB">
        <w:rPr>
          <w:rFonts w:ascii="Arial" w:eastAsia="Arial" w:hAnsi="Arial" w:cs="Arial"/>
          <w:color w:val="000000"/>
          <w:sz w:val="21"/>
          <w:szCs w:val="21"/>
          <w:lang w:val="es-ES_tradnl"/>
        </w:rPr>
        <w:t>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La norma se refiere a los conceptos de «sucursal» y «domicilio» de forma diferente, de lo que se deriva que las sociedades comerciales tienen un domicilio y pueden tener una o varias sucursales que son establecimientos de comercio, esto es, bienes mercantiles pertenecientes a la sociedad.</w:t>
      </w:r>
    </w:p>
    <w:p w14:paraId="4CAD97AA" w14:textId="77777777" w:rsidR="00822467" w:rsidRPr="007A49CB" w:rsidRDefault="00822467" w:rsidP="00822467">
      <w:pPr>
        <w:spacing w:after="120" w:line="276" w:lineRule="auto"/>
        <w:jc w:val="both"/>
        <w:rPr>
          <w:rFonts w:ascii="Arial" w:eastAsia="Calibri" w:hAnsi="Arial" w:cs="Arial"/>
          <w:sz w:val="21"/>
          <w:szCs w:val="21"/>
          <w:lang w:val="es-ES_tradnl" w:eastAsia="es-ES_tradnl"/>
        </w:rPr>
      </w:pPr>
      <w:r w:rsidRPr="007A49CB">
        <w:rPr>
          <w:rFonts w:ascii="Arial" w:eastAsia="Arial" w:hAnsi="Arial" w:cs="Arial"/>
          <w:color w:val="000000"/>
          <w:sz w:val="21"/>
          <w:szCs w:val="21"/>
          <w:lang w:val="es-ES_tradnl"/>
        </w:rPr>
        <w:tab/>
        <w:t xml:space="preserve">Por lo tanto, de acuerdo con lo establecido en el artículo 2.2.1.2.4.2.3. modificado por el Decreto 1860 de 2021, el reglamento se refiere que es procedente extender el beneficio contenido en dicho artículo únicamente a las </w:t>
      </w:r>
      <w:proofErr w:type="spellStart"/>
      <w:r w:rsidRPr="007A49CB">
        <w:rPr>
          <w:rFonts w:ascii="Arial" w:eastAsia="Arial" w:hAnsi="Arial" w:cs="Arial"/>
          <w:color w:val="000000"/>
          <w:sz w:val="21"/>
          <w:szCs w:val="21"/>
          <w:lang w:val="es-ES_tradnl"/>
        </w:rPr>
        <w:t>Mipyme</w:t>
      </w:r>
      <w:proofErr w:type="spellEnd"/>
      <w:r w:rsidRPr="007A49CB">
        <w:rPr>
          <w:rFonts w:ascii="Arial" w:eastAsia="Arial" w:hAnsi="Arial" w:cs="Arial"/>
          <w:color w:val="000000"/>
          <w:sz w:val="21"/>
          <w:szCs w:val="21"/>
          <w:lang w:val="es-ES_tradnl"/>
        </w:rPr>
        <w:t xml:space="preserve"> que tienen su «domicilio» en el lugar de ejecución del contrato, y no donde tiene sucursales. </w:t>
      </w:r>
    </w:p>
    <w:p w14:paraId="3AA02EBF" w14:textId="77777777" w:rsidR="00822467" w:rsidRPr="007A49CB" w:rsidRDefault="00822467" w:rsidP="00822467">
      <w:pPr>
        <w:spacing w:after="12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t xml:space="preserve">En todo caso, la facultad de limitar convocatorias territorialmente en favor de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con domicilio en un municipio en un departamento específico debe ejercerse por las entidades estatales dentro del marco de lo regulado por el artículo 2.2.1.2.4.2.3 </w:t>
      </w:r>
      <w:proofErr w:type="spellStart"/>
      <w:r w:rsidRPr="007A49CB">
        <w:rPr>
          <w:rFonts w:ascii="Arial" w:eastAsia="Calibri" w:hAnsi="Arial" w:cs="Arial"/>
          <w:i/>
          <w:iCs/>
          <w:sz w:val="21"/>
          <w:szCs w:val="21"/>
          <w:lang w:val="es-ES_tradnl" w:eastAsia="es-ES_tradnl"/>
        </w:rPr>
        <w:t>ejusdem</w:t>
      </w:r>
      <w:proofErr w:type="spellEnd"/>
      <w:r w:rsidRPr="007A49CB">
        <w:rPr>
          <w:rFonts w:ascii="Arial" w:eastAsia="Calibri" w:hAnsi="Arial" w:cs="Arial"/>
          <w:sz w:val="21"/>
          <w:szCs w:val="21"/>
          <w:lang w:val="es-ES_tradnl" w:eastAsia="es-ES_tradnl"/>
        </w:rPr>
        <w:t xml:space="preserve">, el cual establece como presupuesto para que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tengan su domicilio en el lugar en donde se va a ejecutar el contrato. En ese sentido, en el marco de estas convocatorias, la exigibilidad de que el domicilio de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se ubique en un único municipio en particular o en alguno de los municipios que conforman un departamento en concreto, depende del ámbito territorial en el que se va a desarrollar el objeto contractual. </w:t>
      </w:r>
    </w:p>
    <w:p w14:paraId="2E2E34FF" w14:textId="77777777" w:rsidR="00822467" w:rsidRPr="007A49CB" w:rsidRDefault="00822467" w:rsidP="00822467">
      <w:pPr>
        <w:spacing w:after="0" w:line="276" w:lineRule="auto"/>
        <w:ind w:firstLine="709"/>
        <w:jc w:val="both"/>
        <w:rPr>
          <w:rFonts w:ascii="Arial" w:eastAsia="Calibri" w:hAnsi="Arial" w:cs="Arial"/>
          <w:sz w:val="21"/>
          <w:szCs w:val="21"/>
          <w:lang w:val="es-ES_tradnl" w:eastAsia="es-ES_tradnl"/>
        </w:rPr>
      </w:pPr>
      <w:r w:rsidRPr="007A49CB">
        <w:rPr>
          <w:rFonts w:ascii="Arial" w:eastAsia="Calibri" w:hAnsi="Arial" w:cs="Arial"/>
          <w:sz w:val="21"/>
          <w:szCs w:val="21"/>
          <w:lang w:val="es-ES_tradnl" w:eastAsia="es-ES_tradnl"/>
        </w:rPr>
        <w:lastRenderedPageBreak/>
        <w:t xml:space="preserve">Conforme a lo anterior, sí un contrato se va a ejecutar en un único municipio, las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que participen la convocatoria limitada por el factor territorial deberán tener su domicilio principal en dicha entidad territorial.  Asimismo, tratándose de un contrato cuya ejecución deberá desplegarse en el ámbito departamental, habiéndose limitado la convocatoria según lo dispuesto en el artículo 2.2.1.2.4.2.3, podrán participar </w:t>
      </w:r>
      <w:proofErr w:type="spellStart"/>
      <w:r w:rsidRPr="007A49CB">
        <w:rPr>
          <w:rFonts w:ascii="Arial" w:eastAsia="Calibri" w:hAnsi="Arial" w:cs="Arial"/>
          <w:sz w:val="21"/>
          <w:szCs w:val="21"/>
          <w:lang w:val="es-ES_tradnl" w:eastAsia="es-ES_tradnl"/>
        </w:rPr>
        <w:t>Mipymes</w:t>
      </w:r>
      <w:proofErr w:type="spellEnd"/>
      <w:r w:rsidRPr="007A49CB">
        <w:rPr>
          <w:rFonts w:ascii="Arial" w:eastAsia="Calibri" w:hAnsi="Arial" w:cs="Arial"/>
          <w:sz w:val="21"/>
          <w:szCs w:val="21"/>
          <w:lang w:val="es-ES_tradnl" w:eastAsia="es-ES_tradnl"/>
        </w:rPr>
        <w:t xml:space="preserve"> cuyos domicilios se encuentren establecidos en alguno de los municipios que conforman el departamento en el que se va a ejecutar el contrato.   </w:t>
      </w:r>
    </w:p>
    <w:p w14:paraId="3DB3EBC9" w14:textId="77777777" w:rsidR="00822467" w:rsidRPr="007A49CB" w:rsidRDefault="00822467" w:rsidP="00822467">
      <w:pPr>
        <w:spacing w:before="120" w:after="0" w:line="276" w:lineRule="auto"/>
        <w:ind w:firstLine="709"/>
        <w:jc w:val="both"/>
        <w:rPr>
          <w:rFonts w:ascii="Arial" w:eastAsia="Calibri" w:hAnsi="Arial" w:cs="Arial"/>
          <w:sz w:val="21"/>
          <w:szCs w:val="21"/>
          <w:lang w:eastAsia="es-MX"/>
        </w:rPr>
      </w:pPr>
      <w:r w:rsidRPr="007A49CB">
        <w:rPr>
          <w:rFonts w:ascii="Arial" w:eastAsia="Calibri" w:hAnsi="Arial" w:cs="Arial"/>
          <w:sz w:val="21"/>
          <w:szCs w:val="21"/>
          <w:lang w:val="es-MX" w:eastAsia="es-ES_tradnl"/>
        </w:rPr>
        <w:t>Finalmente, e</w:t>
      </w:r>
      <w:proofErr w:type="spellStart"/>
      <w:r w:rsidRPr="007A49CB">
        <w:rPr>
          <w:rFonts w:ascii="Arial" w:eastAsia="Calibri" w:hAnsi="Arial" w:cs="Arial"/>
          <w:sz w:val="21"/>
          <w:szCs w:val="21"/>
          <w:lang w:eastAsia="es-ES_tradnl"/>
        </w:rPr>
        <w:t>sta</w:t>
      </w:r>
      <w:proofErr w:type="spellEnd"/>
      <w:r w:rsidRPr="007A49CB">
        <w:rPr>
          <w:rFonts w:ascii="Arial" w:eastAsia="Calibri" w:hAnsi="Arial" w:cs="Arial"/>
          <w:sz w:val="21"/>
          <w:szCs w:val="21"/>
          <w:lang w:eastAsia="es-ES_tradnl"/>
        </w:rPr>
        <w:t xml:space="preserve"> Agencia considera que lo recomendable es que las entidades establezcan ex ante 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w:t>
      </w:r>
    </w:p>
    <w:p w14:paraId="3A694CFF" w14:textId="77777777" w:rsidR="00822467" w:rsidRPr="007A49CB" w:rsidRDefault="00822467" w:rsidP="00822467">
      <w:pPr>
        <w:spacing w:after="0" w:line="276" w:lineRule="auto"/>
        <w:jc w:val="both"/>
        <w:rPr>
          <w:rFonts w:ascii="Arial" w:eastAsia="Calibri" w:hAnsi="Arial" w:cs="Arial"/>
          <w:color w:val="000000"/>
          <w:sz w:val="21"/>
          <w:lang w:eastAsia="es-ES_tradnl"/>
        </w:rPr>
      </w:pPr>
    </w:p>
    <w:p w14:paraId="74BB9758" w14:textId="77777777" w:rsidR="00822467" w:rsidRPr="007A49CB" w:rsidRDefault="00822467" w:rsidP="00822467">
      <w:pPr>
        <w:widowControl w:val="0"/>
        <w:autoSpaceDE w:val="0"/>
        <w:autoSpaceDN w:val="0"/>
        <w:spacing w:after="120" w:line="276" w:lineRule="auto"/>
        <w:jc w:val="both"/>
        <w:rPr>
          <w:rFonts w:ascii="Arial" w:eastAsia="Times New Roman" w:hAnsi="Arial" w:cs="Arial"/>
          <w:sz w:val="21"/>
          <w:szCs w:val="21"/>
          <w:lang w:val="es-ES_tradnl" w:eastAsia="es-ES_tradnl" w:bidi="es-ES"/>
        </w:rPr>
      </w:pPr>
      <w:r w:rsidRPr="007A49CB">
        <w:rPr>
          <w:rFonts w:ascii="Arial" w:eastAsia="Times New Roman" w:hAnsi="Arial" w:cs="Arial"/>
          <w:color w:val="000000"/>
          <w:sz w:val="21"/>
          <w:szCs w:val="21"/>
          <w:lang w:val="es-ES_tradnl" w:eastAsia="es-ES_tradnl"/>
        </w:rPr>
        <w:t xml:space="preserve">Este concepto tiene el alcance previsto en el artículo 28 del Código de Procedimiento Administrativo y de lo Contencioso Administrativo </w:t>
      </w:r>
      <w:r w:rsidRPr="007A49CB">
        <w:rPr>
          <w:rFonts w:ascii="Arial" w:eastAsia="Times New Roman" w:hAnsi="Arial" w:cs="Arial"/>
          <w:bCs/>
          <w:color w:val="000000"/>
          <w:sz w:val="21"/>
          <w:szCs w:val="21"/>
          <w:lang w:eastAsia="es-ES_tradnl"/>
        </w:rPr>
        <w:t xml:space="preserve">y </w:t>
      </w:r>
      <w:r w:rsidRPr="007A49CB">
        <w:rPr>
          <w:rFonts w:ascii="Arial" w:eastAsia="Times New Roman" w:hAnsi="Arial" w:cs="Arial"/>
          <w:sz w:val="21"/>
          <w:szCs w:val="21"/>
          <w:lang w:eastAsia="es-ES_tradnl"/>
        </w:rPr>
        <w:t>las expresiones aquí utilizadas con mayúscula inicial deben ser entendidas con el significado que les otorga el artículo 2.2.1.1.1.3.1. del Decreto 1082 de 2015</w:t>
      </w:r>
      <w:r w:rsidRPr="007A49CB">
        <w:rPr>
          <w:rFonts w:ascii="Arial" w:eastAsia="Times New Roman" w:hAnsi="Arial" w:cs="Arial"/>
          <w:color w:val="000000"/>
          <w:sz w:val="21"/>
          <w:szCs w:val="21"/>
          <w:lang w:val="es-ES_tradnl" w:eastAsia="es-ES_tradnl"/>
        </w:rPr>
        <w:t>.</w:t>
      </w:r>
    </w:p>
    <w:p w14:paraId="5BA9FA76" w14:textId="77777777" w:rsidR="00822467" w:rsidRPr="007A49CB" w:rsidRDefault="00822467" w:rsidP="00822467">
      <w:pPr>
        <w:spacing w:before="120" w:after="0" w:line="276" w:lineRule="auto"/>
        <w:jc w:val="both"/>
        <w:rPr>
          <w:rFonts w:ascii="Arial" w:eastAsia="Times New Roman" w:hAnsi="Arial" w:cs="Arial"/>
          <w:color w:val="000000"/>
          <w:sz w:val="21"/>
          <w:lang w:val="es-ES_tradnl" w:eastAsia="es-ES_tradnl"/>
        </w:rPr>
      </w:pPr>
    </w:p>
    <w:p w14:paraId="22FA657F" w14:textId="77777777" w:rsidR="00822467" w:rsidRPr="007A49CB" w:rsidRDefault="00822467" w:rsidP="00822467">
      <w:pPr>
        <w:spacing w:after="0" w:line="276" w:lineRule="auto"/>
        <w:jc w:val="both"/>
        <w:rPr>
          <w:rFonts w:ascii="Arial" w:eastAsia="Times New Roman" w:hAnsi="Arial" w:cs="Arial"/>
          <w:color w:val="000000"/>
          <w:sz w:val="21"/>
          <w:szCs w:val="21"/>
          <w:lang w:val="es-ES_tradnl" w:eastAsia="es-CO"/>
        </w:rPr>
      </w:pPr>
      <w:r w:rsidRPr="007A49CB">
        <w:rPr>
          <w:rFonts w:ascii="Arial" w:eastAsia="Times New Roman" w:hAnsi="Arial" w:cs="Arial"/>
          <w:color w:val="000000"/>
          <w:sz w:val="21"/>
          <w:szCs w:val="21"/>
          <w:lang w:val="es-ES_tradnl" w:eastAsia="es-CO"/>
        </w:rPr>
        <w:t>Atentamente,</w:t>
      </w:r>
    </w:p>
    <w:p w14:paraId="7B1490CD" w14:textId="01CCE6F1" w:rsidR="00822467" w:rsidRDefault="00822467" w:rsidP="00822467">
      <w:pPr>
        <w:spacing w:after="0" w:line="276" w:lineRule="auto"/>
        <w:jc w:val="center"/>
        <w:rPr>
          <w:rFonts w:ascii="Arial" w:eastAsia="Times New Roman" w:hAnsi="Arial" w:cs="Arial"/>
          <w:color w:val="000000"/>
          <w:sz w:val="21"/>
          <w:szCs w:val="21"/>
          <w:lang w:val="es-ES_tradnl" w:eastAsia="es-CO"/>
        </w:rPr>
      </w:pPr>
    </w:p>
    <w:p w14:paraId="2CC45E6E" w14:textId="3015856A" w:rsidR="00245232" w:rsidRDefault="00245232" w:rsidP="00822467">
      <w:pPr>
        <w:spacing w:after="0" w:line="276" w:lineRule="auto"/>
        <w:jc w:val="center"/>
        <w:rPr>
          <w:rFonts w:ascii="Arial" w:eastAsia="Times New Roman" w:hAnsi="Arial" w:cs="Arial"/>
          <w:color w:val="000000"/>
          <w:sz w:val="21"/>
          <w:szCs w:val="21"/>
          <w:lang w:val="es-ES_tradnl" w:eastAsia="es-CO"/>
        </w:rPr>
      </w:pPr>
    </w:p>
    <w:p w14:paraId="44ABF5E5" w14:textId="77777777" w:rsidR="00245232" w:rsidRPr="007A49CB" w:rsidRDefault="00245232" w:rsidP="00822467">
      <w:pPr>
        <w:spacing w:after="0" w:line="276" w:lineRule="auto"/>
        <w:jc w:val="center"/>
        <w:rPr>
          <w:rFonts w:ascii="Arial" w:eastAsia="Times New Roman" w:hAnsi="Arial" w:cs="Arial"/>
          <w:color w:val="000000"/>
          <w:sz w:val="21"/>
          <w:szCs w:val="21"/>
          <w:lang w:val="es-ES_tradnl" w:eastAsia="es-CO"/>
        </w:rPr>
      </w:pPr>
    </w:p>
    <w:p w14:paraId="5F03F63E" w14:textId="70E7DEAE" w:rsidR="00822467" w:rsidRPr="007A49CB" w:rsidRDefault="00245232" w:rsidP="00822467">
      <w:pPr>
        <w:spacing w:after="0" w:line="276" w:lineRule="auto"/>
        <w:jc w:val="center"/>
        <w:rPr>
          <w:rFonts w:ascii="Arial" w:eastAsia="Times New Roman" w:hAnsi="Arial" w:cs="Arial"/>
          <w:color w:val="000000"/>
          <w:sz w:val="21"/>
          <w:szCs w:val="21"/>
          <w:lang w:val="es-ES_tradnl" w:eastAsia="es-CO"/>
        </w:rPr>
      </w:pPr>
      <w:r>
        <w:rPr>
          <w:noProof/>
        </w:rPr>
        <w:drawing>
          <wp:inline distT="0" distB="0" distL="0" distR="0" wp14:anchorId="0A56B5AC" wp14:editId="3B842FB9">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p w14:paraId="360A8669" w14:textId="77777777" w:rsidR="00822467" w:rsidRPr="007A49CB" w:rsidRDefault="00822467" w:rsidP="00822467">
      <w:pPr>
        <w:spacing w:after="0" w:line="276" w:lineRule="auto"/>
        <w:jc w:val="center"/>
        <w:rPr>
          <w:rFonts w:ascii="Arial" w:eastAsia="Times New Roman" w:hAnsi="Arial" w:cs="Arial"/>
          <w:color w:val="000000"/>
          <w:sz w:val="21"/>
          <w:szCs w:val="21"/>
          <w:lang w:val="es-ES_tradnl" w:eastAsia="es-CO"/>
        </w:rPr>
      </w:pPr>
    </w:p>
    <w:p w14:paraId="4CD33479" w14:textId="77777777" w:rsidR="00822467" w:rsidRPr="007A49CB" w:rsidRDefault="00822467" w:rsidP="00822467">
      <w:pPr>
        <w:spacing w:after="0" w:line="276" w:lineRule="auto"/>
        <w:jc w:val="center"/>
        <w:rPr>
          <w:rFonts w:ascii="Arial" w:eastAsia="Times New Roman" w:hAnsi="Arial" w:cs="Arial"/>
          <w:color w:val="000000"/>
          <w:sz w:val="21"/>
          <w:szCs w:val="21"/>
          <w:lang w:val="es-ES_tradnl" w:eastAsia="es-CO"/>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C66F22" w:rsidRPr="007A49CB" w14:paraId="12EC0B29" w14:textId="77777777" w:rsidTr="008C0B26">
        <w:trPr>
          <w:trHeight w:val="315"/>
        </w:trPr>
        <w:tc>
          <w:tcPr>
            <w:tcW w:w="812" w:type="dxa"/>
            <w:vAlign w:val="center"/>
            <w:hideMark/>
          </w:tcPr>
          <w:p w14:paraId="250DD3B2"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Elaboró:</w:t>
            </w:r>
          </w:p>
        </w:tc>
        <w:tc>
          <w:tcPr>
            <w:tcW w:w="4413" w:type="dxa"/>
            <w:tcBorders>
              <w:top w:val="nil"/>
              <w:left w:val="nil"/>
              <w:bottom w:val="dotted" w:sz="4" w:space="0" w:color="7F7F7F" w:themeColor="text1" w:themeTint="80"/>
              <w:right w:val="nil"/>
            </w:tcBorders>
            <w:vAlign w:val="center"/>
            <w:hideMark/>
          </w:tcPr>
          <w:p w14:paraId="1E7F28B6" w14:textId="77777777" w:rsidR="00C66F22" w:rsidRPr="007A49CB" w:rsidRDefault="00C66F22" w:rsidP="008C0B26">
            <w:pPr>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 xml:space="preserve">Álvaro </w:t>
            </w:r>
            <w:proofErr w:type="spellStart"/>
            <w:r w:rsidRPr="007A49CB">
              <w:rPr>
                <w:rFonts w:ascii="Arial" w:hAnsi="Arial" w:cs="Arial"/>
                <w:color w:val="000000" w:themeColor="text1"/>
                <w:sz w:val="15"/>
                <w:szCs w:val="15"/>
                <w:lang w:eastAsia="es-ES"/>
              </w:rPr>
              <w:t>Namén</w:t>
            </w:r>
            <w:proofErr w:type="spellEnd"/>
            <w:r w:rsidRPr="007A49CB">
              <w:rPr>
                <w:rFonts w:ascii="Arial" w:hAnsi="Arial" w:cs="Arial"/>
                <w:color w:val="000000" w:themeColor="text1"/>
                <w:sz w:val="15"/>
                <w:szCs w:val="15"/>
                <w:lang w:eastAsia="es-ES"/>
              </w:rPr>
              <w:t xml:space="preserve"> Vargas</w:t>
            </w:r>
          </w:p>
          <w:p w14:paraId="0F4987D1"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 xml:space="preserve">Contratista de la Subdirección de Gestión Contractual  </w:t>
            </w:r>
          </w:p>
        </w:tc>
      </w:tr>
      <w:tr w:rsidR="00C66F22" w:rsidRPr="007A49CB" w14:paraId="260C3FF6" w14:textId="77777777" w:rsidTr="008C0B26">
        <w:trPr>
          <w:trHeight w:val="330"/>
        </w:trPr>
        <w:tc>
          <w:tcPr>
            <w:tcW w:w="812" w:type="dxa"/>
            <w:vAlign w:val="center"/>
            <w:hideMark/>
          </w:tcPr>
          <w:p w14:paraId="0474DA26"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11E18467" w14:textId="77777777" w:rsidR="00C66F22" w:rsidRPr="007A49CB" w:rsidRDefault="00C66F22" w:rsidP="008C0B26">
            <w:pPr>
              <w:spacing w:line="276" w:lineRule="auto"/>
              <w:rPr>
                <w:rFonts w:ascii="Arial" w:hAnsi="Arial" w:cs="Arial"/>
                <w:color w:val="000000" w:themeColor="text1"/>
                <w:sz w:val="15"/>
                <w:szCs w:val="15"/>
                <w:lang w:val="es-ES_tradnl" w:eastAsia="es-ES"/>
              </w:rPr>
            </w:pPr>
            <w:r w:rsidRPr="007A49CB">
              <w:rPr>
                <w:rFonts w:ascii="Arial" w:hAnsi="Arial" w:cs="Arial"/>
                <w:color w:val="000000" w:themeColor="text1"/>
                <w:sz w:val="15"/>
                <w:szCs w:val="15"/>
                <w:lang w:val="es-ES_tradnl" w:eastAsia="es-ES"/>
              </w:rPr>
              <w:t>Alejandro Sarmiento Cantillo</w:t>
            </w:r>
          </w:p>
          <w:p w14:paraId="13A1176C"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val="es-ES_tradnl" w:eastAsia="es-ES"/>
              </w:rPr>
              <w:t>Gestor T1-15 de la Subdirección de Gestión Contractual</w:t>
            </w:r>
          </w:p>
        </w:tc>
      </w:tr>
      <w:tr w:rsidR="00C66F22" w:rsidRPr="007A49CB" w14:paraId="05C0275C" w14:textId="77777777" w:rsidTr="008C0B26">
        <w:trPr>
          <w:trHeight w:val="300"/>
        </w:trPr>
        <w:tc>
          <w:tcPr>
            <w:tcW w:w="812" w:type="dxa"/>
            <w:vAlign w:val="center"/>
            <w:hideMark/>
          </w:tcPr>
          <w:p w14:paraId="3EFE7CE9"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440AC77E"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 xml:space="preserve">Nohelia del Carmen Zawady Palacio </w:t>
            </w:r>
          </w:p>
          <w:p w14:paraId="6C94063C" w14:textId="77777777" w:rsidR="00C66F22" w:rsidRPr="007A49CB" w:rsidRDefault="00C66F22" w:rsidP="008C0B26">
            <w:pPr>
              <w:jc w:val="both"/>
              <w:rPr>
                <w:rFonts w:ascii="Arial" w:hAnsi="Arial" w:cs="Arial"/>
                <w:color w:val="000000" w:themeColor="text1"/>
                <w:sz w:val="15"/>
                <w:szCs w:val="15"/>
                <w:lang w:eastAsia="es-ES"/>
              </w:rPr>
            </w:pPr>
            <w:r w:rsidRPr="007A49CB">
              <w:rPr>
                <w:rFonts w:ascii="Arial" w:hAnsi="Arial" w:cs="Arial"/>
                <w:color w:val="000000" w:themeColor="text1"/>
                <w:sz w:val="15"/>
                <w:szCs w:val="15"/>
                <w:lang w:eastAsia="es-ES"/>
              </w:rPr>
              <w:t xml:space="preserve">Subdirectora de Gestión Contractual </w:t>
            </w:r>
          </w:p>
        </w:tc>
      </w:tr>
    </w:tbl>
    <w:p w14:paraId="331CB6CF" w14:textId="6F9DEEA6" w:rsidR="001A1011" w:rsidRPr="007A49CB" w:rsidRDefault="001A1011" w:rsidP="006219F8">
      <w:pPr>
        <w:spacing w:after="0" w:line="240" w:lineRule="auto"/>
        <w:rPr>
          <w:rFonts w:ascii="Arial" w:hAnsi="Arial" w:cs="Arial"/>
          <w:b/>
          <w:color w:val="404040" w:themeColor="text1" w:themeTint="BF"/>
          <w:sz w:val="21"/>
          <w:szCs w:val="21"/>
        </w:rPr>
      </w:pPr>
    </w:p>
    <w:bookmarkEnd w:id="0"/>
    <w:p w14:paraId="0F293BF4" w14:textId="0F6FB6C1" w:rsidR="00127233" w:rsidRPr="007A49CB" w:rsidRDefault="00127233">
      <w:pPr>
        <w:rPr>
          <w:rFonts w:ascii="Arial" w:hAnsi="Arial" w:cs="Arial"/>
          <w:sz w:val="21"/>
          <w:szCs w:val="21"/>
          <w:lang w:val="es-MX"/>
        </w:rPr>
      </w:pPr>
    </w:p>
    <w:sectPr w:rsidR="00127233" w:rsidRPr="007A49CB"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61725" w14:textId="77777777" w:rsidR="003450DB" w:rsidRDefault="003450DB" w:rsidP="004A1847">
      <w:pPr>
        <w:spacing w:after="0" w:line="240" w:lineRule="auto"/>
      </w:pPr>
      <w:r>
        <w:separator/>
      </w:r>
    </w:p>
  </w:endnote>
  <w:endnote w:type="continuationSeparator" w:id="0">
    <w:p w14:paraId="4A2BBD23" w14:textId="77777777" w:rsidR="003450DB" w:rsidRDefault="003450DB" w:rsidP="004A1847">
      <w:pPr>
        <w:spacing w:after="0" w:line="240" w:lineRule="auto"/>
      </w:pPr>
      <w:r>
        <w:continuationSeparator/>
      </w:r>
    </w:p>
  </w:endnote>
  <w:endnote w:type="continuationNotice" w:id="1">
    <w:p w14:paraId="2B81069C" w14:textId="77777777" w:rsidR="003450DB" w:rsidRDefault="003450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D41AF" w14:textId="77777777" w:rsidR="003450DB" w:rsidRDefault="003450DB" w:rsidP="004A1847">
      <w:pPr>
        <w:spacing w:after="0" w:line="240" w:lineRule="auto"/>
      </w:pPr>
      <w:r>
        <w:separator/>
      </w:r>
    </w:p>
  </w:footnote>
  <w:footnote w:type="continuationSeparator" w:id="0">
    <w:p w14:paraId="74CD6C23" w14:textId="77777777" w:rsidR="003450DB" w:rsidRDefault="003450DB" w:rsidP="004A1847">
      <w:pPr>
        <w:spacing w:after="0" w:line="240" w:lineRule="auto"/>
      </w:pPr>
      <w:r>
        <w:continuationSeparator/>
      </w:r>
    </w:p>
  </w:footnote>
  <w:footnote w:type="continuationNotice" w:id="1">
    <w:p w14:paraId="19188EF7" w14:textId="77777777" w:rsidR="003450DB" w:rsidRDefault="003450DB">
      <w:pPr>
        <w:spacing w:after="0" w:line="240" w:lineRule="auto"/>
      </w:pPr>
    </w:p>
  </w:footnote>
  <w:footnote w:id="2">
    <w:p w14:paraId="27F4ADB9" w14:textId="77777777" w:rsidR="00822467" w:rsidRPr="007A49CB" w:rsidRDefault="00822467" w:rsidP="00822467">
      <w:pPr>
        <w:pStyle w:val="Textonotapie"/>
        <w:ind w:firstLine="709"/>
        <w:rPr>
          <w:rFonts w:ascii="Arial" w:hAnsi="Arial" w:cs="Arial"/>
          <w:sz w:val="16"/>
          <w:szCs w:val="16"/>
          <w:lang w:val="es-CO"/>
        </w:rPr>
      </w:pPr>
      <w:r w:rsidRPr="007A49CB">
        <w:rPr>
          <w:rStyle w:val="Refdenotaalpie"/>
          <w:rFonts w:ascii="Arial" w:hAnsi="Arial" w:cs="Arial"/>
          <w:sz w:val="16"/>
          <w:szCs w:val="16"/>
        </w:rPr>
        <w:footnoteRef/>
      </w:r>
      <w:r w:rsidRPr="007A49CB">
        <w:rPr>
          <w:rFonts w:ascii="Arial" w:hAnsi="Arial" w:cs="Arial"/>
          <w:sz w:val="16"/>
          <w:szCs w:val="16"/>
        </w:rPr>
        <w:t xml:space="preserve"> </w:t>
      </w:r>
      <w:r w:rsidRPr="007A49CB">
        <w:rPr>
          <w:rFonts w:ascii="Arial" w:hAnsi="Arial" w:cs="Arial"/>
          <w:sz w:val="16"/>
          <w:szCs w:val="16"/>
          <w:lang w:val="es-CO"/>
        </w:rPr>
        <w:t xml:space="preserve">Estos conceptos pueden ser consultados en: </w:t>
      </w:r>
      <w:hyperlink r:id="rId1" w:history="1">
        <w:r w:rsidRPr="007A49CB">
          <w:rPr>
            <w:rStyle w:val="Hipervnculo1"/>
            <w:rFonts w:ascii="Arial" w:hAnsi="Arial" w:cs="Arial"/>
            <w:sz w:val="16"/>
            <w:szCs w:val="16"/>
          </w:rPr>
          <w:t>https://relatoria.colombiacompra.gov.co/busqueda/conceptos#</w:t>
        </w:r>
      </w:hyperlink>
    </w:p>
    <w:p w14:paraId="70B9483A" w14:textId="77777777" w:rsidR="00822467" w:rsidRPr="007A49CB" w:rsidRDefault="00822467" w:rsidP="00822467">
      <w:pPr>
        <w:pStyle w:val="Textonotapie"/>
        <w:ind w:firstLine="709"/>
        <w:rPr>
          <w:rFonts w:ascii="Arial" w:hAnsi="Arial" w:cs="Arial"/>
          <w:sz w:val="16"/>
          <w:szCs w:val="16"/>
          <w:lang w:val="es-CO"/>
        </w:rPr>
      </w:pPr>
    </w:p>
  </w:footnote>
  <w:footnote w:id="3">
    <w:p w14:paraId="0F14D7DA" w14:textId="77777777" w:rsidR="00822467" w:rsidRPr="007A49CB" w:rsidRDefault="00822467" w:rsidP="00822467">
      <w:pPr>
        <w:ind w:firstLine="709"/>
        <w:contextualSpacing/>
        <w:jc w:val="both"/>
        <w:rPr>
          <w:rFonts w:ascii="Arial" w:hAnsi="Arial" w:cs="Arial"/>
          <w:sz w:val="16"/>
          <w:szCs w:val="16"/>
        </w:rPr>
      </w:pPr>
      <w:r w:rsidRPr="007A49CB">
        <w:rPr>
          <w:rStyle w:val="Refdenotaalpie"/>
          <w:rFonts w:ascii="Arial" w:hAnsi="Arial" w:cs="Arial"/>
          <w:sz w:val="16"/>
          <w:szCs w:val="16"/>
        </w:rPr>
        <w:footnoteRef/>
      </w:r>
      <w:r w:rsidRPr="007A49CB">
        <w:rPr>
          <w:rFonts w:ascii="Arial" w:hAnsi="Arial" w:cs="Arial"/>
          <w:sz w:val="16"/>
          <w:szCs w:val="16"/>
        </w:rPr>
        <w:t xml:space="preserve"> </w:t>
      </w:r>
      <w:r w:rsidRPr="007A49CB">
        <w:rPr>
          <w:rFonts w:ascii="Arial" w:hAnsi="Arial" w:cs="Arial"/>
          <w:sz w:val="16"/>
          <w:szCs w:val="16"/>
          <w:lang w:val="es-ES"/>
        </w:rPr>
        <w:t>En efecto, el artículo 34 de la Ley 2069 de 2020 establece: «</w:t>
      </w:r>
      <w:r w:rsidRPr="007A49CB">
        <w:rPr>
          <w:rFonts w:ascii="Arial" w:hAnsi="Arial" w:cs="Arial"/>
          <w:sz w:val="16"/>
          <w:szCs w:val="16"/>
        </w:rPr>
        <w:t xml:space="preserve">Modifíquese el artículo 12 de la Ley 1150 de 2007, el cual quedará así: </w:t>
      </w:r>
    </w:p>
    <w:p w14:paraId="2DA9868F"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rPr>
        <w:t>»</w:t>
      </w:r>
      <w:r w:rsidRPr="007A49CB">
        <w:rPr>
          <w:rFonts w:ascii="Arial" w:eastAsia="Calibri" w:hAnsi="Arial" w:cs="Arial"/>
          <w:color w:val="000000"/>
          <w:sz w:val="16"/>
          <w:szCs w:val="16"/>
          <w:lang w:val="es-ES_tradnl"/>
        </w:rPr>
        <w:t>"Artículo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5B9BF6E9"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095C361E"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»En todo caso, se deberá garantizar la satisfacción de las condiciones técnicas y económicas requeridas en el Proceso de Contratación.</w:t>
      </w:r>
    </w:p>
    <w:p w14:paraId="3194DED6"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37358B96"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»Parágrafo Primero. En los Procesos de Contratación que se desarrollen con base en el primer inciso, las entidades podrán realizar las convocatorias limitadas que beneficien a las Mipyme del ámbito municipal o departamental correspondiente al de la ejecución del contrato.</w:t>
      </w:r>
    </w:p>
    <w:p w14:paraId="1C38DD26"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4C88C49C" w14:textId="77777777" w:rsidR="00822467" w:rsidRPr="007A49CB" w:rsidRDefault="00822467" w:rsidP="00822467">
      <w:pPr>
        <w:ind w:firstLine="709"/>
        <w:contextualSpacing/>
        <w:jc w:val="both"/>
        <w:rPr>
          <w:rFonts w:ascii="Arial" w:eastAsia="Calibri" w:hAnsi="Arial" w:cs="Arial"/>
          <w:color w:val="000000"/>
          <w:sz w:val="16"/>
          <w:szCs w:val="16"/>
          <w:lang w:val="es-ES_tradnl"/>
        </w:rPr>
      </w:pPr>
      <w:r w:rsidRPr="007A49CB">
        <w:rPr>
          <w:rFonts w:ascii="Arial" w:eastAsia="Calibri" w:hAnsi="Arial" w:cs="Arial"/>
          <w:color w:val="000000"/>
          <w:sz w:val="16"/>
          <w:szCs w:val="16"/>
          <w:lang w:val="es-ES_tradnl"/>
        </w:rPr>
        <w:t xml:space="preserve">»Parágrafo Tercero. En la ejecución de los contratos a que se refiere el presente artículo, las entidades y los contratistas, deberán observar lo dispuesto en los artículos 90 a 95 de la Ley 418 de 1997 y las normas que la modifiquen, adicionen o subroguen."»  </w:t>
      </w:r>
    </w:p>
    <w:p w14:paraId="35EB6B4A" w14:textId="77777777" w:rsidR="00822467" w:rsidRPr="007A49CB" w:rsidRDefault="00822467" w:rsidP="00822467">
      <w:pPr>
        <w:pStyle w:val="Car1"/>
        <w:ind w:firstLine="709"/>
        <w:jc w:val="both"/>
        <w:rPr>
          <w:rFonts w:ascii="Arial" w:hAnsi="Arial" w:cs="Arial"/>
          <w:sz w:val="16"/>
          <w:szCs w:val="16"/>
          <w:lang w:val="es-ES_tradnl"/>
        </w:rPr>
      </w:pPr>
    </w:p>
  </w:footnote>
  <w:footnote w:id="4">
    <w:p w14:paraId="237FCED3" w14:textId="77777777" w:rsidR="00822467" w:rsidRPr="007A49CB" w:rsidRDefault="00822467" w:rsidP="00822467">
      <w:pPr>
        <w:pStyle w:val="Textonotapie"/>
        <w:ind w:firstLine="708"/>
        <w:jc w:val="both"/>
        <w:rPr>
          <w:rFonts w:ascii="Arial" w:hAnsi="Arial" w:cs="Arial"/>
          <w:color w:val="000000"/>
          <w:sz w:val="16"/>
          <w:szCs w:val="16"/>
        </w:rPr>
      </w:pPr>
      <w:r w:rsidRPr="007A49CB">
        <w:rPr>
          <w:rStyle w:val="Refdenotaalpie"/>
          <w:rFonts w:ascii="Arial" w:hAnsi="Arial" w:cs="Arial"/>
          <w:sz w:val="16"/>
          <w:szCs w:val="16"/>
        </w:rPr>
        <w:footnoteRef/>
      </w:r>
      <w:r w:rsidRPr="007A49CB">
        <w:rPr>
          <w:rFonts w:ascii="Arial" w:hAnsi="Arial" w:cs="Arial"/>
          <w:sz w:val="16"/>
          <w:szCs w:val="16"/>
        </w:rPr>
        <w:t xml:space="preserve"> El fenómeno de la subrogación ha sido explicado por la Corte Constitucional, en sentencias como la </w:t>
      </w:r>
      <w:r w:rsidRPr="007A49CB">
        <w:rPr>
          <w:rFonts w:ascii="Arial" w:hAnsi="Arial" w:cs="Arial"/>
          <w:sz w:val="16"/>
          <w:szCs w:val="16"/>
          <w:lang w:val="es-ES"/>
        </w:rPr>
        <w:t>C-502 de 2012, Magistrada Ponente: Adriana María Guillén Arango,</w:t>
      </w:r>
      <w:r w:rsidRPr="007A49CB">
        <w:rPr>
          <w:rFonts w:ascii="Arial" w:hAnsi="Arial" w:cs="Arial"/>
          <w:sz w:val="16"/>
          <w:szCs w:val="16"/>
        </w:rPr>
        <w:t xml:space="preserve"> en los siguientes términos: «</w:t>
      </w:r>
      <w:r w:rsidRPr="007A49CB">
        <w:rPr>
          <w:rFonts w:ascii="Arial" w:eastAsia="Calibri" w:hAnsi="Arial" w:cs="Arial"/>
          <w:sz w:val="16"/>
          <w:szCs w:val="16"/>
          <w:lang w:val="es-ES_tradnl" w:eastAsia="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7A49CB">
        <w:rPr>
          <w:rFonts w:ascii="Arial" w:hAnsi="Arial" w:cs="Arial"/>
          <w:color w:val="000000"/>
          <w:sz w:val="16"/>
          <w:szCs w:val="16"/>
        </w:rPr>
        <w:t xml:space="preserve">». </w:t>
      </w:r>
    </w:p>
    <w:p w14:paraId="792E3F6D" w14:textId="77777777" w:rsidR="00822467" w:rsidRPr="007A49CB" w:rsidRDefault="00822467" w:rsidP="00822467">
      <w:pPr>
        <w:pStyle w:val="Textonotapie"/>
        <w:ind w:firstLine="708"/>
        <w:jc w:val="both"/>
        <w:rPr>
          <w:rFonts w:ascii="Arial" w:hAnsi="Arial" w:cs="Arial"/>
          <w:sz w:val="16"/>
          <w:szCs w:val="16"/>
        </w:rPr>
      </w:pPr>
    </w:p>
  </w:footnote>
  <w:footnote w:id="5">
    <w:p w14:paraId="7E444370" w14:textId="77777777" w:rsidR="00822467" w:rsidRPr="007A49CB" w:rsidRDefault="00822467" w:rsidP="00822467">
      <w:pPr>
        <w:pStyle w:val="Textonotapie"/>
        <w:ind w:firstLine="708"/>
        <w:jc w:val="both"/>
        <w:rPr>
          <w:rFonts w:ascii="Arial" w:hAnsi="Arial" w:cs="Arial"/>
          <w:sz w:val="16"/>
          <w:szCs w:val="16"/>
        </w:rPr>
      </w:pPr>
      <w:r w:rsidRPr="007A49CB">
        <w:rPr>
          <w:rStyle w:val="Refdenotaalpie"/>
          <w:rFonts w:ascii="Arial" w:hAnsi="Arial" w:cs="Arial"/>
          <w:sz w:val="16"/>
          <w:szCs w:val="16"/>
        </w:rPr>
        <w:footnoteRef/>
      </w:r>
      <w:r w:rsidRPr="007A49CB">
        <w:rPr>
          <w:rFonts w:ascii="Arial" w:hAnsi="Arial" w:cs="Arial"/>
          <w:sz w:val="16"/>
          <w:szCs w:val="16"/>
        </w:rPr>
        <w:t xml:space="preserve"> Este monto fue publicado por la Agencia Nacional de Contratación Pública – Colombia Compra Eficiente, de acuerdo con la información remitida por el Ministerio de Comercio Industria y Turismo, disponible en el siguiente enlace: </w:t>
      </w:r>
      <w:hyperlink r:id="rId2" w:history="1">
        <w:r w:rsidRPr="007A49CB">
          <w:rPr>
            <w:rStyle w:val="Hipervnculo1"/>
            <w:rFonts w:ascii="Arial" w:hAnsi="Arial" w:cs="Arial"/>
            <w:color w:val="000000"/>
            <w:sz w:val="16"/>
            <w:szCs w:val="16"/>
          </w:rPr>
          <w:t>https://www.colombiacompra.gov.co/sites/cce_public/files/files_2020/vf_umbrales_actualizaciones_2022_-_2023_1.pdf</w:t>
        </w:r>
      </w:hyperlink>
      <w:r w:rsidRPr="007A49CB">
        <w:rPr>
          <w:rFonts w:ascii="Arial" w:hAnsi="Arial" w:cs="Arial"/>
          <w:color w:val="000000"/>
          <w:sz w:val="16"/>
          <w:szCs w:val="16"/>
        </w:rPr>
        <w:t xml:space="preserve">. </w:t>
      </w:r>
      <w:r w:rsidRPr="007A49CB">
        <w:rPr>
          <w:rFonts w:ascii="Arial" w:hAnsi="Arial" w:cs="Arial"/>
          <w:sz w:val="16"/>
          <w:szCs w:val="16"/>
        </w:rPr>
        <w:t>Allí se señala que el monto corresponde a $ 457.297.264.</w:t>
      </w:r>
    </w:p>
  </w:footnote>
  <w:footnote w:id="6">
    <w:p w14:paraId="1BDC0FDC" w14:textId="77777777" w:rsidR="00822467" w:rsidRPr="007A49CB" w:rsidRDefault="00822467" w:rsidP="00822467">
      <w:pPr>
        <w:pStyle w:val="Textonotapie"/>
        <w:ind w:firstLine="709"/>
        <w:jc w:val="both"/>
        <w:rPr>
          <w:rFonts w:ascii="Arial" w:hAnsi="Arial" w:cs="Arial"/>
          <w:sz w:val="16"/>
          <w:szCs w:val="16"/>
        </w:rPr>
      </w:pPr>
      <w:r w:rsidRPr="007A49CB">
        <w:rPr>
          <w:rStyle w:val="Refdenotaalpie"/>
          <w:rFonts w:ascii="Arial" w:hAnsi="Arial" w:cs="Arial"/>
          <w:sz w:val="16"/>
          <w:szCs w:val="16"/>
        </w:rPr>
        <w:footnoteRef/>
      </w:r>
      <w:r w:rsidRPr="007A49CB">
        <w:rPr>
          <w:rFonts w:ascii="Arial" w:hAnsi="Arial" w:cs="Arial"/>
          <w:sz w:val="16"/>
          <w:szCs w:val="16"/>
        </w:rPr>
        <w:t xml:space="preserve">  Agencia Nacional de Contratación Pública – Colombia Compra Eficiente. Concepto C-045 del 17 de marzo de 2020. Radicado de salida No. 2202013000001974.</w:t>
      </w:r>
    </w:p>
  </w:footnote>
  <w:footnote w:id="7">
    <w:p w14:paraId="64591B40" w14:textId="77777777" w:rsidR="00822467" w:rsidRPr="007A49CB" w:rsidRDefault="00822467" w:rsidP="00822467">
      <w:pPr>
        <w:pStyle w:val="Textonotapie"/>
        <w:ind w:firstLine="709"/>
        <w:jc w:val="both"/>
        <w:rPr>
          <w:rFonts w:ascii="Arial" w:hAnsi="Arial" w:cs="Arial"/>
          <w:sz w:val="16"/>
          <w:szCs w:val="16"/>
        </w:rPr>
      </w:pPr>
      <w:r w:rsidRPr="007A49CB">
        <w:rPr>
          <w:rStyle w:val="Refdenotaalpie"/>
          <w:rFonts w:ascii="Arial" w:hAnsi="Arial" w:cs="Arial"/>
          <w:sz w:val="16"/>
          <w:szCs w:val="16"/>
        </w:rPr>
        <w:footnoteRef/>
      </w:r>
      <w:r w:rsidRPr="007A49CB">
        <w:rPr>
          <w:rFonts w:ascii="Arial" w:hAnsi="Arial" w:cs="Arial"/>
          <w:sz w:val="16"/>
          <w:szCs w:val="16"/>
        </w:rPr>
        <w:t xml:space="preserve">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49774628" w14:textId="77777777" w:rsidR="00822467" w:rsidRPr="007A49CB" w:rsidRDefault="00822467" w:rsidP="00822467">
      <w:pPr>
        <w:pStyle w:val="Textonotapie"/>
        <w:ind w:firstLine="709"/>
        <w:jc w:val="both"/>
        <w:rPr>
          <w:rFonts w:ascii="Arial" w:hAnsi="Arial" w:cs="Arial"/>
          <w:sz w:val="16"/>
          <w:szCs w:val="16"/>
        </w:rPr>
      </w:pPr>
      <w:r w:rsidRPr="007A49CB">
        <w:rPr>
          <w:rFonts w:ascii="Arial" w:hAnsi="Arial" w:cs="Arial"/>
          <w:sz w:val="16"/>
          <w:szCs w:val="16"/>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7FCB598C" w14:textId="77777777" w:rsidR="00822467" w:rsidRPr="007A49CB" w:rsidRDefault="00822467" w:rsidP="00822467">
      <w:pPr>
        <w:pStyle w:val="Textonotapie"/>
        <w:ind w:firstLine="709"/>
        <w:jc w:val="both"/>
        <w:rPr>
          <w:rFonts w:ascii="Arial" w:hAnsi="Arial" w:cs="Arial"/>
          <w:sz w:val="16"/>
          <w:szCs w:val="16"/>
        </w:rPr>
      </w:pPr>
      <w:r w:rsidRPr="007A49CB">
        <w:rPr>
          <w:rFonts w:ascii="Arial" w:hAnsi="Arial" w:cs="Arial"/>
          <w:sz w:val="16"/>
          <w:szCs w:val="16"/>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37375B14" w14:textId="77777777" w:rsidR="00822467" w:rsidRPr="007A49CB" w:rsidRDefault="00822467" w:rsidP="00822467">
      <w:pPr>
        <w:pStyle w:val="Textonotapie"/>
        <w:ind w:firstLine="709"/>
        <w:jc w:val="both"/>
        <w:rPr>
          <w:rFonts w:ascii="Arial" w:hAnsi="Arial" w:cs="Arial"/>
          <w:sz w:val="16"/>
          <w:szCs w:val="16"/>
        </w:rPr>
      </w:pPr>
      <w:r w:rsidRPr="007A49CB">
        <w:rPr>
          <w:rFonts w:ascii="Arial" w:hAnsi="Arial" w:cs="Arial"/>
          <w:sz w:val="16"/>
          <w:szCs w:val="16"/>
        </w:rPr>
        <w:t xml:space="preserve">Tratándose de personas jurídicas, las solicitudes solo las podrán realizar Mipyme, cuyo objeto social les permita ejecutar el contrato relacionado con el proceso contractual. </w:t>
      </w:r>
    </w:p>
    <w:p w14:paraId="61ADD49F" w14:textId="77777777" w:rsidR="00822467" w:rsidRPr="007A49CB" w:rsidRDefault="00822467" w:rsidP="00822467">
      <w:pPr>
        <w:pStyle w:val="Textonotapie"/>
        <w:ind w:firstLine="709"/>
        <w:jc w:val="both"/>
        <w:rPr>
          <w:rFonts w:ascii="Arial" w:hAnsi="Arial" w:cs="Arial"/>
          <w:sz w:val="16"/>
          <w:szCs w:val="16"/>
        </w:rPr>
      </w:pPr>
      <w:r w:rsidRPr="007A49CB">
        <w:rPr>
          <w:rFonts w:ascii="Arial" w:hAnsi="Arial" w:cs="Arial"/>
          <w:sz w:val="16"/>
          <w:szCs w:val="16"/>
        </w:rPr>
        <w:t>PARÁGRAFO. Las cooperativas y demás entidades de economía solidaria, siempre que tengan la calidad de Mípyme, podrán solicitar y participar en las convocatorias limitadas en las mismas condiciones dispuestas en el presente artículo.</w:t>
      </w:r>
    </w:p>
  </w:footnote>
  <w:footnote w:id="8">
    <w:p w14:paraId="64C2C71A" w14:textId="77777777" w:rsidR="00822467" w:rsidRPr="007A49CB" w:rsidRDefault="00822467" w:rsidP="00822467">
      <w:pPr>
        <w:pStyle w:val="Textonotapie"/>
        <w:ind w:firstLine="708"/>
        <w:jc w:val="both"/>
        <w:rPr>
          <w:rFonts w:ascii="Arial" w:hAnsi="Arial" w:cs="Arial"/>
          <w:color w:val="000000"/>
          <w:sz w:val="16"/>
          <w:szCs w:val="16"/>
        </w:rPr>
      </w:pPr>
    </w:p>
    <w:p w14:paraId="1F5D2D81" w14:textId="77777777" w:rsidR="00822467" w:rsidRPr="007A49CB" w:rsidRDefault="00822467" w:rsidP="00822467">
      <w:pPr>
        <w:pStyle w:val="Textonotapie"/>
        <w:ind w:firstLine="708"/>
        <w:jc w:val="both"/>
        <w:rPr>
          <w:rFonts w:ascii="Arial" w:hAnsi="Arial" w:cs="Arial"/>
          <w:color w:val="000000"/>
          <w:sz w:val="16"/>
          <w:szCs w:val="16"/>
        </w:rPr>
      </w:pPr>
      <w:r w:rsidRPr="007A49CB">
        <w:rPr>
          <w:rStyle w:val="Refdenotaalpie"/>
          <w:rFonts w:ascii="Arial" w:hAnsi="Arial" w:cs="Arial"/>
          <w:color w:val="000000"/>
          <w:sz w:val="16"/>
          <w:szCs w:val="16"/>
        </w:rPr>
        <w:footnoteRef/>
      </w:r>
      <w:r w:rsidRPr="007A49CB">
        <w:rPr>
          <w:rFonts w:ascii="Arial" w:hAnsi="Arial" w:cs="Arial"/>
          <w:color w:val="000000"/>
          <w:sz w:val="16"/>
          <w:szCs w:val="16"/>
        </w:rPr>
        <w:t>Ley 1150 de 2011. Artículo 12 modificado por el artículo 34 de la Ley 2069 de 2020. «Parágrafo 1°: En los procesos de selección que se desarrollen con base en el primer inciso, las entidades podrán realizar las convocatorias limitadas que beneficien a las Mipymes del ámbito municipal o departamental correspondiente al de la ejecución del contrato».</w:t>
      </w:r>
    </w:p>
    <w:p w14:paraId="54A76768" w14:textId="77777777" w:rsidR="00822467" w:rsidRPr="007A49CB" w:rsidRDefault="00822467" w:rsidP="00822467">
      <w:pPr>
        <w:pStyle w:val="Textonotapie"/>
        <w:ind w:firstLine="708"/>
        <w:jc w:val="both"/>
        <w:rPr>
          <w:rFonts w:ascii="Arial" w:hAnsi="Arial" w:cs="Arial"/>
          <w:color w:val="000000"/>
          <w:sz w:val="16"/>
          <w:szCs w:val="16"/>
        </w:rPr>
      </w:pPr>
    </w:p>
  </w:footnote>
  <w:footnote w:id="9">
    <w:p w14:paraId="3536EDCE" w14:textId="77777777" w:rsidR="00822467" w:rsidRPr="007A49CB" w:rsidRDefault="00822467" w:rsidP="00822467">
      <w:pPr>
        <w:pStyle w:val="Textonotapie"/>
        <w:ind w:firstLine="708"/>
        <w:jc w:val="both"/>
        <w:rPr>
          <w:rFonts w:ascii="Arial" w:hAnsi="Arial" w:cs="Arial"/>
          <w:color w:val="000000"/>
          <w:sz w:val="16"/>
          <w:szCs w:val="16"/>
        </w:rPr>
      </w:pPr>
      <w:r w:rsidRPr="007A49CB">
        <w:rPr>
          <w:rStyle w:val="Refdenotaalpie"/>
          <w:rFonts w:ascii="Arial" w:hAnsi="Arial" w:cs="Arial"/>
          <w:color w:val="000000"/>
          <w:sz w:val="16"/>
          <w:szCs w:val="16"/>
        </w:rPr>
        <w:footnoteRef/>
      </w:r>
      <w:r w:rsidRPr="007A49CB">
        <w:rPr>
          <w:rFonts w:ascii="Arial" w:hAnsi="Arial" w:cs="Arial"/>
          <w:color w:val="000000"/>
          <w:sz w:val="16"/>
          <w:szCs w:val="16"/>
        </w:rPr>
        <w:t xml:space="preserve"> Cfr. Concepto emitido en el radicado 4201913000005674, dictado el 27 de septiembre de 2019.</w:t>
      </w:r>
    </w:p>
    <w:p w14:paraId="174DB654" w14:textId="77777777" w:rsidR="00822467" w:rsidRPr="007A49CB" w:rsidRDefault="00822467" w:rsidP="00822467">
      <w:pPr>
        <w:pStyle w:val="Textonotapie"/>
        <w:ind w:firstLine="708"/>
        <w:jc w:val="both"/>
        <w:rPr>
          <w:rFonts w:ascii="Arial" w:hAnsi="Arial"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500395951">
    <w:abstractNumId w:val="3"/>
  </w:num>
  <w:num w:numId="2" w16cid:durableId="1408454564">
    <w:abstractNumId w:val="1"/>
  </w:num>
  <w:num w:numId="3" w16cid:durableId="1897622572">
    <w:abstractNumId w:val="2"/>
  </w:num>
  <w:num w:numId="4" w16cid:durableId="19669574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83334"/>
    <w:rsid w:val="000956CF"/>
    <w:rsid w:val="000A683E"/>
    <w:rsid w:val="000D193B"/>
    <w:rsid w:val="0011595A"/>
    <w:rsid w:val="001220C5"/>
    <w:rsid w:val="00123BD4"/>
    <w:rsid w:val="001267F7"/>
    <w:rsid w:val="00127233"/>
    <w:rsid w:val="00130999"/>
    <w:rsid w:val="00164D81"/>
    <w:rsid w:val="00182373"/>
    <w:rsid w:val="001920BC"/>
    <w:rsid w:val="001A1011"/>
    <w:rsid w:val="001A48D0"/>
    <w:rsid w:val="00245232"/>
    <w:rsid w:val="002653C1"/>
    <w:rsid w:val="0026611D"/>
    <w:rsid w:val="002951A0"/>
    <w:rsid w:val="002A64FD"/>
    <w:rsid w:val="002A7501"/>
    <w:rsid w:val="002F0839"/>
    <w:rsid w:val="00301469"/>
    <w:rsid w:val="00306EE1"/>
    <w:rsid w:val="00310B9B"/>
    <w:rsid w:val="003450DB"/>
    <w:rsid w:val="0036461C"/>
    <w:rsid w:val="00367884"/>
    <w:rsid w:val="0039439C"/>
    <w:rsid w:val="003B69E7"/>
    <w:rsid w:val="003C013B"/>
    <w:rsid w:val="003D0F4D"/>
    <w:rsid w:val="003F58A1"/>
    <w:rsid w:val="00410DD6"/>
    <w:rsid w:val="004134C9"/>
    <w:rsid w:val="0043138C"/>
    <w:rsid w:val="00462A59"/>
    <w:rsid w:val="004A1847"/>
    <w:rsid w:val="004B6B0E"/>
    <w:rsid w:val="004D25B3"/>
    <w:rsid w:val="00503E22"/>
    <w:rsid w:val="00511405"/>
    <w:rsid w:val="00526E9D"/>
    <w:rsid w:val="00547856"/>
    <w:rsid w:val="00547A74"/>
    <w:rsid w:val="005566E8"/>
    <w:rsid w:val="005746AB"/>
    <w:rsid w:val="0059357F"/>
    <w:rsid w:val="005A1130"/>
    <w:rsid w:val="005D65C8"/>
    <w:rsid w:val="0061598A"/>
    <w:rsid w:val="006219F8"/>
    <w:rsid w:val="00681FDB"/>
    <w:rsid w:val="006A7DAD"/>
    <w:rsid w:val="006D70BA"/>
    <w:rsid w:val="007566FE"/>
    <w:rsid w:val="0076726F"/>
    <w:rsid w:val="0077144B"/>
    <w:rsid w:val="00793403"/>
    <w:rsid w:val="007A49CB"/>
    <w:rsid w:val="007C0CDF"/>
    <w:rsid w:val="007E2A2F"/>
    <w:rsid w:val="007F2B7C"/>
    <w:rsid w:val="00811651"/>
    <w:rsid w:val="00813DE3"/>
    <w:rsid w:val="00820F5B"/>
    <w:rsid w:val="00822467"/>
    <w:rsid w:val="00833452"/>
    <w:rsid w:val="008614E5"/>
    <w:rsid w:val="008678EB"/>
    <w:rsid w:val="00875894"/>
    <w:rsid w:val="00881C10"/>
    <w:rsid w:val="00890411"/>
    <w:rsid w:val="008D5C70"/>
    <w:rsid w:val="008E756F"/>
    <w:rsid w:val="009025AF"/>
    <w:rsid w:val="00904F23"/>
    <w:rsid w:val="00906B3C"/>
    <w:rsid w:val="00952D55"/>
    <w:rsid w:val="0095342C"/>
    <w:rsid w:val="009C177B"/>
    <w:rsid w:val="009F33F2"/>
    <w:rsid w:val="009F6C77"/>
    <w:rsid w:val="00A07532"/>
    <w:rsid w:val="00A1085C"/>
    <w:rsid w:val="00A23380"/>
    <w:rsid w:val="00A309E2"/>
    <w:rsid w:val="00A8066E"/>
    <w:rsid w:val="00AA4B8A"/>
    <w:rsid w:val="00AA6BF7"/>
    <w:rsid w:val="00AB2B96"/>
    <w:rsid w:val="00B01ED6"/>
    <w:rsid w:val="00B06D09"/>
    <w:rsid w:val="00B771A9"/>
    <w:rsid w:val="00B809BB"/>
    <w:rsid w:val="00B8248A"/>
    <w:rsid w:val="00BB7726"/>
    <w:rsid w:val="00BE346A"/>
    <w:rsid w:val="00C2329E"/>
    <w:rsid w:val="00C30461"/>
    <w:rsid w:val="00C66F22"/>
    <w:rsid w:val="00C754BE"/>
    <w:rsid w:val="00C87572"/>
    <w:rsid w:val="00C9405D"/>
    <w:rsid w:val="00CC1B26"/>
    <w:rsid w:val="00CD284F"/>
    <w:rsid w:val="00CF23AA"/>
    <w:rsid w:val="00CF57FD"/>
    <w:rsid w:val="00D01921"/>
    <w:rsid w:val="00D752B7"/>
    <w:rsid w:val="00DA1854"/>
    <w:rsid w:val="00DB0887"/>
    <w:rsid w:val="00DE51CC"/>
    <w:rsid w:val="00DF1E43"/>
    <w:rsid w:val="00E20894"/>
    <w:rsid w:val="00E26B7C"/>
    <w:rsid w:val="00EA3003"/>
    <w:rsid w:val="00EB3C91"/>
    <w:rsid w:val="00EB66DA"/>
    <w:rsid w:val="00F605F2"/>
    <w:rsid w:val="00F76AFC"/>
    <w:rsid w:val="00F8319B"/>
    <w:rsid w:val="00FA5516"/>
    <w:rsid w:val="00FD6F73"/>
    <w:rsid w:val="00FE0BA9"/>
    <w:rsid w:val="00FF4378"/>
    <w:rsid w:val="1CC63BF5"/>
    <w:rsid w:val="2F9951DC"/>
    <w:rsid w:val="3BBE8F51"/>
    <w:rsid w:val="3EA2D60F"/>
    <w:rsid w:val="480A0900"/>
    <w:rsid w:val="5642EB68"/>
    <w:rsid w:val="62A1A9A6"/>
    <w:rsid w:val="6B8BD3AC"/>
    <w:rsid w:val="6FC6855E"/>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19F8"/>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line="240" w:lineRule="auto"/>
    </w:pPr>
    <w:rPr>
      <w:sz w:val="20"/>
      <w:szCs w:val="20"/>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character" w:customStyle="1" w:styleId="Hipervnculo1">
    <w:name w:val="Hipervínculo1"/>
    <w:basedOn w:val="Fuentedeprrafopredeter"/>
    <w:uiPriority w:val="99"/>
    <w:unhideWhenUsed/>
    <w:rsid w:val="00822467"/>
    <w:rPr>
      <w:color w:val="F2F2F2"/>
      <w:u w:val="single"/>
    </w:rPr>
  </w:style>
  <w:style w:type="paragraph" w:customStyle="1" w:styleId="Appelnotedebasde">
    <w:name w:val="Appel note de bas de..."/>
    <w:basedOn w:val="Normal"/>
    <w:link w:val="Refdenotaalpie"/>
    <w:uiPriority w:val="99"/>
    <w:rsid w:val="00822467"/>
    <w:pPr>
      <w:spacing w:line="240" w:lineRule="exact"/>
    </w:pPr>
    <w:rPr>
      <w:vertAlign w:val="superscript"/>
    </w:rPr>
  </w:style>
  <w:style w:type="table" w:customStyle="1" w:styleId="Tablaconcuadrcula3">
    <w:name w:val="Tabla con cuadrícula3"/>
    <w:basedOn w:val="Tablanormal"/>
    <w:next w:val="Tablaconcuadrcula"/>
    <w:uiPriority w:val="59"/>
    <w:qFormat/>
    <w:rsid w:val="008224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1">
    <w:name w:val="Car1"/>
    <w:basedOn w:val="Normal"/>
    <w:next w:val="Textonotapie"/>
    <w:uiPriority w:val="99"/>
    <w:qFormat/>
    <w:rsid w:val="00822467"/>
    <w:pPr>
      <w:spacing w:after="0" w:line="240" w:lineRule="auto"/>
    </w:pPr>
    <w:rPr>
      <w:sz w:val="20"/>
      <w:szCs w:val="20"/>
      <w:lang w:val="es-MX"/>
    </w:rPr>
  </w:style>
  <w:style w:type="character" w:styleId="Hipervnculo">
    <w:name w:val="Hyperlink"/>
    <w:basedOn w:val="Fuentedeprrafopredeter"/>
    <w:uiPriority w:val="99"/>
    <w:semiHidden/>
    <w:unhideWhenUsed/>
    <w:rsid w:val="00822467"/>
    <w:rPr>
      <w:color w:val="0563C1" w:themeColor="hyperlink"/>
      <w:u w:val="single"/>
    </w:rPr>
  </w:style>
  <w:style w:type="table" w:customStyle="1" w:styleId="Tablaconcuadrcula1">
    <w:name w:val="Tabla con cuadrícula1"/>
    <w:basedOn w:val="Tablanormal"/>
    <w:next w:val="Tablaconcuadrcula"/>
    <w:uiPriority w:val="59"/>
    <w:rsid w:val="00C66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sites/cce_public/files/files_2020/vf_umbrales_actualizaciones_2022_-_2023_1.pdf" TargetMode="External"/><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C8E4705-FE21-4F06-9C73-354AE2570C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dcmitype/"/>
    <ds:schemaRef ds:uri="http://purl.org/dc/elements/1.1/"/>
    <ds:schemaRef ds:uri="a6cb9e4b-f1d1-4245-83ec-6cad768d538a"/>
    <ds:schemaRef ds:uri="http://schemas.microsoft.com/office/infopath/2007/PartnerControls"/>
    <ds:schemaRef ds:uri="http://schemas.microsoft.com/office/2006/documentManagement/types"/>
    <ds:schemaRef ds:uri="http://purl.org/dc/terms/"/>
    <ds:schemaRef ds:uri="http://schemas.microsoft.com/office/2006/metadata/properties"/>
    <ds:schemaRef ds:uri="http://www.w3.org/XML/1998/namespace"/>
    <ds:schemaRef ds:uri="http://schemas.openxmlformats.org/package/2006/metadata/core-properties"/>
    <ds:schemaRef ds:uri="9d85dbaf-23eb-4e57-a637-93dcacc8b1a1"/>
  </ds:schemaRefs>
</ds:datastoreItem>
</file>

<file path=customXml/itemProps3.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6971</Words>
  <Characters>38344</Characters>
  <Application>Microsoft Office Word</Application>
  <DocSecurity>0</DocSecurity>
  <Lines>319</Lines>
  <Paragraphs>90</Paragraphs>
  <ScaleCrop>false</ScaleCrop>
  <Company/>
  <LinksUpToDate>false</LinksUpToDate>
  <CharactersWithSpaces>45225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2</cp:revision>
  <dcterms:created xsi:type="dcterms:W3CDTF">2023-03-02T16:03:00Z</dcterms:created>
  <dcterms:modified xsi:type="dcterms:W3CDTF">2023-03-02T16:03:00Z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